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E2EA" w14:textId="0C011456" w:rsidR="005D1126" w:rsidRPr="009C5807" w:rsidRDefault="005D1126" w:rsidP="005D1126">
      <w:pPr>
        <w:pStyle w:val="Heading1"/>
      </w:pPr>
      <w:bookmarkStart w:id="0" w:name="_Toc5952511"/>
      <w:r w:rsidRPr="009C5807">
        <w:t>Foreword</w:t>
      </w:r>
      <w:bookmarkEnd w:id="0"/>
    </w:p>
    <w:p w14:paraId="5A409C88" w14:textId="45CDAD18" w:rsidR="006776AE" w:rsidRPr="009C5807" w:rsidRDefault="006776AE" w:rsidP="006776AE">
      <w:bookmarkStart w:id="1" w:name="_Toc5952512"/>
      <w:bookmarkStart w:id="2" w:name="historyclause"/>
      <w:r w:rsidRPr="009C5807">
        <w:t xml:space="preserve">This Technical </w:t>
      </w:r>
      <w:bookmarkStart w:id="3" w:name="spectype3"/>
      <w:r w:rsidRPr="009C5807">
        <w:t>Specification</w:t>
      </w:r>
      <w:bookmarkEnd w:id="3"/>
      <w:r w:rsidRPr="009C5807">
        <w:t xml:space="preserve"> has been produced by the 3rd Generation Partnership Project (3GPP).</w:t>
      </w:r>
    </w:p>
    <w:p w14:paraId="7BC1ED16" w14:textId="77777777" w:rsidR="006776AE" w:rsidRPr="009C5807" w:rsidRDefault="006776AE" w:rsidP="006776AE">
      <w:r w:rsidRPr="009C580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9B16378" w14:textId="77777777" w:rsidR="006776AE" w:rsidRPr="009C5807" w:rsidRDefault="006776AE" w:rsidP="006776AE">
      <w:pPr>
        <w:pStyle w:val="B10"/>
      </w:pPr>
      <w:r w:rsidRPr="009C5807">
        <w:t>Version x.y.z</w:t>
      </w:r>
    </w:p>
    <w:p w14:paraId="0541E3D0" w14:textId="77777777" w:rsidR="006776AE" w:rsidRPr="009C5807" w:rsidRDefault="006776AE" w:rsidP="006776AE">
      <w:pPr>
        <w:pStyle w:val="B10"/>
      </w:pPr>
      <w:r w:rsidRPr="009C5807">
        <w:t>where:</w:t>
      </w:r>
    </w:p>
    <w:p w14:paraId="4BCD67A5" w14:textId="77777777" w:rsidR="006776AE" w:rsidRPr="009C5807" w:rsidRDefault="006776AE" w:rsidP="006776AE">
      <w:pPr>
        <w:pStyle w:val="B20"/>
      </w:pPr>
      <w:r w:rsidRPr="009C5807">
        <w:t>x</w:t>
      </w:r>
      <w:r w:rsidRPr="009C5807">
        <w:tab/>
        <w:t>the first digit:</w:t>
      </w:r>
    </w:p>
    <w:p w14:paraId="220E10EA" w14:textId="77777777" w:rsidR="006776AE" w:rsidRPr="009C5807" w:rsidRDefault="006776AE" w:rsidP="006776AE">
      <w:pPr>
        <w:pStyle w:val="B30"/>
      </w:pPr>
      <w:r w:rsidRPr="009C5807">
        <w:t>1</w:t>
      </w:r>
      <w:r w:rsidRPr="009C5807">
        <w:tab/>
        <w:t>presented to TSG for information;</w:t>
      </w:r>
    </w:p>
    <w:p w14:paraId="10ABB109" w14:textId="77777777" w:rsidR="006776AE" w:rsidRPr="009C5807" w:rsidRDefault="006776AE" w:rsidP="006776AE">
      <w:pPr>
        <w:pStyle w:val="B30"/>
      </w:pPr>
      <w:r w:rsidRPr="009C5807">
        <w:t>2</w:t>
      </w:r>
      <w:r w:rsidRPr="009C5807">
        <w:tab/>
        <w:t>presented to TSG for approval;</w:t>
      </w:r>
    </w:p>
    <w:p w14:paraId="25B35973" w14:textId="77777777" w:rsidR="006776AE" w:rsidRPr="009C5807" w:rsidRDefault="006776AE" w:rsidP="006776AE">
      <w:pPr>
        <w:pStyle w:val="B30"/>
      </w:pPr>
      <w:r w:rsidRPr="009C5807">
        <w:t>3</w:t>
      </w:r>
      <w:r w:rsidRPr="009C5807">
        <w:tab/>
        <w:t>or greater indicates TSG approved document under change control.</w:t>
      </w:r>
    </w:p>
    <w:p w14:paraId="6C7B4693" w14:textId="77777777" w:rsidR="006776AE" w:rsidRPr="009C5807" w:rsidRDefault="006776AE" w:rsidP="006776AE">
      <w:pPr>
        <w:pStyle w:val="B20"/>
      </w:pPr>
      <w:r w:rsidRPr="009C5807">
        <w:t>y</w:t>
      </w:r>
      <w:r w:rsidRPr="009C5807">
        <w:tab/>
        <w:t>the second digit is incremented for all changes of substance, i.e. technical enhancements, corrections, updates, etc.</w:t>
      </w:r>
    </w:p>
    <w:p w14:paraId="504F5F46" w14:textId="7E764B8E" w:rsidR="006776AE" w:rsidRPr="009C5807" w:rsidRDefault="006776AE" w:rsidP="006776AE">
      <w:pPr>
        <w:pStyle w:val="B20"/>
      </w:pPr>
      <w:r w:rsidRPr="009C5807">
        <w:t>z</w:t>
      </w:r>
      <w:r w:rsidRPr="009C5807">
        <w:tab/>
        <w:t>the third digit is incremented when editorial only changes have been incorporated in the document.</w:t>
      </w:r>
    </w:p>
    <w:p w14:paraId="03CA151F" w14:textId="77777777" w:rsidR="006776AE" w:rsidRPr="009C5807" w:rsidRDefault="006776AE" w:rsidP="006776AE">
      <w:r w:rsidRPr="009C5807">
        <w:t>In the present document, modal verbs have the following meanings:</w:t>
      </w:r>
    </w:p>
    <w:p w14:paraId="7A98FF21" w14:textId="77777777" w:rsidR="006776AE" w:rsidRPr="009C5807" w:rsidRDefault="006776AE" w:rsidP="006776AE">
      <w:pPr>
        <w:pStyle w:val="EX"/>
      </w:pPr>
      <w:r w:rsidRPr="009C5807">
        <w:rPr>
          <w:b/>
        </w:rPr>
        <w:t>shall</w:t>
      </w:r>
      <w:r w:rsidRPr="009C5807">
        <w:tab/>
      </w:r>
      <w:r w:rsidRPr="009C5807">
        <w:tab/>
        <w:t>indicates a mandatory requirement to do something</w:t>
      </w:r>
    </w:p>
    <w:p w14:paraId="5A809005" w14:textId="77777777" w:rsidR="006776AE" w:rsidRPr="009C5807" w:rsidRDefault="006776AE" w:rsidP="006776AE">
      <w:pPr>
        <w:pStyle w:val="EX"/>
      </w:pPr>
      <w:r w:rsidRPr="009C5807">
        <w:rPr>
          <w:b/>
        </w:rPr>
        <w:t>shall not</w:t>
      </w:r>
      <w:r w:rsidRPr="009C5807">
        <w:tab/>
        <w:t>indicates an interdiction (prohibition) to do something</w:t>
      </w:r>
    </w:p>
    <w:p w14:paraId="1121F38D" w14:textId="77777777" w:rsidR="006776AE" w:rsidRPr="009C5807" w:rsidRDefault="006776AE" w:rsidP="006776AE">
      <w:r w:rsidRPr="009C5807">
        <w:t>The constructions "shall" and "shall not" are confined to the context of normative provisions, and do not appear in Technical Reports.</w:t>
      </w:r>
    </w:p>
    <w:p w14:paraId="5E8912A1" w14:textId="77777777" w:rsidR="006776AE" w:rsidRPr="009C5807" w:rsidRDefault="006776AE" w:rsidP="006776AE">
      <w:r w:rsidRPr="009C5807">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4B9CA359" w14:textId="77777777" w:rsidR="006776AE" w:rsidRPr="009C5807" w:rsidRDefault="006776AE" w:rsidP="006776AE">
      <w:pPr>
        <w:pStyle w:val="EX"/>
      </w:pPr>
      <w:r w:rsidRPr="009C5807">
        <w:rPr>
          <w:b/>
        </w:rPr>
        <w:t>should</w:t>
      </w:r>
      <w:r w:rsidRPr="009C5807">
        <w:tab/>
      </w:r>
      <w:r w:rsidRPr="009C5807">
        <w:tab/>
        <w:t>indicates a recommendation to do something</w:t>
      </w:r>
    </w:p>
    <w:p w14:paraId="533366A5" w14:textId="77777777" w:rsidR="006776AE" w:rsidRPr="009C5807" w:rsidRDefault="006776AE" w:rsidP="006776AE">
      <w:pPr>
        <w:pStyle w:val="EX"/>
      </w:pPr>
      <w:r w:rsidRPr="009C5807">
        <w:rPr>
          <w:b/>
        </w:rPr>
        <w:t>should not</w:t>
      </w:r>
      <w:r w:rsidRPr="009C5807">
        <w:tab/>
        <w:t>indicates a recommendation not to do something</w:t>
      </w:r>
    </w:p>
    <w:p w14:paraId="75F5B58F" w14:textId="77777777" w:rsidR="006776AE" w:rsidRPr="009C5807" w:rsidRDefault="006776AE" w:rsidP="006776AE">
      <w:pPr>
        <w:pStyle w:val="EX"/>
      </w:pPr>
      <w:r w:rsidRPr="009C5807">
        <w:rPr>
          <w:b/>
        </w:rPr>
        <w:t>may</w:t>
      </w:r>
      <w:r w:rsidRPr="009C5807">
        <w:tab/>
      </w:r>
      <w:r w:rsidRPr="009C5807">
        <w:tab/>
        <w:t>indicates permission to do something</w:t>
      </w:r>
    </w:p>
    <w:p w14:paraId="6E43252F" w14:textId="77777777" w:rsidR="006776AE" w:rsidRPr="009C5807" w:rsidRDefault="006776AE" w:rsidP="006776AE">
      <w:pPr>
        <w:pStyle w:val="EX"/>
      </w:pPr>
      <w:r w:rsidRPr="009C5807">
        <w:rPr>
          <w:b/>
        </w:rPr>
        <w:t>need not</w:t>
      </w:r>
      <w:r w:rsidRPr="009C5807">
        <w:tab/>
        <w:t>indicates permission not to do something</w:t>
      </w:r>
    </w:p>
    <w:p w14:paraId="20F66E31" w14:textId="77777777" w:rsidR="006776AE" w:rsidRPr="009C5807" w:rsidRDefault="006776AE" w:rsidP="006776AE">
      <w:r w:rsidRPr="009C5807">
        <w:t>The construction "may not" is ambiguous and is not used in normative elements. The unambiguous constructions "might not" or "shall not" are used instead, depending upon the meaning intended.</w:t>
      </w:r>
    </w:p>
    <w:p w14:paraId="28EE19DB" w14:textId="77777777" w:rsidR="006776AE" w:rsidRPr="009C5807" w:rsidRDefault="006776AE" w:rsidP="006776AE">
      <w:pPr>
        <w:pStyle w:val="EX"/>
      </w:pPr>
      <w:r w:rsidRPr="009C5807">
        <w:rPr>
          <w:b/>
        </w:rPr>
        <w:t>can</w:t>
      </w:r>
      <w:r w:rsidRPr="009C5807">
        <w:tab/>
      </w:r>
      <w:r w:rsidRPr="009C5807">
        <w:tab/>
        <w:t>indicates that something is possible</w:t>
      </w:r>
    </w:p>
    <w:p w14:paraId="5162A80C" w14:textId="77777777" w:rsidR="006776AE" w:rsidRPr="009C5807" w:rsidRDefault="006776AE" w:rsidP="006776AE">
      <w:pPr>
        <w:pStyle w:val="EX"/>
      </w:pPr>
      <w:r w:rsidRPr="009C5807">
        <w:rPr>
          <w:b/>
        </w:rPr>
        <w:t>cannot</w:t>
      </w:r>
      <w:r w:rsidRPr="009C5807">
        <w:tab/>
      </w:r>
      <w:r w:rsidRPr="009C5807">
        <w:tab/>
        <w:t>indicates that something is impossible</w:t>
      </w:r>
    </w:p>
    <w:p w14:paraId="50D5A4C2" w14:textId="77777777" w:rsidR="006776AE" w:rsidRPr="009C5807" w:rsidRDefault="006776AE" w:rsidP="006776AE">
      <w:r w:rsidRPr="009C5807">
        <w:t>The constructions "can" and "cannot" are not substitutes for "may" and "need not".</w:t>
      </w:r>
    </w:p>
    <w:p w14:paraId="2F1E7C7F" w14:textId="77777777" w:rsidR="006776AE" w:rsidRPr="009C5807" w:rsidRDefault="006776AE" w:rsidP="006776AE">
      <w:pPr>
        <w:pStyle w:val="EX"/>
      </w:pPr>
      <w:r w:rsidRPr="009C5807">
        <w:rPr>
          <w:b/>
        </w:rPr>
        <w:t>will</w:t>
      </w:r>
      <w:r w:rsidRPr="009C5807">
        <w:tab/>
      </w:r>
      <w:r w:rsidRPr="009C5807">
        <w:tab/>
        <w:t>indicates that something is certain or expected to happen as a result of action taken by an agency the behaviour of which is outside the scope of the present document</w:t>
      </w:r>
    </w:p>
    <w:p w14:paraId="3F9ADBB2" w14:textId="77777777" w:rsidR="006776AE" w:rsidRPr="009C5807" w:rsidRDefault="006776AE" w:rsidP="006776AE">
      <w:pPr>
        <w:pStyle w:val="EX"/>
      </w:pPr>
      <w:r w:rsidRPr="009C5807">
        <w:rPr>
          <w:b/>
        </w:rPr>
        <w:t>will not</w:t>
      </w:r>
      <w:r w:rsidRPr="009C5807">
        <w:tab/>
      </w:r>
      <w:r w:rsidRPr="009C5807">
        <w:tab/>
        <w:t>indicates that something is certain or expected not to happen as a result of action taken by an agency the behaviour of which is outside the scope of the present document</w:t>
      </w:r>
    </w:p>
    <w:p w14:paraId="32EB010C" w14:textId="77777777" w:rsidR="006776AE" w:rsidRPr="009C5807" w:rsidRDefault="006776AE" w:rsidP="006776AE">
      <w:pPr>
        <w:pStyle w:val="EX"/>
      </w:pPr>
      <w:r w:rsidRPr="009C5807">
        <w:rPr>
          <w:b/>
        </w:rPr>
        <w:t>might</w:t>
      </w:r>
      <w:r w:rsidRPr="009C5807">
        <w:tab/>
        <w:t>indicates a likelihood that something will happen as a result of action taken by some agency the behaviour of which is outside the scope of the present document</w:t>
      </w:r>
    </w:p>
    <w:p w14:paraId="7C940AD6" w14:textId="77777777" w:rsidR="006776AE" w:rsidRPr="009C5807" w:rsidRDefault="006776AE" w:rsidP="006776AE">
      <w:pPr>
        <w:pStyle w:val="EX"/>
      </w:pPr>
      <w:r w:rsidRPr="009C5807">
        <w:rPr>
          <w:b/>
        </w:rPr>
        <w:lastRenderedPageBreak/>
        <w:t>might not</w:t>
      </w:r>
      <w:r w:rsidRPr="009C5807">
        <w:tab/>
        <w:t>indicates a likelihood that something will not happen as a result of action taken by some agency the behaviour of which is outside the scope of the present document</w:t>
      </w:r>
    </w:p>
    <w:p w14:paraId="5670C002" w14:textId="77777777" w:rsidR="006776AE" w:rsidRPr="009C5807" w:rsidRDefault="006776AE" w:rsidP="006776AE">
      <w:r w:rsidRPr="009C5807">
        <w:t>In addition:</w:t>
      </w:r>
    </w:p>
    <w:p w14:paraId="3E82E7C4" w14:textId="77777777" w:rsidR="006776AE" w:rsidRPr="009C5807" w:rsidRDefault="006776AE" w:rsidP="006776AE">
      <w:pPr>
        <w:pStyle w:val="EX"/>
      </w:pPr>
      <w:r w:rsidRPr="009C5807">
        <w:rPr>
          <w:b/>
        </w:rPr>
        <w:t>is</w:t>
      </w:r>
      <w:r w:rsidRPr="009C5807">
        <w:tab/>
        <w:t>(or any other verb in the indicative mood) indicates a statement of fact</w:t>
      </w:r>
    </w:p>
    <w:p w14:paraId="3F021847" w14:textId="77777777" w:rsidR="006776AE" w:rsidRPr="009C5807" w:rsidRDefault="006776AE" w:rsidP="006776AE">
      <w:pPr>
        <w:pStyle w:val="EX"/>
      </w:pPr>
      <w:r w:rsidRPr="009C5807">
        <w:rPr>
          <w:b/>
        </w:rPr>
        <w:t>is not</w:t>
      </w:r>
      <w:r w:rsidRPr="009C5807">
        <w:tab/>
        <w:t>(or any other negative verb in the indicative mood) indicates a statement of fact</w:t>
      </w:r>
    </w:p>
    <w:p w14:paraId="4E6A3FF9" w14:textId="77777777" w:rsidR="006776AE" w:rsidRPr="009C5807" w:rsidRDefault="006776AE" w:rsidP="006776AE">
      <w:r w:rsidRPr="009C5807">
        <w:t>The constructions "is" and "is not" do not indicate requirements.</w:t>
      </w:r>
    </w:p>
    <w:p w14:paraId="47CDBB2B" w14:textId="77777777" w:rsidR="001B0FDA" w:rsidRPr="009C5807" w:rsidRDefault="001B0FDA">
      <w:pPr>
        <w:spacing w:after="0"/>
        <w:rPr>
          <w:rFonts w:ascii="Arial" w:hAnsi="Arial"/>
          <w:sz w:val="36"/>
        </w:rPr>
      </w:pPr>
      <w:r w:rsidRPr="009C5807">
        <w:br w:type="page"/>
      </w:r>
    </w:p>
    <w:p w14:paraId="25C475C3" w14:textId="0883EAA7" w:rsidR="00E93D6B" w:rsidRPr="009C5807" w:rsidRDefault="00E93D6B" w:rsidP="00E93D6B">
      <w:pPr>
        <w:pStyle w:val="Heading1"/>
      </w:pPr>
      <w:r w:rsidRPr="009C5807">
        <w:lastRenderedPageBreak/>
        <w:t>1</w:t>
      </w:r>
      <w:r w:rsidRPr="009C5807">
        <w:tab/>
        <w:t>Scope</w:t>
      </w:r>
      <w:bookmarkEnd w:id="1"/>
    </w:p>
    <w:p w14:paraId="7CE66E36" w14:textId="77777777" w:rsidR="00E93D6B" w:rsidRPr="009C5807" w:rsidRDefault="00E93D6B" w:rsidP="00E93D6B">
      <w:pPr>
        <w:rPr>
          <w:rFonts w:cs="v4.2.0"/>
        </w:rPr>
      </w:pPr>
      <w:r w:rsidRPr="009C5807">
        <w:rPr>
          <w:rFonts w:cs="v4.2.0"/>
        </w:rPr>
        <w:t xml:space="preserve">The present document specifies requirements for support of Radio Resource Management for </w:t>
      </w:r>
      <w:r w:rsidRPr="009C5807">
        <w:t>the FDD and TDD modes of New Radio (NR)</w:t>
      </w:r>
      <w:r w:rsidRPr="009C5807">
        <w:rPr>
          <w:rFonts w:cs="v4.2.0"/>
        </w:rPr>
        <w:t>. These requirements include requirements on measurements in NR and the UE as well as requirements on node dynamical behaviour and interaction, in terms of delay and response characteristics.</w:t>
      </w:r>
    </w:p>
    <w:p w14:paraId="2F1F0C8C" w14:textId="77777777" w:rsidR="00E93D6B" w:rsidRPr="009C5807" w:rsidRDefault="00E93D6B" w:rsidP="00E93D6B">
      <w:pPr>
        <w:pStyle w:val="Heading1"/>
      </w:pPr>
      <w:bookmarkStart w:id="4" w:name="_Toc5952513"/>
      <w:r w:rsidRPr="009C5807">
        <w:t>2</w:t>
      </w:r>
      <w:r w:rsidRPr="009C5807">
        <w:tab/>
        <w:t>References</w:t>
      </w:r>
      <w:bookmarkEnd w:id="4"/>
    </w:p>
    <w:p w14:paraId="5531254F" w14:textId="77777777" w:rsidR="00E93D6B" w:rsidRPr="009C5807" w:rsidRDefault="00E93D6B" w:rsidP="00E93D6B">
      <w:pPr>
        <w:rPr>
          <w:rFonts w:cs="v4.2.0"/>
        </w:rPr>
      </w:pPr>
      <w:r w:rsidRPr="009C5807">
        <w:rPr>
          <w:rFonts w:cs="v4.2.0"/>
        </w:rPr>
        <w:t>The following documents contain provisions which, through reference in this text, constitute provisions of the present document.</w:t>
      </w:r>
    </w:p>
    <w:p w14:paraId="5971285B" w14:textId="77777777" w:rsidR="00E93D6B" w:rsidRPr="009C5807" w:rsidRDefault="00E93D6B" w:rsidP="00E93D6B">
      <w:pPr>
        <w:pStyle w:val="B10"/>
      </w:pPr>
      <w:r w:rsidRPr="009C5807">
        <w:t>-</w:t>
      </w:r>
      <w:r w:rsidRPr="009C5807">
        <w:tab/>
        <w:t>References are either specific (identified by date of publication, edition number, version number, etc.) or non</w:t>
      </w:r>
      <w:r w:rsidRPr="009C5807">
        <w:noBreakHyphen/>
        <w:t>specific.</w:t>
      </w:r>
    </w:p>
    <w:p w14:paraId="65261109" w14:textId="77777777" w:rsidR="00E93D6B" w:rsidRPr="009C5807" w:rsidRDefault="00E93D6B" w:rsidP="00E93D6B">
      <w:pPr>
        <w:pStyle w:val="B10"/>
      </w:pPr>
      <w:r w:rsidRPr="009C5807">
        <w:t>-</w:t>
      </w:r>
      <w:r w:rsidRPr="009C5807">
        <w:tab/>
        <w:t>For a specific reference, subsequent revisions do not apply.</w:t>
      </w:r>
    </w:p>
    <w:p w14:paraId="00686848" w14:textId="77777777" w:rsidR="00E93D6B" w:rsidRPr="009C5807" w:rsidRDefault="00E93D6B" w:rsidP="00E93D6B">
      <w:pPr>
        <w:pStyle w:val="B10"/>
      </w:pPr>
      <w:r w:rsidRPr="009C5807">
        <w:t>-</w:t>
      </w:r>
      <w:r w:rsidRPr="009C5807">
        <w:tab/>
        <w:t xml:space="preserve">For a non-specific reference, the latest version applies. In the case of a reference to a 3GPP document (including a GSM document), a non-specific reference implicitly refers to the latest version of that document </w:t>
      </w:r>
      <w:r w:rsidRPr="009C5807">
        <w:rPr>
          <w:i/>
          <w:iCs/>
        </w:rPr>
        <w:t>in the same Release as the present document</w:t>
      </w:r>
      <w:r w:rsidRPr="009C5807">
        <w:t>.</w:t>
      </w:r>
    </w:p>
    <w:p w14:paraId="407535BF" w14:textId="77777777" w:rsidR="00E93D6B" w:rsidRPr="009C5807" w:rsidRDefault="00E93D6B" w:rsidP="00E93D6B">
      <w:pPr>
        <w:pStyle w:val="EX"/>
      </w:pPr>
      <w:r w:rsidRPr="009C5807">
        <w:t>[1]</w:t>
      </w:r>
      <w:r w:rsidRPr="009C5807">
        <w:tab/>
        <w:t>3GPP TS 38.304: "NR; User Equipment (UE) procedures in idle mode".</w:t>
      </w:r>
    </w:p>
    <w:p w14:paraId="6B9BC4F1" w14:textId="77777777" w:rsidR="00E93D6B" w:rsidRPr="009C5807" w:rsidRDefault="00E93D6B" w:rsidP="00E93D6B">
      <w:pPr>
        <w:pStyle w:val="EX"/>
      </w:pPr>
      <w:r w:rsidRPr="009C5807">
        <w:t>[2]</w:t>
      </w:r>
      <w:r w:rsidRPr="009C5807">
        <w:tab/>
        <w:t>3GPP TS 38.331: "NR; Radio Resource Control (RRC); Protocol specification".</w:t>
      </w:r>
    </w:p>
    <w:p w14:paraId="51DF30A2" w14:textId="77777777" w:rsidR="00E93D6B" w:rsidRPr="009C5807" w:rsidRDefault="00E93D6B" w:rsidP="00E93D6B">
      <w:pPr>
        <w:pStyle w:val="EX"/>
      </w:pPr>
      <w:r w:rsidRPr="009C5807">
        <w:t>[3]</w:t>
      </w:r>
      <w:r w:rsidRPr="009C5807">
        <w:tab/>
        <w:t>3GPP TS 38.213: "NR; Physical layer procedures for control".</w:t>
      </w:r>
    </w:p>
    <w:p w14:paraId="7A59A405" w14:textId="77777777" w:rsidR="00E93D6B" w:rsidRPr="009C5807" w:rsidRDefault="00E93D6B" w:rsidP="00E93D6B">
      <w:pPr>
        <w:pStyle w:val="EX"/>
      </w:pPr>
      <w:r w:rsidRPr="009C5807">
        <w:t>[4]</w:t>
      </w:r>
      <w:r w:rsidRPr="009C5807">
        <w:tab/>
        <w:t>3GPP TS 38.215: "NR; Physical layer measurements".</w:t>
      </w:r>
    </w:p>
    <w:p w14:paraId="5BF6469B" w14:textId="77777777" w:rsidR="00E93D6B" w:rsidRPr="009C5807" w:rsidRDefault="00E93D6B" w:rsidP="00E93D6B">
      <w:pPr>
        <w:pStyle w:val="EX"/>
      </w:pPr>
      <w:r w:rsidRPr="009C5807">
        <w:t>[5]</w:t>
      </w:r>
      <w:r w:rsidRPr="009C5807">
        <w:tab/>
        <w:t>3GPP TS 38.533: "NR; User Equipment (UE) conformance specification; Radio Resource Management (RRM)".</w:t>
      </w:r>
    </w:p>
    <w:p w14:paraId="11FF8CA4" w14:textId="77777777" w:rsidR="00E93D6B" w:rsidRPr="009C5807" w:rsidRDefault="00E93D6B" w:rsidP="00E93D6B">
      <w:pPr>
        <w:pStyle w:val="EX"/>
      </w:pPr>
      <w:r w:rsidRPr="009C5807">
        <w:t>[6]</w:t>
      </w:r>
      <w:r w:rsidRPr="009C5807">
        <w:tab/>
        <w:t xml:space="preserve">3GPP TS 38.211: </w:t>
      </w:r>
      <w:bookmarkStart w:id="5" w:name="OLE_LINK44"/>
      <w:bookmarkStart w:id="6" w:name="OLE_LINK45"/>
      <w:r w:rsidRPr="009C5807">
        <w:t>"</w:t>
      </w:r>
      <w:bookmarkEnd w:id="5"/>
      <w:bookmarkEnd w:id="6"/>
      <w:r w:rsidRPr="009C5807">
        <w:t>NR; Physical channels and modulation”.</w:t>
      </w:r>
    </w:p>
    <w:p w14:paraId="13C32B60" w14:textId="77777777" w:rsidR="00E93D6B" w:rsidRPr="009C5807" w:rsidRDefault="00E93D6B" w:rsidP="00E93D6B">
      <w:pPr>
        <w:pStyle w:val="EX"/>
      </w:pPr>
      <w:r w:rsidRPr="009C5807">
        <w:t>[7]</w:t>
      </w:r>
      <w:r w:rsidRPr="009C5807">
        <w:tab/>
        <w:t>3GPP TS 38.321: "NR; Medium Access Control (MAC) protocol specification".</w:t>
      </w:r>
    </w:p>
    <w:p w14:paraId="4163B367" w14:textId="7453A3AC" w:rsidR="00E93D6B" w:rsidRPr="009C5807" w:rsidRDefault="00E93D6B" w:rsidP="00E93D6B">
      <w:pPr>
        <w:pStyle w:val="EX"/>
      </w:pPr>
      <w:r w:rsidRPr="009C5807">
        <w:t>[8]</w:t>
      </w:r>
      <w:r w:rsidRPr="009C5807">
        <w:tab/>
        <w:t>3GPP TS 38.212 "NR; Multiplexing and channel coding".</w:t>
      </w:r>
    </w:p>
    <w:p w14:paraId="28E652BB" w14:textId="77777777" w:rsidR="00E93D6B" w:rsidRPr="009C5807" w:rsidRDefault="00E93D6B" w:rsidP="00E93D6B">
      <w:pPr>
        <w:pStyle w:val="EX"/>
      </w:pPr>
      <w:r w:rsidRPr="009C5807">
        <w:t>[9]</w:t>
      </w:r>
      <w:r w:rsidRPr="009C5807">
        <w:tab/>
        <w:t>3GPP TS 38.202: "NR; Physical layer services provided by the physical layer".</w:t>
      </w:r>
    </w:p>
    <w:p w14:paraId="2700A162" w14:textId="77777777" w:rsidR="00E93D6B" w:rsidRPr="009C5807" w:rsidRDefault="00E93D6B" w:rsidP="00E93D6B">
      <w:pPr>
        <w:pStyle w:val="EX"/>
      </w:pPr>
      <w:r w:rsidRPr="009C5807">
        <w:t>[10]</w:t>
      </w:r>
      <w:r w:rsidRPr="009C5807">
        <w:tab/>
        <w:t>3GPP TS 38.300: "NR; Overall description; Stage-2".</w:t>
      </w:r>
    </w:p>
    <w:p w14:paraId="5E3BF116" w14:textId="77777777" w:rsidR="00E93D6B" w:rsidRPr="009C5807" w:rsidRDefault="00E93D6B" w:rsidP="00E93D6B">
      <w:pPr>
        <w:pStyle w:val="EX"/>
      </w:pPr>
      <w:r w:rsidRPr="009C5807">
        <w:t>[11]</w:t>
      </w:r>
      <w:r w:rsidRPr="009C5807">
        <w:tab/>
        <w:t>3GPP TR 21.905: "Vocabulary for 3GPP Specifications".</w:t>
      </w:r>
    </w:p>
    <w:p w14:paraId="3C9CB395" w14:textId="77777777" w:rsidR="00E93D6B" w:rsidRPr="009C5807" w:rsidRDefault="00E93D6B" w:rsidP="00E93D6B">
      <w:pPr>
        <w:pStyle w:val="EX"/>
      </w:pPr>
      <w:r w:rsidRPr="009C5807">
        <w:t>[12]</w:t>
      </w:r>
      <w:r w:rsidRPr="009C5807">
        <w:tab/>
        <w:t>3GPP TS 38.423: "</w:t>
      </w:r>
      <w:r w:rsidRPr="009C5807">
        <w:rPr>
          <w:bCs/>
          <w:lang w:val="en-US"/>
        </w:rPr>
        <w:t>NG-RAN; Xn Application Protocol (XnAP)</w:t>
      </w:r>
      <w:r w:rsidRPr="009C5807">
        <w:t>".</w:t>
      </w:r>
    </w:p>
    <w:p w14:paraId="62A225C1" w14:textId="77777777" w:rsidR="00E93D6B" w:rsidRPr="009C5807" w:rsidRDefault="00E93D6B" w:rsidP="00E93D6B">
      <w:pPr>
        <w:pStyle w:val="EX"/>
      </w:pPr>
      <w:r w:rsidRPr="009C5807">
        <w:t>[13]</w:t>
      </w:r>
      <w:r w:rsidRPr="009C5807">
        <w:tab/>
        <w:t>3GPP TS 38.104: "NR; Base Station (BS) radio transmission and reception".</w:t>
      </w:r>
    </w:p>
    <w:p w14:paraId="018F5A06" w14:textId="77777777" w:rsidR="00E93D6B" w:rsidRPr="009C5807" w:rsidRDefault="00E93D6B" w:rsidP="00E93D6B">
      <w:pPr>
        <w:pStyle w:val="EX"/>
      </w:pPr>
      <w:r w:rsidRPr="009C5807">
        <w:t>[14]</w:t>
      </w:r>
      <w:r w:rsidRPr="009C5807">
        <w:tab/>
        <w:t>3GPP TS 38.306: "NR; User Equipment (UE) radio access capabilities".</w:t>
      </w:r>
    </w:p>
    <w:p w14:paraId="737D43C9" w14:textId="77777777" w:rsidR="00E93D6B" w:rsidRPr="009C5807" w:rsidRDefault="00E93D6B" w:rsidP="00E93D6B">
      <w:pPr>
        <w:pStyle w:val="EX"/>
      </w:pPr>
      <w:r w:rsidRPr="009C5807">
        <w:t>[15]</w:t>
      </w:r>
      <w:r w:rsidRPr="009C5807">
        <w:tab/>
        <w:t>3GPP TS 36.133: "Evolved Universal Terrestrial Radio Access (E-UTRA); Requirements for support of radio resource management".</w:t>
      </w:r>
    </w:p>
    <w:p w14:paraId="279E6B49" w14:textId="77777777" w:rsidR="00E93D6B" w:rsidRPr="009C5807" w:rsidRDefault="00E93D6B" w:rsidP="00E93D6B">
      <w:pPr>
        <w:pStyle w:val="EX"/>
      </w:pPr>
      <w:r w:rsidRPr="009C5807">
        <w:t>[16]</w:t>
      </w:r>
      <w:r w:rsidRPr="009C5807">
        <w:tab/>
        <w:t>3GPP TS 36.331: "Evolved Universal Terrestrial Radio Access (E-UTRA); Radio Resource Control (RRC) protocol specification".</w:t>
      </w:r>
    </w:p>
    <w:p w14:paraId="038698E1" w14:textId="77777777" w:rsidR="00E93D6B" w:rsidRPr="009C5807" w:rsidRDefault="00E93D6B" w:rsidP="00E93D6B">
      <w:pPr>
        <w:pStyle w:val="EX"/>
      </w:pPr>
      <w:r w:rsidRPr="009C5807">
        <w:t>[17]</w:t>
      </w:r>
      <w:r w:rsidRPr="009C5807">
        <w:tab/>
        <w:t>3GPP TS 37.340: "Evolved Universal Terrestrial Radio Access (E-UTRA) and NR; Multi-connectivity", Stage 2.</w:t>
      </w:r>
    </w:p>
    <w:p w14:paraId="5DA39C8B" w14:textId="77777777" w:rsidR="00E93D6B" w:rsidRPr="009C5807" w:rsidRDefault="00E93D6B" w:rsidP="00E93D6B">
      <w:pPr>
        <w:pStyle w:val="EX"/>
      </w:pPr>
      <w:r w:rsidRPr="009C5807">
        <w:t>[18]</w:t>
      </w:r>
      <w:r w:rsidRPr="009C5807">
        <w:tab/>
        <w:t>3GPP TS 38.101-1: "NR; User Equipment (UE) radio transmission and reception; Part 1: Range 1 Standalone".</w:t>
      </w:r>
    </w:p>
    <w:p w14:paraId="68B97229" w14:textId="77777777" w:rsidR="00E93D6B" w:rsidRPr="009C5807" w:rsidRDefault="00E93D6B" w:rsidP="00E93D6B">
      <w:pPr>
        <w:pStyle w:val="EX"/>
      </w:pPr>
      <w:r w:rsidRPr="009C5807">
        <w:t>[19]</w:t>
      </w:r>
      <w:r w:rsidRPr="009C5807">
        <w:tab/>
        <w:t>3GPP TS 38.101-2: "NR; User Equipment (UE) radio transmission and reception; Part 2: Range 2 Standalone".</w:t>
      </w:r>
    </w:p>
    <w:p w14:paraId="2D5D7DCA" w14:textId="77777777" w:rsidR="00E93D6B" w:rsidRPr="009C5807" w:rsidRDefault="00E93D6B" w:rsidP="00E93D6B">
      <w:pPr>
        <w:pStyle w:val="EX"/>
      </w:pPr>
      <w:r w:rsidRPr="009C5807">
        <w:lastRenderedPageBreak/>
        <w:t>[20]</w:t>
      </w:r>
      <w:r w:rsidRPr="009C5807">
        <w:tab/>
        <w:t>3GPP TS 38.101-3: "NR; User Equipment (UE) radio transmission and reception; Part 3: Range 1 and Range 2 Interworking operation with other radios".</w:t>
      </w:r>
    </w:p>
    <w:p w14:paraId="76AF81A0" w14:textId="77777777" w:rsidR="00E93D6B" w:rsidRPr="009C5807" w:rsidRDefault="00E93D6B" w:rsidP="00E93D6B">
      <w:pPr>
        <w:pStyle w:val="EX"/>
      </w:pPr>
      <w:r w:rsidRPr="009C5807">
        <w:t>[21]</w:t>
      </w:r>
      <w:r w:rsidRPr="009C5807">
        <w:tab/>
        <w:t>3GPP TS 38.101-4: "NR; User Equipment (UE) radio transmission and reception; Part 4: Performance requirements".</w:t>
      </w:r>
    </w:p>
    <w:p w14:paraId="460CCFC2" w14:textId="77777777" w:rsidR="00E93D6B" w:rsidRPr="009C5807" w:rsidRDefault="00E93D6B" w:rsidP="00E93D6B">
      <w:pPr>
        <w:pStyle w:val="EX"/>
      </w:pPr>
      <w:r w:rsidRPr="009C5807">
        <w:t>[22]</w:t>
      </w:r>
      <w:r w:rsidRPr="009C5807">
        <w:tab/>
        <w:t>3GPP TS 38.305: "NG Radio Access Network (NG-RAN); Stage 2 functional specification of User Equipment (UE) positioning in NG-RAN".</w:t>
      </w:r>
    </w:p>
    <w:p w14:paraId="748B3065" w14:textId="77777777" w:rsidR="00E93D6B" w:rsidRPr="009C5807" w:rsidRDefault="00E93D6B" w:rsidP="00E93D6B">
      <w:pPr>
        <w:pStyle w:val="EX"/>
      </w:pPr>
      <w:r w:rsidRPr="009C5807">
        <w:t>[23]</w:t>
      </w:r>
      <w:r w:rsidRPr="009C5807">
        <w:tab/>
        <w:t>3GPP TS 36.211: "Evolved Universal Terrestrial Radio Access (E-UTRA); Physical Channels and Modulation".</w:t>
      </w:r>
    </w:p>
    <w:p w14:paraId="1ACC9A9D" w14:textId="77777777" w:rsidR="00E93D6B" w:rsidRPr="009C5807" w:rsidRDefault="00E93D6B" w:rsidP="00E93D6B">
      <w:pPr>
        <w:pStyle w:val="EX"/>
      </w:pPr>
      <w:r w:rsidRPr="009C5807">
        <w:t>[24]</w:t>
      </w:r>
      <w:r w:rsidRPr="009C5807">
        <w:tab/>
        <w:t>3GPP TS 36.300: "Evolved Universal Terrestrial Radio Access (E-UTRA); Overall description".</w:t>
      </w:r>
    </w:p>
    <w:p w14:paraId="36543FB2" w14:textId="77777777" w:rsidR="00E93D6B" w:rsidRPr="009C5807" w:rsidRDefault="00E93D6B" w:rsidP="00E93D6B">
      <w:pPr>
        <w:pStyle w:val="EX"/>
        <w:rPr>
          <w:lang w:eastAsia="zh-CN"/>
        </w:rPr>
      </w:pPr>
      <w:r w:rsidRPr="009C5807">
        <w:t>[25]</w:t>
      </w:r>
      <w:r w:rsidRPr="009C5807">
        <w:tab/>
        <w:t>3GPP TS 36.101: "Technical Specification Group Radio Access Network; Evolved Universal Terrestrial Radio Access (E-UTRA); User Equipment (UE) radio transmission and reception".</w:t>
      </w:r>
    </w:p>
    <w:p w14:paraId="591C4E27" w14:textId="77777777" w:rsidR="00E93D6B" w:rsidRPr="009C5807" w:rsidRDefault="00E93D6B" w:rsidP="00E93D6B">
      <w:pPr>
        <w:pStyle w:val="EX"/>
      </w:pPr>
      <w:r w:rsidRPr="009C5807">
        <w:t>[26]</w:t>
      </w:r>
      <w:r w:rsidRPr="009C5807">
        <w:tab/>
        <w:t>3GPP TS 38.214: "NR; Physical layer procedures for data".</w:t>
      </w:r>
    </w:p>
    <w:p w14:paraId="2DEF1ABE" w14:textId="77777777" w:rsidR="00E93D6B" w:rsidRPr="009C5807" w:rsidRDefault="00E93D6B" w:rsidP="00E93D6B">
      <w:pPr>
        <w:pStyle w:val="EX"/>
      </w:pPr>
      <w:r w:rsidRPr="009C5807">
        <w:t>[27]</w:t>
      </w:r>
      <w:r w:rsidRPr="009C5807">
        <w:tab/>
        <w:t>3GPP TS 36.355: "Evolved Universal Terrestrial Radio Access (E-UTRA); LTE Positioning Protocol (LPP)".</w:t>
      </w:r>
    </w:p>
    <w:p w14:paraId="187E7509" w14:textId="193C1A9D" w:rsidR="00B44C4C" w:rsidRPr="009C5807" w:rsidRDefault="00E93D6B" w:rsidP="003D2770">
      <w:pPr>
        <w:pStyle w:val="EX"/>
      </w:pPr>
      <w:r w:rsidRPr="009C5807">
        <w:rPr>
          <w:lang w:eastAsia="zh-CN"/>
        </w:rPr>
        <w:t>[28]</w:t>
      </w:r>
      <w:r w:rsidRPr="009C5807">
        <w:rPr>
          <w:lang w:eastAsia="zh-CN"/>
        </w:rPr>
        <w:tab/>
      </w:r>
      <w:r w:rsidR="00B44C4C" w:rsidRPr="009C5807">
        <w:t>Void.</w:t>
      </w:r>
    </w:p>
    <w:p w14:paraId="4E69B8BA" w14:textId="0172499B" w:rsidR="003D2770" w:rsidRPr="009C5807" w:rsidRDefault="003D2770" w:rsidP="003D2770">
      <w:pPr>
        <w:pStyle w:val="EX"/>
      </w:pPr>
      <w:r w:rsidRPr="009C5807">
        <w:t>[29]</w:t>
      </w:r>
      <w:r w:rsidR="003646D8" w:rsidRPr="009C5807">
        <w:tab/>
      </w:r>
      <w:r w:rsidRPr="009C5807">
        <w:t>3GPP TS 25.133: "Requirements for Support of Radio Resource Management (FDD)".</w:t>
      </w:r>
    </w:p>
    <w:p w14:paraId="48E0A87D" w14:textId="465B16F4" w:rsidR="003D2770" w:rsidRPr="009C5807" w:rsidRDefault="003D2770" w:rsidP="003D2770">
      <w:pPr>
        <w:pStyle w:val="EX"/>
        <w:rPr>
          <w:lang w:eastAsia="zh-CN"/>
        </w:rPr>
      </w:pPr>
      <w:r w:rsidRPr="009C5807">
        <w:rPr>
          <w:rFonts w:cs="v4.2.0"/>
        </w:rPr>
        <w:t>[30]</w:t>
      </w:r>
      <w:r w:rsidR="003646D8" w:rsidRPr="009C5807">
        <w:tab/>
      </w:r>
      <w:r w:rsidRPr="009C5807">
        <w:t>3GPP</w:t>
      </w:r>
      <w:r w:rsidRPr="009C5807">
        <w:rPr>
          <w:rFonts w:cs="v4.2.0"/>
        </w:rPr>
        <w:t xml:space="preserve"> TS 25.302</w:t>
      </w:r>
      <w:r w:rsidRPr="009C5807">
        <w:t>: "Services provided by the Physical Layer".</w:t>
      </w:r>
    </w:p>
    <w:p w14:paraId="2B40781D" w14:textId="77777777" w:rsidR="00070190" w:rsidRPr="009C5807" w:rsidRDefault="000B4F9B" w:rsidP="00070190">
      <w:pPr>
        <w:pStyle w:val="EX"/>
      </w:pPr>
      <w:r w:rsidRPr="009C5807">
        <w:t>[31]</w:t>
      </w:r>
      <w:r w:rsidRPr="009C5807">
        <w:tab/>
        <w:t>3GPP TS 37.320: "Universal Terrestrial Radio Access (UTRA)</w:t>
      </w:r>
      <w:r w:rsidRPr="009C5807">
        <w:rPr>
          <w:rFonts w:hint="eastAsia"/>
        </w:rPr>
        <w:t xml:space="preserve">, </w:t>
      </w:r>
      <w:r w:rsidRPr="009C5807">
        <w:t>Evolved Universal Terrestrial Radio Access (E-UTRA)</w:t>
      </w:r>
      <w:r w:rsidRPr="009C5807">
        <w:rPr>
          <w:rFonts w:hint="eastAsia"/>
        </w:rPr>
        <w:t xml:space="preserve"> </w:t>
      </w:r>
      <w:r w:rsidRPr="009C5807">
        <w:t>and</w:t>
      </w:r>
      <w:r w:rsidRPr="009C5807">
        <w:rPr>
          <w:rFonts w:hint="eastAsia"/>
        </w:rPr>
        <w:t xml:space="preserve"> </w:t>
      </w:r>
      <w:r w:rsidRPr="009C5807">
        <w:t>Next Generation Radio Access; Radio measurement collection for Minimization of Drive Tests (MDT); Overall description; Stage 2".</w:t>
      </w:r>
    </w:p>
    <w:p w14:paraId="07E3DE94" w14:textId="6A5495A4" w:rsidR="000B4F9B" w:rsidRDefault="00070190" w:rsidP="00070190">
      <w:pPr>
        <w:pStyle w:val="EX"/>
      </w:pPr>
      <w:r w:rsidRPr="009C5807">
        <w:rPr>
          <w:rFonts w:hint="eastAsia"/>
          <w:lang w:val="en-US" w:eastAsia="zh-CN"/>
        </w:rPr>
        <w:t>[32]</w:t>
      </w:r>
      <w:r w:rsidRPr="009C5807">
        <w:rPr>
          <w:rFonts w:hint="eastAsia"/>
          <w:lang w:val="en-US" w:eastAsia="zh-CN"/>
        </w:rPr>
        <w:tab/>
      </w:r>
      <w:r w:rsidRPr="009C5807">
        <w:t>3GPP TS 25.214: "Physical layer procedures (FDD)".</w:t>
      </w:r>
    </w:p>
    <w:p w14:paraId="49FDAF16" w14:textId="30AD2093" w:rsidR="000D5EEF" w:rsidRDefault="000D5EEF" w:rsidP="00070190">
      <w:pPr>
        <w:pStyle w:val="EX"/>
      </w:pPr>
      <w:r w:rsidRPr="000D5EEF">
        <w:t>[3</w:t>
      </w:r>
      <w:r w:rsidR="009323E2">
        <w:t>3</w:t>
      </w:r>
      <w:r w:rsidRPr="000D5EEF">
        <w:t>]</w:t>
      </w:r>
      <w:r w:rsidRPr="000D5EEF">
        <w:tab/>
        <w:t xml:space="preserve">3GPP TS 37.213: </w:t>
      </w:r>
      <w:r w:rsidRPr="009C5807">
        <w:t>"</w:t>
      </w:r>
      <w:r w:rsidRPr="000D5EEF">
        <w:t>Physical layer procedures for shared spectrum channel access</w:t>
      </w:r>
      <w:r w:rsidRPr="009C5807">
        <w:t>"</w:t>
      </w:r>
    </w:p>
    <w:p w14:paraId="137F8B83" w14:textId="77777777" w:rsidR="00AD5476" w:rsidRPr="00E06752" w:rsidRDefault="009323E2" w:rsidP="00F37389">
      <w:pPr>
        <w:pStyle w:val="EX"/>
        <w:rPr>
          <w:lang w:val="sv-FI"/>
        </w:rPr>
      </w:pPr>
      <w:bookmarkStart w:id="7" w:name="_Hlk45613835"/>
      <w:r w:rsidRPr="00734785">
        <w:rPr>
          <w:lang w:val="sv-FI"/>
        </w:rPr>
        <w:t>[3</w:t>
      </w:r>
      <w:r>
        <w:rPr>
          <w:lang w:val="sv-FI"/>
        </w:rPr>
        <w:t>4</w:t>
      </w:r>
      <w:r w:rsidRPr="00734785">
        <w:rPr>
          <w:lang w:val="sv-FI"/>
        </w:rPr>
        <w:t>]</w:t>
      </w:r>
      <w:r w:rsidRPr="00734785">
        <w:rPr>
          <w:lang w:val="sv-FI"/>
        </w:rPr>
        <w:tab/>
        <w:t>3GPP TS 37.355: "LTE Positioning Protocol (LPP) ".</w:t>
      </w:r>
      <w:bookmarkEnd w:id="7"/>
    </w:p>
    <w:p w14:paraId="6ED97017" w14:textId="058159A4" w:rsidR="009323E2" w:rsidRPr="00E06752" w:rsidRDefault="00AD5476" w:rsidP="00AD5476">
      <w:pPr>
        <w:pStyle w:val="EX"/>
      </w:pPr>
      <w:r w:rsidRPr="00FC3D83">
        <w:rPr>
          <w:lang w:val="en-US"/>
        </w:rPr>
        <w:t>[3</w:t>
      </w:r>
      <w:r>
        <w:rPr>
          <w:lang w:val="en-US"/>
        </w:rPr>
        <w:t>5</w:t>
      </w:r>
      <w:r w:rsidRPr="00FC3D83">
        <w:rPr>
          <w:lang w:val="en-US"/>
        </w:rPr>
        <w:t>]</w:t>
      </w:r>
      <w:r>
        <w:rPr>
          <w:lang w:val="en-US"/>
        </w:rPr>
        <w:tab/>
        <w:t xml:space="preserve">3GPP </w:t>
      </w:r>
      <w:r w:rsidRPr="008041D8">
        <w:rPr>
          <w:lang w:val="en-US"/>
        </w:rPr>
        <w:t>TS 38.455</w:t>
      </w:r>
      <w:r w:rsidRPr="008041D8">
        <w:rPr>
          <w:lang w:val="en-US"/>
        </w:rPr>
        <w:tab/>
      </w:r>
      <w:r>
        <w:rPr>
          <w:lang w:val="en-US"/>
        </w:rPr>
        <w:t xml:space="preserve">: </w:t>
      </w:r>
      <w:r w:rsidRPr="00E06752">
        <w:t>"</w:t>
      </w:r>
      <w:r w:rsidRPr="008041D8">
        <w:rPr>
          <w:lang w:val="en-US"/>
        </w:rPr>
        <w:t>NG-RAN; NR Positioning Protocol A (NRPPa)</w:t>
      </w:r>
      <w:r w:rsidRPr="00E06752">
        <w:t xml:space="preserve"> "</w:t>
      </w:r>
      <w:r>
        <w:rPr>
          <w:lang w:val="en-US"/>
        </w:rPr>
        <w:t>.</w:t>
      </w:r>
    </w:p>
    <w:p w14:paraId="1B0DAE40" w14:textId="77777777" w:rsidR="007D2333" w:rsidRPr="007275DF" w:rsidRDefault="007D2333" w:rsidP="007D2333">
      <w:pPr>
        <w:pStyle w:val="EX"/>
        <w:rPr>
          <w:lang w:val="en-US"/>
        </w:rPr>
      </w:pPr>
      <w:bookmarkStart w:id="8" w:name="_Toc5952514"/>
      <w:bookmarkStart w:id="9" w:name="_Hlk1143881"/>
      <w:r w:rsidRPr="007275DF">
        <w:rPr>
          <w:lang w:val="en-US"/>
        </w:rPr>
        <w:t>[36]</w:t>
      </w:r>
      <w:r w:rsidRPr="007275DF">
        <w:rPr>
          <w:lang w:val="en-US"/>
        </w:rPr>
        <w:tab/>
        <w:t>3GPP TS 37.106: “User Equipment (UE) requirements for shared spectrum channel access”.</w:t>
      </w:r>
    </w:p>
    <w:p w14:paraId="64464654" w14:textId="77777777" w:rsidR="00E93D6B" w:rsidRPr="009C5807" w:rsidRDefault="00E93D6B" w:rsidP="00E93D6B">
      <w:pPr>
        <w:pStyle w:val="Heading1"/>
      </w:pPr>
      <w:r w:rsidRPr="009C5807">
        <w:t>3</w:t>
      </w:r>
      <w:r w:rsidRPr="009C5807">
        <w:tab/>
        <w:t>Definitions, symbols and abbreviations</w:t>
      </w:r>
      <w:bookmarkEnd w:id="8"/>
    </w:p>
    <w:p w14:paraId="7704F894" w14:textId="77777777" w:rsidR="00E93D6B" w:rsidRPr="009C5807" w:rsidRDefault="00E93D6B" w:rsidP="00E93D6B">
      <w:pPr>
        <w:pStyle w:val="Heading2"/>
      </w:pPr>
      <w:bookmarkStart w:id="10" w:name="_Toc5952515"/>
      <w:bookmarkEnd w:id="9"/>
      <w:r w:rsidRPr="009C5807">
        <w:t>3.1</w:t>
      </w:r>
      <w:r w:rsidRPr="009C5807">
        <w:tab/>
        <w:t>Definitions</w:t>
      </w:r>
      <w:bookmarkEnd w:id="10"/>
    </w:p>
    <w:p w14:paraId="14C12D78" w14:textId="77777777" w:rsidR="00E93D6B" w:rsidRPr="009C5807" w:rsidRDefault="00E93D6B" w:rsidP="00E93D6B">
      <w:bookmarkStart w:id="11" w:name="_Toc5952516"/>
      <w:r w:rsidRPr="009C5807">
        <w:t>For the purposes of the present document, the terms and definitions given in TR 21.905 [11] and the following apply. A term defined in the present document takes precedence over the definition of the same term, if any, in TR 21.905 [11].</w:t>
      </w:r>
    </w:p>
    <w:p w14:paraId="2951FB6B" w14:textId="77777777" w:rsidR="00C94995" w:rsidRDefault="00C94995" w:rsidP="00C94995">
      <w:pPr>
        <w:rPr>
          <w:lang w:val="en-US" w:eastAsia="zh-CN"/>
        </w:rPr>
      </w:pPr>
      <w:bookmarkStart w:id="12" w:name="_Hlk104416246"/>
      <w:r w:rsidRPr="00FE5CC6">
        <w:rPr>
          <w:b/>
          <w:lang w:val="en-US" w:eastAsia="zh-CN"/>
        </w:rPr>
        <w:t>1 Rx RedCap</w:t>
      </w:r>
      <w:r>
        <w:rPr>
          <w:lang w:val="en-US" w:eastAsia="zh-CN"/>
        </w:rPr>
        <w:t>: RedCap UE for which requirements are derived assuming 1 Rx branch.</w:t>
      </w:r>
    </w:p>
    <w:p w14:paraId="4927013A" w14:textId="77777777" w:rsidR="00C94995" w:rsidRDefault="00C94995" w:rsidP="00C94995">
      <w:pPr>
        <w:rPr>
          <w:b/>
        </w:rPr>
      </w:pPr>
      <w:r w:rsidRPr="00FE5CC6">
        <w:rPr>
          <w:b/>
          <w:lang w:val="en-US" w:eastAsia="zh-CN"/>
        </w:rPr>
        <w:t>2 Rx Red</w:t>
      </w:r>
      <w:r>
        <w:rPr>
          <w:b/>
          <w:lang w:val="en-US" w:eastAsia="zh-CN"/>
        </w:rPr>
        <w:t>C</w:t>
      </w:r>
      <w:r w:rsidRPr="00FE5CC6">
        <w:rPr>
          <w:b/>
          <w:lang w:val="en-US" w:eastAsia="zh-CN"/>
        </w:rPr>
        <w:t>ap</w:t>
      </w:r>
      <w:r>
        <w:rPr>
          <w:lang w:val="en-US" w:eastAsia="zh-CN"/>
        </w:rPr>
        <w:t>: RedCap UE for which requirements are derived assuming 2 Rx branches.</w:t>
      </w:r>
    </w:p>
    <w:bookmarkEnd w:id="12"/>
    <w:p w14:paraId="51FA170E" w14:textId="77777777" w:rsidR="00E93D6B" w:rsidRPr="009C5807" w:rsidRDefault="00E93D6B" w:rsidP="00E93D6B">
      <w:r w:rsidRPr="009C5807">
        <w:rPr>
          <w:b/>
        </w:rPr>
        <w:t>Active DL BWP</w:t>
      </w:r>
      <w:r w:rsidRPr="009C5807">
        <w:t>: Active DL bandwidth part as defined in TS 38.213 [3].</w:t>
      </w:r>
    </w:p>
    <w:p w14:paraId="0253525A" w14:textId="77777777" w:rsidR="00E93D6B" w:rsidRPr="009C5807" w:rsidRDefault="00E93D6B" w:rsidP="00E93D6B">
      <w:r w:rsidRPr="009C5807">
        <w:rPr>
          <w:b/>
        </w:rPr>
        <w:t>Blackbox Approach:</w:t>
      </w:r>
      <w:r w:rsidRPr="009C5807">
        <w:t xml:space="preserve"> Testing methodology, in which the UE internal implementation of certain specific UE functionality involved in the test, is unknown.</w:t>
      </w:r>
    </w:p>
    <w:p w14:paraId="00E3C8FB" w14:textId="77777777" w:rsidR="00C94995" w:rsidRPr="009C5807" w:rsidRDefault="00C94995" w:rsidP="00C94995">
      <w:r w:rsidRPr="004B03F3">
        <w:rPr>
          <w:b/>
          <w:bCs/>
        </w:rPr>
        <w:t>CD-SSB:</w:t>
      </w:r>
      <w:r>
        <w:t xml:space="preserve"> Cell defining SSB as defined in TS 38.300 [10].</w:t>
      </w:r>
    </w:p>
    <w:p w14:paraId="518AE723" w14:textId="77777777" w:rsidR="00E93D6B" w:rsidRPr="009C5807" w:rsidRDefault="00E93D6B" w:rsidP="00E93D6B">
      <w:r w:rsidRPr="009C5807">
        <w:rPr>
          <w:b/>
        </w:rPr>
        <w:t>Control Resource Set:</w:t>
      </w:r>
      <w:r w:rsidRPr="009C5807">
        <w:t xml:space="preserve"> As defined in TS 38.213 [3].</w:t>
      </w:r>
    </w:p>
    <w:p w14:paraId="58D21C82" w14:textId="77777777" w:rsidR="00E93D6B" w:rsidRPr="009C5807" w:rsidRDefault="00E93D6B" w:rsidP="00E93D6B">
      <w:pPr>
        <w:rPr>
          <w:b/>
        </w:rPr>
      </w:pPr>
      <w:r w:rsidRPr="009C5807">
        <w:rPr>
          <w:b/>
        </w:rPr>
        <w:t>DL BWP</w:t>
      </w:r>
      <w:r w:rsidRPr="009C5807">
        <w:t>: DL bandwidth part as defined in TS 38.213 [3].</w:t>
      </w:r>
    </w:p>
    <w:p w14:paraId="0F9C7C33" w14:textId="77777777" w:rsidR="00E93D6B" w:rsidRPr="009C5807" w:rsidRDefault="00E93D6B" w:rsidP="00E93D6B">
      <w:r w:rsidRPr="009C5807">
        <w:rPr>
          <w:b/>
        </w:rPr>
        <w:lastRenderedPageBreak/>
        <w:t>EN-DC</w:t>
      </w:r>
      <w:r w:rsidRPr="009C5807">
        <w:t>: E-UTRA-NR Dual Connectivity as defined in clause 4.1.2 of TS 37.340 [17].</w:t>
      </w:r>
    </w:p>
    <w:p w14:paraId="01556342" w14:textId="77777777" w:rsidR="00E93D6B" w:rsidRPr="009C5807" w:rsidRDefault="00E93D6B" w:rsidP="00E93D6B">
      <w:r w:rsidRPr="009C5807">
        <w:rPr>
          <w:b/>
        </w:rPr>
        <w:t>en-gNB</w:t>
      </w:r>
      <w:r w:rsidRPr="009C5807">
        <w:t>: As defined in TS 37.340 [17].</w:t>
      </w:r>
    </w:p>
    <w:p w14:paraId="43CD8D54" w14:textId="77777777" w:rsidR="00E93D6B" w:rsidRPr="009C5807" w:rsidRDefault="00E93D6B" w:rsidP="00E93D6B">
      <w:pPr>
        <w:rPr>
          <w:b/>
        </w:rPr>
      </w:pPr>
      <w:r w:rsidRPr="009C5807">
        <w:rPr>
          <w:b/>
        </w:rPr>
        <w:t>FR1</w:t>
      </w:r>
      <w:r w:rsidRPr="009C5807">
        <w:t>: Frequency range 1 as defined in clause 5.1 of TS 38.104 [13].</w:t>
      </w:r>
    </w:p>
    <w:p w14:paraId="3FB3ABC1" w14:textId="77777777" w:rsidR="00E93D6B" w:rsidRPr="009C5807" w:rsidRDefault="00E93D6B" w:rsidP="00E93D6B">
      <w:pPr>
        <w:rPr>
          <w:b/>
        </w:rPr>
      </w:pPr>
      <w:r w:rsidRPr="009C5807">
        <w:rPr>
          <w:b/>
        </w:rPr>
        <w:t>FR2</w:t>
      </w:r>
      <w:r w:rsidRPr="009C5807">
        <w:t>: Frequency range 2 as defined in clause 5.1 of TS 38.104 [13].</w:t>
      </w:r>
    </w:p>
    <w:p w14:paraId="6AD0E10E" w14:textId="77777777" w:rsidR="00E93D6B" w:rsidRPr="009C5807" w:rsidRDefault="00E93D6B" w:rsidP="00E93D6B">
      <w:pPr>
        <w:rPr>
          <w:lang w:eastAsia="ko-KR"/>
        </w:rPr>
      </w:pPr>
      <w:r w:rsidRPr="009C5807">
        <w:rPr>
          <w:b/>
        </w:rPr>
        <w:t>gNB</w:t>
      </w:r>
      <w:r w:rsidRPr="009C5807">
        <w:t>: as defined in TS 38.300 [10].</w:t>
      </w:r>
    </w:p>
    <w:p w14:paraId="284FAAFD" w14:textId="77777777" w:rsidR="005A16BA" w:rsidRPr="00C04A08" w:rsidRDefault="005A16BA" w:rsidP="005A16BA">
      <w:pPr>
        <w:rPr>
          <w:lang w:eastAsia="zh-CN"/>
        </w:rPr>
      </w:pPr>
      <w:r w:rsidRPr="009E14E7">
        <w:rPr>
          <w:rFonts w:hint="eastAsia"/>
          <w:b/>
          <w:lang w:eastAsia="zh-CN"/>
        </w:rPr>
        <w:t>I</w:t>
      </w:r>
      <w:r w:rsidRPr="009E14E7">
        <w:rPr>
          <w:b/>
          <w:lang w:eastAsia="zh-CN"/>
        </w:rPr>
        <w:t>BM</w:t>
      </w:r>
      <w:r>
        <w:rPr>
          <w:b/>
          <w:lang w:eastAsia="zh-CN"/>
        </w:rPr>
        <w:t xml:space="preserve"> </w:t>
      </w:r>
      <w:r w:rsidRPr="009E14E7">
        <w:rPr>
          <w:b/>
          <w:lang w:eastAsia="zh-CN"/>
        </w:rPr>
        <w:t xml:space="preserve">(Independent Beam Management): </w:t>
      </w:r>
      <w:r w:rsidRPr="00DF3558">
        <w:t>As defined in TS 38.101-2 [19]</w:t>
      </w:r>
      <w:r w:rsidRPr="00695740">
        <w:rPr>
          <w:lang w:eastAsia="zh-CN"/>
        </w:rPr>
        <w:t>.</w:t>
      </w:r>
    </w:p>
    <w:p w14:paraId="70A75A7B" w14:textId="77777777" w:rsidR="00686804" w:rsidRPr="00A94F17" w:rsidRDefault="00686804" w:rsidP="00686804">
      <w:pPr>
        <w:rPr>
          <w:bCs/>
        </w:rPr>
      </w:pPr>
      <w:r>
        <w:rPr>
          <w:b/>
        </w:rPr>
        <w:t>LMF</w:t>
      </w:r>
      <w:r w:rsidRPr="00A94F17">
        <w:rPr>
          <w:bCs/>
        </w:rPr>
        <w:t>: as defined in TS 38.305 [22].</w:t>
      </w:r>
    </w:p>
    <w:p w14:paraId="6A56BD09" w14:textId="77777777" w:rsidR="00E93D6B" w:rsidRPr="009C5807" w:rsidRDefault="00E93D6B" w:rsidP="00E93D6B">
      <w:r w:rsidRPr="009C5807">
        <w:rPr>
          <w:b/>
        </w:rPr>
        <w:t>Master Cell Group:</w:t>
      </w:r>
      <w:r w:rsidRPr="009C5807">
        <w:t xml:space="preserve"> As defined in TS 38.331 [2].</w:t>
      </w:r>
    </w:p>
    <w:p w14:paraId="1C9EF24A" w14:textId="77777777" w:rsidR="00E93D6B" w:rsidRPr="009C5807" w:rsidRDefault="00E93D6B" w:rsidP="00E93D6B">
      <w:bookmarkStart w:id="13" w:name="_Hlk827074"/>
      <w:r w:rsidRPr="009C5807">
        <w:rPr>
          <w:b/>
        </w:rPr>
        <w:t>Multi-Radio Dual Connectivity</w:t>
      </w:r>
      <w:bookmarkEnd w:id="13"/>
      <w:r w:rsidRPr="009C5807">
        <w:rPr>
          <w:b/>
        </w:rPr>
        <w:t xml:space="preserve">: </w:t>
      </w:r>
      <w:r w:rsidRPr="009C5807">
        <w:t>Dual Connectivity between E-UTRA and NR nodes, or between two NR nodes, as defined in TS 37.340 [17].</w:t>
      </w:r>
    </w:p>
    <w:p w14:paraId="4299110B" w14:textId="77777777" w:rsidR="00170A3F" w:rsidRPr="009C5807" w:rsidRDefault="00170A3F" w:rsidP="00170A3F">
      <w:r w:rsidRPr="00F62275">
        <w:rPr>
          <w:b/>
          <w:bCs/>
        </w:rPr>
        <w:t>NCD-SSB:</w:t>
      </w:r>
      <w:r>
        <w:t xml:space="preserve"> Non cell defining SSB as defined in TS 38.300 [10].</w:t>
      </w:r>
    </w:p>
    <w:p w14:paraId="18C1C991" w14:textId="77777777" w:rsidR="00E93D6B" w:rsidRPr="009C5807" w:rsidRDefault="00E93D6B" w:rsidP="00E93D6B">
      <w:pPr>
        <w:rPr>
          <w:bCs/>
        </w:rPr>
      </w:pPr>
      <w:r w:rsidRPr="009C5807">
        <w:rPr>
          <w:b/>
          <w:bCs/>
        </w:rPr>
        <w:t>ng-eNB</w:t>
      </w:r>
      <w:r w:rsidRPr="009C5807">
        <w:rPr>
          <w:bCs/>
        </w:rPr>
        <w:t>: As defined in TS 38.300 [10].</w:t>
      </w:r>
    </w:p>
    <w:p w14:paraId="5D5E7A7E" w14:textId="77777777" w:rsidR="00E93D6B" w:rsidRPr="009C5807" w:rsidRDefault="00E93D6B" w:rsidP="00E93D6B">
      <w:r w:rsidRPr="009C5807">
        <w:rPr>
          <w:b/>
          <w:lang w:val="en-US"/>
        </w:rPr>
        <w:t>NE-DC</w:t>
      </w:r>
      <w:r w:rsidRPr="009C5807">
        <w:rPr>
          <w:lang w:val="en-US"/>
        </w:rPr>
        <w:t xml:space="preserve">: </w:t>
      </w:r>
      <w:r w:rsidRPr="009C5807">
        <w:t>NR-E-UTRA Dual Connectivity as defined in clause 4.1.3.2 of TS 37.340 [17].</w:t>
      </w:r>
    </w:p>
    <w:p w14:paraId="0C8E242B" w14:textId="77777777" w:rsidR="00E93D6B" w:rsidRPr="009C5807" w:rsidRDefault="00E93D6B" w:rsidP="00E93D6B">
      <w:r w:rsidRPr="009C5807">
        <w:rPr>
          <w:b/>
        </w:rPr>
        <w:t>NGEN-DC</w:t>
      </w:r>
      <w:r w:rsidRPr="009C5807">
        <w:t>: NG-RAN E-UTRA-NR Dual Connectivity as defined in clause 4.1.3.1 of TS 37.340 [17].</w:t>
      </w:r>
    </w:p>
    <w:p w14:paraId="440E4AC8" w14:textId="77777777" w:rsidR="00E93D6B" w:rsidRPr="009C5807" w:rsidRDefault="00E93D6B" w:rsidP="00E93D6B">
      <w:pPr>
        <w:rPr>
          <w:b/>
          <w:lang w:val="en-US"/>
        </w:rPr>
      </w:pPr>
      <w:r w:rsidRPr="009C5807">
        <w:rPr>
          <w:b/>
          <w:lang w:val="en-US"/>
        </w:rPr>
        <w:t>NR-DC</w:t>
      </w:r>
      <w:r w:rsidRPr="009C5807">
        <w:rPr>
          <w:lang w:val="en-US"/>
        </w:rPr>
        <w:t xml:space="preserve">: </w:t>
      </w:r>
      <w:r w:rsidRPr="009C5807">
        <w:t>NR-NR Dual Connectivity as defined in clause 4.1.3.3 of TS 37.340 [17].</w:t>
      </w:r>
    </w:p>
    <w:p w14:paraId="7357A73B" w14:textId="77777777" w:rsidR="00E93D6B" w:rsidRPr="009C5807" w:rsidRDefault="00E93D6B" w:rsidP="00E93D6B">
      <w:r w:rsidRPr="009C5807">
        <w:rPr>
          <w:b/>
        </w:rPr>
        <w:t>Primary Cell</w:t>
      </w:r>
      <w:r w:rsidRPr="009C5807">
        <w:t>: As defined in TS 38.331 [2].</w:t>
      </w:r>
    </w:p>
    <w:p w14:paraId="03998C5C" w14:textId="77777777" w:rsidR="0066415E" w:rsidRPr="002B4D79" w:rsidRDefault="0066415E" w:rsidP="0066415E">
      <w:pPr>
        <w:rPr>
          <w:b/>
          <w:bCs/>
        </w:rPr>
      </w:pPr>
      <w:r w:rsidRPr="002B4D79">
        <w:rPr>
          <w:b/>
          <w:bCs/>
        </w:rPr>
        <w:t xml:space="preserve">PRS resource instance: </w:t>
      </w:r>
      <w:r w:rsidRPr="002B4D79">
        <w:t>An instance in time of a configured PRS resource as defined in TS 38.331 [2], which may or not overlap with a measurement gap occasion.</w:t>
      </w:r>
    </w:p>
    <w:p w14:paraId="04B774B4" w14:textId="77777777" w:rsidR="00E93D6B" w:rsidRPr="009C5807" w:rsidRDefault="00E93D6B" w:rsidP="00E93D6B">
      <w:r w:rsidRPr="009C5807">
        <w:rPr>
          <w:b/>
        </w:rPr>
        <w:t>Quasi Co-Location:</w:t>
      </w:r>
      <w:r w:rsidRPr="009C5807">
        <w:t xml:space="preserve"> As defined in TS 38.214 [26].</w:t>
      </w:r>
    </w:p>
    <w:p w14:paraId="26CCD31A" w14:textId="77777777" w:rsidR="00170A3F" w:rsidRDefault="00170A3F" w:rsidP="00170A3F">
      <w:pPr>
        <w:rPr>
          <w:b/>
        </w:rPr>
      </w:pPr>
      <w:r w:rsidRPr="00595E0B">
        <w:rPr>
          <w:b/>
        </w:rPr>
        <w:t>RedCap UE:</w:t>
      </w:r>
      <w:r w:rsidRPr="00721D00">
        <w:rPr>
          <w:bCs/>
        </w:rPr>
        <w:t xml:space="preserve"> A UE with reduced capabilities as defined in clause 4.2 in TS 38.306 [14].</w:t>
      </w:r>
    </w:p>
    <w:p w14:paraId="0D04D105" w14:textId="77777777" w:rsidR="00E93D6B" w:rsidRPr="009C5807" w:rsidRDefault="00E93D6B" w:rsidP="00E93D6B">
      <w:r w:rsidRPr="009C5807">
        <w:rPr>
          <w:b/>
        </w:rPr>
        <w:t>RLM-RS resource:</w:t>
      </w:r>
      <w:r w:rsidRPr="009C5807">
        <w:t xml:space="preserve"> A resource out of the set of resources configured for RLM by higher layer parameter RLM-RS-List [2] as defined in TS 38.213 [3].</w:t>
      </w:r>
    </w:p>
    <w:p w14:paraId="0CD36611" w14:textId="77777777" w:rsidR="00E93D6B" w:rsidRPr="009C5807" w:rsidRDefault="00E93D6B" w:rsidP="00E93D6B">
      <w:pPr>
        <w:rPr>
          <w:b/>
        </w:rPr>
      </w:pPr>
      <w:r w:rsidRPr="009C5807">
        <w:rPr>
          <w:b/>
        </w:rPr>
        <w:t>SA operation mode</w:t>
      </w:r>
      <w:r w:rsidRPr="009C5807">
        <w:t>: Operation mode when the UE is configured with at least PCell and not any MR-DC.</w:t>
      </w:r>
    </w:p>
    <w:p w14:paraId="24FF44F6" w14:textId="77777777" w:rsidR="00E93D6B" w:rsidRPr="009C5807" w:rsidRDefault="00E93D6B" w:rsidP="00E93D6B">
      <w:r w:rsidRPr="009C5807">
        <w:rPr>
          <w:b/>
        </w:rPr>
        <w:t>Secondary Cell</w:t>
      </w:r>
      <w:r w:rsidRPr="009C5807">
        <w:t>: As defined in TS 38.331 [2].</w:t>
      </w:r>
    </w:p>
    <w:p w14:paraId="70056057" w14:textId="77777777" w:rsidR="00E93D6B" w:rsidRPr="009C5807" w:rsidRDefault="00E93D6B" w:rsidP="00E93D6B">
      <w:r w:rsidRPr="009C5807">
        <w:rPr>
          <w:b/>
        </w:rPr>
        <w:t>Secondary Cell Group:</w:t>
      </w:r>
      <w:r w:rsidRPr="009C5807">
        <w:t xml:space="preserve"> As defined in TS 38.331 [2].</w:t>
      </w:r>
    </w:p>
    <w:p w14:paraId="194DD4AE" w14:textId="77777777" w:rsidR="00E93D6B" w:rsidRPr="009C5807" w:rsidRDefault="00E93D6B" w:rsidP="00E93D6B">
      <w:r w:rsidRPr="009C5807">
        <w:rPr>
          <w:b/>
        </w:rPr>
        <w:t>Serving Cell</w:t>
      </w:r>
      <w:r w:rsidRPr="009C5807">
        <w:t>: As defined in TS 38.331 [2].</w:t>
      </w:r>
    </w:p>
    <w:p w14:paraId="59E4E06A" w14:textId="77777777" w:rsidR="00E93D6B" w:rsidRPr="009C5807" w:rsidRDefault="00E93D6B" w:rsidP="00E93D6B">
      <w:r w:rsidRPr="009C5807">
        <w:rPr>
          <w:b/>
        </w:rPr>
        <w:t>SMTC</w:t>
      </w:r>
      <w:r w:rsidRPr="009C5807">
        <w:t xml:space="preserve">: An SSB-based measurement timing configuration configured by </w:t>
      </w:r>
      <w:r w:rsidRPr="009C5807">
        <w:rPr>
          <w:i/>
        </w:rPr>
        <w:t>SSB-MeasurementTimingConfiguration</w:t>
      </w:r>
      <w:r w:rsidRPr="009C5807">
        <w:t xml:space="preserve"> as specified in TS 38.331 [2].</w:t>
      </w:r>
    </w:p>
    <w:p w14:paraId="3C822E1B" w14:textId="77777777" w:rsidR="00E93D6B" w:rsidRPr="009C5807" w:rsidRDefault="00E93D6B" w:rsidP="00E93D6B">
      <w:pPr>
        <w:rPr>
          <w:b/>
        </w:rPr>
      </w:pPr>
      <w:r w:rsidRPr="009C5807">
        <w:rPr>
          <w:b/>
        </w:rPr>
        <w:t xml:space="preserve">Special Cell: </w:t>
      </w:r>
      <w:r w:rsidRPr="009C5807">
        <w:t>As defined in TS 38.331 [2].</w:t>
      </w:r>
    </w:p>
    <w:p w14:paraId="692F955A" w14:textId="77777777" w:rsidR="00E93D6B" w:rsidRPr="009C5807" w:rsidRDefault="00E93D6B" w:rsidP="00E93D6B">
      <w:pPr>
        <w:rPr>
          <w:b/>
        </w:rPr>
      </w:pPr>
      <w:r w:rsidRPr="009C5807">
        <w:rPr>
          <w:b/>
        </w:rPr>
        <w:t xml:space="preserve">SSB: </w:t>
      </w:r>
      <w:r w:rsidRPr="009C5807">
        <w:t>SS/PBCH block as defined in clause 7.8.3 of TS 38.211 [6].</w:t>
      </w:r>
    </w:p>
    <w:p w14:paraId="61818BD7" w14:textId="77777777" w:rsidR="00E93D6B" w:rsidRPr="009C5807" w:rsidRDefault="00E93D6B" w:rsidP="00E93D6B">
      <w:r w:rsidRPr="009C5807">
        <w:rPr>
          <w:b/>
        </w:rPr>
        <w:t>Timing Advance Group</w:t>
      </w:r>
      <w:r w:rsidRPr="009C5807">
        <w:t>: As defined in TS 38.331 [2].</w:t>
      </w:r>
    </w:p>
    <w:p w14:paraId="41DE9165" w14:textId="77777777" w:rsidR="00E93D6B" w:rsidRPr="009C5807" w:rsidRDefault="00E93D6B" w:rsidP="00E93D6B">
      <w:pPr>
        <w:pStyle w:val="Heading2"/>
      </w:pPr>
      <w:r w:rsidRPr="009C5807">
        <w:t>3.2</w:t>
      </w:r>
      <w:r w:rsidRPr="009C5807">
        <w:tab/>
        <w:t>Symbols</w:t>
      </w:r>
      <w:bookmarkEnd w:id="11"/>
    </w:p>
    <w:p w14:paraId="127CA4D0" w14:textId="77777777" w:rsidR="00E93D6B" w:rsidRPr="009C5807" w:rsidRDefault="00E93D6B" w:rsidP="00E93D6B">
      <w:pPr>
        <w:keepNext/>
      </w:pPr>
      <w:r w:rsidRPr="009C5807">
        <w:t>For the purposes of the present document, the following symbols apply:</w:t>
      </w:r>
    </w:p>
    <w:p w14:paraId="7E655E4B" w14:textId="77777777" w:rsidR="002441F5" w:rsidRDefault="002441F5" w:rsidP="002441F5">
      <w:pPr>
        <w:pStyle w:val="EW"/>
      </w:pPr>
      <w:bookmarkStart w:id="14" w:name="_Toc5952517"/>
      <w:r>
        <w:t>BW</w:t>
      </w:r>
      <w:r>
        <w:rPr>
          <w:vertAlign w:val="subscript"/>
        </w:rPr>
        <w:t>Channel</w:t>
      </w:r>
      <w:r>
        <w:tab/>
        <w:t>Channel bandwidth, defined in TS 38.101-1, 38.101-2 and 38.101-3 subclause 3.2</w:t>
      </w:r>
    </w:p>
    <w:p w14:paraId="4DF836BF" w14:textId="77777777" w:rsidR="00D00C4B" w:rsidRDefault="00D00C4B" w:rsidP="00D00C4B">
      <w:pPr>
        <w:pStyle w:val="EW"/>
        <w:rPr>
          <w:lang w:val="en-US" w:eastAsia="zh-CN"/>
        </w:rPr>
      </w:pPr>
      <w:r>
        <w:t>Ês</w:t>
      </w:r>
      <w:r>
        <w:tab/>
        <w:t>Received energy per RE (power normalized to the subcarrier spacing) during the useful part of the symbol, i.e. excluding the cyclic prefix, at the UE antenna connector</w:t>
      </w:r>
      <w:r>
        <w:rPr>
          <w:rFonts w:hint="eastAsia"/>
          <w:lang w:val="en-US" w:eastAsia="zh-CN"/>
        </w:rPr>
        <w:t xml:space="preserve"> or radiated interface boundary</w:t>
      </w:r>
    </w:p>
    <w:p w14:paraId="465926A9" w14:textId="77777777" w:rsidR="00D00C4B" w:rsidRDefault="00D00C4B" w:rsidP="00D00C4B">
      <w:pPr>
        <w:pStyle w:val="EW"/>
        <w:rPr>
          <w:lang w:eastAsia="ja-JP"/>
        </w:rPr>
      </w:pPr>
      <w:r>
        <w:t>F</w:t>
      </w:r>
      <w:r>
        <w:rPr>
          <w:vertAlign w:val="subscript"/>
        </w:rPr>
        <w:t>C</w:t>
      </w:r>
      <w:r>
        <w:rPr>
          <w:vertAlign w:val="subscript"/>
        </w:rPr>
        <w:tab/>
      </w:r>
      <w:r>
        <w:rPr>
          <w:i/>
          <w:lang w:val="en-US"/>
        </w:rPr>
        <w:t>RF reference frequency</w:t>
      </w:r>
      <w:r>
        <w:rPr>
          <w:lang w:val="en-US"/>
        </w:rPr>
        <w:t xml:space="preserve"> on the channel raster</w:t>
      </w:r>
      <w:r>
        <w:rPr>
          <w:rFonts w:hint="eastAsia"/>
          <w:lang w:val="en-US" w:eastAsia="zh-CN"/>
        </w:rPr>
        <w:t>,</w:t>
      </w:r>
      <w:r>
        <w:rPr>
          <w:lang w:val="en-US"/>
        </w:rPr>
        <w:t xml:space="preserve"> given in table 5.4.2.2-1</w:t>
      </w:r>
      <w:r>
        <w:rPr>
          <w:rFonts w:hint="eastAsia"/>
          <w:lang w:eastAsia="ja-JP"/>
        </w:rPr>
        <w:t xml:space="preserve"> </w:t>
      </w:r>
      <w:r>
        <w:rPr>
          <w:lang w:eastAsia="ja-JP"/>
        </w:rPr>
        <w:t>in TS 38.101-1 and 38.101-2</w:t>
      </w:r>
    </w:p>
    <w:p w14:paraId="652D0319" w14:textId="77777777" w:rsidR="00D00C4B" w:rsidRDefault="00D00C4B" w:rsidP="00D00C4B">
      <w:pPr>
        <w:pStyle w:val="EW"/>
      </w:pPr>
      <w:r>
        <w:lastRenderedPageBreak/>
        <w:t>F</w:t>
      </w:r>
      <w:r>
        <w:rPr>
          <w:vertAlign w:val="subscript"/>
        </w:rPr>
        <w:t>C,low</w:t>
      </w:r>
      <w:r>
        <w:tab/>
        <w:t xml:space="preserve">The </w:t>
      </w:r>
      <w:r>
        <w:rPr>
          <w:rFonts w:hint="eastAsia"/>
          <w:lang w:val="en-US" w:eastAsia="zh-CN"/>
        </w:rPr>
        <w:t xml:space="preserve">Fc </w:t>
      </w:r>
      <w:r>
        <w:t>of the lowest carrier, expressed in MHz</w:t>
      </w:r>
    </w:p>
    <w:p w14:paraId="0ADCD0E5" w14:textId="77777777" w:rsidR="00D00C4B" w:rsidRDefault="00D00C4B" w:rsidP="00D00C4B">
      <w:pPr>
        <w:pStyle w:val="EW"/>
      </w:pPr>
      <w:r>
        <w:t>Io</w:t>
      </w:r>
      <w:r>
        <w:tab/>
        <w:t>The total received power density, including signal and interference, as measured at the UE antenna connector</w:t>
      </w:r>
      <w:r>
        <w:rPr>
          <w:rFonts w:hint="eastAsia"/>
          <w:lang w:val="en-US" w:eastAsia="zh-CN"/>
        </w:rPr>
        <w:t xml:space="preserve"> or radiated interface boundary</w:t>
      </w:r>
      <w:r>
        <w:t>.</w:t>
      </w:r>
    </w:p>
    <w:p w14:paraId="54468980" w14:textId="77777777" w:rsidR="00D00C4B" w:rsidRDefault="00D00C4B" w:rsidP="00D00C4B">
      <w:pPr>
        <w:pStyle w:val="EW"/>
      </w:pPr>
      <w:r>
        <w:t>Ioc</w:t>
      </w:r>
      <w:r>
        <w:tab/>
        <w:t>The power spectral density (integrated in a noise bandwidth equal to the chip rate and normalized to the chip rate) of a band limited noise source (simulating interference from cells, which are not defined in a test procedure) as measured at the UE antenna connector</w:t>
      </w:r>
      <w:r>
        <w:rPr>
          <w:rFonts w:hint="eastAsia"/>
          <w:lang w:val="en-US" w:eastAsia="zh-CN"/>
        </w:rPr>
        <w:t xml:space="preserve"> or radiated interface boundary</w:t>
      </w:r>
      <w:r>
        <w:t>.</w:t>
      </w:r>
    </w:p>
    <w:p w14:paraId="4ADDF5C0" w14:textId="62F33301" w:rsidR="007D0E33" w:rsidRDefault="007D0E33" w:rsidP="007D0E33">
      <w:pPr>
        <w:pStyle w:val="EW"/>
      </w:pPr>
      <w:r>
        <w:t>Iot</w:t>
      </w:r>
      <w:r>
        <w:tab/>
      </w:r>
      <w:r w:rsidR="00D00C4B">
        <w:t>The received power spectral density of the total noise and interference for a certain RE (power integrated over the RE and normalized to the subcarrier spacing) as measured at the UE antenna connector</w:t>
      </w:r>
      <w:r w:rsidR="00D00C4B">
        <w:rPr>
          <w:rFonts w:hint="eastAsia"/>
          <w:lang w:val="en-US" w:eastAsia="zh-CN"/>
        </w:rPr>
        <w:t xml:space="preserve"> or radiated interface boundary</w:t>
      </w:r>
    </w:p>
    <w:p w14:paraId="02C26E08" w14:textId="30B8C85F" w:rsidR="002441F5" w:rsidRDefault="002441F5" w:rsidP="002441F5">
      <w:pPr>
        <w:pStyle w:val="EW"/>
      </w:pPr>
      <w:r>
        <w:rPr>
          <w:noProof/>
          <w:position w:val="-12"/>
        </w:rPr>
        <w:drawing>
          <wp:inline distT="0" distB="0" distL="0" distR="0" wp14:anchorId="529BF13D" wp14:editId="43828C93">
            <wp:extent cx="276225" cy="180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tab/>
      </w:r>
      <w:r w:rsidR="00D00C4B">
        <w:t>The power spectral density of a white noise source (average power per RE normalised to the subcarrier spacing), simulating interference from cells that are not defined in a test procedure, as measured at the UE antenna connector</w:t>
      </w:r>
      <w:r w:rsidR="00D00C4B">
        <w:rPr>
          <w:rFonts w:hint="eastAsia"/>
          <w:lang w:val="en-US" w:eastAsia="zh-CN"/>
        </w:rPr>
        <w:t xml:space="preserve"> or radiated interface boundary</w:t>
      </w:r>
    </w:p>
    <w:p w14:paraId="7803E91E" w14:textId="77777777" w:rsidR="002441F5" w:rsidRDefault="002441F5" w:rsidP="002441F5">
      <w:pPr>
        <w:pStyle w:val="EW"/>
      </w:pPr>
      <w:r>
        <w:rPr>
          <w:noProof/>
          <w:position w:val="-10"/>
        </w:rPr>
        <w:drawing>
          <wp:inline distT="0" distB="0" distL="0" distR="0" wp14:anchorId="0257ADF6" wp14:editId="78B95F93">
            <wp:extent cx="361950" cy="276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tab/>
        <w:t>Physical Resource Block number as defined in clause 3.2 in TS 38.211.</w:t>
      </w:r>
    </w:p>
    <w:p w14:paraId="4913174A" w14:textId="77777777" w:rsidR="002441F5" w:rsidRDefault="002441F5" w:rsidP="002441F5">
      <w:pPr>
        <w:pStyle w:val="EW"/>
      </w:pPr>
      <w:r>
        <w:rPr>
          <w:noProof/>
          <w:position w:val="-10"/>
        </w:rPr>
        <w:drawing>
          <wp:inline distT="0" distB="0" distL="0" distR="0" wp14:anchorId="7A9486DB" wp14:editId="2F068B73">
            <wp:extent cx="276225" cy="180975"/>
            <wp:effectExtent l="0" t="0" r="9525" b="9525"/>
            <wp:docPr id="2975" name="Picture 2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tab/>
        <w:t>Timing offset between uplink and downlink radio frames at the UE, as defined in clause 4.2 in TS 38.213.</w:t>
      </w:r>
    </w:p>
    <w:p w14:paraId="51708FAC" w14:textId="6F535EDA" w:rsidR="00444112" w:rsidRDefault="00444112" w:rsidP="002441F5">
      <w:pPr>
        <w:pStyle w:val="EW"/>
      </w:pPr>
      <w:r>
        <w:rPr>
          <w:noProof/>
          <w:position w:val="-10"/>
          <w:lang w:val="en-US" w:eastAsia="zh-CN"/>
        </w:rPr>
        <w:drawing>
          <wp:inline distT="0" distB="0" distL="0" distR="0" wp14:anchorId="57DED35E" wp14:editId="1A5FB4BD">
            <wp:extent cx="556260" cy="182880"/>
            <wp:effectExtent l="0" t="0" r="0" b="7620"/>
            <wp:docPr id="2757" name="Picture 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260" cy="182880"/>
                    </a:xfrm>
                    <a:prstGeom prst="rect">
                      <a:avLst/>
                    </a:prstGeom>
                    <a:noFill/>
                    <a:ln>
                      <a:noFill/>
                    </a:ln>
                  </pic:spPr>
                </pic:pic>
              </a:graphicData>
            </a:graphic>
          </wp:inline>
        </w:drawing>
      </w:r>
      <w:r>
        <w:tab/>
        <w:t>Fixed timing advance offset, as defined in clause 7.1.2 in TS 38.133.</w:t>
      </w:r>
    </w:p>
    <w:p w14:paraId="2355B427" w14:textId="77777777" w:rsidR="002441F5" w:rsidRDefault="002441F5" w:rsidP="002441F5">
      <w:pPr>
        <w:pStyle w:val="EW"/>
      </w:pPr>
      <w:r>
        <w:rPr>
          <w:noProof/>
          <w:position w:val="-12"/>
        </w:rPr>
        <w:drawing>
          <wp:inline distT="0" distB="0" distL="0" distR="0" wp14:anchorId="379E5BEF" wp14:editId="51399FAA">
            <wp:extent cx="552450" cy="276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 cy="276225"/>
                    </a:xfrm>
                    <a:prstGeom prst="rect">
                      <a:avLst/>
                    </a:prstGeom>
                    <a:noFill/>
                    <a:ln>
                      <a:noFill/>
                    </a:ln>
                  </pic:spPr>
                </pic:pic>
              </a:graphicData>
            </a:graphic>
          </wp:inline>
        </w:drawing>
      </w:r>
      <w:r>
        <w:tab/>
        <w:t>  Configured UE transmitted power as defined in clause 6.2.4 in TS 38.101-1, 38-101-2 and 38.101-3.</w:t>
      </w:r>
    </w:p>
    <w:p w14:paraId="29ED13E9" w14:textId="77777777" w:rsidR="002441F5" w:rsidRDefault="002441F5" w:rsidP="002441F5">
      <w:pPr>
        <w:pStyle w:val="EW"/>
      </w:pPr>
      <w:r>
        <w:t>P</w:t>
      </w:r>
      <w:r w:rsidRPr="00027680">
        <w:rPr>
          <w:vertAlign w:val="subscript"/>
        </w:rPr>
        <w:t>CMAX,c</w:t>
      </w:r>
      <w:r>
        <w:tab/>
        <w:t xml:space="preserve">Configured UE transmitted power on a serving cell </w:t>
      </w:r>
      <w:r>
        <w:rPr>
          <w:i/>
          <w:iCs/>
        </w:rPr>
        <w:t>c</w:t>
      </w:r>
      <w:r>
        <w:t xml:space="preserve"> as defined in clause 6.2.4 in TS 38.101-1, 38-101-2 and 38.101-3</w:t>
      </w:r>
    </w:p>
    <w:p w14:paraId="0721A006" w14:textId="77777777" w:rsidR="002441F5" w:rsidRDefault="002441F5" w:rsidP="002441F5">
      <w:pPr>
        <w:pStyle w:val="EW"/>
      </w:pPr>
      <w:r>
        <w:t>S</w:t>
      </w:r>
      <w:r>
        <w:tab/>
        <w:t>Cell Selection Criterion defined in TS 38.304, subclause 5.2.3.2 for NR</w:t>
      </w:r>
    </w:p>
    <w:p w14:paraId="3068BF99" w14:textId="77777777" w:rsidR="00D00C4B" w:rsidRDefault="00D00C4B" w:rsidP="00D00C4B">
      <w:pPr>
        <w:pStyle w:val="EW"/>
      </w:pPr>
      <w:r>
        <w:t>SSB_RP</w:t>
      </w:r>
      <w:r>
        <w:tab/>
        <w:t>Received (linear) average power of the resource elements that carry NR synchronisation burst, measured at the UE antenna connector</w:t>
      </w:r>
      <w:r>
        <w:rPr>
          <w:rFonts w:hint="eastAsia"/>
          <w:lang w:val="en-US" w:eastAsia="zh-CN"/>
        </w:rPr>
        <w:t xml:space="preserve"> or radiated interface boundary</w:t>
      </w:r>
    </w:p>
    <w:p w14:paraId="404D73F6" w14:textId="77777777" w:rsidR="002441F5" w:rsidRDefault="002441F5" w:rsidP="002441F5">
      <w:pPr>
        <w:pStyle w:val="EW"/>
      </w:pPr>
      <w:r>
        <w:t>Srxlev</w:t>
      </w:r>
      <w:r>
        <w:tab/>
        <w:t>Cell selection RX level, defined in TS 38.304, subclause 5.2.3.2</w:t>
      </w:r>
    </w:p>
    <w:p w14:paraId="766685FF" w14:textId="77777777" w:rsidR="002441F5" w:rsidRDefault="002441F5" w:rsidP="002441F5">
      <w:pPr>
        <w:pStyle w:val="EW"/>
      </w:pPr>
      <w:r>
        <w:t>Squal</w:t>
      </w:r>
      <w:r>
        <w:tab/>
        <w:t>Cell selection quality, defined in TS 38.304, subclause 5.2.3.2</w:t>
      </w:r>
    </w:p>
    <w:p w14:paraId="562F7B7A" w14:textId="77777777" w:rsidR="002441F5" w:rsidRDefault="002441F5" w:rsidP="002441F5">
      <w:pPr>
        <w:pStyle w:val="EW"/>
      </w:pPr>
      <w:r>
        <w:t>Sintrasearch</w:t>
      </w:r>
      <w:r>
        <w:tab/>
        <w:t>Defined in TS 38.304 , subclause 5.2.4.7 for E-UTRAN amd 38.304 subclause 5.2.4.7 for NR</w:t>
      </w:r>
    </w:p>
    <w:p w14:paraId="76A0CA43" w14:textId="77777777" w:rsidR="002441F5" w:rsidRDefault="002441F5" w:rsidP="002441F5">
      <w:pPr>
        <w:pStyle w:val="EW"/>
      </w:pPr>
      <w:r>
        <w:t>Snonintrasearch</w:t>
      </w:r>
      <w:r>
        <w:tab/>
        <w:t>Defined in TS 38.304 , subclause 5.2.4.7</w:t>
      </w:r>
    </w:p>
    <w:p w14:paraId="117C6F78" w14:textId="77777777" w:rsidR="002441F5" w:rsidRDefault="002441F5" w:rsidP="002441F5">
      <w:pPr>
        <w:pStyle w:val="EW"/>
        <w:rPr>
          <w:vertAlign w:val="subscript"/>
        </w:rPr>
      </w:pPr>
      <w:r>
        <w:t>Thresh</w:t>
      </w:r>
      <w:r>
        <w:rPr>
          <w:vertAlign w:val="subscript"/>
        </w:rPr>
        <w:t>x, high</w:t>
      </w:r>
      <w:r>
        <w:tab/>
        <w:t>Defined in TS 38.304 , subclause 5.2.4.7</w:t>
      </w:r>
    </w:p>
    <w:p w14:paraId="6DCCFD46" w14:textId="1E1C32B2" w:rsidR="002441F5" w:rsidRDefault="002441F5" w:rsidP="002441F5">
      <w:pPr>
        <w:pStyle w:val="EW"/>
        <w:rPr>
          <w:b/>
          <w:bCs/>
          <w:vertAlign w:val="subscript"/>
        </w:rPr>
      </w:pPr>
      <w:r>
        <w:t>Thresh</w:t>
      </w:r>
      <w:r>
        <w:rPr>
          <w:vertAlign w:val="subscript"/>
        </w:rPr>
        <w:t>x, low</w:t>
      </w:r>
      <w:r w:rsidR="00A21E2B">
        <w:rPr>
          <w:vertAlign w:val="subscript"/>
        </w:rPr>
        <w:tab/>
      </w:r>
      <w:r>
        <w:t>Defined in TS 38.304 , subclause 5.2.4.7</w:t>
      </w:r>
    </w:p>
    <w:p w14:paraId="6C1D467C" w14:textId="77777777" w:rsidR="002441F5" w:rsidRDefault="002441F5" w:rsidP="002441F5">
      <w:pPr>
        <w:pStyle w:val="EW"/>
      </w:pPr>
      <w:r>
        <w:t>Thresh</w:t>
      </w:r>
      <w:r>
        <w:rPr>
          <w:vertAlign w:val="subscript"/>
        </w:rPr>
        <w:t>serving, low</w:t>
      </w:r>
      <w:r>
        <w:tab/>
        <w:t>Defined in TS 38.304 , subclause 5.2.4.7</w:t>
      </w:r>
    </w:p>
    <w:p w14:paraId="3A25FE28" w14:textId="77777777" w:rsidR="002441F5" w:rsidRDefault="002441F5" w:rsidP="002441F5">
      <w:pPr>
        <w:pStyle w:val="EW"/>
      </w:pPr>
      <w:r>
        <w:t>T</w:t>
      </w:r>
      <w:r>
        <w:rPr>
          <w:vertAlign w:val="subscript"/>
        </w:rPr>
        <w:t>RE-ESTABLISH-REQ</w:t>
      </w:r>
      <w:r>
        <w:tab/>
        <w:t>The RRC Re-establishment delay requirement, the time between the moment when erroneous CRCs are applied, to when the UE starts to send preambles on the PRACH.</w:t>
      </w:r>
    </w:p>
    <w:p w14:paraId="7022196D" w14:textId="77777777" w:rsidR="002441F5" w:rsidRPr="009C5807" w:rsidRDefault="002441F5" w:rsidP="002441F5">
      <w:pPr>
        <w:pStyle w:val="EW"/>
      </w:pPr>
      <w:r w:rsidRPr="009C5807">
        <w:t>T</w:t>
      </w:r>
      <w:r w:rsidRPr="009C5807">
        <w:rPr>
          <w:vertAlign w:val="subscript"/>
        </w:rPr>
        <w:t>c</w:t>
      </w:r>
      <w:r w:rsidRPr="009C5807">
        <w:rPr>
          <w:vertAlign w:val="subscript"/>
        </w:rPr>
        <w:tab/>
      </w:r>
      <w:r w:rsidRPr="009C5807">
        <w:t>Basic time unit, defined in clause 4.1 of TS 38.211 [6].</w:t>
      </w:r>
    </w:p>
    <w:p w14:paraId="673667F3" w14:textId="77777777" w:rsidR="002441F5" w:rsidRPr="009C5807" w:rsidRDefault="002441F5" w:rsidP="002441F5">
      <w:pPr>
        <w:pStyle w:val="EW"/>
      </w:pPr>
      <w:r w:rsidRPr="009C5807">
        <w:t>T</w:t>
      </w:r>
      <w:r w:rsidRPr="009C5807">
        <w:rPr>
          <w:vertAlign w:val="subscript"/>
        </w:rPr>
        <w:t>s</w:t>
      </w:r>
      <w:r w:rsidRPr="009C5807">
        <w:rPr>
          <w:vertAlign w:val="subscript"/>
        </w:rPr>
        <w:tab/>
      </w:r>
      <w:r w:rsidRPr="009C5807">
        <w:t>Reference time unit, defined in clause 4.1 of TS 38.211 [6].</w:t>
      </w:r>
    </w:p>
    <w:p w14:paraId="2D3ED123" w14:textId="77777777" w:rsidR="002441F5" w:rsidRDefault="002441F5" w:rsidP="002441F5">
      <w:pPr>
        <w:pStyle w:val="EW"/>
      </w:pPr>
      <w:r>
        <w:t>T</w:t>
      </w:r>
      <w:r w:rsidRPr="00293D11">
        <w:rPr>
          <w:vertAlign w:val="subscript"/>
        </w:rPr>
        <w:t>reselection</w:t>
      </w:r>
      <w:r>
        <w:tab/>
        <w:t>Defined in TS 25.304, subclause 5.2.6.1.5</w:t>
      </w:r>
    </w:p>
    <w:p w14:paraId="5DE9E8DB" w14:textId="77777777" w:rsidR="002441F5" w:rsidRDefault="002441F5" w:rsidP="002441F5">
      <w:pPr>
        <w:pStyle w:val="EW"/>
      </w:pPr>
      <w:r>
        <w:t>T</w:t>
      </w:r>
      <w:r w:rsidRPr="00293D11">
        <w:rPr>
          <w:vertAlign w:val="subscript"/>
        </w:rPr>
        <w:t>reselectionRAT</w:t>
      </w:r>
      <w:r>
        <w:tab/>
        <w:t>Defined in TS 36.304 , subclause 5.2.4.7</w:t>
      </w:r>
    </w:p>
    <w:p w14:paraId="7196FBC9" w14:textId="77777777" w:rsidR="002441F5" w:rsidRDefault="002441F5" w:rsidP="002441F5">
      <w:pPr>
        <w:pStyle w:val="EW"/>
        <w:rPr>
          <w:vertAlign w:val="subscript"/>
        </w:rPr>
      </w:pPr>
      <w:r>
        <w:t>T</w:t>
      </w:r>
      <w:r w:rsidRPr="00293D11">
        <w:rPr>
          <w:vertAlign w:val="subscript"/>
        </w:rPr>
        <w:t>reselectionEUTRA</w:t>
      </w:r>
      <w:r>
        <w:tab/>
        <w:t>Defined in TS 36.304 , subclause 5.2.4.7</w:t>
      </w:r>
    </w:p>
    <w:p w14:paraId="4846533E" w14:textId="77777777" w:rsidR="002441F5" w:rsidRDefault="002441F5" w:rsidP="002441F5">
      <w:pPr>
        <w:pStyle w:val="EW"/>
        <w:rPr>
          <w:vertAlign w:val="subscript"/>
        </w:rPr>
      </w:pPr>
      <w:r>
        <w:t>T</w:t>
      </w:r>
      <w:r w:rsidRPr="00293D11">
        <w:rPr>
          <w:vertAlign w:val="subscript"/>
        </w:rPr>
        <w:t>reselectionUTRA</w:t>
      </w:r>
      <w:r>
        <w:rPr>
          <w:vertAlign w:val="subscript"/>
        </w:rPr>
        <w:tab/>
      </w:r>
      <w:r>
        <w:t>Defined in TS 36.304 , subclause 5.2.4.7</w:t>
      </w:r>
    </w:p>
    <w:p w14:paraId="4CF449DD" w14:textId="77777777" w:rsidR="002441F5" w:rsidRPr="001704EF" w:rsidRDefault="002441F5" w:rsidP="002441F5">
      <w:pPr>
        <w:pStyle w:val="EW"/>
        <w:rPr>
          <w:vertAlign w:val="subscript"/>
        </w:rPr>
      </w:pPr>
      <w:r>
        <w:t>T</w:t>
      </w:r>
      <w:r w:rsidRPr="00293D11">
        <w:rPr>
          <w:vertAlign w:val="subscript"/>
        </w:rPr>
        <w:t>reselectionGERAN</w:t>
      </w:r>
      <w:r>
        <w:t>Defined in TS 36.304 , subclause 5.2.4.</w:t>
      </w:r>
    </w:p>
    <w:p w14:paraId="52C2830B" w14:textId="77777777" w:rsidR="002441F5" w:rsidRDefault="002441F5" w:rsidP="002441F5">
      <w:pPr>
        <w:pStyle w:val="EW"/>
        <w:rPr>
          <w:vertAlign w:val="subscript"/>
        </w:rPr>
      </w:pPr>
      <w:r>
        <w:t>Thresh</w:t>
      </w:r>
      <w:r>
        <w:rPr>
          <w:vertAlign w:val="subscript"/>
        </w:rPr>
        <w:t>x, high</w:t>
      </w:r>
      <w:r>
        <w:tab/>
        <w:t>Defined in TS 38.304 , subclause 5.2.4.7</w:t>
      </w:r>
    </w:p>
    <w:p w14:paraId="0B2A1C15" w14:textId="14D56B6F" w:rsidR="002441F5" w:rsidRDefault="002441F5" w:rsidP="002441F5">
      <w:pPr>
        <w:pStyle w:val="EW"/>
        <w:rPr>
          <w:b/>
          <w:bCs/>
          <w:vertAlign w:val="subscript"/>
        </w:rPr>
      </w:pPr>
      <w:r>
        <w:t>Thresh</w:t>
      </w:r>
      <w:r>
        <w:rPr>
          <w:vertAlign w:val="subscript"/>
        </w:rPr>
        <w:t xml:space="preserve">x, low </w:t>
      </w:r>
      <w:r w:rsidR="00A21E2B">
        <w:rPr>
          <w:b/>
          <w:bCs/>
          <w:vertAlign w:val="subscript"/>
        </w:rPr>
        <w:tab/>
      </w:r>
      <w:r>
        <w:t>Defined in TS 38.304 , subclause 5.2.4.7</w:t>
      </w:r>
    </w:p>
    <w:p w14:paraId="6984185C" w14:textId="77777777" w:rsidR="002441F5" w:rsidRDefault="002441F5" w:rsidP="002441F5">
      <w:pPr>
        <w:pStyle w:val="EW"/>
      </w:pPr>
      <w:r>
        <w:t>Thresh</w:t>
      </w:r>
      <w:r>
        <w:rPr>
          <w:vertAlign w:val="subscript"/>
        </w:rPr>
        <w:t>serving, low</w:t>
      </w:r>
      <w:r>
        <w:tab/>
        <w:t>Defined in TS 38.304 , subclause 5.2.4.7</w:t>
      </w:r>
    </w:p>
    <w:p w14:paraId="0BA76D3F" w14:textId="77777777" w:rsidR="002441F5" w:rsidRDefault="002441F5" w:rsidP="002441F5">
      <w:pPr>
        <w:pStyle w:val="EW"/>
      </w:pPr>
    </w:p>
    <w:p w14:paraId="3116CBFA" w14:textId="77777777" w:rsidR="002441F5" w:rsidRDefault="002441F5" w:rsidP="002441F5">
      <w:pPr>
        <w:pStyle w:val="EW"/>
        <w:rPr>
          <w:lang w:eastAsia="ko-KR"/>
        </w:rPr>
      </w:pPr>
      <w:r w:rsidRPr="008C6DE4">
        <w:rPr>
          <w:lang w:eastAsia="ko-KR"/>
        </w:rPr>
        <w:t>T</w:t>
      </w:r>
      <w:r w:rsidRPr="008C6DE4">
        <w:rPr>
          <w:vertAlign w:val="subscript"/>
          <w:lang w:eastAsia="ko-KR"/>
        </w:rPr>
        <w:t>UE_re-establish_delay</w:t>
      </w:r>
      <w:r>
        <w:rPr>
          <w:lang w:eastAsia="ko-KR"/>
        </w:rPr>
        <w:tab/>
        <w:t>T</w:t>
      </w:r>
      <w:r w:rsidRPr="008C6DE4">
        <w:rPr>
          <w:lang w:eastAsia="ko-KR"/>
        </w:rPr>
        <w:t xml:space="preserve">ime between the moments when any of the conditions requiring RRC </w:t>
      </w:r>
      <w:r w:rsidRPr="008C6DE4">
        <w:rPr>
          <w:lang w:eastAsia="zh-CN"/>
        </w:rPr>
        <w:t>re-establishment</w:t>
      </w:r>
      <w:r w:rsidRPr="008C6DE4">
        <w:rPr>
          <w:lang w:eastAsia="ko-KR"/>
        </w:rPr>
        <w:t xml:space="preserve"> as defined in clause </w:t>
      </w:r>
      <w:smartTag w:uri="urn:schemas-microsoft-com:office:smarttags" w:element="chsdate">
        <w:smartTagPr>
          <w:attr w:name="Year" w:val="1899"/>
          <w:attr w:name="Month" w:val="12"/>
          <w:attr w:name="Day" w:val="30"/>
          <w:attr w:name="IsLunarDate" w:val="False"/>
          <w:attr w:name="IsROCDate" w:val="False"/>
        </w:smartTagPr>
        <w:r w:rsidRPr="008C6DE4">
          <w:rPr>
            <w:lang w:eastAsia="ko-KR"/>
          </w:rPr>
          <w:t>5.</w:t>
        </w:r>
        <w:smartTag w:uri="urn:schemas-microsoft-com:office:smarttags" w:element="chmetcnv">
          <w:smartTagPr>
            <w:attr w:name="UnitName" w:val="in"/>
            <w:attr w:name="SourceValue" w:val="3.7"/>
            <w:attr w:name="HasSpace" w:val="True"/>
            <w:attr w:name="Negative" w:val="False"/>
            <w:attr w:name="NumberType" w:val="1"/>
            <w:attr w:name="TCSC" w:val="0"/>
          </w:smartTagPr>
          <w:r w:rsidRPr="008C6DE4">
            <w:rPr>
              <w:lang w:eastAsia="ko-KR"/>
            </w:rPr>
            <w:t>3.7</w:t>
          </w:r>
        </w:smartTag>
      </w:smartTag>
      <w:r w:rsidRPr="008C6DE4">
        <w:rPr>
          <w:lang w:eastAsia="ko-KR"/>
        </w:rPr>
        <w:t xml:space="preserve"> in TS 38.331 [2] is detected </w:t>
      </w:r>
      <w:r w:rsidRPr="008C6DE4">
        <w:rPr>
          <w:snapToGrid w:val="0"/>
          <w:lang w:eastAsia="ko-KR"/>
        </w:rPr>
        <w:t>by the UE</w:t>
      </w:r>
      <w:r w:rsidRPr="008C6DE4">
        <w:rPr>
          <w:lang w:eastAsia="ko-KR"/>
        </w:rPr>
        <w:t xml:space="preserve"> and when the UE sends PRACH to the target </w:t>
      </w:r>
      <w:r w:rsidRPr="008C6DE4">
        <w:rPr>
          <w:lang w:eastAsia="zh-CN"/>
        </w:rPr>
        <w:t>PC</w:t>
      </w:r>
      <w:r w:rsidRPr="008C6DE4">
        <w:rPr>
          <w:lang w:eastAsia="ko-KR"/>
        </w:rPr>
        <w:t>ell.</w:t>
      </w:r>
    </w:p>
    <w:p w14:paraId="788A50CD" w14:textId="77777777" w:rsidR="00E93D6B" w:rsidRPr="009C5807" w:rsidRDefault="00E93D6B" w:rsidP="00257E2A">
      <w:pPr>
        <w:pStyle w:val="Heading2"/>
      </w:pPr>
      <w:r w:rsidRPr="009C5807">
        <w:t>3.3</w:t>
      </w:r>
      <w:r w:rsidRPr="009C5807">
        <w:tab/>
        <w:t>Abbreviations</w:t>
      </w:r>
      <w:bookmarkEnd w:id="14"/>
    </w:p>
    <w:p w14:paraId="6D4ACCDE" w14:textId="77777777" w:rsidR="00E93D6B" w:rsidRPr="009C5807" w:rsidRDefault="00E93D6B" w:rsidP="00E93D6B">
      <w:r w:rsidRPr="009C5807">
        <w:t>For the purposes of the present document, the abbreviations given in TR 21.905 [11] and the following apply. An abbreviation defined in the present document takes precedence over the definition of the same abbreviation, if any, in TR 21.905 [11].</w:t>
      </w:r>
    </w:p>
    <w:p w14:paraId="697EA895" w14:textId="77777777" w:rsidR="00686804" w:rsidRDefault="00686804" w:rsidP="00686804">
      <w:pPr>
        <w:pStyle w:val="EW"/>
      </w:pPr>
      <w:r>
        <w:t>AoA</w:t>
      </w:r>
      <w:r>
        <w:tab/>
        <w:t>Angle of Arrival</w:t>
      </w:r>
    </w:p>
    <w:p w14:paraId="3B163E36" w14:textId="77777777" w:rsidR="00686804" w:rsidRDefault="00686804" w:rsidP="00686804">
      <w:pPr>
        <w:pStyle w:val="EW"/>
      </w:pPr>
      <w:r>
        <w:t>AoD</w:t>
      </w:r>
      <w:r>
        <w:tab/>
        <w:t>Angle of Departure</w:t>
      </w:r>
    </w:p>
    <w:p w14:paraId="69A25F5A" w14:textId="77777777" w:rsidR="00E93D6B" w:rsidRPr="009C5807" w:rsidRDefault="00E93D6B" w:rsidP="001741D7">
      <w:pPr>
        <w:pStyle w:val="EW"/>
      </w:pPr>
      <w:r w:rsidRPr="009C5807">
        <w:t>BFD</w:t>
      </w:r>
      <w:r w:rsidRPr="009C5807">
        <w:tab/>
        <w:t>Beam Failure Detection</w:t>
      </w:r>
    </w:p>
    <w:p w14:paraId="1530DF88" w14:textId="77777777" w:rsidR="00E93D6B" w:rsidRPr="009C5807" w:rsidRDefault="00E93D6B" w:rsidP="001741D7">
      <w:pPr>
        <w:pStyle w:val="EW"/>
      </w:pPr>
      <w:r w:rsidRPr="009C5807">
        <w:t>BFD-RS</w:t>
      </w:r>
      <w:r w:rsidRPr="009C5807">
        <w:tab/>
        <w:t>BFD Reference Signal</w:t>
      </w:r>
    </w:p>
    <w:p w14:paraId="0EFC2419" w14:textId="77777777" w:rsidR="00E93D6B" w:rsidRPr="009C5807" w:rsidRDefault="00E93D6B" w:rsidP="001741D7">
      <w:pPr>
        <w:pStyle w:val="EW"/>
      </w:pPr>
      <w:r w:rsidRPr="009C5807">
        <w:t>BLER</w:t>
      </w:r>
      <w:r w:rsidRPr="009C5807">
        <w:tab/>
        <w:t>Block Error Rate</w:t>
      </w:r>
    </w:p>
    <w:p w14:paraId="7A0195B1" w14:textId="77777777" w:rsidR="00E93D6B" w:rsidRPr="009C5807" w:rsidRDefault="00E93D6B" w:rsidP="001741D7">
      <w:pPr>
        <w:pStyle w:val="EW"/>
      </w:pPr>
      <w:r w:rsidRPr="009C5807">
        <w:lastRenderedPageBreak/>
        <w:t>BM-RS</w:t>
      </w:r>
      <w:r w:rsidRPr="009C5807">
        <w:tab/>
        <w:t>Beam Management Reference Signal</w:t>
      </w:r>
    </w:p>
    <w:p w14:paraId="29D89380" w14:textId="77777777" w:rsidR="00E93D6B" w:rsidRPr="009C5807" w:rsidRDefault="00E93D6B" w:rsidP="001741D7">
      <w:pPr>
        <w:pStyle w:val="EW"/>
      </w:pPr>
      <w:r w:rsidRPr="009C5807">
        <w:t>BWP</w:t>
      </w:r>
      <w:r w:rsidRPr="009C5807">
        <w:tab/>
        <w:t>Bandwidth Part</w:t>
      </w:r>
    </w:p>
    <w:p w14:paraId="749F5410" w14:textId="77777777" w:rsidR="00E93D6B" w:rsidRPr="009C5807" w:rsidRDefault="00E93D6B" w:rsidP="00E93D6B">
      <w:pPr>
        <w:pStyle w:val="EW"/>
        <w:ind w:left="1701" w:hanging="1417"/>
        <w:rPr>
          <w:noProof/>
        </w:rPr>
      </w:pPr>
      <w:r w:rsidRPr="009C5807">
        <w:t>CA</w:t>
      </w:r>
      <w:r w:rsidRPr="009C5807">
        <w:tab/>
        <w:t>Carrier Aggregation</w:t>
      </w:r>
    </w:p>
    <w:p w14:paraId="69A305EC" w14:textId="77777777" w:rsidR="00D2705D" w:rsidRPr="009C5807" w:rsidRDefault="00D2705D" w:rsidP="00D2705D">
      <w:pPr>
        <w:pStyle w:val="EW"/>
        <w:ind w:left="1701" w:hanging="1417"/>
        <w:rPr>
          <w:noProof/>
        </w:rPr>
      </w:pPr>
      <w:r w:rsidRPr="009C5807">
        <w:rPr>
          <w:noProof/>
        </w:rPr>
        <w:t>CBD</w:t>
      </w:r>
      <w:r w:rsidRPr="009C5807">
        <w:rPr>
          <w:noProof/>
        </w:rPr>
        <w:tab/>
        <w:t>Candidate Beam Detection</w:t>
      </w:r>
    </w:p>
    <w:p w14:paraId="2E272738" w14:textId="77777777" w:rsidR="00D2705D" w:rsidRPr="009C5807" w:rsidRDefault="00D2705D" w:rsidP="00D2705D">
      <w:pPr>
        <w:pStyle w:val="EW"/>
        <w:ind w:left="1701" w:hanging="1417"/>
        <w:rPr>
          <w:noProof/>
        </w:rPr>
      </w:pPr>
      <w:r w:rsidRPr="009C5807">
        <w:rPr>
          <w:noProof/>
        </w:rPr>
        <w:t>CBW</w:t>
      </w:r>
      <w:r w:rsidRPr="009C5807">
        <w:rPr>
          <w:noProof/>
        </w:rPr>
        <w:tab/>
        <w:t>Channel Bandwidth</w:t>
      </w:r>
    </w:p>
    <w:p w14:paraId="1729A7A5" w14:textId="0F780BD2" w:rsidR="000D5EEF" w:rsidRPr="000D5EEF" w:rsidRDefault="00E93D6B" w:rsidP="000D5EEF">
      <w:pPr>
        <w:pStyle w:val="EW"/>
        <w:ind w:left="1701" w:hanging="1417"/>
        <w:rPr>
          <w:noProof/>
        </w:rPr>
      </w:pPr>
      <w:r w:rsidRPr="009C5807">
        <w:rPr>
          <w:noProof/>
        </w:rPr>
        <w:t>CC</w:t>
      </w:r>
      <w:r w:rsidRPr="009C5807">
        <w:rPr>
          <w:noProof/>
        </w:rPr>
        <w:tab/>
        <w:t>Component Carrier</w:t>
      </w:r>
      <w:r w:rsidR="000D5EEF" w:rsidRPr="000D5EEF">
        <w:rPr>
          <w:sz w:val="24"/>
          <w:szCs w:val="24"/>
        </w:rPr>
        <w:t xml:space="preserve"> </w:t>
      </w:r>
    </w:p>
    <w:p w14:paraId="7CEC13AD" w14:textId="7D8F532E" w:rsidR="001A3C0B" w:rsidRPr="009C5807" w:rsidRDefault="000D5EEF" w:rsidP="001A3C0B">
      <w:pPr>
        <w:pStyle w:val="EW"/>
        <w:ind w:left="1701" w:hanging="1417"/>
        <w:rPr>
          <w:noProof/>
        </w:rPr>
      </w:pPr>
      <w:r w:rsidRPr="000D5EEF">
        <w:rPr>
          <w:noProof/>
        </w:rPr>
        <w:t>CCA</w:t>
      </w:r>
      <w:r w:rsidRPr="000D5EEF">
        <w:rPr>
          <w:noProof/>
        </w:rPr>
        <w:tab/>
        <w:t>Clear Channel Assessment</w:t>
      </w:r>
    </w:p>
    <w:p w14:paraId="2F62E004" w14:textId="77777777" w:rsidR="0020479F" w:rsidRPr="00BE6B50" w:rsidRDefault="0020479F" w:rsidP="0020479F">
      <w:pPr>
        <w:pStyle w:val="EW"/>
        <w:keepNext/>
      </w:pPr>
      <w:r>
        <w:t>CG-SDT</w:t>
      </w:r>
      <w:r w:rsidRPr="009C5807">
        <w:tab/>
      </w:r>
      <w:r>
        <w:t>Configured Grant Small Data Transmisison</w:t>
      </w:r>
    </w:p>
    <w:p w14:paraId="4F9EA623" w14:textId="77777777" w:rsidR="00257E2A" w:rsidRPr="009C5807" w:rsidRDefault="00257E2A" w:rsidP="00257E2A">
      <w:pPr>
        <w:pStyle w:val="EW"/>
        <w:ind w:left="1701" w:hanging="1417"/>
        <w:rPr>
          <w:noProof/>
        </w:rPr>
      </w:pPr>
      <w:r w:rsidRPr="009C5807">
        <w:rPr>
          <w:noProof/>
        </w:rPr>
        <w:t>CLI</w:t>
      </w:r>
      <w:r w:rsidRPr="009C5807">
        <w:rPr>
          <w:noProof/>
        </w:rPr>
        <w:tab/>
        <w:t>Cross Link Interference</w:t>
      </w:r>
    </w:p>
    <w:p w14:paraId="145874DE" w14:textId="77777777" w:rsidR="00257E2A" w:rsidRPr="009C5807" w:rsidRDefault="00257E2A" w:rsidP="00257E2A">
      <w:pPr>
        <w:pStyle w:val="EW"/>
        <w:ind w:left="1701" w:hanging="1417"/>
        <w:rPr>
          <w:noProof/>
        </w:rPr>
      </w:pPr>
      <w:r w:rsidRPr="009C5807">
        <w:rPr>
          <w:noProof/>
        </w:rPr>
        <w:t>CMR</w:t>
      </w:r>
      <w:r w:rsidRPr="009C5807">
        <w:rPr>
          <w:noProof/>
        </w:rPr>
        <w:tab/>
        <w:t>Channel Measurement Resource</w:t>
      </w:r>
    </w:p>
    <w:p w14:paraId="547F163C" w14:textId="77777777" w:rsidR="00E93D6B" w:rsidRPr="009C5807" w:rsidRDefault="00E93D6B" w:rsidP="00E93D6B">
      <w:pPr>
        <w:pStyle w:val="EW"/>
      </w:pPr>
      <w:r w:rsidRPr="009C5807">
        <w:t>CORESET</w:t>
      </w:r>
      <w:r w:rsidRPr="009C5807">
        <w:tab/>
        <w:t>Control Resource Set</w:t>
      </w:r>
    </w:p>
    <w:p w14:paraId="2A84CF32" w14:textId="77777777" w:rsidR="00E93D6B" w:rsidRPr="009C5807" w:rsidRDefault="00E93D6B" w:rsidP="00E93D6B">
      <w:pPr>
        <w:pStyle w:val="EW"/>
        <w:ind w:left="1701" w:hanging="1417"/>
        <w:rPr>
          <w:noProof/>
        </w:rPr>
      </w:pPr>
      <w:r w:rsidRPr="009C5807">
        <w:rPr>
          <w:noProof/>
        </w:rPr>
        <w:t>CP</w:t>
      </w:r>
      <w:r w:rsidRPr="009C5807">
        <w:rPr>
          <w:noProof/>
        </w:rPr>
        <w:tab/>
        <w:t>Cyclic Prefix</w:t>
      </w:r>
    </w:p>
    <w:p w14:paraId="440D6B02" w14:textId="77777777" w:rsidR="00E93D6B" w:rsidRPr="009C5807" w:rsidRDefault="00E93D6B" w:rsidP="00E93D6B">
      <w:pPr>
        <w:pStyle w:val="EW"/>
        <w:keepNext/>
      </w:pPr>
      <w:r w:rsidRPr="009C5807">
        <w:t>CSI</w:t>
      </w:r>
      <w:r w:rsidRPr="009C5807">
        <w:tab/>
        <w:t>Channel-State Information</w:t>
      </w:r>
    </w:p>
    <w:p w14:paraId="51CF0E42" w14:textId="77777777" w:rsidR="00E93D6B" w:rsidRPr="009C5807" w:rsidRDefault="00E93D6B" w:rsidP="00E93D6B">
      <w:pPr>
        <w:pStyle w:val="EW"/>
        <w:keepNext/>
      </w:pPr>
      <w:r w:rsidRPr="009C5807">
        <w:t>CSI-RS</w:t>
      </w:r>
      <w:r w:rsidRPr="009C5807">
        <w:tab/>
        <w:t>CSI Reference Signal</w:t>
      </w:r>
    </w:p>
    <w:p w14:paraId="230ECB4F" w14:textId="77777777" w:rsidR="00686804" w:rsidRDefault="00686804" w:rsidP="00686804">
      <w:pPr>
        <w:pStyle w:val="EW"/>
      </w:pPr>
      <w:r>
        <w:t>CSI-RSRP</w:t>
      </w:r>
      <w:r>
        <w:tab/>
        <w:t>CSI Reference Signal based Reference Signal Received Power</w:t>
      </w:r>
    </w:p>
    <w:p w14:paraId="1B4FFE42" w14:textId="77777777" w:rsidR="00665E6C" w:rsidRDefault="00665E6C" w:rsidP="00665E6C">
      <w:pPr>
        <w:pStyle w:val="EW"/>
        <w:keepNext/>
        <w:rPr>
          <w:lang w:eastAsia="zh-CN"/>
        </w:rPr>
      </w:pPr>
      <w:r>
        <w:t>CSI-RSRQ</w:t>
      </w:r>
      <w:r>
        <w:tab/>
        <w:t>CSI Reference Signal based Reference Signal Received Quality</w:t>
      </w:r>
    </w:p>
    <w:p w14:paraId="66D9F281" w14:textId="77777777" w:rsidR="00665E6C" w:rsidRDefault="00665E6C" w:rsidP="00665E6C">
      <w:pPr>
        <w:pStyle w:val="EW"/>
        <w:keepNext/>
        <w:rPr>
          <w:lang w:eastAsia="zh-CN"/>
        </w:rPr>
      </w:pPr>
      <w:r>
        <w:t>CSI-</w:t>
      </w:r>
      <w:r>
        <w:rPr>
          <w:rFonts w:hint="eastAsia"/>
          <w:lang w:eastAsia="zh-CN"/>
        </w:rPr>
        <w:t>SINR</w:t>
      </w:r>
      <w:r>
        <w:tab/>
        <w:t xml:space="preserve">CSI Reference Signal based </w:t>
      </w:r>
      <w:r w:rsidRPr="003366A7">
        <w:rPr>
          <w:lang w:eastAsia="zh-CN"/>
        </w:rPr>
        <w:t>Signal to Noise and Interference Ratio</w:t>
      </w:r>
    </w:p>
    <w:p w14:paraId="7E4FF391" w14:textId="7BBD055E" w:rsidR="00CC5C23" w:rsidRDefault="00665E6C" w:rsidP="00CC5C23">
      <w:pPr>
        <w:pStyle w:val="EW"/>
        <w:rPr>
          <w:lang w:eastAsia="zh-CN"/>
        </w:rPr>
      </w:pPr>
      <w:r>
        <w:rPr>
          <w:rFonts w:hint="eastAsia"/>
          <w:lang w:eastAsia="zh-CN"/>
        </w:rPr>
        <w:t>CSI</w:t>
      </w:r>
      <w:r w:rsidRPr="009C5807">
        <w:t>_RP</w:t>
      </w:r>
      <w:r w:rsidRPr="009C5807">
        <w:tab/>
        <w:t xml:space="preserve">Received (linear) average power of the resource elements that carry NR </w:t>
      </w:r>
      <w:r>
        <w:rPr>
          <w:rFonts w:hint="eastAsia"/>
          <w:lang w:eastAsia="zh-CN"/>
        </w:rPr>
        <w:t>CSI-RS</w:t>
      </w:r>
      <w:r w:rsidRPr="009C5807">
        <w:t xml:space="preserve"> signals and channels, measured at the UE antenna connector</w:t>
      </w:r>
    </w:p>
    <w:p w14:paraId="380D834B" w14:textId="77777777" w:rsidR="00CC5C23" w:rsidRDefault="00CC5C23" w:rsidP="00CC5C23">
      <w:pPr>
        <w:pStyle w:val="EW"/>
      </w:pPr>
      <w:r>
        <w:t>DBT</w:t>
      </w:r>
      <w:r>
        <w:tab/>
        <w:t>Discovery Burst Transmission</w:t>
      </w:r>
      <w:r w:rsidRPr="009C5807">
        <w:t xml:space="preserve"> </w:t>
      </w:r>
    </w:p>
    <w:p w14:paraId="0F62CE59" w14:textId="6051AAAC" w:rsidR="00E93D6B" w:rsidRPr="009C5807" w:rsidRDefault="00E93D6B" w:rsidP="00CC5C23">
      <w:pPr>
        <w:pStyle w:val="EW"/>
      </w:pPr>
      <w:r w:rsidRPr="009C5807">
        <w:t>DC</w:t>
      </w:r>
      <w:r w:rsidRPr="009C5807">
        <w:tab/>
        <w:t>Dual Connectivity</w:t>
      </w:r>
    </w:p>
    <w:p w14:paraId="5C92F409" w14:textId="77777777" w:rsidR="00E93D6B" w:rsidRPr="009C5807" w:rsidRDefault="00E93D6B" w:rsidP="00E93D6B">
      <w:pPr>
        <w:pStyle w:val="EW"/>
      </w:pPr>
      <w:r w:rsidRPr="009C5807">
        <w:t>DCI</w:t>
      </w:r>
      <w:r w:rsidRPr="009C5807">
        <w:tab/>
        <w:t>Downlink Control Information</w:t>
      </w:r>
    </w:p>
    <w:p w14:paraId="0CA8F6F5" w14:textId="77777777" w:rsidR="00E93D6B" w:rsidRPr="009C5807" w:rsidRDefault="00E93D6B" w:rsidP="00E93D6B">
      <w:pPr>
        <w:pStyle w:val="EW"/>
      </w:pPr>
      <w:r w:rsidRPr="009C5807">
        <w:t>DL</w:t>
      </w:r>
      <w:r w:rsidRPr="009C5807">
        <w:tab/>
        <w:t>Downlink</w:t>
      </w:r>
    </w:p>
    <w:p w14:paraId="0D697165" w14:textId="77777777" w:rsidR="00686804" w:rsidRPr="007C6275" w:rsidRDefault="00686804" w:rsidP="00686804">
      <w:pPr>
        <w:pStyle w:val="EW"/>
      </w:pPr>
      <w:r w:rsidRPr="007C6275">
        <w:t>DL-AoD</w:t>
      </w:r>
      <w:r w:rsidRPr="007C6275">
        <w:tab/>
        <w:t>Downlink Angle-of-Departure</w:t>
      </w:r>
    </w:p>
    <w:p w14:paraId="212FE5F1" w14:textId="77777777" w:rsidR="00686804" w:rsidRDefault="00686804" w:rsidP="00686804">
      <w:pPr>
        <w:pStyle w:val="EW"/>
      </w:pPr>
      <w:r w:rsidRPr="007C6275">
        <w:t>DL-TDOA</w:t>
      </w:r>
      <w:r w:rsidRPr="007C6275">
        <w:tab/>
        <w:t>Downlink Time Difference Of Arrival</w:t>
      </w:r>
    </w:p>
    <w:p w14:paraId="4916C7E1" w14:textId="77777777" w:rsidR="00E93D6B" w:rsidRPr="009C5807" w:rsidRDefault="00E93D6B" w:rsidP="00E93D6B">
      <w:pPr>
        <w:pStyle w:val="EW"/>
      </w:pPr>
      <w:r w:rsidRPr="009C5807">
        <w:t>DMRS</w:t>
      </w:r>
      <w:r w:rsidRPr="009C5807">
        <w:tab/>
        <w:t>Demodulation Reference Signal</w:t>
      </w:r>
    </w:p>
    <w:p w14:paraId="09FEE965" w14:textId="77777777" w:rsidR="00E93D6B" w:rsidRPr="009C5807" w:rsidRDefault="00E93D6B" w:rsidP="00E93D6B">
      <w:pPr>
        <w:pStyle w:val="EW"/>
      </w:pPr>
      <w:r w:rsidRPr="009C5807">
        <w:t>DRX</w:t>
      </w:r>
      <w:r w:rsidRPr="009C5807">
        <w:tab/>
        <w:t>Discontinuous Reception</w:t>
      </w:r>
    </w:p>
    <w:p w14:paraId="134C7553" w14:textId="77777777" w:rsidR="00E93D6B" w:rsidRPr="009C5807" w:rsidRDefault="00E93D6B" w:rsidP="00E93D6B">
      <w:pPr>
        <w:pStyle w:val="EW"/>
        <w:rPr>
          <w:lang w:val="en-US"/>
        </w:rPr>
      </w:pPr>
      <w:r w:rsidRPr="009C5807">
        <w:rPr>
          <w:lang w:val="en-US"/>
        </w:rPr>
        <w:t>E-CID</w:t>
      </w:r>
      <w:r w:rsidRPr="009C5807">
        <w:rPr>
          <w:lang w:val="en-US"/>
        </w:rPr>
        <w:tab/>
        <w:t>Enhanced Cell ID</w:t>
      </w:r>
    </w:p>
    <w:p w14:paraId="773DBC61" w14:textId="77777777" w:rsidR="00E93D6B" w:rsidRPr="004C1310" w:rsidRDefault="00E93D6B" w:rsidP="00E93D6B">
      <w:pPr>
        <w:pStyle w:val="EW"/>
      </w:pPr>
      <w:r w:rsidRPr="004C1310">
        <w:t>E-UTRA</w:t>
      </w:r>
      <w:r w:rsidRPr="004C1310">
        <w:tab/>
        <w:t>Evolved UTRA</w:t>
      </w:r>
    </w:p>
    <w:p w14:paraId="1670BD2B" w14:textId="77777777" w:rsidR="00E93D6B" w:rsidRPr="004C1310" w:rsidRDefault="00E93D6B" w:rsidP="00E93D6B">
      <w:pPr>
        <w:pStyle w:val="EW"/>
      </w:pPr>
      <w:r w:rsidRPr="004C1310">
        <w:t>E-UTRAN</w:t>
      </w:r>
      <w:r w:rsidRPr="004C1310">
        <w:tab/>
        <w:t>Evolved UTRAN</w:t>
      </w:r>
    </w:p>
    <w:p w14:paraId="7E15CBB2" w14:textId="77777777" w:rsidR="00E93D6B" w:rsidRPr="009C5807" w:rsidRDefault="00E93D6B" w:rsidP="00E93D6B">
      <w:pPr>
        <w:pStyle w:val="EW"/>
      </w:pPr>
      <w:r w:rsidRPr="009C5807">
        <w:t>EN-DC</w:t>
      </w:r>
      <w:r w:rsidRPr="009C5807">
        <w:tab/>
        <w:t>E-UTRA-NR Dual Connectivity</w:t>
      </w:r>
    </w:p>
    <w:p w14:paraId="25346AE5" w14:textId="77777777" w:rsidR="00E93D6B" w:rsidRPr="009C5807" w:rsidRDefault="00E93D6B" w:rsidP="00E93D6B">
      <w:pPr>
        <w:pStyle w:val="EW"/>
      </w:pPr>
      <w:r w:rsidRPr="009C5807">
        <w:t>FDD</w:t>
      </w:r>
      <w:r w:rsidRPr="009C5807">
        <w:tab/>
        <w:t>Frequency Division Duplex</w:t>
      </w:r>
    </w:p>
    <w:p w14:paraId="66F59726" w14:textId="77777777" w:rsidR="00E93D6B" w:rsidRPr="009C5807" w:rsidRDefault="00E93D6B" w:rsidP="00E93D6B">
      <w:pPr>
        <w:pStyle w:val="EW"/>
      </w:pPr>
      <w:r w:rsidRPr="009C5807">
        <w:t>FR</w:t>
      </w:r>
      <w:r w:rsidRPr="009C5807">
        <w:tab/>
        <w:t>Frequency Range</w:t>
      </w:r>
    </w:p>
    <w:p w14:paraId="36A691AE" w14:textId="77777777" w:rsidR="00136557" w:rsidRDefault="00136557" w:rsidP="00E93D6B">
      <w:pPr>
        <w:pStyle w:val="EW"/>
      </w:pPr>
      <w:r>
        <w:t>GEO</w:t>
      </w:r>
      <w:r>
        <w:tab/>
        <w:t>Geostationary Earth Orbit</w:t>
      </w:r>
      <w:r w:rsidRPr="009C5807">
        <w:t xml:space="preserve"> </w:t>
      </w:r>
    </w:p>
    <w:p w14:paraId="76B48357" w14:textId="4D79044B" w:rsidR="00E93D6B" w:rsidRPr="009C5807" w:rsidRDefault="00E93D6B" w:rsidP="00E93D6B">
      <w:pPr>
        <w:pStyle w:val="EW"/>
      </w:pPr>
      <w:r w:rsidRPr="009C5807">
        <w:t>HARQ</w:t>
      </w:r>
      <w:r w:rsidRPr="009C5807">
        <w:tab/>
        <w:t>Hybrid Automatic Repeat Request</w:t>
      </w:r>
    </w:p>
    <w:p w14:paraId="655319BE" w14:textId="77777777" w:rsidR="00257E2A" w:rsidRPr="009C5807" w:rsidRDefault="00257E2A" w:rsidP="00257E2A">
      <w:pPr>
        <w:pStyle w:val="EW"/>
      </w:pPr>
      <w:r w:rsidRPr="009C5807">
        <w:t>HO</w:t>
      </w:r>
      <w:r w:rsidRPr="009C5807">
        <w:tab/>
        <w:t>Handover</w:t>
      </w:r>
    </w:p>
    <w:p w14:paraId="1C400283" w14:textId="40AAF077" w:rsidR="00E60907" w:rsidRPr="00F36E7E" w:rsidRDefault="00E60907" w:rsidP="00E60907">
      <w:pPr>
        <w:pStyle w:val="EW"/>
        <w:rPr>
          <w:lang w:eastAsia="zh-TW"/>
        </w:rPr>
      </w:pPr>
      <w:r>
        <w:rPr>
          <w:lang w:eastAsia="zh-TW"/>
        </w:rPr>
        <w:t>GAP</w:t>
      </w:r>
      <w:r>
        <w:rPr>
          <w:lang w:eastAsia="zh-TW"/>
        </w:rPr>
        <w:tab/>
      </w:r>
      <w:r>
        <w:t>Refers to any of Measurement Gap</w:t>
      </w:r>
      <w:r w:rsidRPr="00EF3A86">
        <w:t>, activated Pre-MG and NCS</w:t>
      </w:r>
      <w:r w:rsidRPr="00937A51">
        <w:t>G</w:t>
      </w:r>
    </w:p>
    <w:p w14:paraId="400F895B" w14:textId="77777777" w:rsidR="00257E2A" w:rsidRPr="009C5807" w:rsidRDefault="00257E2A" w:rsidP="00257E2A">
      <w:pPr>
        <w:pStyle w:val="EW"/>
      </w:pPr>
      <w:r w:rsidRPr="009C5807">
        <w:t>IMR</w:t>
      </w:r>
      <w:r w:rsidRPr="009C5807">
        <w:tab/>
        <w:t>Interference Measurement Resource</w:t>
      </w:r>
    </w:p>
    <w:p w14:paraId="1D58F262" w14:textId="77777777" w:rsidR="009B0B7B" w:rsidRPr="009C5807" w:rsidRDefault="009B0B7B" w:rsidP="009B0B7B">
      <w:pPr>
        <w:pStyle w:val="EW"/>
      </w:pPr>
      <w:r w:rsidRPr="009C5807">
        <w:t>L1-RSRP</w:t>
      </w:r>
      <w:r w:rsidRPr="009C5807">
        <w:tab/>
        <w:t>Layer 1 RSRP</w:t>
      </w:r>
    </w:p>
    <w:p w14:paraId="78576B7F" w14:textId="77777777" w:rsidR="009B0B7B" w:rsidRPr="009C5807" w:rsidRDefault="009B0B7B" w:rsidP="009B0B7B">
      <w:pPr>
        <w:pStyle w:val="EW"/>
        <w:rPr>
          <w:lang w:eastAsia="ko-KR"/>
        </w:rPr>
      </w:pPr>
      <w:r w:rsidRPr="009C5807">
        <w:rPr>
          <w:rFonts w:hint="eastAsia"/>
          <w:lang w:eastAsia="ko-KR"/>
        </w:rPr>
        <w:t>L1</w:t>
      </w:r>
      <w:r w:rsidRPr="009C5807">
        <w:rPr>
          <w:lang w:eastAsia="ko-KR"/>
        </w:rPr>
        <w:t xml:space="preserve"> </w:t>
      </w:r>
      <w:r w:rsidRPr="009C5807">
        <w:rPr>
          <w:rFonts w:hint="eastAsia"/>
          <w:lang w:eastAsia="ko-KR"/>
        </w:rPr>
        <w:t>SL</w:t>
      </w:r>
      <w:r w:rsidRPr="009C5807">
        <w:rPr>
          <w:lang w:eastAsia="ko-KR"/>
        </w:rPr>
        <w:t>-</w:t>
      </w:r>
      <w:r w:rsidRPr="009C5807">
        <w:rPr>
          <w:rFonts w:hint="eastAsia"/>
          <w:lang w:eastAsia="ko-KR"/>
        </w:rPr>
        <w:t>RSRP</w:t>
      </w:r>
      <w:r w:rsidRPr="009C5807">
        <w:rPr>
          <w:rFonts w:hint="eastAsia"/>
          <w:lang w:eastAsia="ko-KR"/>
        </w:rPr>
        <w:tab/>
        <w:t>Layer 1 Sidelink RSRP</w:t>
      </w:r>
      <w:r w:rsidRPr="009C5807">
        <w:rPr>
          <w:lang w:eastAsia="ko-KR"/>
        </w:rPr>
        <w:t xml:space="preserve"> which corresponds to PSCCH-RSRP and/or PSSCH-RSRP</w:t>
      </w:r>
    </w:p>
    <w:p w14:paraId="78519624" w14:textId="77777777" w:rsidR="00136557" w:rsidRPr="009C5807" w:rsidRDefault="00136557" w:rsidP="00136557">
      <w:pPr>
        <w:pStyle w:val="EW"/>
        <w:rPr>
          <w:lang w:eastAsia="ko-KR"/>
        </w:rPr>
      </w:pPr>
      <w:r>
        <w:rPr>
          <w:lang w:eastAsia="ko-KR"/>
        </w:rPr>
        <w:t>LEO</w:t>
      </w:r>
      <w:r>
        <w:rPr>
          <w:lang w:eastAsia="ko-KR"/>
        </w:rPr>
        <w:tab/>
        <w:t>Low Earth Orbit</w:t>
      </w:r>
    </w:p>
    <w:p w14:paraId="0A86835B" w14:textId="77777777" w:rsidR="00686804" w:rsidRPr="007C6275" w:rsidRDefault="00686804" w:rsidP="00686804">
      <w:pPr>
        <w:pStyle w:val="EW"/>
      </w:pPr>
      <w:r w:rsidRPr="007C6275">
        <w:t>LMF</w:t>
      </w:r>
      <w:r w:rsidRPr="007C6275">
        <w:tab/>
        <w:t>Location Management Function</w:t>
      </w:r>
    </w:p>
    <w:p w14:paraId="6569ED3C" w14:textId="77777777" w:rsidR="00686804" w:rsidRDefault="00686804" w:rsidP="00686804">
      <w:pPr>
        <w:pStyle w:val="EW"/>
        <w:rPr>
          <w:lang w:eastAsia="ko-KR"/>
        </w:rPr>
      </w:pPr>
      <w:r>
        <w:rPr>
          <w:lang w:eastAsia="ko-KR"/>
        </w:rPr>
        <w:t>LPP</w:t>
      </w:r>
      <w:r>
        <w:rPr>
          <w:lang w:eastAsia="ko-KR"/>
        </w:rPr>
        <w:tab/>
        <w:t>LTE Positioning Protocol</w:t>
      </w:r>
    </w:p>
    <w:p w14:paraId="5D12025A" w14:textId="77777777" w:rsidR="00E93D6B" w:rsidRPr="009C5807" w:rsidRDefault="00E93D6B" w:rsidP="00313A48">
      <w:pPr>
        <w:pStyle w:val="EW"/>
      </w:pPr>
      <w:r w:rsidRPr="009C5807">
        <w:t>MAC</w:t>
      </w:r>
      <w:r w:rsidRPr="009C5807">
        <w:tab/>
        <w:t>Medium Access Control</w:t>
      </w:r>
    </w:p>
    <w:p w14:paraId="3F96628A" w14:textId="2AE0F401" w:rsidR="000B4F9B" w:rsidRPr="009C5807" w:rsidRDefault="00E93D6B" w:rsidP="00313A48">
      <w:pPr>
        <w:pStyle w:val="EW"/>
        <w:rPr>
          <w:lang w:eastAsia="zh-CN"/>
        </w:rPr>
      </w:pPr>
      <w:r w:rsidRPr="009C5807">
        <w:t>MCG</w:t>
      </w:r>
      <w:r w:rsidRPr="009C5807">
        <w:tab/>
        <w:t>Master Cell Group</w:t>
      </w:r>
    </w:p>
    <w:p w14:paraId="16F11EA0" w14:textId="06C2718A" w:rsidR="00E93D6B" w:rsidRPr="009C5807" w:rsidRDefault="000B4F9B" w:rsidP="00E93D6B">
      <w:pPr>
        <w:pStyle w:val="EW"/>
        <w:rPr>
          <w:lang w:eastAsia="zh-CN"/>
        </w:rPr>
      </w:pPr>
      <w:r w:rsidRPr="009C5807">
        <w:t>MDT</w:t>
      </w:r>
      <w:r w:rsidRPr="009C5807">
        <w:tab/>
        <w:t>Minimization of Drive Tests</w:t>
      </w:r>
    </w:p>
    <w:p w14:paraId="3B30A822" w14:textId="77777777" w:rsidR="00E93D6B" w:rsidRPr="009C5807" w:rsidRDefault="00E93D6B" w:rsidP="00E93D6B">
      <w:pPr>
        <w:pStyle w:val="EW"/>
      </w:pPr>
      <w:r w:rsidRPr="009C5807">
        <w:t>MG</w:t>
      </w:r>
      <w:r w:rsidRPr="009C5807">
        <w:tab/>
        <w:t>Measurement Gap</w:t>
      </w:r>
    </w:p>
    <w:p w14:paraId="54AEE92E" w14:textId="77777777" w:rsidR="00E93D6B" w:rsidRPr="009C5807" w:rsidRDefault="00E93D6B" w:rsidP="00E93D6B">
      <w:pPr>
        <w:pStyle w:val="EW"/>
      </w:pPr>
      <w:r w:rsidRPr="009C5807">
        <w:t>MGL</w:t>
      </w:r>
      <w:r w:rsidRPr="009C5807">
        <w:tab/>
        <w:t>Measurement Gap Length</w:t>
      </w:r>
    </w:p>
    <w:p w14:paraId="553478D4" w14:textId="77777777" w:rsidR="00E93D6B" w:rsidRPr="009C5807" w:rsidRDefault="00E93D6B" w:rsidP="00E93D6B">
      <w:pPr>
        <w:pStyle w:val="EW"/>
      </w:pPr>
      <w:r w:rsidRPr="009C5807">
        <w:t>MGRP</w:t>
      </w:r>
      <w:r w:rsidRPr="009C5807">
        <w:tab/>
        <w:t>Measurement Gap Repetition Period</w:t>
      </w:r>
    </w:p>
    <w:p w14:paraId="590C452A" w14:textId="77777777" w:rsidR="00E93D6B" w:rsidRPr="003B346B" w:rsidRDefault="00E93D6B" w:rsidP="00E93D6B">
      <w:pPr>
        <w:pStyle w:val="EW"/>
        <w:rPr>
          <w:lang w:val="sv-FI"/>
        </w:rPr>
      </w:pPr>
      <w:r w:rsidRPr="003B346B">
        <w:rPr>
          <w:lang w:val="sv-FI"/>
        </w:rPr>
        <w:t>MIB</w:t>
      </w:r>
      <w:r w:rsidRPr="003B346B">
        <w:rPr>
          <w:lang w:val="sv-FI"/>
        </w:rPr>
        <w:tab/>
        <w:t>Master Information Block</w:t>
      </w:r>
    </w:p>
    <w:p w14:paraId="42A4B0FF" w14:textId="77777777" w:rsidR="00D76FC8" w:rsidRPr="00842B0D" w:rsidRDefault="00D76FC8" w:rsidP="00D76FC8">
      <w:pPr>
        <w:keepLines/>
        <w:spacing w:after="0"/>
        <w:ind w:left="1702" w:hanging="1418"/>
        <w:rPr>
          <w:lang w:val="sv-FI"/>
        </w:rPr>
      </w:pPr>
      <w:r w:rsidRPr="0052137D">
        <w:rPr>
          <w:lang w:val="en-US"/>
        </w:rPr>
        <w:t>ML</w:t>
      </w:r>
      <w:r w:rsidRPr="0052137D">
        <w:rPr>
          <w:lang w:val="en-US"/>
        </w:rPr>
        <w:tab/>
        <w:t>Measurement Length</w:t>
      </w:r>
    </w:p>
    <w:p w14:paraId="46C64887" w14:textId="77777777" w:rsidR="00E93D6B" w:rsidRPr="003B346B" w:rsidRDefault="00E93D6B" w:rsidP="00E93D6B">
      <w:pPr>
        <w:pStyle w:val="EW"/>
        <w:rPr>
          <w:lang w:val="sv-FI"/>
        </w:rPr>
      </w:pPr>
      <w:r w:rsidRPr="003B346B">
        <w:rPr>
          <w:lang w:val="sv-FI"/>
        </w:rPr>
        <w:t>MN</w:t>
      </w:r>
      <w:r w:rsidRPr="003B346B">
        <w:rPr>
          <w:lang w:val="sv-FI"/>
        </w:rPr>
        <w:tab/>
        <w:t>Master Node</w:t>
      </w:r>
    </w:p>
    <w:p w14:paraId="778C7D32" w14:textId="77777777" w:rsidR="006455D7" w:rsidRDefault="006455D7" w:rsidP="006455D7">
      <w:pPr>
        <w:pStyle w:val="EW"/>
      </w:pPr>
      <w:r w:rsidRPr="009C5807">
        <w:t>MR-DC</w:t>
      </w:r>
      <w:r w:rsidRPr="009C5807">
        <w:tab/>
        <w:t>Multi-Radio Dual Connectivity</w:t>
      </w:r>
    </w:p>
    <w:p w14:paraId="63ABE5B7" w14:textId="77777777" w:rsidR="006455D7" w:rsidRDefault="006455D7" w:rsidP="006455D7">
      <w:pPr>
        <w:pStyle w:val="EW"/>
        <w:rPr>
          <w:lang w:val="en-US" w:eastAsia="ja-JP"/>
        </w:rPr>
      </w:pPr>
      <w:r>
        <w:t>MUSIM</w:t>
      </w:r>
      <w:r w:rsidRPr="009C5807">
        <w:tab/>
      </w:r>
      <w:r>
        <w:rPr>
          <w:lang w:eastAsia="ko-KR"/>
        </w:rPr>
        <w:t>Multi-Universal Subscriber Identity Module</w:t>
      </w:r>
    </w:p>
    <w:p w14:paraId="1DFA2CBB" w14:textId="77777777" w:rsidR="00D76FC8" w:rsidRPr="00842B0D" w:rsidRDefault="00D76FC8" w:rsidP="00D76FC8">
      <w:pPr>
        <w:keepLines/>
        <w:spacing w:after="0"/>
        <w:ind w:left="1702" w:hanging="1418"/>
        <w:rPr>
          <w:lang w:val="en-US"/>
        </w:rPr>
      </w:pPr>
      <w:r>
        <w:rPr>
          <w:lang w:val="en-US"/>
        </w:rPr>
        <w:t>NCSG</w:t>
      </w:r>
      <w:r>
        <w:rPr>
          <w:lang w:val="en-US"/>
        </w:rPr>
        <w:tab/>
        <w:t>Network Controlled Small Gap</w:t>
      </w:r>
    </w:p>
    <w:p w14:paraId="0EB63C9C" w14:textId="77777777" w:rsidR="00E93D6B" w:rsidRPr="009C5807" w:rsidRDefault="00E93D6B" w:rsidP="00E93D6B">
      <w:pPr>
        <w:pStyle w:val="EW"/>
        <w:rPr>
          <w:lang w:val="en-US"/>
        </w:rPr>
      </w:pPr>
      <w:r w:rsidRPr="009C5807">
        <w:rPr>
          <w:lang w:val="en-US"/>
        </w:rPr>
        <w:t>NE-DC</w:t>
      </w:r>
      <w:r w:rsidRPr="009C5807">
        <w:rPr>
          <w:lang w:val="en-US"/>
        </w:rPr>
        <w:tab/>
        <w:t>NR-E-UTRA Dual Connectivity</w:t>
      </w:r>
    </w:p>
    <w:p w14:paraId="003FE3F9" w14:textId="77777777" w:rsidR="00E93D6B" w:rsidRPr="009C5807" w:rsidRDefault="00E93D6B" w:rsidP="00E93D6B">
      <w:pPr>
        <w:pStyle w:val="EW"/>
        <w:rPr>
          <w:lang w:val="en-US"/>
        </w:rPr>
      </w:pPr>
      <w:r w:rsidRPr="009C5807">
        <w:rPr>
          <w:lang w:val="en-US"/>
        </w:rPr>
        <w:t>NGEN-DC</w:t>
      </w:r>
      <w:r w:rsidRPr="009C5807">
        <w:rPr>
          <w:lang w:val="en-US"/>
        </w:rPr>
        <w:tab/>
        <w:t>NG-RAN E-UTRA-NR Dual Connectivity</w:t>
      </w:r>
    </w:p>
    <w:p w14:paraId="2E197CE2" w14:textId="77777777" w:rsidR="00E93D6B" w:rsidRPr="009C5807" w:rsidRDefault="00E93D6B" w:rsidP="00E93D6B">
      <w:pPr>
        <w:pStyle w:val="EW"/>
      </w:pPr>
      <w:r w:rsidRPr="009C5807">
        <w:t>NR</w:t>
      </w:r>
      <w:r w:rsidRPr="009C5807">
        <w:tab/>
        <w:t>New Radio</w:t>
      </w:r>
    </w:p>
    <w:p w14:paraId="22D8B123" w14:textId="77777777" w:rsidR="00E93D6B" w:rsidRPr="009C5807" w:rsidRDefault="00E93D6B" w:rsidP="00E93D6B">
      <w:pPr>
        <w:pStyle w:val="EW"/>
        <w:rPr>
          <w:lang w:val="en-US"/>
        </w:rPr>
      </w:pPr>
      <w:r w:rsidRPr="009C5807">
        <w:rPr>
          <w:lang w:val="en-US"/>
        </w:rPr>
        <w:t>NR-DC</w:t>
      </w:r>
      <w:r w:rsidRPr="009C5807">
        <w:rPr>
          <w:lang w:val="en-US"/>
        </w:rPr>
        <w:tab/>
        <w:t>NR-NR Dual Connectivity</w:t>
      </w:r>
    </w:p>
    <w:p w14:paraId="05996AD9" w14:textId="77777777" w:rsidR="00E25D31" w:rsidRPr="009C5807" w:rsidRDefault="00E25D31" w:rsidP="00E25D31">
      <w:pPr>
        <w:pStyle w:val="EW"/>
        <w:rPr>
          <w:lang w:val="en-US"/>
        </w:rPr>
      </w:pPr>
      <w:r>
        <w:rPr>
          <w:lang w:val="en-US"/>
        </w:rPr>
        <w:t>NTN</w:t>
      </w:r>
      <w:r>
        <w:rPr>
          <w:lang w:val="en-US"/>
        </w:rPr>
        <w:tab/>
        <w:t>Non-Terrestrial Network</w:t>
      </w:r>
    </w:p>
    <w:p w14:paraId="6E105511" w14:textId="77777777" w:rsidR="00E93D6B" w:rsidRPr="009C5807" w:rsidRDefault="00E93D6B" w:rsidP="00E93D6B">
      <w:pPr>
        <w:pStyle w:val="EW"/>
      </w:pPr>
      <w:r w:rsidRPr="009C5807">
        <w:t>OFDM</w:t>
      </w:r>
      <w:r w:rsidRPr="009C5807">
        <w:tab/>
        <w:t>Orthogonal Frequency Division Multiplexing</w:t>
      </w:r>
    </w:p>
    <w:p w14:paraId="039C66B7" w14:textId="77777777" w:rsidR="00E93D6B" w:rsidRPr="009C5807" w:rsidRDefault="00E93D6B" w:rsidP="00E93D6B">
      <w:pPr>
        <w:pStyle w:val="EW"/>
      </w:pPr>
      <w:r w:rsidRPr="009C5807">
        <w:t>OFDMA</w:t>
      </w:r>
      <w:r w:rsidRPr="009C5807">
        <w:tab/>
        <w:t>Orthogonal Frequency Division Multiple Access</w:t>
      </w:r>
    </w:p>
    <w:p w14:paraId="221D1F92" w14:textId="77777777" w:rsidR="00E93D6B" w:rsidRPr="009C5807" w:rsidRDefault="00E93D6B" w:rsidP="00E93D6B">
      <w:pPr>
        <w:pStyle w:val="EW"/>
      </w:pPr>
      <w:r w:rsidRPr="009C5807">
        <w:lastRenderedPageBreak/>
        <w:t>OTDOA</w:t>
      </w:r>
      <w:r w:rsidRPr="009C5807">
        <w:tab/>
        <w:t>Observed Time Difference Of Arrival</w:t>
      </w:r>
    </w:p>
    <w:p w14:paraId="5250FA81" w14:textId="77777777" w:rsidR="00E93D6B" w:rsidRPr="009C5807" w:rsidRDefault="00E93D6B" w:rsidP="00E93D6B">
      <w:pPr>
        <w:pStyle w:val="EW"/>
      </w:pPr>
      <w:r w:rsidRPr="009C5807">
        <w:t>PBCH</w:t>
      </w:r>
      <w:r w:rsidRPr="009C5807">
        <w:tab/>
        <w:t>Physical Broadcast Channel</w:t>
      </w:r>
    </w:p>
    <w:p w14:paraId="07A7183C" w14:textId="77777777" w:rsidR="00E93D6B" w:rsidRPr="009C5807" w:rsidRDefault="00E93D6B" w:rsidP="00E93D6B">
      <w:pPr>
        <w:pStyle w:val="EW"/>
      </w:pPr>
      <w:r w:rsidRPr="009C5807">
        <w:t>PCC</w:t>
      </w:r>
      <w:r w:rsidRPr="009C5807">
        <w:tab/>
        <w:t>Primary Component Carrier</w:t>
      </w:r>
    </w:p>
    <w:p w14:paraId="30596275" w14:textId="77777777" w:rsidR="00E93D6B" w:rsidRPr="009C5807" w:rsidRDefault="00E93D6B" w:rsidP="00E93D6B">
      <w:pPr>
        <w:pStyle w:val="EW"/>
      </w:pPr>
      <w:r w:rsidRPr="009C5807">
        <w:t>PCell</w:t>
      </w:r>
      <w:r w:rsidRPr="009C5807">
        <w:tab/>
        <w:t>Primary Cell</w:t>
      </w:r>
    </w:p>
    <w:p w14:paraId="7022DFDE" w14:textId="77777777" w:rsidR="00E93D6B" w:rsidRPr="009C5807" w:rsidRDefault="00E93D6B" w:rsidP="00E93D6B">
      <w:pPr>
        <w:pStyle w:val="EW"/>
      </w:pPr>
      <w:r w:rsidRPr="009C5807">
        <w:t>PDCCH</w:t>
      </w:r>
      <w:r w:rsidRPr="009C5807">
        <w:tab/>
        <w:t>Physical Downlink Control Channel</w:t>
      </w:r>
    </w:p>
    <w:p w14:paraId="04F33ECA" w14:textId="77777777" w:rsidR="00E93D6B" w:rsidRPr="009C5807" w:rsidRDefault="00E93D6B" w:rsidP="00E93D6B">
      <w:pPr>
        <w:pStyle w:val="EW"/>
      </w:pPr>
      <w:r w:rsidRPr="009C5807">
        <w:t>PDSCH</w:t>
      </w:r>
      <w:r w:rsidRPr="009C5807">
        <w:tab/>
        <w:t>Physical Downlink Shared Channel</w:t>
      </w:r>
    </w:p>
    <w:p w14:paraId="02BC77AB" w14:textId="77777777" w:rsidR="00E93D6B" w:rsidRPr="009C5807" w:rsidRDefault="00E93D6B" w:rsidP="00E93D6B">
      <w:pPr>
        <w:pStyle w:val="EW"/>
      </w:pPr>
      <w:r w:rsidRPr="009C5807">
        <w:t>PLMN</w:t>
      </w:r>
      <w:r w:rsidRPr="009C5807">
        <w:tab/>
        <w:t>Public Land Mobile Network</w:t>
      </w:r>
    </w:p>
    <w:p w14:paraId="4C048A02" w14:textId="47310DCA" w:rsidR="00686804" w:rsidRDefault="009B0B7B" w:rsidP="00686804">
      <w:pPr>
        <w:pStyle w:val="EW"/>
      </w:pPr>
      <w:r w:rsidRPr="009C5807">
        <w:t>PRACH</w:t>
      </w:r>
      <w:r w:rsidRPr="009C5807">
        <w:tab/>
        <w:t>Physical RACH</w:t>
      </w:r>
    </w:p>
    <w:p w14:paraId="10BF5225" w14:textId="78D7D686" w:rsidR="00E60907" w:rsidRPr="00842B0D" w:rsidRDefault="00E60907" w:rsidP="00E60907">
      <w:pPr>
        <w:keepLines/>
        <w:spacing w:after="0"/>
        <w:ind w:left="1702" w:hanging="1418"/>
      </w:pPr>
      <w:r>
        <w:t>Pre-MG</w:t>
      </w:r>
      <w:r>
        <w:tab/>
        <w:t xml:space="preserve">Pre-configured Measurement Gap </w:t>
      </w:r>
    </w:p>
    <w:p w14:paraId="4A55770C" w14:textId="77777777" w:rsidR="00B0469F" w:rsidRDefault="00B0469F" w:rsidP="00B0469F">
      <w:pPr>
        <w:pStyle w:val="EW"/>
      </w:pPr>
      <w:r>
        <w:t>PRP</w:t>
      </w:r>
      <w:r>
        <w:tab/>
        <w:t>PRS Received Power</w:t>
      </w:r>
    </w:p>
    <w:p w14:paraId="652F3CF3" w14:textId="77777777" w:rsidR="00686804" w:rsidRDefault="00686804" w:rsidP="00686804">
      <w:pPr>
        <w:pStyle w:val="EW"/>
      </w:pPr>
      <w:r>
        <w:t>PRS</w:t>
      </w:r>
      <w:r>
        <w:tab/>
        <w:t>Positioning Reference Signal</w:t>
      </w:r>
    </w:p>
    <w:p w14:paraId="21438FEC" w14:textId="7F2B9CF3" w:rsidR="009B0B7B" w:rsidRPr="009C5807" w:rsidRDefault="00686804" w:rsidP="009B0B7B">
      <w:pPr>
        <w:pStyle w:val="EW"/>
      </w:pPr>
      <w:r>
        <w:t>PRS-RSRP</w:t>
      </w:r>
      <w:r>
        <w:tab/>
        <w:t>Positioning Reference Signal based Reference Signal Received Power</w:t>
      </w:r>
    </w:p>
    <w:p w14:paraId="2383689C" w14:textId="77777777" w:rsidR="00A042FA" w:rsidRDefault="00A042FA" w:rsidP="009B0B7B">
      <w:pPr>
        <w:pStyle w:val="EW"/>
      </w:pPr>
      <w:r w:rsidRPr="00D74959">
        <w:t>PPW</w:t>
      </w:r>
      <w:r w:rsidRPr="00D74959">
        <w:tab/>
        <w:t>PRS Processing Window</w:t>
      </w:r>
      <w:r w:rsidRPr="009C5807">
        <w:t xml:space="preserve"> </w:t>
      </w:r>
    </w:p>
    <w:p w14:paraId="37F52089" w14:textId="5F3586DB" w:rsidR="009B0B7B" w:rsidRPr="009C5807" w:rsidRDefault="009B0B7B" w:rsidP="009B0B7B">
      <w:pPr>
        <w:pStyle w:val="EW"/>
      </w:pPr>
      <w:r w:rsidRPr="009C5807">
        <w:t>PSBCH</w:t>
      </w:r>
      <w:r w:rsidRPr="009C5807">
        <w:tab/>
        <w:t>Physical Sidelink Broadcast Channel</w:t>
      </w:r>
    </w:p>
    <w:p w14:paraId="51EDEC67" w14:textId="77777777" w:rsidR="009B0B7B" w:rsidRPr="009C5807" w:rsidRDefault="009B0B7B" w:rsidP="009B0B7B">
      <w:pPr>
        <w:pStyle w:val="EW"/>
      </w:pPr>
      <w:r w:rsidRPr="009C5807">
        <w:t>PSBCH-RSRP</w:t>
      </w:r>
      <w:r w:rsidRPr="009C5807">
        <w:tab/>
        <w:t>Physical Sidelink Broadcast Channel DMRS based Reference Signal Received Power</w:t>
      </w:r>
    </w:p>
    <w:p w14:paraId="2F9313F2" w14:textId="77777777" w:rsidR="009B0B7B" w:rsidRPr="009C5807" w:rsidRDefault="009B0B7B" w:rsidP="009B0B7B">
      <w:pPr>
        <w:pStyle w:val="EW"/>
      </w:pPr>
      <w:r w:rsidRPr="009C5807">
        <w:t>PSCCH</w:t>
      </w:r>
      <w:r w:rsidRPr="009C5807">
        <w:tab/>
        <w:t>Physical Sidelink Control Channel</w:t>
      </w:r>
    </w:p>
    <w:p w14:paraId="3870ED4D" w14:textId="77777777" w:rsidR="009B0B7B" w:rsidRPr="009C5807" w:rsidRDefault="009B0B7B" w:rsidP="009B0B7B">
      <w:pPr>
        <w:pStyle w:val="EW"/>
      </w:pPr>
      <w:r w:rsidRPr="009C5807">
        <w:t>PSCCH-RSRP</w:t>
      </w:r>
      <w:r w:rsidRPr="009C5807">
        <w:tab/>
        <w:t>Physical Sidelink Control Channel DMRS based Reference Signal Received Power</w:t>
      </w:r>
    </w:p>
    <w:p w14:paraId="3D38DE1B" w14:textId="77777777" w:rsidR="00E93D6B" w:rsidRPr="009C5807" w:rsidRDefault="00E93D6B" w:rsidP="00E93D6B">
      <w:pPr>
        <w:pStyle w:val="EW"/>
      </w:pPr>
      <w:r w:rsidRPr="009C5807">
        <w:t>PSCell</w:t>
      </w:r>
      <w:r w:rsidRPr="009C5807">
        <w:tab/>
        <w:t>Primary SCell</w:t>
      </w:r>
    </w:p>
    <w:p w14:paraId="3AC1BECB" w14:textId="4D8323BE" w:rsidR="00C722B4" w:rsidRDefault="00C722B4" w:rsidP="00C722B4">
      <w:pPr>
        <w:pStyle w:val="EW"/>
      </w:pPr>
      <w:r>
        <w:t>PSS</w:t>
      </w:r>
      <w:r>
        <w:tab/>
        <w:t xml:space="preserve">Primary Synchronization Signal </w:t>
      </w:r>
    </w:p>
    <w:p w14:paraId="05A5A316" w14:textId="77777777" w:rsidR="009B0B7B" w:rsidRPr="009C5807" w:rsidRDefault="009B0B7B" w:rsidP="009B0B7B">
      <w:pPr>
        <w:pStyle w:val="EW"/>
      </w:pPr>
      <w:r w:rsidRPr="009C5807">
        <w:t>PSSCH</w:t>
      </w:r>
      <w:r w:rsidRPr="009C5807">
        <w:tab/>
        <w:t>Physical Sidelink Shared Channel</w:t>
      </w:r>
    </w:p>
    <w:p w14:paraId="3E6E3E1C" w14:textId="77777777" w:rsidR="009B0B7B" w:rsidRPr="009C5807" w:rsidRDefault="009B0B7B" w:rsidP="009B0B7B">
      <w:pPr>
        <w:pStyle w:val="EW"/>
      </w:pPr>
      <w:r w:rsidRPr="009C5807">
        <w:t>PSSCH-RSRP</w:t>
      </w:r>
      <w:r w:rsidRPr="009C5807">
        <w:tab/>
        <w:t>Physical Sidelink Shared Channel DMRS based Reference Signal Received Power</w:t>
      </w:r>
    </w:p>
    <w:p w14:paraId="23E4192F" w14:textId="4A9F5EBF" w:rsidR="00E93D6B" w:rsidRPr="009C5807" w:rsidRDefault="00E93D6B" w:rsidP="00E93D6B">
      <w:pPr>
        <w:pStyle w:val="EW"/>
      </w:pPr>
      <w:r w:rsidRPr="009C5807">
        <w:t>pTAG</w:t>
      </w:r>
      <w:r w:rsidRPr="009C5807">
        <w:tab/>
        <w:t>Primary Timing Advance Group</w:t>
      </w:r>
    </w:p>
    <w:p w14:paraId="00A6DC19" w14:textId="77777777" w:rsidR="00E93D6B" w:rsidRPr="009C5807" w:rsidRDefault="00E93D6B" w:rsidP="00E93D6B">
      <w:pPr>
        <w:pStyle w:val="EW"/>
      </w:pPr>
      <w:r w:rsidRPr="009C5807">
        <w:t>PUCCH</w:t>
      </w:r>
      <w:r w:rsidRPr="009C5807">
        <w:tab/>
        <w:t>Physical Uplink Control Channel</w:t>
      </w:r>
    </w:p>
    <w:p w14:paraId="1C564B27" w14:textId="77777777" w:rsidR="00E93D6B" w:rsidRPr="009C5807" w:rsidRDefault="00E93D6B" w:rsidP="00E93D6B">
      <w:pPr>
        <w:pStyle w:val="EW"/>
      </w:pPr>
      <w:r w:rsidRPr="009C5807">
        <w:t>PUSCH</w:t>
      </w:r>
      <w:r w:rsidRPr="009C5807">
        <w:tab/>
        <w:t>Physical Uplink Shared Channel</w:t>
      </w:r>
    </w:p>
    <w:p w14:paraId="358DE71E" w14:textId="77777777" w:rsidR="00E93D6B" w:rsidRPr="009C5807" w:rsidRDefault="00E93D6B" w:rsidP="00E93D6B">
      <w:pPr>
        <w:pStyle w:val="EW"/>
      </w:pPr>
      <w:r w:rsidRPr="009C5807">
        <w:t>QCL</w:t>
      </w:r>
      <w:r w:rsidRPr="009C5807">
        <w:tab/>
        <w:t>Quasi Co-Location</w:t>
      </w:r>
    </w:p>
    <w:p w14:paraId="1FE847F9" w14:textId="77777777" w:rsidR="00E93D6B" w:rsidRPr="009C5807" w:rsidRDefault="00E93D6B" w:rsidP="00E93D6B">
      <w:pPr>
        <w:pStyle w:val="EW"/>
      </w:pPr>
      <w:r w:rsidRPr="009C5807">
        <w:t>RACH</w:t>
      </w:r>
      <w:r w:rsidRPr="009C5807">
        <w:tab/>
        <w:t>Random Access Channel</w:t>
      </w:r>
    </w:p>
    <w:p w14:paraId="2D1DE3FD" w14:textId="77777777" w:rsidR="00E93D6B" w:rsidRPr="009C5807" w:rsidRDefault="00E93D6B" w:rsidP="00E93D6B">
      <w:pPr>
        <w:pStyle w:val="EW"/>
      </w:pPr>
      <w:r w:rsidRPr="009C5807">
        <w:t>RAT</w:t>
      </w:r>
      <w:r w:rsidRPr="009C5807">
        <w:tab/>
        <w:t>Radio Access Technology</w:t>
      </w:r>
    </w:p>
    <w:p w14:paraId="6EC03427" w14:textId="77777777" w:rsidR="00E93D6B" w:rsidRPr="009C5807" w:rsidRDefault="00E93D6B" w:rsidP="00E93D6B">
      <w:pPr>
        <w:pStyle w:val="EW"/>
      </w:pPr>
      <w:r w:rsidRPr="009C5807">
        <w:t>RLM</w:t>
      </w:r>
      <w:r w:rsidRPr="009C5807">
        <w:tab/>
        <w:t>Radio Link Monitoring</w:t>
      </w:r>
    </w:p>
    <w:p w14:paraId="5E9DB4CD" w14:textId="77777777" w:rsidR="00E93D6B" w:rsidRPr="009C5807" w:rsidRDefault="00E93D6B" w:rsidP="00E93D6B">
      <w:pPr>
        <w:pStyle w:val="EW"/>
      </w:pPr>
      <w:r w:rsidRPr="009C5807">
        <w:t>RLM-RS</w:t>
      </w:r>
      <w:r w:rsidRPr="009C5807">
        <w:tab/>
        <w:t>Reference Signal for RLM</w:t>
      </w:r>
    </w:p>
    <w:p w14:paraId="632E0765" w14:textId="77777777" w:rsidR="00E93D6B" w:rsidRPr="009C5807" w:rsidRDefault="00E93D6B" w:rsidP="00E93D6B">
      <w:pPr>
        <w:pStyle w:val="EW"/>
      </w:pPr>
      <w:r w:rsidRPr="009C5807">
        <w:t>RMSI</w:t>
      </w:r>
      <w:r w:rsidRPr="009C5807">
        <w:tab/>
        <w:t>Remaining Minimum System Information</w:t>
      </w:r>
    </w:p>
    <w:p w14:paraId="77DE8F3F" w14:textId="77777777" w:rsidR="00E93D6B" w:rsidRPr="009C5807" w:rsidRDefault="00E93D6B" w:rsidP="00E93D6B">
      <w:pPr>
        <w:pStyle w:val="EW"/>
      </w:pPr>
      <w:r w:rsidRPr="009C5807">
        <w:t>RRC</w:t>
      </w:r>
      <w:r w:rsidRPr="009C5807">
        <w:tab/>
        <w:t>Radio Resource Control</w:t>
      </w:r>
    </w:p>
    <w:p w14:paraId="07E7CE90" w14:textId="77777777" w:rsidR="008124BE" w:rsidRPr="009C5807" w:rsidRDefault="008124BE" w:rsidP="008124BE">
      <w:pPr>
        <w:pStyle w:val="EW"/>
      </w:pPr>
      <w:r>
        <w:t>RRH</w:t>
      </w:r>
      <w:r w:rsidRPr="009C5807">
        <w:tab/>
      </w:r>
      <w:r>
        <w:t>Remote Radio Head</w:t>
      </w:r>
    </w:p>
    <w:p w14:paraId="302A50C2" w14:textId="77777777" w:rsidR="00E93D6B" w:rsidRPr="009C5807" w:rsidRDefault="00E93D6B" w:rsidP="00E93D6B">
      <w:pPr>
        <w:pStyle w:val="EW"/>
      </w:pPr>
      <w:r w:rsidRPr="009C5807">
        <w:t>RRM</w:t>
      </w:r>
      <w:r w:rsidRPr="009C5807">
        <w:tab/>
        <w:t>Radio Resource Management</w:t>
      </w:r>
    </w:p>
    <w:p w14:paraId="6268F977" w14:textId="77777777" w:rsidR="00E93D6B" w:rsidRPr="009C5807" w:rsidRDefault="00E93D6B" w:rsidP="00E93D6B">
      <w:pPr>
        <w:pStyle w:val="EW"/>
      </w:pPr>
      <w:r w:rsidRPr="009C5807">
        <w:t>RSSI</w:t>
      </w:r>
      <w:r w:rsidRPr="009C5807">
        <w:tab/>
        <w:t>Received Signal Strength Indicator</w:t>
      </w:r>
    </w:p>
    <w:p w14:paraId="71D1C49A" w14:textId="77777777" w:rsidR="00686804" w:rsidRDefault="00686804" w:rsidP="00686804">
      <w:pPr>
        <w:pStyle w:val="EW"/>
      </w:pPr>
      <w:r>
        <w:t>RSRP</w:t>
      </w:r>
      <w:r>
        <w:tab/>
        <w:t>Reference Signal Received Power</w:t>
      </w:r>
    </w:p>
    <w:p w14:paraId="1770400F" w14:textId="77777777" w:rsidR="00686804" w:rsidRDefault="00686804" w:rsidP="00686804">
      <w:pPr>
        <w:pStyle w:val="EW"/>
      </w:pPr>
      <w:r>
        <w:t>RSRQ</w:t>
      </w:r>
      <w:r>
        <w:tab/>
        <w:t>Reference Signal Received Quality</w:t>
      </w:r>
    </w:p>
    <w:p w14:paraId="48563985" w14:textId="77777777" w:rsidR="00686804" w:rsidRDefault="00686804" w:rsidP="00686804">
      <w:pPr>
        <w:pStyle w:val="EW"/>
        <w:rPr>
          <w:lang w:val="en-US"/>
        </w:rPr>
      </w:pPr>
      <w:r>
        <w:rPr>
          <w:lang w:val="en-US"/>
        </w:rPr>
        <w:t>RSTD</w:t>
      </w:r>
      <w:r>
        <w:rPr>
          <w:lang w:val="en-US"/>
        </w:rPr>
        <w:tab/>
        <w:t>Reference Signal Time Difference</w:t>
      </w:r>
    </w:p>
    <w:p w14:paraId="2EE97464" w14:textId="77777777" w:rsidR="00686804" w:rsidRDefault="00686804" w:rsidP="00686804">
      <w:pPr>
        <w:pStyle w:val="EW"/>
        <w:rPr>
          <w:lang w:val="en-US"/>
        </w:rPr>
      </w:pPr>
      <w:r>
        <w:rPr>
          <w:lang w:val="en-US"/>
        </w:rPr>
        <w:t>RTT</w:t>
      </w:r>
      <w:r>
        <w:rPr>
          <w:lang w:val="en-US"/>
        </w:rPr>
        <w:tab/>
        <w:t>Round Trip Time</w:t>
      </w:r>
    </w:p>
    <w:p w14:paraId="5F582579" w14:textId="77777777" w:rsidR="009B0B7B" w:rsidRPr="009C5807" w:rsidRDefault="009B0B7B" w:rsidP="009B0B7B">
      <w:pPr>
        <w:pStyle w:val="EW"/>
        <w:rPr>
          <w:lang w:val="en-US"/>
        </w:rPr>
      </w:pPr>
      <w:r w:rsidRPr="009C5807">
        <w:rPr>
          <w:lang w:val="en-US"/>
        </w:rPr>
        <w:t>S-SSB</w:t>
      </w:r>
      <w:r w:rsidRPr="009C5807">
        <w:rPr>
          <w:lang w:val="en-US"/>
        </w:rPr>
        <w:tab/>
        <w:t>Sidelink Synchronization Signal Block</w:t>
      </w:r>
    </w:p>
    <w:p w14:paraId="24FA9F6E" w14:textId="77777777" w:rsidR="00961D45" w:rsidRDefault="00961D45" w:rsidP="00961D45">
      <w:pPr>
        <w:pStyle w:val="EW"/>
      </w:pPr>
      <w:r>
        <w:t>SSB_RP</w:t>
      </w:r>
      <w:r>
        <w:tab/>
        <w:t>Received (linear) average power of the resource elements that carry NR SSB signals and channels, measured at the UE antenna connector</w:t>
      </w:r>
      <w:r>
        <w:rPr>
          <w:rFonts w:hint="eastAsia"/>
          <w:lang w:val="en-US" w:eastAsia="zh-CN"/>
        </w:rPr>
        <w:t xml:space="preserve"> or radiated interface boundary</w:t>
      </w:r>
      <w:r>
        <w:t>.</w:t>
      </w:r>
    </w:p>
    <w:p w14:paraId="1385BDA1" w14:textId="77777777" w:rsidR="00E93D6B" w:rsidRPr="009C5807" w:rsidRDefault="00E93D6B" w:rsidP="00E93D6B">
      <w:pPr>
        <w:pStyle w:val="EW"/>
      </w:pPr>
      <w:r w:rsidRPr="009C5807">
        <w:t>SA</w:t>
      </w:r>
      <w:r w:rsidRPr="009C5807">
        <w:tab/>
        <w:t>Standalone operation mode</w:t>
      </w:r>
    </w:p>
    <w:p w14:paraId="36FA7C02" w14:textId="77777777" w:rsidR="00435685" w:rsidRDefault="00435685" w:rsidP="00E93D6B">
      <w:pPr>
        <w:pStyle w:val="EW"/>
      </w:pPr>
      <w:r>
        <w:t>SAB</w:t>
      </w:r>
      <w:r>
        <w:tab/>
        <w:t xml:space="preserve">Satellite access band </w:t>
      </w:r>
    </w:p>
    <w:p w14:paraId="257605DA" w14:textId="61F96091" w:rsidR="00E25D31" w:rsidRDefault="00E25D31" w:rsidP="00E93D6B">
      <w:pPr>
        <w:pStyle w:val="EW"/>
      </w:pPr>
      <w:r>
        <w:t>SAN</w:t>
      </w:r>
      <w:r>
        <w:tab/>
        <w:t xml:space="preserve">Satellite Access Node </w:t>
      </w:r>
    </w:p>
    <w:p w14:paraId="0CC8898E" w14:textId="17A80FE2" w:rsidR="00E93D6B" w:rsidRPr="009C5807" w:rsidRDefault="00E93D6B" w:rsidP="00E93D6B">
      <w:pPr>
        <w:pStyle w:val="EW"/>
      </w:pPr>
      <w:r w:rsidRPr="009C5807">
        <w:t>SCC</w:t>
      </w:r>
      <w:r w:rsidRPr="009C5807">
        <w:tab/>
        <w:t>Secondary Component Carrier</w:t>
      </w:r>
    </w:p>
    <w:p w14:paraId="0451CBAE" w14:textId="77777777" w:rsidR="00E93D6B" w:rsidRPr="009C5807" w:rsidRDefault="00E93D6B" w:rsidP="00E93D6B">
      <w:pPr>
        <w:pStyle w:val="EW"/>
      </w:pPr>
      <w:r w:rsidRPr="009C5807">
        <w:t>SCell</w:t>
      </w:r>
      <w:r w:rsidRPr="009C5807">
        <w:tab/>
        <w:t>Secondary Cell</w:t>
      </w:r>
    </w:p>
    <w:p w14:paraId="50FF8370" w14:textId="77777777" w:rsidR="00E93D6B" w:rsidRPr="009C5807" w:rsidRDefault="00E93D6B" w:rsidP="00E93D6B">
      <w:pPr>
        <w:pStyle w:val="EW"/>
      </w:pPr>
      <w:r w:rsidRPr="009C5807">
        <w:t>SCG</w:t>
      </w:r>
      <w:r w:rsidRPr="009C5807">
        <w:tab/>
        <w:t>Secondary Cell Group</w:t>
      </w:r>
    </w:p>
    <w:p w14:paraId="7562467C" w14:textId="77777777" w:rsidR="00E93D6B" w:rsidRPr="009C5807" w:rsidRDefault="00E93D6B" w:rsidP="00E93D6B">
      <w:pPr>
        <w:pStyle w:val="EW"/>
      </w:pPr>
      <w:r w:rsidRPr="009C5807">
        <w:t>SCS</w:t>
      </w:r>
      <w:r w:rsidRPr="009C5807">
        <w:tab/>
        <w:t>Subcarrier Spacing</w:t>
      </w:r>
    </w:p>
    <w:p w14:paraId="56370B57" w14:textId="77777777" w:rsidR="00E93D6B" w:rsidRPr="009C5807" w:rsidRDefault="00E93D6B" w:rsidP="00E93D6B">
      <w:pPr>
        <w:pStyle w:val="EW"/>
      </w:pPr>
      <w:r w:rsidRPr="009C5807">
        <w:t>SCS</w:t>
      </w:r>
      <w:r w:rsidRPr="009C5807">
        <w:rPr>
          <w:vertAlign w:val="subscript"/>
        </w:rPr>
        <w:t>SSB</w:t>
      </w:r>
      <w:r w:rsidRPr="009C5807">
        <w:tab/>
        <w:t>SSB subcarrier spacing</w:t>
      </w:r>
    </w:p>
    <w:p w14:paraId="18BAF208" w14:textId="77777777" w:rsidR="00E93D6B" w:rsidRPr="009C5807" w:rsidRDefault="00E93D6B" w:rsidP="00E93D6B">
      <w:pPr>
        <w:pStyle w:val="EW"/>
      </w:pPr>
      <w:r w:rsidRPr="009C5807">
        <w:t>SDL</w:t>
      </w:r>
      <w:r w:rsidRPr="009C5807">
        <w:tab/>
        <w:t>Supplementary Downlink</w:t>
      </w:r>
    </w:p>
    <w:p w14:paraId="563C2312" w14:textId="77777777" w:rsidR="0020479F" w:rsidRPr="00BE6B50" w:rsidRDefault="0020479F" w:rsidP="0020479F">
      <w:pPr>
        <w:pStyle w:val="EW"/>
      </w:pPr>
      <w:r>
        <w:t>SDT</w:t>
      </w:r>
      <w:r w:rsidRPr="009C5807">
        <w:tab/>
      </w:r>
      <w:r>
        <w:t>Small Data Transmission</w:t>
      </w:r>
    </w:p>
    <w:p w14:paraId="56E3E62F" w14:textId="77777777" w:rsidR="00E93D6B" w:rsidRPr="009C5807" w:rsidRDefault="00E93D6B" w:rsidP="00E93D6B">
      <w:pPr>
        <w:pStyle w:val="EW"/>
        <w:rPr>
          <w:lang w:val="en-US"/>
        </w:rPr>
      </w:pPr>
      <w:r w:rsidRPr="009C5807">
        <w:rPr>
          <w:lang w:val="en-US"/>
        </w:rPr>
        <w:t>SFN</w:t>
      </w:r>
      <w:r w:rsidRPr="009C5807">
        <w:rPr>
          <w:lang w:val="en-US"/>
        </w:rPr>
        <w:tab/>
        <w:t>System Frame Number</w:t>
      </w:r>
    </w:p>
    <w:p w14:paraId="7CB3E200" w14:textId="53BD3BC6" w:rsidR="00E93D6B" w:rsidRPr="009C5807" w:rsidRDefault="00E93D6B" w:rsidP="00E93D6B">
      <w:pPr>
        <w:pStyle w:val="EW"/>
      </w:pPr>
      <w:r w:rsidRPr="009C5807">
        <w:t>SFTD</w:t>
      </w:r>
      <w:r w:rsidRPr="009C5807">
        <w:tab/>
        <w:t>SFN and Frame Timing DifferenceSI</w:t>
      </w:r>
      <w:r w:rsidRPr="009C5807">
        <w:tab/>
        <w:t>System Information</w:t>
      </w:r>
    </w:p>
    <w:p w14:paraId="1149DDA0" w14:textId="77777777" w:rsidR="009B0B7B" w:rsidRPr="009C5807" w:rsidRDefault="009B0B7B" w:rsidP="009B0B7B">
      <w:pPr>
        <w:pStyle w:val="EW"/>
      </w:pPr>
      <w:r w:rsidRPr="009C5807">
        <w:t>SIB</w:t>
      </w:r>
      <w:r w:rsidRPr="009C5807">
        <w:tab/>
        <w:t>System Information Block</w:t>
      </w:r>
    </w:p>
    <w:p w14:paraId="59C7EFDB" w14:textId="77777777" w:rsidR="009B0B7B" w:rsidRPr="009C5807" w:rsidRDefault="009B0B7B" w:rsidP="009B0B7B">
      <w:pPr>
        <w:pStyle w:val="EW"/>
      </w:pPr>
      <w:r w:rsidRPr="009C5807">
        <w:t>SL-RSSI</w:t>
      </w:r>
      <w:r w:rsidRPr="009C5807">
        <w:tab/>
        <w:t>Sidelink Received Signal Strength Indicator</w:t>
      </w:r>
    </w:p>
    <w:p w14:paraId="66498F41" w14:textId="77777777" w:rsidR="009B0B7B" w:rsidRPr="009C5807" w:rsidRDefault="009B0B7B" w:rsidP="009B0B7B">
      <w:pPr>
        <w:pStyle w:val="EW"/>
      </w:pPr>
      <w:r w:rsidRPr="009C5807">
        <w:t>SLSS</w:t>
      </w:r>
      <w:r w:rsidRPr="009C5807">
        <w:tab/>
      </w:r>
      <w:r w:rsidRPr="009C5807">
        <w:rPr>
          <w:lang w:val="en-US"/>
        </w:rPr>
        <w:t>Sidelink Synchronization Signal</w:t>
      </w:r>
    </w:p>
    <w:p w14:paraId="2F3DBAF2" w14:textId="77777777" w:rsidR="00E93D6B" w:rsidRPr="009C5807" w:rsidRDefault="00E93D6B" w:rsidP="00E93D6B">
      <w:pPr>
        <w:pStyle w:val="EW"/>
      </w:pPr>
      <w:r w:rsidRPr="009C5807">
        <w:t>SMTC</w:t>
      </w:r>
      <w:r w:rsidRPr="009C5807">
        <w:tab/>
        <w:t>SSB-based Measurement Timing configuration</w:t>
      </w:r>
    </w:p>
    <w:p w14:paraId="6E39AD94" w14:textId="77777777" w:rsidR="00E93D6B" w:rsidRPr="009C5807" w:rsidRDefault="00E93D6B" w:rsidP="00E93D6B">
      <w:pPr>
        <w:pStyle w:val="EW"/>
      </w:pPr>
      <w:r w:rsidRPr="009C5807">
        <w:t>SpCell</w:t>
      </w:r>
      <w:r w:rsidRPr="009C5807">
        <w:tab/>
        <w:t>Special Cell</w:t>
      </w:r>
    </w:p>
    <w:p w14:paraId="28EF343D" w14:textId="29994E70" w:rsidR="00686804" w:rsidRDefault="00E93D6B" w:rsidP="00686804">
      <w:pPr>
        <w:pStyle w:val="EW"/>
        <w:keepNext/>
      </w:pPr>
      <w:r w:rsidRPr="009C5807">
        <w:lastRenderedPageBreak/>
        <w:t>SRS</w:t>
      </w:r>
      <w:r w:rsidRPr="009C5807">
        <w:tab/>
        <w:t>Sounding Reference Signal</w:t>
      </w:r>
    </w:p>
    <w:p w14:paraId="35C4F489" w14:textId="7962F095" w:rsidR="00E93D6B" w:rsidRPr="009C5807" w:rsidRDefault="00686804" w:rsidP="00E93D6B">
      <w:pPr>
        <w:pStyle w:val="EW"/>
        <w:keepNext/>
      </w:pPr>
      <w:r>
        <w:t>SRS-RSRP</w:t>
      </w:r>
      <w:r>
        <w:tab/>
        <w:t>Sounding Reference Signal based Reference Signal Received Power</w:t>
      </w:r>
    </w:p>
    <w:p w14:paraId="5FE609A7" w14:textId="77777777" w:rsidR="00E93D6B" w:rsidRPr="009C5807" w:rsidRDefault="00E93D6B" w:rsidP="00E93D6B">
      <w:pPr>
        <w:pStyle w:val="EW"/>
        <w:keepNext/>
      </w:pPr>
      <w:r w:rsidRPr="009C5807">
        <w:t>SS-RSRP</w:t>
      </w:r>
      <w:r w:rsidRPr="009C5807">
        <w:tab/>
        <w:t>Synchronization Signal based Reference Signal Received Power</w:t>
      </w:r>
    </w:p>
    <w:p w14:paraId="170D3C5D" w14:textId="77777777" w:rsidR="00E93D6B" w:rsidRPr="009C5807" w:rsidRDefault="00E93D6B" w:rsidP="00E93D6B">
      <w:pPr>
        <w:pStyle w:val="EW"/>
        <w:keepNext/>
      </w:pPr>
      <w:r w:rsidRPr="009C5807">
        <w:t>SS-RSRQ</w:t>
      </w:r>
      <w:r w:rsidRPr="009C5807">
        <w:tab/>
        <w:t>Synchronization Signal based Reference Signal Received Quality</w:t>
      </w:r>
    </w:p>
    <w:p w14:paraId="71D17674" w14:textId="77777777" w:rsidR="00E93D6B" w:rsidRPr="009C5807" w:rsidRDefault="00E93D6B" w:rsidP="00E93D6B">
      <w:pPr>
        <w:pStyle w:val="EW"/>
      </w:pPr>
      <w:r w:rsidRPr="009C5807">
        <w:t>SS-SINR</w:t>
      </w:r>
      <w:r w:rsidRPr="009C5807">
        <w:tab/>
        <w:t>Synchronization Signal based Signal to Noise and Interference Ratio</w:t>
      </w:r>
    </w:p>
    <w:p w14:paraId="0BBA229A" w14:textId="77777777" w:rsidR="00E93D6B" w:rsidRPr="009C5807" w:rsidRDefault="00E93D6B" w:rsidP="00E93D6B">
      <w:pPr>
        <w:pStyle w:val="EW"/>
      </w:pPr>
      <w:r w:rsidRPr="009C5807">
        <w:t>SSB</w:t>
      </w:r>
      <w:r w:rsidRPr="009C5807">
        <w:tab/>
        <w:t>Synchronization Signal Block</w:t>
      </w:r>
    </w:p>
    <w:p w14:paraId="7ECE1521" w14:textId="77777777" w:rsidR="00E93D6B" w:rsidRPr="009C5807" w:rsidRDefault="00E93D6B" w:rsidP="00E93D6B">
      <w:pPr>
        <w:pStyle w:val="EW"/>
      </w:pPr>
      <w:r w:rsidRPr="009C5807">
        <w:t>SSB_RP</w:t>
      </w:r>
      <w:r w:rsidRPr="009C5807">
        <w:tab/>
        <w:t>Received (linear) average power of the resource elements that carry NR SSB signals and channels, measured at the UE antenna connector.</w:t>
      </w:r>
    </w:p>
    <w:p w14:paraId="430D931E" w14:textId="77777777" w:rsidR="00E93D6B" w:rsidRPr="009C5807" w:rsidRDefault="00E93D6B" w:rsidP="00E93D6B">
      <w:pPr>
        <w:pStyle w:val="EW"/>
      </w:pPr>
      <w:r w:rsidRPr="009C5807">
        <w:t>SSS</w:t>
      </w:r>
      <w:r w:rsidRPr="009C5807">
        <w:tab/>
        <w:t>Secondary Synchronization Signal</w:t>
      </w:r>
    </w:p>
    <w:p w14:paraId="7AD1B0C0" w14:textId="77777777" w:rsidR="00E93D6B" w:rsidRPr="009C5807" w:rsidRDefault="00E93D6B" w:rsidP="00E93D6B">
      <w:pPr>
        <w:pStyle w:val="EW"/>
      </w:pPr>
      <w:r w:rsidRPr="009C5807">
        <w:t>sTAG</w:t>
      </w:r>
      <w:r w:rsidRPr="009C5807">
        <w:tab/>
        <w:t>Secondary Timing Advance Group</w:t>
      </w:r>
    </w:p>
    <w:p w14:paraId="5976A132" w14:textId="77777777" w:rsidR="00E93D6B" w:rsidRPr="009C5807" w:rsidRDefault="00E93D6B" w:rsidP="00E93D6B">
      <w:pPr>
        <w:pStyle w:val="EW"/>
      </w:pPr>
      <w:r w:rsidRPr="009C5807">
        <w:t>SUL</w:t>
      </w:r>
      <w:r w:rsidRPr="009C5807">
        <w:tab/>
        <w:t>Supplementary Uplink</w:t>
      </w:r>
    </w:p>
    <w:p w14:paraId="3712E749" w14:textId="77777777" w:rsidR="00E93D6B" w:rsidRPr="009C5807" w:rsidRDefault="00E93D6B" w:rsidP="00E93D6B">
      <w:pPr>
        <w:pStyle w:val="EW"/>
      </w:pPr>
      <w:r w:rsidRPr="009C5807">
        <w:t>TA</w:t>
      </w:r>
      <w:r w:rsidRPr="009C5807">
        <w:tab/>
        <w:t>Timing Advance</w:t>
      </w:r>
    </w:p>
    <w:p w14:paraId="6B3FB97A" w14:textId="77777777" w:rsidR="00E93D6B" w:rsidRPr="009C5807" w:rsidRDefault="00E93D6B" w:rsidP="00E93D6B">
      <w:pPr>
        <w:pStyle w:val="EW"/>
      </w:pPr>
      <w:r w:rsidRPr="009C5807">
        <w:t>TAG</w:t>
      </w:r>
      <w:r w:rsidRPr="009C5807">
        <w:tab/>
        <w:t>Timing Advance Group</w:t>
      </w:r>
    </w:p>
    <w:p w14:paraId="06BB74FC" w14:textId="77777777" w:rsidR="00E93D6B" w:rsidRPr="009C5807" w:rsidRDefault="00E93D6B" w:rsidP="00E93D6B">
      <w:pPr>
        <w:pStyle w:val="EW"/>
      </w:pPr>
      <w:r w:rsidRPr="009C5807">
        <w:t>TCI</w:t>
      </w:r>
      <w:r w:rsidRPr="009C5807">
        <w:tab/>
        <w:t>Transmission Configuration Indicator</w:t>
      </w:r>
    </w:p>
    <w:p w14:paraId="49E658CD" w14:textId="345E5599" w:rsidR="00686804" w:rsidRDefault="00E93D6B" w:rsidP="00686804">
      <w:pPr>
        <w:pStyle w:val="EW"/>
      </w:pPr>
      <w:r w:rsidRPr="009C5807">
        <w:t>TDD</w:t>
      </w:r>
      <w:r w:rsidRPr="009C5807">
        <w:tab/>
        <w:t>Time Division Duplex</w:t>
      </w:r>
    </w:p>
    <w:p w14:paraId="24E979E8" w14:textId="77777777" w:rsidR="00686804" w:rsidRDefault="00686804" w:rsidP="00686804">
      <w:pPr>
        <w:pStyle w:val="EW"/>
      </w:pPr>
      <w:r>
        <w:t>TDOA</w:t>
      </w:r>
      <w:r>
        <w:tab/>
      </w:r>
      <w:r w:rsidRPr="007C6275">
        <w:t>Time Difference Of Arrival</w:t>
      </w:r>
    </w:p>
    <w:p w14:paraId="10397C36" w14:textId="77777777" w:rsidR="00E25D31" w:rsidRDefault="00E25D31" w:rsidP="00E93D6B">
      <w:pPr>
        <w:pStyle w:val="EW"/>
      </w:pPr>
      <w:r>
        <w:t>TN</w:t>
      </w:r>
      <w:r>
        <w:tab/>
        <w:t xml:space="preserve">Terrestrial Network </w:t>
      </w:r>
    </w:p>
    <w:p w14:paraId="60839E2B" w14:textId="7BF20F14" w:rsidR="00E93D6B" w:rsidRPr="009C5807" w:rsidRDefault="00686804" w:rsidP="00E93D6B">
      <w:pPr>
        <w:pStyle w:val="EW"/>
      </w:pPr>
      <w:r>
        <w:t>TRP</w:t>
      </w:r>
      <w:r>
        <w:tab/>
      </w:r>
      <w:r w:rsidRPr="00EC341D">
        <w:t>Transmission-Reception Point</w:t>
      </w:r>
    </w:p>
    <w:p w14:paraId="3457C16C" w14:textId="77777777" w:rsidR="00E93D6B" w:rsidRPr="009C5807" w:rsidRDefault="00E93D6B" w:rsidP="00E93D6B">
      <w:pPr>
        <w:pStyle w:val="EW"/>
      </w:pPr>
      <w:r w:rsidRPr="009C5807">
        <w:t>TTI</w:t>
      </w:r>
      <w:r w:rsidRPr="009C5807">
        <w:tab/>
        <w:t>Transmission Time Interval</w:t>
      </w:r>
    </w:p>
    <w:p w14:paraId="25A411FF" w14:textId="77777777" w:rsidR="00E93D6B" w:rsidRPr="009C5807" w:rsidRDefault="00E93D6B" w:rsidP="00E93D6B">
      <w:pPr>
        <w:pStyle w:val="EW"/>
      </w:pPr>
      <w:r w:rsidRPr="009C5807">
        <w:t>UE</w:t>
      </w:r>
      <w:r w:rsidRPr="009C5807">
        <w:tab/>
        <w:t>User Equipment</w:t>
      </w:r>
    </w:p>
    <w:p w14:paraId="22531B3C" w14:textId="77777777" w:rsidR="00E93D6B" w:rsidRPr="009C5807" w:rsidRDefault="00E93D6B" w:rsidP="00E93D6B">
      <w:pPr>
        <w:pStyle w:val="EW"/>
      </w:pPr>
      <w:r w:rsidRPr="009C5807">
        <w:t>UL</w:t>
      </w:r>
      <w:r w:rsidRPr="009C5807">
        <w:tab/>
        <w:t>Uplink</w:t>
      </w:r>
    </w:p>
    <w:p w14:paraId="37F3684A" w14:textId="77777777" w:rsidR="00D76FC8" w:rsidRDefault="00D76FC8" w:rsidP="00AF2C21">
      <w:pPr>
        <w:pStyle w:val="EW"/>
      </w:pPr>
      <w:r>
        <w:t>VIL</w:t>
      </w:r>
      <w:r>
        <w:tab/>
        <w:t>Visible Interruption Length</w:t>
      </w:r>
    </w:p>
    <w:p w14:paraId="0FF4C011" w14:textId="63C2360B" w:rsidR="00D76FC8" w:rsidRDefault="00D76FC8" w:rsidP="00AF2C21">
      <w:pPr>
        <w:pStyle w:val="EW"/>
      </w:pPr>
      <w:r>
        <w:t>VI</w:t>
      </w:r>
      <w:r w:rsidRPr="00842B0D">
        <w:t>RP</w:t>
      </w:r>
      <w:r w:rsidRPr="00842B0D">
        <w:tab/>
      </w:r>
      <w:r>
        <w:t xml:space="preserve">Visible Interruption </w:t>
      </w:r>
      <w:r w:rsidRPr="00842B0D">
        <w:t>Repetition Period</w:t>
      </w:r>
    </w:p>
    <w:p w14:paraId="2CA02C5F" w14:textId="22234722" w:rsidR="00E25D31" w:rsidRPr="002C1E71" w:rsidRDefault="00E25D31" w:rsidP="00AF2C21">
      <w:pPr>
        <w:pStyle w:val="EW"/>
      </w:pPr>
      <w:r>
        <w:t>VSAT</w:t>
      </w:r>
      <w:r>
        <w:tab/>
        <w:t>Very Small Aperture Terminal</w:t>
      </w:r>
    </w:p>
    <w:p w14:paraId="69489E18" w14:textId="77777777" w:rsidR="00E93D6B" w:rsidRPr="009C5807" w:rsidRDefault="00E93D6B" w:rsidP="00E93D6B">
      <w:pPr>
        <w:pStyle w:val="EW"/>
        <w:rPr>
          <w:lang w:eastAsia="ko-KR"/>
        </w:rPr>
      </w:pPr>
    </w:p>
    <w:p w14:paraId="21E5DBA2" w14:textId="77777777" w:rsidR="00E93D6B" w:rsidRPr="009C5807" w:rsidRDefault="00E93D6B" w:rsidP="00E93D6B">
      <w:pPr>
        <w:pStyle w:val="Heading2"/>
      </w:pPr>
      <w:bookmarkStart w:id="15" w:name="_Toc5952518"/>
      <w:r w:rsidRPr="009C5807">
        <w:t>3.4</w:t>
      </w:r>
      <w:r w:rsidRPr="009C5807">
        <w:tab/>
        <w:t>Test tolerances</w:t>
      </w:r>
      <w:bookmarkEnd w:id="15"/>
    </w:p>
    <w:p w14:paraId="16A2863A" w14:textId="6E6F903D" w:rsidR="00DB10CF" w:rsidRPr="009C5807" w:rsidRDefault="00DB10CF" w:rsidP="00DB10CF">
      <w:pPr>
        <w:keepNext/>
        <w:rPr>
          <w:rFonts w:cs="v4.2.0"/>
          <w:snapToGrid w:val="0"/>
        </w:rPr>
      </w:pPr>
      <w:bookmarkStart w:id="16" w:name="_Toc5952519"/>
      <w:r w:rsidRPr="009C5807">
        <w:rPr>
          <w:rFonts w:cs="v4.2.0"/>
          <w:snapToGrid w:val="0"/>
        </w:rPr>
        <w:t>The requirements given in the present document make no allowance for measurement uncertainty. The test specification 38.533 [5] defines the test tolerances.</w:t>
      </w:r>
    </w:p>
    <w:p w14:paraId="49F006B5" w14:textId="77777777" w:rsidR="00E93D6B" w:rsidRPr="009C5807" w:rsidRDefault="00E93D6B" w:rsidP="00E93D6B">
      <w:pPr>
        <w:pStyle w:val="Heading2"/>
      </w:pPr>
      <w:r w:rsidRPr="009C5807">
        <w:t>3.5</w:t>
      </w:r>
      <w:r w:rsidRPr="009C5807">
        <w:tab/>
        <w:t>Frequency bands grouping</w:t>
      </w:r>
      <w:bookmarkEnd w:id="16"/>
    </w:p>
    <w:p w14:paraId="183E2293" w14:textId="77777777" w:rsidR="00E93D6B" w:rsidRPr="009C5807" w:rsidRDefault="00E93D6B" w:rsidP="00E93D6B">
      <w:pPr>
        <w:pStyle w:val="Heading3"/>
        <w:rPr>
          <w:lang w:val="en-US" w:eastAsia="ko-KR"/>
        </w:rPr>
      </w:pPr>
      <w:bookmarkStart w:id="17" w:name="_Toc5952520"/>
      <w:r w:rsidRPr="009C5807">
        <w:rPr>
          <w:lang w:val="en-US" w:eastAsia="ko-KR"/>
        </w:rPr>
        <w:t>3.5.1</w:t>
      </w:r>
      <w:r w:rsidRPr="009C5807">
        <w:rPr>
          <w:lang w:val="en-US" w:eastAsia="ko-KR"/>
        </w:rPr>
        <w:tab/>
        <w:t>Introduction</w:t>
      </w:r>
      <w:bookmarkEnd w:id="17"/>
    </w:p>
    <w:p w14:paraId="22C12C8F" w14:textId="77777777" w:rsidR="00E93D6B" w:rsidRPr="009C5807" w:rsidRDefault="00E93D6B" w:rsidP="00E93D6B">
      <w:r w:rsidRPr="009C5807">
        <w:t>The intention with the frequency band grouping below is to increase the readability of the specification.</w:t>
      </w:r>
    </w:p>
    <w:p w14:paraId="67D7248B" w14:textId="77777777" w:rsidR="00E93D6B" w:rsidRPr="009C5807" w:rsidRDefault="00E93D6B" w:rsidP="00E93D6B">
      <w:r w:rsidRPr="009C5807">
        <w:t>The frequency bands grouping is derived based on UE REFSENS requirements specified in [18, 19, 20] and assuming 0.5 dB step between the neighbour groups. The groups are defined in the order of increasing REFSENS, i.e., the group A has the smallest REFSENS among the groups. For the same SCS and a given bandwidth, the bands within the same group have the same Io conditions in a corresponding requirement in this specification, provided the bands support this SCS. For different SCSs supported by a frequency band and the same bandwidth, different Io conditions may apply for the frequency band in the requirements, while the band group is the same, based on the lowest REFSENS requirement normalized by the number of subcarriers among its supported SCSs for this bandwidth. For the same SCS but different supported bandwidths, the group for a band is determined based on the lowest REFSENS requirement normalized by the number of subcarriers among its supported bandwidths.</w:t>
      </w:r>
    </w:p>
    <w:p w14:paraId="43A1C3FC" w14:textId="77777777" w:rsidR="00E93D6B" w:rsidRPr="009C5807" w:rsidRDefault="00E93D6B" w:rsidP="00E93D6B">
      <w:pPr>
        <w:pStyle w:val="Heading3"/>
        <w:rPr>
          <w:lang w:val="en-US" w:eastAsia="ko-KR"/>
        </w:rPr>
      </w:pPr>
      <w:bookmarkStart w:id="18" w:name="_Toc525607245"/>
      <w:bookmarkStart w:id="19" w:name="_Toc5952522"/>
      <w:r w:rsidRPr="009C5807">
        <w:rPr>
          <w:lang w:val="en-US" w:eastAsia="ko-KR"/>
        </w:rPr>
        <w:t>3.5.2</w:t>
      </w:r>
      <w:r w:rsidRPr="009C5807">
        <w:rPr>
          <w:lang w:val="en-US" w:eastAsia="ko-KR"/>
        </w:rPr>
        <w:tab/>
        <w:t>NR operating bands in FR1</w:t>
      </w:r>
      <w:bookmarkEnd w:id="18"/>
    </w:p>
    <w:p w14:paraId="2FE86C12" w14:textId="77777777" w:rsidR="00E93D6B" w:rsidRPr="009C5807" w:rsidRDefault="00E93D6B" w:rsidP="00E93D6B">
      <w:pPr>
        <w:rPr>
          <w:lang w:eastAsia="ja-JP"/>
        </w:rPr>
      </w:pPr>
      <w:r w:rsidRPr="009C5807">
        <w:rPr>
          <w:lang w:eastAsia="ja-JP"/>
        </w:rPr>
        <w:t>NR frequency bands grouping for FR1 is specified in Table 3.5.2-1.</w:t>
      </w:r>
    </w:p>
    <w:p w14:paraId="0286B9FF" w14:textId="77777777" w:rsidR="00E93D6B" w:rsidRPr="009C5807" w:rsidRDefault="00E93D6B" w:rsidP="00436B51">
      <w:pPr>
        <w:pStyle w:val="TH"/>
      </w:pPr>
      <w:r w:rsidRPr="009C5807">
        <w:lastRenderedPageBreak/>
        <w:t>Table 3.5.2-1: NR frequency band groups for FR1</w:t>
      </w:r>
    </w:p>
    <w:tbl>
      <w:tblPr>
        <w:tblW w:w="11335" w:type="dxa"/>
        <w:jc w:val="center"/>
        <w:tblLayout w:type="fixed"/>
        <w:tblLook w:val="01E0" w:firstRow="1" w:lastRow="1" w:firstColumn="1" w:lastColumn="1" w:noHBand="0" w:noVBand="0"/>
      </w:tblPr>
      <w:tblGrid>
        <w:gridCol w:w="756"/>
        <w:gridCol w:w="1627"/>
        <w:gridCol w:w="1067"/>
        <w:gridCol w:w="1627"/>
        <w:gridCol w:w="1067"/>
        <w:gridCol w:w="1607"/>
        <w:gridCol w:w="1067"/>
        <w:gridCol w:w="1637"/>
        <w:gridCol w:w="880"/>
      </w:tblGrid>
      <w:tr w:rsidR="00516FFF" w:rsidRPr="003646C5" w14:paraId="5123A10A" w14:textId="77777777" w:rsidTr="00F72C13">
        <w:trPr>
          <w:trHeight w:val="187"/>
          <w:jc w:val="center"/>
        </w:trPr>
        <w:tc>
          <w:tcPr>
            <w:tcW w:w="756" w:type="dxa"/>
            <w:tcBorders>
              <w:top w:val="single" w:sz="4" w:space="0" w:color="auto"/>
              <w:left w:val="single" w:sz="4" w:space="0" w:color="auto"/>
              <w:right w:val="single" w:sz="4" w:space="0" w:color="auto"/>
            </w:tcBorders>
            <w:shd w:val="clear" w:color="auto" w:fill="auto"/>
          </w:tcPr>
          <w:p w14:paraId="29851970" w14:textId="77777777" w:rsidR="00516FFF" w:rsidRPr="003646C5" w:rsidRDefault="00516FFF" w:rsidP="00516FFF">
            <w:pPr>
              <w:pStyle w:val="TAH"/>
            </w:pPr>
            <w:r w:rsidRPr="003646C5">
              <w:t>Group</w:t>
            </w:r>
          </w:p>
        </w:tc>
        <w:tc>
          <w:tcPr>
            <w:tcW w:w="2694" w:type="dxa"/>
            <w:gridSpan w:val="2"/>
            <w:tcBorders>
              <w:top w:val="single" w:sz="4" w:space="0" w:color="auto"/>
              <w:left w:val="single" w:sz="4" w:space="0" w:color="auto"/>
              <w:bottom w:val="single" w:sz="4" w:space="0" w:color="auto"/>
              <w:right w:val="single" w:sz="4" w:space="0" w:color="auto"/>
            </w:tcBorders>
            <w:shd w:val="clear" w:color="auto" w:fill="auto"/>
          </w:tcPr>
          <w:p w14:paraId="722DAC96" w14:textId="77777777" w:rsidR="00516FFF" w:rsidRPr="003646C5" w:rsidRDefault="00516FFF" w:rsidP="00516FFF">
            <w:pPr>
              <w:pStyle w:val="TAH"/>
            </w:pPr>
            <w:r w:rsidRPr="003646C5">
              <w:t>NR FDD</w:t>
            </w:r>
          </w:p>
        </w:tc>
        <w:tc>
          <w:tcPr>
            <w:tcW w:w="2694" w:type="dxa"/>
            <w:gridSpan w:val="2"/>
            <w:tcBorders>
              <w:top w:val="single" w:sz="4" w:space="0" w:color="auto"/>
              <w:left w:val="single" w:sz="4" w:space="0" w:color="auto"/>
              <w:bottom w:val="single" w:sz="4" w:space="0" w:color="auto"/>
              <w:right w:val="single" w:sz="4" w:space="0" w:color="auto"/>
            </w:tcBorders>
            <w:shd w:val="clear" w:color="auto" w:fill="auto"/>
          </w:tcPr>
          <w:p w14:paraId="5D42DA98" w14:textId="77777777" w:rsidR="00516FFF" w:rsidRPr="003646C5" w:rsidRDefault="00516FFF" w:rsidP="00516FFF">
            <w:pPr>
              <w:pStyle w:val="TAH"/>
            </w:pPr>
            <w:r w:rsidRPr="003646C5">
              <w:t>NR TDD</w:t>
            </w:r>
          </w:p>
        </w:tc>
        <w:tc>
          <w:tcPr>
            <w:tcW w:w="2674" w:type="dxa"/>
            <w:gridSpan w:val="2"/>
            <w:tcBorders>
              <w:top w:val="single" w:sz="4" w:space="0" w:color="auto"/>
              <w:left w:val="single" w:sz="4" w:space="0" w:color="auto"/>
              <w:bottom w:val="single" w:sz="4" w:space="0" w:color="auto"/>
              <w:right w:val="single" w:sz="4" w:space="0" w:color="auto"/>
            </w:tcBorders>
          </w:tcPr>
          <w:p w14:paraId="68C8ECD5" w14:textId="77777777" w:rsidR="00516FFF" w:rsidRPr="003646C5" w:rsidRDefault="00516FFF" w:rsidP="00516FFF">
            <w:pPr>
              <w:pStyle w:val="TAH"/>
            </w:pPr>
            <w:r w:rsidRPr="003646C5">
              <w:t>NR SDL</w:t>
            </w:r>
          </w:p>
        </w:tc>
        <w:tc>
          <w:tcPr>
            <w:tcW w:w="2517" w:type="dxa"/>
            <w:gridSpan w:val="2"/>
            <w:tcBorders>
              <w:top w:val="single" w:sz="4" w:space="0" w:color="auto"/>
              <w:left w:val="single" w:sz="4" w:space="0" w:color="auto"/>
              <w:bottom w:val="single" w:sz="4" w:space="0" w:color="auto"/>
              <w:right w:val="single" w:sz="4" w:space="0" w:color="auto"/>
            </w:tcBorders>
          </w:tcPr>
          <w:p w14:paraId="7F328BA1" w14:textId="77777777" w:rsidR="00516FFF" w:rsidRPr="003646C5" w:rsidRDefault="00516FFF" w:rsidP="00516FFF">
            <w:pPr>
              <w:pStyle w:val="TAH"/>
            </w:pPr>
            <w:r w:rsidRPr="003646C5">
              <w:t>NR CCA</w:t>
            </w:r>
            <w:r w:rsidRPr="003646C5">
              <w:rPr>
                <w:vertAlign w:val="superscript"/>
              </w:rPr>
              <w:t>10</w:t>
            </w:r>
          </w:p>
        </w:tc>
      </w:tr>
      <w:tr w:rsidR="00516FFF" w:rsidRPr="003646C5" w14:paraId="20AE25DC" w14:textId="77777777" w:rsidTr="00F72C13">
        <w:trPr>
          <w:trHeight w:val="187"/>
          <w:jc w:val="center"/>
        </w:trPr>
        <w:tc>
          <w:tcPr>
            <w:tcW w:w="756" w:type="dxa"/>
            <w:tcBorders>
              <w:left w:val="single" w:sz="4" w:space="0" w:color="auto"/>
              <w:bottom w:val="single" w:sz="4" w:space="0" w:color="auto"/>
              <w:right w:val="single" w:sz="4" w:space="0" w:color="auto"/>
            </w:tcBorders>
            <w:shd w:val="clear" w:color="auto" w:fill="auto"/>
          </w:tcPr>
          <w:p w14:paraId="5EE5D8B8" w14:textId="77777777" w:rsidR="00516FFF" w:rsidRPr="003646C5" w:rsidRDefault="00516FFF" w:rsidP="00516FFF">
            <w:pPr>
              <w:pStyle w:val="TAH"/>
            </w:pP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32B7EDC0" w14:textId="77777777" w:rsidR="00516FFF" w:rsidRPr="003646C5" w:rsidRDefault="00516FFF" w:rsidP="00516FFF">
            <w:pPr>
              <w:pStyle w:val="TAH"/>
            </w:pPr>
            <w:r w:rsidRPr="003646C5">
              <w:t>Band group notation</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5528AF99" w14:textId="77777777" w:rsidR="00516FFF" w:rsidRPr="003646C5" w:rsidRDefault="00516FFF" w:rsidP="00516FFF">
            <w:pPr>
              <w:pStyle w:val="TAH"/>
            </w:pPr>
            <w:r w:rsidRPr="003646C5">
              <w:t>Operating bands</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14E55A0D" w14:textId="77777777" w:rsidR="00516FFF" w:rsidRPr="003646C5" w:rsidRDefault="00516FFF" w:rsidP="00516FFF">
            <w:pPr>
              <w:pStyle w:val="TAH"/>
            </w:pPr>
            <w:r w:rsidRPr="003646C5">
              <w:t>Band group notation</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3DBC538E" w14:textId="77777777" w:rsidR="00516FFF" w:rsidRPr="003646C5" w:rsidRDefault="00516FFF" w:rsidP="00516FFF">
            <w:pPr>
              <w:pStyle w:val="TAH"/>
            </w:pPr>
            <w:r w:rsidRPr="003646C5">
              <w:t>Operating bands</w:t>
            </w:r>
          </w:p>
        </w:tc>
        <w:tc>
          <w:tcPr>
            <w:tcW w:w="1607" w:type="dxa"/>
            <w:tcBorders>
              <w:top w:val="single" w:sz="4" w:space="0" w:color="auto"/>
              <w:left w:val="single" w:sz="4" w:space="0" w:color="auto"/>
              <w:bottom w:val="single" w:sz="4" w:space="0" w:color="auto"/>
              <w:right w:val="single" w:sz="4" w:space="0" w:color="auto"/>
            </w:tcBorders>
          </w:tcPr>
          <w:p w14:paraId="7CDE3637" w14:textId="77777777" w:rsidR="00516FFF" w:rsidRPr="003646C5" w:rsidRDefault="00516FFF" w:rsidP="00516FFF">
            <w:pPr>
              <w:pStyle w:val="TAH"/>
            </w:pPr>
            <w:r w:rsidRPr="003646C5">
              <w:t>Band group notation</w:t>
            </w:r>
          </w:p>
        </w:tc>
        <w:tc>
          <w:tcPr>
            <w:tcW w:w="1067" w:type="dxa"/>
            <w:tcBorders>
              <w:top w:val="single" w:sz="4" w:space="0" w:color="auto"/>
              <w:left w:val="single" w:sz="4" w:space="0" w:color="auto"/>
              <w:bottom w:val="single" w:sz="4" w:space="0" w:color="auto"/>
              <w:right w:val="single" w:sz="4" w:space="0" w:color="auto"/>
            </w:tcBorders>
          </w:tcPr>
          <w:p w14:paraId="73D2CEB1" w14:textId="77777777" w:rsidR="00516FFF" w:rsidRPr="003646C5" w:rsidRDefault="00516FFF" w:rsidP="00516FFF">
            <w:pPr>
              <w:pStyle w:val="TAH"/>
            </w:pPr>
            <w:r w:rsidRPr="003646C5">
              <w:t>Operating bands</w:t>
            </w:r>
          </w:p>
        </w:tc>
        <w:tc>
          <w:tcPr>
            <w:tcW w:w="1637" w:type="dxa"/>
            <w:tcBorders>
              <w:top w:val="single" w:sz="4" w:space="0" w:color="auto"/>
              <w:left w:val="single" w:sz="4" w:space="0" w:color="auto"/>
              <w:bottom w:val="single" w:sz="4" w:space="0" w:color="auto"/>
              <w:right w:val="single" w:sz="4" w:space="0" w:color="auto"/>
            </w:tcBorders>
          </w:tcPr>
          <w:p w14:paraId="79506019" w14:textId="77777777" w:rsidR="00516FFF" w:rsidRPr="003646C5" w:rsidRDefault="00516FFF" w:rsidP="00516FFF">
            <w:pPr>
              <w:pStyle w:val="TAH"/>
            </w:pPr>
            <w:r w:rsidRPr="003646C5">
              <w:t>Band group notation</w:t>
            </w:r>
          </w:p>
        </w:tc>
        <w:tc>
          <w:tcPr>
            <w:tcW w:w="880" w:type="dxa"/>
            <w:tcBorders>
              <w:top w:val="single" w:sz="4" w:space="0" w:color="auto"/>
              <w:left w:val="single" w:sz="4" w:space="0" w:color="auto"/>
              <w:bottom w:val="single" w:sz="4" w:space="0" w:color="auto"/>
              <w:right w:val="single" w:sz="4" w:space="0" w:color="auto"/>
            </w:tcBorders>
          </w:tcPr>
          <w:p w14:paraId="1B838C68" w14:textId="77777777" w:rsidR="00516FFF" w:rsidRPr="003646C5" w:rsidRDefault="00516FFF" w:rsidP="00516FFF">
            <w:pPr>
              <w:pStyle w:val="TAH"/>
            </w:pPr>
            <w:r w:rsidRPr="003646C5">
              <w:t>Operating bands</w:t>
            </w:r>
          </w:p>
        </w:tc>
      </w:tr>
      <w:tr w:rsidR="00807EB7" w:rsidRPr="003646C5" w14:paraId="609F43DC" w14:textId="77777777" w:rsidTr="00F72C13">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53EF259D" w14:textId="77777777" w:rsidR="00807EB7" w:rsidRPr="003646C5" w:rsidRDefault="00807EB7" w:rsidP="00807EB7">
            <w:pPr>
              <w:pStyle w:val="TAC"/>
            </w:pPr>
            <w:r w:rsidRPr="003646C5">
              <w:t>A</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1882D6D2" w14:textId="77777777" w:rsidR="00807EB7" w:rsidRPr="003646C5" w:rsidRDefault="00807EB7" w:rsidP="00807EB7">
            <w:pPr>
              <w:pStyle w:val="TAC"/>
            </w:pPr>
            <w:r w:rsidRPr="003646C5">
              <w:t>NR_FDD_FR1_A</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6E780782" w14:textId="5ED62F26" w:rsidR="00807EB7" w:rsidRPr="003646C5" w:rsidRDefault="00807EB7" w:rsidP="00807EB7">
            <w:pPr>
              <w:pStyle w:val="TAC"/>
            </w:pPr>
            <w:r w:rsidRPr="003646C5">
              <w:t xml:space="preserve">n1, </w:t>
            </w:r>
            <w:r w:rsidRPr="003646C5">
              <w:rPr>
                <w:rFonts w:eastAsia="Yu Mincho" w:hint="eastAsia"/>
                <w:lang w:eastAsia="ja-JP"/>
              </w:rPr>
              <w:t xml:space="preserve">n18, </w:t>
            </w:r>
            <w:r w:rsidRPr="003646C5">
              <w:rPr>
                <w:rFonts w:eastAsia="Yu Mincho"/>
                <w:lang w:eastAsia="ja-JP"/>
              </w:rPr>
              <w:t xml:space="preserve">n24, </w:t>
            </w:r>
            <w:r w:rsidRPr="003646C5">
              <w:t>n70, n74</w:t>
            </w:r>
            <w:r w:rsidRPr="003646C5">
              <w:rPr>
                <w:vertAlign w:val="superscript"/>
              </w:rPr>
              <w:t>4</w:t>
            </w:r>
            <w:r w:rsidRPr="003646C5">
              <w:t xml:space="preserve">, n91, n92, n93, </w:t>
            </w:r>
            <w:r w:rsidR="00B241F0" w:rsidRPr="003646C5">
              <w:t>n94</w:t>
            </w:r>
            <w:r w:rsidR="00B241F0">
              <w:t>, n100</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0DC50289" w14:textId="40E77E69" w:rsidR="00807EB7" w:rsidRPr="003646C5" w:rsidRDefault="00807EB7" w:rsidP="00807EB7">
            <w:pPr>
              <w:pStyle w:val="TAC"/>
            </w:pPr>
            <w:r w:rsidRPr="003646C5">
              <w:t>NR_TDD_FR1_A</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59FF026E" w14:textId="3A12AD0C" w:rsidR="00807EB7" w:rsidRPr="003646C5" w:rsidRDefault="00FA57C6" w:rsidP="00807EB7">
            <w:pPr>
              <w:pStyle w:val="TAC"/>
            </w:pPr>
            <w:r w:rsidRPr="003646C5">
              <w:t>n34, n38</w:t>
            </w:r>
            <w:r w:rsidRPr="003646C5">
              <w:rPr>
                <w:vertAlign w:val="superscript"/>
              </w:rPr>
              <w:t>9</w:t>
            </w:r>
            <w:r w:rsidRPr="003646C5">
              <w:t>, n39, n40, n50, n51, n53</w:t>
            </w:r>
            <w:r>
              <w:t>, n54, n101</w:t>
            </w:r>
          </w:p>
        </w:tc>
        <w:tc>
          <w:tcPr>
            <w:tcW w:w="1607" w:type="dxa"/>
            <w:tcBorders>
              <w:top w:val="single" w:sz="4" w:space="0" w:color="auto"/>
              <w:left w:val="single" w:sz="4" w:space="0" w:color="auto"/>
              <w:bottom w:val="single" w:sz="4" w:space="0" w:color="auto"/>
              <w:right w:val="single" w:sz="4" w:space="0" w:color="auto"/>
            </w:tcBorders>
          </w:tcPr>
          <w:p w14:paraId="270D2CCD" w14:textId="77777777" w:rsidR="00807EB7" w:rsidRPr="003646C5" w:rsidRDefault="00807EB7" w:rsidP="00807EB7">
            <w:pPr>
              <w:pStyle w:val="TAC"/>
            </w:pPr>
            <w:r w:rsidRPr="003646C5">
              <w:t>NR_SDL_FR1_A</w:t>
            </w:r>
          </w:p>
        </w:tc>
        <w:tc>
          <w:tcPr>
            <w:tcW w:w="1067" w:type="dxa"/>
            <w:tcBorders>
              <w:top w:val="single" w:sz="4" w:space="0" w:color="auto"/>
              <w:left w:val="single" w:sz="4" w:space="0" w:color="auto"/>
              <w:bottom w:val="single" w:sz="4" w:space="0" w:color="auto"/>
              <w:right w:val="single" w:sz="4" w:space="0" w:color="auto"/>
            </w:tcBorders>
          </w:tcPr>
          <w:p w14:paraId="3F7C6B19" w14:textId="1A533C42" w:rsidR="00807EB7" w:rsidRPr="003646C5" w:rsidRDefault="00807EB7" w:rsidP="00807EB7">
            <w:pPr>
              <w:pStyle w:val="TAC"/>
            </w:pPr>
            <w:r>
              <w:t xml:space="preserve">n67, </w:t>
            </w:r>
            <w:r w:rsidRPr="003646C5">
              <w:t>n75, n76</w:t>
            </w:r>
          </w:p>
        </w:tc>
        <w:tc>
          <w:tcPr>
            <w:tcW w:w="1637" w:type="dxa"/>
            <w:tcBorders>
              <w:top w:val="single" w:sz="4" w:space="0" w:color="auto"/>
              <w:left w:val="single" w:sz="4" w:space="0" w:color="auto"/>
              <w:bottom w:val="single" w:sz="4" w:space="0" w:color="auto"/>
              <w:right w:val="single" w:sz="4" w:space="0" w:color="auto"/>
            </w:tcBorders>
            <w:vAlign w:val="center"/>
          </w:tcPr>
          <w:p w14:paraId="23256185" w14:textId="77777777" w:rsidR="00807EB7" w:rsidRPr="003646C5" w:rsidRDefault="00807EB7" w:rsidP="00807EB7">
            <w:pPr>
              <w:pStyle w:val="TAC"/>
            </w:pPr>
            <w:r w:rsidRPr="003646C5">
              <w:t>NR_CCA_FR1_A</w:t>
            </w:r>
          </w:p>
        </w:tc>
        <w:tc>
          <w:tcPr>
            <w:tcW w:w="880" w:type="dxa"/>
            <w:tcBorders>
              <w:top w:val="single" w:sz="4" w:space="0" w:color="auto"/>
              <w:left w:val="single" w:sz="4" w:space="0" w:color="auto"/>
              <w:bottom w:val="single" w:sz="4" w:space="0" w:color="auto"/>
              <w:right w:val="single" w:sz="4" w:space="0" w:color="auto"/>
            </w:tcBorders>
            <w:vAlign w:val="center"/>
          </w:tcPr>
          <w:p w14:paraId="6C1AF113" w14:textId="77777777" w:rsidR="00807EB7" w:rsidRPr="003646C5" w:rsidRDefault="00807EB7" w:rsidP="00807EB7">
            <w:pPr>
              <w:pStyle w:val="TAC"/>
            </w:pPr>
            <w:r w:rsidRPr="003646C5">
              <w:t>-</w:t>
            </w:r>
          </w:p>
        </w:tc>
      </w:tr>
      <w:tr w:rsidR="00516FFF" w:rsidRPr="003646C5" w14:paraId="0C9E2277" w14:textId="77777777" w:rsidTr="00F72C13">
        <w:trPr>
          <w:trHeight w:val="187"/>
          <w:jc w:val="center"/>
        </w:trPr>
        <w:tc>
          <w:tcPr>
            <w:tcW w:w="756" w:type="dxa"/>
            <w:tcBorders>
              <w:top w:val="single" w:sz="4" w:space="0" w:color="auto"/>
              <w:left w:val="single" w:sz="4" w:space="0" w:color="auto"/>
              <w:right w:val="single" w:sz="4" w:space="0" w:color="auto"/>
            </w:tcBorders>
            <w:shd w:val="clear" w:color="auto" w:fill="auto"/>
          </w:tcPr>
          <w:p w14:paraId="58FB46BB" w14:textId="77777777" w:rsidR="00516FFF" w:rsidRPr="003646C5" w:rsidRDefault="00516FFF" w:rsidP="00516FFF">
            <w:pPr>
              <w:pStyle w:val="TAC"/>
            </w:pPr>
            <w:r w:rsidRPr="003646C5">
              <w:t>B</w:t>
            </w:r>
          </w:p>
        </w:tc>
        <w:tc>
          <w:tcPr>
            <w:tcW w:w="1627" w:type="dxa"/>
            <w:tcBorders>
              <w:top w:val="single" w:sz="4" w:space="0" w:color="auto"/>
              <w:left w:val="single" w:sz="4" w:space="0" w:color="auto"/>
              <w:right w:val="single" w:sz="4" w:space="0" w:color="auto"/>
            </w:tcBorders>
            <w:shd w:val="clear" w:color="auto" w:fill="auto"/>
          </w:tcPr>
          <w:p w14:paraId="3AD55EC8" w14:textId="77777777" w:rsidR="00516FFF" w:rsidRPr="003646C5" w:rsidRDefault="00516FFF" w:rsidP="00516FFF">
            <w:pPr>
              <w:pStyle w:val="TAC"/>
            </w:pPr>
            <w:r w:rsidRPr="003646C5">
              <w:t>NR_FDD_FR1_B</w:t>
            </w:r>
          </w:p>
        </w:tc>
        <w:tc>
          <w:tcPr>
            <w:tcW w:w="1067" w:type="dxa"/>
            <w:tcBorders>
              <w:top w:val="single" w:sz="4" w:space="0" w:color="auto"/>
              <w:left w:val="single" w:sz="4" w:space="0" w:color="auto"/>
              <w:right w:val="single" w:sz="4" w:space="0" w:color="auto"/>
            </w:tcBorders>
            <w:shd w:val="clear" w:color="auto" w:fill="auto"/>
          </w:tcPr>
          <w:p w14:paraId="26A1F93F" w14:textId="77777777" w:rsidR="00516FFF" w:rsidRPr="003646C5" w:rsidRDefault="00516FFF" w:rsidP="00516FFF">
            <w:pPr>
              <w:pStyle w:val="TAC"/>
            </w:pPr>
            <w:r w:rsidRPr="003646C5">
              <w:t>n65, n66, n74</w:t>
            </w:r>
            <w:r w:rsidRPr="003646C5">
              <w:rPr>
                <w:vertAlign w:val="superscript"/>
              </w:rPr>
              <w:t>3</w:t>
            </w:r>
          </w:p>
        </w:tc>
        <w:tc>
          <w:tcPr>
            <w:tcW w:w="1627" w:type="dxa"/>
            <w:tcBorders>
              <w:top w:val="single" w:sz="4" w:space="0" w:color="auto"/>
              <w:left w:val="single" w:sz="4" w:space="0" w:color="auto"/>
              <w:right w:val="single" w:sz="4" w:space="0" w:color="auto"/>
            </w:tcBorders>
            <w:shd w:val="clear" w:color="auto" w:fill="auto"/>
          </w:tcPr>
          <w:p w14:paraId="2EE3B084" w14:textId="77777777" w:rsidR="00516FFF" w:rsidRPr="003646C5" w:rsidRDefault="00516FFF" w:rsidP="00516FFF">
            <w:pPr>
              <w:pStyle w:val="TAC"/>
            </w:pPr>
            <w:r w:rsidRPr="003646C5">
              <w:t>NR_TDD_FR1_B</w:t>
            </w:r>
          </w:p>
        </w:tc>
        <w:tc>
          <w:tcPr>
            <w:tcW w:w="1067" w:type="dxa"/>
            <w:tcBorders>
              <w:top w:val="single" w:sz="4" w:space="0" w:color="auto"/>
              <w:left w:val="single" w:sz="4" w:space="0" w:color="auto"/>
              <w:right w:val="single" w:sz="4" w:space="0" w:color="auto"/>
            </w:tcBorders>
            <w:shd w:val="clear" w:color="auto" w:fill="auto"/>
          </w:tcPr>
          <w:p w14:paraId="6FF78E7E" w14:textId="77777777" w:rsidR="00516FFF" w:rsidRPr="003646C5" w:rsidRDefault="00516FFF" w:rsidP="00516FFF">
            <w:pPr>
              <w:pStyle w:val="TAC"/>
            </w:pPr>
            <w:r w:rsidRPr="003646C5">
              <w:t>n38</w:t>
            </w:r>
            <w:r w:rsidRPr="003646C5">
              <w:rPr>
                <w:vertAlign w:val="superscript"/>
              </w:rPr>
              <w:t>7</w:t>
            </w:r>
          </w:p>
        </w:tc>
        <w:tc>
          <w:tcPr>
            <w:tcW w:w="1607" w:type="dxa"/>
            <w:tcBorders>
              <w:top w:val="single" w:sz="4" w:space="0" w:color="auto"/>
              <w:left w:val="single" w:sz="4" w:space="0" w:color="auto"/>
              <w:right w:val="single" w:sz="4" w:space="0" w:color="auto"/>
            </w:tcBorders>
          </w:tcPr>
          <w:p w14:paraId="0722701D" w14:textId="77777777" w:rsidR="00516FFF" w:rsidRPr="003646C5" w:rsidRDefault="00516FFF" w:rsidP="00516FFF">
            <w:pPr>
              <w:pStyle w:val="TAC"/>
            </w:pPr>
            <w:r w:rsidRPr="003646C5">
              <w:t>NR_SDL_FR1_B</w:t>
            </w:r>
          </w:p>
        </w:tc>
        <w:tc>
          <w:tcPr>
            <w:tcW w:w="1067" w:type="dxa"/>
            <w:tcBorders>
              <w:top w:val="single" w:sz="4" w:space="0" w:color="auto"/>
              <w:left w:val="single" w:sz="4" w:space="0" w:color="auto"/>
              <w:right w:val="single" w:sz="4" w:space="0" w:color="auto"/>
            </w:tcBorders>
          </w:tcPr>
          <w:p w14:paraId="4F33B138" w14:textId="77777777" w:rsidR="00516FFF" w:rsidRPr="003646C5" w:rsidRDefault="00516FFF" w:rsidP="00516FFF">
            <w:pPr>
              <w:pStyle w:val="TAC"/>
            </w:pPr>
            <w:r w:rsidRPr="003646C5">
              <w:t>-</w:t>
            </w:r>
          </w:p>
        </w:tc>
        <w:tc>
          <w:tcPr>
            <w:tcW w:w="1637" w:type="dxa"/>
            <w:tcBorders>
              <w:top w:val="single" w:sz="4" w:space="0" w:color="auto"/>
              <w:left w:val="single" w:sz="4" w:space="0" w:color="auto"/>
              <w:right w:val="single" w:sz="4" w:space="0" w:color="auto"/>
            </w:tcBorders>
            <w:vAlign w:val="center"/>
          </w:tcPr>
          <w:p w14:paraId="0D22A363" w14:textId="77777777" w:rsidR="00516FFF" w:rsidRPr="003646C5" w:rsidRDefault="00516FFF" w:rsidP="00516FFF">
            <w:pPr>
              <w:pStyle w:val="TAC"/>
            </w:pPr>
            <w:r w:rsidRPr="003646C5">
              <w:t>NR_CCA_FR1_B</w:t>
            </w:r>
          </w:p>
        </w:tc>
        <w:tc>
          <w:tcPr>
            <w:tcW w:w="880" w:type="dxa"/>
            <w:tcBorders>
              <w:top w:val="single" w:sz="4" w:space="0" w:color="auto"/>
              <w:left w:val="single" w:sz="4" w:space="0" w:color="auto"/>
              <w:right w:val="single" w:sz="4" w:space="0" w:color="auto"/>
            </w:tcBorders>
            <w:vAlign w:val="center"/>
          </w:tcPr>
          <w:p w14:paraId="04E2D1FA" w14:textId="77777777" w:rsidR="00516FFF" w:rsidRPr="003646C5" w:rsidRDefault="00516FFF" w:rsidP="00516FFF">
            <w:pPr>
              <w:pStyle w:val="TAC"/>
            </w:pPr>
            <w:r w:rsidRPr="003646C5">
              <w:t>-</w:t>
            </w:r>
          </w:p>
        </w:tc>
      </w:tr>
      <w:tr w:rsidR="00516FFF" w:rsidRPr="003646C5" w14:paraId="663FE712" w14:textId="77777777" w:rsidTr="00F72C13">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299CDD03" w14:textId="77777777" w:rsidR="00516FFF" w:rsidRPr="003646C5" w:rsidRDefault="00516FFF" w:rsidP="00516FFF">
            <w:pPr>
              <w:pStyle w:val="TAC"/>
            </w:pPr>
            <w:r w:rsidRPr="003646C5">
              <w:t>C</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01D79542" w14:textId="77777777" w:rsidR="00516FFF" w:rsidRPr="003646C5" w:rsidRDefault="00516FFF" w:rsidP="00516FFF">
            <w:pPr>
              <w:pStyle w:val="TAC"/>
            </w:pPr>
            <w:r w:rsidRPr="003646C5">
              <w:t>NR_FDD_FR1_C</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4685BE4C" w14:textId="77777777" w:rsidR="00516FFF" w:rsidRPr="003646C5" w:rsidRDefault="00516FFF" w:rsidP="00516FFF">
            <w:pPr>
              <w:pStyle w:val="TAC"/>
            </w:pPr>
            <w:r w:rsidRPr="003646C5">
              <w:t>n30</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13E241BB" w14:textId="77777777" w:rsidR="00516FFF" w:rsidRPr="003646C5" w:rsidRDefault="00516FFF" w:rsidP="00516FFF">
            <w:pPr>
              <w:pStyle w:val="TAC"/>
            </w:pPr>
            <w:r w:rsidRPr="003646C5">
              <w:t>NR_TDD_FR1_C</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6A005E6D" w14:textId="77777777" w:rsidR="00516FFF" w:rsidRPr="003646C5" w:rsidRDefault="00516FFF" w:rsidP="00516FFF">
            <w:pPr>
              <w:pStyle w:val="TAC"/>
            </w:pPr>
            <w:r w:rsidRPr="003646C5">
              <w:t>n48, n77</w:t>
            </w:r>
            <w:r w:rsidRPr="003646C5">
              <w:rPr>
                <w:vertAlign w:val="superscript"/>
              </w:rPr>
              <w:t>1</w:t>
            </w:r>
            <w:r w:rsidRPr="003646C5">
              <w:t>, n78, n79</w:t>
            </w:r>
          </w:p>
        </w:tc>
        <w:tc>
          <w:tcPr>
            <w:tcW w:w="1607" w:type="dxa"/>
            <w:tcBorders>
              <w:top w:val="single" w:sz="4" w:space="0" w:color="auto"/>
              <w:left w:val="single" w:sz="4" w:space="0" w:color="auto"/>
              <w:bottom w:val="single" w:sz="4" w:space="0" w:color="auto"/>
              <w:right w:val="single" w:sz="4" w:space="0" w:color="auto"/>
            </w:tcBorders>
          </w:tcPr>
          <w:p w14:paraId="2B335DFB" w14:textId="77777777" w:rsidR="00516FFF" w:rsidRPr="003646C5" w:rsidRDefault="00516FFF" w:rsidP="00516FFF">
            <w:pPr>
              <w:pStyle w:val="TAC"/>
            </w:pPr>
            <w:r w:rsidRPr="003646C5">
              <w:t>NR_SDL_FR1_C</w:t>
            </w:r>
          </w:p>
        </w:tc>
        <w:tc>
          <w:tcPr>
            <w:tcW w:w="1067" w:type="dxa"/>
            <w:tcBorders>
              <w:top w:val="single" w:sz="4" w:space="0" w:color="auto"/>
              <w:left w:val="single" w:sz="4" w:space="0" w:color="auto"/>
              <w:bottom w:val="single" w:sz="4" w:space="0" w:color="auto"/>
              <w:right w:val="single" w:sz="4" w:space="0" w:color="auto"/>
            </w:tcBorders>
          </w:tcPr>
          <w:p w14:paraId="6CA92C9D" w14:textId="77777777" w:rsidR="00516FFF" w:rsidRPr="003646C5" w:rsidRDefault="00516FFF" w:rsidP="00516FFF">
            <w:pPr>
              <w:pStyle w:val="TAC"/>
            </w:pPr>
            <w:r w:rsidRPr="003646C5">
              <w:t>-</w:t>
            </w:r>
          </w:p>
        </w:tc>
        <w:tc>
          <w:tcPr>
            <w:tcW w:w="1637" w:type="dxa"/>
            <w:tcBorders>
              <w:top w:val="single" w:sz="4" w:space="0" w:color="auto"/>
              <w:left w:val="single" w:sz="4" w:space="0" w:color="auto"/>
              <w:bottom w:val="single" w:sz="4" w:space="0" w:color="auto"/>
              <w:right w:val="single" w:sz="4" w:space="0" w:color="auto"/>
            </w:tcBorders>
            <w:vAlign w:val="center"/>
          </w:tcPr>
          <w:p w14:paraId="31217959" w14:textId="77777777" w:rsidR="00516FFF" w:rsidRPr="003646C5" w:rsidRDefault="00516FFF" w:rsidP="00516FFF">
            <w:pPr>
              <w:pStyle w:val="TAC"/>
            </w:pPr>
            <w:r w:rsidRPr="003646C5">
              <w:t>NR_CCA_FR1_C</w:t>
            </w:r>
          </w:p>
        </w:tc>
        <w:tc>
          <w:tcPr>
            <w:tcW w:w="880" w:type="dxa"/>
            <w:tcBorders>
              <w:top w:val="single" w:sz="4" w:space="0" w:color="auto"/>
              <w:left w:val="single" w:sz="4" w:space="0" w:color="auto"/>
              <w:bottom w:val="single" w:sz="4" w:space="0" w:color="auto"/>
              <w:right w:val="single" w:sz="4" w:space="0" w:color="auto"/>
            </w:tcBorders>
            <w:vAlign w:val="center"/>
          </w:tcPr>
          <w:p w14:paraId="6C391DFA" w14:textId="77777777" w:rsidR="00516FFF" w:rsidRPr="003646C5" w:rsidRDefault="00516FFF" w:rsidP="00516FFF">
            <w:pPr>
              <w:pStyle w:val="TAC"/>
            </w:pPr>
            <w:r w:rsidRPr="003646C5">
              <w:t>-</w:t>
            </w:r>
          </w:p>
        </w:tc>
      </w:tr>
      <w:tr w:rsidR="00516FFF" w:rsidRPr="003646C5" w14:paraId="2AFE719C" w14:textId="77777777" w:rsidTr="00F72C13">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3C908311" w14:textId="77777777" w:rsidR="00516FFF" w:rsidRPr="003646C5" w:rsidRDefault="00516FFF" w:rsidP="00516FFF">
            <w:pPr>
              <w:pStyle w:val="TAC"/>
            </w:pPr>
            <w:r w:rsidRPr="003646C5">
              <w:t>D</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0F0101BD" w14:textId="77777777" w:rsidR="00516FFF" w:rsidRPr="003646C5" w:rsidRDefault="00516FFF" w:rsidP="00516FFF">
            <w:pPr>
              <w:pStyle w:val="TAC"/>
            </w:pPr>
            <w:r w:rsidRPr="003646C5">
              <w:t>NR_FDD_FR1_D</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34AC6BFA" w14:textId="77777777" w:rsidR="00516FFF" w:rsidRPr="003646C5" w:rsidRDefault="00516FFF" w:rsidP="00516FFF">
            <w:pPr>
              <w:pStyle w:val="TAC"/>
            </w:pPr>
            <w:r w:rsidRPr="003646C5">
              <w:t>n28</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55B73820" w14:textId="77777777" w:rsidR="00516FFF" w:rsidRPr="003646C5" w:rsidRDefault="00516FFF" w:rsidP="00516FFF">
            <w:pPr>
              <w:pStyle w:val="TAC"/>
            </w:pPr>
            <w:r w:rsidRPr="003646C5">
              <w:t>NR_TDD_FR1_D</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70F10973" w14:textId="77777777" w:rsidR="00516FFF" w:rsidRPr="003646C5" w:rsidRDefault="00516FFF" w:rsidP="00516FFF">
            <w:pPr>
              <w:pStyle w:val="TAC"/>
            </w:pPr>
            <w:r w:rsidRPr="003646C5">
              <w:t>n77</w:t>
            </w:r>
            <w:r w:rsidRPr="003646C5">
              <w:rPr>
                <w:vertAlign w:val="superscript"/>
              </w:rPr>
              <w:t>2</w:t>
            </w:r>
          </w:p>
        </w:tc>
        <w:tc>
          <w:tcPr>
            <w:tcW w:w="1607" w:type="dxa"/>
            <w:tcBorders>
              <w:top w:val="single" w:sz="4" w:space="0" w:color="auto"/>
              <w:left w:val="single" w:sz="4" w:space="0" w:color="auto"/>
              <w:bottom w:val="single" w:sz="4" w:space="0" w:color="auto"/>
              <w:right w:val="single" w:sz="4" w:space="0" w:color="auto"/>
            </w:tcBorders>
          </w:tcPr>
          <w:p w14:paraId="6A047B35" w14:textId="77777777" w:rsidR="00516FFF" w:rsidRPr="003646C5" w:rsidRDefault="00516FFF" w:rsidP="00516FFF">
            <w:pPr>
              <w:pStyle w:val="TAC"/>
            </w:pPr>
            <w:r w:rsidRPr="003646C5">
              <w:t>NR_SDL_FR1_D</w:t>
            </w:r>
          </w:p>
        </w:tc>
        <w:tc>
          <w:tcPr>
            <w:tcW w:w="1067" w:type="dxa"/>
            <w:tcBorders>
              <w:top w:val="single" w:sz="4" w:space="0" w:color="auto"/>
              <w:left w:val="single" w:sz="4" w:space="0" w:color="auto"/>
              <w:bottom w:val="single" w:sz="4" w:space="0" w:color="auto"/>
              <w:right w:val="single" w:sz="4" w:space="0" w:color="auto"/>
            </w:tcBorders>
          </w:tcPr>
          <w:p w14:paraId="48F798F7" w14:textId="77777777" w:rsidR="00516FFF" w:rsidRPr="003646C5" w:rsidRDefault="00516FFF" w:rsidP="00516FFF">
            <w:pPr>
              <w:pStyle w:val="TAC"/>
            </w:pPr>
            <w:r w:rsidRPr="003646C5">
              <w:t>-</w:t>
            </w:r>
          </w:p>
        </w:tc>
        <w:tc>
          <w:tcPr>
            <w:tcW w:w="1637" w:type="dxa"/>
            <w:tcBorders>
              <w:top w:val="single" w:sz="4" w:space="0" w:color="auto"/>
              <w:left w:val="single" w:sz="4" w:space="0" w:color="auto"/>
              <w:bottom w:val="single" w:sz="4" w:space="0" w:color="auto"/>
              <w:right w:val="single" w:sz="4" w:space="0" w:color="auto"/>
            </w:tcBorders>
            <w:vAlign w:val="center"/>
          </w:tcPr>
          <w:p w14:paraId="5DB4071B" w14:textId="77777777" w:rsidR="00516FFF" w:rsidRPr="003646C5" w:rsidRDefault="00516FFF" w:rsidP="00516FFF">
            <w:pPr>
              <w:pStyle w:val="TAC"/>
            </w:pPr>
            <w:r w:rsidRPr="003646C5">
              <w:t>NR_CCA_FR1_D</w:t>
            </w:r>
          </w:p>
        </w:tc>
        <w:tc>
          <w:tcPr>
            <w:tcW w:w="880" w:type="dxa"/>
            <w:tcBorders>
              <w:top w:val="single" w:sz="4" w:space="0" w:color="auto"/>
              <w:left w:val="single" w:sz="4" w:space="0" w:color="auto"/>
              <w:bottom w:val="single" w:sz="4" w:space="0" w:color="auto"/>
              <w:right w:val="single" w:sz="4" w:space="0" w:color="auto"/>
            </w:tcBorders>
            <w:vAlign w:val="center"/>
          </w:tcPr>
          <w:p w14:paraId="5E818CAB" w14:textId="77777777" w:rsidR="00516FFF" w:rsidRPr="003646C5" w:rsidRDefault="00516FFF" w:rsidP="00516FFF">
            <w:pPr>
              <w:pStyle w:val="TAC"/>
            </w:pPr>
            <w:r w:rsidRPr="003646C5">
              <w:t>-</w:t>
            </w:r>
          </w:p>
        </w:tc>
      </w:tr>
      <w:tr w:rsidR="00516FFF" w:rsidRPr="003646C5" w14:paraId="58A205A1" w14:textId="77777777" w:rsidTr="00F72C13">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7E594050" w14:textId="77777777" w:rsidR="00516FFF" w:rsidRPr="003646C5" w:rsidRDefault="00516FFF" w:rsidP="00516FFF">
            <w:pPr>
              <w:pStyle w:val="TAC"/>
            </w:pPr>
            <w:r w:rsidRPr="003646C5">
              <w:t>E</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41054AAD" w14:textId="77777777" w:rsidR="00516FFF" w:rsidRPr="003646C5" w:rsidRDefault="00516FFF" w:rsidP="00516FFF">
            <w:pPr>
              <w:pStyle w:val="TAC"/>
            </w:pPr>
            <w:r w:rsidRPr="003646C5">
              <w:t>NR_FDD_FR1_E</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030EB461" w14:textId="77777777" w:rsidR="00516FFF" w:rsidRPr="003646C5" w:rsidRDefault="00516FFF" w:rsidP="00516FFF">
            <w:pPr>
              <w:pStyle w:val="TAC"/>
            </w:pPr>
            <w:r w:rsidRPr="003646C5">
              <w:t>n2, n5, n7</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662AA56F" w14:textId="77777777" w:rsidR="00516FFF" w:rsidRPr="003646C5" w:rsidRDefault="00516FFF" w:rsidP="00516FFF">
            <w:pPr>
              <w:pStyle w:val="TAC"/>
            </w:pPr>
            <w:r w:rsidRPr="003646C5">
              <w:t>NR_TDD_FR1_E</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0D197603" w14:textId="77777777" w:rsidR="00516FFF" w:rsidRPr="003646C5" w:rsidRDefault="00516FFF" w:rsidP="00516FFF">
            <w:pPr>
              <w:pStyle w:val="TAC"/>
            </w:pPr>
            <w:r w:rsidRPr="003646C5">
              <w:t>n41</w:t>
            </w:r>
            <w:r w:rsidRPr="003646C5">
              <w:rPr>
                <w:rFonts w:hint="eastAsia"/>
                <w:lang w:eastAsia="zh-CN"/>
              </w:rPr>
              <w:t>, n90</w:t>
            </w:r>
          </w:p>
        </w:tc>
        <w:tc>
          <w:tcPr>
            <w:tcW w:w="1607" w:type="dxa"/>
            <w:tcBorders>
              <w:top w:val="single" w:sz="4" w:space="0" w:color="auto"/>
              <w:left w:val="single" w:sz="4" w:space="0" w:color="auto"/>
              <w:bottom w:val="single" w:sz="4" w:space="0" w:color="auto"/>
              <w:right w:val="single" w:sz="4" w:space="0" w:color="auto"/>
            </w:tcBorders>
          </w:tcPr>
          <w:p w14:paraId="24D0FDAD" w14:textId="77777777" w:rsidR="00516FFF" w:rsidRPr="003646C5" w:rsidRDefault="00516FFF" w:rsidP="00516FFF">
            <w:pPr>
              <w:pStyle w:val="TAC"/>
            </w:pPr>
            <w:r w:rsidRPr="003646C5">
              <w:t>NR_SDL_FR1_E</w:t>
            </w:r>
          </w:p>
        </w:tc>
        <w:tc>
          <w:tcPr>
            <w:tcW w:w="1067" w:type="dxa"/>
            <w:tcBorders>
              <w:top w:val="single" w:sz="4" w:space="0" w:color="auto"/>
              <w:left w:val="single" w:sz="4" w:space="0" w:color="auto"/>
              <w:bottom w:val="single" w:sz="4" w:space="0" w:color="auto"/>
              <w:right w:val="single" w:sz="4" w:space="0" w:color="auto"/>
            </w:tcBorders>
          </w:tcPr>
          <w:p w14:paraId="00A08C40" w14:textId="77777777" w:rsidR="00516FFF" w:rsidRPr="003646C5" w:rsidRDefault="00516FFF" w:rsidP="00516FFF">
            <w:pPr>
              <w:pStyle w:val="TAC"/>
            </w:pPr>
            <w:r w:rsidRPr="003646C5">
              <w:t>-</w:t>
            </w:r>
          </w:p>
        </w:tc>
        <w:tc>
          <w:tcPr>
            <w:tcW w:w="1637" w:type="dxa"/>
            <w:tcBorders>
              <w:top w:val="single" w:sz="4" w:space="0" w:color="auto"/>
              <w:left w:val="single" w:sz="4" w:space="0" w:color="auto"/>
              <w:bottom w:val="single" w:sz="4" w:space="0" w:color="auto"/>
              <w:right w:val="single" w:sz="4" w:space="0" w:color="auto"/>
            </w:tcBorders>
            <w:vAlign w:val="center"/>
          </w:tcPr>
          <w:p w14:paraId="2A3121C8" w14:textId="77777777" w:rsidR="00516FFF" w:rsidRPr="003646C5" w:rsidRDefault="00516FFF" w:rsidP="00516FFF">
            <w:pPr>
              <w:pStyle w:val="TAC"/>
            </w:pPr>
            <w:r w:rsidRPr="003646C5">
              <w:t>NR_CCA_FR1_E</w:t>
            </w:r>
          </w:p>
        </w:tc>
        <w:tc>
          <w:tcPr>
            <w:tcW w:w="880" w:type="dxa"/>
            <w:tcBorders>
              <w:top w:val="single" w:sz="4" w:space="0" w:color="auto"/>
              <w:left w:val="single" w:sz="4" w:space="0" w:color="auto"/>
              <w:bottom w:val="single" w:sz="4" w:space="0" w:color="auto"/>
              <w:right w:val="single" w:sz="4" w:space="0" w:color="auto"/>
            </w:tcBorders>
            <w:vAlign w:val="center"/>
          </w:tcPr>
          <w:p w14:paraId="39E9C7C8" w14:textId="77777777" w:rsidR="00516FFF" w:rsidRPr="003646C5" w:rsidRDefault="00516FFF" w:rsidP="00516FFF">
            <w:pPr>
              <w:pStyle w:val="TAC"/>
            </w:pPr>
            <w:r w:rsidRPr="003646C5">
              <w:t>-</w:t>
            </w:r>
          </w:p>
        </w:tc>
      </w:tr>
      <w:tr w:rsidR="00516FFF" w:rsidRPr="003646C5" w14:paraId="72149AB5" w14:textId="77777777" w:rsidTr="00F72C13">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5ABEDC09" w14:textId="77777777" w:rsidR="00516FFF" w:rsidRPr="003646C5" w:rsidRDefault="00516FFF" w:rsidP="00516FFF">
            <w:pPr>
              <w:pStyle w:val="TAC"/>
            </w:pPr>
            <w:r w:rsidRPr="003646C5">
              <w:t>F</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670C2A59" w14:textId="77777777" w:rsidR="00516FFF" w:rsidRPr="003646C5" w:rsidRDefault="00516FFF" w:rsidP="00516FFF">
            <w:pPr>
              <w:pStyle w:val="TAC"/>
            </w:pPr>
            <w:r w:rsidRPr="003646C5">
              <w:t>NR_FDD_FR1_F</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58C17372" w14:textId="77777777" w:rsidR="00516FFF" w:rsidRPr="003646C5" w:rsidRDefault="00516FFF" w:rsidP="00516FFF">
            <w:pPr>
              <w:pStyle w:val="TAC"/>
            </w:pPr>
            <w:r w:rsidRPr="003646C5">
              <w:t>n26</w:t>
            </w:r>
            <w:r w:rsidRPr="003646C5">
              <w:rPr>
                <w:vertAlign w:val="superscript"/>
              </w:rPr>
              <w:t>6</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1076B176" w14:textId="77777777" w:rsidR="00516FFF" w:rsidRPr="003646C5" w:rsidRDefault="00516FFF" w:rsidP="00516FFF">
            <w:pPr>
              <w:pStyle w:val="TAC"/>
            </w:pPr>
            <w:r w:rsidRPr="003646C5">
              <w:t>NR_TDD_FR1_F</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3482B590" w14:textId="77777777" w:rsidR="00516FFF" w:rsidRPr="003646C5" w:rsidRDefault="00516FFF" w:rsidP="00516FFF">
            <w:pPr>
              <w:pStyle w:val="TAC"/>
            </w:pPr>
            <w:r w:rsidRPr="003646C5">
              <w:t>-</w:t>
            </w:r>
          </w:p>
        </w:tc>
        <w:tc>
          <w:tcPr>
            <w:tcW w:w="1607" w:type="dxa"/>
            <w:tcBorders>
              <w:top w:val="single" w:sz="4" w:space="0" w:color="auto"/>
              <w:left w:val="single" w:sz="4" w:space="0" w:color="auto"/>
              <w:bottom w:val="single" w:sz="4" w:space="0" w:color="auto"/>
              <w:right w:val="single" w:sz="4" w:space="0" w:color="auto"/>
            </w:tcBorders>
          </w:tcPr>
          <w:p w14:paraId="157C29E9" w14:textId="77777777" w:rsidR="00516FFF" w:rsidRPr="003646C5" w:rsidRDefault="00516FFF" w:rsidP="00516FFF">
            <w:pPr>
              <w:pStyle w:val="TAC"/>
            </w:pPr>
            <w:r w:rsidRPr="003646C5">
              <w:t>NR_SDL_FR1_F</w:t>
            </w:r>
          </w:p>
        </w:tc>
        <w:tc>
          <w:tcPr>
            <w:tcW w:w="1067" w:type="dxa"/>
            <w:tcBorders>
              <w:top w:val="single" w:sz="4" w:space="0" w:color="auto"/>
              <w:left w:val="single" w:sz="4" w:space="0" w:color="auto"/>
              <w:bottom w:val="single" w:sz="4" w:space="0" w:color="auto"/>
              <w:right w:val="single" w:sz="4" w:space="0" w:color="auto"/>
            </w:tcBorders>
          </w:tcPr>
          <w:p w14:paraId="576085E4" w14:textId="77777777" w:rsidR="00516FFF" w:rsidRPr="003646C5" w:rsidRDefault="00516FFF" w:rsidP="00516FFF">
            <w:pPr>
              <w:pStyle w:val="TAC"/>
            </w:pPr>
            <w:r w:rsidRPr="003646C5">
              <w:t>-</w:t>
            </w:r>
          </w:p>
        </w:tc>
        <w:tc>
          <w:tcPr>
            <w:tcW w:w="1637" w:type="dxa"/>
            <w:tcBorders>
              <w:top w:val="single" w:sz="4" w:space="0" w:color="auto"/>
              <w:left w:val="single" w:sz="4" w:space="0" w:color="auto"/>
              <w:bottom w:val="single" w:sz="4" w:space="0" w:color="auto"/>
              <w:right w:val="single" w:sz="4" w:space="0" w:color="auto"/>
            </w:tcBorders>
            <w:vAlign w:val="center"/>
          </w:tcPr>
          <w:p w14:paraId="2CFD6926" w14:textId="77777777" w:rsidR="00516FFF" w:rsidRPr="003646C5" w:rsidRDefault="00516FFF" w:rsidP="00516FFF">
            <w:pPr>
              <w:pStyle w:val="TAC"/>
            </w:pPr>
            <w:r w:rsidRPr="003646C5">
              <w:t>NR_CCA_FR1_F</w:t>
            </w:r>
          </w:p>
        </w:tc>
        <w:tc>
          <w:tcPr>
            <w:tcW w:w="880" w:type="dxa"/>
            <w:tcBorders>
              <w:top w:val="single" w:sz="4" w:space="0" w:color="auto"/>
              <w:left w:val="single" w:sz="4" w:space="0" w:color="auto"/>
              <w:bottom w:val="single" w:sz="4" w:space="0" w:color="auto"/>
              <w:right w:val="single" w:sz="4" w:space="0" w:color="auto"/>
            </w:tcBorders>
            <w:vAlign w:val="center"/>
          </w:tcPr>
          <w:p w14:paraId="10B7B12C" w14:textId="77777777" w:rsidR="00516FFF" w:rsidRPr="003646C5" w:rsidRDefault="00516FFF" w:rsidP="00516FFF">
            <w:pPr>
              <w:pStyle w:val="TAC"/>
            </w:pPr>
            <w:r w:rsidRPr="003646C5">
              <w:t>-</w:t>
            </w:r>
          </w:p>
        </w:tc>
      </w:tr>
      <w:tr w:rsidR="00516FFF" w:rsidRPr="003646C5" w14:paraId="2BE5234B" w14:textId="77777777" w:rsidTr="00F72C13">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1B7FF4A9" w14:textId="77777777" w:rsidR="00516FFF" w:rsidRPr="003646C5" w:rsidRDefault="00516FFF" w:rsidP="00516FFF">
            <w:pPr>
              <w:pStyle w:val="TAC"/>
            </w:pPr>
            <w:r w:rsidRPr="003646C5">
              <w:t>G</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16D9C83F" w14:textId="77777777" w:rsidR="00516FFF" w:rsidRPr="003646C5" w:rsidRDefault="00516FFF" w:rsidP="00516FFF">
            <w:pPr>
              <w:pStyle w:val="TAC"/>
            </w:pPr>
            <w:r w:rsidRPr="003646C5">
              <w:t>NR_FDD_FR1_G</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3BE3CBFD" w14:textId="68C12FE0" w:rsidR="00516FFF" w:rsidRPr="003646C5" w:rsidRDefault="00A77EC2" w:rsidP="00516FFF">
            <w:pPr>
              <w:pStyle w:val="TAC"/>
            </w:pPr>
            <w:r w:rsidRPr="003646C5">
              <w:t>n3, n8, n12, n13, n14, n20, n71</w:t>
            </w:r>
            <w:r>
              <w:t>, n85, n105</w:t>
            </w:r>
            <w:r w:rsidRPr="00A528DF">
              <w:rPr>
                <w:vertAlign w:val="superscript"/>
              </w:rPr>
              <w:t>11</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2D157E1B" w14:textId="77777777" w:rsidR="00516FFF" w:rsidRPr="003646C5" w:rsidRDefault="00516FFF" w:rsidP="00516FFF">
            <w:pPr>
              <w:pStyle w:val="TAC"/>
            </w:pPr>
            <w:r w:rsidRPr="003646C5">
              <w:t>NR_TDD_FR1_G</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2C939971" w14:textId="1CF95189" w:rsidR="00516FFF" w:rsidRPr="003646C5" w:rsidRDefault="0042282A" w:rsidP="00516FFF">
            <w:pPr>
              <w:pStyle w:val="TAC"/>
            </w:pPr>
            <w:r>
              <w:t>n104</w:t>
            </w:r>
          </w:p>
        </w:tc>
        <w:tc>
          <w:tcPr>
            <w:tcW w:w="1607" w:type="dxa"/>
            <w:tcBorders>
              <w:top w:val="single" w:sz="4" w:space="0" w:color="auto"/>
              <w:left w:val="single" w:sz="4" w:space="0" w:color="auto"/>
              <w:bottom w:val="single" w:sz="4" w:space="0" w:color="auto"/>
              <w:right w:val="single" w:sz="4" w:space="0" w:color="auto"/>
            </w:tcBorders>
          </w:tcPr>
          <w:p w14:paraId="35725067" w14:textId="77777777" w:rsidR="00516FFF" w:rsidRPr="003646C5" w:rsidRDefault="00516FFF" w:rsidP="00516FFF">
            <w:pPr>
              <w:pStyle w:val="TAC"/>
            </w:pPr>
            <w:r w:rsidRPr="003646C5">
              <w:t>NR_SDL_FR1_G</w:t>
            </w:r>
          </w:p>
        </w:tc>
        <w:tc>
          <w:tcPr>
            <w:tcW w:w="1067" w:type="dxa"/>
            <w:tcBorders>
              <w:top w:val="single" w:sz="4" w:space="0" w:color="auto"/>
              <w:left w:val="single" w:sz="4" w:space="0" w:color="auto"/>
              <w:bottom w:val="single" w:sz="4" w:space="0" w:color="auto"/>
              <w:right w:val="single" w:sz="4" w:space="0" w:color="auto"/>
            </w:tcBorders>
          </w:tcPr>
          <w:p w14:paraId="7D835CC6" w14:textId="77777777" w:rsidR="00516FFF" w:rsidRPr="003646C5" w:rsidRDefault="00516FFF" w:rsidP="00516FFF">
            <w:pPr>
              <w:pStyle w:val="TAC"/>
            </w:pPr>
            <w:r w:rsidRPr="003646C5">
              <w:t>n29</w:t>
            </w:r>
          </w:p>
        </w:tc>
        <w:tc>
          <w:tcPr>
            <w:tcW w:w="1637" w:type="dxa"/>
            <w:tcBorders>
              <w:top w:val="single" w:sz="4" w:space="0" w:color="auto"/>
              <w:left w:val="single" w:sz="4" w:space="0" w:color="auto"/>
              <w:bottom w:val="single" w:sz="4" w:space="0" w:color="auto"/>
              <w:right w:val="single" w:sz="4" w:space="0" w:color="auto"/>
            </w:tcBorders>
            <w:vAlign w:val="center"/>
          </w:tcPr>
          <w:p w14:paraId="338B2492" w14:textId="77777777" w:rsidR="00516FFF" w:rsidRPr="003646C5" w:rsidRDefault="00516FFF" w:rsidP="00516FFF">
            <w:pPr>
              <w:pStyle w:val="TAC"/>
            </w:pPr>
            <w:r w:rsidRPr="003646C5">
              <w:t>NR_CCA_FR1_G</w:t>
            </w:r>
          </w:p>
        </w:tc>
        <w:tc>
          <w:tcPr>
            <w:tcW w:w="880" w:type="dxa"/>
            <w:tcBorders>
              <w:top w:val="single" w:sz="4" w:space="0" w:color="auto"/>
              <w:left w:val="single" w:sz="4" w:space="0" w:color="auto"/>
              <w:bottom w:val="single" w:sz="4" w:space="0" w:color="auto"/>
              <w:right w:val="single" w:sz="4" w:space="0" w:color="auto"/>
            </w:tcBorders>
            <w:vAlign w:val="center"/>
          </w:tcPr>
          <w:p w14:paraId="7C06CCA0" w14:textId="77777777" w:rsidR="00516FFF" w:rsidRPr="003646C5" w:rsidRDefault="00516FFF" w:rsidP="00516FFF">
            <w:pPr>
              <w:pStyle w:val="TAC"/>
            </w:pPr>
            <w:r w:rsidRPr="003646C5">
              <w:t>-</w:t>
            </w:r>
          </w:p>
        </w:tc>
      </w:tr>
      <w:tr w:rsidR="00516FFF" w:rsidRPr="003646C5" w14:paraId="24020C98" w14:textId="77777777" w:rsidTr="00F72C13">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1087AFD1" w14:textId="77777777" w:rsidR="00516FFF" w:rsidRPr="003646C5" w:rsidRDefault="00516FFF" w:rsidP="00516FFF">
            <w:pPr>
              <w:pStyle w:val="TAC"/>
            </w:pPr>
            <w:r w:rsidRPr="003646C5">
              <w:t>H</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4070A7E9" w14:textId="77777777" w:rsidR="00516FFF" w:rsidRPr="003646C5" w:rsidRDefault="00516FFF" w:rsidP="00516FFF">
            <w:pPr>
              <w:pStyle w:val="TAC"/>
            </w:pPr>
            <w:r w:rsidRPr="003646C5">
              <w:t>NR_FDD_FR1_H</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3CE67E52" w14:textId="77777777" w:rsidR="00516FFF" w:rsidRPr="003646C5" w:rsidRDefault="00516FFF" w:rsidP="00516FFF">
            <w:pPr>
              <w:pStyle w:val="TAC"/>
            </w:pPr>
            <w:r w:rsidRPr="003646C5">
              <w:t>n25</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7188E01C" w14:textId="77777777" w:rsidR="00516FFF" w:rsidRPr="003646C5" w:rsidRDefault="00516FFF" w:rsidP="00516FFF">
            <w:pPr>
              <w:pStyle w:val="TAC"/>
            </w:pPr>
            <w:r w:rsidRPr="003646C5">
              <w:t>NR_TDD_FR1_H</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2B0A8796" w14:textId="77777777" w:rsidR="00516FFF" w:rsidRPr="003646C5" w:rsidRDefault="00516FFF" w:rsidP="00516FFF">
            <w:pPr>
              <w:pStyle w:val="TAC"/>
            </w:pPr>
            <w:r w:rsidRPr="003646C5">
              <w:t>-</w:t>
            </w:r>
          </w:p>
        </w:tc>
        <w:tc>
          <w:tcPr>
            <w:tcW w:w="1607" w:type="dxa"/>
            <w:tcBorders>
              <w:top w:val="single" w:sz="4" w:space="0" w:color="auto"/>
              <w:left w:val="single" w:sz="4" w:space="0" w:color="auto"/>
              <w:bottom w:val="single" w:sz="4" w:space="0" w:color="auto"/>
              <w:right w:val="single" w:sz="4" w:space="0" w:color="auto"/>
            </w:tcBorders>
          </w:tcPr>
          <w:p w14:paraId="4E00513F" w14:textId="77777777" w:rsidR="00516FFF" w:rsidRPr="003646C5" w:rsidRDefault="00516FFF" w:rsidP="00516FFF">
            <w:pPr>
              <w:pStyle w:val="TAC"/>
            </w:pPr>
            <w:r w:rsidRPr="003646C5">
              <w:t>NR_SDL_FR1_H</w:t>
            </w:r>
          </w:p>
        </w:tc>
        <w:tc>
          <w:tcPr>
            <w:tcW w:w="1067" w:type="dxa"/>
            <w:tcBorders>
              <w:top w:val="single" w:sz="4" w:space="0" w:color="auto"/>
              <w:left w:val="single" w:sz="4" w:space="0" w:color="auto"/>
              <w:bottom w:val="single" w:sz="4" w:space="0" w:color="auto"/>
              <w:right w:val="single" w:sz="4" w:space="0" w:color="auto"/>
            </w:tcBorders>
          </w:tcPr>
          <w:p w14:paraId="7D39A9DC" w14:textId="77777777" w:rsidR="00516FFF" w:rsidRPr="003646C5" w:rsidRDefault="00516FFF" w:rsidP="00516FFF">
            <w:pPr>
              <w:pStyle w:val="TAC"/>
            </w:pPr>
            <w:r w:rsidRPr="003646C5">
              <w:t>-</w:t>
            </w:r>
          </w:p>
        </w:tc>
        <w:tc>
          <w:tcPr>
            <w:tcW w:w="1637" w:type="dxa"/>
            <w:tcBorders>
              <w:top w:val="single" w:sz="4" w:space="0" w:color="auto"/>
              <w:left w:val="single" w:sz="4" w:space="0" w:color="auto"/>
              <w:bottom w:val="single" w:sz="4" w:space="0" w:color="auto"/>
              <w:right w:val="single" w:sz="4" w:space="0" w:color="auto"/>
            </w:tcBorders>
            <w:vAlign w:val="center"/>
          </w:tcPr>
          <w:p w14:paraId="2836642B" w14:textId="77777777" w:rsidR="00516FFF" w:rsidRPr="003646C5" w:rsidRDefault="00516FFF" w:rsidP="00516FFF">
            <w:pPr>
              <w:pStyle w:val="TAC"/>
            </w:pPr>
            <w:r w:rsidRPr="003646C5">
              <w:t>NR_CCA_FR1_H</w:t>
            </w:r>
          </w:p>
        </w:tc>
        <w:tc>
          <w:tcPr>
            <w:tcW w:w="880" w:type="dxa"/>
            <w:tcBorders>
              <w:top w:val="single" w:sz="4" w:space="0" w:color="auto"/>
              <w:left w:val="single" w:sz="4" w:space="0" w:color="auto"/>
              <w:bottom w:val="single" w:sz="4" w:space="0" w:color="auto"/>
              <w:right w:val="single" w:sz="4" w:space="0" w:color="auto"/>
            </w:tcBorders>
            <w:vAlign w:val="center"/>
          </w:tcPr>
          <w:p w14:paraId="49AD9A37" w14:textId="77777777" w:rsidR="00516FFF" w:rsidRPr="003646C5" w:rsidRDefault="00516FFF" w:rsidP="00516FFF">
            <w:pPr>
              <w:pStyle w:val="TAC"/>
            </w:pPr>
            <w:r w:rsidRPr="003646C5">
              <w:t>-</w:t>
            </w:r>
          </w:p>
        </w:tc>
      </w:tr>
      <w:tr w:rsidR="00516FFF" w:rsidRPr="003646C5" w14:paraId="3F1B9F33" w14:textId="77777777" w:rsidTr="00F72C13">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7DA9EA2C" w14:textId="77777777" w:rsidR="00516FFF" w:rsidRPr="003646C5" w:rsidRDefault="00516FFF" w:rsidP="00516FFF">
            <w:pPr>
              <w:pStyle w:val="TAC"/>
            </w:pPr>
            <w:r w:rsidRPr="003646C5">
              <w:rPr>
                <w:rFonts w:hint="eastAsia"/>
                <w:lang w:eastAsia="ko-KR"/>
              </w:rPr>
              <w:t>I</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7A899AB5" w14:textId="77777777" w:rsidR="00516FFF" w:rsidRPr="003646C5" w:rsidRDefault="00516FFF" w:rsidP="00516FFF">
            <w:pPr>
              <w:pStyle w:val="TAC"/>
            </w:pPr>
            <w:r w:rsidRPr="003646C5">
              <w:rPr>
                <w:rFonts w:cs="Arial"/>
              </w:rPr>
              <w:t>NR_FDD_FR1_I</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0C01145B" w14:textId="77777777" w:rsidR="00516FFF" w:rsidRPr="003646C5" w:rsidRDefault="00516FFF" w:rsidP="00516FFF">
            <w:pPr>
              <w:pStyle w:val="TAC"/>
            </w:pPr>
            <w:r w:rsidRPr="003646C5">
              <w:rPr>
                <w:rFonts w:hint="eastAsia"/>
                <w:lang w:eastAsia="ko-KR"/>
              </w:rPr>
              <w:t>-</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2076B19D" w14:textId="77777777" w:rsidR="00516FFF" w:rsidRPr="003646C5" w:rsidRDefault="00516FFF" w:rsidP="00516FFF">
            <w:pPr>
              <w:pStyle w:val="TAC"/>
            </w:pPr>
            <w:r w:rsidRPr="003646C5">
              <w:rPr>
                <w:rFonts w:cs="Arial"/>
              </w:rPr>
              <w:t>NR_TDD_FR1_I</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0488A39D" w14:textId="217599FB" w:rsidR="00516FFF" w:rsidRPr="003646C5" w:rsidRDefault="00516FFF" w:rsidP="00516FFF">
            <w:pPr>
              <w:pStyle w:val="TAC"/>
            </w:pPr>
          </w:p>
        </w:tc>
        <w:tc>
          <w:tcPr>
            <w:tcW w:w="1607" w:type="dxa"/>
            <w:tcBorders>
              <w:top w:val="single" w:sz="4" w:space="0" w:color="auto"/>
              <w:left w:val="single" w:sz="4" w:space="0" w:color="auto"/>
              <w:bottom w:val="single" w:sz="4" w:space="0" w:color="auto"/>
              <w:right w:val="single" w:sz="4" w:space="0" w:color="auto"/>
            </w:tcBorders>
          </w:tcPr>
          <w:p w14:paraId="08F96DC5" w14:textId="77777777" w:rsidR="00516FFF" w:rsidRPr="003646C5" w:rsidRDefault="00516FFF" w:rsidP="00516FFF">
            <w:pPr>
              <w:pStyle w:val="TAC"/>
            </w:pPr>
            <w:r w:rsidRPr="003646C5">
              <w:rPr>
                <w:rFonts w:cs="Arial"/>
              </w:rPr>
              <w:t>NR_SDL_FR1_I</w:t>
            </w:r>
          </w:p>
        </w:tc>
        <w:tc>
          <w:tcPr>
            <w:tcW w:w="1067" w:type="dxa"/>
            <w:tcBorders>
              <w:top w:val="single" w:sz="4" w:space="0" w:color="auto"/>
              <w:left w:val="single" w:sz="4" w:space="0" w:color="auto"/>
              <w:bottom w:val="single" w:sz="4" w:space="0" w:color="auto"/>
              <w:right w:val="single" w:sz="4" w:space="0" w:color="auto"/>
            </w:tcBorders>
          </w:tcPr>
          <w:p w14:paraId="63F4C6BA" w14:textId="77777777" w:rsidR="00516FFF" w:rsidRPr="003646C5" w:rsidRDefault="00516FFF" w:rsidP="00516FFF">
            <w:pPr>
              <w:pStyle w:val="TAC"/>
            </w:pPr>
            <w:r w:rsidRPr="003646C5">
              <w:rPr>
                <w:rFonts w:hint="eastAsia"/>
                <w:lang w:eastAsia="ko-KR"/>
              </w:rPr>
              <w:t>-</w:t>
            </w:r>
          </w:p>
        </w:tc>
        <w:tc>
          <w:tcPr>
            <w:tcW w:w="1637" w:type="dxa"/>
            <w:tcBorders>
              <w:top w:val="single" w:sz="4" w:space="0" w:color="auto"/>
              <w:left w:val="single" w:sz="4" w:space="0" w:color="auto"/>
              <w:bottom w:val="single" w:sz="4" w:space="0" w:color="auto"/>
              <w:right w:val="single" w:sz="4" w:space="0" w:color="auto"/>
            </w:tcBorders>
            <w:vAlign w:val="center"/>
          </w:tcPr>
          <w:p w14:paraId="4078B532" w14:textId="77777777" w:rsidR="00516FFF" w:rsidRPr="003646C5" w:rsidRDefault="00516FFF" w:rsidP="00516FFF">
            <w:pPr>
              <w:pStyle w:val="TAC"/>
              <w:rPr>
                <w:lang w:eastAsia="ko-KR"/>
              </w:rPr>
            </w:pPr>
            <w:r w:rsidRPr="003646C5">
              <w:rPr>
                <w:rFonts w:cs="Arial"/>
              </w:rPr>
              <w:t>NR_CCA_FR1_I</w:t>
            </w:r>
          </w:p>
        </w:tc>
        <w:tc>
          <w:tcPr>
            <w:tcW w:w="880" w:type="dxa"/>
            <w:tcBorders>
              <w:top w:val="single" w:sz="4" w:space="0" w:color="auto"/>
              <w:left w:val="single" w:sz="4" w:space="0" w:color="auto"/>
              <w:bottom w:val="single" w:sz="4" w:space="0" w:color="auto"/>
              <w:right w:val="single" w:sz="4" w:space="0" w:color="auto"/>
            </w:tcBorders>
            <w:vAlign w:val="center"/>
          </w:tcPr>
          <w:p w14:paraId="71CC2105" w14:textId="77777777" w:rsidR="00516FFF" w:rsidRPr="003646C5" w:rsidRDefault="00516FFF" w:rsidP="00516FFF">
            <w:pPr>
              <w:pStyle w:val="TAC"/>
              <w:rPr>
                <w:lang w:eastAsia="ko-KR"/>
              </w:rPr>
            </w:pPr>
            <w:r w:rsidRPr="003646C5">
              <w:rPr>
                <w:rFonts w:cs="Arial"/>
              </w:rPr>
              <w:t>n46</w:t>
            </w:r>
          </w:p>
        </w:tc>
      </w:tr>
      <w:tr w:rsidR="00697E44" w:rsidRPr="003646C5" w14:paraId="01B566D0" w14:textId="77777777" w:rsidTr="00F72C13">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21B72E09" w14:textId="77777777" w:rsidR="00697E44" w:rsidRPr="003646C5" w:rsidRDefault="00697E44" w:rsidP="00697E44">
            <w:pPr>
              <w:pStyle w:val="TAC"/>
            </w:pPr>
            <w:r w:rsidRPr="003646C5">
              <w:rPr>
                <w:rFonts w:hint="eastAsia"/>
                <w:lang w:eastAsia="ko-KR"/>
              </w:rPr>
              <w:t>J</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0B6DE631" w14:textId="77777777" w:rsidR="00697E44" w:rsidRPr="003646C5" w:rsidRDefault="00697E44" w:rsidP="00697E44">
            <w:pPr>
              <w:pStyle w:val="TAC"/>
            </w:pPr>
            <w:r w:rsidRPr="003646C5">
              <w:rPr>
                <w:rFonts w:cs="Arial"/>
              </w:rPr>
              <w:t>NR_FDD_FR1_J</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12248DE4" w14:textId="77777777" w:rsidR="00697E44" w:rsidRPr="003646C5" w:rsidRDefault="00697E44" w:rsidP="00697E44">
            <w:pPr>
              <w:pStyle w:val="TAC"/>
            </w:pPr>
            <w:r w:rsidRPr="003646C5">
              <w:rPr>
                <w:rFonts w:hint="eastAsia"/>
                <w:lang w:eastAsia="ko-KR"/>
              </w:rPr>
              <w:t>-</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1F641E20" w14:textId="77777777" w:rsidR="00697E44" w:rsidRPr="003646C5" w:rsidRDefault="00697E44" w:rsidP="00697E44">
            <w:pPr>
              <w:pStyle w:val="TAC"/>
            </w:pPr>
            <w:r w:rsidRPr="003646C5">
              <w:rPr>
                <w:rFonts w:cs="Arial"/>
              </w:rPr>
              <w:t>NR_TDD_FR1_J</w:t>
            </w:r>
          </w:p>
        </w:tc>
        <w:tc>
          <w:tcPr>
            <w:tcW w:w="1067" w:type="dxa"/>
            <w:tcBorders>
              <w:top w:val="single" w:sz="4" w:space="0" w:color="auto"/>
              <w:left w:val="single" w:sz="4" w:space="0" w:color="auto"/>
              <w:bottom w:val="single" w:sz="4" w:space="0" w:color="auto"/>
              <w:right w:val="single" w:sz="4" w:space="0" w:color="auto"/>
            </w:tcBorders>
            <w:shd w:val="clear" w:color="auto" w:fill="auto"/>
          </w:tcPr>
          <w:p w14:paraId="5EE4713D" w14:textId="606E7CA2" w:rsidR="00697E44" w:rsidRPr="003646C5" w:rsidRDefault="00697E44" w:rsidP="00697E44">
            <w:pPr>
              <w:pStyle w:val="TAC"/>
            </w:pPr>
            <w:r w:rsidRPr="00896D6A">
              <w:rPr>
                <w:lang w:eastAsia="ko-KR"/>
              </w:rPr>
              <w:t>n</w:t>
            </w:r>
            <w:r w:rsidRPr="00896D6A">
              <w:rPr>
                <w:rFonts w:hint="eastAsia"/>
                <w:lang w:eastAsia="ko-KR"/>
              </w:rPr>
              <w:t>4</w:t>
            </w:r>
            <w:r w:rsidRPr="00896D6A">
              <w:rPr>
                <w:lang w:eastAsia="ko-KR"/>
              </w:rPr>
              <w:t>7</w:t>
            </w:r>
            <w:r w:rsidRPr="00896D6A">
              <w:rPr>
                <w:vertAlign w:val="superscript"/>
                <w:lang w:eastAsia="ko-KR"/>
              </w:rPr>
              <w:t>8</w:t>
            </w:r>
          </w:p>
        </w:tc>
        <w:tc>
          <w:tcPr>
            <w:tcW w:w="1607" w:type="dxa"/>
            <w:tcBorders>
              <w:top w:val="single" w:sz="4" w:space="0" w:color="auto"/>
              <w:left w:val="single" w:sz="4" w:space="0" w:color="auto"/>
              <w:bottom w:val="single" w:sz="4" w:space="0" w:color="auto"/>
              <w:right w:val="single" w:sz="4" w:space="0" w:color="auto"/>
            </w:tcBorders>
          </w:tcPr>
          <w:p w14:paraId="7CD9132A" w14:textId="5E57FB50" w:rsidR="00697E44" w:rsidRPr="003646C5" w:rsidRDefault="00697E44" w:rsidP="00697E44">
            <w:pPr>
              <w:pStyle w:val="TAC"/>
            </w:pPr>
            <w:r w:rsidRPr="00896D6A">
              <w:rPr>
                <w:rFonts w:cs="Arial"/>
              </w:rPr>
              <w:t>NR_SDL_FR1_J</w:t>
            </w:r>
          </w:p>
        </w:tc>
        <w:tc>
          <w:tcPr>
            <w:tcW w:w="1067" w:type="dxa"/>
            <w:tcBorders>
              <w:top w:val="single" w:sz="4" w:space="0" w:color="auto"/>
              <w:left w:val="single" w:sz="4" w:space="0" w:color="auto"/>
              <w:bottom w:val="single" w:sz="4" w:space="0" w:color="auto"/>
              <w:right w:val="single" w:sz="4" w:space="0" w:color="auto"/>
            </w:tcBorders>
          </w:tcPr>
          <w:p w14:paraId="2EC12294" w14:textId="70C3906C" w:rsidR="00697E44" w:rsidRPr="003646C5" w:rsidRDefault="00697E44" w:rsidP="00697E44">
            <w:pPr>
              <w:pStyle w:val="TAC"/>
            </w:pPr>
            <w:r w:rsidRPr="00896D6A">
              <w:rPr>
                <w:rFonts w:hint="eastAsia"/>
                <w:lang w:eastAsia="ko-KR"/>
              </w:rPr>
              <w:t>-</w:t>
            </w:r>
          </w:p>
        </w:tc>
        <w:tc>
          <w:tcPr>
            <w:tcW w:w="1637" w:type="dxa"/>
            <w:tcBorders>
              <w:top w:val="single" w:sz="4" w:space="0" w:color="auto"/>
              <w:left w:val="single" w:sz="4" w:space="0" w:color="auto"/>
              <w:bottom w:val="single" w:sz="4" w:space="0" w:color="auto"/>
              <w:right w:val="single" w:sz="4" w:space="0" w:color="auto"/>
            </w:tcBorders>
            <w:vAlign w:val="center"/>
          </w:tcPr>
          <w:p w14:paraId="42584608" w14:textId="2209DA68" w:rsidR="00697E44" w:rsidRPr="003646C5" w:rsidRDefault="00697E44" w:rsidP="00697E44">
            <w:pPr>
              <w:pStyle w:val="TAC"/>
              <w:rPr>
                <w:lang w:eastAsia="ko-KR"/>
              </w:rPr>
            </w:pPr>
            <w:r w:rsidRPr="00896D6A">
              <w:rPr>
                <w:rFonts w:cs="Arial"/>
              </w:rPr>
              <w:t>NR_CCA_FR1_J</w:t>
            </w:r>
          </w:p>
        </w:tc>
        <w:tc>
          <w:tcPr>
            <w:tcW w:w="880" w:type="dxa"/>
            <w:tcBorders>
              <w:top w:val="single" w:sz="4" w:space="0" w:color="auto"/>
              <w:left w:val="single" w:sz="4" w:space="0" w:color="auto"/>
              <w:bottom w:val="single" w:sz="4" w:space="0" w:color="auto"/>
              <w:right w:val="single" w:sz="4" w:space="0" w:color="auto"/>
            </w:tcBorders>
            <w:vAlign w:val="center"/>
          </w:tcPr>
          <w:p w14:paraId="4F837892" w14:textId="4E377542" w:rsidR="00697E44" w:rsidRPr="003646C5" w:rsidRDefault="00697E44" w:rsidP="00697E44">
            <w:pPr>
              <w:pStyle w:val="TAC"/>
              <w:rPr>
                <w:lang w:eastAsia="ko-KR"/>
              </w:rPr>
            </w:pPr>
            <w:r w:rsidRPr="00896D6A">
              <w:rPr>
                <w:lang w:eastAsia="ko-KR"/>
              </w:rPr>
              <w:t>n96</w:t>
            </w:r>
            <w:r>
              <w:rPr>
                <w:lang w:eastAsia="ko-KR"/>
              </w:rPr>
              <w:t>, n102</w:t>
            </w:r>
          </w:p>
        </w:tc>
      </w:tr>
      <w:tr w:rsidR="00516FFF" w:rsidRPr="003646C5" w14:paraId="45944563" w14:textId="77777777" w:rsidTr="00F72C13">
        <w:trPr>
          <w:trHeight w:val="187"/>
          <w:jc w:val="center"/>
        </w:trPr>
        <w:tc>
          <w:tcPr>
            <w:tcW w:w="11335" w:type="dxa"/>
            <w:gridSpan w:val="9"/>
            <w:tcBorders>
              <w:top w:val="single" w:sz="4" w:space="0" w:color="auto"/>
              <w:left w:val="single" w:sz="4" w:space="0" w:color="auto"/>
              <w:bottom w:val="single" w:sz="4" w:space="0" w:color="auto"/>
              <w:right w:val="single" w:sz="4" w:space="0" w:color="auto"/>
            </w:tcBorders>
            <w:shd w:val="clear" w:color="auto" w:fill="auto"/>
          </w:tcPr>
          <w:p w14:paraId="360E6195" w14:textId="77777777" w:rsidR="00516FFF" w:rsidRPr="003646C5" w:rsidRDefault="00516FFF" w:rsidP="00516FFF">
            <w:pPr>
              <w:pStyle w:val="TAN"/>
            </w:pPr>
            <w:r w:rsidRPr="003646C5">
              <w:t>NOTE 1:</w:t>
            </w:r>
            <w:r w:rsidRPr="003646C5">
              <w:rPr>
                <w:lang w:val="en-US" w:eastAsia="ko-KR"/>
              </w:rPr>
              <w:tab/>
            </w:r>
            <w:r w:rsidRPr="003646C5">
              <w:t>Except 3.8 GHz to 4.2 GHz.</w:t>
            </w:r>
          </w:p>
          <w:p w14:paraId="60C26FFD" w14:textId="77777777" w:rsidR="00516FFF" w:rsidRPr="003646C5" w:rsidRDefault="00516FFF" w:rsidP="00516FFF">
            <w:pPr>
              <w:pStyle w:val="TAN"/>
            </w:pPr>
            <w:r w:rsidRPr="003646C5">
              <w:t>NOTE 2:</w:t>
            </w:r>
            <w:r w:rsidRPr="003646C5">
              <w:rPr>
                <w:lang w:val="en-US" w:eastAsia="ko-KR"/>
              </w:rPr>
              <w:tab/>
            </w:r>
            <w:r w:rsidRPr="003646C5">
              <w:t>Only 3.8 GHz to 4.2 GHz.</w:t>
            </w:r>
          </w:p>
          <w:p w14:paraId="1E4F151A" w14:textId="77777777" w:rsidR="00516FFF" w:rsidRPr="003646C5" w:rsidRDefault="00516FFF" w:rsidP="00516FFF">
            <w:pPr>
              <w:pStyle w:val="TAN"/>
              <w:rPr>
                <w:lang w:eastAsia="ja-JP"/>
              </w:rPr>
            </w:pPr>
            <w:r w:rsidRPr="003646C5">
              <w:t>NOTE 3:</w:t>
            </w:r>
            <w:r w:rsidRPr="003646C5">
              <w:rPr>
                <w:lang w:val="en-US" w:eastAsia="ko-KR"/>
              </w:rPr>
              <w:tab/>
            </w:r>
            <w:r w:rsidRPr="003646C5">
              <w:t xml:space="preserve">Except </w:t>
            </w:r>
            <w:r w:rsidRPr="003646C5">
              <w:rPr>
                <w:lang w:eastAsia="ja-JP"/>
              </w:rPr>
              <w:t>1475.9 MHz to 1510.9 MHz.</w:t>
            </w:r>
          </w:p>
          <w:p w14:paraId="5AE95844" w14:textId="77777777" w:rsidR="00516FFF" w:rsidRPr="003646C5" w:rsidRDefault="00516FFF" w:rsidP="00516FFF">
            <w:pPr>
              <w:pStyle w:val="TAN"/>
              <w:rPr>
                <w:lang w:eastAsia="ja-JP"/>
              </w:rPr>
            </w:pPr>
            <w:r w:rsidRPr="003646C5">
              <w:t>NOTE 4:</w:t>
            </w:r>
            <w:r w:rsidRPr="003646C5">
              <w:rPr>
                <w:lang w:val="en-US" w:eastAsia="ko-KR"/>
              </w:rPr>
              <w:tab/>
            </w:r>
            <w:r w:rsidRPr="003646C5">
              <w:t xml:space="preserve">Only when the band is confined in </w:t>
            </w:r>
            <w:r w:rsidRPr="003646C5">
              <w:rPr>
                <w:lang w:eastAsia="ja-JP"/>
              </w:rPr>
              <w:t>1475.9 MHz to 1510.9 MHz.</w:t>
            </w:r>
          </w:p>
          <w:p w14:paraId="44EC1007" w14:textId="77777777" w:rsidR="00516FFF" w:rsidRPr="003646C5" w:rsidRDefault="00516FFF" w:rsidP="00516FFF">
            <w:pPr>
              <w:pStyle w:val="TAN"/>
            </w:pPr>
            <w:r w:rsidRPr="003646C5">
              <w:t>NOTE 5:</w:t>
            </w:r>
            <w:r w:rsidRPr="003646C5">
              <w:rPr>
                <w:lang w:val="en-US" w:eastAsia="ko-KR"/>
              </w:rPr>
              <w:tab/>
            </w:r>
            <w:r w:rsidRPr="003646C5">
              <w:t>These bands are used only in NR carrier aggregation with other NR bands according to NR CA band combinations specified in TS 38.101-1 [18] and TS 38.101-3 [20].</w:t>
            </w:r>
          </w:p>
          <w:p w14:paraId="2F2FC8E4" w14:textId="77777777" w:rsidR="00516FFF" w:rsidRPr="003646C5" w:rsidRDefault="00516FFF" w:rsidP="00516FFF">
            <w:pPr>
              <w:pStyle w:val="TAN"/>
            </w:pPr>
            <w:r w:rsidRPr="003646C5">
              <w:t>NOTE 6:</w:t>
            </w:r>
            <w:r w:rsidRPr="003646C5">
              <w:rPr>
                <w:lang w:val="en-US" w:eastAsia="ko-KR"/>
              </w:rPr>
              <w:tab/>
            </w:r>
            <w:r w:rsidRPr="003646C5">
              <w:t xml:space="preserve">The minimum Io condition is reduced by 0.5 dB when the carrier frequency of the assigned NR channel bandwidth is within 865-894 MHz. </w:t>
            </w:r>
          </w:p>
          <w:p w14:paraId="573A9F54" w14:textId="77777777" w:rsidR="00516FFF" w:rsidRPr="003646C5" w:rsidRDefault="00516FFF" w:rsidP="00516FFF">
            <w:pPr>
              <w:pStyle w:val="TAN"/>
            </w:pPr>
            <w:r w:rsidRPr="003646C5">
              <w:t>NOTE 7:</w:t>
            </w:r>
            <w:r w:rsidRPr="003646C5">
              <w:tab/>
              <w:t>When this band is only used for V2X SL service, the band is exclusively used for NR V2X in particular regions.</w:t>
            </w:r>
          </w:p>
          <w:p w14:paraId="7EFF44CF" w14:textId="77777777" w:rsidR="00516FFF" w:rsidRPr="003646C5" w:rsidRDefault="00516FFF" w:rsidP="00516FFF">
            <w:pPr>
              <w:pStyle w:val="TAN"/>
              <w:rPr>
                <w:szCs w:val="18"/>
              </w:rPr>
            </w:pPr>
            <w:r w:rsidRPr="003646C5">
              <w:t>NOTE 8:</w:t>
            </w:r>
            <w:r w:rsidRPr="003646C5">
              <w:tab/>
            </w:r>
            <w:r w:rsidRPr="003646C5">
              <w:rPr>
                <w:szCs w:val="18"/>
              </w:rPr>
              <w:t>This band is unlicensed band used for V2X service. There is no expected network deployment in this band.</w:t>
            </w:r>
          </w:p>
          <w:p w14:paraId="21FFBD9A" w14:textId="77777777" w:rsidR="00516FFF" w:rsidRPr="003646C5" w:rsidRDefault="00516FFF" w:rsidP="00516FFF">
            <w:pPr>
              <w:pStyle w:val="TAN"/>
              <w:rPr>
                <w:color w:val="000000"/>
                <w:lang w:val="en-US" w:eastAsia="zh-CN"/>
              </w:rPr>
            </w:pPr>
            <w:r w:rsidRPr="003646C5">
              <w:rPr>
                <w:szCs w:val="18"/>
              </w:rPr>
              <w:t>NOTE 9:</w:t>
            </w:r>
            <w:r w:rsidRPr="003646C5">
              <w:rPr>
                <w:lang w:val="en-US" w:eastAsia="ko-KR"/>
              </w:rPr>
              <w:tab/>
            </w:r>
            <w:r w:rsidRPr="003646C5">
              <w:rPr>
                <w:szCs w:val="18"/>
              </w:rPr>
              <w:t>W</w:t>
            </w:r>
            <w:r w:rsidRPr="003646C5">
              <w:rPr>
                <w:color w:val="000000"/>
                <w:lang w:val="en-US" w:eastAsia="zh-CN"/>
              </w:rPr>
              <w:t>hen this band is only used for WAN service.</w:t>
            </w:r>
          </w:p>
          <w:p w14:paraId="0D8BDC54" w14:textId="77777777" w:rsidR="00516FFF" w:rsidRDefault="00516FFF" w:rsidP="00516FFF">
            <w:pPr>
              <w:pStyle w:val="TAN"/>
              <w:rPr>
                <w:szCs w:val="18"/>
              </w:rPr>
            </w:pPr>
            <w:r w:rsidRPr="003646C5">
              <w:rPr>
                <w:szCs w:val="18"/>
              </w:rPr>
              <w:t>NOTE 10: Operating bands where operation on carrier frequencies with CCA is supported.</w:t>
            </w:r>
          </w:p>
          <w:p w14:paraId="040B6E54" w14:textId="499037B7" w:rsidR="00A77EC2" w:rsidRPr="00516FFF" w:rsidRDefault="00A77EC2" w:rsidP="00516FFF">
            <w:pPr>
              <w:pStyle w:val="TAN"/>
              <w:rPr>
                <w:color w:val="000000"/>
                <w:lang w:val="en-US" w:eastAsia="zh-CN"/>
              </w:rPr>
            </w:pPr>
            <w:r>
              <w:rPr>
                <w:szCs w:val="18"/>
              </w:rPr>
              <w:t xml:space="preserve">NOTE 11: </w:t>
            </w:r>
            <w:r w:rsidRPr="003646C5">
              <w:t xml:space="preserve">The minimum Io condition is reduced by 0.5 dB when the </w:t>
            </w:r>
            <w:r>
              <w:t>downlink channel overlap the 612-617 MHz frequency range and the channel bandwidth is 5 MHz</w:t>
            </w:r>
            <w:r w:rsidRPr="003646C5">
              <w:t>.</w:t>
            </w:r>
          </w:p>
        </w:tc>
      </w:tr>
    </w:tbl>
    <w:p w14:paraId="4CF2455A" w14:textId="3A396D04" w:rsidR="00516FFF" w:rsidRDefault="00516FFF" w:rsidP="00E93D6B">
      <w:pPr>
        <w:rPr>
          <w:lang w:val="en-US" w:eastAsia="ko-KR"/>
        </w:rPr>
      </w:pPr>
    </w:p>
    <w:p w14:paraId="440103E2" w14:textId="77777777" w:rsidR="00435685" w:rsidRPr="009C5807" w:rsidRDefault="00435685" w:rsidP="00435685">
      <w:pPr>
        <w:pStyle w:val="Heading3"/>
        <w:rPr>
          <w:lang w:val="en-US" w:eastAsia="ko-KR"/>
        </w:rPr>
      </w:pPr>
      <w:r w:rsidRPr="009C5807">
        <w:rPr>
          <w:lang w:val="en-US" w:eastAsia="ko-KR"/>
        </w:rPr>
        <w:t>3.5.2</w:t>
      </w:r>
      <w:r>
        <w:rPr>
          <w:lang w:val="en-US" w:eastAsia="ko-KR"/>
        </w:rPr>
        <w:t>A</w:t>
      </w:r>
      <w:r w:rsidRPr="009C5807">
        <w:rPr>
          <w:lang w:val="en-US" w:eastAsia="ko-KR"/>
        </w:rPr>
        <w:tab/>
        <w:t xml:space="preserve">NR operating bands </w:t>
      </w:r>
      <w:r>
        <w:rPr>
          <w:lang w:val="en-US" w:eastAsia="ko-KR"/>
        </w:rPr>
        <w:t>for satellite access in FR1</w:t>
      </w:r>
    </w:p>
    <w:p w14:paraId="75FECA24" w14:textId="77777777" w:rsidR="00435685" w:rsidRPr="009C5807" w:rsidRDefault="00435685" w:rsidP="00435685">
      <w:pPr>
        <w:rPr>
          <w:lang w:eastAsia="ja-JP"/>
        </w:rPr>
      </w:pPr>
      <w:r w:rsidRPr="009C5807">
        <w:rPr>
          <w:lang w:eastAsia="ja-JP"/>
        </w:rPr>
        <w:t xml:space="preserve">NR frequency bands grouping for </w:t>
      </w:r>
      <w:r w:rsidRPr="00B527EB">
        <w:rPr>
          <w:lang w:eastAsia="ja-JP"/>
        </w:rPr>
        <w:t xml:space="preserve">satellite access in </w:t>
      </w:r>
      <w:r w:rsidRPr="009C5807">
        <w:rPr>
          <w:lang w:eastAsia="ja-JP"/>
        </w:rPr>
        <w:t>FR1 is specified in Table 3.5.2</w:t>
      </w:r>
      <w:r>
        <w:rPr>
          <w:lang w:eastAsia="ja-JP"/>
        </w:rPr>
        <w:t>A</w:t>
      </w:r>
      <w:r w:rsidRPr="009C5807">
        <w:rPr>
          <w:lang w:eastAsia="ja-JP"/>
        </w:rPr>
        <w:t>-1.</w:t>
      </w:r>
    </w:p>
    <w:p w14:paraId="4A9DCD80" w14:textId="77777777" w:rsidR="00435685" w:rsidRPr="009C5807" w:rsidRDefault="00435685" w:rsidP="00435685">
      <w:pPr>
        <w:pStyle w:val="TH"/>
      </w:pPr>
      <w:r w:rsidRPr="009C5807">
        <w:t>Table 3.5.2</w:t>
      </w:r>
      <w:r>
        <w:t>A</w:t>
      </w:r>
      <w:r w:rsidRPr="009C5807">
        <w:t xml:space="preserve">-1: NR frequency band groups for </w:t>
      </w:r>
      <w:r w:rsidRPr="00B527EB">
        <w:t xml:space="preserve">satellite access in </w:t>
      </w:r>
      <w:r w:rsidRPr="009C5807">
        <w:t>FR1</w:t>
      </w:r>
    </w:p>
    <w:tbl>
      <w:tblPr>
        <w:tblW w:w="9209" w:type="dxa"/>
        <w:jc w:val="center"/>
        <w:tblLayout w:type="fixed"/>
        <w:tblLook w:val="01E0" w:firstRow="1" w:lastRow="1" w:firstColumn="1" w:lastColumn="1" w:noHBand="0" w:noVBand="0"/>
      </w:tblPr>
      <w:tblGrid>
        <w:gridCol w:w="756"/>
        <w:gridCol w:w="2216"/>
        <w:gridCol w:w="6237"/>
      </w:tblGrid>
      <w:tr w:rsidR="00435685" w:rsidRPr="003646C5" w14:paraId="1D95349F" w14:textId="77777777" w:rsidTr="00224E82">
        <w:trPr>
          <w:trHeight w:val="187"/>
          <w:jc w:val="center"/>
        </w:trPr>
        <w:tc>
          <w:tcPr>
            <w:tcW w:w="756" w:type="dxa"/>
            <w:tcBorders>
              <w:top w:val="single" w:sz="4" w:space="0" w:color="auto"/>
              <w:left w:val="single" w:sz="4" w:space="0" w:color="auto"/>
              <w:right w:val="single" w:sz="4" w:space="0" w:color="auto"/>
            </w:tcBorders>
            <w:shd w:val="clear" w:color="auto" w:fill="auto"/>
          </w:tcPr>
          <w:p w14:paraId="22E17C3F" w14:textId="77777777" w:rsidR="00435685" w:rsidRPr="003646C5" w:rsidRDefault="00435685" w:rsidP="00224E82">
            <w:pPr>
              <w:pStyle w:val="TAH"/>
            </w:pPr>
            <w:r w:rsidRPr="003646C5">
              <w:t>Group</w:t>
            </w:r>
          </w:p>
        </w:tc>
        <w:tc>
          <w:tcPr>
            <w:tcW w:w="8453" w:type="dxa"/>
            <w:gridSpan w:val="2"/>
            <w:tcBorders>
              <w:top w:val="single" w:sz="4" w:space="0" w:color="auto"/>
              <w:left w:val="single" w:sz="4" w:space="0" w:color="auto"/>
              <w:bottom w:val="single" w:sz="4" w:space="0" w:color="auto"/>
              <w:right w:val="single" w:sz="4" w:space="0" w:color="auto"/>
            </w:tcBorders>
            <w:shd w:val="clear" w:color="auto" w:fill="auto"/>
          </w:tcPr>
          <w:p w14:paraId="3F684112" w14:textId="77777777" w:rsidR="00435685" w:rsidRPr="003646C5" w:rsidRDefault="00435685" w:rsidP="00224E82">
            <w:pPr>
              <w:pStyle w:val="TAH"/>
            </w:pPr>
            <w:r w:rsidRPr="003646C5">
              <w:t>NR FDD</w:t>
            </w:r>
          </w:p>
        </w:tc>
      </w:tr>
      <w:tr w:rsidR="00435685" w:rsidRPr="003646C5" w14:paraId="219F5CE5" w14:textId="77777777" w:rsidTr="00224E82">
        <w:trPr>
          <w:trHeight w:val="187"/>
          <w:jc w:val="center"/>
        </w:trPr>
        <w:tc>
          <w:tcPr>
            <w:tcW w:w="756" w:type="dxa"/>
            <w:tcBorders>
              <w:left w:val="single" w:sz="4" w:space="0" w:color="auto"/>
              <w:bottom w:val="single" w:sz="4" w:space="0" w:color="auto"/>
              <w:right w:val="single" w:sz="4" w:space="0" w:color="auto"/>
            </w:tcBorders>
            <w:shd w:val="clear" w:color="auto" w:fill="auto"/>
          </w:tcPr>
          <w:p w14:paraId="00106C84" w14:textId="77777777" w:rsidR="00435685" w:rsidRPr="003646C5" w:rsidRDefault="00435685" w:rsidP="00224E82">
            <w:pPr>
              <w:pStyle w:val="TAH"/>
            </w:pPr>
          </w:p>
        </w:tc>
        <w:tc>
          <w:tcPr>
            <w:tcW w:w="2216" w:type="dxa"/>
            <w:tcBorders>
              <w:top w:val="single" w:sz="4" w:space="0" w:color="auto"/>
              <w:left w:val="single" w:sz="4" w:space="0" w:color="auto"/>
              <w:bottom w:val="single" w:sz="4" w:space="0" w:color="auto"/>
              <w:right w:val="single" w:sz="4" w:space="0" w:color="auto"/>
            </w:tcBorders>
            <w:shd w:val="clear" w:color="auto" w:fill="auto"/>
          </w:tcPr>
          <w:p w14:paraId="111FB2A3" w14:textId="77777777" w:rsidR="00435685" w:rsidRPr="003646C5" w:rsidRDefault="00435685" w:rsidP="00224E82">
            <w:pPr>
              <w:pStyle w:val="TAH"/>
            </w:pPr>
            <w:r w:rsidRPr="003646C5">
              <w:t>Band group notation</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0814D0EA" w14:textId="77777777" w:rsidR="00435685" w:rsidRPr="003646C5" w:rsidRDefault="00435685" w:rsidP="00224E82">
            <w:pPr>
              <w:pStyle w:val="TAH"/>
            </w:pPr>
            <w:r w:rsidRPr="003646C5">
              <w:t>Operating bands</w:t>
            </w:r>
          </w:p>
        </w:tc>
      </w:tr>
      <w:tr w:rsidR="00435685" w:rsidRPr="003646C5" w14:paraId="285DE080" w14:textId="77777777" w:rsidTr="00224E82">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79BB9433" w14:textId="77777777" w:rsidR="00435685" w:rsidRPr="003646C5" w:rsidRDefault="00435685" w:rsidP="00224E82">
            <w:pPr>
              <w:pStyle w:val="TAC"/>
            </w:pPr>
            <w:r w:rsidRPr="003646C5">
              <w:t>A</w:t>
            </w:r>
          </w:p>
        </w:tc>
        <w:tc>
          <w:tcPr>
            <w:tcW w:w="2216" w:type="dxa"/>
            <w:tcBorders>
              <w:top w:val="single" w:sz="4" w:space="0" w:color="auto"/>
              <w:left w:val="single" w:sz="4" w:space="0" w:color="auto"/>
              <w:bottom w:val="single" w:sz="4" w:space="0" w:color="auto"/>
              <w:right w:val="single" w:sz="4" w:space="0" w:color="auto"/>
            </w:tcBorders>
            <w:shd w:val="clear" w:color="auto" w:fill="auto"/>
          </w:tcPr>
          <w:p w14:paraId="2C315C71" w14:textId="77777777" w:rsidR="00435685" w:rsidRPr="003646C5" w:rsidRDefault="00435685" w:rsidP="00224E82">
            <w:pPr>
              <w:pStyle w:val="TAC"/>
            </w:pPr>
            <w:r w:rsidRPr="003646C5">
              <w:t>NR_FDD_</w:t>
            </w:r>
            <w:r>
              <w:t>SAB_</w:t>
            </w:r>
            <w:r w:rsidRPr="003646C5">
              <w:t>FR1_A</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7CB434E3" w14:textId="77777777" w:rsidR="00435685" w:rsidRPr="003646C5" w:rsidRDefault="00435685" w:rsidP="00224E82">
            <w:pPr>
              <w:pStyle w:val="TAC"/>
              <w:jc w:val="left"/>
            </w:pPr>
            <w:r>
              <w:t>n255, n256</w:t>
            </w:r>
          </w:p>
        </w:tc>
      </w:tr>
      <w:tr w:rsidR="00435685" w:rsidRPr="00B211A7" w14:paraId="0498FC7E" w14:textId="77777777" w:rsidTr="00224E82">
        <w:trPr>
          <w:trHeight w:val="187"/>
          <w:jc w:val="center"/>
        </w:trPr>
        <w:tc>
          <w:tcPr>
            <w:tcW w:w="756" w:type="dxa"/>
            <w:tcBorders>
              <w:top w:val="single" w:sz="4" w:space="0" w:color="auto"/>
              <w:left w:val="single" w:sz="4" w:space="0" w:color="auto"/>
              <w:right w:val="single" w:sz="4" w:space="0" w:color="auto"/>
            </w:tcBorders>
            <w:shd w:val="clear" w:color="auto" w:fill="auto"/>
          </w:tcPr>
          <w:p w14:paraId="347A680A" w14:textId="77777777" w:rsidR="00435685" w:rsidRPr="003646C5" w:rsidRDefault="00435685" w:rsidP="00224E82">
            <w:pPr>
              <w:pStyle w:val="TAC"/>
            </w:pPr>
            <w:r w:rsidRPr="003646C5">
              <w:t>B</w:t>
            </w:r>
          </w:p>
        </w:tc>
        <w:tc>
          <w:tcPr>
            <w:tcW w:w="2216" w:type="dxa"/>
            <w:tcBorders>
              <w:top w:val="single" w:sz="4" w:space="0" w:color="auto"/>
              <w:left w:val="single" w:sz="4" w:space="0" w:color="auto"/>
              <w:right w:val="single" w:sz="4" w:space="0" w:color="auto"/>
            </w:tcBorders>
            <w:shd w:val="clear" w:color="auto" w:fill="auto"/>
          </w:tcPr>
          <w:p w14:paraId="56F623CB" w14:textId="77777777" w:rsidR="00435685" w:rsidRPr="00CF1A87" w:rsidRDefault="00435685" w:rsidP="00224E82">
            <w:pPr>
              <w:pStyle w:val="TAC"/>
              <w:rPr>
                <w:lang w:val="sv-SE"/>
              </w:rPr>
            </w:pPr>
            <w:r w:rsidRPr="00CF1A87">
              <w:rPr>
                <w:lang w:val="sv-SE"/>
              </w:rPr>
              <w:t>NR_FDD_SAB_FR1_B</w:t>
            </w:r>
          </w:p>
        </w:tc>
        <w:tc>
          <w:tcPr>
            <w:tcW w:w="6237" w:type="dxa"/>
            <w:tcBorders>
              <w:top w:val="single" w:sz="4" w:space="0" w:color="auto"/>
              <w:left w:val="single" w:sz="4" w:space="0" w:color="auto"/>
              <w:right w:val="single" w:sz="4" w:space="0" w:color="auto"/>
            </w:tcBorders>
            <w:shd w:val="clear" w:color="auto" w:fill="auto"/>
          </w:tcPr>
          <w:p w14:paraId="3BC80C9F" w14:textId="77777777" w:rsidR="00435685" w:rsidRPr="00CF1A87" w:rsidRDefault="00435685" w:rsidP="00224E82">
            <w:pPr>
              <w:pStyle w:val="TAC"/>
              <w:jc w:val="left"/>
              <w:rPr>
                <w:lang w:val="sv-SE"/>
              </w:rPr>
            </w:pPr>
          </w:p>
        </w:tc>
      </w:tr>
      <w:tr w:rsidR="00435685" w:rsidRPr="00B211A7" w14:paraId="5C74A197" w14:textId="77777777" w:rsidTr="00224E82">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7C1B213F" w14:textId="77777777" w:rsidR="00435685" w:rsidRPr="003646C5" w:rsidRDefault="00435685" w:rsidP="00224E82">
            <w:pPr>
              <w:pStyle w:val="TAC"/>
            </w:pPr>
            <w:r w:rsidRPr="003646C5">
              <w:t>C</w:t>
            </w:r>
          </w:p>
        </w:tc>
        <w:tc>
          <w:tcPr>
            <w:tcW w:w="2216" w:type="dxa"/>
            <w:tcBorders>
              <w:top w:val="single" w:sz="4" w:space="0" w:color="auto"/>
              <w:left w:val="single" w:sz="4" w:space="0" w:color="auto"/>
              <w:bottom w:val="single" w:sz="4" w:space="0" w:color="auto"/>
              <w:right w:val="single" w:sz="4" w:space="0" w:color="auto"/>
            </w:tcBorders>
            <w:shd w:val="clear" w:color="auto" w:fill="auto"/>
          </w:tcPr>
          <w:p w14:paraId="37D765EC" w14:textId="77777777" w:rsidR="00435685" w:rsidRPr="00CF1A87" w:rsidRDefault="00435685" w:rsidP="00224E82">
            <w:pPr>
              <w:pStyle w:val="TAC"/>
              <w:rPr>
                <w:lang w:val="sv-SE"/>
              </w:rPr>
            </w:pPr>
            <w:r w:rsidRPr="00CF1A87">
              <w:rPr>
                <w:lang w:val="sv-SE"/>
              </w:rPr>
              <w:t>NR_FDD_SAB_FR1_C</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5D6DE846" w14:textId="77777777" w:rsidR="00435685" w:rsidRPr="00CF1A87" w:rsidRDefault="00435685" w:rsidP="00224E82">
            <w:pPr>
              <w:pStyle w:val="TAC"/>
              <w:jc w:val="left"/>
              <w:rPr>
                <w:lang w:val="sv-SE"/>
              </w:rPr>
            </w:pPr>
          </w:p>
        </w:tc>
      </w:tr>
      <w:tr w:rsidR="00435685" w:rsidRPr="00B211A7" w14:paraId="583938F8" w14:textId="77777777" w:rsidTr="00224E82">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016807BC" w14:textId="77777777" w:rsidR="00435685" w:rsidRPr="003646C5" w:rsidRDefault="00435685" w:rsidP="00224E82">
            <w:pPr>
              <w:pStyle w:val="TAC"/>
            </w:pPr>
            <w:r w:rsidRPr="003646C5">
              <w:t>D</w:t>
            </w:r>
          </w:p>
        </w:tc>
        <w:tc>
          <w:tcPr>
            <w:tcW w:w="2216" w:type="dxa"/>
            <w:tcBorders>
              <w:top w:val="single" w:sz="4" w:space="0" w:color="auto"/>
              <w:left w:val="single" w:sz="4" w:space="0" w:color="auto"/>
              <w:bottom w:val="single" w:sz="4" w:space="0" w:color="auto"/>
              <w:right w:val="single" w:sz="4" w:space="0" w:color="auto"/>
            </w:tcBorders>
            <w:shd w:val="clear" w:color="auto" w:fill="auto"/>
          </w:tcPr>
          <w:p w14:paraId="0EFD5DAA" w14:textId="77777777" w:rsidR="00435685" w:rsidRPr="00CF1A87" w:rsidRDefault="00435685" w:rsidP="00224E82">
            <w:pPr>
              <w:pStyle w:val="TAC"/>
              <w:rPr>
                <w:lang w:val="sv-SE"/>
              </w:rPr>
            </w:pPr>
            <w:r w:rsidRPr="00CF1A87">
              <w:rPr>
                <w:lang w:val="sv-SE"/>
              </w:rPr>
              <w:t>NR_FDD_SAB_FR1_D</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28FEF63D" w14:textId="77777777" w:rsidR="00435685" w:rsidRPr="00CF1A87" w:rsidRDefault="00435685" w:rsidP="00224E82">
            <w:pPr>
              <w:pStyle w:val="TAC"/>
              <w:jc w:val="left"/>
              <w:rPr>
                <w:lang w:val="sv-SE"/>
              </w:rPr>
            </w:pPr>
          </w:p>
        </w:tc>
      </w:tr>
      <w:tr w:rsidR="00435685" w:rsidRPr="00B211A7" w14:paraId="579652A3" w14:textId="77777777" w:rsidTr="00224E82">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264B6A22" w14:textId="77777777" w:rsidR="00435685" w:rsidRPr="003646C5" w:rsidRDefault="00435685" w:rsidP="00224E82">
            <w:pPr>
              <w:pStyle w:val="TAC"/>
            </w:pPr>
            <w:r w:rsidRPr="003646C5">
              <w:t>E</w:t>
            </w:r>
          </w:p>
        </w:tc>
        <w:tc>
          <w:tcPr>
            <w:tcW w:w="2216" w:type="dxa"/>
            <w:tcBorders>
              <w:top w:val="single" w:sz="4" w:space="0" w:color="auto"/>
              <w:left w:val="single" w:sz="4" w:space="0" w:color="auto"/>
              <w:bottom w:val="single" w:sz="4" w:space="0" w:color="auto"/>
              <w:right w:val="single" w:sz="4" w:space="0" w:color="auto"/>
            </w:tcBorders>
            <w:shd w:val="clear" w:color="auto" w:fill="auto"/>
          </w:tcPr>
          <w:p w14:paraId="36336907" w14:textId="77777777" w:rsidR="00435685" w:rsidRPr="00CF1A87" w:rsidRDefault="00435685" w:rsidP="00224E82">
            <w:pPr>
              <w:pStyle w:val="TAC"/>
              <w:rPr>
                <w:lang w:val="sv-SE"/>
              </w:rPr>
            </w:pPr>
            <w:r w:rsidRPr="00CF1A87">
              <w:rPr>
                <w:lang w:val="sv-SE"/>
              </w:rPr>
              <w:t>NR_FDD_SAB_FR1_E</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6D5100BD" w14:textId="77777777" w:rsidR="00435685" w:rsidRPr="00CF1A87" w:rsidRDefault="00435685" w:rsidP="00224E82">
            <w:pPr>
              <w:pStyle w:val="TAC"/>
              <w:jc w:val="left"/>
              <w:rPr>
                <w:lang w:val="sv-SE"/>
              </w:rPr>
            </w:pPr>
          </w:p>
        </w:tc>
      </w:tr>
      <w:tr w:rsidR="00435685" w:rsidRPr="00B211A7" w14:paraId="0BA25A18" w14:textId="77777777" w:rsidTr="00224E82">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3CED1A58" w14:textId="77777777" w:rsidR="00435685" w:rsidRPr="003646C5" w:rsidRDefault="00435685" w:rsidP="00224E82">
            <w:pPr>
              <w:pStyle w:val="TAC"/>
            </w:pPr>
            <w:r w:rsidRPr="003646C5">
              <w:t>F</w:t>
            </w:r>
          </w:p>
        </w:tc>
        <w:tc>
          <w:tcPr>
            <w:tcW w:w="2216" w:type="dxa"/>
            <w:tcBorders>
              <w:top w:val="single" w:sz="4" w:space="0" w:color="auto"/>
              <w:left w:val="single" w:sz="4" w:space="0" w:color="auto"/>
              <w:bottom w:val="single" w:sz="4" w:space="0" w:color="auto"/>
              <w:right w:val="single" w:sz="4" w:space="0" w:color="auto"/>
            </w:tcBorders>
            <w:shd w:val="clear" w:color="auto" w:fill="auto"/>
          </w:tcPr>
          <w:p w14:paraId="6F1887B8" w14:textId="77777777" w:rsidR="00435685" w:rsidRPr="00CF1A87" w:rsidRDefault="00435685" w:rsidP="00224E82">
            <w:pPr>
              <w:pStyle w:val="TAC"/>
              <w:rPr>
                <w:lang w:val="sv-SE"/>
              </w:rPr>
            </w:pPr>
            <w:r w:rsidRPr="00CF1A87">
              <w:rPr>
                <w:lang w:val="sv-SE"/>
              </w:rPr>
              <w:t>NR_FDD_SAB</w:t>
            </w:r>
            <w:r>
              <w:rPr>
                <w:lang w:val="sv-SE"/>
              </w:rPr>
              <w:t>_</w:t>
            </w:r>
            <w:r w:rsidRPr="00CF1A87">
              <w:rPr>
                <w:lang w:val="sv-SE"/>
              </w:rPr>
              <w:t>FR1_F</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1B1B9150" w14:textId="77777777" w:rsidR="00435685" w:rsidRPr="00CF1A87" w:rsidRDefault="00435685" w:rsidP="00224E82">
            <w:pPr>
              <w:pStyle w:val="TAC"/>
              <w:jc w:val="left"/>
              <w:rPr>
                <w:lang w:val="sv-SE"/>
              </w:rPr>
            </w:pPr>
          </w:p>
        </w:tc>
      </w:tr>
      <w:tr w:rsidR="00435685" w:rsidRPr="00B211A7" w14:paraId="28E15F43" w14:textId="77777777" w:rsidTr="00224E82">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6E670EC0" w14:textId="77777777" w:rsidR="00435685" w:rsidRPr="003646C5" w:rsidRDefault="00435685" w:rsidP="00224E82">
            <w:pPr>
              <w:pStyle w:val="TAC"/>
            </w:pPr>
            <w:r w:rsidRPr="003646C5">
              <w:t>G</w:t>
            </w:r>
          </w:p>
        </w:tc>
        <w:tc>
          <w:tcPr>
            <w:tcW w:w="2216" w:type="dxa"/>
            <w:tcBorders>
              <w:top w:val="single" w:sz="4" w:space="0" w:color="auto"/>
              <w:left w:val="single" w:sz="4" w:space="0" w:color="auto"/>
              <w:bottom w:val="single" w:sz="4" w:space="0" w:color="auto"/>
              <w:right w:val="single" w:sz="4" w:space="0" w:color="auto"/>
            </w:tcBorders>
            <w:shd w:val="clear" w:color="auto" w:fill="auto"/>
          </w:tcPr>
          <w:p w14:paraId="02ADD942" w14:textId="77777777" w:rsidR="00435685" w:rsidRPr="00CF1A87" w:rsidRDefault="00435685" w:rsidP="00224E82">
            <w:pPr>
              <w:pStyle w:val="TAC"/>
              <w:rPr>
                <w:lang w:val="sv-SE"/>
              </w:rPr>
            </w:pPr>
            <w:r w:rsidRPr="00CF1A87">
              <w:rPr>
                <w:lang w:val="sv-SE"/>
              </w:rPr>
              <w:t>NR_FDD_SAB</w:t>
            </w:r>
            <w:r>
              <w:rPr>
                <w:lang w:val="sv-SE"/>
              </w:rPr>
              <w:t>_</w:t>
            </w:r>
            <w:r w:rsidRPr="00CF1A87">
              <w:rPr>
                <w:lang w:val="sv-SE"/>
              </w:rPr>
              <w:t>FR1_G</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6274760B" w14:textId="77777777" w:rsidR="00435685" w:rsidRPr="00CF1A87" w:rsidRDefault="00435685" w:rsidP="00224E82">
            <w:pPr>
              <w:pStyle w:val="TAC"/>
              <w:jc w:val="left"/>
              <w:rPr>
                <w:lang w:val="sv-SE"/>
              </w:rPr>
            </w:pPr>
          </w:p>
        </w:tc>
      </w:tr>
      <w:tr w:rsidR="00435685" w:rsidRPr="00B211A7" w14:paraId="55472EAB" w14:textId="77777777" w:rsidTr="00224E82">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691060F5" w14:textId="77777777" w:rsidR="00435685" w:rsidRPr="003646C5" w:rsidRDefault="00435685" w:rsidP="00224E82">
            <w:pPr>
              <w:pStyle w:val="TAC"/>
            </w:pPr>
            <w:r w:rsidRPr="003646C5">
              <w:t>H</w:t>
            </w:r>
          </w:p>
        </w:tc>
        <w:tc>
          <w:tcPr>
            <w:tcW w:w="2216" w:type="dxa"/>
            <w:tcBorders>
              <w:top w:val="single" w:sz="4" w:space="0" w:color="auto"/>
              <w:left w:val="single" w:sz="4" w:space="0" w:color="auto"/>
              <w:bottom w:val="single" w:sz="4" w:space="0" w:color="auto"/>
              <w:right w:val="single" w:sz="4" w:space="0" w:color="auto"/>
            </w:tcBorders>
            <w:shd w:val="clear" w:color="auto" w:fill="auto"/>
          </w:tcPr>
          <w:p w14:paraId="34648C1E" w14:textId="77777777" w:rsidR="00435685" w:rsidRPr="00CF1A87" w:rsidRDefault="00435685" w:rsidP="00224E82">
            <w:pPr>
              <w:pStyle w:val="TAC"/>
              <w:rPr>
                <w:lang w:val="sv-SE"/>
              </w:rPr>
            </w:pPr>
            <w:r w:rsidRPr="00CF1A87">
              <w:rPr>
                <w:lang w:val="sv-SE"/>
              </w:rPr>
              <w:t>NR_FDD_SAB</w:t>
            </w:r>
            <w:r>
              <w:rPr>
                <w:lang w:val="sv-SE"/>
              </w:rPr>
              <w:t>_</w:t>
            </w:r>
            <w:r w:rsidRPr="00CF1A87">
              <w:rPr>
                <w:lang w:val="sv-SE"/>
              </w:rPr>
              <w:t>FR1_H</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10603112" w14:textId="77777777" w:rsidR="00435685" w:rsidRPr="00CF1A87" w:rsidRDefault="00435685" w:rsidP="00224E82">
            <w:pPr>
              <w:pStyle w:val="TAC"/>
              <w:jc w:val="left"/>
              <w:rPr>
                <w:lang w:val="sv-SE"/>
              </w:rPr>
            </w:pPr>
          </w:p>
        </w:tc>
      </w:tr>
      <w:tr w:rsidR="00435685" w:rsidRPr="00B211A7" w14:paraId="270AC590" w14:textId="77777777" w:rsidTr="00224E82">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26D639A1" w14:textId="77777777" w:rsidR="00435685" w:rsidRPr="003646C5" w:rsidRDefault="00435685" w:rsidP="00224E82">
            <w:pPr>
              <w:pStyle w:val="TAC"/>
            </w:pPr>
            <w:r w:rsidRPr="003646C5">
              <w:rPr>
                <w:rFonts w:hint="eastAsia"/>
                <w:lang w:eastAsia="ko-KR"/>
              </w:rPr>
              <w:t>I</w:t>
            </w:r>
          </w:p>
        </w:tc>
        <w:tc>
          <w:tcPr>
            <w:tcW w:w="2216" w:type="dxa"/>
            <w:tcBorders>
              <w:top w:val="single" w:sz="4" w:space="0" w:color="auto"/>
              <w:left w:val="single" w:sz="4" w:space="0" w:color="auto"/>
              <w:bottom w:val="single" w:sz="4" w:space="0" w:color="auto"/>
              <w:right w:val="single" w:sz="4" w:space="0" w:color="auto"/>
            </w:tcBorders>
            <w:shd w:val="clear" w:color="auto" w:fill="auto"/>
          </w:tcPr>
          <w:p w14:paraId="036D915C" w14:textId="77777777" w:rsidR="00435685" w:rsidRPr="00CF1A87" w:rsidRDefault="00435685" w:rsidP="00224E82">
            <w:pPr>
              <w:pStyle w:val="TAC"/>
              <w:rPr>
                <w:lang w:val="sv-SE"/>
              </w:rPr>
            </w:pPr>
            <w:r w:rsidRPr="00CF1A87">
              <w:rPr>
                <w:rFonts w:cs="Arial"/>
                <w:lang w:val="sv-SE"/>
              </w:rPr>
              <w:t>NR_FDD_</w:t>
            </w:r>
            <w:r w:rsidRPr="00CF1A87">
              <w:rPr>
                <w:lang w:val="sv-SE"/>
              </w:rPr>
              <w:t>SAB</w:t>
            </w:r>
            <w:r>
              <w:rPr>
                <w:rFonts w:cs="Arial"/>
                <w:lang w:val="sv-SE"/>
              </w:rPr>
              <w:t>_</w:t>
            </w:r>
            <w:r w:rsidRPr="00CF1A87">
              <w:rPr>
                <w:rFonts w:cs="Arial"/>
                <w:lang w:val="sv-SE"/>
              </w:rPr>
              <w:t>FR1_I</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1D6E2EEC" w14:textId="77777777" w:rsidR="00435685" w:rsidRPr="00CF1A87" w:rsidRDefault="00435685" w:rsidP="00224E82">
            <w:pPr>
              <w:pStyle w:val="TAC"/>
              <w:jc w:val="left"/>
              <w:rPr>
                <w:lang w:val="sv-SE"/>
              </w:rPr>
            </w:pPr>
          </w:p>
        </w:tc>
      </w:tr>
      <w:tr w:rsidR="00435685" w:rsidRPr="00B211A7" w14:paraId="563529AA" w14:textId="77777777" w:rsidTr="00224E82">
        <w:trPr>
          <w:trHeight w:val="187"/>
          <w:jc w:val="center"/>
        </w:trPr>
        <w:tc>
          <w:tcPr>
            <w:tcW w:w="756" w:type="dxa"/>
            <w:tcBorders>
              <w:top w:val="single" w:sz="4" w:space="0" w:color="auto"/>
              <w:left w:val="single" w:sz="4" w:space="0" w:color="auto"/>
              <w:bottom w:val="single" w:sz="4" w:space="0" w:color="auto"/>
              <w:right w:val="single" w:sz="4" w:space="0" w:color="auto"/>
            </w:tcBorders>
            <w:shd w:val="clear" w:color="auto" w:fill="auto"/>
          </w:tcPr>
          <w:p w14:paraId="6349F722" w14:textId="77777777" w:rsidR="00435685" w:rsidRPr="003646C5" w:rsidRDefault="00435685" w:rsidP="00224E82">
            <w:pPr>
              <w:pStyle w:val="TAC"/>
            </w:pPr>
            <w:r w:rsidRPr="003646C5">
              <w:rPr>
                <w:rFonts w:hint="eastAsia"/>
                <w:lang w:eastAsia="ko-KR"/>
              </w:rPr>
              <w:t>J</w:t>
            </w:r>
          </w:p>
        </w:tc>
        <w:tc>
          <w:tcPr>
            <w:tcW w:w="2216" w:type="dxa"/>
            <w:tcBorders>
              <w:top w:val="single" w:sz="4" w:space="0" w:color="auto"/>
              <w:left w:val="single" w:sz="4" w:space="0" w:color="auto"/>
              <w:bottom w:val="single" w:sz="4" w:space="0" w:color="auto"/>
              <w:right w:val="single" w:sz="4" w:space="0" w:color="auto"/>
            </w:tcBorders>
            <w:shd w:val="clear" w:color="auto" w:fill="auto"/>
          </w:tcPr>
          <w:p w14:paraId="279ABAAE" w14:textId="77777777" w:rsidR="00435685" w:rsidRPr="00CF1A87" w:rsidRDefault="00435685" w:rsidP="00224E82">
            <w:pPr>
              <w:pStyle w:val="TAC"/>
              <w:rPr>
                <w:lang w:val="sv-SE"/>
              </w:rPr>
            </w:pPr>
            <w:r w:rsidRPr="00CF1A87">
              <w:rPr>
                <w:rFonts w:cs="Arial"/>
                <w:lang w:val="sv-SE"/>
              </w:rPr>
              <w:t>NR_FDD_</w:t>
            </w:r>
            <w:r w:rsidRPr="00CF1A87">
              <w:rPr>
                <w:lang w:val="sv-SE"/>
              </w:rPr>
              <w:t>SAB</w:t>
            </w:r>
            <w:r w:rsidRPr="00CF1A87">
              <w:rPr>
                <w:rFonts w:cs="Arial"/>
                <w:lang w:val="sv-SE"/>
              </w:rPr>
              <w:t>_FR1_J</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75F86B31" w14:textId="77777777" w:rsidR="00435685" w:rsidRPr="00CF1A87" w:rsidRDefault="00435685" w:rsidP="00224E82">
            <w:pPr>
              <w:pStyle w:val="TAC"/>
              <w:jc w:val="left"/>
              <w:rPr>
                <w:lang w:val="sv-SE"/>
              </w:rPr>
            </w:pPr>
          </w:p>
        </w:tc>
      </w:tr>
    </w:tbl>
    <w:p w14:paraId="508C4A21" w14:textId="77777777" w:rsidR="00435685" w:rsidRPr="00CF1A87" w:rsidRDefault="00435685" w:rsidP="00435685">
      <w:pPr>
        <w:spacing w:after="120"/>
        <w:rPr>
          <w:lang w:val="sv-SE" w:eastAsia="zh-CN"/>
        </w:rPr>
      </w:pPr>
    </w:p>
    <w:p w14:paraId="48180A7E" w14:textId="77777777" w:rsidR="00435685" w:rsidRPr="009C5807" w:rsidRDefault="00435685" w:rsidP="00E93D6B">
      <w:pPr>
        <w:rPr>
          <w:lang w:val="en-US" w:eastAsia="ko-KR"/>
        </w:rPr>
      </w:pPr>
    </w:p>
    <w:p w14:paraId="35679114" w14:textId="77777777" w:rsidR="00E93D6B" w:rsidRPr="009C5807" w:rsidRDefault="00E93D6B" w:rsidP="00E93D6B">
      <w:pPr>
        <w:pStyle w:val="Heading3"/>
        <w:rPr>
          <w:lang w:val="en-US" w:eastAsia="ko-KR"/>
        </w:rPr>
      </w:pPr>
      <w:r w:rsidRPr="009C5807">
        <w:rPr>
          <w:lang w:val="en-US" w:eastAsia="ko-KR"/>
        </w:rPr>
        <w:lastRenderedPageBreak/>
        <w:t>3.5.3</w:t>
      </w:r>
      <w:r w:rsidRPr="009C5807">
        <w:rPr>
          <w:lang w:val="en-US" w:eastAsia="ko-KR"/>
        </w:rPr>
        <w:tab/>
        <w:t>NR operating bands in FR2</w:t>
      </w:r>
      <w:bookmarkEnd w:id="19"/>
    </w:p>
    <w:p w14:paraId="613572B2" w14:textId="77777777" w:rsidR="00E93D6B" w:rsidRPr="009C5807" w:rsidRDefault="00E93D6B" w:rsidP="00E93D6B">
      <w:pPr>
        <w:rPr>
          <w:lang w:eastAsia="ja-JP"/>
        </w:rPr>
      </w:pPr>
      <w:r w:rsidRPr="009C5807">
        <w:rPr>
          <w:lang w:eastAsia="ja-JP"/>
        </w:rPr>
        <w:t>NR frequency bands grouping for FR2 is specified in Table 3.5.3-1.</w:t>
      </w:r>
    </w:p>
    <w:p w14:paraId="5A7E0CF9" w14:textId="77777777" w:rsidR="00E93D6B" w:rsidRPr="009C5807" w:rsidRDefault="00E93D6B" w:rsidP="00E93D6B">
      <w:pPr>
        <w:pStyle w:val="TH"/>
      </w:pPr>
      <w:bookmarkStart w:id="20" w:name="_Toc5952523"/>
      <w:bookmarkStart w:id="21" w:name="_Toc5952524"/>
      <w:r w:rsidRPr="009C5807">
        <w:t>Table 3.5.3-1: NR frequency band groups for FR2</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119"/>
        <w:gridCol w:w="3260"/>
      </w:tblGrid>
      <w:tr w:rsidR="00885F53" w:rsidRPr="009C5807" w14:paraId="6C493F3C" w14:textId="77777777" w:rsidTr="00867D3A">
        <w:trPr>
          <w:trHeight w:val="140"/>
        </w:trPr>
        <w:tc>
          <w:tcPr>
            <w:tcW w:w="817" w:type="dxa"/>
            <w:shd w:val="clear" w:color="auto" w:fill="auto"/>
            <w:noWrap/>
            <w:vAlign w:val="center"/>
          </w:tcPr>
          <w:p w14:paraId="30C4A564" w14:textId="77777777" w:rsidR="00E93D6B" w:rsidRPr="009C5807" w:rsidRDefault="00E93D6B" w:rsidP="00867D3A">
            <w:pPr>
              <w:pStyle w:val="TAH"/>
            </w:pPr>
            <w:r w:rsidRPr="009C5807">
              <w:t>Group</w:t>
            </w:r>
          </w:p>
        </w:tc>
        <w:tc>
          <w:tcPr>
            <w:tcW w:w="3119" w:type="dxa"/>
            <w:shd w:val="clear" w:color="auto" w:fill="auto"/>
          </w:tcPr>
          <w:p w14:paraId="0309CD9D" w14:textId="77777777" w:rsidR="00E93D6B" w:rsidRPr="009C5807" w:rsidRDefault="00E93D6B" w:rsidP="00867D3A">
            <w:pPr>
              <w:pStyle w:val="TAH"/>
            </w:pPr>
            <w:r w:rsidRPr="009C5807">
              <w:t>Band group notation</w:t>
            </w:r>
          </w:p>
        </w:tc>
        <w:tc>
          <w:tcPr>
            <w:tcW w:w="3260" w:type="dxa"/>
            <w:shd w:val="clear" w:color="auto" w:fill="auto"/>
            <w:noWrap/>
            <w:vAlign w:val="center"/>
          </w:tcPr>
          <w:p w14:paraId="2A21C32C" w14:textId="77777777" w:rsidR="00E93D6B" w:rsidRPr="009C5807" w:rsidRDefault="00E93D6B" w:rsidP="00867D3A">
            <w:pPr>
              <w:pStyle w:val="TAH"/>
            </w:pPr>
            <w:r w:rsidRPr="009C5807">
              <w:t>Operating bands</w:t>
            </w:r>
          </w:p>
        </w:tc>
      </w:tr>
      <w:tr w:rsidR="00885F53" w:rsidRPr="009C5807" w14:paraId="62B490DE" w14:textId="77777777" w:rsidTr="00867D3A">
        <w:trPr>
          <w:trHeight w:val="140"/>
        </w:trPr>
        <w:tc>
          <w:tcPr>
            <w:tcW w:w="817" w:type="dxa"/>
            <w:shd w:val="clear" w:color="auto" w:fill="auto"/>
            <w:noWrap/>
            <w:vAlign w:val="center"/>
            <w:hideMark/>
          </w:tcPr>
          <w:p w14:paraId="510BBFE1" w14:textId="77777777" w:rsidR="00E93D6B" w:rsidRPr="009C5807" w:rsidRDefault="00E93D6B" w:rsidP="00867D3A">
            <w:pPr>
              <w:pStyle w:val="TAC"/>
            </w:pPr>
            <w:r w:rsidRPr="009C5807">
              <w:t>A</w:t>
            </w:r>
          </w:p>
        </w:tc>
        <w:tc>
          <w:tcPr>
            <w:tcW w:w="3119" w:type="dxa"/>
            <w:shd w:val="clear" w:color="auto" w:fill="auto"/>
          </w:tcPr>
          <w:p w14:paraId="4ACD07E9" w14:textId="77777777" w:rsidR="00E93D6B" w:rsidRPr="009C5807" w:rsidRDefault="00E93D6B" w:rsidP="00867D3A">
            <w:pPr>
              <w:pStyle w:val="TAC"/>
            </w:pPr>
            <w:r w:rsidRPr="009C5807">
              <w:t>NR_TDD_FR2_A</w:t>
            </w:r>
          </w:p>
        </w:tc>
        <w:tc>
          <w:tcPr>
            <w:tcW w:w="3260" w:type="dxa"/>
            <w:shd w:val="clear" w:color="auto" w:fill="auto"/>
            <w:noWrap/>
            <w:vAlign w:val="center"/>
            <w:hideMark/>
          </w:tcPr>
          <w:p w14:paraId="36B54213" w14:textId="77777777" w:rsidR="00E93D6B" w:rsidRPr="009C5807" w:rsidRDefault="00E93D6B" w:rsidP="00867D3A">
            <w:pPr>
              <w:pStyle w:val="TAC"/>
            </w:pPr>
            <w:r w:rsidRPr="009C5807">
              <w:t>n257</w:t>
            </w:r>
            <w:r w:rsidRPr="009C5807">
              <w:rPr>
                <w:vertAlign w:val="superscript"/>
              </w:rPr>
              <w:t>1</w:t>
            </w:r>
            <w:r w:rsidRPr="009C5807">
              <w:t>, n258</w:t>
            </w:r>
            <w:r w:rsidRPr="009C5807">
              <w:rPr>
                <w:vertAlign w:val="superscript"/>
              </w:rPr>
              <w:t>1</w:t>
            </w:r>
            <w:r w:rsidRPr="009C5807">
              <w:t>, n261</w:t>
            </w:r>
            <w:r w:rsidRPr="009C5807">
              <w:rPr>
                <w:vertAlign w:val="superscript"/>
              </w:rPr>
              <w:t>1</w:t>
            </w:r>
          </w:p>
        </w:tc>
      </w:tr>
      <w:tr w:rsidR="00885F53" w:rsidRPr="009C5807" w14:paraId="0C5CD28D" w14:textId="77777777" w:rsidTr="00867D3A">
        <w:trPr>
          <w:trHeight w:val="213"/>
        </w:trPr>
        <w:tc>
          <w:tcPr>
            <w:tcW w:w="817" w:type="dxa"/>
            <w:shd w:val="clear" w:color="auto" w:fill="auto"/>
            <w:noWrap/>
            <w:vAlign w:val="center"/>
            <w:hideMark/>
          </w:tcPr>
          <w:p w14:paraId="442676CE" w14:textId="77777777" w:rsidR="00E93D6B" w:rsidRPr="009C5807" w:rsidRDefault="00E93D6B" w:rsidP="00867D3A">
            <w:pPr>
              <w:pStyle w:val="TAC"/>
            </w:pPr>
            <w:r w:rsidRPr="009C5807">
              <w:t>B</w:t>
            </w:r>
          </w:p>
        </w:tc>
        <w:tc>
          <w:tcPr>
            <w:tcW w:w="3119" w:type="dxa"/>
            <w:shd w:val="clear" w:color="auto" w:fill="auto"/>
          </w:tcPr>
          <w:p w14:paraId="12A894BB" w14:textId="77777777" w:rsidR="00E93D6B" w:rsidRPr="009C5807" w:rsidRDefault="00E93D6B" w:rsidP="00867D3A">
            <w:pPr>
              <w:pStyle w:val="TAC"/>
            </w:pPr>
            <w:r w:rsidRPr="009C5807">
              <w:t>NR_TDD_FR2_B</w:t>
            </w:r>
          </w:p>
        </w:tc>
        <w:tc>
          <w:tcPr>
            <w:tcW w:w="3260" w:type="dxa"/>
            <w:shd w:val="clear" w:color="auto" w:fill="auto"/>
            <w:noWrap/>
            <w:vAlign w:val="center"/>
            <w:hideMark/>
          </w:tcPr>
          <w:p w14:paraId="685E7FE1" w14:textId="77777777" w:rsidR="00E93D6B" w:rsidRPr="009C5807" w:rsidRDefault="00E93D6B" w:rsidP="00867D3A">
            <w:pPr>
              <w:pStyle w:val="TAC"/>
            </w:pPr>
            <w:r w:rsidRPr="009C5807">
              <w:t>n257</w:t>
            </w:r>
            <w:r w:rsidRPr="009C5807">
              <w:rPr>
                <w:vertAlign w:val="superscript"/>
              </w:rPr>
              <w:t>4</w:t>
            </w:r>
            <w:r w:rsidRPr="009C5807">
              <w:t>, n258</w:t>
            </w:r>
            <w:r w:rsidRPr="009C5807">
              <w:rPr>
                <w:vertAlign w:val="superscript"/>
              </w:rPr>
              <w:t>4</w:t>
            </w:r>
            <w:r w:rsidRPr="009C5807">
              <w:t>, n261</w:t>
            </w:r>
            <w:r w:rsidRPr="009C5807">
              <w:rPr>
                <w:vertAlign w:val="superscript"/>
              </w:rPr>
              <w:t>4</w:t>
            </w:r>
          </w:p>
        </w:tc>
      </w:tr>
      <w:tr w:rsidR="00885F53" w:rsidRPr="009C5807" w14:paraId="1C7BCB20" w14:textId="77777777" w:rsidTr="00867D3A">
        <w:trPr>
          <w:trHeight w:val="131"/>
        </w:trPr>
        <w:tc>
          <w:tcPr>
            <w:tcW w:w="817" w:type="dxa"/>
            <w:shd w:val="clear" w:color="auto" w:fill="auto"/>
            <w:noWrap/>
            <w:vAlign w:val="center"/>
            <w:hideMark/>
          </w:tcPr>
          <w:p w14:paraId="60062FB5" w14:textId="77777777" w:rsidR="00E93D6B" w:rsidRPr="009C5807" w:rsidRDefault="00E93D6B" w:rsidP="00867D3A">
            <w:pPr>
              <w:pStyle w:val="TAC"/>
            </w:pPr>
            <w:r w:rsidRPr="009C5807">
              <w:t>C</w:t>
            </w:r>
          </w:p>
        </w:tc>
        <w:tc>
          <w:tcPr>
            <w:tcW w:w="3119" w:type="dxa"/>
            <w:shd w:val="clear" w:color="auto" w:fill="auto"/>
          </w:tcPr>
          <w:p w14:paraId="68610D57" w14:textId="77777777" w:rsidR="00E93D6B" w:rsidRPr="009C5807" w:rsidRDefault="00E93D6B" w:rsidP="00867D3A">
            <w:pPr>
              <w:pStyle w:val="TAC"/>
            </w:pPr>
            <w:r w:rsidRPr="009C5807">
              <w:t>NR_TDD_FR2_C</w:t>
            </w:r>
          </w:p>
        </w:tc>
        <w:tc>
          <w:tcPr>
            <w:tcW w:w="3260" w:type="dxa"/>
            <w:shd w:val="clear" w:color="auto" w:fill="auto"/>
            <w:noWrap/>
            <w:vAlign w:val="center"/>
            <w:hideMark/>
          </w:tcPr>
          <w:p w14:paraId="6E49B398" w14:textId="77777777" w:rsidR="00E93D6B" w:rsidRPr="009C5807" w:rsidRDefault="00E93D6B" w:rsidP="00867D3A">
            <w:pPr>
              <w:pStyle w:val="TAC"/>
            </w:pPr>
          </w:p>
        </w:tc>
      </w:tr>
      <w:tr w:rsidR="00885F53" w:rsidRPr="009C5807" w14:paraId="349C94D6" w14:textId="77777777" w:rsidTr="00867D3A">
        <w:trPr>
          <w:trHeight w:val="205"/>
        </w:trPr>
        <w:tc>
          <w:tcPr>
            <w:tcW w:w="817" w:type="dxa"/>
            <w:shd w:val="clear" w:color="auto" w:fill="auto"/>
            <w:noWrap/>
            <w:vAlign w:val="center"/>
            <w:hideMark/>
          </w:tcPr>
          <w:p w14:paraId="542C5CAC" w14:textId="77777777" w:rsidR="00E93D6B" w:rsidRPr="009C5807" w:rsidRDefault="00E93D6B" w:rsidP="00867D3A">
            <w:pPr>
              <w:pStyle w:val="TAC"/>
            </w:pPr>
            <w:r w:rsidRPr="009C5807">
              <w:t>D</w:t>
            </w:r>
          </w:p>
        </w:tc>
        <w:tc>
          <w:tcPr>
            <w:tcW w:w="3119" w:type="dxa"/>
            <w:shd w:val="clear" w:color="auto" w:fill="auto"/>
          </w:tcPr>
          <w:p w14:paraId="44EC085A" w14:textId="77777777" w:rsidR="00E93D6B" w:rsidRPr="009C5807" w:rsidRDefault="00E93D6B" w:rsidP="00867D3A">
            <w:pPr>
              <w:pStyle w:val="TAC"/>
            </w:pPr>
            <w:r w:rsidRPr="009C5807">
              <w:t>NR_TDD_FR2_D</w:t>
            </w:r>
          </w:p>
        </w:tc>
        <w:tc>
          <w:tcPr>
            <w:tcW w:w="3260" w:type="dxa"/>
            <w:shd w:val="clear" w:color="auto" w:fill="auto"/>
            <w:noWrap/>
            <w:vAlign w:val="center"/>
            <w:hideMark/>
          </w:tcPr>
          <w:p w14:paraId="2E0944AE" w14:textId="77777777" w:rsidR="00E93D6B" w:rsidRPr="009C5807" w:rsidRDefault="00E93D6B" w:rsidP="00867D3A">
            <w:pPr>
              <w:pStyle w:val="TAC"/>
            </w:pPr>
          </w:p>
        </w:tc>
      </w:tr>
      <w:tr w:rsidR="00885F53" w:rsidRPr="009C5807" w14:paraId="40BCA3FB" w14:textId="77777777" w:rsidTr="00867D3A">
        <w:trPr>
          <w:trHeight w:val="123"/>
        </w:trPr>
        <w:tc>
          <w:tcPr>
            <w:tcW w:w="817" w:type="dxa"/>
            <w:shd w:val="clear" w:color="auto" w:fill="auto"/>
            <w:noWrap/>
            <w:vAlign w:val="center"/>
            <w:hideMark/>
          </w:tcPr>
          <w:p w14:paraId="7606B679" w14:textId="77777777" w:rsidR="00E93D6B" w:rsidRPr="009C5807" w:rsidRDefault="00E93D6B" w:rsidP="00867D3A">
            <w:pPr>
              <w:pStyle w:val="TAC"/>
            </w:pPr>
            <w:r w:rsidRPr="009C5807">
              <w:t>E</w:t>
            </w:r>
          </w:p>
        </w:tc>
        <w:tc>
          <w:tcPr>
            <w:tcW w:w="3119" w:type="dxa"/>
            <w:shd w:val="clear" w:color="auto" w:fill="auto"/>
          </w:tcPr>
          <w:p w14:paraId="7A932CE6" w14:textId="77777777" w:rsidR="00E93D6B" w:rsidRPr="009C5807" w:rsidRDefault="00E93D6B" w:rsidP="00867D3A">
            <w:pPr>
              <w:pStyle w:val="TAC"/>
            </w:pPr>
            <w:r w:rsidRPr="009C5807">
              <w:t>NR_TDD_FR2_E</w:t>
            </w:r>
          </w:p>
        </w:tc>
        <w:tc>
          <w:tcPr>
            <w:tcW w:w="3260" w:type="dxa"/>
            <w:shd w:val="clear" w:color="auto" w:fill="auto"/>
            <w:noWrap/>
            <w:vAlign w:val="center"/>
            <w:hideMark/>
          </w:tcPr>
          <w:p w14:paraId="7B2E77F3" w14:textId="77777777" w:rsidR="00E93D6B" w:rsidRPr="009C5807" w:rsidRDefault="00E93D6B" w:rsidP="00867D3A">
            <w:pPr>
              <w:pStyle w:val="TAC"/>
            </w:pPr>
          </w:p>
        </w:tc>
      </w:tr>
      <w:tr w:rsidR="00885F53" w:rsidRPr="009C5807" w14:paraId="548761F0" w14:textId="77777777" w:rsidTr="00867D3A">
        <w:trPr>
          <w:trHeight w:val="183"/>
        </w:trPr>
        <w:tc>
          <w:tcPr>
            <w:tcW w:w="817" w:type="dxa"/>
            <w:shd w:val="clear" w:color="auto" w:fill="auto"/>
            <w:noWrap/>
            <w:vAlign w:val="center"/>
            <w:hideMark/>
          </w:tcPr>
          <w:p w14:paraId="1FEBB405" w14:textId="77777777" w:rsidR="00E93D6B" w:rsidRPr="009C5807" w:rsidRDefault="00E93D6B" w:rsidP="00867D3A">
            <w:pPr>
              <w:pStyle w:val="TAC"/>
            </w:pPr>
            <w:r w:rsidRPr="009C5807">
              <w:t>F</w:t>
            </w:r>
          </w:p>
        </w:tc>
        <w:tc>
          <w:tcPr>
            <w:tcW w:w="3119" w:type="dxa"/>
            <w:shd w:val="clear" w:color="auto" w:fill="auto"/>
          </w:tcPr>
          <w:p w14:paraId="3065E382" w14:textId="77777777" w:rsidR="00E93D6B" w:rsidRPr="009C5807" w:rsidRDefault="00E93D6B" w:rsidP="00867D3A">
            <w:pPr>
              <w:pStyle w:val="TAC"/>
            </w:pPr>
            <w:r w:rsidRPr="009C5807">
              <w:t>NR_TDD_FR2_F</w:t>
            </w:r>
          </w:p>
        </w:tc>
        <w:tc>
          <w:tcPr>
            <w:tcW w:w="3260" w:type="dxa"/>
            <w:shd w:val="clear" w:color="auto" w:fill="auto"/>
            <w:noWrap/>
            <w:vAlign w:val="center"/>
            <w:hideMark/>
          </w:tcPr>
          <w:p w14:paraId="4FD5B4D6" w14:textId="77777777" w:rsidR="00E93D6B" w:rsidRPr="009C5807" w:rsidRDefault="00E93D6B" w:rsidP="00867D3A">
            <w:pPr>
              <w:pStyle w:val="TAC"/>
            </w:pPr>
            <w:r w:rsidRPr="009C5807">
              <w:t>n260</w:t>
            </w:r>
            <w:r w:rsidRPr="009C5807">
              <w:rPr>
                <w:vertAlign w:val="superscript"/>
              </w:rPr>
              <w:t>4</w:t>
            </w:r>
          </w:p>
        </w:tc>
      </w:tr>
      <w:tr w:rsidR="00885F53" w:rsidRPr="009C5807" w14:paraId="20DF57D3" w14:textId="77777777" w:rsidTr="00867D3A">
        <w:trPr>
          <w:trHeight w:val="115"/>
        </w:trPr>
        <w:tc>
          <w:tcPr>
            <w:tcW w:w="817" w:type="dxa"/>
            <w:shd w:val="clear" w:color="auto" w:fill="auto"/>
            <w:noWrap/>
            <w:vAlign w:val="center"/>
            <w:hideMark/>
          </w:tcPr>
          <w:p w14:paraId="68C5191D" w14:textId="77777777" w:rsidR="00E93D6B" w:rsidRPr="009C5807" w:rsidRDefault="00E93D6B" w:rsidP="00867D3A">
            <w:pPr>
              <w:pStyle w:val="TAC"/>
            </w:pPr>
            <w:r w:rsidRPr="009C5807">
              <w:t>G</w:t>
            </w:r>
          </w:p>
        </w:tc>
        <w:tc>
          <w:tcPr>
            <w:tcW w:w="3119" w:type="dxa"/>
            <w:shd w:val="clear" w:color="auto" w:fill="auto"/>
          </w:tcPr>
          <w:p w14:paraId="6C616112" w14:textId="77777777" w:rsidR="00E93D6B" w:rsidRPr="009C5807" w:rsidRDefault="00E93D6B" w:rsidP="00867D3A">
            <w:pPr>
              <w:pStyle w:val="TAC"/>
            </w:pPr>
            <w:r w:rsidRPr="009C5807">
              <w:t>NR_TDD_FR2_G</w:t>
            </w:r>
          </w:p>
        </w:tc>
        <w:tc>
          <w:tcPr>
            <w:tcW w:w="3260" w:type="dxa"/>
            <w:shd w:val="clear" w:color="auto" w:fill="auto"/>
            <w:noWrap/>
            <w:vAlign w:val="center"/>
            <w:hideMark/>
          </w:tcPr>
          <w:p w14:paraId="6ED5F32F" w14:textId="0187EF9A" w:rsidR="00E93D6B" w:rsidRPr="009C5807" w:rsidRDefault="00E93D6B" w:rsidP="00867D3A">
            <w:pPr>
              <w:pStyle w:val="TAC"/>
            </w:pPr>
            <w:r w:rsidRPr="009C5807">
              <w:t>n260</w:t>
            </w:r>
            <w:r w:rsidRPr="009C5807">
              <w:rPr>
                <w:vertAlign w:val="superscript"/>
              </w:rPr>
              <w:t>1</w:t>
            </w:r>
            <w:r w:rsidRPr="009C5807">
              <w:t xml:space="preserve"> </w:t>
            </w:r>
          </w:p>
        </w:tc>
      </w:tr>
      <w:tr w:rsidR="00885F53" w:rsidRPr="009C5807" w14:paraId="52EB9D2C" w14:textId="77777777" w:rsidTr="00867D3A">
        <w:trPr>
          <w:trHeight w:val="175"/>
        </w:trPr>
        <w:tc>
          <w:tcPr>
            <w:tcW w:w="817" w:type="dxa"/>
            <w:shd w:val="clear" w:color="auto" w:fill="auto"/>
            <w:noWrap/>
            <w:vAlign w:val="center"/>
            <w:hideMark/>
          </w:tcPr>
          <w:p w14:paraId="3338F5F9" w14:textId="77777777" w:rsidR="00E93D6B" w:rsidRPr="009C5807" w:rsidRDefault="00E93D6B" w:rsidP="00867D3A">
            <w:pPr>
              <w:pStyle w:val="TAC"/>
            </w:pPr>
            <w:r w:rsidRPr="009C5807">
              <w:t>H</w:t>
            </w:r>
          </w:p>
        </w:tc>
        <w:tc>
          <w:tcPr>
            <w:tcW w:w="3119" w:type="dxa"/>
            <w:shd w:val="clear" w:color="auto" w:fill="auto"/>
          </w:tcPr>
          <w:p w14:paraId="2B410D67" w14:textId="77777777" w:rsidR="00E93D6B" w:rsidRPr="009C5807" w:rsidRDefault="00E93D6B" w:rsidP="00867D3A">
            <w:pPr>
              <w:pStyle w:val="TAC"/>
            </w:pPr>
            <w:r w:rsidRPr="009C5807">
              <w:t>NR_TDD_FR2_H</w:t>
            </w:r>
          </w:p>
        </w:tc>
        <w:tc>
          <w:tcPr>
            <w:tcW w:w="3260" w:type="dxa"/>
            <w:shd w:val="clear" w:color="auto" w:fill="auto"/>
            <w:noWrap/>
            <w:vAlign w:val="center"/>
            <w:hideMark/>
          </w:tcPr>
          <w:p w14:paraId="79ABE7E1" w14:textId="77777777" w:rsidR="00E93D6B" w:rsidRPr="009C5807" w:rsidRDefault="00E93D6B" w:rsidP="00867D3A">
            <w:pPr>
              <w:pStyle w:val="TAC"/>
            </w:pPr>
          </w:p>
        </w:tc>
      </w:tr>
      <w:tr w:rsidR="00885F53" w:rsidRPr="009C5807" w14:paraId="181B2573" w14:textId="77777777" w:rsidTr="00867D3A">
        <w:trPr>
          <w:trHeight w:val="107"/>
        </w:trPr>
        <w:tc>
          <w:tcPr>
            <w:tcW w:w="817" w:type="dxa"/>
            <w:shd w:val="clear" w:color="auto" w:fill="auto"/>
            <w:noWrap/>
            <w:vAlign w:val="center"/>
            <w:hideMark/>
          </w:tcPr>
          <w:p w14:paraId="33F97355" w14:textId="77777777" w:rsidR="00E93D6B" w:rsidRPr="009C5807" w:rsidRDefault="00E93D6B" w:rsidP="00867D3A">
            <w:pPr>
              <w:pStyle w:val="TAC"/>
            </w:pPr>
            <w:r w:rsidRPr="009C5807">
              <w:t>I</w:t>
            </w:r>
          </w:p>
        </w:tc>
        <w:tc>
          <w:tcPr>
            <w:tcW w:w="3119" w:type="dxa"/>
            <w:shd w:val="clear" w:color="auto" w:fill="auto"/>
          </w:tcPr>
          <w:p w14:paraId="03CA4F43" w14:textId="77777777" w:rsidR="00E93D6B" w:rsidRPr="009C5807" w:rsidRDefault="00E93D6B" w:rsidP="00867D3A">
            <w:pPr>
              <w:pStyle w:val="TAC"/>
            </w:pPr>
            <w:r w:rsidRPr="009C5807">
              <w:t>NR_TDD_FR2_I</w:t>
            </w:r>
          </w:p>
        </w:tc>
        <w:tc>
          <w:tcPr>
            <w:tcW w:w="3260" w:type="dxa"/>
            <w:shd w:val="clear" w:color="auto" w:fill="auto"/>
            <w:noWrap/>
            <w:vAlign w:val="center"/>
            <w:hideMark/>
          </w:tcPr>
          <w:p w14:paraId="034F667B" w14:textId="77777777" w:rsidR="00E93D6B" w:rsidRPr="009C5807" w:rsidRDefault="00E93D6B" w:rsidP="00867D3A">
            <w:pPr>
              <w:pStyle w:val="TAC"/>
            </w:pPr>
          </w:p>
        </w:tc>
      </w:tr>
      <w:tr w:rsidR="00885F53" w:rsidRPr="009C5807" w14:paraId="3B1FCDD7" w14:textId="77777777" w:rsidTr="00867D3A">
        <w:trPr>
          <w:trHeight w:val="125"/>
        </w:trPr>
        <w:tc>
          <w:tcPr>
            <w:tcW w:w="817" w:type="dxa"/>
            <w:shd w:val="clear" w:color="auto" w:fill="auto"/>
            <w:noWrap/>
            <w:vAlign w:val="center"/>
            <w:hideMark/>
          </w:tcPr>
          <w:p w14:paraId="6478590F" w14:textId="77777777" w:rsidR="00E93D6B" w:rsidRPr="009C5807" w:rsidRDefault="00E93D6B" w:rsidP="00867D3A">
            <w:pPr>
              <w:pStyle w:val="TAC"/>
            </w:pPr>
            <w:r w:rsidRPr="009C5807">
              <w:t>J</w:t>
            </w:r>
          </w:p>
        </w:tc>
        <w:tc>
          <w:tcPr>
            <w:tcW w:w="3119" w:type="dxa"/>
            <w:shd w:val="clear" w:color="auto" w:fill="auto"/>
          </w:tcPr>
          <w:p w14:paraId="77FD92B3" w14:textId="77777777" w:rsidR="00E93D6B" w:rsidRPr="009C5807" w:rsidRDefault="00E93D6B" w:rsidP="00867D3A">
            <w:pPr>
              <w:pStyle w:val="TAC"/>
            </w:pPr>
            <w:r w:rsidRPr="009C5807">
              <w:t>NR_TDD_FR2_J</w:t>
            </w:r>
          </w:p>
        </w:tc>
        <w:tc>
          <w:tcPr>
            <w:tcW w:w="3260" w:type="dxa"/>
            <w:shd w:val="clear" w:color="auto" w:fill="auto"/>
            <w:noWrap/>
            <w:vAlign w:val="center"/>
            <w:hideMark/>
          </w:tcPr>
          <w:p w14:paraId="55F1DFB4" w14:textId="77777777" w:rsidR="00E93D6B" w:rsidRPr="009C5807" w:rsidRDefault="00E93D6B" w:rsidP="00867D3A">
            <w:pPr>
              <w:pStyle w:val="TAC"/>
            </w:pPr>
          </w:p>
        </w:tc>
      </w:tr>
      <w:tr w:rsidR="00885F53" w:rsidRPr="009C5807" w14:paraId="3B05B88A" w14:textId="77777777" w:rsidTr="00867D3A">
        <w:trPr>
          <w:trHeight w:val="129"/>
        </w:trPr>
        <w:tc>
          <w:tcPr>
            <w:tcW w:w="817" w:type="dxa"/>
            <w:shd w:val="clear" w:color="auto" w:fill="auto"/>
            <w:noWrap/>
            <w:vAlign w:val="center"/>
            <w:hideMark/>
          </w:tcPr>
          <w:p w14:paraId="4E287597" w14:textId="77777777" w:rsidR="00E93D6B" w:rsidRPr="009C5807" w:rsidRDefault="00E93D6B" w:rsidP="00867D3A">
            <w:pPr>
              <w:pStyle w:val="TAC"/>
            </w:pPr>
            <w:r w:rsidRPr="009C5807">
              <w:t>K</w:t>
            </w:r>
          </w:p>
        </w:tc>
        <w:tc>
          <w:tcPr>
            <w:tcW w:w="3119" w:type="dxa"/>
            <w:shd w:val="clear" w:color="auto" w:fill="auto"/>
          </w:tcPr>
          <w:p w14:paraId="0133FC73" w14:textId="77777777" w:rsidR="00E93D6B" w:rsidRPr="009C5807" w:rsidRDefault="00E93D6B" w:rsidP="00867D3A">
            <w:pPr>
              <w:pStyle w:val="TAC"/>
            </w:pPr>
            <w:r w:rsidRPr="009C5807">
              <w:t>NR_TDD_FR2_K</w:t>
            </w:r>
          </w:p>
        </w:tc>
        <w:tc>
          <w:tcPr>
            <w:tcW w:w="3260" w:type="dxa"/>
            <w:shd w:val="clear" w:color="auto" w:fill="auto"/>
            <w:noWrap/>
            <w:vAlign w:val="center"/>
            <w:hideMark/>
          </w:tcPr>
          <w:p w14:paraId="42686C0B" w14:textId="55AD1357" w:rsidR="00E93D6B" w:rsidRPr="009C5807" w:rsidRDefault="001432B1" w:rsidP="00867D3A">
            <w:pPr>
              <w:pStyle w:val="TAC"/>
            </w:pPr>
            <w:r w:rsidRPr="009C5807">
              <w:t>n257</w:t>
            </w:r>
            <w:r>
              <w:rPr>
                <w:vertAlign w:val="superscript"/>
              </w:rPr>
              <w:t>5,6</w:t>
            </w:r>
            <w:r w:rsidRPr="009C5807">
              <w:t>, n258</w:t>
            </w:r>
            <w:r>
              <w:rPr>
                <w:vertAlign w:val="superscript"/>
              </w:rPr>
              <w:t>5,6</w:t>
            </w:r>
            <w:r>
              <w:t>,</w:t>
            </w:r>
            <w:r>
              <w:rPr>
                <w:rFonts w:cs="Arial"/>
                <w:szCs w:val="18"/>
                <w:lang w:val="fr-FR"/>
              </w:rPr>
              <w:t xml:space="preserve"> n262</w:t>
            </w:r>
            <w:r>
              <w:rPr>
                <w:rFonts w:cs="Arial"/>
                <w:szCs w:val="18"/>
                <w:vertAlign w:val="superscript"/>
                <w:lang w:val="fr-FR"/>
              </w:rPr>
              <w:t>1</w:t>
            </w:r>
            <w:r>
              <w:rPr>
                <w:rFonts w:cs="Arial"/>
                <w:szCs w:val="18"/>
                <w:lang w:val="fr-FR"/>
              </w:rPr>
              <w:t>, n261</w:t>
            </w:r>
            <w:r>
              <w:rPr>
                <w:rFonts w:cs="Arial"/>
                <w:szCs w:val="18"/>
                <w:vertAlign w:val="superscript"/>
                <w:lang w:val="fr-FR"/>
              </w:rPr>
              <w:t>6</w:t>
            </w:r>
          </w:p>
        </w:tc>
      </w:tr>
      <w:tr w:rsidR="00885F53" w:rsidRPr="009C5807" w14:paraId="694CAD32" w14:textId="77777777" w:rsidTr="00867D3A">
        <w:trPr>
          <w:trHeight w:val="189"/>
        </w:trPr>
        <w:tc>
          <w:tcPr>
            <w:tcW w:w="817" w:type="dxa"/>
            <w:shd w:val="clear" w:color="auto" w:fill="auto"/>
            <w:noWrap/>
            <w:vAlign w:val="center"/>
            <w:hideMark/>
          </w:tcPr>
          <w:p w14:paraId="65856391" w14:textId="77777777" w:rsidR="00E93D6B" w:rsidRPr="009C5807" w:rsidRDefault="00E93D6B" w:rsidP="00867D3A">
            <w:pPr>
              <w:pStyle w:val="TAC"/>
            </w:pPr>
            <w:r w:rsidRPr="009C5807">
              <w:t>L</w:t>
            </w:r>
          </w:p>
        </w:tc>
        <w:tc>
          <w:tcPr>
            <w:tcW w:w="3119" w:type="dxa"/>
            <w:shd w:val="clear" w:color="auto" w:fill="auto"/>
          </w:tcPr>
          <w:p w14:paraId="49499EEC" w14:textId="77777777" w:rsidR="00E93D6B" w:rsidRPr="009C5807" w:rsidRDefault="00E93D6B" w:rsidP="00867D3A">
            <w:pPr>
              <w:pStyle w:val="TAC"/>
            </w:pPr>
            <w:r w:rsidRPr="009C5807">
              <w:t>NR_TDD_FR2_L</w:t>
            </w:r>
          </w:p>
        </w:tc>
        <w:tc>
          <w:tcPr>
            <w:tcW w:w="3260" w:type="dxa"/>
            <w:shd w:val="clear" w:color="auto" w:fill="auto"/>
            <w:noWrap/>
            <w:vAlign w:val="center"/>
            <w:hideMark/>
          </w:tcPr>
          <w:p w14:paraId="28629722" w14:textId="77777777" w:rsidR="00E93D6B" w:rsidRPr="009C5807" w:rsidRDefault="00E93D6B" w:rsidP="00867D3A">
            <w:pPr>
              <w:pStyle w:val="TAC"/>
            </w:pPr>
            <w:r w:rsidRPr="009C5807">
              <w:t>n257</w:t>
            </w:r>
            <w:r w:rsidRPr="009C5807">
              <w:rPr>
                <w:vertAlign w:val="superscript"/>
              </w:rPr>
              <w:t>2</w:t>
            </w:r>
            <w:r w:rsidRPr="009C5807">
              <w:t>, n258</w:t>
            </w:r>
            <w:r w:rsidRPr="009C5807">
              <w:rPr>
                <w:vertAlign w:val="superscript"/>
              </w:rPr>
              <w:t>2</w:t>
            </w:r>
            <w:r w:rsidRPr="009C5807">
              <w:t>, n261</w:t>
            </w:r>
            <w:r w:rsidRPr="009C5807">
              <w:rPr>
                <w:vertAlign w:val="superscript"/>
              </w:rPr>
              <w:t>2</w:t>
            </w:r>
          </w:p>
        </w:tc>
      </w:tr>
      <w:tr w:rsidR="00885F53" w:rsidRPr="009C5807" w14:paraId="46EF5024" w14:textId="77777777" w:rsidTr="00867D3A">
        <w:trPr>
          <w:trHeight w:val="122"/>
        </w:trPr>
        <w:tc>
          <w:tcPr>
            <w:tcW w:w="817" w:type="dxa"/>
            <w:shd w:val="clear" w:color="auto" w:fill="auto"/>
            <w:noWrap/>
            <w:vAlign w:val="center"/>
            <w:hideMark/>
          </w:tcPr>
          <w:p w14:paraId="3D9D39B2" w14:textId="77777777" w:rsidR="00E93D6B" w:rsidRPr="009C5807" w:rsidRDefault="00E93D6B" w:rsidP="00867D3A">
            <w:pPr>
              <w:pStyle w:val="TAC"/>
            </w:pPr>
            <w:r w:rsidRPr="009C5807">
              <w:t>M</w:t>
            </w:r>
          </w:p>
        </w:tc>
        <w:tc>
          <w:tcPr>
            <w:tcW w:w="3119" w:type="dxa"/>
            <w:shd w:val="clear" w:color="auto" w:fill="auto"/>
          </w:tcPr>
          <w:p w14:paraId="53BB3608" w14:textId="77777777" w:rsidR="00E93D6B" w:rsidRPr="009C5807" w:rsidRDefault="00E93D6B" w:rsidP="00867D3A">
            <w:pPr>
              <w:pStyle w:val="TAC"/>
            </w:pPr>
            <w:r w:rsidRPr="009C5807">
              <w:t>NR_TDD_FR2_M</w:t>
            </w:r>
          </w:p>
        </w:tc>
        <w:tc>
          <w:tcPr>
            <w:tcW w:w="3260" w:type="dxa"/>
            <w:shd w:val="clear" w:color="auto" w:fill="auto"/>
            <w:noWrap/>
            <w:vAlign w:val="center"/>
            <w:hideMark/>
          </w:tcPr>
          <w:p w14:paraId="5014BEFA" w14:textId="77777777" w:rsidR="00E93D6B" w:rsidRPr="009C5807" w:rsidRDefault="00E93D6B" w:rsidP="00867D3A">
            <w:pPr>
              <w:pStyle w:val="TAC"/>
            </w:pPr>
          </w:p>
        </w:tc>
      </w:tr>
      <w:tr w:rsidR="00885F53" w:rsidRPr="009C5807" w14:paraId="168EDC92" w14:textId="77777777" w:rsidTr="00867D3A">
        <w:trPr>
          <w:trHeight w:val="109"/>
        </w:trPr>
        <w:tc>
          <w:tcPr>
            <w:tcW w:w="817" w:type="dxa"/>
            <w:shd w:val="clear" w:color="auto" w:fill="auto"/>
            <w:noWrap/>
            <w:vAlign w:val="center"/>
            <w:hideMark/>
          </w:tcPr>
          <w:p w14:paraId="65E24E51" w14:textId="77777777" w:rsidR="00E93D6B" w:rsidRPr="009C5807" w:rsidRDefault="00E93D6B" w:rsidP="00867D3A">
            <w:pPr>
              <w:pStyle w:val="TAC"/>
            </w:pPr>
            <w:r w:rsidRPr="009C5807">
              <w:t>N</w:t>
            </w:r>
          </w:p>
        </w:tc>
        <w:tc>
          <w:tcPr>
            <w:tcW w:w="3119" w:type="dxa"/>
            <w:shd w:val="clear" w:color="auto" w:fill="auto"/>
          </w:tcPr>
          <w:p w14:paraId="35E36014" w14:textId="77777777" w:rsidR="00E93D6B" w:rsidRPr="009C5807" w:rsidRDefault="00E93D6B" w:rsidP="00867D3A">
            <w:pPr>
              <w:pStyle w:val="TAC"/>
            </w:pPr>
            <w:r w:rsidRPr="009C5807">
              <w:t>NR_TDD_FR2_N</w:t>
            </w:r>
          </w:p>
        </w:tc>
        <w:tc>
          <w:tcPr>
            <w:tcW w:w="3260" w:type="dxa"/>
            <w:shd w:val="clear" w:color="auto" w:fill="auto"/>
            <w:noWrap/>
            <w:vAlign w:val="center"/>
            <w:hideMark/>
          </w:tcPr>
          <w:p w14:paraId="6EE9B342" w14:textId="4DBAB28A" w:rsidR="00E93D6B" w:rsidRPr="009C5807" w:rsidRDefault="0005273A" w:rsidP="00867D3A">
            <w:pPr>
              <w:pStyle w:val="TAC"/>
            </w:pPr>
            <w:r>
              <w:rPr>
                <w:rFonts w:cs="Arial"/>
                <w:szCs w:val="18"/>
                <w:lang w:val="fr-FR" w:eastAsia="zh-CN"/>
              </w:rPr>
              <w:t>n262</w:t>
            </w:r>
            <w:r>
              <w:rPr>
                <w:rFonts w:cs="Arial"/>
                <w:szCs w:val="18"/>
                <w:vertAlign w:val="superscript"/>
                <w:lang w:val="fr-FR"/>
              </w:rPr>
              <w:t>4</w:t>
            </w:r>
          </w:p>
        </w:tc>
      </w:tr>
      <w:tr w:rsidR="00885F53" w:rsidRPr="009C5807" w14:paraId="4BDDDB4D" w14:textId="77777777" w:rsidTr="00867D3A">
        <w:trPr>
          <w:trHeight w:val="69"/>
        </w:trPr>
        <w:tc>
          <w:tcPr>
            <w:tcW w:w="817" w:type="dxa"/>
            <w:shd w:val="clear" w:color="auto" w:fill="auto"/>
            <w:noWrap/>
            <w:vAlign w:val="center"/>
            <w:hideMark/>
          </w:tcPr>
          <w:p w14:paraId="01B08E9B" w14:textId="77777777" w:rsidR="00E93D6B" w:rsidRPr="009C5807" w:rsidRDefault="00E93D6B" w:rsidP="00867D3A">
            <w:pPr>
              <w:pStyle w:val="TAC"/>
            </w:pPr>
            <w:r w:rsidRPr="009C5807">
              <w:t>O</w:t>
            </w:r>
          </w:p>
        </w:tc>
        <w:tc>
          <w:tcPr>
            <w:tcW w:w="3119" w:type="dxa"/>
            <w:shd w:val="clear" w:color="auto" w:fill="auto"/>
          </w:tcPr>
          <w:p w14:paraId="6D5B814F" w14:textId="77777777" w:rsidR="00E93D6B" w:rsidRPr="009C5807" w:rsidRDefault="00E93D6B" w:rsidP="00867D3A">
            <w:pPr>
              <w:pStyle w:val="TAC"/>
            </w:pPr>
            <w:r w:rsidRPr="009C5807">
              <w:t>NR_TDD_FR2_O</w:t>
            </w:r>
          </w:p>
        </w:tc>
        <w:tc>
          <w:tcPr>
            <w:tcW w:w="3260" w:type="dxa"/>
            <w:shd w:val="clear" w:color="auto" w:fill="auto"/>
            <w:noWrap/>
            <w:vAlign w:val="center"/>
            <w:hideMark/>
          </w:tcPr>
          <w:p w14:paraId="6A7CABF6" w14:textId="77777777" w:rsidR="00E93D6B" w:rsidRPr="009C5807" w:rsidRDefault="00E93D6B" w:rsidP="00867D3A">
            <w:pPr>
              <w:pStyle w:val="TAC"/>
            </w:pPr>
          </w:p>
        </w:tc>
      </w:tr>
      <w:tr w:rsidR="00885F53" w:rsidRPr="009C5807" w14:paraId="6D78B80E" w14:textId="77777777" w:rsidTr="00867D3A">
        <w:trPr>
          <w:trHeight w:val="143"/>
        </w:trPr>
        <w:tc>
          <w:tcPr>
            <w:tcW w:w="817" w:type="dxa"/>
            <w:shd w:val="clear" w:color="auto" w:fill="auto"/>
            <w:noWrap/>
            <w:vAlign w:val="center"/>
            <w:hideMark/>
          </w:tcPr>
          <w:p w14:paraId="1932F822" w14:textId="77777777" w:rsidR="00E93D6B" w:rsidRPr="009C5807" w:rsidRDefault="00E93D6B" w:rsidP="00867D3A">
            <w:pPr>
              <w:pStyle w:val="TAC"/>
            </w:pPr>
            <w:r w:rsidRPr="009C5807">
              <w:t>P</w:t>
            </w:r>
          </w:p>
        </w:tc>
        <w:tc>
          <w:tcPr>
            <w:tcW w:w="3119" w:type="dxa"/>
            <w:shd w:val="clear" w:color="auto" w:fill="auto"/>
          </w:tcPr>
          <w:p w14:paraId="5365FE0D" w14:textId="77777777" w:rsidR="00E93D6B" w:rsidRPr="009C5807" w:rsidRDefault="00E93D6B" w:rsidP="00867D3A">
            <w:pPr>
              <w:pStyle w:val="TAC"/>
            </w:pPr>
            <w:r w:rsidRPr="009C5807">
              <w:t>NR_TDD_FR2_P</w:t>
            </w:r>
          </w:p>
        </w:tc>
        <w:tc>
          <w:tcPr>
            <w:tcW w:w="3260" w:type="dxa"/>
            <w:shd w:val="clear" w:color="auto" w:fill="auto"/>
            <w:noWrap/>
            <w:vAlign w:val="center"/>
            <w:hideMark/>
          </w:tcPr>
          <w:p w14:paraId="0AD0206D" w14:textId="77777777" w:rsidR="00E93D6B" w:rsidRPr="009C5807" w:rsidRDefault="00E93D6B" w:rsidP="00867D3A">
            <w:pPr>
              <w:pStyle w:val="TAC"/>
            </w:pPr>
          </w:p>
        </w:tc>
      </w:tr>
      <w:tr w:rsidR="00885F53" w:rsidRPr="009C5807" w14:paraId="09F211CB" w14:textId="77777777" w:rsidTr="00867D3A">
        <w:trPr>
          <w:trHeight w:val="203"/>
        </w:trPr>
        <w:tc>
          <w:tcPr>
            <w:tcW w:w="817" w:type="dxa"/>
            <w:shd w:val="clear" w:color="auto" w:fill="auto"/>
            <w:noWrap/>
            <w:vAlign w:val="center"/>
            <w:hideMark/>
          </w:tcPr>
          <w:p w14:paraId="4B39F5B5" w14:textId="77777777" w:rsidR="00E93D6B" w:rsidRPr="009C5807" w:rsidRDefault="00E93D6B" w:rsidP="00867D3A">
            <w:pPr>
              <w:pStyle w:val="TAC"/>
            </w:pPr>
            <w:r w:rsidRPr="009C5807">
              <w:t>Q</w:t>
            </w:r>
          </w:p>
        </w:tc>
        <w:tc>
          <w:tcPr>
            <w:tcW w:w="3119" w:type="dxa"/>
            <w:shd w:val="clear" w:color="auto" w:fill="auto"/>
          </w:tcPr>
          <w:p w14:paraId="09940E14" w14:textId="77777777" w:rsidR="00E93D6B" w:rsidRPr="009C5807" w:rsidRDefault="00E93D6B" w:rsidP="00867D3A">
            <w:pPr>
              <w:pStyle w:val="TAC"/>
            </w:pPr>
            <w:r w:rsidRPr="009C5807">
              <w:t>NR_TDD_FR2_Q</w:t>
            </w:r>
          </w:p>
        </w:tc>
        <w:tc>
          <w:tcPr>
            <w:tcW w:w="3260" w:type="dxa"/>
            <w:shd w:val="clear" w:color="auto" w:fill="auto"/>
            <w:noWrap/>
            <w:vAlign w:val="center"/>
            <w:hideMark/>
          </w:tcPr>
          <w:p w14:paraId="0FECC945" w14:textId="7A5D7AEA" w:rsidR="00E93D6B" w:rsidRPr="009C5807" w:rsidRDefault="00B92781" w:rsidP="00867D3A">
            <w:pPr>
              <w:pStyle w:val="TAC"/>
            </w:pPr>
            <w:r w:rsidRPr="004505FC">
              <w:rPr>
                <w:lang w:eastAsia="ko-KR"/>
              </w:rPr>
              <w:t>n259</w:t>
            </w:r>
            <w:r>
              <w:rPr>
                <w:vertAlign w:val="superscript"/>
                <w:lang w:eastAsia="ko-KR"/>
              </w:rPr>
              <w:t>5</w:t>
            </w:r>
          </w:p>
        </w:tc>
      </w:tr>
      <w:tr w:rsidR="00885F53" w:rsidRPr="009C5807" w14:paraId="28ED2940" w14:textId="77777777" w:rsidTr="00867D3A">
        <w:trPr>
          <w:trHeight w:val="135"/>
        </w:trPr>
        <w:tc>
          <w:tcPr>
            <w:tcW w:w="817" w:type="dxa"/>
            <w:shd w:val="clear" w:color="auto" w:fill="auto"/>
            <w:noWrap/>
            <w:vAlign w:val="center"/>
            <w:hideMark/>
          </w:tcPr>
          <w:p w14:paraId="26A1554A" w14:textId="77777777" w:rsidR="00E93D6B" w:rsidRPr="009C5807" w:rsidRDefault="00E93D6B" w:rsidP="00867D3A">
            <w:pPr>
              <w:pStyle w:val="TAC"/>
            </w:pPr>
            <w:r w:rsidRPr="009C5807">
              <w:t>R</w:t>
            </w:r>
          </w:p>
        </w:tc>
        <w:tc>
          <w:tcPr>
            <w:tcW w:w="3119" w:type="dxa"/>
            <w:shd w:val="clear" w:color="auto" w:fill="auto"/>
          </w:tcPr>
          <w:p w14:paraId="1651C8BC" w14:textId="77777777" w:rsidR="00E93D6B" w:rsidRPr="009C5807" w:rsidRDefault="00E93D6B" w:rsidP="00867D3A">
            <w:pPr>
              <w:pStyle w:val="TAC"/>
            </w:pPr>
            <w:r w:rsidRPr="009C5807">
              <w:t>NR_TDD_FR2_R</w:t>
            </w:r>
          </w:p>
        </w:tc>
        <w:tc>
          <w:tcPr>
            <w:tcW w:w="3260" w:type="dxa"/>
            <w:shd w:val="clear" w:color="auto" w:fill="auto"/>
            <w:noWrap/>
            <w:vAlign w:val="center"/>
            <w:hideMark/>
          </w:tcPr>
          <w:p w14:paraId="5A8E8766" w14:textId="77777777" w:rsidR="00E93D6B" w:rsidRPr="009C5807" w:rsidRDefault="00E93D6B" w:rsidP="00867D3A">
            <w:pPr>
              <w:pStyle w:val="TAC"/>
            </w:pPr>
          </w:p>
        </w:tc>
      </w:tr>
      <w:tr w:rsidR="00885F53" w:rsidRPr="009C5807" w14:paraId="0399C0C8" w14:textId="77777777" w:rsidTr="00867D3A">
        <w:trPr>
          <w:trHeight w:val="196"/>
        </w:trPr>
        <w:tc>
          <w:tcPr>
            <w:tcW w:w="817" w:type="dxa"/>
            <w:shd w:val="clear" w:color="auto" w:fill="auto"/>
            <w:noWrap/>
            <w:vAlign w:val="center"/>
            <w:hideMark/>
          </w:tcPr>
          <w:p w14:paraId="2D5443E2" w14:textId="77777777" w:rsidR="00E93D6B" w:rsidRPr="009C5807" w:rsidRDefault="00E93D6B" w:rsidP="00867D3A">
            <w:pPr>
              <w:pStyle w:val="TAC"/>
            </w:pPr>
            <w:r w:rsidRPr="009C5807">
              <w:t>S</w:t>
            </w:r>
          </w:p>
        </w:tc>
        <w:tc>
          <w:tcPr>
            <w:tcW w:w="3119" w:type="dxa"/>
            <w:shd w:val="clear" w:color="auto" w:fill="auto"/>
          </w:tcPr>
          <w:p w14:paraId="14BD0175" w14:textId="77777777" w:rsidR="00E93D6B" w:rsidRPr="009C5807" w:rsidRDefault="00E93D6B" w:rsidP="00867D3A">
            <w:pPr>
              <w:pStyle w:val="TAC"/>
            </w:pPr>
            <w:r w:rsidRPr="009C5807">
              <w:t>NR_TDD_FR2_S</w:t>
            </w:r>
          </w:p>
        </w:tc>
        <w:tc>
          <w:tcPr>
            <w:tcW w:w="3260" w:type="dxa"/>
            <w:shd w:val="clear" w:color="auto" w:fill="auto"/>
            <w:noWrap/>
            <w:vAlign w:val="center"/>
            <w:hideMark/>
          </w:tcPr>
          <w:p w14:paraId="31ED9C81" w14:textId="77777777" w:rsidR="00E93D6B" w:rsidRPr="009C5807" w:rsidRDefault="00E93D6B" w:rsidP="00867D3A">
            <w:pPr>
              <w:pStyle w:val="TAC"/>
            </w:pPr>
          </w:p>
        </w:tc>
      </w:tr>
      <w:tr w:rsidR="00885F53" w:rsidRPr="009C5807" w14:paraId="130B31FB" w14:textId="77777777" w:rsidTr="00867D3A">
        <w:trPr>
          <w:trHeight w:val="127"/>
        </w:trPr>
        <w:tc>
          <w:tcPr>
            <w:tcW w:w="817" w:type="dxa"/>
            <w:shd w:val="clear" w:color="auto" w:fill="auto"/>
            <w:noWrap/>
            <w:vAlign w:val="center"/>
            <w:hideMark/>
          </w:tcPr>
          <w:p w14:paraId="3C8569CF" w14:textId="77777777" w:rsidR="00E93D6B" w:rsidRPr="009C5807" w:rsidRDefault="00E93D6B" w:rsidP="00867D3A">
            <w:pPr>
              <w:pStyle w:val="TAC"/>
            </w:pPr>
            <w:r w:rsidRPr="009C5807">
              <w:t>T</w:t>
            </w:r>
          </w:p>
        </w:tc>
        <w:tc>
          <w:tcPr>
            <w:tcW w:w="3119" w:type="dxa"/>
            <w:shd w:val="clear" w:color="auto" w:fill="auto"/>
          </w:tcPr>
          <w:p w14:paraId="65390A08" w14:textId="77777777" w:rsidR="00E93D6B" w:rsidRPr="009C5807" w:rsidRDefault="00E93D6B" w:rsidP="00867D3A">
            <w:pPr>
              <w:pStyle w:val="TAC"/>
            </w:pPr>
            <w:r w:rsidRPr="009C5807">
              <w:t>NR_TDD_FR2_T</w:t>
            </w:r>
          </w:p>
        </w:tc>
        <w:tc>
          <w:tcPr>
            <w:tcW w:w="3260" w:type="dxa"/>
            <w:shd w:val="clear" w:color="auto" w:fill="auto"/>
            <w:noWrap/>
            <w:vAlign w:val="center"/>
            <w:hideMark/>
          </w:tcPr>
          <w:p w14:paraId="5842BAF5" w14:textId="77777777" w:rsidR="00E93D6B" w:rsidRPr="009C5807" w:rsidRDefault="00E93D6B" w:rsidP="00867D3A">
            <w:pPr>
              <w:pStyle w:val="TAC"/>
            </w:pPr>
            <w:r w:rsidRPr="009C5807">
              <w:t>n257</w:t>
            </w:r>
            <w:r w:rsidRPr="009C5807">
              <w:rPr>
                <w:vertAlign w:val="superscript"/>
              </w:rPr>
              <w:t>3</w:t>
            </w:r>
            <w:r w:rsidRPr="009C5807">
              <w:t>, n258</w:t>
            </w:r>
            <w:r w:rsidRPr="009C5807">
              <w:rPr>
                <w:vertAlign w:val="superscript"/>
              </w:rPr>
              <w:t>3</w:t>
            </w:r>
            <w:r w:rsidRPr="009C5807">
              <w:t>, n261</w:t>
            </w:r>
            <w:r w:rsidRPr="009C5807">
              <w:rPr>
                <w:vertAlign w:val="superscript"/>
              </w:rPr>
              <w:t>3</w:t>
            </w:r>
          </w:p>
        </w:tc>
      </w:tr>
      <w:tr w:rsidR="00885F53" w:rsidRPr="009C5807" w14:paraId="695A9994" w14:textId="77777777" w:rsidTr="00867D3A">
        <w:trPr>
          <w:trHeight w:val="187"/>
        </w:trPr>
        <w:tc>
          <w:tcPr>
            <w:tcW w:w="817" w:type="dxa"/>
            <w:shd w:val="clear" w:color="auto" w:fill="auto"/>
            <w:noWrap/>
            <w:vAlign w:val="center"/>
            <w:hideMark/>
          </w:tcPr>
          <w:p w14:paraId="2F893005" w14:textId="77777777" w:rsidR="00E93D6B" w:rsidRPr="009C5807" w:rsidRDefault="00E93D6B" w:rsidP="00867D3A">
            <w:pPr>
              <w:pStyle w:val="TAC"/>
            </w:pPr>
            <w:r w:rsidRPr="009C5807">
              <w:t>U</w:t>
            </w:r>
          </w:p>
        </w:tc>
        <w:tc>
          <w:tcPr>
            <w:tcW w:w="3119" w:type="dxa"/>
            <w:shd w:val="clear" w:color="auto" w:fill="auto"/>
          </w:tcPr>
          <w:p w14:paraId="3D03EE62" w14:textId="77777777" w:rsidR="00E93D6B" w:rsidRPr="009C5807" w:rsidRDefault="00E93D6B" w:rsidP="00867D3A">
            <w:pPr>
              <w:pStyle w:val="TAC"/>
            </w:pPr>
            <w:r w:rsidRPr="009C5807">
              <w:t>NR_TDD_FR2_U</w:t>
            </w:r>
          </w:p>
        </w:tc>
        <w:tc>
          <w:tcPr>
            <w:tcW w:w="3260" w:type="dxa"/>
            <w:shd w:val="clear" w:color="auto" w:fill="auto"/>
            <w:noWrap/>
            <w:vAlign w:val="center"/>
            <w:hideMark/>
          </w:tcPr>
          <w:p w14:paraId="5ADCF2C7" w14:textId="77777777" w:rsidR="00E93D6B" w:rsidRPr="009C5807" w:rsidRDefault="00E93D6B" w:rsidP="00867D3A">
            <w:pPr>
              <w:pStyle w:val="TAC"/>
            </w:pPr>
          </w:p>
        </w:tc>
      </w:tr>
      <w:tr w:rsidR="00885F53" w:rsidRPr="009C5807" w14:paraId="4BD74194" w14:textId="77777777" w:rsidTr="00867D3A">
        <w:trPr>
          <w:trHeight w:val="119"/>
        </w:trPr>
        <w:tc>
          <w:tcPr>
            <w:tcW w:w="817" w:type="dxa"/>
            <w:shd w:val="clear" w:color="auto" w:fill="auto"/>
            <w:noWrap/>
            <w:vAlign w:val="center"/>
          </w:tcPr>
          <w:p w14:paraId="53C2A213" w14:textId="77777777" w:rsidR="00E93D6B" w:rsidRPr="009C5807" w:rsidRDefault="00E93D6B" w:rsidP="00867D3A">
            <w:pPr>
              <w:pStyle w:val="TAC"/>
            </w:pPr>
            <w:r w:rsidRPr="009C5807">
              <w:t>V</w:t>
            </w:r>
          </w:p>
        </w:tc>
        <w:tc>
          <w:tcPr>
            <w:tcW w:w="3119" w:type="dxa"/>
            <w:shd w:val="clear" w:color="auto" w:fill="auto"/>
          </w:tcPr>
          <w:p w14:paraId="6CD08E8A" w14:textId="77777777" w:rsidR="00E93D6B" w:rsidRPr="009C5807" w:rsidRDefault="00E93D6B" w:rsidP="00867D3A">
            <w:pPr>
              <w:pStyle w:val="TAC"/>
            </w:pPr>
            <w:r w:rsidRPr="009C5807">
              <w:t>NR_TDD_FR2_V</w:t>
            </w:r>
          </w:p>
        </w:tc>
        <w:tc>
          <w:tcPr>
            <w:tcW w:w="3260" w:type="dxa"/>
            <w:shd w:val="clear" w:color="auto" w:fill="auto"/>
            <w:noWrap/>
            <w:vAlign w:val="center"/>
          </w:tcPr>
          <w:p w14:paraId="17F92398" w14:textId="77777777" w:rsidR="00E93D6B" w:rsidRPr="009C5807" w:rsidRDefault="00E93D6B" w:rsidP="00867D3A">
            <w:pPr>
              <w:pStyle w:val="TAC"/>
            </w:pPr>
          </w:p>
        </w:tc>
      </w:tr>
      <w:tr w:rsidR="00885F53" w:rsidRPr="009C5807" w14:paraId="5C74D93E" w14:textId="77777777" w:rsidTr="00867D3A">
        <w:trPr>
          <w:trHeight w:val="179"/>
        </w:trPr>
        <w:tc>
          <w:tcPr>
            <w:tcW w:w="817" w:type="dxa"/>
            <w:shd w:val="clear" w:color="auto" w:fill="auto"/>
            <w:noWrap/>
            <w:vAlign w:val="center"/>
          </w:tcPr>
          <w:p w14:paraId="1BFBAFEC" w14:textId="77777777" w:rsidR="00E93D6B" w:rsidRPr="009C5807" w:rsidRDefault="00E93D6B" w:rsidP="00867D3A">
            <w:pPr>
              <w:pStyle w:val="TAC"/>
            </w:pPr>
            <w:r w:rsidRPr="009C5807">
              <w:t>W</w:t>
            </w:r>
          </w:p>
        </w:tc>
        <w:tc>
          <w:tcPr>
            <w:tcW w:w="3119" w:type="dxa"/>
            <w:shd w:val="clear" w:color="auto" w:fill="auto"/>
          </w:tcPr>
          <w:p w14:paraId="2198AC74" w14:textId="77777777" w:rsidR="00E93D6B" w:rsidRPr="009C5807" w:rsidRDefault="00E93D6B" w:rsidP="00867D3A">
            <w:pPr>
              <w:pStyle w:val="TAC"/>
            </w:pPr>
            <w:r w:rsidRPr="009C5807">
              <w:t>NR_TDD_FR2_W</w:t>
            </w:r>
          </w:p>
        </w:tc>
        <w:tc>
          <w:tcPr>
            <w:tcW w:w="3260" w:type="dxa"/>
            <w:shd w:val="clear" w:color="auto" w:fill="auto"/>
            <w:noWrap/>
            <w:vAlign w:val="center"/>
          </w:tcPr>
          <w:p w14:paraId="791CAF0F" w14:textId="13093891" w:rsidR="00E93D6B" w:rsidRPr="009C5807" w:rsidRDefault="0005273A" w:rsidP="00867D3A">
            <w:pPr>
              <w:pStyle w:val="TAC"/>
            </w:pPr>
            <w:r>
              <w:rPr>
                <w:rFonts w:cs="Arial"/>
                <w:szCs w:val="18"/>
                <w:lang w:val="fr-FR" w:eastAsia="zh-CN"/>
              </w:rPr>
              <w:t>n262</w:t>
            </w:r>
            <w:r>
              <w:rPr>
                <w:rFonts w:cs="Arial"/>
                <w:szCs w:val="18"/>
                <w:vertAlign w:val="superscript"/>
                <w:lang w:val="fr-FR"/>
              </w:rPr>
              <w:t>2</w:t>
            </w:r>
          </w:p>
        </w:tc>
      </w:tr>
      <w:tr w:rsidR="00885F53" w:rsidRPr="009C5807" w14:paraId="376BD2B7" w14:textId="77777777" w:rsidTr="00867D3A">
        <w:trPr>
          <w:trHeight w:val="140"/>
        </w:trPr>
        <w:tc>
          <w:tcPr>
            <w:tcW w:w="817" w:type="dxa"/>
            <w:shd w:val="clear" w:color="auto" w:fill="auto"/>
            <w:noWrap/>
            <w:vAlign w:val="center"/>
          </w:tcPr>
          <w:p w14:paraId="09BF170A" w14:textId="77777777" w:rsidR="00E93D6B" w:rsidRPr="009C5807" w:rsidRDefault="00E93D6B" w:rsidP="00867D3A">
            <w:pPr>
              <w:pStyle w:val="TAC"/>
            </w:pPr>
            <w:r w:rsidRPr="009C5807">
              <w:t>X</w:t>
            </w:r>
          </w:p>
        </w:tc>
        <w:tc>
          <w:tcPr>
            <w:tcW w:w="3119" w:type="dxa"/>
            <w:shd w:val="clear" w:color="auto" w:fill="auto"/>
          </w:tcPr>
          <w:p w14:paraId="02E3833F" w14:textId="77777777" w:rsidR="00E93D6B" w:rsidRPr="009C5807" w:rsidRDefault="00E93D6B" w:rsidP="00867D3A">
            <w:pPr>
              <w:pStyle w:val="TAC"/>
            </w:pPr>
            <w:r w:rsidRPr="009C5807">
              <w:t>NR_TDD_FR2_X</w:t>
            </w:r>
          </w:p>
        </w:tc>
        <w:tc>
          <w:tcPr>
            <w:tcW w:w="3260" w:type="dxa"/>
            <w:shd w:val="clear" w:color="auto" w:fill="auto"/>
            <w:noWrap/>
            <w:vAlign w:val="center"/>
          </w:tcPr>
          <w:p w14:paraId="6D2ECC98" w14:textId="77777777" w:rsidR="00E93D6B" w:rsidRPr="009C5807" w:rsidRDefault="00E93D6B" w:rsidP="00867D3A">
            <w:pPr>
              <w:pStyle w:val="TAC"/>
            </w:pPr>
          </w:p>
        </w:tc>
      </w:tr>
      <w:tr w:rsidR="00885F53" w:rsidRPr="009C5807" w14:paraId="3D1E5109" w14:textId="77777777" w:rsidTr="00867D3A">
        <w:trPr>
          <w:trHeight w:val="140"/>
        </w:trPr>
        <w:tc>
          <w:tcPr>
            <w:tcW w:w="817" w:type="dxa"/>
            <w:shd w:val="clear" w:color="auto" w:fill="auto"/>
            <w:noWrap/>
            <w:vAlign w:val="center"/>
          </w:tcPr>
          <w:p w14:paraId="3E7F8BD3" w14:textId="77777777" w:rsidR="00E93D6B" w:rsidRPr="009C5807" w:rsidRDefault="00E93D6B" w:rsidP="00867D3A">
            <w:pPr>
              <w:pStyle w:val="TAC"/>
            </w:pPr>
            <w:r w:rsidRPr="009C5807">
              <w:t>Y</w:t>
            </w:r>
          </w:p>
        </w:tc>
        <w:tc>
          <w:tcPr>
            <w:tcW w:w="3119" w:type="dxa"/>
            <w:shd w:val="clear" w:color="auto" w:fill="auto"/>
          </w:tcPr>
          <w:p w14:paraId="3E23F339" w14:textId="77777777" w:rsidR="00E93D6B" w:rsidRPr="009C5807" w:rsidRDefault="00E93D6B" w:rsidP="00867D3A">
            <w:pPr>
              <w:pStyle w:val="TAC"/>
            </w:pPr>
            <w:r w:rsidRPr="009C5807">
              <w:t>NR_TDD_FR2_Y</w:t>
            </w:r>
          </w:p>
        </w:tc>
        <w:tc>
          <w:tcPr>
            <w:tcW w:w="3260" w:type="dxa"/>
            <w:shd w:val="clear" w:color="auto" w:fill="auto"/>
            <w:noWrap/>
            <w:vAlign w:val="center"/>
          </w:tcPr>
          <w:p w14:paraId="043695D2" w14:textId="77777777" w:rsidR="00E93D6B" w:rsidRPr="009C5807" w:rsidRDefault="00E93D6B" w:rsidP="00867D3A">
            <w:pPr>
              <w:pStyle w:val="TAC"/>
            </w:pPr>
            <w:r w:rsidRPr="009C5807">
              <w:t>n260</w:t>
            </w:r>
            <w:r w:rsidRPr="009C5807">
              <w:rPr>
                <w:vertAlign w:val="superscript"/>
              </w:rPr>
              <w:t>3</w:t>
            </w:r>
          </w:p>
        </w:tc>
      </w:tr>
      <w:tr w:rsidR="00EF1B4E" w:rsidRPr="009C5807" w14:paraId="30CB2B7B" w14:textId="77777777" w:rsidTr="00867D3A">
        <w:trPr>
          <w:trHeight w:val="140"/>
        </w:trPr>
        <w:tc>
          <w:tcPr>
            <w:tcW w:w="817" w:type="dxa"/>
            <w:shd w:val="clear" w:color="auto" w:fill="auto"/>
            <w:noWrap/>
            <w:vAlign w:val="center"/>
          </w:tcPr>
          <w:p w14:paraId="2E499579" w14:textId="59B04439" w:rsidR="00EF1B4E" w:rsidRPr="009C5807" w:rsidRDefault="00EF1B4E" w:rsidP="00EF1B4E">
            <w:pPr>
              <w:pStyle w:val="TAC"/>
            </w:pPr>
            <w:r>
              <w:t>Z</w:t>
            </w:r>
          </w:p>
        </w:tc>
        <w:tc>
          <w:tcPr>
            <w:tcW w:w="3119" w:type="dxa"/>
            <w:shd w:val="clear" w:color="auto" w:fill="auto"/>
          </w:tcPr>
          <w:p w14:paraId="57F812E8" w14:textId="281F1CB6" w:rsidR="00EF1B4E" w:rsidRPr="009C5807" w:rsidRDefault="00EF1B4E" w:rsidP="00EF1B4E">
            <w:pPr>
              <w:pStyle w:val="TAC"/>
            </w:pPr>
            <w:r w:rsidRPr="00885F53">
              <w:t>NR_TDD_FR2_</w:t>
            </w:r>
            <w:r w:rsidR="00B730A0">
              <w:t>Z</w:t>
            </w:r>
          </w:p>
        </w:tc>
        <w:tc>
          <w:tcPr>
            <w:tcW w:w="3260" w:type="dxa"/>
            <w:shd w:val="clear" w:color="auto" w:fill="auto"/>
            <w:noWrap/>
            <w:vAlign w:val="center"/>
          </w:tcPr>
          <w:p w14:paraId="62FA20DA" w14:textId="3AD9E13C" w:rsidR="00EF1B4E" w:rsidRPr="009C5807" w:rsidRDefault="00C22107" w:rsidP="001432B1">
            <w:pPr>
              <w:pStyle w:val="TAC"/>
            </w:pPr>
            <w:r w:rsidRPr="009C5807">
              <w:t>n257</w:t>
            </w:r>
            <w:r>
              <w:rPr>
                <w:vertAlign w:val="superscript"/>
              </w:rPr>
              <w:t>7</w:t>
            </w:r>
            <w:r>
              <w:t xml:space="preserve">, </w:t>
            </w:r>
            <w:r w:rsidRPr="009C5807">
              <w:t>n25</w:t>
            </w:r>
            <w:r>
              <w:t>8</w:t>
            </w:r>
            <w:r>
              <w:rPr>
                <w:vertAlign w:val="superscript"/>
              </w:rPr>
              <w:t>7</w:t>
            </w:r>
            <w:r>
              <w:t xml:space="preserve">, </w:t>
            </w:r>
            <w:r w:rsidRPr="009C5807">
              <w:t>n2</w:t>
            </w:r>
            <w:r>
              <w:t>61</w:t>
            </w:r>
            <w:r>
              <w:rPr>
                <w:vertAlign w:val="superscript"/>
              </w:rPr>
              <w:t>7</w:t>
            </w:r>
          </w:p>
        </w:tc>
      </w:tr>
      <w:tr w:rsidR="00EF1B4E" w:rsidRPr="009C5807" w14:paraId="69BF63B9" w14:textId="77777777" w:rsidTr="00867D3A">
        <w:trPr>
          <w:trHeight w:val="140"/>
        </w:trPr>
        <w:tc>
          <w:tcPr>
            <w:tcW w:w="817" w:type="dxa"/>
            <w:shd w:val="clear" w:color="auto" w:fill="auto"/>
            <w:noWrap/>
            <w:vAlign w:val="center"/>
          </w:tcPr>
          <w:p w14:paraId="7D4FD0D1" w14:textId="67E86993" w:rsidR="00EF1B4E" w:rsidRPr="00E17676" w:rsidRDefault="00EF1B4E" w:rsidP="00EF1B4E">
            <w:pPr>
              <w:pStyle w:val="TAC"/>
            </w:pPr>
            <w:r w:rsidRPr="00E17676">
              <w:rPr>
                <w:lang w:eastAsia="ko-KR"/>
              </w:rPr>
              <w:t>AA</w:t>
            </w:r>
          </w:p>
        </w:tc>
        <w:tc>
          <w:tcPr>
            <w:tcW w:w="3119" w:type="dxa"/>
            <w:shd w:val="clear" w:color="auto" w:fill="auto"/>
          </w:tcPr>
          <w:p w14:paraId="7A0AD889" w14:textId="5A270D0F" w:rsidR="00EF1B4E" w:rsidRPr="00E17676" w:rsidRDefault="00EF1B4E" w:rsidP="00EF1B4E">
            <w:pPr>
              <w:pStyle w:val="TAC"/>
            </w:pPr>
            <w:r w:rsidRPr="00E17676">
              <w:rPr>
                <w:lang w:eastAsia="ko-KR"/>
              </w:rPr>
              <w:t>NR_TDD_FR2_AA</w:t>
            </w:r>
          </w:p>
        </w:tc>
        <w:tc>
          <w:tcPr>
            <w:tcW w:w="3260" w:type="dxa"/>
            <w:shd w:val="clear" w:color="auto" w:fill="auto"/>
            <w:noWrap/>
            <w:vAlign w:val="center"/>
          </w:tcPr>
          <w:p w14:paraId="0D21EE4B" w14:textId="272CDE6E" w:rsidR="00EF1B4E" w:rsidRPr="00E17676" w:rsidRDefault="00EF1B4E" w:rsidP="00EF1B4E">
            <w:pPr>
              <w:pStyle w:val="TAC"/>
            </w:pPr>
            <w:r w:rsidRPr="00E17676">
              <w:rPr>
                <w:lang w:eastAsia="ko-KR"/>
              </w:rPr>
              <w:t>n259</w:t>
            </w:r>
            <w:r w:rsidRPr="00E17676">
              <w:rPr>
                <w:vertAlign w:val="superscript"/>
                <w:lang w:eastAsia="ko-KR"/>
              </w:rPr>
              <w:t>3</w:t>
            </w:r>
          </w:p>
        </w:tc>
      </w:tr>
      <w:tr w:rsidR="0005273A" w:rsidRPr="009C5807" w14:paraId="5DD83FD0" w14:textId="77777777" w:rsidTr="00867D3A">
        <w:trPr>
          <w:trHeight w:val="140"/>
        </w:trPr>
        <w:tc>
          <w:tcPr>
            <w:tcW w:w="817" w:type="dxa"/>
            <w:shd w:val="clear" w:color="auto" w:fill="auto"/>
            <w:noWrap/>
            <w:vAlign w:val="center"/>
          </w:tcPr>
          <w:p w14:paraId="5AE41FBF" w14:textId="2737BB5A" w:rsidR="0005273A" w:rsidRPr="00E17676" w:rsidRDefault="0005273A" w:rsidP="0005273A">
            <w:pPr>
              <w:pStyle w:val="TAC"/>
              <w:rPr>
                <w:lang w:eastAsia="ko-KR"/>
              </w:rPr>
            </w:pPr>
            <w:r>
              <w:rPr>
                <w:lang w:eastAsia="ko-KR"/>
              </w:rPr>
              <w:t>AB</w:t>
            </w:r>
          </w:p>
        </w:tc>
        <w:tc>
          <w:tcPr>
            <w:tcW w:w="3119" w:type="dxa"/>
            <w:shd w:val="clear" w:color="auto" w:fill="auto"/>
          </w:tcPr>
          <w:p w14:paraId="7CA2C237" w14:textId="201B2F5C" w:rsidR="0005273A" w:rsidRPr="00E17676" w:rsidRDefault="0005273A" w:rsidP="0005273A">
            <w:pPr>
              <w:pStyle w:val="TAC"/>
              <w:rPr>
                <w:lang w:eastAsia="ko-KR"/>
              </w:rPr>
            </w:pPr>
            <w:r w:rsidRPr="00E17676">
              <w:rPr>
                <w:lang w:eastAsia="ko-KR"/>
              </w:rPr>
              <w:t>NR_TDD_FR2_A</w:t>
            </w:r>
            <w:r>
              <w:rPr>
                <w:lang w:eastAsia="ko-KR"/>
              </w:rPr>
              <w:t>B</w:t>
            </w:r>
          </w:p>
        </w:tc>
        <w:tc>
          <w:tcPr>
            <w:tcW w:w="3260" w:type="dxa"/>
            <w:shd w:val="clear" w:color="auto" w:fill="auto"/>
            <w:noWrap/>
            <w:vAlign w:val="center"/>
          </w:tcPr>
          <w:p w14:paraId="0B01C466" w14:textId="77777777" w:rsidR="0005273A" w:rsidRPr="00E17676" w:rsidRDefault="0005273A" w:rsidP="0005273A">
            <w:pPr>
              <w:pStyle w:val="TAC"/>
              <w:rPr>
                <w:lang w:eastAsia="ko-KR"/>
              </w:rPr>
            </w:pPr>
          </w:p>
        </w:tc>
      </w:tr>
      <w:tr w:rsidR="0005273A" w:rsidRPr="009C5807" w14:paraId="76EAB3CD" w14:textId="77777777" w:rsidTr="00867D3A">
        <w:trPr>
          <w:trHeight w:val="140"/>
        </w:trPr>
        <w:tc>
          <w:tcPr>
            <w:tcW w:w="817" w:type="dxa"/>
            <w:shd w:val="clear" w:color="auto" w:fill="auto"/>
            <w:noWrap/>
            <w:vAlign w:val="center"/>
          </w:tcPr>
          <w:p w14:paraId="45128985" w14:textId="4DF490B9" w:rsidR="0005273A" w:rsidRPr="00E17676" w:rsidRDefault="0005273A" w:rsidP="0005273A">
            <w:pPr>
              <w:pStyle w:val="TAC"/>
              <w:rPr>
                <w:lang w:eastAsia="ko-KR"/>
              </w:rPr>
            </w:pPr>
            <w:r>
              <w:rPr>
                <w:lang w:eastAsia="ko-KR"/>
              </w:rPr>
              <w:t>AC</w:t>
            </w:r>
          </w:p>
        </w:tc>
        <w:tc>
          <w:tcPr>
            <w:tcW w:w="3119" w:type="dxa"/>
            <w:shd w:val="clear" w:color="auto" w:fill="auto"/>
          </w:tcPr>
          <w:p w14:paraId="73327DB8" w14:textId="3A60DACE" w:rsidR="0005273A" w:rsidRPr="00E17676" w:rsidRDefault="0005273A" w:rsidP="0005273A">
            <w:pPr>
              <w:pStyle w:val="TAC"/>
              <w:rPr>
                <w:lang w:eastAsia="ko-KR"/>
              </w:rPr>
            </w:pPr>
            <w:r w:rsidRPr="00E17676">
              <w:rPr>
                <w:lang w:eastAsia="ko-KR"/>
              </w:rPr>
              <w:t>NR_TDD_FR2_A</w:t>
            </w:r>
            <w:r>
              <w:rPr>
                <w:lang w:eastAsia="ko-KR"/>
              </w:rPr>
              <w:t>C</w:t>
            </w:r>
          </w:p>
        </w:tc>
        <w:tc>
          <w:tcPr>
            <w:tcW w:w="3260" w:type="dxa"/>
            <w:shd w:val="clear" w:color="auto" w:fill="auto"/>
            <w:noWrap/>
            <w:vAlign w:val="center"/>
          </w:tcPr>
          <w:p w14:paraId="730DE3D7" w14:textId="77777777" w:rsidR="0005273A" w:rsidRPr="00E17676" w:rsidRDefault="0005273A" w:rsidP="0005273A">
            <w:pPr>
              <w:pStyle w:val="TAC"/>
              <w:rPr>
                <w:lang w:eastAsia="ko-KR"/>
              </w:rPr>
            </w:pPr>
          </w:p>
        </w:tc>
      </w:tr>
      <w:tr w:rsidR="0005273A" w:rsidRPr="009C5807" w14:paraId="68708FB4" w14:textId="77777777" w:rsidTr="00867D3A">
        <w:trPr>
          <w:trHeight w:val="140"/>
        </w:trPr>
        <w:tc>
          <w:tcPr>
            <w:tcW w:w="817" w:type="dxa"/>
            <w:shd w:val="clear" w:color="auto" w:fill="auto"/>
            <w:noWrap/>
            <w:vAlign w:val="center"/>
          </w:tcPr>
          <w:p w14:paraId="076B3BBC" w14:textId="30B6E342" w:rsidR="0005273A" w:rsidRPr="00E17676" w:rsidRDefault="0005273A" w:rsidP="0005273A">
            <w:pPr>
              <w:pStyle w:val="TAC"/>
              <w:rPr>
                <w:lang w:eastAsia="ko-KR"/>
              </w:rPr>
            </w:pPr>
            <w:r>
              <w:rPr>
                <w:lang w:eastAsia="ko-KR"/>
              </w:rPr>
              <w:t>AD</w:t>
            </w:r>
          </w:p>
        </w:tc>
        <w:tc>
          <w:tcPr>
            <w:tcW w:w="3119" w:type="dxa"/>
            <w:shd w:val="clear" w:color="auto" w:fill="auto"/>
          </w:tcPr>
          <w:p w14:paraId="37DF46FB" w14:textId="73392D52" w:rsidR="0005273A" w:rsidRPr="00E17676" w:rsidRDefault="0005273A" w:rsidP="0005273A">
            <w:pPr>
              <w:pStyle w:val="TAC"/>
              <w:rPr>
                <w:lang w:eastAsia="ko-KR"/>
              </w:rPr>
            </w:pPr>
            <w:r w:rsidRPr="00E17676">
              <w:rPr>
                <w:lang w:eastAsia="ko-KR"/>
              </w:rPr>
              <w:t>NR_TDD_FR2_A</w:t>
            </w:r>
            <w:r>
              <w:rPr>
                <w:lang w:eastAsia="ko-KR"/>
              </w:rPr>
              <w:t>D</w:t>
            </w:r>
          </w:p>
        </w:tc>
        <w:tc>
          <w:tcPr>
            <w:tcW w:w="3260" w:type="dxa"/>
            <w:shd w:val="clear" w:color="auto" w:fill="auto"/>
            <w:noWrap/>
            <w:vAlign w:val="center"/>
          </w:tcPr>
          <w:p w14:paraId="0BB2E10E" w14:textId="77777777" w:rsidR="0005273A" w:rsidRPr="00E17676" w:rsidRDefault="0005273A" w:rsidP="0005273A">
            <w:pPr>
              <w:pStyle w:val="TAC"/>
              <w:rPr>
                <w:lang w:eastAsia="ko-KR"/>
              </w:rPr>
            </w:pPr>
          </w:p>
        </w:tc>
      </w:tr>
      <w:tr w:rsidR="0005273A" w:rsidRPr="009C5807" w14:paraId="2023ECE1" w14:textId="77777777" w:rsidTr="00867D3A">
        <w:trPr>
          <w:trHeight w:val="140"/>
        </w:trPr>
        <w:tc>
          <w:tcPr>
            <w:tcW w:w="817" w:type="dxa"/>
            <w:shd w:val="clear" w:color="auto" w:fill="auto"/>
            <w:noWrap/>
            <w:vAlign w:val="center"/>
          </w:tcPr>
          <w:p w14:paraId="16864502" w14:textId="738C9487" w:rsidR="0005273A" w:rsidRPr="00E17676" w:rsidRDefault="0005273A" w:rsidP="0005273A">
            <w:pPr>
              <w:pStyle w:val="TAC"/>
              <w:rPr>
                <w:lang w:eastAsia="ko-KR"/>
              </w:rPr>
            </w:pPr>
            <w:r>
              <w:rPr>
                <w:lang w:eastAsia="ko-KR"/>
              </w:rPr>
              <w:t>AE</w:t>
            </w:r>
          </w:p>
        </w:tc>
        <w:tc>
          <w:tcPr>
            <w:tcW w:w="3119" w:type="dxa"/>
            <w:shd w:val="clear" w:color="auto" w:fill="auto"/>
          </w:tcPr>
          <w:p w14:paraId="381213D3" w14:textId="732AF50D" w:rsidR="0005273A" w:rsidRPr="00E17676" w:rsidRDefault="0005273A" w:rsidP="0005273A">
            <w:pPr>
              <w:pStyle w:val="TAC"/>
              <w:rPr>
                <w:lang w:eastAsia="ko-KR"/>
              </w:rPr>
            </w:pPr>
            <w:r w:rsidRPr="00E17676">
              <w:rPr>
                <w:lang w:eastAsia="ko-KR"/>
              </w:rPr>
              <w:t>NR_TDD_FR2_A</w:t>
            </w:r>
            <w:r>
              <w:rPr>
                <w:lang w:eastAsia="ko-KR"/>
              </w:rPr>
              <w:t>E</w:t>
            </w:r>
          </w:p>
        </w:tc>
        <w:tc>
          <w:tcPr>
            <w:tcW w:w="3260" w:type="dxa"/>
            <w:shd w:val="clear" w:color="auto" w:fill="auto"/>
            <w:noWrap/>
            <w:vAlign w:val="center"/>
          </w:tcPr>
          <w:p w14:paraId="288F650A" w14:textId="5207F739" w:rsidR="0005273A" w:rsidRPr="00E17676" w:rsidRDefault="0005273A" w:rsidP="0005273A">
            <w:pPr>
              <w:pStyle w:val="TAC"/>
              <w:rPr>
                <w:lang w:eastAsia="ko-KR"/>
              </w:rPr>
            </w:pPr>
            <w:r w:rsidRPr="00E17676">
              <w:rPr>
                <w:lang w:eastAsia="ko-KR"/>
              </w:rPr>
              <w:t>n2</w:t>
            </w:r>
            <w:r>
              <w:rPr>
                <w:lang w:eastAsia="ko-KR"/>
              </w:rPr>
              <w:t>62</w:t>
            </w:r>
            <w:r w:rsidRPr="00E17676">
              <w:rPr>
                <w:vertAlign w:val="superscript"/>
                <w:lang w:eastAsia="ko-KR"/>
              </w:rPr>
              <w:t>3</w:t>
            </w:r>
          </w:p>
        </w:tc>
      </w:tr>
      <w:tr w:rsidR="00E93D6B" w:rsidRPr="009C5807" w14:paraId="42C5DC20" w14:textId="77777777" w:rsidTr="00867D3A">
        <w:trPr>
          <w:trHeight w:val="858"/>
        </w:trPr>
        <w:tc>
          <w:tcPr>
            <w:tcW w:w="7196" w:type="dxa"/>
            <w:gridSpan w:val="3"/>
            <w:shd w:val="clear" w:color="auto" w:fill="auto"/>
          </w:tcPr>
          <w:p w14:paraId="4F17A581" w14:textId="77777777" w:rsidR="00E93D6B" w:rsidRPr="009C5807" w:rsidRDefault="00E93D6B" w:rsidP="00867D3A">
            <w:pPr>
              <w:pStyle w:val="TAN"/>
            </w:pPr>
            <w:r w:rsidRPr="009C5807">
              <w:t>NOTE 1:</w:t>
            </w:r>
            <w:r w:rsidRPr="009C5807">
              <w:rPr>
                <w:lang w:val="en-US" w:eastAsia="ko-KR"/>
              </w:rPr>
              <w:tab/>
            </w:r>
            <w:r w:rsidRPr="009C5807">
              <w:t>UE power class 1.</w:t>
            </w:r>
          </w:p>
          <w:p w14:paraId="59351A88" w14:textId="77777777" w:rsidR="00E93D6B" w:rsidRPr="009C5807" w:rsidRDefault="00E93D6B" w:rsidP="00867D3A">
            <w:pPr>
              <w:pStyle w:val="TAN"/>
            </w:pPr>
            <w:r w:rsidRPr="009C5807">
              <w:t>NOTE 2:</w:t>
            </w:r>
            <w:r w:rsidRPr="009C5807">
              <w:rPr>
                <w:lang w:val="en-US" w:eastAsia="ko-KR"/>
              </w:rPr>
              <w:tab/>
            </w:r>
            <w:r w:rsidRPr="009C5807">
              <w:t>UE power class 2.</w:t>
            </w:r>
          </w:p>
          <w:p w14:paraId="6547B6FC" w14:textId="77777777" w:rsidR="00E93D6B" w:rsidRPr="009C5807" w:rsidRDefault="00E93D6B" w:rsidP="00867D3A">
            <w:pPr>
              <w:pStyle w:val="TAN"/>
            </w:pPr>
            <w:r w:rsidRPr="009C5807">
              <w:t>NOTE 3:</w:t>
            </w:r>
            <w:r w:rsidRPr="009C5807">
              <w:rPr>
                <w:lang w:val="en-US" w:eastAsia="ko-KR"/>
              </w:rPr>
              <w:tab/>
            </w:r>
            <w:r w:rsidRPr="009C5807">
              <w:t>UE power class 3.</w:t>
            </w:r>
          </w:p>
          <w:p w14:paraId="369B97E7" w14:textId="77777777" w:rsidR="00D7398B" w:rsidRDefault="00E93D6B" w:rsidP="00D7398B">
            <w:pPr>
              <w:pStyle w:val="TAN"/>
            </w:pPr>
            <w:r w:rsidRPr="009C5807">
              <w:t>NOTE 4:</w:t>
            </w:r>
            <w:r w:rsidRPr="009C5807">
              <w:rPr>
                <w:lang w:val="en-US" w:eastAsia="ko-KR"/>
              </w:rPr>
              <w:tab/>
            </w:r>
            <w:r w:rsidRPr="009C5807">
              <w:t>UE power class 4.</w:t>
            </w:r>
          </w:p>
          <w:p w14:paraId="430CFA83" w14:textId="22B69313" w:rsidR="00C22107" w:rsidRDefault="00D7398B" w:rsidP="00D7398B">
            <w:pPr>
              <w:pStyle w:val="TAN"/>
            </w:pPr>
            <w:r w:rsidRPr="009C5807">
              <w:t xml:space="preserve">NOTE </w:t>
            </w:r>
            <w:r>
              <w:t>5</w:t>
            </w:r>
            <w:r w:rsidRPr="009C5807">
              <w:t>:</w:t>
            </w:r>
            <w:r w:rsidRPr="009C5807">
              <w:rPr>
                <w:lang w:val="en-US" w:eastAsia="ko-KR"/>
              </w:rPr>
              <w:tab/>
            </w:r>
            <w:r w:rsidRPr="009C5807">
              <w:t xml:space="preserve">UE power class </w:t>
            </w:r>
            <w:r>
              <w:t>5</w:t>
            </w:r>
            <w:r w:rsidRPr="009C5807">
              <w:t>.</w:t>
            </w:r>
          </w:p>
          <w:p w14:paraId="7A0F2CBD" w14:textId="6F6C2439" w:rsidR="001432B1" w:rsidRDefault="001432B1" w:rsidP="00D7398B">
            <w:pPr>
              <w:pStyle w:val="TAN"/>
            </w:pPr>
            <w:r>
              <w:t>NOTE 6:</w:t>
            </w:r>
            <w:r w:rsidRPr="009C5807">
              <w:rPr>
                <w:lang w:val="en-US" w:eastAsia="ko-KR"/>
              </w:rPr>
              <w:tab/>
            </w:r>
            <w:r w:rsidRPr="009C5807">
              <w:t xml:space="preserve">UE power class </w:t>
            </w:r>
            <w:r>
              <w:t>6</w:t>
            </w:r>
            <w:r w:rsidRPr="009C5807">
              <w:t>.</w:t>
            </w:r>
          </w:p>
          <w:p w14:paraId="0B43CAC0" w14:textId="5C9B0B4A" w:rsidR="00E93D6B" w:rsidRPr="009C5807" w:rsidRDefault="00C22107" w:rsidP="00D7398B">
            <w:pPr>
              <w:pStyle w:val="TAN"/>
            </w:pPr>
            <w:r w:rsidRPr="009C5807">
              <w:t xml:space="preserve">NOTE </w:t>
            </w:r>
            <w:r>
              <w:t>7</w:t>
            </w:r>
            <w:r w:rsidRPr="009C5807">
              <w:t>:</w:t>
            </w:r>
            <w:r w:rsidRPr="00AF5628">
              <w:rPr>
                <w:lang w:eastAsia="en-US"/>
              </w:rPr>
              <w:tab/>
            </w:r>
            <w:r w:rsidRPr="009C5807">
              <w:t xml:space="preserve">UE power class </w:t>
            </w:r>
            <w:r>
              <w:t>7</w:t>
            </w:r>
            <w:r w:rsidRPr="009C5807">
              <w:t>.</w:t>
            </w:r>
          </w:p>
        </w:tc>
      </w:tr>
    </w:tbl>
    <w:p w14:paraId="3B9A9031" w14:textId="77777777" w:rsidR="00E93D6B" w:rsidRPr="009C5807" w:rsidRDefault="00E93D6B" w:rsidP="00E93D6B"/>
    <w:p w14:paraId="339A761A" w14:textId="77777777" w:rsidR="00E93D6B" w:rsidRPr="009C5807" w:rsidRDefault="00E93D6B" w:rsidP="00E93D6B">
      <w:pPr>
        <w:pStyle w:val="Heading2"/>
      </w:pPr>
      <w:r w:rsidRPr="009C5807">
        <w:t>3.6</w:t>
      </w:r>
      <w:r w:rsidRPr="009C5807">
        <w:tab/>
        <w:t>Applicability of requirements in this specification version</w:t>
      </w:r>
      <w:bookmarkEnd w:id="20"/>
    </w:p>
    <w:p w14:paraId="47B1962A" w14:textId="77777777" w:rsidR="00E93D6B" w:rsidRPr="009C5807" w:rsidRDefault="00E93D6B" w:rsidP="00E93D6B">
      <w:pPr>
        <w:ind w:left="284" w:hanging="284"/>
      </w:pPr>
      <w:r w:rsidRPr="009C5807">
        <w:t>In this specification,</w:t>
      </w:r>
    </w:p>
    <w:p w14:paraId="02DAB77B" w14:textId="77777777" w:rsidR="00E93D6B" w:rsidRPr="009C5807" w:rsidRDefault="00E93D6B" w:rsidP="003B346B">
      <w:pPr>
        <w:pStyle w:val="B10"/>
        <w:rPr>
          <w:lang w:eastAsia="ko-KR"/>
        </w:rPr>
      </w:pPr>
      <w:r w:rsidRPr="009C5807">
        <w:rPr>
          <w:lang w:eastAsia="ko-KR"/>
        </w:rPr>
        <w:t>-</w:t>
      </w:r>
      <w:r w:rsidRPr="009C5807">
        <w:rPr>
          <w:lang w:eastAsia="ko-KR"/>
        </w:rPr>
        <w:tab/>
        <w:t>‘cell’, ‘PCell’, ‘PSCell’ and ‘SCell’ refer to NR cell, NR PCell, NR PSCell, and NR SCell,</w:t>
      </w:r>
    </w:p>
    <w:p w14:paraId="1BBDA494" w14:textId="77777777" w:rsidR="00E93D6B" w:rsidRPr="009C5807" w:rsidRDefault="00E93D6B" w:rsidP="003B346B">
      <w:pPr>
        <w:pStyle w:val="B10"/>
        <w:rPr>
          <w:lang w:eastAsia="ko-KR"/>
        </w:rPr>
      </w:pPr>
      <w:r w:rsidRPr="009C5807">
        <w:rPr>
          <w:lang w:eastAsia="ko-KR"/>
        </w:rPr>
        <w:t>-</w:t>
      </w:r>
      <w:r w:rsidRPr="009C5807">
        <w:rPr>
          <w:lang w:eastAsia="ko-KR"/>
        </w:rPr>
        <w:tab/>
        <w:t>E-UTRA cells are referred to as ‘E-UTRA cell’, ‘E-UTRA PCell’, ‘E-UTRA PSCell’, and ‘E-UTRA SCell’,</w:t>
      </w:r>
    </w:p>
    <w:p w14:paraId="555F92C4" w14:textId="77777777" w:rsidR="00E93D6B" w:rsidRPr="009C5807" w:rsidRDefault="00E93D6B" w:rsidP="003B346B">
      <w:pPr>
        <w:pStyle w:val="B10"/>
        <w:rPr>
          <w:lang w:eastAsia="zh-CN"/>
        </w:rPr>
      </w:pPr>
      <w:r w:rsidRPr="009C5807">
        <w:rPr>
          <w:lang w:eastAsia="ko-KR"/>
        </w:rPr>
        <w:t>-</w:t>
      </w:r>
      <w:r w:rsidRPr="009C5807">
        <w:rPr>
          <w:lang w:eastAsia="ko-KR"/>
        </w:rPr>
        <w:tab/>
        <w:t>E-UTRA-NR dual connectivity where E-UTRA is the master is referred to as ‘E-UTRA-NR dual connectivity’ or ‘EN-DC’.</w:t>
      </w:r>
    </w:p>
    <w:p w14:paraId="4E8E413E" w14:textId="77777777" w:rsidR="00E93D6B" w:rsidRPr="009C5807" w:rsidRDefault="00E93D6B" w:rsidP="003B346B">
      <w:pPr>
        <w:pStyle w:val="B10"/>
        <w:rPr>
          <w:lang w:eastAsia="zh-CN"/>
        </w:rPr>
      </w:pPr>
      <w:r w:rsidRPr="009C5807">
        <w:rPr>
          <w:lang w:eastAsia="ko-KR"/>
        </w:rPr>
        <w:t>-</w:t>
      </w:r>
      <w:r w:rsidRPr="009C5807">
        <w:rPr>
          <w:lang w:eastAsia="ko-KR"/>
        </w:rPr>
        <w:tab/>
      </w:r>
      <w:r w:rsidRPr="009C5807">
        <w:rPr>
          <w:lang w:eastAsia="zh-CN"/>
        </w:rPr>
        <w:t>NR-NR dual connectivity which involves two gNB acting as Master gNB and Secondary gNB is referred to as “NR-NR dual connectivity” or “NR-DC”. NR-DC in Rel-15 only includes the scenarios where all serving cells in MCG in FR1 and all serving cells in SCG in FR2.</w:t>
      </w:r>
    </w:p>
    <w:p w14:paraId="4269D1C6" w14:textId="77777777" w:rsidR="00E93D6B" w:rsidRPr="009C5807" w:rsidRDefault="00E93D6B" w:rsidP="003B346B">
      <w:pPr>
        <w:pStyle w:val="B10"/>
        <w:rPr>
          <w:lang w:eastAsia="zh-CN"/>
        </w:rPr>
      </w:pPr>
      <w:r w:rsidRPr="009C5807">
        <w:rPr>
          <w:lang w:eastAsia="zh-CN"/>
        </w:rPr>
        <w:t>-</w:t>
      </w:r>
      <w:r w:rsidRPr="009C5807">
        <w:rPr>
          <w:lang w:eastAsia="zh-CN"/>
        </w:rPr>
        <w:tab/>
        <w:t xml:space="preserve">‘active serving cell’ refers to </w:t>
      </w:r>
      <w:bookmarkStart w:id="22" w:name="_Hlk8834819"/>
      <w:r w:rsidRPr="009C5807">
        <w:rPr>
          <w:lang w:eastAsia="zh-CN"/>
        </w:rPr>
        <w:t>PCell, PSCell and activated SCells</w:t>
      </w:r>
      <w:bookmarkEnd w:id="22"/>
    </w:p>
    <w:p w14:paraId="4F0B3A96" w14:textId="7D8C8A3B" w:rsidR="000D5EEF" w:rsidRPr="000D5EEF" w:rsidRDefault="00E93D6B" w:rsidP="000D5EEF">
      <w:r w:rsidRPr="009C5807">
        <w:t>For UE configured with supplementary UL, the requirements in clause 7.1 and 7.3 shall also apply to uplink transmissions on supplementary UL.</w:t>
      </w:r>
    </w:p>
    <w:p w14:paraId="70A16222" w14:textId="139FF0F2" w:rsidR="00E93D6B" w:rsidRPr="000D5EEF" w:rsidRDefault="000D5EEF" w:rsidP="00E93D6B">
      <w:pPr>
        <w:rPr>
          <w:lang w:val="en-US"/>
        </w:rPr>
      </w:pPr>
      <w:r w:rsidRPr="000D5EEF">
        <w:t>Unless explictly stated, requirements do not apply when CCA is used on serving or neighbour cells.</w:t>
      </w:r>
    </w:p>
    <w:p w14:paraId="7A3E9DF2" w14:textId="77777777" w:rsidR="00E93D6B" w:rsidRPr="009C5807" w:rsidRDefault="00E93D6B" w:rsidP="00E93D6B">
      <w:pPr>
        <w:pStyle w:val="Heading3"/>
        <w:rPr>
          <w:lang w:val="en-US" w:eastAsia="ko-KR"/>
        </w:rPr>
      </w:pPr>
      <w:bookmarkStart w:id="23" w:name="_Toc5952525"/>
      <w:bookmarkEnd w:id="21"/>
      <w:r w:rsidRPr="009C5807">
        <w:rPr>
          <w:lang w:val="en-US" w:eastAsia="ko-KR"/>
        </w:rPr>
        <w:t>3.6.1</w:t>
      </w:r>
      <w:r w:rsidRPr="009C5807">
        <w:rPr>
          <w:lang w:val="en-US" w:eastAsia="ko-KR"/>
        </w:rPr>
        <w:tab/>
        <w:t>RRC connected state requirements in DRX</w:t>
      </w:r>
    </w:p>
    <w:p w14:paraId="4F3E46D2" w14:textId="77777777" w:rsidR="00E93D6B" w:rsidRPr="009C5807" w:rsidRDefault="00E93D6B" w:rsidP="00E93D6B">
      <w:pPr>
        <w:rPr>
          <w:rFonts w:eastAsia="?? ??"/>
          <w:lang w:eastAsia="ko-KR"/>
        </w:rPr>
      </w:pPr>
      <w:r w:rsidRPr="009C5807">
        <w:rPr>
          <w:rFonts w:eastAsia="?? ??"/>
          <w:lang w:eastAsia="ko-KR"/>
        </w:rPr>
        <w:t>For the requirements in RRC connected state specified in this version of the specification, the UE shall assume that no DRX is used provided the following conditions are met:</w:t>
      </w:r>
    </w:p>
    <w:p w14:paraId="232FD483" w14:textId="77777777" w:rsidR="00E93D6B" w:rsidRPr="009C5807" w:rsidRDefault="00E93D6B" w:rsidP="00313A48">
      <w:pPr>
        <w:pStyle w:val="B10"/>
      </w:pPr>
      <w:r w:rsidRPr="009C5807">
        <w:t>-</w:t>
      </w:r>
      <w:r w:rsidRPr="009C5807">
        <w:tab/>
        <w:t>DRX parameters are not configured or</w:t>
      </w:r>
    </w:p>
    <w:p w14:paraId="7CF8607B" w14:textId="77777777" w:rsidR="00E93D6B" w:rsidRPr="009C5807" w:rsidRDefault="00E93D6B" w:rsidP="00313A48">
      <w:pPr>
        <w:pStyle w:val="B10"/>
      </w:pPr>
      <w:r w:rsidRPr="009C5807">
        <w:t>-</w:t>
      </w:r>
      <w:r w:rsidRPr="009C5807">
        <w:tab/>
        <w:t>DRX parameters are configured and</w:t>
      </w:r>
    </w:p>
    <w:p w14:paraId="5F9A460B" w14:textId="77777777" w:rsidR="00E93D6B" w:rsidRPr="009C5807" w:rsidRDefault="00E93D6B" w:rsidP="00E93D6B">
      <w:pPr>
        <w:pStyle w:val="B20"/>
        <w:rPr>
          <w:rFonts w:eastAsia="?? ??"/>
          <w:lang w:eastAsia="ko-KR"/>
        </w:rPr>
      </w:pPr>
      <w:r w:rsidRPr="009C5807">
        <w:rPr>
          <w:noProof/>
          <w:lang w:eastAsia="ko-KR"/>
        </w:rPr>
        <w:t>-</w:t>
      </w:r>
      <w:r w:rsidRPr="009C5807">
        <w:rPr>
          <w:noProof/>
          <w:lang w:eastAsia="ko-KR"/>
        </w:rPr>
        <w:tab/>
      </w:r>
      <w:r w:rsidRPr="009C5807">
        <w:rPr>
          <w:i/>
          <w:noProof/>
          <w:lang w:eastAsia="ko-KR"/>
        </w:rPr>
        <w:t>drx-InactivityTimer</w:t>
      </w:r>
      <w:r w:rsidRPr="009C5807">
        <w:rPr>
          <w:rFonts w:eastAsia="?? ??"/>
          <w:lang w:eastAsia="ko-KR"/>
        </w:rPr>
        <w:t xml:space="preserve"> is running or</w:t>
      </w:r>
    </w:p>
    <w:p w14:paraId="3C7DFB79" w14:textId="77777777" w:rsidR="00E93D6B" w:rsidRPr="009C5807" w:rsidRDefault="00E93D6B" w:rsidP="00E93D6B">
      <w:pPr>
        <w:pStyle w:val="B20"/>
        <w:rPr>
          <w:rFonts w:eastAsia="?? ??"/>
          <w:lang w:eastAsia="ko-KR"/>
        </w:rPr>
      </w:pPr>
      <w:r w:rsidRPr="009C5807">
        <w:rPr>
          <w:noProof/>
          <w:lang w:eastAsia="ko-KR"/>
        </w:rPr>
        <w:t>-</w:t>
      </w:r>
      <w:r w:rsidRPr="009C5807">
        <w:rPr>
          <w:noProof/>
          <w:lang w:eastAsia="ko-KR"/>
        </w:rPr>
        <w:tab/>
      </w:r>
      <w:r w:rsidRPr="009C5807">
        <w:rPr>
          <w:i/>
          <w:lang w:eastAsia="ko-KR"/>
        </w:rPr>
        <w:t>drx-RetransmissionTimerDL</w:t>
      </w:r>
      <w:r w:rsidRPr="009C5807">
        <w:rPr>
          <w:rFonts w:eastAsia="?? ??"/>
          <w:lang w:eastAsia="ko-KR"/>
        </w:rPr>
        <w:t xml:space="preserve"> is running or</w:t>
      </w:r>
    </w:p>
    <w:p w14:paraId="482524E0" w14:textId="77777777" w:rsidR="00E93D6B" w:rsidRPr="009C5807" w:rsidRDefault="00E93D6B" w:rsidP="00E93D6B">
      <w:pPr>
        <w:pStyle w:val="B20"/>
        <w:rPr>
          <w:rFonts w:eastAsia="?? ??"/>
          <w:lang w:eastAsia="ko-KR"/>
        </w:rPr>
      </w:pPr>
      <w:r w:rsidRPr="009C5807">
        <w:rPr>
          <w:noProof/>
          <w:lang w:eastAsia="ko-KR"/>
        </w:rPr>
        <w:t>-</w:t>
      </w:r>
      <w:r w:rsidRPr="009C5807">
        <w:rPr>
          <w:noProof/>
          <w:lang w:eastAsia="ko-KR"/>
        </w:rPr>
        <w:tab/>
      </w:r>
      <w:r w:rsidRPr="009C5807">
        <w:rPr>
          <w:i/>
          <w:lang w:eastAsia="ko-KR"/>
        </w:rPr>
        <w:t>drx-RetransmissionTimerUL</w:t>
      </w:r>
      <w:r w:rsidRPr="009C5807">
        <w:rPr>
          <w:rFonts w:eastAsia="?? ??"/>
          <w:i/>
          <w:lang w:eastAsia="ko-KR"/>
        </w:rPr>
        <w:t xml:space="preserve"> </w:t>
      </w:r>
      <w:r w:rsidRPr="009C5807">
        <w:rPr>
          <w:rFonts w:eastAsia="?? ??"/>
          <w:lang w:eastAsia="ko-KR"/>
        </w:rPr>
        <w:t>is running or</w:t>
      </w:r>
    </w:p>
    <w:p w14:paraId="54048FFF" w14:textId="77777777" w:rsidR="00E93D6B" w:rsidRPr="009C5807" w:rsidRDefault="00E93D6B" w:rsidP="00E93D6B">
      <w:pPr>
        <w:pStyle w:val="B20"/>
        <w:rPr>
          <w:rFonts w:eastAsia="?? ??"/>
          <w:lang w:eastAsia="ko-KR"/>
        </w:rPr>
      </w:pPr>
      <w:r w:rsidRPr="009C5807">
        <w:rPr>
          <w:noProof/>
          <w:lang w:eastAsia="ko-KR"/>
        </w:rPr>
        <w:t>-</w:t>
      </w:r>
      <w:r w:rsidRPr="009C5807">
        <w:rPr>
          <w:noProof/>
          <w:lang w:eastAsia="ko-KR"/>
        </w:rPr>
        <w:tab/>
      </w:r>
      <w:r w:rsidRPr="009C5807">
        <w:rPr>
          <w:i/>
          <w:noProof/>
          <w:lang w:eastAsia="ko-KR"/>
        </w:rPr>
        <w:t>ra-ContentionResolutionTimer</w:t>
      </w:r>
      <w:r w:rsidRPr="009C5807">
        <w:rPr>
          <w:noProof/>
          <w:lang w:eastAsia="ko-KR"/>
        </w:rPr>
        <w:t xml:space="preserve"> is running or</w:t>
      </w:r>
    </w:p>
    <w:p w14:paraId="4E1515AF" w14:textId="77777777" w:rsidR="00E93D6B" w:rsidRPr="009C5807" w:rsidRDefault="00E93D6B" w:rsidP="00E93D6B">
      <w:pPr>
        <w:pStyle w:val="B20"/>
        <w:rPr>
          <w:rFonts w:eastAsia="?? ??"/>
          <w:lang w:eastAsia="ko-KR"/>
        </w:rPr>
      </w:pPr>
      <w:r w:rsidRPr="009C5807">
        <w:rPr>
          <w:noProof/>
          <w:lang w:eastAsia="ko-KR"/>
        </w:rPr>
        <w:t>-</w:t>
      </w:r>
      <w:r w:rsidRPr="009C5807">
        <w:rPr>
          <w:noProof/>
          <w:lang w:eastAsia="ko-KR"/>
        </w:rPr>
        <w:tab/>
        <w:t>a Scheduling Request sent on PUCCH is pending or</w:t>
      </w:r>
    </w:p>
    <w:p w14:paraId="19EDB192" w14:textId="77777777" w:rsidR="00E93D6B" w:rsidRPr="009C5807" w:rsidRDefault="00E93D6B" w:rsidP="007750EF">
      <w:pPr>
        <w:pStyle w:val="B20"/>
        <w:rPr>
          <w:noProof/>
          <w:lang w:eastAsia="ko-KR"/>
        </w:rPr>
      </w:pPr>
      <w:r w:rsidRPr="009C5807">
        <w:rPr>
          <w:noProof/>
          <w:lang w:eastAsia="ko-KR"/>
        </w:rPr>
        <w:t>-</w:t>
      </w:r>
      <w:r w:rsidRPr="009C5807">
        <w:rPr>
          <w:noProof/>
          <w:lang w:eastAsia="ko-KR"/>
        </w:rPr>
        <w:tab/>
        <w:t>a PDCCH indicating a new transmission addressed to the C-RNTI of the MAC entity has not been received after successful reception of a Random Access Response for the preamble not selected by the MAC entity</w:t>
      </w:r>
    </w:p>
    <w:p w14:paraId="4EC1DD18" w14:textId="77777777" w:rsidR="00E93D6B" w:rsidRPr="009C5807" w:rsidRDefault="00E93D6B" w:rsidP="00E93D6B">
      <w:pPr>
        <w:rPr>
          <w:rFonts w:eastAsia="?? ??"/>
        </w:rPr>
      </w:pPr>
      <w:r w:rsidRPr="009C5807">
        <w:rPr>
          <w:rFonts w:eastAsia="?? ??"/>
          <w:lang w:eastAsia="ko-KR"/>
        </w:rPr>
        <w:t xml:space="preserve">Otherwise the UE shall assume that </w:t>
      </w:r>
      <w:r w:rsidRPr="009C5807">
        <w:rPr>
          <w:rFonts w:eastAsia="?? ??"/>
        </w:rPr>
        <w:t>DRX is used.</w:t>
      </w:r>
    </w:p>
    <w:p w14:paraId="7E4BBE40" w14:textId="77777777" w:rsidR="00E93D6B" w:rsidRPr="009C5807" w:rsidRDefault="00E93D6B" w:rsidP="00E93D6B">
      <w:pPr>
        <w:pStyle w:val="Heading3"/>
        <w:rPr>
          <w:lang w:val="en-US"/>
        </w:rPr>
      </w:pPr>
      <w:r w:rsidRPr="009C5807">
        <w:rPr>
          <w:lang w:val="en-US"/>
        </w:rPr>
        <w:t>3.6.2</w:t>
      </w:r>
      <w:r w:rsidRPr="009C5807">
        <w:rPr>
          <w:lang w:val="en-US"/>
        </w:rPr>
        <w:tab/>
        <w:t>Number of serving carriers</w:t>
      </w:r>
      <w:bookmarkEnd w:id="23"/>
    </w:p>
    <w:p w14:paraId="3ACEA9F7" w14:textId="77777777" w:rsidR="00E93D6B" w:rsidRPr="009C5807" w:rsidRDefault="00E93D6B" w:rsidP="00E93D6B">
      <w:pPr>
        <w:pStyle w:val="Heading4"/>
        <w:rPr>
          <w:lang w:val="en-US"/>
        </w:rPr>
      </w:pPr>
      <w:bookmarkStart w:id="24" w:name="_Toc5952526"/>
      <w:r w:rsidRPr="009C5807">
        <w:rPr>
          <w:lang w:val="en-US"/>
        </w:rPr>
        <w:t>3.6.2.1</w:t>
      </w:r>
      <w:r w:rsidRPr="009C5807">
        <w:rPr>
          <w:lang w:val="en-US"/>
        </w:rPr>
        <w:tab/>
        <w:t>Number of serving carriers for SA</w:t>
      </w:r>
      <w:bookmarkEnd w:id="24"/>
    </w:p>
    <w:p w14:paraId="255B475E" w14:textId="77777777" w:rsidR="00E93D6B" w:rsidRPr="009C5807" w:rsidRDefault="00E93D6B" w:rsidP="00E93D6B">
      <w:r w:rsidRPr="009C5807">
        <w:t>Requirements for standalone NR with NR PCell are applicable for the UE configured with the following number of serving NR CCs:</w:t>
      </w:r>
    </w:p>
    <w:p w14:paraId="407F9D21" w14:textId="37B8E556" w:rsidR="00EB3ABD" w:rsidRPr="009C5807" w:rsidRDefault="000F143A" w:rsidP="00EB3ABD">
      <w:pPr>
        <w:pStyle w:val="B10"/>
      </w:pPr>
      <w:r w:rsidRPr="00206593">
        <w:t>-</w:t>
      </w:r>
      <w:r w:rsidRPr="00206593">
        <w:tab/>
        <w:t xml:space="preserve">up to </w:t>
      </w:r>
      <w:r>
        <w:t>16</w:t>
      </w:r>
      <w:r w:rsidRPr="00206593">
        <w:t xml:space="preserve"> NR DL CCs in total, with 1 UL (</w:t>
      </w:r>
      <w:r w:rsidRPr="00206593">
        <w:rPr>
          <w:lang w:eastAsia="zh-CN"/>
        </w:rPr>
        <w:t xml:space="preserve">or 2 UL if SUL is configured) in </w:t>
      </w:r>
      <w:r w:rsidRPr="00206593">
        <w:t xml:space="preserve">PCell and up </w:t>
      </w:r>
      <w:r w:rsidRPr="00C9233E">
        <w:t>to 8</w:t>
      </w:r>
      <w:r w:rsidRPr="00206593">
        <w:t xml:space="preserve"> UL</w:t>
      </w:r>
      <w:r w:rsidRPr="00206593">
        <w:rPr>
          <w:lang w:eastAsia="zh-CN"/>
        </w:rPr>
        <w:t xml:space="preserve"> (or 9 UL if SUL is configured) in</w:t>
      </w:r>
      <w:r w:rsidRPr="00206593">
        <w:t xml:space="preserve"> total for SCells.</w:t>
      </w:r>
    </w:p>
    <w:p w14:paraId="212A1483" w14:textId="77777777" w:rsidR="00E93D6B" w:rsidRPr="009C5807" w:rsidRDefault="00E93D6B" w:rsidP="00E93D6B">
      <w:pPr>
        <w:pStyle w:val="B10"/>
      </w:pPr>
      <w:r w:rsidRPr="009C5807">
        <w:t>-</w:t>
      </w:r>
      <w:r w:rsidRPr="009C5807">
        <w:tab/>
        <w:t>SUL may be configured together with one of the UL</w:t>
      </w:r>
    </w:p>
    <w:p w14:paraId="6661A56D" w14:textId="77777777" w:rsidR="00E93D6B" w:rsidRPr="009C5807" w:rsidRDefault="00E93D6B" w:rsidP="00E93D6B">
      <w:pPr>
        <w:pStyle w:val="Heading4"/>
        <w:rPr>
          <w:lang w:val="en-US"/>
        </w:rPr>
      </w:pPr>
      <w:bookmarkStart w:id="25" w:name="_Toc526331583"/>
      <w:bookmarkStart w:id="26" w:name="_Toc5952528"/>
      <w:r w:rsidRPr="009C5807">
        <w:rPr>
          <w:lang w:val="en-US"/>
        </w:rPr>
        <w:t>3.6.2.2</w:t>
      </w:r>
      <w:r w:rsidRPr="009C5807">
        <w:rPr>
          <w:lang w:val="en-US"/>
        </w:rPr>
        <w:tab/>
        <w:t>Number of serving carriers for EN-DC</w:t>
      </w:r>
      <w:bookmarkEnd w:id="25"/>
    </w:p>
    <w:p w14:paraId="4B143D82" w14:textId="77777777" w:rsidR="00E93D6B" w:rsidRPr="009C5807" w:rsidRDefault="00E93D6B" w:rsidP="00E93D6B">
      <w:r w:rsidRPr="009C5807">
        <w:t>Requirements for EN-DC operation of E-UTRA and NR with E-UTRA PCell and NR PSCell are applicable for the UE configured with the following number of serving NR CCs:</w:t>
      </w:r>
    </w:p>
    <w:p w14:paraId="6B997713" w14:textId="78C4E373" w:rsidR="00EB3ABD" w:rsidRPr="0061111C" w:rsidRDefault="00EB3ABD" w:rsidP="00EC505B">
      <w:pPr>
        <w:pStyle w:val="B10"/>
        <w:rPr>
          <w:lang w:val="fr-FR"/>
        </w:rPr>
      </w:pPr>
      <w:r w:rsidRPr="0061111C">
        <w:rPr>
          <w:rFonts w:ascii="CG Times (WN)" w:hAnsi="CG Times (WN)"/>
          <w:lang w:val="fr-FR"/>
        </w:rPr>
        <w:t>-</w:t>
      </w:r>
      <w:r w:rsidRPr="0061111C">
        <w:rPr>
          <w:rFonts w:ascii="CG Times (WN)" w:hAnsi="CG Times (WN)"/>
          <w:lang w:val="fr-FR"/>
        </w:rPr>
        <w:tab/>
      </w:r>
      <w:r w:rsidRPr="0061111C">
        <w:rPr>
          <w:lang w:val="fr-FR"/>
        </w:rPr>
        <w:t xml:space="preserve">up to </w:t>
      </w:r>
      <w:r>
        <w:rPr>
          <w:lang w:val="fr-FR"/>
        </w:rPr>
        <w:t>9</w:t>
      </w:r>
      <w:r w:rsidRPr="0061111C">
        <w:rPr>
          <w:lang w:val="fr-FR"/>
        </w:rPr>
        <w:t xml:space="preserve"> NR DL CCs in total, with 1 UL (</w:t>
      </w:r>
      <w:r w:rsidRPr="0061111C">
        <w:rPr>
          <w:lang w:val="fr-FR" w:eastAsia="zh-CN"/>
        </w:rPr>
        <w:t xml:space="preserve">or 2 UL if SUL is configured) in </w:t>
      </w:r>
      <w:r w:rsidRPr="0061111C">
        <w:rPr>
          <w:lang w:val="fr-FR"/>
        </w:rPr>
        <w:t xml:space="preserve">PSCell, up to </w:t>
      </w:r>
      <w:r>
        <w:rPr>
          <w:lang w:val="fr-FR"/>
        </w:rPr>
        <w:t>7</w:t>
      </w:r>
      <w:r w:rsidRPr="0061111C">
        <w:rPr>
          <w:lang w:val="fr-FR"/>
        </w:rPr>
        <w:t xml:space="preserve"> UL</w:t>
      </w:r>
      <w:r w:rsidRPr="0061111C">
        <w:rPr>
          <w:lang w:val="fr-FR" w:eastAsia="zh-CN"/>
        </w:rPr>
        <w:t xml:space="preserve"> (or </w:t>
      </w:r>
      <w:r>
        <w:rPr>
          <w:lang w:val="fr-FR" w:eastAsia="zh-CN"/>
        </w:rPr>
        <w:t>8</w:t>
      </w:r>
      <w:r w:rsidRPr="0061111C">
        <w:rPr>
          <w:lang w:val="fr-FR" w:eastAsia="zh-CN"/>
        </w:rPr>
        <w:t xml:space="preserve"> UL if SUL is configured) in</w:t>
      </w:r>
      <w:r w:rsidRPr="0061111C">
        <w:rPr>
          <w:lang w:val="fr-FR"/>
        </w:rPr>
        <w:t xml:space="preserve"> </w:t>
      </w:r>
      <w:r>
        <w:rPr>
          <w:lang w:val="fr-FR"/>
        </w:rPr>
        <w:t xml:space="preserve">total for </w:t>
      </w:r>
      <w:r w:rsidRPr="0061111C">
        <w:rPr>
          <w:lang w:val="fr-FR"/>
        </w:rPr>
        <w:t>SCell</w:t>
      </w:r>
      <w:r>
        <w:rPr>
          <w:lang w:val="fr-FR"/>
        </w:rPr>
        <w:t>s</w:t>
      </w:r>
      <w:r w:rsidRPr="0061111C">
        <w:rPr>
          <w:lang w:val="fr-FR"/>
        </w:rPr>
        <w:t xml:space="preserve"> in the FR of PSCell and up to 1 UL</w:t>
      </w:r>
      <w:r w:rsidRPr="0061111C">
        <w:rPr>
          <w:lang w:val="fr-FR" w:eastAsia="zh-CN"/>
        </w:rPr>
        <w:t xml:space="preserve"> (or 2 UL if SUL is configured) in</w:t>
      </w:r>
      <w:r w:rsidRPr="0061111C">
        <w:rPr>
          <w:lang w:val="fr-FR"/>
        </w:rPr>
        <w:t xml:space="preserve"> SCell in different FR with PSCell.</w:t>
      </w:r>
    </w:p>
    <w:p w14:paraId="2ADD3264" w14:textId="77777777" w:rsidR="00E93D6B" w:rsidRPr="009C5807" w:rsidRDefault="00E93D6B" w:rsidP="00E93D6B">
      <w:pPr>
        <w:pStyle w:val="B10"/>
      </w:pPr>
      <w:r w:rsidRPr="009C5807">
        <w:t>-</w:t>
      </w:r>
      <w:r w:rsidRPr="009C5807">
        <w:tab/>
        <w:t>SUL may be configured together with one of the UL</w:t>
      </w:r>
    </w:p>
    <w:p w14:paraId="02E2EC77" w14:textId="77777777" w:rsidR="00E93D6B" w:rsidRPr="009C5807" w:rsidRDefault="00E93D6B" w:rsidP="00E93D6B">
      <w:pPr>
        <w:rPr>
          <w:noProof/>
        </w:rPr>
      </w:pPr>
      <w:r w:rsidRPr="009C5807">
        <w:rPr>
          <w:noProof/>
        </w:rPr>
        <w:t xml:space="preserve">The applicable number of E-UTRA CC for EN-DC in the MCG for both UL and DL is specified in </w:t>
      </w:r>
      <w:r w:rsidRPr="009C5807">
        <w:t>TS 36.133</w:t>
      </w:r>
      <w:r w:rsidRPr="009C5807">
        <w:rPr>
          <w:noProof/>
        </w:rPr>
        <w:t xml:space="preserve"> [15].</w:t>
      </w:r>
    </w:p>
    <w:p w14:paraId="5696454E" w14:textId="77777777" w:rsidR="00E93D6B" w:rsidRPr="009C5807" w:rsidRDefault="00E93D6B" w:rsidP="00E93D6B">
      <w:pPr>
        <w:pStyle w:val="Heading4"/>
        <w:rPr>
          <w:lang w:eastAsia="ko-KR"/>
        </w:rPr>
      </w:pPr>
      <w:r w:rsidRPr="009C5807">
        <w:rPr>
          <w:lang w:val="en-US"/>
        </w:rPr>
        <w:t>3.6.2.3</w:t>
      </w:r>
      <w:r w:rsidRPr="009C5807">
        <w:rPr>
          <w:lang w:val="en-US"/>
        </w:rPr>
        <w:tab/>
        <w:t xml:space="preserve">Number of serving carriers for </w:t>
      </w:r>
      <w:r w:rsidRPr="009C5807">
        <w:rPr>
          <w:lang w:val="en-US" w:eastAsia="ko-KR"/>
        </w:rPr>
        <w:t>NE-DC</w:t>
      </w:r>
      <w:bookmarkEnd w:id="26"/>
    </w:p>
    <w:p w14:paraId="5DEDA464" w14:textId="77777777" w:rsidR="00E93D6B" w:rsidRPr="009C5807" w:rsidRDefault="00E93D6B" w:rsidP="00E93D6B">
      <w:r w:rsidRPr="009C5807">
        <w:t>Requirements for NE-DC operation of NR and E-UTRA with NR PCell and E-UTRA PSCell are applicable for the UE configured with the following number of serving NR CCs:</w:t>
      </w:r>
    </w:p>
    <w:p w14:paraId="00C8861F" w14:textId="77777777" w:rsidR="00E93D6B" w:rsidRPr="009C5807" w:rsidRDefault="00E93D6B" w:rsidP="00E93D6B">
      <w:pPr>
        <w:pStyle w:val="B10"/>
      </w:pPr>
      <w:r w:rsidRPr="009C5807">
        <w:t>-</w:t>
      </w:r>
      <w:r w:rsidRPr="009C5807">
        <w:tab/>
        <w:t>up to 7 NR DL CCs in total, with 1 UL (</w:t>
      </w:r>
      <w:r w:rsidRPr="009C5807">
        <w:rPr>
          <w:lang w:eastAsia="zh-CN"/>
        </w:rPr>
        <w:t xml:space="preserve">or 2 UL if SUL is configured) in </w:t>
      </w:r>
      <w:r w:rsidRPr="009C5807">
        <w:t>PCell and up to 1 UL</w:t>
      </w:r>
      <w:r w:rsidRPr="009C5807">
        <w:rPr>
          <w:lang w:eastAsia="zh-CN"/>
        </w:rPr>
        <w:t xml:space="preserve"> (or 2 UL if SUL is configured) in</w:t>
      </w:r>
      <w:r w:rsidRPr="009C5807">
        <w:t xml:space="preserve"> SCell.</w:t>
      </w:r>
    </w:p>
    <w:p w14:paraId="27CDF50E" w14:textId="77777777" w:rsidR="00E93D6B" w:rsidRPr="009C5807" w:rsidRDefault="00E93D6B" w:rsidP="00E93D6B">
      <w:pPr>
        <w:pStyle w:val="B10"/>
      </w:pPr>
      <w:r w:rsidRPr="009C5807">
        <w:t>-</w:t>
      </w:r>
      <w:r w:rsidRPr="009C5807">
        <w:tab/>
        <w:t>SUL may be configured together with one of the UL</w:t>
      </w:r>
    </w:p>
    <w:p w14:paraId="233EF0DB" w14:textId="77777777" w:rsidR="00E93D6B" w:rsidRPr="009C5807" w:rsidRDefault="00E93D6B" w:rsidP="00E93D6B">
      <w:pPr>
        <w:rPr>
          <w:noProof/>
        </w:rPr>
      </w:pPr>
      <w:r w:rsidRPr="009C5807">
        <w:rPr>
          <w:noProof/>
        </w:rPr>
        <w:t xml:space="preserve">The applicable number of E-UTRA CC for NE-DC in the SCG for both UL and DL is specified in </w:t>
      </w:r>
      <w:r w:rsidRPr="009C5807">
        <w:t>TS 36.133</w:t>
      </w:r>
      <w:r w:rsidRPr="009C5807">
        <w:rPr>
          <w:noProof/>
        </w:rPr>
        <w:t xml:space="preserve"> [15].</w:t>
      </w:r>
    </w:p>
    <w:p w14:paraId="40AACD93" w14:textId="77777777" w:rsidR="00E93D6B" w:rsidRPr="009C5807" w:rsidRDefault="00E93D6B" w:rsidP="00E93D6B">
      <w:pPr>
        <w:pStyle w:val="Heading4"/>
        <w:rPr>
          <w:lang w:eastAsia="ko-KR"/>
        </w:rPr>
      </w:pPr>
      <w:bookmarkStart w:id="27" w:name="_Toc5952530"/>
      <w:bookmarkStart w:id="28" w:name="_Toc5952531"/>
      <w:r w:rsidRPr="009C5807">
        <w:rPr>
          <w:lang w:val="en-US"/>
        </w:rPr>
        <w:t>3.6.2.4</w:t>
      </w:r>
      <w:r w:rsidRPr="009C5807">
        <w:rPr>
          <w:lang w:val="en-US"/>
        </w:rPr>
        <w:tab/>
        <w:t xml:space="preserve">Number of serving carriers for </w:t>
      </w:r>
      <w:r w:rsidRPr="009C5807">
        <w:rPr>
          <w:lang w:val="en-US" w:eastAsia="ko-KR"/>
        </w:rPr>
        <w:t>NR-DC</w:t>
      </w:r>
    </w:p>
    <w:p w14:paraId="739D5196" w14:textId="77777777" w:rsidR="00E93D6B" w:rsidRPr="009C5807" w:rsidRDefault="00E93D6B" w:rsidP="00E93D6B">
      <w:r w:rsidRPr="009C5807">
        <w:t>Requirements for NR-DC are applicable for the UE configured with the following number of serving NR CCs:</w:t>
      </w:r>
    </w:p>
    <w:bookmarkEnd w:id="27"/>
    <w:p w14:paraId="237C7F06" w14:textId="77777777" w:rsidR="00DC3CFE" w:rsidRPr="009C5807" w:rsidRDefault="00DC3CFE" w:rsidP="00DC3CFE">
      <w:pPr>
        <w:pStyle w:val="B10"/>
      </w:pPr>
      <w:r w:rsidRPr="009C5807">
        <w:t>-</w:t>
      </w:r>
      <w:r w:rsidRPr="009C5807">
        <w:tab/>
        <w:t>up to 2 NR DL CCs in total in FR1, up to 8 NR DL CCs in total in FR2, with 1</w:t>
      </w:r>
      <w:r>
        <w:rPr>
          <w:rFonts w:hint="eastAsia"/>
          <w:lang w:eastAsia="zh-CN"/>
        </w:rPr>
        <w:t xml:space="preserve"> UL</w:t>
      </w:r>
      <w:r w:rsidRPr="009C5807">
        <w:t xml:space="preserve"> </w:t>
      </w:r>
      <w:r w:rsidRPr="009C5807">
        <w:rPr>
          <w:lang w:eastAsia="zh-CN"/>
        </w:rPr>
        <w:t xml:space="preserve">in </w:t>
      </w:r>
      <w:r w:rsidRPr="009C5807">
        <w:t>PCell, 1 UL</w:t>
      </w:r>
      <w:r w:rsidRPr="009C5807">
        <w:rPr>
          <w:lang w:eastAsia="zh-CN"/>
        </w:rPr>
        <w:t xml:space="preserve"> in </w:t>
      </w:r>
      <w:r w:rsidRPr="009C5807">
        <w:t>PSCell, and up to 1 UL</w:t>
      </w:r>
      <w:r w:rsidRPr="009C5807">
        <w:rPr>
          <w:lang w:eastAsia="zh-CN"/>
        </w:rPr>
        <w:t xml:space="preserve"> in</w:t>
      </w:r>
      <w:r w:rsidRPr="009C5807">
        <w:t xml:space="preserve"> each SCell.</w:t>
      </w:r>
    </w:p>
    <w:p w14:paraId="5BC90A85" w14:textId="77777777" w:rsidR="00E93D6B" w:rsidRPr="009C5807" w:rsidRDefault="00E93D6B" w:rsidP="00E93D6B">
      <w:pPr>
        <w:pStyle w:val="Heading3"/>
        <w:rPr>
          <w:lang w:val="en-US" w:eastAsia="ko-KR"/>
        </w:rPr>
      </w:pPr>
      <w:r w:rsidRPr="009C5807">
        <w:rPr>
          <w:lang w:val="en-US" w:eastAsia="ko-KR"/>
        </w:rPr>
        <w:t>3.6.3</w:t>
      </w:r>
      <w:r w:rsidRPr="009C5807">
        <w:rPr>
          <w:lang w:val="en-US" w:eastAsia="ko-KR"/>
        </w:rPr>
        <w:tab/>
        <w:t xml:space="preserve">Applicability </w:t>
      </w:r>
      <w:r w:rsidRPr="009C5807">
        <w:rPr>
          <w:noProof/>
        </w:rPr>
        <w:t>for intra-band FR2</w:t>
      </w:r>
    </w:p>
    <w:p w14:paraId="4AA579F7" w14:textId="77777777" w:rsidR="00E93D6B" w:rsidRPr="009C5807" w:rsidRDefault="00E93D6B" w:rsidP="00E93D6B">
      <w:pPr>
        <w:rPr>
          <w:rFonts w:eastAsia="Malgun Gothic"/>
          <w:lang w:eastAsia="ko-KR"/>
        </w:rPr>
      </w:pPr>
      <w:r w:rsidRPr="009C5807">
        <w:rPr>
          <w:rFonts w:eastAsia="?? ??"/>
          <w:lang w:eastAsia="ko-KR"/>
        </w:rPr>
        <w:t>For the requirements in RRC connected state specified in this version of the specification, UE shall assume that the transmitted</w:t>
      </w:r>
      <w:r w:rsidRPr="009C5807">
        <w:rPr>
          <w:rFonts w:eastAsia="PMingLiU"/>
          <w:lang w:eastAsia="zh-TW"/>
        </w:rPr>
        <w:t xml:space="preserve"> signals</w:t>
      </w:r>
      <w:r w:rsidRPr="009C5807">
        <w:rPr>
          <w:rFonts w:eastAsia="?? ??"/>
          <w:lang w:eastAsia="ko-KR"/>
        </w:rPr>
        <w:t xml:space="preserve"> from the serving cells should have </w:t>
      </w:r>
      <w:r w:rsidRPr="009C5807">
        <w:rPr>
          <w:rFonts w:eastAsia="MS Mincho"/>
        </w:rPr>
        <w:t>the same downlink spatial domain transmission filter</w:t>
      </w:r>
      <w:r w:rsidRPr="009C5807">
        <w:rPr>
          <w:rFonts w:eastAsia="?? ??"/>
          <w:lang w:eastAsia="ko-KR"/>
        </w:rPr>
        <w:t xml:space="preserve"> on </w:t>
      </w:r>
      <w:r w:rsidRPr="009C5807">
        <w:rPr>
          <w:rFonts w:eastAsia="PMingLiU"/>
          <w:lang w:eastAsia="zh-TW"/>
        </w:rPr>
        <w:t>one</w:t>
      </w:r>
      <w:r w:rsidRPr="009C5807">
        <w:rPr>
          <w:rFonts w:eastAsia="?? ??"/>
          <w:lang w:eastAsia="ko-KR"/>
        </w:rPr>
        <w:t xml:space="preserve"> OFDM symbol in the same band in FR2. </w:t>
      </w:r>
      <w:r w:rsidRPr="009C5807">
        <w:rPr>
          <w:rFonts w:eastAsia="PMingLiU"/>
          <w:lang w:eastAsia="zh-TW"/>
        </w:rPr>
        <w:t>Otherwise,</w:t>
      </w:r>
      <w:r w:rsidRPr="009C5807">
        <w:rPr>
          <w:rFonts w:eastAsia="?? ??"/>
          <w:lang w:eastAsia="ko-KR"/>
        </w:rPr>
        <w:t xml:space="preserve"> the UE is not supposed to satisfy any requirements for SCell.</w:t>
      </w:r>
    </w:p>
    <w:p w14:paraId="4944D6EA" w14:textId="77777777" w:rsidR="00E93D6B" w:rsidRPr="009C5807" w:rsidRDefault="00E93D6B" w:rsidP="00E93D6B">
      <w:pPr>
        <w:pStyle w:val="Heading3"/>
        <w:rPr>
          <w:lang w:val="en-US" w:eastAsia="ko-KR"/>
        </w:rPr>
      </w:pPr>
      <w:r w:rsidRPr="009C5807">
        <w:rPr>
          <w:lang w:val="en-US" w:eastAsia="ko-KR"/>
        </w:rPr>
        <w:t>3.6.4</w:t>
      </w:r>
      <w:r w:rsidRPr="009C5807">
        <w:rPr>
          <w:lang w:val="en-US" w:eastAsia="ko-KR"/>
        </w:rPr>
        <w:tab/>
        <w:t>Applicability for FR2 UE power classes</w:t>
      </w:r>
      <w:bookmarkEnd w:id="28"/>
    </w:p>
    <w:p w14:paraId="70F5B535" w14:textId="77777777" w:rsidR="00E93D6B" w:rsidRPr="009C5807" w:rsidRDefault="00E93D6B" w:rsidP="00E93D6B">
      <w:r w:rsidRPr="009C5807">
        <w:rPr>
          <w:rFonts w:eastAsia="Malgun Gothic"/>
          <w:lang w:eastAsia="ko-KR"/>
        </w:rPr>
        <w:t xml:space="preserve">For the requirements of each FR2 power class specified in this version of the specification, certain UE types with specific device architectures are assumed. </w:t>
      </w:r>
      <w:r w:rsidRPr="009C5807">
        <w:t>The UE types can be found in TS 38.101-2 [19].</w:t>
      </w:r>
    </w:p>
    <w:p w14:paraId="1D35A92B" w14:textId="77777777" w:rsidR="00E93D6B" w:rsidRPr="009C5807" w:rsidRDefault="00E93D6B" w:rsidP="00E93D6B">
      <w:pPr>
        <w:pStyle w:val="Heading3"/>
        <w:rPr>
          <w:lang w:val="en-US" w:eastAsia="ko-KR"/>
        </w:rPr>
      </w:pPr>
      <w:r w:rsidRPr="009C5807">
        <w:rPr>
          <w:lang w:val="en-US" w:eastAsia="ko-KR"/>
        </w:rPr>
        <w:t>3.6.5</w:t>
      </w:r>
      <w:r w:rsidRPr="009C5807">
        <w:rPr>
          <w:lang w:val="en-US" w:eastAsia="ko-KR"/>
        </w:rPr>
        <w:tab/>
        <w:t>Applicability for SDL bands</w:t>
      </w:r>
    </w:p>
    <w:p w14:paraId="2EA7944A" w14:textId="77777777" w:rsidR="00E93D6B" w:rsidRPr="009C5807" w:rsidRDefault="00E93D6B" w:rsidP="00E93D6B">
      <w:pPr>
        <w:rPr>
          <w:lang w:val="en-US" w:eastAsia="ko-KR"/>
        </w:rPr>
      </w:pPr>
      <w:r w:rsidRPr="009C5807">
        <w:rPr>
          <w:lang w:val="en-US" w:eastAsia="ko-KR"/>
        </w:rPr>
        <w:t>The measurements accuracy requirements for SDL bands in this version of specification in clause 10.1 shall apply for NR intra-frequency measurements on SCC (SS-RSRP, SS-RSRQ, SS-SINR, and L1-RSRP) and inter-frequency measurements (SS-RSRP, SS-RSRQ, and SS-SINR).</w:t>
      </w:r>
    </w:p>
    <w:p w14:paraId="6DF0A12A" w14:textId="77777777" w:rsidR="00E93D6B" w:rsidRPr="009C5807" w:rsidRDefault="00E93D6B" w:rsidP="00E93D6B">
      <w:pPr>
        <w:pStyle w:val="Heading3"/>
      </w:pPr>
      <w:r w:rsidRPr="009C5807">
        <w:rPr>
          <w:lang w:val="en-US" w:eastAsia="ko-KR"/>
        </w:rPr>
        <w:t>3.6.6</w:t>
      </w:r>
      <w:r w:rsidRPr="009C5807">
        <w:rPr>
          <w:lang w:val="en-US" w:eastAsia="ko-KR"/>
        </w:rPr>
        <w:tab/>
      </w:r>
      <w:r w:rsidRPr="009C5807">
        <w:t>Applicability of requirements for NGEN-DC operation</w:t>
      </w:r>
    </w:p>
    <w:p w14:paraId="4363B0A2" w14:textId="77777777" w:rsidR="00E93D6B" w:rsidRPr="009C5807" w:rsidRDefault="00E93D6B" w:rsidP="00E93D6B">
      <w:r w:rsidRPr="009C5807">
        <w:t>All the requirements in this specification applicable for EN-DC are also applicable for NGEN-DC.</w:t>
      </w:r>
    </w:p>
    <w:p w14:paraId="33F9BAFE" w14:textId="77777777" w:rsidR="00E308F0" w:rsidRPr="008C6DE4" w:rsidRDefault="00E308F0" w:rsidP="00E308F0">
      <w:pPr>
        <w:pStyle w:val="Heading3"/>
        <w:rPr>
          <w:lang w:val="en-US" w:eastAsia="ko-KR"/>
        </w:rPr>
      </w:pPr>
      <w:r w:rsidRPr="008C6DE4">
        <w:rPr>
          <w:lang w:val="en-US" w:eastAsia="ko-KR"/>
        </w:rPr>
        <w:t>3.6.7</w:t>
      </w:r>
      <w:r w:rsidRPr="008C6DE4">
        <w:rPr>
          <w:lang w:val="en-US" w:eastAsia="ko-KR"/>
        </w:rPr>
        <w:tab/>
        <w:t xml:space="preserve">Applicability </w:t>
      </w:r>
      <w:r w:rsidRPr="008C6DE4">
        <w:rPr>
          <w:noProof/>
        </w:rPr>
        <w:t>of QCL</w:t>
      </w:r>
    </w:p>
    <w:p w14:paraId="7F89457F" w14:textId="77777777" w:rsidR="003E470F" w:rsidRPr="008A5051" w:rsidRDefault="003E470F" w:rsidP="003E470F">
      <w:pPr>
        <w:rPr>
          <w:rFonts w:eastAsia="?? ??"/>
          <w:lang w:eastAsia="ko-KR"/>
        </w:rPr>
      </w:pPr>
      <w:bookmarkStart w:id="29" w:name="_Hlk45614476"/>
      <w:r w:rsidRPr="008A5051">
        <w:rPr>
          <w:rFonts w:eastAsia="?? ??"/>
          <w:lang w:eastAsia="ko-KR"/>
        </w:rPr>
        <w:t>For the requirements specified in this version of the specification</w:t>
      </w:r>
      <w:r w:rsidRPr="00EB082C">
        <w:rPr>
          <w:rFonts w:eastAsia="?? ??"/>
          <w:lang w:eastAsia="ko-KR"/>
        </w:rPr>
        <w:t xml:space="preserve"> </w:t>
      </w:r>
      <w:r>
        <w:rPr>
          <w:rFonts w:eastAsia="?? ??"/>
          <w:lang w:eastAsia="ko-KR"/>
        </w:rPr>
        <w:t>for TCI state switching, DL TCI state switching for unified TCI or UL TCI state switching</w:t>
      </w:r>
      <w:r w:rsidRPr="00EB082C">
        <w:rPr>
          <w:rFonts w:eastAsia="?? ??"/>
          <w:lang w:eastAsia="ko-KR"/>
        </w:rPr>
        <w:t xml:space="preserve"> </w:t>
      </w:r>
      <w:r>
        <w:rPr>
          <w:rFonts w:eastAsia="?? ??"/>
          <w:lang w:eastAsia="ko-KR"/>
        </w:rPr>
        <w:t>for unified TCI</w:t>
      </w:r>
      <w:r w:rsidRPr="008A5051">
        <w:rPr>
          <w:rFonts w:eastAsia="?? ??"/>
          <w:lang w:eastAsia="ko-KR"/>
        </w:rPr>
        <w:t>, a reference signal is considered to be QCLed to another reference signal if it is in the same TCI chain as the other reference signal, provided that the number of Reference Signals in the chain is no more than 4. It is assumed there is single QCL type per TCI chain.</w:t>
      </w:r>
    </w:p>
    <w:p w14:paraId="503C03C2" w14:textId="7480DD93" w:rsidR="003E470F" w:rsidRPr="008A5051" w:rsidRDefault="003E470F" w:rsidP="003E470F">
      <w:pPr>
        <w:rPr>
          <w:rFonts w:eastAsia="?? ??"/>
          <w:lang w:eastAsia="ko-KR"/>
        </w:rPr>
      </w:pPr>
      <w:r w:rsidRPr="008A5051">
        <w:rPr>
          <w:rFonts w:eastAsia="?? ??"/>
          <w:lang w:eastAsia="ko-KR"/>
        </w:rPr>
        <w:t>A</w:t>
      </w:r>
      <w:r>
        <w:rPr>
          <w:rFonts w:eastAsia="?? ??"/>
          <w:lang w:eastAsia="ko-KR"/>
        </w:rPr>
        <w:t xml:space="preserve"> DL</w:t>
      </w:r>
      <w:r w:rsidRPr="008A5051">
        <w:rPr>
          <w:rFonts w:eastAsia="?? ??"/>
          <w:lang w:eastAsia="ko-KR"/>
        </w:rPr>
        <w:t xml:space="preserve"> TCI chain consists of an SSB, and one or more CSI-RS resources, and the TCI state of each Reference Signal includes another Reference Signal in the same TCI chain</w:t>
      </w:r>
      <w:r>
        <w:rPr>
          <w:rFonts w:eastAsia="?? ??"/>
          <w:lang w:eastAsia="ko-KR"/>
        </w:rPr>
        <w:t>, where the SSB can be associated with serving cell PCID or associated with a PCID different from serving cell PCID</w:t>
      </w:r>
      <w:r w:rsidRPr="008A5051">
        <w:rPr>
          <w:rFonts w:eastAsia="?? ??"/>
          <w:lang w:eastAsia="ko-KR"/>
        </w:rPr>
        <w:t xml:space="preserve">. </w:t>
      </w:r>
    </w:p>
    <w:p w14:paraId="2969159A" w14:textId="77777777" w:rsidR="003E470F" w:rsidRPr="008A5051" w:rsidRDefault="003E470F" w:rsidP="003E470F">
      <w:pPr>
        <w:rPr>
          <w:noProof/>
        </w:rPr>
      </w:pPr>
      <w:r w:rsidRPr="008A5051">
        <w:rPr>
          <w:noProof/>
        </w:rPr>
        <w:t xml:space="preserve">DMRS of PDCCH or PDSCH is QCLed with the reference signal in its active TCI state and any other reference signal that is QCLed, based on </w:t>
      </w:r>
      <w:r>
        <w:rPr>
          <w:noProof/>
        </w:rPr>
        <w:t>the</w:t>
      </w:r>
      <w:r w:rsidRPr="008A5051">
        <w:rPr>
          <w:noProof/>
        </w:rPr>
        <w:t xml:space="preserve"> criteria</w:t>
      </w:r>
      <w:r>
        <w:rPr>
          <w:noProof/>
        </w:rPr>
        <w:t xml:space="preserve"> for DL TCI chain</w:t>
      </w:r>
      <w:r w:rsidRPr="008A5051">
        <w:rPr>
          <w:noProof/>
        </w:rPr>
        <w:t>, with the reference signal in the active TCI state.</w:t>
      </w:r>
    </w:p>
    <w:p w14:paraId="3F6E6C8B" w14:textId="77777777" w:rsidR="003E470F" w:rsidRPr="008A5051" w:rsidRDefault="003E470F" w:rsidP="003E470F">
      <w:pPr>
        <w:rPr>
          <w:rFonts w:eastAsia="?? ??"/>
          <w:lang w:eastAsia="ko-KR"/>
        </w:rPr>
      </w:pPr>
      <w:r w:rsidRPr="008A5051">
        <w:rPr>
          <w:rFonts w:eastAsia="?? ??"/>
          <w:lang w:eastAsia="ko-KR"/>
        </w:rPr>
        <w:t>A</w:t>
      </w:r>
      <w:r>
        <w:rPr>
          <w:rFonts w:eastAsia="?? ??"/>
          <w:lang w:eastAsia="ko-KR"/>
        </w:rPr>
        <w:t xml:space="preserve"> UL</w:t>
      </w:r>
      <w:r w:rsidRPr="008A5051">
        <w:rPr>
          <w:rFonts w:eastAsia="?? ??"/>
          <w:lang w:eastAsia="ko-KR"/>
        </w:rPr>
        <w:t xml:space="preserve"> TCI chain consists of an SSB, and one or more CSI-RS resources, and the TCI state of each Reference Signal includes another Reference Signal in the same TCI chain</w:t>
      </w:r>
      <w:r>
        <w:rPr>
          <w:rFonts w:eastAsia="?? ??"/>
          <w:lang w:eastAsia="ko-KR"/>
        </w:rPr>
        <w:t>, where the SSB can be associated with serving cell PCID or associated with a PCID different from serving cell PCID</w:t>
      </w:r>
      <w:r w:rsidRPr="008A5051">
        <w:rPr>
          <w:rFonts w:eastAsia="?? ??"/>
          <w:lang w:eastAsia="ko-KR"/>
        </w:rPr>
        <w:t xml:space="preserve">. </w:t>
      </w:r>
    </w:p>
    <w:p w14:paraId="0A46E1CC" w14:textId="77777777" w:rsidR="003E470F" w:rsidRPr="007D4D99" w:rsidRDefault="003E470F" w:rsidP="003E470F">
      <w:pPr>
        <w:rPr>
          <w:noProof/>
          <w:lang w:eastAsia="zh-CN"/>
        </w:rPr>
      </w:pPr>
      <w:r>
        <w:rPr>
          <w:noProof/>
        </w:rPr>
        <w:t>DMRS of PUCCH or PUSCH is QCLed with the reference signal in its active TCI state and any other reference signal that is QCLed, based on the criteria for UL TCI chain, with the reference signal in the active TCI state.</w:t>
      </w:r>
    </w:p>
    <w:p w14:paraId="1B739644" w14:textId="0BEFAABD" w:rsidR="009323E2" w:rsidRPr="00D04D64" w:rsidRDefault="009323E2" w:rsidP="009323E2">
      <w:pPr>
        <w:keepNext/>
        <w:keepLines/>
        <w:spacing w:before="120"/>
        <w:ind w:left="1134" w:hanging="1134"/>
        <w:outlineLvl w:val="2"/>
        <w:rPr>
          <w:rFonts w:ascii="Arial" w:hAnsi="Arial"/>
          <w:sz w:val="28"/>
        </w:rPr>
      </w:pPr>
      <w:r>
        <w:rPr>
          <w:rFonts w:ascii="Arial" w:hAnsi="Arial"/>
          <w:sz w:val="28"/>
          <w:lang w:val="en-US" w:eastAsia="ko-KR"/>
        </w:rPr>
        <w:t>3.6.8</w:t>
      </w:r>
      <w:r w:rsidRPr="00D04D64">
        <w:rPr>
          <w:rFonts w:ascii="Arial" w:hAnsi="Arial"/>
          <w:sz w:val="28"/>
          <w:lang w:val="en-US" w:eastAsia="ko-KR"/>
        </w:rPr>
        <w:tab/>
      </w:r>
      <w:r w:rsidRPr="00D04D64">
        <w:rPr>
          <w:rFonts w:ascii="Arial" w:hAnsi="Arial"/>
          <w:sz w:val="28"/>
        </w:rPr>
        <w:t xml:space="preserve">Applicability of </w:t>
      </w:r>
      <w:r>
        <w:rPr>
          <w:rFonts w:ascii="Arial" w:hAnsi="Arial"/>
          <w:sz w:val="28"/>
        </w:rPr>
        <w:t xml:space="preserve">2-step RA and 4-step RA in RRM </w:t>
      </w:r>
      <w:r w:rsidRPr="00D04D64">
        <w:rPr>
          <w:rFonts w:ascii="Arial" w:hAnsi="Arial"/>
          <w:sz w:val="28"/>
        </w:rPr>
        <w:t xml:space="preserve">requirements </w:t>
      </w:r>
    </w:p>
    <w:p w14:paraId="3C58792F" w14:textId="237861CD" w:rsidR="009323E2" w:rsidRDefault="009323E2" w:rsidP="009323E2">
      <w:r>
        <w:t xml:space="preserve">Unless explicitly stated otherwise </w:t>
      </w:r>
      <w:r w:rsidRPr="00D04D64">
        <w:t>the requirements</w:t>
      </w:r>
      <w:r>
        <w:t xml:space="preserve"> under the following clauses, where the UE transmits random acess </w:t>
      </w:r>
      <w:r w:rsidR="00FE44E9">
        <w:t xml:space="preserve">(with requirements in clause 6.2.2) </w:t>
      </w:r>
      <w:r>
        <w:t xml:space="preserve">to NR serving cell or NR target cell, are applicable for both </w:t>
      </w:r>
      <w:r w:rsidRPr="006B6719">
        <w:t>2-step RA and 4-step</w:t>
      </w:r>
      <w:r>
        <w:t xml:space="preserve"> RA procedures [3]:</w:t>
      </w:r>
    </w:p>
    <w:p w14:paraId="292DC8AE" w14:textId="570DC2F5" w:rsidR="009323E2" w:rsidRPr="005E11A2" w:rsidRDefault="009323E2" w:rsidP="009323E2">
      <w:pPr>
        <w:pStyle w:val="B10"/>
      </w:pPr>
      <w:r>
        <w:t>-</w:t>
      </w:r>
      <w:r>
        <w:tab/>
      </w:r>
      <w:r w:rsidRPr="005E11A2">
        <w:t>Handover</w:t>
      </w:r>
      <w:r>
        <w:t xml:space="preserve"> </w:t>
      </w:r>
      <w:r w:rsidRPr="001D6F2A">
        <w:t xml:space="preserve">requirements in </w:t>
      </w:r>
      <w:r>
        <w:t>clause</w:t>
      </w:r>
      <w:r w:rsidRPr="001D6F2A">
        <w:t xml:space="preserve"> </w:t>
      </w:r>
      <w:r>
        <w:t>6.1, except for clause</w:t>
      </w:r>
      <w:r w:rsidR="004A75CC">
        <w:t>s</w:t>
      </w:r>
      <w:r>
        <w:t xml:space="preserve"> 6.1.2 </w:t>
      </w:r>
      <w:r w:rsidR="005C0051">
        <w:t>and 6.1B,</w:t>
      </w:r>
    </w:p>
    <w:p w14:paraId="5C78956C" w14:textId="5837A51C" w:rsidR="009323E2" w:rsidRDefault="009323E2" w:rsidP="009323E2">
      <w:pPr>
        <w:pStyle w:val="B10"/>
      </w:pPr>
      <w:r>
        <w:t>-</w:t>
      </w:r>
      <w:r>
        <w:tab/>
      </w:r>
      <w:r w:rsidRPr="005E11A2">
        <w:t xml:space="preserve">RRC </w:t>
      </w:r>
      <w:r>
        <w:t>c</w:t>
      </w:r>
      <w:r w:rsidRPr="005E11A2">
        <w:t xml:space="preserve">onnection </w:t>
      </w:r>
      <w:r w:rsidR="005C0051">
        <w:t>r</w:t>
      </w:r>
      <w:r w:rsidR="005C0051" w:rsidRPr="00113E3E">
        <w:t>e-establishment</w:t>
      </w:r>
      <w:r>
        <w:t xml:space="preserve"> r</w:t>
      </w:r>
      <w:r w:rsidRPr="001D6F2A">
        <w:t xml:space="preserve">equirements in </w:t>
      </w:r>
      <w:r>
        <w:t>clause</w:t>
      </w:r>
      <w:r w:rsidRPr="001D6F2A">
        <w:t xml:space="preserve"> </w:t>
      </w:r>
      <w:r>
        <w:t>6.2</w:t>
      </w:r>
      <w:r w:rsidR="000D5935">
        <w:t>.1</w:t>
      </w:r>
      <w:r>
        <w:t xml:space="preserve">, </w:t>
      </w:r>
    </w:p>
    <w:p w14:paraId="7F613BEB" w14:textId="77777777" w:rsidR="00F505DC" w:rsidRDefault="00F505DC" w:rsidP="00EC505B">
      <w:pPr>
        <w:pStyle w:val="B10"/>
      </w:pPr>
      <w:r w:rsidRPr="00DB27CF">
        <w:t>-</w:t>
      </w:r>
      <w:r w:rsidRPr="00DB27CF">
        <w:tab/>
        <w:t xml:space="preserve">RRC connection </w:t>
      </w:r>
      <w:r>
        <w:t xml:space="preserve">release with redirection to NR </w:t>
      </w:r>
      <w:r w:rsidRPr="00DB27CF">
        <w:t>requirements in clause 6.2</w:t>
      </w:r>
      <w:r>
        <w:t>.3.2.1</w:t>
      </w:r>
      <w:r w:rsidRPr="00DB27CF">
        <w:t>,</w:t>
      </w:r>
      <w:r>
        <w:t xml:space="preserve"> </w:t>
      </w:r>
    </w:p>
    <w:p w14:paraId="190944C0" w14:textId="5FB24C2B" w:rsidR="009323E2" w:rsidRDefault="009323E2" w:rsidP="009323E2">
      <w:pPr>
        <w:pStyle w:val="B10"/>
      </w:pPr>
      <w:r>
        <w:t>-</w:t>
      </w:r>
      <w:r>
        <w:tab/>
      </w:r>
      <w:r w:rsidRPr="005E11A2">
        <w:t>UE transmit timing</w:t>
      </w:r>
      <w:r>
        <w:t xml:space="preserve"> r</w:t>
      </w:r>
      <w:r w:rsidRPr="001D6F2A">
        <w:t xml:space="preserve">equirements in </w:t>
      </w:r>
      <w:r>
        <w:t>clause</w:t>
      </w:r>
      <w:r w:rsidRPr="001D6F2A">
        <w:t xml:space="preserve"> </w:t>
      </w:r>
      <w:r>
        <w:t>7.1,</w:t>
      </w:r>
    </w:p>
    <w:p w14:paraId="139F3E8A" w14:textId="4D73734C" w:rsidR="009323E2" w:rsidRPr="005E11A2" w:rsidRDefault="009323E2" w:rsidP="009323E2">
      <w:pPr>
        <w:pStyle w:val="B10"/>
      </w:pPr>
      <w:r>
        <w:t>-</w:t>
      </w:r>
      <w:r>
        <w:tab/>
        <w:t>PS</w:t>
      </w:r>
      <w:r w:rsidR="00C410AD">
        <w:t>C</w:t>
      </w:r>
      <w:r>
        <w:t xml:space="preserve">ell addition delay requirements in clause 8.9.2, </w:t>
      </w:r>
    </w:p>
    <w:p w14:paraId="5F2EDDDE" w14:textId="28E312EF" w:rsidR="009323E2" w:rsidRPr="005E11A2" w:rsidRDefault="009323E2" w:rsidP="009323E2">
      <w:pPr>
        <w:pStyle w:val="B10"/>
      </w:pPr>
      <w:r>
        <w:t>-</w:t>
      </w:r>
      <w:r>
        <w:tab/>
      </w:r>
      <w:r w:rsidRPr="005E11A2">
        <w:t xml:space="preserve">PSCell </w:t>
      </w:r>
      <w:r>
        <w:t>c</w:t>
      </w:r>
      <w:r w:rsidRPr="005E11A2">
        <w:t>hange</w:t>
      </w:r>
      <w:r>
        <w:t xml:space="preserve"> r</w:t>
      </w:r>
      <w:r w:rsidRPr="001D6F2A">
        <w:t xml:space="preserve">equirements in </w:t>
      </w:r>
      <w:r>
        <w:t>clause</w:t>
      </w:r>
      <w:r w:rsidRPr="001D6F2A">
        <w:t xml:space="preserve"> </w:t>
      </w:r>
      <w:r>
        <w:t>8.11 and</w:t>
      </w:r>
    </w:p>
    <w:p w14:paraId="3F619403" w14:textId="24255581" w:rsidR="00A7003E" w:rsidRDefault="009323E2" w:rsidP="009323E2">
      <w:pPr>
        <w:pStyle w:val="B10"/>
      </w:pPr>
      <w:r>
        <w:t>-</w:t>
      </w:r>
      <w:r>
        <w:tab/>
      </w:r>
      <w:r w:rsidRPr="005E11A2">
        <w:t xml:space="preserve">Conditional PSCell </w:t>
      </w:r>
      <w:r>
        <w:t>c</w:t>
      </w:r>
      <w:r w:rsidRPr="005E11A2">
        <w:t>hange</w:t>
      </w:r>
      <w:r>
        <w:t xml:space="preserve"> r</w:t>
      </w:r>
      <w:r w:rsidRPr="001D6F2A">
        <w:t xml:space="preserve">equirements in </w:t>
      </w:r>
      <w:r>
        <w:t>clause</w:t>
      </w:r>
      <w:r w:rsidRPr="001D6F2A">
        <w:t xml:space="preserve"> </w:t>
      </w:r>
      <w:r>
        <w:t>8.11B.</w:t>
      </w:r>
      <w:bookmarkEnd w:id="29"/>
    </w:p>
    <w:p w14:paraId="191B3EA3" w14:textId="77777777" w:rsidR="005D32D0" w:rsidRPr="00DB27CF" w:rsidRDefault="005D32D0" w:rsidP="005D32D0">
      <w:r w:rsidRPr="00DB27CF">
        <w:t xml:space="preserve">Unless explicitly stated otherwise the requirements under the following clauses, where the UE transmits random acess </w:t>
      </w:r>
      <w:r>
        <w:t xml:space="preserve">(with requirements in clause 6.2.2A) </w:t>
      </w:r>
      <w:r w:rsidRPr="00DB27CF">
        <w:t>to NR serving cell or NR target cell</w:t>
      </w:r>
      <w:r>
        <w:t xml:space="preserve"> subject to uplink CCA</w:t>
      </w:r>
      <w:r w:rsidRPr="00DB27CF">
        <w:t>, are applicable for both 2-step RA and 4-step RA procedures [3]:</w:t>
      </w:r>
    </w:p>
    <w:p w14:paraId="453EBB39" w14:textId="77777777" w:rsidR="005D32D0" w:rsidRDefault="005D32D0" w:rsidP="005D32D0">
      <w:pPr>
        <w:ind w:left="568" w:hanging="284"/>
      </w:pPr>
      <w:r w:rsidRPr="00DB27CF">
        <w:t>-</w:t>
      </w:r>
      <w:r w:rsidRPr="00DB27CF">
        <w:tab/>
        <w:t xml:space="preserve">Handover requirements </w:t>
      </w:r>
      <w:r>
        <w:t xml:space="preserve">with CCA </w:t>
      </w:r>
      <w:r w:rsidRPr="00DB27CF">
        <w:t>in clause 6.1</w:t>
      </w:r>
      <w:r>
        <w:t>B,</w:t>
      </w:r>
    </w:p>
    <w:p w14:paraId="12A1428A" w14:textId="77777777" w:rsidR="005D32D0" w:rsidRDefault="005D32D0" w:rsidP="005D32D0">
      <w:pPr>
        <w:ind w:left="568" w:hanging="284"/>
      </w:pPr>
      <w:r w:rsidRPr="00DB27CF">
        <w:t>-</w:t>
      </w:r>
      <w:r w:rsidRPr="00DB27CF">
        <w:tab/>
        <w:t xml:space="preserve">RRC connection </w:t>
      </w:r>
      <w:r>
        <w:t>r</w:t>
      </w:r>
      <w:r w:rsidRPr="00113E3E">
        <w:t>e-establishment</w:t>
      </w:r>
      <w:r>
        <w:t xml:space="preserve"> </w:t>
      </w:r>
      <w:r w:rsidRPr="00DB27CF">
        <w:t xml:space="preserve">requirements </w:t>
      </w:r>
      <w:r>
        <w:t xml:space="preserve">with CCA </w:t>
      </w:r>
      <w:r w:rsidRPr="00DB27CF">
        <w:t>in clause 6.2</w:t>
      </w:r>
      <w:r>
        <w:t>.1A</w:t>
      </w:r>
      <w:r w:rsidRPr="00DB27CF">
        <w:t>,</w:t>
      </w:r>
      <w:r>
        <w:t xml:space="preserve"> </w:t>
      </w:r>
    </w:p>
    <w:p w14:paraId="4F8270E3" w14:textId="77777777" w:rsidR="005D32D0" w:rsidRPr="00DB27CF" w:rsidRDefault="005D32D0" w:rsidP="005D32D0">
      <w:pPr>
        <w:ind w:left="568" w:hanging="284"/>
      </w:pPr>
      <w:r w:rsidRPr="00DB27CF">
        <w:t>-</w:t>
      </w:r>
      <w:r w:rsidRPr="00DB27CF">
        <w:tab/>
        <w:t xml:space="preserve">RRC connection </w:t>
      </w:r>
      <w:r>
        <w:t xml:space="preserve">release with redirection to NR </w:t>
      </w:r>
      <w:r w:rsidRPr="00DB27CF">
        <w:t xml:space="preserve">requirements </w:t>
      </w:r>
      <w:r>
        <w:t xml:space="preserve">with CCA </w:t>
      </w:r>
      <w:r w:rsidRPr="00DB27CF">
        <w:t>in clause 6.2</w:t>
      </w:r>
      <w:r>
        <w:t>.3.2.3</w:t>
      </w:r>
      <w:r w:rsidRPr="00DB27CF">
        <w:t>,</w:t>
      </w:r>
      <w:r>
        <w:t xml:space="preserve"> and</w:t>
      </w:r>
    </w:p>
    <w:p w14:paraId="5A319C9D" w14:textId="77777777" w:rsidR="005D32D0" w:rsidRPr="00DB27CF" w:rsidRDefault="005D32D0" w:rsidP="005D32D0">
      <w:pPr>
        <w:ind w:left="568" w:hanging="284"/>
      </w:pPr>
      <w:r w:rsidRPr="00DB27CF">
        <w:t>-</w:t>
      </w:r>
      <w:r w:rsidRPr="00DB27CF">
        <w:tab/>
        <w:t xml:space="preserve">UE transmit timing requirements </w:t>
      </w:r>
      <w:r>
        <w:t xml:space="preserve">with CCA </w:t>
      </w:r>
      <w:r w:rsidRPr="00DB27CF">
        <w:t>in clause 7.1</w:t>
      </w:r>
      <w:r>
        <w:t>.</w:t>
      </w:r>
    </w:p>
    <w:p w14:paraId="0760A92E" w14:textId="77777777" w:rsidR="00A7003E" w:rsidRDefault="00A7003E" w:rsidP="00A7003E">
      <w:pPr>
        <w:pStyle w:val="Heading3"/>
      </w:pPr>
      <w:r>
        <w:rPr>
          <w:lang w:val="en-US" w:eastAsia="ko-KR"/>
        </w:rPr>
        <w:t>3.6.9</w:t>
      </w:r>
      <w:r w:rsidRPr="00D04D64">
        <w:rPr>
          <w:lang w:val="en-US" w:eastAsia="ko-KR"/>
        </w:rPr>
        <w:tab/>
      </w:r>
      <w:r w:rsidRPr="00D04D64">
        <w:t xml:space="preserve">Applicability of requirements </w:t>
      </w:r>
      <w:r>
        <w:t>for scheduling availability</w:t>
      </w:r>
    </w:p>
    <w:p w14:paraId="3099A0F5" w14:textId="0B33BDC9" w:rsidR="009E3292" w:rsidRPr="00843E85" w:rsidRDefault="009E3292" w:rsidP="009E3292">
      <w:pPr>
        <w:rPr>
          <w:lang w:eastAsia="zh-CN"/>
        </w:rPr>
      </w:pPr>
      <w:r w:rsidRPr="00843E85">
        <w:t xml:space="preserve">The scheduling </w:t>
      </w:r>
      <w:r w:rsidRPr="00843E85">
        <w:rPr>
          <w:lang w:eastAsia="zh-CN"/>
        </w:rPr>
        <w:t xml:space="preserve">availability </w:t>
      </w:r>
      <w:r w:rsidRPr="00843E85">
        <w:t xml:space="preserve">requirements in clause </w:t>
      </w:r>
      <w:r>
        <w:t>8.1.7.3, 8.5.7.3, 8.5.8.3, 9.5.6.3</w:t>
      </w:r>
      <w:r>
        <w:rPr>
          <w:rFonts w:hint="eastAsia"/>
          <w:lang w:eastAsia="zh-CN"/>
        </w:rPr>
        <w:t xml:space="preserve"> and 9.10.2.6.2</w:t>
      </w:r>
      <w:r>
        <w:t xml:space="preserve"> assumes </w:t>
      </w:r>
      <w:r>
        <w:rPr>
          <w:lang w:eastAsia="zh-CN"/>
        </w:rPr>
        <w:t>that</w:t>
      </w:r>
      <w:r w:rsidRPr="00843E85">
        <w:t>:</w:t>
      </w:r>
    </w:p>
    <w:p w14:paraId="38E89FEB" w14:textId="77777777" w:rsidR="002E4D01" w:rsidRPr="00843E85" w:rsidRDefault="002E4D01" w:rsidP="002E4D01">
      <w:pPr>
        <w:pStyle w:val="B10"/>
        <w:rPr>
          <w:lang w:eastAsia="zh-CN"/>
        </w:rPr>
      </w:pPr>
      <w:r w:rsidRPr="00843E85">
        <w:rPr>
          <w:lang w:eastAsia="zh-CN"/>
        </w:rPr>
        <w:t>-</w:t>
      </w:r>
      <w:r w:rsidRPr="00843E85">
        <w:rPr>
          <w:lang w:eastAsia="zh-CN"/>
        </w:rPr>
        <w:tab/>
      </w:r>
      <w:r>
        <w:rPr>
          <w:lang w:eastAsia="zh-CN"/>
        </w:rPr>
        <w:t>The UE is not</w:t>
      </w:r>
      <w:r w:rsidRPr="00843E85">
        <w:rPr>
          <w:lang w:eastAsia="zh-CN"/>
        </w:rPr>
        <w:t xml:space="preserve"> configure</w:t>
      </w:r>
      <w:r>
        <w:rPr>
          <w:lang w:eastAsia="zh-CN"/>
        </w:rPr>
        <w:t>d</w:t>
      </w:r>
      <w:r w:rsidRPr="00843E85">
        <w:rPr>
          <w:lang w:eastAsia="zh-CN"/>
        </w:rPr>
        <w:t xml:space="preserve"> </w:t>
      </w:r>
      <w:r>
        <w:rPr>
          <w:lang w:eastAsia="zh-CN"/>
        </w:rPr>
        <w:t xml:space="preserve">with </w:t>
      </w:r>
      <w:r w:rsidRPr="00843E85">
        <w:rPr>
          <w:lang w:eastAsia="zh-CN"/>
        </w:rPr>
        <w:t xml:space="preserve">simultaneous UL/DL between two FR2 bands if the UE does not have the capability of supporting </w:t>
      </w:r>
      <w:r w:rsidRPr="00843E85">
        <w:rPr>
          <w:i/>
          <w:lang w:eastAsia="zh-CN"/>
        </w:rPr>
        <w:t>simultaneousRxTxInterBandCA</w:t>
      </w:r>
      <w:r>
        <w:rPr>
          <w:lang w:eastAsia="zh-CN"/>
        </w:rPr>
        <w:t>, and</w:t>
      </w:r>
    </w:p>
    <w:p w14:paraId="4F4BC0BA" w14:textId="77777777" w:rsidR="002E4D01" w:rsidRDefault="002E4D01" w:rsidP="002E4D01">
      <w:pPr>
        <w:pStyle w:val="B10"/>
        <w:rPr>
          <w:lang w:eastAsia="zh-CN"/>
        </w:rPr>
      </w:pPr>
      <w:r w:rsidRPr="00843E85">
        <w:rPr>
          <w:lang w:eastAsia="zh-CN"/>
        </w:rPr>
        <w:t>-</w:t>
      </w:r>
      <w:r w:rsidRPr="00843E85">
        <w:rPr>
          <w:lang w:eastAsia="zh-CN"/>
        </w:rPr>
        <w:tab/>
        <w:t xml:space="preserve">The </w:t>
      </w:r>
      <w:r>
        <w:rPr>
          <w:lang w:eastAsia="zh-CN"/>
        </w:rPr>
        <w:t>UE is not</w:t>
      </w:r>
      <w:r w:rsidRPr="00843E85">
        <w:rPr>
          <w:lang w:eastAsia="zh-CN"/>
        </w:rPr>
        <w:t xml:space="preserve"> configure</w:t>
      </w:r>
      <w:r>
        <w:rPr>
          <w:lang w:eastAsia="zh-CN"/>
        </w:rPr>
        <w:t>d</w:t>
      </w:r>
      <w:r w:rsidRPr="00843E85">
        <w:rPr>
          <w:lang w:eastAsia="zh-CN"/>
        </w:rPr>
        <w:t xml:space="preserve"> </w:t>
      </w:r>
      <w:r>
        <w:rPr>
          <w:lang w:eastAsia="zh-CN"/>
        </w:rPr>
        <w:t xml:space="preserve">with </w:t>
      </w:r>
      <w:r w:rsidRPr="00843E85">
        <w:rPr>
          <w:lang w:eastAsia="zh-CN"/>
        </w:rPr>
        <w:t>mixed numerology on two FR2 CCs if the UE does not have the capability of supporting simultaneous reception with two different numerologies between FR2 CCs in DL.</w:t>
      </w:r>
    </w:p>
    <w:p w14:paraId="2A2DB838" w14:textId="77777777" w:rsidR="002E4D01" w:rsidRPr="00843E85" w:rsidRDefault="002E4D01" w:rsidP="002E4D01">
      <w:pPr>
        <w:rPr>
          <w:lang w:eastAsia="zh-CN"/>
        </w:rPr>
      </w:pPr>
      <w:r w:rsidRPr="00843E85">
        <w:t xml:space="preserve">The scheduling </w:t>
      </w:r>
      <w:r w:rsidRPr="00843E85">
        <w:rPr>
          <w:lang w:eastAsia="zh-CN"/>
        </w:rPr>
        <w:t xml:space="preserve">availability </w:t>
      </w:r>
      <w:r w:rsidRPr="00843E85">
        <w:t xml:space="preserve">requirements in clause </w:t>
      </w:r>
      <w:r>
        <w:t xml:space="preserve">8.1.7.1, 8.1.7.2, 8.5.7.1, 8.5.7.2, 8.5.8.1, 8.5.8.2, 9.5.6.1, 9.5.6.2, 9.8.6.1, and 9.8.6.2 assumes </w:t>
      </w:r>
      <w:r>
        <w:rPr>
          <w:lang w:eastAsia="zh-CN"/>
        </w:rPr>
        <w:t xml:space="preserve">that the UE is not </w:t>
      </w:r>
      <w:r w:rsidRPr="00843E85">
        <w:rPr>
          <w:lang w:eastAsia="zh-CN"/>
        </w:rPr>
        <w:t>configure</w:t>
      </w:r>
      <w:r>
        <w:rPr>
          <w:lang w:eastAsia="zh-CN"/>
        </w:rPr>
        <w:t>d with</w:t>
      </w:r>
      <w:r w:rsidRPr="00843E85">
        <w:rPr>
          <w:lang w:eastAsia="zh-CN"/>
        </w:rPr>
        <w:t xml:space="preserve"> simultaneous UL/DL between two FR</w:t>
      </w:r>
      <w:r>
        <w:rPr>
          <w:lang w:eastAsia="zh-CN"/>
        </w:rPr>
        <w:t>1</w:t>
      </w:r>
      <w:r w:rsidRPr="00843E85">
        <w:rPr>
          <w:lang w:eastAsia="zh-CN"/>
        </w:rPr>
        <w:t xml:space="preserve"> bands if the UE does not have the capability of supporting </w:t>
      </w:r>
      <w:r w:rsidRPr="00843E85">
        <w:rPr>
          <w:i/>
          <w:lang w:eastAsia="zh-CN"/>
        </w:rPr>
        <w:t>simultaneousRxTxInterBandCA</w:t>
      </w:r>
      <w:r w:rsidRPr="00843E85">
        <w:rPr>
          <w:lang w:eastAsia="zh-CN"/>
        </w:rPr>
        <w:t>.</w:t>
      </w:r>
    </w:p>
    <w:p w14:paraId="37010147" w14:textId="77777777" w:rsidR="002E4D01" w:rsidRPr="00235A8A" w:rsidRDefault="002E4D01" w:rsidP="002E4D01">
      <w:pPr>
        <w:rPr>
          <w:lang w:eastAsia="zh-CN"/>
        </w:rPr>
      </w:pPr>
      <w:r w:rsidRPr="00843E85">
        <w:t xml:space="preserve">The scheduling </w:t>
      </w:r>
      <w:r w:rsidRPr="00843E85">
        <w:rPr>
          <w:lang w:eastAsia="zh-CN"/>
        </w:rPr>
        <w:t xml:space="preserve">availability </w:t>
      </w:r>
      <w:r w:rsidRPr="00843E85">
        <w:t xml:space="preserve">requirements in clause </w:t>
      </w:r>
      <w:r>
        <w:t>8.1.7.4, 8.5.7.4, 8.5.8.4, 9.5.6.4 and 9.8.6.4</w:t>
      </w:r>
      <w:r>
        <w:rPr>
          <w:rFonts w:hint="eastAsia"/>
          <w:lang w:eastAsia="zh-CN"/>
        </w:rPr>
        <w:t xml:space="preserve"> </w:t>
      </w:r>
      <w:r>
        <w:t xml:space="preserve">assumes </w:t>
      </w:r>
      <w:r>
        <w:rPr>
          <w:lang w:eastAsia="zh-CN"/>
        </w:rPr>
        <w:t xml:space="preserve">that the UE is not </w:t>
      </w:r>
      <w:r w:rsidRPr="00843E85">
        <w:rPr>
          <w:lang w:eastAsia="zh-CN"/>
        </w:rPr>
        <w:t>configure</w:t>
      </w:r>
      <w:r>
        <w:rPr>
          <w:lang w:eastAsia="zh-CN"/>
        </w:rPr>
        <w:t>d with</w:t>
      </w:r>
      <w:r w:rsidRPr="00843E85">
        <w:rPr>
          <w:lang w:eastAsia="zh-CN"/>
        </w:rPr>
        <w:t xml:space="preserve"> simultaneous UL/DL between </w:t>
      </w:r>
      <w:r>
        <w:rPr>
          <w:lang w:eastAsia="zh-CN"/>
        </w:rPr>
        <w:t>FR1 and FR2</w:t>
      </w:r>
      <w:r w:rsidRPr="00843E85">
        <w:rPr>
          <w:lang w:eastAsia="zh-CN"/>
        </w:rPr>
        <w:t xml:space="preserve"> bands if the UE does not have the capability of supporting </w:t>
      </w:r>
      <w:r w:rsidRPr="00843E85">
        <w:rPr>
          <w:i/>
          <w:lang w:eastAsia="zh-CN"/>
        </w:rPr>
        <w:t>simultaneousRxTxInterBandCA</w:t>
      </w:r>
      <w:r>
        <w:rPr>
          <w:i/>
          <w:lang w:eastAsia="zh-CN"/>
        </w:rPr>
        <w:t xml:space="preserve"> </w:t>
      </w:r>
      <w:r w:rsidRPr="00DF4570">
        <w:rPr>
          <w:iCs/>
          <w:lang w:eastAsia="zh-CN"/>
        </w:rPr>
        <w:t>on this band combination</w:t>
      </w:r>
      <w:r w:rsidRPr="00843E85">
        <w:rPr>
          <w:lang w:eastAsia="zh-CN"/>
        </w:rPr>
        <w:t>.</w:t>
      </w:r>
    </w:p>
    <w:p w14:paraId="51ACFBD0" w14:textId="77777777" w:rsidR="00B83137" w:rsidRDefault="00B83137" w:rsidP="00B83137">
      <w:pPr>
        <w:pStyle w:val="Heading3"/>
      </w:pPr>
      <w:r>
        <w:rPr>
          <w:lang w:val="en-US" w:eastAsia="ko-KR"/>
        </w:rPr>
        <w:t>3.6.10</w:t>
      </w:r>
      <w:r w:rsidRPr="00D04D64">
        <w:rPr>
          <w:lang w:val="en-US" w:eastAsia="ko-KR"/>
        </w:rPr>
        <w:tab/>
      </w:r>
      <w:r w:rsidRPr="00D04D64">
        <w:t xml:space="preserve">Applicability of requirements </w:t>
      </w:r>
      <w:r>
        <w:t>for measurement restrictions</w:t>
      </w:r>
    </w:p>
    <w:p w14:paraId="74452902" w14:textId="74D99203" w:rsidR="00B83137" w:rsidRPr="00843E85" w:rsidRDefault="004B19C9" w:rsidP="00B83137">
      <w:pPr>
        <w:rPr>
          <w:lang w:eastAsia="zh-CN"/>
        </w:rPr>
      </w:pPr>
      <w:r>
        <w:t>The requirements for measurement restrictions in clause 8.1.2.3, 8.1.3.3, 8.5.2.3, 8.5.3.3, 8.5.5.3, 8.5.6.3,</w:t>
      </w:r>
      <w:r>
        <w:rPr>
          <w:rFonts w:hint="eastAsia"/>
          <w:lang w:val="en-US" w:eastAsia="zh-CN"/>
        </w:rPr>
        <w:t xml:space="preserve"> 8.18.2.3, 8.18.3.3, 8.18.5.3, 8.18.6.3,</w:t>
      </w:r>
      <w:r>
        <w:t xml:space="preserve"> 9.5.5</w:t>
      </w:r>
      <w:r>
        <w:rPr>
          <w:rFonts w:hint="eastAsia"/>
          <w:lang w:val="en-US" w:eastAsia="zh-CN"/>
        </w:rPr>
        <w:t>,</w:t>
      </w:r>
      <w:r>
        <w:t xml:space="preserve"> 9.8.5</w:t>
      </w:r>
      <w:r>
        <w:rPr>
          <w:rFonts w:hint="eastAsia"/>
          <w:lang w:val="en-US" w:eastAsia="zh-CN"/>
        </w:rPr>
        <w:t xml:space="preserve"> and 9.13.5</w:t>
      </w:r>
      <w:r>
        <w:t xml:space="preserve"> are not applicable if the following condition is met:</w:t>
      </w:r>
    </w:p>
    <w:p w14:paraId="0C740DCF" w14:textId="170CDB53" w:rsidR="00F87202" w:rsidRDefault="00B83137" w:rsidP="00394691">
      <w:pPr>
        <w:pStyle w:val="B10"/>
        <w:rPr>
          <w:lang w:eastAsia="zh-CN"/>
        </w:rPr>
      </w:pPr>
      <w:r w:rsidRPr="00843E85">
        <w:rPr>
          <w:lang w:eastAsia="zh-CN"/>
        </w:rPr>
        <w:t>-</w:t>
      </w:r>
      <w:r w:rsidRPr="00843E85">
        <w:rPr>
          <w:lang w:eastAsia="zh-CN"/>
        </w:rPr>
        <w:tab/>
      </w:r>
      <w:r>
        <w:rPr>
          <w:lang w:eastAsia="zh-CN"/>
        </w:rPr>
        <w:t xml:space="preserve">The </w:t>
      </w:r>
      <w:r w:rsidRPr="003E2732">
        <w:rPr>
          <w:lang w:eastAsia="zh-CN"/>
        </w:rPr>
        <w:t>network configures</w:t>
      </w:r>
      <w:r>
        <w:rPr>
          <w:lang w:eastAsia="zh-CN"/>
        </w:rPr>
        <w:t xml:space="preserve"> </w:t>
      </w:r>
      <w:r w:rsidRPr="003E2732">
        <w:rPr>
          <w:lang w:eastAsia="zh-CN"/>
        </w:rPr>
        <w:t xml:space="preserve">mixed numerology on two CCs if the UE does not have the capability of supporting simultaneous reception with different numerologies between </w:t>
      </w:r>
      <w:r>
        <w:rPr>
          <w:lang w:eastAsia="zh-CN"/>
        </w:rPr>
        <w:t>the two</w:t>
      </w:r>
      <w:r w:rsidRPr="003E2732">
        <w:rPr>
          <w:lang w:eastAsia="zh-CN"/>
        </w:rPr>
        <w:t xml:space="preserve"> CCs in DL</w:t>
      </w:r>
      <w:r w:rsidRPr="00843E85">
        <w:rPr>
          <w:lang w:eastAsia="zh-CN"/>
        </w:rPr>
        <w:t>.</w:t>
      </w:r>
    </w:p>
    <w:p w14:paraId="27FC76E2" w14:textId="77777777" w:rsidR="00D5707D" w:rsidRDefault="00D5707D" w:rsidP="00D5707D">
      <w:pPr>
        <w:pStyle w:val="Heading3"/>
      </w:pPr>
      <w:r>
        <w:rPr>
          <w:lang w:val="en-US" w:eastAsia="ko-KR"/>
        </w:rPr>
        <w:t>3.6.11</w:t>
      </w:r>
      <w:r w:rsidRPr="00D04D64">
        <w:rPr>
          <w:lang w:val="en-US" w:eastAsia="ko-KR"/>
        </w:rPr>
        <w:tab/>
      </w:r>
      <w:r w:rsidRPr="00D04D64">
        <w:t xml:space="preserve">Applicability of requirements </w:t>
      </w:r>
      <w:r>
        <w:t>for Redcap UEs</w:t>
      </w:r>
    </w:p>
    <w:p w14:paraId="1B697799" w14:textId="77777777" w:rsidR="00D5707D" w:rsidRPr="00DD4BF0" w:rsidRDefault="00D5707D" w:rsidP="00EB775A">
      <w:pPr>
        <w:pStyle w:val="Heading4"/>
        <w:rPr>
          <w:lang w:val="en-US"/>
        </w:rPr>
      </w:pPr>
      <w:r w:rsidRPr="009C5807">
        <w:rPr>
          <w:lang w:val="en-US" w:eastAsia="ko-KR"/>
        </w:rPr>
        <w:t>3.6.1</w:t>
      </w:r>
      <w:r>
        <w:rPr>
          <w:lang w:val="en-US" w:eastAsia="ko-KR"/>
        </w:rPr>
        <w:t>1.1</w:t>
      </w:r>
      <w:r w:rsidRPr="009C5807">
        <w:rPr>
          <w:lang w:val="en-US" w:eastAsia="ko-KR"/>
        </w:rPr>
        <w:tab/>
        <w:t>RRC connected state requirements in DRX</w:t>
      </w:r>
    </w:p>
    <w:p w14:paraId="381DE49A" w14:textId="77777777" w:rsidR="00D5707D" w:rsidRPr="009C5807" w:rsidRDefault="00D5707D" w:rsidP="00D5707D">
      <w:r w:rsidRPr="009C5807">
        <w:t xml:space="preserve">The requirements in clause </w:t>
      </w:r>
      <w:r>
        <w:t>3.6.1</w:t>
      </w:r>
      <w:r w:rsidRPr="009C5807">
        <w:t xml:space="preserve"> shall apply.</w:t>
      </w:r>
    </w:p>
    <w:p w14:paraId="6DD7AE60" w14:textId="77777777" w:rsidR="00D5707D" w:rsidRPr="009C5807" w:rsidRDefault="00D5707D" w:rsidP="00EB775A">
      <w:pPr>
        <w:pStyle w:val="Heading4"/>
        <w:rPr>
          <w:lang w:val="en-US" w:eastAsia="ko-KR"/>
        </w:rPr>
      </w:pPr>
      <w:r w:rsidRPr="009C5807">
        <w:rPr>
          <w:lang w:val="en-US" w:eastAsia="ko-KR"/>
        </w:rPr>
        <w:t>3.6.</w:t>
      </w:r>
      <w:r>
        <w:rPr>
          <w:lang w:val="en-US" w:eastAsia="ko-KR"/>
        </w:rPr>
        <w:t>11.2</w:t>
      </w:r>
      <w:r w:rsidRPr="009C5807">
        <w:rPr>
          <w:lang w:val="en-US" w:eastAsia="ko-KR"/>
        </w:rPr>
        <w:tab/>
        <w:t xml:space="preserve">Applicability for FR2 </w:t>
      </w:r>
      <w:r>
        <w:rPr>
          <w:lang w:val="en-US" w:eastAsia="ko-KR"/>
        </w:rPr>
        <w:t xml:space="preserve">Redcap </w:t>
      </w:r>
      <w:r w:rsidRPr="009C5807">
        <w:rPr>
          <w:lang w:val="en-US" w:eastAsia="ko-KR"/>
        </w:rPr>
        <w:t>UE power classes</w:t>
      </w:r>
    </w:p>
    <w:p w14:paraId="06498F31" w14:textId="77777777" w:rsidR="00D5707D" w:rsidRPr="009C5807" w:rsidRDefault="00D5707D" w:rsidP="00D5707D">
      <w:r w:rsidRPr="009C5807">
        <w:t xml:space="preserve">The requirements in clause </w:t>
      </w:r>
      <w:r>
        <w:t>3.6.4</w:t>
      </w:r>
      <w:r w:rsidRPr="009C5807">
        <w:t xml:space="preserve"> shall apply.</w:t>
      </w:r>
    </w:p>
    <w:p w14:paraId="4F06F715" w14:textId="77777777" w:rsidR="00D5707D" w:rsidRPr="008C6DE4" w:rsidRDefault="00D5707D" w:rsidP="00EB775A">
      <w:pPr>
        <w:pStyle w:val="Heading4"/>
        <w:rPr>
          <w:lang w:val="en-US" w:eastAsia="ko-KR"/>
        </w:rPr>
      </w:pPr>
      <w:r w:rsidRPr="008C6DE4">
        <w:rPr>
          <w:lang w:val="en-US" w:eastAsia="ko-KR"/>
        </w:rPr>
        <w:t>3.6.</w:t>
      </w:r>
      <w:r>
        <w:rPr>
          <w:lang w:val="en-US" w:eastAsia="ko-KR"/>
        </w:rPr>
        <w:t>11.3</w:t>
      </w:r>
      <w:r w:rsidRPr="008C6DE4">
        <w:rPr>
          <w:lang w:val="en-US" w:eastAsia="ko-KR"/>
        </w:rPr>
        <w:tab/>
        <w:t xml:space="preserve">Applicability </w:t>
      </w:r>
      <w:r w:rsidRPr="008C6DE4">
        <w:rPr>
          <w:noProof/>
        </w:rPr>
        <w:t>of QCL</w:t>
      </w:r>
    </w:p>
    <w:p w14:paraId="5E7A69B7" w14:textId="2F6F3951" w:rsidR="00D5707D" w:rsidRPr="009C5807" w:rsidRDefault="00D5707D" w:rsidP="00D5707D">
      <w:r w:rsidRPr="009C5807">
        <w:t xml:space="preserve">The requirements in clause </w:t>
      </w:r>
      <w:r>
        <w:t>3.6.7</w:t>
      </w:r>
      <w:r w:rsidRPr="009C5807">
        <w:t xml:space="preserve"> shall apply.</w:t>
      </w:r>
    </w:p>
    <w:p w14:paraId="0A1901BF" w14:textId="1BA68F72" w:rsidR="005B53B2" w:rsidRDefault="005B53B2" w:rsidP="005B53B2">
      <w:pPr>
        <w:pStyle w:val="Heading3"/>
      </w:pPr>
      <w:r>
        <w:rPr>
          <w:lang w:val="en-US" w:eastAsia="ko-KR"/>
        </w:rPr>
        <w:t>3.6.1</w:t>
      </w:r>
      <w:r w:rsidR="00D5707D">
        <w:rPr>
          <w:lang w:val="en-US" w:eastAsia="ko-KR"/>
        </w:rPr>
        <w:t>2</w:t>
      </w:r>
      <w:r w:rsidRPr="00D04D64">
        <w:rPr>
          <w:lang w:val="en-US" w:eastAsia="ko-KR"/>
        </w:rPr>
        <w:tab/>
      </w:r>
      <w:r w:rsidRPr="00D04D64">
        <w:t xml:space="preserve">Applicability of requirements </w:t>
      </w:r>
      <w:r>
        <w:t>for Satellite Access</w:t>
      </w:r>
    </w:p>
    <w:p w14:paraId="217A8AAF" w14:textId="2068464A" w:rsidR="001E087A" w:rsidRPr="00394691" w:rsidRDefault="005B53B2" w:rsidP="005B53B2">
      <w:pPr>
        <w:rPr>
          <w:lang w:eastAsia="zh-CN"/>
        </w:rPr>
      </w:pPr>
      <w:r w:rsidRPr="00DD0D17">
        <w:rPr>
          <w:lang w:eastAsia="zh-CN"/>
        </w:rPr>
        <w:t xml:space="preserve">The requirements </w:t>
      </w:r>
      <w:r w:rsidRPr="00DD0D17">
        <w:t xml:space="preserve">for Satellite Access defined in clauses with suffix ‘C’ </w:t>
      </w:r>
      <w:r w:rsidRPr="00DD0D17">
        <w:rPr>
          <w:lang w:eastAsia="zh-CN"/>
        </w:rPr>
        <w:t xml:space="preserve">apply provided that UE indicates </w:t>
      </w:r>
      <w:r w:rsidRPr="00DD0D17">
        <w:rPr>
          <w:i/>
          <w:lang w:eastAsia="zh-CN"/>
        </w:rPr>
        <w:t>nonTerrestrialNetwork</w:t>
      </w:r>
      <w:r w:rsidRPr="00DD0D17">
        <w:rPr>
          <w:lang w:eastAsia="zh-CN"/>
        </w:rPr>
        <w:t xml:space="preserve"> and is accessing a cell served by a</w:t>
      </w:r>
      <w:r w:rsidRPr="00DD0D17">
        <w:rPr>
          <w:szCs w:val="24"/>
          <w:lang w:eastAsia="zh-CN"/>
        </w:rPr>
        <w:t xml:space="preserve"> Satellite Access Node (SAN)</w:t>
      </w:r>
      <w:r w:rsidRPr="00DD0D17">
        <w:rPr>
          <w:lang w:eastAsia="zh-CN"/>
        </w:rPr>
        <w:t>.</w:t>
      </w:r>
      <w:r w:rsidRPr="00DD0D17">
        <w:t xml:space="preserve"> </w:t>
      </w:r>
      <w:r w:rsidRPr="00DD0D17">
        <w:rPr>
          <w:lang w:eastAsia="zh-CN"/>
        </w:rPr>
        <w:t>The requirements apply provided that serving and all neighbour satellites on the same layer are of same satellite type (LEO or GEO).</w:t>
      </w:r>
    </w:p>
    <w:p w14:paraId="608158E8" w14:textId="77777777" w:rsidR="001E087A" w:rsidRPr="00415158" w:rsidRDefault="001E087A" w:rsidP="001E087A">
      <w:pPr>
        <w:pStyle w:val="Heading3"/>
        <w:rPr>
          <w:rFonts w:eastAsiaTheme="minorEastAsia"/>
        </w:rPr>
      </w:pPr>
      <w:r w:rsidRPr="00415158">
        <w:rPr>
          <w:rFonts w:eastAsiaTheme="minorEastAsia"/>
          <w:lang w:val="en-US" w:eastAsia="ko-KR"/>
        </w:rPr>
        <w:t>3.6.1</w:t>
      </w:r>
      <w:r>
        <w:rPr>
          <w:rFonts w:eastAsiaTheme="minorEastAsia"/>
          <w:lang w:val="en-US" w:eastAsia="ko-KR"/>
        </w:rPr>
        <w:t>3</w:t>
      </w:r>
      <w:r w:rsidRPr="00415158">
        <w:rPr>
          <w:rFonts w:eastAsiaTheme="minorEastAsia"/>
          <w:lang w:val="en-US" w:eastAsia="ko-KR"/>
        </w:rPr>
        <w:tab/>
      </w:r>
      <w:r w:rsidRPr="00415158">
        <w:rPr>
          <w:rFonts w:eastAsiaTheme="minorEastAsia"/>
        </w:rPr>
        <w:t>Applicability of requirements for FR2</w:t>
      </w:r>
    </w:p>
    <w:p w14:paraId="5D3CAD33" w14:textId="77777777" w:rsidR="001E087A" w:rsidRPr="00394691" w:rsidRDefault="001E087A" w:rsidP="001E087A">
      <w:pPr>
        <w:rPr>
          <w:rFonts w:eastAsiaTheme="minorEastAsia"/>
          <w:lang w:eastAsia="zh-CN"/>
        </w:rPr>
      </w:pPr>
      <w:r w:rsidRPr="00394691">
        <w:rPr>
          <w:rFonts w:eastAsiaTheme="minorEastAsia"/>
          <w:lang w:val="en-US" w:eastAsia="zh-CN"/>
        </w:rPr>
        <w:t>Unless stated otherwise, the requirements for FR2 are applicable to both FR2-1 and FR2-2, except for the following cases:</w:t>
      </w:r>
    </w:p>
    <w:p w14:paraId="7BCD641A" w14:textId="77777777" w:rsidR="001E087A" w:rsidRPr="00415158" w:rsidRDefault="001E087A" w:rsidP="001E087A">
      <w:pPr>
        <w:rPr>
          <w:rFonts w:eastAsiaTheme="minorEastAsia"/>
          <w:lang w:eastAsia="zh-CN"/>
        </w:rPr>
      </w:pPr>
      <w:r w:rsidRPr="00415158">
        <w:rPr>
          <w:rFonts w:eastAsiaTheme="minorEastAsia"/>
          <w:lang w:eastAsia="zh-CN"/>
        </w:rPr>
        <w:t xml:space="preserve">SFTD measurement requirements in clause </w:t>
      </w:r>
      <w:r w:rsidRPr="00415158">
        <w:rPr>
          <w:rFonts w:eastAsiaTheme="minorEastAsia" w:hint="eastAsia"/>
          <w:lang w:eastAsia="zh-CN"/>
        </w:rPr>
        <w:t>9</w:t>
      </w:r>
      <w:r w:rsidRPr="00415158">
        <w:rPr>
          <w:rFonts w:eastAsiaTheme="minorEastAsia"/>
          <w:lang w:eastAsia="zh-CN"/>
        </w:rPr>
        <w:t>.2.5.4, 9.3.8, 10.1.21 for FR2 are only applicable for FR2-1,</w:t>
      </w:r>
    </w:p>
    <w:p w14:paraId="11862CD7" w14:textId="77777777" w:rsidR="001E087A" w:rsidRPr="00415158" w:rsidRDefault="001E087A" w:rsidP="001E087A">
      <w:pPr>
        <w:rPr>
          <w:rFonts w:eastAsiaTheme="minorEastAsia"/>
          <w:lang w:eastAsia="zh-CN"/>
        </w:rPr>
      </w:pPr>
      <w:r w:rsidRPr="00415158">
        <w:rPr>
          <w:rFonts w:eastAsiaTheme="minorEastAsia"/>
          <w:lang w:eastAsia="zh-CN"/>
        </w:rPr>
        <w:t xml:space="preserve">CGI identification requirements in </w:t>
      </w:r>
      <w:r w:rsidRPr="00415158">
        <w:rPr>
          <w:rFonts w:eastAsiaTheme="minorEastAsia" w:hint="eastAsia"/>
          <w:lang w:eastAsia="zh-CN"/>
        </w:rPr>
        <w:t>clause</w:t>
      </w:r>
      <w:r w:rsidRPr="00415158">
        <w:rPr>
          <w:rFonts w:eastAsiaTheme="minorEastAsia"/>
          <w:lang w:eastAsia="zh-CN"/>
        </w:rPr>
        <w:t xml:space="preserve"> 9.11 for FR2 are only applicable for FR2-1,</w:t>
      </w:r>
    </w:p>
    <w:p w14:paraId="66881D42" w14:textId="003D997A" w:rsidR="002A4741" w:rsidRDefault="001E087A" w:rsidP="002A4741">
      <w:pPr>
        <w:rPr>
          <w:rFonts w:eastAsiaTheme="minorEastAsia"/>
          <w:lang w:eastAsia="zh-CN"/>
        </w:rPr>
      </w:pPr>
      <w:r w:rsidRPr="00415158">
        <w:rPr>
          <w:rFonts w:eastAsiaTheme="minorEastAsia"/>
          <w:lang w:eastAsia="zh-CN"/>
        </w:rPr>
        <w:t xml:space="preserve">Inter-band CA requirements </w:t>
      </w:r>
      <w:r w:rsidRPr="00415158">
        <w:rPr>
          <w:rFonts w:eastAsiaTheme="minorEastAsia" w:hint="eastAsia"/>
          <w:lang w:eastAsia="zh-CN"/>
        </w:rPr>
        <w:t>in</w:t>
      </w:r>
      <w:r w:rsidRPr="00415158">
        <w:rPr>
          <w:rFonts w:eastAsiaTheme="minorEastAsia"/>
          <w:lang w:eastAsia="zh-CN"/>
        </w:rPr>
        <w:t xml:space="preserve"> </w:t>
      </w:r>
      <w:r w:rsidRPr="00415158">
        <w:rPr>
          <w:rFonts w:eastAsiaTheme="minorEastAsia" w:hint="eastAsia"/>
          <w:lang w:eastAsia="zh-CN"/>
        </w:rPr>
        <w:t>all</w:t>
      </w:r>
      <w:r w:rsidRPr="00415158">
        <w:rPr>
          <w:rFonts w:eastAsiaTheme="minorEastAsia"/>
          <w:lang w:eastAsia="zh-CN"/>
        </w:rPr>
        <w:t xml:space="preserve"> corresponding</w:t>
      </w:r>
      <w:r w:rsidRPr="00415158">
        <w:rPr>
          <w:rFonts w:eastAsiaTheme="minorEastAsia" w:hint="eastAsia"/>
          <w:lang w:eastAsia="zh-CN"/>
        </w:rPr>
        <w:t xml:space="preserve"> clause</w:t>
      </w:r>
      <w:r w:rsidRPr="00415158">
        <w:rPr>
          <w:rFonts w:eastAsiaTheme="minorEastAsia"/>
          <w:lang w:eastAsia="zh-CN"/>
        </w:rPr>
        <w:t>s for FR2 are only applicable for FR2-1.</w:t>
      </w:r>
    </w:p>
    <w:p w14:paraId="56357B11" w14:textId="15748515" w:rsidR="001B50F0" w:rsidRPr="002F27CB" w:rsidRDefault="001B50F0" w:rsidP="002A4741">
      <w:pPr>
        <w:rPr>
          <w:rFonts w:eastAsiaTheme="minorEastAsia"/>
          <w:lang w:eastAsia="zh-CN"/>
        </w:rPr>
      </w:pPr>
      <w:r w:rsidRPr="009C5807">
        <w:t>L1-</w:t>
      </w:r>
      <w:r>
        <w:t>RSRP</w:t>
      </w:r>
      <w:r w:rsidRPr="009C5807">
        <w:t xml:space="preserve"> measurements for </w:t>
      </w:r>
      <w:r>
        <w:t>a cell with different PCI from serving cell in clause 9.13 for FR2 are only applicable for FR2-1.</w:t>
      </w:r>
    </w:p>
    <w:p w14:paraId="7E9DE41A" w14:textId="6ED6C17A" w:rsidR="001432B1" w:rsidRDefault="001432B1" w:rsidP="001432B1">
      <w:pPr>
        <w:pStyle w:val="Heading3"/>
      </w:pPr>
      <w:r>
        <w:rPr>
          <w:lang w:val="en-US" w:eastAsia="ko-KR"/>
        </w:rPr>
        <w:t>3.6.14</w:t>
      </w:r>
      <w:r w:rsidRPr="00D04D64">
        <w:rPr>
          <w:lang w:val="en-US" w:eastAsia="ko-KR"/>
        </w:rPr>
        <w:tab/>
      </w:r>
      <w:r w:rsidRPr="00D04D64">
        <w:t xml:space="preserve">Applicability of requirements </w:t>
      </w:r>
      <w:r>
        <w:t>for FR2 Power Class 6</w:t>
      </w:r>
    </w:p>
    <w:p w14:paraId="0A44B5D4" w14:textId="0190FC5D" w:rsidR="001432B1" w:rsidRDefault="001432B1" w:rsidP="001432B1">
      <w:r>
        <w:t>For Rel-17 FR2 power class 6 for the UE type of high speed train roof-mounted UE, UE shall only be in NR SA operation.</w:t>
      </w:r>
    </w:p>
    <w:p w14:paraId="4A0D22A7" w14:textId="3934F43E" w:rsidR="00710B16" w:rsidRDefault="00710B16" w:rsidP="00710B16">
      <w:pPr>
        <w:rPr>
          <w:color w:val="000000"/>
          <w:lang w:val="en-US"/>
        </w:rPr>
      </w:pPr>
      <w:r w:rsidRPr="00FE2453">
        <w:rPr>
          <w:lang w:val="en-US"/>
        </w:rPr>
        <w:t xml:space="preserve">Measurement and evaluation period requirements with </w:t>
      </w:r>
      <w:r w:rsidRPr="00FE2453">
        <w:rPr>
          <w:i/>
          <w:iCs/>
          <w:lang w:val="en-US"/>
        </w:rPr>
        <w:t>highSpeedMeasFlagFR2-r17</w:t>
      </w:r>
      <w:r w:rsidRPr="00FE2453">
        <w:rPr>
          <w:lang w:val="en-US"/>
        </w:rPr>
        <w:t xml:space="preserve"> configured in clause 4.2.2.3, 8.1.2.2, 8.5.2.2, 9.2.5, 9.2.6, 9.5.4, [9.8.4], delay requirements in clause 6.2.1.2.1, 8.10.3A, and UL timing adjustment in clause 7.1.2.3, are only applicable when any</w:t>
      </w:r>
      <w:r w:rsidRPr="00FE2453">
        <w:rPr>
          <w:color w:val="000000"/>
          <w:lang w:val="en-US"/>
        </w:rPr>
        <w:t xml:space="preserve"> two SSBs from non-collocated adjacent RRHs are not on the same or consecutive symbols.</w:t>
      </w:r>
    </w:p>
    <w:p w14:paraId="08F01D3A" w14:textId="2F91C2AD" w:rsidR="001432B1" w:rsidRDefault="00710B16" w:rsidP="002A4741">
      <w:pPr>
        <w:rPr>
          <w:lang w:val="en-US"/>
        </w:rPr>
      </w:pPr>
      <w:r w:rsidRPr="00223CE8">
        <w:rPr>
          <w:lang w:val="en-US"/>
        </w:rPr>
        <w:t>L1-SINR accuracy requirements for FR2 configured in clause 10.1.28 and intra-frequency SS-SINR accuracy requirements configured in clause 10.1.13 are not applicable to Rel-17 HST FR2 power class 6 UEs.</w:t>
      </w:r>
    </w:p>
    <w:p w14:paraId="05E620EC" w14:textId="6889A871" w:rsidR="001D3629" w:rsidRDefault="001D3629" w:rsidP="002A4741">
      <w:pPr>
        <w:rPr>
          <w:lang w:val="en-US"/>
        </w:rPr>
      </w:pPr>
    </w:p>
    <w:p w14:paraId="70E12910" w14:textId="77777777" w:rsidR="001D3629" w:rsidRDefault="001D3629" w:rsidP="001D3629">
      <w:pPr>
        <w:pStyle w:val="Heading3"/>
      </w:pPr>
      <w:r>
        <w:rPr>
          <w:lang w:val="en-US" w:eastAsia="ko-KR"/>
        </w:rPr>
        <w:t>3.6.15</w:t>
      </w:r>
      <w:r w:rsidRPr="00D04D64">
        <w:rPr>
          <w:lang w:val="en-US" w:eastAsia="ko-KR"/>
        </w:rPr>
        <w:tab/>
      </w:r>
      <w:r w:rsidRPr="00D04D64">
        <w:t xml:space="preserve">Applicability of requirements </w:t>
      </w:r>
      <w:r>
        <w:t>for per-FR gap</w:t>
      </w:r>
    </w:p>
    <w:p w14:paraId="08F139EF" w14:textId="77777777" w:rsidR="001D3629" w:rsidRPr="009C5807" w:rsidRDefault="001D3629" w:rsidP="001D3629">
      <w:r w:rsidRPr="00430F21">
        <w:t xml:space="preserve">Requirements for </w:t>
      </w:r>
      <w:r>
        <w:t>per-FR gap</w:t>
      </w:r>
      <w:r w:rsidRPr="00430F21">
        <w:t xml:space="preserve"> are applicable for the UE </w:t>
      </w:r>
      <w:r>
        <w:t>indicating one of the following capabilities:</w:t>
      </w:r>
    </w:p>
    <w:p w14:paraId="294847B0" w14:textId="77777777" w:rsidR="001D3629" w:rsidRPr="009C5807" w:rsidRDefault="001D3629" w:rsidP="001D3629">
      <w:pPr>
        <w:pStyle w:val="B10"/>
        <w:rPr>
          <w:lang w:eastAsia="ko-KR"/>
        </w:rPr>
      </w:pPr>
      <w:r w:rsidRPr="009C5807">
        <w:rPr>
          <w:lang w:eastAsia="ko-KR"/>
        </w:rPr>
        <w:t>-</w:t>
      </w:r>
      <w:r w:rsidRPr="009C5807">
        <w:rPr>
          <w:lang w:eastAsia="ko-KR"/>
        </w:rPr>
        <w:tab/>
      </w:r>
      <w:r w:rsidRPr="00430F21">
        <w:rPr>
          <w:lang w:eastAsia="ko-KR"/>
        </w:rPr>
        <w:t>Rel-15 capability “independentGapConfig”</w:t>
      </w:r>
      <w:r>
        <w:rPr>
          <w:lang w:eastAsia="ko-KR"/>
        </w:rPr>
        <w:t>;</w:t>
      </w:r>
    </w:p>
    <w:p w14:paraId="040FE56D" w14:textId="60FD8938" w:rsidR="001D3629" w:rsidRDefault="001D3629" w:rsidP="001D3629">
      <w:pPr>
        <w:pStyle w:val="B10"/>
        <w:rPr>
          <w:lang w:eastAsia="ko-KR"/>
        </w:rPr>
      </w:pPr>
      <w:r w:rsidRPr="009C5807">
        <w:rPr>
          <w:lang w:eastAsia="ko-KR"/>
        </w:rPr>
        <w:t>-</w:t>
      </w:r>
      <w:r w:rsidRPr="009C5807">
        <w:rPr>
          <w:lang w:eastAsia="ko-KR"/>
        </w:rPr>
        <w:tab/>
      </w:r>
      <w:r w:rsidRPr="00430F21">
        <w:rPr>
          <w:lang w:eastAsia="ko-KR"/>
        </w:rPr>
        <w:t xml:space="preserve">Rel-17 capability “independentGapConfig-maxCC-r17,” </w:t>
      </w:r>
      <w:r>
        <w:rPr>
          <w:lang w:eastAsia="ko-KR"/>
        </w:rPr>
        <w:t xml:space="preserve">and </w:t>
      </w:r>
      <w:r w:rsidRPr="00430F21">
        <w:rPr>
          <w:lang w:eastAsia="ko-KR"/>
        </w:rPr>
        <w:t>the number of configured serving cells is less than or equal to the indicated paramters “fr1-Only,” “fr2-Only,” and “fr1And2</w:t>
      </w:r>
      <w:r>
        <w:rPr>
          <w:lang w:eastAsia="ko-KR"/>
        </w:rPr>
        <w:t>,</w:t>
      </w:r>
      <w:r w:rsidRPr="00430F21">
        <w:rPr>
          <w:lang w:eastAsia="ko-KR"/>
        </w:rPr>
        <w:t>”</w:t>
      </w:r>
      <w:r>
        <w:rPr>
          <w:lang w:eastAsia="ko-KR"/>
        </w:rPr>
        <w:t xml:space="preserve"> as specified in </w:t>
      </w:r>
      <w:r w:rsidRPr="00AB47F2">
        <w:rPr>
          <w:lang w:eastAsia="ko-KR"/>
        </w:rPr>
        <w:t>TS 38.</w:t>
      </w:r>
      <w:r>
        <w:rPr>
          <w:lang w:eastAsia="ko-KR"/>
        </w:rPr>
        <w:t>306 [14].</w:t>
      </w:r>
    </w:p>
    <w:p w14:paraId="7986213A" w14:textId="77777777" w:rsidR="001D3629" w:rsidRPr="009323E2" w:rsidRDefault="001D3629" w:rsidP="001D3629">
      <w:pPr>
        <w:rPr>
          <w:lang w:eastAsia="zh-CN"/>
        </w:rPr>
      </w:pPr>
    </w:p>
    <w:p w14:paraId="39C44B89" w14:textId="77777777" w:rsidR="00E738E0" w:rsidRPr="009C5807" w:rsidRDefault="00E738E0" w:rsidP="00E738E0">
      <w:pPr>
        <w:pStyle w:val="Heading1"/>
      </w:pPr>
      <w:r w:rsidRPr="009C5807">
        <w:t>4</w:t>
      </w:r>
      <w:r w:rsidRPr="009C5807">
        <w:tab/>
        <w:t>SA: RRC_IDLE state mobility</w:t>
      </w:r>
    </w:p>
    <w:p w14:paraId="2522BE1D" w14:textId="77777777" w:rsidR="00E738E0" w:rsidRPr="009C5807" w:rsidRDefault="00E738E0" w:rsidP="00E738E0">
      <w:pPr>
        <w:pStyle w:val="Heading2"/>
      </w:pPr>
      <w:bookmarkStart w:id="30" w:name="_Toc5952534"/>
      <w:r w:rsidRPr="009C5807">
        <w:t>4.1</w:t>
      </w:r>
      <w:r w:rsidRPr="009C5807">
        <w:tab/>
        <w:t>Cell Selection</w:t>
      </w:r>
      <w:bookmarkEnd w:id="30"/>
    </w:p>
    <w:p w14:paraId="12D826D0" w14:textId="6A40B783" w:rsidR="00DB10CF" w:rsidRDefault="00DB10CF" w:rsidP="00DB10CF">
      <w:bookmarkStart w:id="31" w:name="_Toc5952535"/>
      <w:r w:rsidRPr="009C5807">
        <w:t>After a UE has switched on and a PLMN has been selected, the Cell selection process takes place, as described in TS 38.304 [1]. This process allows the UE to select a suitable cell where to camp on in order to access available services. In this process, the UE can use stored information (</w:t>
      </w:r>
      <w:r w:rsidRPr="009C5807">
        <w:rPr>
          <w:i/>
        </w:rPr>
        <w:t>Stored information cell selection</w:t>
      </w:r>
      <w:r w:rsidRPr="009C5807">
        <w:t>) or not (</w:t>
      </w:r>
      <w:r w:rsidRPr="009C5807">
        <w:rPr>
          <w:i/>
        </w:rPr>
        <w:t>Initial cell selection</w:t>
      </w:r>
      <w:r w:rsidRPr="009C5807">
        <w:t>).</w:t>
      </w:r>
    </w:p>
    <w:p w14:paraId="090D5DFC" w14:textId="77777777" w:rsidR="000558CD" w:rsidRDefault="000558CD" w:rsidP="000558CD">
      <w:pPr>
        <w:rPr>
          <w:lang w:eastAsia="sv-SE"/>
        </w:rPr>
      </w:pPr>
      <w:r>
        <w:rPr>
          <w:lang w:eastAsia="sv-SE"/>
        </w:rPr>
        <w:t>T</w:t>
      </w:r>
      <w:r w:rsidRPr="006857A3">
        <w:rPr>
          <w:lang w:eastAsia="sv-SE"/>
        </w:rPr>
        <w:t xml:space="preserve">he 1 Rx RedCap </w:t>
      </w:r>
      <w:r>
        <w:rPr>
          <w:lang w:eastAsia="sv-SE"/>
        </w:rPr>
        <w:t xml:space="preserve">UE for the cell selection procedure [1] </w:t>
      </w:r>
      <w:r w:rsidRPr="006857A3">
        <w:rPr>
          <w:lang w:eastAsia="sv-SE"/>
        </w:rPr>
        <w:t>applies</w:t>
      </w:r>
      <w:r>
        <w:rPr>
          <w:lang w:eastAsia="sv-SE"/>
        </w:rPr>
        <w:t>:</w:t>
      </w:r>
    </w:p>
    <w:p w14:paraId="60DB42A5" w14:textId="77777777" w:rsidR="000558CD" w:rsidRPr="005F511B" w:rsidRDefault="000558CD" w:rsidP="000558CD">
      <w:pPr>
        <w:pStyle w:val="B10"/>
        <w:rPr>
          <w:rFonts w:cs="v4.2.0"/>
        </w:rPr>
      </w:pPr>
      <w:r>
        <w:rPr>
          <w:i/>
        </w:rPr>
        <w:t>-</w:t>
      </w:r>
      <w:r>
        <w:rPr>
          <w:i/>
        </w:rPr>
        <w:tab/>
      </w:r>
      <w:r w:rsidRPr="005F511B">
        <w:rPr>
          <w:i/>
        </w:rPr>
        <w:t xml:space="preserve">Qrxlevmin </w:t>
      </w:r>
      <w:r w:rsidRPr="006857A3">
        <w:rPr>
          <w:lang w:eastAsia="sv-SE"/>
        </w:rPr>
        <w:t xml:space="preserve">as the signaled value of </w:t>
      </w:r>
      <w:r w:rsidRPr="005F511B">
        <w:rPr>
          <w:i/>
        </w:rPr>
        <w:t xml:space="preserve">Qrxlevmin </w:t>
      </w:r>
      <w:r>
        <w:rPr>
          <w:lang w:eastAsia="sv-SE"/>
        </w:rPr>
        <w:t>[2] -1 dB</w:t>
      </w:r>
      <w:r w:rsidRPr="006857A3">
        <w:rPr>
          <w:lang w:eastAsia="sv-SE"/>
        </w:rPr>
        <w:t>.</w:t>
      </w:r>
    </w:p>
    <w:p w14:paraId="4FCD10E1" w14:textId="56989353" w:rsidR="000558CD" w:rsidRPr="009C5807" w:rsidRDefault="000558CD" w:rsidP="000558CD">
      <w:pPr>
        <w:pStyle w:val="B10"/>
      </w:pPr>
      <w:r>
        <w:rPr>
          <w:i/>
        </w:rPr>
        <w:t>-</w:t>
      </w:r>
      <w:r>
        <w:rPr>
          <w:i/>
        </w:rPr>
        <w:tab/>
      </w:r>
      <w:r w:rsidRPr="00A14EB4">
        <w:rPr>
          <w:i/>
        </w:rPr>
        <w:t xml:space="preserve">Qqualmin </w:t>
      </w:r>
      <w:r w:rsidRPr="006857A3">
        <w:rPr>
          <w:lang w:eastAsia="sv-SE"/>
        </w:rPr>
        <w:t xml:space="preserve">as the signaled value of </w:t>
      </w:r>
      <w:r w:rsidRPr="00A14EB4">
        <w:rPr>
          <w:i/>
        </w:rPr>
        <w:t>Qqualmin</w:t>
      </w:r>
      <w:r w:rsidRPr="006857A3">
        <w:rPr>
          <w:lang w:eastAsia="sv-SE"/>
        </w:rPr>
        <w:t xml:space="preserve"> </w:t>
      </w:r>
      <w:r>
        <w:rPr>
          <w:lang w:eastAsia="sv-SE"/>
        </w:rPr>
        <w:t>[2] -1 dB</w:t>
      </w:r>
      <w:r w:rsidRPr="006857A3">
        <w:rPr>
          <w:lang w:eastAsia="sv-SE"/>
        </w:rPr>
        <w:t>.</w:t>
      </w:r>
    </w:p>
    <w:p w14:paraId="0CF7BC33" w14:textId="77777777" w:rsidR="00E738E0" w:rsidRPr="009C5807" w:rsidRDefault="00E738E0" w:rsidP="00E738E0">
      <w:pPr>
        <w:pStyle w:val="Heading2"/>
      </w:pPr>
      <w:r w:rsidRPr="009C5807">
        <w:t>4.2</w:t>
      </w:r>
      <w:r w:rsidRPr="009C5807">
        <w:tab/>
        <w:t>Cell Re-selection</w:t>
      </w:r>
      <w:bookmarkEnd w:id="31"/>
    </w:p>
    <w:p w14:paraId="16FBA37B" w14:textId="77777777" w:rsidR="00E738E0" w:rsidRPr="009C5807" w:rsidRDefault="00E738E0" w:rsidP="00E738E0">
      <w:pPr>
        <w:pStyle w:val="Heading3"/>
        <w:rPr>
          <w:lang w:val="en-US" w:eastAsia="ko-KR"/>
        </w:rPr>
      </w:pPr>
      <w:bookmarkStart w:id="32" w:name="_Toc5952536"/>
      <w:r w:rsidRPr="009C5807">
        <w:rPr>
          <w:lang w:val="en-US" w:eastAsia="ko-KR"/>
        </w:rPr>
        <w:t>4.2.1</w:t>
      </w:r>
      <w:r w:rsidRPr="009C5807">
        <w:rPr>
          <w:lang w:val="en-US" w:eastAsia="ko-KR"/>
        </w:rPr>
        <w:tab/>
        <w:t>Introduction</w:t>
      </w:r>
      <w:bookmarkEnd w:id="32"/>
    </w:p>
    <w:p w14:paraId="4EBB6CF1" w14:textId="77777777" w:rsidR="00E738E0" w:rsidRPr="009C5807" w:rsidRDefault="00E738E0" w:rsidP="00E738E0">
      <w:pPr>
        <w:rPr>
          <w:rFonts w:cs="v4.2.0"/>
        </w:rPr>
      </w:pPr>
      <w:r w:rsidRPr="009C5807">
        <w:rPr>
          <w:rFonts w:cs="v4.2.0"/>
        </w:rPr>
        <w:t>The cell reselection procedure allows the UE to select a more suitable cell and camp on it.</w:t>
      </w:r>
    </w:p>
    <w:p w14:paraId="074F296E" w14:textId="6FE66916" w:rsidR="00E738E0" w:rsidRPr="009C5807" w:rsidRDefault="00E738E0" w:rsidP="00E738E0">
      <w:r w:rsidRPr="009C5807">
        <w:rPr>
          <w:rFonts w:cs="v4.2.0"/>
        </w:rPr>
        <w:t xml:space="preserve">When the UE is in either </w:t>
      </w:r>
      <w:r w:rsidRPr="009C5807">
        <w:rPr>
          <w:rFonts w:cs="v4.2.0"/>
          <w:i/>
        </w:rPr>
        <w:t>Camped</w:t>
      </w:r>
      <w:r w:rsidRPr="009C5807">
        <w:rPr>
          <w:rFonts w:cs="v4.2.0"/>
        </w:rPr>
        <w:t xml:space="preserve"> </w:t>
      </w:r>
      <w:r w:rsidRPr="009C5807">
        <w:rPr>
          <w:rFonts w:cs="v4.2.0"/>
          <w:i/>
        </w:rPr>
        <w:t xml:space="preserve">Normally </w:t>
      </w:r>
      <w:r w:rsidRPr="009C5807">
        <w:rPr>
          <w:rFonts w:cs="v4.2.0"/>
        </w:rPr>
        <w:t xml:space="preserve">state or </w:t>
      </w:r>
      <w:r w:rsidRPr="009C5807">
        <w:rPr>
          <w:rFonts w:cs="v4.2.0"/>
          <w:i/>
          <w:iCs/>
        </w:rPr>
        <w:t>Camped on Any Cell</w:t>
      </w:r>
      <w:r w:rsidRPr="009C5807">
        <w:rPr>
          <w:rFonts w:cs="v4.2.0"/>
        </w:rPr>
        <w:t xml:space="preserve"> state on a cell, the UE shall attempt to detect, synchronise, and monitor intra-frequency, inter-frequency and inter-RAT cells indicated by the serving cell. For intra-frequency and inter-frequency cells the serving cell may not provide explicit neighbour list but carrier frequency information and bandwidth information only. UE measurement activity is also controlled by measurement rules defined </w:t>
      </w:r>
      <w:r w:rsidR="00CF54F2" w:rsidRPr="009C5807">
        <w:rPr>
          <w:rFonts w:cs="v4.2.0"/>
        </w:rPr>
        <w:t>in TS</w:t>
      </w:r>
      <w:r w:rsidR="00CF54F2" w:rsidRPr="009C5807">
        <w:t> </w:t>
      </w:r>
      <w:r w:rsidR="00CF54F2" w:rsidRPr="009C5807">
        <w:rPr>
          <w:rFonts w:cs="v4.2.0"/>
        </w:rPr>
        <w:t>38.304</w:t>
      </w:r>
      <w:r w:rsidR="00CF54F2" w:rsidRPr="009C5807">
        <w:rPr>
          <w:rFonts w:hint="eastAsia"/>
          <w:lang w:val="en-US" w:eastAsia="zh-CN"/>
        </w:rPr>
        <w:t xml:space="preserve"> [1]</w:t>
      </w:r>
      <w:r w:rsidR="00CF54F2" w:rsidRPr="009C5807">
        <w:rPr>
          <w:rFonts w:cs="v4.2.0"/>
        </w:rPr>
        <w:t>, allowing the UE to limit its measurement activity</w:t>
      </w:r>
    </w:p>
    <w:p w14:paraId="02F50634" w14:textId="77777777" w:rsidR="00E738E0" w:rsidRPr="009C5807" w:rsidRDefault="00E738E0" w:rsidP="00E738E0">
      <w:r w:rsidRPr="009C5807">
        <w:t>In the requirements of clause 4.2, the exceptions for side conditions apply as follows:</w:t>
      </w:r>
    </w:p>
    <w:p w14:paraId="0CFBB6EF" w14:textId="77777777" w:rsidR="00E738E0" w:rsidRPr="009C5807" w:rsidRDefault="00E738E0" w:rsidP="00E738E0">
      <w:pPr>
        <w:pStyle w:val="B10"/>
      </w:pPr>
      <w:r w:rsidRPr="009C5807">
        <w:t>-</w:t>
      </w:r>
      <w:r w:rsidRPr="009C5807">
        <w:tab/>
        <w:t>for the UE capable of CA, the applicable exceptions for side conditions are specified in Annex B, clause B.3.2.1, B.3.2.3, or B.3.2.5 for UE supporting CA in FR1, CA in FR2 and CA between FR1 and FR2, respectively;</w:t>
      </w:r>
    </w:p>
    <w:p w14:paraId="2FA5B197" w14:textId="77777777" w:rsidR="00E738E0" w:rsidRPr="009C5807" w:rsidRDefault="00E738E0" w:rsidP="00E738E0">
      <w:pPr>
        <w:pStyle w:val="B10"/>
      </w:pPr>
      <w:r w:rsidRPr="009C5807">
        <w:t>-</w:t>
      </w:r>
      <w:r w:rsidRPr="009C5807">
        <w:tab/>
        <w:t>for the UE capable of SUL, the applicable exceptions for side conditions are specified in Annex B, clause B.3.4.1 for UE supporting SUL in FR1.</w:t>
      </w:r>
    </w:p>
    <w:p w14:paraId="029AB242" w14:textId="77777777" w:rsidR="00E738E0" w:rsidRPr="009C5807" w:rsidRDefault="00E738E0" w:rsidP="00E738E0">
      <w:pPr>
        <w:pStyle w:val="Heading3"/>
        <w:rPr>
          <w:lang w:val="en-US" w:eastAsia="ko-KR"/>
        </w:rPr>
      </w:pPr>
      <w:bookmarkStart w:id="33" w:name="_Toc5952537"/>
      <w:r w:rsidRPr="009C5807">
        <w:rPr>
          <w:lang w:val="en-US" w:eastAsia="ko-KR"/>
        </w:rPr>
        <w:t>4.2.2</w:t>
      </w:r>
      <w:r w:rsidRPr="009C5807">
        <w:rPr>
          <w:lang w:val="en-US" w:eastAsia="ko-KR"/>
        </w:rPr>
        <w:tab/>
        <w:t>Requirements</w:t>
      </w:r>
      <w:bookmarkEnd w:id="33"/>
    </w:p>
    <w:p w14:paraId="03B5525A" w14:textId="77777777" w:rsidR="00E738E0" w:rsidRPr="009C5807" w:rsidRDefault="00E738E0" w:rsidP="00E738E0">
      <w:pPr>
        <w:pStyle w:val="Heading4"/>
        <w:rPr>
          <w:lang w:val="en-US" w:eastAsia="zh-CN"/>
        </w:rPr>
      </w:pPr>
      <w:bookmarkStart w:id="34" w:name="_Toc5952538"/>
      <w:bookmarkStart w:id="35" w:name="_Hlk1031227"/>
      <w:r w:rsidRPr="009C5807">
        <w:rPr>
          <w:lang w:val="en-US" w:eastAsia="zh-CN"/>
        </w:rPr>
        <w:t>4.2.2.1</w:t>
      </w:r>
      <w:r w:rsidRPr="009C5807">
        <w:rPr>
          <w:lang w:val="en-US" w:eastAsia="zh-CN"/>
        </w:rPr>
        <w:tab/>
        <w:t>UE measurement capability</w:t>
      </w:r>
      <w:bookmarkEnd w:id="34"/>
    </w:p>
    <w:p w14:paraId="092DA85E" w14:textId="77777777" w:rsidR="00D10036" w:rsidRPr="005735B1" w:rsidRDefault="00D10036" w:rsidP="00D10036">
      <w:r w:rsidRPr="005735B1">
        <w:t xml:space="preserve">For idle mode cell re-selection purposes, and for UE supporting </w:t>
      </w:r>
      <w:r w:rsidRPr="005735B1">
        <w:rPr>
          <w:i/>
          <w:iCs/>
        </w:rPr>
        <w:t>IdleInactiveMeasurements-r16</w:t>
      </w:r>
      <w:r w:rsidRPr="005735B1">
        <w:t xml:space="preserve"> or </w:t>
      </w:r>
      <w:r w:rsidRPr="005735B1">
        <w:rPr>
          <w:i/>
        </w:rPr>
        <w:t>idleInactiveEUTRA-MeasReport-r16</w:t>
      </w:r>
      <w:r>
        <w:rPr>
          <w:iCs/>
        </w:rPr>
        <w:t xml:space="preserve">, </w:t>
      </w:r>
      <w:r w:rsidRPr="00077CB0">
        <w:rPr>
          <w:iCs/>
        </w:rPr>
        <w:t>for</w:t>
      </w:r>
      <w:r w:rsidRPr="005735B1">
        <w:t xml:space="preserve"> NR CA and MR-DC</w:t>
      </w:r>
      <w:r w:rsidRPr="005735B1">
        <w:rPr>
          <w:rFonts w:hint="eastAsia"/>
        </w:rPr>
        <w:t xml:space="preserve"> measurement</w:t>
      </w:r>
      <w:r>
        <w:t xml:space="preserve"> </w:t>
      </w:r>
      <w:r w:rsidRPr="00077CB0">
        <w:t>purpose</w:t>
      </w:r>
      <w:r w:rsidRPr="005735B1">
        <w:t>,</w:t>
      </w:r>
      <w:r w:rsidRPr="005735B1">
        <w:rPr>
          <w:rFonts w:hint="eastAsia"/>
        </w:rPr>
        <w:t xml:space="preserve"> </w:t>
      </w:r>
      <w:r w:rsidRPr="005735B1">
        <w:t>the UE shall be capable of monitoring at least:</w:t>
      </w:r>
    </w:p>
    <w:p w14:paraId="4D09F24A" w14:textId="77777777" w:rsidR="00E738E0" w:rsidRPr="009C5807" w:rsidRDefault="00E738E0" w:rsidP="00E738E0">
      <w:pPr>
        <w:pStyle w:val="B10"/>
      </w:pPr>
      <w:r w:rsidRPr="009C5807">
        <w:rPr>
          <w:rFonts w:cs="v4.2.0"/>
        </w:rPr>
        <w:t>-</w:t>
      </w:r>
      <w:r w:rsidRPr="009C5807">
        <w:rPr>
          <w:rFonts w:cs="v4.2.0"/>
        </w:rPr>
        <w:tab/>
        <w:t>Intra-frequency carrier, and</w:t>
      </w:r>
    </w:p>
    <w:p w14:paraId="11A0E4EA" w14:textId="77777777" w:rsidR="00E738E0" w:rsidRPr="009C5807" w:rsidRDefault="00E738E0" w:rsidP="00E738E0">
      <w:pPr>
        <w:pStyle w:val="B10"/>
      </w:pPr>
      <w:r w:rsidRPr="009C5807">
        <w:t>-</w:t>
      </w:r>
      <w:r w:rsidRPr="009C5807">
        <w:tab/>
        <w:t>Depending on UE capability, 7 NR inter-frequency carriers, and</w:t>
      </w:r>
    </w:p>
    <w:p w14:paraId="647AAB4A" w14:textId="77777777" w:rsidR="00E738E0" w:rsidRPr="009C5807" w:rsidRDefault="00E738E0" w:rsidP="00E738E0">
      <w:pPr>
        <w:pStyle w:val="B10"/>
      </w:pPr>
      <w:r w:rsidRPr="009C5807">
        <w:t>-</w:t>
      </w:r>
      <w:r w:rsidRPr="009C5807">
        <w:tab/>
        <w:t>Depending on UE capability, 7 FDD E-UTRA inter-RAT carriers, and</w:t>
      </w:r>
    </w:p>
    <w:p w14:paraId="510A1E42" w14:textId="77777777" w:rsidR="00E738E0" w:rsidRPr="009C5807" w:rsidRDefault="00E738E0" w:rsidP="00E738E0">
      <w:pPr>
        <w:pStyle w:val="B10"/>
      </w:pPr>
      <w:r w:rsidRPr="009C5807">
        <w:t>-</w:t>
      </w:r>
      <w:r w:rsidRPr="009C5807">
        <w:tab/>
        <w:t>Depending on UE capability, 7 TDD E-UTRA inter-RAT carriers.</w:t>
      </w:r>
    </w:p>
    <w:p w14:paraId="49F9ADFA" w14:textId="6A540BB7" w:rsidR="000C77DD" w:rsidRDefault="00E738E0" w:rsidP="000C77DD">
      <w:r w:rsidRPr="009C5807">
        <w:rPr>
          <w:iCs/>
        </w:rPr>
        <w:t xml:space="preserve">In addition to the requirements defined above, </w:t>
      </w:r>
      <w:r w:rsidRPr="009C5807">
        <w:t>a UE supporting E-UTRA measurements in RRC_IDLE state shall be capable of monitoring a total of at least 14 carrier frequency layers, which includes serving layer, comprising of any above defined combination of E-UTRA FDD, E-UTRA TDD and NR layers.</w:t>
      </w:r>
    </w:p>
    <w:p w14:paraId="0C37A4CB" w14:textId="090A09EB" w:rsidR="00E738E0" w:rsidRPr="009C5807" w:rsidRDefault="00E738E0" w:rsidP="00E738E0"/>
    <w:bookmarkEnd w:id="35"/>
    <w:p w14:paraId="4DB9B8EA" w14:textId="77777777" w:rsidR="00E738E0" w:rsidRPr="009C5807" w:rsidRDefault="00E738E0" w:rsidP="00DB10CF">
      <w:pPr>
        <w:pStyle w:val="Heading4"/>
        <w:rPr>
          <w:lang w:val="en-US"/>
        </w:rPr>
      </w:pPr>
      <w:r w:rsidRPr="009C5807">
        <w:rPr>
          <w:lang w:val="en-US"/>
        </w:rPr>
        <w:t>4.2.2.2</w:t>
      </w:r>
      <w:r w:rsidRPr="009C5807">
        <w:rPr>
          <w:lang w:val="en-US"/>
        </w:rPr>
        <w:tab/>
        <w:t>Measurement and evaluation of serving cell</w:t>
      </w:r>
    </w:p>
    <w:p w14:paraId="491771E9" w14:textId="77777777" w:rsidR="0031358E" w:rsidRPr="00043DFE" w:rsidRDefault="0031358E" w:rsidP="0031358E">
      <w:pPr>
        <w:rPr>
          <w:rFonts w:cs="v4.2.0"/>
        </w:rPr>
      </w:pPr>
      <w:r w:rsidRPr="00043DFE">
        <w:rPr>
          <w:rFonts w:cs="v4.2.0"/>
        </w:rPr>
        <w:t xml:space="preserve">The UE shall measure the </w:t>
      </w:r>
      <w:r w:rsidRPr="00043DFE">
        <w:rPr>
          <w:rFonts w:cs="v4.2.0"/>
          <w:lang w:eastAsia="zh-CN"/>
        </w:rPr>
        <w:t>SS-</w:t>
      </w:r>
      <w:r w:rsidRPr="00043DFE">
        <w:rPr>
          <w:rFonts w:cs="v4.2.0"/>
        </w:rPr>
        <w:t xml:space="preserve">RSRP and </w:t>
      </w:r>
      <w:r w:rsidRPr="00043DFE">
        <w:rPr>
          <w:rFonts w:cs="v4.2.0"/>
          <w:lang w:eastAsia="zh-CN"/>
        </w:rPr>
        <w:t>SS-</w:t>
      </w:r>
      <w:r w:rsidRPr="00043DFE">
        <w:rPr>
          <w:rFonts w:cs="v4.2.0"/>
        </w:rPr>
        <w:t xml:space="preserve">RSRQ level of the serving cell and evaluate the cell selection criterion S defined in </w:t>
      </w:r>
      <w:r w:rsidRPr="00043DFE">
        <w:t>TS 38.304</w:t>
      </w:r>
      <w:r w:rsidRPr="00043DFE">
        <w:rPr>
          <w:rFonts w:cs="v4.2.0"/>
        </w:rPr>
        <w:t> [1] for the serving cell at least once every M1*N1 DRX cycle; where:</w:t>
      </w:r>
    </w:p>
    <w:p w14:paraId="2379C5DF" w14:textId="77777777" w:rsidR="0031358E" w:rsidRPr="00043DFE" w:rsidRDefault="0031358E" w:rsidP="0031358E">
      <w:pPr>
        <w:pStyle w:val="B10"/>
      </w:pPr>
      <w:r w:rsidRPr="00043DFE">
        <w:tab/>
        <w:t>M1=2 if SMTC periodicity (T</w:t>
      </w:r>
      <w:r w:rsidRPr="00043DFE">
        <w:rPr>
          <w:vertAlign w:val="subscript"/>
        </w:rPr>
        <w:t>SMTC</w:t>
      </w:r>
      <w:r w:rsidRPr="00043DFE">
        <w:t xml:space="preserve">) &gt; 20 ms and DRX cycle </w:t>
      </w:r>
      <w:r w:rsidRPr="00043DFE">
        <w:rPr>
          <w:rFonts w:hint="eastAsia"/>
        </w:rPr>
        <w:t>≤</w:t>
      </w:r>
      <w:r w:rsidRPr="00043DFE">
        <w:t xml:space="preserve"> 0.64 second,</w:t>
      </w:r>
    </w:p>
    <w:p w14:paraId="11A8C7C4" w14:textId="77777777" w:rsidR="0031358E" w:rsidRPr="00043DFE" w:rsidRDefault="0031358E" w:rsidP="0031358E">
      <w:pPr>
        <w:pStyle w:val="B10"/>
      </w:pPr>
      <w:r w:rsidRPr="00043DFE">
        <w:tab/>
        <w:t>otherwise M1=1.</w:t>
      </w:r>
    </w:p>
    <w:p w14:paraId="1304762F" w14:textId="5E77ED26" w:rsidR="0031358E" w:rsidRDefault="0031358E" w:rsidP="0031358E">
      <w:pPr>
        <w:rPr>
          <w:rFonts w:cs="v4.2.0"/>
        </w:rPr>
      </w:pPr>
      <w:r w:rsidRPr="00043DFE">
        <w:rPr>
          <w:rFonts w:cs="v4.2.0"/>
        </w:rPr>
        <w:t xml:space="preserve">The UE shall filter the </w:t>
      </w:r>
      <w:r w:rsidRPr="00043DFE">
        <w:rPr>
          <w:rFonts w:cs="v4.2.0"/>
          <w:lang w:eastAsia="zh-CN"/>
        </w:rPr>
        <w:t>SS-</w:t>
      </w:r>
      <w:r w:rsidRPr="00043DFE">
        <w:rPr>
          <w:rFonts w:cs="v4.2.0"/>
        </w:rPr>
        <w:t xml:space="preserve">RSRP and </w:t>
      </w:r>
      <w:r w:rsidRPr="00043DFE">
        <w:rPr>
          <w:rFonts w:cs="v4.2.0"/>
          <w:lang w:eastAsia="zh-CN"/>
        </w:rPr>
        <w:t>SS-</w:t>
      </w:r>
      <w:r w:rsidRPr="00043DFE">
        <w:rPr>
          <w:rFonts w:cs="v4.2.0"/>
        </w:rPr>
        <w:t>RSRQ measurements of the serving cell using at least 2 measurements. Within the set of measurements used for the filtering, at least two measurements shall be spaced by, at least DRX cycle/2.</w:t>
      </w:r>
    </w:p>
    <w:p w14:paraId="39D1A3F8" w14:textId="319DEA69" w:rsidR="00286737" w:rsidRPr="00043DFE" w:rsidRDefault="00286737" w:rsidP="0031358E">
      <w:pPr>
        <w:rPr>
          <w:rFonts w:cs="v4.2.0"/>
        </w:rPr>
      </w:pPr>
      <w:r w:rsidRPr="00320CAB">
        <w:rPr>
          <w:rFonts w:cs="v4.2.0"/>
          <w:lang w:eastAsia="zh-CN"/>
        </w:rPr>
        <w:t xml:space="preserve">For UE </w:t>
      </w:r>
      <w:r>
        <w:rPr>
          <w:rFonts w:cs="v4.2.0"/>
          <w:lang w:eastAsia="zh-CN"/>
        </w:rPr>
        <w:t xml:space="preserve">not </w:t>
      </w:r>
      <w:r w:rsidRPr="00320CAB">
        <w:rPr>
          <w:rFonts w:cs="v4.2.0"/>
          <w:lang w:eastAsia="zh-CN"/>
        </w:rPr>
        <w:t xml:space="preserve">configured with </w:t>
      </w:r>
      <w:r w:rsidRPr="00320CAB">
        <w:rPr>
          <w:rFonts w:cs="v4.2.0"/>
          <w:i/>
          <w:iCs/>
          <w:lang w:eastAsia="zh-CN"/>
        </w:rPr>
        <w:t>highSpeedMeasFlagFR2-r17</w:t>
      </w:r>
      <w:r w:rsidRPr="00320CAB">
        <w:rPr>
          <w:rFonts w:cs="v4.2.0"/>
          <w:lang w:eastAsia="zh-CN"/>
        </w:rPr>
        <w:t xml:space="preserve">, </w:t>
      </w:r>
      <w:r>
        <w:t>Nserv is</w:t>
      </w:r>
      <w:r w:rsidRPr="00320CAB">
        <w:rPr>
          <w:rFonts w:cs="v4.2.0"/>
          <w:lang w:eastAsia="zh-CN"/>
        </w:rPr>
        <w:t xml:space="preserve"> specified in Table 4.2.2.</w:t>
      </w:r>
      <w:r>
        <w:rPr>
          <w:rFonts w:cs="v4.2.0"/>
          <w:lang w:eastAsia="zh-CN"/>
        </w:rPr>
        <w:t>2</w:t>
      </w:r>
      <w:r w:rsidRPr="00320CAB">
        <w:rPr>
          <w:rFonts w:cs="v4.2.0"/>
          <w:lang w:eastAsia="zh-CN"/>
        </w:rPr>
        <w:t xml:space="preserve">-1. For FR2 power class 6 UE configured with </w:t>
      </w:r>
      <w:r w:rsidRPr="00320CAB">
        <w:rPr>
          <w:i/>
          <w:iCs/>
        </w:rPr>
        <w:t>highSpeedMeasFlagFR2-r17</w:t>
      </w:r>
      <w:r w:rsidRPr="00320CAB">
        <w:rPr>
          <w:rFonts w:cs="v4.2.0"/>
          <w:lang w:eastAsia="zh-CN"/>
        </w:rPr>
        <w:t xml:space="preserve">, </w:t>
      </w:r>
      <w:r>
        <w:t>Nserv is</w:t>
      </w:r>
      <w:r w:rsidRPr="00320CAB">
        <w:rPr>
          <w:rFonts w:cs="v4.2.0"/>
          <w:lang w:eastAsia="zh-CN"/>
        </w:rPr>
        <w:t xml:space="preserve"> specified in Table 4.2.2.</w:t>
      </w:r>
      <w:r>
        <w:rPr>
          <w:rFonts w:cs="v4.2.0"/>
          <w:lang w:eastAsia="zh-CN"/>
        </w:rPr>
        <w:t>2</w:t>
      </w:r>
      <w:r w:rsidRPr="00320CAB">
        <w:rPr>
          <w:rFonts w:cs="v4.2.0"/>
          <w:lang w:eastAsia="zh-CN"/>
        </w:rPr>
        <w:t>-</w:t>
      </w:r>
      <w:r>
        <w:rPr>
          <w:rFonts w:cs="v4.2.0"/>
          <w:lang w:eastAsia="zh-CN"/>
        </w:rPr>
        <w:t>2</w:t>
      </w:r>
      <w:r w:rsidRPr="00320CAB">
        <w:rPr>
          <w:rFonts w:cs="v4.2.0"/>
          <w:lang w:eastAsia="zh-CN"/>
        </w:rPr>
        <w:t>.</w:t>
      </w:r>
    </w:p>
    <w:p w14:paraId="2D36A398" w14:textId="73F2A96F" w:rsidR="0031358E" w:rsidRPr="00043DFE" w:rsidRDefault="0031358E" w:rsidP="0031358E">
      <w:pPr>
        <w:rPr>
          <w:rFonts w:cs="v4.2.0"/>
        </w:rPr>
      </w:pPr>
      <w:r w:rsidRPr="00043DFE">
        <w:rPr>
          <w:rFonts w:cs="v4.2.0"/>
        </w:rPr>
        <w:t>If the UE is not configured with eDRX_IDLE cycle and the UE has evaluated according to Table</w:t>
      </w:r>
      <w:r w:rsidRPr="00043DFE">
        <w:rPr>
          <w:rFonts w:cs="v4.2.0"/>
          <w:lang w:eastAsia="zh-CN"/>
        </w:rPr>
        <w:t xml:space="preserve"> </w:t>
      </w:r>
      <w:r w:rsidRPr="00043DFE">
        <w:rPr>
          <w:rFonts w:cs="v4.2.0"/>
          <w:snapToGrid w:val="0"/>
        </w:rPr>
        <w:t>4.2.2.2-1</w:t>
      </w:r>
      <w:r w:rsidR="00A05093">
        <w:rPr>
          <w:rFonts w:cs="v4.2.0"/>
          <w:snapToGrid w:val="0"/>
        </w:rPr>
        <w:t xml:space="preserve"> or </w:t>
      </w:r>
      <w:r w:rsidR="00A05093" w:rsidRPr="00043DFE">
        <w:rPr>
          <w:rFonts w:cs="v4.2.0"/>
        </w:rPr>
        <w:t>Table</w:t>
      </w:r>
      <w:r w:rsidR="00A05093" w:rsidRPr="00043DFE">
        <w:rPr>
          <w:rFonts w:cs="v4.2.0"/>
          <w:lang w:eastAsia="zh-CN"/>
        </w:rPr>
        <w:t xml:space="preserve"> </w:t>
      </w:r>
      <w:r w:rsidR="00A05093" w:rsidRPr="00043DFE">
        <w:rPr>
          <w:rFonts w:cs="v4.2.0"/>
          <w:snapToGrid w:val="0"/>
        </w:rPr>
        <w:t>4.2.2.2-</w:t>
      </w:r>
      <w:r w:rsidR="00A05093">
        <w:rPr>
          <w:rFonts w:cs="v4.2.0"/>
          <w:snapToGrid w:val="0"/>
        </w:rPr>
        <w:t>4</w:t>
      </w:r>
      <w:r w:rsidRPr="00043DFE">
        <w:rPr>
          <w:rFonts w:cs="v4.2.0"/>
        </w:rPr>
        <w:t xml:space="preserve"> in N</w:t>
      </w:r>
      <w:r w:rsidRPr="00043DFE">
        <w:rPr>
          <w:rFonts w:cs="v4.2.0"/>
          <w:vertAlign w:val="subscript"/>
        </w:rPr>
        <w:t>serv</w:t>
      </w:r>
      <w:r w:rsidRPr="00043DFE">
        <w:rPr>
          <w:rFonts w:cs="v4.2.0"/>
        </w:rPr>
        <w:t xml:space="preserve"> consecutive DRX cycles that the serving cell does not fulfil the cell selection criterion S, the UE shall initiate the measurements of all neighbour cells indicated by the serving cell, regardless of the measurement rules currently limiting UE measurement activities.</w:t>
      </w:r>
    </w:p>
    <w:p w14:paraId="242ED2BD" w14:textId="77777777" w:rsidR="0031358E" w:rsidRPr="00043DFE" w:rsidRDefault="0031358E" w:rsidP="0031358E">
      <w:pPr>
        <w:rPr>
          <w:rFonts w:cs="v4.2.0"/>
        </w:rPr>
      </w:pPr>
      <w:r w:rsidRPr="00043DFE">
        <w:rPr>
          <w:rFonts w:cs="v4.2.0"/>
        </w:rPr>
        <w:t>If the UE is configured with eDRX_IDLE cycle and the UE has evaluated according to Table</w:t>
      </w:r>
      <w:r w:rsidRPr="00043DFE">
        <w:rPr>
          <w:rFonts w:cs="v4.2.0"/>
          <w:lang w:eastAsia="zh-CN"/>
        </w:rPr>
        <w:t xml:space="preserve"> </w:t>
      </w:r>
      <w:r w:rsidRPr="00043DFE">
        <w:rPr>
          <w:rFonts w:cs="v4.2.0"/>
          <w:snapToGrid w:val="0"/>
        </w:rPr>
        <w:t xml:space="preserve">4.2.2.2-2 and </w:t>
      </w:r>
      <w:r w:rsidRPr="00043DFE">
        <w:rPr>
          <w:rFonts w:cs="v4.2.0"/>
        </w:rPr>
        <w:t>Table</w:t>
      </w:r>
      <w:r w:rsidRPr="00043DFE">
        <w:rPr>
          <w:rFonts w:cs="v4.2.0"/>
          <w:lang w:eastAsia="zh-CN"/>
        </w:rPr>
        <w:t xml:space="preserve"> </w:t>
      </w:r>
      <w:r w:rsidRPr="00043DFE">
        <w:rPr>
          <w:rFonts w:cs="v4.2.0"/>
          <w:snapToGrid w:val="0"/>
        </w:rPr>
        <w:t>4.2.2.2-3</w:t>
      </w:r>
      <w:r w:rsidRPr="00043DFE">
        <w:rPr>
          <w:rFonts w:cs="v4.2.0"/>
        </w:rPr>
        <w:t xml:space="preserve"> in N</w:t>
      </w:r>
      <w:r w:rsidRPr="00043DFE">
        <w:rPr>
          <w:rFonts w:cs="v4.2.0"/>
          <w:vertAlign w:val="subscript"/>
        </w:rPr>
        <w:t>serv</w:t>
      </w:r>
      <w:r w:rsidRPr="00043DFE">
        <w:rPr>
          <w:rFonts w:cs="v4.2.0"/>
        </w:rPr>
        <w:t xml:space="preserve"> for eDRX cycles </w:t>
      </w:r>
      <w:r w:rsidRPr="00043DFE">
        <w:t>≤</w:t>
      </w:r>
      <w:r w:rsidRPr="00043DFE">
        <w:rPr>
          <w:rFonts w:cs="v4.2.0"/>
        </w:rPr>
        <w:t xml:space="preserve"> 10.24s, consecutive eDRX cycles that the serving cell does not fulfil the cell selection criterion S, the UE shall initiate the measurements of all neighbour cells indicated by the serving cell, regardless of the measurement rules currently limiting UE measurement activities.</w:t>
      </w:r>
    </w:p>
    <w:p w14:paraId="3357724E" w14:textId="77777777" w:rsidR="0031358E" w:rsidRPr="00043DFE" w:rsidRDefault="0031358E" w:rsidP="0031358E">
      <w:pPr>
        <w:rPr>
          <w:rFonts w:cs="v4.2.0"/>
        </w:rPr>
      </w:pPr>
      <w:r w:rsidRPr="00043DFE">
        <w:rPr>
          <w:rFonts w:cs="v4.2.0"/>
        </w:rPr>
        <w:t>If the UE is configured with eDRX_IDLE cycle and the UE has evaluated according to Table</w:t>
      </w:r>
      <w:r w:rsidRPr="00043DFE">
        <w:rPr>
          <w:rFonts w:cs="v4.2.0"/>
          <w:lang w:eastAsia="zh-CN"/>
        </w:rPr>
        <w:t xml:space="preserve"> </w:t>
      </w:r>
      <w:r w:rsidRPr="00043DFE">
        <w:rPr>
          <w:rFonts w:cs="v4.2.0"/>
          <w:snapToGrid w:val="0"/>
        </w:rPr>
        <w:t xml:space="preserve">4.2.2.2-2 and </w:t>
      </w:r>
      <w:r w:rsidRPr="00043DFE">
        <w:rPr>
          <w:rFonts w:cs="v4.2.0"/>
        </w:rPr>
        <w:t>Table</w:t>
      </w:r>
      <w:r w:rsidRPr="00043DFE">
        <w:rPr>
          <w:rFonts w:cs="v4.2.0"/>
          <w:lang w:eastAsia="zh-CN"/>
        </w:rPr>
        <w:t xml:space="preserve"> </w:t>
      </w:r>
      <w:r w:rsidRPr="00043DFE">
        <w:rPr>
          <w:rFonts w:cs="v4.2.0"/>
          <w:snapToGrid w:val="0"/>
        </w:rPr>
        <w:t>4.2.2.2-3</w:t>
      </w:r>
      <w:r w:rsidRPr="00043DFE">
        <w:rPr>
          <w:rFonts w:cs="v4.2.0"/>
        </w:rPr>
        <w:t xml:space="preserve"> in N</w:t>
      </w:r>
      <w:r w:rsidRPr="00043DFE">
        <w:rPr>
          <w:rFonts w:cs="v4.2.0"/>
          <w:vertAlign w:val="subscript"/>
        </w:rPr>
        <w:t>serv</w:t>
      </w:r>
      <w:r w:rsidRPr="00043DFE">
        <w:rPr>
          <w:rFonts w:cs="v4.2.0"/>
        </w:rPr>
        <w:t xml:space="preserve"> for eDRX cycles &gt; 10.24s, consecutive DRX cycles within a single PTW that the serving cell does not fulfil the cell selection criterion S, the UE shall initiate the measurements of all neighbour cells indicated by the serving cell, regardless of the measurement rules currently limiting UE measurement activities.</w:t>
      </w:r>
    </w:p>
    <w:p w14:paraId="3CC8E56A" w14:textId="77777777" w:rsidR="0031358E" w:rsidRPr="00D60521" w:rsidRDefault="0031358E" w:rsidP="00D60521">
      <w:pPr>
        <w:overflowPunct/>
        <w:autoSpaceDE/>
        <w:autoSpaceDN/>
        <w:adjustRightInd/>
        <w:textAlignment w:val="auto"/>
        <w:rPr>
          <w:rFonts w:eastAsiaTheme="minorEastAsia" w:cs="v4.2.0"/>
          <w:lang w:eastAsia="en-US"/>
        </w:rPr>
      </w:pPr>
      <w:r w:rsidRPr="00043DFE">
        <w:rPr>
          <w:rFonts w:cs="v4.2.0"/>
        </w:rPr>
        <w:t xml:space="preserve">For the </w:t>
      </w:r>
      <w:r w:rsidRPr="00043DFE">
        <w:rPr>
          <w:rFonts w:cs="v4.2.0"/>
          <w:lang w:eastAsia="zh-CN"/>
        </w:rPr>
        <w:t xml:space="preserve">UE configured with eDRX_IDLE cycle, </w:t>
      </w:r>
      <w:r w:rsidRPr="00043DFE">
        <w:rPr>
          <w:rFonts w:cs="v4.2.0"/>
        </w:rPr>
        <w:t>N</w:t>
      </w:r>
      <w:r w:rsidRPr="00043DFE">
        <w:rPr>
          <w:rFonts w:cs="v4.2.0"/>
          <w:vertAlign w:val="subscript"/>
        </w:rPr>
        <w:t>serv</w:t>
      </w:r>
      <w:r w:rsidRPr="00043DFE">
        <w:rPr>
          <w:rFonts w:cs="v4.2.0"/>
        </w:rPr>
        <w:t xml:space="preserve"> is specified in Table</w:t>
      </w:r>
      <w:r w:rsidRPr="00043DFE">
        <w:rPr>
          <w:rFonts w:cs="v4.2.0"/>
          <w:lang w:eastAsia="zh-CN"/>
        </w:rPr>
        <w:t xml:space="preserve"> </w:t>
      </w:r>
      <w:r w:rsidRPr="00043DFE">
        <w:t xml:space="preserve">4.2.2.2-2 for FR1 and in </w:t>
      </w:r>
      <w:r w:rsidRPr="00043DFE">
        <w:rPr>
          <w:rFonts w:cs="v4.2.0"/>
        </w:rPr>
        <w:t>Table</w:t>
      </w:r>
      <w:r w:rsidRPr="00043DFE">
        <w:rPr>
          <w:rFonts w:cs="v4.2.0"/>
          <w:lang w:eastAsia="zh-CN"/>
        </w:rPr>
        <w:t xml:space="preserve"> </w:t>
      </w:r>
      <w:r w:rsidRPr="00043DFE">
        <w:t>4.2.2.2-3 for FR2.</w:t>
      </w:r>
    </w:p>
    <w:p w14:paraId="0215ED80" w14:textId="6ADFDDE8" w:rsidR="0031358E" w:rsidRPr="00043DFE" w:rsidRDefault="0031358E" w:rsidP="0031358E">
      <w:pPr>
        <w:rPr>
          <w:rFonts w:cs="v4.2.0"/>
        </w:rPr>
      </w:pPr>
      <w:r w:rsidRPr="00043DFE">
        <w:rPr>
          <w:rFonts w:cs="v4.2.0"/>
        </w:rPr>
        <w:t xml:space="preserve">If the UE in RRC_IDLE has not found any new suitable cell based on searches and measurements using the intra-frequency, inter-frequency and inter-RAT information indicated in the system information </w:t>
      </w:r>
      <w:r w:rsidRPr="00043DFE">
        <w:t>during the time T</w:t>
      </w:r>
      <w:r w:rsidRPr="00043DFE">
        <w:rPr>
          <w:rFonts w:cs="v4.2.0"/>
        </w:rPr>
        <w:t xml:space="preserve">, the UE shall initiate cell selection procedures for the selected PLMN as defined in </w:t>
      </w:r>
      <w:r w:rsidRPr="00043DFE">
        <w:t>TS 38.304 </w:t>
      </w:r>
      <w:r w:rsidRPr="00043DFE">
        <w:rPr>
          <w:rFonts w:cs="v4.2.0"/>
        </w:rPr>
        <w:t>[1], where</w:t>
      </w:r>
    </w:p>
    <w:p w14:paraId="1E4500BF" w14:textId="77777777" w:rsidR="0031358E" w:rsidRPr="00043DFE" w:rsidRDefault="0031358E" w:rsidP="0031358E">
      <w:pPr>
        <w:pStyle w:val="B10"/>
      </w:pPr>
      <w:r w:rsidRPr="00043DFE">
        <w:t>-</w:t>
      </w:r>
      <w:r w:rsidRPr="00043DFE">
        <w:tab/>
        <w:t xml:space="preserve">T= 10 s if the UE is not configured with eDRX_IDLE cycle, or </w:t>
      </w:r>
    </w:p>
    <w:p w14:paraId="583A7089" w14:textId="77777777" w:rsidR="0031358E" w:rsidRPr="00043DFE" w:rsidRDefault="0031358E" w:rsidP="0031358E">
      <w:pPr>
        <w:pStyle w:val="B10"/>
      </w:pPr>
      <w:r w:rsidRPr="00043DFE">
        <w:t>-</w:t>
      </w:r>
      <w:r w:rsidRPr="00043DFE">
        <w:tab/>
        <w:t>T= MAX (10 s, one eDRX_IDLE cycle) if the UE is configured with eDRX_IDLE cycle in FR1, or</w:t>
      </w:r>
    </w:p>
    <w:p w14:paraId="54FC1DBF" w14:textId="77777777" w:rsidR="0031358E" w:rsidRPr="00043DFE" w:rsidRDefault="0031358E" w:rsidP="0031358E">
      <w:pPr>
        <w:pStyle w:val="B10"/>
      </w:pPr>
      <w:r w:rsidRPr="00043DFE">
        <w:t>-</w:t>
      </w:r>
      <w:r w:rsidRPr="00043DFE">
        <w:tab/>
        <w:t xml:space="preserve">T= MAX (10 s, N1* eDRX_IDLE cycle) if the UE is configured with eDRX_IDLE cycle less than 20.48s in FR2, </w:t>
      </w:r>
    </w:p>
    <w:p w14:paraId="670E0A64" w14:textId="77777777" w:rsidR="0031358E" w:rsidRDefault="0031358E" w:rsidP="0031358E">
      <w:pPr>
        <w:pStyle w:val="B10"/>
      </w:pPr>
      <w:r w:rsidRPr="00043DFE">
        <w:t>-</w:t>
      </w:r>
      <w:r w:rsidRPr="00043DFE">
        <w:tab/>
        <w:t>Otherwise, T= MAX (10 s, one eDRX_IDLE cycle) if the UE is configured with eDRX_IDLE cycle no less than 20.48 s in FR2</w:t>
      </w:r>
    </w:p>
    <w:p w14:paraId="3759E48D" w14:textId="61B3C849" w:rsidR="00E738E0" w:rsidRPr="009C5807" w:rsidRDefault="00E738E0" w:rsidP="00E738E0">
      <w:pPr>
        <w:rPr>
          <w:rFonts w:cs="v4.2.0"/>
        </w:rPr>
      </w:pPr>
    </w:p>
    <w:p w14:paraId="6FE8580F" w14:textId="77777777" w:rsidR="00575781" w:rsidRPr="009C5807" w:rsidRDefault="00575781" w:rsidP="00575781">
      <w:pPr>
        <w:pStyle w:val="TH"/>
        <w:rPr>
          <w:vertAlign w:val="subscript"/>
        </w:rPr>
      </w:pPr>
      <w:r w:rsidRPr="009C5807">
        <w:t>Table 4.2.2.2-1: N</w:t>
      </w:r>
      <w:r w:rsidRPr="009C5807">
        <w:rPr>
          <w:vertAlign w:val="subscript"/>
        </w:rPr>
        <w:t>serv</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1"/>
        <w:gridCol w:w="1034"/>
        <w:gridCol w:w="1154"/>
        <w:gridCol w:w="1134"/>
        <w:gridCol w:w="4246"/>
      </w:tblGrid>
      <w:tr w:rsidR="00575781" w:rsidRPr="009C5807" w14:paraId="5EFF778A" w14:textId="77777777" w:rsidTr="00583014">
        <w:trPr>
          <w:cantSplit/>
          <w:trHeight w:val="207"/>
          <w:jc w:val="center"/>
        </w:trPr>
        <w:tc>
          <w:tcPr>
            <w:tcW w:w="1070" w:type="pct"/>
            <w:tcBorders>
              <w:bottom w:val="nil"/>
            </w:tcBorders>
          </w:tcPr>
          <w:p w14:paraId="3F872F7C" w14:textId="77777777" w:rsidR="00575781" w:rsidRPr="009C5807" w:rsidRDefault="00575781" w:rsidP="00583014">
            <w:pPr>
              <w:pStyle w:val="TAH"/>
            </w:pPr>
            <w:r w:rsidRPr="009C5807">
              <w:t>DRX cycle length [s]</w:t>
            </w:r>
          </w:p>
        </w:tc>
        <w:tc>
          <w:tcPr>
            <w:tcW w:w="1725" w:type="pct"/>
            <w:gridSpan w:val="3"/>
          </w:tcPr>
          <w:p w14:paraId="40358196" w14:textId="77777777" w:rsidR="00575781" w:rsidRPr="009C5807" w:rsidRDefault="00575781" w:rsidP="00583014">
            <w:pPr>
              <w:pStyle w:val="TAH"/>
            </w:pPr>
            <w:r w:rsidRPr="009C5807">
              <w:t>Scaling Factor (N1)</w:t>
            </w:r>
          </w:p>
        </w:tc>
        <w:tc>
          <w:tcPr>
            <w:tcW w:w="2205" w:type="pct"/>
            <w:tcBorders>
              <w:bottom w:val="nil"/>
            </w:tcBorders>
          </w:tcPr>
          <w:p w14:paraId="5FB933A7" w14:textId="77777777" w:rsidR="00575781" w:rsidRPr="009C5807" w:rsidRDefault="00575781" w:rsidP="00583014">
            <w:pPr>
              <w:pStyle w:val="TAH"/>
            </w:pPr>
            <w:r w:rsidRPr="009C5807">
              <w:t>N</w:t>
            </w:r>
            <w:r w:rsidRPr="009C5807">
              <w:rPr>
                <w:vertAlign w:val="subscript"/>
              </w:rPr>
              <w:t xml:space="preserve">serv </w:t>
            </w:r>
            <w:r w:rsidRPr="009C5807">
              <w:t>[number of DRX cycles]</w:t>
            </w:r>
          </w:p>
        </w:tc>
      </w:tr>
      <w:tr w:rsidR="00575781" w:rsidRPr="009C5807" w14:paraId="154D38C7" w14:textId="77777777" w:rsidTr="00583014">
        <w:trPr>
          <w:cantSplit/>
          <w:trHeight w:val="207"/>
          <w:jc w:val="center"/>
        </w:trPr>
        <w:tc>
          <w:tcPr>
            <w:tcW w:w="1070" w:type="pct"/>
            <w:tcBorders>
              <w:top w:val="nil"/>
            </w:tcBorders>
          </w:tcPr>
          <w:p w14:paraId="0999DC3A" w14:textId="77777777" w:rsidR="00575781" w:rsidRPr="009C5807" w:rsidRDefault="00575781" w:rsidP="00583014">
            <w:pPr>
              <w:pStyle w:val="TAH"/>
            </w:pPr>
          </w:p>
        </w:tc>
        <w:tc>
          <w:tcPr>
            <w:tcW w:w="537" w:type="pct"/>
          </w:tcPr>
          <w:p w14:paraId="6EA2508B" w14:textId="77777777" w:rsidR="00575781" w:rsidRPr="002E7453" w:rsidRDefault="00575781" w:rsidP="00583014">
            <w:pPr>
              <w:pStyle w:val="TAH"/>
              <w:rPr>
                <w:szCs w:val="18"/>
              </w:rPr>
            </w:pPr>
            <w:r w:rsidRPr="002E7453">
              <w:rPr>
                <w:szCs w:val="18"/>
              </w:rPr>
              <w:t>FR1</w:t>
            </w:r>
          </w:p>
        </w:tc>
        <w:tc>
          <w:tcPr>
            <w:tcW w:w="599" w:type="pct"/>
          </w:tcPr>
          <w:p w14:paraId="63F8DC88" w14:textId="77777777" w:rsidR="00575781" w:rsidRPr="002E7453" w:rsidRDefault="00575781" w:rsidP="00583014">
            <w:pPr>
              <w:pStyle w:val="TAH"/>
              <w:rPr>
                <w:szCs w:val="18"/>
                <w:vertAlign w:val="superscript"/>
              </w:rPr>
            </w:pPr>
            <w:r w:rsidRPr="002E7453">
              <w:rPr>
                <w:szCs w:val="18"/>
              </w:rPr>
              <w:t>FR2-1</w:t>
            </w:r>
            <w:r w:rsidRPr="002E7453">
              <w:rPr>
                <w:szCs w:val="18"/>
                <w:vertAlign w:val="superscript"/>
              </w:rPr>
              <w:t>Note1</w:t>
            </w:r>
          </w:p>
        </w:tc>
        <w:tc>
          <w:tcPr>
            <w:tcW w:w="589" w:type="pct"/>
          </w:tcPr>
          <w:p w14:paraId="5D3126F2" w14:textId="77777777" w:rsidR="00575781" w:rsidRPr="002E7453" w:rsidRDefault="00575781" w:rsidP="00583014">
            <w:pPr>
              <w:pStyle w:val="TAH"/>
              <w:rPr>
                <w:szCs w:val="18"/>
              </w:rPr>
            </w:pPr>
            <w:r w:rsidRPr="002E7453">
              <w:rPr>
                <w:rFonts w:hint="eastAsia"/>
                <w:szCs w:val="18"/>
                <w:lang w:eastAsia="zh-CN"/>
              </w:rPr>
              <w:t>F</w:t>
            </w:r>
            <w:r w:rsidRPr="002E7453">
              <w:rPr>
                <w:szCs w:val="18"/>
                <w:lang w:eastAsia="zh-CN"/>
              </w:rPr>
              <w:t>R2-2</w:t>
            </w:r>
            <w:r w:rsidRPr="002E7453">
              <w:rPr>
                <w:szCs w:val="18"/>
                <w:vertAlign w:val="superscript"/>
              </w:rPr>
              <w:t xml:space="preserve"> Note2</w:t>
            </w:r>
          </w:p>
        </w:tc>
        <w:tc>
          <w:tcPr>
            <w:tcW w:w="2205" w:type="pct"/>
            <w:tcBorders>
              <w:top w:val="nil"/>
            </w:tcBorders>
          </w:tcPr>
          <w:p w14:paraId="41AFEE13" w14:textId="77777777" w:rsidR="00575781" w:rsidRPr="009C5807" w:rsidRDefault="00575781" w:rsidP="00583014">
            <w:pPr>
              <w:pStyle w:val="TAH"/>
            </w:pPr>
          </w:p>
        </w:tc>
      </w:tr>
      <w:tr w:rsidR="00575781" w:rsidRPr="009C5807" w14:paraId="678503DA" w14:textId="77777777" w:rsidTr="00583014">
        <w:trPr>
          <w:cantSplit/>
          <w:jc w:val="center"/>
        </w:trPr>
        <w:tc>
          <w:tcPr>
            <w:tcW w:w="1070" w:type="pct"/>
          </w:tcPr>
          <w:p w14:paraId="4E87F705" w14:textId="77777777" w:rsidR="00575781" w:rsidRPr="009C5807" w:rsidRDefault="00575781" w:rsidP="00583014">
            <w:pPr>
              <w:pStyle w:val="TAC"/>
            </w:pPr>
            <w:r w:rsidRPr="009C5807">
              <w:t>0.32</w:t>
            </w:r>
          </w:p>
        </w:tc>
        <w:tc>
          <w:tcPr>
            <w:tcW w:w="537" w:type="pct"/>
            <w:tcBorders>
              <w:bottom w:val="nil"/>
            </w:tcBorders>
            <w:vAlign w:val="center"/>
          </w:tcPr>
          <w:p w14:paraId="511C54A8" w14:textId="77777777" w:rsidR="00575781" w:rsidRPr="009C5807" w:rsidRDefault="00575781" w:rsidP="00583014">
            <w:pPr>
              <w:pStyle w:val="TAC"/>
              <w:rPr>
                <w:rFonts w:cs="Arial"/>
                <w:sz w:val="16"/>
                <w:lang w:eastAsia="zh-CN"/>
              </w:rPr>
            </w:pPr>
            <w:r w:rsidRPr="009C5807">
              <w:rPr>
                <w:rFonts w:cs="Arial"/>
                <w:sz w:val="16"/>
                <w:lang w:eastAsia="zh-CN"/>
              </w:rPr>
              <w:t>1</w:t>
            </w:r>
          </w:p>
        </w:tc>
        <w:tc>
          <w:tcPr>
            <w:tcW w:w="599" w:type="pct"/>
          </w:tcPr>
          <w:p w14:paraId="46E882B4" w14:textId="77777777" w:rsidR="00575781" w:rsidRPr="00BB0979" w:rsidRDefault="00575781" w:rsidP="00583014">
            <w:pPr>
              <w:pStyle w:val="TAC"/>
              <w:rPr>
                <w:rFonts w:cs="Arial"/>
                <w:sz w:val="16"/>
                <w:szCs w:val="16"/>
                <w:lang w:eastAsia="zh-CN"/>
              </w:rPr>
            </w:pPr>
            <w:r w:rsidRPr="00BB0979">
              <w:rPr>
                <w:rFonts w:cs="Arial"/>
                <w:sz w:val="16"/>
                <w:szCs w:val="16"/>
                <w:lang w:eastAsia="zh-CN"/>
              </w:rPr>
              <w:t>8</w:t>
            </w:r>
          </w:p>
        </w:tc>
        <w:tc>
          <w:tcPr>
            <w:tcW w:w="589" w:type="pct"/>
          </w:tcPr>
          <w:p w14:paraId="60EB0CC7" w14:textId="77777777" w:rsidR="00575781" w:rsidRPr="00BB0979" w:rsidRDefault="00575781" w:rsidP="00583014">
            <w:pPr>
              <w:pStyle w:val="TAC"/>
              <w:rPr>
                <w:rFonts w:cs="Arial"/>
                <w:sz w:val="16"/>
                <w:szCs w:val="16"/>
                <w:lang w:eastAsia="zh-CN"/>
              </w:rPr>
            </w:pPr>
            <w:r w:rsidRPr="00BB0979">
              <w:rPr>
                <w:rFonts w:cs="Arial" w:hint="eastAsia"/>
                <w:sz w:val="16"/>
                <w:szCs w:val="16"/>
                <w:lang w:eastAsia="zh-CN"/>
              </w:rPr>
              <w:t>1</w:t>
            </w:r>
            <w:r w:rsidRPr="00BB0979">
              <w:rPr>
                <w:rFonts w:cs="Arial"/>
                <w:sz w:val="16"/>
                <w:szCs w:val="16"/>
                <w:lang w:eastAsia="zh-CN"/>
              </w:rPr>
              <w:t>2</w:t>
            </w:r>
          </w:p>
        </w:tc>
        <w:tc>
          <w:tcPr>
            <w:tcW w:w="2205" w:type="pct"/>
          </w:tcPr>
          <w:p w14:paraId="345622E2" w14:textId="77777777" w:rsidR="00575781" w:rsidRPr="009C5807" w:rsidRDefault="00575781" w:rsidP="00583014">
            <w:pPr>
              <w:pStyle w:val="TAC"/>
            </w:pPr>
            <w:r w:rsidRPr="009C5807">
              <w:rPr>
                <w:rFonts w:cs="Arial"/>
                <w:sz w:val="16"/>
                <w:lang w:eastAsia="zh-CN"/>
              </w:rPr>
              <w:t>M1*N1*</w:t>
            </w:r>
            <w:r w:rsidRPr="009C5807">
              <w:t>4</w:t>
            </w:r>
          </w:p>
        </w:tc>
      </w:tr>
      <w:tr w:rsidR="00575781" w:rsidRPr="009C5807" w14:paraId="52F315B5" w14:textId="77777777" w:rsidTr="00583014">
        <w:trPr>
          <w:cantSplit/>
          <w:jc w:val="center"/>
        </w:trPr>
        <w:tc>
          <w:tcPr>
            <w:tcW w:w="1070" w:type="pct"/>
          </w:tcPr>
          <w:p w14:paraId="74F1B488" w14:textId="77777777" w:rsidR="00575781" w:rsidRPr="009C5807" w:rsidRDefault="00575781" w:rsidP="00583014">
            <w:pPr>
              <w:pStyle w:val="TAC"/>
            </w:pPr>
            <w:r w:rsidRPr="009C5807">
              <w:t>0.64</w:t>
            </w:r>
          </w:p>
        </w:tc>
        <w:tc>
          <w:tcPr>
            <w:tcW w:w="537" w:type="pct"/>
            <w:tcBorders>
              <w:top w:val="nil"/>
              <w:bottom w:val="nil"/>
            </w:tcBorders>
          </w:tcPr>
          <w:p w14:paraId="77A7CCA6" w14:textId="77777777" w:rsidR="00575781" w:rsidRPr="009C5807" w:rsidRDefault="00575781" w:rsidP="00583014">
            <w:pPr>
              <w:pStyle w:val="TAC"/>
              <w:rPr>
                <w:rFonts w:cs="Arial"/>
                <w:sz w:val="16"/>
                <w:lang w:eastAsia="zh-CN"/>
              </w:rPr>
            </w:pPr>
          </w:p>
        </w:tc>
        <w:tc>
          <w:tcPr>
            <w:tcW w:w="599" w:type="pct"/>
          </w:tcPr>
          <w:p w14:paraId="7B62F742" w14:textId="77777777" w:rsidR="00575781" w:rsidRPr="00BB0979" w:rsidRDefault="00575781" w:rsidP="00583014">
            <w:pPr>
              <w:pStyle w:val="TAC"/>
              <w:rPr>
                <w:rFonts w:cs="Arial"/>
                <w:sz w:val="16"/>
                <w:szCs w:val="16"/>
                <w:lang w:eastAsia="zh-CN"/>
              </w:rPr>
            </w:pPr>
            <w:r w:rsidRPr="00BB0979">
              <w:rPr>
                <w:rFonts w:cs="Arial"/>
                <w:sz w:val="16"/>
                <w:szCs w:val="16"/>
                <w:lang w:eastAsia="zh-CN"/>
              </w:rPr>
              <w:t>5</w:t>
            </w:r>
          </w:p>
        </w:tc>
        <w:tc>
          <w:tcPr>
            <w:tcW w:w="589" w:type="pct"/>
          </w:tcPr>
          <w:p w14:paraId="1EB4A207" w14:textId="77777777" w:rsidR="00575781" w:rsidRPr="00BB0979" w:rsidRDefault="00575781" w:rsidP="00583014">
            <w:pPr>
              <w:pStyle w:val="TAC"/>
              <w:rPr>
                <w:rFonts w:cs="Arial"/>
                <w:sz w:val="16"/>
                <w:szCs w:val="16"/>
                <w:lang w:eastAsia="zh-CN"/>
              </w:rPr>
            </w:pPr>
            <w:r w:rsidRPr="00BB0979">
              <w:rPr>
                <w:rFonts w:cs="Arial" w:hint="eastAsia"/>
                <w:sz w:val="16"/>
                <w:szCs w:val="16"/>
                <w:lang w:eastAsia="zh-CN"/>
              </w:rPr>
              <w:t>8</w:t>
            </w:r>
          </w:p>
        </w:tc>
        <w:tc>
          <w:tcPr>
            <w:tcW w:w="2205" w:type="pct"/>
          </w:tcPr>
          <w:p w14:paraId="12B8B48C" w14:textId="77777777" w:rsidR="00575781" w:rsidRPr="009C5807" w:rsidRDefault="00575781" w:rsidP="00583014">
            <w:pPr>
              <w:pStyle w:val="TAC"/>
            </w:pPr>
            <w:r w:rsidRPr="009C5807">
              <w:rPr>
                <w:rFonts w:cs="Arial"/>
                <w:sz w:val="16"/>
                <w:lang w:eastAsia="zh-CN"/>
              </w:rPr>
              <w:t>M1*N1*</w:t>
            </w:r>
            <w:r w:rsidRPr="009C5807">
              <w:t>4</w:t>
            </w:r>
          </w:p>
        </w:tc>
      </w:tr>
      <w:tr w:rsidR="00575781" w:rsidRPr="009C5807" w14:paraId="75C97997" w14:textId="77777777" w:rsidTr="00583014">
        <w:trPr>
          <w:cantSplit/>
          <w:jc w:val="center"/>
        </w:trPr>
        <w:tc>
          <w:tcPr>
            <w:tcW w:w="1070" w:type="pct"/>
          </w:tcPr>
          <w:p w14:paraId="52949918" w14:textId="77777777" w:rsidR="00575781" w:rsidRPr="009C5807" w:rsidRDefault="00575781" w:rsidP="00583014">
            <w:pPr>
              <w:pStyle w:val="TAC"/>
            </w:pPr>
            <w:r w:rsidRPr="009C5807">
              <w:t>1.28</w:t>
            </w:r>
          </w:p>
        </w:tc>
        <w:tc>
          <w:tcPr>
            <w:tcW w:w="537" w:type="pct"/>
            <w:tcBorders>
              <w:top w:val="nil"/>
              <w:bottom w:val="nil"/>
            </w:tcBorders>
          </w:tcPr>
          <w:p w14:paraId="29C20D7B" w14:textId="77777777" w:rsidR="00575781" w:rsidRPr="009C5807" w:rsidRDefault="00575781" w:rsidP="00583014">
            <w:pPr>
              <w:pStyle w:val="TAC"/>
              <w:rPr>
                <w:rFonts w:cs="Arial"/>
                <w:sz w:val="16"/>
                <w:lang w:eastAsia="zh-CN"/>
              </w:rPr>
            </w:pPr>
          </w:p>
        </w:tc>
        <w:tc>
          <w:tcPr>
            <w:tcW w:w="599" w:type="pct"/>
          </w:tcPr>
          <w:p w14:paraId="148BE068" w14:textId="77777777" w:rsidR="00575781" w:rsidRPr="00BB0979" w:rsidRDefault="00575781" w:rsidP="00583014">
            <w:pPr>
              <w:pStyle w:val="TAC"/>
              <w:rPr>
                <w:rFonts w:cs="Arial"/>
                <w:sz w:val="16"/>
                <w:szCs w:val="16"/>
                <w:lang w:eastAsia="zh-CN"/>
              </w:rPr>
            </w:pPr>
            <w:r w:rsidRPr="00BB0979">
              <w:rPr>
                <w:rFonts w:cs="Arial"/>
                <w:sz w:val="16"/>
                <w:szCs w:val="16"/>
                <w:lang w:eastAsia="zh-CN"/>
              </w:rPr>
              <w:t>4</w:t>
            </w:r>
          </w:p>
        </w:tc>
        <w:tc>
          <w:tcPr>
            <w:tcW w:w="589" w:type="pct"/>
          </w:tcPr>
          <w:p w14:paraId="552CBC83" w14:textId="77777777" w:rsidR="00575781" w:rsidRPr="00BB0979" w:rsidRDefault="00575781" w:rsidP="00583014">
            <w:pPr>
              <w:pStyle w:val="TAC"/>
              <w:rPr>
                <w:rFonts w:cs="Arial"/>
                <w:sz w:val="16"/>
                <w:szCs w:val="16"/>
                <w:lang w:eastAsia="zh-CN"/>
              </w:rPr>
            </w:pPr>
            <w:r w:rsidRPr="00BB0979">
              <w:rPr>
                <w:rFonts w:cs="Arial" w:hint="eastAsia"/>
                <w:sz w:val="16"/>
                <w:szCs w:val="16"/>
                <w:lang w:eastAsia="zh-CN"/>
              </w:rPr>
              <w:t>6</w:t>
            </w:r>
          </w:p>
        </w:tc>
        <w:tc>
          <w:tcPr>
            <w:tcW w:w="2205" w:type="pct"/>
          </w:tcPr>
          <w:p w14:paraId="3048D96A" w14:textId="77777777" w:rsidR="00575781" w:rsidRPr="009C5807" w:rsidRDefault="00575781" w:rsidP="00583014">
            <w:pPr>
              <w:pStyle w:val="TAC"/>
            </w:pPr>
            <w:r w:rsidRPr="009C5807">
              <w:rPr>
                <w:rFonts w:cs="Arial"/>
                <w:sz w:val="16"/>
                <w:lang w:eastAsia="zh-CN"/>
              </w:rPr>
              <w:t>N1*</w:t>
            </w:r>
            <w:r w:rsidRPr="009C5807">
              <w:t>2</w:t>
            </w:r>
          </w:p>
        </w:tc>
      </w:tr>
      <w:tr w:rsidR="00575781" w:rsidRPr="009C5807" w14:paraId="7FC95036" w14:textId="77777777" w:rsidTr="00583014">
        <w:trPr>
          <w:cantSplit/>
          <w:jc w:val="center"/>
        </w:trPr>
        <w:tc>
          <w:tcPr>
            <w:tcW w:w="1070" w:type="pct"/>
          </w:tcPr>
          <w:p w14:paraId="4D4A9E00" w14:textId="77777777" w:rsidR="00575781" w:rsidRPr="009C5807" w:rsidRDefault="00575781" w:rsidP="00583014">
            <w:pPr>
              <w:pStyle w:val="TAC"/>
            </w:pPr>
            <w:r w:rsidRPr="009C5807">
              <w:t>2.56</w:t>
            </w:r>
          </w:p>
        </w:tc>
        <w:tc>
          <w:tcPr>
            <w:tcW w:w="537" w:type="pct"/>
            <w:tcBorders>
              <w:top w:val="nil"/>
            </w:tcBorders>
          </w:tcPr>
          <w:p w14:paraId="429C417D" w14:textId="77777777" w:rsidR="00575781" w:rsidRPr="009C5807" w:rsidRDefault="00575781" w:rsidP="00583014">
            <w:pPr>
              <w:pStyle w:val="TAC"/>
              <w:rPr>
                <w:rFonts w:cs="Arial"/>
                <w:sz w:val="16"/>
                <w:lang w:eastAsia="zh-CN"/>
              </w:rPr>
            </w:pPr>
          </w:p>
        </w:tc>
        <w:tc>
          <w:tcPr>
            <w:tcW w:w="599" w:type="pct"/>
          </w:tcPr>
          <w:p w14:paraId="7F8929EE" w14:textId="77777777" w:rsidR="00575781" w:rsidRPr="00BB0979" w:rsidRDefault="00575781" w:rsidP="00583014">
            <w:pPr>
              <w:pStyle w:val="TAC"/>
              <w:rPr>
                <w:rFonts w:cs="Arial"/>
                <w:sz w:val="16"/>
                <w:szCs w:val="16"/>
                <w:lang w:eastAsia="zh-CN"/>
              </w:rPr>
            </w:pPr>
            <w:r w:rsidRPr="00BB0979">
              <w:rPr>
                <w:rFonts w:cs="Arial"/>
                <w:sz w:val="16"/>
                <w:szCs w:val="16"/>
                <w:lang w:eastAsia="zh-CN"/>
              </w:rPr>
              <w:t>3</w:t>
            </w:r>
          </w:p>
        </w:tc>
        <w:tc>
          <w:tcPr>
            <w:tcW w:w="589" w:type="pct"/>
          </w:tcPr>
          <w:p w14:paraId="4C1A8147" w14:textId="77777777" w:rsidR="00575781" w:rsidRPr="00BB0979" w:rsidRDefault="00575781" w:rsidP="00583014">
            <w:pPr>
              <w:pStyle w:val="TAC"/>
              <w:rPr>
                <w:rFonts w:cs="Arial"/>
                <w:sz w:val="16"/>
                <w:szCs w:val="16"/>
                <w:lang w:eastAsia="zh-CN"/>
              </w:rPr>
            </w:pPr>
            <w:r w:rsidRPr="00BB0979">
              <w:rPr>
                <w:rFonts w:cs="Arial" w:hint="eastAsia"/>
                <w:sz w:val="16"/>
                <w:szCs w:val="16"/>
                <w:lang w:eastAsia="zh-CN"/>
              </w:rPr>
              <w:t>5</w:t>
            </w:r>
          </w:p>
        </w:tc>
        <w:tc>
          <w:tcPr>
            <w:tcW w:w="2205" w:type="pct"/>
          </w:tcPr>
          <w:p w14:paraId="2FDE5756" w14:textId="77777777" w:rsidR="00575781" w:rsidRPr="009C5807" w:rsidRDefault="00575781" w:rsidP="00583014">
            <w:pPr>
              <w:pStyle w:val="TAC"/>
            </w:pPr>
            <w:r w:rsidRPr="009C5807">
              <w:rPr>
                <w:rFonts w:cs="Arial"/>
                <w:sz w:val="16"/>
                <w:lang w:eastAsia="zh-CN"/>
              </w:rPr>
              <w:t>N1*</w:t>
            </w:r>
            <w:r w:rsidRPr="009C5807">
              <w:t>2</w:t>
            </w:r>
          </w:p>
        </w:tc>
      </w:tr>
      <w:tr w:rsidR="00575781" w:rsidRPr="009C5807" w14:paraId="5CF15697" w14:textId="77777777" w:rsidTr="00583014">
        <w:trPr>
          <w:cantSplit/>
          <w:jc w:val="center"/>
        </w:trPr>
        <w:tc>
          <w:tcPr>
            <w:tcW w:w="5000" w:type="pct"/>
            <w:gridSpan w:val="5"/>
          </w:tcPr>
          <w:p w14:paraId="69171CE1" w14:textId="77777777" w:rsidR="00575781" w:rsidRDefault="00575781" w:rsidP="00583014">
            <w:pPr>
              <w:pStyle w:val="TAN"/>
              <w:rPr>
                <w:lang w:eastAsia="zh-CN"/>
              </w:rPr>
            </w:pPr>
            <w:r w:rsidRPr="009C5807">
              <w:rPr>
                <w:lang w:eastAsia="zh-CN"/>
              </w:rPr>
              <w:t>Note 1:</w:t>
            </w:r>
            <w:r w:rsidRPr="009C5807">
              <w:rPr>
                <w:lang w:eastAsia="zh-CN"/>
              </w:rPr>
              <w:tab/>
              <w:t xml:space="preserve">Applies for UE supporting </w:t>
            </w:r>
            <w:r>
              <w:rPr>
                <w:lang w:eastAsia="zh-CN"/>
              </w:rPr>
              <w:t xml:space="preserve">FR2-1 </w:t>
            </w:r>
            <w:r w:rsidRPr="009C5807">
              <w:rPr>
                <w:lang w:eastAsia="zh-CN"/>
              </w:rPr>
              <w:t xml:space="preserve">power class 2&amp;3&amp;4. For UE supporting </w:t>
            </w:r>
            <w:r>
              <w:rPr>
                <w:lang w:eastAsia="zh-CN"/>
              </w:rPr>
              <w:t xml:space="preserve">FR2-1 </w:t>
            </w:r>
            <w:r w:rsidRPr="009C5807">
              <w:rPr>
                <w:lang w:eastAsia="zh-CN"/>
              </w:rPr>
              <w:t>power class 1</w:t>
            </w:r>
            <w:r>
              <w:rPr>
                <w:lang w:eastAsia="zh-CN"/>
              </w:rPr>
              <w:t xml:space="preserve"> or 5</w:t>
            </w:r>
            <w:r w:rsidRPr="009C5807">
              <w:rPr>
                <w:lang w:eastAsia="zh-CN"/>
              </w:rPr>
              <w:t>, N1 = 8 for all DRX cycle length.</w:t>
            </w:r>
          </w:p>
          <w:p w14:paraId="36BBC7EB" w14:textId="77777777" w:rsidR="00575781" w:rsidRPr="009C5807" w:rsidRDefault="00575781" w:rsidP="00583014">
            <w:pPr>
              <w:pStyle w:val="TAN"/>
              <w:rPr>
                <w:lang w:eastAsia="zh-CN"/>
              </w:rPr>
            </w:pPr>
            <w:r w:rsidRPr="009C5807">
              <w:rPr>
                <w:lang w:eastAsia="zh-CN"/>
              </w:rPr>
              <w:t xml:space="preserve">Note </w:t>
            </w:r>
            <w:r>
              <w:rPr>
                <w:lang w:eastAsia="zh-CN"/>
              </w:rPr>
              <w:t>2</w:t>
            </w:r>
            <w:r w:rsidRPr="009C5807">
              <w:rPr>
                <w:lang w:eastAsia="zh-CN"/>
              </w:rPr>
              <w:t>:</w:t>
            </w:r>
            <w:r w:rsidRPr="009C5807">
              <w:rPr>
                <w:lang w:eastAsia="zh-CN"/>
              </w:rPr>
              <w:tab/>
              <w:t xml:space="preserve">Applies for UE supporting </w:t>
            </w:r>
            <w:r>
              <w:rPr>
                <w:lang w:eastAsia="zh-CN"/>
              </w:rPr>
              <w:t xml:space="preserve">FR2-2 </w:t>
            </w:r>
            <w:r w:rsidRPr="009C5807">
              <w:rPr>
                <w:lang w:eastAsia="zh-CN"/>
              </w:rPr>
              <w:t xml:space="preserve">power class 2&amp;3. For UE supporting </w:t>
            </w:r>
            <w:r>
              <w:rPr>
                <w:lang w:eastAsia="zh-CN"/>
              </w:rPr>
              <w:t xml:space="preserve">FR2-2 </w:t>
            </w:r>
            <w:r w:rsidRPr="009C5807">
              <w:rPr>
                <w:lang w:eastAsia="zh-CN"/>
              </w:rPr>
              <w:t xml:space="preserve">power class 1, N1 = </w:t>
            </w:r>
            <w:r>
              <w:rPr>
                <w:lang w:eastAsia="zh-CN"/>
              </w:rPr>
              <w:t>12</w:t>
            </w:r>
            <w:r w:rsidRPr="009C5807">
              <w:rPr>
                <w:lang w:eastAsia="zh-CN"/>
              </w:rPr>
              <w:t xml:space="preserve"> for all DRX cycle length.</w:t>
            </w:r>
          </w:p>
        </w:tc>
      </w:tr>
    </w:tbl>
    <w:p w14:paraId="3193BEFD" w14:textId="533EAB9D" w:rsidR="00575781" w:rsidRDefault="00575781" w:rsidP="00575781">
      <w:pPr>
        <w:rPr>
          <w:noProof/>
        </w:rPr>
      </w:pPr>
    </w:p>
    <w:p w14:paraId="2C7CA2AF" w14:textId="77777777" w:rsidR="00FD3D2E" w:rsidRPr="00043DFE" w:rsidRDefault="00FD3D2E" w:rsidP="00FD3D2E">
      <w:pPr>
        <w:pStyle w:val="TH"/>
        <w:rPr>
          <w:rFonts w:cs="v4.2.0"/>
        </w:rPr>
      </w:pPr>
      <w:r w:rsidRPr="00043DFE">
        <w:t>Table 4.2.2.2-2: N</w:t>
      </w:r>
      <w:r w:rsidRPr="00043DFE">
        <w:rPr>
          <w:vertAlign w:val="subscript"/>
        </w:rPr>
        <w:t>serv</w:t>
      </w:r>
      <w:r w:rsidRPr="00043DFE">
        <w:rPr>
          <w:rFonts w:cs="v4.2.0"/>
        </w:rPr>
        <w:t xml:space="preserve"> for UE configured with eDRX_IDLE cycle </w:t>
      </w:r>
      <w:r w:rsidRPr="00043DFE">
        <w:t>(Frequency range FR1)</w:t>
      </w:r>
    </w:p>
    <w:tbl>
      <w:tblPr>
        <w:tblW w:w="35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2"/>
        <w:gridCol w:w="1054"/>
        <w:gridCol w:w="1086"/>
        <w:gridCol w:w="1086"/>
        <w:gridCol w:w="1382"/>
      </w:tblGrid>
      <w:tr w:rsidR="00FD3D2E" w:rsidRPr="00043DFE" w14:paraId="35AC1F31" w14:textId="77777777" w:rsidTr="008B107E">
        <w:trPr>
          <w:cantSplit/>
          <w:jc w:val="center"/>
        </w:trPr>
        <w:tc>
          <w:tcPr>
            <w:tcW w:w="1617" w:type="pct"/>
          </w:tcPr>
          <w:p w14:paraId="4479CC98" w14:textId="77777777" w:rsidR="00FD3D2E" w:rsidRPr="00043DFE" w:rsidRDefault="00FD3D2E" w:rsidP="008B107E">
            <w:pPr>
              <w:pStyle w:val="TAH"/>
            </w:pPr>
            <w:r w:rsidRPr="00043DFE">
              <w:t>eDRX_IDLE cycle length [s]</w:t>
            </w:r>
          </w:p>
        </w:tc>
        <w:tc>
          <w:tcPr>
            <w:tcW w:w="774" w:type="pct"/>
          </w:tcPr>
          <w:p w14:paraId="0FAAC5D4" w14:textId="77777777" w:rsidR="00FD3D2E" w:rsidRPr="00043DFE" w:rsidRDefault="00FD3D2E" w:rsidP="008B107E">
            <w:pPr>
              <w:pStyle w:val="TAH"/>
            </w:pPr>
            <w:r w:rsidRPr="00043DFE">
              <w:t>DRX cycle length [s]</w:t>
            </w:r>
          </w:p>
        </w:tc>
        <w:tc>
          <w:tcPr>
            <w:tcW w:w="797" w:type="pct"/>
          </w:tcPr>
          <w:p w14:paraId="25740AFE" w14:textId="77777777" w:rsidR="00FD3D2E" w:rsidRPr="00043DFE" w:rsidRDefault="00FD3D2E" w:rsidP="008B107E">
            <w:pPr>
              <w:pStyle w:val="TAH"/>
            </w:pPr>
            <w:r w:rsidRPr="00043DFE">
              <w:t>PTW length [s]</w:t>
            </w:r>
            <w:r w:rsidRPr="00043DFE">
              <w:rPr>
                <w:rFonts w:hint="eastAsia"/>
                <w:lang w:eastAsia="zh-CN"/>
              </w:rPr>
              <w:t xml:space="preserve"> (</w:t>
            </w:r>
            <w:r w:rsidRPr="00043DFE">
              <w:rPr>
                <w:rFonts w:cs="Arial"/>
                <w:bCs/>
                <w:iCs/>
                <w:lang w:eastAsia="ja-JP"/>
              </w:rPr>
              <w:t>number of 1.28s periods</w:t>
            </w:r>
            <w:r w:rsidRPr="00043DFE">
              <w:rPr>
                <w:rFonts w:hint="eastAsia"/>
                <w:lang w:eastAsia="zh-CN"/>
              </w:rPr>
              <w:t>)</w:t>
            </w:r>
          </w:p>
        </w:tc>
        <w:tc>
          <w:tcPr>
            <w:tcW w:w="797" w:type="pct"/>
          </w:tcPr>
          <w:p w14:paraId="6FD675DB" w14:textId="77777777" w:rsidR="00FD3D2E" w:rsidRPr="00043DFE" w:rsidRDefault="00FD3D2E" w:rsidP="008B107E">
            <w:pPr>
              <w:pStyle w:val="TAH"/>
              <w:rPr>
                <w:rFonts w:cs="Arial"/>
                <w:snapToGrid w:val="0"/>
              </w:rPr>
            </w:pPr>
            <w:r w:rsidRPr="00043DFE">
              <w:t>Scaling Factor (N1)</w:t>
            </w:r>
          </w:p>
        </w:tc>
        <w:tc>
          <w:tcPr>
            <w:tcW w:w="1015" w:type="pct"/>
          </w:tcPr>
          <w:p w14:paraId="11744C9F" w14:textId="77777777" w:rsidR="00FD3D2E" w:rsidRPr="00043DFE" w:rsidRDefault="00FD3D2E" w:rsidP="008B107E">
            <w:pPr>
              <w:pStyle w:val="TAH"/>
              <w:rPr>
                <w:rFonts w:cs="Arial"/>
                <w:snapToGrid w:val="0"/>
              </w:rPr>
            </w:pPr>
            <w:r w:rsidRPr="00043DFE">
              <w:t>N</w:t>
            </w:r>
            <w:r w:rsidRPr="00043DFE">
              <w:rPr>
                <w:vertAlign w:val="subscript"/>
              </w:rPr>
              <w:t xml:space="preserve">serv </w:t>
            </w:r>
            <w:r w:rsidRPr="00043DFE">
              <w:t>[number of DRX or eDRX cycles</w:t>
            </w:r>
            <w:r w:rsidRPr="00043DFE">
              <w:rPr>
                <w:rFonts w:cs="Arial"/>
                <w:vertAlign w:val="superscript"/>
                <w:lang w:eastAsia="zh-CN"/>
              </w:rPr>
              <w:t xml:space="preserve"> Note 3</w:t>
            </w:r>
            <w:r w:rsidRPr="00043DFE">
              <w:t>]</w:t>
            </w:r>
          </w:p>
        </w:tc>
      </w:tr>
      <w:tr w:rsidR="00FD3D2E" w:rsidRPr="00043DFE" w14:paraId="30A816A9" w14:textId="77777777" w:rsidTr="008B107E">
        <w:trPr>
          <w:cantSplit/>
          <w:jc w:val="center"/>
        </w:trPr>
        <w:tc>
          <w:tcPr>
            <w:tcW w:w="1617" w:type="pct"/>
            <w:vAlign w:val="center"/>
          </w:tcPr>
          <w:p w14:paraId="273573D1" w14:textId="77777777" w:rsidR="00FD3D2E" w:rsidRPr="00043DFE" w:rsidDel="009469A5" w:rsidRDefault="00FD3D2E" w:rsidP="008B107E">
            <w:pPr>
              <w:keepNext/>
              <w:keepLines/>
              <w:spacing w:after="0"/>
              <w:jc w:val="center"/>
              <w:rPr>
                <w:rFonts w:ascii="Arial" w:hAnsi="Arial" w:cs="Arial"/>
                <w:sz w:val="18"/>
                <w:lang w:eastAsia="zh-CN"/>
              </w:rPr>
            </w:pPr>
            <w:r w:rsidRPr="00043DFE">
              <w:rPr>
                <w:rFonts w:ascii="Arial" w:hAnsi="Arial" w:cs="Arial" w:hint="eastAsia"/>
                <w:sz w:val="18"/>
                <w:lang w:eastAsia="zh-CN"/>
              </w:rPr>
              <w:t>2</w:t>
            </w:r>
            <w:r w:rsidRPr="00043DFE">
              <w:rPr>
                <w:rFonts w:ascii="Arial" w:hAnsi="Arial" w:cs="Arial"/>
                <w:sz w:val="18"/>
                <w:lang w:eastAsia="zh-CN"/>
              </w:rPr>
              <w:t>.56</w:t>
            </w:r>
          </w:p>
        </w:tc>
        <w:tc>
          <w:tcPr>
            <w:tcW w:w="774" w:type="pct"/>
          </w:tcPr>
          <w:p w14:paraId="48A8EAAC" w14:textId="77777777" w:rsidR="00FD3D2E" w:rsidRPr="00043DFE" w:rsidRDefault="00FD3D2E" w:rsidP="008B107E">
            <w:pPr>
              <w:keepNext/>
              <w:keepLines/>
              <w:spacing w:after="0"/>
              <w:jc w:val="center"/>
              <w:rPr>
                <w:rFonts w:ascii="Arial" w:hAnsi="Arial" w:cs="Arial"/>
                <w:sz w:val="18"/>
                <w:lang w:eastAsia="zh-CN"/>
              </w:rPr>
            </w:pPr>
            <w:r w:rsidRPr="00043DFE">
              <w:rPr>
                <w:rFonts w:ascii="Arial" w:hAnsi="Arial" w:cs="Arial"/>
                <w:sz w:val="18"/>
                <w:lang w:eastAsia="zh-CN"/>
              </w:rPr>
              <w:t xml:space="preserve">N/A </w:t>
            </w:r>
          </w:p>
        </w:tc>
        <w:tc>
          <w:tcPr>
            <w:tcW w:w="797" w:type="pct"/>
          </w:tcPr>
          <w:p w14:paraId="133FA8D8" w14:textId="77777777" w:rsidR="00FD3D2E" w:rsidRPr="00043DFE" w:rsidRDefault="00FD3D2E" w:rsidP="008B107E">
            <w:pPr>
              <w:keepNext/>
              <w:keepLines/>
              <w:spacing w:after="0"/>
              <w:jc w:val="center"/>
              <w:rPr>
                <w:rFonts w:ascii="Arial" w:hAnsi="Arial" w:cs="Arial"/>
                <w:snapToGrid w:val="0"/>
                <w:sz w:val="18"/>
                <w:lang w:eastAsia="zh-CN"/>
              </w:rPr>
            </w:pPr>
            <w:r w:rsidRPr="00043DFE">
              <w:rPr>
                <w:rFonts w:ascii="Arial" w:hAnsi="Arial" w:cs="Arial" w:hint="eastAsia"/>
                <w:snapToGrid w:val="0"/>
                <w:sz w:val="18"/>
                <w:lang w:eastAsia="zh-CN"/>
              </w:rPr>
              <w:t>N</w:t>
            </w:r>
            <w:r w:rsidRPr="00043DFE">
              <w:rPr>
                <w:rFonts w:ascii="Arial" w:hAnsi="Arial" w:cs="Arial"/>
                <w:snapToGrid w:val="0"/>
                <w:sz w:val="18"/>
                <w:lang w:eastAsia="zh-CN"/>
              </w:rPr>
              <w:t>/A</w:t>
            </w:r>
          </w:p>
        </w:tc>
        <w:tc>
          <w:tcPr>
            <w:tcW w:w="797" w:type="pct"/>
            <w:vMerge w:val="restart"/>
          </w:tcPr>
          <w:p w14:paraId="0C3D3094" w14:textId="77777777" w:rsidR="00FD3D2E" w:rsidRPr="00043DFE" w:rsidRDefault="00FD3D2E" w:rsidP="008B107E">
            <w:pPr>
              <w:keepNext/>
              <w:keepLines/>
              <w:spacing w:after="0"/>
              <w:jc w:val="center"/>
              <w:rPr>
                <w:rFonts w:ascii="Arial" w:hAnsi="Arial" w:cs="Arial"/>
                <w:snapToGrid w:val="0"/>
                <w:sz w:val="18"/>
                <w:lang w:eastAsia="zh-CN"/>
              </w:rPr>
            </w:pPr>
          </w:p>
          <w:p w14:paraId="227D4388" w14:textId="77777777" w:rsidR="00FD3D2E" w:rsidRPr="00043DFE" w:rsidRDefault="00FD3D2E" w:rsidP="008B107E">
            <w:pPr>
              <w:keepNext/>
              <w:keepLines/>
              <w:spacing w:after="0"/>
              <w:jc w:val="center"/>
              <w:rPr>
                <w:rFonts w:ascii="Arial" w:hAnsi="Arial" w:cs="Arial"/>
                <w:snapToGrid w:val="0"/>
                <w:sz w:val="18"/>
                <w:lang w:eastAsia="zh-CN"/>
              </w:rPr>
            </w:pPr>
          </w:p>
          <w:p w14:paraId="3A9480DD" w14:textId="77777777" w:rsidR="00FD3D2E" w:rsidRPr="00043DFE" w:rsidRDefault="00FD3D2E" w:rsidP="008B107E">
            <w:pPr>
              <w:keepNext/>
              <w:keepLines/>
              <w:spacing w:after="0"/>
              <w:jc w:val="center"/>
              <w:rPr>
                <w:rFonts w:ascii="Arial" w:hAnsi="Arial" w:cs="Arial"/>
                <w:snapToGrid w:val="0"/>
                <w:sz w:val="18"/>
                <w:lang w:eastAsia="zh-CN"/>
              </w:rPr>
            </w:pPr>
          </w:p>
          <w:p w14:paraId="6E206A8F"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napToGrid w:val="0"/>
                <w:sz w:val="18"/>
              </w:rPr>
              <w:t>1</w:t>
            </w:r>
          </w:p>
          <w:p w14:paraId="6CA4ECB4" w14:textId="77777777" w:rsidR="00FD3D2E" w:rsidRPr="00043DFE" w:rsidRDefault="00FD3D2E" w:rsidP="008B107E">
            <w:pPr>
              <w:keepNext/>
              <w:keepLines/>
              <w:spacing w:after="0"/>
              <w:jc w:val="center"/>
              <w:rPr>
                <w:rFonts w:ascii="Arial" w:hAnsi="Arial" w:cs="Arial"/>
                <w:snapToGrid w:val="0"/>
                <w:sz w:val="18"/>
              </w:rPr>
            </w:pPr>
          </w:p>
          <w:p w14:paraId="0E199FDE" w14:textId="77777777" w:rsidR="00FD3D2E" w:rsidRPr="00043DFE" w:rsidRDefault="00FD3D2E" w:rsidP="008B107E">
            <w:pPr>
              <w:keepNext/>
              <w:keepLines/>
              <w:spacing w:after="0"/>
              <w:jc w:val="center"/>
              <w:rPr>
                <w:rFonts w:ascii="Arial" w:hAnsi="Arial" w:cs="Arial"/>
                <w:snapToGrid w:val="0"/>
                <w:sz w:val="18"/>
              </w:rPr>
            </w:pPr>
          </w:p>
          <w:p w14:paraId="0816BF79" w14:textId="77777777" w:rsidR="00FD3D2E" w:rsidRPr="00043DFE" w:rsidRDefault="00FD3D2E" w:rsidP="008B107E">
            <w:pPr>
              <w:keepNext/>
              <w:keepLines/>
              <w:spacing w:after="0"/>
              <w:jc w:val="center"/>
              <w:rPr>
                <w:rFonts w:ascii="Arial" w:hAnsi="Arial" w:cs="Arial"/>
                <w:snapToGrid w:val="0"/>
                <w:sz w:val="18"/>
                <w:lang w:eastAsia="zh-CN"/>
              </w:rPr>
            </w:pPr>
          </w:p>
        </w:tc>
        <w:tc>
          <w:tcPr>
            <w:tcW w:w="1015" w:type="pct"/>
          </w:tcPr>
          <w:p w14:paraId="6BBC44CB" w14:textId="77777777" w:rsidR="00FD3D2E" w:rsidRPr="00043DFE" w:rsidRDefault="00FD3D2E" w:rsidP="008B107E">
            <w:pPr>
              <w:keepNext/>
              <w:keepLines/>
              <w:spacing w:after="0"/>
              <w:jc w:val="center"/>
              <w:rPr>
                <w:rFonts w:ascii="Arial" w:hAnsi="Arial" w:cs="Arial"/>
                <w:snapToGrid w:val="0"/>
                <w:sz w:val="18"/>
                <w:lang w:eastAsia="zh-CN"/>
              </w:rPr>
            </w:pPr>
            <w:r w:rsidRPr="00043DFE">
              <w:rPr>
                <w:rFonts w:ascii="Arial" w:hAnsi="Arial" w:cs="Arial"/>
                <w:sz w:val="16"/>
                <w:lang w:eastAsia="zh-CN"/>
              </w:rPr>
              <w:t>N1*</w:t>
            </w:r>
            <w:r w:rsidRPr="00043DFE">
              <w:rPr>
                <w:rFonts w:ascii="Arial" w:hAnsi="Arial" w:cs="Arial"/>
                <w:snapToGrid w:val="0"/>
                <w:sz w:val="18"/>
                <w:lang w:eastAsia="zh-CN"/>
              </w:rPr>
              <w:t>2</w:t>
            </w:r>
          </w:p>
        </w:tc>
      </w:tr>
      <w:tr w:rsidR="00FD3D2E" w:rsidRPr="00043DFE" w14:paraId="6DCBC6BA" w14:textId="77777777" w:rsidTr="008B107E">
        <w:trPr>
          <w:cantSplit/>
          <w:jc w:val="center"/>
        </w:trPr>
        <w:tc>
          <w:tcPr>
            <w:tcW w:w="1617" w:type="pct"/>
            <w:vAlign w:val="center"/>
          </w:tcPr>
          <w:p w14:paraId="3B7A0F10" w14:textId="77777777" w:rsidR="00FD3D2E" w:rsidRPr="00043DFE" w:rsidDel="009469A5" w:rsidRDefault="00FD3D2E" w:rsidP="008B107E">
            <w:pPr>
              <w:keepNext/>
              <w:keepLines/>
              <w:spacing w:after="0"/>
              <w:jc w:val="center"/>
              <w:rPr>
                <w:rFonts w:ascii="Arial" w:hAnsi="Arial" w:cs="Arial"/>
                <w:sz w:val="18"/>
              </w:rPr>
            </w:pPr>
            <w:r w:rsidRPr="00043DFE">
              <w:rPr>
                <w:rFonts w:ascii="Arial" w:hAnsi="Arial" w:cs="Arial"/>
                <w:sz w:val="18"/>
              </w:rPr>
              <w:t>5.12</w:t>
            </w:r>
          </w:p>
        </w:tc>
        <w:tc>
          <w:tcPr>
            <w:tcW w:w="774" w:type="pct"/>
          </w:tcPr>
          <w:p w14:paraId="54A09F18" w14:textId="77777777" w:rsidR="00FD3D2E" w:rsidRPr="00043DFE" w:rsidRDefault="00FD3D2E" w:rsidP="008B107E">
            <w:pPr>
              <w:keepNext/>
              <w:keepLines/>
              <w:spacing w:after="0"/>
              <w:jc w:val="center"/>
              <w:rPr>
                <w:rFonts w:ascii="Arial" w:hAnsi="Arial" w:cs="Arial"/>
                <w:sz w:val="18"/>
                <w:lang w:eastAsia="zh-CN"/>
              </w:rPr>
            </w:pPr>
            <w:r w:rsidRPr="00043DFE">
              <w:rPr>
                <w:rFonts w:ascii="Arial" w:hAnsi="Arial" w:cs="Arial"/>
                <w:sz w:val="18"/>
                <w:lang w:eastAsia="zh-CN"/>
              </w:rPr>
              <w:t xml:space="preserve">N/A </w:t>
            </w:r>
          </w:p>
        </w:tc>
        <w:tc>
          <w:tcPr>
            <w:tcW w:w="797" w:type="pct"/>
          </w:tcPr>
          <w:p w14:paraId="31044418" w14:textId="77777777" w:rsidR="00FD3D2E" w:rsidRPr="00043DFE" w:rsidRDefault="00FD3D2E" w:rsidP="008B107E">
            <w:pPr>
              <w:keepNext/>
              <w:keepLines/>
              <w:spacing w:after="0"/>
              <w:jc w:val="center"/>
              <w:rPr>
                <w:rFonts w:ascii="Arial" w:hAnsi="Arial" w:cs="Arial"/>
                <w:snapToGrid w:val="0"/>
                <w:sz w:val="18"/>
                <w:lang w:eastAsia="zh-CN"/>
              </w:rPr>
            </w:pPr>
            <w:r w:rsidRPr="00043DFE">
              <w:rPr>
                <w:rFonts w:ascii="Arial" w:hAnsi="Arial" w:cs="Arial" w:hint="eastAsia"/>
                <w:snapToGrid w:val="0"/>
                <w:sz w:val="18"/>
                <w:lang w:eastAsia="zh-CN"/>
              </w:rPr>
              <w:t>N</w:t>
            </w:r>
            <w:r w:rsidRPr="00043DFE">
              <w:rPr>
                <w:rFonts w:ascii="Arial" w:hAnsi="Arial" w:cs="Arial"/>
                <w:snapToGrid w:val="0"/>
                <w:sz w:val="18"/>
                <w:lang w:eastAsia="zh-CN"/>
              </w:rPr>
              <w:t>/A</w:t>
            </w:r>
          </w:p>
        </w:tc>
        <w:tc>
          <w:tcPr>
            <w:tcW w:w="797" w:type="pct"/>
            <w:vMerge/>
          </w:tcPr>
          <w:p w14:paraId="0BB52789" w14:textId="77777777" w:rsidR="00FD3D2E" w:rsidRPr="00043DFE" w:rsidRDefault="00FD3D2E" w:rsidP="008B107E">
            <w:pPr>
              <w:keepNext/>
              <w:keepLines/>
              <w:spacing w:after="0"/>
              <w:jc w:val="center"/>
              <w:rPr>
                <w:rFonts w:ascii="Arial" w:hAnsi="Arial" w:cs="Arial"/>
                <w:snapToGrid w:val="0"/>
                <w:sz w:val="18"/>
                <w:lang w:eastAsia="zh-CN"/>
              </w:rPr>
            </w:pPr>
          </w:p>
        </w:tc>
        <w:tc>
          <w:tcPr>
            <w:tcW w:w="1015" w:type="pct"/>
          </w:tcPr>
          <w:p w14:paraId="3FBA6BF1" w14:textId="77777777" w:rsidR="00FD3D2E" w:rsidRPr="00043DFE" w:rsidRDefault="00FD3D2E" w:rsidP="008B107E">
            <w:pPr>
              <w:keepNext/>
              <w:keepLines/>
              <w:spacing w:after="0"/>
              <w:jc w:val="center"/>
              <w:rPr>
                <w:rFonts w:ascii="Arial" w:hAnsi="Arial" w:cs="Arial"/>
                <w:snapToGrid w:val="0"/>
                <w:sz w:val="18"/>
                <w:lang w:eastAsia="zh-CN"/>
              </w:rPr>
            </w:pPr>
            <w:r w:rsidRPr="00043DFE">
              <w:rPr>
                <w:rFonts w:ascii="Arial" w:hAnsi="Arial" w:cs="Arial"/>
                <w:sz w:val="16"/>
                <w:lang w:eastAsia="zh-CN"/>
              </w:rPr>
              <w:t>N1*</w:t>
            </w:r>
            <w:r w:rsidRPr="00043DFE">
              <w:rPr>
                <w:rFonts w:ascii="Arial" w:hAnsi="Arial" w:cs="Arial"/>
                <w:snapToGrid w:val="0"/>
                <w:sz w:val="18"/>
                <w:lang w:eastAsia="zh-CN"/>
              </w:rPr>
              <w:t>2</w:t>
            </w:r>
          </w:p>
        </w:tc>
      </w:tr>
      <w:tr w:rsidR="00FD3D2E" w:rsidRPr="00043DFE" w14:paraId="1F930EF9" w14:textId="77777777" w:rsidTr="008B107E">
        <w:trPr>
          <w:cantSplit/>
          <w:jc w:val="center"/>
        </w:trPr>
        <w:tc>
          <w:tcPr>
            <w:tcW w:w="1617" w:type="pct"/>
            <w:vAlign w:val="center"/>
          </w:tcPr>
          <w:p w14:paraId="3D93C708" w14:textId="77777777" w:rsidR="00FD3D2E" w:rsidRPr="00043DFE" w:rsidRDefault="00FD3D2E" w:rsidP="008B107E">
            <w:pPr>
              <w:keepNext/>
              <w:keepLines/>
              <w:spacing w:after="0"/>
              <w:jc w:val="center"/>
              <w:rPr>
                <w:rFonts w:ascii="Arial" w:hAnsi="Arial" w:cs="Arial"/>
                <w:sz w:val="18"/>
                <w:lang w:eastAsia="zh-CN"/>
              </w:rPr>
            </w:pPr>
            <w:r w:rsidRPr="00043DFE">
              <w:rPr>
                <w:rFonts w:ascii="Arial" w:hAnsi="Arial" w:cs="Arial" w:hint="eastAsia"/>
                <w:sz w:val="18"/>
                <w:lang w:eastAsia="zh-CN"/>
              </w:rPr>
              <w:t>1</w:t>
            </w:r>
            <w:r w:rsidRPr="00043DFE">
              <w:rPr>
                <w:rFonts w:ascii="Arial" w:hAnsi="Arial" w:cs="Arial"/>
                <w:sz w:val="18"/>
                <w:lang w:eastAsia="zh-CN"/>
              </w:rPr>
              <w:t>0.24</w:t>
            </w:r>
          </w:p>
        </w:tc>
        <w:tc>
          <w:tcPr>
            <w:tcW w:w="774" w:type="pct"/>
          </w:tcPr>
          <w:p w14:paraId="69474250" w14:textId="77777777" w:rsidR="00FD3D2E" w:rsidRPr="00043DFE" w:rsidRDefault="00FD3D2E" w:rsidP="008B107E">
            <w:pPr>
              <w:keepNext/>
              <w:keepLines/>
              <w:spacing w:after="0"/>
              <w:jc w:val="center"/>
              <w:rPr>
                <w:rFonts w:ascii="Arial" w:hAnsi="Arial" w:cs="Arial"/>
                <w:sz w:val="18"/>
                <w:lang w:eastAsia="zh-CN"/>
              </w:rPr>
            </w:pPr>
            <w:r w:rsidRPr="00043DFE">
              <w:rPr>
                <w:rFonts w:ascii="Arial" w:hAnsi="Arial" w:cs="Arial"/>
                <w:sz w:val="18"/>
                <w:lang w:eastAsia="zh-CN"/>
              </w:rPr>
              <w:t xml:space="preserve">N/A </w:t>
            </w:r>
          </w:p>
        </w:tc>
        <w:tc>
          <w:tcPr>
            <w:tcW w:w="797" w:type="pct"/>
          </w:tcPr>
          <w:p w14:paraId="6DC7F10B" w14:textId="77777777" w:rsidR="00FD3D2E" w:rsidRPr="00043DFE" w:rsidRDefault="00FD3D2E" w:rsidP="008B107E">
            <w:pPr>
              <w:keepNext/>
              <w:keepLines/>
              <w:spacing w:after="0"/>
              <w:jc w:val="center"/>
              <w:rPr>
                <w:rFonts w:ascii="Arial" w:hAnsi="Arial" w:cs="Arial"/>
                <w:snapToGrid w:val="0"/>
                <w:sz w:val="18"/>
                <w:lang w:eastAsia="zh-CN"/>
              </w:rPr>
            </w:pPr>
            <w:r w:rsidRPr="00043DFE">
              <w:rPr>
                <w:rFonts w:ascii="Arial" w:hAnsi="Arial" w:cs="Arial" w:hint="eastAsia"/>
                <w:snapToGrid w:val="0"/>
                <w:sz w:val="18"/>
                <w:lang w:eastAsia="zh-CN"/>
              </w:rPr>
              <w:t>N</w:t>
            </w:r>
            <w:r w:rsidRPr="00043DFE">
              <w:rPr>
                <w:rFonts w:ascii="Arial" w:hAnsi="Arial" w:cs="Arial"/>
                <w:snapToGrid w:val="0"/>
                <w:sz w:val="18"/>
                <w:lang w:eastAsia="zh-CN"/>
              </w:rPr>
              <w:t>/A</w:t>
            </w:r>
          </w:p>
        </w:tc>
        <w:tc>
          <w:tcPr>
            <w:tcW w:w="797" w:type="pct"/>
            <w:vMerge/>
          </w:tcPr>
          <w:p w14:paraId="2A77281C" w14:textId="77777777" w:rsidR="00FD3D2E" w:rsidRPr="00043DFE" w:rsidRDefault="00FD3D2E" w:rsidP="008B107E">
            <w:pPr>
              <w:keepNext/>
              <w:keepLines/>
              <w:spacing w:after="0"/>
              <w:jc w:val="center"/>
              <w:rPr>
                <w:rFonts w:ascii="Arial" w:hAnsi="Arial" w:cs="Arial"/>
                <w:snapToGrid w:val="0"/>
                <w:sz w:val="18"/>
                <w:lang w:eastAsia="zh-CN"/>
              </w:rPr>
            </w:pPr>
          </w:p>
        </w:tc>
        <w:tc>
          <w:tcPr>
            <w:tcW w:w="1015" w:type="pct"/>
          </w:tcPr>
          <w:p w14:paraId="384A906A" w14:textId="77777777" w:rsidR="00FD3D2E" w:rsidRPr="00043DFE" w:rsidRDefault="00FD3D2E" w:rsidP="008B107E">
            <w:pPr>
              <w:keepNext/>
              <w:keepLines/>
              <w:spacing w:after="0"/>
              <w:jc w:val="center"/>
              <w:rPr>
                <w:rFonts w:ascii="Arial" w:hAnsi="Arial" w:cs="Arial"/>
                <w:snapToGrid w:val="0"/>
                <w:sz w:val="18"/>
                <w:lang w:eastAsia="zh-CN"/>
              </w:rPr>
            </w:pPr>
            <w:r w:rsidRPr="00043DFE">
              <w:rPr>
                <w:rFonts w:ascii="Arial" w:hAnsi="Arial" w:cs="Arial"/>
                <w:sz w:val="16"/>
                <w:lang w:eastAsia="zh-CN"/>
              </w:rPr>
              <w:t>N1*</w:t>
            </w:r>
            <w:r w:rsidRPr="00043DFE">
              <w:rPr>
                <w:rFonts w:ascii="Arial" w:hAnsi="Arial" w:cs="Arial"/>
                <w:snapToGrid w:val="0"/>
                <w:sz w:val="18"/>
                <w:lang w:eastAsia="zh-CN"/>
              </w:rPr>
              <w:t>2</w:t>
            </w:r>
          </w:p>
        </w:tc>
      </w:tr>
      <w:tr w:rsidR="00FD3D2E" w:rsidRPr="00043DFE" w14:paraId="654AD257" w14:textId="77777777" w:rsidTr="008B107E">
        <w:trPr>
          <w:cantSplit/>
          <w:jc w:val="center"/>
        </w:trPr>
        <w:tc>
          <w:tcPr>
            <w:tcW w:w="1617" w:type="pct"/>
            <w:tcBorders>
              <w:bottom w:val="nil"/>
            </w:tcBorders>
            <w:vAlign w:val="center"/>
          </w:tcPr>
          <w:p w14:paraId="67B21F7A" w14:textId="77777777" w:rsidR="00FD3D2E" w:rsidRPr="00043DFE" w:rsidRDefault="00FD3D2E" w:rsidP="008B107E">
            <w:pPr>
              <w:keepNext/>
              <w:keepLines/>
              <w:spacing w:after="0"/>
              <w:jc w:val="center"/>
              <w:rPr>
                <w:rFonts w:ascii="Arial" w:hAnsi="Arial" w:cs="Arial"/>
                <w:sz w:val="18"/>
              </w:rPr>
            </w:pPr>
            <w:r w:rsidRPr="00043DFE">
              <w:rPr>
                <w:rFonts w:ascii="Arial" w:hAnsi="Arial" w:cs="Arial"/>
                <w:sz w:val="18"/>
              </w:rPr>
              <w:t>20.48 ≤ eDRX_IDLE cycle length ≤</w:t>
            </w:r>
            <w:r w:rsidRPr="00043DFE">
              <w:rPr>
                <w:rFonts w:ascii="Arial" w:eastAsia="Yu Mincho" w:hAnsi="Arial" w:cs="Arial"/>
                <w:sz w:val="18"/>
              </w:rPr>
              <w:t>10485.76</w:t>
            </w:r>
          </w:p>
        </w:tc>
        <w:tc>
          <w:tcPr>
            <w:tcW w:w="774" w:type="pct"/>
          </w:tcPr>
          <w:p w14:paraId="376E6DED" w14:textId="77777777" w:rsidR="00FD3D2E" w:rsidRPr="00043DFE" w:rsidRDefault="00FD3D2E" w:rsidP="008B107E">
            <w:pPr>
              <w:keepNext/>
              <w:keepLines/>
              <w:spacing w:after="0"/>
              <w:jc w:val="center"/>
              <w:rPr>
                <w:rFonts w:ascii="Arial" w:hAnsi="Arial" w:cs="Arial"/>
                <w:sz w:val="18"/>
              </w:rPr>
            </w:pPr>
            <w:r w:rsidRPr="00043DFE">
              <w:rPr>
                <w:rFonts w:ascii="Arial" w:hAnsi="Arial" w:cs="Arial"/>
                <w:sz w:val="18"/>
              </w:rPr>
              <w:t>0.32</w:t>
            </w:r>
          </w:p>
        </w:tc>
        <w:tc>
          <w:tcPr>
            <w:tcW w:w="797" w:type="pct"/>
          </w:tcPr>
          <w:p w14:paraId="227BF870"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napToGrid w:val="0"/>
                <w:sz w:val="18"/>
              </w:rPr>
              <w:t>≥[1</w:t>
            </w:r>
            <w:r w:rsidRPr="00043DFE">
              <w:rPr>
                <w:rFonts w:ascii="Arial" w:hAnsi="Arial" w:cs="Arial" w:hint="eastAsia"/>
                <w:snapToGrid w:val="0"/>
                <w:sz w:val="18"/>
                <w:lang w:eastAsia="zh-CN"/>
              </w:rPr>
              <w:t>.28</w:t>
            </w:r>
            <w:r w:rsidRPr="00043DFE">
              <w:rPr>
                <w:rFonts w:ascii="Arial" w:hAnsi="Arial" w:cs="Arial"/>
                <w:snapToGrid w:val="0"/>
                <w:sz w:val="18"/>
                <w:lang w:eastAsia="zh-CN"/>
              </w:rPr>
              <w:t>]</w:t>
            </w:r>
            <w:r w:rsidRPr="00043DFE">
              <w:rPr>
                <w:rFonts w:ascii="Arial" w:hAnsi="Arial" w:cs="Arial" w:hint="eastAsia"/>
                <w:snapToGrid w:val="0"/>
                <w:sz w:val="18"/>
                <w:lang w:eastAsia="zh-CN"/>
              </w:rPr>
              <w:t xml:space="preserve"> (1)</w:t>
            </w:r>
          </w:p>
        </w:tc>
        <w:tc>
          <w:tcPr>
            <w:tcW w:w="797" w:type="pct"/>
            <w:vMerge/>
          </w:tcPr>
          <w:p w14:paraId="08F6A447" w14:textId="77777777" w:rsidR="00FD3D2E" w:rsidRPr="00043DFE" w:rsidRDefault="00FD3D2E" w:rsidP="008B107E">
            <w:pPr>
              <w:keepNext/>
              <w:keepLines/>
              <w:spacing w:after="0"/>
              <w:jc w:val="center"/>
              <w:rPr>
                <w:rFonts w:ascii="Arial" w:hAnsi="Arial" w:cs="Arial"/>
                <w:snapToGrid w:val="0"/>
                <w:sz w:val="18"/>
              </w:rPr>
            </w:pPr>
          </w:p>
        </w:tc>
        <w:tc>
          <w:tcPr>
            <w:tcW w:w="1015" w:type="pct"/>
          </w:tcPr>
          <w:p w14:paraId="7908E51F"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z w:val="16"/>
                <w:lang w:eastAsia="zh-CN"/>
              </w:rPr>
              <w:t>N1*</w:t>
            </w:r>
            <w:r w:rsidRPr="00043DFE">
              <w:rPr>
                <w:rFonts w:ascii="Arial" w:hAnsi="Arial" w:cs="Arial"/>
                <w:snapToGrid w:val="0"/>
                <w:sz w:val="18"/>
              </w:rPr>
              <w:t>M1*2</w:t>
            </w:r>
          </w:p>
        </w:tc>
      </w:tr>
      <w:tr w:rsidR="00FD3D2E" w:rsidRPr="00043DFE" w14:paraId="6B343DAC" w14:textId="77777777" w:rsidTr="008B107E">
        <w:trPr>
          <w:cantSplit/>
          <w:jc w:val="center"/>
        </w:trPr>
        <w:tc>
          <w:tcPr>
            <w:tcW w:w="1617" w:type="pct"/>
            <w:tcBorders>
              <w:top w:val="nil"/>
              <w:bottom w:val="nil"/>
            </w:tcBorders>
          </w:tcPr>
          <w:p w14:paraId="02744C05" w14:textId="77777777" w:rsidR="00FD3D2E" w:rsidRPr="00043DFE" w:rsidRDefault="00FD3D2E" w:rsidP="008B107E">
            <w:pPr>
              <w:keepNext/>
              <w:keepLines/>
              <w:spacing w:after="0"/>
              <w:jc w:val="center"/>
              <w:rPr>
                <w:rFonts w:ascii="Arial" w:hAnsi="Arial" w:cs="Arial"/>
                <w:sz w:val="18"/>
              </w:rPr>
            </w:pPr>
          </w:p>
        </w:tc>
        <w:tc>
          <w:tcPr>
            <w:tcW w:w="774" w:type="pct"/>
          </w:tcPr>
          <w:p w14:paraId="42950B52" w14:textId="77777777" w:rsidR="00FD3D2E" w:rsidRPr="00043DFE" w:rsidRDefault="00FD3D2E" w:rsidP="008B107E">
            <w:pPr>
              <w:keepNext/>
              <w:keepLines/>
              <w:spacing w:after="0"/>
              <w:jc w:val="center"/>
              <w:rPr>
                <w:rFonts w:ascii="Arial" w:hAnsi="Arial" w:cs="Arial"/>
                <w:sz w:val="18"/>
              </w:rPr>
            </w:pPr>
            <w:r w:rsidRPr="00043DFE">
              <w:rPr>
                <w:rFonts w:ascii="Arial" w:hAnsi="Arial" w:cs="Arial"/>
                <w:sz w:val="18"/>
              </w:rPr>
              <w:t>0.64</w:t>
            </w:r>
          </w:p>
        </w:tc>
        <w:tc>
          <w:tcPr>
            <w:tcW w:w="797" w:type="pct"/>
          </w:tcPr>
          <w:p w14:paraId="6AE028C6"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napToGrid w:val="0"/>
                <w:sz w:val="18"/>
              </w:rPr>
              <w:t>≥ 1.28 (1) (M1=1) or ≥ 2.56 (2) (M1=2)</w:t>
            </w:r>
          </w:p>
        </w:tc>
        <w:tc>
          <w:tcPr>
            <w:tcW w:w="797" w:type="pct"/>
            <w:vMerge/>
          </w:tcPr>
          <w:p w14:paraId="3489188F" w14:textId="77777777" w:rsidR="00FD3D2E" w:rsidRPr="00043DFE" w:rsidRDefault="00FD3D2E" w:rsidP="008B107E">
            <w:pPr>
              <w:keepNext/>
              <w:keepLines/>
              <w:spacing w:after="0"/>
              <w:jc w:val="center"/>
              <w:rPr>
                <w:rFonts w:ascii="Arial" w:hAnsi="Arial" w:cs="Arial"/>
                <w:snapToGrid w:val="0"/>
                <w:sz w:val="18"/>
              </w:rPr>
            </w:pPr>
          </w:p>
        </w:tc>
        <w:tc>
          <w:tcPr>
            <w:tcW w:w="1015" w:type="pct"/>
          </w:tcPr>
          <w:p w14:paraId="0A7FFDB2"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z w:val="16"/>
                <w:lang w:eastAsia="zh-CN"/>
              </w:rPr>
              <w:t>N1*</w:t>
            </w:r>
            <w:r w:rsidRPr="00043DFE">
              <w:rPr>
                <w:rFonts w:ascii="Arial" w:hAnsi="Arial" w:cs="Arial"/>
                <w:snapToGrid w:val="0"/>
                <w:sz w:val="18"/>
              </w:rPr>
              <w:t>M1*2</w:t>
            </w:r>
          </w:p>
        </w:tc>
      </w:tr>
      <w:tr w:rsidR="00FD3D2E" w:rsidRPr="00043DFE" w14:paraId="46496C80" w14:textId="77777777" w:rsidTr="008B107E">
        <w:trPr>
          <w:cantSplit/>
          <w:jc w:val="center"/>
        </w:trPr>
        <w:tc>
          <w:tcPr>
            <w:tcW w:w="1617" w:type="pct"/>
            <w:tcBorders>
              <w:top w:val="nil"/>
              <w:bottom w:val="nil"/>
            </w:tcBorders>
          </w:tcPr>
          <w:p w14:paraId="4E2EEF89" w14:textId="77777777" w:rsidR="00FD3D2E" w:rsidRPr="00043DFE" w:rsidRDefault="00FD3D2E" w:rsidP="008B107E">
            <w:pPr>
              <w:keepNext/>
              <w:keepLines/>
              <w:spacing w:after="0"/>
              <w:jc w:val="center"/>
              <w:rPr>
                <w:rFonts w:ascii="Arial" w:hAnsi="Arial" w:cs="Arial"/>
                <w:sz w:val="18"/>
              </w:rPr>
            </w:pPr>
          </w:p>
        </w:tc>
        <w:tc>
          <w:tcPr>
            <w:tcW w:w="774" w:type="pct"/>
          </w:tcPr>
          <w:p w14:paraId="79A844F1" w14:textId="77777777" w:rsidR="00FD3D2E" w:rsidRPr="00043DFE" w:rsidRDefault="00FD3D2E" w:rsidP="008B107E">
            <w:pPr>
              <w:keepNext/>
              <w:keepLines/>
              <w:spacing w:after="0"/>
              <w:jc w:val="center"/>
              <w:rPr>
                <w:rFonts w:ascii="Arial" w:hAnsi="Arial" w:cs="Arial"/>
                <w:sz w:val="18"/>
              </w:rPr>
            </w:pPr>
            <w:r w:rsidRPr="00043DFE">
              <w:rPr>
                <w:rFonts w:ascii="Arial" w:hAnsi="Arial" w:cs="Arial"/>
                <w:sz w:val="18"/>
              </w:rPr>
              <w:t>1.28</w:t>
            </w:r>
          </w:p>
        </w:tc>
        <w:tc>
          <w:tcPr>
            <w:tcW w:w="797" w:type="pct"/>
          </w:tcPr>
          <w:p w14:paraId="4769BA27"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napToGrid w:val="0"/>
                <w:sz w:val="18"/>
              </w:rPr>
              <w:t>≥</w:t>
            </w:r>
            <w:r w:rsidRPr="00043DFE">
              <w:rPr>
                <w:rFonts w:ascii="Arial" w:hAnsi="Arial" w:cs="Arial" w:hint="eastAsia"/>
                <w:snapToGrid w:val="0"/>
                <w:sz w:val="18"/>
                <w:lang w:eastAsia="zh-CN"/>
              </w:rPr>
              <w:t>2.56 (2)</w:t>
            </w:r>
          </w:p>
        </w:tc>
        <w:tc>
          <w:tcPr>
            <w:tcW w:w="797" w:type="pct"/>
            <w:vMerge/>
          </w:tcPr>
          <w:p w14:paraId="3E173386" w14:textId="77777777" w:rsidR="00FD3D2E" w:rsidRPr="00043DFE" w:rsidRDefault="00FD3D2E" w:rsidP="008B107E">
            <w:pPr>
              <w:keepNext/>
              <w:keepLines/>
              <w:spacing w:after="0"/>
              <w:jc w:val="center"/>
              <w:rPr>
                <w:rFonts w:ascii="Arial" w:hAnsi="Arial" w:cs="Arial"/>
                <w:snapToGrid w:val="0"/>
                <w:sz w:val="18"/>
              </w:rPr>
            </w:pPr>
          </w:p>
        </w:tc>
        <w:tc>
          <w:tcPr>
            <w:tcW w:w="1015" w:type="pct"/>
          </w:tcPr>
          <w:p w14:paraId="1B206EDA"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z w:val="16"/>
                <w:lang w:eastAsia="zh-CN"/>
              </w:rPr>
              <w:t>N1*</w:t>
            </w:r>
            <w:r w:rsidRPr="00043DFE">
              <w:rPr>
                <w:rFonts w:ascii="Arial" w:hAnsi="Arial" w:cs="Arial"/>
                <w:sz w:val="18"/>
              </w:rPr>
              <w:t>2</w:t>
            </w:r>
          </w:p>
        </w:tc>
      </w:tr>
      <w:tr w:rsidR="00FD3D2E" w:rsidRPr="00043DFE" w14:paraId="0EED9E09" w14:textId="77777777" w:rsidTr="008B107E">
        <w:trPr>
          <w:cantSplit/>
          <w:jc w:val="center"/>
        </w:trPr>
        <w:tc>
          <w:tcPr>
            <w:tcW w:w="1617" w:type="pct"/>
            <w:tcBorders>
              <w:top w:val="nil"/>
            </w:tcBorders>
          </w:tcPr>
          <w:p w14:paraId="09D43309" w14:textId="77777777" w:rsidR="00FD3D2E" w:rsidRPr="00043DFE" w:rsidRDefault="00FD3D2E" w:rsidP="008B107E">
            <w:pPr>
              <w:keepNext/>
              <w:keepLines/>
              <w:spacing w:after="0"/>
              <w:jc w:val="center"/>
              <w:rPr>
                <w:rFonts w:ascii="Arial" w:hAnsi="Arial" w:cs="Arial"/>
                <w:sz w:val="18"/>
              </w:rPr>
            </w:pPr>
          </w:p>
        </w:tc>
        <w:tc>
          <w:tcPr>
            <w:tcW w:w="774" w:type="pct"/>
          </w:tcPr>
          <w:p w14:paraId="2CB68D27" w14:textId="77777777" w:rsidR="00FD3D2E" w:rsidRPr="00043DFE" w:rsidRDefault="00FD3D2E" w:rsidP="008B107E">
            <w:pPr>
              <w:keepNext/>
              <w:keepLines/>
              <w:spacing w:after="0"/>
              <w:jc w:val="center"/>
              <w:rPr>
                <w:rFonts w:ascii="Arial" w:hAnsi="Arial" w:cs="Arial"/>
                <w:sz w:val="18"/>
              </w:rPr>
            </w:pPr>
            <w:r w:rsidRPr="00043DFE">
              <w:rPr>
                <w:rFonts w:ascii="Arial" w:hAnsi="Arial" w:cs="Arial"/>
                <w:sz w:val="18"/>
              </w:rPr>
              <w:t>2.56</w:t>
            </w:r>
          </w:p>
        </w:tc>
        <w:tc>
          <w:tcPr>
            <w:tcW w:w="797" w:type="pct"/>
          </w:tcPr>
          <w:p w14:paraId="7251E370"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napToGrid w:val="0"/>
                <w:sz w:val="18"/>
              </w:rPr>
              <w:t>≥</w:t>
            </w:r>
            <w:r w:rsidRPr="00043DFE">
              <w:rPr>
                <w:rFonts w:ascii="Arial" w:hAnsi="Arial" w:cs="Arial" w:hint="eastAsia"/>
                <w:snapToGrid w:val="0"/>
                <w:sz w:val="18"/>
                <w:lang w:eastAsia="zh-CN"/>
              </w:rPr>
              <w:t>5.12 (4)</w:t>
            </w:r>
          </w:p>
        </w:tc>
        <w:tc>
          <w:tcPr>
            <w:tcW w:w="797" w:type="pct"/>
            <w:vMerge/>
          </w:tcPr>
          <w:p w14:paraId="4A8F2A76" w14:textId="77777777" w:rsidR="00FD3D2E" w:rsidRPr="00043DFE" w:rsidRDefault="00FD3D2E" w:rsidP="008B107E">
            <w:pPr>
              <w:keepNext/>
              <w:keepLines/>
              <w:spacing w:after="0"/>
              <w:jc w:val="center"/>
              <w:rPr>
                <w:rFonts w:ascii="Arial" w:hAnsi="Arial" w:cs="Arial"/>
                <w:snapToGrid w:val="0"/>
                <w:sz w:val="18"/>
              </w:rPr>
            </w:pPr>
          </w:p>
        </w:tc>
        <w:tc>
          <w:tcPr>
            <w:tcW w:w="1015" w:type="pct"/>
          </w:tcPr>
          <w:p w14:paraId="715CC48F"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z w:val="16"/>
                <w:lang w:eastAsia="zh-CN"/>
              </w:rPr>
              <w:t>N1*</w:t>
            </w:r>
            <w:r w:rsidRPr="00043DFE">
              <w:rPr>
                <w:rFonts w:ascii="Arial" w:hAnsi="Arial" w:cs="Arial"/>
                <w:sz w:val="18"/>
              </w:rPr>
              <w:t>2</w:t>
            </w:r>
          </w:p>
        </w:tc>
      </w:tr>
      <w:tr w:rsidR="00FD3D2E" w:rsidRPr="00043DFE" w14:paraId="41F95742" w14:textId="77777777" w:rsidTr="008B107E">
        <w:trPr>
          <w:cantSplit/>
          <w:jc w:val="center"/>
        </w:trPr>
        <w:tc>
          <w:tcPr>
            <w:tcW w:w="5000" w:type="pct"/>
            <w:gridSpan w:val="5"/>
          </w:tcPr>
          <w:p w14:paraId="4CD46AF4" w14:textId="77777777" w:rsidR="00FD3D2E" w:rsidRPr="00043DFE" w:rsidRDefault="00FD3D2E" w:rsidP="008B107E">
            <w:pPr>
              <w:pStyle w:val="TAN"/>
            </w:pPr>
            <w:r w:rsidRPr="00043DFE">
              <w:t>NOTE 1: The number of DRX cycles in this table is given for the DRX cycles within PTWs.</w:t>
            </w:r>
          </w:p>
          <w:p w14:paraId="0C17E883" w14:textId="77777777" w:rsidR="00FD3D2E" w:rsidRPr="00043DFE" w:rsidRDefault="00FD3D2E" w:rsidP="008B107E">
            <w:pPr>
              <w:pStyle w:val="TAN"/>
            </w:pPr>
            <w:r w:rsidRPr="00043DFE">
              <w:t>NOTE 2: The eDRX_IDLE cycle lengths are as specified in Section 10.5.5.32 of TS 24.008 [34].</w:t>
            </w:r>
          </w:p>
          <w:p w14:paraId="0C3FA337" w14:textId="77777777" w:rsidR="00FD3D2E" w:rsidRPr="00043DFE" w:rsidRDefault="00FD3D2E" w:rsidP="008B107E">
            <w:pPr>
              <w:pStyle w:val="TAN"/>
            </w:pPr>
            <w:r w:rsidRPr="00043DFE">
              <w:t>NOTE 3: Number of eDRX cycles when eDRX_IDLE cycle length equals 2.56s, 5.12s</w:t>
            </w:r>
            <w:r w:rsidRPr="00043DFE">
              <w:rPr>
                <w:rFonts w:hint="eastAsia"/>
                <w:lang w:eastAsia="zh-CN"/>
              </w:rPr>
              <w:t xml:space="preserve"> </w:t>
            </w:r>
            <w:r w:rsidRPr="00043DFE">
              <w:rPr>
                <w:lang w:eastAsia="zh-CN"/>
              </w:rPr>
              <w:t>and 10.24s.</w:t>
            </w:r>
            <w:r w:rsidRPr="00043DFE">
              <w:t xml:space="preserve"> Otherwise, number of DRX cycles.</w:t>
            </w:r>
          </w:p>
          <w:p w14:paraId="00651C3F" w14:textId="77777777" w:rsidR="00FD3D2E" w:rsidRPr="00043DFE" w:rsidRDefault="00FD3D2E" w:rsidP="008B107E">
            <w:pPr>
              <w:pStyle w:val="TAN"/>
            </w:pPr>
            <w:r w:rsidRPr="00043DFE">
              <w:t xml:space="preserve">NOTE 4: The lower bound of </w:t>
            </w:r>
            <w:r w:rsidRPr="00043DFE">
              <w:rPr>
                <w:iCs/>
                <w:color w:val="000000" w:themeColor="text1"/>
              </w:rPr>
              <w:t xml:space="preserve">PTW length is derived based on </w:t>
            </w:r>
            <m:oMath>
              <m:d>
                <m:dPr>
                  <m:begChr m:val="⌈"/>
                  <m:endChr m:val="⌉"/>
                  <m:ctrlPr>
                    <w:rPr>
                      <w:rFonts w:ascii="Cambria Math" w:hAnsi="Cambria Math"/>
                      <w:iCs/>
                    </w:rPr>
                  </m:ctrlPr>
                </m:dPr>
                <m:e>
                  <m:f>
                    <m:fPr>
                      <m:ctrlPr>
                        <w:rPr>
                          <w:rFonts w:ascii="Cambria Math" w:hAnsi="Cambria Math"/>
                          <w:iCs/>
                        </w:rPr>
                      </m:ctrlPr>
                    </m:fPr>
                    <m:num>
                      <m:r>
                        <m:rPr>
                          <m:sty m:val="p"/>
                        </m:rPr>
                        <w:rPr>
                          <w:rFonts w:ascii="Cambria Math" w:hAnsi="Cambria Math"/>
                        </w:rPr>
                        <m:t>Nserv</m:t>
                      </m:r>
                      <m:r>
                        <m:rPr>
                          <m:sty m:val="p"/>
                        </m:rPr>
                        <w:rPr>
                          <w:rFonts w:ascii="Cambria Math" w:hAnsi="Cambria Math" w:cs="v4.2.0"/>
                          <w:vertAlign w:val="subscript"/>
                        </w:rPr>
                        <m:t xml:space="preserve"> </m:t>
                      </m:r>
                      <m:r>
                        <m:rPr>
                          <m:sty m:val="p"/>
                        </m:rPr>
                        <w:rPr>
                          <w:rFonts w:ascii="Cambria Math" w:hAnsi="Cambria Math"/>
                        </w:rPr>
                        <m:t>*DRX_cycle</m:t>
                      </m:r>
                    </m:num>
                    <m:den>
                      <m:r>
                        <m:rPr>
                          <m:sty m:val="p"/>
                        </m:rPr>
                        <w:rPr>
                          <w:rFonts w:ascii="Cambria Math" w:hAnsi="Cambria Math"/>
                        </w:rPr>
                        <m:t>1.28</m:t>
                      </m:r>
                    </m:den>
                  </m:f>
                </m:e>
              </m:d>
              <m:r>
                <m:rPr>
                  <m:sty m:val="p"/>
                </m:rPr>
                <w:rPr>
                  <w:rFonts w:ascii="Cambria Math" w:hAnsi="Cambria Math"/>
                </w:rPr>
                <m:t>*1.28</m:t>
              </m:r>
            </m:oMath>
            <w:r w:rsidRPr="00043DFE">
              <w:rPr>
                <w:iCs/>
              </w:rPr>
              <w:t>.</w:t>
            </w:r>
          </w:p>
        </w:tc>
      </w:tr>
    </w:tbl>
    <w:p w14:paraId="15954590" w14:textId="77777777" w:rsidR="00FD3D2E" w:rsidRPr="00043DFE" w:rsidRDefault="00FD3D2E" w:rsidP="00FD3D2E"/>
    <w:p w14:paraId="1A9A6B39" w14:textId="77777777" w:rsidR="00FD3D2E" w:rsidRPr="00043DFE" w:rsidRDefault="00FD3D2E" w:rsidP="00FD3D2E">
      <w:pPr>
        <w:pStyle w:val="TH"/>
      </w:pPr>
      <w:r w:rsidRPr="00043DFE">
        <w:t>Table 4.2.2.2-3: N</w:t>
      </w:r>
      <w:r w:rsidRPr="00043DFE">
        <w:rPr>
          <w:vertAlign w:val="subscript"/>
        </w:rPr>
        <w:t>serv</w:t>
      </w:r>
      <w:r w:rsidRPr="00043DFE">
        <w:rPr>
          <w:rFonts w:cs="v4.2.0"/>
        </w:rPr>
        <w:t xml:space="preserve"> for UE configured with eDRX_IDLE cycle </w:t>
      </w:r>
      <w:r w:rsidRPr="00043DFE">
        <w:t>(Frequency range FR2)</w:t>
      </w:r>
    </w:p>
    <w:tbl>
      <w:tblPr>
        <w:tblW w:w="36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7"/>
        <w:gridCol w:w="1054"/>
        <w:gridCol w:w="1234"/>
        <w:gridCol w:w="1228"/>
        <w:gridCol w:w="1377"/>
      </w:tblGrid>
      <w:tr w:rsidR="00FD3D2E" w:rsidRPr="00043DFE" w14:paraId="0BEC79F9" w14:textId="77777777" w:rsidTr="008B107E">
        <w:trPr>
          <w:cantSplit/>
          <w:jc w:val="center"/>
        </w:trPr>
        <w:tc>
          <w:tcPr>
            <w:tcW w:w="1554" w:type="pct"/>
          </w:tcPr>
          <w:p w14:paraId="31102F3E" w14:textId="77777777" w:rsidR="00FD3D2E" w:rsidRPr="00043DFE" w:rsidRDefault="00FD3D2E" w:rsidP="008B107E">
            <w:pPr>
              <w:pStyle w:val="TAH"/>
            </w:pPr>
            <w:r w:rsidRPr="00043DFE">
              <w:t>eDRX_IDLE cycle length [s]</w:t>
            </w:r>
          </w:p>
        </w:tc>
        <w:tc>
          <w:tcPr>
            <w:tcW w:w="742" w:type="pct"/>
          </w:tcPr>
          <w:p w14:paraId="54F12694" w14:textId="77777777" w:rsidR="00FD3D2E" w:rsidRPr="00043DFE" w:rsidRDefault="00FD3D2E" w:rsidP="008B107E">
            <w:pPr>
              <w:pStyle w:val="TAH"/>
            </w:pPr>
            <w:r w:rsidRPr="00043DFE">
              <w:t>DRX cycle length [s]</w:t>
            </w:r>
          </w:p>
        </w:tc>
        <w:tc>
          <w:tcPr>
            <w:tcW w:w="869" w:type="pct"/>
          </w:tcPr>
          <w:p w14:paraId="4261D96D" w14:textId="77777777" w:rsidR="00FD3D2E" w:rsidRPr="00043DFE" w:rsidRDefault="00FD3D2E" w:rsidP="008B107E">
            <w:pPr>
              <w:pStyle w:val="TAH"/>
              <w:rPr>
                <w:rFonts w:cs="Arial"/>
                <w:snapToGrid w:val="0"/>
              </w:rPr>
            </w:pPr>
            <w:r w:rsidRPr="00043DFE">
              <w:t>PTW length [s]</w:t>
            </w:r>
            <w:r w:rsidRPr="00043DFE">
              <w:rPr>
                <w:rFonts w:hint="eastAsia"/>
                <w:lang w:eastAsia="zh-CN"/>
              </w:rPr>
              <w:t xml:space="preserve"> (</w:t>
            </w:r>
            <w:r w:rsidRPr="00043DFE">
              <w:rPr>
                <w:rFonts w:cs="Arial"/>
                <w:bCs/>
                <w:iCs/>
                <w:lang w:eastAsia="ja-JP"/>
              </w:rPr>
              <w:t>number of 1.28s periods</w:t>
            </w:r>
            <w:r w:rsidRPr="00043DFE">
              <w:rPr>
                <w:rFonts w:hint="eastAsia"/>
                <w:lang w:eastAsia="zh-CN"/>
              </w:rPr>
              <w:t>)</w:t>
            </w:r>
          </w:p>
        </w:tc>
        <w:tc>
          <w:tcPr>
            <w:tcW w:w="865" w:type="pct"/>
          </w:tcPr>
          <w:p w14:paraId="3EDF0663" w14:textId="77777777" w:rsidR="00FD3D2E" w:rsidRPr="00043DFE" w:rsidRDefault="00FD3D2E" w:rsidP="008B107E">
            <w:pPr>
              <w:pStyle w:val="TAH"/>
            </w:pPr>
            <w:r w:rsidRPr="00043DFE">
              <w:t>Scaling Factor (N1)</w:t>
            </w:r>
            <w:r w:rsidRPr="00043DFE">
              <w:rPr>
                <w:vertAlign w:val="superscript"/>
              </w:rPr>
              <w:t xml:space="preserve"> Note1</w:t>
            </w:r>
          </w:p>
        </w:tc>
        <w:tc>
          <w:tcPr>
            <w:tcW w:w="970" w:type="pct"/>
          </w:tcPr>
          <w:p w14:paraId="0D04CB00" w14:textId="77777777" w:rsidR="00FD3D2E" w:rsidRPr="00043DFE" w:rsidRDefault="00FD3D2E" w:rsidP="008B107E">
            <w:pPr>
              <w:pStyle w:val="TAH"/>
              <w:rPr>
                <w:rFonts w:cs="Arial"/>
                <w:snapToGrid w:val="0"/>
              </w:rPr>
            </w:pPr>
            <w:r w:rsidRPr="00043DFE">
              <w:t>N</w:t>
            </w:r>
            <w:r w:rsidRPr="00043DFE">
              <w:rPr>
                <w:vertAlign w:val="subscript"/>
              </w:rPr>
              <w:t xml:space="preserve">serv </w:t>
            </w:r>
            <w:r w:rsidRPr="00043DFE">
              <w:t>[number of DRX or eDRX cycles</w:t>
            </w:r>
            <w:r w:rsidRPr="00043DFE">
              <w:rPr>
                <w:rFonts w:cs="Arial"/>
                <w:vertAlign w:val="superscript"/>
                <w:lang w:eastAsia="zh-CN"/>
              </w:rPr>
              <w:t xml:space="preserve"> Note 4</w:t>
            </w:r>
            <w:r w:rsidRPr="00043DFE">
              <w:t>]</w:t>
            </w:r>
          </w:p>
        </w:tc>
      </w:tr>
      <w:tr w:rsidR="00FD3D2E" w:rsidRPr="00043DFE" w14:paraId="386A659B" w14:textId="77777777" w:rsidTr="008B107E">
        <w:trPr>
          <w:cantSplit/>
          <w:jc w:val="center"/>
        </w:trPr>
        <w:tc>
          <w:tcPr>
            <w:tcW w:w="1554" w:type="pct"/>
            <w:vAlign w:val="center"/>
          </w:tcPr>
          <w:p w14:paraId="0A0FF710" w14:textId="77777777" w:rsidR="00FD3D2E" w:rsidRPr="00043DFE" w:rsidDel="009469A5" w:rsidRDefault="00FD3D2E" w:rsidP="008B107E">
            <w:pPr>
              <w:keepNext/>
              <w:keepLines/>
              <w:spacing w:after="0"/>
              <w:jc w:val="center"/>
              <w:rPr>
                <w:rFonts w:ascii="Arial" w:hAnsi="Arial" w:cs="Arial"/>
                <w:sz w:val="18"/>
                <w:lang w:eastAsia="zh-CN"/>
              </w:rPr>
            </w:pPr>
            <w:r w:rsidRPr="00043DFE">
              <w:rPr>
                <w:rFonts w:ascii="Arial" w:hAnsi="Arial" w:cs="Arial" w:hint="eastAsia"/>
                <w:sz w:val="18"/>
                <w:lang w:eastAsia="zh-CN"/>
              </w:rPr>
              <w:t>2</w:t>
            </w:r>
            <w:r w:rsidRPr="00043DFE">
              <w:rPr>
                <w:rFonts w:ascii="Arial" w:hAnsi="Arial" w:cs="Arial"/>
                <w:sz w:val="18"/>
                <w:lang w:eastAsia="zh-CN"/>
              </w:rPr>
              <w:t>.56</w:t>
            </w:r>
          </w:p>
        </w:tc>
        <w:tc>
          <w:tcPr>
            <w:tcW w:w="742" w:type="pct"/>
          </w:tcPr>
          <w:p w14:paraId="2185DDBB" w14:textId="77777777" w:rsidR="00FD3D2E" w:rsidRPr="00043DFE" w:rsidRDefault="00FD3D2E" w:rsidP="008B107E">
            <w:pPr>
              <w:keepNext/>
              <w:keepLines/>
              <w:spacing w:after="0"/>
              <w:jc w:val="center"/>
              <w:rPr>
                <w:rFonts w:ascii="Arial" w:hAnsi="Arial" w:cs="Arial"/>
                <w:sz w:val="18"/>
                <w:lang w:eastAsia="zh-CN"/>
              </w:rPr>
            </w:pPr>
            <w:r w:rsidRPr="00043DFE">
              <w:rPr>
                <w:rFonts w:ascii="Arial" w:hAnsi="Arial" w:cs="Arial"/>
                <w:sz w:val="18"/>
                <w:lang w:eastAsia="zh-CN"/>
              </w:rPr>
              <w:t xml:space="preserve">N/A </w:t>
            </w:r>
          </w:p>
        </w:tc>
        <w:tc>
          <w:tcPr>
            <w:tcW w:w="869" w:type="pct"/>
          </w:tcPr>
          <w:p w14:paraId="27981C43" w14:textId="77777777" w:rsidR="00FD3D2E" w:rsidRPr="00043DFE" w:rsidRDefault="00FD3D2E" w:rsidP="008B107E">
            <w:pPr>
              <w:keepNext/>
              <w:keepLines/>
              <w:spacing w:after="0"/>
              <w:jc w:val="center"/>
              <w:rPr>
                <w:rFonts w:ascii="Arial" w:hAnsi="Arial" w:cs="Arial"/>
                <w:snapToGrid w:val="0"/>
                <w:sz w:val="18"/>
                <w:lang w:eastAsia="zh-CN"/>
              </w:rPr>
            </w:pPr>
            <w:r w:rsidRPr="00043DFE">
              <w:rPr>
                <w:rFonts w:ascii="Arial" w:hAnsi="Arial" w:cs="Arial" w:hint="eastAsia"/>
                <w:snapToGrid w:val="0"/>
                <w:sz w:val="18"/>
                <w:lang w:eastAsia="zh-CN"/>
              </w:rPr>
              <w:t>N</w:t>
            </w:r>
            <w:r w:rsidRPr="00043DFE">
              <w:rPr>
                <w:rFonts w:ascii="Arial" w:hAnsi="Arial" w:cs="Arial"/>
                <w:snapToGrid w:val="0"/>
                <w:sz w:val="18"/>
                <w:lang w:eastAsia="zh-CN"/>
              </w:rPr>
              <w:t>/A</w:t>
            </w:r>
          </w:p>
        </w:tc>
        <w:tc>
          <w:tcPr>
            <w:tcW w:w="865" w:type="pct"/>
          </w:tcPr>
          <w:p w14:paraId="1180FB34" w14:textId="77777777" w:rsidR="00FD3D2E" w:rsidRPr="00043DFE" w:rsidRDefault="00FD3D2E" w:rsidP="008B107E">
            <w:pPr>
              <w:keepNext/>
              <w:keepLines/>
              <w:spacing w:after="0"/>
              <w:jc w:val="center"/>
              <w:rPr>
                <w:rFonts w:ascii="Arial" w:hAnsi="Arial" w:cs="Arial"/>
                <w:snapToGrid w:val="0"/>
                <w:sz w:val="18"/>
                <w:lang w:eastAsia="zh-CN"/>
              </w:rPr>
            </w:pPr>
            <w:r w:rsidRPr="00043DFE">
              <w:rPr>
                <w:rFonts w:ascii="Arial" w:hAnsi="Arial" w:cs="Arial"/>
                <w:snapToGrid w:val="0"/>
                <w:sz w:val="18"/>
                <w:lang w:eastAsia="zh-CN"/>
              </w:rPr>
              <w:t>3</w:t>
            </w:r>
          </w:p>
        </w:tc>
        <w:tc>
          <w:tcPr>
            <w:tcW w:w="970" w:type="pct"/>
          </w:tcPr>
          <w:p w14:paraId="1C31AA99" w14:textId="77777777" w:rsidR="00FD3D2E" w:rsidRPr="00043DFE" w:rsidRDefault="00FD3D2E" w:rsidP="008B107E">
            <w:pPr>
              <w:keepNext/>
              <w:keepLines/>
              <w:spacing w:after="0"/>
              <w:jc w:val="center"/>
              <w:rPr>
                <w:rFonts w:ascii="Arial" w:hAnsi="Arial" w:cs="Arial"/>
                <w:snapToGrid w:val="0"/>
                <w:sz w:val="18"/>
                <w:lang w:eastAsia="zh-CN"/>
              </w:rPr>
            </w:pPr>
            <w:r w:rsidRPr="00043DFE">
              <w:rPr>
                <w:rFonts w:ascii="Arial" w:hAnsi="Arial" w:cs="Arial"/>
                <w:sz w:val="16"/>
                <w:lang w:eastAsia="zh-CN"/>
              </w:rPr>
              <w:t>N1*</w:t>
            </w:r>
            <w:r w:rsidRPr="00043DFE">
              <w:rPr>
                <w:rFonts w:ascii="Arial" w:hAnsi="Arial"/>
                <w:sz w:val="18"/>
              </w:rPr>
              <w:t>2</w:t>
            </w:r>
          </w:p>
        </w:tc>
      </w:tr>
      <w:tr w:rsidR="00FD3D2E" w:rsidRPr="00043DFE" w14:paraId="623F69F6" w14:textId="77777777" w:rsidTr="008B107E">
        <w:trPr>
          <w:cantSplit/>
          <w:jc w:val="center"/>
        </w:trPr>
        <w:tc>
          <w:tcPr>
            <w:tcW w:w="1554" w:type="pct"/>
            <w:vAlign w:val="center"/>
          </w:tcPr>
          <w:p w14:paraId="64C8C3B9" w14:textId="77777777" w:rsidR="00FD3D2E" w:rsidRPr="00043DFE" w:rsidDel="009469A5" w:rsidRDefault="00FD3D2E" w:rsidP="008B107E">
            <w:pPr>
              <w:keepNext/>
              <w:keepLines/>
              <w:spacing w:after="0"/>
              <w:jc w:val="center"/>
              <w:rPr>
                <w:rFonts w:ascii="Arial" w:hAnsi="Arial" w:cs="Arial"/>
                <w:sz w:val="18"/>
              </w:rPr>
            </w:pPr>
            <w:r w:rsidRPr="00043DFE">
              <w:rPr>
                <w:rFonts w:ascii="Arial" w:hAnsi="Arial" w:cs="Arial"/>
                <w:sz w:val="18"/>
              </w:rPr>
              <w:t>5.12</w:t>
            </w:r>
          </w:p>
        </w:tc>
        <w:tc>
          <w:tcPr>
            <w:tcW w:w="742" w:type="pct"/>
          </w:tcPr>
          <w:p w14:paraId="050976F0" w14:textId="77777777" w:rsidR="00FD3D2E" w:rsidRPr="00043DFE" w:rsidRDefault="00FD3D2E" w:rsidP="008B107E">
            <w:pPr>
              <w:keepNext/>
              <w:keepLines/>
              <w:spacing w:after="0"/>
              <w:jc w:val="center"/>
              <w:rPr>
                <w:rFonts w:ascii="Arial" w:hAnsi="Arial" w:cs="Arial"/>
                <w:sz w:val="18"/>
                <w:lang w:eastAsia="zh-CN"/>
              </w:rPr>
            </w:pPr>
            <w:r w:rsidRPr="00043DFE">
              <w:rPr>
                <w:rFonts w:ascii="Arial" w:hAnsi="Arial" w:cs="Arial"/>
                <w:sz w:val="18"/>
                <w:lang w:eastAsia="zh-CN"/>
              </w:rPr>
              <w:t xml:space="preserve">N/A </w:t>
            </w:r>
          </w:p>
        </w:tc>
        <w:tc>
          <w:tcPr>
            <w:tcW w:w="869" w:type="pct"/>
          </w:tcPr>
          <w:p w14:paraId="572489C9" w14:textId="77777777" w:rsidR="00FD3D2E" w:rsidRPr="00043DFE" w:rsidRDefault="00FD3D2E" w:rsidP="008B107E">
            <w:pPr>
              <w:keepNext/>
              <w:keepLines/>
              <w:spacing w:after="0"/>
              <w:jc w:val="center"/>
              <w:rPr>
                <w:rFonts w:ascii="Arial" w:hAnsi="Arial" w:cs="Arial"/>
                <w:snapToGrid w:val="0"/>
                <w:sz w:val="18"/>
                <w:lang w:eastAsia="zh-CN"/>
              </w:rPr>
            </w:pPr>
            <w:r w:rsidRPr="00043DFE">
              <w:rPr>
                <w:rFonts w:ascii="Arial" w:hAnsi="Arial" w:cs="Arial" w:hint="eastAsia"/>
                <w:snapToGrid w:val="0"/>
                <w:sz w:val="18"/>
                <w:lang w:eastAsia="zh-CN"/>
              </w:rPr>
              <w:t>N</w:t>
            </w:r>
            <w:r w:rsidRPr="00043DFE">
              <w:rPr>
                <w:rFonts w:ascii="Arial" w:hAnsi="Arial" w:cs="Arial"/>
                <w:snapToGrid w:val="0"/>
                <w:sz w:val="18"/>
                <w:lang w:eastAsia="zh-CN"/>
              </w:rPr>
              <w:t>/A</w:t>
            </w:r>
          </w:p>
        </w:tc>
        <w:tc>
          <w:tcPr>
            <w:tcW w:w="865" w:type="pct"/>
          </w:tcPr>
          <w:p w14:paraId="2FC6D17E" w14:textId="77777777" w:rsidR="00FD3D2E" w:rsidRPr="00043DFE" w:rsidRDefault="00FD3D2E" w:rsidP="008B107E">
            <w:pPr>
              <w:keepNext/>
              <w:keepLines/>
              <w:spacing w:after="0"/>
              <w:jc w:val="center"/>
              <w:rPr>
                <w:rFonts w:ascii="Arial" w:hAnsi="Arial" w:cs="Arial"/>
                <w:snapToGrid w:val="0"/>
                <w:sz w:val="18"/>
                <w:lang w:eastAsia="zh-CN"/>
              </w:rPr>
            </w:pPr>
            <w:r w:rsidRPr="00043DFE">
              <w:rPr>
                <w:rFonts w:ascii="Arial" w:hAnsi="Arial" w:cs="Arial"/>
                <w:snapToGrid w:val="0"/>
                <w:sz w:val="18"/>
                <w:lang w:eastAsia="zh-CN"/>
              </w:rPr>
              <w:t>3</w:t>
            </w:r>
          </w:p>
        </w:tc>
        <w:tc>
          <w:tcPr>
            <w:tcW w:w="970" w:type="pct"/>
          </w:tcPr>
          <w:p w14:paraId="795F90B5" w14:textId="77777777" w:rsidR="00FD3D2E" w:rsidRPr="00043DFE" w:rsidRDefault="00FD3D2E" w:rsidP="008B107E">
            <w:pPr>
              <w:keepNext/>
              <w:keepLines/>
              <w:spacing w:after="0"/>
              <w:jc w:val="center"/>
              <w:rPr>
                <w:rFonts w:ascii="Arial" w:hAnsi="Arial" w:cs="Arial"/>
                <w:snapToGrid w:val="0"/>
                <w:sz w:val="18"/>
                <w:lang w:eastAsia="zh-CN"/>
              </w:rPr>
            </w:pPr>
            <w:r w:rsidRPr="00043DFE">
              <w:rPr>
                <w:rFonts w:ascii="Arial" w:hAnsi="Arial" w:cs="Arial"/>
                <w:sz w:val="16"/>
                <w:lang w:eastAsia="zh-CN"/>
              </w:rPr>
              <w:t>N1*</w:t>
            </w:r>
            <w:r w:rsidRPr="00043DFE">
              <w:rPr>
                <w:rFonts w:ascii="Arial" w:hAnsi="Arial"/>
                <w:sz w:val="18"/>
              </w:rPr>
              <w:t>2</w:t>
            </w:r>
          </w:p>
        </w:tc>
      </w:tr>
      <w:tr w:rsidR="00FD3D2E" w:rsidRPr="00043DFE" w14:paraId="072F3DBA" w14:textId="77777777" w:rsidTr="008B107E">
        <w:trPr>
          <w:cantSplit/>
          <w:jc w:val="center"/>
        </w:trPr>
        <w:tc>
          <w:tcPr>
            <w:tcW w:w="1554" w:type="pct"/>
            <w:vAlign w:val="center"/>
          </w:tcPr>
          <w:p w14:paraId="35D0E619" w14:textId="77777777" w:rsidR="00FD3D2E" w:rsidRPr="00043DFE" w:rsidRDefault="00FD3D2E" w:rsidP="008B107E">
            <w:pPr>
              <w:keepNext/>
              <w:keepLines/>
              <w:spacing w:after="0"/>
              <w:jc w:val="center"/>
              <w:rPr>
                <w:rFonts w:ascii="Arial" w:hAnsi="Arial" w:cs="Arial"/>
                <w:sz w:val="18"/>
                <w:lang w:eastAsia="zh-CN"/>
              </w:rPr>
            </w:pPr>
            <w:r w:rsidRPr="00043DFE">
              <w:rPr>
                <w:rFonts w:ascii="Arial" w:hAnsi="Arial" w:cs="Arial" w:hint="eastAsia"/>
                <w:sz w:val="18"/>
                <w:lang w:eastAsia="zh-CN"/>
              </w:rPr>
              <w:t>1</w:t>
            </w:r>
            <w:r w:rsidRPr="00043DFE">
              <w:rPr>
                <w:rFonts w:ascii="Arial" w:hAnsi="Arial" w:cs="Arial"/>
                <w:sz w:val="18"/>
                <w:lang w:eastAsia="zh-CN"/>
              </w:rPr>
              <w:t>0.24</w:t>
            </w:r>
          </w:p>
        </w:tc>
        <w:tc>
          <w:tcPr>
            <w:tcW w:w="742" w:type="pct"/>
          </w:tcPr>
          <w:p w14:paraId="2A181DDB" w14:textId="77777777" w:rsidR="00FD3D2E" w:rsidRPr="00043DFE" w:rsidRDefault="00FD3D2E" w:rsidP="008B107E">
            <w:pPr>
              <w:keepNext/>
              <w:keepLines/>
              <w:spacing w:after="0"/>
              <w:jc w:val="center"/>
              <w:rPr>
                <w:rFonts w:ascii="Arial" w:hAnsi="Arial" w:cs="Arial"/>
                <w:sz w:val="18"/>
                <w:lang w:eastAsia="zh-CN"/>
              </w:rPr>
            </w:pPr>
            <w:r w:rsidRPr="00043DFE">
              <w:rPr>
                <w:rFonts w:ascii="Arial" w:hAnsi="Arial" w:cs="Arial"/>
                <w:sz w:val="18"/>
                <w:lang w:eastAsia="zh-CN"/>
              </w:rPr>
              <w:t xml:space="preserve">N/A </w:t>
            </w:r>
          </w:p>
        </w:tc>
        <w:tc>
          <w:tcPr>
            <w:tcW w:w="869" w:type="pct"/>
          </w:tcPr>
          <w:p w14:paraId="7A3E2D0D" w14:textId="77777777" w:rsidR="00FD3D2E" w:rsidRPr="00043DFE" w:rsidRDefault="00FD3D2E" w:rsidP="008B107E">
            <w:pPr>
              <w:keepNext/>
              <w:keepLines/>
              <w:spacing w:after="0"/>
              <w:jc w:val="center"/>
              <w:rPr>
                <w:rFonts w:ascii="Arial" w:hAnsi="Arial" w:cs="Arial"/>
                <w:snapToGrid w:val="0"/>
                <w:sz w:val="18"/>
                <w:lang w:eastAsia="zh-CN"/>
              </w:rPr>
            </w:pPr>
            <w:r w:rsidRPr="00043DFE">
              <w:rPr>
                <w:rFonts w:ascii="Arial" w:hAnsi="Arial" w:cs="Arial" w:hint="eastAsia"/>
                <w:snapToGrid w:val="0"/>
                <w:sz w:val="18"/>
                <w:lang w:eastAsia="zh-CN"/>
              </w:rPr>
              <w:t>N</w:t>
            </w:r>
            <w:r w:rsidRPr="00043DFE">
              <w:rPr>
                <w:rFonts w:ascii="Arial" w:hAnsi="Arial" w:cs="Arial"/>
                <w:snapToGrid w:val="0"/>
                <w:sz w:val="18"/>
                <w:lang w:eastAsia="zh-CN"/>
              </w:rPr>
              <w:t>/A</w:t>
            </w:r>
          </w:p>
        </w:tc>
        <w:tc>
          <w:tcPr>
            <w:tcW w:w="865" w:type="pct"/>
          </w:tcPr>
          <w:p w14:paraId="3E534B67" w14:textId="77777777" w:rsidR="00FD3D2E" w:rsidRPr="00043DFE" w:rsidRDefault="00FD3D2E" w:rsidP="008B107E">
            <w:pPr>
              <w:keepNext/>
              <w:keepLines/>
              <w:spacing w:after="0"/>
              <w:jc w:val="center"/>
              <w:rPr>
                <w:rFonts w:ascii="Arial" w:hAnsi="Arial" w:cs="Arial"/>
                <w:snapToGrid w:val="0"/>
                <w:sz w:val="18"/>
                <w:lang w:eastAsia="zh-CN"/>
              </w:rPr>
            </w:pPr>
            <w:r w:rsidRPr="00043DFE">
              <w:rPr>
                <w:rFonts w:ascii="Arial" w:hAnsi="Arial" w:cs="Arial"/>
                <w:snapToGrid w:val="0"/>
                <w:sz w:val="18"/>
                <w:lang w:eastAsia="zh-CN"/>
              </w:rPr>
              <w:t>3</w:t>
            </w:r>
          </w:p>
        </w:tc>
        <w:tc>
          <w:tcPr>
            <w:tcW w:w="970" w:type="pct"/>
          </w:tcPr>
          <w:p w14:paraId="1C8075AD" w14:textId="77777777" w:rsidR="00FD3D2E" w:rsidRPr="00043DFE" w:rsidRDefault="00FD3D2E" w:rsidP="008B107E">
            <w:pPr>
              <w:keepNext/>
              <w:keepLines/>
              <w:spacing w:after="0"/>
              <w:jc w:val="center"/>
              <w:rPr>
                <w:rFonts w:ascii="Arial" w:hAnsi="Arial" w:cs="Arial"/>
                <w:snapToGrid w:val="0"/>
                <w:sz w:val="18"/>
                <w:lang w:eastAsia="zh-CN"/>
              </w:rPr>
            </w:pPr>
            <w:r w:rsidRPr="00043DFE">
              <w:rPr>
                <w:rFonts w:ascii="Arial" w:hAnsi="Arial" w:cs="Arial"/>
                <w:sz w:val="16"/>
                <w:lang w:eastAsia="zh-CN"/>
              </w:rPr>
              <w:t>N1*</w:t>
            </w:r>
            <w:r w:rsidRPr="00043DFE">
              <w:rPr>
                <w:rFonts w:ascii="Arial" w:hAnsi="Arial"/>
                <w:sz w:val="18"/>
              </w:rPr>
              <w:t>2</w:t>
            </w:r>
          </w:p>
        </w:tc>
      </w:tr>
      <w:tr w:rsidR="00FD3D2E" w:rsidRPr="00043DFE" w14:paraId="565833E4" w14:textId="77777777" w:rsidTr="008B107E">
        <w:trPr>
          <w:cantSplit/>
          <w:jc w:val="center"/>
        </w:trPr>
        <w:tc>
          <w:tcPr>
            <w:tcW w:w="1554" w:type="pct"/>
            <w:tcBorders>
              <w:bottom w:val="nil"/>
            </w:tcBorders>
            <w:vAlign w:val="center"/>
          </w:tcPr>
          <w:p w14:paraId="3A5FADCF" w14:textId="77777777" w:rsidR="00FD3D2E" w:rsidRPr="00043DFE" w:rsidRDefault="00FD3D2E" w:rsidP="008B107E">
            <w:pPr>
              <w:keepNext/>
              <w:keepLines/>
              <w:spacing w:after="0"/>
              <w:jc w:val="center"/>
              <w:rPr>
                <w:rFonts w:ascii="Arial" w:hAnsi="Arial" w:cs="Arial"/>
                <w:sz w:val="18"/>
              </w:rPr>
            </w:pPr>
            <w:r w:rsidRPr="00043DFE">
              <w:rPr>
                <w:rFonts w:ascii="Arial" w:hAnsi="Arial" w:cs="Arial"/>
                <w:sz w:val="18"/>
              </w:rPr>
              <w:t xml:space="preserve">20.48 </w:t>
            </w:r>
            <w:r w:rsidRPr="00043DFE">
              <w:rPr>
                <w:rFonts w:ascii="Arial" w:hAnsi="Arial" w:cs="Arial" w:hint="eastAsia"/>
                <w:sz w:val="18"/>
              </w:rPr>
              <w:t>≤</w:t>
            </w:r>
            <w:r w:rsidRPr="00043DFE">
              <w:rPr>
                <w:rFonts w:ascii="Arial" w:hAnsi="Arial" w:cs="Arial"/>
                <w:sz w:val="18"/>
              </w:rPr>
              <w:t xml:space="preserve"> eDRX_IDLE cycle length ≤</w:t>
            </w:r>
            <w:r w:rsidRPr="00043DFE">
              <w:rPr>
                <w:rFonts w:ascii="Arial" w:eastAsia="Yu Mincho" w:hAnsi="Arial" w:cs="Arial"/>
                <w:sz w:val="18"/>
              </w:rPr>
              <w:t>10485.76</w:t>
            </w:r>
          </w:p>
        </w:tc>
        <w:tc>
          <w:tcPr>
            <w:tcW w:w="742" w:type="pct"/>
          </w:tcPr>
          <w:p w14:paraId="039BC29B" w14:textId="77777777" w:rsidR="00FD3D2E" w:rsidRPr="00043DFE" w:rsidRDefault="00FD3D2E" w:rsidP="008B107E">
            <w:pPr>
              <w:keepNext/>
              <w:keepLines/>
              <w:spacing w:after="0"/>
              <w:jc w:val="center"/>
              <w:rPr>
                <w:rFonts w:ascii="Arial" w:hAnsi="Arial" w:cs="Arial"/>
                <w:sz w:val="18"/>
              </w:rPr>
            </w:pPr>
            <w:r w:rsidRPr="00043DFE">
              <w:rPr>
                <w:rFonts w:ascii="Arial" w:hAnsi="Arial" w:cs="Arial"/>
                <w:sz w:val="18"/>
              </w:rPr>
              <w:t>0.32</w:t>
            </w:r>
          </w:p>
        </w:tc>
        <w:tc>
          <w:tcPr>
            <w:tcW w:w="869" w:type="pct"/>
          </w:tcPr>
          <w:p w14:paraId="09857713"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napToGrid w:val="0"/>
                <w:sz w:val="18"/>
              </w:rPr>
              <w:t>≥5.12</w:t>
            </w:r>
            <w:r w:rsidRPr="00043DFE">
              <w:rPr>
                <w:rFonts w:ascii="Arial" w:hAnsi="Arial" w:cs="Arial" w:hint="eastAsia"/>
                <w:snapToGrid w:val="0"/>
                <w:sz w:val="18"/>
                <w:lang w:eastAsia="zh-CN"/>
              </w:rPr>
              <w:t xml:space="preserve"> (</w:t>
            </w:r>
            <w:r w:rsidRPr="00043DFE">
              <w:rPr>
                <w:rFonts w:ascii="Arial" w:hAnsi="Arial" w:cs="Arial"/>
                <w:snapToGrid w:val="0"/>
                <w:sz w:val="18"/>
                <w:lang w:eastAsia="zh-CN"/>
              </w:rPr>
              <w:t>4</w:t>
            </w:r>
            <w:r w:rsidRPr="00043DFE">
              <w:rPr>
                <w:rFonts w:ascii="Arial" w:hAnsi="Arial" w:cs="Arial" w:hint="eastAsia"/>
                <w:snapToGrid w:val="0"/>
                <w:sz w:val="18"/>
                <w:lang w:eastAsia="zh-CN"/>
              </w:rPr>
              <w:t>)</w:t>
            </w:r>
          </w:p>
        </w:tc>
        <w:tc>
          <w:tcPr>
            <w:tcW w:w="865" w:type="pct"/>
          </w:tcPr>
          <w:p w14:paraId="6035C14F"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napToGrid w:val="0"/>
                <w:sz w:val="18"/>
              </w:rPr>
              <w:t>8</w:t>
            </w:r>
          </w:p>
        </w:tc>
        <w:tc>
          <w:tcPr>
            <w:tcW w:w="970" w:type="pct"/>
          </w:tcPr>
          <w:p w14:paraId="0945D064"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z w:val="16"/>
                <w:lang w:eastAsia="zh-CN"/>
              </w:rPr>
              <w:t>N1*</w:t>
            </w:r>
            <w:r w:rsidRPr="00043DFE">
              <w:rPr>
                <w:rFonts w:ascii="Arial" w:hAnsi="Arial"/>
                <w:sz w:val="18"/>
              </w:rPr>
              <w:t>2</w:t>
            </w:r>
          </w:p>
        </w:tc>
      </w:tr>
      <w:tr w:rsidR="00FD3D2E" w:rsidRPr="00043DFE" w14:paraId="18B1B4B3" w14:textId="77777777" w:rsidTr="008B107E">
        <w:trPr>
          <w:cantSplit/>
          <w:jc w:val="center"/>
        </w:trPr>
        <w:tc>
          <w:tcPr>
            <w:tcW w:w="1554" w:type="pct"/>
            <w:tcBorders>
              <w:top w:val="nil"/>
              <w:bottom w:val="nil"/>
            </w:tcBorders>
          </w:tcPr>
          <w:p w14:paraId="10CB8813" w14:textId="77777777" w:rsidR="00FD3D2E" w:rsidRPr="00043DFE" w:rsidRDefault="00FD3D2E" w:rsidP="008B107E">
            <w:pPr>
              <w:keepNext/>
              <w:keepLines/>
              <w:spacing w:after="0"/>
              <w:jc w:val="center"/>
              <w:rPr>
                <w:rFonts w:ascii="Arial" w:hAnsi="Arial" w:cs="Arial"/>
                <w:sz w:val="18"/>
              </w:rPr>
            </w:pPr>
          </w:p>
        </w:tc>
        <w:tc>
          <w:tcPr>
            <w:tcW w:w="742" w:type="pct"/>
          </w:tcPr>
          <w:p w14:paraId="6B2FF700" w14:textId="77777777" w:rsidR="00FD3D2E" w:rsidRPr="00043DFE" w:rsidRDefault="00FD3D2E" w:rsidP="008B107E">
            <w:pPr>
              <w:keepNext/>
              <w:keepLines/>
              <w:spacing w:after="0"/>
              <w:jc w:val="center"/>
              <w:rPr>
                <w:rFonts w:ascii="Arial" w:hAnsi="Arial" w:cs="Arial"/>
                <w:sz w:val="18"/>
              </w:rPr>
            </w:pPr>
            <w:r w:rsidRPr="00043DFE">
              <w:rPr>
                <w:rFonts w:ascii="Arial" w:hAnsi="Arial" w:cs="Arial"/>
                <w:sz w:val="18"/>
              </w:rPr>
              <w:t>0.64</w:t>
            </w:r>
          </w:p>
        </w:tc>
        <w:tc>
          <w:tcPr>
            <w:tcW w:w="869" w:type="pct"/>
          </w:tcPr>
          <w:p w14:paraId="2A239A63"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napToGrid w:val="0"/>
                <w:sz w:val="18"/>
              </w:rPr>
              <w:t>≥6.4</w:t>
            </w:r>
            <w:r w:rsidRPr="00043DFE">
              <w:rPr>
                <w:rFonts w:ascii="Arial" w:hAnsi="Arial" w:cs="Arial" w:hint="eastAsia"/>
                <w:snapToGrid w:val="0"/>
                <w:sz w:val="18"/>
                <w:lang w:eastAsia="zh-CN"/>
              </w:rPr>
              <w:t xml:space="preserve"> (</w:t>
            </w:r>
            <w:r w:rsidRPr="00043DFE">
              <w:rPr>
                <w:rFonts w:ascii="Arial" w:hAnsi="Arial" w:cs="Arial"/>
                <w:snapToGrid w:val="0"/>
                <w:sz w:val="18"/>
                <w:lang w:eastAsia="zh-CN"/>
              </w:rPr>
              <w:t>5</w:t>
            </w:r>
            <w:r w:rsidRPr="00043DFE">
              <w:rPr>
                <w:rFonts w:ascii="Arial" w:hAnsi="Arial" w:cs="Arial" w:hint="eastAsia"/>
                <w:snapToGrid w:val="0"/>
                <w:sz w:val="18"/>
                <w:lang w:eastAsia="zh-CN"/>
              </w:rPr>
              <w:t>)</w:t>
            </w:r>
          </w:p>
        </w:tc>
        <w:tc>
          <w:tcPr>
            <w:tcW w:w="865" w:type="pct"/>
          </w:tcPr>
          <w:p w14:paraId="32E68449"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napToGrid w:val="0"/>
                <w:sz w:val="18"/>
              </w:rPr>
              <w:t>5</w:t>
            </w:r>
          </w:p>
        </w:tc>
        <w:tc>
          <w:tcPr>
            <w:tcW w:w="970" w:type="pct"/>
          </w:tcPr>
          <w:p w14:paraId="506DA076"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z w:val="16"/>
                <w:lang w:eastAsia="zh-CN"/>
              </w:rPr>
              <w:t>N1*</w:t>
            </w:r>
            <w:r w:rsidRPr="00043DFE">
              <w:rPr>
                <w:rFonts w:ascii="Arial" w:hAnsi="Arial"/>
                <w:sz w:val="18"/>
              </w:rPr>
              <w:t>2</w:t>
            </w:r>
          </w:p>
        </w:tc>
      </w:tr>
      <w:tr w:rsidR="00FD3D2E" w:rsidRPr="00043DFE" w14:paraId="408CFAD6" w14:textId="77777777" w:rsidTr="008B107E">
        <w:trPr>
          <w:cantSplit/>
          <w:jc w:val="center"/>
        </w:trPr>
        <w:tc>
          <w:tcPr>
            <w:tcW w:w="1554" w:type="pct"/>
            <w:tcBorders>
              <w:top w:val="nil"/>
              <w:bottom w:val="nil"/>
            </w:tcBorders>
          </w:tcPr>
          <w:p w14:paraId="746DE4BB" w14:textId="77777777" w:rsidR="00FD3D2E" w:rsidRPr="00043DFE" w:rsidRDefault="00FD3D2E" w:rsidP="008B107E">
            <w:pPr>
              <w:keepNext/>
              <w:keepLines/>
              <w:spacing w:after="0"/>
              <w:jc w:val="center"/>
              <w:rPr>
                <w:rFonts w:ascii="Arial" w:hAnsi="Arial" w:cs="Arial"/>
                <w:sz w:val="18"/>
              </w:rPr>
            </w:pPr>
          </w:p>
        </w:tc>
        <w:tc>
          <w:tcPr>
            <w:tcW w:w="742" w:type="pct"/>
          </w:tcPr>
          <w:p w14:paraId="36ECD27E" w14:textId="77777777" w:rsidR="00FD3D2E" w:rsidRPr="00043DFE" w:rsidRDefault="00FD3D2E" w:rsidP="008B107E">
            <w:pPr>
              <w:keepNext/>
              <w:keepLines/>
              <w:spacing w:after="0"/>
              <w:jc w:val="center"/>
              <w:rPr>
                <w:rFonts w:ascii="Arial" w:hAnsi="Arial" w:cs="Arial"/>
                <w:sz w:val="18"/>
              </w:rPr>
            </w:pPr>
            <w:r w:rsidRPr="00043DFE">
              <w:rPr>
                <w:rFonts w:ascii="Arial" w:hAnsi="Arial" w:cs="Arial"/>
                <w:sz w:val="18"/>
              </w:rPr>
              <w:t>1.28</w:t>
            </w:r>
          </w:p>
        </w:tc>
        <w:tc>
          <w:tcPr>
            <w:tcW w:w="869" w:type="pct"/>
          </w:tcPr>
          <w:p w14:paraId="36540FA7"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napToGrid w:val="0"/>
                <w:sz w:val="18"/>
              </w:rPr>
              <w:t>≥</w:t>
            </w:r>
            <w:r w:rsidRPr="00043DFE">
              <w:rPr>
                <w:rFonts w:ascii="Arial" w:hAnsi="Arial" w:cs="Arial"/>
                <w:snapToGrid w:val="0"/>
                <w:sz w:val="18"/>
                <w:lang w:eastAsia="zh-CN"/>
              </w:rPr>
              <w:t>10.24</w:t>
            </w:r>
            <w:r w:rsidRPr="00043DFE">
              <w:rPr>
                <w:rFonts w:ascii="Arial" w:hAnsi="Arial" w:cs="Arial" w:hint="eastAsia"/>
                <w:snapToGrid w:val="0"/>
                <w:sz w:val="18"/>
                <w:lang w:eastAsia="zh-CN"/>
              </w:rPr>
              <w:t xml:space="preserve"> (</w:t>
            </w:r>
            <w:r w:rsidRPr="00043DFE">
              <w:rPr>
                <w:rFonts w:ascii="Arial" w:hAnsi="Arial" w:cs="Arial"/>
                <w:snapToGrid w:val="0"/>
                <w:sz w:val="18"/>
                <w:lang w:eastAsia="zh-CN"/>
              </w:rPr>
              <w:t>8</w:t>
            </w:r>
            <w:r w:rsidRPr="00043DFE">
              <w:rPr>
                <w:rFonts w:ascii="Arial" w:hAnsi="Arial" w:cs="Arial" w:hint="eastAsia"/>
                <w:snapToGrid w:val="0"/>
                <w:sz w:val="18"/>
                <w:lang w:eastAsia="zh-CN"/>
              </w:rPr>
              <w:t>)</w:t>
            </w:r>
          </w:p>
        </w:tc>
        <w:tc>
          <w:tcPr>
            <w:tcW w:w="865" w:type="pct"/>
          </w:tcPr>
          <w:p w14:paraId="51E95860" w14:textId="77777777" w:rsidR="00FD3D2E" w:rsidRPr="00043DFE" w:rsidRDefault="00FD3D2E" w:rsidP="008B107E">
            <w:pPr>
              <w:keepNext/>
              <w:keepLines/>
              <w:spacing w:after="0"/>
              <w:jc w:val="center"/>
              <w:rPr>
                <w:rFonts w:ascii="Arial" w:hAnsi="Arial" w:cs="Arial"/>
                <w:sz w:val="18"/>
              </w:rPr>
            </w:pPr>
            <w:r w:rsidRPr="00043DFE">
              <w:rPr>
                <w:rFonts w:ascii="Arial" w:hAnsi="Arial" w:cs="Arial"/>
                <w:sz w:val="18"/>
              </w:rPr>
              <w:t>4</w:t>
            </w:r>
          </w:p>
        </w:tc>
        <w:tc>
          <w:tcPr>
            <w:tcW w:w="970" w:type="pct"/>
          </w:tcPr>
          <w:p w14:paraId="7FF04B7D"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z w:val="16"/>
                <w:lang w:eastAsia="zh-CN"/>
              </w:rPr>
              <w:t>N1*</w:t>
            </w:r>
            <w:r w:rsidRPr="00043DFE">
              <w:rPr>
                <w:rFonts w:ascii="Arial" w:hAnsi="Arial"/>
                <w:sz w:val="18"/>
              </w:rPr>
              <w:t>2</w:t>
            </w:r>
          </w:p>
        </w:tc>
      </w:tr>
      <w:tr w:rsidR="00FD3D2E" w:rsidRPr="00043DFE" w14:paraId="4BB1E227" w14:textId="77777777" w:rsidTr="008B107E">
        <w:trPr>
          <w:cantSplit/>
          <w:jc w:val="center"/>
        </w:trPr>
        <w:tc>
          <w:tcPr>
            <w:tcW w:w="1554" w:type="pct"/>
            <w:tcBorders>
              <w:top w:val="nil"/>
            </w:tcBorders>
          </w:tcPr>
          <w:p w14:paraId="7B7FCA77" w14:textId="77777777" w:rsidR="00FD3D2E" w:rsidRPr="00043DFE" w:rsidRDefault="00FD3D2E" w:rsidP="008B107E">
            <w:pPr>
              <w:keepNext/>
              <w:keepLines/>
              <w:spacing w:after="0"/>
              <w:jc w:val="center"/>
              <w:rPr>
                <w:rFonts w:ascii="Arial" w:hAnsi="Arial" w:cs="Arial"/>
                <w:sz w:val="18"/>
              </w:rPr>
            </w:pPr>
          </w:p>
        </w:tc>
        <w:tc>
          <w:tcPr>
            <w:tcW w:w="742" w:type="pct"/>
          </w:tcPr>
          <w:p w14:paraId="7087388E" w14:textId="77777777" w:rsidR="00FD3D2E" w:rsidRPr="00043DFE" w:rsidRDefault="00FD3D2E" w:rsidP="008B107E">
            <w:pPr>
              <w:keepNext/>
              <w:keepLines/>
              <w:spacing w:after="0"/>
              <w:jc w:val="center"/>
              <w:rPr>
                <w:rFonts w:ascii="Arial" w:hAnsi="Arial" w:cs="Arial"/>
                <w:sz w:val="18"/>
              </w:rPr>
            </w:pPr>
            <w:r w:rsidRPr="00043DFE">
              <w:rPr>
                <w:rFonts w:ascii="Arial" w:hAnsi="Arial" w:cs="Arial"/>
                <w:sz w:val="18"/>
              </w:rPr>
              <w:t>2.56</w:t>
            </w:r>
          </w:p>
        </w:tc>
        <w:tc>
          <w:tcPr>
            <w:tcW w:w="869" w:type="pct"/>
          </w:tcPr>
          <w:p w14:paraId="0E918D36"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napToGrid w:val="0"/>
                <w:sz w:val="18"/>
              </w:rPr>
              <w:t>≥</w:t>
            </w:r>
            <w:r w:rsidRPr="00043DFE">
              <w:rPr>
                <w:rFonts w:ascii="Arial" w:hAnsi="Arial" w:cs="Arial"/>
                <w:snapToGrid w:val="0"/>
                <w:sz w:val="18"/>
                <w:lang w:eastAsia="zh-CN"/>
              </w:rPr>
              <w:t>15.36</w:t>
            </w:r>
            <w:r w:rsidRPr="00043DFE">
              <w:rPr>
                <w:rFonts w:ascii="Arial" w:hAnsi="Arial" w:cs="Arial" w:hint="eastAsia"/>
                <w:snapToGrid w:val="0"/>
                <w:sz w:val="18"/>
                <w:lang w:eastAsia="zh-CN"/>
              </w:rPr>
              <w:t xml:space="preserve"> (</w:t>
            </w:r>
            <w:r w:rsidRPr="00043DFE">
              <w:rPr>
                <w:rFonts w:ascii="Arial" w:hAnsi="Arial" w:cs="Arial"/>
                <w:snapToGrid w:val="0"/>
                <w:sz w:val="18"/>
                <w:lang w:eastAsia="zh-CN"/>
              </w:rPr>
              <w:t>12</w:t>
            </w:r>
            <w:r w:rsidRPr="00043DFE">
              <w:rPr>
                <w:rFonts w:ascii="Arial" w:hAnsi="Arial" w:cs="Arial" w:hint="eastAsia"/>
                <w:snapToGrid w:val="0"/>
                <w:sz w:val="18"/>
                <w:lang w:eastAsia="zh-CN"/>
              </w:rPr>
              <w:t>)</w:t>
            </w:r>
          </w:p>
        </w:tc>
        <w:tc>
          <w:tcPr>
            <w:tcW w:w="865" w:type="pct"/>
          </w:tcPr>
          <w:p w14:paraId="00E2FA35" w14:textId="77777777" w:rsidR="00FD3D2E" w:rsidRPr="00043DFE" w:rsidRDefault="00FD3D2E" w:rsidP="008B107E">
            <w:pPr>
              <w:keepNext/>
              <w:keepLines/>
              <w:spacing w:after="0"/>
              <w:jc w:val="center"/>
              <w:rPr>
                <w:rFonts w:ascii="Arial" w:hAnsi="Arial" w:cs="Arial"/>
                <w:sz w:val="18"/>
              </w:rPr>
            </w:pPr>
            <w:r w:rsidRPr="00043DFE">
              <w:rPr>
                <w:rFonts w:ascii="Arial" w:hAnsi="Arial" w:cs="Arial"/>
                <w:sz w:val="18"/>
              </w:rPr>
              <w:t>3</w:t>
            </w:r>
          </w:p>
        </w:tc>
        <w:tc>
          <w:tcPr>
            <w:tcW w:w="970" w:type="pct"/>
          </w:tcPr>
          <w:p w14:paraId="1EA56F77" w14:textId="77777777" w:rsidR="00FD3D2E" w:rsidRPr="00043DFE" w:rsidRDefault="00FD3D2E" w:rsidP="008B107E">
            <w:pPr>
              <w:keepNext/>
              <w:keepLines/>
              <w:spacing w:after="0"/>
              <w:jc w:val="center"/>
              <w:rPr>
                <w:rFonts w:ascii="Arial" w:hAnsi="Arial" w:cs="Arial"/>
                <w:snapToGrid w:val="0"/>
                <w:sz w:val="18"/>
              </w:rPr>
            </w:pPr>
            <w:r w:rsidRPr="00043DFE">
              <w:rPr>
                <w:rFonts w:ascii="Arial" w:hAnsi="Arial" w:cs="Arial"/>
                <w:sz w:val="16"/>
                <w:lang w:eastAsia="zh-CN"/>
              </w:rPr>
              <w:t>N1*</w:t>
            </w:r>
            <w:r w:rsidRPr="00043DFE">
              <w:rPr>
                <w:rFonts w:ascii="Arial" w:hAnsi="Arial"/>
                <w:sz w:val="18"/>
              </w:rPr>
              <w:t>2</w:t>
            </w:r>
          </w:p>
        </w:tc>
      </w:tr>
      <w:tr w:rsidR="00FD3D2E" w:rsidRPr="00043DFE" w14:paraId="1E5A8127" w14:textId="77777777" w:rsidTr="008B107E">
        <w:trPr>
          <w:cantSplit/>
          <w:jc w:val="center"/>
        </w:trPr>
        <w:tc>
          <w:tcPr>
            <w:tcW w:w="5000" w:type="pct"/>
            <w:gridSpan w:val="5"/>
          </w:tcPr>
          <w:p w14:paraId="023DC0CF" w14:textId="77777777" w:rsidR="00FD3D2E" w:rsidRPr="00043DFE" w:rsidRDefault="00FD3D2E" w:rsidP="008B107E">
            <w:pPr>
              <w:pStyle w:val="TAN"/>
              <w:rPr>
                <w:rFonts w:cs="Arial"/>
              </w:rPr>
            </w:pPr>
            <w:r w:rsidRPr="00043DFE">
              <w:rPr>
                <w:rFonts w:cs="Arial"/>
              </w:rPr>
              <w:t xml:space="preserve">NOTE 1: </w:t>
            </w:r>
            <w:r w:rsidRPr="00043DFE">
              <w:rPr>
                <w:lang w:eastAsia="zh-CN"/>
              </w:rPr>
              <w:t>Applies for UE supporting FR2-1 power class 2&amp;3&amp;4. For UE supporting FR2-1 power class 1 or 5, N1 = 8 for all DRX cycle length.</w:t>
            </w:r>
          </w:p>
          <w:p w14:paraId="161A7DB3" w14:textId="77777777" w:rsidR="00FD3D2E" w:rsidRPr="00043DFE" w:rsidRDefault="00FD3D2E" w:rsidP="008B107E">
            <w:pPr>
              <w:pStyle w:val="TAN"/>
              <w:rPr>
                <w:rFonts w:cs="Arial"/>
              </w:rPr>
            </w:pPr>
            <w:r w:rsidRPr="00043DFE">
              <w:rPr>
                <w:rFonts w:cs="Arial"/>
              </w:rPr>
              <w:t>NOTE 2: The number of DRX cycles in this table is given for the DRX cycles within PTWs.</w:t>
            </w:r>
          </w:p>
          <w:p w14:paraId="1154EDDC" w14:textId="77777777" w:rsidR="00FD3D2E" w:rsidRPr="00043DFE" w:rsidRDefault="00FD3D2E" w:rsidP="008B107E">
            <w:pPr>
              <w:pStyle w:val="TAN"/>
              <w:rPr>
                <w:rFonts w:cs="Arial"/>
              </w:rPr>
            </w:pPr>
            <w:r w:rsidRPr="00043DFE">
              <w:rPr>
                <w:rFonts w:cs="Arial"/>
              </w:rPr>
              <w:t>NOTE 3: The eDRX_IDLE cycle lengths are as specified in Section 10.5.5.32 of TS 24.008 [34].</w:t>
            </w:r>
          </w:p>
          <w:p w14:paraId="0235D363" w14:textId="77777777" w:rsidR="00FD3D2E" w:rsidRPr="00043DFE" w:rsidRDefault="00FD3D2E" w:rsidP="008B107E">
            <w:pPr>
              <w:pStyle w:val="TAN"/>
              <w:rPr>
                <w:rFonts w:cs="Arial"/>
              </w:rPr>
            </w:pPr>
            <w:r w:rsidRPr="00043DFE">
              <w:rPr>
                <w:rFonts w:cs="Arial"/>
              </w:rPr>
              <w:t>NOTE 4: Number of eDRX cycles when eDRX_IDLE cycle length equals 2.56s, 5.12s</w:t>
            </w:r>
            <w:r w:rsidRPr="00043DFE">
              <w:rPr>
                <w:rFonts w:cs="Arial" w:hint="eastAsia"/>
                <w:lang w:eastAsia="zh-CN"/>
              </w:rPr>
              <w:t xml:space="preserve"> </w:t>
            </w:r>
            <w:r w:rsidRPr="00043DFE">
              <w:rPr>
                <w:rFonts w:cs="Arial"/>
                <w:lang w:eastAsia="zh-CN"/>
              </w:rPr>
              <w:t>and 10.24s.</w:t>
            </w:r>
            <w:r w:rsidRPr="00043DFE">
              <w:rPr>
                <w:rFonts w:cs="Arial"/>
              </w:rPr>
              <w:t xml:space="preserve"> Otherwise, number of DRX cycles.</w:t>
            </w:r>
          </w:p>
          <w:p w14:paraId="65FB34DC" w14:textId="77777777" w:rsidR="00FD3D2E" w:rsidRPr="00043DFE" w:rsidRDefault="00FD3D2E" w:rsidP="008B107E">
            <w:pPr>
              <w:pStyle w:val="TAN"/>
              <w:rPr>
                <w:rFonts w:cs="Arial"/>
                <w:iCs/>
              </w:rPr>
            </w:pPr>
            <w:r w:rsidRPr="00043DFE">
              <w:rPr>
                <w:rFonts w:cs="Arial"/>
              </w:rPr>
              <w:t xml:space="preserve">NOTE 5: The lower bound of </w:t>
            </w:r>
            <w:r w:rsidRPr="00043DFE">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rPr>
                        <m:t>Nserv</m:t>
                      </m:r>
                      <m:r>
                        <m:rPr>
                          <m:sty m:val="p"/>
                        </m:rPr>
                        <w:rPr>
                          <w:rFonts w:ascii="Cambria Math" w:hAnsi="Cambria Math" w:cs="v4.2.0"/>
                          <w:vertAlign w:val="subscript"/>
                        </w:rPr>
                        <m:t xml:space="preserve"> </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sidRPr="00043DFE">
              <w:rPr>
                <w:rFonts w:cs="Arial"/>
                <w:iCs/>
              </w:rPr>
              <w:t>.</w:t>
            </w:r>
          </w:p>
          <w:p w14:paraId="7127C918" w14:textId="77777777" w:rsidR="00FD3D2E" w:rsidRPr="00043DFE" w:rsidRDefault="00FD3D2E" w:rsidP="008B107E">
            <w:pPr>
              <w:pStyle w:val="TAN"/>
              <w:rPr>
                <w:rFonts w:cs="Arial"/>
              </w:rPr>
            </w:pPr>
            <w:r w:rsidRPr="00043DFE">
              <w:rPr>
                <w:rFonts w:cs="Arial"/>
                <w:iCs/>
              </w:rPr>
              <w:t>NOTE 6: When eDRX=20.48s and DRX=0.32s, UE is allowed to perform cell evaluation within PTW in every 2 eDRX cycles.</w:t>
            </w:r>
          </w:p>
        </w:tc>
      </w:tr>
    </w:tbl>
    <w:p w14:paraId="11196A25" w14:textId="6FB422E1" w:rsidR="00FD3D2E" w:rsidRDefault="00FD3D2E" w:rsidP="00FD3D2E"/>
    <w:p w14:paraId="133E2E1F" w14:textId="77777777" w:rsidR="00286737" w:rsidRPr="009C5807" w:rsidRDefault="00286737" w:rsidP="00286737">
      <w:pPr>
        <w:pStyle w:val="TH"/>
        <w:rPr>
          <w:vertAlign w:val="subscript"/>
        </w:rPr>
      </w:pPr>
      <w:r w:rsidRPr="009C5807">
        <w:t>Table 4.2.2.2-</w:t>
      </w:r>
      <w:r>
        <w:t>2</w:t>
      </w:r>
      <w:r w:rsidRPr="009C5807">
        <w:t>: N</w:t>
      </w:r>
      <w:r w:rsidRPr="009C5807">
        <w:rPr>
          <w:vertAlign w:val="subscript"/>
        </w:rPr>
        <w:t>serv</w:t>
      </w:r>
      <w:r w:rsidRPr="00681035">
        <w:t xml:space="preserve"> </w:t>
      </w:r>
      <w:r w:rsidRPr="00320CAB">
        <w:t xml:space="preserve">for UE configured with </w:t>
      </w:r>
      <w:r w:rsidRPr="00865553">
        <w:rPr>
          <w:i/>
          <w:iCs/>
        </w:rPr>
        <w:t>highSpeedMeasFlagFR2-r17</w:t>
      </w:r>
      <w:r w:rsidRPr="00320CAB">
        <w:rPr>
          <w:lang w:eastAsia="zh-CN"/>
        </w:rPr>
        <w:t xml:space="preserve"> (Frequency range FR2)</w:t>
      </w:r>
    </w:p>
    <w:tbl>
      <w:tblPr>
        <w:tblW w:w="37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1967"/>
        <w:gridCol w:w="4035"/>
      </w:tblGrid>
      <w:tr w:rsidR="00286737" w:rsidRPr="009C5807" w14:paraId="26AF38AF" w14:textId="77777777" w:rsidTr="0085260C">
        <w:trPr>
          <w:cantSplit/>
          <w:trHeight w:val="631"/>
          <w:jc w:val="center"/>
        </w:trPr>
        <w:tc>
          <w:tcPr>
            <w:tcW w:w="847" w:type="pct"/>
          </w:tcPr>
          <w:p w14:paraId="537C1EC5" w14:textId="77777777" w:rsidR="00286737" w:rsidRPr="009C5807" w:rsidRDefault="00286737" w:rsidP="0085260C">
            <w:pPr>
              <w:pStyle w:val="TAH"/>
            </w:pPr>
            <w:r w:rsidRPr="009C5807">
              <w:t>DRX cycle length [s]</w:t>
            </w:r>
          </w:p>
        </w:tc>
        <w:tc>
          <w:tcPr>
            <w:tcW w:w="1361" w:type="pct"/>
          </w:tcPr>
          <w:p w14:paraId="5BB55EA8" w14:textId="77777777" w:rsidR="00286737" w:rsidRPr="009C5807" w:rsidRDefault="00286737" w:rsidP="0085260C">
            <w:pPr>
              <w:pStyle w:val="TAH"/>
            </w:pPr>
            <w:r w:rsidRPr="009C5807">
              <w:t>Scaling Factor (N1)</w:t>
            </w:r>
          </w:p>
        </w:tc>
        <w:tc>
          <w:tcPr>
            <w:tcW w:w="2792" w:type="pct"/>
          </w:tcPr>
          <w:p w14:paraId="57FD2CDE" w14:textId="77777777" w:rsidR="00286737" w:rsidRPr="009C5807" w:rsidRDefault="00286737" w:rsidP="0085260C">
            <w:pPr>
              <w:pStyle w:val="TAH"/>
            </w:pPr>
            <w:r w:rsidRPr="009C5807">
              <w:t>N</w:t>
            </w:r>
            <w:r w:rsidRPr="009C5807">
              <w:rPr>
                <w:vertAlign w:val="subscript"/>
              </w:rPr>
              <w:t xml:space="preserve">serv </w:t>
            </w:r>
            <w:r w:rsidRPr="009C5807">
              <w:t>[number of DRX cycles]</w:t>
            </w:r>
          </w:p>
        </w:tc>
      </w:tr>
      <w:tr w:rsidR="00286737" w:rsidRPr="009C5807" w14:paraId="5E444374" w14:textId="77777777" w:rsidTr="0085260C">
        <w:trPr>
          <w:cantSplit/>
          <w:jc w:val="center"/>
        </w:trPr>
        <w:tc>
          <w:tcPr>
            <w:tcW w:w="847" w:type="pct"/>
          </w:tcPr>
          <w:p w14:paraId="2B1E6AF7" w14:textId="77777777" w:rsidR="00286737" w:rsidRPr="009C5807" w:rsidRDefault="00286737" w:rsidP="0085260C">
            <w:pPr>
              <w:pStyle w:val="TAC"/>
            </w:pPr>
            <w:r w:rsidRPr="009C5807">
              <w:t>0.32</w:t>
            </w:r>
          </w:p>
        </w:tc>
        <w:tc>
          <w:tcPr>
            <w:tcW w:w="1361" w:type="pct"/>
          </w:tcPr>
          <w:p w14:paraId="48FA53F5" w14:textId="77777777" w:rsidR="00286737" w:rsidRPr="009C5807" w:rsidRDefault="00286737" w:rsidP="0085260C">
            <w:pPr>
              <w:pStyle w:val="TAC"/>
              <w:rPr>
                <w:rFonts w:cs="Arial"/>
                <w:sz w:val="16"/>
                <w:lang w:eastAsia="zh-CN"/>
              </w:rPr>
            </w:pPr>
            <w:r>
              <w:t>N2</w:t>
            </w:r>
            <w:r>
              <w:rPr>
                <w:vertAlign w:val="superscript"/>
              </w:rPr>
              <w:t>Note1</w:t>
            </w:r>
          </w:p>
        </w:tc>
        <w:tc>
          <w:tcPr>
            <w:tcW w:w="2792" w:type="pct"/>
          </w:tcPr>
          <w:p w14:paraId="4673A9C2" w14:textId="77777777" w:rsidR="00286737" w:rsidRPr="009C5807" w:rsidRDefault="00286737" w:rsidP="0085260C">
            <w:pPr>
              <w:pStyle w:val="TAC"/>
              <w:rPr>
                <w:rFonts w:cs="Arial"/>
                <w:sz w:val="16"/>
                <w:lang w:eastAsia="zh-CN"/>
              </w:rPr>
            </w:pPr>
            <w:r w:rsidRPr="009C5807">
              <w:rPr>
                <w:rFonts w:cs="Arial"/>
                <w:sz w:val="16"/>
                <w:lang w:eastAsia="zh-CN"/>
              </w:rPr>
              <w:t>M1*N1*</w:t>
            </w:r>
            <w:r w:rsidRPr="009C5807">
              <w:t>4</w:t>
            </w:r>
          </w:p>
        </w:tc>
      </w:tr>
      <w:tr w:rsidR="00286737" w:rsidRPr="009C5807" w14:paraId="3336A590" w14:textId="77777777" w:rsidTr="0085260C">
        <w:trPr>
          <w:cantSplit/>
          <w:jc w:val="center"/>
        </w:trPr>
        <w:tc>
          <w:tcPr>
            <w:tcW w:w="847" w:type="pct"/>
          </w:tcPr>
          <w:p w14:paraId="7BDC9A05" w14:textId="77777777" w:rsidR="00286737" w:rsidRPr="009C5807" w:rsidRDefault="00286737" w:rsidP="0085260C">
            <w:pPr>
              <w:pStyle w:val="TAC"/>
            </w:pPr>
            <w:r w:rsidRPr="009C5807">
              <w:t>0.64</w:t>
            </w:r>
          </w:p>
        </w:tc>
        <w:tc>
          <w:tcPr>
            <w:tcW w:w="1361" w:type="pct"/>
          </w:tcPr>
          <w:p w14:paraId="590DACB3" w14:textId="77777777" w:rsidR="00286737" w:rsidRPr="009C5807" w:rsidRDefault="00286737" w:rsidP="0085260C">
            <w:pPr>
              <w:pStyle w:val="TAC"/>
              <w:rPr>
                <w:rFonts w:cs="Arial"/>
                <w:sz w:val="16"/>
                <w:lang w:eastAsia="zh-CN"/>
              </w:rPr>
            </w:pPr>
            <w:r>
              <w:rPr>
                <w:rFonts w:hint="eastAsia"/>
                <w:lang w:val="en-US" w:eastAsia="zh-CN"/>
              </w:rPr>
              <w:t>5</w:t>
            </w:r>
          </w:p>
        </w:tc>
        <w:tc>
          <w:tcPr>
            <w:tcW w:w="2792" w:type="pct"/>
          </w:tcPr>
          <w:p w14:paraId="7CA724AB" w14:textId="77777777" w:rsidR="00286737" w:rsidRPr="009C5807" w:rsidRDefault="00286737" w:rsidP="0085260C">
            <w:pPr>
              <w:pStyle w:val="TAC"/>
              <w:rPr>
                <w:rFonts w:cs="Arial"/>
                <w:sz w:val="16"/>
                <w:lang w:eastAsia="zh-CN"/>
              </w:rPr>
            </w:pPr>
            <w:r w:rsidRPr="009C5807">
              <w:rPr>
                <w:rFonts w:cs="Arial"/>
                <w:sz w:val="16"/>
                <w:lang w:eastAsia="zh-CN"/>
              </w:rPr>
              <w:t>M1*N1*</w:t>
            </w:r>
            <w:r w:rsidRPr="009C5807">
              <w:t>4</w:t>
            </w:r>
          </w:p>
        </w:tc>
      </w:tr>
      <w:tr w:rsidR="00286737" w:rsidRPr="009C5807" w14:paraId="5B3DD02C" w14:textId="77777777" w:rsidTr="0085260C">
        <w:trPr>
          <w:cantSplit/>
          <w:jc w:val="center"/>
        </w:trPr>
        <w:tc>
          <w:tcPr>
            <w:tcW w:w="847" w:type="pct"/>
          </w:tcPr>
          <w:p w14:paraId="527A5F73" w14:textId="77777777" w:rsidR="00286737" w:rsidRPr="009C5807" w:rsidRDefault="00286737" w:rsidP="0085260C">
            <w:pPr>
              <w:pStyle w:val="TAC"/>
            </w:pPr>
            <w:r w:rsidRPr="009C5807">
              <w:t>1.28</w:t>
            </w:r>
          </w:p>
        </w:tc>
        <w:tc>
          <w:tcPr>
            <w:tcW w:w="1361" w:type="pct"/>
          </w:tcPr>
          <w:p w14:paraId="3BACAC53" w14:textId="77777777" w:rsidR="00286737" w:rsidRPr="009C5807" w:rsidRDefault="00286737" w:rsidP="0085260C">
            <w:pPr>
              <w:pStyle w:val="TAC"/>
              <w:rPr>
                <w:rFonts w:cs="Arial"/>
                <w:sz w:val="16"/>
                <w:lang w:eastAsia="zh-CN"/>
              </w:rPr>
            </w:pPr>
            <w:r>
              <w:rPr>
                <w:rFonts w:hint="eastAsia"/>
                <w:lang w:val="en-US" w:eastAsia="zh-CN"/>
              </w:rPr>
              <w:t>4</w:t>
            </w:r>
          </w:p>
        </w:tc>
        <w:tc>
          <w:tcPr>
            <w:tcW w:w="2792" w:type="pct"/>
          </w:tcPr>
          <w:p w14:paraId="6A5BB50E" w14:textId="77777777" w:rsidR="00286737" w:rsidRPr="009C5807" w:rsidRDefault="00286737" w:rsidP="0085260C">
            <w:pPr>
              <w:pStyle w:val="TAC"/>
              <w:rPr>
                <w:rFonts w:cs="Arial"/>
                <w:sz w:val="16"/>
                <w:lang w:eastAsia="zh-CN"/>
              </w:rPr>
            </w:pPr>
            <w:r w:rsidRPr="009C5807">
              <w:rPr>
                <w:rFonts w:cs="Arial"/>
                <w:sz w:val="16"/>
                <w:lang w:eastAsia="zh-CN"/>
              </w:rPr>
              <w:t>N1*</w:t>
            </w:r>
            <w:r w:rsidRPr="009C5807">
              <w:t>2</w:t>
            </w:r>
          </w:p>
        </w:tc>
      </w:tr>
      <w:tr w:rsidR="00286737" w:rsidRPr="009C5807" w14:paraId="601B780A" w14:textId="77777777" w:rsidTr="0085260C">
        <w:trPr>
          <w:cantSplit/>
          <w:jc w:val="center"/>
        </w:trPr>
        <w:tc>
          <w:tcPr>
            <w:tcW w:w="847" w:type="pct"/>
          </w:tcPr>
          <w:p w14:paraId="6D680C03" w14:textId="77777777" w:rsidR="00286737" w:rsidRPr="009C5807" w:rsidRDefault="00286737" w:rsidP="0085260C">
            <w:pPr>
              <w:pStyle w:val="TAC"/>
            </w:pPr>
            <w:r w:rsidRPr="009C5807">
              <w:t>2.56</w:t>
            </w:r>
          </w:p>
        </w:tc>
        <w:tc>
          <w:tcPr>
            <w:tcW w:w="1361" w:type="pct"/>
          </w:tcPr>
          <w:p w14:paraId="4BA1BBBC" w14:textId="77777777" w:rsidR="00286737" w:rsidRPr="009C5807" w:rsidRDefault="00286737" w:rsidP="0085260C">
            <w:pPr>
              <w:pStyle w:val="TAC"/>
              <w:rPr>
                <w:rFonts w:cs="Arial"/>
                <w:sz w:val="16"/>
                <w:lang w:eastAsia="zh-CN"/>
              </w:rPr>
            </w:pPr>
            <w:r>
              <w:rPr>
                <w:rFonts w:hint="eastAsia"/>
                <w:lang w:val="en-US" w:eastAsia="zh-CN"/>
              </w:rPr>
              <w:t>3</w:t>
            </w:r>
          </w:p>
        </w:tc>
        <w:tc>
          <w:tcPr>
            <w:tcW w:w="2792" w:type="pct"/>
          </w:tcPr>
          <w:p w14:paraId="16AC03D3" w14:textId="77777777" w:rsidR="00286737" w:rsidRPr="009C5807" w:rsidRDefault="00286737" w:rsidP="0085260C">
            <w:pPr>
              <w:pStyle w:val="TAC"/>
              <w:rPr>
                <w:rFonts w:cs="Arial"/>
                <w:sz w:val="16"/>
                <w:lang w:eastAsia="zh-CN"/>
              </w:rPr>
            </w:pPr>
            <w:r w:rsidRPr="009C5807">
              <w:rPr>
                <w:rFonts w:cs="Arial"/>
                <w:sz w:val="16"/>
                <w:lang w:eastAsia="zh-CN"/>
              </w:rPr>
              <w:t>N1*</w:t>
            </w:r>
            <w:r w:rsidRPr="009C5807">
              <w:t>2</w:t>
            </w:r>
          </w:p>
        </w:tc>
      </w:tr>
      <w:tr w:rsidR="00286737" w:rsidRPr="009C5807" w14:paraId="635D6998" w14:textId="77777777" w:rsidTr="0085260C">
        <w:trPr>
          <w:cantSplit/>
          <w:jc w:val="center"/>
        </w:trPr>
        <w:tc>
          <w:tcPr>
            <w:tcW w:w="5000" w:type="pct"/>
            <w:gridSpan w:val="3"/>
          </w:tcPr>
          <w:p w14:paraId="5552C506" w14:textId="46F5CAF5" w:rsidR="00286737" w:rsidRPr="009C5807" w:rsidRDefault="00286737" w:rsidP="00286737">
            <w:pPr>
              <w:pStyle w:val="TAN"/>
              <w:rPr>
                <w:lang w:eastAsia="zh-CN"/>
              </w:rPr>
            </w:pPr>
            <w:r w:rsidRPr="009C5807">
              <w:rPr>
                <w:lang w:eastAsia="zh-CN"/>
              </w:rPr>
              <w:t>Note 1:</w:t>
            </w:r>
            <w:r w:rsidRPr="009C5807">
              <w:rPr>
                <w:lang w:eastAsia="zh-CN"/>
              </w:rPr>
              <w:tab/>
            </w:r>
            <w:r>
              <w:rPr>
                <w:rFonts w:hint="eastAsia"/>
                <w:lang w:val="en-US" w:eastAsia="zh-CN"/>
              </w:rPr>
              <w:t>N2 = 2 when [</w:t>
            </w:r>
            <w:r>
              <w:rPr>
                <w:rFonts w:hint="eastAsia"/>
                <w:i/>
                <w:iCs/>
                <w:lang w:val="en-US" w:eastAsia="zh-CN"/>
              </w:rPr>
              <w:t>highSpeedMeasFlagFR2-r17</w:t>
            </w:r>
            <w:r>
              <w:rPr>
                <w:rFonts w:hint="eastAsia"/>
                <w:lang w:val="en-US" w:eastAsia="zh-CN"/>
              </w:rPr>
              <w:t>]  = [set1]; N2 = 6 when [</w:t>
            </w:r>
            <w:r>
              <w:rPr>
                <w:rFonts w:hint="eastAsia"/>
                <w:i/>
                <w:iCs/>
                <w:lang w:val="en-US" w:eastAsia="zh-CN"/>
              </w:rPr>
              <w:t>highSpeedMeasFlagFR2-r17</w:t>
            </w:r>
            <w:r>
              <w:rPr>
                <w:rFonts w:hint="eastAsia"/>
                <w:lang w:val="en-US" w:eastAsia="zh-CN"/>
              </w:rPr>
              <w:t>] = [set2].</w:t>
            </w:r>
          </w:p>
        </w:tc>
      </w:tr>
    </w:tbl>
    <w:p w14:paraId="4F2D0360" w14:textId="77777777" w:rsidR="00286737" w:rsidRPr="00043DFE" w:rsidRDefault="00286737" w:rsidP="00FD3D2E"/>
    <w:p w14:paraId="1709D108" w14:textId="77777777" w:rsidR="00FD3D2E" w:rsidRPr="00043DFE" w:rsidRDefault="00FD3D2E" w:rsidP="00FD3D2E">
      <w:pPr>
        <w:rPr>
          <w:noProof/>
        </w:rPr>
      </w:pPr>
      <w:r w:rsidRPr="00043DFE">
        <w:t>For any requirement in this section, when the UE transitions between any two states when being configured with eDRX_IDLE, being configured with eDRX_IDLE cycle, changing eDRX_IDLE cycle length, or changing PTW configuration, the UE shall meet the transition requirement, which is the less stringent requirement of the two requirements corresponding to the first state and the second state, during the transition time interval which is the time corresponding to the transition requirement. After the transition time interval, the UE shall meet the requirement corresponding to the second state.</w:t>
      </w:r>
    </w:p>
    <w:p w14:paraId="0D4F0B99" w14:textId="77777777" w:rsidR="00FD3D2E" w:rsidRPr="009C5807" w:rsidRDefault="00FD3D2E" w:rsidP="00575781">
      <w:pPr>
        <w:rPr>
          <w:noProof/>
        </w:rPr>
      </w:pPr>
    </w:p>
    <w:p w14:paraId="23CFB6EC" w14:textId="368FAE3C" w:rsidR="00E738E0" w:rsidRPr="009C5807" w:rsidRDefault="00967CF8" w:rsidP="00967CF8">
      <w:pPr>
        <w:pStyle w:val="Heading4"/>
        <w:rPr>
          <w:lang w:val="en-US" w:eastAsia="zh-CN"/>
        </w:rPr>
      </w:pPr>
      <w:r w:rsidRPr="009C5807">
        <w:rPr>
          <w:lang w:val="en-US" w:eastAsia="zh-CN"/>
        </w:rPr>
        <w:t>4.2.2.3</w:t>
      </w:r>
      <w:r w:rsidR="00A21E2B">
        <w:rPr>
          <w:lang w:val="en-US" w:eastAsia="zh-CN"/>
        </w:rPr>
        <w:tab/>
      </w:r>
      <w:r w:rsidR="00E738E0" w:rsidRPr="009C5807">
        <w:rPr>
          <w:lang w:val="en-US" w:eastAsia="zh-CN"/>
        </w:rPr>
        <w:t>Measurements of intra-frequency NR cells</w:t>
      </w:r>
    </w:p>
    <w:p w14:paraId="72A94BAE" w14:textId="77777777" w:rsidR="00E738E0" w:rsidRPr="009C5807" w:rsidRDefault="00E738E0" w:rsidP="00E738E0">
      <w:r w:rsidRPr="009C5807">
        <w:t xml:space="preserve">The UE shall be able to identify new intra-frequency cells and perform </w:t>
      </w:r>
      <w:r w:rsidRPr="009C5807">
        <w:rPr>
          <w:lang w:eastAsia="zh-CN"/>
        </w:rPr>
        <w:t>SS</w:t>
      </w:r>
      <w:r w:rsidRPr="009C5807">
        <w:t xml:space="preserve">-RSRP and </w:t>
      </w:r>
      <w:r w:rsidRPr="009C5807">
        <w:rPr>
          <w:lang w:eastAsia="zh-CN"/>
        </w:rPr>
        <w:t>SS-</w:t>
      </w:r>
      <w:r w:rsidRPr="009C5807">
        <w:t xml:space="preserve">RSRQ measurements of </w:t>
      </w:r>
      <w:r w:rsidRPr="009C5807">
        <w:rPr>
          <w:lang w:eastAsia="zh-CN"/>
        </w:rPr>
        <w:t xml:space="preserve">the </w:t>
      </w:r>
      <w:r w:rsidRPr="009C5807">
        <w:t>identified intra-frequency cells without an explicit intra-frequency neighbour list containing physical layer cell identities.</w:t>
      </w:r>
    </w:p>
    <w:p w14:paraId="63C94B25" w14:textId="0ADA14D7" w:rsidR="00E738E0" w:rsidRPr="009C5807" w:rsidRDefault="00E738E0" w:rsidP="00E738E0">
      <w:r w:rsidRPr="009C5807">
        <w:t xml:space="preserve">The UE shall be able to evaluate whether a newly detectable intra-frequency cell meets the reselection criteria defined in </w:t>
      </w:r>
      <w:r w:rsidR="00DB10CF" w:rsidRPr="009C5807">
        <w:t>TS3</w:t>
      </w:r>
      <w:r w:rsidR="00DB10CF" w:rsidRPr="009C5807">
        <w:rPr>
          <w:lang w:eastAsia="zh-CN"/>
        </w:rPr>
        <w:t>8</w:t>
      </w:r>
      <w:r w:rsidR="00DB10CF" w:rsidRPr="009C5807">
        <w:t>.304 [1]</w:t>
      </w:r>
      <w:r w:rsidRPr="009C5807">
        <w:t xml:space="preserve"> within T</w:t>
      </w:r>
      <w:r w:rsidRPr="009C5807">
        <w:rPr>
          <w:vertAlign w:val="subscript"/>
        </w:rPr>
        <w:t>detect,</w:t>
      </w:r>
      <w:r w:rsidRPr="009C5807">
        <w:rPr>
          <w:vertAlign w:val="subscript"/>
          <w:lang w:eastAsia="zh-CN"/>
        </w:rPr>
        <w:t>NR</w:t>
      </w:r>
      <w:r w:rsidRPr="009C5807">
        <w:rPr>
          <w:vertAlign w:val="subscript"/>
        </w:rPr>
        <w:t>_Intra</w:t>
      </w:r>
      <w:r w:rsidRPr="009C5807">
        <w:rPr>
          <w:i/>
          <w:vertAlign w:val="subscript"/>
        </w:rPr>
        <w:t xml:space="preserve"> </w:t>
      </w:r>
      <w:r w:rsidRPr="009C5807">
        <w:t>when that Treselection= 0</w:t>
      </w:r>
      <w:r w:rsidRPr="009C5807">
        <w:rPr>
          <w:i/>
          <w:vertAlign w:val="subscript"/>
        </w:rPr>
        <w:t xml:space="preserve"> </w:t>
      </w:r>
      <w:r w:rsidRPr="009C5807">
        <w:t xml:space="preserve">. An intra frequency cell is considered to be detectable according to the conditions defined in Annex </w:t>
      </w:r>
      <w:r w:rsidRPr="009C5807">
        <w:rPr>
          <w:lang w:eastAsia="zh-CN"/>
        </w:rPr>
        <w:t>B.1.2</w:t>
      </w:r>
      <w:r w:rsidRPr="009C5807">
        <w:t xml:space="preserve"> for a corresponding Band.</w:t>
      </w:r>
    </w:p>
    <w:p w14:paraId="1F3B7A9D" w14:textId="2950F6C8" w:rsidR="0018012F" w:rsidRDefault="001B2180" w:rsidP="0018012F">
      <w:pPr>
        <w:rPr>
          <w:rFonts w:cs="v4.2.0"/>
        </w:rPr>
      </w:pPr>
      <w:bookmarkStart w:id="36" w:name="_Hlk45202889"/>
      <w:r w:rsidRPr="00043DFE">
        <w:rPr>
          <w:rFonts w:cs="v4.2.0"/>
        </w:rPr>
        <w:t xml:space="preserve">The UE shall measure </w:t>
      </w:r>
      <w:r w:rsidRPr="00043DFE">
        <w:rPr>
          <w:rFonts w:cs="v4.2.0"/>
          <w:lang w:eastAsia="zh-CN"/>
        </w:rPr>
        <w:t>SS-</w:t>
      </w:r>
      <w:r w:rsidRPr="00043DFE">
        <w:rPr>
          <w:rFonts w:cs="v4.2.0"/>
        </w:rPr>
        <w:t xml:space="preserve">RSRP and </w:t>
      </w:r>
      <w:r w:rsidRPr="00043DFE">
        <w:rPr>
          <w:rFonts w:cs="v4.2.0"/>
          <w:lang w:eastAsia="zh-CN"/>
        </w:rPr>
        <w:t>SS-</w:t>
      </w:r>
      <w:r w:rsidRPr="00043DFE">
        <w:rPr>
          <w:rFonts w:cs="v4.2.0"/>
        </w:rPr>
        <w:t>RSRQ at least every T</w:t>
      </w:r>
      <w:r w:rsidRPr="00043DFE">
        <w:rPr>
          <w:rFonts w:cs="v4.2.0"/>
          <w:vertAlign w:val="subscript"/>
        </w:rPr>
        <w:t>measure,NR_Intra</w:t>
      </w:r>
      <w:r w:rsidRPr="00043DFE">
        <w:rPr>
          <w:rFonts w:cs="v4.2.0"/>
        </w:rPr>
        <w:t xml:space="preserve"> (see table 4.2.2.3-1</w:t>
      </w:r>
      <w:r w:rsidRPr="00043DFE">
        <w:rPr>
          <w:rFonts w:cs="v4.2.0" w:hint="eastAsia"/>
          <w:lang w:val="en-US" w:eastAsia="zh-CN"/>
        </w:rPr>
        <w:t xml:space="preserve">, </w:t>
      </w:r>
      <w:r w:rsidRPr="00043DFE">
        <w:rPr>
          <w:rFonts w:cs="v4.2.0"/>
        </w:rPr>
        <w:t>table 4.2.2.3-2, table 4.2.2.3-</w:t>
      </w:r>
      <w:r w:rsidRPr="00043DFE">
        <w:rPr>
          <w:rFonts w:cs="v4.2.0" w:hint="eastAsia"/>
          <w:lang w:val="en-US" w:eastAsia="zh-CN"/>
        </w:rPr>
        <w:t>3</w:t>
      </w:r>
      <w:r w:rsidRPr="00043DFE">
        <w:rPr>
          <w:rFonts w:cs="v4.2.0"/>
          <w:lang w:val="en-US" w:eastAsia="zh-CN"/>
        </w:rPr>
        <w:t>,</w:t>
      </w:r>
      <w:r w:rsidRPr="00043DFE">
        <w:rPr>
          <w:rFonts w:cs="v4.2.0" w:hint="eastAsia"/>
          <w:lang w:val="en-US" w:eastAsia="zh-CN"/>
        </w:rPr>
        <w:t xml:space="preserve"> </w:t>
      </w:r>
      <w:r w:rsidRPr="00043DFE">
        <w:rPr>
          <w:rFonts w:cs="v4.2.0"/>
        </w:rPr>
        <w:t>table 4.2.2.3-</w:t>
      </w:r>
      <w:r w:rsidRPr="00043DFE">
        <w:rPr>
          <w:rFonts w:cs="v4.2.0"/>
          <w:lang w:val="en-US" w:eastAsia="zh-CN"/>
        </w:rPr>
        <w:t xml:space="preserve">4 </w:t>
      </w:r>
      <w:r w:rsidRPr="00043DFE">
        <w:rPr>
          <w:rFonts w:cs="v4.2.0" w:hint="eastAsia"/>
          <w:lang w:val="en-US" w:eastAsia="zh-CN"/>
        </w:rPr>
        <w:t xml:space="preserve">or </w:t>
      </w:r>
      <w:r w:rsidRPr="00043DFE">
        <w:rPr>
          <w:rFonts w:cs="v4.2.0"/>
        </w:rPr>
        <w:t>table 4.2.2.3-</w:t>
      </w:r>
      <w:r w:rsidRPr="00043DFE">
        <w:rPr>
          <w:rFonts w:cs="v4.2.0"/>
          <w:lang w:val="en-US" w:eastAsia="zh-CN"/>
        </w:rPr>
        <w:t>5</w:t>
      </w:r>
      <w:r w:rsidRPr="00043DFE">
        <w:rPr>
          <w:rFonts w:cs="v4.2.0"/>
        </w:rPr>
        <w:t>) for intra-frequency cells that are identified and measured according to the measurement rules.</w:t>
      </w:r>
    </w:p>
    <w:bookmarkEnd w:id="36"/>
    <w:p w14:paraId="172C2473" w14:textId="77777777" w:rsidR="00E738E0" w:rsidRPr="009C5807" w:rsidRDefault="00E738E0" w:rsidP="00E738E0">
      <w:pPr>
        <w:rPr>
          <w:rFonts w:cs="v4.2.0"/>
          <w:lang w:eastAsia="zh-CN"/>
        </w:rPr>
      </w:pPr>
      <w:r w:rsidRPr="009C5807">
        <w:rPr>
          <w:rFonts w:cs="v4.2.0"/>
        </w:rPr>
        <w:t xml:space="preserve">The UE shall filter </w:t>
      </w:r>
      <w:r w:rsidRPr="009C5807">
        <w:rPr>
          <w:rFonts w:cs="v4.2.0"/>
          <w:lang w:eastAsia="zh-CN"/>
        </w:rPr>
        <w:t>SS-</w:t>
      </w:r>
      <w:r w:rsidRPr="009C5807">
        <w:rPr>
          <w:rFonts w:cs="v4.2.0"/>
        </w:rPr>
        <w:t xml:space="preserve">RSRP and </w:t>
      </w:r>
      <w:r w:rsidRPr="009C5807">
        <w:rPr>
          <w:rFonts w:cs="v4.2.0"/>
          <w:lang w:eastAsia="zh-CN"/>
        </w:rPr>
        <w:t>SS-</w:t>
      </w:r>
      <w:r w:rsidRPr="009C5807">
        <w:rPr>
          <w:rFonts w:cs="v4.2.0"/>
        </w:rPr>
        <w:t>RSRQ measurements of each measured intra-frequency cell using at least 2 measurements. Within the set of measurements used for the filtering, at least two measurements shall be spaced by at least T</w:t>
      </w:r>
      <w:r w:rsidRPr="009C5807">
        <w:rPr>
          <w:rFonts w:cs="v4.2.0"/>
          <w:vertAlign w:val="subscript"/>
        </w:rPr>
        <w:t>measure,NR_Intra</w:t>
      </w:r>
      <w:r w:rsidRPr="009C5807">
        <w:rPr>
          <w:rFonts w:cs="v4.2.0"/>
        </w:rPr>
        <w:t>/2</w:t>
      </w:r>
      <w:r w:rsidRPr="009C5807">
        <w:rPr>
          <w:rFonts w:cs="v4.2.0"/>
          <w:lang w:eastAsia="zh-CN"/>
        </w:rPr>
        <w:t>.</w:t>
      </w:r>
    </w:p>
    <w:p w14:paraId="137F17C9" w14:textId="77777777" w:rsidR="00E738E0" w:rsidRPr="009C5807" w:rsidRDefault="00E738E0" w:rsidP="00E738E0">
      <w:pPr>
        <w:rPr>
          <w:lang w:eastAsia="zh-CN"/>
        </w:rPr>
      </w:pPr>
      <w:r w:rsidRPr="009C5807">
        <w:t xml:space="preserve">The UE shall not consider a </w:t>
      </w:r>
      <w:r w:rsidRPr="009C5807">
        <w:rPr>
          <w:lang w:eastAsia="zh-CN"/>
        </w:rPr>
        <w:t>NR</w:t>
      </w:r>
      <w:r w:rsidRPr="009C5807">
        <w:t xml:space="preserve"> neighbour cell in cell reselection, if it is indicated as not allowed in the measurement control system information of the serving cell.</w:t>
      </w:r>
    </w:p>
    <w:p w14:paraId="2712BF52" w14:textId="7D2C7195" w:rsidR="0018012F" w:rsidRDefault="001B2180" w:rsidP="0018012F">
      <w:pPr>
        <w:rPr>
          <w:rFonts w:cs="v4.2.0"/>
        </w:rPr>
      </w:pPr>
      <w:r w:rsidRPr="00043DFE">
        <w:rPr>
          <w:rFonts w:cs="v4.2.0"/>
        </w:rPr>
        <w:t xml:space="preserve">For an intra-frequency cell that has been already detected, but that has not been reselected to, the filtering shall be such that the UE shall be capable of evaluating that the intra-frequency cell has met reselection criterion defined </w:t>
      </w:r>
      <w:r w:rsidRPr="00043DFE">
        <w:t>in TS3</w:t>
      </w:r>
      <w:r w:rsidRPr="00043DFE">
        <w:rPr>
          <w:lang w:eastAsia="zh-CN"/>
        </w:rPr>
        <w:t>8</w:t>
      </w:r>
      <w:r w:rsidRPr="00043DFE">
        <w:t xml:space="preserve">.304 </w:t>
      </w:r>
      <w:r w:rsidRPr="00043DFE">
        <w:rPr>
          <w:rFonts w:cs="v4.2.0"/>
        </w:rPr>
        <w:t>[1] within T</w:t>
      </w:r>
      <w:r w:rsidRPr="00043DFE">
        <w:rPr>
          <w:rFonts w:cs="v4.2.0"/>
          <w:vertAlign w:val="subscript"/>
        </w:rPr>
        <w:t>evaluate,</w:t>
      </w:r>
      <w:r w:rsidRPr="00043DFE">
        <w:rPr>
          <w:rFonts w:cs="v4.2.0"/>
          <w:vertAlign w:val="subscript"/>
          <w:lang w:eastAsia="zh-CN"/>
        </w:rPr>
        <w:t>NR</w:t>
      </w:r>
      <w:r w:rsidRPr="00043DFE">
        <w:rPr>
          <w:rFonts w:cs="v4.2.0"/>
          <w:vertAlign w:val="subscript"/>
        </w:rPr>
        <w:t>_Intra</w:t>
      </w:r>
      <w:r w:rsidRPr="00043DFE">
        <w:rPr>
          <w:rFonts w:cs="v4.2.0"/>
        </w:rPr>
        <w:t xml:space="preserve"> when T</w:t>
      </w:r>
      <w:r w:rsidRPr="00043DFE">
        <w:rPr>
          <w:rFonts w:cs="v4.2.0"/>
          <w:vertAlign w:val="subscript"/>
        </w:rPr>
        <w:t>reselection</w:t>
      </w:r>
      <w:r w:rsidRPr="00043DFE">
        <w:rPr>
          <w:rFonts w:cs="v4.2.0"/>
        </w:rPr>
        <w:t xml:space="preserve"> = 0</w:t>
      </w:r>
      <w:r w:rsidRPr="00043DFE">
        <w:rPr>
          <w:rFonts w:cs="v4.2.0"/>
          <w:i/>
          <w:vertAlign w:val="subscript"/>
        </w:rPr>
        <w:t xml:space="preserve"> </w:t>
      </w:r>
      <w:r w:rsidRPr="00043DFE">
        <w:rPr>
          <w:rFonts w:cs="v4.2.0"/>
        </w:rPr>
        <w:t>as specified in table 4.2.2.3-1</w:t>
      </w:r>
      <w:r w:rsidRPr="00043DFE">
        <w:rPr>
          <w:rFonts w:cs="v4.2.0" w:hint="eastAsia"/>
          <w:lang w:val="en-US" w:eastAsia="zh-CN"/>
        </w:rPr>
        <w:t xml:space="preserve">, </w:t>
      </w:r>
      <w:r w:rsidRPr="00043DFE">
        <w:rPr>
          <w:rFonts w:cs="v4.2.0"/>
        </w:rPr>
        <w:t>table 4.2.2.3-2, table 4.2.2.3-</w:t>
      </w:r>
      <w:r w:rsidRPr="00043DFE">
        <w:rPr>
          <w:rFonts w:cs="v4.2.0" w:hint="eastAsia"/>
          <w:lang w:val="en-US" w:eastAsia="zh-CN"/>
        </w:rPr>
        <w:t>3</w:t>
      </w:r>
      <w:r w:rsidRPr="00043DFE">
        <w:rPr>
          <w:rFonts w:cs="v4.2.0"/>
          <w:lang w:val="en-US" w:eastAsia="zh-CN"/>
        </w:rPr>
        <w:t xml:space="preserve">, table </w:t>
      </w:r>
      <w:r w:rsidRPr="00043DFE">
        <w:rPr>
          <w:rFonts w:cs="v4.2.0"/>
        </w:rPr>
        <w:t>4.2.2.3-</w:t>
      </w:r>
      <w:r w:rsidRPr="00043DFE">
        <w:rPr>
          <w:rFonts w:cs="v4.2.0"/>
          <w:lang w:val="en-US" w:eastAsia="zh-CN"/>
        </w:rPr>
        <w:t>4</w:t>
      </w:r>
      <w:r w:rsidRPr="00043DFE">
        <w:rPr>
          <w:rFonts w:cs="v4.2.0"/>
        </w:rPr>
        <w:t xml:space="preserve"> </w:t>
      </w:r>
      <w:r w:rsidRPr="00043DFE">
        <w:rPr>
          <w:rFonts w:cs="v4.2.0" w:hint="eastAsia"/>
          <w:lang w:val="en-US" w:eastAsia="zh-CN"/>
        </w:rPr>
        <w:t xml:space="preserve">or </w:t>
      </w:r>
      <w:r w:rsidRPr="00043DFE">
        <w:rPr>
          <w:rFonts w:cs="v4.2.0"/>
        </w:rPr>
        <w:t>table 4.2.2.3-</w:t>
      </w:r>
      <w:r w:rsidRPr="00043DFE">
        <w:rPr>
          <w:rFonts w:cs="v4.2.0"/>
          <w:lang w:val="en-US" w:eastAsia="zh-CN"/>
        </w:rPr>
        <w:t>5</w:t>
      </w:r>
      <w:r w:rsidRPr="00043DFE">
        <w:rPr>
          <w:rFonts w:cs="v4.2.0" w:hint="eastAsia"/>
          <w:lang w:val="en-US" w:eastAsia="zh-CN"/>
        </w:rPr>
        <w:t xml:space="preserve"> </w:t>
      </w:r>
      <w:r w:rsidRPr="00043DFE">
        <w:rPr>
          <w:rFonts w:cs="v4.2.0"/>
        </w:rPr>
        <w:t>provided that:</w:t>
      </w:r>
    </w:p>
    <w:p w14:paraId="23D16DF4" w14:textId="77777777" w:rsidR="00E738E0" w:rsidRPr="009C5807" w:rsidRDefault="00E738E0" w:rsidP="00E738E0">
      <w:pPr>
        <w:ind w:left="568" w:hanging="284"/>
      </w:pPr>
      <w:r w:rsidRPr="009C5807">
        <w:t xml:space="preserve">when </w:t>
      </w:r>
      <w:r w:rsidRPr="009C5807">
        <w:rPr>
          <w:i/>
        </w:rPr>
        <w:t>rangeToBestCell</w:t>
      </w:r>
      <w:r w:rsidRPr="009C5807">
        <w:t xml:space="preserve"> is not configured:</w:t>
      </w:r>
    </w:p>
    <w:p w14:paraId="3473EB6E" w14:textId="2A1FD50E" w:rsidR="00E738E0" w:rsidRPr="009C5807" w:rsidRDefault="00E738E0" w:rsidP="00E738E0">
      <w:pPr>
        <w:pStyle w:val="B10"/>
      </w:pPr>
      <w:r w:rsidRPr="009C5807">
        <w:t>-</w:t>
      </w:r>
      <w:r w:rsidRPr="009C5807">
        <w:tab/>
        <w:t xml:space="preserve">the cell is at least </w:t>
      </w:r>
      <w:r w:rsidRPr="009C5807">
        <w:rPr>
          <w:lang w:eastAsia="zh-CN"/>
        </w:rPr>
        <w:t>3</w:t>
      </w:r>
      <w:r w:rsidRPr="009C5807">
        <w:t>dB better ranked in FR1 or 4.5dB better ranked in FR2.</w:t>
      </w:r>
    </w:p>
    <w:p w14:paraId="5E1BA0DE" w14:textId="77777777" w:rsidR="00E738E0" w:rsidRPr="009C5807" w:rsidRDefault="00E738E0" w:rsidP="003B346B">
      <w:pPr>
        <w:pStyle w:val="B10"/>
      </w:pPr>
      <w:r w:rsidRPr="009C5807">
        <w:rPr>
          <w:lang w:eastAsia="zh-CN"/>
        </w:rPr>
        <w:t xml:space="preserve">when </w:t>
      </w:r>
      <w:r w:rsidRPr="009C5807">
        <w:rPr>
          <w:i/>
        </w:rPr>
        <w:t>rangeToBestCell</w:t>
      </w:r>
      <w:r w:rsidRPr="009C5807">
        <w:t xml:space="preserve"> is configured:</w:t>
      </w:r>
    </w:p>
    <w:p w14:paraId="6081D5AE" w14:textId="77777777" w:rsidR="00D139B0" w:rsidRPr="009C5807" w:rsidRDefault="00D139B0" w:rsidP="003B346B">
      <w:pPr>
        <w:pStyle w:val="B10"/>
      </w:pPr>
      <w:r w:rsidRPr="009C5807">
        <w:t>-</w:t>
      </w:r>
      <w:r w:rsidRPr="009C5807">
        <w:tab/>
        <w:t xml:space="preserve">the cell has the highest number of beams above the threshold </w:t>
      </w:r>
      <w:r w:rsidRPr="009C5807">
        <w:rPr>
          <w:i/>
        </w:rPr>
        <w:t>absThreshSS-BlocksConsolidation</w:t>
      </w:r>
      <w:r w:rsidRPr="009C5807">
        <w:t xml:space="preserve"> among all detected cells whose cell-ranking criterion R value in TS3</w:t>
      </w:r>
      <w:r w:rsidRPr="009C5807">
        <w:rPr>
          <w:lang w:eastAsia="zh-CN"/>
        </w:rPr>
        <w:t>8</w:t>
      </w:r>
      <w:r w:rsidRPr="009C5807">
        <w:t xml:space="preserve">.304 [1] is within </w:t>
      </w:r>
      <w:r w:rsidRPr="009C5807">
        <w:rPr>
          <w:i/>
        </w:rPr>
        <w:t>rangeToBestCell</w:t>
      </w:r>
      <w:r w:rsidRPr="009C5807">
        <w:t xml:space="preserve"> of the cell-ranking criterion </w:t>
      </w:r>
      <w:r w:rsidRPr="009C5807">
        <w:rPr>
          <w:rFonts w:cs="v4.2.0"/>
        </w:rPr>
        <w:t xml:space="preserve">R value </w:t>
      </w:r>
      <w:r w:rsidRPr="009C5807">
        <w:t>of the highest ranked cell.</w:t>
      </w:r>
      <w:r w:rsidRPr="009C5807">
        <w:rPr>
          <w:rFonts w:cs="v4.2.0"/>
        </w:rPr>
        <w:t xml:space="preserve"> </w:t>
      </w:r>
    </w:p>
    <w:p w14:paraId="7ED9D3E9" w14:textId="34E64ECC" w:rsidR="00E738E0" w:rsidRPr="009C5807" w:rsidRDefault="00E738E0" w:rsidP="003B346B">
      <w:pPr>
        <w:pStyle w:val="B20"/>
      </w:pPr>
      <w:r w:rsidRPr="009C5807">
        <w:t>-</w:t>
      </w:r>
      <w:r w:rsidRPr="009C5807">
        <w:tab/>
        <w:t xml:space="preserve">if there are multiple such cells, the cell has the highest rank among them. </w:t>
      </w:r>
    </w:p>
    <w:p w14:paraId="47E96F46" w14:textId="7BCB72B6" w:rsidR="00D139B0" w:rsidRPr="009C5807" w:rsidRDefault="003B346B" w:rsidP="003B346B">
      <w:pPr>
        <w:pStyle w:val="B30"/>
      </w:pPr>
      <w:r>
        <w:t>-</w:t>
      </w:r>
      <w:r>
        <w:tab/>
      </w:r>
      <w:r w:rsidR="00D139B0" w:rsidRPr="009C5807">
        <w:t>the cell is at least 3dB better ranked in FR1 or 4.5dB better ranked in FR2 if the current serving cell is among them.</w:t>
      </w:r>
    </w:p>
    <w:p w14:paraId="6FB19D0E" w14:textId="77777777" w:rsidR="00E738E0" w:rsidRPr="009C5807" w:rsidRDefault="00E738E0" w:rsidP="00E738E0">
      <w:pPr>
        <w:rPr>
          <w:rFonts w:cs="v4.2.0"/>
        </w:rPr>
      </w:pPr>
      <w:r w:rsidRPr="009C5807">
        <w:rPr>
          <w:rFonts w:cs="v4.2.0"/>
        </w:rPr>
        <w:t>When evaluating cells for reselection, the SSB side conditions apply to both serving and non-serving intra-frequency cells.</w:t>
      </w:r>
    </w:p>
    <w:p w14:paraId="5FDC6C41" w14:textId="4B4637EF" w:rsidR="00225153" w:rsidRPr="009C5807" w:rsidRDefault="00E738E0" w:rsidP="00225153">
      <w:pPr>
        <w:rPr>
          <w:rFonts w:cs="v4.2.0"/>
          <w:lang w:eastAsia="zh-CN"/>
        </w:rPr>
      </w:pPr>
      <w:r w:rsidRPr="009C5807">
        <w:rPr>
          <w:rFonts w:cs="v4.2.0"/>
          <w:lang w:eastAsia="zh-CN"/>
        </w:rPr>
        <w:t>If T</w:t>
      </w:r>
      <w:r w:rsidRPr="009C5807">
        <w:rPr>
          <w:rFonts w:cs="v4.2.0"/>
          <w:vertAlign w:val="subscript"/>
          <w:lang w:eastAsia="zh-CN"/>
        </w:rPr>
        <w:t>reselection</w:t>
      </w:r>
      <w:r w:rsidRPr="009C5807">
        <w:rPr>
          <w:rFonts w:cs="v4.2.0"/>
          <w:lang w:eastAsia="zh-CN"/>
        </w:rPr>
        <w:t xml:space="preserve"> timer has a non zero value and the intra-frequency</w:t>
      </w:r>
      <w:r w:rsidRPr="009C5807">
        <w:rPr>
          <w:rFonts w:cs="v3.7.0"/>
        </w:rPr>
        <w:t xml:space="preserve"> cell is satisfied with the reselection criteria which are defined in TS38.304 [1], </w:t>
      </w:r>
      <w:r w:rsidRPr="009C5807">
        <w:rPr>
          <w:rFonts w:cs="v4.2.0"/>
          <w:lang w:eastAsia="zh-CN"/>
        </w:rPr>
        <w:t>the UE shall evaluate this intra-frequency cell for the T</w:t>
      </w:r>
      <w:r w:rsidRPr="009C5807">
        <w:rPr>
          <w:rFonts w:cs="v4.2.0"/>
          <w:vertAlign w:val="subscript"/>
          <w:lang w:eastAsia="zh-CN"/>
        </w:rPr>
        <w:t>reselection</w:t>
      </w:r>
      <w:r w:rsidRPr="009C5807">
        <w:rPr>
          <w:rFonts w:cs="v4.2.0"/>
          <w:lang w:eastAsia="zh-CN"/>
        </w:rPr>
        <w:t xml:space="preserve"> time. If this cell remains satisfied with the reselection criteria within this duration, then the UE shall reselect that cell.</w:t>
      </w:r>
    </w:p>
    <w:p w14:paraId="02F7A736" w14:textId="77777777" w:rsidR="001B2180" w:rsidRPr="00043DFE" w:rsidRDefault="001B2180" w:rsidP="001B2180">
      <w:pPr>
        <w:rPr>
          <w:rFonts w:cs="v4.2.0"/>
          <w:lang w:eastAsia="zh-CN"/>
        </w:rPr>
      </w:pPr>
      <w:r w:rsidRPr="00043DFE">
        <w:rPr>
          <w:rFonts w:cs="v4.2.0"/>
          <w:lang w:eastAsia="zh-CN"/>
        </w:rPr>
        <w:t xml:space="preserve">For UE neither configured with </w:t>
      </w:r>
      <w:bookmarkStart w:id="37" w:name="OLE_LINK2"/>
      <w:r w:rsidRPr="00043DFE">
        <w:rPr>
          <w:rFonts w:cs="v4.2.0"/>
          <w:i/>
          <w:iCs/>
          <w:lang w:eastAsia="zh-CN"/>
        </w:rPr>
        <w:t>highSpeedMeasFlag-r16</w:t>
      </w:r>
      <w:bookmarkEnd w:id="37"/>
      <w:r w:rsidRPr="00043DFE">
        <w:rPr>
          <w:rFonts w:cs="v4.2.0"/>
          <w:i/>
          <w:iCs/>
          <w:lang w:eastAsia="zh-CN"/>
        </w:rPr>
        <w:t xml:space="preserve"> </w:t>
      </w:r>
      <w:r w:rsidRPr="00043DFE">
        <w:rPr>
          <w:rFonts w:cs="v4.2.0"/>
          <w:lang w:eastAsia="zh-CN"/>
        </w:rPr>
        <w:t>nor</w:t>
      </w:r>
      <w:r w:rsidRPr="00043DFE">
        <w:rPr>
          <w:rFonts w:cs="v4.2.0"/>
          <w:i/>
          <w:iCs/>
          <w:lang w:eastAsia="zh-CN"/>
        </w:rPr>
        <w:t xml:space="preserve"> highSpeedMeasFlagFR2-r17</w:t>
      </w:r>
      <w:r w:rsidRPr="00043DFE">
        <w:rPr>
          <w:rFonts w:cs="v4.2.0"/>
          <w:lang w:eastAsia="zh-CN"/>
        </w:rPr>
        <w:t xml:space="preserve">, </w:t>
      </w:r>
      <w:r w:rsidRPr="00043DFE">
        <w:t>T</w:t>
      </w:r>
      <w:r w:rsidRPr="00043DFE">
        <w:rPr>
          <w:vertAlign w:val="subscript"/>
        </w:rPr>
        <w:t>detect,NR_Intra,</w:t>
      </w:r>
      <w:r w:rsidRPr="00043DFE">
        <w:t xml:space="preserve"> T</w:t>
      </w:r>
      <w:r w:rsidRPr="00043DFE">
        <w:rPr>
          <w:vertAlign w:val="subscript"/>
        </w:rPr>
        <w:t>measure,NR_Intra</w:t>
      </w:r>
      <w:r w:rsidRPr="00043DFE">
        <w:t xml:space="preserve"> and T</w:t>
      </w:r>
      <w:r w:rsidRPr="00043DFE">
        <w:rPr>
          <w:vertAlign w:val="subscript"/>
        </w:rPr>
        <w:t>evaluate, NR_intra</w:t>
      </w:r>
      <w:r w:rsidRPr="00043DFE">
        <w:rPr>
          <w:rFonts w:cs="v4.2.0"/>
          <w:lang w:eastAsia="zh-CN"/>
        </w:rPr>
        <w:t xml:space="preserve"> are specified in Table 4.2.2.3-1. For UE configured with </w:t>
      </w:r>
      <w:r w:rsidRPr="00043DFE">
        <w:rPr>
          <w:rFonts w:cs="v4.2.0"/>
          <w:i/>
          <w:iCs/>
          <w:lang w:eastAsia="zh-CN"/>
        </w:rPr>
        <w:t>highSpeedMeasFlag-r16</w:t>
      </w:r>
      <w:r w:rsidRPr="00043DFE">
        <w:rPr>
          <w:rFonts w:cs="v4.2.0"/>
          <w:lang w:eastAsia="zh-CN"/>
        </w:rPr>
        <w:t xml:space="preserve">, </w:t>
      </w:r>
      <w:r w:rsidRPr="00043DFE">
        <w:t>T</w:t>
      </w:r>
      <w:r w:rsidRPr="00043DFE">
        <w:rPr>
          <w:vertAlign w:val="subscript"/>
        </w:rPr>
        <w:t>detect,NR_Intra,</w:t>
      </w:r>
      <w:r w:rsidRPr="00043DFE">
        <w:t xml:space="preserve"> T</w:t>
      </w:r>
      <w:r w:rsidRPr="00043DFE">
        <w:rPr>
          <w:vertAlign w:val="subscript"/>
        </w:rPr>
        <w:t>measure,NR_Intra</w:t>
      </w:r>
      <w:r w:rsidRPr="00043DFE">
        <w:t xml:space="preserve"> and T</w:t>
      </w:r>
      <w:r w:rsidRPr="00043DFE">
        <w:rPr>
          <w:vertAlign w:val="subscript"/>
        </w:rPr>
        <w:t>evaluate, NR_intra</w:t>
      </w:r>
      <w:r w:rsidRPr="00043DFE">
        <w:rPr>
          <w:rFonts w:cs="v4.2.0"/>
          <w:lang w:eastAsia="zh-CN"/>
        </w:rPr>
        <w:t xml:space="preserve"> are specified in Table 4.2.2.3-2. For FR2 power class 6 UE configured with </w:t>
      </w:r>
      <w:r w:rsidRPr="00043DFE">
        <w:rPr>
          <w:i/>
          <w:iCs/>
        </w:rPr>
        <w:t>highSpeedMeasFlagFR2-r17</w:t>
      </w:r>
      <w:r w:rsidRPr="00043DFE">
        <w:rPr>
          <w:rFonts w:cs="v4.2.0"/>
          <w:lang w:eastAsia="zh-CN"/>
        </w:rPr>
        <w:t xml:space="preserve">, </w:t>
      </w:r>
      <w:r w:rsidRPr="00043DFE">
        <w:t>T</w:t>
      </w:r>
      <w:r w:rsidRPr="00043DFE">
        <w:rPr>
          <w:vertAlign w:val="subscript"/>
        </w:rPr>
        <w:t>detect,NR_Intra,</w:t>
      </w:r>
      <w:r w:rsidRPr="00043DFE">
        <w:t xml:space="preserve"> T</w:t>
      </w:r>
      <w:r w:rsidRPr="00043DFE">
        <w:rPr>
          <w:vertAlign w:val="subscript"/>
        </w:rPr>
        <w:t>measure,NR_Intra</w:t>
      </w:r>
      <w:r w:rsidRPr="00043DFE">
        <w:t xml:space="preserve"> and T</w:t>
      </w:r>
      <w:r w:rsidRPr="00043DFE">
        <w:rPr>
          <w:vertAlign w:val="subscript"/>
        </w:rPr>
        <w:t>evaluate, NR_intra</w:t>
      </w:r>
      <w:r w:rsidRPr="00043DFE">
        <w:rPr>
          <w:rFonts w:cs="v4.2.0"/>
          <w:lang w:eastAsia="zh-CN"/>
        </w:rPr>
        <w:t xml:space="preserve"> are specified in Table 4.2.2.3-3.</w:t>
      </w:r>
    </w:p>
    <w:p w14:paraId="71D67AD0" w14:textId="77777777" w:rsidR="001B2180" w:rsidRPr="00043DFE" w:rsidRDefault="001B2180" w:rsidP="001B2180">
      <w:pPr>
        <w:rPr>
          <w:rFonts w:cs="v4.2.0"/>
          <w:lang w:eastAsia="zh-CN"/>
        </w:rPr>
      </w:pPr>
      <w:r w:rsidRPr="00043DFE">
        <w:rPr>
          <w:rFonts w:cs="v4.2.0"/>
          <w:lang w:eastAsia="zh-CN"/>
        </w:rPr>
        <w:t xml:space="preserve">For </w:t>
      </w:r>
      <w:r w:rsidRPr="00043DFE">
        <w:rPr>
          <w:rFonts w:cs="v4.2.0"/>
        </w:rPr>
        <w:t>UE</w:t>
      </w:r>
      <w:r w:rsidRPr="00043DFE">
        <w:rPr>
          <w:rFonts w:cs="v4.2.0"/>
          <w:lang w:eastAsia="zh-CN"/>
        </w:rPr>
        <w:t xml:space="preserve"> not configured with eDRX_IDLE cycle, </w:t>
      </w:r>
      <w:r w:rsidRPr="00043DFE">
        <w:t>T</w:t>
      </w:r>
      <w:r w:rsidRPr="00043DFE">
        <w:rPr>
          <w:vertAlign w:val="subscript"/>
        </w:rPr>
        <w:t>detect,NR_Intra,</w:t>
      </w:r>
      <w:r w:rsidRPr="00043DFE">
        <w:t xml:space="preserve"> T</w:t>
      </w:r>
      <w:r w:rsidRPr="00043DFE">
        <w:rPr>
          <w:vertAlign w:val="subscript"/>
        </w:rPr>
        <w:t>measure,NR_Intra</w:t>
      </w:r>
      <w:r w:rsidRPr="00043DFE">
        <w:t xml:space="preserve"> and T</w:t>
      </w:r>
      <w:r w:rsidRPr="00043DFE">
        <w:rPr>
          <w:vertAlign w:val="subscript"/>
        </w:rPr>
        <w:t>evaluate,NR_</w:t>
      </w:r>
      <w:r w:rsidRPr="00043DFE">
        <w:rPr>
          <w:rFonts w:cs="v4.2.0"/>
          <w:vertAlign w:val="subscript"/>
        </w:rPr>
        <w:t>Intra</w:t>
      </w:r>
      <w:r w:rsidRPr="00043DFE">
        <w:t xml:space="preserve"> </w:t>
      </w:r>
      <w:r w:rsidRPr="00043DFE">
        <w:rPr>
          <w:rFonts w:cs="v4.2.0"/>
          <w:lang w:eastAsia="zh-CN"/>
        </w:rPr>
        <w:t xml:space="preserve">are specified in Table 4.2.2.3-1, 4.2.2.3-2 and 4.2.2.3-3. </w:t>
      </w:r>
    </w:p>
    <w:p w14:paraId="4C32603F" w14:textId="77777777" w:rsidR="001B2180" w:rsidRPr="00D60521" w:rsidRDefault="001B2180" w:rsidP="00D60521">
      <w:pPr>
        <w:overflowPunct/>
        <w:autoSpaceDE/>
        <w:autoSpaceDN/>
        <w:adjustRightInd/>
        <w:textAlignment w:val="auto"/>
        <w:rPr>
          <w:rFonts w:eastAsiaTheme="minorEastAsia"/>
          <w:lang w:eastAsia="en-US"/>
        </w:rPr>
      </w:pPr>
      <w:r w:rsidRPr="00043DFE">
        <w:rPr>
          <w:rFonts w:cs="v4.2.0"/>
          <w:lang w:eastAsia="zh-CN"/>
        </w:rPr>
        <w:t xml:space="preserve">For UE configured with eDRX_IDLE cycle, </w:t>
      </w:r>
      <w:r w:rsidRPr="00043DFE">
        <w:t>T</w:t>
      </w:r>
      <w:r w:rsidRPr="00043DFE">
        <w:rPr>
          <w:vertAlign w:val="subscript"/>
        </w:rPr>
        <w:t>detect,NR_Intra,</w:t>
      </w:r>
      <w:r w:rsidRPr="00043DFE">
        <w:t xml:space="preserve"> T</w:t>
      </w:r>
      <w:r w:rsidRPr="00043DFE">
        <w:rPr>
          <w:vertAlign w:val="subscript"/>
        </w:rPr>
        <w:t>measure,NR_Intra</w:t>
      </w:r>
      <w:r w:rsidRPr="00043DFE">
        <w:t xml:space="preserve"> and T</w:t>
      </w:r>
      <w:r w:rsidRPr="00043DFE">
        <w:rPr>
          <w:vertAlign w:val="subscript"/>
        </w:rPr>
        <w:t>evaluate,NR_</w:t>
      </w:r>
      <w:r w:rsidRPr="00043DFE">
        <w:rPr>
          <w:rFonts w:cs="v4.2.0"/>
          <w:vertAlign w:val="subscript"/>
        </w:rPr>
        <w:t>Intra</w:t>
      </w:r>
      <w:r w:rsidRPr="00043DFE">
        <w:rPr>
          <w:rFonts w:cs="v4.2.0"/>
          <w:lang w:eastAsia="zh-CN"/>
        </w:rPr>
        <w:t xml:space="preserve"> are specified in Table 4.2.2.3-4 and Table 4.2.2.3-5 for FR1 and FR2 respectively, where the requirements apply provided that the serving cell is </w:t>
      </w:r>
      <w:r w:rsidRPr="00043DFE">
        <w:rPr>
          <w:rFonts w:cs="v4.2.0"/>
        </w:rPr>
        <w:t xml:space="preserve">configured with eDRX_IDLE and is </w:t>
      </w:r>
      <w:r w:rsidRPr="00043DFE">
        <w:rPr>
          <w:rFonts w:cs="v4.2.0"/>
          <w:lang w:eastAsia="zh-CN"/>
        </w:rPr>
        <w:t xml:space="preserve">the same in all PTWs during any of </w:t>
      </w:r>
      <w:r w:rsidRPr="00043DFE">
        <w:t>T</w:t>
      </w:r>
      <w:r w:rsidRPr="00043DFE">
        <w:rPr>
          <w:vertAlign w:val="subscript"/>
        </w:rPr>
        <w:t>detect,NR_Intra,</w:t>
      </w:r>
      <w:r w:rsidRPr="00043DFE">
        <w:t xml:space="preserve"> T</w:t>
      </w:r>
      <w:r w:rsidRPr="00043DFE">
        <w:rPr>
          <w:vertAlign w:val="subscript"/>
        </w:rPr>
        <w:t>measure,NR_Intra</w:t>
      </w:r>
      <w:r w:rsidRPr="00043DFE">
        <w:t xml:space="preserve"> and T</w:t>
      </w:r>
      <w:r w:rsidRPr="00043DFE">
        <w:rPr>
          <w:vertAlign w:val="subscript"/>
        </w:rPr>
        <w:t>evaluate,NR_</w:t>
      </w:r>
      <w:r w:rsidRPr="00043DFE">
        <w:rPr>
          <w:rFonts w:cs="v4.2.0"/>
          <w:vertAlign w:val="subscript"/>
        </w:rPr>
        <w:t>Intra</w:t>
      </w:r>
      <w:r w:rsidRPr="00043DFE">
        <w:t xml:space="preserve"> when multiple PTWs are used. </w:t>
      </w:r>
    </w:p>
    <w:p w14:paraId="398C316B" w14:textId="43A323D5" w:rsidR="00EB3ABD" w:rsidRDefault="001B2180" w:rsidP="001B2180">
      <w:r w:rsidRPr="00043DFE">
        <w:t xml:space="preserve">The requirements in Table 4.2.2.3-2 apply only when the UE supports </w:t>
      </w:r>
      <w:r w:rsidRPr="00043DFE">
        <w:rPr>
          <w:i/>
          <w:iCs/>
        </w:rPr>
        <w:t xml:space="preserve">measurementEnhancement-r16 </w:t>
      </w:r>
      <w:r w:rsidRPr="00043DFE">
        <w:t xml:space="preserve">or </w:t>
      </w:r>
      <w:r w:rsidRPr="00043DFE">
        <w:rPr>
          <w:i/>
          <w:iCs/>
        </w:rPr>
        <w:t>intraNR-MeasurementEnhancement-r16</w:t>
      </w:r>
      <w:r w:rsidRPr="00043DFE">
        <w:t xml:space="preserve">. For UE </w:t>
      </w:r>
      <w:r w:rsidRPr="00043DFE">
        <w:rPr>
          <w:rFonts w:hint="eastAsia"/>
          <w:lang w:val="en-US" w:eastAsia="zh-CN"/>
        </w:rPr>
        <w:t>neither</w:t>
      </w:r>
      <w:r w:rsidRPr="00043DFE">
        <w:t xml:space="preserve"> supporting either </w:t>
      </w:r>
      <w:r w:rsidRPr="00043DFE">
        <w:rPr>
          <w:i/>
          <w:iCs/>
        </w:rPr>
        <w:t xml:space="preserve">measurementEnhancement-r16 </w:t>
      </w:r>
      <w:r w:rsidRPr="00043DFE">
        <w:rPr>
          <w:rFonts w:hint="eastAsia"/>
          <w:lang w:val="en-US" w:eastAsia="zh-CN"/>
        </w:rPr>
        <w:t>n</w:t>
      </w:r>
      <w:r w:rsidRPr="00043DFE">
        <w:t>or</w:t>
      </w:r>
      <w:r w:rsidRPr="00043DFE">
        <w:rPr>
          <w:i/>
          <w:iCs/>
        </w:rPr>
        <w:t xml:space="preserve"> intraNR-MeasurementEnhancement-r16</w:t>
      </w:r>
      <w:r w:rsidRPr="00043DFE">
        <w:t>, the UE is not required to meet the requirements specified in Table 4.2.2.3-2.</w:t>
      </w:r>
    </w:p>
    <w:p w14:paraId="6FF262FE" w14:textId="77777777" w:rsidR="001B2180" w:rsidRPr="00B343A0" w:rsidRDefault="001B2180" w:rsidP="00EB3ABD"/>
    <w:p w14:paraId="2074E09B" w14:textId="77777777" w:rsidR="00A20BE0" w:rsidRPr="00401468" w:rsidRDefault="00A20BE0" w:rsidP="00A20BE0">
      <w:pPr>
        <w:pStyle w:val="TH"/>
        <w:rPr>
          <w:lang w:val="en-US"/>
        </w:rPr>
      </w:pPr>
      <w:r w:rsidRPr="00342887">
        <w:rPr>
          <w:lang w:val="en-US"/>
        </w:rPr>
        <w:t>Table 4.2.2.3-1: T</w:t>
      </w:r>
      <w:r w:rsidRPr="00342887">
        <w:rPr>
          <w:vertAlign w:val="subscript"/>
          <w:lang w:val="en-US"/>
        </w:rPr>
        <w:t>detect,NR_Intra,</w:t>
      </w:r>
      <w:r w:rsidRPr="00342887">
        <w:rPr>
          <w:lang w:val="en-US"/>
        </w:rPr>
        <w:t xml:space="preserve"> T</w:t>
      </w:r>
      <w:r w:rsidRPr="00342887">
        <w:rPr>
          <w:vertAlign w:val="subscript"/>
          <w:lang w:val="en-US"/>
        </w:rPr>
        <w:t>measure,NR_Intra</w:t>
      </w:r>
      <w:r w:rsidRPr="00342887">
        <w:rPr>
          <w:lang w:val="en-US"/>
        </w:rPr>
        <w:t xml:space="preserve"> and T</w:t>
      </w:r>
      <w:r w:rsidRPr="00342887">
        <w:rPr>
          <w:vertAlign w:val="subscript"/>
          <w:lang w:val="en-US"/>
        </w:rPr>
        <w:t>evaluate,NR_Intra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576"/>
        <w:gridCol w:w="1915"/>
        <w:gridCol w:w="1868"/>
        <w:gridCol w:w="1400"/>
        <w:gridCol w:w="1546"/>
        <w:gridCol w:w="1468"/>
      </w:tblGrid>
      <w:tr w:rsidR="00A20BE0" w:rsidRPr="009C5807" w14:paraId="5722F5D0" w14:textId="77777777" w:rsidTr="00583014">
        <w:trPr>
          <w:cantSplit/>
          <w:trHeight w:val="308"/>
          <w:jc w:val="center"/>
        </w:trPr>
        <w:tc>
          <w:tcPr>
            <w:tcW w:w="0" w:type="auto"/>
            <w:tcBorders>
              <w:top w:val="single" w:sz="4" w:space="0" w:color="auto"/>
              <w:left w:val="single" w:sz="4" w:space="0" w:color="auto"/>
              <w:bottom w:val="nil"/>
              <w:right w:val="single" w:sz="4" w:space="0" w:color="auto"/>
            </w:tcBorders>
            <w:hideMark/>
          </w:tcPr>
          <w:p w14:paraId="3ED95FC4" w14:textId="77777777" w:rsidR="00A20BE0" w:rsidRPr="009C5807" w:rsidRDefault="00A20BE0" w:rsidP="00583014">
            <w:pPr>
              <w:pStyle w:val="TAH"/>
            </w:pPr>
            <w:r w:rsidRPr="009C5807">
              <w:t>DRX cycle length [s]</w:t>
            </w:r>
          </w:p>
        </w:tc>
        <w:tc>
          <w:tcPr>
            <w:tcW w:w="0" w:type="auto"/>
            <w:gridSpan w:val="3"/>
            <w:tcBorders>
              <w:top w:val="single" w:sz="4" w:space="0" w:color="auto"/>
              <w:left w:val="single" w:sz="4" w:space="0" w:color="auto"/>
              <w:bottom w:val="single" w:sz="4" w:space="0" w:color="auto"/>
              <w:right w:val="single" w:sz="4" w:space="0" w:color="auto"/>
            </w:tcBorders>
            <w:hideMark/>
          </w:tcPr>
          <w:p w14:paraId="343BCAA7" w14:textId="77777777" w:rsidR="00A20BE0" w:rsidRPr="009C5807" w:rsidRDefault="00A20BE0" w:rsidP="00583014">
            <w:pPr>
              <w:pStyle w:val="TAH"/>
            </w:pPr>
            <w:r w:rsidRPr="009C5807">
              <w:t>Scaling Factor (N1)</w:t>
            </w:r>
          </w:p>
        </w:tc>
        <w:tc>
          <w:tcPr>
            <w:tcW w:w="0" w:type="auto"/>
            <w:tcBorders>
              <w:top w:val="single" w:sz="4" w:space="0" w:color="auto"/>
              <w:left w:val="single" w:sz="4" w:space="0" w:color="auto"/>
              <w:bottom w:val="nil"/>
              <w:right w:val="single" w:sz="4" w:space="0" w:color="auto"/>
            </w:tcBorders>
            <w:hideMark/>
          </w:tcPr>
          <w:p w14:paraId="74DA4A72" w14:textId="77777777" w:rsidR="00A20BE0" w:rsidRPr="009C5807" w:rsidRDefault="00A20BE0" w:rsidP="00583014">
            <w:pPr>
              <w:pStyle w:val="TAH"/>
            </w:pPr>
            <w:r w:rsidRPr="009C5807">
              <w:t>T</w:t>
            </w:r>
            <w:r w:rsidRPr="009C5807">
              <w:rPr>
                <w:vertAlign w:val="subscript"/>
              </w:rPr>
              <w:t>detect,NR_Intra</w:t>
            </w:r>
            <w:r w:rsidRPr="009C5807">
              <w:t xml:space="preserve"> [s] (number of DRX cycles)</w:t>
            </w:r>
          </w:p>
        </w:tc>
        <w:tc>
          <w:tcPr>
            <w:tcW w:w="0" w:type="auto"/>
            <w:tcBorders>
              <w:top w:val="single" w:sz="4" w:space="0" w:color="auto"/>
              <w:left w:val="single" w:sz="4" w:space="0" w:color="auto"/>
              <w:bottom w:val="nil"/>
              <w:right w:val="single" w:sz="4" w:space="0" w:color="auto"/>
            </w:tcBorders>
            <w:hideMark/>
          </w:tcPr>
          <w:p w14:paraId="7566F930" w14:textId="77777777" w:rsidR="00A20BE0" w:rsidRPr="009C5807" w:rsidRDefault="00A20BE0" w:rsidP="00583014">
            <w:pPr>
              <w:pStyle w:val="TAH"/>
            </w:pPr>
            <w:r w:rsidRPr="009C5807">
              <w:t>T</w:t>
            </w:r>
            <w:r w:rsidRPr="009C5807">
              <w:rPr>
                <w:vertAlign w:val="subscript"/>
              </w:rPr>
              <w:t>measure,NR_Intra</w:t>
            </w:r>
            <w:r w:rsidRPr="009C5807">
              <w:t xml:space="preserve"> [s] (number of DRX cycles)</w:t>
            </w:r>
          </w:p>
        </w:tc>
        <w:tc>
          <w:tcPr>
            <w:tcW w:w="0" w:type="auto"/>
            <w:tcBorders>
              <w:top w:val="single" w:sz="4" w:space="0" w:color="auto"/>
              <w:left w:val="single" w:sz="4" w:space="0" w:color="auto"/>
              <w:bottom w:val="nil"/>
              <w:right w:val="single" w:sz="4" w:space="0" w:color="auto"/>
            </w:tcBorders>
            <w:hideMark/>
          </w:tcPr>
          <w:p w14:paraId="0A72975C" w14:textId="77777777" w:rsidR="00A20BE0" w:rsidRPr="009C5807" w:rsidRDefault="00A20BE0" w:rsidP="00583014">
            <w:pPr>
              <w:pStyle w:val="TAH"/>
              <w:rPr>
                <w:vertAlign w:val="subscript"/>
              </w:rPr>
            </w:pPr>
            <w:r w:rsidRPr="009C5807">
              <w:t>T</w:t>
            </w:r>
            <w:r w:rsidRPr="009C5807">
              <w:rPr>
                <w:vertAlign w:val="subscript"/>
              </w:rPr>
              <w:t>evaluate,NR_</w:t>
            </w:r>
            <w:r w:rsidRPr="009C5807">
              <w:rPr>
                <w:rFonts w:cs="v4.2.0"/>
                <w:vertAlign w:val="subscript"/>
              </w:rPr>
              <w:t>Intra</w:t>
            </w:r>
          </w:p>
          <w:p w14:paraId="69254DB5" w14:textId="77777777" w:rsidR="00A20BE0" w:rsidRPr="009C5807" w:rsidRDefault="00A20BE0" w:rsidP="00583014">
            <w:pPr>
              <w:pStyle w:val="TAH"/>
            </w:pPr>
            <w:r w:rsidRPr="009C5807">
              <w:t>[s] (number of DRX cycles)</w:t>
            </w:r>
          </w:p>
        </w:tc>
      </w:tr>
      <w:tr w:rsidR="00A20BE0" w:rsidRPr="009C5807" w14:paraId="14C0CFBC" w14:textId="77777777" w:rsidTr="00583014">
        <w:trPr>
          <w:cantSplit/>
          <w:trHeight w:val="308"/>
          <w:jc w:val="center"/>
        </w:trPr>
        <w:tc>
          <w:tcPr>
            <w:tcW w:w="0" w:type="auto"/>
            <w:tcBorders>
              <w:top w:val="nil"/>
              <w:left w:val="single" w:sz="4" w:space="0" w:color="auto"/>
              <w:bottom w:val="single" w:sz="4" w:space="0" w:color="auto"/>
              <w:right w:val="single" w:sz="4" w:space="0" w:color="auto"/>
            </w:tcBorders>
            <w:vAlign w:val="center"/>
            <w:hideMark/>
          </w:tcPr>
          <w:p w14:paraId="733D1D54" w14:textId="77777777" w:rsidR="00A20BE0" w:rsidRPr="009C5807" w:rsidRDefault="00A20BE0" w:rsidP="00583014">
            <w:pPr>
              <w:pStyle w:val="TAH"/>
            </w:pPr>
          </w:p>
        </w:tc>
        <w:tc>
          <w:tcPr>
            <w:tcW w:w="0" w:type="auto"/>
            <w:tcBorders>
              <w:top w:val="single" w:sz="4" w:space="0" w:color="auto"/>
              <w:left w:val="single" w:sz="4" w:space="0" w:color="auto"/>
              <w:bottom w:val="single" w:sz="4" w:space="0" w:color="auto"/>
              <w:right w:val="single" w:sz="4" w:space="0" w:color="auto"/>
            </w:tcBorders>
            <w:hideMark/>
          </w:tcPr>
          <w:p w14:paraId="0A9B0785" w14:textId="77777777" w:rsidR="00A20BE0" w:rsidRPr="009C5807" w:rsidRDefault="00A20BE0" w:rsidP="00583014">
            <w:pPr>
              <w:pStyle w:val="TAH"/>
            </w:pPr>
            <w:r w:rsidRPr="009C5807">
              <w:t>FR1</w:t>
            </w:r>
          </w:p>
        </w:tc>
        <w:tc>
          <w:tcPr>
            <w:tcW w:w="854" w:type="dxa"/>
            <w:tcBorders>
              <w:top w:val="single" w:sz="4" w:space="0" w:color="auto"/>
              <w:left w:val="single" w:sz="4" w:space="0" w:color="auto"/>
              <w:bottom w:val="single" w:sz="4" w:space="0" w:color="auto"/>
              <w:right w:val="single" w:sz="4" w:space="0" w:color="auto"/>
            </w:tcBorders>
            <w:hideMark/>
          </w:tcPr>
          <w:p w14:paraId="787C3149" w14:textId="77777777" w:rsidR="00A20BE0" w:rsidRPr="009C5807" w:rsidRDefault="00A20BE0" w:rsidP="00583014">
            <w:pPr>
              <w:pStyle w:val="TAH"/>
              <w:rPr>
                <w:vertAlign w:val="superscript"/>
              </w:rPr>
            </w:pPr>
            <w:r w:rsidRPr="009C5807">
              <w:t>FR2</w:t>
            </w:r>
            <w:r>
              <w:t>-1</w:t>
            </w:r>
            <w:r w:rsidRPr="009C5807">
              <w:rPr>
                <w:vertAlign w:val="superscript"/>
              </w:rPr>
              <w:t>Note1</w:t>
            </w:r>
          </w:p>
        </w:tc>
        <w:tc>
          <w:tcPr>
            <w:tcW w:w="833" w:type="dxa"/>
            <w:tcBorders>
              <w:top w:val="single" w:sz="4" w:space="0" w:color="auto"/>
              <w:left w:val="single" w:sz="4" w:space="0" w:color="auto"/>
              <w:bottom w:val="single" w:sz="4" w:space="0" w:color="auto"/>
              <w:right w:val="single" w:sz="4" w:space="0" w:color="auto"/>
            </w:tcBorders>
          </w:tcPr>
          <w:p w14:paraId="4F7BB1A8" w14:textId="77777777" w:rsidR="00A20BE0" w:rsidRPr="009C5807" w:rsidRDefault="00A20BE0" w:rsidP="00583014">
            <w:pPr>
              <w:pStyle w:val="TAH"/>
              <w:rPr>
                <w:vertAlign w:val="superscript"/>
              </w:rPr>
            </w:pPr>
            <w:r>
              <w:rPr>
                <w:rFonts w:hint="eastAsia"/>
                <w:lang w:eastAsia="zh-CN"/>
              </w:rPr>
              <w:t>F</w:t>
            </w:r>
            <w:r>
              <w:rPr>
                <w:lang w:eastAsia="zh-CN"/>
              </w:rPr>
              <w:t>R2-2</w:t>
            </w:r>
            <w:r w:rsidRPr="009C5807">
              <w:rPr>
                <w:vertAlign w:val="superscript"/>
              </w:rPr>
              <w:t xml:space="preserve"> Note</w:t>
            </w:r>
            <w:r>
              <w:rPr>
                <w:vertAlign w:val="superscript"/>
              </w:rPr>
              <w:t>2</w:t>
            </w:r>
          </w:p>
        </w:tc>
        <w:tc>
          <w:tcPr>
            <w:tcW w:w="0" w:type="auto"/>
            <w:tcBorders>
              <w:top w:val="nil"/>
              <w:left w:val="single" w:sz="4" w:space="0" w:color="auto"/>
              <w:bottom w:val="single" w:sz="4" w:space="0" w:color="auto"/>
              <w:right w:val="single" w:sz="4" w:space="0" w:color="auto"/>
            </w:tcBorders>
            <w:vAlign w:val="center"/>
            <w:hideMark/>
          </w:tcPr>
          <w:p w14:paraId="575B68D9" w14:textId="77777777" w:rsidR="00A20BE0" w:rsidRPr="009C5807" w:rsidRDefault="00A20BE0" w:rsidP="00583014">
            <w:pPr>
              <w:pStyle w:val="TAH"/>
            </w:pPr>
          </w:p>
        </w:tc>
        <w:tc>
          <w:tcPr>
            <w:tcW w:w="0" w:type="auto"/>
            <w:tcBorders>
              <w:top w:val="nil"/>
              <w:left w:val="single" w:sz="4" w:space="0" w:color="auto"/>
              <w:bottom w:val="single" w:sz="4" w:space="0" w:color="auto"/>
              <w:right w:val="single" w:sz="4" w:space="0" w:color="auto"/>
            </w:tcBorders>
            <w:vAlign w:val="center"/>
            <w:hideMark/>
          </w:tcPr>
          <w:p w14:paraId="68D23F78" w14:textId="77777777" w:rsidR="00A20BE0" w:rsidRPr="009C5807" w:rsidRDefault="00A20BE0" w:rsidP="00583014">
            <w:pPr>
              <w:pStyle w:val="TAH"/>
            </w:pPr>
          </w:p>
        </w:tc>
        <w:tc>
          <w:tcPr>
            <w:tcW w:w="0" w:type="auto"/>
            <w:tcBorders>
              <w:top w:val="nil"/>
              <w:left w:val="single" w:sz="4" w:space="0" w:color="auto"/>
              <w:bottom w:val="single" w:sz="4" w:space="0" w:color="auto"/>
              <w:right w:val="single" w:sz="4" w:space="0" w:color="auto"/>
            </w:tcBorders>
            <w:vAlign w:val="center"/>
            <w:hideMark/>
          </w:tcPr>
          <w:p w14:paraId="64D9DB59" w14:textId="77777777" w:rsidR="00A20BE0" w:rsidRPr="009C5807" w:rsidRDefault="00A20BE0" w:rsidP="00583014">
            <w:pPr>
              <w:pStyle w:val="TAH"/>
            </w:pPr>
          </w:p>
        </w:tc>
      </w:tr>
      <w:tr w:rsidR="00A20BE0" w:rsidRPr="009C5807" w14:paraId="5D54EA75"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3EE1013" w14:textId="77777777" w:rsidR="00A20BE0" w:rsidRPr="009C5807" w:rsidRDefault="00A20BE0" w:rsidP="00583014">
            <w:pPr>
              <w:pStyle w:val="TAC"/>
            </w:pPr>
            <w:r w:rsidRPr="009C5807">
              <w:t>0.32</w:t>
            </w:r>
          </w:p>
        </w:tc>
        <w:tc>
          <w:tcPr>
            <w:tcW w:w="0" w:type="auto"/>
            <w:tcBorders>
              <w:top w:val="single" w:sz="4" w:space="0" w:color="auto"/>
              <w:left w:val="single" w:sz="4" w:space="0" w:color="auto"/>
              <w:bottom w:val="nil"/>
              <w:right w:val="single" w:sz="4" w:space="0" w:color="auto"/>
            </w:tcBorders>
            <w:vAlign w:val="center"/>
            <w:hideMark/>
          </w:tcPr>
          <w:p w14:paraId="1EEB8C42" w14:textId="77777777" w:rsidR="00A20BE0" w:rsidRPr="009C5807" w:rsidRDefault="00A20BE0" w:rsidP="00583014">
            <w:pPr>
              <w:pStyle w:val="TAC"/>
            </w:pPr>
            <w:r w:rsidRPr="009C5807">
              <w:t>1</w:t>
            </w:r>
          </w:p>
        </w:tc>
        <w:tc>
          <w:tcPr>
            <w:tcW w:w="854" w:type="dxa"/>
            <w:tcBorders>
              <w:top w:val="single" w:sz="4" w:space="0" w:color="auto"/>
              <w:left w:val="single" w:sz="4" w:space="0" w:color="auto"/>
              <w:bottom w:val="single" w:sz="4" w:space="0" w:color="auto"/>
              <w:right w:val="single" w:sz="4" w:space="0" w:color="auto"/>
            </w:tcBorders>
            <w:hideMark/>
          </w:tcPr>
          <w:p w14:paraId="4D709445" w14:textId="77777777" w:rsidR="00A20BE0" w:rsidRPr="009C5807" w:rsidRDefault="00A20BE0" w:rsidP="00583014">
            <w:pPr>
              <w:pStyle w:val="TAC"/>
            </w:pPr>
            <w:r w:rsidRPr="009C5807">
              <w:t>8</w:t>
            </w:r>
          </w:p>
        </w:tc>
        <w:tc>
          <w:tcPr>
            <w:tcW w:w="833" w:type="dxa"/>
            <w:tcBorders>
              <w:top w:val="single" w:sz="4" w:space="0" w:color="auto"/>
              <w:left w:val="single" w:sz="4" w:space="0" w:color="auto"/>
              <w:bottom w:val="single" w:sz="4" w:space="0" w:color="auto"/>
              <w:right w:val="single" w:sz="4" w:space="0" w:color="auto"/>
            </w:tcBorders>
          </w:tcPr>
          <w:p w14:paraId="72F5022A" w14:textId="77777777" w:rsidR="00A20BE0" w:rsidRPr="002E7453" w:rsidRDefault="00A20BE0" w:rsidP="00583014">
            <w:pPr>
              <w:pStyle w:val="TAC"/>
              <w:rPr>
                <w:szCs w:val="18"/>
              </w:rPr>
            </w:pPr>
            <w:r w:rsidRPr="002E7453">
              <w:rPr>
                <w:rFonts w:cs="Arial" w:hint="eastAsia"/>
                <w:szCs w:val="18"/>
                <w:lang w:eastAsia="zh-CN"/>
              </w:rPr>
              <w:t>1</w:t>
            </w:r>
            <w:r w:rsidRPr="002E7453">
              <w:rPr>
                <w:rFonts w:cs="Arial"/>
                <w:szCs w:val="18"/>
                <w:lang w:eastAsia="zh-CN"/>
              </w:rPr>
              <w:t>2</w:t>
            </w:r>
          </w:p>
        </w:tc>
        <w:tc>
          <w:tcPr>
            <w:tcW w:w="0" w:type="auto"/>
            <w:tcBorders>
              <w:top w:val="single" w:sz="4" w:space="0" w:color="auto"/>
              <w:left w:val="single" w:sz="4" w:space="0" w:color="auto"/>
              <w:bottom w:val="single" w:sz="4" w:space="0" w:color="auto"/>
              <w:right w:val="single" w:sz="4" w:space="0" w:color="auto"/>
            </w:tcBorders>
            <w:hideMark/>
          </w:tcPr>
          <w:p w14:paraId="3C610310" w14:textId="77777777" w:rsidR="00A20BE0" w:rsidRPr="009C5807" w:rsidRDefault="00A20BE0" w:rsidP="00583014">
            <w:pPr>
              <w:pStyle w:val="TAC"/>
            </w:pPr>
            <w:r w:rsidRPr="009C5807">
              <w:t xml:space="preserve">11.52 x N1 </w:t>
            </w:r>
            <w:r w:rsidRPr="009C5807">
              <w:rPr>
                <w:rFonts w:cs="Arial"/>
                <w:lang w:eastAsia="zh-CN"/>
              </w:rPr>
              <w:t xml:space="preserve">x M2 </w:t>
            </w:r>
            <w:r w:rsidRPr="009C5807">
              <w:t>(36 x N1</w:t>
            </w:r>
            <w:r w:rsidRPr="009C5807">
              <w:rPr>
                <w:rFonts w:cs="Arial"/>
                <w:lang w:eastAsia="zh-CN"/>
              </w:rPr>
              <w:t xml:space="preserve"> x M2</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70BF55C0" w14:textId="77777777" w:rsidR="00A20BE0" w:rsidRPr="009C5807" w:rsidRDefault="00A20BE0" w:rsidP="00583014">
            <w:pPr>
              <w:pStyle w:val="TAC"/>
            </w:pPr>
            <w:r w:rsidRPr="009C5807">
              <w:t xml:space="preserve">1.28 x N1 </w:t>
            </w:r>
            <w:r w:rsidRPr="009C5807">
              <w:rPr>
                <w:rFonts w:cs="Arial"/>
                <w:lang w:eastAsia="zh-CN"/>
              </w:rPr>
              <w:t>x M2</w:t>
            </w:r>
            <w:r w:rsidRPr="009C5807">
              <w:rPr>
                <w:rFonts w:cs="Arial"/>
                <w:snapToGrid w:val="0"/>
              </w:rPr>
              <w:t xml:space="preserve"> </w:t>
            </w:r>
            <w:r w:rsidRPr="009C5807">
              <w:t>(4 x N1</w:t>
            </w:r>
            <w:r w:rsidRPr="009C5807">
              <w:rPr>
                <w:rFonts w:cs="Arial"/>
                <w:lang w:eastAsia="zh-CN"/>
              </w:rPr>
              <w:t xml:space="preserve"> x M2</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774997E4" w14:textId="77777777" w:rsidR="00A20BE0" w:rsidRPr="009C5807" w:rsidRDefault="00A20BE0" w:rsidP="00583014">
            <w:pPr>
              <w:pStyle w:val="TAC"/>
            </w:pPr>
            <w:r w:rsidRPr="009C5807">
              <w:t xml:space="preserve">5.12 x N1 </w:t>
            </w:r>
            <w:r w:rsidRPr="009C5807">
              <w:rPr>
                <w:rFonts w:cs="Arial"/>
                <w:lang w:eastAsia="zh-CN"/>
              </w:rPr>
              <w:t>x M2</w:t>
            </w:r>
            <w:r w:rsidRPr="009C5807">
              <w:rPr>
                <w:rFonts w:cs="Arial"/>
                <w:snapToGrid w:val="0"/>
              </w:rPr>
              <w:t xml:space="preserve"> </w:t>
            </w:r>
            <w:r w:rsidRPr="009C5807">
              <w:t>(16 x N1</w:t>
            </w:r>
            <w:r w:rsidRPr="009C5807">
              <w:rPr>
                <w:rFonts w:cs="Arial"/>
                <w:lang w:eastAsia="zh-CN"/>
              </w:rPr>
              <w:t xml:space="preserve"> x M2</w:t>
            </w:r>
            <w:r w:rsidRPr="009C5807">
              <w:t>)</w:t>
            </w:r>
          </w:p>
        </w:tc>
      </w:tr>
      <w:tr w:rsidR="00A20BE0" w:rsidRPr="009C5807" w14:paraId="33E7A6C7"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DB3623F" w14:textId="77777777" w:rsidR="00A20BE0" w:rsidRPr="009C5807" w:rsidRDefault="00A20BE0" w:rsidP="00583014">
            <w:pPr>
              <w:pStyle w:val="TAC"/>
            </w:pPr>
            <w:r w:rsidRPr="009C5807">
              <w:t>0.64</w:t>
            </w:r>
          </w:p>
        </w:tc>
        <w:tc>
          <w:tcPr>
            <w:tcW w:w="0" w:type="auto"/>
            <w:tcBorders>
              <w:top w:val="nil"/>
              <w:left w:val="single" w:sz="4" w:space="0" w:color="auto"/>
              <w:bottom w:val="nil"/>
              <w:right w:val="single" w:sz="4" w:space="0" w:color="auto"/>
            </w:tcBorders>
            <w:vAlign w:val="center"/>
            <w:hideMark/>
          </w:tcPr>
          <w:p w14:paraId="05CCD944" w14:textId="77777777" w:rsidR="00A20BE0" w:rsidRPr="009C5807" w:rsidRDefault="00A20BE0" w:rsidP="00583014">
            <w:pPr>
              <w:pStyle w:val="TAC"/>
            </w:pPr>
          </w:p>
        </w:tc>
        <w:tc>
          <w:tcPr>
            <w:tcW w:w="854" w:type="dxa"/>
            <w:tcBorders>
              <w:top w:val="single" w:sz="4" w:space="0" w:color="auto"/>
              <w:left w:val="single" w:sz="4" w:space="0" w:color="auto"/>
              <w:bottom w:val="single" w:sz="4" w:space="0" w:color="auto"/>
              <w:right w:val="single" w:sz="4" w:space="0" w:color="auto"/>
            </w:tcBorders>
            <w:hideMark/>
          </w:tcPr>
          <w:p w14:paraId="1EB7B908" w14:textId="77777777" w:rsidR="00A20BE0" w:rsidRPr="009C5807" w:rsidRDefault="00A20BE0" w:rsidP="00583014">
            <w:pPr>
              <w:pStyle w:val="TAC"/>
            </w:pPr>
            <w:r w:rsidRPr="009C5807">
              <w:t>5</w:t>
            </w:r>
          </w:p>
        </w:tc>
        <w:tc>
          <w:tcPr>
            <w:tcW w:w="833" w:type="dxa"/>
            <w:tcBorders>
              <w:top w:val="single" w:sz="4" w:space="0" w:color="auto"/>
              <w:left w:val="single" w:sz="4" w:space="0" w:color="auto"/>
              <w:bottom w:val="single" w:sz="4" w:space="0" w:color="auto"/>
              <w:right w:val="single" w:sz="4" w:space="0" w:color="auto"/>
            </w:tcBorders>
          </w:tcPr>
          <w:p w14:paraId="09422BA5" w14:textId="77777777" w:rsidR="00A20BE0" w:rsidRPr="002E7453" w:rsidRDefault="00A20BE0" w:rsidP="00583014">
            <w:pPr>
              <w:pStyle w:val="TAC"/>
              <w:rPr>
                <w:szCs w:val="18"/>
              </w:rPr>
            </w:pPr>
            <w:r w:rsidRPr="002E7453">
              <w:rPr>
                <w:rFonts w:cs="Arial" w:hint="eastAsia"/>
                <w:szCs w:val="18"/>
                <w:lang w:eastAsia="zh-CN"/>
              </w:rPr>
              <w:t>8</w:t>
            </w:r>
          </w:p>
        </w:tc>
        <w:tc>
          <w:tcPr>
            <w:tcW w:w="0" w:type="auto"/>
            <w:tcBorders>
              <w:top w:val="single" w:sz="4" w:space="0" w:color="auto"/>
              <w:left w:val="single" w:sz="4" w:space="0" w:color="auto"/>
              <w:bottom w:val="single" w:sz="4" w:space="0" w:color="auto"/>
              <w:right w:val="single" w:sz="4" w:space="0" w:color="auto"/>
            </w:tcBorders>
            <w:hideMark/>
          </w:tcPr>
          <w:p w14:paraId="4A911436" w14:textId="77777777" w:rsidR="00A20BE0" w:rsidRPr="009C5807" w:rsidRDefault="00A20BE0" w:rsidP="00583014">
            <w:pPr>
              <w:pStyle w:val="TAC"/>
            </w:pPr>
            <w:r w:rsidRPr="009C5807">
              <w:t>17.92 x N1 (28 x N1)</w:t>
            </w:r>
          </w:p>
        </w:tc>
        <w:tc>
          <w:tcPr>
            <w:tcW w:w="0" w:type="auto"/>
            <w:tcBorders>
              <w:top w:val="single" w:sz="4" w:space="0" w:color="auto"/>
              <w:left w:val="single" w:sz="4" w:space="0" w:color="auto"/>
              <w:bottom w:val="single" w:sz="4" w:space="0" w:color="auto"/>
              <w:right w:val="single" w:sz="4" w:space="0" w:color="auto"/>
            </w:tcBorders>
            <w:hideMark/>
          </w:tcPr>
          <w:p w14:paraId="3AC12918" w14:textId="77777777" w:rsidR="00A20BE0" w:rsidRPr="009C5807" w:rsidRDefault="00A20BE0" w:rsidP="00583014">
            <w:pPr>
              <w:pStyle w:val="TAC"/>
            </w:pPr>
            <w:r w:rsidRPr="009C5807">
              <w:t>1.28 x N1 (2 x N1)</w:t>
            </w:r>
          </w:p>
        </w:tc>
        <w:tc>
          <w:tcPr>
            <w:tcW w:w="0" w:type="auto"/>
            <w:tcBorders>
              <w:top w:val="single" w:sz="4" w:space="0" w:color="auto"/>
              <w:left w:val="single" w:sz="4" w:space="0" w:color="auto"/>
              <w:bottom w:val="single" w:sz="4" w:space="0" w:color="auto"/>
              <w:right w:val="single" w:sz="4" w:space="0" w:color="auto"/>
            </w:tcBorders>
            <w:hideMark/>
          </w:tcPr>
          <w:p w14:paraId="1F525084" w14:textId="77777777" w:rsidR="00A20BE0" w:rsidRPr="009C5807" w:rsidRDefault="00A20BE0" w:rsidP="00583014">
            <w:pPr>
              <w:pStyle w:val="TAC"/>
            </w:pPr>
            <w:r w:rsidRPr="009C5807">
              <w:t>5.12 x N1 (8 x N1)</w:t>
            </w:r>
          </w:p>
        </w:tc>
      </w:tr>
      <w:tr w:rsidR="00A20BE0" w:rsidRPr="009C5807" w14:paraId="7EA0C02D"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8F5FD6D" w14:textId="77777777" w:rsidR="00A20BE0" w:rsidRPr="009C5807" w:rsidRDefault="00A20BE0" w:rsidP="00583014">
            <w:pPr>
              <w:pStyle w:val="TAC"/>
            </w:pPr>
            <w:r w:rsidRPr="009C5807">
              <w:t>1.28</w:t>
            </w:r>
          </w:p>
        </w:tc>
        <w:tc>
          <w:tcPr>
            <w:tcW w:w="0" w:type="auto"/>
            <w:tcBorders>
              <w:top w:val="nil"/>
              <w:left w:val="single" w:sz="4" w:space="0" w:color="auto"/>
              <w:bottom w:val="nil"/>
              <w:right w:val="single" w:sz="4" w:space="0" w:color="auto"/>
            </w:tcBorders>
            <w:vAlign w:val="center"/>
            <w:hideMark/>
          </w:tcPr>
          <w:p w14:paraId="70083655" w14:textId="77777777" w:rsidR="00A20BE0" w:rsidRPr="009C5807" w:rsidRDefault="00A20BE0" w:rsidP="00583014">
            <w:pPr>
              <w:pStyle w:val="TAC"/>
            </w:pPr>
          </w:p>
        </w:tc>
        <w:tc>
          <w:tcPr>
            <w:tcW w:w="854" w:type="dxa"/>
            <w:tcBorders>
              <w:top w:val="single" w:sz="4" w:space="0" w:color="auto"/>
              <w:left w:val="single" w:sz="4" w:space="0" w:color="auto"/>
              <w:bottom w:val="single" w:sz="4" w:space="0" w:color="auto"/>
              <w:right w:val="single" w:sz="4" w:space="0" w:color="auto"/>
            </w:tcBorders>
            <w:hideMark/>
          </w:tcPr>
          <w:p w14:paraId="06193EC3" w14:textId="77777777" w:rsidR="00A20BE0" w:rsidRPr="009C5807" w:rsidRDefault="00A20BE0" w:rsidP="00583014">
            <w:pPr>
              <w:pStyle w:val="TAC"/>
            </w:pPr>
            <w:r w:rsidRPr="009C5807">
              <w:t>4</w:t>
            </w:r>
          </w:p>
        </w:tc>
        <w:tc>
          <w:tcPr>
            <w:tcW w:w="833" w:type="dxa"/>
            <w:tcBorders>
              <w:top w:val="single" w:sz="4" w:space="0" w:color="auto"/>
              <w:left w:val="single" w:sz="4" w:space="0" w:color="auto"/>
              <w:bottom w:val="single" w:sz="4" w:space="0" w:color="auto"/>
              <w:right w:val="single" w:sz="4" w:space="0" w:color="auto"/>
            </w:tcBorders>
          </w:tcPr>
          <w:p w14:paraId="11897744" w14:textId="77777777" w:rsidR="00A20BE0" w:rsidRPr="002E7453" w:rsidRDefault="00A20BE0" w:rsidP="00583014">
            <w:pPr>
              <w:pStyle w:val="TAC"/>
              <w:rPr>
                <w:szCs w:val="18"/>
              </w:rPr>
            </w:pPr>
            <w:r w:rsidRPr="002E7453">
              <w:rPr>
                <w:rFonts w:cs="Arial" w:hint="eastAsia"/>
                <w:szCs w:val="18"/>
                <w:lang w:eastAsia="zh-CN"/>
              </w:rPr>
              <w:t>6</w:t>
            </w:r>
          </w:p>
        </w:tc>
        <w:tc>
          <w:tcPr>
            <w:tcW w:w="0" w:type="auto"/>
            <w:tcBorders>
              <w:top w:val="single" w:sz="4" w:space="0" w:color="auto"/>
              <w:left w:val="single" w:sz="4" w:space="0" w:color="auto"/>
              <w:bottom w:val="single" w:sz="4" w:space="0" w:color="auto"/>
              <w:right w:val="single" w:sz="4" w:space="0" w:color="auto"/>
            </w:tcBorders>
            <w:hideMark/>
          </w:tcPr>
          <w:p w14:paraId="61B1168F" w14:textId="77777777" w:rsidR="00A20BE0" w:rsidRPr="009C5807" w:rsidRDefault="00A20BE0" w:rsidP="00583014">
            <w:pPr>
              <w:pStyle w:val="TAC"/>
            </w:pPr>
            <w:r w:rsidRPr="009C5807">
              <w:t>32 x N1 (25 x N1)</w:t>
            </w:r>
          </w:p>
        </w:tc>
        <w:tc>
          <w:tcPr>
            <w:tcW w:w="0" w:type="auto"/>
            <w:tcBorders>
              <w:top w:val="single" w:sz="4" w:space="0" w:color="auto"/>
              <w:left w:val="single" w:sz="4" w:space="0" w:color="auto"/>
              <w:bottom w:val="single" w:sz="4" w:space="0" w:color="auto"/>
              <w:right w:val="single" w:sz="4" w:space="0" w:color="auto"/>
            </w:tcBorders>
            <w:hideMark/>
          </w:tcPr>
          <w:p w14:paraId="61BB6841" w14:textId="77777777" w:rsidR="00A20BE0" w:rsidRPr="009C5807" w:rsidRDefault="00A20BE0" w:rsidP="00583014">
            <w:pPr>
              <w:pStyle w:val="TAC"/>
            </w:pPr>
            <w:r w:rsidRPr="009C5807">
              <w:t>1.28 x N1 (1 x N1)</w:t>
            </w:r>
          </w:p>
        </w:tc>
        <w:tc>
          <w:tcPr>
            <w:tcW w:w="0" w:type="auto"/>
            <w:tcBorders>
              <w:top w:val="single" w:sz="4" w:space="0" w:color="auto"/>
              <w:left w:val="single" w:sz="4" w:space="0" w:color="auto"/>
              <w:bottom w:val="single" w:sz="4" w:space="0" w:color="auto"/>
              <w:right w:val="single" w:sz="4" w:space="0" w:color="auto"/>
            </w:tcBorders>
            <w:hideMark/>
          </w:tcPr>
          <w:p w14:paraId="6D9B6C90" w14:textId="77777777" w:rsidR="00A20BE0" w:rsidRPr="009C5807" w:rsidRDefault="00A20BE0" w:rsidP="00583014">
            <w:pPr>
              <w:pStyle w:val="TAC"/>
            </w:pPr>
            <w:r w:rsidRPr="009C5807">
              <w:t>6.4 x N1 (5 x N1)</w:t>
            </w:r>
          </w:p>
        </w:tc>
      </w:tr>
      <w:tr w:rsidR="00A20BE0" w:rsidRPr="009C5807" w14:paraId="0A704780"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7F985E4" w14:textId="77777777" w:rsidR="00A20BE0" w:rsidRPr="009C5807" w:rsidRDefault="00A20BE0" w:rsidP="00583014">
            <w:pPr>
              <w:pStyle w:val="TAC"/>
            </w:pPr>
            <w:r w:rsidRPr="009C5807">
              <w:t>2.56</w:t>
            </w:r>
          </w:p>
        </w:tc>
        <w:tc>
          <w:tcPr>
            <w:tcW w:w="0" w:type="auto"/>
            <w:tcBorders>
              <w:top w:val="nil"/>
              <w:left w:val="single" w:sz="4" w:space="0" w:color="auto"/>
              <w:bottom w:val="single" w:sz="4" w:space="0" w:color="auto"/>
              <w:right w:val="single" w:sz="4" w:space="0" w:color="auto"/>
            </w:tcBorders>
            <w:vAlign w:val="center"/>
            <w:hideMark/>
          </w:tcPr>
          <w:p w14:paraId="3A926C4C" w14:textId="77777777" w:rsidR="00A20BE0" w:rsidRPr="009C5807" w:rsidRDefault="00A20BE0" w:rsidP="00583014">
            <w:pPr>
              <w:pStyle w:val="TAC"/>
            </w:pPr>
          </w:p>
        </w:tc>
        <w:tc>
          <w:tcPr>
            <w:tcW w:w="854" w:type="dxa"/>
            <w:tcBorders>
              <w:top w:val="single" w:sz="4" w:space="0" w:color="auto"/>
              <w:left w:val="single" w:sz="4" w:space="0" w:color="auto"/>
              <w:bottom w:val="single" w:sz="4" w:space="0" w:color="auto"/>
              <w:right w:val="single" w:sz="4" w:space="0" w:color="auto"/>
            </w:tcBorders>
            <w:hideMark/>
          </w:tcPr>
          <w:p w14:paraId="1E516BD0" w14:textId="77777777" w:rsidR="00A20BE0" w:rsidRPr="009C5807" w:rsidRDefault="00A20BE0" w:rsidP="00583014">
            <w:pPr>
              <w:pStyle w:val="TAC"/>
              <w:rPr>
                <w:rFonts w:cs="Arial"/>
                <w:lang w:eastAsia="zh-CN"/>
              </w:rPr>
            </w:pPr>
            <w:r w:rsidRPr="009C5807">
              <w:rPr>
                <w:rFonts w:cs="Arial"/>
                <w:lang w:eastAsia="zh-CN"/>
              </w:rPr>
              <w:t>3</w:t>
            </w:r>
          </w:p>
        </w:tc>
        <w:tc>
          <w:tcPr>
            <w:tcW w:w="833" w:type="dxa"/>
            <w:tcBorders>
              <w:top w:val="single" w:sz="4" w:space="0" w:color="auto"/>
              <w:left w:val="single" w:sz="4" w:space="0" w:color="auto"/>
              <w:bottom w:val="single" w:sz="4" w:space="0" w:color="auto"/>
              <w:right w:val="single" w:sz="4" w:space="0" w:color="auto"/>
            </w:tcBorders>
          </w:tcPr>
          <w:p w14:paraId="34A1D9FD" w14:textId="77777777" w:rsidR="00A20BE0" w:rsidRPr="002E7453" w:rsidRDefault="00A20BE0" w:rsidP="00583014">
            <w:pPr>
              <w:pStyle w:val="TAC"/>
              <w:rPr>
                <w:rFonts w:cs="Arial"/>
                <w:szCs w:val="18"/>
                <w:lang w:eastAsia="zh-CN"/>
              </w:rPr>
            </w:pPr>
            <w:r w:rsidRPr="002E7453">
              <w:rPr>
                <w:rFonts w:cs="Arial" w:hint="eastAsia"/>
                <w:szCs w:val="18"/>
                <w:lang w:eastAsia="zh-CN"/>
              </w:rPr>
              <w:t>5</w:t>
            </w:r>
          </w:p>
        </w:tc>
        <w:tc>
          <w:tcPr>
            <w:tcW w:w="0" w:type="auto"/>
            <w:tcBorders>
              <w:top w:val="single" w:sz="4" w:space="0" w:color="auto"/>
              <w:left w:val="single" w:sz="4" w:space="0" w:color="auto"/>
              <w:bottom w:val="single" w:sz="4" w:space="0" w:color="auto"/>
              <w:right w:val="single" w:sz="4" w:space="0" w:color="auto"/>
            </w:tcBorders>
            <w:hideMark/>
          </w:tcPr>
          <w:p w14:paraId="40348711" w14:textId="77777777" w:rsidR="00A20BE0" w:rsidRPr="009C5807" w:rsidRDefault="00A20BE0" w:rsidP="00583014">
            <w:pPr>
              <w:pStyle w:val="TAC"/>
            </w:pPr>
            <w:r w:rsidRPr="009C5807">
              <w:rPr>
                <w:rFonts w:cs="Arial"/>
                <w:lang w:eastAsia="zh-CN"/>
              </w:rPr>
              <w:t>58.88</w:t>
            </w:r>
            <w:r w:rsidRPr="009C5807">
              <w:t xml:space="preserve"> x N1 (23 x N1)</w:t>
            </w:r>
          </w:p>
        </w:tc>
        <w:tc>
          <w:tcPr>
            <w:tcW w:w="0" w:type="auto"/>
            <w:tcBorders>
              <w:top w:val="single" w:sz="4" w:space="0" w:color="auto"/>
              <w:left w:val="single" w:sz="4" w:space="0" w:color="auto"/>
              <w:bottom w:val="single" w:sz="4" w:space="0" w:color="auto"/>
              <w:right w:val="single" w:sz="4" w:space="0" w:color="auto"/>
            </w:tcBorders>
            <w:hideMark/>
          </w:tcPr>
          <w:p w14:paraId="3A2E6DF2" w14:textId="77777777" w:rsidR="00A20BE0" w:rsidRPr="009C5807" w:rsidRDefault="00A20BE0" w:rsidP="00583014">
            <w:pPr>
              <w:pStyle w:val="TAC"/>
            </w:pPr>
            <w:r w:rsidRPr="009C5807">
              <w:t>2.56 x N1 (1 x N1)</w:t>
            </w:r>
          </w:p>
        </w:tc>
        <w:tc>
          <w:tcPr>
            <w:tcW w:w="0" w:type="auto"/>
            <w:tcBorders>
              <w:top w:val="single" w:sz="4" w:space="0" w:color="auto"/>
              <w:left w:val="single" w:sz="4" w:space="0" w:color="auto"/>
              <w:bottom w:val="single" w:sz="4" w:space="0" w:color="auto"/>
              <w:right w:val="single" w:sz="4" w:space="0" w:color="auto"/>
            </w:tcBorders>
            <w:hideMark/>
          </w:tcPr>
          <w:p w14:paraId="223C9D6E" w14:textId="77777777" w:rsidR="00A20BE0" w:rsidRPr="009C5807" w:rsidRDefault="00A20BE0" w:rsidP="00583014">
            <w:pPr>
              <w:pStyle w:val="TAC"/>
            </w:pPr>
            <w:r w:rsidRPr="009C5807">
              <w:t>7.68 x N1 (3 x N1)</w:t>
            </w:r>
          </w:p>
        </w:tc>
      </w:tr>
      <w:tr w:rsidR="00A20BE0" w:rsidRPr="009C5807" w14:paraId="46F08B4E" w14:textId="77777777" w:rsidTr="00583014">
        <w:trPr>
          <w:cantSplit/>
          <w:jc w:val="center"/>
        </w:trPr>
        <w:tc>
          <w:tcPr>
            <w:tcW w:w="0" w:type="auto"/>
            <w:gridSpan w:val="7"/>
            <w:tcBorders>
              <w:top w:val="single" w:sz="4" w:space="0" w:color="auto"/>
              <w:left w:val="single" w:sz="4" w:space="0" w:color="auto"/>
              <w:bottom w:val="single" w:sz="4" w:space="0" w:color="auto"/>
              <w:right w:val="single" w:sz="4" w:space="0" w:color="auto"/>
            </w:tcBorders>
            <w:hideMark/>
          </w:tcPr>
          <w:p w14:paraId="1073B85E" w14:textId="77777777" w:rsidR="00A20BE0" w:rsidRDefault="00A20BE0" w:rsidP="00583014">
            <w:pPr>
              <w:pStyle w:val="TAN"/>
            </w:pPr>
            <w:r w:rsidRPr="009C5807">
              <w:rPr>
                <w:snapToGrid w:val="0"/>
                <w:lang w:eastAsia="zh-CN"/>
              </w:rPr>
              <w:t>Note 1</w:t>
            </w:r>
            <w:r w:rsidRPr="009C5807">
              <w:t>:</w:t>
            </w:r>
            <w:r w:rsidRPr="009C5807">
              <w:tab/>
              <w:t xml:space="preserve">Applies for UE supporting </w:t>
            </w:r>
            <w:r>
              <w:t xml:space="preserve">FR2-1 </w:t>
            </w:r>
            <w:r w:rsidRPr="009C5807">
              <w:t xml:space="preserve">power class </w:t>
            </w:r>
            <w:r w:rsidRPr="009C5807">
              <w:rPr>
                <w:lang w:eastAsia="zh-CN"/>
              </w:rPr>
              <w:t>2&amp;3&amp;4</w:t>
            </w:r>
            <w:r w:rsidRPr="009C5807">
              <w:t xml:space="preserve">. For UE supporting </w:t>
            </w:r>
            <w:r>
              <w:t xml:space="preserve">FR2-1 </w:t>
            </w:r>
            <w:r w:rsidRPr="009C5807">
              <w:t>power class 1</w:t>
            </w:r>
            <w:r>
              <w:rPr>
                <w:lang w:eastAsia="zh-CN"/>
              </w:rPr>
              <w:t xml:space="preserve"> or 5</w:t>
            </w:r>
            <w:r w:rsidRPr="009C5807">
              <w:t>, N1 = 8 for all DRX cycle length.</w:t>
            </w:r>
          </w:p>
          <w:p w14:paraId="4274B0D6" w14:textId="77777777" w:rsidR="00A20BE0" w:rsidRPr="009C5807" w:rsidRDefault="00A20BE0" w:rsidP="00583014">
            <w:pPr>
              <w:pStyle w:val="TAN"/>
              <w:rPr>
                <w:snapToGrid w:val="0"/>
                <w:lang w:eastAsia="zh-CN"/>
              </w:rPr>
            </w:pPr>
            <w:r w:rsidRPr="009C5807">
              <w:rPr>
                <w:lang w:eastAsia="zh-CN"/>
              </w:rPr>
              <w:t xml:space="preserve">Note </w:t>
            </w:r>
            <w:r>
              <w:rPr>
                <w:lang w:eastAsia="zh-CN"/>
              </w:rPr>
              <w:t>2</w:t>
            </w:r>
            <w:r w:rsidRPr="009C5807">
              <w:rPr>
                <w:lang w:eastAsia="zh-CN"/>
              </w:rPr>
              <w:t>:</w:t>
            </w:r>
            <w:r w:rsidRPr="009C5807">
              <w:rPr>
                <w:lang w:eastAsia="zh-CN"/>
              </w:rPr>
              <w:tab/>
              <w:t xml:space="preserve">Applies for UE supporting </w:t>
            </w:r>
            <w:r>
              <w:rPr>
                <w:lang w:eastAsia="zh-CN"/>
              </w:rPr>
              <w:t xml:space="preserve">FR2-2 </w:t>
            </w:r>
            <w:r w:rsidRPr="009C5807">
              <w:rPr>
                <w:lang w:eastAsia="zh-CN"/>
              </w:rPr>
              <w:t xml:space="preserve">power class 2&amp;3. For UE supporting </w:t>
            </w:r>
            <w:r>
              <w:rPr>
                <w:lang w:eastAsia="zh-CN"/>
              </w:rPr>
              <w:t xml:space="preserve">FR2-2 </w:t>
            </w:r>
            <w:r w:rsidRPr="009C5807">
              <w:rPr>
                <w:lang w:eastAsia="zh-CN"/>
              </w:rPr>
              <w:t xml:space="preserve">power class 1, N1 = </w:t>
            </w:r>
            <w:r>
              <w:rPr>
                <w:lang w:eastAsia="zh-CN"/>
              </w:rPr>
              <w:t>12</w:t>
            </w:r>
            <w:r w:rsidRPr="009C5807">
              <w:rPr>
                <w:lang w:eastAsia="zh-CN"/>
              </w:rPr>
              <w:t xml:space="preserve"> for all DRX cycle length.</w:t>
            </w:r>
          </w:p>
          <w:p w14:paraId="11B0CE8C" w14:textId="4B42DF65" w:rsidR="00A20BE0" w:rsidRPr="009C5807" w:rsidRDefault="00A20BE0" w:rsidP="00583014">
            <w:pPr>
              <w:pStyle w:val="TAN"/>
            </w:pPr>
            <w:r w:rsidRPr="009C5807">
              <w:rPr>
                <w:snapToGrid w:val="0"/>
                <w:lang w:eastAsia="zh-CN"/>
              </w:rPr>
              <w:t xml:space="preserve">Note </w:t>
            </w:r>
            <w:r>
              <w:rPr>
                <w:snapToGrid w:val="0"/>
                <w:lang w:eastAsia="zh-CN"/>
              </w:rPr>
              <w:t>3</w:t>
            </w:r>
            <w:r w:rsidRPr="009C5807">
              <w:rPr>
                <w:snapToGrid w:val="0"/>
                <w:lang w:eastAsia="zh-CN"/>
              </w:rPr>
              <w:t>:</w:t>
            </w:r>
            <w:r w:rsidRPr="009C5807">
              <w:tab/>
            </w:r>
            <w:r w:rsidRPr="009C5807">
              <w:rPr>
                <w:snapToGrid w:val="0"/>
                <w:lang w:eastAsia="zh-CN"/>
              </w:rPr>
              <w:t>M2 = 1.5 if SMTC periodicity</w:t>
            </w:r>
            <w:r w:rsidRPr="009C5807">
              <w:t xml:space="preserve"> </w:t>
            </w:r>
            <w:r w:rsidRPr="009C5807">
              <w:rPr>
                <w:snapToGrid w:val="0"/>
                <w:lang w:eastAsia="zh-CN"/>
              </w:rPr>
              <w:t>of measured intra-frequency cell &gt; 20 ms; otherwise M2=1.</w:t>
            </w:r>
            <w:r>
              <w:t xml:space="preserve"> </w:t>
            </w:r>
            <w:r w:rsidRPr="000359AF">
              <w:rPr>
                <w:snapToGrid w:val="0"/>
                <w:lang w:eastAsia="zh-CN"/>
              </w:rPr>
              <w:t>If different SMTC periodicities are configured for different cells, the SMTC periodicity in this note is the one used by the cell being identified.</w:t>
            </w:r>
            <w:r>
              <w:rPr>
                <w:snapToGrid w:val="0"/>
                <w:lang w:eastAsia="zh-CN"/>
              </w:rPr>
              <w:t xml:space="preserve"> </w:t>
            </w:r>
            <w:r w:rsidRPr="009B7158">
              <w:rPr>
                <w:snapToGrid w:val="0"/>
                <w:lang w:eastAsia="zh-CN"/>
              </w:rPr>
              <w:t>During PSS/SSS detection, the periodicity of the SMTC configured for the intra-frequency carrier is assumed, and if the actual SSB transmission periodicity is greater than the SMTC configured for the intra-frequency carrier, longer T</w:t>
            </w:r>
            <w:r w:rsidRPr="007C55F6">
              <w:rPr>
                <w:snapToGrid w:val="0"/>
                <w:vertAlign w:val="subscript"/>
                <w:lang w:eastAsia="zh-CN"/>
              </w:rPr>
              <w:t xml:space="preserve">detect, NR_intra </w:t>
            </w:r>
            <w:r w:rsidRPr="009B7158">
              <w:rPr>
                <w:snapToGrid w:val="0"/>
                <w:lang w:eastAsia="zh-CN"/>
              </w:rPr>
              <w:t>is expected.</w:t>
            </w:r>
          </w:p>
        </w:tc>
      </w:tr>
    </w:tbl>
    <w:p w14:paraId="151CFCE4" w14:textId="77777777" w:rsidR="00A20BE0" w:rsidRPr="009C5807" w:rsidRDefault="00A20BE0" w:rsidP="00A20BE0">
      <w:pPr>
        <w:rPr>
          <w:lang w:val="en-US" w:eastAsia="zh-CN"/>
        </w:rPr>
      </w:pPr>
    </w:p>
    <w:p w14:paraId="107226A7" w14:textId="0345DB45" w:rsidR="00585F03" w:rsidRPr="009C5807" w:rsidRDefault="00585F03" w:rsidP="00585F03">
      <w:pPr>
        <w:pStyle w:val="TH"/>
      </w:pPr>
      <w:r w:rsidRPr="009C5807">
        <w:t>Table 4.2.2.3-2: T</w:t>
      </w:r>
      <w:r w:rsidRPr="009C5807">
        <w:rPr>
          <w:vertAlign w:val="subscript"/>
        </w:rPr>
        <w:t>detect,NR_Intra,</w:t>
      </w:r>
      <w:r w:rsidRPr="009C5807">
        <w:t xml:space="preserve"> T</w:t>
      </w:r>
      <w:r w:rsidRPr="009C5807">
        <w:rPr>
          <w:vertAlign w:val="subscript"/>
        </w:rPr>
        <w:t>measure,NR_Intra</w:t>
      </w:r>
      <w:r w:rsidRPr="009C5807">
        <w:t xml:space="preserve"> and T</w:t>
      </w:r>
      <w:r w:rsidRPr="009C5807">
        <w:rPr>
          <w:vertAlign w:val="subscript"/>
        </w:rPr>
        <w:t xml:space="preserve">evaluate,NR_Intra </w:t>
      </w:r>
      <w:r w:rsidRPr="009C5807">
        <w:t xml:space="preserve">for UE configured with </w:t>
      </w:r>
      <w:r w:rsidRPr="00B272C9">
        <w:rPr>
          <w:rFonts w:cs="v4.2.0"/>
          <w:bCs/>
          <w:i/>
          <w:iCs/>
          <w:lang w:eastAsia="zh-CN"/>
        </w:rPr>
        <w:t>highSpeedMeasFlag-r1</w:t>
      </w:r>
      <w:r>
        <w:rPr>
          <w:rFonts w:cs="v4.2.0"/>
          <w:bCs/>
          <w:i/>
          <w:iCs/>
          <w:lang w:eastAsia="zh-CN"/>
        </w:rPr>
        <w:t>6</w:t>
      </w:r>
      <w:r w:rsidRPr="009C5807">
        <w:t xml:space="preserve"> (Frequency range FR1)</w:t>
      </w:r>
    </w:p>
    <w:tbl>
      <w:tblPr>
        <w:tblW w:w="39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2141"/>
        <w:gridCol w:w="2142"/>
        <w:gridCol w:w="2141"/>
      </w:tblGrid>
      <w:tr w:rsidR="00225153" w:rsidRPr="009C5807" w14:paraId="4A531564" w14:textId="77777777" w:rsidTr="009718F0">
        <w:trPr>
          <w:cantSplit/>
          <w:trHeight w:val="308"/>
          <w:jc w:val="center"/>
        </w:trPr>
        <w:tc>
          <w:tcPr>
            <w:tcW w:w="766" w:type="pct"/>
            <w:vMerge w:val="restart"/>
            <w:tcBorders>
              <w:top w:val="single" w:sz="4" w:space="0" w:color="auto"/>
              <w:left w:val="single" w:sz="4" w:space="0" w:color="auto"/>
              <w:bottom w:val="single" w:sz="4" w:space="0" w:color="auto"/>
              <w:right w:val="single" w:sz="4" w:space="0" w:color="auto"/>
            </w:tcBorders>
            <w:hideMark/>
          </w:tcPr>
          <w:p w14:paraId="19D3F875" w14:textId="77777777" w:rsidR="00225153" w:rsidRPr="009C5807" w:rsidRDefault="00225153" w:rsidP="00225153">
            <w:pPr>
              <w:pStyle w:val="TAH"/>
            </w:pPr>
            <w:r w:rsidRPr="009C5807">
              <w:t>DRX cycle length [s]</w:t>
            </w:r>
          </w:p>
        </w:tc>
        <w:tc>
          <w:tcPr>
            <w:tcW w:w="1411" w:type="pct"/>
            <w:vMerge w:val="restart"/>
            <w:tcBorders>
              <w:top w:val="single" w:sz="4" w:space="0" w:color="auto"/>
              <w:left w:val="single" w:sz="4" w:space="0" w:color="auto"/>
              <w:bottom w:val="single" w:sz="4" w:space="0" w:color="auto"/>
              <w:right w:val="single" w:sz="4" w:space="0" w:color="auto"/>
            </w:tcBorders>
            <w:hideMark/>
          </w:tcPr>
          <w:p w14:paraId="73EF6057" w14:textId="77777777" w:rsidR="00225153" w:rsidRPr="009C5807" w:rsidRDefault="00225153" w:rsidP="00225153">
            <w:pPr>
              <w:pStyle w:val="TAH"/>
            </w:pPr>
            <w:r w:rsidRPr="009C5807">
              <w:t>T</w:t>
            </w:r>
            <w:r w:rsidRPr="009C5807">
              <w:rPr>
                <w:vertAlign w:val="subscript"/>
              </w:rPr>
              <w:t>detect,NR_Intra</w:t>
            </w:r>
            <w:r w:rsidRPr="009C5807">
              <w:t xml:space="preserve"> [s] (number of DRX cycles)</w:t>
            </w:r>
          </w:p>
        </w:tc>
        <w:tc>
          <w:tcPr>
            <w:tcW w:w="1412" w:type="pct"/>
            <w:vMerge w:val="restart"/>
            <w:tcBorders>
              <w:top w:val="single" w:sz="4" w:space="0" w:color="auto"/>
              <w:left w:val="single" w:sz="4" w:space="0" w:color="auto"/>
              <w:bottom w:val="single" w:sz="4" w:space="0" w:color="auto"/>
              <w:right w:val="single" w:sz="4" w:space="0" w:color="auto"/>
            </w:tcBorders>
            <w:hideMark/>
          </w:tcPr>
          <w:p w14:paraId="414FE084" w14:textId="77777777" w:rsidR="00225153" w:rsidRPr="009C5807" w:rsidRDefault="00225153" w:rsidP="00225153">
            <w:pPr>
              <w:pStyle w:val="TAH"/>
            </w:pPr>
            <w:r w:rsidRPr="009C5807">
              <w:t>T</w:t>
            </w:r>
            <w:r w:rsidRPr="009C5807">
              <w:rPr>
                <w:vertAlign w:val="subscript"/>
              </w:rPr>
              <w:t>measure,NR_Intra</w:t>
            </w:r>
            <w:r w:rsidRPr="009C5807">
              <w:t xml:space="preserve"> [s] (number of DRX cycles)</w:t>
            </w:r>
          </w:p>
        </w:tc>
        <w:tc>
          <w:tcPr>
            <w:tcW w:w="1411" w:type="pct"/>
            <w:vMerge w:val="restart"/>
            <w:tcBorders>
              <w:top w:val="single" w:sz="4" w:space="0" w:color="auto"/>
              <w:left w:val="single" w:sz="4" w:space="0" w:color="auto"/>
              <w:bottom w:val="single" w:sz="4" w:space="0" w:color="auto"/>
              <w:right w:val="single" w:sz="4" w:space="0" w:color="auto"/>
            </w:tcBorders>
            <w:hideMark/>
          </w:tcPr>
          <w:p w14:paraId="30650BFC" w14:textId="77777777" w:rsidR="00225153" w:rsidRPr="009C5807" w:rsidRDefault="00225153" w:rsidP="00225153">
            <w:pPr>
              <w:pStyle w:val="TAH"/>
              <w:rPr>
                <w:vertAlign w:val="subscript"/>
              </w:rPr>
            </w:pPr>
            <w:r w:rsidRPr="009C5807">
              <w:t>T</w:t>
            </w:r>
            <w:r w:rsidRPr="009C5807">
              <w:rPr>
                <w:vertAlign w:val="subscript"/>
              </w:rPr>
              <w:t>evaluate,NR_</w:t>
            </w:r>
            <w:r w:rsidRPr="009C5807">
              <w:rPr>
                <w:rFonts w:cs="v4.2.0"/>
                <w:vertAlign w:val="subscript"/>
              </w:rPr>
              <w:t>Intra</w:t>
            </w:r>
          </w:p>
          <w:p w14:paraId="2F8988D5" w14:textId="77777777" w:rsidR="00225153" w:rsidRPr="009C5807" w:rsidRDefault="00225153" w:rsidP="00225153">
            <w:pPr>
              <w:pStyle w:val="TAH"/>
            </w:pPr>
            <w:r w:rsidRPr="009C5807">
              <w:t>[s] (number of DRX cycles)</w:t>
            </w:r>
          </w:p>
        </w:tc>
      </w:tr>
      <w:tr w:rsidR="00225153" w:rsidRPr="009C5807" w14:paraId="34E41F5D" w14:textId="77777777" w:rsidTr="009718F0">
        <w:trPr>
          <w:cantSplit/>
          <w:trHeight w:val="30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687823" w14:textId="77777777" w:rsidR="00225153" w:rsidRPr="009C5807" w:rsidRDefault="00225153" w:rsidP="009718F0">
            <w:pPr>
              <w:spacing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D5DC9C" w14:textId="77777777" w:rsidR="00225153" w:rsidRPr="009C5807" w:rsidRDefault="00225153" w:rsidP="009718F0">
            <w:pPr>
              <w:spacing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7D3D4B" w14:textId="77777777" w:rsidR="00225153" w:rsidRPr="009C5807" w:rsidRDefault="00225153" w:rsidP="009718F0">
            <w:pPr>
              <w:spacing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A51A06" w14:textId="77777777" w:rsidR="00225153" w:rsidRPr="009C5807" w:rsidRDefault="00225153" w:rsidP="009718F0">
            <w:pPr>
              <w:spacing w:after="0"/>
            </w:pPr>
          </w:p>
        </w:tc>
      </w:tr>
      <w:tr w:rsidR="00225153" w:rsidRPr="009C5807" w14:paraId="424BBBCD" w14:textId="77777777" w:rsidTr="009718F0">
        <w:trPr>
          <w:cantSplit/>
          <w:jc w:val="center"/>
        </w:trPr>
        <w:tc>
          <w:tcPr>
            <w:tcW w:w="766" w:type="pct"/>
            <w:tcBorders>
              <w:top w:val="single" w:sz="4" w:space="0" w:color="auto"/>
              <w:left w:val="single" w:sz="4" w:space="0" w:color="auto"/>
              <w:bottom w:val="single" w:sz="4" w:space="0" w:color="auto"/>
              <w:right w:val="single" w:sz="4" w:space="0" w:color="auto"/>
            </w:tcBorders>
            <w:hideMark/>
          </w:tcPr>
          <w:p w14:paraId="2E93FBB1" w14:textId="77777777" w:rsidR="00225153" w:rsidRPr="009C5807" w:rsidRDefault="00225153" w:rsidP="00225153">
            <w:pPr>
              <w:pStyle w:val="TAC"/>
            </w:pPr>
            <w:r w:rsidRPr="009C5807">
              <w:t>0.32</w:t>
            </w:r>
          </w:p>
        </w:tc>
        <w:tc>
          <w:tcPr>
            <w:tcW w:w="1411" w:type="pct"/>
            <w:tcBorders>
              <w:top w:val="single" w:sz="4" w:space="0" w:color="auto"/>
              <w:left w:val="single" w:sz="4" w:space="0" w:color="auto"/>
              <w:bottom w:val="single" w:sz="4" w:space="0" w:color="auto"/>
              <w:right w:val="single" w:sz="4" w:space="0" w:color="auto"/>
            </w:tcBorders>
            <w:hideMark/>
          </w:tcPr>
          <w:p w14:paraId="7E2B8505" w14:textId="77777777" w:rsidR="00225153" w:rsidRPr="009C5807" w:rsidRDefault="00225153" w:rsidP="00225153">
            <w:pPr>
              <w:pStyle w:val="TAC"/>
            </w:pPr>
            <w:r w:rsidRPr="009C5807">
              <w:t>2.56 x M2 (8 x M2)</w:t>
            </w:r>
          </w:p>
        </w:tc>
        <w:tc>
          <w:tcPr>
            <w:tcW w:w="1412" w:type="pct"/>
            <w:tcBorders>
              <w:top w:val="single" w:sz="4" w:space="0" w:color="auto"/>
              <w:left w:val="single" w:sz="4" w:space="0" w:color="auto"/>
              <w:bottom w:val="single" w:sz="4" w:space="0" w:color="auto"/>
              <w:right w:val="single" w:sz="4" w:space="0" w:color="auto"/>
            </w:tcBorders>
            <w:hideMark/>
          </w:tcPr>
          <w:p w14:paraId="669B1B35" w14:textId="77777777" w:rsidR="00225153" w:rsidRPr="009C5807" w:rsidRDefault="00225153" w:rsidP="00225153">
            <w:pPr>
              <w:pStyle w:val="TAC"/>
            </w:pPr>
            <w:r w:rsidRPr="009C5807">
              <w:t>0.32 x M3 (1 x M3)</w:t>
            </w:r>
          </w:p>
        </w:tc>
        <w:tc>
          <w:tcPr>
            <w:tcW w:w="1411" w:type="pct"/>
            <w:tcBorders>
              <w:top w:val="single" w:sz="4" w:space="0" w:color="auto"/>
              <w:left w:val="single" w:sz="4" w:space="0" w:color="auto"/>
              <w:bottom w:val="single" w:sz="4" w:space="0" w:color="auto"/>
              <w:right w:val="single" w:sz="4" w:space="0" w:color="auto"/>
            </w:tcBorders>
            <w:hideMark/>
          </w:tcPr>
          <w:p w14:paraId="676FACF9" w14:textId="77777777" w:rsidR="00225153" w:rsidRPr="009C5807" w:rsidRDefault="00225153" w:rsidP="00225153">
            <w:pPr>
              <w:pStyle w:val="TAC"/>
            </w:pPr>
            <w:r w:rsidRPr="009C5807">
              <w:t>0.96 x M4 (3 x M4)</w:t>
            </w:r>
          </w:p>
        </w:tc>
      </w:tr>
      <w:tr w:rsidR="00225153" w:rsidRPr="009C5807" w14:paraId="49D49B62" w14:textId="77777777" w:rsidTr="009718F0">
        <w:trPr>
          <w:cantSplit/>
          <w:jc w:val="center"/>
        </w:trPr>
        <w:tc>
          <w:tcPr>
            <w:tcW w:w="766" w:type="pct"/>
            <w:tcBorders>
              <w:top w:val="single" w:sz="4" w:space="0" w:color="auto"/>
              <w:left w:val="single" w:sz="4" w:space="0" w:color="auto"/>
              <w:bottom w:val="single" w:sz="4" w:space="0" w:color="auto"/>
              <w:right w:val="single" w:sz="4" w:space="0" w:color="auto"/>
            </w:tcBorders>
            <w:hideMark/>
          </w:tcPr>
          <w:p w14:paraId="6E707E2A" w14:textId="77777777" w:rsidR="00225153" w:rsidRPr="009C5807" w:rsidRDefault="00225153" w:rsidP="00225153">
            <w:pPr>
              <w:pStyle w:val="TAC"/>
            </w:pPr>
            <w:r w:rsidRPr="009C5807">
              <w:t>0.64</w:t>
            </w:r>
          </w:p>
        </w:tc>
        <w:tc>
          <w:tcPr>
            <w:tcW w:w="1411" w:type="pct"/>
            <w:tcBorders>
              <w:top w:val="single" w:sz="4" w:space="0" w:color="auto"/>
              <w:left w:val="single" w:sz="4" w:space="0" w:color="auto"/>
              <w:bottom w:val="single" w:sz="4" w:space="0" w:color="auto"/>
              <w:right w:val="single" w:sz="4" w:space="0" w:color="auto"/>
            </w:tcBorders>
            <w:hideMark/>
          </w:tcPr>
          <w:p w14:paraId="6CA4F12A" w14:textId="77777777" w:rsidR="00225153" w:rsidRPr="009C5807" w:rsidRDefault="00225153" w:rsidP="00225153">
            <w:pPr>
              <w:pStyle w:val="TAC"/>
            </w:pPr>
            <w:r w:rsidRPr="009C5807">
              <w:t>5.12 (8)</w:t>
            </w:r>
          </w:p>
        </w:tc>
        <w:tc>
          <w:tcPr>
            <w:tcW w:w="1412" w:type="pct"/>
            <w:tcBorders>
              <w:top w:val="single" w:sz="4" w:space="0" w:color="auto"/>
              <w:left w:val="single" w:sz="4" w:space="0" w:color="auto"/>
              <w:bottom w:val="single" w:sz="4" w:space="0" w:color="auto"/>
              <w:right w:val="single" w:sz="4" w:space="0" w:color="auto"/>
            </w:tcBorders>
            <w:hideMark/>
          </w:tcPr>
          <w:p w14:paraId="0EC4C548" w14:textId="77777777" w:rsidR="00225153" w:rsidRPr="009C5807" w:rsidRDefault="00225153" w:rsidP="00225153">
            <w:pPr>
              <w:pStyle w:val="TAC"/>
            </w:pPr>
            <w:r w:rsidRPr="009C5807">
              <w:t>0.64 (1)</w:t>
            </w:r>
          </w:p>
        </w:tc>
        <w:tc>
          <w:tcPr>
            <w:tcW w:w="1411" w:type="pct"/>
            <w:tcBorders>
              <w:top w:val="single" w:sz="4" w:space="0" w:color="auto"/>
              <w:left w:val="single" w:sz="4" w:space="0" w:color="auto"/>
              <w:bottom w:val="single" w:sz="4" w:space="0" w:color="auto"/>
              <w:right w:val="single" w:sz="4" w:space="0" w:color="auto"/>
            </w:tcBorders>
            <w:hideMark/>
          </w:tcPr>
          <w:p w14:paraId="2DD119B9" w14:textId="77777777" w:rsidR="00225153" w:rsidRPr="009C5807" w:rsidRDefault="00225153" w:rsidP="00225153">
            <w:pPr>
              <w:pStyle w:val="TAC"/>
            </w:pPr>
            <w:r w:rsidRPr="009C5807">
              <w:t>1.92 (3)</w:t>
            </w:r>
          </w:p>
        </w:tc>
      </w:tr>
      <w:tr w:rsidR="00225153" w:rsidRPr="009C5807" w14:paraId="5B4A2CED" w14:textId="77777777" w:rsidTr="009718F0">
        <w:trPr>
          <w:cantSplit/>
          <w:jc w:val="center"/>
        </w:trPr>
        <w:tc>
          <w:tcPr>
            <w:tcW w:w="766" w:type="pct"/>
            <w:tcBorders>
              <w:top w:val="single" w:sz="4" w:space="0" w:color="auto"/>
              <w:left w:val="single" w:sz="4" w:space="0" w:color="auto"/>
              <w:bottom w:val="single" w:sz="4" w:space="0" w:color="auto"/>
              <w:right w:val="single" w:sz="4" w:space="0" w:color="auto"/>
            </w:tcBorders>
            <w:hideMark/>
          </w:tcPr>
          <w:p w14:paraId="7C59DBE2" w14:textId="77777777" w:rsidR="00225153" w:rsidRPr="009C5807" w:rsidRDefault="00225153" w:rsidP="00225153">
            <w:pPr>
              <w:pStyle w:val="TAC"/>
            </w:pPr>
            <w:r w:rsidRPr="009C5807">
              <w:t>1.28</w:t>
            </w:r>
          </w:p>
        </w:tc>
        <w:tc>
          <w:tcPr>
            <w:tcW w:w="1411" w:type="pct"/>
            <w:tcBorders>
              <w:top w:val="single" w:sz="4" w:space="0" w:color="auto"/>
              <w:left w:val="single" w:sz="4" w:space="0" w:color="auto"/>
              <w:bottom w:val="single" w:sz="4" w:space="0" w:color="auto"/>
              <w:right w:val="single" w:sz="4" w:space="0" w:color="auto"/>
            </w:tcBorders>
            <w:hideMark/>
          </w:tcPr>
          <w:p w14:paraId="1E5572C7" w14:textId="77777777" w:rsidR="00225153" w:rsidRPr="009C5807" w:rsidRDefault="00225153" w:rsidP="00225153">
            <w:pPr>
              <w:pStyle w:val="TAC"/>
            </w:pPr>
            <w:r w:rsidRPr="009C5807">
              <w:t>8.96 (7)</w:t>
            </w:r>
          </w:p>
        </w:tc>
        <w:tc>
          <w:tcPr>
            <w:tcW w:w="1412" w:type="pct"/>
            <w:tcBorders>
              <w:top w:val="single" w:sz="4" w:space="0" w:color="auto"/>
              <w:left w:val="single" w:sz="4" w:space="0" w:color="auto"/>
              <w:bottom w:val="single" w:sz="4" w:space="0" w:color="auto"/>
              <w:right w:val="single" w:sz="4" w:space="0" w:color="auto"/>
            </w:tcBorders>
            <w:hideMark/>
          </w:tcPr>
          <w:p w14:paraId="4F20F191" w14:textId="77777777" w:rsidR="00225153" w:rsidRPr="009C5807" w:rsidRDefault="00225153" w:rsidP="00225153">
            <w:pPr>
              <w:pStyle w:val="TAC"/>
            </w:pPr>
            <w:r w:rsidRPr="009C5807">
              <w:t>1.28 (1)</w:t>
            </w:r>
          </w:p>
        </w:tc>
        <w:tc>
          <w:tcPr>
            <w:tcW w:w="1411" w:type="pct"/>
            <w:tcBorders>
              <w:top w:val="single" w:sz="4" w:space="0" w:color="auto"/>
              <w:left w:val="single" w:sz="4" w:space="0" w:color="auto"/>
              <w:bottom w:val="single" w:sz="4" w:space="0" w:color="auto"/>
              <w:right w:val="single" w:sz="4" w:space="0" w:color="auto"/>
            </w:tcBorders>
            <w:hideMark/>
          </w:tcPr>
          <w:p w14:paraId="3DE02723" w14:textId="77777777" w:rsidR="00225153" w:rsidRPr="009C5807" w:rsidRDefault="00225153" w:rsidP="00225153">
            <w:pPr>
              <w:pStyle w:val="TAC"/>
            </w:pPr>
            <w:r w:rsidRPr="009C5807">
              <w:t>3.84 (3)</w:t>
            </w:r>
          </w:p>
        </w:tc>
      </w:tr>
      <w:tr w:rsidR="00225153" w:rsidRPr="009C5807" w14:paraId="7A9F9975" w14:textId="77777777" w:rsidTr="009718F0">
        <w:trPr>
          <w:cantSplit/>
          <w:jc w:val="center"/>
        </w:trPr>
        <w:tc>
          <w:tcPr>
            <w:tcW w:w="766" w:type="pct"/>
            <w:tcBorders>
              <w:top w:val="single" w:sz="4" w:space="0" w:color="auto"/>
              <w:left w:val="single" w:sz="4" w:space="0" w:color="auto"/>
              <w:bottom w:val="single" w:sz="4" w:space="0" w:color="auto"/>
              <w:right w:val="single" w:sz="4" w:space="0" w:color="auto"/>
            </w:tcBorders>
            <w:hideMark/>
          </w:tcPr>
          <w:p w14:paraId="47AA5750" w14:textId="77777777" w:rsidR="00225153" w:rsidRPr="009C5807" w:rsidRDefault="00225153" w:rsidP="00225153">
            <w:pPr>
              <w:pStyle w:val="TAC"/>
            </w:pPr>
            <w:r w:rsidRPr="009C5807">
              <w:t>2.56</w:t>
            </w:r>
          </w:p>
        </w:tc>
        <w:tc>
          <w:tcPr>
            <w:tcW w:w="1411" w:type="pct"/>
            <w:tcBorders>
              <w:top w:val="single" w:sz="4" w:space="0" w:color="auto"/>
              <w:left w:val="single" w:sz="4" w:space="0" w:color="auto"/>
              <w:bottom w:val="single" w:sz="4" w:space="0" w:color="auto"/>
              <w:right w:val="single" w:sz="4" w:space="0" w:color="auto"/>
            </w:tcBorders>
            <w:hideMark/>
          </w:tcPr>
          <w:p w14:paraId="6CE48262" w14:textId="77777777" w:rsidR="00225153" w:rsidRPr="009C5807" w:rsidRDefault="00225153" w:rsidP="00225153">
            <w:pPr>
              <w:pStyle w:val="TAC"/>
            </w:pPr>
            <w:r w:rsidRPr="009C5807">
              <w:t>58.88 (23)</w:t>
            </w:r>
          </w:p>
        </w:tc>
        <w:tc>
          <w:tcPr>
            <w:tcW w:w="1412" w:type="pct"/>
            <w:tcBorders>
              <w:top w:val="single" w:sz="4" w:space="0" w:color="auto"/>
              <w:left w:val="single" w:sz="4" w:space="0" w:color="auto"/>
              <w:bottom w:val="single" w:sz="4" w:space="0" w:color="auto"/>
              <w:right w:val="single" w:sz="4" w:space="0" w:color="auto"/>
            </w:tcBorders>
            <w:hideMark/>
          </w:tcPr>
          <w:p w14:paraId="156AE024" w14:textId="77777777" w:rsidR="00225153" w:rsidRPr="009C5807" w:rsidRDefault="00225153" w:rsidP="00225153">
            <w:pPr>
              <w:pStyle w:val="TAC"/>
            </w:pPr>
            <w:r w:rsidRPr="009C5807">
              <w:t>2.56 (1)</w:t>
            </w:r>
          </w:p>
        </w:tc>
        <w:tc>
          <w:tcPr>
            <w:tcW w:w="1411" w:type="pct"/>
            <w:tcBorders>
              <w:top w:val="single" w:sz="4" w:space="0" w:color="auto"/>
              <w:left w:val="single" w:sz="4" w:space="0" w:color="auto"/>
              <w:bottom w:val="single" w:sz="4" w:space="0" w:color="auto"/>
              <w:right w:val="single" w:sz="4" w:space="0" w:color="auto"/>
            </w:tcBorders>
            <w:hideMark/>
          </w:tcPr>
          <w:p w14:paraId="40258657" w14:textId="77777777" w:rsidR="00225153" w:rsidRPr="009C5807" w:rsidRDefault="00225153" w:rsidP="00225153">
            <w:pPr>
              <w:pStyle w:val="TAC"/>
            </w:pPr>
            <w:r w:rsidRPr="009C5807">
              <w:t>7.68 (3)</w:t>
            </w:r>
          </w:p>
        </w:tc>
      </w:tr>
      <w:tr w:rsidR="00225153" w:rsidRPr="009C5807" w14:paraId="40FB2BC2" w14:textId="77777777" w:rsidTr="009718F0">
        <w:trPr>
          <w:cantSplit/>
          <w:jc w:val="center"/>
        </w:trPr>
        <w:tc>
          <w:tcPr>
            <w:tcW w:w="5000" w:type="pct"/>
            <w:gridSpan w:val="4"/>
            <w:tcBorders>
              <w:top w:val="single" w:sz="4" w:space="0" w:color="auto"/>
              <w:left w:val="single" w:sz="4" w:space="0" w:color="auto"/>
              <w:bottom w:val="single" w:sz="4" w:space="0" w:color="auto"/>
              <w:right w:val="single" w:sz="4" w:space="0" w:color="auto"/>
            </w:tcBorders>
          </w:tcPr>
          <w:p w14:paraId="6C6C472F" w14:textId="77777777" w:rsidR="00EB3ABD" w:rsidRPr="00B343A0" w:rsidRDefault="00EB3ABD" w:rsidP="00EB3ABD">
            <w:pPr>
              <w:keepNext/>
              <w:keepLines/>
              <w:spacing w:after="0"/>
              <w:ind w:left="851" w:hanging="851"/>
              <w:rPr>
                <w:rFonts w:ascii="Arial" w:eastAsia="DengXian" w:hAnsi="Arial"/>
                <w:sz w:val="18"/>
                <w:lang w:eastAsia="zh-CN"/>
              </w:rPr>
            </w:pPr>
            <w:r w:rsidRPr="00B343A0">
              <w:rPr>
                <w:rFonts w:ascii="Arial" w:eastAsia="DengXian" w:hAnsi="Arial" w:hint="eastAsia"/>
                <w:sz w:val="18"/>
                <w:lang w:eastAsia="zh-CN"/>
              </w:rPr>
              <w:t>N</w:t>
            </w:r>
            <w:r w:rsidRPr="00B343A0">
              <w:rPr>
                <w:rFonts w:ascii="Arial" w:eastAsia="DengXian" w:hAnsi="Arial"/>
                <w:sz w:val="18"/>
                <w:lang w:eastAsia="zh-CN"/>
              </w:rPr>
              <w:t>ote 1:</w:t>
            </w:r>
            <w:r w:rsidRPr="00B343A0">
              <w:rPr>
                <w:rFonts w:ascii="Arial" w:hAnsi="Arial"/>
                <w:sz w:val="18"/>
                <w:lang w:val="en-US"/>
              </w:rPr>
              <w:tab/>
            </w:r>
            <w:r w:rsidRPr="00B343A0">
              <w:rPr>
                <w:rFonts w:ascii="Arial" w:eastAsia="DengXian" w:hAnsi="Arial"/>
                <w:sz w:val="18"/>
                <w:lang w:eastAsia="zh-CN"/>
              </w:rPr>
              <w:t>when SMTC &lt; = 40 ms, M2 = M3 = M4 = 1; and when SMTC &gt; 40 ms, M2 = 1.5, M3 = M4 = 2</w:t>
            </w:r>
          </w:p>
          <w:p w14:paraId="57CF263F" w14:textId="12AE52C0" w:rsidR="00225153" w:rsidRPr="009C5807" w:rsidRDefault="00EB3ABD" w:rsidP="00EB3ABD">
            <w:pPr>
              <w:pStyle w:val="TAN"/>
              <w:rPr>
                <w:rFonts w:eastAsia="DengXian"/>
                <w:lang w:eastAsia="zh-CN"/>
              </w:rPr>
            </w:pPr>
            <w:r w:rsidRPr="00B343A0">
              <w:rPr>
                <w:rFonts w:eastAsia="DengXian"/>
                <w:lang w:eastAsia="zh-CN"/>
              </w:rPr>
              <w:t>Note 2:</w:t>
            </w:r>
            <w:r w:rsidRPr="00B343A0">
              <w:rPr>
                <w:lang w:val="en-US"/>
              </w:rPr>
              <w:tab/>
            </w:r>
            <w:r w:rsidRPr="00B343A0">
              <w:rPr>
                <w:rFonts w:eastAsia="Malgun Gothic"/>
                <w:lang w:val="en-US" w:eastAsia="zh-CN"/>
              </w:rPr>
              <w:t xml:space="preserve">When </w:t>
            </w:r>
            <w:r w:rsidRPr="00B343A0">
              <w:rPr>
                <w:rFonts w:eastAsia="Malgun Gothic"/>
                <w:i/>
                <w:iCs/>
                <w:lang w:val="en-US" w:eastAsia="zh-CN"/>
              </w:rPr>
              <w:t>highSpeedMeasFlag-r16</w:t>
            </w:r>
            <w:r w:rsidRPr="00B343A0">
              <w:rPr>
                <w:rFonts w:eastAsia="Malgun Gothic"/>
                <w:lang w:val="en-US" w:eastAsia="zh-CN"/>
              </w:rPr>
              <w:t xml:space="preserve"> is configured, the requirements apply only to </w:t>
            </w:r>
            <w:r w:rsidRPr="00B343A0">
              <w:t xml:space="preserve">UE supporting either </w:t>
            </w:r>
            <w:r w:rsidRPr="00B343A0">
              <w:rPr>
                <w:i/>
                <w:iCs/>
              </w:rPr>
              <w:t xml:space="preserve">measurementEnhancement-r16 </w:t>
            </w:r>
            <w:r w:rsidRPr="00B343A0">
              <w:t>or</w:t>
            </w:r>
            <w:r w:rsidRPr="00B343A0">
              <w:rPr>
                <w:i/>
                <w:iCs/>
              </w:rPr>
              <w:t xml:space="preserve"> </w:t>
            </w:r>
            <w:r w:rsidRPr="001F06D8">
              <w:rPr>
                <w:i/>
                <w:iCs/>
              </w:rPr>
              <w:t>intraNR-MeasurementEnhancement-r16</w:t>
            </w:r>
            <w:r w:rsidRPr="00B343A0">
              <w:rPr>
                <w:i/>
                <w:iCs/>
              </w:rPr>
              <w:t>.</w:t>
            </w:r>
          </w:p>
        </w:tc>
      </w:tr>
    </w:tbl>
    <w:p w14:paraId="105F1CC0" w14:textId="3EF4840C" w:rsidR="00225153" w:rsidRDefault="00225153" w:rsidP="00E738E0">
      <w:pPr>
        <w:rPr>
          <w:lang w:val="en-US" w:eastAsia="zh-CN"/>
        </w:rPr>
      </w:pPr>
    </w:p>
    <w:p w14:paraId="316C6484" w14:textId="6C534C17" w:rsidR="0018012F" w:rsidRDefault="004141D8" w:rsidP="0018012F">
      <w:pPr>
        <w:pStyle w:val="TH"/>
        <w:rPr>
          <w:lang w:val="en-US" w:eastAsia="zh-CN"/>
        </w:rPr>
      </w:pPr>
      <w:r w:rsidRPr="00320CAB">
        <w:t>Table 4.2.2.3-</w:t>
      </w:r>
      <w:r w:rsidRPr="00320CAB">
        <w:rPr>
          <w:lang w:eastAsia="zh-CN"/>
        </w:rPr>
        <w:t>3</w:t>
      </w:r>
      <w:r w:rsidRPr="00320CAB">
        <w:t>: T</w:t>
      </w:r>
      <w:r w:rsidRPr="00320CAB">
        <w:rPr>
          <w:vertAlign w:val="subscript"/>
        </w:rPr>
        <w:t>detect,NR_Intra,</w:t>
      </w:r>
      <w:r w:rsidRPr="00320CAB">
        <w:t xml:space="preserve"> T</w:t>
      </w:r>
      <w:r w:rsidRPr="00320CAB">
        <w:rPr>
          <w:vertAlign w:val="subscript"/>
        </w:rPr>
        <w:t>measure,NR_Intra</w:t>
      </w:r>
      <w:r w:rsidRPr="00320CAB">
        <w:t xml:space="preserve"> and T</w:t>
      </w:r>
      <w:r w:rsidRPr="00320CAB">
        <w:rPr>
          <w:vertAlign w:val="subscript"/>
        </w:rPr>
        <w:t xml:space="preserve">evaluate,NR_Intra </w:t>
      </w:r>
      <w:r w:rsidRPr="00320CAB">
        <w:t xml:space="preserve">for UE configured with </w:t>
      </w:r>
      <w:r w:rsidRPr="00082331">
        <w:rPr>
          <w:i/>
          <w:iCs/>
        </w:rPr>
        <w:t>highSpeedMeasFlagFR2-r17</w:t>
      </w:r>
      <w:r w:rsidRPr="00320CAB">
        <w:rPr>
          <w:lang w:eastAsia="zh-CN"/>
        </w:rPr>
        <w:t xml:space="preserve"> (Frequency range FR2)</w:t>
      </w:r>
    </w:p>
    <w:tbl>
      <w:tblPr>
        <w:tblW w:w="47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433"/>
        <w:gridCol w:w="2120"/>
        <w:gridCol w:w="2120"/>
        <w:gridCol w:w="2118"/>
      </w:tblGrid>
      <w:tr w:rsidR="0018012F" w14:paraId="0AC049CF" w14:textId="77777777" w:rsidTr="003305AC">
        <w:trPr>
          <w:cantSplit/>
          <w:trHeight w:val="626"/>
          <w:jc w:val="center"/>
        </w:trPr>
        <w:tc>
          <w:tcPr>
            <w:tcW w:w="704" w:type="pct"/>
            <w:tcBorders>
              <w:top w:val="single" w:sz="4" w:space="0" w:color="auto"/>
              <w:left w:val="single" w:sz="4" w:space="0" w:color="auto"/>
              <w:bottom w:val="single" w:sz="4" w:space="0" w:color="auto"/>
              <w:right w:val="single" w:sz="4" w:space="0" w:color="auto"/>
            </w:tcBorders>
          </w:tcPr>
          <w:p w14:paraId="2658EE73" w14:textId="77777777" w:rsidR="0018012F" w:rsidRDefault="0018012F" w:rsidP="003305AC">
            <w:pPr>
              <w:pStyle w:val="TAH"/>
            </w:pPr>
            <w:r>
              <w:t>DRX cycle length [s]</w:t>
            </w:r>
          </w:p>
        </w:tc>
        <w:tc>
          <w:tcPr>
            <w:tcW w:w="790" w:type="pct"/>
            <w:tcBorders>
              <w:top w:val="single" w:sz="4" w:space="0" w:color="auto"/>
              <w:left w:val="single" w:sz="4" w:space="0" w:color="auto"/>
              <w:right w:val="single" w:sz="4" w:space="0" w:color="auto"/>
            </w:tcBorders>
          </w:tcPr>
          <w:p w14:paraId="3CC08B18" w14:textId="77777777" w:rsidR="0018012F" w:rsidRDefault="0018012F" w:rsidP="003305AC">
            <w:pPr>
              <w:pStyle w:val="TAH"/>
            </w:pPr>
            <w:r>
              <w:t>Scaling Factor (N</w:t>
            </w:r>
            <w:r>
              <w:rPr>
                <w:rFonts w:hint="eastAsia"/>
                <w:lang w:val="en-US" w:eastAsia="zh-CN"/>
              </w:rPr>
              <w:t>1</w:t>
            </w:r>
            <w:r>
              <w:t>)</w:t>
            </w:r>
          </w:p>
        </w:tc>
        <w:tc>
          <w:tcPr>
            <w:tcW w:w="1169" w:type="pct"/>
            <w:tcBorders>
              <w:top w:val="single" w:sz="4" w:space="0" w:color="auto"/>
              <w:left w:val="single" w:sz="4" w:space="0" w:color="auto"/>
              <w:bottom w:val="single" w:sz="4" w:space="0" w:color="auto"/>
              <w:right w:val="single" w:sz="4" w:space="0" w:color="auto"/>
            </w:tcBorders>
          </w:tcPr>
          <w:p w14:paraId="41A4DEFA" w14:textId="77777777" w:rsidR="0018012F" w:rsidRDefault="0018012F" w:rsidP="003305AC">
            <w:pPr>
              <w:pStyle w:val="TAH"/>
            </w:pPr>
            <w:r>
              <w:t>T</w:t>
            </w:r>
            <w:r>
              <w:rPr>
                <w:vertAlign w:val="subscript"/>
              </w:rPr>
              <w:t>detect,NR_Intra</w:t>
            </w:r>
            <w:r>
              <w:t xml:space="preserve"> [s] (number of DRX cycles)</w:t>
            </w:r>
          </w:p>
        </w:tc>
        <w:tc>
          <w:tcPr>
            <w:tcW w:w="1169" w:type="pct"/>
            <w:tcBorders>
              <w:top w:val="single" w:sz="4" w:space="0" w:color="auto"/>
              <w:left w:val="single" w:sz="4" w:space="0" w:color="auto"/>
              <w:bottom w:val="single" w:sz="4" w:space="0" w:color="auto"/>
              <w:right w:val="single" w:sz="4" w:space="0" w:color="auto"/>
            </w:tcBorders>
          </w:tcPr>
          <w:p w14:paraId="6D0AECB1" w14:textId="77777777" w:rsidR="0018012F" w:rsidRDefault="0018012F" w:rsidP="003305AC">
            <w:pPr>
              <w:pStyle w:val="TAH"/>
            </w:pPr>
            <w:r>
              <w:t>T</w:t>
            </w:r>
            <w:r>
              <w:rPr>
                <w:vertAlign w:val="subscript"/>
              </w:rPr>
              <w:t>measure,NR_Intra</w:t>
            </w:r>
            <w:r>
              <w:t xml:space="preserve"> [s] (number of DRX cycles)</w:t>
            </w:r>
          </w:p>
        </w:tc>
        <w:tc>
          <w:tcPr>
            <w:tcW w:w="1168" w:type="pct"/>
            <w:tcBorders>
              <w:top w:val="single" w:sz="4" w:space="0" w:color="auto"/>
              <w:left w:val="single" w:sz="4" w:space="0" w:color="auto"/>
              <w:bottom w:val="single" w:sz="4" w:space="0" w:color="auto"/>
              <w:right w:val="single" w:sz="4" w:space="0" w:color="auto"/>
            </w:tcBorders>
          </w:tcPr>
          <w:p w14:paraId="57273444" w14:textId="77777777" w:rsidR="0018012F" w:rsidRDefault="0018012F" w:rsidP="003305AC">
            <w:pPr>
              <w:pStyle w:val="TAH"/>
              <w:rPr>
                <w:vertAlign w:val="subscript"/>
              </w:rPr>
            </w:pPr>
            <w:r>
              <w:t>T</w:t>
            </w:r>
            <w:r>
              <w:rPr>
                <w:vertAlign w:val="subscript"/>
              </w:rPr>
              <w:t>evaluate,NR_</w:t>
            </w:r>
            <w:r>
              <w:rPr>
                <w:rFonts w:cs="v4.2.0"/>
                <w:vertAlign w:val="subscript"/>
              </w:rPr>
              <w:t>Intra</w:t>
            </w:r>
          </w:p>
          <w:p w14:paraId="160CF92F" w14:textId="77777777" w:rsidR="0018012F" w:rsidRDefault="0018012F" w:rsidP="003305AC">
            <w:pPr>
              <w:pStyle w:val="TAH"/>
            </w:pPr>
            <w:r>
              <w:t>[s] (number of DRX cycles)</w:t>
            </w:r>
          </w:p>
        </w:tc>
      </w:tr>
      <w:tr w:rsidR="0018012F" w14:paraId="51CE8EE3" w14:textId="77777777" w:rsidTr="003305AC">
        <w:trPr>
          <w:cantSplit/>
          <w:jc w:val="center"/>
        </w:trPr>
        <w:tc>
          <w:tcPr>
            <w:tcW w:w="704" w:type="pct"/>
            <w:tcBorders>
              <w:top w:val="single" w:sz="4" w:space="0" w:color="auto"/>
              <w:left w:val="single" w:sz="4" w:space="0" w:color="auto"/>
              <w:bottom w:val="single" w:sz="4" w:space="0" w:color="auto"/>
              <w:right w:val="single" w:sz="4" w:space="0" w:color="auto"/>
            </w:tcBorders>
          </w:tcPr>
          <w:p w14:paraId="0DDC337D" w14:textId="77777777" w:rsidR="0018012F" w:rsidRDefault="0018012F" w:rsidP="003305AC">
            <w:pPr>
              <w:pStyle w:val="TAC"/>
            </w:pPr>
            <w:r>
              <w:t>0.32</w:t>
            </w:r>
          </w:p>
        </w:tc>
        <w:tc>
          <w:tcPr>
            <w:tcW w:w="790" w:type="pct"/>
            <w:tcBorders>
              <w:top w:val="single" w:sz="4" w:space="0" w:color="auto"/>
              <w:left w:val="single" w:sz="4" w:space="0" w:color="auto"/>
              <w:bottom w:val="single" w:sz="4" w:space="0" w:color="auto"/>
              <w:right w:val="single" w:sz="4" w:space="0" w:color="auto"/>
            </w:tcBorders>
          </w:tcPr>
          <w:p w14:paraId="53AFF91B" w14:textId="77777777" w:rsidR="0018012F" w:rsidRDefault="0018012F" w:rsidP="003305AC">
            <w:pPr>
              <w:pStyle w:val="TAC"/>
            </w:pPr>
            <w:r>
              <w:t>N2</w:t>
            </w:r>
            <w:r>
              <w:rPr>
                <w:vertAlign w:val="superscript"/>
              </w:rPr>
              <w:t>Note2</w:t>
            </w:r>
          </w:p>
        </w:tc>
        <w:tc>
          <w:tcPr>
            <w:tcW w:w="1169" w:type="pct"/>
            <w:tcBorders>
              <w:top w:val="single" w:sz="4" w:space="0" w:color="auto"/>
              <w:left w:val="single" w:sz="4" w:space="0" w:color="auto"/>
              <w:bottom w:val="single" w:sz="4" w:space="0" w:color="auto"/>
              <w:right w:val="single" w:sz="4" w:space="0" w:color="auto"/>
            </w:tcBorders>
          </w:tcPr>
          <w:p w14:paraId="20F47194" w14:textId="77777777" w:rsidR="0018012F" w:rsidRDefault="0018012F" w:rsidP="003305AC">
            <w:pPr>
              <w:pStyle w:val="TAC"/>
            </w:pPr>
            <w:r>
              <w:t>2.</w:t>
            </w:r>
            <w:r>
              <w:rPr>
                <w:rStyle w:val="normaltextrun"/>
                <w:rFonts w:cs="Arial"/>
                <w:szCs w:val="18"/>
              </w:rPr>
              <w:t>56 x N</w:t>
            </w:r>
            <w:r>
              <w:rPr>
                <w:rStyle w:val="normaltextrun"/>
                <w:rFonts w:cs="Arial" w:hint="eastAsia"/>
                <w:szCs w:val="18"/>
                <w:lang w:val="en-US" w:eastAsia="zh-CN"/>
              </w:rPr>
              <w:t>1</w:t>
            </w:r>
            <w:r>
              <w:rPr>
                <w:rStyle w:val="normaltextrun"/>
                <w:rFonts w:cs="Arial"/>
                <w:szCs w:val="18"/>
              </w:rPr>
              <w:t xml:space="preserve"> x M2 (8 x N</w:t>
            </w:r>
            <w:r>
              <w:rPr>
                <w:rStyle w:val="normaltextrun"/>
                <w:rFonts w:cs="Arial" w:hint="eastAsia"/>
                <w:szCs w:val="18"/>
                <w:lang w:val="en-US" w:eastAsia="zh-CN"/>
              </w:rPr>
              <w:t>1</w:t>
            </w:r>
            <w:r>
              <w:rPr>
                <w:rStyle w:val="normaltextrun"/>
                <w:rFonts w:cs="Arial"/>
                <w:szCs w:val="18"/>
              </w:rPr>
              <w:t xml:space="preserve"> x M2)</w:t>
            </w:r>
            <w:r>
              <w:rPr>
                <w:rStyle w:val="eop"/>
                <w:rFonts w:cs="Arial"/>
                <w:szCs w:val="18"/>
              </w:rPr>
              <w:t> </w:t>
            </w:r>
          </w:p>
        </w:tc>
        <w:tc>
          <w:tcPr>
            <w:tcW w:w="1169" w:type="pct"/>
            <w:tcBorders>
              <w:top w:val="single" w:sz="4" w:space="0" w:color="auto"/>
              <w:left w:val="single" w:sz="4" w:space="0" w:color="auto"/>
              <w:bottom w:val="single" w:sz="4" w:space="0" w:color="auto"/>
              <w:right w:val="single" w:sz="4" w:space="0" w:color="auto"/>
            </w:tcBorders>
          </w:tcPr>
          <w:p w14:paraId="5CB5FC67" w14:textId="77777777" w:rsidR="0018012F" w:rsidRDefault="0018012F" w:rsidP="003305AC">
            <w:pPr>
              <w:pStyle w:val="TAC"/>
            </w:pPr>
            <w:r>
              <w:rPr>
                <w:rStyle w:val="normaltextrun"/>
                <w:rFonts w:cs="Arial"/>
                <w:szCs w:val="18"/>
              </w:rPr>
              <w:t>0.32 x N</w:t>
            </w:r>
            <w:r>
              <w:rPr>
                <w:rStyle w:val="normaltextrun"/>
                <w:rFonts w:cs="Arial" w:hint="eastAsia"/>
                <w:szCs w:val="18"/>
                <w:lang w:val="en-US" w:eastAsia="zh-CN"/>
              </w:rPr>
              <w:t>1</w:t>
            </w:r>
            <w:r>
              <w:rPr>
                <w:rStyle w:val="normaltextrun"/>
                <w:rFonts w:cs="Arial"/>
                <w:szCs w:val="18"/>
              </w:rPr>
              <w:t xml:space="preserve"> x M3 (1 x N</w:t>
            </w:r>
            <w:r>
              <w:rPr>
                <w:rStyle w:val="normaltextrun"/>
                <w:rFonts w:cs="Arial" w:hint="eastAsia"/>
                <w:szCs w:val="18"/>
                <w:lang w:val="en-US" w:eastAsia="zh-CN"/>
              </w:rPr>
              <w:t>1</w:t>
            </w:r>
            <w:r>
              <w:rPr>
                <w:rStyle w:val="normaltextrun"/>
                <w:rFonts w:cs="Arial"/>
                <w:szCs w:val="18"/>
              </w:rPr>
              <w:t xml:space="preserve"> x M3)</w:t>
            </w:r>
            <w:r>
              <w:rPr>
                <w:rStyle w:val="eop"/>
                <w:rFonts w:cs="Arial"/>
                <w:szCs w:val="18"/>
              </w:rPr>
              <w:t> </w:t>
            </w:r>
          </w:p>
        </w:tc>
        <w:tc>
          <w:tcPr>
            <w:tcW w:w="1168" w:type="pct"/>
            <w:tcBorders>
              <w:top w:val="single" w:sz="4" w:space="0" w:color="auto"/>
              <w:left w:val="single" w:sz="4" w:space="0" w:color="auto"/>
              <w:bottom w:val="single" w:sz="4" w:space="0" w:color="auto"/>
              <w:right w:val="single" w:sz="4" w:space="0" w:color="auto"/>
            </w:tcBorders>
          </w:tcPr>
          <w:p w14:paraId="4CA0D9C1" w14:textId="77777777" w:rsidR="0018012F" w:rsidRDefault="0018012F" w:rsidP="003305AC">
            <w:pPr>
              <w:pStyle w:val="TAC"/>
            </w:pPr>
            <w:r>
              <w:rPr>
                <w:rStyle w:val="normaltextrun"/>
                <w:rFonts w:cs="Arial"/>
                <w:szCs w:val="18"/>
              </w:rPr>
              <w:t>0.96 x N</w:t>
            </w:r>
            <w:r>
              <w:rPr>
                <w:rStyle w:val="normaltextrun"/>
                <w:rFonts w:cs="Arial" w:hint="eastAsia"/>
                <w:szCs w:val="18"/>
                <w:lang w:val="en-US" w:eastAsia="zh-CN"/>
              </w:rPr>
              <w:t>1</w:t>
            </w:r>
            <w:r>
              <w:rPr>
                <w:rStyle w:val="normaltextrun"/>
                <w:rFonts w:cs="Arial"/>
                <w:szCs w:val="18"/>
              </w:rPr>
              <w:t xml:space="preserve"> x M4 (3 x </w:t>
            </w:r>
            <w:r>
              <w:rPr>
                <w:rStyle w:val="normaltextrun"/>
                <w:rFonts w:cs="Arial" w:hint="eastAsia"/>
                <w:szCs w:val="18"/>
                <w:lang w:val="en-US" w:eastAsia="zh-CN"/>
              </w:rPr>
              <w:t>N1</w:t>
            </w:r>
            <w:r>
              <w:rPr>
                <w:rStyle w:val="normaltextrun"/>
                <w:rFonts w:cs="Arial"/>
                <w:szCs w:val="18"/>
              </w:rPr>
              <w:t xml:space="preserve"> x</w:t>
            </w:r>
            <w:r>
              <w:rPr>
                <w:rStyle w:val="normaltextrun"/>
                <w:rFonts w:cs="Arial" w:hint="eastAsia"/>
                <w:szCs w:val="18"/>
                <w:lang w:val="en-US" w:eastAsia="zh-CN"/>
              </w:rPr>
              <w:t xml:space="preserve"> </w:t>
            </w:r>
            <w:r>
              <w:rPr>
                <w:rStyle w:val="normaltextrun"/>
                <w:rFonts w:cs="Arial"/>
                <w:szCs w:val="18"/>
              </w:rPr>
              <w:t>M4)</w:t>
            </w:r>
            <w:r>
              <w:rPr>
                <w:rStyle w:val="eop"/>
                <w:rFonts w:cs="Arial"/>
                <w:szCs w:val="18"/>
              </w:rPr>
              <w:t> </w:t>
            </w:r>
          </w:p>
        </w:tc>
      </w:tr>
      <w:tr w:rsidR="0018012F" w14:paraId="0FA350F3" w14:textId="77777777" w:rsidTr="003305AC">
        <w:trPr>
          <w:cantSplit/>
          <w:jc w:val="center"/>
        </w:trPr>
        <w:tc>
          <w:tcPr>
            <w:tcW w:w="704" w:type="pct"/>
            <w:tcBorders>
              <w:top w:val="single" w:sz="4" w:space="0" w:color="auto"/>
              <w:left w:val="single" w:sz="4" w:space="0" w:color="auto"/>
              <w:bottom w:val="single" w:sz="4" w:space="0" w:color="auto"/>
              <w:right w:val="single" w:sz="4" w:space="0" w:color="auto"/>
            </w:tcBorders>
          </w:tcPr>
          <w:p w14:paraId="7C4C8921" w14:textId="77777777" w:rsidR="0018012F" w:rsidRDefault="0018012F" w:rsidP="003305AC">
            <w:pPr>
              <w:pStyle w:val="TAC"/>
            </w:pPr>
            <w:r>
              <w:t>0.64</w:t>
            </w:r>
          </w:p>
        </w:tc>
        <w:tc>
          <w:tcPr>
            <w:tcW w:w="790" w:type="pct"/>
            <w:tcBorders>
              <w:top w:val="single" w:sz="4" w:space="0" w:color="auto"/>
              <w:left w:val="single" w:sz="4" w:space="0" w:color="auto"/>
              <w:bottom w:val="single" w:sz="4" w:space="0" w:color="auto"/>
              <w:right w:val="single" w:sz="4" w:space="0" w:color="auto"/>
            </w:tcBorders>
          </w:tcPr>
          <w:p w14:paraId="1F35C20F" w14:textId="77777777" w:rsidR="0018012F" w:rsidRDefault="0018012F" w:rsidP="003305AC">
            <w:pPr>
              <w:pStyle w:val="TAC"/>
              <w:rPr>
                <w:lang w:eastAsia="zh-CN"/>
              </w:rPr>
            </w:pPr>
            <w:r>
              <w:rPr>
                <w:rFonts w:hint="eastAsia"/>
                <w:lang w:val="en-US" w:eastAsia="zh-CN"/>
              </w:rPr>
              <w:t>5</w:t>
            </w:r>
          </w:p>
        </w:tc>
        <w:tc>
          <w:tcPr>
            <w:tcW w:w="1169" w:type="pct"/>
            <w:tcBorders>
              <w:top w:val="single" w:sz="4" w:space="0" w:color="auto"/>
              <w:left w:val="single" w:sz="4" w:space="0" w:color="auto"/>
              <w:bottom w:val="single" w:sz="4" w:space="0" w:color="auto"/>
              <w:right w:val="single" w:sz="4" w:space="0" w:color="auto"/>
            </w:tcBorders>
          </w:tcPr>
          <w:p w14:paraId="6C6271B8" w14:textId="77777777" w:rsidR="0018012F" w:rsidRDefault="0018012F" w:rsidP="003305AC">
            <w:pPr>
              <w:pStyle w:val="TAC"/>
              <w:rPr>
                <w:rFonts w:cs="Arial"/>
                <w:strike/>
                <w:szCs w:val="18"/>
              </w:rPr>
            </w:pPr>
            <w:r>
              <w:t>17.92 x N1 (28 x N1)</w:t>
            </w:r>
          </w:p>
        </w:tc>
        <w:tc>
          <w:tcPr>
            <w:tcW w:w="1169" w:type="pct"/>
            <w:tcBorders>
              <w:top w:val="single" w:sz="4" w:space="0" w:color="auto"/>
              <w:left w:val="single" w:sz="4" w:space="0" w:color="auto"/>
              <w:bottom w:val="single" w:sz="4" w:space="0" w:color="auto"/>
              <w:right w:val="single" w:sz="4" w:space="0" w:color="auto"/>
            </w:tcBorders>
          </w:tcPr>
          <w:p w14:paraId="17B1897F" w14:textId="77777777" w:rsidR="0018012F" w:rsidRDefault="0018012F" w:rsidP="003305AC">
            <w:pPr>
              <w:pStyle w:val="TAC"/>
              <w:rPr>
                <w:rFonts w:cs="Arial"/>
                <w:strike/>
                <w:szCs w:val="18"/>
              </w:rPr>
            </w:pPr>
            <w:r>
              <w:t>1.28 x N1 (2 x N1)</w:t>
            </w:r>
          </w:p>
        </w:tc>
        <w:tc>
          <w:tcPr>
            <w:tcW w:w="1168" w:type="pct"/>
            <w:tcBorders>
              <w:top w:val="single" w:sz="4" w:space="0" w:color="auto"/>
              <w:left w:val="single" w:sz="4" w:space="0" w:color="auto"/>
              <w:bottom w:val="single" w:sz="4" w:space="0" w:color="auto"/>
              <w:right w:val="single" w:sz="4" w:space="0" w:color="auto"/>
            </w:tcBorders>
          </w:tcPr>
          <w:p w14:paraId="10F4851D" w14:textId="77777777" w:rsidR="0018012F" w:rsidRDefault="0018012F" w:rsidP="003305AC">
            <w:pPr>
              <w:pStyle w:val="TAC"/>
              <w:rPr>
                <w:rFonts w:cs="Arial"/>
                <w:szCs w:val="18"/>
              </w:rPr>
            </w:pPr>
            <w:r>
              <w:t>5.12 x N1 (8 x N1)</w:t>
            </w:r>
          </w:p>
        </w:tc>
      </w:tr>
      <w:tr w:rsidR="0018012F" w14:paraId="3CE1746A" w14:textId="77777777" w:rsidTr="003305AC">
        <w:trPr>
          <w:cantSplit/>
          <w:jc w:val="center"/>
        </w:trPr>
        <w:tc>
          <w:tcPr>
            <w:tcW w:w="704" w:type="pct"/>
            <w:tcBorders>
              <w:top w:val="single" w:sz="4" w:space="0" w:color="auto"/>
              <w:left w:val="single" w:sz="4" w:space="0" w:color="auto"/>
              <w:bottom w:val="single" w:sz="4" w:space="0" w:color="auto"/>
              <w:right w:val="single" w:sz="4" w:space="0" w:color="auto"/>
            </w:tcBorders>
          </w:tcPr>
          <w:p w14:paraId="07654296" w14:textId="77777777" w:rsidR="0018012F" w:rsidRDefault="0018012F" w:rsidP="003305AC">
            <w:pPr>
              <w:pStyle w:val="TAC"/>
            </w:pPr>
            <w:r>
              <w:t>1.28</w:t>
            </w:r>
          </w:p>
        </w:tc>
        <w:tc>
          <w:tcPr>
            <w:tcW w:w="790" w:type="pct"/>
            <w:tcBorders>
              <w:top w:val="single" w:sz="4" w:space="0" w:color="auto"/>
              <w:left w:val="single" w:sz="4" w:space="0" w:color="auto"/>
              <w:bottom w:val="single" w:sz="4" w:space="0" w:color="auto"/>
              <w:right w:val="single" w:sz="4" w:space="0" w:color="auto"/>
            </w:tcBorders>
          </w:tcPr>
          <w:p w14:paraId="52B832D5" w14:textId="77777777" w:rsidR="0018012F" w:rsidRDefault="0018012F" w:rsidP="003305AC">
            <w:pPr>
              <w:pStyle w:val="TAC"/>
              <w:rPr>
                <w:lang w:eastAsia="zh-CN"/>
              </w:rPr>
            </w:pPr>
            <w:r>
              <w:rPr>
                <w:rFonts w:hint="eastAsia"/>
                <w:lang w:val="en-US" w:eastAsia="zh-CN"/>
              </w:rPr>
              <w:t>4</w:t>
            </w:r>
          </w:p>
        </w:tc>
        <w:tc>
          <w:tcPr>
            <w:tcW w:w="1169" w:type="pct"/>
            <w:tcBorders>
              <w:top w:val="single" w:sz="4" w:space="0" w:color="auto"/>
              <w:left w:val="single" w:sz="4" w:space="0" w:color="auto"/>
              <w:bottom w:val="single" w:sz="4" w:space="0" w:color="auto"/>
              <w:right w:val="single" w:sz="4" w:space="0" w:color="auto"/>
            </w:tcBorders>
          </w:tcPr>
          <w:p w14:paraId="7F82F403" w14:textId="77777777" w:rsidR="0018012F" w:rsidRDefault="0018012F" w:rsidP="003305AC">
            <w:pPr>
              <w:pStyle w:val="TAC"/>
              <w:rPr>
                <w:rFonts w:cs="Arial"/>
                <w:szCs w:val="18"/>
              </w:rPr>
            </w:pPr>
            <w:r>
              <w:t>32 x N1 (25 x N1)</w:t>
            </w:r>
          </w:p>
        </w:tc>
        <w:tc>
          <w:tcPr>
            <w:tcW w:w="1169" w:type="pct"/>
            <w:tcBorders>
              <w:top w:val="single" w:sz="4" w:space="0" w:color="auto"/>
              <w:left w:val="single" w:sz="4" w:space="0" w:color="auto"/>
              <w:bottom w:val="single" w:sz="4" w:space="0" w:color="auto"/>
              <w:right w:val="single" w:sz="4" w:space="0" w:color="auto"/>
            </w:tcBorders>
          </w:tcPr>
          <w:p w14:paraId="5DD800BD" w14:textId="77777777" w:rsidR="0018012F" w:rsidRDefault="0018012F" w:rsidP="003305AC">
            <w:pPr>
              <w:pStyle w:val="TAC"/>
            </w:pPr>
            <w:r>
              <w:rPr>
                <w:rFonts w:cs="Arial"/>
                <w:szCs w:val="18"/>
              </w:rPr>
              <w:t>1.28 x N</w:t>
            </w:r>
            <w:r>
              <w:rPr>
                <w:rFonts w:cs="Arial" w:hint="eastAsia"/>
                <w:szCs w:val="18"/>
                <w:lang w:val="en-US" w:eastAsia="zh-CN"/>
              </w:rPr>
              <w:t>1</w:t>
            </w:r>
            <w:r>
              <w:rPr>
                <w:rFonts w:cs="Arial"/>
                <w:szCs w:val="18"/>
              </w:rPr>
              <w:t xml:space="preserve"> (1 x N</w:t>
            </w:r>
            <w:r>
              <w:rPr>
                <w:rFonts w:cs="Arial" w:hint="eastAsia"/>
                <w:szCs w:val="18"/>
                <w:lang w:val="en-US" w:eastAsia="zh-CN"/>
              </w:rPr>
              <w:t>1</w:t>
            </w:r>
            <w:r>
              <w:rPr>
                <w:rFonts w:cs="Arial"/>
                <w:szCs w:val="18"/>
              </w:rPr>
              <w:t>) </w:t>
            </w:r>
          </w:p>
        </w:tc>
        <w:tc>
          <w:tcPr>
            <w:tcW w:w="1168" w:type="pct"/>
            <w:tcBorders>
              <w:top w:val="single" w:sz="4" w:space="0" w:color="auto"/>
              <w:left w:val="single" w:sz="4" w:space="0" w:color="auto"/>
              <w:bottom w:val="single" w:sz="4" w:space="0" w:color="auto"/>
              <w:right w:val="single" w:sz="4" w:space="0" w:color="auto"/>
            </w:tcBorders>
          </w:tcPr>
          <w:p w14:paraId="42A130FF" w14:textId="77777777" w:rsidR="0018012F" w:rsidRDefault="0018012F" w:rsidP="003305AC">
            <w:pPr>
              <w:pStyle w:val="TAC"/>
              <w:rPr>
                <w:rFonts w:cs="Arial"/>
                <w:strike/>
                <w:szCs w:val="18"/>
              </w:rPr>
            </w:pPr>
            <w:r>
              <w:t>6.4 x N1 (5 x N1)</w:t>
            </w:r>
          </w:p>
        </w:tc>
      </w:tr>
      <w:tr w:rsidR="0018012F" w14:paraId="6748A781" w14:textId="77777777" w:rsidTr="003305AC">
        <w:trPr>
          <w:cantSplit/>
          <w:jc w:val="center"/>
        </w:trPr>
        <w:tc>
          <w:tcPr>
            <w:tcW w:w="704" w:type="pct"/>
            <w:tcBorders>
              <w:top w:val="single" w:sz="4" w:space="0" w:color="auto"/>
              <w:left w:val="single" w:sz="4" w:space="0" w:color="auto"/>
              <w:bottom w:val="single" w:sz="4" w:space="0" w:color="auto"/>
              <w:right w:val="single" w:sz="4" w:space="0" w:color="auto"/>
            </w:tcBorders>
          </w:tcPr>
          <w:p w14:paraId="303BCED1" w14:textId="77777777" w:rsidR="0018012F" w:rsidRDefault="0018012F" w:rsidP="003305AC">
            <w:pPr>
              <w:pStyle w:val="TAC"/>
            </w:pPr>
            <w:r>
              <w:t>2.56</w:t>
            </w:r>
          </w:p>
        </w:tc>
        <w:tc>
          <w:tcPr>
            <w:tcW w:w="790" w:type="pct"/>
            <w:tcBorders>
              <w:top w:val="single" w:sz="4" w:space="0" w:color="auto"/>
              <w:left w:val="single" w:sz="4" w:space="0" w:color="auto"/>
              <w:bottom w:val="single" w:sz="4" w:space="0" w:color="auto"/>
              <w:right w:val="single" w:sz="4" w:space="0" w:color="auto"/>
            </w:tcBorders>
          </w:tcPr>
          <w:p w14:paraId="0179E645" w14:textId="77777777" w:rsidR="0018012F" w:rsidRDefault="0018012F" w:rsidP="003305AC">
            <w:pPr>
              <w:pStyle w:val="TAC"/>
              <w:rPr>
                <w:lang w:eastAsia="zh-CN"/>
              </w:rPr>
            </w:pPr>
            <w:r>
              <w:rPr>
                <w:rFonts w:hint="eastAsia"/>
                <w:lang w:val="en-US" w:eastAsia="zh-CN"/>
              </w:rPr>
              <w:t>3</w:t>
            </w:r>
          </w:p>
        </w:tc>
        <w:tc>
          <w:tcPr>
            <w:tcW w:w="1169" w:type="pct"/>
            <w:tcBorders>
              <w:top w:val="single" w:sz="4" w:space="0" w:color="auto"/>
              <w:left w:val="single" w:sz="4" w:space="0" w:color="auto"/>
              <w:bottom w:val="single" w:sz="4" w:space="0" w:color="auto"/>
              <w:right w:val="single" w:sz="4" w:space="0" w:color="auto"/>
            </w:tcBorders>
          </w:tcPr>
          <w:p w14:paraId="3C839D57" w14:textId="77777777" w:rsidR="0018012F" w:rsidRDefault="0018012F" w:rsidP="003305AC">
            <w:pPr>
              <w:pStyle w:val="TAC"/>
            </w:pPr>
            <w:r>
              <w:rPr>
                <w:rFonts w:cs="Arial"/>
                <w:szCs w:val="18"/>
              </w:rPr>
              <w:t>58.88 x N</w:t>
            </w:r>
            <w:r>
              <w:rPr>
                <w:rFonts w:cs="Arial" w:hint="eastAsia"/>
                <w:szCs w:val="18"/>
                <w:lang w:val="en-US" w:eastAsia="zh-CN"/>
              </w:rPr>
              <w:t>1</w:t>
            </w:r>
            <w:r>
              <w:rPr>
                <w:rFonts w:cs="Arial"/>
                <w:szCs w:val="18"/>
              </w:rPr>
              <w:t xml:space="preserve"> (23 x N</w:t>
            </w:r>
            <w:r>
              <w:rPr>
                <w:rFonts w:cs="Arial" w:hint="eastAsia"/>
                <w:szCs w:val="18"/>
                <w:lang w:val="en-US" w:eastAsia="zh-CN"/>
              </w:rPr>
              <w:t>1</w:t>
            </w:r>
            <w:r>
              <w:rPr>
                <w:rFonts w:cs="Arial"/>
                <w:szCs w:val="18"/>
              </w:rPr>
              <w:t>) </w:t>
            </w:r>
          </w:p>
        </w:tc>
        <w:tc>
          <w:tcPr>
            <w:tcW w:w="1169" w:type="pct"/>
            <w:tcBorders>
              <w:top w:val="single" w:sz="4" w:space="0" w:color="auto"/>
              <w:left w:val="single" w:sz="4" w:space="0" w:color="auto"/>
              <w:bottom w:val="single" w:sz="4" w:space="0" w:color="auto"/>
              <w:right w:val="single" w:sz="4" w:space="0" w:color="auto"/>
            </w:tcBorders>
          </w:tcPr>
          <w:p w14:paraId="2037D5E5" w14:textId="77777777" w:rsidR="0018012F" w:rsidRDefault="0018012F" w:rsidP="003305AC">
            <w:pPr>
              <w:pStyle w:val="TAC"/>
            </w:pPr>
            <w:r>
              <w:rPr>
                <w:rFonts w:cs="Arial"/>
                <w:szCs w:val="18"/>
              </w:rPr>
              <w:t>2.56 x N</w:t>
            </w:r>
            <w:r>
              <w:rPr>
                <w:rFonts w:cs="Arial" w:hint="eastAsia"/>
                <w:szCs w:val="18"/>
                <w:lang w:val="en-US" w:eastAsia="zh-CN"/>
              </w:rPr>
              <w:t xml:space="preserve">1 </w:t>
            </w:r>
            <w:r>
              <w:rPr>
                <w:rFonts w:cs="Arial"/>
                <w:szCs w:val="18"/>
              </w:rPr>
              <w:t>(1 x N</w:t>
            </w:r>
            <w:r>
              <w:rPr>
                <w:rFonts w:cs="Arial" w:hint="eastAsia"/>
                <w:szCs w:val="18"/>
                <w:lang w:val="en-US" w:eastAsia="zh-CN"/>
              </w:rPr>
              <w:t>1</w:t>
            </w:r>
            <w:r>
              <w:rPr>
                <w:rFonts w:cs="Arial"/>
                <w:szCs w:val="18"/>
              </w:rPr>
              <w:t>) </w:t>
            </w:r>
          </w:p>
        </w:tc>
        <w:tc>
          <w:tcPr>
            <w:tcW w:w="1168" w:type="pct"/>
            <w:tcBorders>
              <w:top w:val="single" w:sz="4" w:space="0" w:color="auto"/>
              <w:left w:val="single" w:sz="4" w:space="0" w:color="auto"/>
              <w:bottom w:val="single" w:sz="4" w:space="0" w:color="auto"/>
              <w:right w:val="single" w:sz="4" w:space="0" w:color="auto"/>
            </w:tcBorders>
          </w:tcPr>
          <w:p w14:paraId="1915757B" w14:textId="77777777" w:rsidR="0018012F" w:rsidRDefault="0018012F" w:rsidP="003305AC">
            <w:pPr>
              <w:pStyle w:val="TAC"/>
            </w:pPr>
            <w:r>
              <w:rPr>
                <w:rFonts w:cs="Arial"/>
                <w:szCs w:val="18"/>
              </w:rPr>
              <w:t>7.68 x N1 (3 x N</w:t>
            </w:r>
            <w:r>
              <w:rPr>
                <w:rFonts w:cs="Arial" w:hint="eastAsia"/>
                <w:szCs w:val="18"/>
                <w:lang w:val="en-US" w:eastAsia="zh-CN"/>
              </w:rPr>
              <w:t>1</w:t>
            </w:r>
            <w:r>
              <w:rPr>
                <w:rFonts w:cs="Arial"/>
                <w:szCs w:val="18"/>
              </w:rPr>
              <w:t>) </w:t>
            </w:r>
          </w:p>
        </w:tc>
      </w:tr>
      <w:tr w:rsidR="0018012F" w14:paraId="7E57CD92" w14:textId="77777777" w:rsidTr="003305AC">
        <w:trPr>
          <w:cantSplit/>
          <w:jc w:val="center"/>
        </w:trPr>
        <w:tc>
          <w:tcPr>
            <w:tcW w:w="5000" w:type="pct"/>
            <w:gridSpan w:val="5"/>
            <w:tcBorders>
              <w:top w:val="single" w:sz="4" w:space="0" w:color="auto"/>
              <w:left w:val="single" w:sz="4" w:space="0" w:color="auto"/>
              <w:bottom w:val="single" w:sz="4" w:space="0" w:color="auto"/>
              <w:right w:val="single" w:sz="4" w:space="0" w:color="auto"/>
            </w:tcBorders>
          </w:tcPr>
          <w:p w14:paraId="694EE610" w14:textId="77777777" w:rsidR="0018012F" w:rsidRDefault="0018012F" w:rsidP="003305AC">
            <w:pPr>
              <w:pStyle w:val="TAN"/>
              <w:rPr>
                <w:rFonts w:eastAsia="DengXian"/>
                <w:lang w:eastAsia="zh-CN"/>
              </w:rPr>
            </w:pPr>
            <w:r>
              <w:rPr>
                <w:rFonts w:eastAsia="DengXian" w:hint="eastAsia"/>
                <w:lang w:eastAsia="zh-CN"/>
              </w:rPr>
              <w:t>N</w:t>
            </w:r>
            <w:r>
              <w:rPr>
                <w:rFonts w:eastAsia="DengXian"/>
                <w:lang w:eastAsia="zh-CN"/>
              </w:rPr>
              <w:t>ote 1:</w:t>
            </w:r>
            <w:r>
              <w:rPr>
                <w:lang w:val="en-US"/>
              </w:rPr>
              <w:tab/>
            </w:r>
            <w:r>
              <w:rPr>
                <w:rFonts w:eastAsia="DengXian" w:hint="eastAsia"/>
                <w:lang w:val="en-US" w:eastAsia="zh-CN"/>
              </w:rPr>
              <w:t>W</w:t>
            </w:r>
            <w:r>
              <w:rPr>
                <w:rFonts w:eastAsia="DengXian"/>
                <w:lang w:eastAsia="zh-CN"/>
              </w:rPr>
              <w:t>hen SMTC &lt; = 40 ms, M2 = M3 = M4 = 1; and when SMTC &gt; 40 ms, M2 = 1.5, M3 = M4 = 2</w:t>
            </w:r>
          </w:p>
          <w:p w14:paraId="40259F29" w14:textId="00C88B25" w:rsidR="0018012F" w:rsidRDefault="0018012F" w:rsidP="0018012F">
            <w:pPr>
              <w:pStyle w:val="TAN"/>
              <w:rPr>
                <w:lang w:val="en-US" w:eastAsia="zh-CN"/>
              </w:rPr>
            </w:pPr>
            <w:r>
              <w:rPr>
                <w:lang w:eastAsia="zh-CN"/>
              </w:rPr>
              <w:t>Note 2:</w:t>
            </w:r>
            <w:r w:rsidR="00CD75FF">
              <w:rPr>
                <w:lang w:val="en-US"/>
              </w:rPr>
              <w:tab/>
            </w:r>
            <w:r>
              <w:rPr>
                <w:rFonts w:hint="eastAsia"/>
                <w:lang w:val="en-US" w:eastAsia="zh-CN"/>
              </w:rPr>
              <w:t>N2 = 2 when [</w:t>
            </w:r>
            <w:r>
              <w:rPr>
                <w:rFonts w:hint="eastAsia"/>
                <w:i/>
                <w:iCs/>
                <w:lang w:val="en-US" w:eastAsia="zh-CN"/>
              </w:rPr>
              <w:t>highSpeedMeasFlagFR2-r17</w:t>
            </w:r>
            <w:r>
              <w:rPr>
                <w:rFonts w:hint="eastAsia"/>
                <w:lang w:val="en-US" w:eastAsia="zh-CN"/>
              </w:rPr>
              <w:t>]  = [set1]; N2 = 6 when [</w:t>
            </w:r>
            <w:r>
              <w:rPr>
                <w:rFonts w:hint="eastAsia"/>
                <w:i/>
                <w:iCs/>
                <w:lang w:val="en-US" w:eastAsia="zh-CN"/>
              </w:rPr>
              <w:t>highSpeedMeasFlagFR2-r17</w:t>
            </w:r>
            <w:r>
              <w:rPr>
                <w:rFonts w:hint="eastAsia"/>
                <w:lang w:val="en-US" w:eastAsia="zh-CN"/>
              </w:rPr>
              <w:t>] = [set2].</w:t>
            </w:r>
          </w:p>
        </w:tc>
      </w:tr>
    </w:tbl>
    <w:p w14:paraId="0976468A" w14:textId="25C2CE0D" w:rsidR="0018012F" w:rsidRDefault="0018012F" w:rsidP="0018012F"/>
    <w:p w14:paraId="53851A96" w14:textId="77777777" w:rsidR="001B2180" w:rsidRPr="00043DFE" w:rsidRDefault="001B2180" w:rsidP="001B2180">
      <w:pPr>
        <w:pStyle w:val="TH"/>
        <w:rPr>
          <w:lang w:val="en-US"/>
        </w:rPr>
      </w:pPr>
      <w:r w:rsidRPr="00043DFE">
        <w:rPr>
          <w:lang w:val="en-US"/>
        </w:rPr>
        <w:t>Table 4.2.2.3-4: T</w:t>
      </w:r>
      <w:r w:rsidRPr="00043DFE">
        <w:rPr>
          <w:vertAlign w:val="subscript"/>
          <w:lang w:val="en-US"/>
        </w:rPr>
        <w:t>detect,NR_Intra</w:t>
      </w:r>
      <w:r w:rsidRPr="00043DFE">
        <w:rPr>
          <w:lang w:val="en-US"/>
        </w:rPr>
        <w:t>, T</w:t>
      </w:r>
      <w:r w:rsidRPr="00043DFE">
        <w:rPr>
          <w:vertAlign w:val="subscript"/>
          <w:lang w:val="en-US"/>
        </w:rPr>
        <w:t>measure,NR_Intra</w:t>
      </w:r>
      <w:r w:rsidRPr="00043DFE">
        <w:rPr>
          <w:lang w:val="en-US"/>
        </w:rPr>
        <w:t xml:space="preserve"> and T</w:t>
      </w:r>
      <w:r w:rsidRPr="00043DFE">
        <w:rPr>
          <w:vertAlign w:val="subscript"/>
          <w:lang w:val="en-US"/>
        </w:rPr>
        <w:t>evaluate,NR_Intra</w:t>
      </w:r>
      <w:r w:rsidRPr="00043DFE">
        <w:rPr>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756"/>
        <w:gridCol w:w="936"/>
        <w:gridCol w:w="2450"/>
        <w:gridCol w:w="1874"/>
        <w:gridCol w:w="1860"/>
      </w:tblGrid>
      <w:tr w:rsidR="001B2180" w:rsidRPr="00043DFE" w14:paraId="3734AE8D" w14:textId="77777777" w:rsidTr="008B107E">
        <w:trPr>
          <w:trHeight w:val="1692"/>
        </w:trPr>
        <w:tc>
          <w:tcPr>
            <w:tcW w:w="1207" w:type="dxa"/>
            <w:hideMark/>
          </w:tcPr>
          <w:p w14:paraId="3459D4DE" w14:textId="77777777" w:rsidR="001B2180" w:rsidRPr="00043DFE" w:rsidRDefault="001B2180" w:rsidP="008B107E">
            <w:pPr>
              <w:pStyle w:val="TAH"/>
              <w:rPr>
                <w:lang w:val="en-US" w:eastAsia="zh-CN"/>
              </w:rPr>
            </w:pPr>
            <w:r w:rsidRPr="00043DFE">
              <w:rPr>
                <w:lang w:eastAsia="zh-CN"/>
              </w:rPr>
              <w:t>eDRX_IDLE cycle length [s]</w:t>
            </w:r>
          </w:p>
        </w:tc>
        <w:tc>
          <w:tcPr>
            <w:tcW w:w="756" w:type="dxa"/>
            <w:hideMark/>
          </w:tcPr>
          <w:p w14:paraId="75482375" w14:textId="77777777" w:rsidR="001B2180" w:rsidRPr="00043DFE" w:rsidRDefault="001B2180" w:rsidP="008B107E">
            <w:pPr>
              <w:pStyle w:val="TAH"/>
              <w:rPr>
                <w:lang w:val="en-US" w:eastAsia="zh-CN"/>
              </w:rPr>
            </w:pPr>
            <w:r w:rsidRPr="00043DFE">
              <w:rPr>
                <w:lang w:eastAsia="zh-CN"/>
              </w:rPr>
              <w:t>DRX cycle length [s]</w:t>
            </w:r>
          </w:p>
        </w:tc>
        <w:tc>
          <w:tcPr>
            <w:tcW w:w="936" w:type="dxa"/>
            <w:hideMark/>
          </w:tcPr>
          <w:p w14:paraId="6B854566" w14:textId="77777777" w:rsidR="001B2180" w:rsidRPr="00043DFE" w:rsidRDefault="001B2180" w:rsidP="008B107E">
            <w:pPr>
              <w:pStyle w:val="TAH"/>
              <w:rPr>
                <w:lang w:val="en-US" w:eastAsia="zh-CN"/>
              </w:rPr>
            </w:pPr>
            <w:r w:rsidRPr="00043DFE">
              <w:rPr>
                <w:lang w:eastAsia="zh-CN"/>
              </w:rPr>
              <w:t>PTW length [s] (number of 1.28s periods)</w:t>
            </w:r>
          </w:p>
        </w:tc>
        <w:tc>
          <w:tcPr>
            <w:tcW w:w="2450" w:type="dxa"/>
            <w:hideMark/>
          </w:tcPr>
          <w:p w14:paraId="72C44AAB" w14:textId="77777777" w:rsidR="001B2180" w:rsidRPr="00043DFE" w:rsidRDefault="001B2180" w:rsidP="008B107E">
            <w:pPr>
              <w:pStyle w:val="TAH"/>
              <w:rPr>
                <w:szCs w:val="18"/>
                <w:lang w:val="en-US" w:eastAsia="zh-CN"/>
              </w:rPr>
            </w:pPr>
            <w:r w:rsidRPr="00043DFE">
              <w:rPr>
                <w:szCs w:val="18"/>
                <w:lang w:val="en-US"/>
              </w:rPr>
              <w:t>T</w:t>
            </w:r>
            <w:r w:rsidRPr="00043DFE">
              <w:rPr>
                <w:szCs w:val="18"/>
                <w:vertAlign w:val="subscript"/>
                <w:lang w:val="en-US"/>
              </w:rPr>
              <w:t>detect,NR_Intra</w:t>
            </w:r>
            <w:r w:rsidRPr="00043DFE">
              <w:rPr>
                <w:szCs w:val="18"/>
                <w:lang w:eastAsia="zh-CN"/>
              </w:rPr>
              <w:t xml:space="preserve"> [s] (number of DRX cycles or eDRX cycles </w:t>
            </w:r>
            <w:r w:rsidRPr="00043DFE">
              <w:rPr>
                <w:szCs w:val="18"/>
                <w:vertAlign w:val="superscript"/>
                <w:lang w:eastAsia="zh-CN"/>
              </w:rPr>
              <w:t>Note 3</w:t>
            </w:r>
            <w:r w:rsidRPr="00043DFE">
              <w:rPr>
                <w:szCs w:val="18"/>
                <w:lang w:eastAsia="zh-CN"/>
              </w:rPr>
              <w:t>)</w:t>
            </w:r>
          </w:p>
        </w:tc>
        <w:tc>
          <w:tcPr>
            <w:tcW w:w="1874" w:type="dxa"/>
            <w:hideMark/>
          </w:tcPr>
          <w:p w14:paraId="6F71829F" w14:textId="77777777" w:rsidR="001B2180" w:rsidRPr="00043DFE" w:rsidRDefault="001B2180" w:rsidP="008B107E">
            <w:pPr>
              <w:pStyle w:val="TAH"/>
              <w:rPr>
                <w:szCs w:val="18"/>
                <w:lang w:val="en-US" w:eastAsia="zh-CN"/>
              </w:rPr>
            </w:pPr>
            <w:r w:rsidRPr="00043DFE">
              <w:rPr>
                <w:szCs w:val="18"/>
                <w:lang w:val="en-US"/>
              </w:rPr>
              <w:t>T</w:t>
            </w:r>
            <w:r w:rsidRPr="00043DFE">
              <w:rPr>
                <w:szCs w:val="18"/>
                <w:vertAlign w:val="subscript"/>
                <w:lang w:val="en-US"/>
              </w:rPr>
              <w:t>measure,NR_Intra</w:t>
            </w:r>
            <w:r w:rsidRPr="00043DFE">
              <w:rPr>
                <w:szCs w:val="18"/>
                <w:lang w:val="en-US"/>
              </w:rPr>
              <w:t xml:space="preserve"> </w:t>
            </w:r>
            <w:r w:rsidRPr="00043DFE">
              <w:rPr>
                <w:szCs w:val="18"/>
                <w:lang w:eastAsia="zh-CN"/>
              </w:rPr>
              <w:t xml:space="preserve">[s] (number of DRX cycles or eDRX cycles </w:t>
            </w:r>
            <w:r w:rsidRPr="00043DFE">
              <w:rPr>
                <w:szCs w:val="18"/>
                <w:vertAlign w:val="superscript"/>
                <w:lang w:eastAsia="zh-CN"/>
              </w:rPr>
              <w:t>Note 3</w:t>
            </w:r>
            <w:r w:rsidRPr="00043DFE">
              <w:rPr>
                <w:szCs w:val="18"/>
                <w:lang w:eastAsia="zh-CN"/>
              </w:rPr>
              <w:t>)</w:t>
            </w:r>
          </w:p>
        </w:tc>
        <w:tc>
          <w:tcPr>
            <w:tcW w:w="1860" w:type="dxa"/>
          </w:tcPr>
          <w:p w14:paraId="70ACFB61" w14:textId="77777777" w:rsidR="001B2180" w:rsidRPr="00043DFE" w:rsidRDefault="001B2180" w:rsidP="008B107E">
            <w:pPr>
              <w:pStyle w:val="TAH"/>
              <w:rPr>
                <w:szCs w:val="18"/>
                <w:lang w:val="en-US"/>
              </w:rPr>
            </w:pPr>
            <w:r w:rsidRPr="00043DFE">
              <w:rPr>
                <w:szCs w:val="18"/>
                <w:lang w:val="en-US"/>
              </w:rPr>
              <w:t>T</w:t>
            </w:r>
            <w:r w:rsidRPr="00043DFE">
              <w:rPr>
                <w:szCs w:val="18"/>
                <w:vertAlign w:val="subscript"/>
                <w:lang w:val="en-US"/>
              </w:rPr>
              <w:t xml:space="preserve">evaluate,NR_Intra </w:t>
            </w:r>
            <w:r w:rsidRPr="00043DFE">
              <w:rPr>
                <w:szCs w:val="18"/>
                <w:lang w:eastAsia="zh-CN"/>
              </w:rPr>
              <w:t xml:space="preserve">[s] (number of DRX cycles or eDRX cycles </w:t>
            </w:r>
            <w:r w:rsidRPr="00043DFE">
              <w:rPr>
                <w:szCs w:val="18"/>
                <w:vertAlign w:val="superscript"/>
                <w:lang w:eastAsia="zh-CN"/>
              </w:rPr>
              <w:t>Note 3</w:t>
            </w:r>
            <w:r w:rsidRPr="00043DFE">
              <w:rPr>
                <w:szCs w:val="18"/>
                <w:lang w:eastAsia="zh-CN"/>
              </w:rPr>
              <w:t>)</w:t>
            </w:r>
          </w:p>
        </w:tc>
      </w:tr>
      <w:tr w:rsidR="001B2180" w:rsidRPr="00043DFE" w14:paraId="4BEF72B8" w14:textId="77777777" w:rsidTr="008B107E">
        <w:trPr>
          <w:trHeight w:val="336"/>
        </w:trPr>
        <w:tc>
          <w:tcPr>
            <w:tcW w:w="1207" w:type="dxa"/>
          </w:tcPr>
          <w:p w14:paraId="7B1929DE" w14:textId="77777777" w:rsidR="001B2180" w:rsidRPr="00043DFE" w:rsidRDefault="001B2180" w:rsidP="008B107E">
            <w:pPr>
              <w:pStyle w:val="TAC"/>
              <w:rPr>
                <w:lang w:val="en-US" w:eastAsia="zh-CN"/>
              </w:rPr>
            </w:pPr>
            <w:r w:rsidRPr="00043DFE">
              <w:rPr>
                <w:lang w:val="en-US" w:eastAsia="zh-CN"/>
              </w:rPr>
              <w:t>2.56</w:t>
            </w:r>
          </w:p>
        </w:tc>
        <w:tc>
          <w:tcPr>
            <w:tcW w:w="756" w:type="dxa"/>
          </w:tcPr>
          <w:p w14:paraId="0F6810E7" w14:textId="77777777" w:rsidR="001B2180" w:rsidRPr="00043DFE" w:rsidRDefault="001B2180" w:rsidP="008B107E">
            <w:pPr>
              <w:pStyle w:val="TAC"/>
              <w:rPr>
                <w:lang w:val="en-US" w:eastAsia="zh-CN"/>
              </w:rPr>
            </w:pPr>
            <w:r w:rsidRPr="00043DFE">
              <w:rPr>
                <w:lang w:val="en-US" w:eastAsia="zh-CN"/>
              </w:rPr>
              <w:t>-</w:t>
            </w:r>
          </w:p>
        </w:tc>
        <w:tc>
          <w:tcPr>
            <w:tcW w:w="936" w:type="dxa"/>
          </w:tcPr>
          <w:p w14:paraId="265D2D16" w14:textId="77777777" w:rsidR="001B2180" w:rsidRPr="00043DFE" w:rsidRDefault="001B2180" w:rsidP="008B107E">
            <w:pPr>
              <w:pStyle w:val="TAC"/>
              <w:rPr>
                <w:lang w:val="en-US" w:eastAsia="zh-CN"/>
              </w:rPr>
            </w:pPr>
            <w:r w:rsidRPr="00043DFE">
              <w:rPr>
                <w:lang w:val="en-US" w:eastAsia="zh-CN"/>
              </w:rPr>
              <w:t>-</w:t>
            </w:r>
          </w:p>
        </w:tc>
        <w:tc>
          <w:tcPr>
            <w:tcW w:w="2450" w:type="dxa"/>
          </w:tcPr>
          <w:p w14:paraId="5F975D30" w14:textId="77777777" w:rsidR="001B2180" w:rsidRPr="00043DFE" w:rsidRDefault="001B2180" w:rsidP="008B107E">
            <w:pPr>
              <w:pStyle w:val="TAC"/>
              <w:rPr>
                <w:lang w:eastAsia="zh-CN"/>
              </w:rPr>
            </w:pPr>
            <w:r w:rsidRPr="00043DFE">
              <w:rPr>
                <w:lang w:eastAsia="zh-CN"/>
              </w:rPr>
              <w:t>58.88 (23)</w:t>
            </w:r>
          </w:p>
        </w:tc>
        <w:tc>
          <w:tcPr>
            <w:tcW w:w="1874" w:type="dxa"/>
          </w:tcPr>
          <w:p w14:paraId="4CDEDD1E" w14:textId="77777777" w:rsidR="001B2180" w:rsidRPr="00043DFE" w:rsidRDefault="001B2180" w:rsidP="008B107E">
            <w:pPr>
              <w:pStyle w:val="TAC"/>
              <w:rPr>
                <w:lang w:eastAsia="zh-CN"/>
              </w:rPr>
            </w:pPr>
            <w:r w:rsidRPr="00043DFE">
              <w:rPr>
                <w:lang w:eastAsia="zh-CN"/>
              </w:rPr>
              <w:t>2.56 (1)</w:t>
            </w:r>
          </w:p>
        </w:tc>
        <w:tc>
          <w:tcPr>
            <w:tcW w:w="1860" w:type="dxa"/>
          </w:tcPr>
          <w:p w14:paraId="1CD5AA35" w14:textId="77777777" w:rsidR="001B2180" w:rsidRPr="00043DFE" w:rsidRDefault="001B2180" w:rsidP="008B107E">
            <w:pPr>
              <w:pStyle w:val="TAC"/>
              <w:rPr>
                <w:lang w:eastAsia="zh-CN"/>
              </w:rPr>
            </w:pPr>
            <w:r w:rsidRPr="00043DFE">
              <w:rPr>
                <w:lang w:eastAsia="zh-CN"/>
              </w:rPr>
              <w:t>7.68 (3)</w:t>
            </w:r>
          </w:p>
        </w:tc>
      </w:tr>
      <w:tr w:rsidR="001B2180" w:rsidRPr="00043DFE" w14:paraId="2F936372" w14:textId="77777777" w:rsidTr="008B107E">
        <w:trPr>
          <w:trHeight w:val="336"/>
        </w:trPr>
        <w:tc>
          <w:tcPr>
            <w:tcW w:w="1207" w:type="dxa"/>
          </w:tcPr>
          <w:p w14:paraId="3C10D0EA" w14:textId="77777777" w:rsidR="001B2180" w:rsidRPr="00043DFE" w:rsidRDefault="001B2180" w:rsidP="008B107E">
            <w:pPr>
              <w:pStyle w:val="TAC"/>
              <w:rPr>
                <w:lang w:eastAsia="zh-CN"/>
              </w:rPr>
            </w:pPr>
            <w:r w:rsidRPr="00043DFE">
              <w:rPr>
                <w:lang w:eastAsia="zh-CN"/>
              </w:rPr>
              <w:t>5.12</w:t>
            </w:r>
          </w:p>
        </w:tc>
        <w:tc>
          <w:tcPr>
            <w:tcW w:w="756" w:type="dxa"/>
          </w:tcPr>
          <w:p w14:paraId="6C2B7334" w14:textId="77777777" w:rsidR="001B2180" w:rsidRPr="00043DFE" w:rsidRDefault="001B2180" w:rsidP="008B107E">
            <w:pPr>
              <w:pStyle w:val="TAC"/>
              <w:rPr>
                <w:lang w:val="en-US" w:eastAsia="zh-CN"/>
              </w:rPr>
            </w:pPr>
            <w:r w:rsidRPr="00043DFE">
              <w:rPr>
                <w:lang w:val="en-US" w:eastAsia="zh-CN"/>
              </w:rPr>
              <w:t>-</w:t>
            </w:r>
          </w:p>
        </w:tc>
        <w:tc>
          <w:tcPr>
            <w:tcW w:w="936" w:type="dxa"/>
          </w:tcPr>
          <w:p w14:paraId="59EF75B2" w14:textId="77777777" w:rsidR="001B2180" w:rsidRPr="00043DFE" w:rsidRDefault="001B2180" w:rsidP="008B107E">
            <w:pPr>
              <w:pStyle w:val="TAC"/>
              <w:rPr>
                <w:lang w:eastAsia="zh-CN"/>
              </w:rPr>
            </w:pPr>
            <w:r w:rsidRPr="00043DFE">
              <w:rPr>
                <w:lang w:eastAsia="zh-CN"/>
              </w:rPr>
              <w:t>-</w:t>
            </w:r>
          </w:p>
        </w:tc>
        <w:tc>
          <w:tcPr>
            <w:tcW w:w="2450" w:type="dxa"/>
          </w:tcPr>
          <w:p w14:paraId="52830567" w14:textId="77777777" w:rsidR="001B2180" w:rsidRPr="00043DFE" w:rsidRDefault="001B2180" w:rsidP="008B107E">
            <w:pPr>
              <w:pStyle w:val="TAC"/>
              <w:rPr>
                <w:lang w:eastAsia="zh-CN"/>
              </w:rPr>
            </w:pPr>
            <w:r w:rsidRPr="00043DFE">
              <w:rPr>
                <w:lang w:eastAsia="zh-CN"/>
              </w:rPr>
              <w:t>117.76 (23)</w:t>
            </w:r>
          </w:p>
        </w:tc>
        <w:tc>
          <w:tcPr>
            <w:tcW w:w="1874" w:type="dxa"/>
          </w:tcPr>
          <w:p w14:paraId="07733529" w14:textId="77777777" w:rsidR="001B2180" w:rsidRPr="00043DFE" w:rsidRDefault="001B2180" w:rsidP="008B107E">
            <w:pPr>
              <w:pStyle w:val="TAC"/>
              <w:rPr>
                <w:lang w:eastAsia="zh-CN"/>
              </w:rPr>
            </w:pPr>
            <w:r w:rsidRPr="00043DFE">
              <w:rPr>
                <w:lang w:eastAsia="zh-CN"/>
              </w:rPr>
              <w:t>5.12 (1)</w:t>
            </w:r>
          </w:p>
        </w:tc>
        <w:tc>
          <w:tcPr>
            <w:tcW w:w="1860" w:type="dxa"/>
          </w:tcPr>
          <w:p w14:paraId="69CB1938" w14:textId="77777777" w:rsidR="001B2180" w:rsidRPr="00043DFE" w:rsidRDefault="001B2180" w:rsidP="008B107E">
            <w:pPr>
              <w:pStyle w:val="TAC"/>
              <w:rPr>
                <w:lang w:eastAsia="zh-CN"/>
              </w:rPr>
            </w:pPr>
            <w:r w:rsidRPr="00043DFE">
              <w:rPr>
                <w:lang w:eastAsia="zh-CN"/>
              </w:rPr>
              <w:t>10.24 (2)</w:t>
            </w:r>
          </w:p>
        </w:tc>
      </w:tr>
      <w:tr w:rsidR="001B2180" w:rsidRPr="00043DFE" w14:paraId="767B15B9" w14:textId="77777777" w:rsidTr="008B107E">
        <w:trPr>
          <w:trHeight w:val="336"/>
        </w:trPr>
        <w:tc>
          <w:tcPr>
            <w:tcW w:w="1207" w:type="dxa"/>
            <w:hideMark/>
          </w:tcPr>
          <w:p w14:paraId="445AC7AF" w14:textId="77777777" w:rsidR="001B2180" w:rsidRPr="00043DFE" w:rsidRDefault="001B2180" w:rsidP="008B107E">
            <w:pPr>
              <w:pStyle w:val="TAC"/>
              <w:rPr>
                <w:lang w:val="en-US" w:eastAsia="zh-CN"/>
              </w:rPr>
            </w:pPr>
            <w:r w:rsidRPr="00043DFE">
              <w:rPr>
                <w:lang w:eastAsia="zh-CN"/>
              </w:rPr>
              <w:t>10.24</w:t>
            </w:r>
          </w:p>
        </w:tc>
        <w:tc>
          <w:tcPr>
            <w:tcW w:w="756" w:type="dxa"/>
            <w:hideMark/>
          </w:tcPr>
          <w:p w14:paraId="69AB520C" w14:textId="77777777" w:rsidR="001B2180" w:rsidRPr="00043DFE" w:rsidRDefault="001B2180" w:rsidP="008B107E">
            <w:pPr>
              <w:pStyle w:val="TAC"/>
              <w:rPr>
                <w:lang w:val="en-US" w:eastAsia="zh-CN"/>
              </w:rPr>
            </w:pPr>
            <w:r w:rsidRPr="00043DFE">
              <w:rPr>
                <w:lang w:val="en-US" w:eastAsia="zh-CN"/>
              </w:rPr>
              <w:t>-</w:t>
            </w:r>
          </w:p>
        </w:tc>
        <w:tc>
          <w:tcPr>
            <w:tcW w:w="936" w:type="dxa"/>
            <w:hideMark/>
          </w:tcPr>
          <w:p w14:paraId="6C778F84" w14:textId="77777777" w:rsidR="001B2180" w:rsidRPr="00043DFE" w:rsidRDefault="001B2180" w:rsidP="008B107E">
            <w:pPr>
              <w:pStyle w:val="TAC"/>
              <w:rPr>
                <w:lang w:val="en-US" w:eastAsia="zh-CN"/>
              </w:rPr>
            </w:pPr>
            <w:r w:rsidRPr="00043DFE">
              <w:rPr>
                <w:lang w:eastAsia="zh-CN"/>
              </w:rPr>
              <w:t>-</w:t>
            </w:r>
          </w:p>
        </w:tc>
        <w:tc>
          <w:tcPr>
            <w:tcW w:w="2450" w:type="dxa"/>
            <w:hideMark/>
          </w:tcPr>
          <w:p w14:paraId="41C9B024" w14:textId="77777777" w:rsidR="001B2180" w:rsidRPr="00043DFE" w:rsidRDefault="001B2180" w:rsidP="008B107E">
            <w:pPr>
              <w:pStyle w:val="TAC"/>
              <w:rPr>
                <w:lang w:val="en-US" w:eastAsia="zh-CN"/>
              </w:rPr>
            </w:pPr>
            <w:r w:rsidRPr="00043DFE">
              <w:rPr>
                <w:lang w:eastAsia="zh-CN"/>
              </w:rPr>
              <w:t>235.52 (23)</w:t>
            </w:r>
          </w:p>
        </w:tc>
        <w:tc>
          <w:tcPr>
            <w:tcW w:w="1874" w:type="dxa"/>
            <w:hideMark/>
          </w:tcPr>
          <w:p w14:paraId="71773236" w14:textId="77777777" w:rsidR="001B2180" w:rsidRPr="00043DFE" w:rsidRDefault="001B2180" w:rsidP="008B107E">
            <w:pPr>
              <w:pStyle w:val="TAC"/>
              <w:rPr>
                <w:lang w:val="en-US" w:eastAsia="zh-CN"/>
              </w:rPr>
            </w:pPr>
            <w:r w:rsidRPr="00043DFE">
              <w:rPr>
                <w:lang w:eastAsia="zh-CN"/>
              </w:rPr>
              <w:t>10.24 (1)</w:t>
            </w:r>
          </w:p>
        </w:tc>
        <w:tc>
          <w:tcPr>
            <w:tcW w:w="1860" w:type="dxa"/>
          </w:tcPr>
          <w:p w14:paraId="04CE395B" w14:textId="77777777" w:rsidR="001B2180" w:rsidRPr="00043DFE" w:rsidRDefault="001B2180" w:rsidP="008B107E">
            <w:pPr>
              <w:pStyle w:val="TAC"/>
              <w:rPr>
                <w:lang w:eastAsia="zh-CN"/>
              </w:rPr>
            </w:pPr>
            <w:r w:rsidRPr="00043DFE">
              <w:rPr>
                <w:lang w:eastAsia="zh-CN"/>
              </w:rPr>
              <w:t>20.48 (2)</w:t>
            </w:r>
          </w:p>
        </w:tc>
      </w:tr>
      <w:tr w:rsidR="001B2180" w:rsidRPr="00043DFE" w14:paraId="1351D574" w14:textId="77777777" w:rsidTr="008B107E">
        <w:trPr>
          <w:trHeight w:val="673"/>
        </w:trPr>
        <w:tc>
          <w:tcPr>
            <w:tcW w:w="1207" w:type="dxa"/>
            <w:tcBorders>
              <w:bottom w:val="nil"/>
            </w:tcBorders>
            <w:hideMark/>
          </w:tcPr>
          <w:p w14:paraId="6AFD46DA" w14:textId="77777777" w:rsidR="001B2180" w:rsidRPr="00043DFE" w:rsidRDefault="001B2180" w:rsidP="008B107E">
            <w:pPr>
              <w:pStyle w:val="TAC"/>
              <w:rPr>
                <w:lang w:val="en-US" w:eastAsia="zh-CN"/>
              </w:rPr>
            </w:pPr>
            <w:r w:rsidRPr="00043DFE">
              <w:rPr>
                <w:lang w:eastAsia="zh-CN"/>
              </w:rPr>
              <w:t>20.48 ≤</w:t>
            </w:r>
            <w:r w:rsidRPr="00043DFE">
              <w:t xml:space="preserve"> </w:t>
            </w:r>
            <w:r w:rsidRPr="00043DFE">
              <w:rPr>
                <w:lang w:eastAsia="zh-CN"/>
              </w:rPr>
              <w:t xml:space="preserve"> eDRX_IDLE cycle length ≤10485.76</w:t>
            </w:r>
          </w:p>
        </w:tc>
        <w:tc>
          <w:tcPr>
            <w:tcW w:w="756" w:type="dxa"/>
            <w:hideMark/>
          </w:tcPr>
          <w:p w14:paraId="119401B9" w14:textId="77777777" w:rsidR="001B2180" w:rsidRPr="00043DFE" w:rsidRDefault="001B2180" w:rsidP="008B107E">
            <w:pPr>
              <w:pStyle w:val="TAC"/>
              <w:rPr>
                <w:lang w:val="en-US" w:eastAsia="zh-CN"/>
              </w:rPr>
            </w:pPr>
            <w:r w:rsidRPr="00043DFE">
              <w:rPr>
                <w:lang w:eastAsia="zh-CN"/>
              </w:rPr>
              <w:t>0.32</w:t>
            </w:r>
          </w:p>
        </w:tc>
        <w:tc>
          <w:tcPr>
            <w:tcW w:w="936" w:type="dxa"/>
            <w:hideMark/>
          </w:tcPr>
          <w:p w14:paraId="7612D8AA" w14:textId="77777777" w:rsidR="001B2180" w:rsidRPr="00043DFE" w:rsidRDefault="001B2180" w:rsidP="008B107E">
            <w:pPr>
              <w:pStyle w:val="TAC"/>
              <w:rPr>
                <w:lang w:val="en-US" w:eastAsia="zh-CN"/>
              </w:rPr>
            </w:pPr>
            <w:r w:rsidRPr="00043DFE">
              <w:rPr>
                <w:lang w:eastAsia="zh-CN"/>
              </w:rPr>
              <w:t>≥</w:t>
            </w:r>
            <w:r w:rsidRPr="00043DFE">
              <w:rPr>
                <w:lang w:val="en-US" w:eastAsia="zh-CN"/>
              </w:rPr>
              <w:t>[</w:t>
            </w:r>
            <w:r w:rsidRPr="00043DFE">
              <w:rPr>
                <w:lang w:eastAsia="zh-CN"/>
              </w:rPr>
              <w:t>1.28] ([1])</w:t>
            </w:r>
          </w:p>
        </w:tc>
        <w:tc>
          <w:tcPr>
            <w:tcW w:w="2450" w:type="dxa"/>
            <w:tcBorders>
              <w:bottom w:val="nil"/>
            </w:tcBorders>
            <w:hideMark/>
          </w:tcPr>
          <w:p w14:paraId="4C0EF661" w14:textId="77777777" w:rsidR="001B2180" w:rsidRPr="00043DFE" w:rsidRDefault="001B2180" w:rsidP="008B107E">
            <w:pPr>
              <w:pStyle w:val="TAC"/>
              <w:rPr>
                <w:lang w:val="en-US" w:eastAsia="zh-CN"/>
              </w:rPr>
            </w:pPr>
            <m:oMathPara>
              <m:oMathParaPr>
                <m:jc m:val="centerGroup"/>
              </m:oMathParaPr>
              <m:oMath>
                <m:r>
                  <w:rPr>
                    <w:rFonts w:ascii="Cambria Math" w:hAnsi="Cambria Math"/>
                    <w:lang w:val="en-US" w:eastAsia="zh-CN"/>
                  </w:rPr>
                  <m:t>eDRX</m:t>
                </m:r>
                <m:r>
                  <m:rPr>
                    <m:sty m:val="p"/>
                  </m:rPr>
                  <w:rPr>
                    <w:rFonts w:ascii="Cambria Math" w:hAnsi="Cambria Math"/>
                    <w:lang w:val="en-US" w:eastAsia="zh-CN"/>
                  </w:rPr>
                  <m:t>_</m:t>
                </m:r>
                <m:r>
                  <w:rPr>
                    <w:rFonts w:ascii="Cambria Math" w:hAnsi="Cambria Math"/>
                    <w:lang w:val="en-US" w:eastAsia="zh-CN"/>
                  </w:rPr>
                  <m:t>cycl</m:t>
                </m:r>
                <m:r>
                  <m:rPr>
                    <m:sty m:val="p"/>
                  </m:rPr>
                  <w:rPr>
                    <w:rFonts w:ascii="Cambria Math" w:hAnsi="Cambria Math"/>
                    <w:lang w:val="en-US" w:eastAsia="zh-CN"/>
                  </w:rPr>
                  <m:t>e_</m:t>
                </m:r>
                <m:r>
                  <w:rPr>
                    <w:rFonts w:ascii="Cambria Math" w:hAnsi="Cambria Math"/>
                    <w:lang w:val="en-US" w:eastAsia="zh-CN"/>
                  </w:rPr>
                  <m:t>length×</m:t>
                </m:r>
                <m:d>
                  <m:dPr>
                    <m:begChr m:val="⌈"/>
                    <m:endChr m:val="⌉"/>
                    <m:ctrlPr>
                      <w:rPr>
                        <w:rFonts w:ascii="Cambria Math" w:hAnsi="Cambria Math"/>
                        <w:i/>
                        <w:lang w:val="en-US" w:eastAsia="zh-CN"/>
                      </w:rPr>
                    </m:ctrlPr>
                  </m:dPr>
                  <m:e>
                    <m:f>
                      <m:fPr>
                        <m:ctrlPr>
                          <w:rPr>
                            <w:rFonts w:ascii="Cambria Math" w:hAnsi="Cambria Math"/>
                            <w:i/>
                            <w:lang w:val="en-US" w:eastAsia="zh-CN"/>
                          </w:rPr>
                        </m:ctrlPr>
                      </m:fPr>
                      <m:num>
                        <m:r>
                          <w:rPr>
                            <w:rFonts w:ascii="Cambria Math" w:hAnsi="Cambria Math"/>
                            <w:lang w:val="en-US" w:eastAsia="zh-CN"/>
                          </w:rPr>
                          <m:t>23</m:t>
                        </m:r>
                      </m:num>
                      <m:den>
                        <m:r>
                          <w:rPr>
                            <w:rFonts w:ascii="Cambria Math" w:hAnsi="Cambria Math"/>
                            <w:lang w:val="en-US" w:eastAsia="zh-CN"/>
                          </w:rPr>
                          <m:t>PTW/DRX_cycle_length</m:t>
                        </m:r>
                      </m:den>
                    </m:f>
                  </m:e>
                </m:d>
              </m:oMath>
            </m:oMathPara>
          </w:p>
          <w:p w14:paraId="750ED48E" w14:textId="77777777" w:rsidR="001B2180" w:rsidRPr="00043DFE" w:rsidRDefault="001B2180" w:rsidP="008B107E">
            <w:pPr>
              <w:pStyle w:val="TAC"/>
              <w:rPr>
                <w:lang w:val="en-US" w:eastAsia="zh-CN"/>
              </w:rPr>
            </w:pPr>
            <w:r w:rsidRPr="00043DFE">
              <w:rPr>
                <w:lang w:val="en-US" w:eastAsia="zh-CN"/>
              </w:rPr>
              <w:t>(23)</w:t>
            </w:r>
          </w:p>
        </w:tc>
        <w:tc>
          <w:tcPr>
            <w:tcW w:w="1874" w:type="dxa"/>
            <w:hideMark/>
          </w:tcPr>
          <w:p w14:paraId="54FD4C50" w14:textId="77777777" w:rsidR="001B2180" w:rsidRPr="00043DFE" w:rsidRDefault="001B2180" w:rsidP="008B107E">
            <w:pPr>
              <w:pStyle w:val="TAC"/>
              <w:rPr>
                <w:lang w:val="en-US" w:eastAsia="zh-CN"/>
              </w:rPr>
            </w:pPr>
            <w:r w:rsidRPr="00043DFE">
              <w:rPr>
                <w:lang w:eastAsia="zh-CN"/>
              </w:rPr>
              <w:t>0.32</w:t>
            </w:r>
            <w:r w:rsidRPr="00043DFE">
              <w:t xml:space="preserve"> x M2</w:t>
            </w:r>
            <w:r w:rsidRPr="00043DFE">
              <w:rPr>
                <w:lang w:eastAsia="zh-CN"/>
              </w:rPr>
              <w:t xml:space="preserve"> (1</w:t>
            </w:r>
            <w:r w:rsidRPr="00043DFE">
              <w:t xml:space="preserve"> x M2</w:t>
            </w:r>
            <w:r w:rsidRPr="00043DFE">
              <w:rPr>
                <w:lang w:eastAsia="zh-CN"/>
              </w:rPr>
              <w:t>)</w:t>
            </w:r>
          </w:p>
        </w:tc>
        <w:tc>
          <w:tcPr>
            <w:tcW w:w="1860" w:type="dxa"/>
          </w:tcPr>
          <w:p w14:paraId="1465754D" w14:textId="77777777" w:rsidR="001B2180" w:rsidRPr="00043DFE" w:rsidRDefault="001B2180" w:rsidP="008B107E">
            <w:pPr>
              <w:pStyle w:val="TAC"/>
              <w:rPr>
                <w:lang w:eastAsia="zh-CN"/>
              </w:rPr>
            </w:pPr>
            <w:r w:rsidRPr="00043DFE">
              <w:t>0.64 x M2 (2 x M2)</w:t>
            </w:r>
          </w:p>
        </w:tc>
      </w:tr>
      <w:tr w:rsidR="001B2180" w:rsidRPr="00043DFE" w14:paraId="5502F96F" w14:textId="77777777" w:rsidTr="008B107E">
        <w:trPr>
          <w:trHeight w:val="336"/>
        </w:trPr>
        <w:tc>
          <w:tcPr>
            <w:tcW w:w="1207" w:type="dxa"/>
            <w:tcBorders>
              <w:top w:val="nil"/>
              <w:bottom w:val="nil"/>
            </w:tcBorders>
            <w:hideMark/>
          </w:tcPr>
          <w:p w14:paraId="45768BBF" w14:textId="77777777" w:rsidR="001B2180" w:rsidRPr="00043DFE" w:rsidRDefault="001B2180" w:rsidP="008B107E">
            <w:pPr>
              <w:pStyle w:val="TAC"/>
              <w:rPr>
                <w:lang w:val="en-US" w:eastAsia="zh-CN"/>
              </w:rPr>
            </w:pPr>
          </w:p>
        </w:tc>
        <w:tc>
          <w:tcPr>
            <w:tcW w:w="756" w:type="dxa"/>
            <w:hideMark/>
          </w:tcPr>
          <w:p w14:paraId="6FDBF899" w14:textId="77777777" w:rsidR="001B2180" w:rsidRPr="00043DFE" w:rsidRDefault="001B2180" w:rsidP="008B107E">
            <w:pPr>
              <w:pStyle w:val="TAC"/>
              <w:rPr>
                <w:lang w:val="en-US" w:eastAsia="zh-CN"/>
              </w:rPr>
            </w:pPr>
            <w:r w:rsidRPr="00043DFE">
              <w:rPr>
                <w:lang w:eastAsia="zh-CN"/>
              </w:rPr>
              <w:t>0.64</w:t>
            </w:r>
          </w:p>
        </w:tc>
        <w:tc>
          <w:tcPr>
            <w:tcW w:w="936" w:type="dxa"/>
            <w:hideMark/>
          </w:tcPr>
          <w:p w14:paraId="64DCFA18" w14:textId="77777777" w:rsidR="001B2180" w:rsidRPr="00043DFE" w:rsidRDefault="001B2180" w:rsidP="008B107E">
            <w:pPr>
              <w:pStyle w:val="TAC"/>
              <w:rPr>
                <w:lang w:val="en-US" w:eastAsia="zh-CN"/>
              </w:rPr>
            </w:pPr>
            <w:r w:rsidRPr="00043DFE">
              <w:rPr>
                <w:lang w:eastAsia="zh-CN"/>
              </w:rPr>
              <w:t>≥</w:t>
            </w:r>
            <w:r w:rsidRPr="00043DFE">
              <w:rPr>
                <w:lang w:val="en-US" w:eastAsia="zh-CN"/>
              </w:rPr>
              <w:t>[</w:t>
            </w:r>
            <w:r w:rsidRPr="00043DFE">
              <w:rPr>
                <w:lang w:eastAsia="zh-CN"/>
              </w:rPr>
              <w:t>1.28] ([1])</w:t>
            </w:r>
          </w:p>
        </w:tc>
        <w:tc>
          <w:tcPr>
            <w:tcW w:w="2450" w:type="dxa"/>
            <w:tcBorders>
              <w:top w:val="nil"/>
              <w:bottom w:val="nil"/>
            </w:tcBorders>
            <w:hideMark/>
          </w:tcPr>
          <w:p w14:paraId="0C7355F2" w14:textId="77777777" w:rsidR="001B2180" w:rsidRPr="00043DFE" w:rsidRDefault="001B2180" w:rsidP="008B107E">
            <w:pPr>
              <w:pStyle w:val="TAC"/>
              <w:rPr>
                <w:lang w:val="en-US" w:eastAsia="zh-CN"/>
              </w:rPr>
            </w:pPr>
          </w:p>
        </w:tc>
        <w:tc>
          <w:tcPr>
            <w:tcW w:w="1874" w:type="dxa"/>
            <w:hideMark/>
          </w:tcPr>
          <w:p w14:paraId="3FB4D59E" w14:textId="77777777" w:rsidR="001B2180" w:rsidRPr="00043DFE" w:rsidRDefault="001B2180" w:rsidP="008B107E">
            <w:pPr>
              <w:pStyle w:val="TAC"/>
              <w:rPr>
                <w:lang w:val="en-US" w:eastAsia="zh-CN"/>
              </w:rPr>
            </w:pPr>
            <w:r w:rsidRPr="00043DFE">
              <w:rPr>
                <w:lang w:eastAsia="zh-CN"/>
              </w:rPr>
              <w:t>0.64 (1)</w:t>
            </w:r>
          </w:p>
        </w:tc>
        <w:tc>
          <w:tcPr>
            <w:tcW w:w="1860" w:type="dxa"/>
          </w:tcPr>
          <w:p w14:paraId="1773EACA" w14:textId="77777777" w:rsidR="001B2180" w:rsidRPr="00043DFE" w:rsidRDefault="001B2180" w:rsidP="008B107E">
            <w:pPr>
              <w:pStyle w:val="TAC"/>
              <w:rPr>
                <w:lang w:eastAsia="zh-CN"/>
              </w:rPr>
            </w:pPr>
            <w:r w:rsidRPr="00043DFE">
              <w:rPr>
                <w:lang w:eastAsia="zh-CN"/>
              </w:rPr>
              <w:t>1.28 (2)</w:t>
            </w:r>
          </w:p>
        </w:tc>
      </w:tr>
      <w:tr w:rsidR="001B2180" w:rsidRPr="00043DFE" w14:paraId="63B07EA6" w14:textId="77777777" w:rsidTr="008B107E">
        <w:trPr>
          <w:trHeight w:val="336"/>
        </w:trPr>
        <w:tc>
          <w:tcPr>
            <w:tcW w:w="1207" w:type="dxa"/>
            <w:tcBorders>
              <w:top w:val="nil"/>
              <w:bottom w:val="nil"/>
            </w:tcBorders>
            <w:hideMark/>
          </w:tcPr>
          <w:p w14:paraId="6E27FE0C" w14:textId="77777777" w:rsidR="001B2180" w:rsidRPr="00043DFE" w:rsidRDefault="001B2180" w:rsidP="008B107E">
            <w:pPr>
              <w:pStyle w:val="TAC"/>
              <w:rPr>
                <w:lang w:val="en-US" w:eastAsia="zh-CN"/>
              </w:rPr>
            </w:pPr>
          </w:p>
        </w:tc>
        <w:tc>
          <w:tcPr>
            <w:tcW w:w="756" w:type="dxa"/>
            <w:hideMark/>
          </w:tcPr>
          <w:p w14:paraId="0F4A13B0" w14:textId="77777777" w:rsidR="001B2180" w:rsidRPr="00043DFE" w:rsidRDefault="001B2180" w:rsidP="008B107E">
            <w:pPr>
              <w:pStyle w:val="TAC"/>
              <w:rPr>
                <w:lang w:val="en-US" w:eastAsia="zh-CN"/>
              </w:rPr>
            </w:pPr>
            <w:r w:rsidRPr="00043DFE">
              <w:rPr>
                <w:lang w:eastAsia="zh-CN"/>
              </w:rPr>
              <w:t>1.28</w:t>
            </w:r>
          </w:p>
        </w:tc>
        <w:tc>
          <w:tcPr>
            <w:tcW w:w="936" w:type="dxa"/>
            <w:hideMark/>
          </w:tcPr>
          <w:p w14:paraId="27E20E32" w14:textId="77777777" w:rsidR="001B2180" w:rsidRPr="00043DFE" w:rsidRDefault="001B2180" w:rsidP="008B107E">
            <w:pPr>
              <w:pStyle w:val="TAC"/>
              <w:rPr>
                <w:lang w:val="en-US" w:eastAsia="zh-CN"/>
              </w:rPr>
            </w:pPr>
            <w:r w:rsidRPr="00043DFE">
              <w:rPr>
                <w:lang w:eastAsia="zh-CN"/>
              </w:rPr>
              <w:t>≥[2.56] ([2])</w:t>
            </w:r>
          </w:p>
        </w:tc>
        <w:tc>
          <w:tcPr>
            <w:tcW w:w="2450" w:type="dxa"/>
            <w:tcBorders>
              <w:top w:val="nil"/>
              <w:bottom w:val="nil"/>
            </w:tcBorders>
            <w:hideMark/>
          </w:tcPr>
          <w:p w14:paraId="2647640A" w14:textId="77777777" w:rsidR="001B2180" w:rsidRPr="00043DFE" w:rsidRDefault="001B2180" w:rsidP="008B107E">
            <w:pPr>
              <w:pStyle w:val="TAC"/>
              <w:rPr>
                <w:lang w:val="en-US" w:eastAsia="zh-CN"/>
              </w:rPr>
            </w:pPr>
          </w:p>
        </w:tc>
        <w:tc>
          <w:tcPr>
            <w:tcW w:w="1874" w:type="dxa"/>
            <w:hideMark/>
          </w:tcPr>
          <w:p w14:paraId="1BD59F3D" w14:textId="77777777" w:rsidR="001B2180" w:rsidRPr="00043DFE" w:rsidRDefault="001B2180" w:rsidP="008B107E">
            <w:pPr>
              <w:pStyle w:val="TAC"/>
              <w:rPr>
                <w:lang w:val="en-US" w:eastAsia="zh-CN"/>
              </w:rPr>
            </w:pPr>
            <w:r w:rsidRPr="00043DFE">
              <w:rPr>
                <w:lang w:eastAsia="zh-CN"/>
              </w:rPr>
              <w:t>1.28 (1)</w:t>
            </w:r>
          </w:p>
        </w:tc>
        <w:tc>
          <w:tcPr>
            <w:tcW w:w="1860" w:type="dxa"/>
          </w:tcPr>
          <w:p w14:paraId="6D4AA533" w14:textId="77777777" w:rsidR="001B2180" w:rsidRPr="00043DFE" w:rsidRDefault="001B2180" w:rsidP="008B107E">
            <w:pPr>
              <w:pStyle w:val="TAC"/>
              <w:rPr>
                <w:lang w:eastAsia="zh-CN"/>
              </w:rPr>
            </w:pPr>
            <w:r w:rsidRPr="00043DFE">
              <w:rPr>
                <w:lang w:eastAsia="zh-CN"/>
              </w:rPr>
              <w:t>2.56 (2)</w:t>
            </w:r>
          </w:p>
        </w:tc>
      </w:tr>
      <w:tr w:rsidR="001B2180" w:rsidRPr="00043DFE" w14:paraId="0259DE97" w14:textId="77777777" w:rsidTr="008B107E">
        <w:trPr>
          <w:trHeight w:val="336"/>
        </w:trPr>
        <w:tc>
          <w:tcPr>
            <w:tcW w:w="1207" w:type="dxa"/>
            <w:tcBorders>
              <w:top w:val="nil"/>
            </w:tcBorders>
            <w:hideMark/>
          </w:tcPr>
          <w:p w14:paraId="04F7A084" w14:textId="77777777" w:rsidR="001B2180" w:rsidRPr="00043DFE" w:rsidRDefault="001B2180" w:rsidP="008B107E">
            <w:pPr>
              <w:pStyle w:val="TAC"/>
              <w:rPr>
                <w:lang w:val="en-US" w:eastAsia="zh-CN"/>
              </w:rPr>
            </w:pPr>
          </w:p>
        </w:tc>
        <w:tc>
          <w:tcPr>
            <w:tcW w:w="756" w:type="dxa"/>
            <w:hideMark/>
          </w:tcPr>
          <w:p w14:paraId="2AD5A53F" w14:textId="77777777" w:rsidR="001B2180" w:rsidRPr="00043DFE" w:rsidRDefault="001B2180" w:rsidP="008B107E">
            <w:pPr>
              <w:pStyle w:val="TAC"/>
              <w:rPr>
                <w:lang w:val="en-US" w:eastAsia="zh-CN"/>
              </w:rPr>
            </w:pPr>
            <w:r w:rsidRPr="00043DFE">
              <w:rPr>
                <w:lang w:eastAsia="zh-CN"/>
              </w:rPr>
              <w:t>2.56</w:t>
            </w:r>
          </w:p>
        </w:tc>
        <w:tc>
          <w:tcPr>
            <w:tcW w:w="936" w:type="dxa"/>
            <w:hideMark/>
          </w:tcPr>
          <w:p w14:paraId="61312BB0" w14:textId="77777777" w:rsidR="001B2180" w:rsidRPr="00043DFE" w:rsidRDefault="001B2180" w:rsidP="008B107E">
            <w:pPr>
              <w:pStyle w:val="TAC"/>
              <w:rPr>
                <w:lang w:val="en-US" w:eastAsia="zh-CN"/>
              </w:rPr>
            </w:pPr>
            <w:r w:rsidRPr="00043DFE">
              <w:rPr>
                <w:lang w:eastAsia="zh-CN"/>
              </w:rPr>
              <w:t>≥[5.12] ([4])</w:t>
            </w:r>
          </w:p>
        </w:tc>
        <w:tc>
          <w:tcPr>
            <w:tcW w:w="2450" w:type="dxa"/>
            <w:tcBorders>
              <w:top w:val="nil"/>
            </w:tcBorders>
            <w:hideMark/>
          </w:tcPr>
          <w:p w14:paraId="3665FBEB" w14:textId="77777777" w:rsidR="001B2180" w:rsidRPr="00043DFE" w:rsidRDefault="001B2180" w:rsidP="008B107E">
            <w:pPr>
              <w:pStyle w:val="TAC"/>
              <w:rPr>
                <w:lang w:val="en-US" w:eastAsia="zh-CN"/>
              </w:rPr>
            </w:pPr>
          </w:p>
        </w:tc>
        <w:tc>
          <w:tcPr>
            <w:tcW w:w="1874" w:type="dxa"/>
            <w:hideMark/>
          </w:tcPr>
          <w:p w14:paraId="017E3F51" w14:textId="77777777" w:rsidR="001B2180" w:rsidRPr="00043DFE" w:rsidRDefault="001B2180" w:rsidP="008B107E">
            <w:pPr>
              <w:pStyle w:val="TAC"/>
              <w:rPr>
                <w:lang w:val="en-US" w:eastAsia="zh-CN"/>
              </w:rPr>
            </w:pPr>
            <w:r w:rsidRPr="00043DFE">
              <w:rPr>
                <w:lang w:eastAsia="zh-CN"/>
              </w:rPr>
              <w:t>2.56 (1)</w:t>
            </w:r>
          </w:p>
        </w:tc>
        <w:tc>
          <w:tcPr>
            <w:tcW w:w="1860" w:type="dxa"/>
          </w:tcPr>
          <w:p w14:paraId="634FAAD7" w14:textId="77777777" w:rsidR="001B2180" w:rsidRPr="00043DFE" w:rsidRDefault="001B2180" w:rsidP="008B107E">
            <w:pPr>
              <w:pStyle w:val="TAC"/>
              <w:rPr>
                <w:lang w:eastAsia="zh-CN"/>
              </w:rPr>
            </w:pPr>
            <w:r w:rsidRPr="00043DFE">
              <w:rPr>
                <w:lang w:eastAsia="zh-CN"/>
              </w:rPr>
              <w:t>5.12 (2)</w:t>
            </w:r>
          </w:p>
        </w:tc>
      </w:tr>
      <w:tr w:rsidR="001B2180" w:rsidRPr="00043DFE" w14:paraId="56AC1BBF" w14:textId="77777777" w:rsidTr="008B107E">
        <w:trPr>
          <w:trHeight w:val="336"/>
        </w:trPr>
        <w:tc>
          <w:tcPr>
            <w:tcW w:w="9083" w:type="dxa"/>
            <w:gridSpan w:val="6"/>
          </w:tcPr>
          <w:p w14:paraId="4CBCF5AF" w14:textId="77777777" w:rsidR="001B2180" w:rsidRPr="00043DFE" w:rsidRDefault="001B2180" w:rsidP="008B107E">
            <w:pPr>
              <w:pStyle w:val="TAN"/>
              <w:rPr>
                <w:snapToGrid w:val="0"/>
                <w:lang w:eastAsia="zh-CN"/>
              </w:rPr>
            </w:pPr>
            <w:r w:rsidRPr="00043DFE">
              <w:rPr>
                <w:snapToGrid w:val="0"/>
                <w:lang w:eastAsia="zh-CN"/>
              </w:rPr>
              <w:t>Note 1</w:t>
            </w:r>
            <w:r w:rsidRPr="00043DFE">
              <w:t>:</w:t>
            </w:r>
            <w:r w:rsidRPr="00043DFE">
              <w:rPr>
                <w:lang w:val="en-US"/>
              </w:rPr>
              <w:tab/>
            </w:r>
            <w:r w:rsidRPr="00043DFE">
              <w:rPr>
                <w:snapToGrid w:val="0"/>
                <w:lang w:eastAsia="zh-CN"/>
              </w:rPr>
              <w:t>The number of DRX cycles in this table is given for the DRX cycles within PTWs.</w:t>
            </w:r>
          </w:p>
          <w:p w14:paraId="082A2893" w14:textId="77777777" w:rsidR="001B2180" w:rsidRPr="00043DFE" w:rsidRDefault="001B2180" w:rsidP="008B107E">
            <w:pPr>
              <w:pStyle w:val="TAN"/>
              <w:rPr>
                <w:snapToGrid w:val="0"/>
                <w:lang w:eastAsia="zh-CN"/>
              </w:rPr>
            </w:pPr>
            <w:r w:rsidRPr="00043DFE">
              <w:rPr>
                <w:snapToGrid w:val="0"/>
                <w:lang w:eastAsia="zh-CN"/>
              </w:rPr>
              <w:t>Note 2</w:t>
            </w:r>
            <w:r w:rsidRPr="00043DFE">
              <w:t>:</w:t>
            </w:r>
            <w:r w:rsidRPr="00043DFE">
              <w:rPr>
                <w:lang w:val="en-US"/>
              </w:rPr>
              <w:tab/>
            </w:r>
            <w:r w:rsidRPr="00043DFE">
              <w:rPr>
                <w:snapToGrid w:val="0"/>
                <w:lang w:eastAsia="zh-CN"/>
              </w:rPr>
              <w:t>The eDRX_IDLE cycle lengths are as specified in Section 10.5.5.32 of TS 24.008 [34].</w:t>
            </w:r>
          </w:p>
          <w:p w14:paraId="54634C65" w14:textId="77777777" w:rsidR="001B2180" w:rsidRPr="00043DFE" w:rsidRDefault="001B2180" w:rsidP="008B107E">
            <w:pPr>
              <w:pStyle w:val="TAN"/>
              <w:rPr>
                <w:snapToGrid w:val="0"/>
                <w:lang w:eastAsia="zh-CN"/>
              </w:rPr>
            </w:pPr>
            <w:r w:rsidRPr="00043DFE">
              <w:rPr>
                <w:snapToGrid w:val="0"/>
                <w:lang w:eastAsia="zh-CN"/>
              </w:rPr>
              <w:t>Note 3</w:t>
            </w:r>
            <w:r w:rsidRPr="00043DFE">
              <w:t>:</w:t>
            </w:r>
            <w:r w:rsidRPr="00043DFE">
              <w:rPr>
                <w:lang w:val="en-US"/>
              </w:rPr>
              <w:tab/>
            </w:r>
            <w:r w:rsidRPr="00043DFE">
              <w:rPr>
                <w:snapToGrid w:val="0"/>
                <w:lang w:eastAsia="zh-CN"/>
              </w:rPr>
              <w:t>Number of eDRX cycles when eDRX_IDLE cycle length equals 2.56s, 5.12s</w:t>
            </w:r>
            <w:r w:rsidRPr="00043DFE">
              <w:rPr>
                <w:rFonts w:hint="eastAsia"/>
                <w:snapToGrid w:val="0"/>
                <w:lang w:eastAsia="zh-CN"/>
              </w:rPr>
              <w:t xml:space="preserve"> </w:t>
            </w:r>
            <w:r w:rsidRPr="00043DFE">
              <w:rPr>
                <w:snapToGrid w:val="0"/>
                <w:lang w:eastAsia="zh-CN"/>
              </w:rPr>
              <w:t>and 10.24s. Otherwise, number of DRX cycles.</w:t>
            </w:r>
          </w:p>
          <w:p w14:paraId="007692FD" w14:textId="77777777" w:rsidR="001B2180" w:rsidRPr="00043DFE" w:rsidRDefault="001B2180" w:rsidP="008B107E">
            <w:pPr>
              <w:pStyle w:val="TAN"/>
              <w:rPr>
                <w:rFonts w:cs="Arial"/>
                <w:iCs/>
              </w:rPr>
            </w:pPr>
            <w:r w:rsidRPr="00043DFE">
              <w:rPr>
                <w:snapToGrid w:val="0"/>
                <w:lang w:eastAsia="zh-CN"/>
              </w:rPr>
              <w:t>Note</w:t>
            </w:r>
            <w:r w:rsidRPr="00043DFE">
              <w:rPr>
                <w:rFonts w:cs="Arial"/>
              </w:rPr>
              <w:t xml:space="preserve"> 4:</w:t>
            </w:r>
            <w:r w:rsidRPr="00043DFE">
              <w:rPr>
                <w:lang w:val="en-US"/>
              </w:rPr>
              <w:t xml:space="preserve"> </w:t>
            </w:r>
            <w:r w:rsidRPr="00043DFE">
              <w:rPr>
                <w:lang w:val="en-US"/>
              </w:rPr>
              <w:tab/>
            </w:r>
            <w:r w:rsidRPr="00043DFE">
              <w:rPr>
                <w:rFonts w:cs="Arial"/>
              </w:rPr>
              <w:t xml:space="preserve">The lower bound of </w:t>
            </w:r>
            <w:r w:rsidRPr="00043DFE">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sidRPr="00043DFE">
              <w:rPr>
                <w:rFonts w:cs="Arial"/>
                <w:iCs/>
              </w:rPr>
              <w:t>.</w:t>
            </w:r>
          </w:p>
          <w:p w14:paraId="5FF1B4A6" w14:textId="77777777" w:rsidR="001B2180" w:rsidRPr="00043DFE" w:rsidRDefault="001B2180" w:rsidP="008B107E">
            <w:pPr>
              <w:pStyle w:val="TAN"/>
              <w:rPr>
                <w:snapToGrid w:val="0"/>
                <w:lang w:eastAsia="zh-CN"/>
              </w:rPr>
            </w:pPr>
            <w:r w:rsidRPr="00043DFE">
              <w:rPr>
                <w:snapToGrid w:val="0"/>
                <w:lang w:eastAsia="zh-CN"/>
              </w:rPr>
              <w:t>Note 5:</w:t>
            </w:r>
            <w:r w:rsidRPr="00043DFE">
              <w:rPr>
                <w:lang w:val="en-US"/>
              </w:rPr>
              <w:tab/>
            </w:r>
            <w:r w:rsidRPr="00043DFE">
              <w:rPr>
                <w:snapToGrid w:val="0"/>
                <w:lang w:eastAsia="zh-CN"/>
              </w:rPr>
              <w:t>M2 = 2 if SMTC periodicity</w:t>
            </w:r>
            <w:r w:rsidRPr="00043DFE">
              <w:t xml:space="preserve"> </w:t>
            </w:r>
            <w:r w:rsidRPr="00043DFE">
              <w:rPr>
                <w:snapToGrid w:val="0"/>
                <w:lang w:eastAsia="zh-CN"/>
              </w:rPr>
              <w:t>of measured intra-frequency cell &gt; 20 ms; otherwise M2=1.</w:t>
            </w:r>
          </w:p>
        </w:tc>
      </w:tr>
    </w:tbl>
    <w:p w14:paraId="23B152B8" w14:textId="77777777" w:rsidR="001B2180" w:rsidRPr="00043DFE" w:rsidRDefault="001B2180" w:rsidP="001B2180">
      <w:pPr>
        <w:rPr>
          <w:lang w:val="en-US"/>
        </w:rPr>
      </w:pPr>
    </w:p>
    <w:p w14:paraId="64BF18A2" w14:textId="77777777" w:rsidR="001B2180" w:rsidRPr="00043DFE" w:rsidRDefault="001B2180" w:rsidP="001B2180">
      <w:pPr>
        <w:pStyle w:val="TH"/>
      </w:pPr>
      <w:r w:rsidRPr="00043DFE">
        <w:rPr>
          <w:lang w:val="en-US"/>
        </w:rPr>
        <w:t>Table 4.2.2.3-5: T</w:t>
      </w:r>
      <w:r w:rsidRPr="00043DFE">
        <w:rPr>
          <w:vertAlign w:val="subscript"/>
          <w:lang w:val="en-US"/>
        </w:rPr>
        <w:t>detect,NR_Intra</w:t>
      </w:r>
      <w:r w:rsidRPr="00043DFE">
        <w:rPr>
          <w:lang w:val="en-US"/>
        </w:rPr>
        <w:t>, T</w:t>
      </w:r>
      <w:r w:rsidRPr="00043DFE">
        <w:rPr>
          <w:vertAlign w:val="subscript"/>
          <w:lang w:val="en-US"/>
        </w:rPr>
        <w:t>measure,NR_Intra</w:t>
      </w:r>
      <w:r w:rsidRPr="00043DFE">
        <w:rPr>
          <w:lang w:val="en-US"/>
        </w:rPr>
        <w:t xml:space="preserve"> and T</w:t>
      </w:r>
      <w:r w:rsidRPr="00043DFE">
        <w:rPr>
          <w:vertAlign w:val="subscript"/>
          <w:lang w:val="en-US"/>
        </w:rPr>
        <w:t>evaluate,NR_Intra</w:t>
      </w:r>
      <w:r w:rsidRPr="00043DFE">
        <w:rPr>
          <w:lang w:val="en-US"/>
        </w:rPr>
        <w:t xml:space="preserve"> for UE configured with eDRX_IDLE cycle (Frequency range FR2)</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757"/>
        <w:gridCol w:w="977"/>
        <w:gridCol w:w="931"/>
        <w:gridCol w:w="2423"/>
        <w:gridCol w:w="1528"/>
        <w:gridCol w:w="1621"/>
      </w:tblGrid>
      <w:tr w:rsidR="001B2180" w:rsidRPr="00043DFE" w14:paraId="2E355400" w14:textId="77777777" w:rsidTr="008B107E">
        <w:trPr>
          <w:trHeight w:val="1692"/>
        </w:trPr>
        <w:tc>
          <w:tcPr>
            <w:tcW w:w="639" w:type="pct"/>
            <w:hideMark/>
          </w:tcPr>
          <w:p w14:paraId="1220FD1C" w14:textId="77777777" w:rsidR="001B2180" w:rsidRPr="00043DFE" w:rsidRDefault="001B2180" w:rsidP="008B107E">
            <w:pPr>
              <w:pStyle w:val="TAH"/>
              <w:rPr>
                <w:lang w:val="en-US" w:eastAsia="zh-CN"/>
              </w:rPr>
            </w:pPr>
            <w:r w:rsidRPr="00043DFE">
              <w:rPr>
                <w:lang w:eastAsia="zh-CN"/>
              </w:rPr>
              <w:t>eDRX_IDLE cycle length [s]</w:t>
            </w:r>
          </w:p>
        </w:tc>
        <w:tc>
          <w:tcPr>
            <w:tcW w:w="401" w:type="pct"/>
            <w:hideMark/>
          </w:tcPr>
          <w:p w14:paraId="169AD120" w14:textId="77777777" w:rsidR="001B2180" w:rsidRPr="00043DFE" w:rsidRDefault="001B2180" w:rsidP="008B107E">
            <w:pPr>
              <w:pStyle w:val="TAH"/>
              <w:rPr>
                <w:lang w:val="en-US" w:eastAsia="zh-CN"/>
              </w:rPr>
            </w:pPr>
            <w:r w:rsidRPr="00043DFE">
              <w:rPr>
                <w:lang w:eastAsia="zh-CN"/>
              </w:rPr>
              <w:t>DRX cycle length [s]</w:t>
            </w:r>
          </w:p>
        </w:tc>
        <w:tc>
          <w:tcPr>
            <w:tcW w:w="517" w:type="pct"/>
            <w:hideMark/>
          </w:tcPr>
          <w:p w14:paraId="4C5563B5" w14:textId="77777777" w:rsidR="001B2180" w:rsidRPr="00043DFE" w:rsidRDefault="001B2180" w:rsidP="008B107E">
            <w:pPr>
              <w:pStyle w:val="TAH"/>
              <w:rPr>
                <w:lang w:val="en-US" w:eastAsia="zh-CN"/>
              </w:rPr>
            </w:pPr>
            <w:r w:rsidRPr="00043DFE">
              <w:rPr>
                <w:lang w:eastAsia="zh-CN"/>
              </w:rPr>
              <w:t>PTW length [s] (number of 1.28s periods)</w:t>
            </w:r>
          </w:p>
        </w:tc>
        <w:tc>
          <w:tcPr>
            <w:tcW w:w="493" w:type="pct"/>
          </w:tcPr>
          <w:p w14:paraId="02DF019B" w14:textId="77777777" w:rsidR="001B2180" w:rsidRPr="00043DFE" w:rsidRDefault="001B2180" w:rsidP="008B107E">
            <w:pPr>
              <w:pStyle w:val="TAH"/>
              <w:rPr>
                <w:lang w:eastAsia="zh-CN"/>
              </w:rPr>
            </w:pPr>
            <w:r w:rsidRPr="00043DFE">
              <w:rPr>
                <w:lang w:eastAsia="zh-CN"/>
              </w:rPr>
              <w:t>Scaling Factor (N1)</w:t>
            </w:r>
            <w:r w:rsidRPr="00043DFE">
              <w:rPr>
                <w:vertAlign w:val="superscript"/>
              </w:rPr>
              <w:t xml:space="preserve"> Note1</w:t>
            </w:r>
          </w:p>
        </w:tc>
        <w:tc>
          <w:tcPr>
            <w:tcW w:w="1283" w:type="pct"/>
            <w:hideMark/>
          </w:tcPr>
          <w:p w14:paraId="404D4B89" w14:textId="77777777" w:rsidR="001B2180" w:rsidRPr="00043DFE" w:rsidRDefault="001B2180" w:rsidP="008B107E">
            <w:pPr>
              <w:pStyle w:val="TAH"/>
              <w:rPr>
                <w:lang w:val="en-US" w:eastAsia="zh-CN"/>
              </w:rPr>
            </w:pPr>
            <w:r w:rsidRPr="00043DFE">
              <w:rPr>
                <w:bCs/>
                <w:szCs w:val="18"/>
                <w:lang w:val="en-US"/>
              </w:rPr>
              <w:t>T</w:t>
            </w:r>
            <w:r w:rsidRPr="00043DFE">
              <w:rPr>
                <w:bCs/>
                <w:szCs w:val="18"/>
                <w:vertAlign w:val="subscript"/>
                <w:lang w:val="en-US"/>
              </w:rPr>
              <w:t>detect,NR_Intra</w:t>
            </w:r>
            <w:r w:rsidRPr="00043DFE">
              <w:rPr>
                <w:szCs w:val="18"/>
                <w:lang w:eastAsia="zh-CN"/>
              </w:rPr>
              <w:t xml:space="preserve"> </w:t>
            </w:r>
            <w:r w:rsidRPr="00043DFE">
              <w:rPr>
                <w:lang w:eastAsia="zh-CN"/>
              </w:rPr>
              <w:t>[s] (number of DRX cycles</w:t>
            </w:r>
            <w:r w:rsidRPr="00043DFE">
              <w:rPr>
                <w:bCs/>
                <w:lang w:eastAsia="zh-CN"/>
              </w:rPr>
              <w:t xml:space="preserve"> </w:t>
            </w:r>
            <w:r w:rsidRPr="00043DFE">
              <w:rPr>
                <w:szCs w:val="18"/>
                <w:lang w:eastAsia="zh-CN"/>
              </w:rPr>
              <w:t xml:space="preserve">or eDRX cycles </w:t>
            </w:r>
            <w:r w:rsidRPr="00043DFE">
              <w:rPr>
                <w:szCs w:val="18"/>
                <w:vertAlign w:val="superscript"/>
                <w:lang w:eastAsia="zh-CN"/>
              </w:rPr>
              <w:t>Note 4</w:t>
            </w:r>
            <w:r w:rsidRPr="00043DFE">
              <w:rPr>
                <w:lang w:eastAsia="zh-CN"/>
              </w:rPr>
              <w:t>)</w:t>
            </w:r>
          </w:p>
        </w:tc>
        <w:tc>
          <w:tcPr>
            <w:tcW w:w="809" w:type="pct"/>
            <w:hideMark/>
          </w:tcPr>
          <w:p w14:paraId="70579166" w14:textId="77777777" w:rsidR="001B2180" w:rsidRPr="00043DFE" w:rsidRDefault="001B2180" w:rsidP="008B107E">
            <w:pPr>
              <w:pStyle w:val="TAH"/>
              <w:rPr>
                <w:lang w:val="en-US" w:eastAsia="zh-CN"/>
              </w:rPr>
            </w:pPr>
            <w:r w:rsidRPr="00043DFE">
              <w:rPr>
                <w:bCs/>
                <w:szCs w:val="18"/>
                <w:lang w:val="en-US"/>
              </w:rPr>
              <w:t>T</w:t>
            </w:r>
            <w:r w:rsidRPr="00043DFE">
              <w:rPr>
                <w:bCs/>
                <w:szCs w:val="18"/>
                <w:vertAlign w:val="subscript"/>
                <w:lang w:val="en-US"/>
              </w:rPr>
              <w:t>measure,NR_Intra</w:t>
            </w:r>
            <w:r w:rsidRPr="00043DFE">
              <w:rPr>
                <w:bCs/>
                <w:szCs w:val="18"/>
                <w:lang w:val="en-US"/>
              </w:rPr>
              <w:t xml:space="preserve"> </w:t>
            </w:r>
            <w:r w:rsidRPr="00043DFE">
              <w:rPr>
                <w:lang w:eastAsia="zh-CN"/>
              </w:rPr>
              <w:t>[s] (number of DRX cycles</w:t>
            </w:r>
            <w:r w:rsidRPr="00043DFE">
              <w:rPr>
                <w:bCs/>
                <w:lang w:eastAsia="zh-CN"/>
              </w:rPr>
              <w:t xml:space="preserve"> </w:t>
            </w:r>
            <w:r w:rsidRPr="00043DFE">
              <w:rPr>
                <w:szCs w:val="18"/>
                <w:lang w:eastAsia="zh-CN"/>
              </w:rPr>
              <w:t xml:space="preserve">or eDRX cycles </w:t>
            </w:r>
            <w:r w:rsidRPr="00043DFE">
              <w:rPr>
                <w:szCs w:val="18"/>
                <w:vertAlign w:val="superscript"/>
                <w:lang w:eastAsia="zh-CN"/>
              </w:rPr>
              <w:t>Note 4</w:t>
            </w:r>
            <w:r w:rsidRPr="00043DFE">
              <w:rPr>
                <w:lang w:eastAsia="zh-CN"/>
              </w:rPr>
              <w:t>)</w:t>
            </w:r>
          </w:p>
        </w:tc>
        <w:tc>
          <w:tcPr>
            <w:tcW w:w="858" w:type="pct"/>
            <w:hideMark/>
          </w:tcPr>
          <w:p w14:paraId="6A71E399" w14:textId="77777777" w:rsidR="001B2180" w:rsidRPr="00043DFE" w:rsidRDefault="001B2180" w:rsidP="008B107E">
            <w:pPr>
              <w:pStyle w:val="TAH"/>
              <w:rPr>
                <w:lang w:val="en-US" w:eastAsia="zh-CN"/>
              </w:rPr>
            </w:pPr>
            <w:r w:rsidRPr="00043DFE">
              <w:rPr>
                <w:bCs/>
                <w:szCs w:val="18"/>
                <w:lang w:val="en-US"/>
              </w:rPr>
              <w:t>T</w:t>
            </w:r>
            <w:r w:rsidRPr="00043DFE">
              <w:rPr>
                <w:bCs/>
                <w:szCs w:val="18"/>
                <w:vertAlign w:val="subscript"/>
                <w:lang w:val="en-US"/>
              </w:rPr>
              <w:t xml:space="preserve">evaluate,NR_Intra </w:t>
            </w:r>
            <w:r w:rsidRPr="00043DFE">
              <w:rPr>
                <w:lang w:eastAsia="zh-CN"/>
              </w:rPr>
              <w:t>[s] (number of DRX cycles</w:t>
            </w:r>
            <w:r w:rsidRPr="00043DFE">
              <w:rPr>
                <w:bCs/>
                <w:lang w:eastAsia="zh-CN"/>
              </w:rPr>
              <w:t xml:space="preserve"> </w:t>
            </w:r>
            <w:r w:rsidRPr="00043DFE">
              <w:rPr>
                <w:szCs w:val="18"/>
                <w:lang w:eastAsia="zh-CN"/>
              </w:rPr>
              <w:t xml:space="preserve">or eDRX cycles </w:t>
            </w:r>
            <w:r w:rsidRPr="00043DFE">
              <w:rPr>
                <w:szCs w:val="18"/>
                <w:vertAlign w:val="superscript"/>
                <w:lang w:eastAsia="zh-CN"/>
              </w:rPr>
              <w:t>Note 4</w:t>
            </w:r>
            <w:r w:rsidRPr="00043DFE">
              <w:rPr>
                <w:lang w:eastAsia="zh-CN"/>
              </w:rPr>
              <w:t>)</w:t>
            </w:r>
          </w:p>
        </w:tc>
      </w:tr>
      <w:tr w:rsidR="001B2180" w:rsidRPr="00043DFE" w14:paraId="1A40AC20" w14:textId="77777777" w:rsidTr="008B107E">
        <w:trPr>
          <w:trHeight w:val="336"/>
        </w:trPr>
        <w:tc>
          <w:tcPr>
            <w:tcW w:w="639" w:type="pct"/>
          </w:tcPr>
          <w:p w14:paraId="4EE461A9" w14:textId="77777777" w:rsidR="001B2180" w:rsidRPr="00043DFE" w:rsidRDefault="001B2180" w:rsidP="008B107E">
            <w:pPr>
              <w:pStyle w:val="TAC"/>
              <w:rPr>
                <w:lang w:val="en-US" w:eastAsia="zh-CN"/>
              </w:rPr>
            </w:pPr>
            <w:r w:rsidRPr="00043DFE">
              <w:rPr>
                <w:lang w:val="en-US" w:eastAsia="zh-CN"/>
              </w:rPr>
              <w:t>2.56</w:t>
            </w:r>
          </w:p>
        </w:tc>
        <w:tc>
          <w:tcPr>
            <w:tcW w:w="401" w:type="pct"/>
          </w:tcPr>
          <w:p w14:paraId="2A836C2F" w14:textId="77777777" w:rsidR="001B2180" w:rsidRPr="00043DFE" w:rsidRDefault="001B2180" w:rsidP="008B107E">
            <w:pPr>
              <w:pStyle w:val="TAC"/>
              <w:rPr>
                <w:lang w:val="en-US" w:eastAsia="zh-CN"/>
              </w:rPr>
            </w:pPr>
            <w:r w:rsidRPr="00043DFE">
              <w:rPr>
                <w:lang w:val="en-US" w:eastAsia="zh-CN"/>
              </w:rPr>
              <w:t>-</w:t>
            </w:r>
          </w:p>
        </w:tc>
        <w:tc>
          <w:tcPr>
            <w:tcW w:w="517" w:type="pct"/>
          </w:tcPr>
          <w:p w14:paraId="0EDA0E1C" w14:textId="77777777" w:rsidR="001B2180" w:rsidRPr="00043DFE" w:rsidRDefault="001B2180" w:rsidP="008B107E">
            <w:pPr>
              <w:pStyle w:val="TAC"/>
              <w:rPr>
                <w:lang w:val="en-US" w:eastAsia="zh-CN"/>
              </w:rPr>
            </w:pPr>
            <w:r w:rsidRPr="00043DFE">
              <w:rPr>
                <w:lang w:val="en-US" w:eastAsia="zh-CN"/>
              </w:rPr>
              <w:t>-</w:t>
            </w:r>
          </w:p>
        </w:tc>
        <w:tc>
          <w:tcPr>
            <w:tcW w:w="493" w:type="pct"/>
          </w:tcPr>
          <w:p w14:paraId="5E5C0324" w14:textId="77777777" w:rsidR="001B2180" w:rsidRPr="00043DFE" w:rsidRDefault="001B2180" w:rsidP="008B107E">
            <w:pPr>
              <w:pStyle w:val="TAC"/>
              <w:rPr>
                <w:lang w:eastAsia="zh-CN"/>
              </w:rPr>
            </w:pPr>
            <w:r w:rsidRPr="00043DFE">
              <w:rPr>
                <w:lang w:eastAsia="zh-CN"/>
              </w:rPr>
              <w:t>3</w:t>
            </w:r>
          </w:p>
        </w:tc>
        <w:tc>
          <w:tcPr>
            <w:tcW w:w="1283" w:type="pct"/>
          </w:tcPr>
          <w:p w14:paraId="0AF1540C" w14:textId="77777777" w:rsidR="001B2180" w:rsidRPr="00043DFE" w:rsidRDefault="001B2180" w:rsidP="008B107E">
            <w:pPr>
              <w:pStyle w:val="TAC"/>
              <w:rPr>
                <w:lang w:eastAsia="zh-CN"/>
              </w:rPr>
            </w:pPr>
            <w:r w:rsidRPr="00043DFE">
              <w:rPr>
                <w:lang w:eastAsia="zh-CN"/>
              </w:rPr>
              <w:t>58.88 x N1 (23 x N1)</w:t>
            </w:r>
          </w:p>
        </w:tc>
        <w:tc>
          <w:tcPr>
            <w:tcW w:w="809" w:type="pct"/>
          </w:tcPr>
          <w:p w14:paraId="67320D46" w14:textId="77777777" w:rsidR="001B2180" w:rsidRPr="00043DFE" w:rsidRDefault="001B2180" w:rsidP="008B107E">
            <w:pPr>
              <w:pStyle w:val="TAC"/>
              <w:rPr>
                <w:lang w:eastAsia="zh-CN"/>
              </w:rPr>
            </w:pPr>
            <w:r w:rsidRPr="00043DFE">
              <w:rPr>
                <w:lang w:eastAsia="zh-CN"/>
              </w:rPr>
              <w:t>2.56 x N1 (1 x N1)</w:t>
            </w:r>
          </w:p>
        </w:tc>
        <w:tc>
          <w:tcPr>
            <w:tcW w:w="858" w:type="pct"/>
          </w:tcPr>
          <w:p w14:paraId="06342A1F" w14:textId="77777777" w:rsidR="001B2180" w:rsidRPr="00043DFE" w:rsidRDefault="001B2180" w:rsidP="008B107E">
            <w:pPr>
              <w:pStyle w:val="TAC"/>
              <w:rPr>
                <w:lang w:eastAsia="zh-CN"/>
              </w:rPr>
            </w:pPr>
            <w:r w:rsidRPr="00043DFE">
              <w:rPr>
                <w:lang w:eastAsia="zh-CN"/>
              </w:rPr>
              <w:t>7.68 x N1 (3 x N1)</w:t>
            </w:r>
          </w:p>
        </w:tc>
      </w:tr>
      <w:tr w:rsidR="001B2180" w:rsidRPr="00043DFE" w14:paraId="12ADA22B" w14:textId="77777777" w:rsidTr="008B107E">
        <w:trPr>
          <w:trHeight w:val="336"/>
        </w:trPr>
        <w:tc>
          <w:tcPr>
            <w:tcW w:w="639" w:type="pct"/>
          </w:tcPr>
          <w:p w14:paraId="3E17F854" w14:textId="77777777" w:rsidR="001B2180" w:rsidRPr="00043DFE" w:rsidRDefault="001B2180" w:rsidP="008B107E">
            <w:pPr>
              <w:pStyle w:val="TAC"/>
              <w:rPr>
                <w:lang w:eastAsia="zh-CN"/>
              </w:rPr>
            </w:pPr>
            <w:r w:rsidRPr="00043DFE">
              <w:rPr>
                <w:lang w:eastAsia="zh-CN"/>
              </w:rPr>
              <w:t>5.12</w:t>
            </w:r>
          </w:p>
        </w:tc>
        <w:tc>
          <w:tcPr>
            <w:tcW w:w="401" w:type="pct"/>
          </w:tcPr>
          <w:p w14:paraId="389E8AE7" w14:textId="77777777" w:rsidR="001B2180" w:rsidRPr="00043DFE" w:rsidRDefault="001B2180" w:rsidP="008B107E">
            <w:pPr>
              <w:pStyle w:val="TAC"/>
              <w:rPr>
                <w:lang w:val="en-US" w:eastAsia="zh-CN"/>
              </w:rPr>
            </w:pPr>
            <w:r w:rsidRPr="00043DFE">
              <w:rPr>
                <w:lang w:val="en-US" w:eastAsia="zh-CN"/>
              </w:rPr>
              <w:t>-</w:t>
            </w:r>
          </w:p>
        </w:tc>
        <w:tc>
          <w:tcPr>
            <w:tcW w:w="517" w:type="pct"/>
          </w:tcPr>
          <w:p w14:paraId="35439856" w14:textId="77777777" w:rsidR="001B2180" w:rsidRPr="00043DFE" w:rsidRDefault="001B2180" w:rsidP="008B107E">
            <w:pPr>
              <w:pStyle w:val="TAC"/>
              <w:rPr>
                <w:lang w:eastAsia="zh-CN"/>
              </w:rPr>
            </w:pPr>
            <w:r w:rsidRPr="00043DFE">
              <w:rPr>
                <w:lang w:eastAsia="zh-CN"/>
              </w:rPr>
              <w:t>-</w:t>
            </w:r>
          </w:p>
        </w:tc>
        <w:tc>
          <w:tcPr>
            <w:tcW w:w="493" w:type="pct"/>
          </w:tcPr>
          <w:p w14:paraId="7D37DB9A" w14:textId="77777777" w:rsidR="001B2180" w:rsidRPr="00043DFE" w:rsidRDefault="001B2180" w:rsidP="008B107E">
            <w:pPr>
              <w:pStyle w:val="TAC"/>
              <w:rPr>
                <w:lang w:eastAsia="zh-CN"/>
              </w:rPr>
            </w:pPr>
            <w:r w:rsidRPr="00043DFE">
              <w:rPr>
                <w:lang w:eastAsia="zh-CN"/>
              </w:rPr>
              <w:t>3</w:t>
            </w:r>
          </w:p>
        </w:tc>
        <w:tc>
          <w:tcPr>
            <w:tcW w:w="1283" w:type="pct"/>
          </w:tcPr>
          <w:p w14:paraId="62F0A445" w14:textId="77777777" w:rsidR="001B2180" w:rsidRPr="00043DFE" w:rsidRDefault="001B2180" w:rsidP="008B107E">
            <w:pPr>
              <w:pStyle w:val="TAC"/>
              <w:rPr>
                <w:lang w:eastAsia="zh-CN"/>
              </w:rPr>
            </w:pPr>
            <w:r w:rsidRPr="00043DFE">
              <w:rPr>
                <w:lang w:eastAsia="zh-CN"/>
              </w:rPr>
              <w:t>117.76 x N1 (23 x N1)</w:t>
            </w:r>
          </w:p>
        </w:tc>
        <w:tc>
          <w:tcPr>
            <w:tcW w:w="809" w:type="pct"/>
          </w:tcPr>
          <w:p w14:paraId="44DAD8B0" w14:textId="77777777" w:rsidR="001B2180" w:rsidRPr="00043DFE" w:rsidRDefault="001B2180" w:rsidP="008B107E">
            <w:pPr>
              <w:pStyle w:val="TAC"/>
              <w:rPr>
                <w:lang w:eastAsia="zh-CN"/>
              </w:rPr>
            </w:pPr>
            <w:r w:rsidRPr="00043DFE">
              <w:rPr>
                <w:lang w:eastAsia="zh-CN"/>
              </w:rPr>
              <w:t>5.12 x N1 (1 x N1)</w:t>
            </w:r>
          </w:p>
        </w:tc>
        <w:tc>
          <w:tcPr>
            <w:tcW w:w="858" w:type="pct"/>
          </w:tcPr>
          <w:p w14:paraId="1AB7A7D0" w14:textId="77777777" w:rsidR="001B2180" w:rsidRPr="00043DFE" w:rsidRDefault="001B2180" w:rsidP="008B107E">
            <w:pPr>
              <w:pStyle w:val="TAC"/>
              <w:rPr>
                <w:lang w:eastAsia="zh-CN"/>
              </w:rPr>
            </w:pPr>
            <w:r w:rsidRPr="00043DFE">
              <w:rPr>
                <w:lang w:eastAsia="zh-CN"/>
              </w:rPr>
              <w:t>10.24 x N1 (2 x N1)</w:t>
            </w:r>
          </w:p>
        </w:tc>
      </w:tr>
      <w:tr w:rsidR="001B2180" w:rsidRPr="00043DFE" w14:paraId="667E3DDD" w14:textId="77777777" w:rsidTr="008B107E">
        <w:trPr>
          <w:trHeight w:val="336"/>
        </w:trPr>
        <w:tc>
          <w:tcPr>
            <w:tcW w:w="639" w:type="pct"/>
            <w:hideMark/>
          </w:tcPr>
          <w:p w14:paraId="2A3309AA" w14:textId="77777777" w:rsidR="001B2180" w:rsidRPr="00043DFE" w:rsidRDefault="001B2180" w:rsidP="008B107E">
            <w:pPr>
              <w:pStyle w:val="TAC"/>
              <w:rPr>
                <w:lang w:val="en-US" w:eastAsia="zh-CN"/>
              </w:rPr>
            </w:pPr>
            <w:r w:rsidRPr="00043DFE">
              <w:rPr>
                <w:lang w:eastAsia="zh-CN"/>
              </w:rPr>
              <w:t>10.24</w:t>
            </w:r>
          </w:p>
        </w:tc>
        <w:tc>
          <w:tcPr>
            <w:tcW w:w="401" w:type="pct"/>
            <w:hideMark/>
          </w:tcPr>
          <w:p w14:paraId="03068186" w14:textId="77777777" w:rsidR="001B2180" w:rsidRPr="00043DFE" w:rsidRDefault="001B2180" w:rsidP="008B107E">
            <w:pPr>
              <w:pStyle w:val="TAC"/>
              <w:rPr>
                <w:lang w:val="en-US" w:eastAsia="zh-CN"/>
              </w:rPr>
            </w:pPr>
            <w:r w:rsidRPr="00043DFE">
              <w:rPr>
                <w:lang w:val="en-US" w:eastAsia="zh-CN"/>
              </w:rPr>
              <w:t>-</w:t>
            </w:r>
          </w:p>
        </w:tc>
        <w:tc>
          <w:tcPr>
            <w:tcW w:w="517" w:type="pct"/>
            <w:hideMark/>
          </w:tcPr>
          <w:p w14:paraId="2BA39F16" w14:textId="77777777" w:rsidR="001B2180" w:rsidRPr="00043DFE" w:rsidRDefault="001B2180" w:rsidP="008B107E">
            <w:pPr>
              <w:pStyle w:val="TAC"/>
              <w:rPr>
                <w:lang w:val="en-US" w:eastAsia="zh-CN"/>
              </w:rPr>
            </w:pPr>
            <w:r w:rsidRPr="00043DFE">
              <w:rPr>
                <w:lang w:eastAsia="zh-CN"/>
              </w:rPr>
              <w:t>-</w:t>
            </w:r>
          </w:p>
        </w:tc>
        <w:tc>
          <w:tcPr>
            <w:tcW w:w="493" w:type="pct"/>
          </w:tcPr>
          <w:p w14:paraId="3F1AEBAE" w14:textId="77777777" w:rsidR="001B2180" w:rsidRPr="00043DFE" w:rsidRDefault="001B2180" w:rsidP="008B107E">
            <w:pPr>
              <w:pStyle w:val="TAC"/>
              <w:rPr>
                <w:lang w:eastAsia="zh-CN"/>
              </w:rPr>
            </w:pPr>
            <w:r w:rsidRPr="00043DFE">
              <w:rPr>
                <w:lang w:eastAsia="zh-CN"/>
              </w:rPr>
              <w:t>3</w:t>
            </w:r>
          </w:p>
        </w:tc>
        <w:tc>
          <w:tcPr>
            <w:tcW w:w="1283" w:type="pct"/>
            <w:hideMark/>
          </w:tcPr>
          <w:p w14:paraId="06D05725" w14:textId="77777777" w:rsidR="001B2180" w:rsidRPr="00043DFE" w:rsidRDefault="001B2180" w:rsidP="008B107E">
            <w:pPr>
              <w:pStyle w:val="TAC"/>
              <w:rPr>
                <w:lang w:val="en-US" w:eastAsia="zh-CN"/>
              </w:rPr>
            </w:pPr>
            <w:r w:rsidRPr="00043DFE">
              <w:rPr>
                <w:lang w:eastAsia="zh-CN"/>
              </w:rPr>
              <w:t>235.52 x N1 (23 x N1)</w:t>
            </w:r>
          </w:p>
        </w:tc>
        <w:tc>
          <w:tcPr>
            <w:tcW w:w="809" w:type="pct"/>
            <w:hideMark/>
          </w:tcPr>
          <w:p w14:paraId="01ABCD42" w14:textId="77777777" w:rsidR="001B2180" w:rsidRPr="00043DFE" w:rsidRDefault="001B2180" w:rsidP="008B107E">
            <w:pPr>
              <w:pStyle w:val="TAC"/>
              <w:rPr>
                <w:lang w:val="en-US" w:eastAsia="zh-CN"/>
              </w:rPr>
            </w:pPr>
            <w:r w:rsidRPr="00043DFE">
              <w:rPr>
                <w:lang w:eastAsia="zh-CN"/>
              </w:rPr>
              <w:t>10.24 x N1 (1 x N1)</w:t>
            </w:r>
          </w:p>
        </w:tc>
        <w:tc>
          <w:tcPr>
            <w:tcW w:w="858" w:type="pct"/>
            <w:hideMark/>
          </w:tcPr>
          <w:p w14:paraId="36EE13E6" w14:textId="77777777" w:rsidR="001B2180" w:rsidRPr="00043DFE" w:rsidRDefault="001B2180" w:rsidP="008B107E">
            <w:pPr>
              <w:pStyle w:val="TAC"/>
              <w:rPr>
                <w:lang w:val="en-US" w:eastAsia="zh-CN"/>
              </w:rPr>
            </w:pPr>
            <w:r w:rsidRPr="00043DFE">
              <w:rPr>
                <w:lang w:eastAsia="zh-CN"/>
              </w:rPr>
              <w:t>20.48 x N1 (2 x N1)</w:t>
            </w:r>
          </w:p>
        </w:tc>
      </w:tr>
      <w:tr w:rsidR="001B2180" w:rsidRPr="00043DFE" w14:paraId="4AFAE875" w14:textId="77777777" w:rsidTr="008B107E">
        <w:trPr>
          <w:trHeight w:val="673"/>
        </w:trPr>
        <w:tc>
          <w:tcPr>
            <w:tcW w:w="639" w:type="pct"/>
            <w:tcBorders>
              <w:bottom w:val="nil"/>
            </w:tcBorders>
            <w:hideMark/>
          </w:tcPr>
          <w:p w14:paraId="141839EE" w14:textId="77777777" w:rsidR="001B2180" w:rsidRPr="00043DFE" w:rsidRDefault="001B2180" w:rsidP="008B107E">
            <w:pPr>
              <w:pStyle w:val="TAC"/>
              <w:rPr>
                <w:lang w:val="en-US" w:eastAsia="zh-CN"/>
              </w:rPr>
            </w:pPr>
            <w:r w:rsidRPr="00043DFE">
              <w:rPr>
                <w:lang w:eastAsia="zh-CN"/>
              </w:rPr>
              <w:t>20.48 ≤</w:t>
            </w:r>
            <w:r w:rsidRPr="00043DFE">
              <w:t xml:space="preserve"> </w:t>
            </w:r>
            <w:r w:rsidRPr="00043DFE">
              <w:rPr>
                <w:lang w:eastAsia="zh-CN"/>
              </w:rPr>
              <w:t xml:space="preserve"> eDRX_IDLE</w:t>
            </w:r>
            <w:r w:rsidRPr="00043DFE">
              <w:rPr>
                <w:rFonts w:hint="eastAsia"/>
                <w:lang w:eastAsia="zh-CN"/>
              </w:rPr>
              <w:t xml:space="preserve"> cycle length ≤10485.</w:t>
            </w:r>
            <w:r w:rsidRPr="00043DFE">
              <w:rPr>
                <w:lang w:eastAsia="zh-CN"/>
              </w:rPr>
              <w:t>76</w:t>
            </w:r>
          </w:p>
        </w:tc>
        <w:tc>
          <w:tcPr>
            <w:tcW w:w="401" w:type="pct"/>
            <w:hideMark/>
          </w:tcPr>
          <w:p w14:paraId="00730F7F" w14:textId="77777777" w:rsidR="001B2180" w:rsidRPr="00043DFE" w:rsidRDefault="001B2180" w:rsidP="008B107E">
            <w:pPr>
              <w:pStyle w:val="TAC"/>
              <w:rPr>
                <w:lang w:val="en-US" w:eastAsia="zh-CN"/>
              </w:rPr>
            </w:pPr>
            <w:r w:rsidRPr="00043DFE">
              <w:rPr>
                <w:lang w:eastAsia="zh-CN"/>
              </w:rPr>
              <w:t>0.32</w:t>
            </w:r>
          </w:p>
        </w:tc>
        <w:tc>
          <w:tcPr>
            <w:tcW w:w="517" w:type="pct"/>
            <w:hideMark/>
          </w:tcPr>
          <w:p w14:paraId="592618CF" w14:textId="77777777" w:rsidR="001B2180" w:rsidRPr="00043DFE" w:rsidRDefault="001B2180" w:rsidP="008B107E">
            <w:pPr>
              <w:pStyle w:val="TAC"/>
              <w:rPr>
                <w:lang w:val="en-US" w:eastAsia="zh-CN"/>
              </w:rPr>
            </w:pPr>
            <w:r w:rsidRPr="00043DFE">
              <w:rPr>
                <w:lang w:eastAsia="zh-CN"/>
              </w:rPr>
              <w:t>≥5.12 (4)</w:t>
            </w:r>
          </w:p>
        </w:tc>
        <w:tc>
          <w:tcPr>
            <w:tcW w:w="493" w:type="pct"/>
          </w:tcPr>
          <w:p w14:paraId="25929458" w14:textId="77777777" w:rsidR="001B2180" w:rsidRPr="00043DFE" w:rsidRDefault="001B2180" w:rsidP="008B107E">
            <w:pPr>
              <w:pStyle w:val="TAC"/>
              <w:rPr>
                <w:lang w:val="en-US" w:eastAsia="zh-CN"/>
              </w:rPr>
            </w:pPr>
            <w:r w:rsidRPr="00043DFE">
              <w:rPr>
                <w:lang w:val="en-US" w:eastAsia="zh-CN"/>
              </w:rPr>
              <w:t>8</w:t>
            </w:r>
          </w:p>
        </w:tc>
        <w:tc>
          <w:tcPr>
            <w:tcW w:w="1283" w:type="pct"/>
            <w:tcBorders>
              <w:bottom w:val="nil"/>
            </w:tcBorders>
            <w:hideMark/>
          </w:tcPr>
          <w:p w14:paraId="0351BC6E" w14:textId="77777777" w:rsidR="001B2180" w:rsidRPr="00043DFE" w:rsidRDefault="001B2180" w:rsidP="008B107E">
            <w:pPr>
              <w:pStyle w:val="TAC"/>
              <w:rPr>
                <w:lang w:val="en-US" w:eastAsia="zh-CN"/>
              </w:rPr>
            </w:pPr>
            <m:oMathPara>
              <m:oMathParaPr>
                <m:jc m:val="centerGroup"/>
              </m:oMathParaPr>
              <m:oMath>
                <m:r>
                  <w:rPr>
                    <w:rFonts w:ascii="Cambria Math" w:hAnsi="Cambria Math"/>
                    <w:lang w:val="en-US" w:eastAsia="zh-CN"/>
                  </w:rPr>
                  <m:t>eDRX</m:t>
                </m:r>
                <m:r>
                  <m:rPr>
                    <m:sty m:val="p"/>
                  </m:rPr>
                  <w:rPr>
                    <w:rFonts w:ascii="Cambria Math" w:hAnsi="Cambria Math"/>
                    <w:lang w:val="en-US" w:eastAsia="zh-CN"/>
                  </w:rPr>
                  <m:t>_</m:t>
                </m:r>
                <m:r>
                  <w:rPr>
                    <w:rFonts w:ascii="Cambria Math" w:hAnsi="Cambria Math"/>
                    <w:lang w:val="en-US" w:eastAsia="zh-CN"/>
                  </w:rPr>
                  <m:t>cycl</m:t>
                </m:r>
                <m:r>
                  <m:rPr>
                    <m:sty m:val="p"/>
                  </m:rPr>
                  <w:rPr>
                    <w:rFonts w:ascii="Cambria Math" w:hAnsi="Cambria Math"/>
                    <w:lang w:val="en-US" w:eastAsia="zh-CN"/>
                  </w:rPr>
                  <m:t>e_</m:t>
                </m:r>
                <m:r>
                  <w:rPr>
                    <w:rFonts w:ascii="Cambria Math" w:hAnsi="Cambria Math"/>
                    <w:lang w:val="en-US" w:eastAsia="zh-CN"/>
                  </w:rPr>
                  <m:t>length×</m:t>
                </m:r>
                <m:d>
                  <m:dPr>
                    <m:begChr m:val="⌈"/>
                    <m:endChr m:val="⌉"/>
                    <m:ctrlPr>
                      <w:rPr>
                        <w:rFonts w:ascii="Cambria Math" w:hAnsi="Cambria Math"/>
                        <w:i/>
                        <w:lang w:val="en-US" w:eastAsia="zh-CN"/>
                      </w:rPr>
                    </m:ctrlPr>
                  </m:dPr>
                  <m:e>
                    <m:f>
                      <m:fPr>
                        <m:ctrlPr>
                          <w:rPr>
                            <w:rFonts w:ascii="Cambria Math" w:hAnsi="Cambria Math"/>
                            <w:i/>
                            <w:lang w:val="en-US" w:eastAsia="zh-CN"/>
                          </w:rPr>
                        </m:ctrlPr>
                      </m:fPr>
                      <m:num>
                        <m:r>
                          <w:rPr>
                            <w:rFonts w:ascii="Cambria Math" w:hAnsi="Cambria Math"/>
                            <w:lang w:val="en-US" w:eastAsia="zh-CN"/>
                          </w:rPr>
                          <m:t>23×N1</m:t>
                        </m:r>
                      </m:num>
                      <m:den>
                        <m:r>
                          <w:rPr>
                            <w:rFonts w:ascii="Cambria Math" w:hAnsi="Cambria Math"/>
                            <w:lang w:val="en-US" w:eastAsia="zh-CN"/>
                          </w:rPr>
                          <m:t>PTW/DRX_cycle_length</m:t>
                        </m:r>
                      </m:den>
                    </m:f>
                  </m:e>
                </m:d>
              </m:oMath>
            </m:oMathPara>
          </w:p>
          <w:p w14:paraId="71B66DDF" w14:textId="77777777" w:rsidR="001B2180" w:rsidRPr="00043DFE" w:rsidRDefault="001B2180" w:rsidP="008B107E">
            <w:pPr>
              <w:pStyle w:val="TAC"/>
              <w:rPr>
                <w:lang w:val="en-US" w:eastAsia="zh-CN"/>
              </w:rPr>
            </w:pPr>
            <w:r w:rsidRPr="00043DFE">
              <w:rPr>
                <w:lang w:val="en-US" w:eastAsia="zh-CN"/>
              </w:rPr>
              <w:t>(23</w:t>
            </w:r>
            <w:r w:rsidRPr="00043DFE">
              <w:rPr>
                <w:lang w:eastAsia="zh-CN"/>
              </w:rPr>
              <w:t xml:space="preserve"> x N1</w:t>
            </w:r>
            <w:r w:rsidRPr="00043DFE">
              <w:rPr>
                <w:lang w:val="en-US" w:eastAsia="zh-CN"/>
              </w:rPr>
              <w:t>)</w:t>
            </w:r>
          </w:p>
        </w:tc>
        <w:tc>
          <w:tcPr>
            <w:tcW w:w="809" w:type="pct"/>
            <w:hideMark/>
          </w:tcPr>
          <w:p w14:paraId="7EA200C4" w14:textId="77777777" w:rsidR="001B2180" w:rsidRPr="00043DFE" w:rsidRDefault="001B2180" w:rsidP="008B107E">
            <w:pPr>
              <w:pStyle w:val="TAC"/>
              <w:rPr>
                <w:lang w:val="en-US" w:eastAsia="zh-CN"/>
              </w:rPr>
            </w:pPr>
            <w:r w:rsidRPr="00043DFE">
              <w:rPr>
                <w:lang w:eastAsia="zh-CN"/>
              </w:rPr>
              <w:t>0.32 x N1 (1 x N1)</w:t>
            </w:r>
          </w:p>
        </w:tc>
        <w:tc>
          <w:tcPr>
            <w:tcW w:w="858" w:type="pct"/>
            <w:hideMark/>
          </w:tcPr>
          <w:p w14:paraId="2804609B" w14:textId="77777777" w:rsidR="001B2180" w:rsidRPr="00043DFE" w:rsidRDefault="001B2180" w:rsidP="008B107E">
            <w:pPr>
              <w:pStyle w:val="TAC"/>
              <w:rPr>
                <w:lang w:val="en-US" w:eastAsia="zh-CN"/>
              </w:rPr>
            </w:pPr>
            <w:r w:rsidRPr="00043DFE">
              <w:rPr>
                <w:lang w:eastAsia="zh-CN"/>
              </w:rPr>
              <w:t>0.64 x N1 (2 x N1)</w:t>
            </w:r>
          </w:p>
        </w:tc>
      </w:tr>
      <w:tr w:rsidR="001B2180" w:rsidRPr="00043DFE" w14:paraId="53052BA4" w14:textId="77777777" w:rsidTr="008B107E">
        <w:trPr>
          <w:trHeight w:val="336"/>
        </w:trPr>
        <w:tc>
          <w:tcPr>
            <w:tcW w:w="639" w:type="pct"/>
            <w:tcBorders>
              <w:top w:val="nil"/>
              <w:bottom w:val="nil"/>
            </w:tcBorders>
            <w:hideMark/>
          </w:tcPr>
          <w:p w14:paraId="16B4BBA7" w14:textId="77777777" w:rsidR="001B2180" w:rsidRPr="00043DFE" w:rsidRDefault="001B2180" w:rsidP="008B107E">
            <w:pPr>
              <w:pStyle w:val="TAC"/>
              <w:rPr>
                <w:lang w:val="en-US" w:eastAsia="zh-CN"/>
              </w:rPr>
            </w:pPr>
          </w:p>
        </w:tc>
        <w:tc>
          <w:tcPr>
            <w:tcW w:w="401" w:type="pct"/>
            <w:hideMark/>
          </w:tcPr>
          <w:p w14:paraId="2E8FC5C5" w14:textId="77777777" w:rsidR="001B2180" w:rsidRPr="00043DFE" w:rsidRDefault="001B2180" w:rsidP="008B107E">
            <w:pPr>
              <w:pStyle w:val="TAC"/>
              <w:rPr>
                <w:lang w:val="en-US" w:eastAsia="zh-CN"/>
              </w:rPr>
            </w:pPr>
            <w:r w:rsidRPr="00043DFE">
              <w:rPr>
                <w:lang w:eastAsia="zh-CN"/>
              </w:rPr>
              <w:t>0.64</w:t>
            </w:r>
          </w:p>
        </w:tc>
        <w:tc>
          <w:tcPr>
            <w:tcW w:w="517" w:type="pct"/>
            <w:hideMark/>
          </w:tcPr>
          <w:p w14:paraId="5CA2D0B6" w14:textId="77777777" w:rsidR="001B2180" w:rsidRPr="00043DFE" w:rsidRDefault="001B2180" w:rsidP="008B107E">
            <w:pPr>
              <w:pStyle w:val="TAC"/>
              <w:rPr>
                <w:lang w:val="en-US" w:eastAsia="zh-CN"/>
              </w:rPr>
            </w:pPr>
            <w:r w:rsidRPr="00043DFE">
              <w:rPr>
                <w:lang w:eastAsia="zh-CN"/>
              </w:rPr>
              <w:t>≥6.4 (5)</w:t>
            </w:r>
          </w:p>
        </w:tc>
        <w:tc>
          <w:tcPr>
            <w:tcW w:w="493" w:type="pct"/>
          </w:tcPr>
          <w:p w14:paraId="6D2DAE28" w14:textId="77777777" w:rsidR="001B2180" w:rsidRPr="00043DFE" w:rsidRDefault="001B2180" w:rsidP="008B107E">
            <w:pPr>
              <w:pStyle w:val="TAC"/>
              <w:rPr>
                <w:lang w:val="en-US" w:eastAsia="zh-CN"/>
              </w:rPr>
            </w:pPr>
            <w:r w:rsidRPr="00043DFE">
              <w:rPr>
                <w:lang w:val="en-US" w:eastAsia="zh-CN"/>
              </w:rPr>
              <w:t>5</w:t>
            </w:r>
          </w:p>
        </w:tc>
        <w:tc>
          <w:tcPr>
            <w:tcW w:w="1283" w:type="pct"/>
            <w:tcBorders>
              <w:top w:val="nil"/>
              <w:bottom w:val="nil"/>
            </w:tcBorders>
            <w:hideMark/>
          </w:tcPr>
          <w:p w14:paraId="0C7F1EC8" w14:textId="77777777" w:rsidR="001B2180" w:rsidRPr="00043DFE" w:rsidRDefault="001B2180" w:rsidP="008B107E">
            <w:pPr>
              <w:pStyle w:val="TAC"/>
              <w:rPr>
                <w:lang w:val="en-US" w:eastAsia="zh-CN"/>
              </w:rPr>
            </w:pPr>
          </w:p>
        </w:tc>
        <w:tc>
          <w:tcPr>
            <w:tcW w:w="809" w:type="pct"/>
            <w:hideMark/>
          </w:tcPr>
          <w:p w14:paraId="03CCA804" w14:textId="77777777" w:rsidR="001B2180" w:rsidRPr="00043DFE" w:rsidRDefault="001B2180" w:rsidP="008B107E">
            <w:pPr>
              <w:pStyle w:val="TAC"/>
              <w:rPr>
                <w:lang w:val="en-US" w:eastAsia="zh-CN"/>
              </w:rPr>
            </w:pPr>
            <w:r w:rsidRPr="00043DFE">
              <w:rPr>
                <w:lang w:eastAsia="zh-CN"/>
              </w:rPr>
              <w:t>0.64 x N1 (1 x N1)</w:t>
            </w:r>
          </w:p>
        </w:tc>
        <w:tc>
          <w:tcPr>
            <w:tcW w:w="858" w:type="pct"/>
            <w:hideMark/>
          </w:tcPr>
          <w:p w14:paraId="5D564E42" w14:textId="77777777" w:rsidR="001B2180" w:rsidRPr="00043DFE" w:rsidRDefault="001B2180" w:rsidP="008B107E">
            <w:pPr>
              <w:pStyle w:val="TAC"/>
              <w:rPr>
                <w:lang w:val="en-US" w:eastAsia="zh-CN"/>
              </w:rPr>
            </w:pPr>
            <w:r w:rsidRPr="00043DFE">
              <w:rPr>
                <w:lang w:eastAsia="zh-CN"/>
              </w:rPr>
              <w:t>1.28 x N1 (2 x N1)</w:t>
            </w:r>
          </w:p>
        </w:tc>
      </w:tr>
      <w:tr w:rsidR="001B2180" w:rsidRPr="00043DFE" w14:paraId="6305E672" w14:textId="77777777" w:rsidTr="008B107E">
        <w:trPr>
          <w:trHeight w:val="336"/>
        </w:trPr>
        <w:tc>
          <w:tcPr>
            <w:tcW w:w="639" w:type="pct"/>
            <w:tcBorders>
              <w:top w:val="nil"/>
              <w:bottom w:val="nil"/>
            </w:tcBorders>
            <w:hideMark/>
          </w:tcPr>
          <w:p w14:paraId="0868217A" w14:textId="77777777" w:rsidR="001B2180" w:rsidRPr="00043DFE" w:rsidRDefault="001B2180" w:rsidP="008B107E">
            <w:pPr>
              <w:pStyle w:val="TAC"/>
              <w:rPr>
                <w:lang w:val="en-US" w:eastAsia="zh-CN"/>
              </w:rPr>
            </w:pPr>
          </w:p>
        </w:tc>
        <w:tc>
          <w:tcPr>
            <w:tcW w:w="401" w:type="pct"/>
            <w:hideMark/>
          </w:tcPr>
          <w:p w14:paraId="1DD8F234" w14:textId="77777777" w:rsidR="001B2180" w:rsidRPr="00043DFE" w:rsidRDefault="001B2180" w:rsidP="008B107E">
            <w:pPr>
              <w:pStyle w:val="TAC"/>
              <w:rPr>
                <w:lang w:val="en-US" w:eastAsia="zh-CN"/>
              </w:rPr>
            </w:pPr>
            <w:r w:rsidRPr="00043DFE">
              <w:rPr>
                <w:lang w:eastAsia="zh-CN"/>
              </w:rPr>
              <w:t>1.28</w:t>
            </w:r>
          </w:p>
        </w:tc>
        <w:tc>
          <w:tcPr>
            <w:tcW w:w="517" w:type="pct"/>
            <w:hideMark/>
          </w:tcPr>
          <w:p w14:paraId="26D0872A" w14:textId="77777777" w:rsidR="001B2180" w:rsidRPr="00043DFE" w:rsidRDefault="001B2180" w:rsidP="008B107E">
            <w:pPr>
              <w:pStyle w:val="TAC"/>
              <w:rPr>
                <w:lang w:val="en-US" w:eastAsia="zh-CN"/>
              </w:rPr>
            </w:pPr>
            <w:r w:rsidRPr="00043DFE">
              <w:rPr>
                <w:lang w:eastAsia="zh-CN"/>
              </w:rPr>
              <w:t>≥10.24 (8)</w:t>
            </w:r>
          </w:p>
        </w:tc>
        <w:tc>
          <w:tcPr>
            <w:tcW w:w="493" w:type="pct"/>
          </w:tcPr>
          <w:p w14:paraId="28DE1AAB" w14:textId="77777777" w:rsidR="001B2180" w:rsidRPr="00043DFE" w:rsidRDefault="001B2180" w:rsidP="008B107E">
            <w:pPr>
              <w:pStyle w:val="TAC"/>
              <w:rPr>
                <w:lang w:val="en-US" w:eastAsia="zh-CN"/>
              </w:rPr>
            </w:pPr>
            <w:r w:rsidRPr="00043DFE">
              <w:rPr>
                <w:lang w:val="en-US" w:eastAsia="zh-CN"/>
              </w:rPr>
              <w:t>4</w:t>
            </w:r>
          </w:p>
        </w:tc>
        <w:tc>
          <w:tcPr>
            <w:tcW w:w="1283" w:type="pct"/>
            <w:tcBorders>
              <w:top w:val="nil"/>
              <w:bottom w:val="nil"/>
            </w:tcBorders>
            <w:hideMark/>
          </w:tcPr>
          <w:p w14:paraId="6BB1E5BD" w14:textId="77777777" w:rsidR="001B2180" w:rsidRPr="00043DFE" w:rsidRDefault="001B2180" w:rsidP="008B107E">
            <w:pPr>
              <w:pStyle w:val="TAC"/>
              <w:rPr>
                <w:lang w:val="en-US" w:eastAsia="zh-CN"/>
              </w:rPr>
            </w:pPr>
          </w:p>
        </w:tc>
        <w:tc>
          <w:tcPr>
            <w:tcW w:w="809" w:type="pct"/>
            <w:hideMark/>
          </w:tcPr>
          <w:p w14:paraId="22C778C6" w14:textId="77777777" w:rsidR="001B2180" w:rsidRPr="00043DFE" w:rsidRDefault="001B2180" w:rsidP="008B107E">
            <w:pPr>
              <w:pStyle w:val="TAC"/>
              <w:rPr>
                <w:lang w:val="en-US" w:eastAsia="zh-CN"/>
              </w:rPr>
            </w:pPr>
            <w:r w:rsidRPr="00043DFE">
              <w:rPr>
                <w:lang w:eastAsia="zh-CN"/>
              </w:rPr>
              <w:t>1.28 x N1 (1 x N1)</w:t>
            </w:r>
          </w:p>
        </w:tc>
        <w:tc>
          <w:tcPr>
            <w:tcW w:w="858" w:type="pct"/>
            <w:hideMark/>
          </w:tcPr>
          <w:p w14:paraId="59711A2C" w14:textId="77777777" w:rsidR="001B2180" w:rsidRPr="00043DFE" w:rsidRDefault="001B2180" w:rsidP="008B107E">
            <w:pPr>
              <w:pStyle w:val="TAC"/>
              <w:rPr>
                <w:lang w:val="en-US" w:eastAsia="zh-CN"/>
              </w:rPr>
            </w:pPr>
            <w:r w:rsidRPr="00043DFE">
              <w:rPr>
                <w:lang w:eastAsia="zh-CN"/>
              </w:rPr>
              <w:t>2.56 x N1 (2 x N1)</w:t>
            </w:r>
          </w:p>
        </w:tc>
      </w:tr>
      <w:tr w:rsidR="001B2180" w:rsidRPr="00043DFE" w14:paraId="49A01F87" w14:textId="77777777" w:rsidTr="008B107E">
        <w:trPr>
          <w:trHeight w:val="336"/>
        </w:trPr>
        <w:tc>
          <w:tcPr>
            <w:tcW w:w="639" w:type="pct"/>
            <w:tcBorders>
              <w:top w:val="nil"/>
            </w:tcBorders>
            <w:hideMark/>
          </w:tcPr>
          <w:p w14:paraId="746682CB" w14:textId="77777777" w:rsidR="001B2180" w:rsidRPr="00043DFE" w:rsidRDefault="001B2180" w:rsidP="008B107E">
            <w:pPr>
              <w:pStyle w:val="TAC"/>
              <w:rPr>
                <w:lang w:val="en-US" w:eastAsia="zh-CN"/>
              </w:rPr>
            </w:pPr>
          </w:p>
        </w:tc>
        <w:tc>
          <w:tcPr>
            <w:tcW w:w="401" w:type="pct"/>
            <w:hideMark/>
          </w:tcPr>
          <w:p w14:paraId="1BB4AEB8" w14:textId="77777777" w:rsidR="001B2180" w:rsidRPr="00043DFE" w:rsidRDefault="001B2180" w:rsidP="008B107E">
            <w:pPr>
              <w:pStyle w:val="TAC"/>
              <w:rPr>
                <w:lang w:val="en-US" w:eastAsia="zh-CN"/>
              </w:rPr>
            </w:pPr>
            <w:r w:rsidRPr="00043DFE">
              <w:rPr>
                <w:lang w:eastAsia="zh-CN"/>
              </w:rPr>
              <w:t>2.56</w:t>
            </w:r>
          </w:p>
        </w:tc>
        <w:tc>
          <w:tcPr>
            <w:tcW w:w="517" w:type="pct"/>
            <w:hideMark/>
          </w:tcPr>
          <w:p w14:paraId="7D9F7DD1" w14:textId="77777777" w:rsidR="001B2180" w:rsidRPr="00043DFE" w:rsidRDefault="001B2180" w:rsidP="008B107E">
            <w:pPr>
              <w:pStyle w:val="TAC"/>
              <w:rPr>
                <w:lang w:val="en-US" w:eastAsia="zh-CN"/>
              </w:rPr>
            </w:pPr>
            <w:r w:rsidRPr="00043DFE">
              <w:rPr>
                <w:lang w:eastAsia="zh-CN"/>
              </w:rPr>
              <w:t>≥15.36 (12)</w:t>
            </w:r>
          </w:p>
        </w:tc>
        <w:tc>
          <w:tcPr>
            <w:tcW w:w="493" w:type="pct"/>
          </w:tcPr>
          <w:p w14:paraId="6AAAA4DF" w14:textId="77777777" w:rsidR="001B2180" w:rsidRPr="00043DFE" w:rsidRDefault="001B2180" w:rsidP="008B107E">
            <w:pPr>
              <w:pStyle w:val="TAC"/>
              <w:rPr>
                <w:lang w:val="en-US" w:eastAsia="zh-CN"/>
              </w:rPr>
            </w:pPr>
            <w:r w:rsidRPr="00043DFE">
              <w:rPr>
                <w:lang w:val="en-US" w:eastAsia="zh-CN"/>
              </w:rPr>
              <w:t>3</w:t>
            </w:r>
          </w:p>
        </w:tc>
        <w:tc>
          <w:tcPr>
            <w:tcW w:w="1283" w:type="pct"/>
            <w:tcBorders>
              <w:top w:val="nil"/>
            </w:tcBorders>
            <w:hideMark/>
          </w:tcPr>
          <w:p w14:paraId="2F83F939" w14:textId="77777777" w:rsidR="001B2180" w:rsidRPr="00043DFE" w:rsidRDefault="001B2180" w:rsidP="008B107E">
            <w:pPr>
              <w:pStyle w:val="TAC"/>
              <w:rPr>
                <w:lang w:val="en-US" w:eastAsia="zh-CN"/>
              </w:rPr>
            </w:pPr>
          </w:p>
        </w:tc>
        <w:tc>
          <w:tcPr>
            <w:tcW w:w="809" w:type="pct"/>
            <w:hideMark/>
          </w:tcPr>
          <w:p w14:paraId="74FCBCFF" w14:textId="77777777" w:rsidR="001B2180" w:rsidRPr="00043DFE" w:rsidRDefault="001B2180" w:rsidP="008B107E">
            <w:pPr>
              <w:pStyle w:val="TAC"/>
              <w:rPr>
                <w:lang w:val="en-US" w:eastAsia="zh-CN"/>
              </w:rPr>
            </w:pPr>
            <w:r w:rsidRPr="00043DFE">
              <w:rPr>
                <w:lang w:eastAsia="zh-CN"/>
              </w:rPr>
              <w:t>2.56 x N1 (1 x N1)</w:t>
            </w:r>
          </w:p>
        </w:tc>
        <w:tc>
          <w:tcPr>
            <w:tcW w:w="858" w:type="pct"/>
            <w:hideMark/>
          </w:tcPr>
          <w:p w14:paraId="1EEB72CF" w14:textId="77777777" w:rsidR="001B2180" w:rsidRPr="00043DFE" w:rsidRDefault="001B2180" w:rsidP="008B107E">
            <w:pPr>
              <w:pStyle w:val="TAC"/>
              <w:rPr>
                <w:lang w:val="en-US" w:eastAsia="zh-CN"/>
              </w:rPr>
            </w:pPr>
            <w:r w:rsidRPr="00043DFE">
              <w:rPr>
                <w:lang w:eastAsia="zh-CN"/>
              </w:rPr>
              <w:t>5.12 x N1 (2 x N1)</w:t>
            </w:r>
          </w:p>
        </w:tc>
      </w:tr>
      <w:tr w:rsidR="001B2180" w:rsidRPr="00043DFE" w14:paraId="09B409D5" w14:textId="77777777" w:rsidTr="008B107E">
        <w:trPr>
          <w:trHeight w:val="336"/>
        </w:trPr>
        <w:tc>
          <w:tcPr>
            <w:tcW w:w="5000" w:type="pct"/>
            <w:gridSpan w:val="7"/>
          </w:tcPr>
          <w:p w14:paraId="1EE65DF4" w14:textId="77777777" w:rsidR="001B2180" w:rsidRPr="00043DFE" w:rsidRDefault="001B2180" w:rsidP="008B107E">
            <w:pPr>
              <w:pStyle w:val="TAN"/>
            </w:pPr>
            <w:r w:rsidRPr="00043DFE">
              <w:rPr>
                <w:snapToGrid w:val="0"/>
                <w:lang w:eastAsia="zh-CN"/>
              </w:rPr>
              <w:t>NOTE 1</w:t>
            </w:r>
            <w:r w:rsidRPr="00043DFE">
              <w:t xml:space="preserve">: </w:t>
            </w:r>
            <w:r w:rsidRPr="00043DFE">
              <w:rPr>
                <w:lang w:eastAsia="zh-CN"/>
              </w:rPr>
              <w:t>Applies for UE supporting FR</w:t>
            </w:r>
            <w:r>
              <w:rPr>
                <w:lang w:eastAsia="zh-CN"/>
              </w:rPr>
              <w:t>2</w:t>
            </w:r>
            <w:r w:rsidRPr="00043DFE">
              <w:rPr>
                <w:lang w:eastAsia="zh-CN"/>
              </w:rPr>
              <w:t>-1 power class 2&amp;3&amp;4. For UE supporting FR2-1 power class 1 or 5, N1 = 8 for all DRX cycle length</w:t>
            </w:r>
            <w:r w:rsidRPr="00043DFE">
              <w:t>.</w:t>
            </w:r>
          </w:p>
          <w:p w14:paraId="06AF204D" w14:textId="77777777" w:rsidR="001B2180" w:rsidRPr="00043DFE" w:rsidRDefault="001B2180" w:rsidP="008B107E">
            <w:pPr>
              <w:pStyle w:val="TAN"/>
              <w:rPr>
                <w:snapToGrid w:val="0"/>
                <w:lang w:eastAsia="zh-CN"/>
              </w:rPr>
            </w:pPr>
            <w:r w:rsidRPr="00043DFE">
              <w:rPr>
                <w:snapToGrid w:val="0"/>
                <w:lang w:eastAsia="zh-CN"/>
              </w:rPr>
              <w:t>NOTE 2: The number of DRX cycles in this table is given for the DRX cycles within PTWs.</w:t>
            </w:r>
          </w:p>
          <w:p w14:paraId="0776E877" w14:textId="77777777" w:rsidR="001B2180" w:rsidRPr="00043DFE" w:rsidRDefault="001B2180" w:rsidP="008B107E">
            <w:pPr>
              <w:pStyle w:val="TAN"/>
              <w:rPr>
                <w:snapToGrid w:val="0"/>
                <w:lang w:eastAsia="zh-CN"/>
              </w:rPr>
            </w:pPr>
            <w:r w:rsidRPr="00043DFE">
              <w:rPr>
                <w:snapToGrid w:val="0"/>
                <w:lang w:eastAsia="zh-CN"/>
              </w:rPr>
              <w:t>NOTE 3: The eDRX_IDLE cycle lengths are as specified in Section 10.5.5.32 of TS 24.008 [34].</w:t>
            </w:r>
          </w:p>
          <w:p w14:paraId="77C0E36F" w14:textId="77777777" w:rsidR="001B2180" w:rsidRPr="00043DFE" w:rsidRDefault="001B2180" w:rsidP="008B107E">
            <w:pPr>
              <w:pStyle w:val="TAN"/>
              <w:rPr>
                <w:snapToGrid w:val="0"/>
                <w:lang w:eastAsia="zh-CN"/>
              </w:rPr>
            </w:pPr>
            <w:r w:rsidRPr="00043DFE">
              <w:rPr>
                <w:snapToGrid w:val="0"/>
                <w:lang w:eastAsia="zh-CN"/>
              </w:rPr>
              <w:t>NOTE 4: Number of eDRX cycles when eDRX_IDLE cycle length equals 2.56s, 5.12s</w:t>
            </w:r>
            <w:r w:rsidRPr="00043DFE">
              <w:rPr>
                <w:rFonts w:hint="eastAsia"/>
                <w:snapToGrid w:val="0"/>
                <w:lang w:eastAsia="zh-CN"/>
              </w:rPr>
              <w:t xml:space="preserve"> </w:t>
            </w:r>
            <w:r w:rsidRPr="00043DFE">
              <w:rPr>
                <w:snapToGrid w:val="0"/>
                <w:lang w:eastAsia="zh-CN"/>
              </w:rPr>
              <w:t>and 10.24s. Otherwise, number of DRX cycles.</w:t>
            </w:r>
          </w:p>
          <w:p w14:paraId="3DE22118" w14:textId="77777777" w:rsidR="001B2180" w:rsidRPr="00043DFE" w:rsidRDefault="001B2180" w:rsidP="008B107E">
            <w:pPr>
              <w:pStyle w:val="TAN"/>
              <w:rPr>
                <w:rFonts w:cs="Arial"/>
                <w:iCs/>
              </w:rPr>
            </w:pPr>
            <w:r w:rsidRPr="00043DFE">
              <w:rPr>
                <w:snapToGrid w:val="0"/>
                <w:lang w:eastAsia="zh-CN"/>
              </w:rPr>
              <w:t xml:space="preserve">NOTE </w:t>
            </w:r>
            <w:r w:rsidRPr="00043DFE">
              <w:rPr>
                <w:rFonts w:cs="Arial"/>
              </w:rPr>
              <w:t>5:</w:t>
            </w:r>
            <w:r w:rsidRPr="00043DFE">
              <w:rPr>
                <w:lang w:val="en-US"/>
              </w:rPr>
              <w:t xml:space="preserve"> </w:t>
            </w:r>
            <w:r w:rsidRPr="00043DFE">
              <w:rPr>
                <w:rFonts w:cs="Arial"/>
              </w:rPr>
              <w:t xml:space="preserve">The lower bound of </w:t>
            </w:r>
            <w:r w:rsidRPr="00043DFE">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sidRPr="00043DFE">
              <w:rPr>
                <w:rFonts w:cs="Arial"/>
                <w:iCs/>
              </w:rPr>
              <w:t>.</w:t>
            </w:r>
          </w:p>
          <w:p w14:paraId="271C74A8" w14:textId="77777777" w:rsidR="001B2180" w:rsidRPr="00043DFE" w:rsidRDefault="001B2180" w:rsidP="008B107E">
            <w:pPr>
              <w:pStyle w:val="TAN"/>
              <w:rPr>
                <w:rFonts w:cs="Arial"/>
                <w:lang w:eastAsia="zh-CN"/>
              </w:rPr>
            </w:pPr>
            <w:r w:rsidRPr="00043DFE">
              <w:rPr>
                <w:rFonts w:cs="Arial"/>
                <w:iCs/>
              </w:rPr>
              <w:t>NOTE 6: When eDRX=20.48s and DRX=0.32s, UE is allowed to perform cell evaluation within PTW in every 2 eDRX cycles.</w:t>
            </w:r>
          </w:p>
        </w:tc>
      </w:tr>
    </w:tbl>
    <w:p w14:paraId="5AE9D7B7" w14:textId="77777777" w:rsidR="001B2180" w:rsidRPr="00043DFE" w:rsidRDefault="001B2180" w:rsidP="001B2180">
      <w:pPr>
        <w:rPr>
          <w:lang w:val="en-US" w:eastAsia="zh-CN"/>
        </w:rPr>
      </w:pPr>
    </w:p>
    <w:p w14:paraId="58056F2E" w14:textId="77777777" w:rsidR="001B2180" w:rsidRPr="00D60521" w:rsidRDefault="001B2180" w:rsidP="00D60521">
      <w:pPr>
        <w:overflowPunct/>
        <w:autoSpaceDE/>
        <w:autoSpaceDN/>
        <w:adjustRightInd/>
        <w:textAlignment w:val="auto"/>
        <w:rPr>
          <w:rFonts w:eastAsiaTheme="minorEastAsia"/>
          <w:lang w:eastAsia="en-US"/>
        </w:rPr>
      </w:pPr>
      <w:r w:rsidRPr="00043DFE">
        <w:t>For any requirement in this section, when the UE transitions between any two states when being configured with eDRX_IDLE, being configured with eDRX_IDLE cycle, changing eDRX_IDLE cycle length, or changing PTW configuration, the UE shall meet the transition requirement, which is the less stringent requirement of the two requirements corresponding to the first state and the second state, during the transition time interval which is the time corresponding to the transition requirement. After the transition time interval, the UE shall meet the requirement corresponding to the second state.</w:t>
      </w:r>
    </w:p>
    <w:p w14:paraId="4E7E04A5" w14:textId="77777777" w:rsidR="001B2180" w:rsidRDefault="001B2180" w:rsidP="0018012F"/>
    <w:p w14:paraId="3E8E25B1" w14:textId="77777777" w:rsidR="00E738E0" w:rsidRPr="009C5807" w:rsidRDefault="00E738E0" w:rsidP="00967CF8">
      <w:pPr>
        <w:pStyle w:val="Heading4"/>
        <w:rPr>
          <w:lang w:val="en-US" w:eastAsia="zh-CN"/>
        </w:rPr>
      </w:pPr>
      <w:r w:rsidRPr="009C5807">
        <w:rPr>
          <w:lang w:val="en-US" w:eastAsia="zh-CN"/>
        </w:rPr>
        <w:t>4.2.2.4</w:t>
      </w:r>
      <w:r w:rsidRPr="009C5807">
        <w:rPr>
          <w:lang w:val="en-US" w:eastAsia="zh-CN"/>
        </w:rPr>
        <w:tab/>
        <w:t>Measurements of inter-frequency NR cells</w:t>
      </w:r>
    </w:p>
    <w:p w14:paraId="47534B04" w14:textId="77777777" w:rsidR="008D4FE8" w:rsidRPr="009C5807" w:rsidRDefault="008D4FE8" w:rsidP="008D4FE8">
      <w:bookmarkStart w:id="38" w:name="_Toc5952539"/>
      <w:r w:rsidRPr="009C5807">
        <w:t>The UE shall be able to identify new inter-frequency cells and perform SS-RSRP or SS-RSRQ measurements of identified inter-frequency cells if carrier frequency information is provided by the serving cell, even if no explicit neighbour list with physical layer cell identities is provided.</w:t>
      </w:r>
    </w:p>
    <w:p w14:paraId="4AC2FD7A" w14:textId="77777777" w:rsidR="008D4FE8" w:rsidRDefault="008D4FE8" w:rsidP="008D4FE8">
      <w:r w:rsidRPr="009C5807">
        <w:t>If Srxlev &gt; S</w:t>
      </w:r>
      <w:r w:rsidRPr="009C5807">
        <w:rPr>
          <w:vertAlign w:val="subscript"/>
        </w:rPr>
        <w:t>nonIntraSearchP</w:t>
      </w:r>
      <w:r w:rsidRPr="009C5807">
        <w:t xml:space="preserve"> and Squal &gt; S</w:t>
      </w:r>
      <w:r w:rsidRPr="009C5807">
        <w:rPr>
          <w:vertAlign w:val="subscript"/>
        </w:rPr>
        <w:t>nonIntraSearchQ</w:t>
      </w:r>
      <w:r w:rsidRPr="009C5807">
        <w:t xml:space="preserve"> then the UE shall search for inter-frequency layers of higher priority at least every T</w:t>
      </w:r>
      <w:r w:rsidRPr="009C5807">
        <w:rPr>
          <w:vertAlign w:val="subscript"/>
        </w:rPr>
        <w:t xml:space="preserve">higher_priority_search </w:t>
      </w:r>
      <w:r w:rsidRPr="009C5807">
        <w:t>where T</w:t>
      </w:r>
      <w:r w:rsidRPr="009C5807">
        <w:rPr>
          <w:vertAlign w:val="subscript"/>
        </w:rPr>
        <w:t>higher_priority_search</w:t>
      </w:r>
      <w:r w:rsidRPr="009C5807">
        <w:t xml:space="preserve"> is described in clause 4.2.2.7.</w:t>
      </w:r>
    </w:p>
    <w:p w14:paraId="15D7A29D" w14:textId="0CD10BEB" w:rsidR="00542EC9" w:rsidRPr="00542EC9" w:rsidRDefault="00542EC9" w:rsidP="008D4FE8">
      <w:pPr>
        <w:rPr>
          <w:rFonts w:eastAsia="Malgun Gothic" w:cs="v4.2.0"/>
        </w:rPr>
      </w:pPr>
      <w:r w:rsidRPr="00542EC9">
        <w:rPr>
          <w:rFonts w:eastAsia="Malgun Gothic"/>
        </w:rPr>
        <w:t xml:space="preserve">If Srxlev </w:t>
      </w:r>
      <w:r w:rsidRPr="00542EC9">
        <w:rPr>
          <w:rFonts w:eastAsia="Malgun Gothic" w:hint="eastAsia"/>
          <w:lang w:val="en-US"/>
        </w:rPr>
        <w:t>≤</w:t>
      </w:r>
      <w:r w:rsidRPr="00542EC9">
        <w:rPr>
          <w:rFonts w:eastAsia="Malgun Gothic"/>
        </w:rPr>
        <w:t xml:space="preserve"> S</w:t>
      </w:r>
      <w:r w:rsidRPr="00542EC9">
        <w:rPr>
          <w:rFonts w:eastAsia="Malgun Gothic"/>
          <w:vertAlign w:val="subscript"/>
        </w:rPr>
        <w:t>nonIntraSearchP</w:t>
      </w:r>
      <w:r w:rsidRPr="00542EC9">
        <w:rPr>
          <w:rFonts w:eastAsia="Malgun Gothic"/>
        </w:rPr>
        <w:t xml:space="preserve"> or Squal </w:t>
      </w:r>
      <w:r w:rsidRPr="00542EC9">
        <w:rPr>
          <w:rFonts w:eastAsia="Malgun Gothic" w:hint="eastAsia"/>
          <w:lang w:val="en-US"/>
        </w:rPr>
        <w:t>≤</w:t>
      </w:r>
      <w:r w:rsidRPr="00542EC9">
        <w:rPr>
          <w:rFonts w:eastAsia="Malgun Gothic"/>
        </w:rPr>
        <w:t xml:space="preserve"> S</w:t>
      </w:r>
      <w:r w:rsidRPr="00542EC9">
        <w:rPr>
          <w:rFonts w:eastAsia="Malgun Gothic"/>
          <w:vertAlign w:val="subscript"/>
        </w:rPr>
        <w:t>nonIntraSearchQ</w:t>
      </w:r>
      <w:r w:rsidRPr="00542EC9">
        <w:rPr>
          <w:rFonts w:eastAsia="Malgun Gothic"/>
        </w:rPr>
        <w:t xml:space="preserve"> then the UE shall search for and measure inter-frequency layers of higher, equal or lower priority in preparation for possible reselection. In this scenario, the minimum rate at which the UE is required to search for and measure higher priority layers shall be the same as that defined below in this clause.</w:t>
      </w:r>
    </w:p>
    <w:p w14:paraId="0C86108B" w14:textId="76F3B39A" w:rsidR="00542EC9" w:rsidRPr="00542EC9" w:rsidRDefault="002B34B4" w:rsidP="00542EC9">
      <w:pPr>
        <w:rPr>
          <w:rFonts w:eastAsia="Malgun Gothic" w:cs="v4.2.0"/>
        </w:rPr>
      </w:pPr>
      <w:r w:rsidRPr="00542EC9">
        <w:rPr>
          <w:rFonts w:eastAsia="Malgun Gothic" w:cs="v4.2.0"/>
        </w:rPr>
        <w:t>The UE shall be able to evaluate whether a newly detectable inter-frequency cell meets the reselection criteria defined in TS3</w:t>
      </w:r>
      <w:r w:rsidRPr="00542EC9">
        <w:rPr>
          <w:rFonts w:eastAsia="Malgun Gothic" w:cs="v4.2.0"/>
          <w:lang w:eastAsia="zh-CN"/>
        </w:rPr>
        <w:t>8</w:t>
      </w:r>
      <w:r w:rsidRPr="00542EC9">
        <w:rPr>
          <w:rFonts w:eastAsia="Malgun Gothic" w:cs="v4.2.0"/>
        </w:rPr>
        <w:t xml:space="preserve">.304 [1] within </w:t>
      </w:r>
      <w:r w:rsidRPr="00542EC9">
        <w:rPr>
          <w:rFonts w:eastAsia="Malgun Gothic"/>
        </w:rPr>
        <w:t>K</w:t>
      </w:r>
      <w:r w:rsidRPr="00542EC9">
        <w:rPr>
          <w:rFonts w:eastAsia="Malgun Gothic"/>
          <w:vertAlign w:val="subscript"/>
        </w:rPr>
        <w:t>carrier</w:t>
      </w:r>
      <w:r w:rsidRPr="00542EC9">
        <w:rPr>
          <w:rFonts w:eastAsia="Malgun Gothic"/>
        </w:rPr>
        <w:t xml:space="preserve"> * </w:t>
      </w:r>
      <w:r w:rsidRPr="00542EC9">
        <w:rPr>
          <w:rFonts w:eastAsia="Malgun Gothic" w:cs="v4.2.0"/>
        </w:rPr>
        <w:t>T</w:t>
      </w:r>
      <w:r>
        <w:rPr>
          <w:rFonts w:eastAsia="Malgun Gothic" w:cs="v4.2.0"/>
          <w:vertAlign w:val="subscript"/>
        </w:rPr>
        <w:t>detect</w:t>
      </w:r>
      <w:r w:rsidRPr="00542EC9">
        <w:rPr>
          <w:rFonts w:eastAsia="Malgun Gothic" w:cs="v4.2.0"/>
          <w:vertAlign w:val="subscript"/>
        </w:rPr>
        <w:t>,NR_Inter</w:t>
      </w:r>
      <w:r w:rsidRPr="00542EC9">
        <w:rPr>
          <w:rFonts w:eastAsia="Malgun Gothic" w:cs="v4.2.0"/>
        </w:rPr>
        <w:t xml:space="preserve"> +</w:t>
      </w:r>
      <w:r w:rsidRPr="00542EC9">
        <w:rPr>
          <w:rFonts w:eastAsia="Malgun Gothic"/>
        </w:rPr>
        <w:t xml:space="preserve"> K</w:t>
      </w:r>
      <w:r w:rsidRPr="00542EC9">
        <w:rPr>
          <w:rFonts w:eastAsia="Malgun Gothic"/>
          <w:vertAlign w:val="subscript"/>
        </w:rPr>
        <w:t>carrier_HST</w:t>
      </w:r>
      <w:r w:rsidRPr="00542EC9">
        <w:rPr>
          <w:rFonts w:eastAsia="Malgun Gothic"/>
        </w:rPr>
        <w:t xml:space="preserve"> * </w:t>
      </w:r>
      <w:r w:rsidRPr="00542EC9">
        <w:rPr>
          <w:rFonts w:eastAsia="Malgun Gothic" w:cs="v4.2.0"/>
        </w:rPr>
        <w:t>T</w:t>
      </w:r>
      <w:r>
        <w:rPr>
          <w:rFonts w:eastAsia="Malgun Gothic" w:cs="v4.2.0"/>
          <w:vertAlign w:val="subscript"/>
        </w:rPr>
        <w:t>detect</w:t>
      </w:r>
      <w:r w:rsidRPr="00542EC9">
        <w:rPr>
          <w:rFonts w:eastAsia="Malgun Gothic" w:cs="v4.2.0"/>
          <w:vertAlign w:val="subscript"/>
        </w:rPr>
        <w:t>,NR_Inter_HST</w:t>
      </w:r>
      <w:r w:rsidRPr="00542EC9">
        <w:rPr>
          <w:rFonts w:eastAsia="Malgun Gothic"/>
        </w:rPr>
        <w:t xml:space="preserve"> </w:t>
      </w:r>
      <w:r w:rsidRPr="00542EC9">
        <w:rPr>
          <w:rFonts w:eastAsia="Malgun Gothic" w:cs="v4.2.0"/>
        </w:rPr>
        <w:t>if at least carrier frequency information is provided for inter-frequency neighbour cells by the serving cells when T</w:t>
      </w:r>
      <w:r w:rsidRPr="00542EC9">
        <w:rPr>
          <w:rFonts w:eastAsia="Malgun Gothic" w:cs="v4.2.0"/>
          <w:vertAlign w:val="subscript"/>
        </w:rPr>
        <w:t>reselection</w:t>
      </w:r>
      <w:r w:rsidRPr="00542EC9">
        <w:rPr>
          <w:rFonts w:eastAsia="Malgun Gothic" w:cs="v4.2.0"/>
        </w:rPr>
        <w:t xml:space="preserve"> = 0 provided that the reselection criteria is met by a margin of</w:t>
      </w:r>
      <w:r w:rsidRPr="00542EC9">
        <w:rPr>
          <w:rFonts w:eastAsia="Malgun Gothic" w:cs="v4.2.0"/>
          <w:lang w:eastAsia="zh-CN"/>
        </w:rPr>
        <w:t xml:space="preserve"> at least 5 dB </w:t>
      </w:r>
      <w:r w:rsidRPr="00542EC9">
        <w:rPr>
          <w:rFonts w:eastAsia="Malgun Gothic" w:cs="v4.2.0"/>
        </w:rPr>
        <w:t xml:space="preserve">in FR1 or 6.5dB in FR2 </w:t>
      </w:r>
      <w:r w:rsidRPr="00542EC9">
        <w:rPr>
          <w:rFonts w:eastAsia="Malgun Gothic" w:cs="v4.2.0"/>
          <w:lang w:eastAsia="zh-CN"/>
        </w:rPr>
        <w:t xml:space="preserve">for reselections based on ranking or 6dB </w:t>
      </w:r>
      <w:r w:rsidRPr="00542EC9">
        <w:rPr>
          <w:rFonts w:eastAsia="Malgun Gothic" w:cs="v4.2.0"/>
        </w:rPr>
        <w:t xml:space="preserve">in FR1 or 7.5dB in FR2 </w:t>
      </w:r>
      <w:r w:rsidRPr="00542EC9">
        <w:rPr>
          <w:rFonts w:eastAsia="Malgun Gothic" w:cs="v4.2.0"/>
          <w:lang w:eastAsia="zh-CN"/>
        </w:rPr>
        <w:t>for SS-RSRP reselections based on absolute priorities or 4dB in FR1 and 4dB in FR2 for SS-RSRQ reselections based on absolute priorities</w:t>
      </w:r>
      <w:r w:rsidRPr="00542EC9">
        <w:rPr>
          <w:rFonts w:eastAsia="Malgun Gothic" w:cs="v4.2.0"/>
        </w:rPr>
        <w:t>.</w:t>
      </w:r>
    </w:p>
    <w:p w14:paraId="2C273F8D" w14:textId="28E3F597" w:rsidR="00B074BE" w:rsidRPr="00542EC9" w:rsidRDefault="008E0152" w:rsidP="00B074BE">
      <w:pPr>
        <w:rPr>
          <w:rFonts w:eastAsia="Malgun Gothic" w:cs="v4.2.0"/>
        </w:rPr>
      </w:pPr>
      <w:r w:rsidRPr="006E5949">
        <w:rPr>
          <w:rFonts w:eastAsia="Malgun Gothic" w:cs="v4.2.0"/>
        </w:rPr>
        <w:t>The parameter K</w:t>
      </w:r>
      <w:r w:rsidRPr="006E5949">
        <w:rPr>
          <w:rFonts w:eastAsia="Malgun Gothic" w:cs="v4.2.0"/>
          <w:vertAlign w:val="subscript"/>
        </w:rPr>
        <w:t>carrier</w:t>
      </w:r>
      <w:r w:rsidRPr="006E5949">
        <w:rPr>
          <w:rFonts w:eastAsia="Malgun Gothic" w:cs="v4.2.0"/>
        </w:rPr>
        <w:t xml:space="preserve"> is the number of NR inter-frequency carriers </w:t>
      </w:r>
      <w:r w:rsidRPr="006E5949">
        <w:rPr>
          <w:rFonts w:eastAsia="Malgun Gothic"/>
        </w:rPr>
        <w:t xml:space="preserve">which are not configured with </w:t>
      </w:r>
      <w:r w:rsidRPr="00AC2726">
        <w:rPr>
          <w:rFonts w:eastAsia="Malgun Gothic"/>
          <w:i/>
          <w:iCs/>
        </w:rPr>
        <w:t>highSpeedMeasInterFreq-r17</w:t>
      </w:r>
      <w:r w:rsidRPr="006E5949">
        <w:rPr>
          <w:rFonts w:eastAsia="Malgun Gothic"/>
        </w:rPr>
        <w:t xml:space="preserve"> for FR1 </w:t>
      </w:r>
      <w:r w:rsidRPr="006E5949">
        <w:rPr>
          <w:rFonts w:eastAsia="Malgun Gothic" w:cs="v4.2.0"/>
        </w:rPr>
        <w:t>indicated by the serving cell. The parameter K</w:t>
      </w:r>
      <w:r w:rsidRPr="006E5949">
        <w:rPr>
          <w:rFonts w:eastAsia="Malgun Gothic" w:cs="v4.2.0"/>
          <w:vertAlign w:val="subscript"/>
        </w:rPr>
        <w:t>carrier_HST</w:t>
      </w:r>
      <w:r w:rsidRPr="006E5949">
        <w:rPr>
          <w:rFonts w:eastAsia="Malgun Gothic" w:cs="v4.2.0"/>
        </w:rPr>
        <w:t xml:space="preserve"> is the number of NR inter-frequency carriers </w:t>
      </w:r>
      <w:r w:rsidRPr="006E5949">
        <w:rPr>
          <w:rFonts w:eastAsia="Malgun Gothic"/>
        </w:rPr>
        <w:t xml:space="preserve">which are configured with </w:t>
      </w:r>
      <w:r w:rsidRPr="00AC2726">
        <w:rPr>
          <w:rFonts w:eastAsia="Malgun Gothic"/>
          <w:i/>
          <w:iCs/>
        </w:rPr>
        <w:t>highSpeedMeasInterFreq-r17</w:t>
      </w:r>
      <w:r w:rsidRPr="006E5949">
        <w:rPr>
          <w:rFonts w:eastAsia="Malgun Gothic" w:cs="v4.2.0"/>
        </w:rPr>
        <w:t xml:space="preserve"> for FR1 indicated by the serving cell. The parameter K</w:t>
      </w:r>
      <w:r w:rsidRPr="006E5949">
        <w:rPr>
          <w:rFonts w:eastAsia="Malgun Gothic" w:cs="v4.2.0"/>
          <w:vertAlign w:val="subscript"/>
        </w:rPr>
        <w:t>carrier</w:t>
      </w:r>
      <w:r w:rsidRPr="006E5949">
        <w:rPr>
          <w:rFonts w:eastAsia="Malgun Gothic" w:cs="v4.2.0"/>
        </w:rPr>
        <w:t xml:space="preserve"> for a UE configured with idle mode CA measurements (while T331 is running), is the combined number of NR inter-frequency carriers indicated by the serving cell and the number of NR inter-frequency </w:t>
      </w:r>
      <w:r w:rsidRPr="006E5949">
        <w:rPr>
          <w:rFonts w:eastAsia="Malgun Gothic"/>
        </w:rPr>
        <w:t xml:space="preserve">carriers configured for idle mode CA measurements which are not configured with </w:t>
      </w:r>
      <w:r w:rsidRPr="00AC2726">
        <w:rPr>
          <w:rFonts w:eastAsia="Malgun Gothic"/>
          <w:i/>
          <w:iCs/>
        </w:rPr>
        <w:t>highSpeedMeasInterFreq-r17</w:t>
      </w:r>
      <w:r w:rsidRPr="006E5949">
        <w:rPr>
          <w:rFonts w:eastAsia="Malgun Gothic"/>
        </w:rPr>
        <w:t xml:space="preserve"> for FR1. </w:t>
      </w:r>
      <w:r w:rsidRPr="006E5949">
        <w:rPr>
          <w:rFonts w:eastAsia="Malgun Gothic" w:cs="v4.2.0"/>
        </w:rPr>
        <w:t>The parameter K</w:t>
      </w:r>
      <w:r w:rsidRPr="006E5949">
        <w:rPr>
          <w:rFonts w:eastAsia="Malgun Gothic" w:cs="v4.2.0"/>
          <w:vertAlign w:val="subscript"/>
        </w:rPr>
        <w:t xml:space="preserve">carrier_HST </w:t>
      </w:r>
      <w:r w:rsidRPr="006E5949">
        <w:rPr>
          <w:rFonts w:eastAsia="Malgun Gothic" w:cs="v4.2.0"/>
        </w:rPr>
        <w:t xml:space="preserve">for a UE configured with idle mode CA measurements (while T331 is running), is the combined number of NR inter-frequency carriers indicated by the serving cell and the number of NR inter-frequency </w:t>
      </w:r>
      <w:r w:rsidRPr="006E5949">
        <w:rPr>
          <w:rFonts w:eastAsia="Malgun Gothic"/>
        </w:rPr>
        <w:t xml:space="preserve">carriers configured for idle mode CA measurements which are configured with </w:t>
      </w:r>
      <w:r w:rsidRPr="00AC2726">
        <w:rPr>
          <w:rFonts w:eastAsia="Malgun Gothic"/>
          <w:i/>
          <w:iCs/>
        </w:rPr>
        <w:t>highSpeedMeasInterFreq-r17</w:t>
      </w:r>
      <w:r w:rsidRPr="006E5949">
        <w:rPr>
          <w:rFonts w:eastAsia="Malgun Gothic"/>
        </w:rPr>
        <w:t xml:space="preserve"> for FR1.</w:t>
      </w:r>
    </w:p>
    <w:p w14:paraId="30687287" w14:textId="77777777" w:rsidR="00542EC9" w:rsidRPr="00542EC9" w:rsidRDefault="00542EC9" w:rsidP="00EC505B">
      <w:pPr>
        <w:pStyle w:val="NO"/>
        <w:rPr>
          <w:rFonts w:cs="v4.2.0"/>
        </w:rPr>
      </w:pPr>
      <w:r w:rsidRPr="00542EC9">
        <w:t>Note:</w:t>
      </w:r>
      <w:r w:rsidRPr="00542EC9">
        <w:rPr>
          <w:lang w:val="en-US" w:eastAsia="zh-CN"/>
        </w:rPr>
        <w:tab/>
      </w:r>
      <w:r w:rsidRPr="00542EC9">
        <w:t xml:space="preserve">combined total number means that if a carrier is an </w:t>
      </w:r>
      <w:r w:rsidRPr="00542EC9">
        <w:rPr>
          <w:rFonts w:cs="v4.2.0"/>
        </w:rPr>
        <w:t>inter-frequency carrier indicated by the serving cell</w:t>
      </w:r>
      <w:r w:rsidRPr="00542EC9">
        <w:t xml:space="preserve"> for mobility and additionally a carrier configured for idle mode CA measurements, it only counts as one carrier.</w:t>
      </w:r>
    </w:p>
    <w:p w14:paraId="31FE5F6A" w14:textId="77777777" w:rsidR="00542EC9" w:rsidRPr="00542EC9" w:rsidRDefault="00542EC9" w:rsidP="00542EC9">
      <w:pPr>
        <w:rPr>
          <w:rFonts w:eastAsia="Malgun Gothic" w:cs="v4.2.0"/>
        </w:rPr>
      </w:pPr>
      <w:r w:rsidRPr="00542EC9">
        <w:rPr>
          <w:rFonts w:eastAsia="Malgun Gothic" w:cs="v4.2.0"/>
        </w:rPr>
        <w:t xml:space="preserve">An inter-frequency cell is considered to be detectable </w:t>
      </w:r>
      <w:r w:rsidRPr="00542EC9">
        <w:rPr>
          <w:rFonts w:eastAsia="Malgun Gothic"/>
        </w:rPr>
        <w:t xml:space="preserve">according to the conditions defined in Annex </w:t>
      </w:r>
      <w:r w:rsidRPr="00542EC9">
        <w:rPr>
          <w:rFonts w:eastAsia="Malgun Gothic"/>
          <w:lang w:eastAsia="zh-CN"/>
        </w:rPr>
        <w:t xml:space="preserve">B.1.3 </w:t>
      </w:r>
      <w:r w:rsidRPr="00542EC9">
        <w:rPr>
          <w:rFonts w:eastAsia="Malgun Gothic"/>
        </w:rPr>
        <w:t>for a corresponding Band.</w:t>
      </w:r>
    </w:p>
    <w:p w14:paraId="069F2C18" w14:textId="77777777" w:rsidR="00542EC9" w:rsidRPr="00542EC9" w:rsidRDefault="00542EC9" w:rsidP="00542EC9">
      <w:pPr>
        <w:rPr>
          <w:rFonts w:eastAsia="Malgun Gothic"/>
        </w:rPr>
      </w:pPr>
      <w:r w:rsidRPr="00542EC9">
        <w:rPr>
          <w:rFonts w:eastAsia="Malgun Gothic"/>
        </w:rPr>
        <w:t xml:space="preserve">When higher priority cells are found by the higher priority search, they shall be measured at least every </w:t>
      </w:r>
      <w:r w:rsidRPr="00542EC9">
        <w:rPr>
          <w:rFonts w:eastAsia="Malgun Gothic" w:cs="v4.2.0"/>
        </w:rPr>
        <w:t>T</w:t>
      </w:r>
      <w:r w:rsidRPr="00542EC9">
        <w:rPr>
          <w:rFonts w:eastAsia="Malgun Gothic" w:cs="v4.2.0"/>
          <w:vertAlign w:val="subscript"/>
        </w:rPr>
        <w:t>measure,NR_Inter</w:t>
      </w:r>
      <w:r w:rsidRPr="00542EC9">
        <w:rPr>
          <w:rFonts w:eastAsia="Malgun Gothic"/>
        </w:rPr>
        <w:t xml:space="preserve">. If, after detecting a cell in a higher priority search, it is determined that reselection has not occurred then the UE is not required to continuously measure the detected cell to evaluate the ongoing possibility of reselection. However, the minimum measurement filtering requirements specified later in this clause shall still be met by the UE before it makes any determination that it may stop measuring the cell. If the UE detects on a </w:t>
      </w:r>
      <w:r w:rsidRPr="00542EC9">
        <w:rPr>
          <w:rFonts w:eastAsia="Malgun Gothic"/>
          <w:lang w:eastAsia="zh-CN"/>
        </w:rPr>
        <w:t>NR</w:t>
      </w:r>
      <w:r w:rsidRPr="00542EC9">
        <w:rPr>
          <w:rFonts w:eastAsia="Malgun Gothic"/>
        </w:rPr>
        <w:t xml:space="preserve"> carrier a cell whose physical identity is indicated as not allowed for that carrier in the measurement control system information of the serving cell, the UE is not required to perform measurements on that cell.</w:t>
      </w:r>
    </w:p>
    <w:p w14:paraId="09C22F77" w14:textId="77777777" w:rsidR="005C3A5B" w:rsidRPr="00043DFE" w:rsidRDefault="005C3A5B" w:rsidP="005C3A5B">
      <w:pPr>
        <w:rPr>
          <w:rFonts w:eastAsia="Malgun Gothic"/>
        </w:rPr>
      </w:pPr>
      <w:r w:rsidRPr="00043DFE">
        <w:rPr>
          <w:rFonts w:eastAsia="Malgun Gothic"/>
        </w:rPr>
        <w:t xml:space="preserve">The UE is not configured with </w:t>
      </w:r>
      <w:r w:rsidRPr="00043DFE">
        <w:rPr>
          <w:rFonts w:eastAsia="Malgun Gothic" w:cs="v4.2.0"/>
        </w:rPr>
        <w:t>eDRX_IDLE cycle</w:t>
      </w:r>
      <w:r w:rsidRPr="00043DFE">
        <w:rPr>
          <w:rFonts w:eastAsia="Malgun Gothic"/>
        </w:rPr>
        <w:t xml:space="preserve"> shall measure SS-RSRP or SS-RSRQ at least every K</w:t>
      </w:r>
      <w:r w:rsidRPr="00043DFE">
        <w:rPr>
          <w:rFonts w:eastAsia="Malgun Gothic"/>
          <w:vertAlign w:val="subscript"/>
        </w:rPr>
        <w:t>carrier</w:t>
      </w:r>
      <w:r w:rsidRPr="00043DFE">
        <w:rPr>
          <w:rFonts w:eastAsia="Malgun Gothic"/>
        </w:rPr>
        <w:t xml:space="preserve"> * </w:t>
      </w:r>
      <w:r w:rsidRPr="00043DFE">
        <w:rPr>
          <w:rFonts w:eastAsia="Malgun Gothic" w:cs="v4.2.0"/>
        </w:rPr>
        <w:t>T</w:t>
      </w:r>
      <w:r w:rsidRPr="00043DFE">
        <w:rPr>
          <w:rFonts w:eastAsia="Malgun Gothic" w:cs="v4.2.0"/>
          <w:vertAlign w:val="subscript"/>
        </w:rPr>
        <w:t>measure,NR_Inter</w:t>
      </w:r>
      <w:r w:rsidRPr="00043DFE">
        <w:rPr>
          <w:rFonts w:eastAsia="Malgun Gothic" w:cs="v4.2.0"/>
        </w:rPr>
        <w:t xml:space="preserve"> +</w:t>
      </w:r>
      <w:r w:rsidRPr="00043DFE">
        <w:rPr>
          <w:rFonts w:eastAsia="Malgun Gothic"/>
        </w:rPr>
        <w:t xml:space="preserve"> K</w:t>
      </w:r>
      <w:r w:rsidRPr="00043DFE">
        <w:rPr>
          <w:rFonts w:eastAsia="Malgun Gothic"/>
          <w:vertAlign w:val="subscript"/>
        </w:rPr>
        <w:t>carrier_HST</w:t>
      </w:r>
      <w:r w:rsidRPr="00043DFE">
        <w:rPr>
          <w:rFonts w:eastAsia="Malgun Gothic"/>
        </w:rPr>
        <w:t xml:space="preserve"> * </w:t>
      </w:r>
      <w:r w:rsidRPr="00043DFE">
        <w:rPr>
          <w:rFonts w:eastAsia="Malgun Gothic" w:cs="v4.2.0"/>
        </w:rPr>
        <w:t>T</w:t>
      </w:r>
      <w:r w:rsidRPr="00043DFE">
        <w:rPr>
          <w:rFonts w:eastAsia="Malgun Gothic" w:cs="v4.2.0"/>
          <w:vertAlign w:val="subscript"/>
        </w:rPr>
        <w:t>measure,NR_Inter_HST</w:t>
      </w:r>
      <w:r w:rsidRPr="00043DFE">
        <w:rPr>
          <w:rFonts w:eastAsia="Malgun Gothic" w:cs="v4.2.0"/>
        </w:rPr>
        <w:t xml:space="preserve"> </w:t>
      </w:r>
      <w:r w:rsidRPr="00043DFE">
        <w:rPr>
          <w:rFonts w:eastAsia="Malgun Gothic"/>
        </w:rPr>
        <w:t xml:space="preserve">(see table 4.2.2.4-1 and table 4.2.2.4-2 </w:t>
      </w:r>
      <w:r w:rsidRPr="00043DFE">
        <w:rPr>
          <w:rFonts w:eastAsia="Malgun Gothic" w:cs="v4.2.0"/>
        </w:rPr>
        <w:t xml:space="preserve">if UE declares support of </w:t>
      </w:r>
      <w:r w:rsidRPr="00043DFE">
        <w:rPr>
          <w:rFonts w:eastAsia="Malgun Gothic"/>
          <w:szCs w:val="24"/>
          <w:lang w:eastAsia="zh-CN"/>
        </w:rPr>
        <w:t xml:space="preserve">idle mode inter-frequency measurement enhancement when </w:t>
      </w:r>
      <w:r w:rsidRPr="00043DFE">
        <w:rPr>
          <w:rFonts w:eastAsia="Malgun Gothic"/>
          <w:bCs/>
        </w:rPr>
        <w:t xml:space="preserve">configured with </w:t>
      </w:r>
      <w:r w:rsidRPr="00043DFE">
        <w:rPr>
          <w:rFonts w:eastAsia="Malgun Gothic" w:cs="v4.2.0"/>
          <w:i/>
          <w:iCs/>
        </w:rPr>
        <w:t>highSpeedMeasInterFreq-r17</w:t>
      </w:r>
      <w:r w:rsidRPr="00043DFE">
        <w:rPr>
          <w:rFonts w:eastAsia="Malgun Gothic" w:cs="v4.2.0"/>
        </w:rPr>
        <w:t xml:space="preserve"> </w:t>
      </w:r>
      <w:r w:rsidRPr="00043DFE">
        <w:rPr>
          <w:rFonts w:eastAsia="Malgun Gothic"/>
        </w:rPr>
        <w:t xml:space="preserve">for FR1, </w:t>
      </w:r>
      <w:r w:rsidRPr="00043DFE">
        <w:rPr>
          <w:rFonts w:eastAsia="Malgun Gothic" w:cs="v4.2.0"/>
        </w:rPr>
        <w:t xml:space="preserve">otherwise see </w:t>
      </w:r>
      <w:r w:rsidRPr="00043DFE">
        <w:rPr>
          <w:rFonts w:eastAsia="Malgun Gothic"/>
        </w:rPr>
        <w:t xml:space="preserve">table 4.2.2.4-1 only) for identified lower or equal priority inter-frequency cells. If the UE detects on a </w:t>
      </w:r>
      <w:r w:rsidRPr="00043DFE">
        <w:rPr>
          <w:rFonts w:eastAsia="Malgun Gothic"/>
          <w:lang w:eastAsia="zh-CN"/>
        </w:rPr>
        <w:t xml:space="preserve">NR </w:t>
      </w:r>
      <w:r w:rsidRPr="00043DFE">
        <w:rPr>
          <w:rFonts w:eastAsia="Malgun Gothic"/>
        </w:rPr>
        <w:t>carrier a cell whose physical identity is indicated as not allowed for that carrier in the measurement control system information of the serving cell, the UE is not required to perform measurements on that cell.</w:t>
      </w:r>
    </w:p>
    <w:p w14:paraId="79A3AF8F" w14:textId="77777777" w:rsidR="005C3A5B" w:rsidRPr="00043DFE" w:rsidRDefault="005C3A5B" w:rsidP="005C3A5B">
      <w:pPr>
        <w:rPr>
          <w:rFonts w:eastAsia="Malgun Gothic" w:cs="v4.2.0"/>
        </w:rPr>
      </w:pPr>
      <w:r w:rsidRPr="00043DFE">
        <w:rPr>
          <w:rFonts w:eastAsia="Malgun Gothic" w:cs="v4.2.0"/>
        </w:rPr>
        <w:t xml:space="preserve">The UE </w:t>
      </w:r>
      <w:r w:rsidRPr="00043DFE">
        <w:rPr>
          <w:rFonts w:eastAsia="Malgun Gothic"/>
        </w:rPr>
        <w:t xml:space="preserve">is not configured with </w:t>
      </w:r>
      <w:r w:rsidRPr="00043DFE">
        <w:rPr>
          <w:rFonts w:eastAsia="Malgun Gothic" w:cs="v4.2.0"/>
        </w:rPr>
        <w:t>eDRX_IDLE cycle shall filter SS-RSRP or SS-RSRQ measurements of each measured higher, lower and equal priority inter-frequency cell using at least 2 measurements. Within the set of measurements used for the filtering, at least two measurements shall be spaced by at least T</w:t>
      </w:r>
      <w:r w:rsidRPr="00043DFE">
        <w:rPr>
          <w:rFonts w:eastAsia="Malgun Gothic" w:cs="v4.2.0"/>
          <w:vertAlign w:val="subscript"/>
        </w:rPr>
        <w:t>measure,NR_Int</w:t>
      </w:r>
      <w:r w:rsidRPr="00043DFE">
        <w:rPr>
          <w:rFonts w:eastAsia="Malgun Gothic" w:cs="v4.2.0"/>
          <w:vertAlign w:val="subscript"/>
          <w:lang w:eastAsia="zh-CN"/>
        </w:rPr>
        <w:t>er</w:t>
      </w:r>
      <w:r w:rsidRPr="00043DFE">
        <w:rPr>
          <w:rFonts w:eastAsia="Malgun Gothic" w:cs="v4.2.0"/>
        </w:rPr>
        <w:t xml:space="preserve">/2 for carriers </w:t>
      </w:r>
      <w:r w:rsidRPr="00043DFE">
        <w:rPr>
          <w:rFonts w:eastAsia="Malgun Gothic"/>
        </w:rPr>
        <w:t xml:space="preserve">which are not configured with </w:t>
      </w:r>
      <w:r w:rsidRPr="00043DFE">
        <w:rPr>
          <w:rFonts w:eastAsia="Malgun Gothic"/>
          <w:i/>
          <w:iCs/>
        </w:rPr>
        <w:t>highSpeedMeasInterFreq-r17</w:t>
      </w:r>
      <w:r w:rsidRPr="00043DFE">
        <w:rPr>
          <w:rFonts w:eastAsia="Malgun Gothic" w:cs="v4.2.0"/>
        </w:rPr>
        <w:t xml:space="preserve"> for FR1or T</w:t>
      </w:r>
      <w:r w:rsidRPr="00043DFE">
        <w:rPr>
          <w:rFonts w:eastAsia="Malgun Gothic" w:cs="v4.2.0"/>
          <w:vertAlign w:val="subscript"/>
        </w:rPr>
        <w:t>measure,NR_Int</w:t>
      </w:r>
      <w:r w:rsidRPr="00043DFE">
        <w:rPr>
          <w:rFonts w:eastAsia="Malgun Gothic" w:cs="v4.2.0"/>
          <w:vertAlign w:val="subscript"/>
          <w:lang w:eastAsia="zh-CN"/>
        </w:rPr>
        <w:t>er_HST</w:t>
      </w:r>
      <w:r w:rsidRPr="00043DFE">
        <w:rPr>
          <w:rFonts w:eastAsia="Malgun Gothic" w:cs="v4.2.0"/>
        </w:rPr>
        <w:t xml:space="preserve"> /2 for carriers </w:t>
      </w:r>
      <w:r w:rsidRPr="00043DFE">
        <w:rPr>
          <w:rFonts w:eastAsia="Malgun Gothic"/>
        </w:rPr>
        <w:t xml:space="preserve">which are configured with </w:t>
      </w:r>
      <w:r w:rsidRPr="00043DFE">
        <w:rPr>
          <w:rFonts w:eastAsia="Malgun Gothic"/>
          <w:i/>
          <w:iCs/>
        </w:rPr>
        <w:t>highSpeedMeasInterFreq-r17</w:t>
      </w:r>
      <w:r w:rsidRPr="00043DFE">
        <w:rPr>
          <w:rFonts w:eastAsia="Malgun Gothic" w:cs="v4.2.0"/>
        </w:rPr>
        <w:t xml:space="preserve"> forFR1.</w:t>
      </w:r>
    </w:p>
    <w:p w14:paraId="1792FE28" w14:textId="77777777" w:rsidR="005C3A5B" w:rsidRPr="00043DFE" w:rsidRDefault="005C3A5B" w:rsidP="005C3A5B">
      <w:pPr>
        <w:rPr>
          <w:rFonts w:eastAsia="Malgun Gothic"/>
        </w:rPr>
      </w:pPr>
      <w:r w:rsidRPr="00043DFE">
        <w:rPr>
          <w:rFonts w:eastAsia="Malgun Gothic"/>
        </w:rPr>
        <w:t xml:space="preserve">The UE is configured </w:t>
      </w:r>
      <w:r w:rsidRPr="00043DFE">
        <w:rPr>
          <w:rFonts w:cs="v4.2.0"/>
        </w:rPr>
        <w:t>with eDRX_IDLE cycle</w:t>
      </w:r>
      <w:r w:rsidRPr="00043DFE">
        <w:rPr>
          <w:rFonts w:eastAsia="Malgun Gothic"/>
        </w:rPr>
        <w:t xml:space="preserve"> shall measure SS-RSRP or SS-RSRQ at least every K</w:t>
      </w:r>
      <w:r w:rsidRPr="00043DFE">
        <w:rPr>
          <w:rFonts w:eastAsia="Malgun Gothic"/>
          <w:vertAlign w:val="subscript"/>
        </w:rPr>
        <w:t>carrier</w:t>
      </w:r>
      <w:r w:rsidRPr="00043DFE">
        <w:rPr>
          <w:rFonts w:eastAsia="Malgun Gothic"/>
        </w:rPr>
        <w:t xml:space="preserve"> * </w:t>
      </w:r>
      <w:r w:rsidRPr="00043DFE">
        <w:rPr>
          <w:rFonts w:eastAsia="Malgun Gothic" w:cs="v4.2.0"/>
        </w:rPr>
        <w:t>T</w:t>
      </w:r>
      <w:r w:rsidRPr="00043DFE">
        <w:rPr>
          <w:rFonts w:eastAsia="Malgun Gothic" w:cs="v4.2.0"/>
          <w:vertAlign w:val="subscript"/>
        </w:rPr>
        <w:t>measure,NR_Inter</w:t>
      </w:r>
      <w:r w:rsidRPr="00043DFE">
        <w:rPr>
          <w:rFonts w:eastAsia="Malgun Gothic" w:cs="v4.2.0"/>
        </w:rPr>
        <w:t xml:space="preserve"> </w:t>
      </w:r>
      <w:r w:rsidRPr="00043DFE">
        <w:rPr>
          <w:rFonts w:eastAsia="Malgun Gothic"/>
        </w:rPr>
        <w:t xml:space="preserve">(see table 4.2.2.4-3 and table 4.2.2.4-4) for identified lower or equal priority inter-frequency cells. If the UE detects on a </w:t>
      </w:r>
      <w:r w:rsidRPr="00043DFE">
        <w:rPr>
          <w:rFonts w:eastAsia="Malgun Gothic"/>
          <w:lang w:eastAsia="zh-CN"/>
        </w:rPr>
        <w:t xml:space="preserve">NR </w:t>
      </w:r>
      <w:r w:rsidRPr="00043DFE">
        <w:rPr>
          <w:rFonts w:eastAsia="Malgun Gothic"/>
        </w:rPr>
        <w:t>carrier a cell whose physical identity is indicated as not allowed for that carrier in the measurement control system information of the serving cell, the UE is not required to perform measurements on that cell.</w:t>
      </w:r>
    </w:p>
    <w:p w14:paraId="7D2D0C16" w14:textId="77777777" w:rsidR="005C3A5B" w:rsidRPr="00D60521" w:rsidRDefault="005C3A5B" w:rsidP="005C3A5B">
      <w:pPr>
        <w:rPr>
          <w:rFonts w:eastAsiaTheme="minorEastAsia" w:cs="v4.2.0"/>
          <w:lang w:eastAsia="zh-CN"/>
        </w:rPr>
      </w:pPr>
      <w:r w:rsidRPr="00043DFE">
        <w:rPr>
          <w:rFonts w:eastAsia="Malgun Gothic" w:cs="v4.2.0"/>
        </w:rPr>
        <w:t xml:space="preserve">The UE </w:t>
      </w:r>
      <w:r w:rsidRPr="00043DFE">
        <w:rPr>
          <w:rFonts w:eastAsia="Malgun Gothic"/>
        </w:rPr>
        <w:t xml:space="preserve">is configured with </w:t>
      </w:r>
      <w:r w:rsidRPr="00043DFE">
        <w:rPr>
          <w:rFonts w:eastAsia="Malgun Gothic" w:cs="v4.2.0"/>
        </w:rPr>
        <w:t>eDRX_IDLE cycle shall filter SS-RSRP or SS-RSRQ measurements of each measured higher, lower and equal priority inter-frequency cell using at least 2 measurements. Within the set of measurements used for the filtering, at least two measurements shall be spaced by at least T</w:t>
      </w:r>
      <w:r w:rsidRPr="00043DFE">
        <w:rPr>
          <w:rFonts w:eastAsia="Malgun Gothic" w:cs="v4.2.0"/>
          <w:vertAlign w:val="subscript"/>
        </w:rPr>
        <w:t>measure,NR_Int</w:t>
      </w:r>
      <w:r w:rsidRPr="00043DFE">
        <w:rPr>
          <w:rFonts w:eastAsia="Malgun Gothic" w:cs="v4.2.0"/>
          <w:vertAlign w:val="subscript"/>
          <w:lang w:eastAsia="zh-CN"/>
        </w:rPr>
        <w:t>er</w:t>
      </w:r>
      <w:r w:rsidRPr="00043DFE">
        <w:rPr>
          <w:rFonts w:eastAsia="Malgun Gothic" w:cs="v4.2.0"/>
        </w:rPr>
        <w:t>/2.</w:t>
      </w:r>
    </w:p>
    <w:p w14:paraId="443593BD" w14:textId="77777777" w:rsidR="005C3A5B" w:rsidRPr="00043DFE" w:rsidRDefault="005C3A5B" w:rsidP="005C3A5B">
      <w:pPr>
        <w:rPr>
          <w:rFonts w:eastAsia="Malgun Gothic"/>
        </w:rPr>
      </w:pPr>
      <w:r w:rsidRPr="00043DFE">
        <w:rPr>
          <w:rFonts w:eastAsia="Malgun Gothic"/>
        </w:rPr>
        <w:t xml:space="preserve">The UE shall not consider a </w:t>
      </w:r>
      <w:r w:rsidRPr="00043DFE">
        <w:rPr>
          <w:rFonts w:eastAsia="Malgun Gothic"/>
          <w:lang w:eastAsia="zh-CN"/>
        </w:rPr>
        <w:t>NR</w:t>
      </w:r>
      <w:r w:rsidRPr="00043DFE">
        <w:rPr>
          <w:rFonts w:eastAsia="Malgun Gothic"/>
        </w:rPr>
        <w:t xml:space="preserve"> neighbour cell in cell reselection, if it is indicated as not allowed in the measurement control system information of the serving cell.</w:t>
      </w:r>
    </w:p>
    <w:p w14:paraId="56719B4A" w14:textId="77777777" w:rsidR="005C3A5B" w:rsidRPr="00043DFE" w:rsidRDefault="005C3A5B" w:rsidP="005C3A5B">
      <w:pPr>
        <w:rPr>
          <w:rFonts w:eastAsia="Malgun Gothic" w:cs="v4.2.0"/>
        </w:rPr>
      </w:pPr>
      <w:r w:rsidRPr="00043DFE">
        <w:rPr>
          <w:rFonts w:eastAsia="Malgun Gothic" w:cs="v4.2.0"/>
        </w:rPr>
        <w:t xml:space="preserve">For an inter-frequency cell that has been already detected, but that has not been reselected to, the filtering shall be such that the UE is not configured </w:t>
      </w:r>
      <w:r w:rsidRPr="00043DFE">
        <w:rPr>
          <w:rFonts w:cs="v4.2.0"/>
        </w:rPr>
        <w:t>with eDRX_IDLE cycle</w:t>
      </w:r>
      <w:r w:rsidRPr="00043DFE">
        <w:rPr>
          <w:rFonts w:eastAsia="Malgun Gothic" w:cs="v4.2.0"/>
        </w:rPr>
        <w:t xml:space="preserve"> shall be capable of evaluating that the inter-frequency cell has met reselection criterion defined TS 3</w:t>
      </w:r>
      <w:r w:rsidRPr="00043DFE">
        <w:rPr>
          <w:rFonts w:eastAsia="Malgun Gothic" w:cs="v4.2.0"/>
          <w:lang w:eastAsia="zh-CN"/>
        </w:rPr>
        <w:t>8</w:t>
      </w:r>
      <w:r w:rsidRPr="00043DFE">
        <w:rPr>
          <w:rFonts w:eastAsia="Malgun Gothic" w:cs="v4.2.0"/>
        </w:rPr>
        <w:t xml:space="preserve">.304 [1] within </w:t>
      </w:r>
      <w:r w:rsidRPr="00043DFE">
        <w:rPr>
          <w:rFonts w:eastAsia="Malgun Gothic"/>
        </w:rPr>
        <w:t>K</w:t>
      </w:r>
      <w:r w:rsidRPr="00043DFE">
        <w:rPr>
          <w:rFonts w:eastAsia="Malgun Gothic"/>
          <w:vertAlign w:val="subscript"/>
        </w:rPr>
        <w:t>carrier</w:t>
      </w:r>
      <w:r w:rsidRPr="00043DFE">
        <w:rPr>
          <w:rFonts w:eastAsia="Malgun Gothic"/>
        </w:rPr>
        <w:t xml:space="preserve"> * </w:t>
      </w:r>
      <w:r w:rsidRPr="00043DFE">
        <w:rPr>
          <w:rFonts w:eastAsia="Malgun Gothic" w:cs="v4.2.0"/>
        </w:rPr>
        <w:t>T</w:t>
      </w:r>
      <w:r w:rsidRPr="00043DFE">
        <w:rPr>
          <w:rFonts w:eastAsia="Malgun Gothic" w:cs="v4.2.0"/>
          <w:vertAlign w:val="subscript"/>
        </w:rPr>
        <w:t>evaluate,NR_Inter</w:t>
      </w:r>
      <w:r w:rsidRPr="00043DFE">
        <w:rPr>
          <w:rFonts w:eastAsia="Malgun Gothic" w:cs="v4.2.0"/>
        </w:rPr>
        <w:t xml:space="preserve"> +</w:t>
      </w:r>
      <w:r w:rsidRPr="00043DFE">
        <w:rPr>
          <w:rFonts w:eastAsia="Malgun Gothic"/>
        </w:rPr>
        <w:t xml:space="preserve"> K</w:t>
      </w:r>
      <w:r w:rsidRPr="00043DFE">
        <w:rPr>
          <w:rFonts w:eastAsia="Malgun Gothic"/>
          <w:vertAlign w:val="subscript"/>
        </w:rPr>
        <w:t>carrier_HST</w:t>
      </w:r>
      <w:r w:rsidRPr="00043DFE">
        <w:rPr>
          <w:rFonts w:eastAsia="Malgun Gothic"/>
        </w:rPr>
        <w:t xml:space="preserve"> * </w:t>
      </w:r>
      <w:r w:rsidRPr="00043DFE">
        <w:rPr>
          <w:rFonts w:eastAsia="Malgun Gothic" w:cs="v4.2.0"/>
        </w:rPr>
        <w:t>T</w:t>
      </w:r>
      <w:r w:rsidRPr="00043DFE">
        <w:rPr>
          <w:rFonts w:eastAsia="Malgun Gothic" w:cs="v4.2.0"/>
          <w:vertAlign w:val="subscript"/>
        </w:rPr>
        <w:t>evaluate,NR_Inter_HST</w:t>
      </w:r>
      <w:r w:rsidRPr="00043DFE">
        <w:rPr>
          <w:rFonts w:eastAsia="Malgun Gothic" w:cs="v4.2.0"/>
        </w:rPr>
        <w:t xml:space="preserve"> when T</w:t>
      </w:r>
      <w:r w:rsidRPr="00043DFE">
        <w:rPr>
          <w:rFonts w:eastAsia="Malgun Gothic" w:cs="v4.2.0"/>
          <w:vertAlign w:val="subscript"/>
        </w:rPr>
        <w:t>reselection</w:t>
      </w:r>
      <w:r w:rsidRPr="00043DFE">
        <w:rPr>
          <w:rFonts w:eastAsia="Malgun Gothic" w:cs="v4.2.0"/>
        </w:rPr>
        <w:t xml:space="preserve"> = 0</w:t>
      </w:r>
      <w:r w:rsidRPr="00043DFE">
        <w:rPr>
          <w:rFonts w:eastAsia="Malgun Gothic" w:cs="v4.2.0"/>
          <w:i/>
          <w:vertAlign w:val="subscript"/>
        </w:rPr>
        <w:t xml:space="preserve"> </w:t>
      </w:r>
      <w:r w:rsidRPr="00043DFE">
        <w:rPr>
          <w:rFonts w:eastAsia="Malgun Gothic" w:cs="v4.2.0"/>
        </w:rPr>
        <w:t>as specified in table 4.2.2.4-1</w:t>
      </w:r>
      <w:r w:rsidRPr="00043DFE">
        <w:rPr>
          <w:rFonts w:eastAsia="Malgun Gothic"/>
        </w:rPr>
        <w:t xml:space="preserve"> and table 4.2.2.4-2 </w:t>
      </w:r>
      <w:r w:rsidRPr="00043DFE">
        <w:rPr>
          <w:rFonts w:eastAsia="Malgun Gothic" w:cs="v4.2.0"/>
        </w:rPr>
        <w:t xml:space="preserve">if UE declares support of </w:t>
      </w:r>
      <w:r w:rsidRPr="00043DFE">
        <w:rPr>
          <w:rFonts w:eastAsia="Malgun Gothic"/>
          <w:szCs w:val="24"/>
          <w:lang w:eastAsia="zh-CN"/>
        </w:rPr>
        <w:t xml:space="preserve">idle mode inter-frequency measurement enhancement when </w:t>
      </w:r>
      <w:r w:rsidRPr="00043DFE">
        <w:rPr>
          <w:rFonts w:eastAsia="Malgun Gothic"/>
          <w:bCs/>
        </w:rPr>
        <w:t xml:space="preserve">configured with </w:t>
      </w:r>
      <w:r w:rsidRPr="00043DFE">
        <w:rPr>
          <w:rFonts w:eastAsia="Malgun Gothic" w:cs="v4.2.0"/>
          <w:i/>
          <w:iCs/>
        </w:rPr>
        <w:t>highSpeedMeasInterFreq-r17</w:t>
      </w:r>
      <w:r w:rsidRPr="00043DFE">
        <w:rPr>
          <w:rFonts w:eastAsia="Malgun Gothic" w:cs="v4.2.0"/>
        </w:rPr>
        <w:t xml:space="preserve"> </w:t>
      </w:r>
      <w:r w:rsidRPr="00043DFE">
        <w:rPr>
          <w:rFonts w:eastAsia="Malgun Gothic"/>
        </w:rPr>
        <w:t>for FR1</w:t>
      </w:r>
      <w:r w:rsidRPr="00043DFE">
        <w:rPr>
          <w:rFonts w:eastAsia="Malgun Gothic" w:cs="v4.2.0"/>
        </w:rPr>
        <w:t xml:space="preserve">, otherwise see </w:t>
      </w:r>
      <w:r w:rsidRPr="00043DFE">
        <w:rPr>
          <w:rFonts w:eastAsia="Malgun Gothic"/>
        </w:rPr>
        <w:t>table 4.2.2.4-1 only</w:t>
      </w:r>
      <w:r w:rsidRPr="00043DFE">
        <w:rPr>
          <w:rFonts w:eastAsia="Malgun Gothic" w:cs="v4.2.0"/>
        </w:rPr>
        <w:t>, provided that the reselection criteria is met by</w:t>
      </w:r>
    </w:p>
    <w:p w14:paraId="6A23CB97" w14:textId="77777777" w:rsidR="00542EC9" w:rsidRPr="00542EC9" w:rsidRDefault="00542EC9" w:rsidP="009D430D">
      <w:pPr>
        <w:pStyle w:val="B10"/>
        <w:rPr>
          <w:rFonts w:eastAsia="Malgun Gothic"/>
        </w:rPr>
      </w:pPr>
      <w:r w:rsidRPr="00542EC9">
        <w:rPr>
          <w:rFonts w:eastAsia="Malgun Gothic"/>
        </w:rPr>
        <w:t>-</w:t>
      </w:r>
      <w:r w:rsidRPr="00542EC9">
        <w:rPr>
          <w:rFonts w:eastAsia="Malgun Gothic"/>
        </w:rPr>
        <w:tab/>
        <w:t>the condition when performing equal priority reselection and</w:t>
      </w:r>
    </w:p>
    <w:p w14:paraId="7A465FFB" w14:textId="177E83DD" w:rsidR="00542EC9" w:rsidRPr="00542EC9" w:rsidRDefault="009D430D" w:rsidP="009D430D">
      <w:pPr>
        <w:pStyle w:val="B10"/>
        <w:rPr>
          <w:rFonts w:eastAsia="Malgun Gothic"/>
        </w:rPr>
      </w:pPr>
      <w:r>
        <w:rPr>
          <w:rFonts w:eastAsia="Malgun Gothic" w:cs="v4.2.0"/>
          <w:lang w:eastAsia="zh-CN"/>
        </w:rPr>
        <w:t>-</w:t>
      </w:r>
      <w:r w:rsidR="00542EC9" w:rsidRPr="00542EC9">
        <w:rPr>
          <w:rFonts w:eastAsia="Malgun Gothic" w:cs="v4.2.0"/>
          <w:lang w:eastAsia="zh-CN"/>
        </w:rPr>
        <w:tab/>
        <w:t xml:space="preserve">when </w:t>
      </w:r>
      <w:r w:rsidR="00542EC9" w:rsidRPr="00542EC9">
        <w:rPr>
          <w:rFonts w:eastAsia="Malgun Gothic"/>
          <w:i/>
        </w:rPr>
        <w:t>rangeToBestCell</w:t>
      </w:r>
      <w:r w:rsidR="00542EC9" w:rsidRPr="00542EC9">
        <w:rPr>
          <w:rFonts w:eastAsia="Malgun Gothic"/>
        </w:rPr>
        <w:t xml:space="preserve"> is not configured:</w:t>
      </w:r>
    </w:p>
    <w:p w14:paraId="78DD113F" w14:textId="77777777" w:rsidR="00542EC9" w:rsidRPr="00542EC9" w:rsidRDefault="00542EC9" w:rsidP="009D430D">
      <w:pPr>
        <w:pStyle w:val="B20"/>
        <w:rPr>
          <w:rFonts w:eastAsia="Malgun Gothic"/>
        </w:rPr>
      </w:pPr>
      <w:r w:rsidRPr="00542EC9">
        <w:rPr>
          <w:rFonts w:eastAsia="Malgun Gothic"/>
        </w:rPr>
        <w:t>-</w:t>
      </w:r>
      <w:r w:rsidRPr="00542EC9">
        <w:rPr>
          <w:rFonts w:eastAsia="Malgun Gothic"/>
        </w:rPr>
        <w:tab/>
        <w:t xml:space="preserve">the cell is at least </w:t>
      </w:r>
      <w:r w:rsidRPr="00542EC9">
        <w:rPr>
          <w:rFonts w:eastAsia="Malgun Gothic"/>
          <w:lang w:eastAsia="zh-CN"/>
        </w:rPr>
        <w:t>5</w:t>
      </w:r>
      <w:r w:rsidRPr="00542EC9">
        <w:rPr>
          <w:rFonts w:eastAsia="Malgun Gothic"/>
        </w:rPr>
        <w:t>dB better ranked in FR1 or 6.5dB better ranked in FR2 or.</w:t>
      </w:r>
    </w:p>
    <w:p w14:paraId="53EBA1D6" w14:textId="77777777" w:rsidR="00542EC9" w:rsidRPr="00542EC9" w:rsidRDefault="00542EC9" w:rsidP="009D430D">
      <w:pPr>
        <w:pStyle w:val="B20"/>
        <w:rPr>
          <w:rFonts w:eastAsia="Malgun Gothic"/>
        </w:rPr>
      </w:pPr>
      <w:r w:rsidRPr="00542EC9">
        <w:rPr>
          <w:rFonts w:eastAsia="Malgun Gothic" w:cs="v4.2.0"/>
          <w:lang w:eastAsia="zh-CN"/>
        </w:rPr>
        <w:t xml:space="preserve">when </w:t>
      </w:r>
      <w:r w:rsidRPr="00542EC9">
        <w:rPr>
          <w:rFonts w:eastAsia="Malgun Gothic"/>
          <w:i/>
        </w:rPr>
        <w:t>rangeToBestCell</w:t>
      </w:r>
      <w:r w:rsidRPr="00542EC9">
        <w:rPr>
          <w:rFonts w:eastAsia="Malgun Gothic"/>
        </w:rPr>
        <w:t xml:space="preserve"> is configured:</w:t>
      </w:r>
    </w:p>
    <w:p w14:paraId="11AC63A4" w14:textId="77777777" w:rsidR="00542EC9" w:rsidRPr="00542EC9" w:rsidRDefault="00542EC9" w:rsidP="009D430D">
      <w:pPr>
        <w:pStyle w:val="B30"/>
        <w:rPr>
          <w:rFonts w:eastAsia="Malgun Gothic"/>
        </w:rPr>
      </w:pPr>
      <w:r w:rsidRPr="00542EC9">
        <w:rPr>
          <w:rFonts w:eastAsia="Malgun Gothic"/>
        </w:rPr>
        <w:t>-</w:t>
      </w:r>
      <w:r w:rsidRPr="00542EC9">
        <w:rPr>
          <w:rFonts w:eastAsia="Malgun Gothic"/>
        </w:rPr>
        <w:tab/>
        <w:t xml:space="preserve">the cell has the highest number of beams above the threshold </w:t>
      </w:r>
      <w:r w:rsidRPr="00542EC9">
        <w:rPr>
          <w:rFonts w:eastAsia="Malgun Gothic"/>
          <w:i/>
        </w:rPr>
        <w:t>absThreshSS-BlocksConsolidation</w:t>
      </w:r>
      <w:r w:rsidRPr="00542EC9">
        <w:rPr>
          <w:rFonts w:eastAsia="Malgun Gothic"/>
        </w:rPr>
        <w:t xml:space="preserve"> among all detected cells whose cell-ranking criterion R value in TS3</w:t>
      </w:r>
      <w:r w:rsidRPr="00542EC9">
        <w:rPr>
          <w:rFonts w:eastAsia="Malgun Gothic"/>
          <w:lang w:eastAsia="zh-CN"/>
        </w:rPr>
        <w:t>8</w:t>
      </w:r>
      <w:r w:rsidRPr="00542EC9">
        <w:rPr>
          <w:rFonts w:eastAsia="Malgun Gothic"/>
        </w:rPr>
        <w:t xml:space="preserve">.304 [1] is within </w:t>
      </w:r>
      <w:r w:rsidRPr="00542EC9">
        <w:rPr>
          <w:rFonts w:eastAsia="Malgun Gothic"/>
          <w:i/>
        </w:rPr>
        <w:t>rangeToBestCell</w:t>
      </w:r>
      <w:r w:rsidRPr="00542EC9">
        <w:rPr>
          <w:rFonts w:eastAsia="Malgun Gothic"/>
        </w:rPr>
        <w:t xml:space="preserve"> of the cell-ranking criterion R value of the highest ranked cell. </w:t>
      </w:r>
    </w:p>
    <w:p w14:paraId="1D773657" w14:textId="77777777" w:rsidR="00542EC9" w:rsidRPr="00542EC9" w:rsidRDefault="00542EC9" w:rsidP="009D430D">
      <w:pPr>
        <w:pStyle w:val="B4"/>
        <w:rPr>
          <w:rFonts w:eastAsia="Malgun Gothic"/>
        </w:rPr>
      </w:pPr>
      <w:r w:rsidRPr="00542EC9">
        <w:rPr>
          <w:rFonts w:eastAsia="Malgun Gothic"/>
        </w:rPr>
        <w:t>-</w:t>
      </w:r>
      <w:r w:rsidRPr="00542EC9">
        <w:rPr>
          <w:rFonts w:eastAsia="Malgun Gothic"/>
        </w:rPr>
        <w:tab/>
        <w:t xml:space="preserve">if there are multiple such cells, the cell has the highest rank among them </w:t>
      </w:r>
    </w:p>
    <w:p w14:paraId="016C5E15" w14:textId="77777777" w:rsidR="00542EC9" w:rsidRPr="00542EC9" w:rsidRDefault="00542EC9" w:rsidP="009D430D">
      <w:pPr>
        <w:pStyle w:val="B4"/>
        <w:rPr>
          <w:rFonts w:eastAsia="Malgun Gothic"/>
        </w:rPr>
      </w:pPr>
      <w:r w:rsidRPr="00542EC9">
        <w:rPr>
          <w:rFonts w:eastAsia="Malgun Gothic"/>
        </w:rPr>
        <w:t>-</w:t>
      </w:r>
      <w:r w:rsidRPr="00542EC9">
        <w:rPr>
          <w:rFonts w:eastAsia="Malgun Gothic"/>
        </w:rPr>
        <w:tab/>
        <w:t>the cell is at least 5dB better ranked in FR1 or 6.5dB better ranked in FR2 if the current serving cell is among them. or</w:t>
      </w:r>
    </w:p>
    <w:p w14:paraId="35620121" w14:textId="77777777" w:rsidR="00542EC9" w:rsidRPr="00542EC9" w:rsidRDefault="00542EC9" w:rsidP="009D430D">
      <w:pPr>
        <w:pStyle w:val="B10"/>
        <w:rPr>
          <w:rFonts w:eastAsia="Malgun Gothic"/>
          <w:lang w:eastAsia="zh-CN"/>
        </w:rPr>
      </w:pPr>
      <w:r w:rsidRPr="00542EC9">
        <w:rPr>
          <w:rFonts w:eastAsia="Malgun Gothic"/>
        </w:rPr>
        <w:t>-</w:t>
      </w:r>
      <w:r w:rsidRPr="00542EC9">
        <w:rPr>
          <w:rFonts w:eastAsia="Malgun Gothic"/>
        </w:rPr>
        <w:tab/>
      </w:r>
      <w:r w:rsidRPr="00542EC9">
        <w:rPr>
          <w:rFonts w:eastAsia="Malgun Gothic"/>
          <w:lang w:eastAsia="zh-CN"/>
        </w:rPr>
        <w:t>6dB in FR1 or 7.5dB in FR2 for SS-RSRP reselections based on absolute priorities or</w:t>
      </w:r>
    </w:p>
    <w:p w14:paraId="0BD21CFE" w14:textId="77777777" w:rsidR="00542EC9" w:rsidRPr="00542EC9" w:rsidRDefault="00542EC9" w:rsidP="009D430D">
      <w:pPr>
        <w:pStyle w:val="B10"/>
        <w:rPr>
          <w:rFonts w:eastAsia="Malgun Gothic"/>
        </w:rPr>
      </w:pPr>
      <w:r w:rsidRPr="00542EC9">
        <w:rPr>
          <w:rFonts w:eastAsia="Malgun Gothic"/>
        </w:rPr>
        <w:t>-</w:t>
      </w:r>
      <w:r w:rsidRPr="00542EC9">
        <w:rPr>
          <w:rFonts w:eastAsia="Malgun Gothic"/>
        </w:rPr>
        <w:tab/>
      </w:r>
      <w:r w:rsidRPr="00542EC9">
        <w:rPr>
          <w:rFonts w:eastAsia="Malgun Gothic"/>
          <w:lang w:eastAsia="zh-CN"/>
        </w:rPr>
        <w:t>4dB in FR1 or 4dB in FR2 for SS-RSRQ reselections based on absolute priorities</w:t>
      </w:r>
      <w:r w:rsidRPr="00542EC9">
        <w:rPr>
          <w:rFonts w:eastAsia="Malgun Gothic"/>
        </w:rPr>
        <w:t>.</w:t>
      </w:r>
    </w:p>
    <w:p w14:paraId="33AE1AB9" w14:textId="77777777" w:rsidR="005C3A5B" w:rsidRPr="00043DFE" w:rsidRDefault="005C3A5B" w:rsidP="005C3A5B">
      <w:pPr>
        <w:rPr>
          <w:rFonts w:eastAsia="Malgun Gothic" w:cs="v4.2.0"/>
        </w:rPr>
      </w:pPr>
      <w:r w:rsidRPr="00043DFE">
        <w:rPr>
          <w:rFonts w:eastAsia="Malgun Gothic" w:cs="v4.2.0"/>
        </w:rPr>
        <w:t xml:space="preserve">For an inter-frequency cell that has been already detected, but that has not been reselected to, the filtering shall be such that the UE is configured </w:t>
      </w:r>
      <w:r w:rsidRPr="00043DFE">
        <w:rPr>
          <w:rFonts w:cs="v4.2.0"/>
        </w:rPr>
        <w:t>with eDRX_IDLE cycle</w:t>
      </w:r>
      <w:r w:rsidRPr="00043DFE">
        <w:rPr>
          <w:rFonts w:eastAsia="Malgun Gothic" w:cs="v4.2.0"/>
        </w:rPr>
        <w:t xml:space="preserve"> shall be capable of evaluating that the inter-frequency cell has met reselection criterion defined TS 3</w:t>
      </w:r>
      <w:r w:rsidRPr="00043DFE">
        <w:rPr>
          <w:rFonts w:eastAsia="Malgun Gothic" w:cs="v4.2.0"/>
          <w:lang w:eastAsia="zh-CN"/>
        </w:rPr>
        <w:t>8</w:t>
      </w:r>
      <w:r w:rsidRPr="00043DFE">
        <w:rPr>
          <w:rFonts w:eastAsia="Malgun Gothic" w:cs="v4.2.0"/>
        </w:rPr>
        <w:t xml:space="preserve">.304 [1] within </w:t>
      </w:r>
      <w:r w:rsidRPr="00043DFE">
        <w:rPr>
          <w:rFonts w:eastAsia="Malgun Gothic"/>
        </w:rPr>
        <w:t>K</w:t>
      </w:r>
      <w:r w:rsidRPr="00043DFE">
        <w:rPr>
          <w:rFonts w:eastAsia="Malgun Gothic"/>
          <w:vertAlign w:val="subscript"/>
        </w:rPr>
        <w:t>carrier</w:t>
      </w:r>
      <w:r w:rsidRPr="00043DFE">
        <w:rPr>
          <w:rFonts w:eastAsia="Malgun Gothic"/>
        </w:rPr>
        <w:t xml:space="preserve"> * </w:t>
      </w:r>
      <w:r w:rsidRPr="00043DFE">
        <w:rPr>
          <w:rFonts w:eastAsia="Malgun Gothic" w:cs="v4.2.0"/>
        </w:rPr>
        <w:t>T</w:t>
      </w:r>
      <w:r w:rsidRPr="00043DFE">
        <w:rPr>
          <w:rFonts w:eastAsia="Malgun Gothic" w:cs="v4.2.0"/>
          <w:vertAlign w:val="subscript"/>
        </w:rPr>
        <w:t>evaluate,NR_Inter</w:t>
      </w:r>
      <w:r w:rsidRPr="00043DFE">
        <w:rPr>
          <w:rFonts w:eastAsia="Malgun Gothic" w:cs="v4.2.0"/>
        </w:rPr>
        <w:t xml:space="preserve"> when T</w:t>
      </w:r>
      <w:r w:rsidRPr="00043DFE">
        <w:rPr>
          <w:rFonts w:eastAsia="Malgun Gothic" w:cs="v4.2.0"/>
          <w:vertAlign w:val="subscript"/>
        </w:rPr>
        <w:t>reselection</w:t>
      </w:r>
      <w:r w:rsidRPr="00043DFE">
        <w:rPr>
          <w:rFonts w:eastAsia="Malgun Gothic" w:cs="v4.2.0"/>
        </w:rPr>
        <w:t xml:space="preserve"> = 0</w:t>
      </w:r>
      <w:r w:rsidRPr="00043DFE">
        <w:rPr>
          <w:rFonts w:eastAsia="Malgun Gothic" w:cs="v4.2.0"/>
          <w:i/>
          <w:vertAlign w:val="subscript"/>
        </w:rPr>
        <w:t xml:space="preserve"> </w:t>
      </w:r>
      <w:r w:rsidRPr="00043DFE">
        <w:rPr>
          <w:rFonts w:eastAsia="Malgun Gothic" w:cs="v4.2.0"/>
        </w:rPr>
        <w:t>as specified in table 4.2.2.4-3</w:t>
      </w:r>
      <w:r w:rsidRPr="00043DFE">
        <w:rPr>
          <w:rFonts w:eastAsia="Malgun Gothic"/>
        </w:rPr>
        <w:t xml:space="preserve"> and table 4.2.2.4-4</w:t>
      </w:r>
      <w:r w:rsidRPr="00043DFE">
        <w:rPr>
          <w:rFonts w:eastAsia="Malgun Gothic" w:cs="v4.2.0"/>
        </w:rPr>
        <w:t>, provided that the reselection criteria is met by</w:t>
      </w:r>
    </w:p>
    <w:p w14:paraId="3943EEB8" w14:textId="77777777" w:rsidR="005C3A5B" w:rsidRPr="00043DFE" w:rsidRDefault="005C3A5B" w:rsidP="0019791B">
      <w:pPr>
        <w:pStyle w:val="B10"/>
        <w:rPr>
          <w:rFonts w:eastAsia="Malgun Gothic"/>
        </w:rPr>
      </w:pPr>
      <w:r w:rsidRPr="00043DFE">
        <w:rPr>
          <w:rFonts w:eastAsia="Malgun Gothic"/>
        </w:rPr>
        <w:t>-</w:t>
      </w:r>
      <w:r w:rsidRPr="00043DFE">
        <w:rPr>
          <w:rFonts w:eastAsia="Malgun Gothic"/>
        </w:rPr>
        <w:tab/>
        <w:t>the condition when performing equal priority reselection and</w:t>
      </w:r>
    </w:p>
    <w:p w14:paraId="7E29D591" w14:textId="77777777" w:rsidR="005C3A5B" w:rsidRPr="00043DFE" w:rsidRDefault="005C3A5B" w:rsidP="0019791B">
      <w:pPr>
        <w:pStyle w:val="B10"/>
        <w:rPr>
          <w:rFonts w:eastAsia="Malgun Gothic"/>
        </w:rPr>
      </w:pPr>
      <w:r w:rsidRPr="00043DFE">
        <w:rPr>
          <w:rFonts w:eastAsia="Malgun Gothic" w:cs="v4.2.0"/>
          <w:lang w:eastAsia="zh-CN"/>
        </w:rPr>
        <w:t>-</w:t>
      </w:r>
      <w:r w:rsidRPr="00043DFE">
        <w:rPr>
          <w:rFonts w:eastAsia="Malgun Gothic" w:cs="v4.2.0"/>
          <w:lang w:eastAsia="zh-CN"/>
        </w:rPr>
        <w:tab/>
        <w:t xml:space="preserve">when </w:t>
      </w:r>
      <w:r w:rsidRPr="00043DFE">
        <w:rPr>
          <w:rFonts w:eastAsia="Malgun Gothic"/>
          <w:i/>
        </w:rPr>
        <w:t>rangeToBestCell</w:t>
      </w:r>
      <w:r w:rsidRPr="00043DFE">
        <w:rPr>
          <w:rFonts w:eastAsia="Malgun Gothic"/>
        </w:rPr>
        <w:t xml:space="preserve"> is not configured:</w:t>
      </w:r>
    </w:p>
    <w:p w14:paraId="25F31BE1" w14:textId="77777777" w:rsidR="005C3A5B" w:rsidRPr="00043DFE" w:rsidRDefault="005C3A5B" w:rsidP="0019791B">
      <w:pPr>
        <w:pStyle w:val="B20"/>
        <w:rPr>
          <w:rFonts w:eastAsia="Malgun Gothic"/>
        </w:rPr>
      </w:pPr>
      <w:r w:rsidRPr="00043DFE">
        <w:rPr>
          <w:rFonts w:eastAsia="Malgun Gothic"/>
        </w:rPr>
        <w:t>-</w:t>
      </w:r>
      <w:r w:rsidRPr="00043DFE">
        <w:rPr>
          <w:rFonts w:eastAsia="Malgun Gothic"/>
        </w:rPr>
        <w:tab/>
        <w:t xml:space="preserve">the cell is at least </w:t>
      </w:r>
      <w:r w:rsidRPr="00043DFE">
        <w:rPr>
          <w:rFonts w:eastAsia="Malgun Gothic"/>
          <w:lang w:eastAsia="zh-CN"/>
        </w:rPr>
        <w:t>5</w:t>
      </w:r>
      <w:r w:rsidRPr="00043DFE">
        <w:rPr>
          <w:rFonts w:eastAsia="Malgun Gothic"/>
        </w:rPr>
        <w:t>dB better ranked in FR1 or 6.5dB better ranked in FR2 or.</w:t>
      </w:r>
    </w:p>
    <w:p w14:paraId="7A81587B" w14:textId="77777777" w:rsidR="005C3A5B" w:rsidRPr="00043DFE" w:rsidRDefault="005C3A5B" w:rsidP="0019791B">
      <w:pPr>
        <w:pStyle w:val="B20"/>
        <w:rPr>
          <w:rFonts w:eastAsia="Malgun Gothic"/>
        </w:rPr>
      </w:pPr>
      <w:r w:rsidRPr="00043DFE">
        <w:rPr>
          <w:rFonts w:eastAsia="Malgun Gothic" w:cs="v4.2.0"/>
          <w:lang w:eastAsia="zh-CN"/>
        </w:rPr>
        <w:t xml:space="preserve">when </w:t>
      </w:r>
      <w:r w:rsidRPr="00043DFE">
        <w:rPr>
          <w:rFonts w:eastAsia="Malgun Gothic"/>
          <w:i/>
        </w:rPr>
        <w:t>rangeToBestCell</w:t>
      </w:r>
      <w:r w:rsidRPr="00043DFE">
        <w:rPr>
          <w:rFonts w:eastAsia="Malgun Gothic"/>
        </w:rPr>
        <w:t xml:space="preserve"> is configured:</w:t>
      </w:r>
    </w:p>
    <w:p w14:paraId="4F2C6D67" w14:textId="77777777" w:rsidR="005C3A5B" w:rsidRPr="00043DFE" w:rsidRDefault="005C3A5B" w:rsidP="0019791B">
      <w:pPr>
        <w:pStyle w:val="B30"/>
        <w:rPr>
          <w:rFonts w:eastAsia="Malgun Gothic"/>
        </w:rPr>
      </w:pPr>
      <w:r w:rsidRPr="00043DFE">
        <w:rPr>
          <w:rFonts w:eastAsia="Malgun Gothic"/>
        </w:rPr>
        <w:t>-</w:t>
      </w:r>
      <w:r w:rsidRPr="00043DFE">
        <w:rPr>
          <w:rFonts w:eastAsia="Malgun Gothic"/>
        </w:rPr>
        <w:tab/>
        <w:t xml:space="preserve">the cell has the highest number of beams above the threshold </w:t>
      </w:r>
      <w:r w:rsidRPr="00043DFE">
        <w:rPr>
          <w:rFonts w:eastAsia="Malgun Gothic"/>
          <w:i/>
        </w:rPr>
        <w:t>absThreshSS-BlocksConsolidation</w:t>
      </w:r>
      <w:r w:rsidRPr="00043DFE">
        <w:rPr>
          <w:rFonts w:eastAsia="Malgun Gothic"/>
        </w:rPr>
        <w:t xml:space="preserve"> among all detected cells whose cell-ranking criterion R value in TS3</w:t>
      </w:r>
      <w:r w:rsidRPr="00043DFE">
        <w:rPr>
          <w:rFonts w:eastAsia="Malgun Gothic"/>
          <w:lang w:eastAsia="zh-CN"/>
        </w:rPr>
        <w:t>8</w:t>
      </w:r>
      <w:r w:rsidRPr="00043DFE">
        <w:rPr>
          <w:rFonts w:eastAsia="Malgun Gothic"/>
        </w:rPr>
        <w:t xml:space="preserve">.304 [1] is within </w:t>
      </w:r>
      <w:r w:rsidRPr="00043DFE">
        <w:rPr>
          <w:rFonts w:eastAsia="Malgun Gothic"/>
          <w:i/>
        </w:rPr>
        <w:t>rangeToBestCell</w:t>
      </w:r>
      <w:r w:rsidRPr="00043DFE">
        <w:rPr>
          <w:rFonts w:eastAsia="Malgun Gothic"/>
        </w:rPr>
        <w:t xml:space="preserve"> of the cell-ranking criterion R value of the highest ranked cell. </w:t>
      </w:r>
    </w:p>
    <w:p w14:paraId="766DF908" w14:textId="77777777" w:rsidR="005C3A5B" w:rsidRPr="00043DFE" w:rsidRDefault="005C3A5B" w:rsidP="0019791B">
      <w:pPr>
        <w:pStyle w:val="B4"/>
        <w:rPr>
          <w:rFonts w:eastAsia="Malgun Gothic"/>
        </w:rPr>
      </w:pPr>
      <w:r w:rsidRPr="00043DFE">
        <w:rPr>
          <w:rFonts w:eastAsia="Malgun Gothic"/>
        </w:rPr>
        <w:t>-</w:t>
      </w:r>
      <w:r w:rsidRPr="00043DFE">
        <w:rPr>
          <w:rFonts w:eastAsia="Malgun Gothic"/>
        </w:rPr>
        <w:tab/>
        <w:t xml:space="preserve">if there are multiple such cells, the cell has the highest rank among them </w:t>
      </w:r>
    </w:p>
    <w:p w14:paraId="73F7A855" w14:textId="77777777" w:rsidR="005C3A5B" w:rsidRPr="00043DFE" w:rsidRDefault="005C3A5B" w:rsidP="0019791B">
      <w:pPr>
        <w:pStyle w:val="B4"/>
        <w:rPr>
          <w:rFonts w:eastAsia="Malgun Gothic"/>
        </w:rPr>
      </w:pPr>
      <w:r w:rsidRPr="00043DFE">
        <w:rPr>
          <w:rFonts w:eastAsia="Malgun Gothic"/>
        </w:rPr>
        <w:t>-</w:t>
      </w:r>
      <w:r w:rsidRPr="00043DFE">
        <w:rPr>
          <w:rFonts w:eastAsia="Malgun Gothic"/>
        </w:rPr>
        <w:tab/>
        <w:t>the cell is at least 5dB better ranked in FR1 or 6.5dB better ranked in FR2 if the current serving cell is among them. or</w:t>
      </w:r>
    </w:p>
    <w:p w14:paraId="7F01AB9A" w14:textId="77777777" w:rsidR="005C3A5B" w:rsidRPr="00043DFE" w:rsidRDefault="005C3A5B" w:rsidP="0019791B">
      <w:pPr>
        <w:pStyle w:val="B10"/>
        <w:rPr>
          <w:rFonts w:eastAsia="Malgun Gothic"/>
          <w:lang w:eastAsia="zh-CN"/>
        </w:rPr>
      </w:pPr>
      <w:r w:rsidRPr="00043DFE">
        <w:rPr>
          <w:rFonts w:eastAsia="Malgun Gothic"/>
        </w:rPr>
        <w:t>-</w:t>
      </w:r>
      <w:r w:rsidRPr="00043DFE">
        <w:rPr>
          <w:rFonts w:eastAsia="Malgun Gothic"/>
        </w:rPr>
        <w:tab/>
      </w:r>
      <w:r w:rsidRPr="00043DFE">
        <w:rPr>
          <w:rFonts w:eastAsia="Malgun Gothic"/>
          <w:lang w:eastAsia="zh-CN"/>
        </w:rPr>
        <w:t>6dB in FR1 or 7.5dB in FR2 for SS-RSRP reselections based on absolute priorities or</w:t>
      </w:r>
    </w:p>
    <w:p w14:paraId="7E213458" w14:textId="77777777" w:rsidR="005C3A5B" w:rsidRPr="00043DFE" w:rsidRDefault="005C3A5B" w:rsidP="0019791B">
      <w:pPr>
        <w:pStyle w:val="B10"/>
        <w:rPr>
          <w:rFonts w:eastAsia="Malgun Gothic"/>
        </w:rPr>
      </w:pPr>
      <w:r w:rsidRPr="00043DFE">
        <w:rPr>
          <w:rFonts w:eastAsia="Malgun Gothic"/>
        </w:rPr>
        <w:t>-</w:t>
      </w:r>
      <w:r w:rsidRPr="00043DFE">
        <w:rPr>
          <w:rFonts w:eastAsia="Malgun Gothic"/>
        </w:rPr>
        <w:tab/>
      </w:r>
      <w:r w:rsidRPr="00043DFE">
        <w:rPr>
          <w:rFonts w:eastAsia="Malgun Gothic"/>
          <w:lang w:eastAsia="zh-CN"/>
        </w:rPr>
        <w:t>4dB in FR1 or 4dB in FR2 for SS-RSRQ reselections based on absolute priorities</w:t>
      </w:r>
      <w:r w:rsidRPr="00043DFE">
        <w:rPr>
          <w:rFonts w:eastAsia="Malgun Gothic"/>
        </w:rPr>
        <w:t>.</w:t>
      </w:r>
    </w:p>
    <w:p w14:paraId="16AEFEAA" w14:textId="62061285" w:rsidR="00542EC9" w:rsidRPr="00542EC9" w:rsidRDefault="00542EC9" w:rsidP="00542EC9">
      <w:pPr>
        <w:rPr>
          <w:rFonts w:eastAsia="Malgun Gothic"/>
        </w:rPr>
      </w:pPr>
      <w:r w:rsidRPr="00542EC9">
        <w:rPr>
          <w:rFonts w:eastAsia="Malgun Gothic"/>
        </w:rPr>
        <w:t>When evaluating cells for reselection, the SSB side conditions apply to both serving and inter-frequency cells.</w:t>
      </w:r>
    </w:p>
    <w:p w14:paraId="526C70AF" w14:textId="77777777" w:rsidR="00542EC9" w:rsidRPr="00542EC9" w:rsidRDefault="00542EC9" w:rsidP="00542EC9">
      <w:pPr>
        <w:rPr>
          <w:rFonts w:eastAsia="Malgun Gothic"/>
          <w:lang w:eastAsia="zh-CN"/>
        </w:rPr>
      </w:pPr>
      <w:r w:rsidRPr="00542EC9">
        <w:rPr>
          <w:rFonts w:eastAsia="Malgun Gothic"/>
          <w:lang w:eastAsia="zh-CN"/>
        </w:rPr>
        <w:t>If T</w:t>
      </w:r>
      <w:r w:rsidRPr="00542EC9">
        <w:rPr>
          <w:rFonts w:eastAsia="Malgun Gothic"/>
          <w:vertAlign w:val="subscript"/>
          <w:lang w:eastAsia="zh-CN"/>
        </w:rPr>
        <w:t>reselection</w:t>
      </w:r>
      <w:r w:rsidRPr="00542EC9">
        <w:rPr>
          <w:rFonts w:eastAsia="Malgun Gothic"/>
          <w:lang w:eastAsia="zh-CN"/>
        </w:rPr>
        <w:t xml:space="preserve"> timer has a non zero value and the inter-frequency cell is satisfied with the reselection criteria, the UE shall evaluate this inter-frequency cell for the T</w:t>
      </w:r>
      <w:r w:rsidRPr="00542EC9">
        <w:rPr>
          <w:rFonts w:eastAsia="Malgun Gothic"/>
          <w:vertAlign w:val="subscript"/>
          <w:lang w:eastAsia="zh-CN"/>
        </w:rPr>
        <w:t>reselection</w:t>
      </w:r>
      <w:r w:rsidRPr="00542EC9">
        <w:rPr>
          <w:rFonts w:eastAsia="Malgun Gothic"/>
          <w:lang w:eastAsia="zh-CN"/>
        </w:rPr>
        <w:t xml:space="preserve"> time. If this cell remains satisfied with the reselection criteria within this duration, then the UE shall reselect that cell.</w:t>
      </w:r>
    </w:p>
    <w:p w14:paraId="252BDADE" w14:textId="211FAF41" w:rsidR="00542EC9" w:rsidRPr="00542EC9" w:rsidRDefault="00542EC9" w:rsidP="00542EC9">
      <w:pPr>
        <w:rPr>
          <w:rFonts w:eastAsia="Malgun Gothic"/>
          <w:noProof/>
        </w:rPr>
      </w:pPr>
      <w:r w:rsidRPr="00542EC9">
        <w:rPr>
          <w:rFonts w:eastAsia="Malgun Gothic"/>
          <w:noProof/>
        </w:rPr>
        <w:t>The UE is not expected to meet the measurement requirements for an inter-frequency carrier under DRX cycle=320 ms defined in Table 4.2.2.4-1 and Table 4.2.2.4-2</w:t>
      </w:r>
      <w:r w:rsidR="00340EC7">
        <w:rPr>
          <w:rFonts w:eastAsia="Malgun Gothic"/>
          <w:noProof/>
        </w:rPr>
        <w:t xml:space="preserve"> </w:t>
      </w:r>
      <w:r w:rsidRPr="00542EC9">
        <w:rPr>
          <w:rFonts w:eastAsia="Malgun Gothic"/>
          <w:noProof/>
        </w:rPr>
        <w:t>under the following conditions:</w:t>
      </w:r>
    </w:p>
    <w:p w14:paraId="1E7842B4" w14:textId="77777777" w:rsidR="00542EC9" w:rsidRPr="00542EC9" w:rsidRDefault="00542EC9" w:rsidP="009041DD">
      <w:pPr>
        <w:pStyle w:val="B10"/>
        <w:rPr>
          <w:rFonts w:eastAsia="Malgun Gothic"/>
        </w:rPr>
      </w:pPr>
      <w:r w:rsidRPr="00542EC9">
        <w:rPr>
          <w:rFonts w:eastAsia="Malgun Gothic"/>
          <w:noProof/>
        </w:rPr>
        <w:t>-</w:t>
      </w:r>
      <w:r w:rsidRPr="00542EC9">
        <w:rPr>
          <w:rFonts w:eastAsia="Malgun Gothic"/>
          <w:noProof/>
        </w:rPr>
        <w:tab/>
        <w:t>T</w:t>
      </w:r>
      <w:r w:rsidRPr="00542EC9">
        <w:rPr>
          <w:rFonts w:eastAsia="Malgun Gothic"/>
          <w:noProof/>
          <w:vertAlign w:val="subscript"/>
        </w:rPr>
        <w:t>SMTC_intra</w:t>
      </w:r>
      <w:r w:rsidRPr="00542EC9">
        <w:rPr>
          <w:rFonts w:eastAsia="Malgun Gothic"/>
          <w:noProof/>
        </w:rPr>
        <w:t xml:space="preserve"> = T</w:t>
      </w:r>
      <w:r w:rsidRPr="00542EC9">
        <w:rPr>
          <w:rFonts w:eastAsia="Malgun Gothic"/>
          <w:noProof/>
          <w:vertAlign w:val="subscript"/>
        </w:rPr>
        <w:t>SMTC_inter</w:t>
      </w:r>
      <w:r w:rsidRPr="00542EC9">
        <w:rPr>
          <w:rFonts w:eastAsia="Malgun Gothic"/>
          <w:noProof/>
        </w:rPr>
        <w:t xml:space="preserve"> = 160 ms; </w:t>
      </w:r>
      <w:r w:rsidRPr="00542EC9">
        <w:rPr>
          <w:rFonts w:eastAsia="Malgun Gothic"/>
        </w:rPr>
        <w:t xml:space="preserve">where </w:t>
      </w:r>
    </w:p>
    <w:p w14:paraId="06A3B4E2" w14:textId="77777777" w:rsidR="00542EC9" w:rsidRPr="00542EC9" w:rsidRDefault="00542EC9" w:rsidP="009041DD">
      <w:pPr>
        <w:pStyle w:val="B20"/>
      </w:pPr>
      <w:r w:rsidRPr="00542EC9">
        <w:t>-</w:t>
      </w:r>
      <w:r w:rsidRPr="00542EC9">
        <w:tab/>
        <w:t>TSMTC_intra is the periodicity of the SMTC configured for the intra-frequency carrier if no identified intra-frequency cell is in the PCI list of smtc2-LP on this intra-frequency carrier; TSMTC_intra is the periodicity of the smtc2-LP configured for the intra-frequency carrier if at least one identified intra-frequency cell is in the PCI list of smtc2-LP on this intra-frequency carrier. During PSS/SSS detection, the periodicity of the SMTC configured for the intra-frequency carrier is assumed for TSMTC_intra. If the actual SSB transmission periodicity is greater than the SMTC configured for the intra-frequency carrier, longer Tdetect, NR_intra is expected.</w:t>
      </w:r>
    </w:p>
    <w:p w14:paraId="515EEC23" w14:textId="77777777" w:rsidR="00542EC9" w:rsidRPr="00542EC9" w:rsidRDefault="00542EC9" w:rsidP="009041DD">
      <w:pPr>
        <w:pStyle w:val="B20"/>
      </w:pPr>
      <w:r w:rsidRPr="00542EC9">
        <w:t>-</w:t>
      </w:r>
      <w:r w:rsidRPr="00542EC9">
        <w:tab/>
        <w:t>TSMTC_inter is the actual SMTC periodicity used by the inter-frequency cell being identified. During PSS/SSS detection, the periodicity of the SMTC configured for the inter-frequency carrier is assumed for TSMTC_inter. If the actual SSB transmission periodicity is greater than the SMTC configured for the inter-frequency carrier, longer Tdetect, NR_inter is expected.</w:t>
      </w:r>
    </w:p>
    <w:p w14:paraId="4195D0BC" w14:textId="77777777" w:rsidR="00542EC9" w:rsidRPr="00542EC9" w:rsidRDefault="00542EC9" w:rsidP="009041DD">
      <w:pPr>
        <w:pStyle w:val="B10"/>
        <w:rPr>
          <w:rFonts w:eastAsia="Malgun Gothic"/>
          <w:noProof/>
        </w:rPr>
      </w:pPr>
      <w:r w:rsidRPr="00542EC9">
        <w:rPr>
          <w:rFonts w:eastAsia="Malgun Gothic"/>
          <w:noProof/>
        </w:rPr>
        <w:t>-</w:t>
      </w:r>
      <w:r w:rsidRPr="00542EC9">
        <w:rPr>
          <w:rFonts w:eastAsia="Malgun Gothic"/>
          <w:noProof/>
        </w:rPr>
        <w:tab/>
        <w:t>SMTC occasions configured for the inter-frequency carrier occur up to 1 ms before the start or up to 1 ms after the end of the SMTC occasions configured for the intra-frequency carrier, and</w:t>
      </w:r>
    </w:p>
    <w:p w14:paraId="2B7583DB" w14:textId="3884B4C7" w:rsidR="00542EC9" w:rsidRDefault="00A20BE0" w:rsidP="009041DD">
      <w:pPr>
        <w:pStyle w:val="B10"/>
        <w:rPr>
          <w:rFonts w:eastAsia="Malgun Gothic"/>
          <w:noProof/>
        </w:rPr>
      </w:pPr>
      <w:r w:rsidRPr="00542EC9">
        <w:rPr>
          <w:rFonts w:eastAsia="Malgun Gothic"/>
          <w:noProof/>
        </w:rPr>
        <w:t>-</w:t>
      </w:r>
      <w:r w:rsidRPr="00542EC9">
        <w:rPr>
          <w:rFonts w:eastAsia="Malgun Gothic"/>
          <w:noProof/>
        </w:rPr>
        <w:tab/>
        <w:t xml:space="preserve">SMTC occasions configured for the intra-frequency carrier and for the inter-frequency carrier occur up to 1 ms before the start or up to 1 ms after the end of the paging occasion </w:t>
      </w:r>
      <w:r w:rsidRPr="00542EC9">
        <w:rPr>
          <w:rFonts w:eastAsia="Malgun Gothic"/>
        </w:rPr>
        <w:t>in TS3</w:t>
      </w:r>
      <w:r w:rsidRPr="00542EC9">
        <w:rPr>
          <w:rFonts w:eastAsia="Malgun Gothic"/>
          <w:lang w:eastAsia="zh-CN"/>
        </w:rPr>
        <w:t>8</w:t>
      </w:r>
      <w:r w:rsidRPr="00542EC9">
        <w:rPr>
          <w:rFonts w:eastAsia="Malgun Gothic"/>
        </w:rPr>
        <w:t xml:space="preserve">.304 </w:t>
      </w:r>
      <w:r w:rsidRPr="00542EC9">
        <w:rPr>
          <w:rFonts w:eastAsia="Malgun Gothic"/>
          <w:noProof/>
        </w:rPr>
        <w:t>[1].</w:t>
      </w:r>
    </w:p>
    <w:p w14:paraId="71EB1425" w14:textId="77777777" w:rsidR="0097484A" w:rsidRPr="00043DFE" w:rsidRDefault="0097484A" w:rsidP="0097484A">
      <w:pPr>
        <w:rPr>
          <w:rFonts w:cs="v4.2.0"/>
          <w:lang w:eastAsia="zh-CN"/>
        </w:rPr>
      </w:pPr>
      <w:r w:rsidRPr="00043DFE">
        <w:rPr>
          <w:rFonts w:cs="v4.2.0"/>
          <w:lang w:eastAsia="zh-CN"/>
        </w:rPr>
        <w:t xml:space="preserve">For UE not configured with eDRX_IDLE cycle, </w:t>
      </w:r>
      <w:r w:rsidRPr="00043DFE">
        <w:t>T</w:t>
      </w:r>
      <w:r w:rsidRPr="00043DFE">
        <w:rPr>
          <w:vertAlign w:val="subscript"/>
        </w:rPr>
        <w:t>detect,NR_Inter,</w:t>
      </w:r>
      <w:r w:rsidRPr="00043DFE">
        <w:t xml:space="preserve"> T</w:t>
      </w:r>
      <w:r w:rsidRPr="00043DFE">
        <w:rPr>
          <w:vertAlign w:val="subscript"/>
        </w:rPr>
        <w:t>measure,NR_ Inter</w:t>
      </w:r>
      <w:r w:rsidRPr="00043DFE">
        <w:t xml:space="preserve"> and T</w:t>
      </w:r>
      <w:r w:rsidRPr="00043DFE">
        <w:rPr>
          <w:vertAlign w:val="subscript"/>
        </w:rPr>
        <w:t>evaluate,NR_ Inter</w:t>
      </w:r>
      <w:r w:rsidRPr="00043DFE">
        <w:t xml:space="preserve"> </w:t>
      </w:r>
      <w:r w:rsidRPr="00043DFE">
        <w:rPr>
          <w:rFonts w:cs="v4.2.0"/>
          <w:lang w:eastAsia="zh-CN"/>
        </w:rPr>
        <w:t xml:space="preserve">are specified in </w:t>
      </w:r>
      <w:r w:rsidRPr="00043DFE">
        <w:t>Table 4.2.2.4.1-1 and 4.2.2.4.1-2</w:t>
      </w:r>
      <w:r w:rsidRPr="00043DFE">
        <w:rPr>
          <w:rFonts w:cs="v4.2.0"/>
          <w:lang w:eastAsia="zh-CN"/>
        </w:rPr>
        <w:t xml:space="preserve">. </w:t>
      </w:r>
    </w:p>
    <w:p w14:paraId="561800FF" w14:textId="6270C3A7" w:rsidR="0097484A" w:rsidRPr="00542EC9" w:rsidRDefault="0097484A" w:rsidP="0097484A">
      <w:pPr>
        <w:rPr>
          <w:rFonts w:eastAsia="Malgun Gothic"/>
          <w:noProof/>
        </w:rPr>
      </w:pPr>
      <w:r w:rsidRPr="00043DFE">
        <w:rPr>
          <w:rFonts w:cs="v4.2.0"/>
          <w:lang w:eastAsia="zh-CN"/>
        </w:rPr>
        <w:t xml:space="preserve">For UE configured with eDRX_IDLE cycle, </w:t>
      </w:r>
      <w:r w:rsidRPr="00043DFE">
        <w:t>T</w:t>
      </w:r>
      <w:r w:rsidRPr="00043DFE">
        <w:rPr>
          <w:vertAlign w:val="subscript"/>
        </w:rPr>
        <w:t>detect,NR_ Inter,</w:t>
      </w:r>
      <w:r w:rsidRPr="00043DFE">
        <w:t xml:space="preserve"> T</w:t>
      </w:r>
      <w:r w:rsidRPr="00043DFE">
        <w:rPr>
          <w:vertAlign w:val="subscript"/>
        </w:rPr>
        <w:t>measure,NR_ Inter</w:t>
      </w:r>
      <w:r w:rsidRPr="00043DFE">
        <w:t xml:space="preserve"> and T</w:t>
      </w:r>
      <w:r w:rsidRPr="00043DFE">
        <w:rPr>
          <w:vertAlign w:val="subscript"/>
        </w:rPr>
        <w:t>evaluate,NR_ Inter</w:t>
      </w:r>
      <w:r w:rsidRPr="00043DFE">
        <w:rPr>
          <w:rFonts w:cs="v4.2.0"/>
          <w:lang w:eastAsia="zh-CN"/>
        </w:rPr>
        <w:t xml:space="preserve"> are specified in </w:t>
      </w:r>
      <w:r w:rsidRPr="00043DFE">
        <w:t>Table 4.2.2.4-3 and Table 4.2.2.4-4 for FR1 and FR2 respectively. T</w:t>
      </w:r>
      <w:r w:rsidRPr="00043DFE">
        <w:rPr>
          <w:rFonts w:cs="v4.2.0"/>
          <w:lang w:eastAsia="zh-CN"/>
        </w:rPr>
        <w:t xml:space="preserve">he requirements apply provided that the serving cell is </w:t>
      </w:r>
      <w:r w:rsidRPr="00043DFE">
        <w:rPr>
          <w:rFonts w:cs="v4.2.0"/>
        </w:rPr>
        <w:t xml:space="preserve">configured with eDRX_IDLE and is </w:t>
      </w:r>
      <w:r w:rsidRPr="00043DFE">
        <w:rPr>
          <w:rFonts w:cs="v4.2.0"/>
          <w:lang w:eastAsia="zh-CN"/>
        </w:rPr>
        <w:t xml:space="preserve">the same in all PTWs during any of </w:t>
      </w:r>
      <w:r w:rsidRPr="00043DFE">
        <w:t>T</w:t>
      </w:r>
      <w:r w:rsidRPr="00043DFE">
        <w:rPr>
          <w:vertAlign w:val="subscript"/>
        </w:rPr>
        <w:t>detect,NR_ Inter,</w:t>
      </w:r>
      <w:r w:rsidRPr="00043DFE">
        <w:t xml:space="preserve"> T</w:t>
      </w:r>
      <w:r w:rsidRPr="00043DFE">
        <w:rPr>
          <w:vertAlign w:val="subscript"/>
        </w:rPr>
        <w:t>measure,NR_ Inter</w:t>
      </w:r>
      <w:r w:rsidRPr="00043DFE">
        <w:t xml:space="preserve"> and T</w:t>
      </w:r>
      <w:r w:rsidRPr="00043DFE">
        <w:rPr>
          <w:vertAlign w:val="subscript"/>
        </w:rPr>
        <w:t>evaluate,NR_ Inter</w:t>
      </w:r>
      <w:r w:rsidRPr="00043DFE">
        <w:t xml:space="preserve"> when multiple PTWs are used.</w:t>
      </w:r>
    </w:p>
    <w:p w14:paraId="0941972C" w14:textId="77777777" w:rsidR="00A20BE0" w:rsidRPr="00542EC9" w:rsidRDefault="00A20BE0" w:rsidP="00A20BE0">
      <w:pPr>
        <w:keepNext/>
        <w:keepLines/>
        <w:spacing w:before="60"/>
        <w:jc w:val="center"/>
        <w:rPr>
          <w:rFonts w:ascii="Arial" w:eastAsia="Malgun Gothic" w:hAnsi="Arial"/>
          <w:b/>
          <w:vertAlign w:val="subscript"/>
        </w:rPr>
      </w:pPr>
      <w:r w:rsidRPr="00542EC9">
        <w:rPr>
          <w:rFonts w:ascii="Arial" w:eastAsia="Malgun Gothic" w:hAnsi="Arial"/>
          <w:b/>
        </w:rPr>
        <w:t>Table 4.2.2.4-1: T</w:t>
      </w:r>
      <w:r w:rsidRPr="00542EC9">
        <w:rPr>
          <w:rFonts w:ascii="Arial" w:eastAsia="Malgun Gothic" w:hAnsi="Arial"/>
          <w:b/>
          <w:vertAlign w:val="subscript"/>
        </w:rPr>
        <w:t>detect,NR_Inter,</w:t>
      </w:r>
      <w:r w:rsidRPr="00542EC9">
        <w:rPr>
          <w:rFonts w:ascii="Arial" w:eastAsia="Malgun Gothic" w:hAnsi="Arial"/>
          <w:b/>
        </w:rPr>
        <w:t xml:space="preserve"> T</w:t>
      </w:r>
      <w:r w:rsidRPr="00542EC9">
        <w:rPr>
          <w:rFonts w:ascii="Arial" w:eastAsia="Malgun Gothic" w:hAnsi="Arial"/>
          <w:b/>
          <w:vertAlign w:val="subscript"/>
        </w:rPr>
        <w:t>measure,NR_Inter</w:t>
      </w:r>
      <w:r w:rsidRPr="00542EC9">
        <w:rPr>
          <w:rFonts w:ascii="Arial" w:eastAsia="Malgun Gothic" w:hAnsi="Arial"/>
          <w:b/>
        </w:rPr>
        <w:t xml:space="preserve"> and T</w:t>
      </w:r>
      <w:r w:rsidRPr="00542EC9">
        <w:rPr>
          <w:rFonts w:ascii="Arial" w:eastAsia="Malgun Gothic" w:hAnsi="Arial"/>
          <w:b/>
          <w:vertAlign w:val="subscript"/>
        </w:rPr>
        <w:t>evaluate,NR_Inter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557"/>
        <w:gridCol w:w="1241"/>
        <w:gridCol w:w="1191"/>
        <w:gridCol w:w="1415"/>
        <w:gridCol w:w="2061"/>
        <w:gridCol w:w="2047"/>
      </w:tblGrid>
      <w:tr w:rsidR="00A20BE0" w:rsidRPr="00542EC9" w14:paraId="2E80A3BA" w14:textId="77777777" w:rsidTr="00583014">
        <w:trPr>
          <w:cantSplit/>
          <w:trHeight w:val="310"/>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34512AE2"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DRX cycle length [s]</w:t>
            </w:r>
          </w:p>
        </w:tc>
        <w:tc>
          <w:tcPr>
            <w:tcW w:w="2989" w:type="dxa"/>
            <w:gridSpan w:val="3"/>
            <w:tcBorders>
              <w:top w:val="single" w:sz="4" w:space="0" w:color="auto"/>
              <w:left w:val="single" w:sz="4" w:space="0" w:color="auto"/>
              <w:bottom w:val="single" w:sz="4" w:space="0" w:color="auto"/>
              <w:right w:val="single" w:sz="4" w:space="0" w:color="auto"/>
            </w:tcBorders>
            <w:hideMark/>
          </w:tcPr>
          <w:p w14:paraId="28E6E6E9"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Scaling Factor (N1)</w:t>
            </w:r>
          </w:p>
        </w:tc>
        <w:tc>
          <w:tcPr>
            <w:tcW w:w="1415" w:type="dxa"/>
            <w:vMerge w:val="restart"/>
            <w:tcBorders>
              <w:top w:val="single" w:sz="4" w:space="0" w:color="auto"/>
              <w:left w:val="single" w:sz="4" w:space="0" w:color="auto"/>
              <w:bottom w:val="single" w:sz="4" w:space="0" w:color="auto"/>
              <w:right w:val="single" w:sz="4" w:space="0" w:color="auto"/>
            </w:tcBorders>
            <w:hideMark/>
          </w:tcPr>
          <w:p w14:paraId="3D354512"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T</w:t>
            </w:r>
            <w:r w:rsidRPr="00542EC9">
              <w:rPr>
                <w:rFonts w:ascii="Arial" w:eastAsia="Malgun Gothic" w:hAnsi="Arial"/>
                <w:b/>
                <w:sz w:val="18"/>
                <w:vertAlign w:val="subscript"/>
              </w:rPr>
              <w:t>detect,NR_</w:t>
            </w:r>
            <w:r w:rsidRPr="00542EC9">
              <w:rPr>
                <w:rFonts w:ascii="Arial" w:eastAsia="Malgun Gothic" w:hAnsi="Arial" w:cs="v4.2.0"/>
                <w:b/>
                <w:sz w:val="18"/>
                <w:vertAlign w:val="subscript"/>
              </w:rPr>
              <w:t>Inter</w:t>
            </w:r>
            <w:r w:rsidRPr="00542EC9">
              <w:rPr>
                <w:rFonts w:ascii="Arial" w:eastAsia="Malgun Gothic" w:hAnsi="Arial"/>
                <w:b/>
                <w:sz w:val="18"/>
              </w:rPr>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3FA7A7DE"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T</w:t>
            </w:r>
            <w:r w:rsidRPr="00542EC9">
              <w:rPr>
                <w:rFonts w:ascii="Arial" w:eastAsia="Malgun Gothic" w:hAnsi="Arial"/>
                <w:b/>
                <w:sz w:val="18"/>
                <w:vertAlign w:val="subscript"/>
              </w:rPr>
              <w:t>measure,NR_</w:t>
            </w:r>
            <w:r w:rsidRPr="00542EC9">
              <w:rPr>
                <w:rFonts w:ascii="Arial" w:eastAsia="Malgun Gothic" w:hAnsi="Arial" w:cs="v4.2.0"/>
                <w:b/>
                <w:sz w:val="18"/>
                <w:vertAlign w:val="subscript"/>
              </w:rPr>
              <w:t>Inter</w:t>
            </w:r>
            <w:r w:rsidRPr="00542EC9">
              <w:rPr>
                <w:rFonts w:ascii="Arial" w:eastAsia="Malgun Gothic" w:hAnsi="Arial"/>
                <w:b/>
                <w:sz w:val="18"/>
              </w:rPr>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1DDFD1CF"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T</w:t>
            </w:r>
            <w:r w:rsidRPr="00542EC9">
              <w:rPr>
                <w:rFonts w:ascii="Arial" w:eastAsia="Malgun Gothic" w:hAnsi="Arial"/>
                <w:b/>
                <w:sz w:val="18"/>
                <w:vertAlign w:val="subscript"/>
              </w:rPr>
              <w:t>evaluate,NR_</w:t>
            </w:r>
            <w:r w:rsidRPr="00542EC9">
              <w:rPr>
                <w:rFonts w:ascii="Arial" w:eastAsia="Malgun Gothic" w:hAnsi="Arial" w:cs="v4.2.0"/>
                <w:b/>
                <w:sz w:val="18"/>
                <w:vertAlign w:val="subscript"/>
              </w:rPr>
              <w:t>Inter</w:t>
            </w:r>
            <w:r w:rsidRPr="00542EC9">
              <w:rPr>
                <w:rFonts w:ascii="Arial" w:eastAsia="Malgun Gothic" w:hAnsi="Arial" w:cs="Arial"/>
                <w:b/>
                <w:sz w:val="18"/>
              </w:rPr>
              <w:t xml:space="preserve"> </w:t>
            </w:r>
            <w:r w:rsidRPr="00542EC9">
              <w:rPr>
                <w:rFonts w:ascii="Arial" w:eastAsia="Malgun Gothic" w:hAnsi="Arial"/>
                <w:b/>
                <w:sz w:val="18"/>
              </w:rPr>
              <w:t>[s] (number of DRX cycles)</w:t>
            </w:r>
          </w:p>
        </w:tc>
      </w:tr>
      <w:tr w:rsidR="00A20BE0" w:rsidRPr="00542EC9" w14:paraId="4B72977B" w14:textId="77777777" w:rsidTr="00583014">
        <w:trPr>
          <w:cantSplit/>
          <w:trHeight w:val="43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15F2E2" w14:textId="77777777" w:rsidR="00A20BE0" w:rsidRPr="00542EC9" w:rsidRDefault="00A20BE0" w:rsidP="00583014">
            <w:pPr>
              <w:keepNext/>
              <w:keepLines/>
              <w:spacing w:after="0"/>
              <w:jc w:val="center"/>
              <w:rPr>
                <w:rFonts w:ascii="Arial" w:eastAsia="Malgun Gothic" w:hAnsi="Arial"/>
                <w:b/>
                <w:sz w:val="18"/>
              </w:rPr>
            </w:pPr>
          </w:p>
        </w:tc>
        <w:tc>
          <w:tcPr>
            <w:tcW w:w="0" w:type="auto"/>
            <w:tcBorders>
              <w:top w:val="single" w:sz="4" w:space="0" w:color="auto"/>
              <w:left w:val="single" w:sz="4" w:space="0" w:color="auto"/>
              <w:bottom w:val="single" w:sz="4" w:space="0" w:color="auto"/>
              <w:right w:val="single" w:sz="4" w:space="0" w:color="auto"/>
            </w:tcBorders>
            <w:hideMark/>
          </w:tcPr>
          <w:p w14:paraId="1D13998D"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FR1</w:t>
            </w:r>
          </w:p>
        </w:tc>
        <w:tc>
          <w:tcPr>
            <w:tcW w:w="1241" w:type="dxa"/>
            <w:tcBorders>
              <w:top w:val="single" w:sz="4" w:space="0" w:color="auto"/>
              <w:left w:val="single" w:sz="4" w:space="0" w:color="auto"/>
              <w:bottom w:val="single" w:sz="4" w:space="0" w:color="auto"/>
              <w:right w:val="single" w:sz="4" w:space="0" w:color="auto"/>
            </w:tcBorders>
            <w:hideMark/>
          </w:tcPr>
          <w:p w14:paraId="13F67AB6" w14:textId="77777777" w:rsidR="00A20BE0" w:rsidRPr="00542EC9" w:rsidRDefault="00A20BE0" w:rsidP="00583014">
            <w:pPr>
              <w:keepNext/>
              <w:keepLines/>
              <w:spacing w:after="0"/>
              <w:jc w:val="center"/>
              <w:rPr>
                <w:rFonts w:ascii="Arial" w:eastAsia="Malgun Gothic" w:hAnsi="Arial"/>
                <w:b/>
                <w:sz w:val="18"/>
                <w:vertAlign w:val="superscript"/>
              </w:rPr>
            </w:pPr>
            <w:r w:rsidRPr="00542EC9">
              <w:rPr>
                <w:rFonts w:ascii="Arial" w:eastAsia="Malgun Gothic" w:hAnsi="Arial"/>
                <w:b/>
                <w:sz w:val="18"/>
              </w:rPr>
              <w:t>FR2</w:t>
            </w:r>
            <w:r>
              <w:rPr>
                <w:rFonts w:ascii="Arial" w:eastAsia="Malgun Gothic" w:hAnsi="Arial"/>
                <w:b/>
                <w:sz w:val="18"/>
              </w:rPr>
              <w:t>-1</w:t>
            </w:r>
            <w:r w:rsidRPr="00542EC9">
              <w:rPr>
                <w:rFonts w:ascii="Arial" w:eastAsia="Malgun Gothic" w:hAnsi="Arial"/>
                <w:b/>
                <w:sz w:val="18"/>
                <w:vertAlign w:val="superscript"/>
              </w:rPr>
              <w:t>Note1</w:t>
            </w:r>
          </w:p>
        </w:tc>
        <w:tc>
          <w:tcPr>
            <w:tcW w:w="1191" w:type="dxa"/>
            <w:tcBorders>
              <w:top w:val="single" w:sz="4" w:space="0" w:color="auto"/>
              <w:left w:val="single" w:sz="4" w:space="0" w:color="auto"/>
              <w:bottom w:val="single" w:sz="4" w:space="0" w:color="auto"/>
              <w:right w:val="single" w:sz="4" w:space="0" w:color="auto"/>
            </w:tcBorders>
          </w:tcPr>
          <w:p w14:paraId="71CE4C57" w14:textId="77777777" w:rsidR="00A20BE0" w:rsidRPr="00DF4E37" w:rsidRDefault="00A20BE0" w:rsidP="00583014">
            <w:pPr>
              <w:keepNext/>
              <w:keepLines/>
              <w:spacing w:after="0"/>
              <w:jc w:val="center"/>
              <w:rPr>
                <w:rFonts w:ascii="Arial" w:eastAsia="Malgun Gothic" w:hAnsi="Arial" w:cs="Arial"/>
                <w:b/>
                <w:sz w:val="18"/>
                <w:szCs w:val="18"/>
                <w:vertAlign w:val="superscript"/>
              </w:rPr>
            </w:pPr>
            <w:r w:rsidRPr="00DF4E37">
              <w:rPr>
                <w:rFonts w:ascii="Arial" w:hAnsi="Arial" w:cs="Arial"/>
                <w:b/>
                <w:bCs/>
                <w:sz w:val="18"/>
                <w:szCs w:val="18"/>
              </w:rPr>
              <w:t>FR2-2</w:t>
            </w:r>
            <w:r w:rsidRPr="00DF4E37">
              <w:rPr>
                <w:rFonts w:ascii="Arial" w:hAnsi="Arial" w:cs="Arial"/>
                <w:sz w:val="18"/>
                <w:szCs w:val="18"/>
                <w:vertAlign w:val="superscript"/>
              </w:rPr>
              <w:t xml:space="preserve"> Note2</w:t>
            </w:r>
          </w:p>
        </w:tc>
        <w:tc>
          <w:tcPr>
            <w:tcW w:w="1415" w:type="dxa"/>
            <w:vMerge/>
            <w:tcBorders>
              <w:top w:val="single" w:sz="4" w:space="0" w:color="auto"/>
              <w:left w:val="single" w:sz="4" w:space="0" w:color="auto"/>
              <w:bottom w:val="single" w:sz="4" w:space="0" w:color="auto"/>
              <w:right w:val="single" w:sz="4" w:space="0" w:color="auto"/>
            </w:tcBorders>
            <w:vAlign w:val="center"/>
            <w:hideMark/>
          </w:tcPr>
          <w:p w14:paraId="1253969A" w14:textId="77777777" w:rsidR="00A20BE0" w:rsidRPr="00542EC9" w:rsidRDefault="00A20BE0" w:rsidP="00583014">
            <w:pPr>
              <w:keepNext/>
              <w:keepLines/>
              <w:spacing w:after="0"/>
              <w:jc w:val="center"/>
              <w:rPr>
                <w:rFonts w:ascii="Arial" w:eastAsia="Malgun Gothic"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54220" w14:textId="77777777" w:rsidR="00A20BE0" w:rsidRPr="00542EC9" w:rsidRDefault="00A20BE0" w:rsidP="00583014">
            <w:pPr>
              <w:keepNext/>
              <w:keepLines/>
              <w:spacing w:after="0"/>
              <w:jc w:val="center"/>
              <w:rPr>
                <w:rFonts w:ascii="Arial" w:eastAsia="Malgun Gothic"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869799" w14:textId="77777777" w:rsidR="00A20BE0" w:rsidRPr="00542EC9" w:rsidRDefault="00A20BE0" w:rsidP="00583014">
            <w:pPr>
              <w:keepNext/>
              <w:keepLines/>
              <w:spacing w:after="0"/>
              <w:jc w:val="center"/>
              <w:rPr>
                <w:rFonts w:ascii="Arial" w:eastAsia="Malgun Gothic" w:hAnsi="Arial"/>
                <w:b/>
                <w:sz w:val="18"/>
              </w:rPr>
            </w:pPr>
          </w:p>
        </w:tc>
      </w:tr>
      <w:tr w:rsidR="00A20BE0" w:rsidRPr="00542EC9" w14:paraId="440B4C24"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62A2DCB"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0.32</w:t>
            </w:r>
          </w:p>
        </w:tc>
        <w:tc>
          <w:tcPr>
            <w:tcW w:w="0" w:type="auto"/>
            <w:tcBorders>
              <w:top w:val="single" w:sz="4" w:space="0" w:color="auto"/>
              <w:left w:val="single" w:sz="4" w:space="0" w:color="auto"/>
              <w:bottom w:val="nil"/>
              <w:right w:val="single" w:sz="4" w:space="0" w:color="auto"/>
            </w:tcBorders>
            <w:hideMark/>
          </w:tcPr>
          <w:p w14:paraId="1B2B6BA3"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1</w:t>
            </w:r>
          </w:p>
        </w:tc>
        <w:tc>
          <w:tcPr>
            <w:tcW w:w="1241" w:type="dxa"/>
            <w:tcBorders>
              <w:top w:val="single" w:sz="4" w:space="0" w:color="auto"/>
              <w:left w:val="single" w:sz="4" w:space="0" w:color="auto"/>
              <w:bottom w:val="single" w:sz="4" w:space="0" w:color="auto"/>
              <w:right w:val="single" w:sz="4" w:space="0" w:color="auto"/>
            </w:tcBorders>
            <w:hideMark/>
          </w:tcPr>
          <w:p w14:paraId="6BCD0A1A"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8</w:t>
            </w:r>
          </w:p>
        </w:tc>
        <w:tc>
          <w:tcPr>
            <w:tcW w:w="1191" w:type="dxa"/>
            <w:tcBorders>
              <w:top w:val="single" w:sz="4" w:space="0" w:color="auto"/>
              <w:left w:val="single" w:sz="4" w:space="0" w:color="auto"/>
              <w:bottom w:val="single" w:sz="4" w:space="0" w:color="auto"/>
              <w:right w:val="single" w:sz="4" w:space="0" w:color="auto"/>
            </w:tcBorders>
          </w:tcPr>
          <w:p w14:paraId="340988FF" w14:textId="77777777" w:rsidR="00A20BE0" w:rsidRPr="00DF4E37" w:rsidRDefault="00A20BE0" w:rsidP="00583014">
            <w:pPr>
              <w:keepNext/>
              <w:keepLines/>
              <w:spacing w:after="0"/>
              <w:jc w:val="center"/>
              <w:rPr>
                <w:rFonts w:ascii="Arial" w:eastAsia="Malgun Gothic" w:hAnsi="Arial" w:cs="Arial"/>
                <w:sz w:val="18"/>
                <w:szCs w:val="18"/>
              </w:rPr>
            </w:pPr>
            <w:r w:rsidRPr="00DF4E37">
              <w:rPr>
                <w:rFonts w:ascii="Arial" w:hAnsi="Arial" w:cs="Arial"/>
                <w:sz w:val="18"/>
                <w:szCs w:val="18"/>
              </w:rPr>
              <w:t>12</w:t>
            </w:r>
          </w:p>
        </w:tc>
        <w:tc>
          <w:tcPr>
            <w:tcW w:w="1415" w:type="dxa"/>
            <w:tcBorders>
              <w:top w:val="single" w:sz="4" w:space="0" w:color="auto"/>
              <w:left w:val="single" w:sz="4" w:space="0" w:color="auto"/>
              <w:bottom w:val="single" w:sz="4" w:space="0" w:color="auto"/>
              <w:right w:val="single" w:sz="4" w:space="0" w:color="auto"/>
            </w:tcBorders>
            <w:hideMark/>
          </w:tcPr>
          <w:p w14:paraId="6CD97AB9"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 xml:space="preserve">11.52 x N1 </w:t>
            </w:r>
            <w:r w:rsidRPr="00542EC9">
              <w:rPr>
                <w:rFonts w:ascii="Arial" w:eastAsia="Malgun Gothic" w:hAnsi="Arial" w:cs="Arial"/>
                <w:sz w:val="18"/>
              </w:rPr>
              <w:t xml:space="preserve">x 1.5 </w:t>
            </w:r>
            <w:r w:rsidRPr="00542EC9">
              <w:rPr>
                <w:rFonts w:ascii="Arial" w:eastAsia="Malgun Gothic" w:hAnsi="Arial"/>
                <w:sz w:val="18"/>
              </w:rPr>
              <w:t>(36 x N1</w:t>
            </w:r>
            <w:r w:rsidRPr="00542EC9">
              <w:rPr>
                <w:rFonts w:ascii="Arial" w:eastAsia="Malgun Gothic" w:hAnsi="Arial" w:cs="Arial"/>
                <w:sz w:val="18"/>
              </w:rPr>
              <w:t xml:space="preserve"> x 1.5</w:t>
            </w:r>
            <w:r w:rsidRPr="00542EC9">
              <w:rPr>
                <w:rFonts w:ascii="Arial" w:eastAsia="Malgun Gothic" w:hAnsi="Arial"/>
                <w:sz w:val="18"/>
              </w:rPr>
              <w:t>)</w:t>
            </w:r>
          </w:p>
        </w:tc>
        <w:tc>
          <w:tcPr>
            <w:tcW w:w="0" w:type="auto"/>
            <w:tcBorders>
              <w:top w:val="single" w:sz="4" w:space="0" w:color="auto"/>
              <w:left w:val="single" w:sz="4" w:space="0" w:color="auto"/>
              <w:bottom w:val="single" w:sz="4" w:space="0" w:color="auto"/>
              <w:right w:val="single" w:sz="4" w:space="0" w:color="auto"/>
            </w:tcBorders>
            <w:hideMark/>
          </w:tcPr>
          <w:p w14:paraId="6E45EE1C"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 xml:space="preserve">1.28 x N1 </w:t>
            </w:r>
            <w:r w:rsidRPr="00542EC9">
              <w:rPr>
                <w:rFonts w:ascii="Arial" w:eastAsia="Malgun Gothic" w:hAnsi="Arial" w:cs="Arial"/>
                <w:sz w:val="18"/>
              </w:rPr>
              <w:t xml:space="preserve">x 1.5 </w:t>
            </w:r>
            <w:r w:rsidRPr="00542EC9">
              <w:rPr>
                <w:rFonts w:ascii="Arial" w:eastAsia="Malgun Gothic" w:hAnsi="Arial"/>
                <w:sz w:val="18"/>
              </w:rPr>
              <w:t>(4 x N1</w:t>
            </w:r>
            <w:r w:rsidRPr="00542EC9">
              <w:rPr>
                <w:rFonts w:ascii="Arial" w:eastAsia="Malgun Gothic" w:hAnsi="Arial" w:cs="Arial"/>
                <w:sz w:val="18"/>
              </w:rPr>
              <w:t xml:space="preserve"> x 1.5</w:t>
            </w:r>
            <w:r w:rsidRPr="00542EC9">
              <w:rPr>
                <w:rFonts w:ascii="Arial" w:eastAsia="Malgun Gothic" w:hAnsi="Arial"/>
                <w:sz w:val="18"/>
              </w:rPr>
              <w:t>)</w:t>
            </w:r>
          </w:p>
        </w:tc>
        <w:tc>
          <w:tcPr>
            <w:tcW w:w="0" w:type="auto"/>
            <w:tcBorders>
              <w:top w:val="single" w:sz="4" w:space="0" w:color="auto"/>
              <w:left w:val="single" w:sz="4" w:space="0" w:color="auto"/>
              <w:bottom w:val="single" w:sz="4" w:space="0" w:color="auto"/>
              <w:right w:val="single" w:sz="4" w:space="0" w:color="auto"/>
            </w:tcBorders>
            <w:hideMark/>
          </w:tcPr>
          <w:p w14:paraId="0BCC9F63"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 xml:space="preserve">5.12 x N1 </w:t>
            </w:r>
            <w:r w:rsidRPr="00542EC9">
              <w:rPr>
                <w:rFonts w:ascii="Arial" w:eastAsia="Malgun Gothic" w:hAnsi="Arial" w:cs="Arial"/>
                <w:sz w:val="18"/>
              </w:rPr>
              <w:t xml:space="preserve">x 1.5 </w:t>
            </w:r>
            <w:r w:rsidRPr="00542EC9">
              <w:rPr>
                <w:rFonts w:ascii="Arial" w:eastAsia="Malgun Gothic" w:hAnsi="Arial"/>
                <w:sz w:val="18"/>
              </w:rPr>
              <w:t>(16 x N1</w:t>
            </w:r>
            <w:r w:rsidRPr="00542EC9">
              <w:rPr>
                <w:rFonts w:ascii="Arial" w:eastAsia="Malgun Gothic" w:hAnsi="Arial" w:cs="Arial"/>
                <w:sz w:val="18"/>
              </w:rPr>
              <w:t xml:space="preserve"> x 1.5</w:t>
            </w:r>
            <w:r w:rsidRPr="00542EC9">
              <w:rPr>
                <w:rFonts w:ascii="Arial" w:eastAsia="Malgun Gothic" w:hAnsi="Arial"/>
                <w:sz w:val="18"/>
              </w:rPr>
              <w:t>)</w:t>
            </w:r>
          </w:p>
        </w:tc>
      </w:tr>
      <w:tr w:rsidR="00A20BE0" w:rsidRPr="00542EC9" w14:paraId="3A1EB779"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074DD3E"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0.64</w:t>
            </w:r>
          </w:p>
        </w:tc>
        <w:tc>
          <w:tcPr>
            <w:tcW w:w="0" w:type="auto"/>
            <w:tcBorders>
              <w:top w:val="nil"/>
              <w:left w:val="single" w:sz="4" w:space="0" w:color="auto"/>
              <w:bottom w:val="nil"/>
              <w:right w:val="single" w:sz="4" w:space="0" w:color="auto"/>
            </w:tcBorders>
            <w:hideMark/>
          </w:tcPr>
          <w:p w14:paraId="1E585709" w14:textId="77777777" w:rsidR="00A20BE0" w:rsidRPr="00542EC9" w:rsidRDefault="00A20BE0" w:rsidP="00583014">
            <w:pPr>
              <w:keepNext/>
              <w:keepLines/>
              <w:spacing w:after="0"/>
              <w:jc w:val="center"/>
              <w:rPr>
                <w:rFonts w:ascii="Arial" w:eastAsia="Malgun Gothic" w:hAnsi="Arial"/>
                <w:sz w:val="18"/>
              </w:rPr>
            </w:pPr>
          </w:p>
        </w:tc>
        <w:tc>
          <w:tcPr>
            <w:tcW w:w="1241" w:type="dxa"/>
            <w:tcBorders>
              <w:top w:val="single" w:sz="4" w:space="0" w:color="auto"/>
              <w:left w:val="single" w:sz="4" w:space="0" w:color="auto"/>
              <w:bottom w:val="single" w:sz="4" w:space="0" w:color="auto"/>
              <w:right w:val="single" w:sz="4" w:space="0" w:color="auto"/>
            </w:tcBorders>
            <w:hideMark/>
          </w:tcPr>
          <w:p w14:paraId="3E0FC0FF"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5</w:t>
            </w:r>
          </w:p>
        </w:tc>
        <w:tc>
          <w:tcPr>
            <w:tcW w:w="1191" w:type="dxa"/>
            <w:tcBorders>
              <w:top w:val="single" w:sz="4" w:space="0" w:color="auto"/>
              <w:left w:val="single" w:sz="4" w:space="0" w:color="auto"/>
              <w:bottom w:val="single" w:sz="4" w:space="0" w:color="auto"/>
              <w:right w:val="single" w:sz="4" w:space="0" w:color="auto"/>
            </w:tcBorders>
          </w:tcPr>
          <w:p w14:paraId="7D6BDBF9" w14:textId="77777777" w:rsidR="00A20BE0" w:rsidRPr="00DF4E37" w:rsidRDefault="00A20BE0" w:rsidP="00583014">
            <w:pPr>
              <w:keepNext/>
              <w:keepLines/>
              <w:spacing w:after="0"/>
              <w:jc w:val="center"/>
              <w:rPr>
                <w:rFonts w:ascii="Arial" w:eastAsia="Malgun Gothic" w:hAnsi="Arial" w:cs="Arial"/>
                <w:sz w:val="18"/>
                <w:szCs w:val="18"/>
              </w:rPr>
            </w:pPr>
            <w:r w:rsidRPr="00DF4E37">
              <w:rPr>
                <w:rFonts w:ascii="Arial" w:hAnsi="Arial" w:cs="Arial"/>
                <w:sz w:val="18"/>
                <w:szCs w:val="18"/>
              </w:rPr>
              <w:t>8</w:t>
            </w:r>
          </w:p>
        </w:tc>
        <w:tc>
          <w:tcPr>
            <w:tcW w:w="1415" w:type="dxa"/>
            <w:tcBorders>
              <w:top w:val="single" w:sz="4" w:space="0" w:color="auto"/>
              <w:left w:val="single" w:sz="4" w:space="0" w:color="auto"/>
              <w:bottom w:val="single" w:sz="4" w:space="0" w:color="auto"/>
              <w:right w:val="single" w:sz="4" w:space="0" w:color="auto"/>
            </w:tcBorders>
            <w:hideMark/>
          </w:tcPr>
          <w:p w14:paraId="2DE2E62E"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17.92x N1 (28 x N1)</w:t>
            </w:r>
          </w:p>
        </w:tc>
        <w:tc>
          <w:tcPr>
            <w:tcW w:w="0" w:type="auto"/>
            <w:tcBorders>
              <w:top w:val="single" w:sz="4" w:space="0" w:color="auto"/>
              <w:left w:val="single" w:sz="4" w:space="0" w:color="auto"/>
              <w:bottom w:val="single" w:sz="4" w:space="0" w:color="auto"/>
              <w:right w:val="single" w:sz="4" w:space="0" w:color="auto"/>
            </w:tcBorders>
            <w:hideMark/>
          </w:tcPr>
          <w:p w14:paraId="74A53CF6"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1.28 x N1 (2 x N1)</w:t>
            </w:r>
          </w:p>
        </w:tc>
        <w:tc>
          <w:tcPr>
            <w:tcW w:w="0" w:type="auto"/>
            <w:tcBorders>
              <w:top w:val="single" w:sz="4" w:space="0" w:color="auto"/>
              <w:left w:val="single" w:sz="4" w:space="0" w:color="auto"/>
              <w:bottom w:val="single" w:sz="4" w:space="0" w:color="auto"/>
              <w:right w:val="single" w:sz="4" w:space="0" w:color="auto"/>
            </w:tcBorders>
            <w:hideMark/>
          </w:tcPr>
          <w:p w14:paraId="0220A9CC"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5.12 x N1 (8 x N1)</w:t>
            </w:r>
          </w:p>
        </w:tc>
      </w:tr>
      <w:tr w:rsidR="00A20BE0" w:rsidRPr="00542EC9" w14:paraId="4BB57168"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77177EC"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1.28</w:t>
            </w:r>
          </w:p>
        </w:tc>
        <w:tc>
          <w:tcPr>
            <w:tcW w:w="0" w:type="auto"/>
            <w:tcBorders>
              <w:top w:val="nil"/>
              <w:left w:val="single" w:sz="4" w:space="0" w:color="auto"/>
              <w:bottom w:val="nil"/>
              <w:right w:val="single" w:sz="4" w:space="0" w:color="auto"/>
            </w:tcBorders>
            <w:hideMark/>
          </w:tcPr>
          <w:p w14:paraId="671276D8" w14:textId="77777777" w:rsidR="00A20BE0" w:rsidRPr="00542EC9" w:rsidRDefault="00A20BE0" w:rsidP="00583014">
            <w:pPr>
              <w:keepNext/>
              <w:keepLines/>
              <w:spacing w:after="0"/>
              <w:jc w:val="center"/>
              <w:rPr>
                <w:rFonts w:ascii="Arial" w:eastAsia="Malgun Gothic" w:hAnsi="Arial"/>
                <w:sz w:val="18"/>
              </w:rPr>
            </w:pPr>
          </w:p>
        </w:tc>
        <w:tc>
          <w:tcPr>
            <w:tcW w:w="1241" w:type="dxa"/>
            <w:tcBorders>
              <w:top w:val="single" w:sz="4" w:space="0" w:color="auto"/>
              <w:left w:val="single" w:sz="4" w:space="0" w:color="auto"/>
              <w:bottom w:val="single" w:sz="4" w:space="0" w:color="auto"/>
              <w:right w:val="single" w:sz="4" w:space="0" w:color="auto"/>
            </w:tcBorders>
            <w:hideMark/>
          </w:tcPr>
          <w:p w14:paraId="4A661BB4"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4</w:t>
            </w:r>
          </w:p>
        </w:tc>
        <w:tc>
          <w:tcPr>
            <w:tcW w:w="1191" w:type="dxa"/>
            <w:tcBorders>
              <w:top w:val="single" w:sz="4" w:space="0" w:color="auto"/>
              <w:left w:val="single" w:sz="4" w:space="0" w:color="auto"/>
              <w:bottom w:val="single" w:sz="4" w:space="0" w:color="auto"/>
              <w:right w:val="single" w:sz="4" w:space="0" w:color="auto"/>
            </w:tcBorders>
          </w:tcPr>
          <w:p w14:paraId="4A419D0F" w14:textId="77777777" w:rsidR="00A20BE0" w:rsidRPr="00DF4E37" w:rsidRDefault="00A20BE0" w:rsidP="00583014">
            <w:pPr>
              <w:keepNext/>
              <w:keepLines/>
              <w:spacing w:after="0"/>
              <w:jc w:val="center"/>
              <w:rPr>
                <w:rFonts w:ascii="Arial" w:eastAsia="Malgun Gothic" w:hAnsi="Arial" w:cs="Arial"/>
                <w:sz w:val="18"/>
                <w:szCs w:val="18"/>
              </w:rPr>
            </w:pPr>
            <w:r w:rsidRPr="00DF4E37">
              <w:rPr>
                <w:rFonts w:ascii="Arial" w:hAnsi="Arial" w:cs="Arial"/>
                <w:sz w:val="18"/>
                <w:szCs w:val="18"/>
              </w:rPr>
              <w:t>6</w:t>
            </w:r>
          </w:p>
        </w:tc>
        <w:tc>
          <w:tcPr>
            <w:tcW w:w="1415" w:type="dxa"/>
            <w:tcBorders>
              <w:top w:val="single" w:sz="4" w:space="0" w:color="auto"/>
              <w:left w:val="single" w:sz="4" w:space="0" w:color="auto"/>
              <w:bottom w:val="single" w:sz="4" w:space="0" w:color="auto"/>
              <w:right w:val="single" w:sz="4" w:space="0" w:color="auto"/>
            </w:tcBorders>
            <w:hideMark/>
          </w:tcPr>
          <w:p w14:paraId="52332C07"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32 x N1 (25 x N1)</w:t>
            </w:r>
          </w:p>
        </w:tc>
        <w:tc>
          <w:tcPr>
            <w:tcW w:w="0" w:type="auto"/>
            <w:tcBorders>
              <w:top w:val="single" w:sz="4" w:space="0" w:color="auto"/>
              <w:left w:val="single" w:sz="4" w:space="0" w:color="auto"/>
              <w:bottom w:val="single" w:sz="4" w:space="0" w:color="auto"/>
              <w:right w:val="single" w:sz="4" w:space="0" w:color="auto"/>
            </w:tcBorders>
            <w:hideMark/>
          </w:tcPr>
          <w:p w14:paraId="102CF1BF"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1.28 x N1 (1 x N1)</w:t>
            </w:r>
          </w:p>
        </w:tc>
        <w:tc>
          <w:tcPr>
            <w:tcW w:w="0" w:type="auto"/>
            <w:tcBorders>
              <w:top w:val="single" w:sz="4" w:space="0" w:color="auto"/>
              <w:left w:val="single" w:sz="4" w:space="0" w:color="auto"/>
              <w:bottom w:val="single" w:sz="4" w:space="0" w:color="auto"/>
              <w:right w:val="single" w:sz="4" w:space="0" w:color="auto"/>
            </w:tcBorders>
            <w:hideMark/>
          </w:tcPr>
          <w:p w14:paraId="2742E0C3"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6.4 x N1 (5 x N1)</w:t>
            </w:r>
          </w:p>
        </w:tc>
      </w:tr>
      <w:tr w:rsidR="00A20BE0" w:rsidRPr="00542EC9" w14:paraId="6483DB2E"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ACC7116"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2.56</w:t>
            </w:r>
          </w:p>
        </w:tc>
        <w:tc>
          <w:tcPr>
            <w:tcW w:w="0" w:type="auto"/>
            <w:tcBorders>
              <w:top w:val="nil"/>
              <w:left w:val="single" w:sz="4" w:space="0" w:color="auto"/>
              <w:bottom w:val="single" w:sz="4" w:space="0" w:color="auto"/>
              <w:right w:val="single" w:sz="4" w:space="0" w:color="auto"/>
            </w:tcBorders>
            <w:hideMark/>
          </w:tcPr>
          <w:p w14:paraId="601B0559" w14:textId="77777777" w:rsidR="00A20BE0" w:rsidRPr="00542EC9" w:rsidRDefault="00A20BE0" w:rsidP="00583014">
            <w:pPr>
              <w:keepNext/>
              <w:keepLines/>
              <w:spacing w:after="0"/>
              <w:jc w:val="center"/>
              <w:rPr>
                <w:rFonts w:ascii="Arial" w:eastAsia="Malgun Gothic" w:hAnsi="Arial"/>
                <w:sz w:val="18"/>
              </w:rPr>
            </w:pPr>
          </w:p>
        </w:tc>
        <w:tc>
          <w:tcPr>
            <w:tcW w:w="1241" w:type="dxa"/>
            <w:tcBorders>
              <w:top w:val="single" w:sz="4" w:space="0" w:color="auto"/>
              <w:left w:val="single" w:sz="4" w:space="0" w:color="auto"/>
              <w:bottom w:val="single" w:sz="4" w:space="0" w:color="auto"/>
              <w:right w:val="single" w:sz="4" w:space="0" w:color="auto"/>
            </w:tcBorders>
            <w:hideMark/>
          </w:tcPr>
          <w:p w14:paraId="07A9158E"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3</w:t>
            </w:r>
          </w:p>
        </w:tc>
        <w:tc>
          <w:tcPr>
            <w:tcW w:w="1191" w:type="dxa"/>
            <w:tcBorders>
              <w:top w:val="single" w:sz="4" w:space="0" w:color="auto"/>
              <w:left w:val="single" w:sz="4" w:space="0" w:color="auto"/>
              <w:bottom w:val="single" w:sz="4" w:space="0" w:color="auto"/>
              <w:right w:val="single" w:sz="4" w:space="0" w:color="auto"/>
            </w:tcBorders>
          </w:tcPr>
          <w:p w14:paraId="7CACA37A" w14:textId="77777777" w:rsidR="00A20BE0" w:rsidRPr="00DF4E37" w:rsidRDefault="00A20BE0" w:rsidP="00583014">
            <w:pPr>
              <w:keepNext/>
              <w:keepLines/>
              <w:spacing w:after="0"/>
              <w:jc w:val="center"/>
              <w:rPr>
                <w:rFonts w:ascii="Arial" w:eastAsia="Malgun Gothic" w:hAnsi="Arial" w:cs="Arial"/>
                <w:sz w:val="18"/>
                <w:szCs w:val="18"/>
              </w:rPr>
            </w:pPr>
            <w:r w:rsidRPr="00DF4E37">
              <w:rPr>
                <w:rFonts w:ascii="Arial" w:hAnsi="Arial" w:cs="Arial"/>
                <w:sz w:val="18"/>
                <w:szCs w:val="18"/>
              </w:rPr>
              <w:t>5</w:t>
            </w:r>
          </w:p>
        </w:tc>
        <w:tc>
          <w:tcPr>
            <w:tcW w:w="1415" w:type="dxa"/>
            <w:tcBorders>
              <w:top w:val="single" w:sz="4" w:space="0" w:color="auto"/>
              <w:left w:val="single" w:sz="4" w:space="0" w:color="auto"/>
              <w:bottom w:val="single" w:sz="4" w:space="0" w:color="auto"/>
              <w:right w:val="single" w:sz="4" w:space="0" w:color="auto"/>
            </w:tcBorders>
            <w:hideMark/>
          </w:tcPr>
          <w:p w14:paraId="060876AF"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58.88 x N1 (23 x N1)</w:t>
            </w:r>
          </w:p>
        </w:tc>
        <w:tc>
          <w:tcPr>
            <w:tcW w:w="0" w:type="auto"/>
            <w:tcBorders>
              <w:top w:val="single" w:sz="4" w:space="0" w:color="auto"/>
              <w:left w:val="single" w:sz="4" w:space="0" w:color="auto"/>
              <w:bottom w:val="single" w:sz="4" w:space="0" w:color="auto"/>
              <w:right w:val="single" w:sz="4" w:space="0" w:color="auto"/>
            </w:tcBorders>
            <w:hideMark/>
          </w:tcPr>
          <w:p w14:paraId="0DBDD8B1"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2.56 x N1 (1 x N1)</w:t>
            </w:r>
          </w:p>
        </w:tc>
        <w:tc>
          <w:tcPr>
            <w:tcW w:w="0" w:type="auto"/>
            <w:tcBorders>
              <w:top w:val="single" w:sz="4" w:space="0" w:color="auto"/>
              <w:left w:val="single" w:sz="4" w:space="0" w:color="auto"/>
              <w:bottom w:val="single" w:sz="4" w:space="0" w:color="auto"/>
              <w:right w:val="single" w:sz="4" w:space="0" w:color="auto"/>
            </w:tcBorders>
            <w:hideMark/>
          </w:tcPr>
          <w:p w14:paraId="472EABDB" w14:textId="77777777" w:rsidR="00A20BE0" w:rsidRPr="00542EC9" w:rsidRDefault="00A20BE0" w:rsidP="00583014">
            <w:pPr>
              <w:keepNext/>
              <w:keepLines/>
              <w:spacing w:after="0"/>
              <w:jc w:val="center"/>
              <w:rPr>
                <w:rFonts w:ascii="Arial" w:eastAsia="Malgun Gothic" w:hAnsi="Arial"/>
                <w:sz w:val="18"/>
              </w:rPr>
            </w:pPr>
            <w:r w:rsidRPr="00542EC9">
              <w:rPr>
                <w:rFonts w:ascii="Arial" w:eastAsia="Malgun Gothic" w:hAnsi="Arial"/>
                <w:sz w:val="18"/>
              </w:rPr>
              <w:t>7.68 x N1 (3 x N1)</w:t>
            </w:r>
          </w:p>
        </w:tc>
      </w:tr>
      <w:tr w:rsidR="00A20BE0" w:rsidRPr="00542EC9" w14:paraId="3FB80D03" w14:textId="77777777" w:rsidTr="00583014">
        <w:trPr>
          <w:cantSplit/>
          <w:jc w:val="center"/>
        </w:trPr>
        <w:tc>
          <w:tcPr>
            <w:tcW w:w="0" w:type="auto"/>
            <w:gridSpan w:val="7"/>
            <w:tcBorders>
              <w:top w:val="single" w:sz="4" w:space="0" w:color="auto"/>
              <w:left w:val="single" w:sz="4" w:space="0" w:color="auto"/>
              <w:bottom w:val="single" w:sz="4" w:space="0" w:color="auto"/>
              <w:right w:val="single" w:sz="4" w:space="0" w:color="auto"/>
            </w:tcBorders>
            <w:hideMark/>
          </w:tcPr>
          <w:p w14:paraId="317C5FC2" w14:textId="77777777" w:rsidR="00A20BE0" w:rsidRDefault="00A20BE0" w:rsidP="00583014">
            <w:pPr>
              <w:keepNext/>
              <w:keepLines/>
              <w:spacing w:after="0"/>
              <w:ind w:left="851" w:hanging="851"/>
              <w:rPr>
                <w:rFonts w:ascii="Arial" w:eastAsia="CG Times (WN)" w:hAnsi="Arial"/>
                <w:sz w:val="18"/>
                <w:lang w:eastAsia="x-none"/>
              </w:rPr>
            </w:pPr>
            <w:r w:rsidRPr="00542EC9">
              <w:rPr>
                <w:rFonts w:ascii="Arial" w:eastAsia="CG Times (WN)" w:hAnsi="Arial"/>
                <w:snapToGrid w:val="0"/>
                <w:sz w:val="18"/>
              </w:rPr>
              <w:t>Note 1</w:t>
            </w:r>
            <w:r w:rsidRPr="00542EC9">
              <w:rPr>
                <w:rFonts w:ascii="Arial" w:eastAsia="CG Times (WN)" w:hAnsi="Arial"/>
                <w:sz w:val="18"/>
                <w:lang w:eastAsia="x-none"/>
              </w:rPr>
              <w:t>:</w:t>
            </w:r>
            <w:r w:rsidRPr="00542EC9">
              <w:rPr>
                <w:rFonts w:ascii="Arial" w:eastAsia="CG Times (WN)" w:hAnsi="Arial"/>
                <w:sz w:val="18"/>
                <w:lang w:val="en-US" w:eastAsia="x-none"/>
              </w:rPr>
              <w:tab/>
            </w:r>
            <w:r w:rsidRPr="00542EC9">
              <w:rPr>
                <w:rFonts w:ascii="Arial" w:eastAsia="CG Times (WN)" w:hAnsi="Arial"/>
                <w:sz w:val="18"/>
                <w:lang w:eastAsia="x-none"/>
              </w:rPr>
              <w:t xml:space="preserve">Applies for UE supporting </w:t>
            </w:r>
            <w:r>
              <w:rPr>
                <w:rFonts w:ascii="Arial" w:eastAsia="CG Times (WN)" w:hAnsi="Arial"/>
                <w:sz w:val="18"/>
                <w:lang w:eastAsia="x-none"/>
              </w:rPr>
              <w:t xml:space="preserve">FR2-1 </w:t>
            </w:r>
            <w:r w:rsidRPr="00542EC9">
              <w:rPr>
                <w:rFonts w:ascii="Arial" w:eastAsia="CG Times (WN)" w:hAnsi="Arial"/>
                <w:sz w:val="18"/>
                <w:lang w:eastAsia="x-none"/>
              </w:rPr>
              <w:t xml:space="preserve">power class </w:t>
            </w:r>
            <w:r w:rsidRPr="00542EC9">
              <w:rPr>
                <w:rFonts w:ascii="Arial" w:eastAsia="CG Times (WN)" w:hAnsi="Arial"/>
                <w:sz w:val="18"/>
              </w:rPr>
              <w:t>2&amp;3&amp;4</w:t>
            </w:r>
            <w:r w:rsidRPr="00542EC9">
              <w:rPr>
                <w:rFonts w:ascii="Arial" w:eastAsia="CG Times (WN)" w:hAnsi="Arial"/>
                <w:sz w:val="18"/>
                <w:lang w:eastAsia="x-none"/>
              </w:rPr>
              <w:t xml:space="preserve">. For UE supporting </w:t>
            </w:r>
            <w:r>
              <w:rPr>
                <w:rFonts w:ascii="Arial" w:eastAsia="CG Times (WN)" w:hAnsi="Arial"/>
                <w:sz w:val="18"/>
                <w:lang w:eastAsia="x-none"/>
              </w:rPr>
              <w:t xml:space="preserve">FR2-1 </w:t>
            </w:r>
            <w:r w:rsidRPr="00542EC9">
              <w:rPr>
                <w:rFonts w:ascii="Arial" w:eastAsia="CG Times (WN)" w:hAnsi="Arial"/>
                <w:sz w:val="18"/>
                <w:lang w:eastAsia="x-none"/>
              </w:rPr>
              <w:t>power class 1</w:t>
            </w:r>
            <w:r w:rsidRPr="00542EC9">
              <w:rPr>
                <w:rFonts w:ascii="Arial" w:eastAsia="CG Times (WN)" w:hAnsi="Arial"/>
                <w:sz w:val="18"/>
              </w:rPr>
              <w:t xml:space="preserve"> or 5</w:t>
            </w:r>
            <w:r w:rsidRPr="00542EC9">
              <w:rPr>
                <w:rFonts w:ascii="Arial" w:eastAsia="CG Times (WN)" w:hAnsi="Arial"/>
                <w:sz w:val="18"/>
                <w:lang w:eastAsia="x-none"/>
              </w:rPr>
              <w:t>, N1 = 8 for all DRX cycle length.</w:t>
            </w:r>
          </w:p>
          <w:p w14:paraId="0B726C79" w14:textId="77777777" w:rsidR="00A20BE0" w:rsidRPr="000B07E6" w:rsidRDefault="00A20BE0" w:rsidP="00583014">
            <w:pPr>
              <w:pStyle w:val="TAN"/>
              <w:rPr>
                <w:snapToGrid w:val="0"/>
                <w:lang w:eastAsia="zh-CN"/>
              </w:rPr>
            </w:pPr>
            <w:r w:rsidRPr="009C5807">
              <w:rPr>
                <w:lang w:eastAsia="zh-CN"/>
              </w:rPr>
              <w:t xml:space="preserve">Note </w:t>
            </w:r>
            <w:r>
              <w:rPr>
                <w:lang w:eastAsia="zh-CN"/>
              </w:rPr>
              <w:t>2</w:t>
            </w:r>
            <w:r w:rsidRPr="009C5807">
              <w:rPr>
                <w:lang w:eastAsia="zh-CN"/>
              </w:rPr>
              <w:t>:</w:t>
            </w:r>
            <w:r w:rsidRPr="009C5807">
              <w:rPr>
                <w:lang w:eastAsia="zh-CN"/>
              </w:rPr>
              <w:tab/>
              <w:t xml:space="preserve">Applies for UE supporting </w:t>
            </w:r>
            <w:r>
              <w:rPr>
                <w:lang w:eastAsia="zh-CN"/>
              </w:rPr>
              <w:t xml:space="preserve">FR2-2 </w:t>
            </w:r>
            <w:r w:rsidRPr="009C5807">
              <w:rPr>
                <w:lang w:eastAsia="zh-CN"/>
              </w:rPr>
              <w:t xml:space="preserve">power class 2&amp;3. For UE supporting </w:t>
            </w:r>
            <w:r>
              <w:rPr>
                <w:lang w:eastAsia="zh-CN"/>
              </w:rPr>
              <w:t xml:space="preserve">FR2-2 </w:t>
            </w:r>
            <w:r w:rsidRPr="009C5807">
              <w:rPr>
                <w:lang w:eastAsia="zh-CN"/>
              </w:rPr>
              <w:t xml:space="preserve">power class 1, N1 = </w:t>
            </w:r>
            <w:r>
              <w:rPr>
                <w:lang w:eastAsia="zh-CN"/>
              </w:rPr>
              <w:t>12</w:t>
            </w:r>
            <w:r w:rsidRPr="009C5807">
              <w:rPr>
                <w:lang w:eastAsia="zh-CN"/>
              </w:rPr>
              <w:t xml:space="preserve"> for all DRX cycle length.</w:t>
            </w:r>
          </w:p>
        </w:tc>
      </w:tr>
    </w:tbl>
    <w:p w14:paraId="12D808A1" w14:textId="77777777" w:rsidR="00A20BE0" w:rsidRPr="00542EC9" w:rsidRDefault="00A20BE0" w:rsidP="00A20BE0">
      <w:pPr>
        <w:rPr>
          <w:rFonts w:eastAsia="Malgun Gothic"/>
          <w:noProof/>
        </w:rPr>
      </w:pPr>
    </w:p>
    <w:p w14:paraId="45FBA1D1" w14:textId="3C63B76B" w:rsidR="008E0152" w:rsidRPr="00542EC9" w:rsidRDefault="008E0152" w:rsidP="008E0152">
      <w:pPr>
        <w:pStyle w:val="TH"/>
      </w:pPr>
      <w:r w:rsidRPr="006E5949">
        <w:t>Table 4.2.2.4-2: T</w:t>
      </w:r>
      <w:r w:rsidRPr="006E5949">
        <w:rPr>
          <w:vertAlign w:val="subscript"/>
        </w:rPr>
        <w:t>detect,NR_Inter_HST,</w:t>
      </w:r>
      <w:r w:rsidRPr="006E5949">
        <w:t xml:space="preserve"> T</w:t>
      </w:r>
      <w:r w:rsidRPr="006E5949">
        <w:rPr>
          <w:vertAlign w:val="subscript"/>
        </w:rPr>
        <w:t>measure,NR_Inter_HST</w:t>
      </w:r>
      <w:r w:rsidRPr="006E5949">
        <w:t xml:space="preserve"> and T</w:t>
      </w:r>
      <w:r w:rsidRPr="006E5949">
        <w:rPr>
          <w:vertAlign w:val="subscript"/>
        </w:rPr>
        <w:t xml:space="preserve">evaluate,NR_Inter_HST </w:t>
      </w:r>
      <w:r w:rsidRPr="006E5949">
        <w:rPr>
          <w:bCs/>
        </w:rPr>
        <w:t xml:space="preserve">for FR1 configured with </w:t>
      </w:r>
      <w:r w:rsidRPr="00AC2726">
        <w:rPr>
          <w:bCs/>
          <w:i/>
          <w:iCs/>
        </w:rPr>
        <w:t>highSpeedMeasInterFreq-r17</w:t>
      </w:r>
      <w:r w:rsidRPr="006E5949">
        <w:t xml:space="preserve"> </w:t>
      </w:r>
      <w:r w:rsidRPr="006E5949">
        <w:rPr>
          <w:bCs/>
          <w:vertAlign w:val="superscript"/>
        </w:rPr>
        <w:t>note2</w:t>
      </w:r>
    </w:p>
    <w:tbl>
      <w:tblPr>
        <w:tblW w:w="41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2232"/>
        <w:gridCol w:w="2410"/>
        <w:gridCol w:w="2126"/>
      </w:tblGrid>
      <w:tr w:rsidR="008E0152" w:rsidRPr="00542EC9" w14:paraId="04A6A9AE" w14:textId="77777777" w:rsidTr="00ED4E9A">
        <w:trPr>
          <w:cantSplit/>
          <w:trHeight w:val="310"/>
          <w:jc w:val="center"/>
        </w:trPr>
        <w:tc>
          <w:tcPr>
            <w:tcW w:w="734" w:type="pct"/>
            <w:vMerge w:val="restart"/>
            <w:tcBorders>
              <w:top w:val="single" w:sz="4" w:space="0" w:color="auto"/>
              <w:left w:val="single" w:sz="4" w:space="0" w:color="auto"/>
              <w:bottom w:val="single" w:sz="4" w:space="0" w:color="auto"/>
              <w:right w:val="single" w:sz="4" w:space="0" w:color="auto"/>
            </w:tcBorders>
            <w:hideMark/>
          </w:tcPr>
          <w:p w14:paraId="617BAAC9" w14:textId="77777777" w:rsidR="008E0152" w:rsidRPr="00542EC9" w:rsidRDefault="008E0152" w:rsidP="00ED4E9A">
            <w:pPr>
              <w:pStyle w:val="TAH"/>
            </w:pPr>
            <w:r w:rsidRPr="00542EC9">
              <w:t>DRX cycle length [s]</w:t>
            </w:r>
          </w:p>
        </w:tc>
        <w:tc>
          <w:tcPr>
            <w:tcW w:w="1407" w:type="pct"/>
            <w:vMerge w:val="restart"/>
            <w:tcBorders>
              <w:top w:val="single" w:sz="4" w:space="0" w:color="auto"/>
              <w:left w:val="single" w:sz="4" w:space="0" w:color="auto"/>
              <w:bottom w:val="single" w:sz="4" w:space="0" w:color="auto"/>
              <w:right w:val="single" w:sz="4" w:space="0" w:color="auto"/>
            </w:tcBorders>
            <w:hideMark/>
          </w:tcPr>
          <w:p w14:paraId="6053D562" w14:textId="77777777" w:rsidR="008E0152" w:rsidRPr="00542EC9" w:rsidRDefault="008E0152" w:rsidP="00ED4E9A">
            <w:pPr>
              <w:pStyle w:val="TAH"/>
            </w:pPr>
            <w:r w:rsidRPr="00542EC9">
              <w:t>T</w:t>
            </w:r>
            <w:r w:rsidRPr="00542EC9">
              <w:rPr>
                <w:vertAlign w:val="subscript"/>
              </w:rPr>
              <w:t>detect,NR_</w:t>
            </w:r>
            <w:r w:rsidRPr="00542EC9">
              <w:rPr>
                <w:rFonts w:cs="v4.2.0"/>
                <w:vertAlign w:val="subscript"/>
              </w:rPr>
              <w:t>Inter_HST</w:t>
            </w:r>
            <w:r w:rsidRPr="00542EC9">
              <w:t xml:space="preserve"> [s] (number of DRX cycles)</w:t>
            </w:r>
          </w:p>
        </w:tc>
        <w:tc>
          <w:tcPr>
            <w:tcW w:w="1519" w:type="pct"/>
            <w:vMerge w:val="restart"/>
            <w:tcBorders>
              <w:top w:val="single" w:sz="4" w:space="0" w:color="auto"/>
              <w:left w:val="single" w:sz="4" w:space="0" w:color="auto"/>
              <w:bottom w:val="single" w:sz="4" w:space="0" w:color="auto"/>
              <w:right w:val="single" w:sz="4" w:space="0" w:color="auto"/>
            </w:tcBorders>
            <w:hideMark/>
          </w:tcPr>
          <w:p w14:paraId="0B2DEDD1" w14:textId="77777777" w:rsidR="008E0152" w:rsidRPr="00542EC9" w:rsidRDefault="008E0152" w:rsidP="00ED4E9A">
            <w:pPr>
              <w:pStyle w:val="TAH"/>
            </w:pPr>
            <w:r w:rsidRPr="00542EC9">
              <w:t>T</w:t>
            </w:r>
            <w:r w:rsidRPr="00542EC9">
              <w:rPr>
                <w:vertAlign w:val="subscript"/>
              </w:rPr>
              <w:t>measure,NR_</w:t>
            </w:r>
            <w:r w:rsidRPr="00542EC9">
              <w:rPr>
                <w:rFonts w:cs="v4.2.0"/>
                <w:vertAlign w:val="subscript"/>
              </w:rPr>
              <w:t>Inter_HST</w:t>
            </w:r>
            <w:r w:rsidRPr="00542EC9">
              <w:t xml:space="preserve"> [s] (number of DRX cycles)</w:t>
            </w:r>
          </w:p>
        </w:tc>
        <w:tc>
          <w:tcPr>
            <w:tcW w:w="1340" w:type="pct"/>
            <w:vMerge w:val="restart"/>
            <w:tcBorders>
              <w:top w:val="single" w:sz="4" w:space="0" w:color="auto"/>
              <w:left w:val="single" w:sz="4" w:space="0" w:color="auto"/>
              <w:bottom w:val="single" w:sz="4" w:space="0" w:color="auto"/>
              <w:right w:val="single" w:sz="4" w:space="0" w:color="auto"/>
            </w:tcBorders>
            <w:hideMark/>
          </w:tcPr>
          <w:p w14:paraId="7C091CE6" w14:textId="77777777" w:rsidR="008E0152" w:rsidRPr="00542EC9" w:rsidRDefault="008E0152" w:rsidP="00ED4E9A">
            <w:pPr>
              <w:pStyle w:val="TAH"/>
            </w:pPr>
            <w:r w:rsidRPr="00542EC9">
              <w:t>T</w:t>
            </w:r>
            <w:r w:rsidRPr="00542EC9">
              <w:rPr>
                <w:vertAlign w:val="subscript"/>
              </w:rPr>
              <w:t>evaluate,NR_</w:t>
            </w:r>
            <w:r w:rsidRPr="00542EC9">
              <w:rPr>
                <w:rFonts w:cs="v4.2.0"/>
                <w:vertAlign w:val="subscript"/>
              </w:rPr>
              <w:t>Inter_HST</w:t>
            </w:r>
            <w:r w:rsidRPr="00542EC9">
              <w:rPr>
                <w:rFonts w:cs="Arial"/>
              </w:rPr>
              <w:t xml:space="preserve"> </w:t>
            </w:r>
            <w:r w:rsidRPr="00542EC9">
              <w:t>[s] (number of DRX cycles)</w:t>
            </w:r>
          </w:p>
        </w:tc>
      </w:tr>
      <w:tr w:rsidR="008E0152" w:rsidRPr="00542EC9" w14:paraId="009072F6" w14:textId="77777777" w:rsidTr="00ED4E9A">
        <w:trPr>
          <w:cantSplit/>
          <w:trHeight w:val="3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C83116" w14:textId="77777777" w:rsidR="008E0152" w:rsidRPr="00542EC9" w:rsidRDefault="008E0152" w:rsidP="00ED4E9A">
            <w:pPr>
              <w:keepNext/>
              <w:keepLines/>
              <w:spacing w:after="0"/>
              <w:jc w:val="center"/>
              <w:rPr>
                <w:rFonts w:ascii="Arial" w:eastAsia="Malgun Gothic" w:hAnsi="Arial"/>
                <w:b/>
                <w:sz w:val="18"/>
              </w:rPr>
            </w:pPr>
          </w:p>
        </w:tc>
        <w:tc>
          <w:tcPr>
            <w:tcW w:w="1407" w:type="pct"/>
            <w:vMerge/>
            <w:tcBorders>
              <w:top w:val="single" w:sz="4" w:space="0" w:color="auto"/>
              <w:left w:val="single" w:sz="4" w:space="0" w:color="auto"/>
              <w:bottom w:val="single" w:sz="4" w:space="0" w:color="auto"/>
              <w:right w:val="single" w:sz="4" w:space="0" w:color="auto"/>
            </w:tcBorders>
            <w:vAlign w:val="center"/>
            <w:hideMark/>
          </w:tcPr>
          <w:p w14:paraId="030FC74D" w14:textId="77777777" w:rsidR="008E0152" w:rsidRPr="00542EC9" w:rsidRDefault="008E0152" w:rsidP="00ED4E9A">
            <w:pPr>
              <w:keepNext/>
              <w:keepLines/>
              <w:spacing w:after="0"/>
              <w:jc w:val="center"/>
              <w:rPr>
                <w:rFonts w:ascii="Arial" w:eastAsia="Malgun Gothic" w:hAnsi="Arial"/>
                <w:b/>
                <w:sz w:val="18"/>
              </w:rPr>
            </w:pPr>
          </w:p>
        </w:tc>
        <w:tc>
          <w:tcPr>
            <w:tcW w:w="1519" w:type="pct"/>
            <w:vMerge/>
            <w:tcBorders>
              <w:top w:val="single" w:sz="4" w:space="0" w:color="auto"/>
              <w:left w:val="single" w:sz="4" w:space="0" w:color="auto"/>
              <w:bottom w:val="single" w:sz="4" w:space="0" w:color="auto"/>
              <w:right w:val="single" w:sz="4" w:space="0" w:color="auto"/>
            </w:tcBorders>
            <w:vAlign w:val="center"/>
            <w:hideMark/>
          </w:tcPr>
          <w:p w14:paraId="0F5D9231" w14:textId="77777777" w:rsidR="008E0152" w:rsidRPr="00542EC9" w:rsidRDefault="008E0152" w:rsidP="00ED4E9A">
            <w:pPr>
              <w:keepNext/>
              <w:keepLines/>
              <w:spacing w:after="0"/>
              <w:jc w:val="center"/>
              <w:rPr>
                <w:rFonts w:ascii="Arial" w:eastAsia="Malgun Gothic" w:hAnsi="Arial"/>
                <w:b/>
                <w:sz w:val="18"/>
              </w:rPr>
            </w:pPr>
          </w:p>
        </w:tc>
        <w:tc>
          <w:tcPr>
            <w:tcW w:w="1340" w:type="pct"/>
            <w:vMerge/>
            <w:tcBorders>
              <w:top w:val="single" w:sz="4" w:space="0" w:color="auto"/>
              <w:left w:val="single" w:sz="4" w:space="0" w:color="auto"/>
              <w:bottom w:val="single" w:sz="4" w:space="0" w:color="auto"/>
              <w:right w:val="single" w:sz="4" w:space="0" w:color="auto"/>
            </w:tcBorders>
            <w:vAlign w:val="center"/>
            <w:hideMark/>
          </w:tcPr>
          <w:p w14:paraId="13BE24A4" w14:textId="77777777" w:rsidR="008E0152" w:rsidRPr="00542EC9" w:rsidRDefault="008E0152" w:rsidP="00ED4E9A">
            <w:pPr>
              <w:keepNext/>
              <w:keepLines/>
              <w:spacing w:after="0"/>
              <w:jc w:val="center"/>
              <w:rPr>
                <w:rFonts w:ascii="Arial" w:eastAsia="Malgun Gothic" w:hAnsi="Arial"/>
                <w:b/>
                <w:sz w:val="18"/>
              </w:rPr>
            </w:pPr>
          </w:p>
        </w:tc>
      </w:tr>
      <w:tr w:rsidR="008E0152" w:rsidRPr="00542EC9" w14:paraId="76E53177" w14:textId="77777777" w:rsidTr="00ED4E9A">
        <w:trPr>
          <w:cantSplit/>
          <w:jc w:val="center"/>
        </w:trPr>
        <w:tc>
          <w:tcPr>
            <w:tcW w:w="734" w:type="pct"/>
            <w:tcBorders>
              <w:top w:val="single" w:sz="4" w:space="0" w:color="auto"/>
              <w:left w:val="single" w:sz="4" w:space="0" w:color="auto"/>
              <w:bottom w:val="single" w:sz="4" w:space="0" w:color="auto"/>
              <w:right w:val="single" w:sz="4" w:space="0" w:color="auto"/>
            </w:tcBorders>
            <w:hideMark/>
          </w:tcPr>
          <w:p w14:paraId="4096F081" w14:textId="77777777" w:rsidR="008E0152" w:rsidRPr="00542EC9" w:rsidRDefault="008E0152" w:rsidP="00ED4E9A">
            <w:pPr>
              <w:pStyle w:val="TAC"/>
              <w:rPr>
                <w:rFonts w:eastAsia="Malgun Gothic"/>
              </w:rPr>
            </w:pPr>
            <w:r w:rsidRPr="00542EC9">
              <w:t>0.32</w:t>
            </w:r>
          </w:p>
        </w:tc>
        <w:tc>
          <w:tcPr>
            <w:tcW w:w="1407" w:type="pct"/>
            <w:tcBorders>
              <w:top w:val="single" w:sz="4" w:space="0" w:color="auto"/>
              <w:left w:val="single" w:sz="4" w:space="0" w:color="auto"/>
              <w:bottom w:val="single" w:sz="4" w:space="0" w:color="auto"/>
              <w:right w:val="single" w:sz="4" w:space="0" w:color="auto"/>
            </w:tcBorders>
            <w:hideMark/>
          </w:tcPr>
          <w:p w14:paraId="799553FC" w14:textId="77777777" w:rsidR="008E0152" w:rsidRPr="00542EC9" w:rsidRDefault="008E0152" w:rsidP="00ED4E9A">
            <w:pPr>
              <w:pStyle w:val="TAC"/>
              <w:rPr>
                <w:rFonts w:eastAsia="Malgun Gothic"/>
              </w:rPr>
            </w:pPr>
            <w:r w:rsidRPr="00542EC9">
              <w:rPr>
                <w:rFonts w:eastAsia="Malgun Gothic"/>
              </w:rPr>
              <w:t>[3.2 x M2 (10 x M2)]</w:t>
            </w:r>
            <w:r w:rsidRPr="00542EC9">
              <w:rPr>
                <w:vertAlign w:val="superscript"/>
              </w:rPr>
              <w:t xml:space="preserve"> Note 1</w:t>
            </w:r>
          </w:p>
        </w:tc>
        <w:tc>
          <w:tcPr>
            <w:tcW w:w="1519" w:type="pct"/>
            <w:tcBorders>
              <w:top w:val="single" w:sz="4" w:space="0" w:color="auto"/>
              <w:left w:val="single" w:sz="4" w:space="0" w:color="auto"/>
              <w:bottom w:val="single" w:sz="4" w:space="0" w:color="auto"/>
              <w:right w:val="single" w:sz="4" w:space="0" w:color="auto"/>
            </w:tcBorders>
            <w:hideMark/>
          </w:tcPr>
          <w:p w14:paraId="70C3EF04" w14:textId="77777777" w:rsidR="008E0152" w:rsidRPr="00542EC9" w:rsidRDefault="008E0152" w:rsidP="00ED4E9A">
            <w:pPr>
              <w:pStyle w:val="TAC"/>
              <w:rPr>
                <w:rFonts w:eastAsia="Malgun Gothic"/>
              </w:rPr>
            </w:pPr>
            <w:r w:rsidRPr="00542EC9">
              <w:rPr>
                <w:rFonts w:eastAsia="Malgun Gothic"/>
              </w:rPr>
              <w:t>[0.32 x M3 ([1] x M3)]</w:t>
            </w:r>
            <w:r w:rsidRPr="00542EC9">
              <w:rPr>
                <w:vertAlign w:val="superscript"/>
              </w:rPr>
              <w:t xml:space="preserve"> Note 1</w:t>
            </w:r>
          </w:p>
        </w:tc>
        <w:tc>
          <w:tcPr>
            <w:tcW w:w="1340" w:type="pct"/>
            <w:tcBorders>
              <w:top w:val="single" w:sz="4" w:space="0" w:color="auto"/>
              <w:left w:val="single" w:sz="4" w:space="0" w:color="auto"/>
              <w:bottom w:val="single" w:sz="4" w:space="0" w:color="auto"/>
              <w:right w:val="single" w:sz="4" w:space="0" w:color="auto"/>
            </w:tcBorders>
            <w:hideMark/>
          </w:tcPr>
          <w:p w14:paraId="27B5720D" w14:textId="77777777" w:rsidR="008E0152" w:rsidRPr="00542EC9" w:rsidRDefault="008E0152" w:rsidP="00ED4E9A">
            <w:pPr>
              <w:pStyle w:val="TAC"/>
              <w:rPr>
                <w:rFonts w:eastAsia="Malgun Gothic"/>
              </w:rPr>
            </w:pPr>
            <w:r w:rsidRPr="00542EC9">
              <w:t>0.96 x M4 (3 x M4)</w:t>
            </w:r>
            <w:r w:rsidRPr="00542EC9">
              <w:rPr>
                <w:vertAlign w:val="superscript"/>
              </w:rPr>
              <w:t xml:space="preserve"> Note 1</w:t>
            </w:r>
          </w:p>
        </w:tc>
      </w:tr>
      <w:tr w:rsidR="008E0152" w:rsidRPr="00542EC9" w14:paraId="34F01316" w14:textId="77777777" w:rsidTr="00ED4E9A">
        <w:trPr>
          <w:cantSplit/>
          <w:jc w:val="center"/>
        </w:trPr>
        <w:tc>
          <w:tcPr>
            <w:tcW w:w="734" w:type="pct"/>
            <w:tcBorders>
              <w:top w:val="single" w:sz="4" w:space="0" w:color="auto"/>
              <w:left w:val="single" w:sz="4" w:space="0" w:color="auto"/>
              <w:bottom w:val="single" w:sz="4" w:space="0" w:color="auto"/>
              <w:right w:val="single" w:sz="4" w:space="0" w:color="auto"/>
            </w:tcBorders>
            <w:hideMark/>
          </w:tcPr>
          <w:p w14:paraId="51A78CC7" w14:textId="77777777" w:rsidR="008E0152" w:rsidRPr="00542EC9" w:rsidRDefault="008E0152" w:rsidP="00ED4E9A">
            <w:pPr>
              <w:pStyle w:val="TAC"/>
              <w:rPr>
                <w:rFonts w:eastAsia="Malgun Gothic"/>
              </w:rPr>
            </w:pPr>
            <w:r w:rsidRPr="00542EC9">
              <w:t>0.64</w:t>
            </w:r>
          </w:p>
        </w:tc>
        <w:tc>
          <w:tcPr>
            <w:tcW w:w="1407" w:type="pct"/>
            <w:tcBorders>
              <w:top w:val="single" w:sz="4" w:space="0" w:color="auto"/>
              <w:left w:val="single" w:sz="4" w:space="0" w:color="auto"/>
              <w:bottom w:val="single" w:sz="4" w:space="0" w:color="auto"/>
              <w:right w:val="single" w:sz="4" w:space="0" w:color="auto"/>
            </w:tcBorders>
            <w:hideMark/>
          </w:tcPr>
          <w:p w14:paraId="23D09386" w14:textId="77777777" w:rsidR="008E0152" w:rsidRPr="00542EC9" w:rsidRDefault="008E0152" w:rsidP="00ED4E9A">
            <w:pPr>
              <w:pStyle w:val="TAC"/>
              <w:rPr>
                <w:rFonts w:eastAsia="Malgun Gothic"/>
              </w:rPr>
            </w:pPr>
            <w:r w:rsidRPr="00542EC9">
              <w:rPr>
                <w:rFonts w:eastAsia="Malgun Gothic"/>
              </w:rPr>
              <w:t>[6.4 (10)]</w:t>
            </w:r>
          </w:p>
        </w:tc>
        <w:tc>
          <w:tcPr>
            <w:tcW w:w="1519" w:type="pct"/>
            <w:tcBorders>
              <w:top w:val="single" w:sz="4" w:space="0" w:color="auto"/>
              <w:left w:val="single" w:sz="4" w:space="0" w:color="auto"/>
              <w:bottom w:val="single" w:sz="4" w:space="0" w:color="auto"/>
              <w:right w:val="single" w:sz="4" w:space="0" w:color="auto"/>
            </w:tcBorders>
            <w:hideMark/>
          </w:tcPr>
          <w:p w14:paraId="13B83E5E" w14:textId="77777777" w:rsidR="008E0152" w:rsidRPr="00542EC9" w:rsidRDefault="008E0152" w:rsidP="00ED4E9A">
            <w:pPr>
              <w:pStyle w:val="TAC"/>
              <w:rPr>
                <w:rFonts w:eastAsia="Malgun Gothic"/>
              </w:rPr>
            </w:pPr>
            <w:r w:rsidRPr="00542EC9">
              <w:rPr>
                <w:rFonts w:eastAsia="Malgun Gothic"/>
              </w:rPr>
              <w:t>[0.64 (1)]</w:t>
            </w:r>
          </w:p>
        </w:tc>
        <w:tc>
          <w:tcPr>
            <w:tcW w:w="1340" w:type="pct"/>
            <w:tcBorders>
              <w:top w:val="single" w:sz="4" w:space="0" w:color="auto"/>
              <w:left w:val="single" w:sz="4" w:space="0" w:color="auto"/>
              <w:bottom w:val="single" w:sz="4" w:space="0" w:color="auto"/>
              <w:right w:val="single" w:sz="4" w:space="0" w:color="auto"/>
            </w:tcBorders>
            <w:hideMark/>
          </w:tcPr>
          <w:p w14:paraId="1E3D68F4" w14:textId="77777777" w:rsidR="008E0152" w:rsidRPr="00542EC9" w:rsidRDefault="008E0152" w:rsidP="00ED4E9A">
            <w:pPr>
              <w:pStyle w:val="TAC"/>
              <w:rPr>
                <w:rFonts w:eastAsia="Malgun Gothic"/>
              </w:rPr>
            </w:pPr>
            <w:r w:rsidRPr="00542EC9">
              <w:t>1.92 (3)</w:t>
            </w:r>
          </w:p>
        </w:tc>
      </w:tr>
      <w:tr w:rsidR="008E0152" w:rsidRPr="00542EC9" w14:paraId="2C945702" w14:textId="77777777" w:rsidTr="00ED4E9A">
        <w:trPr>
          <w:cantSplit/>
          <w:jc w:val="center"/>
        </w:trPr>
        <w:tc>
          <w:tcPr>
            <w:tcW w:w="734" w:type="pct"/>
            <w:tcBorders>
              <w:top w:val="single" w:sz="4" w:space="0" w:color="auto"/>
              <w:left w:val="single" w:sz="4" w:space="0" w:color="auto"/>
              <w:bottom w:val="single" w:sz="4" w:space="0" w:color="auto"/>
              <w:right w:val="single" w:sz="4" w:space="0" w:color="auto"/>
            </w:tcBorders>
            <w:hideMark/>
          </w:tcPr>
          <w:p w14:paraId="7919008A" w14:textId="77777777" w:rsidR="008E0152" w:rsidRPr="00542EC9" w:rsidRDefault="008E0152" w:rsidP="00ED4E9A">
            <w:pPr>
              <w:pStyle w:val="TAC"/>
              <w:rPr>
                <w:rFonts w:eastAsia="Malgun Gothic"/>
              </w:rPr>
            </w:pPr>
            <w:r w:rsidRPr="00542EC9">
              <w:t>1.28</w:t>
            </w:r>
          </w:p>
        </w:tc>
        <w:tc>
          <w:tcPr>
            <w:tcW w:w="1407" w:type="pct"/>
            <w:tcBorders>
              <w:top w:val="single" w:sz="4" w:space="0" w:color="auto"/>
              <w:left w:val="single" w:sz="4" w:space="0" w:color="auto"/>
              <w:bottom w:val="single" w:sz="4" w:space="0" w:color="auto"/>
              <w:right w:val="single" w:sz="4" w:space="0" w:color="auto"/>
            </w:tcBorders>
            <w:hideMark/>
          </w:tcPr>
          <w:p w14:paraId="4F36AE42" w14:textId="77777777" w:rsidR="008E0152" w:rsidRPr="00542EC9" w:rsidRDefault="008E0152" w:rsidP="00ED4E9A">
            <w:pPr>
              <w:pStyle w:val="TAC"/>
              <w:rPr>
                <w:rFonts w:eastAsia="Malgun Gothic"/>
              </w:rPr>
            </w:pPr>
            <w:r w:rsidRPr="00542EC9">
              <w:rPr>
                <w:rFonts w:eastAsia="Malgun Gothic"/>
              </w:rPr>
              <w:t>[10.24 (8)]</w:t>
            </w:r>
          </w:p>
        </w:tc>
        <w:tc>
          <w:tcPr>
            <w:tcW w:w="1519" w:type="pct"/>
            <w:tcBorders>
              <w:top w:val="single" w:sz="4" w:space="0" w:color="auto"/>
              <w:left w:val="single" w:sz="4" w:space="0" w:color="auto"/>
              <w:bottom w:val="single" w:sz="4" w:space="0" w:color="auto"/>
              <w:right w:val="single" w:sz="4" w:space="0" w:color="auto"/>
            </w:tcBorders>
            <w:hideMark/>
          </w:tcPr>
          <w:p w14:paraId="7FC80B31" w14:textId="77777777" w:rsidR="008E0152" w:rsidRPr="00542EC9" w:rsidRDefault="008E0152" w:rsidP="00ED4E9A">
            <w:pPr>
              <w:pStyle w:val="TAC"/>
              <w:rPr>
                <w:rFonts w:eastAsia="Malgun Gothic"/>
              </w:rPr>
            </w:pPr>
            <w:r w:rsidRPr="00542EC9">
              <w:rPr>
                <w:rFonts w:eastAsia="Malgun Gothic"/>
                <w:szCs w:val="24"/>
                <w:lang w:eastAsia="zh-CN"/>
              </w:rPr>
              <w:t>1.28 (1)</w:t>
            </w:r>
          </w:p>
        </w:tc>
        <w:tc>
          <w:tcPr>
            <w:tcW w:w="1340" w:type="pct"/>
            <w:tcBorders>
              <w:top w:val="single" w:sz="4" w:space="0" w:color="auto"/>
              <w:left w:val="single" w:sz="4" w:space="0" w:color="auto"/>
              <w:bottom w:val="single" w:sz="4" w:space="0" w:color="auto"/>
              <w:right w:val="single" w:sz="4" w:space="0" w:color="auto"/>
            </w:tcBorders>
            <w:hideMark/>
          </w:tcPr>
          <w:p w14:paraId="38624240" w14:textId="77777777" w:rsidR="008E0152" w:rsidRPr="00542EC9" w:rsidRDefault="008E0152" w:rsidP="00ED4E9A">
            <w:pPr>
              <w:pStyle w:val="TAC"/>
              <w:rPr>
                <w:rFonts w:eastAsia="Malgun Gothic"/>
              </w:rPr>
            </w:pPr>
            <w:r w:rsidRPr="00542EC9">
              <w:t>3.84 (3)</w:t>
            </w:r>
          </w:p>
        </w:tc>
      </w:tr>
      <w:tr w:rsidR="008E0152" w:rsidRPr="00542EC9" w14:paraId="76FBF25E" w14:textId="77777777" w:rsidTr="00ED4E9A">
        <w:trPr>
          <w:cantSplit/>
          <w:jc w:val="center"/>
        </w:trPr>
        <w:tc>
          <w:tcPr>
            <w:tcW w:w="734" w:type="pct"/>
            <w:tcBorders>
              <w:top w:val="single" w:sz="4" w:space="0" w:color="auto"/>
              <w:left w:val="single" w:sz="4" w:space="0" w:color="auto"/>
              <w:bottom w:val="single" w:sz="4" w:space="0" w:color="auto"/>
              <w:right w:val="single" w:sz="4" w:space="0" w:color="auto"/>
            </w:tcBorders>
            <w:hideMark/>
          </w:tcPr>
          <w:p w14:paraId="51DAC5B0" w14:textId="77777777" w:rsidR="008E0152" w:rsidRPr="00542EC9" w:rsidRDefault="008E0152" w:rsidP="00ED4E9A">
            <w:pPr>
              <w:pStyle w:val="TAC"/>
              <w:rPr>
                <w:rFonts w:eastAsia="Malgun Gothic"/>
              </w:rPr>
            </w:pPr>
            <w:r w:rsidRPr="00542EC9">
              <w:t>2.56</w:t>
            </w:r>
          </w:p>
        </w:tc>
        <w:tc>
          <w:tcPr>
            <w:tcW w:w="1407" w:type="pct"/>
            <w:tcBorders>
              <w:top w:val="single" w:sz="4" w:space="0" w:color="auto"/>
              <w:left w:val="single" w:sz="4" w:space="0" w:color="auto"/>
              <w:bottom w:val="single" w:sz="4" w:space="0" w:color="auto"/>
              <w:right w:val="single" w:sz="4" w:space="0" w:color="auto"/>
            </w:tcBorders>
            <w:hideMark/>
          </w:tcPr>
          <w:p w14:paraId="50DEC23C" w14:textId="77777777" w:rsidR="008E0152" w:rsidRPr="00542EC9" w:rsidRDefault="008E0152" w:rsidP="00ED4E9A">
            <w:pPr>
              <w:pStyle w:val="TAC"/>
              <w:rPr>
                <w:rFonts w:eastAsia="Malgun Gothic"/>
              </w:rPr>
            </w:pPr>
            <w:r w:rsidRPr="00542EC9">
              <w:t>58.88 (23)</w:t>
            </w:r>
          </w:p>
        </w:tc>
        <w:tc>
          <w:tcPr>
            <w:tcW w:w="1519" w:type="pct"/>
            <w:tcBorders>
              <w:top w:val="single" w:sz="4" w:space="0" w:color="auto"/>
              <w:left w:val="single" w:sz="4" w:space="0" w:color="auto"/>
              <w:bottom w:val="single" w:sz="4" w:space="0" w:color="auto"/>
              <w:right w:val="single" w:sz="4" w:space="0" w:color="auto"/>
            </w:tcBorders>
            <w:hideMark/>
          </w:tcPr>
          <w:p w14:paraId="0CCE54B6" w14:textId="77777777" w:rsidR="008E0152" w:rsidRPr="00542EC9" w:rsidRDefault="008E0152" w:rsidP="00ED4E9A">
            <w:pPr>
              <w:pStyle w:val="TAC"/>
              <w:rPr>
                <w:rFonts w:eastAsia="Malgun Gothic"/>
              </w:rPr>
            </w:pPr>
            <w:r w:rsidRPr="00542EC9">
              <w:t>2.56 (1)</w:t>
            </w:r>
          </w:p>
        </w:tc>
        <w:tc>
          <w:tcPr>
            <w:tcW w:w="1340" w:type="pct"/>
            <w:tcBorders>
              <w:top w:val="single" w:sz="4" w:space="0" w:color="auto"/>
              <w:left w:val="single" w:sz="4" w:space="0" w:color="auto"/>
              <w:bottom w:val="single" w:sz="4" w:space="0" w:color="auto"/>
              <w:right w:val="single" w:sz="4" w:space="0" w:color="auto"/>
            </w:tcBorders>
            <w:hideMark/>
          </w:tcPr>
          <w:p w14:paraId="62948695" w14:textId="77777777" w:rsidR="008E0152" w:rsidRPr="00542EC9" w:rsidRDefault="008E0152" w:rsidP="00ED4E9A">
            <w:pPr>
              <w:pStyle w:val="TAC"/>
              <w:rPr>
                <w:rFonts w:eastAsia="Malgun Gothic"/>
              </w:rPr>
            </w:pPr>
            <w:r w:rsidRPr="00542EC9">
              <w:t>7.68 (3)</w:t>
            </w:r>
          </w:p>
        </w:tc>
      </w:tr>
      <w:tr w:rsidR="008E0152" w:rsidRPr="00542EC9" w14:paraId="347ED3F1" w14:textId="77777777" w:rsidTr="00ED4E9A">
        <w:trPr>
          <w:cantSplit/>
          <w:jc w:val="center"/>
        </w:trPr>
        <w:tc>
          <w:tcPr>
            <w:tcW w:w="5000" w:type="pct"/>
            <w:gridSpan w:val="4"/>
            <w:tcBorders>
              <w:top w:val="single" w:sz="4" w:space="0" w:color="auto"/>
              <w:left w:val="single" w:sz="4" w:space="0" w:color="auto"/>
              <w:bottom w:val="single" w:sz="4" w:space="0" w:color="auto"/>
              <w:right w:val="single" w:sz="4" w:space="0" w:color="auto"/>
            </w:tcBorders>
          </w:tcPr>
          <w:p w14:paraId="3A8E0419" w14:textId="77777777" w:rsidR="008E0152" w:rsidRPr="00542EC9" w:rsidRDefault="008E0152" w:rsidP="00ED4E9A">
            <w:pPr>
              <w:pStyle w:val="TAN"/>
              <w:rPr>
                <w:lang w:eastAsia="zh-CN"/>
              </w:rPr>
            </w:pPr>
            <w:r w:rsidRPr="00542EC9">
              <w:rPr>
                <w:lang w:eastAsia="zh-CN"/>
              </w:rPr>
              <w:t>Note 1:</w:t>
            </w:r>
            <w:r w:rsidRPr="00542EC9">
              <w:rPr>
                <w:rFonts w:eastAsia="CG Times (WN)"/>
                <w:lang w:val="en-US" w:eastAsia="x-none"/>
              </w:rPr>
              <w:tab/>
            </w:r>
            <w:r w:rsidRPr="00542EC9">
              <w:t>W</w:t>
            </w:r>
            <w:r w:rsidRPr="00542EC9">
              <w:rPr>
                <w:lang w:eastAsia="zh-CN"/>
              </w:rPr>
              <w:t>hen SMTC &lt; = 40 ms, M2 = M3 = M4 = 1; and when SMTC &gt; 40 ms, M2 = 1.5, M3 = M4 = 2</w:t>
            </w:r>
          </w:p>
          <w:p w14:paraId="754007F9" w14:textId="77777777" w:rsidR="008E0152" w:rsidRPr="00542EC9" w:rsidRDefault="008E0152" w:rsidP="00ED4E9A">
            <w:pPr>
              <w:pStyle w:val="TAN"/>
              <w:rPr>
                <w:rFonts w:eastAsia="Malgun Gothic"/>
              </w:rPr>
            </w:pPr>
            <w:r w:rsidRPr="00542EC9">
              <w:rPr>
                <w:rFonts w:eastAsia="Malgun Gothic"/>
              </w:rPr>
              <w:t>Note 2:</w:t>
            </w:r>
            <w:r w:rsidRPr="00542EC9">
              <w:rPr>
                <w:rFonts w:eastAsia="CG Times (WN)"/>
                <w:lang w:val="en-US" w:eastAsia="x-none"/>
              </w:rPr>
              <w:tab/>
            </w:r>
            <w:r w:rsidRPr="00542EC9">
              <w:rPr>
                <w:rFonts w:eastAsia="Malgun Gothic"/>
              </w:rPr>
              <w:t>The support of HST Idle mode inter-frequency measurement enhancement is optional without capability signalling. Apply for UE declarating supports idle mode inter-frequency measurement enhancement for HST, otherwise Table 4.2.2.4-1 shall be used.</w:t>
            </w:r>
          </w:p>
        </w:tc>
      </w:tr>
    </w:tbl>
    <w:p w14:paraId="0095A164" w14:textId="5B470694" w:rsidR="008E0152" w:rsidRDefault="008E0152" w:rsidP="008E0152">
      <w:pPr>
        <w:rPr>
          <w:noProof/>
        </w:rPr>
      </w:pPr>
    </w:p>
    <w:p w14:paraId="445CE966" w14:textId="77777777" w:rsidR="0097484A" w:rsidRPr="004B237A" w:rsidRDefault="0097484A" w:rsidP="0097484A">
      <w:pPr>
        <w:pStyle w:val="TH"/>
      </w:pPr>
      <w:r w:rsidRPr="00043DFE">
        <w:t>Table 4.2.2.4-3: T</w:t>
      </w:r>
      <w:r w:rsidRPr="00043DFE">
        <w:rPr>
          <w:vertAlign w:val="subscript"/>
        </w:rPr>
        <w:t>detect,NR_Inter,</w:t>
      </w:r>
      <w:r w:rsidRPr="00043DFE">
        <w:t xml:space="preserve"> T</w:t>
      </w:r>
      <w:r w:rsidRPr="00043DFE">
        <w:rPr>
          <w:vertAlign w:val="subscript"/>
        </w:rPr>
        <w:t>measure,NR_Inter</w:t>
      </w:r>
      <w:r w:rsidRPr="00043DFE">
        <w:t xml:space="preserve"> and T</w:t>
      </w:r>
      <w:r w:rsidRPr="00043DFE">
        <w:rPr>
          <w:vertAlign w:val="subscript"/>
        </w:rPr>
        <w:t>evaluate,NR_Inter</w:t>
      </w:r>
      <w:r w:rsidRPr="00043DFE">
        <w:rPr>
          <w:vertAlign w:val="subscript"/>
          <w:lang w:val="en-US"/>
        </w:rPr>
        <w:t xml:space="preserve"> </w:t>
      </w:r>
      <w:r w:rsidRPr="00043DFE">
        <w:t>for UE configured with eDRX_IDLE cycle (Frequency range FR1)</w:t>
      </w:r>
    </w:p>
    <w:tbl>
      <w:tblPr>
        <w:tblW w:w="48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756"/>
        <w:gridCol w:w="1273"/>
        <w:gridCol w:w="2804"/>
        <w:gridCol w:w="1615"/>
        <w:gridCol w:w="1703"/>
      </w:tblGrid>
      <w:tr w:rsidR="0097484A" w:rsidRPr="00043DFE" w14:paraId="4CE907AD" w14:textId="77777777" w:rsidTr="008B107E">
        <w:trPr>
          <w:trHeight w:val="673"/>
        </w:trPr>
        <w:tc>
          <w:tcPr>
            <w:tcW w:w="645" w:type="pct"/>
            <w:vMerge w:val="restart"/>
            <w:hideMark/>
          </w:tcPr>
          <w:p w14:paraId="3B72BD41" w14:textId="77777777" w:rsidR="0097484A" w:rsidRPr="00043DFE" w:rsidRDefault="0097484A" w:rsidP="008B107E">
            <w:pPr>
              <w:pStyle w:val="TAH"/>
              <w:rPr>
                <w:lang w:val="en-US" w:eastAsia="zh-CN"/>
              </w:rPr>
            </w:pPr>
            <w:r w:rsidRPr="00043DFE">
              <w:rPr>
                <w:lang w:eastAsia="zh-CN"/>
              </w:rPr>
              <w:t>eDRX_IDLE cycle length [s]</w:t>
            </w:r>
          </w:p>
        </w:tc>
        <w:tc>
          <w:tcPr>
            <w:tcW w:w="404" w:type="pct"/>
            <w:vMerge w:val="restart"/>
            <w:hideMark/>
          </w:tcPr>
          <w:p w14:paraId="3BD3403A" w14:textId="77777777" w:rsidR="0097484A" w:rsidRPr="00043DFE" w:rsidRDefault="0097484A" w:rsidP="008B107E">
            <w:pPr>
              <w:pStyle w:val="TAH"/>
              <w:rPr>
                <w:lang w:val="en-US" w:eastAsia="zh-CN"/>
              </w:rPr>
            </w:pPr>
            <w:r w:rsidRPr="00043DFE">
              <w:rPr>
                <w:lang w:eastAsia="zh-CN"/>
              </w:rPr>
              <w:t>DRX cycle length [s]</w:t>
            </w:r>
          </w:p>
        </w:tc>
        <w:tc>
          <w:tcPr>
            <w:tcW w:w="680" w:type="pct"/>
            <w:vMerge w:val="restart"/>
            <w:hideMark/>
          </w:tcPr>
          <w:p w14:paraId="3253D434" w14:textId="77777777" w:rsidR="0097484A" w:rsidRPr="00043DFE" w:rsidRDefault="0097484A" w:rsidP="008B107E">
            <w:pPr>
              <w:pStyle w:val="TAH"/>
              <w:rPr>
                <w:lang w:val="en-US" w:eastAsia="zh-CN"/>
              </w:rPr>
            </w:pPr>
            <w:r w:rsidRPr="00043DFE">
              <w:rPr>
                <w:lang w:eastAsia="zh-CN"/>
              </w:rPr>
              <w:t>PTW length [s] (number of 1.28s periods)</w:t>
            </w:r>
          </w:p>
        </w:tc>
        <w:tc>
          <w:tcPr>
            <w:tcW w:w="1498" w:type="pct"/>
            <w:vMerge w:val="restart"/>
            <w:hideMark/>
          </w:tcPr>
          <w:p w14:paraId="55008E47" w14:textId="77777777" w:rsidR="0097484A" w:rsidRPr="00043DFE" w:rsidRDefault="0097484A" w:rsidP="008B107E">
            <w:pPr>
              <w:pStyle w:val="TAH"/>
              <w:rPr>
                <w:lang w:val="en-US" w:eastAsia="zh-CN"/>
              </w:rPr>
            </w:pPr>
            <w:r w:rsidRPr="00043DFE">
              <w:rPr>
                <w:bCs/>
              </w:rPr>
              <w:t>T</w:t>
            </w:r>
            <w:r w:rsidRPr="00043DFE">
              <w:rPr>
                <w:bCs/>
                <w:vertAlign w:val="subscript"/>
              </w:rPr>
              <w:t xml:space="preserve">detect,NR_Inter </w:t>
            </w:r>
            <w:r w:rsidRPr="00043DFE">
              <w:rPr>
                <w:lang w:eastAsia="zh-CN"/>
              </w:rPr>
              <w:t>[s] (number of DRX cycles</w:t>
            </w:r>
            <w:r w:rsidRPr="00043DFE">
              <w:rPr>
                <w:bCs/>
                <w:lang w:eastAsia="zh-CN"/>
              </w:rPr>
              <w:t xml:space="preserve"> or eDRX cycles </w:t>
            </w:r>
            <w:r w:rsidRPr="00043DFE">
              <w:rPr>
                <w:bCs/>
                <w:vertAlign w:val="superscript"/>
                <w:lang w:eastAsia="zh-CN"/>
              </w:rPr>
              <w:t>Note 3</w:t>
            </w:r>
            <w:r w:rsidRPr="00043DFE">
              <w:rPr>
                <w:lang w:eastAsia="zh-CN"/>
              </w:rPr>
              <w:t>)</w:t>
            </w:r>
          </w:p>
        </w:tc>
        <w:tc>
          <w:tcPr>
            <w:tcW w:w="863" w:type="pct"/>
            <w:vMerge w:val="restart"/>
            <w:hideMark/>
          </w:tcPr>
          <w:p w14:paraId="115F2D43" w14:textId="77777777" w:rsidR="0097484A" w:rsidRPr="00043DFE" w:rsidRDefault="0097484A" w:rsidP="008B107E">
            <w:pPr>
              <w:pStyle w:val="TAH"/>
              <w:rPr>
                <w:lang w:val="en-US" w:eastAsia="zh-CN"/>
              </w:rPr>
            </w:pPr>
            <w:r w:rsidRPr="00043DFE">
              <w:rPr>
                <w:bCs/>
              </w:rPr>
              <w:t>T</w:t>
            </w:r>
            <w:r w:rsidRPr="00043DFE">
              <w:rPr>
                <w:bCs/>
                <w:vertAlign w:val="subscript"/>
              </w:rPr>
              <w:t>measure,NR_Inter</w:t>
            </w:r>
            <w:r w:rsidRPr="00043DFE">
              <w:t xml:space="preserve"> </w:t>
            </w:r>
            <w:r w:rsidRPr="00043DFE">
              <w:rPr>
                <w:lang w:eastAsia="zh-CN"/>
              </w:rPr>
              <w:t>[s] (number of DRX cycles</w:t>
            </w:r>
            <w:r w:rsidRPr="00043DFE">
              <w:rPr>
                <w:bCs/>
                <w:lang w:eastAsia="zh-CN"/>
              </w:rPr>
              <w:t xml:space="preserve"> or eDRX cycles </w:t>
            </w:r>
            <w:r w:rsidRPr="00043DFE">
              <w:rPr>
                <w:bCs/>
                <w:vertAlign w:val="superscript"/>
                <w:lang w:eastAsia="zh-CN"/>
              </w:rPr>
              <w:t>Note 3</w:t>
            </w:r>
            <w:r w:rsidRPr="00043DFE">
              <w:rPr>
                <w:lang w:eastAsia="zh-CN"/>
              </w:rPr>
              <w:t>)</w:t>
            </w:r>
          </w:p>
        </w:tc>
        <w:tc>
          <w:tcPr>
            <w:tcW w:w="910" w:type="pct"/>
            <w:vMerge w:val="restart"/>
            <w:hideMark/>
          </w:tcPr>
          <w:p w14:paraId="0B58134C" w14:textId="77777777" w:rsidR="0097484A" w:rsidRPr="00043DFE" w:rsidRDefault="0097484A" w:rsidP="008B107E">
            <w:pPr>
              <w:pStyle w:val="TAH"/>
              <w:rPr>
                <w:lang w:val="en-US" w:eastAsia="zh-CN"/>
              </w:rPr>
            </w:pPr>
            <w:r w:rsidRPr="00043DFE">
              <w:rPr>
                <w:bCs/>
              </w:rPr>
              <w:t>T</w:t>
            </w:r>
            <w:r w:rsidRPr="00043DFE">
              <w:rPr>
                <w:bCs/>
                <w:vertAlign w:val="subscript"/>
              </w:rPr>
              <w:t>evaluate,NR_Inter</w:t>
            </w:r>
            <w:r w:rsidRPr="00043DFE">
              <w:rPr>
                <w:vertAlign w:val="subscript"/>
                <w:lang w:val="en-US"/>
              </w:rPr>
              <w:t xml:space="preserve"> </w:t>
            </w:r>
            <w:r w:rsidRPr="00043DFE">
              <w:rPr>
                <w:lang w:eastAsia="zh-CN"/>
              </w:rPr>
              <w:t>[s] (number of DRX cycles</w:t>
            </w:r>
            <w:r w:rsidRPr="00043DFE">
              <w:rPr>
                <w:bCs/>
                <w:lang w:eastAsia="zh-CN"/>
              </w:rPr>
              <w:t xml:space="preserve"> or eDRX cycles </w:t>
            </w:r>
            <w:r w:rsidRPr="00043DFE">
              <w:rPr>
                <w:bCs/>
                <w:vertAlign w:val="superscript"/>
                <w:lang w:eastAsia="zh-CN"/>
              </w:rPr>
              <w:t>Note 3</w:t>
            </w:r>
            <w:r w:rsidRPr="00043DFE">
              <w:rPr>
                <w:lang w:eastAsia="zh-CN"/>
              </w:rPr>
              <w:t>)</w:t>
            </w:r>
          </w:p>
        </w:tc>
      </w:tr>
      <w:tr w:rsidR="0097484A" w:rsidRPr="00043DFE" w14:paraId="1692AF43" w14:textId="77777777" w:rsidTr="008B107E">
        <w:trPr>
          <w:trHeight w:val="1009"/>
        </w:trPr>
        <w:tc>
          <w:tcPr>
            <w:tcW w:w="645" w:type="pct"/>
            <w:vMerge/>
            <w:hideMark/>
          </w:tcPr>
          <w:p w14:paraId="22D8531D" w14:textId="77777777" w:rsidR="0097484A" w:rsidRPr="00043DFE" w:rsidRDefault="0097484A" w:rsidP="008B107E">
            <w:pPr>
              <w:rPr>
                <w:rFonts w:ascii="Arial" w:hAnsi="Arial" w:cs="Arial"/>
                <w:sz w:val="18"/>
                <w:lang w:val="en-US" w:eastAsia="zh-CN"/>
              </w:rPr>
            </w:pPr>
          </w:p>
        </w:tc>
        <w:tc>
          <w:tcPr>
            <w:tcW w:w="404" w:type="pct"/>
            <w:vMerge/>
            <w:hideMark/>
          </w:tcPr>
          <w:p w14:paraId="5FF93C27" w14:textId="77777777" w:rsidR="0097484A" w:rsidRPr="00043DFE" w:rsidRDefault="0097484A" w:rsidP="008B107E">
            <w:pPr>
              <w:rPr>
                <w:rFonts w:ascii="Arial" w:hAnsi="Arial" w:cs="Arial"/>
                <w:sz w:val="18"/>
                <w:lang w:val="en-US" w:eastAsia="zh-CN"/>
              </w:rPr>
            </w:pPr>
          </w:p>
        </w:tc>
        <w:tc>
          <w:tcPr>
            <w:tcW w:w="680" w:type="pct"/>
            <w:vMerge/>
            <w:hideMark/>
          </w:tcPr>
          <w:p w14:paraId="77857BFB" w14:textId="77777777" w:rsidR="0097484A" w:rsidRPr="00043DFE" w:rsidRDefault="0097484A" w:rsidP="008B107E">
            <w:pPr>
              <w:rPr>
                <w:rFonts w:ascii="Arial" w:hAnsi="Arial" w:cs="Arial"/>
                <w:sz w:val="18"/>
                <w:lang w:val="en-US" w:eastAsia="zh-CN"/>
              </w:rPr>
            </w:pPr>
          </w:p>
        </w:tc>
        <w:tc>
          <w:tcPr>
            <w:tcW w:w="1498" w:type="pct"/>
            <w:vMerge/>
            <w:hideMark/>
          </w:tcPr>
          <w:p w14:paraId="56F247E4" w14:textId="77777777" w:rsidR="0097484A" w:rsidRPr="00043DFE" w:rsidRDefault="0097484A" w:rsidP="008B107E">
            <w:pPr>
              <w:rPr>
                <w:rFonts w:ascii="Arial" w:hAnsi="Arial" w:cs="Arial"/>
                <w:sz w:val="18"/>
                <w:lang w:val="en-US" w:eastAsia="zh-CN"/>
              </w:rPr>
            </w:pPr>
          </w:p>
        </w:tc>
        <w:tc>
          <w:tcPr>
            <w:tcW w:w="863" w:type="pct"/>
            <w:vMerge/>
            <w:hideMark/>
          </w:tcPr>
          <w:p w14:paraId="27BCCB79" w14:textId="77777777" w:rsidR="0097484A" w:rsidRPr="00043DFE" w:rsidRDefault="0097484A" w:rsidP="008B107E">
            <w:pPr>
              <w:rPr>
                <w:rFonts w:ascii="Arial" w:hAnsi="Arial" w:cs="Arial"/>
                <w:sz w:val="18"/>
                <w:lang w:val="en-US" w:eastAsia="zh-CN"/>
              </w:rPr>
            </w:pPr>
          </w:p>
        </w:tc>
        <w:tc>
          <w:tcPr>
            <w:tcW w:w="910" w:type="pct"/>
            <w:vMerge/>
            <w:hideMark/>
          </w:tcPr>
          <w:p w14:paraId="10D6AC0A" w14:textId="77777777" w:rsidR="0097484A" w:rsidRPr="00043DFE" w:rsidRDefault="0097484A" w:rsidP="008B107E">
            <w:pPr>
              <w:rPr>
                <w:rFonts w:ascii="Arial" w:hAnsi="Arial" w:cs="Arial"/>
                <w:sz w:val="18"/>
                <w:lang w:val="en-US" w:eastAsia="zh-CN"/>
              </w:rPr>
            </w:pPr>
          </w:p>
        </w:tc>
      </w:tr>
      <w:tr w:rsidR="0097484A" w:rsidRPr="00043DFE" w14:paraId="1821888D" w14:textId="77777777" w:rsidTr="008B107E">
        <w:trPr>
          <w:trHeight w:val="336"/>
        </w:trPr>
        <w:tc>
          <w:tcPr>
            <w:tcW w:w="645" w:type="pct"/>
          </w:tcPr>
          <w:p w14:paraId="145A5697" w14:textId="77777777" w:rsidR="0097484A" w:rsidRPr="00043DFE" w:rsidRDefault="0097484A" w:rsidP="008B107E">
            <w:pPr>
              <w:pStyle w:val="TAC"/>
              <w:rPr>
                <w:lang w:val="en-US" w:eastAsia="zh-CN"/>
              </w:rPr>
            </w:pPr>
            <w:r w:rsidRPr="00043DFE">
              <w:rPr>
                <w:lang w:val="en-US" w:eastAsia="zh-CN"/>
              </w:rPr>
              <w:t>2.56</w:t>
            </w:r>
          </w:p>
        </w:tc>
        <w:tc>
          <w:tcPr>
            <w:tcW w:w="404" w:type="pct"/>
          </w:tcPr>
          <w:p w14:paraId="68B889A3" w14:textId="77777777" w:rsidR="0097484A" w:rsidRPr="00043DFE" w:rsidRDefault="0097484A" w:rsidP="008B107E">
            <w:pPr>
              <w:pStyle w:val="TAC"/>
              <w:rPr>
                <w:lang w:val="en-US" w:eastAsia="zh-CN"/>
              </w:rPr>
            </w:pPr>
            <w:r w:rsidRPr="00043DFE">
              <w:rPr>
                <w:lang w:val="en-US" w:eastAsia="zh-CN"/>
              </w:rPr>
              <w:t>-</w:t>
            </w:r>
          </w:p>
        </w:tc>
        <w:tc>
          <w:tcPr>
            <w:tcW w:w="680" w:type="pct"/>
          </w:tcPr>
          <w:p w14:paraId="0A85278E" w14:textId="77777777" w:rsidR="0097484A" w:rsidRPr="00043DFE" w:rsidRDefault="0097484A" w:rsidP="008B107E">
            <w:pPr>
              <w:pStyle w:val="TAC"/>
              <w:rPr>
                <w:lang w:val="en-US" w:eastAsia="zh-CN"/>
              </w:rPr>
            </w:pPr>
            <w:r w:rsidRPr="00043DFE">
              <w:rPr>
                <w:lang w:val="en-US" w:eastAsia="zh-CN"/>
              </w:rPr>
              <w:t>-</w:t>
            </w:r>
          </w:p>
        </w:tc>
        <w:tc>
          <w:tcPr>
            <w:tcW w:w="1498" w:type="pct"/>
          </w:tcPr>
          <w:p w14:paraId="314B374C" w14:textId="77777777" w:rsidR="0097484A" w:rsidRPr="00043DFE" w:rsidRDefault="0097484A" w:rsidP="008B107E">
            <w:pPr>
              <w:pStyle w:val="TAC"/>
              <w:rPr>
                <w:lang w:eastAsia="zh-CN"/>
              </w:rPr>
            </w:pPr>
            <w:r w:rsidRPr="00043DFE">
              <w:rPr>
                <w:lang w:eastAsia="zh-CN"/>
              </w:rPr>
              <w:t>58.88 (23)</w:t>
            </w:r>
          </w:p>
        </w:tc>
        <w:tc>
          <w:tcPr>
            <w:tcW w:w="863" w:type="pct"/>
          </w:tcPr>
          <w:p w14:paraId="2D9527BE" w14:textId="77777777" w:rsidR="0097484A" w:rsidRPr="00043DFE" w:rsidRDefault="0097484A" w:rsidP="008B107E">
            <w:pPr>
              <w:pStyle w:val="TAC"/>
              <w:rPr>
                <w:lang w:eastAsia="zh-CN"/>
              </w:rPr>
            </w:pPr>
            <w:r w:rsidRPr="00043DFE">
              <w:rPr>
                <w:lang w:eastAsia="zh-CN"/>
              </w:rPr>
              <w:t>2.56 (1)</w:t>
            </w:r>
          </w:p>
        </w:tc>
        <w:tc>
          <w:tcPr>
            <w:tcW w:w="910" w:type="pct"/>
          </w:tcPr>
          <w:p w14:paraId="4E22624A" w14:textId="77777777" w:rsidR="0097484A" w:rsidRPr="00043DFE" w:rsidRDefault="0097484A" w:rsidP="008B107E">
            <w:pPr>
              <w:pStyle w:val="TAC"/>
              <w:rPr>
                <w:lang w:eastAsia="zh-CN"/>
              </w:rPr>
            </w:pPr>
            <w:r w:rsidRPr="00043DFE">
              <w:rPr>
                <w:lang w:eastAsia="zh-CN"/>
              </w:rPr>
              <w:t>7.68 (3)</w:t>
            </w:r>
          </w:p>
        </w:tc>
      </w:tr>
      <w:tr w:rsidR="0097484A" w:rsidRPr="00043DFE" w14:paraId="2B390ED0" w14:textId="77777777" w:rsidTr="008B107E">
        <w:trPr>
          <w:trHeight w:val="336"/>
        </w:trPr>
        <w:tc>
          <w:tcPr>
            <w:tcW w:w="645" w:type="pct"/>
          </w:tcPr>
          <w:p w14:paraId="598050A1" w14:textId="77777777" w:rsidR="0097484A" w:rsidRPr="00043DFE" w:rsidRDefault="0097484A" w:rsidP="008B107E">
            <w:pPr>
              <w:pStyle w:val="TAC"/>
              <w:rPr>
                <w:lang w:eastAsia="zh-CN"/>
              </w:rPr>
            </w:pPr>
            <w:r w:rsidRPr="00043DFE">
              <w:rPr>
                <w:lang w:eastAsia="zh-CN"/>
              </w:rPr>
              <w:t>5.12</w:t>
            </w:r>
          </w:p>
        </w:tc>
        <w:tc>
          <w:tcPr>
            <w:tcW w:w="404" w:type="pct"/>
          </w:tcPr>
          <w:p w14:paraId="2AA20E4D" w14:textId="77777777" w:rsidR="0097484A" w:rsidRPr="00043DFE" w:rsidRDefault="0097484A" w:rsidP="008B107E">
            <w:pPr>
              <w:pStyle w:val="TAC"/>
              <w:rPr>
                <w:lang w:val="en-US" w:eastAsia="zh-CN"/>
              </w:rPr>
            </w:pPr>
            <w:r w:rsidRPr="00043DFE">
              <w:rPr>
                <w:lang w:val="en-US" w:eastAsia="zh-CN"/>
              </w:rPr>
              <w:t>-</w:t>
            </w:r>
          </w:p>
        </w:tc>
        <w:tc>
          <w:tcPr>
            <w:tcW w:w="680" w:type="pct"/>
          </w:tcPr>
          <w:p w14:paraId="260B6356" w14:textId="77777777" w:rsidR="0097484A" w:rsidRPr="00043DFE" w:rsidRDefault="0097484A" w:rsidP="008B107E">
            <w:pPr>
              <w:pStyle w:val="TAC"/>
              <w:rPr>
                <w:lang w:eastAsia="zh-CN"/>
              </w:rPr>
            </w:pPr>
            <w:r w:rsidRPr="00043DFE">
              <w:rPr>
                <w:lang w:eastAsia="zh-CN"/>
              </w:rPr>
              <w:t>-</w:t>
            </w:r>
          </w:p>
        </w:tc>
        <w:tc>
          <w:tcPr>
            <w:tcW w:w="1498" w:type="pct"/>
          </w:tcPr>
          <w:p w14:paraId="1DEE9909" w14:textId="77777777" w:rsidR="0097484A" w:rsidRPr="00043DFE" w:rsidRDefault="0097484A" w:rsidP="008B107E">
            <w:pPr>
              <w:pStyle w:val="TAC"/>
              <w:rPr>
                <w:lang w:eastAsia="zh-CN"/>
              </w:rPr>
            </w:pPr>
            <w:r w:rsidRPr="00043DFE">
              <w:rPr>
                <w:lang w:eastAsia="zh-CN"/>
              </w:rPr>
              <w:t>117.76 (23)</w:t>
            </w:r>
          </w:p>
        </w:tc>
        <w:tc>
          <w:tcPr>
            <w:tcW w:w="863" w:type="pct"/>
          </w:tcPr>
          <w:p w14:paraId="6571A9FC" w14:textId="77777777" w:rsidR="0097484A" w:rsidRPr="00043DFE" w:rsidRDefault="0097484A" w:rsidP="008B107E">
            <w:pPr>
              <w:pStyle w:val="TAC"/>
              <w:rPr>
                <w:lang w:eastAsia="zh-CN"/>
              </w:rPr>
            </w:pPr>
            <w:r w:rsidRPr="00043DFE">
              <w:rPr>
                <w:lang w:eastAsia="zh-CN"/>
              </w:rPr>
              <w:t>5.12 (1)</w:t>
            </w:r>
          </w:p>
        </w:tc>
        <w:tc>
          <w:tcPr>
            <w:tcW w:w="910" w:type="pct"/>
          </w:tcPr>
          <w:p w14:paraId="54931FD5" w14:textId="77777777" w:rsidR="0097484A" w:rsidRPr="00043DFE" w:rsidRDefault="0097484A" w:rsidP="008B107E">
            <w:pPr>
              <w:pStyle w:val="TAC"/>
              <w:rPr>
                <w:lang w:eastAsia="zh-CN"/>
              </w:rPr>
            </w:pPr>
            <w:r w:rsidRPr="00043DFE">
              <w:rPr>
                <w:lang w:eastAsia="zh-CN"/>
              </w:rPr>
              <w:t>10.24 (2)</w:t>
            </w:r>
          </w:p>
        </w:tc>
      </w:tr>
      <w:tr w:rsidR="0097484A" w:rsidRPr="00043DFE" w14:paraId="1EFB8FAB" w14:textId="77777777" w:rsidTr="008B107E">
        <w:trPr>
          <w:trHeight w:val="336"/>
        </w:trPr>
        <w:tc>
          <w:tcPr>
            <w:tcW w:w="645" w:type="pct"/>
            <w:hideMark/>
          </w:tcPr>
          <w:p w14:paraId="46FA12A3" w14:textId="77777777" w:rsidR="0097484A" w:rsidRPr="00043DFE" w:rsidRDefault="0097484A" w:rsidP="008B107E">
            <w:pPr>
              <w:pStyle w:val="TAC"/>
              <w:rPr>
                <w:lang w:val="en-US" w:eastAsia="zh-CN"/>
              </w:rPr>
            </w:pPr>
            <w:r w:rsidRPr="00043DFE">
              <w:rPr>
                <w:lang w:eastAsia="zh-CN"/>
              </w:rPr>
              <w:t>10.24</w:t>
            </w:r>
          </w:p>
        </w:tc>
        <w:tc>
          <w:tcPr>
            <w:tcW w:w="404" w:type="pct"/>
            <w:hideMark/>
          </w:tcPr>
          <w:p w14:paraId="02A9BF3A" w14:textId="77777777" w:rsidR="0097484A" w:rsidRPr="00043DFE" w:rsidRDefault="0097484A" w:rsidP="008B107E">
            <w:pPr>
              <w:pStyle w:val="TAC"/>
              <w:rPr>
                <w:lang w:val="en-US" w:eastAsia="zh-CN"/>
              </w:rPr>
            </w:pPr>
            <w:r w:rsidRPr="00043DFE">
              <w:rPr>
                <w:lang w:val="en-US" w:eastAsia="zh-CN"/>
              </w:rPr>
              <w:t>-</w:t>
            </w:r>
          </w:p>
        </w:tc>
        <w:tc>
          <w:tcPr>
            <w:tcW w:w="680" w:type="pct"/>
            <w:hideMark/>
          </w:tcPr>
          <w:p w14:paraId="4519B68A" w14:textId="77777777" w:rsidR="0097484A" w:rsidRPr="00043DFE" w:rsidRDefault="0097484A" w:rsidP="008B107E">
            <w:pPr>
              <w:pStyle w:val="TAC"/>
              <w:rPr>
                <w:lang w:val="en-US" w:eastAsia="zh-CN"/>
              </w:rPr>
            </w:pPr>
            <w:r w:rsidRPr="00043DFE">
              <w:rPr>
                <w:lang w:eastAsia="zh-CN"/>
              </w:rPr>
              <w:t>-</w:t>
            </w:r>
          </w:p>
        </w:tc>
        <w:tc>
          <w:tcPr>
            <w:tcW w:w="1498" w:type="pct"/>
            <w:hideMark/>
          </w:tcPr>
          <w:p w14:paraId="067C94E5" w14:textId="77777777" w:rsidR="0097484A" w:rsidRPr="00043DFE" w:rsidRDefault="0097484A" w:rsidP="008B107E">
            <w:pPr>
              <w:pStyle w:val="TAC"/>
              <w:rPr>
                <w:lang w:val="en-US" w:eastAsia="zh-CN"/>
              </w:rPr>
            </w:pPr>
            <w:r w:rsidRPr="00043DFE">
              <w:rPr>
                <w:lang w:eastAsia="zh-CN"/>
              </w:rPr>
              <w:t>235.52 (23)</w:t>
            </w:r>
          </w:p>
        </w:tc>
        <w:tc>
          <w:tcPr>
            <w:tcW w:w="863" w:type="pct"/>
            <w:hideMark/>
          </w:tcPr>
          <w:p w14:paraId="7468C79E" w14:textId="77777777" w:rsidR="0097484A" w:rsidRPr="00043DFE" w:rsidRDefault="0097484A" w:rsidP="008B107E">
            <w:pPr>
              <w:pStyle w:val="TAC"/>
              <w:rPr>
                <w:lang w:val="en-US" w:eastAsia="zh-CN"/>
              </w:rPr>
            </w:pPr>
            <w:r w:rsidRPr="00043DFE">
              <w:rPr>
                <w:lang w:eastAsia="zh-CN"/>
              </w:rPr>
              <w:t>10.24 (1)</w:t>
            </w:r>
          </w:p>
        </w:tc>
        <w:tc>
          <w:tcPr>
            <w:tcW w:w="910" w:type="pct"/>
            <w:hideMark/>
          </w:tcPr>
          <w:p w14:paraId="72BEDB9A" w14:textId="77777777" w:rsidR="0097484A" w:rsidRPr="00043DFE" w:rsidRDefault="0097484A" w:rsidP="008B107E">
            <w:pPr>
              <w:pStyle w:val="TAC"/>
              <w:rPr>
                <w:lang w:val="en-US" w:eastAsia="zh-CN"/>
              </w:rPr>
            </w:pPr>
            <w:r w:rsidRPr="00043DFE">
              <w:rPr>
                <w:lang w:eastAsia="zh-CN"/>
              </w:rPr>
              <w:t>20.48 (2)</w:t>
            </w:r>
          </w:p>
        </w:tc>
      </w:tr>
      <w:tr w:rsidR="0097484A" w:rsidRPr="00043DFE" w14:paraId="092722DB" w14:textId="77777777" w:rsidTr="008B107E">
        <w:trPr>
          <w:trHeight w:val="673"/>
        </w:trPr>
        <w:tc>
          <w:tcPr>
            <w:tcW w:w="645" w:type="pct"/>
            <w:tcBorders>
              <w:bottom w:val="nil"/>
            </w:tcBorders>
            <w:hideMark/>
          </w:tcPr>
          <w:p w14:paraId="33C35C2D" w14:textId="77777777" w:rsidR="0097484A" w:rsidRPr="00043DFE" w:rsidRDefault="0097484A" w:rsidP="008B107E">
            <w:pPr>
              <w:pStyle w:val="TAC"/>
              <w:rPr>
                <w:rFonts w:cs="Arial"/>
                <w:lang w:val="en-US" w:eastAsia="zh-CN"/>
              </w:rPr>
            </w:pPr>
            <w:r w:rsidRPr="00043DFE">
              <w:rPr>
                <w:rFonts w:cs="Arial"/>
                <w:lang w:eastAsia="zh-CN"/>
              </w:rPr>
              <w:t>20.48 ≤</w:t>
            </w:r>
            <w:r w:rsidRPr="00043DFE">
              <w:rPr>
                <w:rFonts w:cs="Arial"/>
              </w:rPr>
              <w:t xml:space="preserve"> </w:t>
            </w:r>
            <w:r w:rsidRPr="00043DFE">
              <w:rPr>
                <w:rFonts w:cs="Arial"/>
                <w:lang w:eastAsia="zh-CN"/>
              </w:rPr>
              <w:t xml:space="preserve"> eDRX_IDLE cycle length ≤10485.76</w:t>
            </w:r>
          </w:p>
        </w:tc>
        <w:tc>
          <w:tcPr>
            <w:tcW w:w="404" w:type="pct"/>
            <w:hideMark/>
          </w:tcPr>
          <w:p w14:paraId="68B40802" w14:textId="77777777" w:rsidR="0097484A" w:rsidRPr="00043DFE" w:rsidRDefault="0097484A" w:rsidP="008B107E">
            <w:pPr>
              <w:pStyle w:val="TAC"/>
              <w:rPr>
                <w:rFonts w:cs="Arial"/>
                <w:lang w:val="en-US" w:eastAsia="zh-CN"/>
              </w:rPr>
            </w:pPr>
            <w:r w:rsidRPr="00043DFE">
              <w:rPr>
                <w:rFonts w:cs="Arial"/>
                <w:lang w:eastAsia="zh-CN"/>
              </w:rPr>
              <w:t>0.32</w:t>
            </w:r>
          </w:p>
        </w:tc>
        <w:tc>
          <w:tcPr>
            <w:tcW w:w="680" w:type="pct"/>
            <w:hideMark/>
          </w:tcPr>
          <w:p w14:paraId="5DA41083" w14:textId="77777777" w:rsidR="0097484A" w:rsidRPr="00043DFE" w:rsidRDefault="0097484A" w:rsidP="008B107E">
            <w:pPr>
              <w:pStyle w:val="TAC"/>
              <w:rPr>
                <w:rFonts w:cs="Arial"/>
                <w:lang w:val="en-US" w:eastAsia="zh-CN"/>
              </w:rPr>
            </w:pPr>
            <w:r w:rsidRPr="00043DFE">
              <w:rPr>
                <w:rFonts w:cs="Arial"/>
                <w:lang w:eastAsia="zh-CN"/>
              </w:rPr>
              <w:t>≥1.28 (1)</w:t>
            </w:r>
          </w:p>
        </w:tc>
        <w:tc>
          <w:tcPr>
            <w:tcW w:w="1498" w:type="pct"/>
            <w:tcBorders>
              <w:bottom w:val="nil"/>
            </w:tcBorders>
            <w:hideMark/>
          </w:tcPr>
          <w:p w14:paraId="7A1A5EFB" w14:textId="77777777" w:rsidR="0097484A" w:rsidRPr="00043DFE" w:rsidRDefault="0097484A" w:rsidP="008B107E">
            <w:pPr>
              <w:pStyle w:val="TAC"/>
              <w:rPr>
                <w:rFonts w:cs="Arial"/>
                <w:lang w:val="en-US" w:eastAsia="zh-CN"/>
              </w:rPr>
            </w:pPr>
            <m:oMathPara>
              <m:oMathParaPr>
                <m:jc m:val="centerGroup"/>
              </m:oMathParaPr>
              <m:oMath>
                <m:r>
                  <w:rPr>
                    <w:rFonts w:ascii="Cambria Math" w:hAnsi="Cambria Math" w:cs="Arial"/>
                    <w:lang w:val="en-US" w:eastAsia="zh-CN"/>
                  </w:rPr>
                  <m:t>eDRX</m:t>
                </m:r>
                <m:r>
                  <m:rPr>
                    <m:sty m:val="p"/>
                  </m:rPr>
                  <w:rPr>
                    <w:rFonts w:ascii="Cambria Math" w:hAnsi="Cambria Math" w:cs="Arial"/>
                    <w:lang w:val="en-US" w:eastAsia="zh-CN"/>
                  </w:rPr>
                  <m:t>_</m:t>
                </m:r>
                <m:r>
                  <w:rPr>
                    <w:rFonts w:ascii="Cambria Math" w:hAnsi="Cambria Math" w:cs="Arial"/>
                    <w:lang w:val="en-US" w:eastAsia="zh-CN"/>
                  </w:rPr>
                  <m:t>cycl</m:t>
                </m:r>
                <m:r>
                  <m:rPr>
                    <m:sty m:val="p"/>
                  </m:rPr>
                  <w:rPr>
                    <w:rFonts w:ascii="Cambria Math" w:hAnsi="Cambria Math" w:cs="Arial"/>
                    <w:lang w:val="en-US" w:eastAsia="zh-CN"/>
                  </w:rPr>
                  <m:t>e_</m:t>
                </m:r>
                <m:r>
                  <w:rPr>
                    <w:rFonts w:ascii="Cambria Math" w:hAnsi="Cambria Math" w:cs="Arial"/>
                    <w:lang w:val="en-US" w:eastAsia="zh-CN"/>
                  </w:rPr>
                  <m:t>length×</m:t>
                </m:r>
                <m:d>
                  <m:dPr>
                    <m:begChr m:val="⌈"/>
                    <m:endChr m:val="⌉"/>
                    <m:ctrlPr>
                      <w:rPr>
                        <w:rFonts w:ascii="Cambria Math" w:hAnsi="Cambria Math" w:cs="Arial"/>
                        <w:i/>
                        <w:lang w:val="en-US" w:eastAsia="zh-CN"/>
                      </w:rPr>
                    </m:ctrlPr>
                  </m:dPr>
                  <m:e>
                    <m:f>
                      <m:fPr>
                        <m:ctrlPr>
                          <w:rPr>
                            <w:rFonts w:ascii="Cambria Math" w:hAnsi="Cambria Math" w:cs="Arial"/>
                            <w:i/>
                            <w:lang w:val="en-US" w:eastAsia="zh-CN"/>
                          </w:rPr>
                        </m:ctrlPr>
                      </m:fPr>
                      <m:num>
                        <m:r>
                          <w:rPr>
                            <w:rFonts w:ascii="Cambria Math" w:hAnsi="Cambria Math" w:cs="Arial"/>
                            <w:lang w:val="en-US" w:eastAsia="zh-CN"/>
                          </w:rPr>
                          <m:t>23</m:t>
                        </m:r>
                      </m:num>
                      <m:den>
                        <m:r>
                          <w:rPr>
                            <w:rFonts w:ascii="Cambria Math" w:hAnsi="Cambria Math" w:cs="Arial"/>
                            <w:lang w:val="en-US" w:eastAsia="zh-CN"/>
                          </w:rPr>
                          <m:t>PTW/DRX_cycle_length</m:t>
                        </m:r>
                      </m:den>
                    </m:f>
                  </m:e>
                </m:d>
              </m:oMath>
            </m:oMathPara>
          </w:p>
          <w:p w14:paraId="60BACAE1" w14:textId="77777777" w:rsidR="0097484A" w:rsidRPr="00043DFE" w:rsidRDefault="0097484A" w:rsidP="008B107E">
            <w:pPr>
              <w:pStyle w:val="TAC"/>
              <w:rPr>
                <w:rFonts w:cs="Arial"/>
                <w:lang w:val="en-US" w:eastAsia="zh-CN"/>
              </w:rPr>
            </w:pPr>
            <w:r w:rsidRPr="00043DFE">
              <w:rPr>
                <w:rFonts w:cs="Arial"/>
                <w:lang w:val="en-US" w:eastAsia="zh-CN"/>
              </w:rPr>
              <w:t>(23)</w:t>
            </w:r>
          </w:p>
        </w:tc>
        <w:tc>
          <w:tcPr>
            <w:tcW w:w="863" w:type="pct"/>
            <w:hideMark/>
          </w:tcPr>
          <w:p w14:paraId="7905F1C7" w14:textId="77777777" w:rsidR="0097484A" w:rsidRPr="00043DFE" w:rsidRDefault="0097484A" w:rsidP="008B107E">
            <w:pPr>
              <w:pStyle w:val="TAC"/>
              <w:rPr>
                <w:rFonts w:cs="Arial"/>
                <w:lang w:val="en-US" w:eastAsia="zh-CN"/>
              </w:rPr>
            </w:pPr>
            <w:r w:rsidRPr="00043DFE">
              <w:rPr>
                <w:rFonts w:cs="Arial"/>
                <w:lang w:eastAsia="zh-CN"/>
              </w:rPr>
              <w:t>0.32 x 1.5 (1 x 1.5)</w:t>
            </w:r>
          </w:p>
        </w:tc>
        <w:tc>
          <w:tcPr>
            <w:tcW w:w="910" w:type="pct"/>
            <w:hideMark/>
          </w:tcPr>
          <w:p w14:paraId="7419498A" w14:textId="77777777" w:rsidR="0097484A" w:rsidRPr="00043DFE" w:rsidRDefault="0097484A" w:rsidP="008B107E">
            <w:pPr>
              <w:pStyle w:val="TAC"/>
              <w:rPr>
                <w:rFonts w:cs="Arial"/>
                <w:lang w:val="en-US" w:eastAsia="zh-CN"/>
              </w:rPr>
            </w:pPr>
            <w:r w:rsidRPr="00043DFE">
              <w:rPr>
                <w:rFonts w:cs="Arial"/>
                <w:lang w:eastAsia="zh-CN"/>
              </w:rPr>
              <w:t>0.64 x 1.5 (2 x 1.5)</w:t>
            </w:r>
          </w:p>
        </w:tc>
      </w:tr>
      <w:tr w:rsidR="0097484A" w:rsidRPr="00043DFE" w14:paraId="1D9B1289" w14:textId="77777777" w:rsidTr="008B107E">
        <w:trPr>
          <w:trHeight w:val="336"/>
        </w:trPr>
        <w:tc>
          <w:tcPr>
            <w:tcW w:w="645" w:type="pct"/>
            <w:tcBorders>
              <w:top w:val="nil"/>
              <w:bottom w:val="nil"/>
            </w:tcBorders>
            <w:hideMark/>
          </w:tcPr>
          <w:p w14:paraId="3D70D871" w14:textId="77777777" w:rsidR="0097484A" w:rsidRPr="00043DFE" w:rsidRDefault="0097484A" w:rsidP="008B107E">
            <w:pPr>
              <w:pStyle w:val="TAC"/>
              <w:rPr>
                <w:rFonts w:cs="Arial"/>
                <w:lang w:val="en-US" w:eastAsia="zh-CN"/>
              </w:rPr>
            </w:pPr>
          </w:p>
        </w:tc>
        <w:tc>
          <w:tcPr>
            <w:tcW w:w="404" w:type="pct"/>
            <w:hideMark/>
          </w:tcPr>
          <w:p w14:paraId="2D2C3953" w14:textId="77777777" w:rsidR="0097484A" w:rsidRPr="00043DFE" w:rsidRDefault="0097484A" w:rsidP="008B107E">
            <w:pPr>
              <w:pStyle w:val="TAC"/>
              <w:rPr>
                <w:rFonts w:cs="Arial"/>
                <w:lang w:val="en-US" w:eastAsia="zh-CN"/>
              </w:rPr>
            </w:pPr>
            <w:r w:rsidRPr="00043DFE">
              <w:rPr>
                <w:rFonts w:cs="Arial"/>
                <w:lang w:eastAsia="zh-CN"/>
              </w:rPr>
              <w:t>0.64</w:t>
            </w:r>
          </w:p>
        </w:tc>
        <w:tc>
          <w:tcPr>
            <w:tcW w:w="680" w:type="pct"/>
            <w:hideMark/>
          </w:tcPr>
          <w:p w14:paraId="149FE991" w14:textId="77777777" w:rsidR="0097484A" w:rsidRPr="00043DFE" w:rsidRDefault="0097484A" w:rsidP="008B107E">
            <w:pPr>
              <w:pStyle w:val="TAC"/>
              <w:rPr>
                <w:rFonts w:cs="Arial"/>
                <w:lang w:val="en-US" w:eastAsia="zh-CN"/>
              </w:rPr>
            </w:pPr>
            <w:r w:rsidRPr="00043DFE">
              <w:rPr>
                <w:rFonts w:cs="Arial"/>
                <w:lang w:eastAsia="zh-CN"/>
              </w:rPr>
              <w:t>≥1.28 (1)</w:t>
            </w:r>
          </w:p>
        </w:tc>
        <w:tc>
          <w:tcPr>
            <w:tcW w:w="1498" w:type="pct"/>
            <w:tcBorders>
              <w:top w:val="nil"/>
              <w:bottom w:val="nil"/>
            </w:tcBorders>
            <w:hideMark/>
          </w:tcPr>
          <w:p w14:paraId="55D00CEE" w14:textId="77777777" w:rsidR="0097484A" w:rsidRPr="00043DFE" w:rsidRDefault="0097484A" w:rsidP="008B107E">
            <w:pPr>
              <w:pStyle w:val="TAC"/>
              <w:rPr>
                <w:rFonts w:cs="Arial"/>
                <w:lang w:val="en-US" w:eastAsia="zh-CN"/>
              </w:rPr>
            </w:pPr>
          </w:p>
        </w:tc>
        <w:tc>
          <w:tcPr>
            <w:tcW w:w="863" w:type="pct"/>
            <w:hideMark/>
          </w:tcPr>
          <w:p w14:paraId="298CFB93" w14:textId="77777777" w:rsidR="0097484A" w:rsidRPr="00043DFE" w:rsidRDefault="0097484A" w:rsidP="008B107E">
            <w:pPr>
              <w:pStyle w:val="TAC"/>
              <w:rPr>
                <w:rFonts w:cs="Arial"/>
                <w:lang w:val="en-US" w:eastAsia="zh-CN"/>
              </w:rPr>
            </w:pPr>
            <w:r w:rsidRPr="00043DFE">
              <w:rPr>
                <w:rFonts w:cs="Arial"/>
                <w:lang w:eastAsia="zh-CN"/>
              </w:rPr>
              <w:t>0.64 (1)</w:t>
            </w:r>
          </w:p>
        </w:tc>
        <w:tc>
          <w:tcPr>
            <w:tcW w:w="910" w:type="pct"/>
            <w:hideMark/>
          </w:tcPr>
          <w:p w14:paraId="209C0C92" w14:textId="77777777" w:rsidR="0097484A" w:rsidRPr="00043DFE" w:rsidRDefault="0097484A" w:rsidP="008B107E">
            <w:pPr>
              <w:pStyle w:val="TAC"/>
              <w:rPr>
                <w:rFonts w:cs="Arial"/>
                <w:lang w:val="en-US" w:eastAsia="zh-CN"/>
              </w:rPr>
            </w:pPr>
            <w:r w:rsidRPr="00043DFE">
              <w:rPr>
                <w:rFonts w:cs="Arial"/>
                <w:lang w:eastAsia="zh-CN"/>
              </w:rPr>
              <w:t>1.28 (2)</w:t>
            </w:r>
          </w:p>
        </w:tc>
      </w:tr>
      <w:tr w:rsidR="0097484A" w:rsidRPr="00043DFE" w14:paraId="1BAB4F66" w14:textId="77777777" w:rsidTr="008B107E">
        <w:trPr>
          <w:trHeight w:val="336"/>
        </w:trPr>
        <w:tc>
          <w:tcPr>
            <w:tcW w:w="645" w:type="pct"/>
            <w:tcBorders>
              <w:top w:val="nil"/>
              <w:bottom w:val="nil"/>
            </w:tcBorders>
            <w:hideMark/>
          </w:tcPr>
          <w:p w14:paraId="6122CEE9" w14:textId="77777777" w:rsidR="0097484A" w:rsidRPr="00043DFE" w:rsidRDefault="0097484A" w:rsidP="008B107E">
            <w:pPr>
              <w:pStyle w:val="TAC"/>
              <w:rPr>
                <w:rFonts w:cs="Arial"/>
                <w:lang w:val="en-US" w:eastAsia="zh-CN"/>
              </w:rPr>
            </w:pPr>
          </w:p>
        </w:tc>
        <w:tc>
          <w:tcPr>
            <w:tcW w:w="404" w:type="pct"/>
            <w:hideMark/>
          </w:tcPr>
          <w:p w14:paraId="0F68A2E1" w14:textId="77777777" w:rsidR="0097484A" w:rsidRPr="00043DFE" w:rsidRDefault="0097484A" w:rsidP="008B107E">
            <w:pPr>
              <w:pStyle w:val="TAC"/>
              <w:rPr>
                <w:rFonts w:cs="Arial"/>
                <w:lang w:val="en-US" w:eastAsia="zh-CN"/>
              </w:rPr>
            </w:pPr>
            <w:r w:rsidRPr="00043DFE">
              <w:rPr>
                <w:rFonts w:cs="Arial"/>
                <w:lang w:eastAsia="zh-CN"/>
              </w:rPr>
              <w:t>1.28</w:t>
            </w:r>
          </w:p>
        </w:tc>
        <w:tc>
          <w:tcPr>
            <w:tcW w:w="680" w:type="pct"/>
            <w:hideMark/>
          </w:tcPr>
          <w:p w14:paraId="3C3D4A3C" w14:textId="77777777" w:rsidR="0097484A" w:rsidRPr="00043DFE" w:rsidRDefault="0097484A" w:rsidP="008B107E">
            <w:pPr>
              <w:pStyle w:val="TAC"/>
              <w:rPr>
                <w:rFonts w:cs="Arial"/>
                <w:lang w:val="en-US" w:eastAsia="zh-CN"/>
              </w:rPr>
            </w:pPr>
            <w:r w:rsidRPr="00043DFE">
              <w:rPr>
                <w:rFonts w:cs="Arial"/>
                <w:lang w:eastAsia="zh-CN"/>
              </w:rPr>
              <w:t>≥2.56 (2)</w:t>
            </w:r>
          </w:p>
        </w:tc>
        <w:tc>
          <w:tcPr>
            <w:tcW w:w="1498" w:type="pct"/>
            <w:tcBorders>
              <w:top w:val="nil"/>
              <w:bottom w:val="nil"/>
            </w:tcBorders>
            <w:hideMark/>
          </w:tcPr>
          <w:p w14:paraId="1655B7FE" w14:textId="77777777" w:rsidR="0097484A" w:rsidRPr="00043DFE" w:rsidRDefault="0097484A" w:rsidP="008B107E">
            <w:pPr>
              <w:pStyle w:val="TAC"/>
              <w:rPr>
                <w:rFonts w:cs="Arial"/>
                <w:lang w:val="en-US" w:eastAsia="zh-CN"/>
              </w:rPr>
            </w:pPr>
          </w:p>
        </w:tc>
        <w:tc>
          <w:tcPr>
            <w:tcW w:w="863" w:type="pct"/>
            <w:hideMark/>
          </w:tcPr>
          <w:p w14:paraId="718036BB" w14:textId="77777777" w:rsidR="0097484A" w:rsidRPr="00043DFE" w:rsidRDefault="0097484A" w:rsidP="008B107E">
            <w:pPr>
              <w:pStyle w:val="TAC"/>
              <w:rPr>
                <w:rFonts w:cs="Arial"/>
                <w:lang w:val="en-US" w:eastAsia="zh-CN"/>
              </w:rPr>
            </w:pPr>
            <w:r w:rsidRPr="00043DFE">
              <w:rPr>
                <w:rFonts w:cs="Arial"/>
                <w:lang w:eastAsia="zh-CN"/>
              </w:rPr>
              <w:t>1.28 (1)</w:t>
            </w:r>
          </w:p>
        </w:tc>
        <w:tc>
          <w:tcPr>
            <w:tcW w:w="910" w:type="pct"/>
            <w:hideMark/>
          </w:tcPr>
          <w:p w14:paraId="5EC08B42" w14:textId="77777777" w:rsidR="0097484A" w:rsidRPr="00043DFE" w:rsidRDefault="0097484A" w:rsidP="008B107E">
            <w:pPr>
              <w:pStyle w:val="TAC"/>
              <w:rPr>
                <w:rFonts w:cs="Arial"/>
                <w:lang w:val="en-US" w:eastAsia="zh-CN"/>
              </w:rPr>
            </w:pPr>
            <w:r w:rsidRPr="00043DFE">
              <w:rPr>
                <w:rFonts w:cs="Arial"/>
                <w:lang w:eastAsia="zh-CN"/>
              </w:rPr>
              <w:t>2.56 (2)</w:t>
            </w:r>
          </w:p>
        </w:tc>
      </w:tr>
      <w:tr w:rsidR="0097484A" w:rsidRPr="00043DFE" w14:paraId="0F702E7C" w14:textId="77777777" w:rsidTr="008B107E">
        <w:trPr>
          <w:trHeight w:val="336"/>
        </w:trPr>
        <w:tc>
          <w:tcPr>
            <w:tcW w:w="645" w:type="pct"/>
            <w:tcBorders>
              <w:top w:val="nil"/>
            </w:tcBorders>
            <w:hideMark/>
          </w:tcPr>
          <w:p w14:paraId="1611CF87" w14:textId="77777777" w:rsidR="0097484A" w:rsidRPr="00043DFE" w:rsidRDefault="0097484A" w:rsidP="008B107E">
            <w:pPr>
              <w:pStyle w:val="TAC"/>
              <w:rPr>
                <w:rFonts w:cs="Arial"/>
                <w:lang w:val="en-US" w:eastAsia="zh-CN"/>
              </w:rPr>
            </w:pPr>
          </w:p>
        </w:tc>
        <w:tc>
          <w:tcPr>
            <w:tcW w:w="404" w:type="pct"/>
            <w:hideMark/>
          </w:tcPr>
          <w:p w14:paraId="44532EDB" w14:textId="77777777" w:rsidR="0097484A" w:rsidRPr="00043DFE" w:rsidRDefault="0097484A" w:rsidP="008B107E">
            <w:pPr>
              <w:pStyle w:val="TAC"/>
              <w:rPr>
                <w:rFonts w:cs="Arial"/>
                <w:lang w:val="en-US" w:eastAsia="zh-CN"/>
              </w:rPr>
            </w:pPr>
            <w:r w:rsidRPr="00043DFE">
              <w:rPr>
                <w:rFonts w:cs="Arial"/>
                <w:lang w:eastAsia="zh-CN"/>
              </w:rPr>
              <w:t>2.56</w:t>
            </w:r>
          </w:p>
        </w:tc>
        <w:tc>
          <w:tcPr>
            <w:tcW w:w="680" w:type="pct"/>
            <w:hideMark/>
          </w:tcPr>
          <w:p w14:paraId="463965F8" w14:textId="77777777" w:rsidR="0097484A" w:rsidRPr="00043DFE" w:rsidRDefault="0097484A" w:rsidP="008B107E">
            <w:pPr>
              <w:pStyle w:val="TAC"/>
              <w:rPr>
                <w:rFonts w:cs="Arial"/>
                <w:lang w:val="en-US" w:eastAsia="zh-CN"/>
              </w:rPr>
            </w:pPr>
            <w:r w:rsidRPr="00043DFE">
              <w:rPr>
                <w:rFonts w:cs="Arial"/>
                <w:lang w:eastAsia="zh-CN"/>
              </w:rPr>
              <w:t>≥5.12 (4)</w:t>
            </w:r>
          </w:p>
        </w:tc>
        <w:tc>
          <w:tcPr>
            <w:tcW w:w="1498" w:type="pct"/>
            <w:tcBorders>
              <w:top w:val="nil"/>
            </w:tcBorders>
            <w:hideMark/>
          </w:tcPr>
          <w:p w14:paraId="2309AFD7" w14:textId="77777777" w:rsidR="0097484A" w:rsidRPr="00043DFE" w:rsidRDefault="0097484A" w:rsidP="008B107E">
            <w:pPr>
              <w:pStyle w:val="TAC"/>
              <w:rPr>
                <w:rFonts w:cs="Arial"/>
                <w:lang w:val="en-US" w:eastAsia="zh-CN"/>
              </w:rPr>
            </w:pPr>
          </w:p>
        </w:tc>
        <w:tc>
          <w:tcPr>
            <w:tcW w:w="863" w:type="pct"/>
            <w:hideMark/>
          </w:tcPr>
          <w:p w14:paraId="45AB8F4A" w14:textId="77777777" w:rsidR="0097484A" w:rsidRPr="00043DFE" w:rsidRDefault="0097484A" w:rsidP="008B107E">
            <w:pPr>
              <w:pStyle w:val="TAC"/>
              <w:rPr>
                <w:rFonts w:cs="Arial"/>
                <w:lang w:val="en-US" w:eastAsia="zh-CN"/>
              </w:rPr>
            </w:pPr>
            <w:r w:rsidRPr="00043DFE">
              <w:rPr>
                <w:rFonts w:cs="Arial"/>
                <w:lang w:eastAsia="zh-CN"/>
              </w:rPr>
              <w:t>2.56 (1)</w:t>
            </w:r>
          </w:p>
        </w:tc>
        <w:tc>
          <w:tcPr>
            <w:tcW w:w="910" w:type="pct"/>
            <w:hideMark/>
          </w:tcPr>
          <w:p w14:paraId="61A4EEF6" w14:textId="77777777" w:rsidR="0097484A" w:rsidRPr="00043DFE" w:rsidRDefault="0097484A" w:rsidP="008B107E">
            <w:pPr>
              <w:pStyle w:val="TAC"/>
              <w:rPr>
                <w:rFonts w:cs="Arial"/>
                <w:lang w:val="en-US" w:eastAsia="zh-CN"/>
              </w:rPr>
            </w:pPr>
            <w:r w:rsidRPr="00043DFE">
              <w:rPr>
                <w:rFonts w:cs="Arial"/>
                <w:lang w:eastAsia="zh-CN"/>
              </w:rPr>
              <w:t>5.12 (2)</w:t>
            </w:r>
          </w:p>
        </w:tc>
      </w:tr>
      <w:tr w:rsidR="0097484A" w:rsidRPr="00043DFE" w14:paraId="07392C7C" w14:textId="77777777" w:rsidTr="008B107E">
        <w:trPr>
          <w:trHeight w:val="336"/>
        </w:trPr>
        <w:tc>
          <w:tcPr>
            <w:tcW w:w="5000" w:type="pct"/>
            <w:gridSpan w:val="6"/>
          </w:tcPr>
          <w:p w14:paraId="5DB3F9BA" w14:textId="77777777" w:rsidR="0097484A" w:rsidRPr="00043DFE" w:rsidRDefault="0097484A" w:rsidP="008B107E">
            <w:pPr>
              <w:pStyle w:val="TAN"/>
            </w:pPr>
            <w:r w:rsidRPr="00043DFE">
              <w:t>NOTE 1: The number of DRX cycles in this table is given for the DRX cycles within PTWs.</w:t>
            </w:r>
          </w:p>
          <w:p w14:paraId="5C8034A1" w14:textId="77777777" w:rsidR="0097484A" w:rsidRPr="00043DFE" w:rsidRDefault="0097484A" w:rsidP="008B107E">
            <w:pPr>
              <w:pStyle w:val="TAN"/>
            </w:pPr>
            <w:r w:rsidRPr="00043DFE">
              <w:t>NOTE 2: The eDRX_IDLE cycle lengths are as specified in Section 10.5.5.32 of TS 24.008 [34].</w:t>
            </w:r>
          </w:p>
          <w:p w14:paraId="3D6FD915" w14:textId="77777777" w:rsidR="0097484A" w:rsidRPr="00043DFE" w:rsidRDefault="0097484A" w:rsidP="008B107E">
            <w:pPr>
              <w:pStyle w:val="TAN"/>
            </w:pPr>
            <w:r w:rsidRPr="00043DFE">
              <w:t>NOTE 3: Number of eDRX cycles when eDRX_IDLE cycle length equals 2.56s, 5.12s and 10.24s. Otherwise, number of DRX cycles.</w:t>
            </w:r>
          </w:p>
          <w:p w14:paraId="06E7D73E" w14:textId="77777777" w:rsidR="0097484A" w:rsidRPr="00043DFE" w:rsidRDefault="0097484A" w:rsidP="008B107E">
            <w:pPr>
              <w:pStyle w:val="TAN"/>
              <w:rPr>
                <w:lang w:eastAsia="zh-CN"/>
              </w:rPr>
            </w:pPr>
            <w:r w:rsidRPr="00043DFE">
              <w:rPr>
                <w:snapToGrid w:val="0"/>
                <w:szCs w:val="18"/>
                <w:lang w:eastAsia="zh-CN"/>
              </w:rPr>
              <w:t xml:space="preserve">NOTE </w:t>
            </w:r>
            <w:r w:rsidRPr="00043DFE">
              <w:rPr>
                <w:szCs w:val="18"/>
              </w:rPr>
              <w:t>4:</w:t>
            </w:r>
            <w:r w:rsidRPr="00043DFE">
              <w:rPr>
                <w:szCs w:val="18"/>
                <w:lang w:val="en-US"/>
              </w:rPr>
              <w:t xml:space="preserve"> </w:t>
            </w:r>
            <w:r w:rsidRPr="00043DFE">
              <w:rPr>
                <w:szCs w:val="18"/>
              </w:rPr>
              <w:t xml:space="preserve">The lower bound of </w:t>
            </w:r>
            <w:r w:rsidRPr="00043DFE">
              <w:rPr>
                <w:iCs/>
                <w:color w:val="000000" w:themeColor="text1"/>
                <w:szCs w:val="18"/>
              </w:rPr>
              <w:t xml:space="preserve">PTW length is derived based on </w:t>
            </w:r>
            <m:oMath>
              <m:d>
                <m:dPr>
                  <m:begChr m:val="⌈"/>
                  <m:endChr m:val="⌉"/>
                  <m:ctrlPr>
                    <w:rPr>
                      <w:rFonts w:ascii="Cambria Math" w:hAnsi="Cambria Math"/>
                      <w:iCs/>
                      <w:szCs w:val="18"/>
                    </w:rPr>
                  </m:ctrlPr>
                </m:dPr>
                <m:e>
                  <m:f>
                    <m:fPr>
                      <m:ctrlPr>
                        <w:rPr>
                          <w:rFonts w:ascii="Cambria Math" w:hAnsi="Cambria Math"/>
                          <w:iCs/>
                          <w:szCs w:val="18"/>
                        </w:rPr>
                      </m:ctrlPr>
                    </m:fPr>
                    <m:num>
                      <m:r>
                        <m:rPr>
                          <m:sty m:val="p"/>
                        </m:rPr>
                        <w:rPr>
                          <w:rFonts w:ascii="Cambria Math" w:hAnsi="Cambria Math"/>
                          <w:szCs w:val="16"/>
                          <w:lang w:val="en-US"/>
                        </w:rPr>
                        <m:t>T</m:t>
                      </m:r>
                      <m:r>
                        <m:rPr>
                          <m:sty m:val="p"/>
                        </m:rPr>
                        <w:rPr>
                          <w:rFonts w:ascii="Cambria Math" w:hAnsi="Cambria Math"/>
                          <w:szCs w:val="16"/>
                          <w:vertAlign w:val="subscript"/>
                          <w:lang w:val="en-US"/>
                        </w:rPr>
                        <m:t>evaluate,NR_Inter</m:t>
                      </m:r>
                      <m:r>
                        <m:rPr>
                          <m:sty m:val="p"/>
                        </m:rPr>
                        <w:rPr>
                          <w:rFonts w:ascii="Cambria Math" w:hAnsi="Cambria Math"/>
                          <w:szCs w:val="18"/>
                        </w:rPr>
                        <m:t>*DRX_cycle</m:t>
                      </m:r>
                    </m:num>
                    <m:den>
                      <m:r>
                        <m:rPr>
                          <m:sty m:val="p"/>
                        </m:rPr>
                        <w:rPr>
                          <w:rFonts w:ascii="Cambria Math" w:hAnsi="Cambria Math"/>
                          <w:szCs w:val="18"/>
                        </w:rPr>
                        <m:t>1.28</m:t>
                      </m:r>
                    </m:den>
                  </m:f>
                </m:e>
              </m:d>
              <m:r>
                <m:rPr>
                  <m:sty m:val="p"/>
                </m:rPr>
                <w:rPr>
                  <w:rFonts w:ascii="Cambria Math" w:hAnsi="Cambria Math"/>
                  <w:szCs w:val="18"/>
                </w:rPr>
                <m:t>*1.28</m:t>
              </m:r>
            </m:oMath>
            <w:r w:rsidRPr="00043DFE">
              <w:rPr>
                <w:iCs/>
                <w:szCs w:val="18"/>
              </w:rPr>
              <w:t>.</w:t>
            </w:r>
          </w:p>
        </w:tc>
      </w:tr>
    </w:tbl>
    <w:p w14:paraId="376C450C" w14:textId="77777777" w:rsidR="0097484A" w:rsidRPr="00043DFE" w:rsidRDefault="0097484A" w:rsidP="0097484A">
      <w:pPr>
        <w:rPr>
          <w:lang w:eastAsia="zh-CN"/>
        </w:rPr>
      </w:pPr>
    </w:p>
    <w:p w14:paraId="4FA1B972" w14:textId="77777777" w:rsidR="0097484A" w:rsidRPr="00043DFE" w:rsidRDefault="0097484A" w:rsidP="0097484A">
      <w:pPr>
        <w:pStyle w:val="TH"/>
        <w:rPr>
          <w:vertAlign w:val="subscript"/>
        </w:rPr>
      </w:pPr>
      <w:r w:rsidRPr="00043DFE">
        <w:t>Table 4.2.2.4-4: T</w:t>
      </w:r>
      <w:r w:rsidRPr="00043DFE">
        <w:rPr>
          <w:vertAlign w:val="subscript"/>
        </w:rPr>
        <w:t>detect,NR_Inter,</w:t>
      </w:r>
      <w:r w:rsidRPr="00043DFE">
        <w:t xml:space="preserve"> T</w:t>
      </w:r>
      <w:r w:rsidRPr="00043DFE">
        <w:rPr>
          <w:vertAlign w:val="subscript"/>
        </w:rPr>
        <w:t>measure,NR_Inter</w:t>
      </w:r>
      <w:r w:rsidRPr="00043DFE">
        <w:t xml:space="preserve"> and T</w:t>
      </w:r>
      <w:r w:rsidRPr="00043DFE">
        <w:rPr>
          <w:vertAlign w:val="subscript"/>
        </w:rPr>
        <w:t>evaluate,NR_Inter</w:t>
      </w:r>
      <w:r w:rsidRPr="00043DFE">
        <w:rPr>
          <w:vertAlign w:val="subscript"/>
          <w:lang w:val="en-US"/>
        </w:rPr>
        <w:t xml:space="preserve"> </w:t>
      </w:r>
      <w:r w:rsidRPr="00043DFE">
        <w:t>for UE configured with eDRX_IDLE cycle (Frequency range FR2)</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757"/>
        <w:gridCol w:w="977"/>
        <w:gridCol w:w="931"/>
        <w:gridCol w:w="2244"/>
        <w:gridCol w:w="179"/>
        <w:gridCol w:w="1528"/>
        <w:gridCol w:w="1621"/>
      </w:tblGrid>
      <w:tr w:rsidR="0097484A" w:rsidRPr="00043DFE" w14:paraId="16053AB5" w14:textId="77777777" w:rsidTr="008B107E">
        <w:trPr>
          <w:trHeight w:val="1692"/>
        </w:trPr>
        <w:tc>
          <w:tcPr>
            <w:tcW w:w="639" w:type="pct"/>
            <w:hideMark/>
          </w:tcPr>
          <w:p w14:paraId="0A542D53" w14:textId="77777777" w:rsidR="0097484A" w:rsidRPr="00043DFE" w:rsidRDefault="0097484A" w:rsidP="008B107E">
            <w:pPr>
              <w:pStyle w:val="TAH"/>
              <w:rPr>
                <w:lang w:val="en-US" w:eastAsia="zh-CN"/>
              </w:rPr>
            </w:pPr>
            <w:r w:rsidRPr="00043DFE">
              <w:rPr>
                <w:lang w:eastAsia="zh-CN"/>
              </w:rPr>
              <w:t>eDRX_IDLE cycle length [s]</w:t>
            </w:r>
          </w:p>
        </w:tc>
        <w:tc>
          <w:tcPr>
            <w:tcW w:w="401" w:type="pct"/>
            <w:hideMark/>
          </w:tcPr>
          <w:p w14:paraId="5A5B73A3" w14:textId="77777777" w:rsidR="0097484A" w:rsidRPr="00043DFE" w:rsidRDefault="0097484A" w:rsidP="008B107E">
            <w:pPr>
              <w:pStyle w:val="TAH"/>
              <w:rPr>
                <w:lang w:val="en-US" w:eastAsia="zh-CN"/>
              </w:rPr>
            </w:pPr>
            <w:r w:rsidRPr="00043DFE">
              <w:rPr>
                <w:lang w:eastAsia="zh-CN"/>
              </w:rPr>
              <w:t>DRX cycle length [s]</w:t>
            </w:r>
          </w:p>
        </w:tc>
        <w:tc>
          <w:tcPr>
            <w:tcW w:w="517" w:type="pct"/>
            <w:hideMark/>
          </w:tcPr>
          <w:p w14:paraId="01700DAF" w14:textId="77777777" w:rsidR="0097484A" w:rsidRPr="00043DFE" w:rsidRDefault="0097484A" w:rsidP="008B107E">
            <w:pPr>
              <w:pStyle w:val="TAH"/>
              <w:rPr>
                <w:lang w:val="en-US" w:eastAsia="zh-CN"/>
              </w:rPr>
            </w:pPr>
            <w:r w:rsidRPr="00043DFE">
              <w:rPr>
                <w:lang w:eastAsia="zh-CN"/>
              </w:rPr>
              <w:t>PTW length [s] (number of 1.28s periods)</w:t>
            </w:r>
          </w:p>
        </w:tc>
        <w:tc>
          <w:tcPr>
            <w:tcW w:w="493" w:type="pct"/>
          </w:tcPr>
          <w:p w14:paraId="42C9A168" w14:textId="77777777" w:rsidR="0097484A" w:rsidRPr="00043DFE" w:rsidRDefault="0097484A" w:rsidP="008B107E">
            <w:pPr>
              <w:pStyle w:val="TAH"/>
              <w:rPr>
                <w:lang w:eastAsia="zh-CN"/>
              </w:rPr>
            </w:pPr>
            <w:r w:rsidRPr="00043DFE">
              <w:rPr>
                <w:lang w:eastAsia="zh-CN"/>
              </w:rPr>
              <w:t>Scaling Factor (N1)</w:t>
            </w:r>
            <w:r w:rsidRPr="00043DFE">
              <w:rPr>
                <w:vertAlign w:val="superscript"/>
              </w:rPr>
              <w:t xml:space="preserve"> Note1</w:t>
            </w:r>
          </w:p>
        </w:tc>
        <w:tc>
          <w:tcPr>
            <w:tcW w:w="1188" w:type="pct"/>
            <w:hideMark/>
          </w:tcPr>
          <w:p w14:paraId="4C41DA6A" w14:textId="77777777" w:rsidR="0097484A" w:rsidRPr="00043DFE" w:rsidRDefault="0097484A" w:rsidP="008B107E">
            <w:pPr>
              <w:pStyle w:val="TAH"/>
              <w:rPr>
                <w:lang w:val="en-US" w:eastAsia="zh-CN"/>
              </w:rPr>
            </w:pPr>
            <w:r w:rsidRPr="00043DFE">
              <w:rPr>
                <w:bCs/>
                <w:szCs w:val="18"/>
              </w:rPr>
              <w:t>T</w:t>
            </w:r>
            <w:r w:rsidRPr="00043DFE">
              <w:rPr>
                <w:bCs/>
                <w:szCs w:val="18"/>
                <w:vertAlign w:val="subscript"/>
              </w:rPr>
              <w:t>detect,NR_Inter</w:t>
            </w:r>
            <w:r w:rsidRPr="00043DFE">
              <w:rPr>
                <w:szCs w:val="18"/>
                <w:lang w:eastAsia="zh-CN"/>
              </w:rPr>
              <w:t xml:space="preserve"> [s] (number of DRX cycles</w:t>
            </w:r>
            <w:r w:rsidRPr="00043DFE">
              <w:rPr>
                <w:bCs/>
                <w:szCs w:val="18"/>
                <w:lang w:eastAsia="zh-CN"/>
              </w:rPr>
              <w:t xml:space="preserve"> or eDRX cycles </w:t>
            </w:r>
            <w:r w:rsidRPr="00043DFE">
              <w:rPr>
                <w:bCs/>
                <w:szCs w:val="18"/>
                <w:vertAlign w:val="superscript"/>
                <w:lang w:eastAsia="zh-CN"/>
              </w:rPr>
              <w:t>Note 3</w:t>
            </w:r>
            <w:r w:rsidRPr="00043DFE">
              <w:rPr>
                <w:szCs w:val="18"/>
                <w:lang w:eastAsia="zh-CN"/>
              </w:rPr>
              <w:t>)</w:t>
            </w:r>
          </w:p>
        </w:tc>
        <w:tc>
          <w:tcPr>
            <w:tcW w:w="904" w:type="pct"/>
            <w:gridSpan w:val="2"/>
            <w:hideMark/>
          </w:tcPr>
          <w:p w14:paraId="1564EC54" w14:textId="77777777" w:rsidR="0097484A" w:rsidRPr="00043DFE" w:rsidRDefault="0097484A" w:rsidP="008B107E">
            <w:pPr>
              <w:pStyle w:val="TAH"/>
              <w:rPr>
                <w:lang w:val="en-US" w:eastAsia="zh-CN"/>
              </w:rPr>
            </w:pPr>
            <w:r w:rsidRPr="00043DFE">
              <w:rPr>
                <w:bCs/>
                <w:szCs w:val="18"/>
              </w:rPr>
              <w:t>T</w:t>
            </w:r>
            <w:r w:rsidRPr="00043DFE">
              <w:rPr>
                <w:bCs/>
                <w:szCs w:val="18"/>
                <w:vertAlign w:val="subscript"/>
              </w:rPr>
              <w:t>measure,NR_Inter</w:t>
            </w:r>
            <w:r w:rsidRPr="00043DFE">
              <w:rPr>
                <w:szCs w:val="18"/>
              </w:rPr>
              <w:t xml:space="preserve"> </w:t>
            </w:r>
            <w:r w:rsidRPr="00043DFE">
              <w:rPr>
                <w:szCs w:val="18"/>
                <w:lang w:eastAsia="zh-CN"/>
              </w:rPr>
              <w:t>[s] (number of DRX cycles</w:t>
            </w:r>
            <w:r w:rsidRPr="00043DFE">
              <w:rPr>
                <w:bCs/>
                <w:szCs w:val="18"/>
                <w:lang w:eastAsia="zh-CN"/>
              </w:rPr>
              <w:t xml:space="preserve"> or eDRX cycles </w:t>
            </w:r>
            <w:r w:rsidRPr="00043DFE">
              <w:rPr>
                <w:bCs/>
                <w:szCs w:val="18"/>
                <w:vertAlign w:val="superscript"/>
                <w:lang w:eastAsia="zh-CN"/>
              </w:rPr>
              <w:t>Note 3</w:t>
            </w:r>
            <w:r w:rsidRPr="00043DFE">
              <w:rPr>
                <w:szCs w:val="18"/>
                <w:lang w:eastAsia="zh-CN"/>
              </w:rPr>
              <w:t>)</w:t>
            </w:r>
          </w:p>
        </w:tc>
        <w:tc>
          <w:tcPr>
            <w:tcW w:w="858" w:type="pct"/>
            <w:hideMark/>
          </w:tcPr>
          <w:p w14:paraId="5BCB017F" w14:textId="77777777" w:rsidR="0097484A" w:rsidRPr="00043DFE" w:rsidRDefault="0097484A" w:rsidP="008B107E">
            <w:pPr>
              <w:pStyle w:val="TAH"/>
              <w:rPr>
                <w:lang w:val="en-US" w:eastAsia="zh-CN"/>
              </w:rPr>
            </w:pPr>
            <w:r w:rsidRPr="00043DFE">
              <w:rPr>
                <w:bCs/>
                <w:szCs w:val="18"/>
              </w:rPr>
              <w:t>T</w:t>
            </w:r>
            <w:r w:rsidRPr="00043DFE">
              <w:rPr>
                <w:bCs/>
                <w:szCs w:val="18"/>
                <w:vertAlign w:val="subscript"/>
              </w:rPr>
              <w:t>evaluate,NR_Inter</w:t>
            </w:r>
            <w:r w:rsidRPr="00043DFE">
              <w:rPr>
                <w:szCs w:val="18"/>
                <w:vertAlign w:val="subscript"/>
                <w:lang w:val="en-US"/>
              </w:rPr>
              <w:t xml:space="preserve"> </w:t>
            </w:r>
            <w:r w:rsidRPr="00043DFE">
              <w:rPr>
                <w:szCs w:val="18"/>
                <w:lang w:eastAsia="zh-CN"/>
              </w:rPr>
              <w:t>[s] (number of DRX cycles</w:t>
            </w:r>
            <w:r w:rsidRPr="00043DFE">
              <w:rPr>
                <w:bCs/>
                <w:szCs w:val="18"/>
                <w:lang w:eastAsia="zh-CN"/>
              </w:rPr>
              <w:t xml:space="preserve"> or eDRX cycles </w:t>
            </w:r>
            <w:r w:rsidRPr="00043DFE">
              <w:rPr>
                <w:bCs/>
                <w:szCs w:val="18"/>
                <w:vertAlign w:val="superscript"/>
                <w:lang w:eastAsia="zh-CN"/>
              </w:rPr>
              <w:t>Note 3</w:t>
            </w:r>
            <w:r w:rsidRPr="00043DFE">
              <w:rPr>
                <w:szCs w:val="18"/>
                <w:lang w:eastAsia="zh-CN"/>
              </w:rPr>
              <w:t>)</w:t>
            </w:r>
          </w:p>
        </w:tc>
      </w:tr>
      <w:tr w:rsidR="0097484A" w:rsidRPr="00043DFE" w14:paraId="72B5252C" w14:textId="77777777" w:rsidTr="008B107E">
        <w:trPr>
          <w:trHeight w:val="336"/>
        </w:trPr>
        <w:tc>
          <w:tcPr>
            <w:tcW w:w="639" w:type="pct"/>
          </w:tcPr>
          <w:p w14:paraId="61A9F5DD" w14:textId="77777777" w:rsidR="0097484A" w:rsidRPr="00043DFE" w:rsidRDefault="0097484A" w:rsidP="008B107E">
            <w:pPr>
              <w:pStyle w:val="TAC"/>
              <w:rPr>
                <w:lang w:val="en-US" w:eastAsia="zh-CN"/>
              </w:rPr>
            </w:pPr>
            <w:r w:rsidRPr="00043DFE">
              <w:rPr>
                <w:lang w:val="en-US" w:eastAsia="zh-CN"/>
              </w:rPr>
              <w:t>2.56</w:t>
            </w:r>
          </w:p>
        </w:tc>
        <w:tc>
          <w:tcPr>
            <w:tcW w:w="401" w:type="pct"/>
          </w:tcPr>
          <w:p w14:paraId="5049FD65" w14:textId="77777777" w:rsidR="0097484A" w:rsidRPr="00043DFE" w:rsidRDefault="0097484A" w:rsidP="008B107E">
            <w:pPr>
              <w:pStyle w:val="TAC"/>
              <w:rPr>
                <w:lang w:val="en-US" w:eastAsia="zh-CN"/>
              </w:rPr>
            </w:pPr>
            <w:r w:rsidRPr="00043DFE">
              <w:rPr>
                <w:lang w:val="en-US" w:eastAsia="zh-CN"/>
              </w:rPr>
              <w:t>-</w:t>
            </w:r>
          </w:p>
        </w:tc>
        <w:tc>
          <w:tcPr>
            <w:tcW w:w="517" w:type="pct"/>
          </w:tcPr>
          <w:p w14:paraId="418AEAED" w14:textId="77777777" w:rsidR="0097484A" w:rsidRPr="00043DFE" w:rsidRDefault="0097484A" w:rsidP="008B107E">
            <w:pPr>
              <w:pStyle w:val="TAC"/>
              <w:rPr>
                <w:lang w:val="en-US" w:eastAsia="zh-CN"/>
              </w:rPr>
            </w:pPr>
            <w:r w:rsidRPr="00043DFE">
              <w:rPr>
                <w:lang w:val="en-US" w:eastAsia="zh-CN"/>
              </w:rPr>
              <w:t>-</w:t>
            </w:r>
          </w:p>
        </w:tc>
        <w:tc>
          <w:tcPr>
            <w:tcW w:w="493" w:type="pct"/>
          </w:tcPr>
          <w:p w14:paraId="09635AC5" w14:textId="77777777" w:rsidR="0097484A" w:rsidRPr="00043DFE" w:rsidRDefault="0097484A" w:rsidP="008B107E">
            <w:pPr>
              <w:pStyle w:val="TAC"/>
              <w:rPr>
                <w:lang w:eastAsia="zh-CN"/>
              </w:rPr>
            </w:pPr>
            <w:r w:rsidRPr="00043DFE">
              <w:rPr>
                <w:lang w:eastAsia="zh-CN"/>
              </w:rPr>
              <w:t>3</w:t>
            </w:r>
          </w:p>
        </w:tc>
        <w:tc>
          <w:tcPr>
            <w:tcW w:w="1283" w:type="pct"/>
            <w:gridSpan w:val="2"/>
          </w:tcPr>
          <w:p w14:paraId="439DF4C8" w14:textId="77777777" w:rsidR="0097484A" w:rsidRPr="00043DFE" w:rsidRDefault="0097484A" w:rsidP="008B107E">
            <w:pPr>
              <w:pStyle w:val="TAC"/>
              <w:rPr>
                <w:lang w:eastAsia="zh-CN"/>
              </w:rPr>
            </w:pPr>
            <w:r w:rsidRPr="00043DFE">
              <w:rPr>
                <w:lang w:eastAsia="zh-CN"/>
              </w:rPr>
              <w:t>58.88 x N1 (23 x N1)</w:t>
            </w:r>
          </w:p>
        </w:tc>
        <w:tc>
          <w:tcPr>
            <w:tcW w:w="809" w:type="pct"/>
          </w:tcPr>
          <w:p w14:paraId="1DC485DC" w14:textId="77777777" w:rsidR="0097484A" w:rsidRPr="00043DFE" w:rsidRDefault="0097484A" w:rsidP="008B107E">
            <w:pPr>
              <w:pStyle w:val="TAC"/>
              <w:rPr>
                <w:lang w:eastAsia="zh-CN"/>
              </w:rPr>
            </w:pPr>
            <w:r w:rsidRPr="00043DFE">
              <w:rPr>
                <w:lang w:eastAsia="zh-CN"/>
              </w:rPr>
              <w:t>2.56 x N1 (1 x N1)</w:t>
            </w:r>
          </w:p>
        </w:tc>
        <w:tc>
          <w:tcPr>
            <w:tcW w:w="858" w:type="pct"/>
          </w:tcPr>
          <w:p w14:paraId="174FFD4D" w14:textId="77777777" w:rsidR="0097484A" w:rsidRPr="00043DFE" w:rsidRDefault="0097484A" w:rsidP="008B107E">
            <w:pPr>
              <w:pStyle w:val="TAC"/>
              <w:rPr>
                <w:lang w:eastAsia="zh-CN"/>
              </w:rPr>
            </w:pPr>
            <w:r w:rsidRPr="00043DFE">
              <w:rPr>
                <w:lang w:eastAsia="zh-CN"/>
              </w:rPr>
              <w:t>7.68 x N1 (3 x N1)</w:t>
            </w:r>
          </w:p>
        </w:tc>
      </w:tr>
      <w:tr w:rsidR="0097484A" w:rsidRPr="00043DFE" w14:paraId="03E03270" w14:textId="77777777" w:rsidTr="008B107E">
        <w:trPr>
          <w:trHeight w:val="336"/>
        </w:trPr>
        <w:tc>
          <w:tcPr>
            <w:tcW w:w="639" w:type="pct"/>
          </w:tcPr>
          <w:p w14:paraId="2A5FFDA6" w14:textId="77777777" w:rsidR="0097484A" w:rsidRPr="00043DFE" w:rsidRDefault="0097484A" w:rsidP="008B107E">
            <w:pPr>
              <w:pStyle w:val="TAC"/>
              <w:rPr>
                <w:lang w:eastAsia="zh-CN"/>
              </w:rPr>
            </w:pPr>
            <w:r w:rsidRPr="00043DFE">
              <w:rPr>
                <w:lang w:eastAsia="zh-CN"/>
              </w:rPr>
              <w:t>5.12</w:t>
            </w:r>
          </w:p>
        </w:tc>
        <w:tc>
          <w:tcPr>
            <w:tcW w:w="401" w:type="pct"/>
          </w:tcPr>
          <w:p w14:paraId="3F929C1A" w14:textId="77777777" w:rsidR="0097484A" w:rsidRPr="00043DFE" w:rsidRDefault="0097484A" w:rsidP="008B107E">
            <w:pPr>
              <w:pStyle w:val="TAC"/>
              <w:rPr>
                <w:lang w:val="en-US" w:eastAsia="zh-CN"/>
              </w:rPr>
            </w:pPr>
            <w:r w:rsidRPr="00043DFE">
              <w:rPr>
                <w:lang w:val="en-US" w:eastAsia="zh-CN"/>
              </w:rPr>
              <w:t>-</w:t>
            </w:r>
          </w:p>
        </w:tc>
        <w:tc>
          <w:tcPr>
            <w:tcW w:w="517" w:type="pct"/>
          </w:tcPr>
          <w:p w14:paraId="767B6044" w14:textId="77777777" w:rsidR="0097484A" w:rsidRPr="00043DFE" w:rsidRDefault="0097484A" w:rsidP="008B107E">
            <w:pPr>
              <w:pStyle w:val="TAC"/>
              <w:rPr>
                <w:lang w:eastAsia="zh-CN"/>
              </w:rPr>
            </w:pPr>
            <w:r w:rsidRPr="00043DFE">
              <w:rPr>
                <w:lang w:eastAsia="zh-CN"/>
              </w:rPr>
              <w:t>-</w:t>
            </w:r>
          </w:p>
        </w:tc>
        <w:tc>
          <w:tcPr>
            <w:tcW w:w="493" w:type="pct"/>
          </w:tcPr>
          <w:p w14:paraId="76291433" w14:textId="77777777" w:rsidR="0097484A" w:rsidRPr="00043DFE" w:rsidRDefault="0097484A" w:rsidP="008B107E">
            <w:pPr>
              <w:pStyle w:val="TAC"/>
              <w:rPr>
                <w:lang w:eastAsia="zh-CN"/>
              </w:rPr>
            </w:pPr>
            <w:r w:rsidRPr="00043DFE">
              <w:rPr>
                <w:lang w:eastAsia="zh-CN"/>
              </w:rPr>
              <w:t>3</w:t>
            </w:r>
          </w:p>
        </w:tc>
        <w:tc>
          <w:tcPr>
            <w:tcW w:w="1283" w:type="pct"/>
            <w:gridSpan w:val="2"/>
          </w:tcPr>
          <w:p w14:paraId="20F8E057" w14:textId="77777777" w:rsidR="0097484A" w:rsidRPr="00043DFE" w:rsidRDefault="0097484A" w:rsidP="008B107E">
            <w:pPr>
              <w:pStyle w:val="TAC"/>
              <w:rPr>
                <w:lang w:eastAsia="zh-CN"/>
              </w:rPr>
            </w:pPr>
            <w:r w:rsidRPr="00043DFE">
              <w:rPr>
                <w:lang w:eastAsia="zh-CN"/>
              </w:rPr>
              <w:t>117.76 x N1 (23 x N1)</w:t>
            </w:r>
          </w:p>
        </w:tc>
        <w:tc>
          <w:tcPr>
            <w:tcW w:w="809" w:type="pct"/>
          </w:tcPr>
          <w:p w14:paraId="06C32E2B" w14:textId="77777777" w:rsidR="0097484A" w:rsidRPr="00043DFE" w:rsidRDefault="0097484A" w:rsidP="008B107E">
            <w:pPr>
              <w:pStyle w:val="TAC"/>
              <w:rPr>
                <w:lang w:eastAsia="zh-CN"/>
              </w:rPr>
            </w:pPr>
            <w:r w:rsidRPr="00043DFE">
              <w:rPr>
                <w:lang w:eastAsia="zh-CN"/>
              </w:rPr>
              <w:t>5.12 x N1 (1 x N1)</w:t>
            </w:r>
          </w:p>
        </w:tc>
        <w:tc>
          <w:tcPr>
            <w:tcW w:w="858" w:type="pct"/>
          </w:tcPr>
          <w:p w14:paraId="08CEE2D1" w14:textId="77777777" w:rsidR="0097484A" w:rsidRPr="00043DFE" w:rsidRDefault="0097484A" w:rsidP="008B107E">
            <w:pPr>
              <w:pStyle w:val="TAC"/>
              <w:rPr>
                <w:lang w:eastAsia="zh-CN"/>
              </w:rPr>
            </w:pPr>
            <w:r w:rsidRPr="00043DFE">
              <w:rPr>
                <w:lang w:eastAsia="zh-CN"/>
              </w:rPr>
              <w:t>10.24 x N1 (2 x N1)</w:t>
            </w:r>
          </w:p>
        </w:tc>
      </w:tr>
      <w:tr w:rsidR="0097484A" w:rsidRPr="00043DFE" w14:paraId="0BC4BD0E" w14:textId="77777777" w:rsidTr="008B107E">
        <w:trPr>
          <w:trHeight w:val="336"/>
        </w:trPr>
        <w:tc>
          <w:tcPr>
            <w:tcW w:w="639" w:type="pct"/>
            <w:hideMark/>
          </w:tcPr>
          <w:p w14:paraId="4AFBA33E" w14:textId="77777777" w:rsidR="0097484A" w:rsidRPr="00043DFE" w:rsidRDefault="0097484A" w:rsidP="008B107E">
            <w:pPr>
              <w:pStyle w:val="TAC"/>
              <w:rPr>
                <w:lang w:val="en-US" w:eastAsia="zh-CN"/>
              </w:rPr>
            </w:pPr>
            <w:r w:rsidRPr="00043DFE">
              <w:rPr>
                <w:lang w:eastAsia="zh-CN"/>
              </w:rPr>
              <w:t>10.24</w:t>
            </w:r>
          </w:p>
        </w:tc>
        <w:tc>
          <w:tcPr>
            <w:tcW w:w="401" w:type="pct"/>
            <w:hideMark/>
          </w:tcPr>
          <w:p w14:paraId="32B24FF9" w14:textId="77777777" w:rsidR="0097484A" w:rsidRPr="00043DFE" w:rsidRDefault="0097484A" w:rsidP="008B107E">
            <w:pPr>
              <w:pStyle w:val="TAC"/>
              <w:rPr>
                <w:lang w:val="en-US" w:eastAsia="zh-CN"/>
              </w:rPr>
            </w:pPr>
            <w:r w:rsidRPr="00043DFE">
              <w:rPr>
                <w:lang w:val="en-US" w:eastAsia="zh-CN"/>
              </w:rPr>
              <w:t>-</w:t>
            </w:r>
          </w:p>
        </w:tc>
        <w:tc>
          <w:tcPr>
            <w:tcW w:w="517" w:type="pct"/>
            <w:hideMark/>
          </w:tcPr>
          <w:p w14:paraId="7DB2E41C" w14:textId="77777777" w:rsidR="0097484A" w:rsidRPr="00043DFE" w:rsidRDefault="0097484A" w:rsidP="008B107E">
            <w:pPr>
              <w:pStyle w:val="TAC"/>
              <w:rPr>
                <w:lang w:val="en-US" w:eastAsia="zh-CN"/>
              </w:rPr>
            </w:pPr>
            <w:r w:rsidRPr="00043DFE">
              <w:rPr>
                <w:lang w:eastAsia="zh-CN"/>
              </w:rPr>
              <w:t>-</w:t>
            </w:r>
          </w:p>
        </w:tc>
        <w:tc>
          <w:tcPr>
            <w:tcW w:w="493" w:type="pct"/>
          </w:tcPr>
          <w:p w14:paraId="52E61283" w14:textId="77777777" w:rsidR="0097484A" w:rsidRPr="00043DFE" w:rsidRDefault="0097484A" w:rsidP="008B107E">
            <w:pPr>
              <w:pStyle w:val="TAC"/>
              <w:rPr>
                <w:lang w:eastAsia="zh-CN"/>
              </w:rPr>
            </w:pPr>
            <w:r w:rsidRPr="00043DFE">
              <w:rPr>
                <w:lang w:eastAsia="zh-CN"/>
              </w:rPr>
              <w:t>3</w:t>
            </w:r>
          </w:p>
        </w:tc>
        <w:tc>
          <w:tcPr>
            <w:tcW w:w="1283" w:type="pct"/>
            <w:gridSpan w:val="2"/>
            <w:hideMark/>
          </w:tcPr>
          <w:p w14:paraId="5F610DAB" w14:textId="77777777" w:rsidR="0097484A" w:rsidRPr="00043DFE" w:rsidRDefault="0097484A" w:rsidP="008B107E">
            <w:pPr>
              <w:pStyle w:val="TAC"/>
              <w:rPr>
                <w:lang w:val="en-US" w:eastAsia="zh-CN"/>
              </w:rPr>
            </w:pPr>
            <w:r w:rsidRPr="00043DFE">
              <w:rPr>
                <w:lang w:eastAsia="zh-CN"/>
              </w:rPr>
              <w:t>235.52 x N1 (23 x N1)</w:t>
            </w:r>
          </w:p>
        </w:tc>
        <w:tc>
          <w:tcPr>
            <w:tcW w:w="809" w:type="pct"/>
            <w:hideMark/>
          </w:tcPr>
          <w:p w14:paraId="29565069" w14:textId="77777777" w:rsidR="0097484A" w:rsidRPr="00043DFE" w:rsidRDefault="0097484A" w:rsidP="008B107E">
            <w:pPr>
              <w:pStyle w:val="TAC"/>
              <w:rPr>
                <w:lang w:val="en-US" w:eastAsia="zh-CN"/>
              </w:rPr>
            </w:pPr>
            <w:r w:rsidRPr="00043DFE">
              <w:rPr>
                <w:lang w:eastAsia="zh-CN"/>
              </w:rPr>
              <w:t>10.24 x N1 (1 x N1)</w:t>
            </w:r>
          </w:p>
        </w:tc>
        <w:tc>
          <w:tcPr>
            <w:tcW w:w="858" w:type="pct"/>
            <w:hideMark/>
          </w:tcPr>
          <w:p w14:paraId="6F578636" w14:textId="77777777" w:rsidR="0097484A" w:rsidRPr="00043DFE" w:rsidRDefault="0097484A" w:rsidP="008B107E">
            <w:pPr>
              <w:pStyle w:val="TAC"/>
              <w:rPr>
                <w:lang w:val="en-US" w:eastAsia="zh-CN"/>
              </w:rPr>
            </w:pPr>
            <w:r w:rsidRPr="00043DFE">
              <w:rPr>
                <w:lang w:eastAsia="zh-CN"/>
              </w:rPr>
              <w:t>20.48 x N1 (2 x N1)</w:t>
            </w:r>
          </w:p>
        </w:tc>
      </w:tr>
      <w:tr w:rsidR="0097484A" w:rsidRPr="00043DFE" w14:paraId="312C304D" w14:textId="77777777" w:rsidTr="008B107E">
        <w:trPr>
          <w:trHeight w:val="673"/>
        </w:trPr>
        <w:tc>
          <w:tcPr>
            <w:tcW w:w="639" w:type="pct"/>
            <w:tcBorders>
              <w:bottom w:val="nil"/>
            </w:tcBorders>
            <w:hideMark/>
          </w:tcPr>
          <w:p w14:paraId="15958A3F" w14:textId="77777777" w:rsidR="0097484A" w:rsidRPr="00043DFE" w:rsidRDefault="0097484A" w:rsidP="008B107E">
            <w:pPr>
              <w:pStyle w:val="TAC"/>
              <w:rPr>
                <w:lang w:val="en-US" w:eastAsia="zh-CN"/>
              </w:rPr>
            </w:pPr>
            <w:r w:rsidRPr="00043DFE">
              <w:rPr>
                <w:lang w:eastAsia="zh-CN"/>
              </w:rPr>
              <w:t>20.48 ≤</w:t>
            </w:r>
            <w:r w:rsidRPr="00043DFE">
              <w:t xml:space="preserve"> </w:t>
            </w:r>
            <w:r w:rsidRPr="00043DFE">
              <w:rPr>
                <w:lang w:eastAsia="zh-CN"/>
              </w:rPr>
              <w:t xml:space="preserve"> eDRX_IDLE cycle length ≤10485.76</w:t>
            </w:r>
          </w:p>
        </w:tc>
        <w:tc>
          <w:tcPr>
            <w:tcW w:w="401" w:type="pct"/>
            <w:hideMark/>
          </w:tcPr>
          <w:p w14:paraId="24E5434B" w14:textId="77777777" w:rsidR="0097484A" w:rsidRPr="00043DFE" w:rsidRDefault="0097484A" w:rsidP="008B107E">
            <w:pPr>
              <w:pStyle w:val="TAC"/>
              <w:rPr>
                <w:lang w:val="en-US" w:eastAsia="zh-CN"/>
              </w:rPr>
            </w:pPr>
            <w:r w:rsidRPr="00043DFE">
              <w:rPr>
                <w:lang w:eastAsia="zh-CN"/>
              </w:rPr>
              <w:t>0.32</w:t>
            </w:r>
          </w:p>
        </w:tc>
        <w:tc>
          <w:tcPr>
            <w:tcW w:w="517" w:type="pct"/>
            <w:hideMark/>
          </w:tcPr>
          <w:p w14:paraId="0A5354C3" w14:textId="77777777" w:rsidR="0097484A" w:rsidRPr="00043DFE" w:rsidRDefault="0097484A" w:rsidP="008B107E">
            <w:pPr>
              <w:pStyle w:val="TAC"/>
              <w:rPr>
                <w:lang w:val="en-US" w:eastAsia="zh-CN"/>
              </w:rPr>
            </w:pPr>
            <w:r w:rsidRPr="00043DFE">
              <w:rPr>
                <w:lang w:eastAsia="zh-CN"/>
              </w:rPr>
              <w:t>≥5.12 (4)</w:t>
            </w:r>
          </w:p>
        </w:tc>
        <w:tc>
          <w:tcPr>
            <w:tcW w:w="493" w:type="pct"/>
          </w:tcPr>
          <w:p w14:paraId="39E77F60" w14:textId="77777777" w:rsidR="0097484A" w:rsidRPr="00043DFE" w:rsidRDefault="0097484A" w:rsidP="008B107E">
            <w:pPr>
              <w:pStyle w:val="TAC"/>
              <w:rPr>
                <w:lang w:val="en-US" w:eastAsia="zh-CN"/>
              </w:rPr>
            </w:pPr>
            <w:r w:rsidRPr="00043DFE">
              <w:rPr>
                <w:lang w:val="en-US" w:eastAsia="zh-CN"/>
              </w:rPr>
              <w:t>8</w:t>
            </w:r>
          </w:p>
        </w:tc>
        <w:tc>
          <w:tcPr>
            <w:tcW w:w="1283" w:type="pct"/>
            <w:gridSpan w:val="2"/>
            <w:tcBorders>
              <w:bottom w:val="nil"/>
            </w:tcBorders>
            <w:hideMark/>
          </w:tcPr>
          <w:p w14:paraId="010E6B1B" w14:textId="77777777" w:rsidR="0097484A" w:rsidRPr="00043DFE" w:rsidRDefault="0097484A" w:rsidP="008B107E">
            <w:pPr>
              <w:pStyle w:val="TAC"/>
              <w:rPr>
                <w:lang w:val="en-US" w:eastAsia="zh-CN"/>
              </w:rPr>
            </w:pPr>
            <m:oMathPara>
              <m:oMathParaPr>
                <m:jc m:val="centerGroup"/>
              </m:oMathParaPr>
              <m:oMath>
                <m:r>
                  <w:rPr>
                    <w:rFonts w:ascii="Cambria Math" w:hAnsi="Cambria Math"/>
                    <w:lang w:val="en-US" w:eastAsia="zh-CN"/>
                  </w:rPr>
                  <m:t>eDRX</m:t>
                </m:r>
                <m:r>
                  <m:rPr>
                    <m:sty m:val="p"/>
                  </m:rPr>
                  <w:rPr>
                    <w:rFonts w:ascii="Cambria Math" w:hAnsi="Cambria Math"/>
                    <w:lang w:val="en-US" w:eastAsia="zh-CN"/>
                  </w:rPr>
                  <m:t>_</m:t>
                </m:r>
                <m:r>
                  <w:rPr>
                    <w:rFonts w:ascii="Cambria Math" w:hAnsi="Cambria Math"/>
                    <w:lang w:val="en-US" w:eastAsia="zh-CN"/>
                  </w:rPr>
                  <m:t>cycl</m:t>
                </m:r>
                <m:r>
                  <m:rPr>
                    <m:sty m:val="p"/>
                  </m:rPr>
                  <w:rPr>
                    <w:rFonts w:ascii="Cambria Math" w:hAnsi="Cambria Math"/>
                    <w:lang w:val="en-US" w:eastAsia="zh-CN"/>
                  </w:rPr>
                  <m:t>e_</m:t>
                </m:r>
                <m:r>
                  <w:rPr>
                    <w:rFonts w:ascii="Cambria Math" w:hAnsi="Cambria Math"/>
                    <w:lang w:val="en-US" w:eastAsia="zh-CN"/>
                  </w:rPr>
                  <m:t>length×</m:t>
                </m:r>
                <m:d>
                  <m:dPr>
                    <m:begChr m:val="⌈"/>
                    <m:endChr m:val="⌉"/>
                    <m:ctrlPr>
                      <w:rPr>
                        <w:rFonts w:ascii="Cambria Math" w:hAnsi="Cambria Math"/>
                        <w:i/>
                        <w:lang w:val="en-US" w:eastAsia="zh-CN"/>
                      </w:rPr>
                    </m:ctrlPr>
                  </m:dPr>
                  <m:e>
                    <m:f>
                      <m:fPr>
                        <m:ctrlPr>
                          <w:rPr>
                            <w:rFonts w:ascii="Cambria Math" w:hAnsi="Cambria Math"/>
                            <w:i/>
                            <w:lang w:val="en-US" w:eastAsia="zh-CN"/>
                          </w:rPr>
                        </m:ctrlPr>
                      </m:fPr>
                      <m:num>
                        <m:r>
                          <w:rPr>
                            <w:rFonts w:ascii="Cambria Math" w:hAnsi="Cambria Math"/>
                            <w:lang w:val="en-US" w:eastAsia="zh-CN"/>
                          </w:rPr>
                          <m:t>23×N1</m:t>
                        </m:r>
                      </m:num>
                      <m:den>
                        <m:r>
                          <w:rPr>
                            <w:rFonts w:ascii="Cambria Math" w:hAnsi="Cambria Math"/>
                            <w:lang w:val="en-US" w:eastAsia="zh-CN"/>
                          </w:rPr>
                          <m:t>PTW/DRX_cycle_length</m:t>
                        </m:r>
                      </m:den>
                    </m:f>
                  </m:e>
                </m:d>
              </m:oMath>
            </m:oMathPara>
          </w:p>
          <w:p w14:paraId="212FAD7F" w14:textId="77777777" w:rsidR="0097484A" w:rsidRPr="00043DFE" w:rsidRDefault="0097484A" w:rsidP="008B107E">
            <w:pPr>
              <w:pStyle w:val="TAC"/>
              <w:rPr>
                <w:lang w:val="en-US" w:eastAsia="zh-CN"/>
              </w:rPr>
            </w:pPr>
            <w:r w:rsidRPr="00043DFE">
              <w:rPr>
                <w:lang w:val="en-US" w:eastAsia="zh-CN"/>
              </w:rPr>
              <w:t>(23</w:t>
            </w:r>
            <w:r w:rsidRPr="00043DFE">
              <w:rPr>
                <w:lang w:eastAsia="zh-CN"/>
              </w:rPr>
              <w:t xml:space="preserve"> x N1</w:t>
            </w:r>
            <w:r w:rsidRPr="00043DFE">
              <w:rPr>
                <w:lang w:val="en-US" w:eastAsia="zh-CN"/>
              </w:rPr>
              <w:t>)</w:t>
            </w:r>
          </w:p>
        </w:tc>
        <w:tc>
          <w:tcPr>
            <w:tcW w:w="809" w:type="pct"/>
            <w:hideMark/>
          </w:tcPr>
          <w:p w14:paraId="3D1FADF1" w14:textId="77777777" w:rsidR="0097484A" w:rsidRPr="00043DFE" w:rsidRDefault="0097484A" w:rsidP="008B107E">
            <w:pPr>
              <w:pStyle w:val="TAC"/>
              <w:rPr>
                <w:lang w:val="en-US" w:eastAsia="zh-CN"/>
              </w:rPr>
            </w:pPr>
            <w:r w:rsidRPr="00043DFE">
              <w:rPr>
                <w:lang w:eastAsia="zh-CN"/>
              </w:rPr>
              <w:t>0.32 x N1 (1 x N1)</w:t>
            </w:r>
          </w:p>
        </w:tc>
        <w:tc>
          <w:tcPr>
            <w:tcW w:w="858" w:type="pct"/>
            <w:hideMark/>
          </w:tcPr>
          <w:p w14:paraId="0360BC80" w14:textId="77777777" w:rsidR="0097484A" w:rsidRPr="00043DFE" w:rsidRDefault="0097484A" w:rsidP="008B107E">
            <w:pPr>
              <w:pStyle w:val="TAC"/>
              <w:rPr>
                <w:lang w:val="en-US" w:eastAsia="zh-CN"/>
              </w:rPr>
            </w:pPr>
            <w:r w:rsidRPr="00043DFE">
              <w:rPr>
                <w:lang w:eastAsia="zh-CN"/>
              </w:rPr>
              <w:t>0.64 x N1 (2 x N1)</w:t>
            </w:r>
          </w:p>
        </w:tc>
      </w:tr>
      <w:tr w:rsidR="0097484A" w:rsidRPr="00043DFE" w14:paraId="56C87262" w14:textId="77777777" w:rsidTr="008B107E">
        <w:trPr>
          <w:trHeight w:val="336"/>
        </w:trPr>
        <w:tc>
          <w:tcPr>
            <w:tcW w:w="639" w:type="pct"/>
            <w:tcBorders>
              <w:top w:val="nil"/>
              <w:bottom w:val="nil"/>
            </w:tcBorders>
            <w:hideMark/>
          </w:tcPr>
          <w:p w14:paraId="0745BD7D" w14:textId="77777777" w:rsidR="0097484A" w:rsidRPr="00043DFE" w:rsidRDefault="0097484A" w:rsidP="008B107E">
            <w:pPr>
              <w:pStyle w:val="TAC"/>
              <w:rPr>
                <w:lang w:val="en-US" w:eastAsia="zh-CN"/>
              </w:rPr>
            </w:pPr>
          </w:p>
        </w:tc>
        <w:tc>
          <w:tcPr>
            <w:tcW w:w="401" w:type="pct"/>
            <w:hideMark/>
          </w:tcPr>
          <w:p w14:paraId="19830AC7" w14:textId="77777777" w:rsidR="0097484A" w:rsidRPr="00043DFE" w:rsidRDefault="0097484A" w:rsidP="008B107E">
            <w:pPr>
              <w:pStyle w:val="TAC"/>
              <w:rPr>
                <w:lang w:val="en-US" w:eastAsia="zh-CN"/>
              </w:rPr>
            </w:pPr>
            <w:r w:rsidRPr="00043DFE">
              <w:rPr>
                <w:lang w:eastAsia="zh-CN"/>
              </w:rPr>
              <w:t>0.64</w:t>
            </w:r>
          </w:p>
        </w:tc>
        <w:tc>
          <w:tcPr>
            <w:tcW w:w="517" w:type="pct"/>
            <w:hideMark/>
          </w:tcPr>
          <w:p w14:paraId="534127C5" w14:textId="77777777" w:rsidR="0097484A" w:rsidRPr="00043DFE" w:rsidRDefault="0097484A" w:rsidP="008B107E">
            <w:pPr>
              <w:pStyle w:val="TAC"/>
              <w:rPr>
                <w:lang w:val="en-US" w:eastAsia="zh-CN"/>
              </w:rPr>
            </w:pPr>
            <w:r w:rsidRPr="00043DFE">
              <w:rPr>
                <w:lang w:eastAsia="zh-CN"/>
              </w:rPr>
              <w:t>≥6.4 (5)</w:t>
            </w:r>
          </w:p>
        </w:tc>
        <w:tc>
          <w:tcPr>
            <w:tcW w:w="493" w:type="pct"/>
          </w:tcPr>
          <w:p w14:paraId="059F823E" w14:textId="77777777" w:rsidR="0097484A" w:rsidRPr="00043DFE" w:rsidRDefault="0097484A" w:rsidP="008B107E">
            <w:pPr>
              <w:pStyle w:val="TAC"/>
              <w:rPr>
                <w:lang w:val="en-US" w:eastAsia="zh-CN"/>
              </w:rPr>
            </w:pPr>
            <w:r w:rsidRPr="00043DFE">
              <w:rPr>
                <w:lang w:val="en-US" w:eastAsia="zh-CN"/>
              </w:rPr>
              <w:t>5</w:t>
            </w:r>
          </w:p>
        </w:tc>
        <w:tc>
          <w:tcPr>
            <w:tcW w:w="1283" w:type="pct"/>
            <w:gridSpan w:val="2"/>
            <w:tcBorders>
              <w:top w:val="nil"/>
              <w:bottom w:val="nil"/>
            </w:tcBorders>
            <w:hideMark/>
          </w:tcPr>
          <w:p w14:paraId="5354378C" w14:textId="77777777" w:rsidR="0097484A" w:rsidRPr="00043DFE" w:rsidRDefault="0097484A" w:rsidP="008B107E">
            <w:pPr>
              <w:pStyle w:val="TAC"/>
              <w:rPr>
                <w:lang w:val="en-US" w:eastAsia="zh-CN"/>
              </w:rPr>
            </w:pPr>
          </w:p>
        </w:tc>
        <w:tc>
          <w:tcPr>
            <w:tcW w:w="809" w:type="pct"/>
            <w:hideMark/>
          </w:tcPr>
          <w:p w14:paraId="60E3EA72" w14:textId="77777777" w:rsidR="0097484A" w:rsidRPr="00043DFE" w:rsidRDefault="0097484A" w:rsidP="008B107E">
            <w:pPr>
              <w:pStyle w:val="TAC"/>
              <w:rPr>
                <w:lang w:val="en-US" w:eastAsia="zh-CN"/>
              </w:rPr>
            </w:pPr>
            <w:r w:rsidRPr="00043DFE">
              <w:rPr>
                <w:lang w:eastAsia="zh-CN"/>
              </w:rPr>
              <w:t>0.64 x N1 (1 x N1)</w:t>
            </w:r>
          </w:p>
        </w:tc>
        <w:tc>
          <w:tcPr>
            <w:tcW w:w="858" w:type="pct"/>
            <w:hideMark/>
          </w:tcPr>
          <w:p w14:paraId="22A60988" w14:textId="77777777" w:rsidR="0097484A" w:rsidRPr="00043DFE" w:rsidRDefault="0097484A" w:rsidP="008B107E">
            <w:pPr>
              <w:pStyle w:val="TAC"/>
              <w:rPr>
                <w:lang w:val="en-US" w:eastAsia="zh-CN"/>
              </w:rPr>
            </w:pPr>
            <w:r w:rsidRPr="00043DFE">
              <w:rPr>
                <w:lang w:eastAsia="zh-CN"/>
              </w:rPr>
              <w:t>1.28 x N1 (2 x N1)</w:t>
            </w:r>
          </w:p>
        </w:tc>
      </w:tr>
      <w:tr w:rsidR="0097484A" w:rsidRPr="00043DFE" w14:paraId="50B623ED" w14:textId="77777777" w:rsidTr="008B107E">
        <w:trPr>
          <w:trHeight w:val="336"/>
        </w:trPr>
        <w:tc>
          <w:tcPr>
            <w:tcW w:w="639" w:type="pct"/>
            <w:tcBorders>
              <w:top w:val="nil"/>
              <w:bottom w:val="nil"/>
            </w:tcBorders>
            <w:hideMark/>
          </w:tcPr>
          <w:p w14:paraId="62D8FA7B" w14:textId="77777777" w:rsidR="0097484A" w:rsidRPr="00043DFE" w:rsidRDefault="0097484A" w:rsidP="008B107E">
            <w:pPr>
              <w:pStyle w:val="TAC"/>
              <w:rPr>
                <w:lang w:val="en-US" w:eastAsia="zh-CN"/>
              </w:rPr>
            </w:pPr>
          </w:p>
        </w:tc>
        <w:tc>
          <w:tcPr>
            <w:tcW w:w="401" w:type="pct"/>
            <w:hideMark/>
          </w:tcPr>
          <w:p w14:paraId="390E3B91" w14:textId="77777777" w:rsidR="0097484A" w:rsidRPr="00043DFE" w:rsidRDefault="0097484A" w:rsidP="008B107E">
            <w:pPr>
              <w:pStyle w:val="TAC"/>
              <w:rPr>
                <w:lang w:val="en-US" w:eastAsia="zh-CN"/>
              </w:rPr>
            </w:pPr>
            <w:r w:rsidRPr="00043DFE">
              <w:rPr>
                <w:lang w:eastAsia="zh-CN"/>
              </w:rPr>
              <w:t>1.28</w:t>
            </w:r>
          </w:p>
        </w:tc>
        <w:tc>
          <w:tcPr>
            <w:tcW w:w="517" w:type="pct"/>
            <w:hideMark/>
          </w:tcPr>
          <w:p w14:paraId="720FFF51" w14:textId="77777777" w:rsidR="0097484A" w:rsidRPr="00043DFE" w:rsidRDefault="0097484A" w:rsidP="008B107E">
            <w:pPr>
              <w:pStyle w:val="TAC"/>
              <w:rPr>
                <w:lang w:val="en-US" w:eastAsia="zh-CN"/>
              </w:rPr>
            </w:pPr>
            <w:r w:rsidRPr="00043DFE">
              <w:rPr>
                <w:lang w:eastAsia="zh-CN"/>
              </w:rPr>
              <w:t>≥10.24 (8)</w:t>
            </w:r>
          </w:p>
        </w:tc>
        <w:tc>
          <w:tcPr>
            <w:tcW w:w="493" w:type="pct"/>
          </w:tcPr>
          <w:p w14:paraId="6AC2B7DD" w14:textId="77777777" w:rsidR="0097484A" w:rsidRPr="00043DFE" w:rsidRDefault="0097484A" w:rsidP="008B107E">
            <w:pPr>
              <w:pStyle w:val="TAC"/>
              <w:rPr>
                <w:lang w:val="en-US" w:eastAsia="zh-CN"/>
              </w:rPr>
            </w:pPr>
            <w:r w:rsidRPr="00043DFE">
              <w:rPr>
                <w:lang w:val="en-US" w:eastAsia="zh-CN"/>
              </w:rPr>
              <w:t>4</w:t>
            </w:r>
          </w:p>
        </w:tc>
        <w:tc>
          <w:tcPr>
            <w:tcW w:w="1283" w:type="pct"/>
            <w:gridSpan w:val="2"/>
            <w:tcBorders>
              <w:top w:val="nil"/>
              <w:bottom w:val="nil"/>
            </w:tcBorders>
            <w:hideMark/>
          </w:tcPr>
          <w:p w14:paraId="4B1499C9" w14:textId="77777777" w:rsidR="0097484A" w:rsidRPr="00043DFE" w:rsidRDefault="0097484A" w:rsidP="008B107E">
            <w:pPr>
              <w:pStyle w:val="TAC"/>
              <w:rPr>
                <w:lang w:val="en-US" w:eastAsia="zh-CN"/>
              </w:rPr>
            </w:pPr>
          </w:p>
        </w:tc>
        <w:tc>
          <w:tcPr>
            <w:tcW w:w="809" w:type="pct"/>
            <w:hideMark/>
          </w:tcPr>
          <w:p w14:paraId="705CA190" w14:textId="77777777" w:rsidR="0097484A" w:rsidRPr="00043DFE" w:rsidRDefault="0097484A" w:rsidP="008B107E">
            <w:pPr>
              <w:pStyle w:val="TAC"/>
              <w:rPr>
                <w:lang w:val="en-US" w:eastAsia="zh-CN"/>
              </w:rPr>
            </w:pPr>
            <w:r w:rsidRPr="00043DFE">
              <w:rPr>
                <w:lang w:eastAsia="zh-CN"/>
              </w:rPr>
              <w:t>1.28 x N1 (1 x N1)</w:t>
            </w:r>
          </w:p>
        </w:tc>
        <w:tc>
          <w:tcPr>
            <w:tcW w:w="858" w:type="pct"/>
            <w:hideMark/>
          </w:tcPr>
          <w:p w14:paraId="2CAF0095" w14:textId="77777777" w:rsidR="0097484A" w:rsidRPr="00043DFE" w:rsidRDefault="0097484A" w:rsidP="008B107E">
            <w:pPr>
              <w:pStyle w:val="TAC"/>
              <w:rPr>
                <w:lang w:val="en-US" w:eastAsia="zh-CN"/>
              </w:rPr>
            </w:pPr>
            <w:r w:rsidRPr="00043DFE">
              <w:rPr>
                <w:lang w:eastAsia="zh-CN"/>
              </w:rPr>
              <w:t>2.56 x N1 (2 x N1)</w:t>
            </w:r>
          </w:p>
        </w:tc>
      </w:tr>
      <w:tr w:rsidR="0097484A" w:rsidRPr="00043DFE" w14:paraId="7264E763" w14:textId="77777777" w:rsidTr="008B107E">
        <w:trPr>
          <w:trHeight w:val="336"/>
        </w:trPr>
        <w:tc>
          <w:tcPr>
            <w:tcW w:w="639" w:type="pct"/>
            <w:tcBorders>
              <w:top w:val="nil"/>
            </w:tcBorders>
            <w:hideMark/>
          </w:tcPr>
          <w:p w14:paraId="768D2618" w14:textId="77777777" w:rsidR="0097484A" w:rsidRPr="00043DFE" w:rsidRDefault="0097484A" w:rsidP="008B107E">
            <w:pPr>
              <w:pStyle w:val="TAC"/>
              <w:rPr>
                <w:lang w:val="en-US" w:eastAsia="zh-CN"/>
              </w:rPr>
            </w:pPr>
          </w:p>
        </w:tc>
        <w:tc>
          <w:tcPr>
            <w:tcW w:w="401" w:type="pct"/>
            <w:hideMark/>
          </w:tcPr>
          <w:p w14:paraId="1FFB4F3F" w14:textId="77777777" w:rsidR="0097484A" w:rsidRPr="00043DFE" w:rsidRDefault="0097484A" w:rsidP="008B107E">
            <w:pPr>
              <w:pStyle w:val="TAC"/>
              <w:rPr>
                <w:lang w:val="en-US" w:eastAsia="zh-CN"/>
              </w:rPr>
            </w:pPr>
            <w:r w:rsidRPr="00043DFE">
              <w:rPr>
                <w:lang w:eastAsia="zh-CN"/>
              </w:rPr>
              <w:t>2.56</w:t>
            </w:r>
          </w:p>
        </w:tc>
        <w:tc>
          <w:tcPr>
            <w:tcW w:w="517" w:type="pct"/>
            <w:hideMark/>
          </w:tcPr>
          <w:p w14:paraId="071BE65A" w14:textId="77777777" w:rsidR="0097484A" w:rsidRPr="00043DFE" w:rsidRDefault="0097484A" w:rsidP="008B107E">
            <w:pPr>
              <w:pStyle w:val="TAC"/>
              <w:rPr>
                <w:lang w:val="en-US" w:eastAsia="zh-CN"/>
              </w:rPr>
            </w:pPr>
            <w:r w:rsidRPr="00043DFE">
              <w:rPr>
                <w:lang w:eastAsia="zh-CN"/>
              </w:rPr>
              <w:t>≥15.36 (12)</w:t>
            </w:r>
          </w:p>
        </w:tc>
        <w:tc>
          <w:tcPr>
            <w:tcW w:w="493" w:type="pct"/>
          </w:tcPr>
          <w:p w14:paraId="5460C297" w14:textId="77777777" w:rsidR="0097484A" w:rsidRPr="00043DFE" w:rsidRDefault="0097484A" w:rsidP="008B107E">
            <w:pPr>
              <w:pStyle w:val="TAC"/>
              <w:rPr>
                <w:lang w:val="en-US" w:eastAsia="zh-CN"/>
              </w:rPr>
            </w:pPr>
            <w:r w:rsidRPr="00043DFE">
              <w:rPr>
                <w:lang w:val="en-US" w:eastAsia="zh-CN"/>
              </w:rPr>
              <w:t>3</w:t>
            </w:r>
          </w:p>
        </w:tc>
        <w:tc>
          <w:tcPr>
            <w:tcW w:w="1283" w:type="pct"/>
            <w:gridSpan w:val="2"/>
            <w:tcBorders>
              <w:top w:val="nil"/>
            </w:tcBorders>
            <w:hideMark/>
          </w:tcPr>
          <w:p w14:paraId="1F160807" w14:textId="77777777" w:rsidR="0097484A" w:rsidRPr="00043DFE" w:rsidRDefault="0097484A" w:rsidP="008B107E">
            <w:pPr>
              <w:pStyle w:val="TAC"/>
              <w:rPr>
                <w:lang w:val="en-US" w:eastAsia="zh-CN"/>
              </w:rPr>
            </w:pPr>
          </w:p>
        </w:tc>
        <w:tc>
          <w:tcPr>
            <w:tcW w:w="809" w:type="pct"/>
            <w:hideMark/>
          </w:tcPr>
          <w:p w14:paraId="2B3EC0F9" w14:textId="77777777" w:rsidR="0097484A" w:rsidRPr="00043DFE" w:rsidRDefault="0097484A" w:rsidP="008B107E">
            <w:pPr>
              <w:pStyle w:val="TAC"/>
              <w:rPr>
                <w:lang w:val="en-US" w:eastAsia="zh-CN"/>
              </w:rPr>
            </w:pPr>
            <w:r w:rsidRPr="00043DFE">
              <w:rPr>
                <w:lang w:eastAsia="zh-CN"/>
              </w:rPr>
              <w:t>2.56 x N1 (1 x N1)</w:t>
            </w:r>
          </w:p>
        </w:tc>
        <w:tc>
          <w:tcPr>
            <w:tcW w:w="858" w:type="pct"/>
            <w:hideMark/>
          </w:tcPr>
          <w:p w14:paraId="217DCE6D" w14:textId="77777777" w:rsidR="0097484A" w:rsidRPr="00043DFE" w:rsidRDefault="0097484A" w:rsidP="008B107E">
            <w:pPr>
              <w:pStyle w:val="TAC"/>
              <w:rPr>
                <w:lang w:val="en-US" w:eastAsia="zh-CN"/>
              </w:rPr>
            </w:pPr>
            <w:r w:rsidRPr="00043DFE">
              <w:rPr>
                <w:lang w:eastAsia="zh-CN"/>
              </w:rPr>
              <w:t>5.12 x N1 (2 x N1)</w:t>
            </w:r>
          </w:p>
        </w:tc>
      </w:tr>
      <w:tr w:rsidR="0097484A" w:rsidRPr="00043DFE" w14:paraId="45BF9456" w14:textId="77777777" w:rsidTr="008B107E">
        <w:trPr>
          <w:trHeight w:val="336"/>
        </w:trPr>
        <w:tc>
          <w:tcPr>
            <w:tcW w:w="5000" w:type="pct"/>
            <w:gridSpan w:val="8"/>
          </w:tcPr>
          <w:p w14:paraId="240DBF39" w14:textId="77777777" w:rsidR="0097484A" w:rsidRPr="00043DFE" w:rsidRDefault="0097484A" w:rsidP="008B107E">
            <w:pPr>
              <w:pStyle w:val="TAN"/>
              <w:rPr>
                <w:snapToGrid w:val="0"/>
                <w:lang w:eastAsia="zh-CN"/>
              </w:rPr>
            </w:pPr>
            <w:r w:rsidRPr="00043DFE">
              <w:rPr>
                <w:snapToGrid w:val="0"/>
                <w:lang w:eastAsia="zh-CN"/>
              </w:rPr>
              <w:t>NOTE 1</w:t>
            </w:r>
            <w:r w:rsidRPr="00043DFE">
              <w:t xml:space="preserve">: Applies for UE supporting FR2-1 power class </w:t>
            </w:r>
            <w:r w:rsidRPr="00043DFE">
              <w:rPr>
                <w:lang w:eastAsia="zh-CN"/>
              </w:rPr>
              <w:t>2&amp;3&amp;4</w:t>
            </w:r>
            <w:r w:rsidRPr="00043DFE">
              <w:t>. For UE supporting FR2-1 power class 1</w:t>
            </w:r>
            <w:r w:rsidRPr="00043DFE">
              <w:rPr>
                <w:lang w:eastAsia="zh-CN"/>
              </w:rPr>
              <w:t xml:space="preserve"> or 5</w:t>
            </w:r>
            <w:r w:rsidRPr="00043DFE">
              <w:t>, N1 = 8 for all DRX cycle length.</w:t>
            </w:r>
          </w:p>
          <w:p w14:paraId="3E6DA3BB" w14:textId="77777777" w:rsidR="0097484A" w:rsidRPr="00043DFE" w:rsidRDefault="0097484A" w:rsidP="008B107E">
            <w:pPr>
              <w:pStyle w:val="TAN"/>
              <w:rPr>
                <w:rFonts w:cs="Arial"/>
              </w:rPr>
            </w:pPr>
            <w:r w:rsidRPr="00043DFE">
              <w:rPr>
                <w:rFonts w:cs="Arial"/>
              </w:rPr>
              <w:t>NOTE 2: The number of DRX cycles in this table is given for the DRX cycles within PTWs.</w:t>
            </w:r>
          </w:p>
          <w:p w14:paraId="0F2F155A" w14:textId="77777777" w:rsidR="0097484A" w:rsidRPr="00043DFE" w:rsidRDefault="0097484A" w:rsidP="008B107E">
            <w:pPr>
              <w:pStyle w:val="TAN"/>
              <w:rPr>
                <w:rFonts w:cs="Arial"/>
              </w:rPr>
            </w:pPr>
            <w:r w:rsidRPr="00043DFE">
              <w:rPr>
                <w:rFonts w:cs="Arial"/>
              </w:rPr>
              <w:t>NOTE 3: The eDRX_IDLE cycle lengths are as specified in Section 10.5.5.32 of TS 24.008 [34].</w:t>
            </w:r>
          </w:p>
          <w:p w14:paraId="1C52DE10" w14:textId="77777777" w:rsidR="0097484A" w:rsidRPr="00043DFE" w:rsidRDefault="0097484A" w:rsidP="008B107E">
            <w:pPr>
              <w:pStyle w:val="TAN"/>
              <w:rPr>
                <w:rFonts w:cs="Arial"/>
              </w:rPr>
            </w:pPr>
            <w:r w:rsidRPr="00043DFE">
              <w:rPr>
                <w:rFonts w:cs="Arial"/>
              </w:rPr>
              <w:t>NOTE 4: Number of eDRX cycles when eDRX_IDLE cycle length equals 2.56s, 5.12s and 10.24s. Otherwise, number of DRX cycles.</w:t>
            </w:r>
          </w:p>
          <w:p w14:paraId="321DC06A" w14:textId="77777777" w:rsidR="0097484A" w:rsidRPr="00043DFE" w:rsidRDefault="0097484A" w:rsidP="008B107E">
            <w:pPr>
              <w:pStyle w:val="TAN"/>
              <w:rPr>
                <w:rFonts w:cs="Arial"/>
                <w:iCs/>
                <w:szCs w:val="18"/>
              </w:rPr>
            </w:pPr>
            <w:r w:rsidRPr="00043DFE">
              <w:rPr>
                <w:rFonts w:cs="Arial"/>
                <w:snapToGrid w:val="0"/>
                <w:szCs w:val="18"/>
                <w:lang w:eastAsia="zh-CN"/>
              </w:rPr>
              <w:t xml:space="preserve">NOTE </w:t>
            </w:r>
            <w:r w:rsidRPr="00043DFE">
              <w:rPr>
                <w:rFonts w:cs="Arial"/>
                <w:szCs w:val="18"/>
              </w:rPr>
              <w:t>5:</w:t>
            </w:r>
            <w:r w:rsidRPr="00043DFE">
              <w:rPr>
                <w:rFonts w:cs="Arial"/>
                <w:szCs w:val="18"/>
                <w:lang w:val="en-US"/>
              </w:rPr>
              <w:t xml:space="preserve"> </w:t>
            </w:r>
            <w:r w:rsidRPr="00043DFE">
              <w:rPr>
                <w:rFonts w:cs="Arial"/>
                <w:szCs w:val="18"/>
              </w:rPr>
              <w:t xml:space="preserve">The lower bound of </w:t>
            </w:r>
            <w:r w:rsidRPr="00043DFE">
              <w:rPr>
                <w:rFonts w:cs="Arial"/>
                <w:iCs/>
                <w:color w:val="000000" w:themeColor="text1"/>
                <w:szCs w:val="18"/>
              </w:rPr>
              <w:t xml:space="preserve">PTW length is derived based on </w:t>
            </w:r>
            <m:oMath>
              <m:d>
                <m:dPr>
                  <m:begChr m:val="⌈"/>
                  <m:endChr m:val="⌉"/>
                  <m:ctrlPr>
                    <w:rPr>
                      <w:rFonts w:ascii="Cambria Math" w:hAnsi="Cambria Math" w:cs="Arial"/>
                      <w:iCs/>
                      <w:szCs w:val="18"/>
                    </w:rPr>
                  </m:ctrlPr>
                </m:dPr>
                <m:e>
                  <m:f>
                    <m:fPr>
                      <m:ctrlPr>
                        <w:rPr>
                          <w:rFonts w:ascii="Cambria Math" w:hAnsi="Cambria Math" w:cs="Arial"/>
                          <w:iCs/>
                          <w:szCs w:val="18"/>
                        </w:rPr>
                      </m:ctrlPr>
                    </m:fPr>
                    <m:num>
                      <m:r>
                        <m:rPr>
                          <m:sty m:val="p"/>
                        </m:rPr>
                        <w:rPr>
                          <w:rFonts w:ascii="Cambria Math" w:hAnsi="Cambria Math" w:cs="Arial"/>
                          <w:szCs w:val="16"/>
                          <w:lang w:val="en-US"/>
                        </w:rPr>
                        <m:t>T</m:t>
                      </m:r>
                      <m:r>
                        <m:rPr>
                          <m:sty m:val="p"/>
                        </m:rPr>
                        <w:rPr>
                          <w:rFonts w:ascii="Cambria Math" w:hAnsi="Cambria Math" w:cs="Arial"/>
                          <w:szCs w:val="16"/>
                          <w:vertAlign w:val="subscript"/>
                          <w:lang w:val="en-US"/>
                        </w:rPr>
                        <m:t>evaluate,NR_Inter</m:t>
                      </m:r>
                      <m:r>
                        <m:rPr>
                          <m:sty m:val="p"/>
                        </m:rPr>
                        <w:rPr>
                          <w:rFonts w:ascii="Cambria Math" w:hAnsi="Cambria Math" w:cs="Arial"/>
                          <w:szCs w:val="18"/>
                        </w:rPr>
                        <m:t>*DRX_cycle</m:t>
                      </m:r>
                    </m:num>
                    <m:den>
                      <m:r>
                        <m:rPr>
                          <m:sty m:val="p"/>
                        </m:rPr>
                        <w:rPr>
                          <w:rFonts w:ascii="Cambria Math" w:hAnsi="Cambria Math" w:cs="Arial"/>
                          <w:szCs w:val="18"/>
                        </w:rPr>
                        <m:t>1.28</m:t>
                      </m:r>
                    </m:den>
                  </m:f>
                </m:e>
              </m:d>
              <m:r>
                <m:rPr>
                  <m:sty m:val="p"/>
                </m:rPr>
                <w:rPr>
                  <w:rFonts w:ascii="Cambria Math" w:hAnsi="Cambria Math" w:cs="Arial"/>
                  <w:szCs w:val="18"/>
                </w:rPr>
                <m:t>*1.28</m:t>
              </m:r>
            </m:oMath>
            <w:r w:rsidRPr="00043DFE">
              <w:rPr>
                <w:rFonts w:cs="Arial"/>
                <w:iCs/>
                <w:szCs w:val="18"/>
              </w:rPr>
              <w:t>.</w:t>
            </w:r>
          </w:p>
          <w:p w14:paraId="3A6B699E" w14:textId="77777777" w:rsidR="0097484A" w:rsidRPr="00043DFE" w:rsidRDefault="0097484A" w:rsidP="008B107E">
            <w:pPr>
              <w:pStyle w:val="TAN"/>
              <w:rPr>
                <w:rFonts w:cs="Arial"/>
                <w:lang w:eastAsia="zh-CN"/>
              </w:rPr>
            </w:pPr>
            <w:r w:rsidRPr="00043DFE">
              <w:rPr>
                <w:rFonts w:cs="Arial"/>
                <w:iCs/>
              </w:rPr>
              <w:t>NOTE 6: When eDRX=20.48s and DRX=0.32s, UE is allowed to perform cell evaluation within PTW in every 2 eDRX cycles.</w:t>
            </w:r>
          </w:p>
        </w:tc>
      </w:tr>
    </w:tbl>
    <w:p w14:paraId="61AA7B16" w14:textId="77777777" w:rsidR="0097484A" w:rsidRPr="00043DFE" w:rsidRDefault="0097484A" w:rsidP="0097484A">
      <w:pPr>
        <w:rPr>
          <w:lang w:eastAsia="zh-CN"/>
        </w:rPr>
      </w:pPr>
    </w:p>
    <w:p w14:paraId="6440DEA5" w14:textId="77777777" w:rsidR="0097484A" w:rsidRPr="00043DFE" w:rsidRDefault="0097484A" w:rsidP="0097484A">
      <w:pPr>
        <w:rPr>
          <w:lang w:eastAsia="zh-CN"/>
        </w:rPr>
      </w:pPr>
      <w:r w:rsidRPr="00043DFE">
        <w:t>For any requirement in this section, when the UE transitions between any two states when being configured with eDRX_IDLE, being configured with eDRX_IDLE cycle, changing eDRX_IDLE cycle length, or changing PTW configuration, the UE shall meet the transition requirement, which is the less stringent requirement of the two requirements corresponding to the first state and the second state, during the transition time interval which is the time corresponding to the transition requirement. After the transition time interval, the UE shall meet the requirement corresponding to the second state.</w:t>
      </w:r>
    </w:p>
    <w:p w14:paraId="2854480D" w14:textId="77777777" w:rsidR="0097484A" w:rsidRPr="00AC1B79" w:rsidRDefault="0097484A" w:rsidP="008E0152">
      <w:pPr>
        <w:rPr>
          <w:noProof/>
        </w:rPr>
      </w:pPr>
    </w:p>
    <w:p w14:paraId="476767E1" w14:textId="77777777" w:rsidR="00E738E0" w:rsidRPr="009C5807" w:rsidRDefault="00E738E0" w:rsidP="00E738E0">
      <w:pPr>
        <w:pStyle w:val="Heading4"/>
        <w:rPr>
          <w:lang w:val="en-US" w:eastAsia="zh-CN"/>
        </w:rPr>
      </w:pPr>
      <w:r w:rsidRPr="009C5807">
        <w:rPr>
          <w:lang w:val="en-US" w:eastAsia="zh-CN"/>
        </w:rPr>
        <w:t>4.2.2.5</w:t>
      </w:r>
      <w:r w:rsidRPr="009C5807">
        <w:rPr>
          <w:lang w:val="en-US" w:eastAsia="zh-CN"/>
        </w:rPr>
        <w:tab/>
        <w:t>Measurements of inter-RAT E-UTRAN cells</w:t>
      </w:r>
      <w:bookmarkEnd w:id="38"/>
    </w:p>
    <w:p w14:paraId="6AA0F9E2" w14:textId="77777777" w:rsidR="00C93EBE" w:rsidRPr="009C5807" w:rsidRDefault="00C93EBE" w:rsidP="00C93EBE">
      <w:r w:rsidRPr="009C5807">
        <w:t>If Srxlev &gt; S</w:t>
      </w:r>
      <w:r w:rsidRPr="009C5807">
        <w:rPr>
          <w:vertAlign w:val="subscript"/>
        </w:rPr>
        <w:t>nonIntraSearchP</w:t>
      </w:r>
      <w:r w:rsidRPr="009C5807">
        <w:t xml:space="preserve"> and Squal &gt; S</w:t>
      </w:r>
      <w:r w:rsidRPr="009C5807">
        <w:rPr>
          <w:vertAlign w:val="subscript"/>
        </w:rPr>
        <w:t>nonIntraSearchQ</w:t>
      </w:r>
      <w:r w:rsidRPr="009C5807" w:rsidDel="00937E5B">
        <w:t xml:space="preserve"> </w:t>
      </w:r>
      <w:r w:rsidRPr="009C5807">
        <w:t>then the UE shall search for inter-RAT E-UTRAN layers of higher priority at least every T</w:t>
      </w:r>
      <w:r w:rsidRPr="009C5807">
        <w:rPr>
          <w:vertAlign w:val="subscript"/>
        </w:rPr>
        <w:t xml:space="preserve">higher_priority_search </w:t>
      </w:r>
      <w:r w:rsidRPr="009C5807">
        <w:t>where T</w:t>
      </w:r>
      <w:r w:rsidRPr="009C5807">
        <w:rPr>
          <w:vertAlign w:val="subscript"/>
        </w:rPr>
        <w:t>higher_priority_search</w:t>
      </w:r>
      <w:r w:rsidRPr="009C5807">
        <w:t xml:space="preserve"> is described in clause </w:t>
      </w:r>
      <w:smartTag w:uri="urn:schemas-microsoft-com:office:smarttags" w:element="chsdate">
        <w:smartTagPr>
          <w:attr w:name="IsROCDate" w:val="False"/>
          <w:attr w:name="IsLunarDate" w:val="False"/>
          <w:attr w:name="Day" w:val="30"/>
          <w:attr w:name="Month" w:val="12"/>
          <w:attr w:name="Year" w:val="1899"/>
        </w:smartTagPr>
        <w:r w:rsidRPr="009C5807">
          <w:t>4.2.2</w:t>
        </w:r>
        <w:r>
          <w:t>.</w:t>
        </w:r>
      </w:smartTag>
    </w:p>
    <w:p w14:paraId="27388FA2" w14:textId="77777777" w:rsidR="00E738E0" w:rsidRPr="009C5807" w:rsidRDefault="00E738E0" w:rsidP="00125AB5">
      <w:r w:rsidRPr="009C5807">
        <w:t xml:space="preserve">If Srxlev </w:t>
      </w:r>
      <w:r w:rsidRPr="009C5807">
        <w:rPr>
          <w:rFonts w:hint="eastAsia"/>
        </w:rPr>
        <w:t>≤</w:t>
      </w:r>
      <w:r w:rsidRPr="009C5807">
        <w:t xml:space="preserve"> S</w:t>
      </w:r>
      <w:r w:rsidRPr="009C5807">
        <w:rPr>
          <w:vertAlign w:val="subscript"/>
        </w:rPr>
        <w:t>nonIntraSearchP</w:t>
      </w:r>
      <w:r w:rsidRPr="009C5807">
        <w:t xml:space="preserve"> or Squal </w:t>
      </w:r>
      <w:r w:rsidRPr="009C5807">
        <w:rPr>
          <w:rFonts w:hint="eastAsia"/>
        </w:rPr>
        <w:t>≤</w:t>
      </w:r>
      <w:r w:rsidRPr="009C5807">
        <w:t xml:space="preserve"> S</w:t>
      </w:r>
      <w:r w:rsidRPr="009C5807">
        <w:rPr>
          <w:vertAlign w:val="subscript"/>
        </w:rPr>
        <w:t xml:space="preserve">nonIntraSearchQ </w:t>
      </w:r>
      <w:r w:rsidRPr="009C5807">
        <w:t>then the UE shall search for and measure inter-RAT E-UTRAN layers of higher, lower priority in preparation for possible reselection. In this scenario, the minimum rate at which the UE is required to search for and measure higher priority inter-RAT E-UTRAN layers shall be the same as that defined below for lower priority RATs.</w:t>
      </w:r>
    </w:p>
    <w:p w14:paraId="226E2963" w14:textId="20A1FC3F" w:rsidR="00D10036" w:rsidRDefault="00C93EBE" w:rsidP="00AA52EB">
      <w:pPr>
        <w:rPr>
          <w:rFonts w:cs="v4.2.0"/>
        </w:rPr>
      </w:pPr>
      <w:r w:rsidRPr="00885F53">
        <w:t xml:space="preserve">The requirements in this </w:t>
      </w:r>
      <w:r>
        <w:t>clause</w:t>
      </w:r>
      <w:r w:rsidRPr="00885F53">
        <w:t xml:space="preserve"> apply for inter-RAT E-UTRAN FDD measurements and E-UTRA TDD measurements</w:t>
      </w:r>
      <w:r w:rsidRPr="00885F53">
        <w:rPr>
          <w:lang w:eastAsia="zh-CN"/>
        </w:rPr>
        <w:t xml:space="preserve">. </w:t>
      </w:r>
      <w:r w:rsidRPr="00885F53">
        <w:t xml:space="preserve">When the measurement rules indicate that </w:t>
      </w:r>
      <w:r w:rsidRPr="00885F53">
        <w:rPr>
          <w:lang w:val="en-US" w:eastAsia="zh-CN"/>
        </w:rPr>
        <w:t>inter-RAT E-UTRAN</w:t>
      </w:r>
      <w:r w:rsidRPr="00885F53">
        <w:t xml:space="preserve"> cells are to be measured, the UE shall measure </w:t>
      </w:r>
      <w:r w:rsidRPr="00885F53">
        <w:rPr>
          <w:lang w:eastAsia="zh-CN"/>
        </w:rPr>
        <w:t>RSRP and RSRQ</w:t>
      </w:r>
      <w:r w:rsidRPr="00885F53">
        <w:t xml:space="preserve"> of detected </w:t>
      </w:r>
      <w:r w:rsidRPr="00885F53">
        <w:rPr>
          <w:lang w:eastAsia="zh-CN"/>
        </w:rPr>
        <w:t>E-</w:t>
      </w:r>
      <w:r w:rsidRPr="00885F53">
        <w:t xml:space="preserve">UTRA cells in the neighbour frequency list at the minimum measurement rate specified in this </w:t>
      </w:r>
      <w:r>
        <w:t>clause</w:t>
      </w:r>
      <w:r w:rsidRPr="00885F53">
        <w:t>.</w:t>
      </w:r>
    </w:p>
    <w:p w14:paraId="722CDE87" w14:textId="7D695D9E" w:rsidR="00D9488A" w:rsidRDefault="00C93EBE" w:rsidP="00D9488A">
      <w:r w:rsidRPr="00885F53">
        <w:t>Theparameter N</w:t>
      </w:r>
      <w:r w:rsidRPr="00885F53">
        <w:rPr>
          <w:vertAlign w:val="subscript"/>
          <w:lang w:eastAsia="zh-CN"/>
        </w:rPr>
        <w:t>E</w:t>
      </w:r>
      <w:r w:rsidRPr="00885F53">
        <w:rPr>
          <w:vertAlign w:val="subscript"/>
        </w:rPr>
        <w:t>UTRA_carrier</w:t>
      </w:r>
      <w:r w:rsidRPr="00885F53">
        <w:t xml:space="preserve"> is the total number of configured E-UTRA carriers </w:t>
      </w:r>
      <w:r>
        <w:rPr>
          <w:szCs w:val="24"/>
          <w:lang w:eastAsia="zh-CN"/>
        </w:rPr>
        <w:t>indicated to meet non high speed requirements</w:t>
      </w:r>
      <w:r>
        <w:t xml:space="preserve"> </w:t>
      </w:r>
      <w:r w:rsidRPr="00885F53">
        <w:t>in the neighbour frequency list. The parameter N</w:t>
      </w:r>
      <w:r w:rsidRPr="00885F53">
        <w:rPr>
          <w:vertAlign w:val="subscript"/>
          <w:lang w:eastAsia="zh-CN"/>
        </w:rPr>
        <w:t>E</w:t>
      </w:r>
      <w:r w:rsidRPr="00885F53">
        <w:rPr>
          <w:vertAlign w:val="subscript"/>
        </w:rPr>
        <w:t>UTRA_carrier</w:t>
      </w:r>
      <w:r>
        <w:rPr>
          <w:vertAlign w:val="subscript"/>
        </w:rPr>
        <w:t>_HST</w:t>
      </w:r>
      <w:r w:rsidRPr="00885F53">
        <w:t xml:space="preserve"> is the total number of configured E-UTRA carriers </w:t>
      </w:r>
      <w:r>
        <w:rPr>
          <w:szCs w:val="24"/>
          <w:lang w:eastAsia="zh-CN"/>
        </w:rPr>
        <w:t>indicated to meet high speed requirements</w:t>
      </w:r>
      <w:r>
        <w:t xml:space="preserve"> </w:t>
      </w:r>
      <w:r w:rsidRPr="00885F53">
        <w:t xml:space="preserve">in the neighbour frequency list. </w:t>
      </w:r>
      <w:r w:rsidR="00AA52EB" w:rsidRPr="009C5807">
        <w:t xml:space="preserve">If Srxlev </w:t>
      </w:r>
      <w:r w:rsidR="00AA52EB" w:rsidRPr="009C5807">
        <w:rPr>
          <w:rFonts w:hint="eastAsia"/>
        </w:rPr>
        <w:t>≤</w:t>
      </w:r>
      <w:r w:rsidR="00AA52EB" w:rsidRPr="009C5807">
        <w:t xml:space="preserve"> S</w:t>
      </w:r>
      <w:r w:rsidR="00AA52EB" w:rsidRPr="009C5807">
        <w:rPr>
          <w:vertAlign w:val="subscript"/>
        </w:rPr>
        <w:t>nonIntraSearchP</w:t>
      </w:r>
      <w:r w:rsidR="00AA52EB" w:rsidRPr="009C5807">
        <w:t xml:space="preserve"> or Squal </w:t>
      </w:r>
      <w:r w:rsidR="00AA52EB" w:rsidRPr="009C5807">
        <w:rPr>
          <w:rFonts w:hint="eastAsia"/>
        </w:rPr>
        <w:t>≤</w:t>
      </w:r>
      <w:r w:rsidR="00AA52EB" w:rsidRPr="009C5807">
        <w:t xml:space="preserve"> S</w:t>
      </w:r>
      <w:r w:rsidR="00AA52EB" w:rsidRPr="009C5807">
        <w:rPr>
          <w:vertAlign w:val="subscript"/>
        </w:rPr>
        <w:t>nonIntraSearchQ</w:t>
      </w:r>
      <w:r w:rsidR="00AA52EB">
        <w:t xml:space="preserve">, an inter-RAT E-UTRAN layer is indicated to meet high speed requirements if </w:t>
      </w:r>
      <w:r w:rsidR="00AA52EB" w:rsidRPr="002A02A7">
        <w:t>highSpeedMeasFlag-r16</w:t>
      </w:r>
      <w:r w:rsidR="00AA52EB">
        <w:t xml:space="preserve"> is configured and the carrier to be measured is configured with </w:t>
      </w:r>
      <w:r w:rsidR="00AA52EB" w:rsidRPr="002A02A7">
        <w:t>highSpeedEUTRACarrier-r16</w:t>
      </w:r>
      <w:r w:rsidR="00AD2F6B" w:rsidRPr="001E3F76">
        <w:t xml:space="preserve"> </w:t>
      </w:r>
      <w:r w:rsidR="00AD2F6B">
        <w:t xml:space="preserve">and UE supports </w:t>
      </w:r>
      <w:r w:rsidR="00AD2F6B">
        <w:rPr>
          <w:szCs w:val="22"/>
        </w:rPr>
        <w:t>the enhanced inter-RAT E-UTRAN measurement requirements</w:t>
      </w:r>
      <w:r w:rsidR="00AA52EB">
        <w:t xml:space="preserve">. </w:t>
      </w:r>
      <w:r w:rsidR="00AA52EB" w:rsidRPr="009C5807">
        <w:t>If Srxlev &gt; S</w:t>
      </w:r>
      <w:r w:rsidR="00AA52EB" w:rsidRPr="009C5807">
        <w:rPr>
          <w:vertAlign w:val="subscript"/>
        </w:rPr>
        <w:t>nonIntraSearchP</w:t>
      </w:r>
      <w:r w:rsidR="00AA52EB" w:rsidRPr="009C5807">
        <w:t xml:space="preserve"> and Squal &gt; S</w:t>
      </w:r>
      <w:r w:rsidR="00AA52EB" w:rsidRPr="009C5807">
        <w:rPr>
          <w:vertAlign w:val="subscript"/>
        </w:rPr>
        <w:t>nonIntraSearchQ</w:t>
      </w:r>
      <w:r w:rsidR="00AA52EB">
        <w:t xml:space="preserve">, UE is required to meet non high speed requirements no matter whether </w:t>
      </w:r>
      <w:r w:rsidR="00AA52EB" w:rsidRPr="002A02A7">
        <w:t>highSpeedMeasFlag-r16</w:t>
      </w:r>
      <w:r w:rsidR="00AA52EB">
        <w:t xml:space="preserve"> or </w:t>
      </w:r>
      <w:r w:rsidR="00AA52EB" w:rsidRPr="002A02A7">
        <w:t>highSpeedEUTRACarrier-r16</w:t>
      </w:r>
      <w:r w:rsidR="00AA52EB">
        <w:t xml:space="preserve"> is configured</w:t>
      </w:r>
      <w:r w:rsidR="00AA52EB" w:rsidRPr="00885F53">
        <w:t xml:space="preserve"> </w:t>
      </w:r>
      <w:r w:rsidR="00AA52EB">
        <w:t xml:space="preserve">or not. </w:t>
      </w:r>
    </w:p>
    <w:p w14:paraId="78BD7393" w14:textId="186A2417" w:rsidR="00AA52EB" w:rsidRDefault="00AA52EB" w:rsidP="00AA52EB">
      <w:pPr>
        <w:rPr>
          <w:rFonts w:cs="v4.2.0"/>
        </w:rPr>
      </w:pPr>
      <w:r>
        <w:rPr>
          <w:rFonts w:cs="v4.2.0"/>
        </w:rPr>
        <w:t xml:space="preserve">The parameter </w:t>
      </w:r>
      <w:r w:rsidRPr="00081E1B">
        <w:t>N</w:t>
      </w:r>
      <w:r w:rsidRPr="00081E1B">
        <w:rPr>
          <w:vertAlign w:val="subscript"/>
          <w:lang w:eastAsia="zh-CN"/>
        </w:rPr>
        <w:t>E</w:t>
      </w:r>
      <w:r w:rsidRPr="00081E1B">
        <w:rPr>
          <w:vertAlign w:val="subscript"/>
        </w:rPr>
        <w:t>UTRA_carrier</w:t>
      </w:r>
      <w:r w:rsidRPr="009C5807">
        <w:rPr>
          <w:rFonts w:cs="v4.2.0"/>
        </w:rPr>
        <w:t xml:space="preserve"> </w:t>
      </w:r>
      <w:r>
        <w:rPr>
          <w:rFonts w:cs="v4.2.0"/>
        </w:rPr>
        <w:t xml:space="preserve">for a UE configured with idle mode </w:t>
      </w:r>
      <w:r w:rsidR="008E0B2F">
        <w:rPr>
          <w:rFonts w:cs="v4.2.0"/>
        </w:rPr>
        <w:t>DC</w:t>
      </w:r>
      <w:r>
        <w:rPr>
          <w:rFonts w:cs="v4.2.0"/>
        </w:rPr>
        <w:t xml:space="preserve"> measurements (while T331 is running), </w:t>
      </w:r>
      <w:r w:rsidRPr="009C5807">
        <w:rPr>
          <w:rFonts w:cs="v4.2.0"/>
        </w:rPr>
        <w:t xml:space="preserve">is the </w:t>
      </w:r>
      <w:r>
        <w:rPr>
          <w:rFonts w:cs="v4.2.0"/>
        </w:rPr>
        <w:t xml:space="preserve">combined </w:t>
      </w:r>
      <w:r w:rsidRPr="009C5807">
        <w:rPr>
          <w:rFonts w:cs="v4.2.0"/>
        </w:rPr>
        <w:t xml:space="preserve">number of </w:t>
      </w:r>
      <w:r w:rsidRPr="00081E1B">
        <w:t>configured E-UTRA carriers</w:t>
      </w:r>
      <w:r w:rsidRPr="009C5807">
        <w:rPr>
          <w:rFonts w:cs="v4.2.0"/>
        </w:rPr>
        <w:t xml:space="preserve"> </w:t>
      </w:r>
      <w:r w:rsidRPr="00081E1B">
        <w:t>in the neighbour frequency list</w:t>
      </w:r>
      <w:r>
        <w:rPr>
          <w:rFonts w:cs="v4.2.0"/>
        </w:rPr>
        <w:t xml:space="preserve"> and E-UTRA </w:t>
      </w:r>
      <w:r w:rsidRPr="00BA74F9">
        <w:t>carriers</w:t>
      </w:r>
      <w:r>
        <w:t xml:space="preserve"> configured for idle mode </w:t>
      </w:r>
      <w:r w:rsidR="007A75D2">
        <w:t>DC</w:t>
      </w:r>
      <w:r>
        <w:t xml:space="preserve"> measurements</w:t>
      </w:r>
      <w:r w:rsidR="00194A7F">
        <w:t>,</w:t>
      </w:r>
      <w:r w:rsidR="00194A7F" w:rsidRPr="00000F0A">
        <w:t xml:space="preserve"> excluding the configured E-UTRA carriers indicated to meet high speed requirements in the neighbour frequency list</w:t>
      </w:r>
      <w:r>
        <w:t>.</w:t>
      </w:r>
      <w:r w:rsidRPr="009C5807">
        <w:rPr>
          <w:rFonts w:cs="v4.2.0"/>
        </w:rPr>
        <w:t xml:space="preserve"> </w:t>
      </w:r>
    </w:p>
    <w:p w14:paraId="1707B821" w14:textId="4E5643A8" w:rsidR="00AA52EB" w:rsidRDefault="00AA52EB" w:rsidP="00AA52EB">
      <w:pPr>
        <w:pStyle w:val="NO"/>
        <w:rPr>
          <w:rFonts w:cs="v4.2.0"/>
        </w:rPr>
      </w:pPr>
      <w:r>
        <w:t>N</w:t>
      </w:r>
      <w:r w:rsidRPr="00BA74F9">
        <w:t>ote:</w:t>
      </w:r>
      <w:r w:rsidRPr="009C5807">
        <w:rPr>
          <w:lang w:val="en-US" w:eastAsia="zh-CN"/>
        </w:rPr>
        <w:tab/>
      </w:r>
      <w:r w:rsidRPr="00BA74F9">
        <w:t xml:space="preserve">combined total number means that if a carrier is </w:t>
      </w:r>
      <w:r w:rsidR="00DB0AB6">
        <w:t xml:space="preserve">an </w:t>
      </w:r>
      <w:r w:rsidR="00DB0AB6" w:rsidRPr="00885F53">
        <w:t>E-UTRA</w:t>
      </w:r>
      <w:r w:rsidR="00DB0AB6" w:rsidRPr="009C5807">
        <w:rPr>
          <w:rFonts w:cs="v4.2.0"/>
        </w:rPr>
        <w:t xml:space="preserve"> carrier indicated by the serving cell</w:t>
      </w:r>
      <w:r w:rsidR="00DB0AB6" w:rsidRPr="00BA74F9">
        <w:t xml:space="preserve"> </w:t>
      </w:r>
      <w:r w:rsidR="00DB0AB6">
        <w:t>for mobility</w:t>
      </w:r>
      <w:r w:rsidR="00DB0AB6" w:rsidRPr="00BA74F9">
        <w:t xml:space="preserve"> </w:t>
      </w:r>
      <w:r w:rsidRPr="00BA74F9">
        <w:t xml:space="preserve">and </w:t>
      </w:r>
      <w:r>
        <w:t>additionally a</w:t>
      </w:r>
      <w:r w:rsidRPr="00BA74F9">
        <w:t xml:space="preserve"> carrier </w:t>
      </w:r>
      <w:r>
        <w:t>configured for idle mode CA</w:t>
      </w:r>
      <w:r w:rsidR="00E37721">
        <w:t>/DC</w:t>
      </w:r>
      <w:r>
        <w:t xml:space="preserve"> measurements, </w:t>
      </w:r>
      <w:r w:rsidRPr="00BA74F9">
        <w:t>it only counts as one carrier.</w:t>
      </w:r>
    </w:p>
    <w:p w14:paraId="4DF35D10" w14:textId="1E2F88DB" w:rsidR="00C93EBE" w:rsidRPr="00885F53" w:rsidRDefault="00C93EBE" w:rsidP="00C93EBE">
      <w:r w:rsidRPr="00885F53">
        <w:t xml:space="preserve">The UE shall filter </w:t>
      </w:r>
      <w:r w:rsidRPr="00885F53">
        <w:rPr>
          <w:lang w:eastAsia="zh-CN"/>
        </w:rPr>
        <w:t>RSRP and RSRQ</w:t>
      </w:r>
      <w:r w:rsidRPr="00885F53">
        <w:t xml:space="preserve"> measurements of each measured </w:t>
      </w:r>
      <w:r w:rsidRPr="00885F53">
        <w:rPr>
          <w:lang w:eastAsia="zh-CN"/>
        </w:rPr>
        <w:t>E-</w:t>
      </w:r>
      <w:r w:rsidRPr="00885F53">
        <w:t>UTRA cell using at least 2 measurements. Within the set of measurements used for the filtering, at least two measurements shall be spaced by at least</w:t>
      </w:r>
      <w:r>
        <w:t xml:space="preserve"> half</w:t>
      </w:r>
      <w:r w:rsidRPr="0089796C">
        <w:t xml:space="preserve"> the minimum specified measurement period</w:t>
      </w:r>
      <w:r w:rsidRPr="00885F53">
        <w:t>.</w:t>
      </w:r>
    </w:p>
    <w:p w14:paraId="37C12616" w14:textId="77777777" w:rsidR="00E738E0" w:rsidRPr="009C5807" w:rsidRDefault="00E738E0" w:rsidP="00E738E0">
      <w:pPr>
        <w:jc w:val="both"/>
        <w:rPr>
          <w:rFonts w:cs="v4.2.0"/>
        </w:rPr>
      </w:pPr>
      <w:r w:rsidRPr="009C5807">
        <w:rPr>
          <w:rFonts w:cs="v4.2.0"/>
        </w:rPr>
        <w:t>An inter-RAT E-UTRA cell is considered to be detectable provided the following conditions are fulfilled:</w:t>
      </w:r>
    </w:p>
    <w:p w14:paraId="07DEEFDD" w14:textId="77777777" w:rsidR="00E738E0" w:rsidRPr="009C5807" w:rsidRDefault="00E738E0" w:rsidP="00E738E0">
      <w:pPr>
        <w:pStyle w:val="B10"/>
      </w:pPr>
      <w:r w:rsidRPr="009C5807">
        <w:t>-</w:t>
      </w:r>
      <w:r w:rsidRPr="009C5807">
        <w:tab/>
        <w:t>the same conditions as for inter-frequency RSRP measurements specified in TS 36.133 [15, Annex B.1.2] are fulfilled for a corresponding Band, and</w:t>
      </w:r>
    </w:p>
    <w:p w14:paraId="0EA4AAE9" w14:textId="77777777" w:rsidR="00E738E0" w:rsidRPr="009C5807" w:rsidRDefault="00E738E0" w:rsidP="00E738E0">
      <w:pPr>
        <w:pStyle w:val="B10"/>
      </w:pPr>
      <w:r w:rsidRPr="009C5807">
        <w:t>-</w:t>
      </w:r>
      <w:r w:rsidRPr="009C5807">
        <w:tab/>
        <w:t>the same conditions as for inter-frequency RSRQ measurements specified in TS 36.133 [15, Annex B.1.2] are fulfilled for a corresponding Band.</w:t>
      </w:r>
    </w:p>
    <w:p w14:paraId="5E3D53E8" w14:textId="77777777" w:rsidR="00E738E0" w:rsidRPr="009C5807" w:rsidRDefault="00E738E0" w:rsidP="00E738E0">
      <w:pPr>
        <w:pStyle w:val="B10"/>
        <w:rPr>
          <w:rFonts w:cs="v4.2.0"/>
        </w:rPr>
      </w:pPr>
      <w:r w:rsidRPr="009C5807">
        <w:t>-</w:t>
      </w:r>
      <w:r w:rsidRPr="009C5807">
        <w:tab/>
        <w:t>SCH conditions specified in TS 36.133 [15, Annex B.1.2] are fulfilled for a corresponding Band</w:t>
      </w:r>
    </w:p>
    <w:p w14:paraId="71C8CC03" w14:textId="35E87FE5" w:rsidR="00E738E0" w:rsidRPr="009C5807" w:rsidRDefault="00E738E0" w:rsidP="00E738E0">
      <w:pPr>
        <w:rPr>
          <w:rFonts w:cs="v4.2.0"/>
        </w:rPr>
      </w:pPr>
      <w:r w:rsidRPr="009C5807">
        <w:rPr>
          <w:rFonts w:cs="v4.2.0"/>
        </w:rPr>
        <w:t>The UE shall be able to evaluate whether a newly detectable</w:t>
      </w:r>
      <w:r w:rsidRPr="009C5807">
        <w:rPr>
          <w:lang w:val="en-US" w:eastAsia="zh-CN"/>
        </w:rPr>
        <w:t xml:space="preserve"> inter-RAT E-UTRAN</w:t>
      </w:r>
      <w:r w:rsidRPr="009C5807">
        <w:rPr>
          <w:rFonts w:cs="v4.2.0"/>
        </w:rPr>
        <w:t xml:space="preserve"> cell meets the reselection criteria </w:t>
      </w:r>
      <w:r w:rsidR="00D139B0" w:rsidRPr="009C5807">
        <w:rPr>
          <w:rFonts w:cs="v4.2.0"/>
        </w:rPr>
        <w:t>defined in TS3</w:t>
      </w:r>
      <w:r w:rsidR="00D139B0" w:rsidRPr="009C5807">
        <w:rPr>
          <w:rFonts w:cs="v4.2.0"/>
          <w:lang w:eastAsia="zh-CN"/>
        </w:rPr>
        <w:t>8</w:t>
      </w:r>
      <w:r w:rsidR="00D139B0" w:rsidRPr="009C5807">
        <w:rPr>
          <w:rFonts w:cs="v4.2.0"/>
        </w:rPr>
        <w:t>.304 [1] within</w:t>
      </w:r>
      <w:r w:rsidRPr="009C5807">
        <w:rPr>
          <w:rFonts w:cs="v4.2.0"/>
        </w:rPr>
        <w:t xml:space="preserve"> </w:t>
      </w:r>
      <w:r w:rsidR="00E37785" w:rsidRPr="005273C6">
        <w:t>N</w:t>
      </w:r>
      <w:r w:rsidR="00E37785" w:rsidRPr="00734785">
        <w:rPr>
          <w:vertAlign w:val="subscript"/>
        </w:rPr>
        <w:t>EUTRA_carrier_HST</w:t>
      </w:r>
      <w:r w:rsidR="00E37785" w:rsidRPr="005273C6">
        <w:t xml:space="preserve"> * T</w:t>
      </w:r>
      <w:r w:rsidR="00E37785" w:rsidRPr="00734785">
        <w:rPr>
          <w:vertAlign w:val="subscript"/>
        </w:rPr>
        <w:t>detect,EUTRAN_HST</w:t>
      </w:r>
      <w:r w:rsidR="00E37785" w:rsidRPr="005273C6">
        <w:t xml:space="preserve"> + N</w:t>
      </w:r>
      <w:r w:rsidR="00E37785" w:rsidRPr="000D3933">
        <w:rPr>
          <w:vertAlign w:val="subscript"/>
        </w:rPr>
        <w:t>EUTRA_carrier</w:t>
      </w:r>
      <w:r w:rsidR="00E37785" w:rsidRPr="005273C6">
        <w:t xml:space="preserve">  * T</w:t>
      </w:r>
      <w:r w:rsidR="00E37785" w:rsidRPr="000D3933">
        <w:rPr>
          <w:vertAlign w:val="subscript"/>
        </w:rPr>
        <w:t>detect,EUTRAN</w:t>
      </w:r>
      <w:r w:rsidR="00E37785" w:rsidRPr="00885F53">
        <w:rPr>
          <w:rFonts w:cs="v4.2.0"/>
        </w:rPr>
        <w:t xml:space="preserve"> </w:t>
      </w:r>
      <w:r w:rsidR="00E37785" w:rsidRPr="00885F53">
        <w:t xml:space="preserve">when Srxlev </w:t>
      </w:r>
      <w:r w:rsidR="00E37785" w:rsidRPr="00885F53">
        <w:rPr>
          <w:rFonts w:hint="eastAsia"/>
        </w:rPr>
        <w:t>≤</w:t>
      </w:r>
      <w:r w:rsidR="00E37785" w:rsidRPr="00885F53">
        <w:t xml:space="preserve"> S</w:t>
      </w:r>
      <w:r w:rsidR="00E37785" w:rsidRPr="00885F53">
        <w:rPr>
          <w:vertAlign w:val="subscript"/>
        </w:rPr>
        <w:t>nonIntraSearchP</w:t>
      </w:r>
      <w:r w:rsidR="00E37785" w:rsidRPr="00885F53">
        <w:t xml:space="preserve"> or Squal </w:t>
      </w:r>
      <w:r w:rsidR="00E37785" w:rsidRPr="00885F53">
        <w:rPr>
          <w:rFonts w:hint="eastAsia"/>
        </w:rPr>
        <w:t>≤</w:t>
      </w:r>
      <w:r w:rsidR="00E37785" w:rsidRPr="00885F53">
        <w:t xml:space="preserve"> S</w:t>
      </w:r>
      <w:r w:rsidR="00E37785" w:rsidRPr="00885F53">
        <w:rPr>
          <w:vertAlign w:val="subscript"/>
        </w:rPr>
        <w:t>nonIntraSearchQ</w:t>
      </w:r>
      <w:r w:rsidR="00E37785" w:rsidRPr="00885F53">
        <w:t xml:space="preserve"> </w:t>
      </w:r>
      <w:r w:rsidR="00E37785" w:rsidRPr="00885F53">
        <w:rPr>
          <w:rFonts w:cs="v4.2.0"/>
        </w:rPr>
        <w:t xml:space="preserve">when </w:t>
      </w:r>
      <w:r w:rsidR="00E37785" w:rsidRPr="00885F53">
        <w:t>T</w:t>
      </w:r>
      <w:r w:rsidR="00E37785" w:rsidRPr="00885F53">
        <w:rPr>
          <w:vertAlign w:val="subscript"/>
        </w:rPr>
        <w:t>reselection</w:t>
      </w:r>
      <w:r w:rsidR="00E37785" w:rsidRPr="00885F53">
        <w:rPr>
          <w:rFonts w:cs="v4.2.0"/>
        </w:rPr>
        <w:t xml:space="preserve"> = 0</w:t>
      </w:r>
      <w:r w:rsidR="00E37785" w:rsidRPr="00885F53">
        <w:t xml:space="preserve"> </w:t>
      </w:r>
      <w:r w:rsidR="00E37785" w:rsidRPr="00885F53">
        <w:rPr>
          <w:rFonts w:cs="v4.2.0"/>
        </w:rPr>
        <w:t>provided that the reselection criteria is met by a margin of</w:t>
      </w:r>
      <w:r w:rsidR="00E37785" w:rsidRPr="00885F53">
        <w:rPr>
          <w:rFonts w:cs="v4.2.0"/>
          <w:lang w:eastAsia="zh-CN"/>
        </w:rPr>
        <w:t xml:space="preserve"> </w:t>
      </w:r>
      <w:r w:rsidR="00E37785" w:rsidRPr="00885F53">
        <w:rPr>
          <w:rFonts w:cs="v4.2.0"/>
        </w:rPr>
        <w:t>at least 6dB for RSRP reselections based on absolute priorities or 4dB for RSRQ reselections based on absolute priorities</w:t>
      </w:r>
      <w:r w:rsidR="00E37785" w:rsidRPr="00885F53">
        <w:rPr>
          <w:rFonts w:cs="v4.2.0"/>
          <w:lang w:eastAsia="zh-CN"/>
        </w:rPr>
        <w:t>.</w:t>
      </w:r>
    </w:p>
    <w:p w14:paraId="00676B51" w14:textId="2ED0D5E2" w:rsidR="00E37785" w:rsidRPr="00885F53" w:rsidRDefault="00E37785" w:rsidP="00125AB5">
      <w:pPr>
        <w:rPr>
          <w:rFonts w:cs="v4.2.0"/>
        </w:rPr>
      </w:pPr>
      <w:r w:rsidRPr="00885F53">
        <w:rPr>
          <w:rFonts w:cs="v4.2.0"/>
        </w:rPr>
        <w:t xml:space="preserve">Cells which have been detected shall be measured at least every </w:t>
      </w:r>
      <w:r w:rsidRPr="005273C6">
        <w:t>N</w:t>
      </w:r>
      <w:r w:rsidRPr="00926016">
        <w:rPr>
          <w:vertAlign w:val="subscript"/>
        </w:rPr>
        <w:t>EUTRA_carrier_HST</w:t>
      </w:r>
      <w:r w:rsidRPr="005273C6">
        <w:t xml:space="preserve"> * T</w:t>
      </w:r>
      <w:r>
        <w:rPr>
          <w:vertAlign w:val="subscript"/>
        </w:rPr>
        <w:t>measure</w:t>
      </w:r>
      <w:r w:rsidRPr="00926016">
        <w:rPr>
          <w:vertAlign w:val="subscript"/>
        </w:rPr>
        <w:t>,EUTRAN_HST</w:t>
      </w:r>
      <w:r w:rsidRPr="005273C6">
        <w:t xml:space="preserve"> + N</w:t>
      </w:r>
      <w:r>
        <w:rPr>
          <w:vertAlign w:val="subscript"/>
        </w:rPr>
        <w:t>EUTRA_carrier</w:t>
      </w:r>
      <w:r w:rsidRPr="005273C6">
        <w:t xml:space="preserve">  * T</w:t>
      </w:r>
      <w:r>
        <w:rPr>
          <w:vertAlign w:val="subscript"/>
        </w:rPr>
        <w:t>measure,EUTRAN</w:t>
      </w:r>
      <w:r w:rsidRPr="00885F53">
        <w:rPr>
          <w:rFonts w:cs="v4.2.0"/>
        </w:rPr>
        <w:t xml:space="preserve"> when </w:t>
      </w:r>
      <w:r w:rsidRPr="00885F53">
        <w:t xml:space="preserve">Srxlev </w:t>
      </w:r>
      <w:r w:rsidRPr="00885F53">
        <w:rPr>
          <w:rFonts w:hint="eastAsia"/>
        </w:rPr>
        <w:t>≤</w:t>
      </w:r>
      <w:r w:rsidRPr="00885F53">
        <w:t xml:space="preserve"> S</w:t>
      </w:r>
      <w:r w:rsidRPr="00885F53">
        <w:rPr>
          <w:vertAlign w:val="subscript"/>
        </w:rPr>
        <w:t>nonIntraSearchP</w:t>
      </w:r>
      <w:r w:rsidRPr="00885F53">
        <w:t xml:space="preserve"> or Squal </w:t>
      </w:r>
      <w:r w:rsidRPr="00885F53">
        <w:rPr>
          <w:rFonts w:hint="eastAsia"/>
        </w:rPr>
        <w:t>≤</w:t>
      </w:r>
      <w:r w:rsidRPr="00885F53">
        <w:t xml:space="preserve"> S</w:t>
      </w:r>
      <w:r w:rsidRPr="00885F53">
        <w:rPr>
          <w:vertAlign w:val="subscript"/>
        </w:rPr>
        <w:t>nonIntraSearchQ</w:t>
      </w:r>
      <w:r w:rsidRPr="00885F53">
        <w:rPr>
          <w:rFonts w:cs="v4.2.0"/>
        </w:rPr>
        <w:t>.</w:t>
      </w:r>
    </w:p>
    <w:p w14:paraId="346E434E" w14:textId="418B5046" w:rsidR="00E738E0" w:rsidRPr="009C5807" w:rsidRDefault="00E738E0" w:rsidP="00125AB5">
      <w:r w:rsidRPr="009C5807">
        <w:t xml:space="preserve">When higher priority cells are found by the higher priority search, they shall be measured at least every </w:t>
      </w:r>
      <w:r w:rsidRPr="009C5807">
        <w:rPr>
          <w:rFonts w:cs="v4.2.0"/>
        </w:rPr>
        <w:t>T</w:t>
      </w:r>
      <w:r w:rsidRPr="009C5807">
        <w:rPr>
          <w:rFonts w:cs="v4.2.0"/>
          <w:vertAlign w:val="subscript"/>
        </w:rPr>
        <w:t>measure,</w:t>
      </w:r>
      <w:r w:rsidRPr="009C5807">
        <w:rPr>
          <w:rFonts w:cs="v4.2.0"/>
          <w:vertAlign w:val="subscript"/>
          <w:lang w:eastAsia="zh-CN"/>
        </w:rPr>
        <w:t>E</w:t>
      </w:r>
      <w:r w:rsidRPr="009C5807">
        <w:rPr>
          <w:rFonts w:cs="v4.2.0"/>
          <w:vertAlign w:val="subscript"/>
        </w:rPr>
        <w:t>UTRAN</w:t>
      </w:r>
      <w:r w:rsidRPr="009C5807">
        <w:t xml:space="preserve">. If, after detecting a cell in a higher priority search, it is determined that reselection has not occurred then the UE is not required to continuously measure the detected cell to evaluate the ongoing possibility of reselection. However, the minimum measurement filtering requirements specified later in this </w:t>
      </w:r>
      <w:r w:rsidR="0059755E" w:rsidRPr="009C5807">
        <w:t>clause</w:t>
      </w:r>
      <w:r w:rsidRPr="009C5807">
        <w:t xml:space="preserve"> shall still be met by the UE before it makes any determination that it may stop measuring the cell.</w:t>
      </w:r>
    </w:p>
    <w:p w14:paraId="0518DF9B" w14:textId="77777777" w:rsidR="00E738E0" w:rsidRPr="009C5807" w:rsidRDefault="00E738E0" w:rsidP="00125AB5">
      <w:r w:rsidRPr="009C5807">
        <w:t>If the UE detects on an inter-RAT E-UTRAN carrier a cell whose physical identity is indicated as not allowed for that carrier in the measurement control system information of the serving cell, the UE is not required to perform measurements on that cell.</w:t>
      </w:r>
    </w:p>
    <w:p w14:paraId="2646EFBD" w14:textId="77777777" w:rsidR="00E738E0" w:rsidRPr="009C5807" w:rsidRDefault="00E738E0" w:rsidP="00125AB5">
      <w:pPr>
        <w:rPr>
          <w:rFonts w:cs="v4.2.0"/>
        </w:rPr>
      </w:pPr>
      <w:r w:rsidRPr="009C5807">
        <w:t xml:space="preserve">The UE shall not consider an </w:t>
      </w:r>
      <w:r w:rsidRPr="009C5807">
        <w:rPr>
          <w:lang w:val="en-US" w:eastAsia="zh-CN"/>
        </w:rPr>
        <w:t xml:space="preserve">inter-RAT </w:t>
      </w:r>
      <w:r w:rsidRPr="009C5807">
        <w:t>E-UTRA cell in cell reselection, if it is indicated as not allowed in the measurement control system information of the serving cell.</w:t>
      </w:r>
    </w:p>
    <w:p w14:paraId="774726BB" w14:textId="77777777" w:rsidR="00EF0608" w:rsidRPr="00043DFE" w:rsidRDefault="00EF0608" w:rsidP="00EF0608">
      <w:pPr>
        <w:rPr>
          <w:rFonts w:cs="v4.2.0"/>
        </w:rPr>
      </w:pPr>
      <w:r w:rsidRPr="00043DFE">
        <w:rPr>
          <w:rFonts w:cs="v4.2.0"/>
        </w:rPr>
        <w:t xml:space="preserve">For a cell that has been already </w:t>
      </w:r>
      <w:r w:rsidRPr="005324B8">
        <w:rPr>
          <w:rFonts w:cs="v4.2.0"/>
        </w:rPr>
        <w:t xml:space="preserve">detected, but that has not been reselected to, the filtering shall be such that the UE </w:t>
      </w:r>
      <w:r w:rsidRPr="005324B8">
        <w:rPr>
          <w:rFonts w:eastAsia="PMingLiU" w:cs="v4.2.0" w:hint="eastAsia"/>
          <w:lang w:eastAsia="zh-TW"/>
        </w:rPr>
        <w:t>i</w:t>
      </w:r>
      <w:r w:rsidRPr="005324B8">
        <w:rPr>
          <w:rFonts w:eastAsia="PMingLiU" w:cs="v4.2.0"/>
          <w:lang w:eastAsia="zh-TW"/>
        </w:rPr>
        <w:t>s not configured with e</w:t>
      </w:r>
      <w:r w:rsidRPr="005324B8">
        <w:rPr>
          <w:rFonts w:cs="v4.2.0"/>
        </w:rPr>
        <w:t>DRX_IDLE cy</w:t>
      </w:r>
      <w:r w:rsidRPr="00043DFE">
        <w:rPr>
          <w:rFonts w:cs="v4.2.0"/>
        </w:rPr>
        <w:t xml:space="preserve">cle shall be capable of evaluating that an already identified </w:t>
      </w:r>
      <w:r w:rsidRPr="00043DFE">
        <w:rPr>
          <w:rFonts w:cs="v4.2.0"/>
          <w:lang w:eastAsia="zh-CN"/>
        </w:rPr>
        <w:t>inter-RAT E-</w:t>
      </w:r>
      <w:r w:rsidRPr="00043DFE">
        <w:rPr>
          <w:rFonts w:cs="v4.2.0"/>
        </w:rPr>
        <w:t>UTRA cell has met reselection criterion defined in TS 3</w:t>
      </w:r>
      <w:r w:rsidRPr="00043DFE">
        <w:rPr>
          <w:rFonts w:cs="v4.2.0"/>
          <w:lang w:eastAsia="zh-CN"/>
        </w:rPr>
        <w:t>8</w:t>
      </w:r>
      <w:r w:rsidRPr="00043DFE">
        <w:rPr>
          <w:rFonts w:cs="v4.2.0"/>
        </w:rPr>
        <w:t xml:space="preserve">.304 [1] within </w:t>
      </w:r>
      <w:r w:rsidRPr="00043DFE">
        <w:t>N</w:t>
      </w:r>
      <w:r w:rsidRPr="00043DFE">
        <w:rPr>
          <w:vertAlign w:val="subscript"/>
        </w:rPr>
        <w:t>EUTRA_carrier_HST</w:t>
      </w:r>
      <w:r w:rsidRPr="00043DFE">
        <w:t xml:space="preserve"> * T</w:t>
      </w:r>
      <w:r w:rsidRPr="00043DFE">
        <w:rPr>
          <w:vertAlign w:val="subscript"/>
        </w:rPr>
        <w:t>evaluate,EUTRAN_HST</w:t>
      </w:r>
      <w:r w:rsidRPr="00043DFE">
        <w:t xml:space="preserve"> + N</w:t>
      </w:r>
      <w:r w:rsidRPr="00043DFE">
        <w:rPr>
          <w:vertAlign w:val="subscript"/>
        </w:rPr>
        <w:t>EUTRA_carrier</w:t>
      </w:r>
      <w:r w:rsidRPr="00043DFE">
        <w:t xml:space="preserve">  * T</w:t>
      </w:r>
      <w:r w:rsidRPr="00043DFE">
        <w:rPr>
          <w:vertAlign w:val="subscript"/>
        </w:rPr>
        <w:t xml:space="preserve"> evaluate,EUTRAN</w:t>
      </w:r>
      <w:r w:rsidRPr="00043DFE">
        <w:rPr>
          <w:rFonts w:cs="v4.2.0"/>
        </w:rPr>
        <w:t xml:space="preserve"> when T</w:t>
      </w:r>
      <w:r w:rsidRPr="00043DFE">
        <w:rPr>
          <w:rFonts w:cs="v4.2.0"/>
          <w:vertAlign w:val="subscript"/>
        </w:rPr>
        <w:t>reselection</w:t>
      </w:r>
      <w:r w:rsidRPr="00043DFE">
        <w:rPr>
          <w:rFonts w:cs="v4.2.0"/>
        </w:rPr>
        <w:t xml:space="preserve"> = 0</w:t>
      </w:r>
      <w:r w:rsidRPr="00043DFE">
        <w:rPr>
          <w:rFonts w:cs="v4.2.0"/>
          <w:i/>
          <w:vertAlign w:val="subscript"/>
        </w:rPr>
        <w:t xml:space="preserve"> </w:t>
      </w:r>
      <w:r w:rsidRPr="00043DFE">
        <w:rPr>
          <w:rFonts w:cs="v4.2.0"/>
        </w:rPr>
        <w:t>as speficied in table 4.2.2.5-1 and 4.2.2.5-2 provided that the reselection criteria is met by a margin of at least 6dB for RSRP reselections based on absolute priorities or 4dB for RSRQ reselections based on absolute priorities.</w:t>
      </w:r>
    </w:p>
    <w:p w14:paraId="7FA5D302" w14:textId="77777777" w:rsidR="00EF0608" w:rsidRPr="00043DFE" w:rsidRDefault="00EF0608" w:rsidP="00EF0608">
      <w:pPr>
        <w:rPr>
          <w:rFonts w:cs="v4.2.0"/>
          <w:lang w:eastAsia="zh-CN"/>
        </w:rPr>
      </w:pPr>
      <w:r w:rsidRPr="00043DFE">
        <w:rPr>
          <w:rFonts w:cs="v4.2.0"/>
        </w:rPr>
        <w:t xml:space="preserve">For a cell that has been already detected, but that has not been reselected to, the filtering shall be such that the UE is configured with eDRX_IDLE cycle shall be capable of evaluating that an already identified </w:t>
      </w:r>
      <w:r w:rsidRPr="00043DFE">
        <w:rPr>
          <w:rFonts w:cs="v4.2.0"/>
          <w:lang w:eastAsia="zh-CN"/>
        </w:rPr>
        <w:t>inter-RAT E-</w:t>
      </w:r>
      <w:r w:rsidRPr="00043DFE">
        <w:rPr>
          <w:rFonts w:cs="v4.2.0"/>
        </w:rPr>
        <w:t>UTRA cell has met reselection criterion defined in TS 3</w:t>
      </w:r>
      <w:r w:rsidRPr="00043DFE">
        <w:rPr>
          <w:rFonts w:cs="v4.2.0"/>
          <w:lang w:eastAsia="zh-CN"/>
        </w:rPr>
        <w:t>8</w:t>
      </w:r>
      <w:r w:rsidRPr="00043DFE">
        <w:rPr>
          <w:rFonts w:cs="v4.2.0"/>
        </w:rPr>
        <w:t xml:space="preserve">.304 [1] within </w:t>
      </w:r>
      <w:r w:rsidRPr="00043DFE">
        <w:t>N</w:t>
      </w:r>
      <w:r w:rsidRPr="00043DFE">
        <w:rPr>
          <w:vertAlign w:val="subscript"/>
        </w:rPr>
        <w:t>EUTRA_carrier</w:t>
      </w:r>
      <w:r w:rsidRPr="00043DFE">
        <w:t xml:space="preserve">  * T</w:t>
      </w:r>
      <w:r w:rsidRPr="00043DFE">
        <w:rPr>
          <w:vertAlign w:val="subscript"/>
        </w:rPr>
        <w:t xml:space="preserve"> evaluate,EUTRAN</w:t>
      </w:r>
      <w:r w:rsidRPr="00043DFE">
        <w:rPr>
          <w:rFonts w:cs="v4.2.0"/>
        </w:rPr>
        <w:t xml:space="preserve"> when T</w:t>
      </w:r>
      <w:r w:rsidRPr="00043DFE">
        <w:rPr>
          <w:rFonts w:cs="v4.2.0"/>
          <w:vertAlign w:val="subscript"/>
        </w:rPr>
        <w:t>reselection</w:t>
      </w:r>
      <w:r w:rsidRPr="00043DFE">
        <w:rPr>
          <w:rFonts w:cs="v4.2.0"/>
        </w:rPr>
        <w:t xml:space="preserve"> = 0</w:t>
      </w:r>
      <w:r w:rsidRPr="00043DFE">
        <w:rPr>
          <w:rFonts w:cs="v4.2.0"/>
          <w:i/>
          <w:vertAlign w:val="subscript"/>
        </w:rPr>
        <w:t xml:space="preserve"> </w:t>
      </w:r>
      <w:r w:rsidRPr="00043DFE">
        <w:rPr>
          <w:rFonts w:cs="v4.2.0"/>
        </w:rPr>
        <w:t>as speficied in table 4.2.2.5-3 provided that the reselection criteria is met by a margin of at least 6dB for RSRP reselections based on absolute priorities or 4dB for RSRQ reselections based on absolute priorities.</w:t>
      </w:r>
    </w:p>
    <w:p w14:paraId="179CF654" w14:textId="77777777" w:rsidR="00EF0608" w:rsidRPr="00043DFE" w:rsidRDefault="00EF0608" w:rsidP="00EF0608">
      <w:pPr>
        <w:rPr>
          <w:rFonts w:cs="v3.7.0"/>
        </w:rPr>
      </w:pPr>
      <w:r w:rsidRPr="00043DFE">
        <w:rPr>
          <w:rFonts w:cs="v3.7.0"/>
        </w:rPr>
        <w:t xml:space="preserve">If </w:t>
      </w:r>
      <w:r w:rsidRPr="00043DFE">
        <w:rPr>
          <w:rFonts w:cs="v4.2.0"/>
        </w:rPr>
        <w:t>T</w:t>
      </w:r>
      <w:r w:rsidRPr="00043DFE">
        <w:rPr>
          <w:rFonts w:cs="v4.2.0"/>
          <w:vertAlign w:val="subscript"/>
        </w:rPr>
        <w:t>reselection</w:t>
      </w:r>
      <w:r w:rsidRPr="00043DFE">
        <w:rPr>
          <w:rFonts w:cs="v3.7.0"/>
        </w:rPr>
        <w:t xml:space="preserve"> timer has a non zero value and the </w:t>
      </w:r>
      <w:r w:rsidRPr="00043DFE">
        <w:rPr>
          <w:rFonts w:cs="v4.2.0"/>
          <w:lang w:eastAsia="zh-CN"/>
        </w:rPr>
        <w:t>inter-RAT E-</w:t>
      </w:r>
      <w:r w:rsidRPr="00043DFE">
        <w:rPr>
          <w:rFonts w:cs="v4.2.0"/>
        </w:rPr>
        <w:t>UTRA</w:t>
      </w:r>
      <w:r w:rsidRPr="00043DFE">
        <w:rPr>
          <w:rFonts w:cs="v3.7.0"/>
        </w:rPr>
        <w:t xml:space="preserve"> cell is satisfied with the reselection criteria which are defined in </w:t>
      </w:r>
      <w:r w:rsidRPr="00043DFE">
        <w:t>TS 38.304</w:t>
      </w:r>
      <w:r w:rsidRPr="00043DFE">
        <w:rPr>
          <w:rFonts w:cs="v4.2.0"/>
        </w:rPr>
        <w:t> </w:t>
      </w:r>
      <w:r w:rsidRPr="00043DFE">
        <w:rPr>
          <w:rFonts w:cs="v3.7.0"/>
        </w:rPr>
        <w:t xml:space="preserve">[1], the UE shall evaluate this </w:t>
      </w:r>
      <w:r w:rsidRPr="00043DFE">
        <w:rPr>
          <w:rFonts w:cs="v3.7.0"/>
          <w:lang w:eastAsia="zh-CN"/>
        </w:rPr>
        <w:t>E-</w:t>
      </w:r>
      <w:r w:rsidRPr="00043DFE">
        <w:rPr>
          <w:rFonts w:cs="v3.7.0"/>
        </w:rPr>
        <w:t xml:space="preserve">UTRA cell for the </w:t>
      </w:r>
      <w:r w:rsidRPr="00043DFE">
        <w:rPr>
          <w:rFonts w:cs="v4.2.0"/>
        </w:rPr>
        <w:t>T</w:t>
      </w:r>
      <w:r w:rsidRPr="00043DFE">
        <w:rPr>
          <w:rFonts w:cs="v4.2.0"/>
          <w:vertAlign w:val="subscript"/>
        </w:rPr>
        <w:t>reselection</w:t>
      </w:r>
      <w:r w:rsidRPr="00043DFE">
        <w:rPr>
          <w:rFonts w:cs="v3.7.0"/>
        </w:rPr>
        <w:t xml:space="preserve"> time. If this cell remains satisfied with the reselection criteria within this duration, then the UE shall reselect that cell.</w:t>
      </w:r>
    </w:p>
    <w:p w14:paraId="7BA2BF11" w14:textId="77777777" w:rsidR="00EF0608" w:rsidRPr="00043DFE" w:rsidRDefault="00EF0608" w:rsidP="00EF0608">
      <w:pPr>
        <w:rPr>
          <w:rFonts w:cs="v4.2.0"/>
          <w:lang w:eastAsia="zh-CN"/>
        </w:rPr>
      </w:pPr>
      <w:r w:rsidRPr="00043DFE">
        <w:rPr>
          <w:rFonts w:cs="v4.2.0"/>
          <w:lang w:eastAsia="zh-CN"/>
        </w:rPr>
        <w:t xml:space="preserve">For UE not configured with eDRX_IDLE cycle, </w:t>
      </w:r>
      <w:r w:rsidRPr="00043DFE">
        <w:t>T</w:t>
      </w:r>
      <w:r w:rsidRPr="00043DFE">
        <w:rPr>
          <w:vertAlign w:val="subscript"/>
        </w:rPr>
        <w:t>detect,EUTRAN,</w:t>
      </w:r>
      <w:r w:rsidRPr="00043DFE">
        <w:t xml:space="preserve"> T</w:t>
      </w:r>
      <w:r w:rsidRPr="00043DFE">
        <w:rPr>
          <w:vertAlign w:val="subscript"/>
        </w:rPr>
        <w:t xml:space="preserve">measure,EUTRAN </w:t>
      </w:r>
      <w:r w:rsidRPr="00043DFE">
        <w:t>and T</w:t>
      </w:r>
      <w:r w:rsidRPr="00043DFE">
        <w:rPr>
          <w:vertAlign w:val="subscript"/>
        </w:rPr>
        <w:t xml:space="preserve">evaluate, E-UTRAN </w:t>
      </w:r>
      <w:r w:rsidRPr="00043DFE">
        <w:rPr>
          <w:rFonts w:cs="v4.2.0"/>
          <w:lang w:eastAsia="zh-CN"/>
        </w:rPr>
        <w:t xml:space="preserve">are specified in </w:t>
      </w:r>
      <w:r w:rsidRPr="00043DFE">
        <w:rPr>
          <w:snapToGrid w:val="0"/>
        </w:rPr>
        <w:t xml:space="preserve">Table 4.2.2.5-1 and </w:t>
      </w:r>
      <w:r w:rsidRPr="00043DFE">
        <w:rPr>
          <w:rFonts w:cs="v4.2.0"/>
        </w:rPr>
        <w:t>.</w:t>
      </w:r>
      <w:r w:rsidRPr="00043DFE">
        <w:rPr>
          <w:snapToGrid w:val="0"/>
        </w:rPr>
        <w:t xml:space="preserve"> 4.2.2.5-2</w:t>
      </w:r>
      <w:r w:rsidRPr="00043DFE">
        <w:rPr>
          <w:rFonts w:cs="v4.2.0"/>
          <w:lang w:eastAsia="zh-CN"/>
        </w:rPr>
        <w:t xml:space="preserve"> </w:t>
      </w:r>
    </w:p>
    <w:p w14:paraId="4E693538" w14:textId="2D88E51D" w:rsidR="00E738E0" w:rsidRPr="009C5807" w:rsidRDefault="00EF0608" w:rsidP="00EF0608">
      <w:pPr>
        <w:rPr>
          <w:rFonts w:cs="v4.2.0"/>
        </w:rPr>
      </w:pPr>
      <w:r w:rsidRPr="00043DFE">
        <w:rPr>
          <w:rFonts w:cs="v4.2.0"/>
          <w:lang w:eastAsia="zh-CN"/>
        </w:rPr>
        <w:t xml:space="preserve">For UE configured with eDRX_IDLE cycle, </w:t>
      </w:r>
      <w:r w:rsidRPr="00043DFE">
        <w:t>T</w:t>
      </w:r>
      <w:r w:rsidRPr="00043DFE">
        <w:rPr>
          <w:vertAlign w:val="subscript"/>
        </w:rPr>
        <w:t>detect,EUTRAN,</w:t>
      </w:r>
      <w:r w:rsidRPr="00043DFE">
        <w:t xml:space="preserve"> T</w:t>
      </w:r>
      <w:r w:rsidRPr="00043DFE">
        <w:rPr>
          <w:vertAlign w:val="subscript"/>
        </w:rPr>
        <w:t xml:space="preserve">measure,EUTRAN </w:t>
      </w:r>
      <w:r w:rsidRPr="00043DFE">
        <w:t>and T</w:t>
      </w:r>
      <w:r w:rsidRPr="00043DFE">
        <w:rPr>
          <w:vertAlign w:val="subscript"/>
        </w:rPr>
        <w:t>evaluate, E-UTRAN</w:t>
      </w:r>
      <w:r w:rsidRPr="00043DFE">
        <w:rPr>
          <w:rFonts w:cs="v4.2.0"/>
          <w:lang w:eastAsia="zh-CN"/>
        </w:rPr>
        <w:t xml:space="preserve"> are specified in </w:t>
      </w:r>
      <w:r w:rsidRPr="00043DFE">
        <w:rPr>
          <w:snapToGrid w:val="0"/>
        </w:rPr>
        <w:t>Table 4.2.2.5-3</w:t>
      </w:r>
      <w:r w:rsidRPr="00043DFE">
        <w:rPr>
          <w:rFonts w:cs="v4.2.0"/>
          <w:lang w:eastAsia="zh-CN"/>
        </w:rPr>
        <w:t xml:space="preserve">, where the requirements apply provided that the serving cell is </w:t>
      </w:r>
      <w:r w:rsidRPr="00043DFE">
        <w:rPr>
          <w:rFonts w:cs="v4.2.0"/>
        </w:rPr>
        <w:t xml:space="preserve">configured with eDRX_IDLE and is </w:t>
      </w:r>
      <w:r w:rsidRPr="00043DFE">
        <w:rPr>
          <w:rFonts w:cs="v4.2.0"/>
          <w:lang w:eastAsia="zh-CN"/>
        </w:rPr>
        <w:t xml:space="preserve">the same in all PTWs during any of </w:t>
      </w:r>
      <w:r w:rsidRPr="00043DFE">
        <w:t>T</w:t>
      </w:r>
      <w:r w:rsidRPr="00043DFE">
        <w:rPr>
          <w:vertAlign w:val="subscript"/>
        </w:rPr>
        <w:t>detect,EUTRAN,</w:t>
      </w:r>
      <w:r w:rsidRPr="00043DFE">
        <w:t xml:space="preserve"> T</w:t>
      </w:r>
      <w:r w:rsidRPr="00043DFE">
        <w:rPr>
          <w:vertAlign w:val="subscript"/>
        </w:rPr>
        <w:t xml:space="preserve">measure,EUTRAN </w:t>
      </w:r>
      <w:r w:rsidRPr="00043DFE">
        <w:t>and T</w:t>
      </w:r>
      <w:r w:rsidRPr="00043DFE">
        <w:rPr>
          <w:vertAlign w:val="subscript"/>
        </w:rPr>
        <w:t>evaluate, E-UTRAN</w:t>
      </w:r>
      <w:r w:rsidRPr="00043DFE">
        <w:t xml:space="preserve"> when multiple PTWs are used.</w:t>
      </w:r>
    </w:p>
    <w:p w14:paraId="352B94B0" w14:textId="77777777" w:rsidR="00E738E0" w:rsidRPr="009C5807" w:rsidRDefault="00E738E0" w:rsidP="00E738E0">
      <w:pPr>
        <w:pStyle w:val="TH"/>
        <w:rPr>
          <w:rFonts w:cs="v4.2.0"/>
          <w:vertAlign w:val="subscript"/>
          <w:lang w:eastAsia="zh-CN"/>
        </w:rPr>
      </w:pPr>
      <w:r w:rsidRPr="009C5807">
        <w:rPr>
          <w:snapToGrid w:val="0"/>
        </w:rPr>
        <w:t xml:space="preserve">Table 4.2.2.5-1: </w:t>
      </w:r>
      <w:r w:rsidRPr="009C5807">
        <w:t>T</w:t>
      </w:r>
      <w:r w:rsidRPr="009C5807">
        <w:rPr>
          <w:vertAlign w:val="subscript"/>
        </w:rPr>
        <w:t>detect,</w:t>
      </w:r>
      <w:r w:rsidRPr="009C5807">
        <w:rPr>
          <w:vertAlign w:val="subscript"/>
          <w:lang w:eastAsia="zh-CN"/>
        </w:rPr>
        <w:t>E</w:t>
      </w:r>
      <w:r w:rsidRPr="009C5807">
        <w:rPr>
          <w:vertAlign w:val="subscript"/>
        </w:rPr>
        <w:t>UTRAN</w:t>
      </w:r>
      <w:r w:rsidRPr="009C5807">
        <w:rPr>
          <w:snapToGrid w:val="0"/>
        </w:rPr>
        <w:t xml:space="preserve">, </w:t>
      </w:r>
      <w:r w:rsidRPr="009C5807">
        <w:t>T</w:t>
      </w:r>
      <w:r w:rsidRPr="009C5807">
        <w:rPr>
          <w:vertAlign w:val="subscript"/>
        </w:rPr>
        <w:t>measure,</w:t>
      </w:r>
      <w:r w:rsidRPr="009C5807">
        <w:rPr>
          <w:vertAlign w:val="subscript"/>
          <w:lang w:eastAsia="zh-CN"/>
        </w:rPr>
        <w:t>E</w:t>
      </w:r>
      <w:r w:rsidRPr="009C5807">
        <w:rPr>
          <w:vertAlign w:val="subscript"/>
        </w:rPr>
        <w:t>UTRAN,</w:t>
      </w:r>
      <w:r w:rsidRPr="009C5807">
        <w:t xml:space="preserve"> and </w:t>
      </w:r>
      <w:r w:rsidRPr="009C5807">
        <w:rPr>
          <w:rFonts w:cs="v4.2.0"/>
        </w:rPr>
        <w:t>T</w:t>
      </w:r>
      <w:r w:rsidRPr="009C5807">
        <w:rPr>
          <w:rFonts w:cs="v4.2.0"/>
          <w:vertAlign w:val="subscript"/>
        </w:rPr>
        <w:t>evaluate,</w:t>
      </w:r>
      <w:r w:rsidRPr="009C5807">
        <w:rPr>
          <w:rFonts w:cs="v4.2.0"/>
          <w:vertAlign w:val="subscript"/>
          <w:lang w:eastAsia="zh-CN"/>
        </w:rPr>
        <w:t>E</w:t>
      </w:r>
      <w:r w:rsidRPr="009C5807">
        <w:rPr>
          <w:rFonts w:cs="v4.2.0"/>
          <w:vertAlign w:val="subscript"/>
        </w:rPr>
        <w:t>UTRAN</w:t>
      </w:r>
    </w:p>
    <w:tbl>
      <w:tblPr>
        <w:tblW w:w="30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1498"/>
        <w:gridCol w:w="1636"/>
        <w:gridCol w:w="2066"/>
      </w:tblGrid>
      <w:tr w:rsidR="00885F53" w:rsidRPr="009C5807" w14:paraId="3817102A" w14:textId="77777777" w:rsidTr="00F15152">
        <w:trPr>
          <w:cantSplit/>
          <w:jc w:val="center"/>
        </w:trPr>
        <w:tc>
          <w:tcPr>
            <w:tcW w:w="620" w:type="pct"/>
            <w:tcBorders>
              <w:top w:val="single" w:sz="4" w:space="0" w:color="auto"/>
              <w:left w:val="single" w:sz="4" w:space="0" w:color="auto"/>
              <w:bottom w:val="single" w:sz="4" w:space="0" w:color="auto"/>
              <w:right w:val="single" w:sz="4" w:space="0" w:color="auto"/>
            </w:tcBorders>
            <w:hideMark/>
          </w:tcPr>
          <w:p w14:paraId="63F3FAA1" w14:textId="77777777" w:rsidR="00E738E0" w:rsidRPr="009C5807" w:rsidRDefault="00E738E0" w:rsidP="00AB5131">
            <w:pPr>
              <w:pStyle w:val="TAH"/>
              <w:rPr>
                <w:rFonts w:cs="Arial"/>
                <w:snapToGrid w:val="0"/>
              </w:rPr>
            </w:pPr>
            <w:r w:rsidRPr="009C5807">
              <w:t>DRX cycle length [s]</w:t>
            </w:r>
          </w:p>
        </w:tc>
        <w:tc>
          <w:tcPr>
            <w:tcW w:w="1263" w:type="pct"/>
            <w:tcBorders>
              <w:top w:val="single" w:sz="4" w:space="0" w:color="auto"/>
              <w:left w:val="single" w:sz="4" w:space="0" w:color="auto"/>
              <w:bottom w:val="single" w:sz="4" w:space="0" w:color="auto"/>
              <w:right w:val="single" w:sz="4" w:space="0" w:color="auto"/>
            </w:tcBorders>
            <w:hideMark/>
          </w:tcPr>
          <w:p w14:paraId="21E2D266" w14:textId="77777777" w:rsidR="00E738E0" w:rsidRPr="009C5807" w:rsidRDefault="00E738E0" w:rsidP="00AB5131">
            <w:pPr>
              <w:pStyle w:val="TAH"/>
              <w:rPr>
                <w:rFonts w:cs="Arial"/>
              </w:rPr>
            </w:pPr>
            <w:r w:rsidRPr="009C5807">
              <w:t>T</w:t>
            </w:r>
            <w:r w:rsidRPr="009C5807">
              <w:rPr>
                <w:vertAlign w:val="subscript"/>
              </w:rPr>
              <w:t>detect,EUTRAN</w:t>
            </w:r>
            <w:r w:rsidRPr="009C5807">
              <w:t xml:space="preserve"> [s] (number of DRX cycles)</w:t>
            </w:r>
          </w:p>
        </w:tc>
        <w:tc>
          <w:tcPr>
            <w:tcW w:w="1378" w:type="pct"/>
            <w:tcBorders>
              <w:top w:val="single" w:sz="4" w:space="0" w:color="auto"/>
              <w:left w:val="single" w:sz="4" w:space="0" w:color="auto"/>
              <w:bottom w:val="single" w:sz="4" w:space="0" w:color="auto"/>
              <w:right w:val="single" w:sz="4" w:space="0" w:color="auto"/>
            </w:tcBorders>
            <w:hideMark/>
          </w:tcPr>
          <w:p w14:paraId="15AE59B7" w14:textId="77777777" w:rsidR="00E738E0" w:rsidRPr="009C5807" w:rsidRDefault="00E738E0" w:rsidP="00AB5131">
            <w:pPr>
              <w:pStyle w:val="TAH"/>
              <w:rPr>
                <w:rFonts w:cs="Arial"/>
                <w:snapToGrid w:val="0"/>
              </w:rPr>
            </w:pPr>
            <w:r w:rsidRPr="009C5807">
              <w:t>T</w:t>
            </w:r>
            <w:r w:rsidRPr="009C5807">
              <w:rPr>
                <w:vertAlign w:val="subscript"/>
              </w:rPr>
              <w:t>measure,EUTRAN</w:t>
            </w:r>
            <w:r w:rsidRPr="009C5807">
              <w:t xml:space="preserve"> [s] (number of DRX cycles)</w:t>
            </w:r>
          </w:p>
        </w:tc>
        <w:tc>
          <w:tcPr>
            <w:tcW w:w="1739" w:type="pct"/>
            <w:tcBorders>
              <w:top w:val="single" w:sz="4" w:space="0" w:color="auto"/>
              <w:left w:val="single" w:sz="4" w:space="0" w:color="auto"/>
              <w:bottom w:val="single" w:sz="4" w:space="0" w:color="auto"/>
              <w:right w:val="single" w:sz="4" w:space="0" w:color="auto"/>
            </w:tcBorders>
            <w:hideMark/>
          </w:tcPr>
          <w:p w14:paraId="5CB47FF8" w14:textId="77777777" w:rsidR="00E738E0" w:rsidRPr="009C5807" w:rsidRDefault="00E738E0" w:rsidP="00AB5131">
            <w:pPr>
              <w:pStyle w:val="TAH"/>
              <w:rPr>
                <w:rFonts w:cs="Arial"/>
                <w:vertAlign w:val="subscript"/>
                <w:lang w:eastAsia="zh-CN"/>
              </w:rPr>
            </w:pPr>
            <w:r w:rsidRPr="009C5807">
              <w:t>T</w:t>
            </w:r>
            <w:r w:rsidRPr="009C5807">
              <w:rPr>
                <w:vertAlign w:val="subscript"/>
              </w:rPr>
              <w:t>evaluate,EUTRAN</w:t>
            </w:r>
          </w:p>
          <w:p w14:paraId="139E39AB" w14:textId="77777777" w:rsidR="00E738E0" w:rsidRPr="009C5807" w:rsidRDefault="00E738E0" w:rsidP="00AB5131">
            <w:pPr>
              <w:pStyle w:val="TAH"/>
              <w:rPr>
                <w:rFonts w:cs="Arial"/>
              </w:rPr>
            </w:pPr>
            <w:r w:rsidRPr="009C5807">
              <w:rPr>
                <w:rFonts w:cs="Arial"/>
              </w:rPr>
              <w:t>[s] (number of DRX cycles)</w:t>
            </w:r>
          </w:p>
        </w:tc>
      </w:tr>
      <w:tr w:rsidR="00885F53" w:rsidRPr="009C5807" w14:paraId="7655AC32" w14:textId="77777777" w:rsidTr="00F15152">
        <w:trPr>
          <w:cantSplit/>
          <w:jc w:val="center"/>
        </w:trPr>
        <w:tc>
          <w:tcPr>
            <w:tcW w:w="620" w:type="pct"/>
            <w:tcBorders>
              <w:top w:val="single" w:sz="4" w:space="0" w:color="auto"/>
              <w:left w:val="single" w:sz="4" w:space="0" w:color="auto"/>
              <w:bottom w:val="single" w:sz="4" w:space="0" w:color="auto"/>
              <w:right w:val="single" w:sz="4" w:space="0" w:color="auto"/>
            </w:tcBorders>
            <w:hideMark/>
          </w:tcPr>
          <w:p w14:paraId="67D3FA31" w14:textId="77777777" w:rsidR="00E738E0" w:rsidRPr="009C5807" w:rsidRDefault="00E738E0" w:rsidP="00AB5131">
            <w:pPr>
              <w:pStyle w:val="TAC"/>
              <w:rPr>
                <w:snapToGrid w:val="0"/>
              </w:rPr>
            </w:pPr>
            <w:r w:rsidRPr="009C5807">
              <w:t>0.32</w:t>
            </w:r>
          </w:p>
        </w:tc>
        <w:tc>
          <w:tcPr>
            <w:tcW w:w="1263" w:type="pct"/>
            <w:tcBorders>
              <w:top w:val="single" w:sz="4" w:space="0" w:color="auto"/>
              <w:left w:val="single" w:sz="4" w:space="0" w:color="auto"/>
              <w:bottom w:val="single" w:sz="4" w:space="0" w:color="auto"/>
              <w:right w:val="single" w:sz="4" w:space="0" w:color="auto"/>
            </w:tcBorders>
            <w:hideMark/>
          </w:tcPr>
          <w:p w14:paraId="4A3208F6" w14:textId="77777777" w:rsidR="00E738E0" w:rsidRPr="009C5807" w:rsidRDefault="00E738E0" w:rsidP="00AB5131">
            <w:pPr>
              <w:pStyle w:val="TAC"/>
              <w:rPr>
                <w:snapToGrid w:val="0"/>
              </w:rPr>
            </w:pPr>
            <w:r w:rsidRPr="009C5807">
              <w:t>11.52 (36)</w:t>
            </w:r>
          </w:p>
        </w:tc>
        <w:tc>
          <w:tcPr>
            <w:tcW w:w="1378" w:type="pct"/>
            <w:tcBorders>
              <w:top w:val="single" w:sz="4" w:space="0" w:color="auto"/>
              <w:left w:val="single" w:sz="4" w:space="0" w:color="auto"/>
              <w:bottom w:val="single" w:sz="4" w:space="0" w:color="auto"/>
              <w:right w:val="single" w:sz="4" w:space="0" w:color="auto"/>
            </w:tcBorders>
            <w:hideMark/>
          </w:tcPr>
          <w:p w14:paraId="7C8E9311" w14:textId="77777777" w:rsidR="00E738E0" w:rsidRPr="009C5807" w:rsidRDefault="00E738E0" w:rsidP="00AB5131">
            <w:pPr>
              <w:pStyle w:val="TAC"/>
              <w:rPr>
                <w:snapToGrid w:val="0"/>
              </w:rPr>
            </w:pPr>
            <w:r w:rsidRPr="009C5807">
              <w:rPr>
                <w:snapToGrid w:val="0"/>
              </w:rPr>
              <w:t>1.28 (4)</w:t>
            </w:r>
          </w:p>
        </w:tc>
        <w:tc>
          <w:tcPr>
            <w:tcW w:w="1739" w:type="pct"/>
            <w:tcBorders>
              <w:top w:val="single" w:sz="4" w:space="0" w:color="auto"/>
              <w:left w:val="single" w:sz="4" w:space="0" w:color="auto"/>
              <w:bottom w:val="single" w:sz="4" w:space="0" w:color="auto"/>
              <w:right w:val="single" w:sz="4" w:space="0" w:color="auto"/>
            </w:tcBorders>
            <w:hideMark/>
          </w:tcPr>
          <w:p w14:paraId="04ACDAE1" w14:textId="77777777" w:rsidR="00E738E0" w:rsidRPr="009C5807" w:rsidRDefault="00E738E0" w:rsidP="00AB5131">
            <w:pPr>
              <w:pStyle w:val="TAC"/>
              <w:rPr>
                <w:snapToGrid w:val="0"/>
              </w:rPr>
            </w:pPr>
            <w:r w:rsidRPr="009C5807">
              <w:t>5.12 (16)</w:t>
            </w:r>
          </w:p>
        </w:tc>
      </w:tr>
      <w:tr w:rsidR="00885F53" w:rsidRPr="009C5807" w14:paraId="32F78A5C" w14:textId="77777777" w:rsidTr="00F15152">
        <w:trPr>
          <w:cantSplit/>
          <w:jc w:val="center"/>
        </w:trPr>
        <w:tc>
          <w:tcPr>
            <w:tcW w:w="620" w:type="pct"/>
            <w:tcBorders>
              <w:top w:val="single" w:sz="4" w:space="0" w:color="auto"/>
              <w:left w:val="single" w:sz="4" w:space="0" w:color="auto"/>
              <w:bottom w:val="single" w:sz="4" w:space="0" w:color="auto"/>
              <w:right w:val="single" w:sz="4" w:space="0" w:color="auto"/>
            </w:tcBorders>
            <w:hideMark/>
          </w:tcPr>
          <w:p w14:paraId="4FBBFEC9" w14:textId="77777777" w:rsidR="00E738E0" w:rsidRPr="009C5807" w:rsidRDefault="00E738E0" w:rsidP="00AB5131">
            <w:pPr>
              <w:pStyle w:val="TAC"/>
              <w:rPr>
                <w:snapToGrid w:val="0"/>
              </w:rPr>
            </w:pPr>
            <w:r w:rsidRPr="009C5807">
              <w:t>0.64</w:t>
            </w:r>
          </w:p>
        </w:tc>
        <w:tc>
          <w:tcPr>
            <w:tcW w:w="1263" w:type="pct"/>
            <w:tcBorders>
              <w:top w:val="single" w:sz="4" w:space="0" w:color="auto"/>
              <w:left w:val="single" w:sz="4" w:space="0" w:color="auto"/>
              <w:bottom w:val="single" w:sz="4" w:space="0" w:color="auto"/>
              <w:right w:val="single" w:sz="4" w:space="0" w:color="auto"/>
            </w:tcBorders>
            <w:hideMark/>
          </w:tcPr>
          <w:p w14:paraId="7A2A5256" w14:textId="77777777" w:rsidR="00E738E0" w:rsidRPr="009C5807" w:rsidRDefault="00E738E0" w:rsidP="00AB5131">
            <w:pPr>
              <w:pStyle w:val="TAC"/>
              <w:rPr>
                <w:snapToGrid w:val="0"/>
              </w:rPr>
            </w:pPr>
            <w:r w:rsidRPr="009C5807">
              <w:t>17.92 (28)</w:t>
            </w:r>
          </w:p>
        </w:tc>
        <w:tc>
          <w:tcPr>
            <w:tcW w:w="1378" w:type="pct"/>
            <w:tcBorders>
              <w:top w:val="single" w:sz="4" w:space="0" w:color="auto"/>
              <w:left w:val="single" w:sz="4" w:space="0" w:color="auto"/>
              <w:bottom w:val="single" w:sz="4" w:space="0" w:color="auto"/>
              <w:right w:val="single" w:sz="4" w:space="0" w:color="auto"/>
            </w:tcBorders>
            <w:hideMark/>
          </w:tcPr>
          <w:p w14:paraId="44A5ADF8" w14:textId="77777777" w:rsidR="00E738E0" w:rsidRPr="009C5807" w:rsidRDefault="00E738E0" w:rsidP="00AB5131">
            <w:pPr>
              <w:pStyle w:val="TAC"/>
              <w:rPr>
                <w:snapToGrid w:val="0"/>
              </w:rPr>
            </w:pPr>
            <w:r w:rsidRPr="009C5807">
              <w:rPr>
                <w:snapToGrid w:val="0"/>
              </w:rPr>
              <w:t>1.28 (2)</w:t>
            </w:r>
          </w:p>
        </w:tc>
        <w:tc>
          <w:tcPr>
            <w:tcW w:w="1739" w:type="pct"/>
            <w:tcBorders>
              <w:top w:val="single" w:sz="4" w:space="0" w:color="auto"/>
              <w:left w:val="single" w:sz="4" w:space="0" w:color="auto"/>
              <w:bottom w:val="single" w:sz="4" w:space="0" w:color="auto"/>
              <w:right w:val="single" w:sz="4" w:space="0" w:color="auto"/>
            </w:tcBorders>
            <w:hideMark/>
          </w:tcPr>
          <w:p w14:paraId="230FDF55" w14:textId="77777777" w:rsidR="00E738E0" w:rsidRPr="009C5807" w:rsidRDefault="00E738E0" w:rsidP="00AB5131">
            <w:pPr>
              <w:pStyle w:val="TAC"/>
              <w:rPr>
                <w:snapToGrid w:val="0"/>
              </w:rPr>
            </w:pPr>
            <w:r w:rsidRPr="009C5807">
              <w:t>5.12 (8)</w:t>
            </w:r>
          </w:p>
        </w:tc>
      </w:tr>
      <w:tr w:rsidR="00885F53" w:rsidRPr="009C5807" w14:paraId="1AA4D0AE" w14:textId="77777777" w:rsidTr="00F15152">
        <w:trPr>
          <w:cantSplit/>
          <w:jc w:val="center"/>
        </w:trPr>
        <w:tc>
          <w:tcPr>
            <w:tcW w:w="620" w:type="pct"/>
            <w:tcBorders>
              <w:top w:val="single" w:sz="4" w:space="0" w:color="auto"/>
              <w:left w:val="single" w:sz="4" w:space="0" w:color="auto"/>
              <w:bottom w:val="single" w:sz="4" w:space="0" w:color="auto"/>
              <w:right w:val="single" w:sz="4" w:space="0" w:color="auto"/>
            </w:tcBorders>
            <w:hideMark/>
          </w:tcPr>
          <w:p w14:paraId="5D83B407" w14:textId="77777777" w:rsidR="00E738E0" w:rsidRPr="009C5807" w:rsidRDefault="00E738E0" w:rsidP="00AB5131">
            <w:pPr>
              <w:pStyle w:val="TAC"/>
              <w:rPr>
                <w:snapToGrid w:val="0"/>
              </w:rPr>
            </w:pPr>
            <w:r w:rsidRPr="009C5807">
              <w:t>1.28</w:t>
            </w:r>
          </w:p>
        </w:tc>
        <w:tc>
          <w:tcPr>
            <w:tcW w:w="1263" w:type="pct"/>
            <w:tcBorders>
              <w:top w:val="single" w:sz="4" w:space="0" w:color="auto"/>
              <w:left w:val="single" w:sz="4" w:space="0" w:color="auto"/>
              <w:bottom w:val="single" w:sz="4" w:space="0" w:color="auto"/>
              <w:right w:val="single" w:sz="4" w:space="0" w:color="auto"/>
            </w:tcBorders>
            <w:hideMark/>
          </w:tcPr>
          <w:p w14:paraId="209E4AC2" w14:textId="77777777" w:rsidR="00E738E0" w:rsidRPr="009C5807" w:rsidRDefault="00E738E0" w:rsidP="00AB5131">
            <w:pPr>
              <w:pStyle w:val="TAC"/>
              <w:rPr>
                <w:snapToGrid w:val="0"/>
              </w:rPr>
            </w:pPr>
            <w:r w:rsidRPr="009C5807">
              <w:t>32(25)</w:t>
            </w:r>
          </w:p>
        </w:tc>
        <w:tc>
          <w:tcPr>
            <w:tcW w:w="1378" w:type="pct"/>
            <w:tcBorders>
              <w:top w:val="single" w:sz="4" w:space="0" w:color="auto"/>
              <w:left w:val="single" w:sz="4" w:space="0" w:color="auto"/>
              <w:bottom w:val="single" w:sz="4" w:space="0" w:color="auto"/>
              <w:right w:val="single" w:sz="4" w:space="0" w:color="auto"/>
            </w:tcBorders>
            <w:hideMark/>
          </w:tcPr>
          <w:p w14:paraId="73A6C2A0" w14:textId="77777777" w:rsidR="00E738E0" w:rsidRPr="009C5807" w:rsidRDefault="00E738E0" w:rsidP="00AB5131">
            <w:pPr>
              <w:pStyle w:val="TAC"/>
              <w:rPr>
                <w:snapToGrid w:val="0"/>
              </w:rPr>
            </w:pPr>
            <w:r w:rsidRPr="009C5807">
              <w:rPr>
                <w:snapToGrid w:val="0"/>
              </w:rPr>
              <w:t>1.28 (1)</w:t>
            </w:r>
          </w:p>
        </w:tc>
        <w:tc>
          <w:tcPr>
            <w:tcW w:w="1739" w:type="pct"/>
            <w:tcBorders>
              <w:top w:val="single" w:sz="4" w:space="0" w:color="auto"/>
              <w:left w:val="single" w:sz="4" w:space="0" w:color="auto"/>
              <w:bottom w:val="single" w:sz="4" w:space="0" w:color="auto"/>
              <w:right w:val="single" w:sz="4" w:space="0" w:color="auto"/>
            </w:tcBorders>
            <w:hideMark/>
          </w:tcPr>
          <w:p w14:paraId="5F855F45" w14:textId="77777777" w:rsidR="00E738E0" w:rsidRPr="009C5807" w:rsidRDefault="00E738E0" w:rsidP="00AB5131">
            <w:pPr>
              <w:pStyle w:val="TAC"/>
              <w:rPr>
                <w:snapToGrid w:val="0"/>
              </w:rPr>
            </w:pPr>
            <w:r w:rsidRPr="009C5807">
              <w:t>6.4 (5)</w:t>
            </w:r>
          </w:p>
        </w:tc>
      </w:tr>
      <w:tr w:rsidR="00E738E0" w:rsidRPr="009C5807" w14:paraId="45093EDC" w14:textId="77777777" w:rsidTr="00F15152">
        <w:trPr>
          <w:cantSplit/>
          <w:jc w:val="center"/>
        </w:trPr>
        <w:tc>
          <w:tcPr>
            <w:tcW w:w="620" w:type="pct"/>
            <w:tcBorders>
              <w:top w:val="single" w:sz="4" w:space="0" w:color="auto"/>
              <w:left w:val="single" w:sz="4" w:space="0" w:color="auto"/>
              <w:bottom w:val="single" w:sz="4" w:space="0" w:color="auto"/>
              <w:right w:val="single" w:sz="4" w:space="0" w:color="auto"/>
            </w:tcBorders>
            <w:hideMark/>
          </w:tcPr>
          <w:p w14:paraId="3FE66B4B" w14:textId="77777777" w:rsidR="00E738E0" w:rsidRPr="009C5807" w:rsidRDefault="00E738E0" w:rsidP="00AB5131">
            <w:pPr>
              <w:pStyle w:val="TAC"/>
              <w:rPr>
                <w:snapToGrid w:val="0"/>
              </w:rPr>
            </w:pPr>
            <w:r w:rsidRPr="009C5807">
              <w:t>2.56</w:t>
            </w:r>
          </w:p>
        </w:tc>
        <w:tc>
          <w:tcPr>
            <w:tcW w:w="1263" w:type="pct"/>
            <w:tcBorders>
              <w:top w:val="single" w:sz="4" w:space="0" w:color="auto"/>
              <w:left w:val="single" w:sz="4" w:space="0" w:color="auto"/>
              <w:bottom w:val="single" w:sz="4" w:space="0" w:color="auto"/>
              <w:right w:val="single" w:sz="4" w:space="0" w:color="auto"/>
            </w:tcBorders>
            <w:hideMark/>
          </w:tcPr>
          <w:p w14:paraId="05AEEC0C" w14:textId="77777777" w:rsidR="00E738E0" w:rsidRPr="009C5807" w:rsidRDefault="00E738E0" w:rsidP="00AB5131">
            <w:pPr>
              <w:pStyle w:val="TAC"/>
              <w:rPr>
                <w:snapToGrid w:val="0"/>
              </w:rPr>
            </w:pPr>
            <w:r w:rsidRPr="009C5807">
              <w:t>58.88 (23)</w:t>
            </w:r>
          </w:p>
        </w:tc>
        <w:tc>
          <w:tcPr>
            <w:tcW w:w="1378" w:type="pct"/>
            <w:tcBorders>
              <w:top w:val="single" w:sz="4" w:space="0" w:color="auto"/>
              <w:left w:val="single" w:sz="4" w:space="0" w:color="auto"/>
              <w:bottom w:val="single" w:sz="4" w:space="0" w:color="auto"/>
              <w:right w:val="single" w:sz="4" w:space="0" w:color="auto"/>
            </w:tcBorders>
            <w:hideMark/>
          </w:tcPr>
          <w:p w14:paraId="22A24CFF" w14:textId="77777777" w:rsidR="00E738E0" w:rsidRPr="009C5807" w:rsidRDefault="00E738E0" w:rsidP="00AB5131">
            <w:pPr>
              <w:pStyle w:val="TAC"/>
              <w:rPr>
                <w:snapToGrid w:val="0"/>
              </w:rPr>
            </w:pPr>
            <w:r w:rsidRPr="009C5807">
              <w:rPr>
                <w:snapToGrid w:val="0"/>
              </w:rPr>
              <w:t>2.56 (1)</w:t>
            </w:r>
          </w:p>
        </w:tc>
        <w:tc>
          <w:tcPr>
            <w:tcW w:w="1739" w:type="pct"/>
            <w:tcBorders>
              <w:top w:val="single" w:sz="4" w:space="0" w:color="auto"/>
              <w:left w:val="single" w:sz="4" w:space="0" w:color="auto"/>
              <w:bottom w:val="single" w:sz="4" w:space="0" w:color="auto"/>
              <w:right w:val="single" w:sz="4" w:space="0" w:color="auto"/>
            </w:tcBorders>
            <w:hideMark/>
          </w:tcPr>
          <w:p w14:paraId="477094CC" w14:textId="77777777" w:rsidR="00E738E0" w:rsidRPr="009C5807" w:rsidRDefault="00E738E0" w:rsidP="00AB5131">
            <w:pPr>
              <w:pStyle w:val="TAC"/>
              <w:rPr>
                <w:snapToGrid w:val="0"/>
              </w:rPr>
            </w:pPr>
            <w:r w:rsidRPr="009C5807">
              <w:t>7.68 (3)</w:t>
            </w:r>
          </w:p>
        </w:tc>
      </w:tr>
    </w:tbl>
    <w:p w14:paraId="0EBD5537" w14:textId="51CFEFEC" w:rsidR="00E738E0" w:rsidRDefault="00E738E0" w:rsidP="00E738E0"/>
    <w:p w14:paraId="34F69608" w14:textId="4CBBDAA6" w:rsidR="00C8285F" w:rsidRPr="001B553A" w:rsidRDefault="00C8285F" w:rsidP="00C8285F">
      <w:pPr>
        <w:pStyle w:val="TH"/>
      </w:pPr>
      <w:r w:rsidRPr="008C6DE4">
        <w:t xml:space="preserve">Table </w:t>
      </w:r>
      <w:r>
        <w:t>4.2.2.5-2</w:t>
      </w:r>
      <w:r w:rsidRPr="008C6DE4">
        <w:t xml:space="preserve">: </w:t>
      </w:r>
      <w:r w:rsidR="00C93EBE" w:rsidRPr="009D6315">
        <w:rPr>
          <w:rFonts w:cs="Arial"/>
        </w:rPr>
        <w:t>T</w:t>
      </w:r>
      <w:r w:rsidR="00C93EBE" w:rsidRPr="009D6315">
        <w:rPr>
          <w:rFonts w:cs="Arial"/>
          <w:vertAlign w:val="subscript"/>
        </w:rPr>
        <w:t>detect,</w:t>
      </w:r>
      <w:r w:rsidR="00C93EBE" w:rsidRPr="009D6315">
        <w:rPr>
          <w:rFonts w:cs="Arial"/>
          <w:vertAlign w:val="subscript"/>
          <w:lang w:eastAsia="zh-CN"/>
        </w:rPr>
        <w:t>E</w:t>
      </w:r>
      <w:r w:rsidR="00C93EBE" w:rsidRPr="009D6315">
        <w:rPr>
          <w:rFonts w:cs="Arial"/>
          <w:vertAlign w:val="subscript"/>
        </w:rPr>
        <w:t>UTRAN</w:t>
      </w:r>
      <w:r w:rsidR="00C93EBE">
        <w:rPr>
          <w:rFonts w:cs="Arial"/>
          <w:vertAlign w:val="subscript"/>
        </w:rPr>
        <w:t>_HST</w:t>
      </w:r>
      <w:r w:rsidR="00C93EBE" w:rsidRPr="009D6315">
        <w:rPr>
          <w:rFonts w:cs="Arial"/>
          <w:snapToGrid w:val="0"/>
        </w:rPr>
        <w:t xml:space="preserve">, </w:t>
      </w:r>
      <w:r w:rsidR="00C93EBE" w:rsidRPr="009D6315">
        <w:rPr>
          <w:rFonts w:cs="Arial"/>
        </w:rPr>
        <w:t>T</w:t>
      </w:r>
      <w:r w:rsidR="00C93EBE" w:rsidRPr="009D6315">
        <w:rPr>
          <w:rFonts w:cs="Arial"/>
          <w:vertAlign w:val="subscript"/>
        </w:rPr>
        <w:t>measure,</w:t>
      </w:r>
      <w:r w:rsidR="00C93EBE" w:rsidRPr="009D6315">
        <w:rPr>
          <w:rFonts w:cs="Arial"/>
          <w:vertAlign w:val="subscript"/>
          <w:lang w:eastAsia="zh-CN"/>
        </w:rPr>
        <w:t>E</w:t>
      </w:r>
      <w:r w:rsidR="00C93EBE" w:rsidRPr="009D6315">
        <w:rPr>
          <w:rFonts w:cs="Arial"/>
          <w:vertAlign w:val="subscript"/>
        </w:rPr>
        <w:t>UTRAN</w:t>
      </w:r>
      <w:r w:rsidR="00C93EBE">
        <w:rPr>
          <w:rFonts w:cs="Arial"/>
          <w:vertAlign w:val="subscript"/>
        </w:rPr>
        <w:t>_HST</w:t>
      </w:r>
      <w:r w:rsidR="00C93EBE" w:rsidRPr="009D6315">
        <w:rPr>
          <w:rFonts w:cs="Arial"/>
          <w:vertAlign w:val="subscript"/>
        </w:rPr>
        <w:t>,</w:t>
      </w:r>
      <w:r w:rsidR="00C93EBE" w:rsidRPr="009D6315">
        <w:rPr>
          <w:rFonts w:cs="Arial"/>
        </w:rPr>
        <w:t xml:space="preserve"> and T</w:t>
      </w:r>
      <w:r w:rsidR="00C93EBE" w:rsidRPr="009D6315">
        <w:rPr>
          <w:rFonts w:cs="Arial"/>
          <w:vertAlign w:val="subscript"/>
        </w:rPr>
        <w:t>evaluate,</w:t>
      </w:r>
      <w:r w:rsidR="00C93EBE" w:rsidRPr="009D6315">
        <w:rPr>
          <w:rFonts w:cs="Arial"/>
          <w:vertAlign w:val="subscript"/>
          <w:lang w:eastAsia="zh-CN"/>
        </w:rPr>
        <w:t>E</w:t>
      </w:r>
      <w:r w:rsidR="00C93EBE" w:rsidRPr="009D6315">
        <w:rPr>
          <w:rFonts w:cs="Arial"/>
          <w:vertAlign w:val="subscript"/>
        </w:rPr>
        <w:t>UTRAN</w:t>
      </w:r>
      <w:r w:rsidR="00C93EBE">
        <w:rPr>
          <w:rFonts w:cs="Arial"/>
          <w:vertAlign w:val="subscript"/>
        </w:rPr>
        <w:t>_HST</w:t>
      </w:r>
      <w:r w:rsidR="00C93EBE">
        <w:t xml:space="preserve"> for UE configured with </w:t>
      </w:r>
      <w:r w:rsidR="00C93EBE" w:rsidRPr="00817789">
        <w:t>highSpeedMeasFlag-r16</w:t>
      </w:r>
    </w:p>
    <w:tbl>
      <w:tblPr>
        <w:tblW w:w="39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2141"/>
        <w:gridCol w:w="2141"/>
        <w:gridCol w:w="2141"/>
      </w:tblGrid>
      <w:tr w:rsidR="00486FFB" w:rsidRPr="008C6DE4" w14:paraId="39A810AB" w14:textId="77777777" w:rsidTr="00486FFB">
        <w:trPr>
          <w:cantSplit/>
          <w:trHeight w:val="315"/>
          <w:jc w:val="center"/>
        </w:trPr>
        <w:tc>
          <w:tcPr>
            <w:tcW w:w="767" w:type="pct"/>
            <w:tcBorders>
              <w:top w:val="single" w:sz="4" w:space="0" w:color="auto"/>
              <w:left w:val="single" w:sz="4" w:space="0" w:color="auto"/>
              <w:bottom w:val="nil"/>
              <w:right w:val="single" w:sz="4" w:space="0" w:color="auto"/>
            </w:tcBorders>
            <w:shd w:val="clear" w:color="auto" w:fill="auto"/>
            <w:hideMark/>
          </w:tcPr>
          <w:p w14:paraId="72E68306" w14:textId="77777777" w:rsidR="00486FFB" w:rsidRPr="008C6DE4" w:rsidRDefault="00486FFB" w:rsidP="00AB5131">
            <w:pPr>
              <w:pStyle w:val="TAH"/>
            </w:pPr>
            <w:r w:rsidRPr="008C6DE4">
              <w:t>DRX cycle length [s]</w:t>
            </w:r>
          </w:p>
        </w:tc>
        <w:tc>
          <w:tcPr>
            <w:tcW w:w="1411" w:type="pct"/>
            <w:vMerge w:val="restart"/>
            <w:tcBorders>
              <w:top w:val="single" w:sz="4" w:space="0" w:color="auto"/>
              <w:left w:val="single" w:sz="4" w:space="0" w:color="auto"/>
              <w:right w:val="single" w:sz="4" w:space="0" w:color="auto"/>
            </w:tcBorders>
            <w:hideMark/>
          </w:tcPr>
          <w:p w14:paraId="103D8062" w14:textId="77777777" w:rsidR="00486FFB" w:rsidRPr="008C6DE4" w:rsidRDefault="00486FFB" w:rsidP="00AB5131">
            <w:pPr>
              <w:pStyle w:val="TAH"/>
            </w:pPr>
            <w:r w:rsidRPr="008C6DE4">
              <w:t>T</w:t>
            </w:r>
            <w:r w:rsidRPr="008C6DE4">
              <w:rPr>
                <w:vertAlign w:val="subscript"/>
              </w:rPr>
              <w:t>detect,</w:t>
            </w:r>
            <w:r>
              <w:rPr>
                <w:vertAlign w:val="subscript"/>
              </w:rPr>
              <w:t>EURAN_HST</w:t>
            </w:r>
            <w:r w:rsidRPr="008C6DE4">
              <w:t xml:space="preserve"> [s] (number of DRX cycles)</w:t>
            </w:r>
          </w:p>
        </w:tc>
        <w:tc>
          <w:tcPr>
            <w:tcW w:w="1411" w:type="pct"/>
            <w:vMerge w:val="restart"/>
            <w:tcBorders>
              <w:top w:val="single" w:sz="4" w:space="0" w:color="auto"/>
              <w:left w:val="single" w:sz="4" w:space="0" w:color="auto"/>
              <w:right w:val="single" w:sz="4" w:space="0" w:color="auto"/>
            </w:tcBorders>
            <w:hideMark/>
          </w:tcPr>
          <w:p w14:paraId="2272E52D" w14:textId="77777777" w:rsidR="00486FFB" w:rsidRPr="008C6DE4" w:rsidRDefault="00486FFB" w:rsidP="00AB5131">
            <w:pPr>
              <w:pStyle w:val="TAH"/>
            </w:pPr>
            <w:r w:rsidRPr="008C6DE4">
              <w:t>T</w:t>
            </w:r>
            <w:r w:rsidRPr="008C6DE4">
              <w:rPr>
                <w:vertAlign w:val="subscript"/>
              </w:rPr>
              <w:t>measure,</w:t>
            </w:r>
            <w:r>
              <w:rPr>
                <w:vertAlign w:val="subscript"/>
              </w:rPr>
              <w:t>EUTRAN_HST</w:t>
            </w:r>
            <w:r w:rsidRPr="008C6DE4">
              <w:t xml:space="preserve"> [s] (number of DRX cycles)</w:t>
            </w:r>
          </w:p>
        </w:tc>
        <w:tc>
          <w:tcPr>
            <w:tcW w:w="1411" w:type="pct"/>
            <w:vMerge w:val="restart"/>
            <w:tcBorders>
              <w:top w:val="single" w:sz="4" w:space="0" w:color="auto"/>
              <w:left w:val="single" w:sz="4" w:space="0" w:color="auto"/>
              <w:right w:val="single" w:sz="4" w:space="0" w:color="auto"/>
            </w:tcBorders>
            <w:hideMark/>
          </w:tcPr>
          <w:p w14:paraId="2CCEC451" w14:textId="77777777" w:rsidR="00486FFB" w:rsidRPr="008C6DE4" w:rsidRDefault="00486FFB" w:rsidP="00AB5131">
            <w:pPr>
              <w:pStyle w:val="TAH"/>
              <w:rPr>
                <w:vertAlign w:val="subscript"/>
              </w:rPr>
            </w:pPr>
            <w:r w:rsidRPr="008C6DE4">
              <w:t>T</w:t>
            </w:r>
            <w:r w:rsidRPr="008C6DE4">
              <w:rPr>
                <w:vertAlign w:val="subscript"/>
              </w:rPr>
              <w:t>evaluate,</w:t>
            </w:r>
            <w:r>
              <w:rPr>
                <w:vertAlign w:val="subscript"/>
              </w:rPr>
              <w:t>EUTRAN_HST</w:t>
            </w:r>
          </w:p>
          <w:p w14:paraId="134E3085" w14:textId="77777777" w:rsidR="00486FFB" w:rsidRPr="008C6DE4" w:rsidRDefault="00486FFB" w:rsidP="00AB5131">
            <w:pPr>
              <w:pStyle w:val="TAH"/>
            </w:pPr>
            <w:r w:rsidRPr="008C6DE4">
              <w:t>[s] (number of DRX cycles)</w:t>
            </w:r>
          </w:p>
        </w:tc>
      </w:tr>
      <w:tr w:rsidR="00486FFB" w:rsidRPr="008C6DE4" w14:paraId="1398F4E9" w14:textId="77777777" w:rsidTr="00486FFB">
        <w:trPr>
          <w:cantSplit/>
          <w:trHeight w:val="315"/>
          <w:jc w:val="center"/>
        </w:trPr>
        <w:tc>
          <w:tcPr>
            <w:tcW w:w="767" w:type="pct"/>
            <w:tcBorders>
              <w:top w:val="nil"/>
              <w:left w:val="single" w:sz="4" w:space="0" w:color="auto"/>
              <w:right w:val="single" w:sz="4" w:space="0" w:color="auto"/>
            </w:tcBorders>
            <w:shd w:val="clear" w:color="auto" w:fill="auto"/>
          </w:tcPr>
          <w:p w14:paraId="28D32334" w14:textId="77777777" w:rsidR="00486FFB" w:rsidRPr="008C6DE4" w:rsidRDefault="00486FFB" w:rsidP="00AB5131">
            <w:pPr>
              <w:pStyle w:val="TAH"/>
            </w:pPr>
          </w:p>
        </w:tc>
        <w:tc>
          <w:tcPr>
            <w:tcW w:w="1411" w:type="pct"/>
            <w:vMerge/>
            <w:tcBorders>
              <w:left w:val="single" w:sz="4" w:space="0" w:color="auto"/>
              <w:bottom w:val="single" w:sz="4" w:space="0" w:color="auto"/>
              <w:right w:val="single" w:sz="4" w:space="0" w:color="auto"/>
            </w:tcBorders>
          </w:tcPr>
          <w:p w14:paraId="46FA525D" w14:textId="77777777" w:rsidR="00486FFB" w:rsidRPr="008C6DE4" w:rsidRDefault="00486FFB" w:rsidP="00AB5131">
            <w:pPr>
              <w:pStyle w:val="TAH"/>
            </w:pPr>
          </w:p>
        </w:tc>
        <w:tc>
          <w:tcPr>
            <w:tcW w:w="1411" w:type="pct"/>
            <w:vMerge/>
            <w:tcBorders>
              <w:left w:val="single" w:sz="4" w:space="0" w:color="auto"/>
              <w:bottom w:val="single" w:sz="4" w:space="0" w:color="auto"/>
              <w:right w:val="single" w:sz="4" w:space="0" w:color="auto"/>
            </w:tcBorders>
          </w:tcPr>
          <w:p w14:paraId="0C3696C6" w14:textId="77777777" w:rsidR="00486FFB" w:rsidRPr="008C6DE4" w:rsidRDefault="00486FFB" w:rsidP="00AB5131">
            <w:pPr>
              <w:pStyle w:val="TAH"/>
            </w:pPr>
          </w:p>
        </w:tc>
        <w:tc>
          <w:tcPr>
            <w:tcW w:w="1411" w:type="pct"/>
            <w:vMerge/>
            <w:tcBorders>
              <w:left w:val="single" w:sz="4" w:space="0" w:color="auto"/>
              <w:bottom w:val="single" w:sz="4" w:space="0" w:color="auto"/>
              <w:right w:val="single" w:sz="4" w:space="0" w:color="auto"/>
            </w:tcBorders>
          </w:tcPr>
          <w:p w14:paraId="2542ED5E" w14:textId="77777777" w:rsidR="00486FFB" w:rsidRPr="008C6DE4" w:rsidRDefault="00486FFB" w:rsidP="00AB5131">
            <w:pPr>
              <w:pStyle w:val="TAH"/>
            </w:pPr>
          </w:p>
        </w:tc>
      </w:tr>
      <w:tr w:rsidR="00C8285F" w:rsidRPr="008C6DE4" w14:paraId="017C7B4A" w14:textId="77777777" w:rsidTr="00FA12C0">
        <w:trPr>
          <w:cantSplit/>
          <w:jc w:val="center"/>
        </w:trPr>
        <w:tc>
          <w:tcPr>
            <w:tcW w:w="767" w:type="pct"/>
            <w:tcBorders>
              <w:top w:val="single" w:sz="4" w:space="0" w:color="auto"/>
              <w:left w:val="single" w:sz="4" w:space="0" w:color="auto"/>
              <w:bottom w:val="single" w:sz="4" w:space="0" w:color="auto"/>
              <w:right w:val="single" w:sz="4" w:space="0" w:color="auto"/>
            </w:tcBorders>
            <w:hideMark/>
          </w:tcPr>
          <w:p w14:paraId="1CD07D0D" w14:textId="77777777" w:rsidR="00C8285F" w:rsidRPr="008C6DE4" w:rsidRDefault="00C8285F" w:rsidP="00AB5131">
            <w:pPr>
              <w:pStyle w:val="TAC"/>
            </w:pPr>
            <w:r w:rsidRPr="008C6DE4">
              <w:t>0.32</w:t>
            </w:r>
          </w:p>
        </w:tc>
        <w:tc>
          <w:tcPr>
            <w:tcW w:w="1411" w:type="pct"/>
            <w:tcBorders>
              <w:top w:val="single" w:sz="4" w:space="0" w:color="auto"/>
              <w:left w:val="single" w:sz="4" w:space="0" w:color="auto"/>
              <w:bottom w:val="single" w:sz="4" w:space="0" w:color="auto"/>
              <w:right w:val="single" w:sz="4" w:space="0" w:color="auto"/>
            </w:tcBorders>
            <w:hideMark/>
          </w:tcPr>
          <w:p w14:paraId="055A253B" w14:textId="77777777" w:rsidR="00C8285F" w:rsidRPr="008C6DE4" w:rsidRDefault="00C8285F" w:rsidP="00AB5131">
            <w:pPr>
              <w:pStyle w:val="TAC"/>
            </w:pPr>
            <w:r>
              <w:t>4.16</w:t>
            </w:r>
            <w:r w:rsidRPr="008C6DE4">
              <w:rPr>
                <w:rFonts w:cs="Arial"/>
                <w:lang w:eastAsia="zh-CN"/>
              </w:rPr>
              <w:t xml:space="preserve"> </w:t>
            </w:r>
            <w:r w:rsidRPr="008C6DE4">
              <w:t>(</w:t>
            </w:r>
            <w:r>
              <w:t>13</w:t>
            </w:r>
            <w:r w:rsidRPr="008C6DE4">
              <w:t>)</w:t>
            </w:r>
          </w:p>
        </w:tc>
        <w:tc>
          <w:tcPr>
            <w:tcW w:w="1411" w:type="pct"/>
            <w:tcBorders>
              <w:top w:val="single" w:sz="4" w:space="0" w:color="auto"/>
              <w:left w:val="single" w:sz="4" w:space="0" w:color="auto"/>
              <w:bottom w:val="single" w:sz="4" w:space="0" w:color="auto"/>
              <w:right w:val="single" w:sz="4" w:space="0" w:color="auto"/>
            </w:tcBorders>
            <w:hideMark/>
          </w:tcPr>
          <w:p w14:paraId="6E53032D" w14:textId="77777777" w:rsidR="00C8285F" w:rsidRPr="008C6DE4" w:rsidRDefault="00C8285F" w:rsidP="00AB5131">
            <w:pPr>
              <w:pStyle w:val="TAC"/>
            </w:pPr>
            <w:r>
              <w:t>0.64</w:t>
            </w:r>
            <w:r w:rsidRPr="008C6DE4">
              <w:rPr>
                <w:rFonts w:cs="Arial"/>
                <w:snapToGrid w:val="0"/>
              </w:rPr>
              <w:t xml:space="preserve"> </w:t>
            </w:r>
            <w:r w:rsidRPr="008C6DE4">
              <w:t>(</w:t>
            </w:r>
            <w:r>
              <w:t>2</w:t>
            </w:r>
            <w:r w:rsidRPr="008C6DE4">
              <w:t>)</w:t>
            </w:r>
          </w:p>
        </w:tc>
        <w:tc>
          <w:tcPr>
            <w:tcW w:w="1411" w:type="pct"/>
            <w:tcBorders>
              <w:top w:val="single" w:sz="4" w:space="0" w:color="auto"/>
              <w:left w:val="single" w:sz="4" w:space="0" w:color="auto"/>
              <w:bottom w:val="single" w:sz="4" w:space="0" w:color="auto"/>
              <w:right w:val="single" w:sz="4" w:space="0" w:color="auto"/>
            </w:tcBorders>
            <w:hideMark/>
          </w:tcPr>
          <w:p w14:paraId="01ADBEC7" w14:textId="77777777" w:rsidR="00C8285F" w:rsidRPr="008C6DE4" w:rsidRDefault="00C8285F" w:rsidP="00AB5131">
            <w:pPr>
              <w:pStyle w:val="TAC"/>
            </w:pPr>
            <w:r>
              <w:t>0.96</w:t>
            </w:r>
            <w:r w:rsidRPr="008C6DE4">
              <w:rPr>
                <w:rFonts w:cs="Arial"/>
                <w:snapToGrid w:val="0"/>
              </w:rPr>
              <w:t xml:space="preserve"> </w:t>
            </w:r>
            <w:r w:rsidRPr="008C6DE4">
              <w:t>(</w:t>
            </w:r>
            <w:r>
              <w:t>3</w:t>
            </w:r>
            <w:r w:rsidRPr="008C6DE4">
              <w:t>)</w:t>
            </w:r>
          </w:p>
        </w:tc>
      </w:tr>
      <w:tr w:rsidR="00C8285F" w:rsidRPr="008C6DE4" w14:paraId="59BACE32" w14:textId="77777777" w:rsidTr="00FA12C0">
        <w:trPr>
          <w:cantSplit/>
          <w:jc w:val="center"/>
        </w:trPr>
        <w:tc>
          <w:tcPr>
            <w:tcW w:w="767" w:type="pct"/>
            <w:tcBorders>
              <w:top w:val="single" w:sz="4" w:space="0" w:color="auto"/>
              <w:left w:val="single" w:sz="4" w:space="0" w:color="auto"/>
              <w:bottom w:val="single" w:sz="4" w:space="0" w:color="auto"/>
              <w:right w:val="single" w:sz="4" w:space="0" w:color="auto"/>
            </w:tcBorders>
            <w:hideMark/>
          </w:tcPr>
          <w:p w14:paraId="1F9272B2" w14:textId="77777777" w:rsidR="00C8285F" w:rsidRPr="008C6DE4" w:rsidRDefault="00C8285F" w:rsidP="00AB5131">
            <w:pPr>
              <w:pStyle w:val="TAC"/>
            </w:pPr>
            <w:r w:rsidRPr="008C6DE4">
              <w:t>0.64</w:t>
            </w:r>
          </w:p>
        </w:tc>
        <w:tc>
          <w:tcPr>
            <w:tcW w:w="1411" w:type="pct"/>
            <w:tcBorders>
              <w:top w:val="single" w:sz="4" w:space="0" w:color="auto"/>
              <w:left w:val="single" w:sz="4" w:space="0" w:color="auto"/>
              <w:bottom w:val="single" w:sz="4" w:space="0" w:color="auto"/>
              <w:right w:val="single" w:sz="4" w:space="0" w:color="auto"/>
            </w:tcBorders>
            <w:hideMark/>
          </w:tcPr>
          <w:p w14:paraId="5046D29A" w14:textId="77777777" w:rsidR="00C8285F" w:rsidRPr="008C6DE4" w:rsidRDefault="00C8285F" w:rsidP="00AB5131">
            <w:pPr>
              <w:pStyle w:val="TAC"/>
            </w:pPr>
            <w:r>
              <w:t>7.68</w:t>
            </w:r>
            <w:r w:rsidRPr="008C6DE4">
              <w:t xml:space="preserve"> </w:t>
            </w:r>
            <w:r>
              <w:t>(12</w:t>
            </w:r>
            <w:r w:rsidRPr="008C6DE4">
              <w:t>)</w:t>
            </w:r>
          </w:p>
        </w:tc>
        <w:tc>
          <w:tcPr>
            <w:tcW w:w="1411" w:type="pct"/>
            <w:tcBorders>
              <w:top w:val="single" w:sz="4" w:space="0" w:color="auto"/>
              <w:left w:val="single" w:sz="4" w:space="0" w:color="auto"/>
              <w:bottom w:val="single" w:sz="4" w:space="0" w:color="auto"/>
              <w:right w:val="single" w:sz="4" w:space="0" w:color="auto"/>
            </w:tcBorders>
            <w:hideMark/>
          </w:tcPr>
          <w:p w14:paraId="480A30A1" w14:textId="77777777" w:rsidR="00C8285F" w:rsidRPr="008C6DE4" w:rsidRDefault="00C8285F" w:rsidP="00AB5131">
            <w:pPr>
              <w:pStyle w:val="TAC"/>
            </w:pPr>
            <w:r>
              <w:t>1.28</w:t>
            </w:r>
            <w:r w:rsidRPr="008C6DE4">
              <w:t xml:space="preserve"> (</w:t>
            </w:r>
            <w:r>
              <w:t>2</w:t>
            </w:r>
            <w:r w:rsidRPr="008C6DE4">
              <w:t>)</w:t>
            </w:r>
          </w:p>
        </w:tc>
        <w:tc>
          <w:tcPr>
            <w:tcW w:w="1411" w:type="pct"/>
            <w:tcBorders>
              <w:top w:val="single" w:sz="4" w:space="0" w:color="auto"/>
              <w:left w:val="single" w:sz="4" w:space="0" w:color="auto"/>
              <w:bottom w:val="single" w:sz="4" w:space="0" w:color="auto"/>
              <w:right w:val="single" w:sz="4" w:space="0" w:color="auto"/>
            </w:tcBorders>
            <w:hideMark/>
          </w:tcPr>
          <w:p w14:paraId="49F86801" w14:textId="77777777" w:rsidR="00C8285F" w:rsidRPr="008C6DE4" w:rsidRDefault="00C8285F" w:rsidP="00AB5131">
            <w:pPr>
              <w:pStyle w:val="TAC"/>
            </w:pPr>
            <w:r>
              <w:t>1.92</w:t>
            </w:r>
            <w:r w:rsidRPr="008C6DE4">
              <w:t xml:space="preserve"> (</w:t>
            </w:r>
            <w:r>
              <w:t>3</w:t>
            </w:r>
            <w:r w:rsidRPr="008C6DE4">
              <w:t>)</w:t>
            </w:r>
          </w:p>
        </w:tc>
      </w:tr>
      <w:tr w:rsidR="00C8285F" w:rsidRPr="008C6DE4" w14:paraId="6FE0CF8C" w14:textId="77777777" w:rsidTr="00FA12C0">
        <w:trPr>
          <w:cantSplit/>
          <w:jc w:val="center"/>
        </w:trPr>
        <w:tc>
          <w:tcPr>
            <w:tcW w:w="767" w:type="pct"/>
            <w:tcBorders>
              <w:top w:val="single" w:sz="4" w:space="0" w:color="auto"/>
              <w:left w:val="single" w:sz="4" w:space="0" w:color="auto"/>
              <w:bottom w:val="single" w:sz="4" w:space="0" w:color="auto"/>
              <w:right w:val="single" w:sz="4" w:space="0" w:color="auto"/>
            </w:tcBorders>
            <w:hideMark/>
          </w:tcPr>
          <w:p w14:paraId="6E853A37" w14:textId="77777777" w:rsidR="00C8285F" w:rsidRPr="008C6DE4" w:rsidRDefault="00C8285F" w:rsidP="00AB5131">
            <w:pPr>
              <w:pStyle w:val="TAC"/>
            </w:pPr>
            <w:r w:rsidRPr="008C6DE4">
              <w:t>1.28</w:t>
            </w:r>
          </w:p>
        </w:tc>
        <w:tc>
          <w:tcPr>
            <w:tcW w:w="1411" w:type="pct"/>
            <w:tcBorders>
              <w:top w:val="single" w:sz="4" w:space="0" w:color="auto"/>
              <w:left w:val="single" w:sz="4" w:space="0" w:color="auto"/>
              <w:bottom w:val="single" w:sz="4" w:space="0" w:color="auto"/>
              <w:right w:val="single" w:sz="4" w:space="0" w:color="auto"/>
            </w:tcBorders>
            <w:hideMark/>
          </w:tcPr>
          <w:p w14:paraId="081738F5" w14:textId="77777777" w:rsidR="00C8285F" w:rsidRPr="008C6DE4" w:rsidRDefault="00C8285F" w:rsidP="00AB5131">
            <w:pPr>
              <w:pStyle w:val="TAC"/>
            </w:pPr>
            <w:r>
              <w:t>8.96 (7</w:t>
            </w:r>
            <w:r w:rsidRPr="008C6DE4">
              <w:t>)</w:t>
            </w:r>
          </w:p>
        </w:tc>
        <w:tc>
          <w:tcPr>
            <w:tcW w:w="1411" w:type="pct"/>
            <w:tcBorders>
              <w:top w:val="single" w:sz="4" w:space="0" w:color="auto"/>
              <w:left w:val="single" w:sz="4" w:space="0" w:color="auto"/>
              <w:bottom w:val="single" w:sz="4" w:space="0" w:color="auto"/>
              <w:right w:val="single" w:sz="4" w:space="0" w:color="auto"/>
            </w:tcBorders>
            <w:hideMark/>
          </w:tcPr>
          <w:p w14:paraId="7DF0D4E9" w14:textId="77777777" w:rsidR="00C8285F" w:rsidRPr="008C6DE4" w:rsidRDefault="00C8285F" w:rsidP="00AB5131">
            <w:pPr>
              <w:pStyle w:val="TAC"/>
            </w:pPr>
            <w:r w:rsidRPr="008C6DE4">
              <w:t>1.28 (1)</w:t>
            </w:r>
          </w:p>
        </w:tc>
        <w:tc>
          <w:tcPr>
            <w:tcW w:w="1411" w:type="pct"/>
            <w:tcBorders>
              <w:top w:val="single" w:sz="4" w:space="0" w:color="auto"/>
              <w:left w:val="single" w:sz="4" w:space="0" w:color="auto"/>
              <w:bottom w:val="single" w:sz="4" w:space="0" w:color="auto"/>
              <w:right w:val="single" w:sz="4" w:space="0" w:color="auto"/>
            </w:tcBorders>
            <w:hideMark/>
          </w:tcPr>
          <w:p w14:paraId="1B24DA8B" w14:textId="77777777" w:rsidR="00C8285F" w:rsidRPr="008C6DE4" w:rsidRDefault="00C8285F" w:rsidP="00AB5131">
            <w:pPr>
              <w:pStyle w:val="TAC"/>
            </w:pPr>
            <w:r>
              <w:t>3.84</w:t>
            </w:r>
            <w:r w:rsidRPr="008C6DE4">
              <w:t xml:space="preserve"> (</w:t>
            </w:r>
            <w:r>
              <w:t>3</w:t>
            </w:r>
            <w:r w:rsidRPr="008C6DE4">
              <w:t>)</w:t>
            </w:r>
          </w:p>
        </w:tc>
      </w:tr>
      <w:tr w:rsidR="00C93EBE" w:rsidRPr="008C6DE4" w14:paraId="236D569D" w14:textId="77777777" w:rsidTr="00FA12C0">
        <w:trPr>
          <w:cantSplit/>
          <w:jc w:val="center"/>
        </w:trPr>
        <w:tc>
          <w:tcPr>
            <w:tcW w:w="767" w:type="pct"/>
            <w:tcBorders>
              <w:top w:val="single" w:sz="4" w:space="0" w:color="auto"/>
              <w:left w:val="single" w:sz="4" w:space="0" w:color="auto"/>
              <w:bottom w:val="single" w:sz="4" w:space="0" w:color="auto"/>
              <w:right w:val="single" w:sz="4" w:space="0" w:color="auto"/>
            </w:tcBorders>
          </w:tcPr>
          <w:p w14:paraId="5930EB89" w14:textId="0B007967" w:rsidR="00C93EBE" w:rsidRPr="008C6DE4" w:rsidRDefault="00C93EBE" w:rsidP="00C93EBE">
            <w:pPr>
              <w:pStyle w:val="TAC"/>
            </w:pPr>
            <w:r>
              <w:rPr>
                <w:rFonts w:hint="eastAsia"/>
                <w:lang w:eastAsia="zh-CN"/>
              </w:rPr>
              <w:t>2.</w:t>
            </w:r>
            <w:r>
              <w:rPr>
                <w:lang w:eastAsia="zh-CN"/>
              </w:rPr>
              <w:t>56</w:t>
            </w:r>
          </w:p>
        </w:tc>
        <w:tc>
          <w:tcPr>
            <w:tcW w:w="1411" w:type="pct"/>
            <w:tcBorders>
              <w:top w:val="single" w:sz="4" w:space="0" w:color="auto"/>
              <w:left w:val="single" w:sz="4" w:space="0" w:color="auto"/>
              <w:bottom w:val="single" w:sz="4" w:space="0" w:color="auto"/>
              <w:right w:val="single" w:sz="4" w:space="0" w:color="auto"/>
            </w:tcBorders>
          </w:tcPr>
          <w:p w14:paraId="44C8D54A" w14:textId="2C3E248F" w:rsidR="00C93EBE" w:rsidRDefault="00C93EBE" w:rsidP="00C93EBE">
            <w:pPr>
              <w:pStyle w:val="TAC"/>
            </w:pPr>
            <w:r w:rsidRPr="009C5807">
              <w:t>58.88 (23)</w:t>
            </w:r>
          </w:p>
        </w:tc>
        <w:tc>
          <w:tcPr>
            <w:tcW w:w="1411" w:type="pct"/>
            <w:tcBorders>
              <w:top w:val="single" w:sz="4" w:space="0" w:color="auto"/>
              <w:left w:val="single" w:sz="4" w:space="0" w:color="auto"/>
              <w:bottom w:val="single" w:sz="4" w:space="0" w:color="auto"/>
              <w:right w:val="single" w:sz="4" w:space="0" w:color="auto"/>
            </w:tcBorders>
          </w:tcPr>
          <w:p w14:paraId="67AB4EA6" w14:textId="670D4801" w:rsidR="00C93EBE" w:rsidRPr="008C6DE4" w:rsidRDefault="00C93EBE" w:rsidP="00C93EBE">
            <w:pPr>
              <w:pStyle w:val="TAC"/>
            </w:pPr>
            <w:r w:rsidRPr="009C5807">
              <w:rPr>
                <w:snapToGrid w:val="0"/>
              </w:rPr>
              <w:t>2.56 (1)</w:t>
            </w:r>
          </w:p>
        </w:tc>
        <w:tc>
          <w:tcPr>
            <w:tcW w:w="1411" w:type="pct"/>
            <w:tcBorders>
              <w:top w:val="single" w:sz="4" w:space="0" w:color="auto"/>
              <w:left w:val="single" w:sz="4" w:space="0" w:color="auto"/>
              <w:bottom w:val="single" w:sz="4" w:space="0" w:color="auto"/>
              <w:right w:val="single" w:sz="4" w:space="0" w:color="auto"/>
            </w:tcBorders>
          </w:tcPr>
          <w:p w14:paraId="31F51D2F" w14:textId="03904833" w:rsidR="00C93EBE" w:rsidRDefault="00C93EBE" w:rsidP="00C93EBE">
            <w:pPr>
              <w:pStyle w:val="TAC"/>
            </w:pPr>
            <w:r w:rsidRPr="009C5807">
              <w:t>7.68 (3)</w:t>
            </w:r>
          </w:p>
        </w:tc>
      </w:tr>
      <w:tr w:rsidR="007B1B08" w:rsidRPr="008C6DE4" w14:paraId="45FBEE8B" w14:textId="77777777" w:rsidTr="007B1B08">
        <w:trPr>
          <w:cantSplit/>
          <w:jc w:val="center"/>
        </w:trPr>
        <w:tc>
          <w:tcPr>
            <w:tcW w:w="5000" w:type="pct"/>
            <w:gridSpan w:val="4"/>
            <w:tcBorders>
              <w:top w:val="single" w:sz="4" w:space="0" w:color="auto"/>
              <w:left w:val="single" w:sz="4" w:space="0" w:color="auto"/>
              <w:bottom w:val="single" w:sz="4" w:space="0" w:color="auto"/>
              <w:right w:val="single" w:sz="4" w:space="0" w:color="auto"/>
            </w:tcBorders>
          </w:tcPr>
          <w:p w14:paraId="60D77DA4" w14:textId="39541EC7" w:rsidR="007B1B08" w:rsidRPr="009C5807" w:rsidRDefault="007B1B08" w:rsidP="00F37389">
            <w:pPr>
              <w:pStyle w:val="TAN"/>
            </w:pPr>
            <w:r>
              <w:rPr>
                <w:lang w:eastAsia="zh-CN"/>
              </w:rPr>
              <w:t>Note 1:</w:t>
            </w:r>
            <w:r w:rsidRPr="009C5807">
              <w:rPr>
                <w:lang w:val="en-US"/>
              </w:rPr>
              <w:tab/>
            </w:r>
            <w:r w:rsidRPr="00737C4A">
              <w:rPr>
                <w:lang w:eastAsia="zh-CN"/>
              </w:rPr>
              <w:t xml:space="preserve">When highSpeedMeasFlag-r16 is configured, the requirements apply only to UE supporting either </w:t>
            </w:r>
            <w:r w:rsidRPr="005B7E39">
              <w:rPr>
                <w:i/>
                <w:iCs/>
                <w:lang w:eastAsia="zh-CN"/>
              </w:rPr>
              <w:t>measurementEnhancement-r16</w:t>
            </w:r>
            <w:r w:rsidRPr="00737C4A">
              <w:rPr>
                <w:lang w:eastAsia="zh-CN"/>
              </w:rPr>
              <w:t xml:space="preserve"> or </w:t>
            </w:r>
            <w:r w:rsidRPr="00E910D8">
              <w:rPr>
                <w:i/>
                <w:iCs/>
                <w:lang w:eastAsia="zh-CN"/>
              </w:rPr>
              <w:t>[interRAT-MeasurementEnhancement-r16]</w:t>
            </w:r>
            <w:r w:rsidRPr="00737C4A">
              <w:rPr>
                <w:lang w:eastAsia="zh-CN"/>
              </w:rPr>
              <w:t>.</w:t>
            </w:r>
          </w:p>
        </w:tc>
      </w:tr>
    </w:tbl>
    <w:p w14:paraId="5CD05BD9" w14:textId="77777777" w:rsidR="00EF0608" w:rsidRDefault="00EF0608" w:rsidP="00E738E0"/>
    <w:p w14:paraId="6428E295" w14:textId="3EFB4DE3" w:rsidR="00EB3ABD" w:rsidRDefault="00EB3ABD" w:rsidP="00EB3ABD">
      <w:r w:rsidRPr="00B343A0">
        <w:t xml:space="preserve">The requirements in Table 4.2.2.5-2 apply only when the UE supports </w:t>
      </w:r>
      <w:r w:rsidRPr="00B343A0">
        <w:rPr>
          <w:i/>
          <w:iCs/>
        </w:rPr>
        <w:t xml:space="preserve">measurementEnhancement-r16 </w:t>
      </w:r>
      <w:r w:rsidRPr="00B343A0">
        <w:t>or</w:t>
      </w:r>
      <w:r w:rsidRPr="00B343A0">
        <w:rPr>
          <w:i/>
          <w:iCs/>
        </w:rPr>
        <w:t xml:space="preserve"> interRAT</w:t>
      </w:r>
      <w:r w:rsidRPr="00B343A0">
        <w:rPr>
          <w:i/>
          <w:iCs/>
          <w:lang w:val="en-US"/>
        </w:rPr>
        <w:t>-M</w:t>
      </w:r>
      <w:r w:rsidRPr="00B343A0">
        <w:rPr>
          <w:i/>
          <w:iCs/>
        </w:rPr>
        <w:t>easurementEnhancement-r16</w:t>
      </w:r>
      <w:r w:rsidRPr="00B343A0">
        <w:t xml:space="preserve">. For UE not supporting either </w:t>
      </w:r>
      <w:r w:rsidRPr="00B343A0">
        <w:rPr>
          <w:i/>
          <w:iCs/>
        </w:rPr>
        <w:t xml:space="preserve">measurementEnhancement-r16 </w:t>
      </w:r>
      <w:r w:rsidRPr="00B343A0">
        <w:t>or</w:t>
      </w:r>
      <w:r w:rsidRPr="00B343A0">
        <w:rPr>
          <w:i/>
          <w:iCs/>
        </w:rPr>
        <w:t xml:space="preserve"> interRAT</w:t>
      </w:r>
      <w:r w:rsidRPr="00B343A0">
        <w:rPr>
          <w:i/>
          <w:iCs/>
          <w:lang w:val="en-US"/>
        </w:rPr>
        <w:t>-M</w:t>
      </w:r>
      <w:r w:rsidRPr="00B343A0">
        <w:rPr>
          <w:i/>
          <w:iCs/>
        </w:rPr>
        <w:t>easurementEnhancement-r16</w:t>
      </w:r>
      <w:r w:rsidRPr="00B343A0">
        <w:t>, the UE is not required to meet the requirements specified in Table 4.2.2.5-2.</w:t>
      </w:r>
    </w:p>
    <w:p w14:paraId="49E7C073" w14:textId="77777777" w:rsidR="00EF0608" w:rsidRPr="00B343A0" w:rsidRDefault="00EF0608" w:rsidP="00EB3ABD"/>
    <w:p w14:paraId="7E026421" w14:textId="77777777" w:rsidR="00EF0608" w:rsidRPr="00043DFE" w:rsidRDefault="00EF0608" w:rsidP="00EF0608">
      <w:pPr>
        <w:pStyle w:val="TH"/>
        <w:rPr>
          <w:rFonts w:cs="v4.2.0"/>
          <w:vertAlign w:val="subscript"/>
          <w:lang w:eastAsia="zh-CN"/>
        </w:rPr>
      </w:pPr>
      <w:r w:rsidRPr="00043DFE">
        <w:rPr>
          <w:snapToGrid w:val="0"/>
        </w:rPr>
        <w:t xml:space="preserve">Table 4.2.2.5-3: </w:t>
      </w:r>
      <w:r w:rsidRPr="00043DFE">
        <w:t>T</w:t>
      </w:r>
      <w:r w:rsidRPr="00043DFE">
        <w:rPr>
          <w:vertAlign w:val="subscript"/>
        </w:rPr>
        <w:t>detect,</w:t>
      </w:r>
      <w:r w:rsidRPr="00043DFE">
        <w:rPr>
          <w:vertAlign w:val="subscript"/>
          <w:lang w:eastAsia="zh-CN"/>
        </w:rPr>
        <w:t>E</w:t>
      </w:r>
      <w:r w:rsidRPr="00043DFE">
        <w:rPr>
          <w:vertAlign w:val="subscript"/>
        </w:rPr>
        <w:t>UTRAN</w:t>
      </w:r>
      <w:r w:rsidRPr="00043DFE">
        <w:rPr>
          <w:snapToGrid w:val="0"/>
        </w:rPr>
        <w:t xml:space="preserve">, </w:t>
      </w:r>
      <w:r w:rsidRPr="00043DFE">
        <w:t>T</w:t>
      </w:r>
      <w:r w:rsidRPr="00043DFE">
        <w:rPr>
          <w:vertAlign w:val="subscript"/>
        </w:rPr>
        <w:t>measure,</w:t>
      </w:r>
      <w:r w:rsidRPr="00043DFE">
        <w:rPr>
          <w:vertAlign w:val="subscript"/>
          <w:lang w:eastAsia="zh-CN"/>
        </w:rPr>
        <w:t>E</w:t>
      </w:r>
      <w:r w:rsidRPr="00043DFE">
        <w:rPr>
          <w:vertAlign w:val="subscript"/>
        </w:rPr>
        <w:t>UTRAN,</w:t>
      </w:r>
      <w:r w:rsidRPr="00043DFE">
        <w:t xml:space="preserve"> and </w:t>
      </w:r>
      <w:r w:rsidRPr="00043DFE">
        <w:rPr>
          <w:rFonts w:cs="v4.2.0"/>
        </w:rPr>
        <w:t>T</w:t>
      </w:r>
      <w:r w:rsidRPr="00043DFE">
        <w:rPr>
          <w:rFonts w:cs="v4.2.0"/>
          <w:vertAlign w:val="subscript"/>
        </w:rPr>
        <w:t>evaluate,</w:t>
      </w:r>
      <w:r w:rsidRPr="00043DFE">
        <w:rPr>
          <w:rFonts w:cs="v4.2.0"/>
          <w:vertAlign w:val="subscript"/>
          <w:lang w:eastAsia="zh-CN"/>
        </w:rPr>
        <w:t>E</w:t>
      </w:r>
      <w:r w:rsidRPr="00043DFE">
        <w:rPr>
          <w:rFonts w:cs="v4.2.0"/>
          <w:vertAlign w:val="subscript"/>
        </w:rPr>
        <w:t>UTRAN</w:t>
      </w:r>
      <w:r w:rsidRPr="00043DFE">
        <w:t xml:space="preserve"> for UE configured with eDRX_IDLE cycle</w:t>
      </w:r>
    </w:p>
    <w:tbl>
      <w:tblPr>
        <w:tblW w:w="52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8"/>
        <w:gridCol w:w="567"/>
        <w:gridCol w:w="730"/>
        <w:gridCol w:w="4880"/>
        <w:gridCol w:w="1349"/>
        <w:gridCol w:w="1359"/>
      </w:tblGrid>
      <w:tr w:rsidR="00EF0608" w:rsidRPr="00043DFE" w14:paraId="12EC72E9" w14:textId="77777777" w:rsidTr="008B107E">
        <w:trPr>
          <w:cantSplit/>
          <w:jc w:val="center"/>
        </w:trPr>
        <w:tc>
          <w:tcPr>
            <w:tcW w:w="594" w:type="pct"/>
            <w:tcBorders>
              <w:top w:val="single" w:sz="4" w:space="0" w:color="auto"/>
              <w:left w:val="single" w:sz="4" w:space="0" w:color="auto"/>
              <w:bottom w:val="single" w:sz="4" w:space="0" w:color="auto"/>
              <w:right w:val="single" w:sz="4" w:space="0" w:color="auto"/>
            </w:tcBorders>
            <w:tcMar>
              <w:left w:w="0" w:type="dxa"/>
              <w:right w:w="0" w:type="dxa"/>
            </w:tcMar>
          </w:tcPr>
          <w:p w14:paraId="3CC83555" w14:textId="77777777" w:rsidR="00EF0608" w:rsidRPr="00043DFE" w:rsidRDefault="00EF0608" w:rsidP="008B107E">
            <w:pPr>
              <w:pStyle w:val="TAH"/>
            </w:pPr>
            <w:r w:rsidRPr="00043DFE">
              <w:t>eDRX_IDLE cycle length [s]</w:t>
            </w:r>
          </w:p>
        </w:tc>
        <w:tc>
          <w:tcPr>
            <w:tcW w:w="281" w:type="pct"/>
            <w:tcBorders>
              <w:top w:val="single" w:sz="4" w:space="0" w:color="auto"/>
              <w:left w:val="single" w:sz="4" w:space="0" w:color="auto"/>
              <w:bottom w:val="single" w:sz="4" w:space="0" w:color="auto"/>
              <w:right w:val="single" w:sz="4" w:space="0" w:color="auto"/>
            </w:tcBorders>
            <w:tcMar>
              <w:left w:w="0" w:type="dxa"/>
              <w:right w:w="0" w:type="dxa"/>
            </w:tcMar>
          </w:tcPr>
          <w:p w14:paraId="67B2D4B8" w14:textId="77777777" w:rsidR="00EF0608" w:rsidRPr="00043DFE" w:rsidRDefault="00EF0608" w:rsidP="008B107E">
            <w:pPr>
              <w:pStyle w:val="TAH"/>
              <w:rPr>
                <w:rFonts w:cs="Arial"/>
                <w:snapToGrid w:val="0"/>
              </w:rPr>
            </w:pPr>
            <w:r w:rsidRPr="00043DFE">
              <w:t>DRX cycle length [s]</w:t>
            </w:r>
          </w:p>
        </w:tc>
        <w:tc>
          <w:tcPr>
            <w:tcW w:w="362" w:type="pct"/>
            <w:tcBorders>
              <w:top w:val="single" w:sz="4" w:space="0" w:color="auto"/>
              <w:left w:val="single" w:sz="4" w:space="0" w:color="auto"/>
              <w:bottom w:val="single" w:sz="4" w:space="0" w:color="auto"/>
              <w:right w:val="single" w:sz="4" w:space="0" w:color="auto"/>
            </w:tcBorders>
            <w:tcMar>
              <w:left w:w="0" w:type="dxa"/>
              <w:right w:w="0" w:type="dxa"/>
            </w:tcMar>
          </w:tcPr>
          <w:p w14:paraId="529784B0" w14:textId="77777777" w:rsidR="00EF0608" w:rsidRPr="00043DFE" w:rsidRDefault="00EF0608" w:rsidP="008B107E">
            <w:pPr>
              <w:pStyle w:val="TAH"/>
            </w:pPr>
            <w:r w:rsidRPr="00043DFE">
              <w:t>PTW length [s]</w:t>
            </w:r>
            <w:r w:rsidRPr="00043DFE">
              <w:rPr>
                <w:lang w:eastAsia="zh-CN"/>
              </w:rPr>
              <w:t xml:space="preserve"> (</w:t>
            </w:r>
            <w:r w:rsidRPr="00043DFE">
              <w:rPr>
                <w:rFonts w:cs="Arial"/>
                <w:bCs/>
                <w:iCs/>
                <w:lang w:eastAsia="ja-JP"/>
              </w:rPr>
              <w:t>number of 1.28s periods</w:t>
            </w:r>
            <w:r w:rsidRPr="00043DFE">
              <w:rPr>
                <w:lang w:eastAsia="zh-CN"/>
              </w:rPr>
              <w:t>)</w:t>
            </w:r>
          </w:p>
        </w:tc>
        <w:tc>
          <w:tcPr>
            <w:tcW w:w="2420" w:type="pct"/>
            <w:tcBorders>
              <w:top w:val="single" w:sz="4" w:space="0" w:color="auto"/>
              <w:left w:val="single" w:sz="4" w:space="0" w:color="auto"/>
              <w:bottom w:val="single" w:sz="4" w:space="0" w:color="auto"/>
              <w:right w:val="single" w:sz="4" w:space="0" w:color="auto"/>
            </w:tcBorders>
            <w:tcMar>
              <w:left w:w="0" w:type="dxa"/>
              <w:right w:w="0" w:type="dxa"/>
            </w:tcMar>
          </w:tcPr>
          <w:p w14:paraId="19CA38B8" w14:textId="77777777" w:rsidR="00EF0608" w:rsidRPr="00043DFE" w:rsidRDefault="00EF0608" w:rsidP="008B107E">
            <w:pPr>
              <w:pStyle w:val="TAH"/>
              <w:rPr>
                <w:rFonts w:cs="Arial"/>
              </w:rPr>
            </w:pPr>
            <w:r w:rsidRPr="00043DFE">
              <w:t>T</w:t>
            </w:r>
            <w:r w:rsidRPr="00043DFE">
              <w:rPr>
                <w:vertAlign w:val="subscript"/>
              </w:rPr>
              <w:t>detect,EUTRAN</w:t>
            </w:r>
            <w:r w:rsidRPr="00043DFE">
              <w:t xml:space="preserve"> [s] (number of DRX or eDRX cycles</w:t>
            </w:r>
            <w:r w:rsidRPr="00043DFE">
              <w:rPr>
                <w:rFonts w:cs="Arial"/>
                <w:vertAlign w:val="superscript"/>
                <w:lang w:eastAsia="zh-CN"/>
              </w:rPr>
              <w:t xml:space="preserve"> Note 3</w:t>
            </w:r>
            <w:r w:rsidRPr="00043DFE">
              <w:t>)</w:t>
            </w:r>
          </w:p>
        </w:tc>
        <w:tc>
          <w:tcPr>
            <w:tcW w:w="669" w:type="pct"/>
            <w:tcBorders>
              <w:top w:val="single" w:sz="4" w:space="0" w:color="auto"/>
              <w:left w:val="single" w:sz="4" w:space="0" w:color="auto"/>
              <w:bottom w:val="single" w:sz="4" w:space="0" w:color="auto"/>
              <w:right w:val="single" w:sz="4" w:space="0" w:color="auto"/>
            </w:tcBorders>
            <w:tcMar>
              <w:left w:w="0" w:type="dxa"/>
              <w:right w:w="0" w:type="dxa"/>
            </w:tcMar>
          </w:tcPr>
          <w:p w14:paraId="7DEEAA14" w14:textId="77777777" w:rsidR="00EF0608" w:rsidRPr="00043DFE" w:rsidRDefault="00EF0608" w:rsidP="008B107E">
            <w:pPr>
              <w:pStyle w:val="TAH"/>
              <w:rPr>
                <w:rFonts w:cs="Arial"/>
                <w:snapToGrid w:val="0"/>
              </w:rPr>
            </w:pPr>
            <w:r w:rsidRPr="00043DFE">
              <w:t>T</w:t>
            </w:r>
            <w:r w:rsidRPr="00043DFE">
              <w:rPr>
                <w:vertAlign w:val="subscript"/>
              </w:rPr>
              <w:t>measure,EUTRAN</w:t>
            </w:r>
            <w:r w:rsidRPr="00043DFE">
              <w:t xml:space="preserve"> [s] (number of DRX or eDRX cycles</w:t>
            </w:r>
            <w:r w:rsidRPr="00043DFE">
              <w:rPr>
                <w:rFonts w:cs="Arial"/>
                <w:vertAlign w:val="superscript"/>
                <w:lang w:eastAsia="zh-CN"/>
              </w:rPr>
              <w:t xml:space="preserve"> Note 3</w:t>
            </w:r>
            <w:r w:rsidRPr="00043DFE">
              <w:t>)</w:t>
            </w:r>
          </w:p>
        </w:tc>
        <w:tc>
          <w:tcPr>
            <w:tcW w:w="674" w:type="pct"/>
            <w:tcBorders>
              <w:top w:val="single" w:sz="4" w:space="0" w:color="auto"/>
              <w:left w:val="single" w:sz="4" w:space="0" w:color="auto"/>
              <w:bottom w:val="single" w:sz="4" w:space="0" w:color="auto"/>
              <w:right w:val="single" w:sz="4" w:space="0" w:color="auto"/>
            </w:tcBorders>
            <w:tcMar>
              <w:left w:w="0" w:type="dxa"/>
              <w:right w:w="0" w:type="dxa"/>
            </w:tcMar>
          </w:tcPr>
          <w:p w14:paraId="47FFCD28" w14:textId="77777777" w:rsidR="00EF0608" w:rsidRPr="00043DFE" w:rsidRDefault="00EF0608" w:rsidP="008B107E">
            <w:pPr>
              <w:pStyle w:val="TAH"/>
              <w:rPr>
                <w:rFonts w:cs="Arial"/>
                <w:vertAlign w:val="subscript"/>
              </w:rPr>
            </w:pPr>
            <w:r w:rsidRPr="00043DFE">
              <w:t>T</w:t>
            </w:r>
            <w:r w:rsidRPr="00043DFE">
              <w:rPr>
                <w:vertAlign w:val="subscript"/>
              </w:rPr>
              <w:t>evaluate,E-UTRAN</w:t>
            </w:r>
          </w:p>
          <w:p w14:paraId="3B6E562B" w14:textId="77777777" w:rsidR="00EF0608" w:rsidRPr="00043DFE" w:rsidRDefault="00EF0608" w:rsidP="008B107E">
            <w:pPr>
              <w:pStyle w:val="TAH"/>
              <w:rPr>
                <w:rFonts w:cs="Arial"/>
              </w:rPr>
            </w:pPr>
            <w:r w:rsidRPr="00043DFE">
              <w:rPr>
                <w:rFonts w:cs="Arial"/>
              </w:rPr>
              <w:t xml:space="preserve">[s] (number of DRX </w:t>
            </w:r>
            <w:r w:rsidRPr="00043DFE">
              <w:t>or eDRX</w:t>
            </w:r>
            <w:r w:rsidRPr="00043DFE">
              <w:rPr>
                <w:rFonts w:cs="Arial"/>
              </w:rPr>
              <w:t xml:space="preserve"> cycles</w:t>
            </w:r>
            <w:r w:rsidRPr="00043DFE">
              <w:rPr>
                <w:rFonts w:cs="Arial"/>
                <w:vertAlign w:val="superscript"/>
                <w:lang w:eastAsia="zh-CN"/>
              </w:rPr>
              <w:t xml:space="preserve"> Note 3</w:t>
            </w:r>
            <w:r w:rsidRPr="00043DFE">
              <w:rPr>
                <w:rFonts w:cs="Arial"/>
              </w:rPr>
              <w:t>)</w:t>
            </w:r>
          </w:p>
        </w:tc>
      </w:tr>
      <w:tr w:rsidR="00EF0608" w:rsidRPr="00043DFE" w14:paraId="21E43FE3" w14:textId="77777777" w:rsidTr="008B107E">
        <w:trPr>
          <w:cantSplit/>
          <w:jc w:val="center"/>
        </w:trPr>
        <w:tc>
          <w:tcPr>
            <w:tcW w:w="594" w:type="pct"/>
            <w:tcBorders>
              <w:top w:val="single" w:sz="4" w:space="0" w:color="auto"/>
              <w:left w:val="single" w:sz="4" w:space="0" w:color="auto"/>
              <w:bottom w:val="single" w:sz="4" w:space="0" w:color="auto"/>
              <w:right w:val="single" w:sz="4" w:space="0" w:color="auto"/>
            </w:tcBorders>
            <w:tcMar>
              <w:left w:w="0" w:type="dxa"/>
              <w:right w:w="0" w:type="dxa"/>
            </w:tcMar>
          </w:tcPr>
          <w:p w14:paraId="14010C78" w14:textId="77777777" w:rsidR="00EF0608" w:rsidRPr="00043DFE" w:rsidRDefault="00EF0608" w:rsidP="008B107E">
            <w:pPr>
              <w:pStyle w:val="TAC"/>
              <w:rPr>
                <w:rFonts w:cs="v4.2.0"/>
                <w:lang w:eastAsia="zh-CN"/>
              </w:rPr>
            </w:pPr>
            <w:r w:rsidRPr="00043DFE">
              <w:rPr>
                <w:lang w:val="en-US" w:eastAsia="zh-CN"/>
              </w:rPr>
              <w:t>2.56</w:t>
            </w:r>
          </w:p>
        </w:tc>
        <w:tc>
          <w:tcPr>
            <w:tcW w:w="281" w:type="pct"/>
            <w:tcBorders>
              <w:top w:val="single" w:sz="4" w:space="0" w:color="auto"/>
              <w:left w:val="single" w:sz="4" w:space="0" w:color="auto"/>
              <w:bottom w:val="single" w:sz="4" w:space="0" w:color="auto"/>
              <w:right w:val="single" w:sz="4" w:space="0" w:color="auto"/>
            </w:tcBorders>
            <w:tcMar>
              <w:left w:w="0" w:type="dxa"/>
              <w:right w:w="0" w:type="dxa"/>
            </w:tcMar>
          </w:tcPr>
          <w:p w14:paraId="07481770" w14:textId="77777777" w:rsidR="00EF0608" w:rsidRPr="00043DFE" w:rsidRDefault="00EF0608" w:rsidP="008B107E">
            <w:pPr>
              <w:pStyle w:val="TAC"/>
              <w:rPr>
                <w:rFonts w:cs="v4.2.0"/>
              </w:rPr>
            </w:pPr>
            <w:r w:rsidRPr="00043DFE">
              <w:rPr>
                <w:lang w:eastAsia="zh-CN"/>
              </w:rPr>
              <w:t>N/A</w:t>
            </w:r>
          </w:p>
        </w:tc>
        <w:tc>
          <w:tcPr>
            <w:tcW w:w="362" w:type="pct"/>
            <w:tcBorders>
              <w:top w:val="single" w:sz="4" w:space="0" w:color="auto"/>
              <w:left w:val="single" w:sz="4" w:space="0" w:color="auto"/>
              <w:bottom w:val="single" w:sz="4" w:space="0" w:color="auto"/>
              <w:right w:val="single" w:sz="4" w:space="0" w:color="auto"/>
            </w:tcBorders>
            <w:tcMar>
              <w:left w:w="0" w:type="dxa"/>
              <w:right w:w="0" w:type="dxa"/>
            </w:tcMar>
          </w:tcPr>
          <w:p w14:paraId="73B7CDDF" w14:textId="77777777" w:rsidR="00EF0608" w:rsidRPr="00043DFE" w:rsidRDefault="00EF0608" w:rsidP="008B107E">
            <w:pPr>
              <w:pStyle w:val="TAC"/>
              <w:rPr>
                <w:rFonts w:cs="v4.2.0"/>
              </w:rPr>
            </w:pPr>
            <w:r w:rsidRPr="00043DFE">
              <w:rPr>
                <w:lang w:eastAsia="zh-CN"/>
              </w:rPr>
              <w:t>N/A</w:t>
            </w:r>
          </w:p>
        </w:tc>
        <w:tc>
          <w:tcPr>
            <w:tcW w:w="2420" w:type="pct"/>
            <w:tcBorders>
              <w:top w:val="single" w:sz="4" w:space="0" w:color="auto"/>
              <w:left w:val="single" w:sz="4" w:space="0" w:color="auto"/>
              <w:bottom w:val="single" w:sz="4" w:space="0" w:color="auto"/>
              <w:right w:val="single" w:sz="4" w:space="0" w:color="auto"/>
            </w:tcBorders>
            <w:tcMar>
              <w:left w:w="0" w:type="dxa"/>
              <w:right w:w="0" w:type="dxa"/>
            </w:tcMar>
          </w:tcPr>
          <w:p w14:paraId="6D61C7F7" w14:textId="77777777" w:rsidR="00EF0608" w:rsidRPr="00043DFE" w:rsidRDefault="00EF0608" w:rsidP="008B107E">
            <w:pPr>
              <w:pStyle w:val="TAC"/>
              <w:rPr>
                <w:rFonts w:cs="v4.2.0"/>
              </w:rPr>
            </w:pPr>
            <w:r w:rsidRPr="00043DFE">
              <w:rPr>
                <w:lang w:eastAsia="zh-CN"/>
              </w:rPr>
              <w:t>58.88 (23)</w:t>
            </w:r>
          </w:p>
        </w:tc>
        <w:tc>
          <w:tcPr>
            <w:tcW w:w="669" w:type="pct"/>
            <w:tcBorders>
              <w:top w:val="single" w:sz="4" w:space="0" w:color="auto"/>
              <w:left w:val="single" w:sz="4" w:space="0" w:color="auto"/>
              <w:bottom w:val="single" w:sz="4" w:space="0" w:color="auto"/>
              <w:right w:val="single" w:sz="4" w:space="0" w:color="auto"/>
            </w:tcBorders>
            <w:tcMar>
              <w:left w:w="0" w:type="dxa"/>
              <w:right w:w="0" w:type="dxa"/>
            </w:tcMar>
          </w:tcPr>
          <w:p w14:paraId="5B41348F" w14:textId="77777777" w:rsidR="00EF0608" w:rsidRPr="00043DFE" w:rsidRDefault="00EF0608" w:rsidP="008B107E">
            <w:pPr>
              <w:pStyle w:val="TAC"/>
              <w:rPr>
                <w:rFonts w:cs="v4.2.0"/>
              </w:rPr>
            </w:pPr>
            <w:r w:rsidRPr="00043DFE">
              <w:rPr>
                <w:lang w:eastAsia="zh-CN"/>
              </w:rPr>
              <w:t>2.56 (1)</w:t>
            </w:r>
          </w:p>
        </w:tc>
        <w:tc>
          <w:tcPr>
            <w:tcW w:w="674" w:type="pct"/>
            <w:tcBorders>
              <w:top w:val="single" w:sz="4" w:space="0" w:color="auto"/>
              <w:left w:val="single" w:sz="4" w:space="0" w:color="auto"/>
              <w:bottom w:val="single" w:sz="4" w:space="0" w:color="auto"/>
              <w:right w:val="single" w:sz="4" w:space="0" w:color="auto"/>
            </w:tcBorders>
            <w:tcMar>
              <w:left w:w="0" w:type="dxa"/>
              <w:right w:w="0" w:type="dxa"/>
            </w:tcMar>
          </w:tcPr>
          <w:p w14:paraId="6F8A2617" w14:textId="77777777" w:rsidR="00EF0608" w:rsidRPr="00043DFE" w:rsidRDefault="00EF0608" w:rsidP="008B107E">
            <w:pPr>
              <w:pStyle w:val="TAC"/>
              <w:rPr>
                <w:rFonts w:cs="v4.2.0"/>
              </w:rPr>
            </w:pPr>
            <w:r w:rsidRPr="00043DFE">
              <w:rPr>
                <w:lang w:eastAsia="zh-CN"/>
              </w:rPr>
              <w:t>7.68 (3)</w:t>
            </w:r>
          </w:p>
        </w:tc>
      </w:tr>
      <w:tr w:rsidR="00EF0608" w:rsidRPr="00043DFE" w14:paraId="12B20624" w14:textId="77777777" w:rsidTr="008B107E">
        <w:trPr>
          <w:cantSplit/>
          <w:jc w:val="center"/>
        </w:trPr>
        <w:tc>
          <w:tcPr>
            <w:tcW w:w="594" w:type="pct"/>
            <w:tcBorders>
              <w:top w:val="single" w:sz="4" w:space="0" w:color="auto"/>
              <w:left w:val="single" w:sz="4" w:space="0" w:color="auto"/>
              <w:bottom w:val="single" w:sz="4" w:space="0" w:color="auto"/>
              <w:right w:val="single" w:sz="4" w:space="0" w:color="auto"/>
            </w:tcBorders>
            <w:vAlign w:val="center"/>
          </w:tcPr>
          <w:p w14:paraId="4C73A0EF" w14:textId="77777777" w:rsidR="00EF0608" w:rsidRPr="00043DFE" w:rsidRDefault="00EF0608" w:rsidP="008B107E">
            <w:pPr>
              <w:pStyle w:val="TAC"/>
            </w:pPr>
            <w:r w:rsidRPr="00043DFE">
              <w:t>5.12</w:t>
            </w:r>
          </w:p>
        </w:tc>
        <w:tc>
          <w:tcPr>
            <w:tcW w:w="281" w:type="pct"/>
            <w:tcBorders>
              <w:top w:val="single" w:sz="4" w:space="0" w:color="auto"/>
              <w:left w:val="single" w:sz="4" w:space="0" w:color="auto"/>
              <w:bottom w:val="single" w:sz="4" w:space="0" w:color="auto"/>
              <w:right w:val="single" w:sz="4" w:space="0" w:color="auto"/>
            </w:tcBorders>
          </w:tcPr>
          <w:p w14:paraId="0AF1D6E1" w14:textId="77777777" w:rsidR="00EF0608" w:rsidRPr="00043DFE" w:rsidRDefault="00EF0608" w:rsidP="008B107E">
            <w:pPr>
              <w:pStyle w:val="TAC"/>
            </w:pPr>
            <w:r w:rsidRPr="00043DFE">
              <w:rPr>
                <w:lang w:eastAsia="zh-CN"/>
              </w:rPr>
              <w:t>N/A</w:t>
            </w:r>
          </w:p>
        </w:tc>
        <w:tc>
          <w:tcPr>
            <w:tcW w:w="362" w:type="pct"/>
            <w:tcBorders>
              <w:top w:val="single" w:sz="4" w:space="0" w:color="auto"/>
              <w:left w:val="single" w:sz="4" w:space="0" w:color="auto"/>
              <w:bottom w:val="single" w:sz="4" w:space="0" w:color="auto"/>
              <w:right w:val="single" w:sz="4" w:space="0" w:color="auto"/>
            </w:tcBorders>
          </w:tcPr>
          <w:p w14:paraId="7ACD3859" w14:textId="77777777" w:rsidR="00EF0608" w:rsidRPr="00043DFE" w:rsidRDefault="00EF0608" w:rsidP="008B107E">
            <w:pPr>
              <w:pStyle w:val="TAC"/>
            </w:pPr>
            <w:r w:rsidRPr="00043DFE">
              <w:rPr>
                <w:lang w:eastAsia="zh-CN"/>
              </w:rPr>
              <w:t>N/A</w:t>
            </w:r>
          </w:p>
        </w:tc>
        <w:tc>
          <w:tcPr>
            <w:tcW w:w="2420" w:type="pct"/>
            <w:tcBorders>
              <w:top w:val="single" w:sz="4" w:space="0" w:color="auto"/>
              <w:left w:val="single" w:sz="4" w:space="0" w:color="auto"/>
              <w:bottom w:val="single" w:sz="4" w:space="0" w:color="auto"/>
              <w:right w:val="single" w:sz="4" w:space="0" w:color="auto"/>
            </w:tcBorders>
            <w:tcMar>
              <w:left w:w="0" w:type="dxa"/>
              <w:right w:w="0" w:type="dxa"/>
            </w:tcMar>
          </w:tcPr>
          <w:p w14:paraId="2DF79A88" w14:textId="77777777" w:rsidR="00EF0608" w:rsidRPr="00043DFE" w:rsidRDefault="00EF0608" w:rsidP="008B107E">
            <w:pPr>
              <w:pStyle w:val="TAC"/>
              <w:rPr>
                <w:noProof/>
                <w:szCs w:val="18"/>
              </w:rPr>
            </w:pPr>
            <w:r w:rsidRPr="00043DFE">
              <w:rPr>
                <w:noProof/>
                <w:szCs w:val="18"/>
                <w:lang w:eastAsia="zh-CN"/>
              </w:rPr>
              <w:t>117.76 (23)</w:t>
            </w:r>
          </w:p>
        </w:tc>
        <w:tc>
          <w:tcPr>
            <w:tcW w:w="669" w:type="pct"/>
            <w:tcBorders>
              <w:top w:val="single" w:sz="4" w:space="0" w:color="auto"/>
              <w:left w:val="single" w:sz="4" w:space="0" w:color="auto"/>
              <w:bottom w:val="single" w:sz="4" w:space="0" w:color="auto"/>
              <w:right w:val="single" w:sz="4" w:space="0" w:color="auto"/>
            </w:tcBorders>
          </w:tcPr>
          <w:p w14:paraId="0EF011FA" w14:textId="77777777" w:rsidR="00EF0608" w:rsidRPr="00043DFE" w:rsidRDefault="00EF0608" w:rsidP="008B107E">
            <w:pPr>
              <w:pStyle w:val="TAC"/>
              <w:rPr>
                <w:snapToGrid w:val="0"/>
                <w:szCs w:val="18"/>
              </w:rPr>
            </w:pPr>
            <w:r w:rsidRPr="00043DFE">
              <w:rPr>
                <w:snapToGrid w:val="0"/>
                <w:szCs w:val="18"/>
                <w:lang w:eastAsia="zh-CN"/>
              </w:rPr>
              <w:t>5.12 (1)</w:t>
            </w:r>
          </w:p>
        </w:tc>
        <w:tc>
          <w:tcPr>
            <w:tcW w:w="674" w:type="pct"/>
            <w:tcBorders>
              <w:top w:val="single" w:sz="4" w:space="0" w:color="auto"/>
              <w:left w:val="single" w:sz="4" w:space="0" w:color="auto"/>
              <w:bottom w:val="single" w:sz="4" w:space="0" w:color="auto"/>
              <w:right w:val="single" w:sz="4" w:space="0" w:color="auto"/>
            </w:tcBorders>
          </w:tcPr>
          <w:p w14:paraId="2AEE4AA3" w14:textId="77777777" w:rsidR="00EF0608" w:rsidRPr="00043DFE" w:rsidRDefault="00EF0608" w:rsidP="008B107E">
            <w:pPr>
              <w:pStyle w:val="TAC"/>
              <w:rPr>
                <w:snapToGrid w:val="0"/>
              </w:rPr>
            </w:pPr>
            <w:r w:rsidRPr="00043DFE">
              <w:rPr>
                <w:snapToGrid w:val="0"/>
                <w:szCs w:val="18"/>
                <w:lang w:eastAsia="zh-CN"/>
              </w:rPr>
              <w:t>10.24 (2)</w:t>
            </w:r>
          </w:p>
        </w:tc>
      </w:tr>
      <w:tr w:rsidR="00EF0608" w:rsidRPr="00043DFE" w14:paraId="7FB01762" w14:textId="77777777" w:rsidTr="008B107E">
        <w:trPr>
          <w:cantSplit/>
          <w:jc w:val="center"/>
        </w:trPr>
        <w:tc>
          <w:tcPr>
            <w:tcW w:w="594" w:type="pct"/>
            <w:tcBorders>
              <w:top w:val="single" w:sz="4" w:space="0" w:color="auto"/>
              <w:left w:val="single" w:sz="4" w:space="0" w:color="auto"/>
              <w:bottom w:val="single" w:sz="4" w:space="0" w:color="auto"/>
              <w:right w:val="single" w:sz="4" w:space="0" w:color="auto"/>
            </w:tcBorders>
            <w:vAlign w:val="center"/>
          </w:tcPr>
          <w:p w14:paraId="52A24C06" w14:textId="77777777" w:rsidR="00EF0608" w:rsidRPr="00043DFE" w:rsidRDefault="00EF0608" w:rsidP="008B107E">
            <w:pPr>
              <w:pStyle w:val="TAC"/>
            </w:pPr>
            <w:r w:rsidRPr="00043DFE">
              <w:rPr>
                <w:rFonts w:hint="eastAsia"/>
                <w:lang w:eastAsia="zh-CN"/>
              </w:rPr>
              <w:t>1</w:t>
            </w:r>
            <w:r w:rsidRPr="00043DFE">
              <w:rPr>
                <w:lang w:eastAsia="zh-CN"/>
              </w:rPr>
              <w:t>0.24</w:t>
            </w:r>
          </w:p>
        </w:tc>
        <w:tc>
          <w:tcPr>
            <w:tcW w:w="281" w:type="pct"/>
            <w:tcBorders>
              <w:top w:val="single" w:sz="4" w:space="0" w:color="auto"/>
              <w:left w:val="single" w:sz="4" w:space="0" w:color="auto"/>
              <w:bottom w:val="single" w:sz="4" w:space="0" w:color="auto"/>
              <w:right w:val="single" w:sz="4" w:space="0" w:color="auto"/>
            </w:tcBorders>
          </w:tcPr>
          <w:p w14:paraId="374B5DD1" w14:textId="77777777" w:rsidR="00EF0608" w:rsidRPr="00043DFE" w:rsidRDefault="00EF0608" w:rsidP="008B107E">
            <w:pPr>
              <w:pStyle w:val="TAC"/>
              <w:rPr>
                <w:lang w:eastAsia="zh-CN"/>
              </w:rPr>
            </w:pPr>
            <w:r w:rsidRPr="00043DFE">
              <w:rPr>
                <w:lang w:eastAsia="zh-CN"/>
              </w:rPr>
              <w:t>N/A</w:t>
            </w:r>
          </w:p>
        </w:tc>
        <w:tc>
          <w:tcPr>
            <w:tcW w:w="362" w:type="pct"/>
            <w:tcBorders>
              <w:top w:val="single" w:sz="4" w:space="0" w:color="auto"/>
              <w:left w:val="single" w:sz="4" w:space="0" w:color="auto"/>
              <w:bottom w:val="single" w:sz="4" w:space="0" w:color="auto"/>
              <w:right w:val="single" w:sz="4" w:space="0" w:color="auto"/>
            </w:tcBorders>
          </w:tcPr>
          <w:p w14:paraId="615AFA62" w14:textId="77777777" w:rsidR="00EF0608" w:rsidRPr="00043DFE" w:rsidRDefault="00EF0608" w:rsidP="008B107E">
            <w:pPr>
              <w:pStyle w:val="TAC"/>
              <w:rPr>
                <w:lang w:eastAsia="zh-CN"/>
              </w:rPr>
            </w:pPr>
            <w:r w:rsidRPr="00043DFE">
              <w:rPr>
                <w:lang w:eastAsia="zh-CN"/>
              </w:rPr>
              <w:t>N/A</w:t>
            </w:r>
          </w:p>
        </w:tc>
        <w:tc>
          <w:tcPr>
            <w:tcW w:w="2420" w:type="pct"/>
            <w:tcBorders>
              <w:top w:val="single" w:sz="4" w:space="0" w:color="auto"/>
              <w:left w:val="single" w:sz="4" w:space="0" w:color="auto"/>
              <w:bottom w:val="single" w:sz="4" w:space="0" w:color="auto"/>
              <w:right w:val="single" w:sz="4" w:space="0" w:color="auto"/>
            </w:tcBorders>
            <w:tcMar>
              <w:left w:w="0" w:type="dxa"/>
              <w:right w:w="0" w:type="dxa"/>
            </w:tcMar>
          </w:tcPr>
          <w:p w14:paraId="7A446B2C" w14:textId="77777777" w:rsidR="00EF0608" w:rsidRPr="00043DFE" w:rsidRDefault="00EF0608" w:rsidP="008B107E">
            <w:pPr>
              <w:pStyle w:val="TAC"/>
              <w:rPr>
                <w:noProof/>
                <w:szCs w:val="18"/>
                <w:lang w:eastAsia="zh-CN"/>
              </w:rPr>
            </w:pPr>
            <w:r w:rsidRPr="00043DFE">
              <w:rPr>
                <w:noProof/>
                <w:lang w:eastAsia="zh-CN"/>
              </w:rPr>
              <w:t>235.52 (23)</w:t>
            </w:r>
          </w:p>
        </w:tc>
        <w:tc>
          <w:tcPr>
            <w:tcW w:w="669" w:type="pct"/>
            <w:tcBorders>
              <w:top w:val="single" w:sz="4" w:space="0" w:color="auto"/>
              <w:left w:val="single" w:sz="4" w:space="0" w:color="auto"/>
              <w:bottom w:val="single" w:sz="4" w:space="0" w:color="auto"/>
              <w:right w:val="single" w:sz="4" w:space="0" w:color="auto"/>
            </w:tcBorders>
          </w:tcPr>
          <w:p w14:paraId="2DD07491" w14:textId="77777777" w:rsidR="00EF0608" w:rsidRPr="00043DFE" w:rsidRDefault="00EF0608" w:rsidP="008B107E">
            <w:pPr>
              <w:pStyle w:val="TAC"/>
              <w:rPr>
                <w:snapToGrid w:val="0"/>
                <w:szCs w:val="18"/>
                <w:lang w:eastAsia="zh-CN"/>
              </w:rPr>
            </w:pPr>
            <w:r w:rsidRPr="00043DFE">
              <w:rPr>
                <w:lang w:eastAsia="zh-CN"/>
              </w:rPr>
              <w:t>10.24 (1)</w:t>
            </w:r>
          </w:p>
        </w:tc>
        <w:tc>
          <w:tcPr>
            <w:tcW w:w="674" w:type="pct"/>
            <w:tcBorders>
              <w:top w:val="single" w:sz="4" w:space="0" w:color="auto"/>
              <w:left w:val="single" w:sz="4" w:space="0" w:color="auto"/>
              <w:bottom w:val="single" w:sz="4" w:space="0" w:color="auto"/>
              <w:right w:val="single" w:sz="4" w:space="0" w:color="auto"/>
            </w:tcBorders>
          </w:tcPr>
          <w:p w14:paraId="3114A2A3" w14:textId="77777777" w:rsidR="00EF0608" w:rsidRPr="00043DFE" w:rsidRDefault="00EF0608" w:rsidP="008B107E">
            <w:pPr>
              <w:pStyle w:val="TAC"/>
              <w:rPr>
                <w:snapToGrid w:val="0"/>
                <w:szCs w:val="18"/>
                <w:lang w:eastAsia="zh-CN"/>
              </w:rPr>
            </w:pPr>
            <w:r w:rsidRPr="00043DFE">
              <w:rPr>
                <w:lang w:eastAsia="zh-CN"/>
              </w:rPr>
              <w:t>20.48 (2)</w:t>
            </w:r>
          </w:p>
        </w:tc>
      </w:tr>
      <w:tr w:rsidR="00EF0608" w:rsidRPr="00043DFE" w14:paraId="68165574" w14:textId="77777777" w:rsidTr="008B107E">
        <w:trPr>
          <w:cantSplit/>
          <w:jc w:val="center"/>
        </w:trPr>
        <w:tc>
          <w:tcPr>
            <w:tcW w:w="594" w:type="pct"/>
            <w:tcBorders>
              <w:bottom w:val="nil"/>
            </w:tcBorders>
            <w:vAlign w:val="center"/>
          </w:tcPr>
          <w:p w14:paraId="217E1871" w14:textId="77777777" w:rsidR="00EF0608" w:rsidRPr="00043DFE" w:rsidRDefault="00EF0608" w:rsidP="008B107E">
            <w:pPr>
              <w:pStyle w:val="TAC"/>
            </w:pPr>
            <w:r w:rsidRPr="00043DFE">
              <w:t>20.48 ≤ eDRX_IDLE cycle length ≤</w:t>
            </w:r>
            <w:r w:rsidRPr="00043DFE">
              <w:rPr>
                <w:lang w:eastAsia="zh-CN"/>
              </w:rPr>
              <w:t>10485.76</w:t>
            </w:r>
          </w:p>
        </w:tc>
        <w:tc>
          <w:tcPr>
            <w:tcW w:w="281" w:type="pct"/>
          </w:tcPr>
          <w:p w14:paraId="7D7C7B0B" w14:textId="77777777" w:rsidR="00EF0608" w:rsidRPr="00043DFE" w:rsidRDefault="00EF0608" w:rsidP="008B107E">
            <w:pPr>
              <w:pStyle w:val="TAC"/>
              <w:rPr>
                <w:snapToGrid w:val="0"/>
              </w:rPr>
            </w:pPr>
            <w:r w:rsidRPr="00043DFE">
              <w:t>0.32</w:t>
            </w:r>
          </w:p>
        </w:tc>
        <w:tc>
          <w:tcPr>
            <w:tcW w:w="362" w:type="pct"/>
          </w:tcPr>
          <w:p w14:paraId="2B894697" w14:textId="77777777" w:rsidR="00EF0608" w:rsidRPr="00043DFE" w:rsidRDefault="00EF0608" w:rsidP="008B107E">
            <w:pPr>
              <w:pStyle w:val="TAC"/>
            </w:pPr>
            <w:r w:rsidRPr="00043DFE">
              <w:t>≥1</w:t>
            </w:r>
            <w:r w:rsidRPr="00043DFE">
              <w:rPr>
                <w:rFonts w:hint="eastAsia"/>
                <w:lang w:eastAsia="zh-CN"/>
              </w:rPr>
              <w:t>.28 (1)</w:t>
            </w:r>
          </w:p>
        </w:tc>
        <w:tc>
          <w:tcPr>
            <w:tcW w:w="2420" w:type="pct"/>
            <w:tcBorders>
              <w:bottom w:val="nil"/>
            </w:tcBorders>
            <w:tcMar>
              <w:left w:w="0" w:type="dxa"/>
              <w:right w:w="0" w:type="dxa"/>
            </w:tcMar>
          </w:tcPr>
          <w:p w14:paraId="4C65D06B" w14:textId="77777777" w:rsidR="00EF0608" w:rsidRPr="00043DFE" w:rsidRDefault="00EF0608" w:rsidP="008B107E">
            <w:pPr>
              <w:pStyle w:val="TAC"/>
              <w:rPr>
                <w:noProof/>
                <w:snapToGrid w:val="0"/>
                <w:szCs w:val="18"/>
              </w:rPr>
            </w:pPr>
            <w:r w:rsidRPr="00043DFE">
              <w:rPr>
                <w:noProof/>
                <w:position w:val="-32"/>
                <w:szCs w:val="18"/>
              </w:rPr>
              <w:object w:dxaOrig="5460" w:dyaOrig="760" w14:anchorId="1B49E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9.5pt;height:28.5pt;mso-width-percent:0;mso-height-percent:0;mso-width-percent:0;mso-height-percent:0" o:ole="">
                  <v:imagedata r:id="rId13" o:title=""/>
                </v:shape>
                <o:OLEObject Type="Embed" ProgID="Equation.3" ShapeID="_x0000_i1025" DrawAspect="Content" ObjectID="_1749665161" r:id="rId14"/>
              </w:object>
            </w:r>
            <w:r w:rsidRPr="00043DFE">
              <w:rPr>
                <w:noProof/>
                <w:szCs w:val="18"/>
              </w:rPr>
              <w:t xml:space="preserve"> (23)</w:t>
            </w:r>
          </w:p>
        </w:tc>
        <w:tc>
          <w:tcPr>
            <w:tcW w:w="669" w:type="pct"/>
          </w:tcPr>
          <w:p w14:paraId="78F9703C" w14:textId="77777777" w:rsidR="00EF0608" w:rsidRPr="00043DFE" w:rsidRDefault="00EF0608" w:rsidP="008B107E">
            <w:pPr>
              <w:pStyle w:val="TAC"/>
              <w:rPr>
                <w:snapToGrid w:val="0"/>
                <w:szCs w:val="18"/>
              </w:rPr>
            </w:pPr>
            <w:r w:rsidRPr="00043DFE">
              <w:rPr>
                <w:snapToGrid w:val="0"/>
                <w:szCs w:val="18"/>
              </w:rPr>
              <w:t>0.32 (1)</w:t>
            </w:r>
          </w:p>
        </w:tc>
        <w:tc>
          <w:tcPr>
            <w:tcW w:w="674" w:type="pct"/>
          </w:tcPr>
          <w:p w14:paraId="1453A60F" w14:textId="77777777" w:rsidR="00EF0608" w:rsidRPr="00043DFE" w:rsidRDefault="00EF0608" w:rsidP="008B107E">
            <w:pPr>
              <w:pStyle w:val="TAC"/>
              <w:rPr>
                <w:snapToGrid w:val="0"/>
              </w:rPr>
            </w:pPr>
            <w:r w:rsidRPr="00043DFE">
              <w:rPr>
                <w:snapToGrid w:val="0"/>
              </w:rPr>
              <w:t>0.64 (2)</w:t>
            </w:r>
          </w:p>
        </w:tc>
      </w:tr>
      <w:tr w:rsidR="00EF0608" w:rsidRPr="00043DFE" w14:paraId="0413B8C8" w14:textId="77777777" w:rsidTr="008B107E">
        <w:trPr>
          <w:cantSplit/>
          <w:jc w:val="center"/>
        </w:trPr>
        <w:tc>
          <w:tcPr>
            <w:tcW w:w="594" w:type="pct"/>
            <w:tcBorders>
              <w:top w:val="nil"/>
              <w:bottom w:val="nil"/>
            </w:tcBorders>
          </w:tcPr>
          <w:p w14:paraId="3BD93256" w14:textId="77777777" w:rsidR="00EF0608" w:rsidRPr="00043DFE" w:rsidRDefault="00EF0608" w:rsidP="008B107E">
            <w:pPr>
              <w:pStyle w:val="TAC"/>
            </w:pPr>
          </w:p>
        </w:tc>
        <w:tc>
          <w:tcPr>
            <w:tcW w:w="281" w:type="pct"/>
          </w:tcPr>
          <w:p w14:paraId="166CD600" w14:textId="77777777" w:rsidR="00EF0608" w:rsidRPr="00043DFE" w:rsidRDefault="00EF0608" w:rsidP="008B107E">
            <w:pPr>
              <w:pStyle w:val="TAC"/>
              <w:rPr>
                <w:snapToGrid w:val="0"/>
              </w:rPr>
            </w:pPr>
            <w:r w:rsidRPr="00043DFE">
              <w:t>0.64</w:t>
            </w:r>
          </w:p>
        </w:tc>
        <w:tc>
          <w:tcPr>
            <w:tcW w:w="362" w:type="pct"/>
          </w:tcPr>
          <w:p w14:paraId="685A7FC9" w14:textId="77777777" w:rsidR="00EF0608" w:rsidRPr="00043DFE" w:rsidRDefault="00EF0608" w:rsidP="008B107E">
            <w:pPr>
              <w:pStyle w:val="TAC"/>
            </w:pPr>
            <w:r w:rsidRPr="00043DFE">
              <w:rPr>
                <w:lang w:eastAsia="ja-JP"/>
              </w:rPr>
              <w:t>≥</w:t>
            </w:r>
            <w:r w:rsidRPr="00043DFE">
              <w:rPr>
                <w:rFonts w:hint="eastAsia"/>
                <w:lang w:eastAsia="zh-CN"/>
              </w:rPr>
              <w:t>1.</w:t>
            </w:r>
            <w:r w:rsidRPr="00043DFE">
              <w:rPr>
                <w:lang w:eastAsia="ja-JP"/>
              </w:rPr>
              <w:t>2</w:t>
            </w:r>
            <w:r w:rsidRPr="00043DFE">
              <w:rPr>
                <w:rFonts w:hint="eastAsia"/>
                <w:lang w:eastAsia="zh-CN"/>
              </w:rPr>
              <w:t>8 (1)</w:t>
            </w:r>
          </w:p>
        </w:tc>
        <w:tc>
          <w:tcPr>
            <w:tcW w:w="2420" w:type="pct"/>
            <w:tcBorders>
              <w:top w:val="nil"/>
              <w:bottom w:val="nil"/>
            </w:tcBorders>
          </w:tcPr>
          <w:p w14:paraId="72E52E4A" w14:textId="77777777" w:rsidR="00EF0608" w:rsidRPr="00043DFE" w:rsidRDefault="00EF0608" w:rsidP="008B107E">
            <w:pPr>
              <w:pStyle w:val="TAC"/>
              <w:rPr>
                <w:noProof/>
                <w:snapToGrid w:val="0"/>
                <w:szCs w:val="18"/>
              </w:rPr>
            </w:pPr>
          </w:p>
        </w:tc>
        <w:tc>
          <w:tcPr>
            <w:tcW w:w="669" w:type="pct"/>
          </w:tcPr>
          <w:p w14:paraId="5D2DB8C7" w14:textId="77777777" w:rsidR="00EF0608" w:rsidRPr="00043DFE" w:rsidRDefault="00EF0608" w:rsidP="008B107E">
            <w:pPr>
              <w:pStyle w:val="TAC"/>
              <w:rPr>
                <w:snapToGrid w:val="0"/>
                <w:szCs w:val="18"/>
              </w:rPr>
            </w:pPr>
            <w:r w:rsidRPr="00043DFE">
              <w:rPr>
                <w:snapToGrid w:val="0"/>
                <w:szCs w:val="18"/>
              </w:rPr>
              <w:t>0.64 (1)</w:t>
            </w:r>
          </w:p>
        </w:tc>
        <w:tc>
          <w:tcPr>
            <w:tcW w:w="674" w:type="pct"/>
          </w:tcPr>
          <w:p w14:paraId="3E1699B6" w14:textId="77777777" w:rsidR="00EF0608" w:rsidRPr="00043DFE" w:rsidRDefault="00EF0608" w:rsidP="008B107E">
            <w:pPr>
              <w:pStyle w:val="TAC"/>
              <w:rPr>
                <w:snapToGrid w:val="0"/>
              </w:rPr>
            </w:pPr>
            <w:r w:rsidRPr="00043DFE">
              <w:rPr>
                <w:snapToGrid w:val="0"/>
              </w:rPr>
              <w:t>1.28 (2)</w:t>
            </w:r>
          </w:p>
        </w:tc>
      </w:tr>
      <w:tr w:rsidR="00EF0608" w:rsidRPr="00043DFE" w14:paraId="70051394" w14:textId="77777777" w:rsidTr="008B107E">
        <w:trPr>
          <w:cantSplit/>
          <w:jc w:val="center"/>
        </w:trPr>
        <w:tc>
          <w:tcPr>
            <w:tcW w:w="594" w:type="pct"/>
            <w:tcBorders>
              <w:top w:val="nil"/>
              <w:bottom w:val="nil"/>
            </w:tcBorders>
          </w:tcPr>
          <w:p w14:paraId="03A48616" w14:textId="77777777" w:rsidR="00EF0608" w:rsidRPr="00043DFE" w:rsidRDefault="00EF0608" w:rsidP="008B107E">
            <w:pPr>
              <w:pStyle w:val="TAC"/>
            </w:pPr>
          </w:p>
        </w:tc>
        <w:tc>
          <w:tcPr>
            <w:tcW w:w="281" w:type="pct"/>
          </w:tcPr>
          <w:p w14:paraId="59B89AA9" w14:textId="77777777" w:rsidR="00EF0608" w:rsidRPr="00043DFE" w:rsidRDefault="00EF0608" w:rsidP="008B107E">
            <w:pPr>
              <w:pStyle w:val="TAC"/>
              <w:rPr>
                <w:snapToGrid w:val="0"/>
              </w:rPr>
            </w:pPr>
            <w:r w:rsidRPr="00043DFE">
              <w:t>1.28</w:t>
            </w:r>
          </w:p>
        </w:tc>
        <w:tc>
          <w:tcPr>
            <w:tcW w:w="362" w:type="pct"/>
          </w:tcPr>
          <w:p w14:paraId="1A1226BB" w14:textId="77777777" w:rsidR="00EF0608" w:rsidRPr="00043DFE" w:rsidRDefault="00EF0608" w:rsidP="008B107E">
            <w:pPr>
              <w:pStyle w:val="TAC"/>
            </w:pPr>
            <w:r w:rsidRPr="00043DFE">
              <w:rPr>
                <w:lang w:eastAsia="ja-JP"/>
              </w:rPr>
              <w:t>≥</w:t>
            </w:r>
            <w:r w:rsidRPr="00043DFE">
              <w:rPr>
                <w:rFonts w:hint="eastAsia"/>
                <w:lang w:eastAsia="zh-CN"/>
              </w:rPr>
              <w:t>2.56 (2)</w:t>
            </w:r>
          </w:p>
        </w:tc>
        <w:tc>
          <w:tcPr>
            <w:tcW w:w="2420" w:type="pct"/>
            <w:tcBorders>
              <w:top w:val="nil"/>
              <w:bottom w:val="nil"/>
            </w:tcBorders>
          </w:tcPr>
          <w:p w14:paraId="45648589" w14:textId="77777777" w:rsidR="00EF0608" w:rsidRPr="00043DFE" w:rsidRDefault="00EF0608" w:rsidP="008B107E">
            <w:pPr>
              <w:pStyle w:val="TAC"/>
              <w:rPr>
                <w:noProof/>
                <w:snapToGrid w:val="0"/>
                <w:szCs w:val="18"/>
              </w:rPr>
            </w:pPr>
          </w:p>
        </w:tc>
        <w:tc>
          <w:tcPr>
            <w:tcW w:w="669" w:type="pct"/>
          </w:tcPr>
          <w:p w14:paraId="3C63BC0D" w14:textId="77777777" w:rsidR="00EF0608" w:rsidRPr="00043DFE" w:rsidRDefault="00EF0608" w:rsidP="008B107E">
            <w:pPr>
              <w:pStyle w:val="TAC"/>
              <w:rPr>
                <w:snapToGrid w:val="0"/>
              </w:rPr>
            </w:pPr>
            <w:r w:rsidRPr="00043DFE">
              <w:rPr>
                <w:snapToGrid w:val="0"/>
              </w:rPr>
              <w:t>1.28 (1)</w:t>
            </w:r>
          </w:p>
        </w:tc>
        <w:tc>
          <w:tcPr>
            <w:tcW w:w="674" w:type="pct"/>
          </w:tcPr>
          <w:p w14:paraId="59320C0C" w14:textId="77777777" w:rsidR="00EF0608" w:rsidRPr="00043DFE" w:rsidRDefault="00EF0608" w:rsidP="008B107E">
            <w:pPr>
              <w:pStyle w:val="TAC"/>
              <w:rPr>
                <w:snapToGrid w:val="0"/>
              </w:rPr>
            </w:pPr>
            <w:r w:rsidRPr="00043DFE">
              <w:rPr>
                <w:snapToGrid w:val="0"/>
              </w:rPr>
              <w:t>2.56 (2)</w:t>
            </w:r>
          </w:p>
        </w:tc>
      </w:tr>
      <w:tr w:rsidR="00EF0608" w:rsidRPr="00043DFE" w14:paraId="7188548F" w14:textId="77777777" w:rsidTr="008B107E">
        <w:trPr>
          <w:cantSplit/>
          <w:jc w:val="center"/>
        </w:trPr>
        <w:tc>
          <w:tcPr>
            <w:tcW w:w="594" w:type="pct"/>
            <w:tcBorders>
              <w:top w:val="nil"/>
            </w:tcBorders>
          </w:tcPr>
          <w:p w14:paraId="0DCD1233" w14:textId="77777777" w:rsidR="00EF0608" w:rsidRPr="00043DFE" w:rsidRDefault="00EF0608" w:rsidP="008B107E">
            <w:pPr>
              <w:pStyle w:val="TAC"/>
            </w:pPr>
          </w:p>
        </w:tc>
        <w:tc>
          <w:tcPr>
            <w:tcW w:w="281" w:type="pct"/>
          </w:tcPr>
          <w:p w14:paraId="0F3FE4B4" w14:textId="77777777" w:rsidR="00EF0608" w:rsidRPr="00043DFE" w:rsidRDefault="00EF0608" w:rsidP="008B107E">
            <w:pPr>
              <w:pStyle w:val="TAC"/>
              <w:rPr>
                <w:snapToGrid w:val="0"/>
              </w:rPr>
            </w:pPr>
            <w:r w:rsidRPr="00043DFE">
              <w:t>2.56</w:t>
            </w:r>
          </w:p>
        </w:tc>
        <w:tc>
          <w:tcPr>
            <w:tcW w:w="362" w:type="pct"/>
          </w:tcPr>
          <w:p w14:paraId="21358D62" w14:textId="77777777" w:rsidR="00EF0608" w:rsidRPr="00043DFE" w:rsidRDefault="00EF0608" w:rsidP="008B107E">
            <w:pPr>
              <w:pStyle w:val="TAC"/>
            </w:pPr>
            <w:r w:rsidRPr="00043DFE">
              <w:rPr>
                <w:lang w:eastAsia="ja-JP"/>
              </w:rPr>
              <w:t>≥</w:t>
            </w:r>
            <w:r w:rsidRPr="00043DFE">
              <w:rPr>
                <w:rFonts w:hint="eastAsia"/>
                <w:lang w:eastAsia="zh-CN"/>
              </w:rPr>
              <w:t>5.12 (4)</w:t>
            </w:r>
          </w:p>
        </w:tc>
        <w:tc>
          <w:tcPr>
            <w:tcW w:w="2420" w:type="pct"/>
            <w:tcBorders>
              <w:top w:val="nil"/>
            </w:tcBorders>
          </w:tcPr>
          <w:p w14:paraId="1E7DA0BA" w14:textId="77777777" w:rsidR="00EF0608" w:rsidRPr="00043DFE" w:rsidRDefault="00EF0608" w:rsidP="008B107E">
            <w:pPr>
              <w:pStyle w:val="TAC"/>
              <w:rPr>
                <w:noProof/>
                <w:snapToGrid w:val="0"/>
                <w:szCs w:val="18"/>
              </w:rPr>
            </w:pPr>
          </w:p>
        </w:tc>
        <w:tc>
          <w:tcPr>
            <w:tcW w:w="669" w:type="pct"/>
          </w:tcPr>
          <w:p w14:paraId="548BB4EB" w14:textId="77777777" w:rsidR="00EF0608" w:rsidRPr="00043DFE" w:rsidRDefault="00EF0608" w:rsidP="008B107E">
            <w:pPr>
              <w:pStyle w:val="TAC"/>
              <w:rPr>
                <w:snapToGrid w:val="0"/>
              </w:rPr>
            </w:pPr>
            <w:r w:rsidRPr="00043DFE">
              <w:rPr>
                <w:snapToGrid w:val="0"/>
              </w:rPr>
              <w:t>2.56 (1)</w:t>
            </w:r>
          </w:p>
        </w:tc>
        <w:tc>
          <w:tcPr>
            <w:tcW w:w="674" w:type="pct"/>
          </w:tcPr>
          <w:p w14:paraId="0EA881CD" w14:textId="77777777" w:rsidR="00EF0608" w:rsidRPr="00043DFE" w:rsidRDefault="00EF0608" w:rsidP="008B107E">
            <w:pPr>
              <w:pStyle w:val="TAC"/>
              <w:rPr>
                <w:snapToGrid w:val="0"/>
              </w:rPr>
            </w:pPr>
            <w:r w:rsidRPr="00043DFE">
              <w:t>5.12 (2)</w:t>
            </w:r>
          </w:p>
        </w:tc>
      </w:tr>
      <w:tr w:rsidR="00EF0608" w:rsidRPr="00043DFE" w14:paraId="13D7C770" w14:textId="77777777" w:rsidTr="008B107E">
        <w:trPr>
          <w:cantSplit/>
          <w:jc w:val="center"/>
        </w:trPr>
        <w:tc>
          <w:tcPr>
            <w:tcW w:w="5000" w:type="pct"/>
            <w:gridSpan w:val="6"/>
          </w:tcPr>
          <w:p w14:paraId="1620EFE8" w14:textId="77777777" w:rsidR="00EF0608" w:rsidRPr="00043DFE" w:rsidRDefault="00EF0608" w:rsidP="008B107E">
            <w:pPr>
              <w:pStyle w:val="TAN"/>
            </w:pPr>
            <w:r w:rsidRPr="00043DFE">
              <w:t>NOTE 1: The number of DRX cycles in this table is given for the DRX cycles within PTWs.</w:t>
            </w:r>
          </w:p>
          <w:p w14:paraId="08A057CC" w14:textId="77777777" w:rsidR="00EF0608" w:rsidRPr="00043DFE" w:rsidRDefault="00EF0608" w:rsidP="008B107E">
            <w:pPr>
              <w:pStyle w:val="TAN"/>
            </w:pPr>
            <w:r w:rsidRPr="00043DFE">
              <w:t>NOTE 2: The eDRX_IDLE cycle lengths are as specified in Section 10.5.5.32 of TS 24.008 [34].</w:t>
            </w:r>
          </w:p>
          <w:p w14:paraId="0A54EFA6" w14:textId="77777777" w:rsidR="00EF0608" w:rsidRPr="00043DFE" w:rsidRDefault="00EF0608" w:rsidP="008B107E">
            <w:pPr>
              <w:pStyle w:val="TAN"/>
            </w:pPr>
            <w:r w:rsidRPr="00043DFE">
              <w:t>NOTE 3: Number of eDRX cycles when eDRX_IDLE cycle length equals 5.12s, number of DRX cycles otherwise.</w:t>
            </w:r>
          </w:p>
          <w:p w14:paraId="777A722B" w14:textId="77777777" w:rsidR="00EF0608" w:rsidRPr="00043DFE" w:rsidRDefault="00EF0608" w:rsidP="008B107E">
            <w:pPr>
              <w:pStyle w:val="TAN"/>
              <w:rPr>
                <w:iCs/>
                <w:szCs w:val="18"/>
              </w:rPr>
            </w:pPr>
            <w:r w:rsidRPr="00043DFE">
              <w:rPr>
                <w:snapToGrid w:val="0"/>
                <w:szCs w:val="18"/>
                <w:lang w:eastAsia="zh-CN"/>
              </w:rPr>
              <w:t xml:space="preserve">NOTE </w:t>
            </w:r>
            <w:r w:rsidRPr="00043DFE">
              <w:rPr>
                <w:szCs w:val="18"/>
              </w:rPr>
              <w:t>4:</w:t>
            </w:r>
            <w:r w:rsidRPr="00043DFE">
              <w:rPr>
                <w:szCs w:val="18"/>
                <w:lang w:val="en-US"/>
              </w:rPr>
              <w:t xml:space="preserve"> </w:t>
            </w:r>
            <w:r w:rsidRPr="00043DFE">
              <w:rPr>
                <w:szCs w:val="18"/>
              </w:rPr>
              <w:t xml:space="preserve">The lower bound of </w:t>
            </w:r>
            <w:r w:rsidRPr="00043DFE">
              <w:rPr>
                <w:iCs/>
                <w:color w:val="000000" w:themeColor="text1"/>
                <w:szCs w:val="18"/>
              </w:rPr>
              <w:t xml:space="preserve">PTW length is derived based on </w:t>
            </w:r>
            <m:oMath>
              <m:d>
                <m:dPr>
                  <m:begChr m:val="⌈"/>
                  <m:endChr m:val="⌉"/>
                  <m:ctrlPr>
                    <w:rPr>
                      <w:rFonts w:ascii="Cambria Math" w:hAnsi="Cambria Math"/>
                      <w:iCs/>
                      <w:szCs w:val="18"/>
                    </w:rPr>
                  </m:ctrlPr>
                </m:dPr>
                <m:e>
                  <m:f>
                    <m:fPr>
                      <m:ctrlPr>
                        <w:rPr>
                          <w:rFonts w:ascii="Cambria Math" w:hAnsi="Cambria Math"/>
                          <w:iCs/>
                          <w:szCs w:val="18"/>
                        </w:rPr>
                      </m:ctrlPr>
                    </m:fPr>
                    <m:num>
                      <m:r>
                        <m:rPr>
                          <m:sty m:val="p"/>
                        </m:rPr>
                        <w:rPr>
                          <w:rFonts w:ascii="Cambria Math" w:hAnsi="Cambria Math"/>
                          <w:szCs w:val="16"/>
                          <w:lang w:val="en-US"/>
                        </w:rPr>
                        <m:t>T</m:t>
                      </m:r>
                      <m:r>
                        <m:rPr>
                          <m:sty m:val="p"/>
                        </m:rPr>
                        <w:rPr>
                          <w:rFonts w:ascii="Cambria Math" w:hAnsi="Cambria Math"/>
                          <w:szCs w:val="16"/>
                          <w:vertAlign w:val="subscript"/>
                          <w:lang w:val="en-US"/>
                        </w:rPr>
                        <m:t>evaluate,E-UTRAN</m:t>
                      </m:r>
                      <m:r>
                        <m:rPr>
                          <m:sty m:val="p"/>
                        </m:rPr>
                        <w:rPr>
                          <w:rFonts w:ascii="Cambria Math" w:hAnsi="Cambria Math"/>
                          <w:szCs w:val="18"/>
                        </w:rPr>
                        <m:t>*DRX_cycle</m:t>
                      </m:r>
                    </m:num>
                    <m:den>
                      <m:r>
                        <m:rPr>
                          <m:sty m:val="p"/>
                        </m:rPr>
                        <w:rPr>
                          <w:rFonts w:ascii="Cambria Math" w:hAnsi="Cambria Math"/>
                          <w:szCs w:val="18"/>
                        </w:rPr>
                        <m:t>1.28</m:t>
                      </m:r>
                    </m:den>
                  </m:f>
                </m:e>
              </m:d>
              <m:r>
                <m:rPr>
                  <m:sty m:val="p"/>
                </m:rPr>
                <w:rPr>
                  <w:rFonts w:ascii="Cambria Math" w:hAnsi="Cambria Math"/>
                  <w:szCs w:val="18"/>
                </w:rPr>
                <m:t>*1.28</m:t>
              </m:r>
            </m:oMath>
            <w:r w:rsidRPr="00043DFE">
              <w:rPr>
                <w:iCs/>
                <w:szCs w:val="18"/>
              </w:rPr>
              <w:t>.</w:t>
            </w:r>
          </w:p>
          <w:p w14:paraId="2F7AC4AC" w14:textId="77777777" w:rsidR="00EF0608" w:rsidRPr="00043DFE" w:rsidRDefault="00EF0608" w:rsidP="008B107E">
            <w:pPr>
              <w:pStyle w:val="TAN"/>
            </w:pPr>
            <w:r w:rsidRPr="00043DFE">
              <w:rPr>
                <w:rFonts w:cs="Arial"/>
                <w:iCs/>
              </w:rPr>
              <w:t>NOTE 5: When eDRX=20.48s and DRX=0.32s, UE is allowed to perform cell evaluation within PTW in every 2 eDRX cycles.</w:t>
            </w:r>
          </w:p>
        </w:tc>
      </w:tr>
    </w:tbl>
    <w:p w14:paraId="580ADC11" w14:textId="77777777" w:rsidR="00EF0608" w:rsidRPr="00043DFE" w:rsidRDefault="00EF0608" w:rsidP="00EF0608"/>
    <w:p w14:paraId="33A963D9" w14:textId="77777777" w:rsidR="00EF0608" w:rsidRPr="00043DFE" w:rsidRDefault="00EF0608" w:rsidP="00EF0608">
      <w:r w:rsidRPr="00043DFE">
        <w:t>For any requirement in this section, when the UE transitions between any two states when being configured with eDRX_IDLE, being configured with eDRX_IDLE cycle, changing eDRX_IDLE cycle length, or changing PTW configuration, the UE shall meet the transition requirement, which is the less stringent requirement of the two requirements corresponding to the first state and the second state, during the transition time interval which is the time corresponding to the transition requirement. After the transition time interval, the UE shall meet the requirement corresponding to the second state.</w:t>
      </w:r>
    </w:p>
    <w:p w14:paraId="04685659" w14:textId="77777777" w:rsidR="00EF0608" w:rsidRPr="00043DFE" w:rsidRDefault="00EF0608" w:rsidP="00EF0608"/>
    <w:p w14:paraId="107AE9E9" w14:textId="77777777" w:rsidR="00E738E0" w:rsidRPr="009C5807" w:rsidRDefault="00E738E0" w:rsidP="00E738E0">
      <w:pPr>
        <w:pStyle w:val="Heading4"/>
      </w:pPr>
      <w:bookmarkStart w:id="39" w:name="_Toc5952540"/>
      <w:r w:rsidRPr="009C5807">
        <w:t>4.2.2.6</w:t>
      </w:r>
      <w:r w:rsidRPr="009C5807">
        <w:tab/>
        <w:t>Maximum interruption in paging reception</w:t>
      </w:r>
      <w:bookmarkEnd w:id="39"/>
    </w:p>
    <w:p w14:paraId="49F9AAD7" w14:textId="77777777" w:rsidR="00806ACF" w:rsidRPr="00043DFE" w:rsidRDefault="00806ACF" w:rsidP="00806ACF">
      <w:pPr>
        <w:rPr>
          <w:lang w:eastAsia="ko-KR"/>
        </w:rPr>
      </w:pPr>
      <w:r w:rsidRPr="00043DFE">
        <w:rPr>
          <w:lang w:eastAsia="ko-KR"/>
        </w:rPr>
        <w:t>UE shall perform the cell re-selection with minimum interruption in monitoring downlink channels for paging reception.</w:t>
      </w:r>
      <w:r w:rsidRPr="00043DFE">
        <w:rPr>
          <w:lang w:eastAsia="zh-CN"/>
        </w:rPr>
        <w:t xml:space="preserve"> In addition, </w:t>
      </w:r>
      <w:r w:rsidRPr="00043DFE">
        <w:rPr>
          <w:snapToGrid w:val="0"/>
        </w:rPr>
        <w:t>when the UE is configured with eDRX_IDLE cycle, the UE shall not miss any paging in a PTW provided the paging is sent in at least 2 DRX cycles before the end of that PTW.</w:t>
      </w:r>
    </w:p>
    <w:p w14:paraId="1606A384" w14:textId="642DFCE4" w:rsidR="00E738E0" w:rsidRPr="009C5807" w:rsidRDefault="00E738E0" w:rsidP="00E738E0">
      <w:pPr>
        <w:rPr>
          <w:lang w:eastAsia="ko-KR"/>
        </w:rPr>
      </w:pPr>
      <w:r w:rsidRPr="009C5807">
        <w:rPr>
          <w:lang w:eastAsia="ko-KR"/>
        </w:rPr>
        <w:t>At intra-frequency and inter-frequency cell re-selection, the UE shall monitor the downlink of serving cell for paging reception until the UE is capable to start monitoring downlink channels of the target intra-frequency and inter-frequency cell for paging reception. The interruption time shall not exceed T</w:t>
      </w:r>
      <w:r w:rsidRPr="009C5807">
        <w:rPr>
          <w:vertAlign w:val="subscript"/>
          <w:lang w:eastAsia="ko-KR"/>
        </w:rPr>
        <w:t xml:space="preserve">SI-NR </w:t>
      </w:r>
      <w:r w:rsidRPr="009C5807">
        <w:rPr>
          <w:lang w:eastAsia="ko-KR"/>
        </w:rPr>
        <w:t>+ 2*</w:t>
      </w:r>
      <w:r w:rsidRPr="009C5807">
        <w:t>T</w:t>
      </w:r>
      <w:r w:rsidRPr="009C5807">
        <w:rPr>
          <w:vertAlign w:val="subscript"/>
        </w:rPr>
        <w:t xml:space="preserve">target_cell_SMTC_period </w:t>
      </w:r>
      <w:r w:rsidRPr="009C5807">
        <w:rPr>
          <w:lang w:eastAsia="ko-KR"/>
        </w:rPr>
        <w:t>ms.</w:t>
      </w:r>
      <w:r w:rsidR="00AB11D0" w:rsidRPr="00250E36">
        <w:rPr>
          <w:lang w:eastAsia="ko-KR"/>
        </w:rPr>
        <w:t xml:space="preserve"> T</w:t>
      </w:r>
      <w:r w:rsidR="00AB11D0" w:rsidRPr="00250E36">
        <w:rPr>
          <w:vertAlign w:val="subscript"/>
          <w:lang w:eastAsia="ko-KR"/>
        </w:rPr>
        <w:t xml:space="preserve">target_cell_SMTC_period </w:t>
      </w:r>
      <w:r w:rsidR="00AB11D0" w:rsidRPr="00250E36">
        <w:rPr>
          <w:lang w:eastAsia="ko-KR"/>
        </w:rPr>
        <w:t>is the periodicity of the SMTC occasions configured for the target NR cell.</w:t>
      </w:r>
      <w:r w:rsidR="00AB11D0" w:rsidRPr="00250E36">
        <w:t xml:space="preserve"> If the target cell is in the PCI list of </w:t>
      </w:r>
      <w:r w:rsidR="00AB11D0" w:rsidRPr="00250E36">
        <w:rPr>
          <w:i/>
          <w:iCs/>
        </w:rPr>
        <w:t>smtc2-LP</w:t>
      </w:r>
      <w:r w:rsidR="00AB11D0" w:rsidRPr="00250E36">
        <w:t>, the SMTC periodicity</w:t>
      </w:r>
      <w:r w:rsidR="00AB11D0" w:rsidRPr="00250E36">
        <w:rPr>
          <w:vertAlign w:val="subscript"/>
        </w:rPr>
        <w:t xml:space="preserve"> </w:t>
      </w:r>
      <w:r w:rsidR="00AB11D0" w:rsidRPr="00250E36">
        <w:t xml:space="preserve">follows </w:t>
      </w:r>
      <w:r w:rsidR="00AB11D0" w:rsidRPr="00250E36">
        <w:rPr>
          <w:i/>
          <w:iCs/>
        </w:rPr>
        <w:t>smtc2-LP</w:t>
      </w:r>
      <w:r w:rsidR="00AB11D0" w:rsidRPr="00250E36">
        <w:t>; otherwise</w:t>
      </w:r>
      <w:r w:rsidR="00AB11D0">
        <w:t>,</w:t>
      </w:r>
      <w:r w:rsidR="00AB11D0" w:rsidRPr="00250E36">
        <w:t xml:space="preserve"> the SMTC periodicity follows </w:t>
      </w:r>
      <w:r w:rsidR="00AB11D0" w:rsidRPr="00250E36">
        <w:rPr>
          <w:i/>
          <w:iCs/>
        </w:rPr>
        <w:t>smtc</w:t>
      </w:r>
      <w:r w:rsidR="00AB11D0" w:rsidRPr="00250E36">
        <w:t>.</w:t>
      </w:r>
    </w:p>
    <w:p w14:paraId="17BBCF5B" w14:textId="77777777" w:rsidR="00E738E0" w:rsidRPr="009C5807" w:rsidRDefault="00E738E0" w:rsidP="00E738E0">
      <w:pPr>
        <w:rPr>
          <w:lang w:eastAsia="ko-KR"/>
        </w:rPr>
      </w:pPr>
      <w:r w:rsidRPr="009C5807">
        <w:rPr>
          <w:lang w:eastAsia="ko-KR"/>
        </w:rPr>
        <w:t>At inter-RAT cell re-selection, the UE shall monitor the downlink of serving cell for paging reception until the UE is capable to start monitoring downlink channels for paging reception of the target inter-RAT cell. For NR to E-UTRAN cell re-selection the interruption time must not exceed T</w:t>
      </w:r>
      <w:r w:rsidRPr="009C5807">
        <w:rPr>
          <w:vertAlign w:val="subscript"/>
          <w:lang w:eastAsia="ko-KR"/>
        </w:rPr>
        <w:t xml:space="preserve">SI-EUTRA </w:t>
      </w:r>
      <w:r w:rsidRPr="009C5807">
        <w:rPr>
          <w:lang w:eastAsia="ko-KR"/>
        </w:rPr>
        <w:t>+ 55 ms.</w:t>
      </w:r>
    </w:p>
    <w:p w14:paraId="1B0E85B7" w14:textId="77777777" w:rsidR="00E738E0" w:rsidRPr="009C5807" w:rsidRDefault="00E738E0" w:rsidP="00E738E0">
      <w:pPr>
        <w:rPr>
          <w:lang w:eastAsia="ko-KR"/>
        </w:rPr>
      </w:pPr>
      <w:r w:rsidRPr="009C5807">
        <w:rPr>
          <w:lang w:eastAsia="ko-KR"/>
        </w:rPr>
        <w:t>T</w:t>
      </w:r>
      <w:r w:rsidRPr="009C5807">
        <w:rPr>
          <w:vertAlign w:val="subscript"/>
          <w:lang w:eastAsia="ko-KR"/>
        </w:rPr>
        <w:t xml:space="preserve">SI-NR </w:t>
      </w:r>
      <w:r w:rsidRPr="009C5807">
        <w:rPr>
          <w:lang w:eastAsia="ko-KR"/>
        </w:rPr>
        <w:t>is the time required for receiving all the relevant system information data according to the reception procedure and the RRC procedure delay of system information blocks defined in TS 38.331 [2] for an NR cell.</w:t>
      </w:r>
    </w:p>
    <w:p w14:paraId="172C850A" w14:textId="77777777" w:rsidR="00E738E0" w:rsidRPr="009C5807" w:rsidRDefault="00E738E0" w:rsidP="00E738E0">
      <w:pPr>
        <w:rPr>
          <w:lang w:eastAsia="ko-KR"/>
        </w:rPr>
      </w:pPr>
      <w:r w:rsidRPr="009C5807">
        <w:rPr>
          <w:lang w:eastAsia="ko-KR"/>
        </w:rPr>
        <w:t>T</w:t>
      </w:r>
      <w:r w:rsidRPr="009C5807">
        <w:rPr>
          <w:vertAlign w:val="subscript"/>
          <w:lang w:eastAsia="ko-KR"/>
        </w:rPr>
        <w:t xml:space="preserve">SI-EUTRA </w:t>
      </w:r>
      <w:r w:rsidRPr="009C5807">
        <w:rPr>
          <w:lang w:eastAsia="ko-KR"/>
        </w:rPr>
        <w:t>is the time required for receiving all the relevant system information data according to the reception procedure and the RRC procedure delay of system information blocks defined in TS 36.331 [16] for an E-UTRAN cell.</w:t>
      </w:r>
    </w:p>
    <w:p w14:paraId="21F89605" w14:textId="77777777" w:rsidR="00E738E0" w:rsidRPr="009C5807" w:rsidRDefault="00E738E0" w:rsidP="00E738E0">
      <w:pPr>
        <w:rPr>
          <w:lang w:eastAsia="ko-KR"/>
        </w:rPr>
      </w:pPr>
      <w:r w:rsidRPr="009C5807">
        <w:rPr>
          <w:lang w:eastAsia="ko-KR"/>
        </w:rPr>
        <w:t>These requirements assume sufficient radio conditions, so that decoding of system information can be made without errors and does not take into account cell re-selection failure.</w:t>
      </w:r>
    </w:p>
    <w:p w14:paraId="589FF8EF" w14:textId="77777777" w:rsidR="00E738E0" w:rsidRPr="009C5807" w:rsidRDefault="00E738E0" w:rsidP="00E738E0">
      <w:pPr>
        <w:pStyle w:val="Heading4"/>
      </w:pPr>
      <w:bookmarkStart w:id="40" w:name="_Toc5952541"/>
      <w:r w:rsidRPr="009C5807">
        <w:t>4.2.2.7</w:t>
      </w:r>
      <w:r w:rsidRPr="009C5807">
        <w:tab/>
        <w:t>General requirements</w:t>
      </w:r>
      <w:bookmarkEnd w:id="40"/>
    </w:p>
    <w:p w14:paraId="0C1DCEBB" w14:textId="1B1C2EAB" w:rsidR="00E738E0" w:rsidRDefault="00E738E0" w:rsidP="00E738E0">
      <w:r w:rsidRPr="009C5807">
        <w:t>The UE shall search every layer of higher priority at least every T</w:t>
      </w:r>
      <w:r w:rsidRPr="009C5807">
        <w:rPr>
          <w:vertAlign w:val="subscript"/>
        </w:rPr>
        <w:t>higher_priority_search</w:t>
      </w:r>
      <w:r w:rsidRPr="009C5807">
        <w:t xml:space="preserve"> = (</w:t>
      </w:r>
      <w:r w:rsidRPr="009C5807">
        <w:rPr>
          <w:lang w:eastAsia="zh-CN"/>
        </w:rPr>
        <w:t>60</w:t>
      </w:r>
      <w:r w:rsidRPr="009C5807">
        <w:t xml:space="preserve"> * N</w:t>
      </w:r>
      <w:r w:rsidRPr="009C5807">
        <w:rPr>
          <w:vertAlign w:val="subscript"/>
        </w:rPr>
        <w:t>layers</w:t>
      </w:r>
      <w:r w:rsidRPr="009C5807">
        <w:t>) seconds, where N</w:t>
      </w:r>
      <w:r w:rsidRPr="009C5807">
        <w:rPr>
          <w:vertAlign w:val="subscript"/>
        </w:rPr>
        <w:t>layers</w:t>
      </w:r>
      <w:r w:rsidRPr="009C5807">
        <w:t xml:space="preserve"> is the total number of higher priority NR and E-UTRA carrier frequencies</w:t>
      </w:r>
      <w:r w:rsidRPr="009C5807">
        <w:rPr>
          <w:lang w:eastAsia="zh-CN"/>
        </w:rPr>
        <w:t xml:space="preserve"> broadcasted in system information</w:t>
      </w:r>
      <w:r w:rsidRPr="009C5807">
        <w:t>.</w:t>
      </w:r>
    </w:p>
    <w:p w14:paraId="13A8A20B" w14:textId="77777777" w:rsidR="00D10036" w:rsidRPr="00BA74F9" w:rsidRDefault="00D10036" w:rsidP="00D10036">
      <w:pPr>
        <w:ind w:right="-22"/>
      </w:pPr>
      <w:r w:rsidRPr="00BA74F9">
        <w:t>For a UE configured with early measurement reporting</w:t>
      </w:r>
      <w:r w:rsidRPr="00077CB0">
        <w:t>, while T331 is running,</w:t>
      </w:r>
      <w:r w:rsidRPr="00BA74F9">
        <w:t xml:space="preserve"> N</w:t>
      </w:r>
      <w:r w:rsidRPr="00BA74F9">
        <w:rPr>
          <w:sz w:val="13"/>
          <w:szCs w:val="13"/>
        </w:rPr>
        <w:t xml:space="preserve">layers </w:t>
      </w:r>
      <w:r w:rsidRPr="00BA74F9">
        <w:t>is the combined total number of higher priority NR and E-UTRA carrier frequencies broadcasted in system information and carriers</w:t>
      </w:r>
      <w:r>
        <w:t xml:space="preserve"> configured for idle mode CA measurements</w:t>
      </w:r>
      <w:r w:rsidRPr="00BA74F9">
        <w:t>.</w:t>
      </w:r>
    </w:p>
    <w:p w14:paraId="23371836" w14:textId="1D476F38" w:rsidR="00D10036" w:rsidRPr="009C5807" w:rsidRDefault="00D10036" w:rsidP="00D10036">
      <w:pPr>
        <w:pStyle w:val="NO"/>
      </w:pPr>
      <w:bookmarkStart w:id="41" w:name="_Hlk55928948"/>
      <w:r>
        <w:t>N</w:t>
      </w:r>
      <w:r w:rsidRPr="00BA74F9">
        <w:t>ote:</w:t>
      </w:r>
      <w:r w:rsidRPr="009C5807">
        <w:tab/>
      </w:r>
      <w:r w:rsidRPr="00BA74F9">
        <w:t xml:space="preserve">combined total number means that if a carrier is a high priority carrier and </w:t>
      </w:r>
      <w:r>
        <w:t>additionally a</w:t>
      </w:r>
      <w:r w:rsidRPr="00BA74F9">
        <w:t xml:space="preserve"> carrier </w:t>
      </w:r>
      <w:r>
        <w:t xml:space="preserve">configured for idle mode CA measurements, </w:t>
      </w:r>
      <w:r w:rsidRPr="00BA74F9">
        <w:t>it only counts as one carrier.</w:t>
      </w:r>
      <w:bookmarkEnd w:id="41"/>
    </w:p>
    <w:p w14:paraId="505C6C07" w14:textId="77777777" w:rsidR="00AF12AF" w:rsidRPr="009C5807" w:rsidRDefault="00AF12AF" w:rsidP="00AF12AF">
      <w:pPr>
        <w:pStyle w:val="Heading4"/>
      </w:pPr>
      <w:r w:rsidRPr="009C5807">
        <w:t>4.2.2.</w:t>
      </w:r>
      <w:r w:rsidRPr="009C5807">
        <w:rPr>
          <w:rFonts w:eastAsiaTheme="minorEastAsia" w:hint="eastAsia"/>
        </w:rPr>
        <w:t>8</w:t>
      </w:r>
      <w:r w:rsidRPr="009C5807">
        <w:tab/>
        <w:t>Minimum requirement at transitions</w:t>
      </w:r>
    </w:p>
    <w:p w14:paraId="77C6A8CA" w14:textId="665E8134" w:rsidR="00A059EB" w:rsidRDefault="00A059EB" w:rsidP="00A059EB">
      <w:pPr>
        <w:rPr>
          <w:lang w:val="en-US" w:eastAsia="zh-CN"/>
        </w:rPr>
      </w:pPr>
      <w:r w:rsidRPr="009C5807">
        <w:rPr>
          <w:lang w:val="en-US" w:eastAsia="zh-CN"/>
        </w:rPr>
        <w:t xml:space="preserve">When switching from </w:t>
      </w:r>
      <w:r w:rsidRPr="009C5807">
        <w:rPr>
          <w:rFonts w:hint="eastAsia"/>
          <w:lang w:val="en-US" w:eastAsia="zh-CN"/>
        </w:rPr>
        <w:t xml:space="preserve">low mobility </w:t>
      </w:r>
      <w:r w:rsidRPr="009C5807">
        <w:rPr>
          <w:lang w:val="en-US" w:eastAsia="zh-CN"/>
        </w:rPr>
        <w:t xml:space="preserve">scenario or </w:t>
      </w:r>
      <w:r w:rsidRPr="009C5807">
        <w:rPr>
          <w:rFonts w:hint="eastAsia"/>
          <w:lang w:val="en-US" w:eastAsia="zh-CN"/>
        </w:rPr>
        <w:t>not-at-cell-edge scenario</w:t>
      </w:r>
      <w:r w:rsidRPr="009C5807">
        <w:rPr>
          <w:lang w:val="en-US" w:eastAsia="zh-CN"/>
        </w:rPr>
        <w:t xml:space="preserve"> to </w:t>
      </w:r>
      <w:r w:rsidRPr="009C5807">
        <w:rPr>
          <w:rFonts w:hint="eastAsia"/>
          <w:lang w:val="en-US" w:eastAsia="zh-CN"/>
        </w:rPr>
        <w:t>low mobility and</w:t>
      </w:r>
      <w:r w:rsidRPr="009C5807">
        <w:rPr>
          <w:lang w:val="en-US" w:eastAsia="zh-CN"/>
        </w:rPr>
        <w:t xml:space="preserve"> </w:t>
      </w:r>
      <w:r w:rsidRPr="009C5807">
        <w:rPr>
          <w:rFonts w:hint="eastAsia"/>
          <w:lang w:val="en-US" w:eastAsia="zh-CN"/>
        </w:rPr>
        <w:t>not-at-cell-edge</w:t>
      </w:r>
      <w:r w:rsidRPr="009C5807">
        <w:rPr>
          <w:lang w:val="en-US" w:eastAsia="zh-CN"/>
        </w:rPr>
        <w:t xml:space="preserve"> scenario</w:t>
      </w:r>
      <w:r w:rsidRPr="009C5807">
        <w:rPr>
          <w:rFonts w:hint="eastAsia"/>
          <w:lang w:val="en-US" w:eastAsia="zh-CN"/>
        </w:rPr>
        <w:t xml:space="preserve"> during cell-reselection period</w:t>
      </w:r>
      <w:r w:rsidRPr="009C5807">
        <w:rPr>
          <w:lang w:val="en-US" w:eastAsia="zh-CN"/>
        </w:rPr>
        <w:t>, the UE shall fulfill the requirements corresponding to</w:t>
      </w:r>
      <w:r w:rsidRPr="009C5807">
        <w:rPr>
          <w:rFonts w:hint="eastAsia"/>
          <w:lang w:val="en-US" w:eastAsia="zh-CN"/>
        </w:rPr>
        <w:t xml:space="preserve"> low mobility </w:t>
      </w:r>
      <w:r w:rsidRPr="009C5807">
        <w:rPr>
          <w:lang w:val="en-US" w:eastAsia="zh-CN"/>
        </w:rPr>
        <w:t xml:space="preserve">scenario or </w:t>
      </w:r>
      <w:r w:rsidRPr="009C5807">
        <w:rPr>
          <w:rFonts w:hint="eastAsia"/>
          <w:lang w:val="en-US" w:eastAsia="zh-CN"/>
        </w:rPr>
        <w:t>not-at-cell-edge scenario</w:t>
      </w:r>
      <w:r w:rsidRPr="009C5807">
        <w:rPr>
          <w:lang w:val="en-US" w:eastAsia="zh-CN"/>
        </w:rPr>
        <w:t xml:space="preserve"> </w:t>
      </w:r>
      <w:r>
        <w:rPr>
          <w:lang w:val="en-US" w:eastAsia="zh-CN"/>
        </w:rPr>
        <w:t xml:space="preserve">over </w:t>
      </w:r>
      <w:r w:rsidRPr="009C5807">
        <w:rPr>
          <w:rFonts w:hint="eastAsia"/>
          <w:lang w:val="en-US" w:eastAsia="zh-CN"/>
        </w:rPr>
        <w:t>measurement period</w:t>
      </w:r>
      <w:r>
        <w:rPr>
          <w:lang w:val="en-US" w:eastAsia="zh-CN"/>
        </w:rPr>
        <w:t xml:space="preserve"> (T</w:t>
      </w:r>
      <w:r w:rsidRPr="00401468">
        <w:rPr>
          <w:vertAlign w:val="subscript"/>
          <w:lang w:val="en-US" w:eastAsia="zh-CN"/>
        </w:rPr>
        <w:t>relaxed</w:t>
      </w:r>
      <w:r w:rsidRPr="00D769C2">
        <w:t>)</w:t>
      </w:r>
      <w:r w:rsidRPr="009C5807">
        <w:rPr>
          <w:lang w:val="en-US" w:eastAsia="zh-CN"/>
        </w:rPr>
        <w:t xml:space="preserve"> and thereafter switch to requirements corresponding to </w:t>
      </w:r>
      <w:r w:rsidRPr="009C5807">
        <w:rPr>
          <w:rFonts w:hint="eastAsia"/>
          <w:lang w:val="en-US" w:eastAsia="zh-CN"/>
        </w:rPr>
        <w:t>low mobility and</w:t>
      </w:r>
      <w:r w:rsidRPr="009C5807">
        <w:rPr>
          <w:lang w:val="en-US" w:eastAsia="zh-CN"/>
        </w:rPr>
        <w:t xml:space="preserve"> </w:t>
      </w:r>
      <w:r w:rsidRPr="009C5807">
        <w:rPr>
          <w:rFonts w:hint="eastAsia"/>
          <w:lang w:val="en-US" w:eastAsia="zh-CN"/>
        </w:rPr>
        <w:t>not-at-cell-edge</w:t>
      </w:r>
      <w:r w:rsidRPr="009C5807">
        <w:rPr>
          <w:lang w:val="en-US" w:eastAsia="zh-CN"/>
        </w:rPr>
        <w:t xml:space="preserve"> scenario</w:t>
      </w:r>
      <w:r w:rsidRPr="009C5807">
        <w:rPr>
          <w:rFonts w:hint="eastAsia"/>
          <w:lang w:val="en-US" w:eastAsia="zh-CN"/>
        </w:rPr>
        <w:t>.</w:t>
      </w:r>
      <w:r>
        <w:rPr>
          <w:lang w:val="en-US" w:eastAsia="zh-CN"/>
        </w:rPr>
        <w:t xml:space="preserve"> The measurement period, T</w:t>
      </w:r>
      <w:r w:rsidRPr="00D54275">
        <w:rPr>
          <w:vertAlign w:val="subscript"/>
          <w:lang w:val="en-US" w:eastAsia="zh-CN"/>
        </w:rPr>
        <w:t>relaxed</w:t>
      </w:r>
      <w:r>
        <w:rPr>
          <w:lang w:val="en-US" w:eastAsia="zh-CN"/>
        </w:rPr>
        <w:t>, is any of:</w:t>
      </w:r>
    </w:p>
    <w:p w14:paraId="1B463DED" w14:textId="55660B97" w:rsidR="00A059EB" w:rsidRPr="0034003F" w:rsidRDefault="00A059EB" w:rsidP="00A059EB">
      <w:pPr>
        <w:pStyle w:val="B10"/>
        <w:rPr>
          <w:lang w:val="en-US" w:eastAsia="zh-CN"/>
        </w:rPr>
      </w:pPr>
      <w:r>
        <w:t>-</w:t>
      </w:r>
      <w:r>
        <w:tab/>
      </w:r>
      <w:r w:rsidRPr="0034003F">
        <w:t>T</w:t>
      </w:r>
      <w:r w:rsidRPr="0034003F">
        <w:rPr>
          <w:vertAlign w:val="subscript"/>
        </w:rPr>
        <w:t xml:space="preserve">measure,NR_Intra </w:t>
      </w:r>
      <w:r w:rsidRPr="0034003F">
        <w:t>and T</w:t>
      </w:r>
      <w:r w:rsidRPr="0034003F">
        <w:rPr>
          <w:vertAlign w:val="subscript"/>
        </w:rPr>
        <w:t>evaluate,NR_Intra,</w:t>
      </w:r>
      <w:r w:rsidRPr="0034003F">
        <w:t xml:space="preserve"> defined in section 4.2.2.9 for intra-frequency measurements on NR cells, </w:t>
      </w:r>
    </w:p>
    <w:p w14:paraId="70C28057" w14:textId="2047FFEA" w:rsidR="00A059EB" w:rsidRPr="0034003F" w:rsidRDefault="00A059EB" w:rsidP="00A059EB">
      <w:pPr>
        <w:pStyle w:val="B10"/>
        <w:rPr>
          <w:lang w:val="en-US" w:eastAsia="zh-CN"/>
        </w:rPr>
      </w:pPr>
      <w:r>
        <w:t>-</w:t>
      </w:r>
      <w:r>
        <w:tab/>
      </w:r>
      <w:r w:rsidRPr="0034003F">
        <w:t>T</w:t>
      </w:r>
      <w:r w:rsidRPr="0034003F">
        <w:rPr>
          <w:vertAlign w:val="subscript"/>
        </w:rPr>
        <w:t>measure,NR_Inter</w:t>
      </w:r>
      <w:r w:rsidRPr="0034003F">
        <w:t xml:space="preserve"> and</w:t>
      </w:r>
      <w:r w:rsidR="00542654">
        <w:t xml:space="preserve"> </w:t>
      </w:r>
      <w:r w:rsidRPr="0034003F">
        <w:t>T</w:t>
      </w:r>
      <w:r w:rsidRPr="0034003F">
        <w:rPr>
          <w:vertAlign w:val="subscript"/>
        </w:rPr>
        <w:t>evaluate,NR_Inter</w:t>
      </w:r>
      <w:r w:rsidRPr="0034003F">
        <w:t xml:space="preserve"> defined in section 4.2.2.10 for inter-frequency measurements on NR cells and</w:t>
      </w:r>
    </w:p>
    <w:p w14:paraId="70C2823D" w14:textId="3394CAEF" w:rsidR="00A059EB" w:rsidRPr="00D565AB" w:rsidRDefault="00A059EB" w:rsidP="00A059EB">
      <w:pPr>
        <w:pStyle w:val="B10"/>
        <w:rPr>
          <w:lang w:val="en-US" w:eastAsia="zh-CN"/>
        </w:rPr>
      </w:pPr>
      <w:r>
        <w:t>-</w:t>
      </w:r>
      <w:r>
        <w:tab/>
      </w:r>
      <w:r w:rsidRPr="0034003F">
        <w:t>T</w:t>
      </w:r>
      <w:r w:rsidRPr="0034003F">
        <w:rPr>
          <w:vertAlign w:val="subscript"/>
        </w:rPr>
        <w:t>measure,EUTRAN</w:t>
      </w:r>
      <w:r w:rsidRPr="0034003F">
        <w:t xml:space="preserve"> and T</w:t>
      </w:r>
      <w:r w:rsidRPr="0034003F">
        <w:rPr>
          <w:vertAlign w:val="subscript"/>
        </w:rPr>
        <w:t xml:space="preserve">evaluate,EUTRAN </w:t>
      </w:r>
      <w:r w:rsidRPr="0034003F">
        <w:rPr>
          <w:lang w:val="en-US"/>
        </w:rPr>
        <w:t xml:space="preserve">defined in sections 4.2.2.11 </w:t>
      </w:r>
      <w:r w:rsidRPr="0034003F">
        <w:t>for inter-RAT E-UTRAN measurements</w:t>
      </w:r>
      <w:r w:rsidRPr="0034003F">
        <w:rPr>
          <w:lang w:val="en-US"/>
        </w:rPr>
        <w:t>.</w:t>
      </w:r>
    </w:p>
    <w:p w14:paraId="68B28E99" w14:textId="77777777" w:rsidR="00AF12AF" w:rsidRPr="009C5807" w:rsidRDefault="00AF12AF" w:rsidP="00AF12AF">
      <w:pPr>
        <w:rPr>
          <w:lang w:val="en-US" w:eastAsia="zh-CN"/>
        </w:rPr>
      </w:pPr>
      <w:r w:rsidRPr="009C5807">
        <w:rPr>
          <w:lang w:val="en-US" w:eastAsia="zh-CN"/>
        </w:rPr>
        <w:t xml:space="preserve">When switching from </w:t>
      </w:r>
      <w:r w:rsidRPr="009C5807">
        <w:rPr>
          <w:rFonts w:hint="eastAsia"/>
          <w:lang w:val="en-US" w:eastAsia="zh-CN"/>
        </w:rPr>
        <w:t>low mobility and</w:t>
      </w:r>
      <w:r w:rsidRPr="009C5807">
        <w:rPr>
          <w:lang w:val="en-US" w:eastAsia="zh-CN"/>
        </w:rPr>
        <w:t xml:space="preserve"> </w:t>
      </w:r>
      <w:r w:rsidRPr="009C5807">
        <w:rPr>
          <w:rFonts w:hint="eastAsia"/>
          <w:lang w:val="en-US" w:eastAsia="zh-CN"/>
        </w:rPr>
        <w:t>not-at-cell-edge</w:t>
      </w:r>
      <w:r w:rsidRPr="009C5807">
        <w:rPr>
          <w:lang w:val="en-US" w:eastAsia="zh-CN"/>
        </w:rPr>
        <w:t xml:space="preserve"> scenario to </w:t>
      </w:r>
      <w:r w:rsidRPr="009C5807">
        <w:rPr>
          <w:rFonts w:hint="eastAsia"/>
          <w:lang w:val="en-US" w:eastAsia="zh-CN"/>
        </w:rPr>
        <w:t xml:space="preserve">low mobility </w:t>
      </w:r>
      <w:r w:rsidRPr="009C5807">
        <w:rPr>
          <w:lang w:val="en-US" w:eastAsia="zh-CN"/>
        </w:rPr>
        <w:t xml:space="preserve">scenario or </w:t>
      </w:r>
      <w:r w:rsidRPr="009C5807">
        <w:rPr>
          <w:rFonts w:hint="eastAsia"/>
          <w:lang w:val="en-US" w:eastAsia="zh-CN"/>
        </w:rPr>
        <w:t>not-at-cell-edge scenario during cell-reselection period</w:t>
      </w:r>
      <w:r w:rsidRPr="009C5807">
        <w:rPr>
          <w:lang w:val="en-US" w:eastAsia="zh-CN"/>
        </w:rPr>
        <w:t>, the UE shall fulfill the requirements corresponding to</w:t>
      </w:r>
      <w:r w:rsidRPr="009C5807">
        <w:rPr>
          <w:rFonts w:hint="eastAsia"/>
          <w:lang w:val="en-US" w:eastAsia="zh-CN"/>
        </w:rPr>
        <w:t xml:space="preserve"> low mobility </w:t>
      </w:r>
      <w:r w:rsidRPr="009C5807">
        <w:rPr>
          <w:lang w:val="en-US" w:eastAsia="zh-CN"/>
        </w:rPr>
        <w:t xml:space="preserve">scenario or </w:t>
      </w:r>
      <w:r w:rsidRPr="009C5807">
        <w:rPr>
          <w:rFonts w:hint="eastAsia"/>
          <w:lang w:val="en-US" w:eastAsia="zh-CN"/>
        </w:rPr>
        <w:t>not-at-cell-edge scenario</w:t>
      </w:r>
      <w:r w:rsidRPr="009C5807">
        <w:rPr>
          <w:lang w:val="en-US" w:eastAsia="zh-CN"/>
        </w:rPr>
        <w:t xml:space="preserve"> upon fulfilling the switching criteria. </w:t>
      </w:r>
    </w:p>
    <w:p w14:paraId="279CC2B3" w14:textId="5257D0EE" w:rsidR="00A059EB" w:rsidRDefault="00A059EB" w:rsidP="00A059EB">
      <w:pPr>
        <w:rPr>
          <w:lang w:val="en-US" w:eastAsia="zh-CN"/>
        </w:rPr>
      </w:pPr>
      <w:r w:rsidRPr="009C5807">
        <w:rPr>
          <w:lang w:val="en-US" w:eastAsia="zh-CN"/>
        </w:rPr>
        <w:t xml:space="preserve">When switching from normal mode to </w:t>
      </w:r>
      <w:r w:rsidRPr="009C5807">
        <w:rPr>
          <w:rFonts w:hint="eastAsia"/>
          <w:lang w:val="en-US" w:eastAsia="zh-CN"/>
        </w:rPr>
        <w:t xml:space="preserve">low mobility </w:t>
      </w:r>
      <w:r w:rsidRPr="009C5807">
        <w:rPr>
          <w:lang w:val="en-US" w:eastAsia="zh-CN"/>
        </w:rPr>
        <w:t xml:space="preserve">scenario or </w:t>
      </w:r>
      <w:r w:rsidRPr="009C5807">
        <w:rPr>
          <w:rFonts w:hint="eastAsia"/>
          <w:lang w:val="en-US" w:eastAsia="zh-CN"/>
        </w:rPr>
        <w:t>not-at-cell-edge scenario or low mobility and</w:t>
      </w:r>
      <w:r w:rsidRPr="009C5807">
        <w:rPr>
          <w:lang w:val="en-US" w:eastAsia="zh-CN"/>
        </w:rPr>
        <w:t xml:space="preserve"> </w:t>
      </w:r>
      <w:r w:rsidRPr="009C5807">
        <w:rPr>
          <w:rFonts w:hint="eastAsia"/>
          <w:lang w:val="en-US" w:eastAsia="zh-CN"/>
        </w:rPr>
        <w:t>not-at-cell-edge</w:t>
      </w:r>
      <w:r w:rsidRPr="009C5807">
        <w:rPr>
          <w:lang w:val="en-US" w:eastAsia="zh-CN"/>
        </w:rPr>
        <w:t xml:space="preserve"> scenario</w:t>
      </w:r>
      <w:r w:rsidRPr="009C5807">
        <w:rPr>
          <w:rFonts w:hint="eastAsia"/>
          <w:lang w:val="en-US" w:eastAsia="zh-CN"/>
        </w:rPr>
        <w:t xml:space="preserve"> during cell-reselection period</w:t>
      </w:r>
      <w:r w:rsidRPr="009C5807">
        <w:rPr>
          <w:lang w:val="en-US" w:eastAsia="zh-CN"/>
        </w:rPr>
        <w:t xml:space="preserve">, the UE shall fulfill the requirements corresponding to normal mode </w:t>
      </w:r>
      <w:r>
        <w:rPr>
          <w:lang w:val="en-US" w:eastAsia="zh-CN"/>
        </w:rPr>
        <w:t>over</w:t>
      </w:r>
      <w:r w:rsidRPr="009C5807">
        <w:rPr>
          <w:rFonts w:hint="eastAsia"/>
          <w:lang w:val="en-US" w:eastAsia="zh-CN"/>
        </w:rPr>
        <w:t xml:space="preserve"> measurement period</w:t>
      </w:r>
      <w:r>
        <w:rPr>
          <w:lang w:val="en-US" w:eastAsia="zh-CN"/>
        </w:rPr>
        <w:t xml:space="preserve"> (T</w:t>
      </w:r>
      <w:r w:rsidRPr="00401468">
        <w:rPr>
          <w:vertAlign w:val="subscript"/>
          <w:lang w:val="en-US" w:eastAsia="zh-CN"/>
        </w:rPr>
        <w:t>normal</w:t>
      </w:r>
      <w:r w:rsidRPr="00D769C2">
        <w:t>)</w:t>
      </w:r>
      <w:r w:rsidRPr="009C5807">
        <w:rPr>
          <w:lang w:val="en-US" w:eastAsia="zh-CN"/>
        </w:rPr>
        <w:t xml:space="preserve"> and thereafter switch to requirements corresponding to </w:t>
      </w:r>
      <w:r w:rsidRPr="009C5807">
        <w:rPr>
          <w:rFonts w:hint="eastAsia"/>
          <w:lang w:val="en-US" w:eastAsia="zh-CN"/>
        </w:rPr>
        <w:t xml:space="preserve">low mobility </w:t>
      </w:r>
      <w:r w:rsidRPr="009C5807">
        <w:rPr>
          <w:lang w:val="en-US" w:eastAsia="zh-CN"/>
        </w:rPr>
        <w:t xml:space="preserve">scenario or </w:t>
      </w:r>
      <w:r w:rsidRPr="009C5807">
        <w:rPr>
          <w:rFonts w:hint="eastAsia"/>
          <w:lang w:val="en-US" w:eastAsia="zh-CN"/>
        </w:rPr>
        <w:t>not-at-cell-edge scenario or low mobility and</w:t>
      </w:r>
      <w:r w:rsidRPr="009C5807">
        <w:rPr>
          <w:lang w:val="en-US" w:eastAsia="zh-CN"/>
        </w:rPr>
        <w:t xml:space="preserve"> </w:t>
      </w:r>
      <w:r w:rsidRPr="009C5807">
        <w:rPr>
          <w:rFonts w:hint="eastAsia"/>
          <w:lang w:val="en-US" w:eastAsia="zh-CN"/>
        </w:rPr>
        <w:t>not-at-cell-edge</w:t>
      </w:r>
      <w:r w:rsidRPr="009C5807">
        <w:rPr>
          <w:lang w:val="en-US" w:eastAsia="zh-CN"/>
        </w:rPr>
        <w:t xml:space="preserve"> scenario</w:t>
      </w:r>
      <w:r w:rsidRPr="009C5807">
        <w:rPr>
          <w:rFonts w:hint="eastAsia"/>
          <w:lang w:val="en-US" w:eastAsia="zh-CN"/>
        </w:rPr>
        <w:t>.</w:t>
      </w:r>
      <w:r>
        <w:rPr>
          <w:lang w:val="en-US" w:eastAsia="zh-CN"/>
        </w:rPr>
        <w:t xml:space="preserve"> The measurement period, T</w:t>
      </w:r>
      <w:r>
        <w:rPr>
          <w:vertAlign w:val="subscript"/>
          <w:lang w:val="en-US" w:eastAsia="zh-CN"/>
        </w:rPr>
        <w:t>normal</w:t>
      </w:r>
      <w:r>
        <w:rPr>
          <w:lang w:val="en-US" w:eastAsia="zh-CN"/>
        </w:rPr>
        <w:t xml:space="preserve">, is any of: </w:t>
      </w:r>
    </w:p>
    <w:p w14:paraId="43E60BF8" w14:textId="52B65CF4" w:rsidR="00A059EB" w:rsidRPr="0034003F" w:rsidRDefault="00A059EB" w:rsidP="00A059EB">
      <w:pPr>
        <w:pStyle w:val="B10"/>
        <w:rPr>
          <w:lang w:val="en-US" w:eastAsia="zh-CN"/>
        </w:rPr>
      </w:pPr>
      <w:r>
        <w:t>-</w:t>
      </w:r>
      <w:r>
        <w:tab/>
      </w:r>
      <w:r w:rsidRPr="0034003F">
        <w:t>T</w:t>
      </w:r>
      <w:r w:rsidRPr="0034003F">
        <w:rPr>
          <w:vertAlign w:val="subscript"/>
        </w:rPr>
        <w:t xml:space="preserve">measure,NR_Intra </w:t>
      </w:r>
      <w:r w:rsidRPr="0034003F">
        <w:t>and T</w:t>
      </w:r>
      <w:r w:rsidRPr="0034003F">
        <w:rPr>
          <w:vertAlign w:val="subscript"/>
        </w:rPr>
        <w:t>evaluate,NR_Intra,</w:t>
      </w:r>
      <w:r w:rsidRPr="0034003F">
        <w:t xml:space="preserve"> defined in section 4.2.2.3 for intra-frequency measurements on NR cells, </w:t>
      </w:r>
    </w:p>
    <w:p w14:paraId="6B65F2BF" w14:textId="5744F9F7" w:rsidR="00A059EB" w:rsidRPr="0034003F" w:rsidRDefault="00A059EB" w:rsidP="00A059EB">
      <w:pPr>
        <w:pStyle w:val="B10"/>
        <w:rPr>
          <w:lang w:val="en-US" w:eastAsia="zh-CN"/>
        </w:rPr>
      </w:pPr>
      <w:r>
        <w:t>-</w:t>
      </w:r>
      <w:r>
        <w:tab/>
      </w:r>
      <w:r w:rsidRPr="0034003F">
        <w:t>T</w:t>
      </w:r>
      <w:r w:rsidRPr="0034003F">
        <w:rPr>
          <w:vertAlign w:val="subscript"/>
        </w:rPr>
        <w:t>measure,NR_Inter</w:t>
      </w:r>
      <w:r w:rsidRPr="0034003F">
        <w:t xml:space="preserve"> and</w:t>
      </w:r>
      <w:r w:rsidR="0050328F">
        <w:t xml:space="preserve"> </w:t>
      </w:r>
      <w:r w:rsidRPr="0034003F">
        <w:t>T</w:t>
      </w:r>
      <w:r w:rsidRPr="0034003F">
        <w:rPr>
          <w:vertAlign w:val="subscript"/>
        </w:rPr>
        <w:t>evaluate,NR_Inter</w:t>
      </w:r>
      <w:r w:rsidRPr="0034003F">
        <w:t xml:space="preserve"> defined in section 4.2.2.4 for inter-frequency measurements on NR cells and</w:t>
      </w:r>
    </w:p>
    <w:p w14:paraId="411E786E" w14:textId="167C55E8" w:rsidR="00A059EB" w:rsidRPr="00D565AB" w:rsidRDefault="00A059EB" w:rsidP="00A059EB">
      <w:pPr>
        <w:pStyle w:val="B10"/>
        <w:rPr>
          <w:lang w:val="en-US" w:eastAsia="zh-CN"/>
        </w:rPr>
      </w:pPr>
      <w:r>
        <w:t>-</w:t>
      </w:r>
      <w:r>
        <w:tab/>
      </w:r>
      <w:r w:rsidRPr="0034003F">
        <w:t>T</w:t>
      </w:r>
      <w:r w:rsidRPr="0034003F">
        <w:rPr>
          <w:vertAlign w:val="subscript"/>
        </w:rPr>
        <w:t>measure,EUTRAN</w:t>
      </w:r>
      <w:r w:rsidRPr="0034003F">
        <w:t xml:space="preserve"> and T</w:t>
      </w:r>
      <w:r w:rsidRPr="0034003F">
        <w:rPr>
          <w:vertAlign w:val="subscript"/>
        </w:rPr>
        <w:t xml:space="preserve">evaluate,EUTRAN </w:t>
      </w:r>
      <w:r w:rsidRPr="0034003F">
        <w:rPr>
          <w:lang w:val="en-US"/>
        </w:rPr>
        <w:t xml:space="preserve">defined in sections 4.2.2.5 </w:t>
      </w:r>
      <w:r w:rsidRPr="0034003F">
        <w:t>for inter-RAT E-UTRAN measurements</w:t>
      </w:r>
      <w:r w:rsidRPr="0034003F">
        <w:rPr>
          <w:lang w:val="en-US"/>
        </w:rPr>
        <w:t>.</w:t>
      </w:r>
    </w:p>
    <w:p w14:paraId="42542B63" w14:textId="77777777" w:rsidR="00AF12AF" w:rsidRPr="009C5807" w:rsidRDefault="00AF12AF" w:rsidP="00AF12AF">
      <w:pPr>
        <w:rPr>
          <w:lang w:val="en-US" w:eastAsia="zh-CN"/>
        </w:rPr>
      </w:pPr>
      <w:r w:rsidRPr="009C5807">
        <w:rPr>
          <w:lang w:val="en-US" w:eastAsia="zh-CN"/>
        </w:rPr>
        <w:t xml:space="preserve">When switching from </w:t>
      </w:r>
      <w:r w:rsidRPr="009C5807">
        <w:rPr>
          <w:rFonts w:hint="eastAsia"/>
          <w:lang w:val="en-US" w:eastAsia="zh-CN"/>
        </w:rPr>
        <w:t xml:space="preserve">low mobility </w:t>
      </w:r>
      <w:r w:rsidRPr="009C5807">
        <w:rPr>
          <w:lang w:val="en-US" w:eastAsia="zh-CN"/>
        </w:rPr>
        <w:t xml:space="preserve">scenario or </w:t>
      </w:r>
      <w:r w:rsidRPr="009C5807">
        <w:rPr>
          <w:rFonts w:hint="eastAsia"/>
          <w:lang w:val="en-US" w:eastAsia="zh-CN"/>
        </w:rPr>
        <w:t>not-at-cell-edge scenario or low mobility and</w:t>
      </w:r>
      <w:r w:rsidRPr="009C5807">
        <w:rPr>
          <w:lang w:val="en-US" w:eastAsia="zh-CN"/>
        </w:rPr>
        <w:t xml:space="preserve"> </w:t>
      </w:r>
      <w:r w:rsidRPr="009C5807">
        <w:rPr>
          <w:rFonts w:hint="eastAsia"/>
          <w:lang w:val="en-US" w:eastAsia="zh-CN"/>
        </w:rPr>
        <w:t>not-at-cell-edge</w:t>
      </w:r>
      <w:r w:rsidRPr="009C5807">
        <w:rPr>
          <w:lang w:val="en-US" w:eastAsia="zh-CN"/>
        </w:rPr>
        <w:t xml:space="preserve"> scenario to normal mode</w:t>
      </w:r>
      <w:r w:rsidRPr="009C5807">
        <w:rPr>
          <w:rFonts w:hint="eastAsia"/>
          <w:lang w:val="en-US" w:eastAsia="zh-CN"/>
        </w:rPr>
        <w:t xml:space="preserve"> during cell-reselection period</w:t>
      </w:r>
      <w:r w:rsidRPr="009C5807">
        <w:rPr>
          <w:lang w:val="en-US" w:eastAsia="zh-CN"/>
        </w:rPr>
        <w:t>, the UE shall fulfill the requirements corresponding to normal mode upon fulfilling the switching criteria.</w:t>
      </w:r>
    </w:p>
    <w:p w14:paraId="094E3C5E" w14:textId="4403130A" w:rsidR="00AF12AF" w:rsidRDefault="00AF12AF" w:rsidP="00AF12AF">
      <w:pPr>
        <w:rPr>
          <w:lang w:val="en-US" w:eastAsia="zh-CN"/>
        </w:rPr>
      </w:pPr>
      <w:r w:rsidRPr="009C5807">
        <w:rPr>
          <w:rFonts w:hint="eastAsia"/>
          <w:lang w:val="en-US" w:eastAsia="zh-CN"/>
        </w:rPr>
        <w:t>No requirement is defined for multiple transitions of scenarios within one measurement period.</w:t>
      </w:r>
    </w:p>
    <w:p w14:paraId="181B5C21" w14:textId="696CB89B" w:rsidR="0022726A" w:rsidRPr="00885F53" w:rsidRDefault="0022726A" w:rsidP="0022726A">
      <w:pPr>
        <w:pStyle w:val="Heading4"/>
        <w:rPr>
          <w:lang w:val="en-US" w:eastAsia="zh-CN"/>
        </w:rPr>
      </w:pPr>
      <w:r>
        <w:rPr>
          <w:lang w:val="en-US" w:eastAsia="zh-CN"/>
        </w:rPr>
        <w:t>4.2.2.9</w:t>
      </w:r>
      <w:r w:rsidR="00A21E2B">
        <w:rPr>
          <w:lang w:val="en-US" w:eastAsia="zh-CN"/>
        </w:rPr>
        <w:tab/>
      </w:r>
      <w:r w:rsidRPr="00885F53">
        <w:rPr>
          <w:lang w:val="en-US" w:eastAsia="zh-CN"/>
        </w:rPr>
        <w:t>Measurements of intra-frequency NR cells</w:t>
      </w:r>
      <w:r>
        <w:rPr>
          <w:lang w:val="en-US" w:eastAsia="zh-CN"/>
        </w:rPr>
        <w:t xml:space="preserve"> for UE configured with relaxed measurement criterion</w:t>
      </w:r>
    </w:p>
    <w:p w14:paraId="6CAA25EB" w14:textId="254E947C" w:rsidR="0022726A" w:rsidRPr="00C83CA1" w:rsidRDefault="0022726A" w:rsidP="0022726A">
      <w:pPr>
        <w:pStyle w:val="Heading5"/>
        <w:rPr>
          <w:lang w:val="en-US" w:eastAsia="zh-CN"/>
        </w:rPr>
      </w:pPr>
      <w:r>
        <w:rPr>
          <w:lang w:val="en-US" w:eastAsia="zh-CN"/>
        </w:rPr>
        <w:t>4.2.2.9</w:t>
      </w:r>
      <w:r w:rsidRPr="00C83CA1">
        <w:rPr>
          <w:lang w:val="en-US" w:eastAsia="zh-CN"/>
        </w:rPr>
        <w:t>.1</w:t>
      </w:r>
      <w:r w:rsidR="00A21E2B">
        <w:rPr>
          <w:lang w:val="en-US" w:eastAsia="zh-CN"/>
        </w:rPr>
        <w:tab/>
      </w:r>
      <w:r w:rsidRPr="00C83CA1">
        <w:rPr>
          <w:lang w:val="en-US" w:eastAsia="zh-CN"/>
        </w:rPr>
        <w:t>Introduction</w:t>
      </w:r>
    </w:p>
    <w:p w14:paraId="567D9098" w14:textId="58CA49D5" w:rsidR="0022726A" w:rsidRPr="00EF59D1" w:rsidRDefault="0022726A" w:rsidP="0022726A">
      <w:pPr>
        <w:rPr>
          <w:noProof/>
        </w:rPr>
      </w:pPr>
      <w:r w:rsidRPr="00EF59D1">
        <w:rPr>
          <w:noProof/>
        </w:rPr>
        <w:t xml:space="preserve">This </w:t>
      </w:r>
      <w:r w:rsidR="0063092D">
        <w:rPr>
          <w:noProof/>
        </w:rPr>
        <w:t>clause</w:t>
      </w:r>
      <w:r w:rsidRPr="00EF59D1">
        <w:rPr>
          <w:noProof/>
        </w:rPr>
        <w:t xml:space="preserve"> contains the requirements for measurements on intra-frequency NR cells when </w:t>
      </w:r>
      <w:r w:rsidR="00DC4599" w:rsidRPr="00734785">
        <w:rPr>
          <w:rFonts w:eastAsiaTheme="minorEastAsia"/>
          <w:lang w:eastAsia="zh-CN"/>
        </w:rPr>
        <w:t xml:space="preserve">Srxlev </w:t>
      </w:r>
      <w:r w:rsidR="00DC4599">
        <w:rPr>
          <w:rFonts w:eastAsiaTheme="minorEastAsia"/>
          <w:lang w:eastAsia="zh-CN"/>
        </w:rPr>
        <w:t>≤</w:t>
      </w:r>
      <w:r w:rsidR="00DC4599" w:rsidRPr="00734785">
        <w:rPr>
          <w:rFonts w:eastAsiaTheme="minorEastAsia"/>
          <w:lang w:eastAsia="zh-CN"/>
        </w:rPr>
        <w:t xml:space="preserve"> S</w:t>
      </w:r>
      <w:r w:rsidR="00DC4599" w:rsidRPr="002F5786">
        <w:rPr>
          <w:rFonts w:eastAsiaTheme="minorEastAsia"/>
          <w:vertAlign w:val="subscript"/>
          <w:lang w:eastAsia="zh-CN"/>
        </w:rPr>
        <w:t>IntraSearchP</w:t>
      </w:r>
      <w:r w:rsidR="00DC4599" w:rsidRPr="00734785">
        <w:rPr>
          <w:rFonts w:eastAsiaTheme="minorEastAsia"/>
          <w:lang w:eastAsia="zh-CN"/>
        </w:rPr>
        <w:t xml:space="preserve"> </w:t>
      </w:r>
      <w:r w:rsidR="00DC4599">
        <w:rPr>
          <w:rFonts w:eastAsiaTheme="minorEastAsia"/>
          <w:lang w:eastAsia="zh-CN"/>
        </w:rPr>
        <w:t>or</w:t>
      </w:r>
      <w:r w:rsidR="00DC4599" w:rsidRPr="00734785">
        <w:rPr>
          <w:rFonts w:eastAsiaTheme="minorEastAsia"/>
          <w:lang w:eastAsia="zh-CN"/>
        </w:rPr>
        <w:t xml:space="preserve"> Squal </w:t>
      </w:r>
      <w:r w:rsidR="00DC4599">
        <w:rPr>
          <w:rFonts w:eastAsiaTheme="minorEastAsia"/>
          <w:lang w:eastAsia="zh-CN"/>
        </w:rPr>
        <w:t>≤</w:t>
      </w:r>
      <w:r w:rsidR="00DC4599" w:rsidRPr="00734785">
        <w:rPr>
          <w:rFonts w:eastAsiaTheme="minorEastAsia"/>
          <w:lang w:eastAsia="zh-CN"/>
        </w:rPr>
        <w:t xml:space="preserve"> S</w:t>
      </w:r>
      <w:r w:rsidR="00DC4599" w:rsidRPr="002F5786">
        <w:rPr>
          <w:rFonts w:eastAsiaTheme="minorEastAsia"/>
          <w:vertAlign w:val="subscript"/>
          <w:lang w:eastAsia="zh-CN"/>
        </w:rPr>
        <w:t>IntraSearchQ</w:t>
      </w:r>
      <w:r w:rsidRPr="00734785">
        <w:rPr>
          <w:rFonts w:eastAsiaTheme="minorEastAsia"/>
          <w:lang w:eastAsia="zh-CN"/>
        </w:rPr>
        <w:t xml:space="preserve"> and when the UE is </w:t>
      </w:r>
      <w:r w:rsidRPr="00C83CA1">
        <w:rPr>
          <w:rFonts w:eastAsiaTheme="minorEastAsia"/>
          <w:lang w:eastAsia="zh-CN"/>
        </w:rPr>
        <w:t xml:space="preserve">configured </w:t>
      </w:r>
      <w:r w:rsidRPr="00C83CA1">
        <w:rPr>
          <w:noProof/>
        </w:rPr>
        <w:t>any of the following relaxed measurement critera:</w:t>
      </w:r>
    </w:p>
    <w:p w14:paraId="4C449C06" w14:textId="637F4918" w:rsidR="00DC4599" w:rsidRPr="00950DA1" w:rsidRDefault="00DC4599" w:rsidP="00DC4599">
      <w:pPr>
        <w:pStyle w:val="B10"/>
        <w:rPr>
          <w:noProof/>
        </w:rPr>
      </w:pPr>
      <w:r>
        <w:rPr>
          <w:noProof/>
        </w:rPr>
        <w:t>-</w:t>
      </w:r>
      <w:r>
        <w:rPr>
          <w:noProof/>
        </w:rPr>
        <w:tab/>
      </w:r>
      <w:r w:rsidRPr="007D632B">
        <w:rPr>
          <w:noProof/>
        </w:rPr>
        <w:t>Relaxed measurement criterion for UE</w:t>
      </w:r>
      <w:r w:rsidRPr="00950DA1">
        <w:rPr>
          <w:noProof/>
        </w:rPr>
        <w:t xml:space="preserve"> with low mobility defined in clause 5.2.4.</w:t>
      </w:r>
      <w:r>
        <w:rPr>
          <w:noProof/>
        </w:rPr>
        <w:t>9</w:t>
      </w:r>
      <w:r w:rsidRPr="00950DA1">
        <w:rPr>
          <w:noProof/>
        </w:rPr>
        <w:t>.1 in [1],</w:t>
      </w:r>
    </w:p>
    <w:p w14:paraId="7F226905" w14:textId="2523F9F5" w:rsidR="00DC4599" w:rsidRPr="00950DA1" w:rsidRDefault="00DC4599" w:rsidP="00DC4599">
      <w:pPr>
        <w:pStyle w:val="B10"/>
        <w:rPr>
          <w:noProof/>
        </w:rPr>
      </w:pPr>
      <w:bookmarkStart w:id="42" w:name="_Hlk42030516"/>
      <w:r>
        <w:rPr>
          <w:noProof/>
        </w:rPr>
        <w:t>-</w:t>
      </w:r>
      <w:r>
        <w:rPr>
          <w:noProof/>
        </w:rPr>
        <w:tab/>
      </w:r>
      <w:r w:rsidRPr="00950DA1">
        <w:rPr>
          <w:noProof/>
        </w:rPr>
        <w:t>Relaxed measurement criterion for UE not</w:t>
      </w:r>
      <w:r>
        <w:rPr>
          <w:noProof/>
        </w:rPr>
        <w:t>-</w:t>
      </w:r>
      <w:r w:rsidRPr="00950DA1">
        <w:rPr>
          <w:noProof/>
        </w:rPr>
        <w:t>at</w:t>
      </w:r>
      <w:r>
        <w:rPr>
          <w:noProof/>
        </w:rPr>
        <w:t>-</w:t>
      </w:r>
      <w:r w:rsidRPr="00950DA1">
        <w:rPr>
          <w:noProof/>
        </w:rPr>
        <w:t>cell</w:t>
      </w:r>
      <w:r>
        <w:rPr>
          <w:noProof/>
        </w:rPr>
        <w:t xml:space="preserve"> </w:t>
      </w:r>
      <w:r w:rsidRPr="00950DA1">
        <w:rPr>
          <w:noProof/>
        </w:rPr>
        <w:t>edge defined in clause 5.2.4.</w:t>
      </w:r>
      <w:r>
        <w:rPr>
          <w:noProof/>
        </w:rPr>
        <w:t>9</w:t>
      </w:r>
      <w:r w:rsidRPr="00950DA1">
        <w:rPr>
          <w:noProof/>
        </w:rPr>
        <w:t>.2 in [1],</w:t>
      </w:r>
    </w:p>
    <w:bookmarkEnd w:id="42"/>
    <w:p w14:paraId="6623D2A9" w14:textId="60C9BF1F" w:rsidR="00DC4599" w:rsidRPr="00734785" w:rsidRDefault="00DC4599" w:rsidP="00DC4599">
      <w:pPr>
        <w:pStyle w:val="B10"/>
        <w:rPr>
          <w:noProof/>
          <w:sz w:val="24"/>
          <w:szCs w:val="24"/>
        </w:rPr>
      </w:pPr>
      <w:r>
        <w:rPr>
          <w:noProof/>
        </w:rPr>
        <w:t>-</w:t>
      </w:r>
      <w:r>
        <w:rPr>
          <w:noProof/>
        </w:rPr>
        <w:tab/>
      </w:r>
      <w:r w:rsidRPr="00950DA1">
        <w:rPr>
          <w:noProof/>
        </w:rPr>
        <w:t>Both low mobility criterion and not</w:t>
      </w:r>
      <w:r>
        <w:rPr>
          <w:noProof/>
        </w:rPr>
        <w:t>-</w:t>
      </w:r>
      <w:r w:rsidRPr="00950DA1">
        <w:rPr>
          <w:noProof/>
        </w:rPr>
        <w:t>at</w:t>
      </w:r>
      <w:r>
        <w:rPr>
          <w:noProof/>
        </w:rPr>
        <w:t>-</w:t>
      </w:r>
      <w:r w:rsidRPr="00950DA1">
        <w:rPr>
          <w:noProof/>
        </w:rPr>
        <w:t>cell edge criterion as defined in clauses 5.2.4.</w:t>
      </w:r>
      <w:r>
        <w:rPr>
          <w:noProof/>
        </w:rPr>
        <w:t>9</w:t>
      </w:r>
      <w:r w:rsidRPr="00950DA1">
        <w:rPr>
          <w:noProof/>
        </w:rPr>
        <w:t>.1 and 5.2.4.</w:t>
      </w:r>
      <w:r>
        <w:rPr>
          <w:noProof/>
        </w:rPr>
        <w:t>9</w:t>
      </w:r>
      <w:r w:rsidRPr="00950DA1">
        <w:rPr>
          <w:noProof/>
        </w:rPr>
        <w:t>.2 in [1] respectively</w:t>
      </w:r>
      <w:r>
        <w:rPr>
          <w:noProof/>
        </w:rPr>
        <w:t>.</w:t>
      </w:r>
    </w:p>
    <w:p w14:paraId="25342E68" w14:textId="59122994" w:rsidR="0022726A" w:rsidRDefault="0022726A" w:rsidP="0022726A">
      <w:pPr>
        <w:pStyle w:val="Heading5"/>
        <w:rPr>
          <w:lang w:val="en-US" w:eastAsia="zh-CN"/>
        </w:rPr>
      </w:pPr>
      <w:r>
        <w:rPr>
          <w:lang w:val="en-US" w:eastAsia="zh-CN"/>
        </w:rPr>
        <w:t>4.2.2.9.2</w:t>
      </w:r>
      <w:r w:rsidR="00A21E2B">
        <w:rPr>
          <w:lang w:val="en-US" w:eastAsia="zh-CN"/>
        </w:rPr>
        <w:tab/>
      </w:r>
      <w:r>
        <w:rPr>
          <w:lang w:val="en-US" w:eastAsia="zh-CN"/>
        </w:rPr>
        <w:t>Measurements for UE fulfilling low mobility criterion</w:t>
      </w:r>
    </w:p>
    <w:p w14:paraId="5DE50014" w14:textId="77777777" w:rsidR="0022726A" w:rsidRPr="00EF59D1" w:rsidRDefault="0022726A" w:rsidP="0022726A">
      <w:pPr>
        <w:rPr>
          <w:lang w:eastAsia="zh-CN"/>
        </w:rPr>
      </w:pPr>
      <w:r w:rsidRPr="00C83CA1">
        <w:rPr>
          <w:lang w:val="en-US" w:eastAsia="zh-CN"/>
        </w:rPr>
        <w:t xml:space="preserve">This clause contains requirements </w:t>
      </w:r>
      <w:r w:rsidRPr="00C83CA1">
        <w:rPr>
          <w:lang w:eastAsia="zh-CN"/>
        </w:rPr>
        <w:t xml:space="preserve">for measurements on </w:t>
      </w:r>
      <w:r w:rsidRPr="00EF59D1">
        <w:rPr>
          <w:lang w:eastAsia="zh-CN"/>
        </w:rPr>
        <w:t>intra-frequency NR cells provided that:</w:t>
      </w:r>
    </w:p>
    <w:p w14:paraId="6F292093" w14:textId="434C322F" w:rsidR="006F2A46" w:rsidRPr="00A41B58" w:rsidRDefault="006F2A46" w:rsidP="006F2A46">
      <w:pPr>
        <w:pStyle w:val="B10"/>
        <w:rPr>
          <w:lang w:eastAsia="zh-CN"/>
        </w:rPr>
      </w:pPr>
      <w:r>
        <w:rPr>
          <w:noProof/>
        </w:rPr>
        <w:t>-</w:t>
      </w:r>
      <w:r>
        <w:rPr>
          <w:noProof/>
        </w:rPr>
        <w:tab/>
      </w:r>
      <w:r w:rsidRPr="007C2D19">
        <w:rPr>
          <w:lang w:eastAsia="zh-CN"/>
        </w:rPr>
        <w:t xml:space="preserve">UE is configured with </w:t>
      </w:r>
      <w:r w:rsidR="002E4D01" w:rsidRPr="001C6668">
        <w:rPr>
          <w:i/>
          <w:iCs/>
          <w:lang w:eastAsia="zh-CN"/>
        </w:rPr>
        <w:t>lowMobilityEvaluation</w:t>
      </w:r>
      <w:r w:rsidR="002E4D01" w:rsidDel="004B26EA">
        <w:rPr>
          <w:i/>
          <w:iCs/>
          <w:lang w:eastAsia="zh-CN"/>
        </w:rPr>
        <w:t xml:space="preserve"> </w:t>
      </w:r>
      <w:r>
        <w:rPr>
          <w:lang w:eastAsia="zh-CN"/>
        </w:rPr>
        <w:t>[2]</w:t>
      </w:r>
      <w:r w:rsidRPr="007C2D19">
        <w:rPr>
          <w:lang w:eastAsia="zh-CN"/>
        </w:rPr>
        <w:t xml:space="preserve"> </w:t>
      </w:r>
      <w:r w:rsidRPr="00C33767">
        <w:rPr>
          <w:lang w:eastAsia="zh-CN"/>
        </w:rPr>
        <w:t>criterion</w:t>
      </w:r>
      <w:r>
        <w:rPr>
          <w:lang w:eastAsia="zh-CN"/>
        </w:rPr>
        <w:t xml:space="preserve"> and UE has fulfilled</w:t>
      </w:r>
      <w:r w:rsidRPr="00C33767">
        <w:rPr>
          <w:lang w:eastAsia="zh-CN"/>
        </w:rPr>
        <w:t xml:space="preserve">, or </w:t>
      </w:r>
    </w:p>
    <w:p w14:paraId="54AE745F" w14:textId="0B0B0111" w:rsidR="00700837" w:rsidRPr="0039265E" w:rsidRDefault="00700837" w:rsidP="00700837">
      <w:pPr>
        <w:pStyle w:val="B10"/>
        <w:rPr>
          <w:lang w:eastAsia="zh-CN"/>
        </w:rPr>
      </w:pPr>
      <w:r>
        <w:rPr>
          <w:noProof/>
        </w:rPr>
        <w:t>-</w:t>
      </w:r>
      <w:r>
        <w:rPr>
          <w:noProof/>
        </w:rPr>
        <w:tab/>
      </w:r>
      <w:r w:rsidRPr="00D36387">
        <w:rPr>
          <w:lang w:eastAsia="zh-CN"/>
        </w:rPr>
        <w:t xml:space="preserve">UE is configured with both </w:t>
      </w:r>
      <w:r w:rsidR="002E4D01" w:rsidRPr="001C6668">
        <w:rPr>
          <w:i/>
          <w:iCs/>
          <w:lang w:eastAsia="zh-CN"/>
        </w:rPr>
        <w:t>lowMobilityEvaluation</w:t>
      </w:r>
      <w:r w:rsidR="002E4D01" w:rsidDel="004B26EA">
        <w:rPr>
          <w:i/>
          <w:iCs/>
          <w:lang w:eastAsia="zh-CN"/>
        </w:rPr>
        <w:t xml:space="preserve"> </w:t>
      </w:r>
      <w:r>
        <w:rPr>
          <w:lang w:eastAsia="zh-CN"/>
        </w:rPr>
        <w:t>[2]</w:t>
      </w:r>
      <w:r w:rsidRPr="00D36387">
        <w:rPr>
          <w:lang w:eastAsia="zh-CN"/>
        </w:rPr>
        <w:t xml:space="preserve"> criterion and </w:t>
      </w:r>
      <w:r w:rsidRPr="00485479">
        <w:rPr>
          <w:i/>
          <w:iCs/>
          <w:lang w:eastAsia="zh-CN"/>
        </w:rPr>
        <w:t>cellEdgeEvaluation</w:t>
      </w:r>
      <w:r>
        <w:rPr>
          <w:i/>
          <w:iCs/>
          <w:lang w:eastAsia="zh-CN"/>
        </w:rPr>
        <w:t xml:space="preserve"> </w:t>
      </w:r>
      <w:r>
        <w:rPr>
          <w:lang w:eastAsia="zh-CN"/>
        </w:rPr>
        <w:t>[2]</w:t>
      </w:r>
      <w:r w:rsidRPr="00D36387">
        <w:rPr>
          <w:lang w:eastAsia="zh-CN"/>
        </w:rPr>
        <w:t xml:space="preserve"> criter</w:t>
      </w:r>
      <w:r>
        <w:rPr>
          <w:lang w:eastAsia="zh-CN"/>
        </w:rPr>
        <w:t>ion</w:t>
      </w:r>
      <w:r w:rsidRPr="00D36387">
        <w:rPr>
          <w:lang w:eastAsia="zh-CN"/>
        </w:rPr>
        <w:t xml:space="preserve"> </w:t>
      </w:r>
      <w:r>
        <w:rPr>
          <w:lang w:eastAsia="zh-CN"/>
        </w:rPr>
        <w:t xml:space="preserve">and </w:t>
      </w:r>
      <w:r w:rsidRPr="0061045D">
        <w:rPr>
          <w:i/>
          <w:lang w:eastAsia="zh-CN"/>
        </w:rPr>
        <w:t>combineRelaxedMeasCondition</w:t>
      </w:r>
      <w:r>
        <w:rPr>
          <w:rFonts w:hint="eastAsia"/>
          <w:lang w:eastAsia="zh-CN"/>
        </w:rPr>
        <w:t xml:space="preserve"> </w:t>
      </w:r>
      <w:r>
        <w:rPr>
          <w:lang w:eastAsia="zh-CN"/>
        </w:rPr>
        <w:t>[2] not configured, and UE</w:t>
      </w:r>
      <w:r w:rsidRPr="00D36387">
        <w:rPr>
          <w:lang w:eastAsia="zh-CN"/>
        </w:rPr>
        <w:t xml:space="preserve"> has fulfilled only the </w:t>
      </w:r>
      <w:r w:rsidR="002E4D01" w:rsidRPr="001C6668">
        <w:rPr>
          <w:i/>
          <w:iCs/>
          <w:lang w:eastAsia="zh-CN"/>
        </w:rPr>
        <w:t>lowMobilityEvaluation</w:t>
      </w:r>
      <w:r w:rsidR="002E4D01" w:rsidDel="004B26EA">
        <w:rPr>
          <w:i/>
          <w:iCs/>
          <w:lang w:eastAsia="zh-CN"/>
        </w:rPr>
        <w:t xml:space="preserve"> </w:t>
      </w:r>
      <w:r>
        <w:rPr>
          <w:lang w:eastAsia="zh-CN"/>
        </w:rPr>
        <w:t>[2]</w:t>
      </w:r>
      <w:r w:rsidRPr="00D36387">
        <w:rPr>
          <w:lang w:eastAsia="zh-CN"/>
        </w:rPr>
        <w:t xml:space="preserve"> criterion</w:t>
      </w:r>
      <w:r w:rsidRPr="0039265E">
        <w:rPr>
          <w:lang w:eastAsia="zh-CN"/>
        </w:rPr>
        <w:t>.</w:t>
      </w:r>
    </w:p>
    <w:p w14:paraId="53119D14" w14:textId="1C5DA82D" w:rsidR="0022726A" w:rsidRDefault="0022726A" w:rsidP="0022726A">
      <w:pPr>
        <w:rPr>
          <w:noProof/>
        </w:rPr>
      </w:pPr>
      <w:r w:rsidRPr="0089796C">
        <w:rPr>
          <w:noProof/>
        </w:rPr>
        <w:t xml:space="preserve">The requirements defined in clause </w:t>
      </w:r>
      <w:r>
        <w:t>4.2.2.3</w:t>
      </w:r>
      <w:r w:rsidRPr="0089796C">
        <w:t xml:space="preserve"> </w:t>
      </w:r>
      <w:r w:rsidRPr="0089796C">
        <w:rPr>
          <w:noProof/>
        </w:rPr>
        <w:t xml:space="preserve">apply for this </w:t>
      </w:r>
      <w:r w:rsidR="0063092D">
        <w:rPr>
          <w:noProof/>
        </w:rPr>
        <w:t>clause</w:t>
      </w:r>
      <w:r w:rsidRPr="0089796C">
        <w:rPr>
          <w:noProof/>
        </w:rPr>
        <w:t xml:space="preserve"> </w:t>
      </w:r>
      <w:r>
        <w:rPr>
          <w:noProof/>
        </w:rPr>
        <w:t>except that</w:t>
      </w:r>
      <w:r w:rsidRPr="0089796C">
        <w:rPr>
          <w:noProof/>
        </w:rPr>
        <w:t>:</w:t>
      </w:r>
    </w:p>
    <w:p w14:paraId="65C3D776" w14:textId="6D9390C6" w:rsidR="0022726A" w:rsidRDefault="0022726A" w:rsidP="0022726A">
      <w:pPr>
        <w:pStyle w:val="B10"/>
      </w:pPr>
      <w:r w:rsidRPr="0089796C">
        <w:t>-</w:t>
      </w:r>
      <w:r w:rsidRPr="0089796C">
        <w:tab/>
      </w:r>
      <w:r w:rsidRPr="00885F53">
        <w:t>T</w:t>
      </w:r>
      <w:r w:rsidRPr="00885F53">
        <w:rPr>
          <w:vertAlign w:val="subscript"/>
        </w:rPr>
        <w:t>detect,</w:t>
      </w:r>
      <w:r w:rsidRPr="00885F53">
        <w:rPr>
          <w:vertAlign w:val="subscript"/>
          <w:lang w:eastAsia="zh-CN"/>
        </w:rPr>
        <w:t>NR</w:t>
      </w:r>
      <w:r w:rsidRPr="00885F53">
        <w:rPr>
          <w:vertAlign w:val="subscript"/>
        </w:rPr>
        <w:t>_Intra</w:t>
      </w:r>
      <w:r w:rsidRPr="00885F53">
        <w:rPr>
          <w:i/>
          <w:vertAlign w:val="subscript"/>
        </w:rPr>
        <w:t xml:space="preserve"> </w:t>
      </w:r>
      <w:r>
        <w:t xml:space="preserve">as specified in </w:t>
      </w:r>
      <w:r w:rsidRPr="00AD77EE">
        <w:t xml:space="preserve">Table </w:t>
      </w:r>
      <w:r>
        <w:t>4.2.2.9.</w:t>
      </w:r>
      <w:r w:rsidR="00664298" w:rsidRPr="00664298">
        <w:t xml:space="preserve"> </w:t>
      </w:r>
      <w:r w:rsidR="00664298">
        <w:t>2</w:t>
      </w:r>
      <w:r w:rsidRPr="00AD77EE">
        <w:t>-1.</w:t>
      </w:r>
    </w:p>
    <w:p w14:paraId="252DC9D9" w14:textId="5125E188" w:rsidR="0022726A" w:rsidRDefault="0022726A" w:rsidP="0022726A">
      <w:pPr>
        <w:pStyle w:val="B10"/>
      </w:pPr>
      <w:r w:rsidRPr="0089796C">
        <w:t>-</w:t>
      </w:r>
      <w:r w:rsidRPr="0089796C">
        <w:tab/>
      </w:r>
      <w:r w:rsidRPr="00885F53">
        <w:rPr>
          <w:rFonts w:cs="v4.2.0"/>
        </w:rPr>
        <w:t>T</w:t>
      </w:r>
      <w:r w:rsidRPr="00885F53">
        <w:rPr>
          <w:rFonts w:cs="v4.2.0"/>
          <w:vertAlign w:val="subscript"/>
        </w:rPr>
        <w:t>measure,NR_Intra</w:t>
      </w:r>
      <w:r w:rsidRPr="00885F53">
        <w:rPr>
          <w:rFonts w:cs="v4.2.0"/>
        </w:rPr>
        <w:t xml:space="preserve"> </w:t>
      </w:r>
      <w:r>
        <w:t xml:space="preserve">as specified in </w:t>
      </w:r>
      <w:r w:rsidRPr="00AD77EE">
        <w:t xml:space="preserve">Table </w:t>
      </w:r>
      <w:r>
        <w:t>4.2.2.9.</w:t>
      </w:r>
      <w:r w:rsidR="007A57A2" w:rsidRPr="007A57A2">
        <w:t xml:space="preserve"> </w:t>
      </w:r>
      <w:r w:rsidR="007A57A2">
        <w:t>2</w:t>
      </w:r>
      <w:r w:rsidRPr="00AD77EE">
        <w:t>-1.</w:t>
      </w:r>
    </w:p>
    <w:p w14:paraId="68A54699" w14:textId="7C2F00E6" w:rsidR="0022726A" w:rsidRDefault="0022726A" w:rsidP="0022726A">
      <w:pPr>
        <w:pStyle w:val="B10"/>
      </w:pPr>
      <w:r w:rsidRPr="0089796C">
        <w:t>-</w:t>
      </w:r>
      <w:r w:rsidRPr="0089796C">
        <w:tab/>
      </w:r>
      <w:r w:rsidRPr="00885F53">
        <w:rPr>
          <w:rFonts w:cs="v4.2.0"/>
        </w:rPr>
        <w:t>T</w:t>
      </w:r>
      <w:r w:rsidRPr="00885F53">
        <w:rPr>
          <w:rFonts w:cs="v4.2.0"/>
          <w:vertAlign w:val="subscript"/>
        </w:rPr>
        <w:t>evaluate,</w:t>
      </w:r>
      <w:r w:rsidRPr="00885F53">
        <w:rPr>
          <w:rFonts w:cs="v4.2.0"/>
          <w:vertAlign w:val="subscript"/>
          <w:lang w:eastAsia="zh-CN"/>
        </w:rPr>
        <w:t>NR</w:t>
      </w:r>
      <w:r w:rsidRPr="00885F53">
        <w:rPr>
          <w:rFonts w:cs="v4.2.0"/>
          <w:vertAlign w:val="subscript"/>
        </w:rPr>
        <w:t>_Intra</w:t>
      </w:r>
      <w:r>
        <w:rPr>
          <w:rFonts w:cs="v4.2.0"/>
          <w:vertAlign w:val="subscript"/>
        </w:rPr>
        <w:t xml:space="preserve"> </w:t>
      </w:r>
      <w:r>
        <w:t xml:space="preserve">as specified in </w:t>
      </w:r>
      <w:r w:rsidRPr="00950DA1">
        <w:t xml:space="preserve">Table </w:t>
      </w:r>
      <w:r>
        <w:t>4.2.2.9.</w:t>
      </w:r>
      <w:r w:rsidR="007A57A2" w:rsidRPr="007A57A2">
        <w:t xml:space="preserve"> </w:t>
      </w:r>
      <w:r w:rsidR="007A57A2">
        <w:t>2</w:t>
      </w:r>
      <w:r w:rsidRPr="00950DA1">
        <w:t>-1.</w:t>
      </w:r>
    </w:p>
    <w:p w14:paraId="3977F08E" w14:textId="77777777" w:rsidR="00CB7FEE" w:rsidRPr="00043DFE" w:rsidRDefault="00CB7FEE" w:rsidP="00CB7FEE">
      <w:pPr>
        <w:rPr>
          <w:noProof/>
        </w:rPr>
      </w:pPr>
      <w:r w:rsidRPr="00043DFE">
        <w:rPr>
          <w:noProof/>
        </w:rPr>
        <w:t xml:space="preserve">If the UE is configured with eDRX_IDLE cycle then the requirements in Table 4.2.2.9.2-2 and Table 4.2.2.9.2-3 are applicable for eDRX cycle up to 10.24 s in FR1 and FR2, respectively. </w:t>
      </w:r>
    </w:p>
    <w:p w14:paraId="32426DB8" w14:textId="495440B7" w:rsidR="00CB7FEE" w:rsidRPr="00486683" w:rsidRDefault="00CB7FEE" w:rsidP="00CB7FEE">
      <w:r w:rsidRPr="00043DFE">
        <w:t xml:space="preserve">If the UE is configured with eDRX_IDLE cycle greater than 10.24 s in FR1 and FR2, then the requirements in Table </w:t>
      </w:r>
      <w:r w:rsidRPr="00043DFE">
        <w:rPr>
          <w:lang w:val="en-US"/>
        </w:rPr>
        <w:t>Table 4.2.2.9.2-4</w:t>
      </w:r>
      <w:r w:rsidRPr="00043DFE">
        <w:t xml:space="preserve"> and </w:t>
      </w:r>
      <w:r w:rsidRPr="00043DFE">
        <w:rPr>
          <w:lang w:val="en-US"/>
        </w:rPr>
        <w:t xml:space="preserve">Table 4.2.2.9.2-5 respectively </w:t>
      </w:r>
      <w:r w:rsidRPr="00043DFE">
        <w:t xml:space="preserve">apply provided eDRX cycle is </w:t>
      </w:r>
      <w:r w:rsidRPr="00043DFE">
        <w:rPr>
          <w:rFonts w:hint="eastAsia"/>
        </w:rPr>
        <w:t>≤</w:t>
      </w:r>
      <w:r w:rsidRPr="00043DFE">
        <w:t xml:space="preserve"> [163.84] sec and evaluation/measurement time with relaxation on one carrier is not greater than single PTW window length.</w:t>
      </w:r>
    </w:p>
    <w:p w14:paraId="0FB73091" w14:textId="77777777" w:rsidR="00A20BE0" w:rsidRPr="00885F53" w:rsidRDefault="00A20BE0" w:rsidP="00A20BE0">
      <w:pPr>
        <w:pStyle w:val="TH"/>
      </w:pPr>
      <w:r w:rsidRPr="00885F53">
        <w:t xml:space="preserve">Table </w:t>
      </w:r>
      <w:r>
        <w:t>4.2.2.9.2</w:t>
      </w:r>
      <w:r w:rsidRPr="00885F53">
        <w:t>-1: T</w:t>
      </w:r>
      <w:r w:rsidRPr="00885F53">
        <w:rPr>
          <w:vertAlign w:val="subscript"/>
        </w:rPr>
        <w:t>detect,NR_Intra,</w:t>
      </w:r>
      <w:r w:rsidRPr="00885F53">
        <w:t xml:space="preserve"> T</w:t>
      </w:r>
      <w:r w:rsidRPr="00885F53">
        <w:rPr>
          <w:vertAlign w:val="subscript"/>
        </w:rPr>
        <w:t>measure,NR_Intra</w:t>
      </w:r>
      <w:r w:rsidRPr="00885F53">
        <w:t xml:space="preserve"> and T</w:t>
      </w:r>
      <w:r w:rsidRPr="00885F53">
        <w:rPr>
          <w:vertAlign w:val="subscript"/>
        </w:rPr>
        <w:t>evaluate,NR_Intra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630"/>
        <w:gridCol w:w="838"/>
        <w:gridCol w:w="817"/>
        <w:gridCol w:w="1980"/>
        <w:gridCol w:w="2135"/>
        <w:gridCol w:w="2065"/>
      </w:tblGrid>
      <w:tr w:rsidR="00A20BE0" w:rsidRPr="00885F53" w14:paraId="084CAF2B" w14:textId="77777777" w:rsidTr="00583014">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01CEE93F" w14:textId="77777777" w:rsidR="00A20BE0" w:rsidRPr="00885F53" w:rsidRDefault="00A20BE0" w:rsidP="00583014">
            <w:pPr>
              <w:pStyle w:val="TAH"/>
            </w:pPr>
            <w:r w:rsidRPr="00885F53">
              <w:t>DRX cycle length [s]</w:t>
            </w:r>
          </w:p>
        </w:tc>
        <w:tc>
          <w:tcPr>
            <w:tcW w:w="0" w:type="auto"/>
            <w:gridSpan w:val="3"/>
            <w:tcBorders>
              <w:top w:val="single" w:sz="4" w:space="0" w:color="auto"/>
              <w:left w:val="single" w:sz="4" w:space="0" w:color="auto"/>
              <w:bottom w:val="single" w:sz="4" w:space="0" w:color="auto"/>
              <w:right w:val="single" w:sz="4" w:space="0" w:color="auto"/>
            </w:tcBorders>
            <w:hideMark/>
          </w:tcPr>
          <w:p w14:paraId="79D6BCB2" w14:textId="77777777" w:rsidR="00A20BE0" w:rsidRPr="00885F53" w:rsidRDefault="00A20BE0" w:rsidP="00583014">
            <w:pPr>
              <w:pStyle w:val="TAH"/>
            </w:pPr>
            <w:r w:rsidRPr="00885F53">
              <w:t>Scaling Factor (N1)</w:t>
            </w:r>
          </w:p>
        </w:tc>
        <w:tc>
          <w:tcPr>
            <w:tcW w:w="0" w:type="auto"/>
            <w:vMerge w:val="restart"/>
            <w:tcBorders>
              <w:top w:val="single" w:sz="4" w:space="0" w:color="auto"/>
              <w:left w:val="single" w:sz="4" w:space="0" w:color="auto"/>
              <w:bottom w:val="single" w:sz="4" w:space="0" w:color="auto"/>
              <w:right w:val="single" w:sz="4" w:space="0" w:color="auto"/>
            </w:tcBorders>
            <w:hideMark/>
          </w:tcPr>
          <w:p w14:paraId="3E11FC51" w14:textId="77777777" w:rsidR="00A20BE0" w:rsidRPr="00885F53" w:rsidRDefault="00A20BE0" w:rsidP="00583014">
            <w:pPr>
              <w:pStyle w:val="TAH"/>
            </w:pPr>
            <w:r w:rsidRPr="00885F53">
              <w:t>T</w:t>
            </w:r>
            <w:r w:rsidRPr="00885F53">
              <w:rPr>
                <w:vertAlign w:val="subscript"/>
              </w:rPr>
              <w:t>detect,NR_Intra</w:t>
            </w:r>
            <w:r w:rsidRPr="00885F53">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53097F60" w14:textId="77777777" w:rsidR="00A20BE0" w:rsidRPr="00885F53" w:rsidRDefault="00A20BE0" w:rsidP="00583014">
            <w:pPr>
              <w:pStyle w:val="TAH"/>
            </w:pPr>
            <w:r w:rsidRPr="00885F53">
              <w:t>T</w:t>
            </w:r>
            <w:r w:rsidRPr="00885F53">
              <w:rPr>
                <w:vertAlign w:val="subscript"/>
              </w:rPr>
              <w:t>measure,NR_Intra</w:t>
            </w:r>
            <w:r w:rsidRPr="00885F53">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2E685873" w14:textId="77777777" w:rsidR="00A20BE0" w:rsidRPr="00885F53" w:rsidRDefault="00A20BE0" w:rsidP="00583014">
            <w:pPr>
              <w:pStyle w:val="TAH"/>
              <w:rPr>
                <w:vertAlign w:val="subscript"/>
              </w:rPr>
            </w:pPr>
            <w:r w:rsidRPr="00885F53">
              <w:t>T</w:t>
            </w:r>
            <w:r w:rsidRPr="00885F53">
              <w:rPr>
                <w:vertAlign w:val="subscript"/>
              </w:rPr>
              <w:t>evaluate,NR_</w:t>
            </w:r>
            <w:r w:rsidRPr="00885F53">
              <w:rPr>
                <w:rFonts w:cs="v4.2.0"/>
                <w:vertAlign w:val="subscript"/>
              </w:rPr>
              <w:t>Intra</w:t>
            </w:r>
          </w:p>
          <w:p w14:paraId="7415EDB2" w14:textId="77777777" w:rsidR="00A20BE0" w:rsidRPr="00885F53" w:rsidRDefault="00A20BE0" w:rsidP="00583014">
            <w:pPr>
              <w:pStyle w:val="TAH"/>
            </w:pPr>
            <w:r w:rsidRPr="00885F53">
              <w:t>[s] (number of DRX cycles)</w:t>
            </w:r>
          </w:p>
        </w:tc>
      </w:tr>
      <w:tr w:rsidR="00A20BE0" w:rsidRPr="00885F53" w14:paraId="236FC247" w14:textId="77777777" w:rsidTr="00583014">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E8AE83" w14:textId="77777777" w:rsidR="00A20BE0" w:rsidRPr="00885F53" w:rsidRDefault="00A20BE0" w:rsidP="00583014">
            <w:pPr>
              <w:pStyle w:val="TAH"/>
            </w:pPr>
          </w:p>
        </w:tc>
        <w:tc>
          <w:tcPr>
            <w:tcW w:w="0" w:type="auto"/>
            <w:tcBorders>
              <w:top w:val="single" w:sz="4" w:space="0" w:color="auto"/>
              <w:left w:val="single" w:sz="4" w:space="0" w:color="auto"/>
              <w:bottom w:val="single" w:sz="4" w:space="0" w:color="auto"/>
              <w:right w:val="single" w:sz="4" w:space="0" w:color="auto"/>
            </w:tcBorders>
            <w:hideMark/>
          </w:tcPr>
          <w:p w14:paraId="797B794E" w14:textId="77777777" w:rsidR="00A20BE0" w:rsidRPr="00885F53" w:rsidRDefault="00A20BE0" w:rsidP="00583014">
            <w:pPr>
              <w:pStyle w:val="TAH"/>
            </w:pPr>
            <w:r w:rsidRPr="00885F53">
              <w:t>FR1</w:t>
            </w:r>
          </w:p>
        </w:tc>
        <w:tc>
          <w:tcPr>
            <w:tcW w:w="0" w:type="auto"/>
            <w:tcBorders>
              <w:top w:val="single" w:sz="4" w:space="0" w:color="auto"/>
              <w:left w:val="single" w:sz="4" w:space="0" w:color="auto"/>
              <w:bottom w:val="single" w:sz="4" w:space="0" w:color="auto"/>
              <w:right w:val="single" w:sz="4" w:space="0" w:color="auto"/>
            </w:tcBorders>
            <w:hideMark/>
          </w:tcPr>
          <w:p w14:paraId="10E99B81" w14:textId="77777777" w:rsidR="00A20BE0" w:rsidRPr="00885F53" w:rsidRDefault="00A20BE0" w:rsidP="00583014">
            <w:pPr>
              <w:pStyle w:val="TAH"/>
              <w:rPr>
                <w:vertAlign w:val="superscript"/>
              </w:rPr>
            </w:pPr>
            <w:r w:rsidRPr="00885F53">
              <w:t>FR2</w:t>
            </w:r>
            <w:r>
              <w:rPr>
                <w:rFonts w:hint="eastAsia"/>
                <w:lang w:eastAsia="zh-CN"/>
              </w:rPr>
              <w:t>-</w:t>
            </w:r>
            <w:r>
              <w:t>1</w:t>
            </w:r>
            <w:r w:rsidRPr="00885F53">
              <w:rPr>
                <w:vertAlign w:val="superscript"/>
              </w:rPr>
              <w:t>Note1</w:t>
            </w:r>
          </w:p>
        </w:tc>
        <w:tc>
          <w:tcPr>
            <w:tcW w:w="0" w:type="auto"/>
            <w:tcBorders>
              <w:top w:val="single" w:sz="4" w:space="0" w:color="auto"/>
              <w:left w:val="single" w:sz="4" w:space="0" w:color="auto"/>
              <w:bottom w:val="single" w:sz="4" w:space="0" w:color="auto"/>
              <w:right w:val="single" w:sz="4" w:space="0" w:color="auto"/>
            </w:tcBorders>
          </w:tcPr>
          <w:p w14:paraId="6CFF4DBF" w14:textId="77777777" w:rsidR="00A20BE0" w:rsidRPr="00885F53" w:rsidRDefault="00A20BE0" w:rsidP="00583014">
            <w:pPr>
              <w:pStyle w:val="TAH"/>
            </w:pPr>
            <w:r>
              <w:rPr>
                <w:rFonts w:hint="eastAsia"/>
              </w:rPr>
              <w:t>F</w:t>
            </w:r>
            <w:r>
              <w:t>R2-2</w:t>
            </w:r>
            <w:r w:rsidRPr="009C5807">
              <w:rPr>
                <w:vertAlign w:val="superscript"/>
              </w:rPr>
              <w:t xml:space="preserve"> Note</w:t>
            </w:r>
            <w:r>
              <w:rPr>
                <w:vertAlign w:val="superscript"/>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5686D5" w14:textId="77777777" w:rsidR="00A20BE0" w:rsidRPr="00885F53" w:rsidRDefault="00A20BE0" w:rsidP="00583014">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7F6954" w14:textId="77777777" w:rsidR="00A20BE0" w:rsidRPr="00885F53" w:rsidRDefault="00A20BE0" w:rsidP="00583014">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F88E16" w14:textId="77777777" w:rsidR="00A20BE0" w:rsidRPr="00885F53" w:rsidRDefault="00A20BE0" w:rsidP="00583014">
            <w:pPr>
              <w:pStyle w:val="TAH"/>
            </w:pPr>
          </w:p>
        </w:tc>
      </w:tr>
      <w:tr w:rsidR="00A20BE0" w:rsidRPr="00EA7096" w14:paraId="524F7EBB"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17CE0EF" w14:textId="77777777" w:rsidR="00A20BE0" w:rsidRPr="00885F53" w:rsidRDefault="00A20BE0" w:rsidP="00583014">
            <w:pPr>
              <w:pStyle w:val="TAC"/>
            </w:pPr>
            <w:r w:rsidRPr="00885F53">
              <w:t>0.32</w:t>
            </w:r>
          </w:p>
        </w:tc>
        <w:tc>
          <w:tcPr>
            <w:tcW w:w="0" w:type="auto"/>
            <w:tcBorders>
              <w:top w:val="single" w:sz="4" w:space="0" w:color="auto"/>
              <w:left w:val="single" w:sz="4" w:space="0" w:color="auto"/>
              <w:bottom w:val="nil"/>
              <w:right w:val="single" w:sz="4" w:space="0" w:color="auto"/>
            </w:tcBorders>
            <w:hideMark/>
          </w:tcPr>
          <w:p w14:paraId="7ECDDAB5" w14:textId="77777777" w:rsidR="00A20BE0" w:rsidRPr="00885F53" w:rsidRDefault="00A20BE0" w:rsidP="00583014">
            <w:pPr>
              <w:pStyle w:val="TAC"/>
            </w:pPr>
            <w:r w:rsidRPr="00885F53">
              <w:t>1</w:t>
            </w:r>
          </w:p>
        </w:tc>
        <w:tc>
          <w:tcPr>
            <w:tcW w:w="0" w:type="auto"/>
            <w:tcBorders>
              <w:top w:val="single" w:sz="4" w:space="0" w:color="auto"/>
              <w:left w:val="single" w:sz="4" w:space="0" w:color="auto"/>
              <w:bottom w:val="single" w:sz="4" w:space="0" w:color="auto"/>
              <w:right w:val="single" w:sz="4" w:space="0" w:color="auto"/>
            </w:tcBorders>
            <w:hideMark/>
          </w:tcPr>
          <w:p w14:paraId="3A4C4033" w14:textId="77777777" w:rsidR="00A20BE0" w:rsidRPr="00885F53" w:rsidRDefault="00A20BE0" w:rsidP="00583014">
            <w:pPr>
              <w:pStyle w:val="TAC"/>
            </w:pPr>
            <w:r w:rsidRPr="00885F53">
              <w:t>8</w:t>
            </w:r>
          </w:p>
        </w:tc>
        <w:tc>
          <w:tcPr>
            <w:tcW w:w="0" w:type="auto"/>
            <w:tcBorders>
              <w:top w:val="single" w:sz="4" w:space="0" w:color="auto"/>
              <w:left w:val="single" w:sz="4" w:space="0" w:color="auto"/>
              <w:bottom w:val="single" w:sz="4" w:space="0" w:color="auto"/>
              <w:right w:val="single" w:sz="4" w:space="0" w:color="auto"/>
            </w:tcBorders>
          </w:tcPr>
          <w:p w14:paraId="1A47B47A" w14:textId="77777777" w:rsidR="00A20BE0" w:rsidRPr="00DF4E37" w:rsidRDefault="00A20BE0" w:rsidP="00583014">
            <w:pPr>
              <w:pStyle w:val="TAC"/>
              <w:rPr>
                <w:szCs w:val="18"/>
                <w:lang w:val="sv-SE"/>
              </w:rPr>
            </w:pPr>
            <w:r w:rsidRPr="00DF4E37">
              <w:rPr>
                <w:rFonts w:cs="Arial" w:hint="eastAsia"/>
                <w:szCs w:val="18"/>
              </w:rPr>
              <w:t>1</w:t>
            </w:r>
            <w:r w:rsidRPr="00DF4E37">
              <w:rPr>
                <w:rFonts w:cs="Arial"/>
                <w:szCs w:val="18"/>
              </w:rPr>
              <w:t>2</w:t>
            </w:r>
          </w:p>
        </w:tc>
        <w:tc>
          <w:tcPr>
            <w:tcW w:w="0" w:type="auto"/>
            <w:tcBorders>
              <w:top w:val="single" w:sz="4" w:space="0" w:color="auto"/>
              <w:left w:val="single" w:sz="4" w:space="0" w:color="auto"/>
              <w:bottom w:val="single" w:sz="4" w:space="0" w:color="auto"/>
              <w:right w:val="single" w:sz="4" w:space="0" w:color="auto"/>
            </w:tcBorders>
            <w:hideMark/>
          </w:tcPr>
          <w:p w14:paraId="4BE37EE4" w14:textId="77777777" w:rsidR="00A20BE0" w:rsidRPr="00950DA1" w:rsidRDefault="00A20BE0" w:rsidP="00583014">
            <w:pPr>
              <w:pStyle w:val="TAC"/>
              <w:rPr>
                <w:lang w:val="sv-SE"/>
              </w:rPr>
            </w:pPr>
            <w:r w:rsidRPr="00950DA1">
              <w:rPr>
                <w:lang w:val="sv-SE"/>
              </w:rPr>
              <w:t xml:space="preserve">11.52 x N1 </w:t>
            </w:r>
            <w:r w:rsidRPr="00950DA1">
              <w:rPr>
                <w:rFonts w:cs="Arial"/>
                <w:lang w:val="sv-SE" w:eastAsia="zh-CN"/>
              </w:rPr>
              <w:t>x M2</w:t>
            </w:r>
            <w:r>
              <w:rPr>
                <w:rFonts w:cs="Arial"/>
                <w:lang w:val="sv-SE" w:eastAsia="zh-CN"/>
              </w:rPr>
              <w:t xml:space="preserve"> x K1</w:t>
            </w:r>
            <w:r w:rsidRPr="00950DA1">
              <w:rPr>
                <w:rFonts w:cs="Arial"/>
                <w:lang w:val="sv-SE" w:eastAsia="zh-CN"/>
              </w:rPr>
              <w:t xml:space="preserve"> </w:t>
            </w:r>
            <w:r w:rsidRPr="00950DA1">
              <w:rPr>
                <w:lang w:val="sv-SE"/>
              </w:rPr>
              <w:t>(36 x N1</w:t>
            </w:r>
            <w:r w:rsidRPr="00950DA1">
              <w:rPr>
                <w:rFonts w:cs="Arial"/>
                <w:lang w:val="sv-SE" w:eastAsia="zh-CN"/>
              </w:rPr>
              <w:t xml:space="preserve"> x M2</w:t>
            </w:r>
            <w:r>
              <w:rPr>
                <w:rFonts w:cs="Arial"/>
                <w:lang w:val="sv-SE" w:eastAsia="zh-CN"/>
              </w:rPr>
              <w:t xml:space="preserve"> 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187D11C" w14:textId="77777777" w:rsidR="00A20BE0" w:rsidRPr="00950DA1" w:rsidRDefault="00A20BE0" w:rsidP="00583014">
            <w:pPr>
              <w:pStyle w:val="TAC"/>
              <w:rPr>
                <w:lang w:val="sv-SE"/>
              </w:rPr>
            </w:pPr>
            <w:r w:rsidRPr="00950DA1">
              <w:rPr>
                <w:lang w:val="sv-SE"/>
              </w:rPr>
              <w:t xml:space="preserve">1.28 x N1 </w:t>
            </w:r>
            <w:r w:rsidRPr="00950DA1">
              <w:rPr>
                <w:rFonts w:cs="Arial"/>
                <w:lang w:val="sv-SE" w:eastAsia="zh-CN"/>
              </w:rPr>
              <w:t>x M2</w:t>
            </w:r>
            <w:r>
              <w:rPr>
                <w:rFonts w:cs="Arial"/>
                <w:lang w:val="sv-SE" w:eastAsia="zh-CN"/>
              </w:rPr>
              <w:t xml:space="preserve"> x K1</w:t>
            </w:r>
            <w:r w:rsidRPr="00950DA1">
              <w:rPr>
                <w:rFonts w:cs="Arial"/>
                <w:snapToGrid w:val="0"/>
                <w:lang w:val="sv-SE"/>
              </w:rPr>
              <w:t xml:space="preserve"> </w:t>
            </w:r>
            <w:r w:rsidRPr="00950DA1">
              <w:rPr>
                <w:lang w:val="sv-SE"/>
              </w:rPr>
              <w:t>(4 x N1</w:t>
            </w:r>
            <w:r w:rsidRPr="00950DA1">
              <w:rPr>
                <w:rFonts w:cs="Arial"/>
                <w:lang w:val="sv-SE" w:eastAsia="zh-CN"/>
              </w:rPr>
              <w:t xml:space="preserve"> x M2</w:t>
            </w:r>
            <w:r>
              <w:rPr>
                <w:rFonts w:cs="Arial"/>
                <w:lang w:val="sv-SE" w:eastAsia="zh-CN"/>
              </w:rPr>
              <w:t xml:space="preserve"> 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026E08AD" w14:textId="77777777" w:rsidR="00A20BE0" w:rsidRPr="00950DA1" w:rsidRDefault="00A20BE0" w:rsidP="00583014">
            <w:pPr>
              <w:pStyle w:val="TAC"/>
              <w:rPr>
                <w:lang w:val="sv-SE"/>
              </w:rPr>
            </w:pPr>
            <w:r w:rsidRPr="00950DA1">
              <w:rPr>
                <w:lang w:val="sv-SE"/>
              </w:rPr>
              <w:t xml:space="preserve">5.12 x N1 </w:t>
            </w:r>
            <w:r w:rsidRPr="00950DA1">
              <w:rPr>
                <w:rFonts w:cs="Arial"/>
                <w:lang w:val="sv-SE" w:eastAsia="zh-CN"/>
              </w:rPr>
              <w:t>x M2</w:t>
            </w:r>
            <w:r>
              <w:rPr>
                <w:rFonts w:cs="Arial"/>
                <w:lang w:val="sv-SE" w:eastAsia="zh-CN"/>
              </w:rPr>
              <w:t xml:space="preserve"> x K1</w:t>
            </w:r>
            <w:r w:rsidRPr="00950DA1">
              <w:rPr>
                <w:rFonts w:cs="Arial"/>
                <w:snapToGrid w:val="0"/>
                <w:lang w:val="sv-SE"/>
              </w:rPr>
              <w:t xml:space="preserve"> </w:t>
            </w:r>
            <w:r w:rsidRPr="00950DA1">
              <w:rPr>
                <w:lang w:val="sv-SE"/>
              </w:rPr>
              <w:t>(16 x N1</w:t>
            </w:r>
            <w:r w:rsidRPr="00950DA1">
              <w:rPr>
                <w:rFonts w:cs="Arial"/>
                <w:lang w:val="sv-SE" w:eastAsia="zh-CN"/>
              </w:rPr>
              <w:t xml:space="preserve"> x M2</w:t>
            </w:r>
            <w:r>
              <w:rPr>
                <w:rFonts w:cs="Arial"/>
                <w:lang w:val="sv-SE" w:eastAsia="zh-CN"/>
              </w:rPr>
              <w:t xml:space="preserve"> x K1</w:t>
            </w:r>
            <w:r w:rsidRPr="00950DA1">
              <w:rPr>
                <w:lang w:val="sv-SE"/>
              </w:rPr>
              <w:t>)</w:t>
            </w:r>
          </w:p>
        </w:tc>
      </w:tr>
      <w:tr w:rsidR="00A20BE0" w:rsidRPr="00885F53" w14:paraId="2A6011EC"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EBDBA61" w14:textId="77777777" w:rsidR="00A20BE0" w:rsidRPr="00885F53" w:rsidRDefault="00A20BE0" w:rsidP="00583014">
            <w:pPr>
              <w:pStyle w:val="TAC"/>
            </w:pPr>
            <w:r w:rsidRPr="00885F53">
              <w:t>0.64</w:t>
            </w:r>
          </w:p>
        </w:tc>
        <w:tc>
          <w:tcPr>
            <w:tcW w:w="0" w:type="auto"/>
            <w:tcBorders>
              <w:top w:val="nil"/>
              <w:left w:val="single" w:sz="4" w:space="0" w:color="auto"/>
              <w:bottom w:val="nil"/>
              <w:right w:val="single" w:sz="4" w:space="0" w:color="auto"/>
            </w:tcBorders>
            <w:hideMark/>
          </w:tcPr>
          <w:p w14:paraId="5FA4020A" w14:textId="77777777" w:rsidR="00A20BE0" w:rsidRPr="00885F53" w:rsidRDefault="00A20BE0" w:rsidP="00583014">
            <w:pPr>
              <w:pStyle w:val="TAC"/>
            </w:pPr>
          </w:p>
        </w:tc>
        <w:tc>
          <w:tcPr>
            <w:tcW w:w="0" w:type="auto"/>
            <w:tcBorders>
              <w:top w:val="single" w:sz="4" w:space="0" w:color="auto"/>
              <w:left w:val="single" w:sz="4" w:space="0" w:color="auto"/>
              <w:bottom w:val="single" w:sz="4" w:space="0" w:color="auto"/>
              <w:right w:val="single" w:sz="4" w:space="0" w:color="auto"/>
            </w:tcBorders>
            <w:hideMark/>
          </w:tcPr>
          <w:p w14:paraId="31EF1B91" w14:textId="77777777" w:rsidR="00A20BE0" w:rsidRPr="00885F53" w:rsidRDefault="00A20BE0" w:rsidP="00583014">
            <w:pPr>
              <w:pStyle w:val="TAC"/>
            </w:pPr>
            <w:r w:rsidRPr="00885F53">
              <w:t>5</w:t>
            </w:r>
          </w:p>
        </w:tc>
        <w:tc>
          <w:tcPr>
            <w:tcW w:w="0" w:type="auto"/>
            <w:tcBorders>
              <w:top w:val="single" w:sz="4" w:space="0" w:color="auto"/>
              <w:left w:val="single" w:sz="4" w:space="0" w:color="auto"/>
              <w:bottom w:val="single" w:sz="4" w:space="0" w:color="auto"/>
              <w:right w:val="single" w:sz="4" w:space="0" w:color="auto"/>
            </w:tcBorders>
          </w:tcPr>
          <w:p w14:paraId="3D014CAA" w14:textId="77777777" w:rsidR="00A20BE0" w:rsidRPr="00DF4E37" w:rsidRDefault="00A20BE0" w:rsidP="00583014">
            <w:pPr>
              <w:pStyle w:val="TAC"/>
              <w:rPr>
                <w:szCs w:val="18"/>
              </w:rPr>
            </w:pPr>
            <w:r w:rsidRPr="00DF4E37">
              <w:rPr>
                <w:rFonts w:cs="Arial" w:hint="eastAsia"/>
                <w:szCs w:val="18"/>
              </w:rPr>
              <w:t>8</w:t>
            </w:r>
          </w:p>
        </w:tc>
        <w:tc>
          <w:tcPr>
            <w:tcW w:w="0" w:type="auto"/>
            <w:tcBorders>
              <w:top w:val="single" w:sz="4" w:space="0" w:color="auto"/>
              <w:left w:val="single" w:sz="4" w:space="0" w:color="auto"/>
              <w:bottom w:val="single" w:sz="4" w:space="0" w:color="auto"/>
              <w:right w:val="single" w:sz="4" w:space="0" w:color="auto"/>
            </w:tcBorders>
            <w:hideMark/>
          </w:tcPr>
          <w:p w14:paraId="75E6D811" w14:textId="77777777" w:rsidR="00A20BE0" w:rsidRPr="00885F53" w:rsidRDefault="00A20BE0" w:rsidP="00583014">
            <w:pPr>
              <w:pStyle w:val="TAC"/>
            </w:pPr>
            <w:r w:rsidRPr="00885F53">
              <w:t>17.92 x N1</w:t>
            </w:r>
            <w:r>
              <w:rPr>
                <w:rFonts w:cs="Arial"/>
                <w:lang w:val="sv-SE" w:eastAsia="zh-CN"/>
              </w:rPr>
              <w:t xml:space="preserve"> x K1</w:t>
            </w:r>
            <w:r w:rsidRPr="00885F53">
              <w:t xml:space="preserve"> (28 x N1</w:t>
            </w:r>
            <w:r>
              <w:t xml:space="preserve"> </w:t>
            </w:r>
            <w:r>
              <w:rPr>
                <w:rFonts w:cs="Arial"/>
                <w:lang w:val="sv-SE" w:eastAsia="zh-CN"/>
              </w:rPr>
              <w:t>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33FBFADD" w14:textId="77777777" w:rsidR="00A20BE0" w:rsidRPr="00885F53" w:rsidRDefault="00A20BE0" w:rsidP="00583014">
            <w:pPr>
              <w:pStyle w:val="TAC"/>
            </w:pPr>
            <w:r w:rsidRPr="00885F53">
              <w:t>1.28 x N1</w:t>
            </w:r>
            <w:r>
              <w:rPr>
                <w:rFonts w:cs="Arial"/>
                <w:lang w:val="sv-SE" w:eastAsia="zh-CN"/>
              </w:rPr>
              <w:t xml:space="preserve"> x K1</w:t>
            </w:r>
            <w:r w:rsidRPr="00885F53">
              <w:t xml:space="preserve"> (2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64D3BF55" w14:textId="77777777" w:rsidR="00A20BE0" w:rsidRPr="00885F53" w:rsidRDefault="00A20BE0" w:rsidP="00583014">
            <w:pPr>
              <w:pStyle w:val="TAC"/>
            </w:pPr>
            <w:r w:rsidRPr="00885F53">
              <w:t>5.12 x N1</w:t>
            </w:r>
            <w:r>
              <w:rPr>
                <w:rFonts w:cs="Arial"/>
                <w:lang w:val="sv-SE" w:eastAsia="zh-CN"/>
              </w:rPr>
              <w:t xml:space="preserve"> x K1</w:t>
            </w:r>
            <w:r w:rsidRPr="00885F53">
              <w:t xml:space="preserve"> (8 x N1</w:t>
            </w:r>
            <w:r>
              <w:rPr>
                <w:rFonts w:cs="Arial"/>
                <w:lang w:val="sv-SE" w:eastAsia="zh-CN"/>
              </w:rPr>
              <w:t xml:space="preserve"> x K1</w:t>
            </w:r>
            <w:r w:rsidRPr="00885F53">
              <w:t>)</w:t>
            </w:r>
          </w:p>
        </w:tc>
      </w:tr>
      <w:tr w:rsidR="00A20BE0" w:rsidRPr="00885F53" w14:paraId="59CC303D"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29C4FBE" w14:textId="77777777" w:rsidR="00A20BE0" w:rsidRPr="00885F53" w:rsidRDefault="00A20BE0" w:rsidP="00583014">
            <w:pPr>
              <w:pStyle w:val="TAC"/>
            </w:pPr>
            <w:r w:rsidRPr="00885F53">
              <w:t>1.28</w:t>
            </w:r>
          </w:p>
        </w:tc>
        <w:tc>
          <w:tcPr>
            <w:tcW w:w="0" w:type="auto"/>
            <w:tcBorders>
              <w:top w:val="nil"/>
              <w:left w:val="single" w:sz="4" w:space="0" w:color="auto"/>
              <w:bottom w:val="nil"/>
              <w:right w:val="single" w:sz="4" w:space="0" w:color="auto"/>
            </w:tcBorders>
            <w:hideMark/>
          </w:tcPr>
          <w:p w14:paraId="01AC1108" w14:textId="77777777" w:rsidR="00A20BE0" w:rsidRPr="00885F53" w:rsidRDefault="00A20BE0" w:rsidP="00583014">
            <w:pPr>
              <w:pStyle w:val="TAC"/>
            </w:pPr>
          </w:p>
        </w:tc>
        <w:tc>
          <w:tcPr>
            <w:tcW w:w="0" w:type="auto"/>
            <w:tcBorders>
              <w:top w:val="single" w:sz="4" w:space="0" w:color="auto"/>
              <w:left w:val="single" w:sz="4" w:space="0" w:color="auto"/>
              <w:bottom w:val="single" w:sz="4" w:space="0" w:color="auto"/>
              <w:right w:val="single" w:sz="4" w:space="0" w:color="auto"/>
            </w:tcBorders>
            <w:hideMark/>
          </w:tcPr>
          <w:p w14:paraId="41160DB0" w14:textId="77777777" w:rsidR="00A20BE0" w:rsidRPr="00885F53" w:rsidRDefault="00A20BE0" w:rsidP="00583014">
            <w:pPr>
              <w:pStyle w:val="TAC"/>
            </w:pPr>
            <w:r w:rsidRPr="00885F53">
              <w:t>4</w:t>
            </w:r>
          </w:p>
        </w:tc>
        <w:tc>
          <w:tcPr>
            <w:tcW w:w="0" w:type="auto"/>
            <w:tcBorders>
              <w:top w:val="single" w:sz="4" w:space="0" w:color="auto"/>
              <w:left w:val="single" w:sz="4" w:space="0" w:color="auto"/>
              <w:bottom w:val="single" w:sz="4" w:space="0" w:color="auto"/>
              <w:right w:val="single" w:sz="4" w:space="0" w:color="auto"/>
            </w:tcBorders>
          </w:tcPr>
          <w:p w14:paraId="0617F21C" w14:textId="77777777" w:rsidR="00A20BE0" w:rsidRPr="00DF4E37" w:rsidRDefault="00A20BE0" w:rsidP="00583014">
            <w:pPr>
              <w:pStyle w:val="TAC"/>
              <w:rPr>
                <w:szCs w:val="18"/>
              </w:rPr>
            </w:pPr>
            <w:r w:rsidRPr="00DF4E37">
              <w:rPr>
                <w:rFonts w:cs="Arial" w:hint="eastAsia"/>
                <w:szCs w:val="18"/>
              </w:rPr>
              <w:t>6</w:t>
            </w:r>
          </w:p>
        </w:tc>
        <w:tc>
          <w:tcPr>
            <w:tcW w:w="0" w:type="auto"/>
            <w:tcBorders>
              <w:top w:val="single" w:sz="4" w:space="0" w:color="auto"/>
              <w:left w:val="single" w:sz="4" w:space="0" w:color="auto"/>
              <w:bottom w:val="single" w:sz="4" w:space="0" w:color="auto"/>
              <w:right w:val="single" w:sz="4" w:space="0" w:color="auto"/>
            </w:tcBorders>
            <w:hideMark/>
          </w:tcPr>
          <w:p w14:paraId="5FAFC621" w14:textId="77777777" w:rsidR="00A20BE0" w:rsidRPr="00885F53" w:rsidRDefault="00A20BE0" w:rsidP="00583014">
            <w:pPr>
              <w:pStyle w:val="TAC"/>
            </w:pPr>
            <w:r w:rsidRPr="00885F53">
              <w:t>32 x N1</w:t>
            </w:r>
            <w:r>
              <w:rPr>
                <w:rFonts w:cs="Arial"/>
                <w:lang w:val="sv-SE" w:eastAsia="zh-CN"/>
              </w:rPr>
              <w:t xml:space="preserve"> x K1</w:t>
            </w:r>
            <w:r w:rsidRPr="00885F53">
              <w:t xml:space="preserve"> (25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7550D566" w14:textId="77777777" w:rsidR="00A20BE0" w:rsidRPr="00885F53" w:rsidRDefault="00A20BE0" w:rsidP="00583014">
            <w:pPr>
              <w:pStyle w:val="TAC"/>
            </w:pPr>
            <w:r w:rsidRPr="00885F53">
              <w:t>1.28 x N1</w:t>
            </w:r>
            <w:r>
              <w:rPr>
                <w:rFonts w:cs="Arial"/>
                <w:lang w:val="sv-SE" w:eastAsia="zh-CN"/>
              </w:rPr>
              <w:t xml:space="preserve"> x K1</w:t>
            </w:r>
            <w:r w:rsidRPr="00885F53">
              <w:t xml:space="preserve"> (1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39179C19" w14:textId="77777777" w:rsidR="00A20BE0" w:rsidRPr="00885F53" w:rsidRDefault="00A20BE0" w:rsidP="00583014">
            <w:pPr>
              <w:pStyle w:val="TAC"/>
            </w:pPr>
            <w:r w:rsidRPr="00885F53">
              <w:t>6.4 x N1</w:t>
            </w:r>
            <w:r>
              <w:rPr>
                <w:rFonts w:cs="Arial"/>
                <w:lang w:val="sv-SE" w:eastAsia="zh-CN"/>
              </w:rPr>
              <w:t xml:space="preserve"> x K1</w:t>
            </w:r>
            <w:r w:rsidRPr="00885F53">
              <w:t xml:space="preserve"> (5 x N1</w:t>
            </w:r>
            <w:r>
              <w:rPr>
                <w:rFonts w:cs="Arial"/>
                <w:lang w:val="sv-SE" w:eastAsia="zh-CN"/>
              </w:rPr>
              <w:t xml:space="preserve"> x K1</w:t>
            </w:r>
            <w:r w:rsidRPr="00885F53">
              <w:t>)</w:t>
            </w:r>
          </w:p>
        </w:tc>
      </w:tr>
      <w:tr w:rsidR="00A20BE0" w:rsidRPr="00885F53" w14:paraId="0AD9CCDA"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963871B" w14:textId="77777777" w:rsidR="00A20BE0" w:rsidRPr="00885F53" w:rsidRDefault="00A20BE0" w:rsidP="00583014">
            <w:pPr>
              <w:pStyle w:val="TAC"/>
            </w:pPr>
            <w:r w:rsidRPr="00885F53">
              <w:t>2.56</w:t>
            </w:r>
          </w:p>
        </w:tc>
        <w:tc>
          <w:tcPr>
            <w:tcW w:w="0" w:type="auto"/>
            <w:tcBorders>
              <w:top w:val="nil"/>
              <w:left w:val="single" w:sz="4" w:space="0" w:color="auto"/>
              <w:bottom w:val="single" w:sz="4" w:space="0" w:color="auto"/>
              <w:right w:val="single" w:sz="4" w:space="0" w:color="auto"/>
            </w:tcBorders>
            <w:hideMark/>
          </w:tcPr>
          <w:p w14:paraId="4A42BC59" w14:textId="77777777" w:rsidR="00A20BE0" w:rsidRPr="00885F53" w:rsidRDefault="00A20BE0" w:rsidP="00583014">
            <w:pPr>
              <w:pStyle w:val="TAC"/>
            </w:pPr>
          </w:p>
        </w:tc>
        <w:tc>
          <w:tcPr>
            <w:tcW w:w="0" w:type="auto"/>
            <w:tcBorders>
              <w:top w:val="single" w:sz="4" w:space="0" w:color="auto"/>
              <w:left w:val="single" w:sz="4" w:space="0" w:color="auto"/>
              <w:bottom w:val="single" w:sz="4" w:space="0" w:color="auto"/>
              <w:right w:val="single" w:sz="4" w:space="0" w:color="auto"/>
            </w:tcBorders>
            <w:hideMark/>
          </w:tcPr>
          <w:p w14:paraId="7D407C3E" w14:textId="77777777" w:rsidR="00A20BE0" w:rsidRPr="00885F53" w:rsidRDefault="00A20BE0" w:rsidP="00583014">
            <w:pPr>
              <w:pStyle w:val="TAC"/>
              <w:rPr>
                <w:rFonts w:cs="Arial"/>
                <w:lang w:eastAsia="zh-CN"/>
              </w:rPr>
            </w:pPr>
            <w:r w:rsidRPr="00885F53">
              <w:rPr>
                <w:rFonts w:cs="Arial"/>
                <w:lang w:eastAsia="zh-CN"/>
              </w:rPr>
              <w:t>3</w:t>
            </w:r>
          </w:p>
        </w:tc>
        <w:tc>
          <w:tcPr>
            <w:tcW w:w="0" w:type="auto"/>
            <w:tcBorders>
              <w:top w:val="single" w:sz="4" w:space="0" w:color="auto"/>
              <w:left w:val="single" w:sz="4" w:space="0" w:color="auto"/>
              <w:bottom w:val="single" w:sz="4" w:space="0" w:color="auto"/>
              <w:right w:val="single" w:sz="4" w:space="0" w:color="auto"/>
            </w:tcBorders>
          </w:tcPr>
          <w:p w14:paraId="2DEB5587" w14:textId="77777777" w:rsidR="00A20BE0" w:rsidRPr="00DF4E37" w:rsidRDefault="00A20BE0" w:rsidP="00583014">
            <w:pPr>
              <w:pStyle w:val="TAC"/>
              <w:rPr>
                <w:rFonts w:cs="Arial"/>
                <w:szCs w:val="18"/>
                <w:lang w:eastAsia="zh-CN"/>
              </w:rPr>
            </w:pPr>
            <w:r w:rsidRPr="00DF4E37">
              <w:rPr>
                <w:rFonts w:cs="Arial" w:hint="eastAsia"/>
                <w:szCs w:val="18"/>
              </w:rPr>
              <w:t>5</w:t>
            </w:r>
          </w:p>
        </w:tc>
        <w:tc>
          <w:tcPr>
            <w:tcW w:w="0" w:type="auto"/>
            <w:tcBorders>
              <w:top w:val="single" w:sz="4" w:space="0" w:color="auto"/>
              <w:left w:val="single" w:sz="4" w:space="0" w:color="auto"/>
              <w:bottom w:val="single" w:sz="4" w:space="0" w:color="auto"/>
              <w:right w:val="single" w:sz="4" w:space="0" w:color="auto"/>
            </w:tcBorders>
            <w:hideMark/>
          </w:tcPr>
          <w:p w14:paraId="383CF163" w14:textId="77777777" w:rsidR="00A20BE0" w:rsidRPr="00885F53" w:rsidRDefault="00A20BE0" w:rsidP="00583014">
            <w:pPr>
              <w:pStyle w:val="TAC"/>
            </w:pPr>
            <w:r w:rsidRPr="00885F53">
              <w:rPr>
                <w:rFonts w:cs="Arial"/>
                <w:lang w:eastAsia="zh-CN"/>
              </w:rPr>
              <w:t>58.88</w:t>
            </w:r>
            <w:r w:rsidRPr="00885F53">
              <w:t xml:space="preserve"> x N1</w:t>
            </w:r>
            <w:r>
              <w:rPr>
                <w:rFonts w:cs="Arial"/>
                <w:lang w:val="sv-SE" w:eastAsia="zh-CN"/>
              </w:rPr>
              <w:t xml:space="preserve"> x K1</w:t>
            </w:r>
            <w:r w:rsidRPr="00885F53">
              <w:t xml:space="preserve"> (23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15053889" w14:textId="77777777" w:rsidR="00A20BE0" w:rsidRPr="00885F53" w:rsidRDefault="00A20BE0" w:rsidP="00583014">
            <w:pPr>
              <w:pStyle w:val="TAC"/>
            </w:pPr>
            <w:r w:rsidRPr="00885F53">
              <w:t>2.56 x N1</w:t>
            </w:r>
            <w:r>
              <w:rPr>
                <w:rFonts w:cs="Arial"/>
                <w:lang w:val="sv-SE" w:eastAsia="zh-CN"/>
              </w:rPr>
              <w:t xml:space="preserve"> x K1</w:t>
            </w:r>
            <w:r w:rsidRPr="00885F53">
              <w:t xml:space="preserve"> (1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0456A3E2" w14:textId="77777777" w:rsidR="00A20BE0" w:rsidRPr="00885F53" w:rsidRDefault="00A20BE0" w:rsidP="00583014">
            <w:pPr>
              <w:pStyle w:val="TAC"/>
            </w:pPr>
            <w:r w:rsidRPr="00885F53">
              <w:t>7.68 x N1</w:t>
            </w:r>
            <w:r>
              <w:rPr>
                <w:rFonts w:cs="Arial"/>
                <w:lang w:val="sv-SE" w:eastAsia="zh-CN"/>
              </w:rPr>
              <w:t xml:space="preserve"> x K1</w:t>
            </w:r>
            <w:r w:rsidRPr="00885F53">
              <w:t xml:space="preserve"> (3 x N1</w:t>
            </w:r>
            <w:r>
              <w:rPr>
                <w:rFonts w:cs="Arial"/>
                <w:lang w:val="sv-SE" w:eastAsia="zh-CN"/>
              </w:rPr>
              <w:t xml:space="preserve"> x K1</w:t>
            </w:r>
            <w:r w:rsidRPr="00885F53">
              <w:t>)</w:t>
            </w:r>
          </w:p>
        </w:tc>
      </w:tr>
      <w:tr w:rsidR="00A20BE0" w:rsidRPr="00885F53" w14:paraId="5FA43BB0" w14:textId="77777777" w:rsidTr="00583014">
        <w:trPr>
          <w:cantSplit/>
          <w:jc w:val="center"/>
        </w:trPr>
        <w:tc>
          <w:tcPr>
            <w:tcW w:w="0" w:type="auto"/>
            <w:gridSpan w:val="7"/>
            <w:tcBorders>
              <w:top w:val="single" w:sz="4" w:space="0" w:color="auto"/>
              <w:left w:val="single" w:sz="4" w:space="0" w:color="auto"/>
              <w:bottom w:val="single" w:sz="4" w:space="0" w:color="auto"/>
              <w:right w:val="single" w:sz="4" w:space="0" w:color="auto"/>
            </w:tcBorders>
          </w:tcPr>
          <w:p w14:paraId="60948010" w14:textId="77777777" w:rsidR="00A20BE0" w:rsidRDefault="00A20BE0" w:rsidP="00583014">
            <w:pPr>
              <w:pStyle w:val="TAN"/>
            </w:pPr>
            <w:r w:rsidRPr="00885F53">
              <w:rPr>
                <w:snapToGrid w:val="0"/>
                <w:lang w:eastAsia="zh-CN"/>
              </w:rPr>
              <w:t>Note 1</w:t>
            </w:r>
            <w:r w:rsidRPr="00885F53">
              <w:t>:</w:t>
            </w:r>
            <w:r w:rsidRPr="00885F53">
              <w:rPr>
                <w:lang w:val="en-US"/>
              </w:rPr>
              <w:tab/>
            </w:r>
            <w:r w:rsidRPr="00885F53">
              <w:t xml:space="preserve">Applies for UE supporting </w:t>
            </w:r>
            <w:r>
              <w:t xml:space="preserve">FR2-1 </w:t>
            </w:r>
            <w:r w:rsidRPr="00885F53">
              <w:t xml:space="preserve">power class </w:t>
            </w:r>
            <w:r w:rsidRPr="00885F53">
              <w:rPr>
                <w:lang w:eastAsia="zh-CN"/>
              </w:rPr>
              <w:t>2&amp;3&amp;4</w:t>
            </w:r>
            <w:r w:rsidRPr="00885F53">
              <w:t xml:space="preserve">. For UE supporting </w:t>
            </w:r>
            <w:r>
              <w:t xml:space="preserve">FR2-1 </w:t>
            </w:r>
            <w:r w:rsidRPr="00885F53">
              <w:t>power class 1</w:t>
            </w:r>
            <w:r>
              <w:t xml:space="preserve"> or 5</w:t>
            </w:r>
            <w:r w:rsidRPr="00885F53">
              <w:t>, N1 = 8 for all DRX cycle length.</w:t>
            </w:r>
          </w:p>
          <w:p w14:paraId="3C01E0D8" w14:textId="77777777" w:rsidR="00A20BE0" w:rsidRPr="00885F53" w:rsidRDefault="00A20BE0" w:rsidP="00583014">
            <w:pPr>
              <w:pStyle w:val="TAN"/>
              <w:rPr>
                <w:snapToGrid w:val="0"/>
                <w:lang w:eastAsia="zh-CN"/>
              </w:rPr>
            </w:pPr>
            <w:r w:rsidRPr="009C5807">
              <w:rPr>
                <w:lang w:eastAsia="zh-CN"/>
              </w:rPr>
              <w:t xml:space="preserve">Note </w:t>
            </w:r>
            <w:r>
              <w:rPr>
                <w:lang w:eastAsia="zh-CN"/>
              </w:rPr>
              <w:t>2</w:t>
            </w:r>
            <w:r w:rsidRPr="009C5807">
              <w:rPr>
                <w:lang w:eastAsia="zh-CN"/>
              </w:rPr>
              <w:t>:</w:t>
            </w:r>
            <w:r w:rsidRPr="009C5807">
              <w:rPr>
                <w:lang w:eastAsia="zh-CN"/>
              </w:rPr>
              <w:tab/>
              <w:t xml:space="preserve">Applies for UE supporting </w:t>
            </w:r>
            <w:r>
              <w:rPr>
                <w:lang w:eastAsia="zh-CN"/>
              </w:rPr>
              <w:t xml:space="preserve">FR2-2 </w:t>
            </w:r>
            <w:r w:rsidRPr="009C5807">
              <w:rPr>
                <w:lang w:eastAsia="zh-CN"/>
              </w:rPr>
              <w:t xml:space="preserve">power class 2&amp;3. For UE supporting </w:t>
            </w:r>
            <w:r>
              <w:rPr>
                <w:lang w:eastAsia="zh-CN"/>
              </w:rPr>
              <w:t xml:space="preserve">FR2-2 </w:t>
            </w:r>
            <w:r w:rsidRPr="009C5807">
              <w:rPr>
                <w:lang w:eastAsia="zh-CN"/>
              </w:rPr>
              <w:t xml:space="preserve">power class 1, N1 = </w:t>
            </w:r>
            <w:r>
              <w:rPr>
                <w:lang w:eastAsia="zh-CN"/>
              </w:rPr>
              <w:t>12</w:t>
            </w:r>
            <w:r w:rsidRPr="009C5807">
              <w:rPr>
                <w:lang w:eastAsia="zh-CN"/>
              </w:rPr>
              <w:t xml:space="preserve"> for all DRX cycle length.</w:t>
            </w:r>
          </w:p>
          <w:p w14:paraId="2F1BA20D" w14:textId="6A2490C8" w:rsidR="00A20BE0" w:rsidRPr="007D632B" w:rsidRDefault="00A20BE0" w:rsidP="00583014">
            <w:pPr>
              <w:pStyle w:val="TAN"/>
              <w:rPr>
                <w:snapToGrid w:val="0"/>
                <w:lang w:eastAsia="zh-CN"/>
              </w:rPr>
            </w:pPr>
            <w:r w:rsidRPr="00885F53">
              <w:rPr>
                <w:snapToGrid w:val="0"/>
                <w:lang w:eastAsia="zh-CN"/>
              </w:rPr>
              <w:t xml:space="preserve">Note </w:t>
            </w:r>
            <w:r>
              <w:rPr>
                <w:snapToGrid w:val="0"/>
                <w:lang w:eastAsia="zh-CN"/>
              </w:rPr>
              <w:t>3</w:t>
            </w:r>
            <w:r w:rsidRPr="00885F53">
              <w:rPr>
                <w:snapToGrid w:val="0"/>
                <w:lang w:eastAsia="zh-CN"/>
              </w:rPr>
              <w:t>:</w:t>
            </w:r>
            <w:r w:rsidRPr="00885F53">
              <w:rPr>
                <w:lang w:val="en-US"/>
              </w:rPr>
              <w:tab/>
            </w:r>
            <w:r w:rsidRPr="00885F53">
              <w:rPr>
                <w:snapToGrid w:val="0"/>
                <w:lang w:eastAsia="zh-CN"/>
              </w:rPr>
              <w:t xml:space="preserve">M2 = 1.5 if SMTC </w:t>
            </w:r>
            <w:r w:rsidRPr="00C83CA1">
              <w:rPr>
                <w:snapToGrid w:val="0"/>
                <w:lang w:eastAsia="zh-CN"/>
              </w:rPr>
              <w:t>periodicity</w:t>
            </w:r>
            <w:r w:rsidRPr="00EF59D1">
              <w:t xml:space="preserve"> </w:t>
            </w:r>
            <w:r w:rsidRPr="00EF59D1">
              <w:rPr>
                <w:snapToGrid w:val="0"/>
                <w:lang w:eastAsia="zh-CN"/>
              </w:rPr>
              <w:t>of measured intra-frequency cell &gt; 20 ms; otherwise M2=1.</w:t>
            </w:r>
            <w:r>
              <w:rPr>
                <w:snapToGrid w:val="0"/>
                <w:lang w:eastAsia="zh-CN"/>
              </w:rPr>
              <w:t xml:space="preserve"> </w:t>
            </w:r>
            <w:r>
              <w:rPr>
                <w:lang w:val="en-US"/>
              </w:rPr>
              <w:t xml:space="preserve">If </w:t>
            </w:r>
            <w:r w:rsidRPr="007A5F9C">
              <w:t>high layer signalling</w:t>
            </w:r>
            <w:r>
              <w:t xml:space="preserve"> </w:t>
            </w:r>
            <w:r w:rsidRPr="00212299">
              <w:rPr>
                <w:i/>
              </w:rPr>
              <w:t>smtc2-LP-r16</w:t>
            </w:r>
            <w:r>
              <w:rPr>
                <w:lang w:val="en-US"/>
              </w:rPr>
              <w:t xml:space="preserve"> is configured, f</w:t>
            </w:r>
            <w:r w:rsidRPr="00212299">
              <w:rPr>
                <w:snapToGrid w:val="0"/>
                <w:lang w:eastAsia="zh-CN"/>
              </w:rPr>
              <w:t xml:space="preserve">or cells indicated in the </w:t>
            </w:r>
            <w:r w:rsidRPr="00212299">
              <w:rPr>
                <w:i/>
              </w:rPr>
              <w:t>pci-List</w:t>
            </w:r>
            <w:r w:rsidRPr="00212299">
              <w:rPr>
                <w:snapToGrid w:val="0"/>
                <w:lang w:eastAsia="zh-CN"/>
              </w:rPr>
              <w:t xml:space="preserve"> parameter in </w:t>
            </w:r>
            <w:r w:rsidRPr="00212299">
              <w:rPr>
                <w:i/>
              </w:rPr>
              <w:t>smtc2-LP-r16</w:t>
            </w:r>
            <w:r w:rsidRPr="00212299">
              <w:rPr>
                <w:snapToGrid w:val="0"/>
                <w:lang w:eastAsia="zh-CN"/>
              </w:rPr>
              <w:t xml:space="preserve">, the SMTC periodicity corresponds to the value of higher layer parameter </w:t>
            </w:r>
            <w:r w:rsidRPr="00212299">
              <w:rPr>
                <w:i/>
              </w:rPr>
              <w:t>smtc2-LP-r16</w:t>
            </w:r>
            <w:r w:rsidRPr="00212299">
              <w:rPr>
                <w:snapToGrid w:val="0"/>
                <w:lang w:eastAsia="zh-CN"/>
              </w:rPr>
              <w:t xml:space="preserve">; for the other cells, the SMTC periodicity corresponds to the value of higher layer parameter </w:t>
            </w:r>
            <w:r w:rsidRPr="00212299">
              <w:rPr>
                <w:i/>
              </w:rPr>
              <w:t>smtc</w:t>
            </w:r>
            <w:r>
              <w:rPr>
                <w:snapToGrid w:val="0"/>
                <w:lang w:eastAsia="zh-CN"/>
              </w:rPr>
              <w:t>.</w:t>
            </w:r>
          </w:p>
          <w:p w14:paraId="52248F8F" w14:textId="17D33A07" w:rsidR="00A20BE0" w:rsidRPr="00885F53" w:rsidRDefault="00A20BE0" w:rsidP="00583014">
            <w:pPr>
              <w:pStyle w:val="TAN"/>
            </w:pPr>
            <w:r w:rsidRPr="00E9086F">
              <w:rPr>
                <w:snapToGrid w:val="0"/>
                <w:lang w:eastAsia="zh-CN"/>
              </w:rPr>
              <w:t xml:space="preserve">Note </w:t>
            </w:r>
            <w:r>
              <w:rPr>
                <w:snapToGrid w:val="0"/>
                <w:lang w:eastAsia="zh-CN"/>
              </w:rPr>
              <w:t>4</w:t>
            </w:r>
            <w:r w:rsidRPr="00E9086F">
              <w:rPr>
                <w:snapToGrid w:val="0"/>
                <w:lang w:eastAsia="zh-CN"/>
              </w:rPr>
              <w:t>:</w:t>
            </w:r>
            <w:r w:rsidRPr="00885F53">
              <w:rPr>
                <w:lang w:val="en-US"/>
              </w:rPr>
              <w:tab/>
            </w:r>
            <w:r w:rsidRPr="00E9086F">
              <w:rPr>
                <w:snapToGrid w:val="0"/>
                <w:lang w:eastAsia="zh-CN"/>
              </w:rPr>
              <w:t>K1 = 3</w:t>
            </w:r>
            <w:r w:rsidRPr="007C2D19">
              <w:rPr>
                <w:snapToGrid w:val="0"/>
                <w:lang w:eastAsia="zh-CN"/>
              </w:rPr>
              <w:t xml:space="preserve"> is</w:t>
            </w:r>
            <w:r w:rsidRPr="00C33767">
              <w:rPr>
                <w:snapToGrid w:val="0"/>
                <w:lang w:eastAsia="zh-CN"/>
              </w:rPr>
              <w:t xml:space="preserve"> the measu</w:t>
            </w:r>
            <w:r>
              <w:rPr>
                <w:snapToGrid w:val="0"/>
                <w:lang w:eastAsia="zh-CN"/>
              </w:rPr>
              <w:t xml:space="preserve">rement relaxation factor applicable for UE fulfilling the </w:t>
            </w:r>
            <w:r w:rsidRPr="001C6668">
              <w:rPr>
                <w:i/>
                <w:iCs/>
                <w:lang w:eastAsia="zh-CN"/>
              </w:rPr>
              <w:t>lowMobilityEvaluation</w:t>
            </w:r>
            <w:r w:rsidDel="004B26EA">
              <w:rPr>
                <w:i/>
                <w:iCs/>
                <w:lang w:eastAsia="zh-CN"/>
              </w:rPr>
              <w:t xml:space="preserve"> </w:t>
            </w:r>
            <w:r>
              <w:rPr>
                <w:lang w:eastAsia="zh-CN"/>
              </w:rPr>
              <w:t>[2]</w:t>
            </w:r>
            <w:r>
              <w:rPr>
                <w:snapToGrid w:val="0"/>
                <w:lang w:eastAsia="zh-CN"/>
              </w:rPr>
              <w:t xml:space="preserve"> criterion.</w:t>
            </w:r>
          </w:p>
        </w:tc>
      </w:tr>
    </w:tbl>
    <w:p w14:paraId="3F2DFA54" w14:textId="47C4CEC6" w:rsidR="0022726A" w:rsidRDefault="0022726A" w:rsidP="0022726A">
      <w:pPr>
        <w:rPr>
          <w:lang w:eastAsia="zh-CN"/>
        </w:rPr>
      </w:pPr>
    </w:p>
    <w:p w14:paraId="21CDFC8A" w14:textId="77777777" w:rsidR="00CB7FEE" w:rsidRPr="00043DFE" w:rsidRDefault="00CB7FEE" w:rsidP="00CB7FEE">
      <w:pPr>
        <w:pStyle w:val="TH"/>
        <w:rPr>
          <w:lang w:val="en-US"/>
        </w:rPr>
      </w:pPr>
      <w:r w:rsidRPr="00043DFE">
        <w:rPr>
          <w:lang w:val="en-US"/>
        </w:rPr>
        <w:t>Table 4.2.2.9.2-2: T</w:t>
      </w:r>
      <w:r w:rsidRPr="00043DFE">
        <w:rPr>
          <w:vertAlign w:val="subscript"/>
          <w:lang w:val="en-US"/>
        </w:rPr>
        <w:t>detect,NR_Intra_Relax</w:t>
      </w:r>
      <w:r w:rsidRPr="00043DFE">
        <w:rPr>
          <w:lang w:val="en-US"/>
        </w:rPr>
        <w:t>, T</w:t>
      </w:r>
      <w:r w:rsidRPr="00043DFE">
        <w:rPr>
          <w:vertAlign w:val="subscript"/>
          <w:lang w:val="en-US"/>
        </w:rPr>
        <w:t>measure,NR_Intra_Relax</w:t>
      </w:r>
      <w:r w:rsidRPr="00043DFE">
        <w:rPr>
          <w:lang w:val="en-US"/>
        </w:rPr>
        <w:t xml:space="preserve"> and T</w:t>
      </w:r>
      <w:r w:rsidRPr="00043DFE">
        <w:rPr>
          <w:vertAlign w:val="subscript"/>
          <w:lang w:val="en-US"/>
        </w:rPr>
        <w:t>evaluate,NR_Intra_Relax</w:t>
      </w:r>
      <w:r w:rsidRPr="00043DFE">
        <w:rPr>
          <w:lang w:val="en-US"/>
        </w:rPr>
        <w:t xml:space="preserve"> for UE configured with eDRX_IDLE cycle </w:t>
      </w:r>
      <w:r w:rsidRPr="00043DFE">
        <w:t>(Frequency range FR1)</w:t>
      </w:r>
      <w:r w:rsidRPr="00043DFE">
        <w:rPr>
          <w:lang w:val="en-US"/>
        </w:rPr>
        <w:t xml:space="preserve"> 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598"/>
        <w:gridCol w:w="2738"/>
        <w:gridCol w:w="2719"/>
      </w:tblGrid>
      <w:tr w:rsidR="00CB7FEE" w:rsidRPr="00043DFE" w14:paraId="7714C3F5" w14:textId="77777777" w:rsidTr="008B107E">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765E1159" w14:textId="77777777" w:rsidR="00CB7FEE" w:rsidRPr="00043DFE" w:rsidRDefault="00CB7FEE" w:rsidP="008B107E">
            <w:pPr>
              <w:pStyle w:val="TAH"/>
            </w:pPr>
            <w:r w:rsidRPr="00043DFE">
              <w:t>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11CC6DA9" w14:textId="77777777" w:rsidR="00CB7FEE" w:rsidRPr="00043DFE" w:rsidRDefault="00CB7FEE" w:rsidP="008B107E">
            <w:pPr>
              <w:pStyle w:val="TAH"/>
            </w:pPr>
            <w:r w:rsidRPr="00043DFE">
              <w:rPr>
                <w:szCs w:val="18"/>
                <w:lang w:val="en-US"/>
              </w:rPr>
              <w:t>T</w:t>
            </w:r>
            <w:r w:rsidRPr="00043DFE">
              <w:rPr>
                <w:szCs w:val="18"/>
                <w:vertAlign w:val="subscript"/>
                <w:lang w:val="en-US"/>
              </w:rPr>
              <w:t>detect,NR_Intra_Relax</w:t>
            </w:r>
            <w:r w:rsidRPr="00043DFE">
              <w:rPr>
                <w:szCs w:val="18"/>
              </w:rPr>
              <w:t xml:space="preserve"> [s]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6A979647" w14:textId="77777777" w:rsidR="00CB7FEE" w:rsidRPr="00043DFE" w:rsidRDefault="00CB7FEE" w:rsidP="008B107E">
            <w:pPr>
              <w:pStyle w:val="TAH"/>
            </w:pPr>
            <w:r w:rsidRPr="00043DFE">
              <w:rPr>
                <w:szCs w:val="18"/>
                <w:lang w:val="en-US"/>
              </w:rPr>
              <w:t>T</w:t>
            </w:r>
            <w:r w:rsidRPr="00043DFE">
              <w:rPr>
                <w:szCs w:val="18"/>
                <w:vertAlign w:val="subscript"/>
                <w:lang w:val="en-US"/>
              </w:rPr>
              <w:t>measure,NR_Intra_Relax</w:t>
            </w:r>
            <w:r w:rsidRPr="00043DFE">
              <w:rPr>
                <w:szCs w:val="18"/>
                <w:lang w:val="en-US"/>
              </w:rPr>
              <w:t xml:space="preserve"> </w:t>
            </w:r>
            <w:r w:rsidRPr="00043DFE">
              <w:rPr>
                <w:szCs w:val="18"/>
              </w:rPr>
              <w:t>[s]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546D103D" w14:textId="77777777" w:rsidR="00CB7FEE" w:rsidRPr="00043DFE" w:rsidRDefault="00CB7FEE" w:rsidP="008B107E">
            <w:pPr>
              <w:pStyle w:val="TAH"/>
            </w:pPr>
            <w:r w:rsidRPr="00043DFE">
              <w:rPr>
                <w:szCs w:val="18"/>
                <w:lang w:val="en-US"/>
              </w:rPr>
              <w:t>T</w:t>
            </w:r>
            <w:r w:rsidRPr="00043DFE">
              <w:rPr>
                <w:szCs w:val="18"/>
                <w:vertAlign w:val="subscript"/>
                <w:lang w:val="en-US"/>
              </w:rPr>
              <w:t xml:space="preserve">evaluate,NR_Intra_Relax </w:t>
            </w:r>
            <w:r w:rsidRPr="00043DFE">
              <w:rPr>
                <w:szCs w:val="18"/>
              </w:rPr>
              <w:t>[s] (number of eDRX IDLE cycles)</w:t>
            </w:r>
          </w:p>
        </w:tc>
      </w:tr>
      <w:tr w:rsidR="00CB7FEE" w:rsidRPr="00043DFE" w14:paraId="6FA60F94" w14:textId="77777777" w:rsidTr="008B107E">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AE7900" w14:textId="77777777" w:rsidR="00CB7FEE" w:rsidRPr="00043DFE" w:rsidRDefault="00CB7FEE"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64DD87" w14:textId="77777777" w:rsidR="00CB7FEE" w:rsidRPr="00043DFE" w:rsidRDefault="00CB7FEE"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34680" w14:textId="77777777" w:rsidR="00CB7FEE" w:rsidRPr="00043DFE" w:rsidRDefault="00CB7FEE"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04A11F" w14:textId="77777777" w:rsidR="00CB7FEE" w:rsidRPr="00043DFE" w:rsidRDefault="00CB7FEE" w:rsidP="008B107E">
            <w:pPr>
              <w:keepNext/>
              <w:keepLines/>
              <w:spacing w:after="0"/>
              <w:jc w:val="center"/>
              <w:rPr>
                <w:rFonts w:ascii="Arial" w:hAnsi="Arial"/>
                <w:b/>
                <w:sz w:val="18"/>
              </w:rPr>
            </w:pPr>
          </w:p>
        </w:tc>
      </w:tr>
      <w:tr w:rsidR="00CB7FEE" w:rsidRPr="00043DFE" w14:paraId="249E8C66"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0B0A191" w14:textId="77777777" w:rsidR="00CB7FEE" w:rsidRPr="00043DFE" w:rsidRDefault="00CB7FEE" w:rsidP="008B107E">
            <w:pPr>
              <w:pStyle w:val="TAC"/>
            </w:pPr>
            <w:r w:rsidRPr="00043DFE">
              <w:t>2.56</w:t>
            </w:r>
          </w:p>
        </w:tc>
        <w:tc>
          <w:tcPr>
            <w:tcW w:w="0" w:type="auto"/>
            <w:tcBorders>
              <w:top w:val="single" w:sz="4" w:space="0" w:color="auto"/>
              <w:left w:val="single" w:sz="4" w:space="0" w:color="auto"/>
              <w:bottom w:val="single" w:sz="4" w:space="0" w:color="auto"/>
              <w:right w:val="single" w:sz="4" w:space="0" w:color="auto"/>
            </w:tcBorders>
            <w:hideMark/>
          </w:tcPr>
          <w:p w14:paraId="23331ACF" w14:textId="77777777" w:rsidR="00CB7FEE" w:rsidRPr="00043DFE" w:rsidRDefault="00CB7FEE" w:rsidP="008B107E">
            <w:pPr>
              <w:pStyle w:val="TAC"/>
              <w:rPr>
                <w:lang w:val="sv-SE"/>
              </w:rPr>
            </w:pPr>
            <w:r w:rsidRPr="00043DFE">
              <w:rPr>
                <w:rFonts w:cs="Arial"/>
                <w:szCs w:val="18"/>
                <w:lang w:val="sv-SE"/>
              </w:rPr>
              <w:t>58.88 x K1 (23 x K1)</w:t>
            </w:r>
          </w:p>
        </w:tc>
        <w:tc>
          <w:tcPr>
            <w:tcW w:w="0" w:type="auto"/>
            <w:tcBorders>
              <w:top w:val="single" w:sz="4" w:space="0" w:color="auto"/>
              <w:left w:val="single" w:sz="4" w:space="0" w:color="auto"/>
              <w:bottom w:val="single" w:sz="4" w:space="0" w:color="auto"/>
              <w:right w:val="single" w:sz="4" w:space="0" w:color="auto"/>
            </w:tcBorders>
            <w:hideMark/>
          </w:tcPr>
          <w:p w14:paraId="7A983696" w14:textId="77777777" w:rsidR="00CB7FEE" w:rsidRPr="00043DFE" w:rsidRDefault="00CB7FEE" w:rsidP="008B107E">
            <w:pPr>
              <w:pStyle w:val="TAC"/>
              <w:rPr>
                <w:lang w:val="sv-SE"/>
              </w:rPr>
            </w:pPr>
            <w:r w:rsidRPr="00043DFE">
              <w:rPr>
                <w:rFonts w:cs="Arial"/>
                <w:szCs w:val="18"/>
                <w:lang w:val="sv-SE"/>
              </w:rPr>
              <w:t>2.56 x K1 (1 x K1)</w:t>
            </w:r>
          </w:p>
        </w:tc>
        <w:tc>
          <w:tcPr>
            <w:tcW w:w="0" w:type="auto"/>
            <w:tcBorders>
              <w:top w:val="single" w:sz="4" w:space="0" w:color="auto"/>
              <w:left w:val="single" w:sz="4" w:space="0" w:color="auto"/>
              <w:bottom w:val="single" w:sz="4" w:space="0" w:color="auto"/>
              <w:right w:val="single" w:sz="4" w:space="0" w:color="auto"/>
            </w:tcBorders>
            <w:hideMark/>
          </w:tcPr>
          <w:p w14:paraId="3C730BF5" w14:textId="77777777" w:rsidR="00CB7FEE" w:rsidRPr="00043DFE" w:rsidRDefault="00CB7FEE" w:rsidP="008B107E">
            <w:pPr>
              <w:pStyle w:val="TAC"/>
              <w:rPr>
                <w:lang w:val="sv-SE"/>
              </w:rPr>
            </w:pPr>
            <w:r w:rsidRPr="00043DFE">
              <w:rPr>
                <w:rFonts w:cs="Arial"/>
                <w:szCs w:val="18"/>
                <w:lang w:val="sv-SE"/>
              </w:rPr>
              <w:t>7.68 x K1 (3 x K1)</w:t>
            </w:r>
          </w:p>
        </w:tc>
      </w:tr>
      <w:tr w:rsidR="00CB7FEE" w:rsidRPr="00043DFE" w14:paraId="3E80242B"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17CE916" w14:textId="77777777" w:rsidR="00CB7FEE" w:rsidRPr="00043DFE" w:rsidRDefault="00CB7FEE" w:rsidP="008B107E">
            <w:pPr>
              <w:pStyle w:val="TAC"/>
            </w:pPr>
            <w:r w:rsidRPr="00043DFE">
              <w:rPr>
                <w:rFonts w:cs="Arial"/>
                <w:szCs w:val="18"/>
              </w:rPr>
              <w:t>5.12</w:t>
            </w:r>
          </w:p>
        </w:tc>
        <w:tc>
          <w:tcPr>
            <w:tcW w:w="0" w:type="auto"/>
            <w:tcBorders>
              <w:top w:val="single" w:sz="4" w:space="0" w:color="auto"/>
              <w:left w:val="single" w:sz="4" w:space="0" w:color="auto"/>
              <w:bottom w:val="single" w:sz="4" w:space="0" w:color="auto"/>
              <w:right w:val="single" w:sz="4" w:space="0" w:color="auto"/>
            </w:tcBorders>
            <w:hideMark/>
          </w:tcPr>
          <w:p w14:paraId="6006EE7F" w14:textId="77777777" w:rsidR="00CB7FEE" w:rsidRPr="00043DFE" w:rsidRDefault="00CB7FEE" w:rsidP="008B107E">
            <w:pPr>
              <w:pStyle w:val="TAC"/>
            </w:pPr>
            <w:r w:rsidRPr="00043DFE">
              <w:rPr>
                <w:rFonts w:cs="Arial"/>
                <w:szCs w:val="18"/>
              </w:rPr>
              <w:t>117.76</w:t>
            </w:r>
            <w:r w:rsidRPr="00043DFE">
              <w:rPr>
                <w:rFonts w:cs="Arial"/>
                <w:szCs w:val="18"/>
                <w:lang w:val="sv-SE"/>
              </w:rPr>
              <w:t xml:space="preserve"> x </w:t>
            </w:r>
            <w:r w:rsidRPr="00043DFE">
              <w:rPr>
                <w:rFonts w:cs="Arial"/>
                <w:szCs w:val="18"/>
              </w:rPr>
              <w:t>K1 (23</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04F86192" w14:textId="77777777" w:rsidR="00CB7FEE" w:rsidRPr="00043DFE" w:rsidRDefault="00CB7FEE" w:rsidP="008B107E">
            <w:pPr>
              <w:pStyle w:val="TAC"/>
            </w:pPr>
            <w:r w:rsidRPr="00043DFE">
              <w:rPr>
                <w:rFonts w:cs="Arial"/>
                <w:szCs w:val="18"/>
              </w:rPr>
              <w:t>5.12</w:t>
            </w:r>
            <w:r w:rsidRPr="00043DFE">
              <w:rPr>
                <w:rFonts w:cs="Arial"/>
                <w:szCs w:val="18"/>
                <w:lang w:val="sv-SE"/>
              </w:rPr>
              <w:t xml:space="preserve"> x </w:t>
            </w:r>
            <w:r w:rsidRPr="00043DFE">
              <w:rPr>
                <w:rFonts w:cs="Arial"/>
                <w:szCs w:val="18"/>
              </w:rPr>
              <w:t>K1 (1</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47C3D2F0" w14:textId="77777777" w:rsidR="00CB7FEE" w:rsidRPr="00043DFE" w:rsidRDefault="00CB7FEE" w:rsidP="008B107E">
            <w:pPr>
              <w:pStyle w:val="TAC"/>
            </w:pPr>
            <w:r w:rsidRPr="00043DFE">
              <w:rPr>
                <w:rFonts w:cs="Arial"/>
                <w:szCs w:val="18"/>
              </w:rPr>
              <w:t>10.24</w:t>
            </w:r>
            <w:r w:rsidRPr="00043DFE">
              <w:rPr>
                <w:rFonts w:cs="Arial"/>
                <w:szCs w:val="18"/>
                <w:lang w:val="sv-SE"/>
              </w:rPr>
              <w:t xml:space="preserve"> x </w:t>
            </w:r>
            <w:r w:rsidRPr="00043DFE">
              <w:rPr>
                <w:rFonts w:cs="Arial"/>
                <w:szCs w:val="18"/>
              </w:rPr>
              <w:t>K1 (2</w:t>
            </w:r>
            <w:r w:rsidRPr="00043DFE">
              <w:rPr>
                <w:rFonts w:cs="Arial"/>
                <w:szCs w:val="18"/>
                <w:lang w:val="sv-SE"/>
              </w:rPr>
              <w:t xml:space="preserve"> x </w:t>
            </w:r>
            <w:r w:rsidRPr="00043DFE">
              <w:rPr>
                <w:rFonts w:cs="Arial"/>
                <w:szCs w:val="18"/>
              </w:rPr>
              <w:t>K1)</w:t>
            </w:r>
          </w:p>
        </w:tc>
      </w:tr>
      <w:tr w:rsidR="00CB7FEE" w:rsidRPr="00043DFE" w14:paraId="744C0111"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4F85D70" w14:textId="77777777" w:rsidR="00CB7FEE" w:rsidRPr="00043DFE" w:rsidRDefault="00CB7FEE" w:rsidP="008B107E">
            <w:pPr>
              <w:pStyle w:val="TAC"/>
            </w:pPr>
            <w:r w:rsidRPr="00043DFE">
              <w:rPr>
                <w:rFonts w:cs="Arial"/>
                <w:szCs w:val="18"/>
              </w:rPr>
              <w:t>10.24</w:t>
            </w:r>
          </w:p>
        </w:tc>
        <w:tc>
          <w:tcPr>
            <w:tcW w:w="0" w:type="auto"/>
            <w:tcBorders>
              <w:top w:val="single" w:sz="4" w:space="0" w:color="auto"/>
              <w:left w:val="single" w:sz="4" w:space="0" w:color="auto"/>
              <w:bottom w:val="single" w:sz="4" w:space="0" w:color="auto"/>
              <w:right w:val="single" w:sz="4" w:space="0" w:color="auto"/>
            </w:tcBorders>
            <w:hideMark/>
          </w:tcPr>
          <w:p w14:paraId="57256708" w14:textId="77777777" w:rsidR="00CB7FEE" w:rsidRPr="00043DFE" w:rsidRDefault="00CB7FEE" w:rsidP="008B107E">
            <w:pPr>
              <w:pStyle w:val="TAC"/>
            </w:pPr>
            <w:r w:rsidRPr="00043DFE">
              <w:rPr>
                <w:rFonts w:cs="Arial"/>
                <w:szCs w:val="18"/>
              </w:rPr>
              <w:t>235.52</w:t>
            </w:r>
            <w:r w:rsidRPr="00043DFE">
              <w:rPr>
                <w:rFonts w:cs="Arial"/>
                <w:szCs w:val="18"/>
                <w:lang w:val="sv-SE"/>
              </w:rPr>
              <w:t xml:space="preserve"> x </w:t>
            </w:r>
            <w:r w:rsidRPr="00043DFE">
              <w:rPr>
                <w:rFonts w:cs="Arial"/>
                <w:szCs w:val="18"/>
              </w:rPr>
              <w:t>K1 (23</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50EE7379" w14:textId="77777777" w:rsidR="00CB7FEE" w:rsidRPr="00043DFE" w:rsidRDefault="00CB7FEE" w:rsidP="008B107E">
            <w:pPr>
              <w:pStyle w:val="TAC"/>
            </w:pPr>
            <w:r w:rsidRPr="00043DFE">
              <w:rPr>
                <w:rFonts w:cs="Arial"/>
                <w:szCs w:val="18"/>
              </w:rPr>
              <w:t>10.24</w:t>
            </w:r>
            <w:r w:rsidRPr="00043DFE">
              <w:rPr>
                <w:rFonts w:cs="Arial"/>
                <w:szCs w:val="18"/>
                <w:lang w:val="sv-SE"/>
              </w:rPr>
              <w:t xml:space="preserve"> x </w:t>
            </w:r>
            <w:r w:rsidRPr="00043DFE">
              <w:rPr>
                <w:rFonts w:cs="Arial"/>
                <w:szCs w:val="18"/>
              </w:rPr>
              <w:t>K1 (1</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66D0D36E" w14:textId="77777777" w:rsidR="00CB7FEE" w:rsidRPr="00043DFE" w:rsidRDefault="00CB7FEE" w:rsidP="008B107E">
            <w:pPr>
              <w:pStyle w:val="TAC"/>
            </w:pPr>
            <w:r w:rsidRPr="00043DFE">
              <w:rPr>
                <w:rFonts w:cs="Arial"/>
                <w:szCs w:val="18"/>
              </w:rPr>
              <w:t>20.48</w:t>
            </w:r>
            <w:r w:rsidRPr="00043DFE">
              <w:rPr>
                <w:rFonts w:cs="Arial"/>
                <w:szCs w:val="18"/>
                <w:lang w:val="sv-SE"/>
              </w:rPr>
              <w:t xml:space="preserve"> x </w:t>
            </w:r>
            <w:r w:rsidRPr="00043DFE">
              <w:rPr>
                <w:rFonts w:cs="Arial"/>
                <w:szCs w:val="18"/>
              </w:rPr>
              <w:t>K1 (2</w:t>
            </w:r>
            <w:r w:rsidRPr="00043DFE">
              <w:rPr>
                <w:rFonts w:cs="Arial"/>
                <w:szCs w:val="18"/>
                <w:lang w:val="sv-SE"/>
              </w:rPr>
              <w:t xml:space="preserve"> x </w:t>
            </w:r>
            <w:r w:rsidRPr="00043DFE">
              <w:rPr>
                <w:rFonts w:cs="Arial"/>
                <w:szCs w:val="18"/>
              </w:rPr>
              <w:t>K1)</w:t>
            </w:r>
          </w:p>
        </w:tc>
      </w:tr>
      <w:tr w:rsidR="00CB7FEE" w:rsidRPr="00043DFE" w14:paraId="2E210F09" w14:textId="77777777" w:rsidTr="008B107E">
        <w:trPr>
          <w:cantSplit/>
          <w:trHeight w:val="124"/>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22D1EEC6" w14:textId="77777777" w:rsidR="00CB7FEE" w:rsidRPr="00043DFE" w:rsidRDefault="00CB7FEE" w:rsidP="008B107E">
            <w:pPr>
              <w:pStyle w:val="TAN"/>
              <w:rPr>
                <w:snapToGrid w:val="0"/>
              </w:rPr>
            </w:pPr>
            <w:r w:rsidRPr="00043DFE">
              <w:rPr>
                <w:snapToGrid w:val="0"/>
              </w:rPr>
              <w:t>Note 1</w:t>
            </w:r>
            <w:r w:rsidRPr="00043DFE">
              <w:t>:</w:t>
            </w:r>
            <w:r w:rsidRPr="00043DFE">
              <w:rPr>
                <w:lang w:val="en-US"/>
              </w:rPr>
              <w:tab/>
            </w:r>
            <w:r w:rsidRPr="00043DFE">
              <w:t>Applies for UE of all supporting FR1 power classes.</w:t>
            </w:r>
          </w:p>
          <w:p w14:paraId="6AC1F6AC" w14:textId="77777777" w:rsidR="00CB7FEE" w:rsidRPr="00043DFE" w:rsidRDefault="00CB7FEE" w:rsidP="008B107E">
            <w:pPr>
              <w:pStyle w:val="TAN"/>
            </w:pPr>
            <w:r w:rsidRPr="00043DFE">
              <w:rPr>
                <w:rFonts w:cs="Arial"/>
                <w:snapToGrid w:val="0"/>
                <w:szCs w:val="18"/>
              </w:rPr>
              <w:t>Note 2:</w:t>
            </w:r>
            <w:r w:rsidRPr="00043DFE">
              <w:rPr>
                <w:rFonts w:cs="Arial"/>
                <w:snapToGrid w:val="0"/>
                <w:szCs w:val="18"/>
              </w:rPr>
              <w:tab/>
              <w:t xml:space="preserve">K1 = 3 is the measurement relaxation factor applicable for UE fulfilling the </w:t>
            </w:r>
            <w:r w:rsidRPr="00043DFE">
              <w:rPr>
                <w:i/>
                <w:iCs/>
              </w:rPr>
              <w:t>lowMobilityEvaluation</w:t>
            </w:r>
            <w:r w:rsidRPr="00043DFE">
              <w:rPr>
                <w:rFonts w:cs="Arial"/>
                <w:snapToGrid w:val="0"/>
                <w:szCs w:val="18"/>
              </w:rPr>
              <w:t xml:space="preserve"> [2] criterion.</w:t>
            </w:r>
          </w:p>
        </w:tc>
      </w:tr>
    </w:tbl>
    <w:p w14:paraId="454A8AFC" w14:textId="77777777" w:rsidR="00CB7FEE" w:rsidRPr="00043DFE" w:rsidRDefault="00CB7FEE" w:rsidP="00CB7FEE">
      <w:pPr>
        <w:rPr>
          <w:lang w:val="en-US"/>
        </w:rPr>
      </w:pPr>
    </w:p>
    <w:p w14:paraId="57C2C0A9" w14:textId="77777777" w:rsidR="00CB7FEE" w:rsidRPr="00043DFE" w:rsidRDefault="00CB7FEE" w:rsidP="00CB7FEE">
      <w:pPr>
        <w:pStyle w:val="TH"/>
        <w:rPr>
          <w:lang w:val="en-US"/>
        </w:rPr>
      </w:pPr>
      <w:r w:rsidRPr="00043DFE">
        <w:rPr>
          <w:lang w:val="en-US"/>
        </w:rPr>
        <w:t>Table 4.2.2.9.2-3: T</w:t>
      </w:r>
      <w:r w:rsidRPr="00043DFE">
        <w:rPr>
          <w:vertAlign w:val="subscript"/>
          <w:lang w:val="en-US"/>
        </w:rPr>
        <w:t>detect,NR_Intra_ Relax</w:t>
      </w:r>
      <w:r w:rsidRPr="00043DFE">
        <w:rPr>
          <w:lang w:val="en-US"/>
        </w:rPr>
        <w:t>, T</w:t>
      </w:r>
      <w:r w:rsidRPr="00043DFE">
        <w:rPr>
          <w:vertAlign w:val="subscript"/>
          <w:lang w:val="en-US"/>
        </w:rPr>
        <w:t>measure,NR_Intra_ Relax</w:t>
      </w:r>
      <w:r w:rsidRPr="00043DFE">
        <w:rPr>
          <w:lang w:val="en-US"/>
        </w:rPr>
        <w:t xml:space="preserve"> and T</w:t>
      </w:r>
      <w:r w:rsidRPr="00043DFE">
        <w:rPr>
          <w:vertAlign w:val="subscript"/>
          <w:lang w:val="en-US"/>
        </w:rPr>
        <w:t>evaluate,NR_Intra_ Relax</w:t>
      </w:r>
      <w:r w:rsidRPr="00043DFE">
        <w:rPr>
          <w:lang w:val="en-US"/>
        </w:rPr>
        <w:t xml:space="preserve"> for UE configured with eDRX_IDLE cycle </w:t>
      </w:r>
      <w:r w:rsidRPr="00043DFE">
        <w:t>(Frequency range FR2-1)</w:t>
      </w:r>
      <w:r w:rsidRPr="00043DFE">
        <w:rPr>
          <w:lang w:val="en-US"/>
        </w:rPr>
        <w:t xml:space="preserve"> 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598"/>
        <w:gridCol w:w="2738"/>
        <w:gridCol w:w="2719"/>
      </w:tblGrid>
      <w:tr w:rsidR="00CB7FEE" w:rsidRPr="00043DFE" w14:paraId="28484911" w14:textId="77777777" w:rsidTr="008B107E">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6565E870" w14:textId="77777777" w:rsidR="00CB7FEE" w:rsidRPr="00043DFE" w:rsidRDefault="00CB7FEE" w:rsidP="008B107E">
            <w:pPr>
              <w:pStyle w:val="TAH"/>
            </w:pPr>
            <w:r w:rsidRPr="00043DFE">
              <w:t>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1192F0C0" w14:textId="77777777" w:rsidR="00CB7FEE" w:rsidRPr="00043DFE" w:rsidRDefault="00CB7FEE" w:rsidP="008B107E">
            <w:pPr>
              <w:pStyle w:val="TAH"/>
            </w:pPr>
            <w:r w:rsidRPr="00043DFE">
              <w:rPr>
                <w:szCs w:val="18"/>
                <w:lang w:val="en-US"/>
              </w:rPr>
              <w:t>T</w:t>
            </w:r>
            <w:r w:rsidRPr="00043DFE">
              <w:rPr>
                <w:szCs w:val="18"/>
                <w:vertAlign w:val="subscript"/>
                <w:lang w:val="en-US"/>
              </w:rPr>
              <w:t>detect,NR_Intra_Relax</w:t>
            </w:r>
            <w:r w:rsidRPr="00043DFE">
              <w:rPr>
                <w:szCs w:val="18"/>
              </w:rPr>
              <w:t xml:space="preserve"> [s]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4D2AA3FB" w14:textId="77777777" w:rsidR="00CB7FEE" w:rsidRPr="00043DFE" w:rsidRDefault="00CB7FEE" w:rsidP="008B107E">
            <w:pPr>
              <w:pStyle w:val="TAH"/>
            </w:pPr>
            <w:r w:rsidRPr="00043DFE">
              <w:rPr>
                <w:szCs w:val="18"/>
                <w:lang w:val="en-US"/>
              </w:rPr>
              <w:t>T</w:t>
            </w:r>
            <w:r w:rsidRPr="00043DFE">
              <w:rPr>
                <w:szCs w:val="18"/>
                <w:vertAlign w:val="subscript"/>
                <w:lang w:val="en-US"/>
              </w:rPr>
              <w:t>measure,NR_Intra_Relax</w:t>
            </w:r>
            <w:r w:rsidRPr="00043DFE">
              <w:rPr>
                <w:szCs w:val="18"/>
                <w:lang w:val="en-US"/>
              </w:rPr>
              <w:t xml:space="preserve"> </w:t>
            </w:r>
            <w:r w:rsidRPr="00043DFE">
              <w:rPr>
                <w:szCs w:val="18"/>
              </w:rPr>
              <w:t>[s]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77E1B0CB" w14:textId="77777777" w:rsidR="00CB7FEE" w:rsidRPr="00043DFE" w:rsidRDefault="00CB7FEE" w:rsidP="008B107E">
            <w:pPr>
              <w:pStyle w:val="TAH"/>
            </w:pPr>
            <w:r w:rsidRPr="00043DFE">
              <w:rPr>
                <w:szCs w:val="18"/>
                <w:lang w:val="en-US"/>
              </w:rPr>
              <w:t>T</w:t>
            </w:r>
            <w:r w:rsidRPr="00043DFE">
              <w:rPr>
                <w:szCs w:val="18"/>
                <w:vertAlign w:val="subscript"/>
                <w:lang w:val="en-US"/>
              </w:rPr>
              <w:t xml:space="preserve">evaluate,NR_Intra_Relax </w:t>
            </w:r>
            <w:r w:rsidRPr="00043DFE">
              <w:rPr>
                <w:szCs w:val="18"/>
              </w:rPr>
              <w:t>[s] (number of eDRX IDLE cycles)</w:t>
            </w:r>
          </w:p>
        </w:tc>
      </w:tr>
      <w:tr w:rsidR="00CB7FEE" w:rsidRPr="00043DFE" w14:paraId="1C8D57B3" w14:textId="77777777" w:rsidTr="008B107E">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827EB9C" w14:textId="77777777" w:rsidR="00CB7FEE" w:rsidRPr="00043DFE" w:rsidRDefault="00CB7FEE"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86C917" w14:textId="77777777" w:rsidR="00CB7FEE" w:rsidRPr="00043DFE" w:rsidRDefault="00CB7FEE"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DD564B" w14:textId="77777777" w:rsidR="00CB7FEE" w:rsidRPr="00043DFE" w:rsidRDefault="00CB7FEE"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44340A" w14:textId="77777777" w:rsidR="00CB7FEE" w:rsidRPr="00043DFE" w:rsidRDefault="00CB7FEE" w:rsidP="008B107E">
            <w:pPr>
              <w:keepNext/>
              <w:keepLines/>
              <w:spacing w:after="0"/>
              <w:jc w:val="center"/>
              <w:rPr>
                <w:rFonts w:ascii="Arial" w:hAnsi="Arial"/>
                <w:b/>
                <w:sz w:val="18"/>
              </w:rPr>
            </w:pPr>
          </w:p>
        </w:tc>
      </w:tr>
      <w:tr w:rsidR="00CB7FEE" w:rsidRPr="00043DFE" w14:paraId="70969D2B"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56A2F5D" w14:textId="77777777" w:rsidR="00CB7FEE" w:rsidRPr="00043DFE" w:rsidRDefault="00CB7FEE" w:rsidP="008B107E">
            <w:pPr>
              <w:pStyle w:val="TAC"/>
            </w:pPr>
            <w:r w:rsidRPr="00043DFE">
              <w:t>2.56</w:t>
            </w:r>
          </w:p>
        </w:tc>
        <w:tc>
          <w:tcPr>
            <w:tcW w:w="0" w:type="auto"/>
            <w:tcBorders>
              <w:top w:val="single" w:sz="4" w:space="0" w:color="auto"/>
              <w:left w:val="single" w:sz="4" w:space="0" w:color="auto"/>
              <w:bottom w:val="single" w:sz="4" w:space="0" w:color="auto"/>
              <w:right w:val="single" w:sz="4" w:space="0" w:color="auto"/>
            </w:tcBorders>
            <w:hideMark/>
          </w:tcPr>
          <w:p w14:paraId="05A7EB9D" w14:textId="77777777" w:rsidR="00CB7FEE" w:rsidRPr="00043DFE" w:rsidRDefault="00CB7FEE" w:rsidP="008B107E">
            <w:pPr>
              <w:pStyle w:val="TAC"/>
              <w:rPr>
                <w:lang w:val="sv-SE"/>
              </w:rPr>
            </w:pPr>
            <w:r w:rsidRPr="00043DFE">
              <w:rPr>
                <w:rFonts w:cs="Arial"/>
                <w:szCs w:val="18"/>
                <w:lang w:val="sv-SE"/>
              </w:rPr>
              <w:t>58.88 x N1 x K1 (23 x N1 x K1)</w:t>
            </w:r>
          </w:p>
        </w:tc>
        <w:tc>
          <w:tcPr>
            <w:tcW w:w="0" w:type="auto"/>
            <w:tcBorders>
              <w:top w:val="single" w:sz="4" w:space="0" w:color="auto"/>
              <w:left w:val="single" w:sz="4" w:space="0" w:color="auto"/>
              <w:bottom w:val="single" w:sz="4" w:space="0" w:color="auto"/>
              <w:right w:val="single" w:sz="4" w:space="0" w:color="auto"/>
            </w:tcBorders>
            <w:hideMark/>
          </w:tcPr>
          <w:p w14:paraId="16069E02" w14:textId="77777777" w:rsidR="00CB7FEE" w:rsidRPr="00043DFE" w:rsidRDefault="00CB7FEE" w:rsidP="008B107E">
            <w:pPr>
              <w:pStyle w:val="TAC"/>
              <w:rPr>
                <w:lang w:val="sv-SE"/>
              </w:rPr>
            </w:pPr>
            <w:r w:rsidRPr="00043DFE">
              <w:rPr>
                <w:rFonts w:cs="Arial"/>
                <w:szCs w:val="18"/>
                <w:lang w:val="sv-SE"/>
              </w:rPr>
              <w:t>2.56 x N1 x K1 (1 x N1 x K1)</w:t>
            </w:r>
          </w:p>
        </w:tc>
        <w:tc>
          <w:tcPr>
            <w:tcW w:w="0" w:type="auto"/>
            <w:tcBorders>
              <w:top w:val="single" w:sz="4" w:space="0" w:color="auto"/>
              <w:left w:val="single" w:sz="4" w:space="0" w:color="auto"/>
              <w:bottom w:val="single" w:sz="4" w:space="0" w:color="auto"/>
              <w:right w:val="single" w:sz="4" w:space="0" w:color="auto"/>
            </w:tcBorders>
            <w:hideMark/>
          </w:tcPr>
          <w:p w14:paraId="16E88081" w14:textId="77777777" w:rsidR="00CB7FEE" w:rsidRPr="00043DFE" w:rsidRDefault="00CB7FEE" w:rsidP="008B107E">
            <w:pPr>
              <w:pStyle w:val="TAC"/>
              <w:rPr>
                <w:lang w:val="sv-SE"/>
              </w:rPr>
            </w:pPr>
            <w:r w:rsidRPr="00043DFE">
              <w:rPr>
                <w:rFonts w:cs="Arial"/>
                <w:szCs w:val="18"/>
                <w:lang w:val="sv-SE"/>
              </w:rPr>
              <w:t>7.68 x N1 x K1 (3 x N1 x K1)</w:t>
            </w:r>
          </w:p>
        </w:tc>
      </w:tr>
      <w:tr w:rsidR="00CB7FEE" w:rsidRPr="00043DFE" w14:paraId="0606B98B"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D185F53" w14:textId="77777777" w:rsidR="00CB7FEE" w:rsidRPr="00043DFE" w:rsidRDefault="00CB7FEE" w:rsidP="008B107E">
            <w:pPr>
              <w:pStyle w:val="TAC"/>
            </w:pPr>
            <w:r w:rsidRPr="00043DFE">
              <w:rPr>
                <w:rFonts w:cs="Arial"/>
                <w:szCs w:val="18"/>
              </w:rPr>
              <w:t>5.12</w:t>
            </w:r>
          </w:p>
        </w:tc>
        <w:tc>
          <w:tcPr>
            <w:tcW w:w="0" w:type="auto"/>
            <w:tcBorders>
              <w:top w:val="single" w:sz="4" w:space="0" w:color="auto"/>
              <w:left w:val="single" w:sz="4" w:space="0" w:color="auto"/>
              <w:bottom w:val="single" w:sz="4" w:space="0" w:color="auto"/>
              <w:right w:val="single" w:sz="4" w:space="0" w:color="auto"/>
            </w:tcBorders>
            <w:hideMark/>
          </w:tcPr>
          <w:p w14:paraId="0B0DD1CA" w14:textId="77777777" w:rsidR="00CB7FEE" w:rsidRPr="00043DFE" w:rsidRDefault="00CB7FEE" w:rsidP="008B107E">
            <w:pPr>
              <w:pStyle w:val="TAC"/>
            </w:pPr>
            <w:r w:rsidRPr="00043DFE">
              <w:rPr>
                <w:rFonts w:cs="Arial"/>
                <w:szCs w:val="18"/>
              </w:rPr>
              <w:t>117.76</w:t>
            </w:r>
            <w:r w:rsidRPr="00043DFE">
              <w:rPr>
                <w:rFonts w:cs="Arial"/>
                <w:szCs w:val="18"/>
                <w:lang w:val="sv-SE"/>
              </w:rPr>
              <w:t xml:space="preserve"> x N1</w:t>
            </w:r>
            <w:r w:rsidRPr="00043DFE">
              <w:rPr>
                <w:rFonts w:cs="Arial"/>
                <w:szCs w:val="18"/>
              </w:rPr>
              <w:t xml:space="preserve"> x K1 (23</w:t>
            </w:r>
            <w:r w:rsidRPr="00043DFE">
              <w:rPr>
                <w:rFonts w:cs="Arial"/>
                <w:szCs w:val="18"/>
                <w:lang w:val="sv-SE"/>
              </w:rPr>
              <w:t xml:space="preserve"> x N1</w:t>
            </w:r>
            <w:r w:rsidRPr="00043DFE">
              <w:rPr>
                <w:rFonts w:cs="Arial"/>
                <w:szCs w:val="18"/>
              </w:rPr>
              <w:t xml:space="preserve"> x K1)</w:t>
            </w:r>
          </w:p>
        </w:tc>
        <w:tc>
          <w:tcPr>
            <w:tcW w:w="0" w:type="auto"/>
            <w:tcBorders>
              <w:top w:val="single" w:sz="4" w:space="0" w:color="auto"/>
              <w:left w:val="single" w:sz="4" w:space="0" w:color="auto"/>
              <w:bottom w:val="single" w:sz="4" w:space="0" w:color="auto"/>
              <w:right w:val="single" w:sz="4" w:space="0" w:color="auto"/>
            </w:tcBorders>
            <w:hideMark/>
          </w:tcPr>
          <w:p w14:paraId="2C35F5AC" w14:textId="77777777" w:rsidR="00CB7FEE" w:rsidRPr="00043DFE" w:rsidRDefault="00CB7FEE" w:rsidP="008B107E">
            <w:pPr>
              <w:pStyle w:val="TAC"/>
            </w:pPr>
            <w:r w:rsidRPr="00043DFE">
              <w:rPr>
                <w:rFonts w:cs="Arial"/>
                <w:szCs w:val="18"/>
              </w:rPr>
              <w:t>5.12</w:t>
            </w:r>
            <w:r w:rsidRPr="00043DFE">
              <w:rPr>
                <w:rFonts w:cs="Arial"/>
                <w:szCs w:val="18"/>
                <w:lang w:val="sv-SE"/>
              </w:rPr>
              <w:t xml:space="preserve"> x N1</w:t>
            </w:r>
            <w:r w:rsidRPr="00043DFE">
              <w:rPr>
                <w:rFonts w:cs="Arial"/>
                <w:szCs w:val="18"/>
              </w:rPr>
              <w:t xml:space="preserve"> x K1 (1</w:t>
            </w:r>
            <w:r w:rsidRPr="00043DFE">
              <w:rPr>
                <w:rFonts w:cs="Arial"/>
                <w:szCs w:val="18"/>
                <w:lang w:val="sv-SE"/>
              </w:rPr>
              <w:t xml:space="preserve"> x N1</w:t>
            </w:r>
            <w:r w:rsidRPr="00043DFE">
              <w:rPr>
                <w:rFonts w:cs="Arial"/>
                <w:szCs w:val="18"/>
              </w:rPr>
              <w:t xml:space="preserve"> x K1)</w:t>
            </w:r>
          </w:p>
        </w:tc>
        <w:tc>
          <w:tcPr>
            <w:tcW w:w="0" w:type="auto"/>
            <w:tcBorders>
              <w:top w:val="single" w:sz="4" w:space="0" w:color="auto"/>
              <w:left w:val="single" w:sz="4" w:space="0" w:color="auto"/>
              <w:bottom w:val="single" w:sz="4" w:space="0" w:color="auto"/>
              <w:right w:val="single" w:sz="4" w:space="0" w:color="auto"/>
            </w:tcBorders>
            <w:hideMark/>
          </w:tcPr>
          <w:p w14:paraId="2D1E7F4F" w14:textId="77777777" w:rsidR="00CB7FEE" w:rsidRPr="00043DFE" w:rsidRDefault="00CB7FEE" w:rsidP="008B107E">
            <w:pPr>
              <w:pStyle w:val="TAC"/>
            </w:pPr>
            <w:r w:rsidRPr="00043DFE">
              <w:rPr>
                <w:rFonts w:cs="Arial"/>
                <w:szCs w:val="18"/>
              </w:rPr>
              <w:t>10.24</w:t>
            </w:r>
            <w:r w:rsidRPr="00043DFE">
              <w:rPr>
                <w:rFonts w:cs="Arial"/>
                <w:szCs w:val="18"/>
                <w:lang w:val="sv-SE"/>
              </w:rPr>
              <w:t xml:space="preserve"> x N1</w:t>
            </w:r>
            <w:r w:rsidRPr="00043DFE">
              <w:rPr>
                <w:rFonts w:cs="Arial"/>
                <w:szCs w:val="18"/>
              </w:rPr>
              <w:t xml:space="preserve"> x K1 (2</w:t>
            </w:r>
            <w:r w:rsidRPr="00043DFE">
              <w:rPr>
                <w:rFonts w:cs="Arial"/>
                <w:szCs w:val="18"/>
                <w:lang w:val="sv-SE"/>
              </w:rPr>
              <w:t xml:space="preserve"> x N1</w:t>
            </w:r>
            <w:r w:rsidRPr="00043DFE">
              <w:rPr>
                <w:rFonts w:cs="Arial"/>
                <w:szCs w:val="18"/>
              </w:rPr>
              <w:t xml:space="preserve"> x K1)</w:t>
            </w:r>
          </w:p>
        </w:tc>
      </w:tr>
      <w:tr w:rsidR="00CB7FEE" w:rsidRPr="00043DFE" w14:paraId="2436733B"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B08B3AE" w14:textId="77777777" w:rsidR="00CB7FEE" w:rsidRPr="00043DFE" w:rsidRDefault="00CB7FEE" w:rsidP="008B107E">
            <w:pPr>
              <w:pStyle w:val="TAC"/>
            </w:pPr>
            <w:r w:rsidRPr="00043DFE">
              <w:rPr>
                <w:rFonts w:cs="Arial"/>
                <w:szCs w:val="18"/>
              </w:rPr>
              <w:t>10.24</w:t>
            </w:r>
          </w:p>
        </w:tc>
        <w:tc>
          <w:tcPr>
            <w:tcW w:w="0" w:type="auto"/>
            <w:tcBorders>
              <w:top w:val="single" w:sz="4" w:space="0" w:color="auto"/>
              <w:left w:val="single" w:sz="4" w:space="0" w:color="auto"/>
              <w:bottom w:val="single" w:sz="4" w:space="0" w:color="auto"/>
              <w:right w:val="single" w:sz="4" w:space="0" w:color="auto"/>
            </w:tcBorders>
            <w:hideMark/>
          </w:tcPr>
          <w:p w14:paraId="27E1FE2B" w14:textId="77777777" w:rsidR="00CB7FEE" w:rsidRPr="00043DFE" w:rsidRDefault="00CB7FEE" w:rsidP="008B107E">
            <w:pPr>
              <w:pStyle w:val="TAC"/>
            </w:pPr>
            <w:r w:rsidRPr="00043DFE">
              <w:rPr>
                <w:rFonts w:cs="Arial"/>
                <w:szCs w:val="18"/>
              </w:rPr>
              <w:t>235.52</w:t>
            </w:r>
            <w:r w:rsidRPr="00043DFE">
              <w:rPr>
                <w:rFonts w:cs="Arial"/>
                <w:szCs w:val="18"/>
                <w:lang w:val="sv-SE"/>
              </w:rPr>
              <w:t xml:space="preserve"> x N1</w:t>
            </w:r>
            <w:r w:rsidRPr="00043DFE">
              <w:rPr>
                <w:rFonts w:cs="Arial"/>
                <w:szCs w:val="18"/>
              </w:rPr>
              <w:t xml:space="preserve"> x K1 (23</w:t>
            </w:r>
            <w:r w:rsidRPr="00043DFE">
              <w:rPr>
                <w:rFonts w:cs="Arial"/>
                <w:szCs w:val="18"/>
                <w:lang w:val="sv-SE"/>
              </w:rPr>
              <w:t xml:space="preserve"> x N1</w:t>
            </w:r>
            <w:r w:rsidRPr="00043DFE">
              <w:rPr>
                <w:rFonts w:cs="Arial"/>
                <w:szCs w:val="18"/>
              </w:rPr>
              <w:t xml:space="preserve"> x K1)</w:t>
            </w:r>
          </w:p>
        </w:tc>
        <w:tc>
          <w:tcPr>
            <w:tcW w:w="0" w:type="auto"/>
            <w:tcBorders>
              <w:top w:val="single" w:sz="4" w:space="0" w:color="auto"/>
              <w:left w:val="single" w:sz="4" w:space="0" w:color="auto"/>
              <w:bottom w:val="single" w:sz="4" w:space="0" w:color="auto"/>
              <w:right w:val="single" w:sz="4" w:space="0" w:color="auto"/>
            </w:tcBorders>
            <w:hideMark/>
          </w:tcPr>
          <w:p w14:paraId="23E076F0" w14:textId="77777777" w:rsidR="00CB7FEE" w:rsidRPr="00043DFE" w:rsidRDefault="00CB7FEE" w:rsidP="008B107E">
            <w:pPr>
              <w:pStyle w:val="TAC"/>
            </w:pPr>
            <w:r w:rsidRPr="00043DFE">
              <w:rPr>
                <w:rFonts w:cs="Arial"/>
                <w:szCs w:val="18"/>
              </w:rPr>
              <w:t>10.24</w:t>
            </w:r>
            <w:r w:rsidRPr="00043DFE">
              <w:rPr>
                <w:rFonts w:cs="Arial"/>
                <w:szCs w:val="18"/>
                <w:lang w:val="sv-SE"/>
              </w:rPr>
              <w:t xml:space="preserve"> x N1</w:t>
            </w:r>
            <w:r w:rsidRPr="00043DFE">
              <w:rPr>
                <w:rFonts w:cs="Arial"/>
                <w:szCs w:val="18"/>
              </w:rPr>
              <w:t xml:space="preserve"> x K1 (1</w:t>
            </w:r>
            <w:r w:rsidRPr="00043DFE">
              <w:rPr>
                <w:rFonts w:cs="Arial"/>
                <w:szCs w:val="18"/>
                <w:lang w:val="sv-SE"/>
              </w:rPr>
              <w:t xml:space="preserve"> x N1</w:t>
            </w:r>
            <w:r w:rsidRPr="00043DFE">
              <w:rPr>
                <w:rFonts w:cs="Arial"/>
                <w:szCs w:val="18"/>
              </w:rPr>
              <w:t xml:space="preserve"> x K1)</w:t>
            </w:r>
          </w:p>
        </w:tc>
        <w:tc>
          <w:tcPr>
            <w:tcW w:w="0" w:type="auto"/>
            <w:tcBorders>
              <w:top w:val="single" w:sz="4" w:space="0" w:color="auto"/>
              <w:left w:val="single" w:sz="4" w:space="0" w:color="auto"/>
              <w:bottom w:val="single" w:sz="4" w:space="0" w:color="auto"/>
              <w:right w:val="single" w:sz="4" w:space="0" w:color="auto"/>
            </w:tcBorders>
            <w:hideMark/>
          </w:tcPr>
          <w:p w14:paraId="753F9B51" w14:textId="77777777" w:rsidR="00CB7FEE" w:rsidRPr="00043DFE" w:rsidRDefault="00CB7FEE" w:rsidP="008B107E">
            <w:pPr>
              <w:pStyle w:val="TAC"/>
            </w:pPr>
            <w:r w:rsidRPr="00043DFE">
              <w:rPr>
                <w:rFonts w:cs="Arial"/>
                <w:szCs w:val="18"/>
              </w:rPr>
              <w:t>20.48</w:t>
            </w:r>
            <w:r w:rsidRPr="00043DFE">
              <w:rPr>
                <w:rFonts w:cs="Arial"/>
                <w:szCs w:val="18"/>
                <w:lang w:val="sv-SE"/>
              </w:rPr>
              <w:t xml:space="preserve"> x N1</w:t>
            </w:r>
            <w:r w:rsidRPr="00043DFE">
              <w:rPr>
                <w:rFonts w:cs="Arial"/>
                <w:szCs w:val="18"/>
              </w:rPr>
              <w:t xml:space="preserve"> x K1 (2</w:t>
            </w:r>
            <w:r w:rsidRPr="00043DFE">
              <w:rPr>
                <w:rFonts w:cs="Arial"/>
                <w:szCs w:val="18"/>
                <w:lang w:val="sv-SE"/>
              </w:rPr>
              <w:t xml:space="preserve"> x N1</w:t>
            </w:r>
            <w:r w:rsidRPr="00043DFE">
              <w:rPr>
                <w:rFonts w:cs="Arial"/>
                <w:szCs w:val="18"/>
              </w:rPr>
              <w:t xml:space="preserve"> x K1)</w:t>
            </w:r>
          </w:p>
        </w:tc>
      </w:tr>
      <w:tr w:rsidR="00CB7FEE" w:rsidRPr="00043DFE" w14:paraId="0DD9B64C" w14:textId="77777777" w:rsidTr="008B107E">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57EF5B33" w14:textId="77777777" w:rsidR="00CB7FEE" w:rsidRPr="00043DFE" w:rsidRDefault="00CB7FEE" w:rsidP="008B107E">
            <w:pPr>
              <w:pStyle w:val="TAN"/>
              <w:rPr>
                <w:snapToGrid w:val="0"/>
              </w:rPr>
            </w:pPr>
            <w:r w:rsidRPr="00043DFE">
              <w:rPr>
                <w:snapToGrid w:val="0"/>
              </w:rPr>
              <w:t>Note 1</w:t>
            </w:r>
            <w:r w:rsidRPr="00043DFE">
              <w:t>:</w:t>
            </w:r>
            <w:r w:rsidRPr="00043DFE">
              <w:rPr>
                <w:lang w:val="en-US"/>
              </w:rPr>
              <w:tab/>
            </w:r>
            <w:r w:rsidRPr="00043DFE">
              <w:t xml:space="preserve">Applies for UE supporting FR2-1 power class </w:t>
            </w:r>
            <w:r w:rsidRPr="00043DFE">
              <w:rPr>
                <w:lang w:eastAsia="zh-CN"/>
              </w:rPr>
              <w:t>2&amp;3&amp;4</w:t>
            </w:r>
            <w:r w:rsidRPr="00043DFE">
              <w:t xml:space="preserve">. For UE supporting FR2-1 power class 1 or 5, N1 = 8 for all DRX cycle length. </w:t>
            </w:r>
          </w:p>
          <w:p w14:paraId="148A9948" w14:textId="77777777" w:rsidR="00CB7FEE" w:rsidRPr="00043DFE" w:rsidRDefault="00CB7FEE" w:rsidP="008B107E">
            <w:pPr>
              <w:pStyle w:val="TAN"/>
              <w:rPr>
                <w:snapToGrid w:val="0"/>
              </w:rPr>
            </w:pPr>
            <w:r w:rsidRPr="00043DFE">
              <w:rPr>
                <w:snapToGrid w:val="0"/>
              </w:rPr>
              <w:t>Note 2</w:t>
            </w:r>
            <w:r w:rsidRPr="00043DFE">
              <w:t>:</w:t>
            </w:r>
            <w:r w:rsidRPr="00043DFE">
              <w:rPr>
                <w:lang w:val="en-US"/>
              </w:rPr>
              <w:tab/>
            </w:r>
            <w:r w:rsidRPr="00043DFE">
              <w:t>N1 = 3.</w:t>
            </w:r>
          </w:p>
          <w:p w14:paraId="24272C42" w14:textId="77777777" w:rsidR="00CB7FEE" w:rsidRPr="00043DFE" w:rsidRDefault="00CB7FEE" w:rsidP="008B107E">
            <w:pPr>
              <w:pStyle w:val="TAN"/>
            </w:pPr>
            <w:r w:rsidRPr="00043DFE">
              <w:rPr>
                <w:rFonts w:cs="Arial"/>
                <w:snapToGrid w:val="0"/>
                <w:szCs w:val="18"/>
              </w:rPr>
              <w:t>Note 3:</w:t>
            </w:r>
            <w:r w:rsidRPr="00043DFE">
              <w:rPr>
                <w:rFonts w:cs="Arial"/>
                <w:snapToGrid w:val="0"/>
                <w:szCs w:val="18"/>
              </w:rPr>
              <w:tab/>
              <w:t xml:space="preserve">K1 = 3 is the measurement relaxation factor applicable for UE fulfilling the </w:t>
            </w:r>
            <w:r w:rsidRPr="00043DFE">
              <w:rPr>
                <w:i/>
                <w:iCs/>
              </w:rPr>
              <w:t>lowMobilityEvaluation</w:t>
            </w:r>
            <w:r w:rsidRPr="00043DFE">
              <w:rPr>
                <w:rFonts w:cs="Arial"/>
                <w:snapToGrid w:val="0"/>
                <w:szCs w:val="18"/>
              </w:rPr>
              <w:t xml:space="preserve"> [2] criterion.</w:t>
            </w:r>
          </w:p>
        </w:tc>
      </w:tr>
    </w:tbl>
    <w:p w14:paraId="74333EAC" w14:textId="77777777" w:rsidR="00CB7FEE" w:rsidRPr="00043DFE" w:rsidRDefault="00CB7FEE" w:rsidP="00CB7FEE">
      <w:pPr>
        <w:rPr>
          <w:lang w:val="en-US"/>
        </w:rPr>
      </w:pPr>
    </w:p>
    <w:p w14:paraId="6CF84E1C" w14:textId="77777777" w:rsidR="00CB7FEE" w:rsidRPr="00043DFE" w:rsidRDefault="00CB7FEE" w:rsidP="00CB7FEE">
      <w:pPr>
        <w:pStyle w:val="TH"/>
        <w:rPr>
          <w:lang w:val="en-US"/>
        </w:rPr>
      </w:pPr>
      <w:r w:rsidRPr="00043DFE">
        <w:rPr>
          <w:lang w:val="en-US"/>
        </w:rPr>
        <w:t>Table 4.2.2.9.2-4: T</w:t>
      </w:r>
      <w:r w:rsidRPr="00043DFE">
        <w:rPr>
          <w:vertAlign w:val="subscript"/>
          <w:lang w:val="en-US"/>
        </w:rPr>
        <w:t>detect,NR_Intra_Relax</w:t>
      </w:r>
      <w:r w:rsidRPr="00043DFE">
        <w:rPr>
          <w:lang w:val="en-US"/>
        </w:rPr>
        <w:t>, T</w:t>
      </w:r>
      <w:r w:rsidRPr="00043DFE">
        <w:rPr>
          <w:vertAlign w:val="subscript"/>
          <w:lang w:val="en-US"/>
        </w:rPr>
        <w:t>measure,NR_Intra_Relax</w:t>
      </w:r>
      <w:r w:rsidRPr="00043DFE">
        <w:rPr>
          <w:lang w:val="en-US"/>
        </w:rPr>
        <w:t xml:space="preserve"> and T</w:t>
      </w:r>
      <w:r w:rsidRPr="00043DFE">
        <w:rPr>
          <w:vertAlign w:val="subscript"/>
          <w:lang w:val="en-US"/>
        </w:rPr>
        <w:t>evaluate,NR_Intra_Relax</w:t>
      </w:r>
      <w:r w:rsidRPr="00043DFE">
        <w:rPr>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756"/>
        <w:gridCol w:w="936"/>
        <w:gridCol w:w="2819"/>
        <w:gridCol w:w="1860"/>
        <w:gridCol w:w="1846"/>
      </w:tblGrid>
      <w:tr w:rsidR="00CB7FEE" w:rsidRPr="00043DFE" w14:paraId="4624D8E5" w14:textId="77777777" w:rsidTr="008B107E">
        <w:trPr>
          <w:trHeight w:val="1692"/>
        </w:trPr>
        <w:tc>
          <w:tcPr>
            <w:tcW w:w="1198" w:type="dxa"/>
            <w:hideMark/>
          </w:tcPr>
          <w:p w14:paraId="0CD96B4E" w14:textId="77777777" w:rsidR="00CB7FEE" w:rsidRPr="00043DFE" w:rsidRDefault="00CB7FEE" w:rsidP="008B107E">
            <w:pPr>
              <w:pStyle w:val="TAH"/>
              <w:rPr>
                <w:lang w:val="en-US"/>
              </w:rPr>
            </w:pPr>
            <w:r w:rsidRPr="00043DFE">
              <w:t>eDRX_IDLE cycle length [s]</w:t>
            </w:r>
          </w:p>
        </w:tc>
        <w:tc>
          <w:tcPr>
            <w:tcW w:w="751" w:type="dxa"/>
            <w:hideMark/>
          </w:tcPr>
          <w:p w14:paraId="0BF64ECE" w14:textId="77777777" w:rsidR="00CB7FEE" w:rsidRPr="00043DFE" w:rsidRDefault="00CB7FEE" w:rsidP="008B107E">
            <w:pPr>
              <w:pStyle w:val="TAH"/>
              <w:rPr>
                <w:lang w:val="en-US"/>
              </w:rPr>
            </w:pPr>
            <w:r w:rsidRPr="00043DFE">
              <w:t>DRX cycle length [s]</w:t>
            </w:r>
          </w:p>
        </w:tc>
        <w:tc>
          <w:tcPr>
            <w:tcW w:w="930" w:type="dxa"/>
            <w:hideMark/>
          </w:tcPr>
          <w:p w14:paraId="0339E28C" w14:textId="77777777" w:rsidR="00CB7FEE" w:rsidRPr="00043DFE" w:rsidRDefault="00CB7FEE" w:rsidP="008B107E">
            <w:pPr>
              <w:pStyle w:val="TAH"/>
              <w:rPr>
                <w:lang w:val="en-US"/>
              </w:rPr>
            </w:pPr>
            <w:r w:rsidRPr="00043DFE">
              <w:t>PTW length [s] (number of 1.28s periods)</w:t>
            </w:r>
          </w:p>
        </w:tc>
        <w:tc>
          <w:tcPr>
            <w:tcW w:w="2431" w:type="dxa"/>
            <w:hideMark/>
          </w:tcPr>
          <w:p w14:paraId="5EB4C0B1" w14:textId="77777777" w:rsidR="00CB7FEE" w:rsidRPr="00043DFE" w:rsidRDefault="00CB7FEE" w:rsidP="008B107E">
            <w:pPr>
              <w:pStyle w:val="TAH"/>
              <w:rPr>
                <w:szCs w:val="18"/>
                <w:lang w:val="en-US"/>
              </w:rPr>
            </w:pPr>
            <w:r w:rsidRPr="00043DFE">
              <w:rPr>
                <w:szCs w:val="18"/>
                <w:lang w:val="en-US"/>
              </w:rPr>
              <w:t>T</w:t>
            </w:r>
            <w:r w:rsidRPr="00043DFE">
              <w:rPr>
                <w:szCs w:val="18"/>
                <w:vertAlign w:val="subscript"/>
                <w:lang w:val="en-US"/>
              </w:rPr>
              <w:t>detect,NR_Intra_Relax</w:t>
            </w:r>
            <w:r w:rsidRPr="00043DFE">
              <w:rPr>
                <w:szCs w:val="18"/>
              </w:rPr>
              <w:t xml:space="preserve"> [s] (number of DRX cycles or eDRX cycles </w:t>
            </w:r>
            <w:r w:rsidRPr="00043DFE">
              <w:rPr>
                <w:szCs w:val="18"/>
                <w:vertAlign w:val="superscript"/>
              </w:rPr>
              <w:t>Note 3</w:t>
            </w:r>
            <w:r w:rsidRPr="00043DFE">
              <w:rPr>
                <w:szCs w:val="18"/>
              </w:rPr>
              <w:t>)</w:t>
            </w:r>
          </w:p>
        </w:tc>
        <w:tc>
          <w:tcPr>
            <w:tcW w:w="1860" w:type="dxa"/>
            <w:hideMark/>
          </w:tcPr>
          <w:p w14:paraId="57512A1B" w14:textId="77777777" w:rsidR="00CB7FEE" w:rsidRPr="00043DFE" w:rsidRDefault="00CB7FEE" w:rsidP="008B107E">
            <w:pPr>
              <w:pStyle w:val="TAH"/>
              <w:rPr>
                <w:szCs w:val="18"/>
                <w:lang w:val="en-US"/>
              </w:rPr>
            </w:pPr>
            <w:r w:rsidRPr="00043DFE">
              <w:rPr>
                <w:szCs w:val="18"/>
                <w:lang w:val="en-US"/>
              </w:rPr>
              <w:t>T</w:t>
            </w:r>
            <w:r w:rsidRPr="00043DFE">
              <w:rPr>
                <w:szCs w:val="18"/>
                <w:vertAlign w:val="subscript"/>
                <w:lang w:val="en-US"/>
              </w:rPr>
              <w:t>measure,NR_Intra_Relax</w:t>
            </w:r>
            <w:r w:rsidRPr="00043DFE">
              <w:rPr>
                <w:szCs w:val="18"/>
                <w:lang w:val="en-US"/>
              </w:rPr>
              <w:t xml:space="preserve"> </w:t>
            </w:r>
            <w:r w:rsidRPr="00043DFE">
              <w:rPr>
                <w:szCs w:val="18"/>
              </w:rPr>
              <w:t xml:space="preserve">[s] (number of DRX cycles or eDRX cycles </w:t>
            </w:r>
            <w:r w:rsidRPr="00043DFE">
              <w:rPr>
                <w:szCs w:val="18"/>
                <w:vertAlign w:val="superscript"/>
              </w:rPr>
              <w:t>Note 3</w:t>
            </w:r>
            <w:r w:rsidRPr="00043DFE">
              <w:rPr>
                <w:szCs w:val="18"/>
              </w:rPr>
              <w:t>)</w:t>
            </w:r>
          </w:p>
        </w:tc>
        <w:tc>
          <w:tcPr>
            <w:tcW w:w="1846" w:type="dxa"/>
          </w:tcPr>
          <w:p w14:paraId="5FC93C8D" w14:textId="77777777" w:rsidR="00CB7FEE" w:rsidRPr="00043DFE" w:rsidRDefault="00CB7FEE" w:rsidP="008B107E">
            <w:pPr>
              <w:pStyle w:val="TAH"/>
              <w:rPr>
                <w:szCs w:val="18"/>
                <w:lang w:val="en-US"/>
              </w:rPr>
            </w:pPr>
            <w:r w:rsidRPr="00043DFE">
              <w:rPr>
                <w:szCs w:val="18"/>
                <w:lang w:val="en-US"/>
              </w:rPr>
              <w:t>T</w:t>
            </w:r>
            <w:r w:rsidRPr="00043DFE">
              <w:rPr>
                <w:szCs w:val="18"/>
                <w:vertAlign w:val="subscript"/>
                <w:lang w:val="en-US"/>
              </w:rPr>
              <w:t xml:space="preserve">evaluate,NR_Intra_Relax </w:t>
            </w:r>
            <w:r w:rsidRPr="00043DFE">
              <w:rPr>
                <w:szCs w:val="18"/>
              </w:rPr>
              <w:t xml:space="preserve">[s] (number of DRX cycles or eDRX cycles </w:t>
            </w:r>
            <w:r w:rsidRPr="00043DFE">
              <w:rPr>
                <w:szCs w:val="18"/>
                <w:vertAlign w:val="superscript"/>
              </w:rPr>
              <w:t>Note 3</w:t>
            </w:r>
            <w:r w:rsidRPr="00043DFE">
              <w:rPr>
                <w:szCs w:val="18"/>
              </w:rPr>
              <w:t>)</w:t>
            </w:r>
          </w:p>
        </w:tc>
      </w:tr>
      <w:tr w:rsidR="00CB7FEE" w:rsidRPr="00043DFE" w14:paraId="5E11F950" w14:textId="77777777" w:rsidTr="008B107E">
        <w:trPr>
          <w:trHeight w:val="673"/>
        </w:trPr>
        <w:tc>
          <w:tcPr>
            <w:tcW w:w="1198" w:type="dxa"/>
            <w:tcBorders>
              <w:bottom w:val="nil"/>
            </w:tcBorders>
            <w:hideMark/>
          </w:tcPr>
          <w:p w14:paraId="0EA1A3B5" w14:textId="77777777" w:rsidR="00CB7FEE" w:rsidRPr="00043DFE" w:rsidRDefault="00CB7FEE" w:rsidP="008B107E">
            <w:pPr>
              <w:pStyle w:val="TAC"/>
              <w:rPr>
                <w:lang w:val="en-US"/>
              </w:rPr>
            </w:pPr>
            <w:r w:rsidRPr="00043DFE">
              <w:t>20.48 ≤  eDRX_IDLE cycle length ≤[163.84]</w:t>
            </w:r>
          </w:p>
        </w:tc>
        <w:tc>
          <w:tcPr>
            <w:tcW w:w="751" w:type="dxa"/>
            <w:hideMark/>
          </w:tcPr>
          <w:p w14:paraId="6A121A69" w14:textId="77777777" w:rsidR="00CB7FEE" w:rsidRPr="00043DFE" w:rsidRDefault="00CB7FEE" w:rsidP="008B107E">
            <w:pPr>
              <w:pStyle w:val="TAC"/>
              <w:rPr>
                <w:lang w:val="en-US"/>
              </w:rPr>
            </w:pPr>
            <w:r w:rsidRPr="00043DFE">
              <w:t>0.32</w:t>
            </w:r>
          </w:p>
        </w:tc>
        <w:tc>
          <w:tcPr>
            <w:tcW w:w="930" w:type="dxa"/>
            <w:hideMark/>
          </w:tcPr>
          <w:p w14:paraId="538C2F2C" w14:textId="77777777" w:rsidR="00CB7FEE" w:rsidRPr="00043DFE" w:rsidRDefault="00CB7FEE" w:rsidP="008B107E">
            <w:pPr>
              <w:pStyle w:val="TAC"/>
              <w:rPr>
                <w:lang w:val="en-US"/>
              </w:rPr>
            </w:pPr>
            <w:r w:rsidRPr="00043DFE">
              <w:t>≥</w:t>
            </w:r>
            <w:r w:rsidRPr="00043DFE">
              <w:rPr>
                <w:lang w:val="en-US"/>
              </w:rPr>
              <w:t>[</w:t>
            </w:r>
            <w:r w:rsidRPr="00043DFE">
              <w:t>3.84] ([3])</w:t>
            </w:r>
          </w:p>
        </w:tc>
        <w:tc>
          <w:tcPr>
            <w:tcW w:w="2431" w:type="dxa"/>
            <w:tcBorders>
              <w:bottom w:val="nil"/>
            </w:tcBorders>
            <w:hideMark/>
          </w:tcPr>
          <w:p w14:paraId="43FA7C95" w14:textId="77777777" w:rsidR="00CB7FEE" w:rsidRPr="00043DFE" w:rsidRDefault="00CB7FEE" w:rsidP="008B107E">
            <w:pPr>
              <w:pStyle w:val="TAC"/>
              <w:rPr>
                <w:lang w:val="en-US"/>
              </w:rPr>
            </w:pPr>
            <m:oMathPara>
              <m:oMathParaPr>
                <m:jc m:val="centerGroup"/>
              </m:oMathParaPr>
              <m:oMath>
                <m:r>
                  <w:rPr>
                    <w:rFonts w:ascii="Cambria Math" w:hAnsi="Cambria Math"/>
                    <w:lang w:val="en-US"/>
                  </w:rPr>
                  <m:t>eDRX</m:t>
                </m:r>
                <m:r>
                  <m:rPr>
                    <m:sty m:val="p"/>
                  </m:rPr>
                  <w:rPr>
                    <w:rFonts w:ascii="Cambria Math" w:hAnsi="Cambria Math"/>
                    <w:lang w:val="en-US"/>
                  </w:rPr>
                  <m:t>_</m:t>
                </m:r>
                <m:r>
                  <w:rPr>
                    <w:rFonts w:ascii="Cambria Math" w:hAnsi="Cambria Math"/>
                    <w:lang w:val="en-US"/>
                  </w:rPr>
                  <m:t>cycl</m:t>
                </m:r>
                <m:r>
                  <m:rPr>
                    <m:sty m:val="p"/>
                  </m:rPr>
                  <w:rPr>
                    <w:rFonts w:ascii="Cambria Math" w:hAnsi="Cambria Math"/>
                    <w:lang w:val="en-US"/>
                  </w:rPr>
                  <m:t>e_</m:t>
                </m:r>
                <m:r>
                  <w:rPr>
                    <w:rFonts w:ascii="Cambria Math" w:hAnsi="Cambria Math"/>
                    <w:lang w:val="en-US"/>
                  </w:rPr>
                  <m:t>length×</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23</m:t>
                        </m:r>
                      </m:num>
                      <m:den>
                        <m:r>
                          <w:rPr>
                            <w:rFonts w:ascii="Cambria Math" w:hAnsi="Cambria Math"/>
                            <w:lang w:val="en-US"/>
                          </w:rPr>
                          <m:t>PTW/DRX_cycle_length</m:t>
                        </m:r>
                      </m:den>
                    </m:f>
                  </m:e>
                </m:d>
                <m:r>
                  <m:rPr>
                    <m:sty m:val="p"/>
                  </m:rPr>
                  <w:rPr>
                    <w:rFonts w:ascii="Cambria Math" w:hAnsi="Cambria Math"/>
                    <w:lang w:val="sv-SE"/>
                  </w:rPr>
                  <m:t>x K1</m:t>
                </m:r>
              </m:oMath>
            </m:oMathPara>
          </w:p>
          <w:p w14:paraId="7B8A328C" w14:textId="77777777" w:rsidR="00CB7FEE" w:rsidRPr="00043DFE" w:rsidRDefault="00CB7FEE" w:rsidP="008B107E">
            <w:pPr>
              <w:pStyle w:val="TAC"/>
              <w:rPr>
                <w:lang w:val="en-US"/>
              </w:rPr>
            </w:pPr>
            <w:r w:rsidRPr="00043DFE">
              <w:rPr>
                <w:lang w:val="en-US"/>
              </w:rPr>
              <w:t>(23</w:t>
            </w:r>
            <w:r w:rsidRPr="00043DFE">
              <w:rPr>
                <w:lang w:val="sv-SE"/>
              </w:rPr>
              <w:t xml:space="preserve"> x K1</w:t>
            </w:r>
            <w:r w:rsidRPr="00043DFE">
              <w:rPr>
                <w:lang w:val="en-US"/>
              </w:rPr>
              <w:t>)</w:t>
            </w:r>
          </w:p>
        </w:tc>
        <w:tc>
          <w:tcPr>
            <w:tcW w:w="1860" w:type="dxa"/>
            <w:hideMark/>
          </w:tcPr>
          <w:p w14:paraId="7FC21D91" w14:textId="77777777" w:rsidR="00CB7FEE" w:rsidRPr="00043DFE" w:rsidRDefault="00CB7FEE" w:rsidP="008B107E">
            <w:pPr>
              <w:pStyle w:val="TAC"/>
            </w:pPr>
            <w:r w:rsidRPr="00043DFE">
              <w:t>0.32 x M2 x K1 (1 x M2 x K1)</w:t>
            </w:r>
          </w:p>
        </w:tc>
        <w:tc>
          <w:tcPr>
            <w:tcW w:w="1846" w:type="dxa"/>
          </w:tcPr>
          <w:p w14:paraId="54F5357E" w14:textId="77777777" w:rsidR="00CB7FEE" w:rsidRPr="00043DFE" w:rsidRDefault="00CB7FEE" w:rsidP="008B107E">
            <w:pPr>
              <w:pStyle w:val="TAC"/>
            </w:pPr>
            <w:r w:rsidRPr="00043DFE">
              <w:t>0.64 x M2 x K1 (2 x M2 x K1)</w:t>
            </w:r>
          </w:p>
        </w:tc>
      </w:tr>
      <w:tr w:rsidR="00CB7FEE" w:rsidRPr="00043DFE" w14:paraId="31CD780A" w14:textId="77777777" w:rsidTr="008B107E">
        <w:trPr>
          <w:trHeight w:val="336"/>
        </w:trPr>
        <w:tc>
          <w:tcPr>
            <w:tcW w:w="1198" w:type="dxa"/>
            <w:tcBorders>
              <w:top w:val="nil"/>
              <w:bottom w:val="nil"/>
            </w:tcBorders>
            <w:hideMark/>
          </w:tcPr>
          <w:p w14:paraId="72966A65" w14:textId="77777777" w:rsidR="00CB7FEE" w:rsidRPr="00043DFE" w:rsidRDefault="00CB7FEE" w:rsidP="008B107E">
            <w:pPr>
              <w:pStyle w:val="TAC"/>
              <w:rPr>
                <w:lang w:val="en-US"/>
              </w:rPr>
            </w:pPr>
          </w:p>
        </w:tc>
        <w:tc>
          <w:tcPr>
            <w:tcW w:w="751" w:type="dxa"/>
            <w:hideMark/>
          </w:tcPr>
          <w:p w14:paraId="0F7C99F5" w14:textId="77777777" w:rsidR="00CB7FEE" w:rsidRPr="00043DFE" w:rsidRDefault="00CB7FEE" w:rsidP="008B107E">
            <w:pPr>
              <w:pStyle w:val="TAC"/>
              <w:rPr>
                <w:lang w:val="en-US"/>
              </w:rPr>
            </w:pPr>
            <w:r w:rsidRPr="00043DFE">
              <w:t>0.64</w:t>
            </w:r>
          </w:p>
        </w:tc>
        <w:tc>
          <w:tcPr>
            <w:tcW w:w="930" w:type="dxa"/>
            <w:hideMark/>
          </w:tcPr>
          <w:p w14:paraId="3A2B09D2" w14:textId="77777777" w:rsidR="00CB7FEE" w:rsidRPr="00043DFE" w:rsidRDefault="00CB7FEE" w:rsidP="008B107E">
            <w:pPr>
              <w:pStyle w:val="TAC"/>
              <w:rPr>
                <w:lang w:val="en-US"/>
              </w:rPr>
            </w:pPr>
            <w:r w:rsidRPr="00043DFE">
              <w:t>≥</w:t>
            </w:r>
            <w:r w:rsidRPr="00043DFE">
              <w:rPr>
                <w:lang w:val="en-US"/>
              </w:rPr>
              <w:t>[</w:t>
            </w:r>
            <w:r w:rsidRPr="00043DFE">
              <w:t>3.84] ([3])</w:t>
            </w:r>
          </w:p>
        </w:tc>
        <w:tc>
          <w:tcPr>
            <w:tcW w:w="2431" w:type="dxa"/>
            <w:tcBorders>
              <w:top w:val="nil"/>
              <w:bottom w:val="nil"/>
            </w:tcBorders>
            <w:hideMark/>
          </w:tcPr>
          <w:p w14:paraId="20249183" w14:textId="77777777" w:rsidR="00CB7FEE" w:rsidRPr="00043DFE" w:rsidRDefault="00CB7FEE" w:rsidP="008B107E">
            <w:pPr>
              <w:pStyle w:val="TAC"/>
              <w:rPr>
                <w:lang w:val="en-US"/>
              </w:rPr>
            </w:pPr>
          </w:p>
        </w:tc>
        <w:tc>
          <w:tcPr>
            <w:tcW w:w="1860" w:type="dxa"/>
            <w:hideMark/>
          </w:tcPr>
          <w:p w14:paraId="35EF085C" w14:textId="77777777" w:rsidR="00CB7FEE" w:rsidRPr="00043DFE" w:rsidRDefault="00CB7FEE" w:rsidP="008B107E">
            <w:pPr>
              <w:pStyle w:val="TAC"/>
            </w:pPr>
            <w:r w:rsidRPr="00043DFE">
              <w:t>0.64 x K1 (1 x K1)</w:t>
            </w:r>
          </w:p>
        </w:tc>
        <w:tc>
          <w:tcPr>
            <w:tcW w:w="1846" w:type="dxa"/>
          </w:tcPr>
          <w:p w14:paraId="2E208CFC" w14:textId="77777777" w:rsidR="00CB7FEE" w:rsidRPr="00043DFE" w:rsidRDefault="00CB7FEE" w:rsidP="008B107E">
            <w:pPr>
              <w:pStyle w:val="TAC"/>
            </w:pPr>
            <w:r w:rsidRPr="00043DFE">
              <w:t>1.28 x K1 (2 x K1)</w:t>
            </w:r>
          </w:p>
        </w:tc>
      </w:tr>
      <w:tr w:rsidR="00CB7FEE" w:rsidRPr="00043DFE" w14:paraId="1DA686FD" w14:textId="77777777" w:rsidTr="008B107E">
        <w:trPr>
          <w:trHeight w:val="336"/>
        </w:trPr>
        <w:tc>
          <w:tcPr>
            <w:tcW w:w="1198" w:type="dxa"/>
            <w:tcBorders>
              <w:top w:val="nil"/>
              <w:bottom w:val="nil"/>
            </w:tcBorders>
            <w:hideMark/>
          </w:tcPr>
          <w:p w14:paraId="3282DEF7" w14:textId="77777777" w:rsidR="00CB7FEE" w:rsidRPr="00043DFE" w:rsidRDefault="00CB7FEE" w:rsidP="008B107E">
            <w:pPr>
              <w:pStyle w:val="TAC"/>
              <w:rPr>
                <w:lang w:val="en-US"/>
              </w:rPr>
            </w:pPr>
          </w:p>
        </w:tc>
        <w:tc>
          <w:tcPr>
            <w:tcW w:w="751" w:type="dxa"/>
            <w:hideMark/>
          </w:tcPr>
          <w:p w14:paraId="61B08092" w14:textId="77777777" w:rsidR="00CB7FEE" w:rsidRPr="00043DFE" w:rsidRDefault="00CB7FEE" w:rsidP="008B107E">
            <w:pPr>
              <w:pStyle w:val="TAC"/>
              <w:rPr>
                <w:lang w:val="en-US"/>
              </w:rPr>
            </w:pPr>
            <w:r w:rsidRPr="00043DFE">
              <w:t>1.28</w:t>
            </w:r>
          </w:p>
        </w:tc>
        <w:tc>
          <w:tcPr>
            <w:tcW w:w="930" w:type="dxa"/>
            <w:hideMark/>
          </w:tcPr>
          <w:p w14:paraId="4B414EE2" w14:textId="77777777" w:rsidR="00CB7FEE" w:rsidRPr="00043DFE" w:rsidRDefault="00CB7FEE" w:rsidP="008B107E">
            <w:pPr>
              <w:pStyle w:val="TAC"/>
              <w:rPr>
                <w:lang w:val="en-US"/>
              </w:rPr>
            </w:pPr>
            <w:r w:rsidRPr="00043DFE">
              <w:t>≥[7.68] ([6])</w:t>
            </w:r>
          </w:p>
        </w:tc>
        <w:tc>
          <w:tcPr>
            <w:tcW w:w="2431" w:type="dxa"/>
            <w:tcBorders>
              <w:top w:val="nil"/>
              <w:bottom w:val="nil"/>
            </w:tcBorders>
            <w:hideMark/>
          </w:tcPr>
          <w:p w14:paraId="237C18E2" w14:textId="77777777" w:rsidR="00CB7FEE" w:rsidRPr="00043DFE" w:rsidRDefault="00CB7FEE" w:rsidP="008B107E">
            <w:pPr>
              <w:pStyle w:val="TAC"/>
              <w:rPr>
                <w:lang w:val="en-US"/>
              </w:rPr>
            </w:pPr>
          </w:p>
        </w:tc>
        <w:tc>
          <w:tcPr>
            <w:tcW w:w="1860" w:type="dxa"/>
            <w:hideMark/>
          </w:tcPr>
          <w:p w14:paraId="6AD35557" w14:textId="77777777" w:rsidR="00CB7FEE" w:rsidRPr="00043DFE" w:rsidRDefault="00CB7FEE" w:rsidP="008B107E">
            <w:pPr>
              <w:pStyle w:val="TAC"/>
            </w:pPr>
            <w:r w:rsidRPr="00043DFE">
              <w:t>1.28 x K1 (1 x K1)</w:t>
            </w:r>
          </w:p>
        </w:tc>
        <w:tc>
          <w:tcPr>
            <w:tcW w:w="1846" w:type="dxa"/>
          </w:tcPr>
          <w:p w14:paraId="487DD022" w14:textId="77777777" w:rsidR="00CB7FEE" w:rsidRPr="00043DFE" w:rsidRDefault="00CB7FEE" w:rsidP="008B107E">
            <w:pPr>
              <w:pStyle w:val="TAC"/>
            </w:pPr>
            <w:r w:rsidRPr="00043DFE">
              <w:t>2.56 x K1 (2 x K1)</w:t>
            </w:r>
          </w:p>
        </w:tc>
      </w:tr>
      <w:tr w:rsidR="00CB7FEE" w:rsidRPr="00043DFE" w14:paraId="4E7A7F44" w14:textId="77777777" w:rsidTr="008B107E">
        <w:trPr>
          <w:trHeight w:val="336"/>
        </w:trPr>
        <w:tc>
          <w:tcPr>
            <w:tcW w:w="1198" w:type="dxa"/>
            <w:tcBorders>
              <w:top w:val="nil"/>
            </w:tcBorders>
            <w:hideMark/>
          </w:tcPr>
          <w:p w14:paraId="18955B33" w14:textId="77777777" w:rsidR="00CB7FEE" w:rsidRPr="00043DFE" w:rsidRDefault="00CB7FEE" w:rsidP="008B107E">
            <w:pPr>
              <w:pStyle w:val="TAC"/>
              <w:rPr>
                <w:lang w:val="en-US"/>
              </w:rPr>
            </w:pPr>
          </w:p>
        </w:tc>
        <w:tc>
          <w:tcPr>
            <w:tcW w:w="751" w:type="dxa"/>
            <w:hideMark/>
          </w:tcPr>
          <w:p w14:paraId="34D86B5A" w14:textId="77777777" w:rsidR="00CB7FEE" w:rsidRPr="00043DFE" w:rsidRDefault="00CB7FEE" w:rsidP="008B107E">
            <w:pPr>
              <w:pStyle w:val="TAC"/>
              <w:rPr>
                <w:lang w:val="en-US"/>
              </w:rPr>
            </w:pPr>
            <w:r w:rsidRPr="00043DFE">
              <w:t>2.56</w:t>
            </w:r>
          </w:p>
        </w:tc>
        <w:tc>
          <w:tcPr>
            <w:tcW w:w="930" w:type="dxa"/>
            <w:hideMark/>
          </w:tcPr>
          <w:p w14:paraId="6D9B1B88" w14:textId="77777777" w:rsidR="00CB7FEE" w:rsidRPr="00043DFE" w:rsidRDefault="00CB7FEE" w:rsidP="008B107E">
            <w:pPr>
              <w:pStyle w:val="TAC"/>
              <w:rPr>
                <w:lang w:val="en-US"/>
              </w:rPr>
            </w:pPr>
            <w:r w:rsidRPr="00043DFE">
              <w:t>≥[15.36] ([12])</w:t>
            </w:r>
          </w:p>
        </w:tc>
        <w:tc>
          <w:tcPr>
            <w:tcW w:w="2431" w:type="dxa"/>
            <w:tcBorders>
              <w:top w:val="nil"/>
            </w:tcBorders>
            <w:hideMark/>
          </w:tcPr>
          <w:p w14:paraId="727C2751" w14:textId="77777777" w:rsidR="00CB7FEE" w:rsidRPr="00043DFE" w:rsidRDefault="00CB7FEE" w:rsidP="008B107E">
            <w:pPr>
              <w:pStyle w:val="TAC"/>
              <w:rPr>
                <w:lang w:val="en-US"/>
              </w:rPr>
            </w:pPr>
          </w:p>
        </w:tc>
        <w:tc>
          <w:tcPr>
            <w:tcW w:w="1860" w:type="dxa"/>
            <w:hideMark/>
          </w:tcPr>
          <w:p w14:paraId="1FFD3275" w14:textId="77777777" w:rsidR="00CB7FEE" w:rsidRPr="00043DFE" w:rsidRDefault="00CB7FEE" w:rsidP="008B107E">
            <w:pPr>
              <w:pStyle w:val="TAC"/>
            </w:pPr>
            <w:r w:rsidRPr="00043DFE">
              <w:t>2.56 x K1 (1 x K1)</w:t>
            </w:r>
          </w:p>
        </w:tc>
        <w:tc>
          <w:tcPr>
            <w:tcW w:w="1846" w:type="dxa"/>
          </w:tcPr>
          <w:p w14:paraId="4F8578DC" w14:textId="77777777" w:rsidR="00CB7FEE" w:rsidRPr="00043DFE" w:rsidRDefault="00CB7FEE" w:rsidP="008B107E">
            <w:pPr>
              <w:pStyle w:val="TAC"/>
            </w:pPr>
            <w:r w:rsidRPr="00043DFE">
              <w:t>5.12 x K1 (2 x K1)</w:t>
            </w:r>
          </w:p>
        </w:tc>
      </w:tr>
      <w:tr w:rsidR="00CB7FEE" w:rsidRPr="00043DFE" w14:paraId="1E48389F" w14:textId="77777777" w:rsidTr="008B107E">
        <w:trPr>
          <w:trHeight w:val="336"/>
        </w:trPr>
        <w:tc>
          <w:tcPr>
            <w:tcW w:w="9016" w:type="dxa"/>
            <w:gridSpan w:val="6"/>
          </w:tcPr>
          <w:p w14:paraId="4C712A65" w14:textId="77777777" w:rsidR="00CB7FEE" w:rsidRPr="00043DFE" w:rsidRDefault="00CB7FEE" w:rsidP="008B107E">
            <w:pPr>
              <w:pStyle w:val="TAN"/>
              <w:rPr>
                <w:snapToGrid w:val="0"/>
              </w:rPr>
            </w:pPr>
            <w:r w:rsidRPr="00043DFE">
              <w:rPr>
                <w:snapToGrid w:val="0"/>
              </w:rPr>
              <w:t>Note 1</w:t>
            </w:r>
            <w:r w:rsidRPr="00043DFE">
              <w:t>:</w:t>
            </w:r>
            <w:r w:rsidRPr="00043DFE">
              <w:rPr>
                <w:lang w:val="en-US"/>
              </w:rPr>
              <w:tab/>
            </w:r>
            <w:r w:rsidRPr="00043DFE">
              <w:rPr>
                <w:snapToGrid w:val="0"/>
              </w:rPr>
              <w:t>The number of DRX cycles in this table is given for the DRX cycles within PTWs.</w:t>
            </w:r>
          </w:p>
          <w:p w14:paraId="2C74449A" w14:textId="77777777" w:rsidR="00CB7FEE" w:rsidRPr="00043DFE" w:rsidRDefault="00CB7FEE" w:rsidP="008B107E">
            <w:pPr>
              <w:pStyle w:val="TAN"/>
              <w:rPr>
                <w:snapToGrid w:val="0"/>
              </w:rPr>
            </w:pPr>
            <w:r w:rsidRPr="00043DFE">
              <w:rPr>
                <w:snapToGrid w:val="0"/>
              </w:rPr>
              <w:t>Note 2</w:t>
            </w:r>
            <w:r w:rsidRPr="00043DFE">
              <w:t>:</w:t>
            </w:r>
            <w:r w:rsidRPr="00043DFE">
              <w:rPr>
                <w:lang w:val="en-US"/>
              </w:rPr>
              <w:tab/>
            </w:r>
            <w:r w:rsidRPr="00043DFE">
              <w:rPr>
                <w:snapToGrid w:val="0"/>
              </w:rPr>
              <w:t>The eDRX_IDLE cycle lengths are as specified in Section 10.5.5.32 of TS 24.008 [34].</w:t>
            </w:r>
          </w:p>
          <w:p w14:paraId="03788E9B" w14:textId="77777777" w:rsidR="00CB7FEE" w:rsidRPr="00043DFE" w:rsidRDefault="00CB7FEE" w:rsidP="008B107E">
            <w:pPr>
              <w:pStyle w:val="TAN"/>
              <w:rPr>
                <w:rFonts w:cs="Arial"/>
                <w:iCs/>
              </w:rPr>
            </w:pPr>
            <w:r w:rsidRPr="00043DFE">
              <w:rPr>
                <w:snapToGrid w:val="0"/>
              </w:rPr>
              <w:t>Note</w:t>
            </w:r>
            <w:r w:rsidRPr="00043DFE">
              <w:rPr>
                <w:rFonts w:cs="Arial"/>
              </w:rPr>
              <w:t xml:space="preserve"> 3:</w:t>
            </w:r>
            <w:r w:rsidRPr="00043DFE">
              <w:rPr>
                <w:lang w:val="en-US"/>
              </w:rPr>
              <w:t xml:space="preserve"> </w:t>
            </w:r>
            <w:r w:rsidRPr="00043DFE">
              <w:rPr>
                <w:lang w:val="en-US"/>
              </w:rPr>
              <w:tab/>
            </w:r>
            <w:r w:rsidRPr="00043DFE">
              <w:rPr>
                <w:rFonts w:cs="Arial"/>
              </w:rPr>
              <w:t xml:space="preserve">The lower bound of </w:t>
            </w:r>
            <w:r w:rsidRPr="00043DFE">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sidRPr="00043DFE">
              <w:rPr>
                <w:rFonts w:cs="Arial"/>
                <w:iCs/>
              </w:rPr>
              <w:t>.</w:t>
            </w:r>
          </w:p>
          <w:p w14:paraId="43038ECD" w14:textId="77777777" w:rsidR="00CB7FEE" w:rsidRPr="00043DFE" w:rsidRDefault="00CB7FEE" w:rsidP="008B107E">
            <w:pPr>
              <w:pStyle w:val="TAN"/>
              <w:rPr>
                <w:snapToGrid w:val="0"/>
              </w:rPr>
            </w:pPr>
            <w:r w:rsidRPr="00043DFE">
              <w:rPr>
                <w:snapToGrid w:val="0"/>
              </w:rPr>
              <w:t>Note 4:</w:t>
            </w:r>
            <w:r w:rsidRPr="00043DFE">
              <w:rPr>
                <w:lang w:val="en-US"/>
              </w:rPr>
              <w:tab/>
            </w:r>
            <w:r w:rsidRPr="00043DFE">
              <w:rPr>
                <w:snapToGrid w:val="0"/>
              </w:rPr>
              <w:t>M2 = 1.5 if SMTC periodicity</w:t>
            </w:r>
            <w:r w:rsidRPr="00043DFE">
              <w:t xml:space="preserve"> </w:t>
            </w:r>
            <w:r w:rsidRPr="00043DFE">
              <w:rPr>
                <w:snapToGrid w:val="0"/>
              </w:rPr>
              <w:t>of measured intra-frequency cell &gt; 20 ms; otherwise M2=1.</w:t>
            </w:r>
            <w:r w:rsidRPr="00043DFE">
              <w:t xml:space="preserve"> </w:t>
            </w:r>
          </w:p>
          <w:p w14:paraId="7A8A14AD" w14:textId="77777777" w:rsidR="00CB7FEE" w:rsidRPr="00043DFE" w:rsidRDefault="00CB7FEE" w:rsidP="008B107E">
            <w:pPr>
              <w:pStyle w:val="TAN"/>
              <w:rPr>
                <w:snapToGrid w:val="0"/>
              </w:rPr>
            </w:pPr>
            <w:r w:rsidRPr="00043DFE">
              <w:rPr>
                <w:snapToGrid w:val="0"/>
              </w:rPr>
              <w:t>Note 5:</w:t>
            </w:r>
            <w:r w:rsidRPr="00043DFE">
              <w:rPr>
                <w:snapToGrid w:val="0"/>
              </w:rPr>
              <w:tab/>
              <w:t xml:space="preserve">K1 = 3 is the measurement relaxation factor applicable for UE fulfilling the </w:t>
            </w:r>
            <w:r w:rsidRPr="00043DFE">
              <w:rPr>
                <w:i/>
                <w:iCs/>
              </w:rPr>
              <w:t>lowMobilityEvaluation</w:t>
            </w:r>
            <w:r w:rsidRPr="00043DFE">
              <w:rPr>
                <w:snapToGrid w:val="0"/>
              </w:rPr>
              <w:t xml:space="preserve"> [2] criterion.</w:t>
            </w:r>
          </w:p>
        </w:tc>
      </w:tr>
    </w:tbl>
    <w:p w14:paraId="53B0E455" w14:textId="77777777" w:rsidR="00CB7FEE" w:rsidRPr="00043DFE" w:rsidRDefault="00CB7FEE" w:rsidP="00CB7FEE"/>
    <w:p w14:paraId="4434700A" w14:textId="77777777" w:rsidR="00CB7FEE" w:rsidRPr="00043DFE" w:rsidRDefault="00CB7FEE" w:rsidP="00CB7FEE">
      <w:pPr>
        <w:pStyle w:val="TH"/>
        <w:rPr>
          <w:lang w:val="en-US"/>
        </w:rPr>
      </w:pPr>
      <w:r w:rsidRPr="00043DFE">
        <w:rPr>
          <w:lang w:val="en-US"/>
        </w:rPr>
        <w:t>Table 4.2.2.9.2-5: T</w:t>
      </w:r>
      <w:r w:rsidRPr="00043DFE">
        <w:rPr>
          <w:vertAlign w:val="subscript"/>
          <w:lang w:val="en-US"/>
        </w:rPr>
        <w:t>detect,NR_Intra_Relax</w:t>
      </w:r>
      <w:r w:rsidRPr="00043DFE">
        <w:rPr>
          <w:lang w:val="en-US"/>
        </w:rPr>
        <w:t>, T</w:t>
      </w:r>
      <w:r w:rsidRPr="00043DFE">
        <w:rPr>
          <w:vertAlign w:val="subscript"/>
          <w:lang w:val="en-US"/>
        </w:rPr>
        <w:t>measure,NR_Intra_Relax</w:t>
      </w:r>
      <w:r w:rsidRPr="00043DFE">
        <w:rPr>
          <w:lang w:val="en-US"/>
        </w:rPr>
        <w:t xml:space="preserve"> and T</w:t>
      </w:r>
      <w:r w:rsidRPr="00043DFE">
        <w:rPr>
          <w:vertAlign w:val="subscript"/>
          <w:lang w:val="en-US"/>
        </w:rPr>
        <w:t>evaluate,NR_Intra_Relax</w:t>
      </w:r>
      <w:r w:rsidRPr="00043DFE">
        <w:rPr>
          <w:lang w:val="en-US"/>
        </w:rPr>
        <w:t xml:space="preserve"> for UE configured with eDRX_IDLE cycle (Frequency range FR2-1)</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757"/>
        <w:gridCol w:w="977"/>
        <w:gridCol w:w="882"/>
        <w:gridCol w:w="2408"/>
        <w:gridCol w:w="64"/>
        <w:gridCol w:w="1528"/>
        <w:gridCol w:w="1621"/>
      </w:tblGrid>
      <w:tr w:rsidR="00CB7FEE" w:rsidRPr="00043DFE" w14:paraId="30C8DDCA" w14:textId="77777777" w:rsidTr="008B107E">
        <w:trPr>
          <w:trHeight w:val="1692"/>
        </w:trPr>
        <w:tc>
          <w:tcPr>
            <w:tcW w:w="639" w:type="pct"/>
            <w:hideMark/>
          </w:tcPr>
          <w:p w14:paraId="2ABAFD56" w14:textId="77777777" w:rsidR="00CB7FEE" w:rsidRPr="00043DFE" w:rsidRDefault="00CB7FEE" w:rsidP="008B107E">
            <w:pPr>
              <w:pStyle w:val="TAH"/>
              <w:rPr>
                <w:lang w:val="en-US"/>
              </w:rPr>
            </w:pPr>
            <w:r w:rsidRPr="00043DFE">
              <w:t>eDRX_IDLE cycle length [s]</w:t>
            </w:r>
          </w:p>
        </w:tc>
        <w:tc>
          <w:tcPr>
            <w:tcW w:w="401" w:type="pct"/>
            <w:hideMark/>
          </w:tcPr>
          <w:p w14:paraId="62958D94" w14:textId="77777777" w:rsidR="00CB7FEE" w:rsidRPr="00043DFE" w:rsidRDefault="00CB7FEE" w:rsidP="008B107E">
            <w:pPr>
              <w:pStyle w:val="TAH"/>
              <w:rPr>
                <w:lang w:val="en-US"/>
              </w:rPr>
            </w:pPr>
            <w:r w:rsidRPr="00043DFE">
              <w:t>DRX cycle length [s]</w:t>
            </w:r>
          </w:p>
        </w:tc>
        <w:tc>
          <w:tcPr>
            <w:tcW w:w="517" w:type="pct"/>
            <w:hideMark/>
          </w:tcPr>
          <w:p w14:paraId="1E654F98" w14:textId="77777777" w:rsidR="00CB7FEE" w:rsidRPr="00043DFE" w:rsidRDefault="00CB7FEE" w:rsidP="008B107E">
            <w:pPr>
              <w:pStyle w:val="TAH"/>
              <w:rPr>
                <w:lang w:val="en-US"/>
              </w:rPr>
            </w:pPr>
            <w:r w:rsidRPr="00043DFE">
              <w:t>PTW length [s] (number of 1.28s periods)</w:t>
            </w:r>
          </w:p>
        </w:tc>
        <w:tc>
          <w:tcPr>
            <w:tcW w:w="467" w:type="pct"/>
          </w:tcPr>
          <w:p w14:paraId="2FAB321E" w14:textId="77777777" w:rsidR="00CB7FEE" w:rsidRPr="00043DFE" w:rsidRDefault="00CB7FEE" w:rsidP="008B107E">
            <w:pPr>
              <w:pStyle w:val="TAH"/>
            </w:pPr>
            <w:r w:rsidRPr="00043DFE">
              <w:t>Scaling Factor (N1)</w:t>
            </w:r>
            <w:r w:rsidRPr="00043DFE">
              <w:rPr>
                <w:vertAlign w:val="superscript"/>
              </w:rPr>
              <w:t xml:space="preserve"> Note1</w:t>
            </w:r>
          </w:p>
        </w:tc>
        <w:tc>
          <w:tcPr>
            <w:tcW w:w="1275" w:type="pct"/>
            <w:hideMark/>
          </w:tcPr>
          <w:p w14:paraId="55AE6FB4" w14:textId="77777777" w:rsidR="00CB7FEE" w:rsidRPr="00043DFE" w:rsidRDefault="00CB7FEE" w:rsidP="008B107E">
            <w:pPr>
              <w:pStyle w:val="TAH"/>
              <w:rPr>
                <w:lang w:val="en-US"/>
              </w:rPr>
            </w:pPr>
            <w:r w:rsidRPr="00043DFE">
              <w:rPr>
                <w:bCs/>
                <w:szCs w:val="18"/>
              </w:rPr>
              <w:t>T</w:t>
            </w:r>
            <w:r w:rsidRPr="00043DFE">
              <w:rPr>
                <w:bCs/>
                <w:szCs w:val="18"/>
                <w:vertAlign w:val="subscript"/>
              </w:rPr>
              <w:t>detect,NR_Intra_Relax</w:t>
            </w:r>
            <w:r w:rsidRPr="00043DFE">
              <w:rPr>
                <w:szCs w:val="18"/>
              </w:rPr>
              <w:t xml:space="preserve"> [s] (number of DRX cycles</w:t>
            </w:r>
            <w:r w:rsidRPr="00043DFE">
              <w:rPr>
                <w:bCs/>
                <w:szCs w:val="18"/>
              </w:rPr>
              <w:t xml:space="preserve"> or eDRX cycles </w:t>
            </w:r>
            <w:r w:rsidRPr="00043DFE">
              <w:rPr>
                <w:bCs/>
                <w:szCs w:val="18"/>
                <w:vertAlign w:val="superscript"/>
              </w:rPr>
              <w:t>Note 3</w:t>
            </w:r>
            <w:r w:rsidRPr="00043DFE">
              <w:rPr>
                <w:szCs w:val="18"/>
              </w:rPr>
              <w:t>)</w:t>
            </w:r>
          </w:p>
        </w:tc>
        <w:tc>
          <w:tcPr>
            <w:tcW w:w="843" w:type="pct"/>
            <w:gridSpan w:val="2"/>
            <w:hideMark/>
          </w:tcPr>
          <w:p w14:paraId="20003F2F" w14:textId="77777777" w:rsidR="00CB7FEE" w:rsidRPr="00043DFE" w:rsidRDefault="00CB7FEE" w:rsidP="008B107E">
            <w:pPr>
              <w:pStyle w:val="TAH"/>
              <w:rPr>
                <w:lang w:val="en-US"/>
              </w:rPr>
            </w:pPr>
            <w:r w:rsidRPr="00043DFE">
              <w:rPr>
                <w:bCs/>
                <w:szCs w:val="18"/>
              </w:rPr>
              <w:t>T</w:t>
            </w:r>
            <w:r w:rsidRPr="00043DFE">
              <w:rPr>
                <w:bCs/>
                <w:szCs w:val="18"/>
                <w:vertAlign w:val="subscript"/>
              </w:rPr>
              <w:t>measure,NR_Intra_Relax</w:t>
            </w:r>
            <w:r w:rsidRPr="00043DFE">
              <w:rPr>
                <w:szCs w:val="18"/>
              </w:rPr>
              <w:t xml:space="preserve"> [s] (number of DRX cycles</w:t>
            </w:r>
            <w:r w:rsidRPr="00043DFE">
              <w:rPr>
                <w:bCs/>
                <w:szCs w:val="18"/>
              </w:rPr>
              <w:t xml:space="preserve"> or eDRX cycles </w:t>
            </w:r>
            <w:r w:rsidRPr="00043DFE">
              <w:rPr>
                <w:bCs/>
                <w:szCs w:val="18"/>
                <w:vertAlign w:val="superscript"/>
              </w:rPr>
              <w:t>Note 3</w:t>
            </w:r>
            <w:r w:rsidRPr="00043DFE">
              <w:rPr>
                <w:szCs w:val="18"/>
              </w:rPr>
              <w:t>)</w:t>
            </w:r>
          </w:p>
        </w:tc>
        <w:tc>
          <w:tcPr>
            <w:tcW w:w="858" w:type="pct"/>
            <w:hideMark/>
          </w:tcPr>
          <w:p w14:paraId="4484AC0A" w14:textId="77777777" w:rsidR="00CB7FEE" w:rsidRPr="00043DFE" w:rsidRDefault="00CB7FEE" w:rsidP="008B107E">
            <w:pPr>
              <w:pStyle w:val="TAH"/>
              <w:rPr>
                <w:lang w:val="en-US"/>
              </w:rPr>
            </w:pPr>
            <w:r w:rsidRPr="00043DFE">
              <w:rPr>
                <w:bCs/>
                <w:szCs w:val="18"/>
              </w:rPr>
              <w:t>T</w:t>
            </w:r>
            <w:r w:rsidRPr="00043DFE">
              <w:rPr>
                <w:bCs/>
                <w:szCs w:val="18"/>
                <w:vertAlign w:val="subscript"/>
              </w:rPr>
              <w:t>evaluate,NR_Intra_Relax</w:t>
            </w:r>
            <w:r w:rsidRPr="00043DFE">
              <w:rPr>
                <w:szCs w:val="18"/>
                <w:vertAlign w:val="subscript"/>
                <w:lang w:val="en-US"/>
              </w:rPr>
              <w:t xml:space="preserve"> </w:t>
            </w:r>
            <w:r w:rsidRPr="00043DFE">
              <w:rPr>
                <w:szCs w:val="18"/>
              </w:rPr>
              <w:t>[s] (number of DRX cycles</w:t>
            </w:r>
            <w:r w:rsidRPr="00043DFE">
              <w:rPr>
                <w:bCs/>
                <w:szCs w:val="18"/>
              </w:rPr>
              <w:t xml:space="preserve"> or eDRX cycles </w:t>
            </w:r>
            <w:r w:rsidRPr="00043DFE">
              <w:rPr>
                <w:bCs/>
                <w:szCs w:val="18"/>
                <w:vertAlign w:val="superscript"/>
              </w:rPr>
              <w:t>Note 3</w:t>
            </w:r>
            <w:r w:rsidRPr="00043DFE">
              <w:rPr>
                <w:szCs w:val="18"/>
              </w:rPr>
              <w:t>)</w:t>
            </w:r>
          </w:p>
        </w:tc>
      </w:tr>
      <w:tr w:rsidR="00CB7FEE" w:rsidRPr="00043DFE" w14:paraId="032F11AF" w14:textId="77777777" w:rsidTr="008B107E">
        <w:trPr>
          <w:trHeight w:val="673"/>
        </w:trPr>
        <w:tc>
          <w:tcPr>
            <w:tcW w:w="639" w:type="pct"/>
            <w:tcBorders>
              <w:bottom w:val="nil"/>
            </w:tcBorders>
            <w:hideMark/>
          </w:tcPr>
          <w:p w14:paraId="24F16647" w14:textId="77777777" w:rsidR="00CB7FEE" w:rsidRPr="00043DFE" w:rsidRDefault="00CB7FEE" w:rsidP="008B107E">
            <w:pPr>
              <w:pStyle w:val="TAC"/>
              <w:rPr>
                <w:lang w:val="en-US"/>
              </w:rPr>
            </w:pPr>
            <w:r w:rsidRPr="00043DFE">
              <w:t>20.48 ≤  eDRX_IDLE cycle length ≤[163.84]</w:t>
            </w:r>
          </w:p>
        </w:tc>
        <w:tc>
          <w:tcPr>
            <w:tcW w:w="401" w:type="pct"/>
            <w:hideMark/>
          </w:tcPr>
          <w:p w14:paraId="5BED67BD" w14:textId="77777777" w:rsidR="00CB7FEE" w:rsidRPr="00043DFE" w:rsidRDefault="00CB7FEE" w:rsidP="008B107E">
            <w:pPr>
              <w:pStyle w:val="TAC"/>
              <w:rPr>
                <w:lang w:val="en-US"/>
              </w:rPr>
            </w:pPr>
            <w:r w:rsidRPr="00043DFE">
              <w:t>0.32</w:t>
            </w:r>
          </w:p>
        </w:tc>
        <w:tc>
          <w:tcPr>
            <w:tcW w:w="517" w:type="pct"/>
            <w:hideMark/>
          </w:tcPr>
          <w:p w14:paraId="3DB1B579" w14:textId="77777777" w:rsidR="00CB7FEE" w:rsidRPr="00043DFE" w:rsidRDefault="00CB7FEE" w:rsidP="008B107E">
            <w:pPr>
              <w:pStyle w:val="TAC"/>
              <w:rPr>
                <w:lang w:val="en-US"/>
              </w:rPr>
            </w:pPr>
            <w:r w:rsidRPr="00043DFE">
              <w:t>≥15.36 (12)</w:t>
            </w:r>
          </w:p>
        </w:tc>
        <w:tc>
          <w:tcPr>
            <w:tcW w:w="467" w:type="pct"/>
          </w:tcPr>
          <w:p w14:paraId="658BA771" w14:textId="77777777" w:rsidR="00CB7FEE" w:rsidRPr="00043DFE" w:rsidRDefault="00CB7FEE" w:rsidP="008B107E">
            <w:pPr>
              <w:pStyle w:val="TAC"/>
              <w:rPr>
                <w:lang w:val="en-US"/>
              </w:rPr>
            </w:pPr>
            <w:r w:rsidRPr="00043DFE">
              <w:rPr>
                <w:lang w:val="en-US"/>
              </w:rPr>
              <w:t>8</w:t>
            </w:r>
          </w:p>
        </w:tc>
        <w:tc>
          <w:tcPr>
            <w:tcW w:w="1309" w:type="pct"/>
            <w:gridSpan w:val="2"/>
            <w:tcBorders>
              <w:bottom w:val="nil"/>
            </w:tcBorders>
            <w:hideMark/>
          </w:tcPr>
          <w:p w14:paraId="39A374A4" w14:textId="77777777" w:rsidR="00CB7FEE" w:rsidRPr="00043DFE" w:rsidRDefault="00CB7FEE" w:rsidP="008B107E">
            <w:pPr>
              <w:pStyle w:val="TAC"/>
              <w:rPr>
                <w:lang w:val="sv-SE"/>
              </w:rPr>
            </w:pPr>
            <w:r w:rsidRPr="00043DFE">
              <w:rPr>
                <w:lang w:val="sv-SE"/>
              </w:rPr>
              <w:t xml:space="preserve">K1 x </w:t>
            </w:r>
            <m:oMath>
              <m:r>
                <w:rPr>
                  <w:rFonts w:ascii="Cambria Math" w:hAnsi="Cambria Math"/>
                  <w:lang w:val="en-US"/>
                </w:rPr>
                <m:t>eDRX</m:t>
              </m:r>
              <m:r>
                <m:rPr>
                  <m:sty m:val="p"/>
                </m:rPr>
                <w:rPr>
                  <w:rFonts w:ascii="Cambria Math" w:hAnsi="Cambria Math"/>
                  <w:lang w:val="sv-SE"/>
                </w:rPr>
                <m:t>_</m:t>
              </m:r>
              <m:r>
                <w:rPr>
                  <w:rFonts w:ascii="Cambria Math" w:hAnsi="Cambria Math"/>
                  <w:lang w:val="en-US"/>
                </w:rPr>
                <m:t>cycl</m:t>
              </m:r>
              <m:r>
                <m:rPr>
                  <m:sty m:val="p"/>
                </m:rPr>
                <w:rPr>
                  <w:rFonts w:ascii="Cambria Math" w:hAnsi="Cambria Math"/>
                  <w:lang w:val="sv-SE"/>
                </w:rPr>
                <m:t>e_</m:t>
              </m:r>
              <m:r>
                <w:rPr>
                  <w:rFonts w:ascii="Cambria Math" w:hAnsi="Cambria Math"/>
                  <w:lang w:val="en-US"/>
                </w:rPr>
                <m:t>lengt</m:t>
              </m:r>
              <m:r>
                <w:rPr>
                  <w:rFonts w:ascii="Cambria Math" w:hAnsi="Cambria Math"/>
                  <w:lang w:val="sv-SE"/>
                </w:rPr>
                <m:t>h×</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sv-SE"/>
                        </w:rPr>
                        <m:t>23×</m:t>
                      </m:r>
                      <m:r>
                        <w:rPr>
                          <w:rFonts w:ascii="Cambria Math" w:hAnsi="Cambria Math"/>
                          <w:lang w:val="en-US"/>
                        </w:rPr>
                        <m:t>N</m:t>
                      </m:r>
                      <m:r>
                        <w:rPr>
                          <w:rFonts w:ascii="Cambria Math" w:hAnsi="Cambria Math"/>
                          <w:lang w:val="sv-SE"/>
                        </w:rPr>
                        <m:t>1</m:t>
                      </m:r>
                    </m:num>
                    <m:den>
                      <m:r>
                        <w:rPr>
                          <w:rFonts w:ascii="Cambria Math" w:hAnsi="Cambria Math"/>
                          <w:lang w:val="en-US"/>
                        </w:rPr>
                        <m:t>PTW</m:t>
                      </m:r>
                      <m:r>
                        <w:rPr>
                          <w:rFonts w:ascii="Cambria Math" w:hAnsi="Cambria Math"/>
                          <w:lang w:val="sv-SE"/>
                        </w:rPr>
                        <m:t>/</m:t>
                      </m:r>
                      <m:r>
                        <w:rPr>
                          <w:rFonts w:ascii="Cambria Math" w:hAnsi="Cambria Math"/>
                          <w:lang w:val="en-US"/>
                        </w:rPr>
                        <m:t>DRX</m:t>
                      </m:r>
                      <m:r>
                        <w:rPr>
                          <w:rFonts w:ascii="Cambria Math" w:hAnsi="Cambria Math"/>
                          <w:lang w:val="sv-SE"/>
                        </w:rPr>
                        <m:t>_</m:t>
                      </m:r>
                      <m:r>
                        <w:rPr>
                          <w:rFonts w:ascii="Cambria Math" w:hAnsi="Cambria Math"/>
                          <w:lang w:val="en-US"/>
                        </w:rPr>
                        <m:t>cycle</m:t>
                      </m:r>
                      <m:r>
                        <w:rPr>
                          <w:rFonts w:ascii="Cambria Math" w:hAnsi="Cambria Math"/>
                          <w:lang w:val="sv-SE"/>
                        </w:rPr>
                        <m:t>_</m:t>
                      </m:r>
                      <m:r>
                        <w:rPr>
                          <w:rFonts w:ascii="Cambria Math" w:hAnsi="Cambria Math"/>
                          <w:lang w:val="en-US"/>
                        </w:rPr>
                        <m:t>lengt</m:t>
                      </m:r>
                      <m:r>
                        <w:rPr>
                          <w:rFonts w:ascii="Cambria Math" w:hAnsi="Cambria Math"/>
                          <w:lang w:val="sv-SE"/>
                        </w:rPr>
                        <m:t>h</m:t>
                      </m:r>
                    </m:den>
                  </m:f>
                </m:e>
              </m:d>
            </m:oMath>
          </w:p>
          <w:p w14:paraId="4EBE8235" w14:textId="77777777" w:rsidR="00CB7FEE" w:rsidRPr="00043DFE" w:rsidRDefault="00CB7FEE" w:rsidP="008B107E">
            <w:pPr>
              <w:pStyle w:val="TAC"/>
              <w:rPr>
                <w:lang w:val="en-US"/>
              </w:rPr>
            </w:pPr>
            <w:r w:rsidRPr="00043DFE">
              <w:rPr>
                <w:lang w:val="en-US"/>
              </w:rPr>
              <w:t>(23</w:t>
            </w:r>
            <w:r w:rsidRPr="00043DFE">
              <w:t xml:space="preserve"> x N1</w:t>
            </w:r>
            <w:r w:rsidRPr="00043DFE">
              <w:rPr>
                <w:lang w:val="sv-SE"/>
              </w:rPr>
              <w:t xml:space="preserve"> x K1</w:t>
            </w:r>
            <w:r w:rsidRPr="00043DFE">
              <w:rPr>
                <w:lang w:val="en-US"/>
              </w:rPr>
              <w:t>)</w:t>
            </w:r>
          </w:p>
        </w:tc>
        <w:tc>
          <w:tcPr>
            <w:tcW w:w="809" w:type="pct"/>
            <w:hideMark/>
          </w:tcPr>
          <w:p w14:paraId="7D9601CB" w14:textId="77777777" w:rsidR="00CB7FEE" w:rsidRPr="00043DFE" w:rsidRDefault="00CB7FEE" w:rsidP="008B107E">
            <w:pPr>
              <w:pStyle w:val="TAC"/>
            </w:pPr>
            <w:r w:rsidRPr="00043DFE">
              <w:t>0.32 x N1 x K1 (1 x N1 x K1)</w:t>
            </w:r>
          </w:p>
        </w:tc>
        <w:tc>
          <w:tcPr>
            <w:tcW w:w="858" w:type="pct"/>
            <w:hideMark/>
          </w:tcPr>
          <w:p w14:paraId="7ECFC114" w14:textId="77777777" w:rsidR="00CB7FEE" w:rsidRPr="00043DFE" w:rsidRDefault="00CB7FEE" w:rsidP="008B107E">
            <w:pPr>
              <w:pStyle w:val="TAC"/>
            </w:pPr>
            <w:r w:rsidRPr="00043DFE">
              <w:t>0.64 x N1 x K1 (2 x N1 x K1)</w:t>
            </w:r>
          </w:p>
        </w:tc>
      </w:tr>
      <w:tr w:rsidR="00CB7FEE" w:rsidRPr="00043DFE" w14:paraId="05D99236" w14:textId="77777777" w:rsidTr="008B107E">
        <w:trPr>
          <w:trHeight w:val="336"/>
        </w:trPr>
        <w:tc>
          <w:tcPr>
            <w:tcW w:w="639" w:type="pct"/>
            <w:tcBorders>
              <w:top w:val="nil"/>
              <w:bottom w:val="nil"/>
            </w:tcBorders>
            <w:hideMark/>
          </w:tcPr>
          <w:p w14:paraId="3FC60BF7" w14:textId="77777777" w:rsidR="00CB7FEE" w:rsidRPr="00043DFE" w:rsidRDefault="00CB7FEE" w:rsidP="008B107E">
            <w:pPr>
              <w:pStyle w:val="TAC"/>
              <w:rPr>
                <w:lang w:val="en-US"/>
              </w:rPr>
            </w:pPr>
          </w:p>
        </w:tc>
        <w:tc>
          <w:tcPr>
            <w:tcW w:w="401" w:type="pct"/>
            <w:hideMark/>
          </w:tcPr>
          <w:p w14:paraId="2BC5CEB6" w14:textId="77777777" w:rsidR="00CB7FEE" w:rsidRPr="00043DFE" w:rsidRDefault="00CB7FEE" w:rsidP="008B107E">
            <w:pPr>
              <w:pStyle w:val="TAC"/>
              <w:rPr>
                <w:lang w:val="en-US"/>
              </w:rPr>
            </w:pPr>
            <w:r w:rsidRPr="00043DFE">
              <w:t>0.64</w:t>
            </w:r>
          </w:p>
        </w:tc>
        <w:tc>
          <w:tcPr>
            <w:tcW w:w="517" w:type="pct"/>
            <w:hideMark/>
          </w:tcPr>
          <w:p w14:paraId="5E97EDA3" w14:textId="77777777" w:rsidR="00CB7FEE" w:rsidRPr="00043DFE" w:rsidRDefault="00CB7FEE" w:rsidP="008B107E">
            <w:pPr>
              <w:pStyle w:val="TAC"/>
              <w:rPr>
                <w:lang w:val="en-US"/>
              </w:rPr>
            </w:pPr>
            <w:r w:rsidRPr="00043DFE">
              <w:t>≥19.2 (15)</w:t>
            </w:r>
          </w:p>
        </w:tc>
        <w:tc>
          <w:tcPr>
            <w:tcW w:w="467" w:type="pct"/>
          </w:tcPr>
          <w:p w14:paraId="05847809" w14:textId="77777777" w:rsidR="00CB7FEE" w:rsidRPr="00043DFE" w:rsidRDefault="00CB7FEE" w:rsidP="008B107E">
            <w:pPr>
              <w:pStyle w:val="TAC"/>
              <w:rPr>
                <w:lang w:val="en-US"/>
              </w:rPr>
            </w:pPr>
            <w:r w:rsidRPr="00043DFE">
              <w:rPr>
                <w:lang w:val="en-US"/>
              </w:rPr>
              <w:t>5</w:t>
            </w:r>
          </w:p>
        </w:tc>
        <w:tc>
          <w:tcPr>
            <w:tcW w:w="1309" w:type="pct"/>
            <w:gridSpan w:val="2"/>
            <w:tcBorders>
              <w:top w:val="nil"/>
              <w:bottom w:val="nil"/>
            </w:tcBorders>
            <w:hideMark/>
          </w:tcPr>
          <w:p w14:paraId="45FDA160" w14:textId="77777777" w:rsidR="00CB7FEE" w:rsidRPr="00043DFE" w:rsidRDefault="00CB7FEE" w:rsidP="008B107E">
            <w:pPr>
              <w:pStyle w:val="TAC"/>
              <w:rPr>
                <w:lang w:val="en-US"/>
              </w:rPr>
            </w:pPr>
          </w:p>
        </w:tc>
        <w:tc>
          <w:tcPr>
            <w:tcW w:w="809" w:type="pct"/>
            <w:hideMark/>
          </w:tcPr>
          <w:p w14:paraId="2E24AAE1" w14:textId="77777777" w:rsidR="00CB7FEE" w:rsidRPr="00043DFE" w:rsidRDefault="00CB7FEE" w:rsidP="008B107E">
            <w:pPr>
              <w:pStyle w:val="TAC"/>
            </w:pPr>
            <w:r w:rsidRPr="00043DFE">
              <w:t>0.64 x N1 x K1 (1 x N1 x K1)</w:t>
            </w:r>
          </w:p>
        </w:tc>
        <w:tc>
          <w:tcPr>
            <w:tcW w:w="858" w:type="pct"/>
            <w:hideMark/>
          </w:tcPr>
          <w:p w14:paraId="4FBC4CC2" w14:textId="77777777" w:rsidR="00CB7FEE" w:rsidRPr="00043DFE" w:rsidRDefault="00CB7FEE" w:rsidP="008B107E">
            <w:pPr>
              <w:pStyle w:val="TAC"/>
            </w:pPr>
            <w:r w:rsidRPr="00043DFE">
              <w:t>1.28 x N1 x K1 (2 x N1 x K1)</w:t>
            </w:r>
          </w:p>
        </w:tc>
      </w:tr>
      <w:tr w:rsidR="00CB7FEE" w:rsidRPr="00043DFE" w14:paraId="69ED54AD" w14:textId="77777777" w:rsidTr="008B107E">
        <w:trPr>
          <w:trHeight w:val="336"/>
        </w:trPr>
        <w:tc>
          <w:tcPr>
            <w:tcW w:w="639" w:type="pct"/>
            <w:tcBorders>
              <w:top w:val="nil"/>
              <w:bottom w:val="nil"/>
            </w:tcBorders>
            <w:hideMark/>
          </w:tcPr>
          <w:p w14:paraId="06CACC08" w14:textId="77777777" w:rsidR="00CB7FEE" w:rsidRPr="00043DFE" w:rsidRDefault="00CB7FEE" w:rsidP="008B107E">
            <w:pPr>
              <w:pStyle w:val="TAC"/>
              <w:rPr>
                <w:lang w:val="en-US"/>
              </w:rPr>
            </w:pPr>
          </w:p>
        </w:tc>
        <w:tc>
          <w:tcPr>
            <w:tcW w:w="401" w:type="pct"/>
            <w:hideMark/>
          </w:tcPr>
          <w:p w14:paraId="2D01FB0A" w14:textId="77777777" w:rsidR="00CB7FEE" w:rsidRPr="00043DFE" w:rsidRDefault="00CB7FEE" w:rsidP="008B107E">
            <w:pPr>
              <w:pStyle w:val="TAC"/>
              <w:rPr>
                <w:lang w:val="en-US"/>
              </w:rPr>
            </w:pPr>
            <w:r w:rsidRPr="00043DFE">
              <w:t>1.28</w:t>
            </w:r>
          </w:p>
        </w:tc>
        <w:tc>
          <w:tcPr>
            <w:tcW w:w="517" w:type="pct"/>
            <w:hideMark/>
          </w:tcPr>
          <w:p w14:paraId="400887F3" w14:textId="77777777" w:rsidR="00CB7FEE" w:rsidRPr="00043DFE" w:rsidRDefault="00CB7FEE" w:rsidP="008B107E">
            <w:pPr>
              <w:pStyle w:val="TAC"/>
              <w:rPr>
                <w:highlight w:val="yellow"/>
                <w:lang w:val="en-US"/>
              </w:rPr>
            </w:pPr>
            <w:r w:rsidRPr="00043DFE">
              <w:rPr>
                <w:rFonts w:hint="eastAsia"/>
              </w:rPr>
              <w:t>≥</w:t>
            </w:r>
            <w:r w:rsidRPr="00043DFE">
              <w:t>30.72 (24)</w:t>
            </w:r>
          </w:p>
        </w:tc>
        <w:tc>
          <w:tcPr>
            <w:tcW w:w="467" w:type="pct"/>
          </w:tcPr>
          <w:p w14:paraId="22543C89" w14:textId="77777777" w:rsidR="00CB7FEE" w:rsidRPr="00043DFE" w:rsidRDefault="00CB7FEE" w:rsidP="008B107E">
            <w:pPr>
              <w:pStyle w:val="TAC"/>
              <w:rPr>
                <w:lang w:val="en-US"/>
              </w:rPr>
            </w:pPr>
            <w:r w:rsidRPr="00043DFE">
              <w:rPr>
                <w:lang w:val="en-US"/>
              </w:rPr>
              <w:t>4</w:t>
            </w:r>
          </w:p>
        </w:tc>
        <w:tc>
          <w:tcPr>
            <w:tcW w:w="1309" w:type="pct"/>
            <w:gridSpan w:val="2"/>
            <w:tcBorders>
              <w:top w:val="nil"/>
              <w:bottom w:val="nil"/>
            </w:tcBorders>
            <w:hideMark/>
          </w:tcPr>
          <w:p w14:paraId="14A323A5" w14:textId="77777777" w:rsidR="00CB7FEE" w:rsidRPr="00043DFE" w:rsidRDefault="00CB7FEE" w:rsidP="008B107E">
            <w:pPr>
              <w:pStyle w:val="TAC"/>
              <w:rPr>
                <w:lang w:val="en-US"/>
              </w:rPr>
            </w:pPr>
          </w:p>
        </w:tc>
        <w:tc>
          <w:tcPr>
            <w:tcW w:w="809" w:type="pct"/>
            <w:hideMark/>
          </w:tcPr>
          <w:p w14:paraId="519B3C8B" w14:textId="77777777" w:rsidR="00CB7FEE" w:rsidRPr="00043DFE" w:rsidRDefault="00CB7FEE" w:rsidP="008B107E">
            <w:pPr>
              <w:pStyle w:val="TAC"/>
            </w:pPr>
            <w:r w:rsidRPr="00043DFE">
              <w:t>1.28 x N1 x K1 (1 x N1 x K1)</w:t>
            </w:r>
          </w:p>
        </w:tc>
        <w:tc>
          <w:tcPr>
            <w:tcW w:w="858" w:type="pct"/>
            <w:hideMark/>
          </w:tcPr>
          <w:p w14:paraId="4B6E84E6" w14:textId="77777777" w:rsidR="00CB7FEE" w:rsidRPr="00043DFE" w:rsidRDefault="00CB7FEE" w:rsidP="008B107E">
            <w:pPr>
              <w:pStyle w:val="TAC"/>
            </w:pPr>
            <w:r w:rsidRPr="00043DFE">
              <w:t>2.56 x N1 x K1 (2 x N1 x K1)</w:t>
            </w:r>
          </w:p>
        </w:tc>
      </w:tr>
      <w:tr w:rsidR="00CB7FEE" w:rsidRPr="00043DFE" w14:paraId="03F4BFB4" w14:textId="77777777" w:rsidTr="008B107E">
        <w:trPr>
          <w:trHeight w:val="336"/>
        </w:trPr>
        <w:tc>
          <w:tcPr>
            <w:tcW w:w="639" w:type="pct"/>
            <w:tcBorders>
              <w:top w:val="nil"/>
            </w:tcBorders>
          </w:tcPr>
          <w:p w14:paraId="50D66AFB" w14:textId="77777777" w:rsidR="00CB7FEE" w:rsidRPr="00043DFE" w:rsidRDefault="00CB7FEE" w:rsidP="008B107E">
            <w:pPr>
              <w:pStyle w:val="TAC"/>
              <w:rPr>
                <w:lang w:val="en-US"/>
              </w:rPr>
            </w:pPr>
          </w:p>
        </w:tc>
        <w:tc>
          <w:tcPr>
            <w:tcW w:w="401" w:type="pct"/>
          </w:tcPr>
          <w:p w14:paraId="4CD2FBDF" w14:textId="77777777" w:rsidR="00CB7FEE" w:rsidRPr="00043DFE" w:rsidRDefault="00CB7FEE" w:rsidP="008B107E">
            <w:pPr>
              <w:pStyle w:val="TAC"/>
            </w:pPr>
            <w:r w:rsidRPr="00043DFE">
              <w:t>2.56</w:t>
            </w:r>
          </w:p>
        </w:tc>
        <w:tc>
          <w:tcPr>
            <w:tcW w:w="517" w:type="pct"/>
          </w:tcPr>
          <w:p w14:paraId="551567F0" w14:textId="77777777" w:rsidR="00CB7FEE" w:rsidRPr="00043DFE" w:rsidRDefault="00CB7FEE" w:rsidP="008B107E">
            <w:pPr>
              <w:pStyle w:val="TAC"/>
            </w:pPr>
            <w:r w:rsidRPr="00043DFE">
              <w:rPr>
                <w:lang w:eastAsia="zh-CN"/>
              </w:rPr>
              <w:t>40.96 (32)</w:t>
            </w:r>
          </w:p>
        </w:tc>
        <w:tc>
          <w:tcPr>
            <w:tcW w:w="467" w:type="pct"/>
          </w:tcPr>
          <w:p w14:paraId="3141386E" w14:textId="77777777" w:rsidR="00CB7FEE" w:rsidRPr="00043DFE" w:rsidRDefault="00CB7FEE" w:rsidP="008B107E">
            <w:pPr>
              <w:pStyle w:val="TAC"/>
              <w:rPr>
                <w:lang w:val="en-US"/>
              </w:rPr>
            </w:pPr>
            <w:r w:rsidRPr="00043DFE">
              <w:rPr>
                <w:lang w:val="en-US"/>
              </w:rPr>
              <w:t>3</w:t>
            </w:r>
          </w:p>
        </w:tc>
        <w:tc>
          <w:tcPr>
            <w:tcW w:w="1309" w:type="pct"/>
            <w:gridSpan w:val="2"/>
            <w:tcBorders>
              <w:top w:val="nil"/>
            </w:tcBorders>
          </w:tcPr>
          <w:p w14:paraId="2E1EB06D" w14:textId="77777777" w:rsidR="00CB7FEE" w:rsidRPr="00043DFE" w:rsidRDefault="00CB7FEE" w:rsidP="008B107E">
            <w:pPr>
              <w:pStyle w:val="TAC"/>
              <w:rPr>
                <w:lang w:val="en-US"/>
              </w:rPr>
            </w:pPr>
          </w:p>
        </w:tc>
        <w:tc>
          <w:tcPr>
            <w:tcW w:w="809" w:type="pct"/>
          </w:tcPr>
          <w:p w14:paraId="6A62FE9E" w14:textId="77777777" w:rsidR="00CB7FEE" w:rsidRPr="00043DFE" w:rsidRDefault="00CB7FEE" w:rsidP="008B107E">
            <w:pPr>
              <w:pStyle w:val="TAC"/>
            </w:pPr>
            <w:r w:rsidRPr="00043DFE">
              <w:rPr>
                <w:lang w:eastAsia="zh-CN"/>
              </w:rPr>
              <w:t>20.48</w:t>
            </w:r>
          </w:p>
        </w:tc>
        <w:tc>
          <w:tcPr>
            <w:tcW w:w="858" w:type="pct"/>
          </w:tcPr>
          <w:p w14:paraId="72CED600" w14:textId="77777777" w:rsidR="00CB7FEE" w:rsidRPr="00043DFE" w:rsidRDefault="00CB7FEE" w:rsidP="008B107E">
            <w:pPr>
              <w:pStyle w:val="TAC"/>
            </w:pPr>
            <w:r w:rsidRPr="00043DFE">
              <w:rPr>
                <w:lang w:eastAsia="zh-CN"/>
              </w:rPr>
              <w:t>40.96</w:t>
            </w:r>
          </w:p>
        </w:tc>
      </w:tr>
      <w:tr w:rsidR="00CB7FEE" w:rsidRPr="00043DFE" w14:paraId="09DDA3C1" w14:textId="77777777" w:rsidTr="008B107E">
        <w:trPr>
          <w:trHeight w:val="336"/>
        </w:trPr>
        <w:tc>
          <w:tcPr>
            <w:tcW w:w="5000" w:type="pct"/>
            <w:gridSpan w:val="8"/>
          </w:tcPr>
          <w:p w14:paraId="5F6B200D" w14:textId="77777777" w:rsidR="00CB7FEE" w:rsidRPr="00043DFE" w:rsidRDefault="00CB7FEE" w:rsidP="008B107E">
            <w:pPr>
              <w:pStyle w:val="TAN"/>
              <w:rPr>
                <w:rFonts w:eastAsia="Malgun Gothic"/>
                <w:snapToGrid w:val="0"/>
              </w:rPr>
            </w:pPr>
            <w:r w:rsidRPr="00043DFE">
              <w:rPr>
                <w:rFonts w:eastAsia="Malgun Gothic"/>
                <w:snapToGrid w:val="0"/>
              </w:rPr>
              <w:t xml:space="preserve">Note 1: </w:t>
            </w:r>
            <w:r w:rsidRPr="00043DFE">
              <w:rPr>
                <w:rFonts w:eastAsia="Malgun Gothic"/>
                <w:snapToGrid w:val="0"/>
              </w:rPr>
              <w:tab/>
            </w:r>
            <w:r w:rsidRPr="00043DFE">
              <w:t xml:space="preserve">Applies for UE supporting FR2-1 power class </w:t>
            </w:r>
            <w:r w:rsidRPr="00043DFE">
              <w:rPr>
                <w:lang w:eastAsia="zh-CN"/>
              </w:rPr>
              <w:t>2&amp;3&amp;4</w:t>
            </w:r>
            <w:r w:rsidRPr="00043DFE">
              <w:t>. For UE supporting FR2-1 power class 1 or 5, N1 = 8 for all DRX cycle length</w:t>
            </w:r>
            <w:r w:rsidRPr="00043DFE">
              <w:rPr>
                <w:rFonts w:eastAsia="Malgun Gothic"/>
                <w:snapToGrid w:val="0"/>
              </w:rPr>
              <w:t>.</w:t>
            </w:r>
          </w:p>
          <w:p w14:paraId="2BB96D63" w14:textId="77777777" w:rsidR="00CB7FEE" w:rsidRPr="00043DFE" w:rsidRDefault="00CB7FEE" w:rsidP="008B107E">
            <w:pPr>
              <w:pStyle w:val="TAN"/>
              <w:rPr>
                <w:rFonts w:eastAsia="Malgun Gothic"/>
                <w:snapToGrid w:val="0"/>
              </w:rPr>
            </w:pPr>
            <w:r w:rsidRPr="00043DFE">
              <w:rPr>
                <w:rFonts w:eastAsia="Malgun Gothic"/>
                <w:snapToGrid w:val="0"/>
              </w:rPr>
              <w:t xml:space="preserve">Note 2: </w:t>
            </w:r>
            <w:r w:rsidRPr="00043DFE">
              <w:rPr>
                <w:rFonts w:eastAsia="Malgun Gothic"/>
                <w:snapToGrid w:val="0"/>
              </w:rPr>
              <w:tab/>
              <w:t>The number of DRX cycles in this table is given for the DRX cycles within PTWs.</w:t>
            </w:r>
          </w:p>
          <w:p w14:paraId="03A64091" w14:textId="77777777" w:rsidR="00CB7FEE" w:rsidRPr="00043DFE" w:rsidRDefault="00CB7FEE" w:rsidP="008B107E">
            <w:pPr>
              <w:pStyle w:val="TAN"/>
              <w:rPr>
                <w:rFonts w:eastAsia="Malgun Gothic"/>
                <w:snapToGrid w:val="0"/>
              </w:rPr>
            </w:pPr>
            <w:r w:rsidRPr="00043DFE">
              <w:rPr>
                <w:rFonts w:eastAsia="Malgun Gothic"/>
                <w:snapToGrid w:val="0"/>
              </w:rPr>
              <w:t xml:space="preserve">Note 3: </w:t>
            </w:r>
            <w:r w:rsidRPr="00043DFE">
              <w:rPr>
                <w:rFonts w:eastAsia="Malgun Gothic"/>
                <w:snapToGrid w:val="0"/>
              </w:rPr>
              <w:tab/>
              <w:t>The eDRX_IDLE cycle lengths are as specified in Section 10.5.5.32 of TS 24.008 [34].</w:t>
            </w:r>
          </w:p>
          <w:p w14:paraId="1C07A6BC" w14:textId="77777777" w:rsidR="00CB7FEE" w:rsidRPr="00043DFE" w:rsidRDefault="00CB7FEE" w:rsidP="008B107E">
            <w:pPr>
              <w:pStyle w:val="TAN"/>
              <w:rPr>
                <w:rFonts w:eastAsia="Malgun Gothic"/>
                <w:snapToGrid w:val="0"/>
              </w:rPr>
            </w:pPr>
            <w:r w:rsidRPr="00043DFE">
              <w:rPr>
                <w:rFonts w:eastAsia="Malgun Gothic"/>
                <w:snapToGrid w:val="0"/>
              </w:rPr>
              <w:t xml:space="preserve">Note 4: </w:t>
            </w:r>
            <w:r w:rsidRPr="00043DFE">
              <w:rPr>
                <w:rFonts w:eastAsia="Malgun Gothic"/>
                <w:snapToGrid w:val="0"/>
              </w:rPr>
              <w:tab/>
              <w:t xml:space="preserve">The lower bound of PTW length is derived based on </w:t>
            </w:r>
            <m:oMath>
              <m:d>
                <m:dPr>
                  <m:begChr m:val="⌈"/>
                  <m:endChr m:val="⌉"/>
                  <m:ctrlPr>
                    <w:rPr>
                      <w:rFonts w:ascii="Cambria Math" w:eastAsia="Malgun Gothic" w:hAnsi="Cambria Math"/>
                      <w:snapToGrid w:val="0"/>
                    </w:rPr>
                  </m:ctrlPr>
                </m:dPr>
                <m:e>
                  <m:f>
                    <m:fPr>
                      <m:ctrlPr>
                        <w:rPr>
                          <w:rFonts w:ascii="Cambria Math" w:eastAsia="Malgun Gothic" w:hAnsi="Cambria Math"/>
                          <w:snapToGrid w:val="0"/>
                        </w:rPr>
                      </m:ctrlPr>
                    </m:fPr>
                    <m:num>
                      <m:r>
                        <m:rPr>
                          <m:sty m:val="p"/>
                        </m:rPr>
                        <w:rPr>
                          <w:rFonts w:ascii="Cambria Math" w:eastAsia="Malgun Gothic" w:hAnsi="Cambria Math"/>
                          <w:snapToGrid w:val="0"/>
                        </w:rPr>
                        <m:t>Tevaluate,NR_Intra*DRX_cycle</m:t>
                      </m:r>
                    </m:num>
                    <m:den>
                      <m:r>
                        <m:rPr>
                          <m:sty m:val="p"/>
                        </m:rPr>
                        <w:rPr>
                          <w:rFonts w:ascii="Cambria Math" w:eastAsia="Malgun Gothic" w:hAnsi="Cambria Math"/>
                          <w:snapToGrid w:val="0"/>
                        </w:rPr>
                        <m:t>1.28</m:t>
                      </m:r>
                    </m:den>
                  </m:f>
                </m:e>
              </m:d>
              <m:r>
                <m:rPr>
                  <m:sty m:val="p"/>
                </m:rPr>
                <w:rPr>
                  <w:rFonts w:ascii="Cambria Math" w:eastAsia="Malgun Gothic" w:hAnsi="Cambria Math"/>
                  <w:snapToGrid w:val="0"/>
                </w:rPr>
                <m:t>*1.28</m:t>
              </m:r>
            </m:oMath>
            <w:r w:rsidRPr="00043DFE">
              <w:rPr>
                <w:rFonts w:eastAsia="Malgun Gothic"/>
                <w:snapToGrid w:val="0"/>
              </w:rPr>
              <w:t>.</w:t>
            </w:r>
          </w:p>
          <w:p w14:paraId="6C944CA4" w14:textId="77777777" w:rsidR="00CB7FEE" w:rsidRPr="00043DFE" w:rsidRDefault="00CB7FEE" w:rsidP="008B107E">
            <w:pPr>
              <w:pStyle w:val="TAN"/>
              <w:rPr>
                <w:rFonts w:eastAsia="Malgun Gothic"/>
                <w:snapToGrid w:val="0"/>
              </w:rPr>
            </w:pPr>
            <w:r w:rsidRPr="00043DFE">
              <w:rPr>
                <w:rFonts w:eastAsia="Malgun Gothic"/>
                <w:snapToGrid w:val="0"/>
              </w:rPr>
              <w:t>Note 5:</w:t>
            </w:r>
            <w:r w:rsidRPr="00043DFE">
              <w:rPr>
                <w:rFonts w:eastAsia="Malgun Gothic"/>
                <w:snapToGrid w:val="0"/>
              </w:rPr>
              <w:tab/>
              <w:t>The measurement shall not be performed across PTW’s. In this case the measurement is performed in the next available PTW.</w:t>
            </w:r>
          </w:p>
          <w:p w14:paraId="104D2153" w14:textId="77777777" w:rsidR="00CB7FEE" w:rsidRPr="00043DFE" w:rsidRDefault="00CB7FEE" w:rsidP="008B107E">
            <w:pPr>
              <w:pStyle w:val="TAN"/>
              <w:rPr>
                <w:rFonts w:eastAsia="Malgun Gothic"/>
                <w:snapToGrid w:val="0"/>
              </w:rPr>
            </w:pPr>
            <w:r w:rsidRPr="00043DFE">
              <w:rPr>
                <w:rFonts w:eastAsia="Malgun Gothic"/>
                <w:snapToGrid w:val="0"/>
              </w:rPr>
              <w:t>Note 6:</w:t>
            </w:r>
            <w:r w:rsidRPr="00043DFE">
              <w:rPr>
                <w:rFonts w:eastAsia="Malgun Gothic"/>
                <w:snapToGrid w:val="0"/>
              </w:rPr>
              <w:tab/>
              <w:t>The evaluation shall not be performed across PTW’s.</w:t>
            </w:r>
          </w:p>
          <w:p w14:paraId="7A04166F" w14:textId="77777777" w:rsidR="00CB7FEE" w:rsidRPr="00043DFE" w:rsidRDefault="00CB7FEE" w:rsidP="008B107E">
            <w:pPr>
              <w:pStyle w:val="TAN"/>
              <w:rPr>
                <w:rFonts w:eastAsia="Malgun Gothic" w:cstheme="minorBidi"/>
                <w:snapToGrid w:val="0"/>
              </w:rPr>
            </w:pPr>
            <w:r w:rsidRPr="00043DFE">
              <w:rPr>
                <w:rFonts w:eastAsia="Malgun Gothic"/>
                <w:snapToGrid w:val="0"/>
              </w:rPr>
              <w:t>Note 7:</w:t>
            </w:r>
            <w:r w:rsidRPr="00043DFE">
              <w:rPr>
                <w:rFonts w:eastAsia="Malgun Gothic"/>
                <w:snapToGrid w:val="0"/>
              </w:rPr>
              <w:tab/>
              <w:t xml:space="preserve">K1 = 3 is the measurement relaxation factor applicable for UE fulfilling the </w:t>
            </w:r>
            <w:r w:rsidRPr="00043DFE">
              <w:rPr>
                <w:i/>
                <w:iCs/>
              </w:rPr>
              <w:t>lowMobilityEvaluation criterion</w:t>
            </w:r>
            <w:r w:rsidRPr="00043DFE">
              <w:rPr>
                <w:rFonts w:eastAsia="Malgun Gothic"/>
                <w:snapToGrid w:val="0"/>
              </w:rPr>
              <w:t xml:space="preserve"> [2].</w:t>
            </w:r>
          </w:p>
        </w:tc>
      </w:tr>
    </w:tbl>
    <w:p w14:paraId="16DFC74E" w14:textId="77777777" w:rsidR="00CB7FEE" w:rsidRPr="00043DFE" w:rsidRDefault="00CB7FEE" w:rsidP="00CB7FEE">
      <w:pPr>
        <w:rPr>
          <w:lang w:eastAsia="zh-CN"/>
        </w:rPr>
      </w:pPr>
    </w:p>
    <w:p w14:paraId="61E93DA2" w14:textId="1015EC42" w:rsidR="0022726A" w:rsidRDefault="0022726A" w:rsidP="0022726A">
      <w:pPr>
        <w:pStyle w:val="Heading5"/>
        <w:rPr>
          <w:lang w:val="en-US" w:eastAsia="zh-CN"/>
        </w:rPr>
      </w:pPr>
      <w:r>
        <w:rPr>
          <w:lang w:val="en-US" w:eastAsia="zh-CN"/>
        </w:rPr>
        <w:t>4.2.2.9.3</w:t>
      </w:r>
      <w:r w:rsidR="00A21E2B">
        <w:rPr>
          <w:lang w:val="en-US" w:eastAsia="zh-CN"/>
        </w:rPr>
        <w:tab/>
      </w:r>
      <w:r>
        <w:rPr>
          <w:lang w:val="en-US" w:eastAsia="zh-CN"/>
        </w:rPr>
        <w:t>Measurements for UE fulfilling not-at-cell edge criterion</w:t>
      </w:r>
    </w:p>
    <w:p w14:paraId="4BEE56E1" w14:textId="77777777" w:rsidR="0022726A" w:rsidRDefault="0022726A" w:rsidP="0022726A">
      <w:pPr>
        <w:rPr>
          <w:rFonts w:eastAsiaTheme="minorEastAsia"/>
          <w:lang w:eastAsia="zh-CN"/>
        </w:rPr>
      </w:pPr>
      <w:r w:rsidRPr="00885F53">
        <w:rPr>
          <w:lang w:val="en-US" w:eastAsia="zh-CN"/>
        </w:rPr>
        <w:t xml:space="preserve">This clause contains requirements </w:t>
      </w:r>
      <w:r>
        <w:rPr>
          <w:rFonts w:eastAsiaTheme="minorEastAsia"/>
          <w:lang w:eastAsia="zh-CN"/>
        </w:rPr>
        <w:t>for measurements on intra-frequency NR cells provided that:</w:t>
      </w:r>
    </w:p>
    <w:p w14:paraId="1C771721" w14:textId="093BEA81" w:rsidR="006F2A46" w:rsidRPr="00FF3230" w:rsidRDefault="006F2A46" w:rsidP="006F2A46">
      <w:pPr>
        <w:pStyle w:val="B10"/>
        <w:rPr>
          <w:lang w:eastAsia="zh-CN"/>
        </w:rPr>
      </w:pPr>
      <w:r>
        <w:rPr>
          <w:noProof/>
        </w:rPr>
        <w:t>-</w:t>
      </w:r>
      <w:r>
        <w:rPr>
          <w:noProof/>
        </w:rPr>
        <w:tab/>
      </w:r>
      <w:r w:rsidRPr="00576F0B">
        <w:rPr>
          <w:lang w:eastAsia="zh-CN"/>
        </w:rPr>
        <w:t xml:space="preserve">UE is configured with </w:t>
      </w:r>
      <w:r w:rsidRPr="00485479">
        <w:rPr>
          <w:i/>
          <w:iCs/>
          <w:lang w:eastAsia="zh-CN"/>
        </w:rPr>
        <w:t>cellEdgeEvaluation</w:t>
      </w:r>
      <w:r>
        <w:rPr>
          <w:i/>
          <w:iCs/>
          <w:lang w:eastAsia="zh-CN"/>
        </w:rPr>
        <w:t xml:space="preserve"> </w:t>
      </w:r>
      <w:r>
        <w:rPr>
          <w:lang w:eastAsia="zh-CN"/>
        </w:rPr>
        <w:t>[2]</w:t>
      </w:r>
      <w:r w:rsidRPr="00FF3230">
        <w:rPr>
          <w:lang w:eastAsia="zh-CN"/>
        </w:rPr>
        <w:t xml:space="preserve"> criterion</w:t>
      </w:r>
      <w:r>
        <w:rPr>
          <w:lang w:eastAsia="zh-CN"/>
        </w:rPr>
        <w:t xml:space="preserve"> and UE has fulfilled</w:t>
      </w:r>
      <w:r w:rsidRPr="00FF3230">
        <w:rPr>
          <w:lang w:eastAsia="zh-CN"/>
        </w:rPr>
        <w:t xml:space="preserve">, or </w:t>
      </w:r>
    </w:p>
    <w:p w14:paraId="6DDD0677" w14:textId="7F8950A8" w:rsidR="00700837" w:rsidRPr="0039265E" w:rsidRDefault="00700837" w:rsidP="00700837">
      <w:pPr>
        <w:pStyle w:val="B10"/>
        <w:rPr>
          <w:lang w:eastAsia="zh-CN"/>
        </w:rPr>
      </w:pPr>
      <w:r>
        <w:rPr>
          <w:noProof/>
        </w:rPr>
        <w:t>-</w:t>
      </w:r>
      <w:r>
        <w:rPr>
          <w:noProof/>
        </w:rPr>
        <w:tab/>
      </w:r>
      <w:r w:rsidRPr="00FF3230">
        <w:rPr>
          <w:lang w:eastAsia="zh-CN"/>
        </w:rPr>
        <w:t xml:space="preserve">UE is configured with </w:t>
      </w:r>
      <w:r w:rsidRPr="005A5049">
        <w:rPr>
          <w:lang w:eastAsia="zh-CN"/>
        </w:rPr>
        <w:t xml:space="preserve">both </w:t>
      </w:r>
      <w:r w:rsidR="002E4D01" w:rsidRPr="001C6668">
        <w:rPr>
          <w:i/>
          <w:iCs/>
          <w:lang w:eastAsia="zh-CN"/>
        </w:rPr>
        <w:t>lowMobilityEvaluation</w:t>
      </w:r>
      <w:r w:rsidR="002E4D01" w:rsidDel="001B7A6A">
        <w:rPr>
          <w:i/>
          <w:iCs/>
          <w:lang w:eastAsia="zh-CN"/>
        </w:rPr>
        <w:t xml:space="preserve"> </w:t>
      </w:r>
      <w:r>
        <w:rPr>
          <w:lang w:eastAsia="zh-CN"/>
        </w:rPr>
        <w:t>[2]</w:t>
      </w:r>
      <w:r w:rsidRPr="005A5049">
        <w:rPr>
          <w:lang w:eastAsia="zh-CN"/>
        </w:rPr>
        <w:t xml:space="preserve"> criterion and </w:t>
      </w:r>
      <w:r w:rsidRPr="00485479">
        <w:rPr>
          <w:i/>
          <w:iCs/>
          <w:lang w:eastAsia="zh-CN"/>
        </w:rPr>
        <w:t>cellEdgeEvaluation</w:t>
      </w:r>
      <w:r>
        <w:rPr>
          <w:i/>
          <w:iCs/>
          <w:lang w:eastAsia="zh-CN"/>
        </w:rPr>
        <w:t xml:space="preserve"> </w:t>
      </w:r>
      <w:r>
        <w:rPr>
          <w:lang w:eastAsia="zh-CN"/>
        </w:rPr>
        <w:t>[2]</w:t>
      </w:r>
      <w:r w:rsidRPr="0039265E">
        <w:rPr>
          <w:lang w:eastAsia="zh-CN"/>
        </w:rPr>
        <w:t xml:space="preserve"> criteri</w:t>
      </w:r>
      <w:r>
        <w:rPr>
          <w:lang w:eastAsia="zh-CN"/>
        </w:rPr>
        <w:t>a</w:t>
      </w:r>
      <w:r w:rsidRPr="00D36387">
        <w:rPr>
          <w:lang w:eastAsia="zh-CN"/>
        </w:rPr>
        <w:t xml:space="preserve"> </w:t>
      </w:r>
      <w:r>
        <w:rPr>
          <w:lang w:eastAsia="zh-CN"/>
        </w:rPr>
        <w:t xml:space="preserve">and </w:t>
      </w:r>
      <w:r w:rsidRPr="0061045D">
        <w:rPr>
          <w:i/>
          <w:lang w:eastAsia="zh-CN"/>
        </w:rPr>
        <w:t>combineRelaxedMeasCondition</w:t>
      </w:r>
      <w:r>
        <w:rPr>
          <w:rFonts w:hint="eastAsia"/>
          <w:lang w:eastAsia="zh-CN"/>
        </w:rPr>
        <w:t xml:space="preserve"> </w:t>
      </w:r>
      <w:r>
        <w:rPr>
          <w:lang w:eastAsia="zh-CN"/>
        </w:rPr>
        <w:t>[2] not configured,</w:t>
      </w:r>
      <w:r w:rsidRPr="0039265E">
        <w:rPr>
          <w:lang w:eastAsia="zh-CN"/>
        </w:rPr>
        <w:t xml:space="preserve"> </w:t>
      </w:r>
      <w:r>
        <w:rPr>
          <w:lang w:eastAsia="zh-CN"/>
        </w:rPr>
        <w:t>and UE</w:t>
      </w:r>
      <w:r w:rsidRPr="0039265E">
        <w:rPr>
          <w:lang w:eastAsia="zh-CN"/>
        </w:rPr>
        <w:t xml:space="preserve"> has fulfilled only the </w:t>
      </w:r>
      <w:r w:rsidRPr="00485479">
        <w:rPr>
          <w:i/>
          <w:iCs/>
          <w:lang w:eastAsia="zh-CN"/>
        </w:rPr>
        <w:t>cellEdgeEvaluation</w:t>
      </w:r>
      <w:r>
        <w:rPr>
          <w:i/>
          <w:iCs/>
          <w:lang w:eastAsia="zh-CN"/>
        </w:rPr>
        <w:t xml:space="preserve"> </w:t>
      </w:r>
      <w:r>
        <w:rPr>
          <w:lang w:eastAsia="zh-CN"/>
        </w:rPr>
        <w:t>[2]</w:t>
      </w:r>
      <w:r w:rsidRPr="0039265E">
        <w:rPr>
          <w:lang w:eastAsia="zh-CN"/>
        </w:rPr>
        <w:t xml:space="preserve"> criterion.</w:t>
      </w:r>
    </w:p>
    <w:p w14:paraId="74B02966" w14:textId="17F80757" w:rsidR="0022726A" w:rsidRDefault="0022726A" w:rsidP="0022726A">
      <w:pPr>
        <w:rPr>
          <w:noProof/>
        </w:rPr>
      </w:pPr>
      <w:r w:rsidRPr="0089796C">
        <w:rPr>
          <w:noProof/>
        </w:rPr>
        <w:t xml:space="preserve">The requirements defined in clause </w:t>
      </w:r>
      <w:r>
        <w:t>4.2.2.3</w:t>
      </w:r>
      <w:r w:rsidRPr="0089796C">
        <w:t xml:space="preserve"> </w:t>
      </w:r>
      <w:r w:rsidRPr="0089796C">
        <w:rPr>
          <w:noProof/>
        </w:rPr>
        <w:t xml:space="preserve">apply for this </w:t>
      </w:r>
      <w:r w:rsidR="0063092D">
        <w:rPr>
          <w:noProof/>
        </w:rPr>
        <w:t>clause</w:t>
      </w:r>
      <w:r w:rsidRPr="0089796C">
        <w:rPr>
          <w:noProof/>
        </w:rPr>
        <w:t xml:space="preserve"> </w:t>
      </w:r>
      <w:r>
        <w:rPr>
          <w:noProof/>
        </w:rPr>
        <w:t>except that</w:t>
      </w:r>
      <w:r w:rsidRPr="0089796C">
        <w:rPr>
          <w:noProof/>
        </w:rPr>
        <w:t>:</w:t>
      </w:r>
    </w:p>
    <w:p w14:paraId="253125B8" w14:textId="25EB0D92" w:rsidR="0022726A" w:rsidRDefault="0022726A" w:rsidP="0022726A">
      <w:pPr>
        <w:pStyle w:val="B10"/>
      </w:pPr>
      <w:r w:rsidRPr="0089796C">
        <w:t>-</w:t>
      </w:r>
      <w:r w:rsidRPr="0089796C">
        <w:tab/>
      </w:r>
      <w:r w:rsidRPr="00885F53">
        <w:t>T</w:t>
      </w:r>
      <w:r w:rsidRPr="00885F53">
        <w:rPr>
          <w:vertAlign w:val="subscript"/>
        </w:rPr>
        <w:t>detect,</w:t>
      </w:r>
      <w:r w:rsidRPr="00885F53">
        <w:rPr>
          <w:vertAlign w:val="subscript"/>
          <w:lang w:eastAsia="zh-CN"/>
        </w:rPr>
        <w:t>NR</w:t>
      </w:r>
      <w:r w:rsidRPr="00885F53">
        <w:rPr>
          <w:vertAlign w:val="subscript"/>
        </w:rPr>
        <w:t>_Intra</w:t>
      </w:r>
      <w:r w:rsidRPr="00885F53">
        <w:rPr>
          <w:i/>
          <w:vertAlign w:val="subscript"/>
        </w:rPr>
        <w:t xml:space="preserve"> </w:t>
      </w:r>
      <w:r>
        <w:t xml:space="preserve">as specified in </w:t>
      </w:r>
      <w:r w:rsidRPr="00AD77EE">
        <w:t xml:space="preserve">Table </w:t>
      </w:r>
      <w:r>
        <w:t>4.2.2.9.3</w:t>
      </w:r>
      <w:r w:rsidRPr="00AD77EE">
        <w:t>-1.</w:t>
      </w:r>
    </w:p>
    <w:p w14:paraId="6980BA77" w14:textId="457471EE" w:rsidR="0022726A" w:rsidRDefault="0022726A" w:rsidP="0022726A">
      <w:pPr>
        <w:pStyle w:val="B10"/>
      </w:pPr>
      <w:r w:rsidRPr="0089796C">
        <w:t>-</w:t>
      </w:r>
      <w:r w:rsidRPr="0089796C">
        <w:tab/>
      </w:r>
      <w:r w:rsidRPr="00885F53">
        <w:rPr>
          <w:rFonts w:cs="v4.2.0"/>
        </w:rPr>
        <w:t>T</w:t>
      </w:r>
      <w:r w:rsidRPr="00885F53">
        <w:rPr>
          <w:rFonts w:cs="v4.2.0"/>
          <w:vertAlign w:val="subscript"/>
        </w:rPr>
        <w:t>measure,NR_Intra</w:t>
      </w:r>
      <w:r w:rsidRPr="00885F53">
        <w:rPr>
          <w:rFonts w:cs="v4.2.0"/>
        </w:rPr>
        <w:t xml:space="preserve"> </w:t>
      </w:r>
      <w:r>
        <w:t xml:space="preserve">as specified in </w:t>
      </w:r>
      <w:r w:rsidRPr="00AD77EE">
        <w:t xml:space="preserve">Table </w:t>
      </w:r>
      <w:r>
        <w:t>4.2.2.9.3</w:t>
      </w:r>
      <w:r w:rsidRPr="00AD77EE">
        <w:t>-1.</w:t>
      </w:r>
    </w:p>
    <w:p w14:paraId="0A7E5108" w14:textId="49F1731B" w:rsidR="0022726A" w:rsidRDefault="0022726A" w:rsidP="0022726A">
      <w:pPr>
        <w:pStyle w:val="B10"/>
      </w:pPr>
      <w:r w:rsidRPr="0089796C">
        <w:t>-</w:t>
      </w:r>
      <w:r w:rsidRPr="0089796C">
        <w:tab/>
      </w:r>
      <w:r w:rsidRPr="00885F53">
        <w:rPr>
          <w:rFonts w:cs="v4.2.0"/>
        </w:rPr>
        <w:t>T</w:t>
      </w:r>
      <w:r w:rsidRPr="00885F53">
        <w:rPr>
          <w:rFonts w:cs="v4.2.0"/>
          <w:vertAlign w:val="subscript"/>
        </w:rPr>
        <w:t>evaluate,</w:t>
      </w:r>
      <w:r w:rsidRPr="00885F53">
        <w:rPr>
          <w:rFonts w:cs="v4.2.0"/>
          <w:vertAlign w:val="subscript"/>
          <w:lang w:eastAsia="zh-CN"/>
        </w:rPr>
        <w:t>NR</w:t>
      </w:r>
      <w:r w:rsidRPr="00885F53">
        <w:rPr>
          <w:rFonts w:cs="v4.2.0"/>
          <w:vertAlign w:val="subscript"/>
        </w:rPr>
        <w:t>_Intra</w:t>
      </w:r>
      <w:r>
        <w:rPr>
          <w:rFonts w:cs="v4.2.0"/>
          <w:vertAlign w:val="subscript"/>
        </w:rPr>
        <w:t xml:space="preserve"> </w:t>
      </w:r>
      <w:r>
        <w:t xml:space="preserve">as specified in </w:t>
      </w:r>
      <w:r w:rsidRPr="00AD77EE">
        <w:t xml:space="preserve">Table </w:t>
      </w:r>
      <w:r>
        <w:t>4.2.2.9.3</w:t>
      </w:r>
      <w:r w:rsidRPr="00AD77EE">
        <w:t>-1.</w:t>
      </w:r>
    </w:p>
    <w:p w14:paraId="12F18940" w14:textId="77777777" w:rsidR="009C753C" w:rsidRPr="00043DFE" w:rsidRDefault="009C753C" w:rsidP="009C753C">
      <w:pPr>
        <w:rPr>
          <w:noProof/>
        </w:rPr>
      </w:pPr>
      <w:r w:rsidRPr="00043DFE">
        <w:rPr>
          <w:noProof/>
        </w:rPr>
        <w:t xml:space="preserve">If the UE is configured with eDRX_IDLE cycle then the requirements in Table 4.2.2.9.3-2 and Table 4.2.2.9.3-3 are applicable for eDRX cycle up to 10.24 s in FR1 and FR2, respectively. </w:t>
      </w:r>
    </w:p>
    <w:p w14:paraId="572B2228" w14:textId="77777777" w:rsidR="009C753C" w:rsidRPr="00043DFE" w:rsidRDefault="009C753C" w:rsidP="009C753C">
      <w:pPr>
        <w:spacing w:after="0"/>
      </w:pPr>
      <w:r w:rsidRPr="00043DFE">
        <w:t xml:space="preserve">If the UE is configured with eDRX_IDLE cycle greater than 10.24 s in FR1 and FR2, then the requirements in Table </w:t>
      </w:r>
      <w:r w:rsidRPr="00043DFE">
        <w:rPr>
          <w:lang w:val="en-US"/>
        </w:rPr>
        <w:t>Table 4.2.2.9.3-4</w:t>
      </w:r>
      <w:r w:rsidRPr="00043DFE">
        <w:t xml:space="preserve"> and </w:t>
      </w:r>
      <w:r w:rsidRPr="00043DFE">
        <w:rPr>
          <w:lang w:val="en-US"/>
        </w:rPr>
        <w:t xml:space="preserve">Table 4.2.2.9.3-5 respectively </w:t>
      </w:r>
      <w:r w:rsidRPr="00043DFE">
        <w:t xml:space="preserve">apply provided eDRX cycle is </w:t>
      </w:r>
      <w:r w:rsidRPr="00043DFE">
        <w:rPr>
          <w:rFonts w:hint="eastAsia"/>
        </w:rPr>
        <w:t>≤</w:t>
      </w:r>
      <w:r w:rsidRPr="00043DFE">
        <w:t xml:space="preserve"> [163.84] sec and evaluation/measurement time with relaxation on one carrier is not greater than single PTW window length.</w:t>
      </w:r>
    </w:p>
    <w:p w14:paraId="4ED9C1ED" w14:textId="77777777" w:rsidR="009C753C" w:rsidRPr="00486683" w:rsidRDefault="009C753C" w:rsidP="009C753C"/>
    <w:p w14:paraId="6B0F33D7" w14:textId="77777777" w:rsidR="00A20BE0" w:rsidRPr="00885F53" w:rsidRDefault="00A20BE0" w:rsidP="00A20BE0">
      <w:pPr>
        <w:pStyle w:val="TH"/>
      </w:pPr>
      <w:r w:rsidRPr="00885F53">
        <w:t xml:space="preserve">Table </w:t>
      </w:r>
      <w:r>
        <w:t>4.2.2.9.3</w:t>
      </w:r>
      <w:r w:rsidRPr="00885F53">
        <w:t>-1: T</w:t>
      </w:r>
      <w:r w:rsidRPr="00885F53">
        <w:rPr>
          <w:vertAlign w:val="subscript"/>
        </w:rPr>
        <w:t>detect,NR_Intra,</w:t>
      </w:r>
      <w:r w:rsidRPr="00885F53">
        <w:t xml:space="preserve"> T</w:t>
      </w:r>
      <w:r w:rsidRPr="00885F53">
        <w:rPr>
          <w:vertAlign w:val="subscript"/>
        </w:rPr>
        <w:t>measure,NR_Intra</w:t>
      </w:r>
      <w:r w:rsidRPr="00885F53">
        <w:t xml:space="preserve"> and T</w:t>
      </w:r>
      <w:r w:rsidRPr="00885F53">
        <w:rPr>
          <w:vertAlign w:val="subscript"/>
        </w:rPr>
        <w:t>evaluate,NR_Intra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630"/>
        <w:gridCol w:w="838"/>
        <w:gridCol w:w="817"/>
        <w:gridCol w:w="1980"/>
        <w:gridCol w:w="2135"/>
        <w:gridCol w:w="2065"/>
      </w:tblGrid>
      <w:tr w:rsidR="00A20BE0" w:rsidRPr="00885F53" w14:paraId="75DDF894" w14:textId="77777777" w:rsidTr="00583014">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4144A921" w14:textId="77777777" w:rsidR="00A20BE0" w:rsidRPr="00885F53" w:rsidRDefault="00A20BE0" w:rsidP="00583014">
            <w:pPr>
              <w:pStyle w:val="TAH"/>
            </w:pPr>
            <w:r w:rsidRPr="00885F53">
              <w:t>DRX cycle length [s]</w:t>
            </w:r>
          </w:p>
        </w:tc>
        <w:tc>
          <w:tcPr>
            <w:tcW w:w="0" w:type="auto"/>
            <w:gridSpan w:val="3"/>
            <w:tcBorders>
              <w:top w:val="single" w:sz="4" w:space="0" w:color="auto"/>
              <w:left w:val="single" w:sz="4" w:space="0" w:color="auto"/>
              <w:bottom w:val="single" w:sz="4" w:space="0" w:color="auto"/>
              <w:right w:val="single" w:sz="4" w:space="0" w:color="auto"/>
            </w:tcBorders>
            <w:hideMark/>
          </w:tcPr>
          <w:p w14:paraId="021931BB" w14:textId="77777777" w:rsidR="00A20BE0" w:rsidRPr="00885F53" w:rsidRDefault="00A20BE0" w:rsidP="00583014">
            <w:pPr>
              <w:pStyle w:val="TAH"/>
            </w:pPr>
            <w:r w:rsidRPr="00885F53">
              <w:t>Scaling Factor (N1)</w:t>
            </w:r>
          </w:p>
        </w:tc>
        <w:tc>
          <w:tcPr>
            <w:tcW w:w="0" w:type="auto"/>
            <w:vMerge w:val="restart"/>
            <w:tcBorders>
              <w:top w:val="single" w:sz="4" w:space="0" w:color="auto"/>
              <w:left w:val="single" w:sz="4" w:space="0" w:color="auto"/>
              <w:bottom w:val="single" w:sz="4" w:space="0" w:color="auto"/>
              <w:right w:val="single" w:sz="4" w:space="0" w:color="auto"/>
            </w:tcBorders>
            <w:hideMark/>
          </w:tcPr>
          <w:p w14:paraId="1B958523" w14:textId="77777777" w:rsidR="00A20BE0" w:rsidRPr="00885F53" w:rsidRDefault="00A20BE0" w:rsidP="00583014">
            <w:pPr>
              <w:pStyle w:val="TAH"/>
            </w:pPr>
            <w:r w:rsidRPr="00885F53">
              <w:t>T</w:t>
            </w:r>
            <w:r w:rsidRPr="00885F53">
              <w:rPr>
                <w:vertAlign w:val="subscript"/>
              </w:rPr>
              <w:t>detect,NR_Intra</w:t>
            </w:r>
            <w:r w:rsidRPr="00885F53">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52215E04" w14:textId="77777777" w:rsidR="00A20BE0" w:rsidRPr="00885F53" w:rsidRDefault="00A20BE0" w:rsidP="00583014">
            <w:pPr>
              <w:pStyle w:val="TAH"/>
            </w:pPr>
            <w:r w:rsidRPr="00885F53">
              <w:t>T</w:t>
            </w:r>
            <w:r w:rsidRPr="00885F53">
              <w:rPr>
                <w:vertAlign w:val="subscript"/>
              </w:rPr>
              <w:t>measure,NR_Intra</w:t>
            </w:r>
            <w:r w:rsidRPr="00885F53">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6520A92D" w14:textId="77777777" w:rsidR="00A20BE0" w:rsidRPr="00885F53" w:rsidRDefault="00A20BE0" w:rsidP="00583014">
            <w:pPr>
              <w:pStyle w:val="TAH"/>
              <w:rPr>
                <w:vertAlign w:val="subscript"/>
              </w:rPr>
            </w:pPr>
            <w:r w:rsidRPr="00885F53">
              <w:t>T</w:t>
            </w:r>
            <w:r w:rsidRPr="00885F53">
              <w:rPr>
                <w:vertAlign w:val="subscript"/>
              </w:rPr>
              <w:t>evaluate,NR_</w:t>
            </w:r>
            <w:r w:rsidRPr="00885F53">
              <w:rPr>
                <w:rFonts w:cs="v4.2.0"/>
                <w:vertAlign w:val="subscript"/>
              </w:rPr>
              <w:t>Intra</w:t>
            </w:r>
          </w:p>
          <w:p w14:paraId="31070881" w14:textId="77777777" w:rsidR="00A20BE0" w:rsidRPr="00885F53" w:rsidRDefault="00A20BE0" w:rsidP="00583014">
            <w:pPr>
              <w:pStyle w:val="TAH"/>
            </w:pPr>
            <w:r w:rsidRPr="00885F53">
              <w:t>[s] (number of DRX cycles)</w:t>
            </w:r>
          </w:p>
        </w:tc>
      </w:tr>
      <w:tr w:rsidR="00A20BE0" w:rsidRPr="00885F53" w14:paraId="609210E6" w14:textId="77777777" w:rsidTr="00583014">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F963D0D" w14:textId="77777777" w:rsidR="00A20BE0" w:rsidRPr="00885F53" w:rsidRDefault="00A20BE0" w:rsidP="00583014">
            <w:pPr>
              <w:pStyle w:val="TAH"/>
            </w:pPr>
          </w:p>
        </w:tc>
        <w:tc>
          <w:tcPr>
            <w:tcW w:w="0" w:type="auto"/>
            <w:tcBorders>
              <w:top w:val="single" w:sz="4" w:space="0" w:color="auto"/>
              <w:left w:val="single" w:sz="4" w:space="0" w:color="auto"/>
              <w:bottom w:val="single" w:sz="4" w:space="0" w:color="auto"/>
              <w:right w:val="single" w:sz="4" w:space="0" w:color="auto"/>
            </w:tcBorders>
            <w:hideMark/>
          </w:tcPr>
          <w:p w14:paraId="21B0FC28" w14:textId="77777777" w:rsidR="00A20BE0" w:rsidRPr="00885F53" w:rsidRDefault="00A20BE0" w:rsidP="00583014">
            <w:pPr>
              <w:pStyle w:val="TAH"/>
            </w:pPr>
            <w:r w:rsidRPr="00885F53">
              <w:t>FR1</w:t>
            </w:r>
          </w:p>
        </w:tc>
        <w:tc>
          <w:tcPr>
            <w:tcW w:w="0" w:type="auto"/>
            <w:tcBorders>
              <w:top w:val="single" w:sz="4" w:space="0" w:color="auto"/>
              <w:left w:val="single" w:sz="4" w:space="0" w:color="auto"/>
              <w:bottom w:val="single" w:sz="4" w:space="0" w:color="auto"/>
              <w:right w:val="single" w:sz="4" w:space="0" w:color="auto"/>
            </w:tcBorders>
            <w:hideMark/>
          </w:tcPr>
          <w:p w14:paraId="1DC65B9B" w14:textId="77777777" w:rsidR="00A20BE0" w:rsidRPr="00885F53" w:rsidRDefault="00A20BE0" w:rsidP="00583014">
            <w:pPr>
              <w:pStyle w:val="TAH"/>
              <w:rPr>
                <w:vertAlign w:val="superscript"/>
              </w:rPr>
            </w:pPr>
            <w:r w:rsidRPr="00885F53">
              <w:t>FR2</w:t>
            </w:r>
            <w:r>
              <w:rPr>
                <w:rFonts w:hint="eastAsia"/>
                <w:lang w:eastAsia="zh-CN"/>
              </w:rPr>
              <w:t>-</w:t>
            </w:r>
            <w:r>
              <w:t>1</w:t>
            </w:r>
            <w:r w:rsidRPr="00885F53">
              <w:rPr>
                <w:vertAlign w:val="superscript"/>
              </w:rPr>
              <w:t>Note1</w:t>
            </w:r>
          </w:p>
        </w:tc>
        <w:tc>
          <w:tcPr>
            <w:tcW w:w="0" w:type="auto"/>
            <w:tcBorders>
              <w:top w:val="single" w:sz="4" w:space="0" w:color="auto"/>
              <w:left w:val="single" w:sz="4" w:space="0" w:color="auto"/>
              <w:bottom w:val="single" w:sz="4" w:space="0" w:color="auto"/>
              <w:right w:val="single" w:sz="4" w:space="0" w:color="auto"/>
            </w:tcBorders>
          </w:tcPr>
          <w:p w14:paraId="5DB51150" w14:textId="77777777" w:rsidR="00A20BE0" w:rsidRPr="00885F53" w:rsidRDefault="00A20BE0" w:rsidP="00583014">
            <w:pPr>
              <w:pStyle w:val="TAH"/>
            </w:pPr>
            <w:r>
              <w:rPr>
                <w:rFonts w:hint="eastAsia"/>
              </w:rPr>
              <w:t>F</w:t>
            </w:r>
            <w:r>
              <w:t>R2-2</w:t>
            </w:r>
            <w:r w:rsidRPr="009C5807">
              <w:rPr>
                <w:vertAlign w:val="superscript"/>
              </w:rPr>
              <w:t xml:space="preserve"> Note</w:t>
            </w:r>
            <w:r>
              <w:rPr>
                <w:vertAlign w:val="superscript"/>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661943" w14:textId="77777777" w:rsidR="00A20BE0" w:rsidRPr="00885F53" w:rsidRDefault="00A20BE0" w:rsidP="00583014">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E3C1BC" w14:textId="77777777" w:rsidR="00A20BE0" w:rsidRPr="00885F53" w:rsidRDefault="00A20BE0" w:rsidP="00583014">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8C0B15" w14:textId="77777777" w:rsidR="00A20BE0" w:rsidRPr="00885F53" w:rsidRDefault="00A20BE0" w:rsidP="00583014">
            <w:pPr>
              <w:pStyle w:val="TAH"/>
            </w:pPr>
          </w:p>
        </w:tc>
      </w:tr>
      <w:tr w:rsidR="00A20BE0" w:rsidRPr="00EA7096" w14:paraId="4190C008"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E9F3373" w14:textId="77777777" w:rsidR="00A20BE0" w:rsidRPr="00885F53" w:rsidRDefault="00A20BE0" w:rsidP="00583014">
            <w:pPr>
              <w:pStyle w:val="TAC"/>
            </w:pPr>
            <w:r w:rsidRPr="00885F53">
              <w:t>0.32</w:t>
            </w:r>
          </w:p>
        </w:tc>
        <w:tc>
          <w:tcPr>
            <w:tcW w:w="0" w:type="auto"/>
            <w:tcBorders>
              <w:top w:val="single" w:sz="4" w:space="0" w:color="auto"/>
              <w:left w:val="single" w:sz="4" w:space="0" w:color="auto"/>
              <w:bottom w:val="nil"/>
              <w:right w:val="single" w:sz="4" w:space="0" w:color="auto"/>
            </w:tcBorders>
            <w:hideMark/>
          </w:tcPr>
          <w:p w14:paraId="1C85B233" w14:textId="77777777" w:rsidR="00A20BE0" w:rsidRPr="00885F53" w:rsidRDefault="00A20BE0" w:rsidP="00583014">
            <w:pPr>
              <w:pStyle w:val="TAC"/>
            </w:pPr>
            <w:r w:rsidRPr="00885F53">
              <w:t>1</w:t>
            </w:r>
          </w:p>
        </w:tc>
        <w:tc>
          <w:tcPr>
            <w:tcW w:w="0" w:type="auto"/>
            <w:tcBorders>
              <w:top w:val="single" w:sz="4" w:space="0" w:color="auto"/>
              <w:left w:val="single" w:sz="4" w:space="0" w:color="auto"/>
              <w:bottom w:val="single" w:sz="4" w:space="0" w:color="auto"/>
              <w:right w:val="single" w:sz="4" w:space="0" w:color="auto"/>
            </w:tcBorders>
            <w:hideMark/>
          </w:tcPr>
          <w:p w14:paraId="501205D3" w14:textId="77777777" w:rsidR="00A20BE0" w:rsidRPr="00885F53" w:rsidRDefault="00A20BE0" w:rsidP="00583014">
            <w:pPr>
              <w:pStyle w:val="TAC"/>
            </w:pPr>
            <w:r w:rsidRPr="00885F53">
              <w:t>8</w:t>
            </w:r>
          </w:p>
        </w:tc>
        <w:tc>
          <w:tcPr>
            <w:tcW w:w="0" w:type="auto"/>
            <w:tcBorders>
              <w:top w:val="single" w:sz="4" w:space="0" w:color="auto"/>
              <w:left w:val="single" w:sz="4" w:space="0" w:color="auto"/>
              <w:bottom w:val="single" w:sz="4" w:space="0" w:color="auto"/>
              <w:right w:val="single" w:sz="4" w:space="0" w:color="auto"/>
            </w:tcBorders>
          </w:tcPr>
          <w:p w14:paraId="5E764B70" w14:textId="77777777" w:rsidR="00A20BE0" w:rsidRPr="00DF4E37" w:rsidRDefault="00A20BE0" w:rsidP="00583014">
            <w:pPr>
              <w:pStyle w:val="TAC"/>
              <w:rPr>
                <w:szCs w:val="18"/>
                <w:lang w:val="sv-SE"/>
              </w:rPr>
            </w:pPr>
            <w:r w:rsidRPr="00DF4E37">
              <w:rPr>
                <w:rFonts w:cs="Arial" w:hint="eastAsia"/>
                <w:szCs w:val="18"/>
              </w:rPr>
              <w:t>1</w:t>
            </w:r>
            <w:r w:rsidRPr="00DF4E37">
              <w:rPr>
                <w:rFonts w:cs="Arial"/>
                <w:szCs w:val="18"/>
              </w:rPr>
              <w:t>2</w:t>
            </w:r>
          </w:p>
        </w:tc>
        <w:tc>
          <w:tcPr>
            <w:tcW w:w="0" w:type="auto"/>
            <w:tcBorders>
              <w:top w:val="single" w:sz="4" w:space="0" w:color="auto"/>
              <w:left w:val="single" w:sz="4" w:space="0" w:color="auto"/>
              <w:bottom w:val="single" w:sz="4" w:space="0" w:color="auto"/>
              <w:right w:val="single" w:sz="4" w:space="0" w:color="auto"/>
            </w:tcBorders>
            <w:hideMark/>
          </w:tcPr>
          <w:p w14:paraId="7B38F514" w14:textId="77777777" w:rsidR="00A20BE0" w:rsidRPr="00950DA1" w:rsidRDefault="00A20BE0" w:rsidP="00583014">
            <w:pPr>
              <w:pStyle w:val="TAC"/>
              <w:rPr>
                <w:lang w:val="sv-SE"/>
              </w:rPr>
            </w:pPr>
            <w:r w:rsidRPr="00950DA1">
              <w:rPr>
                <w:lang w:val="sv-SE"/>
              </w:rPr>
              <w:t xml:space="preserve">11.52 x N1 </w:t>
            </w:r>
            <w:r w:rsidRPr="00950DA1">
              <w:rPr>
                <w:rFonts w:cs="Arial"/>
                <w:lang w:val="sv-SE" w:eastAsia="zh-CN"/>
              </w:rPr>
              <w:t>x M2</w:t>
            </w:r>
            <w:r>
              <w:rPr>
                <w:rFonts w:cs="Arial"/>
                <w:lang w:val="sv-SE" w:eastAsia="zh-CN"/>
              </w:rPr>
              <w:t xml:space="preserve"> x K1</w:t>
            </w:r>
            <w:r w:rsidRPr="00950DA1">
              <w:rPr>
                <w:rFonts w:cs="Arial"/>
                <w:lang w:val="sv-SE" w:eastAsia="zh-CN"/>
              </w:rPr>
              <w:t xml:space="preserve"> </w:t>
            </w:r>
            <w:r w:rsidRPr="00950DA1">
              <w:rPr>
                <w:lang w:val="sv-SE"/>
              </w:rPr>
              <w:t>(36 x N1</w:t>
            </w:r>
            <w:r w:rsidRPr="00950DA1">
              <w:rPr>
                <w:rFonts w:cs="Arial"/>
                <w:lang w:val="sv-SE" w:eastAsia="zh-CN"/>
              </w:rPr>
              <w:t xml:space="preserve"> x M2</w:t>
            </w:r>
            <w:r>
              <w:rPr>
                <w:rFonts w:cs="Arial"/>
                <w:lang w:val="sv-SE" w:eastAsia="zh-CN"/>
              </w:rPr>
              <w:t xml:space="preserve"> 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531F07F6" w14:textId="77777777" w:rsidR="00A20BE0" w:rsidRPr="00950DA1" w:rsidRDefault="00A20BE0" w:rsidP="00583014">
            <w:pPr>
              <w:pStyle w:val="TAC"/>
              <w:rPr>
                <w:lang w:val="sv-SE"/>
              </w:rPr>
            </w:pPr>
            <w:r w:rsidRPr="00950DA1">
              <w:rPr>
                <w:lang w:val="sv-SE"/>
              </w:rPr>
              <w:t xml:space="preserve">1.28 x N1 </w:t>
            </w:r>
            <w:r w:rsidRPr="00950DA1">
              <w:rPr>
                <w:rFonts w:cs="Arial"/>
                <w:lang w:val="sv-SE" w:eastAsia="zh-CN"/>
              </w:rPr>
              <w:t>x M2</w:t>
            </w:r>
            <w:r>
              <w:rPr>
                <w:rFonts w:cs="Arial"/>
                <w:lang w:val="sv-SE" w:eastAsia="zh-CN"/>
              </w:rPr>
              <w:t xml:space="preserve"> x K1</w:t>
            </w:r>
            <w:r w:rsidRPr="00950DA1">
              <w:rPr>
                <w:rFonts w:cs="Arial"/>
                <w:snapToGrid w:val="0"/>
                <w:lang w:val="sv-SE"/>
              </w:rPr>
              <w:t xml:space="preserve"> </w:t>
            </w:r>
            <w:r w:rsidRPr="00950DA1">
              <w:rPr>
                <w:lang w:val="sv-SE"/>
              </w:rPr>
              <w:t>(4 x N1</w:t>
            </w:r>
            <w:r w:rsidRPr="00950DA1">
              <w:rPr>
                <w:rFonts w:cs="Arial"/>
                <w:lang w:val="sv-SE" w:eastAsia="zh-CN"/>
              </w:rPr>
              <w:t xml:space="preserve"> x M2</w:t>
            </w:r>
            <w:r>
              <w:rPr>
                <w:rFonts w:cs="Arial"/>
                <w:lang w:val="sv-SE" w:eastAsia="zh-CN"/>
              </w:rPr>
              <w:t xml:space="preserve"> 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68814068" w14:textId="77777777" w:rsidR="00A20BE0" w:rsidRPr="00950DA1" w:rsidRDefault="00A20BE0" w:rsidP="00583014">
            <w:pPr>
              <w:pStyle w:val="TAC"/>
              <w:rPr>
                <w:lang w:val="sv-SE"/>
              </w:rPr>
            </w:pPr>
            <w:r w:rsidRPr="00950DA1">
              <w:rPr>
                <w:lang w:val="sv-SE"/>
              </w:rPr>
              <w:t xml:space="preserve">5.12 x N1 </w:t>
            </w:r>
            <w:r w:rsidRPr="00950DA1">
              <w:rPr>
                <w:rFonts w:cs="Arial"/>
                <w:lang w:val="sv-SE" w:eastAsia="zh-CN"/>
              </w:rPr>
              <w:t>x M2</w:t>
            </w:r>
            <w:r>
              <w:rPr>
                <w:rFonts w:cs="Arial"/>
                <w:lang w:val="sv-SE" w:eastAsia="zh-CN"/>
              </w:rPr>
              <w:t xml:space="preserve"> x K1</w:t>
            </w:r>
            <w:r w:rsidRPr="00950DA1">
              <w:rPr>
                <w:rFonts w:cs="Arial"/>
                <w:snapToGrid w:val="0"/>
                <w:lang w:val="sv-SE"/>
              </w:rPr>
              <w:t xml:space="preserve"> </w:t>
            </w:r>
            <w:r w:rsidRPr="00950DA1">
              <w:rPr>
                <w:lang w:val="sv-SE"/>
              </w:rPr>
              <w:t>(16 x N1</w:t>
            </w:r>
            <w:r w:rsidRPr="00950DA1">
              <w:rPr>
                <w:rFonts w:cs="Arial"/>
                <w:lang w:val="sv-SE" w:eastAsia="zh-CN"/>
              </w:rPr>
              <w:t xml:space="preserve"> x M2</w:t>
            </w:r>
            <w:r>
              <w:rPr>
                <w:rFonts w:cs="Arial"/>
                <w:lang w:val="sv-SE" w:eastAsia="zh-CN"/>
              </w:rPr>
              <w:t xml:space="preserve"> x K1</w:t>
            </w:r>
            <w:r w:rsidRPr="00950DA1">
              <w:rPr>
                <w:lang w:val="sv-SE"/>
              </w:rPr>
              <w:t>)</w:t>
            </w:r>
          </w:p>
        </w:tc>
      </w:tr>
      <w:tr w:rsidR="00A20BE0" w:rsidRPr="00885F53" w14:paraId="64F6F525"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923BC1C" w14:textId="77777777" w:rsidR="00A20BE0" w:rsidRPr="00885F53" w:rsidRDefault="00A20BE0" w:rsidP="00583014">
            <w:pPr>
              <w:pStyle w:val="TAC"/>
            </w:pPr>
            <w:r w:rsidRPr="00885F53">
              <w:t>0.64</w:t>
            </w:r>
          </w:p>
        </w:tc>
        <w:tc>
          <w:tcPr>
            <w:tcW w:w="0" w:type="auto"/>
            <w:tcBorders>
              <w:top w:val="nil"/>
              <w:left w:val="single" w:sz="4" w:space="0" w:color="auto"/>
              <w:bottom w:val="nil"/>
              <w:right w:val="single" w:sz="4" w:space="0" w:color="auto"/>
            </w:tcBorders>
            <w:hideMark/>
          </w:tcPr>
          <w:p w14:paraId="1AF469C6" w14:textId="77777777" w:rsidR="00A20BE0" w:rsidRPr="00885F53" w:rsidRDefault="00A20BE0" w:rsidP="00583014">
            <w:pPr>
              <w:pStyle w:val="TAC"/>
            </w:pPr>
          </w:p>
        </w:tc>
        <w:tc>
          <w:tcPr>
            <w:tcW w:w="0" w:type="auto"/>
            <w:tcBorders>
              <w:top w:val="single" w:sz="4" w:space="0" w:color="auto"/>
              <w:left w:val="single" w:sz="4" w:space="0" w:color="auto"/>
              <w:bottom w:val="single" w:sz="4" w:space="0" w:color="auto"/>
              <w:right w:val="single" w:sz="4" w:space="0" w:color="auto"/>
            </w:tcBorders>
            <w:hideMark/>
          </w:tcPr>
          <w:p w14:paraId="2D8A7E1D" w14:textId="77777777" w:rsidR="00A20BE0" w:rsidRPr="00885F53" w:rsidRDefault="00A20BE0" w:rsidP="00583014">
            <w:pPr>
              <w:pStyle w:val="TAC"/>
            </w:pPr>
            <w:r w:rsidRPr="00885F53">
              <w:t>5</w:t>
            </w:r>
          </w:p>
        </w:tc>
        <w:tc>
          <w:tcPr>
            <w:tcW w:w="0" w:type="auto"/>
            <w:tcBorders>
              <w:top w:val="single" w:sz="4" w:space="0" w:color="auto"/>
              <w:left w:val="single" w:sz="4" w:space="0" w:color="auto"/>
              <w:bottom w:val="single" w:sz="4" w:space="0" w:color="auto"/>
              <w:right w:val="single" w:sz="4" w:space="0" w:color="auto"/>
            </w:tcBorders>
          </w:tcPr>
          <w:p w14:paraId="3514E651" w14:textId="77777777" w:rsidR="00A20BE0" w:rsidRPr="00DF4E37" w:rsidRDefault="00A20BE0" w:rsidP="00583014">
            <w:pPr>
              <w:pStyle w:val="TAC"/>
              <w:rPr>
                <w:szCs w:val="18"/>
              </w:rPr>
            </w:pPr>
            <w:r w:rsidRPr="00DF4E37">
              <w:rPr>
                <w:rFonts w:cs="Arial" w:hint="eastAsia"/>
                <w:szCs w:val="18"/>
              </w:rPr>
              <w:t>8</w:t>
            </w:r>
          </w:p>
        </w:tc>
        <w:tc>
          <w:tcPr>
            <w:tcW w:w="0" w:type="auto"/>
            <w:tcBorders>
              <w:top w:val="single" w:sz="4" w:space="0" w:color="auto"/>
              <w:left w:val="single" w:sz="4" w:space="0" w:color="auto"/>
              <w:bottom w:val="single" w:sz="4" w:space="0" w:color="auto"/>
              <w:right w:val="single" w:sz="4" w:space="0" w:color="auto"/>
            </w:tcBorders>
            <w:hideMark/>
          </w:tcPr>
          <w:p w14:paraId="7DD48BB6" w14:textId="77777777" w:rsidR="00A20BE0" w:rsidRPr="00885F53" w:rsidRDefault="00A20BE0" w:rsidP="00583014">
            <w:pPr>
              <w:pStyle w:val="TAC"/>
            </w:pPr>
            <w:r w:rsidRPr="00885F53">
              <w:t>17.92 x N1</w:t>
            </w:r>
            <w:r>
              <w:rPr>
                <w:rFonts w:cs="Arial"/>
                <w:lang w:val="sv-SE" w:eastAsia="zh-CN"/>
              </w:rPr>
              <w:t xml:space="preserve"> x K1</w:t>
            </w:r>
            <w:r w:rsidRPr="00885F53">
              <w:t xml:space="preserve"> (28 x N1</w:t>
            </w:r>
            <w:r>
              <w:t xml:space="preserve"> </w:t>
            </w:r>
            <w:r>
              <w:rPr>
                <w:rFonts w:cs="Arial"/>
                <w:lang w:val="sv-SE" w:eastAsia="zh-CN"/>
              </w:rPr>
              <w:t>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5E00C099" w14:textId="77777777" w:rsidR="00A20BE0" w:rsidRPr="00885F53" w:rsidRDefault="00A20BE0" w:rsidP="00583014">
            <w:pPr>
              <w:pStyle w:val="TAC"/>
            </w:pPr>
            <w:r w:rsidRPr="00885F53">
              <w:t>1.28 x N1</w:t>
            </w:r>
            <w:r>
              <w:rPr>
                <w:rFonts w:cs="Arial"/>
                <w:lang w:val="sv-SE" w:eastAsia="zh-CN"/>
              </w:rPr>
              <w:t xml:space="preserve"> x K1</w:t>
            </w:r>
            <w:r w:rsidRPr="00885F53">
              <w:t xml:space="preserve"> (2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5DE9949B" w14:textId="77777777" w:rsidR="00A20BE0" w:rsidRPr="00885F53" w:rsidRDefault="00A20BE0" w:rsidP="00583014">
            <w:pPr>
              <w:pStyle w:val="TAC"/>
            </w:pPr>
            <w:r w:rsidRPr="00885F53">
              <w:t>5.12 x N1</w:t>
            </w:r>
            <w:r>
              <w:rPr>
                <w:rFonts w:cs="Arial"/>
                <w:lang w:val="sv-SE" w:eastAsia="zh-CN"/>
              </w:rPr>
              <w:t xml:space="preserve"> x K1</w:t>
            </w:r>
            <w:r w:rsidRPr="00885F53">
              <w:t xml:space="preserve"> (8 x N1</w:t>
            </w:r>
            <w:r>
              <w:rPr>
                <w:rFonts w:cs="Arial"/>
                <w:lang w:val="sv-SE" w:eastAsia="zh-CN"/>
              </w:rPr>
              <w:t xml:space="preserve"> x K1</w:t>
            </w:r>
            <w:r w:rsidRPr="00885F53">
              <w:t>)</w:t>
            </w:r>
          </w:p>
        </w:tc>
      </w:tr>
      <w:tr w:rsidR="00A20BE0" w:rsidRPr="00885F53" w14:paraId="474E2815"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127696D" w14:textId="77777777" w:rsidR="00A20BE0" w:rsidRPr="00885F53" w:rsidRDefault="00A20BE0" w:rsidP="00583014">
            <w:pPr>
              <w:pStyle w:val="TAC"/>
            </w:pPr>
            <w:r w:rsidRPr="00885F53">
              <w:t>1.28</w:t>
            </w:r>
          </w:p>
        </w:tc>
        <w:tc>
          <w:tcPr>
            <w:tcW w:w="0" w:type="auto"/>
            <w:tcBorders>
              <w:top w:val="nil"/>
              <w:left w:val="single" w:sz="4" w:space="0" w:color="auto"/>
              <w:bottom w:val="nil"/>
              <w:right w:val="single" w:sz="4" w:space="0" w:color="auto"/>
            </w:tcBorders>
            <w:hideMark/>
          </w:tcPr>
          <w:p w14:paraId="10046466" w14:textId="77777777" w:rsidR="00A20BE0" w:rsidRPr="00885F53" w:rsidRDefault="00A20BE0" w:rsidP="00583014">
            <w:pPr>
              <w:pStyle w:val="TAC"/>
            </w:pPr>
          </w:p>
        </w:tc>
        <w:tc>
          <w:tcPr>
            <w:tcW w:w="0" w:type="auto"/>
            <w:tcBorders>
              <w:top w:val="single" w:sz="4" w:space="0" w:color="auto"/>
              <w:left w:val="single" w:sz="4" w:space="0" w:color="auto"/>
              <w:bottom w:val="single" w:sz="4" w:space="0" w:color="auto"/>
              <w:right w:val="single" w:sz="4" w:space="0" w:color="auto"/>
            </w:tcBorders>
            <w:hideMark/>
          </w:tcPr>
          <w:p w14:paraId="138C62D1" w14:textId="77777777" w:rsidR="00A20BE0" w:rsidRPr="00885F53" w:rsidRDefault="00A20BE0" w:rsidP="00583014">
            <w:pPr>
              <w:pStyle w:val="TAC"/>
            </w:pPr>
            <w:r w:rsidRPr="00885F53">
              <w:t>4</w:t>
            </w:r>
          </w:p>
        </w:tc>
        <w:tc>
          <w:tcPr>
            <w:tcW w:w="0" w:type="auto"/>
            <w:tcBorders>
              <w:top w:val="single" w:sz="4" w:space="0" w:color="auto"/>
              <w:left w:val="single" w:sz="4" w:space="0" w:color="auto"/>
              <w:bottom w:val="single" w:sz="4" w:space="0" w:color="auto"/>
              <w:right w:val="single" w:sz="4" w:space="0" w:color="auto"/>
            </w:tcBorders>
          </w:tcPr>
          <w:p w14:paraId="0BB7A387" w14:textId="77777777" w:rsidR="00A20BE0" w:rsidRPr="00DF4E37" w:rsidRDefault="00A20BE0" w:rsidP="00583014">
            <w:pPr>
              <w:pStyle w:val="TAC"/>
              <w:rPr>
                <w:szCs w:val="18"/>
              </w:rPr>
            </w:pPr>
            <w:r w:rsidRPr="00DF4E37">
              <w:rPr>
                <w:rFonts w:cs="Arial" w:hint="eastAsia"/>
                <w:szCs w:val="18"/>
              </w:rPr>
              <w:t>6</w:t>
            </w:r>
          </w:p>
        </w:tc>
        <w:tc>
          <w:tcPr>
            <w:tcW w:w="0" w:type="auto"/>
            <w:tcBorders>
              <w:top w:val="single" w:sz="4" w:space="0" w:color="auto"/>
              <w:left w:val="single" w:sz="4" w:space="0" w:color="auto"/>
              <w:bottom w:val="single" w:sz="4" w:space="0" w:color="auto"/>
              <w:right w:val="single" w:sz="4" w:space="0" w:color="auto"/>
            </w:tcBorders>
            <w:hideMark/>
          </w:tcPr>
          <w:p w14:paraId="1F091CFB" w14:textId="77777777" w:rsidR="00A20BE0" w:rsidRPr="00885F53" w:rsidRDefault="00A20BE0" w:rsidP="00583014">
            <w:pPr>
              <w:pStyle w:val="TAC"/>
            </w:pPr>
            <w:r w:rsidRPr="00885F53">
              <w:t>32 x N1</w:t>
            </w:r>
            <w:r>
              <w:rPr>
                <w:rFonts w:cs="Arial"/>
                <w:lang w:val="sv-SE" w:eastAsia="zh-CN"/>
              </w:rPr>
              <w:t xml:space="preserve"> x K1</w:t>
            </w:r>
            <w:r w:rsidRPr="00885F53">
              <w:t xml:space="preserve"> (25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3BA97FBB" w14:textId="77777777" w:rsidR="00A20BE0" w:rsidRPr="00885F53" w:rsidRDefault="00A20BE0" w:rsidP="00583014">
            <w:pPr>
              <w:pStyle w:val="TAC"/>
            </w:pPr>
            <w:r w:rsidRPr="00885F53">
              <w:t>1.28 x N1</w:t>
            </w:r>
            <w:r>
              <w:rPr>
                <w:rFonts w:cs="Arial"/>
                <w:lang w:val="sv-SE" w:eastAsia="zh-CN"/>
              </w:rPr>
              <w:t xml:space="preserve"> x K1</w:t>
            </w:r>
            <w:r w:rsidRPr="00885F53">
              <w:t xml:space="preserve"> (1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70960BC3" w14:textId="77777777" w:rsidR="00A20BE0" w:rsidRPr="00885F53" w:rsidRDefault="00A20BE0" w:rsidP="00583014">
            <w:pPr>
              <w:pStyle w:val="TAC"/>
            </w:pPr>
            <w:r w:rsidRPr="00885F53">
              <w:t>6.4 x N1</w:t>
            </w:r>
            <w:r>
              <w:rPr>
                <w:rFonts w:cs="Arial"/>
                <w:lang w:val="sv-SE" w:eastAsia="zh-CN"/>
              </w:rPr>
              <w:t xml:space="preserve"> x K1</w:t>
            </w:r>
            <w:r w:rsidRPr="00885F53">
              <w:t xml:space="preserve"> (5 x N1</w:t>
            </w:r>
            <w:r>
              <w:rPr>
                <w:rFonts w:cs="Arial"/>
                <w:lang w:val="sv-SE" w:eastAsia="zh-CN"/>
              </w:rPr>
              <w:t xml:space="preserve"> x K1</w:t>
            </w:r>
            <w:r w:rsidRPr="00885F53">
              <w:t>)</w:t>
            </w:r>
          </w:p>
        </w:tc>
      </w:tr>
      <w:tr w:rsidR="00A20BE0" w:rsidRPr="00885F53" w14:paraId="672C7240"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C648B5E" w14:textId="77777777" w:rsidR="00A20BE0" w:rsidRPr="00885F53" w:rsidRDefault="00A20BE0" w:rsidP="00583014">
            <w:pPr>
              <w:pStyle w:val="TAC"/>
            </w:pPr>
            <w:r w:rsidRPr="00885F53">
              <w:t>2.56</w:t>
            </w:r>
          </w:p>
        </w:tc>
        <w:tc>
          <w:tcPr>
            <w:tcW w:w="0" w:type="auto"/>
            <w:tcBorders>
              <w:top w:val="nil"/>
              <w:left w:val="single" w:sz="4" w:space="0" w:color="auto"/>
              <w:bottom w:val="single" w:sz="4" w:space="0" w:color="auto"/>
              <w:right w:val="single" w:sz="4" w:space="0" w:color="auto"/>
            </w:tcBorders>
            <w:hideMark/>
          </w:tcPr>
          <w:p w14:paraId="5843518A" w14:textId="77777777" w:rsidR="00A20BE0" w:rsidRPr="00885F53" w:rsidRDefault="00A20BE0" w:rsidP="00583014">
            <w:pPr>
              <w:pStyle w:val="TAC"/>
            </w:pPr>
          </w:p>
        </w:tc>
        <w:tc>
          <w:tcPr>
            <w:tcW w:w="0" w:type="auto"/>
            <w:tcBorders>
              <w:top w:val="single" w:sz="4" w:space="0" w:color="auto"/>
              <w:left w:val="single" w:sz="4" w:space="0" w:color="auto"/>
              <w:bottom w:val="single" w:sz="4" w:space="0" w:color="auto"/>
              <w:right w:val="single" w:sz="4" w:space="0" w:color="auto"/>
            </w:tcBorders>
            <w:hideMark/>
          </w:tcPr>
          <w:p w14:paraId="299C0469" w14:textId="77777777" w:rsidR="00A20BE0" w:rsidRPr="00885F53" w:rsidRDefault="00A20BE0" w:rsidP="00583014">
            <w:pPr>
              <w:pStyle w:val="TAC"/>
              <w:rPr>
                <w:rFonts w:cs="Arial"/>
                <w:lang w:eastAsia="zh-CN"/>
              </w:rPr>
            </w:pPr>
            <w:r w:rsidRPr="00885F53">
              <w:rPr>
                <w:rFonts w:cs="Arial"/>
                <w:lang w:eastAsia="zh-CN"/>
              </w:rPr>
              <w:t>3</w:t>
            </w:r>
          </w:p>
        </w:tc>
        <w:tc>
          <w:tcPr>
            <w:tcW w:w="0" w:type="auto"/>
            <w:tcBorders>
              <w:top w:val="single" w:sz="4" w:space="0" w:color="auto"/>
              <w:left w:val="single" w:sz="4" w:space="0" w:color="auto"/>
              <w:bottom w:val="single" w:sz="4" w:space="0" w:color="auto"/>
              <w:right w:val="single" w:sz="4" w:space="0" w:color="auto"/>
            </w:tcBorders>
          </w:tcPr>
          <w:p w14:paraId="6161EB7C" w14:textId="77777777" w:rsidR="00A20BE0" w:rsidRPr="00DF4E37" w:rsidRDefault="00A20BE0" w:rsidP="00583014">
            <w:pPr>
              <w:pStyle w:val="TAC"/>
              <w:rPr>
                <w:rFonts w:cs="Arial"/>
                <w:szCs w:val="18"/>
                <w:lang w:eastAsia="zh-CN"/>
              </w:rPr>
            </w:pPr>
            <w:r w:rsidRPr="00DF4E37">
              <w:rPr>
                <w:rFonts w:cs="Arial" w:hint="eastAsia"/>
                <w:szCs w:val="18"/>
              </w:rPr>
              <w:t>5</w:t>
            </w:r>
          </w:p>
        </w:tc>
        <w:tc>
          <w:tcPr>
            <w:tcW w:w="0" w:type="auto"/>
            <w:tcBorders>
              <w:top w:val="single" w:sz="4" w:space="0" w:color="auto"/>
              <w:left w:val="single" w:sz="4" w:space="0" w:color="auto"/>
              <w:bottom w:val="single" w:sz="4" w:space="0" w:color="auto"/>
              <w:right w:val="single" w:sz="4" w:space="0" w:color="auto"/>
            </w:tcBorders>
            <w:hideMark/>
          </w:tcPr>
          <w:p w14:paraId="0493EEDC" w14:textId="77777777" w:rsidR="00A20BE0" w:rsidRPr="00885F53" w:rsidRDefault="00A20BE0" w:rsidP="00583014">
            <w:pPr>
              <w:pStyle w:val="TAC"/>
            </w:pPr>
            <w:r w:rsidRPr="00885F53">
              <w:rPr>
                <w:rFonts w:cs="Arial"/>
                <w:lang w:eastAsia="zh-CN"/>
              </w:rPr>
              <w:t>58.88</w:t>
            </w:r>
            <w:r w:rsidRPr="00885F53">
              <w:t xml:space="preserve"> x N1</w:t>
            </w:r>
            <w:r>
              <w:rPr>
                <w:rFonts w:cs="Arial"/>
                <w:lang w:val="sv-SE" w:eastAsia="zh-CN"/>
              </w:rPr>
              <w:t xml:space="preserve"> x K1</w:t>
            </w:r>
            <w:r w:rsidRPr="00885F53">
              <w:t xml:space="preserve"> (23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3A3F163C" w14:textId="77777777" w:rsidR="00A20BE0" w:rsidRPr="00885F53" w:rsidRDefault="00A20BE0" w:rsidP="00583014">
            <w:pPr>
              <w:pStyle w:val="TAC"/>
            </w:pPr>
            <w:r w:rsidRPr="00885F53">
              <w:t>2.56 x N1</w:t>
            </w:r>
            <w:r>
              <w:rPr>
                <w:rFonts w:cs="Arial"/>
                <w:lang w:val="sv-SE" w:eastAsia="zh-CN"/>
              </w:rPr>
              <w:t xml:space="preserve"> x K1</w:t>
            </w:r>
            <w:r w:rsidRPr="00885F53">
              <w:t xml:space="preserve"> (1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2144CB00" w14:textId="77777777" w:rsidR="00A20BE0" w:rsidRPr="00885F53" w:rsidRDefault="00A20BE0" w:rsidP="00583014">
            <w:pPr>
              <w:pStyle w:val="TAC"/>
            </w:pPr>
            <w:r w:rsidRPr="00885F53">
              <w:t>7.68 x N1</w:t>
            </w:r>
            <w:r>
              <w:rPr>
                <w:rFonts w:cs="Arial"/>
                <w:lang w:val="sv-SE" w:eastAsia="zh-CN"/>
              </w:rPr>
              <w:t xml:space="preserve"> x K1</w:t>
            </w:r>
            <w:r w:rsidRPr="00885F53">
              <w:t xml:space="preserve"> (3 x N1</w:t>
            </w:r>
            <w:r>
              <w:rPr>
                <w:rFonts w:cs="Arial"/>
                <w:lang w:val="sv-SE" w:eastAsia="zh-CN"/>
              </w:rPr>
              <w:t xml:space="preserve"> x K1</w:t>
            </w:r>
            <w:r w:rsidRPr="00885F53">
              <w:t>)</w:t>
            </w:r>
          </w:p>
        </w:tc>
      </w:tr>
      <w:tr w:rsidR="00A20BE0" w:rsidRPr="00885F53" w14:paraId="754CBF3A" w14:textId="77777777" w:rsidTr="00583014">
        <w:trPr>
          <w:cantSplit/>
          <w:jc w:val="center"/>
        </w:trPr>
        <w:tc>
          <w:tcPr>
            <w:tcW w:w="0" w:type="auto"/>
            <w:gridSpan w:val="7"/>
            <w:tcBorders>
              <w:top w:val="single" w:sz="4" w:space="0" w:color="auto"/>
              <w:left w:val="single" w:sz="4" w:space="0" w:color="auto"/>
              <w:bottom w:val="single" w:sz="4" w:space="0" w:color="auto"/>
              <w:right w:val="single" w:sz="4" w:space="0" w:color="auto"/>
            </w:tcBorders>
          </w:tcPr>
          <w:p w14:paraId="2F27E462" w14:textId="77777777" w:rsidR="00A20BE0" w:rsidRDefault="00A20BE0" w:rsidP="00583014">
            <w:pPr>
              <w:pStyle w:val="TAN"/>
            </w:pPr>
            <w:r w:rsidRPr="00885F53">
              <w:rPr>
                <w:snapToGrid w:val="0"/>
                <w:lang w:eastAsia="zh-CN"/>
              </w:rPr>
              <w:t>Note 1</w:t>
            </w:r>
            <w:r w:rsidRPr="00885F53">
              <w:t>:</w:t>
            </w:r>
            <w:r w:rsidRPr="00885F53">
              <w:rPr>
                <w:lang w:val="en-US"/>
              </w:rPr>
              <w:tab/>
            </w:r>
            <w:r w:rsidRPr="00885F53">
              <w:t xml:space="preserve">Applies for UE supporting </w:t>
            </w:r>
            <w:r>
              <w:t xml:space="preserve">FR2-1 </w:t>
            </w:r>
            <w:r w:rsidRPr="00885F53">
              <w:t xml:space="preserve">power class </w:t>
            </w:r>
            <w:r w:rsidRPr="00885F53">
              <w:rPr>
                <w:lang w:eastAsia="zh-CN"/>
              </w:rPr>
              <w:t>2&amp;3&amp;4</w:t>
            </w:r>
            <w:r w:rsidRPr="00885F53">
              <w:t xml:space="preserve">. For UE supporting </w:t>
            </w:r>
            <w:r>
              <w:t xml:space="preserve">FR2-1 </w:t>
            </w:r>
            <w:r w:rsidRPr="00885F53">
              <w:t>power class 1</w:t>
            </w:r>
            <w:r>
              <w:t xml:space="preserve"> or 5</w:t>
            </w:r>
            <w:r w:rsidRPr="00885F53">
              <w:t>, N1 = 8 for all DRX cycle length.</w:t>
            </w:r>
          </w:p>
          <w:p w14:paraId="287142FE" w14:textId="77777777" w:rsidR="00A20BE0" w:rsidRPr="00885F53" w:rsidRDefault="00A20BE0" w:rsidP="00583014">
            <w:pPr>
              <w:pStyle w:val="TAN"/>
              <w:rPr>
                <w:snapToGrid w:val="0"/>
                <w:lang w:eastAsia="zh-CN"/>
              </w:rPr>
            </w:pPr>
            <w:r w:rsidRPr="009C5807">
              <w:rPr>
                <w:lang w:eastAsia="zh-CN"/>
              </w:rPr>
              <w:t xml:space="preserve">Note </w:t>
            </w:r>
            <w:r>
              <w:rPr>
                <w:lang w:eastAsia="zh-CN"/>
              </w:rPr>
              <w:t>2</w:t>
            </w:r>
            <w:r w:rsidRPr="009C5807">
              <w:rPr>
                <w:lang w:eastAsia="zh-CN"/>
              </w:rPr>
              <w:t>:</w:t>
            </w:r>
            <w:r w:rsidRPr="009C5807">
              <w:rPr>
                <w:lang w:eastAsia="zh-CN"/>
              </w:rPr>
              <w:tab/>
              <w:t xml:space="preserve">Applies for UE supporting </w:t>
            </w:r>
            <w:r>
              <w:rPr>
                <w:lang w:eastAsia="zh-CN"/>
              </w:rPr>
              <w:t xml:space="preserve">FR2-2 </w:t>
            </w:r>
            <w:r w:rsidRPr="009C5807">
              <w:rPr>
                <w:lang w:eastAsia="zh-CN"/>
              </w:rPr>
              <w:t xml:space="preserve">power class 2&amp;3. For UE supporting </w:t>
            </w:r>
            <w:r>
              <w:rPr>
                <w:lang w:eastAsia="zh-CN"/>
              </w:rPr>
              <w:t xml:space="preserve">FR2-2 </w:t>
            </w:r>
            <w:r w:rsidRPr="009C5807">
              <w:rPr>
                <w:lang w:eastAsia="zh-CN"/>
              </w:rPr>
              <w:t xml:space="preserve">power class 1, N1 = </w:t>
            </w:r>
            <w:r>
              <w:rPr>
                <w:lang w:eastAsia="zh-CN"/>
              </w:rPr>
              <w:t>12</w:t>
            </w:r>
            <w:r w:rsidRPr="009C5807">
              <w:rPr>
                <w:lang w:eastAsia="zh-CN"/>
              </w:rPr>
              <w:t xml:space="preserve"> for all DRX cycle length.</w:t>
            </w:r>
          </w:p>
          <w:p w14:paraId="1C23D761" w14:textId="1D65CB34" w:rsidR="00A20BE0" w:rsidRPr="007D632B" w:rsidRDefault="00A20BE0" w:rsidP="00583014">
            <w:pPr>
              <w:pStyle w:val="TAN"/>
              <w:rPr>
                <w:snapToGrid w:val="0"/>
                <w:lang w:eastAsia="zh-CN"/>
              </w:rPr>
            </w:pPr>
            <w:r w:rsidRPr="00885F53">
              <w:rPr>
                <w:snapToGrid w:val="0"/>
                <w:lang w:eastAsia="zh-CN"/>
              </w:rPr>
              <w:t xml:space="preserve">Note </w:t>
            </w:r>
            <w:r>
              <w:rPr>
                <w:snapToGrid w:val="0"/>
                <w:lang w:eastAsia="zh-CN"/>
              </w:rPr>
              <w:t>3</w:t>
            </w:r>
            <w:r w:rsidRPr="00885F53">
              <w:rPr>
                <w:snapToGrid w:val="0"/>
                <w:lang w:eastAsia="zh-CN"/>
              </w:rPr>
              <w:t>:</w:t>
            </w:r>
            <w:r w:rsidRPr="00885F53">
              <w:rPr>
                <w:lang w:val="en-US"/>
              </w:rPr>
              <w:tab/>
            </w:r>
            <w:r w:rsidRPr="00885F53">
              <w:rPr>
                <w:snapToGrid w:val="0"/>
                <w:lang w:eastAsia="zh-CN"/>
              </w:rPr>
              <w:t xml:space="preserve">M2 = 1.5 if SMTC </w:t>
            </w:r>
            <w:r w:rsidRPr="00C83CA1">
              <w:rPr>
                <w:snapToGrid w:val="0"/>
                <w:lang w:eastAsia="zh-CN"/>
              </w:rPr>
              <w:t>periodicity</w:t>
            </w:r>
            <w:r w:rsidRPr="00EF59D1">
              <w:t xml:space="preserve"> </w:t>
            </w:r>
            <w:r w:rsidRPr="00EF59D1">
              <w:rPr>
                <w:snapToGrid w:val="0"/>
                <w:lang w:eastAsia="zh-CN"/>
              </w:rPr>
              <w:t>of measured intra-frequency cell &gt; 20 ms; otherwise M2=1.</w:t>
            </w:r>
            <w:r>
              <w:rPr>
                <w:snapToGrid w:val="0"/>
                <w:lang w:eastAsia="zh-CN"/>
              </w:rPr>
              <w:t xml:space="preserve"> </w:t>
            </w:r>
            <w:r>
              <w:rPr>
                <w:lang w:val="en-US"/>
              </w:rPr>
              <w:t xml:space="preserve">If </w:t>
            </w:r>
            <w:r w:rsidRPr="007A5F9C">
              <w:t>high layer signalling</w:t>
            </w:r>
            <w:r>
              <w:t xml:space="preserve"> </w:t>
            </w:r>
            <w:r w:rsidRPr="00212299">
              <w:rPr>
                <w:i/>
              </w:rPr>
              <w:t>smtc2-LP-r16</w:t>
            </w:r>
            <w:r>
              <w:rPr>
                <w:lang w:val="en-US"/>
              </w:rPr>
              <w:t xml:space="preserve"> is configured, f</w:t>
            </w:r>
            <w:r w:rsidRPr="00212299">
              <w:rPr>
                <w:snapToGrid w:val="0"/>
                <w:lang w:eastAsia="zh-CN"/>
              </w:rPr>
              <w:t xml:space="preserve">or cells indicated in the </w:t>
            </w:r>
            <w:r w:rsidRPr="00212299">
              <w:rPr>
                <w:i/>
              </w:rPr>
              <w:t>pci-List</w:t>
            </w:r>
            <w:r w:rsidRPr="00212299">
              <w:rPr>
                <w:snapToGrid w:val="0"/>
                <w:lang w:eastAsia="zh-CN"/>
              </w:rPr>
              <w:t xml:space="preserve"> parameter in </w:t>
            </w:r>
            <w:r w:rsidRPr="00212299">
              <w:rPr>
                <w:i/>
              </w:rPr>
              <w:t>smtc2-LP-r16</w:t>
            </w:r>
            <w:r w:rsidRPr="00212299">
              <w:rPr>
                <w:snapToGrid w:val="0"/>
                <w:lang w:eastAsia="zh-CN"/>
              </w:rPr>
              <w:t xml:space="preserve">, the SMTC periodicity corresponds to the value of higher layer parameter </w:t>
            </w:r>
            <w:r w:rsidRPr="00212299">
              <w:rPr>
                <w:i/>
              </w:rPr>
              <w:t>smtc2-LP-r16</w:t>
            </w:r>
            <w:r w:rsidRPr="00212299">
              <w:rPr>
                <w:snapToGrid w:val="0"/>
                <w:lang w:eastAsia="zh-CN"/>
              </w:rPr>
              <w:t xml:space="preserve">; for the other cells, the SMTC periodicity corresponds to the value of higher layer parameter </w:t>
            </w:r>
            <w:r w:rsidRPr="00212299">
              <w:rPr>
                <w:i/>
              </w:rPr>
              <w:t>smtc</w:t>
            </w:r>
            <w:r>
              <w:rPr>
                <w:snapToGrid w:val="0"/>
                <w:lang w:eastAsia="zh-CN"/>
              </w:rPr>
              <w:t>.</w:t>
            </w:r>
          </w:p>
          <w:p w14:paraId="260A5432" w14:textId="65314741" w:rsidR="00A20BE0" w:rsidRPr="00885F53" w:rsidRDefault="00A20BE0" w:rsidP="00583014">
            <w:pPr>
              <w:pStyle w:val="TAN"/>
            </w:pPr>
            <w:r w:rsidRPr="00E9086F">
              <w:rPr>
                <w:snapToGrid w:val="0"/>
                <w:lang w:eastAsia="zh-CN"/>
              </w:rPr>
              <w:t xml:space="preserve">Note </w:t>
            </w:r>
            <w:r>
              <w:rPr>
                <w:snapToGrid w:val="0"/>
                <w:lang w:eastAsia="zh-CN"/>
              </w:rPr>
              <w:t>4</w:t>
            </w:r>
            <w:r w:rsidRPr="00E9086F">
              <w:rPr>
                <w:snapToGrid w:val="0"/>
                <w:lang w:eastAsia="zh-CN"/>
              </w:rPr>
              <w:t>:</w:t>
            </w:r>
            <w:r w:rsidRPr="00885F53">
              <w:rPr>
                <w:lang w:val="en-US"/>
              </w:rPr>
              <w:tab/>
            </w:r>
            <w:r w:rsidRPr="00EF59D1">
              <w:rPr>
                <w:snapToGrid w:val="0"/>
                <w:lang w:eastAsia="zh-CN"/>
              </w:rPr>
              <w:t xml:space="preserve">K1 = 3 is the measurement relaxation factor applicable for UE fulfilling the </w:t>
            </w:r>
            <w:r w:rsidRPr="00485479">
              <w:rPr>
                <w:i/>
                <w:iCs/>
                <w:lang w:eastAsia="zh-CN"/>
              </w:rPr>
              <w:t>cellEdgeEvaluation</w:t>
            </w:r>
            <w:r>
              <w:rPr>
                <w:i/>
                <w:iCs/>
                <w:lang w:eastAsia="zh-CN"/>
              </w:rPr>
              <w:t xml:space="preserve"> </w:t>
            </w:r>
            <w:r>
              <w:rPr>
                <w:lang w:eastAsia="zh-CN"/>
              </w:rPr>
              <w:t>[2]</w:t>
            </w:r>
            <w:r w:rsidRPr="00EF59D1">
              <w:rPr>
                <w:snapToGrid w:val="0"/>
                <w:lang w:eastAsia="zh-CN"/>
              </w:rPr>
              <w:t xml:space="preserve"> criterion.</w:t>
            </w:r>
          </w:p>
        </w:tc>
      </w:tr>
    </w:tbl>
    <w:p w14:paraId="1C5115B3" w14:textId="2D83CD4E" w:rsidR="00A20BE0" w:rsidRDefault="00A20BE0" w:rsidP="00A20BE0">
      <w:pPr>
        <w:rPr>
          <w:lang w:eastAsia="zh-CN"/>
        </w:rPr>
      </w:pPr>
    </w:p>
    <w:p w14:paraId="12F3022E" w14:textId="77777777" w:rsidR="009C753C" w:rsidRPr="00043DFE" w:rsidRDefault="009C753C" w:rsidP="009C753C">
      <w:pPr>
        <w:pStyle w:val="TH"/>
        <w:rPr>
          <w:lang w:val="en-US"/>
        </w:rPr>
      </w:pPr>
      <w:r w:rsidRPr="00043DFE">
        <w:rPr>
          <w:lang w:val="en-US"/>
        </w:rPr>
        <w:t>Table 4.2.2.9.3-2: T</w:t>
      </w:r>
      <w:r w:rsidRPr="00043DFE">
        <w:rPr>
          <w:vertAlign w:val="subscript"/>
          <w:lang w:val="en-US"/>
        </w:rPr>
        <w:t>detect,NR_Intra_Relax</w:t>
      </w:r>
      <w:r w:rsidRPr="00043DFE">
        <w:rPr>
          <w:lang w:val="en-US"/>
        </w:rPr>
        <w:t>, T</w:t>
      </w:r>
      <w:r w:rsidRPr="00043DFE">
        <w:rPr>
          <w:vertAlign w:val="subscript"/>
          <w:lang w:val="en-US"/>
        </w:rPr>
        <w:t>measure,NR_Intra_Relax</w:t>
      </w:r>
      <w:r w:rsidRPr="00043DFE">
        <w:rPr>
          <w:lang w:val="en-US"/>
        </w:rPr>
        <w:t xml:space="preserve"> and T</w:t>
      </w:r>
      <w:r w:rsidRPr="00043DFE">
        <w:rPr>
          <w:vertAlign w:val="subscript"/>
          <w:lang w:val="en-US"/>
        </w:rPr>
        <w:t>evaluate,NR_Intra_Relax</w:t>
      </w:r>
      <w:r w:rsidRPr="00043DFE">
        <w:rPr>
          <w:lang w:val="en-US"/>
        </w:rPr>
        <w:t xml:space="preserve"> for UE configured with eDRX_IDLE cycle </w:t>
      </w:r>
      <w:r w:rsidRPr="00043DFE">
        <w:t>(Frequency range FR1)</w:t>
      </w:r>
      <w:r w:rsidRPr="00043DFE">
        <w:rPr>
          <w:lang w:val="en-US"/>
        </w:rPr>
        <w:t xml:space="preserve"> 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598"/>
        <w:gridCol w:w="2738"/>
        <w:gridCol w:w="2719"/>
      </w:tblGrid>
      <w:tr w:rsidR="009C753C" w:rsidRPr="00043DFE" w14:paraId="57EB4734" w14:textId="77777777" w:rsidTr="008B107E">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0FA7672B" w14:textId="77777777" w:rsidR="009C753C" w:rsidRPr="00043DFE" w:rsidRDefault="009C753C" w:rsidP="008B107E">
            <w:pPr>
              <w:pStyle w:val="TAH"/>
            </w:pPr>
            <w:r w:rsidRPr="00043DFE">
              <w:t>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242DA8E6" w14:textId="77777777" w:rsidR="009C753C" w:rsidRPr="00043DFE" w:rsidRDefault="009C753C" w:rsidP="008B107E">
            <w:pPr>
              <w:pStyle w:val="TAH"/>
            </w:pPr>
            <w:r w:rsidRPr="00043DFE">
              <w:rPr>
                <w:szCs w:val="18"/>
                <w:lang w:val="en-US"/>
              </w:rPr>
              <w:t>T</w:t>
            </w:r>
            <w:r w:rsidRPr="00043DFE">
              <w:rPr>
                <w:szCs w:val="18"/>
                <w:vertAlign w:val="subscript"/>
                <w:lang w:val="en-US"/>
              </w:rPr>
              <w:t>detect,NR_Intra_Relax</w:t>
            </w:r>
            <w:r w:rsidRPr="00043DFE">
              <w:rPr>
                <w:szCs w:val="18"/>
              </w:rPr>
              <w:t xml:space="preserve"> [s]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06B555F3" w14:textId="77777777" w:rsidR="009C753C" w:rsidRPr="00043DFE" w:rsidRDefault="009C753C" w:rsidP="008B107E">
            <w:pPr>
              <w:pStyle w:val="TAH"/>
            </w:pPr>
            <w:r w:rsidRPr="00043DFE">
              <w:rPr>
                <w:szCs w:val="18"/>
                <w:lang w:val="en-US"/>
              </w:rPr>
              <w:t>T</w:t>
            </w:r>
            <w:r w:rsidRPr="00043DFE">
              <w:rPr>
                <w:szCs w:val="18"/>
                <w:vertAlign w:val="subscript"/>
                <w:lang w:val="en-US"/>
              </w:rPr>
              <w:t>measure,NR_Intra_Relax</w:t>
            </w:r>
            <w:r w:rsidRPr="00043DFE">
              <w:rPr>
                <w:szCs w:val="18"/>
                <w:lang w:val="en-US"/>
              </w:rPr>
              <w:t xml:space="preserve"> </w:t>
            </w:r>
            <w:r w:rsidRPr="00043DFE">
              <w:rPr>
                <w:szCs w:val="18"/>
              </w:rPr>
              <w:t>[s]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75AF0F4F" w14:textId="77777777" w:rsidR="009C753C" w:rsidRPr="00043DFE" w:rsidRDefault="009C753C" w:rsidP="008B107E">
            <w:pPr>
              <w:pStyle w:val="TAH"/>
            </w:pPr>
            <w:r w:rsidRPr="00043DFE">
              <w:rPr>
                <w:szCs w:val="18"/>
                <w:lang w:val="en-US"/>
              </w:rPr>
              <w:t>T</w:t>
            </w:r>
            <w:r w:rsidRPr="00043DFE">
              <w:rPr>
                <w:szCs w:val="18"/>
                <w:vertAlign w:val="subscript"/>
                <w:lang w:val="en-US"/>
              </w:rPr>
              <w:t xml:space="preserve">evaluate,NR_Intra_Relax </w:t>
            </w:r>
            <w:r w:rsidRPr="00043DFE">
              <w:rPr>
                <w:szCs w:val="18"/>
              </w:rPr>
              <w:t>[s] (number of eDRX IDLE cycles)</w:t>
            </w:r>
          </w:p>
        </w:tc>
      </w:tr>
      <w:tr w:rsidR="009C753C" w:rsidRPr="00043DFE" w14:paraId="23434661" w14:textId="77777777" w:rsidTr="008B107E">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8177951" w14:textId="77777777" w:rsidR="009C753C" w:rsidRPr="00043DFE" w:rsidRDefault="009C753C"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961A0D" w14:textId="77777777" w:rsidR="009C753C" w:rsidRPr="00043DFE" w:rsidRDefault="009C753C"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7247DB" w14:textId="77777777" w:rsidR="009C753C" w:rsidRPr="00043DFE" w:rsidRDefault="009C753C"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3B5BF2" w14:textId="77777777" w:rsidR="009C753C" w:rsidRPr="00043DFE" w:rsidRDefault="009C753C" w:rsidP="008B107E">
            <w:pPr>
              <w:keepNext/>
              <w:keepLines/>
              <w:spacing w:after="0"/>
              <w:jc w:val="center"/>
              <w:rPr>
                <w:rFonts w:ascii="Arial" w:hAnsi="Arial"/>
                <w:b/>
                <w:sz w:val="18"/>
              </w:rPr>
            </w:pPr>
          </w:p>
        </w:tc>
      </w:tr>
      <w:tr w:rsidR="009C753C" w:rsidRPr="00043DFE" w14:paraId="02D6590E"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6EFCDA1" w14:textId="77777777" w:rsidR="009C753C" w:rsidRPr="00043DFE" w:rsidRDefault="009C753C" w:rsidP="008B107E">
            <w:pPr>
              <w:pStyle w:val="TAC"/>
            </w:pPr>
            <w:r w:rsidRPr="00043DFE">
              <w:t>2.56</w:t>
            </w:r>
          </w:p>
        </w:tc>
        <w:tc>
          <w:tcPr>
            <w:tcW w:w="0" w:type="auto"/>
            <w:tcBorders>
              <w:top w:val="single" w:sz="4" w:space="0" w:color="auto"/>
              <w:left w:val="single" w:sz="4" w:space="0" w:color="auto"/>
              <w:bottom w:val="single" w:sz="4" w:space="0" w:color="auto"/>
              <w:right w:val="single" w:sz="4" w:space="0" w:color="auto"/>
            </w:tcBorders>
            <w:hideMark/>
          </w:tcPr>
          <w:p w14:paraId="18B083E4" w14:textId="77777777" w:rsidR="009C753C" w:rsidRPr="00043DFE" w:rsidRDefault="009C753C" w:rsidP="008B107E">
            <w:pPr>
              <w:pStyle w:val="TAC"/>
              <w:rPr>
                <w:lang w:val="sv-SE"/>
              </w:rPr>
            </w:pPr>
            <w:r w:rsidRPr="00043DFE">
              <w:rPr>
                <w:rFonts w:cs="Arial"/>
                <w:szCs w:val="18"/>
                <w:lang w:val="sv-SE"/>
              </w:rPr>
              <w:t>58.88 x K1 (23 x K1)</w:t>
            </w:r>
          </w:p>
        </w:tc>
        <w:tc>
          <w:tcPr>
            <w:tcW w:w="0" w:type="auto"/>
            <w:tcBorders>
              <w:top w:val="single" w:sz="4" w:space="0" w:color="auto"/>
              <w:left w:val="single" w:sz="4" w:space="0" w:color="auto"/>
              <w:bottom w:val="single" w:sz="4" w:space="0" w:color="auto"/>
              <w:right w:val="single" w:sz="4" w:space="0" w:color="auto"/>
            </w:tcBorders>
            <w:hideMark/>
          </w:tcPr>
          <w:p w14:paraId="46C0729B" w14:textId="77777777" w:rsidR="009C753C" w:rsidRPr="00043DFE" w:rsidRDefault="009C753C" w:rsidP="008B107E">
            <w:pPr>
              <w:pStyle w:val="TAC"/>
              <w:rPr>
                <w:lang w:val="sv-SE"/>
              </w:rPr>
            </w:pPr>
            <w:r w:rsidRPr="00043DFE">
              <w:rPr>
                <w:rFonts w:cs="Arial"/>
                <w:szCs w:val="18"/>
                <w:lang w:val="sv-SE"/>
              </w:rPr>
              <w:t>2.56 x K1 (1 x K1)</w:t>
            </w:r>
          </w:p>
        </w:tc>
        <w:tc>
          <w:tcPr>
            <w:tcW w:w="0" w:type="auto"/>
            <w:tcBorders>
              <w:top w:val="single" w:sz="4" w:space="0" w:color="auto"/>
              <w:left w:val="single" w:sz="4" w:space="0" w:color="auto"/>
              <w:bottom w:val="single" w:sz="4" w:space="0" w:color="auto"/>
              <w:right w:val="single" w:sz="4" w:space="0" w:color="auto"/>
            </w:tcBorders>
            <w:hideMark/>
          </w:tcPr>
          <w:p w14:paraId="5FF987A9" w14:textId="77777777" w:rsidR="009C753C" w:rsidRPr="00043DFE" w:rsidRDefault="009C753C" w:rsidP="008B107E">
            <w:pPr>
              <w:pStyle w:val="TAC"/>
              <w:rPr>
                <w:lang w:val="sv-SE"/>
              </w:rPr>
            </w:pPr>
            <w:r w:rsidRPr="00043DFE">
              <w:rPr>
                <w:rFonts w:cs="Arial"/>
                <w:szCs w:val="18"/>
                <w:lang w:val="sv-SE"/>
              </w:rPr>
              <w:t>7.68 x K1 (3 x K1)</w:t>
            </w:r>
          </w:p>
        </w:tc>
      </w:tr>
      <w:tr w:rsidR="009C753C" w:rsidRPr="00043DFE" w14:paraId="61298A01"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4232ED2" w14:textId="77777777" w:rsidR="009C753C" w:rsidRPr="00043DFE" w:rsidRDefault="009C753C" w:rsidP="008B107E">
            <w:pPr>
              <w:pStyle w:val="TAC"/>
            </w:pPr>
            <w:r w:rsidRPr="00043DFE">
              <w:rPr>
                <w:rFonts w:cs="Arial"/>
                <w:szCs w:val="18"/>
              </w:rPr>
              <w:t>5.12</w:t>
            </w:r>
          </w:p>
        </w:tc>
        <w:tc>
          <w:tcPr>
            <w:tcW w:w="0" w:type="auto"/>
            <w:tcBorders>
              <w:top w:val="single" w:sz="4" w:space="0" w:color="auto"/>
              <w:left w:val="single" w:sz="4" w:space="0" w:color="auto"/>
              <w:bottom w:val="single" w:sz="4" w:space="0" w:color="auto"/>
              <w:right w:val="single" w:sz="4" w:space="0" w:color="auto"/>
            </w:tcBorders>
            <w:hideMark/>
          </w:tcPr>
          <w:p w14:paraId="04C82C1A" w14:textId="77777777" w:rsidR="009C753C" w:rsidRPr="00043DFE" w:rsidRDefault="009C753C" w:rsidP="008B107E">
            <w:pPr>
              <w:pStyle w:val="TAC"/>
            </w:pPr>
            <w:r w:rsidRPr="00043DFE">
              <w:rPr>
                <w:rFonts w:cs="Arial"/>
                <w:szCs w:val="18"/>
              </w:rPr>
              <w:t>117.76</w:t>
            </w:r>
            <w:r w:rsidRPr="00043DFE">
              <w:rPr>
                <w:rFonts w:cs="Arial"/>
                <w:szCs w:val="18"/>
                <w:lang w:val="sv-SE"/>
              </w:rPr>
              <w:t xml:space="preserve"> x </w:t>
            </w:r>
            <w:r w:rsidRPr="00043DFE">
              <w:rPr>
                <w:rFonts w:cs="Arial"/>
                <w:szCs w:val="18"/>
              </w:rPr>
              <w:t>K1 (23</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0E508497" w14:textId="77777777" w:rsidR="009C753C" w:rsidRPr="00043DFE" w:rsidRDefault="009C753C" w:rsidP="008B107E">
            <w:pPr>
              <w:pStyle w:val="TAC"/>
            </w:pPr>
            <w:r w:rsidRPr="00043DFE">
              <w:rPr>
                <w:rFonts w:cs="Arial"/>
                <w:szCs w:val="18"/>
              </w:rPr>
              <w:t>5.12</w:t>
            </w:r>
            <w:r w:rsidRPr="00043DFE">
              <w:rPr>
                <w:rFonts w:cs="Arial"/>
                <w:szCs w:val="18"/>
                <w:lang w:val="sv-SE"/>
              </w:rPr>
              <w:t xml:space="preserve"> x </w:t>
            </w:r>
            <w:r w:rsidRPr="00043DFE">
              <w:rPr>
                <w:rFonts w:cs="Arial"/>
                <w:szCs w:val="18"/>
              </w:rPr>
              <w:t>K1 (1</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41FB4F99" w14:textId="77777777" w:rsidR="009C753C" w:rsidRPr="00043DFE" w:rsidRDefault="009C753C" w:rsidP="008B107E">
            <w:pPr>
              <w:pStyle w:val="TAC"/>
            </w:pPr>
            <w:r w:rsidRPr="00043DFE">
              <w:rPr>
                <w:rFonts w:cs="Arial"/>
                <w:szCs w:val="18"/>
              </w:rPr>
              <w:t>10.24</w:t>
            </w:r>
            <w:r w:rsidRPr="00043DFE">
              <w:rPr>
                <w:rFonts w:cs="Arial"/>
                <w:szCs w:val="18"/>
                <w:lang w:val="sv-SE"/>
              </w:rPr>
              <w:t xml:space="preserve"> x </w:t>
            </w:r>
            <w:r w:rsidRPr="00043DFE">
              <w:rPr>
                <w:rFonts w:cs="Arial"/>
                <w:szCs w:val="18"/>
              </w:rPr>
              <w:t>K1 (2</w:t>
            </w:r>
            <w:r w:rsidRPr="00043DFE">
              <w:rPr>
                <w:rFonts w:cs="Arial"/>
                <w:szCs w:val="18"/>
                <w:lang w:val="sv-SE"/>
              </w:rPr>
              <w:t xml:space="preserve"> x </w:t>
            </w:r>
            <w:r w:rsidRPr="00043DFE">
              <w:rPr>
                <w:rFonts w:cs="Arial"/>
                <w:szCs w:val="18"/>
              </w:rPr>
              <w:t>K1)</w:t>
            </w:r>
          </w:p>
        </w:tc>
      </w:tr>
      <w:tr w:rsidR="009C753C" w:rsidRPr="00043DFE" w14:paraId="3B27F788"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1A03802" w14:textId="77777777" w:rsidR="009C753C" w:rsidRPr="00043DFE" w:rsidRDefault="009C753C" w:rsidP="008B107E">
            <w:pPr>
              <w:pStyle w:val="TAC"/>
            </w:pPr>
            <w:r w:rsidRPr="00043DFE">
              <w:rPr>
                <w:rFonts w:cs="Arial"/>
                <w:szCs w:val="18"/>
              </w:rPr>
              <w:t>10.24</w:t>
            </w:r>
          </w:p>
        </w:tc>
        <w:tc>
          <w:tcPr>
            <w:tcW w:w="0" w:type="auto"/>
            <w:tcBorders>
              <w:top w:val="single" w:sz="4" w:space="0" w:color="auto"/>
              <w:left w:val="single" w:sz="4" w:space="0" w:color="auto"/>
              <w:bottom w:val="single" w:sz="4" w:space="0" w:color="auto"/>
              <w:right w:val="single" w:sz="4" w:space="0" w:color="auto"/>
            </w:tcBorders>
            <w:hideMark/>
          </w:tcPr>
          <w:p w14:paraId="4A9170EE" w14:textId="77777777" w:rsidR="009C753C" w:rsidRPr="00043DFE" w:rsidRDefault="009C753C" w:rsidP="008B107E">
            <w:pPr>
              <w:pStyle w:val="TAC"/>
            </w:pPr>
            <w:r w:rsidRPr="00043DFE">
              <w:rPr>
                <w:rFonts w:cs="Arial"/>
                <w:szCs w:val="18"/>
              </w:rPr>
              <w:t>235.52</w:t>
            </w:r>
            <w:r w:rsidRPr="00043DFE">
              <w:rPr>
                <w:rFonts w:cs="Arial"/>
                <w:szCs w:val="18"/>
                <w:lang w:val="sv-SE"/>
              </w:rPr>
              <w:t xml:space="preserve"> x </w:t>
            </w:r>
            <w:r w:rsidRPr="00043DFE">
              <w:rPr>
                <w:rFonts w:cs="Arial"/>
                <w:szCs w:val="18"/>
              </w:rPr>
              <w:t>K1 (23</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48A629E2" w14:textId="77777777" w:rsidR="009C753C" w:rsidRPr="00043DFE" w:rsidRDefault="009C753C" w:rsidP="008B107E">
            <w:pPr>
              <w:pStyle w:val="TAC"/>
            </w:pPr>
            <w:r w:rsidRPr="00043DFE">
              <w:rPr>
                <w:rFonts w:cs="Arial"/>
                <w:szCs w:val="18"/>
              </w:rPr>
              <w:t>10.24</w:t>
            </w:r>
            <w:r w:rsidRPr="00043DFE">
              <w:rPr>
                <w:rFonts w:cs="Arial"/>
                <w:szCs w:val="18"/>
                <w:lang w:val="sv-SE"/>
              </w:rPr>
              <w:t xml:space="preserve"> x </w:t>
            </w:r>
            <w:r w:rsidRPr="00043DFE">
              <w:rPr>
                <w:rFonts w:cs="Arial"/>
                <w:szCs w:val="18"/>
              </w:rPr>
              <w:t>K1 (1</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29A1B19F" w14:textId="77777777" w:rsidR="009C753C" w:rsidRPr="00043DFE" w:rsidRDefault="009C753C" w:rsidP="008B107E">
            <w:pPr>
              <w:pStyle w:val="TAC"/>
            </w:pPr>
            <w:r w:rsidRPr="00043DFE">
              <w:rPr>
                <w:rFonts w:cs="Arial"/>
                <w:szCs w:val="18"/>
              </w:rPr>
              <w:t>20.48</w:t>
            </w:r>
            <w:r w:rsidRPr="00043DFE">
              <w:rPr>
                <w:rFonts w:cs="Arial"/>
                <w:szCs w:val="18"/>
                <w:lang w:val="sv-SE"/>
              </w:rPr>
              <w:t xml:space="preserve"> x </w:t>
            </w:r>
            <w:r w:rsidRPr="00043DFE">
              <w:rPr>
                <w:rFonts w:cs="Arial"/>
                <w:szCs w:val="18"/>
              </w:rPr>
              <w:t>K1 (2</w:t>
            </w:r>
            <w:r w:rsidRPr="00043DFE">
              <w:rPr>
                <w:rFonts w:cs="Arial"/>
                <w:szCs w:val="18"/>
                <w:lang w:val="sv-SE"/>
              </w:rPr>
              <w:t xml:space="preserve"> x </w:t>
            </w:r>
            <w:r w:rsidRPr="00043DFE">
              <w:rPr>
                <w:rFonts w:cs="Arial"/>
                <w:szCs w:val="18"/>
              </w:rPr>
              <w:t>K1)</w:t>
            </w:r>
          </w:p>
        </w:tc>
      </w:tr>
      <w:tr w:rsidR="009C753C" w:rsidRPr="00043DFE" w14:paraId="7772984B" w14:textId="77777777" w:rsidTr="008B107E">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074FDCEC" w14:textId="77777777" w:rsidR="009C753C" w:rsidRPr="00043DFE" w:rsidRDefault="009C753C" w:rsidP="008B107E">
            <w:pPr>
              <w:pStyle w:val="TAN"/>
              <w:rPr>
                <w:snapToGrid w:val="0"/>
              </w:rPr>
            </w:pPr>
            <w:r w:rsidRPr="00043DFE">
              <w:rPr>
                <w:snapToGrid w:val="0"/>
              </w:rPr>
              <w:t>Note 1</w:t>
            </w:r>
            <w:r w:rsidRPr="00043DFE">
              <w:t>:</w:t>
            </w:r>
            <w:r w:rsidRPr="00043DFE">
              <w:rPr>
                <w:lang w:val="en-US"/>
              </w:rPr>
              <w:tab/>
            </w:r>
            <w:r w:rsidRPr="00043DFE">
              <w:t>Applies for UE of all supporting FR1 power classes.</w:t>
            </w:r>
          </w:p>
          <w:p w14:paraId="1DDB0C46" w14:textId="77777777" w:rsidR="009C753C" w:rsidRPr="00043DFE" w:rsidRDefault="009C753C" w:rsidP="008B107E">
            <w:pPr>
              <w:pStyle w:val="TAN"/>
            </w:pPr>
            <w:r w:rsidRPr="00043DFE">
              <w:rPr>
                <w:rFonts w:cs="Arial"/>
                <w:snapToGrid w:val="0"/>
                <w:szCs w:val="18"/>
              </w:rPr>
              <w:t>Note 2:</w:t>
            </w:r>
            <w:r w:rsidRPr="00043DFE">
              <w:rPr>
                <w:rFonts w:cs="Arial"/>
                <w:snapToGrid w:val="0"/>
                <w:szCs w:val="18"/>
              </w:rPr>
              <w:tab/>
              <w:t xml:space="preserve">K1 = 3 is the measurement relaxation factor applicable for UE fulfilling the </w:t>
            </w:r>
            <w:r w:rsidRPr="00043DFE">
              <w:rPr>
                <w:i/>
                <w:iCs/>
              </w:rPr>
              <w:t xml:space="preserve">cellEdgeEvaluation </w:t>
            </w:r>
            <w:r w:rsidRPr="00043DFE">
              <w:rPr>
                <w:rFonts w:cs="Arial"/>
                <w:snapToGrid w:val="0"/>
                <w:szCs w:val="18"/>
              </w:rPr>
              <w:t>[2] criterion.</w:t>
            </w:r>
          </w:p>
        </w:tc>
      </w:tr>
    </w:tbl>
    <w:p w14:paraId="02495E4D" w14:textId="77777777" w:rsidR="009C753C" w:rsidRPr="00043DFE" w:rsidRDefault="009C753C" w:rsidP="009C753C">
      <w:pPr>
        <w:rPr>
          <w:noProof/>
        </w:rPr>
      </w:pPr>
    </w:p>
    <w:p w14:paraId="53B3568F" w14:textId="77777777" w:rsidR="009C753C" w:rsidRPr="00043DFE" w:rsidRDefault="009C753C" w:rsidP="009C753C">
      <w:pPr>
        <w:pStyle w:val="TH"/>
        <w:rPr>
          <w:lang w:val="en-US"/>
        </w:rPr>
      </w:pPr>
      <w:r w:rsidRPr="00043DFE">
        <w:rPr>
          <w:lang w:val="en-US"/>
        </w:rPr>
        <w:t>Table 4.2.2.9.3-3: T</w:t>
      </w:r>
      <w:r w:rsidRPr="00043DFE">
        <w:rPr>
          <w:vertAlign w:val="subscript"/>
          <w:lang w:val="en-US"/>
        </w:rPr>
        <w:t>detect,NR_Intra_Relax</w:t>
      </w:r>
      <w:r w:rsidRPr="00043DFE">
        <w:rPr>
          <w:lang w:val="en-US"/>
        </w:rPr>
        <w:t>, T</w:t>
      </w:r>
      <w:r w:rsidRPr="00043DFE">
        <w:rPr>
          <w:vertAlign w:val="subscript"/>
          <w:lang w:val="en-US"/>
        </w:rPr>
        <w:t>measure,NR_Intra_Relax</w:t>
      </w:r>
      <w:r w:rsidRPr="00043DFE">
        <w:rPr>
          <w:lang w:val="en-US"/>
        </w:rPr>
        <w:t xml:space="preserve"> and T</w:t>
      </w:r>
      <w:r w:rsidRPr="00043DFE">
        <w:rPr>
          <w:vertAlign w:val="subscript"/>
          <w:lang w:val="en-US"/>
        </w:rPr>
        <w:t>evaluate,NR_Intra_Relax</w:t>
      </w:r>
      <w:r w:rsidRPr="00043DFE">
        <w:rPr>
          <w:lang w:val="en-US"/>
        </w:rPr>
        <w:t xml:space="preserve"> for UE configured with eDRX_IDLE cycle </w:t>
      </w:r>
      <w:r w:rsidRPr="00043DFE">
        <w:t>(Frequency range FR2)</w:t>
      </w:r>
      <w:r w:rsidRPr="00043DFE">
        <w:rPr>
          <w:lang w:val="en-US"/>
        </w:rPr>
        <w:t xml:space="preserve"> 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598"/>
        <w:gridCol w:w="2738"/>
        <w:gridCol w:w="2719"/>
      </w:tblGrid>
      <w:tr w:rsidR="009C753C" w:rsidRPr="00043DFE" w14:paraId="3270B4D0" w14:textId="77777777" w:rsidTr="008B107E">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220C9AB3" w14:textId="77777777" w:rsidR="009C753C" w:rsidRPr="00043DFE" w:rsidRDefault="009C753C" w:rsidP="008B107E">
            <w:pPr>
              <w:pStyle w:val="TAH"/>
            </w:pPr>
            <w:r w:rsidRPr="00043DFE">
              <w:t>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58977AF9" w14:textId="77777777" w:rsidR="009C753C" w:rsidRPr="00043DFE" w:rsidRDefault="009C753C" w:rsidP="008B107E">
            <w:pPr>
              <w:pStyle w:val="TAH"/>
            </w:pPr>
            <w:r w:rsidRPr="00043DFE">
              <w:rPr>
                <w:szCs w:val="18"/>
                <w:lang w:val="en-US"/>
              </w:rPr>
              <w:t>T</w:t>
            </w:r>
            <w:r w:rsidRPr="00043DFE">
              <w:rPr>
                <w:szCs w:val="18"/>
                <w:vertAlign w:val="subscript"/>
                <w:lang w:val="en-US"/>
              </w:rPr>
              <w:t>detect,NR_Intra_Relax</w:t>
            </w:r>
            <w:r w:rsidRPr="00043DFE">
              <w:rPr>
                <w:szCs w:val="18"/>
              </w:rPr>
              <w:t xml:space="preserve"> [s]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46559A44" w14:textId="77777777" w:rsidR="009C753C" w:rsidRPr="00043DFE" w:rsidRDefault="009C753C" w:rsidP="008B107E">
            <w:pPr>
              <w:pStyle w:val="TAH"/>
            </w:pPr>
            <w:r w:rsidRPr="00043DFE">
              <w:rPr>
                <w:szCs w:val="18"/>
                <w:lang w:val="en-US"/>
              </w:rPr>
              <w:t>T</w:t>
            </w:r>
            <w:r w:rsidRPr="00043DFE">
              <w:rPr>
                <w:szCs w:val="18"/>
                <w:vertAlign w:val="subscript"/>
                <w:lang w:val="en-US"/>
              </w:rPr>
              <w:t>measure,NR_Intra_Relax</w:t>
            </w:r>
            <w:r w:rsidRPr="00043DFE">
              <w:rPr>
                <w:szCs w:val="18"/>
                <w:lang w:val="en-US"/>
              </w:rPr>
              <w:t xml:space="preserve"> </w:t>
            </w:r>
            <w:r w:rsidRPr="00043DFE">
              <w:rPr>
                <w:szCs w:val="18"/>
              </w:rPr>
              <w:t>[s]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5D0C0D8D" w14:textId="77777777" w:rsidR="009C753C" w:rsidRPr="00043DFE" w:rsidRDefault="009C753C" w:rsidP="008B107E">
            <w:pPr>
              <w:pStyle w:val="TAH"/>
            </w:pPr>
            <w:r w:rsidRPr="00043DFE">
              <w:rPr>
                <w:szCs w:val="18"/>
                <w:lang w:val="en-US"/>
              </w:rPr>
              <w:t>T</w:t>
            </w:r>
            <w:r w:rsidRPr="00043DFE">
              <w:rPr>
                <w:szCs w:val="18"/>
                <w:vertAlign w:val="subscript"/>
                <w:lang w:val="en-US"/>
              </w:rPr>
              <w:t xml:space="preserve">evaluate,NR_Intra_Relax </w:t>
            </w:r>
            <w:r w:rsidRPr="00043DFE">
              <w:rPr>
                <w:szCs w:val="18"/>
              </w:rPr>
              <w:t>[s] (number of eDRX IDLE cycles)</w:t>
            </w:r>
          </w:p>
        </w:tc>
      </w:tr>
      <w:tr w:rsidR="009C753C" w:rsidRPr="00043DFE" w14:paraId="1ACD04E2" w14:textId="77777777" w:rsidTr="008B107E">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D55A31" w14:textId="77777777" w:rsidR="009C753C" w:rsidRPr="00043DFE" w:rsidRDefault="009C753C"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F1E058" w14:textId="77777777" w:rsidR="009C753C" w:rsidRPr="00043DFE" w:rsidRDefault="009C753C"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3861F1" w14:textId="77777777" w:rsidR="009C753C" w:rsidRPr="00043DFE" w:rsidRDefault="009C753C"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122973" w14:textId="77777777" w:rsidR="009C753C" w:rsidRPr="00043DFE" w:rsidRDefault="009C753C" w:rsidP="008B107E">
            <w:pPr>
              <w:keepNext/>
              <w:keepLines/>
              <w:spacing w:after="0"/>
              <w:jc w:val="center"/>
              <w:rPr>
                <w:rFonts w:ascii="Arial" w:hAnsi="Arial"/>
                <w:b/>
                <w:sz w:val="18"/>
              </w:rPr>
            </w:pPr>
          </w:p>
        </w:tc>
      </w:tr>
      <w:tr w:rsidR="009C753C" w:rsidRPr="00043DFE" w14:paraId="6949CF75"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6411F5A" w14:textId="77777777" w:rsidR="009C753C" w:rsidRPr="00043DFE" w:rsidRDefault="009C753C" w:rsidP="008B107E">
            <w:pPr>
              <w:pStyle w:val="TAC"/>
            </w:pPr>
            <w:r w:rsidRPr="00043DFE">
              <w:t>2.56</w:t>
            </w:r>
          </w:p>
        </w:tc>
        <w:tc>
          <w:tcPr>
            <w:tcW w:w="0" w:type="auto"/>
            <w:tcBorders>
              <w:top w:val="single" w:sz="4" w:space="0" w:color="auto"/>
              <w:left w:val="single" w:sz="4" w:space="0" w:color="auto"/>
              <w:bottom w:val="single" w:sz="4" w:space="0" w:color="auto"/>
              <w:right w:val="single" w:sz="4" w:space="0" w:color="auto"/>
            </w:tcBorders>
            <w:hideMark/>
          </w:tcPr>
          <w:p w14:paraId="4B5CA3F3" w14:textId="77777777" w:rsidR="009C753C" w:rsidRPr="00043DFE" w:rsidRDefault="009C753C" w:rsidP="008B107E">
            <w:pPr>
              <w:pStyle w:val="TAC"/>
              <w:rPr>
                <w:lang w:val="sv-SE"/>
              </w:rPr>
            </w:pPr>
            <w:r w:rsidRPr="00043DFE">
              <w:rPr>
                <w:rFonts w:cs="Arial"/>
                <w:szCs w:val="18"/>
                <w:lang w:val="sv-SE"/>
              </w:rPr>
              <w:t>58.88 x N1 x K1 (23 x N1 x K1)</w:t>
            </w:r>
          </w:p>
        </w:tc>
        <w:tc>
          <w:tcPr>
            <w:tcW w:w="0" w:type="auto"/>
            <w:tcBorders>
              <w:top w:val="single" w:sz="4" w:space="0" w:color="auto"/>
              <w:left w:val="single" w:sz="4" w:space="0" w:color="auto"/>
              <w:bottom w:val="single" w:sz="4" w:space="0" w:color="auto"/>
              <w:right w:val="single" w:sz="4" w:space="0" w:color="auto"/>
            </w:tcBorders>
            <w:hideMark/>
          </w:tcPr>
          <w:p w14:paraId="3C0A7C77" w14:textId="77777777" w:rsidR="009C753C" w:rsidRPr="00043DFE" w:rsidRDefault="009C753C" w:rsidP="008B107E">
            <w:pPr>
              <w:pStyle w:val="TAC"/>
              <w:rPr>
                <w:lang w:val="sv-SE"/>
              </w:rPr>
            </w:pPr>
            <w:r w:rsidRPr="00043DFE">
              <w:rPr>
                <w:rFonts w:cs="Arial"/>
                <w:szCs w:val="18"/>
                <w:lang w:val="sv-SE"/>
              </w:rPr>
              <w:t>2.56 x N1 x K1 (1 x K1)</w:t>
            </w:r>
          </w:p>
        </w:tc>
        <w:tc>
          <w:tcPr>
            <w:tcW w:w="0" w:type="auto"/>
            <w:tcBorders>
              <w:top w:val="single" w:sz="4" w:space="0" w:color="auto"/>
              <w:left w:val="single" w:sz="4" w:space="0" w:color="auto"/>
              <w:bottom w:val="single" w:sz="4" w:space="0" w:color="auto"/>
              <w:right w:val="single" w:sz="4" w:space="0" w:color="auto"/>
            </w:tcBorders>
            <w:hideMark/>
          </w:tcPr>
          <w:p w14:paraId="7955BD3D" w14:textId="77777777" w:rsidR="009C753C" w:rsidRPr="00043DFE" w:rsidRDefault="009C753C" w:rsidP="008B107E">
            <w:pPr>
              <w:pStyle w:val="TAC"/>
              <w:rPr>
                <w:lang w:val="sv-SE"/>
              </w:rPr>
            </w:pPr>
            <w:r w:rsidRPr="00043DFE">
              <w:rPr>
                <w:rFonts w:cs="Arial"/>
                <w:szCs w:val="18"/>
                <w:lang w:val="sv-SE"/>
              </w:rPr>
              <w:t>7.68 x N1 x K1 (3 x N1 x K1)</w:t>
            </w:r>
          </w:p>
        </w:tc>
      </w:tr>
      <w:tr w:rsidR="009C753C" w:rsidRPr="00043DFE" w14:paraId="2D8588DA"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FA8B6E9" w14:textId="77777777" w:rsidR="009C753C" w:rsidRPr="00043DFE" w:rsidRDefault="009C753C" w:rsidP="008B107E">
            <w:pPr>
              <w:pStyle w:val="TAC"/>
            </w:pPr>
            <w:r w:rsidRPr="00043DFE">
              <w:rPr>
                <w:rFonts w:cs="Arial"/>
                <w:szCs w:val="18"/>
              </w:rPr>
              <w:t>5.12</w:t>
            </w:r>
          </w:p>
        </w:tc>
        <w:tc>
          <w:tcPr>
            <w:tcW w:w="0" w:type="auto"/>
            <w:tcBorders>
              <w:top w:val="single" w:sz="4" w:space="0" w:color="auto"/>
              <w:left w:val="single" w:sz="4" w:space="0" w:color="auto"/>
              <w:bottom w:val="single" w:sz="4" w:space="0" w:color="auto"/>
              <w:right w:val="single" w:sz="4" w:space="0" w:color="auto"/>
            </w:tcBorders>
            <w:hideMark/>
          </w:tcPr>
          <w:p w14:paraId="167DE8B5" w14:textId="77777777" w:rsidR="009C753C" w:rsidRPr="00043DFE" w:rsidRDefault="009C753C" w:rsidP="008B107E">
            <w:pPr>
              <w:pStyle w:val="TAC"/>
            </w:pPr>
            <w:r w:rsidRPr="00043DFE">
              <w:rPr>
                <w:rFonts w:cs="Arial"/>
                <w:szCs w:val="18"/>
              </w:rPr>
              <w:t>117.76</w:t>
            </w:r>
            <w:r w:rsidRPr="00043DFE">
              <w:rPr>
                <w:rFonts w:cs="Arial"/>
                <w:szCs w:val="18"/>
                <w:lang w:val="sv-SE"/>
              </w:rPr>
              <w:t xml:space="preserve"> x N1</w:t>
            </w:r>
            <w:r w:rsidRPr="00043DFE">
              <w:rPr>
                <w:rFonts w:cs="Arial"/>
                <w:szCs w:val="18"/>
              </w:rPr>
              <w:t xml:space="preserve"> x K1 (23</w:t>
            </w:r>
            <w:r w:rsidRPr="00043DFE">
              <w:rPr>
                <w:rFonts w:cs="Arial"/>
                <w:szCs w:val="18"/>
                <w:lang w:val="sv-SE"/>
              </w:rPr>
              <w:t xml:space="preserve"> x N1</w:t>
            </w:r>
            <w:r w:rsidRPr="00043DFE">
              <w:rPr>
                <w:rFonts w:cs="Arial"/>
                <w:szCs w:val="18"/>
              </w:rPr>
              <w:t xml:space="preserve"> x K1)</w:t>
            </w:r>
          </w:p>
        </w:tc>
        <w:tc>
          <w:tcPr>
            <w:tcW w:w="0" w:type="auto"/>
            <w:tcBorders>
              <w:top w:val="single" w:sz="4" w:space="0" w:color="auto"/>
              <w:left w:val="single" w:sz="4" w:space="0" w:color="auto"/>
              <w:bottom w:val="single" w:sz="4" w:space="0" w:color="auto"/>
              <w:right w:val="single" w:sz="4" w:space="0" w:color="auto"/>
            </w:tcBorders>
            <w:hideMark/>
          </w:tcPr>
          <w:p w14:paraId="775515FB" w14:textId="77777777" w:rsidR="009C753C" w:rsidRPr="00043DFE" w:rsidRDefault="009C753C" w:rsidP="008B107E">
            <w:pPr>
              <w:pStyle w:val="TAC"/>
            </w:pPr>
            <w:r w:rsidRPr="00043DFE">
              <w:rPr>
                <w:rFonts w:cs="Arial"/>
                <w:szCs w:val="18"/>
              </w:rPr>
              <w:t>5.12</w:t>
            </w:r>
            <w:r w:rsidRPr="00043DFE">
              <w:rPr>
                <w:rFonts w:cs="Arial"/>
                <w:szCs w:val="18"/>
                <w:lang w:val="sv-SE"/>
              </w:rPr>
              <w:t xml:space="preserve"> x N1</w:t>
            </w:r>
            <w:r w:rsidRPr="00043DFE">
              <w:rPr>
                <w:rFonts w:cs="Arial"/>
                <w:szCs w:val="18"/>
              </w:rPr>
              <w:t xml:space="preserve"> x K1 (1</w:t>
            </w:r>
            <w:r w:rsidRPr="00043DFE">
              <w:rPr>
                <w:rFonts w:cs="Arial"/>
                <w:szCs w:val="18"/>
                <w:lang w:val="sv-SE"/>
              </w:rPr>
              <w:t xml:space="preserve"> x N1</w:t>
            </w:r>
            <w:r w:rsidRPr="00043DFE">
              <w:rPr>
                <w:rFonts w:cs="Arial"/>
                <w:szCs w:val="18"/>
              </w:rPr>
              <w:t xml:space="preserve"> x K1)</w:t>
            </w:r>
          </w:p>
        </w:tc>
        <w:tc>
          <w:tcPr>
            <w:tcW w:w="0" w:type="auto"/>
            <w:tcBorders>
              <w:top w:val="single" w:sz="4" w:space="0" w:color="auto"/>
              <w:left w:val="single" w:sz="4" w:space="0" w:color="auto"/>
              <w:bottom w:val="single" w:sz="4" w:space="0" w:color="auto"/>
              <w:right w:val="single" w:sz="4" w:space="0" w:color="auto"/>
            </w:tcBorders>
            <w:hideMark/>
          </w:tcPr>
          <w:p w14:paraId="16394129" w14:textId="77777777" w:rsidR="009C753C" w:rsidRPr="00043DFE" w:rsidRDefault="009C753C" w:rsidP="008B107E">
            <w:pPr>
              <w:pStyle w:val="TAC"/>
            </w:pPr>
            <w:r w:rsidRPr="00043DFE">
              <w:rPr>
                <w:rFonts w:cs="Arial"/>
                <w:szCs w:val="18"/>
              </w:rPr>
              <w:t>10.24</w:t>
            </w:r>
            <w:r w:rsidRPr="00043DFE">
              <w:rPr>
                <w:rFonts w:cs="Arial"/>
                <w:szCs w:val="18"/>
                <w:lang w:val="sv-SE"/>
              </w:rPr>
              <w:t xml:space="preserve"> x N1</w:t>
            </w:r>
            <w:r w:rsidRPr="00043DFE">
              <w:rPr>
                <w:rFonts w:cs="Arial"/>
                <w:szCs w:val="18"/>
              </w:rPr>
              <w:t xml:space="preserve"> x K1 (2</w:t>
            </w:r>
            <w:r w:rsidRPr="00043DFE">
              <w:rPr>
                <w:rFonts w:cs="Arial"/>
                <w:szCs w:val="18"/>
                <w:lang w:val="sv-SE"/>
              </w:rPr>
              <w:t xml:space="preserve"> x N1</w:t>
            </w:r>
            <w:r w:rsidRPr="00043DFE">
              <w:rPr>
                <w:rFonts w:cs="Arial"/>
                <w:szCs w:val="18"/>
              </w:rPr>
              <w:t xml:space="preserve"> x K1)</w:t>
            </w:r>
          </w:p>
        </w:tc>
      </w:tr>
      <w:tr w:rsidR="009C753C" w:rsidRPr="00043DFE" w14:paraId="5FCFBF84"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6DFED8E" w14:textId="77777777" w:rsidR="009C753C" w:rsidRPr="00043DFE" w:rsidRDefault="009C753C" w:rsidP="008B107E">
            <w:pPr>
              <w:pStyle w:val="TAC"/>
            </w:pPr>
            <w:r w:rsidRPr="00043DFE">
              <w:rPr>
                <w:rFonts w:cs="Arial"/>
                <w:szCs w:val="18"/>
              </w:rPr>
              <w:t>10.24</w:t>
            </w:r>
          </w:p>
        </w:tc>
        <w:tc>
          <w:tcPr>
            <w:tcW w:w="0" w:type="auto"/>
            <w:tcBorders>
              <w:top w:val="single" w:sz="4" w:space="0" w:color="auto"/>
              <w:left w:val="single" w:sz="4" w:space="0" w:color="auto"/>
              <w:bottom w:val="single" w:sz="4" w:space="0" w:color="auto"/>
              <w:right w:val="single" w:sz="4" w:space="0" w:color="auto"/>
            </w:tcBorders>
            <w:hideMark/>
          </w:tcPr>
          <w:p w14:paraId="07A9630A" w14:textId="77777777" w:rsidR="009C753C" w:rsidRPr="00043DFE" w:rsidRDefault="009C753C" w:rsidP="008B107E">
            <w:pPr>
              <w:pStyle w:val="TAC"/>
            </w:pPr>
            <w:r w:rsidRPr="00043DFE">
              <w:rPr>
                <w:rFonts w:cs="Arial"/>
                <w:szCs w:val="18"/>
              </w:rPr>
              <w:t>235.52</w:t>
            </w:r>
            <w:r w:rsidRPr="00043DFE">
              <w:rPr>
                <w:rFonts w:cs="Arial"/>
                <w:szCs w:val="18"/>
                <w:lang w:val="sv-SE"/>
              </w:rPr>
              <w:t xml:space="preserve"> x N1</w:t>
            </w:r>
            <w:r w:rsidRPr="00043DFE">
              <w:rPr>
                <w:rFonts w:cs="Arial"/>
                <w:szCs w:val="18"/>
              </w:rPr>
              <w:t xml:space="preserve"> x K1 (23</w:t>
            </w:r>
            <w:r w:rsidRPr="00043DFE">
              <w:rPr>
                <w:rFonts w:cs="Arial"/>
                <w:szCs w:val="18"/>
                <w:lang w:val="sv-SE"/>
              </w:rPr>
              <w:t xml:space="preserve"> x N1</w:t>
            </w:r>
            <w:r w:rsidRPr="00043DFE">
              <w:rPr>
                <w:rFonts w:cs="Arial"/>
                <w:szCs w:val="18"/>
              </w:rPr>
              <w:t xml:space="preserve"> x K1)</w:t>
            </w:r>
          </w:p>
        </w:tc>
        <w:tc>
          <w:tcPr>
            <w:tcW w:w="0" w:type="auto"/>
            <w:tcBorders>
              <w:top w:val="single" w:sz="4" w:space="0" w:color="auto"/>
              <w:left w:val="single" w:sz="4" w:space="0" w:color="auto"/>
              <w:bottom w:val="single" w:sz="4" w:space="0" w:color="auto"/>
              <w:right w:val="single" w:sz="4" w:space="0" w:color="auto"/>
            </w:tcBorders>
            <w:hideMark/>
          </w:tcPr>
          <w:p w14:paraId="08493341" w14:textId="77777777" w:rsidR="009C753C" w:rsidRPr="00043DFE" w:rsidRDefault="009C753C" w:rsidP="008B107E">
            <w:pPr>
              <w:pStyle w:val="TAC"/>
            </w:pPr>
            <w:r w:rsidRPr="00043DFE">
              <w:rPr>
                <w:rFonts w:cs="Arial"/>
                <w:szCs w:val="18"/>
              </w:rPr>
              <w:t>10.24</w:t>
            </w:r>
            <w:r w:rsidRPr="00043DFE">
              <w:rPr>
                <w:rFonts w:cs="Arial"/>
                <w:szCs w:val="18"/>
                <w:lang w:val="sv-SE"/>
              </w:rPr>
              <w:t xml:space="preserve"> x N1</w:t>
            </w:r>
            <w:r w:rsidRPr="00043DFE">
              <w:rPr>
                <w:rFonts w:cs="Arial"/>
                <w:szCs w:val="18"/>
              </w:rPr>
              <w:t xml:space="preserve"> x K1 (1</w:t>
            </w:r>
            <w:r w:rsidRPr="00043DFE">
              <w:rPr>
                <w:rFonts w:cs="Arial"/>
                <w:szCs w:val="18"/>
                <w:lang w:val="sv-SE"/>
              </w:rPr>
              <w:t xml:space="preserve"> x N1</w:t>
            </w:r>
            <w:r w:rsidRPr="00043DFE">
              <w:rPr>
                <w:rFonts w:cs="Arial"/>
                <w:szCs w:val="18"/>
              </w:rPr>
              <w:t xml:space="preserve"> x K1)</w:t>
            </w:r>
          </w:p>
        </w:tc>
        <w:tc>
          <w:tcPr>
            <w:tcW w:w="0" w:type="auto"/>
            <w:tcBorders>
              <w:top w:val="single" w:sz="4" w:space="0" w:color="auto"/>
              <w:left w:val="single" w:sz="4" w:space="0" w:color="auto"/>
              <w:bottom w:val="single" w:sz="4" w:space="0" w:color="auto"/>
              <w:right w:val="single" w:sz="4" w:space="0" w:color="auto"/>
            </w:tcBorders>
            <w:hideMark/>
          </w:tcPr>
          <w:p w14:paraId="7B3FF610" w14:textId="77777777" w:rsidR="009C753C" w:rsidRPr="00043DFE" w:rsidRDefault="009C753C" w:rsidP="008B107E">
            <w:pPr>
              <w:pStyle w:val="TAC"/>
            </w:pPr>
            <w:r w:rsidRPr="00043DFE">
              <w:rPr>
                <w:rFonts w:cs="Arial"/>
                <w:szCs w:val="18"/>
              </w:rPr>
              <w:t>20.48</w:t>
            </w:r>
            <w:r w:rsidRPr="00043DFE">
              <w:rPr>
                <w:rFonts w:cs="Arial"/>
                <w:szCs w:val="18"/>
                <w:lang w:val="sv-SE"/>
              </w:rPr>
              <w:t xml:space="preserve"> x N1</w:t>
            </w:r>
            <w:r w:rsidRPr="00043DFE">
              <w:rPr>
                <w:rFonts w:cs="Arial"/>
                <w:szCs w:val="18"/>
              </w:rPr>
              <w:t xml:space="preserve"> x K1 (2</w:t>
            </w:r>
            <w:r w:rsidRPr="00043DFE">
              <w:rPr>
                <w:rFonts w:cs="Arial"/>
                <w:szCs w:val="18"/>
                <w:lang w:val="sv-SE"/>
              </w:rPr>
              <w:t xml:space="preserve"> x N1</w:t>
            </w:r>
            <w:r w:rsidRPr="00043DFE">
              <w:rPr>
                <w:rFonts w:cs="Arial"/>
                <w:szCs w:val="18"/>
              </w:rPr>
              <w:t xml:space="preserve"> x K1)</w:t>
            </w:r>
          </w:p>
        </w:tc>
      </w:tr>
      <w:tr w:rsidR="009C753C" w:rsidRPr="00043DFE" w14:paraId="48EAC81A" w14:textId="77777777" w:rsidTr="008B107E">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3FF326F6" w14:textId="77777777" w:rsidR="009C753C" w:rsidRPr="00043DFE" w:rsidRDefault="009C753C" w:rsidP="008B107E">
            <w:pPr>
              <w:pStyle w:val="TAN"/>
              <w:rPr>
                <w:snapToGrid w:val="0"/>
              </w:rPr>
            </w:pPr>
            <w:r w:rsidRPr="00043DFE">
              <w:rPr>
                <w:snapToGrid w:val="0"/>
              </w:rPr>
              <w:t>Note 1</w:t>
            </w:r>
            <w:r w:rsidRPr="00043DFE">
              <w:t>:</w:t>
            </w:r>
            <w:r w:rsidRPr="00043DFE">
              <w:rPr>
                <w:lang w:val="en-US"/>
              </w:rPr>
              <w:tab/>
            </w:r>
            <w:r w:rsidRPr="00043DFE">
              <w:t xml:space="preserve">Applies for UE supporting FR2-1 power class </w:t>
            </w:r>
            <w:r w:rsidRPr="00043DFE">
              <w:rPr>
                <w:lang w:eastAsia="zh-CN"/>
              </w:rPr>
              <w:t>2&amp;3&amp;4</w:t>
            </w:r>
            <w:r w:rsidRPr="00043DFE">
              <w:t>. For UE supporting FR2-1 power class 1 or 5, N1 = 8 for all DRX cycle length.</w:t>
            </w:r>
          </w:p>
          <w:p w14:paraId="6E2A7671" w14:textId="77777777" w:rsidR="009C753C" w:rsidRPr="00043DFE" w:rsidRDefault="009C753C" w:rsidP="008B107E">
            <w:pPr>
              <w:pStyle w:val="TAN"/>
              <w:rPr>
                <w:snapToGrid w:val="0"/>
              </w:rPr>
            </w:pPr>
            <w:r w:rsidRPr="00043DFE">
              <w:rPr>
                <w:snapToGrid w:val="0"/>
              </w:rPr>
              <w:t>Note 2</w:t>
            </w:r>
            <w:r w:rsidRPr="00043DFE">
              <w:t>:</w:t>
            </w:r>
            <w:r w:rsidRPr="00043DFE">
              <w:rPr>
                <w:lang w:val="en-US"/>
              </w:rPr>
              <w:tab/>
            </w:r>
            <w:r w:rsidRPr="00043DFE">
              <w:t>N1 = 3.</w:t>
            </w:r>
          </w:p>
          <w:p w14:paraId="6E0ECD67" w14:textId="77777777" w:rsidR="009C753C" w:rsidRPr="00043DFE" w:rsidRDefault="009C753C" w:rsidP="008B107E">
            <w:pPr>
              <w:pStyle w:val="TAN"/>
            </w:pPr>
            <w:r w:rsidRPr="00043DFE">
              <w:rPr>
                <w:rFonts w:cs="Arial"/>
                <w:snapToGrid w:val="0"/>
                <w:szCs w:val="18"/>
              </w:rPr>
              <w:t>Note 3:</w:t>
            </w:r>
            <w:r w:rsidRPr="00043DFE">
              <w:rPr>
                <w:rFonts w:cs="Arial"/>
                <w:snapToGrid w:val="0"/>
                <w:szCs w:val="18"/>
              </w:rPr>
              <w:tab/>
              <w:t xml:space="preserve">K1 = 3 is the measurement relaxation factor applicable for UE fulfilling the </w:t>
            </w:r>
            <w:r w:rsidRPr="00043DFE">
              <w:rPr>
                <w:i/>
                <w:iCs/>
              </w:rPr>
              <w:t xml:space="preserve">cellEdgeEvaluation </w:t>
            </w:r>
            <w:r w:rsidRPr="00043DFE">
              <w:rPr>
                <w:rFonts w:cs="Arial"/>
                <w:snapToGrid w:val="0"/>
                <w:szCs w:val="18"/>
              </w:rPr>
              <w:t>[2] criterion.</w:t>
            </w:r>
          </w:p>
        </w:tc>
      </w:tr>
    </w:tbl>
    <w:p w14:paraId="720B65A2" w14:textId="77777777" w:rsidR="009C753C" w:rsidRPr="00043DFE" w:rsidRDefault="009C753C" w:rsidP="009C753C">
      <w:pPr>
        <w:rPr>
          <w:noProof/>
        </w:rPr>
      </w:pPr>
    </w:p>
    <w:p w14:paraId="3A46F00A" w14:textId="77777777" w:rsidR="009C753C" w:rsidRPr="00043DFE" w:rsidRDefault="009C753C" w:rsidP="009C753C">
      <w:pPr>
        <w:pStyle w:val="TH"/>
        <w:rPr>
          <w:lang w:val="en-US"/>
        </w:rPr>
      </w:pPr>
      <w:r w:rsidRPr="00043DFE">
        <w:rPr>
          <w:lang w:val="en-US"/>
        </w:rPr>
        <w:t>Table 4.2.2.9.3-4: T</w:t>
      </w:r>
      <w:r w:rsidRPr="00043DFE">
        <w:rPr>
          <w:vertAlign w:val="subscript"/>
          <w:lang w:val="en-US"/>
        </w:rPr>
        <w:t>detect,NR_Intra_Relax</w:t>
      </w:r>
      <w:r w:rsidRPr="00043DFE">
        <w:rPr>
          <w:lang w:val="en-US"/>
        </w:rPr>
        <w:t>, T</w:t>
      </w:r>
      <w:r w:rsidRPr="00043DFE">
        <w:rPr>
          <w:vertAlign w:val="subscript"/>
          <w:lang w:val="en-US"/>
        </w:rPr>
        <w:t>measure,NR_Intra_Relax</w:t>
      </w:r>
      <w:r w:rsidRPr="00043DFE">
        <w:rPr>
          <w:lang w:val="en-US"/>
        </w:rPr>
        <w:t xml:space="preserve"> and T</w:t>
      </w:r>
      <w:r w:rsidRPr="00043DFE">
        <w:rPr>
          <w:vertAlign w:val="subscript"/>
          <w:lang w:val="en-US"/>
        </w:rPr>
        <w:t>evaluate,NR_Intra_Relax</w:t>
      </w:r>
      <w:r w:rsidRPr="00043DFE">
        <w:rPr>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756"/>
        <w:gridCol w:w="936"/>
        <w:gridCol w:w="2819"/>
        <w:gridCol w:w="1860"/>
        <w:gridCol w:w="1846"/>
      </w:tblGrid>
      <w:tr w:rsidR="009C753C" w:rsidRPr="00043DFE" w14:paraId="6DC191C8" w14:textId="77777777" w:rsidTr="008B107E">
        <w:trPr>
          <w:trHeight w:val="1692"/>
        </w:trPr>
        <w:tc>
          <w:tcPr>
            <w:tcW w:w="1198" w:type="dxa"/>
            <w:hideMark/>
          </w:tcPr>
          <w:p w14:paraId="4E737098" w14:textId="77777777" w:rsidR="009C753C" w:rsidRPr="00043DFE" w:rsidRDefault="009C753C" w:rsidP="008B107E">
            <w:pPr>
              <w:pStyle w:val="TAH"/>
              <w:rPr>
                <w:lang w:val="en-US"/>
              </w:rPr>
            </w:pPr>
            <w:r w:rsidRPr="00043DFE">
              <w:t>eDRX_IDLE cycle length [s]</w:t>
            </w:r>
          </w:p>
        </w:tc>
        <w:tc>
          <w:tcPr>
            <w:tcW w:w="751" w:type="dxa"/>
            <w:hideMark/>
          </w:tcPr>
          <w:p w14:paraId="3DB36391" w14:textId="77777777" w:rsidR="009C753C" w:rsidRPr="00043DFE" w:rsidRDefault="009C753C" w:rsidP="008B107E">
            <w:pPr>
              <w:pStyle w:val="TAH"/>
              <w:rPr>
                <w:lang w:val="en-US"/>
              </w:rPr>
            </w:pPr>
            <w:r w:rsidRPr="00043DFE">
              <w:t>DRX cycle length [s]</w:t>
            </w:r>
          </w:p>
        </w:tc>
        <w:tc>
          <w:tcPr>
            <w:tcW w:w="930" w:type="dxa"/>
            <w:hideMark/>
          </w:tcPr>
          <w:p w14:paraId="25FF7E2E" w14:textId="77777777" w:rsidR="009C753C" w:rsidRPr="00043DFE" w:rsidRDefault="009C753C" w:rsidP="008B107E">
            <w:pPr>
              <w:pStyle w:val="TAH"/>
              <w:rPr>
                <w:lang w:val="en-US"/>
              </w:rPr>
            </w:pPr>
            <w:r w:rsidRPr="00043DFE">
              <w:t>PTW length [s] (number of 1.28s periods)</w:t>
            </w:r>
          </w:p>
        </w:tc>
        <w:tc>
          <w:tcPr>
            <w:tcW w:w="2431" w:type="dxa"/>
            <w:hideMark/>
          </w:tcPr>
          <w:p w14:paraId="55986FA5" w14:textId="77777777" w:rsidR="009C753C" w:rsidRPr="00043DFE" w:rsidRDefault="009C753C" w:rsidP="008B107E">
            <w:pPr>
              <w:pStyle w:val="TAH"/>
              <w:rPr>
                <w:szCs w:val="18"/>
                <w:lang w:val="en-US"/>
              </w:rPr>
            </w:pPr>
            <w:r w:rsidRPr="00043DFE">
              <w:rPr>
                <w:szCs w:val="18"/>
                <w:lang w:val="en-US"/>
              </w:rPr>
              <w:t>T</w:t>
            </w:r>
            <w:r w:rsidRPr="00043DFE">
              <w:rPr>
                <w:szCs w:val="18"/>
                <w:vertAlign w:val="subscript"/>
                <w:lang w:val="en-US"/>
              </w:rPr>
              <w:t>detect,NR_Intra_Relax</w:t>
            </w:r>
            <w:r w:rsidRPr="00043DFE">
              <w:rPr>
                <w:szCs w:val="18"/>
              </w:rPr>
              <w:t xml:space="preserve"> [s] (number of DRX cycles or eDRX cycles </w:t>
            </w:r>
            <w:r w:rsidRPr="00043DFE">
              <w:rPr>
                <w:szCs w:val="18"/>
                <w:vertAlign w:val="superscript"/>
              </w:rPr>
              <w:t>Note 3</w:t>
            </w:r>
            <w:r w:rsidRPr="00043DFE">
              <w:rPr>
                <w:szCs w:val="18"/>
              </w:rPr>
              <w:t>)</w:t>
            </w:r>
          </w:p>
        </w:tc>
        <w:tc>
          <w:tcPr>
            <w:tcW w:w="1860" w:type="dxa"/>
            <w:hideMark/>
          </w:tcPr>
          <w:p w14:paraId="53FFEAFA" w14:textId="77777777" w:rsidR="009C753C" w:rsidRPr="00043DFE" w:rsidRDefault="009C753C" w:rsidP="008B107E">
            <w:pPr>
              <w:pStyle w:val="TAH"/>
              <w:rPr>
                <w:szCs w:val="18"/>
                <w:lang w:val="en-US"/>
              </w:rPr>
            </w:pPr>
            <w:r w:rsidRPr="00043DFE">
              <w:rPr>
                <w:szCs w:val="18"/>
                <w:lang w:val="en-US"/>
              </w:rPr>
              <w:t>T</w:t>
            </w:r>
            <w:r w:rsidRPr="00043DFE">
              <w:rPr>
                <w:szCs w:val="18"/>
                <w:vertAlign w:val="subscript"/>
                <w:lang w:val="en-US"/>
              </w:rPr>
              <w:t>measure,NR_Intra_Relax</w:t>
            </w:r>
            <w:r w:rsidRPr="00043DFE">
              <w:rPr>
                <w:szCs w:val="18"/>
                <w:lang w:val="en-US"/>
              </w:rPr>
              <w:t xml:space="preserve"> </w:t>
            </w:r>
            <w:r w:rsidRPr="00043DFE">
              <w:rPr>
                <w:szCs w:val="18"/>
              </w:rPr>
              <w:t xml:space="preserve">[s] (number of DRX cycles or eDRX cycles </w:t>
            </w:r>
            <w:r w:rsidRPr="00043DFE">
              <w:rPr>
                <w:szCs w:val="18"/>
                <w:vertAlign w:val="superscript"/>
              </w:rPr>
              <w:t>Note 3</w:t>
            </w:r>
            <w:r w:rsidRPr="00043DFE">
              <w:rPr>
                <w:szCs w:val="18"/>
              </w:rPr>
              <w:t>)</w:t>
            </w:r>
          </w:p>
        </w:tc>
        <w:tc>
          <w:tcPr>
            <w:tcW w:w="1846" w:type="dxa"/>
          </w:tcPr>
          <w:p w14:paraId="1BE65117" w14:textId="77777777" w:rsidR="009C753C" w:rsidRPr="00043DFE" w:rsidRDefault="009C753C" w:rsidP="008B107E">
            <w:pPr>
              <w:pStyle w:val="TAH"/>
              <w:rPr>
                <w:szCs w:val="18"/>
                <w:lang w:val="en-US"/>
              </w:rPr>
            </w:pPr>
            <w:r w:rsidRPr="00043DFE">
              <w:rPr>
                <w:szCs w:val="18"/>
                <w:lang w:val="en-US"/>
              </w:rPr>
              <w:t>T</w:t>
            </w:r>
            <w:r w:rsidRPr="00043DFE">
              <w:rPr>
                <w:szCs w:val="18"/>
                <w:vertAlign w:val="subscript"/>
                <w:lang w:val="en-US"/>
              </w:rPr>
              <w:t xml:space="preserve">evaluate,NR_Intra_Relax </w:t>
            </w:r>
            <w:r w:rsidRPr="00043DFE">
              <w:rPr>
                <w:szCs w:val="18"/>
              </w:rPr>
              <w:t xml:space="preserve">[s] (number of DRX cycles or eDRX cycles </w:t>
            </w:r>
            <w:r w:rsidRPr="00043DFE">
              <w:rPr>
                <w:szCs w:val="18"/>
                <w:vertAlign w:val="superscript"/>
              </w:rPr>
              <w:t>Note 3</w:t>
            </w:r>
            <w:r w:rsidRPr="00043DFE">
              <w:rPr>
                <w:szCs w:val="18"/>
              </w:rPr>
              <w:t>)</w:t>
            </w:r>
          </w:p>
        </w:tc>
      </w:tr>
      <w:tr w:rsidR="009C753C" w:rsidRPr="00043DFE" w14:paraId="4AA4435C" w14:textId="77777777" w:rsidTr="008B107E">
        <w:trPr>
          <w:trHeight w:val="673"/>
        </w:trPr>
        <w:tc>
          <w:tcPr>
            <w:tcW w:w="1198" w:type="dxa"/>
            <w:tcBorders>
              <w:bottom w:val="nil"/>
            </w:tcBorders>
            <w:hideMark/>
          </w:tcPr>
          <w:p w14:paraId="360288DD" w14:textId="77777777" w:rsidR="009C753C" w:rsidRPr="00043DFE" w:rsidRDefault="009C753C" w:rsidP="008B107E">
            <w:pPr>
              <w:pStyle w:val="TAC"/>
              <w:rPr>
                <w:lang w:val="en-US"/>
              </w:rPr>
            </w:pPr>
            <w:r w:rsidRPr="00043DFE">
              <w:t>20.48 ≤  eDRX_IDLE cycle length ≤[163.84]</w:t>
            </w:r>
          </w:p>
        </w:tc>
        <w:tc>
          <w:tcPr>
            <w:tcW w:w="751" w:type="dxa"/>
            <w:hideMark/>
          </w:tcPr>
          <w:p w14:paraId="1A494CA5" w14:textId="77777777" w:rsidR="009C753C" w:rsidRPr="00043DFE" w:rsidRDefault="009C753C" w:rsidP="008B107E">
            <w:pPr>
              <w:pStyle w:val="TAC"/>
              <w:rPr>
                <w:lang w:val="en-US"/>
              </w:rPr>
            </w:pPr>
            <w:r w:rsidRPr="00043DFE">
              <w:t>0.32</w:t>
            </w:r>
          </w:p>
        </w:tc>
        <w:tc>
          <w:tcPr>
            <w:tcW w:w="930" w:type="dxa"/>
            <w:hideMark/>
          </w:tcPr>
          <w:p w14:paraId="090E1EED" w14:textId="77777777" w:rsidR="009C753C" w:rsidRPr="00043DFE" w:rsidRDefault="009C753C" w:rsidP="008B107E">
            <w:pPr>
              <w:pStyle w:val="TAC"/>
              <w:rPr>
                <w:lang w:val="en-US"/>
              </w:rPr>
            </w:pPr>
            <w:r w:rsidRPr="00043DFE">
              <w:t>≥</w:t>
            </w:r>
            <w:r w:rsidRPr="00043DFE">
              <w:rPr>
                <w:lang w:val="en-US"/>
              </w:rPr>
              <w:t>[</w:t>
            </w:r>
            <w:r w:rsidRPr="00043DFE">
              <w:t>3.84] ([3])</w:t>
            </w:r>
          </w:p>
        </w:tc>
        <w:tc>
          <w:tcPr>
            <w:tcW w:w="2431" w:type="dxa"/>
            <w:tcBorders>
              <w:bottom w:val="nil"/>
            </w:tcBorders>
            <w:hideMark/>
          </w:tcPr>
          <w:p w14:paraId="7DC51A6C" w14:textId="77777777" w:rsidR="009C753C" w:rsidRPr="00043DFE" w:rsidRDefault="009C753C" w:rsidP="008B107E">
            <w:pPr>
              <w:pStyle w:val="TAC"/>
              <w:rPr>
                <w:lang w:val="en-US"/>
              </w:rPr>
            </w:pPr>
            <m:oMathPara>
              <m:oMathParaPr>
                <m:jc m:val="centerGroup"/>
              </m:oMathParaPr>
              <m:oMath>
                <m:r>
                  <w:rPr>
                    <w:rFonts w:ascii="Cambria Math" w:hAnsi="Cambria Math"/>
                    <w:lang w:val="en-US"/>
                  </w:rPr>
                  <m:t>eDRX</m:t>
                </m:r>
                <m:r>
                  <m:rPr>
                    <m:sty m:val="p"/>
                  </m:rPr>
                  <w:rPr>
                    <w:rFonts w:ascii="Cambria Math" w:hAnsi="Cambria Math"/>
                    <w:lang w:val="en-US"/>
                  </w:rPr>
                  <m:t>_</m:t>
                </m:r>
                <m:r>
                  <w:rPr>
                    <w:rFonts w:ascii="Cambria Math" w:hAnsi="Cambria Math"/>
                    <w:lang w:val="en-US"/>
                  </w:rPr>
                  <m:t>cycl</m:t>
                </m:r>
                <m:r>
                  <m:rPr>
                    <m:sty m:val="p"/>
                  </m:rPr>
                  <w:rPr>
                    <w:rFonts w:ascii="Cambria Math" w:hAnsi="Cambria Math"/>
                    <w:lang w:val="en-US"/>
                  </w:rPr>
                  <m:t>e_</m:t>
                </m:r>
                <m:r>
                  <w:rPr>
                    <w:rFonts w:ascii="Cambria Math" w:hAnsi="Cambria Math"/>
                    <w:lang w:val="en-US"/>
                  </w:rPr>
                  <m:t>length×</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23</m:t>
                        </m:r>
                      </m:num>
                      <m:den>
                        <m:r>
                          <w:rPr>
                            <w:rFonts w:ascii="Cambria Math" w:hAnsi="Cambria Math"/>
                            <w:lang w:val="en-US"/>
                          </w:rPr>
                          <m:t>PTW/DRX_cycle_length</m:t>
                        </m:r>
                      </m:den>
                    </m:f>
                  </m:e>
                </m:d>
                <m:r>
                  <m:rPr>
                    <m:sty m:val="p"/>
                  </m:rPr>
                  <w:rPr>
                    <w:rFonts w:ascii="Cambria Math" w:hAnsi="Cambria Math"/>
                    <w:lang w:val="sv-SE"/>
                  </w:rPr>
                  <m:t>x K1</m:t>
                </m:r>
              </m:oMath>
            </m:oMathPara>
          </w:p>
          <w:p w14:paraId="0D93A782" w14:textId="77777777" w:rsidR="009C753C" w:rsidRPr="00043DFE" w:rsidRDefault="009C753C" w:rsidP="008B107E">
            <w:pPr>
              <w:pStyle w:val="TAC"/>
              <w:rPr>
                <w:lang w:val="en-US"/>
              </w:rPr>
            </w:pPr>
            <w:r w:rsidRPr="00043DFE">
              <w:rPr>
                <w:lang w:val="en-US"/>
              </w:rPr>
              <w:t>(23</w:t>
            </w:r>
            <w:r w:rsidRPr="00043DFE">
              <w:rPr>
                <w:lang w:val="sv-SE"/>
              </w:rPr>
              <w:t xml:space="preserve"> x K1</w:t>
            </w:r>
            <w:r w:rsidRPr="00043DFE">
              <w:rPr>
                <w:lang w:val="en-US"/>
              </w:rPr>
              <w:t>)</w:t>
            </w:r>
          </w:p>
        </w:tc>
        <w:tc>
          <w:tcPr>
            <w:tcW w:w="1860" w:type="dxa"/>
            <w:hideMark/>
          </w:tcPr>
          <w:p w14:paraId="748DECE2" w14:textId="77777777" w:rsidR="009C753C" w:rsidRPr="00043DFE" w:rsidRDefault="009C753C" w:rsidP="008B107E">
            <w:pPr>
              <w:pStyle w:val="TAC"/>
            </w:pPr>
            <w:r w:rsidRPr="00043DFE">
              <w:t>0.32 x M2 x K1 (1 x M2 x K1)</w:t>
            </w:r>
          </w:p>
        </w:tc>
        <w:tc>
          <w:tcPr>
            <w:tcW w:w="1846" w:type="dxa"/>
          </w:tcPr>
          <w:p w14:paraId="03C57EF6" w14:textId="77777777" w:rsidR="009C753C" w:rsidRPr="00043DFE" w:rsidRDefault="009C753C" w:rsidP="008B107E">
            <w:pPr>
              <w:pStyle w:val="TAC"/>
            </w:pPr>
            <w:r w:rsidRPr="00043DFE">
              <w:t>0.64 x M2 x K1 (2 x M2 x K1)</w:t>
            </w:r>
          </w:p>
        </w:tc>
      </w:tr>
      <w:tr w:rsidR="009C753C" w:rsidRPr="00043DFE" w14:paraId="785214EE" w14:textId="77777777" w:rsidTr="008B107E">
        <w:trPr>
          <w:trHeight w:val="336"/>
        </w:trPr>
        <w:tc>
          <w:tcPr>
            <w:tcW w:w="1198" w:type="dxa"/>
            <w:tcBorders>
              <w:top w:val="nil"/>
              <w:bottom w:val="nil"/>
            </w:tcBorders>
            <w:hideMark/>
          </w:tcPr>
          <w:p w14:paraId="1AB90FC5" w14:textId="77777777" w:rsidR="009C753C" w:rsidRPr="00043DFE" w:rsidRDefault="009C753C" w:rsidP="008B107E">
            <w:pPr>
              <w:pStyle w:val="TAC"/>
              <w:rPr>
                <w:lang w:val="en-US"/>
              </w:rPr>
            </w:pPr>
          </w:p>
        </w:tc>
        <w:tc>
          <w:tcPr>
            <w:tcW w:w="751" w:type="dxa"/>
            <w:hideMark/>
          </w:tcPr>
          <w:p w14:paraId="489EA8E5" w14:textId="77777777" w:rsidR="009C753C" w:rsidRPr="00043DFE" w:rsidRDefault="009C753C" w:rsidP="008B107E">
            <w:pPr>
              <w:pStyle w:val="TAC"/>
              <w:rPr>
                <w:lang w:val="en-US"/>
              </w:rPr>
            </w:pPr>
            <w:r w:rsidRPr="00043DFE">
              <w:t>0.64</w:t>
            </w:r>
          </w:p>
        </w:tc>
        <w:tc>
          <w:tcPr>
            <w:tcW w:w="930" w:type="dxa"/>
            <w:hideMark/>
          </w:tcPr>
          <w:p w14:paraId="09C2391A" w14:textId="77777777" w:rsidR="009C753C" w:rsidRPr="00043DFE" w:rsidRDefault="009C753C" w:rsidP="008B107E">
            <w:pPr>
              <w:pStyle w:val="TAC"/>
              <w:rPr>
                <w:lang w:val="en-US"/>
              </w:rPr>
            </w:pPr>
            <w:r w:rsidRPr="00043DFE">
              <w:t>≥</w:t>
            </w:r>
            <w:r w:rsidRPr="00043DFE">
              <w:rPr>
                <w:lang w:val="en-US"/>
              </w:rPr>
              <w:t>[</w:t>
            </w:r>
            <w:r w:rsidRPr="00043DFE">
              <w:t>3.84] ([3])</w:t>
            </w:r>
          </w:p>
        </w:tc>
        <w:tc>
          <w:tcPr>
            <w:tcW w:w="2431" w:type="dxa"/>
            <w:tcBorders>
              <w:top w:val="nil"/>
              <w:bottom w:val="nil"/>
            </w:tcBorders>
            <w:hideMark/>
          </w:tcPr>
          <w:p w14:paraId="7B156119" w14:textId="77777777" w:rsidR="009C753C" w:rsidRPr="00043DFE" w:rsidRDefault="009C753C" w:rsidP="008B107E">
            <w:pPr>
              <w:pStyle w:val="TAC"/>
              <w:rPr>
                <w:lang w:val="en-US"/>
              </w:rPr>
            </w:pPr>
          </w:p>
        </w:tc>
        <w:tc>
          <w:tcPr>
            <w:tcW w:w="1860" w:type="dxa"/>
            <w:hideMark/>
          </w:tcPr>
          <w:p w14:paraId="7E3B074C" w14:textId="77777777" w:rsidR="009C753C" w:rsidRPr="00043DFE" w:rsidRDefault="009C753C" w:rsidP="008B107E">
            <w:pPr>
              <w:pStyle w:val="TAC"/>
            </w:pPr>
            <w:r w:rsidRPr="00043DFE">
              <w:t>0.64 x K1 (1 x K1)</w:t>
            </w:r>
          </w:p>
        </w:tc>
        <w:tc>
          <w:tcPr>
            <w:tcW w:w="1846" w:type="dxa"/>
          </w:tcPr>
          <w:p w14:paraId="3993DB55" w14:textId="77777777" w:rsidR="009C753C" w:rsidRPr="00043DFE" w:rsidRDefault="009C753C" w:rsidP="008B107E">
            <w:pPr>
              <w:pStyle w:val="TAC"/>
            </w:pPr>
            <w:r w:rsidRPr="00043DFE">
              <w:t>1.28 x K1 (2 x K1)</w:t>
            </w:r>
          </w:p>
        </w:tc>
      </w:tr>
      <w:tr w:rsidR="009C753C" w:rsidRPr="00043DFE" w14:paraId="50071BE8" w14:textId="77777777" w:rsidTr="008B107E">
        <w:trPr>
          <w:trHeight w:val="336"/>
        </w:trPr>
        <w:tc>
          <w:tcPr>
            <w:tcW w:w="1198" w:type="dxa"/>
            <w:tcBorders>
              <w:top w:val="nil"/>
              <w:bottom w:val="nil"/>
            </w:tcBorders>
            <w:hideMark/>
          </w:tcPr>
          <w:p w14:paraId="7FF9F27B" w14:textId="77777777" w:rsidR="009C753C" w:rsidRPr="00043DFE" w:rsidRDefault="009C753C" w:rsidP="008B107E">
            <w:pPr>
              <w:pStyle w:val="TAC"/>
              <w:rPr>
                <w:lang w:val="en-US"/>
              </w:rPr>
            </w:pPr>
          </w:p>
        </w:tc>
        <w:tc>
          <w:tcPr>
            <w:tcW w:w="751" w:type="dxa"/>
            <w:hideMark/>
          </w:tcPr>
          <w:p w14:paraId="32D85AFC" w14:textId="77777777" w:rsidR="009C753C" w:rsidRPr="00043DFE" w:rsidRDefault="009C753C" w:rsidP="008B107E">
            <w:pPr>
              <w:pStyle w:val="TAC"/>
              <w:rPr>
                <w:lang w:val="en-US"/>
              </w:rPr>
            </w:pPr>
            <w:r w:rsidRPr="00043DFE">
              <w:t>1.28</w:t>
            </w:r>
          </w:p>
        </w:tc>
        <w:tc>
          <w:tcPr>
            <w:tcW w:w="930" w:type="dxa"/>
            <w:hideMark/>
          </w:tcPr>
          <w:p w14:paraId="31274A97" w14:textId="77777777" w:rsidR="009C753C" w:rsidRPr="00043DFE" w:rsidRDefault="009C753C" w:rsidP="008B107E">
            <w:pPr>
              <w:pStyle w:val="TAC"/>
              <w:rPr>
                <w:lang w:val="en-US"/>
              </w:rPr>
            </w:pPr>
            <w:r w:rsidRPr="00043DFE">
              <w:t>≥[7.68] ([6])</w:t>
            </w:r>
          </w:p>
        </w:tc>
        <w:tc>
          <w:tcPr>
            <w:tcW w:w="2431" w:type="dxa"/>
            <w:tcBorders>
              <w:top w:val="nil"/>
              <w:bottom w:val="nil"/>
            </w:tcBorders>
            <w:hideMark/>
          </w:tcPr>
          <w:p w14:paraId="4B6562EA" w14:textId="77777777" w:rsidR="009C753C" w:rsidRPr="00043DFE" w:rsidRDefault="009C753C" w:rsidP="008B107E">
            <w:pPr>
              <w:pStyle w:val="TAC"/>
              <w:rPr>
                <w:lang w:val="en-US"/>
              </w:rPr>
            </w:pPr>
          </w:p>
        </w:tc>
        <w:tc>
          <w:tcPr>
            <w:tcW w:w="1860" w:type="dxa"/>
            <w:hideMark/>
          </w:tcPr>
          <w:p w14:paraId="0B907F9B" w14:textId="77777777" w:rsidR="009C753C" w:rsidRPr="00043DFE" w:rsidRDefault="009C753C" w:rsidP="008B107E">
            <w:pPr>
              <w:pStyle w:val="TAC"/>
            </w:pPr>
            <w:r w:rsidRPr="00043DFE">
              <w:t>1.28 x K1 (1 x K1)</w:t>
            </w:r>
          </w:p>
        </w:tc>
        <w:tc>
          <w:tcPr>
            <w:tcW w:w="1846" w:type="dxa"/>
          </w:tcPr>
          <w:p w14:paraId="417C138F" w14:textId="77777777" w:rsidR="009C753C" w:rsidRPr="00043DFE" w:rsidRDefault="009C753C" w:rsidP="008B107E">
            <w:pPr>
              <w:pStyle w:val="TAC"/>
            </w:pPr>
            <w:r w:rsidRPr="00043DFE">
              <w:t>2.56 x K1 (2 x K1)</w:t>
            </w:r>
          </w:p>
        </w:tc>
      </w:tr>
      <w:tr w:rsidR="009C753C" w:rsidRPr="00043DFE" w14:paraId="7D893858" w14:textId="77777777" w:rsidTr="008B107E">
        <w:trPr>
          <w:trHeight w:val="336"/>
        </w:trPr>
        <w:tc>
          <w:tcPr>
            <w:tcW w:w="1198" w:type="dxa"/>
            <w:tcBorders>
              <w:top w:val="nil"/>
            </w:tcBorders>
            <w:hideMark/>
          </w:tcPr>
          <w:p w14:paraId="3BC66DA5" w14:textId="77777777" w:rsidR="009C753C" w:rsidRPr="00043DFE" w:rsidRDefault="009C753C" w:rsidP="008B107E">
            <w:pPr>
              <w:pStyle w:val="TAC"/>
              <w:rPr>
                <w:lang w:val="en-US"/>
              </w:rPr>
            </w:pPr>
          </w:p>
        </w:tc>
        <w:tc>
          <w:tcPr>
            <w:tcW w:w="751" w:type="dxa"/>
            <w:hideMark/>
          </w:tcPr>
          <w:p w14:paraId="46692F07" w14:textId="77777777" w:rsidR="009C753C" w:rsidRPr="00043DFE" w:rsidRDefault="009C753C" w:rsidP="008B107E">
            <w:pPr>
              <w:pStyle w:val="TAC"/>
              <w:rPr>
                <w:lang w:val="en-US"/>
              </w:rPr>
            </w:pPr>
            <w:r w:rsidRPr="00043DFE">
              <w:t>2.56</w:t>
            </w:r>
          </w:p>
        </w:tc>
        <w:tc>
          <w:tcPr>
            <w:tcW w:w="930" w:type="dxa"/>
            <w:hideMark/>
          </w:tcPr>
          <w:p w14:paraId="4C3E0273" w14:textId="77777777" w:rsidR="009C753C" w:rsidRPr="00043DFE" w:rsidRDefault="009C753C" w:rsidP="008B107E">
            <w:pPr>
              <w:pStyle w:val="TAC"/>
              <w:rPr>
                <w:lang w:val="en-US"/>
              </w:rPr>
            </w:pPr>
            <w:r w:rsidRPr="00043DFE">
              <w:t>≥[15.36] ([12])</w:t>
            </w:r>
          </w:p>
        </w:tc>
        <w:tc>
          <w:tcPr>
            <w:tcW w:w="2431" w:type="dxa"/>
            <w:tcBorders>
              <w:top w:val="nil"/>
            </w:tcBorders>
            <w:hideMark/>
          </w:tcPr>
          <w:p w14:paraId="01F0C6A1" w14:textId="77777777" w:rsidR="009C753C" w:rsidRPr="00043DFE" w:rsidRDefault="009C753C" w:rsidP="008B107E">
            <w:pPr>
              <w:pStyle w:val="TAC"/>
              <w:rPr>
                <w:lang w:val="en-US"/>
              </w:rPr>
            </w:pPr>
          </w:p>
        </w:tc>
        <w:tc>
          <w:tcPr>
            <w:tcW w:w="1860" w:type="dxa"/>
            <w:hideMark/>
          </w:tcPr>
          <w:p w14:paraId="0D00C198" w14:textId="77777777" w:rsidR="009C753C" w:rsidRPr="00043DFE" w:rsidRDefault="009C753C" w:rsidP="008B107E">
            <w:pPr>
              <w:pStyle w:val="TAC"/>
            </w:pPr>
            <w:r w:rsidRPr="00043DFE">
              <w:t>2.56 x K1 (1 x K1)</w:t>
            </w:r>
          </w:p>
        </w:tc>
        <w:tc>
          <w:tcPr>
            <w:tcW w:w="1846" w:type="dxa"/>
          </w:tcPr>
          <w:p w14:paraId="710F930C" w14:textId="77777777" w:rsidR="009C753C" w:rsidRPr="00043DFE" w:rsidRDefault="009C753C" w:rsidP="008B107E">
            <w:pPr>
              <w:pStyle w:val="TAC"/>
            </w:pPr>
            <w:r w:rsidRPr="00043DFE">
              <w:t>5.12 x K1 (2 x K1)</w:t>
            </w:r>
          </w:p>
        </w:tc>
      </w:tr>
      <w:tr w:rsidR="009C753C" w:rsidRPr="00043DFE" w14:paraId="1829239C" w14:textId="77777777" w:rsidTr="008B107E">
        <w:trPr>
          <w:trHeight w:val="336"/>
        </w:trPr>
        <w:tc>
          <w:tcPr>
            <w:tcW w:w="9016" w:type="dxa"/>
            <w:gridSpan w:val="6"/>
          </w:tcPr>
          <w:p w14:paraId="144388C6" w14:textId="77777777" w:rsidR="009C753C" w:rsidRPr="00043DFE" w:rsidRDefault="009C753C" w:rsidP="008B107E">
            <w:pPr>
              <w:pStyle w:val="TAN"/>
              <w:rPr>
                <w:snapToGrid w:val="0"/>
              </w:rPr>
            </w:pPr>
            <w:r w:rsidRPr="00043DFE">
              <w:rPr>
                <w:snapToGrid w:val="0"/>
              </w:rPr>
              <w:t>Note 1</w:t>
            </w:r>
            <w:r w:rsidRPr="00043DFE">
              <w:t>:</w:t>
            </w:r>
            <w:r w:rsidRPr="00043DFE">
              <w:rPr>
                <w:lang w:val="en-US"/>
              </w:rPr>
              <w:tab/>
            </w:r>
            <w:r w:rsidRPr="00043DFE">
              <w:rPr>
                <w:snapToGrid w:val="0"/>
              </w:rPr>
              <w:t>The number of DRX cycles in this table is given for the DRX cycles within PTWs.</w:t>
            </w:r>
          </w:p>
          <w:p w14:paraId="7DE2D0B1" w14:textId="77777777" w:rsidR="009C753C" w:rsidRPr="00043DFE" w:rsidRDefault="009C753C" w:rsidP="008B107E">
            <w:pPr>
              <w:pStyle w:val="TAN"/>
              <w:rPr>
                <w:snapToGrid w:val="0"/>
              </w:rPr>
            </w:pPr>
            <w:r w:rsidRPr="00043DFE">
              <w:rPr>
                <w:snapToGrid w:val="0"/>
              </w:rPr>
              <w:t>Note 2</w:t>
            </w:r>
            <w:r w:rsidRPr="00043DFE">
              <w:t>:</w:t>
            </w:r>
            <w:r w:rsidRPr="00043DFE">
              <w:rPr>
                <w:lang w:val="en-US"/>
              </w:rPr>
              <w:tab/>
            </w:r>
            <w:r w:rsidRPr="00043DFE">
              <w:rPr>
                <w:snapToGrid w:val="0"/>
              </w:rPr>
              <w:t>The eDRX_IDLE cycle lengths are as specified in Section 10.5.5.32 of TS 24.008 [34].</w:t>
            </w:r>
          </w:p>
          <w:p w14:paraId="016D226C" w14:textId="77777777" w:rsidR="009C753C" w:rsidRPr="00043DFE" w:rsidRDefault="009C753C" w:rsidP="008B107E">
            <w:pPr>
              <w:pStyle w:val="TAN"/>
              <w:rPr>
                <w:rFonts w:cs="Arial"/>
                <w:iCs/>
              </w:rPr>
            </w:pPr>
            <w:r w:rsidRPr="00043DFE">
              <w:rPr>
                <w:snapToGrid w:val="0"/>
              </w:rPr>
              <w:t>Note</w:t>
            </w:r>
            <w:r w:rsidRPr="00043DFE">
              <w:rPr>
                <w:rFonts w:cs="Arial"/>
              </w:rPr>
              <w:t xml:space="preserve"> 3:</w:t>
            </w:r>
            <w:r w:rsidRPr="00043DFE">
              <w:rPr>
                <w:lang w:val="en-US"/>
              </w:rPr>
              <w:t xml:space="preserve"> </w:t>
            </w:r>
            <w:r w:rsidRPr="00043DFE">
              <w:rPr>
                <w:lang w:val="en-US"/>
              </w:rPr>
              <w:tab/>
            </w:r>
            <w:r w:rsidRPr="00043DFE">
              <w:rPr>
                <w:rFonts w:cs="Arial"/>
              </w:rPr>
              <w:t xml:space="preserve">The lower bound of </w:t>
            </w:r>
            <w:r w:rsidRPr="00043DFE">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sidRPr="00043DFE">
              <w:rPr>
                <w:rFonts w:cs="Arial"/>
                <w:iCs/>
              </w:rPr>
              <w:t>.</w:t>
            </w:r>
          </w:p>
          <w:p w14:paraId="52CE301F" w14:textId="77777777" w:rsidR="009C753C" w:rsidRPr="00043DFE" w:rsidRDefault="009C753C" w:rsidP="008B107E">
            <w:pPr>
              <w:pStyle w:val="TAN"/>
              <w:rPr>
                <w:snapToGrid w:val="0"/>
              </w:rPr>
            </w:pPr>
            <w:r w:rsidRPr="00043DFE">
              <w:rPr>
                <w:snapToGrid w:val="0"/>
              </w:rPr>
              <w:t>Note 4:</w:t>
            </w:r>
            <w:r w:rsidRPr="00043DFE">
              <w:rPr>
                <w:lang w:val="en-US"/>
              </w:rPr>
              <w:tab/>
            </w:r>
            <w:r w:rsidRPr="00043DFE">
              <w:rPr>
                <w:snapToGrid w:val="0"/>
              </w:rPr>
              <w:t>M2 = 1.5 if SMTC periodicity</w:t>
            </w:r>
            <w:r w:rsidRPr="00043DFE">
              <w:t xml:space="preserve"> </w:t>
            </w:r>
            <w:r w:rsidRPr="00043DFE">
              <w:rPr>
                <w:snapToGrid w:val="0"/>
              </w:rPr>
              <w:t>of measured intra-frequency cell &gt; 20 ms; otherwise M2=1.</w:t>
            </w:r>
            <w:r w:rsidRPr="00043DFE">
              <w:t xml:space="preserve"> </w:t>
            </w:r>
          </w:p>
          <w:p w14:paraId="4B18F984" w14:textId="77777777" w:rsidR="009C753C" w:rsidRPr="00043DFE" w:rsidRDefault="009C753C" w:rsidP="008B107E">
            <w:pPr>
              <w:pStyle w:val="TAN"/>
              <w:rPr>
                <w:snapToGrid w:val="0"/>
              </w:rPr>
            </w:pPr>
            <w:r w:rsidRPr="00043DFE">
              <w:rPr>
                <w:snapToGrid w:val="0"/>
              </w:rPr>
              <w:t>Note 5:</w:t>
            </w:r>
            <w:r w:rsidRPr="00043DFE">
              <w:rPr>
                <w:snapToGrid w:val="0"/>
              </w:rPr>
              <w:tab/>
              <w:t xml:space="preserve">K1 = 3 is the measurement relaxation factor applicable for UE fulfilling the </w:t>
            </w:r>
            <w:r w:rsidRPr="00043DFE">
              <w:rPr>
                <w:i/>
                <w:iCs/>
              </w:rPr>
              <w:t xml:space="preserve">cellEdgeEvaluation </w:t>
            </w:r>
            <w:r w:rsidRPr="00043DFE">
              <w:rPr>
                <w:snapToGrid w:val="0"/>
              </w:rPr>
              <w:t>[2] criterion.</w:t>
            </w:r>
          </w:p>
        </w:tc>
      </w:tr>
    </w:tbl>
    <w:p w14:paraId="7D47C54D" w14:textId="77777777" w:rsidR="009C753C" w:rsidRPr="00043DFE" w:rsidRDefault="009C753C" w:rsidP="009C753C"/>
    <w:p w14:paraId="45690C90" w14:textId="77777777" w:rsidR="009C753C" w:rsidRPr="00043DFE" w:rsidRDefault="009C753C" w:rsidP="009C753C">
      <w:pPr>
        <w:pStyle w:val="TH"/>
        <w:rPr>
          <w:lang w:val="en-US"/>
        </w:rPr>
      </w:pPr>
      <w:r w:rsidRPr="00043DFE">
        <w:rPr>
          <w:lang w:val="en-US"/>
        </w:rPr>
        <w:t>Table 4.2.2.9.3-5: T</w:t>
      </w:r>
      <w:r w:rsidRPr="00043DFE">
        <w:rPr>
          <w:vertAlign w:val="subscript"/>
          <w:lang w:val="en-US"/>
        </w:rPr>
        <w:t>detect,NR_Intra_Relax</w:t>
      </w:r>
      <w:r w:rsidRPr="00043DFE">
        <w:rPr>
          <w:lang w:val="en-US"/>
        </w:rPr>
        <w:t>, T</w:t>
      </w:r>
      <w:r w:rsidRPr="00043DFE">
        <w:rPr>
          <w:vertAlign w:val="subscript"/>
          <w:lang w:val="en-US"/>
        </w:rPr>
        <w:t>measure,NR_Intra_Relax</w:t>
      </w:r>
      <w:r w:rsidRPr="00043DFE">
        <w:rPr>
          <w:lang w:val="en-US"/>
        </w:rPr>
        <w:t xml:space="preserve"> and T</w:t>
      </w:r>
      <w:r w:rsidRPr="00043DFE">
        <w:rPr>
          <w:vertAlign w:val="subscript"/>
          <w:lang w:val="en-US"/>
        </w:rPr>
        <w:t>evaluate,NR_Intra_Relax</w:t>
      </w:r>
      <w:r w:rsidRPr="00043DFE">
        <w:rPr>
          <w:lang w:val="en-US"/>
        </w:rPr>
        <w:t xml:space="preserve"> for UE configured with eDRX_IDLE cycle (Frequency range FR2)</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757"/>
        <w:gridCol w:w="977"/>
        <w:gridCol w:w="882"/>
        <w:gridCol w:w="2408"/>
        <w:gridCol w:w="64"/>
        <w:gridCol w:w="1528"/>
        <w:gridCol w:w="1621"/>
      </w:tblGrid>
      <w:tr w:rsidR="009C753C" w:rsidRPr="00043DFE" w14:paraId="1AF4C927" w14:textId="77777777" w:rsidTr="008B107E">
        <w:trPr>
          <w:trHeight w:val="1692"/>
        </w:trPr>
        <w:tc>
          <w:tcPr>
            <w:tcW w:w="639" w:type="pct"/>
            <w:hideMark/>
          </w:tcPr>
          <w:p w14:paraId="6A13D83C" w14:textId="77777777" w:rsidR="009C753C" w:rsidRPr="00043DFE" w:rsidRDefault="009C753C" w:rsidP="008B107E">
            <w:pPr>
              <w:pStyle w:val="TAH"/>
              <w:rPr>
                <w:lang w:val="en-US"/>
              </w:rPr>
            </w:pPr>
            <w:r w:rsidRPr="00043DFE">
              <w:t>eDRX_IDLE cycle length [s]</w:t>
            </w:r>
          </w:p>
        </w:tc>
        <w:tc>
          <w:tcPr>
            <w:tcW w:w="401" w:type="pct"/>
            <w:hideMark/>
          </w:tcPr>
          <w:p w14:paraId="165B7388" w14:textId="77777777" w:rsidR="009C753C" w:rsidRPr="00043DFE" w:rsidRDefault="009C753C" w:rsidP="008B107E">
            <w:pPr>
              <w:pStyle w:val="TAH"/>
              <w:rPr>
                <w:lang w:val="en-US"/>
              </w:rPr>
            </w:pPr>
            <w:r w:rsidRPr="00043DFE">
              <w:t>DRX cycle length [s]</w:t>
            </w:r>
          </w:p>
        </w:tc>
        <w:tc>
          <w:tcPr>
            <w:tcW w:w="517" w:type="pct"/>
            <w:hideMark/>
          </w:tcPr>
          <w:p w14:paraId="4D6BD3F0" w14:textId="77777777" w:rsidR="009C753C" w:rsidRPr="00043DFE" w:rsidRDefault="009C753C" w:rsidP="008B107E">
            <w:pPr>
              <w:pStyle w:val="TAH"/>
              <w:rPr>
                <w:lang w:val="en-US"/>
              </w:rPr>
            </w:pPr>
            <w:r w:rsidRPr="00043DFE">
              <w:t>PTW length [s] (number of 1.28s periods)</w:t>
            </w:r>
          </w:p>
        </w:tc>
        <w:tc>
          <w:tcPr>
            <w:tcW w:w="467" w:type="pct"/>
          </w:tcPr>
          <w:p w14:paraId="3CAE8C7C" w14:textId="77777777" w:rsidR="009C753C" w:rsidRPr="00043DFE" w:rsidRDefault="009C753C" w:rsidP="008B107E">
            <w:pPr>
              <w:pStyle w:val="TAH"/>
            </w:pPr>
            <w:r w:rsidRPr="00043DFE">
              <w:t>Scaling Factor (N1)</w:t>
            </w:r>
            <w:r w:rsidRPr="00043DFE">
              <w:rPr>
                <w:vertAlign w:val="superscript"/>
              </w:rPr>
              <w:t xml:space="preserve"> Note1</w:t>
            </w:r>
          </w:p>
        </w:tc>
        <w:tc>
          <w:tcPr>
            <w:tcW w:w="1275" w:type="pct"/>
            <w:hideMark/>
          </w:tcPr>
          <w:p w14:paraId="0F5032EA" w14:textId="77777777" w:rsidR="009C753C" w:rsidRPr="00043DFE" w:rsidRDefault="009C753C" w:rsidP="008B107E">
            <w:pPr>
              <w:pStyle w:val="TAH"/>
              <w:rPr>
                <w:lang w:val="en-US"/>
              </w:rPr>
            </w:pPr>
            <w:r w:rsidRPr="00043DFE">
              <w:rPr>
                <w:bCs/>
                <w:szCs w:val="18"/>
              </w:rPr>
              <w:t>T</w:t>
            </w:r>
            <w:r w:rsidRPr="00043DFE">
              <w:rPr>
                <w:bCs/>
                <w:szCs w:val="18"/>
                <w:vertAlign w:val="subscript"/>
              </w:rPr>
              <w:t>detect,NR_Intra_Relax</w:t>
            </w:r>
            <w:r w:rsidRPr="00043DFE">
              <w:rPr>
                <w:szCs w:val="18"/>
              </w:rPr>
              <w:t xml:space="preserve"> [s] (number of DRX cycles</w:t>
            </w:r>
            <w:r w:rsidRPr="00043DFE">
              <w:rPr>
                <w:bCs/>
                <w:szCs w:val="18"/>
              </w:rPr>
              <w:t xml:space="preserve"> or eDRX cycles </w:t>
            </w:r>
            <w:r w:rsidRPr="00043DFE">
              <w:rPr>
                <w:bCs/>
                <w:szCs w:val="18"/>
                <w:vertAlign w:val="superscript"/>
              </w:rPr>
              <w:t>Note 3</w:t>
            </w:r>
            <w:r w:rsidRPr="00043DFE">
              <w:rPr>
                <w:szCs w:val="18"/>
              </w:rPr>
              <w:t>)</w:t>
            </w:r>
          </w:p>
        </w:tc>
        <w:tc>
          <w:tcPr>
            <w:tcW w:w="843" w:type="pct"/>
            <w:gridSpan w:val="2"/>
            <w:hideMark/>
          </w:tcPr>
          <w:p w14:paraId="12BDE186" w14:textId="77777777" w:rsidR="009C753C" w:rsidRPr="00043DFE" w:rsidRDefault="009C753C" w:rsidP="008B107E">
            <w:pPr>
              <w:pStyle w:val="TAH"/>
              <w:rPr>
                <w:lang w:val="en-US"/>
              </w:rPr>
            </w:pPr>
            <w:r w:rsidRPr="00043DFE">
              <w:rPr>
                <w:bCs/>
                <w:szCs w:val="18"/>
              </w:rPr>
              <w:t>T</w:t>
            </w:r>
            <w:r w:rsidRPr="00043DFE">
              <w:rPr>
                <w:bCs/>
                <w:szCs w:val="18"/>
                <w:vertAlign w:val="subscript"/>
              </w:rPr>
              <w:t>measure,NR_Intra_Relax</w:t>
            </w:r>
            <w:r w:rsidRPr="00043DFE">
              <w:rPr>
                <w:szCs w:val="18"/>
              </w:rPr>
              <w:t xml:space="preserve"> [s] (number of DRX cycles</w:t>
            </w:r>
            <w:r w:rsidRPr="00043DFE">
              <w:rPr>
                <w:bCs/>
                <w:szCs w:val="18"/>
              </w:rPr>
              <w:t xml:space="preserve"> or eDRX cycles </w:t>
            </w:r>
            <w:r w:rsidRPr="00043DFE">
              <w:rPr>
                <w:bCs/>
                <w:szCs w:val="18"/>
                <w:vertAlign w:val="superscript"/>
              </w:rPr>
              <w:t>Note 3</w:t>
            </w:r>
            <w:r w:rsidRPr="00043DFE">
              <w:rPr>
                <w:szCs w:val="18"/>
              </w:rPr>
              <w:t>)</w:t>
            </w:r>
          </w:p>
        </w:tc>
        <w:tc>
          <w:tcPr>
            <w:tcW w:w="858" w:type="pct"/>
            <w:hideMark/>
          </w:tcPr>
          <w:p w14:paraId="19819318" w14:textId="77777777" w:rsidR="009C753C" w:rsidRPr="00043DFE" w:rsidRDefault="009C753C" w:rsidP="008B107E">
            <w:pPr>
              <w:pStyle w:val="TAH"/>
              <w:rPr>
                <w:lang w:val="en-US"/>
              </w:rPr>
            </w:pPr>
            <w:r w:rsidRPr="00043DFE">
              <w:rPr>
                <w:bCs/>
                <w:szCs w:val="18"/>
              </w:rPr>
              <w:t>T</w:t>
            </w:r>
            <w:r w:rsidRPr="00043DFE">
              <w:rPr>
                <w:bCs/>
                <w:szCs w:val="18"/>
                <w:vertAlign w:val="subscript"/>
              </w:rPr>
              <w:t>evaluate,NR_Intra_Relax</w:t>
            </w:r>
            <w:r w:rsidRPr="00043DFE">
              <w:rPr>
                <w:szCs w:val="18"/>
                <w:vertAlign w:val="subscript"/>
                <w:lang w:val="en-US"/>
              </w:rPr>
              <w:t xml:space="preserve"> </w:t>
            </w:r>
            <w:r w:rsidRPr="00043DFE">
              <w:rPr>
                <w:szCs w:val="18"/>
              </w:rPr>
              <w:t>[s] (number of DRX cycles</w:t>
            </w:r>
            <w:r w:rsidRPr="00043DFE">
              <w:rPr>
                <w:bCs/>
                <w:szCs w:val="18"/>
              </w:rPr>
              <w:t xml:space="preserve"> or eDRX cycles </w:t>
            </w:r>
            <w:r w:rsidRPr="00043DFE">
              <w:rPr>
                <w:bCs/>
                <w:szCs w:val="18"/>
                <w:vertAlign w:val="superscript"/>
              </w:rPr>
              <w:t>Note 3</w:t>
            </w:r>
            <w:r w:rsidRPr="00043DFE">
              <w:rPr>
                <w:szCs w:val="18"/>
              </w:rPr>
              <w:t>)</w:t>
            </w:r>
          </w:p>
        </w:tc>
      </w:tr>
      <w:tr w:rsidR="009C753C" w:rsidRPr="00043DFE" w14:paraId="67396B41" w14:textId="77777777" w:rsidTr="008B107E">
        <w:trPr>
          <w:trHeight w:val="673"/>
        </w:trPr>
        <w:tc>
          <w:tcPr>
            <w:tcW w:w="639" w:type="pct"/>
            <w:tcBorders>
              <w:bottom w:val="nil"/>
            </w:tcBorders>
            <w:hideMark/>
          </w:tcPr>
          <w:p w14:paraId="3BD590F2" w14:textId="77777777" w:rsidR="009C753C" w:rsidRPr="00043DFE" w:rsidRDefault="009C753C" w:rsidP="008B107E">
            <w:pPr>
              <w:pStyle w:val="TAC"/>
              <w:rPr>
                <w:lang w:val="en-US"/>
              </w:rPr>
            </w:pPr>
            <w:r w:rsidRPr="00043DFE">
              <w:t>20.48 ≤  eDRX_IDLE cycle length ≤[163.84]</w:t>
            </w:r>
          </w:p>
        </w:tc>
        <w:tc>
          <w:tcPr>
            <w:tcW w:w="401" w:type="pct"/>
            <w:hideMark/>
          </w:tcPr>
          <w:p w14:paraId="0B265B19" w14:textId="77777777" w:rsidR="009C753C" w:rsidRPr="00043DFE" w:rsidRDefault="009C753C" w:rsidP="008B107E">
            <w:pPr>
              <w:pStyle w:val="TAC"/>
              <w:rPr>
                <w:lang w:val="en-US"/>
              </w:rPr>
            </w:pPr>
            <w:r w:rsidRPr="00043DFE">
              <w:t>0.32</w:t>
            </w:r>
          </w:p>
        </w:tc>
        <w:tc>
          <w:tcPr>
            <w:tcW w:w="517" w:type="pct"/>
            <w:hideMark/>
          </w:tcPr>
          <w:p w14:paraId="598196FC" w14:textId="77777777" w:rsidR="009C753C" w:rsidRPr="00043DFE" w:rsidRDefault="009C753C" w:rsidP="008B107E">
            <w:pPr>
              <w:pStyle w:val="TAC"/>
              <w:rPr>
                <w:lang w:val="en-US"/>
              </w:rPr>
            </w:pPr>
            <w:r w:rsidRPr="00043DFE">
              <w:t>≥15.36 (12)</w:t>
            </w:r>
          </w:p>
        </w:tc>
        <w:tc>
          <w:tcPr>
            <w:tcW w:w="467" w:type="pct"/>
          </w:tcPr>
          <w:p w14:paraId="5B8A37A2" w14:textId="77777777" w:rsidR="009C753C" w:rsidRPr="00043DFE" w:rsidRDefault="009C753C" w:rsidP="008B107E">
            <w:pPr>
              <w:pStyle w:val="TAC"/>
              <w:rPr>
                <w:lang w:val="en-US"/>
              </w:rPr>
            </w:pPr>
            <w:r w:rsidRPr="00043DFE">
              <w:rPr>
                <w:lang w:val="en-US"/>
              </w:rPr>
              <w:t>8</w:t>
            </w:r>
          </w:p>
        </w:tc>
        <w:tc>
          <w:tcPr>
            <w:tcW w:w="1309" w:type="pct"/>
            <w:gridSpan w:val="2"/>
            <w:tcBorders>
              <w:bottom w:val="nil"/>
            </w:tcBorders>
            <w:hideMark/>
          </w:tcPr>
          <w:p w14:paraId="608525E1" w14:textId="77777777" w:rsidR="009C753C" w:rsidRPr="00043DFE" w:rsidRDefault="009C753C" w:rsidP="008B107E">
            <w:pPr>
              <w:pStyle w:val="TAC"/>
              <w:rPr>
                <w:lang w:val="sv-SE"/>
              </w:rPr>
            </w:pPr>
            <w:r w:rsidRPr="00043DFE">
              <w:rPr>
                <w:lang w:val="sv-SE"/>
              </w:rPr>
              <w:t xml:space="preserve">K1 x </w:t>
            </w:r>
            <m:oMath>
              <m:r>
                <w:rPr>
                  <w:rFonts w:ascii="Cambria Math" w:hAnsi="Cambria Math"/>
                  <w:lang w:val="en-US"/>
                </w:rPr>
                <m:t>eDRX</m:t>
              </m:r>
              <m:r>
                <m:rPr>
                  <m:sty m:val="p"/>
                </m:rPr>
                <w:rPr>
                  <w:rFonts w:ascii="Cambria Math" w:hAnsi="Cambria Math"/>
                  <w:lang w:val="sv-SE"/>
                </w:rPr>
                <m:t>_</m:t>
              </m:r>
              <m:r>
                <w:rPr>
                  <w:rFonts w:ascii="Cambria Math" w:hAnsi="Cambria Math"/>
                  <w:lang w:val="en-US"/>
                </w:rPr>
                <m:t>cycl</m:t>
              </m:r>
              <m:r>
                <m:rPr>
                  <m:sty m:val="p"/>
                </m:rPr>
                <w:rPr>
                  <w:rFonts w:ascii="Cambria Math" w:hAnsi="Cambria Math"/>
                  <w:lang w:val="sv-SE"/>
                </w:rPr>
                <m:t>e_</m:t>
              </m:r>
              <m:r>
                <w:rPr>
                  <w:rFonts w:ascii="Cambria Math" w:hAnsi="Cambria Math"/>
                  <w:lang w:val="en-US"/>
                </w:rPr>
                <m:t>lengt</m:t>
              </m:r>
              <m:r>
                <w:rPr>
                  <w:rFonts w:ascii="Cambria Math" w:hAnsi="Cambria Math"/>
                  <w:lang w:val="sv-SE"/>
                </w:rPr>
                <m:t>h×</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sv-SE"/>
                        </w:rPr>
                        <m:t>23×</m:t>
                      </m:r>
                      <m:r>
                        <w:rPr>
                          <w:rFonts w:ascii="Cambria Math" w:hAnsi="Cambria Math"/>
                          <w:lang w:val="en-US"/>
                        </w:rPr>
                        <m:t>N</m:t>
                      </m:r>
                      <m:r>
                        <w:rPr>
                          <w:rFonts w:ascii="Cambria Math" w:hAnsi="Cambria Math"/>
                          <w:lang w:val="sv-SE"/>
                        </w:rPr>
                        <m:t>1</m:t>
                      </m:r>
                    </m:num>
                    <m:den>
                      <m:r>
                        <w:rPr>
                          <w:rFonts w:ascii="Cambria Math" w:hAnsi="Cambria Math"/>
                          <w:lang w:val="en-US"/>
                        </w:rPr>
                        <m:t>PTW</m:t>
                      </m:r>
                      <m:r>
                        <w:rPr>
                          <w:rFonts w:ascii="Cambria Math" w:hAnsi="Cambria Math"/>
                          <w:lang w:val="sv-SE"/>
                        </w:rPr>
                        <m:t>/</m:t>
                      </m:r>
                      <m:r>
                        <w:rPr>
                          <w:rFonts w:ascii="Cambria Math" w:hAnsi="Cambria Math"/>
                          <w:lang w:val="en-US"/>
                        </w:rPr>
                        <m:t>DRX</m:t>
                      </m:r>
                      <m:r>
                        <w:rPr>
                          <w:rFonts w:ascii="Cambria Math" w:hAnsi="Cambria Math"/>
                          <w:lang w:val="sv-SE"/>
                        </w:rPr>
                        <m:t>_</m:t>
                      </m:r>
                      <m:r>
                        <w:rPr>
                          <w:rFonts w:ascii="Cambria Math" w:hAnsi="Cambria Math"/>
                          <w:lang w:val="en-US"/>
                        </w:rPr>
                        <m:t>cycle</m:t>
                      </m:r>
                      <m:r>
                        <w:rPr>
                          <w:rFonts w:ascii="Cambria Math" w:hAnsi="Cambria Math"/>
                          <w:lang w:val="sv-SE"/>
                        </w:rPr>
                        <m:t>_</m:t>
                      </m:r>
                      <m:r>
                        <w:rPr>
                          <w:rFonts w:ascii="Cambria Math" w:hAnsi="Cambria Math"/>
                          <w:lang w:val="en-US"/>
                        </w:rPr>
                        <m:t>lengt</m:t>
                      </m:r>
                      <m:r>
                        <w:rPr>
                          <w:rFonts w:ascii="Cambria Math" w:hAnsi="Cambria Math"/>
                          <w:lang w:val="sv-SE"/>
                        </w:rPr>
                        <m:t>h</m:t>
                      </m:r>
                    </m:den>
                  </m:f>
                </m:e>
              </m:d>
            </m:oMath>
          </w:p>
          <w:p w14:paraId="6F0B1562" w14:textId="77777777" w:rsidR="009C753C" w:rsidRPr="00043DFE" w:rsidRDefault="009C753C" w:rsidP="008B107E">
            <w:pPr>
              <w:pStyle w:val="TAC"/>
              <w:rPr>
                <w:lang w:val="en-US"/>
              </w:rPr>
            </w:pPr>
            <w:r w:rsidRPr="00043DFE">
              <w:rPr>
                <w:lang w:val="en-US"/>
              </w:rPr>
              <w:t>(23</w:t>
            </w:r>
            <w:r w:rsidRPr="00043DFE">
              <w:t xml:space="preserve"> x N1</w:t>
            </w:r>
            <w:r w:rsidRPr="00043DFE">
              <w:rPr>
                <w:lang w:val="sv-SE"/>
              </w:rPr>
              <w:t xml:space="preserve"> x K1</w:t>
            </w:r>
            <w:r w:rsidRPr="00043DFE">
              <w:rPr>
                <w:lang w:val="en-US"/>
              </w:rPr>
              <w:t>)</w:t>
            </w:r>
          </w:p>
        </w:tc>
        <w:tc>
          <w:tcPr>
            <w:tcW w:w="809" w:type="pct"/>
            <w:hideMark/>
          </w:tcPr>
          <w:p w14:paraId="174038FB" w14:textId="77777777" w:rsidR="009C753C" w:rsidRPr="00043DFE" w:rsidRDefault="009C753C" w:rsidP="008B107E">
            <w:pPr>
              <w:pStyle w:val="TAC"/>
            </w:pPr>
            <w:r w:rsidRPr="00043DFE">
              <w:t>0.32 x N1 x K1 (1 x N1 x K1)</w:t>
            </w:r>
          </w:p>
        </w:tc>
        <w:tc>
          <w:tcPr>
            <w:tcW w:w="858" w:type="pct"/>
            <w:hideMark/>
          </w:tcPr>
          <w:p w14:paraId="15D6A9B6" w14:textId="77777777" w:rsidR="009C753C" w:rsidRPr="00043DFE" w:rsidRDefault="009C753C" w:rsidP="008B107E">
            <w:pPr>
              <w:pStyle w:val="TAC"/>
            </w:pPr>
            <w:r w:rsidRPr="00043DFE">
              <w:t>0.64 x N1 x K1 (2 x N1 x K1)</w:t>
            </w:r>
          </w:p>
        </w:tc>
      </w:tr>
      <w:tr w:rsidR="009C753C" w:rsidRPr="00043DFE" w14:paraId="211B35DA" w14:textId="77777777" w:rsidTr="008B107E">
        <w:trPr>
          <w:trHeight w:val="336"/>
        </w:trPr>
        <w:tc>
          <w:tcPr>
            <w:tcW w:w="639" w:type="pct"/>
            <w:tcBorders>
              <w:top w:val="nil"/>
              <w:bottom w:val="nil"/>
            </w:tcBorders>
            <w:hideMark/>
          </w:tcPr>
          <w:p w14:paraId="20D48909" w14:textId="77777777" w:rsidR="009C753C" w:rsidRPr="00043DFE" w:rsidRDefault="009C753C" w:rsidP="008B107E">
            <w:pPr>
              <w:pStyle w:val="TAC"/>
              <w:rPr>
                <w:lang w:val="en-US"/>
              </w:rPr>
            </w:pPr>
          </w:p>
        </w:tc>
        <w:tc>
          <w:tcPr>
            <w:tcW w:w="401" w:type="pct"/>
            <w:hideMark/>
          </w:tcPr>
          <w:p w14:paraId="1499F1BE" w14:textId="77777777" w:rsidR="009C753C" w:rsidRPr="00043DFE" w:rsidRDefault="009C753C" w:rsidP="008B107E">
            <w:pPr>
              <w:pStyle w:val="TAC"/>
              <w:rPr>
                <w:lang w:val="en-US"/>
              </w:rPr>
            </w:pPr>
            <w:r w:rsidRPr="00043DFE">
              <w:t>0.64</w:t>
            </w:r>
          </w:p>
        </w:tc>
        <w:tc>
          <w:tcPr>
            <w:tcW w:w="517" w:type="pct"/>
            <w:hideMark/>
          </w:tcPr>
          <w:p w14:paraId="70DBC6D5" w14:textId="77777777" w:rsidR="009C753C" w:rsidRPr="00043DFE" w:rsidRDefault="009C753C" w:rsidP="008B107E">
            <w:pPr>
              <w:pStyle w:val="TAC"/>
              <w:rPr>
                <w:lang w:val="en-US"/>
              </w:rPr>
            </w:pPr>
            <w:r w:rsidRPr="00043DFE">
              <w:t>≥19.2 (15)</w:t>
            </w:r>
          </w:p>
        </w:tc>
        <w:tc>
          <w:tcPr>
            <w:tcW w:w="467" w:type="pct"/>
          </w:tcPr>
          <w:p w14:paraId="3A67DE27" w14:textId="77777777" w:rsidR="009C753C" w:rsidRPr="00043DFE" w:rsidRDefault="009C753C" w:rsidP="008B107E">
            <w:pPr>
              <w:pStyle w:val="TAC"/>
              <w:rPr>
                <w:lang w:val="en-US"/>
              </w:rPr>
            </w:pPr>
            <w:r w:rsidRPr="00043DFE">
              <w:rPr>
                <w:lang w:val="en-US"/>
              </w:rPr>
              <w:t>5</w:t>
            </w:r>
          </w:p>
        </w:tc>
        <w:tc>
          <w:tcPr>
            <w:tcW w:w="1309" w:type="pct"/>
            <w:gridSpan w:val="2"/>
            <w:tcBorders>
              <w:top w:val="nil"/>
              <w:bottom w:val="nil"/>
            </w:tcBorders>
            <w:hideMark/>
          </w:tcPr>
          <w:p w14:paraId="3DC252EA" w14:textId="77777777" w:rsidR="009C753C" w:rsidRPr="00043DFE" w:rsidRDefault="009C753C" w:rsidP="008B107E">
            <w:pPr>
              <w:pStyle w:val="TAC"/>
              <w:rPr>
                <w:lang w:val="en-US"/>
              </w:rPr>
            </w:pPr>
          </w:p>
        </w:tc>
        <w:tc>
          <w:tcPr>
            <w:tcW w:w="809" w:type="pct"/>
            <w:hideMark/>
          </w:tcPr>
          <w:p w14:paraId="62F39F31" w14:textId="77777777" w:rsidR="009C753C" w:rsidRPr="00043DFE" w:rsidRDefault="009C753C" w:rsidP="008B107E">
            <w:pPr>
              <w:pStyle w:val="TAC"/>
            </w:pPr>
            <w:r w:rsidRPr="00043DFE">
              <w:t>0.64 x N1 x K1 (1 x N1 x K1)</w:t>
            </w:r>
          </w:p>
        </w:tc>
        <w:tc>
          <w:tcPr>
            <w:tcW w:w="858" w:type="pct"/>
            <w:hideMark/>
          </w:tcPr>
          <w:p w14:paraId="372EFFE1" w14:textId="77777777" w:rsidR="009C753C" w:rsidRPr="00043DFE" w:rsidRDefault="009C753C" w:rsidP="008B107E">
            <w:pPr>
              <w:pStyle w:val="TAC"/>
            </w:pPr>
            <w:r w:rsidRPr="00043DFE">
              <w:t>1.28 x N1 x K1 (2 x N1 x K1)</w:t>
            </w:r>
          </w:p>
        </w:tc>
      </w:tr>
      <w:tr w:rsidR="009C753C" w:rsidRPr="00043DFE" w14:paraId="0622F825" w14:textId="77777777" w:rsidTr="008B107E">
        <w:trPr>
          <w:trHeight w:val="336"/>
        </w:trPr>
        <w:tc>
          <w:tcPr>
            <w:tcW w:w="639" w:type="pct"/>
            <w:tcBorders>
              <w:top w:val="nil"/>
              <w:bottom w:val="nil"/>
            </w:tcBorders>
            <w:hideMark/>
          </w:tcPr>
          <w:p w14:paraId="2BEDC13E" w14:textId="77777777" w:rsidR="009C753C" w:rsidRPr="00043DFE" w:rsidRDefault="009C753C" w:rsidP="008B107E">
            <w:pPr>
              <w:pStyle w:val="TAC"/>
              <w:rPr>
                <w:lang w:val="en-US"/>
              </w:rPr>
            </w:pPr>
          </w:p>
        </w:tc>
        <w:tc>
          <w:tcPr>
            <w:tcW w:w="401" w:type="pct"/>
            <w:hideMark/>
          </w:tcPr>
          <w:p w14:paraId="5B1B2138" w14:textId="77777777" w:rsidR="009C753C" w:rsidRPr="00043DFE" w:rsidRDefault="009C753C" w:rsidP="008B107E">
            <w:pPr>
              <w:pStyle w:val="TAC"/>
              <w:rPr>
                <w:lang w:val="en-US"/>
              </w:rPr>
            </w:pPr>
            <w:r w:rsidRPr="00043DFE">
              <w:t>1.28</w:t>
            </w:r>
          </w:p>
        </w:tc>
        <w:tc>
          <w:tcPr>
            <w:tcW w:w="517" w:type="pct"/>
            <w:hideMark/>
          </w:tcPr>
          <w:p w14:paraId="3AD635F0" w14:textId="77777777" w:rsidR="009C753C" w:rsidRPr="00043DFE" w:rsidRDefault="009C753C" w:rsidP="008B107E">
            <w:pPr>
              <w:pStyle w:val="TAC"/>
              <w:rPr>
                <w:lang w:val="en-US"/>
              </w:rPr>
            </w:pPr>
            <w:r w:rsidRPr="00043DFE">
              <w:rPr>
                <w:rFonts w:hint="eastAsia"/>
              </w:rPr>
              <w:t>≥</w:t>
            </w:r>
            <w:r w:rsidRPr="00043DFE">
              <w:t>30.72 (24)</w:t>
            </w:r>
          </w:p>
        </w:tc>
        <w:tc>
          <w:tcPr>
            <w:tcW w:w="467" w:type="pct"/>
          </w:tcPr>
          <w:p w14:paraId="46E014CC" w14:textId="77777777" w:rsidR="009C753C" w:rsidRPr="00043DFE" w:rsidRDefault="009C753C" w:rsidP="008B107E">
            <w:pPr>
              <w:pStyle w:val="TAC"/>
              <w:rPr>
                <w:lang w:val="en-US"/>
              </w:rPr>
            </w:pPr>
            <w:r w:rsidRPr="00043DFE">
              <w:rPr>
                <w:lang w:val="en-US"/>
              </w:rPr>
              <w:t>4</w:t>
            </w:r>
          </w:p>
        </w:tc>
        <w:tc>
          <w:tcPr>
            <w:tcW w:w="1309" w:type="pct"/>
            <w:gridSpan w:val="2"/>
            <w:tcBorders>
              <w:top w:val="nil"/>
              <w:bottom w:val="nil"/>
            </w:tcBorders>
            <w:hideMark/>
          </w:tcPr>
          <w:p w14:paraId="1D8AC36F" w14:textId="77777777" w:rsidR="009C753C" w:rsidRPr="00043DFE" w:rsidRDefault="009C753C" w:rsidP="008B107E">
            <w:pPr>
              <w:pStyle w:val="TAC"/>
              <w:rPr>
                <w:lang w:val="en-US"/>
              </w:rPr>
            </w:pPr>
          </w:p>
        </w:tc>
        <w:tc>
          <w:tcPr>
            <w:tcW w:w="809" w:type="pct"/>
            <w:hideMark/>
          </w:tcPr>
          <w:p w14:paraId="6F782D52" w14:textId="77777777" w:rsidR="009C753C" w:rsidRPr="00043DFE" w:rsidRDefault="009C753C" w:rsidP="008B107E">
            <w:pPr>
              <w:pStyle w:val="TAC"/>
            </w:pPr>
            <w:r w:rsidRPr="00043DFE">
              <w:t>1.28 x N1 x K1 (1 x N1 x K1)</w:t>
            </w:r>
          </w:p>
        </w:tc>
        <w:tc>
          <w:tcPr>
            <w:tcW w:w="858" w:type="pct"/>
            <w:hideMark/>
          </w:tcPr>
          <w:p w14:paraId="706FA53D" w14:textId="77777777" w:rsidR="009C753C" w:rsidRPr="00043DFE" w:rsidRDefault="009C753C" w:rsidP="008B107E">
            <w:pPr>
              <w:pStyle w:val="TAC"/>
            </w:pPr>
            <w:r w:rsidRPr="00043DFE">
              <w:t>2.56 x N1 x K1 (2 x N1 x K1)</w:t>
            </w:r>
          </w:p>
        </w:tc>
      </w:tr>
      <w:tr w:rsidR="009C753C" w:rsidRPr="00043DFE" w14:paraId="420043AF" w14:textId="77777777" w:rsidTr="008B107E">
        <w:trPr>
          <w:trHeight w:val="336"/>
        </w:trPr>
        <w:tc>
          <w:tcPr>
            <w:tcW w:w="639" w:type="pct"/>
            <w:tcBorders>
              <w:top w:val="nil"/>
            </w:tcBorders>
          </w:tcPr>
          <w:p w14:paraId="069654F9" w14:textId="77777777" w:rsidR="009C753C" w:rsidRPr="00043DFE" w:rsidRDefault="009C753C" w:rsidP="008B107E">
            <w:pPr>
              <w:pStyle w:val="TAC"/>
              <w:rPr>
                <w:lang w:val="en-US"/>
              </w:rPr>
            </w:pPr>
          </w:p>
        </w:tc>
        <w:tc>
          <w:tcPr>
            <w:tcW w:w="401" w:type="pct"/>
          </w:tcPr>
          <w:p w14:paraId="50468A68" w14:textId="77777777" w:rsidR="009C753C" w:rsidRPr="00043DFE" w:rsidRDefault="009C753C" w:rsidP="008B107E">
            <w:pPr>
              <w:pStyle w:val="TAC"/>
            </w:pPr>
            <w:r w:rsidRPr="00043DFE">
              <w:t>2.56</w:t>
            </w:r>
          </w:p>
        </w:tc>
        <w:tc>
          <w:tcPr>
            <w:tcW w:w="517" w:type="pct"/>
          </w:tcPr>
          <w:p w14:paraId="3D38893B" w14:textId="77777777" w:rsidR="009C753C" w:rsidRPr="00043DFE" w:rsidRDefault="009C753C" w:rsidP="008B107E">
            <w:pPr>
              <w:pStyle w:val="TAC"/>
            </w:pPr>
            <w:r w:rsidRPr="00043DFE">
              <w:rPr>
                <w:lang w:eastAsia="zh-CN"/>
              </w:rPr>
              <w:t>40.96 (32)</w:t>
            </w:r>
          </w:p>
        </w:tc>
        <w:tc>
          <w:tcPr>
            <w:tcW w:w="467" w:type="pct"/>
          </w:tcPr>
          <w:p w14:paraId="3CF560EB" w14:textId="77777777" w:rsidR="009C753C" w:rsidRPr="00043DFE" w:rsidRDefault="009C753C" w:rsidP="008B107E">
            <w:pPr>
              <w:pStyle w:val="TAC"/>
              <w:rPr>
                <w:lang w:val="en-US"/>
              </w:rPr>
            </w:pPr>
            <w:r w:rsidRPr="00043DFE">
              <w:rPr>
                <w:lang w:val="en-US"/>
              </w:rPr>
              <w:t>3</w:t>
            </w:r>
          </w:p>
        </w:tc>
        <w:tc>
          <w:tcPr>
            <w:tcW w:w="1309" w:type="pct"/>
            <w:gridSpan w:val="2"/>
            <w:tcBorders>
              <w:top w:val="nil"/>
            </w:tcBorders>
          </w:tcPr>
          <w:p w14:paraId="2C93F1F6" w14:textId="77777777" w:rsidR="009C753C" w:rsidRPr="00043DFE" w:rsidRDefault="009C753C" w:rsidP="008B107E">
            <w:pPr>
              <w:pStyle w:val="TAC"/>
              <w:rPr>
                <w:lang w:val="en-US"/>
              </w:rPr>
            </w:pPr>
          </w:p>
        </w:tc>
        <w:tc>
          <w:tcPr>
            <w:tcW w:w="809" w:type="pct"/>
          </w:tcPr>
          <w:p w14:paraId="42B634FF" w14:textId="77777777" w:rsidR="009C753C" w:rsidRPr="00043DFE" w:rsidRDefault="009C753C" w:rsidP="008B107E">
            <w:pPr>
              <w:pStyle w:val="TAC"/>
            </w:pPr>
            <w:r w:rsidRPr="00043DFE">
              <w:rPr>
                <w:lang w:eastAsia="zh-CN"/>
              </w:rPr>
              <w:t>20.48</w:t>
            </w:r>
          </w:p>
        </w:tc>
        <w:tc>
          <w:tcPr>
            <w:tcW w:w="858" w:type="pct"/>
          </w:tcPr>
          <w:p w14:paraId="631BF12D" w14:textId="77777777" w:rsidR="009C753C" w:rsidRPr="00043DFE" w:rsidRDefault="009C753C" w:rsidP="008B107E">
            <w:pPr>
              <w:pStyle w:val="TAC"/>
            </w:pPr>
            <w:r w:rsidRPr="00043DFE">
              <w:rPr>
                <w:lang w:eastAsia="zh-CN"/>
              </w:rPr>
              <w:t>40.96</w:t>
            </w:r>
          </w:p>
        </w:tc>
      </w:tr>
      <w:tr w:rsidR="009C753C" w:rsidRPr="00043DFE" w14:paraId="08E3FF68" w14:textId="77777777" w:rsidTr="008B107E">
        <w:trPr>
          <w:trHeight w:val="336"/>
        </w:trPr>
        <w:tc>
          <w:tcPr>
            <w:tcW w:w="5000" w:type="pct"/>
            <w:gridSpan w:val="8"/>
          </w:tcPr>
          <w:p w14:paraId="1F315F7A" w14:textId="77777777" w:rsidR="009C753C" w:rsidRPr="00043DFE" w:rsidRDefault="009C753C" w:rsidP="008B107E">
            <w:pPr>
              <w:pStyle w:val="TAN"/>
              <w:rPr>
                <w:rFonts w:eastAsia="Malgun Gothic"/>
                <w:snapToGrid w:val="0"/>
              </w:rPr>
            </w:pPr>
            <w:r w:rsidRPr="00043DFE">
              <w:rPr>
                <w:rFonts w:eastAsia="Malgun Gothic"/>
                <w:snapToGrid w:val="0"/>
              </w:rPr>
              <w:t xml:space="preserve">Note 1: </w:t>
            </w:r>
            <w:r w:rsidRPr="00043DFE">
              <w:rPr>
                <w:rFonts w:eastAsia="Malgun Gothic"/>
                <w:snapToGrid w:val="0"/>
              </w:rPr>
              <w:tab/>
            </w:r>
            <w:r w:rsidRPr="00043DFE">
              <w:t xml:space="preserve">Applies for UE supporting FR2-1 power class </w:t>
            </w:r>
            <w:r w:rsidRPr="00043DFE">
              <w:rPr>
                <w:lang w:eastAsia="zh-CN"/>
              </w:rPr>
              <w:t>2&amp;3&amp;4</w:t>
            </w:r>
            <w:r w:rsidRPr="00043DFE">
              <w:t>. For UE supporting FR2-1 power class 1 or 5, N1 = 8 for all DRX cycle length.</w:t>
            </w:r>
          </w:p>
          <w:p w14:paraId="44288910" w14:textId="77777777" w:rsidR="009C753C" w:rsidRPr="00043DFE" w:rsidRDefault="009C753C" w:rsidP="008B107E">
            <w:pPr>
              <w:pStyle w:val="TAN"/>
              <w:rPr>
                <w:rFonts w:eastAsia="Malgun Gothic"/>
                <w:snapToGrid w:val="0"/>
              </w:rPr>
            </w:pPr>
            <w:r w:rsidRPr="00043DFE">
              <w:rPr>
                <w:rFonts w:eastAsia="Malgun Gothic"/>
                <w:snapToGrid w:val="0"/>
              </w:rPr>
              <w:t xml:space="preserve">Note 2: </w:t>
            </w:r>
            <w:r w:rsidRPr="00043DFE">
              <w:rPr>
                <w:rFonts w:eastAsia="Malgun Gothic"/>
                <w:snapToGrid w:val="0"/>
              </w:rPr>
              <w:tab/>
              <w:t>The number of DRX cycles in this table is given for the DRX cycles within PTWs.</w:t>
            </w:r>
          </w:p>
          <w:p w14:paraId="621EF810" w14:textId="77777777" w:rsidR="009C753C" w:rsidRPr="00043DFE" w:rsidRDefault="009C753C" w:rsidP="008B107E">
            <w:pPr>
              <w:pStyle w:val="TAN"/>
              <w:rPr>
                <w:rFonts w:eastAsia="Malgun Gothic"/>
                <w:snapToGrid w:val="0"/>
              </w:rPr>
            </w:pPr>
            <w:r w:rsidRPr="00043DFE">
              <w:rPr>
                <w:rFonts w:eastAsia="Malgun Gothic"/>
                <w:snapToGrid w:val="0"/>
              </w:rPr>
              <w:t xml:space="preserve">Note 3: </w:t>
            </w:r>
            <w:r w:rsidRPr="00043DFE">
              <w:rPr>
                <w:rFonts w:eastAsia="Malgun Gothic"/>
                <w:snapToGrid w:val="0"/>
              </w:rPr>
              <w:tab/>
              <w:t>The eDRX_IDLE cycle lengths are as specified in Section 10.5.5.32 of TS 24.008 [34].</w:t>
            </w:r>
          </w:p>
          <w:p w14:paraId="591F6211" w14:textId="77777777" w:rsidR="009C753C" w:rsidRPr="00043DFE" w:rsidRDefault="009C753C" w:rsidP="008B107E">
            <w:pPr>
              <w:pStyle w:val="TAN"/>
              <w:rPr>
                <w:rFonts w:eastAsia="Malgun Gothic"/>
                <w:snapToGrid w:val="0"/>
              </w:rPr>
            </w:pPr>
            <w:r w:rsidRPr="00043DFE">
              <w:rPr>
                <w:rFonts w:eastAsia="Malgun Gothic"/>
                <w:snapToGrid w:val="0"/>
              </w:rPr>
              <w:t xml:space="preserve">Note 4: </w:t>
            </w:r>
            <w:r w:rsidRPr="00043DFE">
              <w:rPr>
                <w:rFonts w:eastAsia="Malgun Gothic"/>
                <w:snapToGrid w:val="0"/>
              </w:rPr>
              <w:tab/>
              <w:t xml:space="preserve">The lower bound of PTW length is derived based on </w:t>
            </w:r>
            <m:oMath>
              <m:d>
                <m:dPr>
                  <m:begChr m:val="⌈"/>
                  <m:endChr m:val="⌉"/>
                  <m:ctrlPr>
                    <w:rPr>
                      <w:rFonts w:ascii="Cambria Math" w:eastAsia="Malgun Gothic" w:hAnsi="Cambria Math"/>
                      <w:snapToGrid w:val="0"/>
                    </w:rPr>
                  </m:ctrlPr>
                </m:dPr>
                <m:e>
                  <m:f>
                    <m:fPr>
                      <m:ctrlPr>
                        <w:rPr>
                          <w:rFonts w:ascii="Cambria Math" w:eastAsia="Malgun Gothic" w:hAnsi="Cambria Math"/>
                          <w:snapToGrid w:val="0"/>
                        </w:rPr>
                      </m:ctrlPr>
                    </m:fPr>
                    <m:num>
                      <m:r>
                        <m:rPr>
                          <m:sty m:val="p"/>
                        </m:rPr>
                        <w:rPr>
                          <w:rFonts w:ascii="Cambria Math" w:eastAsia="Malgun Gothic" w:hAnsi="Cambria Math"/>
                          <w:snapToGrid w:val="0"/>
                        </w:rPr>
                        <m:t>Tevaluate,NR_Intra*DRX_cycle</m:t>
                      </m:r>
                    </m:num>
                    <m:den>
                      <m:r>
                        <m:rPr>
                          <m:sty m:val="p"/>
                        </m:rPr>
                        <w:rPr>
                          <w:rFonts w:ascii="Cambria Math" w:eastAsia="Malgun Gothic" w:hAnsi="Cambria Math"/>
                          <w:snapToGrid w:val="0"/>
                        </w:rPr>
                        <m:t>1.28</m:t>
                      </m:r>
                    </m:den>
                  </m:f>
                </m:e>
              </m:d>
              <m:r>
                <m:rPr>
                  <m:sty m:val="p"/>
                </m:rPr>
                <w:rPr>
                  <w:rFonts w:ascii="Cambria Math" w:eastAsia="Malgun Gothic" w:hAnsi="Cambria Math"/>
                  <w:snapToGrid w:val="0"/>
                </w:rPr>
                <m:t>*1.28</m:t>
              </m:r>
            </m:oMath>
            <w:r w:rsidRPr="00043DFE">
              <w:rPr>
                <w:rFonts w:eastAsia="Malgun Gothic"/>
                <w:snapToGrid w:val="0"/>
              </w:rPr>
              <w:t>.</w:t>
            </w:r>
          </w:p>
          <w:p w14:paraId="2402015E" w14:textId="77777777" w:rsidR="009C753C" w:rsidRPr="00043DFE" w:rsidRDefault="009C753C" w:rsidP="008B107E">
            <w:pPr>
              <w:pStyle w:val="TAN"/>
              <w:rPr>
                <w:rFonts w:eastAsia="Malgun Gothic"/>
                <w:snapToGrid w:val="0"/>
              </w:rPr>
            </w:pPr>
            <w:r w:rsidRPr="00043DFE">
              <w:rPr>
                <w:rFonts w:eastAsia="Malgun Gothic"/>
                <w:snapToGrid w:val="0"/>
              </w:rPr>
              <w:t>Note 5:</w:t>
            </w:r>
            <w:r w:rsidRPr="00043DFE">
              <w:rPr>
                <w:rFonts w:eastAsia="Malgun Gothic"/>
                <w:snapToGrid w:val="0"/>
              </w:rPr>
              <w:tab/>
              <w:t>The measurement shall not be performed across PTW’s. In this case the measurement is performed in the next available PTW.</w:t>
            </w:r>
          </w:p>
          <w:p w14:paraId="7BFB28CB" w14:textId="77777777" w:rsidR="009C753C" w:rsidRPr="00043DFE" w:rsidRDefault="009C753C" w:rsidP="008B107E">
            <w:pPr>
              <w:pStyle w:val="TAN"/>
              <w:rPr>
                <w:rFonts w:eastAsia="Malgun Gothic"/>
                <w:snapToGrid w:val="0"/>
              </w:rPr>
            </w:pPr>
            <w:r w:rsidRPr="00043DFE">
              <w:rPr>
                <w:rFonts w:eastAsia="Malgun Gothic"/>
                <w:snapToGrid w:val="0"/>
              </w:rPr>
              <w:t>Note 6:</w:t>
            </w:r>
            <w:r w:rsidRPr="00043DFE">
              <w:rPr>
                <w:rFonts w:eastAsia="Malgun Gothic"/>
                <w:snapToGrid w:val="0"/>
              </w:rPr>
              <w:tab/>
              <w:t>The evaluation shall not be performed across PTW’s.</w:t>
            </w:r>
          </w:p>
          <w:p w14:paraId="6D58F60B" w14:textId="77777777" w:rsidR="009C753C" w:rsidRPr="00043DFE" w:rsidRDefault="009C753C" w:rsidP="008B107E">
            <w:pPr>
              <w:pStyle w:val="TAN"/>
              <w:rPr>
                <w:rFonts w:cs="Arial"/>
              </w:rPr>
            </w:pPr>
            <w:r w:rsidRPr="00043DFE">
              <w:rPr>
                <w:rFonts w:eastAsia="Malgun Gothic"/>
                <w:snapToGrid w:val="0"/>
              </w:rPr>
              <w:t>Note 7:</w:t>
            </w:r>
            <w:r w:rsidRPr="00043DFE">
              <w:rPr>
                <w:rFonts w:eastAsia="Malgun Gothic"/>
                <w:snapToGrid w:val="0"/>
              </w:rPr>
              <w:tab/>
              <w:t xml:space="preserve">K1 = 3 is the measurement relaxation factor applicable for UE fulfilling the </w:t>
            </w:r>
            <w:r w:rsidRPr="00043DFE">
              <w:rPr>
                <w:i/>
                <w:iCs/>
              </w:rPr>
              <w:t>cellEdgeEvaluation criterion</w:t>
            </w:r>
            <w:r w:rsidRPr="00043DFE">
              <w:rPr>
                <w:rFonts w:eastAsia="Malgun Gothic"/>
                <w:snapToGrid w:val="0"/>
              </w:rPr>
              <w:t xml:space="preserve"> [2].</w:t>
            </w:r>
          </w:p>
        </w:tc>
      </w:tr>
    </w:tbl>
    <w:p w14:paraId="3467F371" w14:textId="77777777" w:rsidR="009C753C" w:rsidRPr="000B6693" w:rsidRDefault="009C753C" w:rsidP="00A20BE0">
      <w:pPr>
        <w:rPr>
          <w:lang w:eastAsia="zh-CN"/>
        </w:rPr>
      </w:pPr>
    </w:p>
    <w:p w14:paraId="71189CB3" w14:textId="04727766" w:rsidR="0022726A" w:rsidRDefault="0022726A" w:rsidP="0022726A">
      <w:pPr>
        <w:pStyle w:val="Heading5"/>
        <w:rPr>
          <w:lang w:val="en-US" w:eastAsia="zh-CN"/>
        </w:rPr>
      </w:pPr>
      <w:r>
        <w:rPr>
          <w:lang w:val="en-US" w:eastAsia="zh-CN"/>
        </w:rPr>
        <w:t>4.2.2.9.4</w:t>
      </w:r>
      <w:r w:rsidRPr="00885F53">
        <w:rPr>
          <w:lang w:val="en-US" w:eastAsia="zh-CN"/>
        </w:rPr>
        <w:tab/>
      </w:r>
      <w:r>
        <w:rPr>
          <w:lang w:val="en-US" w:eastAsia="zh-CN"/>
        </w:rPr>
        <w:t>Measurements for UE fulfilling low mobility and not-at-cell edge criteria</w:t>
      </w:r>
    </w:p>
    <w:p w14:paraId="58406993" w14:textId="77777777" w:rsidR="0022726A" w:rsidRDefault="0022726A" w:rsidP="0022726A">
      <w:pPr>
        <w:rPr>
          <w:rFonts w:eastAsiaTheme="minorEastAsia"/>
          <w:lang w:eastAsia="zh-CN"/>
        </w:rPr>
      </w:pPr>
      <w:r w:rsidRPr="00885F53">
        <w:rPr>
          <w:lang w:val="en-US" w:eastAsia="zh-CN"/>
        </w:rPr>
        <w:t xml:space="preserve">This clause contains requirements </w:t>
      </w:r>
      <w:r>
        <w:rPr>
          <w:rFonts w:eastAsiaTheme="minorEastAsia"/>
          <w:lang w:eastAsia="zh-CN"/>
        </w:rPr>
        <w:t>for measurements on intra-frequency NR cells provided that:</w:t>
      </w:r>
    </w:p>
    <w:p w14:paraId="681D3992" w14:textId="56343086" w:rsidR="00FA1949" w:rsidRPr="00AD77EE" w:rsidRDefault="00FA1949" w:rsidP="00FA1949">
      <w:pPr>
        <w:pStyle w:val="B10"/>
        <w:rPr>
          <w:lang w:eastAsia="zh-CN"/>
        </w:rPr>
      </w:pPr>
      <w:r>
        <w:rPr>
          <w:noProof/>
        </w:rPr>
        <w:t>-</w:t>
      </w:r>
      <w:r>
        <w:rPr>
          <w:noProof/>
        </w:rPr>
        <w:tab/>
      </w:r>
      <w:r w:rsidRPr="000A4CE3">
        <w:rPr>
          <w:lang w:eastAsia="zh-CN"/>
        </w:rPr>
        <w:t xml:space="preserve">UE is configured with </w:t>
      </w:r>
      <w:r w:rsidRPr="00AD77EE">
        <w:rPr>
          <w:lang w:eastAsia="zh-CN"/>
        </w:rPr>
        <w:t xml:space="preserve">both </w:t>
      </w:r>
      <w:r w:rsidR="002E4D01" w:rsidRPr="001C6668">
        <w:rPr>
          <w:i/>
          <w:iCs/>
          <w:lang w:eastAsia="zh-CN"/>
        </w:rPr>
        <w:t>lowMobilityEvaluation</w:t>
      </w:r>
      <w:r w:rsidR="002E4D01" w:rsidDel="00575BE1">
        <w:rPr>
          <w:i/>
          <w:iCs/>
          <w:lang w:eastAsia="zh-CN"/>
        </w:rPr>
        <w:t xml:space="preserve"> </w:t>
      </w:r>
      <w:r>
        <w:rPr>
          <w:lang w:eastAsia="zh-CN"/>
        </w:rPr>
        <w:t>[2]</w:t>
      </w:r>
      <w:r w:rsidRPr="00AD77EE">
        <w:rPr>
          <w:lang w:eastAsia="zh-CN"/>
        </w:rPr>
        <w:t xml:space="preserve"> criterion and </w:t>
      </w:r>
      <w:r w:rsidRPr="00485479">
        <w:rPr>
          <w:i/>
          <w:iCs/>
          <w:lang w:eastAsia="zh-CN"/>
        </w:rPr>
        <w:t>cellEdgeEvaluation</w:t>
      </w:r>
      <w:r>
        <w:rPr>
          <w:i/>
          <w:iCs/>
          <w:lang w:eastAsia="zh-CN"/>
        </w:rPr>
        <w:t xml:space="preserve"> </w:t>
      </w:r>
      <w:r>
        <w:rPr>
          <w:lang w:eastAsia="zh-CN"/>
        </w:rPr>
        <w:t>[2]</w:t>
      </w:r>
      <w:r w:rsidRPr="00AD77EE">
        <w:rPr>
          <w:lang w:eastAsia="zh-CN"/>
        </w:rPr>
        <w:t xml:space="preserve"> criterion, </w:t>
      </w:r>
      <w:r>
        <w:rPr>
          <w:lang w:eastAsia="zh-CN"/>
        </w:rPr>
        <w:t xml:space="preserve">and </w:t>
      </w:r>
    </w:p>
    <w:p w14:paraId="44368528" w14:textId="77777777" w:rsidR="00FA1949" w:rsidRDefault="00FA1949" w:rsidP="00FA1949">
      <w:pPr>
        <w:pStyle w:val="B10"/>
        <w:rPr>
          <w:lang w:eastAsia="zh-CN"/>
        </w:rPr>
      </w:pPr>
      <w:r>
        <w:rPr>
          <w:noProof/>
        </w:rPr>
        <w:t>-</w:t>
      </w:r>
      <w:r>
        <w:rPr>
          <w:noProof/>
        </w:rPr>
        <w:tab/>
      </w:r>
      <w:r w:rsidRPr="00AD77EE">
        <w:rPr>
          <w:lang w:eastAsia="zh-CN"/>
        </w:rPr>
        <w:t xml:space="preserve">has </w:t>
      </w:r>
      <w:r>
        <w:rPr>
          <w:lang w:eastAsia="zh-CN"/>
        </w:rPr>
        <w:t xml:space="preserve">also </w:t>
      </w:r>
      <w:r w:rsidRPr="00AD77EE">
        <w:rPr>
          <w:lang w:eastAsia="zh-CN"/>
        </w:rPr>
        <w:t xml:space="preserve">fulfilled </w:t>
      </w:r>
      <w:r>
        <w:rPr>
          <w:lang w:eastAsia="zh-CN"/>
        </w:rPr>
        <w:t>both criteria, and</w:t>
      </w:r>
    </w:p>
    <w:p w14:paraId="7A9F37AE" w14:textId="6991679F" w:rsidR="00FA1949" w:rsidRDefault="00FA1949" w:rsidP="00FA1949">
      <w:pPr>
        <w:pStyle w:val="B10"/>
        <w:rPr>
          <w:rFonts w:eastAsiaTheme="minorEastAsia"/>
          <w:lang w:eastAsia="zh-CN"/>
        </w:rPr>
      </w:pPr>
      <w:r>
        <w:rPr>
          <w:rFonts w:eastAsiaTheme="minorEastAsia"/>
          <w:lang w:eastAsia="zh-CN"/>
        </w:rPr>
        <w:t>-</w:t>
      </w:r>
      <w:r>
        <w:rPr>
          <w:rFonts w:eastAsiaTheme="minorEastAsia"/>
          <w:lang w:eastAsia="zh-CN"/>
        </w:rPr>
        <w:tab/>
        <w:t>less than 1 hour have passed since measurements for cell reselection were last performed</w:t>
      </w:r>
    </w:p>
    <w:p w14:paraId="356B3967" w14:textId="77777777" w:rsidR="0022726A" w:rsidRDefault="0022726A" w:rsidP="0022726A">
      <w:r>
        <w:rPr>
          <w:lang w:eastAsia="zh-CN"/>
        </w:rPr>
        <w:t>In this case t</w:t>
      </w:r>
      <w:r w:rsidRPr="00F15959">
        <w:rPr>
          <w:lang w:eastAsia="zh-CN"/>
        </w:rPr>
        <w:t>he UE</w:t>
      </w:r>
      <w:r>
        <w:rPr>
          <w:lang w:eastAsia="zh-CN"/>
        </w:rPr>
        <w:t xml:space="preserve"> </w:t>
      </w:r>
      <w:r w:rsidRPr="00F15959">
        <w:rPr>
          <w:lang w:eastAsia="zh-CN"/>
        </w:rPr>
        <w:t xml:space="preserve">is not required to meet </w:t>
      </w:r>
      <w:r w:rsidRPr="00950DA1">
        <w:rPr>
          <w:rFonts w:ascii="Arial" w:hAnsi="Arial"/>
          <w:sz w:val="18"/>
        </w:rPr>
        <w:t>T</w:t>
      </w:r>
      <w:r w:rsidRPr="00950DA1">
        <w:rPr>
          <w:rFonts w:ascii="Arial" w:hAnsi="Arial"/>
          <w:sz w:val="18"/>
          <w:vertAlign w:val="subscript"/>
        </w:rPr>
        <w:t>detect,NR_Intra</w:t>
      </w:r>
      <w:r w:rsidRPr="00F15959">
        <w:rPr>
          <w:vertAlign w:val="subscript"/>
        </w:rPr>
        <w:t>,</w:t>
      </w:r>
      <w:r w:rsidRPr="00DD1374">
        <w:t xml:space="preserve"> </w:t>
      </w:r>
      <w:r w:rsidRPr="00950DA1">
        <w:rPr>
          <w:rFonts w:ascii="Arial" w:hAnsi="Arial"/>
          <w:sz w:val="18"/>
        </w:rPr>
        <w:t>T</w:t>
      </w:r>
      <w:r w:rsidRPr="00950DA1">
        <w:rPr>
          <w:rFonts w:ascii="Arial" w:hAnsi="Arial"/>
          <w:sz w:val="18"/>
          <w:vertAlign w:val="subscript"/>
        </w:rPr>
        <w:t>measure,NR_Intra</w:t>
      </w:r>
      <w:r w:rsidRPr="00F15959">
        <w:t xml:space="preserve"> and </w:t>
      </w:r>
      <w:r w:rsidRPr="00950DA1">
        <w:rPr>
          <w:rFonts w:ascii="Arial" w:hAnsi="Arial"/>
          <w:sz w:val="18"/>
        </w:rPr>
        <w:t>T</w:t>
      </w:r>
      <w:r w:rsidRPr="00950DA1">
        <w:rPr>
          <w:rFonts w:ascii="Arial" w:hAnsi="Arial"/>
          <w:sz w:val="18"/>
          <w:vertAlign w:val="subscript"/>
        </w:rPr>
        <w:t>evaluate,NR_</w:t>
      </w:r>
      <w:r w:rsidRPr="00950DA1">
        <w:rPr>
          <w:rFonts w:ascii="Arial" w:hAnsi="Arial" w:cs="v4.2.0"/>
          <w:sz w:val="18"/>
          <w:vertAlign w:val="subscript"/>
        </w:rPr>
        <w:t>Intra</w:t>
      </w:r>
      <w:r w:rsidRPr="00F15959">
        <w:rPr>
          <w:lang w:eastAsia="zh-CN"/>
        </w:rPr>
        <w:t xml:space="preserve"> a</w:t>
      </w:r>
      <w:r w:rsidRPr="0089796C">
        <w:rPr>
          <w:lang w:eastAsia="zh-CN"/>
        </w:rPr>
        <w:t>s defined in Table</w:t>
      </w:r>
      <w:r>
        <w:rPr>
          <w:lang w:eastAsia="zh-CN"/>
        </w:rPr>
        <w:t xml:space="preserve"> </w:t>
      </w:r>
      <w:r w:rsidRPr="00950DA1">
        <w:rPr>
          <w:lang w:eastAsia="zh-CN"/>
        </w:rPr>
        <w:t>4.2.2.3-1</w:t>
      </w:r>
      <w:r w:rsidRPr="0089796C">
        <w:rPr>
          <w:lang w:eastAsia="zh-CN"/>
        </w:rPr>
        <w:t>.</w:t>
      </w:r>
    </w:p>
    <w:p w14:paraId="3CE37246" w14:textId="5CC12E44" w:rsidR="0022726A" w:rsidRPr="007D632B" w:rsidRDefault="0022726A" w:rsidP="0022726A">
      <w:pPr>
        <w:pStyle w:val="Heading4"/>
        <w:rPr>
          <w:lang w:val="en-US" w:eastAsia="zh-CN"/>
        </w:rPr>
      </w:pPr>
      <w:r>
        <w:rPr>
          <w:lang w:val="en-US" w:eastAsia="zh-CN"/>
        </w:rPr>
        <w:t>4.2.2.10</w:t>
      </w:r>
      <w:r w:rsidRPr="00885F53">
        <w:rPr>
          <w:lang w:val="en-US" w:eastAsia="zh-CN"/>
        </w:rPr>
        <w:tab/>
        <w:t xml:space="preserve">Measurements of </w:t>
      </w:r>
      <w:r>
        <w:rPr>
          <w:lang w:val="en-US" w:eastAsia="zh-CN"/>
        </w:rPr>
        <w:t>inter</w:t>
      </w:r>
      <w:r w:rsidRPr="00885F53">
        <w:rPr>
          <w:lang w:val="en-US" w:eastAsia="zh-CN"/>
        </w:rPr>
        <w:t>-frequency NR cells</w:t>
      </w:r>
      <w:r>
        <w:rPr>
          <w:lang w:val="en-US" w:eastAsia="zh-CN"/>
        </w:rPr>
        <w:t xml:space="preserve"> for UE configured with relaxed m</w:t>
      </w:r>
      <w:r w:rsidRPr="007D632B">
        <w:rPr>
          <w:lang w:val="en-US" w:eastAsia="zh-CN"/>
        </w:rPr>
        <w:t>easurement criterion</w:t>
      </w:r>
    </w:p>
    <w:p w14:paraId="7CA3AFA8" w14:textId="0FC82BCB" w:rsidR="0022726A" w:rsidRPr="007C2D19" w:rsidRDefault="0022726A" w:rsidP="0022726A">
      <w:pPr>
        <w:pStyle w:val="Heading5"/>
        <w:rPr>
          <w:lang w:val="en-US" w:eastAsia="zh-CN"/>
        </w:rPr>
      </w:pPr>
      <w:r>
        <w:rPr>
          <w:lang w:val="en-US" w:eastAsia="zh-CN"/>
        </w:rPr>
        <w:t>4.2.2.10</w:t>
      </w:r>
      <w:r w:rsidRPr="00E9086F">
        <w:rPr>
          <w:lang w:val="en-US" w:eastAsia="zh-CN"/>
        </w:rPr>
        <w:t>.1</w:t>
      </w:r>
      <w:r w:rsidRPr="00996B49">
        <w:rPr>
          <w:lang w:val="en-US" w:eastAsia="zh-CN"/>
        </w:rPr>
        <w:tab/>
        <w:t>Introduction</w:t>
      </w:r>
    </w:p>
    <w:p w14:paraId="2E96C422" w14:textId="2E5FEA0C" w:rsidR="0022726A" w:rsidRPr="007C2D19" w:rsidRDefault="0022726A" w:rsidP="0022726A">
      <w:pPr>
        <w:rPr>
          <w:noProof/>
        </w:rPr>
      </w:pPr>
      <w:r w:rsidRPr="007C2D19">
        <w:rPr>
          <w:noProof/>
        </w:rPr>
        <w:t xml:space="preserve">This </w:t>
      </w:r>
      <w:r w:rsidR="0063092D">
        <w:rPr>
          <w:noProof/>
        </w:rPr>
        <w:t>clause</w:t>
      </w:r>
      <w:r w:rsidRPr="007C2D19">
        <w:rPr>
          <w:noProof/>
        </w:rPr>
        <w:t xml:space="preserve"> contains the requirements for measurements on inter-frequency NR cells </w:t>
      </w:r>
      <w:r w:rsidRPr="007D632B">
        <w:rPr>
          <w:rFonts w:eastAsiaTheme="minorEastAsia"/>
          <w:lang w:eastAsia="zh-CN"/>
        </w:rPr>
        <w:t xml:space="preserve">when </w:t>
      </w:r>
      <w:r w:rsidRPr="00E9086F">
        <w:rPr>
          <w:rFonts w:eastAsiaTheme="minorEastAsia"/>
          <w:lang w:eastAsia="zh-CN"/>
        </w:rPr>
        <w:t xml:space="preserve">the UE is </w:t>
      </w:r>
      <w:r w:rsidRPr="00E9086F">
        <w:rPr>
          <w:noProof/>
        </w:rPr>
        <w:t>configured with any of following relaxed measurement criteri</w:t>
      </w:r>
      <w:r w:rsidRPr="00996B49">
        <w:rPr>
          <w:noProof/>
        </w:rPr>
        <w:t>a:</w:t>
      </w:r>
    </w:p>
    <w:p w14:paraId="68EF08D1" w14:textId="30A29817" w:rsidR="0022726A" w:rsidRPr="00F52E47" w:rsidRDefault="00FA1949" w:rsidP="00FA1949">
      <w:pPr>
        <w:pStyle w:val="B10"/>
        <w:rPr>
          <w:noProof/>
        </w:rPr>
      </w:pPr>
      <w:r>
        <w:rPr>
          <w:noProof/>
        </w:rPr>
        <w:t>-</w:t>
      </w:r>
      <w:r>
        <w:rPr>
          <w:noProof/>
        </w:rPr>
        <w:tab/>
      </w:r>
      <w:r w:rsidR="0022726A" w:rsidRPr="00C33767">
        <w:rPr>
          <w:noProof/>
        </w:rPr>
        <w:t>Relaxed m</w:t>
      </w:r>
      <w:r w:rsidR="0022726A" w:rsidRPr="00F52E47">
        <w:rPr>
          <w:noProof/>
        </w:rPr>
        <w:t xml:space="preserve">easurement criterion for UE with low mobility defined in clause </w:t>
      </w:r>
      <w:r w:rsidRPr="00F52E47">
        <w:rPr>
          <w:noProof/>
        </w:rPr>
        <w:t>5.2.4.</w:t>
      </w:r>
      <w:r>
        <w:rPr>
          <w:noProof/>
        </w:rPr>
        <w:t>9</w:t>
      </w:r>
      <w:r w:rsidRPr="00F52E47">
        <w:rPr>
          <w:noProof/>
        </w:rPr>
        <w:t>.1</w:t>
      </w:r>
      <w:r w:rsidR="0022726A" w:rsidRPr="00F52E47">
        <w:rPr>
          <w:noProof/>
        </w:rPr>
        <w:t xml:space="preserve"> in [1],</w:t>
      </w:r>
    </w:p>
    <w:p w14:paraId="35322A2B" w14:textId="68B17A01" w:rsidR="0022726A" w:rsidRPr="00F52E47" w:rsidRDefault="00FA1949" w:rsidP="00FA1949">
      <w:pPr>
        <w:pStyle w:val="B10"/>
        <w:rPr>
          <w:noProof/>
        </w:rPr>
      </w:pPr>
      <w:r>
        <w:rPr>
          <w:noProof/>
        </w:rPr>
        <w:t>-</w:t>
      </w:r>
      <w:r>
        <w:rPr>
          <w:noProof/>
        </w:rPr>
        <w:tab/>
      </w:r>
      <w:r w:rsidR="0022726A" w:rsidRPr="00F52E47">
        <w:rPr>
          <w:noProof/>
        </w:rPr>
        <w:t>Relaxed measurement criterion for UE not</w:t>
      </w:r>
      <w:r w:rsidR="0022726A">
        <w:rPr>
          <w:noProof/>
        </w:rPr>
        <w:t>-</w:t>
      </w:r>
      <w:r w:rsidR="0022726A" w:rsidRPr="00F52E47">
        <w:rPr>
          <w:noProof/>
        </w:rPr>
        <w:t>at</w:t>
      </w:r>
      <w:r w:rsidR="0022726A">
        <w:rPr>
          <w:noProof/>
        </w:rPr>
        <w:t>-</w:t>
      </w:r>
      <w:r w:rsidR="0022726A" w:rsidRPr="00F52E47">
        <w:rPr>
          <w:noProof/>
        </w:rPr>
        <w:t>cell edge defined in clause 5.2.4.</w:t>
      </w:r>
      <w:r w:rsidRPr="00FA1949" w:rsidDel="00E1759F">
        <w:rPr>
          <w:noProof/>
        </w:rPr>
        <w:t xml:space="preserve"> </w:t>
      </w:r>
      <w:r>
        <w:rPr>
          <w:noProof/>
        </w:rPr>
        <w:t>9</w:t>
      </w:r>
      <w:r w:rsidR="0022726A" w:rsidRPr="00F52E47">
        <w:rPr>
          <w:noProof/>
        </w:rPr>
        <w:t>.2 in [1],</w:t>
      </w:r>
    </w:p>
    <w:p w14:paraId="60889134" w14:textId="1250FB8E" w:rsidR="0022726A" w:rsidRPr="00066009" w:rsidRDefault="00FA1949" w:rsidP="00FA1949">
      <w:pPr>
        <w:pStyle w:val="B10"/>
        <w:rPr>
          <w:noProof/>
        </w:rPr>
      </w:pPr>
      <w:r>
        <w:rPr>
          <w:noProof/>
        </w:rPr>
        <w:t>-</w:t>
      </w:r>
      <w:r>
        <w:rPr>
          <w:noProof/>
        </w:rPr>
        <w:tab/>
      </w:r>
      <w:r w:rsidR="0022726A" w:rsidRPr="00F52E47">
        <w:rPr>
          <w:noProof/>
        </w:rPr>
        <w:t>Both low mobility criterion and not</w:t>
      </w:r>
      <w:r w:rsidR="0022726A">
        <w:rPr>
          <w:noProof/>
        </w:rPr>
        <w:t>-</w:t>
      </w:r>
      <w:r w:rsidR="0022726A" w:rsidRPr="00F52E47">
        <w:rPr>
          <w:noProof/>
        </w:rPr>
        <w:t>at</w:t>
      </w:r>
      <w:r w:rsidR="0022726A">
        <w:rPr>
          <w:noProof/>
        </w:rPr>
        <w:t>-</w:t>
      </w:r>
      <w:r w:rsidR="0022726A" w:rsidRPr="00F52E47">
        <w:rPr>
          <w:noProof/>
        </w:rPr>
        <w:t>cell edge criterion as defined in clauses 5.2.4.</w:t>
      </w:r>
      <w:r w:rsidRPr="00FA1949" w:rsidDel="00E1759F">
        <w:rPr>
          <w:noProof/>
        </w:rPr>
        <w:t xml:space="preserve"> </w:t>
      </w:r>
      <w:r>
        <w:rPr>
          <w:noProof/>
        </w:rPr>
        <w:t>9</w:t>
      </w:r>
      <w:r w:rsidR="0022726A" w:rsidRPr="00F52E47">
        <w:rPr>
          <w:noProof/>
        </w:rPr>
        <w:t>.1 and 5.2.4.</w:t>
      </w:r>
      <w:r w:rsidR="006F2A46">
        <w:rPr>
          <w:noProof/>
        </w:rPr>
        <w:t>9</w:t>
      </w:r>
      <w:r w:rsidR="0022726A" w:rsidRPr="00F52E47">
        <w:rPr>
          <w:noProof/>
        </w:rPr>
        <w:t>.2 in [1] respectively.</w:t>
      </w:r>
    </w:p>
    <w:p w14:paraId="54466B0E" w14:textId="0D44BDC7" w:rsidR="0022726A" w:rsidRDefault="0022726A" w:rsidP="0022726A">
      <w:pPr>
        <w:pStyle w:val="Heading5"/>
        <w:rPr>
          <w:lang w:val="en-US" w:eastAsia="zh-CN"/>
        </w:rPr>
      </w:pPr>
      <w:r>
        <w:rPr>
          <w:lang w:val="en-US" w:eastAsia="zh-CN"/>
        </w:rPr>
        <w:t>4.2.2.10.2</w:t>
      </w:r>
      <w:r w:rsidRPr="00885F53">
        <w:rPr>
          <w:lang w:val="en-US" w:eastAsia="zh-CN"/>
        </w:rPr>
        <w:tab/>
      </w:r>
      <w:r>
        <w:rPr>
          <w:lang w:val="en-US" w:eastAsia="zh-CN"/>
        </w:rPr>
        <w:t>Measurements for UE fulfilling low mobility criterion</w:t>
      </w:r>
    </w:p>
    <w:p w14:paraId="2C85D91F" w14:textId="77777777" w:rsidR="0022726A" w:rsidRDefault="0022726A" w:rsidP="0022726A">
      <w:pPr>
        <w:rPr>
          <w:rFonts w:eastAsiaTheme="minorEastAsia"/>
          <w:lang w:eastAsia="zh-CN"/>
        </w:rPr>
      </w:pPr>
      <w:r w:rsidRPr="00885F53">
        <w:rPr>
          <w:lang w:val="en-US" w:eastAsia="zh-CN"/>
        </w:rPr>
        <w:t xml:space="preserve">This clause contains requirements </w:t>
      </w:r>
      <w:r>
        <w:rPr>
          <w:rFonts w:eastAsiaTheme="minorEastAsia"/>
          <w:lang w:eastAsia="zh-CN"/>
        </w:rPr>
        <w:t>for measurements on inter-frequency NR cells provided that:</w:t>
      </w:r>
    </w:p>
    <w:p w14:paraId="321D0E76" w14:textId="4F908EAC" w:rsidR="0022726A" w:rsidRPr="00FA1949" w:rsidRDefault="00FA1949" w:rsidP="00FA1949">
      <w:pPr>
        <w:pStyle w:val="B10"/>
        <w:rPr>
          <w:rFonts w:eastAsiaTheme="minorEastAsia"/>
          <w:lang w:eastAsia="zh-CN"/>
        </w:rPr>
      </w:pPr>
      <w:r>
        <w:rPr>
          <w:lang w:eastAsia="zh-CN"/>
        </w:rPr>
        <w:t>-</w:t>
      </w:r>
      <w:r>
        <w:rPr>
          <w:lang w:eastAsia="zh-CN"/>
        </w:rPr>
        <w:tab/>
      </w:r>
      <w:r w:rsidR="0022726A" w:rsidRPr="00996B49">
        <w:rPr>
          <w:lang w:eastAsia="zh-CN"/>
        </w:rPr>
        <w:t xml:space="preserve">UE is configured with </w:t>
      </w:r>
      <w:r w:rsidR="002E4D01" w:rsidRPr="001C6668">
        <w:rPr>
          <w:i/>
          <w:iCs/>
          <w:lang w:eastAsia="zh-CN"/>
        </w:rPr>
        <w:t>lowMobilityEvaluation</w:t>
      </w:r>
      <w:r w:rsidR="002E4D01" w:rsidRPr="00032D2A" w:rsidDel="001E51FB">
        <w:rPr>
          <w:i/>
          <w:iCs/>
          <w:lang w:eastAsia="zh-CN"/>
        </w:rPr>
        <w:t xml:space="preserve"> </w:t>
      </w:r>
      <w:r w:rsidRPr="00032D2A">
        <w:rPr>
          <w:lang w:eastAsia="zh-CN"/>
        </w:rPr>
        <w:t xml:space="preserve">[2] </w:t>
      </w:r>
      <w:r w:rsidRPr="00557212">
        <w:rPr>
          <w:rFonts w:eastAsiaTheme="minorEastAsia"/>
          <w:lang w:eastAsia="zh-CN"/>
        </w:rPr>
        <w:t>criterion</w:t>
      </w:r>
      <w:r w:rsidR="006F2A46">
        <w:rPr>
          <w:rFonts w:eastAsiaTheme="minorEastAsia"/>
          <w:lang w:eastAsia="zh-CN"/>
        </w:rPr>
        <w:t xml:space="preserve"> and UE has fulfilled</w:t>
      </w:r>
      <w:r w:rsidRPr="00557212">
        <w:rPr>
          <w:rFonts w:eastAsiaTheme="minorEastAsia"/>
          <w:lang w:eastAsia="zh-CN"/>
        </w:rPr>
        <w:t xml:space="preserve">, or </w:t>
      </w:r>
    </w:p>
    <w:p w14:paraId="4FF9D661" w14:textId="560ECD25" w:rsidR="00700837" w:rsidRPr="00C33767" w:rsidRDefault="00700837" w:rsidP="00700837">
      <w:pPr>
        <w:pStyle w:val="B10"/>
        <w:rPr>
          <w:lang w:eastAsia="zh-CN"/>
        </w:rPr>
      </w:pPr>
      <w:r>
        <w:rPr>
          <w:lang w:eastAsia="zh-CN"/>
        </w:rPr>
        <w:t>-</w:t>
      </w:r>
      <w:r>
        <w:rPr>
          <w:lang w:eastAsia="zh-CN"/>
        </w:rPr>
        <w:tab/>
      </w:r>
      <w:r w:rsidRPr="007C2D19">
        <w:rPr>
          <w:lang w:eastAsia="zh-CN"/>
        </w:rPr>
        <w:t xml:space="preserve">UE is configured with both </w:t>
      </w:r>
      <w:r w:rsidR="002E4D01" w:rsidRPr="001C6668">
        <w:rPr>
          <w:i/>
          <w:iCs/>
          <w:lang w:eastAsia="zh-CN"/>
        </w:rPr>
        <w:t>lowMobilityEvaluation</w:t>
      </w:r>
      <w:r w:rsidR="002E4D01" w:rsidRPr="00032D2A" w:rsidDel="001E51FB">
        <w:rPr>
          <w:i/>
          <w:iCs/>
          <w:lang w:eastAsia="zh-CN"/>
        </w:rPr>
        <w:t xml:space="preserve"> </w:t>
      </w:r>
      <w:r w:rsidRPr="00032D2A">
        <w:rPr>
          <w:lang w:eastAsia="zh-CN"/>
        </w:rPr>
        <w:t>[2]</w:t>
      </w:r>
      <w:r w:rsidRPr="00557212">
        <w:rPr>
          <w:lang w:eastAsia="zh-CN"/>
        </w:rPr>
        <w:t xml:space="preserve"> and </w:t>
      </w:r>
      <w:r w:rsidRPr="00032D2A">
        <w:rPr>
          <w:i/>
          <w:iCs/>
          <w:lang w:eastAsia="zh-CN"/>
        </w:rPr>
        <w:t xml:space="preserve">cellEdgeEvaluation </w:t>
      </w:r>
      <w:r w:rsidRPr="00032D2A">
        <w:rPr>
          <w:lang w:eastAsia="zh-CN"/>
        </w:rPr>
        <w:t>[2]</w:t>
      </w:r>
      <w:r w:rsidRPr="00557212">
        <w:rPr>
          <w:lang w:eastAsia="zh-CN"/>
        </w:rPr>
        <w:t xml:space="preserve"> criterion</w:t>
      </w:r>
      <w:r w:rsidRPr="00C15974">
        <w:t xml:space="preserve"> </w:t>
      </w:r>
      <w:r w:rsidRPr="00C15974">
        <w:rPr>
          <w:lang w:eastAsia="zh-CN"/>
        </w:rPr>
        <w:t xml:space="preserve">and </w:t>
      </w:r>
      <w:r w:rsidRPr="002F5786">
        <w:rPr>
          <w:i/>
          <w:iCs/>
          <w:lang w:eastAsia="zh-CN"/>
        </w:rPr>
        <w:t>combineRelaxedMeasCondition</w:t>
      </w:r>
      <w:r w:rsidRPr="00C15974">
        <w:rPr>
          <w:lang w:eastAsia="zh-CN"/>
        </w:rPr>
        <w:t xml:space="preserve"> [2] not configured</w:t>
      </w:r>
      <w:r w:rsidRPr="00557212">
        <w:rPr>
          <w:lang w:eastAsia="zh-CN"/>
        </w:rPr>
        <w:t>, and</w:t>
      </w:r>
      <w:r w:rsidRPr="007C2D19">
        <w:rPr>
          <w:lang w:eastAsia="zh-CN"/>
        </w:rPr>
        <w:t xml:space="preserve"> </w:t>
      </w:r>
    </w:p>
    <w:p w14:paraId="397BCF9C" w14:textId="1E0CBE36" w:rsidR="0022726A" w:rsidRPr="00A41B58" w:rsidRDefault="00FA1949" w:rsidP="00FA1949">
      <w:pPr>
        <w:pStyle w:val="B10"/>
        <w:rPr>
          <w:lang w:eastAsia="zh-CN"/>
        </w:rPr>
      </w:pPr>
      <w:r>
        <w:rPr>
          <w:lang w:eastAsia="zh-CN"/>
        </w:rPr>
        <w:t>-</w:t>
      </w:r>
      <w:r>
        <w:rPr>
          <w:lang w:eastAsia="zh-CN"/>
        </w:rPr>
        <w:tab/>
      </w:r>
      <w:r w:rsidR="0022726A" w:rsidRPr="00C33767">
        <w:rPr>
          <w:lang w:eastAsia="zh-CN"/>
        </w:rPr>
        <w:t xml:space="preserve">UE has fulfilled </w:t>
      </w:r>
      <w:r w:rsidRPr="00557212">
        <w:rPr>
          <w:rFonts w:eastAsiaTheme="minorEastAsia"/>
          <w:lang w:eastAsia="zh-CN"/>
        </w:rPr>
        <w:t xml:space="preserve">only the </w:t>
      </w:r>
      <w:r w:rsidR="002E4D01" w:rsidRPr="001C6668">
        <w:rPr>
          <w:i/>
          <w:iCs/>
          <w:lang w:eastAsia="zh-CN"/>
        </w:rPr>
        <w:t>lowMobilityEvaluation</w:t>
      </w:r>
      <w:r w:rsidR="002E4D01" w:rsidRPr="00032D2A" w:rsidDel="001E51FB">
        <w:rPr>
          <w:i/>
          <w:iCs/>
          <w:lang w:eastAsia="zh-CN"/>
        </w:rPr>
        <w:t xml:space="preserve"> </w:t>
      </w:r>
      <w:r w:rsidRPr="00032D2A">
        <w:rPr>
          <w:lang w:eastAsia="zh-CN"/>
        </w:rPr>
        <w:t>[2]</w:t>
      </w:r>
      <w:r w:rsidRPr="00557212">
        <w:rPr>
          <w:rFonts w:eastAsiaTheme="minorEastAsia"/>
          <w:lang w:eastAsia="zh-CN"/>
        </w:rPr>
        <w:t xml:space="preserve"> criterion</w:t>
      </w:r>
      <w:r w:rsidR="0022726A" w:rsidRPr="00A41B58">
        <w:rPr>
          <w:lang w:eastAsia="zh-CN"/>
        </w:rPr>
        <w:t>.</w:t>
      </w:r>
    </w:p>
    <w:p w14:paraId="26508D39" w14:textId="69E9089E" w:rsidR="002E4D01" w:rsidRPr="00A41B58" w:rsidRDefault="002E4D01" w:rsidP="00301B77">
      <w:pPr>
        <w:rPr>
          <w:lang w:eastAsia="zh-CN"/>
        </w:rPr>
      </w:pPr>
      <w:r>
        <w:rPr>
          <w:lang w:eastAsia="zh-CN"/>
        </w:rPr>
        <w:t xml:space="preserve">The UE shall not relax measurements on </w:t>
      </w:r>
      <w:r>
        <w:t>NR inter-frequency carriers configured for idle mode CA/DC measurements (defined in clause 4.4) while T331</w:t>
      </w:r>
      <w:r w:rsidRPr="00736EB3">
        <w:t xml:space="preserve"> </w:t>
      </w:r>
      <w:r>
        <w:t>is running.</w:t>
      </w:r>
    </w:p>
    <w:p w14:paraId="535E2738" w14:textId="2707FB26" w:rsidR="0022726A" w:rsidRDefault="00FA1949" w:rsidP="0022726A">
      <w:pPr>
        <w:rPr>
          <w:noProof/>
        </w:rPr>
      </w:pPr>
      <w:r>
        <w:rPr>
          <w:rFonts w:hint="eastAsia"/>
          <w:noProof/>
          <w:lang w:eastAsia="zh-CN"/>
        </w:rPr>
        <w:t>W</w:t>
      </w:r>
      <w:r w:rsidRPr="007C2D19">
        <w:rPr>
          <w:noProof/>
        </w:rPr>
        <w:t xml:space="preserve">hen </w:t>
      </w:r>
      <w:r w:rsidRPr="00734785">
        <w:rPr>
          <w:rFonts w:eastAsiaTheme="minorEastAsia"/>
          <w:lang w:eastAsia="zh-CN"/>
        </w:rPr>
        <w:t xml:space="preserve">Srxlev </w:t>
      </w:r>
      <w:r w:rsidRPr="00691C10">
        <w:t>≤</w:t>
      </w:r>
      <w:r w:rsidRPr="00734785">
        <w:rPr>
          <w:rFonts w:eastAsiaTheme="minorEastAsia"/>
          <w:lang w:eastAsia="zh-CN"/>
        </w:rPr>
        <w:t xml:space="preserve"> S</w:t>
      </w:r>
      <w:r w:rsidRPr="00C15974">
        <w:rPr>
          <w:rFonts w:eastAsiaTheme="minorEastAsia"/>
          <w:vertAlign w:val="subscript"/>
          <w:lang w:eastAsia="zh-CN"/>
        </w:rPr>
        <w:t>nonIntraSearchP</w:t>
      </w:r>
      <w:r w:rsidRPr="00734785">
        <w:rPr>
          <w:rFonts w:eastAsiaTheme="minorEastAsia"/>
          <w:lang w:eastAsia="zh-CN"/>
        </w:rPr>
        <w:t xml:space="preserve"> </w:t>
      </w:r>
      <w:r>
        <w:rPr>
          <w:rFonts w:eastAsiaTheme="minorEastAsia"/>
          <w:lang w:eastAsia="zh-CN"/>
        </w:rPr>
        <w:t>or</w:t>
      </w:r>
      <w:r w:rsidRPr="00734785">
        <w:rPr>
          <w:rFonts w:eastAsiaTheme="minorEastAsia"/>
          <w:lang w:eastAsia="zh-CN"/>
        </w:rPr>
        <w:t xml:space="preserve"> Squal </w:t>
      </w:r>
      <w:r w:rsidRPr="00691C10">
        <w:t>≤</w:t>
      </w:r>
      <w:r w:rsidRPr="00734785">
        <w:rPr>
          <w:rFonts w:eastAsiaTheme="minorEastAsia"/>
          <w:lang w:eastAsia="zh-CN"/>
        </w:rPr>
        <w:t xml:space="preserve"> S</w:t>
      </w:r>
      <w:r w:rsidRPr="00C15974">
        <w:rPr>
          <w:rFonts w:eastAsiaTheme="minorEastAsia"/>
          <w:vertAlign w:val="subscript"/>
          <w:lang w:eastAsia="zh-CN"/>
        </w:rPr>
        <w:t>nonIntraSearchQ</w:t>
      </w:r>
      <w:r w:rsidRPr="00734785">
        <w:rPr>
          <w:rFonts w:eastAsiaTheme="minorEastAsia"/>
          <w:lang w:eastAsia="zh-CN"/>
        </w:rPr>
        <w:t xml:space="preserve"> </w:t>
      </w:r>
      <w:r>
        <w:rPr>
          <w:rFonts w:eastAsiaTheme="minorEastAsia" w:hint="eastAsia"/>
          <w:lang w:eastAsia="zh-CN"/>
        </w:rPr>
        <w:t>then t</w:t>
      </w:r>
      <w:r w:rsidR="0022726A" w:rsidRPr="0089796C">
        <w:rPr>
          <w:noProof/>
        </w:rPr>
        <w:t xml:space="preserve">he requirements </w:t>
      </w:r>
      <w:r w:rsidR="002E4D01">
        <w:rPr>
          <w:noProof/>
        </w:rPr>
        <w:t xml:space="preserve">are </w:t>
      </w:r>
      <w:r w:rsidR="0022726A" w:rsidRPr="0089796C">
        <w:rPr>
          <w:noProof/>
        </w:rPr>
        <w:t xml:space="preserve">defined </w:t>
      </w:r>
      <w:r w:rsidR="002E4D01">
        <w:rPr>
          <w:noProof/>
        </w:rPr>
        <w:t>as follows:</w:t>
      </w:r>
    </w:p>
    <w:p w14:paraId="5E136177" w14:textId="3FB0B4C1" w:rsidR="0022726A" w:rsidRDefault="0022726A" w:rsidP="0022726A">
      <w:pPr>
        <w:pStyle w:val="B10"/>
      </w:pPr>
      <w:r w:rsidRPr="0089796C">
        <w:t>-</w:t>
      </w:r>
      <w:r w:rsidRPr="0089796C">
        <w:tab/>
      </w:r>
      <w:r w:rsidRPr="00885F53">
        <w:t>T</w:t>
      </w:r>
      <w:r w:rsidRPr="00885F53">
        <w:rPr>
          <w:vertAlign w:val="subscript"/>
        </w:rPr>
        <w:t>detect,</w:t>
      </w:r>
      <w:r w:rsidRPr="00885F53">
        <w:rPr>
          <w:vertAlign w:val="subscript"/>
          <w:lang w:eastAsia="zh-CN"/>
        </w:rPr>
        <w:t>NR</w:t>
      </w:r>
      <w:r w:rsidRPr="00885F53">
        <w:rPr>
          <w:vertAlign w:val="subscript"/>
        </w:rPr>
        <w:t>_Int</w:t>
      </w:r>
      <w:r>
        <w:rPr>
          <w:vertAlign w:val="subscript"/>
        </w:rPr>
        <w:t>er</w:t>
      </w:r>
      <w:r w:rsidR="002E4D01">
        <w:rPr>
          <w:vertAlign w:val="subscript"/>
        </w:rPr>
        <w:t>_Relax</w:t>
      </w:r>
      <w:r w:rsidRPr="00885F53">
        <w:rPr>
          <w:i/>
          <w:vertAlign w:val="subscript"/>
        </w:rPr>
        <w:t xml:space="preserve"> </w:t>
      </w:r>
      <w:r>
        <w:t xml:space="preserve">as specified in </w:t>
      </w:r>
      <w:r w:rsidRPr="00AD77EE">
        <w:t xml:space="preserve">Table </w:t>
      </w:r>
      <w:r>
        <w:t>4.2.2.10.2</w:t>
      </w:r>
      <w:r w:rsidRPr="00AD77EE">
        <w:t>-1.</w:t>
      </w:r>
    </w:p>
    <w:p w14:paraId="288EEF12" w14:textId="04FAEACD" w:rsidR="0022726A" w:rsidRDefault="0022726A" w:rsidP="0022726A">
      <w:pPr>
        <w:pStyle w:val="B10"/>
      </w:pPr>
      <w:r w:rsidRPr="0089796C">
        <w:t>-</w:t>
      </w:r>
      <w:r w:rsidRPr="0089796C">
        <w:tab/>
      </w:r>
      <w:r w:rsidRPr="00885F53">
        <w:rPr>
          <w:rFonts w:cs="v4.2.0"/>
        </w:rPr>
        <w:t>T</w:t>
      </w:r>
      <w:r w:rsidRPr="00885F53">
        <w:rPr>
          <w:rFonts w:cs="v4.2.0"/>
          <w:vertAlign w:val="subscript"/>
        </w:rPr>
        <w:t>measure,NR_Int</w:t>
      </w:r>
      <w:r>
        <w:rPr>
          <w:rFonts w:cs="v4.2.0"/>
          <w:vertAlign w:val="subscript"/>
        </w:rPr>
        <w:t>e</w:t>
      </w:r>
      <w:r w:rsidRPr="00885F53">
        <w:rPr>
          <w:rFonts w:cs="v4.2.0"/>
          <w:vertAlign w:val="subscript"/>
        </w:rPr>
        <w:t>r</w:t>
      </w:r>
      <w:r w:rsidR="002E4D01">
        <w:rPr>
          <w:vertAlign w:val="subscript"/>
        </w:rPr>
        <w:t>_Relax</w:t>
      </w:r>
      <w:r w:rsidRPr="00885F53">
        <w:rPr>
          <w:rFonts w:cs="v4.2.0"/>
        </w:rPr>
        <w:t xml:space="preserve"> </w:t>
      </w:r>
      <w:r>
        <w:t xml:space="preserve">as specified in </w:t>
      </w:r>
      <w:r w:rsidRPr="00AD77EE">
        <w:t xml:space="preserve">Table </w:t>
      </w:r>
      <w:r>
        <w:t>4.2.2.10.2</w:t>
      </w:r>
      <w:r w:rsidRPr="00AD77EE">
        <w:t>-1.</w:t>
      </w:r>
    </w:p>
    <w:p w14:paraId="0E763B0B" w14:textId="3571B2AD" w:rsidR="0022726A" w:rsidRPr="00854F01" w:rsidRDefault="0022726A" w:rsidP="0022726A">
      <w:pPr>
        <w:pStyle w:val="B10"/>
      </w:pPr>
      <w:r w:rsidRPr="00B73B84">
        <w:t>-</w:t>
      </w:r>
      <w:r w:rsidRPr="00B73B84">
        <w:tab/>
      </w:r>
      <w:r w:rsidRPr="00B73B84">
        <w:rPr>
          <w:rFonts w:cs="v4.2.0"/>
        </w:rPr>
        <w:t>T</w:t>
      </w:r>
      <w:r w:rsidRPr="00B73B84">
        <w:rPr>
          <w:rFonts w:cs="v4.2.0"/>
          <w:vertAlign w:val="subscript"/>
        </w:rPr>
        <w:t>evaluate,</w:t>
      </w:r>
      <w:r w:rsidRPr="00B73B84">
        <w:rPr>
          <w:rFonts w:cs="v4.2.0"/>
          <w:vertAlign w:val="subscript"/>
          <w:lang w:eastAsia="zh-CN"/>
        </w:rPr>
        <w:t>NR</w:t>
      </w:r>
      <w:r w:rsidRPr="00B73B84">
        <w:rPr>
          <w:rFonts w:cs="v4.2.0"/>
          <w:vertAlign w:val="subscript"/>
        </w:rPr>
        <w:t>_Inter</w:t>
      </w:r>
      <w:r w:rsidR="002E4D01">
        <w:rPr>
          <w:vertAlign w:val="subscript"/>
        </w:rPr>
        <w:t>_Relax</w:t>
      </w:r>
      <w:r w:rsidRPr="00B73B84">
        <w:rPr>
          <w:rFonts w:cs="v4.2.0"/>
          <w:vertAlign w:val="subscript"/>
        </w:rPr>
        <w:t xml:space="preserve"> </w:t>
      </w:r>
      <w:r w:rsidRPr="00B73B84">
        <w:t xml:space="preserve">as specified in </w:t>
      </w:r>
      <w:r w:rsidRPr="00854F01">
        <w:t xml:space="preserve">Table </w:t>
      </w:r>
      <w:r>
        <w:t>4.2.2.10</w:t>
      </w:r>
      <w:r w:rsidRPr="00854F01">
        <w:t>.2-1.</w:t>
      </w:r>
    </w:p>
    <w:p w14:paraId="292DA66E" w14:textId="22969670" w:rsidR="002E4D01" w:rsidRDefault="002E4D01" w:rsidP="002E4D01">
      <w:pPr>
        <w:pStyle w:val="B10"/>
        <w:rPr>
          <w:vertAlign w:val="subscript"/>
          <w:lang w:eastAsia="zh-CN"/>
        </w:rPr>
      </w:pPr>
      <w:r>
        <w:rPr>
          <w:rFonts w:hint="eastAsia"/>
          <w:lang w:eastAsia="zh-CN"/>
        </w:rPr>
        <w:t>-</w:t>
      </w:r>
      <w:r>
        <w:rPr>
          <w:lang w:eastAsia="zh-CN"/>
        </w:rPr>
        <w:tab/>
      </w:r>
      <w:r w:rsidRPr="00736EB3">
        <w:t>The UE shall be able to evaluate whether a newly detectable</w:t>
      </w:r>
      <w:r w:rsidRPr="00736EB3">
        <w:rPr>
          <w:lang w:val="en-US" w:eastAsia="zh-CN"/>
        </w:rPr>
        <w:t xml:space="preserve"> inter-frequency NR</w:t>
      </w:r>
      <w:r w:rsidRPr="00736EB3">
        <w:t xml:space="preserve"> cell meets the reselection criteria defined in TS3</w:t>
      </w:r>
      <w:r w:rsidRPr="00736EB3">
        <w:rPr>
          <w:lang w:eastAsia="zh-CN"/>
        </w:rPr>
        <w:t>8</w:t>
      </w:r>
      <w:r w:rsidRPr="00736EB3">
        <w:t>.304 [1] within N</w:t>
      </w:r>
      <w:r w:rsidRPr="00736EB3">
        <w:rPr>
          <w:vertAlign w:val="subscript"/>
        </w:rPr>
        <w:t>carrier_Relax</w:t>
      </w:r>
      <w:r w:rsidRPr="00736EB3">
        <w:t xml:space="preserve"> * T</w:t>
      </w:r>
      <w:r w:rsidRPr="00736EB3">
        <w:rPr>
          <w:vertAlign w:val="subscript"/>
        </w:rPr>
        <w:t>detect,NR_Inter_Relax</w:t>
      </w:r>
      <w:r w:rsidRPr="00736EB3">
        <w:t xml:space="preserve"> + N</w:t>
      </w:r>
      <w:r w:rsidRPr="00736EB3">
        <w:rPr>
          <w:vertAlign w:val="subscript"/>
        </w:rPr>
        <w:t>carrier_Non_relax</w:t>
      </w:r>
      <w:r w:rsidRPr="00736EB3">
        <w:t xml:space="preserve">  * T</w:t>
      </w:r>
      <w:r w:rsidRPr="00736EB3">
        <w:rPr>
          <w:vertAlign w:val="subscript"/>
        </w:rPr>
        <w:t>detect,NR_Inter</w:t>
      </w:r>
      <w:r w:rsidRPr="00E44FB4">
        <w:t xml:space="preserve">. </w:t>
      </w:r>
      <w:r w:rsidRPr="00736EB3">
        <w:t>Cells which have been detected shall be measured at least every N</w:t>
      </w:r>
      <w:r w:rsidRPr="00736EB3">
        <w:rPr>
          <w:vertAlign w:val="subscript"/>
        </w:rPr>
        <w:t>carrier_Relax</w:t>
      </w:r>
      <w:r w:rsidRPr="00736EB3">
        <w:t xml:space="preserve"> * T</w:t>
      </w:r>
      <w:r w:rsidRPr="00736EB3">
        <w:rPr>
          <w:vertAlign w:val="subscript"/>
        </w:rPr>
        <w:t>measure,NR_Inter_Relax</w:t>
      </w:r>
      <w:r w:rsidRPr="00736EB3">
        <w:t xml:space="preserve"> + N</w:t>
      </w:r>
      <w:r w:rsidRPr="00736EB3">
        <w:rPr>
          <w:vertAlign w:val="subscript"/>
        </w:rPr>
        <w:t>carrier_Non_relax</w:t>
      </w:r>
      <w:r w:rsidRPr="00736EB3">
        <w:t xml:space="preserve">  * T</w:t>
      </w:r>
      <w:r w:rsidRPr="00736EB3">
        <w:rPr>
          <w:vertAlign w:val="subscript"/>
        </w:rPr>
        <w:t>measure,NR_Inter.</w:t>
      </w:r>
      <w:r>
        <w:rPr>
          <w:rFonts w:hint="eastAsia"/>
          <w:vertAlign w:val="subscript"/>
          <w:lang w:eastAsia="zh-CN"/>
        </w:rPr>
        <w:t xml:space="preserve"> </w:t>
      </w:r>
      <w:r>
        <w:t>T</w:t>
      </w:r>
      <w:r w:rsidRPr="00736EB3">
        <w:t xml:space="preserve">he UE shall be </w:t>
      </w:r>
      <w:r>
        <w:t>able to</w:t>
      </w:r>
      <w:r w:rsidRPr="00736EB3">
        <w:t xml:space="preserve"> evaluat</w:t>
      </w:r>
      <w:r>
        <w:t>e</w:t>
      </w:r>
      <w:r w:rsidRPr="00736EB3">
        <w:t xml:space="preserve"> </w:t>
      </w:r>
      <w:r>
        <w:t xml:space="preserve">that </w:t>
      </w:r>
      <w:r w:rsidRPr="00736EB3">
        <w:t xml:space="preserve">an already identified </w:t>
      </w:r>
      <w:r w:rsidRPr="00736EB3">
        <w:rPr>
          <w:lang w:eastAsia="zh-CN"/>
        </w:rPr>
        <w:t>inter-frequency NR</w:t>
      </w:r>
      <w:r w:rsidRPr="00736EB3">
        <w:t xml:space="preserve"> cell has met reselection criterion defined in TS 3</w:t>
      </w:r>
      <w:r w:rsidRPr="00736EB3">
        <w:rPr>
          <w:lang w:eastAsia="zh-CN"/>
        </w:rPr>
        <w:t>8</w:t>
      </w:r>
      <w:r w:rsidRPr="00736EB3">
        <w:t xml:space="preserve">.304 [1] within </w:t>
      </w:r>
      <w:r w:rsidRPr="00B26015">
        <w:t>N</w:t>
      </w:r>
      <w:r w:rsidRPr="00B26015">
        <w:rPr>
          <w:vertAlign w:val="subscript"/>
        </w:rPr>
        <w:t>carrier_Relax</w:t>
      </w:r>
      <w:r w:rsidRPr="00B26015">
        <w:t xml:space="preserve"> *</w:t>
      </w:r>
      <w:r w:rsidRPr="00736EB3">
        <w:t>T</w:t>
      </w:r>
      <w:r w:rsidRPr="00736EB3">
        <w:rPr>
          <w:vertAlign w:val="subscript"/>
        </w:rPr>
        <w:t>evaluate,NR_Inter_Relax</w:t>
      </w:r>
      <w:r w:rsidRPr="00736EB3">
        <w:t xml:space="preserve"> + N</w:t>
      </w:r>
      <w:r w:rsidRPr="00736EB3">
        <w:rPr>
          <w:vertAlign w:val="subscript"/>
        </w:rPr>
        <w:t>carrier_Non_relax</w:t>
      </w:r>
      <w:r w:rsidRPr="00736EB3">
        <w:t xml:space="preserve">  * T</w:t>
      </w:r>
      <w:r w:rsidRPr="00736EB3">
        <w:rPr>
          <w:vertAlign w:val="subscript"/>
        </w:rPr>
        <w:t>evaluate,NR_Inter</w:t>
      </w:r>
      <w:r w:rsidRPr="00736EB3">
        <w:t>.</w:t>
      </w:r>
      <w:r>
        <w:rPr>
          <w:rFonts w:hint="eastAsia"/>
          <w:vertAlign w:val="subscript"/>
          <w:lang w:eastAsia="zh-CN"/>
        </w:rPr>
        <w:t xml:space="preserve"> </w:t>
      </w:r>
    </w:p>
    <w:p w14:paraId="575690F4" w14:textId="0129A315" w:rsidR="002E4D01" w:rsidRPr="00390C6A" w:rsidRDefault="002E4D01" w:rsidP="002E4D01">
      <w:pPr>
        <w:pStyle w:val="B10"/>
        <w:rPr>
          <w:lang w:eastAsia="zh-CN"/>
        </w:rPr>
      </w:pPr>
      <w:r w:rsidRPr="00390C6A">
        <w:t>-</w:t>
      </w:r>
      <w:r>
        <w:tab/>
      </w:r>
      <w:r w:rsidRPr="00390C6A">
        <w:t xml:space="preserve">When T331 is running, </w:t>
      </w:r>
    </w:p>
    <w:p w14:paraId="2F03D1AC" w14:textId="2BF3E05F" w:rsidR="002E4D01" w:rsidRPr="00390C6A" w:rsidRDefault="002E4D01" w:rsidP="00301B77">
      <w:pPr>
        <w:pStyle w:val="B20"/>
        <w:rPr>
          <w:vertAlign w:val="subscript"/>
        </w:rPr>
      </w:pPr>
      <w:r w:rsidRPr="00390C6A">
        <w:t>-</w:t>
      </w:r>
      <w:r>
        <w:tab/>
      </w:r>
      <w:r w:rsidRPr="00390C6A">
        <w:t>The parameter N</w:t>
      </w:r>
      <w:r w:rsidRPr="00390C6A">
        <w:rPr>
          <w:vertAlign w:val="subscript"/>
        </w:rPr>
        <w:t>carrier_Relax</w:t>
      </w:r>
      <w:r w:rsidRPr="00390C6A">
        <w:t xml:space="preserve"> is the total number of NR inter-frequency carriers not configured for idle mode CA/DC measurements.</w:t>
      </w:r>
    </w:p>
    <w:p w14:paraId="408F7A5E" w14:textId="40BB3063" w:rsidR="002E4D01" w:rsidRPr="00390C6A" w:rsidRDefault="002E4D01" w:rsidP="00301B77">
      <w:pPr>
        <w:pStyle w:val="B20"/>
      </w:pPr>
      <w:r w:rsidRPr="00390C6A">
        <w:t>-</w:t>
      </w:r>
      <w:r>
        <w:tab/>
      </w:r>
      <w:r w:rsidRPr="00390C6A">
        <w:t>The parameter N</w:t>
      </w:r>
      <w:r w:rsidRPr="00390C6A">
        <w:rPr>
          <w:vertAlign w:val="subscript"/>
        </w:rPr>
        <w:t>carrier_Non_relax</w:t>
      </w:r>
      <w:r w:rsidRPr="00390C6A">
        <w:t xml:space="preserve"> is the total number of NR inter-frequency carriers configured for idle mode CA/DC measurements.</w:t>
      </w:r>
    </w:p>
    <w:p w14:paraId="5B563B8B" w14:textId="1EC9597A" w:rsidR="002E4D01" w:rsidRPr="00390C6A" w:rsidRDefault="002E4D01" w:rsidP="002E4D01">
      <w:pPr>
        <w:pStyle w:val="B10"/>
        <w:rPr>
          <w:vertAlign w:val="subscript"/>
        </w:rPr>
      </w:pPr>
      <w:r w:rsidRPr="00390C6A">
        <w:t>-</w:t>
      </w:r>
      <w:r>
        <w:tab/>
      </w:r>
      <w:r w:rsidRPr="00390C6A">
        <w:t xml:space="preserve">When T331 is not running, </w:t>
      </w:r>
    </w:p>
    <w:p w14:paraId="163723B5" w14:textId="3A239E93" w:rsidR="002E4D01" w:rsidRPr="00390C6A" w:rsidRDefault="002E4D01" w:rsidP="00301B77">
      <w:pPr>
        <w:pStyle w:val="B20"/>
      </w:pPr>
      <w:r w:rsidRPr="00390C6A">
        <w:t>-</w:t>
      </w:r>
      <w:r>
        <w:tab/>
      </w:r>
      <w:r w:rsidRPr="00390C6A">
        <w:t>The parameter N</w:t>
      </w:r>
      <w:r w:rsidRPr="00390C6A">
        <w:rPr>
          <w:vertAlign w:val="subscript"/>
        </w:rPr>
        <w:t>carrier_Relax</w:t>
      </w:r>
      <w:r w:rsidRPr="00390C6A">
        <w:t xml:space="preserve"> is the total number of inter-frequency carriers configured for mobility measurements only and the number of inter-frequency carriers configured for both mobility measurement and idle mode CA/DC measurements. </w:t>
      </w:r>
    </w:p>
    <w:p w14:paraId="68C3BCA2" w14:textId="31F9C1F2" w:rsidR="0022726A" w:rsidRPr="00B73B84" w:rsidRDefault="002E4D01" w:rsidP="00693BAE">
      <w:pPr>
        <w:pStyle w:val="B10"/>
        <w:rPr>
          <w:lang w:eastAsia="zh-CN"/>
        </w:rPr>
      </w:pPr>
      <w:r w:rsidRPr="00390C6A">
        <w:t>-</w:t>
      </w:r>
      <w:r>
        <w:tab/>
      </w:r>
      <w:r w:rsidRPr="00390C6A">
        <w:t>The parameter N</w:t>
      </w:r>
      <w:r w:rsidRPr="00390C6A">
        <w:rPr>
          <w:vertAlign w:val="subscript"/>
        </w:rPr>
        <w:t>carrier_Non_relax</w:t>
      </w:r>
      <w:r w:rsidRPr="00390C6A">
        <w:t xml:space="preserve"> =0.</w:t>
      </w:r>
      <w:r w:rsidR="0022726A">
        <w:rPr>
          <w:lang w:eastAsia="zh-CN"/>
        </w:rPr>
        <w:t>W</w:t>
      </w:r>
      <w:r w:rsidR="0022726A" w:rsidRPr="00C33767">
        <w:rPr>
          <w:lang w:eastAsia="zh-CN"/>
        </w:rPr>
        <w:t xml:space="preserve">hen </w:t>
      </w:r>
      <w:r w:rsidR="0022726A" w:rsidRPr="00A41B58">
        <w:t>Srxlev &gt; S</w:t>
      </w:r>
      <w:r w:rsidR="0022726A" w:rsidRPr="00A41B58">
        <w:rPr>
          <w:vertAlign w:val="subscript"/>
        </w:rPr>
        <w:t>nonIntraSearchP</w:t>
      </w:r>
      <w:r w:rsidR="0022726A" w:rsidRPr="00A41B58">
        <w:t xml:space="preserve"> and Squal &gt; S</w:t>
      </w:r>
      <w:r w:rsidR="0022726A" w:rsidRPr="00EC47A7">
        <w:rPr>
          <w:vertAlign w:val="subscript"/>
        </w:rPr>
        <w:t>nonIntraSearchQ</w:t>
      </w:r>
      <w:r w:rsidR="0022726A" w:rsidRPr="00EC47A7">
        <w:t xml:space="preserve"> and the UE is co</w:t>
      </w:r>
      <w:r w:rsidR="0022726A" w:rsidRPr="00D56527">
        <w:t xml:space="preserve">nfigured with </w:t>
      </w:r>
      <w:r w:rsidR="0022726A" w:rsidRPr="00734785">
        <w:rPr>
          <w:i/>
          <w:iCs/>
          <w:noProof/>
        </w:rPr>
        <w:t>highPriorityMeasRelax</w:t>
      </w:r>
      <w:r w:rsidR="0022726A" w:rsidRPr="00734785">
        <w:rPr>
          <w:noProof/>
        </w:rPr>
        <w:t xml:space="preserve"> [2]</w:t>
      </w:r>
      <w:r w:rsidR="0022726A" w:rsidRPr="00C33767">
        <w:rPr>
          <w:noProof/>
        </w:rPr>
        <w:t xml:space="preserve"> </w:t>
      </w:r>
      <w:r w:rsidR="0022726A" w:rsidRPr="00A41B58">
        <w:rPr>
          <w:noProof/>
        </w:rPr>
        <w:t>then</w:t>
      </w:r>
      <w:r w:rsidR="0022726A" w:rsidRPr="00A41B58">
        <w:t xml:space="preserve"> the UE shall search for inter-frequency layers of higher priority at least every K</w:t>
      </w:r>
      <w:r w:rsidR="0022726A" w:rsidRPr="00EC47A7">
        <w:t>2*T</w:t>
      </w:r>
      <w:r w:rsidR="0022726A" w:rsidRPr="00EC47A7">
        <w:rPr>
          <w:vertAlign w:val="subscript"/>
        </w:rPr>
        <w:t xml:space="preserve">higher_priority_search </w:t>
      </w:r>
      <w:r w:rsidR="0022726A" w:rsidRPr="00EC47A7">
        <w:t>where T</w:t>
      </w:r>
      <w:r w:rsidR="0022726A" w:rsidRPr="00EC47A7">
        <w:rPr>
          <w:vertAlign w:val="subscript"/>
        </w:rPr>
        <w:t>higher_priority_search</w:t>
      </w:r>
      <w:r w:rsidR="0022726A" w:rsidRPr="00D56527">
        <w:t xml:space="preserve"> is described in clause 4.2.2.7 and</w:t>
      </w:r>
      <w:r w:rsidR="0022726A" w:rsidRPr="000D108A">
        <w:t xml:space="preserve">, </w:t>
      </w:r>
      <w:r w:rsidR="0022726A" w:rsidRPr="000D108A">
        <w:rPr>
          <w:snapToGrid w:val="0"/>
          <w:lang w:eastAsia="zh-CN"/>
        </w:rPr>
        <w:t>K2</w:t>
      </w:r>
      <w:r w:rsidR="0022726A" w:rsidRPr="009449C0">
        <w:rPr>
          <w:snapToGrid w:val="0"/>
          <w:lang w:eastAsia="zh-CN"/>
        </w:rPr>
        <w:t xml:space="preserve"> = 60</w:t>
      </w:r>
      <w:r w:rsidR="0022726A" w:rsidRPr="009449C0">
        <w:t xml:space="preserve">. </w:t>
      </w:r>
      <w:r w:rsidR="0022726A" w:rsidRPr="00CF075A">
        <w:t xml:space="preserve">Otherwise if </w:t>
      </w:r>
      <w:r w:rsidR="0022726A" w:rsidRPr="00734785">
        <w:t xml:space="preserve">the UE is not configured with </w:t>
      </w:r>
      <w:r w:rsidR="0022726A" w:rsidRPr="00734785">
        <w:rPr>
          <w:i/>
          <w:iCs/>
          <w:noProof/>
        </w:rPr>
        <w:t>highPriorityMeasRelax</w:t>
      </w:r>
      <w:r w:rsidR="0022726A" w:rsidRPr="00734785">
        <w:rPr>
          <w:noProof/>
        </w:rPr>
        <w:t xml:space="preserve"> [2] then </w:t>
      </w:r>
      <w:r w:rsidR="0022726A" w:rsidRPr="00C33767">
        <w:rPr>
          <w:noProof/>
        </w:rPr>
        <w:t xml:space="preserve">the UE shall </w:t>
      </w:r>
      <w:r w:rsidR="0022726A" w:rsidRPr="00A41B58">
        <w:t>search for inter-frequency layers of higher priority at least every T</w:t>
      </w:r>
      <w:r w:rsidR="0022726A" w:rsidRPr="00A41B58">
        <w:rPr>
          <w:vertAlign w:val="subscript"/>
        </w:rPr>
        <w:t xml:space="preserve">higher_priority_search </w:t>
      </w:r>
      <w:r w:rsidR="0022726A" w:rsidRPr="00A41B58">
        <w:t>where T</w:t>
      </w:r>
      <w:r w:rsidR="0022726A" w:rsidRPr="00EC47A7">
        <w:rPr>
          <w:vertAlign w:val="subscript"/>
        </w:rPr>
        <w:t>higher_priority_search</w:t>
      </w:r>
      <w:r w:rsidR="0022726A" w:rsidRPr="00EC47A7">
        <w:t xml:space="preserve"> is described in clause 4.2.2.7.</w:t>
      </w:r>
    </w:p>
    <w:p w14:paraId="51C86C13" w14:textId="77777777" w:rsidR="00517943" w:rsidRPr="00043DFE" w:rsidRDefault="00517943" w:rsidP="00517943">
      <w:pPr>
        <w:rPr>
          <w:noProof/>
        </w:rPr>
      </w:pPr>
      <w:r w:rsidRPr="00043DFE">
        <w:rPr>
          <w:noProof/>
        </w:rPr>
        <w:t xml:space="preserve">If the UE is configured with eDRX_IDLE cycle then the requirements in Table 4.2.2.10.2-2 and Table 4.2.2.10.2-3 are applicable for eDRX cycle up to 10.24 s in FR1 and FR2, respectively. </w:t>
      </w:r>
    </w:p>
    <w:p w14:paraId="38287010" w14:textId="5C5F6178" w:rsidR="0022726A" w:rsidRDefault="00517943" w:rsidP="00517943">
      <w:r w:rsidRPr="00043DFE">
        <w:t xml:space="preserve">If the UE is configured with eDRX_IDLE cycle greater than 10.24 s in FR1 and FR2, then the requirements in Table </w:t>
      </w:r>
      <w:r w:rsidRPr="00043DFE">
        <w:rPr>
          <w:lang w:val="en-US"/>
        </w:rPr>
        <w:t>Table 4.2.2.10.2-4</w:t>
      </w:r>
      <w:r w:rsidRPr="00043DFE">
        <w:t xml:space="preserve"> and </w:t>
      </w:r>
      <w:r w:rsidRPr="00043DFE">
        <w:rPr>
          <w:lang w:val="en-US"/>
        </w:rPr>
        <w:t xml:space="preserve">Table 4.2.2.10.2-5 respectively </w:t>
      </w:r>
      <w:r w:rsidRPr="00043DFE">
        <w:t xml:space="preserve">apply provided eDRX cycle is </w:t>
      </w:r>
      <w:r w:rsidRPr="00043DFE">
        <w:rPr>
          <w:rFonts w:hint="eastAsia"/>
        </w:rPr>
        <w:t>≤</w:t>
      </w:r>
      <w:r w:rsidRPr="00043DFE">
        <w:t xml:space="preserve"> [163.84] sec and evaluation/measurement time with relaxation on one carrier is not greater than single PTW window length.</w:t>
      </w:r>
    </w:p>
    <w:p w14:paraId="522B21B8" w14:textId="77777777" w:rsidR="00517943" w:rsidRPr="00486683" w:rsidRDefault="00517943" w:rsidP="00517943"/>
    <w:p w14:paraId="45565FE7" w14:textId="77777777" w:rsidR="00A20BE0" w:rsidRPr="004A3924" w:rsidRDefault="00A20BE0" w:rsidP="00A20BE0">
      <w:pPr>
        <w:pStyle w:val="TH"/>
        <w:rPr>
          <w:vertAlign w:val="subscript"/>
        </w:rPr>
      </w:pPr>
      <w:r w:rsidRPr="00885F53">
        <w:t xml:space="preserve">Table </w:t>
      </w:r>
      <w:r>
        <w:t>4.2.2.10.2</w:t>
      </w:r>
      <w:r w:rsidRPr="00885F53">
        <w:t>-1: T</w:t>
      </w:r>
      <w:r w:rsidRPr="00885F53">
        <w:rPr>
          <w:vertAlign w:val="subscript"/>
        </w:rPr>
        <w:t>detect,NR_Inter</w:t>
      </w:r>
      <w:r>
        <w:rPr>
          <w:vertAlign w:val="subscript"/>
        </w:rPr>
        <w:t>_Relax</w:t>
      </w:r>
      <w:r w:rsidRPr="00885F53">
        <w:rPr>
          <w:vertAlign w:val="subscript"/>
        </w:rPr>
        <w:t>,</w:t>
      </w:r>
      <w:r w:rsidRPr="00885F53">
        <w:t xml:space="preserve"> T</w:t>
      </w:r>
      <w:r w:rsidRPr="00885F53">
        <w:rPr>
          <w:vertAlign w:val="subscript"/>
        </w:rPr>
        <w:t>measure,NR_Inter</w:t>
      </w:r>
      <w:r>
        <w:rPr>
          <w:vertAlign w:val="subscript"/>
        </w:rPr>
        <w:t>_Relax</w:t>
      </w:r>
      <w:r w:rsidRPr="00885F53">
        <w:t xml:space="preserve"> and T</w:t>
      </w:r>
      <w:r w:rsidRPr="00885F53">
        <w:rPr>
          <w:vertAlign w:val="subscript"/>
        </w:rPr>
        <w:t>evaluate,NR_Inter</w:t>
      </w:r>
      <w:r>
        <w:rPr>
          <w:vertAlign w:val="subscript"/>
        </w:rPr>
        <w:t>_Relax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4"/>
        <w:gridCol w:w="557"/>
        <w:gridCol w:w="789"/>
        <w:gridCol w:w="791"/>
        <w:gridCol w:w="1990"/>
        <w:gridCol w:w="2171"/>
        <w:gridCol w:w="2157"/>
      </w:tblGrid>
      <w:tr w:rsidR="00A20BE0" w:rsidRPr="00542EC9" w14:paraId="195DA151" w14:textId="77777777" w:rsidTr="00A22697">
        <w:trPr>
          <w:cantSplit/>
          <w:trHeight w:val="310"/>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1DA9F630"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DRX cycle length [s]</w:t>
            </w:r>
          </w:p>
        </w:tc>
        <w:tc>
          <w:tcPr>
            <w:tcW w:w="2137" w:type="dxa"/>
            <w:gridSpan w:val="3"/>
            <w:tcBorders>
              <w:top w:val="single" w:sz="4" w:space="0" w:color="auto"/>
              <w:left w:val="single" w:sz="4" w:space="0" w:color="auto"/>
              <w:bottom w:val="single" w:sz="4" w:space="0" w:color="auto"/>
              <w:right w:val="single" w:sz="4" w:space="0" w:color="auto"/>
            </w:tcBorders>
            <w:hideMark/>
          </w:tcPr>
          <w:p w14:paraId="1C565E0A"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Scaling Factor (N1)</w:t>
            </w:r>
          </w:p>
        </w:tc>
        <w:tc>
          <w:tcPr>
            <w:tcW w:w="1990" w:type="dxa"/>
            <w:vMerge w:val="restart"/>
            <w:tcBorders>
              <w:top w:val="single" w:sz="4" w:space="0" w:color="auto"/>
              <w:left w:val="single" w:sz="4" w:space="0" w:color="auto"/>
              <w:bottom w:val="single" w:sz="4" w:space="0" w:color="auto"/>
              <w:right w:val="single" w:sz="4" w:space="0" w:color="auto"/>
            </w:tcBorders>
            <w:hideMark/>
          </w:tcPr>
          <w:p w14:paraId="38626DDD"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T</w:t>
            </w:r>
            <w:r w:rsidRPr="00542EC9">
              <w:rPr>
                <w:rFonts w:ascii="Arial" w:eastAsia="Malgun Gothic" w:hAnsi="Arial"/>
                <w:b/>
                <w:sz w:val="18"/>
                <w:vertAlign w:val="subscript"/>
              </w:rPr>
              <w:t>detect,NR_</w:t>
            </w:r>
            <w:r w:rsidRPr="00542EC9">
              <w:rPr>
                <w:rFonts w:ascii="Arial" w:eastAsia="Malgun Gothic" w:hAnsi="Arial" w:cs="v4.2.0"/>
                <w:b/>
                <w:sz w:val="18"/>
                <w:vertAlign w:val="subscript"/>
              </w:rPr>
              <w:t>Inter</w:t>
            </w:r>
            <w:r w:rsidRPr="00542EC9">
              <w:rPr>
                <w:rFonts w:ascii="Arial" w:eastAsia="Malgun Gothic" w:hAnsi="Arial"/>
                <w:b/>
                <w:sz w:val="18"/>
              </w:rPr>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331D9506"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T</w:t>
            </w:r>
            <w:r w:rsidRPr="00542EC9">
              <w:rPr>
                <w:rFonts w:ascii="Arial" w:eastAsia="Malgun Gothic" w:hAnsi="Arial"/>
                <w:b/>
                <w:sz w:val="18"/>
                <w:vertAlign w:val="subscript"/>
              </w:rPr>
              <w:t>measure,NR_</w:t>
            </w:r>
            <w:r w:rsidRPr="00542EC9">
              <w:rPr>
                <w:rFonts w:ascii="Arial" w:eastAsia="Malgun Gothic" w:hAnsi="Arial" w:cs="v4.2.0"/>
                <w:b/>
                <w:sz w:val="18"/>
                <w:vertAlign w:val="subscript"/>
              </w:rPr>
              <w:t>Inter</w:t>
            </w:r>
            <w:r w:rsidRPr="00542EC9">
              <w:rPr>
                <w:rFonts w:ascii="Arial" w:eastAsia="Malgun Gothic" w:hAnsi="Arial"/>
                <w:b/>
                <w:sz w:val="18"/>
              </w:rPr>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10EAC393"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T</w:t>
            </w:r>
            <w:r w:rsidRPr="00542EC9">
              <w:rPr>
                <w:rFonts w:ascii="Arial" w:eastAsia="Malgun Gothic" w:hAnsi="Arial"/>
                <w:b/>
                <w:sz w:val="18"/>
                <w:vertAlign w:val="subscript"/>
              </w:rPr>
              <w:t>evaluate,NR_</w:t>
            </w:r>
            <w:r w:rsidRPr="00542EC9">
              <w:rPr>
                <w:rFonts w:ascii="Arial" w:eastAsia="Malgun Gothic" w:hAnsi="Arial" w:cs="v4.2.0"/>
                <w:b/>
                <w:sz w:val="18"/>
                <w:vertAlign w:val="subscript"/>
              </w:rPr>
              <w:t>Inter</w:t>
            </w:r>
            <w:r w:rsidRPr="00542EC9">
              <w:rPr>
                <w:rFonts w:ascii="Arial" w:eastAsia="Malgun Gothic" w:hAnsi="Arial" w:cs="Arial"/>
                <w:b/>
                <w:sz w:val="18"/>
              </w:rPr>
              <w:t xml:space="preserve"> </w:t>
            </w:r>
            <w:r w:rsidRPr="00542EC9">
              <w:rPr>
                <w:rFonts w:ascii="Arial" w:eastAsia="Malgun Gothic" w:hAnsi="Arial"/>
                <w:b/>
                <w:sz w:val="18"/>
              </w:rPr>
              <w:t>[s] (number of DRX cycles)</w:t>
            </w:r>
          </w:p>
        </w:tc>
      </w:tr>
      <w:tr w:rsidR="00A20BE0" w:rsidRPr="00542EC9" w14:paraId="65F34547" w14:textId="77777777" w:rsidTr="00583014">
        <w:trPr>
          <w:cantSplit/>
          <w:trHeight w:val="43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025BC5" w14:textId="77777777" w:rsidR="00A20BE0" w:rsidRPr="00542EC9" w:rsidRDefault="00A20BE0" w:rsidP="00583014">
            <w:pPr>
              <w:keepNext/>
              <w:keepLines/>
              <w:spacing w:after="0"/>
              <w:jc w:val="center"/>
              <w:rPr>
                <w:rFonts w:ascii="Arial" w:eastAsia="Malgun Gothic" w:hAnsi="Arial"/>
                <w:b/>
                <w:sz w:val="18"/>
              </w:rPr>
            </w:pPr>
          </w:p>
        </w:tc>
        <w:tc>
          <w:tcPr>
            <w:tcW w:w="0" w:type="auto"/>
            <w:tcBorders>
              <w:top w:val="single" w:sz="4" w:space="0" w:color="auto"/>
              <w:left w:val="single" w:sz="4" w:space="0" w:color="auto"/>
              <w:bottom w:val="single" w:sz="4" w:space="0" w:color="auto"/>
              <w:right w:val="single" w:sz="4" w:space="0" w:color="auto"/>
            </w:tcBorders>
            <w:hideMark/>
          </w:tcPr>
          <w:p w14:paraId="4D876903"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FR1</w:t>
            </w:r>
          </w:p>
        </w:tc>
        <w:tc>
          <w:tcPr>
            <w:tcW w:w="0" w:type="auto"/>
            <w:tcBorders>
              <w:top w:val="single" w:sz="4" w:space="0" w:color="auto"/>
              <w:left w:val="single" w:sz="4" w:space="0" w:color="auto"/>
              <w:bottom w:val="single" w:sz="4" w:space="0" w:color="auto"/>
              <w:right w:val="single" w:sz="4" w:space="0" w:color="auto"/>
            </w:tcBorders>
            <w:hideMark/>
          </w:tcPr>
          <w:p w14:paraId="5ED466C3" w14:textId="77777777" w:rsidR="00A20BE0" w:rsidRPr="00542EC9" w:rsidRDefault="00A20BE0" w:rsidP="00583014">
            <w:pPr>
              <w:keepNext/>
              <w:keepLines/>
              <w:spacing w:after="0"/>
              <w:jc w:val="center"/>
              <w:rPr>
                <w:rFonts w:ascii="Arial" w:eastAsia="Malgun Gothic" w:hAnsi="Arial"/>
                <w:b/>
                <w:sz w:val="18"/>
                <w:vertAlign w:val="superscript"/>
              </w:rPr>
            </w:pPr>
            <w:r w:rsidRPr="00542EC9">
              <w:rPr>
                <w:rFonts w:ascii="Arial" w:eastAsia="Malgun Gothic" w:hAnsi="Arial"/>
                <w:b/>
                <w:sz w:val="18"/>
              </w:rPr>
              <w:t>FR2</w:t>
            </w:r>
            <w:r>
              <w:rPr>
                <w:rFonts w:ascii="Arial" w:eastAsia="Malgun Gothic" w:hAnsi="Arial"/>
                <w:b/>
                <w:sz w:val="18"/>
              </w:rPr>
              <w:t>-1</w:t>
            </w:r>
            <w:r w:rsidRPr="00542EC9">
              <w:rPr>
                <w:rFonts w:ascii="Arial" w:eastAsia="Malgun Gothic" w:hAnsi="Arial"/>
                <w:b/>
                <w:sz w:val="18"/>
                <w:vertAlign w:val="superscript"/>
              </w:rPr>
              <w:t>Note1</w:t>
            </w:r>
          </w:p>
        </w:tc>
        <w:tc>
          <w:tcPr>
            <w:tcW w:w="791" w:type="dxa"/>
            <w:tcBorders>
              <w:top w:val="single" w:sz="4" w:space="0" w:color="auto"/>
              <w:left w:val="single" w:sz="4" w:space="0" w:color="auto"/>
              <w:bottom w:val="single" w:sz="4" w:space="0" w:color="auto"/>
              <w:right w:val="single" w:sz="4" w:space="0" w:color="auto"/>
            </w:tcBorders>
          </w:tcPr>
          <w:p w14:paraId="15773C68" w14:textId="77777777" w:rsidR="00A20BE0" w:rsidRPr="00DF4E37" w:rsidRDefault="00A20BE0" w:rsidP="00583014">
            <w:pPr>
              <w:keepNext/>
              <w:keepLines/>
              <w:spacing w:after="0"/>
              <w:jc w:val="center"/>
              <w:rPr>
                <w:rFonts w:ascii="Arial" w:eastAsia="Malgun Gothic" w:hAnsi="Arial" w:cs="Arial"/>
                <w:b/>
                <w:sz w:val="18"/>
                <w:szCs w:val="18"/>
                <w:vertAlign w:val="superscript"/>
              </w:rPr>
            </w:pPr>
            <w:r w:rsidRPr="00DF4E37">
              <w:rPr>
                <w:rFonts w:ascii="Arial" w:hAnsi="Arial" w:cs="Arial"/>
                <w:sz w:val="18"/>
                <w:szCs w:val="18"/>
              </w:rPr>
              <w:t>FR2-2</w:t>
            </w:r>
            <w:r w:rsidRPr="00DF4E37">
              <w:rPr>
                <w:rFonts w:ascii="Arial" w:hAnsi="Arial" w:cs="Arial"/>
                <w:sz w:val="18"/>
                <w:szCs w:val="18"/>
                <w:vertAlign w:val="superscript"/>
              </w:rPr>
              <w:t xml:space="preserve"> Note2</w:t>
            </w:r>
          </w:p>
        </w:tc>
        <w:tc>
          <w:tcPr>
            <w:tcW w:w="1990" w:type="dxa"/>
            <w:vMerge/>
            <w:tcBorders>
              <w:top w:val="single" w:sz="4" w:space="0" w:color="auto"/>
              <w:left w:val="single" w:sz="4" w:space="0" w:color="auto"/>
              <w:bottom w:val="single" w:sz="4" w:space="0" w:color="auto"/>
              <w:right w:val="single" w:sz="4" w:space="0" w:color="auto"/>
            </w:tcBorders>
            <w:vAlign w:val="center"/>
            <w:hideMark/>
          </w:tcPr>
          <w:p w14:paraId="1A551509" w14:textId="77777777" w:rsidR="00A20BE0" w:rsidRPr="00542EC9" w:rsidRDefault="00A20BE0" w:rsidP="00583014">
            <w:pPr>
              <w:keepNext/>
              <w:keepLines/>
              <w:spacing w:after="0"/>
              <w:jc w:val="center"/>
              <w:rPr>
                <w:rFonts w:ascii="Arial" w:eastAsia="Malgun Gothic"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14B709" w14:textId="77777777" w:rsidR="00A20BE0" w:rsidRPr="00542EC9" w:rsidRDefault="00A20BE0" w:rsidP="00583014">
            <w:pPr>
              <w:keepNext/>
              <w:keepLines/>
              <w:spacing w:after="0"/>
              <w:jc w:val="center"/>
              <w:rPr>
                <w:rFonts w:ascii="Arial" w:eastAsia="Malgun Gothic"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BEBA06" w14:textId="77777777" w:rsidR="00A20BE0" w:rsidRPr="00542EC9" w:rsidRDefault="00A20BE0" w:rsidP="00583014">
            <w:pPr>
              <w:keepNext/>
              <w:keepLines/>
              <w:spacing w:after="0"/>
              <w:jc w:val="center"/>
              <w:rPr>
                <w:rFonts w:ascii="Arial" w:eastAsia="Malgun Gothic" w:hAnsi="Arial"/>
                <w:b/>
                <w:sz w:val="18"/>
              </w:rPr>
            </w:pPr>
          </w:p>
        </w:tc>
      </w:tr>
      <w:tr w:rsidR="00A22697" w:rsidRPr="00542EC9" w14:paraId="4A51F7F0"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0B5B179"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0.32</w:t>
            </w:r>
          </w:p>
        </w:tc>
        <w:tc>
          <w:tcPr>
            <w:tcW w:w="0" w:type="auto"/>
            <w:tcBorders>
              <w:top w:val="single" w:sz="4" w:space="0" w:color="auto"/>
              <w:left w:val="single" w:sz="4" w:space="0" w:color="auto"/>
              <w:bottom w:val="nil"/>
              <w:right w:val="single" w:sz="4" w:space="0" w:color="auto"/>
            </w:tcBorders>
            <w:hideMark/>
          </w:tcPr>
          <w:p w14:paraId="15665264"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1</w:t>
            </w:r>
          </w:p>
        </w:tc>
        <w:tc>
          <w:tcPr>
            <w:tcW w:w="0" w:type="auto"/>
            <w:tcBorders>
              <w:top w:val="single" w:sz="4" w:space="0" w:color="auto"/>
              <w:left w:val="single" w:sz="4" w:space="0" w:color="auto"/>
              <w:bottom w:val="single" w:sz="4" w:space="0" w:color="auto"/>
              <w:right w:val="single" w:sz="4" w:space="0" w:color="auto"/>
            </w:tcBorders>
            <w:hideMark/>
          </w:tcPr>
          <w:p w14:paraId="11737B3B"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8</w:t>
            </w:r>
          </w:p>
        </w:tc>
        <w:tc>
          <w:tcPr>
            <w:tcW w:w="791" w:type="dxa"/>
            <w:tcBorders>
              <w:top w:val="single" w:sz="4" w:space="0" w:color="auto"/>
              <w:left w:val="single" w:sz="4" w:space="0" w:color="auto"/>
              <w:bottom w:val="single" w:sz="4" w:space="0" w:color="auto"/>
              <w:right w:val="single" w:sz="4" w:space="0" w:color="auto"/>
            </w:tcBorders>
          </w:tcPr>
          <w:p w14:paraId="164B430E" w14:textId="77777777" w:rsidR="00A22697" w:rsidRPr="00DF4E37" w:rsidRDefault="00A22697" w:rsidP="00A22697">
            <w:pPr>
              <w:keepNext/>
              <w:keepLines/>
              <w:spacing w:after="0"/>
              <w:jc w:val="center"/>
              <w:rPr>
                <w:rFonts w:ascii="Arial" w:eastAsia="Malgun Gothic" w:hAnsi="Arial" w:cs="Arial"/>
                <w:sz w:val="18"/>
                <w:szCs w:val="18"/>
              </w:rPr>
            </w:pPr>
            <w:r w:rsidRPr="00DF4E37">
              <w:rPr>
                <w:rFonts w:ascii="Arial" w:hAnsi="Arial" w:cs="Arial"/>
                <w:sz w:val="18"/>
                <w:szCs w:val="18"/>
              </w:rPr>
              <w:t>12</w:t>
            </w:r>
          </w:p>
        </w:tc>
        <w:tc>
          <w:tcPr>
            <w:tcW w:w="1990" w:type="dxa"/>
            <w:tcBorders>
              <w:top w:val="single" w:sz="4" w:space="0" w:color="auto"/>
              <w:left w:val="single" w:sz="4" w:space="0" w:color="auto"/>
              <w:bottom w:val="single" w:sz="4" w:space="0" w:color="auto"/>
              <w:right w:val="single" w:sz="4" w:space="0" w:color="auto"/>
            </w:tcBorders>
            <w:hideMark/>
          </w:tcPr>
          <w:p w14:paraId="60582189" w14:textId="70688E5E" w:rsidR="00A22697" w:rsidRPr="00542EC9" w:rsidRDefault="00A22697" w:rsidP="00A22697">
            <w:pPr>
              <w:pStyle w:val="TAC"/>
              <w:rPr>
                <w:rFonts w:eastAsia="Malgun Gothic"/>
              </w:rPr>
            </w:pPr>
            <w:r w:rsidRPr="00542EC9">
              <w:rPr>
                <w:rFonts w:eastAsia="Malgun Gothic"/>
              </w:rPr>
              <w:t xml:space="preserve">11.52 x N1 x </w:t>
            </w:r>
            <w:r>
              <w:rPr>
                <w:rFonts w:eastAsia="Malgun Gothic"/>
              </w:rPr>
              <w:t>K</w:t>
            </w:r>
            <w:r w:rsidRPr="00542EC9">
              <w:rPr>
                <w:rFonts w:eastAsia="Malgun Gothic"/>
              </w:rPr>
              <w:t xml:space="preserve">1 </w:t>
            </w:r>
            <w:r w:rsidRPr="00542EC9">
              <w:rPr>
                <w:rFonts w:eastAsia="Malgun Gothic" w:cs="Arial"/>
              </w:rPr>
              <w:t xml:space="preserve">x 1.5 </w:t>
            </w:r>
            <w:r w:rsidRPr="00542EC9">
              <w:rPr>
                <w:rFonts w:eastAsia="Malgun Gothic"/>
              </w:rPr>
              <w:t xml:space="preserve">(36 x N1 x </w:t>
            </w:r>
            <w:r>
              <w:rPr>
                <w:rFonts w:eastAsia="Malgun Gothic"/>
              </w:rPr>
              <w:t>K</w:t>
            </w:r>
            <w:r w:rsidRPr="00542EC9">
              <w:rPr>
                <w:rFonts w:eastAsia="Malgun Gothic"/>
              </w:rPr>
              <w:t>1</w:t>
            </w:r>
            <w:r w:rsidRPr="00542EC9">
              <w:rPr>
                <w:rFonts w:eastAsia="Malgun Gothic" w:cs="Arial"/>
              </w:rPr>
              <w:t xml:space="preserve"> x 1.5</w:t>
            </w:r>
            <w:r w:rsidRPr="00542EC9">
              <w:rPr>
                <w:rFonts w:eastAsia="Malgun Gothic"/>
              </w:rPr>
              <w:t>)</w:t>
            </w:r>
          </w:p>
        </w:tc>
        <w:tc>
          <w:tcPr>
            <w:tcW w:w="0" w:type="auto"/>
            <w:tcBorders>
              <w:top w:val="single" w:sz="4" w:space="0" w:color="auto"/>
              <w:left w:val="single" w:sz="4" w:space="0" w:color="auto"/>
              <w:bottom w:val="single" w:sz="4" w:space="0" w:color="auto"/>
              <w:right w:val="single" w:sz="4" w:space="0" w:color="auto"/>
            </w:tcBorders>
            <w:hideMark/>
          </w:tcPr>
          <w:p w14:paraId="300B807A" w14:textId="5EDDA1F6" w:rsidR="00A22697" w:rsidRPr="00542EC9" w:rsidRDefault="00A22697" w:rsidP="00A22697">
            <w:pPr>
              <w:pStyle w:val="TAC"/>
              <w:rPr>
                <w:rFonts w:eastAsia="Malgun Gothic"/>
              </w:rPr>
            </w:pPr>
            <w:r w:rsidRPr="00542EC9">
              <w:rPr>
                <w:rFonts w:eastAsia="Malgun Gothic"/>
              </w:rPr>
              <w:t xml:space="preserve">1.28 x N1 x </w:t>
            </w:r>
            <w:r>
              <w:rPr>
                <w:rFonts w:eastAsia="Malgun Gothic"/>
              </w:rPr>
              <w:t>K</w:t>
            </w:r>
            <w:r w:rsidRPr="00542EC9">
              <w:rPr>
                <w:rFonts w:eastAsia="Malgun Gothic"/>
              </w:rPr>
              <w:t>1</w:t>
            </w:r>
            <w:r w:rsidRPr="00542EC9">
              <w:rPr>
                <w:rFonts w:eastAsia="Malgun Gothic" w:cs="Arial"/>
              </w:rPr>
              <w:t xml:space="preserve">x 1.5 </w:t>
            </w:r>
            <w:r w:rsidRPr="00542EC9">
              <w:rPr>
                <w:rFonts w:eastAsia="Malgun Gothic"/>
              </w:rPr>
              <w:t xml:space="preserve">(4 x N1 x </w:t>
            </w:r>
            <w:r>
              <w:rPr>
                <w:rFonts w:eastAsia="Malgun Gothic"/>
              </w:rPr>
              <w:t>K</w:t>
            </w:r>
            <w:r w:rsidRPr="00542EC9">
              <w:rPr>
                <w:rFonts w:eastAsia="Malgun Gothic"/>
              </w:rPr>
              <w:t>1</w:t>
            </w:r>
            <w:r w:rsidRPr="00542EC9">
              <w:rPr>
                <w:rFonts w:eastAsia="Malgun Gothic" w:cs="Arial"/>
              </w:rPr>
              <w:t xml:space="preserve"> x 1.5</w:t>
            </w:r>
            <w:r w:rsidRPr="00542EC9">
              <w:rPr>
                <w:rFonts w:eastAsia="Malgun Gothic"/>
              </w:rPr>
              <w:t>)</w:t>
            </w:r>
          </w:p>
        </w:tc>
        <w:tc>
          <w:tcPr>
            <w:tcW w:w="0" w:type="auto"/>
            <w:tcBorders>
              <w:top w:val="single" w:sz="4" w:space="0" w:color="auto"/>
              <w:left w:val="single" w:sz="4" w:space="0" w:color="auto"/>
              <w:bottom w:val="single" w:sz="4" w:space="0" w:color="auto"/>
              <w:right w:val="single" w:sz="4" w:space="0" w:color="auto"/>
            </w:tcBorders>
            <w:hideMark/>
          </w:tcPr>
          <w:p w14:paraId="444C9DE3" w14:textId="183A2669" w:rsidR="00A22697" w:rsidRPr="00542EC9" w:rsidRDefault="00A22697" w:rsidP="00A22697">
            <w:pPr>
              <w:pStyle w:val="TAC"/>
              <w:rPr>
                <w:rFonts w:eastAsia="Malgun Gothic"/>
              </w:rPr>
            </w:pPr>
            <w:r w:rsidRPr="00542EC9">
              <w:rPr>
                <w:rFonts w:eastAsia="Malgun Gothic"/>
              </w:rPr>
              <w:t xml:space="preserve">5.12 x N1 x </w:t>
            </w:r>
            <w:r>
              <w:rPr>
                <w:rFonts w:eastAsia="Malgun Gothic"/>
              </w:rPr>
              <w:t>K</w:t>
            </w:r>
            <w:r w:rsidRPr="00542EC9">
              <w:rPr>
                <w:rFonts w:eastAsia="Malgun Gothic"/>
              </w:rPr>
              <w:t>1</w:t>
            </w:r>
            <w:r w:rsidRPr="00542EC9">
              <w:rPr>
                <w:rFonts w:eastAsia="Malgun Gothic" w:cs="Arial"/>
              </w:rPr>
              <w:t xml:space="preserve">x 1.5 </w:t>
            </w:r>
            <w:r w:rsidRPr="00542EC9">
              <w:rPr>
                <w:rFonts w:eastAsia="Malgun Gothic"/>
              </w:rPr>
              <w:t xml:space="preserve">(16 x N1 x </w:t>
            </w:r>
            <w:r>
              <w:rPr>
                <w:rFonts w:eastAsia="Malgun Gothic"/>
              </w:rPr>
              <w:t>K</w:t>
            </w:r>
            <w:r w:rsidRPr="00542EC9">
              <w:rPr>
                <w:rFonts w:eastAsia="Malgun Gothic"/>
              </w:rPr>
              <w:t>1</w:t>
            </w:r>
            <w:r w:rsidRPr="00542EC9">
              <w:rPr>
                <w:rFonts w:eastAsia="Malgun Gothic" w:cs="Arial"/>
              </w:rPr>
              <w:t xml:space="preserve"> x 1.5</w:t>
            </w:r>
            <w:r w:rsidRPr="00542EC9">
              <w:rPr>
                <w:rFonts w:eastAsia="Malgun Gothic"/>
              </w:rPr>
              <w:t>)</w:t>
            </w:r>
          </w:p>
        </w:tc>
      </w:tr>
      <w:tr w:rsidR="00A22697" w:rsidRPr="00542EC9" w14:paraId="46B0A3CD"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5A1904C"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0.64</w:t>
            </w:r>
          </w:p>
        </w:tc>
        <w:tc>
          <w:tcPr>
            <w:tcW w:w="0" w:type="auto"/>
            <w:tcBorders>
              <w:top w:val="nil"/>
              <w:left w:val="single" w:sz="4" w:space="0" w:color="auto"/>
              <w:bottom w:val="nil"/>
              <w:right w:val="single" w:sz="4" w:space="0" w:color="auto"/>
            </w:tcBorders>
            <w:hideMark/>
          </w:tcPr>
          <w:p w14:paraId="622992D7" w14:textId="77777777" w:rsidR="00A22697" w:rsidRPr="00542EC9" w:rsidRDefault="00A22697" w:rsidP="00A2269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6FF33D23"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5</w:t>
            </w:r>
          </w:p>
        </w:tc>
        <w:tc>
          <w:tcPr>
            <w:tcW w:w="791" w:type="dxa"/>
            <w:tcBorders>
              <w:top w:val="single" w:sz="4" w:space="0" w:color="auto"/>
              <w:left w:val="single" w:sz="4" w:space="0" w:color="auto"/>
              <w:bottom w:val="single" w:sz="4" w:space="0" w:color="auto"/>
              <w:right w:val="single" w:sz="4" w:space="0" w:color="auto"/>
            </w:tcBorders>
          </w:tcPr>
          <w:p w14:paraId="617D4B4B" w14:textId="77777777" w:rsidR="00A22697" w:rsidRPr="00DF4E37" w:rsidRDefault="00A22697" w:rsidP="00A22697">
            <w:pPr>
              <w:keepNext/>
              <w:keepLines/>
              <w:spacing w:after="0"/>
              <w:jc w:val="center"/>
              <w:rPr>
                <w:rFonts w:ascii="Arial" w:eastAsia="Malgun Gothic" w:hAnsi="Arial" w:cs="Arial"/>
                <w:sz w:val="18"/>
                <w:szCs w:val="18"/>
              </w:rPr>
            </w:pPr>
            <w:r w:rsidRPr="00DF4E37">
              <w:rPr>
                <w:rFonts w:ascii="Arial" w:hAnsi="Arial" w:cs="Arial"/>
                <w:sz w:val="18"/>
                <w:szCs w:val="18"/>
              </w:rPr>
              <w:t>8</w:t>
            </w:r>
          </w:p>
        </w:tc>
        <w:tc>
          <w:tcPr>
            <w:tcW w:w="1990" w:type="dxa"/>
            <w:tcBorders>
              <w:top w:val="single" w:sz="4" w:space="0" w:color="auto"/>
              <w:left w:val="single" w:sz="4" w:space="0" w:color="auto"/>
              <w:bottom w:val="single" w:sz="4" w:space="0" w:color="auto"/>
              <w:right w:val="single" w:sz="4" w:space="0" w:color="auto"/>
            </w:tcBorders>
            <w:hideMark/>
          </w:tcPr>
          <w:p w14:paraId="1EBE6586" w14:textId="7DE4A92F" w:rsidR="00A22697" w:rsidRPr="00542EC9" w:rsidRDefault="00A22697" w:rsidP="00A22697">
            <w:pPr>
              <w:pStyle w:val="TAC"/>
              <w:rPr>
                <w:rFonts w:eastAsia="Malgun Gothic"/>
              </w:rPr>
            </w:pPr>
            <w:r w:rsidRPr="00542EC9">
              <w:rPr>
                <w:rFonts w:eastAsia="Malgun Gothic"/>
              </w:rPr>
              <w:t xml:space="preserve">17.92x N1 x </w:t>
            </w:r>
            <w:r>
              <w:rPr>
                <w:rFonts w:eastAsia="Malgun Gothic"/>
              </w:rPr>
              <w:t>K</w:t>
            </w:r>
            <w:r w:rsidRPr="00542EC9">
              <w:rPr>
                <w:rFonts w:eastAsia="Malgun Gothic"/>
              </w:rPr>
              <w:t xml:space="preserve">1 (28 x N1 x </w:t>
            </w:r>
            <w:r>
              <w:rPr>
                <w:rFonts w:eastAsia="Malgun Gothic"/>
              </w:rPr>
              <w:t>K</w:t>
            </w:r>
            <w:r w:rsidRPr="00542EC9">
              <w:rPr>
                <w:rFonts w:eastAsia="Malgun Gothic"/>
              </w:rPr>
              <w:t>1)</w:t>
            </w:r>
          </w:p>
        </w:tc>
        <w:tc>
          <w:tcPr>
            <w:tcW w:w="0" w:type="auto"/>
            <w:tcBorders>
              <w:top w:val="single" w:sz="4" w:space="0" w:color="auto"/>
              <w:left w:val="single" w:sz="4" w:space="0" w:color="auto"/>
              <w:bottom w:val="single" w:sz="4" w:space="0" w:color="auto"/>
              <w:right w:val="single" w:sz="4" w:space="0" w:color="auto"/>
            </w:tcBorders>
            <w:hideMark/>
          </w:tcPr>
          <w:p w14:paraId="09498107" w14:textId="2B99E22E" w:rsidR="00A22697" w:rsidRPr="00542EC9" w:rsidRDefault="00A22697" w:rsidP="00A22697">
            <w:pPr>
              <w:pStyle w:val="TAC"/>
              <w:rPr>
                <w:rFonts w:eastAsia="Malgun Gothic"/>
              </w:rPr>
            </w:pPr>
            <w:r w:rsidRPr="00542EC9">
              <w:rPr>
                <w:rFonts w:eastAsia="Malgun Gothic"/>
              </w:rPr>
              <w:t xml:space="preserve">1.28 x N1 x </w:t>
            </w:r>
            <w:r>
              <w:rPr>
                <w:rFonts w:eastAsia="Malgun Gothic"/>
              </w:rPr>
              <w:t>K</w:t>
            </w:r>
            <w:r w:rsidRPr="00542EC9">
              <w:rPr>
                <w:rFonts w:eastAsia="Malgun Gothic"/>
              </w:rPr>
              <w:t xml:space="preserve">1 (2 x N1 x </w:t>
            </w:r>
            <w:r>
              <w:rPr>
                <w:rFonts w:eastAsia="Malgun Gothic"/>
              </w:rPr>
              <w:t>K</w:t>
            </w:r>
            <w:r w:rsidRPr="00542EC9">
              <w:rPr>
                <w:rFonts w:eastAsia="Malgun Gothic"/>
              </w:rPr>
              <w:t>1)</w:t>
            </w:r>
          </w:p>
        </w:tc>
        <w:tc>
          <w:tcPr>
            <w:tcW w:w="0" w:type="auto"/>
            <w:tcBorders>
              <w:top w:val="single" w:sz="4" w:space="0" w:color="auto"/>
              <w:left w:val="single" w:sz="4" w:space="0" w:color="auto"/>
              <w:bottom w:val="single" w:sz="4" w:space="0" w:color="auto"/>
              <w:right w:val="single" w:sz="4" w:space="0" w:color="auto"/>
            </w:tcBorders>
            <w:hideMark/>
          </w:tcPr>
          <w:p w14:paraId="63E7979F" w14:textId="51997426" w:rsidR="00A22697" w:rsidRPr="00542EC9" w:rsidRDefault="00A22697" w:rsidP="00A22697">
            <w:pPr>
              <w:pStyle w:val="TAC"/>
              <w:rPr>
                <w:rFonts w:eastAsia="Malgun Gothic"/>
              </w:rPr>
            </w:pPr>
            <w:r w:rsidRPr="00542EC9">
              <w:rPr>
                <w:rFonts w:eastAsia="Malgun Gothic"/>
              </w:rPr>
              <w:t xml:space="preserve">5.12 x N1 x </w:t>
            </w:r>
            <w:r>
              <w:rPr>
                <w:rFonts w:eastAsia="Malgun Gothic"/>
              </w:rPr>
              <w:t>K</w:t>
            </w:r>
            <w:r w:rsidRPr="00542EC9">
              <w:rPr>
                <w:rFonts w:eastAsia="Malgun Gothic"/>
              </w:rPr>
              <w:t xml:space="preserve">1 (8 x N1 x </w:t>
            </w:r>
            <w:r>
              <w:rPr>
                <w:rFonts w:eastAsia="Malgun Gothic"/>
              </w:rPr>
              <w:t>K</w:t>
            </w:r>
            <w:r w:rsidRPr="00542EC9">
              <w:rPr>
                <w:rFonts w:eastAsia="Malgun Gothic"/>
              </w:rPr>
              <w:t>1)</w:t>
            </w:r>
          </w:p>
        </w:tc>
      </w:tr>
      <w:tr w:rsidR="00A22697" w:rsidRPr="00542EC9" w14:paraId="08F8DC3C"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188BEAD"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1.28</w:t>
            </w:r>
          </w:p>
        </w:tc>
        <w:tc>
          <w:tcPr>
            <w:tcW w:w="0" w:type="auto"/>
            <w:tcBorders>
              <w:top w:val="nil"/>
              <w:left w:val="single" w:sz="4" w:space="0" w:color="auto"/>
              <w:bottom w:val="nil"/>
              <w:right w:val="single" w:sz="4" w:space="0" w:color="auto"/>
            </w:tcBorders>
            <w:hideMark/>
          </w:tcPr>
          <w:p w14:paraId="7607A618" w14:textId="77777777" w:rsidR="00A22697" w:rsidRPr="00542EC9" w:rsidRDefault="00A22697" w:rsidP="00A2269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1E7BF037"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4</w:t>
            </w:r>
          </w:p>
        </w:tc>
        <w:tc>
          <w:tcPr>
            <w:tcW w:w="791" w:type="dxa"/>
            <w:tcBorders>
              <w:top w:val="single" w:sz="4" w:space="0" w:color="auto"/>
              <w:left w:val="single" w:sz="4" w:space="0" w:color="auto"/>
              <w:bottom w:val="single" w:sz="4" w:space="0" w:color="auto"/>
              <w:right w:val="single" w:sz="4" w:space="0" w:color="auto"/>
            </w:tcBorders>
          </w:tcPr>
          <w:p w14:paraId="13BB38FD" w14:textId="77777777" w:rsidR="00A22697" w:rsidRPr="00DF4E37" w:rsidRDefault="00A22697" w:rsidP="00A22697">
            <w:pPr>
              <w:keepNext/>
              <w:keepLines/>
              <w:spacing w:after="0"/>
              <w:jc w:val="center"/>
              <w:rPr>
                <w:rFonts w:ascii="Arial" w:eastAsia="Malgun Gothic" w:hAnsi="Arial" w:cs="Arial"/>
                <w:sz w:val="18"/>
                <w:szCs w:val="18"/>
              </w:rPr>
            </w:pPr>
            <w:r w:rsidRPr="00DF4E37">
              <w:rPr>
                <w:rFonts w:ascii="Arial" w:hAnsi="Arial" w:cs="Arial"/>
                <w:sz w:val="18"/>
                <w:szCs w:val="18"/>
              </w:rPr>
              <w:t>6</w:t>
            </w:r>
          </w:p>
        </w:tc>
        <w:tc>
          <w:tcPr>
            <w:tcW w:w="1990" w:type="dxa"/>
            <w:tcBorders>
              <w:top w:val="single" w:sz="4" w:space="0" w:color="auto"/>
              <w:left w:val="single" w:sz="4" w:space="0" w:color="auto"/>
              <w:bottom w:val="single" w:sz="4" w:space="0" w:color="auto"/>
              <w:right w:val="single" w:sz="4" w:space="0" w:color="auto"/>
            </w:tcBorders>
            <w:hideMark/>
          </w:tcPr>
          <w:p w14:paraId="1085EE92" w14:textId="1B1CADAD" w:rsidR="00A22697" w:rsidRPr="00542EC9" w:rsidRDefault="00A22697" w:rsidP="00A22697">
            <w:pPr>
              <w:pStyle w:val="TAC"/>
              <w:rPr>
                <w:rFonts w:eastAsia="Malgun Gothic"/>
              </w:rPr>
            </w:pPr>
            <w:r w:rsidRPr="00542EC9">
              <w:rPr>
                <w:rFonts w:eastAsia="Malgun Gothic"/>
              </w:rPr>
              <w:t xml:space="preserve">32 x N1 x </w:t>
            </w:r>
            <w:r>
              <w:rPr>
                <w:rFonts w:eastAsia="Malgun Gothic"/>
              </w:rPr>
              <w:t>K</w:t>
            </w:r>
            <w:r w:rsidRPr="00542EC9">
              <w:rPr>
                <w:rFonts w:eastAsia="Malgun Gothic"/>
              </w:rPr>
              <w:t xml:space="preserve">1 (25 x N1 x </w:t>
            </w:r>
            <w:r>
              <w:rPr>
                <w:rFonts w:eastAsia="Malgun Gothic"/>
              </w:rPr>
              <w:t>K</w:t>
            </w:r>
            <w:r w:rsidRPr="00542EC9">
              <w:rPr>
                <w:rFonts w:eastAsia="Malgun Gothic"/>
              </w:rPr>
              <w:t>1)</w:t>
            </w:r>
          </w:p>
        </w:tc>
        <w:tc>
          <w:tcPr>
            <w:tcW w:w="0" w:type="auto"/>
            <w:tcBorders>
              <w:top w:val="single" w:sz="4" w:space="0" w:color="auto"/>
              <w:left w:val="single" w:sz="4" w:space="0" w:color="auto"/>
              <w:bottom w:val="single" w:sz="4" w:space="0" w:color="auto"/>
              <w:right w:val="single" w:sz="4" w:space="0" w:color="auto"/>
            </w:tcBorders>
            <w:hideMark/>
          </w:tcPr>
          <w:p w14:paraId="7D1E1467" w14:textId="3BA29C63" w:rsidR="00A22697" w:rsidRPr="00542EC9" w:rsidRDefault="00A22697" w:rsidP="00A22697">
            <w:pPr>
              <w:pStyle w:val="TAC"/>
              <w:rPr>
                <w:rFonts w:eastAsia="Malgun Gothic"/>
              </w:rPr>
            </w:pPr>
            <w:r w:rsidRPr="00542EC9">
              <w:rPr>
                <w:rFonts w:eastAsia="Malgun Gothic"/>
              </w:rPr>
              <w:t xml:space="preserve">1.28 x N1 x </w:t>
            </w:r>
            <w:r>
              <w:rPr>
                <w:rFonts w:eastAsia="Malgun Gothic"/>
              </w:rPr>
              <w:t>K</w:t>
            </w:r>
            <w:r w:rsidRPr="00542EC9">
              <w:rPr>
                <w:rFonts w:eastAsia="Malgun Gothic"/>
              </w:rPr>
              <w:t xml:space="preserve">1 (1 x N1 x </w:t>
            </w:r>
            <w:r>
              <w:rPr>
                <w:rFonts w:eastAsia="Malgun Gothic"/>
              </w:rPr>
              <w:t>K</w:t>
            </w:r>
            <w:r w:rsidRPr="00542EC9">
              <w:rPr>
                <w:rFonts w:eastAsia="Malgun Gothic"/>
              </w:rPr>
              <w:t>1)</w:t>
            </w:r>
          </w:p>
        </w:tc>
        <w:tc>
          <w:tcPr>
            <w:tcW w:w="0" w:type="auto"/>
            <w:tcBorders>
              <w:top w:val="single" w:sz="4" w:space="0" w:color="auto"/>
              <w:left w:val="single" w:sz="4" w:space="0" w:color="auto"/>
              <w:bottom w:val="single" w:sz="4" w:space="0" w:color="auto"/>
              <w:right w:val="single" w:sz="4" w:space="0" w:color="auto"/>
            </w:tcBorders>
            <w:hideMark/>
          </w:tcPr>
          <w:p w14:paraId="0601AA8F" w14:textId="51CAF980" w:rsidR="00A22697" w:rsidRPr="00542EC9" w:rsidRDefault="00A22697" w:rsidP="00A22697">
            <w:pPr>
              <w:pStyle w:val="TAC"/>
              <w:rPr>
                <w:rFonts w:eastAsia="Malgun Gothic"/>
              </w:rPr>
            </w:pPr>
            <w:r w:rsidRPr="00542EC9">
              <w:rPr>
                <w:rFonts w:eastAsia="Malgun Gothic"/>
              </w:rPr>
              <w:t xml:space="preserve">6.4 x N1 x </w:t>
            </w:r>
            <w:r>
              <w:rPr>
                <w:rFonts w:eastAsia="Malgun Gothic"/>
              </w:rPr>
              <w:t>K</w:t>
            </w:r>
            <w:r w:rsidRPr="00542EC9">
              <w:rPr>
                <w:rFonts w:eastAsia="Malgun Gothic"/>
              </w:rPr>
              <w:t xml:space="preserve">1 (5 x N1 x </w:t>
            </w:r>
            <w:r>
              <w:rPr>
                <w:rFonts w:eastAsia="Malgun Gothic"/>
              </w:rPr>
              <w:t>K</w:t>
            </w:r>
            <w:r w:rsidRPr="00542EC9">
              <w:rPr>
                <w:rFonts w:eastAsia="Malgun Gothic"/>
              </w:rPr>
              <w:t>1)</w:t>
            </w:r>
          </w:p>
        </w:tc>
      </w:tr>
      <w:tr w:rsidR="00A22697" w:rsidRPr="00542EC9" w14:paraId="10116B2B"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E25AAAF"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2.56</w:t>
            </w:r>
          </w:p>
        </w:tc>
        <w:tc>
          <w:tcPr>
            <w:tcW w:w="0" w:type="auto"/>
            <w:tcBorders>
              <w:top w:val="nil"/>
              <w:left w:val="single" w:sz="4" w:space="0" w:color="auto"/>
              <w:bottom w:val="single" w:sz="4" w:space="0" w:color="auto"/>
              <w:right w:val="single" w:sz="4" w:space="0" w:color="auto"/>
            </w:tcBorders>
            <w:hideMark/>
          </w:tcPr>
          <w:p w14:paraId="1611E0F5" w14:textId="77777777" w:rsidR="00A22697" w:rsidRPr="00542EC9" w:rsidRDefault="00A22697" w:rsidP="00A2269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46EFC143"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3</w:t>
            </w:r>
          </w:p>
        </w:tc>
        <w:tc>
          <w:tcPr>
            <w:tcW w:w="791" w:type="dxa"/>
            <w:tcBorders>
              <w:top w:val="single" w:sz="4" w:space="0" w:color="auto"/>
              <w:left w:val="single" w:sz="4" w:space="0" w:color="auto"/>
              <w:bottom w:val="single" w:sz="4" w:space="0" w:color="auto"/>
              <w:right w:val="single" w:sz="4" w:space="0" w:color="auto"/>
            </w:tcBorders>
          </w:tcPr>
          <w:p w14:paraId="76D61242" w14:textId="77777777" w:rsidR="00A22697" w:rsidRPr="00DF4E37" w:rsidRDefault="00A22697" w:rsidP="00A22697">
            <w:pPr>
              <w:keepNext/>
              <w:keepLines/>
              <w:spacing w:after="0"/>
              <w:jc w:val="center"/>
              <w:rPr>
                <w:rFonts w:ascii="Arial" w:eastAsia="Malgun Gothic" w:hAnsi="Arial" w:cs="Arial"/>
                <w:sz w:val="18"/>
                <w:szCs w:val="18"/>
              </w:rPr>
            </w:pPr>
            <w:r w:rsidRPr="00DF4E37">
              <w:rPr>
                <w:rFonts w:ascii="Arial" w:hAnsi="Arial" w:cs="Arial"/>
                <w:sz w:val="18"/>
                <w:szCs w:val="18"/>
              </w:rPr>
              <w:t>5</w:t>
            </w:r>
          </w:p>
        </w:tc>
        <w:tc>
          <w:tcPr>
            <w:tcW w:w="1990" w:type="dxa"/>
            <w:tcBorders>
              <w:top w:val="single" w:sz="4" w:space="0" w:color="auto"/>
              <w:left w:val="single" w:sz="4" w:space="0" w:color="auto"/>
              <w:bottom w:val="single" w:sz="4" w:space="0" w:color="auto"/>
              <w:right w:val="single" w:sz="4" w:space="0" w:color="auto"/>
            </w:tcBorders>
            <w:hideMark/>
          </w:tcPr>
          <w:p w14:paraId="0D8775E6" w14:textId="1374FDDF" w:rsidR="00A22697" w:rsidRPr="00542EC9" w:rsidRDefault="00A22697" w:rsidP="00A22697">
            <w:pPr>
              <w:pStyle w:val="TAC"/>
              <w:rPr>
                <w:rFonts w:eastAsia="Malgun Gothic"/>
              </w:rPr>
            </w:pPr>
            <w:r w:rsidRPr="00542EC9">
              <w:rPr>
                <w:rFonts w:eastAsia="Malgun Gothic"/>
              </w:rPr>
              <w:t xml:space="preserve">58.88 x N1 x </w:t>
            </w:r>
            <w:r>
              <w:rPr>
                <w:rFonts w:eastAsia="Malgun Gothic"/>
              </w:rPr>
              <w:t>K</w:t>
            </w:r>
            <w:r w:rsidRPr="00542EC9">
              <w:rPr>
                <w:rFonts w:eastAsia="Malgun Gothic"/>
              </w:rPr>
              <w:t xml:space="preserve">1 (23 x N1 x </w:t>
            </w:r>
            <w:r>
              <w:rPr>
                <w:rFonts w:eastAsia="Malgun Gothic"/>
              </w:rPr>
              <w:t>K</w:t>
            </w:r>
            <w:r w:rsidRPr="00542EC9">
              <w:rPr>
                <w:rFonts w:eastAsia="Malgun Gothic"/>
              </w:rPr>
              <w:t>1)</w:t>
            </w:r>
          </w:p>
        </w:tc>
        <w:tc>
          <w:tcPr>
            <w:tcW w:w="0" w:type="auto"/>
            <w:tcBorders>
              <w:top w:val="single" w:sz="4" w:space="0" w:color="auto"/>
              <w:left w:val="single" w:sz="4" w:space="0" w:color="auto"/>
              <w:bottom w:val="single" w:sz="4" w:space="0" w:color="auto"/>
              <w:right w:val="single" w:sz="4" w:space="0" w:color="auto"/>
            </w:tcBorders>
            <w:hideMark/>
          </w:tcPr>
          <w:p w14:paraId="20C2BF37" w14:textId="3C769264" w:rsidR="00A22697" w:rsidRPr="00542EC9" w:rsidRDefault="00A22697" w:rsidP="00A22697">
            <w:pPr>
              <w:pStyle w:val="TAC"/>
              <w:rPr>
                <w:rFonts w:eastAsia="Malgun Gothic"/>
              </w:rPr>
            </w:pPr>
            <w:r w:rsidRPr="00542EC9">
              <w:rPr>
                <w:rFonts w:eastAsia="Malgun Gothic"/>
              </w:rPr>
              <w:t xml:space="preserve">2.56 x N1 x </w:t>
            </w:r>
            <w:r>
              <w:rPr>
                <w:rFonts w:eastAsia="Malgun Gothic"/>
              </w:rPr>
              <w:t>K</w:t>
            </w:r>
            <w:r w:rsidRPr="00542EC9">
              <w:rPr>
                <w:rFonts w:eastAsia="Malgun Gothic"/>
              </w:rPr>
              <w:t xml:space="preserve">1 (1 x N1 x </w:t>
            </w:r>
            <w:r>
              <w:rPr>
                <w:rFonts w:eastAsia="Malgun Gothic"/>
              </w:rPr>
              <w:t>K</w:t>
            </w:r>
            <w:r w:rsidRPr="00542EC9">
              <w:rPr>
                <w:rFonts w:eastAsia="Malgun Gothic"/>
              </w:rPr>
              <w:t>1)</w:t>
            </w:r>
          </w:p>
        </w:tc>
        <w:tc>
          <w:tcPr>
            <w:tcW w:w="0" w:type="auto"/>
            <w:tcBorders>
              <w:top w:val="single" w:sz="4" w:space="0" w:color="auto"/>
              <w:left w:val="single" w:sz="4" w:space="0" w:color="auto"/>
              <w:bottom w:val="single" w:sz="4" w:space="0" w:color="auto"/>
              <w:right w:val="single" w:sz="4" w:space="0" w:color="auto"/>
            </w:tcBorders>
            <w:hideMark/>
          </w:tcPr>
          <w:p w14:paraId="6A2E5F78" w14:textId="0857D1F8" w:rsidR="00A22697" w:rsidRPr="00542EC9" w:rsidRDefault="00A22697" w:rsidP="00A22697">
            <w:pPr>
              <w:pStyle w:val="TAC"/>
              <w:rPr>
                <w:rFonts w:eastAsia="Malgun Gothic"/>
              </w:rPr>
            </w:pPr>
            <w:r w:rsidRPr="00542EC9">
              <w:rPr>
                <w:rFonts w:eastAsia="Malgun Gothic"/>
              </w:rPr>
              <w:t xml:space="preserve">7.68 x N1 x </w:t>
            </w:r>
            <w:r>
              <w:rPr>
                <w:rFonts w:eastAsia="Malgun Gothic"/>
              </w:rPr>
              <w:t>K</w:t>
            </w:r>
            <w:r w:rsidRPr="00542EC9">
              <w:rPr>
                <w:rFonts w:eastAsia="Malgun Gothic"/>
              </w:rPr>
              <w:t xml:space="preserve">1 (3 x N1 x </w:t>
            </w:r>
            <w:r>
              <w:rPr>
                <w:rFonts w:eastAsia="Malgun Gothic"/>
              </w:rPr>
              <w:t>K</w:t>
            </w:r>
            <w:r w:rsidRPr="00542EC9">
              <w:rPr>
                <w:rFonts w:eastAsia="Malgun Gothic"/>
              </w:rPr>
              <w:t>1)</w:t>
            </w:r>
          </w:p>
        </w:tc>
      </w:tr>
      <w:tr w:rsidR="00A20BE0" w:rsidRPr="00542EC9" w14:paraId="5F847C91" w14:textId="77777777" w:rsidTr="00583014">
        <w:trPr>
          <w:cantSplit/>
          <w:jc w:val="center"/>
        </w:trPr>
        <w:tc>
          <w:tcPr>
            <w:tcW w:w="0" w:type="auto"/>
            <w:gridSpan w:val="7"/>
            <w:tcBorders>
              <w:top w:val="single" w:sz="4" w:space="0" w:color="auto"/>
              <w:left w:val="single" w:sz="4" w:space="0" w:color="auto"/>
              <w:bottom w:val="single" w:sz="4" w:space="0" w:color="auto"/>
              <w:right w:val="single" w:sz="4" w:space="0" w:color="auto"/>
            </w:tcBorders>
            <w:hideMark/>
          </w:tcPr>
          <w:p w14:paraId="07490BAB" w14:textId="77777777" w:rsidR="00A20BE0" w:rsidRDefault="00A20BE0" w:rsidP="00583014">
            <w:pPr>
              <w:keepNext/>
              <w:keepLines/>
              <w:spacing w:after="0"/>
              <w:ind w:left="851" w:hanging="851"/>
              <w:rPr>
                <w:rFonts w:ascii="Arial" w:eastAsia="CG Times (WN)" w:hAnsi="Arial"/>
                <w:sz w:val="18"/>
                <w:lang w:eastAsia="x-none"/>
              </w:rPr>
            </w:pPr>
            <w:r w:rsidRPr="00542EC9">
              <w:rPr>
                <w:rFonts w:ascii="Arial" w:eastAsia="CG Times (WN)" w:hAnsi="Arial"/>
                <w:snapToGrid w:val="0"/>
                <w:sz w:val="18"/>
              </w:rPr>
              <w:t>Note 1</w:t>
            </w:r>
            <w:r w:rsidRPr="00542EC9">
              <w:rPr>
                <w:rFonts w:ascii="Arial" w:eastAsia="CG Times (WN)" w:hAnsi="Arial"/>
                <w:sz w:val="18"/>
                <w:lang w:eastAsia="x-none"/>
              </w:rPr>
              <w:t>:</w:t>
            </w:r>
            <w:r w:rsidRPr="00542EC9">
              <w:rPr>
                <w:rFonts w:ascii="Arial" w:eastAsia="CG Times (WN)" w:hAnsi="Arial"/>
                <w:sz w:val="18"/>
                <w:lang w:val="en-US" w:eastAsia="x-none"/>
              </w:rPr>
              <w:tab/>
            </w:r>
            <w:r w:rsidRPr="00542EC9">
              <w:rPr>
                <w:rFonts w:ascii="Arial" w:eastAsia="CG Times (WN)" w:hAnsi="Arial"/>
                <w:sz w:val="18"/>
                <w:lang w:eastAsia="x-none"/>
              </w:rPr>
              <w:t xml:space="preserve">Applies for UE supporting </w:t>
            </w:r>
            <w:r>
              <w:rPr>
                <w:rFonts w:ascii="Arial" w:eastAsia="CG Times (WN)" w:hAnsi="Arial"/>
                <w:sz w:val="18"/>
                <w:lang w:eastAsia="x-none"/>
              </w:rPr>
              <w:t xml:space="preserve">FR2-1 </w:t>
            </w:r>
            <w:r w:rsidRPr="00542EC9">
              <w:rPr>
                <w:rFonts w:ascii="Arial" w:eastAsia="CG Times (WN)" w:hAnsi="Arial"/>
                <w:sz w:val="18"/>
                <w:lang w:eastAsia="x-none"/>
              </w:rPr>
              <w:t xml:space="preserve">power class </w:t>
            </w:r>
            <w:r w:rsidRPr="00542EC9">
              <w:rPr>
                <w:rFonts w:ascii="Arial" w:eastAsia="CG Times (WN)" w:hAnsi="Arial"/>
                <w:sz w:val="18"/>
              </w:rPr>
              <w:t>2&amp;3&amp;4</w:t>
            </w:r>
            <w:r w:rsidRPr="00542EC9">
              <w:rPr>
                <w:rFonts w:ascii="Arial" w:eastAsia="CG Times (WN)" w:hAnsi="Arial"/>
                <w:sz w:val="18"/>
                <w:lang w:eastAsia="x-none"/>
              </w:rPr>
              <w:t xml:space="preserve">. For UE supporting </w:t>
            </w:r>
            <w:r>
              <w:rPr>
                <w:rFonts w:ascii="Arial" w:eastAsia="CG Times (WN)" w:hAnsi="Arial"/>
                <w:sz w:val="18"/>
                <w:lang w:eastAsia="x-none"/>
              </w:rPr>
              <w:t xml:space="preserve">FR2-1 </w:t>
            </w:r>
            <w:r w:rsidRPr="00542EC9">
              <w:rPr>
                <w:rFonts w:ascii="Arial" w:eastAsia="CG Times (WN)" w:hAnsi="Arial"/>
                <w:sz w:val="18"/>
                <w:lang w:eastAsia="x-none"/>
              </w:rPr>
              <w:t>power class 1</w:t>
            </w:r>
            <w:r w:rsidRPr="00542EC9">
              <w:rPr>
                <w:rFonts w:ascii="Arial" w:eastAsia="CG Times (WN)" w:hAnsi="Arial"/>
                <w:sz w:val="18"/>
              </w:rPr>
              <w:t xml:space="preserve"> or 5</w:t>
            </w:r>
            <w:r w:rsidRPr="00542EC9">
              <w:rPr>
                <w:rFonts w:ascii="Arial" w:eastAsia="CG Times (WN)" w:hAnsi="Arial"/>
                <w:sz w:val="18"/>
                <w:lang w:eastAsia="x-none"/>
              </w:rPr>
              <w:t>, N1 = 8 for all DRX cycle length.</w:t>
            </w:r>
          </w:p>
          <w:p w14:paraId="185157B2" w14:textId="77777777" w:rsidR="00A20BE0" w:rsidRDefault="00A20BE0" w:rsidP="00583014">
            <w:pPr>
              <w:pStyle w:val="TAN"/>
              <w:rPr>
                <w:lang w:eastAsia="zh-CN"/>
              </w:rPr>
            </w:pPr>
            <w:bookmarkStart w:id="43" w:name="OLE_LINK17"/>
            <w:r w:rsidRPr="009C5807">
              <w:rPr>
                <w:lang w:eastAsia="zh-CN"/>
              </w:rPr>
              <w:t xml:space="preserve">Note </w:t>
            </w:r>
            <w:r>
              <w:rPr>
                <w:lang w:eastAsia="zh-CN"/>
              </w:rPr>
              <w:t>2</w:t>
            </w:r>
            <w:r w:rsidRPr="009C5807">
              <w:rPr>
                <w:lang w:eastAsia="zh-CN"/>
              </w:rPr>
              <w:t>:</w:t>
            </w:r>
            <w:r w:rsidRPr="009C5807">
              <w:rPr>
                <w:lang w:eastAsia="zh-CN"/>
              </w:rPr>
              <w:tab/>
              <w:t xml:space="preserve">Applies for UE supporting </w:t>
            </w:r>
            <w:r>
              <w:rPr>
                <w:lang w:eastAsia="zh-CN"/>
              </w:rPr>
              <w:t xml:space="preserve">FR2-2 </w:t>
            </w:r>
            <w:r w:rsidRPr="009C5807">
              <w:rPr>
                <w:lang w:eastAsia="zh-CN"/>
              </w:rPr>
              <w:t xml:space="preserve">power class 2&amp;3. For UE supporting </w:t>
            </w:r>
            <w:r>
              <w:rPr>
                <w:lang w:eastAsia="zh-CN"/>
              </w:rPr>
              <w:t xml:space="preserve">FR2-2 </w:t>
            </w:r>
            <w:r w:rsidRPr="009C5807">
              <w:rPr>
                <w:lang w:eastAsia="zh-CN"/>
              </w:rPr>
              <w:t xml:space="preserve">power class 1, N1 = </w:t>
            </w:r>
            <w:r>
              <w:rPr>
                <w:lang w:eastAsia="zh-CN"/>
              </w:rPr>
              <w:t>12</w:t>
            </w:r>
            <w:r w:rsidRPr="009C5807">
              <w:rPr>
                <w:lang w:eastAsia="zh-CN"/>
              </w:rPr>
              <w:t xml:space="preserve"> for all DRX cycle length.</w:t>
            </w:r>
            <w:bookmarkEnd w:id="43"/>
          </w:p>
          <w:p w14:paraId="039E0077" w14:textId="1DA14CC1" w:rsidR="00A20BE0" w:rsidRPr="004A3924" w:rsidRDefault="00A20BE0" w:rsidP="00583014">
            <w:pPr>
              <w:pStyle w:val="TAN"/>
              <w:rPr>
                <w:snapToGrid w:val="0"/>
                <w:lang w:eastAsia="zh-CN"/>
              </w:rPr>
            </w:pPr>
            <w:r>
              <w:rPr>
                <w:snapToGrid w:val="0"/>
                <w:lang w:eastAsia="zh-CN"/>
              </w:rPr>
              <w:t>Note 3:</w:t>
            </w:r>
            <w:r w:rsidRPr="00885F53">
              <w:rPr>
                <w:lang w:val="en-US"/>
              </w:rPr>
              <w:tab/>
            </w:r>
            <w:r w:rsidRPr="00B73B84">
              <w:rPr>
                <w:snapToGrid w:val="0"/>
                <w:lang w:eastAsia="zh-CN"/>
              </w:rPr>
              <w:t>K1</w:t>
            </w:r>
            <w:r>
              <w:rPr>
                <w:snapToGrid w:val="0"/>
                <w:lang w:eastAsia="zh-CN"/>
              </w:rPr>
              <w:t xml:space="preserve"> = 3</w:t>
            </w:r>
            <w:r w:rsidRPr="00B73B84">
              <w:rPr>
                <w:snapToGrid w:val="0"/>
                <w:lang w:eastAsia="zh-CN"/>
              </w:rPr>
              <w:t xml:space="preserve"> </w:t>
            </w:r>
            <w:r>
              <w:rPr>
                <w:snapToGrid w:val="0"/>
                <w:lang w:eastAsia="zh-CN"/>
              </w:rPr>
              <w:t>is the measurement relaxation factor applicable for UE fulfilling the low mobility.</w:t>
            </w:r>
          </w:p>
        </w:tc>
      </w:tr>
    </w:tbl>
    <w:p w14:paraId="78ABAE60" w14:textId="78AA4933" w:rsidR="00A20BE0" w:rsidRDefault="00A20BE0" w:rsidP="00A20BE0">
      <w:pPr>
        <w:rPr>
          <w:lang w:eastAsia="zh-CN"/>
        </w:rPr>
      </w:pPr>
    </w:p>
    <w:p w14:paraId="7008AC20" w14:textId="77777777" w:rsidR="00517943" w:rsidRPr="00043DFE" w:rsidRDefault="00517943" w:rsidP="00517943">
      <w:pPr>
        <w:pStyle w:val="TH"/>
        <w:rPr>
          <w:lang w:val="en-US"/>
        </w:rPr>
      </w:pPr>
      <w:r w:rsidRPr="00043DFE">
        <w:rPr>
          <w:lang w:val="en-US"/>
        </w:rPr>
        <w:t>Table 4.2.2.10.2-2: T</w:t>
      </w:r>
      <w:r w:rsidRPr="00043DFE">
        <w:rPr>
          <w:vertAlign w:val="subscript"/>
          <w:lang w:val="en-US"/>
        </w:rPr>
        <w:t>detect,NR_</w:t>
      </w:r>
      <w:r w:rsidRPr="00043DFE">
        <w:rPr>
          <w:vertAlign w:val="subscript"/>
        </w:rPr>
        <w:t>Inter</w:t>
      </w:r>
      <w:r w:rsidRPr="00043DFE">
        <w:rPr>
          <w:vertAlign w:val="subscript"/>
          <w:lang w:val="en-US"/>
        </w:rPr>
        <w:t>_Relax</w:t>
      </w:r>
      <w:r w:rsidRPr="00043DFE">
        <w:rPr>
          <w:lang w:val="en-US"/>
        </w:rPr>
        <w:t>, T</w:t>
      </w:r>
      <w:r w:rsidRPr="00043DFE">
        <w:rPr>
          <w:vertAlign w:val="subscript"/>
          <w:lang w:val="en-US"/>
        </w:rPr>
        <w:t>measure,NR_Inter_Relax</w:t>
      </w:r>
      <w:r w:rsidRPr="00043DFE">
        <w:rPr>
          <w:lang w:val="en-US"/>
        </w:rPr>
        <w:t xml:space="preserve"> and T</w:t>
      </w:r>
      <w:r w:rsidRPr="00043DFE">
        <w:rPr>
          <w:vertAlign w:val="subscript"/>
          <w:lang w:val="en-US"/>
        </w:rPr>
        <w:t>evaluate,NR_Inter_Relax</w:t>
      </w:r>
      <w:r w:rsidRPr="00043DFE">
        <w:rPr>
          <w:lang w:val="en-US"/>
        </w:rPr>
        <w:t xml:space="preserve"> for UE configured with eDRX_IDLE cycle (Frequency range FR1) 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2569"/>
        <w:gridCol w:w="2709"/>
        <w:gridCol w:w="2691"/>
      </w:tblGrid>
      <w:tr w:rsidR="00517943" w:rsidRPr="00043DFE" w14:paraId="7BB40296" w14:textId="77777777" w:rsidTr="008B107E">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17C03194" w14:textId="77777777" w:rsidR="00517943" w:rsidRPr="00043DFE" w:rsidRDefault="00517943" w:rsidP="008B107E">
            <w:pPr>
              <w:pStyle w:val="TAH"/>
            </w:pPr>
            <w:r w:rsidRPr="00043DFE">
              <w:t>eDRX_IDLE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433AA83F" w14:textId="77777777" w:rsidR="00517943" w:rsidRPr="00043DFE" w:rsidRDefault="00517943" w:rsidP="008B107E">
            <w:pPr>
              <w:pStyle w:val="TAH"/>
            </w:pPr>
            <w:r w:rsidRPr="00043DFE">
              <w:rPr>
                <w:szCs w:val="18"/>
                <w:lang w:val="en-US"/>
              </w:rPr>
              <w:t>T</w:t>
            </w:r>
            <w:r w:rsidRPr="00043DFE">
              <w:rPr>
                <w:szCs w:val="18"/>
                <w:vertAlign w:val="subscript"/>
                <w:lang w:val="en-US"/>
              </w:rPr>
              <w:t>detect,NR_Inter</w:t>
            </w:r>
            <w:r w:rsidRPr="00043DFE">
              <w:rPr>
                <w:vertAlign w:val="subscript"/>
                <w:lang w:val="en-US"/>
              </w:rPr>
              <w:t>_Relax</w:t>
            </w:r>
            <w:r w:rsidRPr="00043DFE">
              <w:rPr>
                <w:szCs w:val="18"/>
              </w:rPr>
              <w:t xml:space="preserve"> [s]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3C555C8B" w14:textId="77777777" w:rsidR="00517943" w:rsidRPr="00043DFE" w:rsidRDefault="00517943" w:rsidP="008B107E">
            <w:pPr>
              <w:pStyle w:val="TAH"/>
            </w:pPr>
            <w:r w:rsidRPr="00043DFE">
              <w:rPr>
                <w:szCs w:val="18"/>
                <w:lang w:val="en-US"/>
              </w:rPr>
              <w:t>T</w:t>
            </w:r>
            <w:r w:rsidRPr="00043DFE">
              <w:rPr>
                <w:szCs w:val="18"/>
                <w:vertAlign w:val="subscript"/>
                <w:lang w:val="en-US"/>
              </w:rPr>
              <w:t>measure,NR_Inter</w:t>
            </w:r>
            <w:r w:rsidRPr="00043DFE">
              <w:rPr>
                <w:vertAlign w:val="subscript"/>
                <w:lang w:val="en-US"/>
              </w:rPr>
              <w:t>_Relax</w:t>
            </w:r>
            <w:r w:rsidRPr="00043DFE">
              <w:rPr>
                <w:szCs w:val="18"/>
                <w:lang w:val="en-US"/>
              </w:rPr>
              <w:t xml:space="preserve"> </w:t>
            </w:r>
            <w:r w:rsidRPr="00043DFE">
              <w:rPr>
                <w:szCs w:val="18"/>
              </w:rPr>
              <w:t>[s]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31CC0A4D" w14:textId="77777777" w:rsidR="00517943" w:rsidRPr="00043DFE" w:rsidRDefault="00517943" w:rsidP="008B107E">
            <w:pPr>
              <w:pStyle w:val="TAH"/>
            </w:pPr>
            <w:r w:rsidRPr="00043DFE">
              <w:rPr>
                <w:szCs w:val="18"/>
                <w:lang w:val="en-US"/>
              </w:rPr>
              <w:t>T</w:t>
            </w:r>
            <w:r w:rsidRPr="00043DFE">
              <w:rPr>
                <w:szCs w:val="18"/>
                <w:vertAlign w:val="subscript"/>
                <w:lang w:val="en-US"/>
              </w:rPr>
              <w:t>evaluate,NR_Inter</w:t>
            </w:r>
            <w:r w:rsidRPr="00043DFE">
              <w:rPr>
                <w:vertAlign w:val="subscript"/>
                <w:lang w:val="en-US"/>
              </w:rPr>
              <w:t>_Relax</w:t>
            </w:r>
            <w:r w:rsidRPr="00043DFE">
              <w:rPr>
                <w:szCs w:val="18"/>
                <w:vertAlign w:val="subscript"/>
                <w:lang w:val="en-US"/>
              </w:rPr>
              <w:t xml:space="preserve"> </w:t>
            </w:r>
            <w:r w:rsidRPr="00043DFE">
              <w:rPr>
                <w:szCs w:val="18"/>
              </w:rPr>
              <w:t>[s] (number of eDRX IDLE cycles)</w:t>
            </w:r>
          </w:p>
        </w:tc>
      </w:tr>
      <w:tr w:rsidR="00517943" w:rsidRPr="00043DFE" w14:paraId="34C929CB" w14:textId="77777777" w:rsidTr="008B107E">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D433CC" w14:textId="77777777" w:rsidR="00517943" w:rsidRPr="00043DFE" w:rsidRDefault="00517943"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D3E3F7" w14:textId="77777777" w:rsidR="00517943" w:rsidRPr="00043DFE" w:rsidRDefault="00517943"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DD3FD0" w14:textId="77777777" w:rsidR="00517943" w:rsidRPr="00043DFE" w:rsidRDefault="00517943"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5FA88" w14:textId="77777777" w:rsidR="00517943" w:rsidRPr="00043DFE" w:rsidRDefault="00517943" w:rsidP="008B107E">
            <w:pPr>
              <w:keepNext/>
              <w:keepLines/>
              <w:spacing w:after="0"/>
              <w:jc w:val="center"/>
              <w:rPr>
                <w:rFonts w:ascii="Arial" w:hAnsi="Arial"/>
                <w:b/>
                <w:sz w:val="18"/>
              </w:rPr>
            </w:pPr>
          </w:p>
        </w:tc>
      </w:tr>
      <w:tr w:rsidR="00517943" w:rsidRPr="00043DFE" w14:paraId="213DEF8E"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4552A4A" w14:textId="77777777" w:rsidR="00517943" w:rsidRPr="00043DFE" w:rsidRDefault="00517943" w:rsidP="008B107E">
            <w:pPr>
              <w:pStyle w:val="TAC"/>
            </w:pPr>
            <w:r w:rsidRPr="00043DFE">
              <w:t>2.56</w:t>
            </w:r>
          </w:p>
        </w:tc>
        <w:tc>
          <w:tcPr>
            <w:tcW w:w="0" w:type="auto"/>
            <w:tcBorders>
              <w:top w:val="single" w:sz="4" w:space="0" w:color="auto"/>
              <w:left w:val="single" w:sz="4" w:space="0" w:color="auto"/>
              <w:bottom w:val="single" w:sz="4" w:space="0" w:color="auto"/>
              <w:right w:val="single" w:sz="4" w:space="0" w:color="auto"/>
            </w:tcBorders>
            <w:hideMark/>
          </w:tcPr>
          <w:p w14:paraId="72440EAE" w14:textId="77777777" w:rsidR="00517943" w:rsidRPr="00043DFE" w:rsidRDefault="00517943" w:rsidP="008B107E">
            <w:pPr>
              <w:pStyle w:val="TAC"/>
              <w:rPr>
                <w:lang w:val="sv-SE"/>
              </w:rPr>
            </w:pPr>
            <w:r w:rsidRPr="00043DFE">
              <w:rPr>
                <w:rFonts w:cs="Arial"/>
                <w:szCs w:val="18"/>
                <w:lang w:val="sv-SE"/>
              </w:rPr>
              <w:t>58.88 x K1 (23 x K1)</w:t>
            </w:r>
          </w:p>
        </w:tc>
        <w:tc>
          <w:tcPr>
            <w:tcW w:w="0" w:type="auto"/>
            <w:tcBorders>
              <w:top w:val="single" w:sz="4" w:space="0" w:color="auto"/>
              <w:left w:val="single" w:sz="4" w:space="0" w:color="auto"/>
              <w:bottom w:val="single" w:sz="4" w:space="0" w:color="auto"/>
              <w:right w:val="single" w:sz="4" w:space="0" w:color="auto"/>
            </w:tcBorders>
            <w:hideMark/>
          </w:tcPr>
          <w:p w14:paraId="37F41316" w14:textId="77777777" w:rsidR="00517943" w:rsidRPr="00043DFE" w:rsidRDefault="00517943" w:rsidP="008B107E">
            <w:pPr>
              <w:pStyle w:val="TAC"/>
              <w:rPr>
                <w:lang w:val="sv-SE"/>
              </w:rPr>
            </w:pPr>
            <w:r w:rsidRPr="00043DFE">
              <w:rPr>
                <w:rFonts w:cs="Arial"/>
                <w:szCs w:val="18"/>
                <w:lang w:val="sv-SE"/>
              </w:rPr>
              <w:t>2.56 x K1 (1 x K1)</w:t>
            </w:r>
          </w:p>
        </w:tc>
        <w:tc>
          <w:tcPr>
            <w:tcW w:w="0" w:type="auto"/>
            <w:tcBorders>
              <w:top w:val="single" w:sz="4" w:space="0" w:color="auto"/>
              <w:left w:val="single" w:sz="4" w:space="0" w:color="auto"/>
              <w:bottom w:val="single" w:sz="4" w:space="0" w:color="auto"/>
              <w:right w:val="single" w:sz="4" w:space="0" w:color="auto"/>
            </w:tcBorders>
            <w:hideMark/>
          </w:tcPr>
          <w:p w14:paraId="298CFFCC" w14:textId="77777777" w:rsidR="00517943" w:rsidRPr="00043DFE" w:rsidRDefault="00517943" w:rsidP="008B107E">
            <w:pPr>
              <w:pStyle w:val="TAC"/>
              <w:rPr>
                <w:lang w:val="sv-SE"/>
              </w:rPr>
            </w:pPr>
            <w:r w:rsidRPr="00043DFE">
              <w:rPr>
                <w:rFonts w:cs="Arial"/>
                <w:szCs w:val="18"/>
                <w:lang w:val="sv-SE"/>
              </w:rPr>
              <w:t>7.68 x K1 (3 x K1)</w:t>
            </w:r>
          </w:p>
        </w:tc>
      </w:tr>
      <w:tr w:rsidR="00517943" w:rsidRPr="00043DFE" w14:paraId="1394BE2D"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01BE823" w14:textId="77777777" w:rsidR="00517943" w:rsidRPr="00043DFE" w:rsidRDefault="00517943" w:rsidP="008B107E">
            <w:pPr>
              <w:pStyle w:val="TAC"/>
            </w:pPr>
            <w:r w:rsidRPr="00043DFE">
              <w:rPr>
                <w:rFonts w:cs="Arial"/>
                <w:szCs w:val="18"/>
              </w:rPr>
              <w:t>5.12</w:t>
            </w:r>
          </w:p>
        </w:tc>
        <w:tc>
          <w:tcPr>
            <w:tcW w:w="0" w:type="auto"/>
            <w:tcBorders>
              <w:top w:val="single" w:sz="4" w:space="0" w:color="auto"/>
              <w:left w:val="single" w:sz="4" w:space="0" w:color="auto"/>
              <w:bottom w:val="single" w:sz="4" w:space="0" w:color="auto"/>
              <w:right w:val="single" w:sz="4" w:space="0" w:color="auto"/>
            </w:tcBorders>
            <w:hideMark/>
          </w:tcPr>
          <w:p w14:paraId="29A5607B" w14:textId="77777777" w:rsidR="00517943" w:rsidRPr="00043DFE" w:rsidRDefault="00517943" w:rsidP="008B107E">
            <w:pPr>
              <w:pStyle w:val="TAC"/>
            </w:pPr>
            <w:r w:rsidRPr="00043DFE">
              <w:rPr>
                <w:rFonts w:cs="Arial"/>
                <w:szCs w:val="18"/>
              </w:rPr>
              <w:t>117.76</w:t>
            </w:r>
            <w:r w:rsidRPr="00043DFE">
              <w:rPr>
                <w:rFonts w:cs="Arial"/>
                <w:szCs w:val="18"/>
                <w:lang w:val="sv-SE"/>
              </w:rPr>
              <w:t xml:space="preserve"> x </w:t>
            </w:r>
            <w:r w:rsidRPr="00043DFE">
              <w:rPr>
                <w:rFonts w:cs="Arial"/>
                <w:szCs w:val="18"/>
              </w:rPr>
              <w:t>K1 (23</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48731963" w14:textId="77777777" w:rsidR="00517943" w:rsidRPr="00043DFE" w:rsidRDefault="00517943" w:rsidP="008B107E">
            <w:pPr>
              <w:pStyle w:val="TAC"/>
            </w:pPr>
            <w:r w:rsidRPr="00043DFE">
              <w:rPr>
                <w:rFonts w:cs="Arial"/>
                <w:szCs w:val="18"/>
              </w:rPr>
              <w:t>5.12</w:t>
            </w:r>
            <w:r w:rsidRPr="00043DFE">
              <w:rPr>
                <w:rFonts w:cs="Arial"/>
                <w:szCs w:val="18"/>
                <w:lang w:val="sv-SE"/>
              </w:rPr>
              <w:t xml:space="preserve"> x </w:t>
            </w:r>
            <w:r w:rsidRPr="00043DFE">
              <w:rPr>
                <w:rFonts w:cs="Arial"/>
                <w:szCs w:val="18"/>
              </w:rPr>
              <w:t>K1 (1</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02A1C87B" w14:textId="77777777" w:rsidR="00517943" w:rsidRPr="00043DFE" w:rsidRDefault="00517943" w:rsidP="008B107E">
            <w:pPr>
              <w:pStyle w:val="TAC"/>
            </w:pPr>
            <w:r w:rsidRPr="00043DFE">
              <w:rPr>
                <w:rFonts w:cs="Arial"/>
                <w:szCs w:val="18"/>
              </w:rPr>
              <w:t>10.24</w:t>
            </w:r>
            <w:r w:rsidRPr="00043DFE">
              <w:rPr>
                <w:rFonts w:cs="Arial"/>
                <w:szCs w:val="18"/>
                <w:lang w:val="sv-SE"/>
              </w:rPr>
              <w:t xml:space="preserve"> x </w:t>
            </w:r>
            <w:r w:rsidRPr="00043DFE">
              <w:rPr>
                <w:rFonts w:cs="Arial"/>
                <w:szCs w:val="18"/>
              </w:rPr>
              <w:t>K1 (2</w:t>
            </w:r>
            <w:r w:rsidRPr="00043DFE">
              <w:rPr>
                <w:rFonts w:cs="Arial"/>
                <w:szCs w:val="18"/>
                <w:lang w:val="sv-SE"/>
              </w:rPr>
              <w:t xml:space="preserve"> x </w:t>
            </w:r>
            <w:r w:rsidRPr="00043DFE">
              <w:rPr>
                <w:rFonts w:cs="Arial"/>
                <w:szCs w:val="18"/>
              </w:rPr>
              <w:t>K1)</w:t>
            </w:r>
          </w:p>
        </w:tc>
      </w:tr>
      <w:tr w:rsidR="00517943" w:rsidRPr="00043DFE" w14:paraId="48099655"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C506D43" w14:textId="77777777" w:rsidR="00517943" w:rsidRPr="00043DFE" w:rsidRDefault="00517943" w:rsidP="008B107E">
            <w:pPr>
              <w:pStyle w:val="TAC"/>
            </w:pPr>
            <w:r w:rsidRPr="00043DFE">
              <w:rPr>
                <w:rFonts w:cs="Arial"/>
                <w:szCs w:val="18"/>
              </w:rPr>
              <w:t>10.24</w:t>
            </w:r>
          </w:p>
        </w:tc>
        <w:tc>
          <w:tcPr>
            <w:tcW w:w="0" w:type="auto"/>
            <w:tcBorders>
              <w:top w:val="single" w:sz="4" w:space="0" w:color="auto"/>
              <w:left w:val="single" w:sz="4" w:space="0" w:color="auto"/>
              <w:bottom w:val="single" w:sz="4" w:space="0" w:color="auto"/>
              <w:right w:val="single" w:sz="4" w:space="0" w:color="auto"/>
            </w:tcBorders>
            <w:hideMark/>
          </w:tcPr>
          <w:p w14:paraId="447C7490" w14:textId="77777777" w:rsidR="00517943" w:rsidRPr="00043DFE" w:rsidRDefault="00517943" w:rsidP="008B107E">
            <w:pPr>
              <w:pStyle w:val="TAC"/>
            </w:pPr>
            <w:r w:rsidRPr="00043DFE">
              <w:rPr>
                <w:rFonts w:cs="Arial"/>
                <w:szCs w:val="18"/>
              </w:rPr>
              <w:t>235.52</w:t>
            </w:r>
            <w:r w:rsidRPr="00043DFE">
              <w:rPr>
                <w:rFonts w:cs="Arial"/>
                <w:szCs w:val="18"/>
                <w:lang w:val="sv-SE"/>
              </w:rPr>
              <w:t xml:space="preserve"> x </w:t>
            </w:r>
            <w:r w:rsidRPr="00043DFE">
              <w:rPr>
                <w:rFonts w:cs="Arial"/>
                <w:szCs w:val="18"/>
              </w:rPr>
              <w:t>K1 (23</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75908E41" w14:textId="77777777" w:rsidR="00517943" w:rsidRPr="00043DFE" w:rsidRDefault="00517943" w:rsidP="008B107E">
            <w:pPr>
              <w:pStyle w:val="TAC"/>
            </w:pPr>
            <w:r w:rsidRPr="00043DFE">
              <w:rPr>
                <w:rFonts w:cs="Arial"/>
                <w:szCs w:val="18"/>
              </w:rPr>
              <w:t>10.24</w:t>
            </w:r>
            <w:r w:rsidRPr="00043DFE">
              <w:rPr>
                <w:rFonts w:cs="Arial"/>
                <w:szCs w:val="18"/>
                <w:lang w:val="sv-SE"/>
              </w:rPr>
              <w:t xml:space="preserve"> x </w:t>
            </w:r>
            <w:r w:rsidRPr="00043DFE">
              <w:rPr>
                <w:rFonts w:cs="Arial"/>
                <w:szCs w:val="18"/>
              </w:rPr>
              <w:t>K1 (1</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45AE3A91" w14:textId="77777777" w:rsidR="00517943" w:rsidRPr="00043DFE" w:rsidRDefault="00517943" w:rsidP="008B107E">
            <w:pPr>
              <w:pStyle w:val="TAC"/>
            </w:pPr>
            <w:r w:rsidRPr="00043DFE">
              <w:rPr>
                <w:rFonts w:cs="Arial"/>
                <w:szCs w:val="18"/>
              </w:rPr>
              <w:t>20.48</w:t>
            </w:r>
            <w:r w:rsidRPr="00043DFE">
              <w:rPr>
                <w:rFonts w:cs="Arial"/>
                <w:szCs w:val="18"/>
                <w:lang w:val="sv-SE"/>
              </w:rPr>
              <w:t xml:space="preserve"> x </w:t>
            </w:r>
            <w:r w:rsidRPr="00043DFE">
              <w:rPr>
                <w:rFonts w:cs="Arial"/>
                <w:szCs w:val="18"/>
              </w:rPr>
              <w:t>K1 (2</w:t>
            </w:r>
            <w:r w:rsidRPr="00043DFE">
              <w:rPr>
                <w:rFonts w:cs="Arial"/>
                <w:szCs w:val="18"/>
                <w:lang w:val="sv-SE"/>
              </w:rPr>
              <w:t xml:space="preserve"> x </w:t>
            </w:r>
            <w:r w:rsidRPr="00043DFE">
              <w:rPr>
                <w:rFonts w:cs="Arial"/>
                <w:szCs w:val="18"/>
              </w:rPr>
              <w:t>K1)</w:t>
            </w:r>
          </w:p>
        </w:tc>
      </w:tr>
      <w:tr w:rsidR="00517943" w:rsidRPr="00043DFE" w14:paraId="6EDCF061" w14:textId="77777777" w:rsidTr="008B107E">
        <w:trPr>
          <w:cantSplit/>
          <w:trHeight w:val="632"/>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32D9038F" w14:textId="77777777" w:rsidR="00517943" w:rsidRPr="00043DFE" w:rsidRDefault="00517943" w:rsidP="008B107E">
            <w:pPr>
              <w:pStyle w:val="TAN"/>
              <w:rPr>
                <w:snapToGrid w:val="0"/>
              </w:rPr>
            </w:pPr>
            <w:r w:rsidRPr="00043DFE">
              <w:rPr>
                <w:snapToGrid w:val="0"/>
              </w:rPr>
              <w:t>Note 1</w:t>
            </w:r>
            <w:r w:rsidRPr="00043DFE">
              <w:t>:</w:t>
            </w:r>
            <w:r w:rsidRPr="00043DFE">
              <w:rPr>
                <w:lang w:val="en-US"/>
              </w:rPr>
              <w:tab/>
            </w:r>
            <w:r w:rsidRPr="00043DFE">
              <w:t>Applies for UE of all supporting FR1 power classes.</w:t>
            </w:r>
          </w:p>
          <w:p w14:paraId="4A6A6622" w14:textId="77777777" w:rsidR="00517943" w:rsidRPr="00043DFE" w:rsidRDefault="00517943" w:rsidP="008B107E">
            <w:pPr>
              <w:pStyle w:val="TAN"/>
            </w:pPr>
            <w:r w:rsidRPr="00043DFE">
              <w:rPr>
                <w:rFonts w:cs="Arial"/>
                <w:snapToGrid w:val="0"/>
                <w:szCs w:val="18"/>
              </w:rPr>
              <w:t>Note 2:</w:t>
            </w:r>
            <w:r w:rsidRPr="00043DFE">
              <w:rPr>
                <w:rFonts w:cs="Arial"/>
                <w:snapToGrid w:val="0"/>
                <w:szCs w:val="18"/>
              </w:rPr>
              <w:tab/>
              <w:t xml:space="preserve">K1 = 3 is the measurement relaxation factor applicable for UE fulfilling the </w:t>
            </w:r>
            <w:r w:rsidRPr="00043DFE">
              <w:rPr>
                <w:i/>
                <w:iCs/>
              </w:rPr>
              <w:t>lowMobilityEvaluation</w:t>
            </w:r>
            <w:r w:rsidRPr="00043DFE">
              <w:rPr>
                <w:rFonts w:cs="Arial"/>
                <w:snapToGrid w:val="0"/>
                <w:szCs w:val="18"/>
              </w:rPr>
              <w:t xml:space="preserve"> [2] criterion.</w:t>
            </w:r>
          </w:p>
        </w:tc>
      </w:tr>
    </w:tbl>
    <w:p w14:paraId="2CFEA4C3" w14:textId="77777777" w:rsidR="00517943" w:rsidRPr="00043DFE" w:rsidRDefault="00517943" w:rsidP="00517943">
      <w:pPr>
        <w:rPr>
          <w:noProof/>
        </w:rPr>
      </w:pPr>
    </w:p>
    <w:p w14:paraId="4003997E" w14:textId="77777777" w:rsidR="00517943" w:rsidRPr="00043DFE" w:rsidRDefault="00517943" w:rsidP="00517943">
      <w:pPr>
        <w:pStyle w:val="TH"/>
        <w:rPr>
          <w:lang w:val="en-US"/>
        </w:rPr>
      </w:pPr>
      <w:r w:rsidRPr="00043DFE">
        <w:rPr>
          <w:lang w:val="en-US"/>
        </w:rPr>
        <w:t>Table 4.2.2.10.2-3: T</w:t>
      </w:r>
      <w:r w:rsidRPr="00043DFE">
        <w:rPr>
          <w:vertAlign w:val="subscript"/>
          <w:lang w:val="en-US"/>
        </w:rPr>
        <w:t>detect,NR_</w:t>
      </w:r>
      <w:r w:rsidRPr="00043DFE">
        <w:rPr>
          <w:vertAlign w:val="subscript"/>
        </w:rPr>
        <w:t>Inter</w:t>
      </w:r>
      <w:r w:rsidRPr="00043DFE">
        <w:rPr>
          <w:vertAlign w:val="subscript"/>
          <w:lang w:val="en-US"/>
        </w:rPr>
        <w:t>_Relax</w:t>
      </w:r>
      <w:r w:rsidRPr="00043DFE">
        <w:rPr>
          <w:lang w:val="en-US"/>
        </w:rPr>
        <w:t>, T</w:t>
      </w:r>
      <w:r w:rsidRPr="00043DFE">
        <w:rPr>
          <w:vertAlign w:val="subscript"/>
          <w:lang w:val="en-US"/>
        </w:rPr>
        <w:t>measure,NR_Inter_Relax</w:t>
      </w:r>
      <w:r w:rsidRPr="00043DFE">
        <w:rPr>
          <w:lang w:val="en-US"/>
        </w:rPr>
        <w:t xml:space="preserve"> and T</w:t>
      </w:r>
      <w:r w:rsidRPr="00043DFE">
        <w:rPr>
          <w:vertAlign w:val="subscript"/>
          <w:lang w:val="en-US"/>
        </w:rPr>
        <w:t>evaluate,NR_Inter_Relax</w:t>
      </w:r>
      <w:r w:rsidRPr="00043DFE">
        <w:rPr>
          <w:lang w:val="en-US"/>
        </w:rPr>
        <w:t xml:space="preserve"> for UE configured with eDRX_IDLE cycle (Frequency range FR2) for eDRX_IDLE cycle upto 10.24 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2798"/>
        <w:gridCol w:w="2619"/>
        <w:gridCol w:w="2596"/>
      </w:tblGrid>
      <w:tr w:rsidR="00517943" w:rsidRPr="00043DFE" w14:paraId="011B0C90" w14:textId="77777777" w:rsidTr="008B107E">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652449A4" w14:textId="77777777" w:rsidR="00517943" w:rsidRPr="00043DFE" w:rsidRDefault="00517943" w:rsidP="008B107E">
            <w:pPr>
              <w:pStyle w:val="TAH"/>
            </w:pPr>
            <w:r w:rsidRPr="00043DFE">
              <w:t>eDRX_IDLE cycle length [s]</w:t>
            </w:r>
          </w:p>
        </w:tc>
        <w:tc>
          <w:tcPr>
            <w:tcW w:w="2798" w:type="dxa"/>
            <w:vMerge w:val="restart"/>
            <w:tcBorders>
              <w:top w:val="single" w:sz="4" w:space="0" w:color="auto"/>
              <w:left w:val="single" w:sz="4" w:space="0" w:color="auto"/>
              <w:bottom w:val="single" w:sz="4" w:space="0" w:color="auto"/>
              <w:right w:val="single" w:sz="4" w:space="0" w:color="auto"/>
            </w:tcBorders>
            <w:hideMark/>
          </w:tcPr>
          <w:p w14:paraId="3C2A14BC" w14:textId="77777777" w:rsidR="00517943" w:rsidRPr="00043DFE" w:rsidRDefault="00517943" w:rsidP="008B107E">
            <w:pPr>
              <w:pStyle w:val="TAH"/>
            </w:pPr>
            <w:r w:rsidRPr="00043DFE">
              <w:rPr>
                <w:szCs w:val="18"/>
                <w:lang w:val="en-US"/>
              </w:rPr>
              <w:t>T</w:t>
            </w:r>
            <w:r w:rsidRPr="00043DFE">
              <w:rPr>
                <w:szCs w:val="18"/>
                <w:vertAlign w:val="subscript"/>
                <w:lang w:val="en-US"/>
              </w:rPr>
              <w:t>detect,NR_Inter</w:t>
            </w:r>
            <w:r w:rsidRPr="00043DFE">
              <w:rPr>
                <w:vertAlign w:val="subscript"/>
                <w:lang w:val="en-US"/>
              </w:rPr>
              <w:t>_Relax</w:t>
            </w:r>
            <w:r w:rsidRPr="00043DFE">
              <w:rPr>
                <w:szCs w:val="18"/>
              </w:rPr>
              <w:t xml:space="preserve"> [s] (number of eDRX IDLE cycles)</w:t>
            </w:r>
          </w:p>
        </w:tc>
        <w:tc>
          <w:tcPr>
            <w:tcW w:w="2619" w:type="dxa"/>
            <w:vMerge w:val="restart"/>
            <w:tcBorders>
              <w:top w:val="single" w:sz="4" w:space="0" w:color="auto"/>
              <w:left w:val="single" w:sz="4" w:space="0" w:color="auto"/>
              <w:bottom w:val="single" w:sz="4" w:space="0" w:color="auto"/>
              <w:right w:val="single" w:sz="4" w:space="0" w:color="auto"/>
            </w:tcBorders>
            <w:hideMark/>
          </w:tcPr>
          <w:p w14:paraId="356A4950" w14:textId="77777777" w:rsidR="00517943" w:rsidRPr="00043DFE" w:rsidRDefault="00517943" w:rsidP="008B107E">
            <w:pPr>
              <w:pStyle w:val="TAH"/>
            </w:pPr>
            <w:r w:rsidRPr="00043DFE">
              <w:rPr>
                <w:szCs w:val="18"/>
                <w:lang w:val="en-US"/>
              </w:rPr>
              <w:t>T</w:t>
            </w:r>
            <w:r w:rsidRPr="00043DFE">
              <w:rPr>
                <w:szCs w:val="18"/>
                <w:vertAlign w:val="subscript"/>
                <w:lang w:val="en-US"/>
              </w:rPr>
              <w:t>measure,NR_Inter</w:t>
            </w:r>
            <w:r w:rsidRPr="00043DFE">
              <w:rPr>
                <w:vertAlign w:val="subscript"/>
                <w:lang w:val="en-US"/>
              </w:rPr>
              <w:t>_Relax</w:t>
            </w:r>
            <w:r w:rsidRPr="00043DFE">
              <w:rPr>
                <w:szCs w:val="18"/>
                <w:lang w:val="en-US"/>
              </w:rPr>
              <w:t xml:space="preserve"> </w:t>
            </w:r>
            <w:r w:rsidRPr="00043DFE">
              <w:rPr>
                <w:szCs w:val="18"/>
              </w:rPr>
              <w:t>[s]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498B53CF" w14:textId="77777777" w:rsidR="00517943" w:rsidRPr="00043DFE" w:rsidRDefault="00517943" w:rsidP="008B107E">
            <w:pPr>
              <w:pStyle w:val="TAH"/>
            </w:pPr>
            <w:r w:rsidRPr="00043DFE">
              <w:rPr>
                <w:szCs w:val="18"/>
                <w:lang w:val="en-US"/>
              </w:rPr>
              <w:t>T</w:t>
            </w:r>
            <w:r w:rsidRPr="00043DFE">
              <w:rPr>
                <w:szCs w:val="18"/>
                <w:vertAlign w:val="subscript"/>
                <w:lang w:val="en-US"/>
              </w:rPr>
              <w:t>evaluate,NR_Inter</w:t>
            </w:r>
            <w:r w:rsidRPr="00043DFE">
              <w:rPr>
                <w:vertAlign w:val="subscript"/>
                <w:lang w:val="en-US"/>
              </w:rPr>
              <w:t>_Relax</w:t>
            </w:r>
            <w:r w:rsidRPr="00043DFE">
              <w:rPr>
                <w:szCs w:val="18"/>
                <w:vertAlign w:val="subscript"/>
                <w:lang w:val="en-US"/>
              </w:rPr>
              <w:t xml:space="preserve"> </w:t>
            </w:r>
            <w:r w:rsidRPr="00043DFE">
              <w:rPr>
                <w:szCs w:val="18"/>
              </w:rPr>
              <w:t>[s] (number of eDRX IDLE cycles)</w:t>
            </w:r>
          </w:p>
        </w:tc>
      </w:tr>
      <w:tr w:rsidR="00517943" w:rsidRPr="00043DFE" w14:paraId="13B19EAF" w14:textId="77777777" w:rsidTr="008B107E">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5BD940F" w14:textId="77777777" w:rsidR="00517943" w:rsidRPr="00043DFE" w:rsidRDefault="00517943" w:rsidP="008B107E">
            <w:pPr>
              <w:keepNext/>
              <w:keepLines/>
              <w:spacing w:after="0"/>
              <w:jc w:val="center"/>
              <w:rPr>
                <w:rFonts w:ascii="Arial" w:hAnsi="Arial"/>
                <w:b/>
                <w:sz w:val="18"/>
              </w:rPr>
            </w:pPr>
          </w:p>
        </w:tc>
        <w:tc>
          <w:tcPr>
            <w:tcW w:w="2798" w:type="dxa"/>
            <w:vMerge/>
            <w:tcBorders>
              <w:top w:val="single" w:sz="4" w:space="0" w:color="auto"/>
              <w:left w:val="single" w:sz="4" w:space="0" w:color="auto"/>
              <w:bottom w:val="single" w:sz="4" w:space="0" w:color="auto"/>
              <w:right w:val="single" w:sz="4" w:space="0" w:color="auto"/>
            </w:tcBorders>
            <w:vAlign w:val="center"/>
            <w:hideMark/>
          </w:tcPr>
          <w:p w14:paraId="54E5A937" w14:textId="77777777" w:rsidR="00517943" w:rsidRPr="00043DFE" w:rsidRDefault="00517943" w:rsidP="008B107E">
            <w:pPr>
              <w:keepNext/>
              <w:keepLines/>
              <w:spacing w:after="0"/>
              <w:jc w:val="center"/>
              <w:rPr>
                <w:rFonts w:ascii="Arial" w:hAnsi="Arial"/>
                <w:b/>
                <w:sz w:val="18"/>
              </w:rPr>
            </w:pPr>
          </w:p>
        </w:tc>
        <w:tc>
          <w:tcPr>
            <w:tcW w:w="2619" w:type="dxa"/>
            <w:vMerge/>
            <w:tcBorders>
              <w:top w:val="single" w:sz="4" w:space="0" w:color="auto"/>
              <w:left w:val="single" w:sz="4" w:space="0" w:color="auto"/>
              <w:bottom w:val="single" w:sz="4" w:space="0" w:color="auto"/>
              <w:right w:val="single" w:sz="4" w:space="0" w:color="auto"/>
            </w:tcBorders>
            <w:vAlign w:val="center"/>
            <w:hideMark/>
          </w:tcPr>
          <w:p w14:paraId="099976F0" w14:textId="77777777" w:rsidR="00517943" w:rsidRPr="00043DFE" w:rsidRDefault="00517943"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48225" w14:textId="77777777" w:rsidR="00517943" w:rsidRPr="00043DFE" w:rsidRDefault="00517943" w:rsidP="008B107E">
            <w:pPr>
              <w:keepNext/>
              <w:keepLines/>
              <w:spacing w:after="0"/>
              <w:jc w:val="center"/>
              <w:rPr>
                <w:rFonts w:ascii="Arial" w:hAnsi="Arial"/>
                <w:b/>
                <w:sz w:val="18"/>
              </w:rPr>
            </w:pPr>
          </w:p>
        </w:tc>
      </w:tr>
      <w:tr w:rsidR="00517943" w:rsidRPr="00043DFE" w14:paraId="51833369"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0215FDD" w14:textId="77777777" w:rsidR="00517943" w:rsidRPr="00043DFE" w:rsidRDefault="00517943" w:rsidP="008B107E">
            <w:pPr>
              <w:pStyle w:val="TAC"/>
            </w:pPr>
            <w:r w:rsidRPr="00043DFE">
              <w:t>2.56</w:t>
            </w:r>
          </w:p>
        </w:tc>
        <w:tc>
          <w:tcPr>
            <w:tcW w:w="2798" w:type="dxa"/>
            <w:tcBorders>
              <w:top w:val="single" w:sz="4" w:space="0" w:color="auto"/>
              <w:left w:val="single" w:sz="4" w:space="0" w:color="auto"/>
              <w:bottom w:val="single" w:sz="4" w:space="0" w:color="auto"/>
              <w:right w:val="single" w:sz="4" w:space="0" w:color="auto"/>
            </w:tcBorders>
            <w:hideMark/>
          </w:tcPr>
          <w:p w14:paraId="3B677548" w14:textId="77777777" w:rsidR="00517943" w:rsidRPr="00043DFE" w:rsidRDefault="00517943" w:rsidP="008B107E">
            <w:pPr>
              <w:pStyle w:val="TAC"/>
              <w:rPr>
                <w:lang w:val="sv-SE"/>
              </w:rPr>
            </w:pPr>
            <w:r w:rsidRPr="00043DFE">
              <w:rPr>
                <w:rFonts w:cs="Arial"/>
                <w:szCs w:val="18"/>
                <w:lang w:val="sv-SE"/>
              </w:rPr>
              <w:t>58.88 x N1 x K1 (23 x N1 x K1)</w:t>
            </w:r>
          </w:p>
        </w:tc>
        <w:tc>
          <w:tcPr>
            <w:tcW w:w="2619" w:type="dxa"/>
            <w:tcBorders>
              <w:top w:val="single" w:sz="4" w:space="0" w:color="auto"/>
              <w:left w:val="single" w:sz="4" w:space="0" w:color="auto"/>
              <w:bottom w:val="single" w:sz="4" w:space="0" w:color="auto"/>
              <w:right w:val="single" w:sz="4" w:space="0" w:color="auto"/>
            </w:tcBorders>
            <w:hideMark/>
          </w:tcPr>
          <w:p w14:paraId="0B0B1663" w14:textId="77777777" w:rsidR="00517943" w:rsidRPr="00043DFE" w:rsidRDefault="00517943" w:rsidP="008B107E">
            <w:pPr>
              <w:pStyle w:val="TAC"/>
              <w:rPr>
                <w:lang w:val="sv-SE"/>
              </w:rPr>
            </w:pPr>
            <w:r w:rsidRPr="00043DFE">
              <w:rPr>
                <w:rFonts w:cs="Arial"/>
                <w:szCs w:val="18"/>
                <w:lang w:val="sv-SE"/>
              </w:rPr>
              <w:t>2.56 x N1 x K1 (1 x N1 x K1)</w:t>
            </w:r>
          </w:p>
        </w:tc>
        <w:tc>
          <w:tcPr>
            <w:tcW w:w="0" w:type="auto"/>
            <w:tcBorders>
              <w:top w:val="single" w:sz="4" w:space="0" w:color="auto"/>
              <w:left w:val="single" w:sz="4" w:space="0" w:color="auto"/>
              <w:bottom w:val="single" w:sz="4" w:space="0" w:color="auto"/>
              <w:right w:val="single" w:sz="4" w:space="0" w:color="auto"/>
            </w:tcBorders>
            <w:hideMark/>
          </w:tcPr>
          <w:p w14:paraId="43669587" w14:textId="77777777" w:rsidR="00517943" w:rsidRPr="00043DFE" w:rsidRDefault="00517943" w:rsidP="008B107E">
            <w:pPr>
              <w:pStyle w:val="TAC"/>
              <w:rPr>
                <w:lang w:val="sv-SE"/>
              </w:rPr>
            </w:pPr>
            <w:r w:rsidRPr="00043DFE">
              <w:rPr>
                <w:rFonts w:cs="Arial"/>
                <w:szCs w:val="18"/>
                <w:lang w:val="sv-SE"/>
              </w:rPr>
              <w:t>7.68 x N1 x K1 (3 x N1 x K1)</w:t>
            </w:r>
          </w:p>
        </w:tc>
      </w:tr>
      <w:tr w:rsidR="00517943" w:rsidRPr="00043DFE" w14:paraId="5BD42F51"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158150B" w14:textId="77777777" w:rsidR="00517943" w:rsidRPr="00043DFE" w:rsidRDefault="00517943" w:rsidP="008B107E">
            <w:pPr>
              <w:pStyle w:val="TAC"/>
            </w:pPr>
            <w:r w:rsidRPr="00043DFE">
              <w:rPr>
                <w:rFonts w:cs="Arial"/>
                <w:szCs w:val="18"/>
              </w:rPr>
              <w:t>5.12</w:t>
            </w:r>
          </w:p>
        </w:tc>
        <w:tc>
          <w:tcPr>
            <w:tcW w:w="2798" w:type="dxa"/>
            <w:tcBorders>
              <w:top w:val="single" w:sz="4" w:space="0" w:color="auto"/>
              <w:left w:val="single" w:sz="4" w:space="0" w:color="auto"/>
              <w:bottom w:val="single" w:sz="4" w:space="0" w:color="auto"/>
              <w:right w:val="single" w:sz="4" w:space="0" w:color="auto"/>
            </w:tcBorders>
            <w:hideMark/>
          </w:tcPr>
          <w:p w14:paraId="1B2C0EEE" w14:textId="77777777" w:rsidR="00517943" w:rsidRPr="00043DFE" w:rsidRDefault="00517943" w:rsidP="008B107E">
            <w:pPr>
              <w:pStyle w:val="TAC"/>
            </w:pPr>
            <w:r w:rsidRPr="00043DFE">
              <w:rPr>
                <w:rFonts w:cs="Arial"/>
                <w:szCs w:val="18"/>
              </w:rPr>
              <w:t>117.76</w:t>
            </w:r>
            <w:r w:rsidRPr="00043DFE">
              <w:rPr>
                <w:rFonts w:cs="Arial"/>
                <w:szCs w:val="18"/>
                <w:lang w:val="sv-SE"/>
              </w:rPr>
              <w:t xml:space="preserve"> x N1</w:t>
            </w:r>
            <w:r w:rsidRPr="00043DFE">
              <w:rPr>
                <w:rFonts w:cs="Arial"/>
                <w:szCs w:val="18"/>
              </w:rPr>
              <w:t xml:space="preserve"> x K1 (23</w:t>
            </w:r>
            <w:r w:rsidRPr="00043DFE">
              <w:rPr>
                <w:rFonts w:cs="Arial"/>
                <w:szCs w:val="18"/>
                <w:lang w:val="sv-SE"/>
              </w:rPr>
              <w:t xml:space="preserve"> x N1</w:t>
            </w:r>
            <w:r w:rsidRPr="00043DFE">
              <w:rPr>
                <w:rFonts w:cs="Arial"/>
                <w:szCs w:val="18"/>
              </w:rPr>
              <w:t xml:space="preserve"> x K1)</w:t>
            </w:r>
          </w:p>
        </w:tc>
        <w:tc>
          <w:tcPr>
            <w:tcW w:w="2619" w:type="dxa"/>
            <w:tcBorders>
              <w:top w:val="single" w:sz="4" w:space="0" w:color="auto"/>
              <w:left w:val="single" w:sz="4" w:space="0" w:color="auto"/>
              <w:bottom w:val="single" w:sz="4" w:space="0" w:color="auto"/>
              <w:right w:val="single" w:sz="4" w:space="0" w:color="auto"/>
            </w:tcBorders>
            <w:hideMark/>
          </w:tcPr>
          <w:p w14:paraId="04458254" w14:textId="77777777" w:rsidR="00517943" w:rsidRPr="00043DFE" w:rsidRDefault="00517943" w:rsidP="008B107E">
            <w:pPr>
              <w:pStyle w:val="TAC"/>
            </w:pPr>
            <w:r w:rsidRPr="00043DFE">
              <w:rPr>
                <w:rFonts w:cs="Arial"/>
                <w:szCs w:val="18"/>
              </w:rPr>
              <w:t>5.12</w:t>
            </w:r>
            <w:r w:rsidRPr="00043DFE">
              <w:rPr>
                <w:rFonts w:cs="Arial"/>
                <w:szCs w:val="18"/>
                <w:lang w:val="sv-SE"/>
              </w:rPr>
              <w:t xml:space="preserve"> x N1</w:t>
            </w:r>
            <w:r w:rsidRPr="00043DFE">
              <w:rPr>
                <w:rFonts w:cs="Arial"/>
                <w:szCs w:val="18"/>
              </w:rPr>
              <w:t xml:space="preserve"> x K1 (1</w:t>
            </w:r>
            <w:r w:rsidRPr="00043DFE">
              <w:rPr>
                <w:rFonts w:cs="Arial"/>
                <w:szCs w:val="18"/>
                <w:lang w:val="sv-SE"/>
              </w:rPr>
              <w:t xml:space="preserve"> x N1</w:t>
            </w:r>
            <w:r w:rsidRPr="00043DFE">
              <w:rPr>
                <w:rFonts w:cs="Arial"/>
                <w:szCs w:val="18"/>
              </w:rPr>
              <w:t xml:space="preserve"> x K1)</w:t>
            </w:r>
          </w:p>
        </w:tc>
        <w:tc>
          <w:tcPr>
            <w:tcW w:w="0" w:type="auto"/>
            <w:tcBorders>
              <w:top w:val="single" w:sz="4" w:space="0" w:color="auto"/>
              <w:left w:val="single" w:sz="4" w:space="0" w:color="auto"/>
              <w:bottom w:val="single" w:sz="4" w:space="0" w:color="auto"/>
              <w:right w:val="single" w:sz="4" w:space="0" w:color="auto"/>
            </w:tcBorders>
            <w:hideMark/>
          </w:tcPr>
          <w:p w14:paraId="79A57707" w14:textId="77777777" w:rsidR="00517943" w:rsidRPr="00043DFE" w:rsidRDefault="00517943" w:rsidP="008B107E">
            <w:pPr>
              <w:pStyle w:val="TAC"/>
            </w:pPr>
            <w:r w:rsidRPr="00043DFE">
              <w:rPr>
                <w:rFonts w:cs="Arial"/>
                <w:szCs w:val="18"/>
              </w:rPr>
              <w:t>10.24</w:t>
            </w:r>
            <w:r w:rsidRPr="00043DFE">
              <w:rPr>
                <w:rFonts w:cs="Arial"/>
                <w:szCs w:val="18"/>
                <w:lang w:val="sv-SE"/>
              </w:rPr>
              <w:t xml:space="preserve"> x N1</w:t>
            </w:r>
            <w:r w:rsidRPr="00043DFE">
              <w:rPr>
                <w:rFonts w:cs="Arial"/>
                <w:szCs w:val="18"/>
              </w:rPr>
              <w:t xml:space="preserve"> x K1 (2</w:t>
            </w:r>
            <w:r w:rsidRPr="00043DFE">
              <w:rPr>
                <w:rFonts w:cs="Arial"/>
                <w:szCs w:val="18"/>
                <w:lang w:val="sv-SE"/>
              </w:rPr>
              <w:t xml:space="preserve"> x N1</w:t>
            </w:r>
            <w:r w:rsidRPr="00043DFE">
              <w:rPr>
                <w:rFonts w:cs="Arial"/>
                <w:szCs w:val="18"/>
              </w:rPr>
              <w:t xml:space="preserve"> x K1)</w:t>
            </w:r>
          </w:p>
        </w:tc>
      </w:tr>
      <w:tr w:rsidR="00517943" w:rsidRPr="00043DFE" w14:paraId="5CCF2891"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628264A" w14:textId="77777777" w:rsidR="00517943" w:rsidRPr="00043DFE" w:rsidRDefault="00517943" w:rsidP="008B107E">
            <w:pPr>
              <w:pStyle w:val="TAC"/>
            </w:pPr>
            <w:r w:rsidRPr="00043DFE">
              <w:rPr>
                <w:rFonts w:cs="Arial"/>
                <w:szCs w:val="18"/>
              </w:rPr>
              <w:t>10.24</w:t>
            </w:r>
          </w:p>
        </w:tc>
        <w:tc>
          <w:tcPr>
            <w:tcW w:w="2798" w:type="dxa"/>
            <w:tcBorders>
              <w:top w:val="single" w:sz="4" w:space="0" w:color="auto"/>
              <w:left w:val="single" w:sz="4" w:space="0" w:color="auto"/>
              <w:bottom w:val="single" w:sz="4" w:space="0" w:color="auto"/>
              <w:right w:val="single" w:sz="4" w:space="0" w:color="auto"/>
            </w:tcBorders>
            <w:hideMark/>
          </w:tcPr>
          <w:p w14:paraId="7D51EC5A" w14:textId="77777777" w:rsidR="00517943" w:rsidRPr="00043DFE" w:rsidRDefault="00517943" w:rsidP="008B107E">
            <w:pPr>
              <w:pStyle w:val="TAC"/>
            </w:pPr>
            <w:r w:rsidRPr="00043DFE">
              <w:rPr>
                <w:rFonts w:cs="Arial"/>
                <w:szCs w:val="18"/>
              </w:rPr>
              <w:t>235.52</w:t>
            </w:r>
            <w:r w:rsidRPr="00043DFE">
              <w:rPr>
                <w:rFonts w:cs="Arial"/>
                <w:szCs w:val="18"/>
                <w:lang w:val="sv-SE"/>
              </w:rPr>
              <w:t xml:space="preserve"> x N1</w:t>
            </w:r>
            <w:r w:rsidRPr="00043DFE">
              <w:rPr>
                <w:rFonts w:cs="Arial"/>
                <w:szCs w:val="18"/>
              </w:rPr>
              <w:t xml:space="preserve"> x K1 (23</w:t>
            </w:r>
            <w:r w:rsidRPr="00043DFE">
              <w:rPr>
                <w:rFonts w:cs="Arial"/>
                <w:szCs w:val="18"/>
                <w:lang w:val="sv-SE"/>
              </w:rPr>
              <w:t xml:space="preserve"> x N1</w:t>
            </w:r>
            <w:r w:rsidRPr="00043DFE">
              <w:rPr>
                <w:rFonts w:cs="Arial"/>
                <w:szCs w:val="18"/>
              </w:rPr>
              <w:t xml:space="preserve"> x K1)</w:t>
            </w:r>
          </w:p>
        </w:tc>
        <w:tc>
          <w:tcPr>
            <w:tcW w:w="2619" w:type="dxa"/>
            <w:tcBorders>
              <w:top w:val="single" w:sz="4" w:space="0" w:color="auto"/>
              <w:left w:val="single" w:sz="4" w:space="0" w:color="auto"/>
              <w:bottom w:val="single" w:sz="4" w:space="0" w:color="auto"/>
              <w:right w:val="single" w:sz="4" w:space="0" w:color="auto"/>
            </w:tcBorders>
            <w:hideMark/>
          </w:tcPr>
          <w:p w14:paraId="4AE5221E" w14:textId="77777777" w:rsidR="00517943" w:rsidRPr="00043DFE" w:rsidRDefault="00517943" w:rsidP="008B107E">
            <w:pPr>
              <w:pStyle w:val="TAC"/>
            </w:pPr>
            <w:r w:rsidRPr="00043DFE">
              <w:rPr>
                <w:rFonts w:cs="Arial"/>
                <w:szCs w:val="18"/>
              </w:rPr>
              <w:t>10.24</w:t>
            </w:r>
            <w:r w:rsidRPr="00043DFE">
              <w:rPr>
                <w:rFonts w:cs="Arial"/>
                <w:szCs w:val="18"/>
                <w:lang w:val="sv-SE"/>
              </w:rPr>
              <w:t xml:space="preserve"> x N1</w:t>
            </w:r>
            <w:r w:rsidRPr="00043DFE">
              <w:rPr>
                <w:rFonts w:cs="Arial"/>
                <w:szCs w:val="18"/>
              </w:rPr>
              <w:t xml:space="preserve"> x K1 (1</w:t>
            </w:r>
            <w:r w:rsidRPr="00043DFE">
              <w:rPr>
                <w:rFonts w:cs="Arial"/>
                <w:szCs w:val="18"/>
                <w:lang w:val="sv-SE"/>
              </w:rPr>
              <w:t xml:space="preserve"> x N1</w:t>
            </w:r>
            <w:r w:rsidRPr="00043DFE">
              <w:rPr>
                <w:rFonts w:cs="Arial"/>
                <w:szCs w:val="18"/>
              </w:rPr>
              <w:t xml:space="preserve"> x K1)</w:t>
            </w:r>
          </w:p>
        </w:tc>
        <w:tc>
          <w:tcPr>
            <w:tcW w:w="0" w:type="auto"/>
            <w:tcBorders>
              <w:top w:val="single" w:sz="4" w:space="0" w:color="auto"/>
              <w:left w:val="single" w:sz="4" w:space="0" w:color="auto"/>
              <w:bottom w:val="single" w:sz="4" w:space="0" w:color="auto"/>
              <w:right w:val="single" w:sz="4" w:space="0" w:color="auto"/>
            </w:tcBorders>
            <w:hideMark/>
          </w:tcPr>
          <w:p w14:paraId="535AC89E" w14:textId="77777777" w:rsidR="00517943" w:rsidRPr="00043DFE" w:rsidRDefault="00517943" w:rsidP="008B107E">
            <w:pPr>
              <w:pStyle w:val="TAC"/>
            </w:pPr>
            <w:r w:rsidRPr="00043DFE">
              <w:rPr>
                <w:rFonts w:cs="Arial"/>
                <w:szCs w:val="18"/>
              </w:rPr>
              <w:t>20.48</w:t>
            </w:r>
            <w:r w:rsidRPr="00043DFE">
              <w:rPr>
                <w:rFonts w:cs="Arial"/>
                <w:szCs w:val="18"/>
                <w:lang w:val="sv-SE"/>
              </w:rPr>
              <w:t xml:space="preserve"> x N1</w:t>
            </w:r>
            <w:r w:rsidRPr="00043DFE">
              <w:rPr>
                <w:rFonts w:cs="Arial"/>
                <w:szCs w:val="18"/>
              </w:rPr>
              <w:t xml:space="preserve"> x K1 (2</w:t>
            </w:r>
            <w:r w:rsidRPr="00043DFE">
              <w:rPr>
                <w:rFonts w:cs="Arial"/>
                <w:szCs w:val="18"/>
                <w:lang w:val="sv-SE"/>
              </w:rPr>
              <w:t xml:space="preserve"> x N1</w:t>
            </w:r>
            <w:r w:rsidRPr="00043DFE">
              <w:rPr>
                <w:rFonts w:cs="Arial"/>
                <w:szCs w:val="18"/>
              </w:rPr>
              <w:t xml:space="preserve"> x K1)</w:t>
            </w:r>
          </w:p>
        </w:tc>
      </w:tr>
      <w:tr w:rsidR="00517943" w:rsidRPr="00043DFE" w14:paraId="31B08AA9" w14:textId="77777777" w:rsidTr="008B107E">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12543458" w14:textId="77777777" w:rsidR="00517943" w:rsidRPr="00043DFE" w:rsidRDefault="00517943" w:rsidP="008B107E">
            <w:pPr>
              <w:pStyle w:val="TAN"/>
              <w:rPr>
                <w:snapToGrid w:val="0"/>
              </w:rPr>
            </w:pPr>
            <w:r w:rsidRPr="00043DFE">
              <w:rPr>
                <w:snapToGrid w:val="0"/>
              </w:rPr>
              <w:t>Note 1</w:t>
            </w:r>
            <w:r w:rsidRPr="00043DFE">
              <w:t>:</w:t>
            </w:r>
            <w:r w:rsidRPr="00043DFE">
              <w:rPr>
                <w:lang w:val="en-US"/>
              </w:rPr>
              <w:tab/>
            </w:r>
            <w:r w:rsidRPr="00043DFE">
              <w:t xml:space="preserve">Applies for UE supporting FR2-1 power class </w:t>
            </w:r>
            <w:r w:rsidRPr="00043DFE">
              <w:rPr>
                <w:lang w:eastAsia="zh-CN"/>
              </w:rPr>
              <w:t>2&amp;3&amp;4</w:t>
            </w:r>
            <w:r w:rsidRPr="00043DFE">
              <w:t>. For UE supporting FR2-1 power class 1 or 5, N1 = 8 for all DRX cycle length.</w:t>
            </w:r>
          </w:p>
          <w:p w14:paraId="4368DC80" w14:textId="77777777" w:rsidR="00517943" w:rsidRPr="00043DFE" w:rsidRDefault="00517943" w:rsidP="008B107E">
            <w:pPr>
              <w:pStyle w:val="TAN"/>
              <w:rPr>
                <w:snapToGrid w:val="0"/>
              </w:rPr>
            </w:pPr>
            <w:r w:rsidRPr="00043DFE">
              <w:rPr>
                <w:snapToGrid w:val="0"/>
              </w:rPr>
              <w:t>Note 2</w:t>
            </w:r>
            <w:r w:rsidRPr="00043DFE">
              <w:t>:</w:t>
            </w:r>
            <w:r w:rsidRPr="00043DFE">
              <w:rPr>
                <w:lang w:val="en-US"/>
              </w:rPr>
              <w:tab/>
            </w:r>
            <w:r w:rsidRPr="00043DFE">
              <w:t>N1 = 3.</w:t>
            </w:r>
          </w:p>
          <w:p w14:paraId="28DFEDBF" w14:textId="77777777" w:rsidR="00517943" w:rsidRPr="00043DFE" w:rsidRDefault="00517943" w:rsidP="008B107E">
            <w:pPr>
              <w:pStyle w:val="TAN"/>
            </w:pPr>
            <w:r w:rsidRPr="00043DFE">
              <w:rPr>
                <w:rFonts w:cs="Arial"/>
                <w:snapToGrid w:val="0"/>
                <w:szCs w:val="18"/>
              </w:rPr>
              <w:t>Note 3:</w:t>
            </w:r>
            <w:r w:rsidRPr="00043DFE">
              <w:rPr>
                <w:rFonts w:cs="Arial"/>
                <w:snapToGrid w:val="0"/>
                <w:szCs w:val="18"/>
              </w:rPr>
              <w:tab/>
              <w:t xml:space="preserve">K1 = 3 is the measurement relaxation factor applicable for UE fulfilling the </w:t>
            </w:r>
            <w:r w:rsidRPr="00043DFE">
              <w:rPr>
                <w:i/>
                <w:iCs/>
              </w:rPr>
              <w:t>lowMobilityEvaluation</w:t>
            </w:r>
            <w:r w:rsidRPr="00043DFE">
              <w:rPr>
                <w:rFonts w:cs="Arial"/>
                <w:snapToGrid w:val="0"/>
                <w:szCs w:val="18"/>
              </w:rPr>
              <w:t xml:space="preserve"> [2] criterion.</w:t>
            </w:r>
          </w:p>
        </w:tc>
      </w:tr>
    </w:tbl>
    <w:p w14:paraId="5CC439CD" w14:textId="77777777" w:rsidR="00517943" w:rsidRPr="00043DFE" w:rsidRDefault="00517943" w:rsidP="00517943">
      <w:pPr>
        <w:rPr>
          <w:noProof/>
        </w:rPr>
      </w:pPr>
    </w:p>
    <w:p w14:paraId="6EEA6774" w14:textId="77777777" w:rsidR="00517943" w:rsidRPr="00043DFE" w:rsidRDefault="00517943" w:rsidP="00517943">
      <w:pPr>
        <w:pStyle w:val="TH"/>
        <w:rPr>
          <w:lang w:val="en-US"/>
        </w:rPr>
      </w:pPr>
      <w:r w:rsidRPr="00043DFE">
        <w:rPr>
          <w:lang w:val="en-US"/>
        </w:rPr>
        <w:t>Table 4.2.2.10.2-4: T</w:t>
      </w:r>
      <w:r w:rsidRPr="00043DFE">
        <w:rPr>
          <w:vertAlign w:val="subscript"/>
          <w:lang w:val="en-US"/>
        </w:rPr>
        <w:t>detect,NR_Inter_Relax</w:t>
      </w:r>
      <w:r w:rsidRPr="00043DFE">
        <w:rPr>
          <w:lang w:val="en-US"/>
        </w:rPr>
        <w:t>, T</w:t>
      </w:r>
      <w:r w:rsidRPr="00043DFE">
        <w:rPr>
          <w:vertAlign w:val="subscript"/>
          <w:lang w:val="en-US"/>
        </w:rPr>
        <w:t>measure,NR_Inter_Relax</w:t>
      </w:r>
      <w:r w:rsidRPr="00043DFE">
        <w:rPr>
          <w:lang w:val="en-US"/>
        </w:rPr>
        <w:t xml:space="preserve"> and T</w:t>
      </w:r>
      <w:r w:rsidRPr="00043DFE">
        <w:rPr>
          <w:vertAlign w:val="subscript"/>
          <w:lang w:val="en-US"/>
        </w:rPr>
        <w:t>evaluate,NR_Inter_Relax</w:t>
      </w:r>
      <w:r w:rsidRPr="00043DFE">
        <w:rPr>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756"/>
        <w:gridCol w:w="936"/>
        <w:gridCol w:w="2819"/>
        <w:gridCol w:w="1860"/>
        <w:gridCol w:w="1846"/>
      </w:tblGrid>
      <w:tr w:rsidR="00517943" w:rsidRPr="00043DFE" w14:paraId="4F6D624B" w14:textId="77777777" w:rsidTr="008B107E">
        <w:trPr>
          <w:trHeight w:val="1692"/>
        </w:trPr>
        <w:tc>
          <w:tcPr>
            <w:tcW w:w="1198" w:type="dxa"/>
            <w:hideMark/>
          </w:tcPr>
          <w:p w14:paraId="318FC241" w14:textId="77777777" w:rsidR="00517943" w:rsidRPr="00043DFE" w:rsidRDefault="00517943" w:rsidP="008B107E">
            <w:pPr>
              <w:pStyle w:val="TAH"/>
              <w:rPr>
                <w:lang w:val="en-US"/>
              </w:rPr>
            </w:pPr>
            <w:r w:rsidRPr="00043DFE">
              <w:t>eDRX_IDLE cycle length [s]</w:t>
            </w:r>
          </w:p>
        </w:tc>
        <w:tc>
          <w:tcPr>
            <w:tcW w:w="751" w:type="dxa"/>
            <w:hideMark/>
          </w:tcPr>
          <w:p w14:paraId="731C0DDA" w14:textId="77777777" w:rsidR="00517943" w:rsidRPr="00043DFE" w:rsidRDefault="00517943" w:rsidP="008B107E">
            <w:pPr>
              <w:pStyle w:val="TAH"/>
              <w:rPr>
                <w:lang w:val="en-US"/>
              </w:rPr>
            </w:pPr>
            <w:r w:rsidRPr="00043DFE">
              <w:t>DRX cycle length [s]</w:t>
            </w:r>
          </w:p>
        </w:tc>
        <w:tc>
          <w:tcPr>
            <w:tcW w:w="930" w:type="dxa"/>
            <w:hideMark/>
          </w:tcPr>
          <w:p w14:paraId="164C6706" w14:textId="77777777" w:rsidR="00517943" w:rsidRPr="00043DFE" w:rsidRDefault="00517943" w:rsidP="008B107E">
            <w:pPr>
              <w:pStyle w:val="TAH"/>
              <w:rPr>
                <w:lang w:val="en-US"/>
              </w:rPr>
            </w:pPr>
            <w:r w:rsidRPr="00043DFE">
              <w:t>PTW length [s] (number of 1.28s periods)</w:t>
            </w:r>
          </w:p>
        </w:tc>
        <w:tc>
          <w:tcPr>
            <w:tcW w:w="2431" w:type="dxa"/>
            <w:hideMark/>
          </w:tcPr>
          <w:p w14:paraId="0C190A5A" w14:textId="77777777" w:rsidR="00517943" w:rsidRPr="00043DFE" w:rsidRDefault="00517943" w:rsidP="008B107E">
            <w:pPr>
              <w:pStyle w:val="TAH"/>
              <w:rPr>
                <w:szCs w:val="18"/>
                <w:lang w:val="en-US"/>
              </w:rPr>
            </w:pPr>
            <w:r w:rsidRPr="00043DFE">
              <w:rPr>
                <w:szCs w:val="18"/>
                <w:lang w:val="en-US"/>
              </w:rPr>
              <w:t>T</w:t>
            </w:r>
            <w:r w:rsidRPr="00043DFE">
              <w:rPr>
                <w:szCs w:val="18"/>
                <w:vertAlign w:val="subscript"/>
                <w:lang w:val="en-US"/>
              </w:rPr>
              <w:t>detect,NR_Inter_Relax</w:t>
            </w:r>
            <w:r w:rsidRPr="00043DFE">
              <w:rPr>
                <w:szCs w:val="18"/>
              </w:rPr>
              <w:t xml:space="preserve"> [s] (number of DRX cycles or eDRX cycles </w:t>
            </w:r>
            <w:r w:rsidRPr="00043DFE">
              <w:rPr>
                <w:szCs w:val="18"/>
                <w:vertAlign w:val="superscript"/>
              </w:rPr>
              <w:t>Note 3</w:t>
            </w:r>
            <w:r w:rsidRPr="00043DFE">
              <w:rPr>
                <w:szCs w:val="18"/>
              </w:rPr>
              <w:t>)</w:t>
            </w:r>
          </w:p>
        </w:tc>
        <w:tc>
          <w:tcPr>
            <w:tcW w:w="1860" w:type="dxa"/>
            <w:hideMark/>
          </w:tcPr>
          <w:p w14:paraId="37AEE8E0" w14:textId="77777777" w:rsidR="00517943" w:rsidRPr="00043DFE" w:rsidRDefault="00517943" w:rsidP="008B107E">
            <w:pPr>
              <w:pStyle w:val="TAH"/>
              <w:rPr>
                <w:szCs w:val="18"/>
                <w:lang w:val="en-US"/>
              </w:rPr>
            </w:pPr>
            <w:r w:rsidRPr="00043DFE">
              <w:rPr>
                <w:szCs w:val="18"/>
                <w:lang w:val="en-US"/>
              </w:rPr>
              <w:t>T</w:t>
            </w:r>
            <w:r w:rsidRPr="00043DFE">
              <w:rPr>
                <w:szCs w:val="18"/>
                <w:vertAlign w:val="subscript"/>
                <w:lang w:val="en-US"/>
              </w:rPr>
              <w:t>measure,NR_Inter_Relax</w:t>
            </w:r>
            <w:r w:rsidRPr="00043DFE">
              <w:rPr>
                <w:szCs w:val="18"/>
                <w:lang w:val="en-US"/>
              </w:rPr>
              <w:t xml:space="preserve"> </w:t>
            </w:r>
            <w:r w:rsidRPr="00043DFE">
              <w:rPr>
                <w:szCs w:val="18"/>
              </w:rPr>
              <w:t xml:space="preserve">[s] (number of DRX cycles or eDRX cycles </w:t>
            </w:r>
            <w:r w:rsidRPr="00043DFE">
              <w:rPr>
                <w:szCs w:val="18"/>
                <w:vertAlign w:val="superscript"/>
              </w:rPr>
              <w:t>Note 3</w:t>
            </w:r>
            <w:r w:rsidRPr="00043DFE">
              <w:rPr>
                <w:szCs w:val="18"/>
              </w:rPr>
              <w:t>)</w:t>
            </w:r>
          </w:p>
        </w:tc>
        <w:tc>
          <w:tcPr>
            <w:tcW w:w="1846" w:type="dxa"/>
          </w:tcPr>
          <w:p w14:paraId="4C28AC78" w14:textId="77777777" w:rsidR="00517943" w:rsidRPr="00043DFE" w:rsidRDefault="00517943" w:rsidP="008B107E">
            <w:pPr>
              <w:pStyle w:val="TAH"/>
              <w:rPr>
                <w:szCs w:val="18"/>
                <w:lang w:val="en-US"/>
              </w:rPr>
            </w:pPr>
            <w:r w:rsidRPr="00043DFE">
              <w:rPr>
                <w:szCs w:val="18"/>
                <w:lang w:val="en-US"/>
              </w:rPr>
              <w:t>T</w:t>
            </w:r>
            <w:r w:rsidRPr="00043DFE">
              <w:rPr>
                <w:szCs w:val="18"/>
                <w:vertAlign w:val="subscript"/>
                <w:lang w:val="en-US"/>
              </w:rPr>
              <w:t xml:space="preserve">evaluate,NR_Inter_Relax </w:t>
            </w:r>
            <w:r w:rsidRPr="00043DFE">
              <w:rPr>
                <w:szCs w:val="18"/>
              </w:rPr>
              <w:t xml:space="preserve">[s] (number of DRX cycles or eDRX cycles </w:t>
            </w:r>
            <w:r w:rsidRPr="00043DFE">
              <w:rPr>
                <w:szCs w:val="18"/>
                <w:vertAlign w:val="superscript"/>
              </w:rPr>
              <w:t>Note 3</w:t>
            </w:r>
            <w:r w:rsidRPr="00043DFE">
              <w:rPr>
                <w:szCs w:val="18"/>
              </w:rPr>
              <w:t>)</w:t>
            </w:r>
          </w:p>
        </w:tc>
      </w:tr>
      <w:tr w:rsidR="00517943" w:rsidRPr="00043DFE" w14:paraId="48BD9BBE" w14:textId="77777777" w:rsidTr="008B107E">
        <w:trPr>
          <w:trHeight w:val="673"/>
        </w:trPr>
        <w:tc>
          <w:tcPr>
            <w:tcW w:w="1198" w:type="dxa"/>
            <w:tcBorders>
              <w:bottom w:val="nil"/>
            </w:tcBorders>
            <w:hideMark/>
          </w:tcPr>
          <w:p w14:paraId="3260A3E6" w14:textId="77777777" w:rsidR="00517943" w:rsidRPr="00043DFE" w:rsidRDefault="00517943" w:rsidP="008B107E">
            <w:pPr>
              <w:pStyle w:val="TAC"/>
              <w:rPr>
                <w:lang w:val="en-US"/>
              </w:rPr>
            </w:pPr>
            <w:r w:rsidRPr="00043DFE">
              <w:t>20.48 ≤  eDRX_IDLE cycle length ≤[163.84]</w:t>
            </w:r>
          </w:p>
        </w:tc>
        <w:tc>
          <w:tcPr>
            <w:tcW w:w="751" w:type="dxa"/>
            <w:hideMark/>
          </w:tcPr>
          <w:p w14:paraId="407C816D" w14:textId="77777777" w:rsidR="00517943" w:rsidRPr="00043DFE" w:rsidRDefault="00517943" w:rsidP="008B107E">
            <w:pPr>
              <w:pStyle w:val="TAC"/>
              <w:rPr>
                <w:lang w:val="en-US"/>
              </w:rPr>
            </w:pPr>
            <w:r w:rsidRPr="00043DFE">
              <w:t>0.32</w:t>
            </w:r>
          </w:p>
        </w:tc>
        <w:tc>
          <w:tcPr>
            <w:tcW w:w="930" w:type="dxa"/>
            <w:hideMark/>
          </w:tcPr>
          <w:p w14:paraId="037E0865" w14:textId="77777777" w:rsidR="00517943" w:rsidRPr="00043DFE" w:rsidRDefault="00517943" w:rsidP="008B107E">
            <w:pPr>
              <w:pStyle w:val="TAC"/>
              <w:rPr>
                <w:lang w:val="en-US"/>
              </w:rPr>
            </w:pPr>
            <w:r w:rsidRPr="00043DFE">
              <w:t>≥</w:t>
            </w:r>
            <w:r w:rsidRPr="00043DFE">
              <w:rPr>
                <w:lang w:val="en-US"/>
              </w:rPr>
              <w:t>[</w:t>
            </w:r>
            <w:r w:rsidRPr="00043DFE">
              <w:t>3.84] ([3])</w:t>
            </w:r>
          </w:p>
        </w:tc>
        <w:tc>
          <w:tcPr>
            <w:tcW w:w="2431" w:type="dxa"/>
            <w:tcBorders>
              <w:bottom w:val="nil"/>
            </w:tcBorders>
            <w:hideMark/>
          </w:tcPr>
          <w:p w14:paraId="1514BD59" w14:textId="77777777" w:rsidR="00517943" w:rsidRPr="00043DFE" w:rsidRDefault="00517943" w:rsidP="008B107E">
            <w:pPr>
              <w:pStyle w:val="TAC"/>
              <w:rPr>
                <w:lang w:val="en-US"/>
              </w:rPr>
            </w:pPr>
            <m:oMathPara>
              <m:oMathParaPr>
                <m:jc m:val="centerGroup"/>
              </m:oMathParaPr>
              <m:oMath>
                <m:r>
                  <w:rPr>
                    <w:rFonts w:ascii="Cambria Math" w:hAnsi="Cambria Math"/>
                    <w:lang w:val="en-US"/>
                  </w:rPr>
                  <m:t>eDRX</m:t>
                </m:r>
                <m:r>
                  <m:rPr>
                    <m:sty m:val="p"/>
                  </m:rPr>
                  <w:rPr>
                    <w:rFonts w:ascii="Cambria Math" w:hAnsi="Cambria Math"/>
                    <w:lang w:val="en-US"/>
                  </w:rPr>
                  <m:t>_</m:t>
                </m:r>
                <m:r>
                  <w:rPr>
                    <w:rFonts w:ascii="Cambria Math" w:hAnsi="Cambria Math"/>
                    <w:lang w:val="en-US"/>
                  </w:rPr>
                  <m:t>cycl</m:t>
                </m:r>
                <m:r>
                  <m:rPr>
                    <m:sty m:val="p"/>
                  </m:rPr>
                  <w:rPr>
                    <w:rFonts w:ascii="Cambria Math" w:hAnsi="Cambria Math"/>
                    <w:lang w:val="en-US"/>
                  </w:rPr>
                  <m:t>e_</m:t>
                </m:r>
                <m:r>
                  <w:rPr>
                    <w:rFonts w:ascii="Cambria Math" w:hAnsi="Cambria Math"/>
                    <w:lang w:val="en-US"/>
                  </w:rPr>
                  <m:t>length×</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23</m:t>
                        </m:r>
                      </m:num>
                      <m:den>
                        <m:r>
                          <w:rPr>
                            <w:rFonts w:ascii="Cambria Math" w:hAnsi="Cambria Math"/>
                            <w:lang w:val="en-US"/>
                          </w:rPr>
                          <m:t>PTW/DRX_cycle_length</m:t>
                        </m:r>
                      </m:den>
                    </m:f>
                  </m:e>
                </m:d>
                <m:r>
                  <m:rPr>
                    <m:sty m:val="p"/>
                  </m:rPr>
                  <w:rPr>
                    <w:rFonts w:ascii="Cambria Math" w:hAnsi="Cambria Math"/>
                    <w:lang w:val="sv-SE"/>
                  </w:rPr>
                  <m:t>x K1</m:t>
                </m:r>
              </m:oMath>
            </m:oMathPara>
          </w:p>
          <w:p w14:paraId="57B0AAB7" w14:textId="77777777" w:rsidR="00517943" w:rsidRPr="00043DFE" w:rsidRDefault="00517943" w:rsidP="008B107E">
            <w:pPr>
              <w:pStyle w:val="TAC"/>
              <w:rPr>
                <w:lang w:val="en-US"/>
              </w:rPr>
            </w:pPr>
            <w:r w:rsidRPr="00043DFE">
              <w:rPr>
                <w:lang w:val="en-US"/>
              </w:rPr>
              <w:t>(23</w:t>
            </w:r>
            <w:r w:rsidRPr="00043DFE">
              <w:rPr>
                <w:lang w:val="sv-SE"/>
              </w:rPr>
              <w:t xml:space="preserve"> x K1</w:t>
            </w:r>
            <w:r w:rsidRPr="00043DFE">
              <w:rPr>
                <w:lang w:val="en-US"/>
              </w:rPr>
              <w:t>)</w:t>
            </w:r>
          </w:p>
        </w:tc>
        <w:tc>
          <w:tcPr>
            <w:tcW w:w="1860" w:type="dxa"/>
            <w:hideMark/>
          </w:tcPr>
          <w:p w14:paraId="2F920ED7" w14:textId="77777777" w:rsidR="00517943" w:rsidRPr="00043DFE" w:rsidRDefault="00517943" w:rsidP="008B107E">
            <w:pPr>
              <w:pStyle w:val="TAC"/>
            </w:pPr>
            <w:r w:rsidRPr="00043DFE">
              <w:t>0.32 x 1.5 x K1 (1 x M2 x K1)</w:t>
            </w:r>
          </w:p>
        </w:tc>
        <w:tc>
          <w:tcPr>
            <w:tcW w:w="1846" w:type="dxa"/>
          </w:tcPr>
          <w:p w14:paraId="11501836" w14:textId="77777777" w:rsidR="00517943" w:rsidRPr="00043DFE" w:rsidRDefault="00517943" w:rsidP="008B107E">
            <w:pPr>
              <w:pStyle w:val="TAC"/>
            </w:pPr>
            <w:r w:rsidRPr="00043DFE">
              <w:t>0.64 x 1.5 x K1 (2 x M2 x K1)</w:t>
            </w:r>
          </w:p>
        </w:tc>
      </w:tr>
      <w:tr w:rsidR="00517943" w:rsidRPr="00043DFE" w14:paraId="281871F3" w14:textId="77777777" w:rsidTr="008B107E">
        <w:trPr>
          <w:trHeight w:val="336"/>
        </w:trPr>
        <w:tc>
          <w:tcPr>
            <w:tcW w:w="1198" w:type="dxa"/>
            <w:tcBorders>
              <w:top w:val="nil"/>
              <w:bottom w:val="nil"/>
            </w:tcBorders>
            <w:hideMark/>
          </w:tcPr>
          <w:p w14:paraId="2D0CB6D8" w14:textId="77777777" w:rsidR="00517943" w:rsidRPr="00043DFE" w:rsidRDefault="00517943" w:rsidP="008B107E">
            <w:pPr>
              <w:pStyle w:val="TAC"/>
              <w:rPr>
                <w:lang w:val="en-US"/>
              </w:rPr>
            </w:pPr>
          </w:p>
        </w:tc>
        <w:tc>
          <w:tcPr>
            <w:tcW w:w="751" w:type="dxa"/>
            <w:hideMark/>
          </w:tcPr>
          <w:p w14:paraId="5BCF48BF" w14:textId="77777777" w:rsidR="00517943" w:rsidRPr="00043DFE" w:rsidRDefault="00517943" w:rsidP="008B107E">
            <w:pPr>
              <w:pStyle w:val="TAC"/>
              <w:rPr>
                <w:lang w:val="en-US"/>
              </w:rPr>
            </w:pPr>
            <w:r w:rsidRPr="00043DFE">
              <w:t>0.64</w:t>
            </w:r>
          </w:p>
        </w:tc>
        <w:tc>
          <w:tcPr>
            <w:tcW w:w="930" w:type="dxa"/>
            <w:hideMark/>
          </w:tcPr>
          <w:p w14:paraId="3A269DC8" w14:textId="77777777" w:rsidR="00517943" w:rsidRPr="00043DFE" w:rsidRDefault="00517943" w:rsidP="008B107E">
            <w:pPr>
              <w:pStyle w:val="TAC"/>
              <w:rPr>
                <w:lang w:val="en-US"/>
              </w:rPr>
            </w:pPr>
            <w:r w:rsidRPr="00043DFE">
              <w:t>≥</w:t>
            </w:r>
            <w:r w:rsidRPr="00043DFE">
              <w:rPr>
                <w:lang w:val="en-US"/>
              </w:rPr>
              <w:t>[</w:t>
            </w:r>
            <w:r w:rsidRPr="00043DFE">
              <w:t>3.84] ([3])</w:t>
            </w:r>
          </w:p>
        </w:tc>
        <w:tc>
          <w:tcPr>
            <w:tcW w:w="2431" w:type="dxa"/>
            <w:tcBorders>
              <w:top w:val="nil"/>
              <w:bottom w:val="nil"/>
            </w:tcBorders>
            <w:hideMark/>
          </w:tcPr>
          <w:p w14:paraId="767FC5B0" w14:textId="77777777" w:rsidR="00517943" w:rsidRPr="00043DFE" w:rsidRDefault="00517943" w:rsidP="008B107E">
            <w:pPr>
              <w:pStyle w:val="TAC"/>
              <w:rPr>
                <w:lang w:val="en-US"/>
              </w:rPr>
            </w:pPr>
          </w:p>
        </w:tc>
        <w:tc>
          <w:tcPr>
            <w:tcW w:w="1860" w:type="dxa"/>
            <w:hideMark/>
          </w:tcPr>
          <w:p w14:paraId="1ECFEE72" w14:textId="77777777" w:rsidR="00517943" w:rsidRPr="00043DFE" w:rsidRDefault="00517943" w:rsidP="008B107E">
            <w:pPr>
              <w:pStyle w:val="TAC"/>
            </w:pPr>
            <w:r w:rsidRPr="00043DFE">
              <w:t>0.64 x K1 (1 x K1)</w:t>
            </w:r>
          </w:p>
        </w:tc>
        <w:tc>
          <w:tcPr>
            <w:tcW w:w="1846" w:type="dxa"/>
          </w:tcPr>
          <w:p w14:paraId="29FB487B" w14:textId="77777777" w:rsidR="00517943" w:rsidRPr="00043DFE" w:rsidRDefault="00517943" w:rsidP="008B107E">
            <w:pPr>
              <w:pStyle w:val="TAC"/>
            </w:pPr>
            <w:r w:rsidRPr="00043DFE">
              <w:t>1.28 x K1 (2 x K1)</w:t>
            </w:r>
          </w:p>
        </w:tc>
      </w:tr>
      <w:tr w:rsidR="00517943" w:rsidRPr="00043DFE" w14:paraId="56616BB8" w14:textId="77777777" w:rsidTr="008B107E">
        <w:trPr>
          <w:trHeight w:val="336"/>
        </w:trPr>
        <w:tc>
          <w:tcPr>
            <w:tcW w:w="1198" w:type="dxa"/>
            <w:tcBorders>
              <w:top w:val="nil"/>
              <w:bottom w:val="nil"/>
            </w:tcBorders>
            <w:hideMark/>
          </w:tcPr>
          <w:p w14:paraId="4CD833E5" w14:textId="77777777" w:rsidR="00517943" w:rsidRPr="00043DFE" w:rsidRDefault="00517943" w:rsidP="008B107E">
            <w:pPr>
              <w:pStyle w:val="TAC"/>
              <w:rPr>
                <w:lang w:val="en-US"/>
              </w:rPr>
            </w:pPr>
          </w:p>
        </w:tc>
        <w:tc>
          <w:tcPr>
            <w:tcW w:w="751" w:type="dxa"/>
            <w:hideMark/>
          </w:tcPr>
          <w:p w14:paraId="1D4BB003" w14:textId="77777777" w:rsidR="00517943" w:rsidRPr="00043DFE" w:rsidRDefault="00517943" w:rsidP="008B107E">
            <w:pPr>
              <w:pStyle w:val="TAC"/>
              <w:rPr>
                <w:lang w:val="en-US"/>
              </w:rPr>
            </w:pPr>
            <w:r w:rsidRPr="00043DFE">
              <w:t>1.28</w:t>
            </w:r>
          </w:p>
        </w:tc>
        <w:tc>
          <w:tcPr>
            <w:tcW w:w="930" w:type="dxa"/>
            <w:hideMark/>
          </w:tcPr>
          <w:p w14:paraId="7BAC1211" w14:textId="77777777" w:rsidR="00517943" w:rsidRPr="00043DFE" w:rsidRDefault="00517943" w:rsidP="008B107E">
            <w:pPr>
              <w:pStyle w:val="TAC"/>
              <w:rPr>
                <w:lang w:val="en-US"/>
              </w:rPr>
            </w:pPr>
            <w:r w:rsidRPr="00043DFE">
              <w:t>≥[7.68] ([6])</w:t>
            </w:r>
          </w:p>
        </w:tc>
        <w:tc>
          <w:tcPr>
            <w:tcW w:w="2431" w:type="dxa"/>
            <w:tcBorders>
              <w:top w:val="nil"/>
              <w:bottom w:val="nil"/>
            </w:tcBorders>
            <w:hideMark/>
          </w:tcPr>
          <w:p w14:paraId="133E121C" w14:textId="77777777" w:rsidR="00517943" w:rsidRPr="00043DFE" w:rsidRDefault="00517943" w:rsidP="008B107E">
            <w:pPr>
              <w:pStyle w:val="TAC"/>
              <w:rPr>
                <w:lang w:val="en-US"/>
              </w:rPr>
            </w:pPr>
          </w:p>
        </w:tc>
        <w:tc>
          <w:tcPr>
            <w:tcW w:w="1860" w:type="dxa"/>
            <w:hideMark/>
          </w:tcPr>
          <w:p w14:paraId="4F49806E" w14:textId="77777777" w:rsidR="00517943" w:rsidRPr="00043DFE" w:rsidRDefault="00517943" w:rsidP="008B107E">
            <w:pPr>
              <w:pStyle w:val="TAC"/>
            </w:pPr>
            <w:r w:rsidRPr="00043DFE">
              <w:t>1.28 x K1 (1 x K1)</w:t>
            </w:r>
          </w:p>
        </w:tc>
        <w:tc>
          <w:tcPr>
            <w:tcW w:w="1846" w:type="dxa"/>
          </w:tcPr>
          <w:p w14:paraId="51D0E802" w14:textId="77777777" w:rsidR="00517943" w:rsidRPr="00043DFE" w:rsidRDefault="00517943" w:rsidP="008B107E">
            <w:pPr>
              <w:pStyle w:val="TAC"/>
            </w:pPr>
            <w:r w:rsidRPr="00043DFE">
              <w:t>2.56 x K1 (2 x K1)</w:t>
            </w:r>
          </w:p>
        </w:tc>
      </w:tr>
      <w:tr w:rsidR="00517943" w:rsidRPr="00043DFE" w14:paraId="64DA2A97" w14:textId="77777777" w:rsidTr="008B107E">
        <w:trPr>
          <w:trHeight w:val="336"/>
        </w:trPr>
        <w:tc>
          <w:tcPr>
            <w:tcW w:w="1198" w:type="dxa"/>
            <w:tcBorders>
              <w:top w:val="nil"/>
            </w:tcBorders>
            <w:hideMark/>
          </w:tcPr>
          <w:p w14:paraId="726E4742" w14:textId="77777777" w:rsidR="00517943" w:rsidRPr="00043DFE" w:rsidRDefault="00517943" w:rsidP="008B107E">
            <w:pPr>
              <w:pStyle w:val="TAC"/>
              <w:rPr>
                <w:lang w:val="en-US"/>
              </w:rPr>
            </w:pPr>
          </w:p>
        </w:tc>
        <w:tc>
          <w:tcPr>
            <w:tcW w:w="751" w:type="dxa"/>
            <w:hideMark/>
          </w:tcPr>
          <w:p w14:paraId="0BB0B1E1" w14:textId="77777777" w:rsidR="00517943" w:rsidRPr="00043DFE" w:rsidRDefault="00517943" w:rsidP="008B107E">
            <w:pPr>
              <w:pStyle w:val="TAC"/>
              <w:rPr>
                <w:lang w:val="en-US"/>
              </w:rPr>
            </w:pPr>
            <w:r w:rsidRPr="00043DFE">
              <w:t>2.56</w:t>
            </w:r>
          </w:p>
        </w:tc>
        <w:tc>
          <w:tcPr>
            <w:tcW w:w="930" w:type="dxa"/>
            <w:hideMark/>
          </w:tcPr>
          <w:p w14:paraId="14A4C4CE" w14:textId="77777777" w:rsidR="00517943" w:rsidRPr="00043DFE" w:rsidRDefault="00517943" w:rsidP="008B107E">
            <w:pPr>
              <w:pStyle w:val="TAC"/>
              <w:rPr>
                <w:lang w:val="en-US"/>
              </w:rPr>
            </w:pPr>
            <w:r w:rsidRPr="00043DFE">
              <w:t>≥[15.36] ([12])</w:t>
            </w:r>
          </w:p>
        </w:tc>
        <w:tc>
          <w:tcPr>
            <w:tcW w:w="2431" w:type="dxa"/>
            <w:tcBorders>
              <w:top w:val="nil"/>
            </w:tcBorders>
            <w:hideMark/>
          </w:tcPr>
          <w:p w14:paraId="101ED1EE" w14:textId="77777777" w:rsidR="00517943" w:rsidRPr="00043DFE" w:rsidRDefault="00517943" w:rsidP="008B107E">
            <w:pPr>
              <w:pStyle w:val="TAC"/>
              <w:rPr>
                <w:lang w:val="en-US"/>
              </w:rPr>
            </w:pPr>
          </w:p>
        </w:tc>
        <w:tc>
          <w:tcPr>
            <w:tcW w:w="1860" w:type="dxa"/>
            <w:hideMark/>
          </w:tcPr>
          <w:p w14:paraId="096848B1" w14:textId="77777777" w:rsidR="00517943" w:rsidRPr="00043DFE" w:rsidRDefault="00517943" w:rsidP="008B107E">
            <w:pPr>
              <w:pStyle w:val="TAC"/>
            </w:pPr>
            <w:r w:rsidRPr="00043DFE">
              <w:t>2.56 x K1 (1 x K1)</w:t>
            </w:r>
          </w:p>
        </w:tc>
        <w:tc>
          <w:tcPr>
            <w:tcW w:w="1846" w:type="dxa"/>
          </w:tcPr>
          <w:p w14:paraId="00B96EBE" w14:textId="77777777" w:rsidR="00517943" w:rsidRPr="00043DFE" w:rsidRDefault="00517943" w:rsidP="008B107E">
            <w:pPr>
              <w:pStyle w:val="TAC"/>
            </w:pPr>
            <w:r w:rsidRPr="00043DFE">
              <w:t>5.12 x K1 (2 x K1)</w:t>
            </w:r>
          </w:p>
        </w:tc>
      </w:tr>
      <w:tr w:rsidR="00517943" w:rsidRPr="00043DFE" w14:paraId="63640E6C" w14:textId="77777777" w:rsidTr="008B107E">
        <w:trPr>
          <w:trHeight w:val="336"/>
        </w:trPr>
        <w:tc>
          <w:tcPr>
            <w:tcW w:w="9016" w:type="dxa"/>
            <w:gridSpan w:val="6"/>
          </w:tcPr>
          <w:p w14:paraId="20A0CC35" w14:textId="77777777" w:rsidR="00517943" w:rsidRPr="00043DFE" w:rsidRDefault="00517943" w:rsidP="008B107E">
            <w:pPr>
              <w:pStyle w:val="TAN"/>
              <w:rPr>
                <w:snapToGrid w:val="0"/>
              </w:rPr>
            </w:pPr>
            <w:r w:rsidRPr="00043DFE">
              <w:rPr>
                <w:snapToGrid w:val="0"/>
              </w:rPr>
              <w:t>Note 1</w:t>
            </w:r>
            <w:r w:rsidRPr="00043DFE">
              <w:t>:</w:t>
            </w:r>
            <w:r w:rsidRPr="00043DFE">
              <w:rPr>
                <w:lang w:val="en-US"/>
              </w:rPr>
              <w:tab/>
            </w:r>
            <w:r w:rsidRPr="00043DFE">
              <w:rPr>
                <w:snapToGrid w:val="0"/>
              </w:rPr>
              <w:t>The number of DRX cycles in this table is given for the DRX cycles within PTWs.</w:t>
            </w:r>
          </w:p>
          <w:p w14:paraId="53C6DB07" w14:textId="77777777" w:rsidR="00517943" w:rsidRPr="00043DFE" w:rsidRDefault="00517943" w:rsidP="008B107E">
            <w:pPr>
              <w:pStyle w:val="TAN"/>
              <w:rPr>
                <w:snapToGrid w:val="0"/>
              </w:rPr>
            </w:pPr>
            <w:r w:rsidRPr="00043DFE">
              <w:rPr>
                <w:snapToGrid w:val="0"/>
              </w:rPr>
              <w:t>Note 2</w:t>
            </w:r>
            <w:r w:rsidRPr="00043DFE">
              <w:t>:</w:t>
            </w:r>
            <w:r w:rsidRPr="00043DFE">
              <w:rPr>
                <w:lang w:val="en-US"/>
              </w:rPr>
              <w:tab/>
            </w:r>
            <w:r w:rsidRPr="00043DFE">
              <w:rPr>
                <w:snapToGrid w:val="0"/>
              </w:rPr>
              <w:t>The eDRX_IDLE cycle lengths are as specified in Section 10.5.5.32 of TS 24.008 [34].</w:t>
            </w:r>
          </w:p>
          <w:p w14:paraId="0ECD8A37" w14:textId="77777777" w:rsidR="00517943" w:rsidRPr="00043DFE" w:rsidRDefault="00517943" w:rsidP="008B107E">
            <w:pPr>
              <w:pStyle w:val="TAN"/>
              <w:rPr>
                <w:rFonts w:cs="Arial"/>
                <w:iCs/>
              </w:rPr>
            </w:pPr>
            <w:r w:rsidRPr="00043DFE">
              <w:rPr>
                <w:snapToGrid w:val="0"/>
              </w:rPr>
              <w:t>Note</w:t>
            </w:r>
            <w:r w:rsidRPr="00043DFE">
              <w:rPr>
                <w:rFonts w:cs="Arial"/>
              </w:rPr>
              <w:t xml:space="preserve"> 3:</w:t>
            </w:r>
            <w:r w:rsidRPr="00043DFE">
              <w:rPr>
                <w:lang w:val="en-US"/>
              </w:rPr>
              <w:t xml:space="preserve"> </w:t>
            </w:r>
            <w:r w:rsidRPr="00043DFE">
              <w:rPr>
                <w:lang w:val="en-US"/>
              </w:rPr>
              <w:tab/>
            </w:r>
            <w:r w:rsidRPr="00043DFE">
              <w:rPr>
                <w:rFonts w:cs="Arial"/>
              </w:rPr>
              <w:t xml:space="preserve">The lower bound of </w:t>
            </w:r>
            <w:r w:rsidRPr="00043DFE">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sidRPr="00043DFE">
              <w:rPr>
                <w:rFonts w:cs="Arial"/>
                <w:iCs/>
              </w:rPr>
              <w:t>.</w:t>
            </w:r>
          </w:p>
          <w:p w14:paraId="7E3C1E51" w14:textId="77777777" w:rsidR="00517943" w:rsidRPr="00043DFE" w:rsidRDefault="00517943" w:rsidP="008B107E">
            <w:pPr>
              <w:pStyle w:val="TAN"/>
              <w:rPr>
                <w:snapToGrid w:val="0"/>
              </w:rPr>
            </w:pPr>
            <w:r w:rsidRPr="00043DFE">
              <w:rPr>
                <w:snapToGrid w:val="0"/>
              </w:rPr>
              <w:t>Note 4:</w:t>
            </w:r>
            <w:r w:rsidRPr="00043DFE">
              <w:rPr>
                <w:snapToGrid w:val="0"/>
              </w:rPr>
              <w:tab/>
              <w:t xml:space="preserve">K1 = 3 is the measurement relaxation factor applicable for UE fulfilling the </w:t>
            </w:r>
            <w:r w:rsidRPr="00043DFE">
              <w:rPr>
                <w:i/>
                <w:iCs/>
              </w:rPr>
              <w:t>lowMobilityEvaluation</w:t>
            </w:r>
            <w:r w:rsidRPr="00043DFE">
              <w:rPr>
                <w:snapToGrid w:val="0"/>
              </w:rPr>
              <w:t xml:space="preserve"> [2] criterion.</w:t>
            </w:r>
          </w:p>
        </w:tc>
      </w:tr>
    </w:tbl>
    <w:p w14:paraId="108A2EF6" w14:textId="77777777" w:rsidR="00517943" w:rsidRPr="00043DFE" w:rsidRDefault="00517943" w:rsidP="00517943"/>
    <w:p w14:paraId="20385229" w14:textId="77777777" w:rsidR="00517943" w:rsidRPr="00043DFE" w:rsidRDefault="00517943" w:rsidP="00517943">
      <w:pPr>
        <w:pStyle w:val="TH"/>
        <w:rPr>
          <w:lang w:val="en-US"/>
        </w:rPr>
      </w:pPr>
      <w:r w:rsidRPr="00043DFE">
        <w:rPr>
          <w:lang w:val="en-US"/>
        </w:rPr>
        <w:t>Table 4.2.2.10.2-5: T</w:t>
      </w:r>
      <w:r w:rsidRPr="00043DFE">
        <w:rPr>
          <w:vertAlign w:val="subscript"/>
          <w:lang w:val="en-US"/>
        </w:rPr>
        <w:t>detect,NR_Inter_Relax</w:t>
      </w:r>
      <w:r w:rsidRPr="00043DFE">
        <w:rPr>
          <w:lang w:val="en-US"/>
        </w:rPr>
        <w:t>, T</w:t>
      </w:r>
      <w:r w:rsidRPr="00043DFE">
        <w:rPr>
          <w:vertAlign w:val="subscript"/>
          <w:lang w:val="en-US"/>
        </w:rPr>
        <w:t>measure,NR_Inter_Relax</w:t>
      </w:r>
      <w:r w:rsidRPr="00043DFE">
        <w:rPr>
          <w:lang w:val="en-US"/>
        </w:rPr>
        <w:t xml:space="preserve"> and T</w:t>
      </w:r>
      <w:r w:rsidRPr="00043DFE">
        <w:rPr>
          <w:vertAlign w:val="subscript"/>
          <w:lang w:val="en-US"/>
        </w:rPr>
        <w:t>evaluate,NR_Inter_Relax</w:t>
      </w:r>
      <w:r w:rsidRPr="00043DFE">
        <w:rPr>
          <w:lang w:val="en-US"/>
        </w:rPr>
        <w:t xml:space="preserve"> for UE configured with eDRX_IDLE cycle (Frequency range FR2)</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757"/>
        <w:gridCol w:w="977"/>
        <w:gridCol w:w="882"/>
        <w:gridCol w:w="2408"/>
        <w:gridCol w:w="64"/>
        <w:gridCol w:w="1528"/>
        <w:gridCol w:w="1621"/>
      </w:tblGrid>
      <w:tr w:rsidR="00517943" w:rsidRPr="00043DFE" w14:paraId="588B9609" w14:textId="77777777" w:rsidTr="008B107E">
        <w:trPr>
          <w:trHeight w:val="1692"/>
        </w:trPr>
        <w:tc>
          <w:tcPr>
            <w:tcW w:w="639" w:type="pct"/>
            <w:hideMark/>
          </w:tcPr>
          <w:p w14:paraId="2BB4AA9D" w14:textId="77777777" w:rsidR="00517943" w:rsidRPr="00043DFE" w:rsidRDefault="00517943" w:rsidP="008B107E">
            <w:pPr>
              <w:pStyle w:val="TAH"/>
              <w:rPr>
                <w:lang w:val="en-US"/>
              </w:rPr>
            </w:pPr>
            <w:r w:rsidRPr="00043DFE">
              <w:t>eDRX_IDLE cycle length [s]</w:t>
            </w:r>
          </w:p>
        </w:tc>
        <w:tc>
          <w:tcPr>
            <w:tcW w:w="401" w:type="pct"/>
            <w:hideMark/>
          </w:tcPr>
          <w:p w14:paraId="4D0219F5" w14:textId="77777777" w:rsidR="00517943" w:rsidRPr="00043DFE" w:rsidRDefault="00517943" w:rsidP="008B107E">
            <w:pPr>
              <w:pStyle w:val="TAH"/>
              <w:rPr>
                <w:lang w:val="en-US"/>
              </w:rPr>
            </w:pPr>
            <w:r w:rsidRPr="00043DFE">
              <w:t>DRX cycle length [s]</w:t>
            </w:r>
          </w:p>
        </w:tc>
        <w:tc>
          <w:tcPr>
            <w:tcW w:w="517" w:type="pct"/>
            <w:hideMark/>
          </w:tcPr>
          <w:p w14:paraId="64AAAC6F" w14:textId="77777777" w:rsidR="00517943" w:rsidRPr="00043DFE" w:rsidRDefault="00517943" w:rsidP="008B107E">
            <w:pPr>
              <w:pStyle w:val="TAH"/>
              <w:rPr>
                <w:lang w:val="en-US"/>
              </w:rPr>
            </w:pPr>
            <w:r w:rsidRPr="00043DFE">
              <w:t>PTW length [s] (number of 1.28s periods)</w:t>
            </w:r>
          </w:p>
        </w:tc>
        <w:tc>
          <w:tcPr>
            <w:tcW w:w="467" w:type="pct"/>
          </w:tcPr>
          <w:p w14:paraId="02A615C4" w14:textId="77777777" w:rsidR="00517943" w:rsidRPr="00043DFE" w:rsidRDefault="00517943" w:rsidP="008B107E">
            <w:pPr>
              <w:pStyle w:val="TAH"/>
            </w:pPr>
            <w:r w:rsidRPr="00043DFE">
              <w:t>Scaling Factor (N1)</w:t>
            </w:r>
            <w:r w:rsidRPr="00043DFE">
              <w:rPr>
                <w:vertAlign w:val="superscript"/>
              </w:rPr>
              <w:t xml:space="preserve"> Note1</w:t>
            </w:r>
          </w:p>
        </w:tc>
        <w:tc>
          <w:tcPr>
            <w:tcW w:w="1275" w:type="pct"/>
            <w:hideMark/>
          </w:tcPr>
          <w:p w14:paraId="389DA1D9" w14:textId="77777777" w:rsidR="00517943" w:rsidRPr="00043DFE" w:rsidRDefault="00517943" w:rsidP="008B107E">
            <w:pPr>
              <w:pStyle w:val="TAH"/>
              <w:rPr>
                <w:lang w:val="en-US"/>
              </w:rPr>
            </w:pPr>
            <w:r w:rsidRPr="00043DFE">
              <w:rPr>
                <w:bCs/>
                <w:szCs w:val="18"/>
              </w:rPr>
              <w:t>T</w:t>
            </w:r>
            <w:r w:rsidRPr="00043DFE">
              <w:rPr>
                <w:bCs/>
                <w:szCs w:val="18"/>
                <w:vertAlign w:val="subscript"/>
              </w:rPr>
              <w:t>detect,NR_Inter</w:t>
            </w:r>
            <w:r w:rsidRPr="00043DFE">
              <w:rPr>
                <w:szCs w:val="18"/>
                <w:vertAlign w:val="subscript"/>
                <w:lang w:val="en-US"/>
              </w:rPr>
              <w:t>_Relax</w:t>
            </w:r>
            <w:r w:rsidRPr="00043DFE">
              <w:rPr>
                <w:szCs w:val="18"/>
              </w:rPr>
              <w:t xml:space="preserve"> [s] (number of DRX cycles</w:t>
            </w:r>
            <w:r w:rsidRPr="00043DFE">
              <w:rPr>
                <w:bCs/>
                <w:szCs w:val="18"/>
              </w:rPr>
              <w:t xml:space="preserve"> or eDRX cycles </w:t>
            </w:r>
            <w:r w:rsidRPr="00043DFE">
              <w:rPr>
                <w:bCs/>
                <w:szCs w:val="18"/>
                <w:vertAlign w:val="superscript"/>
              </w:rPr>
              <w:t>Note 3</w:t>
            </w:r>
            <w:r w:rsidRPr="00043DFE">
              <w:rPr>
                <w:szCs w:val="18"/>
              </w:rPr>
              <w:t>)</w:t>
            </w:r>
          </w:p>
        </w:tc>
        <w:tc>
          <w:tcPr>
            <w:tcW w:w="843" w:type="pct"/>
            <w:gridSpan w:val="2"/>
            <w:hideMark/>
          </w:tcPr>
          <w:p w14:paraId="1256CAAB" w14:textId="77777777" w:rsidR="00517943" w:rsidRPr="00043DFE" w:rsidRDefault="00517943" w:rsidP="008B107E">
            <w:pPr>
              <w:pStyle w:val="TAH"/>
              <w:rPr>
                <w:lang w:val="en-US"/>
              </w:rPr>
            </w:pPr>
            <w:r w:rsidRPr="00043DFE">
              <w:rPr>
                <w:bCs/>
                <w:szCs w:val="18"/>
              </w:rPr>
              <w:t>T</w:t>
            </w:r>
            <w:r w:rsidRPr="00043DFE">
              <w:rPr>
                <w:bCs/>
                <w:szCs w:val="18"/>
                <w:vertAlign w:val="subscript"/>
              </w:rPr>
              <w:t>measure,NR_Inter</w:t>
            </w:r>
            <w:r w:rsidRPr="00043DFE">
              <w:rPr>
                <w:szCs w:val="18"/>
                <w:vertAlign w:val="subscript"/>
                <w:lang w:val="en-US"/>
              </w:rPr>
              <w:t>_Relax</w:t>
            </w:r>
            <w:r w:rsidRPr="00043DFE">
              <w:rPr>
                <w:szCs w:val="18"/>
              </w:rPr>
              <w:t xml:space="preserve"> [s] (number of DRX cycles</w:t>
            </w:r>
            <w:r w:rsidRPr="00043DFE">
              <w:rPr>
                <w:bCs/>
                <w:szCs w:val="18"/>
              </w:rPr>
              <w:t xml:space="preserve"> or eDRX cycles </w:t>
            </w:r>
            <w:r w:rsidRPr="00043DFE">
              <w:rPr>
                <w:bCs/>
                <w:szCs w:val="18"/>
                <w:vertAlign w:val="superscript"/>
              </w:rPr>
              <w:t>Note 3</w:t>
            </w:r>
            <w:r w:rsidRPr="00043DFE">
              <w:rPr>
                <w:szCs w:val="18"/>
              </w:rPr>
              <w:t>)</w:t>
            </w:r>
          </w:p>
        </w:tc>
        <w:tc>
          <w:tcPr>
            <w:tcW w:w="858" w:type="pct"/>
            <w:hideMark/>
          </w:tcPr>
          <w:p w14:paraId="26A9BB85" w14:textId="77777777" w:rsidR="00517943" w:rsidRPr="00043DFE" w:rsidRDefault="00517943" w:rsidP="008B107E">
            <w:pPr>
              <w:pStyle w:val="TAH"/>
              <w:rPr>
                <w:lang w:val="en-US"/>
              </w:rPr>
            </w:pPr>
            <w:r w:rsidRPr="00043DFE">
              <w:rPr>
                <w:bCs/>
                <w:szCs w:val="18"/>
              </w:rPr>
              <w:t>T</w:t>
            </w:r>
            <w:r w:rsidRPr="00043DFE">
              <w:rPr>
                <w:bCs/>
                <w:szCs w:val="18"/>
                <w:vertAlign w:val="subscript"/>
              </w:rPr>
              <w:t>evaluate,NR_Inter</w:t>
            </w:r>
            <w:r w:rsidRPr="00043DFE">
              <w:rPr>
                <w:szCs w:val="18"/>
                <w:vertAlign w:val="subscript"/>
                <w:lang w:val="en-US"/>
              </w:rPr>
              <w:t xml:space="preserve">_Relax </w:t>
            </w:r>
            <w:r w:rsidRPr="00043DFE">
              <w:rPr>
                <w:szCs w:val="18"/>
              </w:rPr>
              <w:t>[s] (number of DRX cycles</w:t>
            </w:r>
            <w:r w:rsidRPr="00043DFE">
              <w:rPr>
                <w:bCs/>
                <w:szCs w:val="18"/>
              </w:rPr>
              <w:t xml:space="preserve"> or eDRX cycles </w:t>
            </w:r>
            <w:r w:rsidRPr="00043DFE">
              <w:rPr>
                <w:bCs/>
                <w:szCs w:val="18"/>
                <w:vertAlign w:val="superscript"/>
              </w:rPr>
              <w:t>Note 3</w:t>
            </w:r>
            <w:r w:rsidRPr="00043DFE">
              <w:rPr>
                <w:szCs w:val="18"/>
              </w:rPr>
              <w:t>)</w:t>
            </w:r>
          </w:p>
        </w:tc>
      </w:tr>
      <w:tr w:rsidR="00517943" w:rsidRPr="00043DFE" w14:paraId="1564393C" w14:textId="77777777" w:rsidTr="008B107E">
        <w:trPr>
          <w:trHeight w:val="673"/>
        </w:trPr>
        <w:tc>
          <w:tcPr>
            <w:tcW w:w="639" w:type="pct"/>
            <w:tcBorders>
              <w:bottom w:val="nil"/>
            </w:tcBorders>
            <w:hideMark/>
          </w:tcPr>
          <w:p w14:paraId="7E07C45D" w14:textId="77777777" w:rsidR="00517943" w:rsidRPr="00043DFE" w:rsidRDefault="00517943" w:rsidP="008B107E">
            <w:pPr>
              <w:pStyle w:val="TAC"/>
              <w:rPr>
                <w:lang w:val="en-US"/>
              </w:rPr>
            </w:pPr>
            <w:r w:rsidRPr="00043DFE">
              <w:t>20.48 ≤  eDRX_IDLE cycle length ≤[163.84]</w:t>
            </w:r>
          </w:p>
        </w:tc>
        <w:tc>
          <w:tcPr>
            <w:tcW w:w="401" w:type="pct"/>
            <w:hideMark/>
          </w:tcPr>
          <w:p w14:paraId="0B050F9C" w14:textId="77777777" w:rsidR="00517943" w:rsidRPr="00043DFE" w:rsidRDefault="00517943" w:rsidP="008B107E">
            <w:pPr>
              <w:pStyle w:val="TAC"/>
              <w:rPr>
                <w:lang w:val="en-US"/>
              </w:rPr>
            </w:pPr>
            <w:r w:rsidRPr="00043DFE">
              <w:t>0.32</w:t>
            </w:r>
          </w:p>
        </w:tc>
        <w:tc>
          <w:tcPr>
            <w:tcW w:w="517" w:type="pct"/>
            <w:hideMark/>
          </w:tcPr>
          <w:p w14:paraId="5C3495D5" w14:textId="77777777" w:rsidR="00517943" w:rsidRPr="00043DFE" w:rsidRDefault="00517943" w:rsidP="008B107E">
            <w:pPr>
              <w:pStyle w:val="TAC"/>
              <w:rPr>
                <w:lang w:val="en-US"/>
              </w:rPr>
            </w:pPr>
            <w:r w:rsidRPr="00043DFE">
              <w:t>≥15.36 (12)</w:t>
            </w:r>
          </w:p>
        </w:tc>
        <w:tc>
          <w:tcPr>
            <w:tcW w:w="467" w:type="pct"/>
          </w:tcPr>
          <w:p w14:paraId="6864F520" w14:textId="77777777" w:rsidR="00517943" w:rsidRPr="00043DFE" w:rsidRDefault="00517943" w:rsidP="008B107E">
            <w:pPr>
              <w:pStyle w:val="TAC"/>
              <w:rPr>
                <w:lang w:val="en-US"/>
              </w:rPr>
            </w:pPr>
            <w:r w:rsidRPr="00043DFE">
              <w:rPr>
                <w:lang w:val="en-US"/>
              </w:rPr>
              <w:t>8</w:t>
            </w:r>
          </w:p>
        </w:tc>
        <w:tc>
          <w:tcPr>
            <w:tcW w:w="1309" w:type="pct"/>
            <w:gridSpan w:val="2"/>
            <w:tcBorders>
              <w:bottom w:val="nil"/>
            </w:tcBorders>
            <w:hideMark/>
          </w:tcPr>
          <w:p w14:paraId="041CCA49" w14:textId="77777777" w:rsidR="00517943" w:rsidRPr="00043DFE" w:rsidRDefault="00517943" w:rsidP="008B107E">
            <w:pPr>
              <w:pStyle w:val="TAC"/>
              <w:rPr>
                <w:lang w:val="sv-SE"/>
              </w:rPr>
            </w:pPr>
            <w:r w:rsidRPr="00043DFE">
              <w:rPr>
                <w:lang w:val="sv-SE"/>
              </w:rPr>
              <w:t xml:space="preserve">K1 x </w:t>
            </w:r>
            <m:oMath>
              <m:r>
                <w:rPr>
                  <w:rFonts w:ascii="Cambria Math" w:hAnsi="Cambria Math"/>
                  <w:lang w:val="en-US"/>
                </w:rPr>
                <m:t>eDRX</m:t>
              </m:r>
              <m:r>
                <m:rPr>
                  <m:sty m:val="p"/>
                </m:rPr>
                <w:rPr>
                  <w:rFonts w:ascii="Cambria Math" w:hAnsi="Cambria Math"/>
                  <w:lang w:val="sv-SE"/>
                </w:rPr>
                <m:t>_</m:t>
              </m:r>
              <m:r>
                <w:rPr>
                  <w:rFonts w:ascii="Cambria Math" w:hAnsi="Cambria Math"/>
                  <w:lang w:val="en-US"/>
                </w:rPr>
                <m:t>cycl</m:t>
              </m:r>
              <m:r>
                <m:rPr>
                  <m:sty m:val="p"/>
                </m:rPr>
                <w:rPr>
                  <w:rFonts w:ascii="Cambria Math" w:hAnsi="Cambria Math"/>
                  <w:lang w:val="sv-SE"/>
                </w:rPr>
                <m:t>e_</m:t>
              </m:r>
              <m:r>
                <w:rPr>
                  <w:rFonts w:ascii="Cambria Math" w:hAnsi="Cambria Math"/>
                  <w:lang w:val="en-US"/>
                </w:rPr>
                <m:t>lengt</m:t>
              </m:r>
              <m:r>
                <w:rPr>
                  <w:rFonts w:ascii="Cambria Math" w:hAnsi="Cambria Math"/>
                  <w:lang w:val="sv-SE"/>
                </w:rPr>
                <m:t>h×</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sv-SE"/>
                        </w:rPr>
                        <m:t>23×</m:t>
                      </m:r>
                      <m:r>
                        <w:rPr>
                          <w:rFonts w:ascii="Cambria Math" w:hAnsi="Cambria Math"/>
                          <w:lang w:val="en-US"/>
                        </w:rPr>
                        <m:t>N</m:t>
                      </m:r>
                      <m:r>
                        <w:rPr>
                          <w:rFonts w:ascii="Cambria Math" w:hAnsi="Cambria Math"/>
                          <w:lang w:val="sv-SE"/>
                        </w:rPr>
                        <m:t>1</m:t>
                      </m:r>
                    </m:num>
                    <m:den>
                      <m:r>
                        <w:rPr>
                          <w:rFonts w:ascii="Cambria Math" w:hAnsi="Cambria Math"/>
                          <w:lang w:val="en-US"/>
                        </w:rPr>
                        <m:t>PTW</m:t>
                      </m:r>
                      <m:r>
                        <w:rPr>
                          <w:rFonts w:ascii="Cambria Math" w:hAnsi="Cambria Math"/>
                          <w:lang w:val="sv-SE"/>
                        </w:rPr>
                        <m:t>/</m:t>
                      </m:r>
                      <m:r>
                        <w:rPr>
                          <w:rFonts w:ascii="Cambria Math" w:hAnsi="Cambria Math"/>
                          <w:lang w:val="en-US"/>
                        </w:rPr>
                        <m:t>DRX</m:t>
                      </m:r>
                      <m:r>
                        <w:rPr>
                          <w:rFonts w:ascii="Cambria Math" w:hAnsi="Cambria Math"/>
                          <w:lang w:val="sv-SE"/>
                        </w:rPr>
                        <m:t>_</m:t>
                      </m:r>
                      <m:r>
                        <w:rPr>
                          <w:rFonts w:ascii="Cambria Math" w:hAnsi="Cambria Math"/>
                          <w:lang w:val="en-US"/>
                        </w:rPr>
                        <m:t>cycle</m:t>
                      </m:r>
                      <m:r>
                        <w:rPr>
                          <w:rFonts w:ascii="Cambria Math" w:hAnsi="Cambria Math"/>
                          <w:lang w:val="sv-SE"/>
                        </w:rPr>
                        <m:t>_</m:t>
                      </m:r>
                      <m:r>
                        <w:rPr>
                          <w:rFonts w:ascii="Cambria Math" w:hAnsi="Cambria Math"/>
                          <w:lang w:val="en-US"/>
                        </w:rPr>
                        <m:t>lengt</m:t>
                      </m:r>
                      <m:r>
                        <w:rPr>
                          <w:rFonts w:ascii="Cambria Math" w:hAnsi="Cambria Math"/>
                          <w:lang w:val="sv-SE"/>
                        </w:rPr>
                        <m:t>h</m:t>
                      </m:r>
                    </m:den>
                  </m:f>
                </m:e>
              </m:d>
            </m:oMath>
          </w:p>
          <w:p w14:paraId="5F88F715" w14:textId="77777777" w:rsidR="00517943" w:rsidRPr="00043DFE" w:rsidRDefault="00517943" w:rsidP="008B107E">
            <w:pPr>
              <w:pStyle w:val="TAC"/>
              <w:rPr>
                <w:lang w:val="en-US"/>
              </w:rPr>
            </w:pPr>
            <w:r w:rsidRPr="00043DFE">
              <w:rPr>
                <w:lang w:val="en-US"/>
              </w:rPr>
              <w:t>(23</w:t>
            </w:r>
            <w:r w:rsidRPr="00043DFE">
              <w:t xml:space="preserve"> x N1</w:t>
            </w:r>
            <w:r w:rsidRPr="00043DFE">
              <w:rPr>
                <w:lang w:val="sv-SE"/>
              </w:rPr>
              <w:t xml:space="preserve"> x K1</w:t>
            </w:r>
            <w:r w:rsidRPr="00043DFE">
              <w:rPr>
                <w:lang w:val="en-US"/>
              </w:rPr>
              <w:t>)</w:t>
            </w:r>
          </w:p>
        </w:tc>
        <w:tc>
          <w:tcPr>
            <w:tcW w:w="809" w:type="pct"/>
            <w:hideMark/>
          </w:tcPr>
          <w:p w14:paraId="247BD30C" w14:textId="77777777" w:rsidR="00517943" w:rsidRPr="00043DFE" w:rsidRDefault="00517943" w:rsidP="008B107E">
            <w:pPr>
              <w:pStyle w:val="TAC"/>
            </w:pPr>
            <w:r w:rsidRPr="00043DFE">
              <w:t>0.32 x N1 x K1 (1 x N1 x K1)</w:t>
            </w:r>
          </w:p>
        </w:tc>
        <w:tc>
          <w:tcPr>
            <w:tcW w:w="858" w:type="pct"/>
            <w:hideMark/>
          </w:tcPr>
          <w:p w14:paraId="3D5C34D9" w14:textId="77777777" w:rsidR="00517943" w:rsidRPr="00043DFE" w:rsidRDefault="00517943" w:rsidP="008B107E">
            <w:pPr>
              <w:pStyle w:val="TAC"/>
            </w:pPr>
            <w:r w:rsidRPr="00043DFE">
              <w:t>0.64 x N1 x K1 (2 x N1 x K1)</w:t>
            </w:r>
          </w:p>
        </w:tc>
      </w:tr>
      <w:tr w:rsidR="00517943" w:rsidRPr="00043DFE" w14:paraId="7D4120E6" w14:textId="77777777" w:rsidTr="008B107E">
        <w:trPr>
          <w:trHeight w:val="336"/>
        </w:trPr>
        <w:tc>
          <w:tcPr>
            <w:tcW w:w="639" w:type="pct"/>
            <w:tcBorders>
              <w:top w:val="nil"/>
              <w:bottom w:val="nil"/>
            </w:tcBorders>
            <w:hideMark/>
          </w:tcPr>
          <w:p w14:paraId="40F46274" w14:textId="77777777" w:rsidR="00517943" w:rsidRPr="00043DFE" w:rsidRDefault="00517943" w:rsidP="008B107E">
            <w:pPr>
              <w:pStyle w:val="TAC"/>
              <w:rPr>
                <w:lang w:val="en-US"/>
              </w:rPr>
            </w:pPr>
          </w:p>
        </w:tc>
        <w:tc>
          <w:tcPr>
            <w:tcW w:w="401" w:type="pct"/>
            <w:hideMark/>
          </w:tcPr>
          <w:p w14:paraId="7A71C3B2" w14:textId="77777777" w:rsidR="00517943" w:rsidRPr="00043DFE" w:rsidRDefault="00517943" w:rsidP="008B107E">
            <w:pPr>
              <w:pStyle w:val="TAC"/>
              <w:rPr>
                <w:lang w:val="en-US"/>
              </w:rPr>
            </w:pPr>
            <w:r w:rsidRPr="00043DFE">
              <w:t>0.64</w:t>
            </w:r>
          </w:p>
        </w:tc>
        <w:tc>
          <w:tcPr>
            <w:tcW w:w="517" w:type="pct"/>
            <w:hideMark/>
          </w:tcPr>
          <w:p w14:paraId="796D6F68" w14:textId="77777777" w:rsidR="00517943" w:rsidRPr="00043DFE" w:rsidRDefault="00517943" w:rsidP="008B107E">
            <w:pPr>
              <w:pStyle w:val="TAC"/>
              <w:rPr>
                <w:lang w:val="en-US"/>
              </w:rPr>
            </w:pPr>
            <w:r w:rsidRPr="00043DFE">
              <w:t>≥19.2 (15)</w:t>
            </w:r>
          </w:p>
        </w:tc>
        <w:tc>
          <w:tcPr>
            <w:tcW w:w="467" w:type="pct"/>
          </w:tcPr>
          <w:p w14:paraId="7657F0C6" w14:textId="77777777" w:rsidR="00517943" w:rsidRPr="00043DFE" w:rsidRDefault="00517943" w:rsidP="008B107E">
            <w:pPr>
              <w:pStyle w:val="TAC"/>
              <w:rPr>
                <w:lang w:val="en-US"/>
              </w:rPr>
            </w:pPr>
            <w:r w:rsidRPr="00043DFE">
              <w:rPr>
                <w:lang w:val="en-US"/>
              </w:rPr>
              <w:t>5</w:t>
            </w:r>
          </w:p>
        </w:tc>
        <w:tc>
          <w:tcPr>
            <w:tcW w:w="1309" w:type="pct"/>
            <w:gridSpan w:val="2"/>
            <w:tcBorders>
              <w:top w:val="nil"/>
              <w:bottom w:val="nil"/>
            </w:tcBorders>
            <w:hideMark/>
          </w:tcPr>
          <w:p w14:paraId="26BCCFD8" w14:textId="77777777" w:rsidR="00517943" w:rsidRPr="00043DFE" w:rsidRDefault="00517943" w:rsidP="008B107E">
            <w:pPr>
              <w:pStyle w:val="TAC"/>
              <w:rPr>
                <w:lang w:val="en-US"/>
              </w:rPr>
            </w:pPr>
          </w:p>
        </w:tc>
        <w:tc>
          <w:tcPr>
            <w:tcW w:w="809" w:type="pct"/>
            <w:hideMark/>
          </w:tcPr>
          <w:p w14:paraId="347E6B4F" w14:textId="77777777" w:rsidR="00517943" w:rsidRPr="00043DFE" w:rsidRDefault="00517943" w:rsidP="008B107E">
            <w:pPr>
              <w:pStyle w:val="TAC"/>
            </w:pPr>
            <w:r w:rsidRPr="00043DFE">
              <w:t>0.64 x N1 x K1 (1 x N1 x K1)</w:t>
            </w:r>
          </w:p>
        </w:tc>
        <w:tc>
          <w:tcPr>
            <w:tcW w:w="858" w:type="pct"/>
            <w:hideMark/>
          </w:tcPr>
          <w:p w14:paraId="70E7875E" w14:textId="77777777" w:rsidR="00517943" w:rsidRPr="00043DFE" w:rsidRDefault="00517943" w:rsidP="008B107E">
            <w:pPr>
              <w:pStyle w:val="TAC"/>
            </w:pPr>
            <w:r w:rsidRPr="00043DFE">
              <w:t>1.28 x N1 x K1 (2 x N1 x K1)</w:t>
            </w:r>
          </w:p>
        </w:tc>
      </w:tr>
      <w:tr w:rsidR="00517943" w:rsidRPr="00043DFE" w14:paraId="5A65B851" w14:textId="77777777" w:rsidTr="008B107E">
        <w:trPr>
          <w:trHeight w:val="336"/>
        </w:trPr>
        <w:tc>
          <w:tcPr>
            <w:tcW w:w="639" w:type="pct"/>
            <w:tcBorders>
              <w:top w:val="nil"/>
              <w:bottom w:val="nil"/>
            </w:tcBorders>
            <w:hideMark/>
          </w:tcPr>
          <w:p w14:paraId="46980C38" w14:textId="77777777" w:rsidR="00517943" w:rsidRPr="00043DFE" w:rsidRDefault="00517943" w:rsidP="008B107E">
            <w:pPr>
              <w:pStyle w:val="TAC"/>
              <w:rPr>
                <w:lang w:val="en-US"/>
              </w:rPr>
            </w:pPr>
          </w:p>
        </w:tc>
        <w:tc>
          <w:tcPr>
            <w:tcW w:w="401" w:type="pct"/>
            <w:hideMark/>
          </w:tcPr>
          <w:p w14:paraId="52199324" w14:textId="77777777" w:rsidR="00517943" w:rsidRPr="00043DFE" w:rsidRDefault="00517943" w:rsidP="008B107E">
            <w:pPr>
              <w:pStyle w:val="TAC"/>
              <w:rPr>
                <w:lang w:val="en-US"/>
              </w:rPr>
            </w:pPr>
            <w:r w:rsidRPr="00043DFE">
              <w:t>1.28</w:t>
            </w:r>
          </w:p>
        </w:tc>
        <w:tc>
          <w:tcPr>
            <w:tcW w:w="517" w:type="pct"/>
            <w:hideMark/>
          </w:tcPr>
          <w:p w14:paraId="3A2E9AE7" w14:textId="77777777" w:rsidR="00517943" w:rsidRPr="00043DFE" w:rsidRDefault="00517943" w:rsidP="008B107E">
            <w:pPr>
              <w:pStyle w:val="TAC"/>
              <w:rPr>
                <w:lang w:val="en-US"/>
              </w:rPr>
            </w:pPr>
            <w:r w:rsidRPr="00043DFE">
              <w:rPr>
                <w:rFonts w:hint="eastAsia"/>
              </w:rPr>
              <w:t>≥</w:t>
            </w:r>
            <w:r w:rsidRPr="00043DFE">
              <w:t>30.72 (24)</w:t>
            </w:r>
          </w:p>
        </w:tc>
        <w:tc>
          <w:tcPr>
            <w:tcW w:w="467" w:type="pct"/>
          </w:tcPr>
          <w:p w14:paraId="28F96D0E" w14:textId="77777777" w:rsidR="00517943" w:rsidRPr="00043DFE" w:rsidRDefault="00517943" w:rsidP="008B107E">
            <w:pPr>
              <w:pStyle w:val="TAC"/>
              <w:rPr>
                <w:lang w:val="en-US"/>
              </w:rPr>
            </w:pPr>
            <w:r w:rsidRPr="00043DFE">
              <w:rPr>
                <w:lang w:val="en-US"/>
              </w:rPr>
              <w:t>4</w:t>
            </w:r>
          </w:p>
        </w:tc>
        <w:tc>
          <w:tcPr>
            <w:tcW w:w="1309" w:type="pct"/>
            <w:gridSpan w:val="2"/>
            <w:tcBorders>
              <w:top w:val="nil"/>
              <w:bottom w:val="nil"/>
            </w:tcBorders>
            <w:hideMark/>
          </w:tcPr>
          <w:p w14:paraId="03D98376" w14:textId="77777777" w:rsidR="00517943" w:rsidRPr="00043DFE" w:rsidRDefault="00517943" w:rsidP="008B107E">
            <w:pPr>
              <w:pStyle w:val="TAC"/>
              <w:rPr>
                <w:lang w:val="en-US"/>
              </w:rPr>
            </w:pPr>
          </w:p>
        </w:tc>
        <w:tc>
          <w:tcPr>
            <w:tcW w:w="809" w:type="pct"/>
            <w:hideMark/>
          </w:tcPr>
          <w:p w14:paraId="4A950362" w14:textId="77777777" w:rsidR="00517943" w:rsidRPr="00043DFE" w:rsidRDefault="00517943" w:rsidP="008B107E">
            <w:pPr>
              <w:pStyle w:val="TAC"/>
            </w:pPr>
            <w:r w:rsidRPr="00043DFE">
              <w:t>1.28 x N1 x K1 (1 x N1 x K1)</w:t>
            </w:r>
          </w:p>
        </w:tc>
        <w:tc>
          <w:tcPr>
            <w:tcW w:w="858" w:type="pct"/>
            <w:hideMark/>
          </w:tcPr>
          <w:p w14:paraId="51AFA54F" w14:textId="77777777" w:rsidR="00517943" w:rsidRPr="00043DFE" w:rsidRDefault="00517943" w:rsidP="008B107E">
            <w:pPr>
              <w:pStyle w:val="TAC"/>
            </w:pPr>
            <w:r w:rsidRPr="00043DFE">
              <w:t>2.56 x N1 x K1 (2 x N1 x K1)</w:t>
            </w:r>
          </w:p>
        </w:tc>
      </w:tr>
      <w:tr w:rsidR="00517943" w:rsidRPr="00043DFE" w14:paraId="558F8E9F" w14:textId="77777777" w:rsidTr="008B107E">
        <w:trPr>
          <w:trHeight w:val="336"/>
        </w:trPr>
        <w:tc>
          <w:tcPr>
            <w:tcW w:w="639" w:type="pct"/>
            <w:tcBorders>
              <w:top w:val="nil"/>
            </w:tcBorders>
          </w:tcPr>
          <w:p w14:paraId="0B5CD57E" w14:textId="77777777" w:rsidR="00517943" w:rsidRPr="00043DFE" w:rsidRDefault="00517943" w:rsidP="008B107E">
            <w:pPr>
              <w:pStyle w:val="TAC"/>
              <w:rPr>
                <w:lang w:val="en-US"/>
              </w:rPr>
            </w:pPr>
          </w:p>
        </w:tc>
        <w:tc>
          <w:tcPr>
            <w:tcW w:w="401" w:type="pct"/>
          </w:tcPr>
          <w:p w14:paraId="037702FE" w14:textId="77777777" w:rsidR="00517943" w:rsidRPr="00043DFE" w:rsidRDefault="00517943" w:rsidP="008B107E">
            <w:pPr>
              <w:pStyle w:val="TAC"/>
            </w:pPr>
            <w:r w:rsidRPr="00043DFE">
              <w:t>2.56</w:t>
            </w:r>
          </w:p>
        </w:tc>
        <w:tc>
          <w:tcPr>
            <w:tcW w:w="517" w:type="pct"/>
          </w:tcPr>
          <w:p w14:paraId="07BA70F1" w14:textId="77777777" w:rsidR="00517943" w:rsidRPr="00043DFE" w:rsidRDefault="00517943" w:rsidP="008B107E">
            <w:pPr>
              <w:pStyle w:val="TAC"/>
            </w:pPr>
            <w:r w:rsidRPr="00043DFE">
              <w:rPr>
                <w:lang w:eastAsia="zh-CN"/>
              </w:rPr>
              <w:t>40.96 (32)</w:t>
            </w:r>
          </w:p>
        </w:tc>
        <w:tc>
          <w:tcPr>
            <w:tcW w:w="467" w:type="pct"/>
          </w:tcPr>
          <w:p w14:paraId="168B768A" w14:textId="77777777" w:rsidR="00517943" w:rsidRPr="00043DFE" w:rsidRDefault="00517943" w:rsidP="008B107E">
            <w:pPr>
              <w:pStyle w:val="TAC"/>
              <w:rPr>
                <w:lang w:val="en-US"/>
              </w:rPr>
            </w:pPr>
            <w:r w:rsidRPr="00043DFE">
              <w:rPr>
                <w:lang w:val="en-US"/>
              </w:rPr>
              <w:t>3</w:t>
            </w:r>
          </w:p>
        </w:tc>
        <w:tc>
          <w:tcPr>
            <w:tcW w:w="1309" w:type="pct"/>
            <w:gridSpan w:val="2"/>
            <w:tcBorders>
              <w:top w:val="nil"/>
            </w:tcBorders>
          </w:tcPr>
          <w:p w14:paraId="7F4F4D51" w14:textId="77777777" w:rsidR="00517943" w:rsidRPr="00043DFE" w:rsidRDefault="00517943" w:rsidP="008B107E">
            <w:pPr>
              <w:pStyle w:val="TAC"/>
              <w:rPr>
                <w:lang w:val="en-US"/>
              </w:rPr>
            </w:pPr>
          </w:p>
        </w:tc>
        <w:tc>
          <w:tcPr>
            <w:tcW w:w="809" w:type="pct"/>
          </w:tcPr>
          <w:p w14:paraId="20561DAE" w14:textId="77777777" w:rsidR="00517943" w:rsidRPr="00043DFE" w:rsidRDefault="00517943" w:rsidP="008B107E">
            <w:pPr>
              <w:pStyle w:val="TAC"/>
            </w:pPr>
            <w:r w:rsidRPr="00043DFE">
              <w:rPr>
                <w:lang w:eastAsia="zh-CN"/>
              </w:rPr>
              <w:t>20.48</w:t>
            </w:r>
          </w:p>
        </w:tc>
        <w:tc>
          <w:tcPr>
            <w:tcW w:w="858" w:type="pct"/>
          </w:tcPr>
          <w:p w14:paraId="22BD5C6D" w14:textId="77777777" w:rsidR="00517943" w:rsidRPr="00043DFE" w:rsidRDefault="00517943" w:rsidP="008B107E">
            <w:pPr>
              <w:pStyle w:val="TAC"/>
            </w:pPr>
            <w:r w:rsidRPr="00043DFE">
              <w:rPr>
                <w:lang w:eastAsia="zh-CN"/>
              </w:rPr>
              <w:t>40.96</w:t>
            </w:r>
          </w:p>
        </w:tc>
      </w:tr>
      <w:tr w:rsidR="00517943" w:rsidRPr="00043DFE" w14:paraId="3B777623" w14:textId="77777777" w:rsidTr="008B107E">
        <w:trPr>
          <w:trHeight w:val="336"/>
        </w:trPr>
        <w:tc>
          <w:tcPr>
            <w:tcW w:w="5000" w:type="pct"/>
            <w:gridSpan w:val="8"/>
          </w:tcPr>
          <w:p w14:paraId="7F5F5F78" w14:textId="77777777" w:rsidR="00517943" w:rsidRPr="00043DFE" w:rsidRDefault="00517943" w:rsidP="008B107E">
            <w:pPr>
              <w:pStyle w:val="TAN"/>
              <w:rPr>
                <w:rFonts w:eastAsia="Malgun Gothic"/>
                <w:snapToGrid w:val="0"/>
              </w:rPr>
            </w:pPr>
            <w:r w:rsidRPr="00043DFE">
              <w:rPr>
                <w:rFonts w:eastAsia="Malgun Gothic"/>
                <w:snapToGrid w:val="0"/>
              </w:rPr>
              <w:t xml:space="preserve">Note 1: </w:t>
            </w:r>
            <w:r w:rsidRPr="00043DFE">
              <w:rPr>
                <w:rFonts w:eastAsia="Malgun Gothic"/>
                <w:snapToGrid w:val="0"/>
              </w:rPr>
              <w:tab/>
            </w:r>
            <w:r w:rsidRPr="00043DFE">
              <w:t xml:space="preserve">Applies for UE supporting FR2-1 power class </w:t>
            </w:r>
            <w:r w:rsidRPr="00043DFE">
              <w:rPr>
                <w:lang w:eastAsia="zh-CN"/>
              </w:rPr>
              <w:t>2&amp;3&amp;4</w:t>
            </w:r>
            <w:r w:rsidRPr="00043DFE">
              <w:t>. For UE supporting FR2-1 power class 1 or 5, N1 = 8 for all DRX cycle length.</w:t>
            </w:r>
          </w:p>
          <w:p w14:paraId="08DE8C83" w14:textId="77777777" w:rsidR="00517943" w:rsidRPr="00043DFE" w:rsidRDefault="00517943" w:rsidP="008B107E">
            <w:pPr>
              <w:pStyle w:val="TAN"/>
              <w:rPr>
                <w:rFonts w:eastAsia="Malgun Gothic"/>
                <w:snapToGrid w:val="0"/>
              </w:rPr>
            </w:pPr>
            <w:r w:rsidRPr="00043DFE">
              <w:rPr>
                <w:rFonts w:eastAsia="Malgun Gothic"/>
                <w:snapToGrid w:val="0"/>
              </w:rPr>
              <w:t xml:space="preserve">Note 2: </w:t>
            </w:r>
            <w:r w:rsidRPr="00043DFE">
              <w:rPr>
                <w:rFonts w:eastAsia="Malgun Gothic"/>
                <w:snapToGrid w:val="0"/>
              </w:rPr>
              <w:tab/>
              <w:t>The number of DRX cycles in this table is given for the DRX cycles within PTWs.</w:t>
            </w:r>
          </w:p>
          <w:p w14:paraId="5CC13243" w14:textId="77777777" w:rsidR="00517943" w:rsidRPr="00043DFE" w:rsidRDefault="00517943" w:rsidP="008B107E">
            <w:pPr>
              <w:pStyle w:val="TAN"/>
              <w:rPr>
                <w:rFonts w:eastAsia="Malgun Gothic"/>
                <w:snapToGrid w:val="0"/>
              </w:rPr>
            </w:pPr>
            <w:r w:rsidRPr="00043DFE">
              <w:rPr>
                <w:rFonts w:eastAsia="Malgun Gothic"/>
                <w:snapToGrid w:val="0"/>
              </w:rPr>
              <w:t xml:space="preserve">Note 3: </w:t>
            </w:r>
            <w:r w:rsidRPr="00043DFE">
              <w:rPr>
                <w:rFonts w:eastAsia="Malgun Gothic"/>
                <w:snapToGrid w:val="0"/>
              </w:rPr>
              <w:tab/>
              <w:t>The eDRX_IDLE cycle lengths are as specified in Section 10.5.5.32 of TS 24.008 [34].</w:t>
            </w:r>
          </w:p>
          <w:p w14:paraId="7AB228C6" w14:textId="77777777" w:rsidR="00517943" w:rsidRPr="00043DFE" w:rsidRDefault="00517943" w:rsidP="008B107E">
            <w:pPr>
              <w:pStyle w:val="TAN"/>
              <w:rPr>
                <w:rFonts w:eastAsia="Malgun Gothic"/>
                <w:snapToGrid w:val="0"/>
              </w:rPr>
            </w:pPr>
            <w:r w:rsidRPr="00043DFE">
              <w:rPr>
                <w:rFonts w:eastAsia="Malgun Gothic"/>
                <w:snapToGrid w:val="0"/>
              </w:rPr>
              <w:t xml:space="preserve">Note 4: </w:t>
            </w:r>
            <w:r w:rsidRPr="00043DFE">
              <w:rPr>
                <w:rFonts w:eastAsia="Malgun Gothic"/>
                <w:snapToGrid w:val="0"/>
              </w:rPr>
              <w:tab/>
              <w:t xml:space="preserve">The lower bound of PTW length is derived based on </w:t>
            </w:r>
            <m:oMath>
              <m:d>
                <m:dPr>
                  <m:begChr m:val="⌈"/>
                  <m:endChr m:val="⌉"/>
                  <m:ctrlPr>
                    <w:rPr>
                      <w:rFonts w:ascii="Cambria Math" w:eastAsia="Malgun Gothic" w:hAnsi="Cambria Math"/>
                      <w:snapToGrid w:val="0"/>
                    </w:rPr>
                  </m:ctrlPr>
                </m:dPr>
                <m:e>
                  <m:f>
                    <m:fPr>
                      <m:ctrlPr>
                        <w:rPr>
                          <w:rFonts w:ascii="Cambria Math" w:eastAsia="Malgun Gothic" w:hAnsi="Cambria Math"/>
                          <w:snapToGrid w:val="0"/>
                        </w:rPr>
                      </m:ctrlPr>
                    </m:fPr>
                    <m:num>
                      <m:r>
                        <m:rPr>
                          <m:sty m:val="p"/>
                        </m:rPr>
                        <w:rPr>
                          <w:rFonts w:ascii="Cambria Math" w:eastAsia="Malgun Gothic" w:hAnsi="Cambria Math"/>
                          <w:snapToGrid w:val="0"/>
                        </w:rPr>
                        <m:t>Tevaluate,NR_Intra*DRX_cycle</m:t>
                      </m:r>
                    </m:num>
                    <m:den>
                      <m:r>
                        <m:rPr>
                          <m:sty m:val="p"/>
                        </m:rPr>
                        <w:rPr>
                          <w:rFonts w:ascii="Cambria Math" w:eastAsia="Malgun Gothic" w:hAnsi="Cambria Math"/>
                          <w:snapToGrid w:val="0"/>
                        </w:rPr>
                        <m:t>1.28</m:t>
                      </m:r>
                    </m:den>
                  </m:f>
                </m:e>
              </m:d>
              <m:r>
                <m:rPr>
                  <m:sty m:val="p"/>
                </m:rPr>
                <w:rPr>
                  <w:rFonts w:ascii="Cambria Math" w:eastAsia="Malgun Gothic" w:hAnsi="Cambria Math"/>
                  <w:snapToGrid w:val="0"/>
                </w:rPr>
                <m:t>*1.28</m:t>
              </m:r>
            </m:oMath>
            <w:r w:rsidRPr="00043DFE">
              <w:rPr>
                <w:rFonts w:eastAsia="Malgun Gothic"/>
                <w:snapToGrid w:val="0"/>
              </w:rPr>
              <w:t>.</w:t>
            </w:r>
          </w:p>
          <w:p w14:paraId="1FD33E79" w14:textId="77777777" w:rsidR="00517943" w:rsidRPr="00043DFE" w:rsidRDefault="00517943" w:rsidP="008B107E">
            <w:pPr>
              <w:pStyle w:val="TAN"/>
              <w:rPr>
                <w:rFonts w:eastAsia="Malgun Gothic"/>
                <w:snapToGrid w:val="0"/>
              </w:rPr>
            </w:pPr>
            <w:r w:rsidRPr="00043DFE">
              <w:rPr>
                <w:rFonts w:eastAsia="Malgun Gothic"/>
                <w:snapToGrid w:val="0"/>
              </w:rPr>
              <w:t>Note 5:</w:t>
            </w:r>
            <w:r w:rsidRPr="00043DFE">
              <w:rPr>
                <w:rFonts w:eastAsia="Malgun Gothic"/>
                <w:snapToGrid w:val="0"/>
              </w:rPr>
              <w:tab/>
              <w:t>The measurement shall not be performed across PTW’s. In this case the measurement is performed in the next available PTW.</w:t>
            </w:r>
          </w:p>
          <w:p w14:paraId="06107C41" w14:textId="77777777" w:rsidR="00517943" w:rsidRPr="00043DFE" w:rsidRDefault="00517943" w:rsidP="008B107E">
            <w:pPr>
              <w:pStyle w:val="TAN"/>
              <w:rPr>
                <w:rFonts w:eastAsia="Malgun Gothic"/>
                <w:snapToGrid w:val="0"/>
              </w:rPr>
            </w:pPr>
            <w:r w:rsidRPr="00043DFE">
              <w:rPr>
                <w:rFonts w:eastAsia="Malgun Gothic"/>
                <w:snapToGrid w:val="0"/>
              </w:rPr>
              <w:t>Note 6:</w:t>
            </w:r>
            <w:r w:rsidRPr="00043DFE">
              <w:rPr>
                <w:rFonts w:eastAsia="Malgun Gothic"/>
                <w:snapToGrid w:val="0"/>
              </w:rPr>
              <w:tab/>
              <w:t>The evaluation shall not be performed across PTW’s.</w:t>
            </w:r>
          </w:p>
          <w:p w14:paraId="417B8A5A" w14:textId="77777777" w:rsidR="00517943" w:rsidRPr="00043DFE" w:rsidRDefault="00517943" w:rsidP="008B107E">
            <w:pPr>
              <w:pStyle w:val="TAN"/>
              <w:rPr>
                <w:rFonts w:cs="Arial"/>
              </w:rPr>
            </w:pPr>
            <w:r w:rsidRPr="00043DFE">
              <w:rPr>
                <w:rFonts w:eastAsia="Malgun Gothic"/>
                <w:snapToGrid w:val="0"/>
              </w:rPr>
              <w:t>Note 7:</w:t>
            </w:r>
            <w:r w:rsidRPr="00043DFE">
              <w:rPr>
                <w:rFonts w:eastAsia="Malgun Gothic"/>
                <w:snapToGrid w:val="0"/>
              </w:rPr>
              <w:tab/>
              <w:t xml:space="preserve">K1 = 3 is the measurement relaxation factor applicable for UE fulfilling the </w:t>
            </w:r>
            <w:r w:rsidRPr="00043DFE">
              <w:rPr>
                <w:i/>
                <w:iCs/>
              </w:rPr>
              <w:t>lowMobilityEvaluation criterion</w:t>
            </w:r>
            <w:r w:rsidRPr="00043DFE">
              <w:rPr>
                <w:rFonts w:eastAsia="Malgun Gothic"/>
                <w:snapToGrid w:val="0"/>
              </w:rPr>
              <w:t xml:space="preserve"> [2].</w:t>
            </w:r>
          </w:p>
        </w:tc>
      </w:tr>
    </w:tbl>
    <w:p w14:paraId="37C73352" w14:textId="77777777" w:rsidR="00517943" w:rsidRDefault="00517943" w:rsidP="00A20BE0">
      <w:pPr>
        <w:rPr>
          <w:lang w:eastAsia="zh-CN"/>
        </w:rPr>
      </w:pPr>
    </w:p>
    <w:p w14:paraId="1044C72B" w14:textId="44575DF7" w:rsidR="0022726A" w:rsidRDefault="0022726A" w:rsidP="0022726A">
      <w:pPr>
        <w:pStyle w:val="Heading5"/>
        <w:rPr>
          <w:lang w:val="en-US" w:eastAsia="zh-CN"/>
        </w:rPr>
      </w:pPr>
      <w:r>
        <w:rPr>
          <w:lang w:val="en-US" w:eastAsia="zh-CN"/>
        </w:rPr>
        <w:t>4.2.2.10.3</w:t>
      </w:r>
      <w:r w:rsidRPr="00885F53">
        <w:rPr>
          <w:lang w:val="en-US" w:eastAsia="zh-CN"/>
        </w:rPr>
        <w:tab/>
      </w:r>
      <w:r>
        <w:rPr>
          <w:lang w:val="en-US" w:eastAsia="zh-CN"/>
        </w:rPr>
        <w:t>Measurements for UE fulfilling not-at-cell edge criterion</w:t>
      </w:r>
    </w:p>
    <w:p w14:paraId="3999648F" w14:textId="734B0570" w:rsidR="0022726A" w:rsidRDefault="0022726A" w:rsidP="0022726A">
      <w:pPr>
        <w:rPr>
          <w:rFonts w:eastAsiaTheme="minorEastAsia"/>
          <w:lang w:eastAsia="zh-CN"/>
        </w:rPr>
      </w:pPr>
      <w:r w:rsidRPr="00885F53">
        <w:rPr>
          <w:lang w:val="en-US" w:eastAsia="zh-CN"/>
        </w:rPr>
        <w:t xml:space="preserve">This clause contains requirements </w:t>
      </w:r>
      <w:r>
        <w:rPr>
          <w:rFonts w:eastAsiaTheme="minorEastAsia"/>
          <w:lang w:eastAsia="zh-CN"/>
        </w:rPr>
        <w:t xml:space="preserve">for measurements on </w:t>
      </w:r>
      <w:r w:rsidR="006F2A46">
        <w:rPr>
          <w:rFonts w:eastAsiaTheme="minorEastAsia"/>
          <w:lang w:eastAsia="zh-CN"/>
        </w:rPr>
        <w:t>inter</w:t>
      </w:r>
      <w:r>
        <w:rPr>
          <w:rFonts w:eastAsiaTheme="minorEastAsia"/>
          <w:lang w:eastAsia="zh-CN"/>
        </w:rPr>
        <w:t>-frequency NR cells provided that:</w:t>
      </w:r>
    </w:p>
    <w:p w14:paraId="4F40DCF3" w14:textId="6A86FD2C" w:rsidR="00FA1949" w:rsidRPr="00AD77EE" w:rsidRDefault="00FA1949" w:rsidP="00FA1949">
      <w:pPr>
        <w:pStyle w:val="B10"/>
        <w:rPr>
          <w:lang w:eastAsia="zh-CN"/>
        </w:rPr>
      </w:pPr>
      <w:r>
        <w:rPr>
          <w:lang w:eastAsia="zh-CN"/>
        </w:rPr>
        <w:t>-</w:t>
      </w:r>
      <w:r>
        <w:rPr>
          <w:lang w:eastAsia="zh-CN"/>
        </w:rPr>
        <w:tab/>
      </w:r>
      <w:r w:rsidRPr="000D542C">
        <w:rPr>
          <w:lang w:eastAsia="zh-CN"/>
        </w:rPr>
        <w:t xml:space="preserve">UE is </w:t>
      </w:r>
      <w:r w:rsidRPr="00AD77EE">
        <w:rPr>
          <w:lang w:eastAsia="zh-CN"/>
        </w:rPr>
        <w:t xml:space="preserve">configured with </w:t>
      </w:r>
      <w:r w:rsidRPr="00485479">
        <w:rPr>
          <w:i/>
          <w:iCs/>
          <w:lang w:eastAsia="zh-CN"/>
        </w:rPr>
        <w:t>cellEdgeEvaluation</w:t>
      </w:r>
      <w:r>
        <w:rPr>
          <w:i/>
          <w:iCs/>
          <w:lang w:eastAsia="zh-CN"/>
        </w:rPr>
        <w:t xml:space="preserve"> </w:t>
      </w:r>
      <w:r>
        <w:rPr>
          <w:lang w:eastAsia="zh-CN"/>
        </w:rPr>
        <w:t>[2] criterion</w:t>
      </w:r>
      <w:r w:rsidRPr="000D542C">
        <w:rPr>
          <w:lang w:eastAsia="zh-CN"/>
        </w:rPr>
        <w:t>,</w:t>
      </w:r>
      <w:r w:rsidRPr="00AD77EE">
        <w:rPr>
          <w:lang w:eastAsia="zh-CN"/>
        </w:rPr>
        <w:t xml:space="preserve"> </w:t>
      </w:r>
      <w:r w:rsidR="006F2A46">
        <w:rPr>
          <w:lang w:eastAsia="zh-CN"/>
        </w:rPr>
        <w:t>and UE has fulfilled</w:t>
      </w:r>
      <w:r w:rsidR="006F2A46" w:rsidRPr="00AD77EE">
        <w:rPr>
          <w:lang w:eastAsia="zh-CN"/>
        </w:rPr>
        <w:t xml:space="preserve"> </w:t>
      </w:r>
      <w:r w:rsidRPr="00AD77EE">
        <w:rPr>
          <w:lang w:eastAsia="zh-CN"/>
        </w:rPr>
        <w:t xml:space="preserve">or  </w:t>
      </w:r>
    </w:p>
    <w:p w14:paraId="7535E468" w14:textId="429C0676" w:rsidR="00700837" w:rsidRPr="00AD77EE" w:rsidRDefault="00700837" w:rsidP="00700837">
      <w:pPr>
        <w:pStyle w:val="B10"/>
        <w:rPr>
          <w:lang w:eastAsia="zh-CN"/>
        </w:rPr>
      </w:pPr>
      <w:r>
        <w:rPr>
          <w:lang w:eastAsia="zh-CN"/>
        </w:rPr>
        <w:t>-</w:t>
      </w:r>
      <w:r>
        <w:rPr>
          <w:lang w:eastAsia="zh-CN"/>
        </w:rPr>
        <w:tab/>
      </w:r>
      <w:r w:rsidRPr="000A4CE3">
        <w:rPr>
          <w:lang w:eastAsia="zh-CN"/>
        </w:rPr>
        <w:t xml:space="preserve">UE is configured with </w:t>
      </w:r>
      <w:r w:rsidRPr="00AD77EE">
        <w:rPr>
          <w:lang w:eastAsia="zh-CN"/>
        </w:rPr>
        <w:t xml:space="preserve">both </w:t>
      </w:r>
      <w:r w:rsidR="002E4D01" w:rsidRPr="001C6668">
        <w:rPr>
          <w:i/>
          <w:iCs/>
          <w:lang w:eastAsia="zh-CN"/>
        </w:rPr>
        <w:t>lowMobilityEvaluation</w:t>
      </w:r>
      <w:r w:rsidR="002E4D01" w:rsidRPr="00485479" w:rsidDel="001E51FB">
        <w:rPr>
          <w:i/>
          <w:iCs/>
          <w:lang w:eastAsia="zh-CN"/>
        </w:rPr>
        <w:t xml:space="preserve"> </w:t>
      </w:r>
      <w:r>
        <w:rPr>
          <w:lang w:eastAsia="zh-CN"/>
        </w:rPr>
        <w:t>[2]</w:t>
      </w:r>
      <w:r w:rsidRPr="00AD77EE">
        <w:rPr>
          <w:lang w:eastAsia="zh-CN"/>
        </w:rPr>
        <w:t xml:space="preserve"> criterion and </w:t>
      </w:r>
      <w:r w:rsidRPr="00485479">
        <w:rPr>
          <w:i/>
          <w:iCs/>
          <w:lang w:eastAsia="zh-CN"/>
        </w:rPr>
        <w:t>cellEdgeEvaluation</w:t>
      </w:r>
      <w:r>
        <w:rPr>
          <w:i/>
          <w:iCs/>
          <w:lang w:eastAsia="zh-CN"/>
        </w:rPr>
        <w:t xml:space="preserve"> </w:t>
      </w:r>
      <w:r>
        <w:rPr>
          <w:lang w:eastAsia="zh-CN"/>
        </w:rPr>
        <w:t>[2]</w:t>
      </w:r>
      <w:r w:rsidRPr="00AD77EE">
        <w:rPr>
          <w:lang w:eastAsia="zh-CN"/>
        </w:rPr>
        <w:t xml:space="preserve"> criterion</w:t>
      </w:r>
      <w:r w:rsidRPr="00D36387">
        <w:rPr>
          <w:lang w:eastAsia="zh-CN"/>
        </w:rPr>
        <w:t xml:space="preserve"> </w:t>
      </w:r>
      <w:r>
        <w:rPr>
          <w:lang w:eastAsia="zh-CN"/>
        </w:rPr>
        <w:t xml:space="preserve">and </w:t>
      </w:r>
      <w:r w:rsidRPr="0061045D">
        <w:rPr>
          <w:i/>
          <w:lang w:eastAsia="zh-CN"/>
        </w:rPr>
        <w:t>combineRelaxedMeasCondition</w:t>
      </w:r>
      <w:r>
        <w:rPr>
          <w:rFonts w:hint="eastAsia"/>
          <w:lang w:eastAsia="zh-CN"/>
        </w:rPr>
        <w:t xml:space="preserve"> </w:t>
      </w:r>
      <w:r>
        <w:rPr>
          <w:lang w:eastAsia="zh-CN"/>
        </w:rPr>
        <w:t>[2] not configured</w:t>
      </w:r>
      <w:r w:rsidRPr="00AD77EE">
        <w:rPr>
          <w:lang w:eastAsia="zh-CN"/>
        </w:rPr>
        <w:t xml:space="preserve">, </w:t>
      </w:r>
      <w:r>
        <w:rPr>
          <w:lang w:eastAsia="zh-CN"/>
        </w:rPr>
        <w:t>and</w:t>
      </w:r>
    </w:p>
    <w:p w14:paraId="0AB5B41A" w14:textId="67C47BF4" w:rsidR="00FA1949" w:rsidRPr="00AD77EE" w:rsidRDefault="00FA1949" w:rsidP="00FA1949">
      <w:pPr>
        <w:pStyle w:val="B10"/>
        <w:rPr>
          <w:lang w:eastAsia="zh-CN"/>
        </w:rPr>
      </w:pPr>
      <w:r>
        <w:rPr>
          <w:lang w:eastAsia="zh-CN"/>
        </w:rPr>
        <w:t>-</w:t>
      </w:r>
      <w:r>
        <w:rPr>
          <w:lang w:eastAsia="zh-CN"/>
        </w:rPr>
        <w:tab/>
      </w:r>
      <w:r w:rsidR="006F2A46">
        <w:rPr>
          <w:lang w:eastAsia="zh-CN"/>
        </w:rPr>
        <w:t xml:space="preserve">UE </w:t>
      </w:r>
      <w:r w:rsidR="006F2A46" w:rsidRPr="00AD77EE">
        <w:rPr>
          <w:lang w:eastAsia="zh-CN"/>
        </w:rPr>
        <w:t>has fulfilled only th</w:t>
      </w:r>
      <w:r w:rsidR="006F2A46">
        <w:rPr>
          <w:lang w:eastAsia="zh-CN"/>
        </w:rPr>
        <w:t xml:space="preserve">e </w:t>
      </w:r>
      <w:r w:rsidR="006F2A46" w:rsidRPr="00485479">
        <w:rPr>
          <w:i/>
          <w:iCs/>
          <w:lang w:eastAsia="zh-CN"/>
        </w:rPr>
        <w:t>cellEdgeEvaluation</w:t>
      </w:r>
      <w:r w:rsidR="006F2A46">
        <w:rPr>
          <w:i/>
          <w:iCs/>
          <w:lang w:eastAsia="zh-CN"/>
        </w:rPr>
        <w:t xml:space="preserve"> </w:t>
      </w:r>
      <w:r w:rsidR="006F2A46">
        <w:rPr>
          <w:lang w:eastAsia="zh-CN"/>
        </w:rPr>
        <w:t>[2] criterion</w:t>
      </w:r>
      <w:r>
        <w:rPr>
          <w:lang w:eastAsia="zh-CN"/>
        </w:rPr>
        <w:t>.</w:t>
      </w:r>
    </w:p>
    <w:p w14:paraId="3AB4BFE6" w14:textId="77777777" w:rsidR="002E4D01" w:rsidRPr="00A41B58" w:rsidRDefault="002E4D01" w:rsidP="00301B77">
      <w:pPr>
        <w:rPr>
          <w:lang w:eastAsia="zh-CN"/>
        </w:rPr>
      </w:pPr>
      <w:r>
        <w:rPr>
          <w:lang w:eastAsia="zh-CN"/>
        </w:rPr>
        <w:t xml:space="preserve">The UE shall not relax measurements on </w:t>
      </w:r>
      <w:r>
        <w:t xml:space="preserve">NR inter-frequency carriers configured for idle mode </w:t>
      </w:r>
      <w:r w:rsidRPr="00102E8D">
        <w:t>CA/DC m</w:t>
      </w:r>
      <w:r>
        <w:t>easurements (defined in clause 4.4) while T331</w:t>
      </w:r>
      <w:r w:rsidRPr="00736EB3">
        <w:t xml:space="preserve"> </w:t>
      </w:r>
      <w:r>
        <w:t>is running.</w:t>
      </w:r>
    </w:p>
    <w:p w14:paraId="1564B2E7" w14:textId="51092E86" w:rsidR="0022726A" w:rsidRDefault="00FA1949" w:rsidP="0022726A">
      <w:pPr>
        <w:rPr>
          <w:noProof/>
        </w:rPr>
      </w:pPr>
      <w:r>
        <w:rPr>
          <w:rFonts w:hint="eastAsia"/>
          <w:noProof/>
          <w:lang w:eastAsia="zh-CN"/>
        </w:rPr>
        <w:t>W</w:t>
      </w:r>
      <w:r w:rsidRPr="007C2D19">
        <w:rPr>
          <w:noProof/>
        </w:rPr>
        <w:t xml:space="preserve">hen </w:t>
      </w:r>
      <w:r w:rsidRPr="00734785">
        <w:rPr>
          <w:rFonts w:eastAsiaTheme="minorEastAsia"/>
          <w:lang w:eastAsia="zh-CN"/>
        </w:rPr>
        <w:t xml:space="preserve">Srxlev </w:t>
      </w:r>
      <w:r w:rsidRPr="00691C10">
        <w:t>≤</w:t>
      </w:r>
      <w:r w:rsidRPr="00734785">
        <w:rPr>
          <w:rFonts w:eastAsiaTheme="minorEastAsia"/>
          <w:lang w:eastAsia="zh-CN"/>
        </w:rPr>
        <w:t xml:space="preserve"> S</w:t>
      </w:r>
      <w:r w:rsidRPr="00C15974">
        <w:rPr>
          <w:rFonts w:eastAsiaTheme="minorEastAsia"/>
          <w:vertAlign w:val="subscript"/>
          <w:lang w:eastAsia="zh-CN"/>
        </w:rPr>
        <w:t>nonIntraSearchP</w:t>
      </w:r>
      <w:r w:rsidRPr="00734785">
        <w:rPr>
          <w:rFonts w:eastAsiaTheme="minorEastAsia"/>
          <w:lang w:eastAsia="zh-CN"/>
        </w:rPr>
        <w:t xml:space="preserve"> </w:t>
      </w:r>
      <w:r>
        <w:rPr>
          <w:rFonts w:eastAsiaTheme="minorEastAsia"/>
          <w:lang w:eastAsia="zh-CN"/>
        </w:rPr>
        <w:t>or</w:t>
      </w:r>
      <w:r w:rsidRPr="00734785">
        <w:rPr>
          <w:rFonts w:eastAsiaTheme="minorEastAsia"/>
          <w:lang w:eastAsia="zh-CN"/>
        </w:rPr>
        <w:t xml:space="preserve"> Squal </w:t>
      </w:r>
      <w:r w:rsidRPr="00691C10">
        <w:t>≤</w:t>
      </w:r>
      <w:r w:rsidRPr="00734785">
        <w:rPr>
          <w:rFonts w:eastAsiaTheme="minorEastAsia"/>
          <w:lang w:eastAsia="zh-CN"/>
        </w:rPr>
        <w:t xml:space="preserve"> S</w:t>
      </w:r>
      <w:r w:rsidRPr="00C15974">
        <w:rPr>
          <w:rFonts w:eastAsiaTheme="minorEastAsia"/>
          <w:vertAlign w:val="subscript"/>
          <w:lang w:eastAsia="zh-CN"/>
        </w:rPr>
        <w:t>nonIntraSearchQ</w:t>
      </w:r>
      <w:r w:rsidRPr="00734785">
        <w:rPr>
          <w:rFonts w:eastAsiaTheme="minorEastAsia"/>
          <w:lang w:eastAsia="zh-CN"/>
        </w:rPr>
        <w:t xml:space="preserve"> </w:t>
      </w:r>
      <w:r>
        <w:rPr>
          <w:rFonts w:eastAsiaTheme="minorEastAsia" w:hint="eastAsia"/>
          <w:lang w:eastAsia="zh-CN"/>
        </w:rPr>
        <w:t>then t</w:t>
      </w:r>
      <w:r w:rsidR="002E4D01">
        <w:rPr>
          <w:rFonts w:eastAsiaTheme="minorEastAsia"/>
          <w:lang w:eastAsia="zh-CN"/>
        </w:rPr>
        <w:t>h</w:t>
      </w:r>
      <w:r w:rsidR="0022726A" w:rsidRPr="0089796C">
        <w:rPr>
          <w:noProof/>
        </w:rPr>
        <w:t xml:space="preserve">e requirements defined in clause </w:t>
      </w:r>
      <w:r w:rsidR="0022726A">
        <w:t>4.2.2.</w:t>
      </w:r>
      <w:r w:rsidR="006F2A46">
        <w:t>4</w:t>
      </w:r>
      <w:r w:rsidR="0022726A" w:rsidRPr="0089796C">
        <w:t xml:space="preserve"> </w:t>
      </w:r>
      <w:r w:rsidR="0022726A" w:rsidRPr="0089796C">
        <w:rPr>
          <w:noProof/>
        </w:rPr>
        <w:t xml:space="preserve">apply for this </w:t>
      </w:r>
      <w:r w:rsidR="0063092D">
        <w:rPr>
          <w:noProof/>
        </w:rPr>
        <w:t>clause</w:t>
      </w:r>
      <w:r w:rsidR="0022726A" w:rsidRPr="0089796C">
        <w:rPr>
          <w:noProof/>
        </w:rPr>
        <w:t xml:space="preserve"> </w:t>
      </w:r>
      <w:r w:rsidR="0022726A">
        <w:rPr>
          <w:noProof/>
        </w:rPr>
        <w:t>except that</w:t>
      </w:r>
      <w:r w:rsidR="0022726A" w:rsidRPr="0089796C">
        <w:rPr>
          <w:noProof/>
        </w:rPr>
        <w:t>:</w:t>
      </w:r>
    </w:p>
    <w:p w14:paraId="5330104C" w14:textId="129EF39A" w:rsidR="0022726A" w:rsidRDefault="0022726A" w:rsidP="0022726A">
      <w:pPr>
        <w:pStyle w:val="B10"/>
      </w:pPr>
      <w:r w:rsidRPr="0089796C">
        <w:t>-</w:t>
      </w:r>
      <w:r w:rsidRPr="0089796C">
        <w:tab/>
      </w:r>
      <w:r w:rsidRPr="00885F53">
        <w:t>T</w:t>
      </w:r>
      <w:r w:rsidRPr="00885F53">
        <w:rPr>
          <w:vertAlign w:val="subscript"/>
        </w:rPr>
        <w:t>detect,</w:t>
      </w:r>
      <w:r w:rsidRPr="00885F53">
        <w:rPr>
          <w:vertAlign w:val="subscript"/>
          <w:lang w:eastAsia="zh-CN"/>
        </w:rPr>
        <w:t>NR</w:t>
      </w:r>
      <w:r w:rsidRPr="00885F53">
        <w:rPr>
          <w:vertAlign w:val="subscript"/>
        </w:rPr>
        <w:t>_Int</w:t>
      </w:r>
      <w:r>
        <w:rPr>
          <w:vertAlign w:val="subscript"/>
        </w:rPr>
        <w:t>e</w:t>
      </w:r>
      <w:r w:rsidRPr="00885F53">
        <w:rPr>
          <w:vertAlign w:val="subscript"/>
        </w:rPr>
        <w:t>r</w:t>
      </w:r>
      <w:r w:rsidR="002E4D01" w:rsidRPr="00736EB3">
        <w:rPr>
          <w:rFonts w:cs="v4.2.0"/>
          <w:vertAlign w:val="subscript"/>
        </w:rPr>
        <w:t>_Relax</w:t>
      </w:r>
      <w:r w:rsidRPr="00885F53">
        <w:rPr>
          <w:i/>
          <w:vertAlign w:val="subscript"/>
        </w:rPr>
        <w:t xml:space="preserve"> </w:t>
      </w:r>
      <w:r>
        <w:t xml:space="preserve">as specified in </w:t>
      </w:r>
      <w:r w:rsidRPr="00AD77EE">
        <w:t xml:space="preserve">Table </w:t>
      </w:r>
      <w:r>
        <w:t>4.2.2.10.3</w:t>
      </w:r>
      <w:r w:rsidRPr="00AD77EE">
        <w:t>-1.</w:t>
      </w:r>
    </w:p>
    <w:p w14:paraId="75EE1F47" w14:textId="2C78A877" w:rsidR="0022726A" w:rsidRDefault="0022726A" w:rsidP="0022726A">
      <w:pPr>
        <w:pStyle w:val="B10"/>
      </w:pPr>
      <w:r w:rsidRPr="0089796C">
        <w:t>-</w:t>
      </w:r>
      <w:r w:rsidRPr="0089796C">
        <w:tab/>
      </w:r>
      <w:r w:rsidRPr="00885F53">
        <w:rPr>
          <w:rFonts w:cs="v4.2.0"/>
        </w:rPr>
        <w:t>T</w:t>
      </w:r>
      <w:r w:rsidRPr="00885F53">
        <w:rPr>
          <w:rFonts w:cs="v4.2.0"/>
          <w:vertAlign w:val="subscript"/>
        </w:rPr>
        <w:t>measure,NR_Int</w:t>
      </w:r>
      <w:r>
        <w:rPr>
          <w:rFonts w:cs="v4.2.0"/>
          <w:vertAlign w:val="subscript"/>
        </w:rPr>
        <w:t>e</w:t>
      </w:r>
      <w:r w:rsidRPr="00885F53">
        <w:rPr>
          <w:rFonts w:cs="v4.2.0"/>
          <w:vertAlign w:val="subscript"/>
        </w:rPr>
        <w:t>r</w:t>
      </w:r>
      <w:r w:rsidR="002E4D01" w:rsidRPr="00736EB3">
        <w:rPr>
          <w:rFonts w:cs="v4.2.0"/>
          <w:vertAlign w:val="subscript"/>
        </w:rPr>
        <w:t>_Relax</w:t>
      </w:r>
      <w:r w:rsidRPr="00885F53">
        <w:rPr>
          <w:rFonts w:cs="v4.2.0"/>
        </w:rPr>
        <w:t xml:space="preserve"> </w:t>
      </w:r>
      <w:r>
        <w:t xml:space="preserve">as specified in </w:t>
      </w:r>
      <w:r w:rsidRPr="00AD77EE">
        <w:t xml:space="preserve">Table </w:t>
      </w:r>
      <w:r>
        <w:t>4.2.2.10.3</w:t>
      </w:r>
      <w:r w:rsidRPr="00AD77EE">
        <w:t>-1.</w:t>
      </w:r>
    </w:p>
    <w:p w14:paraId="4B32E7AB" w14:textId="64D00E49" w:rsidR="0022726A" w:rsidRDefault="0022726A" w:rsidP="0022726A">
      <w:pPr>
        <w:pStyle w:val="B10"/>
      </w:pPr>
      <w:r w:rsidRPr="0089796C">
        <w:t>-</w:t>
      </w:r>
      <w:r w:rsidRPr="0089796C">
        <w:tab/>
      </w:r>
      <w:r w:rsidRPr="00885F53">
        <w:rPr>
          <w:rFonts w:cs="v4.2.0"/>
        </w:rPr>
        <w:t>T</w:t>
      </w:r>
      <w:r w:rsidRPr="00885F53">
        <w:rPr>
          <w:rFonts w:cs="v4.2.0"/>
          <w:vertAlign w:val="subscript"/>
        </w:rPr>
        <w:t>evaluate,</w:t>
      </w:r>
      <w:r w:rsidRPr="00885F53">
        <w:rPr>
          <w:rFonts w:cs="v4.2.0"/>
          <w:vertAlign w:val="subscript"/>
          <w:lang w:eastAsia="zh-CN"/>
        </w:rPr>
        <w:t>NR</w:t>
      </w:r>
      <w:r w:rsidRPr="00885F53">
        <w:rPr>
          <w:rFonts w:cs="v4.2.0"/>
          <w:vertAlign w:val="subscript"/>
        </w:rPr>
        <w:t>_Int</w:t>
      </w:r>
      <w:r>
        <w:rPr>
          <w:rFonts w:cs="v4.2.0"/>
          <w:vertAlign w:val="subscript"/>
        </w:rPr>
        <w:t>e</w:t>
      </w:r>
      <w:r w:rsidRPr="00885F53">
        <w:rPr>
          <w:rFonts w:cs="v4.2.0"/>
          <w:vertAlign w:val="subscript"/>
        </w:rPr>
        <w:t>r</w:t>
      </w:r>
      <w:r w:rsidR="002E4D01" w:rsidRPr="00736EB3">
        <w:rPr>
          <w:rFonts w:cs="v4.2.0"/>
          <w:vertAlign w:val="subscript"/>
        </w:rPr>
        <w:t>_Relax</w:t>
      </w:r>
      <w:r>
        <w:rPr>
          <w:rFonts w:cs="v4.2.0"/>
          <w:vertAlign w:val="subscript"/>
        </w:rPr>
        <w:t xml:space="preserve"> </w:t>
      </w:r>
      <w:r>
        <w:t xml:space="preserve">as specified in </w:t>
      </w:r>
      <w:r w:rsidRPr="00AD77EE">
        <w:t xml:space="preserve">Table </w:t>
      </w:r>
      <w:r>
        <w:t>4.2.2.10.3</w:t>
      </w:r>
      <w:r w:rsidRPr="00AD77EE">
        <w:t>-1.</w:t>
      </w:r>
    </w:p>
    <w:p w14:paraId="7178E093" w14:textId="143D397D" w:rsidR="002E4D01" w:rsidRDefault="002E4D01" w:rsidP="002E4D01">
      <w:pPr>
        <w:pStyle w:val="B10"/>
        <w:rPr>
          <w:vertAlign w:val="subscript"/>
          <w:lang w:eastAsia="zh-CN"/>
        </w:rPr>
      </w:pPr>
      <w:r>
        <w:rPr>
          <w:rFonts w:hint="eastAsia"/>
          <w:lang w:eastAsia="zh-CN"/>
        </w:rPr>
        <w:t>-</w:t>
      </w:r>
      <w:r>
        <w:rPr>
          <w:lang w:eastAsia="zh-CN"/>
        </w:rPr>
        <w:tab/>
      </w:r>
      <w:r w:rsidRPr="00736EB3">
        <w:t>The UE shall be able to evaluate whether a newly detectable</w:t>
      </w:r>
      <w:r w:rsidRPr="00736EB3">
        <w:rPr>
          <w:lang w:val="en-US" w:eastAsia="zh-CN"/>
        </w:rPr>
        <w:t xml:space="preserve"> inter-frequency NR</w:t>
      </w:r>
      <w:r w:rsidRPr="00736EB3">
        <w:t xml:space="preserve"> cell meets the reselection criteria defined in TS3</w:t>
      </w:r>
      <w:r w:rsidRPr="00736EB3">
        <w:rPr>
          <w:lang w:eastAsia="zh-CN"/>
        </w:rPr>
        <w:t>8</w:t>
      </w:r>
      <w:r w:rsidRPr="00736EB3">
        <w:t>.304 [1] within N</w:t>
      </w:r>
      <w:r w:rsidRPr="00736EB3">
        <w:rPr>
          <w:vertAlign w:val="subscript"/>
        </w:rPr>
        <w:t>carrier_Relax</w:t>
      </w:r>
      <w:r w:rsidRPr="00736EB3">
        <w:t xml:space="preserve"> * T</w:t>
      </w:r>
      <w:r w:rsidRPr="00736EB3">
        <w:rPr>
          <w:vertAlign w:val="subscript"/>
        </w:rPr>
        <w:t>detect,NR_Inter_Relax</w:t>
      </w:r>
      <w:r w:rsidRPr="00736EB3">
        <w:t xml:space="preserve"> + N</w:t>
      </w:r>
      <w:r w:rsidRPr="00736EB3">
        <w:rPr>
          <w:vertAlign w:val="subscript"/>
        </w:rPr>
        <w:t>carrier_Non_relax</w:t>
      </w:r>
      <w:r w:rsidRPr="00736EB3">
        <w:t xml:space="preserve">  * T</w:t>
      </w:r>
      <w:r w:rsidRPr="00736EB3">
        <w:rPr>
          <w:vertAlign w:val="subscript"/>
        </w:rPr>
        <w:t>detect,NR_Inter</w:t>
      </w:r>
      <w:r w:rsidRPr="00E44FB4">
        <w:t xml:space="preserve">. </w:t>
      </w:r>
      <w:r w:rsidRPr="00736EB3">
        <w:t>Cells which have been detected shall be measured at least every N</w:t>
      </w:r>
      <w:r w:rsidRPr="00736EB3">
        <w:rPr>
          <w:vertAlign w:val="subscript"/>
        </w:rPr>
        <w:t>carrier_Relax</w:t>
      </w:r>
      <w:r w:rsidRPr="00736EB3">
        <w:t xml:space="preserve"> * T</w:t>
      </w:r>
      <w:r w:rsidRPr="00736EB3">
        <w:rPr>
          <w:vertAlign w:val="subscript"/>
        </w:rPr>
        <w:t>measure,NR_Inter_Relax</w:t>
      </w:r>
      <w:r w:rsidRPr="00736EB3">
        <w:t xml:space="preserve"> + N</w:t>
      </w:r>
      <w:r w:rsidRPr="00736EB3">
        <w:rPr>
          <w:vertAlign w:val="subscript"/>
        </w:rPr>
        <w:t>carrier_Non_relax</w:t>
      </w:r>
      <w:r w:rsidRPr="00736EB3">
        <w:t xml:space="preserve">  * T</w:t>
      </w:r>
      <w:r w:rsidRPr="00736EB3">
        <w:rPr>
          <w:vertAlign w:val="subscript"/>
        </w:rPr>
        <w:t>measure,NR_Inter.</w:t>
      </w:r>
      <w:r>
        <w:rPr>
          <w:rFonts w:hint="eastAsia"/>
          <w:vertAlign w:val="subscript"/>
          <w:lang w:eastAsia="zh-CN"/>
        </w:rPr>
        <w:t xml:space="preserve"> </w:t>
      </w:r>
      <w:r>
        <w:t>T</w:t>
      </w:r>
      <w:r w:rsidRPr="00736EB3">
        <w:t xml:space="preserve">he UE shall be </w:t>
      </w:r>
      <w:r>
        <w:t>able to</w:t>
      </w:r>
      <w:r w:rsidRPr="00736EB3">
        <w:t xml:space="preserve"> evaluat</w:t>
      </w:r>
      <w:r>
        <w:t>e</w:t>
      </w:r>
      <w:r w:rsidRPr="00736EB3">
        <w:t xml:space="preserve"> </w:t>
      </w:r>
      <w:r>
        <w:t xml:space="preserve">that </w:t>
      </w:r>
      <w:r w:rsidRPr="00736EB3">
        <w:t xml:space="preserve">an already identified </w:t>
      </w:r>
      <w:r w:rsidRPr="00736EB3">
        <w:rPr>
          <w:lang w:eastAsia="zh-CN"/>
        </w:rPr>
        <w:t>inter-frequency NR</w:t>
      </w:r>
      <w:r w:rsidRPr="00736EB3">
        <w:t xml:space="preserve"> cell has met reselection criterion defined in TS 3</w:t>
      </w:r>
      <w:r w:rsidRPr="00736EB3">
        <w:rPr>
          <w:lang w:eastAsia="zh-CN"/>
        </w:rPr>
        <w:t>8</w:t>
      </w:r>
      <w:r w:rsidRPr="00736EB3">
        <w:t>.304 [1] within N</w:t>
      </w:r>
      <w:r w:rsidRPr="00736EB3">
        <w:rPr>
          <w:vertAlign w:val="subscript"/>
        </w:rPr>
        <w:t>carrier_Relax</w:t>
      </w:r>
      <w:r w:rsidRPr="00736EB3">
        <w:t xml:space="preserve"> * T</w:t>
      </w:r>
      <w:r w:rsidRPr="00736EB3">
        <w:rPr>
          <w:vertAlign w:val="subscript"/>
        </w:rPr>
        <w:t>evaluate,NR_Inter_Relax</w:t>
      </w:r>
      <w:r w:rsidRPr="00736EB3">
        <w:t xml:space="preserve"> + N</w:t>
      </w:r>
      <w:r w:rsidRPr="00736EB3">
        <w:rPr>
          <w:vertAlign w:val="subscript"/>
        </w:rPr>
        <w:t>carrier_Non_relax</w:t>
      </w:r>
      <w:r w:rsidRPr="00736EB3">
        <w:t xml:space="preserve">  * T</w:t>
      </w:r>
      <w:r w:rsidRPr="00736EB3">
        <w:rPr>
          <w:vertAlign w:val="subscript"/>
        </w:rPr>
        <w:t>evaluate,NR_Inter</w:t>
      </w:r>
      <w:r w:rsidRPr="00736EB3">
        <w:t>.</w:t>
      </w:r>
      <w:r>
        <w:rPr>
          <w:rFonts w:hint="eastAsia"/>
          <w:vertAlign w:val="subscript"/>
          <w:lang w:eastAsia="zh-CN"/>
        </w:rPr>
        <w:t xml:space="preserve"> </w:t>
      </w:r>
    </w:p>
    <w:p w14:paraId="454C6BA7" w14:textId="72A4289B" w:rsidR="002E4D01" w:rsidRPr="00390C6A" w:rsidRDefault="002E4D01" w:rsidP="002E4D01">
      <w:pPr>
        <w:pStyle w:val="B10"/>
        <w:rPr>
          <w:lang w:eastAsia="zh-CN"/>
        </w:rPr>
      </w:pPr>
      <w:r w:rsidRPr="00390C6A">
        <w:t>-</w:t>
      </w:r>
      <w:r>
        <w:tab/>
      </w:r>
      <w:r w:rsidRPr="00390C6A">
        <w:t xml:space="preserve">When T331 is running, </w:t>
      </w:r>
    </w:p>
    <w:p w14:paraId="1FCAB013" w14:textId="71448DD6" w:rsidR="002E4D01" w:rsidRPr="00390C6A" w:rsidRDefault="002E4D01" w:rsidP="00301B77">
      <w:pPr>
        <w:pStyle w:val="B20"/>
        <w:rPr>
          <w:vertAlign w:val="subscript"/>
        </w:rPr>
      </w:pPr>
      <w:r w:rsidRPr="00390C6A">
        <w:t>-</w:t>
      </w:r>
      <w:r>
        <w:tab/>
      </w:r>
      <w:r w:rsidRPr="00390C6A">
        <w:t>The parameter N</w:t>
      </w:r>
      <w:r w:rsidRPr="00390C6A">
        <w:rPr>
          <w:vertAlign w:val="subscript"/>
        </w:rPr>
        <w:t>carrier_Relax</w:t>
      </w:r>
      <w:r w:rsidRPr="00390C6A">
        <w:t xml:space="preserve"> is the total number of NR inter-frequency carriers not configured for idle mode CA/DC measurements.</w:t>
      </w:r>
    </w:p>
    <w:p w14:paraId="3DD18A8A" w14:textId="56BEEFEB" w:rsidR="002E4D01" w:rsidRPr="00390C6A" w:rsidRDefault="002E4D01" w:rsidP="00301B77">
      <w:pPr>
        <w:pStyle w:val="B20"/>
      </w:pPr>
      <w:r w:rsidRPr="00390C6A">
        <w:t>-</w:t>
      </w:r>
      <w:r>
        <w:tab/>
      </w:r>
      <w:r w:rsidRPr="00390C6A">
        <w:t>The parameter N</w:t>
      </w:r>
      <w:r w:rsidRPr="00390C6A">
        <w:rPr>
          <w:vertAlign w:val="subscript"/>
        </w:rPr>
        <w:t>carrier_Non_relax</w:t>
      </w:r>
      <w:r w:rsidRPr="00390C6A">
        <w:t xml:space="preserve"> is the total number of NR inter-frequency carriers configured for idle mode CA/DC measurements.</w:t>
      </w:r>
    </w:p>
    <w:p w14:paraId="2ABCAE78" w14:textId="6FA331D5" w:rsidR="002E4D01" w:rsidRPr="00390C6A" w:rsidRDefault="002E4D01" w:rsidP="002E4D01">
      <w:pPr>
        <w:pStyle w:val="B10"/>
        <w:rPr>
          <w:vertAlign w:val="subscript"/>
        </w:rPr>
      </w:pPr>
      <w:r w:rsidRPr="00390C6A">
        <w:t>-</w:t>
      </w:r>
      <w:r>
        <w:tab/>
      </w:r>
      <w:r w:rsidRPr="00390C6A">
        <w:t xml:space="preserve">When T331 is not running, </w:t>
      </w:r>
    </w:p>
    <w:p w14:paraId="1AC4E1A2" w14:textId="2DDE5527" w:rsidR="002E4D01" w:rsidRPr="00770117" w:rsidRDefault="002E4D01" w:rsidP="00301B77">
      <w:pPr>
        <w:pStyle w:val="B20"/>
      </w:pPr>
      <w:r w:rsidRPr="00390C6A">
        <w:t>-</w:t>
      </w:r>
      <w:r>
        <w:tab/>
      </w:r>
      <w:r w:rsidRPr="00390C6A">
        <w:t>The parameter N</w:t>
      </w:r>
      <w:r w:rsidRPr="00390C6A">
        <w:rPr>
          <w:vertAlign w:val="subscript"/>
        </w:rPr>
        <w:t>carrier_Relax</w:t>
      </w:r>
      <w:r w:rsidRPr="00390C6A">
        <w:t xml:space="preserve"> is the total number of inter-frequency carriers configured for mobility measurements only and the number of inter-frequency carriers configured for both mobility measurement and idle mode CA/DC measurements. -</w:t>
      </w:r>
      <w:r>
        <w:tab/>
      </w:r>
      <w:r w:rsidRPr="00390C6A">
        <w:t>The parameter N</w:t>
      </w:r>
      <w:r w:rsidRPr="00390C6A">
        <w:rPr>
          <w:vertAlign w:val="subscript"/>
        </w:rPr>
        <w:t>carrier_Non_relax</w:t>
      </w:r>
      <w:r w:rsidRPr="00390C6A">
        <w:t xml:space="preserve"> =0.</w:t>
      </w:r>
    </w:p>
    <w:p w14:paraId="27A68D48" w14:textId="77777777" w:rsidR="00985138" w:rsidRPr="00043DFE" w:rsidRDefault="00985138" w:rsidP="00985138">
      <w:pPr>
        <w:rPr>
          <w:noProof/>
        </w:rPr>
      </w:pPr>
      <w:r w:rsidRPr="00043DFE">
        <w:rPr>
          <w:noProof/>
        </w:rPr>
        <w:t xml:space="preserve">If the UE is configured with eDRX_IDLE cycle then the requirements in Table 4.2.2.10.3-2 and Table 4.2.2.10.3-3 are applicable for eDRX cycle up to 10.24 s in FR1 and FR2, respectively. </w:t>
      </w:r>
    </w:p>
    <w:p w14:paraId="3B86D68D" w14:textId="77777777" w:rsidR="00985138" w:rsidRPr="00043DFE" w:rsidRDefault="00985138" w:rsidP="00D60521">
      <w:pPr>
        <w:overflowPunct/>
        <w:autoSpaceDE/>
        <w:autoSpaceDN/>
        <w:adjustRightInd/>
        <w:textAlignment w:val="auto"/>
      </w:pPr>
      <w:r w:rsidRPr="00043DFE">
        <w:t xml:space="preserve">If the UE is configured with eDRX_IDLE cycle greater than 10.24 s in FR1 and FR2, then the requirements in Table </w:t>
      </w:r>
      <w:r w:rsidRPr="00043DFE">
        <w:rPr>
          <w:lang w:val="en-US"/>
        </w:rPr>
        <w:t>Table 4.2.2.10.3-4</w:t>
      </w:r>
      <w:r w:rsidRPr="00043DFE">
        <w:t xml:space="preserve"> and </w:t>
      </w:r>
      <w:r w:rsidRPr="00043DFE">
        <w:rPr>
          <w:lang w:val="en-US"/>
        </w:rPr>
        <w:t xml:space="preserve">Table 4.2.2.10.3-5 respectively </w:t>
      </w:r>
      <w:r w:rsidRPr="00043DFE">
        <w:t xml:space="preserve">apply provided eDRX cycle is </w:t>
      </w:r>
      <w:r w:rsidRPr="00043DFE">
        <w:rPr>
          <w:rFonts w:hint="eastAsia"/>
        </w:rPr>
        <w:t>≤</w:t>
      </w:r>
      <w:r w:rsidRPr="00043DFE">
        <w:t xml:space="preserve"> [163.84] sec and evaluation/measurement time with relaxation on one carrier is not greater than single PTW window length.</w:t>
      </w:r>
    </w:p>
    <w:p w14:paraId="2910E71B" w14:textId="3EE1BF6E" w:rsidR="0022726A" w:rsidRDefault="00985138" w:rsidP="00985138">
      <w:pPr>
        <w:rPr>
          <w:noProof/>
        </w:rPr>
      </w:pPr>
      <w:r w:rsidRPr="00043DFE">
        <w:rPr>
          <w:noProof/>
        </w:rPr>
        <w:t xml:space="preserve">When Srxlev &gt; SnonIntraSearchP and Squal &gt; SnonIntraSearchQ and regardless of whether the UE is configured with </w:t>
      </w:r>
      <w:r w:rsidRPr="00043DFE">
        <w:rPr>
          <w:i/>
          <w:iCs/>
          <w:noProof/>
        </w:rPr>
        <w:t>highPriorityMeasRelax</w:t>
      </w:r>
      <w:r w:rsidRPr="00043DFE">
        <w:rPr>
          <w:noProof/>
        </w:rPr>
        <w:t xml:space="preserve"> [2] or not, the UE shall search for inter-frequency layers of higher priority at least every T</w:t>
      </w:r>
      <w:r w:rsidRPr="00043DFE">
        <w:rPr>
          <w:noProof/>
          <w:vertAlign w:val="subscript"/>
        </w:rPr>
        <w:t>higher_priority</w:t>
      </w:r>
      <w:r w:rsidRPr="00043DFE">
        <w:rPr>
          <w:noProof/>
        </w:rPr>
        <w:t>_search where T</w:t>
      </w:r>
      <w:r w:rsidRPr="00043DFE">
        <w:rPr>
          <w:noProof/>
          <w:vertAlign w:val="subscript"/>
        </w:rPr>
        <w:t>higher_priority_search</w:t>
      </w:r>
      <w:r w:rsidRPr="00043DFE">
        <w:rPr>
          <w:noProof/>
        </w:rPr>
        <w:t xml:space="preserve"> is described in clause 4.2.2.7</w:t>
      </w:r>
    </w:p>
    <w:p w14:paraId="013148BF" w14:textId="77777777" w:rsidR="00A20BE0" w:rsidRPr="004A3924" w:rsidRDefault="00A20BE0" w:rsidP="00A20BE0">
      <w:pPr>
        <w:pStyle w:val="TH"/>
        <w:rPr>
          <w:vertAlign w:val="subscript"/>
        </w:rPr>
      </w:pPr>
      <w:r w:rsidRPr="00885F53">
        <w:t xml:space="preserve">Table </w:t>
      </w:r>
      <w:r>
        <w:t>4.2.2.10.3</w:t>
      </w:r>
      <w:r w:rsidRPr="00885F53">
        <w:t>-1: T</w:t>
      </w:r>
      <w:r w:rsidRPr="00885F53">
        <w:rPr>
          <w:vertAlign w:val="subscript"/>
        </w:rPr>
        <w:t>detect,NR_Inter</w:t>
      </w:r>
      <w:r>
        <w:rPr>
          <w:vertAlign w:val="subscript"/>
        </w:rPr>
        <w:t>_Relax</w:t>
      </w:r>
      <w:r w:rsidRPr="00885F53">
        <w:rPr>
          <w:vertAlign w:val="subscript"/>
        </w:rPr>
        <w:t>,</w:t>
      </w:r>
      <w:r w:rsidRPr="00885F53">
        <w:t xml:space="preserve"> T</w:t>
      </w:r>
      <w:r w:rsidRPr="00885F53">
        <w:rPr>
          <w:vertAlign w:val="subscript"/>
        </w:rPr>
        <w:t>measure,NR_Inter</w:t>
      </w:r>
      <w:r>
        <w:rPr>
          <w:vertAlign w:val="subscript"/>
        </w:rPr>
        <w:t>_Relax</w:t>
      </w:r>
      <w:r w:rsidRPr="00885F53">
        <w:t xml:space="preserve"> and T</w:t>
      </w:r>
      <w:r w:rsidRPr="00885F53">
        <w:rPr>
          <w:vertAlign w:val="subscript"/>
        </w:rPr>
        <w:t>evaluate,NR_Inter</w:t>
      </w:r>
      <w:r>
        <w:rPr>
          <w:vertAlign w:val="subscript"/>
        </w:rPr>
        <w:t>_Relax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4"/>
        <w:gridCol w:w="557"/>
        <w:gridCol w:w="789"/>
        <w:gridCol w:w="791"/>
        <w:gridCol w:w="1990"/>
        <w:gridCol w:w="2171"/>
        <w:gridCol w:w="2157"/>
      </w:tblGrid>
      <w:tr w:rsidR="00A20BE0" w:rsidRPr="00542EC9" w14:paraId="654EB4F6" w14:textId="77777777" w:rsidTr="00A22697">
        <w:trPr>
          <w:cantSplit/>
          <w:trHeight w:val="310"/>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5AC06C2D"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DRX cycle length [s]</w:t>
            </w:r>
          </w:p>
        </w:tc>
        <w:tc>
          <w:tcPr>
            <w:tcW w:w="2137" w:type="dxa"/>
            <w:gridSpan w:val="3"/>
            <w:tcBorders>
              <w:top w:val="single" w:sz="4" w:space="0" w:color="auto"/>
              <w:left w:val="single" w:sz="4" w:space="0" w:color="auto"/>
              <w:bottom w:val="single" w:sz="4" w:space="0" w:color="auto"/>
              <w:right w:val="single" w:sz="4" w:space="0" w:color="auto"/>
            </w:tcBorders>
            <w:hideMark/>
          </w:tcPr>
          <w:p w14:paraId="2302DB4F"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Scaling Factor (N1)</w:t>
            </w:r>
          </w:p>
        </w:tc>
        <w:tc>
          <w:tcPr>
            <w:tcW w:w="1990" w:type="dxa"/>
            <w:vMerge w:val="restart"/>
            <w:tcBorders>
              <w:top w:val="single" w:sz="4" w:space="0" w:color="auto"/>
              <w:left w:val="single" w:sz="4" w:space="0" w:color="auto"/>
              <w:bottom w:val="single" w:sz="4" w:space="0" w:color="auto"/>
              <w:right w:val="single" w:sz="4" w:space="0" w:color="auto"/>
            </w:tcBorders>
            <w:hideMark/>
          </w:tcPr>
          <w:p w14:paraId="3FA4264A"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T</w:t>
            </w:r>
            <w:r w:rsidRPr="00542EC9">
              <w:rPr>
                <w:rFonts w:ascii="Arial" w:eastAsia="Malgun Gothic" w:hAnsi="Arial"/>
                <w:b/>
                <w:sz w:val="18"/>
                <w:vertAlign w:val="subscript"/>
              </w:rPr>
              <w:t>detect,NR_</w:t>
            </w:r>
            <w:r w:rsidRPr="00542EC9">
              <w:rPr>
                <w:rFonts w:ascii="Arial" w:eastAsia="Malgun Gothic" w:hAnsi="Arial" w:cs="v4.2.0"/>
                <w:b/>
                <w:sz w:val="18"/>
                <w:vertAlign w:val="subscript"/>
              </w:rPr>
              <w:t>Inter</w:t>
            </w:r>
            <w:r w:rsidRPr="00542EC9">
              <w:rPr>
                <w:rFonts w:ascii="Arial" w:eastAsia="Malgun Gothic" w:hAnsi="Arial"/>
                <w:b/>
                <w:sz w:val="18"/>
              </w:rPr>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175DAE64"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T</w:t>
            </w:r>
            <w:r w:rsidRPr="00542EC9">
              <w:rPr>
                <w:rFonts w:ascii="Arial" w:eastAsia="Malgun Gothic" w:hAnsi="Arial"/>
                <w:b/>
                <w:sz w:val="18"/>
                <w:vertAlign w:val="subscript"/>
              </w:rPr>
              <w:t>measure,NR_</w:t>
            </w:r>
            <w:r w:rsidRPr="00542EC9">
              <w:rPr>
                <w:rFonts w:ascii="Arial" w:eastAsia="Malgun Gothic" w:hAnsi="Arial" w:cs="v4.2.0"/>
                <w:b/>
                <w:sz w:val="18"/>
                <w:vertAlign w:val="subscript"/>
              </w:rPr>
              <w:t>Inter</w:t>
            </w:r>
            <w:r w:rsidRPr="00542EC9">
              <w:rPr>
                <w:rFonts w:ascii="Arial" w:eastAsia="Malgun Gothic" w:hAnsi="Arial"/>
                <w:b/>
                <w:sz w:val="18"/>
              </w:rPr>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7FF7ED11"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T</w:t>
            </w:r>
            <w:r w:rsidRPr="00542EC9">
              <w:rPr>
                <w:rFonts w:ascii="Arial" w:eastAsia="Malgun Gothic" w:hAnsi="Arial"/>
                <w:b/>
                <w:sz w:val="18"/>
                <w:vertAlign w:val="subscript"/>
              </w:rPr>
              <w:t>evaluate,NR_</w:t>
            </w:r>
            <w:r w:rsidRPr="00542EC9">
              <w:rPr>
                <w:rFonts w:ascii="Arial" w:eastAsia="Malgun Gothic" w:hAnsi="Arial" w:cs="v4.2.0"/>
                <w:b/>
                <w:sz w:val="18"/>
                <w:vertAlign w:val="subscript"/>
              </w:rPr>
              <w:t>Inter</w:t>
            </w:r>
            <w:r w:rsidRPr="00542EC9">
              <w:rPr>
                <w:rFonts w:ascii="Arial" w:eastAsia="Malgun Gothic" w:hAnsi="Arial" w:cs="Arial"/>
                <w:b/>
                <w:sz w:val="18"/>
              </w:rPr>
              <w:t xml:space="preserve"> </w:t>
            </w:r>
            <w:r w:rsidRPr="00542EC9">
              <w:rPr>
                <w:rFonts w:ascii="Arial" w:eastAsia="Malgun Gothic" w:hAnsi="Arial"/>
                <w:b/>
                <w:sz w:val="18"/>
              </w:rPr>
              <w:t>[s] (number of DRX cycles)</w:t>
            </w:r>
          </w:p>
        </w:tc>
      </w:tr>
      <w:tr w:rsidR="00A20BE0" w:rsidRPr="00542EC9" w14:paraId="544E0160" w14:textId="77777777" w:rsidTr="00583014">
        <w:trPr>
          <w:cantSplit/>
          <w:trHeight w:val="43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813117" w14:textId="77777777" w:rsidR="00A20BE0" w:rsidRPr="00542EC9" w:rsidRDefault="00A20BE0" w:rsidP="00583014">
            <w:pPr>
              <w:keepNext/>
              <w:keepLines/>
              <w:spacing w:after="0"/>
              <w:jc w:val="center"/>
              <w:rPr>
                <w:rFonts w:ascii="Arial" w:eastAsia="Malgun Gothic" w:hAnsi="Arial"/>
                <w:b/>
                <w:sz w:val="18"/>
              </w:rPr>
            </w:pPr>
          </w:p>
        </w:tc>
        <w:tc>
          <w:tcPr>
            <w:tcW w:w="0" w:type="auto"/>
            <w:tcBorders>
              <w:top w:val="single" w:sz="4" w:space="0" w:color="auto"/>
              <w:left w:val="single" w:sz="4" w:space="0" w:color="auto"/>
              <w:bottom w:val="single" w:sz="4" w:space="0" w:color="auto"/>
              <w:right w:val="single" w:sz="4" w:space="0" w:color="auto"/>
            </w:tcBorders>
            <w:hideMark/>
          </w:tcPr>
          <w:p w14:paraId="5244EC29" w14:textId="77777777" w:rsidR="00A20BE0" w:rsidRPr="00542EC9" w:rsidRDefault="00A20BE0" w:rsidP="00583014">
            <w:pPr>
              <w:keepNext/>
              <w:keepLines/>
              <w:spacing w:after="0"/>
              <w:jc w:val="center"/>
              <w:rPr>
                <w:rFonts w:ascii="Arial" w:eastAsia="Malgun Gothic" w:hAnsi="Arial"/>
                <w:b/>
                <w:sz w:val="18"/>
              </w:rPr>
            </w:pPr>
            <w:r w:rsidRPr="00542EC9">
              <w:rPr>
                <w:rFonts w:ascii="Arial" w:eastAsia="Malgun Gothic" w:hAnsi="Arial"/>
                <w:b/>
                <w:sz w:val="18"/>
              </w:rPr>
              <w:t>FR1</w:t>
            </w:r>
          </w:p>
        </w:tc>
        <w:tc>
          <w:tcPr>
            <w:tcW w:w="0" w:type="auto"/>
            <w:tcBorders>
              <w:top w:val="single" w:sz="4" w:space="0" w:color="auto"/>
              <w:left w:val="single" w:sz="4" w:space="0" w:color="auto"/>
              <w:bottom w:val="single" w:sz="4" w:space="0" w:color="auto"/>
              <w:right w:val="single" w:sz="4" w:space="0" w:color="auto"/>
            </w:tcBorders>
            <w:hideMark/>
          </w:tcPr>
          <w:p w14:paraId="3924D290" w14:textId="77777777" w:rsidR="00A20BE0" w:rsidRPr="00542EC9" w:rsidRDefault="00A20BE0" w:rsidP="00583014">
            <w:pPr>
              <w:keepNext/>
              <w:keepLines/>
              <w:spacing w:after="0"/>
              <w:jc w:val="center"/>
              <w:rPr>
                <w:rFonts w:ascii="Arial" w:eastAsia="Malgun Gothic" w:hAnsi="Arial"/>
                <w:b/>
                <w:sz w:val="18"/>
                <w:vertAlign w:val="superscript"/>
              </w:rPr>
            </w:pPr>
            <w:r w:rsidRPr="00542EC9">
              <w:rPr>
                <w:rFonts w:ascii="Arial" w:eastAsia="Malgun Gothic" w:hAnsi="Arial"/>
                <w:b/>
                <w:sz w:val="18"/>
              </w:rPr>
              <w:t>FR2</w:t>
            </w:r>
            <w:r>
              <w:rPr>
                <w:rFonts w:ascii="Arial" w:eastAsia="Malgun Gothic" w:hAnsi="Arial"/>
                <w:b/>
                <w:sz w:val="18"/>
              </w:rPr>
              <w:t>-1</w:t>
            </w:r>
            <w:r w:rsidRPr="00542EC9">
              <w:rPr>
                <w:rFonts w:ascii="Arial" w:eastAsia="Malgun Gothic" w:hAnsi="Arial"/>
                <w:b/>
                <w:sz w:val="18"/>
                <w:vertAlign w:val="superscript"/>
              </w:rPr>
              <w:t>Note1</w:t>
            </w:r>
          </w:p>
        </w:tc>
        <w:tc>
          <w:tcPr>
            <w:tcW w:w="791" w:type="dxa"/>
            <w:tcBorders>
              <w:top w:val="single" w:sz="4" w:space="0" w:color="auto"/>
              <w:left w:val="single" w:sz="4" w:space="0" w:color="auto"/>
              <w:bottom w:val="single" w:sz="4" w:space="0" w:color="auto"/>
              <w:right w:val="single" w:sz="4" w:space="0" w:color="auto"/>
            </w:tcBorders>
          </w:tcPr>
          <w:p w14:paraId="54AEA6D8" w14:textId="77777777" w:rsidR="00A20BE0" w:rsidRPr="00DF4E37" w:rsidRDefault="00A20BE0" w:rsidP="00583014">
            <w:pPr>
              <w:keepNext/>
              <w:keepLines/>
              <w:spacing w:after="0"/>
              <w:jc w:val="center"/>
              <w:rPr>
                <w:rFonts w:ascii="Arial" w:eastAsia="Malgun Gothic" w:hAnsi="Arial" w:cs="Arial"/>
                <w:b/>
                <w:sz w:val="18"/>
                <w:szCs w:val="18"/>
                <w:vertAlign w:val="superscript"/>
              </w:rPr>
            </w:pPr>
            <w:r w:rsidRPr="00DF4E37">
              <w:rPr>
                <w:rFonts w:ascii="Arial" w:hAnsi="Arial" w:cs="Arial"/>
                <w:sz w:val="18"/>
                <w:szCs w:val="18"/>
              </w:rPr>
              <w:t>FR2-2</w:t>
            </w:r>
            <w:r w:rsidRPr="00DF4E37">
              <w:rPr>
                <w:rFonts w:ascii="Arial" w:hAnsi="Arial" w:cs="Arial"/>
                <w:sz w:val="18"/>
                <w:szCs w:val="18"/>
                <w:vertAlign w:val="superscript"/>
              </w:rPr>
              <w:t xml:space="preserve"> Note2</w:t>
            </w:r>
          </w:p>
        </w:tc>
        <w:tc>
          <w:tcPr>
            <w:tcW w:w="1990" w:type="dxa"/>
            <w:vMerge/>
            <w:tcBorders>
              <w:top w:val="single" w:sz="4" w:space="0" w:color="auto"/>
              <w:left w:val="single" w:sz="4" w:space="0" w:color="auto"/>
              <w:bottom w:val="single" w:sz="4" w:space="0" w:color="auto"/>
              <w:right w:val="single" w:sz="4" w:space="0" w:color="auto"/>
            </w:tcBorders>
            <w:vAlign w:val="center"/>
            <w:hideMark/>
          </w:tcPr>
          <w:p w14:paraId="4B437FB7" w14:textId="77777777" w:rsidR="00A20BE0" w:rsidRPr="00542EC9" w:rsidRDefault="00A20BE0" w:rsidP="00583014">
            <w:pPr>
              <w:keepNext/>
              <w:keepLines/>
              <w:spacing w:after="0"/>
              <w:jc w:val="center"/>
              <w:rPr>
                <w:rFonts w:ascii="Arial" w:eastAsia="Malgun Gothic"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8761C0" w14:textId="77777777" w:rsidR="00A20BE0" w:rsidRPr="00542EC9" w:rsidRDefault="00A20BE0" w:rsidP="00583014">
            <w:pPr>
              <w:keepNext/>
              <w:keepLines/>
              <w:spacing w:after="0"/>
              <w:jc w:val="center"/>
              <w:rPr>
                <w:rFonts w:ascii="Arial" w:eastAsia="Malgun Gothic"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BDED86" w14:textId="77777777" w:rsidR="00A20BE0" w:rsidRPr="00542EC9" w:rsidRDefault="00A20BE0" w:rsidP="00583014">
            <w:pPr>
              <w:keepNext/>
              <w:keepLines/>
              <w:spacing w:after="0"/>
              <w:jc w:val="center"/>
              <w:rPr>
                <w:rFonts w:ascii="Arial" w:eastAsia="Malgun Gothic" w:hAnsi="Arial"/>
                <w:b/>
                <w:sz w:val="18"/>
              </w:rPr>
            </w:pPr>
          </w:p>
        </w:tc>
      </w:tr>
      <w:tr w:rsidR="00A22697" w:rsidRPr="00542EC9" w14:paraId="33F11BA6"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F979598"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0.32</w:t>
            </w:r>
          </w:p>
        </w:tc>
        <w:tc>
          <w:tcPr>
            <w:tcW w:w="0" w:type="auto"/>
            <w:tcBorders>
              <w:top w:val="single" w:sz="4" w:space="0" w:color="auto"/>
              <w:left w:val="single" w:sz="4" w:space="0" w:color="auto"/>
              <w:bottom w:val="nil"/>
              <w:right w:val="single" w:sz="4" w:space="0" w:color="auto"/>
            </w:tcBorders>
            <w:hideMark/>
          </w:tcPr>
          <w:p w14:paraId="0552BA45"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1</w:t>
            </w:r>
          </w:p>
        </w:tc>
        <w:tc>
          <w:tcPr>
            <w:tcW w:w="0" w:type="auto"/>
            <w:tcBorders>
              <w:top w:val="single" w:sz="4" w:space="0" w:color="auto"/>
              <w:left w:val="single" w:sz="4" w:space="0" w:color="auto"/>
              <w:bottom w:val="single" w:sz="4" w:space="0" w:color="auto"/>
              <w:right w:val="single" w:sz="4" w:space="0" w:color="auto"/>
            </w:tcBorders>
            <w:hideMark/>
          </w:tcPr>
          <w:p w14:paraId="51C09892"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8</w:t>
            </w:r>
          </w:p>
        </w:tc>
        <w:tc>
          <w:tcPr>
            <w:tcW w:w="791" w:type="dxa"/>
            <w:tcBorders>
              <w:top w:val="single" w:sz="4" w:space="0" w:color="auto"/>
              <w:left w:val="single" w:sz="4" w:space="0" w:color="auto"/>
              <w:bottom w:val="single" w:sz="4" w:space="0" w:color="auto"/>
              <w:right w:val="single" w:sz="4" w:space="0" w:color="auto"/>
            </w:tcBorders>
          </w:tcPr>
          <w:p w14:paraId="64A9F905" w14:textId="77777777" w:rsidR="00A22697" w:rsidRPr="00DF4E37" w:rsidRDefault="00A22697" w:rsidP="00A22697">
            <w:pPr>
              <w:keepNext/>
              <w:keepLines/>
              <w:spacing w:after="0"/>
              <w:jc w:val="center"/>
              <w:rPr>
                <w:rFonts w:ascii="Arial" w:eastAsia="Malgun Gothic" w:hAnsi="Arial" w:cs="Arial"/>
                <w:sz w:val="18"/>
                <w:szCs w:val="18"/>
              </w:rPr>
            </w:pPr>
            <w:r w:rsidRPr="00DF4E37">
              <w:rPr>
                <w:rFonts w:ascii="Arial" w:hAnsi="Arial" w:cs="Arial"/>
                <w:sz w:val="18"/>
                <w:szCs w:val="18"/>
              </w:rPr>
              <w:t>12</w:t>
            </w:r>
          </w:p>
        </w:tc>
        <w:tc>
          <w:tcPr>
            <w:tcW w:w="1990" w:type="dxa"/>
            <w:tcBorders>
              <w:top w:val="single" w:sz="4" w:space="0" w:color="auto"/>
              <w:left w:val="single" w:sz="4" w:space="0" w:color="auto"/>
              <w:bottom w:val="single" w:sz="4" w:space="0" w:color="auto"/>
              <w:right w:val="single" w:sz="4" w:space="0" w:color="auto"/>
            </w:tcBorders>
            <w:hideMark/>
          </w:tcPr>
          <w:p w14:paraId="67C328CE" w14:textId="244D700E" w:rsidR="00A22697" w:rsidRPr="00542EC9" w:rsidRDefault="00A22697" w:rsidP="00A22697">
            <w:pPr>
              <w:pStyle w:val="TAC"/>
              <w:rPr>
                <w:rFonts w:eastAsia="Malgun Gothic"/>
              </w:rPr>
            </w:pPr>
            <w:r w:rsidRPr="00542EC9">
              <w:rPr>
                <w:rFonts w:eastAsia="Malgun Gothic"/>
              </w:rPr>
              <w:t xml:space="preserve">11.52 x N1 x </w:t>
            </w:r>
            <w:r>
              <w:rPr>
                <w:rFonts w:eastAsia="Malgun Gothic"/>
              </w:rPr>
              <w:t>K</w:t>
            </w:r>
            <w:r w:rsidRPr="00542EC9">
              <w:rPr>
                <w:rFonts w:eastAsia="Malgun Gothic"/>
              </w:rPr>
              <w:t xml:space="preserve">1 </w:t>
            </w:r>
            <w:r w:rsidRPr="00542EC9">
              <w:rPr>
                <w:rFonts w:eastAsia="Malgun Gothic" w:cs="Arial"/>
              </w:rPr>
              <w:t xml:space="preserve">x 1.5 </w:t>
            </w:r>
            <w:r w:rsidRPr="00542EC9">
              <w:rPr>
                <w:rFonts w:eastAsia="Malgun Gothic"/>
              </w:rPr>
              <w:t xml:space="preserve">(36 x N1 x </w:t>
            </w:r>
            <w:r>
              <w:rPr>
                <w:rFonts w:eastAsia="Malgun Gothic"/>
              </w:rPr>
              <w:t>K</w:t>
            </w:r>
            <w:r w:rsidRPr="00542EC9">
              <w:rPr>
                <w:rFonts w:eastAsia="Malgun Gothic"/>
              </w:rPr>
              <w:t>1</w:t>
            </w:r>
            <w:r w:rsidRPr="00542EC9">
              <w:rPr>
                <w:rFonts w:eastAsia="Malgun Gothic" w:cs="Arial"/>
              </w:rPr>
              <w:t xml:space="preserve"> x 1.5</w:t>
            </w:r>
            <w:r w:rsidRPr="00542EC9">
              <w:rPr>
                <w:rFonts w:eastAsia="Malgun Gothic"/>
              </w:rPr>
              <w:t>)</w:t>
            </w:r>
          </w:p>
        </w:tc>
        <w:tc>
          <w:tcPr>
            <w:tcW w:w="0" w:type="auto"/>
            <w:tcBorders>
              <w:top w:val="single" w:sz="4" w:space="0" w:color="auto"/>
              <w:left w:val="single" w:sz="4" w:space="0" w:color="auto"/>
              <w:bottom w:val="single" w:sz="4" w:space="0" w:color="auto"/>
              <w:right w:val="single" w:sz="4" w:space="0" w:color="auto"/>
            </w:tcBorders>
            <w:hideMark/>
          </w:tcPr>
          <w:p w14:paraId="45014792" w14:textId="6371B67E" w:rsidR="00A22697" w:rsidRPr="00542EC9" w:rsidRDefault="00A22697" w:rsidP="00A22697">
            <w:pPr>
              <w:pStyle w:val="TAC"/>
              <w:rPr>
                <w:rFonts w:eastAsia="Malgun Gothic"/>
              </w:rPr>
            </w:pPr>
            <w:r w:rsidRPr="00542EC9">
              <w:rPr>
                <w:rFonts w:eastAsia="Malgun Gothic"/>
              </w:rPr>
              <w:t xml:space="preserve">1.28 x N1 x </w:t>
            </w:r>
            <w:r>
              <w:rPr>
                <w:rFonts w:eastAsia="Malgun Gothic"/>
              </w:rPr>
              <w:t>K</w:t>
            </w:r>
            <w:r w:rsidRPr="00542EC9">
              <w:rPr>
                <w:rFonts w:eastAsia="Malgun Gothic"/>
              </w:rPr>
              <w:t xml:space="preserve">1 </w:t>
            </w:r>
            <w:r w:rsidRPr="00542EC9">
              <w:rPr>
                <w:rFonts w:eastAsia="Malgun Gothic" w:cs="Arial"/>
              </w:rPr>
              <w:t xml:space="preserve">x 1.5 </w:t>
            </w:r>
            <w:r w:rsidRPr="00542EC9">
              <w:rPr>
                <w:rFonts w:eastAsia="Malgun Gothic"/>
              </w:rPr>
              <w:t xml:space="preserve">(4 x N1 x </w:t>
            </w:r>
            <w:r>
              <w:rPr>
                <w:rFonts w:eastAsia="Malgun Gothic"/>
              </w:rPr>
              <w:t>K</w:t>
            </w:r>
            <w:r w:rsidRPr="00542EC9">
              <w:rPr>
                <w:rFonts w:eastAsia="Malgun Gothic"/>
              </w:rPr>
              <w:t>1</w:t>
            </w:r>
            <w:r w:rsidRPr="00542EC9">
              <w:rPr>
                <w:rFonts w:eastAsia="Malgun Gothic" w:cs="Arial"/>
              </w:rPr>
              <w:t xml:space="preserve"> x 1.5</w:t>
            </w:r>
            <w:r w:rsidRPr="00542EC9">
              <w:rPr>
                <w:rFonts w:eastAsia="Malgun Gothic"/>
              </w:rPr>
              <w:t>)</w:t>
            </w:r>
          </w:p>
        </w:tc>
        <w:tc>
          <w:tcPr>
            <w:tcW w:w="0" w:type="auto"/>
            <w:tcBorders>
              <w:top w:val="single" w:sz="4" w:space="0" w:color="auto"/>
              <w:left w:val="single" w:sz="4" w:space="0" w:color="auto"/>
              <w:bottom w:val="single" w:sz="4" w:space="0" w:color="auto"/>
              <w:right w:val="single" w:sz="4" w:space="0" w:color="auto"/>
            </w:tcBorders>
            <w:hideMark/>
          </w:tcPr>
          <w:p w14:paraId="5D23729F" w14:textId="006047B0" w:rsidR="00A22697" w:rsidRPr="00542EC9" w:rsidRDefault="00A22697" w:rsidP="00A22697">
            <w:pPr>
              <w:pStyle w:val="TAC"/>
              <w:rPr>
                <w:rFonts w:eastAsia="Malgun Gothic"/>
              </w:rPr>
            </w:pPr>
            <w:r w:rsidRPr="00542EC9">
              <w:rPr>
                <w:rFonts w:eastAsia="Malgun Gothic"/>
              </w:rPr>
              <w:t xml:space="preserve">5.12 x N1 x </w:t>
            </w:r>
            <w:r>
              <w:rPr>
                <w:rFonts w:eastAsia="Malgun Gothic"/>
              </w:rPr>
              <w:t>K</w:t>
            </w:r>
            <w:r w:rsidRPr="00542EC9">
              <w:rPr>
                <w:rFonts w:eastAsia="Malgun Gothic"/>
              </w:rPr>
              <w:t xml:space="preserve">1 </w:t>
            </w:r>
            <w:r w:rsidRPr="00542EC9">
              <w:rPr>
                <w:rFonts w:eastAsia="Malgun Gothic" w:cs="Arial"/>
              </w:rPr>
              <w:t xml:space="preserve">x 1.5 </w:t>
            </w:r>
            <w:r w:rsidRPr="00542EC9">
              <w:rPr>
                <w:rFonts w:eastAsia="Malgun Gothic"/>
              </w:rPr>
              <w:t xml:space="preserve">(16 x N1 x </w:t>
            </w:r>
            <w:r>
              <w:rPr>
                <w:rFonts w:eastAsia="Malgun Gothic"/>
              </w:rPr>
              <w:t>K</w:t>
            </w:r>
            <w:r w:rsidRPr="00542EC9">
              <w:rPr>
                <w:rFonts w:eastAsia="Malgun Gothic"/>
              </w:rPr>
              <w:t>1</w:t>
            </w:r>
            <w:r w:rsidRPr="00542EC9">
              <w:rPr>
                <w:rFonts w:eastAsia="Malgun Gothic" w:cs="Arial"/>
              </w:rPr>
              <w:t xml:space="preserve"> x 1.5</w:t>
            </w:r>
            <w:r w:rsidRPr="00542EC9">
              <w:rPr>
                <w:rFonts w:eastAsia="Malgun Gothic"/>
              </w:rPr>
              <w:t>)</w:t>
            </w:r>
          </w:p>
        </w:tc>
      </w:tr>
      <w:tr w:rsidR="00A22697" w:rsidRPr="00542EC9" w14:paraId="0FFB940C"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3BE79A2"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0.64</w:t>
            </w:r>
          </w:p>
        </w:tc>
        <w:tc>
          <w:tcPr>
            <w:tcW w:w="0" w:type="auto"/>
            <w:tcBorders>
              <w:top w:val="nil"/>
              <w:left w:val="single" w:sz="4" w:space="0" w:color="auto"/>
              <w:bottom w:val="nil"/>
              <w:right w:val="single" w:sz="4" w:space="0" w:color="auto"/>
            </w:tcBorders>
            <w:hideMark/>
          </w:tcPr>
          <w:p w14:paraId="7D4D1CE1" w14:textId="77777777" w:rsidR="00A22697" w:rsidRPr="00542EC9" w:rsidRDefault="00A22697" w:rsidP="00A2269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1259EC8F"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5</w:t>
            </w:r>
          </w:p>
        </w:tc>
        <w:tc>
          <w:tcPr>
            <w:tcW w:w="791" w:type="dxa"/>
            <w:tcBorders>
              <w:top w:val="single" w:sz="4" w:space="0" w:color="auto"/>
              <w:left w:val="single" w:sz="4" w:space="0" w:color="auto"/>
              <w:bottom w:val="single" w:sz="4" w:space="0" w:color="auto"/>
              <w:right w:val="single" w:sz="4" w:space="0" w:color="auto"/>
            </w:tcBorders>
          </w:tcPr>
          <w:p w14:paraId="1ED4F781" w14:textId="77777777" w:rsidR="00A22697" w:rsidRPr="00DF4E37" w:rsidRDefault="00A22697" w:rsidP="00A22697">
            <w:pPr>
              <w:keepNext/>
              <w:keepLines/>
              <w:spacing w:after="0"/>
              <w:jc w:val="center"/>
              <w:rPr>
                <w:rFonts w:ascii="Arial" w:eastAsia="Malgun Gothic" w:hAnsi="Arial" w:cs="Arial"/>
                <w:sz w:val="18"/>
                <w:szCs w:val="18"/>
              </w:rPr>
            </w:pPr>
            <w:r w:rsidRPr="00DF4E37">
              <w:rPr>
                <w:rFonts w:ascii="Arial" w:hAnsi="Arial" w:cs="Arial"/>
                <w:sz w:val="18"/>
                <w:szCs w:val="18"/>
              </w:rPr>
              <w:t>8</w:t>
            </w:r>
          </w:p>
        </w:tc>
        <w:tc>
          <w:tcPr>
            <w:tcW w:w="1990" w:type="dxa"/>
            <w:tcBorders>
              <w:top w:val="single" w:sz="4" w:space="0" w:color="auto"/>
              <w:left w:val="single" w:sz="4" w:space="0" w:color="auto"/>
              <w:bottom w:val="single" w:sz="4" w:space="0" w:color="auto"/>
              <w:right w:val="single" w:sz="4" w:space="0" w:color="auto"/>
            </w:tcBorders>
            <w:hideMark/>
          </w:tcPr>
          <w:p w14:paraId="6B27C343" w14:textId="20793F49" w:rsidR="00A22697" w:rsidRPr="00542EC9" w:rsidRDefault="00A22697" w:rsidP="00A22697">
            <w:pPr>
              <w:pStyle w:val="TAC"/>
              <w:rPr>
                <w:rFonts w:eastAsia="Malgun Gothic"/>
              </w:rPr>
            </w:pPr>
            <w:r w:rsidRPr="00542EC9">
              <w:rPr>
                <w:rFonts w:eastAsia="Malgun Gothic"/>
              </w:rPr>
              <w:t xml:space="preserve">17.92x N1 x </w:t>
            </w:r>
            <w:r>
              <w:rPr>
                <w:rFonts w:eastAsia="Malgun Gothic"/>
              </w:rPr>
              <w:t>K</w:t>
            </w:r>
            <w:r w:rsidRPr="00542EC9">
              <w:rPr>
                <w:rFonts w:eastAsia="Malgun Gothic"/>
              </w:rPr>
              <w:t xml:space="preserve">1 (28 x N1 x </w:t>
            </w:r>
            <w:r>
              <w:rPr>
                <w:rFonts w:eastAsia="Malgun Gothic"/>
              </w:rPr>
              <w:t>K</w:t>
            </w:r>
            <w:r w:rsidRPr="00542EC9">
              <w:rPr>
                <w:rFonts w:eastAsia="Malgun Gothic"/>
              </w:rPr>
              <w:t>1)</w:t>
            </w:r>
          </w:p>
        </w:tc>
        <w:tc>
          <w:tcPr>
            <w:tcW w:w="0" w:type="auto"/>
            <w:tcBorders>
              <w:top w:val="single" w:sz="4" w:space="0" w:color="auto"/>
              <w:left w:val="single" w:sz="4" w:space="0" w:color="auto"/>
              <w:bottom w:val="single" w:sz="4" w:space="0" w:color="auto"/>
              <w:right w:val="single" w:sz="4" w:space="0" w:color="auto"/>
            </w:tcBorders>
            <w:hideMark/>
          </w:tcPr>
          <w:p w14:paraId="6F7AD267" w14:textId="78CD190A" w:rsidR="00A22697" w:rsidRPr="00542EC9" w:rsidRDefault="00A22697" w:rsidP="00A22697">
            <w:pPr>
              <w:pStyle w:val="TAC"/>
              <w:rPr>
                <w:rFonts w:eastAsia="Malgun Gothic"/>
              </w:rPr>
            </w:pPr>
            <w:r w:rsidRPr="00542EC9">
              <w:rPr>
                <w:rFonts w:eastAsia="Malgun Gothic"/>
              </w:rPr>
              <w:t xml:space="preserve">1.28 x N1 x </w:t>
            </w:r>
            <w:r>
              <w:rPr>
                <w:rFonts w:eastAsia="Malgun Gothic"/>
              </w:rPr>
              <w:t>K</w:t>
            </w:r>
            <w:r w:rsidRPr="00542EC9">
              <w:rPr>
                <w:rFonts w:eastAsia="Malgun Gothic"/>
              </w:rPr>
              <w:t xml:space="preserve">1 (2 x N1 x </w:t>
            </w:r>
            <w:r>
              <w:rPr>
                <w:rFonts w:eastAsia="Malgun Gothic"/>
              </w:rPr>
              <w:t>K</w:t>
            </w:r>
            <w:r w:rsidRPr="00542EC9">
              <w:rPr>
                <w:rFonts w:eastAsia="Malgun Gothic"/>
              </w:rPr>
              <w:t>1)</w:t>
            </w:r>
          </w:p>
        </w:tc>
        <w:tc>
          <w:tcPr>
            <w:tcW w:w="0" w:type="auto"/>
            <w:tcBorders>
              <w:top w:val="single" w:sz="4" w:space="0" w:color="auto"/>
              <w:left w:val="single" w:sz="4" w:space="0" w:color="auto"/>
              <w:bottom w:val="single" w:sz="4" w:space="0" w:color="auto"/>
              <w:right w:val="single" w:sz="4" w:space="0" w:color="auto"/>
            </w:tcBorders>
            <w:hideMark/>
          </w:tcPr>
          <w:p w14:paraId="55E6BD5E" w14:textId="7EA0EBE7" w:rsidR="00A22697" w:rsidRPr="00542EC9" w:rsidRDefault="00A22697" w:rsidP="00A22697">
            <w:pPr>
              <w:pStyle w:val="TAC"/>
              <w:rPr>
                <w:rFonts w:eastAsia="Malgun Gothic"/>
              </w:rPr>
            </w:pPr>
            <w:r w:rsidRPr="00542EC9">
              <w:rPr>
                <w:rFonts w:eastAsia="Malgun Gothic"/>
              </w:rPr>
              <w:t xml:space="preserve">5.12 x N1 x </w:t>
            </w:r>
            <w:r>
              <w:rPr>
                <w:rFonts w:eastAsia="Malgun Gothic"/>
              </w:rPr>
              <w:t>K</w:t>
            </w:r>
            <w:r w:rsidRPr="00542EC9">
              <w:rPr>
                <w:rFonts w:eastAsia="Malgun Gothic"/>
              </w:rPr>
              <w:t xml:space="preserve">1 (8 x N1 x </w:t>
            </w:r>
            <w:r>
              <w:rPr>
                <w:rFonts w:eastAsia="Malgun Gothic"/>
              </w:rPr>
              <w:t>K</w:t>
            </w:r>
            <w:r w:rsidRPr="00542EC9">
              <w:rPr>
                <w:rFonts w:eastAsia="Malgun Gothic"/>
              </w:rPr>
              <w:t>1)</w:t>
            </w:r>
          </w:p>
        </w:tc>
      </w:tr>
      <w:tr w:rsidR="00A22697" w:rsidRPr="00542EC9" w14:paraId="4F6014C0"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16B3C1E"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1.28</w:t>
            </w:r>
          </w:p>
        </w:tc>
        <w:tc>
          <w:tcPr>
            <w:tcW w:w="0" w:type="auto"/>
            <w:tcBorders>
              <w:top w:val="nil"/>
              <w:left w:val="single" w:sz="4" w:space="0" w:color="auto"/>
              <w:bottom w:val="nil"/>
              <w:right w:val="single" w:sz="4" w:space="0" w:color="auto"/>
            </w:tcBorders>
            <w:hideMark/>
          </w:tcPr>
          <w:p w14:paraId="49EE27BC" w14:textId="77777777" w:rsidR="00A22697" w:rsidRPr="00542EC9" w:rsidRDefault="00A22697" w:rsidP="00A2269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50773329"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4</w:t>
            </w:r>
          </w:p>
        </w:tc>
        <w:tc>
          <w:tcPr>
            <w:tcW w:w="791" w:type="dxa"/>
            <w:tcBorders>
              <w:top w:val="single" w:sz="4" w:space="0" w:color="auto"/>
              <w:left w:val="single" w:sz="4" w:space="0" w:color="auto"/>
              <w:bottom w:val="single" w:sz="4" w:space="0" w:color="auto"/>
              <w:right w:val="single" w:sz="4" w:space="0" w:color="auto"/>
            </w:tcBorders>
          </w:tcPr>
          <w:p w14:paraId="07F279E6" w14:textId="77777777" w:rsidR="00A22697" w:rsidRPr="00DF4E37" w:rsidRDefault="00A22697" w:rsidP="00A22697">
            <w:pPr>
              <w:keepNext/>
              <w:keepLines/>
              <w:spacing w:after="0"/>
              <w:jc w:val="center"/>
              <w:rPr>
                <w:rFonts w:ascii="Arial" w:eastAsia="Malgun Gothic" w:hAnsi="Arial" w:cs="Arial"/>
                <w:sz w:val="18"/>
                <w:szCs w:val="18"/>
              </w:rPr>
            </w:pPr>
            <w:r w:rsidRPr="00DF4E37">
              <w:rPr>
                <w:rFonts w:ascii="Arial" w:hAnsi="Arial" w:cs="Arial"/>
                <w:sz w:val="18"/>
                <w:szCs w:val="18"/>
              </w:rPr>
              <w:t>6</w:t>
            </w:r>
          </w:p>
        </w:tc>
        <w:tc>
          <w:tcPr>
            <w:tcW w:w="1990" w:type="dxa"/>
            <w:tcBorders>
              <w:top w:val="single" w:sz="4" w:space="0" w:color="auto"/>
              <w:left w:val="single" w:sz="4" w:space="0" w:color="auto"/>
              <w:bottom w:val="single" w:sz="4" w:space="0" w:color="auto"/>
              <w:right w:val="single" w:sz="4" w:space="0" w:color="auto"/>
            </w:tcBorders>
            <w:hideMark/>
          </w:tcPr>
          <w:p w14:paraId="7C3B2366" w14:textId="1902FE88" w:rsidR="00A22697" w:rsidRPr="00542EC9" w:rsidRDefault="00A22697" w:rsidP="00A22697">
            <w:pPr>
              <w:pStyle w:val="TAC"/>
              <w:rPr>
                <w:rFonts w:eastAsia="Malgun Gothic"/>
              </w:rPr>
            </w:pPr>
            <w:r w:rsidRPr="00542EC9">
              <w:rPr>
                <w:rFonts w:eastAsia="Malgun Gothic"/>
              </w:rPr>
              <w:t xml:space="preserve">32 x N1 x </w:t>
            </w:r>
            <w:r>
              <w:rPr>
                <w:rFonts w:eastAsia="Malgun Gothic"/>
              </w:rPr>
              <w:t>K</w:t>
            </w:r>
            <w:r w:rsidRPr="00542EC9">
              <w:rPr>
                <w:rFonts w:eastAsia="Malgun Gothic"/>
              </w:rPr>
              <w:t xml:space="preserve">1 (25 x N1 x </w:t>
            </w:r>
            <w:r>
              <w:rPr>
                <w:rFonts w:eastAsia="Malgun Gothic"/>
              </w:rPr>
              <w:t>K</w:t>
            </w:r>
            <w:r w:rsidRPr="00542EC9">
              <w:rPr>
                <w:rFonts w:eastAsia="Malgun Gothic"/>
              </w:rPr>
              <w:t>1)</w:t>
            </w:r>
          </w:p>
        </w:tc>
        <w:tc>
          <w:tcPr>
            <w:tcW w:w="0" w:type="auto"/>
            <w:tcBorders>
              <w:top w:val="single" w:sz="4" w:space="0" w:color="auto"/>
              <w:left w:val="single" w:sz="4" w:space="0" w:color="auto"/>
              <w:bottom w:val="single" w:sz="4" w:space="0" w:color="auto"/>
              <w:right w:val="single" w:sz="4" w:space="0" w:color="auto"/>
            </w:tcBorders>
            <w:hideMark/>
          </w:tcPr>
          <w:p w14:paraId="03C9FEC3" w14:textId="3D0CBF1D" w:rsidR="00A22697" w:rsidRPr="00542EC9" w:rsidRDefault="00A22697" w:rsidP="00A22697">
            <w:pPr>
              <w:pStyle w:val="TAC"/>
              <w:rPr>
                <w:rFonts w:eastAsia="Malgun Gothic"/>
              </w:rPr>
            </w:pPr>
            <w:r w:rsidRPr="00542EC9">
              <w:rPr>
                <w:rFonts w:eastAsia="Malgun Gothic"/>
              </w:rPr>
              <w:t xml:space="preserve">1.28 x N1 x </w:t>
            </w:r>
            <w:r>
              <w:rPr>
                <w:rFonts w:eastAsia="Malgun Gothic"/>
              </w:rPr>
              <w:t>K</w:t>
            </w:r>
            <w:r w:rsidRPr="00542EC9">
              <w:rPr>
                <w:rFonts w:eastAsia="Malgun Gothic"/>
              </w:rPr>
              <w:t xml:space="preserve">1 (1 x N1 x </w:t>
            </w:r>
            <w:r>
              <w:rPr>
                <w:rFonts w:eastAsia="Malgun Gothic"/>
              </w:rPr>
              <w:t>K</w:t>
            </w:r>
            <w:r w:rsidRPr="00542EC9">
              <w:rPr>
                <w:rFonts w:eastAsia="Malgun Gothic"/>
              </w:rPr>
              <w:t>1)</w:t>
            </w:r>
          </w:p>
        </w:tc>
        <w:tc>
          <w:tcPr>
            <w:tcW w:w="0" w:type="auto"/>
            <w:tcBorders>
              <w:top w:val="single" w:sz="4" w:space="0" w:color="auto"/>
              <w:left w:val="single" w:sz="4" w:space="0" w:color="auto"/>
              <w:bottom w:val="single" w:sz="4" w:space="0" w:color="auto"/>
              <w:right w:val="single" w:sz="4" w:space="0" w:color="auto"/>
            </w:tcBorders>
            <w:hideMark/>
          </w:tcPr>
          <w:p w14:paraId="773F384F" w14:textId="57F0885B" w:rsidR="00A22697" w:rsidRPr="00542EC9" w:rsidRDefault="00A22697" w:rsidP="00A22697">
            <w:pPr>
              <w:pStyle w:val="TAC"/>
              <w:rPr>
                <w:rFonts w:eastAsia="Malgun Gothic"/>
              </w:rPr>
            </w:pPr>
            <w:r w:rsidRPr="00542EC9">
              <w:rPr>
                <w:rFonts w:eastAsia="Malgun Gothic"/>
              </w:rPr>
              <w:t xml:space="preserve">6.4 x N1 x </w:t>
            </w:r>
            <w:r>
              <w:rPr>
                <w:rFonts w:eastAsia="Malgun Gothic"/>
              </w:rPr>
              <w:t>K</w:t>
            </w:r>
            <w:r w:rsidRPr="00542EC9">
              <w:rPr>
                <w:rFonts w:eastAsia="Malgun Gothic"/>
              </w:rPr>
              <w:t xml:space="preserve">1 (5 x N1 x </w:t>
            </w:r>
            <w:r>
              <w:rPr>
                <w:rFonts w:eastAsia="Malgun Gothic"/>
              </w:rPr>
              <w:t>K</w:t>
            </w:r>
            <w:r w:rsidRPr="00542EC9">
              <w:rPr>
                <w:rFonts w:eastAsia="Malgun Gothic"/>
              </w:rPr>
              <w:t>1)</w:t>
            </w:r>
          </w:p>
        </w:tc>
      </w:tr>
      <w:tr w:rsidR="00A22697" w:rsidRPr="00542EC9" w14:paraId="27E43E1C" w14:textId="77777777" w:rsidTr="0058301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408F2E0"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2.56</w:t>
            </w:r>
          </w:p>
        </w:tc>
        <w:tc>
          <w:tcPr>
            <w:tcW w:w="0" w:type="auto"/>
            <w:tcBorders>
              <w:top w:val="nil"/>
              <w:left w:val="single" w:sz="4" w:space="0" w:color="auto"/>
              <w:bottom w:val="single" w:sz="4" w:space="0" w:color="auto"/>
              <w:right w:val="single" w:sz="4" w:space="0" w:color="auto"/>
            </w:tcBorders>
            <w:hideMark/>
          </w:tcPr>
          <w:p w14:paraId="565A4F25" w14:textId="77777777" w:rsidR="00A22697" w:rsidRPr="00542EC9" w:rsidRDefault="00A22697" w:rsidP="00A2269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619B1B20" w14:textId="77777777" w:rsidR="00A22697" w:rsidRPr="00542EC9" w:rsidRDefault="00A22697" w:rsidP="00A22697">
            <w:pPr>
              <w:keepNext/>
              <w:keepLines/>
              <w:spacing w:after="0"/>
              <w:jc w:val="center"/>
              <w:rPr>
                <w:rFonts w:ascii="Arial" w:eastAsia="Malgun Gothic" w:hAnsi="Arial"/>
                <w:sz w:val="18"/>
              </w:rPr>
            </w:pPr>
            <w:r w:rsidRPr="00542EC9">
              <w:rPr>
                <w:rFonts w:ascii="Arial" w:eastAsia="Malgun Gothic" w:hAnsi="Arial"/>
                <w:sz w:val="18"/>
              </w:rPr>
              <w:t>3</w:t>
            </w:r>
          </w:p>
        </w:tc>
        <w:tc>
          <w:tcPr>
            <w:tcW w:w="791" w:type="dxa"/>
            <w:tcBorders>
              <w:top w:val="single" w:sz="4" w:space="0" w:color="auto"/>
              <w:left w:val="single" w:sz="4" w:space="0" w:color="auto"/>
              <w:bottom w:val="single" w:sz="4" w:space="0" w:color="auto"/>
              <w:right w:val="single" w:sz="4" w:space="0" w:color="auto"/>
            </w:tcBorders>
          </w:tcPr>
          <w:p w14:paraId="166C8EEB" w14:textId="77777777" w:rsidR="00A22697" w:rsidRPr="00DF4E37" w:rsidRDefault="00A22697" w:rsidP="00A22697">
            <w:pPr>
              <w:keepNext/>
              <w:keepLines/>
              <w:spacing w:after="0"/>
              <w:jc w:val="center"/>
              <w:rPr>
                <w:rFonts w:ascii="Arial" w:eastAsia="Malgun Gothic" w:hAnsi="Arial" w:cs="Arial"/>
                <w:sz w:val="18"/>
                <w:szCs w:val="18"/>
              </w:rPr>
            </w:pPr>
            <w:r w:rsidRPr="00DF4E37">
              <w:rPr>
                <w:rFonts w:ascii="Arial" w:hAnsi="Arial" w:cs="Arial"/>
                <w:sz w:val="18"/>
                <w:szCs w:val="18"/>
              </w:rPr>
              <w:t>5</w:t>
            </w:r>
          </w:p>
        </w:tc>
        <w:tc>
          <w:tcPr>
            <w:tcW w:w="1990" w:type="dxa"/>
            <w:tcBorders>
              <w:top w:val="single" w:sz="4" w:space="0" w:color="auto"/>
              <w:left w:val="single" w:sz="4" w:space="0" w:color="auto"/>
              <w:bottom w:val="single" w:sz="4" w:space="0" w:color="auto"/>
              <w:right w:val="single" w:sz="4" w:space="0" w:color="auto"/>
            </w:tcBorders>
            <w:hideMark/>
          </w:tcPr>
          <w:p w14:paraId="5DB37D40" w14:textId="7AA71B27" w:rsidR="00A22697" w:rsidRPr="00542EC9" w:rsidRDefault="00A22697" w:rsidP="00A22697">
            <w:pPr>
              <w:pStyle w:val="TAC"/>
              <w:rPr>
                <w:rFonts w:eastAsia="Malgun Gothic"/>
              </w:rPr>
            </w:pPr>
            <w:r w:rsidRPr="00542EC9">
              <w:rPr>
                <w:rFonts w:eastAsia="Malgun Gothic"/>
              </w:rPr>
              <w:t xml:space="preserve">58.88 x N1 x </w:t>
            </w:r>
            <w:r>
              <w:rPr>
                <w:rFonts w:eastAsia="Malgun Gothic"/>
              </w:rPr>
              <w:t>K</w:t>
            </w:r>
            <w:r w:rsidRPr="00542EC9">
              <w:rPr>
                <w:rFonts w:eastAsia="Malgun Gothic"/>
              </w:rPr>
              <w:t xml:space="preserve">1 (23 x N1 x </w:t>
            </w:r>
            <w:r>
              <w:rPr>
                <w:rFonts w:eastAsia="Malgun Gothic"/>
              </w:rPr>
              <w:t>K</w:t>
            </w:r>
            <w:r w:rsidRPr="00542EC9">
              <w:rPr>
                <w:rFonts w:eastAsia="Malgun Gothic"/>
              </w:rPr>
              <w:t>1)</w:t>
            </w:r>
          </w:p>
        </w:tc>
        <w:tc>
          <w:tcPr>
            <w:tcW w:w="0" w:type="auto"/>
            <w:tcBorders>
              <w:top w:val="single" w:sz="4" w:space="0" w:color="auto"/>
              <w:left w:val="single" w:sz="4" w:space="0" w:color="auto"/>
              <w:bottom w:val="single" w:sz="4" w:space="0" w:color="auto"/>
              <w:right w:val="single" w:sz="4" w:space="0" w:color="auto"/>
            </w:tcBorders>
            <w:hideMark/>
          </w:tcPr>
          <w:p w14:paraId="49D8DCB6" w14:textId="0FB3676A" w:rsidR="00A22697" w:rsidRPr="00542EC9" w:rsidRDefault="00A22697" w:rsidP="00A22697">
            <w:pPr>
              <w:pStyle w:val="TAC"/>
              <w:rPr>
                <w:rFonts w:eastAsia="Malgun Gothic"/>
              </w:rPr>
            </w:pPr>
            <w:r w:rsidRPr="00542EC9">
              <w:rPr>
                <w:rFonts w:eastAsia="Malgun Gothic"/>
              </w:rPr>
              <w:t xml:space="preserve">2.56 x N1 x </w:t>
            </w:r>
            <w:r>
              <w:rPr>
                <w:rFonts w:eastAsia="Malgun Gothic"/>
              </w:rPr>
              <w:t>K</w:t>
            </w:r>
            <w:r w:rsidRPr="00542EC9">
              <w:rPr>
                <w:rFonts w:eastAsia="Malgun Gothic"/>
              </w:rPr>
              <w:t xml:space="preserve">1 (1 x N1 x </w:t>
            </w:r>
            <w:r>
              <w:rPr>
                <w:rFonts w:eastAsia="Malgun Gothic"/>
              </w:rPr>
              <w:t>K</w:t>
            </w:r>
            <w:r w:rsidRPr="00542EC9">
              <w:rPr>
                <w:rFonts w:eastAsia="Malgun Gothic"/>
              </w:rPr>
              <w:t>1)</w:t>
            </w:r>
          </w:p>
        </w:tc>
        <w:tc>
          <w:tcPr>
            <w:tcW w:w="0" w:type="auto"/>
            <w:tcBorders>
              <w:top w:val="single" w:sz="4" w:space="0" w:color="auto"/>
              <w:left w:val="single" w:sz="4" w:space="0" w:color="auto"/>
              <w:bottom w:val="single" w:sz="4" w:space="0" w:color="auto"/>
              <w:right w:val="single" w:sz="4" w:space="0" w:color="auto"/>
            </w:tcBorders>
            <w:hideMark/>
          </w:tcPr>
          <w:p w14:paraId="1F981181" w14:textId="54993E33" w:rsidR="00A22697" w:rsidRPr="00542EC9" w:rsidRDefault="00A22697" w:rsidP="00A22697">
            <w:pPr>
              <w:pStyle w:val="TAC"/>
              <w:rPr>
                <w:rFonts w:eastAsia="Malgun Gothic"/>
              </w:rPr>
            </w:pPr>
            <w:r w:rsidRPr="00542EC9">
              <w:rPr>
                <w:rFonts w:eastAsia="Malgun Gothic"/>
              </w:rPr>
              <w:t xml:space="preserve">7.68 x N1 x </w:t>
            </w:r>
            <w:r>
              <w:rPr>
                <w:rFonts w:eastAsia="Malgun Gothic"/>
              </w:rPr>
              <w:t>K</w:t>
            </w:r>
            <w:r w:rsidRPr="00542EC9">
              <w:rPr>
                <w:rFonts w:eastAsia="Malgun Gothic"/>
              </w:rPr>
              <w:t xml:space="preserve">1 (3 x N1 x </w:t>
            </w:r>
            <w:r>
              <w:rPr>
                <w:rFonts w:eastAsia="Malgun Gothic"/>
              </w:rPr>
              <w:t>K</w:t>
            </w:r>
            <w:r w:rsidRPr="00542EC9">
              <w:rPr>
                <w:rFonts w:eastAsia="Malgun Gothic"/>
              </w:rPr>
              <w:t>1)</w:t>
            </w:r>
          </w:p>
        </w:tc>
      </w:tr>
      <w:tr w:rsidR="00A20BE0" w:rsidRPr="00542EC9" w14:paraId="090209A5" w14:textId="77777777" w:rsidTr="00583014">
        <w:trPr>
          <w:cantSplit/>
          <w:jc w:val="center"/>
        </w:trPr>
        <w:tc>
          <w:tcPr>
            <w:tcW w:w="0" w:type="auto"/>
            <w:gridSpan w:val="7"/>
            <w:tcBorders>
              <w:top w:val="single" w:sz="4" w:space="0" w:color="auto"/>
              <w:left w:val="single" w:sz="4" w:space="0" w:color="auto"/>
              <w:bottom w:val="single" w:sz="4" w:space="0" w:color="auto"/>
              <w:right w:val="single" w:sz="4" w:space="0" w:color="auto"/>
            </w:tcBorders>
            <w:hideMark/>
          </w:tcPr>
          <w:p w14:paraId="7A2F6D25" w14:textId="77777777" w:rsidR="00A20BE0" w:rsidRDefault="00A20BE0" w:rsidP="00583014">
            <w:pPr>
              <w:keepNext/>
              <w:keepLines/>
              <w:spacing w:after="0"/>
              <w:ind w:left="851" w:hanging="851"/>
              <w:rPr>
                <w:rFonts w:ascii="Arial" w:eastAsia="CG Times (WN)" w:hAnsi="Arial"/>
                <w:sz w:val="18"/>
                <w:lang w:eastAsia="x-none"/>
              </w:rPr>
            </w:pPr>
            <w:r w:rsidRPr="00542EC9">
              <w:rPr>
                <w:rFonts w:ascii="Arial" w:eastAsia="CG Times (WN)" w:hAnsi="Arial"/>
                <w:snapToGrid w:val="0"/>
                <w:sz w:val="18"/>
              </w:rPr>
              <w:t>Note 1</w:t>
            </w:r>
            <w:r w:rsidRPr="00542EC9">
              <w:rPr>
                <w:rFonts w:ascii="Arial" w:eastAsia="CG Times (WN)" w:hAnsi="Arial"/>
                <w:sz w:val="18"/>
                <w:lang w:eastAsia="x-none"/>
              </w:rPr>
              <w:t>:</w:t>
            </w:r>
            <w:r w:rsidRPr="00542EC9">
              <w:rPr>
                <w:rFonts w:ascii="Arial" w:eastAsia="CG Times (WN)" w:hAnsi="Arial"/>
                <w:sz w:val="18"/>
                <w:lang w:val="en-US" w:eastAsia="x-none"/>
              </w:rPr>
              <w:tab/>
            </w:r>
            <w:r w:rsidRPr="00542EC9">
              <w:rPr>
                <w:rFonts w:ascii="Arial" w:eastAsia="CG Times (WN)" w:hAnsi="Arial"/>
                <w:sz w:val="18"/>
                <w:lang w:eastAsia="x-none"/>
              </w:rPr>
              <w:t xml:space="preserve">Applies for UE supporting </w:t>
            </w:r>
            <w:r>
              <w:rPr>
                <w:rFonts w:ascii="Arial" w:eastAsia="CG Times (WN)" w:hAnsi="Arial"/>
                <w:sz w:val="18"/>
                <w:lang w:eastAsia="x-none"/>
              </w:rPr>
              <w:t xml:space="preserve">FR2-1 </w:t>
            </w:r>
            <w:r w:rsidRPr="00542EC9">
              <w:rPr>
                <w:rFonts w:ascii="Arial" w:eastAsia="CG Times (WN)" w:hAnsi="Arial"/>
                <w:sz w:val="18"/>
                <w:lang w:eastAsia="x-none"/>
              </w:rPr>
              <w:t xml:space="preserve">power class </w:t>
            </w:r>
            <w:r w:rsidRPr="00542EC9">
              <w:rPr>
                <w:rFonts w:ascii="Arial" w:eastAsia="CG Times (WN)" w:hAnsi="Arial"/>
                <w:sz w:val="18"/>
              </w:rPr>
              <w:t>2&amp;3&amp;4</w:t>
            </w:r>
            <w:r w:rsidRPr="00542EC9">
              <w:rPr>
                <w:rFonts w:ascii="Arial" w:eastAsia="CG Times (WN)" w:hAnsi="Arial"/>
                <w:sz w:val="18"/>
                <w:lang w:eastAsia="x-none"/>
              </w:rPr>
              <w:t xml:space="preserve">. For UE supporting </w:t>
            </w:r>
            <w:r>
              <w:rPr>
                <w:rFonts w:ascii="Arial" w:eastAsia="CG Times (WN)" w:hAnsi="Arial"/>
                <w:sz w:val="18"/>
                <w:lang w:eastAsia="x-none"/>
              </w:rPr>
              <w:t xml:space="preserve">FR2-1 </w:t>
            </w:r>
            <w:r w:rsidRPr="00542EC9">
              <w:rPr>
                <w:rFonts w:ascii="Arial" w:eastAsia="CG Times (WN)" w:hAnsi="Arial"/>
                <w:sz w:val="18"/>
                <w:lang w:eastAsia="x-none"/>
              </w:rPr>
              <w:t>power class 1</w:t>
            </w:r>
            <w:r w:rsidRPr="00542EC9">
              <w:rPr>
                <w:rFonts w:ascii="Arial" w:eastAsia="CG Times (WN)" w:hAnsi="Arial"/>
                <w:sz w:val="18"/>
              </w:rPr>
              <w:t xml:space="preserve"> or 5</w:t>
            </w:r>
            <w:r w:rsidRPr="00542EC9">
              <w:rPr>
                <w:rFonts w:ascii="Arial" w:eastAsia="CG Times (WN)" w:hAnsi="Arial"/>
                <w:sz w:val="18"/>
                <w:lang w:eastAsia="x-none"/>
              </w:rPr>
              <w:t>, N1 = 8 for all DRX cycle length.</w:t>
            </w:r>
          </w:p>
          <w:p w14:paraId="087B0E65" w14:textId="77777777" w:rsidR="00A20BE0" w:rsidRDefault="00A20BE0" w:rsidP="00583014">
            <w:pPr>
              <w:pStyle w:val="TAN"/>
              <w:rPr>
                <w:lang w:eastAsia="zh-CN"/>
              </w:rPr>
            </w:pPr>
            <w:r w:rsidRPr="009C5807">
              <w:rPr>
                <w:lang w:eastAsia="zh-CN"/>
              </w:rPr>
              <w:t xml:space="preserve">Note </w:t>
            </w:r>
            <w:r>
              <w:rPr>
                <w:lang w:eastAsia="zh-CN"/>
              </w:rPr>
              <w:t>2</w:t>
            </w:r>
            <w:r w:rsidRPr="009C5807">
              <w:rPr>
                <w:lang w:eastAsia="zh-CN"/>
              </w:rPr>
              <w:t>:</w:t>
            </w:r>
            <w:r w:rsidRPr="009C5807">
              <w:rPr>
                <w:lang w:eastAsia="zh-CN"/>
              </w:rPr>
              <w:tab/>
              <w:t xml:space="preserve">Applies for UE supporting </w:t>
            </w:r>
            <w:r>
              <w:rPr>
                <w:lang w:eastAsia="zh-CN"/>
              </w:rPr>
              <w:t xml:space="preserve">FR2-2 </w:t>
            </w:r>
            <w:r w:rsidRPr="009C5807">
              <w:rPr>
                <w:lang w:eastAsia="zh-CN"/>
              </w:rPr>
              <w:t xml:space="preserve">power class 2&amp;3. For UE supporting </w:t>
            </w:r>
            <w:r>
              <w:rPr>
                <w:lang w:eastAsia="zh-CN"/>
              </w:rPr>
              <w:t xml:space="preserve">FR2-2 </w:t>
            </w:r>
            <w:r w:rsidRPr="009C5807">
              <w:rPr>
                <w:lang w:eastAsia="zh-CN"/>
              </w:rPr>
              <w:t xml:space="preserve">power class 1, N1 = </w:t>
            </w:r>
            <w:r>
              <w:rPr>
                <w:lang w:eastAsia="zh-CN"/>
              </w:rPr>
              <w:t>12</w:t>
            </w:r>
            <w:r w:rsidRPr="009C5807">
              <w:rPr>
                <w:lang w:eastAsia="zh-CN"/>
              </w:rPr>
              <w:t xml:space="preserve"> for all DRX cycle length.</w:t>
            </w:r>
          </w:p>
          <w:p w14:paraId="73E3E62C" w14:textId="500A5AAF" w:rsidR="00A20BE0" w:rsidRPr="004A3924" w:rsidRDefault="00A20BE0" w:rsidP="00583014">
            <w:pPr>
              <w:pStyle w:val="TAN"/>
              <w:rPr>
                <w:snapToGrid w:val="0"/>
                <w:lang w:eastAsia="zh-CN"/>
              </w:rPr>
            </w:pPr>
            <w:r>
              <w:rPr>
                <w:snapToGrid w:val="0"/>
                <w:lang w:eastAsia="zh-CN"/>
              </w:rPr>
              <w:t>Note 3:</w:t>
            </w:r>
            <w:r w:rsidRPr="00885F53">
              <w:rPr>
                <w:lang w:val="en-US"/>
              </w:rPr>
              <w:tab/>
            </w:r>
            <w:r w:rsidRPr="00EC47A7">
              <w:rPr>
                <w:snapToGrid w:val="0"/>
                <w:lang w:eastAsia="zh-CN"/>
              </w:rPr>
              <w:t xml:space="preserve">K1 = 3 is the measurement relaxation factor applicable for UE fulfilling the </w:t>
            </w:r>
            <w:r w:rsidRPr="00485479">
              <w:rPr>
                <w:i/>
                <w:iCs/>
                <w:lang w:eastAsia="zh-CN"/>
              </w:rPr>
              <w:t>cellEdgeEvaluation</w:t>
            </w:r>
            <w:r>
              <w:rPr>
                <w:i/>
                <w:iCs/>
                <w:lang w:eastAsia="zh-CN"/>
              </w:rPr>
              <w:t xml:space="preserve"> </w:t>
            </w:r>
            <w:r>
              <w:rPr>
                <w:lang w:eastAsia="zh-CN"/>
              </w:rPr>
              <w:t>[2]</w:t>
            </w:r>
            <w:r w:rsidRPr="00EC47A7">
              <w:rPr>
                <w:snapToGrid w:val="0"/>
                <w:lang w:eastAsia="zh-CN"/>
              </w:rPr>
              <w:t xml:space="preserve"> criterion.</w:t>
            </w:r>
          </w:p>
        </w:tc>
      </w:tr>
    </w:tbl>
    <w:p w14:paraId="2E38A289" w14:textId="38260E23" w:rsidR="00A20BE0" w:rsidRDefault="00A20BE0" w:rsidP="00A20BE0">
      <w:pPr>
        <w:rPr>
          <w:lang w:val="en-US" w:eastAsia="zh-CN"/>
        </w:rPr>
      </w:pPr>
    </w:p>
    <w:p w14:paraId="3EAFE3F3" w14:textId="77777777" w:rsidR="00985138" w:rsidRPr="00043DFE" w:rsidRDefault="00985138" w:rsidP="00985138">
      <w:pPr>
        <w:pStyle w:val="TH"/>
        <w:rPr>
          <w:lang w:val="en-US"/>
        </w:rPr>
      </w:pPr>
      <w:r w:rsidRPr="00043DFE">
        <w:rPr>
          <w:lang w:val="en-US"/>
        </w:rPr>
        <w:t>Table 4.2.2.10.3-2: T</w:t>
      </w:r>
      <w:r w:rsidRPr="00043DFE">
        <w:rPr>
          <w:vertAlign w:val="subscript"/>
          <w:lang w:val="en-US"/>
        </w:rPr>
        <w:t>detect,NR_Inter_Relax</w:t>
      </w:r>
      <w:r w:rsidRPr="00043DFE">
        <w:rPr>
          <w:lang w:val="en-US"/>
        </w:rPr>
        <w:t>, T</w:t>
      </w:r>
      <w:r w:rsidRPr="00043DFE">
        <w:rPr>
          <w:vertAlign w:val="subscript"/>
          <w:lang w:val="en-US"/>
        </w:rPr>
        <w:t>measure,NR_Inter_Relax</w:t>
      </w:r>
      <w:r w:rsidRPr="00043DFE">
        <w:rPr>
          <w:lang w:val="en-US"/>
        </w:rPr>
        <w:t xml:space="preserve"> and T</w:t>
      </w:r>
      <w:r w:rsidRPr="00043DFE">
        <w:rPr>
          <w:vertAlign w:val="subscript"/>
          <w:lang w:val="en-US"/>
        </w:rPr>
        <w:t>evaluate,NR_Inter_Relax</w:t>
      </w:r>
      <w:r w:rsidRPr="00043DFE">
        <w:rPr>
          <w:lang w:val="en-US"/>
        </w:rPr>
        <w:t xml:space="preserve"> for UE configured with eDRX_IDLE cycle (Frequency range FR1) 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598"/>
        <w:gridCol w:w="2738"/>
        <w:gridCol w:w="2719"/>
      </w:tblGrid>
      <w:tr w:rsidR="00985138" w:rsidRPr="00043DFE" w14:paraId="5AC9DB8C" w14:textId="77777777" w:rsidTr="008B107E">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7CC8C1DB" w14:textId="77777777" w:rsidR="00985138" w:rsidRPr="00043DFE" w:rsidRDefault="00985138" w:rsidP="008B107E">
            <w:pPr>
              <w:pStyle w:val="TAH"/>
            </w:pPr>
            <w:r w:rsidRPr="00043DFE">
              <w:t>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3CC1F3EE" w14:textId="77777777" w:rsidR="00985138" w:rsidRPr="00043DFE" w:rsidRDefault="00985138" w:rsidP="008B107E">
            <w:pPr>
              <w:pStyle w:val="TAH"/>
            </w:pPr>
            <w:r w:rsidRPr="00043DFE">
              <w:rPr>
                <w:szCs w:val="18"/>
                <w:lang w:val="en-US"/>
              </w:rPr>
              <w:t>T</w:t>
            </w:r>
            <w:r w:rsidRPr="00043DFE">
              <w:rPr>
                <w:szCs w:val="18"/>
                <w:vertAlign w:val="subscript"/>
                <w:lang w:val="en-US"/>
              </w:rPr>
              <w:t>detect,NR_Inter</w:t>
            </w:r>
            <w:r w:rsidRPr="00043DFE">
              <w:rPr>
                <w:vertAlign w:val="subscript"/>
                <w:lang w:val="en-US"/>
              </w:rPr>
              <w:t>_Relax</w:t>
            </w:r>
            <w:r w:rsidRPr="00043DFE">
              <w:rPr>
                <w:szCs w:val="18"/>
              </w:rPr>
              <w:t xml:space="preserve"> [s]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77B7D796" w14:textId="77777777" w:rsidR="00985138" w:rsidRPr="00043DFE" w:rsidRDefault="00985138" w:rsidP="008B107E">
            <w:pPr>
              <w:pStyle w:val="TAH"/>
            </w:pPr>
            <w:r w:rsidRPr="00043DFE">
              <w:rPr>
                <w:szCs w:val="18"/>
                <w:lang w:val="en-US"/>
              </w:rPr>
              <w:t>T</w:t>
            </w:r>
            <w:r w:rsidRPr="00043DFE">
              <w:rPr>
                <w:szCs w:val="18"/>
                <w:vertAlign w:val="subscript"/>
                <w:lang w:val="en-US"/>
              </w:rPr>
              <w:t>measure,NR_Inter</w:t>
            </w:r>
            <w:r w:rsidRPr="00043DFE">
              <w:rPr>
                <w:vertAlign w:val="subscript"/>
                <w:lang w:val="en-US"/>
              </w:rPr>
              <w:t>_Relax</w:t>
            </w:r>
            <w:r w:rsidRPr="00043DFE">
              <w:rPr>
                <w:szCs w:val="18"/>
                <w:lang w:val="en-US"/>
              </w:rPr>
              <w:t xml:space="preserve"> </w:t>
            </w:r>
            <w:r w:rsidRPr="00043DFE">
              <w:rPr>
                <w:szCs w:val="18"/>
              </w:rPr>
              <w:t>[s]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62D6856F" w14:textId="77777777" w:rsidR="00985138" w:rsidRPr="00043DFE" w:rsidRDefault="00985138" w:rsidP="008B107E">
            <w:pPr>
              <w:pStyle w:val="TAH"/>
            </w:pPr>
            <w:r w:rsidRPr="00043DFE">
              <w:rPr>
                <w:szCs w:val="18"/>
                <w:lang w:val="en-US"/>
              </w:rPr>
              <w:t>T</w:t>
            </w:r>
            <w:r w:rsidRPr="00043DFE">
              <w:rPr>
                <w:szCs w:val="18"/>
                <w:vertAlign w:val="subscript"/>
                <w:lang w:val="en-US"/>
              </w:rPr>
              <w:t>evaluate,NR_Inter</w:t>
            </w:r>
            <w:r w:rsidRPr="00043DFE">
              <w:rPr>
                <w:vertAlign w:val="subscript"/>
                <w:lang w:val="en-US"/>
              </w:rPr>
              <w:t>_Relax</w:t>
            </w:r>
            <w:r w:rsidRPr="00043DFE">
              <w:rPr>
                <w:szCs w:val="18"/>
                <w:vertAlign w:val="subscript"/>
                <w:lang w:val="en-US"/>
              </w:rPr>
              <w:t xml:space="preserve"> </w:t>
            </w:r>
            <w:r w:rsidRPr="00043DFE">
              <w:rPr>
                <w:szCs w:val="18"/>
              </w:rPr>
              <w:t>[s] (number of eDRX IDLE cycles)</w:t>
            </w:r>
          </w:p>
        </w:tc>
      </w:tr>
      <w:tr w:rsidR="00985138" w:rsidRPr="00043DFE" w14:paraId="0617EAEE" w14:textId="77777777" w:rsidTr="008B107E">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CF87D1A" w14:textId="77777777" w:rsidR="00985138" w:rsidRPr="00043DFE" w:rsidRDefault="00985138"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E40FDC" w14:textId="77777777" w:rsidR="00985138" w:rsidRPr="00043DFE" w:rsidRDefault="00985138"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41345A" w14:textId="77777777" w:rsidR="00985138" w:rsidRPr="00043DFE" w:rsidRDefault="00985138"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823AD6" w14:textId="77777777" w:rsidR="00985138" w:rsidRPr="00043DFE" w:rsidRDefault="00985138" w:rsidP="008B107E">
            <w:pPr>
              <w:keepNext/>
              <w:keepLines/>
              <w:spacing w:after="0"/>
              <w:jc w:val="center"/>
              <w:rPr>
                <w:rFonts w:ascii="Arial" w:hAnsi="Arial"/>
                <w:b/>
                <w:sz w:val="18"/>
              </w:rPr>
            </w:pPr>
          </w:p>
        </w:tc>
      </w:tr>
      <w:tr w:rsidR="00985138" w:rsidRPr="00043DFE" w14:paraId="649A1064"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E9C4F00" w14:textId="77777777" w:rsidR="00985138" w:rsidRPr="00043DFE" w:rsidRDefault="00985138" w:rsidP="008B107E">
            <w:pPr>
              <w:pStyle w:val="TAC"/>
            </w:pPr>
            <w:r w:rsidRPr="00043DFE">
              <w:t>2.56</w:t>
            </w:r>
          </w:p>
        </w:tc>
        <w:tc>
          <w:tcPr>
            <w:tcW w:w="0" w:type="auto"/>
            <w:tcBorders>
              <w:top w:val="single" w:sz="4" w:space="0" w:color="auto"/>
              <w:left w:val="single" w:sz="4" w:space="0" w:color="auto"/>
              <w:bottom w:val="single" w:sz="4" w:space="0" w:color="auto"/>
              <w:right w:val="single" w:sz="4" w:space="0" w:color="auto"/>
            </w:tcBorders>
            <w:hideMark/>
          </w:tcPr>
          <w:p w14:paraId="2D8FA917" w14:textId="77777777" w:rsidR="00985138" w:rsidRPr="00043DFE" w:rsidRDefault="00985138" w:rsidP="008B107E">
            <w:pPr>
              <w:pStyle w:val="TAC"/>
              <w:rPr>
                <w:lang w:val="sv-SE"/>
              </w:rPr>
            </w:pPr>
            <w:r w:rsidRPr="00043DFE">
              <w:rPr>
                <w:rFonts w:cs="Arial"/>
                <w:szCs w:val="18"/>
                <w:lang w:val="sv-SE"/>
              </w:rPr>
              <w:t>58.88 x K1 (23 x K1)</w:t>
            </w:r>
          </w:p>
        </w:tc>
        <w:tc>
          <w:tcPr>
            <w:tcW w:w="0" w:type="auto"/>
            <w:tcBorders>
              <w:top w:val="single" w:sz="4" w:space="0" w:color="auto"/>
              <w:left w:val="single" w:sz="4" w:space="0" w:color="auto"/>
              <w:bottom w:val="single" w:sz="4" w:space="0" w:color="auto"/>
              <w:right w:val="single" w:sz="4" w:space="0" w:color="auto"/>
            </w:tcBorders>
            <w:hideMark/>
          </w:tcPr>
          <w:p w14:paraId="7B569505" w14:textId="77777777" w:rsidR="00985138" w:rsidRPr="00043DFE" w:rsidRDefault="00985138" w:rsidP="008B107E">
            <w:pPr>
              <w:pStyle w:val="TAC"/>
              <w:rPr>
                <w:lang w:val="sv-SE"/>
              </w:rPr>
            </w:pPr>
            <w:r w:rsidRPr="00043DFE">
              <w:rPr>
                <w:rFonts w:cs="Arial"/>
                <w:szCs w:val="18"/>
                <w:lang w:val="sv-SE"/>
              </w:rPr>
              <w:t>2.56 x K1 (1 x K1)</w:t>
            </w:r>
          </w:p>
        </w:tc>
        <w:tc>
          <w:tcPr>
            <w:tcW w:w="0" w:type="auto"/>
            <w:tcBorders>
              <w:top w:val="single" w:sz="4" w:space="0" w:color="auto"/>
              <w:left w:val="single" w:sz="4" w:space="0" w:color="auto"/>
              <w:bottom w:val="single" w:sz="4" w:space="0" w:color="auto"/>
              <w:right w:val="single" w:sz="4" w:space="0" w:color="auto"/>
            </w:tcBorders>
            <w:hideMark/>
          </w:tcPr>
          <w:p w14:paraId="439FCD76" w14:textId="77777777" w:rsidR="00985138" w:rsidRPr="00043DFE" w:rsidRDefault="00985138" w:rsidP="008B107E">
            <w:pPr>
              <w:pStyle w:val="TAC"/>
              <w:rPr>
                <w:lang w:val="sv-SE"/>
              </w:rPr>
            </w:pPr>
            <w:r w:rsidRPr="00043DFE">
              <w:rPr>
                <w:rFonts w:cs="Arial"/>
                <w:szCs w:val="18"/>
                <w:lang w:val="sv-SE"/>
              </w:rPr>
              <w:t>7.68 x N1 x K1 (3 x N1 x K1)</w:t>
            </w:r>
          </w:p>
        </w:tc>
      </w:tr>
      <w:tr w:rsidR="00985138" w:rsidRPr="00043DFE" w14:paraId="2581AF3C"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573B515" w14:textId="77777777" w:rsidR="00985138" w:rsidRPr="00043DFE" w:rsidRDefault="00985138" w:rsidP="008B107E">
            <w:pPr>
              <w:pStyle w:val="TAC"/>
            </w:pPr>
            <w:r w:rsidRPr="00043DFE">
              <w:rPr>
                <w:rFonts w:cs="Arial"/>
                <w:szCs w:val="18"/>
              </w:rPr>
              <w:t>5.12</w:t>
            </w:r>
          </w:p>
        </w:tc>
        <w:tc>
          <w:tcPr>
            <w:tcW w:w="0" w:type="auto"/>
            <w:tcBorders>
              <w:top w:val="single" w:sz="4" w:space="0" w:color="auto"/>
              <w:left w:val="single" w:sz="4" w:space="0" w:color="auto"/>
              <w:bottom w:val="single" w:sz="4" w:space="0" w:color="auto"/>
              <w:right w:val="single" w:sz="4" w:space="0" w:color="auto"/>
            </w:tcBorders>
            <w:hideMark/>
          </w:tcPr>
          <w:p w14:paraId="42F6978F" w14:textId="77777777" w:rsidR="00985138" w:rsidRPr="00043DFE" w:rsidRDefault="00985138" w:rsidP="008B107E">
            <w:pPr>
              <w:pStyle w:val="TAC"/>
            </w:pPr>
            <w:r w:rsidRPr="00043DFE">
              <w:rPr>
                <w:rFonts w:cs="Arial"/>
                <w:szCs w:val="18"/>
              </w:rPr>
              <w:t>117.76</w:t>
            </w:r>
            <w:r w:rsidRPr="00043DFE">
              <w:rPr>
                <w:rFonts w:cs="Arial"/>
                <w:szCs w:val="18"/>
                <w:lang w:val="sv-SE"/>
              </w:rPr>
              <w:t xml:space="preserve"> x </w:t>
            </w:r>
            <w:r w:rsidRPr="00043DFE">
              <w:rPr>
                <w:rFonts w:cs="Arial"/>
                <w:szCs w:val="18"/>
              </w:rPr>
              <w:t>K1 (23</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092113E2" w14:textId="77777777" w:rsidR="00985138" w:rsidRPr="00043DFE" w:rsidRDefault="00985138" w:rsidP="008B107E">
            <w:pPr>
              <w:pStyle w:val="TAC"/>
            </w:pPr>
            <w:r w:rsidRPr="00043DFE">
              <w:rPr>
                <w:rFonts w:cs="Arial"/>
                <w:szCs w:val="18"/>
              </w:rPr>
              <w:t>5.12</w:t>
            </w:r>
            <w:r w:rsidRPr="00043DFE">
              <w:rPr>
                <w:rFonts w:cs="Arial"/>
                <w:szCs w:val="18"/>
                <w:lang w:val="sv-SE"/>
              </w:rPr>
              <w:t xml:space="preserve"> x </w:t>
            </w:r>
            <w:r w:rsidRPr="00043DFE">
              <w:rPr>
                <w:rFonts w:cs="Arial"/>
                <w:szCs w:val="18"/>
              </w:rPr>
              <w:t>K1 (1</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55046ACA" w14:textId="77777777" w:rsidR="00985138" w:rsidRPr="00043DFE" w:rsidRDefault="00985138" w:rsidP="008B107E">
            <w:pPr>
              <w:pStyle w:val="TAC"/>
            </w:pPr>
            <w:r w:rsidRPr="00043DFE">
              <w:rPr>
                <w:rFonts w:cs="Arial"/>
                <w:szCs w:val="18"/>
              </w:rPr>
              <w:t>10.24</w:t>
            </w:r>
            <w:r w:rsidRPr="00043DFE">
              <w:rPr>
                <w:rFonts w:cs="Arial"/>
                <w:szCs w:val="18"/>
                <w:lang w:val="sv-SE"/>
              </w:rPr>
              <w:t xml:space="preserve"> x N1</w:t>
            </w:r>
            <w:r w:rsidRPr="00043DFE">
              <w:rPr>
                <w:rFonts w:cs="Arial"/>
                <w:szCs w:val="18"/>
              </w:rPr>
              <w:t xml:space="preserve"> x K1 (2</w:t>
            </w:r>
            <w:r w:rsidRPr="00043DFE">
              <w:rPr>
                <w:rFonts w:cs="Arial"/>
                <w:szCs w:val="18"/>
                <w:lang w:val="sv-SE"/>
              </w:rPr>
              <w:t xml:space="preserve"> x N1</w:t>
            </w:r>
            <w:r w:rsidRPr="00043DFE">
              <w:rPr>
                <w:rFonts w:cs="Arial"/>
                <w:szCs w:val="18"/>
              </w:rPr>
              <w:t xml:space="preserve"> x K1)</w:t>
            </w:r>
          </w:p>
        </w:tc>
      </w:tr>
      <w:tr w:rsidR="00985138" w:rsidRPr="00043DFE" w14:paraId="3937D226"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B2C6131" w14:textId="77777777" w:rsidR="00985138" w:rsidRPr="00043DFE" w:rsidRDefault="00985138" w:rsidP="008B107E">
            <w:pPr>
              <w:pStyle w:val="TAC"/>
            </w:pPr>
            <w:r w:rsidRPr="00043DFE">
              <w:rPr>
                <w:rFonts w:cs="Arial"/>
                <w:szCs w:val="18"/>
              </w:rPr>
              <w:t>10.24</w:t>
            </w:r>
          </w:p>
        </w:tc>
        <w:tc>
          <w:tcPr>
            <w:tcW w:w="0" w:type="auto"/>
            <w:tcBorders>
              <w:top w:val="single" w:sz="4" w:space="0" w:color="auto"/>
              <w:left w:val="single" w:sz="4" w:space="0" w:color="auto"/>
              <w:bottom w:val="single" w:sz="4" w:space="0" w:color="auto"/>
              <w:right w:val="single" w:sz="4" w:space="0" w:color="auto"/>
            </w:tcBorders>
            <w:hideMark/>
          </w:tcPr>
          <w:p w14:paraId="7099912E" w14:textId="77777777" w:rsidR="00985138" w:rsidRPr="00043DFE" w:rsidRDefault="00985138" w:rsidP="008B107E">
            <w:pPr>
              <w:pStyle w:val="TAC"/>
            </w:pPr>
            <w:r w:rsidRPr="00043DFE">
              <w:rPr>
                <w:rFonts w:cs="Arial"/>
                <w:szCs w:val="18"/>
              </w:rPr>
              <w:t>235.52</w:t>
            </w:r>
            <w:r w:rsidRPr="00043DFE">
              <w:rPr>
                <w:rFonts w:cs="Arial"/>
                <w:szCs w:val="18"/>
                <w:lang w:val="sv-SE"/>
              </w:rPr>
              <w:t xml:space="preserve"> x </w:t>
            </w:r>
            <w:r w:rsidRPr="00043DFE">
              <w:rPr>
                <w:rFonts w:cs="Arial"/>
                <w:szCs w:val="18"/>
              </w:rPr>
              <w:t>K1 (23</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4E637FA1" w14:textId="77777777" w:rsidR="00985138" w:rsidRPr="00043DFE" w:rsidRDefault="00985138" w:rsidP="008B107E">
            <w:pPr>
              <w:pStyle w:val="TAC"/>
            </w:pPr>
            <w:r w:rsidRPr="00043DFE">
              <w:rPr>
                <w:rFonts w:cs="Arial"/>
                <w:szCs w:val="18"/>
              </w:rPr>
              <w:t>10.24</w:t>
            </w:r>
            <w:r w:rsidRPr="00043DFE">
              <w:rPr>
                <w:rFonts w:cs="Arial"/>
                <w:szCs w:val="18"/>
                <w:lang w:val="sv-SE"/>
              </w:rPr>
              <w:t xml:space="preserve"> x </w:t>
            </w:r>
            <w:r w:rsidRPr="00043DFE">
              <w:rPr>
                <w:rFonts w:cs="Arial"/>
                <w:szCs w:val="18"/>
              </w:rPr>
              <w:t>K1 (1</w:t>
            </w:r>
            <w:r w:rsidRPr="00043DFE">
              <w:rPr>
                <w:rFonts w:cs="Arial"/>
                <w:szCs w:val="18"/>
                <w:lang w:val="sv-SE"/>
              </w:rPr>
              <w:t xml:space="preserve"> x </w:t>
            </w:r>
            <w:r w:rsidRPr="00043DFE">
              <w:rPr>
                <w:rFonts w:cs="Arial"/>
                <w:szCs w:val="18"/>
              </w:rPr>
              <w:t>K1)</w:t>
            </w:r>
          </w:p>
        </w:tc>
        <w:tc>
          <w:tcPr>
            <w:tcW w:w="0" w:type="auto"/>
            <w:tcBorders>
              <w:top w:val="single" w:sz="4" w:space="0" w:color="auto"/>
              <w:left w:val="single" w:sz="4" w:space="0" w:color="auto"/>
              <w:bottom w:val="single" w:sz="4" w:space="0" w:color="auto"/>
              <w:right w:val="single" w:sz="4" w:space="0" w:color="auto"/>
            </w:tcBorders>
            <w:hideMark/>
          </w:tcPr>
          <w:p w14:paraId="5A242F4F" w14:textId="77777777" w:rsidR="00985138" w:rsidRPr="00043DFE" w:rsidRDefault="00985138" w:rsidP="008B107E">
            <w:pPr>
              <w:pStyle w:val="TAC"/>
            </w:pPr>
            <w:r w:rsidRPr="00043DFE">
              <w:rPr>
                <w:rFonts w:cs="Arial"/>
                <w:szCs w:val="18"/>
              </w:rPr>
              <w:t>20.48</w:t>
            </w:r>
            <w:r w:rsidRPr="00043DFE">
              <w:rPr>
                <w:rFonts w:cs="Arial"/>
                <w:szCs w:val="18"/>
                <w:lang w:val="sv-SE"/>
              </w:rPr>
              <w:t xml:space="preserve"> x N1</w:t>
            </w:r>
            <w:r w:rsidRPr="00043DFE">
              <w:rPr>
                <w:rFonts w:cs="Arial"/>
                <w:szCs w:val="18"/>
              </w:rPr>
              <w:t xml:space="preserve"> x K1 (2</w:t>
            </w:r>
            <w:r w:rsidRPr="00043DFE">
              <w:rPr>
                <w:rFonts w:cs="Arial"/>
                <w:szCs w:val="18"/>
                <w:lang w:val="sv-SE"/>
              </w:rPr>
              <w:t xml:space="preserve"> x N1</w:t>
            </w:r>
            <w:r w:rsidRPr="00043DFE">
              <w:rPr>
                <w:rFonts w:cs="Arial"/>
                <w:szCs w:val="18"/>
              </w:rPr>
              <w:t xml:space="preserve"> x K1)</w:t>
            </w:r>
          </w:p>
        </w:tc>
      </w:tr>
      <w:tr w:rsidR="00985138" w:rsidRPr="00043DFE" w14:paraId="2AE6F4D6" w14:textId="77777777" w:rsidTr="008B107E">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2D85DD96" w14:textId="77777777" w:rsidR="00985138" w:rsidRPr="00043DFE" w:rsidRDefault="00985138" w:rsidP="008B107E">
            <w:pPr>
              <w:pStyle w:val="TAN"/>
              <w:rPr>
                <w:snapToGrid w:val="0"/>
              </w:rPr>
            </w:pPr>
            <w:r w:rsidRPr="00043DFE">
              <w:rPr>
                <w:snapToGrid w:val="0"/>
              </w:rPr>
              <w:t>Note 1</w:t>
            </w:r>
            <w:r w:rsidRPr="00043DFE">
              <w:t>:</w:t>
            </w:r>
            <w:r w:rsidRPr="00043DFE">
              <w:rPr>
                <w:lang w:val="en-US"/>
              </w:rPr>
              <w:tab/>
            </w:r>
            <w:r w:rsidRPr="00043DFE">
              <w:t>Applies for UE of all supporting FR1 power classes.</w:t>
            </w:r>
          </w:p>
          <w:p w14:paraId="03929EE9" w14:textId="77777777" w:rsidR="00985138" w:rsidRPr="00043DFE" w:rsidRDefault="00985138" w:rsidP="008B107E">
            <w:pPr>
              <w:pStyle w:val="TAN"/>
            </w:pPr>
            <w:r w:rsidRPr="00043DFE">
              <w:rPr>
                <w:rFonts w:cs="Arial"/>
                <w:snapToGrid w:val="0"/>
                <w:szCs w:val="18"/>
              </w:rPr>
              <w:t>Note 2:</w:t>
            </w:r>
            <w:r w:rsidRPr="00043DFE">
              <w:rPr>
                <w:rFonts w:cs="Arial"/>
                <w:snapToGrid w:val="0"/>
                <w:szCs w:val="18"/>
              </w:rPr>
              <w:tab/>
              <w:t xml:space="preserve">K1 = 3 is the measurement relaxation factor applicable for UE fulfilling the </w:t>
            </w:r>
            <w:r w:rsidRPr="00043DFE">
              <w:rPr>
                <w:i/>
                <w:iCs/>
              </w:rPr>
              <w:t xml:space="preserve">cellEdgeEvaluation </w:t>
            </w:r>
            <w:r w:rsidRPr="00043DFE">
              <w:rPr>
                <w:rFonts w:cs="Arial"/>
                <w:snapToGrid w:val="0"/>
                <w:szCs w:val="18"/>
              </w:rPr>
              <w:t>[2] criterion.</w:t>
            </w:r>
          </w:p>
        </w:tc>
      </w:tr>
    </w:tbl>
    <w:p w14:paraId="794B8550" w14:textId="77777777" w:rsidR="00985138" w:rsidRPr="00043DFE" w:rsidRDefault="00985138" w:rsidP="00985138">
      <w:pPr>
        <w:rPr>
          <w:noProof/>
        </w:rPr>
      </w:pPr>
    </w:p>
    <w:p w14:paraId="61464A84" w14:textId="77777777" w:rsidR="00985138" w:rsidRPr="00043DFE" w:rsidRDefault="00985138" w:rsidP="00985138">
      <w:pPr>
        <w:pStyle w:val="TH"/>
        <w:rPr>
          <w:lang w:val="en-US"/>
        </w:rPr>
      </w:pPr>
      <w:r w:rsidRPr="00043DFE">
        <w:rPr>
          <w:lang w:val="en-US"/>
        </w:rPr>
        <w:t>Table 4.2.2.10.3-3: T</w:t>
      </w:r>
      <w:r w:rsidRPr="00043DFE">
        <w:rPr>
          <w:vertAlign w:val="subscript"/>
          <w:lang w:val="en-US"/>
        </w:rPr>
        <w:t>detect,NR_Inter_Relax</w:t>
      </w:r>
      <w:r w:rsidRPr="00043DFE">
        <w:rPr>
          <w:lang w:val="en-US"/>
        </w:rPr>
        <w:t>, T</w:t>
      </w:r>
      <w:r w:rsidRPr="00043DFE">
        <w:rPr>
          <w:vertAlign w:val="subscript"/>
          <w:lang w:val="en-US"/>
        </w:rPr>
        <w:t>measure,NR_Inter_Relax</w:t>
      </w:r>
      <w:r w:rsidRPr="00043DFE">
        <w:rPr>
          <w:lang w:val="en-US"/>
        </w:rPr>
        <w:t xml:space="preserve"> and T</w:t>
      </w:r>
      <w:r w:rsidRPr="00043DFE">
        <w:rPr>
          <w:vertAlign w:val="subscript"/>
          <w:lang w:val="en-US"/>
        </w:rPr>
        <w:t>evaluate,NR_Inter_Relax</w:t>
      </w:r>
      <w:r w:rsidRPr="00043DFE">
        <w:rPr>
          <w:lang w:val="en-US"/>
        </w:rPr>
        <w:t xml:space="preserve"> for UE configured with eDRX_IDLE cycle (Frequency range FR2) for eDRX_IDLE cycle upto 10.24 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2960"/>
        <w:gridCol w:w="2784"/>
        <w:gridCol w:w="2778"/>
      </w:tblGrid>
      <w:tr w:rsidR="00985138" w:rsidRPr="00043DFE" w14:paraId="65CC2001" w14:textId="77777777" w:rsidTr="008B107E">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60A59EEA" w14:textId="77777777" w:rsidR="00985138" w:rsidRPr="00043DFE" w:rsidRDefault="00985138" w:rsidP="008B107E">
            <w:pPr>
              <w:pStyle w:val="TAH"/>
            </w:pPr>
            <w:r w:rsidRPr="00043DFE">
              <w:t>DRX_IDLE cycle length [s]</w:t>
            </w:r>
          </w:p>
        </w:tc>
        <w:tc>
          <w:tcPr>
            <w:tcW w:w="2885" w:type="dxa"/>
            <w:vMerge w:val="restart"/>
            <w:tcBorders>
              <w:top w:val="single" w:sz="4" w:space="0" w:color="auto"/>
              <w:left w:val="single" w:sz="4" w:space="0" w:color="auto"/>
              <w:bottom w:val="single" w:sz="4" w:space="0" w:color="auto"/>
              <w:right w:val="single" w:sz="4" w:space="0" w:color="auto"/>
            </w:tcBorders>
            <w:hideMark/>
          </w:tcPr>
          <w:p w14:paraId="4CCE659A" w14:textId="77777777" w:rsidR="00985138" w:rsidRPr="00043DFE" w:rsidRDefault="00985138" w:rsidP="008B107E">
            <w:pPr>
              <w:pStyle w:val="TAH"/>
            </w:pPr>
            <w:r w:rsidRPr="00043DFE">
              <w:rPr>
                <w:szCs w:val="18"/>
                <w:lang w:val="en-US"/>
              </w:rPr>
              <w:t>T</w:t>
            </w:r>
            <w:r w:rsidRPr="00043DFE">
              <w:rPr>
                <w:szCs w:val="18"/>
                <w:vertAlign w:val="subscript"/>
                <w:lang w:val="en-US"/>
              </w:rPr>
              <w:t>detect,NR_Inter</w:t>
            </w:r>
            <w:r w:rsidRPr="00043DFE">
              <w:rPr>
                <w:vertAlign w:val="subscript"/>
                <w:lang w:val="en-US"/>
              </w:rPr>
              <w:t>_Relax</w:t>
            </w:r>
            <w:r w:rsidRPr="00043DFE">
              <w:rPr>
                <w:szCs w:val="18"/>
              </w:rPr>
              <w:t xml:space="preserve"> [s] (number of eDRX IDLE cycles)</w:t>
            </w:r>
          </w:p>
        </w:tc>
        <w:tc>
          <w:tcPr>
            <w:tcW w:w="2693" w:type="dxa"/>
            <w:vMerge w:val="restart"/>
            <w:tcBorders>
              <w:top w:val="single" w:sz="4" w:space="0" w:color="auto"/>
              <w:left w:val="single" w:sz="4" w:space="0" w:color="auto"/>
              <w:bottom w:val="single" w:sz="4" w:space="0" w:color="auto"/>
              <w:right w:val="single" w:sz="4" w:space="0" w:color="auto"/>
            </w:tcBorders>
            <w:hideMark/>
          </w:tcPr>
          <w:p w14:paraId="251CA2AF" w14:textId="77777777" w:rsidR="00985138" w:rsidRPr="00043DFE" w:rsidRDefault="00985138" w:rsidP="008B107E">
            <w:pPr>
              <w:pStyle w:val="TAH"/>
            </w:pPr>
            <w:r w:rsidRPr="00043DFE">
              <w:rPr>
                <w:szCs w:val="18"/>
                <w:lang w:val="en-US"/>
              </w:rPr>
              <w:t>T</w:t>
            </w:r>
            <w:r w:rsidRPr="00043DFE">
              <w:rPr>
                <w:szCs w:val="18"/>
                <w:vertAlign w:val="subscript"/>
                <w:lang w:val="en-US"/>
              </w:rPr>
              <w:t>measure,NR_Inter</w:t>
            </w:r>
            <w:r w:rsidRPr="00043DFE">
              <w:rPr>
                <w:vertAlign w:val="subscript"/>
                <w:lang w:val="en-US"/>
              </w:rPr>
              <w:t>_Relax</w:t>
            </w:r>
            <w:r w:rsidRPr="00043DFE">
              <w:rPr>
                <w:szCs w:val="18"/>
                <w:lang w:val="en-US"/>
              </w:rPr>
              <w:t xml:space="preserve"> </w:t>
            </w:r>
            <w:r w:rsidRPr="00043DFE">
              <w:rPr>
                <w:szCs w:val="18"/>
              </w:rPr>
              <w:t>[s] (number of eDRX IDLE cycles)</w:t>
            </w:r>
          </w:p>
        </w:tc>
        <w:tc>
          <w:tcPr>
            <w:tcW w:w="2688" w:type="dxa"/>
            <w:vMerge w:val="restart"/>
            <w:tcBorders>
              <w:top w:val="single" w:sz="4" w:space="0" w:color="auto"/>
              <w:left w:val="single" w:sz="4" w:space="0" w:color="auto"/>
              <w:bottom w:val="single" w:sz="4" w:space="0" w:color="auto"/>
              <w:right w:val="single" w:sz="4" w:space="0" w:color="auto"/>
            </w:tcBorders>
            <w:hideMark/>
          </w:tcPr>
          <w:p w14:paraId="5699CFF7" w14:textId="77777777" w:rsidR="00985138" w:rsidRPr="00043DFE" w:rsidRDefault="00985138" w:rsidP="008B107E">
            <w:pPr>
              <w:pStyle w:val="TAH"/>
            </w:pPr>
            <w:r w:rsidRPr="00043DFE">
              <w:rPr>
                <w:szCs w:val="18"/>
                <w:lang w:val="en-US"/>
              </w:rPr>
              <w:t>T</w:t>
            </w:r>
            <w:r w:rsidRPr="00043DFE">
              <w:rPr>
                <w:szCs w:val="18"/>
                <w:vertAlign w:val="subscript"/>
                <w:lang w:val="en-US"/>
              </w:rPr>
              <w:t>evaluate,NR_Inter</w:t>
            </w:r>
            <w:r w:rsidRPr="00043DFE">
              <w:rPr>
                <w:vertAlign w:val="subscript"/>
                <w:lang w:val="en-US"/>
              </w:rPr>
              <w:t>_Relax</w:t>
            </w:r>
            <w:r w:rsidRPr="00043DFE">
              <w:rPr>
                <w:szCs w:val="18"/>
                <w:vertAlign w:val="subscript"/>
                <w:lang w:val="en-US"/>
              </w:rPr>
              <w:t xml:space="preserve"> </w:t>
            </w:r>
            <w:r w:rsidRPr="00043DFE">
              <w:rPr>
                <w:szCs w:val="18"/>
              </w:rPr>
              <w:t>[s] (number of eDRX IDLE cycles)</w:t>
            </w:r>
          </w:p>
        </w:tc>
      </w:tr>
      <w:tr w:rsidR="00985138" w:rsidRPr="00043DFE" w14:paraId="0EF85AE6" w14:textId="77777777" w:rsidTr="008B107E">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2F4A811" w14:textId="77777777" w:rsidR="00985138" w:rsidRPr="00043DFE" w:rsidRDefault="00985138" w:rsidP="008B107E">
            <w:pPr>
              <w:pStyle w:val="TAH"/>
            </w:pPr>
          </w:p>
        </w:tc>
        <w:tc>
          <w:tcPr>
            <w:tcW w:w="2885" w:type="dxa"/>
            <w:vMerge/>
            <w:tcBorders>
              <w:top w:val="single" w:sz="4" w:space="0" w:color="auto"/>
              <w:left w:val="single" w:sz="4" w:space="0" w:color="auto"/>
              <w:bottom w:val="single" w:sz="4" w:space="0" w:color="auto"/>
              <w:right w:val="single" w:sz="4" w:space="0" w:color="auto"/>
            </w:tcBorders>
            <w:vAlign w:val="center"/>
            <w:hideMark/>
          </w:tcPr>
          <w:p w14:paraId="5EE08EFB" w14:textId="77777777" w:rsidR="00985138" w:rsidRPr="00043DFE" w:rsidRDefault="00985138" w:rsidP="008B107E">
            <w:pPr>
              <w:pStyle w:val="TAH"/>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67DA2838" w14:textId="77777777" w:rsidR="00985138" w:rsidRPr="00043DFE" w:rsidRDefault="00985138" w:rsidP="008B107E">
            <w:pPr>
              <w:pStyle w:val="TAH"/>
            </w:pPr>
          </w:p>
        </w:tc>
        <w:tc>
          <w:tcPr>
            <w:tcW w:w="2688" w:type="dxa"/>
            <w:vMerge/>
            <w:tcBorders>
              <w:top w:val="single" w:sz="4" w:space="0" w:color="auto"/>
              <w:left w:val="single" w:sz="4" w:space="0" w:color="auto"/>
              <w:bottom w:val="single" w:sz="4" w:space="0" w:color="auto"/>
              <w:right w:val="single" w:sz="4" w:space="0" w:color="auto"/>
            </w:tcBorders>
            <w:vAlign w:val="center"/>
            <w:hideMark/>
          </w:tcPr>
          <w:p w14:paraId="3745E1E8" w14:textId="77777777" w:rsidR="00985138" w:rsidRPr="00043DFE" w:rsidRDefault="00985138" w:rsidP="008B107E">
            <w:pPr>
              <w:pStyle w:val="TAH"/>
            </w:pPr>
          </w:p>
        </w:tc>
      </w:tr>
      <w:tr w:rsidR="00985138" w:rsidRPr="00043DFE" w14:paraId="11124BFD"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8C3E652" w14:textId="77777777" w:rsidR="00985138" w:rsidRPr="00043DFE" w:rsidRDefault="00985138" w:rsidP="008B107E">
            <w:pPr>
              <w:pStyle w:val="TAC"/>
            </w:pPr>
            <w:r w:rsidRPr="00043DFE">
              <w:t>2.56</w:t>
            </w:r>
          </w:p>
        </w:tc>
        <w:tc>
          <w:tcPr>
            <w:tcW w:w="2885" w:type="dxa"/>
            <w:tcBorders>
              <w:top w:val="single" w:sz="4" w:space="0" w:color="auto"/>
              <w:left w:val="single" w:sz="4" w:space="0" w:color="auto"/>
              <w:bottom w:val="single" w:sz="4" w:space="0" w:color="auto"/>
              <w:right w:val="single" w:sz="4" w:space="0" w:color="auto"/>
            </w:tcBorders>
            <w:hideMark/>
          </w:tcPr>
          <w:p w14:paraId="3E67BD8B" w14:textId="77777777" w:rsidR="00985138" w:rsidRPr="00043DFE" w:rsidRDefault="00985138" w:rsidP="008B107E">
            <w:pPr>
              <w:pStyle w:val="TAC"/>
              <w:rPr>
                <w:lang w:val="sv-SE"/>
              </w:rPr>
            </w:pPr>
            <w:r w:rsidRPr="00043DFE">
              <w:rPr>
                <w:rFonts w:cs="Arial"/>
                <w:szCs w:val="18"/>
                <w:lang w:val="sv-SE"/>
              </w:rPr>
              <w:t>58.88 x N1 x K1 (23 x N1 x K1)</w:t>
            </w:r>
          </w:p>
        </w:tc>
        <w:tc>
          <w:tcPr>
            <w:tcW w:w="2693" w:type="dxa"/>
            <w:tcBorders>
              <w:top w:val="single" w:sz="4" w:space="0" w:color="auto"/>
              <w:left w:val="single" w:sz="4" w:space="0" w:color="auto"/>
              <w:bottom w:val="single" w:sz="4" w:space="0" w:color="auto"/>
              <w:right w:val="single" w:sz="4" w:space="0" w:color="auto"/>
            </w:tcBorders>
            <w:hideMark/>
          </w:tcPr>
          <w:p w14:paraId="2CDF4A99" w14:textId="77777777" w:rsidR="00985138" w:rsidRPr="00043DFE" w:rsidRDefault="00985138" w:rsidP="008B107E">
            <w:pPr>
              <w:pStyle w:val="TAC"/>
              <w:rPr>
                <w:lang w:val="sv-SE"/>
              </w:rPr>
            </w:pPr>
            <w:r w:rsidRPr="00043DFE">
              <w:rPr>
                <w:rFonts w:cs="Arial"/>
                <w:szCs w:val="18"/>
                <w:lang w:val="sv-SE"/>
              </w:rPr>
              <w:t>2.56 x N1 x K1 (1 x N1 x K1)</w:t>
            </w:r>
          </w:p>
        </w:tc>
        <w:tc>
          <w:tcPr>
            <w:tcW w:w="2688" w:type="dxa"/>
            <w:tcBorders>
              <w:top w:val="single" w:sz="4" w:space="0" w:color="auto"/>
              <w:left w:val="single" w:sz="4" w:space="0" w:color="auto"/>
              <w:bottom w:val="single" w:sz="4" w:space="0" w:color="auto"/>
              <w:right w:val="single" w:sz="4" w:space="0" w:color="auto"/>
            </w:tcBorders>
            <w:hideMark/>
          </w:tcPr>
          <w:p w14:paraId="0D3DA5E7" w14:textId="77777777" w:rsidR="00985138" w:rsidRPr="00043DFE" w:rsidRDefault="00985138" w:rsidP="008B107E">
            <w:pPr>
              <w:pStyle w:val="TAC"/>
              <w:rPr>
                <w:lang w:val="sv-SE"/>
              </w:rPr>
            </w:pPr>
            <w:r w:rsidRPr="00043DFE">
              <w:rPr>
                <w:rFonts w:cs="Arial"/>
                <w:szCs w:val="18"/>
                <w:lang w:val="sv-SE"/>
              </w:rPr>
              <w:t>7.68 x N1 x K1 (3 x N1 x K1)</w:t>
            </w:r>
          </w:p>
        </w:tc>
      </w:tr>
      <w:tr w:rsidR="00985138" w:rsidRPr="00043DFE" w14:paraId="0CCD0C89"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5F9DDD0" w14:textId="77777777" w:rsidR="00985138" w:rsidRPr="00043DFE" w:rsidRDefault="00985138" w:rsidP="008B107E">
            <w:pPr>
              <w:pStyle w:val="TAC"/>
            </w:pPr>
            <w:r w:rsidRPr="00043DFE">
              <w:rPr>
                <w:rFonts w:cs="Arial"/>
                <w:szCs w:val="18"/>
              </w:rPr>
              <w:t>5.12</w:t>
            </w:r>
          </w:p>
        </w:tc>
        <w:tc>
          <w:tcPr>
            <w:tcW w:w="2885" w:type="dxa"/>
            <w:tcBorders>
              <w:top w:val="single" w:sz="4" w:space="0" w:color="auto"/>
              <w:left w:val="single" w:sz="4" w:space="0" w:color="auto"/>
              <w:bottom w:val="single" w:sz="4" w:space="0" w:color="auto"/>
              <w:right w:val="single" w:sz="4" w:space="0" w:color="auto"/>
            </w:tcBorders>
            <w:hideMark/>
          </w:tcPr>
          <w:p w14:paraId="5DBF312E" w14:textId="77777777" w:rsidR="00985138" w:rsidRPr="00043DFE" w:rsidRDefault="00985138" w:rsidP="008B107E">
            <w:pPr>
              <w:pStyle w:val="TAC"/>
            </w:pPr>
            <w:r w:rsidRPr="00043DFE">
              <w:rPr>
                <w:rFonts w:cs="Arial"/>
                <w:szCs w:val="18"/>
              </w:rPr>
              <w:t>117.76</w:t>
            </w:r>
            <w:r w:rsidRPr="00043DFE">
              <w:rPr>
                <w:rFonts w:cs="Arial"/>
                <w:szCs w:val="18"/>
                <w:lang w:val="sv-SE"/>
              </w:rPr>
              <w:t xml:space="preserve"> x N1</w:t>
            </w:r>
            <w:r w:rsidRPr="00043DFE">
              <w:rPr>
                <w:rFonts w:cs="Arial"/>
                <w:szCs w:val="18"/>
              </w:rPr>
              <w:t xml:space="preserve"> x K1 (23</w:t>
            </w:r>
            <w:r w:rsidRPr="00043DFE">
              <w:rPr>
                <w:rFonts w:cs="Arial"/>
                <w:szCs w:val="18"/>
                <w:lang w:val="sv-SE"/>
              </w:rPr>
              <w:t xml:space="preserve"> x N1</w:t>
            </w:r>
            <w:r w:rsidRPr="00043DFE">
              <w:rPr>
                <w:rFonts w:cs="Arial"/>
                <w:szCs w:val="18"/>
              </w:rPr>
              <w:t xml:space="preserve"> x K1)</w:t>
            </w:r>
          </w:p>
        </w:tc>
        <w:tc>
          <w:tcPr>
            <w:tcW w:w="2693" w:type="dxa"/>
            <w:tcBorders>
              <w:top w:val="single" w:sz="4" w:space="0" w:color="auto"/>
              <w:left w:val="single" w:sz="4" w:space="0" w:color="auto"/>
              <w:bottom w:val="single" w:sz="4" w:space="0" w:color="auto"/>
              <w:right w:val="single" w:sz="4" w:space="0" w:color="auto"/>
            </w:tcBorders>
            <w:hideMark/>
          </w:tcPr>
          <w:p w14:paraId="0ACE8988" w14:textId="77777777" w:rsidR="00985138" w:rsidRPr="00043DFE" w:rsidRDefault="00985138" w:rsidP="008B107E">
            <w:pPr>
              <w:pStyle w:val="TAC"/>
            </w:pPr>
            <w:r w:rsidRPr="00043DFE">
              <w:rPr>
                <w:rFonts w:cs="Arial"/>
                <w:szCs w:val="18"/>
              </w:rPr>
              <w:t>5.12</w:t>
            </w:r>
            <w:r w:rsidRPr="00043DFE">
              <w:rPr>
                <w:rFonts w:cs="Arial"/>
                <w:szCs w:val="18"/>
                <w:lang w:val="sv-SE"/>
              </w:rPr>
              <w:t xml:space="preserve"> x N1</w:t>
            </w:r>
            <w:r w:rsidRPr="00043DFE">
              <w:rPr>
                <w:rFonts w:cs="Arial"/>
                <w:szCs w:val="18"/>
              </w:rPr>
              <w:t xml:space="preserve"> x K1 (1</w:t>
            </w:r>
            <w:r w:rsidRPr="00043DFE">
              <w:rPr>
                <w:rFonts w:cs="Arial"/>
                <w:szCs w:val="18"/>
                <w:lang w:val="sv-SE"/>
              </w:rPr>
              <w:t xml:space="preserve"> x N1</w:t>
            </w:r>
            <w:r w:rsidRPr="00043DFE">
              <w:rPr>
                <w:rFonts w:cs="Arial"/>
                <w:szCs w:val="18"/>
              </w:rPr>
              <w:t xml:space="preserve"> x K1)</w:t>
            </w:r>
          </w:p>
        </w:tc>
        <w:tc>
          <w:tcPr>
            <w:tcW w:w="2688" w:type="dxa"/>
            <w:tcBorders>
              <w:top w:val="single" w:sz="4" w:space="0" w:color="auto"/>
              <w:left w:val="single" w:sz="4" w:space="0" w:color="auto"/>
              <w:bottom w:val="single" w:sz="4" w:space="0" w:color="auto"/>
              <w:right w:val="single" w:sz="4" w:space="0" w:color="auto"/>
            </w:tcBorders>
            <w:hideMark/>
          </w:tcPr>
          <w:p w14:paraId="307ED563" w14:textId="77777777" w:rsidR="00985138" w:rsidRPr="00043DFE" w:rsidRDefault="00985138" w:rsidP="008B107E">
            <w:pPr>
              <w:pStyle w:val="TAC"/>
            </w:pPr>
            <w:r w:rsidRPr="00043DFE">
              <w:rPr>
                <w:rFonts w:cs="Arial"/>
                <w:szCs w:val="18"/>
              </w:rPr>
              <w:t>10.24</w:t>
            </w:r>
            <w:r w:rsidRPr="00043DFE">
              <w:rPr>
                <w:rFonts w:cs="Arial"/>
                <w:szCs w:val="18"/>
                <w:lang w:val="sv-SE"/>
              </w:rPr>
              <w:t xml:space="preserve"> x N1</w:t>
            </w:r>
            <w:r w:rsidRPr="00043DFE">
              <w:rPr>
                <w:rFonts w:cs="Arial"/>
                <w:szCs w:val="18"/>
              </w:rPr>
              <w:t xml:space="preserve"> x K1 (2</w:t>
            </w:r>
            <w:r w:rsidRPr="00043DFE">
              <w:rPr>
                <w:rFonts w:cs="Arial"/>
                <w:szCs w:val="18"/>
                <w:lang w:val="sv-SE"/>
              </w:rPr>
              <w:t xml:space="preserve"> x N1</w:t>
            </w:r>
            <w:r w:rsidRPr="00043DFE">
              <w:rPr>
                <w:rFonts w:cs="Arial"/>
                <w:szCs w:val="18"/>
              </w:rPr>
              <w:t xml:space="preserve"> x K1)</w:t>
            </w:r>
          </w:p>
        </w:tc>
      </w:tr>
      <w:tr w:rsidR="00985138" w:rsidRPr="00043DFE" w14:paraId="6ACAE60C"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166A7E1" w14:textId="77777777" w:rsidR="00985138" w:rsidRPr="00043DFE" w:rsidRDefault="00985138" w:rsidP="008B107E">
            <w:pPr>
              <w:pStyle w:val="TAC"/>
            </w:pPr>
            <w:r w:rsidRPr="00043DFE">
              <w:rPr>
                <w:rFonts w:cs="Arial"/>
                <w:szCs w:val="18"/>
              </w:rPr>
              <w:t>10.24</w:t>
            </w:r>
          </w:p>
        </w:tc>
        <w:tc>
          <w:tcPr>
            <w:tcW w:w="2885" w:type="dxa"/>
            <w:tcBorders>
              <w:top w:val="single" w:sz="4" w:space="0" w:color="auto"/>
              <w:left w:val="single" w:sz="4" w:space="0" w:color="auto"/>
              <w:bottom w:val="single" w:sz="4" w:space="0" w:color="auto"/>
              <w:right w:val="single" w:sz="4" w:space="0" w:color="auto"/>
            </w:tcBorders>
            <w:hideMark/>
          </w:tcPr>
          <w:p w14:paraId="4A4340D9" w14:textId="77777777" w:rsidR="00985138" w:rsidRPr="00043DFE" w:rsidRDefault="00985138" w:rsidP="008B107E">
            <w:pPr>
              <w:pStyle w:val="TAC"/>
            </w:pPr>
            <w:r w:rsidRPr="00043DFE">
              <w:rPr>
                <w:rFonts w:cs="Arial"/>
                <w:szCs w:val="18"/>
              </w:rPr>
              <w:t>235.52</w:t>
            </w:r>
            <w:r w:rsidRPr="00043DFE">
              <w:rPr>
                <w:rFonts w:cs="Arial"/>
                <w:szCs w:val="18"/>
                <w:lang w:val="sv-SE"/>
              </w:rPr>
              <w:t xml:space="preserve"> x N1</w:t>
            </w:r>
            <w:r w:rsidRPr="00043DFE">
              <w:rPr>
                <w:rFonts w:cs="Arial"/>
                <w:szCs w:val="18"/>
              </w:rPr>
              <w:t xml:space="preserve"> x K1 (23</w:t>
            </w:r>
            <w:r w:rsidRPr="00043DFE">
              <w:rPr>
                <w:rFonts w:cs="Arial"/>
                <w:szCs w:val="18"/>
                <w:lang w:val="sv-SE"/>
              </w:rPr>
              <w:t xml:space="preserve"> x N1</w:t>
            </w:r>
            <w:r w:rsidRPr="00043DFE">
              <w:rPr>
                <w:rFonts w:cs="Arial"/>
                <w:szCs w:val="18"/>
              </w:rPr>
              <w:t xml:space="preserve"> x K1)</w:t>
            </w:r>
          </w:p>
        </w:tc>
        <w:tc>
          <w:tcPr>
            <w:tcW w:w="2693" w:type="dxa"/>
            <w:tcBorders>
              <w:top w:val="single" w:sz="4" w:space="0" w:color="auto"/>
              <w:left w:val="single" w:sz="4" w:space="0" w:color="auto"/>
              <w:bottom w:val="single" w:sz="4" w:space="0" w:color="auto"/>
              <w:right w:val="single" w:sz="4" w:space="0" w:color="auto"/>
            </w:tcBorders>
            <w:hideMark/>
          </w:tcPr>
          <w:p w14:paraId="111BA412" w14:textId="77777777" w:rsidR="00985138" w:rsidRPr="00043DFE" w:rsidRDefault="00985138" w:rsidP="008B107E">
            <w:pPr>
              <w:pStyle w:val="TAC"/>
            </w:pPr>
            <w:r w:rsidRPr="00043DFE">
              <w:rPr>
                <w:rFonts w:cs="Arial"/>
                <w:szCs w:val="18"/>
              </w:rPr>
              <w:t>10.24</w:t>
            </w:r>
            <w:r w:rsidRPr="00043DFE">
              <w:rPr>
                <w:rFonts w:cs="Arial"/>
                <w:szCs w:val="18"/>
                <w:lang w:val="sv-SE"/>
              </w:rPr>
              <w:t xml:space="preserve"> x N1</w:t>
            </w:r>
            <w:r w:rsidRPr="00043DFE">
              <w:rPr>
                <w:rFonts w:cs="Arial"/>
                <w:szCs w:val="18"/>
              </w:rPr>
              <w:t xml:space="preserve"> x K1 (1</w:t>
            </w:r>
            <w:r w:rsidRPr="00043DFE">
              <w:rPr>
                <w:rFonts w:cs="Arial"/>
                <w:szCs w:val="18"/>
                <w:lang w:val="sv-SE"/>
              </w:rPr>
              <w:t xml:space="preserve"> x N1</w:t>
            </w:r>
            <w:r w:rsidRPr="00043DFE">
              <w:rPr>
                <w:rFonts w:cs="Arial"/>
                <w:szCs w:val="18"/>
              </w:rPr>
              <w:t xml:space="preserve"> x K1)</w:t>
            </w:r>
          </w:p>
        </w:tc>
        <w:tc>
          <w:tcPr>
            <w:tcW w:w="2688" w:type="dxa"/>
            <w:tcBorders>
              <w:top w:val="single" w:sz="4" w:space="0" w:color="auto"/>
              <w:left w:val="single" w:sz="4" w:space="0" w:color="auto"/>
              <w:bottom w:val="single" w:sz="4" w:space="0" w:color="auto"/>
              <w:right w:val="single" w:sz="4" w:space="0" w:color="auto"/>
            </w:tcBorders>
            <w:hideMark/>
          </w:tcPr>
          <w:p w14:paraId="6C71F4D8" w14:textId="77777777" w:rsidR="00985138" w:rsidRPr="00043DFE" w:rsidRDefault="00985138" w:rsidP="008B107E">
            <w:pPr>
              <w:pStyle w:val="TAC"/>
            </w:pPr>
            <w:r w:rsidRPr="00043DFE">
              <w:rPr>
                <w:rFonts w:cs="Arial"/>
                <w:szCs w:val="18"/>
              </w:rPr>
              <w:t>20.48</w:t>
            </w:r>
            <w:r w:rsidRPr="00043DFE">
              <w:rPr>
                <w:rFonts w:cs="Arial"/>
                <w:szCs w:val="18"/>
                <w:lang w:val="sv-SE"/>
              </w:rPr>
              <w:t xml:space="preserve"> x N1</w:t>
            </w:r>
            <w:r w:rsidRPr="00043DFE">
              <w:rPr>
                <w:rFonts w:cs="Arial"/>
                <w:szCs w:val="18"/>
              </w:rPr>
              <w:t xml:space="preserve"> x K1 (2</w:t>
            </w:r>
            <w:r w:rsidRPr="00043DFE">
              <w:rPr>
                <w:rFonts w:cs="Arial"/>
                <w:szCs w:val="18"/>
                <w:lang w:val="sv-SE"/>
              </w:rPr>
              <w:t xml:space="preserve"> x N1</w:t>
            </w:r>
            <w:r w:rsidRPr="00043DFE">
              <w:rPr>
                <w:rFonts w:cs="Arial"/>
                <w:szCs w:val="18"/>
              </w:rPr>
              <w:t xml:space="preserve"> x K1)</w:t>
            </w:r>
          </w:p>
        </w:tc>
      </w:tr>
      <w:tr w:rsidR="00985138" w:rsidRPr="00043DFE" w14:paraId="57360C41" w14:textId="77777777" w:rsidTr="008B107E">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04E843A3" w14:textId="77777777" w:rsidR="00985138" w:rsidRPr="00043DFE" w:rsidRDefault="00985138" w:rsidP="008B107E">
            <w:pPr>
              <w:pStyle w:val="TAN"/>
              <w:rPr>
                <w:snapToGrid w:val="0"/>
              </w:rPr>
            </w:pPr>
            <w:r w:rsidRPr="00043DFE">
              <w:rPr>
                <w:snapToGrid w:val="0"/>
              </w:rPr>
              <w:t>Note 1</w:t>
            </w:r>
            <w:r w:rsidRPr="00043DFE">
              <w:t>:</w:t>
            </w:r>
            <w:r w:rsidRPr="00043DFE">
              <w:rPr>
                <w:lang w:val="en-US"/>
              </w:rPr>
              <w:tab/>
            </w:r>
            <w:r w:rsidRPr="00043DFE">
              <w:t xml:space="preserve">Applies for UE supporting FR2-1 power class </w:t>
            </w:r>
            <w:r w:rsidRPr="00043DFE">
              <w:rPr>
                <w:lang w:eastAsia="zh-CN"/>
              </w:rPr>
              <w:t>2&amp;3&amp;4</w:t>
            </w:r>
            <w:r w:rsidRPr="00043DFE">
              <w:t>. For UE supporting FR2-1 power class 1 or 5, N1 = 8 for all DRX cycle length.</w:t>
            </w:r>
          </w:p>
          <w:p w14:paraId="5D777FA2" w14:textId="77777777" w:rsidR="00985138" w:rsidRPr="00043DFE" w:rsidRDefault="00985138" w:rsidP="008B107E">
            <w:pPr>
              <w:pStyle w:val="TAN"/>
              <w:rPr>
                <w:snapToGrid w:val="0"/>
              </w:rPr>
            </w:pPr>
            <w:r w:rsidRPr="00043DFE">
              <w:rPr>
                <w:snapToGrid w:val="0"/>
              </w:rPr>
              <w:t>Note 2</w:t>
            </w:r>
            <w:r w:rsidRPr="00043DFE">
              <w:t>:</w:t>
            </w:r>
            <w:r w:rsidRPr="00043DFE">
              <w:rPr>
                <w:lang w:val="en-US"/>
              </w:rPr>
              <w:tab/>
            </w:r>
            <w:r w:rsidRPr="00043DFE">
              <w:t>N1 = 3.</w:t>
            </w:r>
          </w:p>
          <w:p w14:paraId="4C684543" w14:textId="77777777" w:rsidR="00985138" w:rsidRPr="00043DFE" w:rsidRDefault="00985138" w:rsidP="008B107E">
            <w:pPr>
              <w:pStyle w:val="TAN"/>
            </w:pPr>
            <w:r w:rsidRPr="00043DFE">
              <w:rPr>
                <w:rFonts w:cs="Arial"/>
                <w:snapToGrid w:val="0"/>
                <w:szCs w:val="18"/>
              </w:rPr>
              <w:t>Note 3:</w:t>
            </w:r>
            <w:r w:rsidRPr="00043DFE">
              <w:rPr>
                <w:rFonts w:cs="Arial"/>
                <w:snapToGrid w:val="0"/>
                <w:szCs w:val="18"/>
              </w:rPr>
              <w:tab/>
              <w:t xml:space="preserve">K1 = 3 is the measurement relaxation factor applicable for UE fulfilling the </w:t>
            </w:r>
            <w:r w:rsidRPr="00043DFE">
              <w:rPr>
                <w:i/>
                <w:iCs/>
              </w:rPr>
              <w:t xml:space="preserve">cellEdgeEvaluation </w:t>
            </w:r>
            <w:r w:rsidRPr="00043DFE">
              <w:rPr>
                <w:rFonts w:cs="Arial"/>
                <w:snapToGrid w:val="0"/>
                <w:szCs w:val="18"/>
              </w:rPr>
              <w:t>[2] criterion.</w:t>
            </w:r>
          </w:p>
        </w:tc>
      </w:tr>
    </w:tbl>
    <w:p w14:paraId="4F810F8D" w14:textId="77777777" w:rsidR="00985138" w:rsidRPr="00043DFE" w:rsidRDefault="00985138" w:rsidP="00985138">
      <w:pPr>
        <w:rPr>
          <w:noProof/>
        </w:rPr>
      </w:pPr>
    </w:p>
    <w:p w14:paraId="253E6A51" w14:textId="77777777" w:rsidR="00985138" w:rsidRPr="00043DFE" w:rsidRDefault="00985138" w:rsidP="00985138">
      <w:pPr>
        <w:pStyle w:val="TH"/>
        <w:rPr>
          <w:lang w:val="en-US"/>
        </w:rPr>
      </w:pPr>
      <w:r w:rsidRPr="00043DFE">
        <w:rPr>
          <w:lang w:val="en-US"/>
        </w:rPr>
        <w:t>Table 4.2.2.10.3-4: T</w:t>
      </w:r>
      <w:r w:rsidRPr="00043DFE">
        <w:rPr>
          <w:vertAlign w:val="subscript"/>
          <w:lang w:val="en-US"/>
        </w:rPr>
        <w:t>detect,NR_Inter_Relax</w:t>
      </w:r>
      <w:r w:rsidRPr="00043DFE">
        <w:rPr>
          <w:lang w:val="en-US"/>
        </w:rPr>
        <w:t>, T</w:t>
      </w:r>
      <w:r w:rsidRPr="00043DFE">
        <w:rPr>
          <w:vertAlign w:val="subscript"/>
          <w:lang w:val="en-US"/>
        </w:rPr>
        <w:t>measure,NR_Inter_Relax</w:t>
      </w:r>
      <w:r w:rsidRPr="00043DFE">
        <w:rPr>
          <w:lang w:val="en-US"/>
        </w:rPr>
        <w:t xml:space="preserve"> and T</w:t>
      </w:r>
      <w:r w:rsidRPr="00043DFE">
        <w:rPr>
          <w:vertAlign w:val="subscript"/>
          <w:lang w:val="en-US"/>
        </w:rPr>
        <w:t>evaluate,NR_Inter_Relax</w:t>
      </w:r>
      <w:r w:rsidRPr="00043DFE">
        <w:rPr>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756"/>
        <w:gridCol w:w="936"/>
        <w:gridCol w:w="2819"/>
        <w:gridCol w:w="1860"/>
        <w:gridCol w:w="1846"/>
      </w:tblGrid>
      <w:tr w:rsidR="00985138" w:rsidRPr="00043DFE" w14:paraId="1AF65EA4" w14:textId="77777777" w:rsidTr="008B107E">
        <w:trPr>
          <w:trHeight w:val="1692"/>
        </w:trPr>
        <w:tc>
          <w:tcPr>
            <w:tcW w:w="1198" w:type="dxa"/>
            <w:hideMark/>
          </w:tcPr>
          <w:p w14:paraId="668173F3" w14:textId="77777777" w:rsidR="00985138" w:rsidRPr="00043DFE" w:rsidRDefault="00985138" w:rsidP="008B107E">
            <w:pPr>
              <w:pStyle w:val="TAH"/>
              <w:rPr>
                <w:lang w:val="en-US"/>
              </w:rPr>
            </w:pPr>
            <w:r w:rsidRPr="00043DFE">
              <w:t>eDRX_IDLE cycle length [s]</w:t>
            </w:r>
          </w:p>
        </w:tc>
        <w:tc>
          <w:tcPr>
            <w:tcW w:w="751" w:type="dxa"/>
            <w:hideMark/>
          </w:tcPr>
          <w:p w14:paraId="0F4A18E8" w14:textId="77777777" w:rsidR="00985138" w:rsidRPr="00043DFE" w:rsidRDefault="00985138" w:rsidP="008B107E">
            <w:pPr>
              <w:pStyle w:val="TAH"/>
              <w:rPr>
                <w:lang w:val="en-US"/>
              </w:rPr>
            </w:pPr>
            <w:r w:rsidRPr="00043DFE">
              <w:t>DRX cycle length [s]</w:t>
            </w:r>
          </w:p>
        </w:tc>
        <w:tc>
          <w:tcPr>
            <w:tcW w:w="930" w:type="dxa"/>
            <w:hideMark/>
          </w:tcPr>
          <w:p w14:paraId="28AA37C7" w14:textId="77777777" w:rsidR="00985138" w:rsidRPr="00043DFE" w:rsidRDefault="00985138" w:rsidP="008B107E">
            <w:pPr>
              <w:pStyle w:val="TAH"/>
              <w:rPr>
                <w:lang w:val="en-US"/>
              </w:rPr>
            </w:pPr>
            <w:r w:rsidRPr="00043DFE">
              <w:t>PTW length [s] (number of 1.28s periods)</w:t>
            </w:r>
          </w:p>
        </w:tc>
        <w:tc>
          <w:tcPr>
            <w:tcW w:w="2431" w:type="dxa"/>
            <w:hideMark/>
          </w:tcPr>
          <w:p w14:paraId="252A8950" w14:textId="77777777" w:rsidR="00985138" w:rsidRPr="00043DFE" w:rsidRDefault="00985138" w:rsidP="008B107E">
            <w:pPr>
              <w:pStyle w:val="TAH"/>
              <w:rPr>
                <w:szCs w:val="18"/>
                <w:lang w:val="en-US"/>
              </w:rPr>
            </w:pPr>
            <w:r w:rsidRPr="00043DFE">
              <w:rPr>
                <w:szCs w:val="18"/>
                <w:lang w:val="en-US"/>
              </w:rPr>
              <w:t>T</w:t>
            </w:r>
            <w:r w:rsidRPr="00043DFE">
              <w:rPr>
                <w:szCs w:val="18"/>
                <w:vertAlign w:val="subscript"/>
                <w:lang w:val="en-US"/>
              </w:rPr>
              <w:t>detect,NR_Inter_Relax</w:t>
            </w:r>
            <w:r w:rsidRPr="00043DFE">
              <w:rPr>
                <w:szCs w:val="18"/>
              </w:rPr>
              <w:t xml:space="preserve"> [s] (number of DRX cycles or eDRX cycles </w:t>
            </w:r>
            <w:r w:rsidRPr="00043DFE">
              <w:rPr>
                <w:szCs w:val="18"/>
                <w:vertAlign w:val="superscript"/>
              </w:rPr>
              <w:t>Note 3</w:t>
            </w:r>
            <w:r w:rsidRPr="00043DFE">
              <w:rPr>
                <w:szCs w:val="18"/>
              </w:rPr>
              <w:t>)</w:t>
            </w:r>
          </w:p>
        </w:tc>
        <w:tc>
          <w:tcPr>
            <w:tcW w:w="1860" w:type="dxa"/>
            <w:hideMark/>
          </w:tcPr>
          <w:p w14:paraId="6BE2887E" w14:textId="77777777" w:rsidR="00985138" w:rsidRPr="00043DFE" w:rsidRDefault="00985138" w:rsidP="008B107E">
            <w:pPr>
              <w:pStyle w:val="TAH"/>
              <w:rPr>
                <w:szCs w:val="18"/>
                <w:lang w:val="en-US"/>
              </w:rPr>
            </w:pPr>
            <w:r w:rsidRPr="00043DFE">
              <w:rPr>
                <w:szCs w:val="18"/>
                <w:lang w:val="en-US"/>
              </w:rPr>
              <w:t>T</w:t>
            </w:r>
            <w:r w:rsidRPr="00043DFE">
              <w:rPr>
                <w:szCs w:val="18"/>
                <w:vertAlign w:val="subscript"/>
                <w:lang w:val="en-US"/>
              </w:rPr>
              <w:t>measure,NR_Inter_Relax</w:t>
            </w:r>
            <w:r w:rsidRPr="00043DFE">
              <w:rPr>
                <w:szCs w:val="18"/>
                <w:lang w:val="en-US"/>
              </w:rPr>
              <w:t xml:space="preserve"> </w:t>
            </w:r>
            <w:r w:rsidRPr="00043DFE">
              <w:rPr>
                <w:szCs w:val="18"/>
              </w:rPr>
              <w:t xml:space="preserve">[s] (number of DRX cycles or eDRX cycles </w:t>
            </w:r>
            <w:r w:rsidRPr="00043DFE">
              <w:rPr>
                <w:szCs w:val="18"/>
                <w:vertAlign w:val="superscript"/>
              </w:rPr>
              <w:t>Note 3</w:t>
            </w:r>
            <w:r w:rsidRPr="00043DFE">
              <w:rPr>
                <w:szCs w:val="18"/>
              </w:rPr>
              <w:t>)</w:t>
            </w:r>
          </w:p>
        </w:tc>
        <w:tc>
          <w:tcPr>
            <w:tcW w:w="1846" w:type="dxa"/>
          </w:tcPr>
          <w:p w14:paraId="6C9B4015" w14:textId="77777777" w:rsidR="00985138" w:rsidRPr="00043DFE" w:rsidRDefault="00985138" w:rsidP="008B107E">
            <w:pPr>
              <w:pStyle w:val="TAH"/>
              <w:rPr>
                <w:szCs w:val="18"/>
                <w:lang w:val="en-US"/>
              </w:rPr>
            </w:pPr>
            <w:r w:rsidRPr="00043DFE">
              <w:rPr>
                <w:szCs w:val="18"/>
                <w:lang w:val="en-US"/>
              </w:rPr>
              <w:t>T</w:t>
            </w:r>
            <w:r w:rsidRPr="00043DFE">
              <w:rPr>
                <w:szCs w:val="18"/>
                <w:vertAlign w:val="subscript"/>
                <w:lang w:val="en-US"/>
              </w:rPr>
              <w:t xml:space="preserve">evaluate,NR_Inter_Relax </w:t>
            </w:r>
            <w:r w:rsidRPr="00043DFE">
              <w:rPr>
                <w:szCs w:val="18"/>
              </w:rPr>
              <w:t xml:space="preserve">[s] (number of DRX cycles or eDRX cycles </w:t>
            </w:r>
            <w:r w:rsidRPr="00043DFE">
              <w:rPr>
                <w:szCs w:val="18"/>
                <w:vertAlign w:val="superscript"/>
              </w:rPr>
              <w:t>Note 3</w:t>
            </w:r>
            <w:r w:rsidRPr="00043DFE">
              <w:rPr>
                <w:szCs w:val="18"/>
              </w:rPr>
              <w:t>)</w:t>
            </w:r>
          </w:p>
        </w:tc>
      </w:tr>
      <w:tr w:rsidR="00985138" w:rsidRPr="00043DFE" w14:paraId="3A982DEF" w14:textId="77777777" w:rsidTr="008B107E">
        <w:trPr>
          <w:trHeight w:val="673"/>
        </w:trPr>
        <w:tc>
          <w:tcPr>
            <w:tcW w:w="1198" w:type="dxa"/>
            <w:tcBorders>
              <w:bottom w:val="nil"/>
            </w:tcBorders>
            <w:hideMark/>
          </w:tcPr>
          <w:p w14:paraId="78997A8A" w14:textId="77777777" w:rsidR="00985138" w:rsidRPr="00043DFE" w:rsidRDefault="00985138" w:rsidP="008B107E">
            <w:pPr>
              <w:pStyle w:val="TAC"/>
              <w:rPr>
                <w:lang w:val="en-US"/>
              </w:rPr>
            </w:pPr>
            <w:r w:rsidRPr="00043DFE">
              <w:t>20.48 ≤  eDRX_IDLE cycle length ≤[163.84]</w:t>
            </w:r>
          </w:p>
        </w:tc>
        <w:tc>
          <w:tcPr>
            <w:tcW w:w="751" w:type="dxa"/>
            <w:hideMark/>
          </w:tcPr>
          <w:p w14:paraId="32FEEC7B" w14:textId="77777777" w:rsidR="00985138" w:rsidRPr="00043DFE" w:rsidRDefault="00985138" w:rsidP="008B107E">
            <w:pPr>
              <w:pStyle w:val="TAC"/>
              <w:rPr>
                <w:lang w:val="en-US"/>
              </w:rPr>
            </w:pPr>
            <w:r w:rsidRPr="00043DFE">
              <w:t>0.32</w:t>
            </w:r>
          </w:p>
        </w:tc>
        <w:tc>
          <w:tcPr>
            <w:tcW w:w="930" w:type="dxa"/>
            <w:hideMark/>
          </w:tcPr>
          <w:p w14:paraId="78C2F755" w14:textId="77777777" w:rsidR="00985138" w:rsidRPr="00043DFE" w:rsidRDefault="00985138" w:rsidP="008B107E">
            <w:pPr>
              <w:pStyle w:val="TAC"/>
              <w:rPr>
                <w:lang w:val="en-US"/>
              </w:rPr>
            </w:pPr>
            <w:r w:rsidRPr="00043DFE">
              <w:t>≥</w:t>
            </w:r>
            <w:r w:rsidRPr="00043DFE">
              <w:rPr>
                <w:lang w:val="en-US"/>
              </w:rPr>
              <w:t>[</w:t>
            </w:r>
            <w:r w:rsidRPr="00043DFE">
              <w:t>3.84] ([3])</w:t>
            </w:r>
          </w:p>
        </w:tc>
        <w:tc>
          <w:tcPr>
            <w:tcW w:w="2431" w:type="dxa"/>
            <w:tcBorders>
              <w:bottom w:val="nil"/>
            </w:tcBorders>
            <w:hideMark/>
          </w:tcPr>
          <w:p w14:paraId="6A97711C" w14:textId="77777777" w:rsidR="00985138" w:rsidRPr="00043DFE" w:rsidRDefault="00985138" w:rsidP="008B107E">
            <w:pPr>
              <w:pStyle w:val="TAC"/>
              <w:rPr>
                <w:lang w:val="en-US"/>
              </w:rPr>
            </w:pPr>
            <m:oMathPara>
              <m:oMathParaPr>
                <m:jc m:val="centerGroup"/>
              </m:oMathParaPr>
              <m:oMath>
                <m:r>
                  <w:rPr>
                    <w:rFonts w:ascii="Cambria Math" w:hAnsi="Cambria Math"/>
                    <w:lang w:val="en-US"/>
                  </w:rPr>
                  <m:t>eDRX</m:t>
                </m:r>
                <m:r>
                  <m:rPr>
                    <m:sty m:val="p"/>
                  </m:rPr>
                  <w:rPr>
                    <w:rFonts w:ascii="Cambria Math" w:hAnsi="Cambria Math"/>
                    <w:lang w:val="en-US"/>
                  </w:rPr>
                  <m:t>_</m:t>
                </m:r>
                <m:r>
                  <w:rPr>
                    <w:rFonts w:ascii="Cambria Math" w:hAnsi="Cambria Math"/>
                    <w:lang w:val="en-US"/>
                  </w:rPr>
                  <m:t>cycl</m:t>
                </m:r>
                <m:r>
                  <m:rPr>
                    <m:sty m:val="p"/>
                  </m:rPr>
                  <w:rPr>
                    <w:rFonts w:ascii="Cambria Math" w:hAnsi="Cambria Math"/>
                    <w:lang w:val="en-US"/>
                  </w:rPr>
                  <m:t>e_</m:t>
                </m:r>
                <m:r>
                  <w:rPr>
                    <w:rFonts w:ascii="Cambria Math" w:hAnsi="Cambria Math"/>
                    <w:lang w:val="en-US"/>
                  </w:rPr>
                  <m:t>length×</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23</m:t>
                        </m:r>
                      </m:num>
                      <m:den>
                        <m:r>
                          <w:rPr>
                            <w:rFonts w:ascii="Cambria Math" w:hAnsi="Cambria Math"/>
                            <w:lang w:val="en-US"/>
                          </w:rPr>
                          <m:t>PTW/DRX_cycle_length</m:t>
                        </m:r>
                      </m:den>
                    </m:f>
                  </m:e>
                </m:d>
                <m:r>
                  <m:rPr>
                    <m:sty m:val="p"/>
                  </m:rPr>
                  <w:rPr>
                    <w:rFonts w:ascii="Cambria Math" w:hAnsi="Cambria Math"/>
                    <w:lang w:val="sv-SE"/>
                  </w:rPr>
                  <m:t>x K1</m:t>
                </m:r>
              </m:oMath>
            </m:oMathPara>
          </w:p>
          <w:p w14:paraId="4EDB3B7A" w14:textId="77777777" w:rsidR="00985138" w:rsidRPr="00043DFE" w:rsidRDefault="00985138" w:rsidP="008B107E">
            <w:pPr>
              <w:pStyle w:val="TAC"/>
              <w:rPr>
                <w:lang w:val="en-US"/>
              </w:rPr>
            </w:pPr>
            <w:r w:rsidRPr="00043DFE">
              <w:rPr>
                <w:lang w:val="en-US"/>
              </w:rPr>
              <w:t>(23</w:t>
            </w:r>
            <w:r w:rsidRPr="00043DFE">
              <w:rPr>
                <w:lang w:val="sv-SE"/>
              </w:rPr>
              <w:t xml:space="preserve"> x K1</w:t>
            </w:r>
            <w:r w:rsidRPr="00043DFE">
              <w:rPr>
                <w:lang w:val="en-US"/>
              </w:rPr>
              <w:t>)</w:t>
            </w:r>
          </w:p>
        </w:tc>
        <w:tc>
          <w:tcPr>
            <w:tcW w:w="1860" w:type="dxa"/>
            <w:hideMark/>
          </w:tcPr>
          <w:p w14:paraId="4B859E45" w14:textId="77777777" w:rsidR="00985138" w:rsidRPr="00043DFE" w:rsidRDefault="00985138" w:rsidP="008B107E">
            <w:pPr>
              <w:pStyle w:val="TAC"/>
            </w:pPr>
            <w:r w:rsidRPr="00043DFE">
              <w:t>0.32 x M2 x K1 (1 x M2 x K1)</w:t>
            </w:r>
          </w:p>
        </w:tc>
        <w:tc>
          <w:tcPr>
            <w:tcW w:w="1846" w:type="dxa"/>
          </w:tcPr>
          <w:p w14:paraId="6015ACEF" w14:textId="77777777" w:rsidR="00985138" w:rsidRPr="00043DFE" w:rsidRDefault="00985138" w:rsidP="008B107E">
            <w:pPr>
              <w:pStyle w:val="TAC"/>
            </w:pPr>
            <w:r w:rsidRPr="00043DFE">
              <w:t>0.64 x M2 x K1 (2 x M2 x K1)</w:t>
            </w:r>
          </w:p>
        </w:tc>
      </w:tr>
      <w:tr w:rsidR="00985138" w:rsidRPr="00043DFE" w14:paraId="0618D76A" w14:textId="77777777" w:rsidTr="008B107E">
        <w:trPr>
          <w:trHeight w:val="336"/>
        </w:trPr>
        <w:tc>
          <w:tcPr>
            <w:tcW w:w="1198" w:type="dxa"/>
            <w:tcBorders>
              <w:top w:val="nil"/>
              <w:bottom w:val="nil"/>
            </w:tcBorders>
            <w:hideMark/>
          </w:tcPr>
          <w:p w14:paraId="7B26ECE2" w14:textId="77777777" w:rsidR="00985138" w:rsidRPr="00043DFE" w:rsidRDefault="00985138" w:rsidP="008B107E">
            <w:pPr>
              <w:pStyle w:val="TAC"/>
              <w:rPr>
                <w:lang w:val="en-US"/>
              </w:rPr>
            </w:pPr>
          </w:p>
        </w:tc>
        <w:tc>
          <w:tcPr>
            <w:tcW w:w="751" w:type="dxa"/>
            <w:hideMark/>
          </w:tcPr>
          <w:p w14:paraId="1F5A89BF" w14:textId="77777777" w:rsidR="00985138" w:rsidRPr="00043DFE" w:rsidRDefault="00985138" w:rsidP="008B107E">
            <w:pPr>
              <w:pStyle w:val="TAC"/>
              <w:rPr>
                <w:lang w:val="en-US"/>
              </w:rPr>
            </w:pPr>
            <w:r w:rsidRPr="00043DFE">
              <w:t>0.64</w:t>
            </w:r>
          </w:p>
        </w:tc>
        <w:tc>
          <w:tcPr>
            <w:tcW w:w="930" w:type="dxa"/>
            <w:hideMark/>
          </w:tcPr>
          <w:p w14:paraId="6F6330BC" w14:textId="77777777" w:rsidR="00985138" w:rsidRPr="00043DFE" w:rsidRDefault="00985138" w:rsidP="008B107E">
            <w:pPr>
              <w:pStyle w:val="TAC"/>
              <w:rPr>
                <w:lang w:val="en-US"/>
              </w:rPr>
            </w:pPr>
            <w:r w:rsidRPr="00043DFE">
              <w:t>≥</w:t>
            </w:r>
            <w:r w:rsidRPr="00043DFE">
              <w:rPr>
                <w:lang w:val="en-US"/>
              </w:rPr>
              <w:t>[</w:t>
            </w:r>
            <w:r w:rsidRPr="00043DFE">
              <w:t>3.84] ([3])</w:t>
            </w:r>
          </w:p>
        </w:tc>
        <w:tc>
          <w:tcPr>
            <w:tcW w:w="2431" w:type="dxa"/>
            <w:tcBorders>
              <w:top w:val="nil"/>
              <w:bottom w:val="nil"/>
            </w:tcBorders>
            <w:hideMark/>
          </w:tcPr>
          <w:p w14:paraId="4B51A005" w14:textId="77777777" w:rsidR="00985138" w:rsidRPr="00043DFE" w:rsidRDefault="00985138" w:rsidP="008B107E">
            <w:pPr>
              <w:pStyle w:val="TAC"/>
              <w:rPr>
                <w:lang w:val="en-US"/>
              </w:rPr>
            </w:pPr>
          </w:p>
        </w:tc>
        <w:tc>
          <w:tcPr>
            <w:tcW w:w="1860" w:type="dxa"/>
            <w:hideMark/>
          </w:tcPr>
          <w:p w14:paraId="1574C63F" w14:textId="77777777" w:rsidR="00985138" w:rsidRPr="00043DFE" w:rsidRDefault="00985138" w:rsidP="008B107E">
            <w:pPr>
              <w:pStyle w:val="TAC"/>
            </w:pPr>
            <w:r w:rsidRPr="00043DFE">
              <w:t>0.64 x K1 (1 x K1)</w:t>
            </w:r>
          </w:p>
        </w:tc>
        <w:tc>
          <w:tcPr>
            <w:tcW w:w="1846" w:type="dxa"/>
          </w:tcPr>
          <w:p w14:paraId="3BE61DFA" w14:textId="77777777" w:rsidR="00985138" w:rsidRPr="00043DFE" w:rsidRDefault="00985138" w:rsidP="008B107E">
            <w:pPr>
              <w:pStyle w:val="TAC"/>
            </w:pPr>
            <w:r w:rsidRPr="00043DFE">
              <w:t>1.28 x K1 (2 x K1)</w:t>
            </w:r>
          </w:p>
        </w:tc>
      </w:tr>
      <w:tr w:rsidR="00985138" w:rsidRPr="00043DFE" w14:paraId="135319D4" w14:textId="77777777" w:rsidTr="008B107E">
        <w:trPr>
          <w:trHeight w:val="336"/>
        </w:trPr>
        <w:tc>
          <w:tcPr>
            <w:tcW w:w="1198" w:type="dxa"/>
            <w:tcBorders>
              <w:top w:val="nil"/>
              <w:bottom w:val="nil"/>
            </w:tcBorders>
            <w:hideMark/>
          </w:tcPr>
          <w:p w14:paraId="020CBDF3" w14:textId="77777777" w:rsidR="00985138" w:rsidRPr="00043DFE" w:rsidRDefault="00985138" w:rsidP="008B107E">
            <w:pPr>
              <w:pStyle w:val="TAC"/>
              <w:rPr>
                <w:lang w:val="en-US"/>
              </w:rPr>
            </w:pPr>
          </w:p>
        </w:tc>
        <w:tc>
          <w:tcPr>
            <w:tcW w:w="751" w:type="dxa"/>
            <w:hideMark/>
          </w:tcPr>
          <w:p w14:paraId="3DDFCED9" w14:textId="77777777" w:rsidR="00985138" w:rsidRPr="00043DFE" w:rsidRDefault="00985138" w:rsidP="008B107E">
            <w:pPr>
              <w:pStyle w:val="TAC"/>
              <w:rPr>
                <w:lang w:val="en-US"/>
              </w:rPr>
            </w:pPr>
            <w:r w:rsidRPr="00043DFE">
              <w:t>1.28</w:t>
            </w:r>
          </w:p>
        </w:tc>
        <w:tc>
          <w:tcPr>
            <w:tcW w:w="930" w:type="dxa"/>
            <w:hideMark/>
          </w:tcPr>
          <w:p w14:paraId="4E0F1DD2" w14:textId="77777777" w:rsidR="00985138" w:rsidRPr="00043DFE" w:rsidRDefault="00985138" w:rsidP="008B107E">
            <w:pPr>
              <w:pStyle w:val="TAC"/>
              <w:rPr>
                <w:lang w:val="en-US"/>
              </w:rPr>
            </w:pPr>
            <w:r w:rsidRPr="00043DFE">
              <w:t>≥[7.68] ([6])</w:t>
            </w:r>
          </w:p>
        </w:tc>
        <w:tc>
          <w:tcPr>
            <w:tcW w:w="2431" w:type="dxa"/>
            <w:tcBorders>
              <w:top w:val="nil"/>
              <w:bottom w:val="nil"/>
            </w:tcBorders>
            <w:hideMark/>
          </w:tcPr>
          <w:p w14:paraId="34F7DA9B" w14:textId="77777777" w:rsidR="00985138" w:rsidRPr="00043DFE" w:rsidRDefault="00985138" w:rsidP="008B107E">
            <w:pPr>
              <w:pStyle w:val="TAC"/>
              <w:rPr>
                <w:lang w:val="en-US"/>
              </w:rPr>
            </w:pPr>
          </w:p>
        </w:tc>
        <w:tc>
          <w:tcPr>
            <w:tcW w:w="1860" w:type="dxa"/>
            <w:hideMark/>
          </w:tcPr>
          <w:p w14:paraId="238A3391" w14:textId="77777777" w:rsidR="00985138" w:rsidRPr="00043DFE" w:rsidRDefault="00985138" w:rsidP="008B107E">
            <w:pPr>
              <w:pStyle w:val="TAC"/>
            </w:pPr>
            <w:r w:rsidRPr="00043DFE">
              <w:t>1.28 x K1 (1 x K1)</w:t>
            </w:r>
          </w:p>
        </w:tc>
        <w:tc>
          <w:tcPr>
            <w:tcW w:w="1846" w:type="dxa"/>
          </w:tcPr>
          <w:p w14:paraId="07E9118E" w14:textId="77777777" w:rsidR="00985138" w:rsidRPr="00043DFE" w:rsidRDefault="00985138" w:rsidP="008B107E">
            <w:pPr>
              <w:pStyle w:val="TAC"/>
            </w:pPr>
            <w:r w:rsidRPr="00043DFE">
              <w:t>2.56 x K1 (2 x K1)</w:t>
            </w:r>
          </w:p>
        </w:tc>
      </w:tr>
      <w:tr w:rsidR="00985138" w:rsidRPr="00043DFE" w14:paraId="03DB72A8" w14:textId="77777777" w:rsidTr="008B107E">
        <w:trPr>
          <w:trHeight w:val="336"/>
        </w:trPr>
        <w:tc>
          <w:tcPr>
            <w:tcW w:w="1198" w:type="dxa"/>
            <w:tcBorders>
              <w:top w:val="nil"/>
            </w:tcBorders>
            <w:hideMark/>
          </w:tcPr>
          <w:p w14:paraId="7612980E" w14:textId="77777777" w:rsidR="00985138" w:rsidRPr="00043DFE" w:rsidRDefault="00985138" w:rsidP="008B107E">
            <w:pPr>
              <w:pStyle w:val="TAC"/>
              <w:rPr>
                <w:lang w:val="en-US"/>
              </w:rPr>
            </w:pPr>
          </w:p>
        </w:tc>
        <w:tc>
          <w:tcPr>
            <w:tcW w:w="751" w:type="dxa"/>
            <w:hideMark/>
          </w:tcPr>
          <w:p w14:paraId="42603A36" w14:textId="77777777" w:rsidR="00985138" w:rsidRPr="00043DFE" w:rsidRDefault="00985138" w:rsidP="008B107E">
            <w:pPr>
              <w:pStyle w:val="TAC"/>
              <w:rPr>
                <w:lang w:val="en-US"/>
              </w:rPr>
            </w:pPr>
            <w:r w:rsidRPr="00043DFE">
              <w:t>2.56</w:t>
            </w:r>
          </w:p>
        </w:tc>
        <w:tc>
          <w:tcPr>
            <w:tcW w:w="930" w:type="dxa"/>
            <w:hideMark/>
          </w:tcPr>
          <w:p w14:paraId="00A5FD77" w14:textId="77777777" w:rsidR="00985138" w:rsidRPr="00043DFE" w:rsidRDefault="00985138" w:rsidP="008B107E">
            <w:pPr>
              <w:pStyle w:val="TAC"/>
              <w:rPr>
                <w:lang w:val="en-US"/>
              </w:rPr>
            </w:pPr>
            <w:r w:rsidRPr="00043DFE">
              <w:t>≥[15.36] ([12])</w:t>
            </w:r>
          </w:p>
        </w:tc>
        <w:tc>
          <w:tcPr>
            <w:tcW w:w="2431" w:type="dxa"/>
            <w:tcBorders>
              <w:top w:val="nil"/>
            </w:tcBorders>
            <w:hideMark/>
          </w:tcPr>
          <w:p w14:paraId="7AF97B85" w14:textId="77777777" w:rsidR="00985138" w:rsidRPr="00043DFE" w:rsidRDefault="00985138" w:rsidP="008B107E">
            <w:pPr>
              <w:pStyle w:val="TAC"/>
              <w:rPr>
                <w:lang w:val="en-US"/>
              </w:rPr>
            </w:pPr>
          </w:p>
        </w:tc>
        <w:tc>
          <w:tcPr>
            <w:tcW w:w="1860" w:type="dxa"/>
            <w:hideMark/>
          </w:tcPr>
          <w:p w14:paraId="50048D7C" w14:textId="77777777" w:rsidR="00985138" w:rsidRPr="00043DFE" w:rsidRDefault="00985138" w:rsidP="008B107E">
            <w:pPr>
              <w:pStyle w:val="TAC"/>
            </w:pPr>
            <w:r w:rsidRPr="00043DFE">
              <w:t>2.56 x K1 (1 x K1)</w:t>
            </w:r>
          </w:p>
        </w:tc>
        <w:tc>
          <w:tcPr>
            <w:tcW w:w="1846" w:type="dxa"/>
          </w:tcPr>
          <w:p w14:paraId="59B4B047" w14:textId="77777777" w:rsidR="00985138" w:rsidRPr="00043DFE" w:rsidRDefault="00985138" w:rsidP="008B107E">
            <w:pPr>
              <w:pStyle w:val="TAC"/>
            </w:pPr>
            <w:r w:rsidRPr="00043DFE">
              <w:t>5.12 x K1 (2 x K1)</w:t>
            </w:r>
          </w:p>
        </w:tc>
      </w:tr>
      <w:tr w:rsidR="00985138" w:rsidRPr="00043DFE" w14:paraId="18ECA76B" w14:textId="77777777" w:rsidTr="008B107E">
        <w:trPr>
          <w:trHeight w:val="336"/>
        </w:trPr>
        <w:tc>
          <w:tcPr>
            <w:tcW w:w="9016" w:type="dxa"/>
            <w:gridSpan w:val="6"/>
          </w:tcPr>
          <w:p w14:paraId="14CA48DD" w14:textId="77777777" w:rsidR="00985138" w:rsidRPr="00043DFE" w:rsidRDefault="00985138" w:rsidP="008B107E">
            <w:pPr>
              <w:pStyle w:val="TAN"/>
              <w:rPr>
                <w:snapToGrid w:val="0"/>
              </w:rPr>
            </w:pPr>
            <w:r w:rsidRPr="00043DFE">
              <w:rPr>
                <w:snapToGrid w:val="0"/>
              </w:rPr>
              <w:t>Note 1</w:t>
            </w:r>
            <w:r w:rsidRPr="00043DFE">
              <w:t>:</w:t>
            </w:r>
            <w:r w:rsidRPr="00043DFE">
              <w:rPr>
                <w:lang w:val="en-US"/>
              </w:rPr>
              <w:tab/>
            </w:r>
            <w:r w:rsidRPr="00043DFE">
              <w:rPr>
                <w:snapToGrid w:val="0"/>
              </w:rPr>
              <w:t>The number of DRX cycles in this table is given for the DRX cycles within PTWs.</w:t>
            </w:r>
          </w:p>
          <w:p w14:paraId="2F59F1BF" w14:textId="77777777" w:rsidR="00985138" w:rsidRPr="00043DFE" w:rsidRDefault="00985138" w:rsidP="008B107E">
            <w:pPr>
              <w:pStyle w:val="TAN"/>
              <w:rPr>
                <w:snapToGrid w:val="0"/>
              </w:rPr>
            </w:pPr>
            <w:r w:rsidRPr="00043DFE">
              <w:rPr>
                <w:snapToGrid w:val="0"/>
              </w:rPr>
              <w:t>Note 2</w:t>
            </w:r>
            <w:r w:rsidRPr="00043DFE">
              <w:t>:</w:t>
            </w:r>
            <w:r w:rsidRPr="00043DFE">
              <w:rPr>
                <w:lang w:val="en-US"/>
              </w:rPr>
              <w:tab/>
            </w:r>
            <w:r w:rsidRPr="00043DFE">
              <w:rPr>
                <w:snapToGrid w:val="0"/>
              </w:rPr>
              <w:t>The eDRX_IDLE cycle lengths are as specified in Section 10.5.5.32 of TS 24.008 [34].</w:t>
            </w:r>
          </w:p>
          <w:p w14:paraId="289BED5A" w14:textId="77777777" w:rsidR="00985138" w:rsidRPr="00043DFE" w:rsidRDefault="00985138" w:rsidP="008B107E">
            <w:pPr>
              <w:pStyle w:val="TAN"/>
              <w:rPr>
                <w:rFonts w:cs="Arial"/>
                <w:iCs/>
              </w:rPr>
            </w:pPr>
            <w:r w:rsidRPr="00043DFE">
              <w:rPr>
                <w:snapToGrid w:val="0"/>
              </w:rPr>
              <w:t>Note</w:t>
            </w:r>
            <w:r w:rsidRPr="00043DFE">
              <w:rPr>
                <w:rFonts w:cs="Arial"/>
              </w:rPr>
              <w:t xml:space="preserve"> 3:</w:t>
            </w:r>
            <w:r w:rsidRPr="00043DFE">
              <w:rPr>
                <w:lang w:val="en-US"/>
              </w:rPr>
              <w:t xml:space="preserve"> </w:t>
            </w:r>
            <w:r w:rsidRPr="00043DFE">
              <w:rPr>
                <w:lang w:val="en-US"/>
              </w:rPr>
              <w:tab/>
            </w:r>
            <w:r w:rsidRPr="00043DFE">
              <w:rPr>
                <w:rFonts w:cs="Arial"/>
              </w:rPr>
              <w:t xml:space="preserve">The lower bound of </w:t>
            </w:r>
            <w:r w:rsidRPr="00043DFE">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sidRPr="00043DFE">
              <w:rPr>
                <w:rFonts w:cs="Arial"/>
                <w:iCs/>
              </w:rPr>
              <w:t>.</w:t>
            </w:r>
          </w:p>
          <w:p w14:paraId="00ED5BAF" w14:textId="77777777" w:rsidR="00985138" w:rsidRPr="00043DFE" w:rsidRDefault="00985138" w:rsidP="008B107E">
            <w:pPr>
              <w:pStyle w:val="TAN"/>
              <w:rPr>
                <w:snapToGrid w:val="0"/>
              </w:rPr>
            </w:pPr>
            <w:r w:rsidRPr="00043DFE">
              <w:rPr>
                <w:snapToGrid w:val="0"/>
              </w:rPr>
              <w:t>Note 4:</w:t>
            </w:r>
            <w:r w:rsidRPr="00043DFE">
              <w:rPr>
                <w:lang w:val="en-US"/>
              </w:rPr>
              <w:tab/>
            </w:r>
            <w:r w:rsidRPr="00043DFE">
              <w:rPr>
                <w:snapToGrid w:val="0"/>
              </w:rPr>
              <w:t>M2 = 1.5 if SMTC periodicity</w:t>
            </w:r>
            <w:r w:rsidRPr="00043DFE">
              <w:t xml:space="preserve"> </w:t>
            </w:r>
            <w:r w:rsidRPr="00043DFE">
              <w:rPr>
                <w:snapToGrid w:val="0"/>
              </w:rPr>
              <w:t>of measured intra-frequency cell &gt; 20 ms; otherwise M2=1.</w:t>
            </w:r>
            <w:r w:rsidRPr="00043DFE">
              <w:t xml:space="preserve"> </w:t>
            </w:r>
            <w:r w:rsidRPr="00043DFE">
              <w:rPr>
                <w:snapToGrid w:val="0"/>
              </w:rPr>
              <w:t>If different SMTC periodicities are configured for different cells, the SMTC periodicity in this note is the one used by the cell being identified. During PSS/SSS detection, the periodicity of the SMTC configured for the intra-frequency carrier is assumed, and if the actual SSB transmission periodicity is greater than the SMTC configured for the intra-frequency carrier, longer T</w:t>
            </w:r>
            <w:r w:rsidRPr="00043DFE">
              <w:rPr>
                <w:snapToGrid w:val="0"/>
                <w:vertAlign w:val="subscript"/>
              </w:rPr>
              <w:t>detect, NR_intra</w:t>
            </w:r>
            <w:r w:rsidRPr="00043DFE">
              <w:rPr>
                <w:snapToGrid w:val="0"/>
              </w:rPr>
              <w:t xml:space="preserve"> is expected.</w:t>
            </w:r>
          </w:p>
          <w:p w14:paraId="2CE2EEB7" w14:textId="77777777" w:rsidR="00985138" w:rsidRPr="00043DFE" w:rsidRDefault="00985138" w:rsidP="008B107E">
            <w:pPr>
              <w:pStyle w:val="TAN"/>
              <w:rPr>
                <w:snapToGrid w:val="0"/>
              </w:rPr>
            </w:pPr>
            <w:r w:rsidRPr="00043DFE">
              <w:rPr>
                <w:snapToGrid w:val="0"/>
              </w:rPr>
              <w:t>Note 5:</w:t>
            </w:r>
            <w:r w:rsidRPr="00043DFE">
              <w:rPr>
                <w:snapToGrid w:val="0"/>
              </w:rPr>
              <w:tab/>
              <w:t xml:space="preserve">K1 = 3 is the measurement relaxation factor applicable for UE fulfilling the </w:t>
            </w:r>
            <w:r w:rsidRPr="00043DFE">
              <w:rPr>
                <w:i/>
                <w:iCs/>
              </w:rPr>
              <w:t xml:space="preserve">cellEdgeEvaluation </w:t>
            </w:r>
            <w:r w:rsidRPr="00043DFE">
              <w:rPr>
                <w:snapToGrid w:val="0"/>
              </w:rPr>
              <w:t>[2] criterion.</w:t>
            </w:r>
          </w:p>
        </w:tc>
      </w:tr>
    </w:tbl>
    <w:p w14:paraId="49DF770B" w14:textId="77777777" w:rsidR="00985138" w:rsidRPr="00043DFE" w:rsidRDefault="00985138" w:rsidP="00985138"/>
    <w:p w14:paraId="1CE6C7EA" w14:textId="77777777" w:rsidR="00985138" w:rsidRPr="00043DFE" w:rsidRDefault="00985138" w:rsidP="00985138">
      <w:pPr>
        <w:pStyle w:val="TH"/>
        <w:rPr>
          <w:lang w:val="en-US"/>
        </w:rPr>
      </w:pPr>
      <w:r w:rsidRPr="00043DFE">
        <w:rPr>
          <w:lang w:val="en-US"/>
        </w:rPr>
        <w:t>Table 4.2B.2.10.10-6: T</w:t>
      </w:r>
      <w:r w:rsidRPr="00043DFE">
        <w:rPr>
          <w:vertAlign w:val="subscript"/>
          <w:lang w:val="en-US"/>
        </w:rPr>
        <w:t>detect,NR_Inter_Relax</w:t>
      </w:r>
      <w:r w:rsidRPr="00043DFE">
        <w:rPr>
          <w:lang w:val="en-US"/>
        </w:rPr>
        <w:t>, T</w:t>
      </w:r>
      <w:r w:rsidRPr="00043DFE">
        <w:rPr>
          <w:vertAlign w:val="subscript"/>
          <w:lang w:val="en-US"/>
        </w:rPr>
        <w:t>measure,NR_Inter_Relax</w:t>
      </w:r>
      <w:r w:rsidRPr="00043DFE">
        <w:rPr>
          <w:lang w:val="en-US"/>
        </w:rPr>
        <w:t xml:space="preserve"> and T</w:t>
      </w:r>
      <w:r w:rsidRPr="00043DFE">
        <w:rPr>
          <w:vertAlign w:val="subscript"/>
          <w:lang w:val="en-US"/>
        </w:rPr>
        <w:t>evaluate,NR_Inter_Relax</w:t>
      </w:r>
      <w:r w:rsidRPr="00043DFE">
        <w:rPr>
          <w:lang w:val="en-US"/>
        </w:rPr>
        <w:t xml:space="preserve"> for UE configured with eDRX_IDLE cycle (Frequency range FR2)</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757"/>
        <w:gridCol w:w="977"/>
        <w:gridCol w:w="882"/>
        <w:gridCol w:w="2408"/>
        <w:gridCol w:w="64"/>
        <w:gridCol w:w="1528"/>
        <w:gridCol w:w="1621"/>
      </w:tblGrid>
      <w:tr w:rsidR="00985138" w:rsidRPr="00043DFE" w14:paraId="6047F279" w14:textId="77777777" w:rsidTr="008B107E">
        <w:trPr>
          <w:trHeight w:val="1692"/>
        </w:trPr>
        <w:tc>
          <w:tcPr>
            <w:tcW w:w="639" w:type="pct"/>
            <w:hideMark/>
          </w:tcPr>
          <w:p w14:paraId="5C900ECF" w14:textId="77777777" w:rsidR="00985138" w:rsidRPr="00043DFE" w:rsidRDefault="00985138" w:rsidP="008B107E">
            <w:pPr>
              <w:pStyle w:val="TAH"/>
              <w:rPr>
                <w:lang w:val="en-US"/>
              </w:rPr>
            </w:pPr>
            <w:r w:rsidRPr="00043DFE">
              <w:t>eDRX_IDLE cycle length [s]</w:t>
            </w:r>
          </w:p>
        </w:tc>
        <w:tc>
          <w:tcPr>
            <w:tcW w:w="401" w:type="pct"/>
            <w:hideMark/>
          </w:tcPr>
          <w:p w14:paraId="1D94FAE3" w14:textId="77777777" w:rsidR="00985138" w:rsidRPr="00043DFE" w:rsidRDefault="00985138" w:rsidP="008B107E">
            <w:pPr>
              <w:pStyle w:val="TAH"/>
              <w:rPr>
                <w:lang w:val="en-US"/>
              </w:rPr>
            </w:pPr>
            <w:r w:rsidRPr="00043DFE">
              <w:t>DRX cycle length [s]</w:t>
            </w:r>
          </w:p>
        </w:tc>
        <w:tc>
          <w:tcPr>
            <w:tcW w:w="517" w:type="pct"/>
            <w:hideMark/>
          </w:tcPr>
          <w:p w14:paraId="77698837" w14:textId="77777777" w:rsidR="00985138" w:rsidRPr="00043DFE" w:rsidRDefault="00985138" w:rsidP="008B107E">
            <w:pPr>
              <w:pStyle w:val="TAH"/>
              <w:rPr>
                <w:lang w:val="en-US"/>
              </w:rPr>
            </w:pPr>
            <w:r w:rsidRPr="00043DFE">
              <w:t>PTW length [s] (number of 1.28s periods)</w:t>
            </w:r>
          </w:p>
        </w:tc>
        <w:tc>
          <w:tcPr>
            <w:tcW w:w="467" w:type="pct"/>
          </w:tcPr>
          <w:p w14:paraId="269B9733" w14:textId="77777777" w:rsidR="00985138" w:rsidRPr="00043DFE" w:rsidRDefault="00985138" w:rsidP="008B107E">
            <w:pPr>
              <w:pStyle w:val="TAH"/>
            </w:pPr>
            <w:r w:rsidRPr="00043DFE">
              <w:t>Scaling Factor (N1)</w:t>
            </w:r>
            <w:r w:rsidRPr="00043DFE">
              <w:rPr>
                <w:vertAlign w:val="superscript"/>
              </w:rPr>
              <w:t xml:space="preserve"> Note1</w:t>
            </w:r>
          </w:p>
        </w:tc>
        <w:tc>
          <w:tcPr>
            <w:tcW w:w="1275" w:type="pct"/>
            <w:hideMark/>
          </w:tcPr>
          <w:p w14:paraId="3A0444B0" w14:textId="77777777" w:rsidR="00985138" w:rsidRPr="00043DFE" w:rsidRDefault="00985138" w:rsidP="008B107E">
            <w:pPr>
              <w:pStyle w:val="TAH"/>
              <w:rPr>
                <w:lang w:val="en-US"/>
              </w:rPr>
            </w:pPr>
            <w:r w:rsidRPr="00043DFE">
              <w:rPr>
                <w:bCs/>
                <w:szCs w:val="18"/>
              </w:rPr>
              <w:t>T</w:t>
            </w:r>
            <w:r w:rsidRPr="00043DFE">
              <w:rPr>
                <w:bCs/>
                <w:szCs w:val="18"/>
                <w:vertAlign w:val="subscript"/>
              </w:rPr>
              <w:t>detect,NR_Inter_Relax</w:t>
            </w:r>
            <w:r w:rsidRPr="00043DFE">
              <w:rPr>
                <w:szCs w:val="18"/>
              </w:rPr>
              <w:t xml:space="preserve"> [s] (number of DRX cycles</w:t>
            </w:r>
            <w:r w:rsidRPr="00043DFE">
              <w:rPr>
                <w:bCs/>
                <w:szCs w:val="18"/>
              </w:rPr>
              <w:t xml:space="preserve"> or eDRX cycles </w:t>
            </w:r>
            <w:r w:rsidRPr="00043DFE">
              <w:rPr>
                <w:bCs/>
                <w:szCs w:val="18"/>
                <w:vertAlign w:val="superscript"/>
              </w:rPr>
              <w:t>Note 3</w:t>
            </w:r>
            <w:r w:rsidRPr="00043DFE">
              <w:rPr>
                <w:szCs w:val="18"/>
              </w:rPr>
              <w:t>)</w:t>
            </w:r>
          </w:p>
        </w:tc>
        <w:tc>
          <w:tcPr>
            <w:tcW w:w="843" w:type="pct"/>
            <w:gridSpan w:val="2"/>
            <w:hideMark/>
          </w:tcPr>
          <w:p w14:paraId="50CBE083" w14:textId="77777777" w:rsidR="00985138" w:rsidRPr="00043DFE" w:rsidRDefault="00985138" w:rsidP="008B107E">
            <w:pPr>
              <w:pStyle w:val="TAH"/>
              <w:rPr>
                <w:lang w:val="en-US"/>
              </w:rPr>
            </w:pPr>
            <w:r w:rsidRPr="00043DFE">
              <w:rPr>
                <w:bCs/>
                <w:szCs w:val="18"/>
              </w:rPr>
              <w:t>T</w:t>
            </w:r>
            <w:r w:rsidRPr="00043DFE">
              <w:rPr>
                <w:bCs/>
                <w:szCs w:val="18"/>
                <w:vertAlign w:val="subscript"/>
              </w:rPr>
              <w:t>measure,NR_Inter_Relax</w:t>
            </w:r>
            <w:r w:rsidRPr="00043DFE">
              <w:rPr>
                <w:szCs w:val="18"/>
              </w:rPr>
              <w:t xml:space="preserve"> [s] (number of DRX cycles</w:t>
            </w:r>
            <w:r w:rsidRPr="00043DFE">
              <w:rPr>
                <w:bCs/>
                <w:szCs w:val="18"/>
              </w:rPr>
              <w:t xml:space="preserve"> or eDRX cycles </w:t>
            </w:r>
            <w:r w:rsidRPr="00043DFE">
              <w:rPr>
                <w:bCs/>
                <w:szCs w:val="18"/>
                <w:vertAlign w:val="superscript"/>
              </w:rPr>
              <w:t>Note 3</w:t>
            </w:r>
            <w:r w:rsidRPr="00043DFE">
              <w:rPr>
                <w:szCs w:val="18"/>
              </w:rPr>
              <w:t>)</w:t>
            </w:r>
          </w:p>
        </w:tc>
        <w:tc>
          <w:tcPr>
            <w:tcW w:w="858" w:type="pct"/>
            <w:hideMark/>
          </w:tcPr>
          <w:p w14:paraId="3870F3DB" w14:textId="77777777" w:rsidR="00985138" w:rsidRPr="00043DFE" w:rsidRDefault="00985138" w:rsidP="008B107E">
            <w:pPr>
              <w:pStyle w:val="TAH"/>
              <w:rPr>
                <w:lang w:val="en-US"/>
              </w:rPr>
            </w:pPr>
            <w:r w:rsidRPr="00043DFE">
              <w:rPr>
                <w:bCs/>
                <w:szCs w:val="18"/>
              </w:rPr>
              <w:t>T</w:t>
            </w:r>
            <w:r w:rsidRPr="00043DFE">
              <w:rPr>
                <w:bCs/>
                <w:szCs w:val="18"/>
                <w:vertAlign w:val="subscript"/>
              </w:rPr>
              <w:t>evaluate,NR_Inter_Relax</w:t>
            </w:r>
            <w:r w:rsidRPr="00043DFE">
              <w:rPr>
                <w:szCs w:val="18"/>
                <w:vertAlign w:val="subscript"/>
                <w:lang w:val="en-US"/>
              </w:rPr>
              <w:t xml:space="preserve"> </w:t>
            </w:r>
            <w:r w:rsidRPr="00043DFE">
              <w:rPr>
                <w:szCs w:val="18"/>
              </w:rPr>
              <w:t>[s] (number of DRX cycles</w:t>
            </w:r>
            <w:r w:rsidRPr="00043DFE">
              <w:rPr>
                <w:bCs/>
                <w:szCs w:val="18"/>
              </w:rPr>
              <w:t xml:space="preserve"> or eDRX cycles </w:t>
            </w:r>
            <w:r w:rsidRPr="00043DFE">
              <w:rPr>
                <w:bCs/>
                <w:szCs w:val="18"/>
                <w:vertAlign w:val="superscript"/>
              </w:rPr>
              <w:t>Note 3</w:t>
            </w:r>
            <w:r w:rsidRPr="00043DFE">
              <w:rPr>
                <w:szCs w:val="18"/>
              </w:rPr>
              <w:t>)</w:t>
            </w:r>
          </w:p>
        </w:tc>
      </w:tr>
      <w:tr w:rsidR="00985138" w:rsidRPr="00043DFE" w14:paraId="6E6E3B34" w14:textId="77777777" w:rsidTr="008B107E">
        <w:trPr>
          <w:trHeight w:val="673"/>
        </w:trPr>
        <w:tc>
          <w:tcPr>
            <w:tcW w:w="639" w:type="pct"/>
            <w:tcBorders>
              <w:bottom w:val="nil"/>
            </w:tcBorders>
            <w:hideMark/>
          </w:tcPr>
          <w:p w14:paraId="432DE499" w14:textId="77777777" w:rsidR="00985138" w:rsidRPr="00043DFE" w:rsidRDefault="00985138" w:rsidP="008B107E">
            <w:pPr>
              <w:pStyle w:val="TAC"/>
              <w:rPr>
                <w:lang w:val="en-US"/>
              </w:rPr>
            </w:pPr>
            <w:r w:rsidRPr="00043DFE">
              <w:t>20.48 ≤  eDRX_IDLE cycle length ≤[163.84]</w:t>
            </w:r>
          </w:p>
        </w:tc>
        <w:tc>
          <w:tcPr>
            <w:tcW w:w="401" w:type="pct"/>
            <w:hideMark/>
          </w:tcPr>
          <w:p w14:paraId="52A796DA" w14:textId="77777777" w:rsidR="00985138" w:rsidRPr="00043DFE" w:rsidRDefault="00985138" w:rsidP="008B107E">
            <w:pPr>
              <w:pStyle w:val="TAC"/>
              <w:rPr>
                <w:lang w:val="en-US"/>
              </w:rPr>
            </w:pPr>
            <w:r w:rsidRPr="00043DFE">
              <w:t>0.32</w:t>
            </w:r>
          </w:p>
        </w:tc>
        <w:tc>
          <w:tcPr>
            <w:tcW w:w="517" w:type="pct"/>
            <w:hideMark/>
          </w:tcPr>
          <w:p w14:paraId="0252F7CD" w14:textId="77777777" w:rsidR="00985138" w:rsidRPr="00043DFE" w:rsidRDefault="00985138" w:rsidP="008B107E">
            <w:pPr>
              <w:pStyle w:val="TAC"/>
              <w:rPr>
                <w:lang w:val="en-US"/>
              </w:rPr>
            </w:pPr>
            <w:r w:rsidRPr="00043DFE">
              <w:t>≥15.36 (12)</w:t>
            </w:r>
          </w:p>
        </w:tc>
        <w:tc>
          <w:tcPr>
            <w:tcW w:w="467" w:type="pct"/>
          </w:tcPr>
          <w:p w14:paraId="43F91557" w14:textId="77777777" w:rsidR="00985138" w:rsidRPr="00043DFE" w:rsidRDefault="00985138" w:rsidP="008B107E">
            <w:pPr>
              <w:pStyle w:val="TAC"/>
              <w:rPr>
                <w:lang w:val="en-US"/>
              </w:rPr>
            </w:pPr>
            <w:r w:rsidRPr="00043DFE">
              <w:rPr>
                <w:lang w:val="en-US"/>
              </w:rPr>
              <w:t>8</w:t>
            </w:r>
          </w:p>
        </w:tc>
        <w:tc>
          <w:tcPr>
            <w:tcW w:w="1309" w:type="pct"/>
            <w:gridSpan w:val="2"/>
            <w:tcBorders>
              <w:bottom w:val="nil"/>
            </w:tcBorders>
            <w:hideMark/>
          </w:tcPr>
          <w:p w14:paraId="45B48858" w14:textId="77777777" w:rsidR="00985138" w:rsidRPr="00043DFE" w:rsidRDefault="00985138" w:rsidP="008B107E">
            <w:pPr>
              <w:pStyle w:val="TAC"/>
              <w:rPr>
                <w:lang w:val="sv-SE"/>
              </w:rPr>
            </w:pPr>
            <w:r w:rsidRPr="00043DFE">
              <w:rPr>
                <w:lang w:val="sv-SE"/>
              </w:rPr>
              <w:t xml:space="preserve">K1 x </w:t>
            </w:r>
            <m:oMath>
              <m:r>
                <w:rPr>
                  <w:rFonts w:ascii="Cambria Math" w:hAnsi="Cambria Math"/>
                  <w:lang w:val="en-US"/>
                </w:rPr>
                <m:t>eDRX</m:t>
              </m:r>
              <m:r>
                <m:rPr>
                  <m:sty m:val="p"/>
                </m:rPr>
                <w:rPr>
                  <w:rFonts w:ascii="Cambria Math" w:hAnsi="Cambria Math"/>
                  <w:lang w:val="sv-SE"/>
                </w:rPr>
                <m:t>_</m:t>
              </m:r>
              <m:r>
                <w:rPr>
                  <w:rFonts w:ascii="Cambria Math" w:hAnsi="Cambria Math"/>
                  <w:lang w:val="en-US"/>
                </w:rPr>
                <m:t>cycl</m:t>
              </m:r>
              <m:r>
                <m:rPr>
                  <m:sty m:val="p"/>
                </m:rPr>
                <w:rPr>
                  <w:rFonts w:ascii="Cambria Math" w:hAnsi="Cambria Math"/>
                  <w:lang w:val="sv-SE"/>
                </w:rPr>
                <m:t>e_</m:t>
              </m:r>
              <m:r>
                <w:rPr>
                  <w:rFonts w:ascii="Cambria Math" w:hAnsi="Cambria Math"/>
                  <w:lang w:val="en-US"/>
                </w:rPr>
                <m:t>lengt</m:t>
              </m:r>
              <m:r>
                <w:rPr>
                  <w:rFonts w:ascii="Cambria Math" w:hAnsi="Cambria Math"/>
                  <w:lang w:val="sv-SE"/>
                </w:rPr>
                <m:t>h×</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sv-SE"/>
                        </w:rPr>
                        <m:t>23×</m:t>
                      </m:r>
                      <m:r>
                        <w:rPr>
                          <w:rFonts w:ascii="Cambria Math" w:hAnsi="Cambria Math"/>
                          <w:lang w:val="en-US"/>
                        </w:rPr>
                        <m:t>N</m:t>
                      </m:r>
                      <m:r>
                        <w:rPr>
                          <w:rFonts w:ascii="Cambria Math" w:hAnsi="Cambria Math"/>
                          <w:lang w:val="sv-SE"/>
                        </w:rPr>
                        <m:t>1</m:t>
                      </m:r>
                    </m:num>
                    <m:den>
                      <m:r>
                        <w:rPr>
                          <w:rFonts w:ascii="Cambria Math" w:hAnsi="Cambria Math"/>
                          <w:lang w:val="en-US"/>
                        </w:rPr>
                        <m:t>PTW</m:t>
                      </m:r>
                      <m:r>
                        <w:rPr>
                          <w:rFonts w:ascii="Cambria Math" w:hAnsi="Cambria Math"/>
                          <w:lang w:val="sv-SE"/>
                        </w:rPr>
                        <m:t>/</m:t>
                      </m:r>
                      <m:r>
                        <w:rPr>
                          <w:rFonts w:ascii="Cambria Math" w:hAnsi="Cambria Math"/>
                          <w:lang w:val="en-US"/>
                        </w:rPr>
                        <m:t>DRX</m:t>
                      </m:r>
                      <m:r>
                        <w:rPr>
                          <w:rFonts w:ascii="Cambria Math" w:hAnsi="Cambria Math"/>
                          <w:lang w:val="sv-SE"/>
                        </w:rPr>
                        <m:t>_</m:t>
                      </m:r>
                      <m:r>
                        <w:rPr>
                          <w:rFonts w:ascii="Cambria Math" w:hAnsi="Cambria Math"/>
                          <w:lang w:val="en-US"/>
                        </w:rPr>
                        <m:t>cycle</m:t>
                      </m:r>
                      <m:r>
                        <w:rPr>
                          <w:rFonts w:ascii="Cambria Math" w:hAnsi="Cambria Math"/>
                          <w:lang w:val="sv-SE"/>
                        </w:rPr>
                        <m:t>_</m:t>
                      </m:r>
                      <m:r>
                        <w:rPr>
                          <w:rFonts w:ascii="Cambria Math" w:hAnsi="Cambria Math"/>
                          <w:lang w:val="en-US"/>
                        </w:rPr>
                        <m:t>lengt</m:t>
                      </m:r>
                      <m:r>
                        <w:rPr>
                          <w:rFonts w:ascii="Cambria Math" w:hAnsi="Cambria Math"/>
                          <w:lang w:val="sv-SE"/>
                        </w:rPr>
                        <m:t>h</m:t>
                      </m:r>
                    </m:den>
                  </m:f>
                </m:e>
              </m:d>
            </m:oMath>
          </w:p>
          <w:p w14:paraId="39DF6B5D" w14:textId="77777777" w:rsidR="00985138" w:rsidRPr="00043DFE" w:rsidRDefault="00985138" w:rsidP="008B107E">
            <w:pPr>
              <w:pStyle w:val="TAC"/>
              <w:rPr>
                <w:lang w:val="en-US"/>
              </w:rPr>
            </w:pPr>
            <w:r w:rsidRPr="00043DFE">
              <w:rPr>
                <w:lang w:val="en-US"/>
              </w:rPr>
              <w:t>(23</w:t>
            </w:r>
            <w:r w:rsidRPr="00043DFE">
              <w:t xml:space="preserve"> x N1</w:t>
            </w:r>
            <w:r w:rsidRPr="00043DFE">
              <w:rPr>
                <w:lang w:val="sv-SE"/>
              </w:rPr>
              <w:t xml:space="preserve"> x K1</w:t>
            </w:r>
            <w:r w:rsidRPr="00043DFE">
              <w:rPr>
                <w:lang w:val="en-US"/>
              </w:rPr>
              <w:t>)</w:t>
            </w:r>
          </w:p>
        </w:tc>
        <w:tc>
          <w:tcPr>
            <w:tcW w:w="809" w:type="pct"/>
            <w:hideMark/>
          </w:tcPr>
          <w:p w14:paraId="4B26AEFE" w14:textId="77777777" w:rsidR="00985138" w:rsidRPr="00043DFE" w:rsidRDefault="00985138" w:rsidP="008B107E">
            <w:pPr>
              <w:pStyle w:val="TAC"/>
            </w:pPr>
            <w:r w:rsidRPr="00043DFE">
              <w:t>0.32 x N1 x K1 (1 x N1 x K1)</w:t>
            </w:r>
          </w:p>
        </w:tc>
        <w:tc>
          <w:tcPr>
            <w:tcW w:w="858" w:type="pct"/>
            <w:hideMark/>
          </w:tcPr>
          <w:p w14:paraId="261428CE" w14:textId="77777777" w:rsidR="00985138" w:rsidRPr="00043DFE" w:rsidRDefault="00985138" w:rsidP="008B107E">
            <w:pPr>
              <w:pStyle w:val="TAC"/>
            </w:pPr>
            <w:r w:rsidRPr="00043DFE">
              <w:t>0.64 x N1 x K1 (2 x N1 x K1)</w:t>
            </w:r>
          </w:p>
        </w:tc>
      </w:tr>
      <w:tr w:rsidR="00985138" w:rsidRPr="00043DFE" w14:paraId="5FAFA223" w14:textId="77777777" w:rsidTr="008B107E">
        <w:trPr>
          <w:trHeight w:val="336"/>
        </w:trPr>
        <w:tc>
          <w:tcPr>
            <w:tcW w:w="639" w:type="pct"/>
            <w:tcBorders>
              <w:top w:val="nil"/>
              <w:bottom w:val="nil"/>
            </w:tcBorders>
            <w:hideMark/>
          </w:tcPr>
          <w:p w14:paraId="15E227F7" w14:textId="77777777" w:rsidR="00985138" w:rsidRPr="00043DFE" w:rsidRDefault="00985138" w:rsidP="008B107E">
            <w:pPr>
              <w:pStyle w:val="TAC"/>
              <w:rPr>
                <w:lang w:val="en-US"/>
              </w:rPr>
            </w:pPr>
          </w:p>
        </w:tc>
        <w:tc>
          <w:tcPr>
            <w:tcW w:w="401" w:type="pct"/>
            <w:hideMark/>
          </w:tcPr>
          <w:p w14:paraId="2023DBC4" w14:textId="77777777" w:rsidR="00985138" w:rsidRPr="00043DFE" w:rsidRDefault="00985138" w:rsidP="008B107E">
            <w:pPr>
              <w:pStyle w:val="TAC"/>
              <w:rPr>
                <w:lang w:val="en-US"/>
              </w:rPr>
            </w:pPr>
            <w:r w:rsidRPr="00043DFE">
              <w:t>0.64</w:t>
            </w:r>
          </w:p>
        </w:tc>
        <w:tc>
          <w:tcPr>
            <w:tcW w:w="517" w:type="pct"/>
            <w:hideMark/>
          </w:tcPr>
          <w:p w14:paraId="1AB2A80D" w14:textId="77777777" w:rsidR="00985138" w:rsidRPr="00043DFE" w:rsidRDefault="00985138" w:rsidP="008B107E">
            <w:pPr>
              <w:pStyle w:val="TAC"/>
              <w:rPr>
                <w:lang w:val="en-US"/>
              </w:rPr>
            </w:pPr>
            <w:r w:rsidRPr="00043DFE">
              <w:t>≥19.2 (15)</w:t>
            </w:r>
          </w:p>
        </w:tc>
        <w:tc>
          <w:tcPr>
            <w:tcW w:w="467" w:type="pct"/>
          </w:tcPr>
          <w:p w14:paraId="52E5B6E4" w14:textId="77777777" w:rsidR="00985138" w:rsidRPr="00043DFE" w:rsidRDefault="00985138" w:rsidP="008B107E">
            <w:pPr>
              <w:pStyle w:val="TAC"/>
              <w:rPr>
                <w:lang w:val="en-US"/>
              </w:rPr>
            </w:pPr>
            <w:r w:rsidRPr="00043DFE">
              <w:rPr>
                <w:lang w:val="en-US"/>
              </w:rPr>
              <w:t>5</w:t>
            </w:r>
          </w:p>
        </w:tc>
        <w:tc>
          <w:tcPr>
            <w:tcW w:w="1309" w:type="pct"/>
            <w:gridSpan w:val="2"/>
            <w:tcBorders>
              <w:top w:val="nil"/>
              <w:bottom w:val="nil"/>
            </w:tcBorders>
            <w:hideMark/>
          </w:tcPr>
          <w:p w14:paraId="51A61D32" w14:textId="77777777" w:rsidR="00985138" w:rsidRPr="00043DFE" w:rsidRDefault="00985138" w:rsidP="008B107E">
            <w:pPr>
              <w:pStyle w:val="TAC"/>
              <w:rPr>
                <w:lang w:val="en-US"/>
              </w:rPr>
            </w:pPr>
          </w:p>
        </w:tc>
        <w:tc>
          <w:tcPr>
            <w:tcW w:w="809" w:type="pct"/>
            <w:hideMark/>
          </w:tcPr>
          <w:p w14:paraId="6CBAF53B" w14:textId="77777777" w:rsidR="00985138" w:rsidRPr="00043DFE" w:rsidRDefault="00985138" w:rsidP="008B107E">
            <w:pPr>
              <w:pStyle w:val="TAC"/>
            </w:pPr>
            <w:r w:rsidRPr="00043DFE">
              <w:t>0.64 x N1 x K1 (1 x N1 x K1)</w:t>
            </w:r>
          </w:p>
        </w:tc>
        <w:tc>
          <w:tcPr>
            <w:tcW w:w="858" w:type="pct"/>
            <w:hideMark/>
          </w:tcPr>
          <w:p w14:paraId="5B5ED21E" w14:textId="77777777" w:rsidR="00985138" w:rsidRPr="00043DFE" w:rsidRDefault="00985138" w:rsidP="008B107E">
            <w:pPr>
              <w:pStyle w:val="TAC"/>
            </w:pPr>
            <w:r w:rsidRPr="00043DFE">
              <w:t>1.28 x N1 x K1 (2 x N1 x K1)</w:t>
            </w:r>
          </w:p>
        </w:tc>
      </w:tr>
      <w:tr w:rsidR="00985138" w:rsidRPr="00043DFE" w14:paraId="4903A9D0" w14:textId="77777777" w:rsidTr="008B107E">
        <w:trPr>
          <w:trHeight w:val="336"/>
        </w:trPr>
        <w:tc>
          <w:tcPr>
            <w:tcW w:w="639" w:type="pct"/>
            <w:tcBorders>
              <w:top w:val="nil"/>
              <w:bottom w:val="nil"/>
            </w:tcBorders>
            <w:hideMark/>
          </w:tcPr>
          <w:p w14:paraId="6FEBFF5D" w14:textId="77777777" w:rsidR="00985138" w:rsidRPr="00043DFE" w:rsidRDefault="00985138" w:rsidP="008B107E">
            <w:pPr>
              <w:pStyle w:val="TAC"/>
              <w:rPr>
                <w:lang w:val="en-US"/>
              </w:rPr>
            </w:pPr>
          </w:p>
        </w:tc>
        <w:tc>
          <w:tcPr>
            <w:tcW w:w="401" w:type="pct"/>
            <w:hideMark/>
          </w:tcPr>
          <w:p w14:paraId="4BB08D25" w14:textId="77777777" w:rsidR="00985138" w:rsidRPr="00043DFE" w:rsidRDefault="00985138" w:rsidP="008B107E">
            <w:pPr>
              <w:pStyle w:val="TAC"/>
              <w:rPr>
                <w:lang w:val="en-US"/>
              </w:rPr>
            </w:pPr>
            <w:r w:rsidRPr="00043DFE">
              <w:t>1.28</w:t>
            </w:r>
          </w:p>
        </w:tc>
        <w:tc>
          <w:tcPr>
            <w:tcW w:w="517" w:type="pct"/>
            <w:hideMark/>
          </w:tcPr>
          <w:p w14:paraId="4F238FBE" w14:textId="77777777" w:rsidR="00985138" w:rsidRPr="00043DFE" w:rsidRDefault="00985138" w:rsidP="008B107E">
            <w:pPr>
              <w:pStyle w:val="TAC"/>
              <w:rPr>
                <w:highlight w:val="yellow"/>
                <w:lang w:val="en-US"/>
              </w:rPr>
            </w:pPr>
            <w:r w:rsidRPr="00043DFE">
              <w:rPr>
                <w:rFonts w:hint="eastAsia"/>
              </w:rPr>
              <w:t>≥</w:t>
            </w:r>
            <w:r w:rsidRPr="00043DFE">
              <w:t>30.72 (24)</w:t>
            </w:r>
          </w:p>
        </w:tc>
        <w:tc>
          <w:tcPr>
            <w:tcW w:w="467" w:type="pct"/>
          </w:tcPr>
          <w:p w14:paraId="224E5AEB" w14:textId="77777777" w:rsidR="00985138" w:rsidRPr="00043DFE" w:rsidRDefault="00985138" w:rsidP="008B107E">
            <w:pPr>
              <w:pStyle w:val="TAC"/>
              <w:rPr>
                <w:lang w:val="en-US"/>
              </w:rPr>
            </w:pPr>
            <w:r w:rsidRPr="00043DFE">
              <w:rPr>
                <w:lang w:val="en-US"/>
              </w:rPr>
              <w:t>4</w:t>
            </w:r>
          </w:p>
        </w:tc>
        <w:tc>
          <w:tcPr>
            <w:tcW w:w="1309" w:type="pct"/>
            <w:gridSpan w:val="2"/>
            <w:tcBorders>
              <w:top w:val="nil"/>
              <w:bottom w:val="nil"/>
            </w:tcBorders>
            <w:hideMark/>
          </w:tcPr>
          <w:p w14:paraId="3302BC9E" w14:textId="77777777" w:rsidR="00985138" w:rsidRPr="00043DFE" w:rsidRDefault="00985138" w:rsidP="008B107E">
            <w:pPr>
              <w:pStyle w:val="TAC"/>
              <w:rPr>
                <w:lang w:val="en-US"/>
              </w:rPr>
            </w:pPr>
          </w:p>
        </w:tc>
        <w:tc>
          <w:tcPr>
            <w:tcW w:w="809" w:type="pct"/>
            <w:hideMark/>
          </w:tcPr>
          <w:p w14:paraId="0B0ACBAC" w14:textId="77777777" w:rsidR="00985138" w:rsidRPr="00043DFE" w:rsidRDefault="00985138" w:rsidP="008B107E">
            <w:pPr>
              <w:pStyle w:val="TAC"/>
            </w:pPr>
            <w:r w:rsidRPr="00043DFE">
              <w:t>1.28 x N1 x K1 (1 x N1 x K1)</w:t>
            </w:r>
          </w:p>
        </w:tc>
        <w:tc>
          <w:tcPr>
            <w:tcW w:w="858" w:type="pct"/>
            <w:hideMark/>
          </w:tcPr>
          <w:p w14:paraId="383449E5" w14:textId="77777777" w:rsidR="00985138" w:rsidRPr="00043DFE" w:rsidRDefault="00985138" w:rsidP="008B107E">
            <w:pPr>
              <w:pStyle w:val="TAC"/>
            </w:pPr>
            <w:r w:rsidRPr="00043DFE">
              <w:t>2.56 x N1 x K1 (2 x N1 x K1)</w:t>
            </w:r>
          </w:p>
        </w:tc>
      </w:tr>
      <w:tr w:rsidR="00985138" w:rsidRPr="00043DFE" w14:paraId="3A8CB83D" w14:textId="77777777" w:rsidTr="008B107E">
        <w:trPr>
          <w:trHeight w:val="336"/>
        </w:trPr>
        <w:tc>
          <w:tcPr>
            <w:tcW w:w="639" w:type="pct"/>
            <w:tcBorders>
              <w:top w:val="nil"/>
            </w:tcBorders>
          </w:tcPr>
          <w:p w14:paraId="2C965F50" w14:textId="77777777" w:rsidR="00985138" w:rsidRPr="00043DFE" w:rsidRDefault="00985138" w:rsidP="008B107E">
            <w:pPr>
              <w:pStyle w:val="TAC"/>
              <w:rPr>
                <w:lang w:val="en-US"/>
              </w:rPr>
            </w:pPr>
          </w:p>
        </w:tc>
        <w:tc>
          <w:tcPr>
            <w:tcW w:w="401" w:type="pct"/>
          </w:tcPr>
          <w:p w14:paraId="1FD3563B" w14:textId="77777777" w:rsidR="00985138" w:rsidRPr="00043DFE" w:rsidRDefault="00985138" w:rsidP="008B107E">
            <w:pPr>
              <w:pStyle w:val="TAC"/>
            </w:pPr>
            <w:r w:rsidRPr="00043DFE">
              <w:t>2.56</w:t>
            </w:r>
          </w:p>
        </w:tc>
        <w:tc>
          <w:tcPr>
            <w:tcW w:w="517" w:type="pct"/>
          </w:tcPr>
          <w:p w14:paraId="099FEAEE" w14:textId="77777777" w:rsidR="00985138" w:rsidRPr="00043DFE" w:rsidRDefault="00985138" w:rsidP="008B107E">
            <w:pPr>
              <w:pStyle w:val="TAC"/>
            </w:pPr>
            <w:r w:rsidRPr="00043DFE">
              <w:rPr>
                <w:lang w:eastAsia="zh-CN"/>
              </w:rPr>
              <w:t>40.96 (32)</w:t>
            </w:r>
          </w:p>
        </w:tc>
        <w:tc>
          <w:tcPr>
            <w:tcW w:w="467" w:type="pct"/>
          </w:tcPr>
          <w:p w14:paraId="5704699A" w14:textId="77777777" w:rsidR="00985138" w:rsidRPr="00043DFE" w:rsidRDefault="00985138" w:rsidP="008B107E">
            <w:pPr>
              <w:pStyle w:val="TAC"/>
              <w:rPr>
                <w:lang w:val="en-US"/>
              </w:rPr>
            </w:pPr>
            <w:r w:rsidRPr="00043DFE">
              <w:rPr>
                <w:lang w:val="en-US"/>
              </w:rPr>
              <w:t>3</w:t>
            </w:r>
          </w:p>
        </w:tc>
        <w:tc>
          <w:tcPr>
            <w:tcW w:w="1309" w:type="pct"/>
            <w:gridSpan w:val="2"/>
            <w:tcBorders>
              <w:top w:val="nil"/>
            </w:tcBorders>
          </w:tcPr>
          <w:p w14:paraId="5F541B2D" w14:textId="77777777" w:rsidR="00985138" w:rsidRPr="00043DFE" w:rsidRDefault="00985138" w:rsidP="008B107E">
            <w:pPr>
              <w:pStyle w:val="TAC"/>
              <w:rPr>
                <w:lang w:val="en-US"/>
              </w:rPr>
            </w:pPr>
          </w:p>
        </w:tc>
        <w:tc>
          <w:tcPr>
            <w:tcW w:w="809" w:type="pct"/>
          </w:tcPr>
          <w:p w14:paraId="38A36C35" w14:textId="77777777" w:rsidR="00985138" w:rsidRPr="00043DFE" w:rsidRDefault="00985138" w:rsidP="008B107E">
            <w:pPr>
              <w:pStyle w:val="TAC"/>
            </w:pPr>
            <w:r w:rsidRPr="00043DFE">
              <w:rPr>
                <w:lang w:eastAsia="zh-CN"/>
              </w:rPr>
              <w:t>20.48</w:t>
            </w:r>
          </w:p>
        </w:tc>
        <w:tc>
          <w:tcPr>
            <w:tcW w:w="858" w:type="pct"/>
          </w:tcPr>
          <w:p w14:paraId="707B0571" w14:textId="77777777" w:rsidR="00985138" w:rsidRPr="00043DFE" w:rsidRDefault="00985138" w:rsidP="008B107E">
            <w:pPr>
              <w:pStyle w:val="TAC"/>
            </w:pPr>
            <w:r w:rsidRPr="00043DFE">
              <w:rPr>
                <w:lang w:eastAsia="zh-CN"/>
              </w:rPr>
              <w:t>40.96</w:t>
            </w:r>
          </w:p>
        </w:tc>
      </w:tr>
      <w:tr w:rsidR="00985138" w:rsidRPr="00043DFE" w14:paraId="098B7904" w14:textId="77777777" w:rsidTr="008B107E">
        <w:trPr>
          <w:trHeight w:val="336"/>
        </w:trPr>
        <w:tc>
          <w:tcPr>
            <w:tcW w:w="5000" w:type="pct"/>
            <w:gridSpan w:val="8"/>
          </w:tcPr>
          <w:p w14:paraId="4384BD20" w14:textId="77777777" w:rsidR="00985138" w:rsidRPr="00043DFE" w:rsidRDefault="00985138" w:rsidP="008B107E">
            <w:pPr>
              <w:pStyle w:val="TAN"/>
              <w:rPr>
                <w:rFonts w:eastAsia="Malgun Gothic"/>
                <w:snapToGrid w:val="0"/>
              </w:rPr>
            </w:pPr>
            <w:r w:rsidRPr="00043DFE">
              <w:rPr>
                <w:rFonts w:eastAsia="Malgun Gothic"/>
                <w:snapToGrid w:val="0"/>
              </w:rPr>
              <w:t xml:space="preserve">Note 1: </w:t>
            </w:r>
            <w:r w:rsidRPr="00043DFE">
              <w:rPr>
                <w:rFonts w:eastAsia="Malgun Gothic"/>
                <w:snapToGrid w:val="0"/>
              </w:rPr>
              <w:tab/>
            </w:r>
            <w:r w:rsidRPr="00043DFE">
              <w:t xml:space="preserve">Applies for UE supporting FR2-1 power class </w:t>
            </w:r>
            <w:r w:rsidRPr="00043DFE">
              <w:rPr>
                <w:lang w:eastAsia="zh-CN"/>
              </w:rPr>
              <w:t>2&amp;3&amp;4</w:t>
            </w:r>
            <w:r w:rsidRPr="00043DFE">
              <w:t>. For UE supporting FR2-1 power class 1 or 5, N1 = 8 for all DRX cycle length.</w:t>
            </w:r>
          </w:p>
          <w:p w14:paraId="56583A9B" w14:textId="77777777" w:rsidR="00985138" w:rsidRPr="00043DFE" w:rsidRDefault="00985138" w:rsidP="008B107E">
            <w:pPr>
              <w:pStyle w:val="TAN"/>
              <w:rPr>
                <w:rFonts w:eastAsia="Malgun Gothic"/>
                <w:snapToGrid w:val="0"/>
              </w:rPr>
            </w:pPr>
            <w:r w:rsidRPr="00043DFE">
              <w:rPr>
                <w:rFonts w:eastAsia="Malgun Gothic"/>
                <w:snapToGrid w:val="0"/>
              </w:rPr>
              <w:t xml:space="preserve">Note 2: </w:t>
            </w:r>
            <w:r w:rsidRPr="00043DFE">
              <w:rPr>
                <w:rFonts w:eastAsia="Malgun Gothic"/>
                <w:snapToGrid w:val="0"/>
              </w:rPr>
              <w:tab/>
              <w:t>The number of DRX cycles in this table is given for the DRX cycles within PTWs.</w:t>
            </w:r>
          </w:p>
          <w:p w14:paraId="11CD3F2D" w14:textId="77777777" w:rsidR="00985138" w:rsidRPr="00043DFE" w:rsidRDefault="00985138" w:rsidP="008B107E">
            <w:pPr>
              <w:pStyle w:val="TAN"/>
              <w:rPr>
                <w:rFonts w:eastAsia="Malgun Gothic"/>
                <w:snapToGrid w:val="0"/>
              </w:rPr>
            </w:pPr>
            <w:r w:rsidRPr="00043DFE">
              <w:rPr>
                <w:rFonts w:eastAsia="Malgun Gothic"/>
                <w:snapToGrid w:val="0"/>
              </w:rPr>
              <w:t xml:space="preserve">Note 3: </w:t>
            </w:r>
            <w:r w:rsidRPr="00043DFE">
              <w:rPr>
                <w:rFonts w:eastAsia="Malgun Gothic"/>
                <w:snapToGrid w:val="0"/>
              </w:rPr>
              <w:tab/>
              <w:t>The eDRX_IDLE cycle lengths are as specified in Section 10.5.5.32 of TS 24.008 [34].</w:t>
            </w:r>
          </w:p>
          <w:p w14:paraId="09FD6649" w14:textId="77777777" w:rsidR="00985138" w:rsidRPr="00043DFE" w:rsidRDefault="00985138" w:rsidP="008B107E">
            <w:pPr>
              <w:pStyle w:val="TAN"/>
              <w:rPr>
                <w:rFonts w:eastAsia="Malgun Gothic"/>
                <w:snapToGrid w:val="0"/>
              </w:rPr>
            </w:pPr>
            <w:r w:rsidRPr="00043DFE">
              <w:rPr>
                <w:rFonts w:eastAsia="Malgun Gothic"/>
                <w:snapToGrid w:val="0"/>
              </w:rPr>
              <w:t xml:space="preserve">Note 4: </w:t>
            </w:r>
            <w:r w:rsidRPr="00043DFE">
              <w:rPr>
                <w:rFonts w:eastAsia="Malgun Gothic"/>
                <w:snapToGrid w:val="0"/>
              </w:rPr>
              <w:tab/>
              <w:t xml:space="preserve">The lower bound of PTW length is derived based on </w:t>
            </w:r>
            <m:oMath>
              <m:d>
                <m:dPr>
                  <m:begChr m:val="⌈"/>
                  <m:endChr m:val="⌉"/>
                  <m:ctrlPr>
                    <w:rPr>
                      <w:rFonts w:ascii="Cambria Math" w:eastAsia="Malgun Gothic" w:hAnsi="Cambria Math"/>
                      <w:snapToGrid w:val="0"/>
                    </w:rPr>
                  </m:ctrlPr>
                </m:dPr>
                <m:e>
                  <m:f>
                    <m:fPr>
                      <m:ctrlPr>
                        <w:rPr>
                          <w:rFonts w:ascii="Cambria Math" w:eastAsia="Malgun Gothic" w:hAnsi="Cambria Math"/>
                          <w:snapToGrid w:val="0"/>
                        </w:rPr>
                      </m:ctrlPr>
                    </m:fPr>
                    <m:num>
                      <m:r>
                        <m:rPr>
                          <m:sty m:val="p"/>
                        </m:rPr>
                        <w:rPr>
                          <w:rFonts w:ascii="Cambria Math" w:eastAsia="Malgun Gothic" w:hAnsi="Cambria Math"/>
                          <w:snapToGrid w:val="0"/>
                        </w:rPr>
                        <m:t>Tevaluate,NR_Intra*DRX_cycle</m:t>
                      </m:r>
                    </m:num>
                    <m:den>
                      <m:r>
                        <m:rPr>
                          <m:sty m:val="p"/>
                        </m:rPr>
                        <w:rPr>
                          <w:rFonts w:ascii="Cambria Math" w:eastAsia="Malgun Gothic" w:hAnsi="Cambria Math"/>
                          <w:snapToGrid w:val="0"/>
                        </w:rPr>
                        <m:t>1.28</m:t>
                      </m:r>
                    </m:den>
                  </m:f>
                </m:e>
              </m:d>
              <m:r>
                <m:rPr>
                  <m:sty m:val="p"/>
                </m:rPr>
                <w:rPr>
                  <w:rFonts w:ascii="Cambria Math" w:eastAsia="Malgun Gothic" w:hAnsi="Cambria Math"/>
                  <w:snapToGrid w:val="0"/>
                </w:rPr>
                <m:t>*1.28</m:t>
              </m:r>
            </m:oMath>
            <w:r w:rsidRPr="00043DFE">
              <w:rPr>
                <w:rFonts w:eastAsia="Malgun Gothic"/>
                <w:snapToGrid w:val="0"/>
              </w:rPr>
              <w:t>.</w:t>
            </w:r>
          </w:p>
          <w:p w14:paraId="5949B631" w14:textId="77777777" w:rsidR="00985138" w:rsidRPr="00043DFE" w:rsidRDefault="00985138" w:rsidP="008B107E">
            <w:pPr>
              <w:pStyle w:val="TAN"/>
              <w:rPr>
                <w:rFonts w:eastAsia="Malgun Gothic"/>
                <w:snapToGrid w:val="0"/>
              </w:rPr>
            </w:pPr>
            <w:r w:rsidRPr="00043DFE">
              <w:rPr>
                <w:rFonts w:eastAsia="Malgun Gothic"/>
                <w:snapToGrid w:val="0"/>
              </w:rPr>
              <w:t>Note 5:</w:t>
            </w:r>
            <w:r w:rsidRPr="00043DFE">
              <w:rPr>
                <w:rFonts w:eastAsia="Malgun Gothic"/>
                <w:snapToGrid w:val="0"/>
              </w:rPr>
              <w:tab/>
              <w:t>The measurement shall not be performed across PTW’s. In this case the measurement is performed in the next available PTW.</w:t>
            </w:r>
          </w:p>
          <w:p w14:paraId="7BDF4E10" w14:textId="77777777" w:rsidR="00985138" w:rsidRPr="00043DFE" w:rsidRDefault="00985138" w:rsidP="008B107E">
            <w:pPr>
              <w:pStyle w:val="TAN"/>
              <w:rPr>
                <w:rFonts w:eastAsia="Malgun Gothic"/>
                <w:snapToGrid w:val="0"/>
              </w:rPr>
            </w:pPr>
            <w:r w:rsidRPr="00043DFE">
              <w:rPr>
                <w:rFonts w:eastAsia="Malgun Gothic"/>
                <w:snapToGrid w:val="0"/>
              </w:rPr>
              <w:t>Note 6:</w:t>
            </w:r>
            <w:r w:rsidRPr="00043DFE">
              <w:rPr>
                <w:rFonts w:eastAsia="Malgun Gothic"/>
                <w:snapToGrid w:val="0"/>
              </w:rPr>
              <w:tab/>
              <w:t>The evaluation shall not be performed across PTW’s.</w:t>
            </w:r>
          </w:p>
          <w:p w14:paraId="40C2BAF7" w14:textId="77777777" w:rsidR="00985138" w:rsidRPr="00043DFE" w:rsidRDefault="00985138" w:rsidP="008B107E">
            <w:pPr>
              <w:pStyle w:val="TAN"/>
              <w:rPr>
                <w:rFonts w:cs="Arial"/>
              </w:rPr>
            </w:pPr>
            <w:r w:rsidRPr="00043DFE">
              <w:rPr>
                <w:rFonts w:eastAsia="Malgun Gothic"/>
                <w:snapToGrid w:val="0"/>
              </w:rPr>
              <w:t>Note 7:</w:t>
            </w:r>
            <w:r w:rsidRPr="00043DFE">
              <w:rPr>
                <w:rFonts w:eastAsia="Malgun Gothic"/>
                <w:snapToGrid w:val="0"/>
              </w:rPr>
              <w:tab/>
              <w:t xml:space="preserve">K1 = 3 is the measurement relaxation factor applicable for UE fulfilling the </w:t>
            </w:r>
            <w:r w:rsidRPr="00043DFE">
              <w:rPr>
                <w:i/>
                <w:iCs/>
              </w:rPr>
              <w:t>cellEdgeEvaluation criterion</w:t>
            </w:r>
            <w:r w:rsidRPr="00043DFE">
              <w:rPr>
                <w:rFonts w:eastAsia="Malgun Gothic"/>
                <w:snapToGrid w:val="0"/>
              </w:rPr>
              <w:t xml:space="preserve"> [2].</w:t>
            </w:r>
          </w:p>
        </w:tc>
      </w:tr>
    </w:tbl>
    <w:p w14:paraId="46AE356A" w14:textId="77777777" w:rsidR="00985138" w:rsidRPr="00043DFE" w:rsidRDefault="00985138" w:rsidP="00985138">
      <w:pPr>
        <w:rPr>
          <w:lang w:val="en-US" w:eastAsia="zh-CN"/>
        </w:rPr>
      </w:pPr>
    </w:p>
    <w:p w14:paraId="2ACCAEDC" w14:textId="6DF2250C" w:rsidR="0022726A" w:rsidRDefault="0022726A" w:rsidP="0022726A">
      <w:pPr>
        <w:pStyle w:val="Heading5"/>
        <w:rPr>
          <w:lang w:val="en-US" w:eastAsia="zh-CN"/>
        </w:rPr>
      </w:pPr>
      <w:r>
        <w:rPr>
          <w:lang w:val="en-US" w:eastAsia="zh-CN"/>
        </w:rPr>
        <w:t>4.2.2.10.4</w:t>
      </w:r>
      <w:r w:rsidRPr="00885F53">
        <w:rPr>
          <w:lang w:val="en-US" w:eastAsia="zh-CN"/>
        </w:rPr>
        <w:tab/>
      </w:r>
      <w:r>
        <w:rPr>
          <w:lang w:val="en-US" w:eastAsia="zh-CN"/>
        </w:rPr>
        <w:t>Measurements for UE fulfilling low mobility and not-at-cell edge criterion</w:t>
      </w:r>
    </w:p>
    <w:p w14:paraId="095CEFB6" w14:textId="381F1017" w:rsidR="0022726A" w:rsidRDefault="0022726A" w:rsidP="0022726A">
      <w:pPr>
        <w:rPr>
          <w:rFonts w:eastAsiaTheme="minorEastAsia"/>
          <w:lang w:eastAsia="zh-CN"/>
        </w:rPr>
      </w:pPr>
      <w:r w:rsidRPr="00885F53">
        <w:rPr>
          <w:lang w:val="en-US" w:eastAsia="zh-CN"/>
        </w:rPr>
        <w:t xml:space="preserve">This clause contains requirements </w:t>
      </w:r>
      <w:r>
        <w:rPr>
          <w:rFonts w:eastAsiaTheme="minorEastAsia"/>
          <w:lang w:eastAsia="zh-CN"/>
        </w:rPr>
        <w:t xml:space="preserve">for measurements on </w:t>
      </w:r>
      <w:r w:rsidR="00AA1634">
        <w:rPr>
          <w:rFonts w:eastAsiaTheme="minorEastAsia"/>
          <w:lang w:eastAsia="zh-CN"/>
        </w:rPr>
        <w:t>int</w:t>
      </w:r>
      <w:r w:rsidR="00AA1634">
        <w:rPr>
          <w:rFonts w:eastAsiaTheme="minorEastAsia" w:hint="eastAsia"/>
          <w:lang w:eastAsia="zh-CN"/>
        </w:rPr>
        <w:t>er</w:t>
      </w:r>
      <w:r w:rsidR="00AA1634">
        <w:rPr>
          <w:rFonts w:eastAsiaTheme="minorEastAsia"/>
          <w:lang w:eastAsia="zh-CN"/>
        </w:rPr>
        <w:t>-</w:t>
      </w:r>
      <w:r>
        <w:rPr>
          <w:rFonts w:eastAsiaTheme="minorEastAsia"/>
          <w:lang w:eastAsia="zh-CN"/>
        </w:rPr>
        <w:t>frequency NR cells provided that:</w:t>
      </w:r>
    </w:p>
    <w:p w14:paraId="4D64DF06" w14:textId="203A7B23" w:rsidR="0022726A" w:rsidRDefault="0022726A" w:rsidP="00FA1949">
      <w:pPr>
        <w:pStyle w:val="B10"/>
        <w:rPr>
          <w:lang w:eastAsia="zh-CN"/>
        </w:rPr>
      </w:pPr>
      <w:r>
        <w:rPr>
          <w:lang w:eastAsia="zh-CN"/>
        </w:rPr>
        <w:t>-</w:t>
      </w:r>
      <w:r>
        <w:rPr>
          <w:lang w:eastAsia="zh-CN"/>
        </w:rPr>
        <w:tab/>
      </w:r>
      <w:r w:rsidRPr="00AD77EE">
        <w:rPr>
          <w:lang w:eastAsia="zh-CN"/>
        </w:rPr>
        <w:t xml:space="preserve">T331 timer is not running for EMR measurements on </w:t>
      </w:r>
      <w:r>
        <w:rPr>
          <w:lang w:eastAsia="zh-CN"/>
        </w:rPr>
        <w:t>inter</w:t>
      </w:r>
      <w:r w:rsidRPr="00AD77EE">
        <w:rPr>
          <w:lang w:eastAsia="zh-CN"/>
        </w:rPr>
        <w:t>-frequency NR carrier</w:t>
      </w:r>
      <w:r>
        <w:rPr>
          <w:lang w:eastAsia="zh-CN"/>
        </w:rPr>
        <w:t>, and</w:t>
      </w:r>
    </w:p>
    <w:p w14:paraId="1F798049" w14:textId="77777777" w:rsidR="00EB3ABD" w:rsidRPr="00AD77EE" w:rsidRDefault="00EB3ABD" w:rsidP="00EB3ABD">
      <w:pPr>
        <w:pStyle w:val="B10"/>
        <w:rPr>
          <w:lang w:eastAsia="zh-CN"/>
        </w:rPr>
      </w:pPr>
      <w:r>
        <w:rPr>
          <w:lang w:eastAsia="zh-CN"/>
        </w:rPr>
        <w:t>-</w:t>
      </w:r>
      <w:r>
        <w:rPr>
          <w:lang w:eastAsia="zh-CN"/>
        </w:rPr>
        <w:tab/>
      </w:r>
      <w:r w:rsidRPr="000A4CE3">
        <w:rPr>
          <w:lang w:eastAsia="zh-CN"/>
        </w:rPr>
        <w:t xml:space="preserve">UE is configured with </w:t>
      </w:r>
      <w:r w:rsidRPr="00AD77EE">
        <w:rPr>
          <w:lang w:eastAsia="zh-CN"/>
        </w:rPr>
        <w:t xml:space="preserve">both </w:t>
      </w:r>
      <w:r w:rsidRPr="001C6668">
        <w:rPr>
          <w:i/>
          <w:iCs/>
          <w:lang w:eastAsia="zh-CN"/>
        </w:rPr>
        <w:t>lowMobilityEvaluation</w:t>
      </w:r>
      <w:r w:rsidRPr="00485479" w:rsidDel="001E51FB">
        <w:rPr>
          <w:i/>
          <w:iCs/>
          <w:lang w:eastAsia="zh-CN"/>
        </w:rPr>
        <w:t xml:space="preserve"> </w:t>
      </w:r>
      <w:r>
        <w:rPr>
          <w:lang w:eastAsia="zh-CN"/>
        </w:rPr>
        <w:t>[2]</w:t>
      </w:r>
      <w:r w:rsidRPr="00AD77EE">
        <w:rPr>
          <w:lang w:eastAsia="zh-CN"/>
        </w:rPr>
        <w:t xml:space="preserve"> criterion and </w:t>
      </w:r>
      <w:r w:rsidRPr="00485479">
        <w:rPr>
          <w:i/>
          <w:iCs/>
          <w:lang w:eastAsia="zh-CN"/>
        </w:rPr>
        <w:t>cellEdgeEvaluation</w:t>
      </w:r>
      <w:r>
        <w:rPr>
          <w:i/>
          <w:iCs/>
          <w:lang w:eastAsia="zh-CN"/>
        </w:rPr>
        <w:t xml:space="preserve"> </w:t>
      </w:r>
      <w:r>
        <w:rPr>
          <w:lang w:eastAsia="zh-CN"/>
        </w:rPr>
        <w:t>[2]</w:t>
      </w:r>
      <w:r w:rsidRPr="00AD77EE">
        <w:rPr>
          <w:lang w:eastAsia="zh-CN"/>
        </w:rPr>
        <w:t xml:space="preserve"> criterion, </w:t>
      </w:r>
      <w:r>
        <w:rPr>
          <w:lang w:eastAsia="zh-CN"/>
        </w:rPr>
        <w:t xml:space="preserve">and </w:t>
      </w:r>
    </w:p>
    <w:p w14:paraId="133B22CD" w14:textId="4909F100" w:rsidR="00EB3ABD" w:rsidRDefault="00EB3ABD" w:rsidP="00EB3ABD">
      <w:pPr>
        <w:pStyle w:val="B10"/>
        <w:rPr>
          <w:lang w:eastAsia="zh-CN"/>
        </w:rPr>
      </w:pPr>
      <w:r>
        <w:rPr>
          <w:lang w:eastAsia="zh-CN"/>
        </w:rPr>
        <w:t>-</w:t>
      </w:r>
      <w:r>
        <w:rPr>
          <w:lang w:eastAsia="zh-CN"/>
        </w:rPr>
        <w:tab/>
        <w:t xml:space="preserve">Has also </w:t>
      </w:r>
      <w:r w:rsidRPr="00AD77EE">
        <w:rPr>
          <w:lang w:eastAsia="zh-CN"/>
        </w:rPr>
        <w:t xml:space="preserve">fulfilled </w:t>
      </w:r>
      <w:r>
        <w:rPr>
          <w:lang w:eastAsia="zh-CN"/>
        </w:rPr>
        <w:t>both criteria</w:t>
      </w:r>
    </w:p>
    <w:p w14:paraId="0AB174D7" w14:textId="77777777" w:rsidR="00EB3ABD" w:rsidRDefault="00EB3ABD" w:rsidP="00EB3ABD">
      <w:pPr>
        <w:rPr>
          <w:lang w:eastAsia="zh-CN"/>
        </w:rPr>
      </w:pPr>
      <w:r w:rsidRPr="00D56527">
        <w:rPr>
          <w:lang w:eastAsia="zh-CN"/>
        </w:rPr>
        <w:t xml:space="preserve">In this case the UE is not required to meet </w:t>
      </w:r>
      <w:r w:rsidRPr="00D56527">
        <w:rPr>
          <w:rFonts w:ascii="Arial" w:hAnsi="Arial"/>
          <w:sz w:val="18"/>
        </w:rPr>
        <w:t>T</w:t>
      </w:r>
      <w:r w:rsidRPr="00D56527">
        <w:rPr>
          <w:rFonts w:ascii="Arial" w:hAnsi="Arial"/>
          <w:sz w:val="18"/>
          <w:vertAlign w:val="subscript"/>
        </w:rPr>
        <w:t>detect,NR_</w:t>
      </w:r>
      <w:r w:rsidRPr="000D108A">
        <w:rPr>
          <w:rFonts w:ascii="Arial" w:hAnsi="Arial"/>
          <w:sz w:val="18"/>
          <w:vertAlign w:val="subscript"/>
        </w:rPr>
        <w:t>Inter</w:t>
      </w:r>
      <w:r w:rsidRPr="000D108A">
        <w:rPr>
          <w:vertAlign w:val="subscript"/>
        </w:rPr>
        <w:t>,</w:t>
      </w:r>
      <w:r w:rsidRPr="000D108A">
        <w:t xml:space="preserve"> </w:t>
      </w:r>
      <w:r w:rsidRPr="000D108A">
        <w:rPr>
          <w:rFonts w:ascii="Arial" w:hAnsi="Arial"/>
          <w:sz w:val="18"/>
        </w:rPr>
        <w:t>T</w:t>
      </w:r>
      <w:r w:rsidRPr="000D108A">
        <w:rPr>
          <w:rFonts w:ascii="Arial" w:hAnsi="Arial"/>
          <w:sz w:val="18"/>
          <w:vertAlign w:val="subscript"/>
        </w:rPr>
        <w:t>measure,NR_</w:t>
      </w:r>
      <w:r w:rsidRPr="009449C0">
        <w:rPr>
          <w:rFonts w:ascii="Arial" w:hAnsi="Arial"/>
          <w:sz w:val="18"/>
          <w:vertAlign w:val="subscript"/>
        </w:rPr>
        <w:t>Inter</w:t>
      </w:r>
      <w:r w:rsidRPr="009449C0">
        <w:t xml:space="preserve"> and </w:t>
      </w:r>
      <w:r w:rsidRPr="009449C0">
        <w:rPr>
          <w:rFonts w:ascii="Arial" w:hAnsi="Arial"/>
          <w:sz w:val="18"/>
        </w:rPr>
        <w:t>T</w:t>
      </w:r>
      <w:r w:rsidRPr="00CF075A">
        <w:rPr>
          <w:rFonts w:ascii="Arial" w:hAnsi="Arial"/>
          <w:sz w:val="18"/>
          <w:vertAlign w:val="subscript"/>
        </w:rPr>
        <w:t>evaluate,NR_</w:t>
      </w:r>
      <w:r w:rsidRPr="00CF075A">
        <w:rPr>
          <w:rFonts w:ascii="Arial" w:hAnsi="Arial" w:cs="v4.2.0"/>
          <w:sz w:val="18"/>
          <w:vertAlign w:val="subscript"/>
        </w:rPr>
        <w:t>Inter</w:t>
      </w:r>
      <w:r w:rsidRPr="00CF075A">
        <w:rPr>
          <w:lang w:eastAsia="zh-CN"/>
        </w:rPr>
        <w:t xml:space="preserve"> as defined in </w:t>
      </w:r>
      <w:r w:rsidRPr="00CF075A">
        <w:t>Table 4.2.2.4-1</w:t>
      </w:r>
      <w:r w:rsidRPr="002A0573">
        <w:rPr>
          <w:lang w:eastAsia="zh-CN"/>
        </w:rPr>
        <w:t xml:space="preserve">. </w:t>
      </w:r>
    </w:p>
    <w:p w14:paraId="54DC2456" w14:textId="77777777" w:rsidR="00EB3ABD" w:rsidRPr="007E1BBF" w:rsidRDefault="00EB3ABD" w:rsidP="00EB3ABD">
      <w:pPr>
        <w:rPr>
          <w:lang w:eastAsia="zh-CN"/>
        </w:rPr>
      </w:pPr>
      <w:r w:rsidRPr="007E1BBF">
        <w:rPr>
          <w:rFonts w:hint="eastAsia"/>
          <w:noProof/>
          <w:lang w:eastAsia="zh-CN"/>
        </w:rPr>
        <w:t>W</w:t>
      </w:r>
      <w:r w:rsidRPr="007E1BBF">
        <w:rPr>
          <w:noProof/>
        </w:rPr>
        <w:t xml:space="preserve">hen </w:t>
      </w:r>
      <w:r w:rsidRPr="007E1BBF">
        <w:rPr>
          <w:lang w:eastAsia="zh-CN"/>
        </w:rPr>
        <w:t xml:space="preserve">Srxlev </w:t>
      </w:r>
      <w:r w:rsidRPr="007E1BBF">
        <w:t>≤</w:t>
      </w:r>
      <w:r w:rsidRPr="007E1BBF">
        <w:rPr>
          <w:lang w:eastAsia="zh-CN"/>
        </w:rPr>
        <w:t xml:space="preserve"> S</w:t>
      </w:r>
      <w:r w:rsidRPr="007E1BBF">
        <w:rPr>
          <w:vertAlign w:val="subscript"/>
          <w:lang w:eastAsia="zh-CN"/>
        </w:rPr>
        <w:t>nonIntraSearchP</w:t>
      </w:r>
      <w:r w:rsidRPr="007E1BBF">
        <w:rPr>
          <w:lang w:eastAsia="zh-CN"/>
        </w:rPr>
        <w:t xml:space="preserve"> or Squal </w:t>
      </w:r>
      <w:r w:rsidRPr="007E1BBF">
        <w:t>≤</w:t>
      </w:r>
      <w:r w:rsidRPr="007E1BBF">
        <w:rPr>
          <w:lang w:eastAsia="zh-CN"/>
        </w:rPr>
        <w:t xml:space="preserve"> S</w:t>
      </w:r>
      <w:r w:rsidRPr="007E1BBF">
        <w:rPr>
          <w:vertAlign w:val="subscript"/>
          <w:lang w:eastAsia="zh-CN"/>
        </w:rPr>
        <w:t>nonIntraSearchQ</w:t>
      </w:r>
      <w:r w:rsidRPr="007E1BBF">
        <w:rPr>
          <w:noProof/>
        </w:rPr>
        <w:t xml:space="preserve">, the UE shall search for, measure and evaluate inter-frequency layers of </w:t>
      </w:r>
      <w:r w:rsidRPr="007E1BBF">
        <w:t>higher, equal or lower priority</w:t>
      </w:r>
      <w:r w:rsidRPr="007E1BBF">
        <w:rPr>
          <w:noProof/>
        </w:rPr>
        <w:t xml:space="preserve"> at least every 1 hour.</w:t>
      </w:r>
    </w:p>
    <w:p w14:paraId="1C6AD4FB" w14:textId="77777777" w:rsidR="00EB3ABD" w:rsidRPr="002A0573" w:rsidRDefault="00EB3ABD" w:rsidP="00EB3ABD">
      <w:pPr>
        <w:rPr>
          <w:lang w:eastAsia="zh-CN"/>
        </w:rPr>
      </w:pPr>
      <w:r w:rsidRPr="007E1BBF">
        <w:rPr>
          <w:noProof/>
        </w:rPr>
        <w:t>When Srxlev &gt; S</w:t>
      </w:r>
      <w:r w:rsidRPr="007E1BBF">
        <w:rPr>
          <w:noProof/>
          <w:vertAlign w:val="subscript"/>
        </w:rPr>
        <w:t>nonIntraSearchP</w:t>
      </w:r>
      <w:r w:rsidRPr="007E1BBF">
        <w:rPr>
          <w:noProof/>
        </w:rPr>
        <w:t xml:space="preserve"> and Squal &gt; S</w:t>
      </w:r>
      <w:r w:rsidRPr="007E1BBF">
        <w:rPr>
          <w:noProof/>
          <w:vertAlign w:val="subscript"/>
        </w:rPr>
        <w:t>nonIntraSearchQ</w:t>
      </w:r>
      <w:r w:rsidRPr="007E1BBF">
        <w:rPr>
          <w:noProof/>
        </w:rPr>
        <w:t xml:space="preserve">, the UE shall search for inter-frequency layers of higher priority at least every </w:t>
      </w:r>
      <w:r>
        <w:rPr>
          <w:noProof/>
        </w:rPr>
        <w:t>K2</w:t>
      </w:r>
      <w:r w:rsidRPr="007E1BBF">
        <w:rPr>
          <w:noProof/>
        </w:rPr>
        <w:t>*T</w:t>
      </w:r>
      <w:r w:rsidRPr="007E1BBF">
        <w:rPr>
          <w:noProof/>
          <w:vertAlign w:val="subscript"/>
        </w:rPr>
        <w:t xml:space="preserve">higher_priority_search </w:t>
      </w:r>
      <w:r w:rsidRPr="007E1BBF">
        <w:rPr>
          <w:noProof/>
        </w:rPr>
        <w:t>where T</w:t>
      </w:r>
      <w:r w:rsidRPr="007E1BBF">
        <w:rPr>
          <w:noProof/>
          <w:vertAlign w:val="subscript"/>
        </w:rPr>
        <w:t>higher_priority_search</w:t>
      </w:r>
      <w:r w:rsidRPr="007E1BBF">
        <w:rPr>
          <w:noProof/>
        </w:rPr>
        <w:t xml:space="preserve"> is described in clause 4.2.2.7</w:t>
      </w:r>
      <w:r>
        <w:rPr>
          <w:noProof/>
        </w:rPr>
        <w:t xml:space="preserve"> and K2=60</w:t>
      </w:r>
      <w:r w:rsidRPr="007E1BBF">
        <w:rPr>
          <w:noProof/>
        </w:rPr>
        <w:t>.</w:t>
      </w:r>
    </w:p>
    <w:p w14:paraId="47F15954" w14:textId="1CB3F63C" w:rsidR="00FA1949" w:rsidRDefault="00FA1949" w:rsidP="00FA1949"/>
    <w:p w14:paraId="0A47920A" w14:textId="7D841FD0" w:rsidR="0022726A" w:rsidRPr="00885F53" w:rsidRDefault="0022726A" w:rsidP="00301B77">
      <w:pPr>
        <w:pStyle w:val="Heading4"/>
        <w:rPr>
          <w:lang w:val="en-US" w:eastAsia="zh-CN"/>
        </w:rPr>
      </w:pPr>
      <w:r>
        <w:rPr>
          <w:lang w:val="en-US" w:eastAsia="zh-CN"/>
        </w:rPr>
        <w:t>4.2.2.11</w:t>
      </w:r>
      <w:r w:rsidRPr="001E7C13">
        <w:rPr>
          <w:lang w:val="en-US" w:eastAsia="zh-CN"/>
        </w:rPr>
        <w:tab/>
        <w:t>Measurements of inter-RAT E-UTRAN cells for UE configured with relaxed measurement criterion</w:t>
      </w:r>
    </w:p>
    <w:p w14:paraId="76BA4A85" w14:textId="50C5627A" w:rsidR="0022726A" w:rsidRDefault="0022726A" w:rsidP="00301B77">
      <w:pPr>
        <w:pStyle w:val="Heading5"/>
        <w:rPr>
          <w:lang w:val="en-US" w:eastAsia="zh-CN"/>
        </w:rPr>
      </w:pPr>
      <w:r>
        <w:rPr>
          <w:lang w:val="en-US" w:eastAsia="zh-CN"/>
        </w:rPr>
        <w:t>4.2.2.11.1</w:t>
      </w:r>
      <w:r w:rsidRPr="00885F53">
        <w:rPr>
          <w:lang w:val="en-US" w:eastAsia="zh-CN"/>
        </w:rPr>
        <w:tab/>
      </w:r>
      <w:r>
        <w:rPr>
          <w:lang w:val="en-US" w:eastAsia="zh-CN"/>
        </w:rPr>
        <w:t>Introduction</w:t>
      </w:r>
    </w:p>
    <w:p w14:paraId="63C9B5B1" w14:textId="0F255515" w:rsidR="0022726A" w:rsidRPr="000D108A" w:rsidRDefault="0022726A" w:rsidP="0022726A">
      <w:pPr>
        <w:rPr>
          <w:noProof/>
        </w:rPr>
      </w:pPr>
      <w:r w:rsidRPr="00D56527">
        <w:rPr>
          <w:noProof/>
        </w:rPr>
        <w:t xml:space="preserve">This </w:t>
      </w:r>
      <w:r w:rsidR="0063092D">
        <w:rPr>
          <w:noProof/>
        </w:rPr>
        <w:t>clause</w:t>
      </w:r>
      <w:r w:rsidRPr="00D56527">
        <w:rPr>
          <w:noProof/>
        </w:rPr>
        <w:t xml:space="preserve"> contains the requirements for measurements on inter-RAT E-UTRAN cells</w:t>
      </w:r>
      <w:r w:rsidR="00FA1949" w:rsidRPr="00D56527">
        <w:rPr>
          <w:noProof/>
        </w:rPr>
        <w:t xml:space="preserve"> </w:t>
      </w:r>
      <w:r w:rsidRPr="00D56527">
        <w:rPr>
          <w:noProof/>
        </w:rPr>
        <w:t xml:space="preserve">when the UE is configured with </w:t>
      </w:r>
      <w:r w:rsidRPr="000D108A">
        <w:rPr>
          <w:noProof/>
        </w:rPr>
        <w:t>any of following relaxed measurement critera:</w:t>
      </w:r>
    </w:p>
    <w:p w14:paraId="4C4C3E5D" w14:textId="1AB9044C" w:rsidR="0022726A" w:rsidRPr="00F52E47" w:rsidRDefault="0022726A" w:rsidP="0022726A">
      <w:pPr>
        <w:pStyle w:val="B10"/>
        <w:rPr>
          <w:noProof/>
        </w:rPr>
      </w:pPr>
      <w:r>
        <w:rPr>
          <w:noProof/>
        </w:rPr>
        <w:t>-</w:t>
      </w:r>
      <w:r>
        <w:rPr>
          <w:noProof/>
        </w:rPr>
        <w:tab/>
      </w:r>
      <w:r w:rsidRPr="000D108A">
        <w:rPr>
          <w:noProof/>
        </w:rPr>
        <w:t>Relaxed measurement crit</w:t>
      </w:r>
      <w:r w:rsidRPr="00F52E47">
        <w:rPr>
          <w:noProof/>
        </w:rPr>
        <w:t>erion for UE with low mobility defined in clause 5.2.4.</w:t>
      </w:r>
      <w:r w:rsidR="00AA1634">
        <w:rPr>
          <w:noProof/>
        </w:rPr>
        <w:t>9</w:t>
      </w:r>
      <w:r w:rsidRPr="00F52E47">
        <w:rPr>
          <w:noProof/>
        </w:rPr>
        <w:t>.1 in [1],</w:t>
      </w:r>
    </w:p>
    <w:p w14:paraId="24014151" w14:textId="46E68517" w:rsidR="0022726A" w:rsidRPr="00F52E47" w:rsidRDefault="0022726A" w:rsidP="0022726A">
      <w:pPr>
        <w:pStyle w:val="B10"/>
        <w:rPr>
          <w:noProof/>
        </w:rPr>
      </w:pPr>
      <w:r>
        <w:rPr>
          <w:noProof/>
        </w:rPr>
        <w:t>-</w:t>
      </w:r>
      <w:r>
        <w:rPr>
          <w:noProof/>
        </w:rPr>
        <w:tab/>
      </w:r>
      <w:r w:rsidRPr="00F52E47">
        <w:rPr>
          <w:noProof/>
        </w:rPr>
        <w:t>Relaxed measurement criterion for UE not</w:t>
      </w:r>
      <w:r>
        <w:rPr>
          <w:noProof/>
        </w:rPr>
        <w:t>-</w:t>
      </w:r>
      <w:r w:rsidRPr="00F52E47">
        <w:rPr>
          <w:noProof/>
        </w:rPr>
        <w:t>at</w:t>
      </w:r>
      <w:r>
        <w:rPr>
          <w:noProof/>
        </w:rPr>
        <w:t>-</w:t>
      </w:r>
      <w:r w:rsidRPr="00F52E47">
        <w:rPr>
          <w:noProof/>
        </w:rPr>
        <w:t>cell edge defined in clause 5.2.4.</w:t>
      </w:r>
      <w:r w:rsidR="00AA1634">
        <w:rPr>
          <w:noProof/>
        </w:rPr>
        <w:t>9</w:t>
      </w:r>
      <w:r w:rsidRPr="00F52E47">
        <w:rPr>
          <w:noProof/>
        </w:rPr>
        <w:t>.2 in [1],</w:t>
      </w:r>
    </w:p>
    <w:p w14:paraId="5F33777F" w14:textId="72EFE7E4" w:rsidR="0022726A" w:rsidRPr="00066009" w:rsidRDefault="0022726A" w:rsidP="0022726A">
      <w:pPr>
        <w:pStyle w:val="B10"/>
        <w:rPr>
          <w:noProof/>
        </w:rPr>
      </w:pPr>
      <w:r>
        <w:rPr>
          <w:noProof/>
        </w:rPr>
        <w:t>-</w:t>
      </w:r>
      <w:r>
        <w:rPr>
          <w:noProof/>
        </w:rPr>
        <w:tab/>
      </w:r>
      <w:r w:rsidRPr="00F52E47">
        <w:rPr>
          <w:noProof/>
        </w:rPr>
        <w:t>Both low mobility criterion and not</w:t>
      </w:r>
      <w:r>
        <w:rPr>
          <w:noProof/>
        </w:rPr>
        <w:t>-</w:t>
      </w:r>
      <w:r w:rsidRPr="00F52E47">
        <w:rPr>
          <w:noProof/>
        </w:rPr>
        <w:t>at</w:t>
      </w:r>
      <w:r>
        <w:rPr>
          <w:noProof/>
        </w:rPr>
        <w:t>-</w:t>
      </w:r>
      <w:r w:rsidRPr="00F52E47">
        <w:rPr>
          <w:noProof/>
        </w:rPr>
        <w:t>cell edge criterion as defined in clauses 5.2.4.</w:t>
      </w:r>
      <w:r w:rsidR="00AA1634">
        <w:rPr>
          <w:noProof/>
        </w:rPr>
        <w:t>9</w:t>
      </w:r>
      <w:r w:rsidRPr="00F52E47">
        <w:rPr>
          <w:noProof/>
        </w:rPr>
        <w:t>.1 and 5.2.4.</w:t>
      </w:r>
      <w:r w:rsidR="00AA1634">
        <w:rPr>
          <w:noProof/>
        </w:rPr>
        <w:t>9</w:t>
      </w:r>
      <w:r w:rsidRPr="00F52E47">
        <w:rPr>
          <w:noProof/>
        </w:rPr>
        <w:t xml:space="preserve">.2 in [1] respectively.  </w:t>
      </w:r>
    </w:p>
    <w:p w14:paraId="3B58F2FF" w14:textId="3F5FBC29" w:rsidR="0022726A" w:rsidRDefault="0022726A" w:rsidP="0022726A">
      <w:pPr>
        <w:pStyle w:val="Heading5"/>
        <w:rPr>
          <w:lang w:val="en-US" w:eastAsia="zh-CN"/>
        </w:rPr>
      </w:pPr>
      <w:r>
        <w:rPr>
          <w:lang w:val="en-US" w:eastAsia="zh-CN"/>
        </w:rPr>
        <w:t>4.2.2.11.2</w:t>
      </w:r>
      <w:r w:rsidRPr="00885F53">
        <w:rPr>
          <w:lang w:val="en-US" w:eastAsia="zh-CN"/>
        </w:rPr>
        <w:tab/>
      </w:r>
      <w:r>
        <w:rPr>
          <w:lang w:val="en-US" w:eastAsia="zh-CN"/>
        </w:rPr>
        <w:t>Measurements for UE fulfilling low mobility criterion</w:t>
      </w:r>
    </w:p>
    <w:p w14:paraId="5E6F00D8" w14:textId="77777777" w:rsidR="0022726A" w:rsidRPr="000D108A" w:rsidRDefault="0022726A" w:rsidP="0022726A">
      <w:pPr>
        <w:rPr>
          <w:rFonts w:eastAsiaTheme="minorEastAsia"/>
          <w:lang w:eastAsia="zh-CN"/>
        </w:rPr>
      </w:pPr>
      <w:r w:rsidRPr="00885F53">
        <w:rPr>
          <w:lang w:val="en-US" w:eastAsia="zh-CN"/>
        </w:rPr>
        <w:t xml:space="preserve">This clause contains requirements </w:t>
      </w:r>
      <w:r>
        <w:rPr>
          <w:rFonts w:eastAsiaTheme="minorEastAsia"/>
          <w:lang w:eastAsia="zh-CN"/>
        </w:rPr>
        <w:t>for measur</w:t>
      </w:r>
      <w:r w:rsidRPr="00D56527">
        <w:rPr>
          <w:rFonts w:eastAsiaTheme="minorEastAsia"/>
          <w:lang w:eastAsia="zh-CN"/>
        </w:rPr>
        <w:t xml:space="preserve">ements on </w:t>
      </w:r>
      <w:r w:rsidRPr="00D56527">
        <w:rPr>
          <w:noProof/>
        </w:rPr>
        <w:t>inter-RAT E-UTRAN cells</w:t>
      </w:r>
      <w:r w:rsidRPr="000D108A">
        <w:rPr>
          <w:rFonts w:eastAsiaTheme="minorEastAsia"/>
          <w:lang w:eastAsia="zh-CN"/>
        </w:rPr>
        <w:t xml:space="preserve"> provided that:</w:t>
      </w:r>
    </w:p>
    <w:p w14:paraId="6319DA6C" w14:textId="77777777" w:rsidR="00FA1949" w:rsidRPr="009449C0" w:rsidRDefault="00FA1949" w:rsidP="00FA1949">
      <w:pPr>
        <w:pStyle w:val="B10"/>
        <w:rPr>
          <w:lang w:eastAsia="zh-CN"/>
        </w:rPr>
      </w:pPr>
      <w:r>
        <w:rPr>
          <w:lang w:eastAsia="zh-CN"/>
        </w:rPr>
        <w:t>-</w:t>
      </w:r>
      <w:r>
        <w:rPr>
          <w:lang w:eastAsia="zh-CN"/>
        </w:rPr>
        <w:tab/>
      </w:r>
      <w:r w:rsidRPr="000D108A">
        <w:rPr>
          <w:lang w:eastAsia="zh-CN"/>
        </w:rPr>
        <w:t>T331 timer is not running for EMR measurements on inter-RAT E-UTRAN, and</w:t>
      </w:r>
    </w:p>
    <w:p w14:paraId="71DD3EAB" w14:textId="0D58D7EA" w:rsidR="00FA1949" w:rsidRPr="00CF075A" w:rsidRDefault="00FA1949" w:rsidP="00FA1949">
      <w:pPr>
        <w:pStyle w:val="B10"/>
        <w:rPr>
          <w:lang w:eastAsia="zh-CN"/>
        </w:rPr>
      </w:pPr>
      <w:r>
        <w:rPr>
          <w:lang w:eastAsia="zh-CN"/>
        </w:rPr>
        <w:t>-</w:t>
      </w:r>
      <w:r>
        <w:rPr>
          <w:lang w:eastAsia="zh-CN"/>
        </w:rPr>
        <w:tab/>
      </w:r>
      <w:r w:rsidRPr="009449C0">
        <w:rPr>
          <w:lang w:eastAsia="zh-CN"/>
        </w:rPr>
        <w:t xml:space="preserve">UE is configured with </w:t>
      </w:r>
      <w:r w:rsidR="007A4580" w:rsidRPr="001C6668">
        <w:rPr>
          <w:i/>
          <w:iCs/>
          <w:lang w:eastAsia="zh-CN"/>
        </w:rPr>
        <w:t>lowMobilityEvaluation</w:t>
      </w:r>
      <w:r w:rsidR="007A4580" w:rsidRPr="00485479" w:rsidDel="001E51FB">
        <w:rPr>
          <w:i/>
          <w:iCs/>
          <w:lang w:eastAsia="zh-CN"/>
        </w:rPr>
        <w:t xml:space="preserve"> </w:t>
      </w:r>
      <w:r>
        <w:rPr>
          <w:lang w:eastAsia="zh-CN"/>
        </w:rPr>
        <w:t>[2]</w:t>
      </w:r>
      <w:r w:rsidRPr="009449C0">
        <w:rPr>
          <w:lang w:eastAsia="zh-CN"/>
        </w:rPr>
        <w:t xml:space="preserve"> criterion</w:t>
      </w:r>
      <w:r w:rsidR="00AA1634">
        <w:rPr>
          <w:lang w:eastAsia="zh-CN"/>
        </w:rPr>
        <w:t xml:space="preserve"> and UE has fulfilled</w:t>
      </w:r>
      <w:r w:rsidRPr="009449C0">
        <w:rPr>
          <w:lang w:eastAsia="zh-CN"/>
        </w:rPr>
        <w:t xml:space="preserve">, </w:t>
      </w:r>
      <w:r w:rsidRPr="00CF075A">
        <w:rPr>
          <w:lang w:eastAsia="zh-CN"/>
        </w:rPr>
        <w:t xml:space="preserve">or  </w:t>
      </w:r>
    </w:p>
    <w:p w14:paraId="4FBA135E" w14:textId="0D8BE408" w:rsidR="00FA1949" w:rsidRPr="00AD77EE" w:rsidRDefault="00700837" w:rsidP="00FA1949">
      <w:pPr>
        <w:pStyle w:val="B10"/>
        <w:rPr>
          <w:lang w:eastAsia="zh-CN"/>
        </w:rPr>
      </w:pPr>
      <w:r>
        <w:rPr>
          <w:lang w:eastAsia="zh-CN"/>
        </w:rPr>
        <w:t>-</w:t>
      </w:r>
      <w:r>
        <w:rPr>
          <w:lang w:eastAsia="zh-CN"/>
        </w:rPr>
        <w:tab/>
      </w:r>
      <w:r w:rsidRPr="002A0573">
        <w:rPr>
          <w:lang w:eastAsia="zh-CN"/>
        </w:rPr>
        <w:t xml:space="preserve">UE is configured with </w:t>
      </w:r>
      <w:r w:rsidRPr="00D56527">
        <w:rPr>
          <w:lang w:eastAsia="zh-CN"/>
        </w:rPr>
        <w:t xml:space="preserve">both </w:t>
      </w:r>
      <w:r w:rsidR="007A4580" w:rsidRPr="001C6668">
        <w:rPr>
          <w:i/>
          <w:iCs/>
          <w:lang w:eastAsia="zh-CN"/>
        </w:rPr>
        <w:t>lowMobilityEvaluation</w:t>
      </w:r>
      <w:r w:rsidR="007A4580" w:rsidRPr="00485479" w:rsidDel="001E51FB">
        <w:rPr>
          <w:i/>
          <w:iCs/>
          <w:lang w:eastAsia="zh-CN"/>
        </w:rPr>
        <w:t xml:space="preserve"> </w:t>
      </w:r>
      <w:r>
        <w:rPr>
          <w:lang w:eastAsia="zh-CN"/>
        </w:rPr>
        <w:t>[2]</w:t>
      </w:r>
      <w:r w:rsidRPr="00AD77EE">
        <w:rPr>
          <w:lang w:eastAsia="zh-CN"/>
        </w:rPr>
        <w:t xml:space="preserve"> criterion and </w:t>
      </w:r>
      <w:r w:rsidRPr="00485479">
        <w:rPr>
          <w:i/>
          <w:iCs/>
          <w:lang w:eastAsia="zh-CN"/>
        </w:rPr>
        <w:t>cellEdgeEvaluation</w:t>
      </w:r>
      <w:r>
        <w:rPr>
          <w:i/>
          <w:iCs/>
          <w:lang w:eastAsia="zh-CN"/>
        </w:rPr>
        <w:t xml:space="preserve"> </w:t>
      </w:r>
      <w:r>
        <w:rPr>
          <w:lang w:eastAsia="zh-CN"/>
        </w:rPr>
        <w:t>[2]</w:t>
      </w:r>
      <w:r w:rsidRPr="00AD77EE">
        <w:rPr>
          <w:lang w:eastAsia="zh-CN"/>
        </w:rPr>
        <w:t xml:space="preserve"> criterion</w:t>
      </w:r>
      <w:r w:rsidRPr="00D36387">
        <w:rPr>
          <w:lang w:eastAsia="zh-CN"/>
        </w:rPr>
        <w:t xml:space="preserve"> </w:t>
      </w:r>
      <w:r>
        <w:rPr>
          <w:lang w:eastAsia="zh-CN"/>
        </w:rPr>
        <w:t xml:space="preserve">and </w:t>
      </w:r>
      <w:r w:rsidRPr="0061045D">
        <w:rPr>
          <w:i/>
          <w:lang w:eastAsia="zh-CN"/>
        </w:rPr>
        <w:t>combineRelaxedMeasCondition</w:t>
      </w:r>
      <w:r>
        <w:rPr>
          <w:rFonts w:hint="eastAsia"/>
          <w:lang w:eastAsia="zh-CN"/>
        </w:rPr>
        <w:t xml:space="preserve"> </w:t>
      </w:r>
      <w:r>
        <w:rPr>
          <w:lang w:eastAsia="zh-CN"/>
        </w:rPr>
        <w:t>[2] not configured</w:t>
      </w:r>
      <w:r w:rsidRPr="00AD77EE">
        <w:rPr>
          <w:lang w:eastAsia="zh-CN"/>
        </w:rPr>
        <w:t xml:space="preserve">, </w:t>
      </w:r>
      <w:r>
        <w:rPr>
          <w:lang w:eastAsia="zh-CN"/>
        </w:rPr>
        <w:t>and</w:t>
      </w:r>
    </w:p>
    <w:p w14:paraId="3085D0B2" w14:textId="06F741F3" w:rsidR="00FA1949" w:rsidRPr="00F52E47" w:rsidRDefault="00FA1949" w:rsidP="00FA1949">
      <w:pPr>
        <w:pStyle w:val="B10"/>
        <w:rPr>
          <w:lang w:eastAsia="zh-CN"/>
        </w:rPr>
      </w:pPr>
      <w:r>
        <w:rPr>
          <w:lang w:eastAsia="zh-CN"/>
        </w:rPr>
        <w:t>-</w:t>
      </w:r>
      <w:r>
        <w:rPr>
          <w:lang w:eastAsia="zh-CN"/>
        </w:rPr>
        <w:tab/>
        <w:t xml:space="preserve">UE </w:t>
      </w:r>
      <w:r w:rsidRPr="00F52E47">
        <w:rPr>
          <w:lang w:eastAsia="zh-CN"/>
        </w:rPr>
        <w:t xml:space="preserve">has fulfilled only the </w:t>
      </w:r>
      <w:r w:rsidR="007A4580" w:rsidRPr="001C6668">
        <w:rPr>
          <w:i/>
          <w:iCs/>
          <w:lang w:eastAsia="zh-CN"/>
        </w:rPr>
        <w:t>lowMobilityEvaluation</w:t>
      </w:r>
      <w:r w:rsidR="007A4580" w:rsidRPr="00485479" w:rsidDel="001E51FB">
        <w:rPr>
          <w:i/>
          <w:iCs/>
          <w:lang w:eastAsia="zh-CN"/>
        </w:rPr>
        <w:t xml:space="preserve"> </w:t>
      </w:r>
      <w:r>
        <w:rPr>
          <w:lang w:eastAsia="zh-CN"/>
        </w:rPr>
        <w:t>[2]</w:t>
      </w:r>
      <w:r w:rsidRPr="00F52E47">
        <w:rPr>
          <w:lang w:eastAsia="zh-CN"/>
        </w:rPr>
        <w:t xml:space="preserve"> criterion</w:t>
      </w:r>
      <w:r>
        <w:rPr>
          <w:lang w:eastAsia="zh-CN"/>
        </w:rPr>
        <w:t>.</w:t>
      </w:r>
    </w:p>
    <w:p w14:paraId="2745B074" w14:textId="77777777" w:rsidR="007A4580" w:rsidRDefault="007A4580" w:rsidP="00301B77">
      <w:pPr>
        <w:rPr>
          <w:lang w:eastAsia="zh-CN"/>
        </w:rPr>
      </w:pPr>
      <w:r>
        <w:rPr>
          <w:lang w:eastAsia="zh-CN"/>
        </w:rPr>
        <w:t xml:space="preserve">The UE shall not relax measurements on </w:t>
      </w:r>
      <w:r w:rsidRPr="00D56527">
        <w:rPr>
          <w:noProof/>
        </w:rPr>
        <w:t xml:space="preserve">inter-RAT E-UTRAN </w:t>
      </w:r>
      <w:r>
        <w:t>carriers configured for idle mode CA/DC measurements (defined in clause 4.4) while T331</w:t>
      </w:r>
      <w:r w:rsidRPr="00736EB3">
        <w:t xml:space="preserve"> </w:t>
      </w:r>
      <w:r>
        <w:t>is running.</w:t>
      </w:r>
    </w:p>
    <w:p w14:paraId="47726B4A" w14:textId="067493B7" w:rsidR="0022726A" w:rsidRDefault="00FA1949" w:rsidP="0022726A">
      <w:pPr>
        <w:rPr>
          <w:noProof/>
        </w:rPr>
      </w:pPr>
      <w:r>
        <w:rPr>
          <w:rFonts w:hint="eastAsia"/>
          <w:noProof/>
          <w:lang w:eastAsia="zh-CN"/>
        </w:rPr>
        <w:t>W</w:t>
      </w:r>
      <w:r w:rsidRPr="00D56527">
        <w:rPr>
          <w:noProof/>
        </w:rPr>
        <w:t xml:space="preserve">hen </w:t>
      </w:r>
      <w:r w:rsidRPr="00734785">
        <w:rPr>
          <w:rFonts w:eastAsiaTheme="minorEastAsia"/>
          <w:lang w:eastAsia="zh-CN"/>
        </w:rPr>
        <w:t xml:space="preserve">Srxlev </w:t>
      </w:r>
      <w:r w:rsidRPr="00691C10">
        <w:t>≤</w:t>
      </w:r>
      <w:r w:rsidRPr="00734785">
        <w:rPr>
          <w:rFonts w:eastAsiaTheme="minorEastAsia"/>
          <w:lang w:eastAsia="zh-CN"/>
        </w:rPr>
        <w:t xml:space="preserve"> S</w:t>
      </w:r>
      <w:r w:rsidRPr="00C15974">
        <w:rPr>
          <w:rFonts w:eastAsiaTheme="minorEastAsia"/>
          <w:vertAlign w:val="subscript"/>
          <w:lang w:eastAsia="zh-CN"/>
        </w:rPr>
        <w:t>nonIntraSearchP</w:t>
      </w:r>
      <w:r w:rsidRPr="00734785">
        <w:rPr>
          <w:rFonts w:eastAsiaTheme="minorEastAsia"/>
          <w:lang w:eastAsia="zh-CN"/>
        </w:rPr>
        <w:t xml:space="preserve"> </w:t>
      </w:r>
      <w:r w:rsidR="00415956">
        <w:rPr>
          <w:rFonts w:eastAsiaTheme="minorEastAsia"/>
          <w:lang w:eastAsia="zh-CN"/>
        </w:rPr>
        <w:t>or</w:t>
      </w:r>
      <w:r w:rsidRPr="00734785">
        <w:rPr>
          <w:rFonts w:eastAsiaTheme="minorEastAsia"/>
          <w:lang w:eastAsia="zh-CN"/>
        </w:rPr>
        <w:t xml:space="preserve"> Squal </w:t>
      </w:r>
      <w:r w:rsidRPr="00691C10">
        <w:t>≤</w:t>
      </w:r>
      <w:r w:rsidRPr="00734785">
        <w:rPr>
          <w:rFonts w:eastAsiaTheme="minorEastAsia"/>
          <w:lang w:eastAsia="zh-CN"/>
        </w:rPr>
        <w:t xml:space="preserve"> S</w:t>
      </w:r>
      <w:r w:rsidRPr="00C15974">
        <w:rPr>
          <w:rFonts w:eastAsiaTheme="minorEastAsia"/>
          <w:vertAlign w:val="subscript"/>
          <w:lang w:eastAsia="zh-CN"/>
        </w:rPr>
        <w:t>nonIntraSearchQ</w:t>
      </w:r>
      <w:r w:rsidRPr="00D56527">
        <w:rPr>
          <w:noProof/>
        </w:rPr>
        <w:t xml:space="preserve"> </w:t>
      </w:r>
      <w:r>
        <w:rPr>
          <w:rFonts w:hint="eastAsia"/>
          <w:noProof/>
          <w:lang w:eastAsia="zh-CN"/>
        </w:rPr>
        <w:t>then</w:t>
      </w:r>
      <w:r w:rsidRPr="0089796C">
        <w:rPr>
          <w:noProof/>
        </w:rPr>
        <w:t xml:space="preserve"> </w:t>
      </w:r>
      <w:r>
        <w:rPr>
          <w:noProof/>
        </w:rPr>
        <w:t>t</w:t>
      </w:r>
      <w:r w:rsidRPr="0089796C">
        <w:rPr>
          <w:noProof/>
        </w:rPr>
        <w:t xml:space="preserve">he </w:t>
      </w:r>
      <w:r w:rsidR="0022726A" w:rsidRPr="0089796C">
        <w:rPr>
          <w:noProof/>
        </w:rPr>
        <w:t xml:space="preserve">requirements defined in clause </w:t>
      </w:r>
      <w:r w:rsidR="0022726A">
        <w:t>4.2.2.</w:t>
      </w:r>
      <w:r w:rsidR="00AA1634">
        <w:t>5</w:t>
      </w:r>
      <w:r w:rsidR="0022726A" w:rsidRPr="0089796C">
        <w:t xml:space="preserve"> </w:t>
      </w:r>
      <w:r w:rsidR="0022726A" w:rsidRPr="0089796C">
        <w:rPr>
          <w:noProof/>
        </w:rPr>
        <w:t xml:space="preserve">apply for this </w:t>
      </w:r>
      <w:r w:rsidR="0063092D">
        <w:rPr>
          <w:noProof/>
        </w:rPr>
        <w:t>clause</w:t>
      </w:r>
      <w:r w:rsidR="0022726A" w:rsidRPr="0089796C">
        <w:rPr>
          <w:noProof/>
        </w:rPr>
        <w:t xml:space="preserve"> </w:t>
      </w:r>
      <w:r w:rsidR="0022726A">
        <w:rPr>
          <w:noProof/>
        </w:rPr>
        <w:t>except that</w:t>
      </w:r>
      <w:r w:rsidR="0022726A" w:rsidRPr="0089796C">
        <w:rPr>
          <w:noProof/>
        </w:rPr>
        <w:t>:</w:t>
      </w:r>
    </w:p>
    <w:p w14:paraId="0B8AC9E2" w14:textId="25EEBD46" w:rsidR="0022726A" w:rsidRDefault="0022726A" w:rsidP="0022726A">
      <w:pPr>
        <w:pStyle w:val="B10"/>
      </w:pPr>
      <w:r w:rsidRPr="0089796C">
        <w:t>-</w:t>
      </w:r>
      <w:r w:rsidRPr="0089796C">
        <w:tab/>
      </w:r>
      <w:r w:rsidRPr="00885F53">
        <w:t>T</w:t>
      </w:r>
      <w:r w:rsidRPr="00885F53">
        <w:rPr>
          <w:vertAlign w:val="subscript"/>
        </w:rPr>
        <w:t>detect,</w:t>
      </w:r>
      <w:r>
        <w:rPr>
          <w:vertAlign w:val="subscript"/>
        </w:rPr>
        <w:t>EUTRAN</w:t>
      </w:r>
      <w:r w:rsidR="007A4580">
        <w:rPr>
          <w:vertAlign w:val="subscript"/>
        </w:rPr>
        <w:t>_Relax</w:t>
      </w:r>
      <w:r w:rsidRPr="00885F53">
        <w:rPr>
          <w:i/>
          <w:vertAlign w:val="subscript"/>
        </w:rPr>
        <w:t xml:space="preserve"> </w:t>
      </w:r>
      <w:r>
        <w:t xml:space="preserve">as specified in </w:t>
      </w:r>
      <w:r w:rsidRPr="00AD77EE">
        <w:t xml:space="preserve">Table </w:t>
      </w:r>
      <w:r>
        <w:t>4.2.2.11.2</w:t>
      </w:r>
      <w:r w:rsidRPr="00AD77EE">
        <w:t>-1.</w:t>
      </w:r>
    </w:p>
    <w:p w14:paraId="666F87F7" w14:textId="000D0210" w:rsidR="0022726A" w:rsidRDefault="0022726A" w:rsidP="0022726A">
      <w:pPr>
        <w:pStyle w:val="B10"/>
      </w:pPr>
      <w:r w:rsidRPr="0089796C">
        <w:t>-</w:t>
      </w:r>
      <w:r w:rsidRPr="0089796C">
        <w:tab/>
      </w:r>
      <w:r w:rsidRPr="00885F53">
        <w:rPr>
          <w:rFonts w:cs="v4.2.0"/>
        </w:rPr>
        <w:t>T</w:t>
      </w:r>
      <w:r w:rsidRPr="00885F53">
        <w:rPr>
          <w:rFonts w:cs="v4.2.0"/>
          <w:vertAlign w:val="subscript"/>
        </w:rPr>
        <w:t>measure,</w:t>
      </w:r>
      <w:r>
        <w:rPr>
          <w:rFonts w:cs="v4.2.0"/>
          <w:vertAlign w:val="subscript"/>
        </w:rPr>
        <w:t>EUTRAN</w:t>
      </w:r>
      <w:r w:rsidR="007A4580">
        <w:rPr>
          <w:vertAlign w:val="subscript"/>
        </w:rPr>
        <w:t>_Relax</w:t>
      </w:r>
      <w:r w:rsidRPr="00885F53">
        <w:rPr>
          <w:rFonts w:cs="v4.2.0"/>
        </w:rPr>
        <w:t xml:space="preserve"> </w:t>
      </w:r>
      <w:r>
        <w:t xml:space="preserve">as specified in </w:t>
      </w:r>
      <w:r w:rsidRPr="00AD77EE">
        <w:t xml:space="preserve">Table </w:t>
      </w:r>
      <w:r>
        <w:t>4.2.2.11.2</w:t>
      </w:r>
      <w:r w:rsidRPr="00AD77EE">
        <w:t>-1.</w:t>
      </w:r>
    </w:p>
    <w:p w14:paraId="5FBFF6A8" w14:textId="6647EE71" w:rsidR="0022726A" w:rsidRDefault="0022726A" w:rsidP="0022726A">
      <w:pPr>
        <w:pStyle w:val="B10"/>
      </w:pPr>
      <w:r w:rsidRPr="0089796C">
        <w:t>-</w:t>
      </w:r>
      <w:r w:rsidRPr="0089796C">
        <w:tab/>
      </w:r>
      <w:r w:rsidRPr="00885F53">
        <w:rPr>
          <w:rFonts w:cs="v4.2.0"/>
        </w:rPr>
        <w:t>T</w:t>
      </w:r>
      <w:r w:rsidRPr="00885F53">
        <w:rPr>
          <w:rFonts w:cs="v4.2.0"/>
          <w:vertAlign w:val="subscript"/>
        </w:rPr>
        <w:t>evaluate,</w:t>
      </w:r>
      <w:r>
        <w:rPr>
          <w:rFonts w:cs="v4.2.0"/>
          <w:vertAlign w:val="subscript"/>
        </w:rPr>
        <w:t>EUTRAN</w:t>
      </w:r>
      <w:r w:rsidR="007A4580">
        <w:rPr>
          <w:vertAlign w:val="subscript"/>
        </w:rPr>
        <w:t>_Relax</w:t>
      </w:r>
      <w:r>
        <w:rPr>
          <w:rFonts w:cs="v4.2.0"/>
          <w:vertAlign w:val="subscript"/>
        </w:rPr>
        <w:t xml:space="preserve"> </w:t>
      </w:r>
      <w:r>
        <w:t xml:space="preserve">as specified in </w:t>
      </w:r>
      <w:r w:rsidRPr="00F52E47">
        <w:t xml:space="preserve">Table </w:t>
      </w:r>
      <w:r>
        <w:t>4.2.2.11.2</w:t>
      </w:r>
      <w:r w:rsidRPr="00F52E47">
        <w:t>-1.</w:t>
      </w:r>
    </w:p>
    <w:p w14:paraId="7C16E483" w14:textId="03854883" w:rsidR="007A4580" w:rsidRDefault="007A4580" w:rsidP="007A4580">
      <w:pPr>
        <w:pStyle w:val="B10"/>
        <w:rPr>
          <w:vertAlign w:val="subscript"/>
          <w:lang w:eastAsia="zh-CN"/>
        </w:rPr>
      </w:pPr>
      <w:r>
        <w:rPr>
          <w:rFonts w:hint="eastAsia"/>
          <w:lang w:eastAsia="zh-CN"/>
        </w:rPr>
        <w:t>-</w:t>
      </w:r>
      <w:r>
        <w:rPr>
          <w:lang w:eastAsia="zh-CN"/>
        </w:rPr>
        <w:tab/>
      </w:r>
      <w:r w:rsidRPr="00736EB3">
        <w:t>The UE shall be able to evaluate whether a newly detectable</w:t>
      </w:r>
      <w:r w:rsidRPr="00736EB3">
        <w:rPr>
          <w:lang w:val="en-US" w:eastAsia="zh-CN"/>
        </w:rPr>
        <w:t xml:space="preserve"> </w:t>
      </w:r>
      <w:r w:rsidRPr="000D108A">
        <w:rPr>
          <w:lang w:eastAsia="zh-CN"/>
        </w:rPr>
        <w:t>inter-RAT E-UTRAN</w:t>
      </w:r>
      <w:r w:rsidRPr="00736EB3">
        <w:t xml:space="preserve"> cell meets the reselection criteria defined in TS3</w:t>
      </w:r>
      <w:r w:rsidRPr="00736EB3">
        <w:rPr>
          <w:lang w:eastAsia="zh-CN"/>
        </w:rPr>
        <w:t>8</w:t>
      </w:r>
      <w:r w:rsidRPr="00736EB3">
        <w:t>.304 [1] within N</w:t>
      </w:r>
      <w:r w:rsidRPr="00736EB3">
        <w:rPr>
          <w:vertAlign w:val="subscript"/>
        </w:rPr>
        <w:t>carrier_Relax</w:t>
      </w:r>
      <w:r w:rsidRPr="00736EB3">
        <w:t xml:space="preserve"> * </w:t>
      </w:r>
      <w:r w:rsidRPr="00885F53">
        <w:t>T</w:t>
      </w:r>
      <w:r w:rsidRPr="00885F53">
        <w:rPr>
          <w:vertAlign w:val="subscript"/>
        </w:rPr>
        <w:t>detect,</w:t>
      </w:r>
      <w:r w:rsidRPr="00885F53">
        <w:rPr>
          <w:vertAlign w:val="subscript"/>
          <w:lang w:eastAsia="zh-CN"/>
        </w:rPr>
        <w:t>E</w:t>
      </w:r>
      <w:r w:rsidRPr="00885F53">
        <w:rPr>
          <w:vertAlign w:val="subscript"/>
        </w:rPr>
        <w:t>UTRAN</w:t>
      </w:r>
      <w:r>
        <w:rPr>
          <w:vertAlign w:val="subscript"/>
        </w:rPr>
        <w:t>_Relax</w:t>
      </w:r>
      <w:r w:rsidRPr="00736EB3">
        <w:t xml:space="preserve"> + N</w:t>
      </w:r>
      <w:r w:rsidRPr="00736EB3">
        <w:rPr>
          <w:vertAlign w:val="subscript"/>
        </w:rPr>
        <w:t>carrier_Non_relax</w:t>
      </w:r>
      <w:r w:rsidRPr="00736EB3">
        <w:t xml:space="preserve">  * </w:t>
      </w:r>
      <w:r w:rsidRPr="00885F53">
        <w:t>T</w:t>
      </w:r>
      <w:r w:rsidRPr="00885F53">
        <w:rPr>
          <w:vertAlign w:val="subscript"/>
        </w:rPr>
        <w:t>detect,</w:t>
      </w:r>
      <w:r w:rsidRPr="00885F53">
        <w:rPr>
          <w:vertAlign w:val="subscript"/>
          <w:lang w:eastAsia="zh-CN"/>
        </w:rPr>
        <w:t>E</w:t>
      </w:r>
      <w:r w:rsidRPr="00885F53">
        <w:rPr>
          <w:vertAlign w:val="subscript"/>
        </w:rPr>
        <w:t>UTRAN</w:t>
      </w:r>
      <w:r w:rsidRPr="00E44FB4">
        <w:t xml:space="preserve">. </w:t>
      </w:r>
      <w:r w:rsidRPr="00736EB3">
        <w:t>Cells which have been detected shall be measured at least every N</w:t>
      </w:r>
      <w:r w:rsidRPr="00736EB3">
        <w:rPr>
          <w:vertAlign w:val="subscript"/>
        </w:rPr>
        <w:t>carrier_Relax</w:t>
      </w:r>
      <w:r w:rsidRPr="00736EB3">
        <w:t xml:space="preserve"> * </w:t>
      </w:r>
      <w:r w:rsidRPr="00885F53">
        <w:t>T</w:t>
      </w:r>
      <w:r w:rsidRPr="00885F53">
        <w:rPr>
          <w:vertAlign w:val="subscript"/>
        </w:rPr>
        <w:t>measure,</w:t>
      </w:r>
      <w:r w:rsidRPr="00885F53">
        <w:rPr>
          <w:vertAlign w:val="subscript"/>
          <w:lang w:eastAsia="zh-CN"/>
        </w:rPr>
        <w:t>E</w:t>
      </w:r>
      <w:r w:rsidRPr="00885F53">
        <w:rPr>
          <w:vertAlign w:val="subscript"/>
        </w:rPr>
        <w:t>UTRAN</w:t>
      </w:r>
      <w:r>
        <w:rPr>
          <w:vertAlign w:val="subscript"/>
        </w:rPr>
        <w:t>_Relax</w:t>
      </w:r>
      <w:r w:rsidRPr="00736EB3">
        <w:t xml:space="preserve"> + N</w:t>
      </w:r>
      <w:r w:rsidRPr="00736EB3">
        <w:rPr>
          <w:vertAlign w:val="subscript"/>
        </w:rPr>
        <w:t>carrier_Non_relax</w:t>
      </w:r>
      <w:r w:rsidRPr="00736EB3">
        <w:t xml:space="preserve">  * </w:t>
      </w:r>
      <w:r w:rsidRPr="00885F53">
        <w:t>T</w:t>
      </w:r>
      <w:r w:rsidRPr="00885F53">
        <w:rPr>
          <w:vertAlign w:val="subscript"/>
        </w:rPr>
        <w:t>measure,</w:t>
      </w:r>
      <w:r w:rsidRPr="00885F53">
        <w:rPr>
          <w:vertAlign w:val="subscript"/>
          <w:lang w:eastAsia="zh-CN"/>
        </w:rPr>
        <w:t>E</w:t>
      </w:r>
      <w:r w:rsidRPr="00885F53">
        <w:rPr>
          <w:vertAlign w:val="subscript"/>
        </w:rPr>
        <w:t>UTRAN</w:t>
      </w:r>
      <w:r w:rsidRPr="00736EB3">
        <w:rPr>
          <w:vertAlign w:val="subscript"/>
        </w:rPr>
        <w:t>.</w:t>
      </w:r>
      <w:r>
        <w:rPr>
          <w:rFonts w:hint="eastAsia"/>
          <w:vertAlign w:val="subscript"/>
          <w:lang w:eastAsia="zh-CN"/>
        </w:rPr>
        <w:t xml:space="preserve"> </w:t>
      </w:r>
      <w:r>
        <w:t>T</w:t>
      </w:r>
      <w:r w:rsidRPr="00736EB3">
        <w:t xml:space="preserve">he UE shall be </w:t>
      </w:r>
      <w:r>
        <w:t>able to</w:t>
      </w:r>
      <w:r w:rsidRPr="00736EB3">
        <w:t xml:space="preserve"> evaluat</w:t>
      </w:r>
      <w:r>
        <w:t>e</w:t>
      </w:r>
      <w:r w:rsidRPr="00736EB3">
        <w:t xml:space="preserve"> </w:t>
      </w:r>
      <w:r>
        <w:t xml:space="preserve">that </w:t>
      </w:r>
      <w:r w:rsidRPr="00736EB3">
        <w:t xml:space="preserve">an already identified </w:t>
      </w:r>
      <w:r w:rsidRPr="000D108A">
        <w:rPr>
          <w:lang w:eastAsia="zh-CN"/>
        </w:rPr>
        <w:t>inter-RAT E-UTRAN</w:t>
      </w:r>
      <w:r w:rsidRPr="00736EB3">
        <w:t xml:space="preserve"> cell has met reselection criterion defined in TS 3</w:t>
      </w:r>
      <w:r w:rsidRPr="00736EB3">
        <w:rPr>
          <w:lang w:eastAsia="zh-CN"/>
        </w:rPr>
        <w:t>8</w:t>
      </w:r>
      <w:r w:rsidRPr="00736EB3">
        <w:t>.304 [1] within N</w:t>
      </w:r>
      <w:r>
        <w:rPr>
          <w:vertAlign w:val="subscript"/>
        </w:rPr>
        <w:t>EUTRAN</w:t>
      </w:r>
      <w:r w:rsidRPr="00736EB3">
        <w:rPr>
          <w:vertAlign w:val="subscript"/>
        </w:rPr>
        <w:t xml:space="preserve"> carrier_Relax</w:t>
      </w:r>
      <w:r w:rsidRPr="00736EB3">
        <w:t xml:space="preserve"> * </w:t>
      </w:r>
      <w:r w:rsidRPr="00885F53">
        <w:rPr>
          <w:rFonts w:cs="v4.2.0"/>
        </w:rPr>
        <w:t>T</w:t>
      </w:r>
      <w:r w:rsidRPr="00885F53">
        <w:rPr>
          <w:rFonts w:cs="v4.2.0"/>
          <w:vertAlign w:val="subscript"/>
        </w:rPr>
        <w:t>evaluate,</w:t>
      </w:r>
      <w:r w:rsidRPr="00885F53">
        <w:rPr>
          <w:rFonts w:cs="v4.2.0"/>
          <w:vertAlign w:val="subscript"/>
          <w:lang w:eastAsia="zh-CN"/>
        </w:rPr>
        <w:t>E</w:t>
      </w:r>
      <w:r w:rsidRPr="00885F53">
        <w:rPr>
          <w:rFonts w:cs="v4.2.0"/>
          <w:vertAlign w:val="subscript"/>
        </w:rPr>
        <w:t>UTRAN</w:t>
      </w:r>
      <w:r>
        <w:rPr>
          <w:vertAlign w:val="subscript"/>
        </w:rPr>
        <w:t>_Relax</w:t>
      </w:r>
      <w:r w:rsidRPr="00736EB3">
        <w:t xml:space="preserve"> + N</w:t>
      </w:r>
      <w:r>
        <w:rPr>
          <w:vertAlign w:val="subscript"/>
        </w:rPr>
        <w:t>EUTRAN</w:t>
      </w:r>
      <w:r w:rsidRPr="00736EB3">
        <w:rPr>
          <w:vertAlign w:val="subscript"/>
        </w:rPr>
        <w:t xml:space="preserve"> carrier_Non_relax</w:t>
      </w:r>
      <w:r w:rsidRPr="00736EB3">
        <w:t xml:space="preserve">  * </w:t>
      </w:r>
      <w:r w:rsidRPr="00885F53">
        <w:rPr>
          <w:rFonts w:cs="v4.2.0"/>
        </w:rPr>
        <w:t>T</w:t>
      </w:r>
      <w:r w:rsidRPr="00885F53">
        <w:rPr>
          <w:rFonts w:cs="v4.2.0"/>
          <w:vertAlign w:val="subscript"/>
        </w:rPr>
        <w:t>evaluate,</w:t>
      </w:r>
      <w:r w:rsidRPr="00885F53">
        <w:rPr>
          <w:rFonts w:cs="v4.2.0"/>
          <w:vertAlign w:val="subscript"/>
          <w:lang w:eastAsia="zh-CN"/>
        </w:rPr>
        <w:t>E</w:t>
      </w:r>
      <w:r w:rsidRPr="00885F53">
        <w:rPr>
          <w:rFonts w:cs="v4.2.0"/>
          <w:vertAlign w:val="subscript"/>
        </w:rPr>
        <w:t>UTRAN</w:t>
      </w:r>
      <w:r w:rsidRPr="00736EB3">
        <w:t>.</w:t>
      </w:r>
      <w:r>
        <w:rPr>
          <w:rFonts w:hint="eastAsia"/>
          <w:vertAlign w:val="subscript"/>
          <w:lang w:eastAsia="zh-CN"/>
        </w:rPr>
        <w:t xml:space="preserve"> </w:t>
      </w:r>
    </w:p>
    <w:p w14:paraId="15496862" w14:textId="1C1412F9" w:rsidR="007A4580" w:rsidRPr="00390C6A" w:rsidRDefault="007A4580" w:rsidP="007A4580">
      <w:pPr>
        <w:pStyle w:val="B10"/>
        <w:rPr>
          <w:lang w:eastAsia="zh-CN"/>
        </w:rPr>
      </w:pPr>
      <w:r w:rsidRPr="00390C6A">
        <w:t>-</w:t>
      </w:r>
      <w:r>
        <w:tab/>
      </w:r>
      <w:r w:rsidRPr="00390C6A">
        <w:t xml:space="preserve">When T331 is running, </w:t>
      </w:r>
    </w:p>
    <w:p w14:paraId="3C363591" w14:textId="7252F041" w:rsidR="007A4580" w:rsidRPr="00390C6A" w:rsidRDefault="007A4580" w:rsidP="00301B77">
      <w:pPr>
        <w:pStyle w:val="B20"/>
        <w:rPr>
          <w:vertAlign w:val="subscript"/>
        </w:rPr>
      </w:pPr>
      <w:r w:rsidRPr="00390C6A">
        <w:t>-</w:t>
      </w:r>
      <w:r>
        <w:tab/>
      </w:r>
      <w:r w:rsidRPr="00390C6A">
        <w:t>The parameter N</w:t>
      </w:r>
      <w:r w:rsidRPr="00390C6A">
        <w:rPr>
          <w:vertAlign w:val="subscript"/>
        </w:rPr>
        <w:t>carrier_Relax</w:t>
      </w:r>
      <w:r w:rsidRPr="00390C6A">
        <w:t xml:space="preserve"> is the total number of </w:t>
      </w:r>
      <w:r w:rsidRPr="00390C6A">
        <w:rPr>
          <w:lang w:eastAsia="zh-CN"/>
        </w:rPr>
        <w:t>inter-RAT E-UTRAN</w:t>
      </w:r>
      <w:r w:rsidRPr="00390C6A">
        <w:t xml:space="preserve"> carriers not configured for idle mode CA/DC measurements.</w:t>
      </w:r>
    </w:p>
    <w:p w14:paraId="06B1DDD6" w14:textId="5B0800E4" w:rsidR="007A4580" w:rsidRPr="00390C6A" w:rsidRDefault="007A4580" w:rsidP="00301B77">
      <w:pPr>
        <w:pStyle w:val="B20"/>
      </w:pPr>
      <w:r w:rsidRPr="00390C6A">
        <w:t>-</w:t>
      </w:r>
      <w:r>
        <w:tab/>
      </w:r>
      <w:r w:rsidRPr="00390C6A">
        <w:t>The parameter N</w:t>
      </w:r>
      <w:r w:rsidRPr="00390C6A">
        <w:rPr>
          <w:vertAlign w:val="subscript"/>
        </w:rPr>
        <w:t>carrier_Non_relax</w:t>
      </w:r>
      <w:r w:rsidRPr="00390C6A">
        <w:t xml:space="preserve"> is the total number of </w:t>
      </w:r>
      <w:r w:rsidRPr="00390C6A">
        <w:rPr>
          <w:lang w:eastAsia="zh-CN"/>
        </w:rPr>
        <w:t>inter-RAT E-UTRAN</w:t>
      </w:r>
      <w:r w:rsidRPr="00390C6A">
        <w:t xml:space="preserve"> carriers configured for idle mode CA/DC measurements.</w:t>
      </w:r>
    </w:p>
    <w:p w14:paraId="70980C44" w14:textId="243B968C" w:rsidR="007A4580" w:rsidRPr="00390C6A" w:rsidRDefault="007A4580" w:rsidP="007A4580">
      <w:pPr>
        <w:pStyle w:val="B10"/>
        <w:rPr>
          <w:vertAlign w:val="subscript"/>
        </w:rPr>
      </w:pPr>
      <w:r w:rsidRPr="00390C6A">
        <w:t>-</w:t>
      </w:r>
      <w:r>
        <w:tab/>
      </w:r>
      <w:r w:rsidRPr="00390C6A">
        <w:t xml:space="preserve">When T331 is not running, </w:t>
      </w:r>
    </w:p>
    <w:p w14:paraId="141B8F62" w14:textId="6CFCF2B4" w:rsidR="007A4580" w:rsidRPr="00390C6A" w:rsidRDefault="007A4580" w:rsidP="00301B77">
      <w:pPr>
        <w:pStyle w:val="B20"/>
      </w:pPr>
      <w:r w:rsidRPr="00390C6A">
        <w:t>-</w:t>
      </w:r>
      <w:r>
        <w:tab/>
      </w:r>
      <w:r w:rsidRPr="00390C6A">
        <w:t>The parameter N</w:t>
      </w:r>
      <w:r w:rsidRPr="00390C6A">
        <w:rPr>
          <w:vertAlign w:val="subscript"/>
        </w:rPr>
        <w:t>carrier_Relax</w:t>
      </w:r>
      <w:r w:rsidRPr="00390C6A">
        <w:t xml:space="preserve"> is the total number of </w:t>
      </w:r>
      <w:r w:rsidRPr="00390C6A">
        <w:rPr>
          <w:lang w:eastAsia="zh-CN"/>
        </w:rPr>
        <w:t>inter-RAT E-UTRAN</w:t>
      </w:r>
      <w:r w:rsidRPr="00390C6A">
        <w:t xml:space="preserve"> carriers configured for mobility measurements only and the number of </w:t>
      </w:r>
      <w:r w:rsidRPr="00390C6A">
        <w:rPr>
          <w:lang w:eastAsia="zh-CN"/>
        </w:rPr>
        <w:t>inter-RAT E-UTRAN</w:t>
      </w:r>
      <w:r w:rsidRPr="00390C6A">
        <w:t xml:space="preserve"> carriers configured for both mobility measurement and idle mode CA/DC measurements. </w:t>
      </w:r>
    </w:p>
    <w:p w14:paraId="00584DB1" w14:textId="226029FB" w:rsidR="007A4580" w:rsidRPr="00770117" w:rsidRDefault="007A4580" w:rsidP="00301B77">
      <w:pPr>
        <w:pStyle w:val="B20"/>
      </w:pPr>
      <w:r w:rsidRPr="00390C6A">
        <w:t>-</w:t>
      </w:r>
      <w:r>
        <w:tab/>
      </w:r>
      <w:r w:rsidRPr="00390C6A">
        <w:t>The parameter N</w:t>
      </w:r>
      <w:r w:rsidRPr="00390C6A">
        <w:rPr>
          <w:vertAlign w:val="subscript"/>
        </w:rPr>
        <w:t>carrier_Non_relax</w:t>
      </w:r>
      <w:r w:rsidRPr="00390C6A">
        <w:t xml:space="preserve"> =0.</w:t>
      </w:r>
    </w:p>
    <w:p w14:paraId="0590B3A0" w14:textId="77777777" w:rsidR="00D617EC" w:rsidRPr="00043DFE" w:rsidRDefault="00D617EC" w:rsidP="00D617EC">
      <w:pPr>
        <w:rPr>
          <w:lang w:eastAsia="fr-FR"/>
        </w:rPr>
      </w:pPr>
      <w:r w:rsidRPr="00043DFE">
        <w:rPr>
          <w:lang w:eastAsia="fr-FR"/>
        </w:rPr>
        <w:t xml:space="preserve">If the UE is configured with eDRX_IDLE cycle then the requirements in Table 4.2.2.11.2-2 are applicable for eDRX cycle &lt; 10.24 s. </w:t>
      </w:r>
    </w:p>
    <w:p w14:paraId="1B47ABE9" w14:textId="77777777" w:rsidR="00D617EC" w:rsidRPr="00043DFE" w:rsidRDefault="00D617EC" w:rsidP="00D60521">
      <w:r w:rsidRPr="00043DFE">
        <w:rPr>
          <w:lang w:eastAsia="fr-FR"/>
        </w:rPr>
        <w:t>If the UE is configured with eDRX_IDLE cycle ≥ 10.24 s, then the requirements in Table 4.2.2.11.2-3</w:t>
      </w:r>
      <w:r w:rsidRPr="00043DFE">
        <w:rPr>
          <w:snapToGrid w:val="0"/>
        </w:rPr>
        <w:t>,</w:t>
      </w:r>
      <w:r w:rsidRPr="00043DFE">
        <w:rPr>
          <w:lang w:eastAsia="fr-FR"/>
        </w:rPr>
        <w:t xml:space="preserve"> apply provided that filtering of a measurement is done within a single PTW and provided that the eDRX cycle is ≤ [163.84] sec and evaluation/measurement time with relaxation on one carrier is not greater than single PTW window length.</w:t>
      </w:r>
    </w:p>
    <w:p w14:paraId="109B4329" w14:textId="279AD89F" w:rsidR="00FA1949" w:rsidRDefault="00D617EC" w:rsidP="00D617EC">
      <w:pPr>
        <w:rPr>
          <w:lang w:eastAsia="zh-CN"/>
        </w:rPr>
      </w:pPr>
      <w:r w:rsidRPr="00043DFE">
        <w:rPr>
          <w:lang w:eastAsia="zh-CN"/>
        </w:rPr>
        <w:t xml:space="preserve">When </w:t>
      </w:r>
      <w:r w:rsidRPr="00043DFE">
        <w:t>Srxlev &gt; S</w:t>
      </w:r>
      <w:r w:rsidRPr="00043DFE">
        <w:rPr>
          <w:vertAlign w:val="subscript"/>
        </w:rPr>
        <w:t>nonIntraSearchP</w:t>
      </w:r>
      <w:r w:rsidRPr="00043DFE">
        <w:t xml:space="preserve"> and Squal &gt; S</w:t>
      </w:r>
      <w:r w:rsidRPr="00043DFE">
        <w:rPr>
          <w:vertAlign w:val="subscript"/>
        </w:rPr>
        <w:t>nonIntraSearchQ</w:t>
      </w:r>
      <w:r w:rsidRPr="00043DFE">
        <w:t xml:space="preserve"> and the UE is configured with </w:t>
      </w:r>
      <w:r w:rsidRPr="00043DFE">
        <w:rPr>
          <w:i/>
          <w:iCs/>
          <w:noProof/>
        </w:rPr>
        <w:t>highPriorityMeasRelax</w:t>
      </w:r>
      <w:r w:rsidRPr="00043DFE">
        <w:rPr>
          <w:noProof/>
        </w:rPr>
        <w:t xml:space="preserve"> [2] then</w:t>
      </w:r>
      <w:r w:rsidRPr="00043DFE">
        <w:t xml:space="preserve"> the UE shall search for E-UTRA inter-</w:t>
      </w:r>
      <w:r w:rsidRPr="00043DFE">
        <w:rPr>
          <w:rFonts w:hint="eastAsia"/>
          <w:lang w:eastAsia="zh-CN"/>
        </w:rPr>
        <w:t xml:space="preserve">RAT </w:t>
      </w:r>
      <w:r w:rsidRPr="00043DFE">
        <w:t>frequency layers of higher priority at least every K2*T</w:t>
      </w:r>
      <w:r w:rsidRPr="00043DFE">
        <w:rPr>
          <w:vertAlign w:val="subscript"/>
        </w:rPr>
        <w:t xml:space="preserve">higher_priority_search seconds </w:t>
      </w:r>
      <w:r w:rsidRPr="00043DFE">
        <w:t>where T</w:t>
      </w:r>
      <w:r w:rsidRPr="00043DFE">
        <w:rPr>
          <w:vertAlign w:val="subscript"/>
        </w:rPr>
        <w:t>higher_priority_search</w:t>
      </w:r>
      <w:r w:rsidRPr="00043DFE">
        <w:t xml:space="preserve"> is described in clause 4.2.2.7 and, </w:t>
      </w:r>
      <w:r w:rsidRPr="00043DFE">
        <w:rPr>
          <w:snapToGrid w:val="0"/>
          <w:lang w:eastAsia="zh-CN"/>
        </w:rPr>
        <w:t>K2 = 60</w:t>
      </w:r>
      <w:r w:rsidRPr="00043DFE">
        <w:t xml:space="preserve">. Otherwise if the UE is not configured with </w:t>
      </w:r>
      <w:r w:rsidRPr="00043DFE">
        <w:rPr>
          <w:i/>
          <w:iCs/>
          <w:noProof/>
        </w:rPr>
        <w:t>highPriorityMeasRelax</w:t>
      </w:r>
      <w:r w:rsidRPr="00043DFE">
        <w:rPr>
          <w:noProof/>
        </w:rPr>
        <w:t xml:space="preserve"> [2] then the UE shall </w:t>
      </w:r>
      <w:r w:rsidRPr="00043DFE">
        <w:t>search for E-UTRA inter-</w:t>
      </w:r>
      <w:r w:rsidRPr="00043DFE">
        <w:rPr>
          <w:rFonts w:hint="eastAsia"/>
          <w:lang w:eastAsia="zh-CN"/>
        </w:rPr>
        <w:t>RA</w:t>
      </w:r>
      <w:r w:rsidRPr="00043DFE">
        <w:rPr>
          <w:lang w:eastAsia="zh-CN"/>
        </w:rPr>
        <w:t>T</w:t>
      </w:r>
      <w:r w:rsidRPr="00043DFE">
        <w:rPr>
          <w:rFonts w:hint="eastAsia"/>
          <w:lang w:eastAsia="zh-CN"/>
        </w:rPr>
        <w:t xml:space="preserve"> </w:t>
      </w:r>
      <w:r w:rsidRPr="00043DFE">
        <w:t>frequency layers of higher priority at least every T</w:t>
      </w:r>
      <w:r w:rsidRPr="00043DFE">
        <w:rPr>
          <w:vertAlign w:val="subscript"/>
        </w:rPr>
        <w:t xml:space="preserve">higher_priority_search </w:t>
      </w:r>
      <w:r w:rsidRPr="00043DFE">
        <w:t>where T</w:t>
      </w:r>
      <w:r w:rsidRPr="00043DFE">
        <w:rPr>
          <w:vertAlign w:val="subscript"/>
        </w:rPr>
        <w:t>higher_priority_search</w:t>
      </w:r>
      <w:r w:rsidRPr="00043DFE">
        <w:t xml:space="preserve"> is described in clause 4.2.2.7.</w:t>
      </w:r>
    </w:p>
    <w:p w14:paraId="0CD9B4F4" w14:textId="55AB9D36" w:rsidR="0022726A" w:rsidRPr="00885F53" w:rsidRDefault="0022726A" w:rsidP="0022726A">
      <w:pPr>
        <w:pStyle w:val="TH"/>
        <w:rPr>
          <w:rFonts w:cs="v4.2.0"/>
          <w:vertAlign w:val="subscript"/>
          <w:lang w:eastAsia="zh-CN"/>
        </w:rPr>
      </w:pPr>
      <w:r w:rsidRPr="00885F53">
        <w:rPr>
          <w:snapToGrid w:val="0"/>
        </w:rPr>
        <w:t xml:space="preserve">Table </w:t>
      </w:r>
      <w:r>
        <w:rPr>
          <w:snapToGrid w:val="0"/>
        </w:rPr>
        <w:t>4.2.2.11.2</w:t>
      </w:r>
      <w:r w:rsidRPr="00885F53">
        <w:rPr>
          <w:snapToGrid w:val="0"/>
        </w:rPr>
        <w:t xml:space="preserve">-1: </w:t>
      </w:r>
      <w:r w:rsidRPr="00885F53">
        <w:t>T</w:t>
      </w:r>
      <w:r w:rsidRPr="00885F53">
        <w:rPr>
          <w:vertAlign w:val="subscript"/>
        </w:rPr>
        <w:t>detect,</w:t>
      </w:r>
      <w:r w:rsidRPr="00885F53">
        <w:rPr>
          <w:vertAlign w:val="subscript"/>
          <w:lang w:eastAsia="zh-CN"/>
        </w:rPr>
        <w:t>E</w:t>
      </w:r>
      <w:r w:rsidRPr="00885F53">
        <w:rPr>
          <w:vertAlign w:val="subscript"/>
        </w:rPr>
        <w:t>UTRAN</w:t>
      </w:r>
      <w:r w:rsidR="007A4580">
        <w:rPr>
          <w:vertAlign w:val="subscript"/>
        </w:rPr>
        <w:t>_Relax</w:t>
      </w:r>
      <w:r w:rsidRPr="00885F53">
        <w:rPr>
          <w:snapToGrid w:val="0"/>
        </w:rPr>
        <w:t xml:space="preserve">, </w:t>
      </w:r>
      <w:r w:rsidRPr="00885F53">
        <w:t>T</w:t>
      </w:r>
      <w:r w:rsidRPr="00885F53">
        <w:rPr>
          <w:vertAlign w:val="subscript"/>
        </w:rPr>
        <w:t>measure,</w:t>
      </w:r>
      <w:r w:rsidRPr="00885F53">
        <w:rPr>
          <w:vertAlign w:val="subscript"/>
          <w:lang w:eastAsia="zh-CN"/>
        </w:rPr>
        <w:t>E</w:t>
      </w:r>
      <w:r w:rsidRPr="00885F53">
        <w:rPr>
          <w:vertAlign w:val="subscript"/>
        </w:rPr>
        <w:t>UTRAN</w:t>
      </w:r>
      <w:r w:rsidR="007A4580">
        <w:rPr>
          <w:vertAlign w:val="subscript"/>
        </w:rPr>
        <w:t>_Relax</w:t>
      </w:r>
      <w:r w:rsidRPr="00885F53">
        <w:rPr>
          <w:vertAlign w:val="subscript"/>
        </w:rPr>
        <w:t>,</w:t>
      </w:r>
      <w:r w:rsidRPr="00885F53">
        <w:t xml:space="preserve"> and </w:t>
      </w:r>
      <w:r w:rsidRPr="00885F53">
        <w:rPr>
          <w:rFonts w:cs="v4.2.0"/>
        </w:rPr>
        <w:t>T</w:t>
      </w:r>
      <w:r w:rsidRPr="00885F53">
        <w:rPr>
          <w:rFonts w:cs="v4.2.0"/>
          <w:vertAlign w:val="subscript"/>
        </w:rPr>
        <w:t>evaluate,</w:t>
      </w:r>
      <w:r w:rsidRPr="00885F53">
        <w:rPr>
          <w:rFonts w:cs="v4.2.0"/>
          <w:vertAlign w:val="subscript"/>
          <w:lang w:eastAsia="zh-CN"/>
        </w:rPr>
        <w:t>E</w:t>
      </w:r>
      <w:r w:rsidRPr="00885F53">
        <w:rPr>
          <w:rFonts w:cs="v4.2.0"/>
          <w:vertAlign w:val="subscript"/>
        </w:rPr>
        <w:t>UTRAN</w:t>
      </w:r>
      <w:r w:rsidR="007A4580">
        <w:rPr>
          <w:vertAlign w:val="subscript"/>
        </w:rPr>
        <w:t>_Relax</w:t>
      </w:r>
    </w:p>
    <w:tbl>
      <w:tblPr>
        <w:tblW w:w="46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2409"/>
        <w:gridCol w:w="2345"/>
        <w:gridCol w:w="2904"/>
      </w:tblGrid>
      <w:tr w:rsidR="0022726A" w:rsidRPr="00885F53" w14:paraId="5B7ECE04" w14:textId="77777777" w:rsidTr="00AE536E">
        <w:trPr>
          <w:cantSplit/>
          <w:jc w:val="center"/>
        </w:trPr>
        <w:tc>
          <w:tcPr>
            <w:tcW w:w="712" w:type="pct"/>
            <w:tcBorders>
              <w:top w:val="single" w:sz="4" w:space="0" w:color="auto"/>
              <w:left w:val="single" w:sz="4" w:space="0" w:color="auto"/>
              <w:bottom w:val="single" w:sz="4" w:space="0" w:color="auto"/>
              <w:right w:val="single" w:sz="4" w:space="0" w:color="auto"/>
            </w:tcBorders>
            <w:hideMark/>
          </w:tcPr>
          <w:p w14:paraId="16FFBC93" w14:textId="77777777" w:rsidR="0022726A" w:rsidRPr="00885F53" w:rsidRDefault="0022726A" w:rsidP="00AB5131">
            <w:pPr>
              <w:pStyle w:val="TAH"/>
              <w:rPr>
                <w:rFonts w:cs="Arial"/>
                <w:snapToGrid w:val="0"/>
              </w:rPr>
            </w:pPr>
            <w:r w:rsidRPr="00885F53">
              <w:t>DRX cycle length [s]</w:t>
            </w:r>
          </w:p>
        </w:tc>
        <w:tc>
          <w:tcPr>
            <w:tcW w:w="1349" w:type="pct"/>
            <w:tcBorders>
              <w:top w:val="single" w:sz="4" w:space="0" w:color="auto"/>
              <w:left w:val="single" w:sz="4" w:space="0" w:color="auto"/>
              <w:bottom w:val="single" w:sz="4" w:space="0" w:color="auto"/>
              <w:right w:val="single" w:sz="4" w:space="0" w:color="auto"/>
            </w:tcBorders>
            <w:hideMark/>
          </w:tcPr>
          <w:p w14:paraId="6BF21543" w14:textId="46B68A34" w:rsidR="0022726A" w:rsidRPr="00885F53" w:rsidRDefault="0022726A" w:rsidP="00AB5131">
            <w:pPr>
              <w:pStyle w:val="TAH"/>
              <w:rPr>
                <w:rFonts w:cs="Arial"/>
              </w:rPr>
            </w:pPr>
            <w:r w:rsidRPr="00885F53">
              <w:t>T</w:t>
            </w:r>
            <w:r w:rsidRPr="00885F53">
              <w:rPr>
                <w:vertAlign w:val="subscript"/>
              </w:rPr>
              <w:t>detect,EUTRAN</w:t>
            </w:r>
            <w:r w:rsidR="007A4580">
              <w:rPr>
                <w:vertAlign w:val="subscript"/>
              </w:rPr>
              <w:t>_Relax</w:t>
            </w:r>
            <w:r w:rsidRPr="00885F53">
              <w:t xml:space="preserve"> [s] (number of DRX cycles)</w:t>
            </w:r>
          </w:p>
        </w:tc>
        <w:tc>
          <w:tcPr>
            <w:tcW w:w="1313" w:type="pct"/>
            <w:tcBorders>
              <w:top w:val="single" w:sz="4" w:space="0" w:color="auto"/>
              <w:left w:val="single" w:sz="4" w:space="0" w:color="auto"/>
              <w:bottom w:val="single" w:sz="4" w:space="0" w:color="auto"/>
              <w:right w:val="single" w:sz="4" w:space="0" w:color="auto"/>
            </w:tcBorders>
            <w:hideMark/>
          </w:tcPr>
          <w:p w14:paraId="41269E94" w14:textId="520BBC01" w:rsidR="0022726A" w:rsidRPr="00885F53" w:rsidRDefault="0022726A" w:rsidP="00AB5131">
            <w:pPr>
              <w:pStyle w:val="TAH"/>
              <w:rPr>
                <w:rFonts w:cs="Arial"/>
                <w:snapToGrid w:val="0"/>
              </w:rPr>
            </w:pPr>
            <w:r w:rsidRPr="00885F53">
              <w:t>T</w:t>
            </w:r>
            <w:r w:rsidRPr="00885F53">
              <w:rPr>
                <w:vertAlign w:val="subscript"/>
              </w:rPr>
              <w:t>measure,EUTRAN</w:t>
            </w:r>
            <w:r w:rsidR="007A4580">
              <w:rPr>
                <w:vertAlign w:val="subscript"/>
              </w:rPr>
              <w:t>_Relax</w:t>
            </w:r>
            <w:r w:rsidRPr="00885F53">
              <w:t xml:space="preserve"> [s] (number of DRX cycles)</w:t>
            </w:r>
          </w:p>
        </w:tc>
        <w:tc>
          <w:tcPr>
            <w:tcW w:w="1626" w:type="pct"/>
            <w:tcBorders>
              <w:top w:val="single" w:sz="4" w:space="0" w:color="auto"/>
              <w:left w:val="single" w:sz="4" w:space="0" w:color="auto"/>
              <w:bottom w:val="single" w:sz="4" w:space="0" w:color="auto"/>
              <w:right w:val="single" w:sz="4" w:space="0" w:color="auto"/>
            </w:tcBorders>
            <w:hideMark/>
          </w:tcPr>
          <w:p w14:paraId="019E7BB2" w14:textId="5C92AD39" w:rsidR="0022726A" w:rsidRPr="00885F53" w:rsidRDefault="0022726A" w:rsidP="00AB5131">
            <w:pPr>
              <w:pStyle w:val="TAH"/>
              <w:rPr>
                <w:rFonts w:cs="Arial"/>
                <w:vertAlign w:val="subscript"/>
                <w:lang w:eastAsia="zh-CN"/>
              </w:rPr>
            </w:pPr>
            <w:r w:rsidRPr="00885F53">
              <w:t>T</w:t>
            </w:r>
            <w:r w:rsidRPr="00885F53">
              <w:rPr>
                <w:vertAlign w:val="subscript"/>
              </w:rPr>
              <w:t>evaluate,EUTRAN</w:t>
            </w:r>
            <w:r w:rsidR="007A4580">
              <w:rPr>
                <w:vertAlign w:val="subscript"/>
              </w:rPr>
              <w:t>_Relax</w:t>
            </w:r>
          </w:p>
          <w:p w14:paraId="37FC0CAB" w14:textId="77777777" w:rsidR="0022726A" w:rsidRPr="00885F53" w:rsidRDefault="0022726A" w:rsidP="00AB5131">
            <w:pPr>
              <w:pStyle w:val="TAH"/>
              <w:rPr>
                <w:rFonts w:cs="Arial"/>
              </w:rPr>
            </w:pPr>
            <w:r w:rsidRPr="00885F53">
              <w:rPr>
                <w:rFonts w:cs="Arial"/>
              </w:rPr>
              <w:t>[s] (number of DRX cycles)</w:t>
            </w:r>
          </w:p>
        </w:tc>
      </w:tr>
      <w:tr w:rsidR="0022726A" w:rsidRPr="00885F53" w14:paraId="15E5B520" w14:textId="77777777" w:rsidTr="00AE536E">
        <w:trPr>
          <w:cantSplit/>
          <w:jc w:val="center"/>
        </w:trPr>
        <w:tc>
          <w:tcPr>
            <w:tcW w:w="712" w:type="pct"/>
            <w:tcBorders>
              <w:top w:val="single" w:sz="4" w:space="0" w:color="auto"/>
              <w:left w:val="single" w:sz="4" w:space="0" w:color="auto"/>
              <w:bottom w:val="single" w:sz="4" w:space="0" w:color="auto"/>
              <w:right w:val="single" w:sz="4" w:space="0" w:color="auto"/>
            </w:tcBorders>
            <w:hideMark/>
          </w:tcPr>
          <w:p w14:paraId="2AB26937" w14:textId="77777777" w:rsidR="0022726A" w:rsidRPr="00885F53" w:rsidRDefault="0022726A" w:rsidP="00AB5131">
            <w:pPr>
              <w:pStyle w:val="TAC"/>
              <w:rPr>
                <w:snapToGrid w:val="0"/>
              </w:rPr>
            </w:pPr>
            <w:r w:rsidRPr="00885F53">
              <w:t>0.32</w:t>
            </w:r>
          </w:p>
        </w:tc>
        <w:tc>
          <w:tcPr>
            <w:tcW w:w="1349" w:type="pct"/>
            <w:tcBorders>
              <w:top w:val="single" w:sz="4" w:space="0" w:color="auto"/>
              <w:left w:val="single" w:sz="4" w:space="0" w:color="auto"/>
              <w:bottom w:val="single" w:sz="4" w:space="0" w:color="auto"/>
              <w:right w:val="single" w:sz="4" w:space="0" w:color="auto"/>
            </w:tcBorders>
            <w:hideMark/>
          </w:tcPr>
          <w:p w14:paraId="197B1CD4" w14:textId="77777777" w:rsidR="0022726A" w:rsidRPr="00885F53" w:rsidRDefault="0022726A" w:rsidP="00AB5131">
            <w:pPr>
              <w:pStyle w:val="TAC"/>
              <w:rPr>
                <w:snapToGrid w:val="0"/>
              </w:rPr>
            </w:pPr>
            <w:r w:rsidRPr="00885F53">
              <w:t>11.52</w:t>
            </w:r>
            <w:r w:rsidRPr="00F52E47">
              <w:rPr>
                <w:lang w:val="sv-SE" w:eastAsia="zh-CN"/>
              </w:rPr>
              <w:t xml:space="preserve"> x </w:t>
            </w:r>
            <w:r w:rsidRPr="00F52E47">
              <w:rPr>
                <w:snapToGrid w:val="0"/>
                <w:lang w:val="sv-SE" w:eastAsia="zh-CN"/>
              </w:rPr>
              <w:t>K1</w:t>
            </w:r>
            <w:r w:rsidRPr="00885F53">
              <w:t xml:space="preserve"> (36</w:t>
            </w:r>
            <w:r w:rsidRPr="00F52E47">
              <w:rPr>
                <w:lang w:val="sv-SE" w:eastAsia="zh-CN"/>
              </w:rPr>
              <w:t xml:space="preserve"> x </w:t>
            </w:r>
            <w:r w:rsidRPr="00F52E47">
              <w:rPr>
                <w:snapToGrid w:val="0"/>
                <w:lang w:val="sv-SE" w:eastAsia="zh-CN"/>
              </w:rPr>
              <w:t>K1</w:t>
            </w:r>
            <w:r w:rsidRPr="00885F53">
              <w:t>)</w:t>
            </w:r>
          </w:p>
        </w:tc>
        <w:tc>
          <w:tcPr>
            <w:tcW w:w="1313" w:type="pct"/>
            <w:tcBorders>
              <w:top w:val="single" w:sz="4" w:space="0" w:color="auto"/>
              <w:left w:val="single" w:sz="4" w:space="0" w:color="auto"/>
              <w:bottom w:val="single" w:sz="4" w:space="0" w:color="auto"/>
              <w:right w:val="single" w:sz="4" w:space="0" w:color="auto"/>
            </w:tcBorders>
            <w:hideMark/>
          </w:tcPr>
          <w:p w14:paraId="230DAD2F" w14:textId="77777777" w:rsidR="0022726A" w:rsidRPr="00885F53" w:rsidRDefault="0022726A" w:rsidP="00AB5131">
            <w:pPr>
              <w:pStyle w:val="TAC"/>
              <w:rPr>
                <w:snapToGrid w:val="0"/>
              </w:rPr>
            </w:pPr>
            <w:r w:rsidRPr="00885F53">
              <w:rPr>
                <w:snapToGrid w:val="0"/>
              </w:rPr>
              <w:t>1.28</w:t>
            </w:r>
            <w:r w:rsidRPr="00F52E47">
              <w:rPr>
                <w:lang w:val="sv-SE" w:eastAsia="zh-CN"/>
              </w:rPr>
              <w:t xml:space="preserve"> x </w:t>
            </w:r>
            <w:r w:rsidRPr="00F52E47">
              <w:rPr>
                <w:snapToGrid w:val="0"/>
                <w:lang w:val="sv-SE" w:eastAsia="zh-CN"/>
              </w:rPr>
              <w:t>K1</w:t>
            </w:r>
            <w:r w:rsidRPr="00885F53">
              <w:rPr>
                <w:snapToGrid w:val="0"/>
              </w:rPr>
              <w:t xml:space="preserve"> (4</w:t>
            </w:r>
            <w:r w:rsidRPr="00F52E47">
              <w:rPr>
                <w:lang w:val="sv-SE" w:eastAsia="zh-CN"/>
              </w:rPr>
              <w:t xml:space="preserve"> x </w:t>
            </w:r>
            <w:r w:rsidRPr="00F52E47">
              <w:rPr>
                <w:snapToGrid w:val="0"/>
                <w:lang w:val="sv-SE" w:eastAsia="zh-CN"/>
              </w:rPr>
              <w:t>K1</w:t>
            </w:r>
            <w:r w:rsidRPr="00885F53">
              <w:rPr>
                <w:snapToGrid w:val="0"/>
              </w:rPr>
              <w:t>)</w:t>
            </w:r>
          </w:p>
        </w:tc>
        <w:tc>
          <w:tcPr>
            <w:tcW w:w="1626" w:type="pct"/>
            <w:tcBorders>
              <w:top w:val="single" w:sz="4" w:space="0" w:color="auto"/>
              <w:left w:val="single" w:sz="4" w:space="0" w:color="auto"/>
              <w:bottom w:val="single" w:sz="4" w:space="0" w:color="auto"/>
              <w:right w:val="single" w:sz="4" w:space="0" w:color="auto"/>
            </w:tcBorders>
            <w:hideMark/>
          </w:tcPr>
          <w:p w14:paraId="5EB9B871" w14:textId="77777777" w:rsidR="0022726A" w:rsidRPr="00885F53" w:rsidRDefault="0022726A" w:rsidP="00AB5131">
            <w:pPr>
              <w:pStyle w:val="TAC"/>
              <w:rPr>
                <w:snapToGrid w:val="0"/>
              </w:rPr>
            </w:pPr>
            <w:r w:rsidRPr="00885F53">
              <w:t>5.12</w:t>
            </w:r>
            <w:r w:rsidRPr="00F52E47">
              <w:rPr>
                <w:lang w:val="sv-SE" w:eastAsia="zh-CN"/>
              </w:rPr>
              <w:t xml:space="preserve"> x </w:t>
            </w:r>
            <w:r w:rsidRPr="00F52E47">
              <w:rPr>
                <w:snapToGrid w:val="0"/>
                <w:lang w:val="sv-SE" w:eastAsia="zh-CN"/>
              </w:rPr>
              <w:t>K1</w:t>
            </w:r>
            <w:r w:rsidRPr="00885F53">
              <w:t xml:space="preserve"> (16</w:t>
            </w:r>
            <w:r w:rsidRPr="00F52E47">
              <w:rPr>
                <w:lang w:val="sv-SE" w:eastAsia="zh-CN"/>
              </w:rPr>
              <w:t xml:space="preserve"> x </w:t>
            </w:r>
            <w:r w:rsidRPr="00F52E47">
              <w:rPr>
                <w:snapToGrid w:val="0"/>
                <w:lang w:val="sv-SE" w:eastAsia="zh-CN"/>
              </w:rPr>
              <w:t>K1</w:t>
            </w:r>
            <w:r w:rsidRPr="00885F53">
              <w:t>)</w:t>
            </w:r>
          </w:p>
        </w:tc>
      </w:tr>
      <w:tr w:rsidR="0022726A" w:rsidRPr="00885F53" w14:paraId="5FEBE8E5" w14:textId="77777777" w:rsidTr="00AE536E">
        <w:trPr>
          <w:cantSplit/>
          <w:jc w:val="center"/>
        </w:trPr>
        <w:tc>
          <w:tcPr>
            <w:tcW w:w="712" w:type="pct"/>
            <w:tcBorders>
              <w:top w:val="single" w:sz="4" w:space="0" w:color="auto"/>
              <w:left w:val="single" w:sz="4" w:space="0" w:color="auto"/>
              <w:bottom w:val="single" w:sz="4" w:space="0" w:color="auto"/>
              <w:right w:val="single" w:sz="4" w:space="0" w:color="auto"/>
            </w:tcBorders>
            <w:hideMark/>
          </w:tcPr>
          <w:p w14:paraId="28623995" w14:textId="77777777" w:rsidR="0022726A" w:rsidRPr="00885F53" w:rsidRDefault="0022726A" w:rsidP="00AB5131">
            <w:pPr>
              <w:pStyle w:val="TAC"/>
              <w:rPr>
                <w:snapToGrid w:val="0"/>
              </w:rPr>
            </w:pPr>
            <w:r w:rsidRPr="00885F53">
              <w:t>0.64</w:t>
            </w:r>
          </w:p>
        </w:tc>
        <w:tc>
          <w:tcPr>
            <w:tcW w:w="1349" w:type="pct"/>
            <w:tcBorders>
              <w:top w:val="single" w:sz="4" w:space="0" w:color="auto"/>
              <w:left w:val="single" w:sz="4" w:space="0" w:color="auto"/>
              <w:bottom w:val="single" w:sz="4" w:space="0" w:color="auto"/>
              <w:right w:val="single" w:sz="4" w:space="0" w:color="auto"/>
            </w:tcBorders>
            <w:hideMark/>
          </w:tcPr>
          <w:p w14:paraId="5B47E25E" w14:textId="77777777" w:rsidR="0022726A" w:rsidRPr="00885F53" w:rsidRDefault="0022726A" w:rsidP="00AB5131">
            <w:pPr>
              <w:pStyle w:val="TAC"/>
              <w:rPr>
                <w:snapToGrid w:val="0"/>
              </w:rPr>
            </w:pPr>
            <w:r w:rsidRPr="00885F53">
              <w:t>17.92</w:t>
            </w:r>
            <w:r w:rsidRPr="00F52E47">
              <w:rPr>
                <w:lang w:val="sv-SE" w:eastAsia="zh-CN"/>
              </w:rPr>
              <w:t xml:space="preserve"> x </w:t>
            </w:r>
            <w:r w:rsidRPr="00F52E47">
              <w:rPr>
                <w:snapToGrid w:val="0"/>
                <w:lang w:val="sv-SE" w:eastAsia="zh-CN"/>
              </w:rPr>
              <w:t>K1</w:t>
            </w:r>
            <w:r w:rsidRPr="00885F53">
              <w:t xml:space="preserve"> (28</w:t>
            </w:r>
            <w:r w:rsidRPr="00F52E47">
              <w:rPr>
                <w:lang w:val="sv-SE" w:eastAsia="zh-CN"/>
              </w:rPr>
              <w:t xml:space="preserve"> x </w:t>
            </w:r>
            <w:r w:rsidRPr="00F52E47">
              <w:rPr>
                <w:snapToGrid w:val="0"/>
                <w:lang w:val="sv-SE" w:eastAsia="zh-CN"/>
              </w:rPr>
              <w:t>K1</w:t>
            </w:r>
            <w:r w:rsidRPr="00885F53">
              <w:t>)</w:t>
            </w:r>
          </w:p>
        </w:tc>
        <w:tc>
          <w:tcPr>
            <w:tcW w:w="1313" w:type="pct"/>
            <w:tcBorders>
              <w:top w:val="single" w:sz="4" w:space="0" w:color="auto"/>
              <w:left w:val="single" w:sz="4" w:space="0" w:color="auto"/>
              <w:bottom w:val="single" w:sz="4" w:space="0" w:color="auto"/>
              <w:right w:val="single" w:sz="4" w:space="0" w:color="auto"/>
            </w:tcBorders>
            <w:hideMark/>
          </w:tcPr>
          <w:p w14:paraId="6FC416CC" w14:textId="77777777" w:rsidR="0022726A" w:rsidRPr="00885F53" w:rsidRDefault="0022726A" w:rsidP="00AB5131">
            <w:pPr>
              <w:pStyle w:val="TAC"/>
              <w:rPr>
                <w:snapToGrid w:val="0"/>
              </w:rPr>
            </w:pPr>
            <w:r w:rsidRPr="00885F53">
              <w:rPr>
                <w:snapToGrid w:val="0"/>
              </w:rPr>
              <w:t>1.28</w:t>
            </w:r>
            <w:r w:rsidRPr="00F52E47">
              <w:rPr>
                <w:lang w:val="sv-SE" w:eastAsia="zh-CN"/>
              </w:rPr>
              <w:t xml:space="preserve"> x </w:t>
            </w:r>
            <w:r w:rsidRPr="00F52E47">
              <w:rPr>
                <w:snapToGrid w:val="0"/>
                <w:lang w:val="sv-SE" w:eastAsia="zh-CN"/>
              </w:rPr>
              <w:t>K1</w:t>
            </w:r>
            <w:r w:rsidRPr="00885F53">
              <w:rPr>
                <w:snapToGrid w:val="0"/>
              </w:rPr>
              <w:t xml:space="preserve"> (2</w:t>
            </w:r>
            <w:r w:rsidRPr="00F52E47">
              <w:rPr>
                <w:lang w:val="sv-SE" w:eastAsia="zh-CN"/>
              </w:rPr>
              <w:t xml:space="preserve"> x </w:t>
            </w:r>
            <w:r w:rsidRPr="00F52E47">
              <w:rPr>
                <w:snapToGrid w:val="0"/>
                <w:lang w:val="sv-SE" w:eastAsia="zh-CN"/>
              </w:rPr>
              <w:t>K1</w:t>
            </w:r>
            <w:r w:rsidRPr="00885F53">
              <w:rPr>
                <w:snapToGrid w:val="0"/>
              </w:rPr>
              <w:t>)</w:t>
            </w:r>
          </w:p>
        </w:tc>
        <w:tc>
          <w:tcPr>
            <w:tcW w:w="1626" w:type="pct"/>
            <w:tcBorders>
              <w:top w:val="single" w:sz="4" w:space="0" w:color="auto"/>
              <w:left w:val="single" w:sz="4" w:space="0" w:color="auto"/>
              <w:bottom w:val="single" w:sz="4" w:space="0" w:color="auto"/>
              <w:right w:val="single" w:sz="4" w:space="0" w:color="auto"/>
            </w:tcBorders>
            <w:hideMark/>
          </w:tcPr>
          <w:p w14:paraId="50AB8A77" w14:textId="77777777" w:rsidR="0022726A" w:rsidRPr="00885F53" w:rsidRDefault="0022726A" w:rsidP="00AB5131">
            <w:pPr>
              <w:pStyle w:val="TAC"/>
              <w:rPr>
                <w:snapToGrid w:val="0"/>
              </w:rPr>
            </w:pPr>
            <w:r w:rsidRPr="00885F53">
              <w:t>5.12</w:t>
            </w:r>
            <w:r w:rsidRPr="00F52E47">
              <w:rPr>
                <w:lang w:val="sv-SE" w:eastAsia="zh-CN"/>
              </w:rPr>
              <w:t xml:space="preserve"> x </w:t>
            </w:r>
            <w:r w:rsidRPr="00F52E47">
              <w:rPr>
                <w:snapToGrid w:val="0"/>
                <w:lang w:val="sv-SE" w:eastAsia="zh-CN"/>
              </w:rPr>
              <w:t>K1</w:t>
            </w:r>
            <w:r w:rsidRPr="00885F53">
              <w:t xml:space="preserve"> (8</w:t>
            </w:r>
            <w:r w:rsidRPr="00F52E47">
              <w:rPr>
                <w:lang w:val="sv-SE" w:eastAsia="zh-CN"/>
              </w:rPr>
              <w:t xml:space="preserve"> x </w:t>
            </w:r>
            <w:r w:rsidRPr="00F52E47">
              <w:rPr>
                <w:snapToGrid w:val="0"/>
                <w:lang w:val="sv-SE" w:eastAsia="zh-CN"/>
              </w:rPr>
              <w:t>K1</w:t>
            </w:r>
            <w:r w:rsidRPr="00885F53">
              <w:t>)</w:t>
            </w:r>
          </w:p>
        </w:tc>
      </w:tr>
      <w:tr w:rsidR="0022726A" w:rsidRPr="00885F53" w14:paraId="61BF40CE" w14:textId="77777777" w:rsidTr="00AE536E">
        <w:trPr>
          <w:cantSplit/>
          <w:jc w:val="center"/>
        </w:trPr>
        <w:tc>
          <w:tcPr>
            <w:tcW w:w="712" w:type="pct"/>
            <w:tcBorders>
              <w:top w:val="single" w:sz="4" w:space="0" w:color="auto"/>
              <w:left w:val="single" w:sz="4" w:space="0" w:color="auto"/>
              <w:bottom w:val="single" w:sz="4" w:space="0" w:color="auto"/>
              <w:right w:val="single" w:sz="4" w:space="0" w:color="auto"/>
            </w:tcBorders>
            <w:hideMark/>
          </w:tcPr>
          <w:p w14:paraId="78528815" w14:textId="77777777" w:rsidR="0022726A" w:rsidRPr="00885F53" w:rsidRDefault="0022726A" w:rsidP="00AB5131">
            <w:pPr>
              <w:pStyle w:val="TAC"/>
              <w:rPr>
                <w:snapToGrid w:val="0"/>
              </w:rPr>
            </w:pPr>
            <w:r w:rsidRPr="00885F53">
              <w:t>1.28</w:t>
            </w:r>
          </w:p>
        </w:tc>
        <w:tc>
          <w:tcPr>
            <w:tcW w:w="1349" w:type="pct"/>
            <w:tcBorders>
              <w:top w:val="single" w:sz="4" w:space="0" w:color="auto"/>
              <w:left w:val="single" w:sz="4" w:space="0" w:color="auto"/>
              <w:bottom w:val="single" w:sz="4" w:space="0" w:color="auto"/>
              <w:right w:val="single" w:sz="4" w:space="0" w:color="auto"/>
            </w:tcBorders>
            <w:hideMark/>
          </w:tcPr>
          <w:p w14:paraId="113B873E" w14:textId="77777777" w:rsidR="0022726A" w:rsidRPr="00885F53" w:rsidRDefault="0022726A" w:rsidP="00AB5131">
            <w:pPr>
              <w:pStyle w:val="TAC"/>
              <w:rPr>
                <w:snapToGrid w:val="0"/>
              </w:rPr>
            </w:pPr>
            <w:r w:rsidRPr="00885F53">
              <w:t>32</w:t>
            </w:r>
            <w:r w:rsidRPr="00F52E47">
              <w:rPr>
                <w:lang w:val="sv-SE" w:eastAsia="zh-CN"/>
              </w:rPr>
              <w:t xml:space="preserve"> x </w:t>
            </w:r>
            <w:r w:rsidRPr="00F52E47">
              <w:rPr>
                <w:snapToGrid w:val="0"/>
                <w:lang w:val="sv-SE" w:eastAsia="zh-CN"/>
              </w:rPr>
              <w:t>K1</w:t>
            </w:r>
            <w:r w:rsidRPr="00885F53">
              <w:t xml:space="preserve"> (25</w:t>
            </w:r>
            <w:r w:rsidRPr="00F52E47">
              <w:rPr>
                <w:lang w:val="sv-SE" w:eastAsia="zh-CN"/>
              </w:rPr>
              <w:t xml:space="preserve"> x </w:t>
            </w:r>
            <w:r w:rsidRPr="00F52E47">
              <w:rPr>
                <w:snapToGrid w:val="0"/>
                <w:lang w:val="sv-SE" w:eastAsia="zh-CN"/>
              </w:rPr>
              <w:t>K1</w:t>
            </w:r>
            <w:r w:rsidRPr="00885F53">
              <w:t>)</w:t>
            </w:r>
          </w:p>
        </w:tc>
        <w:tc>
          <w:tcPr>
            <w:tcW w:w="1313" w:type="pct"/>
            <w:tcBorders>
              <w:top w:val="single" w:sz="4" w:space="0" w:color="auto"/>
              <w:left w:val="single" w:sz="4" w:space="0" w:color="auto"/>
              <w:bottom w:val="single" w:sz="4" w:space="0" w:color="auto"/>
              <w:right w:val="single" w:sz="4" w:space="0" w:color="auto"/>
            </w:tcBorders>
            <w:hideMark/>
          </w:tcPr>
          <w:p w14:paraId="33C00182" w14:textId="77777777" w:rsidR="0022726A" w:rsidRPr="00885F53" w:rsidRDefault="0022726A" w:rsidP="00AB5131">
            <w:pPr>
              <w:pStyle w:val="TAC"/>
              <w:rPr>
                <w:snapToGrid w:val="0"/>
              </w:rPr>
            </w:pPr>
            <w:r w:rsidRPr="00885F53">
              <w:rPr>
                <w:snapToGrid w:val="0"/>
              </w:rPr>
              <w:t>1.28</w:t>
            </w:r>
            <w:r w:rsidRPr="00F52E47">
              <w:rPr>
                <w:lang w:val="sv-SE" w:eastAsia="zh-CN"/>
              </w:rPr>
              <w:t xml:space="preserve"> x </w:t>
            </w:r>
            <w:r w:rsidRPr="00F52E47">
              <w:rPr>
                <w:snapToGrid w:val="0"/>
                <w:lang w:val="sv-SE" w:eastAsia="zh-CN"/>
              </w:rPr>
              <w:t>K1</w:t>
            </w:r>
            <w:r w:rsidRPr="00885F53">
              <w:rPr>
                <w:snapToGrid w:val="0"/>
              </w:rPr>
              <w:t xml:space="preserve"> (1</w:t>
            </w:r>
            <w:r w:rsidRPr="00F52E47">
              <w:rPr>
                <w:lang w:val="sv-SE" w:eastAsia="zh-CN"/>
              </w:rPr>
              <w:t xml:space="preserve"> x </w:t>
            </w:r>
            <w:r w:rsidRPr="00F52E47">
              <w:rPr>
                <w:snapToGrid w:val="0"/>
                <w:lang w:val="sv-SE" w:eastAsia="zh-CN"/>
              </w:rPr>
              <w:t>K1</w:t>
            </w:r>
            <w:r w:rsidRPr="00885F53">
              <w:rPr>
                <w:snapToGrid w:val="0"/>
              </w:rPr>
              <w:t>)</w:t>
            </w:r>
          </w:p>
        </w:tc>
        <w:tc>
          <w:tcPr>
            <w:tcW w:w="1626" w:type="pct"/>
            <w:tcBorders>
              <w:top w:val="single" w:sz="4" w:space="0" w:color="auto"/>
              <w:left w:val="single" w:sz="4" w:space="0" w:color="auto"/>
              <w:bottom w:val="single" w:sz="4" w:space="0" w:color="auto"/>
              <w:right w:val="single" w:sz="4" w:space="0" w:color="auto"/>
            </w:tcBorders>
            <w:hideMark/>
          </w:tcPr>
          <w:p w14:paraId="6806A39A" w14:textId="77777777" w:rsidR="0022726A" w:rsidRPr="00885F53" w:rsidRDefault="0022726A" w:rsidP="00AB5131">
            <w:pPr>
              <w:pStyle w:val="TAC"/>
              <w:rPr>
                <w:snapToGrid w:val="0"/>
              </w:rPr>
            </w:pPr>
            <w:r w:rsidRPr="00885F53">
              <w:t>6.4</w:t>
            </w:r>
            <w:r w:rsidRPr="00F52E47">
              <w:rPr>
                <w:lang w:val="sv-SE" w:eastAsia="zh-CN"/>
              </w:rPr>
              <w:t xml:space="preserve"> x </w:t>
            </w:r>
            <w:r w:rsidRPr="00F52E47">
              <w:rPr>
                <w:snapToGrid w:val="0"/>
                <w:lang w:val="sv-SE" w:eastAsia="zh-CN"/>
              </w:rPr>
              <w:t>K1</w:t>
            </w:r>
            <w:r w:rsidRPr="00885F53">
              <w:t xml:space="preserve"> (5</w:t>
            </w:r>
            <w:r w:rsidRPr="00F52E47">
              <w:rPr>
                <w:lang w:val="sv-SE" w:eastAsia="zh-CN"/>
              </w:rPr>
              <w:t xml:space="preserve"> x </w:t>
            </w:r>
            <w:r w:rsidRPr="00F52E47">
              <w:rPr>
                <w:snapToGrid w:val="0"/>
                <w:lang w:val="sv-SE" w:eastAsia="zh-CN"/>
              </w:rPr>
              <w:t>K1</w:t>
            </w:r>
            <w:r w:rsidRPr="00885F53">
              <w:t>)</w:t>
            </w:r>
          </w:p>
        </w:tc>
      </w:tr>
      <w:tr w:rsidR="0022726A" w:rsidRPr="00885F53" w14:paraId="0B119A3F" w14:textId="77777777" w:rsidTr="00AE536E">
        <w:trPr>
          <w:cantSplit/>
          <w:jc w:val="center"/>
        </w:trPr>
        <w:tc>
          <w:tcPr>
            <w:tcW w:w="712" w:type="pct"/>
            <w:tcBorders>
              <w:top w:val="single" w:sz="4" w:space="0" w:color="auto"/>
              <w:left w:val="single" w:sz="4" w:space="0" w:color="auto"/>
              <w:bottom w:val="single" w:sz="4" w:space="0" w:color="auto"/>
              <w:right w:val="single" w:sz="4" w:space="0" w:color="auto"/>
            </w:tcBorders>
            <w:hideMark/>
          </w:tcPr>
          <w:p w14:paraId="01261454" w14:textId="77777777" w:rsidR="0022726A" w:rsidRPr="00885F53" w:rsidRDefault="0022726A" w:rsidP="00AB5131">
            <w:pPr>
              <w:pStyle w:val="TAC"/>
              <w:rPr>
                <w:snapToGrid w:val="0"/>
              </w:rPr>
            </w:pPr>
            <w:r w:rsidRPr="00885F53">
              <w:t>2.56</w:t>
            </w:r>
          </w:p>
        </w:tc>
        <w:tc>
          <w:tcPr>
            <w:tcW w:w="1349" w:type="pct"/>
            <w:tcBorders>
              <w:top w:val="single" w:sz="4" w:space="0" w:color="auto"/>
              <w:left w:val="single" w:sz="4" w:space="0" w:color="auto"/>
              <w:bottom w:val="single" w:sz="4" w:space="0" w:color="auto"/>
              <w:right w:val="single" w:sz="4" w:space="0" w:color="auto"/>
            </w:tcBorders>
            <w:hideMark/>
          </w:tcPr>
          <w:p w14:paraId="2CE686CD" w14:textId="77777777" w:rsidR="0022726A" w:rsidRPr="000D108A" w:rsidRDefault="0022726A" w:rsidP="00AB5131">
            <w:pPr>
              <w:pStyle w:val="TAC"/>
              <w:rPr>
                <w:snapToGrid w:val="0"/>
              </w:rPr>
            </w:pPr>
            <w:r w:rsidRPr="00D56527">
              <w:t>58.88</w:t>
            </w:r>
            <w:r w:rsidRPr="00D56527">
              <w:rPr>
                <w:lang w:val="sv-SE" w:eastAsia="zh-CN"/>
              </w:rPr>
              <w:t xml:space="preserve"> x </w:t>
            </w:r>
            <w:r w:rsidRPr="00D56527">
              <w:rPr>
                <w:snapToGrid w:val="0"/>
                <w:lang w:val="sv-SE" w:eastAsia="zh-CN"/>
              </w:rPr>
              <w:t>K1</w:t>
            </w:r>
            <w:r w:rsidRPr="000D108A">
              <w:t xml:space="preserve"> (23</w:t>
            </w:r>
            <w:r w:rsidRPr="000D108A">
              <w:rPr>
                <w:lang w:val="sv-SE" w:eastAsia="zh-CN"/>
              </w:rPr>
              <w:t xml:space="preserve"> x </w:t>
            </w:r>
            <w:r w:rsidRPr="000D108A">
              <w:rPr>
                <w:snapToGrid w:val="0"/>
                <w:lang w:val="sv-SE" w:eastAsia="zh-CN"/>
              </w:rPr>
              <w:t>K1</w:t>
            </w:r>
            <w:r w:rsidRPr="000D108A">
              <w:t>)</w:t>
            </w:r>
          </w:p>
        </w:tc>
        <w:tc>
          <w:tcPr>
            <w:tcW w:w="1313" w:type="pct"/>
            <w:tcBorders>
              <w:top w:val="single" w:sz="4" w:space="0" w:color="auto"/>
              <w:left w:val="single" w:sz="4" w:space="0" w:color="auto"/>
              <w:bottom w:val="single" w:sz="4" w:space="0" w:color="auto"/>
              <w:right w:val="single" w:sz="4" w:space="0" w:color="auto"/>
            </w:tcBorders>
            <w:hideMark/>
          </w:tcPr>
          <w:p w14:paraId="22CE275D" w14:textId="0DDA9ADF" w:rsidR="0022726A" w:rsidRPr="00885F53" w:rsidRDefault="0022726A" w:rsidP="00AB5131">
            <w:pPr>
              <w:pStyle w:val="TAC"/>
              <w:rPr>
                <w:snapToGrid w:val="0"/>
              </w:rPr>
            </w:pPr>
            <w:r w:rsidRPr="00885F53">
              <w:rPr>
                <w:snapToGrid w:val="0"/>
              </w:rPr>
              <w:t xml:space="preserve">2.56 </w:t>
            </w:r>
            <w:r w:rsidR="0063214C" w:rsidRPr="00F52E47">
              <w:rPr>
                <w:lang w:val="sv-SE" w:eastAsia="zh-CN"/>
              </w:rPr>
              <w:t xml:space="preserve">x </w:t>
            </w:r>
            <w:r w:rsidR="0063214C" w:rsidRPr="00F52E47">
              <w:rPr>
                <w:snapToGrid w:val="0"/>
                <w:lang w:val="sv-SE" w:eastAsia="zh-CN"/>
              </w:rPr>
              <w:t>K1</w:t>
            </w:r>
            <w:r w:rsidR="0063214C" w:rsidRPr="00885F53">
              <w:rPr>
                <w:snapToGrid w:val="0"/>
              </w:rPr>
              <w:t xml:space="preserve"> </w:t>
            </w:r>
            <w:r w:rsidRPr="00885F53">
              <w:rPr>
                <w:snapToGrid w:val="0"/>
              </w:rPr>
              <w:t>(1</w:t>
            </w:r>
            <w:r w:rsidRPr="00F52E47">
              <w:rPr>
                <w:lang w:val="sv-SE" w:eastAsia="zh-CN"/>
              </w:rPr>
              <w:t xml:space="preserve"> x </w:t>
            </w:r>
            <w:r w:rsidRPr="00F52E47">
              <w:rPr>
                <w:snapToGrid w:val="0"/>
                <w:lang w:val="sv-SE" w:eastAsia="zh-CN"/>
              </w:rPr>
              <w:t>K1</w:t>
            </w:r>
            <w:r w:rsidRPr="00885F53">
              <w:rPr>
                <w:snapToGrid w:val="0"/>
              </w:rPr>
              <w:t>)</w:t>
            </w:r>
          </w:p>
        </w:tc>
        <w:tc>
          <w:tcPr>
            <w:tcW w:w="1626" w:type="pct"/>
            <w:tcBorders>
              <w:top w:val="single" w:sz="4" w:space="0" w:color="auto"/>
              <w:left w:val="single" w:sz="4" w:space="0" w:color="auto"/>
              <w:bottom w:val="single" w:sz="4" w:space="0" w:color="auto"/>
              <w:right w:val="single" w:sz="4" w:space="0" w:color="auto"/>
            </w:tcBorders>
            <w:hideMark/>
          </w:tcPr>
          <w:p w14:paraId="59C8E54D" w14:textId="77777777" w:rsidR="0022726A" w:rsidRPr="00885F53" w:rsidRDefault="0022726A" w:rsidP="00AB5131">
            <w:pPr>
              <w:pStyle w:val="TAC"/>
              <w:rPr>
                <w:snapToGrid w:val="0"/>
              </w:rPr>
            </w:pPr>
            <w:r w:rsidRPr="00885F53">
              <w:t>7.68</w:t>
            </w:r>
            <w:r w:rsidRPr="00F52E47">
              <w:rPr>
                <w:lang w:val="sv-SE" w:eastAsia="zh-CN"/>
              </w:rPr>
              <w:t xml:space="preserve"> x </w:t>
            </w:r>
            <w:r w:rsidRPr="00F52E47">
              <w:rPr>
                <w:snapToGrid w:val="0"/>
                <w:lang w:val="sv-SE" w:eastAsia="zh-CN"/>
              </w:rPr>
              <w:t>K1</w:t>
            </w:r>
            <w:r w:rsidRPr="00885F53">
              <w:t xml:space="preserve"> (3</w:t>
            </w:r>
            <w:r w:rsidRPr="00F52E47">
              <w:rPr>
                <w:lang w:val="sv-SE" w:eastAsia="zh-CN"/>
              </w:rPr>
              <w:t xml:space="preserve"> x </w:t>
            </w:r>
            <w:r w:rsidRPr="00F52E47">
              <w:rPr>
                <w:snapToGrid w:val="0"/>
                <w:lang w:val="sv-SE" w:eastAsia="zh-CN"/>
              </w:rPr>
              <w:t>K1</w:t>
            </w:r>
            <w:r w:rsidRPr="00885F53">
              <w:t>)</w:t>
            </w:r>
          </w:p>
        </w:tc>
      </w:tr>
      <w:tr w:rsidR="0022726A" w:rsidRPr="00885F53" w14:paraId="539F8153" w14:textId="77777777" w:rsidTr="00AE536E">
        <w:trPr>
          <w:cantSplit/>
          <w:jc w:val="center"/>
        </w:trPr>
        <w:tc>
          <w:tcPr>
            <w:tcW w:w="5000" w:type="pct"/>
            <w:gridSpan w:val="4"/>
            <w:tcBorders>
              <w:top w:val="single" w:sz="4" w:space="0" w:color="auto"/>
              <w:left w:val="single" w:sz="4" w:space="0" w:color="auto"/>
              <w:bottom w:val="single" w:sz="4" w:space="0" w:color="auto"/>
              <w:right w:val="single" w:sz="4" w:space="0" w:color="auto"/>
            </w:tcBorders>
          </w:tcPr>
          <w:p w14:paraId="3D5727D2" w14:textId="46186AAF" w:rsidR="0022726A" w:rsidRPr="000D108A" w:rsidRDefault="0022726A" w:rsidP="00AB5131">
            <w:pPr>
              <w:pStyle w:val="TAN"/>
              <w:rPr>
                <w:rFonts w:cs="Arial"/>
              </w:rPr>
            </w:pPr>
            <w:r w:rsidRPr="00FA1949">
              <w:t>Note 1:</w:t>
            </w:r>
            <w:r w:rsidRPr="00FA1949">
              <w:rPr>
                <w:lang w:val="en-US"/>
              </w:rPr>
              <w:tab/>
            </w:r>
            <w:r w:rsidR="00FA1949" w:rsidRPr="00FA1949">
              <w:t xml:space="preserve">K1 = 3 is the measurement relaxation factor applicable for UE fulfilling the </w:t>
            </w:r>
            <w:r w:rsidR="007A4580" w:rsidRPr="001C6668">
              <w:rPr>
                <w:i/>
                <w:iCs/>
                <w:lang w:eastAsia="zh-CN"/>
              </w:rPr>
              <w:t>lowMobilityEvaluation</w:t>
            </w:r>
            <w:r w:rsidR="007A4580" w:rsidRPr="00FA1949" w:rsidDel="003975A9">
              <w:rPr>
                <w:i/>
                <w:iCs/>
              </w:rPr>
              <w:t xml:space="preserve"> </w:t>
            </w:r>
            <w:r w:rsidR="00FA1949" w:rsidRPr="00FA1949">
              <w:t>[2] criterion</w:t>
            </w:r>
            <w:r w:rsidR="00FA1949" w:rsidRPr="000D108A">
              <w:rPr>
                <w:snapToGrid w:val="0"/>
                <w:lang w:eastAsia="zh-CN"/>
              </w:rPr>
              <w:t>.</w:t>
            </w:r>
          </w:p>
        </w:tc>
      </w:tr>
    </w:tbl>
    <w:p w14:paraId="5D7552A9" w14:textId="38F91B17" w:rsidR="0022726A" w:rsidRDefault="0022726A" w:rsidP="0022726A">
      <w:pPr>
        <w:rPr>
          <w:lang w:eastAsia="zh-CN"/>
        </w:rPr>
      </w:pPr>
    </w:p>
    <w:p w14:paraId="231DF23D" w14:textId="77777777" w:rsidR="00D617EC" w:rsidRPr="00043DFE" w:rsidRDefault="00D617EC" w:rsidP="00D617EC">
      <w:pPr>
        <w:pStyle w:val="TH"/>
        <w:rPr>
          <w:lang w:val="en-US"/>
        </w:rPr>
      </w:pPr>
      <w:r w:rsidRPr="00043DFE">
        <w:rPr>
          <w:lang w:val="en-US"/>
        </w:rPr>
        <w:t>Table 4.2.2.11.2-2: T</w:t>
      </w:r>
      <w:r w:rsidRPr="00043DFE">
        <w:rPr>
          <w:vertAlign w:val="subscript"/>
          <w:lang w:val="en-US"/>
        </w:rPr>
        <w:t xml:space="preserve">detect, </w:t>
      </w:r>
      <w:r w:rsidRPr="00043DFE">
        <w:rPr>
          <w:vertAlign w:val="subscript"/>
        </w:rPr>
        <w:t>EUTRAN</w:t>
      </w:r>
      <w:r w:rsidRPr="00043DFE">
        <w:rPr>
          <w:vertAlign w:val="subscript"/>
          <w:lang w:val="en-US"/>
        </w:rPr>
        <w:t>_Relax</w:t>
      </w:r>
      <w:r w:rsidRPr="00043DFE">
        <w:rPr>
          <w:lang w:val="en-US"/>
        </w:rPr>
        <w:t>, T</w:t>
      </w:r>
      <w:r w:rsidRPr="00043DFE">
        <w:rPr>
          <w:vertAlign w:val="subscript"/>
          <w:lang w:val="en-US"/>
        </w:rPr>
        <w:t>measure,</w:t>
      </w:r>
      <w:r w:rsidRPr="00043DFE">
        <w:rPr>
          <w:color w:val="000000"/>
          <w:sz w:val="24"/>
          <w:szCs w:val="24"/>
        </w:rPr>
        <w:t xml:space="preserve"> </w:t>
      </w:r>
      <w:r w:rsidRPr="00043DFE">
        <w:rPr>
          <w:vertAlign w:val="subscript"/>
        </w:rPr>
        <w:t>EUTRAN</w:t>
      </w:r>
      <w:r w:rsidRPr="00043DFE">
        <w:rPr>
          <w:vertAlign w:val="subscript"/>
          <w:lang w:val="en-US"/>
        </w:rPr>
        <w:t xml:space="preserve"> _Relax</w:t>
      </w:r>
      <w:r w:rsidRPr="00043DFE">
        <w:rPr>
          <w:lang w:val="en-US"/>
        </w:rPr>
        <w:t xml:space="preserve"> and T</w:t>
      </w:r>
      <w:r w:rsidRPr="00043DFE">
        <w:rPr>
          <w:vertAlign w:val="subscript"/>
          <w:lang w:val="en-US"/>
        </w:rPr>
        <w:t>evaluate,</w:t>
      </w:r>
      <w:r w:rsidRPr="00043DFE">
        <w:rPr>
          <w:vertAlign w:val="subscript"/>
        </w:rPr>
        <w:t xml:space="preserve"> EUTRAN</w:t>
      </w:r>
      <w:r w:rsidRPr="00043DFE">
        <w:rPr>
          <w:vertAlign w:val="subscript"/>
          <w:lang w:val="en-US"/>
        </w:rPr>
        <w:t xml:space="preserve"> _Relax</w:t>
      </w:r>
      <w:r w:rsidRPr="00043DFE">
        <w:rPr>
          <w:lang w:val="en-US"/>
        </w:rPr>
        <w:t xml:space="preserve"> for UE configured with eDRX_IDLE cycle (Frequency range FR1) 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2567"/>
        <w:gridCol w:w="2630"/>
        <w:gridCol w:w="2616"/>
      </w:tblGrid>
      <w:tr w:rsidR="00D617EC" w:rsidRPr="00043DFE" w14:paraId="69EB98D4" w14:textId="77777777" w:rsidTr="008B107E">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4EE2C588" w14:textId="77777777" w:rsidR="00D617EC" w:rsidRPr="00043DFE" w:rsidRDefault="00D617EC" w:rsidP="008B107E">
            <w:pPr>
              <w:pStyle w:val="TAH"/>
            </w:pPr>
            <w:r w:rsidRPr="00043DFE">
              <w:t>eDRX_IDLE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6CC0D529" w14:textId="77777777" w:rsidR="00D617EC" w:rsidRPr="00043DFE" w:rsidRDefault="00D617EC" w:rsidP="008B107E">
            <w:pPr>
              <w:pStyle w:val="TAH"/>
            </w:pPr>
            <w:r w:rsidRPr="00043DFE">
              <w:rPr>
                <w:szCs w:val="18"/>
                <w:lang w:val="en-US"/>
              </w:rPr>
              <w:t>T</w:t>
            </w:r>
            <w:r w:rsidRPr="00043DFE">
              <w:rPr>
                <w:szCs w:val="18"/>
                <w:vertAlign w:val="subscript"/>
                <w:lang w:val="en-US"/>
              </w:rPr>
              <w:t>detect,</w:t>
            </w:r>
            <w:r w:rsidRPr="00043DFE">
              <w:rPr>
                <w:vertAlign w:val="subscript"/>
              </w:rPr>
              <w:t xml:space="preserve"> EUTRAN</w:t>
            </w:r>
            <w:r w:rsidRPr="00043DFE">
              <w:rPr>
                <w:szCs w:val="18"/>
                <w:vertAlign w:val="subscript"/>
                <w:lang w:val="en-US"/>
              </w:rPr>
              <w:t xml:space="preserve"> _Relax</w:t>
            </w:r>
            <w:r w:rsidRPr="00043DFE">
              <w:rPr>
                <w:szCs w:val="18"/>
              </w:rPr>
              <w:t xml:space="preserve"> [s]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3CBE6F2B" w14:textId="77777777" w:rsidR="00D617EC" w:rsidRPr="00043DFE" w:rsidRDefault="00D617EC" w:rsidP="008B107E">
            <w:pPr>
              <w:pStyle w:val="TAH"/>
            </w:pPr>
            <w:r w:rsidRPr="00043DFE">
              <w:rPr>
                <w:szCs w:val="18"/>
                <w:lang w:val="en-US"/>
              </w:rPr>
              <w:t>T</w:t>
            </w:r>
            <w:r w:rsidRPr="00043DFE">
              <w:rPr>
                <w:szCs w:val="18"/>
                <w:vertAlign w:val="subscript"/>
                <w:lang w:val="en-US"/>
              </w:rPr>
              <w:t>measure,</w:t>
            </w:r>
            <w:r w:rsidRPr="00043DFE">
              <w:rPr>
                <w:vertAlign w:val="subscript"/>
              </w:rPr>
              <w:t xml:space="preserve"> EUTRAN</w:t>
            </w:r>
            <w:r w:rsidRPr="00043DFE">
              <w:rPr>
                <w:szCs w:val="18"/>
                <w:vertAlign w:val="subscript"/>
                <w:lang w:val="en-US"/>
              </w:rPr>
              <w:t xml:space="preserve"> _Relax</w:t>
            </w:r>
            <w:r w:rsidRPr="00043DFE">
              <w:rPr>
                <w:szCs w:val="18"/>
                <w:lang w:val="en-US"/>
              </w:rPr>
              <w:t xml:space="preserve"> </w:t>
            </w:r>
            <w:r w:rsidRPr="00043DFE">
              <w:rPr>
                <w:szCs w:val="18"/>
              </w:rPr>
              <w:t>[s]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BBA666" w14:textId="77777777" w:rsidR="00D617EC" w:rsidRPr="00043DFE" w:rsidRDefault="00D617EC" w:rsidP="008B107E">
            <w:pPr>
              <w:pStyle w:val="TAH"/>
            </w:pPr>
            <w:r w:rsidRPr="00043DFE">
              <w:rPr>
                <w:szCs w:val="18"/>
                <w:lang w:val="en-US"/>
              </w:rPr>
              <w:t>T</w:t>
            </w:r>
            <w:r w:rsidRPr="00043DFE">
              <w:rPr>
                <w:szCs w:val="18"/>
                <w:vertAlign w:val="subscript"/>
                <w:lang w:val="en-US"/>
              </w:rPr>
              <w:t>evaluate,</w:t>
            </w:r>
            <w:r w:rsidRPr="00043DFE">
              <w:rPr>
                <w:vertAlign w:val="subscript"/>
              </w:rPr>
              <w:t xml:space="preserve"> EUTRAN</w:t>
            </w:r>
            <w:r w:rsidRPr="00043DFE">
              <w:rPr>
                <w:szCs w:val="18"/>
                <w:vertAlign w:val="subscript"/>
                <w:lang w:val="en-US"/>
              </w:rPr>
              <w:t xml:space="preserve"> _Relax </w:t>
            </w:r>
            <w:r w:rsidRPr="00043DFE">
              <w:rPr>
                <w:szCs w:val="18"/>
              </w:rPr>
              <w:t>[s] (number of eDRX IDLE cycles)</w:t>
            </w:r>
          </w:p>
        </w:tc>
      </w:tr>
      <w:tr w:rsidR="00D617EC" w:rsidRPr="00043DFE" w14:paraId="70CAF224" w14:textId="77777777" w:rsidTr="008B107E">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2EDF0" w14:textId="77777777" w:rsidR="00D617EC" w:rsidRPr="00043DFE" w:rsidRDefault="00D617EC"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7EB967" w14:textId="77777777" w:rsidR="00D617EC" w:rsidRPr="00043DFE" w:rsidRDefault="00D617EC"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9B5425" w14:textId="77777777" w:rsidR="00D617EC" w:rsidRPr="00043DFE" w:rsidRDefault="00D617EC"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F80455" w14:textId="77777777" w:rsidR="00D617EC" w:rsidRPr="00043DFE" w:rsidRDefault="00D617EC" w:rsidP="008B107E">
            <w:pPr>
              <w:keepNext/>
              <w:keepLines/>
              <w:spacing w:after="0"/>
              <w:jc w:val="center"/>
              <w:rPr>
                <w:rFonts w:ascii="Arial" w:hAnsi="Arial"/>
                <w:b/>
                <w:sz w:val="18"/>
              </w:rPr>
            </w:pPr>
          </w:p>
        </w:tc>
      </w:tr>
      <w:tr w:rsidR="00D617EC" w:rsidRPr="00043DFE" w14:paraId="29D6E871"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4B830EF" w14:textId="77777777" w:rsidR="00D617EC" w:rsidRPr="00043DFE" w:rsidRDefault="00D617EC" w:rsidP="008B107E">
            <w:pPr>
              <w:pStyle w:val="TAC"/>
            </w:pPr>
            <w:r w:rsidRPr="00043DFE">
              <w:t>5.12</w:t>
            </w:r>
          </w:p>
        </w:tc>
        <w:tc>
          <w:tcPr>
            <w:tcW w:w="0" w:type="auto"/>
            <w:tcBorders>
              <w:top w:val="single" w:sz="4" w:space="0" w:color="auto"/>
              <w:left w:val="single" w:sz="4" w:space="0" w:color="auto"/>
              <w:bottom w:val="single" w:sz="4" w:space="0" w:color="auto"/>
              <w:right w:val="single" w:sz="4" w:space="0" w:color="auto"/>
            </w:tcBorders>
            <w:hideMark/>
          </w:tcPr>
          <w:p w14:paraId="193A235C" w14:textId="77777777" w:rsidR="00D617EC" w:rsidRPr="00043DFE" w:rsidRDefault="00D617EC" w:rsidP="008B107E">
            <w:pPr>
              <w:pStyle w:val="TAC"/>
            </w:pPr>
            <w:r w:rsidRPr="00043DFE">
              <w:t>117.76</w:t>
            </w:r>
            <w:r w:rsidRPr="00043DFE">
              <w:rPr>
                <w:lang w:val="sv-SE"/>
              </w:rPr>
              <w:t xml:space="preserve"> x </w:t>
            </w:r>
            <w:r w:rsidRPr="00043DFE">
              <w:t>K1 (23</w:t>
            </w:r>
            <w:r w:rsidRPr="00043DFE">
              <w:rPr>
                <w:lang w:val="sv-SE"/>
              </w:rPr>
              <w:t xml:space="preserve"> x </w:t>
            </w:r>
            <w:r w:rsidRPr="00043DFE">
              <w:t>K1)</w:t>
            </w:r>
          </w:p>
        </w:tc>
        <w:tc>
          <w:tcPr>
            <w:tcW w:w="0" w:type="auto"/>
            <w:tcBorders>
              <w:top w:val="single" w:sz="4" w:space="0" w:color="auto"/>
              <w:left w:val="single" w:sz="4" w:space="0" w:color="auto"/>
              <w:bottom w:val="single" w:sz="4" w:space="0" w:color="auto"/>
              <w:right w:val="single" w:sz="4" w:space="0" w:color="auto"/>
            </w:tcBorders>
            <w:hideMark/>
          </w:tcPr>
          <w:p w14:paraId="666B2E6D" w14:textId="77777777" w:rsidR="00D617EC" w:rsidRPr="00043DFE" w:rsidRDefault="00D617EC" w:rsidP="008B107E">
            <w:pPr>
              <w:pStyle w:val="TAC"/>
            </w:pPr>
            <w:r w:rsidRPr="00043DFE">
              <w:t>5.12</w:t>
            </w:r>
            <w:r w:rsidRPr="00043DFE">
              <w:rPr>
                <w:lang w:val="sv-SE"/>
              </w:rPr>
              <w:t xml:space="preserve"> x </w:t>
            </w:r>
            <w:r w:rsidRPr="00043DFE">
              <w:t>K1 (1</w:t>
            </w:r>
            <w:r w:rsidRPr="00043DFE">
              <w:rPr>
                <w:lang w:val="sv-SE"/>
              </w:rPr>
              <w:t xml:space="preserve"> x </w:t>
            </w:r>
            <w:r w:rsidRPr="00043DFE">
              <w:t>K1)</w:t>
            </w:r>
          </w:p>
        </w:tc>
        <w:tc>
          <w:tcPr>
            <w:tcW w:w="0" w:type="auto"/>
            <w:tcBorders>
              <w:top w:val="single" w:sz="4" w:space="0" w:color="auto"/>
              <w:left w:val="single" w:sz="4" w:space="0" w:color="auto"/>
              <w:bottom w:val="single" w:sz="4" w:space="0" w:color="auto"/>
              <w:right w:val="single" w:sz="4" w:space="0" w:color="auto"/>
            </w:tcBorders>
            <w:hideMark/>
          </w:tcPr>
          <w:p w14:paraId="38E0F9AB" w14:textId="77777777" w:rsidR="00D617EC" w:rsidRPr="00043DFE" w:rsidRDefault="00D617EC" w:rsidP="008B107E">
            <w:pPr>
              <w:pStyle w:val="TAC"/>
            </w:pPr>
            <w:r w:rsidRPr="00043DFE">
              <w:t>10.24</w:t>
            </w:r>
            <w:r w:rsidRPr="00043DFE">
              <w:rPr>
                <w:lang w:val="sv-SE"/>
              </w:rPr>
              <w:t xml:space="preserve"> x </w:t>
            </w:r>
            <w:r w:rsidRPr="00043DFE">
              <w:t>K1 (2</w:t>
            </w:r>
            <w:r w:rsidRPr="00043DFE">
              <w:rPr>
                <w:lang w:val="sv-SE"/>
              </w:rPr>
              <w:t xml:space="preserve"> x </w:t>
            </w:r>
            <w:r w:rsidRPr="00043DFE">
              <w:t>K1)</w:t>
            </w:r>
          </w:p>
        </w:tc>
      </w:tr>
      <w:tr w:rsidR="00D617EC" w:rsidRPr="00043DFE" w14:paraId="3749F9D5"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tcPr>
          <w:p w14:paraId="34A0104B" w14:textId="77777777" w:rsidR="00D617EC" w:rsidRPr="00043DFE" w:rsidRDefault="00D617EC" w:rsidP="008B107E">
            <w:pPr>
              <w:pStyle w:val="TAC"/>
            </w:pPr>
            <w:r w:rsidRPr="00043DFE">
              <w:t>10.24</w:t>
            </w:r>
          </w:p>
        </w:tc>
        <w:tc>
          <w:tcPr>
            <w:tcW w:w="0" w:type="auto"/>
            <w:tcBorders>
              <w:top w:val="single" w:sz="4" w:space="0" w:color="auto"/>
              <w:left w:val="single" w:sz="4" w:space="0" w:color="auto"/>
              <w:bottom w:val="single" w:sz="4" w:space="0" w:color="auto"/>
              <w:right w:val="single" w:sz="4" w:space="0" w:color="auto"/>
            </w:tcBorders>
          </w:tcPr>
          <w:p w14:paraId="7B9DCD88" w14:textId="77777777" w:rsidR="00D617EC" w:rsidRPr="00043DFE" w:rsidRDefault="00D617EC" w:rsidP="008B107E">
            <w:pPr>
              <w:pStyle w:val="TAC"/>
            </w:pPr>
            <w:r w:rsidRPr="00043DFE">
              <w:t>235.52 x K1 (23 x K1)</w:t>
            </w:r>
          </w:p>
        </w:tc>
        <w:tc>
          <w:tcPr>
            <w:tcW w:w="0" w:type="auto"/>
            <w:tcBorders>
              <w:top w:val="single" w:sz="4" w:space="0" w:color="auto"/>
              <w:left w:val="single" w:sz="4" w:space="0" w:color="auto"/>
              <w:bottom w:val="single" w:sz="4" w:space="0" w:color="auto"/>
              <w:right w:val="single" w:sz="4" w:space="0" w:color="auto"/>
            </w:tcBorders>
          </w:tcPr>
          <w:p w14:paraId="6FE2D4C3" w14:textId="77777777" w:rsidR="00D617EC" w:rsidRPr="00043DFE" w:rsidRDefault="00D617EC" w:rsidP="008B107E">
            <w:pPr>
              <w:pStyle w:val="TAC"/>
            </w:pPr>
            <w:r w:rsidRPr="00043DFE">
              <w:t>10.24 x K1 (1 x K1)</w:t>
            </w:r>
          </w:p>
        </w:tc>
        <w:tc>
          <w:tcPr>
            <w:tcW w:w="0" w:type="auto"/>
            <w:tcBorders>
              <w:top w:val="single" w:sz="4" w:space="0" w:color="auto"/>
              <w:left w:val="single" w:sz="4" w:space="0" w:color="auto"/>
              <w:bottom w:val="single" w:sz="4" w:space="0" w:color="auto"/>
              <w:right w:val="single" w:sz="4" w:space="0" w:color="auto"/>
            </w:tcBorders>
          </w:tcPr>
          <w:p w14:paraId="6C092E81" w14:textId="77777777" w:rsidR="00D617EC" w:rsidRPr="00043DFE" w:rsidRDefault="00D617EC" w:rsidP="008B107E">
            <w:pPr>
              <w:pStyle w:val="TAC"/>
            </w:pPr>
            <w:r w:rsidRPr="00043DFE">
              <w:t>20.48 x K1 (2 x K1)</w:t>
            </w:r>
          </w:p>
        </w:tc>
      </w:tr>
      <w:tr w:rsidR="00D617EC" w:rsidRPr="00043DFE" w14:paraId="6C91873D" w14:textId="77777777" w:rsidTr="008B107E">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2C023AAB" w14:textId="77777777" w:rsidR="00D617EC" w:rsidRPr="00043DFE" w:rsidRDefault="00D617EC" w:rsidP="008B107E">
            <w:pPr>
              <w:pStyle w:val="TAN"/>
            </w:pPr>
            <w:r w:rsidRPr="00043DFE">
              <w:rPr>
                <w:snapToGrid w:val="0"/>
              </w:rPr>
              <w:t>Note 1:</w:t>
            </w:r>
            <w:r w:rsidRPr="00043DFE">
              <w:rPr>
                <w:snapToGrid w:val="0"/>
              </w:rPr>
              <w:tab/>
              <w:t xml:space="preserve">K1 = 3 is the measurement relaxation factor applicable for UE fulfilling the </w:t>
            </w:r>
            <w:r w:rsidRPr="00043DFE">
              <w:rPr>
                <w:i/>
                <w:iCs/>
              </w:rPr>
              <w:t>lowMobilityEvaluation</w:t>
            </w:r>
            <w:r w:rsidRPr="00043DFE">
              <w:rPr>
                <w:snapToGrid w:val="0"/>
              </w:rPr>
              <w:t xml:space="preserve"> [2] criterion.</w:t>
            </w:r>
          </w:p>
        </w:tc>
      </w:tr>
    </w:tbl>
    <w:p w14:paraId="25FE1630" w14:textId="77777777" w:rsidR="00D617EC" w:rsidRPr="00043DFE" w:rsidRDefault="00D617EC" w:rsidP="00D617EC">
      <w:pPr>
        <w:rPr>
          <w:noProof/>
        </w:rPr>
      </w:pPr>
    </w:p>
    <w:p w14:paraId="1FA5FFFD" w14:textId="77777777" w:rsidR="00D617EC" w:rsidRPr="00043DFE" w:rsidRDefault="00D617EC" w:rsidP="00D617EC">
      <w:pPr>
        <w:pStyle w:val="TH"/>
        <w:rPr>
          <w:lang w:val="en-US"/>
        </w:rPr>
      </w:pPr>
      <w:r w:rsidRPr="00043DFE">
        <w:rPr>
          <w:lang w:val="en-US"/>
        </w:rPr>
        <w:t>Table 4.2.2.11.2-3: T</w:t>
      </w:r>
      <w:r w:rsidRPr="00043DFE">
        <w:rPr>
          <w:vertAlign w:val="subscript"/>
          <w:lang w:val="en-US"/>
        </w:rPr>
        <w:t>detect,</w:t>
      </w:r>
      <w:r w:rsidRPr="00043DFE">
        <w:rPr>
          <w:vertAlign w:val="subscript"/>
        </w:rPr>
        <w:t xml:space="preserve"> EUTRAN</w:t>
      </w:r>
      <w:r w:rsidRPr="00043DFE">
        <w:rPr>
          <w:vertAlign w:val="subscript"/>
          <w:lang w:val="en-US"/>
        </w:rPr>
        <w:t xml:space="preserve"> _Relax</w:t>
      </w:r>
      <w:r w:rsidRPr="00043DFE">
        <w:rPr>
          <w:lang w:val="en-US"/>
        </w:rPr>
        <w:t>, T</w:t>
      </w:r>
      <w:r w:rsidRPr="00043DFE">
        <w:rPr>
          <w:vertAlign w:val="subscript"/>
          <w:lang w:val="en-US"/>
        </w:rPr>
        <w:t>measure,</w:t>
      </w:r>
      <w:r w:rsidRPr="00043DFE">
        <w:rPr>
          <w:vertAlign w:val="subscript"/>
        </w:rPr>
        <w:t xml:space="preserve"> EUTRAN</w:t>
      </w:r>
      <w:r w:rsidRPr="00043DFE">
        <w:rPr>
          <w:vertAlign w:val="subscript"/>
          <w:lang w:val="en-US"/>
        </w:rPr>
        <w:t xml:space="preserve"> _Relax</w:t>
      </w:r>
      <w:r w:rsidRPr="00043DFE">
        <w:rPr>
          <w:lang w:val="en-US"/>
        </w:rPr>
        <w:t xml:space="preserve"> and T</w:t>
      </w:r>
      <w:r w:rsidRPr="00043DFE">
        <w:rPr>
          <w:vertAlign w:val="subscript"/>
          <w:lang w:val="en-US"/>
        </w:rPr>
        <w:t>evaluate,</w:t>
      </w:r>
      <w:r w:rsidRPr="00043DFE">
        <w:rPr>
          <w:vertAlign w:val="subscript"/>
        </w:rPr>
        <w:t xml:space="preserve"> EUTRAN</w:t>
      </w:r>
      <w:r w:rsidRPr="00043DFE">
        <w:rPr>
          <w:vertAlign w:val="subscript"/>
          <w:lang w:val="en-US"/>
        </w:rPr>
        <w:t xml:space="preserve"> _Relax</w:t>
      </w:r>
      <w:r w:rsidRPr="00043DFE">
        <w:rPr>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756"/>
        <w:gridCol w:w="936"/>
        <w:gridCol w:w="2819"/>
        <w:gridCol w:w="1860"/>
        <w:gridCol w:w="1846"/>
      </w:tblGrid>
      <w:tr w:rsidR="00D617EC" w:rsidRPr="00043DFE" w14:paraId="56542DC4" w14:textId="77777777" w:rsidTr="008B107E">
        <w:trPr>
          <w:trHeight w:val="1692"/>
        </w:trPr>
        <w:tc>
          <w:tcPr>
            <w:tcW w:w="1198" w:type="dxa"/>
            <w:hideMark/>
          </w:tcPr>
          <w:p w14:paraId="3E5A4A80" w14:textId="77777777" w:rsidR="00D617EC" w:rsidRPr="00043DFE" w:rsidRDefault="00D617EC" w:rsidP="008B107E">
            <w:pPr>
              <w:pStyle w:val="TAH"/>
              <w:rPr>
                <w:lang w:val="en-US"/>
              </w:rPr>
            </w:pPr>
            <w:r w:rsidRPr="00043DFE">
              <w:t>eDRX_IDLE cycle length [s]</w:t>
            </w:r>
          </w:p>
        </w:tc>
        <w:tc>
          <w:tcPr>
            <w:tcW w:w="751" w:type="dxa"/>
            <w:hideMark/>
          </w:tcPr>
          <w:p w14:paraId="28E8F62E" w14:textId="77777777" w:rsidR="00D617EC" w:rsidRPr="00043DFE" w:rsidRDefault="00D617EC" w:rsidP="008B107E">
            <w:pPr>
              <w:pStyle w:val="TAH"/>
              <w:rPr>
                <w:lang w:val="en-US"/>
              </w:rPr>
            </w:pPr>
            <w:r w:rsidRPr="00043DFE">
              <w:t>DRX cycle length [s]</w:t>
            </w:r>
          </w:p>
        </w:tc>
        <w:tc>
          <w:tcPr>
            <w:tcW w:w="930" w:type="dxa"/>
            <w:hideMark/>
          </w:tcPr>
          <w:p w14:paraId="0C3908D9" w14:textId="77777777" w:rsidR="00D617EC" w:rsidRPr="00043DFE" w:rsidRDefault="00D617EC" w:rsidP="008B107E">
            <w:pPr>
              <w:pStyle w:val="TAH"/>
              <w:rPr>
                <w:lang w:val="en-US"/>
              </w:rPr>
            </w:pPr>
            <w:r w:rsidRPr="00043DFE">
              <w:t>PTW length [s] (number of 1.28s periods)</w:t>
            </w:r>
          </w:p>
        </w:tc>
        <w:tc>
          <w:tcPr>
            <w:tcW w:w="2431" w:type="dxa"/>
            <w:hideMark/>
          </w:tcPr>
          <w:p w14:paraId="031520E9" w14:textId="77777777" w:rsidR="00D617EC" w:rsidRPr="00043DFE" w:rsidRDefault="00D617EC" w:rsidP="008B107E">
            <w:pPr>
              <w:pStyle w:val="TAH"/>
              <w:rPr>
                <w:szCs w:val="18"/>
                <w:lang w:val="en-US"/>
              </w:rPr>
            </w:pPr>
            <w:r w:rsidRPr="00043DFE">
              <w:rPr>
                <w:szCs w:val="18"/>
                <w:lang w:val="en-US"/>
              </w:rPr>
              <w:t>T</w:t>
            </w:r>
            <w:r w:rsidRPr="00043DFE">
              <w:rPr>
                <w:szCs w:val="18"/>
                <w:vertAlign w:val="subscript"/>
                <w:lang w:val="en-US"/>
              </w:rPr>
              <w:t>detect,</w:t>
            </w:r>
            <w:r w:rsidRPr="00043DFE">
              <w:rPr>
                <w:vertAlign w:val="subscript"/>
              </w:rPr>
              <w:t xml:space="preserve"> </w:t>
            </w:r>
            <w:r w:rsidRPr="00043DFE">
              <w:rPr>
                <w:szCs w:val="18"/>
                <w:vertAlign w:val="subscript"/>
              </w:rPr>
              <w:t>EUTRAN</w:t>
            </w:r>
            <w:r w:rsidRPr="00043DFE">
              <w:rPr>
                <w:szCs w:val="18"/>
                <w:vertAlign w:val="subscript"/>
                <w:lang w:val="en-US"/>
              </w:rPr>
              <w:t xml:space="preserve"> _Relax</w:t>
            </w:r>
            <w:r w:rsidRPr="00043DFE">
              <w:rPr>
                <w:szCs w:val="18"/>
              </w:rPr>
              <w:t xml:space="preserve"> [s] (number of DRX cycles or eDRX cycles </w:t>
            </w:r>
            <w:r w:rsidRPr="00043DFE">
              <w:rPr>
                <w:szCs w:val="18"/>
                <w:vertAlign w:val="superscript"/>
              </w:rPr>
              <w:t>Note 3</w:t>
            </w:r>
            <w:r w:rsidRPr="00043DFE">
              <w:rPr>
                <w:szCs w:val="18"/>
              </w:rPr>
              <w:t>)</w:t>
            </w:r>
          </w:p>
        </w:tc>
        <w:tc>
          <w:tcPr>
            <w:tcW w:w="1860" w:type="dxa"/>
            <w:hideMark/>
          </w:tcPr>
          <w:p w14:paraId="5C9C4756" w14:textId="77777777" w:rsidR="00D617EC" w:rsidRPr="00043DFE" w:rsidRDefault="00D617EC" w:rsidP="008B107E">
            <w:pPr>
              <w:pStyle w:val="TAH"/>
              <w:rPr>
                <w:szCs w:val="18"/>
                <w:lang w:val="en-US"/>
              </w:rPr>
            </w:pPr>
            <w:r w:rsidRPr="00043DFE">
              <w:rPr>
                <w:szCs w:val="18"/>
                <w:lang w:val="en-US"/>
              </w:rPr>
              <w:t>T</w:t>
            </w:r>
            <w:r w:rsidRPr="00043DFE">
              <w:rPr>
                <w:szCs w:val="18"/>
                <w:vertAlign w:val="subscript"/>
                <w:lang w:val="en-US"/>
              </w:rPr>
              <w:t xml:space="preserve">measure, </w:t>
            </w:r>
            <w:r w:rsidRPr="00043DFE">
              <w:rPr>
                <w:szCs w:val="18"/>
                <w:vertAlign w:val="subscript"/>
              </w:rPr>
              <w:t>EUTRAN</w:t>
            </w:r>
            <w:r w:rsidRPr="00043DFE">
              <w:rPr>
                <w:szCs w:val="18"/>
                <w:vertAlign w:val="subscript"/>
                <w:lang w:val="en-US"/>
              </w:rPr>
              <w:t xml:space="preserve"> _Relax</w:t>
            </w:r>
            <w:r w:rsidRPr="00043DFE">
              <w:rPr>
                <w:szCs w:val="18"/>
                <w:lang w:val="en-US"/>
              </w:rPr>
              <w:t xml:space="preserve"> </w:t>
            </w:r>
            <w:r w:rsidRPr="00043DFE">
              <w:rPr>
                <w:szCs w:val="18"/>
              </w:rPr>
              <w:t xml:space="preserve">[s] (number of DRX cycles or eDRX cycles </w:t>
            </w:r>
            <w:r w:rsidRPr="00043DFE">
              <w:rPr>
                <w:szCs w:val="18"/>
                <w:vertAlign w:val="superscript"/>
              </w:rPr>
              <w:t>Note 3</w:t>
            </w:r>
            <w:r w:rsidRPr="00043DFE">
              <w:rPr>
                <w:szCs w:val="18"/>
              </w:rPr>
              <w:t>)</w:t>
            </w:r>
          </w:p>
        </w:tc>
        <w:tc>
          <w:tcPr>
            <w:tcW w:w="1846" w:type="dxa"/>
          </w:tcPr>
          <w:p w14:paraId="72698D07" w14:textId="77777777" w:rsidR="00D617EC" w:rsidRPr="00043DFE" w:rsidRDefault="00D617EC" w:rsidP="008B107E">
            <w:pPr>
              <w:pStyle w:val="TAH"/>
              <w:rPr>
                <w:szCs w:val="18"/>
                <w:lang w:val="en-US"/>
              </w:rPr>
            </w:pPr>
            <w:r w:rsidRPr="00043DFE">
              <w:rPr>
                <w:szCs w:val="18"/>
                <w:lang w:val="en-US"/>
              </w:rPr>
              <w:t>T</w:t>
            </w:r>
            <w:r w:rsidRPr="00043DFE">
              <w:rPr>
                <w:szCs w:val="18"/>
                <w:vertAlign w:val="subscript"/>
                <w:lang w:val="en-US"/>
              </w:rPr>
              <w:t xml:space="preserve">evaluate, </w:t>
            </w:r>
            <w:r w:rsidRPr="00043DFE">
              <w:rPr>
                <w:szCs w:val="18"/>
                <w:vertAlign w:val="subscript"/>
              </w:rPr>
              <w:t>EUTRAN</w:t>
            </w:r>
            <w:r w:rsidRPr="00043DFE">
              <w:rPr>
                <w:szCs w:val="18"/>
                <w:vertAlign w:val="subscript"/>
                <w:lang w:val="en-US"/>
              </w:rPr>
              <w:t xml:space="preserve"> _Relax </w:t>
            </w:r>
            <w:r w:rsidRPr="00043DFE">
              <w:rPr>
                <w:szCs w:val="18"/>
              </w:rPr>
              <w:t xml:space="preserve">[s] (number of DRX cycles or eDRX cycles </w:t>
            </w:r>
            <w:r w:rsidRPr="00043DFE">
              <w:rPr>
                <w:szCs w:val="18"/>
                <w:vertAlign w:val="superscript"/>
              </w:rPr>
              <w:t>Note 3</w:t>
            </w:r>
            <w:r w:rsidRPr="00043DFE">
              <w:rPr>
                <w:szCs w:val="18"/>
              </w:rPr>
              <w:t>)</w:t>
            </w:r>
          </w:p>
        </w:tc>
      </w:tr>
      <w:tr w:rsidR="00D617EC" w:rsidRPr="00043DFE" w14:paraId="1C07BD0E" w14:textId="77777777" w:rsidTr="008B107E">
        <w:trPr>
          <w:trHeight w:val="673"/>
        </w:trPr>
        <w:tc>
          <w:tcPr>
            <w:tcW w:w="1198" w:type="dxa"/>
            <w:tcBorders>
              <w:bottom w:val="nil"/>
            </w:tcBorders>
            <w:hideMark/>
          </w:tcPr>
          <w:p w14:paraId="766CAB84" w14:textId="77777777" w:rsidR="00D617EC" w:rsidRPr="00043DFE" w:rsidRDefault="00D617EC" w:rsidP="008B107E">
            <w:pPr>
              <w:pStyle w:val="TAC"/>
              <w:rPr>
                <w:lang w:val="en-US"/>
              </w:rPr>
            </w:pPr>
            <w:r w:rsidRPr="00043DFE">
              <w:t>20.48 ≤  eDRX_IDLE cycle length ≤[163.84]</w:t>
            </w:r>
          </w:p>
        </w:tc>
        <w:tc>
          <w:tcPr>
            <w:tcW w:w="751" w:type="dxa"/>
            <w:hideMark/>
          </w:tcPr>
          <w:p w14:paraId="41FCD5B3" w14:textId="77777777" w:rsidR="00D617EC" w:rsidRPr="00043DFE" w:rsidRDefault="00D617EC" w:rsidP="008B107E">
            <w:pPr>
              <w:pStyle w:val="TAC"/>
              <w:rPr>
                <w:lang w:val="en-US"/>
              </w:rPr>
            </w:pPr>
            <w:r w:rsidRPr="00043DFE">
              <w:t>0.32</w:t>
            </w:r>
          </w:p>
        </w:tc>
        <w:tc>
          <w:tcPr>
            <w:tcW w:w="930" w:type="dxa"/>
            <w:hideMark/>
          </w:tcPr>
          <w:p w14:paraId="1B9EF97D" w14:textId="77777777" w:rsidR="00D617EC" w:rsidRPr="00043DFE" w:rsidRDefault="00D617EC" w:rsidP="008B107E">
            <w:pPr>
              <w:pStyle w:val="TAC"/>
              <w:rPr>
                <w:lang w:val="en-US"/>
              </w:rPr>
            </w:pPr>
            <w:r w:rsidRPr="00043DFE">
              <w:t>≥</w:t>
            </w:r>
            <w:r w:rsidRPr="00043DFE">
              <w:rPr>
                <w:lang w:val="en-US"/>
              </w:rPr>
              <w:t>[</w:t>
            </w:r>
            <w:r w:rsidRPr="00043DFE">
              <w:t>3.84] ([3])</w:t>
            </w:r>
          </w:p>
        </w:tc>
        <w:tc>
          <w:tcPr>
            <w:tcW w:w="2431" w:type="dxa"/>
            <w:tcBorders>
              <w:bottom w:val="nil"/>
            </w:tcBorders>
            <w:hideMark/>
          </w:tcPr>
          <w:p w14:paraId="3CD5F27F" w14:textId="77777777" w:rsidR="00D617EC" w:rsidRPr="00043DFE" w:rsidRDefault="00D617EC" w:rsidP="008B107E">
            <w:pPr>
              <w:pStyle w:val="TAC"/>
              <w:rPr>
                <w:lang w:val="en-US"/>
              </w:rPr>
            </w:pPr>
            <m:oMathPara>
              <m:oMathParaPr>
                <m:jc m:val="centerGroup"/>
              </m:oMathParaPr>
              <m:oMath>
                <m:r>
                  <w:rPr>
                    <w:rFonts w:ascii="Cambria Math" w:hAnsi="Cambria Math"/>
                    <w:lang w:val="en-US"/>
                  </w:rPr>
                  <m:t>eDRX</m:t>
                </m:r>
                <m:r>
                  <m:rPr>
                    <m:sty m:val="p"/>
                  </m:rPr>
                  <w:rPr>
                    <w:rFonts w:ascii="Cambria Math" w:hAnsi="Cambria Math"/>
                    <w:lang w:val="en-US"/>
                  </w:rPr>
                  <m:t>_</m:t>
                </m:r>
                <m:r>
                  <w:rPr>
                    <w:rFonts w:ascii="Cambria Math" w:hAnsi="Cambria Math"/>
                    <w:lang w:val="en-US"/>
                  </w:rPr>
                  <m:t>cycl</m:t>
                </m:r>
                <m:r>
                  <m:rPr>
                    <m:sty m:val="p"/>
                  </m:rPr>
                  <w:rPr>
                    <w:rFonts w:ascii="Cambria Math" w:hAnsi="Cambria Math"/>
                    <w:lang w:val="en-US"/>
                  </w:rPr>
                  <m:t>e_</m:t>
                </m:r>
                <m:r>
                  <w:rPr>
                    <w:rFonts w:ascii="Cambria Math" w:hAnsi="Cambria Math"/>
                    <w:lang w:val="en-US"/>
                  </w:rPr>
                  <m:t>length×</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23</m:t>
                        </m:r>
                      </m:num>
                      <m:den>
                        <m:r>
                          <w:rPr>
                            <w:rFonts w:ascii="Cambria Math" w:hAnsi="Cambria Math"/>
                            <w:lang w:val="en-US"/>
                          </w:rPr>
                          <m:t>PTW/DRX_cycle_length</m:t>
                        </m:r>
                      </m:den>
                    </m:f>
                  </m:e>
                </m:d>
                <m:r>
                  <m:rPr>
                    <m:sty m:val="p"/>
                  </m:rPr>
                  <w:rPr>
                    <w:rFonts w:ascii="Cambria Math" w:hAnsi="Cambria Math"/>
                    <w:lang w:val="sv-SE"/>
                  </w:rPr>
                  <m:t>x K1</m:t>
                </m:r>
              </m:oMath>
            </m:oMathPara>
          </w:p>
          <w:p w14:paraId="76C4D3EA" w14:textId="77777777" w:rsidR="00D617EC" w:rsidRPr="00043DFE" w:rsidRDefault="00D617EC" w:rsidP="008B107E">
            <w:pPr>
              <w:pStyle w:val="TAC"/>
              <w:rPr>
                <w:lang w:val="en-US"/>
              </w:rPr>
            </w:pPr>
            <w:r w:rsidRPr="00043DFE">
              <w:rPr>
                <w:lang w:val="en-US"/>
              </w:rPr>
              <w:t>(23</w:t>
            </w:r>
            <w:r w:rsidRPr="00043DFE">
              <w:rPr>
                <w:lang w:val="sv-SE"/>
              </w:rPr>
              <w:t xml:space="preserve"> x K1</w:t>
            </w:r>
            <w:r w:rsidRPr="00043DFE">
              <w:rPr>
                <w:lang w:val="en-US"/>
              </w:rPr>
              <w:t>)</w:t>
            </w:r>
          </w:p>
        </w:tc>
        <w:tc>
          <w:tcPr>
            <w:tcW w:w="1860" w:type="dxa"/>
            <w:hideMark/>
          </w:tcPr>
          <w:p w14:paraId="7802B9C8" w14:textId="77777777" w:rsidR="00D617EC" w:rsidRPr="00043DFE" w:rsidRDefault="00D617EC" w:rsidP="008B107E">
            <w:pPr>
              <w:pStyle w:val="TAC"/>
            </w:pPr>
            <w:r w:rsidRPr="00043DFE">
              <w:t>0.32 x K1 (1 x K1)</w:t>
            </w:r>
          </w:p>
        </w:tc>
        <w:tc>
          <w:tcPr>
            <w:tcW w:w="1846" w:type="dxa"/>
          </w:tcPr>
          <w:p w14:paraId="1B9E1E93" w14:textId="77777777" w:rsidR="00D617EC" w:rsidRPr="00043DFE" w:rsidRDefault="00D617EC" w:rsidP="008B107E">
            <w:pPr>
              <w:pStyle w:val="TAC"/>
            </w:pPr>
            <w:r w:rsidRPr="00043DFE">
              <w:t>0.64 x K1 (2 x K1)</w:t>
            </w:r>
          </w:p>
        </w:tc>
      </w:tr>
      <w:tr w:rsidR="00D617EC" w:rsidRPr="00043DFE" w14:paraId="405F8131" w14:textId="77777777" w:rsidTr="008B107E">
        <w:trPr>
          <w:trHeight w:val="336"/>
        </w:trPr>
        <w:tc>
          <w:tcPr>
            <w:tcW w:w="1198" w:type="dxa"/>
            <w:tcBorders>
              <w:top w:val="nil"/>
              <w:bottom w:val="nil"/>
            </w:tcBorders>
            <w:hideMark/>
          </w:tcPr>
          <w:p w14:paraId="6FEC78C8" w14:textId="77777777" w:rsidR="00D617EC" w:rsidRPr="00043DFE" w:rsidRDefault="00D617EC" w:rsidP="008B107E">
            <w:pPr>
              <w:pStyle w:val="TAC"/>
              <w:rPr>
                <w:lang w:val="en-US"/>
              </w:rPr>
            </w:pPr>
          </w:p>
        </w:tc>
        <w:tc>
          <w:tcPr>
            <w:tcW w:w="751" w:type="dxa"/>
            <w:hideMark/>
          </w:tcPr>
          <w:p w14:paraId="5DE2816C" w14:textId="77777777" w:rsidR="00D617EC" w:rsidRPr="00043DFE" w:rsidRDefault="00D617EC" w:rsidP="008B107E">
            <w:pPr>
              <w:pStyle w:val="TAC"/>
              <w:rPr>
                <w:lang w:val="en-US"/>
              </w:rPr>
            </w:pPr>
            <w:r w:rsidRPr="00043DFE">
              <w:t>0.64</w:t>
            </w:r>
          </w:p>
        </w:tc>
        <w:tc>
          <w:tcPr>
            <w:tcW w:w="930" w:type="dxa"/>
            <w:hideMark/>
          </w:tcPr>
          <w:p w14:paraId="558BF44F" w14:textId="77777777" w:rsidR="00D617EC" w:rsidRPr="00043DFE" w:rsidRDefault="00D617EC" w:rsidP="008B107E">
            <w:pPr>
              <w:pStyle w:val="TAC"/>
              <w:rPr>
                <w:lang w:val="en-US"/>
              </w:rPr>
            </w:pPr>
            <w:r w:rsidRPr="00043DFE">
              <w:t>≥</w:t>
            </w:r>
            <w:r w:rsidRPr="00043DFE">
              <w:rPr>
                <w:lang w:val="en-US"/>
              </w:rPr>
              <w:t>[</w:t>
            </w:r>
            <w:r w:rsidRPr="00043DFE">
              <w:t>3.84] ([3])</w:t>
            </w:r>
          </w:p>
        </w:tc>
        <w:tc>
          <w:tcPr>
            <w:tcW w:w="2431" w:type="dxa"/>
            <w:tcBorders>
              <w:top w:val="nil"/>
              <w:bottom w:val="nil"/>
            </w:tcBorders>
            <w:hideMark/>
          </w:tcPr>
          <w:p w14:paraId="75286000" w14:textId="77777777" w:rsidR="00D617EC" w:rsidRPr="00043DFE" w:rsidRDefault="00D617EC" w:rsidP="008B107E">
            <w:pPr>
              <w:pStyle w:val="TAC"/>
              <w:rPr>
                <w:lang w:val="en-US"/>
              </w:rPr>
            </w:pPr>
          </w:p>
        </w:tc>
        <w:tc>
          <w:tcPr>
            <w:tcW w:w="1860" w:type="dxa"/>
            <w:hideMark/>
          </w:tcPr>
          <w:p w14:paraId="28F7D005" w14:textId="77777777" w:rsidR="00D617EC" w:rsidRPr="00043DFE" w:rsidRDefault="00D617EC" w:rsidP="008B107E">
            <w:pPr>
              <w:pStyle w:val="TAC"/>
            </w:pPr>
            <w:r w:rsidRPr="00043DFE">
              <w:t>0.64 x K1 (1 x K1)</w:t>
            </w:r>
          </w:p>
        </w:tc>
        <w:tc>
          <w:tcPr>
            <w:tcW w:w="1846" w:type="dxa"/>
          </w:tcPr>
          <w:p w14:paraId="45F41892" w14:textId="77777777" w:rsidR="00D617EC" w:rsidRPr="00043DFE" w:rsidRDefault="00D617EC" w:rsidP="008B107E">
            <w:pPr>
              <w:pStyle w:val="TAC"/>
            </w:pPr>
            <w:r w:rsidRPr="00043DFE">
              <w:t>1.28 x K1 (2 x K1)</w:t>
            </w:r>
          </w:p>
        </w:tc>
      </w:tr>
      <w:tr w:rsidR="00D617EC" w:rsidRPr="00043DFE" w14:paraId="106CED0D" w14:textId="77777777" w:rsidTr="008B107E">
        <w:trPr>
          <w:trHeight w:val="336"/>
        </w:trPr>
        <w:tc>
          <w:tcPr>
            <w:tcW w:w="1198" w:type="dxa"/>
            <w:tcBorders>
              <w:top w:val="nil"/>
              <w:bottom w:val="nil"/>
            </w:tcBorders>
            <w:hideMark/>
          </w:tcPr>
          <w:p w14:paraId="2AEBFAB6" w14:textId="77777777" w:rsidR="00D617EC" w:rsidRPr="00043DFE" w:rsidRDefault="00D617EC" w:rsidP="008B107E">
            <w:pPr>
              <w:pStyle w:val="TAC"/>
              <w:rPr>
                <w:lang w:val="en-US"/>
              </w:rPr>
            </w:pPr>
          </w:p>
        </w:tc>
        <w:tc>
          <w:tcPr>
            <w:tcW w:w="751" w:type="dxa"/>
            <w:hideMark/>
          </w:tcPr>
          <w:p w14:paraId="39FDDDA7" w14:textId="77777777" w:rsidR="00D617EC" w:rsidRPr="00043DFE" w:rsidRDefault="00D617EC" w:rsidP="008B107E">
            <w:pPr>
              <w:pStyle w:val="TAC"/>
              <w:rPr>
                <w:lang w:val="en-US"/>
              </w:rPr>
            </w:pPr>
            <w:r w:rsidRPr="00043DFE">
              <w:t>1.28</w:t>
            </w:r>
          </w:p>
        </w:tc>
        <w:tc>
          <w:tcPr>
            <w:tcW w:w="930" w:type="dxa"/>
            <w:hideMark/>
          </w:tcPr>
          <w:p w14:paraId="5B2D18B9" w14:textId="77777777" w:rsidR="00D617EC" w:rsidRPr="00043DFE" w:rsidRDefault="00D617EC" w:rsidP="008B107E">
            <w:pPr>
              <w:pStyle w:val="TAC"/>
              <w:rPr>
                <w:lang w:val="en-US"/>
              </w:rPr>
            </w:pPr>
            <w:r w:rsidRPr="00043DFE">
              <w:t>≥[7.68] ([6])</w:t>
            </w:r>
          </w:p>
        </w:tc>
        <w:tc>
          <w:tcPr>
            <w:tcW w:w="2431" w:type="dxa"/>
            <w:tcBorders>
              <w:top w:val="nil"/>
              <w:bottom w:val="nil"/>
            </w:tcBorders>
            <w:hideMark/>
          </w:tcPr>
          <w:p w14:paraId="6C1A4EDD" w14:textId="77777777" w:rsidR="00D617EC" w:rsidRPr="00043DFE" w:rsidRDefault="00D617EC" w:rsidP="008B107E">
            <w:pPr>
              <w:pStyle w:val="TAC"/>
              <w:rPr>
                <w:lang w:val="en-US"/>
              </w:rPr>
            </w:pPr>
          </w:p>
        </w:tc>
        <w:tc>
          <w:tcPr>
            <w:tcW w:w="1860" w:type="dxa"/>
            <w:hideMark/>
          </w:tcPr>
          <w:p w14:paraId="4850766F" w14:textId="77777777" w:rsidR="00D617EC" w:rsidRPr="00043DFE" w:rsidRDefault="00D617EC" w:rsidP="008B107E">
            <w:pPr>
              <w:pStyle w:val="TAC"/>
            </w:pPr>
            <w:r w:rsidRPr="00043DFE">
              <w:t>1.28 x K1 (1 x K1)</w:t>
            </w:r>
          </w:p>
        </w:tc>
        <w:tc>
          <w:tcPr>
            <w:tcW w:w="1846" w:type="dxa"/>
          </w:tcPr>
          <w:p w14:paraId="51DC6DCB" w14:textId="77777777" w:rsidR="00D617EC" w:rsidRPr="00043DFE" w:rsidRDefault="00D617EC" w:rsidP="008B107E">
            <w:pPr>
              <w:pStyle w:val="TAC"/>
            </w:pPr>
            <w:r w:rsidRPr="00043DFE">
              <w:t>2.56 x K1 (2 x K1)</w:t>
            </w:r>
          </w:p>
        </w:tc>
      </w:tr>
      <w:tr w:rsidR="00D617EC" w:rsidRPr="00043DFE" w14:paraId="33601805" w14:textId="77777777" w:rsidTr="008B107E">
        <w:trPr>
          <w:trHeight w:val="336"/>
        </w:trPr>
        <w:tc>
          <w:tcPr>
            <w:tcW w:w="1198" w:type="dxa"/>
            <w:tcBorders>
              <w:top w:val="nil"/>
            </w:tcBorders>
            <w:hideMark/>
          </w:tcPr>
          <w:p w14:paraId="3DCEB934" w14:textId="77777777" w:rsidR="00D617EC" w:rsidRPr="00043DFE" w:rsidRDefault="00D617EC" w:rsidP="008B107E">
            <w:pPr>
              <w:pStyle w:val="TAC"/>
              <w:rPr>
                <w:lang w:val="en-US"/>
              </w:rPr>
            </w:pPr>
          </w:p>
        </w:tc>
        <w:tc>
          <w:tcPr>
            <w:tcW w:w="751" w:type="dxa"/>
            <w:hideMark/>
          </w:tcPr>
          <w:p w14:paraId="3EA3E38C" w14:textId="77777777" w:rsidR="00D617EC" w:rsidRPr="00043DFE" w:rsidRDefault="00D617EC" w:rsidP="008B107E">
            <w:pPr>
              <w:pStyle w:val="TAC"/>
              <w:rPr>
                <w:lang w:val="en-US"/>
              </w:rPr>
            </w:pPr>
            <w:r w:rsidRPr="00043DFE">
              <w:t>2.56</w:t>
            </w:r>
          </w:p>
        </w:tc>
        <w:tc>
          <w:tcPr>
            <w:tcW w:w="930" w:type="dxa"/>
            <w:hideMark/>
          </w:tcPr>
          <w:p w14:paraId="305D3BAA" w14:textId="77777777" w:rsidR="00D617EC" w:rsidRPr="00043DFE" w:rsidRDefault="00D617EC" w:rsidP="008B107E">
            <w:pPr>
              <w:pStyle w:val="TAC"/>
              <w:rPr>
                <w:lang w:val="en-US"/>
              </w:rPr>
            </w:pPr>
            <w:r w:rsidRPr="00043DFE">
              <w:t>≥[15.36] ([12])</w:t>
            </w:r>
          </w:p>
        </w:tc>
        <w:tc>
          <w:tcPr>
            <w:tcW w:w="2431" w:type="dxa"/>
            <w:tcBorders>
              <w:top w:val="nil"/>
            </w:tcBorders>
            <w:hideMark/>
          </w:tcPr>
          <w:p w14:paraId="03C6BF61" w14:textId="77777777" w:rsidR="00D617EC" w:rsidRPr="00043DFE" w:rsidRDefault="00D617EC" w:rsidP="008B107E">
            <w:pPr>
              <w:pStyle w:val="TAC"/>
              <w:rPr>
                <w:lang w:val="en-US"/>
              </w:rPr>
            </w:pPr>
          </w:p>
        </w:tc>
        <w:tc>
          <w:tcPr>
            <w:tcW w:w="1860" w:type="dxa"/>
            <w:hideMark/>
          </w:tcPr>
          <w:p w14:paraId="7AA89ED0" w14:textId="77777777" w:rsidR="00D617EC" w:rsidRPr="00043DFE" w:rsidRDefault="00D617EC" w:rsidP="008B107E">
            <w:pPr>
              <w:pStyle w:val="TAC"/>
            </w:pPr>
            <w:r w:rsidRPr="00043DFE">
              <w:t>2.56 x K1 (1 x K1)</w:t>
            </w:r>
          </w:p>
        </w:tc>
        <w:tc>
          <w:tcPr>
            <w:tcW w:w="1846" w:type="dxa"/>
          </w:tcPr>
          <w:p w14:paraId="31E182B5" w14:textId="77777777" w:rsidR="00D617EC" w:rsidRPr="00043DFE" w:rsidRDefault="00D617EC" w:rsidP="008B107E">
            <w:pPr>
              <w:pStyle w:val="TAC"/>
            </w:pPr>
            <w:r w:rsidRPr="00043DFE">
              <w:t>5.12 x K1 (2 x K1)</w:t>
            </w:r>
          </w:p>
        </w:tc>
      </w:tr>
      <w:tr w:rsidR="00D617EC" w:rsidRPr="00043DFE" w14:paraId="299F2B28" w14:textId="77777777" w:rsidTr="008B107E">
        <w:trPr>
          <w:trHeight w:val="336"/>
        </w:trPr>
        <w:tc>
          <w:tcPr>
            <w:tcW w:w="9016" w:type="dxa"/>
            <w:gridSpan w:val="6"/>
          </w:tcPr>
          <w:p w14:paraId="08864F7C" w14:textId="77777777" w:rsidR="00D617EC" w:rsidRPr="00043DFE" w:rsidRDefault="00D617EC" w:rsidP="008B107E">
            <w:pPr>
              <w:pStyle w:val="TAN"/>
              <w:rPr>
                <w:snapToGrid w:val="0"/>
              </w:rPr>
            </w:pPr>
            <w:r w:rsidRPr="00043DFE">
              <w:rPr>
                <w:snapToGrid w:val="0"/>
              </w:rPr>
              <w:t>Note 1</w:t>
            </w:r>
            <w:r w:rsidRPr="00043DFE">
              <w:t>:</w:t>
            </w:r>
            <w:r w:rsidRPr="00043DFE">
              <w:rPr>
                <w:lang w:val="en-US"/>
              </w:rPr>
              <w:tab/>
            </w:r>
            <w:r w:rsidRPr="00043DFE">
              <w:rPr>
                <w:snapToGrid w:val="0"/>
              </w:rPr>
              <w:t>The number of DRX cycles in this table is given for the DRX cycles within PTWs.</w:t>
            </w:r>
          </w:p>
          <w:p w14:paraId="23A40F75" w14:textId="77777777" w:rsidR="00D617EC" w:rsidRPr="00043DFE" w:rsidRDefault="00D617EC" w:rsidP="008B107E">
            <w:pPr>
              <w:pStyle w:val="TAN"/>
              <w:rPr>
                <w:snapToGrid w:val="0"/>
              </w:rPr>
            </w:pPr>
            <w:r w:rsidRPr="00043DFE">
              <w:rPr>
                <w:snapToGrid w:val="0"/>
              </w:rPr>
              <w:t>Note 2</w:t>
            </w:r>
            <w:r w:rsidRPr="00043DFE">
              <w:t>:</w:t>
            </w:r>
            <w:r w:rsidRPr="00043DFE">
              <w:rPr>
                <w:lang w:val="en-US"/>
              </w:rPr>
              <w:tab/>
            </w:r>
            <w:r w:rsidRPr="00043DFE">
              <w:rPr>
                <w:snapToGrid w:val="0"/>
              </w:rPr>
              <w:t>The eDRX_IDLE cycle lengths are as specified in Section 10.5.5.32 of TS 24.008 [34].</w:t>
            </w:r>
          </w:p>
          <w:p w14:paraId="67F1B2F3" w14:textId="77777777" w:rsidR="00D617EC" w:rsidRPr="00043DFE" w:rsidRDefault="00D617EC" w:rsidP="008B107E">
            <w:pPr>
              <w:pStyle w:val="TAN"/>
              <w:rPr>
                <w:rFonts w:cs="Arial"/>
                <w:iCs/>
              </w:rPr>
            </w:pPr>
            <w:r w:rsidRPr="00043DFE">
              <w:rPr>
                <w:snapToGrid w:val="0"/>
              </w:rPr>
              <w:t>Note</w:t>
            </w:r>
            <w:r w:rsidRPr="00043DFE">
              <w:rPr>
                <w:rFonts w:cs="Arial"/>
              </w:rPr>
              <w:t xml:space="preserve"> 3:</w:t>
            </w:r>
            <w:r w:rsidRPr="00043DFE">
              <w:rPr>
                <w:lang w:val="en-US"/>
              </w:rPr>
              <w:t xml:space="preserve"> </w:t>
            </w:r>
            <w:r w:rsidRPr="00043DFE">
              <w:rPr>
                <w:lang w:val="en-US"/>
              </w:rPr>
              <w:tab/>
            </w:r>
            <w:r w:rsidRPr="00043DFE">
              <w:rPr>
                <w:rFonts w:cs="Arial"/>
              </w:rPr>
              <w:t xml:space="preserve">The lower bound of </w:t>
            </w:r>
            <w:r w:rsidRPr="00043DFE">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sidRPr="00043DFE">
              <w:rPr>
                <w:rFonts w:cs="Arial"/>
                <w:iCs/>
              </w:rPr>
              <w:t>.</w:t>
            </w:r>
          </w:p>
          <w:p w14:paraId="3E6AFE00" w14:textId="77777777" w:rsidR="00D617EC" w:rsidRPr="00043DFE" w:rsidRDefault="00D617EC" w:rsidP="008B107E">
            <w:pPr>
              <w:pStyle w:val="TAN"/>
              <w:rPr>
                <w:snapToGrid w:val="0"/>
              </w:rPr>
            </w:pPr>
            <w:r w:rsidRPr="00043DFE">
              <w:rPr>
                <w:snapToGrid w:val="0"/>
              </w:rPr>
              <w:t>Note 4:</w:t>
            </w:r>
            <w:r w:rsidRPr="00043DFE">
              <w:rPr>
                <w:snapToGrid w:val="0"/>
              </w:rPr>
              <w:tab/>
              <w:t xml:space="preserve">K1 = 3 is the measurement relaxation factor applicable for UE fulfilling the </w:t>
            </w:r>
            <w:r w:rsidRPr="00043DFE">
              <w:rPr>
                <w:i/>
                <w:iCs/>
              </w:rPr>
              <w:t>lowMobilityEvaluation</w:t>
            </w:r>
            <w:r w:rsidRPr="00043DFE">
              <w:rPr>
                <w:snapToGrid w:val="0"/>
              </w:rPr>
              <w:t xml:space="preserve"> [2] criterion.</w:t>
            </w:r>
          </w:p>
        </w:tc>
      </w:tr>
    </w:tbl>
    <w:p w14:paraId="47910FF5" w14:textId="77777777" w:rsidR="00D617EC" w:rsidRPr="00F52E47" w:rsidRDefault="00D617EC" w:rsidP="0022726A">
      <w:pPr>
        <w:rPr>
          <w:lang w:eastAsia="zh-CN"/>
        </w:rPr>
      </w:pPr>
    </w:p>
    <w:p w14:paraId="78F10099" w14:textId="0F0814D7" w:rsidR="0022726A" w:rsidRDefault="0022726A" w:rsidP="0022726A">
      <w:pPr>
        <w:pStyle w:val="Heading5"/>
        <w:rPr>
          <w:lang w:val="en-US" w:eastAsia="zh-CN"/>
        </w:rPr>
      </w:pPr>
      <w:r>
        <w:rPr>
          <w:lang w:val="en-US" w:eastAsia="zh-CN"/>
        </w:rPr>
        <w:t>4.2.2.11.3</w:t>
      </w:r>
      <w:r w:rsidRPr="00885F53">
        <w:rPr>
          <w:lang w:val="en-US" w:eastAsia="zh-CN"/>
        </w:rPr>
        <w:tab/>
      </w:r>
      <w:r>
        <w:rPr>
          <w:lang w:val="en-US" w:eastAsia="zh-CN"/>
        </w:rPr>
        <w:t>Measurements for UE fulfilling with not-at-cell edge criterion</w:t>
      </w:r>
    </w:p>
    <w:p w14:paraId="50B0DA4D" w14:textId="77777777" w:rsidR="0022726A" w:rsidRDefault="0022726A" w:rsidP="0022726A">
      <w:pPr>
        <w:rPr>
          <w:rFonts w:eastAsiaTheme="minorEastAsia"/>
          <w:lang w:eastAsia="zh-CN"/>
        </w:rPr>
      </w:pPr>
      <w:r w:rsidRPr="00885F53">
        <w:rPr>
          <w:lang w:val="en-US" w:eastAsia="zh-CN"/>
        </w:rPr>
        <w:t xml:space="preserve">This clause contains requirements </w:t>
      </w:r>
      <w:r>
        <w:rPr>
          <w:rFonts w:eastAsiaTheme="minorEastAsia"/>
          <w:lang w:eastAsia="zh-CN"/>
        </w:rPr>
        <w:t xml:space="preserve">for measurements on </w:t>
      </w:r>
      <w:r>
        <w:rPr>
          <w:noProof/>
        </w:rPr>
        <w:t>inter-RAT E-UTRAN cells</w:t>
      </w:r>
      <w:r>
        <w:rPr>
          <w:rFonts w:eastAsiaTheme="minorEastAsia"/>
          <w:lang w:eastAsia="zh-CN"/>
        </w:rPr>
        <w:t xml:space="preserve"> provided that:</w:t>
      </w:r>
    </w:p>
    <w:p w14:paraId="7D5E84DA" w14:textId="77777777" w:rsidR="00FA1949" w:rsidRPr="00BE23A5" w:rsidRDefault="00FA1949" w:rsidP="00FA1949">
      <w:pPr>
        <w:pStyle w:val="B10"/>
        <w:rPr>
          <w:lang w:eastAsia="zh-CN"/>
        </w:rPr>
      </w:pPr>
      <w:r>
        <w:rPr>
          <w:lang w:eastAsia="zh-CN"/>
        </w:rPr>
        <w:t>-</w:t>
      </w:r>
      <w:r>
        <w:rPr>
          <w:lang w:eastAsia="zh-CN"/>
        </w:rPr>
        <w:tab/>
      </w:r>
      <w:r w:rsidRPr="00AD77EE">
        <w:rPr>
          <w:lang w:eastAsia="zh-CN"/>
        </w:rPr>
        <w:t xml:space="preserve">T331 timer is not running for EMR measurements on </w:t>
      </w:r>
      <w:r w:rsidRPr="0039265E">
        <w:rPr>
          <w:lang w:eastAsia="zh-CN"/>
        </w:rPr>
        <w:t>inter-RAT E-UTRAN</w:t>
      </w:r>
      <w:r>
        <w:rPr>
          <w:lang w:eastAsia="zh-CN"/>
        </w:rPr>
        <w:t>, and</w:t>
      </w:r>
    </w:p>
    <w:p w14:paraId="2E1B8F97" w14:textId="15A8FF63" w:rsidR="00FA1949" w:rsidRPr="00AD77EE" w:rsidRDefault="00FA1949" w:rsidP="00FA1949">
      <w:pPr>
        <w:pStyle w:val="B10"/>
        <w:rPr>
          <w:lang w:eastAsia="zh-CN"/>
        </w:rPr>
      </w:pPr>
      <w:r>
        <w:rPr>
          <w:lang w:eastAsia="zh-CN"/>
        </w:rPr>
        <w:t>-</w:t>
      </w:r>
      <w:r>
        <w:rPr>
          <w:lang w:eastAsia="zh-CN"/>
        </w:rPr>
        <w:tab/>
      </w:r>
      <w:r w:rsidRPr="000D542C">
        <w:rPr>
          <w:lang w:eastAsia="zh-CN"/>
        </w:rPr>
        <w:t xml:space="preserve">UE is </w:t>
      </w:r>
      <w:r w:rsidRPr="00AD77EE">
        <w:rPr>
          <w:lang w:eastAsia="zh-CN"/>
        </w:rPr>
        <w:t xml:space="preserve">configured with </w:t>
      </w:r>
      <w:r w:rsidRPr="00485479">
        <w:rPr>
          <w:i/>
          <w:iCs/>
          <w:lang w:eastAsia="zh-CN"/>
        </w:rPr>
        <w:t>cellEdgeEvaluation</w:t>
      </w:r>
      <w:r>
        <w:rPr>
          <w:i/>
          <w:iCs/>
          <w:lang w:eastAsia="zh-CN"/>
        </w:rPr>
        <w:t xml:space="preserve"> </w:t>
      </w:r>
      <w:r>
        <w:rPr>
          <w:lang w:eastAsia="zh-CN"/>
        </w:rPr>
        <w:t>[2] criterion</w:t>
      </w:r>
      <w:r w:rsidR="00AA1634">
        <w:rPr>
          <w:lang w:eastAsia="zh-CN"/>
        </w:rPr>
        <w:t xml:space="preserve"> and UE has fulfilled</w:t>
      </w:r>
      <w:r w:rsidRPr="000D542C">
        <w:rPr>
          <w:lang w:eastAsia="zh-CN"/>
        </w:rPr>
        <w:t>,</w:t>
      </w:r>
      <w:r w:rsidRPr="00AD77EE">
        <w:rPr>
          <w:lang w:eastAsia="zh-CN"/>
        </w:rPr>
        <w:t xml:space="preserve"> or </w:t>
      </w:r>
    </w:p>
    <w:p w14:paraId="6B845EEF" w14:textId="6C767F31" w:rsidR="00700837" w:rsidRPr="00AD77EE" w:rsidRDefault="00700837" w:rsidP="00700837">
      <w:pPr>
        <w:pStyle w:val="B10"/>
        <w:rPr>
          <w:lang w:eastAsia="zh-CN"/>
        </w:rPr>
      </w:pPr>
      <w:r>
        <w:rPr>
          <w:lang w:eastAsia="zh-CN"/>
        </w:rPr>
        <w:t>-</w:t>
      </w:r>
      <w:r>
        <w:rPr>
          <w:lang w:eastAsia="zh-CN"/>
        </w:rPr>
        <w:tab/>
      </w:r>
      <w:r w:rsidRPr="000A4CE3">
        <w:rPr>
          <w:lang w:eastAsia="zh-CN"/>
        </w:rPr>
        <w:t xml:space="preserve">UE is configured with </w:t>
      </w:r>
      <w:r w:rsidRPr="00AD77EE">
        <w:rPr>
          <w:lang w:eastAsia="zh-CN"/>
        </w:rPr>
        <w:t xml:space="preserve">both </w:t>
      </w:r>
      <w:r w:rsidR="007A4580" w:rsidRPr="001C6668">
        <w:rPr>
          <w:i/>
          <w:iCs/>
          <w:lang w:eastAsia="zh-CN"/>
        </w:rPr>
        <w:t>lowMobilityEvaluation</w:t>
      </w:r>
      <w:r w:rsidR="007A4580" w:rsidRPr="00485479" w:rsidDel="00AA579A">
        <w:rPr>
          <w:i/>
          <w:iCs/>
          <w:lang w:eastAsia="zh-CN"/>
        </w:rPr>
        <w:t xml:space="preserve"> </w:t>
      </w:r>
      <w:r>
        <w:rPr>
          <w:lang w:eastAsia="zh-CN"/>
        </w:rPr>
        <w:t>[2]</w:t>
      </w:r>
      <w:r w:rsidRPr="00AD77EE">
        <w:rPr>
          <w:lang w:eastAsia="zh-CN"/>
        </w:rPr>
        <w:t xml:space="preserve"> criterion and </w:t>
      </w:r>
      <w:r w:rsidRPr="00485479">
        <w:rPr>
          <w:i/>
          <w:iCs/>
          <w:lang w:eastAsia="zh-CN"/>
        </w:rPr>
        <w:t>cellEdgeEvaluation</w:t>
      </w:r>
      <w:r>
        <w:rPr>
          <w:i/>
          <w:iCs/>
          <w:lang w:eastAsia="zh-CN"/>
        </w:rPr>
        <w:t xml:space="preserve"> </w:t>
      </w:r>
      <w:r>
        <w:rPr>
          <w:lang w:eastAsia="zh-CN"/>
        </w:rPr>
        <w:t>[2]</w:t>
      </w:r>
      <w:r w:rsidRPr="00AD77EE">
        <w:rPr>
          <w:lang w:eastAsia="zh-CN"/>
        </w:rPr>
        <w:t xml:space="preserve"> criterion</w:t>
      </w:r>
      <w:r w:rsidRPr="00D36387">
        <w:rPr>
          <w:lang w:eastAsia="zh-CN"/>
        </w:rPr>
        <w:t xml:space="preserve"> </w:t>
      </w:r>
      <w:r>
        <w:rPr>
          <w:lang w:eastAsia="zh-CN"/>
        </w:rPr>
        <w:t xml:space="preserve">and </w:t>
      </w:r>
      <w:r w:rsidRPr="0061045D">
        <w:rPr>
          <w:i/>
          <w:lang w:eastAsia="zh-CN"/>
        </w:rPr>
        <w:t>combineRelaxedMeasCondition</w:t>
      </w:r>
      <w:r>
        <w:rPr>
          <w:rFonts w:hint="eastAsia"/>
          <w:lang w:eastAsia="zh-CN"/>
        </w:rPr>
        <w:t xml:space="preserve"> </w:t>
      </w:r>
      <w:r>
        <w:rPr>
          <w:lang w:eastAsia="zh-CN"/>
        </w:rPr>
        <w:t>[2] not configured</w:t>
      </w:r>
      <w:r w:rsidRPr="00AD77EE">
        <w:rPr>
          <w:lang w:eastAsia="zh-CN"/>
        </w:rPr>
        <w:t xml:space="preserve">, </w:t>
      </w:r>
      <w:r>
        <w:rPr>
          <w:lang w:eastAsia="zh-CN"/>
        </w:rPr>
        <w:t>and</w:t>
      </w:r>
    </w:p>
    <w:p w14:paraId="7543BB07" w14:textId="3BD5F706" w:rsidR="00FA1949" w:rsidRPr="00AD77EE" w:rsidRDefault="00FA1949" w:rsidP="00FA1949">
      <w:pPr>
        <w:pStyle w:val="B10"/>
        <w:rPr>
          <w:lang w:eastAsia="zh-CN"/>
        </w:rPr>
      </w:pPr>
      <w:r>
        <w:rPr>
          <w:lang w:eastAsia="zh-CN"/>
        </w:rPr>
        <w:t>-</w:t>
      </w:r>
      <w:r>
        <w:rPr>
          <w:lang w:eastAsia="zh-CN"/>
        </w:rPr>
        <w:tab/>
      </w:r>
      <w:r w:rsidRPr="00683333">
        <w:rPr>
          <w:lang w:eastAsia="zh-CN"/>
        </w:rPr>
        <w:t xml:space="preserve">UE </w:t>
      </w:r>
      <w:r w:rsidRPr="00AD77EE">
        <w:rPr>
          <w:lang w:eastAsia="zh-CN"/>
        </w:rPr>
        <w:t>has fulfilled only th</w:t>
      </w:r>
      <w:r>
        <w:rPr>
          <w:lang w:eastAsia="zh-CN"/>
        </w:rPr>
        <w:t xml:space="preserve">e </w:t>
      </w:r>
      <w:r w:rsidRPr="00485479">
        <w:rPr>
          <w:i/>
          <w:iCs/>
          <w:lang w:eastAsia="zh-CN"/>
        </w:rPr>
        <w:t>cellEdgeEvaluation</w:t>
      </w:r>
      <w:r>
        <w:rPr>
          <w:i/>
          <w:iCs/>
          <w:lang w:eastAsia="zh-CN"/>
        </w:rPr>
        <w:t xml:space="preserve"> </w:t>
      </w:r>
      <w:r>
        <w:rPr>
          <w:lang w:eastAsia="zh-CN"/>
        </w:rPr>
        <w:t>[2] criterion.</w:t>
      </w:r>
    </w:p>
    <w:p w14:paraId="7E4E6674" w14:textId="77777777" w:rsidR="007A4580" w:rsidRPr="00AD77EE" w:rsidRDefault="007A4580" w:rsidP="00301B77">
      <w:pPr>
        <w:rPr>
          <w:lang w:eastAsia="zh-CN"/>
        </w:rPr>
      </w:pPr>
      <w:r>
        <w:rPr>
          <w:lang w:eastAsia="zh-CN"/>
        </w:rPr>
        <w:t xml:space="preserve">The UE shall not relax measurements on </w:t>
      </w:r>
      <w:r>
        <w:rPr>
          <w:noProof/>
        </w:rPr>
        <w:t xml:space="preserve">inter-RAT E-UTRAN </w:t>
      </w:r>
      <w:r>
        <w:t>carriers configured for idle mode CA/DC measurements (defined in clause 4.4) while T331</w:t>
      </w:r>
      <w:r w:rsidRPr="00736EB3">
        <w:t xml:space="preserve"> </w:t>
      </w:r>
      <w:r>
        <w:t>is running.</w:t>
      </w:r>
    </w:p>
    <w:p w14:paraId="4B0DABB2" w14:textId="415391AC" w:rsidR="0022726A" w:rsidRDefault="00FA1949" w:rsidP="0022726A">
      <w:pPr>
        <w:rPr>
          <w:noProof/>
        </w:rPr>
      </w:pPr>
      <w:r>
        <w:rPr>
          <w:rFonts w:hint="eastAsia"/>
          <w:noProof/>
          <w:lang w:eastAsia="zh-CN"/>
        </w:rPr>
        <w:t>W</w:t>
      </w:r>
      <w:r w:rsidRPr="00D56527">
        <w:rPr>
          <w:noProof/>
        </w:rPr>
        <w:t xml:space="preserve">hen </w:t>
      </w:r>
      <w:r w:rsidRPr="00734785">
        <w:rPr>
          <w:rFonts w:eastAsiaTheme="minorEastAsia"/>
          <w:lang w:eastAsia="zh-CN"/>
        </w:rPr>
        <w:t xml:space="preserve">Srxlev </w:t>
      </w:r>
      <w:r w:rsidRPr="00691C10">
        <w:t>≤</w:t>
      </w:r>
      <w:r w:rsidRPr="00734785">
        <w:rPr>
          <w:rFonts w:eastAsiaTheme="minorEastAsia"/>
          <w:lang w:eastAsia="zh-CN"/>
        </w:rPr>
        <w:t xml:space="preserve"> S</w:t>
      </w:r>
      <w:r w:rsidRPr="00C15974">
        <w:rPr>
          <w:rFonts w:eastAsiaTheme="minorEastAsia"/>
          <w:vertAlign w:val="subscript"/>
          <w:lang w:eastAsia="zh-CN"/>
        </w:rPr>
        <w:t>nonIntraSearchP</w:t>
      </w:r>
      <w:r w:rsidRPr="00734785">
        <w:rPr>
          <w:rFonts w:eastAsiaTheme="minorEastAsia"/>
          <w:lang w:eastAsia="zh-CN"/>
        </w:rPr>
        <w:t xml:space="preserve"> </w:t>
      </w:r>
      <w:r w:rsidR="00DF3665">
        <w:rPr>
          <w:rFonts w:eastAsiaTheme="minorEastAsia"/>
          <w:lang w:eastAsia="zh-CN"/>
        </w:rPr>
        <w:t>or</w:t>
      </w:r>
      <w:r w:rsidRPr="00734785">
        <w:rPr>
          <w:rFonts w:eastAsiaTheme="minorEastAsia"/>
          <w:lang w:eastAsia="zh-CN"/>
        </w:rPr>
        <w:t xml:space="preserve"> Squal </w:t>
      </w:r>
      <w:r w:rsidRPr="00691C10">
        <w:t>≤</w:t>
      </w:r>
      <w:r w:rsidRPr="00734785">
        <w:rPr>
          <w:rFonts w:eastAsiaTheme="minorEastAsia"/>
          <w:lang w:eastAsia="zh-CN"/>
        </w:rPr>
        <w:t xml:space="preserve"> S</w:t>
      </w:r>
      <w:r w:rsidRPr="00C15974">
        <w:rPr>
          <w:rFonts w:eastAsiaTheme="minorEastAsia"/>
          <w:vertAlign w:val="subscript"/>
          <w:lang w:eastAsia="zh-CN"/>
        </w:rPr>
        <w:t>nonIntraSearchQ</w:t>
      </w:r>
      <w:r w:rsidRPr="00D56527">
        <w:rPr>
          <w:noProof/>
        </w:rPr>
        <w:t xml:space="preserve"> </w:t>
      </w:r>
      <w:r>
        <w:rPr>
          <w:rFonts w:hint="eastAsia"/>
          <w:noProof/>
          <w:lang w:eastAsia="zh-CN"/>
        </w:rPr>
        <w:t>then</w:t>
      </w:r>
      <w:r w:rsidRPr="0089796C">
        <w:rPr>
          <w:noProof/>
        </w:rPr>
        <w:t xml:space="preserve"> </w:t>
      </w:r>
      <w:r>
        <w:rPr>
          <w:noProof/>
        </w:rPr>
        <w:t>t</w:t>
      </w:r>
      <w:r w:rsidRPr="0089796C">
        <w:rPr>
          <w:noProof/>
        </w:rPr>
        <w:t xml:space="preserve">he </w:t>
      </w:r>
      <w:r w:rsidR="0022726A" w:rsidRPr="0089796C">
        <w:rPr>
          <w:noProof/>
        </w:rPr>
        <w:t xml:space="preserve">requirements defined in clause </w:t>
      </w:r>
      <w:r w:rsidR="0022726A">
        <w:t>4.2.2.</w:t>
      </w:r>
      <w:r w:rsidR="00AA1634">
        <w:t>5</w:t>
      </w:r>
      <w:r w:rsidR="00AA1634" w:rsidRPr="0089796C">
        <w:t xml:space="preserve"> </w:t>
      </w:r>
      <w:r w:rsidR="0022726A" w:rsidRPr="0089796C">
        <w:rPr>
          <w:noProof/>
        </w:rPr>
        <w:t xml:space="preserve">apply for this </w:t>
      </w:r>
      <w:r w:rsidR="0063092D">
        <w:rPr>
          <w:noProof/>
        </w:rPr>
        <w:t>clause</w:t>
      </w:r>
      <w:r w:rsidR="0022726A" w:rsidRPr="0089796C">
        <w:rPr>
          <w:noProof/>
        </w:rPr>
        <w:t xml:space="preserve"> </w:t>
      </w:r>
      <w:r w:rsidR="0022726A">
        <w:rPr>
          <w:noProof/>
        </w:rPr>
        <w:t>except that</w:t>
      </w:r>
      <w:r w:rsidR="0022726A" w:rsidRPr="0089796C">
        <w:rPr>
          <w:noProof/>
        </w:rPr>
        <w:t>:</w:t>
      </w:r>
    </w:p>
    <w:p w14:paraId="6680B5E9" w14:textId="69321F0D" w:rsidR="0022726A" w:rsidRDefault="0022726A" w:rsidP="0022726A">
      <w:pPr>
        <w:pStyle w:val="B10"/>
      </w:pPr>
      <w:r w:rsidRPr="0089796C">
        <w:t>-</w:t>
      </w:r>
      <w:r w:rsidRPr="0089796C">
        <w:tab/>
      </w:r>
      <w:r w:rsidRPr="00885F53">
        <w:t>T</w:t>
      </w:r>
      <w:r w:rsidRPr="00885F53">
        <w:rPr>
          <w:vertAlign w:val="subscript"/>
        </w:rPr>
        <w:t>detect,</w:t>
      </w:r>
      <w:r>
        <w:rPr>
          <w:vertAlign w:val="subscript"/>
        </w:rPr>
        <w:t>EUTRAN</w:t>
      </w:r>
      <w:r w:rsidR="007A4580">
        <w:rPr>
          <w:vertAlign w:val="subscript"/>
        </w:rPr>
        <w:t>_Relax</w:t>
      </w:r>
      <w:r w:rsidRPr="00885F53">
        <w:rPr>
          <w:i/>
          <w:vertAlign w:val="subscript"/>
        </w:rPr>
        <w:t xml:space="preserve"> </w:t>
      </w:r>
      <w:r>
        <w:t xml:space="preserve">as specified in </w:t>
      </w:r>
      <w:r w:rsidRPr="00AD77EE">
        <w:t xml:space="preserve">Table </w:t>
      </w:r>
      <w:r>
        <w:t>4.2.2.11.3</w:t>
      </w:r>
      <w:r w:rsidRPr="00AD77EE">
        <w:t>-1.</w:t>
      </w:r>
    </w:p>
    <w:p w14:paraId="72CF9B36" w14:textId="0DE838E9" w:rsidR="0022726A" w:rsidRDefault="0022726A" w:rsidP="0022726A">
      <w:pPr>
        <w:pStyle w:val="B10"/>
      </w:pPr>
      <w:r w:rsidRPr="0089796C">
        <w:t>-</w:t>
      </w:r>
      <w:r w:rsidRPr="0089796C">
        <w:tab/>
      </w:r>
      <w:r w:rsidRPr="00885F53">
        <w:rPr>
          <w:rFonts w:cs="v4.2.0"/>
        </w:rPr>
        <w:t>T</w:t>
      </w:r>
      <w:r w:rsidRPr="00885F53">
        <w:rPr>
          <w:rFonts w:cs="v4.2.0"/>
          <w:vertAlign w:val="subscript"/>
        </w:rPr>
        <w:t>measure,</w:t>
      </w:r>
      <w:r>
        <w:rPr>
          <w:rFonts w:cs="v4.2.0"/>
          <w:vertAlign w:val="subscript"/>
        </w:rPr>
        <w:t>EUTRAN</w:t>
      </w:r>
      <w:r w:rsidR="007A4580">
        <w:rPr>
          <w:vertAlign w:val="subscript"/>
        </w:rPr>
        <w:t>_Relax</w:t>
      </w:r>
      <w:r w:rsidRPr="00885F53">
        <w:rPr>
          <w:rFonts w:cs="v4.2.0"/>
        </w:rPr>
        <w:t xml:space="preserve"> </w:t>
      </w:r>
      <w:r>
        <w:t xml:space="preserve">as specified in </w:t>
      </w:r>
      <w:r w:rsidRPr="00AD77EE">
        <w:t xml:space="preserve">Table </w:t>
      </w:r>
      <w:r>
        <w:t>4.2.2.11.3</w:t>
      </w:r>
      <w:r w:rsidRPr="00AD77EE">
        <w:t>-1.</w:t>
      </w:r>
    </w:p>
    <w:p w14:paraId="21825237" w14:textId="0C6A24EF" w:rsidR="0022726A" w:rsidRDefault="0022726A" w:rsidP="0022726A">
      <w:pPr>
        <w:pStyle w:val="B10"/>
      </w:pPr>
      <w:r w:rsidRPr="00D56527">
        <w:t>-</w:t>
      </w:r>
      <w:r w:rsidRPr="00D56527">
        <w:tab/>
      </w:r>
      <w:r w:rsidRPr="000D108A">
        <w:rPr>
          <w:rFonts w:cs="v4.2.0"/>
        </w:rPr>
        <w:t>T</w:t>
      </w:r>
      <w:r w:rsidRPr="000D108A">
        <w:rPr>
          <w:rFonts w:cs="v4.2.0"/>
          <w:vertAlign w:val="subscript"/>
        </w:rPr>
        <w:t>evaluate,EUTRAN</w:t>
      </w:r>
      <w:r w:rsidR="007A4580">
        <w:rPr>
          <w:vertAlign w:val="subscript"/>
        </w:rPr>
        <w:t>_Relax</w:t>
      </w:r>
      <w:r w:rsidRPr="000D108A">
        <w:rPr>
          <w:rFonts w:cs="v4.2.0"/>
          <w:vertAlign w:val="subscript"/>
        </w:rPr>
        <w:t xml:space="preserve"> </w:t>
      </w:r>
      <w:r w:rsidRPr="000D108A">
        <w:t xml:space="preserve">as specified in Table </w:t>
      </w:r>
      <w:r>
        <w:t>4.2.2.11</w:t>
      </w:r>
      <w:r w:rsidRPr="000D108A">
        <w:t>.3</w:t>
      </w:r>
      <w:r w:rsidRPr="009449C0">
        <w:t>-1.</w:t>
      </w:r>
    </w:p>
    <w:p w14:paraId="5DF25B57" w14:textId="3CB167BE" w:rsidR="007A4580" w:rsidRDefault="007A4580" w:rsidP="007A4580">
      <w:pPr>
        <w:pStyle w:val="B10"/>
        <w:rPr>
          <w:vertAlign w:val="subscript"/>
          <w:lang w:eastAsia="zh-CN"/>
        </w:rPr>
      </w:pPr>
      <w:r>
        <w:rPr>
          <w:rFonts w:hint="eastAsia"/>
          <w:lang w:eastAsia="zh-CN"/>
        </w:rPr>
        <w:t>-</w:t>
      </w:r>
      <w:r>
        <w:rPr>
          <w:lang w:eastAsia="zh-CN"/>
        </w:rPr>
        <w:tab/>
      </w:r>
      <w:r w:rsidRPr="00736EB3">
        <w:t>The UE shall be able to evaluate whether a newly detectable</w:t>
      </w:r>
      <w:r w:rsidRPr="00736EB3">
        <w:rPr>
          <w:lang w:val="en-US" w:eastAsia="zh-CN"/>
        </w:rPr>
        <w:t xml:space="preserve"> </w:t>
      </w:r>
      <w:r w:rsidRPr="000D108A">
        <w:rPr>
          <w:lang w:eastAsia="zh-CN"/>
        </w:rPr>
        <w:t>inter-RAT E-UTRAN</w:t>
      </w:r>
      <w:r w:rsidRPr="00736EB3">
        <w:t xml:space="preserve"> cell meets the reselection criteria defined in TS3</w:t>
      </w:r>
      <w:r w:rsidRPr="00736EB3">
        <w:rPr>
          <w:lang w:eastAsia="zh-CN"/>
        </w:rPr>
        <w:t>8</w:t>
      </w:r>
      <w:r w:rsidRPr="00736EB3">
        <w:t>.304 [1] within N</w:t>
      </w:r>
      <w:r w:rsidRPr="00736EB3">
        <w:rPr>
          <w:vertAlign w:val="subscript"/>
        </w:rPr>
        <w:t>carrier_Relax</w:t>
      </w:r>
      <w:r w:rsidRPr="00736EB3">
        <w:t xml:space="preserve"> * </w:t>
      </w:r>
      <w:r w:rsidRPr="00885F53">
        <w:t>T</w:t>
      </w:r>
      <w:r w:rsidRPr="00885F53">
        <w:rPr>
          <w:vertAlign w:val="subscript"/>
        </w:rPr>
        <w:t>detect,</w:t>
      </w:r>
      <w:r w:rsidRPr="00885F53">
        <w:rPr>
          <w:vertAlign w:val="subscript"/>
          <w:lang w:eastAsia="zh-CN"/>
        </w:rPr>
        <w:t>E</w:t>
      </w:r>
      <w:r w:rsidRPr="00885F53">
        <w:rPr>
          <w:vertAlign w:val="subscript"/>
        </w:rPr>
        <w:t>UTRAN</w:t>
      </w:r>
      <w:r>
        <w:rPr>
          <w:vertAlign w:val="subscript"/>
        </w:rPr>
        <w:t>_Relax</w:t>
      </w:r>
      <w:r w:rsidRPr="00736EB3">
        <w:t xml:space="preserve"> + N</w:t>
      </w:r>
      <w:r w:rsidRPr="00736EB3">
        <w:rPr>
          <w:vertAlign w:val="subscript"/>
        </w:rPr>
        <w:t>carrier_Non_relax</w:t>
      </w:r>
      <w:r w:rsidRPr="00736EB3">
        <w:t xml:space="preserve"> * </w:t>
      </w:r>
      <w:r w:rsidRPr="00885F53">
        <w:t>T</w:t>
      </w:r>
      <w:r w:rsidRPr="00885F53">
        <w:rPr>
          <w:vertAlign w:val="subscript"/>
        </w:rPr>
        <w:t>detect,</w:t>
      </w:r>
      <w:r w:rsidRPr="00885F53">
        <w:rPr>
          <w:vertAlign w:val="subscript"/>
          <w:lang w:eastAsia="zh-CN"/>
        </w:rPr>
        <w:t>E</w:t>
      </w:r>
      <w:r w:rsidRPr="00885F53">
        <w:rPr>
          <w:vertAlign w:val="subscript"/>
        </w:rPr>
        <w:t>UTRAN</w:t>
      </w:r>
      <w:r w:rsidRPr="00E44FB4">
        <w:t xml:space="preserve">. </w:t>
      </w:r>
      <w:r w:rsidRPr="00736EB3">
        <w:t>Cells which have been detected shall be measured at least every N</w:t>
      </w:r>
      <w:r w:rsidRPr="00736EB3">
        <w:rPr>
          <w:vertAlign w:val="subscript"/>
        </w:rPr>
        <w:t>carrier_Relax</w:t>
      </w:r>
      <w:r w:rsidRPr="00736EB3">
        <w:t xml:space="preserve"> * </w:t>
      </w:r>
      <w:r w:rsidRPr="00885F53">
        <w:t>T</w:t>
      </w:r>
      <w:r w:rsidRPr="00885F53">
        <w:rPr>
          <w:vertAlign w:val="subscript"/>
        </w:rPr>
        <w:t>measure,</w:t>
      </w:r>
      <w:r w:rsidRPr="00885F53">
        <w:rPr>
          <w:vertAlign w:val="subscript"/>
          <w:lang w:eastAsia="zh-CN"/>
        </w:rPr>
        <w:t>E</w:t>
      </w:r>
      <w:r w:rsidRPr="00885F53">
        <w:rPr>
          <w:vertAlign w:val="subscript"/>
        </w:rPr>
        <w:t>UTRAN</w:t>
      </w:r>
      <w:r>
        <w:rPr>
          <w:vertAlign w:val="subscript"/>
        </w:rPr>
        <w:t>_Relax</w:t>
      </w:r>
      <w:r w:rsidRPr="00736EB3">
        <w:t xml:space="preserve"> + N</w:t>
      </w:r>
      <w:r w:rsidRPr="00736EB3">
        <w:rPr>
          <w:vertAlign w:val="subscript"/>
        </w:rPr>
        <w:t>carrier_Non_relax</w:t>
      </w:r>
      <w:r w:rsidRPr="00736EB3">
        <w:t xml:space="preserve"> * </w:t>
      </w:r>
      <w:r w:rsidRPr="00885F53">
        <w:t>T</w:t>
      </w:r>
      <w:r w:rsidRPr="00885F53">
        <w:rPr>
          <w:vertAlign w:val="subscript"/>
        </w:rPr>
        <w:t>measure,</w:t>
      </w:r>
      <w:r w:rsidRPr="00885F53">
        <w:rPr>
          <w:vertAlign w:val="subscript"/>
          <w:lang w:eastAsia="zh-CN"/>
        </w:rPr>
        <w:t>E</w:t>
      </w:r>
      <w:r w:rsidRPr="00885F53">
        <w:rPr>
          <w:vertAlign w:val="subscript"/>
        </w:rPr>
        <w:t>UTRAN</w:t>
      </w:r>
      <w:r w:rsidRPr="00736EB3">
        <w:rPr>
          <w:vertAlign w:val="subscript"/>
        </w:rPr>
        <w:t>.</w:t>
      </w:r>
      <w:r>
        <w:rPr>
          <w:rFonts w:hint="eastAsia"/>
          <w:vertAlign w:val="subscript"/>
          <w:lang w:eastAsia="zh-CN"/>
        </w:rPr>
        <w:t xml:space="preserve"> </w:t>
      </w:r>
      <w:r>
        <w:t>T</w:t>
      </w:r>
      <w:r w:rsidRPr="00736EB3">
        <w:t xml:space="preserve">he UE shall be </w:t>
      </w:r>
      <w:r>
        <w:t>able to</w:t>
      </w:r>
      <w:r w:rsidRPr="00736EB3">
        <w:t xml:space="preserve"> evaluat</w:t>
      </w:r>
      <w:r>
        <w:t>e</w:t>
      </w:r>
      <w:r w:rsidRPr="00736EB3">
        <w:t xml:space="preserve"> </w:t>
      </w:r>
      <w:r>
        <w:t xml:space="preserve">that </w:t>
      </w:r>
      <w:r w:rsidRPr="00736EB3">
        <w:t xml:space="preserve">an already identified </w:t>
      </w:r>
      <w:r w:rsidRPr="000D108A">
        <w:rPr>
          <w:lang w:eastAsia="zh-CN"/>
        </w:rPr>
        <w:t>inter-RAT E-UTRAN</w:t>
      </w:r>
      <w:r w:rsidRPr="00736EB3">
        <w:t xml:space="preserve"> cell has met reselection criterion defined in TS 3</w:t>
      </w:r>
      <w:r w:rsidRPr="00736EB3">
        <w:rPr>
          <w:lang w:eastAsia="zh-CN"/>
        </w:rPr>
        <w:t>8</w:t>
      </w:r>
      <w:r w:rsidRPr="00736EB3">
        <w:t>.304 [1] within N</w:t>
      </w:r>
      <w:r>
        <w:rPr>
          <w:vertAlign w:val="subscript"/>
        </w:rPr>
        <w:t>EUTRAN</w:t>
      </w:r>
      <w:r w:rsidRPr="00736EB3">
        <w:rPr>
          <w:vertAlign w:val="subscript"/>
        </w:rPr>
        <w:t xml:space="preserve"> carrier_Relax</w:t>
      </w:r>
      <w:r w:rsidRPr="00736EB3">
        <w:t xml:space="preserve"> * </w:t>
      </w:r>
      <w:r w:rsidRPr="00885F53">
        <w:rPr>
          <w:rFonts w:cs="v4.2.0"/>
        </w:rPr>
        <w:t>T</w:t>
      </w:r>
      <w:r w:rsidRPr="00885F53">
        <w:rPr>
          <w:rFonts w:cs="v4.2.0"/>
          <w:vertAlign w:val="subscript"/>
        </w:rPr>
        <w:t>evaluate,</w:t>
      </w:r>
      <w:r w:rsidRPr="00885F53">
        <w:rPr>
          <w:rFonts w:cs="v4.2.0"/>
          <w:vertAlign w:val="subscript"/>
          <w:lang w:eastAsia="zh-CN"/>
        </w:rPr>
        <w:t>E</w:t>
      </w:r>
      <w:r w:rsidRPr="00885F53">
        <w:rPr>
          <w:rFonts w:cs="v4.2.0"/>
          <w:vertAlign w:val="subscript"/>
        </w:rPr>
        <w:t>UTRAN</w:t>
      </w:r>
      <w:r>
        <w:rPr>
          <w:vertAlign w:val="subscript"/>
        </w:rPr>
        <w:t>_Relax</w:t>
      </w:r>
      <w:r w:rsidRPr="00736EB3">
        <w:t xml:space="preserve"> + N</w:t>
      </w:r>
      <w:r>
        <w:rPr>
          <w:vertAlign w:val="subscript"/>
        </w:rPr>
        <w:t>EUTRAN</w:t>
      </w:r>
      <w:r w:rsidRPr="00736EB3">
        <w:rPr>
          <w:vertAlign w:val="subscript"/>
        </w:rPr>
        <w:t xml:space="preserve"> carrier_Non_relax</w:t>
      </w:r>
      <w:r w:rsidRPr="00736EB3">
        <w:t xml:space="preserve"> * </w:t>
      </w:r>
      <w:r w:rsidRPr="00885F53">
        <w:rPr>
          <w:rFonts w:cs="v4.2.0"/>
        </w:rPr>
        <w:t>T</w:t>
      </w:r>
      <w:r w:rsidRPr="00885F53">
        <w:rPr>
          <w:rFonts w:cs="v4.2.0"/>
          <w:vertAlign w:val="subscript"/>
        </w:rPr>
        <w:t>evaluate,</w:t>
      </w:r>
      <w:r w:rsidRPr="00885F53">
        <w:rPr>
          <w:rFonts w:cs="v4.2.0"/>
          <w:vertAlign w:val="subscript"/>
          <w:lang w:eastAsia="zh-CN"/>
        </w:rPr>
        <w:t>E</w:t>
      </w:r>
      <w:r w:rsidRPr="00885F53">
        <w:rPr>
          <w:rFonts w:cs="v4.2.0"/>
          <w:vertAlign w:val="subscript"/>
        </w:rPr>
        <w:t>UTRAN</w:t>
      </w:r>
      <w:r w:rsidRPr="00736EB3">
        <w:t>.</w:t>
      </w:r>
      <w:r>
        <w:rPr>
          <w:rFonts w:hint="eastAsia"/>
          <w:vertAlign w:val="subscript"/>
          <w:lang w:eastAsia="zh-CN"/>
        </w:rPr>
        <w:t xml:space="preserve"> </w:t>
      </w:r>
    </w:p>
    <w:p w14:paraId="35A71211" w14:textId="1FCBC144" w:rsidR="007A4580" w:rsidRPr="00390C6A" w:rsidRDefault="007A4580" w:rsidP="007A4580">
      <w:pPr>
        <w:pStyle w:val="B10"/>
        <w:rPr>
          <w:lang w:eastAsia="zh-CN"/>
        </w:rPr>
      </w:pPr>
      <w:r w:rsidRPr="00390C6A">
        <w:t>-</w:t>
      </w:r>
      <w:r>
        <w:tab/>
      </w:r>
      <w:r w:rsidRPr="00390C6A">
        <w:t xml:space="preserve">When T331 is running, </w:t>
      </w:r>
    </w:p>
    <w:p w14:paraId="656CDA82" w14:textId="0222A752" w:rsidR="007A4580" w:rsidRPr="00390C6A" w:rsidRDefault="007A4580" w:rsidP="007A4580">
      <w:pPr>
        <w:pStyle w:val="B10"/>
        <w:ind w:left="852"/>
        <w:rPr>
          <w:vertAlign w:val="subscript"/>
        </w:rPr>
      </w:pPr>
      <w:r w:rsidRPr="00390C6A">
        <w:t>-</w:t>
      </w:r>
      <w:r>
        <w:tab/>
      </w:r>
      <w:r w:rsidRPr="00390C6A">
        <w:t>The parameter N</w:t>
      </w:r>
      <w:r w:rsidRPr="00390C6A">
        <w:rPr>
          <w:vertAlign w:val="subscript"/>
        </w:rPr>
        <w:t>carrier_Relax</w:t>
      </w:r>
      <w:r w:rsidRPr="00390C6A">
        <w:t xml:space="preserve"> is the total number of </w:t>
      </w:r>
      <w:r w:rsidRPr="00390C6A">
        <w:rPr>
          <w:lang w:eastAsia="zh-CN"/>
        </w:rPr>
        <w:t>inter-RAT E-UTRAN</w:t>
      </w:r>
      <w:r w:rsidRPr="00390C6A">
        <w:t xml:space="preserve"> carriers not configured for idle mode CA/DC measurements.</w:t>
      </w:r>
    </w:p>
    <w:p w14:paraId="1C07A03E" w14:textId="17116E05" w:rsidR="007A4580" w:rsidRPr="00390C6A" w:rsidRDefault="007A4580" w:rsidP="007A4580">
      <w:pPr>
        <w:pStyle w:val="B10"/>
        <w:ind w:left="852"/>
      </w:pPr>
      <w:r w:rsidRPr="00390C6A">
        <w:t>-</w:t>
      </w:r>
      <w:r>
        <w:tab/>
      </w:r>
      <w:r w:rsidRPr="00390C6A">
        <w:t>The parameter N</w:t>
      </w:r>
      <w:r w:rsidRPr="00390C6A">
        <w:rPr>
          <w:vertAlign w:val="subscript"/>
        </w:rPr>
        <w:t>carrier_Non_relax</w:t>
      </w:r>
      <w:r w:rsidRPr="00390C6A">
        <w:t xml:space="preserve"> is the total number of </w:t>
      </w:r>
      <w:r w:rsidRPr="00390C6A">
        <w:rPr>
          <w:lang w:eastAsia="zh-CN"/>
        </w:rPr>
        <w:t>inter-RAT E-UTRAN</w:t>
      </w:r>
      <w:r w:rsidRPr="00390C6A">
        <w:t xml:space="preserve"> carriers configured for idle mode CA/DC measurements.</w:t>
      </w:r>
    </w:p>
    <w:p w14:paraId="6B9B3D64" w14:textId="3904BC85" w:rsidR="007A4580" w:rsidRPr="00390C6A" w:rsidRDefault="007A4580" w:rsidP="007A4580">
      <w:pPr>
        <w:pStyle w:val="B10"/>
        <w:rPr>
          <w:vertAlign w:val="subscript"/>
        </w:rPr>
      </w:pPr>
      <w:r w:rsidRPr="00390C6A">
        <w:t>-</w:t>
      </w:r>
      <w:r>
        <w:tab/>
      </w:r>
      <w:r w:rsidRPr="00390C6A">
        <w:t xml:space="preserve">When T331 is not running, </w:t>
      </w:r>
    </w:p>
    <w:p w14:paraId="3D8F217C" w14:textId="0E13D77A" w:rsidR="007A4580" w:rsidRPr="00390C6A" w:rsidRDefault="007A4580" w:rsidP="007A4580">
      <w:pPr>
        <w:pStyle w:val="B10"/>
        <w:ind w:left="852"/>
      </w:pPr>
      <w:r w:rsidRPr="00390C6A">
        <w:t>-</w:t>
      </w:r>
      <w:r>
        <w:tab/>
      </w:r>
      <w:r w:rsidRPr="00390C6A">
        <w:t>The parameter N</w:t>
      </w:r>
      <w:r w:rsidRPr="00390C6A">
        <w:rPr>
          <w:vertAlign w:val="subscript"/>
        </w:rPr>
        <w:t>carrier_Relax</w:t>
      </w:r>
      <w:r w:rsidRPr="00390C6A">
        <w:t xml:space="preserve"> is the total number of </w:t>
      </w:r>
      <w:r w:rsidRPr="00390C6A">
        <w:rPr>
          <w:lang w:eastAsia="zh-CN"/>
        </w:rPr>
        <w:t>inter-RAT E-UTRAN</w:t>
      </w:r>
      <w:r w:rsidRPr="00390C6A">
        <w:t xml:space="preserve"> carriers configured for mobility measurements only and the number of </w:t>
      </w:r>
      <w:r w:rsidRPr="00390C6A">
        <w:rPr>
          <w:lang w:eastAsia="zh-CN"/>
        </w:rPr>
        <w:t>inter-RAT E-UTRAN</w:t>
      </w:r>
      <w:r w:rsidRPr="00390C6A">
        <w:t xml:space="preserve"> carriers configured for both mobility measurement and idle mode CA/DC measurements. </w:t>
      </w:r>
    </w:p>
    <w:p w14:paraId="37046B23" w14:textId="2DAF194B" w:rsidR="007A4580" w:rsidRPr="00301B77" w:rsidRDefault="007A4580" w:rsidP="00301B77">
      <w:pPr>
        <w:pStyle w:val="B10"/>
        <w:ind w:leftChars="242" w:left="768"/>
      </w:pPr>
      <w:r w:rsidRPr="00390C6A">
        <w:t>-</w:t>
      </w:r>
      <w:r>
        <w:tab/>
      </w:r>
      <w:r w:rsidRPr="00390C6A">
        <w:t>The parameter N</w:t>
      </w:r>
      <w:r w:rsidRPr="00390C6A">
        <w:rPr>
          <w:vertAlign w:val="subscript"/>
        </w:rPr>
        <w:t>carrier_Non_relax</w:t>
      </w:r>
      <w:r w:rsidRPr="00390C6A">
        <w:t xml:space="preserve"> =0.</w:t>
      </w:r>
    </w:p>
    <w:p w14:paraId="7ADB26C1" w14:textId="77777777" w:rsidR="00835B61" w:rsidRPr="00043DFE" w:rsidRDefault="00835B61" w:rsidP="00835B61">
      <w:pPr>
        <w:rPr>
          <w:lang w:eastAsia="fr-FR"/>
        </w:rPr>
      </w:pPr>
      <w:r w:rsidRPr="00043DFE">
        <w:rPr>
          <w:lang w:eastAsia="fr-FR"/>
        </w:rPr>
        <w:t xml:space="preserve">If the UE is configured with eDRX_IDLE cycle then the requirements in Table 4.2.2.11.3-2 are applicable for eDRX cycle &lt; 10.24 s. </w:t>
      </w:r>
    </w:p>
    <w:p w14:paraId="446AABB4" w14:textId="77777777" w:rsidR="00835B61" w:rsidRPr="00043DFE" w:rsidRDefault="00835B61" w:rsidP="00D60521">
      <w:r w:rsidRPr="00043DFE">
        <w:rPr>
          <w:lang w:eastAsia="fr-FR"/>
        </w:rPr>
        <w:t>If the UE is configured with eDRX_IDLE cycle ≥ 10.24 s, then the requirements in Table 4.2.2.11.3-3</w:t>
      </w:r>
      <w:r w:rsidRPr="00043DFE">
        <w:rPr>
          <w:snapToGrid w:val="0"/>
        </w:rPr>
        <w:t>,</w:t>
      </w:r>
      <w:r w:rsidRPr="00043DFE">
        <w:rPr>
          <w:lang w:eastAsia="fr-FR"/>
        </w:rPr>
        <w:t xml:space="preserve"> apply provided that filtering of a measurement is done within a single PTW and provided that the eDRX cycle is ≤ [163.84] sec and evaluation/measurement time with relaxation on one carrier is not greater than single PTW window length.</w:t>
      </w:r>
    </w:p>
    <w:p w14:paraId="5F47A8F4" w14:textId="4B4A0051" w:rsidR="00FA1949" w:rsidRPr="009449C0" w:rsidRDefault="00835B61" w:rsidP="00835B61">
      <w:pPr>
        <w:rPr>
          <w:noProof/>
        </w:rPr>
      </w:pPr>
      <w:r w:rsidRPr="00043DFE">
        <w:rPr>
          <w:noProof/>
        </w:rPr>
        <w:t>When Srxlev &gt; S</w:t>
      </w:r>
      <w:r w:rsidRPr="00043DFE">
        <w:rPr>
          <w:noProof/>
          <w:vertAlign w:val="subscript"/>
        </w:rPr>
        <w:t>nonIntraSearchP</w:t>
      </w:r>
      <w:r w:rsidRPr="00043DFE">
        <w:rPr>
          <w:noProof/>
        </w:rPr>
        <w:t xml:space="preserve"> and Squal &gt; S</w:t>
      </w:r>
      <w:r w:rsidRPr="00043DFE">
        <w:rPr>
          <w:noProof/>
          <w:vertAlign w:val="subscript"/>
        </w:rPr>
        <w:t>nonIntraSearchQ</w:t>
      </w:r>
      <w:r w:rsidRPr="00043DFE">
        <w:rPr>
          <w:noProof/>
        </w:rPr>
        <w:t xml:space="preserve"> and regardless of whether the UE is configured with </w:t>
      </w:r>
      <w:r w:rsidRPr="00043DFE">
        <w:rPr>
          <w:i/>
          <w:iCs/>
          <w:noProof/>
        </w:rPr>
        <w:t>highPriorityMeasRelax</w:t>
      </w:r>
      <w:r w:rsidRPr="00043DFE">
        <w:rPr>
          <w:noProof/>
        </w:rPr>
        <w:t xml:space="preserve"> [2] or not, the UE shall search for inter-</w:t>
      </w:r>
      <w:r w:rsidRPr="00043DFE">
        <w:rPr>
          <w:rFonts w:hint="eastAsia"/>
          <w:noProof/>
          <w:lang w:eastAsia="zh-CN"/>
        </w:rPr>
        <w:t xml:space="preserve">RAT E-UTRAN </w:t>
      </w:r>
      <w:r w:rsidRPr="00043DFE">
        <w:rPr>
          <w:noProof/>
        </w:rPr>
        <w:t>frequency layers of higher priority at least every T</w:t>
      </w:r>
      <w:r w:rsidRPr="00043DFE">
        <w:rPr>
          <w:noProof/>
          <w:vertAlign w:val="subscript"/>
        </w:rPr>
        <w:t>higher_priority</w:t>
      </w:r>
      <w:r w:rsidRPr="00043DFE">
        <w:rPr>
          <w:noProof/>
        </w:rPr>
        <w:t>_search where T</w:t>
      </w:r>
      <w:r w:rsidRPr="00043DFE">
        <w:rPr>
          <w:noProof/>
          <w:vertAlign w:val="subscript"/>
        </w:rPr>
        <w:t>higher_priority_search</w:t>
      </w:r>
      <w:r w:rsidRPr="00043DFE">
        <w:rPr>
          <w:noProof/>
        </w:rPr>
        <w:t xml:space="preserve"> is described in clause 4.2.2.7.</w:t>
      </w:r>
    </w:p>
    <w:p w14:paraId="1F98DB87" w14:textId="511B413E" w:rsidR="0022726A" w:rsidRPr="00D56527" w:rsidRDefault="0022726A" w:rsidP="0022726A">
      <w:pPr>
        <w:pStyle w:val="TH"/>
        <w:rPr>
          <w:rFonts w:cs="v4.2.0"/>
          <w:vertAlign w:val="subscript"/>
          <w:lang w:eastAsia="zh-CN"/>
        </w:rPr>
      </w:pPr>
      <w:r w:rsidRPr="009449C0">
        <w:rPr>
          <w:snapToGrid w:val="0"/>
        </w:rPr>
        <w:t xml:space="preserve">Table </w:t>
      </w:r>
      <w:r>
        <w:rPr>
          <w:snapToGrid w:val="0"/>
        </w:rPr>
        <w:t>4.2.2.11</w:t>
      </w:r>
      <w:r w:rsidRPr="00CF075A">
        <w:rPr>
          <w:snapToGrid w:val="0"/>
        </w:rPr>
        <w:t xml:space="preserve">.3-1: </w:t>
      </w:r>
      <w:r w:rsidRPr="00CF075A">
        <w:t>T</w:t>
      </w:r>
      <w:r w:rsidRPr="002A0573">
        <w:rPr>
          <w:vertAlign w:val="subscript"/>
        </w:rPr>
        <w:t>detect,</w:t>
      </w:r>
      <w:r w:rsidRPr="002A0573">
        <w:rPr>
          <w:vertAlign w:val="subscript"/>
          <w:lang w:eastAsia="zh-CN"/>
        </w:rPr>
        <w:t>E</w:t>
      </w:r>
      <w:r w:rsidRPr="00D56527">
        <w:rPr>
          <w:vertAlign w:val="subscript"/>
        </w:rPr>
        <w:t>UTRAN</w:t>
      </w:r>
      <w:r w:rsidR="00740A4E">
        <w:rPr>
          <w:vertAlign w:val="subscript"/>
        </w:rPr>
        <w:t>_Relax</w:t>
      </w:r>
      <w:r w:rsidRPr="00D56527">
        <w:rPr>
          <w:snapToGrid w:val="0"/>
        </w:rPr>
        <w:t xml:space="preserve">, </w:t>
      </w:r>
      <w:r w:rsidRPr="00D56527">
        <w:t>T</w:t>
      </w:r>
      <w:r w:rsidRPr="00D56527">
        <w:rPr>
          <w:vertAlign w:val="subscript"/>
        </w:rPr>
        <w:t>measure,</w:t>
      </w:r>
      <w:r w:rsidRPr="00D56527">
        <w:rPr>
          <w:vertAlign w:val="subscript"/>
          <w:lang w:eastAsia="zh-CN"/>
        </w:rPr>
        <w:t>E</w:t>
      </w:r>
      <w:r w:rsidRPr="00D56527">
        <w:rPr>
          <w:vertAlign w:val="subscript"/>
        </w:rPr>
        <w:t>UTRAN</w:t>
      </w:r>
      <w:r w:rsidR="00740A4E">
        <w:rPr>
          <w:vertAlign w:val="subscript"/>
        </w:rPr>
        <w:t>_Relax</w:t>
      </w:r>
      <w:r w:rsidRPr="00D56527">
        <w:rPr>
          <w:vertAlign w:val="subscript"/>
        </w:rPr>
        <w:t>,</w:t>
      </w:r>
      <w:r w:rsidRPr="00D56527">
        <w:t xml:space="preserve"> and </w:t>
      </w:r>
      <w:r w:rsidRPr="00D56527">
        <w:rPr>
          <w:rFonts w:cs="v4.2.0"/>
        </w:rPr>
        <w:t>T</w:t>
      </w:r>
      <w:r w:rsidRPr="00D56527">
        <w:rPr>
          <w:rFonts w:cs="v4.2.0"/>
          <w:vertAlign w:val="subscript"/>
        </w:rPr>
        <w:t>evaluate,</w:t>
      </w:r>
      <w:r w:rsidRPr="00D56527">
        <w:rPr>
          <w:rFonts w:cs="v4.2.0"/>
          <w:vertAlign w:val="subscript"/>
          <w:lang w:eastAsia="zh-CN"/>
        </w:rPr>
        <w:t>E</w:t>
      </w:r>
      <w:r w:rsidRPr="00D56527">
        <w:rPr>
          <w:rFonts w:cs="v4.2.0"/>
          <w:vertAlign w:val="subscript"/>
        </w:rPr>
        <w:t>UTRAN</w:t>
      </w:r>
      <w:r w:rsidR="00740A4E">
        <w:rPr>
          <w:vertAlign w:val="subscript"/>
        </w:rPr>
        <w:t>_Relax</w:t>
      </w:r>
    </w:p>
    <w:tbl>
      <w:tblPr>
        <w:tblW w:w="30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1498"/>
        <w:gridCol w:w="1636"/>
        <w:gridCol w:w="2066"/>
      </w:tblGrid>
      <w:tr w:rsidR="0022726A" w:rsidRPr="00D56527" w14:paraId="4086A8C7" w14:textId="77777777" w:rsidTr="00AE536E">
        <w:trPr>
          <w:cantSplit/>
          <w:jc w:val="center"/>
        </w:trPr>
        <w:tc>
          <w:tcPr>
            <w:tcW w:w="635" w:type="pct"/>
            <w:tcBorders>
              <w:top w:val="single" w:sz="4" w:space="0" w:color="auto"/>
              <w:left w:val="single" w:sz="4" w:space="0" w:color="auto"/>
              <w:bottom w:val="single" w:sz="4" w:space="0" w:color="auto"/>
              <w:right w:val="single" w:sz="4" w:space="0" w:color="auto"/>
            </w:tcBorders>
            <w:hideMark/>
          </w:tcPr>
          <w:p w14:paraId="462A91D3" w14:textId="77777777" w:rsidR="0022726A" w:rsidRPr="00D56527" w:rsidRDefault="0022726A" w:rsidP="00AB5131">
            <w:pPr>
              <w:pStyle w:val="TAH"/>
              <w:rPr>
                <w:rFonts w:cs="Arial"/>
                <w:snapToGrid w:val="0"/>
              </w:rPr>
            </w:pPr>
            <w:r w:rsidRPr="00D56527">
              <w:t>DRX cycle length [s]</w:t>
            </w:r>
          </w:p>
        </w:tc>
        <w:tc>
          <w:tcPr>
            <w:tcW w:w="1258" w:type="pct"/>
            <w:tcBorders>
              <w:top w:val="single" w:sz="4" w:space="0" w:color="auto"/>
              <w:left w:val="single" w:sz="4" w:space="0" w:color="auto"/>
              <w:bottom w:val="single" w:sz="4" w:space="0" w:color="auto"/>
              <w:right w:val="single" w:sz="4" w:space="0" w:color="auto"/>
            </w:tcBorders>
            <w:hideMark/>
          </w:tcPr>
          <w:p w14:paraId="6A2925F0" w14:textId="77777777" w:rsidR="0022726A" w:rsidRPr="00D56527" w:rsidRDefault="0022726A" w:rsidP="00AB5131">
            <w:pPr>
              <w:pStyle w:val="TAH"/>
              <w:rPr>
                <w:rFonts w:cs="Arial"/>
              </w:rPr>
            </w:pPr>
            <w:r w:rsidRPr="00D56527">
              <w:t>T</w:t>
            </w:r>
            <w:r w:rsidRPr="00D56527">
              <w:rPr>
                <w:vertAlign w:val="subscript"/>
              </w:rPr>
              <w:t>detect,EUTRAN</w:t>
            </w:r>
            <w:r w:rsidRPr="00D56527">
              <w:t xml:space="preserve"> [s] (number of DRX cycles)</w:t>
            </w:r>
          </w:p>
        </w:tc>
        <w:tc>
          <w:tcPr>
            <w:tcW w:w="1373" w:type="pct"/>
            <w:tcBorders>
              <w:top w:val="single" w:sz="4" w:space="0" w:color="auto"/>
              <w:left w:val="single" w:sz="4" w:space="0" w:color="auto"/>
              <w:bottom w:val="single" w:sz="4" w:space="0" w:color="auto"/>
              <w:right w:val="single" w:sz="4" w:space="0" w:color="auto"/>
            </w:tcBorders>
            <w:hideMark/>
          </w:tcPr>
          <w:p w14:paraId="47A163AB" w14:textId="77777777" w:rsidR="0022726A" w:rsidRPr="00D56527" w:rsidRDefault="0022726A" w:rsidP="00AB5131">
            <w:pPr>
              <w:pStyle w:val="TAH"/>
              <w:rPr>
                <w:rFonts w:cs="Arial"/>
                <w:snapToGrid w:val="0"/>
              </w:rPr>
            </w:pPr>
            <w:r w:rsidRPr="00D56527">
              <w:t>T</w:t>
            </w:r>
            <w:r w:rsidRPr="00D56527">
              <w:rPr>
                <w:vertAlign w:val="subscript"/>
              </w:rPr>
              <w:t>measure,EUTRAN</w:t>
            </w:r>
            <w:r w:rsidRPr="00D56527">
              <w:t xml:space="preserve"> [s] (number of DRX cycles)</w:t>
            </w:r>
          </w:p>
        </w:tc>
        <w:tc>
          <w:tcPr>
            <w:tcW w:w="1734" w:type="pct"/>
            <w:tcBorders>
              <w:top w:val="single" w:sz="4" w:space="0" w:color="auto"/>
              <w:left w:val="single" w:sz="4" w:space="0" w:color="auto"/>
              <w:bottom w:val="single" w:sz="4" w:space="0" w:color="auto"/>
              <w:right w:val="single" w:sz="4" w:space="0" w:color="auto"/>
            </w:tcBorders>
            <w:hideMark/>
          </w:tcPr>
          <w:p w14:paraId="15797E27" w14:textId="77777777" w:rsidR="0022726A" w:rsidRPr="00D56527" w:rsidRDefault="0022726A" w:rsidP="00AB5131">
            <w:pPr>
              <w:pStyle w:val="TAH"/>
              <w:rPr>
                <w:rFonts w:cs="Arial"/>
                <w:vertAlign w:val="subscript"/>
                <w:lang w:eastAsia="zh-CN"/>
              </w:rPr>
            </w:pPr>
            <w:r w:rsidRPr="00D56527">
              <w:t>T</w:t>
            </w:r>
            <w:r w:rsidRPr="00D56527">
              <w:rPr>
                <w:vertAlign w:val="subscript"/>
              </w:rPr>
              <w:t>evaluate,EUTRAN</w:t>
            </w:r>
          </w:p>
          <w:p w14:paraId="70E94846" w14:textId="77777777" w:rsidR="0022726A" w:rsidRPr="00D56527" w:rsidRDefault="0022726A" w:rsidP="00AB5131">
            <w:pPr>
              <w:pStyle w:val="TAH"/>
              <w:rPr>
                <w:rFonts w:cs="Arial"/>
              </w:rPr>
            </w:pPr>
            <w:r w:rsidRPr="00D56527">
              <w:rPr>
                <w:rFonts w:cs="Arial"/>
              </w:rPr>
              <w:t>[s] (number of DRX cycles)</w:t>
            </w:r>
          </w:p>
        </w:tc>
      </w:tr>
      <w:tr w:rsidR="0022726A" w:rsidRPr="00D56527" w14:paraId="192A156C" w14:textId="77777777" w:rsidTr="00AE536E">
        <w:trPr>
          <w:cantSplit/>
          <w:jc w:val="center"/>
        </w:trPr>
        <w:tc>
          <w:tcPr>
            <w:tcW w:w="635" w:type="pct"/>
            <w:tcBorders>
              <w:top w:val="single" w:sz="4" w:space="0" w:color="auto"/>
              <w:left w:val="single" w:sz="4" w:space="0" w:color="auto"/>
              <w:bottom w:val="single" w:sz="4" w:space="0" w:color="auto"/>
              <w:right w:val="single" w:sz="4" w:space="0" w:color="auto"/>
            </w:tcBorders>
            <w:hideMark/>
          </w:tcPr>
          <w:p w14:paraId="0905C42C" w14:textId="77777777" w:rsidR="0022726A" w:rsidRPr="00D56527" w:rsidRDefault="0022726A" w:rsidP="00AB5131">
            <w:pPr>
              <w:pStyle w:val="TAC"/>
              <w:rPr>
                <w:snapToGrid w:val="0"/>
              </w:rPr>
            </w:pPr>
            <w:r w:rsidRPr="00D56527">
              <w:t>0.32</w:t>
            </w:r>
          </w:p>
        </w:tc>
        <w:tc>
          <w:tcPr>
            <w:tcW w:w="1258" w:type="pct"/>
            <w:tcBorders>
              <w:top w:val="single" w:sz="4" w:space="0" w:color="auto"/>
              <w:left w:val="single" w:sz="4" w:space="0" w:color="auto"/>
              <w:bottom w:val="single" w:sz="4" w:space="0" w:color="auto"/>
              <w:right w:val="single" w:sz="4" w:space="0" w:color="auto"/>
            </w:tcBorders>
            <w:hideMark/>
          </w:tcPr>
          <w:p w14:paraId="3D437259" w14:textId="77777777" w:rsidR="0022726A" w:rsidRPr="000D108A" w:rsidRDefault="0022726A" w:rsidP="00AB5131">
            <w:pPr>
              <w:pStyle w:val="TAC"/>
              <w:rPr>
                <w:snapToGrid w:val="0"/>
              </w:rPr>
            </w:pPr>
            <w:r w:rsidRPr="00D56527">
              <w:t>11.52</w:t>
            </w:r>
            <w:r w:rsidRPr="00D56527">
              <w:rPr>
                <w:lang w:val="sv-SE" w:eastAsia="zh-CN"/>
              </w:rPr>
              <w:t xml:space="preserve"> x </w:t>
            </w:r>
            <w:r w:rsidRPr="00D56527">
              <w:rPr>
                <w:snapToGrid w:val="0"/>
                <w:lang w:val="sv-SE" w:eastAsia="zh-CN"/>
              </w:rPr>
              <w:t>K1</w:t>
            </w:r>
            <w:r w:rsidRPr="00D56527">
              <w:t xml:space="preserve"> (36</w:t>
            </w:r>
            <w:r w:rsidRPr="00D56527">
              <w:rPr>
                <w:lang w:val="sv-SE" w:eastAsia="zh-CN"/>
              </w:rPr>
              <w:t xml:space="preserve"> x </w:t>
            </w:r>
            <w:r w:rsidRPr="00734785">
              <w:rPr>
                <w:snapToGrid w:val="0"/>
                <w:lang w:val="sv-SE" w:eastAsia="zh-CN"/>
              </w:rPr>
              <w:t>K1</w:t>
            </w:r>
            <w:r w:rsidRPr="00D56527">
              <w:t>)</w:t>
            </w:r>
          </w:p>
        </w:tc>
        <w:tc>
          <w:tcPr>
            <w:tcW w:w="1373" w:type="pct"/>
            <w:tcBorders>
              <w:top w:val="single" w:sz="4" w:space="0" w:color="auto"/>
              <w:left w:val="single" w:sz="4" w:space="0" w:color="auto"/>
              <w:bottom w:val="single" w:sz="4" w:space="0" w:color="auto"/>
              <w:right w:val="single" w:sz="4" w:space="0" w:color="auto"/>
            </w:tcBorders>
            <w:hideMark/>
          </w:tcPr>
          <w:p w14:paraId="5F869A2B" w14:textId="77777777" w:rsidR="0022726A" w:rsidRPr="000D108A" w:rsidRDefault="0022726A" w:rsidP="00AB5131">
            <w:pPr>
              <w:pStyle w:val="TAC"/>
              <w:rPr>
                <w:snapToGrid w:val="0"/>
              </w:rPr>
            </w:pPr>
            <w:r w:rsidRPr="000D108A">
              <w:rPr>
                <w:snapToGrid w:val="0"/>
              </w:rPr>
              <w:t>1.28</w:t>
            </w:r>
            <w:r w:rsidRPr="000D108A">
              <w:rPr>
                <w:lang w:val="sv-SE" w:eastAsia="zh-CN"/>
              </w:rPr>
              <w:t xml:space="preserve"> x </w:t>
            </w:r>
            <w:r w:rsidRPr="00734785">
              <w:rPr>
                <w:snapToGrid w:val="0"/>
                <w:lang w:val="sv-SE" w:eastAsia="zh-CN"/>
              </w:rPr>
              <w:t>K1</w:t>
            </w:r>
            <w:r w:rsidRPr="00D56527">
              <w:rPr>
                <w:snapToGrid w:val="0"/>
              </w:rPr>
              <w:t xml:space="preserve"> (4</w:t>
            </w:r>
            <w:r w:rsidRPr="000D108A">
              <w:rPr>
                <w:lang w:val="sv-SE" w:eastAsia="zh-CN"/>
              </w:rPr>
              <w:t xml:space="preserve"> x </w:t>
            </w:r>
            <w:r w:rsidRPr="00734785">
              <w:rPr>
                <w:snapToGrid w:val="0"/>
                <w:lang w:val="sv-SE" w:eastAsia="zh-CN"/>
              </w:rPr>
              <w:t>K1</w:t>
            </w:r>
            <w:r w:rsidRPr="00D56527">
              <w:rPr>
                <w:snapToGrid w:val="0"/>
              </w:rPr>
              <w:t>)</w:t>
            </w:r>
          </w:p>
        </w:tc>
        <w:tc>
          <w:tcPr>
            <w:tcW w:w="1734" w:type="pct"/>
            <w:tcBorders>
              <w:top w:val="single" w:sz="4" w:space="0" w:color="auto"/>
              <w:left w:val="single" w:sz="4" w:space="0" w:color="auto"/>
              <w:bottom w:val="single" w:sz="4" w:space="0" w:color="auto"/>
              <w:right w:val="single" w:sz="4" w:space="0" w:color="auto"/>
            </w:tcBorders>
            <w:hideMark/>
          </w:tcPr>
          <w:p w14:paraId="49D55BA8" w14:textId="77777777" w:rsidR="0022726A" w:rsidRPr="000D108A" w:rsidRDefault="0022726A" w:rsidP="00AB5131">
            <w:pPr>
              <w:pStyle w:val="TAC"/>
              <w:rPr>
                <w:snapToGrid w:val="0"/>
              </w:rPr>
            </w:pPr>
            <w:r w:rsidRPr="000D108A">
              <w:t>5.12</w:t>
            </w:r>
            <w:r w:rsidRPr="000D108A">
              <w:rPr>
                <w:lang w:val="sv-SE" w:eastAsia="zh-CN"/>
              </w:rPr>
              <w:t xml:space="preserve"> x </w:t>
            </w:r>
            <w:r w:rsidRPr="00734785">
              <w:rPr>
                <w:snapToGrid w:val="0"/>
                <w:lang w:val="sv-SE" w:eastAsia="zh-CN"/>
              </w:rPr>
              <w:t>K1</w:t>
            </w:r>
            <w:r w:rsidRPr="00D56527">
              <w:t xml:space="preserve"> (16</w:t>
            </w:r>
            <w:r w:rsidRPr="000D108A">
              <w:rPr>
                <w:lang w:val="sv-SE" w:eastAsia="zh-CN"/>
              </w:rPr>
              <w:t xml:space="preserve"> x </w:t>
            </w:r>
            <w:r w:rsidRPr="00734785">
              <w:rPr>
                <w:snapToGrid w:val="0"/>
                <w:lang w:val="sv-SE" w:eastAsia="zh-CN"/>
              </w:rPr>
              <w:t>K1</w:t>
            </w:r>
            <w:r w:rsidRPr="00D56527">
              <w:t>)</w:t>
            </w:r>
          </w:p>
        </w:tc>
      </w:tr>
      <w:tr w:rsidR="0022726A" w:rsidRPr="00D56527" w14:paraId="49D4D0E8" w14:textId="77777777" w:rsidTr="00AE536E">
        <w:trPr>
          <w:cantSplit/>
          <w:jc w:val="center"/>
        </w:trPr>
        <w:tc>
          <w:tcPr>
            <w:tcW w:w="635" w:type="pct"/>
            <w:tcBorders>
              <w:top w:val="single" w:sz="4" w:space="0" w:color="auto"/>
              <w:left w:val="single" w:sz="4" w:space="0" w:color="auto"/>
              <w:bottom w:val="single" w:sz="4" w:space="0" w:color="auto"/>
              <w:right w:val="single" w:sz="4" w:space="0" w:color="auto"/>
            </w:tcBorders>
            <w:hideMark/>
          </w:tcPr>
          <w:p w14:paraId="7E849E75" w14:textId="77777777" w:rsidR="0022726A" w:rsidRPr="00D56527" w:rsidRDefault="0022726A" w:rsidP="00AB5131">
            <w:pPr>
              <w:pStyle w:val="TAC"/>
              <w:rPr>
                <w:snapToGrid w:val="0"/>
              </w:rPr>
            </w:pPr>
            <w:r w:rsidRPr="00D56527">
              <w:t>0.64</w:t>
            </w:r>
          </w:p>
        </w:tc>
        <w:tc>
          <w:tcPr>
            <w:tcW w:w="1258" w:type="pct"/>
            <w:tcBorders>
              <w:top w:val="single" w:sz="4" w:space="0" w:color="auto"/>
              <w:left w:val="single" w:sz="4" w:space="0" w:color="auto"/>
              <w:bottom w:val="single" w:sz="4" w:space="0" w:color="auto"/>
              <w:right w:val="single" w:sz="4" w:space="0" w:color="auto"/>
            </w:tcBorders>
            <w:hideMark/>
          </w:tcPr>
          <w:p w14:paraId="40BFE09F" w14:textId="77777777" w:rsidR="0022726A" w:rsidRPr="000D108A" w:rsidRDefault="0022726A" w:rsidP="00AB5131">
            <w:pPr>
              <w:pStyle w:val="TAC"/>
              <w:rPr>
                <w:snapToGrid w:val="0"/>
              </w:rPr>
            </w:pPr>
            <w:r w:rsidRPr="00D56527">
              <w:t>17.92</w:t>
            </w:r>
            <w:r w:rsidRPr="00D56527">
              <w:rPr>
                <w:lang w:val="sv-SE" w:eastAsia="zh-CN"/>
              </w:rPr>
              <w:t xml:space="preserve"> x </w:t>
            </w:r>
            <w:r w:rsidRPr="00734785">
              <w:rPr>
                <w:snapToGrid w:val="0"/>
                <w:lang w:val="sv-SE" w:eastAsia="zh-CN"/>
              </w:rPr>
              <w:t>K1</w:t>
            </w:r>
            <w:r w:rsidRPr="00D56527">
              <w:t xml:space="preserve"> (28</w:t>
            </w:r>
            <w:r w:rsidRPr="000D108A">
              <w:rPr>
                <w:lang w:val="sv-SE" w:eastAsia="zh-CN"/>
              </w:rPr>
              <w:t xml:space="preserve"> x </w:t>
            </w:r>
            <w:r w:rsidRPr="00734785">
              <w:rPr>
                <w:snapToGrid w:val="0"/>
                <w:lang w:val="sv-SE" w:eastAsia="zh-CN"/>
              </w:rPr>
              <w:t>K1</w:t>
            </w:r>
            <w:r w:rsidRPr="00D56527">
              <w:t>)</w:t>
            </w:r>
          </w:p>
        </w:tc>
        <w:tc>
          <w:tcPr>
            <w:tcW w:w="1373" w:type="pct"/>
            <w:tcBorders>
              <w:top w:val="single" w:sz="4" w:space="0" w:color="auto"/>
              <w:left w:val="single" w:sz="4" w:space="0" w:color="auto"/>
              <w:bottom w:val="single" w:sz="4" w:space="0" w:color="auto"/>
              <w:right w:val="single" w:sz="4" w:space="0" w:color="auto"/>
            </w:tcBorders>
            <w:hideMark/>
          </w:tcPr>
          <w:p w14:paraId="1C18FFD1" w14:textId="77777777" w:rsidR="0022726A" w:rsidRPr="000D108A" w:rsidRDefault="0022726A" w:rsidP="00AB5131">
            <w:pPr>
              <w:pStyle w:val="TAC"/>
              <w:rPr>
                <w:snapToGrid w:val="0"/>
              </w:rPr>
            </w:pPr>
            <w:r w:rsidRPr="000D108A">
              <w:rPr>
                <w:snapToGrid w:val="0"/>
              </w:rPr>
              <w:t>1.28</w:t>
            </w:r>
            <w:r w:rsidRPr="000D108A">
              <w:rPr>
                <w:lang w:val="sv-SE" w:eastAsia="zh-CN"/>
              </w:rPr>
              <w:t xml:space="preserve"> x </w:t>
            </w:r>
            <w:r w:rsidRPr="00734785">
              <w:rPr>
                <w:snapToGrid w:val="0"/>
                <w:lang w:val="sv-SE" w:eastAsia="zh-CN"/>
              </w:rPr>
              <w:t>K1</w:t>
            </w:r>
            <w:r w:rsidRPr="00D56527">
              <w:rPr>
                <w:snapToGrid w:val="0"/>
              </w:rPr>
              <w:t xml:space="preserve"> (2</w:t>
            </w:r>
            <w:r w:rsidRPr="000D108A">
              <w:rPr>
                <w:lang w:val="sv-SE" w:eastAsia="zh-CN"/>
              </w:rPr>
              <w:t xml:space="preserve"> x </w:t>
            </w:r>
            <w:r w:rsidRPr="00734785">
              <w:rPr>
                <w:snapToGrid w:val="0"/>
                <w:lang w:val="sv-SE" w:eastAsia="zh-CN"/>
              </w:rPr>
              <w:t>K1</w:t>
            </w:r>
            <w:r w:rsidRPr="00D56527">
              <w:rPr>
                <w:snapToGrid w:val="0"/>
              </w:rPr>
              <w:t>)</w:t>
            </w:r>
          </w:p>
        </w:tc>
        <w:tc>
          <w:tcPr>
            <w:tcW w:w="1734" w:type="pct"/>
            <w:tcBorders>
              <w:top w:val="single" w:sz="4" w:space="0" w:color="auto"/>
              <w:left w:val="single" w:sz="4" w:space="0" w:color="auto"/>
              <w:bottom w:val="single" w:sz="4" w:space="0" w:color="auto"/>
              <w:right w:val="single" w:sz="4" w:space="0" w:color="auto"/>
            </w:tcBorders>
            <w:hideMark/>
          </w:tcPr>
          <w:p w14:paraId="061AB66B" w14:textId="77777777" w:rsidR="0022726A" w:rsidRPr="000D108A" w:rsidRDefault="0022726A" w:rsidP="00AB5131">
            <w:pPr>
              <w:pStyle w:val="TAC"/>
              <w:rPr>
                <w:snapToGrid w:val="0"/>
              </w:rPr>
            </w:pPr>
            <w:r w:rsidRPr="000D108A">
              <w:t>5.12</w:t>
            </w:r>
            <w:r w:rsidRPr="000D108A">
              <w:rPr>
                <w:lang w:val="sv-SE" w:eastAsia="zh-CN"/>
              </w:rPr>
              <w:t xml:space="preserve"> x </w:t>
            </w:r>
            <w:r w:rsidRPr="00734785">
              <w:rPr>
                <w:snapToGrid w:val="0"/>
                <w:lang w:val="sv-SE" w:eastAsia="zh-CN"/>
              </w:rPr>
              <w:t>K1</w:t>
            </w:r>
            <w:r w:rsidRPr="00D56527">
              <w:t xml:space="preserve"> (8</w:t>
            </w:r>
            <w:r w:rsidRPr="000D108A">
              <w:rPr>
                <w:lang w:val="sv-SE" w:eastAsia="zh-CN"/>
              </w:rPr>
              <w:t xml:space="preserve"> x </w:t>
            </w:r>
            <w:r w:rsidRPr="00734785">
              <w:rPr>
                <w:snapToGrid w:val="0"/>
                <w:lang w:val="sv-SE" w:eastAsia="zh-CN"/>
              </w:rPr>
              <w:t>K1</w:t>
            </w:r>
            <w:r w:rsidRPr="00D56527">
              <w:t>)</w:t>
            </w:r>
          </w:p>
        </w:tc>
      </w:tr>
      <w:tr w:rsidR="0022726A" w:rsidRPr="00D56527" w14:paraId="66EC8730" w14:textId="77777777" w:rsidTr="00AE536E">
        <w:trPr>
          <w:cantSplit/>
          <w:jc w:val="center"/>
        </w:trPr>
        <w:tc>
          <w:tcPr>
            <w:tcW w:w="635" w:type="pct"/>
            <w:tcBorders>
              <w:top w:val="single" w:sz="4" w:space="0" w:color="auto"/>
              <w:left w:val="single" w:sz="4" w:space="0" w:color="auto"/>
              <w:bottom w:val="single" w:sz="4" w:space="0" w:color="auto"/>
              <w:right w:val="single" w:sz="4" w:space="0" w:color="auto"/>
            </w:tcBorders>
            <w:hideMark/>
          </w:tcPr>
          <w:p w14:paraId="045F2A4E" w14:textId="77777777" w:rsidR="0022726A" w:rsidRPr="00D56527" w:rsidRDefault="0022726A" w:rsidP="00AB5131">
            <w:pPr>
              <w:pStyle w:val="TAC"/>
              <w:rPr>
                <w:snapToGrid w:val="0"/>
              </w:rPr>
            </w:pPr>
            <w:r w:rsidRPr="00D56527">
              <w:t>1.28</w:t>
            </w:r>
          </w:p>
        </w:tc>
        <w:tc>
          <w:tcPr>
            <w:tcW w:w="1258" w:type="pct"/>
            <w:tcBorders>
              <w:top w:val="single" w:sz="4" w:space="0" w:color="auto"/>
              <w:left w:val="single" w:sz="4" w:space="0" w:color="auto"/>
              <w:bottom w:val="single" w:sz="4" w:space="0" w:color="auto"/>
              <w:right w:val="single" w:sz="4" w:space="0" w:color="auto"/>
            </w:tcBorders>
            <w:hideMark/>
          </w:tcPr>
          <w:p w14:paraId="51E69387" w14:textId="77777777" w:rsidR="0022726A" w:rsidRPr="000D108A" w:rsidRDefault="0022726A" w:rsidP="00AB5131">
            <w:pPr>
              <w:pStyle w:val="TAC"/>
              <w:rPr>
                <w:snapToGrid w:val="0"/>
              </w:rPr>
            </w:pPr>
            <w:r w:rsidRPr="00D56527">
              <w:t>32</w:t>
            </w:r>
            <w:r w:rsidRPr="00D56527">
              <w:rPr>
                <w:lang w:val="sv-SE" w:eastAsia="zh-CN"/>
              </w:rPr>
              <w:t xml:space="preserve"> x </w:t>
            </w:r>
            <w:r w:rsidRPr="00734785">
              <w:rPr>
                <w:snapToGrid w:val="0"/>
                <w:lang w:val="sv-SE" w:eastAsia="zh-CN"/>
              </w:rPr>
              <w:t>K1</w:t>
            </w:r>
            <w:r w:rsidRPr="00D56527">
              <w:t xml:space="preserve"> (25</w:t>
            </w:r>
            <w:r w:rsidRPr="000D108A">
              <w:rPr>
                <w:lang w:val="sv-SE" w:eastAsia="zh-CN"/>
              </w:rPr>
              <w:t xml:space="preserve"> x </w:t>
            </w:r>
            <w:r w:rsidRPr="00734785">
              <w:rPr>
                <w:snapToGrid w:val="0"/>
                <w:lang w:val="sv-SE" w:eastAsia="zh-CN"/>
              </w:rPr>
              <w:t>K1</w:t>
            </w:r>
            <w:r w:rsidRPr="00D56527">
              <w:t>)</w:t>
            </w:r>
          </w:p>
        </w:tc>
        <w:tc>
          <w:tcPr>
            <w:tcW w:w="1373" w:type="pct"/>
            <w:tcBorders>
              <w:top w:val="single" w:sz="4" w:space="0" w:color="auto"/>
              <w:left w:val="single" w:sz="4" w:space="0" w:color="auto"/>
              <w:bottom w:val="single" w:sz="4" w:space="0" w:color="auto"/>
              <w:right w:val="single" w:sz="4" w:space="0" w:color="auto"/>
            </w:tcBorders>
            <w:hideMark/>
          </w:tcPr>
          <w:p w14:paraId="15B68DCB" w14:textId="77777777" w:rsidR="0022726A" w:rsidRPr="000D108A" w:rsidRDefault="0022726A" w:rsidP="00AB5131">
            <w:pPr>
              <w:pStyle w:val="TAC"/>
              <w:rPr>
                <w:snapToGrid w:val="0"/>
              </w:rPr>
            </w:pPr>
            <w:r w:rsidRPr="000D108A">
              <w:rPr>
                <w:snapToGrid w:val="0"/>
              </w:rPr>
              <w:t>1.28</w:t>
            </w:r>
            <w:r w:rsidRPr="000D108A">
              <w:rPr>
                <w:lang w:val="sv-SE" w:eastAsia="zh-CN"/>
              </w:rPr>
              <w:t xml:space="preserve"> x </w:t>
            </w:r>
            <w:r w:rsidRPr="00734785">
              <w:rPr>
                <w:snapToGrid w:val="0"/>
                <w:lang w:val="sv-SE" w:eastAsia="zh-CN"/>
              </w:rPr>
              <w:t>K1</w:t>
            </w:r>
            <w:r w:rsidRPr="00D56527">
              <w:rPr>
                <w:snapToGrid w:val="0"/>
              </w:rPr>
              <w:t xml:space="preserve"> (1</w:t>
            </w:r>
            <w:r w:rsidRPr="000D108A">
              <w:rPr>
                <w:lang w:val="sv-SE" w:eastAsia="zh-CN"/>
              </w:rPr>
              <w:t xml:space="preserve"> x </w:t>
            </w:r>
            <w:r w:rsidRPr="00734785">
              <w:rPr>
                <w:snapToGrid w:val="0"/>
                <w:lang w:val="sv-SE" w:eastAsia="zh-CN"/>
              </w:rPr>
              <w:t>K1</w:t>
            </w:r>
            <w:r w:rsidRPr="00D56527">
              <w:rPr>
                <w:snapToGrid w:val="0"/>
              </w:rPr>
              <w:t>)</w:t>
            </w:r>
          </w:p>
        </w:tc>
        <w:tc>
          <w:tcPr>
            <w:tcW w:w="1734" w:type="pct"/>
            <w:tcBorders>
              <w:top w:val="single" w:sz="4" w:space="0" w:color="auto"/>
              <w:left w:val="single" w:sz="4" w:space="0" w:color="auto"/>
              <w:bottom w:val="single" w:sz="4" w:space="0" w:color="auto"/>
              <w:right w:val="single" w:sz="4" w:space="0" w:color="auto"/>
            </w:tcBorders>
            <w:hideMark/>
          </w:tcPr>
          <w:p w14:paraId="176A5FDE" w14:textId="77777777" w:rsidR="0022726A" w:rsidRPr="000D108A" w:rsidRDefault="0022726A" w:rsidP="00AB5131">
            <w:pPr>
              <w:pStyle w:val="TAC"/>
              <w:rPr>
                <w:snapToGrid w:val="0"/>
              </w:rPr>
            </w:pPr>
            <w:r w:rsidRPr="000D108A">
              <w:t>6.4</w:t>
            </w:r>
            <w:r w:rsidRPr="000D108A">
              <w:rPr>
                <w:lang w:val="sv-SE" w:eastAsia="zh-CN"/>
              </w:rPr>
              <w:t xml:space="preserve"> x </w:t>
            </w:r>
            <w:r w:rsidRPr="00734785">
              <w:rPr>
                <w:snapToGrid w:val="0"/>
                <w:lang w:val="sv-SE" w:eastAsia="zh-CN"/>
              </w:rPr>
              <w:t>K1</w:t>
            </w:r>
            <w:r w:rsidRPr="00D56527">
              <w:t xml:space="preserve"> (5</w:t>
            </w:r>
            <w:r w:rsidRPr="000D108A">
              <w:rPr>
                <w:lang w:val="sv-SE" w:eastAsia="zh-CN"/>
              </w:rPr>
              <w:t xml:space="preserve"> x </w:t>
            </w:r>
            <w:r w:rsidRPr="00734785">
              <w:rPr>
                <w:snapToGrid w:val="0"/>
                <w:lang w:val="sv-SE" w:eastAsia="zh-CN"/>
              </w:rPr>
              <w:t>K1</w:t>
            </w:r>
            <w:r w:rsidRPr="00D56527">
              <w:t>)</w:t>
            </w:r>
          </w:p>
        </w:tc>
      </w:tr>
      <w:tr w:rsidR="0022726A" w:rsidRPr="00D56527" w14:paraId="28C58591" w14:textId="77777777" w:rsidTr="00AE536E">
        <w:trPr>
          <w:cantSplit/>
          <w:jc w:val="center"/>
        </w:trPr>
        <w:tc>
          <w:tcPr>
            <w:tcW w:w="635" w:type="pct"/>
            <w:tcBorders>
              <w:top w:val="single" w:sz="4" w:space="0" w:color="auto"/>
              <w:left w:val="single" w:sz="4" w:space="0" w:color="auto"/>
              <w:bottom w:val="single" w:sz="4" w:space="0" w:color="auto"/>
              <w:right w:val="single" w:sz="4" w:space="0" w:color="auto"/>
            </w:tcBorders>
            <w:hideMark/>
          </w:tcPr>
          <w:p w14:paraId="1B0B177A" w14:textId="77777777" w:rsidR="0022726A" w:rsidRPr="00D56527" w:rsidRDefault="0022726A" w:rsidP="00AB5131">
            <w:pPr>
              <w:pStyle w:val="TAC"/>
              <w:rPr>
                <w:snapToGrid w:val="0"/>
              </w:rPr>
            </w:pPr>
            <w:r w:rsidRPr="00D56527">
              <w:t>2.56</w:t>
            </w:r>
          </w:p>
        </w:tc>
        <w:tc>
          <w:tcPr>
            <w:tcW w:w="1258" w:type="pct"/>
            <w:tcBorders>
              <w:top w:val="single" w:sz="4" w:space="0" w:color="auto"/>
              <w:left w:val="single" w:sz="4" w:space="0" w:color="auto"/>
              <w:bottom w:val="single" w:sz="4" w:space="0" w:color="auto"/>
              <w:right w:val="single" w:sz="4" w:space="0" w:color="auto"/>
            </w:tcBorders>
            <w:hideMark/>
          </w:tcPr>
          <w:p w14:paraId="13907166" w14:textId="77777777" w:rsidR="0022726A" w:rsidRPr="000D108A" w:rsidRDefault="0022726A" w:rsidP="00AB5131">
            <w:pPr>
              <w:pStyle w:val="TAC"/>
              <w:rPr>
                <w:snapToGrid w:val="0"/>
              </w:rPr>
            </w:pPr>
            <w:r w:rsidRPr="00D56527">
              <w:t>58.88</w:t>
            </w:r>
            <w:r w:rsidRPr="00D56527">
              <w:rPr>
                <w:lang w:val="sv-SE" w:eastAsia="zh-CN"/>
              </w:rPr>
              <w:t xml:space="preserve"> x </w:t>
            </w:r>
            <w:r w:rsidRPr="00734785">
              <w:rPr>
                <w:snapToGrid w:val="0"/>
                <w:lang w:val="sv-SE" w:eastAsia="zh-CN"/>
              </w:rPr>
              <w:t>K1</w:t>
            </w:r>
            <w:r w:rsidRPr="00D56527">
              <w:t xml:space="preserve"> (23</w:t>
            </w:r>
            <w:r w:rsidRPr="000D108A">
              <w:rPr>
                <w:lang w:val="sv-SE" w:eastAsia="zh-CN"/>
              </w:rPr>
              <w:t xml:space="preserve"> x </w:t>
            </w:r>
            <w:r w:rsidRPr="00734785">
              <w:rPr>
                <w:snapToGrid w:val="0"/>
                <w:lang w:val="sv-SE" w:eastAsia="zh-CN"/>
              </w:rPr>
              <w:t>K1</w:t>
            </w:r>
            <w:r w:rsidRPr="00D56527">
              <w:t>)</w:t>
            </w:r>
          </w:p>
        </w:tc>
        <w:tc>
          <w:tcPr>
            <w:tcW w:w="1373" w:type="pct"/>
            <w:tcBorders>
              <w:top w:val="single" w:sz="4" w:space="0" w:color="auto"/>
              <w:left w:val="single" w:sz="4" w:space="0" w:color="auto"/>
              <w:bottom w:val="single" w:sz="4" w:space="0" w:color="auto"/>
              <w:right w:val="single" w:sz="4" w:space="0" w:color="auto"/>
            </w:tcBorders>
            <w:hideMark/>
          </w:tcPr>
          <w:p w14:paraId="275B13DF" w14:textId="77777777" w:rsidR="0022726A" w:rsidRPr="000D108A" w:rsidRDefault="0022726A" w:rsidP="00AB5131">
            <w:pPr>
              <w:pStyle w:val="TAC"/>
              <w:rPr>
                <w:snapToGrid w:val="0"/>
              </w:rPr>
            </w:pPr>
            <w:r w:rsidRPr="000D108A">
              <w:rPr>
                <w:snapToGrid w:val="0"/>
              </w:rPr>
              <w:t>2.56</w:t>
            </w:r>
            <w:r w:rsidRPr="000D108A">
              <w:rPr>
                <w:lang w:val="sv-SE" w:eastAsia="zh-CN"/>
              </w:rPr>
              <w:t xml:space="preserve"> x </w:t>
            </w:r>
            <w:r w:rsidRPr="00734785">
              <w:rPr>
                <w:snapToGrid w:val="0"/>
                <w:lang w:val="sv-SE" w:eastAsia="zh-CN"/>
              </w:rPr>
              <w:t>K1</w:t>
            </w:r>
            <w:r w:rsidRPr="00D56527">
              <w:rPr>
                <w:snapToGrid w:val="0"/>
              </w:rPr>
              <w:t xml:space="preserve"> (1</w:t>
            </w:r>
            <w:r w:rsidRPr="000D108A">
              <w:rPr>
                <w:lang w:val="sv-SE" w:eastAsia="zh-CN"/>
              </w:rPr>
              <w:t xml:space="preserve"> x </w:t>
            </w:r>
            <w:r w:rsidRPr="00734785">
              <w:rPr>
                <w:snapToGrid w:val="0"/>
                <w:lang w:val="sv-SE" w:eastAsia="zh-CN"/>
              </w:rPr>
              <w:t>K1</w:t>
            </w:r>
            <w:r w:rsidRPr="00D56527">
              <w:rPr>
                <w:snapToGrid w:val="0"/>
              </w:rPr>
              <w:t>)</w:t>
            </w:r>
          </w:p>
        </w:tc>
        <w:tc>
          <w:tcPr>
            <w:tcW w:w="1734" w:type="pct"/>
            <w:tcBorders>
              <w:top w:val="single" w:sz="4" w:space="0" w:color="auto"/>
              <w:left w:val="single" w:sz="4" w:space="0" w:color="auto"/>
              <w:bottom w:val="single" w:sz="4" w:space="0" w:color="auto"/>
              <w:right w:val="single" w:sz="4" w:space="0" w:color="auto"/>
            </w:tcBorders>
            <w:hideMark/>
          </w:tcPr>
          <w:p w14:paraId="6C16263B" w14:textId="77777777" w:rsidR="0022726A" w:rsidRPr="000D108A" w:rsidRDefault="0022726A" w:rsidP="00AB5131">
            <w:pPr>
              <w:pStyle w:val="TAC"/>
              <w:rPr>
                <w:snapToGrid w:val="0"/>
              </w:rPr>
            </w:pPr>
            <w:r w:rsidRPr="000D108A">
              <w:t>7.68</w:t>
            </w:r>
            <w:r w:rsidRPr="000D108A">
              <w:rPr>
                <w:lang w:val="sv-SE" w:eastAsia="zh-CN"/>
              </w:rPr>
              <w:t xml:space="preserve"> x </w:t>
            </w:r>
            <w:r w:rsidRPr="00734785">
              <w:rPr>
                <w:snapToGrid w:val="0"/>
                <w:lang w:val="sv-SE" w:eastAsia="zh-CN"/>
              </w:rPr>
              <w:t>K1</w:t>
            </w:r>
            <w:r w:rsidRPr="00D56527">
              <w:t xml:space="preserve"> (3</w:t>
            </w:r>
            <w:r w:rsidRPr="000D108A">
              <w:rPr>
                <w:lang w:val="sv-SE" w:eastAsia="zh-CN"/>
              </w:rPr>
              <w:t xml:space="preserve"> x </w:t>
            </w:r>
            <w:r w:rsidRPr="00734785">
              <w:rPr>
                <w:snapToGrid w:val="0"/>
                <w:lang w:val="sv-SE" w:eastAsia="zh-CN"/>
              </w:rPr>
              <w:t>K1</w:t>
            </w:r>
            <w:r w:rsidRPr="00D56527">
              <w:t>)</w:t>
            </w:r>
          </w:p>
        </w:tc>
      </w:tr>
      <w:tr w:rsidR="0022726A" w:rsidRPr="00885F53" w14:paraId="2A33C786" w14:textId="77777777" w:rsidTr="00AE536E">
        <w:trPr>
          <w:cantSplit/>
          <w:jc w:val="center"/>
        </w:trPr>
        <w:tc>
          <w:tcPr>
            <w:tcW w:w="5000" w:type="pct"/>
            <w:gridSpan w:val="4"/>
            <w:tcBorders>
              <w:top w:val="single" w:sz="4" w:space="0" w:color="auto"/>
              <w:left w:val="single" w:sz="4" w:space="0" w:color="auto"/>
              <w:bottom w:val="single" w:sz="4" w:space="0" w:color="auto"/>
              <w:right w:val="single" w:sz="4" w:space="0" w:color="auto"/>
            </w:tcBorders>
          </w:tcPr>
          <w:p w14:paraId="3CA1E750" w14:textId="5ABB3937" w:rsidR="0022726A" w:rsidRPr="00885F53" w:rsidRDefault="0022726A" w:rsidP="00AB5131">
            <w:pPr>
              <w:pStyle w:val="TAN"/>
              <w:rPr>
                <w:rFonts w:cs="Arial"/>
              </w:rPr>
            </w:pPr>
            <w:r w:rsidRPr="00D56527">
              <w:rPr>
                <w:snapToGrid w:val="0"/>
                <w:lang w:eastAsia="zh-CN"/>
              </w:rPr>
              <w:t>Note 1:</w:t>
            </w:r>
            <w:r w:rsidR="00A549F8" w:rsidRPr="00EC47A7">
              <w:rPr>
                <w:lang w:val="en-US"/>
              </w:rPr>
              <w:tab/>
            </w:r>
            <w:r w:rsidR="00A750BE" w:rsidRPr="00D56527">
              <w:rPr>
                <w:snapToGrid w:val="0"/>
                <w:lang w:eastAsia="zh-CN"/>
              </w:rPr>
              <w:t xml:space="preserve">K1 = 3 is the measurement relaxation factor applicable for UE fulfilling the </w:t>
            </w:r>
            <w:r w:rsidR="00740A4E">
              <w:rPr>
                <w:i/>
                <w:iCs/>
                <w:lang w:eastAsia="zh-CN"/>
              </w:rPr>
              <w:t>cellEdgeEvaluation</w:t>
            </w:r>
            <w:r w:rsidR="00740A4E" w:rsidRPr="00485479" w:rsidDel="00F13759">
              <w:rPr>
                <w:i/>
                <w:iCs/>
                <w:lang w:eastAsia="zh-CN"/>
              </w:rPr>
              <w:t xml:space="preserve"> </w:t>
            </w:r>
            <w:r w:rsidR="00A750BE">
              <w:rPr>
                <w:lang w:eastAsia="zh-CN"/>
              </w:rPr>
              <w:t>[2]</w:t>
            </w:r>
            <w:r w:rsidR="00A750BE">
              <w:rPr>
                <w:snapToGrid w:val="0"/>
                <w:lang w:eastAsia="zh-CN"/>
              </w:rPr>
              <w:t xml:space="preserve"> criterion</w:t>
            </w:r>
            <w:r w:rsidRPr="00D56527">
              <w:rPr>
                <w:snapToGrid w:val="0"/>
                <w:lang w:eastAsia="zh-CN"/>
              </w:rPr>
              <w:t>.</w:t>
            </w:r>
          </w:p>
        </w:tc>
      </w:tr>
    </w:tbl>
    <w:p w14:paraId="2B995C0C" w14:textId="16DD3180" w:rsidR="0022726A" w:rsidRDefault="0022726A" w:rsidP="0022726A">
      <w:pPr>
        <w:rPr>
          <w:lang w:val="en-US" w:eastAsia="zh-CN"/>
        </w:rPr>
      </w:pPr>
    </w:p>
    <w:p w14:paraId="02784DD0" w14:textId="77777777" w:rsidR="00D814D0" w:rsidRPr="00043DFE" w:rsidRDefault="00D814D0" w:rsidP="00D814D0">
      <w:pPr>
        <w:pStyle w:val="TH"/>
        <w:rPr>
          <w:lang w:val="en-US"/>
        </w:rPr>
      </w:pPr>
      <w:r w:rsidRPr="00043DFE">
        <w:rPr>
          <w:lang w:val="en-US"/>
        </w:rPr>
        <w:t>Table 4.2.2.11.3-2: T</w:t>
      </w:r>
      <w:r w:rsidRPr="00043DFE">
        <w:rPr>
          <w:vertAlign w:val="subscript"/>
          <w:lang w:val="en-US"/>
        </w:rPr>
        <w:t>detect,</w:t>
      </w:r>
      <w:r w:rsidRPr="00043DFE">
        <w:rPr>
          <w:rFonts w:cs="Arial"/>
          <w:sz w:val="18"/>
          <w:szCs w:val="18"/>
          <w:vertAlign w:val="subscript"/>
        </w:rPr>
        <w:t xml:space="preserve"> </w:t>
      </w:r>
      <w:r w:rsidRPr="00043DFE">
        <w:rPr>
          <w:vertAlign w:val="subscript"/>
          <w:lang w:val="en-US"/>
        </w:rPr>
        <w:t>EUTRAN_Relax</w:t>
      </w:r>
      <w:r w:rsidRPr="00043DFE">
        <w:rPr>
          <w:lang w:val="en-US"/>
        </w:rPr>
        <w:t>, T</w:t>
      </w:r>
      <w:r w:rsidRPr="00043DFE">
        <w:rPr>
          <w:vertAlign w:val="subscript"/>
          <w:lang w:val="en-US"/>
        </w:rPr>
        <w:t>measure,</w:t>
      </w:r>
      <w:r w:rsidRPr="00043DFE">
        <w:rPr>
          <w:rFonts w:cs="Arial"/>
          <w:sz w:val="18"/>
          <w:szCs w:val="18"/>
          <w:vertAlign w:val="subscript"/>
        </w:rPr>
        <w:t xml:space="preserve"> </w:t>
      </w:r>
      <w:r w:rsidRPr="00043DFE">
        <w:rPr>
          <w:vertAlign w:val="subscript"/>
        </w:rPr>
        <w:t>EUTRAN</w:t>
      </w:r>
      <w:r w:rsidRPr="00043DFE">
        <w:rPr>
          <w:vertAlign w:val="subscript"/>
          <w:lang w:val="en-US"/>
        </w:rPr>
        <w:t>_Relax</w:t>
      </w:r>
      <w:r w:rsidRPr="00043DFE">
        <w:rPr>
          <w:lang w:val="en-US"/>
        </w:rPr>
        <w:t xml:space="preserve"> and T</w:t>
      </w:r>
      <w:r w:rsidRPr="00043DFE">
        <w:rPr>
          <w:vertAlign w:val="subscript"/>
          <w:lang w:val="en-US"/>
        </w:rPr>
        <w:t>evaluate,</w:t>
      </w:r>
      <w:r w:rsidRPr="00043DFE">
        <w:rPr>
          <w:rFonts w:cs="Arial"/>
          <w:sz w:val="18"/>
          <w:szCs w:val="18"/>
          <w:vertAlign w:val="subscript"/>
        </w:rPr>
        <w:t xml:space="preserve"> </w:t>
      </w:r>
      <w:r w:rsidRPr="00043DFE">
        <w:rPr>
          <w:vertAlign w:val="subscript"/>
        </w:rPr>
        <w:t>EUTRAN</w:t>
      </w:r>
      <w:r w:rsidRPr="00043DFE">
        <w:rPr>
          <w:vertAlign w:val="subscript"/>
          <w:lang w:val="en-US"/>
        </w:rPr>
        <w:t>_Relax</w:t>
      </w:r>
      <w:r w:rsidRPr="00043DFE">
        <w:rPr>
          <w:lang w:val="en-US"/>
        </w:rPr>
        <w:t xml:space="preserve"> for UE configured with eDRX_IDLE cycle (Frequency range FR1) 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550"/>
        <w:gridCol w:w="2691"/>
        <w:gridCol w:w="2678"/>
      </w:tblGrid>
      <w:tr w:rsidR="00D814D0" w:rsidRPr="00043DFE" w14:paraId="3E970F05" w14:textId="77777777" w:rsidTr="008B107E">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5C4DDD0F" w14:textId="77777777" w:rsidR="00D814D0" w:rsidRPr="00043DFE" w:rsidRDefault="00D814D0" w:rsidP="008B107E">
            <w:pPr>
              <w:pStyle w:val="TAH"/>
            </w:pPr>
            <w:r w:rsidRPr="00043DFE">
              <w:t>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322660A5" w14:textId="77777777" w:rsidR="00D814D0" w:rsidRPr="00043DFE" w:rsidRDefault="00D814D0" w:rsidP="008B107E">
            <w:pPr>
              <w:pStyle w:val="TAH"/>
            </w:pPr>
            <w:r w:rsidRPr="00043DFE">
              <w:rPr>
                <w:szCs w:val="18"/>
                <w:lang w:val="en-US"/>
              </w:rPr>
              <w:t>T</w:t>
            </w:r>
            <w:r w:rsidRPr="00043DFE">
              <w:rPr>
                <w:szCs w:val="18"/>
                <w:vertAlign w:val="subscript"/>
                <w:lang w:val="en-US"/>
              </w:rPr>
              <w:t>detect,</w:t>
            </w:r>
            <w:r w:rsidRPr="00043DFE">
              <w:rPr>
                <w:szCs w:val="18"/>
                <w:vertAlign w:val="subscript"/>
              </w:rPr>
              <w:t xml:space="preserve"> EUTRAN</w:t>
            </w:r>
            <w:r w:rsidRPr="00043DFE">
              <w:rPr>
                <w:szCs w:val="18"/>
                <w:vertAlign w:val="subscript"/>
                <w:lang w:val="en-US"/>
              </w:rPr>
              <w:t xml:space="preserve"> _Relax</w:t>
            </w:r>
            <w:r w:rsidRPr="00043DFE">
              <w:rPr>
                <w:szCs w:val="18"/>
              </w:rPr>
              <w:t xml:space="preserve"> [s]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05565C68" w14:textId="77777777" w:rsidR="00D814D0" w:rsidRPr="00043DFE" w:rsidRDefault="00D814D0" w:rsidP="008B107E">
            <w:pPr>
              <w:pStyle w:val="TAH"/>
            </w:pPr>
            <w:r w:rsidRPr="00043DFE">
              <w:rPr>
                <w:szCs w:val="18"/>
                <w:lang w:val="en-US"/>
              </w:rPr>
              <w:t>T</w:t>
            </w:r>
            <w:r w:rsidRPr="00043DFE">
              <w:rPr>
                <w:szCs w:val="18"/>
                <w:vertAlign w:val="subscript"/>
                <w:lang w:val="en-US"/>
              </w:rPr>
              <w:t>measure,</w:t>
            </w:r>
            <w:r w:rsidRPr="00043DFE">
              <w:rPr>
                <w:szCs w:val="18"/>
                <w:vertAlign w:val="subscript"/>
              </w:rPr>
              <w:t xml:space="preserve"> EUTRAN</w:t>
            </w:r>
            <w:r w:rsidRPr="00043DFE">
              <w:rPr>
                <w:szCs w:val="18"/>
                <w:vertAlign w:val="subscript"/>
                <w:lang w:val="en-US"/>
              </w:rPr>
              <w:t>_Relax</w:t>
            </w:r>
            <w:r w:rsidRPr="00043DFE">
              <w:rPr>
                <w:szCs w:val="18"/>
                <w:lang w:val="en-US"/>
              </w:rPr>
              <w:t xml:space="preserve"> </w:t>
            </w:r>
            <w:r w:rsidRPr="00043DFE">
              <w:rPr>
                <w:szCs w:val="18"/>
              </w:rPr>
              <w:t>[s] (number of eDRX IDLE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5D23B9AD" w14:textId="77777777" w:rsidR="00D814D0" w:rsidRPr="00043DFE" w:rsidRDefault="00D814D0" w:rsidP="008B107E">
            <w:pPr>
              <w:pStyle w:val="TAH"/>
            </w:pPr>
            <w:r w:rsidRPr="00043DFE">
              <w:rPr>
                <w:szCs w:val="18"/>
                <w:lang w:val="en-US"/>
              </w:rPr>
              <w:t>T</w:t>
            </w:r>
            <w:r w:rsidRPr="00043DFE">
              <w:rPr>
                <w:szCs w:val="18"/>
                <w:vertAlign w:val="subscript"/>
                <w:lang w:val="en-US"/>
              </w:rPr>
              <w:t>evaluate,</w:t>
            </w:r>
            <w:r w:rsidRPr="00043DFE">
              <w:rPr>
                <w:szCs w:val="18"/>
                <w:vertAlign w:val="subscript"/>
              </w:rPr>
              <w:t xml:space="preserve"> EUTRAN</w:t>
            </w:r>
            <w:r w:rsidRPr="00043DFE">
              <w:rPr>
                <w:szCs w:val="18"/>
                <w:vertAlign w:val="subscript"/>
                <w:lang w:val="en-US"/>
              </w:rPr>
              <w:t xml:space="preserve">_Relax </w:t>
            </w:r>
            <w:r w:rsidRPr="00043DFE">
              <w:rPr>
                <w:szCs w:val="18"/>
              </w:rPr>
              <w:t>[s] (number of eDRX IDLE cycles)</w:t>
            </w:r>
          </w:p>
        </w:tc>
      </w:tr>
      <w:tr w:rsidR="00D814D0" w:rsidRPr="00043DFE" w14:paraId="68A7A4CD" w14:textId="77777777" w:rsidTr="008B107E">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27FF3E" w14:textId="77777777" w:rsidR="00D814D0" w:rsidRPr="00043DFE" w:rsidRDefault="00D814D0"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77D1DA" w14:textId="77777777" w:rsidR="00D814D0" w:rsidRPr="00043DFE" w:rsidRDefault="00D814D0"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BA7A5B" w14:textId="77777777" w:rsidR="00D814D0" w:rsidRPr="00043DFE" w:rsidRDefault="00D814D0" w:rsidP="008B107E">
            <w:pPr>
              <w:keepNext/>
              <w:keepLines/>
              <w:spacing w:after="0"/>
              <w:jc w:val="center"/>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F4A695" w14:textId="77777777" w:rsidR="00D814D0" w:rsidRPr="00043DFE" w:rsidRDefault="00D814D0" w:rsidP="008B107E">
            <w:pPr>
              <w:keepNext/>
              <w:keepLines/>
              <w:spacing w:after="0"/>
              <w:jc w:val="center"/>
              <w:rPr>
                <w:rFonts w:ascii="Arial" w:hAnsi="Arial"/>
                <w:b/>
                <w:sz w:val="18"/>
              </w:rPr>
            </w:pPr>
          </w:p>
        </w:tc>
      </w:tr>
      <w:tr w:rsidR="00D814D0" w:rsidRPr="00043DFE" w14:paraId="1F2AC1E8"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26A4449" w14:textId="77777777" w:rsidR="00D814D0" w:rsidRPr="00043DFE" w:rsidRDefault="00D814D0" w:rsidP="008B107E">
            <w:pPr>
              <w:pStyle w:val="TAC"/>
            </w:pPr>
            <w:r w:rsidRPr="00043DFE">
              <w:t>5.12</w:t>
            </w:r>
          </w:p>
        </w:tc>
        <w:tc>
          <w:tcPr>
            <w:tcW w:w="0" w:type="auto"/>
            <w:tcBorders>
              <w:top w:val="single" w:sz="4" w:space="0" w:color="auto"/>
              <w:left w:val="single" w:sz="4" w:space="0" w:color="auto"/>
              <w:bottom w:val="single" w:sz="4" w:space="0" w:color="auto"/>
              <w:right w:val="single" w:sz="4" w:space="0" w:color="auto"/>
            </w:tcBorders>
            <w:hideMark/>
          </w:tcPr>
          <w:p w14:paraId="41CA6901" w14:textId="77777777" w:rsidR="00D814D0" w:rsidRPr="00043DFE" w:rsidRDefault="00D814D0" w:rsidP="008B107E">
            <w:pPr>
              <w:pStyle w:val="TAC"/>
            </w:pPr>
            <w:r w:rsidRPr="00043DFE">
              <w:t>117.76</w:t>
            </w:r>
            <w:r w:rsidRPr="00043DFE">
              <w:rPr>
                <w:lang w:val="sv-SE"/>
              </w:rPr>
              <w:t xml:space="preserve"> x </w:t>
            </w:r>
            <w:r w:rsidRPr="00043DFE">
              <w:t>K1 (23</w:t>
            </w:r>
            <w:r w:rsidRPr="00043DFE">
              <w:rPr>
                <w:lang w:val="sv-SE"/>
              </w:rPr>
              <w:t xml:space="preserve"> x </w:t>
            </w:r>
            <w:r w:rsidRPr="00043DFE">
              <w:t>K1)</w:t>
            </w:r>
          </w:p>
        </w:tc>
        <w:tc>
          <w:tcPr>
            <w:tcW w:w="0" w:type="auto"/>
            <w:tcBorders>
              <w:top w:val="single" w:sz="4" w:space="0" w:color="auto"/>
              <w:left w:val="single" w:sz="4" w:space="0" w:color="auto"/>
              <w:bottom w:val="single" w:sz="4" w:space="0" w:color="auto"/>
              <w:right w:val="single" w:sz="4" w:space="0" w:color="auto"/>
            </w:tcBorders>
            <w:hideMark/>
          </w:tcPr>
          <w:p w14:paraId="0D2B25F5" w14:textId="77777777" w:rsidR="00D814D0" w:rsidRPr="00043DFE" w:rsidRDefault="00D814D0" w:rsidP="008B107E">
            <w:pPr>
              <w:pStyle w:val="TAC"/>
            </w:pPr>
            <w:r w:rsidRPr="00043DFE">
              <w:t>5.12</w:t>
            </w:r>
            <w:r w:rsidRPr="00043DFE">
              <w:rPr>
                <w:lang w:val="sv-SE"/>
              </w:rPr>
              <w:t xml:space="preserve"> x </w:t>
            </w:r>
            <w:r w:rsidRPr="00043DFE">
              <w:t>K1 (1</w:t>
            </w:r>
            <w:r w:rsidRPr="00043DFE">
              <w:rPr>
                <w:lang w:val="sv-SE"/>
              </w:rPr>
              <w:t xml:space="preserve"> x </w:t>
            </w:r>
            <w:r w:rsidRPr="00043DFE">
              <w:t>K1)</w:t>
            </w:r>
          </w:p>
        </w:tc>
        <w:tc>
          <w:tcPr>
            <w:tcW w:w="0" w:type="auto"/>
            <w:tcBorders>
              <w:top w:val="single" w:sz="4" w:space="0" w:color="auto"/>
              <w:left w:val="single" w:sz="4" w:space="0" w:color="auto"/>
              <w:bottom w:val="single" w:sz="4" w:space="0" w:color="auto"/>
              <w:right w:val="single" w:sz="4" w:space="0" w:color="auto"/>
            </w:tcBorders>
            <w:hideMark/>
          </w:tcPr>
          <w:p w14:paraId="4B5BE346" w14:textId="77777777" w:rsidR="00D814D0" w:rsidRPr="00043DFE" w:rsidRDefault="00D814D0" w:rsidP="008B107E">
            <w:pPr>
              <w:pStyle w:val="TAC"/>
            </w:pPr>
            <w:r w:rsidRPr="00043DFE">
              <w:t>10.24</w:t>
            </w:r>
            <w:r w:rsidRPr="00043DFE">
              <w:rPr>
                <w:lang w:val="sv-SE"/>
              </w:rPr>
              <w:t xml:space="preserve"> x </w:t>
            </w:r>
            <w:r w:rsidRPr="00043DFE">
              <w:t>K1 (2</w:t>
            </w:r>
            <w:r w:rsidRPr="00043DFE">
              <w:rPr>
                <w:lang w:val="sv-SE"/>
              </w:rPr>
              <w:t xml:space="preserve"> x </w:t>
            </w:r>
            <w:r w:rsidRPr="00043DFE">
              <w:t>K1)</w:t>
            </w:r>
          </w:p>
        </w:tc>
      </w:tr>
      <w:tr w:rsidR="00D814D0" w:rsidRPr="00043DFE" w14:paraId="35747753" w14:textId="77777777" w:rsidTr="008B107E">
        <w:trPr>
          <w:cantSplit/>
          <w:jc w:val="center"/>
        </w:trPr>
        <w:tc>
          <w:tcPr>
            <w:tcW w:w="0" w:type="auto"/>
            <w:tcBorders>
              <w:top w:val="single" w:sz="4" w:space="0" w:color="auto"/>
              <w:left w:val="single" w:sz="4" w:space="0" w:color="auto"/>
              <w:bottom w:val="single" w:sz="4" w:space="0" w:color="auto"/>
              <w:right w:val="single" w:sz="4" w:space="0" w:color="auto"/>
            </w:tcBorders>
          </w:tcPr>
          <w:p w14:paraId="465DB414" w14:textId="77777777" w:rsidR="00D814D0" w:rsidRPr="00043DFE" w:rsidRDefault="00D814D0" w:rsidP="008B107E">
            <w:pPr>
              <w:pStyle w:val="TAC"/>
            </w:pPr>
            <w:r w:rsidRPr="00043DFE">
              <w:t>10.24</w:t>
            </w:r>
          </w:p>
        </w:tc>
        <w:tc>
          <w:tcPr>
            <w:tcW w:w="0" w:type="auto"/>
            <w:tcBorders>
              <w:top w:val="single" w:sz="4" w:space="0" w:color="auto"/>
              <w:left w:val="single" w:sz="4" w:space="0" w:color="auto"/>
              <w:bottom w:val="single" w:sz="4" w:space="0" w:color="auto"/>
              <w:right w:val="single" w:sz="4" w:space="0" w:color="auto"/>
            </w:tcBorders>
          </w:tcPr>
          <w:p w14:paraId="13D23218" w14:textId="77777777" w:rsidR="00D814D0" w:rsidRPr="00043DFE" w:rsidRDefault="00D814D0" w:rsidP="008B107E">
            <w:pPr>
              <w:pStyle w:val="TAC"/>
            </w:pPr>
            <w:r w:rsidRPr="00043DFE">
              <w:t>235.52 x K1 (23 x K1)</w:t>
            </w:r>
          </w:p>
        </w:tc>
        <w:tc>
          <w:tcPr>
            <w:tcW w:w="0" w:type="auto"/>
            <w:tcBorders>
              <w:top w:val="single" w:sz="4" w:space="0" w:color="auto"/>
              <w:left w:val="single" w:sz="4" w:space="0" w:color="auto"/>
              <w:bottom w:val="single" w:sz="4" w:space="0" w:color="auto"/>
              <w:right w:val="single" w:sz="4" w:space="0" w:color="auto"/>
            </w:tcBorders>
          </w:tcPr>
          <w:p w14:paraId="01D8797F" w14:textId="77777777" w:rsidR="00D814D0" w:rsidRPr="00043DFE" w:rsidRDefault="00D814D0" w:rsidP="008B107E">
            <w:pPr>
              <w:pStyle w:val="TAC"/>
            </w:pPr>
            <w:r w:rsidRPr="00043DFE">
              <w:t>10.24 x K1 (1 x K1)</w:t>
            </w:r>
          </w:p>
        </w:tc>
        <w:tc>
          <w:tcPr>
            <w:tcW w:w="0" w:type="auto"/>
            <w:tcBorders>
              <w:top w:val="single" w:sz="4" w:space="0" w:color="auto"/>
              <w:left w:val="single" w:sz="4" w:space="0" w:color="auto"/>
              <w:bottom w:val="single" w:sz="4" w:space="0" w:color="auto"/>
              <w:right w:val="single" w:sz="4" w:space="0" w:color="auto"/>
            </w:tcBorders>
          </w:tcPr>
          <w:p w14:paraId="68B9A825" w14:textId="77777777" w:rsidR="00D814D0" w:rsidRPr="00043DFE" w:rsidRDefault="00D814D0" w:rsidP="008B107E">
            <w:pPr>
              <w:pStyle w:val="TAC"/>
            </w:pPr>
            <w:r w:rsidRPr="00043DFE">
              <w:t>20.48 x K1 (2 x K1)</w:t>
            </w:r>
          </w:p>
        </w:tc>
      </w:tr>
      <w:tr w:rsidR="00D814D0" w:rsidRPr="00043DFE" w14:paraId="6FF2680C" w14:textId="77777777" w:rsidTr="008B107E">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50127A80" w14:textId="77777777" w:rsidR="00D814D0" w:rsidRPr="00043DFE" w:rsidRDefault="00D814D0" w:rsidP="008B107E">
            <w:pPr>
              <w:pStyle w:val="TAN"/>
            </w:pPr>
            <w:r w:rsidRPr="00043DFE">
              <w:rPr>
                <w:snapToGrid w:val="0"/>
              </w:rPr>
              <w:t>Note 1:</w:t>
            </w:r>
            <w:r w:rsidRPr="00043DFE">
              <w:rPr>
                <w:snapToGrid w:val="0"/>
              </w:rPr>
              <w:tab/>
              <w:t xml:space="preserve">K1 = 3 is the measurement relaxation factor applicable for UE fulfilling the </w:t>
            </w:r>
            <w:r w:rsidRPr="00043DFE">
              <w:rPr>
                <w:i/>
                <w:iCs/>
              </w:rPr>
              <w:t xml:space="preserve">cellEdgeEvaluation </w:t>
            </w:r>
            <w:r w:rsidRPr="00043DFE">
              <w:rPr>
                <w:snapToGrid w:val="0"/>
              </w:rPr>
              <w:t>[2] criterion.</w:t>
            </w:r>
          </w:p>
        </w:tc>
      </w:tr>
    </w:tbl>
    <w:p w14:paraId="418E959C" w14:textId="77777777" w:rsidR="00D814D0" w:rsidRPr="00043DFE" w:rsidRDefault="00D814D0" w:rsidP="00D814D0">
      <w:pPr>
        <w:rPr>
          <w:noProof/>
        </w:rPr>
      </w:pPr>
    </w:p>
    <w:p w14:paraId="160E6840" w14:textId="77777777" w:rsidR="00D814D0" w:rsidRPr="00043DFE" w:rsidRDefault="00D814D0" w:rsidP="00D814D0">
      <w:pPr>
        <w:pStyle w:val="TH"/>
        <w:rPr>
          <w:lang w:val="en-US"/>
        </w:rPr>
      </w:pPr>
      <w:r w:rsidRPr="00043DFE">
        <w:rPr>
          <w:lang w:val="en-US"/>
        </w:rPr>
        <w:t>Table 4.2.2.11.3-3: T</w:t>
      </w:r>
      <w:r w:rsidRPr="00043DFE">
        <w:rPr>
          <w:vertAlign w:val="subscript"/>
          <w:lang w:val="en-US"/>
        </w:rPr>
        <w:t>detect,</w:t>
      </w:r>
      <w:r w:rsidRPr="00043DFE">
        <w:rPr>
          <w:rFonts w:cs="Arial"/>
          <w:sz w:val="18"/>
          <w:szCs w:val="18"/>
          <w:vertAlign w:val="subscript"/>
        </w:rPr>
        <w:t xml:space="preserve"> </w:t>
      </w:r>
      <w:r w:rsidRPr="00043DFE">
        <w:rPr>
          <w:vertAlign w:val="subscript"/>
        </w:rPr>
        <w:t>EUTRAN</w:t>
      </w:r>
      <w:r w:rsidRPr="00043DFE">
        <w:rPr>
          <w:vertAlign w:val="subscript"/>
          <w:lang w:val="en-US"/>
        </w:rPr>
        <w:t>_Relax</w:t>
      </w:r>
      <w:r w:rsidRPr="00043DFE">
        <w:rPr>
          <w:lang w:val="en-US"/>
        </w:rPr>
        <w:t>, T</w:t>
      </w:r>
      <w:r w:rsidRPr="00043DFE">
        <w:rPr>
          <w:vertAlign w:val="subscript"/>
          <w:lang w:val="en-US"/>
        </w:rPr>
        <w:t>measure,</w:t>
      </w:r>
      <w:r w:rsidRPr="00043DFE">
        <w:rPr>
          <w:rFonts w:cs="Arial"/>
          <w:sz w:val="18"/>
          <w:szCs w:val="18"/>
          <w:vertAlign w:val="subscript"/>
        </w:rPr>
        <w:t xml:space="preserve"> </w:t>
      </w:r>
      <w:r w:rsidRPr="00043DFE">
        <w:rPr>
          <w:vertAlign w:val="subscript"/>
        </w:rPr>
        <w:t>EUTRAN</w:t>
      </w:r>
      <w:r w:rsidRPr="00043DFE">
        <w:rPr>
          <w:vertAlign w:val="subscript"/>
          <w:lang w:val="en-US"/>
        </w:rPr>
        <w:t>_Relax</w:t>
      </w:r>
      <w:r w:rsidRPr="00043DFE">
        <w:rPr>
          <w:lang w:val="en-US"/>
        </w:rPr>
        <w:t xml:space="preserve"> and T</w:t>
      </w:r>
      <w:r w:rsidRPr="00043DFE">
        <w:rPr>
          <w:vertAlign w:val="subscript"/>
          <w:lang w:val="en-US"/>
        </w:rPr>
        <w:t>evaluate,</w:t>
      </w:r>
      <w:r w:rsidRPr="00043DFE">
        <w:rPr>
          <w:rFonts w:cs="Arial"/>
          <w:sz w:val="18"/>
          <w:szCs w:val="18"/>
          <w:vertAlign w:val="subscript"/>
        </w:rPr>
        <w:t xml:space="preserve"> </w:t>
      </w:r>
      <w:r w:rsidRPr="00043DFE">
        <w:rPr>
          <w:vertAlign w:val="subscript"/>
        </w:rPr>
        <w:t>EUTRAN</w:t>
      </w:r>
      <w:r w:rsidRPr="00043DFE">
        <w:rPr>
          <w:vertAlign w:val="subscript"/>
          <w:lang w:val="en-US"/>
        </w:rPr>
        <w:t>_Relax</w:t>
      </w:r>
      <w:r w:rsidRPr="00043DFE">
        <w:rPr>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756"/>
        <w:gridCol w:w="936"/>
        <w:gridCol w:w="2819"/>
        <w:gridCol w:w="1860"/>
        <w:gridCol w:w="1846"/>
      </w:tblGrid>
      <w:tr w:rsidR="00D814D0" w:rsidRPr="00043DFE" w14:paraId="2C43F115" w14:textId="77777777" w:rsidTr="008B107E">
        <w:trPr>
          <w:trHeight w:val="1692"/>
        </w:trPr>
        <w:tc>
          <w:tcPr>
            <w:tcW w:w="1198" w:type="dxa"/>
            <w:hideMark/>
          </w:tcPr>
          <w:p w14:paraId="41C22C47" w14:textId="77777777" w:rsidR="00D814D0" w:rsidRPr="00043DFE" w:rsidRDefault="00D814D0" w:rsidP="008B107E">
            <w:pPr>
              <w:pStyle w:val="TAH"/>
              <w:rPr>
                <w:lang w:val="en-US"/>
              </w:rPr>
            </w:pPr>
            <w:r w:rsidRPr="00043DFE">
              <w:t>eDRX_IDLE cycle length [s]</w:t>
            </w:r>
          </w:p>
        </w:tc>
        <w:tc>
          <w:tcPr>
            <w:tcW w:w="751" w:type="dxa"/>
            <w:hideMark/>
          </w:tcPr>
          <w:p w14:paraId="51296F24" w14:textId="77777777" w:rsidR="00D814D0" w:rsidRPr="00043DFE" w:rsidRDefault="00D814D0" w:rsidP="008B107E">
            <w:pPr>
              <w:pStyle w:val="TAH"/>
              <w:rPr>
                <w:lang w:val="en-US"/>
              </w:rPr>
            </w:pPr>
            <w:r w:rsidRPr="00043DFE">
              <w:t>DRX cycle length [s]</w:t>
            </w:r>
          </w:p>
        </w:tc>
        <w:tc>
          <w:tcPr>
            <w:tcW w:w="930" w:type="dxa"/>
            <w:hideMark/>
          </w:tcPr>
          <w:p w14:paraId="3D999FA1" w14:textId="77777777" w:rsidR="00D814D0" w:rsidRPr="00043DFE" w:rsidRDefault="00D814D0" w:rsidP="008B107E">
            <w:pPr>
              <w:pStyle w:val="TAH"/>
              <w:rPr>
                <w:lang w:val="en-US"/>
              </w:rPr>
            </w:pPr>
            <w:r w:rsidRPr="00043DFE">
              <w:t>PTW length [s] (number of 1.28s periods)</w:t>
            </w:r>
          </w:p>
        </w:tc>
        <w:tc>
          <w:tcPr>
            <w:tcW w:w="2431" w:type="dxa"/>
            <w:hideMark/>
          </w:tcPr>
          <w:p w14:paraId="498DBE60" w14:textId="77777777" w:rsidR="00D814D0" w:rsidRPr="00043DFE" w:rsidRDefault="00D814D0" w:rsidP="008B107E">
            <w:pPr>
              <w:pStyle w:val="TAH"/>
              <w:rPr>
                <w:szCs w:val="18"/>
                <w:lang w:val="en-US"/>
              </w:rPr>
            </w:pPr>
            <w:r w:rsidRPr="00043DFE">
              <w:rPr>
                <w:szCs w:val="18"/>
                <w:lang w:val="en-US"/>
              </w:rPr>
              <w:t>T</w:t>
            </w:r>
            <w:r w:rsidRPr="00043DFE">
              <w:rPr>
                <w:szCs w:val="18"/>
                <w:vertAlign w:val="subscript"/>
                <w:lang w:val="en-US"/>
              </w:rPr>
              <w:t>detect,</w:t>
            </w:r>
            <w:r w:rsidRPr="00043DFE">
              <w:rPr>
                <w:szCs w:val="18"/>
                <w:vertAlign w:val="subscript"/>
              </w:rPr>
              <w:t xml:space="preserve"> EUTRAN</w:t>
            </w:r>
            <w:r w:rsidRPr="00043DFE">
              <w:rPr>
                <w:szCs w:val="18"/>
                <w:vertAlign w:val="subscript"/>
                <w:lang w:val="en-US"/>
              </w:rPr>
              <w:t>_Relax</w:t>
            </w:r>
            <w:r w:rsidRPr="00043DFE">
              <w:rPr>
                <w:szCs w:val="18"/>
              </w:rPr>
              <w:t xml:space="preserve"> [s] (number of DRX cycles or eDRX cycles </w:t>
            </w:r>
            <w:r w:rsidRPr="00043DFE">
              <w:rPr>
                <w:szCs w:val="18"/>
                <w:vertAlign w:val="superscript"/>
              </w:rPr>
              <w:t>Note 3</w:t>
            </w:r>
            <w:r w:rsidRPr="00043DFE">
              <w:rPr>
                <w:szCs w:val="18"/>
              </w:rPr>
              <w:t>)</w:t>
            </w:r>
          </w:p>
        </w:tc>
        <w:tc>
          <w:tcPr>
            <w:tcW w:w="1860" w:type="dxa"/>
            <w:hideMark/>
          </w:tcPr>
          <w:p w14:paraId="5DCD4F60" w14:textId="77777777" w:rsidR="00D814D0" w:rsidRPr="00043DFE" w:rsidRDefault="00D814D0" w:rsidP="008B107E">
            <w:pPr>
              <w:pStyle w:val="TAH"/>
              <w:rPr>
                <w:szCs w:val="18"/>
                <w:lang w:val="en-US"/>
              </w:rPr>
            </w:pPr>
            <w:r w:rsidRPr="00043DFE">
              <w:rPr>
                <w:szCs w:val="18"/>
                <w:lang w:val="en-US"/>
              </w:rPr>
              <w:t>T</w:t>
            </w:r>
            <w:r w:rsidRPr="00043DFE">
              <w:rPr>
                <w:szCs w:val="18"/>
                <w:vertAlign w:val="subscript"/>
                <w:lang w:val="en-US"/>
              </w:rPr>
              <w:t>measure,</w:t>
            </w:r>
            <w:r w:rsidRPr="00043DFE">
              <w:rPr>
                <w:szCs w:val="18"/>
                <w:vertAlign w:val="subscript"/>
              </w:rPr>
              <w:t>EUTRAN</w:t>
            </w:r>
            <w:r w:rsidRPr="00043DFE">
              <w:rPr>
                <w:szCs w:val="18"/>
                <w:vertAlign w:val="subscript"/>
                <w:lang w:val="en-US"/>
              </w:rPr>
              <w:t>_Relax</w:t>
            </w:r>
            <w:r w:rsidRPr="00043DFE">
              <w:rPr>
                <w:szCs w:val="18"/>
                <w:lang w:val="en-US"/>
              </w:rPr>
              <w:t xml:space="preserve"> </w:t>
            </w:r>
            <w:r w:rsidRPr="00043DFE">
              <w:rPr>
                <w:szCs w:val="18"/>
              </w:rPr>
              <w:t xml:space="preserve">[s] (number of DRX cycles or eDRX cycles </w:t>
            </w:r>
            <w:r w:rsidRPr="00043DFE">
              <w:rPr>
                <w:szCs w:val="18"/>
                <w:vertAlign w:val="superscript"/>
              </w:rPr>
              <w:t>Note 3</w:t>
            </w:r>
            <w:r w:rsidRPr="00043DFE">
              <w:rPr>
                <w:szCs w:val="18"/>
              </w:rPr>
              <w:t>)</w:t>
            </w:r>
          </w:p>
        </w:tc>
        <w:tc>
          <w:tcPr>
            <w:tcW w:w="1846" w:type="dxa"/>
          </w:tcPr>
          <w:p w14:paraId="286B024C" w14:textId="77777777" w:rsidR="00D814D0" w:rsidRPr="00043DFE" w:rsidRDefault="00D814D0" w:rsidP="008B107E">
            <w:pPr>
              <w:pStyle w:val="TAH"/>
              <w:rPr>
                <w:szCs w:val="18"/>
                <w:lang w:val="en-US"/>
              </w:rPr>
            </w:pPr>
            <w:r w:rsidRPr="00043DFE">
              <w:rPr>
                <w:szCs w:val="18"/>
                <w:lang w:val="en-US"/>
              </w:rPr>
              <w:t>T</w:t>
            </w:r>
            <w:r w:rsidRPr="00043DFE">
              <w:rPr>
                <w:szCs w:val="18"/>
                <w:vertAlign w:val="subscript"/>
                <w:lang w:val="en-US"/>
              </w:rPr>
              <w:t>evaluate,</w:t>
            </w:r>
            <w:r w:rsidRPr="00043DFE">
              <w:rPr>
                <w:szCs w:val="18"/>
                <w:vertAlign w:val="subscript"/>
              </w:rPr>
              <w:t>EUTRAN</w:t>
            </w:r>
            <w:r w:rsidRPr="00043DFE">
              <w:rPr>
                <w:szCs w:val="18"/>
                <w:vertAlign w:val="subscript"/>
                <w:lang w:val="en-US"/>
              </w:rPr>
              <w:t xml:space="preserve">_Relax </w:t>
            </w:r>
            <w:r w:rsidRPr="00043DFE">
              <w:rPr>
                <w:szCs w:val="18"/>
              </w:rPr>
              <w:t xml:space="preserve">[s] (number of DRX cycles or eDRX cycles </w:t>
            </w:r>
            <w:r w:rsidRPr="00043DFE">
              <w:rPr>
                <w:szCs w:val="18"/>
                <w:vertAlign w:val="superscript"/>
              </w:rPr>
              <w:t>Note 3</w:t>
            </w:r>
            <w:r w:rsidRPr="00043DFE">
              <w:rPr>
                <w:szCs w:val="18"/>
              </w:rPr>
              <w:t>)</w:t>
            </w:r>
          </w:p>
        </w:tc>
      </w:tr>
      <w:tr w:rsidR="00D814D0" w:rsidRPr="00043DFE" w14:paraId="7AB51EEE" w14:textId="77777777" w:rsidTr="008B107E">
        <w:trPr>
          <w:trHeight w:val="673"/>
        </w:trPr>
        <w:tc>
          <w:tcPr>
            <w:tcW w:w="1198" w:type="dxa"/>
            <w:tcBorders>
              <w:bottom w:val="nil"/>
            </w:tcBorders>
            <w:hideMark/>
          </w:tcPr>
          <w:p w14:paraId="45847371" w14:textId="77777777" w:rsidR="00D814D0" w:rsidRPr="00043DFE" w:rsidRDefault="00D814D0" w:rsidP="008B107E">
            <w:pPr>
              <w:pStyle w:val="TAC"/>
              <w:rPr>
                <w:lang w:val="en-US"/>
              </w:rPr>
            </w:pPr>
            <w:r w:rsidRPr="00043DFE">
              <w:t>20.48 ≤  eDRX_IDLE cycle length ≤[163.84]</w:t>
            </w:r>
          </w:p>
        </w:tc>
        <w:tc>
          <w:tcPr>
            <w:tcW w:w="751" w:type="dxa"/>
            <w:hideMark/>
          </w:tcPr>
          <w:p w14:paraId="054D9477" w14:textId="77777777" w:rsidR="00D814D0" w:rsidRPr="00043DFE" w:rsidRDefault="00D814D0" w:rsidP="008B107E">
            <w:pPr>
              <w:pStyle w:val="TAC"/>
              <w:rPr>
                <w:lang w:val="en-US"/>
              </w:rPr>
            </w:pPr>
            <w:r w:rsidRPr="00043DFE">
              <w:t>0.32</w:t>
            </w:r>
          </w:p>
        </w:tc>
        <w:tc>
          <w:tcPr>
            <w:tcW w:w="930" w:type="dxa"/>
            <w:hideMark/>
          </w:tcPr>
          <w:p w14:paraId="0C45479D" w14:textId="77777777" w:rsidR="00D814D0" w:rsidRPr="00043DFE" w:rsidRDefault="00D814D0" w:rsidP="008B107E">
            <w:pPr>
              <w:pStyle w:val="TAC"/>
              <w:rPr>
                <w:lang w:val="en-US"/>
              </w:rPr>
            </w:pPr>
            <w:r w:rsidRPr="00043DFE">
              <w:t>≥</w:t>
            </w:r>
            <w:r w:rsidRPr="00043DFE">
              <w:rPr>
                <w:lang w:val="en-US"/>
              </w:rPr>
              <w:t>[</w:t>
            </w:r>
            <w:r w:rsidRPr="00043DFE">
              <w:t>3.84] ([3])</w:t>
            </w:r>
          </w:p>
        </w:tc>
        <w:tc>
          <w:tcPr>
            <w:tcW w:w="2431" w:type="dxa"/>
            <w:tcBorders>
              <w:bottom w:val="nil"/>
            </w:tcBorders>
            <w:hideMark/>
          </w:tcPr>
          <w:p w14:paraId="58D91638" w14:textId="77777777" w:rsidR="00D814D0" w:rsidRPr="00043DFE" w:rsidRDefault="00D814D0" w:rsidP="008B107E">
            <w:pPr>
              <w:pStyle w:val="TAC"/>
              <w:rPr>
                <w:lang w:val="en-US"/>
              </w:rPr>
            </w:pPr>
            <m:oMathPara>
              <m:oMathParaPr>
                <m:jc m:val="centerGroup"/>
              </m:oMathParaPr>
              <m:oMath>
                <m:r>
                  <w:rPr>
                    <w:rFonts w:ascii="Cambria Math" w:hAnsi="Cambria Math"/>
                    <w:lang w:val="en-US"/>
                  </w:rPr>
                  <m:t>eDRX</m:t>
                </m:r>
                <m:r>
                  <m:rPr>
                    <m:sty m:val="p"/>
                  </m:rPr>
                  <w:rPr>
                    <w:rFonts w:ascii="Cambria Math" w:hAnsi="Cambria Math"/>
                    <w:lang w:val="en-US"/>
                  </w:rPr>
                  <m:t>_</m:t>
                </m:r>
                <m:r>
                  <w:rPr>
                    <w:rFonts w:ascii="Cambria Math" w:hAnsi="Cambria Math"/>
                    <w:lang w:val="en-US"/>
                  </w:rPr>
                  <m:t>cycl</m:t>
                </m:r>
                <m:r>
                  <m:rPr>
                    <m:sty m:val="p"/>
                  </m:rPr>
                  <w:rPr>
                    <w:rFonts w:ascii="Cambria Math" w:hAnsi="Cambria Math"/>
                    <w:lang w:val="en-US"/>
                  </w:rPr>
                  <m:t>e_</m:t>
                </m:r>
                <m:r>
                  <w:rPr>
                    <w:rFonts w:ascii="Cambria Math" w:hAnsi="Cambria Math"/>
                    <w:lang w:val="en-US"/>
                  </w:rPr>
                  <m:t>length×</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23</m:t>
                        </m:r>
                      </m:num>
                      <m:den>
                        <m:r>
                          <w:rPr>
                            <w:rFonts w:ascii="Cambria Math" w:hAnsi="Cambria Math"/>
                            <w:lang w:val="en-US"/>
                          </w:rPr>
                          <m:t>PTW/DRX_cycle_length</m:t>
                        </m:r>
                      </m:den>
                    </m:f>
                  </m:e>
                </m:d>
                <m:r>
                  <m:rPr>
                    <m:sty m:val="p"/>
                  </m:rPr>
                  <w:rPr>
                    <w:rFonts w:ascii="Cambria Math" w:hAnsi="Cambria Math"/>
                    <w:lang w:val="sv-SE"/>
                  </w:rPr>
                  <m:t>x K1</m:t>
                </m:r>
              </m:oMath>
            </m:oMathPara>
          </w:p>
          <w:p w14:paraId="1B36476D" w14:textId="77777777" w:rsidR="00D814D0" w:rsidRPr="00043DFE" w:rsidRDefault="00D814D0" w:rsidP="008B107E">
            <w:pPr>
              <w:pStyle w:val="TAC"/>
              <w:rPr>
                <w:lang w:val="en-US"/>
              </w:rPr>
            </w:pPr>
            <w:r w:rsidRPr="00043DFE">
              <w:rPr>
                <w:lang w:val="en-US"/>
              </w:rPr>
              <w:t>(23</w:t>
            </w:r>
            <w:r w:rsidRPr="00043DFE">
              <w:rPr>
                <w:lang w:val="sv-SE"/>
              </w:rPr>
              <w:t xml:space="preserve"> x K1</w:t>
            </w:r>
            <w:r w:rsidRPr="00043DFE">
              <w:rPr>
                <w:lang w:val="en-US"/>
              </w:rPr>
              <w:t>)</w:t>
            </w:r>
          </w:p>
        </w:tc>
        <w:tc>
          <w:tcPr>
            <w:tcW w:w="1860" w:type="dxa"/>
            <w:hideMark/>
          </w:tcPr>
          <w:p w14:paraId="0C5ED55A" w14:textId="77777777" w:rsidR="00D814D0" w:rsidRPr="00043DFE" w:rsidRDefault="00D814D0" w:rsidP="008B107E">
            <w:pPr>
              <w:pStyle w:val="TAC"/>
            </w:pPr>
            <w:r w:rsidRPr="00043DFE">
              <w:t>0.32 x K1 (1 x M2 x K1)</w:t>
            </w:r>
          </w:p>
        </w:tc>
        <w:tc>
          <w:tcPr>
            <w:tcW w:w="1846" w:type="dxa"/>
          </w:tcPr>
          <w:p w14:paraId="2D2B8C61" w14:textId="77777777" w:rsidR="00D814D0" w:rsidRPr="00043DFE" w:rsidRDefault="00D814D0" w:rsidP="008B107E">
            <w:pPr>
              <w:pStyle w:val="TAC"/>
            </w:pPr>
            <w:r w:rsidRPr="00043DFE">
              <w:t>0.64 x K1 (2 x M2 x K1)</w:t>
            </w:r>
          </w:p>
        </w:tc>
      </w:tr>
      <w:tr w:rsidR="00D814D0" w:rsidRPr="00043DFE" w14:paraId="166700F2" w14:textId="77777777" w:rsidTr="008B107E">
        <w:trPr>
          <w:trHeight w:val="336"/>
        </w:trPr>
        <w:tc>
          <w:tcPr>
            <w:tcW w:w="1198" w:type="dxa"/>
            <w:tcBorders>
              <w:top w:val="nil"/>
              <w:bottom w:val="nil"/>
            </w:tcBorders>
            <w:hideMark/>
          </w:tcPr>
          <w:p w14:paraId="11708B6C" w14:textId="77777777" w:rsidR="00D814D0" w:rsidRPr="00043DFE" w:rsidRDefault="00D814D0" w:rsidP="008B107E">
            <w:pPr>
              <w:pStyle w:val="TAC"/>
              <w:rPr>
                <w:lang w:val="en-US"/>
              </w:rPr>
            </w:pPr>
          </w:p>
        </w:tc>
        <w:tc>
          <w:tcPr>
            <w:tcW w:w="751" w:type="dxa"/>
            <w:hideMark/>
          </w:tcPr>
          <w:p w14:paraId="25A1648F" w14:textId="77777777" w:rsidR="00D814D0" w:rsidRPr="00043DFE" w:rsidRDefault="00D814D0" w:rsidP="008B107E">
            <w:pPr>
              <w:pStyle w:val="TAC"/>
              <w:rPr>
                <w:lang w:val="en-US"/>
              </w:rPr>
            </w:pPr>
            <w:r w:rsidRPr="00043DFE">
              <w:t>0.64</w:t>
            </w:r>
          </w:p>
        </w:tc>
        <w:tc>
          <w:tcPr>
            <w:tcW w:w="930" w:type="dxa"/>
            <w:hideMark/>
          </w:tcPr>
          <w:p w14:paraId="3B9B8FE0" w14:textId="77777777" w:rsidR="00D814D0" w:rsidRPr="00043DFE" w:rsidRDefault="00D814D0" w:rsidP="008B107E">
            <w:pPr>
              <w:pStyle w:val="TAC"/>
              <w:rPr>
                <w:lang w:val="en-US"/>
              </w:rPr>
            </w:pPr>
            <w:r w:rsidRPr="00043DFE">
              <w:t>≥</w:t>
            </w:r>
            <w:r w:rsidRPr="00043DFE">
              <w:rPr>
                <w:lang w:val="en-US"/>
              </w:rPr>
              <w:t>[</w:t>
            </w:r>
            <w:r w:rsidRPr="00043DFE">
              <w:t>3.84] ([3])</w:t>
            </w:r>
          </w:p>
        </w:tc>
        <w:tc>
          <w:tcPr>
            <w:tcW w:w="2431" w:type="dxa"/>
            <w:tcBorders>
              <w:top w:val="nil"/>
              <w:bottom w:val="nil"/>
            </w:tcBorders>
            <w:hideMark/>
          </w:tcPr>
          <w:p w14:paraId="59EB5A9E" w14:textId="77777777" w:rsidR="00D814D0" w:rsidRPr="00043DFE" w:rsidRDefault="00D814D0" w:rsidP="008B107E">
            <w:pPr>
              <w:pStyle w:val="TAC"/>
              <w:rPr>
                <w:lang w:val="en-US"/>
              </w:rPr>
            </w:pPr>
          </w:p>
        </w:tc>
        <w:tc>
          <w:tcPr>
            <w:tcW w:w="1860" w:type="dxa"/>
            <w:hideMark/>
          </w:tcPr>
          <w:p w14:paraId="35003BDC" w14:textId="77777777" w:rsidR="00D814D0" w:rsidRPr="00043DFE" w:rsidRDefault="00D814D0" w:rsidP="008B107E">
            <w:pPr>
              <w:pStyle w:val="TAC"/>
            </w:pPr>
            <w:r w:rsidRPr="00043DFE">
              <w:t>0.64 x K1 (1 x K1)</w:t>
            </w:r>
          </w:p>
        </w:tc>
        <w:tc>
          <w:tcPr>
            <w:tcW w:w="1846" w:type="dxa"/>
          </w:tcPr>
          <w:p w14:paraId="6505464E" w14:textId="77777777" w:rsidR="00D814D0" w:rsidRPr="00043DFE" w:rsidRDefault="00D814D0" w:rsidP="008B107E">
            <w:pPr>
              <w:pStyle w:val="TAC"/>
            </w:pPr>
            <w:r w:rsidRPr="00043DFE">
              <w:t>1.28 x K1 (2 x K1)</w:t>
            </w:r>
          </w:p>
        </w:tc>
      </w:tr>
      <w:tr w:rsidR="00D814D0" w:rsidRPr="00043DFE" w14:paraId="10A27441" w14:textId="77777777" w:rsidTr="008B107E">
        <w:trPr>
          <w:trHeight w:val="336"/>
        </w:trPr>
        <w:tc>
          <w:tcPr>
            <w:tcW w:w="1198" w:type="dxa"/>
            <w:tcBorders>
              <w:top w:val="nil"/>
              <w:bottom w:val="nil"/>
            </w:tcBorders>
            <w:hideMark/>
          </w:tcPr>
          <w:p w14:paraId="089BF8E4" w14:textId="77777777" w:rsidR="00D814D0" w:rsidRPr="00043DFE" w:rsidRDefault="00D814D0" w:rsidP="008B107E">
            <w:pPr>
              <w:pStyle w:val="TAC"/>
              <w:rPr>
                <w:lang w:val="en-US"/>
              </w:rPr>
            </w:pPr>
          </w:p>
        </w:tc>
        <w:tc>
          <w:tcPr>
            <w:tcW w:w="751" w:type="dxa"/>
            <w:hideMark/>
          </w:tcPr>
          <w:p w14:paraId="62A80669" w14:textId="77777777" w:rsidR="00D814D0" w:rsidRPr="00043DFE" w:rsidRDefault="00D814D0" w:rsidP="008B107E">
            <w:pPr>
              <w:pStyle w:val="TAC"/>
              <w:rPr>
                <w:lang w:val="en-US"/>
              </w:rPr>
            </w:pPr>
            <w:r w:rsidRPr="00043DFE">
              <w:t>1.28</w:t>
            </w:r>
          </w:p>
        </w:tc>
        <w:tc>
          <w:tcPr>
            <w:tcW w:w="930" w:type="dxa"/>
            <w:hideMark/>
          </w:tcPr>
          <w:p w14:paraId="630AE433" w14:textId="77777777" w:rsidR="00D814D0" w:rsidRPr="00043DFE" w:rsidRDefault="00D814D0" w:rsidP="008B107E">
            <w:pPr>
              <w:pStyle w:val="TAC"/>
              <w:rPr>
                <w:lang w:val="en-US"/>
              </w:rPr>
            </w:pPr>
            <w:r w:rsidRPr="00043DFE">
              <w:t>≥[7.68] ([6])</w:t>
            </w:r>
          </w:p>
        </w:tc>
        <w:tc>
          <w:tcPr>
            <w:tcW w:w="2431" w:type="dxa"/>
            <w:tcBorders>
              <w:top w:val="nil"/>
              <w:bottom w:val="nil"/>
            </w:tcBorders>
            <w:hideMark/>
          </w:tcPr>
          <w:p w14:paraId="33E1749C" w14:textId="77777777" w:rsidR="00D814D0" w:rsidRPr="00043DFE" w:rsidRDefault="00D814D0" w:rsidP="008B107E">
            <w:pPr>
              <w:pStyle w:val="TAC"/>
              <w:rPr>
                <w:lang w:val="en-US"/>
              </w:rPr>
            </w:pPr>
          </w:p>
        </w:tc>
        <w:tc>
          <w:tcPr>
            <w:tcW w:w="1860" w:type="dxa"/>
            <w:hideMark/>
          </w:tcPr>
          <w:p w14:paraId="6B4356B7" w14:textId="77777777" w:rsidR="00D814D0" w:rsidRPr="00043DFE" w:rsidRDefault="00D814D0" w:rsidP="008B107E">
            <w:pPr>
              <w:pStyle w:val="TAC"/>
            </w:pPr>
            <w:r w:rsidRPr="00043DFE">
              <w:t>1.28 x K1 (1 x K1)</w:t>
            </w:r>
          </w:p>
        </w:tc>
        <w:tc>
          <w:tcPr>
            <w:tcW w:w="1846" w:type="dxa"/>
          </w:tcPr>
          <w:p w14:paraId="1162A6B7" w14:textId="77777777" w:rsidR="00D814D0" w:rsidRPr="00043DFE" w:rsidRDefault="00D814D0" w:rsidP="008B107E">
            <w:pPr>
              <w:pStyle w:val="TAC"/>
            </w:pPr>
            <w:r w:rsidRPr="00043DFE">
              <w:t>2.56 x K1 (2 x K1)</w:t>
            </w:r>
          </w:p>
        </w:tc>
      </w:tr>
      <w:tr w:rsidR="00D814D0" w:rsidRPr="00043DFE" w14:paraId="2FDC4AC9" w14:textId="77777777" w:rsidTr="008B107E">
        <w:trPr>
          <w:trHeight w:val="336"/>
        </w:trPr>
        <w:tc>
          <w:tcPr>
            <w:tcW w:w="1198" w:type="dxa"/>
            <w:tcBorders>
              <w:top w:val="nil"/>
            </w:tcBorders>
            <w:hideMark/>
          </w:tcPr>
          <w:p w14:paraId="435296D0" w14:textId="77777777" w:rsidR="00D814D0" w:rsidRPr="00043DFE" w:rsidRDefault="00D814D0" w:rsidP="008B107E">
            <w:pPr>
              <w:pStyle w:val="TAC"/>
              <w:rPr>
                <w:lang w:val="en-US"/>
              </w:rPr>
            </w:pPr>
          </w:p>
        </w:tc>
        <w:tc>
          <w:tcPr>
            <w:tcW w:w="751" w:type="dxa"/>
            <w:hideMark/>
          </w:tcPr>
          <w:p w14:paraId="5270820D" w14:textId="77777777" w:rsidR="00D814D0" w:rsidRPr="00043DFE" w:rsidRDefault="00D814D0" w:rsidP="008B107E">
            <w:pPr>
              <w:pStyle w:val="TAC"/>
              <w:rPr>
                <w:lang w:val="en-US"/>
              </w:rPr>
            </w:pPr>
            <w:r w:rsidRPr="00043DFE">
              <w:t>2.56</w:t>
            </w:r>
          </w:p>
        </w:tc>
        <w:tc>
          <w:tcPr>
            <w:tcW w:w="930" w:type="dxa"/>
            <w:hideMark/>
          </w:tcPr>
          <w:p w14:paraId="413A1A6B" w14:textId="77777777" w:rsidR="00D814D0" w:rsidRPr="00043DFE" w:rsidRDefault="00D814D0" w:rsidP="008B107E">
            <w:pPr>
              <w:pStyle w:val="TAC"/>
              <w:rPr>
                <w:lang w:val="en-US"/>
              </w:rPr>
            </w:pPr>
            <w:r w:rsidRPr="00043DFE">
              <w:t>≥[15.36] ([12])</w:t>
            </w:r>
          </w:p>
        </w:tc>
        <w:tc>
          <w:tcPr>
            <w:tcW w:w="2431" w:type="dxa"/>
            <w:tcBorders>
              <w:top w:val="nil"/>
            </w:tcBorders>
            <w:hideMark/>
          </w:tcPr>
          <w:p w14:paraId="6D1451B6" w14:textId="77777777" w:rsidR="00D814D0" w:rsidRPr="00043DFE" w:rsidRDefault="00D814D0" w:rsidP="008B107E">
            <w:pPr>
              <w:pStyle w:val="TAC"/>
              <w:rPr>
                <w:lang w:val="en-US"/>
              </w:rPr>
            </w:pPr>
          </w:p>
        </w:tc>
        <w:tc>
          <w:tcPr>
            <w:tcW w:w="1860" w:type="dxa"/>
            <w:hideMark/>
          </w:tcPr>
          <w:p w14:paraId="3F8FA0F6" w14:textId="77777777" w:rsidR="00D814D0" w:rsidRPr="00043DFE" w:rsidRDefault="00D814D0" w:rsidP="008B107E">
            <w:pPr>
              <w:pStyle w:val="TAC"/>
            </w:pPr>
            <w:r w:rsidRPr="00043DFE">
              <w:t>2.56 x K1 (1 x K1)</w:t>
            </w:r>
          </w:p>
        </w:tc>
        <w:tc>
          <w:tcPr>
            <w:tcW w:w="1846" w:type="dxa"/>
          </w:tcPr>
          <w:p w14:paraId="041EE24D" w14:textId="77777777" w:rsidR="00D814D0" w:rsidRPr="00043DFE" w:rsidRDefault="00D814D0" w:rsidP="008B107E">
            <w:pPr>
              <w:pStyle w:val="TAC"/>
            </w:pPr>
            <w:r w:rsidRPr="00043DFE">
              <w:t>5.12 x K1 (2 x K1)</w:t>
            </w:r>
          </w:p>
        </w:tc>
      </w:tr>
      <w:tr w:rsidR="00D814D0" w:rsidRPr="00043DFE" w14:paraId="54393348" w14:textId="77777777" w:rsidTr="008B107E">
        <w:trPr>
          <w:trHeight w:val="336"/>
        </w:trPr>
        <w:tc>
          <w:tcPr>
            <w:tcW w:w="9016" w:type="dxa"/>
            <w:gridSpan w:val="6"/>
          </w:tcPr>
          <w:p w14:paraId="312DDE4E" w14:textId="77777777" w:rsidR="00D814D0" w:rsidRPr="00043DFE" w:rsidRDefault="00D814D0" w:rsidP="008B107E">
            <w:pPr>
              <w:pStyle w:val="TAN"/>
              <w:rPr>
                <w:snapToGrid w:val="0"/>
              </w:rPr>
            </w:pPr>
            <w:r w:rsidRPr="00043DFE">
              <w:rPr>
                <w:snapToGrid w:val="0"/>
              </w:rPr>
              <w:t>Note 1</w:t>
            </w:r>
            <w:r w:rsidRPr="00043DFE">
              <w:t>:</w:t>
            </w:r>
            <w:r w:rsidRPr="00043DFE">
              <w:rPr>
                <w:lang w:val="en-US"/>
              </w:rPr>
              <w:tab/>
            </w:r>
            <w:r w:rsidRPr="00043DFE">
              <w:rPr>
                <w:snapToGrid w:val="0"/>
              </w:rPr>
              <w:t>The number of DRX cycles in this table is given for the DRX cycles within PTWs.</w:t>
            </w:r>
          </w:p>
          <w:p w14:paraId="47B635A5" w14:textId="77777777" w:rsidR="00D814D0" w:rsidRPr="00043DFE" w:rsidRDefault="00D814D0" w:rsidP="008B107E">
            <w:pPr>
              <w:pStyle w:val="TAN"/>
              <w:rPr>
                <w:snapToGrid w:val="0"/>
              </w:rPr>
            </w:pPr>
            <w:r w:rsidRPr="00043DFE">
              <w:rPr>
                <w:snapToGrid w:val="0"/>
              </w:rPr>
              <w:t>Note 2</w:t>
            </w:r>
            <w:r w:rsidRPr="00043DFE">
              <w:t>:</w:t>
            </w:r>
            <w:r w:rsidRPr="00043DFE">
              <w:rPr>
                <w:lang w:val="en-US"/>
              </w:rPr>
              <w:tab/>
            </w:r>
            <w:r w:rsidRPr="00043DFE">
              <w:rPr>
                <w:snapToGrid w:val="0"/>
              </w:rPr>
              <w:t>The eDRX_IDLE cycle lengths are as specified in Section 10.5.5.32 of TS 24.008 [34].</w:t>
            </w:r>
          </w:p>
          <w:p w14:paraId="3434D694" w14:textId="77777777" w:rsidR="00D814D0" w:rsidRPr="00043DFE" w:rsidRDefault="00D814D0" w:rsidP="008B107E">
            <w:pPr>
              <w:pStyle w:val="TAN"/>
              <w:rPr>
                <w:rFonts w:cs="Arial"/>
                <w:iCs/>
              </w:rPr>
            </w:pPr>
            <w:r w:rsidRPr="00043DFE">
              <w:rPr>
                <w:snapToGrid w:val="0"/>
              </w:rPr>
              <w:t>Note</w:t>
            </w:r>
            <w:r w:rsidRPr="00043DFE">
              <w:rPr>
                <w:rFonts w:cs="Arial"/>
              </w:rPr>
              <w:t xml:space="preserve"> 3:</w:t>
            </w:r>
            <w:r w:rsidRPr="00043DFE">
              <w:rPr>
                <w:lang w:val="en-US"/>
              </w:rPr>
              <w:t xml:space="preserve"> </w:t>
            </w:r>
            <w:r w:rsidRPr="00043DFE">
              <w:rPr>
                <w:lang w:val="en-US"/>
              </w:rPr>
              <w:tab/>
            </w:r>
            <w:r w:rsidRPr="00043DFE">
              <w:rPr>
                <w:rFonts w:cs="Arial"/>
              </w:rPr>
              <w:t xml:space="preserve">The lower bound of </w:t>
            </w:r>
            <w:r w:rsidRPr="00043DFE">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sidRPr="00043DFE">
              <w:rPr>
                <w:rFonts w:cs="Arial"/>
                <w:iCs/>
              </w:rPr>
              <w:t>.</w:t>
            </w:r>
          </w:p>
          <w:p w14:paraId="6A18CB39" w14:textId="77777777" w:rsidR="00D814D0" w:rsidRPr="00043DFE" w:rsidRDefault="00D814D0" w:rsidP="008B107E">
            <w:pPr>
              <w:pStyle w:val="TAN"/>
              <w:rPr>
                <w:snapToGrid w:val="0"/>
              </w:rPr>
            </w:pPr>
            <w:r w:rsidRPr="00043DFE">
              <w:rPr>
                <w:snapToGrid w:val="0"/>
              </w:rPr>
              <w:t>Note 4:</w:t>
            </w:r>
            <w:r w:rsidRPr="00043DFE">
              <w:rPr>
                <w:snapToGrid w:val="0"/>
              </w:rPr>
              <w:tab/>
              <w:t xml:space="preserve">K1 = 3 is the measurement relaxation factor applicable for UE fulfilling the </w:t>
            </w:r>
            <w:r w:rsidRPr="00043DFE">
              <w:rPr>
                <w:i/>
                <w:iCs/>
              </w:rPr>
              <w:t xml:space="preserve">cellEdgeEvaluation </w:t>
            </w:r>
            <w:r w:rsidRPr="00043DFE">
              <w:rPr>
                <w:snapToGrid w:val="0"/>
              </w:rPr>
              <w:t>[2] criterion.</w:t>
            </w:r>
          </w:p>
        </w:tc>
      </w:tr>
    </w:tbl>
    <w:p w14:paraId="3EC0B8A4" w14:textId="77777777" w:rsidR="00D814D0" w:rsidRPr="00B00A5E" w:rsidRDefault="00D814D0" w:rsidP="0022726A">
      <w:pPr>
        <w:rPr>
          <w:lang w:val="en-US" w:eastAsia="zh-CN"/>
        </w:rPr>
      </w:pPr>
    </w:p>
    <w:p w14:paraId="356CFC52" w14:textId="34993380" w:rsidR="0022726A" w:rsidRDefault="0022726A" w:rsidP="00A549F8">
      <w:pPr>
        <w:pStyle w:val="Heading5"/>
        <w:rPr>
          <w:lang w:val="en-US" w:eastAsia="zh-CN"/>
        </w:rPr>
      </w:pPr>
      <w:r>
        <w:rPr>
          <w:lang w:val="en-US" w:eastAsia="zh-CN"/>
        </w:rPr>
        <w:t>4.2.2.11.4</w:t>
      </w:r>
      <w:r w:rsidR="00A21E2B">
        <w:rPr>
          <w:lang w:val="en-US" w:eastAsia="zh-CN"/>
        </w:rPr>
        <w:tab/>
      </w:r>
      <w:r>
        <w:rPr>
          <w:lang w:val="en-US" w:eastAsia="zh-CN"/>
        </w:rPr>
        <w:t>Measurements for UE fulfilling low mobility and not-at-cell edge criterion</w:t>
      </w:r>
    </w:p>
    <w:p w14:paraId="3118A5F7" w14:textId="77777777" w:rsidR="0022726A" w:rsidRDefault="0022726A" w:rsidP="00A549F8">
      <w:pPr>
        <w:rPr>
          <w:rFonts w:eastAsiaTheme="minorEastAsia"/>
          <w:lang w:eastAsia="zh-CN"/>
        </w:rPr>
      </w:pPr>
      <w:r w:rsidRPr="00885F53">
        <w:rPr>
          <w:lang w:val="en-US" w:eastAsia="zh-CN"/>
        </w:rPr>
        <w:t xml:space="preserve">This clause contains requirements </w:t>
      </w:r>
      <w:r>
        <w:rPr>
          <w:rFonts w:eastAsiaTheme="minorEastAsia"/>
          <w:lang w:eastAsia="zh-CN"/>
        </w:rPr>
        <w:t xml:space="preserve">for measurements on </w:t>
      </w:r>
      <w:r>
        <w:rPr>
          <w:noProof/>
        </w:rPr>
        <w:t>inter-RAT E-UTRAN cells</w:t>
      </w:r>
      <w:r>
        <w:rPr>
          <w:rFonts w:eastAsiaTheme="minorEastAsia"/>
          <w:lang w:eastAsia="zh-CN"/>
        </w:rPr>
        <w:t xml:space="preserve"> provided that:</w:t>
      </w:r>
    </w:p>
    <w:p w14:paraId="7CACDE76" w14:textId="77777777" w:rsidR="00A750BE" w:rsidRPr="00BE23A5" w:rsidRDefault="00A750BE" w:rsidP="00A750BE">
      <w:pPr>
        <w:pStyle w:val="B10"/>
        <w:rPr>
          <w:lang w:eastAsia="zh-CN"/>
        </w:rPr>
      </w:pPr>
      <w:r>
        <w:rPr>
          <w:lang w:eastAsia="zh-CN"/>
        </w:rPr>
        <w:t>-</w:t>
      </w:r>
      <w:r>
        <w:rPr>
          <w:lang w:eastAsia="zh-CN"/>
        </w:rPr>
        <w:tab/>
      </w:r>
      <w:r w:rsidRPr="00AD77EE">
        <w:rPr>
          <w:lang w:eastAsia="zh-CN"/>
        </w:rPr>
        <w:t xml:space="preserve">T331 timer is not running for EMR measurements on </w:t>
      </w:r>
      <w:r w:rsidRPr="0039265E">
        <w:rPr>
          <w:lang w:eastAsia="zh-CN"/>
        </w:rPr>
        <w:t>inter-RAT E-UTRAN</w:t>
      </w:r>
      <w:r>
        <w:rPr>
          <w:lang w:eastAsia="zh-CN"/>
        </w:rPr>
        <w:t>, and</w:t>
      </w:r>
    </w:p>
    <w:p w14:paraId="0EDF3E4B" w14:textId="1187F820" w:rsidR="00A750BE" w:rsidRPr="00AD77EE" w:rsidRDefault="00A750BE" w:rsidP="00A750BE">
      <w:pPr>
        <w:pStyle w:val="B10"/>
        <w:rPr>
          <w:lang w:eastAsia="zh-CN"/>
        </w:rPr>
      </w:pPr>
      <w:r>
        <w:rPr>
          <w:lang w:eastAsia="zh-CN"/>
        </w:rPr>
        <w:t>-</w:t>
      </w:r>
      <w:r>
        <w:rPr>
          <w:lang w:eastAsia="zh-CN"/>
        </w:rPr>
        <w:tab/>
      </w:r>
      <w:r w:rsidRPr="000A4CE3">
        <w:rPr>
          <w:lang w:eastAsia="zh-CN"/>
        </w:rPr>
        <w:t xml:space="preserve">UE is configured with </w:t>
      </w:r>
      <w:r w:rsidRPr="00AD77EE">
        <w:rPr>
          <w:lang w:eastAsia="zh-CN"/>
        </w:rPr>
        <w:t xml:space="preserve">both </w:t>
      </w:r>
      <w:r w:rsidR="00740A4E" w:rsidRPr="001C6668">
        <w:rPr>
          <w:i/>
          <w:iCs/>
          <w:lang w:eastAsia="zh-CN"/>
        </w:rPr>
        <w:t>lowMobilityEvaluation</w:t>
      </w:r>
      <w:r w:rsidR="00740A4E" w:rsidRPr="00485479" w:rsidDel="00480A2E">
        <w:rPr>
          <w:i/>
          <w:iCs/>
          <w:lang w:eastAsia="zh-CN"/>
        </w:rPr>
        <w:t xml:space="preserve"> </w:t>
      </w:r>
      <w:r>
        <w:rPr>
          <w:lang w:eastAsia="zh-CN"/>
        </w:rPr>
        <w:t>[2]</w:t>
      </w:r>
      <w:r w:rsidRPr="00AD77EE">
        <w:rPr>
          <w:lang w:eastAsia="zh-CN"/>
        </w:rPr>
        <w:t xml:space="preserve"> criterion and </w:t>
      </w:r>
      <w:r w:rsidRPr="00485479">
        <w:rPr>
          <w:i/>
          <w:iCs/>
          <w:lang w:eastAsia="zh-CN"/>
        </w:rPr>
        <w:t>cellEdgeEvaluation</w:t>
      </w:r>
      <w:r>
        <w:rPr>
          <w:i/>
          <w:iCs/>
          <w:lang w:eastAsia="zh-CN"/>
        </w:rPr>
        <w:t xml:space="preserve"> </w:t>
      </w:r>
      <w:r>
        <w:rPr>
          <w:lang w:eastAsia="zh-CN"/>
        </w:rPr>
        <w:t>[2]</w:t>
      </w:r>
      <w:r w:rsidRPr="00AD77EE">
        <w:rPr>
          <w:lang w:eastAsia="zh-CN"/>
        </w:rPr>
        <w:t xml:space="preserve"> criterion, </w:t>
      </w:r>
      <w:r>
        <w:rPr>
          <w:lang w:eastAsia="zh-CN"/>
        </w:rPr>
        <w:t xml:space="preserve">and </w:t>
      </w:r>
    </w:p>
    <w:p w14:paraId="3DAFCD4D" w14:textId="7CF6A16B" w:rsidR="00EB3ABD" w:rsidRDefault="00EB3ABD" w:rsidP="00EB3ABD">
      <w:pPr>
        <w:pStyle w:val="B10"/>
        <w:rPr>
          <w:lang w:eastAsia="zh-CN"/>
        </w:rPr>
      </w:pPr>
      <w:r>
        <w:rPr>
          <w:lang w:eastAsia="zh-CN"/>
        </w:rPr>
        <w:t>-</w:t>
      </w:r>
      <w:r>
        <w:rPr>
          <w:lang w:eastAsia="zh-CN"/>
        </w:rPr>
        <w:tab/>
      </w:r>
      <w:r w:rsidRPr="00AD77EE">
        <w:rPr>
          <w:lang w:eastAsia="zh-CN"/>
        </w:rPr>
        <w:t xml:space="preserve">has </w:t>
      </w:r>
      <w:r>
        <w:rPr>
          <w:lang w:eastAsia="zh-CN"/>
        </w:rPr>
        <w:t xml:space="preserve">also </w:t>
      </w:r>
      <w:r w:rsidRPr="00AD77EE">
        <w:rPr>
          <w:lang w:eastAsia="zh-CN"/>
        </w:rPr>
        <w:t xml:space="preserve">fulfilled </w:t>
      </w:r>
      <w:r>
        <w:rPr>
          <w:lang w:eastAsia="zh-CN"/>
        </w:rPr>
        <w:t>both criteria</w:t>
      </w:r>
    </w:p>
    <w:p w14:paraId="3F93784B" w14:textId="77777777" w:rsidR="00EB3ABD" w:rsidRDefault="00EB3ABD" w:rsidP="00EB3ABD">
      <w:pPr>
        <w:rPr>
          <w:lang w:eastAsia="zh-CN"/>
        </w:rPr>
      </w:pPr>
      <w:r>
        <w:rPr>
          <w:lang w:eastAsia="zh-CN"/>
        </w:rPr>
        <w:t>In this case th</w:t>
      </w:r>
      <w:r w:rsidRPr="00F15959">
        <w:rPr>
          <w:lang w:eastAsia="zh-CN"/>
        </w:rPr>
        <w:t>e UE</w:t>
      </w:r>
      <w:r>
        <w:rPr>
          <w:lang w:eastAsia="zh-CN"/>
        </w:rPr>
        <w:t xml:space="preserve"> is not </w:t>
      </w:r>
      <w:r w:rsidRPr="000D108A">
        <w:rPr>
          <w:lang w:eastAsia="zh-CN"/>
        </w:rPr>
        <w:t xml:space="preserve">required to meet </w:t>
      </w:r>
      <w:r w:rsidRPr="009449C0">
        <w:rPr>
          <w:rFonts w:cs="v4.2.0"/>
        </w:rPr>
        <w:t>T</w:t>
      </w:r>
      <w:r w:rsidRPr="009449C0">
        <w:rPr>
          <w:rFonts w:cs="v4.2.0"/>
          <w:vertAlign w:val="subscript"/>
        </w:rPr>
        <w:t>detect,EUTRAN</w:t>
      </w:r>
      <w:r w:rsidRPr="009449C0">
        <w:rPr>
          <w:rFonts w:ascii="Arial" w:hAnsi="Arial"/>
          <w:sz w:val="18"/>
        </w:rPr>
        <w:t xml:space="preserve"> </w:t>
      </w:r>
      <w:r w:rsidRPr="00CF075A">
        <w:rPr>
          <w:rFonts w:ascii="Arial" w:hAnsi="Arial"/>
          <w:sz w:val="18"/>
        </w:rPr>
        <w:t xml:space="preserve">, </w:t>
      </w:r>
      <w:r w:rsidRPr="00CF075A">
        <w:rPr>
          <w:rFonts w:cs="v4.2.0"/>
        </w:rPr>
        <w:t>T</w:t>
      </w:r>
      <w:r w:rsidRPr="00CF075A">
        <w:rPr>
          <w:rFonts w:cs="v4.2.0"/>
          <w:vertAlign w:val="subscript"/>
        </w:rPr>
        <w:t>measure,EUTRAN</w:t>
      </w:r>
      <w:r w:rsidRPr="002A0573">
        <w:rPr>
          <w:rFonts w:ascii="Arial" w:hAnsi="Arial"/>
          <w:sz w:val="18"/>
        </w:rPr>
        <w:t xml:space="preserve">  </w:t>
      </w:r>
      <w:r w:rsidRPr="000D108A">
        <w:t xml:space="preserve">and </w:t>
      </w:r>
      <w:r w:rsidRPr="000D108A">
        <w:rPr>
          <w:rFonts w:cs="v4.2.0"/>
        </w:rPr>
        <w:t>T</w:t>
      </w:r>
      <w:r w:rsidRPr="000D108A">
        <w:rPr>
          <w:rFonts w:cs="v4.2.0"/>
          <w:vertAlign w:val="subscript"/>
        </w:rPr>
        <w:t>evaluate,EUTRAN</w:t>
      </w:r>
      <w:r w:rsidRPr="000D108A">
        <w:rPr>
          <w:lang w:eastAsia="zh-CN"/>
        </w:rPr>
        <w:t xml:space="preserve"> as defined in </w:t>
      </w:r>
      <w:r w:rsidRPr="000D108A">
        <w:rPr>
          <w:snapToGrid w:val="0"/>
        </w:rPr>
        <w:t>Table 4.2.2.5-1</w:t>
      </w:r>
      <w:r w:rsidRPr="000D108A">
        <w:rPr>
          <w:lang w:eastAsia="zh-CN"/>
        </w:rPr>
        <w:t>.</w:t>
      </w:r>
    </w:p>
    <w:p w14:paraId="177AABDE" w14:textId="77777777" w:rsidR="00EB3ABD" w:rsidRPr="007E1BBF" w:rsidRDefault="00EB3ABD" w:rsidP="00EB3ABD">
      <w:pPr>
        <w:rPr>
          <w:lang w:eastAsia="zh-CN"/>
        </w:rPr>
      </w:pPr>
      <w:r w:rsidRPr="007E1BBF">
        <w:rPr>
          <w:rFonts w:hint="eastAsia"/>
          <w:noProof/>
          <w:lang w:eastAsia="zh-CN"/>
        </w:rPr>
        <w:t>W</w:t>
      </w:r>
      <w:r w:rsidRPr="007E1BBF">
        <w:rPr>
          <w:noProof/>
        </w:rPr>
        <w:t xml:space="preserve">hen </w:t>
      </w:r>
      <w:r w:rsidRPr="007E1BBF">
        <w:rPr>
          <w:lang w:eastAsia="zh-CN"/>
        </w:rPr>
        <w:t xml:space="preserve">Srxlev </w:t>
      </w:r>
      <w:r w:rsidRPr="007E1BBF">
        <w:t>≤</w:t>
      </w:r>
      <w:r w:rsidRPr="007E1BBF">
        <w:rPr>
          <w:lang w:eastAsia="zh-CN"/>
        </w:rPr>
        <w:t xml:space="preserve"> S</w:t>
      </w:r>
      <w:r w:rsidRPr="007E1BBF">
        <w:rPr>
          <w:vertAlign w:val="subscript"/>
          <w:lang w:eastAsia="zh-CN"/>
        </w:rPr>
        <w:t>nonIntraSearchP</w:t>
      </w:r>
      <w:r w:rsidRPr="007E1BBF">
        <w:rPr>
          <w:lang w:eastAsia="zh-CN"/>
        </w:rPr>
        <w:t xml:space="preserve"> or Squal </w:t>
      </w:r>
      <w:r w:rsidRPr="007E1BBF">
        <w:t>≤</w:t>
      </w:r>
      <w:r w:rsidRPr="007E1BBF">
        <w:rPr>
          <w:lang w:eastAsia="zh-CN"/>
        </w:rPr>
        <w:t xml:space="preserve"> S</w:t>
      </w:r>
      <w:r w:rsidRPr="007E1BBF">
        <w:rPr>
          <w:vertAlign w:val="subscript"/>
          <w:lang w:eastAsia="zh-CN"/>
        </w:rPr>
        <w:t>nonIntraSearchQ</w:t>
      </w:r>
      <w:r w:rsidRPr="007E1BBF">
        <w:rPr>
          <w:noProof/>
        </w:rPr>
        <w:t xml:space="preserve">, the UE shall search for, measure and evaluate </w:t>
      </w:r>
      <w:r w:rsidRPr="00D56527">
        <w:rPr>
          <w:noProof/>
        </w:rPr>
        <w:t>inter-RAT E-UTRAN</w:t>
      </w:r>
      <w:r w:rsidRPr="007E1BBF">
        <w:rPr>
          <w:noProof/>
        </w:rPr>
        <w:t xml:space="preserve"> layers of </w:t>
      </w:r>
      <w:r w:rsidRPr="007E1BBF">
        <w:t>higher or lower priority</w:t>
      </w:r>
      <w:r w:rsidRPr="007E1BBF">
        <w:rPr>
          <w:noProof/>
        </w:rPr>
        <w:t xml:space="preserve"> at least every 1 hour.</w:t>
      </w:r>
    </w:p>
    <w:p w14:paraId="58201639" w14:textId="77777777" w:rsidR="00EB3ABD" w:rsidRDefault="00EB3ABD" w:rsidP="00EB3ABD">
      <w:pPr>
        <w:rPr>
          <w:noProof/>
        </w:rPr>
      </w:pPr>
      <w:r w:rsidRPr="007E1BBF">
        <w:rPr>
          <w:noProof/>
        </w:rPr>
        <w:t>When Srxlev &gt; S</w:t>
      </w:r>
      <w:r w:rsidRPr="007E1BBF">
        <w:rPr>
          <w:noProof/>
          <w:vertAlign w:val="subscript"/>
        </w:rPr>
        <w:t>nonIntraSearchP</w:t>
      </w:r>
      <w:r w:rsidRPr="007E1BBF">
        <w:rPr>
          <w:noProof/>
        </w:rPr>
        <w:t xml:space="preserve"> and Squal &gt; S</w:t>
      </w:r>
      <w:r w:rsidRPr="007E1BBF">
        <w:rPr>
          <w:noProof/>
          <w:vertAlign w:val="subscript"/>
        </w:rPr>
        <w:t>nonIntraSearchQ</w:t>
      </w:r>
      <w:r w:rsidRPr="007E1BBF">
        <w:rPr>
          <w:noProof/>
        </w:rPr>
        <w:t xml:space="preserve">, the UE shall search for </w:t>
      </w:r>
      <w:r w:rsidRPr="00D56527">
        <w:rPr>
          <w:noProof/>
        </w:rPr>
        <w:t>inter-RAT E-UTRAN</w:t>
      </w:r>
      <w:r w:rsidRPr="007E1BBF">
        <w:rPr>
          <w:noProof/>
        </w:rPr>
        <w:t xml:space="preserve"> of higher priority at least every </w:t>
      </w:r>
      <w:r>
        <w:rPr>
          <w:noProof/>
        </w:rPr>
        <w:t>K2</w:t>
      </w:r>
      <w:r w:rsidRPr="007E1BBF">
        <w:rPr>
          <w:noProof/>
        </w:rPr>
        <w:t>*T</w:t>
      </w:r>
      <w:r w:rsidRPr="007E1BBF">
        <w:rPr>
          <w:noProof/>
          <w:vertAlign w:val="subscript"/>
        </w:rPr>
        <w:t xml:space="preserve">higher_priority_search </w:t>
      </w:r>
      <w:r w:rsidRPr="007E1BBF">
        <w:rPr>
          <w:noProof/>
        </w:rPr>
        <w:t>where T</w:t>
      </w:r>
      <w:r w:rsidRPr="007E1BBF">
        <w:rPr>
          <w:noProof/>
          <w:vertAlign w:val="subscript"/>
        </w:rPr>
        <w:t>higher_priority_search</w:t>
      </w:r>
      <w:r w:rsidRPr="007E1BBF">
        <w:rPr>
          <w:noProof/>
        </w:rPr>
        <w:t xml:space="preserve"> is described in clause 4.2.2.7</w:t>
      </w:r>
      <w:r w:rsidRPr="00BE33D6">
        <w:rPr>
          <w:noProof/>
        </w:rPr>
        <w:t xml:space="preserve"> </w:t>
      </w:r>
      <w:r>
        <w:rPr>
          <w:noProof/>
        </w:rPr>
        <w:t>and K2=60</w:t>
      </w:r>
      <w:r w:rsidRPr="007E1BBF">
        <w:rPr>
          <w:noProof/>
        </w:rPr>
        <w:t>.</w:t>
      </w:r>
      <w:r w:rsidRPr="0074751E">
        <w:rPr>
          <w:noProof/>
        </w:rPr>
        <w:t xml:space="preserve"> </w:t>
      </w:r>
    </w:p>
    <w:p w14:paraId="56473F20" w14:textId="18AC35C8" w:rsidR="00A750BE" w:rsidRDefault="00A750BE" w:rsidP="00A750BE"/>
    <w:p w14:paraId="7DB356B0" w14:textId="77777777" w:rsidR="008A6EF7" w:rsidRPr="00885F53" w:rsidRDefault="008A6EF7" w:rsidP="008A6EF7">
      <w:pPr>
        <w:pStyle w:val="Heading2"/>
      </w:pPr>
      <w:r w:rsidRPr="00885F53">
        <w:t>4.2</w:t>
      </w:r>
      <w:r>
        <w:t>A</w:t>
      </w:r>
      <w:r w:rsidRPr="00885F53">
        <w:tab/>
        <w:t>Cell Re-selection</w:t>
      </w:r>
      <w:r>
        <w:t xml:space="preserve"> when subject to CCA</w:t>
      </w:r>
    </w:p>
    <w:p w14:paraId="64118676" w14:textId="77777777" w:rsidR="008A6EF7" w:rsidRPr="00885F53" w:rsidRDefault="008A6EF7" w:rsidP="008A6EF7">
      <w:pPr>
        <w:pStyle w:val="Heading3"/>
        <w:rPr>
          <w:lang w:val="en-US" w:eastAsia="ko-KR"/>
        </w:rPr>
      </w:pPr>
      <w:r w:rsidRPr="00885F53">
        <w:rPr>
          <w:lang w:val="en-US" w:eastAsia="ko-KR"/>
        </w:rPr>
        <w:t>4.2</w:t>
      </w:r>
      <w:r>
        <w:rPr>
          <w:lang w:val="en-US" w:eastAsia="ko-KR"/>
        </w:rPr>
        <w:t>A</w:t>
      </w:r>
      <w:r w:rsidRPr="00885F53">
        <w:rPr>
          <w:lang w:val="en-US" w:eastAsia="ko-KR"/>
        </w:rPr>
        <w:t>.1</w:t>
      </w:r>
      <w:r w:rsidRPr="00885F53">
        <w:rPr>
          <w:lang w:val="en-US" w:eastAsia="ko-KR"/>
        </w:rPr>
        <w:tab/>
        <w:t>Introduction</w:t>
      </w:r>
    </w:p>
    <w:p w14:paraId="0F6045B2" w14:textId="73A739BA" w:rsidR="008A6EF7" w:rsidRPr="004F54B0" w:rsidRDefault="008A6EF7" w:rsidP="008A6EF7">
      <w:pPr>
        <w:rPr>
          <w:rFonts w:cs="v4.2.0"/>
        </w:rPr>
      </w:pPr>
      <w:r w:rsidRPr="00885F53">
        <w:rPr>
          <w:rFonts w:cs="v4.2.0"/>
        </w:rPr>
        <w:t>The cell reselection procedure allows the UE to select a more suitable cell and camp on it.</w:t>
      </w:r>
      <w:r>
        <w:rPr>
          <w:rFonts w:cs="v4.2.0"/>
        </w:rPr>
        <w:t xml:space="preserve"> The requirements </w:t>
      </w:r>
      <w:r w:rsidRPr="002B288A">
        <w:rPr>
          <w:lang w:eastAsia="sv-SE"/>
        </w:rPr>
        <w:t xml:space="preserve">in </w:t>
      </w:r>
      <w:r>
        <w:rPr>
          <w:lang w:eastAsia="sv-SE"/>
        </w:rPr>
        <w:t>clause</w:t>
      </w:r>
      <w:r w:rsidRPr="002B288A">
        <w:rPr>
          <w:lang w:eastAsia="sv-SE"/>
        </w:rPr>
        <w:t xml:space="preserve">s 4.2A.2.3, 4.2A.2.4, and 4.2A.2.6, apply when at least the target cell is on a carrier frequency </w:t>
      </w:r>
      <w:r>
        <w:rPr>
          <w:lang w:eastAsia="sv-SE"/>
        </w:rPr>
        <w:t xml:space="preserve">subject to </w:t>
      </w:r>
      <w:r w:rsidRPr="002B288A">
        <w:rPr>
          <w:lang w:eastAsia="sv-SE"/>
        </w:rPr>
        <w:t xml:space="preserve">CCA, and the requirements in </w:t>
      </w:r>
      <w:r>
        <w:rPr>
          <w:lang w:eastAsia="sv-SE"/>
        </w:rPr>
        <w:t>clause</w:t>
      </w:r>
      <w:r w:rsidRPr="002B288A">
        <w:rPr>
          <w:lang w:eastAsia="sv-SE"/>
        </w:rPr>
        <w:t>s 4.2A.2.2,</w:t>
      </w:r>
      <w:r>
        <w:rPr>
          <w:lang w:eastAsia="sv-SE"/>
        </w:rPr>
        <w:t xml:space="preserve"> and 4.2A.2.5</w:t>
      </w:r>
      <w:r w:rsidRPr="002B288A">
        <w:rPr>
          <w:lang w:eastAsia="sv-SE"/>
        </w:rPr>
        <w:t xml:space="preserve"> apply when at least the camping cell is on a carrier frequency </w:t>
      </w:r>
      <w:r>
        <w:rPr>
          <w:lang w:eastAsia="sv-SE"/>
        </w:rPr>
        <w:t xml:space="preserve">subject to </w:t>
      </w:r>
      <w:r w:rsidRPr="002B288A">
        <w:rPr>
          <w:lang w:eastAsia="sv-SE"/>
        </w:rPr>
        <w:t>CCA</w:t>
      </w:r>
      <w:r w:rsidR="006D5C93">
        <w:rPr>
          <w:lang w:eastAsia="sv-SE"/>
        </w:rPr>
        <w:t>.</w:t>
      </w:r>
    </w:p>
    <w:p w14:paraId="7B5E758F" w14:textId="77777777" w:rsidR="008A6EF7" w:rsidRPr="00885F53" w:rsidRDefault="008A6EF7" w:rsidP="008A6EF7">
      <w:r w:rsidRPr="00885F53">
        <w:rPr>
          <w:rFonts w:cs="v4.2.0"/>
        </w:rPr>
        <w:t xml:space="preserve">When the UE is in either </w:t>
      </w:r>
      <w:r w:rsidRPr="00885F53">
        <w:rPr>
          <w:rFonts w:cs="v4.2.0"/>
          <w:i/>
        </w:rPr>
        <w:t>Camped</w:t>
      </w:r>
      <w:r w:rsidRPr="00885F53">
        <w:rPr>
          <w:rFonts w:cs="v4.2.0"/>
        </w:rPr>
        <w:t xml:space="preserve"> </w:t>
      </w:r>
      <w:r w:rsidRPr="00885F53">
        <w:rPr>
          <w:rFonts w:cs="v4.2.0"/>
          <w:i/>
        </w:rPr>
        <w:t xml:space="preserve">Normally </w:t>
      </w:r>
      <w:r w:rsidRPr="00885F53">
        <w:rPr>
          <w:rFonts w:cs="v4.2.0"/>
        </w:rPr>
        <w:t xml:space="preserve">state or </w:t>
      </w:r>
      <w:r w:rsidRPr="00885F53">
        <w:rPr>
          <w:rFonts w:cs="v4.2.0"/>
          <w:i/>
          <w:iCs/>
        </w:rPr>
        <w:t>Camped on Any Cell</w:t>
      </w:r>
      <w:r w:rsidRPr="00885F53">
        <w:rPr>
          <w:rFonts w:cs="v4.2.0"/>
        </w:rPr>
        <w:t xml:space="preserve"> state on a cell, the UE shall attempt to detect, synchronise, and monitor intra-frequency, inter-frequency and inter-RAT cells indicated by the serving cell. For intra-frequency and inter-frequency cells the serving cell may not provide explicit neighbour list but carrier frequency information and bandwidth information only. UE measurement activity is also controlled by measurement rules defined in TS</w:t>
      </w:r>
      <w:r w:rsidRPr="00885F53">
        <w:t> </w:t>
      </w:r>
      <w:r w:rsidRPr="00885F53">
        <w:rPr>
          <w:rFonts w:cs="v4.2.0"/>
        </w:rPr>
        <w:t>38.304, allowing the UE to limit its measurement activity.</w:t>
      </w:r>
    </w:p>
    <w:p w14:paraId="71D0DC1E" w14:textId="77777777" w:rsidR="008A6EF7" w:rsidRPr="00885F53" w:rsidRDefault="008A6EF7" w:rsidP="008A6EF7">
      <w:r w:rsidRPr="00885F53">
        <w:t>In the requirements of clause 4.2</w:t>
      </w:r>
      <w:r>
        <w:t>A</w:t>
      </w:r>
      <w:r w:rsidRPr="00885F53">
        <w:t>, the exceptions for side conditions apply as follows:</w:t>
      </w:r>
    </w:p>
    <w:p w14:paraId="6A68BD8E" w14:textId="0F324E89" w:rsidR="006D5C93" w:rsidRDefault="008A6EF7" w:rsidP="006D5C93">
      <w:pPr>
        <w:pStyle w:val="B10"/>
      </w:pPr>
      <w:r w:rsidRPr="00885F53">
        <w:t>-</w:t>
      </w:r>
      <w:r w:rsidRPr="00885F53">
        <w:tab/>
        <w:t>for the UE capable of CA, the applicable exceptions for side conditions are specif</w:t>
      </w:r>
      <w:r>
        <w:t xml:space="preserve">ied in Annex B, clause B.x.y </w:t>
      </w:r>
      <w:r w:rsidRPr="00885F53">
        <w:t>for UE supporting CA in FR1</w:t>
      </w:r>
      <w:r>
        <w:t>.</w:t>
      </w:r>
    </w:p>
    <w:p w14:paraId="28DE89E3" w14:textId="3BFA47D4" w:rsidR="00561D8B" w:rsidRDefault="00561D8B" w:rsidP="00561D8B">
      <w:r w:rsidRPr="0075720D">
        <w:t xml:space="preserve">In the requirements of clause 4.2A.2, the term SMTC occasion not available at the UE refers to when the SMTC contains SSBs configured by gNB in a cell on a carrier frequency subject to CCA, but  </w:t>
      </w:r>
      <w:r w:rsidRPr="007B2E48">
        <w:rPr>
          <w:i/>
          <w:iCs/>
        </w:rPr>
        <w:t>N</w:t>
      </w:r>
      <w:r>
        <w:rPr>
          <w:i/>
          <w:iCs/>
        </w:rPr>
        <w:t xml:space="preserve"> </w:t>
      </w:r>
      <w:r w:rsidRPr="0075720D">
        <w:t>candidate SSB positions for the same SS/PBCH block index within the discovery burst transmission window are not available at the UE due to DL CCA failures at gNB during the corresponding detection, measurement, or evaluation period</w:t>
      </w:r>
      <w:r>
        <w:t>, where:</w:t>
      </w:r>
    </w:p>
    <w:p w14:paraId="7C5C8734" w14:textId="77777777" w:rsidR="00561D8B" w:rsidRPr="005F2A29" w:rsidRDefault="00561D8B" w:rsidP="00561D8B">
      <w:pPr>
        <w:pStyle w:val="B10"/>
      </w:pPr>
      <w:r>
        <w:t>-</w:t>
      </w:r>
      <w:r>
        <w:tab/>
      </w:r>
      <w:r w:rsidRPr="005F2A29">
        <w:t xml:space="preserve">For the cell detection procedure: </w:t>
      </w:r>
      <w:r w:rsidRPr="005F2A29">
        <w:rPr>
          <w:i/>
          <w:iCs/>
        </w:rPr>
        <w:t>N</w:t>
      </w:r>
      <w:r w:rsidRPr="005F2A29">
        <w:t xml:space="preserve"> is at least one candidate SSB position (NOTE: the one candidate SSB position for the cell detection shall not be impacted by the set of candidate SSB positions which are already being measured by the UE within the current measurement period of the on-going measurements), and</w:t>
      </w:r>
    </w:p>
    <w:p w14:paraId="04BBC982" w14:textId="77777777" w:rsidR="00561D8B" w:rsidRPr="007B2E48" w:rsidRDefault="00561D8B" w:rsidP="00CA364D">
      <w:pPr>
        <w:pStyle w:val="B10"/>
      </w:pPr>
      <w:r w:rsidRPr="007B2E48">
        <w:t>-</w:t>
      </w:r>
      <w:r w:rsidRPr="007B2E48">
        <w:tab/>
        <w:t>For other procedures in clause</w:t>
      </w:r>
      <w:r>
        <w:t xml:space="preserve"> </w:t>
      </w:r>
      <w:r w:rsidRPr="0075720D">
        <w:t>4.2A.2</w:t>
      </w:r>
      <w:r w:rsidRPr="007B2E48">
        <w:t xml:space="preserve">: </w:t>
      </w:r>
      <w:r w:rsidRPr="007B2E48">
        <w:rPr>
          <w:i/>
          <w:iCs/>
        </w:rPr>
        <w:t>N</w:t>
      </w:r>
      <w:r w:rsidRPr="007B2E48">
        <w:t xml:space="preserve"> are the first two successive candidate SSB positions when </w:t>
      </w:r>
      <w:r w:rsidRPr="007B2E48">
        <w:rPr>
          <w:lang w:val="en-US"/>
        </w:rPr>
        <w:t>two or more candidate SSB positions are configured for this SSB index in one discovery burst transmission window, otherwise N is one candidate SSB position</w:t>
      </w:r>
      <w:r w:rsidRPr="007B2E48">
        <w:t>;</w:t>
      </w:r>
    </w:p>
    <w:p w14:paraId="332E3E32" w14:textId="77777777" w:rsidR="00561D8B" w:rsidRPr="0075720D" w:rsidRDefault="00561D8B" w:rsidP="00561D8B">
      <w:r w:rsidRPr="0075720D">
        <w:t>otherwise the SMTC occasion is considered as available at the UE.</w:t>
      </w:r>
    </w:p>
    <w:p w14:paraId="3AAEED36" w14:textId="77777777" w:rsidR="008A6EF7" w:rsidRDefault="008A6EF7" w:rsidP="008A6EF7">
      <w:pPr>
        <w:pStyle w:val="Heading3"/>
        <w:rPr>
          <w:lang w:val="en-US" w:eastAsia="ko-KR"/>
        </w:rPr>
      </w:pPr>
      <w:r w:rsidRPr="00885F53">
        <w:rPr>
          <w:lang w:val="en-US" w:eastAsia="ko-KR"/>
        </w:rPr>
        <w:t>4.2</w:t>
      </w:r>
      <w:r>
        <w:rPr>
          <w:lang w:val="en-US" w:eastAsia="ko-KR"/>
        </w:rPr>
        <w:t>A</w:t>
      </w:r>
      <w:r w:rsidRPr="00885F53">
        <w:rPr>
          <w:lang w:val="en-US" w:eastAsia="ko-KR"/>
        </w:rPr>
        <w:t>.2</w:t>
      </w:r>
      <w:r w:rsidRPr="00885F53">
        <w:rPr>
          <w:lang w:val="en-US" w:eastAsia="ko-KR"/>
        </w:rPr>
        <w:tab/>
        <w:t>Requirements</w:t>
      </w:r>
    </w:p>
    <w:p w14:paraId="63CF15B2" w14:textId="77777777" w:rsidR="008A6EF7" w:rsidRPr="00885F53" w:rsidRDefault="008A6EF7" w:rsidP="008A6EF7">
      <w:pPr>
        <w:pStyle w:val="Heading4"/>
        <w:rPr>
          <w:lang w:val="en-US" w:eastAsia="zh-CN"/>
        </w:rPr>
      </w:pPr>
      <w:r w:rsidRPr="00885F53">
        <w:rPr>
          <w:lang w:val="en-US" w:eastAsia="zh-CN"/>
        </w:rPr>
        <w:t>4.2</w:t>
      </w:r>
      <w:r>
        <w:rPr>
          <w:lang w:val="en-US" w:eastAsia="zh-CN"/>
        </w:rPr>
        <w:t>A</w:t>
      </w:r>
      <w:r w:rsidRPr="00885F53">
        <w:rPr>
          <w:lang w:val="en-US" w:eastAsia="zh-CN"/>
        </w:rPr>
        <w:t>.2.1</w:t>
      </w:r>
      <w:r w:rsidRPr="00885F53">
        <w:rPr>
          <w:lang w:val="en-US" w:eastAsia="zh-CN"/>
        </w:rPr>
        <w:tab/>
        <w:t>UE measurement capability</w:t>
      </w:r>
    </w:p>
    <w:p w14:paraId="1A8028C8" w14:textId="77777777" w:rsidR="008A6EF7" w:rsidRPr="00885F53" w:rsidRDefault="008A6EF7" w:rsidP="008A6EF7">
      <w:r w:rsidRPr="00885F53">
        <w:t>For idle mode cell re-selection purposes, the UE shall be capable of monitoring at least:</w:t>
      </w:r>
    </w:p>
    <w:p w14:paraId="41A92F56" w14:textId="77777777" w:rsidR="008A6EF7" w:rsidRPr="00885F53" w:rsidRDefault="008A6EF7" w:rsidP="008A6EF7">
      <w:pPr>
        <w:pStyle w:val="B10"/>
      </w:pPr>
      <w:r w:rsidRPr="00885F53">
        <w:t>-</w:t>
      </w:r>
      <w:r w:rsidRPr="00885F53">
        <w:tab/>
        <w:t>Intra-frequency carrier, and</w:t>
      </w:r>
    </w:p>
    <w:p w14:paraId="1289D64E" w14:textId="77777777" w:rsidR="008A6EF7" w:rsidRPr="00885F53" w:rsidRDefault="008A6EF7" w:rsidP="008A6EF7">
      <w:pPr>
        <w:pStyle w:val="B10"/>
      </w:pPr>
      <w:r w:rsidRPr="00885F53">
        <w:t>-</w:t>
      </w:r>
      <w:r w:rsidRPr="00885F53">
        <w:tab/>
        <w:t>Depending on UE capability, 7 NR inter-frequency carriers, and</w:t>
      </w:r>
    </w:p>
    <w:p w14:paraId="4CEF1C91" w14:textId="77777777" w:rsidR="008A6EF7" w:rsidRPr="00885F53" w:rsidRDefault="008A6EF7" w:rsidP="008A6EF7">
      <w:pPr>
        <w:pStyle w:val="B10"/>
      </w:pPr>
      <w:r w:rsidRPr="00885F53">
        <w:t>-</w:t>
      </w:r>
      <w:r w:rsidRPr="00885F53">
        <w:tab/>
        <w:t>Depending on UE capability, 7 FDD E-UTRA inter-RAT carriers, and</w:t>
      </w:r>
    </w:p>
    <w:p w14:paraId="0C27C34A" w14:textId="77777777" w:rsidR="008A6EF7" w:rsidRPr="00885F53" w:rsidRDefault="008A6EF7" w:rsidP="008A6EF7">
      <w:pPr>
        <w:pStyle w:val="B10"/>
      </w:pPr>
      <w:r w:rsidRPr="00885F53">
        <w:t>-</w:t>
      </w:r>
      <w:r w:rsidRPr="00885F53">
        <w:tab/>
        <w:t>Depending on UE capability, 7 TDD E-UTRA inter-RAT carriers.</w:t>
      </w:r>
    </w:p>
    <w:p w14:paraId="6C7BB4D6" w14:textId="77777777" w:rsidR="008A6EF7" w:rsidRPr="003B2CE2" w:rsidRDefault="008A6EF7" w:rsidP="008A6EF7">
      <w:r w:rsidRPr="00885F53">
        <w:rPr>
          <w:iCs/>
        </w:rPr>
        <w:t>In add</w:t>
      </w:r>
      <w:r w:rsidRPr="003B2CE2">
        <w:rPr>
          <w:iCs/>
        </w:rPr>
        <w:t xml:space="preserve">ition to the requirements defined above, </w:t>
      </w:r>
      <w:r w:rsidRPr="003B2CE2">
        <w:t xml:space="preserve">a UE supporting E-UTRA measurements in RRC_IDLE state shall be capable of monitoring a total of at least 14 carrier frequency layers, which includes serving layer, comprising of any above defined combination of E-UTRA FDD, E-UTRA TDD and NR layers. </w:t>
      </w:r>
      <w:r w:rsidRPr="003B2CE2">
        <w:rPr>
          <w:lang w:val="en-US" w:eastAsia="zh-CN"/>
        </w:rPr>
        <w:t>The inter-frequency carriers include carriers on unlicensed band and/or licensed band.</w:t>
      </w:r>
    </w:p>
    <w:p w14:paraId="60D57678" w14:textId="77777777" w:rsidR="008A6EF7" w:rsidRPr="003B2CE2" w:rsidRDefault="008A6EF7" w:rsidP="008A6EF7">
      <w:pPr>
        <w:pStyle w:val="Heading4"/>
        <w:rPr>
          <w:lang w:val="en-US"/>
        </w:rPr>
      </w:pPr>
      <w:r w:rsidRPr="003B2CE2">
        <w:rPr>
          <w:lang w:val="en-US"/>
        </w:rPr>
        <w:t>4.2A.2.2</w:t>
      </w:r>
      <w:r w:rsidRPr="003B2CE2">
        <w:rPr>
          <w:lang w:val="en-US"/>
        </w:rPr>
        <w:tab/>
        <w:t xml:space="preserve">Measurement and evaluation when </w:t>
      </w:r>
      <w:r>
        <w:rPr>
          <w:lang w:val="en-US"/>
        </w:rPr>
        <w:t xml:space="preserve">subject to </w:t>
      </w:r>
      <w:r w:rsidRPr="003B2CE2">
        <w:rPr>
          <w:lang w:val="en-US"/>
        </w:rPr>
        <w:t>CCA on the serving cell</w:t>
      </w:r>
    </w:p>
    <w:p w14:paraId="06DF9A56" w14:textId="77777777" w:rsidR="00794F3B" w:rsidRPr="00415158" w:rsidRDefault="00794F3B" w:rsidP="00794F3B">
      <w:pPr>
        <w:rPr>
          <w:rFonts w:eastAsiaTheme="minorEastAsia" w:cs="v4.2.0"/>
        </w:rPr>
      </w:pPr>
      <w:r w:rsidRPr="00415158">
        <w:rPr>
          <w:rFonts w:eastAsiaTheme="minorEastAsia" w:cs="v4.2.0"/>
        </w:rPr>
        <w:t xml:space="preserve">The UE shall measure the </w:t>
      </w:r>
      <w:r w:rsidRPr="00415158">
        <w:rPr>
          <w:rFonts w:eastAsiaTheme="minorEastAsia" w:cs="v4.2.0"/>
          <w:lang w:eastAsia="zh-CN"/>
        </w:rPr>
        <w:t>SS-</w:t>
      </w:r>
      <w:r w:rsidRPr="00415158">
        <w:rPr>
          <w:rFonts w:eastAsiaTheme="minorEastAsia" w:cs="v4.2.0"/>
        </w:rPr>
        <w:t xml:space="preserve">RSRP and </w:t>
      </w:r>
      <w:r w:rsidRPr="00415158">
        <w:rPr>
          <w:rFonts w:eastAsiaTheme="minorEastAsia" w:cs="v4.2.0"/>
          <w:lang w:eastAsia="zh-CN"/>
        </w:rPr>
        <w:t>SS-</w:t>
      </w:r>
      <w:r w:rsidRPr="00415158">
        <w:rPr>
          <w:rFonts w:eastAsiaTheme="minorEastAsia" w:cs="v4.2.0"/>
        </w:rPr>
        <w:t xml:space="preserve">RSRQ level of the serving cell and evaluate the cell selection criterion S defined in </w:t>
      </w:r>
      <w:r w:rsidRPr="00415158">
        <w:rPr>
          <w:rFonts w:eastAsiaTheme="minorEastAsia"/>
        </w:rPr>
        <w:t>TS 38.304</w:t>
      </w:r>
      <w:r w:rsidRPr="00415158">
        <w:rPr>
          <w:rFonts w:eastAsiaTheme="minorEastAsia" w:cs="v4.2.0"/>
        </w:rPr>
        <w:t> [1] for the serving cell at least once every (1+M</w:t>
      </w:r>
      <w:r w:rsidRPr="00415158">
        <w:rPr>
          <w:rFonts w:eastAsiaTheme="minorEastAsia" w:cs="v4.2.0"/>
          <w:vertAlign w:val="subscript"/>
        </w:rPr>
        <w:t>n</w:t>
      </w:r>
      <w:r w:rsidRPr="00415158">
        <w:rPr>
          <w:rFonts w:eastAsiaTheme="minorEastAsia" w:cs="v4.2.0"/>
        </w:rPr>
        <w:t>)*M1*N1 DRX cycles in N</w:t>
      </w:r>
      <w:r w:rsidRPr="00415158">
        <w:rPr>
          <w:rFonts w:eastAsiaTheme="minorEastAsia" w:cs="v4.2.0"/>
          <w:vertAlign w:val="subscript"/>
        </w:rPr>
        <w:t>serv_CCA</w:t>
      </w:r>
      <w:r w:rsidRPr="00415158">
        <w:rPr>
          <w:rFonts w:eastAsiaTheme="minorEastAsia" w:cs="v4.2.0"/>
        </w:rPr>
        <w:t xml:space="preserve"> consecutive DRX cycles; where:</w:t>
      </w:r>
    </w:p>
    <w:p w14:paraId="330276DC" w14:textId="3AFD76BE" w:rsidR="008A6EF7" w:rsidRPr="003B2CE2" w:rsidRDefault="00815008" w:rsidP="008A6EF7">
      <w:pPr>
        <w:pStyle w:val="B10"/>
      </w:pPr>
      <w:r>
        <w:t>-</w:t>
      </w:r>
      <w:r w:rsidR="001178D1">
        <w:tab/>
      </w:r>
      <w:r w:rsidR="008A6EF7" w:rsidRPr="003B2CE2">
        <w:t>M1=2 if SMTC periodicity (T</w:t>
      </w:r>
      <w:r w:rsidR="008A6EF7" w:rsidRPr="003B2CE2">
        <w:rPr>
          <w:vertAlign w:val="subscript"/>
        </w:rPr>
        <w:t>SMTC</w:t>
      </w:r>
      <w:r w:rsidR="008A6EF7" w:rsidRPr="003B2CE2">
        <w:t xml:space="preserve">) &gt; 20 ms and DRX cycle </w:t>
      </w:r>
      <w:r w:rsidR="008A6EF7" w:rsidRPr="003B2CE2">
        <w:rPr>
          <w:rFonts w:hint="eastAsia"/>
        </w:rPr>
        <w:t>≤</w:t>
      </w:r>
      <w:r w:rsidR="008A6EF7" w:rsidRPr="003B2CE2">
        <w:t xml:space="preserve">  0.64 second,</w:t>
      </w:r>
    </w:p>
    <w:p w14:paraId="00969EAE" w14:textId="38B76B66" w:rsidR="008A6EF7" w:rsidRPr="003B2CE2" w:rsidRDefault="00EC0645" w:rsidP="008A6EF7">
      <w:pPr>
        <w:pStyle w:val="B10"/>
      </w:pPr>
      <w:r>
        <w:t>-</w:t>
      </w:r>
      <w:r w:rsidR="00815008">
        <w:tab/>
      </w:r>
      <w:r w:rsidR="008A6EF7" w:rsidRPr="003B2CE2">
        <w:t>otherwise M1=1.</w:t>
      </w:r>
    </w:p>
    <w:p w14:paraId="28C899B9" w14:textId="28C135CF" w:rsidR="00794F3B" w:rsidRPr="00415158" w:rsidRDefault="00815008" w:rsidP="00794F3B">
      <w:pPr>
        <w:pStyle w:val="B10"/>
        <w:rPr>
          <w:rFonts w:eastAsiaTheme="minorEastAsia"/>
          <w:lang w:eastAsia="zh-CN"/>
        </w:rPr>
      </w:pPr>
      <w:r>
        <w:rPr>
          <w:rFonts w:eastAsiaTheme="minorEastAsia"/>
        </w:rPr>
        <w:t>-</w:t>
      </w:r>
      <w:r>
        <w:rPr>
          <w:rFonts w:eastAsiaTheme="minorEastAsia"/>
        </w:rPr>
        <w:tab/>
      </w:r>
      <w:r w:rsidR="00794F3B" w:rsidRPr="00415158">
        <w:rPr>
          <w:rFonts w:eastAsiaTheme="minorEastAsia"/>
        </w:rPr>
        <w:t>N1*M</w:t>
      </w:r>
      <w:r w:rsidR="00794F3B" w:rsidRPr="00415158">
        <w:rPr>
          <w:rFonts w:eastAsiaTheme="minorEastAsia"/>
          <w:vertAlign w:val="subscript"/>
        </w:rPr>
        <w:t>n</w:t>
      </w:r>
      <w:r w:rsidR="00794F3B" w:rsidRPr="00415158">
        <w:rPr>
          <w:rFonts w:eastAsiaTheme="minorEastAsia"/>
          <w:lang w:eastAsia="zh-CN"/>
        </w:rPr>
        <w:t xml:space="preserve"> is the maximum separation in DRX cycles between two measurements that are used for filtering.</w:t>
      </w:r>
    </w:p>
    <w:p w14:paraId="3A0424F7" w14:textId="77777777" w:rsidR="00794F3B" w:rsidRPr="00415158" w:rsidRDefault="00794F3B" w:rsidP="00794F3B">
      <w:pPr>
        <w:rPr>
          <w:rFonts w:eastAsiaTheme="minorEastAsia"/>
          <w:lang w:eastAsia="zh-CN"/>
        </w:rPr>
      </w:pPr>
      <w:r w:rsidRPr="00415158">
        <w:rPr>
          <w:rFonts w:eastAsiaTheme="minorEastAsia"/>
        </w:rPr>
        <w:t xml:space="preserve">The UE shall filter the </w:t>
      </w:r>
      <w:r w:rsidRPr="00415158">
        <w:rPr>
          <w:rFonts w:eastAsiaTheme="minorEastAsia"/>
          <w:lang w:eastAsia="zh-CN"/>
        </w:rPr>
        <w:t>SS-</w:t>
      </w:r>
      <w:r w:rsidRPr="00415158">
        <w:rPr>
          <w:rFonts w:eastAsiaTheme="minorEastAsia"/>
        </w:rPr>
        <w:t xml:space="preserve">RSRP and </w:t>
      </w:r>
      <w:r w:rsidRPr="00415158">
        <w:rPr>
          <w:rFonts w:eastAsiaTheme="minorEastAsia"/>
          <w:lang w:eastAsia="zh-CN"/>
        </w:rPr>
        <w:t>SS-</w:t>
      </w:r>
      <w:r w:rsidRPr="00415158">
        <w:rPr>
          <w:rFonts w:eastAsiaTheme="minorEastAsia"/>
        </w:rPr>
        <w:t xml:space="preserve">RSRQ measurements of the serving cell using at least 2 measurements. Within the set of measurements used for the filtering, at least two measurements shall be spaced by, at least DRX cycle/2 </w:t>
      </w:r>
      <w:r w:rsidRPr="00415158">
        <w:rPr>
          <w:rFonts w:eastAsiaTheme="minorEastAsia"/>
          <w:lang w:eastAsia="zh-CN"/>
        </w:rPr>
        <w:t>but not separated in time by more than</w:t>
      </w:r>
      <w:r w:rsidRPr="00415158">
        <w:rPr>
          <w:rFonts w:eastAsiaTheme="minorEastAsia"/>
        </w:rPr>
        <w:t xml:space="preserve"> N1*M</w:t>
      </w:r>
      <w:r w:rsidRPr="00415158">
        <w:rPr>
          <w:rFonts w:eastAsiaTheme="minorEastAsia"/>
          <w:vertAlign w:val="subscript"/>
        </w:rPr>
        <w:t>n</w:t>
      </w:r>
      <w:r w:rsidRPr="00415158">
        <w:rPr>
          <w:rFonts w:eastAsiaTheme="minorEastAsia"/>
        </w:rPr>
        <w:t>, where M</w:t>
      </w:r>
      <w:r w:rsidRPr="00415158">
        <w:rPr>
          <w:rFonts w:eastAsiaTheme="minorEastAsia"/>
          <w:vertAlign w:val="subscript"/>
        </w:rPr>
        <w:t>n</w:t>
      </w:r>
      <w:r w:rsidRPr="00415158">
        <w:rPr>
          <w:rFonts w:eastAsiaTheme="minorEastAsia"/>
        </w:rPr>
        <w:t>=2.</w:t>
      </w:r>
    </w:p>
    <w:p w14:paraId="24309FAE" w14:textId="77777777" w:rsidR="008A6EF7" w:rsidRPr="003B2CE2" w:rsidRDefault="008A6EF7" w:rsidP="008A6EF7">
      <w:r w:rsidRPr="003B2CE2">
        <w:t>If the UE has evaluated according to Table</w:t>
      </w:r>
      <w:r w:rsidRPr="003B2CE2">
        <w:rPr>
          <w:lang w:eastAsia="zh-CN"/>
        </w:rPr>
        <w:t xml:space="preserve"> </w:t>
      </w:r>
      <w:r w:rsidRPr="003B2CE2">
        <w:rPr>
          <w:snapToGrid w:val="0"/>
        </w:rPr>
        <w:t>4.2A.2.2-1</w:t>
      </w:r>
      <w:r w:rsidRPr="003B2CE2">
        <w:t xml:space="preserve"> in N</w:t>
      </w:r>
      <w:r w:rsidRPr="003B2CE2">
        <w:rPr>
          <w:vertAlign w:val="subscript"/>
        </w:rPr>
        <w:t>serv_CCA</w:t>
      </w:r>
      <w:r w:rsidRPr="003B2CE2">
        <w:t xml:space="preserve"> consecutive DRX cycles that the serving cell does not fulfil the cell selection criterion S, the UE shall initiate the measurements of all neighbour cells indicated by the serving cell, regardless of the measurement rules currently limiting UE measurement activities.</w:t>
      </w:r>
    </w:p>
    <w:p w14:paraId="651F4BD8" w14:textId="77777777" w:rsidR="00794F3B" w:rsidRPr="00415158" w:rsidRDefault="00794F3B" w:rsidP="00794F3B">
      <w:pPr>
        <w:rPr>
          <w:rFonts w:eastAsiaTheme="minorEastAsia"/>
        </w:rPr>
      </w:pPr>
      <w:r w:rsidRPr="00415158">
        <w:rPr>
          <w:rFonts w:eastAsiaTheme="minorEastAsia"/>
        </w:rPr>
        <w:t>UE shall initiate measurements on neighbour cells indicated by the serving cell if it is unable to measure on the serving cell for at least N1*M</w:t>
      </w:r>
      <w:r w:rsidRPr="00415158">
        <w:rPr>
          <w:rFonts w:eastAsiaTheme="minorEastAsia"/>
          <w:vertAlign w:val="subscript"/>
        </w:rPr>
        <w:t>p</w:t>
      </w:r>
      <w:r w:rsidRPr="00415158">
        <w:rPr>
          <w:rFonts w:eastAsiaTheme="minorEastAsia"/>
        </w:rPr>
        <w:t xml:space="preserve"> consecutive number of DRX cycles each with at least one SMTC occasion not available at the UE, where </w:t>
      </w:r>
      <w:r w:rsidRPr="00415158">
        <w:rPr>
          <w:rFonts w:eastAsiaTheme="minorEastAsia" w:hint="eastAsia"/>
        </w:rPr>
        <w:t>M</w:t>
      </w:r>
      <w:r w:rsidRPr="00415158">
        <w:rPr>
          <w:rFonts w:eastAsiaTheme="minorEastAsia"/>
          <w:vertAlign w:val="subscript"/>
        </w:rPr>
        <w:t>p</w:t>
      </w:r>
      <w:r w:rsidRPr="00415158">
        <w:rPr>
          <w:rFonts w:eastAsiaTheme="minorEastAsia" w:hint="eastAsia"/>
        </w:rPr>
        <w:t xml:space="preserve">=4 when DRX cycle length &lt;1.28 </w:t>
      </w:r>
      <w:r w:rsidRPr="00415158">
        <w:rPr>
          <w:rFonts w:eastAsiaTheme="minorEastAsia"/>
        </w:rPr>
        <w:t>s</w:t>
      </w:r>
      <w:r w:rsidRPr="00415158">
        <w:rPr>
          <w:rFonts w:eastAsiaTheme="minorEastAsia" w:hint="eastAsia"/>
        </w:rPr>
        <w:t>, M</w:t>
      </w:r>
      <w:r w:rsidRPr="00415158">
        <w:rPr>
          <w:rFonts w:eastAsiaTheme="minorEastAsia"/>
          <w:vertAlign w:val="subscript"/>
        </w:rPr>
        <w:t>p</w:t>
      </w:r>
      <w:r w:rsidRPr="00415158">
        <w:rPr>
          <w:rFonts w:eastAsiaTheme="minorEastAsia" w:hint="eastAsia"/>
        </w:rPr>
        <w:t xml:space="preserve">=2 when DRX cycle length </w:t>
      </w:r>
      <w:r w:rsidRPr="00415158">
        <w:rPr>
          <w:rFonts w:eastAsiaTheme="minorEastAsia" w:hint="eastAsia"/>
        </w:rPr>
        <w:t>≥</w:t>
      </w:r>
      <w:r w:rsidRPr="00415158">
        <w:rPr>
          <w:rFonts w:eastAsiaTheme="minorEastAsia" w:hint="eastAsia"/>
        </w:rPr>
        <w:t xml:space="preserve">1.28 </w:t>
      </w:r>
      <w:r w:rsidRPr="00415158">
        <w:rPr>
          <w:rFonts w:eastAsiaTheme="minorEastAsia"/>
        </w:rPr>
        <w:t>s.</w:t>
      </w:r>
    </w:p>
    <w:p w14:paraId="7CAD7D39" w14:textId="5972E808" w:rsidR="00794F3B" w:rsidRPr="00415158" w:rsidRDefault="00794F3B" w:rsidP="00794F3B">
      <w:pPr>
        <w:rPr>
          <w:rFonts w:eastAsiaTheme="minorEastAsia"/>
        </w:rPr>
      </w:pPr>
      <w:r w:rsidRPr="00415158">
        <w:rPr>
          <w:rFonts w:eastAsiaTheme="minorEastAsia"/>
        </w:rPr>
        <w:t>UE shall initiate the measurements on neighbour cells of any intra-frequency or inter-frequency if it is unable to measure on serving cell during at least consecutive N1*M</w:t>
      </w:r>
      <w:r w:rsidRPr="00415158">
        <w:rPr>
          <w:rFonts w:eastAsiaTheme="minorEastAsia"/>
          <w:vertAlign w:val="subscript"/>
        </w:rPr>
        <w:t>q</w:t>
      </w:r>
      <w:r w:rsidRPr="00415158">
        <w:rPr>
          <w:rFonts w:eastAsiaTheme="minorEastAsia"/>
        </w:rPr>
        <w:t xml:space="preserve"> number of DRX cycles each with at least one SMTC occasion not available at the UE, regardless of any condition of S</w:t>
      </w:r>
      <w:r w:rsidRPr="00415158">
        <w:rPr>
          <w:rFonts w:eastAsiaTheme="minorEastAsia"/>
          <w:vertAlign w:val="subscript"/>
        </w:rPr>
        <w:t>nonIntraSearchP</w:t>
      </w:r>
      <w:r w:rsidRPr="00415158">
        <w:rPr>
          <w:rFonts w:eastAsiaTheme="minorEastAsia"/>
        </w:rPr>
        <w:t xml:space="preserve"> and S</w:t>
      </w:r>
      <w:r w:rsidRPr="00415158">
        <w:rPr>
          <w:rFonts w:eastAsiaTheme="minorEastAsia"/>
          <w:vertAlign w:val="subscript"/>
        </w:rPr>
        <w:t>nonIntraSearchQ</w:t>
      </w:r>
      <w:r w:rsidRPr="00415158">
        <w:rPr>
          <w:rFonts w:eastAsiaTheme="minorEastAsia"/>
        </w:rPr>
        <w:t>, where M</w:t>
      </w:r>
      <w:r w:rsidRPr="00415158">
        <w:rPr>
          <w:rFonts w:eastAsiaTheme="minorEastAsia"/>
          <w:vertAlign w:val="subscript"/>
        </w:rPr>
        <w:t>q</w:t>
      </w:r>
      <w:r w:rsidRPr="00415158">
        <w:rPr>
          <w:rFonts w:eastAsiaTheme="minorEastAsia" w:hint="eastAsia"/>
        </w:rPr>
        <w:t xml:space="preserve">=8 when DRX cycle length &lt;1.28 </w:t>
      </w:r>
      <w:r w:rsidRPr="00415158">
        <w:rPr>
          <w:rFonts w:eastAsiaTheme="minorEastAsia"/>
        </w:rPr>
        <w:t>s</w:t>
      </w:r>
      <w:r w:rsidRPr="00415158">
        <w:rPr>
          <w:rFonts w:eastAsiaTheme="minorEastAsia" w:hint="eastAsia"/>
        </w:rPr>
        <w:t>, M</w:t>
      </w:r>
      <w:r w:rsidRPr="00415158">
        <w:rPr>
          <w:rFonts w:eastAsiaTheme="minorEastAsia"/>
          <w:vertAlign w:val="subscript"/>
        </w:rPr>
        <w:t>q</w:t>
      </w:r>
      <w:r w:rsidRPr="00415158">
        <w:rPr>
          <w:rFonts w:eastAsiaTheme="minorEastAsia" w:hint="eastAsia"/>
        </w:rPr>
        <w:t xml:space="preserve">=4 when DRX cycle length </w:t>
      </w:r>
      <w:r w:rsidRPr="00415158">
        <w:rPr>
          <w:rFonts w:eastAsiaTheme="minorEastAsia" w:hint="eastAsia"/>
        </w:rPr>
        <w:t>≥</w:t>
      </w:r>
      <w:r w:rsidRPr="00415158">
        <w:rPr>
          <w:rFonts w:eastAsiaTheme="minorEastAsia" w:hint="eastAsia"/>
        </w:rPr>
        <w:t xml:space="preserve">1.28 </w:t>
      </w:r>
      <w:r w:rsidRPr="00415158">
        <w:rPr>
          <w:rFonts w:eastAsiaTheme="minorEastAsia"/>
        </w:rPr>
        <w:t>s.</w:t>
      </w:r>
    </w:p>
    <w:p w14:paraId="424B6154" w14:textId="77777777" w:rsidR="008A6EF7" w:rsidRPr="003B2CE2" w:rsidRDefault="008A6EF7" w:rsidP="008A6EF7">
      <w:r w:rsidRPr="003B2CE2">
        <w:t>If the UE in RRC_IDLE has not found any new suitable cell based on searches and measurements using the intra-frequency, inter-frequency and inter-RAT information indicated in the system information for 10 s, the UE shall initiate cell selection procedures for the selected PLMN as defined in TS 38.304 [1].</w:t>
      </w:r>
    </w:p>
    <w:p w14:paraId="60E19DD8" w14:textId="283C5F3D" w:rsidR="008A6EF7" w:rsidRDefault="008A6EF7" w:rsidP="008A6EF7">
      <w:pPr>
        <w:pStyle w:val="TH"/>
        <w:rPr>
          <w:vertAlign w:val="subscript"/>
        </w:rPr>
      </w:pPr>
      <w:r w:rsidRPr="003B2CE2">
        <w:t>Table 4.2A.2.2-1: N</w:t>
      </w:r>
      <w:r w:rsidRPr="003B2CE2">
        <w:rPr>
          <w:vertAlign w:val="subscript"/>
        </w:rPr>
        <w:t>serv_CCA</w:t>
      </w:r>
    </w:p>
    <w:tbl>
      <w:tblPr>
        <w:tblW w:w="41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5"/>
        <w:gridCol w:w="1458"/>
        <w:gridCol w:w="1460"/>
        <w:gridCol w:w="2918"/>
      </w:tblGrid>
      <w:tr w:rsidR="00794F3B" w:rsidRPr="00415158" w14:paraId="77A7CCBE" w14:textId="77777777" w:rsidTr="00C738DD">
        <w:trPr>
          <w:cantSplit/>
          <w:trHeight w:val="176"/>
          <w:jc w:val="center"/>
        </w:trPr>
        <w:tc>
          <w:tcPr>
            <w:tcW w:w="1362" w:type="pct"/>
            <w:vMerge w:val="restart"/>
          </w:tcPr>
          <w:p w14:paraId="2E9B9767" w14:textId="77777777" w:rsidR="00794F3B" w:rsidRPr="00415158" w:rsidRDefault="00794F3B" w:rsidP="00BC6DEF">
            <w:pPr>
              <w:pStyle w:val="TAH"/>
              <w:rPr>
                <w:rFonts w:eastAsiaTheme="minorEastAsia"/>
              </w:rPr>
            </w:pPr>
            <w:r w:rsidRPr="00415158">
              <w:rPr>
                <w:rFonts w:eastAsiaTheme="minorEastAsia"/>
              </w:rPr>
              <w:t>DRX cycle length [s]</w:t>
            </w:r>
          </w:p>
        </w:tc>
        <w:tc>
          <w:tcPr>
            <w:tcW w:w="1819" w:type="pct"/>
            <w:gridSpan w:val="2"/>
            <w:tcBorders>
              <w:bottom w:val="single" w:sz="4" w:space="0" w:color="auto"/>
            </w:tcBorders>
          </w:tcPr>
          <w:p w14:paraId="220C0A2F" w14:textId="77777777" w:rsidR="00794F3B" w:rsidRPr="00415158" w:rsidRDefault="00794F3B" w:rsidP="00BC6DEF">
            <w:pPr>
              <w:pStyle w:val="TAH"/>
              <w:rPr>
                <w:rFonts w:eastAsiaTheme="minorEastAsia"/>
              </w:rPr>
            </w:pPr>
            <w:r w:rsidRPr="00415158">
              <w:rPr>
                <w:rFonts w:eastAsiaTheme="minorEastAsia"/>
              </w:rPr>
              <w:t>Scaling Factor (N1)</w:t>
            </w:r>
          </w:p>
        </w:tc>
        <w:tc>
          <w:tcPr>
            <w:tcW w:w="1819" w:type="pct"/>
            <w:vMerge w:val="restart"/>
          </w:tcPr>
          <w:p w14:paraId="42EF76A7" w14:textId="77777777" w:rsidR="00794F3B" w:rsidRPr="00415158" w:rsidRDefault="00794F3B" w:rsidP="00C738DD">
            <w:pPr>
              <w:keepNext/>
              <w:keepLines/>
              <w:spacing w:after="0"/>
              <w:jc w:val="center"/>
              <w:rPr>
                <w:rFonts w:ascii="Arial" w:eastAsiaTheme="minorEastAsia" w:hAnsi="Arial"/>
                <w:b/>
                <w:sz w:val="18"/>
              </w:rPr>
            </w:pPr>
            <w:r w:rsidRPr="00415158">
              <w:rPr>
                <w:rFonts w:ascii="Arial" w:eastAsiaTheme="minorEastAsia" w:hAnsi="Arial"/>
                <w:b/>
                <w:sz w:val="18"/>
              </w:rPr>
              <w:t>N</w:t>
            </w:r>
            <w:r w:rsidRPr="00415158">
              <w:rPr>
                <w:rFonts w:ascii="Arial" w:eastAsiaTheme="minorEastAsia" w:hAnsi="Arial"/>
                <w:b/>
                <w:sz w:val="18"/>
                <w:vertAlign w:val="subscript"/>
              </w:rPr>
              <w:t xml:space="preserve">serv_CCA </w:t>
            </w:r>
            <w:r w:rsidRPr="00415158">
              <w:rPr>
                <w:rFonts w:ascii="Arial" w:eastAsiaTheme="minorEastAsia" w:hAnsi="Arial"/>
                <w:b/>
                <w:sz w:val="18"/>
              </w:rPr>
              <w:t>[number of DRX cycles]</w:t>
            </w:r>
          </w:p>
        </w:tc>
      </w:tr>
      <w:tr w:rsidR="00794F3B" w:rsidRPr="00415158" w14:paraId="7C16DD78" w14:textId="77777777" w:rsidTr="00C738DD">
        <w:trPr>
          <w:cantSplit/>
          <w:trHeight w:val="175"/>
          <w:jc w:val="center"/>
        </w:trPr>
        <w:tc>
          <w:tcPr>
            <w:tcW w:w="1362" w:type="pct"/>
            <w:vMerge/>
            <w:tcBorders>
              <w:bottom w:val="single" w:sz="4" w:space="0" w:color="auto"/>
            </w:tcBorders>
          </w:tcPr>
          <w:p w14:paraId="7B667A53" w14:textId="77777777" w:rsidR="00794F3B" w:rsidRPr="00415158" w:rsidRDefault="00794F3B" w:rsidP="00C738DD">
            <w:pPr>
              <w:keepNext/>
              <w:keepLines/>
              <w:spacing w:after="0"/>
              <w:jc w:val="center"/>
              <w:rPr>
                <w:rFonts w:ascii="Arial" w:eastAsiaTheme="minorEastAsia" w:hAnsi="Arial"/>
                <w:b/>
                <w:sz w:val="18"/>
              </w:rPr>
            </w:pPr>
          </w:p>
        </w:tc>
        <w:tc>
          <w:tcPr>
            <w:tcW w:w="909" w:type="pct"/>
          </w:tcPr>
          <w:p w14:paraId="256FB22C" w14:textId="77777777" w:rsidR="00794F3B" w:rsidRPr="00415158" w:rsidRDefault="00794F3B" w:rsidP="00BC6DEF">
            <w:pPr>
              <w:pStyle w:val="TAH"/>
              <w:rPr>
                <w:rFonts w:eastAsiaTheme="minorEastAsia"/>
              </w:rPr>
            </w:pPr>
            <w:r w:rsidRPr="00415158">
              <w:rPr>
                <w:rFonts w:eastAsiaTheme="minorEastAsia"/>
              </w:rPr>
              <w:t>FR1</w:t>
            </w:r>
          </w:p>
        </w:tc>
        <w:tc>
          <w:tcPr>
            <w:tcW w:w="910" w:type="pct"/>
          </w:tcPr>
          <w:p w14:paraId="49130ABD" w14:textId="14E1C004" w:rsidR="00794F3B" w:rsidRPr="00415158" w:rsidRDefault="00BC6DEF" w:rsidP="00BC6DEF">
            <w:pPr>
              <w:pStyle w:val="TAH"/>
              <w:rPr>
                <w:rFonts w:eastAsiaTheme="minorEastAsia"/>
              </w:rPr>
            </w:pPr>
            <w:r w:rsidRPr="005D7B3F">
              <w:rPr>
                <w:rFonts w:eastAsia="Malgun Gothic"/>
              </w:rPr>
              <w:t>FR2-2</w:t>
            </w:r>
            <w:r>
              <w:rPr>
                <w:rFonts w:eastAsia="Malgun Gothic"/>
              </w:rPr>
              <w:t xml:space="preserve"> </w:t>
            </w:r>
            <w:r w:rsidRPr="00082331">
              <w:rPr>
                <w:rFonts w:eastAsia="Malgun Gothic"/>
                <w:vertAlign w:val="superscript"/>
              </w:rPr>
              <w:t>Note 3</w:t>
            </w:r>
          </w:p>
        </w:tc>
        <w:tc>
          <w:tcPr>
            <w:tcW w:w="1819" w:type="pct"/>
            <w:vMerge/>
            <w:tcBorders>
              <w:bottom w:val="single" w:sz="4" w:space="0" w:color="auto"/>
            </w:tcBorders>
          </w:tcPr>
          <w:p w14:paraId="7A8FDCCF" w14:textId="77777777" w:rsidR="00794F3B" w:rsidRPr="00415158" w:rsidRDefault="00794F3B" w:rsidP="00C738DD">
            <w:pPr>
              <w:keepNext/>
              <w:keepLines/>
              <w:spacing w:after="0"/>
              <w:jc w:val="center"/>
              <w:rPr>
                <w:rFonts w:ascii="Arial" w:eastAsiaTheme="minorEastAsia" w:hAnsi="Arial"/>
                <w:b/>
                <w:sz w:val="18"/>
              </w:rPr>
            </w:pPr>
          </w:p>
        </w:tc>
      </w:tr>
      <w:tr w:rsidR="00BC6DEF" w:rsidRPr="00415158" w14:paraId="228EB7E5" w14:textId="77777777" w:rsidTr="00412C48">
        <w:trPr>
          <w:cantSplit/>
          <w:jc w:val="center"/>
        </w:trPr>
        <w:tc>
          <w:tcPr>
            <w:tcW w:w="1362" w:type="pct"/>
          </w:tcPr>
          <w:p w14:paraId="143B3092" w14:textId="77777777" w:rsidR="00BC6DEF" w:rsidRPr="00415158" w:rsidRDefault="00BC6DEF" w:rsidP="00BC6DEF">
            <w:pPr>
              <w:pStyle w:val="TAC"/>
              <w:rPr>
                <w:rFonts w:eastAsiaTheme="minorEastAsia"/>
              </w:rPr>
            </w:pPr>
            <w:r w:rsidRPr="00415158">
              <w:rPr>
                <w:rFonts w:eastAsiaTheme="minorEastAsia"/>
              </w:rPr>
              <w:t>0.32</w:t>
            </w:r>
          </w:p>
        </w:tc>
        <w:tc>
          <w:tcPr>
            <w:tcW w:w="909" w:type="pct"/>
            <w:tcBorders>
              <w:bottom w:val="nil"/>
            </w:tcBorders>
          </w:tcPr>
          <w:p w14:paraId="3DC2FAC6" w14:textId="77777777" w:rsidR="00BC6DEF" w:rsidRPr="00415158" w:rsidRDefault="00BC6DEF" w:rsidP="00BC6DEF">
            <w:pPr>
              <w:pStyle w:val="TAC"/>
              <w:rPr>
                <w:rFonts w:eastAsiaTheme="minorEastAsia" w:cs="Arial"/>
                <w:szCs w:val="22"/>
                <w:lang w:eastAsia="zh-CN"/>
              </w:rPr>
            </w:pPr>
            <w:r w:rsidRPr="00415158">
              <w:rPr>
                <w:rFonts w:eastAsiaTheme="minorEastAsia" w:cs="Arial"/>
                <w:szCs w:val="22"/>
                <w:lang w:eastAsia="zh-CN"/>
              </w:rPr>
              <w:t>1</w:t>
            </w:r>
          </w:p>
        </w:tc>
        <w:tc>
          <w:tcPr>
            <w:tcW w:w="910" w:type="pct"/>
          </w:tcPr>
          <w:p w14:paraId="7C1B5E6F" w14:textId="529B0916" w:rsidR="00BC6DEF" w:rsidRPr="00415158" w:rsidRDefault="00BC6DEF" w:rsidP="00BC6DEF">
            <w:pPr>
              <w:pStyle w:val="TAC"/>
              <w:rPr>
                <w:rFonts w:eastAsiaTheme="minorEastAsia" w:cs="Arial"/>
                <w:szCs w:val="22"/>
                <w:lang w:eastAsia="zh-CN"/>
              </w:rPr>
            </w:pPr>
            <w:r>
              <w:rPr>
                <w:rFonts w:eastAsia="Malgun Gothic" w:cs="Arial"/>
                <w:szCs w:val="22"/>
                <w:lang w:eastAsia="zh-CN"/>
              </w:rPr>
              <w:t>12</w:t>
            </w:r>
          </w:p>
        </w:tc>
        <w:tc>
          <w:tcPr>
            <w:tcW w:w="1819" w:type="pct"/>
          </w:tcPr>
          <w:p w14:paraId="4102C6BA" w14:textId="0BA26CA1" w:rsidR="00BC6DEF" w:rsidRPr="00415158" w:rsidRDefault="00BC6DEF" w:rsidP="00BC6DEF">
            <w:pPr>
              <w:pStyle w:val="TAC"/>
              <w:rPr>
                <w:rFonts w:eastAsiaTheme="minorEastAsia" w:cs="Arial"/>
                <w:szCs w:val="22"/>
                <w:lang w:eastAsia="zh-CN"/>
              </w:rPr>
            </w:pPr>
            <w:r w:rsidRPr="00415158">
              <w:rPr>
                <w:rFonts w:eastAsiaTheme="minorEastAsia" w:cs="Arial"/>
                <w:szCs w:val="22"/>
                <w:lang w:eastAsia="zh-CN"/>
              </w:rPr>
              <w:t>N1*M1*(4+</w:t>
            </w:r>
            <w:r w:rsidRPr="00415158" w:rsidDel="00F05EFA">
              <w:rPr>
                <w:rFonts w:eastAsiaTheme="minorEastAsia" w:cs="Arial"/>
                <w:szCs w:val="22"/>
                <w:lang w:eastAsia="zh-CN"/>
              </w:rPr>
              <w:t xml:space="preserve"> </w:t>
            </w:r>
            <w:r w:rsidRPr="00415158">
              <w:rPr>
                <w:rFonts w:eastAsiaTheme="minorEastAsia" w:cs="Arial"/>
                <w:szCs w:val="22"/>
                <w:lang w:eastAsia="zh-CN"/>
              </w:rPr>
              <w:t>M</w:t>
            </w:r>
            <w:r w:rsidRPr="00415158">
              <w:rPr>
                <w:rFonts w:cs="Arial"/>
                <w:szCs w:val="22"/>
                <w:vertAlign w:val="subscript"/>
                <w:lang w:eastAsia="zh-CN"/>
              </w:rPr>
              <w:t>s</w:t>
            </w:r>
            <w:r w:rsidRPr="00415158">
              <w:rPr>
                <w:rFonts w:cs="Arial"/>
                <w:szCs w:val="22"/>
                <w:lang w:eastAsia="zh-CN"/>
              </w:rPr>
              <w:t>)</w:t>
            </w:r>
          </w:p>
        </w:tc>
      </w:tr>
      <w:tr w:rsidR="00BC6DEF" w:rsidRPr="00415158" w14:paraId="489DA3A2" w14:textId="77777777" w:rsidTr="00412C48">
        <w:trPr>
          <w:cantSplit/>
          <w:jc w:val="center"/>
        </w:trPr>
        <w:tc>
          <w:tcPr>
            <w:tcW w:w="1362" w:type="pct"/>
          </w:tcPr>
          <w:p w14:paraId="58319C5D" w14:textId="77777777" w:rsidR="00BC6DEF" w:rsidRPr="00415158" w:rsidRDefault="00BC6DEF" w:rsidP="00BC6DEF">
            <w:pPr>
              <w:pStyle w:val="TAC"/>
              <w:rPr>
                <w:rFonts w:eastAsiaTheme="minorEastAsia"/>
              </w:rPr>
            </w:pPr>
            <w:r w:rsidRPr="00415158">
              <w:rPr>
                <w:rFonts w:eastAsiaTheme="minorEastAsia"/>
              </w:rPr>
              <w:t>0.64</w:t>
            </w:r>
          </w:p>
        </w:tc>
        <w:tc>
          <w:tcPr>
            <w:tcW w:w="909" w:type="pct"/>
            <w:tcBorders>
              <w:top w:val="nil"/>
              <w:bottom w:val="nil"/>
            </w:tcBorders>
          </w:tcPr>
          <w:p w14:paraId="02488344" w14:textId="77777777" w:rsidR="00BC6DEF" w:rsidRPr="00415158" w:rsidRDefault="00BC6DEF" w:rsidP="00BC6DEF">
            <w:pPr>
              <w:pStyle w:val="TAC"/>
              <w:rPr>
                <w:rFonts w:eastAsiaTheme="minorEastAsia" w:cs="Arial"/>
                <w:szCs w:val="22"/>
                <w:lang w:eastAsia="zh-CN"/>
              </w:rPr>
            </w:pPr>
          </w:p>
        </w:tc>
        <w:tc>
          <w:tcPr>
            <w:tcW w:w="910" w:type="pct"/>
          </w:tcPr>
          <w:p w14:paraId="32E07543" w14:textId="20B87F37" w:rsidR="00BC6DEF" w:rsidRPr="00415158" w:rsidRDefault="00BC6DEF" w:rsidP="00BC6DEF">
            <w:pPr>
              <w:pStyle w:val="TAC"/>
              <w:rPr>
                <w:rFonts w:eastAsiaTheme="minorEastAsia" w:cs="Arial"/>
                <w:szCs w:val="22"/>
                <w:lang w:eastAsia="zh-CN"/>
              </w:rPr>
            </w:pPr>
            <w:r>
              <w:rPr>
                <w:rFonts w:eastAsia="Malgun Gothic" w:cs="Arial"/>
                <w:szCs w:val="22"/>
                <w:lang w:eastAsia="zh-CN"/>
              </w:rPr>
              <w:t>8</w:t>
            </w:r>
          </w:p>
        </w:tc>
        <w:tc>
          <w:tcPr>
            <w:tcW w:w="1819" w:type="pct"/>
          </w:tcPr>
          <w:p w14:paraId="67FF4F9A" w14:textId="712E2371" w:rsidR="00BC6DEF" w:rsidRPr="00415158" w:rsidRDefault="00BC6DEF" w:rsidP="00BC6DEF">
            <w:pPr>
              <w:pStyle w:val="TAC"/>
              <w:rPr>
                <w:rFonts w:eastAsiaTheme="minorEastAsia" w:cs="Arial"/>
                <w:szCs w:val="22"/>
                <w:lang w:eastAsia="zh-CN"/>
              </w:rPr>
            </w:pPr>
            <w:r w:rsidRPr="00415158">
              <w:rPr>
                <w:rFonts w:eastAsiaTheme="minorEastAsia" w:cs="Arial"/>
                <w:szCs w:val="22"/>
                <w:lang w:eastAsia="zh-CN"/>
              </w:rPr>
              <w:t>N1*M1*(4+</w:t>
            </w:r>
            <w:r w:rsidRPr="00415158" w:rsidDel="00F05EFA">
              <w:rPr>
                <w:rFonts w:eastAsiaTheme="minorEastAsia" w:cs="Arial"/>
                <w:szCs w:val="22"/>
                <w:lang w:eastAsia="zh-CN"/>
              </w:rPr>
              <w:t xml:space="preserve"> </w:t>
            </w:r>
            <w:r w:rsidRPr="00415158">
              <w:rPr>
                <w:rFonts w:eastAsiaTheme="minorEastAsia" w:cs="Arial"/>
                <w:szCs w:val="22"/>
                <w:lang w:eastAsia="zh-CN"/>
              </w:rPr>
              <w:t>M</w:t>
            </w:r>
            <w:r w:rsidRPr="00415158">
              <w:rPr>
                <w:rFonts w:cs="Arial"/>
                <w:szCs w:val="22"/>
                <w:vertAlign w:val="subscript"/>
                <w:lang w:eastAsia="zh-CN"/>
              </w:rPr>
              <w:t>s</w:t>
            </w:r>
            <w:r w:rsidRPr="00415158">
              <w:rPr>
                <w:rFonts w:cs="Arial"/>
                <w:szCs w:val="22"/>
                <w:lang w:eastAsia="zh-CN"/>
              </w:rPr>
              <w:t>)</w:t>
            </w:r>
          </w:p>
        </w:tc>
      </w:tr>
      <w:tr w:rsidR="00BC6DEF" w:rsidRPr="00415158" w14:paraId="6A2F1945" w14:textId="77777777" w:rsidTr="00412C48">
        <w:trPr>
          <w:cantSplit/>
          <w:jc w:val="center"/>
        </w:trPr>
        <w:tc>
          <w:tcPr>
            <w:tcW w:w="1362" w:type="pct"/>
          </w:tcPr>
          <w:p w14:paraId="629B4BC6" w14:textId="77777777" w:rsidR="00BC6DEF" w:rsidRPr="00415158" w:rsidRDefault="00BC6DEF" w:rsidP="00BC6DEF">
            <w:pPr>
              <w:pStyle w:val="TAC"/>
              <w:rPr>
                <w:rFonts w:eastAsiaTheme="minorEastAsia"/>
              </w:rPr>
            </w:pPr>
            <w:r w:rsidRPr="00415158">
              <w:rPr>
                <w:rFonts w:eastAsiaTheme="minorEastAsia"/>
              </w:rPr>
              <w:t>1.28</w:t>
            </w:r>
          </w:p>
        </w:tc>
        <w:tc>
          <w:tcPr>
            <w:tcW w:w="909" w:type="pct"/>
            <w:tcBorders>
              <w:top w:val="nil"/>
              <w:bottom w:val="nil"/>
            </w:tcBorders>
          </w:tcPr>
          <w:p w14:paraId="7AB6E788" w14:textId="77777777" w:rsidR="00BC6DEF" w:rsidRPr="00415158" w:rsidRDefault="00BC6DEF" w:rsidP="00BC6DEF">
            <w:pPr>
              <w:pStyle w:val="TAC"/>
              <w:rPr>
                <w:rFonts w:eastAsiaTheme="minorEastAsia" w:cs="Arial"/>
                <w:szCs w:val="22"/>
                <w:lang w:eastAsia="zh-CN"/>
              </w:rPr>
            </w:pPr>
          </w:p>
        </w:tc>
        <w:tc>
          <w:tcPr>
            <w:tcW w:w="910" w:type="pct"/>
          </w:tcPr>
          <w:p w14:paraId="55DD4F3B" w14:textId="60F51BDF" w:rsidR="00BC6DEF" w:rsidRPr="00415158" w:rsidRDefault="00BC6DEF" w:rsidP="00BC6DEF">
            <w:pPr>
              <w:pStyle w:val="TAC"/>
              <w:rPr>
                <w:rFonts w:eastAsiaTheme="minorEastAsia" w:cs="Arial"/>
                <w:szCs w:val="22"/>
                <w:lang w:eastAsia="zh-CN"/>
              </w:rPr>
            </w:pPr>
            <w:r>
              <w:rPr>
                <w:rFonts w:eastAsia="Malgun Gothic" w:cs="Arial"/>
                <w:szCs w:val="22"/>
                <w:lang w:eastAsia="zh-CN"/>
              </w:rPr>
              <w:t>6</w:t>
            </w:r>
          </w:p>
        </w:tc>
        <w:tc>
          <w:tcPr>
            <w:tcW w:w="1819" w:type="pct"/>
          </w:tcPr>
          <w:p w14:paraId="263569F8" w14:textId="77777777" w:rsidR="00BC6DEF" w:rsidRPr="00415158" w:rsidRDefault="00BC6DEF" w:rsidP="00BC6DEF">
            <w:pPr>
              <w:pStyle w:val="TAC"/>
              <w:rPr>
                <w:rFonts w:eastAsiaTheme="minorEastAsia" w:cs="Arial"/>
                <w:szCs w:val="22"/>
                <w:lang w:eastAsia="zh-CN"/>
              </w:rPr>
            </w:pPr>
            <w:r w:rsidRPr="00415158">
              <w:rPr>
                <w:rFonts w:eastAsiaTheme="minorEastAsia" w:cs="Arial"/>
                <w:szCs w:val="22"/>
                <w:lang w:eastAsia="zh-CN"/>
              </w:rPr>
              <w:t>N1*(2+M</w:t>
            </w:r>
            <w:r w:rsidRPr="00415158">
              <w:rPr>
                <w:rFonts w:cs="Arial"/>
                <w:szCs w:val="22"/>
                <w:vertAlign w:val="subscript"/>
                <w:lang w:eastAsia="zh-CN"/>
              </w:rPr>
              <w:t>s</w:t>
            </w:r>
            <w:r w:rsidRPr="00415158">
              <w:rPr>
                <w:rFonts w:cs="Arial"/>
                <w:szCs w:val="22"/>
                <w:lang w:eastAsia="zh-CN"/>
              </w:rPr>
              <w:t>)</w:t>
            </w:r>
          </w:p>
        </w:tc>
      </w:tr>
      <w:tr w:rsidR="00BC6DEF" w:rsidRPr="00415158" w14:paraId="3309BED3" w14:textId="77777777" w:rsidTr="00412C48">
        <w:trPr>
          <w:cantSplit/>
          <w:jc w:val="center"/>
        </w:trPr>
        <w:tc>
          <w:tcPr>
            <w:tcW w:w="1362" w:type="pct"/>
          </w:tcPr>
          <w:p w14:paraId="2BE96587" w14:textId="77777777" w:rsidR="00BC6DEF" w:rsidRPr="00415158" w:rsidRDefault="00BC6DEF" w:rsidP="00BC6DEF">
            <w:pPr>
              <w:pStyle w:val="TAC"/>
              <w:rPr>
                <w:rFonts w:eastAsiaTheme="minorEastAsia"/>
              </w:rPr>
            </w:pPr>
            <w:r w:rsidRPr="00415158">
              <w:rPr>
                <w:rFonts w:eastAsiaTheme="minorEastAsia"/>
              </w:rPr>
              <w:t>2.56</w:t>
            </w:r>
          </w:p>
        </w:tc>
        <w:tc>
          <w:tcPr>
            <w:tcW w:w="909" w:type="pct"/>
            <w:tcBorders>
              <w:top w:val="nil"/>
            </w:tcBorders>
          </w:tcPr>
          <w:p w14:paraId="33E8B061" w14:textId="77777777" w:rsidR="00BC6DEF" w:rsidRPr="00415158" w:rsidRDefault="00BC6DEF" w:rsidP="00BC6DEF">
            <w:pPr>
              <w:pStyle w:val="TAC"/>
              <w:rPr>
                <w:rFonts w:eastAsiaTheme="minorEastAsia" w:cs="Arial"/>
                <w:szCs w:val="22"/>
                <w:lang w:eastAsia="zh-CN"/>
              </w:rPr>
            </w:pPr>
          </w:p>
        </w:tc>
        <w:tc>
          <w:tcPr>
            <w:tcW w:w="910" w:type="pct"/>
          </w:tcPr>
          <w:p w14:paraId="00C345E5" w14:textId="363B3160" w:rsidR="00BC6DEF" w:rsidRPr="00415158" w:rsidRDefault="00BC6DEF" w:rsidP="00BC6DEF">
            <w:pPr>
              <w:pStyle w:val="TAC"/>
              <w:rPr>
                <w:rFonts w:eastAsiaTheme="minorEastAsia" w:cs="Arial"/>
                <w:szCs w:val="22"/>
                <w:lang w:eastAsia="zh-CN"/>
              </w:rPr>
            </w:pPr>
            <w:r>
              <w:rPr>
                <w:rFonts w:eastAsia="Malgun Gothic" w:cs="Arial"/>
                <w:szCs w:val="22"/>
                <w:lang w:eastAsia="zh-CN"/>
              </w:rPr>
              <w:t>5</w:t>
            </w:r>
          </w:p>
        </w:tc>
        <w:tc>
          <w:tcPr>
            <w:tcW w:w="1819" w:type="pct"/>
          </w:tcPr>
          <w:p w14:paraId="5E5D0EB3" w14:textId="560A0A69" w:rsidR="00BC6DEF" w:rsidRPr="00415158" w:rsidRDefault="00BC6DEF" w:rsidP="00BC6DEF">
            <w:pPr>
              <w:pStyle w:val="TAC"/>
              <w:rPr>
                <w:rFonts w:eastAsiaTheme="minorEastAsia" w:cs="Arial"/>
                <w:szCs w:val="22"/>
                <w:lang w:eastAsia="zh-CN"/>
              </w:rPr>
            </w:pPr>
            <w:r w:rsidRPr="00415158">
              <w:rPr>
                <w:rFonts w:eastAsiaTheme="minorEastAsia" w:cs="Arial"/>
                <w:szCs w:val="22"/>
                <w:lang w:eastAsia="zh-CN"/>
              </w:rPr>
              <w:t>N1*(2+M</w:t>
            </w:r>
            <w:r w:rsidRPr="00415158">
              <w:rPr>
                <w:rFonts w:cs="Arial"/>
                <w:szCs w:val="22"/>
                <w:vertAlign w:val="subscript"/>
                <w:lang w:eastAsia="zh-CN"/>
              </w:rPr>
              <w:t>s</w:t>
            </w:r>
            <w:r w:rsidRPr="00415158">
              <w:rPr>
                <w:rFonts w:cs="Arial"/>
                <w:szCs w:val="22"/>
                <w:lang w:eastAsia="zh-CN"/>
              </w:rPr>
              <w:t>)</w:t>
            </w:r>
          </w:p>
        </w:tc>
      </w:tr>
      <w:tr w:rsidR="00794F3B" w:rsidRPr="00415158" w14:paraId="3091D842" w14:textId="77777777" w:rsidTr="00C738DD">
        <w:trPr>
          <w:cantSplit/>
          <w:jc w:val="center"/>
        </w:trPr>
        <w:tc>
          <w:tcPr>
            <w:tcW w:w="5000" w:type="pct"/>
            <w:gridSpan w:val="4"/>
          </w:tcPr>
          <w:p w14:paraId="719AFC81" w14:textId="77777777" w:rsidR="00BC6DEF" w:rsidRPr="005D7B3F" w:rsidRDefault="00BC6DEF" w:rsidP="00BC6DEF">
            <w:pPr>
              <w:pStyle w:val="TAN"/>
              <w:rPr>
                <w:vertAlign w:val="subscript"/>
                <w:lang w:eastAsia="zh-CN"/>
              </w:rPr>
            </w:pPr>
            <w:r w:rsidRPr="005D7B3F">
              <w:rPr>
                <w:rFonts w:eastAsia="Malgun Gothic"/>
                <w:lang w:eastAsia="zh-CN"/>
              </w:rPr>
              <w:t>Note 1:</w:t>
            </w:r>
            <w:r w:rsidRPr="005D7B3F">
              <w:rPr>
                <w:rFonts w:eastAsia="Malgun Gothic"/>
              </w:rPr>
              <w:tab/>
            </w:r>
            <w:r w:rsidRPr="005D7B3F">
              <w:rPr>
                <w:rFonts w:eastAsia="Malgun Gothic"/>
                <w:lang w:eastAsia="zh-CN"/>
              </w:rPr>
              <w:t xml:space="preserve">Ms is the number of groups of </w:t>
            </w:r>
            <w:r w:rsidRPr="005D7B3F">
              <w:rPr>
                <w:rFonts w:eastAsia="SimSun"/>
                <w:lang w:eastAsia="zh-CN"/>
              </w:rPr>
              <w:t>consecutive</w:t>
            </w:r>
            <w:r w:rsidRPr="005D7B3F">
              <w:rPr>
                <w:rFonts w:eastAsia="Malgun Gothic"/>
                <w:lang w:eastAsia="zh-CN"/>
              </w:rPr>
              <w:t xml:space="preserve"> N1 DRX cycles each group with at least one SMTC occasion not available at the UE during N</w:t>
            </w:r>
            <w:r w:rsidRPr="005D7B3F">
              <w:rPr>
                <w:rFonts w:eastAsia="Malgun Gothic"/>
                <w:vertAlign w:val="subscript"/>
                <w:lang w:eastAsia="zh-CN"/>
              </w:rPr>
              <w:t>serv</w:t>
            </w:r>
            <w:r w:rsidRPr="005D7B3F">
              <w:rPr>
                <w:rFonts w:eastAsia="Malgun Gothic"/>
                <w:lang w:eastAsia="zh-CN"/>
              </w:rPr>
              <w:t>_</w:t>
            </w:r>
            <w:r w:rsidRPr="005D7B3F">
              <w:rPr>
                <w:rFonts w:eastAsia="Malgun Gothic"/>
                <w:vertAlign w:val="subscript"/>
                <w:lang w:eastAsia="zh-CN"/>
              </w:rPr>
              <w:t>CCA</w:t>
            </w:r>
            <w:r w:rsidRPr="005D7B3F">
              <w:rPr>
                <w:rFonts w:eastAsia="Malgun Gothic"/>
                <w:lang w:eastAsia="zh-CN"/>
              </w:rPr>
              <w:t>, and M</w:t>
            </w:r>
            <w:r w:rsidRPr="005D7B3F">
              <w:rPr>
                <w:vertAlign w:val="subscript"/>
                <w:lang w:eastAsia="zh-CN"/>
              </w:rPr>
              <w:t>s</w:t>
            </w:r>
            <w:r w:rsidRPr="005D7B3F">
              <w:rPr>
                <w:rFonts w:eastAsia="Malgun Gothic"/>
                <w:lang w:eastAsia="zh-CN"/>
              </w:rPr>
              <w:t>&lt;</w:t>
            </w:r>
            <w:r w:rsidRPr="005D7B3F">
              <w:rPr>
                <w:rFonts w:eastAsia="Malgun Gothic"/>
              </w:rPr>
              <w:t xml:space="preserve"> </w:t>
            </w:r>
            <w:r w:rsidRPr="005D7B3F">
              <w:rPr>
                <w:vertAlign w:val="subscript"/>
                <w:lang w:eastAsia="zh-CN"/>
              </w:rPr>
              <w:t>Ms,max</w:t>
            </w:r>
          </w:p>
          <w:p w14:paraId="61D5CC63" w14:textId="77777777" w:rsidR="00BC6DEF" w:rsidRDefault="00BC6DEF" w:rsidP="00BC6DEF">
            <w:pPr>
              <w:pStyle w:val="TAN"/>
              <w:rPr>
                <w:rFonts w:eastAsia="Malgun Gothic"/>
                <w:lang w:eastAsia="zh-CN"/>
              </w:rPr>
            </w:pPr>
            <w:r w:rsidRPr="005D7B3F">
              <w:rPr>
                <w:rFonts w:eastAsia="Malgun Gothic"/>
                <w:lang w:eastAsia="zh-CN"/>
              </w:rPr>
              <w:t>Note</w:t>
            </w:r>
            <w:r>
              <w:rPr>
                <w:rFonts w:eastAsia="Malgun Gothic"/>
                <w:lang w:eastAsia="zh-CN"/>
              </w:rPr>
              <w:t xml:space="preserve"> </w:t>
            </w:r>
            <w:r w:rsidRPr="005D7B3F">
              <w:rPr>
                <w:rFonts w:eastAsia="Malgun Gothic"/>
                <w:lang w:eastAsia="zh-CN"/>
              </w:rPr>
              <w:t>2:</w:t>
            </w:r>
            <w:r w:rsidRPr="005D7B3F">
              <w:rPr>
                <w:rFonts w:eastAsia="Malgun Gothic"/>
              </w:rPr>
              <w:tab/>
            </w:r>
            <w:r w:rsidRPr="005D7B3F">
              <w:rPr>
                <w:rFonts w:eastAsia="Malgun Gothic"/>
                <w:lang w:eastAsia="zh-CN"/>
              </w:rPr>
              <w:t>M</w:t>
            </w:r>
            <w:r w:rsidRPr="005D7B3F">
              <w:rPr>
                <w:vertAlign w:val="subscript"/>
                <w:lang w:eastAsia="zh-CN"/>
              </w:rPr>
              <w:t>s,max</w:t>
            </w:r>
            <w:r w:rsidRPr="005D7B3F">
              <w:rPr>
                <w:rFonts w:eastAsia="Malgun Gothic"/>
                <w:lang w:eastAsia="zh-CN"/>
              </w:rPr>
              <w:t>=8 for DRX cycle length &lt; 1.28 s, M</w:t>
            </w:r>
            <w:r w:rsidRPr="005D7B3F">
              <w:rPr>
                <w:vertAlign w:val="subscript"/>
                <w:lang w:eastAsia="zh-CN"/>
              </w:rPr>
              <w:t>s,max</w:t>
            </w:r>
            <w:r w:rsidRPr="005D7B3F">
              <w:rPr>
                <w:rFonts w:eastAsia="Malgun Gothic"/>
                <w:lang w:eastAsia="zh-CN"/>
              </w:rPr>
              <w:t xml:space="preserve">= 4 for DRX cycle length </w:t>
            </w:r>
            <w:r w:rsidRPr="005D7B3F">
              <w:rPr>
                <w:rFonts w:eastAsia="Malgun Gothic" w:hint="eastAsia"/>
                <w:lang w:eastAsia="zh-CN"/>
              </w:rPr>
              <w:t>≥</w:t>
            </w:r>
            <w:r w:rsidRPr="005D7B3F">
              <w:rPr>
                <w:rFonts w:eastAsia="Malgun Gothic"/>
                <w:lang w:eastAsia="zh-CN"/>
              </w:rPr>
              <w:t xml:space="preserve"> 1.28 s.</w:t>
            </w:r>
          </w:p>
          <w:p w14:paraId="15DBE94C" w14:textId="620ED58B" w:rsidR="00794F3B" w:rsidRPr="00415158" w:rsidRDefault="00BC6DEF" w:rsidP="00BC6DEF">
            <w:pPr>
              <w:pStyle w:val="TAN"/>
              <w:rPr>
                <w:rFonts w:eastAsiaTheme="minorEastAsia"/>
                <w:lang w:eastAsia="zh-CN"/>
              </w:rPr>
            </w:pPr>
            <w:r>
              <w:rPr>
                <w:rFonts w:eastAsia="Malgun Gothic"/>
                <w:lang w:eastAsia="zh-CN"/>
              </w:rPr>
              <w:t>Note 3:</w:t>
            </w:r>
            <w:r w:rsidRPr="005D7B3F">
              <w:rPr>
                <w:rFonts w:eastAsia="Malgun Gothic"/>
              </w:rPr>
              <w:tab/>
            </w:r>
            <w:r w:rsidRPr="002C2E29">
              <w:rPr>
                <w:rFonts w:eastAsia="Malgun Gothic"/>
                <w:lang w:eastAsia="zh-CN"/>
              </w:rPr>
              <w:t>Applies for UE supporting FR2-2 power class 2&amp;3. For UE supporting FR2-2 power class 1, N1 = 12 for all DRX cycle length.</w:t>
            </w:r>
          </w:p>
        </w:tc>
      </w:tr>
    </w:tbl>
    <w:p w14:paraId="31FD2496" w14:textId="77777777" w:rsidR="005D49C1" w:rsidRDefault="005D49C1" w:rsidP="008A6EF7"/>
    <w:p w14:paraId="1EB142FF" w14:textId="4E1FB8B0" w:rsidR="008A6EF7" w:rsidRPr="003B2CE2" w:rsidRDefault="008A6EF7" w:rsidP="008A6EF7">
      <w:r w:rsidRPr="003B2CE2">
        <w:t>The UE shall restart the measurements used for serving cell evaluation if M</w:t>
      </w:r>
      <w:r w:rsidRPr="007C55F6">
        <w:rPr>
          <w:vertAlign w:val="subscript"/>
        </w:rPr>
        <w:t>s</w:t>
      </w:r>
      <w:r w:rsidRPr="003B2CE2">
        <w:t xml:space="preserve"> exceeds M</w:t>
      </w:r>
      <w:r w:rsidRPr="007C55F6">
        <w:rPr>
          <w:vertAlign w:val="subscript"/>
        </w:rPr>
        <w:t>s,max</w:t>
      </w:r>
      <w:r w:rsidRPr="003B2CE2">
        <w:t>.</w:t>
      </w:r>
    </w:p>
    <w:p w14:paraId="1163F799" w14:textId="2705BA82" w:rsidR="008A6EF7" w:rsidRPr="003B2CE2" w:rsidRDefault="008A6EF7" w:rsidP="008A6EF7">
      <w:pPr>
        <w:pStyle w:val="Heading4"/>
        <w:rPr>
          <w:lang w:val="en-US" w:eastAsia="zh-CN"/>
        </w:rPr>
      </w:pPr>
      <w:r w:rsidRPr="003B2CE2">
        <w:rPr>
          <w:lang w:val="en-US" w:eastAsia="zh-CN"/>
        </w:rPr>
        <w:t>4.2A.2.3</w:t>
      </w:r>
      <w:r w:rsidR="00A21E2B">
        <w:rPr>
          <w:lang w:val="en-US" w:eastAsia="zh-CN"/>
        </w:rPr>
        <w:tab/>
      </w:r>
      <w:r w:rsidRPr="003B2CE2">
        <w:rPr>
          <w:lang w:val="en-US" w:eastAsia="zh-CN"/>
        </w:rPr>
        <w:t xml:space="preserve">Measurements of intra-frequency NR cells when </w:t>
      </w:r>
      <w:r>
        <w:rPr>
          <w:lang w:val="en-US" w:eastAsia="zh-CN"/>
        </w:rPr>
        <w:t xml:space="preserve">subject to </w:t>
      </w:r>
      <w:r w:rsidRPr="003B2CE2">
        <w:rPr>
          <w:lang w:val="en-US" w:eastAsia="zh-CN"/>
        </w:rPr>
        <w:t>CCA on the serving cell and target cell</w:t>
      </w:r>
    </w:p>
    <w:p w14:paraId="431E5C95" w14:textId="77777777" w:rsidR="008A6EF7" w:rsidRPr="003B2CE2" w:rsidRDefault="008A6EF7" w:rsidP="008A6EF7">
      <w:r w:rsidRPr="003B2CE2">
        <w:t xml:space="preserve">The UE shall be able to identify new intra-frequency cells with CCA and perform </w:t>
      </w:r>
      <w:r w:rsidRPr="003B2CE2">
        <w:rPr>
          <w:lang w:eastAsia="zh-CN"/>
        </w:rPr>
        <w:t>SS</w:t>
      </w:r>
      <w:r w:rsidRPr="003B2CE2">
        <w:t xml:space="preserve">-RSRP and </w:t>
      </w:r>
      <w:r w:rsidRPr="003B2CE2">
        <w:rPr>
          <w:lang w:eastAsia="zh-CN"/>
        </w:rPr>
        <w:t>SS-</w:t>
      </w:r>
      <w:r w:rsidRPr="003B2CE2">
        <w:t xml:space="preserve">RSRQ measurements of </w:t>
      </w:r>
      <w:r w:rsidRPr="003B2CE2">
        <w:rPr>
          <w:lang w:eastAsia="zh-CN"/>
        </w:rPr>
        <w:t xml:space="preserve">the </w:t>
      </w:r>
      <w:r w:rsidRPr="003B2CE2">
        <w:t>identified intra-frequency cells without an explicit intra-frequency neighbour list containing physical layer cell identities.</w:t>
      </w:r>
    </w:p>
    <w:p w14:paraId="4A9C28B2" w14:textId="77777777" w:rsidR="008C5C10" w:rsidRDefault="008C5C10" w:rsidP="008A6EF7">
      <w:pPr>
        <w:rPr>
          <w:lang w:eastAsia="zh-CN"/>
        </w:rPr>
      </w:pPr>
      <w:r w:rsidRPr="001254C4">
        <w:rPr>
          <w:lang w:eastAsia="zh-CN"/>
        </w:rPr>
        <w:t>When the intra-frequency measurement is performed on a neighbour cell in FR2-2</w:t>
      </w:r>
      <w:r w:rsidRPr="00486B05">
        <w:t xml:space="preserve"> </w:t>
      </w:r>
      <w:r>
        <w:t>with shared spectrum channel access</w:t>
      </w:r>
      <w:r w:rsidRPr="001254C4">
        <w:rPr>
          <w:lang w:eastAsia="zh-CN"/>
        </w:rPr>
        <w:t xml:space="preserve">, UE shall </w:t>
      </w:r>
      <w:r>
        <w:rPr>
          <w:lang w:eastAsia="zh-CN"/>
        </w:rPr>
        <w:t>determine the CCA mode of the neighbour cell</w:t>
      </w:r>
      <w:r w:rsidRPr="001254C4">
        <w:rPr>
          <w:lang w:eastAsia="zh-CN"/>
        </w:rPr>
        <w:t xml:space="preserve"> according to </w:t>
      </w:r>
      <w:r w:rsidRPr="001254C4">
        <w:rPr>
          <w:i/>
          <w:lang w:eastAsia="zh-CN"/>
        </w:rPr>
        <w:t>channelAccessMode2-r17</w:t>
      </w:r>
      <w:r w:rsidRPr="00F80B30">
        <w:rPr>
          <w:lang w:eastAsia="zh-CN"/>
        </w:rPr>
        <w:t>of the cell</w:t>
      </w:r>
      <w:r w:rsidRPr="001254C4">
        <w:rPr>
          <w:lang w:eastAsia="zh-CN"/>
        </w:rPr>
        <w:t xml:space="preserve"> configured in </w:t>
      </w:r>
      <w:r>
        <w:rPr>
          <w:i/>
          <w:lang w:eastAsia="zh-CN"/>
        </w:rPr>
        <w:t>SIB3</w:t>
      </w:r>
      <w:r w:rsidRPr="001254C4">
        <w:rPr>
          <w:lang w:eastAsia="zh-CN"/>
        </w:rPr>
        <w:t xml:space="preserve">. If </w:t>
      </w:r>
      <w:r w:rsidRPr="001254C4">
        <w:rPr>
          <w:i/>
          <w:lang w:eastAsia="zh-CN"/>
        </w:rPr>
        <w:t>channelAccessMode2-r17</w:t>
      </w:r>
      <w:r w:rsidRPr="001254C4">
        <w:rPr>
          <w:lang w:eastAsia="zh-CN"/>
        </w:rPr>
        <w:t xml:space="preserve"> of the </w:t>
      </w:r>
      <w:r>
        <w:rPr>
          <w:lang w:eastAsia="zh-CN"/>
        </w:rPr>
        <w:t>c</w:t>
      </w:r>
      <w:r w:rsidRPr="001254C4">
        <w:rPr>
          <w:lang w:eastAsia="zh-CN"/>
        </w:rPr>
        <w:t>ell is enabled, UE shall assume that CCA</w:t>
      </w:r>
      <w:r>
        <w:rPr>
          <w:lang w:eastAsia="zh-CN"/>
        </w:rPr>
        <w:t xml:space="preserve"> applies to the cell and perform measurement accordingly</w:t>
      </w:r>
      <w:r w:rsidRPr="001254C4">
        <w:rPr>
          <w:lang w:eastAsia="zh-CN"/>
        </w:rPr>
        <w:t xml:space="preserve">, and the requirements in clause </w:t>
      </w:r>
      <w:r>
        <w:rPr>
          <w:lang w:eastAsia="zh-CN"/>
        </w:rPr>
        <w:t>4</w:t>
      </w:r>
      <w:r w:rsidRPr="001254C4">
        <w:rPr>
          <w:lang w:eastAsia="zh-CN"/>
        </w:rPr>
        <w:t>.2A</w:t>
      </w:r>
      <w:r>
        <w:rPr>
          <w:lang w:eastAsia="zh-CN"/>
        </w:rPr>
        <w:t>.2.3</w:t>
      </w:r>
      <w:r w:rsidRPr="001254C4">
        <w:rPr>
          <w:lang w:eastAsia="zh-CN"/>
        </w:rPr>
        <w:t xml:space="preserve"> shall apply; otherwise, UE shall assume that CCA</w:t>
      </w:r>
      <w:r>
        <w:rPr>
          <w:lang w:eastAsia="zh-CN"/>
        </w:rPr>
        <w:t xml:space="preserve"> does not apply to the cell and perform measurement accordingly, and</w:t>
      </w:r>
      <w:r w:rsidRPr="001254C4">
        <w:rPr>
          <w:lang w:eastAsia="zh-CN"/>
        </w:rPr>
        <w:t xml:space="preserve"> requirements in </w:t>
      </w:r>
      <w:r>
        <w:rPr>
          <w:lang w:eastAsia="zh-CN"/>
        </w:rPr>
        <w:t>4</w:t>
      </w:r>
      <w:r w:rsidRPr="001254C4">
        <w:rPr>
          <w:lang w:eastAsia="zh-CN"/>
        </w:rPr>
        <w:t>.2</w:t>
      </w:r>
      <w:r>
        <w:rPr>
          <w:lang w:eastAsia="zh-CN"/>
        </w:rPr>
        <w:t>.2.3</w:t>
      </w:r>
      <w:r w:rsidRPr="001254C4">
        <w:rPr>
          <w:lang w:eastAsia="zh-CN"/>
        </w:rPr>
        <w:t xml:space="preserve"> shall apply.</w:t>
      </w:r>
    </w:p>
    <w:p w14:paraId="7ED29C36" w14:textId="5D6A1B0A" w:rsidR="008A6EF7" w:rsidRPr="003B2CE2" w:rsidRDefault="008A6EF7" w:rsidP="008A6EF7">
      <w:r w:rsidRPr="003B2CE2">
        <w:t>The UE shall be able to evaluate whether a newly detectable intra-frequency cell meets the reselection criteria defined in TS3</w:t>
      </w:r>
      <w:r w:rsidRPr="003B2CE2">
        <w:rPr>
          <w:lang w:eastAsia="zh-CN"/>
        </w:rPr>
        <w:t>8</w:t>
      </w:r>
      <w:r w:rsidRPr="003B2CE2">
        <w:t>.304 within T</w:t>
      </w:r>
      <w:r w:rsidRPr="003B2CE2">
        <w:rPr>
          <w:vertAlign w:val="subscript"/>
        </w:rPr>
        <w:t>detect,</w:t>
      </w:r>
      <w:r w:rsidRPr="003B2CE2">
        <w:rPr>
          <w:vertAlign w:val="subscript"/>
          <w:lang w:eastAsia="zh-CN"/>
        </w:rPr>
        <w:t>NR</w:t>
      </w:r>
      <w:r w:rsidRPr="003B2CE2">
        <w:rPr>
          <w:vertAlign w:val="subscript"/>
        </w:rPr>
        <w:t>_Intra_CCA</w:t>
      </w:r>
      <w:r w:rsidRPr="003B2CE2">
        <w:rPr>
          <w:i/>
          <w:vertAlign w:val="subscript"/>
        </w:rPr>
        <w:t xml:space="preserve"> </w:t>
      </w:r>
      <w:r w:rsidRPr="003B2CE2">
        <w:t>when that T</w:t>
      </w:r>
      <w:r w:rsidRPr="003B2CE2">
        <w:rPr>
          <w:vertAlign w:val="subscript"/>
        </w:rPr>
        <w:t>reselection</w:t>
      </w:r>
      <w:r w:rsidRPr="003B2CE2">
        <w:t>= 0</w:t>
      </w:r>
      <w:r w:rsidRPr="003B2CE2">
        <w:rPr>
          <w:i/>
          <w:vertAlign w:val="subscript"/>
        </w:rPr>
        <w:t xml:space="preserve"> </w:t>
      </w:r>
      <w:r w:rsidRPr="003B2CE2">
        <w:t xml:space="preserve">. An intra frequency cell is considered to be detectable according to the conditions defined in Annex </w:t>
      </w:r>
      <w:r w:rsidRPr="003B2CE2">
        <w:rPr>
          <w:lang w:eastAsia="zh-CN"/>
        </w:rPr>
        <w:t>B.</w:t>
      </w:r>
      <w:r w:rsidR="00745D0A" w:rsidRPr="00745D0A">
        <w:rPr>
          <w:lang w:eastAsia="zh-CN"/>
        </w:rPr>
        <w:t xml:space="preserve"> </w:t>
      </w:r>
      <w:r w:rsidR="00745D0A">
        <w:rPr>
          <w:lang w:eastAsia="zh-CN"/>
        </w:rPr>
        <w:t>2</w:t>
      </w:r>
      <w:r w:rsidRPr="003B2CE2">
        <w:rPr>
          <w:lang w:eastAsia="zh-CN"/>
        </w:rPr>
        <w:t>.</w:t>
      </w:r>
      <w:r w:rsidR="00404930" w:rsidRPr="00404930">
        <w:rPr>
          <w:lang w:eastAsia="zh-CN"/>
        </w:rPr>
        <w:t xml:space="preserve"> </w:t>
      </w:r>
      <w:r w:rsidR="00404930">
        <w:rPr>
          <w:lang w:eastAsia="zh-CN"/>
        </w:rPr>
        <w:t>8</w:t>
      </w:r>
      <w:r w:rsidR="00404930" w:rsidRPr="003B2CE2">
        <w:t xml:space="preserve"> </w:t>
      </w:r>
      <w:r w:rsidRPr="003B2CE2">
        <w:t xml:space="preserve"> for a corresponding Band.</w:t>
      </w:r>
    </w:p>
    <w:p w14:paraId="70BFCCE2" w14:textId="6D82F16D" w:rsidR="008A6EF7" w:rsidRPr="00420F84" w:rsidRDefault="008A6EF7" w:rsidP="008A6EF7">
      <w:pPr>
        <w:rPr>
          <w:bCs/>
          <w:lang w:val="en-US"/>
        </w:rPr>
      </w:pPr>
      <w:r w:rsidRPr="003B2CE2">
        <w:rPr>
          <w:rFonts w:cs="v4.2.0"/>
        </w:rPr>
        <w:t xml:space="preserve">The UE shall measure </w:t>
      </w:r>
      <w:r w:rsidRPr="003B2CE2">
        <w:rPr>
          <w:rFonts w:cs="v4.2.0"/>
          <w:lang w:eastAsia="zh-CN"/>
        </w:rPr>
        <w:t>SS-</w:t>
      </w:r>
      <w:r w:rsidRPr="003B2CE2">
        <w:rPr>
          <w:rFonts w:cs="v4.2.0"/>
        </w:rPr>
        <w:t xml:space="preserve">RSRP and </w:t>
      </w:r>
      <w:r w:rsidRPr="003B2CE2">
        <w:rPr>
          <w:rFonts w:cs="v4.2.0"/>
          <w:lang w:eastAsia="zh-CN"/>
        </w:rPr>
        <w:t>SS-</w:t>
      </w:r>
      <w:r w:rsidRPr="003B2CE2">
        <w:rPr>
          <w:rFonts w:cs="v4.2.0"/>
        </w:rPr>
        <w:t>RSRQ at least every T</w:t>
      </w:r>
      <w:r w:rsidRPr="003B2CE2">
        <w:rPr>
          <w:rFonts w:cs="v4.2.0"/>
          <w:vertAlign w:val="subscript"/>
        </w:rPr>
        <w:t>measure,NR_Intra_CCA</w:t>
      </w:r>
      <w:r w:rsidRPr="003B2CE2">
        <w:rPr>
          <w:rFonts w:cs="v4.2.0"/>
        </w:rPr>
        <w:t xml:space="preserve"> (see table 4.2A.2.3-1) for intra-frequency cells th</w:t>
      </w:r>
      <w:r w:rsidRPr="00AA5D82">
        <w:rPr>
          <w:rFonts w:cs="v4.2.0"/>
        </w:rPr>
        <w:t xml:space="preserve">at are identified and measured according to the measurement rules.  </w:t>
      </w:r>
      <w:r w:rsidRPr="00AA5D82">
        <w:rPr>
          <w:bCs/>
          <w:lang w:val="en-US"/>
        </w:rPr>
        <w:t>For a cell that is already identified, after 2</w:t>
      </w:r>
      <w:r w:rsidR="00F246FA">
        <w:rPr>
          <w:bCs/>
          <w:lang w:val="en-US"/>
        </w:rPr>
        <w:t xml:space="preserve"> </w:t>
      </w:r>
      <w:r w:rsidRPr="00AA5D82">
        <w:rPr>
          <w:bCs/>
          <w:lang w:val="en-US"/>
        </w:rPr>
        <w:t xml:space="preserve">unsuccessful measurement attempts due to exceeding the maximum number of </w:t>
      </w:r>
      <w:r w:rsidR="006D5C93" w:rsidRPr="00AA5D82">
        <w:rPr>
          <w:bCs/>
          <w:lang w:val="en-US"/>
        </w:rPr>
        <w:t xml:space="preserve">SMTC occasions </w:t>
      </w:r>
      <w:r w:rsidR="006D5C93">
        <w:rPr>
          <w:bCs/>
          <w:lang w:val="en-US"/>
        </w:rPr>
        <w:t xml:space="preserve">not </w:t>
      </w:r>
      <w:r w:rsidR="006D5C93" w:rsidRPr="00AA5D82">
        <w:rPr>
          <w:bCs/>
          <w:lang w:val="en-US"/>
        </w:rPr>
        <w:t>available at the UE, the UE shall detect cells on any of the configured serving- and/or non-serving carriers.</w:t>
      </w:r>
    </w:p>
    <w:p w14:paraId="0923F151" w14:textId="77777777" w:rsidR="008A6EF7" w:rsidRPr="003B2CE2" w:rsidRDefault="008A6EF7" w:rsidP="008A6EF7">
      <w:pPr>
        <w:rPr>
          <w:rFonts w:cs="v4.2.0"/>
          <w:lang w:eastAsia="zh-CN"/>
        </w:rPr>
      </w:pPr>
      <w:r w:rsidRPr="003B2CE2">
        <w:rPr>
          <w:rFonts w:cs="v4.2.0"/>
        </w:rPr>
        <w:t xml:space="preserve">The UE shall filter </w:t>
      </w:r>
      <w:r w:rsidRPr="003B2CE2">
        <w:rPr>
          <w:rFonts w:cs="v4.2.0"/>
          <w:lang w:eastAsia="zh-CN"/>
        </w:rPr>
        <w:t>SS-</w:t>
      </w:r>
      <w:r w:rsidRPr="003B2CE2">
        <w:rPr>
          <w:rFonts w:cs="v4.2.0"/>
        </w:rPr>
        <w:t xml:space="preserve">RSRP and </w:t>
      </w:r>
      <w:r w:rsidRPr="003B2CE2">
        <w:rPr>
          <w:rFonts w:cs="v4.2.0"/>
          <w:lang w:eastAsia="zh-CN"/>
        </w:rPr>
        <w:t>SS-</w:t>
      </w:r>
      <w:r w:rsidRPr="003B2CE2">
        <w:rPr>
          <w:rFonts w:cs="v4.2.0"/>
        </w:rPr>
        <w:t xml:space="preserve">RSRQ measurements of each measured intra-frequency cell using at least 2 measurements. Within the set of measurements used for the filtering, at least two measurements shall be spaced by at least </w:t>
      </w:r>
      <w:r w:rsidRPr="003B2CE2">
        <w:rPr>
          <w:rFonts w:eastAsia="Yu Mincho"/>
        </w:rPr>
        <w:t>T</w:t>
      </w:r>
      <w:r w:rsidRPr="003B2CE2">
        <w:rPr>
          <w:rFonts w:eastAsia="Yu Mincho"/>
          <w:vertAlign w:val="subscript"/>
        </w:rPr>
        <w:t>measure,NR_Intra_CCA</w:t>
      </w:r>
      <w:r w:rsidRPr="003B2CE2">
        <w:rPr>
          <w:rFonts w:eastAsia="Yu Mincho"/>
        </w:rPr>
        <w:t>/2</w:t>
      </w:r>
      <w:r w:rsidRPr="003B2CE2">
        <w:rPr>
          <w:rFonts w:cs="v4.2.0"/>
        </w:rPr>
        <w:t>.</w:t>
      </w:r>
    </w:p>
    <w:p w14:paraId="42ED639A" w14:textId="77777777" w:rsidR="008A6EF7" w:rsidRPr="003B2CE2" w:rsidRDefault="008A6EF7" w:rsidP="008A6EF7">
      <w:pPr>
        <w:rPr>
          <w:lang w:eastAsia="zh-CN"/>
        </w:rPr>
      </w:pPr>
      <w:r w:rsidRPr="003B2CE2">
        <w:t xml:space="preserve">The UE shall not consider a </w:t>
      </w:r>
      <w:r w:rsidRPr="003B2CE2">
        <w:rPr>
          <w:lang w:eastAsia="zh-CN"/>
        </w:rPr>
        <w:t>NR</w:t>
      </w:r>
      <w:r w:rsidRPr="003B2CE2">
        <w:t xml:space="preserve"> neighbour cell in cell reselection, if it is indicated as not allowed in the measurement control system information of the serving cell.</w:t>
      </w:r>
    </w:p>
    <w:p w14:paraId="2812E71C" w14:textId="77777777" w:rsidR="008A6EF7" w:rsidRPr="003B2CE2" w:rsidRDefault="008A6EF7" w:rsidP="008A6EF7">
      <w:pPr>
        <w:rPr>
          <w:rFonts w:cs="v4.2.0"/>
        </w:rPr>
      </w:pPr>
      <w:r w:rsidRPr="003B2CE2">
        <w:rPr>
          <w:rFonts w:cs="v4.2.0"/>
        </w:rPr>
        <w:t>For an intra-frequency cell that has been already detected, but that has not been reselected to, the filtering shall be such that the UE shall be capable of evaluating that the intra-frequency cell has met reselection criterion defined [1] within T</w:t>
      </w:r>
      <w:r w:rsidRPr="003B2CE2">
        <w:rPr>
          <w:rFonts w:cs="v4.2.0"/>
          <w:vertAlign w:val="subscript"/>
        </w:rPr>
        <w:t>evaluate,</w:t>
      </w:r>
      <w:r w:rsidRPr="003B2CE2">
        <w:rPr>
          <w:rFonts w:cs="v4.2.0"/>
          <w:vertAlign w:val="subscript"/>
          <w:lang w:eastAsia="zh-CN"/>
        </w:rPr>
        <w:t>NR</w:t>
      </w:r>
      <w:r w:rsidRPr="003B2CE2">
        <w:rPr>
          <w:rFonts w:cs="v4.2.0"/>
          <w:vertAlign w:val="subscript"/>
        </w:rPr>
        <w:t>_Intra_CCA</w:t>
      </w:r>
      <w:r w:rsidRPr="003B2CE2">
        <w:rPr>
          <w:rFonts w:cs="v4.2.0"/>
        </w:rPr>
        <w:t xml:space="preserve"> when T</w:t>
      </w:r>
      <w:r w:rsidRPr="003B2CE2">
        <w:rPr>
          <w:rFonts w:cs="v4.2.0"/>
          <w:vertAlign w:val="subscript"/>
        </w:rPr>
        <w:t>reselection</w:t>
      </w:r>
      <w:r w:rsidRPr="003B2CE2">
        <w:rPr>
          <w:rFonts w:cs="v4.2.0"/>
        </w:rPr>
        <w:t xml:space="preserve"> = 0</w:t>
      </w:r>
      <w:r w:rsidRPr="003B2CE2">
        <w:rPr>
          <w:rFonts w:cs="v4.2.0"/>
          <w:i/>
          <w:vertAlign w:val="subscript"/>
        </w:rPr>
        <w:t xml:space="preserve"> </w:t>
      </w:r>
      <w:r w:rsidRPr="003B2CE2">
        <w:rPr>
          <w:rFonts w:cs="v4.2.0"/>
        </w:rPr>
        <w:t>as specified in table 4.2A.2.3-1 provided that:</w:t>
      </w:r>
    </w:p>
    <w:p w14:paraId="7838E0AE" w14:textId="77777777" w:rsidR="008A6EF7" w:rsidRPr="003B2CE2" w:rsidRDefault="008A6EF7" w:rsidP="008A6EF7">
      <w:pPr>
        <w:pStyle w:val="B10"/>
      </w:pPr>
      <w:r w:rsidRPr="003B2CE2">
        <w:t xml:space="preserve">when </w:t>
      </w:r>
      <w:r w:rsidRPr="003B2CE2">
        <w:rPr>
          <w:i/>
        </w:rPr>
        <w:t>rangeToBestCell</w:t>
      </w:r>
      <w:r w:rsidRPr="003B2CE2">
        <w:t xml:space="preserve"> is not configured:</w:t>
      </w:r>
    </w:p>
    <w:p w14:paraId="49642A5D" w14:textId="77777777" w:rsidR="0031702A" w:rsidRPr="00415158" w:rsidRDefault="0031702A" w:rsidP="0031702A">
      <w:pPr>
        <w:pStyle w:val="B10"/>
        <w:rPr>
          <w:rFonts w:eastAsia="SimSun"/>
        </w:rPr>
      </w:pPr>
      <w:r w:rsidRPr="00415158">
        <w:rPr>
          <w:rFonts w:eastAsia="SimSun"/>
        </w:rPr>
        <w:t>-</w:t>
      </w:r>
      <w:r w:rsidRPr="00415158">
        <w:rPr>
          <w:rFonts w:eastAsia="SimSun"/>
        </w:rPr>
        <w:tab/>
        <w:t xml:space="preserve">the cell is at least </w:t>
      </w:r>
      <w:r w:rsidRPr="00415158">
        <w:rPr>
          <w:rFonts w:eastAsia="SimSun"/>
          <w:lang w:eastAsia="zh-CN"/>
        </w:rPr>
        <w:t>3</w:t>
      </w:r>
      <w:r w:rsidRPr="00415158">
        <w:rPr>
          <w:rFonts w:eastAsia="SimSun"/>
        </w:rPr>
        <w:t>dB better ranked in FR1 or [4.5]dB better ranked in FR2-2.</w:t>
      </w:r>
    </w:p>
    <w:p w14:paraId="453171D0" w14:textId="77777777" w:rsidR="008A6EF7" w:rsidRPr="003B2CE2" w:rsidRDefault="008A6EF7" w:rsidP="008A6EF7">
      <w:pPr>
        <w:pStyle w:val="B10"/>
      </w:pPr>
      <w:r w:rsidRPr="003B2CE2">
        <w:rPr>
          <w:lang w:eastAsia="zh-CN"/>
        </w:rPr>
        <w:t xml:space="preserve">when </w:t>
      </w:r>
      <w:r w:rsidRPr="003B2CE2">
        <w:rPr>
          <w:i/>
        </w:rPr>
        <w:t>rangeToBestCell</w:t>
      </w:r>
      <w:r w:rsidRPr="003B2CE2">
        <w:t xml:space="preserve"> is configured:</w:t>
      </w:r>
    </w:p>
    <w:p w14:paraId="14E80A3D" w14:textId="77777777" w:rsidR="008A6EF7" w:rsidRPr="003B2CE2" w:rsidRDefault="008A6EF7" w:rsidP="008A6EF7">
      <w:pPr>
        <w:pStyle w:val="B10"/>
      </w:pPr>
      <w:r w:rsidRPr="003B2CE2">
        <w:t>-</w:t>
      </w:r>
      <w:r w:rsidRPr="003B2CE2">
        <w:tab/>
        <w:t xml:space="preserve">the cell has the highest number of beams above the threshold </w:t>
      </w:r>
      <w:r w:rsidRPr="003B2CE2">
        <w:rPr>
          <w:i/>
        </w:rPr>
        <w:t>absThreshSS-BlocksConsolidation</w:t>
      </w:r>
      <w:r w:rsidRPr="003B2CE2">
        <w:t xml:space="preserve"> among all detected cells whose cell-ranking criterion R value [1] is within </w:t>
      </w:r>
      <w:r w:rsidRPr="003B2CE2">
        <w:rPr>
          <w:i/>
        </w:rPr>
        <w:t>rangeToBestCell</w:t>
      </w:r>
      <w:r w:rsidRPr="003B2CE2">
        <w:t xml:space="preserve"> of the cell-ranking criterion </w:t>
      </w:r>
      <w:r w:rsidRPr="003B2CE2">
        <w:rPr>
          <w:rFonts w:cs="v4.2.0"/>
        </w:rPr>
        <w:t xml:space="preserve">R value </w:t>
      </w:r>
      <w:r w:rsidRPr="003B2CE2">
        <w:t>of the highest ranked cell.</w:t>
      </w:r>
      <w:r w:rsidRPr="003B2CE2">
        <w:rPr>
          <w:rFonts w:cs="v4.2.0"/>
        </w:rPr>
        <w:t xml:space="preserve"> </w:t>
      </w:r>
    </w:p>
    <w:p w14:paraId="24DD7930" w14:textId="77777777" w:rsidR="008A6EF7" w:rsidRPr="003B2CE2" w:rsidRDefault="008A6EF7" w:rsidP="008A6EF7">
      <w:pPr>
        <w:pStyle w:val="B20"/>
      </w:pPr>
      <w:r w:rsidRPr="003B2CE2">
        <w:t>-</w:t>
      </w:r>
      <w:r w:rsidRPr="003B2CE2">
        <w:tab/>
        <w:t xml:space="preserve">if there are multiple such cells, the cell has the highest rank among them. </w:t>
      </w:r>
    </w:p>
    <w:p w14:paraId="26DE0F53" w14:textId="77777777" w:rsidR="0031702A" w:rsidRPr="00415158" w:rsidRDefault="0031702A" w:rsidP="0031702A">
      <w:pPr>
        <w:pStyle w:val="B30"/>
        <w:rPr>
          <w:rFonts w:eastAsia="SimSun"/>
        </w:rPr>
      </w:pPr>
      <w:r w:rsidRPr="00415158">
        <w:rPr>
          <w:rFonts w:eastAsia="SimSun"/>
        </w:rPr>
        <w:t>-</w:t>
      </w:r>
      <w:r w:rsidRPr="00415158">
        <w:rPr>
          <w:rFonts w:eastAsia="SimSun"/>
        </w:rPr>
        <w:tab/>
        <w:t xml:space="preserve">the cell is at least 3dB better ranked in FR1 </w:t>
      </w:r>
      <w:r w:rsidRPr="00415158">
        <w:rPr>
          <w:rFonts w:eastAsiaTheme="minorEastAsia"/>
        </w:rPr>
        <w:t xml:space="preserve">or [4.5]dB better ranked in FR2-2 </w:t>
      </w:r>
      <w:r w:rsidRPr="00415158">
        <w:rPr>
          <w:rFonts w:eastAsia="SimSun"/>
        </w:rPr>
        <w:t>if the current serving cell is among them.</w:t>
      </w:r>
    </w:p>
    <w:p w14:paraId="247CE983" w14:textId="77777777" w:rsidR="008A6EF7" w:rsidRPr="003B2CE2" w:rsidRDefault="008A6EF7" w:rsidP="008A6EF7">
      <w:r w:rsidRPr="003B2CE2">
        <w:t>When evaluating cells for reselection, the SSB side conditions apply to both serving and non-serving intra-frequency cells.</w:t>
      </w:r>
    </w:p>
    <w:p w14:paraId="67171291" w14:textId="77777777" w:rsidR="008A6EF7" w:rsidRPr="003B2CE2" w:rsidRDefault="008A6EF7" w:rsidP="008A6EF7">
      <w:pPr>
        <w:rPr>
          <w:lang w:eastAsia="zh-CN"/>
        </w:rPr>
      </w:pPr>
      <w:r w:rsidRPr="003B2CE2">
        <w:rPr>
          <w:lang w:eastAsia="zh-CN"/>
        </w:rPr>
        <w:t>If T</w:t>
      </w:r>
      <w:r w:rsidRPr="003B2CE2">
        <w:rPr>
          <w:vertAlign w:val="subscript"/>
          <w:lang w:eastAsia="zh-CN"/>
        </w:rPr>
        <w:t>reselection</w:t>
      </w:r>
      <w:r w:rsidRPr="003B2CE2">
        <w:rPr>
          <w:lang w:eastAsia="zh-CN"/>
        </w:rPr>
        <w:t xml:space="preserve"> timer has a non-zero value and the intra-frequency</w:t>
      </w:r>
      <w:r w:rsidRPr="003B2CE2">
        <w:rPr>
          <w:rFonts w:cs="v3.7.0"/>
        </w:rPr>
        <w:t xml:space="preserve"> cell is satisfied with the reselection criteria, which are defined in TS38.304 [1], </w:t>
      </w:r>
      <w:r w:rsidRPr="003B2CE2">
        <w:rPr>
          <w:lang w:eastAsia="zh-CN"/>
        </w:rPr>
        <w:t>the UE shall evaluate this intra-frequency cell for the T</w:t>
      </w:r>
      <w:r w:rsidRPr="003B2CE2">
        <w:rPr>
          <w:vertAlign w:val="subscript"/>
          <w:lang w:eastAsia="zh-CN"/>
        </w:rPr>
        <w:t>reselection</w:t>
      </w:r>
      <w:r w:rsidRPr="003B2CE2">
        <w:rPr>
          <w:lang w:eastAsia="zh-CN"/>
        </w:rPr>
        <w:t xml:space="preserve"> time. If this cell remains satisfied with the reselection criteria within this duration, then the UE shall reselect that cell.</w:t>
      </w:r>
    </w:p>
    <w:p w14:paraId="7B30258E" w14:textId="045E01FD" w:rsidR="008A6EF7" w:rsidRDefault="008A6EF7" w:rsidP="008A6EF7">
      <w:pPr>
        <w:pStyle w:val="TH"/>
        <w:rPr>
          <w:vertAlign w:val="subscript"/>
        </w:rPr>
      </w:pPr>
      <w:r w:rsidRPr="003B2CE2">
        <w:t>Table 4.2A.2.3-1: T</w:t>
      </w:r>
      <w:r w:rsidRPr="003B2CE2">
        <w:rPr>
          <w:vertAlign w:val="subscript"/>
        </w:rPr>
        <w:t>detect,NR_Intra_CCA,</w:t>
      </w:r>
      <w:r w:rsidRPr="003B2CE2">
        <w:t xml:space="preserve"> T</w:t>
      </w:r>
      <w:r w:rsidRPr="003B2CE2">
        <w:rPr>
          <w:vertAlign w:val="subscript"/>
        </w:rPr>
        <w:t>measure,NR_Intra_CCA</w:t>
      </w:r>
      <w:r w:rsidRPr="003B2CE2">
        <w:t xml:space="preserve"> and T</w:t>
      </w:r>
      <w:r w:rsidRPr="003B2CE2">
        <w:rPr>
          <w:vertAlign w:val="subscript"/>
        </w:rPr>
        <w:t>evaluate,NR_Intra_CCA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1060"/>
        <w:gridCol w:w="1059"/>
        <w:gridCol w:w="2118"/>
        <w:gridCol w:w="2120"/>
        <w:gridCol w:w="2116"/>
      </w:tblGrid>
      <w:tr w:rsidR="0031702A" w:rsidRPr="00415158" w14:paraId="24FFA6FB" w14:textId="77777777" w:rsidTr="00C738DD">
        <w:trPr>
          <w:cantSplit/>
          <w:trHeight w:val="263"/>
          <w:jc w:val="center"/>
        </w:trPr>
        <w:tc>
          <w:tcPr>
            <w:tcW w:w="600" w:type="pct"/>
            <w:vMerge w:val="restart"/>
            <w:tcBorders>
              <w:top w:val="single" w:sz="4" w:space="0" w:color="auto"/>
              <w:left w:val="single" w:sz="4" w:space="0" w:color="auto"/>
              <w:right w:val="single" w:sz="4" w:space="0" w:color="auto"/>
            </w:tcBorders>
            <w:hideMark/>
          </w:tcPr>
          <w:p w14:paraId="7A4D57E5" w14:textId="77777777" w:rsidR="0031702A" w:rsidRPr="00415158" w:rsidRDefault="0031702A" w:rsidP="00BC6DEF">
            <w:pPr>
              <w:pStyle w:val="TAH"/>
              <w:rPr>
                <w:rFonts w:eastAsiaTheme="minorEastAsia"/>
              </w:rPr>
            </w:pPr>
            <w:r w:rsidRPr="00415158">
              <w:rPr>
                <w:rFonts w:eastAsiaTheme="minorEastAsia"/>
              </w:rPr>
              <w:t>DRX cycle length [s]</w:t>
            </w:r>
          </w:p>
        </w:tc>
        <w:tc>
          <w:tcPr>
            <w:tcW w:w="1100" w:type="pct"/>
            <w:gridSpan w:val="2"/>
            <w:tcBorders>
              <w:top w:val="single" w:sz="4" w:space="0" w:color="auto"/>
              <w:left w:val="single" w:sz="4" w:space="0" w:color="auto"/>
              <w:bottom w:val="single" w:sz="4" w:space="0" w:color="auto"/>
              <w:right w:val="single" w:sz="4" w:space="0" w:color="auto"/>
            </w:tcBorders>
          </w:tcPr>
          <w:p w14:paraId="0431D4CC" w14:textId="77777777" w:rsidR="0031702A" w:rsidRPr="00415158" w:rsidRDefault="0031702A" w:rsidP="00BC6DEF">
            <w:pPr>
              <w:pStyle w:val="TAH"/>
              <w:rPr>
                <w:rFonts w:eastAsiaTheme="minorEastAsia"/>
                <w:lang w:val="en-US"/>
              </w:rPr>
            </w:pPr>
            <w:r w:rsidRPr="00415158">
              <w:rPr>
                <w:rFonts w:eastAsiaTheme="minorEastAsia"/>
                <w:lang w:val="en-US"/>
              </w:rPr>
              <w:t>Scaling Factor (N1)</w:t>
            </w:r>
          </w:p>
        </w:tc>
        <w:tc>
          <w:tcPr>
            <w:tcW w:w="1100" w:type="pct"/>
            <w:vMerge w:val="restart"/>
            <w:tcBorders>
              <w:top w:val="single" w:sz="4" w:space="0" w:color="auto"/>
              <w:left w:val="single" w:sz="4" w:space="0" w:color="auto"/>
              <w:right w:val="single" w:sz="4" w:space="0" w:color="auto"/>
            </w:tcBorders>
            <w:hideMark/>
          </w:tcPr>
          <w:p w14:paraId="06BD391B" w14:textId="77777777" w:rsidR="0031702A" w:rsidRPr="00415158" w:rsidRDefault="0031702A" w:rsidP="00BC6DEF">
            <w:pPr>
              <w:pStyle w:val="TAH"/>
              <w:rPr>
                <w:rFonts w:eastAsiaTheme="minorEastAsia"/>
              </w:rPr>
            </w:pPr>
            <w:r w:rsidRPr="00415158">
              <w:rPr>
                <w:rFonts w:eastAsiaTheme="minorEastAsia"/>
              </w:rPr>
              <w:t>T</w:t>
            </w:r>
            <w:r w:rsidRPr="00415158">
              <w:rPr>
                <w:rFonts w:eastAsiaTheme="minorEastAsia"/>
                <w:vertAlign w:val="subscript"/>
              </w:rPr>
              <w:t>detect,NR_Intra_CCA</w:t>
            </w:r>
            <w:r w:rsidRPr="00415158">
              <w:rPr>
                <w:rFonts w:eastAsiaTheme="minorEastAsia"/>
              </w:rPr>
              <w:t xml:space="preserve"> [s] (number of DRX cycles)</w:t>
            </w:r>
          </w:p>
        </w:tc>
        <w:tc>
          <w:tcPr>
            <w:tcW w:w="1101" w:type="pct"/>
            <w:vMerge w:val="restart"/>
            <w:tcBorders>
              <w:top w:val="single" w:sz="4" w:space="0" w:color="auto"/>
              <w:left w:val="single" w:sz="4" w:space="0" w:color="auto"/>
              <w:right w:val="single" w:sz="4" w:space="0" w:color="auto"/>
            </w:tcBorders>
            <w:hideMark/>
          </w:tcPr>
          <w:p w14:paraId="24446D9E" w14:textId="77777777" w:rsidR="0031702A" w:rsidRPr="00415158" w:rsidRDefault="0031702A" w:rsidP="00BC6DEF">
            <w:pPr>
              <w:pStyle w:val="TAH"/>
              <w:rPr>
                <w:rFonts w:eastAsiaTheme="minorEastAsia"/>
              </w:rPr>
            </w:pPr>
            <w:r w:rsidRPr="00415158">
              <w:rPr>
                <w:rFonts w:eastAsiaTheme="minorEastAsia"/>
              </w:rPr>
              <w:t>T</w:t>
            </w:r>
            <w:r w:rsidRPr="00415158">
              <w:rPr>
                <w:rFonts w:eastAsiaTheme="minorEastAsia"/>
                <w:vertAlign w:val="subscript"/>
              </w:rPr>
              <w:t>measure,NR_Intra_CCA</w:t>
            </w:r>
            <w:r w:rsidRPr="00415158">
              <w:rPr>
                <w:rFonts w:eastAsiaTheme="minorEastAsia"/>
              </w:rPr>
              <w:t xml:space="preserve"> [s] (number of DRX cycles)</w:t>
            </w:r>
          </w:p>
        </w:tc>
        <w:tc>
          <w:tcPr>
            <w:tcW w:w="1099" w:type="pct"/>
            <w:vMerge w:val="restart"/>
            <w:tcBorders>
              <w:top w:val="single" w:sz="4" w:space="0" w:color="auto"/>
              <w:left w:val="single" w:sz="4" w:space="0" w:color="auto"/>
              <w:right w:val="single" w:sz="4" w:space="0" w:color="auto"/>
            </w:tcBorders>
            <w:hideMark/>
          </w:tcPr>
          <w:p w14:paraId="702E11B3" w14:textId="77777777" w:rsidR="0031702A" w:rsidRPr="00415158" w:rsidRDefault="0031702A" w:rsidP="00BC6DEF">
            <w:pPr>
              <w:pStyle w:val="TAH"/>
              <w:rPr>
                <w:rFonts w:eastAsiaTheme="minorEastAsia"/>
                <w:vertAlign w:val="subscript"/>
              </w:rPr>
            </w:pPr>
            <w:r w:rsidRPr="00415158">
              <w:rPr>
                <w:rFonts w:eastAsiaTheme="minorEastAsia"/>
              </w:rPr>
              <w:t>T</w:t>
            </w:r>
            <w:r w:rsidRPr="00415158">
              <w:rPr>
                <w:rFonts w:eastAsiaTheme="minorEastAsia"/>
                <w:vertAlign w:val="subscript"/>
              </w:rPr>
              <w:t>evaluate,NR_</w:t>
            </w:r>
            <w:r w:rsidRPr="00415158">
              <w:rPr>
                <w:rFonts w:eastAsiaTheme="minorEastAsia" w:cs="v4.2.0"/>
                <w:vertAlign w:val="subscript"/>
              </w:rPr>
              <w:t>Intra_CCA</w:t>
            </w:r>
          </w:p>
          <w:p w14:paraId="3269EEEC" w14:textId="77777777" w:rsidR="0031702A" w:rsidRPr="00415158" w:rsidRDefault="0031702A" w:rsidP="00BC6DEF">
            <w:pPr>
              <w:pStyle w:val="TAH"/>
              <w:rPr>
                <w:rFonts w:eastAsiaTheme="minorEastAsia"/>
              </w:rPr>
            </w:pPr>
            <w:r w:rsidRPr="00415158">
              <w:rPr>
                <w:rFonts w:eastAsiaTheme="minorEastAsia"/>
              </w:rPr>
              <w:t>[s] (number of DRX cycles)</w:t>
            </w:r>
          </w:p>
        </w:tc>
      </w:tr>
      <w:tr w:rsidR="0031702A" w:rsidRPr="00415158" w14:paraId="57372D99" w14:textId="77777777" w:rsidTr="00C738DD">
        <w:trPr>
          <w:cantSplit/>
          <w:trHeight w:val="263"/>
          <w:jc w:val="center"/>
        </w:trPr>
        <w:tc>
          <w:tcPr>
            <w:tcW w:w="600" w:type="pct"/>
            <w:vMerge/>
            <w:tcBorders>
              <w:left w:val="single" w:sz="4" w:space="0" w:color="auto"/>
              <w:bottom w:val="single" w:sz="4" w:space="0" w:color="auto"/>
              <w:right w:val="single" w:sz="4" w:space="0" w:color="auto"/>
            </w:tcBorders>
          </w:tcPr>
          <w:p w14:paraId="7EB5BD74" w14:textId="77777777" w:rsidR="0031702A" w:rsidRPr="00415158" w:rsidRDefault="0031702A" w:rsidP="00C738DD">
            <w:pPr>
              <w:keepNext/>
              <w:keepLines/>
              <w:spacing w:after="0"/>
              <w:jc w:val="center"/>
              <w:rPr>
                <w:rFonts w:ascii="Arial" w:eastAsia="SimSun" w:hAnsi="Arial"/>
                <w:b/>
                <w:sz w:val="18"/>
              </w:rPr>
            </w:pPr>
          </w:p>
        </w:tc>
        <w:tc>
          <w:tcPr>
            <w:tcW w:w="550" w:type="pct"/>
            <w:tcBorders>
              <w:top w:val="single" w:sz="4" w:space="0" w:color="auto"/>
              <w:left w:val="single" w:sz="4" w:space="0" w:color="auto"/>
              <w:bottom w:val="single" w:sz="4" w:space="0" w:color="auto"/>
              <w:right w:val="single" w:sz="4" w:space="0" w:color="auto"/>
            </w:tcBorders>
          </w:tcPr>
          <w:p w14:paraId="1D31F5EA" w14:textId="77777777" w:rsidR="0031702A" w:rsidRPr="00415158" w:rsidRDefault="0031702A" w:rsidP="00C738DD">
            <w:pPr>
              <w:keepNext/>
              <w:keepLines/>
              <w:spacing w:after="0"/>
              <w:jc w:val="center"/>
              <w:rPr>
                <w:rFonts w:ascii="Arial" w:eastAsiaTheme="minorEastAsia" w:hAnsi="Arial"/>
                <w:b/>
                <w:sz w:val="18"/>
                <w:lang w:val="en-US"/>
              </w:rPr>
            </w:pPr>
            <w:r w:rsidRPr="00415158">
              <w:rPr>
                <w:rFonts w:ascii="Arial" w:eastAsiaTheme="minorEastAsia" w:hAnsi="Arial"/>
                <w:b/>
                <w:sz w:val="18"/>
                <w:lang w:val="en-US"/>
              </w:rPr>
              <w:t>FR1</w:t>
            </w:r>
          </w:p>
        </w:tc>
        <w:tc>
          <w:tcPr>
            <w:tcW w:w="550" w:type="pct"/>
            <w:tcBorders>
              <w:top w:val="single" w:sz="4" w:space="0" w:color="auto"/>
              <w:left w:val="single" w:sz="4" w:space="0" w:color="auto"/>
              <w:bottom w:val="single" w:sz="4" w:space="0" w:color="auto"/>
              <w:right w:val="single" w:sz="4" w:space="0" w:color="auto"/>
            </w:tcBorders>
          </w:tcPr>
          <w:p w14:paraId="20B3E5B4" w14:textId="3F270FC9" w:rsidR="0031702A" w:rsidRPr="00415158" w:rsidRDefault="00BC6DEF" w:rsidP="00C738DD">
            <w:pPr>
              <w:keepNext/>
              <w:keepLines/>
              <w:spacing w:after="0"/>
              <w:jc w:val="center"/>
              <w:rPr>
                <w:rFonts w:ascii="Arial" w:eastAsiaTheme="minorEastAsia" w:hAnsi="Arial"/>
                <w:b/>
                <w:sz w:val="18"/>
                <w:lang w:val="en-US"/>
              </w:rPr>
            </w:pPr>
            <w:r w:rsidRPr="005D7B3F">
              <w:rPr>
                <w:rFonts w:ascii="Arial" w:eastAsia="Malgun Gothic" w:hAnsi="Arial"/>
                <w:b/>
                <w:sz w:val="18"/>
                <w:lang w:val="en-US"/>
              </w:rPr>
              <w:t>FR2-2</w:t>
            </w:r>
            <w:r>
              <w:rPr>
                <w:rFonts w:ascii="Arial" w:eastAsia="Malgun Gothic" w:hAnsi="Arial"/>
                <w:b/>
                <w:sz w:val="18"/>
                <w:lang w:val="en-US"/>
              </w:rPr>
              <w:t xml:space="preserve"> </w:t>
            </w:r>
            <w:r w:rsidRPr="00082331">
              <w:rPr>
                <w:rFonts w:ascii="Arial" w:eastAsia="Malgun Gothic" w:hAnsi="Arial"/>
                <w:b/>
                <w:sz w:val="18"/>
                <w:vertAlign w:val="superscript"/>
                <w:lang w:val="en-US"/>
              </w:rPr>
              <w:t>Note 5</w:t>
            </w:r>
          </w:p>
        </w:tc>
        <w:tc>
          <w:tcPr>
            <w:tcW w:w="1100" w:type="pct"/>
            <w:vMerge/>
            <w:tcBorders>
              <w:left w:val="single" w:sz="4" w:space="0" w:color="auto"/>
              <w:bottom w:val="single" w:sz="4" w:space="0" w:color="auto"/>
              <w:right w:val="single" w:sz="4" w:space="0" w:color="auto"/>
            </w:tcBorders>
          </w:tcPr>
          <w:p w14:paraId="3080001C" w14:textId="77777777" w:rsidR="0031702A" w:rsidRPr="00415158" w:rsidRDefault="0031702A" w:rsidP="00C738DD">
            <w:pPr>
              <w:keepNext/>
              <w:keepLines/>
              <w:spacing w:after="0"/>
              <w:jc w:val="center"/>
              <w:rPr>
                <w:rFonts w:ascii="Arial" w:eastAsia="SimSun" w:hAnsi="Arial"/>
                <w:b/>
                <w:sz w:val="18"/>
              </w:rPr>
            </w:pPr>
          </w:p>
        </w:tc>
        <w:tc>
          <w:tcPr>
            <w:tcW w:w="1101" w:type="pct"/>
            <w:vMerge/>
            <w:tcBorders>
              <w:left w:val="single" w:sz="4" w:space="0" w:color="auto"/>
              <w:bottom w:val="single" w:sz="4" w:space="0" w:color="auto"/>
              <w:right w:val="single" w:sz="4" w:space="0" w:color="auto"/>
            </w:tcBorders>
          </w:tcPr>
          <w:p w14:paraId="39910438" w14:textId="77777777" w:rsidR="0031702A" w:rsidRPr="00415158" w:rsidRDefault="0031702A" w:rsidP="00C738DD">
            <w:pPr>
              <w:keepNext/>
              <w:keepLines/>
              <w:spacing w:after="0"/>
              <w:jc w:val="center"/>
              <w:rPr>
                <w:rFonts w:ascii="Arial" w:eastAsia="SimSun" w:hAnsi="Arial"/>
                <w:b/>
                <w:sz w:val="18"/>
              </w:rPr>
            </w:pPr>
          </w:p>
        </w:tc>
        <w:tc>
          <w:tcPr>
            <w:tcW w:w="1099" w:type="pct"/>
            <w:vMerge/>
            <w:tcBorders>
              <w:left w:val="single" w:sz="4" w:space="0" w:color="auto"/>
              <w:bottom w:val="single" w:sz="4" w:space="0" w:color="auto"/>
              <w:right w:val="single" w:sz="4" w:space="0" w:color="auto"/>
            </w:tcBorders>
          </w:tcPr>
          <w:p w14:paraId="0B5BAE37" w14:textId="77777777" w:rsidR="0031702A" w:rsidRPr="00415158" w:rsidRDefault="0031702A" w:rsidP="00C738DD">
            <w:pPr>
              <w:keepNext/>
              <w:keepLines/>
              <w:spacing w:after="0"/>
              <w:jc w:val="center"/>
              <w:rPr>
                <w:rFonts w:ascii="Arial" w:eastAsia="SimSun" w:hAnsi="Arial"/>
                <w:b/>
                <w:sz w:val="18"/>
              </w:rPr>
            </w:pPr>
          </w:p>
        </w:tc>
      </w:tr>
      <w:tr w:rsidR="00BC6DEF" w:rsidRPr="00415158" w14:paraId="66B0B840" w14:textId="77777777" w:rsidTr="00412C48">
        <w:trPr>
          <w:cantSplit/>
          <w:jc w:val="center"/>
        </w:trPr>
        <w:tc>
          <w:tcPr>
            <w:tcW w:w="600" w:type="pct"/>
            <w:tcBorders>
              <w:top w:val="single" w:sz="4" w:space="0" w:color="auto"/>
              <w:left w:val="single" w:sz="4" w:space="0" w:color="auto"/>
              <w:bottom w:val="single" w:sz="4" w:space="0" w:color="auto"/>
              <w:right w:val="single" w:sz="4" w:space="0" w:color="auto"/>
            </w:tcBorders>
            <w:hideMark/>
          </w:tcPr>
          <w:p w14:paraId="7ADD3A91" w14:textId="77777777" w:rsidR="00BC6DEF" w:rsidRPr="00415158" w:rsidRDefault="00BC6DEF" w:rsidP="00BC6DEF">
            <w:pPr>
              <w:pStyle w:val="TAC"/>
              <w:rPr>
                <w:rFonts w:eastAsiaTheme="minorEastAsia"/>
              </w:rPr>
            </w:pPr>
            <w:r w:rsidRPr="00415158">
              <w:rPr>
                <w:rFonts w:eastAsiaTheme="minorEastAsia"/>
              </w:rPr>
              <w:t>0.32</w:t>
            </w:r>
          </w:p>
        </w:tc>
        <w:tc>
          <w:tcPr>
            <w:tcW w:w="550" w:type="pct"/>
            <w:tcBorders>
              <w:top w:val="single" w:sz="4" w:space="0" w:color="auto"/>
              <w:left w:val="single" w:sz="4" w:space="0" w:color="auto"/>
              <w:bottom w:val="nil"/>
              <w:right w:val="single" w:sz="4" w:space="0" w:color="auto"/>
            </w:tcBorders>
          </w:tcPr>
          <w:p w14:paraId="141CD3C6" w14:textId="77777777" w:rsidR="00BC6DEF" w:rsidRPr="00415158" w:rsidRDefault="00BC6DEF" w:rsidP="00BC6DEF">
            <w:pPr>
              <w:pStyle w:val="TAC"/>
              <w:rPr>
                <w:rFonts w:eastAsiaTheme="minorEastAsia"/>
                <w:lang w:val="en-US"/>
              </w:rPr>
            </w:pPr>
            <w:r w:rsidRPr="00415158">
              <w:rPr>
                <w:rFonts w:eastAsiaTheme="minorEastAsia"/>
                <w:lang w:val="en-US"/>
              </w:rPr>
              <w:t>1</w:t>
            </w:r>
          </w:p>
        </w:tc>
        <w:tc>
          <w:tcPr>
            <w:tcW w:w="550" w:type="pct"/>
            <w:tcBorders>
              <w:top w:val="single" w:sz="4" w:space="0" w:color="auto"/>
              <w:left w:val="single" w:sz="4" w:space="0" w:color="auto"/>
              <w:right w:val="single" w:sz="4" w:space="0" w:color="auto"/>
            </w:tcBorders>
          </w:tcPr>
          <w:p w14:paraId="30F51997" w14:textId="17E1F0EA" w:rsidR="00BC6DEF" w:rsidRPr="00415158" w:rsidRDefault="00BC6DEF" w:rsidP="00BC6DEF">
            <w:pPr>
              <w:pStyle w:val="TAC"/>
              <w:rPr>
                <w:rFonts w:eastAsiaTheme="minorEastAsia"/>
                <w:lang w:val="en-US"/>
              </w:rPr>
            </w:pPr>
            <w:r>
              <w:rPr>
                <w:rFonts w:eastAsia="Malgun Gothic"/>
                <w:lang w:val="en-US"/>
              </w:rPr>
              <w:t>12</w:t>
            </w:r>
          </w:p>
        </w:tc>
        <w:tc>
          <w:tcPr>
            <w:tcW w:w="1100" w:type="pct"/>
            <w:tcBorders>
              <w:top w:val="single" w:sz="4" w:space="0" w:color="auto"/>
              <w:left w:val="single" w:sz="4" w:space="0" w:color="auto"/>
              <w:bottom w:val="single" w:sz="4" w:space="0" w:color="auto"/>
              <w:right w:val="single" w:sz="4" w:space="0" w:color="auto"/>
            </w:tcBorders>
            <w:hideMark/>
          </w:tcPr>
          <w:p w14:paraId="45E37458" w14:textId="77777777" w:rsidR="00BC6DEF" w:rsidRPr="00415158" w:rsidRDefault="00BC6DEF" w:rsidP="00BC6DEF">
            <w:pPr>
              <w:pStyle w:val="TAC"/>
              <w:rPr>
                <w:rFonts w:eastAsiaTheme="minorEastAsia"/>
                <w:lang w:val="en-US"/>
              </w:rPr>
            </w:pPr>
            <w:r w:rsidRPr="00415158">
              <w:rPr>
                <w:rFonts w:eastAsiaTheme="minorEastAsia"/>
                <w:lang w:val="en-US"/>
              </w:rPr>
              <w:t>0.32xN1x(36+M</w:t>
            </w:r>
            <w:r w:rsidRPr="00415158">
              <w:rPr>
                <w:rFonts w:eastAsiaTheme="minorEastAsia"/>
                <w:vertAlign w:val="subscript"/>
                <w:lang w:val="en-US"/>
              </w:rPr>
              <w:t>d</w:t>
            </w:r>
            <w:r w:rsidRPr="00415158">
              <w:rPr>
                <w:rFonts w:eastAsiaTheme="minorEastAsia"/>
                <w:lang w:val="en-US"/>
              </w:rPr>
              <w:t xml:space="preserve">)xM2 </w:t>
            </w:r>
          </w:p>
          <w:p w14:paraId="41F3408A" w14:textId="77777777" w:rsidR="00BC6DEF" w:rsidRPr="00415158" w:rsidRDefault="00BC6DEF" w:rsidP="00BC6DEF">
            <w:pPr>
              <w:pStyle w:val="TAC"/>
              <w:rPr>
                <w:rFonts w:eastAsiaTheme="minorEastAsia"/>
                <w:lang w:val="en-US"/>
              </w:rPr>
            </w:pPr>
            <w:r w:rsidRPr="00415158">
              <w:rPr>
                <w:rFonts w:eastAsiaTheme="minorEastAsia"/>
                <w:lang w:val="en-US"/>
              </w:rPr>
              <w:t>{(36+M</w:t>
            </w:r>
            <w:r w:rsidRPr="00415158">
              <w:rPr>
                <w:rFonts w:eastAsiaTheme="minorEastAsia"/>
                <w:vertAlign w:val="subscript"/>
                <w:lang w:val="en-US"/>
              </w:rPr>
              <w:t>d</w:t>
            </w:r>
            <w:r w:rsidRPr="00415158">
              <w:rPr>
                <w:rFonts w:eastAsiaTheme="minorEastAsia"/>
                <w:lang w:val="en-US"/>
              </w:rPr>
              <w:t>)xN1xM2}</w:t>
            </w:r>
          </w:p>
        </w:tc>
        <w:tc>
          <w:tcPr>
            <w:tcW w:w="1101" w:type="pct"/>
            <w:tcBorders>
              <w:top w:val="single" w:sz="4" w:space="0" w:color="auto"/>
              <w:left w:val="single" w:sz="4" w:space="0" w:color="auto"/>
              <w:bottom w:val="single" w:sz="4" w:space="0" w:color="auto"/>
              <w:right w:val="single" w:sz="4" w:space="0" w:color="auto"/>
            </w:tcBorders>
            <w:hideMark/>
          </w:tcPr>
          <w:p w14:paraId="2BFFCF8B" w14:textId="77777777" w:rsidR="00BC6DEF" w:rsidRPr="00415158" w:rsidRDefault="00BC6DEF" w:rsidP="00BC6DEF">
            <w:pPr>
              <w:pStyle w:val="TAC"/>
              <w:rPr>
                <w:rFonts w:eastAsiaTheme="minorEastAsia"/>
                <w:lang w:val="en-US"/>
              </w:rPr>
            </w:pPr>
            <w:r w:rsidRPr="00415158">
              <w:rPr>
                <w:rFonts w:eastAsiaTheme="minorEastAsia"/>
                <w:lang w:val="en-US"/>
              </w:rPr>
              <w:t>0.32xN1x(4+M</w:t>
            </w:r>
            <w:r w:rsidRPr="00415158">
              <w:rPr>
                <w:rFonts w:eastAsiaTheme="minorEastAsia"/>
                <w:vertAlign w:val="subscript"/>
                <w:lang w:val="en-US"/>
              </w:rPr>
              <w:t>m</w:t>
            </w:r>
            <w:r w:rsidRPr="00415158">
              <w:rPr>
                <w:rFonts w:eastAsiaTheme="minorEastAsia"/>
                <w:lang w:val="en-US"/>
              </w:rPr>
              <w:t>)xM2</w:t>
            </w:r>
          </w:p>
          <w:p w14:paraId="0FC9C012" w14:textId="77777777" w:rsidR="00BC6DEF" w:rsidRPr="00415158" w:rsidRDefault="00BC6DEF" w:rsidP="00BC6DEF">
            <w:pPr>
              <w:pStyle w:val="TAC"/>
              <w:rPr>
                <w:rFonts w:eastAsiaTheme="minorEastAsia"/>
                <w:lang w:val="en-US"/>
              </w:rPr>
            </w:pPr>
            <w:r w:rsidRPr="00415158">
              <w:rPr>
                <w:rFonts w:eastAsiaTheme="minorEastAsia"/>
                <w:lang w:val="en-US"/>
              </w:rPr>
              <w:t>{(4+M</w:t>
            </w:r>
            <w:r w:rsidRPr="00415158">
              <w:rPr>
                <w:rFonts w:eastAsiaTheme="minorEastAsia"/>
                <w:vertAlign w:val="subscript"/>
                <w:lang w:val="en-US"/>
              </w:rPr>
              <w:t>m</w:t>
            </w:r>
            <w:r w:rsidRPr="00415158">
              <w:rPr>
                <w:rFonts w:eastAsiaTheme="minorEastAsia"/>
                <w:lang w:val="en-US"/>
              </w:rPr>
              <w:t>)xN1 xM2</w:t>
            </w:r>
          </w:p>
        </w:tc>
        <w:tc>
          <w:tcPr>
            <w:tcW w:w="1099" w:type="pct"/>
            <w:tcBorders>
              <w:top w:val="single" w:sz="4" w:space="0" w:color="auto"/>
              <w:left w:val="single" w:sz="4" w:space="0" w:color="auto"/>
              <w:bottom w:val="single" w:sz="4" w:space="0" w:color="auto"/>
              <w:right w:val="single" w:sz="4" w:space="0" w:color="auto"/>
            </w:tcBorders>
            <w:hideMark/>
          </w:tcPr>
          <w:p w14:paraId="49DA2B56" w14:textId="77777777" w:rsidR="00BC6DEF" w:rsidRPr="00415158" w:rsidRDefault="00BC6DEF" w:rsidP="00BC6DEF">
            <w:pPr>
              <w:pStyle w:val="TAC"/>
              <w:rPr>
                <w:rFonts w:eastAsiaTheme="minorEastAsia"/>
                <w:lang w:val="en-US"/>
              </w:rPr>
            </w:pPr>
            <w:r w:rsidRPr="00415158">
              <w:rPr>
                <w:rFonts w:eastAsiaTheme="minorEastAsia"/>
                <w:lang w:val="en-US"/>
              </w:rPr>
              <w:t>0.32xN1x(16+M</w:t>
            </w:r>
            <w:r w:rsidRPr="00415158">
              <w:rPr>
                <w:rFonts w:eastAsiaTheme="minorEastAsia"/>
                <w:vertAlign w:val="subscript"/>
                <w:lang w:val="en-US"/>
              </w:rPr>
              <w:t>e</w:t>
            </w:r>
            <w:r w:rsidRPr="00415158">
              <w:rPr>
                <w:rFonts w:eastAsiaTheme="minorEastAsia"/>
                <w:lang w:val="en-US"/>
              </w:rPr>
              <w:t>) x M2</w:t>
            </w:r>
          </w:p>
          <w:p w14:paraId="51BD4FF1" w14:textId="77777777" w:rsidR="00BC6DEF" w:rsidRPr="00415158" w:rsidRDefault="00BC6DEF" w:rsidP="00BC6DEF">
            <w:pPr>
              <w:pStyle w:val="TAC"/>
              <w:rPr>
                <w:rFonts w:eastAsiaTheme="minorEastAsia"/>
                <w:lang w:val="en-US"/>
              </w:rPr>
            </w:pPr>
            <w:r w:rsidRPr="00415158">
              <w:rPr>
                <w:rFonts w:eastAsiaTheme="minorEastAsia"/>
                <w:lang w:val="en-US"/>
              </w:rPr>
              <w:t>{(16+M</w:t>
            </w:r>
            <w:r w:rsidRPr="00415158">
              <w:rPr>
                <w:rFonts w:eastAsiaTheme="minorEastAsia"/>
                <w:vertAlign w:val="subscript"/>
                <w:lang w:val="en-US"/>
              </w:rPr>
              <w:t>e</w:t>
            </w:r>
            <w:r w:rsidRPr="00415158">
              <w:rPr>
                <w:rFonts w:eastAsiaTheme="minorEastAsia"/>
                <w:lang w:val="en-US"/>
              </w:rPr>
              <w:t>)xN1xM2}</w:t>
            </w:r>
          </w:p>
        </w:tc>
      </w:tr>
      <w:tr w:rsidR="00BC6DEF" w:rsidRPr="00415158" w14:paraId="28516BFD" w14:textId="77777777" w:rsidTr="00412C48">
        <w:trPr>
          <w:cantSplit/>
          <w:jc w:val="center"/>
        </w:trPr>
        <w:tc>
          <w:tcPr>
            <w:tcW w:w="600" w:type="pct"/>
            <w:tcBorders>
              <w:top w:val="single" w:sz="4" w:space="0" w:color="auto"/>
              <w:left w:val="single" w:sz="4" w:space="0" w:color="auto"/>
              <w:bottom w:val="single" w:sz="4" w:space="0" w:color="auto"/>
              <w:right w:val="single" w:sz="4" w:space="0" w:color="auto"/>
            </w:tcBorders>
            <w:hideMark/>
          </w:tcPr>
          <w:p w14:paraId="24995814" w14:textId="77777777" w:rsidR="00BC6DEF" w:rsidRPr="00415158" w:rsidRDefault="00BC6DEF" w:rsidP="00BC6DEF">
            <w:pPr>
              <w:pStyle w:val="TAC"/>
              <w:rPr>
                <w:rFonts w:eastAsiaTheme="minorEastAsia"/>
              </w:rPr>
            </w:pPr>
            <w:r w:rsidRPr="00415158">
              <w:rPr>
                <w:rFonts w:eastAsiaTheme="minorEastAsia"/>
              </w:rPr>
              <w:t>0.64</w:t>
            </w:r>
          </w:p>
        </w:tc>
        <w:tc>
          <w:tcPr>
            <w:tcW w:w="550" w:type="pct"/>
            <w:tcBorders>
              <w:top w:val="nil"/>
              <w:left w:val="single" w:sz="4" w:space="0" w:color="auto"/>
              <w:bottom w:val="nil"/>
              <w:right w:val="single" w:sz="4" w:space="0" w:color="auto"/>
            </w:tcBorders>
          </w:tcPr>
          <w:p w14:paraId="29D4AF2A" w14:textId="77777777" w:rsidR="00BC6DEF" w:rsidRPr="00415158" w:rsidRDefault="00BC6DEF" w:rsidP="00BC6DEF">
            <w:pPr>
              <w:pStyle w:val="TAC"/>
              <w:rPr>
                <w:rFonts w:eastAsiaTheme="minorEastAsia"/>
                <w:lang w:val="en-US"/>
              </w:rPr>
            </w:pPr>
          </w:p>
        </w:tc>
        <w:tc>
          <w:tcPr>
            <w:tcW w:w="550" w:type="pct"/>
            <w:tcBorders>
              <w:left w:val="single" w:sz="4" w:space="0" w:color="auto"/>
              <w:right w:val="single" w:sz="4" w:space="0" w:color="auto"/>
            </w:tcBorders>
          </w:tcPr>
          <w:p w14:paraId="5F50A510" w14:textId="51E40DF5" w:rsidR="00BC6DEF" w:rsidRPr="00415158" w:rsidRDefault="00BC6DEF" w:rsidP="00BC6DEF">
            <w:pPr>
              <w:pStyle w:val="TAC"/>
              <w:rPr>
                <w:rFonts w:eastAsiaTheme="minorEastAsia"/>
                <w:lang w:val="en-US"/>
              </w:rPr>
            </w:pPr>
            <w:r>
              <w:rPr>
                <w:rFonts w:eastAsia="Malgun Gothic"/>
                <w:lang w:val="en-US"/>
              </w:rPr>
              <w:t>8</w:t>
            </w:r>
          </w:p>
        </w:tc>
        <w:tc>
          <w:tcPr>
            <w:tcW w:w="1100" w:type="pct"/>
            <w:tcBorders>
              <w:top w:val="single" w:sz="4" w:space="0" w:color="auto"/>
              <w:left w:val="single" w:sz="4" w:space="0" w:color="auto"/>
              <w:bottom w:val="single" w:sz="4" w:space="0" w:color="auto"/>
              <w:right w:val="single" w:sz="4" w:space="0" w:color="auto"/>
            </w:tcBorders>
            <w:hideMark/>
          </w:tcPr>
          <w:p w14:paraId="33D9499B" w14:textId="77777777" w:rsidR="00BC6DEF" w:rsidRPr="00415158" w:rsidRDefault="00BC6DEF" w:rsidP="00BC6DEF">
            <w:pPr>
              <w:pStyle w:val="TAC"/>
              <w:rPr>
                <w:rFonts w:eastAsiaTheme="minorEastAsia"/>
                <w:lang w:val="en-US"/>
              </w:rPr>
            </w:pPr>
            <w:r w:rsidRPr="00415158">
              <w:rPr>
                <w:rFonts w:eastAsiaTheme="minorEastAsia"/>
                <w:lang w:val="en-US"/>
              </w:rPr>
              <w:t>0.64xN1x(28+M</w:t>
            </w:r>
            <w:r w:rsidRPr="00415158">
              <w:rPr>
                <w:rFonts w:eastAsiaTheme="minorEastAsia"/>
                <w:vertAlign w:val="subscript"/>
                <w:lang w:val="en-US"/>
              </w:rPr>
              <w:t>d</w:t>
            </w:r>
            <w:r w:rsidRPr="00415158">
              <w:rPr>
                <w:rFonts w:eastAsiaTheme="minorEastAsia"/>
                <w:lang w:val="en-US"/>
              </w:rPr>
              <w:t xml:space="preserve">)  </w:t>
            </w:r>
          </w:p>
          <w:p w14:paraId="31E97D47" w14:textId="77777777" w:rsidR="00BC6DEF" w:rsidRPr="00415158" w:rsidRDefault="00BC6DEF" w:rsidP="00BC6DEF">
            <w:pPr>
              <w:pStyle w:val="TAC"/>
              <w:rPr>
                <w:rFonts w:eastAsiaTheme="minorEastAsia"/>
                <w:lang w:val="en-US"/>
              </w:rPr>
            </w:pPr>
            <w:r w:rsidRPr="00415158">
              <w:rPr>
                <w:rFonts w:eastAsiaTheme="minorEastAsia"/>
                <w:lang w:val="en-US"/>
              </w:rPr>
              <w:t>{(28+M</w:t>
            </w:r>
            <w:r w:rsidRPr="00415158">
              <w:rPr>
                <w:rFonts w:eastAsiaTheme="minorEastAsia"/>
                <w:vertAlign w:val="subscript"/>
                <w:lang w:val="en-US"/>
              </w:rPr>
              <w:t>d</w:t>
            </w:r>
            <w:r w:rsidRPr="00415158">
              <w:rPr>
                <w:rFonts w:eastAsiaTheme="minorEastAsia"/>
                <w:lang w:val="en-US"/>
              </w:rPr>
              <w:t>)xN1 }</w:t>
            </w:r>
          </w:p>
        </w:tc>
        <w:tc>
          <w:tcPr>
            <w:tcW w:w="1101" w:type="pct"/>
            <w:tcBorders>
              <w:top w:val="single" w:sz="4" w:space="0" w:color="auto"/>
              <w:left w:val="single" w:sz="4" w:space="0" w:color="auto"/>
              <w:bottom w:val="single" w:sz="4" w:space="0" w:color="auto"/>
              <w:right w:val="single" w:sz="4" w:space="0" w:color="auto"/>
            </w:tcBorders>
            <w:hideMark/>
          </w:tcPr>
          <w:p w14:paraId="6577C895" w14:textId="77777777" w:rsidR="00BC6DEF" w:rsidRPr="00415158" w:rsidRDefault="00BC6DEF" w:rsidP="00BC6DEF">
            <w:pPr>
              <w:pStyle w:val="TAC"/>
              <w:rPr>
                <w:rFonts w:eastAsiaTheme="minorEastAsia"/>
                <w:lang w:val="en-US"/>
              </w:rPr>
            </w:pPr>
            <w:r w:rsidRPr="00415158">
              <w:rPr>
                <w:rFonts w:eastAsiaTheme="minorEastAsia"/>
                <w:lang w:val="sv-SE"/>
              </w:rPr>
              <w:t>0.64x</w:t>
            </w:r>
            <w:r w:rsidRPr="00415158">
              <w:rPr>
                <w:rFonts w:eastAsiaTheme="minorEastAsia"/>
                <w:lang w:val="en-US"/>
              </w:rPr>
              <w:t>N1x</w:t>
            </w:r>
            <w:r w:rsidRPr="00415158">
              <w:rPr>
                <w:rFonts w:eastAsiaTheme="minorEastAsia"/>
                <w:lang w:val="sv-SE"/>
              </w:rPr>
              <w:t>(2+M</w:t>
            </w:r>
            <w:r w:rsidRPr="00415158">
              <w:rPr>
                <w:rFonts w:eastAsiaTheme="minorEastAsia"/>
                <w:vertAlign w:val="subscript"/>
                <w:lang w:val="sv-SE"/>
              </w:rPr>
              <w:t>m</w:t>
            </w:r>
            <w:r w:rsidRPr="00415158">
              <w:rPr>
                <w:rFonts w:eastAsiaTheme="minorEastAsia"/>
                <w:lang w:val="sv-SE"/>
              </w:rPr>
              <w:t xml:space="preserve">) </w:t>
            </w:r>
          </w:p>
          <w:p w14:paraId="3F56FA62" w14:textId="77777777" w:rsidR="00BC6DEF" w:rsidRPr="00415158" w:rsidRDefault="00BC6DEF" w:rsidP="00BC6DEF">
            <w:pPr>
              <w:pStyle w:val="TAC"/>
              <w:rPr>
                <w:rFonts w:eastAsiaTheme="minorEastAsia"/>
                <w:lang w:val="en-US"/>
              </w:rPr>
            </w:pPr>
            <w:r w:rsidRPr="00415158">
              <w:rPr>
                <w:rFonts w:eastAsiaTheme="minorEastAsia"/>
                <w:lang w:val="en-US"/>
              </w:rPr>
              <w:t>{(2+M</w:t>
            </w:r>
            <w:r w:rsidRPr="00415158">
              <w:rPr>
                <w:rFonts w:eastAsiaTheme="minorEastAsia"/>
                <w:vertAlign w:val="subscript"/>
                <w:lang w:val="en-US"/>
              </w:rPr>
              <w:t>m</w:t>
            </w:r>
            <w:r w:rsidRPr="00415158">
              <w:rPr>
                <w:rFonts w:eastAsiaTheme="minorEastAsia"/>
                <w:lang w:val="en-US"/>
              </w:rPr>
              <w:t>)xN1 }</w:t>
            </w:r>
          </w:p>
        </w:tc>
        <w:tc>
          <w:tcPr>
            <w:tcW w:w="1099" w:type="pct"/>
            <w:tcBorders>
              <w:top w:val="single" w:sz="4" w:space="0" w:color="auto"/>
              <w:left w:val="single" w:sz="4" w:space="0" w:color="auto"/>
              <w:bottom w:val="single" w:sz="4" w:space="0" w:color="auto"/>
              <w:right w:val="single" w:sz="4" w:space="0" w:color="auto"/>
            </w:tcBorders>
            <w:hideMark/>
          </w:tcPr>
          <w:p w14:paraId="06D05DEB" w14:textId="77777777" w:rsidR="00BC6DEF" w:rsidRPr="00415158" w:rsidRDefault="00BC6DEF" w:rsidP="00BC6DEF">
            <w:pPr>
              <w:pStyle w:val="TAC"/>
              <w:rPr>
                <w:rFonts w:eastAsiaTheme="minorEastAsia"/>
                <w:lang w:val="en-US"/>
              </w:rPr>
            </w:pPr>
            <w:r w:rsidRPr="00415158">
              <w:rPr>
                <w:rFonts w:eastAsiaTheme="minorEastAsia"/>
                <w:lang w:val="en-US"/>
              </w:rPr>
              <w:t>0.64xN1x(8+M</w:t>
            </w:r>
            <w:r w:rsidRPr="00415158">
              <w:rPr>
                <w:rFonts w:eastAsiaTheme="minorEastAsia"/>
                <w:vertAlign w:val="subscript"/>
                <w:lang w:val="en-US"/>
              </w:rPr>
              <w:t>e</w:t>
            </w:r>
            <w:r w:rsidRPr="00415158">
              <w:rPr>
                <w:rFonts w:eastAsiaTheme="minorEastAsia"/>
                <w:lang w:val="en-US"/>
              </w:rPr>
              <w:t>)</w:t>
            </w:r>
          </w:p>
          <w:p w14:paraId="02AFAB75" w14:textId="77777777" w:rsidR="00BC6DEF" w:rsidRPr="00415158" w:rsidRDefault="00BC6DEF" w:rsidP="00BC6DEF">
            <w:pPr>
              <w:pStyle w:val="TAC"/>
              <w:rPr>
                <w:rFonts w:eastAsiaTheme="minorEastAsia"/>
                <w:lang w:val="en-US"/>
              </w:rPr>
            </w:pPr>
            <w:r w:rsidRPr="00415158">
              <w:rPr>
                <w:rFonts w:eastAsiaTheme="minorEastAsia"/>
                <w:lang w:val="en-US"/>
              </w:rPr>
              <w:t>{(8+M</w:t>
            </w:r>
            <w:r w:rsidRPr="00415158">
              <w:rPr>
                <w:rFonts w:eastAsiaTheme="minorEastAsia"/>
                <w:vertAlign w:val="subscript"/>
                <w:lang w:val="en-US"/>
              </w:rPr>
              <w:t>e</w:t>
            </w:r>
            <w:r w:rsidRPr="00415158">
              <w:rPr>
                <w:rFonts w:eastAsiaTheme="minorEastAsia"/>
                <w:lang w:val="en-US"/>
              </w:rPr>
              <w:t>)xN1 }</w:t>
            </w:r>
          </w:p>
        </w:tc>
      </w:tr>
      <w:tr w:rsidR="00BC6DEF" w:rsidRPr="00415158" w14:paraId="0B555D1E" w14:textId="77777777" w:rsidTr="00412C48">
        <w:trPr>
          <w:cantSplit/>
          <w:jc w:val="center"/>
        </w:trPr>
        <w:tc>
          <w:tcPr>
            <w:tcW w:w="600" w:type="pct"/>
            <w:tcBorders>
              <w:top w:val="single" w:sz="4" w:space="0" w:color="auto"/>
              <w:left w:val="single" w:sz="4" w:space="0" w:color="auto"/>
              <w:bottom w:val="single" w:sz="4" w:space="0" w:color="auto"/>
              <w:right w:val="single" w:sz="4" w:space="0" w:color="auto"/>
            </w:tcBorders>
            <w:hideMark/>
          </w:tcPr>
          <w:p w14:paraId="56A8A380" w14:textId="77777777" w:rsidR="00BC6DEF" w:rsidRPr="00415158" w:rsidRDefault="00BC6DEF" w:rsidP="00BC6DEF">
            <w:pPr>
              <w:pStyle w:val="TAC"/>
              <w:rPr>
                <w:rFonts w:eastAsiaTheme="minorEastAsia"/>
              </w:rPr>
            </w:pPr>
            <w:r w:rsidRPr="00415158">
              <w:rPr>
                <w:rFonts w:eastAsiaTheme="minorEastAsia"/>
              </w:rPr>
              <w:t>1.28</w:t>
            </w:r>
          </w:p>
        </w:tc>
        <w:tc>
          <w:tcPr>
            <w:tcW w:w="550" w:type="pct"/>
            <w:tcBorders>
              <w:top w:val="nil"/>
              <w:left w:val="single" w:sz="4" w:space="0" w:color="auto"/>
              <w:bottom w:val="nil"/>
              <w:right w:val="single" w:sz="4" w:space="0" w:color="auto"/>
            </w:tcBorders>
          </w:tcPr>
          <w:p w14:paraId="1E954722" w14:textId="77777777" w:rsidR="00BC6DEF" w:rsidRPr="00415158" w:rsidRDefault="00BC6DEF" w:rsidP="00BC6DEF">
            <w:pPr>
              <w:pStyle w:val="TAC"/>
              <w:rPr>
                <w:rFonts w:eastAsiaTheme="minorEastAsia"/>
                <w:lang w:val="en-US"/>
              </w:rPr>
            </w:pPr>
          </w:p>
        </w:tc>
        <w:tc>
          <w:tcPr>
            <w:tcW w:w="550" w:type="pct"/>
            <w:tcBorders>
              <w:left w:val="single" w:sz="4" w:space="0" w:color="auto"/>
              <w:right w:val="single" w:sz="4" w:space="0" w:color="auto"/>
            </w:tcBorders>
          </w:tcPr>
          <w:p w14:paraId="5FD6B0D3" w14:textId="34F85EC0" w:rsidR="00BC6DEF" w:rsidRPr="00415158" w:rsidRDefault="00BC6DEF" w:rsidP="00BC6DEF">
            <w:pPr>
              <w:pStyle w:val="TAC"/>
              <w:rPr>
                <w:rFonts w:eastAsiaTheme="minorEastAsia"/>
                <w:lang w:val="en-US"/>
              </w:rPr>
            </w:pPr>
            <w:r>
              <w:rPr>
                <w:rFonts w:eastAsia="Malgun Gothic"/>
                <w:lang w:val="en-US"/>
              </w:rPr>
              <w:t>6</w:t>
            </w:r>
          </w:p>
        </w:tc>
        <w:tc>
          <w:tcPr>
            <w:tcW w:w="1100" w:type="pct"/>
            <w:tcBorders>
              <w:top w:val="single" w:sz="4" w:space="0" w:color="auto"/>
              <w:left w:val="single" w:sz="4" w:space="0" w:color="auto"/>
              <w:bottom w:val="single" w:sz="4" w:space="0" w:color="auto"/>
              <w:right w:val="single" w:sz="4" w:space="0" w:color="auto"/>
            </w:tcBorders>
            <w:hideMark/>
          </w:tcPr>
          <w:p w14:paraId="4A4A87D0" w14:textId="77777777" w:rsidR="00BC6DEF" w:rsidRPr="00415158" w:rsidRDefault="00BC6DEF" w:rsidP="00BC6DEF">
            <w:pPr>
              <w:pStyle w:val="TAC"/>
              <w:rPr>
                <w:rFonts w:eastAsiaTheme="minorEastAsia"/>
                <w:lang w:val="en-US"/>
              </w:rPr>
            </w:pPr>
            <w:r w:rsidRPr="00415158">
              <w:rPr>
                <w:rFonts w:eastAsiaTheme="minorEastAsia"/>
                <w:lang w:val="en-US"/>
              </w:rPr>
              <w:t>1.28xN1x(25+M</w:t>
            </w:r>
            <w:r w:rsidRPr="00415158">
              <w:rPr>
                <w:rFonts w:eastAsiaTheme="minorEastAsia"/>
                <w:vertAlign w:val="subscript"/>
                <w:lang w:val="en-US"/>
              </w:rPr>
              <w:t>d</w:t>
            </w:r>
            <w:r w:rsidRPr="00415158">
              <w:rPr>
                <w:rFonts w:eastAsiaTheme="minorEastAsia"/>
                <w:lang w:val="en-US"/>
              </w:rPr>
              <w:t>)</w:t>
            </w:r>
          </w:p>
          <w:p w14:paraId="28490564" w14:textId="77777777" w:rsidR="00BC6DEF" w:rsidRPr="00415158" w:rsidRDefault="00BC6DEF" w:rsidP="00BC6DEF">
            <w:pPr>
              <w:pStyle w:val="TAC"/>
              <w:rPr>
                <w:rFonts w:eastAsiaTheme="minorEastAsia"/>
                <w:lang w:val="en-US"/>
              </w:rPr>
            </w:pPr>
            <w:r w:rsidRPr="00415158">
              <w:rPr>
                <w:rFonts w:eastAsiaTheme="minorEastAsia"/>
                <w:lang w:val="en-US"/>
              </w:rPr>
              <w:t>{(25+M</w:t>
            </w:r>
            <w:r w:rsidRPr="00415158">
              <w:rPr>
                <w:rFonts w:eastAsiaTheme="minorEastAsia"/>
                <w:vertAlign w:val="subscript"/>
                <w:lang w:val="en-US"/>
              </w:rPr>
              <w:t>d</w:t>
            </w:r>
            <w:r w:rsidRPr="00415158">
              <w:rPr>
                <w:rFonts w:eastAsiaTheme="minorEastAsia"/>
                <w:lang w:val="en-US"/>
              </w:rPr>
              <w:t>)xN1 }</w:t>
            </w:r>
          </w:p>
        </w:tc>
        <w:tc>
          <w:tcPr>
            <w:tcW w:w="1101" w:type="pct"/>
            <w:tcBorders>
              <w:top w:val="single" w:sz="4" w:space="0" w:color="auto"/>
              <w:left w:val="single" w:sz="4" w:space="0" w:color="auto"/>
              <w:bottom w:val="single" w:sz="4" w:space="0" w:color="auto"/>
              <w:right w:val="single" w:sz="4" w:space="0" w:color="auto"/>
            </w:tcBorders>
            <w:hideMark/>
          </w:tcPr>
          <w:p w14:paraId="1460841B" w14:textId="77777777" w:rsidR="00BC6DEF" w:rsidRPr="00415158" w:rsidRDefault="00BC6DEF" w:rsidP="00BC6DEF">
            <w:pPr>
              <w:pStyle w:val="TAC"/>
              <w:rPr>
                <w:rFonts w:eastAsiaTheme="minorEastAsia"/>
                <w:lang w:val="en-US"/>
              </w:rPr>
            </w:pPr>
            <w:r w:rsidRPr="00415158">
              <w:rPr>
                <w:rFonts w:eastAsiaTheme="minorEastAsia"/>
                <w:lang w:val="sv-SE"/>
              </w:rPr>
              <w:t>1.28x</w:t>
            </w:r>
            <w:r w:rsidRPr="00415158">
              <w:rPr>
                <w:rFonts w:eastAsiaTheme="minorEastAsia"/>
                <w:lang w:val="en-US"/>
              </w:rPr>
              <w:t>N1x</w:t>
            </w:r>
            <w:r w:rsidRPr="00415158">
              <w:rPr>
                <w:rFonts w:eastAsiaTheme="minorEastAsia"/>
                <w:lang w:val="sv-SE"/>
              </w:rPr>
              <w:t>(1+M</w:t>
            </w:r>
            <w:r w:rsidRPr="00415158">
              <w:rPr>
                <w:rFonts w:eastAsiaTheme="minorEastAsia"/>
                <w:vertAlign w:val="subscript"/>
                <w:lang w:val="sv-SE"/>
              </w:rPr>
              <w:t>m</w:t>
            </w:r>
            <w:r w:rsidRPr="00415158">
              <w:rPr>
                <w:rFonts w:eastAsiaTheme="minorEastAsia"/>
                <w:lang w:val="sv-SE"/>
              </w:rPr>
              <w:t>)</w:t>
            </w:r>
          </w:p>
          <w:p w14:paraId="55B8AAD1" w14:textId="77777777" w:rsidR="00BC6DEF" w:rsidRPr="00415158" w:rsidRDefault="00BC6DEF" w:rsidP="00BC6DEF">
            <w:pPr>
              <w:pStyle w:val="TAC"/>
              <w:rPr>
                <w:rFonts w:eastAsiaTheme="minorEastAsia"/>
                <w:lang w:val="en-US"/>
              </w:rPr>
            </w:pPr>
            <w:r w:rsidRPr="00415158">
              <w:rPr>
                <w:rFonts w:eastAsiaTheme="minorEastAsia"/>
                <w:lang w:val="en-US"/>
              </w:rPr>
              <w:t>{(1+M</w:t>
            </w:r>
            <w:r w:rsidRPr="00415158">
              <w:rPr>
                <w:rFonts w:eastAsiaTheme="minorEastAsia"/>
                <w:vertAlign w:val="subscript"/>
                <w:lang w:val="en-US"/>
              </w:rPr>
              <w:t>m</w:t>
            </w:r>
            <w:r w:rsidRPr="00415158">
              <w:rPr>
                <w:rFonts w:eastAsiaTheme="minorEastAsia"/>
                <w:lang w:val="en-US"/>
              </w:rPr>
              <w:t>)xN1 }</w:t>
            </w:r>
          </w:p>
        </w:tc>
        <w:tc>
          <w:tcPr>
            <w:tcW w:w="1099" w:type="pct"/>
            <w:tcBorders>
              <w:top w:val="single" w:sz="4" w:space="0" w:color="auto"/>
              <w:left w:val="single" w:sz="4" w:space="0" w:color="auto"/>
              <w:bottom w:val="single" w:sz="4" w:space="0" w:color="auto"/>
              <w:right w:val="single" w:sz="4" w:space="0" w:color="auto"/>
            </w:tcBorders>
            <w:hideMark/>
          </w:tcPr>
          <w:p w14:paraId="287DF7CF" w14:textId="77777777" w:rsidR="00BC6DEF" w:rsidRPr="00415158" w:rsidRDefault="00BC6DEF" w:rsidP="00BC6DEF">
            <w:pPr>
              <w:pStyle w:val="TAC"/>
              <w:rPr>
                <w:rFonts w:eastAsiaTheme="minorEastAsia"/>
                <w:lang w:val="en-US"/>
              </w:rPr>
            </w:pPr>
            <w:r w:rsidRPr="00415158">
              <w:rPr>
                <w:rFonts w:eastAsiaTheme="minorEastAsia"/>
                <w:lang w:val="en-US"/>
              </w:rPr>
              <w:t>1.28xN1x(5+M</w:t>
            </w:r>
            <w:r w:rsidRPr="00415158">
              <w:rPr>
                <w:rFonts w:eastAsiaTheme="minorEastAsia"/>
                <w:vertAlign w:val="subscript"/>
                <w:lang w:val="en-US"/>
              </w:rPr>
              <w:t>e</w:t>
            </w:r>
            <w:r w:rsidRPr="00415158">
              <w:rPr>
                <w:rFonts w:eastAsiaTheme="minorEastAsia"/>
                <w:lang w:val="en-US"/>
              </w:rPr>
              <w:t xml:space="preserve">) </w:t>
            </w:r>
          </w:p>
          <w:p w14:paraId="0398788D" w14:textId="77777777" w:rsidR="00BC6DEF" w:rsidRPr="00415158" w:rsidRDefault="00BC6DEF" w:rsidP="00BC6DEF">
            <w:pPr>
              <w:pStyle w:val="TAC"/>
              <w:rPr>
                <w:rFonts w:eastAsiaTheme="minorEastAsia"/>
                <w:lang w:val="en-US"/>
              </w:rPr>
            </w:pPr>
            <w:r w:rsidRPr="00415158">
              <w:rPr>
                <w:rFonts w:eastAsiaTheme="minorEastAsia"/>
                <w:lang w:val="en-US"/>
              </w:rPr>
              <w:t>{(5+M</w:t>
            </w:r>
            <w:r w:rsidRPr="00415158">
              <w:rPr>
                <w:rFonts w:eastAsiaTheme="minorEastAsia"/>
                <w:vertAlign w:val="subscript"/>
                <w:lang w:val="en-US"/>
              </w:rPr>
              <w:t>e</w:t>
            </w:r>
            <w:r w:rsidRPr="00415158">
              <w:rPr>
                <w:rFonts w:eastAsiaTheme="minorEastAsia"/>
                <w:lang w:val="en-US"/>
              </w:rPr>
              <w:t>)xN1 }</w:t>
            </w:r>
          </w:p>
        </w:tc>
      </w:tr>
      <w:tr w:rsidR="00BC6DEF" w:rsidRPr="00415158" w14:paraId="3E6A77FA" w14:textId="77777777" w:rsidTr="00412C48">
        <w:trPr>
          <w:cantSplit/>
          <w:jc w:val="center"/>
        </w:trPr>
        <w:tc>
          <w:tcPr>
            <w:tcW w:w="600" w:type="pct"/>
            <w:tcBorders>
              <w:top w:val="single" w:sz="4" w:space="0" w:color="auto"/>
              <w:left w:val="single" w:sz="4" w:space="0" w:color="auto"/>
              <w:bottom w:val="single" w:sz="4" w:space="0" w:color="auto"/>
              <w:right w:val="single" w:sz="4" w:space="0" w:color="auto"/>
            </w:tcBorders>
            <w:hideMark/>
          </w:tcPr>
          <w:p w14:paraId="64E1FB99" w14:textId="77777777" w:rsidR="00BC6DEF" w:rsidRPr="00415158" w:rsidRDefault="00BC6DEF" w:rsidP="00BC6DEF">
            <w:pPr>
              <w:pStyle w:val="TAC"/>
              <w:rPr>
                <w:rFonts w:eastAsiaTheme="minorEastAsia"/>
              </w:rPr>
            </w:pPr>
            <w:r w:rsidRPr="00415158">
              <w:rPr>
                <w:rFonts w:eastAsiaTheme="minorEastAsia"/>
              </w:rPr>
              <w:t>2.56</w:t>
            </w:r>
          </w:p>
        </w:tc>
        <w:tc>
          <w:tcPr>
            <w:tcW w:w="550" w:type="pct"/>
            <w:tcBorders>
              <w:top w:val="nil"/>
              <w:left w:val="single" w:sz="4" w:space="0" w:color="auto"/>
              <w:bottom w:val="single" w:sz="4" w:space="0" w:color="auto"/>
              <w:right w:val="single" w:sz="4" w:space="0" w:color="auto"/>
            </w:tcBorders>
          </w:tcPr>
          <w:p w14:paraId="4C7E0329" w14:textId="77777777" w:rsidR="00BC6DEF" w:rsidRPr="00415158" w:rsidRDefault="00BC6DEF" w:rsidP="00BC6DEF">
            <w:pPr>
              <w:pStyle w:val="TAC"/>
              <w:rPr>
                <w:rFonts w:eastAsiaTheme="minorEastAsia"/>
                <w:lang w:val="en-US"/>
              </w:rPr>
            </w:pPr>
          </w:p>
        </w:tc>
        <w:tc>
          <w:tcPr>
            <w:tcW w:w="550" w:type="pct"/>
            <w:tcBorders>
              <w:left w:val="single" w:sz="4" w:space="0" w:color="auto"/>
              <w:bottom w:val="single" w:sz="4" w:space="0" w:color="auto"/>
              <w:right w:val="single" w:sz="4" w:space="0" w:color="auto"/>
            </w:tcBorders>
          </w:tcPr>
          <w:p w14:paraId="194C08EC" w14:textId="3757B10F" w:rsidR="00BC6DEF" w:rsidRPr="00415158" w:rsidRDefault="00BC6DEF" w:rsidP="00BC6DEF">
            <w:pPr>
              <w:pStyle w:val="TAC"/>
              <w:rPr>
                <w:rFonts w:eastAsiaTheme="minorEastAsia"/>
                <w:lang w:val="en-US"/>
              </w:rPr>
            </w:pPr>
            <w:r>
              <w:rPr>
                <w:rFonts w:eastAsia="Malgun Gothic"/>
                <w:lang w:val="en-US"/>
              </w:rPr>
              <w:t>5</w:t>
            </w:r>
          </w:p>
        </w:tc>
        <w:tc>
          <w:tcPr>
            <w:tcW w:w="1100" w:type="pct"/>
            <w:tcBorders>
              <w:top w:val="single" w:sz="4" w:space="0" w:color="auto"/>
              <w:left w:val="single" w:sz="4" w:space="0" w:color="auto"/>
              <w:bottom w:val="single" w:sz="4" w:space="0" w:color="auto"/>
              <w:right w:val="single" w:sz="4" w:space="0" w:color="auto"/>
            </w:tcBorders>
            <w:hideMark/>
          </w:tcPr>
          <w:p w14:paraId="14FF1516" w14:textId="77777777" w:rsidR="00BC6DEF" w:rsidRPr="00415158" w:rsidRDefault="00BC6DEF" w:rsidP="00BC6DEF">
            <w:pPr>
              <w:pStyle w:val="TAC"/>
              <w:rPr>
                <w:rFonts w:eastAsiaTheme="minorEastAsia" w:cs="Arial"/>
                <w:lang w:val="en-US" w:eastAsia="zh-CN"/>
              </w:rPr>
            </w:pPr>
            <w:r w:rsidRPr="00415158">
              <w:rPr>
                <w:rFonts w:eastAsiaTheme="minorEastAsia" w:cs="Arial"/>
                <w:lang w:val="en-US" w:eastAsia="zh-CN"/>
              </w:rPr>
              <w:t>2.56x</w:t>
            </w:r>
            <w:r w:rsidRPr="00415158">
              <w:rPr>
                <w:rFonts w:eastAsiaTheme="minorEastAsia"/>
                <w:lang w:val="en-US"/>
              </w:rPr>
              <w:t>N1x</w:t>
            </w:r>
            <w:r w:rsidRPr="00415158">
              <w:rPr>
                <w:rFonts w:eastAsiaTheme="minorEastAsia" w:cs="Arial"/>
                <w:lang w:val="en-US" w:eastAsia="zh-CN"/>
              </w:rPr>
              <w:t>(23+M</w:t>
            </w:r>
            <w:r w:rsidRPr="00415158">
              <w:rPr>
                <w:rFonts w:eastAsiaTheme="minorEastAsia" w:cs="Arial"/>
                <w:vertAlign w:val="subscript"/>
                <w:lang w:val="en-US" w:eastAsia="zh-CN"/>
              </w:rPr>
              <w:t>d</w:t>
            </w:r>
            <w:r w:rsidRPr="00415158">
              <w:rPr>
                <w:rFonts w:eastAsiaTheme="minorEastAsia" w:cs="Arial"/>
                <w:lang w:val="en-US" w:eastAsia="zh-CN"/>
              </w:rPr>
              <w:t>)</w:t>
            </w:r>
          </w:p>
          <w:p w14:paraId="18D8AE2F" w14:textId="77777777" w:rsidR="00BC6DEF" w:rsidRPr="00415158" w:rsidRDefault="00BC6DEF" w:rsidP="00BC6DEF">
            <w:pPr>
              <w:pStyle w:val="TAC"/>
              <w:rPr>
                <w:rFonts w:eastAsiaTheme="minorEastAsia" w:cs="Arial"/>
                <w:lang w:val="en-US" w:eastAsia="zh-CN"/>
              </w:rPr>
            </w:pPr>
            <w:r w:rsidRPr="00415158">
              <w:rPr>
                <w:rFonts w:eastAsiaTheme="minorEastAsia" w:cs="Arial"/>
                <w:lang w:val="en-US" w:eastAsia="zh-CN"/>
              </w:rPr>
              <w:t>{(23+M</w:t>
            </w:r>
            <w:r w:rsidRPr="00415158">
              <w:rPr>
                <w:rFonts w:eastAsiaTheme="minorEastAsia" w:cs="Arial"/>
                <w:vertAlign w:val="subscript"/>
                <w:lang w:val="en-US" w:eastAsia="zh-CN"/>
              </w:rPr>
              <w:t>d</w:t>
            </w:r>
            <w:r w:rsidRPr="00415158">
              <w:rPr>
                <w:rFonts w:eastAsiaTheme="minorEastAsia"/>
                <w:lang w:val="en-US"/>
              </w:rPr>
              <w:t>)xN1</w:t>
            </w:r>
            <w:r w:rsidRPr="00415158">
              <w:rPr>
                <w:rFonts w:eastAsiaTheme="minorEastAsia" w:cs="Arial"/>
                <w:lang w:val="en-US" w:eastAsia="zh-CN"/>
              </w:rPr>
              <w:t xml:space="preserve"> }</w:t>
            </w:r>
          </w:p>
        </w:tc>
        <w:tc>
          <w:tcPr>
            <w:tcW w:w="1101" w:type="pct"/>
            <w:tcBorders>
              <w:top w:val="single" w:sz="4" w:space="0" w:color="auto"/>
              <w:left w:val="single" w:sz="4" w:space="0" w:color="auto"/>
              <w:bottom w:val="single" w:sz="4" w:space="0" w:color="auto"/>
              <w:right w:val="single" w:sz="4" w:space="0" w:color="auto"/>
            </w:tcBorders>
            <w:hideMark/>
          </w:tcPr>
          <w:p w14:paraId="4B9EF599" w14:textId="77777777" w:rsidR="00BC6DEF" w:rsidRPr="00415158" w:rsidRDefault="00BC6DEF" w:rsidP="00BC6DEF">
            <w:pPr>
              <w:pStyle w:val="TAC"/>
              <w:rPr>
                <w:rFonts w:eastAsiaTheme="minorEastAsia"/>
                <w:lang w:val="en-US"/>
              </w:rPr>
            </w:pPr>
            <w:r w:rsidRPr="00415158">
              <w:rPr>
                <w:rFonts w:eastAsiaTheme="minorEastAsia"/>
                <w:lang w:val="sv-SE"/>
              </w:rPr>
              <w:t>2.56x</w:t>
            </w:r>
            <w:r w:rsidRPr="00415158">
              <w:rPr>
                <w:rFonts w:eastAsiaTheme="minorEastAsia"/>
                <w:lang w:val="en-US"/>
              </w:rPr>
              <w:t>N1x</w:t>
            </w:r>
            <w:r w:rsidRPr="00415158">
              <w:rPr>
                <w:rFonts w:eastAsiaTheme="minorEastAsia"/>
                <w:lang w:val="sv-SE"/>
              </w:rPr>
              <w:t>(1+M</w:t>
            </w:r>
            <w:r w:rsidRPr="00415158">
              <w:rPr>
                <w:rFonts w:eastAsiaTheme="minorEastAsia"/>
                <w:vertAlign w:val="subscript"/>
                <w:lang w:val="sv-SE"/>
              </w:rPr>
              <w:t>m</w:t>
            </w:r>
            <w:r w:rsidRPr="00415158">
              <w:rPr>
                <w:rFonts w:eastAsiaTheme="minorEastAsia"/>
                <w:lang w:val="sv-SE"/>
              </w:rPr>
              <w:t>)</w:t>
            </w:r>
          </w:p>
          <w:p w14:paraId="2C40D516" w14:textId="77777777" w:rsidR="00BC6DEF" w:rsidRPr="00415158" w:rsidRDefault="00BC6DEF" w:rsidP="00BC6DEF">
            <w:pPr>
              <w:pStyle w:val="TAC"/>
              <w:rPr>
                <w:rFonts w:eastAsiaTheme="minorEastAsia"/>
                <w:lang w:val="en-US"/>
              </w:rPr>
            </w:pPr>
            <w:r w:rsidRPr="00415158">
              <w:rPr>
                <w:rFonts w:eastAsiaTheme="minorEastAsia"/>
                <w:lang w:val="en-US"/>
              </w:rPr>
              <w:t>{(1+M</w:t>
            </w:r>
            <w:r w:rsidRPr="00415158">
              <w:rPr>
                <w:rFonts w:eastAsiaTheme="minorEastAsia"/>
                <w:vertAlign w:val="subscript"/>
                <w:lang w:val="en-US"/>
              </w:rPr>
              <w:t>m</w:t>
            </w:r>
            <w:r w:rsidRPr="00415158">
              <w:rPr>
                <w:rFonts w:eastAsiaTheme="minorEastAsia"/>
                <w:lang w:val="en-US"/>
              </w:rPr>
              <w:t>)xN1 }</w:t>
            </w:r>
          </w:p>
        </w:tc>
        <w:tc>
          <w:tcPr>
            <w:tcW w:w="1099" w:type="pct"/>
            <w:tcBorders>
              <w:top w:val="single" w:sz="4" w:space="0" w:color="auto"/>
              <w:left w:val="single" w:sz="4" w:space="0" w:color="auto"/>
              <w:bottom w:val="single" w:sz="4" w:space="0" w:color="auto"/>
              <w:right w:val="single" w:sz="4" w:space="0" w:color="auto"/>
            </w:tcBorders>
            <w:hideMark/>
          </w:tcPr>
          <w:p w14:paraId="4E3B730D" w14:textId="77777777" w:rsidR="00BC6DEF" w:rsidRPr="00415158" w:rsidRDefault="00BC6DEF" w:rsidP="00BC6DEF">
            <w:pPr>
              <w:pStyle w:val="TAC"/>
              <w:rPr>
                <w:rFonts w:eastAsiaTheme="minorEastAsia"/>
                <w:lang w:val="en-US"/>
              </w:rPr>
            </w:pPr>
            <w:r w:rsidRPr="00415158">
              <w:rPr>
                <w:rFonts w:eastAsiaTheme="minorEastAsia"/>
                <w:lang w:val="en-US"/>
              </w:rPr>
              <w:t>2.56xN1x(3+M</w:t>
            </w:r>
            <w:r w:rsidRPr="00415158">
              <w:rPr>
                <w:rFonts w:eastAsiaTheme="minorEastAsia"/>
                <w:vertAlign w:val="subscript"/>
                <w:lang w:val="en-US"/>
              </w:rPr>
              <w:t>e</w:t>
            </w:r>
            <w:r w:rsidRPr="00415158">
              <w:rPr>
                <w:rFonts w:eastAsiaTheme="minorEastAsia"/>
                <w:lang w:val="en-US"/>
              </w:rPr>
              <w:t xml:space="preserve">) </w:t>
            </w:r>
          </w:p>
          <w:p w14:paraId="59B98D31" w14:textId="77777777" w:rsidR="00BC6DEF" w:rsidRPr="00415158" w:rsidRDefault="00BC6DEF" w:rsidP="00BC6DEF">
            <w:pPr>
              <w:pStyle w:val="TAC"/>
              <w:rPr>
                <w:rFonts w:eastAsiaTheme="minorEastAsia"/>
                <w:lang w:val="en-US"/>
              </w:rPr>
            </w:pPr>
            <w:r w:rsidRPr="00415158">
              <w:rPr>
                <w:rFonts w:eastAsiaTheme="minorEastAsia"/>
                <w:lang w:val="en-US"/>
              </w:rPr>
              <w:t>{(3+M</w:t>
            </w:r>
            <w:r w:rsidRPr="00415158">
              <w:rPr>
                <w:rFonts w:eastAsiaTheme="minorEastAsia"/>
                <w:vertAlign w:val="subscript"/>
                <w:lang w:val="en-US"/>
              </w:rPr>
              <w:t>e</w:t>
            </w:r>
            <w:r w:rsidRPr="00415158">
              <w:rPr>
                <w:rFonts w:eastAsiaTheme="minorEastAsia"/>
                <w:lang w:val="en-US"/>
              </w:rPr>
              <w:t>)xN1 }</w:t>
            </w:r>
          </w:p>
        </w:tc>
      </w:tr>
      <w:tr w:rsidR="0031702A" w:rsidRPr="00415158" w14:paraId="42C3A42E" w14:textId="77777777" w:rsidTr="00C738DD">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2B3A53AC" w14:textId="77777777" w:rsidR="00BC6DEF" w:rsidRPr="005D7B3F" w:rsidRDefault="00BC6DEF" w:rsidP="00BC6DEF">
            <w:pPr>
              <w:pStyle w:val="TAN"/>
              <w:rPr>
                <w:rFonts w:eastAsia="Malgun Gothic"/>
                <w:snapToGrid w:val="0"/>
                <w:lang w:eastAsia="zh-CN"/>
              </w:rPr>
            </w:pPr>
            <w:r w:rsidRPr="005D7B3F">
              <w:rPr>
                <w:rFonts w:eastAsia="Malgun Gothic"/>
                <w:snapToGrid w:val="0"/>
                <w:lang w:eastAsia="zh-CN"/>
              </w:rPr>
              <w:t>Note 1:</w:t>
            </w:r>
            <w:r w:rsidRPr="005D7B3F">
              <w:rPr>
                <w:rFonts w:eastAsia="Malgun Gothic"/>
              </w:rPr>
              <w:tab/>
            </w:r>
            <w:r w:rsidRPr="005D7B3F">
              <w:rPr>
                <w:rFonts w:eastAsia="Malgun Gothic"/>
                <w:snapToGrid w:val="0"/>
                <w:lang w:eastAsia="zh-CN"/>
              </w:rPr>
              <w:t>M2 = 1.5 if SMTC periodicity</w:t>
            </w:r>
            <w:r w:rsidRPr="005D7B3F">
              <w:rPr>
                <w:rFonts w:eastAsia="Malgun Gothic"/>
              </w:rPr>
              <w:t xml:space="preserve"> </w:t>
            </w:r>
            <w:r w:rsidRPr="005D7B3F">
              <w:rPr>
                <w:rFonts w:eastAsia="Malgun Gothic"/>
                <w:snapToGrid w:val="0"/>
                <w:lang w:eastAsia="zh-CN"/>
              </w:rPr>
              <w:t>of measured intra-frequency cell &gt; 20 ms; otherwise M2=1.</w:t>
            </w:r>
          </w:p>
          <w:p w14:paraId="77A8B02B" w14:textId="77777777" w:rsidR="00BC6DEF" w:rsidRPr="005D7B3F" w:rsidRDefault="00BC6DEF" w:rsidP="00BC6DEF">
            <w:pPr>
              <w:pStyle w:val="TAN"/>
              <w:rPr>
                <w:rFonts w:eastAsia="Malgun Gothic"/>
                <w:vertAlign w:val="subscript"/>
              </w:rPr>
            </w:pPr>
            <w:r w:rsidRPr="005D7B3F">
              <w:rPr>
                <w:rFonts w:eastAsia="Malgun Gothic"/>
                <w:snapToGrid w:val="0"/>
                <w:lang w:eastAsia="zh-CN"/>
              </w:rPr>
              <w:t>Note 2:</w:t>
            </w:r>
            <w:r w:rsidRPr="005D7B3F">
              <w:rPr>
                <w:rFonts w:eastAsia="Malgun Gothic"/>
              </w:rPr>
              <w:tab/>
            </w:r>
            <w:r w:rsidRPr="005D7B3F">
              <w:rPr>
                <w:rFonts w:eastAsia="Malgun Gothic"/>
                <w:snapToGrid w:val="0"/>
                <w:lang w:eastAsia="zh-CN"/>
              </w:rPr>
              <w:t xml:space="preserve">Md, Mm, Me are the </w:t>
            </w:r>
            <w:r w:rsidRPr="005D7B3F">
              <w:rPr>
                <w:rFonts w:eastAsia="Malgun Gothic"/>
                <w:lang w:eastAsia="zh-CN"/>
              </w:rPr>
              <w:t>number of groups of consecutive N1 DRX cycles each group with at least one SMTC occasion not available</w:t>
            </w:r>
            <w:r w:rsidRPr="005D7B3F">
              <w:rPr>
                <w:rFonts w:eastAsia="Malgun Gothic"/>
                <w:snapToGrid w:val="0"/>
                <w:lang w:eastAsia="zh-CN"/>
              </w:rPr>
              <w:t xml:space="preserve"> during the </w:t>
            </w:r>
            <w:r w:rsidRPr="005D7B3F">
              <w:rPr>
                <w:rFonts w:eastAsia="Malgun Gothic"/>
              </w:rPr>
              <w:t>T</w:t>
            </w:r>
            <w:r w:rsidRPr="005D7B3F">
              <w:rPr>
                <w:rFonts w:eastAsia="Malgun Gothic"/>
                <w:vertAlign w:val="subscript"/>
              </w:rPr>
              <w:t>detect,NR_Intra_CCA</w:t>
            </w:r>
            <w:r w:rsidRPr="005D7B3F">
              <w:rPr>
                <w:rFonts w:eastAsia="Malgun Gothic"/>
              </w:rPr>
              <w:t>, T</w:t>
            </w:r>
            <w:r w:rsidRPr="005D7B3F">
              <w:rPr>
                <w:rFonts w:eastAsia="Malgun Gothic"/>
                <w:vertAlign w:val="subscript"/>
              </w:rPr>
              <w:t xml:space="preserve">measure,NR_Intra_CCA </w:t>
            </w:r>
            <w:r w:rsidRPr="005D7B3F">
              <w:rPr>
                <w:rFonts w:eastAsia="Malgun Gothic"/>
              </w:rPr>
              <w:t>and</w:t>
            </w:r>
            <w:r w:rsidRPr="005D7B3F">
              <w:rPr>
                <w:rFonts w:eastAsia="Malgun Gothic"/>
                <w:snapToGrid w:val="0"/>
                <w:lang w:eastAsia="zh-CN"/>
              </w:rPr>
              <w:t xml:space="preserve"> </w:t>
            </w:r>
            <w:r w:rsidRPr="005D7B3F">
              <w:rPr>
                <w:rFonts w:eastAsia="Malgun Gothic"/>
              </w:rPr>
              <w:t>T</w:t>
            </w:r>
            <w:r w:rsidRPr="005D7B3F">
              <w:rPr>
                <w:rFonts w:eastAsia="Malgun Gothic"/>
                <w:vertAlign w:val="subscript"/>
              </w:rPr>
              <w:t>evaluate,NR_</w:t>
            </w:r>
            <w:r w:rsidRPr="005D7B3F">
              <w:rPr>
                <w:rFonts w:eastAsia="Malgun Gothic" w:cs="v4.2.0"/>
                <w:vertAlign w:val="subscript"/>
              </w:rPr>
              <w:t>Intra_CCA</w:t>
            </w:r>
            <w:r w:rsidRPr="005D7B3F">
              <w:rPr>
                <w:rFonts w:eastAsia="Malgun Gothic"/>
                <w:snapToGrid w:val="0"/>
                <w:lang w:eastAsia="zh-CN"/>
              </w:rPr>
              <w:t xml:space="preserve">, and </w:t>
            </w:r>
            <w:r w:rsidRPr="005D7B3F">
              <w:rPr>
                <w:rFonts w:eastAsia="Malgun Gothic" w:cs="Arial"/>
                <w:snapToGrid w:val="0"/>
                <w:szCs w:val="18"/>
              </w:rPr>
              <w:t>M</w:t>
            </w:r>
            <w:r w:rsidRPr="005D7B3F">
              <w:rPr>
                <w:rFonts w:eastAsia="Malgun Gothic" w:cs="Arial"/>
                <w:snapToGrid w:val="0"/>
                <w:szCs w:val="18"/>
                <w:vertAlign w:val="subscript"/>
              </w:rPr>
              <w:t>m</w:t>
            </w:r>
            <w:r w:rsidRPr="005D7B3F">
              <w:rPr>
                <w:rFonts w:eastAsia="Malgun Gothic" w:cs="Arial"/>
                <w:snapToGrid w:val="0"/>
                <w:szCs w:val="18"/>
              </w:rPr>
              <w:t xml:space="preserve"> </w:t>
            </w:r>
            <w:r w:rsidRPr="005D7B3F">
              <w:rPr>
                <w:rFonts w:eastAsia="Malgun Gothic" w:hint="eastAsia"/>
              </w:rPr>
              <w:t>≤</w:t>
            </w:r>
            <w:r w:rsidRPr="005D7B3F">
              <w:rPr>
                <w:rFonts w:eastAsia="Malgun Gothic"/>
              </w:rPr>
              <w:t xml:space="preserve"> </w:t>
            </w:r>
            <w:r w:rsidRPr="005D7B3F">
              <w:rPr>
                <w:rFonts w:eastAsia="Malgun Gothic" w:cs="Arial"/>
                <w:snapToGrid w:val="0"/>
                <w:szCs w:val="18"/>
              </w:rPr>
              <w:t>M</w:t>
            </w:r>
            <w:r w:rsidRPr="005D7B3F">
              <w:rPr>
                <w:rFonts w:eastAsia="Malgun Gothic" w:cs="Arial"/>
                <w:snapToGrid w:val="0"/>
                <w:szCs w:val="18"/>
                <w:vertAlign w:val="subscript"/>
              </w:rPr>
              <w:t>m,max</w:t>
            </w:r>
            <w:r w:rsidRPr="005D7B3F">
              <w:rPr>
                <w:rFonts w:eastAsia="Malgun Gothic" w:cs="Arial"/>
                <w:snapToGrid w:val="0"/>
                <w:szCs w:val="18"/>
              </w:rPr>
              <w:t>, M</w:t>
            </w:r>
            <w:r w:rsidRPr="005D7B3F">
              <w:rPr>
                <w:rFonts w:eastAsia="Malgun Gothic" w:cs="Arial"/>
                <w:snapToGrid w:val="0"/>
                <w:szCs w:val="18"/>
                <w:vertAlign w:val="subscript"/>
              </w:rPr>
              <w:t>d</w:t>
            </w:r>
            <w:r w:rsidRPr="005D7B3F">
              <w:rPr>
                <w:rFonts w:eastAsia="Malgun Gothic" w:cs="Arial"/>
                <w:snapToGrid w:val="0"/>
                <w:szCs w:val="18"/>
              </w:rPr>
              <w:t xml:space="preserve"> </w:t>
            </w:r>
            <w:r w:rsidRPr="005D7B3F">
              <w:rPr>
                <w:rFonts w:eastAsia="Malgun Gothic" w:hint="eastAsia"/>
              </w:rPr>
              <w:t>≤</w:t>
            </w:r>
            <w:r w:rsidRPr="005D7B3F">
              <w:rPr>
                <w:rFonts w:eastAsia="Malgun Gothic"/>
              </w:rPr>
              <w:t xml:space="preserve"> </w:t>
            </w:r>
            <w:r w:rsidRPr="005D7B3F">
              <w:rPr>
                <w:rFonts w:eastAsia="Malgun Gothic" w:cs="Arial"/>
                <w:snapToGrid w:val="0"/>
                <w:szCs w:val="18"/>
              </w:rPr>
              <w:t>M</w:t>
            </w:r>
            <w:r w:rsidRPr="005D7B3F">
              <w:rPr>
                <w:rFonts w:eastAsia="Malgun Gothic" w:cs="Arial"/>
                <w:snapToGrid w:val="0"/>
                <w:szCs w:val="18"/>
                <w:vertAlign w:val="subscript"/>
              </w:rPr>
              <w:t>d,max</w:t>
            </w:r>
            <w:r w:rsidRPr="005D7B3F">
              <w:rPr>
                <w:rFonts w:eastAsia="Malgun Gothic" w:cs="Arial"/>
                <w:snapToGrid w:val="0"/>
                <w:szCs w:val="18"/>
              </w:rPr>
              <w:t xml:space="preserve"> and M</w:t>
            </w:r>
            <w:r w:rsidRPr="005D7B3F">
              <w:rPr>
                <w:rFonts w:eastAsia="Malgun Gothic" w:cs="Arial"/>
                <w:snapToGrid w:val="0"/>
                <w:szCs w:val="18"/>
                <w:vertAlign w:val="subscript"/>
              </w:rPr>
              <w:t>e</w:t>
            </w:r>
            <w:r w:rsidRPr="005D7B3F">
              <w:rPr>
                <w:rFonts w:eastAsia="Malgun Gothic" w:cs="Arial"/>
                <w:snapToGrid w:val="0"/>
                <w:szCs w:val="18"/>
              </w:rPr>
              <w:t xml:space="preserve"> </w:t>
            </w:r>
            <w:r w:rsidRPr="005D7B3F">
              <w:rPr>
                <w:rFonts w:eastAsia="Malgun Gothic" w:hint="eastAsia"/>
              </w:rPr>
              <w:t>≤</w:t>
            </w:r>
            <w:r w:rsidRPr="005D7B3F">
              <w:rPr>
                <w:rFonts w:eastAsia="Malgun Gothic"/>
              </w:rPr>
              <w:t xml:space="preserve"> </w:t>
            </w:r>
            <w:r w:rsidRPr="005D7B3F">
              <w:rPr>
                <w:rFonts w:eastAsia="Malgun Gothic" w:cs="Arial"/>
                <w:snapToGrid w:val="0"/>
                <w:szCs w:val="18"/>
              </w:rPr>
              <w:t> M</w:t>
            </w:r>
            <w:r w:rsidRPr="005D7B3F">
              <w:rPr>
                <w:rFonts w:eastAsia="Malgun Gothic" w:cs="Arial"/>
                <w:snapToGrid w:val="0"/>
                <w:szCs w:val="18"/>
                <w:vertAlign w:val="subscript"/>
              </w:rPr>
              <w:t>e,max</w:t>
            </w:r>
          </w:p>
          <w:p w14:paraId="1D7B54CA" w14:textId="77777777" w:rsidR="00BC6DEF" w:rsidRPr="005D7B3F" w:rsidRDefault="00BC6DEF" w:rsidP="00BC6DEF">
            <w:pPr>
              <w:pStyle w:val="TAN"/>
              <w:rPr>
                <w:rFonts w:eastAsia="Malgun Gothic"/>
                <w:snapToGrid w:val="0"/>
                <w:lang w:eastAsia="zh-CN"/>
              </w:rPr>
            </w:pPr>
            <w:r w:rsidRPr="005D7B3F">
              <w:rPr>
                <w:rFonts w:eastAsia="Malgun Gothic"/>
                <w:snapToGrid w:val="0"/>
                <w:lang w:eastAsia="zh-CN"/>
              </w:rPr>
              <w:t>Note 3:</w:t>
            </w:r>
            <w:r w:rsidRPr="005D7B3F">
              <w:rPr>
                <w:rFonts w:eastAsia="Malgun Gothic"/>
              </w:rPr>
              <w:tab/>
            </w:r>
            <w:r w:rsidRPr="005D7B3F">
              <w:rPr>
                <w:rFonts w:eastAsia="Malgun Gothic"/>
                <w:snapToGrid w:val="0"/>
                <w:lang w:eastAsia="zh-CN"/>
              </w:rPr>
              <w:t>M</w:t>
            </w:r>
            <w:r w:rsidRPr="005D7B3F">
              <w:rPr>
                <w:rFonts w:eastAsia="Malgun Gothic"/>
                <w:snapToGrid w:val="0"/>
                <w:vertAlign w:val="subscript"/>
                <w:lang w:eastAsia="zh-CN"/>
              </w:rPr>
              <w:t>m,max</w:t>
            </w:r>
            <w:r w:rsidRPr="005D7B3F">
              <w:rPr>
                <w:rFonts w:eastAsia="Malgun Gothic"/>
                <w:snapToGrid w:val="0"/>
                <w:lang w:eastAsia="zh-CN"/>
              </w:rPr>
              <w:t xml:space="preserve"> = 16 for DRX cycle length = 0.32s; M</w:t>
            </w:r>
            <w:r w:rsidRPr="005D7B3F">
              <w:rPr>
                <w:rFonts w:eastAsia="Malgun Gothic"/>
                <w:snapToGrid w:val="0"/>
                <w:vertAlign w:val="subscript"/>
                <w:lang w:eastAsia="zh-CN"/>
              </w:rPr>
              <w:t>m,max</w:t>
            </w:r>
            <w:r w:rsidRPr="005D7B3F">
              <w:rPr>
                <w:rFonts w:eastAsia="Malgun Gothic"/>
                <w:snapToGrid w:val="0"/>
                <w:lang w:eastAsia="zh-CN"/>
              </w:rPr>
              <w:t xml:space="preserve"> = 8 for DRX cycle length = 0.64s; M</w:t>
            </w:r>
            <w:r w:rsidRPr="005D7B3F">
              <w:rPr>
                <w:rFonts w:eastAsia="Malgun Gothic"/>
                <w:snapToGrid w:val="0"/>
                <w:vertAlign w:val="subscript"/>
                <w:lang w:eastAsia="zh-CN"/>
              </w:rPr>
              <w:t>m,max</w:t>
            </w:r>
            <w:r w:rsidRPr="005D7B3F">
              <w:rPr>
                <w:rFonts w:eastAsia="Malgun Gothic"/>
                <w:snapToGrid w:val="0"/>
                <w:lang w:eastAsia="zh-CN"/>
              </w:rPr>
              <w:t xml:space="preserve"> = 4 for DRX cycle length = 1.28s; M</w:t>
            </w:r>
            <w:r w:rsidRPr="005D7B3F">
              <w:rPr>
                <w:rFonts w:eastAsia="Malgun Gothic"/>
                <w:snapToGrid w:val="0"/>
                <w:vertAlign w:val="subscript"/>
                <w:lang w:eastAsia="zh-CN"/>
              </w:rPr>
              <w:t>m,max</w:t>
            </w:r>
            <w:r w:rsidRPr="005D7B3F">
              <w:rPr>
                <w:rFonts w:eastAsia="Malgun Gothic"/>
                <w:snapToGrid w:val="0"/>
                <w:lang w:eastAsia="zh-CN"/>
              </w:rPr>
              <w:t xml:space="preserve"> = 4 for DRX cycle length = 2.56s.</w:t>
            </w:r>
          </w:p>
          <w:p w14:paraId="1F7083E7" w14:textId="77777777" w:rsidR="00BC6DEF" w:rsidRDefault="00BC6DEF" w:rsidP="00BC6DEF">
            <w:pPr>
              <w:pStyle w:val="TAN"/>
              <w:rPr>
                <w:rFonts w:eastAsia="Malgun Gothic"/>
                <w:snapToGrid w:val="0"/>
                <w:lang w:val="fr-FR" w:eastAsia="zh-CN"/>
              </w:rPr>
            </w:pPr>
            <w:r w:rsidRPr="005D7B3F">
              <w:rPr>
                <w:rFonts w:eastAsia="Malgun Gothic"/>
                <w:snapToGrid w:val="0"/>
                <w:lang w:val="fr-FR" w:eastAsia="zh-CN"/>
              </w:rPr>
              <w:t>Note 4:</w:t>
            </w:r>
            <w:r w:rsidRPr="005D7B3F">
              <w:rPr>
                <w:rFonts w:eastAsia="Malgun Gothic"/>
                <w:lang w:val="fr-FR"/>
              </w:rPr>
              <w:tab/>
            </w:r>
            <w:r w:rsidRPr="005D7B3F">
              <w:rPr>
                <w:rFonts w:eastAsia="Malgun Gothic"/>
                <w:snapToGrid w:val="0"/>
                <w:lang w:val="fr-FR" w:eastAsia="zh-CN"/>
              </w:rPr>
              <w:t>M</w:t>
            </w:r>
            <w:r w:rsidRPr="005D7B3F">
              <w:rPr>
                <w:rFonts w:eastAsia="Malgun Gothic"/>
                <w:snapToGrid w:val="0"/>
                <w:vertAlign w:val="subscript"/>
                <w:lang w:val="fr-FR" w:eastAsia="zh-CN"/>
              </w:rPr>
              <w:t>d,max</w:t>
            </w:r>
            <w:r w:rsidRPr="005D7B3F">
              <w:rPr>
                <w:rFonts w:eastAsia="Malgun Gothic"/>
                <w:snapToGrid w:val="0"/>
                <w:lang w:val="fr-FR" w:eastAsia="zh-CN"/>
              </w:rPr>
              <w:t xml:space="preserve"> = 4*M</w:t>
            </w:r>
            <w:r w:rsidRPr="005D7B3F">
              <w:rPr>
                <w:rFonts w:eastAsia="Malgun Gothic"/>
                <w:snapToGrid w:val="0"/>
                <w:vertAlign w:val="subscript"/>
                <w:lang w:val="fr-FR" w:eastAsia="zh-CN"/>
              </w:rPr>
              <w:t>m,max</w:t>
            </w:r>
            <w:r w:rsidRPr="005D7B3F">
              <w:rPr>
                <w:rFonts w:eastAsia="Malgun Gothic"/>
                <w:snapToGrid w:val="0"/>
                <w:lang w:val="fr-FR" w:eastAsia="zh-CN"/>
              </w:rPr>
              <w:t>, M</w:t>
            </w:r>
            <w:r w:rsidRPr="005D7B3F">
              <w:rPr>
                <w:rFonts w:eastAsia="Malgun Gothic"/>
                <w:snapToGrid w:val="0"/>
                <w:vertAlign w:val="subscript"/>
                <w:lang w:val="fr-FR" w:eastAsia="zh-CN"/>
              </w:rPr>
              <w:t>e,max</w:t>
            </w:r>
            <w:r w:rsidRPr="005D7B3F">
              <w:rPr>
                <w:rFonts w:eastAsia="Malgun Gothic"/>
                <w:snapToGrid w:val="0"/>
                <w:lang w:val="fr-FR" w:eastAsia="zh-CN"/>
              </w:rPr>
              <w:t xml:space="preserve"> = 2*M</w:t>
            </w:r>
            <w:r w:rsidRPr="005D7B3F">
              <w:rPr>
                <w:rFonts w:eastAsia="Malgun Gothic"/>
                <w:snapToGrid w:val="0"/>
                <w:vertAlign w:val="subscript"/>
                <w:lang w:val="fr-FR" w:eastAsia="zh-CN"/>
              </w:rPr>
              <w:t>m,max</w:t>
            </w:r>
            <w:r w:rsidRPr="005D7B3F">
              <w:rPr>
                <w:rFonts w:eastAsia="Malgun Gothic"/>
                <w:snapToGrid w:val="0"/>
                <w:lang w:val="fr-FR" w:eastAsia="zh-CN"/>
              </w:rPr>
              <w:t>.</w:t>
            </w:r>
          </w:p>
          <w:p w14:paraId="08731A46" w14:textId="1B6999E0" w:rsidR="0031702A" w:rsidRPr="00415158" w:rsidRDefault="00BC6DEF" w:rsidP="00BC6DEF">
            <w:pPr>
              <w:pStyle w:val="TAN"/>
              <w:rPr>
                <w:rFonts w:eastAsiaTheme="minorEastAsia"/>
                <w:snapToGrid w:val="0"/>
                <w:lang w:val="fr-FR" w:eastAsia="zh-CN"/>
              </w:rPr>
            </w:pPr>
            <w:r>
              <w:rPr>
                <w:rFonts w:eastAsia="Malgun Gothic"/>
                <w:lang w:eastAsia="zh-CN"/>
              </w:rPr>
              <w:t>Note 5:</w:t>
            </w:r>
            <w:r w:rsidRPr="005D7B3F">
              <w:rPr>
                <w:rFonts w:eastAsia="Malgun Gothic"/>
                <w:lang w:val="fr-FR"/>
              </w:rPr>
              <w:tab/>
            </w:r>
            <w:r w:rsidRPr="002C2E29">
              <w:rPr>
                <w:rFonts w:eastAsia="Malgun Gothic"/>
                <w:lang w:eastAsia="zh-CN"/>
              </w:rPr>
              <w:t>Applies for UE supporting FR2-2 power class 2&amp;3. For UE supporting FR2-2 power class 1, N1 = 12 for all DRX cycle length.</w:t>
            </w:r>
          </w:p>
        </w:tc>
      </w:tr>
    </w:tbl>
    <w:p w14:paraId="5A45F360" w14:textId="77777777" w:rsidR="0031702A" w:rsidRPr="007C55F6" w:rsidRDefault="0031702A" w:rsidP="008A6EF7">
      <w:pPr>
        <w:rPr>
          <w:lang w:val="fr-FR" w:eastAsia="zh-CN"/>
        </w:rPr>
      </w:pPr>
    </w:p>
    <w:p w14:paraId="6805856C" w14:textId="41CF19D1" w:rsidR="008A6EF7" w:rsidRPr="003B2CE2" w:rsidRDefault="008A6EF7" w:rsidP="008A6EF7">
      <w:r w:rsidRPr="003B2CE2">
        <w:t xml:space="preserve">The UE shall restart the measurements upon exceeding </w:t>
      </w:r>
      <w:r w:rsidR="007C6A37" w:rsidRPr="003B2CE2">
        <w:t>M</w:t>
      </w:r>
      <w:r w:rsidR="007C6A37" w:rsidRPr="0052463F">
        <w:rPr>
          <w:vertAlign w:val="subscript"/>
        </w:rPr>
        <w:t>m,max</w:t>
      </w:r>
      <w:r w:rsidR="007C6A37" w:rsidRPr="003B2CE2">
        <w:t>, M</w:t>
      </w:r>
      <w:r w:rsidR="007C6A37" w:rsidRPr="0052463F">
        <w:rPr>
          <w:vertAlign w:val="subscript"/>
        </w:rPr>
        <w:t>d</w:t>
      </w:r>
      <w:r w:rsidR="007C6A37">
        <w:rPr>
          <w:vertAlign w:val="subscript"/>
        </w:rPr>
        <w:t>,</w:t>
      </w:r>
      <w:r w:rsidR="007C6A37" w:rsidRPr="0052463F">
        <w:rPr>
          <w:vertAlign w:val="subscript"/>
        </w:rPr>
        <w:t>max</w:t>
      </w:r>
      <w:r w:rsidR="007C6A37" w:rsidRPr="003B2CE2">
        <w:t>, or M</w:t>
      </w:r>
      <w:r w:rsidR="007C6A37" w:rsidRPr="0052463F">
        <w:rPr>
          <w:vertAlign w:val="subscript"/>
        </w:rPr>
        <w:t>e,max</w:t>
      </w:r>
      <w:r w:rsidRPr="003B2CE2">
        <w:t>.</w:t>
      </w:r>
    </w:p>
    <w:p w14:paraId="36DC7892" w14:textId="77777777" w:rsidR="008A6EF7" w:rsidRPr="003B2CE2" w:rsidRDefault="008A6EF7" w:rsidP="008A6EF7">
      <w:pPr>
        <w:pStyle w:val="Heading4"/>
        <w:rPr>
          <w:lang w:val="en-US" w:eastAsia="zh-CN"/>
        </w:rPr>
      </w:pPr>
      <w:r w:rsidRPr="003B2CE2">
        <w:rPr>
          <w:lang w:val="en-US" w:eastAsia="zh-CN"/>
        </w:rPr>
        <w:t>4.2A.2.4</w:t>
      </w:r>
      <w:r w:rsidRPr="003B2CE2">
        <w:rPr>
          <w:lang w:val="en-US" w:eastAsia="zh-CN"/>
        </w:rPr>
        <w:tab/>
        <w:t xml:space="preserve">Measurements of inter-frequency NR cells when </w:t>
      </w:r>
      <w:r>
        <w:rPr>
          <w:lang w:val="en-US" w:eastAsia="zh-CN"/>
        </w:rPr>
        <w:t xml:space="preserve">subject to </w:t>
      </w:r>
      <w:r w:rsidRPr="003B2CE2">
        <w:rPr>
          <w:lang w:val="en-US" w:eastAsia="zh-CN"/>
        </w:rPr>
        <w:t>CCA on the target cell</w:t>
      </w:r>
    </w:p>
    <w:p w14:paraId="430A47F0" w14:textId="77777777" w:rsidR="008A6EF7" w:rsidRPr="003B2CE2" w:rsidRDefault="008A6EF7" w:rsidP="008A6EF7">
      <w:r w:rsidRPr="003B2CE2">
        <w:t>The UE shall be able to identify new inter-frequency cells and perform SS-RSRP or SS-RSRQ measurements of identified inter-frequency cells if carrier frequency information is provided by the serving cell, even if no explicit neighbour list with physical layer cell identities is provided.</w:t>
      </w:r>
    </w:p>
    <w:p w14:paraId="321711BF" w14:textId="77777777" w:rsidR="008C5C10" w:rsidRPr="00F80B30" w:rsidRDefault="008C5C10" w:rsidP="008C5C10">
      <w:r>
        <w:rPr>
          <w:lang w:eastAsia="zh-CN"/>
        </w:rPr>
        <w:t>When the inter</w:t>
      </w:r>
      <w:r w:rsidRPr="001254C4">
        <w:rPr>
          <w:lang w:eastAsia="zh-CN"/>
        </w:rPr>
        <w:t>-frequency measurement is performed on a neighbour cell in FR2-2</w:t>
      </w:r>
      <w:r>
        <w:rPr>
          <w:lang w:eastAsia="zh-CN"/>
        </w:rPr>
        <w:t xml:space="preserve"> </w:t>
      </w:r>
      <w:r>
        <w:t>with shared spectrum channel access</w:t>
      </w:r>
      <w:r w:rsidRPr="001254C4">
        <w:rPr>
          <w:lang w:eastAsia="zh-CN"/>
        </w:rPr>
        <w:t xml:space="preserve">, UE shall </w:t>
      </w:r>
      <w:r>
        <w:rPr>
          <w:lang w:eastAsia="zh-CN"/>
        </w:rPr>
        <w:t>determine the CCA mode of the neighbour cell</w:t>
      </w:r>
      <w:r w:rsidRPr="001254C4">
        <w:rPr>
          <w:lang w:eastAsia="zh-CN"/>
        </w:rPr>
        <w:t xml:space="preserve"> according to </w:t>
      </w:r>
      <w:r w:rsidRPr="001254C4">
        <w:rPr>
          <w:i/>
          <w:lang w:eastAsia="zh-CN"/>
        </w:rPr>
        <w:t>channelAccessMode2-r17</w:t>
      </w:r>
      <w:r w:rsidRPr="00F80B30">
        <w:rPr>
          <w:lang w:eastAsia="zh-CN"/>
        </w:rPr>
        <w:t>of the cell</w:t>
      </w:r>
      <w:r w:rsidRPr="001254C4">
        <w:rPr>
          <w:lang w:eastAsia="zh-CN"/>
        </w:rPr>
        <w:t xml:space="preserve"> configured in </w:t>
      </w:r>
      <w:r>
        <w:rPr>
          <w:i/>
          <w:lang w:eastAsia="zh-CN"/>
        </w:rPr>
        <w:t>SIB4</w:t>
      </w:r>
      <w:r w:rsidRPr="001254C4">
        <w:rPr>
          <w:lang w:eastAsia="zh-CN"/>
        </w:rPr>
        <w:t xml:space="preserve">. If </w:t>
      </w:r>
      <w:r w:rsidRPr="001254C4">
        <w:rPr>
          <w:i/>
          <w:lang w:eastAsia="zh-CN"/>
        </w:rPr>
        <w:t>channelAccessMode2-r17</w:t>
      </w:r>
      <w:r w:rsidRPr="001254C4">
        <w:rPr>
          <w:lang w:eastAsia="zh-CN"/>
        </w:rPr>
        <w:t xml:space="preserve"> of the </w:t>
      </w:r>
      <w:r>
        <w:rPr>
          <w:lang w:eastAsia="zh-CN"/>
        </w:rPr>
        <w:t>c</w:t>
      </w:r>
      <w:r w:rsidRPr="001254C4">
        <w:rPr>
          <w:lang w:eastAsia="zh-CN"/>
        </w:rPr>
        <w:t>ell is enabled, UE shall assume that CCA</w:t>
      </w:r>
      <w:r>
        <w:rPr>
          <w:lang w:eastAsia="zh-CN"/>
        </w:rPr>
        <w:t xml:space="preserve"> applies to the cell and perform measurement accordingly</w:t>
      </w:r>
      <w:r w:rsidRPr="001254C4">
        <w:rPr>
          <w:lang w:eastAsia="zh-CN"/>
        </w:rPr>
        <w:t xml:space="preserve">, and the requirements in clause </w:t>
      </w:r>
      <w:r>
        <w:rPr>
          <w:lang w:eastAsia="zh-CN"/>
        </w:rPr>
        <w:t>4</w:t>
      </w:r>
      <w:r w:rsidRPr="001254C4">
        <w:rPr>
          <w:lang w:eastAsia="zh-CN"/>
        </w:rPr>
        <w:t>.2A</w:t>
      </w:r>
      <w:r>
        <w:rPr>
          <w:lang w:eastAsia="zh-CN"/>
        </w:rPr>
        <w:t>.2.4</w:t>
      </w:r>
      <w:r w:rsidRPr="001254C4">
        <w:rPr>
          <w:lang w:eastAsia="zh-CN"/>
        </w:rPr>
        <w:t xml:space="preserve"> shall apply; otherwise, UE shall assume that CCA</w:t>
      </w:r>
      <w:r>
        <w:rPr>
          <w:lang w:eastAsia="zh-CN"/>
        </w:rPr>
        <w:t xml:space="preserve"> does not apply to the cell and perform measurement accordingly, and</w:t>
      </w:r>
      <w:r w:rsidRPr="001254C4">
        <w:rPr>
          <w:lang w:eastAsia="zh-CN"/>
        </w:rPr>
        <w:t xml:space="preserve"> requirements in </w:t>
      </w:r>
      <w:r>
        <w:rPr>
          <w:lang w:eastAsia="zh-CN"/>
        </w:rPr>
        <w:t>4</w:t>
      </w:r>
      <w:r w:rsidRPr="001254C4">
        <w:rPr>
          <w:lang w:eastAsia="zh-CN"/>
        </w:rPr>
        <w:t>.2</w:t>
      </w:r>
      <w:r>
        <w:rPr>
          <w:lang w:eastAsia="zh-CN"/>
        </w:rPr>
        <w:t>.2.4</w:t>
      </w:r>
      <w:r w:rsidRPr="001254C4">
        <w:rPr>
          <w:lang w:eastAsia="zh-CN"/>
        </w:rPr>
        <w:t xml:space="preserve"> shall apply.</w:t>
      </w:r>
    </w:p>
    <w:p w14:paraId="7C76A64A" w14:textId="77777777" w:rsidR="008A6EF7" w:rsidRPr="003B2CE2" w:rsidRDefault="008A6EF7" w:rsidP="008A6EF7">
      <w:r w:rsidRPr="003B2CE2">
        <w:t>If Srxlev &gt; S</w:t>
      </w:r>
      <w:r w:rsidRPr="003B2CE2">
        <w:rPr>
          <w:vertAlign w:val="subscript"/>
        </w:rPr>
        <w:t xml:space="preserve">nonIntraSearchP </w:t>
      </w:r>
      <w:r w:rsidRPr="003B2CE2">
        <w:t xml:space="preserve"> and Squal &gt; S</w:t>
      </w:r>
      <w:r w:rsidRPr="003B2CE2">
        <w:rPr>
          <w:vertAlign w:val="subscript"/>
        </w:rPr>
        <w:t>nonIntraSearchQ</w:t>
      </w:r>
      <w:r w:rsidRPr="003B2CE2">
        <w:t xml:space="preserve"> then the UE shall search for inter-frequency layers of higher priority at least every T</w:t>
      </w:r>
      <w:r w:rsidRPr="003B2CE2">
        <w:rPr>
          <w:vertAlign w:val="subscript"/>
        </w:rPr>
        <w:t xml:space="preserve">higher_priority_search </w:t>
      </w:r>
      <w:r w:rsidRPr="003B2CE2">
        <w:t>where T</w:t>
      </w:r>
      <w:r w:rsidRPr="003B2CE2">
        <w:rPr>
          <w:vertAlign w:val="subscript"/>
        </w:rPr>
        <w:t>higher_priority_search</w:t>
      </w:r>
      <w:r w:rsidRPr="003B2CE2">
        <w:t xml:space="preserve"> is described in clause 4.2A.2.7.</w:t>
      </w:r>
    </w:p>
    <w:p w14:paraId="6ED6587F" w14:textId="31FDDC3B" w:rsidR="008A6EF7" w:rsidRPr="003B2CE2" w:rsidRDefault="008A6EF7" w:rsidP="008A6EF7">
      <w:pPr>
        <w:rPr>
          <w:rFonts w:cs="v4.2.0"/>
        </w:rPr>
      </w:pPr>
      <w:r w:rsidRPr="003B2CE2">
        <w:t xml:space="preserve">If Srxlev </w:t>
      </w:r>
      <w:r w:rsidRPr="003B2CE2">
        <w:rPr>
          <w:rFonts w:hint="eastAsia"/>
          <w:lang w:val="en-US"/>
        </w:rPr>
        <w:t>≤</w:t>
      </w:r>
      <w:r w:rsidRPr="003B2CE2">
        <w:t xml:space="preserve"> S</w:t>
      </w:r>
      <w:r w:rsidRPr="003B2CE2">
        <w:rPr>
          <w:vertAlign w:val="subscript"/>
        </w:rPr>
        <w:t>nonIntraSearchP</w:t>
      </w:r>
      <w:r w:rsidRPr="003B2CE2">
        <w:t xml:space="preserve"> or Squal </w:t>
      </w:r>
      <w:r w:rsidRPr="003B2CE2">
        <w:rPr>
          <w:rFonts w:hint="eastAsia"/>
          <w:lang w:val="en-US"/>
        </w:rPr>
        <w:t>≤</w:t>
      </w:r>
      <w:r w:rsidRPr="003B2CE2">
        <w:t xml:space="preserve"> S</w:t>
      </w:r>
      <w:r w:rsidRPr="003B2CE2">
        <w:rPr>
          <w:vertAlign w:val="subscript"/>
        </w:rPr>
        <w:t>nonIntraSearchQ</w:t>
      </w:r>
      <w:r w:rsidRPr="003B2CE2">
        <w:t xml:space="preserve"> then the UE shall search for and measure inter-frequency layers of higher, equal or lower priority in preparation for possible reselection. In this scenario, the minimum rate at which the UE is required to search for and measure higher priority layers shall be the same as that defined below in this clause.</w:t>
      </w:r>
    </w:p>
    <w:p w14:paraId="2E669E19" w14:textId="77777777" w:rsidR="00874AD1" w:rsidRPr="00415158" w:rsidRDefault="00874AD1" w:rsidP="00874AD1">
      <w:pPr>
        <w:rPr>
          <w:rFonts w:eastAsia="MS Mincho" w:cs="v4.2.0"/>
        </w:rPr>
      </w:pPr>
      <w:r w:rsidRPr="00415158">
        <w:rPr>
          <w:rFonts w:eastAsiaTheme="minorEastAsia" w:cs="v4.2.0"/>
        </w:rPr>
        <w:t>The UE shall be able to evaluate whether a newly detectable inter-frequency cell meets the reselection criteria defined in TS3</w:t>
      </w:r>
      <w:r w:rsidRPr="00415158">
        <w:rPr>
          <w:rFonts w:eastAsiaTheme="minorEastAsia" w:cs="v4.2.0"/>
          <w:lang w:eastAsia="zh-CN"/>
        </w:rPr>
        <w:t>8</w:t>
      </w:r>
      <w:r w:rsidRPr="00415158">
        <w:rPr>
          <w:rFonts w:eastAsiaTheme="minorEastAsia" w:cs="v4.2.0"/>
        </w:rPr>
        <w:t>.304 within K</w:t>
      </w:r>
      <w:r w:rsidRPr="00415158">
        <w:rPr>
          <w:rFonts w:eastAsiaTheme="minorEastAsia" w:cs="v4.2.0"/>
          <w:vertAlign w:val="subscript"/>
        </w:rPr>
        <w:t>carrier</w:t>
      </w:r>
      <w:r w:rsidRPr="00415158">
        <w:rPr>
          <w:rFonts w:eastAsiaTheme="minorEastAsia" w:cs="v4.2.0"/>
        </w:rPr>
        <w:t xml:space="preserve"> * T</w:t>
      </w:r>
      <w:r w:rsidRPr="00415158">
        <w:rPr>
          <w:rFonts w:eastAsiaTheme="minorEastAsia" w:cs="v4.2.0"/>
          <w:vertAlign w:val="subscript"/>
        </w:rPr>
        <w:t>detect,NR_Inter</w:t>
      </w:r>
      <w:r w:rsidRPr="00415158">
        <w:rPr>
          <w:rFonts w:eastAsiaTheme="minorEastAsia" w:cs="v4.2.0"/>
        </w:rPr>
        <w:t xml:space="preserve"> + K</w:t>
      </w:r>
      <w:r w:rsidRPr="00415158">
        <w:rPr>
          <w:rFonts w:eastAsiaTheme="minorEastAsia" w:cs="v4.2.0"/>
          <w:vertAlign w:val="subscript"/>
        </w:rPr>
        <w:t>carrier_CCA</w:t>
      </w:r>
      <w:r w:rsidRPr="00415158">
        <w:rPr>
          <w:rFonts w:eastAsiaTheme="minorEastAsia" w:cs="v4.2.0"/>
        </w:rPr>
        <w:t xml:space="preserve"> * T</w:t>
      </w:r>
      <w:r w:rsidRPr="00415158">
        <w:rPr>
          <w:rFonts w:eastAsiaTheme="minorEastAsia" w:cs="v4.2.0"/>
          <w:vertAlign w:val="subscript"/>
        </w:rPr>
        <w:t>detect,NR_Inter_CCA</w:t>
      </w:r>
      <w:r w:rsidRPr="00415158">
        <w:rPr>
          <w:rFonts w:eastAsiaTheme="minorEastAsia" w:cs="v4.2.0"/>
        </w:rPr>
        <w:t xml:space="preserve">  if at least carrier frequency information is provided for inter-frequency neighbour cells by the serving cells when T</w:t>
      </w:r>
      <w:r w:rsidRPr="00415158">
        <w:rPr>
          <w:rFonts w:eastAsiaTheme="minorEastAsia" w:cs="v4.2.0"/>
          <w:vertAlign w:val="subscript"/>
        </w:rPr>
        <w:t>reselection</w:t>
      </w:r>
      <w:r w:rsidRPr="00415158">
        <w:rPr>
          <w:rFonts w:eastAsiaTheme="minorEastAsia" w:cs="v4.2.0"/>
        </w:rPr>
        <w:t xml:space="preserve"> = 0 provided that the reselection criteria is met by a margin of</w:t>
      </w:r>
      <w:r w:rsidRPr="00415158">
        <w:rPr>
          <w:rFonts w:eastAsiaTheme="minorEastAsia" w:cs="v4.2.0"/>
          <w:lang w:eastAsia="zh-CN"/>
        </w:rPr>
        <w:t xml:space="preserve"> at least 5 dB </w:t>
      </w:r>
      <w:r w:rsidRPr="00415158">
        <w:rPr>
          <w:rFonts w:eastAsiaTheme="minorEastAsia" w:cs="v4.2.0"/>
        </w:rPr>
        <w:t xml:space="preserve">in FR1 or [6.5]dB in FR2-2 </w:t>
      </w:r>
      <w:r w:rsidRPr="00415158">
        <w:rPr>
          <w:rFonts w:eastAsiaTheme="minorEastAsia" w:cs="v4.2.0"/>
          <w:lang w:eastAsia="zh-CN"/>
        </w:rPr>
        <w:t xml:space="preserve">for reselections based on ranking or 6dB </w:t>
      </w:r>
      <w:r w:rsidRPr="00415158">
        <w:rPr>
          <w:rFonts w:eastAsiaTheme="minorEastAsia" w:cs="v4.2.0"/>
        </w:rPr>
        <w:t xml:space="preserve">in FR1 or [7.5]dB in FR2-2 </w:t>
      </w:r>
      <w:r w:rsidRPr="00415158">
        <w:rPr>
          <w:rFonts w:eastAsiaTheme="minorEastAsia" w:cs="v4.2.0"/>
          <w:lang w:eastAsia="zh-CN"/>
        </w:rPr>
        <w:t>for SS-RSRP reselections based on absolute priorities or 4dB in FR1 and [4]dB in FR2-2 for SS-RSRQ reselections based on absolute priorities</w:t>
      </w:r>
      <w:r w:rsidRPr="00415158">
        <w:rPr>
          <w:rFonts w:eastAsiaTheme="minorEastAsia" w:cs="v4.2.0"/>
        </w:rPr>
        <w:t>. The parameter K</w:t>
      </w:r>
      <w:r w:rsidRPr="00415158">
        <w:rPr>
          <w:rFonts w:eastAsiaTheme="minorEastAsia" w:cs="v4.2.0"/>
          <w:vertAlign w:val="subscript"/>
        </w:rPr>
        <w:t xml:space="preserve">carrier </w:t>
      </w:r>
      <w:r w:rsidRPr="00415158">
        <w:rPr>
          <w:rFonts w:eastAsiaTheme="minorEastAsia" w:cs="v4.2.0"/>
        </w:rPr>
        <w:t>is the number of NR inter-frequency carriers on licensed band and K</w:t>
      </w:r>
      <w:r w:rsidRPr="00415158">
        <w:rPr>
          <w:rFonts w:eastAsiaTheme="minorEastAsia" w:cs="v4.2.0"/>
          <w:vertAlign w:val="subscript"/>
        </w:rPr>
        <w:t>carrier_CCA</w:t>
      </w:r>
      <w:r w:rsidRPr="00415158">
        <w:rPr>
          <w:rFonts w:eastAsiaTheme="minorEastAsia" w:cs="v4.2.0"/>
        </w:rPr>
        <w:t xml:space="preserve"> is the number of NR inter-frequency carriers on unlicensed band indicated by the serving cell. An inter-frequency cell is considered to be detectable </w:t>
      </w:r>
      <w:r w:rsidRPr="00415158">
        <w:rPr>
          <w:rFonts w:eastAsiaTheme="minorEastAsia"/>
        </w:rPr>
        <w:t xml:space="preserve">according to the conditions defined in Annex </w:t>
      </w:r>
      <w:r w:rsidRPr="00415158">
        <w:rPr>
          <w:rFonts w:eastAsiaTheme="minorEastAsia"/>
          <w:lang w:eastAsia="zh-CN"/>
        </w:rPr>
        <w:t xml:space="preserve">B. 2. 9  </w:t>
      </w:r>
      <w:r w:rsidRPr="00415158">
        <w:rPr>
          <w:rFonts w:eastAsiaTheme="minorEastAsia"/>
        </w:rPr>
        <w:t>for a corresponding Band.</w:t>
      </w:r>
    </w:p>
    <w:p w14:paraId="20028B77" w14:textId="72F695B4" w:rsidR="008A6EF7" w:rsidRPr="003B2CE2" w:rsidRDefault="008A6EF7" w:rsidP="008A6EF7">
      <w:r w:rsidRPr="003B2CE2">
        <w:t xml:space="preserve">When higher priority cells are found by the higher priority search, they shall be measured at least every </w:t>
      </w:r>
      <w:r w:rsidRPr="003B2CE2">
        <w:rPr>
          <w:rFonts w:cs="v4.2.0"/>
        </w:rPr>
        <w:t>T</w:t>
      </w:r>
      <w:r w:rsidRPr="003B2CE2">
        <w:rPr>
          <w:rFonts w:cs="v4.2.0"/>
          <w:vertAlign w:val="subscript"/>
        </w:rPr>
        <w:t>measure,NR_Inter_CCA</w:t>
      </w:r>
      <w:r w:rsidRPr="003B2CE2">
        <w:t xml:space="preserve">. If after detecting a cell in a higher priority search, it is determined that reselection has not occurred then the UE is not required to continuously measure the detected cell to evaluate the ongoing possibility of reselection. However, the minimum measurement filtering requirements specified later in this </w:t>
      </w:r>
      <w:r>
        <w:t>clause</w:t>
      </w:r>
      <w:r w:rsidRPr="003B2CE2">
        <w:t xml:space="preserve"> shall still be met by the UE before it makes any determination that it may stop measuring the cell. If the UE detects on a </w:t>
      </w:r>
      <w:r w:rsidRPr="003B2CE2">
        <w:rPr>
          <w:lang w:eastAsia="zh-CN"/>
        </w:rPr>
        <w:t>NR</w:t>
      </w:r>
      <w:r w:rsidRPr="003B2CE2">
        <w:t xml:space="preserve"> carrier a cell whose physical identity is indicated as not allowed for that carrier in the measurement control system information of the serving cell, the UE is not required to perform measurements on that cell.</w:t>
      </w:r>
    </w:p>
    <w:p w14:paraId="1CAD0CBB" w14:textId="77777777" w:rsidR="008A6EF7" w:rsidRPr="00AA5D82" w:rsidRDefault="008A6EF7" w:rsidP="008A6EF7">
      <w:r w:rsidRPr="003B2CE2">
        <w:t xml:space="preserve">The UE shall measure SS-RSRP or SS-RSRQ at least every </w:t>
      </w:r>
      <w:r w:rsidRPr="00AA5D82">
        <w:t>K</w:t>
      </w:r>
      <w:r w:rsidRPr="00AA5D82">
        <w:rPr>
          <w:vertAlign w:val="subscript"/>
        </w:rPr>
        <w:t>carrier</w:t>
      </w:r>
      <w:r w:rsidRPr="003B2CE2">
        <w:rPr>
          <w:vertAlign w:val="subscript"/>
        </w:rPr>
        <w:t xml:space="preserve"> </w:t>
      </w:r>
      <w:r w:rsidRPr="003B2CE2">
        <w:t>* T</w:t>
      </w:r>
      <w:r w:rsidRPr="003B2CE2">
        <w:rPr>
          <w:vertAlign w:val="subscript"/>
        </w:rPr>
        <w:t>measure,NR_Inter</w:t>
      </w:r>
      <w:r w:rsidRPr="003B2CE2">
        <w:t xml:space="preserve"> + K</w:t>
      </w:r>
      <w:r w:rsidRPr="003B2CE2">
        <w:rPr>
          <w:vertAlign w:val="subscript"/>
        </w:rPr>
        <w:t>carrier_CCA</w:t>
      </w:r>
      <w:r w:rsidRPr="003B2CE2">
        <w:t xml:space="preserve"> * T</w:t>
      </w:r>
      <w:r w:rsidRPr="003B2CE2">
        <w:rPr>
          <w:vertAlign w:val="subscript"/>
        </w:rPr>
        <w:t>measure,NR_Inter_CCA</w:t>
      </w:r>
      <w:r w:rsidRPr="003B2CE2">
        <w:t xml:space="preserve">  for identified lower or equal priority inter-frequency cells. If the UE detects on a </w:t>
      </w:r>
      <w:r w:rsidRPr="003B2CE2">
        <w:rPr>
          <w:lang w:eastAsia="zh-CN"/>
        </w:rPr>
        <w:t xml:space="preserve">NR </w:t>
      </w:r>
      <w:r w:rsidRPr="003B2CE2">
        <w:t>carrier a cell whose physical identity is indicated as not allowed for that carrier in the measurement control system information of the serving cell, the UE is not required to p</w:t>
      </w:r>
      <w:r w:rsidRPr="00AA5D82">
        <w:t>erform measurements on that cell.</w:t>
      </w:r>
    </w:p>
    <w:p w14:paraId="7315C882" w14:textId="0FFF3BC3" w:rsidR="006D5C93" w:rsidRPr="00AA5D82" w:rsidRDefault="006D5C93" w:rsidP="006D5C93">
      <w:pPr>
        <w:rPr>
          <w:bCs/>
          <w:lang w:val="en-US"/>
        </w:rPr>
      </w:pPr>
      <w:r w:rsidRPr="00AA5D82">
        <w:rPr>
          <w:bCs/>
          <w:lang w:val="en-US"/>
        </w:rPr>
        <w:t xml:space="preserve">For a cell that is already identified, after </w:t>
      </w:r>
      <w:r w:rsidRPr="00AA5D82">
        <w:rPr>
          <w:bCs/>
          <w:iCs/>
          <w:lang w:val="en-US"/>
        </w:rPr>
        <w:t>2</w:t>
      </w:r>
      <w:r w:rsidRPr="00AA5D82">
        <w:rPr>
          <w:bCs/>
          <w:lang w:val="en-US"/>
        </w:rPr>
        <w:t xml:space="preserve"> unsuccessful measurement attempts due to exceeding the maximum number of SMTC occasions </w:t>
      </w:r>
      <w:r>
        <w:rPr>
          <w:bCs/>
          <w:lang w:val="en-US"/>
        </w:rPr>
        <w:t xml:space="preserve">not </w:t>
      </w:r>
      <w:r w:rsidRPr="00AA5D82">
        <w:rPr>
          <w:bCs/>
          <w:lang w:val="en-US"/>
        </w:rPr>
        <w:t>available at the UE, the UE shall detect cells on any of the configured serving- and/or non-serving carriers.</w:t>
      </w:r>
    </w:p>
    <w:p w14:paraId="3DD8F1A9" w14:textId="77777777" w:rsidR="008A6EF7" w:rsidRPr="003B2CE2" w:rsidRDefault="008A6EF7" w:rsidP="008A6EF7">
      <w:pPr>
        <w:rPr>
          <w:rFonts w:cs="v4.2.0"/>
          <w:lang w:eastAsia="zh-CN"/>
        </w:rPr>
      </w:pPr>
      <w:r w:rsidRPr="003B2CE2">
        <w:rPr>
          <w:rFonts w:cs="v4.2.0"/>
        </w:rPr>
        <w:t>The UE shall filter SS-RSRP or SS-RSRQ measurements of each measured higher, lower and equal priority inter-frequency cell using at least 2 measurements. Within the set of measurements used for the filtering,</w:t>
      </w:r>
      <w:r w:rsidRPr="003B2CE2">
        <w:t xml:space="preserve"> </w:t>
      </w:r>
      <w:r w:rsidRPr="003B2CE2">
        <w:rPr>
          <w:rFonts w:cs="v4.2.0"/>
        </w:rPr>
        <w:t xml:space="preserve">at least two measurements shall be spaced by at least </w:t>
      </w:r>
      <w:r w:rsidRPr="003B2CE2">
        <w:rPr>
          <w:rFonts w:eastAsia="Yu Mincho"/>
        </w:rPr>
        <w:t>T</w:t>
      </w:r>
      <w:r w:rsidRPr="003B2CE2">
        <w:rPr>
          <w:rFonts w:eastAsia="Yu Mincho"/>
          <w:vertAlign w:val="subscript"/>
        </w:rPr>
        <w:t>measure,NR_Inter_CCA</w:t>
      </w:r>
      <w:r w:rsidRPr="003B2CE2">
        <w:rPr>
          <w:rFonts w:eastAsia="Yu Mincho"/>
        </w:rPr>
        <w:t>/2</w:t>
      </w:r>
      <w:r w:rsidRPr="003B2CE2">
        <w:rPr>
          <w:rFonts w:cs="v4.2.0"/>
        </w:rPr>
        <w:t>.</w:t>
      </w:r>
    </w:p>
    <w:p w14:paraId="46BBC7B8" w14:textId="77777777" w:rsidR="008A6EF7" w:rsidRPr="003B2CE2" w:rsidRDefault="008A6EF7" w:rsidP="008A6EF7">
      <w:r w:rsidRPr="003B2CE2">
        <w:t xml:space="preserve">The UE shall not consider a </w:t>
      </w:r>
      <w:r w:rsidRPr="003B2CE2">
        <w:rPr>
          <w:lang w:eastAsia="zh-CN"/>
        </w:rPr>
        <w:t>NR</w:t>
      </w:r>
      <w:r w:rsidRPr="003B2CE2">
        <w:t xml:space="preserve"> neighbour cell in cell reselection, if it is indicated as not allowed in the measurement control system information of the serving cell.</w:t>
      </w:r>
    </w:p>
    <w:p w14:paraId="2CE9CA31" w14:textId="77777777" w:rsidR="008A6EF7" w:rsidRPr="003B2CE2" w:rsidRDefault="008A6EF7" w:rsidP="008A6EF7">
      <w:pPr>
        <w:rPr>
          <w:rFonts w:cs="v4.2.0"/>
        </w:rPr>
      </w:pPr>
      <w:r w:rsidRPr="003B2CE2">
        <w:rPr>
          <w:rFonts w:cs="v4.2.0"/>
        </w:rPr>
        <w:t>For an inter-frequency cell that has been already detected, but that has not been reselected to, the filtering shall be such that the UE shall be capable of evaluating that the inter-frequency cell has met reselection criterion defined TS 3</w:t>
      </w:r>
      <w:r w:rsidRPr="003B2CE2">
        <w:rPr>
          <w:rFonts w:cs="v4.2.0"/>
          <w:lang w:eastAsia="zh-CN"/>
        </w:rPr>
        <w:t>8</w:t>
      </w:r>
      <w:r w:rsidRPr="003B2CE2">
        <w:rPr>
          <w:rFonts w:cs="v4.2.0"/>
        </w:rPr>
        <w:t xml:space="preserve">.304 within </w:t>
      </w:r>
      <w:r w:rsidRPr="00AA5D82">
        <w:t>K</w:t>
      </w:r>
      <w:r w:rsidRPr="00AA5D82">
        <w:rPr>
          <w:vertAlign w:val="subscript"/>
        </w:rPr>
        <w:t>carrier</w:t>
      </w:r>
      <w:r w:rsidRPr="003B2CE2">
        <w:t xml:space="preserve"> * </w:t>
      </w:r>
      <w:r w:rsidRPr="003B2CE2">
        <w:rPr>
          <w:rFonts w:cs="v4.2.0"/>
        </w:rPr>
        <w:t>T</w:t>
      </w:r>
      <w:r w:rsidRPr="003B2CE2">
        <w:rPr>
          <w:rFonts w:cs="v4.2.0"/>
          <w:vertAlign w:val="subscript"/>
        </w:rPr>
        <w:t>evaluate,NR_Inter</w:t>
      </w:r>
      <w:r w:rsidRPr="003B2CE2">
        <w:t xml:space="preserve"> + K</w:t>
      </w:r>
      <w:r w:rsidRPr="003B2CE2">
        <w:rPr>
          <w:vertAlign w:val="subscript"/>
        </w:rPr>
        <w:t>carrier_CCA</w:t>
      </w:r>
      <w:r w:rsidRPr="003B2CE2">
        <w:t xml:space="preserve"> * </w:t>
      </w:r>
      <w:r w:rsidRPr="003B2CE2">
        <w:rPr>
          <w:rFonts w:cs="v4.2.0"/>
        </w:rPr>
        <w:t>T</w:t>
      </w:r>
      <w:r w:rsidRPr="003B2CE2">
        <w:rPr>
          <w:rFonts w:cs="v4.2.0"/>
          <w:vertAlign w:val="subscript"/>
        </w:rPr>
        <w:t>evaluate,NR_Inter</w:t>
      </w:r>
      <w:r w:rsidRPr="003B2CE2">
        <w:rPr>
          <w:vertAlign w:val="subscript"/>
        </w:rPr>
        <w:t>_CCA</w:t>
      </w:r>
      <w:r w:rsidRPr="003B2CE2">
        <w:rPr>
          <w:rFonts w:cs="v4.2.0"/>
        </w:rPr>
        <w:t xml:space="preserve"> when T</w:t>
      </w:r>
      <w:r w:rsidRPr="003B2CE2">
        <w:rPr>
          <w:rFonts w:cs="v4.2.0"/>
          <w:vertAlign w:val="subscript"/>
        </w:rPr>
        <w:t>reselection</w:t>
      </w:r>
      <w:r w:rsidRPr="003B2CE2">
        <w:rPr>
          <w:rFonts w:cs="v4.2.0"/>
        </w:rPr>
        <w:t xml:space="preserve"> = 0</w:t>
      </w:r>
      <w:r w:rsidRPr="003B2CE2">
        <w:rPr>
          <w:rFonts w:cs="v4.2.0"/>
          <w:i/>
          <w:vertAlign w:val="subscript"/>
        </w:rPr>
        <w:t xml:space="preserve"> </w:t>
      </w:r>
      <w:r w:rsidRPr="003B2CE2">
        <w:rPr>
          <w:rFonts w:cs="v4.2.0"/>
        </w:rPr>
        <w:t>as specified in table 4.2A.2.4-1 provided that the reselection criteria is met by</w:t>
      </w:r>
    </w:p>
    <w:p w14:paraId="1FFE864E" w14:textId="77777777" w:rsidR="008A6EF7" w:rsidRPr="003B2CE2" w:rsidRDefault="008A6EF7" w:rsidP="008A6EF7">
      <w:pPr>
        <w:pStyle w:val="B10"/>
      </w:pPr>
      <w:r w:rsidRPr="003B2CE2">
        <w:t>-</w:t>
      </w:r>
      <w:r w:rsidRPr="003B2CE2">
        <w:tab/>
        <w:t>the condition when performing equal priority reselection and</w:t>
      </w:r>
    </w:p>
    <w:p w14:paraId="02732346" w14:textId="77777777" w:rsidR="008A6EF7" w:rsidRPr="003B2CE2" w:rsidRDefault="008A6EF7" w:rsidP="008A6EF7">
      <w:pPr>
        <w:pStyle w:val="B20"/>
      </w:pPr>
      <w:r w:rsidRPr="003B2CE2">
        <w:rPr>
          <w:rFonts w:cs="v4.2.0"/>
          <w:lang w:eastAsia="zh-CN"/>
        </w:rPr>
        <w:t xml:space="preserve">when </w:t>
      </w:r>
      <w:r w:rsidRPr="003B2CE2">
        <w:rPr>
          <w:i/>
        </w:rPr>
        <w:t>rangeToBestCell</w:t>
      </w:r>
      <w:r w:rsidRPr="003B2CE2">
        <w:t xml:space="preserve"> is not configured:</w:t>
      </w:r>
    </w:p>
    <w:p w14:paraId="4065BB79" w14:textId="77777777" w:rsidR="00874AD1" w:rsidRPr="00415158" w:rsidRDefault="00874AD1" w:rsidP="00874AD1">
      <w:pPr>
        <w:pStyle w:val="B30"/>
        <w:rPr>
          <w:rFonts w:eastAsiaTheme="minorEastAsia"/>
        </w:rPr>
      </w:pPr>
      <w:r w:rsidRPr="00415158">
        <w:rPr>
          <w:rFonts w:eastAsiaTheme="minorEastAsia"/>
        </w:rPr>
        <w:t>-</w:t>
      </w:r>
      <w:r w:rsidRPr="00415158">
        <w:rPr>
          <w:rFonts w:eastAsiaTheme="minorEastAsia"/>
        </w:rPr>
        <w:tab/>
        <w:t xml:space="preserve">the cell is at least </w:t>
      </w:r>
      <w:r w:rsidRPr="00415158">
        <w:rPr>
          <w:rFonts w:eastAsiaTheme="minorEastAsia"/>
          <w:lang w:eastAsia="zh-CN"/>
        </w:rPr>
        <w:t>5</w:t>
      </w:r>
      <w:r w:rsidRPr="00415158">
        <w:rPr>
          <w:rFonts w:eastAsiaTheme="minorEastAsia"/>
        </w:rPr>
        <w:t>dB better ranked in FR1 or [6.5]dB better ranked in FR2-2 or.</w:t>
      </w:r>
    </w:p>
    <w:p w14:paraId="6E9A79B6" w14:textId="77777777" w:rsidR="008A6EF7" w:rsidRPr="003B2CE2" w:rsidRDefault="008A6EF7" w:rsidP="008A6EF7">
      <w:pPr>
        <w:pStyle w:val="B20"/>
      </w:pPr>
      <w:r w:rsidRPr="003B2CE2">
        <w:rPr>
          <w:rFonts w:cs="v4.2.0"/>
          <w:lang w:eastAsia="zh-CN"/>
        </w:rPr>
        <w:t xml:space="preserve">when </w:t>
      </w:r>
      <w:r w:rsidRPr="003B2CE2">
        <w:rPr>
          <w:i/>
        </w:rPr>
        <w:t>rangeToBestCell</w:t>
      </w:r>
      <w:r w:rsidRPr="003B2CE2">
        <w:t xml:space="preserve"> is configured:</w:t>
      </w:r>
    </w:p>
    <w:p w14:paraId="373C2AE9" w14:textId="77777777" w:rsidR="008A6EF7" w:rsidRPr="003B2CE2" w:rsidRDefault="008A6EF7" w:rsidP="008A6EF7">
      <w:pPr>
        <w:pStyle w:val="B30"/>
      </w:pPr>
      <w:r w:rsidRPr="003B2CE2">
        <w:t>-</w:t>
      </w:r>
      <w:r w:rsidRPr="003B2CE2">
        <w:tab/>
        <w:t xml:space="preserve">the cell has the highest number of beams above the threshold </w:t>
      </w:r>
      <w:r w:rsidRPr="003B2CE2">
        <w:rPr>
          <w:i/>
        </w:rPr>
        <w:t>absThreshSS-BlocksConsolidation</w:t>
      </w:r>
      <w:r w:rsidRPr="003B2CE2">
        <w:t xml:space="preserve"> among all detected cells whose cell-ranking criterion R value [1] is within </w:t>
      </w:r>
      <w:r w:rsidRPr="003B2CE2">
        <w:rPr>
          <w:i/>
        </w:rPr>
        <w:t>rangeToBestCell</w:t>
      </w:r>
      <w:r w:rsidRPr="003B2CE2">
        <w:t xml:space="preserve"> of the cell-ranking criterion R value of the highest ranked cell. </w:t>
      </w:r>
    </w:p>
    <w:p w14:paraId="1A4706C9" w14:textId="77777777" w:rsidR="008A6EF7" w:rsidRPr="003B2CE2" w:rsidRDefault="008A6EF7" w:rsidP="008A6EF7">
      <w:pPr>
        <w:pStyle w:val="B4"/>
      </w:pPr>
      <w:r w:rsidRPr="003B2CE2">
        <w:t>-</w:t>
      </w:r>
      <w:r w:rsidRPr="003B2CE2">
        <w:tab/>
        <w:t xml:space="preserve">if there are multiple such cells, the cell has the highest rank among them </w:t>
      </w:r>
    </w:p>
    <w:p w14:paraId="31DC1434" w14:textId="049CDF6D" w:rsidR="008A6EF7" w:rsidRPr="00874AD1" w:rsidRDefault="00874AD1" w:rsidP="00874AD1">
      <w:pPr>
        <w:pStyle w:val="B30"/>
        <w:rPr>
          <w:rFonts w:eastAsiaTheme="minorEastAsia"/>
        </w:rPr>
      </w:pPr>
      <w:r w:rsidRPr="00415158">
        <w:rPr>
          <w:rFonts w:eastAsiaTheme="minorEastAsia"/>
        </w:rPr>
        <w:t>-</w:t>
      </w:r>
      <w:r w:rsidRPr="00415158">
        <w:rPr>
          <w:rFonts w:eastAsiaTheme="minorEastAsia"/>
        </w:rPr>
        <w:tab/>
        <w:t>the cell is at least 5dB better ranked in FR1 or [6.5]dB better ranked in FR2-2 if the current serving cell is among them. or</w:t>
      </w:r>
    </w:p>
    <w:p w14:paraId="47DD0823" w14:textId="77777777" w:rsidR="00874AD1" w:rsidRPr="00415158" w:rsidRDefault="00874AD1" w:rsidP="00874AD1">
      <w:pPr>
        <w:pStyle w:val="B10"/>
        <w:rPr>
          <w:rFonts w:eastAsiaTheme="minorEastAsia"/>
          <w:lang w:eastAsia="zh-CN"/>
        </w:rPr>
      </w:pPr>
      <w:r w:rsidRPr="00415158">
        <w:rPr>
          <w:rFonts w:eastAsiaTheme="minorEastAsia"/>
        </w:rPr>
        <w:t>-</w:t>
      </w:r>
      <w:r w:rsidRPr="00415158">
        <w:rPr>
          <w:rFonts w:eastAsiaTheme="minorEastAsia"/>
        </w:rPr>
        <w:tab/>
      </w:r>
      <w:r w:rsidRPr="00415158">
        <w:rPr>
          <w:rFonts w:eastAsiaTheme="minorEastAsia"/>
          <w:lang w:eastAsia="zh-CN"/>
        </w:rPr>
        <w:t>6dB in FR1 or [7.5]dB in FR2-2 for SS-RSRP reselections based on absolute priorities or</w:t>
      </w:r>
    </w:p>
    <w:p w14:paraId="058DFCE3" w14:textId="77777777" w:rsidR="00874AD1" w:rsidRPr="00415158" w:rsidRDefault="00874AD1" w:rsidP="00874AD1">
      <w:pPr>
        <w:pStyle w:val="B10"/>
        <w:rPr>
          <w:rFonts w:eastAsiaTheme="minorEastAsia"/>
        </w:rPr>
      </w:pPr>
      <w:r w:rsidRPr="00415158">
        <w:rPr>
          <w:rFonts w:eastAsiaTheme="minorEastAsia"/>
        </w:rPr>
        <w:t>-</w:t>
      </w:r>
      <w:r w:rsidRPr="00415158">
        <w:rPr>
          <w:rFonts w:eastAsiaTheme="minorEastAsia"/>
        </w:rPr>
        <w:tab/>
      </w:r>
      <w:r w:rsidRPr="00415158">
        <w:rPr>
          <w:rFonts w:eastAsiaTheme="minorEastAsia"/>
          <w:lang w:eastAsia="zh-CN"/>
        </w:rPr>
        <w:t>4dB in FR1 or [4]dB in FR2-2 for SS-RSRQ reselections based on absolute priorities</w:t>
      </w:r>
      <w:r w:rsidRPr="00415158">
        <w:rPr>
          <w:rFonts w:eastAsiaTheme="minorEastAsia"/>
        </w:rPr>
        <w:t>.</w:t>
      </w:r>
    </w:p>
    <w:p w14:paraId="6FEFDB68" w14:textId="77777777" w:rsidR="008A6EF7" w:rsidRPr="003B2CE2" w:rsidRDefault="008A6EF7" w:rsidP="008A6EF7">
      <w:r w:rsidRPr="003B2CE2">
        <w:t>When evaluating cells for reselection, the SSB side conditions apply to both serving and inter-frequency cells.</w:t>
      </w:r>
    </w:p>
    <w:p w14:paraId="5FC1116D" w14:textId="77777777" w:rsidR="008A6EF7" w:rsidRPr="003B2CE2" w:rsidRDefault="008A6EF7" w:rsidP="008A6EF7">
      <w:pPr>
        <w:rPr>
          <w:lang w:eastAsia="zh-CN"/>
        </w:rPr>
      </w:pPr>
      <w:r w:rsidRPr="003B2CE2">
        <w:rPr>
          <w:lang w:eastAsia="zh-CN"/>
        </w:rPr>
        <w:t>If T</w:t>
      </w:r>
      <w:r w:rsidRPr="003B2CE2">
        <w:rPr>
          <w:vertAlign w:val="subscript"/>
          <w:lang w:eastAsia="zh-CN"/>
        </w:rPr>
        <w:t>reselection</w:t>
      </w:r>
      <w:r w:rsidRPr="003B2CE2">
        <w:rPr>
          <w:lang w:eastAsia="zh-CN"/>
        </w:rPr>
        <w:t xml:space="preserve"> timer has a non zero value and the inter-frequency cell is satisfied with the reselection criteria, the UE shall evaluate this inter-frequency cell for the T</w:t>
      </w:r>
      <w:r w:rsidRPr="003B2CE2">
        <w:rPr>
          <w:vertAlign w:val="subscript"/>
          <w:lang w:eastAsia="zh-CN"/>
        </w:rPr>
        <w:t>reselection</w:t>
      </w:r>
      <w:r w:rsidRPr="003B2CE2">
        <w:rPr>
          <w:lang w:eastAsia="zh-CN"/>
        </w:rPr>
        <w:t xml:space="preserve"> time. If this cell remains satisfied with the reselection criteria within this duration, then the UE shall reselect that cell.</w:t>
      </w:r>
    </w:p>
    <w:p w14:paraId="0CC66B20" w14:textId="77777777" w:rsidR="008A6EF7" w:rsidRPr="003B2CE2" w:rsidRDefault="008A6EF7" w:rsidP="008A6EF7">
      <w:pPr>
        <w:rPr>
          <w:noProof/>
        </w:rPr>
      </w:pPr>
      <w:r w:rsidRPr="003B2CE2">
        <w:rPr>
          <w:noProof/>
        </w:rPr>
        <w:t>The UE is not expected to meet the measurement requirements for an inter-frequency carrier under DRX cycle=320 ms defined in Table 4.2A.2.4-1 under the following conditions:</w:t>
      </w:r>
    </w:p>
    <w:p w14:paraId="33086D03" w14:textId="77777777" w:rsidR="008A6EF7" w:rsidRPr="003B2CE2" w:rsidRDefault="008A6EF7" w:rsidP="008A6EF7">
      <w:pPr>
        <w:pStyle w:val="B10"/>
        <w:rPr>
          <w:noProof/>
        </w:rPr>
      </w:pPr>
      <w:r w:rsidRPr="003B2CE2">
        <w:rPr>
          <w:noProof/>
        </w:rPr>
        <w:t>-</w:t>
      </w:r>
      <w:r w:rsidRPr="003B2CE2">
        <w:rPr>
          <w:noProof/>
        </w:rPr>
        <w:tab/>
        <w:t>T</w:t>
      </w:r>
      <w:r w:rsidRPr="003B2CE2">
        <w:rPr>
          <w:noProof/>
          <w:vertAlign w:val="subscript"/>
        </w:rPr>
        <w:t>SMTC_intra</w:t>
      </w:r>
      <w:r w:rsidRPr="003B2CE2">
        <w:rPr>
          <w:noProof/>
        </w:rPr>
        <w:t xml:space="preserve"> = T</w:t>
      </w:r>
      <w:r w:rsidRPr="003B2CE2">
        <w:rPr>
          <w:noProof/>
          <w:vertAlign w:val="subscript"/>
        </w:rPr>
        <w:t>SMTC_inter</w:t>
      </w:r>
      <w:r w:rsidRPr="003B2CE2">
        <w:rPr>
          <w:noProof/>
        </w:rPr>
        <w:t xml:space="preserve"> = 160 ms; where T</w:t>
      </w:r>
      <w:r w:rsidRPr="003B2CE2">
        <w:rPr>
          <w:noProof/>
          <w:vertAlign w:val="subscript"/>
        </w:rPr>
        <w:t>SMTC_intra</w:t>
      </w:r>
      <w:r w:rsidRPr="003B2CE2">
        <w:rPr>
          <w:noProof/>
        </w:rPr>
        <w:t xml:space="preserve"> and T</w:t>
      </w:r>
      <w:r w:rsidRPr="003B2CE2">
        <w:rPr>
          <w:noProof/>
          <w:vertAlign w:val="subscript"/>
        </w:rPr>
        <w:t>SMTC_inter</w:t>
      </w:r>
      <w:r w:rsidRPr="003B2CE2">
        <w:rPr>
          <w:noProof/>
        </w:rPr>
        <w:t xml:space="preserve"> are periodicities of the SMTC occasions configured for the intra-frequency carrier and the inter-frequency carrier respectively, and</w:t>
      </w:r>
    </w:p>
    <w:p w14:paraId="654AE361" w14:textId="77777777" w:rsidR="008A6EF7" w:rsidRPr="003B2CE2" w:rsidRDefault="008A6EF7" w:rsidP="008A6EF7">
      <w:pPr>
        <w:pStyle w:val="B10"/>
        <w:rPr>
          <w:noProof/>
        </w:rPr>
      </w:pPr>
      <w:r w:rsidRPr="003B2CE2">
        <w:rPr>
          <w:noProof/>
        </w:rPr>
        <w:t>-</w:t>
      </w:r>
      <w:r w:rsidRPr="003B2CE2">
        <w:rPr>
          <w:noProof/>
        </w:rPr>
        <w:tab/>
        <w:t>SMTC occasions configured for the inter-frequency carrier occur up to 1 ms before the start or up to 1 ms after the end of the SMTC occasions configured for the intra-frequency carrier, and</w:t>
      </w:r>
    </w:p>
    <w:p w14:paraId="0501F189" w14:textId="77777777" w:rsidR="008A6EF7" w:rsidRPr="003B2CE2" w:rsidRDefault="008A6EF7" w:rsidP="008A6EF7">
      <w:pPr>
        <w:pStyle w:val="B10"/>
        <w:rPr>
          <w:noProof/>
        </w:rPr>
      </w:pPr>
      <w:r w:rsidRPr="003B2CE2">
        <w:rPr>
          <w:noProof/>
        </w:rPr>
        <w:t>-</w:t>
      </w:r>
      <w:r w:rsidRPr="003B2CE2">
        <w:rPr>
          <w:noProof/>
        </w:rPr>
        <w:tab/>
        <w:t>SMTC occasions configured for the intra-frequency carrier and for the inter-frequency carrier occur up to 1 ms before the start or up to 1 ms after the end of the paging occasion [1].</w:t>
      </w:r>
    </w:p>
    <w:p w14:paraId="369BBA76" w14:textId="74A70F3A" w:rsidR="008A6EF7" w:rsidRDefault="008A6EF7" w:rsidP="008A6EF7">
      <w:pPr>
        <w:pStyle w:val="TH"/>
        <w:rPr>
          <w:vertAlign w:val="subscript"/>
        </w:rPr>
      </w:pPr>
      <w:r w:rsidRPr="003B2CE2">
        <w:t>Table 4.2A.2.4-1: T</w:t>
      </w:r>
      <w:r w:rsidRPr="003B2CE2">
        <w:rPr>
          <w:vertAlign w:val="subscript"/>
        </w:rPr>
        <w:t>detect,NR_Inter_CCA,</w:t>
      </w:r>
      <w:r w:rsidRPr="003B2CE2">
        <w:t xml:space="preserve"> T</w:t>
      </w:r>
      <w:r w:rsidRPr="003B2CE2">
        <w:rPr>
          <w:vertAlign w:val="subscript"/>
        </w:rPr>
        <w:t>measure,NR_Inter_CCA</w:t>
      </w:r>
      <w:r w:rsidRPr="003B2CE2">
        <w:t xml:space="preserve"> and T</w:t>
      </w:r>
      <w:r w:rsidRPr="003B2CE2">
        <w:rPr>
          <w:vertAlign w:val="subscript"/>
        </w:rPr>
        <w:t>evaluate,NR_Inter_CCA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1060"/>
        <w:gridCol w:w="1059"/>
        <w:gridCol w:w="2118"/>
        <w:gridCol w:w="2120"/>
        <w:gridCol w:w="2116"/>
      </w:tblGrid>
      <w:tr w:rsidR="00C54446" w:rsidRPr="00415158" w14:paraId="4A2BAE9D" w14:textId="77777777" w:rsidTr="00C738DD">
        <w:trPr>
          <w:cantSplit/>
          <w:trHeight w:val="242"/>
          <w:jc w:val="center"/>
        </w:trPr>
        <w:tc>
          <w:tcPr>
            <w:tcW w:w="600" w:type="pct"/>
            <w:vMerge w:val="restart"/>
            <w:tcBorders>
              <w:top w:val="single" w:sz="4" w:space="0" w:color="auto"/>
              <w:left w:val="single" w:sz="4" w:space="0" w:color="auto"/>
              <w:right w:val="single" w:sz="4" w:space="0" w:color="auto"/>
            </w:tcBorders>
            <w:hideMark/>
          </w:tcPr>
          <w:p w14:paraId="5F7B2D6A" w14:textId="77777777" w:rsidR="00C54446" w:rsidRPr="00415158" w:rsidRDefault="00C54446" w:rsidP="00EF71C1">
            <w:pPr>
              <w:pStyle w:val="TAH"/>
              <w:rPr>
                <w:rFonts w:eastAsiaTheme="minorEastAsia"/>
              </w:rPr>
            </w:pPr>
            <w:r w:rsidRPr="00415158">
              <w:rPr>
                <w:rFonts w:eastAsiaTheme="minorEastAsia"/>
              </w:rPr>
              <w:t>DRX cycle length [s]</w:t>
            </w:r>
          </w:p>
        </w:tc>
        <w:tc>
          <w:tcPr>
            <w:tcW w:w="1100" w:type="pct"/>
            <w:gridSpan w:val="2"/>
            <w:tcBorders>
              <w:top w:val="single" w:sz="4" w:space="0" w:color="auto"/>
              <w:left w:val="single" w:sz="4" w:space="0" w:color="auto"/>
              <w:right w:val="single" w:sz="4" w:space="0" w:color="auto"/>
            </w:tcBorders>
          </w:tcPr>
          <w:p w14:paraId="138A1460" w14:textId="77777777" w:rsidR="00C54446" w:rsidRPr="00415158" w:rsidRDefault="00C54446" w:rsidP="00EF71C1">
            <w:pPr>
              <w:pStyle w:val="TAH"/>
              <w:rPr>
                <w:rFonts w:eastAsiaTheme="minorEastAsia"/>
              </w:rPr>
            </w:pPr>
            <w:r w:rsidRPr="00415158">
              <w:rPr>
                <w:rFonts w:eastAsia="SimSun"/>
                <w:lang w:val="en-US"/>
              </w:rPr>
              <w:t>Scaling Factor (N1)</w:t>
            </w:r>
          </w:p>
        </w:tc>
        <w:tc>
          <w:tcPr>
            <w:tcW w:w="1100" w:type="pct"/>
            <w:vMerge w:val="restart"/>
            <w:tcBorders>
              <w:top w:val="single" w:sz="4" w:space="0" w:color="auto"/>
              <w:left w:val="single" w:sz="4" w:space="0" w:color="auto"/>
              <w:right w:val="single" w:sz="4" w:space="0" w:color="auto"/>
            </w:tcBorders>
            <w:hideMark/>
          </w:tcPr>
          <w:p w14:paraId="333C6AB0" w14:textId="77777777" w:rsidR="00C54446" w:rsidRPr="00415158" w:rsidRDefault="00C54446" w:rsidP="00EF71C1">
            <w:pPr>
              <w:pStyle w:val="TAH"/>
              <w:rPr>
                <w:rFonts w:eastAsiaTheme="minorEastAsia"/>
              </w:rPr>
            </w:pPr>
            <w:r w:rsidRPr="00415158">
              <w:rPr>
                <w:rFonts w:eastAsiaTheme="minorEastAsia"/>
              </w:rPr>
              <w:t>T</w:t>
            </w:r>
            <w:r w:rsidRPr="00415158">
              <w:rPr>
                <w:rFonts w:eastAsiaTheme="minorEastAsia"/>
                <w:vertAlign w:val="subscript"/>
              </w:rPr>
              <w:t>detect,NR_Inter_CCA</w:t>
            </w:r>
            <w:r w:rsidRPr="00415158">
              <w:rPr>
                <w:rFonts w:eastAsiaTheme="minorEastAsia"/>
              </w:rPr>
              <w:t xml:space="preserve"> [s] (number of DRX cycles)</w:t>
            </w:r>
          </w:p>
        </w:tc>
        <w:tc>
          <w:tcPr>
            <w:tcW w:w="1101" w:type="pct"/>
            <w:vMerge w:val="restart"/>
            <w:tcBorders>
              <w:top w:val="single" w:sz="4" w:space="0" w:color="auto"/>
              <w:left w:val="single" w:sz="4" w:space="0" w:color="auto"/>
              <w:right w:val="single" w:sz="4" w:space="0" w:color="auto"/>
            </w:tcBorders>
            <w:hideMark/>
          </w:tcPr>
          <w:p w14:paraId="2FD5A42D" w14:textId="77777777" w:rsidR="00C54446" w:rsidRPr="00415158" w:rsidRDefault="00C54446" w:rsidP="00EF71C1">
            <w:pPr>
              <w:pStyle w:val="TAH"/>
              <w:rPr>
                <w:rFonts w:eastAsiaTheme="minorEastAsia"/>
              </w:rPr>
            </w:pPr>
            <w:r w:rsidRPr="00415158">
              <w:rPr>
                <w:rFonts w:eastAsiaTheme="minorEastAsia"/>
              </w:rPr>
              <w:t>T</w:t>
            </w:r>
            <w:r w:rsidRPr="00415158">
              <w:rPr>
                <w:rFonts w:eastAsiaTheme="minorEastAsia"/>
                <w:vertAlign w:val="subscript"/>
              </w:rPr>
              <w:t>measure,NR_Inter_CCA</w:t>
            </w:r>
            <w:r w:rsidRPr="00415158">
              <w:rPr>
                <w:rFonts w:eastAsiaTheme="minorEastAsia"/>
              </w:rPr>
              <w:t xml:space="preserve"> [s] (number of DRX cycles)</w:t>
            </w:r>
          </w:p>
        </w:tc>
        <w:tc>
          <w:tcPr>
            <w:tcW w:w="1099" w:type="pct"/>
            <w:vMerge w:val="restart"/>
            <w:tcBorders>
              <w:top w:val="single" w:sz="4" w:space="0" w:color="auto"/>
              <w:left w:val="single" w:sz="4" w:space="0" w:color="auto"/>
              <w:right w:val="single" w:sz="4" w:space="0" w:color="auto"/>
            </w:tcBorders>
            <w:hideMark/>
          </w:tcPr>
          <w:p w14:paraId="32081BB4" w14:textId="77777777" w:rsidR="00C54446" w:rsidRPr="00415158" w:rsidRDefault="00C54446" w:rsidP="00EF71C1">
            <w:pPr>
              <w:pStyle w:val="TAH"/>
              <w:rPr>
                <w:rFonts w:eastAsiaTheme="minorEastAsia"/>
                <w:vertAlign w:val="subscript"/>
              </w:rPr>
            </w:pPr>
            <w:r w:rsidRPr="00415158">
              <w:rPr>
                <w:rFonts w:eastAsiaTheme="minorEastAsia"/>
              </w:rPr>
              <w:t>T</w:t>
            </w:r>
            <w:r w:rsidRPr="00415158">
              <w:rPr>
                <w:rFonts w:eastAsiaTheme="minorEastAsia"/>
                <w:vertAlign w:val="subscript"/>
              </w:rPr>
              <w:t>evaluate,NR_</w:t>
            </w:r>
            <w:r w:rsidRPr="00415158">
              <w:rPr>
                <w:rFonts w:eastAsiaTheme="minorEastAsia" w:cs="v4.2.0"/>
                <w:vertAlign w:val="subscript"/>
              </w:rPr>
              <w:t>Inter</w:t>
            </w:r>
            <w:r w:rsidRPr="00415158">
              <w:rPr>
                <w:rFonts w:eastAsiaTheme="minorEastAsia"/>
                <w:vertAlign w:val="subscript"/>
              </w:rPr>
              <w:t>_CCA</w:t>
            </w:r>
          </w:p>
          <w:p w14:paraId="7C1B9B8F" w14:textId="77777777" w:rsidR="00C54446" w:rsidRPr="00415158" w:rsidRDefault="00C54446" w:rsidP="00EF71C1">
            <w:pPr>
              <w:pStyle w:val="TAH"/>
              <w:rPr>
                <w:rFonts w:eastAsiaTheme="minorEastAsia"/>
              </w:rPr>
            </w:pPr>
            <w:r w:rsidRPr="00415158">
              <w:rPr>
                <w:rFonts w:eastAsiaTheme="minorEastAsia"/>
              </w:rPr>
              <w:t>[s] (number of DRX cycles)</w:t>
            </w:r>
          </w:p>
        </w:tc>
      </w:tr>
      <w:tr w:rsidR="00C54446" w:rsidRPr="00415158" w14:paraId="5A996FAD" w14:textId="77777777" w:rsidTr="00C738DD">
        <w:trPr>
          <w:cantSplit/>
          <w:trHeight w:val="242"/>
          <w:jc w:val="center"/>
        </w:trPr>
        <w:tc>
          <w:tcPr>
            <w:tcW w:w="600" w:type="pct"/>
            <w:vMerge/>
            <w:tcBorders>
              <w:left w:val="single" w:sz="4" w:space="0" w:color="auto"/>
              <w:bottom w:val="single" w:sz="4" w:space="0" w:color="auto"/>
              <w:right w:val="single" w:sz="4" w:space="0" w:color="auto"/>
            </w:tcBorders>
          </w:tcPr>
          <w:p w14:paraId="08D6AC02" w14:textId="77777777" w:rsidR="00C54446" w:rsidRPr="00415158" w:rsidRDefault="00C54446" w:rsidP="00C738DD">
            <w:pPr>
              <w:keepNext/>
              <w:keepLines/>
              <w:spacing w:after="0"/>
              <w:jc w:val="center"/>
              <w:rPr>
                <w:rFonts w:ascii="Arial" w:eastAsiaTheme="minorEastAsia" w:hAnsi="Arial"/>
                <w:b/>
                <w:sz w:val="18"/>
              </w:rPr>
            </w:pPr>
          </w:p>
        </w:tc>
        <w:tc>
          <w:tcPr>
            <w:tcW w:w="550" w:type="pct"/>
            <w:tcBorders>
              <w:top w:val="single" w:sz="4" w:space="0" w:color="auto"/>
              <w:left w:val="single" w:sz="4" w:space="0" w:color="auto"/>
              <w:right w:val="single" w:sz="4" w:space="0" w:color="auto"/>
            </w:tcBorders>
          </w:tcPr>
          <w:p w14:paraId="2E917C94" w14:textId="77777777" w:rsidR="00C54446" w:rsidRPr="00415158" w:rsidRDefault="00C54446" w:rsidP="00C738DD">
            <w:pPr>
              <w:keepNext/>
              <w:keepLines/>
              <w:spacing w:after="0"/>
              <w:jc w:val="center"/>
              <w:rPr>
                <w:rFonts w:ascii="Arial" w:eastAsiaTheme="minorEastAsia" w:hAnsi="Arial"/>
                <w:b/>
                <w:sz w:val="18"/>
              </w:rPr>
            </w:pPr>
            <w:r w:rsidRPr="00415158">
              <w:rPr>
                <w:rFonts w:ascii="Arial" w:eastAsia="SimSun" w:hAnsi="Arial"/>
                <w:b/>
                <w:sz w:val="18"/>
                <w:lang w:val="en-US"/>
              </w:rPr>
              <w:t>FR1</w:t>
            </w:r>
          </w:p>
        </w:tc>
        <w:tc>
          <w:tcPr>
            <w:tcW w:w="550" w:type="pct"/>
            <w:tcBorders>
              <w:top w:val="single" w:sz="4" w:space="0" w:color="auto"/>
              <w:left w:val="single" w:sz="4" w:space="0" w:color="auto"/>
              <w:right w:val="single" w:sz="4" w:space="0" w:color="auto"/>
            </w:tcBorders>
          </w:tcPr>
          <w:p w14:paraId="1E6507EB" w14:textId="709F40E7" w:rsidR="00C54446" w:rsidRPr="00415158" w:rsidRDefault="00EF71C1" w:rsidP="00C738DD">
            <w:pPr>
              <w:keepNext/>
              <w:keepLines/>
              <w:spacing w:after="0"/>
              <w:jc w:val="center"/>
              <w:rPr>
                <w:rFonts w:ascii="Arial" w:eastAsiaTheme="minorEastAsia" w:hAnsi="Arial"/>
                <w:b/>
                <w:sz w:val="18"/>
              </w:rPr>
            </w:pPr>
            <w:r w:rsidRPr="005D7B3F">
              <w:rPr>
                <w:rFonts w:ascii="Arial" w:eastAsia="SimSun" w:hAnsi="Arial"/>
                <w:b/>
                <w:sz w:val="18"/>
                <w:lang w:val="en-US"/>
              </w:rPr>
              <w:t>FR2-2</w:t>
            </w:r>
            <w:r w:rsidRPr="00082331">
              <w:rPr>
                <w:rFonts w:ascii="Arial" w:eastAsia="SimSun" w:hAnsi="Arial"/>
                <w:b/>
                <w:sz w:val="18"/>
                <w:vertAlign w:val="superscript"/>
                <w:lang w:val="en-US"/>
              </w:rPr>
              <w:t xml:space="preserve">Note </w:t>
            </w:r>
            <w:r>
              <w:rPr>
                <w:rFonts w:ascii="Arial" w:eastAsia="SimSun" w:hAnsi="Arial"/>
                <w:b/>
                <w:sz w:val="18"/>
                <w:vertAlign w:val="superscript"/>
                <w:lang w:val="en-US"/>
              </w:rPr>
              <w:t>5</w:t>
            </w:r>
          </w:p>
        </w:tc>
        <w:tc>
          <w:tcPr>
            <w:tcW w:w="1100" w:type="pct"/>
            <w:vMerge/>
            <w:tcBorders>
              <w:left w:val="single" w:sz="4" w:space="0" w:color="auto"/>
              <w:bottom w:val="single" w:sz="4" w:space="0" w:color="auto"/>
              <w:right w:val="single" w:sz="4" w:space="0" w:color="auto"/>
            </w:tcBorders>
          </w:tcPr>
          <w:p w14:paraId="24ED8728" w14:textId="77777777" w:rsidR="00C54446" w:rsidRPr="00415158" w:rsidRDefault="00C54446" w:rsidP="00C738DD">
            <w:pPr>
              <w:keepNext/>
              <w:keepLines/>
              <w:spacing w:after="0"/>
              <w:jc w:val="center"/>
              <w:rPr>
                <w:rFonts w:ascii="Arial" w:eastAsiaTheme="minorEastAsia" w:hAnsi="Arial"/>
                <w:b/>
                <w:sz w:val="18"/>
              </w:rPr>
            </w:pPr>
          </w:p>
        </w:tc>
        <w:tc>
          <w:tcPr>
            <w:tcW w:w="1101" w:type="pct"/>
            <w:vMerge/>
            <w:tcBorders>
              <w:left w:val="single" w:sz="4" w:space="0" w:color="auto"/>
              <w:bottom w:val="single" w:sz="4" w:space="0" w:color="auto"/>
              <w:right w:val="single" w:sz="4" w:space="0" w:color="auto"/>
            </w:tcBorders>
          </w:tcPr>
          <w:p w14:paraId="4766D9A1" w14:textId="77777777" w:rsidR="00C54446" w:rsidRPr="00415158" w:rsidRDefault="00C54446" w:rsidP="00C738DD">
            <w:pPr>
              <w:keepNext/>
              <w:keepLines/>
              <w:spacing w:after="0"/>
              <w:jc w:val="center"/>
              <w:rPr>
                <w:rFonts w:ascii="Arial" w:eastAsiaTheme="minorEastAsia" w:hAnsi="Arial"/>
                <w:b/>
                <w:sz w:val="18"/>
              </w:rPr>
            </w:pPr>
          </w:p>
        </w:tc>
        <w:tc>
          <w:tcPr>
            <w:tcW w:w="1099" w:type="pct"/>
            <w:vMerge/>
            <w:tcBorders>
              <w:left w:val="single" w:sz="4" w:space="0" w:color="auto"/>
              <w:bottom w:val="single" w:sz="4" w:space="0" w:color="auto"/>
              <w:right w:val="single" w:sz="4" w:space="0" w:color="auto"/>
            </w:tcBorders>
          </w:tcPr>
          <w:p w14:paraId="4FB7D5FF" w14:textId="77777777" w:rsidR="00C54446" w:rsidRPr="00415158" w:rsidRDefault="00C54446" w:rsidP="00C738DD">
            <w:pPr>
              <w:keepNext/>
              <w:keepLines/>
              <w:spacing w:after="0"/>
              <w:jc w:val="center"/>
              <w:rPr>
                <w:rFonts w:ascii="Arial" w:eastAsiaTheme="minorEastAsia" w:hAnsi="Arial"/>
                <w:b/>
                <w:sz w:val="18"/>
              </w:rPr>
            </w:pPr>
          </w:p>
        </w:tc>
      </w:tr>
      <w:tr w:rsidR="00EF71C1" w:rsidRPr="00415158" w14:paraId="5E4F8EA2" w14:textId="77777777" w:rsidTr="00412C48">
        <w:trPr>
          <w:cantSplit/>
          <w:jc w:val="center"/>
        </w:trPr>
        <w:tc>
          <w:tcPr>
            <w:tcW w:w="600" w:type="pct"/>
            <w:tcBorders>
              <w:top w:val="single" w:sz="4" w:space="0" w:color="auto"/>
              <w:left w:val="single" w:sz="4" w:space="0" w:color="auto"/>
              <w:bottom w:val="single" w:sz="4" w:space="0" w:color="auto"/>
              <w:right w:val="single" w:sz="4" w:space="0" w:color="auto"/>
            </w:tcBorders>
            <w:hideMark/>
          </w:tcPr>
          <w:p w14:paraId="4B5E2A18" w14:textId="77777777" w:rsidR="00EF71C1" w:rsidRPr="00415158" w:rsidRDefault="00EF71C1" w:rsidP="00EF71C1">
            <w:pPr>
              <w:pStyle w:val="TAC"/>
              <w:rPr>
                <w:rFonts w:eastAsiaTheme="minorEastAsia"/>
              </w:rPr>
            </w:pPr>
            <w:r w:rsidRPr="00415158">
              <w:rPr>
                <w:rFonts w:eastAsiaTheme="minorEastAsia"/>
              </w:rPr>
              <w:t>0.32</w:t>
            </w:r>
          </w:p>
        </w:tc>
        <w:tc>
          <w:tcPr>
            <w:tcW w:w="550" w:type="pct"/>
            <w:tcBorders>
              <w:left w:val="single" w:sz="4" w:space="0" w:color="auto"/>
              <w:bottom w:val="nil"/>
              <w:right w:val="single" w:sz="4" w:space="0" w:color="auto"/>
            </w:tcBorders>
          </w:tcPr>
          <w:p w14:paraId="7681CA49" w14:textId="77777777" w:rsidR="00EF71C1" w:rsidRPr="00415158" w:rsidRDefault="00EF71C1" w:rsidP="00EF71C1">
            <w:pPr>
              <w:pStyle w:val="TAC"/>
              <w:rPr>
                <w:rFonts w:eastAsiaTheme="minorEastAsia"/>
                <w:lang w:val="en-US"/>
              </w:rPr>
            </w:pPr>
            <w:r w:rsidRPr="00415158">
              <w:rPr>
                <w:rFonts w:eastAsia="SimSun"/>
                <w:lang w:val="en-US"/>
              </w:rPr>
              <w:t>1</w:t>
            </w:r>
          </w:p>
        </w:tc>
        <w:tc>
          <w:tcPr>
            <w:tcW w:w="550" w:type="pct"/>
            <w:tcBorders>
              <w:left w:val="single" w:sz="4" w:space="0" w:color="auto"/>
              <w:right w:val="single" w:sz="4" w:space="0" w:color="auto"/>
            </w:tcBorders>
          </w:tcPr>
          <w:p w14:paraId="6C3A3E1D" w14:textId="3A3066F7" w:rsidR="00EF71C1" w:rsidRPr="00415158" w:rsidRDefault="00EF71C1" w:rsidP="00EF71C1">
            <w:pPr>
              <w:pStyle w:val="TAC"/>
              <w:rPr>
                <w:rFonts w:eastAsiaTheme="minorEastAsia"/>
                <w:lang w:val="en-US"/>
              </w:rPr>
            </w:pPr>
            <w:r>
              <w:rPr>
                <w:rFonts w:eastAsia="SimSun"/>
                <w:lang w:val="en-US"/>
              </w:rPr>
              <w:t>12</w:t>
            </w:r>
          </w:p>
        </w:tc>
        <w:tc>
          <w:tcPr>
            <w:tcW w:w="1100" w:type="pct"/>
            <w:tcBorders>
              <w:top w:val="single" w:sz="4" w:space="0" w:color="auto"/>
              <w:left w:val="single" w:sz="4" w:space="0" w:color="auto"/>
              <w:bottom w:val="single" w:sz="4" w:space="0" w:color="auto"/>
              <w:right w:val="single" w:sz="4" w:space="0" w:color="auto"/>
            </w:tcBorders>
            <w:hideMark/>
          </w:tcPr>
          <w:p w14:paraId="116DD872" w14:textId="77777777" w:rsidR="00EF71C1" w:rsidRPr="00415158" w:rsidRDefault="00EF71C1" w:rsidP="00EF71C1">
            <w:pPr>
              <w:pStyle w:val="TAC"/>
              <w:rPr>
                <w:rFonts w:eastAsiaTheme="minorEastAsia"/>
                <w:lang w:val="en-US"/>
              </w:rPr>
            </w:pPr>
            <w:r w:rsidRPr="00415158">
              <w:rPr>
                <w:rFonts w:eastAsiaTheme="minorEastAsia"/>
                <w:lang w:val="en-US"/>
              </w:rPr>
              <w:t>0.32x</w:t>
            </w:r>
            <w:r w:rsidRPr="00415158">
              <w:rPr>
                <w:rFonts w:eastAsia="SimSun"/>
                <w:lang w:val="en-US"/>
              </w:rPr>
              <w:t>N1x</w:t>
            </w:r>
            <w:r w:rsidRPr="00415158">
              <w:rPr>
                <w:rFonts w:eastAsiaTheme="minorEastAsia"/>
                <w:lang w:val="en-US"/>
              </w:rPr>
              <w:t>(36+M</w:t>
            </w:r>
            <w:r w:rsidRPr="00415158">
              <w:rPr>
                <w:rFonts w:eastAsiaTheme="minorEastAsia"/>
                <w:vertAlign w:val="subscript"/>
                <w:lang w:val="en-US"/>
              </w:rPr>
              <w:t>d</w:t>
            </w:r>
            <w:r w:rsidRPr="00415158">
              <w:rPr>
                <w:rFonts w:eastAsiaTheme="minorEastAsia"/>
                <w:lang w:val="en-US"/>
              </w:rPr>
              <w:t xml:space="preserve">)xM2 </w:t>
            </w:r>
          </w:p>
          <w:p w14:paraId="3E155545" w14:textId="77777777" w:rsidR="00EF71C1" w:rsidRPr="00415158" w:rsidRDefault="00EF71C1" w:rsidP="00EF71C1">
            <w:pPr>
              <w:pStyle w:val="TAC"/>
              <w:rPr>
                <w:rFonts w:eastAsiaTheme="minorEastAsia"/>
                <w:lang w:val="en-US"/>
              </w:rPr>
            </w:pPr>
            <w:r w:rsidRPr="00415158">
              <w:rPr>
                <w:rFonts w:eastAsiaTheme="minorEastAsia"/>
                <w:lang w:val="en-US"/>
              </w:rPr>
              <w:t>{(36+M</w:t>
            </w:r>
            <w:r w:rsidRPr="00415158">
              <w:rPr>
                <w:rFonts w:eastAsiaTheme="minorEastAsia"/>
                <w:vertAlign w:val="subscript"/>
                <w:lang w:val="en-US"/>
              </w:rPr>
              <w:t>d</w:t>
            </w:r>
            <w:r w:rsidRPr="00415158">
              <w:rPr>
                <w:rFonts w:eastAsiaTheme="minorEastAsia"/>
                <w:lang w:val="en-US"/>
              </w:rPr>
              <w:t>)</w:t>
            </w:r>
            <w:r w:rsidRPr="00415158">
              <w:rPr>
                <w:rFonts w:eastAsia="SimSun"/>
                <w:lang w:val="en-US"/>
              </w:rPr>
              <w:t>xN1</w:t>
            </w:r>
            <w:r w:rsidRPr="00415158">
              <w:rPr>
                <w:rFonts w:eastAsiaTheme="minorEastAsia"/>
                <w:lang w:val="en-US"/>
              </w:rPr>
              <w:t>xM2}</w:t>
            </w:r>
          </w:p>
        </w:tc>
        <w:tc>
          <w:tcPr>
            <w:tcW w:w="1101" w:type="pct"/>
            <w:tcBorders>
              <w:top w:val="single" w:sz="4" w:space="0" w:color="auto"/>
              <w:left w:val="single" w:sz="4" w:space="0" w:color="auto"/>
              <w:bottom w:val="single" w:sz="4" w:space="0" w:color="auto"/>
              <w:right w:val="single" w:sz="4" w:space="0" w:color="auto"/>
            </w:tcBorders>
            <w:hideMark/>
          </w:tcPr>
          <w:p w14:paraId="53751953" w14:textId="77777777" w:rsidR="00EF71C1" w:rsidRPr="00415158" w:rsidRDefault="00EF71C1" w:rsidP="00EF71C1">
            <w:pPr>
              <w:pStyle w:val="TAC"/>
              <w:rPr>
                <w:rFonts w:eastAsiaTheme="minorEastAsia"/>
                <w:lang w:val="en-US"/>
              </w:rPr>
            </w:pPr>
            <w:r w:rsidRPr="00415158">
              <w:rPr>
                <w:rFonts w:eastAsiaTheme="minorEastAsia"/>
                <w:lang w:val="en-US"/>
              </w:rPr>
              <w:t>0.32x</w:t>
            </w:r>
            <w:r w:rsidRPr="00415158">
              <w:rPr>
                <w:rFonts w:eastAsia="SimSun"/>
                <w:lang w:val="en-US"/>
              </w:rPr>
              <w:t>N1x</w:t>
            </w:r>
            <w:r w:rsidRPr="00415158">
              <w:rPr>
                <w:rFonts w:eastAsiaTheme="minorEastAsia"/>
                <w:lang w:val="en-US"/>
              </w:rPr>
              <w:t>(4+M</w:t>
            </w:r>
            <w:r w:rsidRPr="00415158">
              <w:rPr>
                <w:rFonts w:eastAsiaTheme="minorEastAsia"/>
                <w:vertAlign w:val="subscript"/>
                <w:lang w:val="en-US"/>
              </w:rPr>
              <w:t>m</w:t>
            </w:r>
            <w:r w:rsidRPr="00415158">
              <w:rPr>
                <w:rFonts w:eastAsiaTheme="minorEastAsia"/>
                <w:lang w:val="en-US"/>
              </w:rPr>
              <w:t>) xM2</w:t>
            </w:r>
          </w:p>
          <w:p w14:paraId="4E595626" w14:textId="77777777" w:rsidR="00EF71C1" w:rsidRPr="00415158" w:rsidRDefault="00EF71C1" w:rsidP="00EF71C1">
            <w:pPr>
              <w:pStyle w:val="TAC"/>
              <w:rPr>
                <w:rFonts w:eastAsiaTheme="minorEastAsia"/>
                <w:lang w:val="en-US"/>
              </w:rPr>
            </w:pPr>
            <w:r w:rsidRPr="00415158">
              <w:rPr>
                <w:rFonts w:eastAsiaTheme="minorEastAsia"/>
                <w:lang w:val="en-US"/>
              </w:rPr>
              <w:t>{(4+M</w:t>
            </w:r>
            <w:r w:rsidRPr="00415158">
              <w:rPr>
                <w:rFonts w:eastAsiaTheme="minorEastAsia"/>
                <w:vertAlign w:val="subscript"/>
                <w:lang w:val="en-US"/>
              </w:rPr>
              <w:t>m</w:t>
            </w:r>
            <w:r w:rsidRPr="00415158">
              <w:rPr>
                <w:rFonts w:eastAsiaTheme="minorEastAsia"/>
                <w:lang w:val="en-US"/>
              </w:rPr>
              <w:t>)</w:t>
            </w:r>
            <w:r w:rsidRPr="00415158">
              <w:rPr>
                <w:rFonts w:eastAsia="SimSun"/>
                <w:lang w:val="en-US"/>
              </w:rPr>
              <w:t>xN1</w:t>
            </w:r>
            <w:r w:rsidRPr="00415158">
              <w:rPr>
                <w:rFonts w:eastAsiaTheme="minorEastAsia"/>
                <w:lang w:val="en-US"/>
              </w:rPr>
              <w:t>xM2}</w:t>
            </w:r>
          </w:p>
        </w:tc>
        <w:tc>
          <w:tcPr>
            <w:tcW w:w="1099" w:type="pct"/>
            <w:tcBorders>
              <w:top w:val="single" w:sz="4" w:space="0" w:color="auto"/>
              <w:left w:val="single" w:sz="4" w:space="0" w:color="auto"/>
              <w:bottom w:val="single" w:sz="4" w:space="0" w:color="auto"/>
              <w:right w:val="single" w:sz="4" w:space="0" w:color="auto"/>
            </w:tcBorders>
            <w:hideMark/>
          </w:tcPr>
          <w:p w14:paraId="544AD734" w14:textId="77777777" w:rsidR="00EF71C1" w:rsidRPr="00415158" w:rsidRDefault="00EF71C1" w:rsidP="00EF71C1">
            <w:pPr>
              <w:pStyle w:val="TAC"/>
              <w:rPr>
                <w:rFonts w:eastAsiaTheme="minorEastAsia"/>
                <w:lang w:val="en-US"/>
              </w:rPr>
            </w:pPr>
            <w:r w:rsidRPr="00415158">
              <w:rPr>
                <w:rFonts w:eastAsiaTheme="minorEastAsia"/>
                <w:lang w:val="en-US"/>
              </w:rPr>
              <w:t>0.32x</w:t>
            </w:r>
            <w:r w:rsidRPr="00415158">
              <w:rPr>
                <w:rFonts w:eastAsia="SimSun"/>
                <w:lang w:val="en-US"/>
              </w:rPr>
              <w:t>N1x</w:t>
            </w:r>
            <w:r w:rsidRPr="00415158">
              <w:rPr>
                <w:rFonts w:eastAsiaTheme="minorEastAsia"/>
                <w:lang w:val="en-US"/>
              </w:rPr>
              <w:t>(16+M</w:t>
            </w:r>
            <w:r w:rsidRPr="00415158">
              <w:rPr>
                <w:rFonts w:eastAsiaTheme="minorEastAsia"/>
                <w:vertAlign w:val="subscript"/>
                <w:lang w:val="en-US"/>
              </w:rPr>
              <w:t>e</w:t>
            </w:r>
            <w:r w:rsidRPr="00415158">
              <w:rPr>
                <w:rFonts w:eastAsiaTheme="minorEastAsia"/>
                <w:lang w:val="en-US"/>
              </w:rPr>
              <w:t>) x M2</w:t>
            </w:r>
          </w:p>
          <w:p w14:paraId="562ED934" w14:textId="77777777" w:rsidR="00EF71C1" w:rsidRPr="00415158" w:rsidRDefault="00EF71C1" w:rsidP="00EF71C1">
            <w:pPr>
              <w:pStyle w:val="TAC"/>
              <w:rPr>
                <w:rFonts w:eastAsiaTheme="minorEastAsia"/>
                <w:lang w:val="en-US"/>
              </w:rPr>
            </w:pPr>
            <w:r w:rsidRPr="00415158">
              <w:rPr>
                <w:rFonts w:eastAsiaTheme="minorEastAsia"/>
                <w:lang w:val="en-US"/>
              </w:rPr>
              <w:t>{(16+M</w:t>
            </w:r>
            <w:r w:rsidRPr="00415158">
              <w:rPr>
                <w:rFonts w:eastAsiaTheme="minorEastAsia"/>
                <w:vertAlign w:val="subscript"/>
                <w:lang w:val="en-US"/>
              </w:rPr>
              <w:t>e</w:t>
            </w:r>
            <w:r w:rsidRPr="00415158">
              <w:rPr>
                <w:rFonts w:eastAsiaTheme="minorEastAsia"/>
                <w:lang w:val="en-US"/>
              </w:rPr>
              <w:t>)</w:t>
            </w:r>
            <w:r w:rsidRPr="00415158">
              <w:rPr>
                <w:rFonts w:eastAsia="SimSun"/>
                <w:lang w:val="en-US"/>
              </w:rPr>
              <w:t>xN1</w:t>
            </w:r>
            <w:r w:rsidRPr="00415158">
              <w:rPr>
                <w:rFonts w:eastAsiaTheme="minorEastAsia"/>
                <w:lang w:val="en-US"/>
              </w:rPr>
              <w:t xml:space="preserve"> xM2}</w:t>
            </w:r>
          </w:p>
        </w:tc>
      </w:tr>
      <w:tr w:rsidR="00EF71C1" w:rsidRPr="00415158" w14:paraId="4034176E" w14:textId="77777777" w:rsidTr="00412C48">
        <w:trPr>
          <w:cantSplit/>
          <w:jc w:val="center"/>
        </w:trPr>
        <w:tc>
          <w:tcPr>
            <w:tcW w:w="600" w:type="pct"/>
            <w:tcBorders>
              <w:top w:val="single" w:sz="4" w:space="0" w:color="auto"/>
              <w:left w:val="single" w:sz="4" w:space="0" w:color="auto"/>
              <w:bottom w:val="single" w:sz="4" w:space="0" w:color="auto"/>
              <w:right w:val="single" w:sz="4" w:space="0" w:color="auto"/>
            </w:tcBorders>
            <w:hideMark/>
          </w:tcPr>
          <w:p w14:paraId="2D1FC886" w14:textId="77777777" w:rsidR="00EF71C1" w:rsidRPr="00415158" w:rsidRDefault="00EF71C1" w:rsidP="00EF71C1">
            <w:pPr>
              <w:pStyle w:val="TAC"/>
              <w:rPr>
                <w:rFonts w:eastAsiaTheme="minorEastAsia"/>
              </w:rPr>
            </w:pPr>
            <w:r w:rsidRPr="00415158">
              <w:rPr>
                <w:rFonts w:eastAsiaTheme="minorEastAsia"/>
              </w:rPr>
              <w:t>0.64</w:t>
            </w:r>
          </w:p>
        </w:tc>
        <w:tc>
          <w:tcPr>
            <w:tcW w:w="550" w:type="pct"/>
            <w:tcBorders>
              <w:top w:val="nil"/>
              <w:left w:val="single" w:sz="4" w:space="0" w:color="auto"/>
              <w:bottom w:val="nil"/>
              <w:right w:val="single" w:sz="4" w:space="0" w:color="auto"/>
            </w:tcBorders>
          </w:tcPr>
          <w:p w14:paraId="375C9732" w14:textId="77777777" w:rsidR="00EF71C1" w:rsidRPr="00415158" w:rsidRDefault="00EF71C1" w:rsidP="00EF71C1">
            <w:pPr>
              <w:pStyle w:val="TAC"/>
              <w:rPr>
                <w:rFonts w:eastAsiaTheme="minorEastAsia"/>
                <w:lang w:val="en-US"/>
              </w:rPr>
            </w:pPr>
          </w:p>
        </w:tc>
        <w:tc>
          <w:tcPr>
            <w:tcW w:w="550" w:type="pct"/>
            <w:tcBorders>
              <w:left w:val="single" w:sz="4" w:space="0" w:color="auto"/>
              <w:right w:val="single" w:sz="4" w:space="0" w:color="auto"/>
            </w:tcBorders>
          </w:tcPr>
          <w:p w14:paraId="76211CD2" w14:textId="6DEAD563" w:rsidR="00EF71C1" w:rsidRPr="00415158" w:rsidRDefault="00EF71C1" w:rsidP="00EF71C1">
            <w:pPr>
              <w:pStyle w:val="TAC"/>
              <w:rPr>
                <w:rFonts w:eastAsiaTheme="minorEastAsia"/>
                <w:lang w:val="en-US"/>
              </w:rPr>
            </w:pPr>
            <w:r>
              <w:rPr>
                <w:rFonts w:eastAsia="SimSun"/>
                <w:lang w:val="en-US"/>
              </w:rPr>
              <w:t>8</w:t>
            </w:r>
          </w:p>
        </w:tc>
        <w:tc>
          <w:tcPr>
            <w:tcW w:w="1100" w:type="pct"/>
            <w:tcBorders>
              <w:top w:val="single" w:sz="4" w:space="0" w:color="auto"/>
              <w:left w:val="single" w:sz="4" w:space="0" w:color="auto"/>
              <w:bottom w:val="single" w:sz="4" w:space="0" w:color="auto"/>
              <w:right w:val="single" w:sz="4" w:space="0" w:color="auto"/>
            </w:tcBorders>
            <w:hideMark/>
          </w:tcPr>
          <w:p w14:paraId="6F5BA550" w14:textId="77777777" w:rsidR="00EF71C1" w:rsidRPr="00415158" w:rsidRDefault="00EF71C1" w:rsidP="00EF71C1">
            <w:pPr>
              <w:pStyle w:val="TAC"/>
              <w:rPr>
                <w:rFonts w:eastAsiaTheme="minorEastAsia"/>
                <w:lang w:val="en-US"/>
              </w:rPr>
            </w:pPr>
            <w:r w:rsidRPr="00415158">
              <w:rPr>
                <w:rFonts w:eastAsiaTheme="minorEastAsia"/>
                <w:lang w:val="en-US"/>
              </w:rPr>
              <w:t>0.64x</w:t>
            </w:r>
            <w:r w:rsidRPr="00415158">
              <w:rPr>
                <w:rFonts w:eastAsia="SimSun"/>
                <w:lang w:val="en-US"/>
              </w:rPr>
              <w:t>N1x</w:t>
            </w:r>
            <w:r w:rsidRPr="00415158">
              <w:rPr>
                <w:rFonts w:eastAsiaTheme="minorEastAsia"/>
                <w:lang w:val="en-US"/>
              </w:rPr>
              <w:t>(28+M</w:t>
            </w:r>
            <w:r w:rsidRPr="00415158">
              <w:rPr>
                <w:rFonts w:eastAsiaTheme="minorEastAsia"/>
                <w:vertAlign w:val="subscript"/>
                <w:lang w:val="en-US"/>
              </w:rPr>
              <w:t>d</w:t>
            </w:r>
            <w:r w:rsidRPr="00415158">
              <w:rPr>
                <w:rFonts w:eastAsiaTheme="minorEastAsia"/>
                <w:lang w:val="en-US"/>
              </w:rPr>
              <w:t xml:space="preserve">)  </w:t>
            </w:r>
          </w:p>
          <w:p w14:paraId="29E1E62D" w14:textId="77777777" w:rsidR="00EF71C1" w:rsidRPr="00415158" w:rsidRDefault="00EF71C1" w:rsidP="00EF71C1">
            <w:pPr>
              <w:pStyle w:val="TAC"/>
              <w:rPr>
                <w:rFonts w:eastAsiaTheme="minorEastAsia"/>
                <w:lang w:val="en-US"/>
              </w:rPr>
            </w:pPr>
            <w:r w:rsidRPr="00415158">
              <w:rPr>
                <w:rFonts w:eastAsiaTheme="minorEastAsia"/>
                <w:lang w:val="en-US"/>
              </w:rPr>
              <w:t>{(28+M</w:t>
            </w:r>
            <w:r w:rsidRPr="00415158">
              <w:rPr>
                <w:rFonts w:eastAsiaTheme="minorEastAsia"/>
                <w:vertAlign w:val="subscript"/>
                <w:lang w:val="en-US"/>
              </w:rPr>
              <w:t>d</w:t>
            </w:r>
            <w:r w:rsidRPr="00415158">
              <w:rPr>
                <w:rFonts w:eastAsia="SimSun"/>
                <w:lang w:val="en-US"/>
              </w:rPr>
              <w:t>)xN1</w:t>
            </w:r>
            <w:r w:rsidRPr="00415158">
              <w:rPr>
                <w:rFonts w:eastAsiaTheme="minorEastAsia"/>
                <w:lang w:val="en-US"/>
              </w:rPr>
              <w:t xml:space="preserve"> }</w:t>
            </w:r>
          </w:p>
        </w:tc>
        <w:tc>
          <w:tcPr>
            <w:tcW w:w="1101" w:type="pct"/>
            <w:tcBorders>
              <w:top w:val="single" w:sz="4" w:space="0" w:color="auto"/>
              <w:left w:val="single" w:sz="4" w:space="0" w:color="auto"/>
              <w:bottom w:val="single" w:sz="4" w:space="0" w:color="auto"/>
              <w:right w:val="single" w:sz="4" w:space="0" w:color="auto"/>
            </w:tcBorders>
            <w:hideMark/>
          </w:tcPr>
          <w:p w14:paraId="5A48066A" w14:textId="77777777" w:rsidR="00EF71C1" w:rsidRPr="00415158" w:rsidRDefault="00EF71C1" w:rsidP="00EF71C1">
            <w:pPr>
              <w:pStyle w:val="TAC"/>
              <w:rPr>
                <w:rFonts w:eastAsiaTheme="minorEastAsia"/>
                <w:lang w:val="en-US"/>
              </w:rPr>
            </w:pPr>
            <w:r w:rsidRPr="00415158">
              <w:rPr>
                <w:rFonts w:eastAsiaTheme="minorEastAsia"/>
                <w:lang w:val="sv-SE"/>
              </w:rPr>
              <w:t>0.64x</w:t>
            </w:r>
            <w:r w:rsidRPr="00415158">
              <w:rPr>
                <w:rFonts w:eastAsia="SimSun"/>
                <w:lang w:val="en-US"/>
              </w:rPr>
              <w:t>N1x</w:t>
            </w:r>
            <w:r w:rsidRPr="00415158">
              <w:rPr>
                <w:rFonts w:eastAsiaTheme="minorEastAsia"/>
                <w:lang w:val="sv-SE"/>
              </w:rPr>
              <w:t>(2+M</w:t>
            </w:r>
            <w:r w:rsidRPr="00415158">
              <w:rPr>
                <w:rFonts w:eastAsiaTheme="minorEastAsia"/>
                <w:vertAlign w:val="subscript"/>
                <w:lang w:val="sv-SE"/>
              </w:rPr>
              <w:t>m</w:t>
            </w:r>
            <w:r w:rsidRPr="00415158">
              <w:rPr>
                <w:rFonts w:eastAsiaTheme="minorEastAsia"/>
                <w:lang w:val="sv-SE"/>
              </w:rPr>
              <w:t xml:space="preserve">) </w:t>
            </w:r>
          </w:p>
          <w:p w14:paraId="182B07F2" w14:textId="77777777" w:rsidR="00EF71C1" w:rsidRPr="00415158" w:rsidRDefault="00EF71C1" w:rsidP="00EF71C1">
            <w:pPr>
              <w:pStyle w:val="TAC"/>
              <w:rPr>
                <w:rFonts w:eastAsiaTheme="minorEastAsia"/>
                <w:lang w:val="en-US"/>
              </w:rPr>
            </w:pPr>
            <w:r w:rsidRPr="00415158">
              <w:rPr>
                <w:rFonts w:eastAsiaTheme="minorEastAsia"/>
                <w:lang w:val="en-US"/>
              </w:rPr>
              <w:t>{(2+M</w:t>
            </w:r>
            <w:r w:rsidRPr="00415158">
              <w:rPr>
                <w:rFonts w:eastAsiaTheme="minorEastAsia"/>
                <w:vertAlign w:val="subscript"/>
                <w:lang w:val="en-US"/>
              </w:rPr>
              <w:t>m</w:t>
            </w:r>
            <w:r w:rsidRPr="00415158">
              <w:rPr>
                <w:rFonts w:eastAsia="SimSun"/>
                <w:lang w:val="en-US"/>
              </w:rPr>
              <w:t>)xN1</w:t>
            </w:r>
            <w:r w:rsidRPr="00415158">
              <w:rPr>
                <w:rFonts w:eastAsiaTheme="minorEastAsia"/>
                <w:lang w:val="en-US"/>
              </w:rPr>
              <w:t xml:space="preserve"> }</w:t>
            </w:r>
          </w:p>
        </w:tc>
        <w:tc>
          <w:tcPr>
            <w:tcW w:w="1099" w:type="pct"/>
            <w:tcBorders>
              <w:top w:val="single" w:sz="4" w:space="0" w:color="auto"/>
              <w:left w:val="single" w:sz="4" w:space="0" w:color="auto"/>
              <w:bottom w:val="single" w:sz="4" w:space="0" w:color="auto"/>
              <w:right w:val="single" w:sz="4" w:space="0" w:color="auto"/>
            </w:tcBorders>
            <w:hideMark/>
          </w:tcPr>
          <w:p w14:paraId="45DC96EC" w14:textId="77777777" w:rsidR="00EF71C1" w:rsidRPr="00415158" w:rsidRDefault="00EF71C1" w:rsidP="00EF71C1">
            <w:pPr>
              <w:pStyle w:val="TAC"/>
              <w:rPr>
                <w:rFonts w:eastAsiaTheme="minorEastAsia"/>
                <w:lang w:val="en-US"/>
              </w:rPr>
            </w:pPr>
            <w:r w:rsidRPr="00415158">
              <w:rPr>
                <w:rFonts w:eastAsiaTheme="minorEastAsia"/>
                <w:lang w:val="en-US"/>
              </w:rPr>
              <w:t>0.64x</w:t>
            </w:r>
            <w:r w:rsidRPr="00415158">
              <w:rPr>
                <w:rFonts w:eastAsia="SimSun"/>
                <w:lang w:val="en-US"/>
              </w:rPr>
              <w:t>N1x</w:t>
            </w:r>
            <w:r w:rsidRPr="00415158">
              <w:rPr>
                <w:rFonts w:eastAsiaTheme="minorEastAsia"/>
                <w:lang w:val="en-US"/>
              </w:rPr>
              <w:t>(8+M</w:t>
            </w:r>
            <w:r w:rsidRPr="00415158">
              <w:rPr>
                <w:rFonts w:eastAsiaTheme="minorEastAsia"/>
                <w:vertAlign w:val="subscript"/>
                <w:lang w:val="en-US"/>
              </w:rPr>
              <w:t>e</w:t>
            </w:r>
            <w:r w:rsidRPr="00415158">
              <w:rPr>
                <w:rFonts w:eastAsiaTheme="minorEastAsia"/>
                <w:lang w:val="en-US"/>
              </w:rPr>
              <w:t xml:space="preserve">) </w:t>
            </w:r>
          </w:p>
          <w:p w14:paraId="3A96A491" w14:textId="77777777" w:rsidR="00EF71C1" w:rsidRPr="00415158" w:rsidRDefault="00EF71C1" w:rsidP="00EF71C1">
            <w:pPr>
              <w:pStyle w:val="TAC"/>
              <w:rPr>
                <w:rFonts w:eastAsiaTheme="minorEastAsia"/>
                <w:lang w:val="en-US"/>
              </w:rPr>
            </w:pPr>
            <w:r w:rsidRPr="00415158">
              <w:rPr>
                <w:rFonts w:eastAsiaTheme="minorEastAsia"/>
                <w:lang w:val="en-US"/>
              </w:rPr>
              <w:t>{(8+M</w:t>
            </w:r>
            <w:r w:rsidRPr="00415158">
              <w:rPr>
                <w:rFonts w:eastAsiaTheme="minorEastAsia"/>
                <w:vertAlign w:val="subscript"/>
                <w:lang w:val="en-US"/>
              </w:rPr>
              <w:t>e</w:t>
            </w:r>
            <w:r w:rsidRPr="00415158">
              <w:rPr>
                <w:rFonts w:eastAsia="SimSun"/>
                <w:lang w:val="en-US"/>
              </w:rPr>
              <w:t>)xN1</w:t>
            </w:r>
            <w:r w:rsidRPr="00415158">
              <w:rPr>
                <w:rFonts w:eastAsiaTheme="minorEastAsia"/>
                <w:lang w:val="en-US"/>
              </w:rPr>
              <w:t xml:space="preserve"> }</w:t>
            </w:r>
          </w:p>
        </w:tc>
      </w:tr>
      <w:tr w:rsidR="00EF71C1" w:rsidRPr="00415158" w14:paraId="6BCE9C5F" w14:textId="77777777" w:rsidTr="00412C48">
        <w:trPr>
          <w:cantSplit/>
          <w:jc w:val="center"/>
        </w:trPr>
        <w:tc>
          <w:tcPr>
            <w:tcW w:w="600" w:type="pct"/>
            <w:tcBorders>
              <w:top w:val="single" w:sz="4" w:space="0" w:color="auto"/>
              <w:left w:val="single" w:sz="4" w:space="0" w:color="auto"/>
              <w:bottom w:val="single" w:sz="4" w:space="0" w:color="auto"/>
              <w:right w:val="single" w:sz="4" w:space="0" w:color="auto"/>
            </w:tcBorders>
            <w:hideMark/>
          </w:tcPr>
          <w:p w14:paraId="2973BF1D" w14:textId="77777777" w:rsidR="00EF71C1" w:rsidRPr="00415158" w:rsidRDefault="00EF71C1" w:rsidP="00EF71C1">
            <w:pPr>
              <w:pStyle w:val="TAC"/>
              <w:rPr>
                <w:rFonts w:eastAsiaTheme="minorEastAsia"/>
              </w:rPr>
            </w:pPr>
            <w:r w:rsidRPr="00415158">
              <w:rPr>
                <w:rFonts w:eastAsiaTheme="minorEastAsia"/>
              </w:rPr>
              <w:t>1.28</w:t>
            </w:r>
          </w:p>
        </w:tc>
        <w:tc>
          <w:tcPr>
            <w:tcW w:w="550" w:type="pct"/>
            <w:tcBorders>
              <w:top w:val="nil"/>
              <w:left w:val="single" w:sz="4" w:space="0" w:color="auto"/>
              <w:bottom w:val="nil"/>
              <w:right w:val="single" w:sz="4" w:space="0" w:color="auto"/>
            </w:tcBorders>
          </w:tcPr>
          <w:p w14:paraId="58778171" w14:textId="77777777" w:rsidR="00EF71C1" w:rsidRPr="00415158" w:rsidRDefault="00EF71C1" w:rsidP="00EF71C1">
            <w:pPr>
              <w:pStyle w:val="TAC"/>
              <w:rPr>
                <w:rFonts w:eastAsiaTheme="minorEastAsia"/>
                <w:lang w:val="en-US"/>
              </w:rPr>
            </w:pPr>
          </w:p>
        </w:tc>
        <w:tc>
          <w:tcPr>
            <w:tcW w:w="550" w:type="pct"/>
            <w:tcBorders>
              <w:left w:val="single" w:sz="4" w:space="0" w:color="auto"/>
              <w:right w:val="single" w:sz="4" w:space="0" w:color="auto"/>
            </w:tcBorders>
          </w:tcPr>
          <w:p w14:paraId="7BADB7F2" w14:textId="650937FD" w:rsidR="00EF71C1" w:rsidRPr="00415158" w:rsidRDefault="00EF71C1" w:rsidP="00EF71C1">
            <w:pPr>
              <w:pStyle w:val="TAC"/>
              <w:rPr>
                <w:rFonts w:eastAsiaTheme="minorEastAsia"/>
                <w:lang w:val="en-US"/>
              </w:rPr>
            </w:pPr>
            <w:r>
              <w:rPr>
                <w:rFonts w:eastAsia="SimSun"/>
                <w:lang w:val="en-US"/>
              </w:rPr>
              <w:t>6</w:t>
            </w:r>
          </w:p>
        </w:tc>
        <w:tc>
          <w:tcPr>
            <w:tcW w:w="1100" w:type="pct"/>
            <w:tcBorders>
              <w:top w:val="single" w:sz="4" w:space="0" w:color="auto"/>
              <w:left w:val="single" w:sz="4" w:space="0" w:color="auto"/>
              <w:bottom w:val="single" w:sz="4" w:space="0" w:color="auto"/>
              <w:right w:val="single" w:sz="4" w:space="0" w:color="auto"/>
            </w:tcBorders>
            <w:hideMark/>
          </w:tcPr>
          <w:p w14:paraId="5276AE55" w14:textId="77777777" w:rsidR="00EF71C1" w:rsidRPr="00415158" w:rsidRDefault="00EF71C1" w:rsidP="00EF71C1">
            <w:pPr>
              <w:pStyle w:val="TAC"/>
              <w:rPr>
                <w:rFonts w:eastAsiaTheme="minorEastAsia"/>
                <w:lang w:val="en-US"/>
              </w:rPr>
            </w:pPr>
            <w:r w:rsidRPr="00415158">
              <w:rPr>
                <w:rFonts w:eastAsiaTheme="minorEastAsia"/>
                <w:lang w:val="en-US"/>
              </w:rPr>
              <w:t>1.28x</w:t>
            </w:r>
            <w:r w:rsidRPr="00415158">
              <w:rPr>
                <w:rFonts w:eastAsia="SimSun"/>
                <w:lang w:val="en-US"/>
              </w:rPr>
              <w:t>N1x</w:t>
            </w:r>
            <w:r w:rsidRPr="00415158">
              <w:rPr>
                <w:rFonts w:eastAsiaTheme="minorEastAsia"/>
                <w:lang w:val="en-US"/>
              </w:rPr>
              <w:t>(25+M</w:t>
            </w:r>
            <w:r w:rsidRPr="00415158">
              <w:rPr>
                <w:rFonts w:eastAsiaTheme="minorEastAsia"/>
                <w:vertAlign w:val="subscript"/>
                <w:lang w:val="en-US"/>
              </w:rPr>
              <w:t>d</w:t>
            </w:r>
            <w:r w:rsidRPr="00415158">
              <w:rPr>
                <w:rFonts w:eastAsiaTheme="minorEastAsia"/>
                <w:lang w:val="en-US"/>
              </w:rPr>
              <w:t>)</w:t>
            </w:r>
          </w:p>
          <w:p w14:paraId="2E0AD09E" w14:textId="77777777" w:rsidR="00EF71C1" w:rsidRPr="00415158" w:rsidRDefault="00EF71C1" w:rsidP="00EF71C1">
            <w:pPr>
              <w:pStyle w:val="TAC"/>
              <w:rPr>
                <w:rFonts w:eastAsiaTheme="minorEastAsia"/>
                <w:lang w:val="en-US"/>
              </w:rPr>
            </w:pPr>
            <w:r w:rsidRPr="00415158">
              <w:rPr>
                <w:rFonts w:eastAsiaTheme="minorEastAsia"/>
                <w:lang w:val="en-US"/>
              </w:rPr>
              <w:t>{(25+M</w:t>
            </w:r>
            <w:r w:rsidRPr="00415158">
              <w:rPr>
                <w:rFonts w:eastAsiaTheme="minorEastAsia"/>
                <w:vertAlign w:val="subscript"/>
                <w:lang w:val="en-US"/>
              </w:rPr>
              <w:t>d</w:t>
            </w:r>
            <w:r w:rsidRPr="00415158">
              <w:rPr>
                <w:rFonts w:eastAsia="SimSun"/>
                <w:lang w:val="en-US"/>
              </w:rPr>
              <w:t>)xN1</w:t>
            </w:r>
            <w:r w:rsidRPr="00415158">
              <w:rPr>
                <w:rFonts w:eastAsiaTheme="minorEastAsia"/>
                <w:lang w:val="en-US"/>
              </w:rPr>
              <w:t xml:space="preserve"> }</w:t>
            </w:r>
          </w:p>
        </w:tc>
        <w:tc>
          <w:tcPr>
            <w:tcW w:w="1101" w:type="pct"/>
            <w:tcBorders>
              <w:top w:val="single" w:sz="4" w:space="0" w:color="auto"/>
              <w:left w:val="single" w:sz="4" w:space="0" w:color="auto"/>
              <w:bottom w:val="single" w:sz="4" w:space="0" w:color="auto"/>
              <w:right w:val="single" w:sz="4" w:space="0" w:color="auto"/>
            </w:tcBorders>
            <w:hideMark/>
          </w:tcPr>
          <w:p w14:paraId="6FF1F9CA" w14:textId="77777777" w:rsidR="00EF71C1" w:rsidRPr="00415158" w:rsidRDefault="00EF71C1" w:rsidP="00EF71C1">
            <w:pPr>
              <w:pStyle w:val="TAC"/>
              <w:rPr>
                <w:rFonts w:eastAsiaTheme="minorEastAsia"/>
                <w:lang w:val="en-US"/>
              </w:rPr>
            </w:pPr>
            <w:r w:rsidRPr="00415158">
              <w:rPr>
                <w:rFonts w:eastAsiaTheme="minorEastAsia"/>
                <w:lang w:val="sv-SE"/>
              </w:rPr>
              <w:t>1.28x</w:t>
            </w:r>
            <w:r w:rsidRPr="00415158">
              <w:rPr>
                <w:rFonts w:eastAsia="SimSun"/>
                <w:lang w:val="en-US"/>
              </w:rPr>
              <w:t>N1x</w:t>
            </w:r>
            <w:r w:rsidRPr="00415158">
              <w:rPr>
                <w:rFonts w:eastAsiaTheme="minorEastAsia"/>
                <w:lang w:val="sv-SE"/>
              </w:rPr>
              <w:t>(1+M</w:t>
            </w:r>
            <w:r w:rsidRPr="00415158">
              <w:rPr>
                <w:rFonts w:eastAsiaTheme="minorEastAsia"/>
                <w:vertAlign w:val="subscript"/>
                <w:lang w:val="sv-SE"/>
              </w:rPr>
              <w:t>m</w:t>
            </w:r>
            <w:r w:rsidRPr="00415158">
              <w:rPr>
                <w:rFonts w:eastAsiaTheme="minorEastAsia"/>
                <w:lang w:val="sv-SE"/>
              </w:rPr>
              <w:t>)</w:t>
            </w:r>
          </w:p>
          <w:p w14:paraId="3108A3A9" w14:textId="77777777" w:rsidR="00EF71C1" w:rsidRPr="00415158" w:rsidRDefault="00EF71C1" w:rsidP="00EF71C1">
            <w:pPr>
              <w:pStyle w:val="TAC"/>
              <w:rPr>
                <w:rFonts w:eastAsiaTheme="minorEastAsia"/>
                <w:lang w:val="en-US"/>
              </w:rPr>
            </w:pPr>
            <w:r w:rsidRPr="00415158">
              <w:rPr>
                <w:rFonts w:eastAsiaTheme="minorEastAsia"/>
                <w:lang w:val="en-US"/>
              </w:rPr>
              <w:t>{(1+M</w:t>
            </w:r>
            <w:r w:rsidRPr="00415158">
              <w:rPr>
                <w:rFonts w:eastAsiaTheme="minorEastAsia"/>
                <w:vertAlign w:val="subscript"/>
                <w:lang w:val="en-US"/>
              </w:rPr>
              <w:t>m</w:t>
            </w:r>
            <w:r w:rsidRPr="00415158">
              <w:rPr>
                <w:rFonts w:eastAsia="SimSun"/>
                <w:lang w:val="en-US"/>
              </w:rPr>
              <w:t>)xN1</w:t>
            </w:r>
            <w:r w:rsidRPr="00415158">
              <w:rPr>
                <w:rFonts w:eastAsiaTheme="minorEastAsia"/>
                <w:lang w:val="en-US"/>
              </w:rPr>
              <w:t xml:space="preserve"> }</w:t>
            </w:r>
          </w:p>
        </w:tc>
        <w:tc>
          <w:tcPr>
            <w:tcW w:w="1099" w:type="pct"/>
            <w:tcBorders>
              <w:top w:val="single" w:sz="4" w:space="0" w:color="auto"/>
              <w:left w:val="single" w:sz="4" w:space="0" w:color="auto"/>
              <w:bottom w:val="single" w:sz="4" w:space="0" w:color="auto"/>
              <w:right w:val="single" w:sz="4" w:space="0" w:color="auto"/>
            </w:tcBorders>
            <w:hideMark/>
          </w:tcPr>
          <w:p w14:paraId="337B45D0" w14:textId="77777777" w:rsidR="00EF71C1" w:rsidRPr="00415158" w:rsidRDefault="00EF71C1" w:rsidP="00EF71C1">
            <w:pPr>
              <w:pStyle w:val="TAC"/>
              <w:rPr>
                <w:rFonts w:eastAsiaTheme="minorEastAsia"/>
                <w:lang w:val="en-US"/>
              </w:rPr>
            </w:pPr>
            <w:r w:rsidRPr="00415158">
              <w:rPr>
                <w:rFonts w:eastAsiaTheme="minorEastAsia"/>
                <w:lang w:val="en-US"/>
              </w:rPr>
              <w:t>1.28x</w:t>
            </w:r>
            <w:r w:rsidRPr="00415158">
              <w:rPr>
                <w:rFonts w:eastAsia="SimSun"/>
                <w:lang w:val="en-US"/>
              </w:rPr>
              <w:t>N1x</w:t>
            </w:r>
            <w:r w:rsidRPr="00415158">
              <w:rPr>
                <w:rFonts w:eastAsiaTheme="minorEastAsia"/>
                <w:lang w:val="en-US"/>
              </w:rPr>
              <w:t>(5+M</w:t>
            </w:r>
            <w:r w:rsidRPr="00415158">
              <w:rPr>
                <w:rFonts w:eastAsiaTheme="minorEastAsia"/>
                <w:vertAlign w:val="subscript"/>
                <w:lang w:val="en-US"/>
              </w:rPr>
              <w:t>e</w:t>
            </w:r>
            <w:r w:rsidRPr="00415158">
              <w:rPr>
                <w:rFonts w:eastAsiaTheme="minorEastAsia"/>
                <w:lang w:val="en-US"/>
              </w:rPr>
              <w:t xml:space="preserve">) </w:t>
            </w:r>
          </w:p>
          <w:p w14:paraId="1B3217FA" w14:textId="77777777" w:rsidR="00EF71C1" w:rsidRPr="00415158" w:rsidRDefault="00EF71C1" w:rsidP="00EF71C1">
            <w:pPr>
              <w:pStyle w:val="TAC"/>
              <w:rPr>
                <w:rFonts w:eastAsiaTheme="minorEastAsia"/>
                <w:lang w:val="en-US"/>
              </w:rPr>
            </w:pPr>
            <w:r w:rsidRPr="00415158">
              <w:rPr>
                <w:rFonts w:eastAsiaTheme="minorEastAsia"/>
                <w:lang w:val="en-US"/>
              </w:rPr>
              <w:t>{(5+M</w:t>
            </w:r>
            <w:r w:rsidRPr="00415158">
              <w:rPr>
                <w:rFonts w:eastAsiaTheme="minorEastAsia"/>
                <w:vertAlign w:val="subscript"/>
                <w:lang w:val="en-US"/>
              </w:rPr>
              <w:t>e</w:t>
            </w:r>
            <w:r w:rsidRPr="00415158">
              <w:rPr>
                <w:rFonts w:eastAsia="SimSun"/>
                <w:lang w:val="en-US"/>
              </w:rPr>
              <w:t>)xN1</w:t>
            </w:r>
            <w:r w:rsidRPr="00415158">
              <w:rPr>
                <w:rFonts w:eastAsiaTheme="minorEastAsia"/>
                <w:lang w:val="en-US"/>
              </w:rPr>
              <w:t>}</w:t>
            </w:r>
          </w:p>
        </w:tc>
      </w:tr>
      <w:tr w:rsidR="00EF71C1" w:rsidRPr="00415158" w14:paraId="342B9871" w14:textId="77777777" w:rsidTr="00412C48">
        <w:trPr>
          <w:cantSplit/>
          <w:jc w:val="center"/>
        </w:trPr>
        <w:tc>
          <w:tcPr>
            <w:tcW w:w="600" w:type="pct"/>
            <w:tcBorders>
              <w:top w:val="single" w:sz="4" w:space="0" w:color="auto"/>
              <w:left w:val="single" w:sz="4" w:space="0" w:color="auto"/>
              <w:bottom w:val="single" w:sz="4" w:space="0" w:color="auto"/>
              <w:right w:val="single" w:sz="4" w:space="0" w:color="auto"/>
            </w:tcBorders>
            <w:hideMark/>
          </w:tcPr>
          <w:p w14:paraId="7051DE72" w14:textId="77777777" w:rsidR="00EF71C1" w:rsidRPr="00415158" w:rsidRDefault="00EF71C1" w:rsidP="00EF71C1">
            <w:pPr>
              <w:pStyle w:val="TAC"/>
              <w:rPr>
                <w:rFonts w:eastAsiaTheme="minorEastAsia"/>
              </w:rPr>
            </w:pPr>
            <w:r w:rsidRPr="00415158">
              <w:rPr>
                <w:rFonts w:eastAsiaTheme="minorEastAsia"/>
              </w:rPr>
              <w:t>2.56</w:t>
            </w:r>
          </w:p>
        </w:tc>
        <w:tc>
          <w:tcPr>
            <w:tcW w:w="550" w:type="pct"/>
            <w:tcBorders>
              <w:top w:val="nil"/>
              <w:left w:val="single" w:sz="4" w:space="0" w:color="auto"/>
              <w:bottom w:val="single" w:sz="4" w:space="0" w:color="auto"/>
              <w:right w:val="single" w:sz="4" w:space="0" w:color="auto"/>
            </w:tcBorders>
          </w:tcPr>
          <w:p w14:paraId="0FCFB806" w14:textId="77777777" w:rsidR="00EF71C1" w:rsidRPr="00415158" w:rsidRDefault="00EF71C1" w:rsidP="00EF71C1">
            <w:pPr>
              <w:pStyle w:val="TAC"/>
              <w:rPr>
                <w:rFonts w:eastAsiaTheme="minorEastAsia" w:cs="Arial"/>
                <w:lang w:val="en-US" w:eastAsia="zh-CN"/>
              </w:rPr>
            </w:pPr>
          </w:p>
        </w:tc>
        <w:tc>
          <w:tcPr>
            <w:tcW w:w="550" w:type="pct"/>
            <w:tcBorders>
              <w:left w:val="single" w:sz="4" w:space="0" w:color="auto"/>
              <w:bottom w:val="single" w:sz="4" w:space="0" w:color="auto"/>
              <w:right w:val="single" w:sz="4" w:space="0" w:color="auto"/>
            </w:tcBorders>
          </w:tcPr>
          <w:p w14:paraId="2ED3745B" w14:textId="2DB5DD06" w:rsidR="00EF71C1" w:rsidRPr="00415158" w:rsidRDefault="00EF71C1" w:rsidP="00EF71C1">
            <w:pPr>
              <w:pStyle w:val="TAC"/>
              <w:rPr>
                <w:rFonts w:eastAsiaTheme="minorEastAsia" w:cs="Arial"/>
                <w:lang w:val="en-US" w:eastAsia="zh-CN"/>
              </w:rPr>
            </w:pPr>
            <w:r>
              <w:rPr>
                <w:rFonts w:eastAsia="SimSun"/>
                <w:lang w:val="en-US"/>
              </w:rPr>
              <w:t>5</w:t>
            </w:r>
          </w:p>
        </w:tc>
        <w:tc>
          <w:tcPr>
            <w:tcW w:w="1100" w:type="pct"/>
            <w:tcBorders>
              <w:top w:val="single" w:sz="4" w:space="0" w:color="auto"/>
              <w:left w:val="single" w:sz="4" w:space="0" w:color="auto"/>
              <w:bottom w:val="single" w:sz="4" w:space="0" w:color="auto"/>
              <w:right w:val="single" w:sz="4" w:space="0" w:color="auto"/>
            </w:tcBorders>
            <w:hideMark/>
          </w:tcPr>
          <w:p w14:paraId="0123870D" w14:textId="77777777" w:rsidR="00EF71C1" w:rsidRPr="00415158" w:rsidRDefault="00EF71C1" w:rsidP="00EF71C1">
            <w:pPr>
              <w:pStyle w:val="TAC"/>
              <w:rPr>
                <w:rFonts w:eastAsiaTheme="minorEastAsia" w:cs="Arial"/>
                <w:lang w:val="en-US" w:eastAsia="zh-CN"/>
              </w:rPr>
            </w:pPr>
            <w:r w:rsidRPr="00415158">
              <w:rPr>
                <w:rFonts w:eastAsiaTheme="minorEastAsia" w:cs="Arial"/>
                <w:lang w:val="en-US" w:eastAsia="zh-CN"/>
              </w:rPr>
              <w:t>2.56x</w:t>
            </w:r>
            <w:r w:rsidRPr="00415158">
              <w:rPr>
                <w:rFonts w:eastAsia="SimSun"/>
                <w:lang w:val="en-US"/>
              </w:rPr>
              <w:t>N1x</w:t>
            </w:r>
            <w:r w:rsidRPr="00415158">
              <w:rPr>
                <w:rFonts w:eastAsiaTheme="minorEastAsia" w:cs="Arial"/>
                <w:lang w:val="en-US" w:eastAsia="zh-CN"/>
              </w:rPr>
              <w:t>(23+M</w:t>
            </w:r>
            <w:r w:rsidRPr="00415158">
              <w:rPr>
                <w:rFonts w:eastAsiaTheme="minorEastAsia" w:cs="Arial"/>
                <w:vertAlign w:val="subscript"/>
                <w:lang w:val="en-US" w:eastAsia="zh-CN"/>
              </w:rPr>
              <w:t>d</w:t>
            </w:r>
            <w:r w:rsidRPr="00415158">
              <w:rPr>
                <w:rFonts w:eastAsiaTheme="minorEastAsia" w:cs="Arial"/>
                <w:lang w:val="en-US" w:eastAsia="zh-CN"/>
              </w:rPr>
              <w:t>)</w:t>
            </w:r>
          </w:p>
          <w:p w14:paraId="4B00B5D8" w14:textId="77777777" w:rsidR="00EF71C1" w:rsidRPr="00415158" w:rsidRDefault="00EF71C1" w:rsidP="00EF71C1">
            <w:pPr>
              <w:pStyle w:val="TAC"/>
              <w:rPr>
                <w:rFonts w:eastAsiaTheme="minorEastAsia" w:cs="Arial"/>
                <w:lang w:val="en-US" w:eastAsia="zh-CN"/>
              </w:rPr>
            </w:pPr>
            <w:r w:rsidRPr="00415158">
              <w:rPr>
                <w:rFonts w:eastAsiaTheme="minorEastAsia" w:cs="Arial"/>
                <w:lang w:val="en-US" w:eastAsia="zh-CN"/>
              </w:rPr>
              <w:t>{(23+M</w:t>
            </w:r>
            <w:r w:rsidRPr="00415158">
              <w:rPr>
                <w:rFonts w:eastAsiaTheme="minorEastAsia" w:cs="Arial"/>
                <w:vertAlign w:val="subscript"/>
                <w:lang w:val="en-US" w:eastAsia="zh-CN"/>
              </w:rPr>
              <w:t>d</w:t>
            </w:r>
            <w:r w:rsidRPr="00415158">
              <w:rPr>
                <w:rFonts w:eastAsia="SimSun"/>
                <w:lang w:val="en-US"/>
              </w:rPr>
              <w:t>)xN1</w:t>
            </w:r>
            <w:r w:rsidRPr="00415158">
              <w:rPr>
                <w:rFonts w:eastAsiaTheme="minorEastAsia" w:cs="Arial"/>
                <w:lang w:val="en-US" w:eastAsia="zh-CN"/>
              </w:rPr>
              <w:t xml:space="preserve"> }</w:t>
            </w:r>
          </w:p>
        </w:tc>
        <w:tc>
          <w:tcPr>
            <w:tcW w:w="1101" w:type="pct"/>
            <w:tcBorders>
              <w:top w:val="single" w:sz="4" w:space="0" w:color="auto"/>
              <w:left w:val="single" w:sz="4" w:space="0" w:color="auto"/>
              <w:bottom w:val="single" w:sz="4" w:space="0" w:color="auto"/>
              <w:right w:val="single" w:sz="4" w:space="0" w:color="auto"/>
            </w:tcBorders>
            <w:hideMark/>
          </w:tcPr>
          <w:p w14:paraId="754CFB2E" w14:textId="77777777" w:rsidR="00EF71C1" w:rsidRPr="00415158" w:rsidRDefault="00EF71C1" w:rsidP="00EF71C1">
            <w:pPr>
              <w:pStyle w:val="TAC"/>
              <w:rPr>
                <w:rFonts w:eastAsiaTheme="minorEastAsia"/>
                <w:lang w:val="en-US"/>
              </w:rPr>
            </w:pPr>
            <w:r w:rsidRPr="00415158">
              <w:rPr>
                <w:rFonts w:eastAsiaTheme="minorEastAsia"/>
                <w:lang w:val="sv-SE"/>
              </w:rPr>
              <w:t>2.56x</w:t>
            </w:r>
            <w:r w:rsidRPr="00415158">
              <w:rPr>
                <w:rFonts w:eastAsia="SimSun"/>
                <w:lang w:val="en-US"/>
              </w:rPr>
              <w:t>N1x</w:t>
            </w:r>
            <w:r w:rsidRPr="00415158">
              <w:rPr>
                <w:rFonts w:eastAsiaTheme="minorEastAsia"/>
                <w:lang w:val="sv-SE"/>
              </w:rPr>
              <w:t>(1+M</w:t>
            </w:r>
            <w:r w:rsidRPr="00415158">
              <w:rPr>
                <w:rFonts w:eastAsiaTheme="minorEastAsia"/>
                <w:vertAlign w:val="subscript"/>
                <w:lang w:val="sv-SE"/>
              </w:rPr>
              <w:t>m</w:t>
            </w:r>
            <w:r w:rsidRPr="00415158">
              <w:rPr>
                <w:rFonts w:eastAsiaTheme="minorEastAsia"/>
                <w:lang w:val="sv-SE"/>
              </w:rPr>
              <w:t>)</w:t>
            </w:r>
          </w:p>
          <w:p w14:paraId="254D059B" w14:textId="77777777" w:rsidR="00EF71C1" w:rsidRPr="00415158" w:rsidRDefault="00EF71C1" w:rsidP="00EF71C1">
            <w:pPr>
              <w:pStyle w:val="TAC"/>
              <w:rPr>
                <w:rFonts w:eastAsiaTheme="minorEastAsia"/>
                <w:lang w:val="en-US"/>
              </w:rPr>
            </w:pPr>
            <w:r w:rsidRPr="00415158">
              <w:rPr>
                <w:rFonts w:eastAsiaTheme="minorEastAsia"/>
                <w:lang w:val="en-US"/>
              </w:rPr>
              <w:t>{(1+M</w:t>
            </w:r>
            <w:r w:rsidRPr="00415158">
              <w:rPr>
                <w:rFonts w:eastAsiaTheme="minorEastAsia"/>
                <w:vertAlign w:val="subscript"/>
                <w:lang w:val="en-US"/>
              </w:rPr>
              <w:t>m</w:t>
            </w:r>
            <w:r w:rsidRPr="00415158">
              <w:rPr>
                <w:rFonts w:eastAsia="SimSun"/>
                <w:lang w:val="en-US"/>
              </w:rPr>
              <w:t>)xN1</w:t>
            </w:r>
            <w:r w:rsidRPr="00415158">
              <w:rPr>
                <w:rFonts w:eastAsiaTheme="minorEastAsia"/>
                <w:lang w:val="en-US"/>
              </w:rPr>
              <w:t xml:space="preserve"> }</w:t>
            </w:r>
          </w:p>
        </w:tc>
        <w:tc>
          <w:tcPr>
            <w:tcW w:w="1099" w:type="pct"/>
            <w:tcBorders>
              <w:top w:val="single" w:sz="4" w:space="0" w:color="auto"/>
              <w:left w:val="single" w:sz="4" w:space="0" w:color="auto"/>
              <w:bottom w:val="single" w:sz="4" w:space="0" w:color="auto"/>
              <w:right w:val="single" w:sz="4" w:space="0" w:color="auto"/>
            </w:tcBorders>
            <w:hideMark/>
          </w:tcPr>
          <w:p w14:paraId="16DCC262" w14:textId="77777777" w:rsidR="00EF71C1" w:rsidRPr="00415158" w:rsidRDefault="00EF71C1" w:rsidP="00EF71C1">
            <w:pPr>
              <w:pStyle w:val="TAC"/>
              <w:rPr>
                <w:rFonts w:eastAsiaTheme="minorEastAsia"/>
                <w:lang w:val="en-US"/>
              </w:rPr>
            </w:pPr>
            <w:r w:rsidRPr="00415158">
              <w:rPr>
                <w:rFonts w:eastAsiaTheme="minorEastAsia"/>
                <w:lang w:val="en-US"/>
              </w:rPr>
              <w:t>2.56x</w:t>
            </w:r>
            <w:r w:rsidRPr="00415158">
              <w:rPr>
                <w:rFonts w:eastAsia="SimSun"/>
                <w:lang w:val="en-US"/>
              </w:rPr>
              <w:t>N1x</w:t>
            </w:r>
            <w:r w:rsidRPr="00415158">
              <w:rPr>
                <w:rFonts w:eastAsiaTheme="minorEastAsia"/>
                <w:lang w:val="en-US"/>
              </w:rPr>
              <w:t>(3+M</w:t>
            </w:r>
            <w:r w:rsidRPr="00415158">
              <w:rPr>
                <w:rFonts w:eastAsiaTheme="minorEastAsia"/>
                <w:vertAlign w:val="subscript"/>
                <w:lang w:val="en-US"/>
              </w:rPr>
              <w:t>e</w:t>
            </w:r>
            <w:r w:rsidRPr="00415158">
              <w:rPr>
                <w:rFonts w:eastAsiaTheme="minorEastAsia"/>
                <w:lang w:val="en-US"/>
              </w:rPr>
              <w:t xml:space="preserve">) </w:t>
            </w:r>
          </w:p>
          <w:p w14:paraId="2E19F07C" w14:textId="77777777" w:rsidR="00EF71C1" w:rsidRPr="00415158" w:rsidRDefault="00EF71C1" w:rsidP="00EF71C1">
            <w:pPr>
              <w:pStyle w:val="TAC"/>
              <w:rPr>
                <w:rFonts w:eastAsiaTheme="minorEastAsia"/>
                <w:lang w:val="en-US"/>
              </w:rPr>
            </w:pPr>
            <w:r w:rsidRPr="00415158">
              <w:rPr>
                <w:rFonts w:eastAsiaTheme="minorEastAsia"/>
                <w:lang w:val="en-US"/>
              </w:rPr>
              <w:t>{(3+M</w:t>
            </w:r>
            <w:r w:rsidRPr="00415158">
              <w:rPr>
                <w:rFonts w:eastAsiaTheme="minorEastAsia"/>
                <w:vertAlign w:val="subscript"/>
                <w:lang w:val="en-US"/>
              </w:rPr>
              <w:t>e</w:t>
            </w:r>
            <w:r w:rsidRPr="00415158">
              <w:rPr>
                <w:rFonts w:eastAsia="SimSun"/>
                <w:lang w:val="en-US"/>
              </w:rPr>
              <w:t>)xN1</w:t>
            </w:r>
            <w:r w:rsidRPr="00415158">
              <w:rPr>
                <w:rFonts w:eastAsiaTheme="minorEastAsia"/>
                <w:lang w:val="en-US"/>
              </w:rPr>
              <w:t>}</w:t>
            </w:r>
          </w:p>
        </w:tc>
      </w:tr>
      <w:tr w:rsidR="00C54446" w:rsidRPr="00415158" w14:paraId="21A735F1" w14:textId="77777777" w:rsidTr="00C738DD">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2B4E90E1" w14:textId="77777777" w:rsidR="00EF71C1" w:rsidRPr="005D7B3F" w:rsidRDefault="00EF71C1" w:rsidP="00EF71C1">
            <w:pPr>
              <w:pStyle w:val="TAN"/>
              <w:rPr>
                <w:rFonts w:eastAsia="Malgun Gothic"/>
                <w:snapToGrid w:val="0"/>
                <w:lang w:eastAsia="zh-CN"/>
              </w:rPr>
            </w:pPr>
            <w:r w:rsidRPr="005D7B3F">
              <w:rPr>
                <w:rFonts w:eastAsia="Malgun Gothic"/>
                <w:snapToGrid w:val="0"/>
                <w:lang w:eastAsia="zh-CN"/>
              </w:rPr>
              <w:t>Note 1:</w:t>
            </w:r>
            <w:r w:rsidRPr="005D7B3F">
              <w:rPr>
                <w:rFonts w:eastAsia="Malgun Gothic"/>
                <w:noProof/>
              </w:rPr>
              <w:tab/>
            </w:r>
            <w:r w:rsidRPr="005D7B3F">
              <w:rPr>
                <w:rFonts w:eastAsia="Malgun Gothic"/>
                <w:snapToGrid w:val="0"/>
                <w:lang w:eastAsia="zh-CN"/>
              </w:rPr>
              <w:t>M2 = 1.5 if SMTC periodicity</w:t>
            </w:r>
            <w:r w:rsidRPr="005D7B3F">
              <w:rPr>
                <w:rFonts w:eastAsia="Malgun Gothic"/>
              </w:rPr>
              <w:t xml:space="preserve"> </w:t>
            </w:r>
            <w:r w:rsidRPr="005D7B3F">
              <w:rPr>
                <w:rFonts w:eastAsia="Malgun Gothic"/>
                <w:snapToGrid w:val="0"/>
                <w:lang w:eastAsia="zh-CN"/>
              </w:rPr>
              <w:t>of measured intra-frequency cell &gt; 20 ms; otherwise M2=1.</w:t>
            </w:r>
          </w:p>
          <w:p w14:paraId="0018C782" w14:textId="77777777" w:rsidR="00EF71C1" w:rsidRPr="005D7B3F" w:rsidRDefault="00EF71C1" w:rsidP="00EF71C1">
            <w:pPr>
              <w:pStyle w:val="TAN"/>
              <w:rPr>
                <w:rFonts w:eastAsia="Malgun Gothic"/>
                <w:snapToGrid w:val="0"/>
                <w:lang w:eastAsia="zh-CN"/>
              </w:rPr>
            </w:pPr>
            <w:r w:rsidRPr="005D7B3F">
              <w:rPr>
                <w:rFonts w:eastAsia="Malgun Gothic"/>
                <w:snapToGrid w:val="0"/>
                <w:lang w:eastAsia="zh-CN"/>
              </w:rPr>
              <w:t>Note 2:</w:t>
            </w:r>
            <w:r w:rsidRPr="005D7B3F">
              <w:rPr>
                <w:rFonts w:eastAsia="Malgun Gothic"/>
                <w:noProof/>
              </w:rPr>
              <w:tab/>
            </w:r>
            <w:r w:rsidRPr="005D7B3F">
              <w:rPr>
                <w:rFonts w:eastAsia="Malgun Gothic"/>
                <w:snapToGrid w:val="0"/>
                <w:lang w:eastAsia="zh-CN"/>
              </w:rPr>
              <w:t xml:space="preserve">Md, Mm, Me are the </w:t>
            </w:r>
            <w:r w:rsidRPr="005D7B3F">
              <w:rPr>
                <w:rFonts w:eastAsia="Malgun Gothic"/>
                <w:lang w:eastAsia="zh-CN"/>
              </w:rPr>
              <w:t>number of</w:t>
            </w:r>
            <w:r w:rsidRPr="005D7B3F">
              <w:rPr>
                <w:rFonts w:eastAsia="SimSun"/>
                <w:lang w:eastAsia="zh-CN"/>
              </w:rPr>
              <w:t xml:space="preserve"> groups of consecutive N1</w:t>
            </w:r>
            <w:r w:rsidRPr="005D7B3F">
              <w:rPr>
                <w:rFonts w:eastAsia="Malgun Gothic"/>
                <w:lang w:eastAsia="zh-CN"/>
              </w:rPr>
              <w:t xml:space="preserve"> DRX cycles each group with at least one SMTC occasion not available</w:t>
            </w:r>
            <w:r w:rsidRPr="005D7B3F">
              <w:rPr>
                <w:rFonts w:eastAsia="Malgun Gothic"/>
                <w:snapToGrid w:val="0"/>
                <w:lang w:eastAsia="zh-CN"/>
              </w:rPr>
              <w:t xml:space="preserve"> at the UE during </w:t>
            </w:r>
            <w:r w:rsidRPr="005D7B3F">
              <w:rPr>
                <w:rFonts w:eastAsia="Malgun Gothic"/>
              </w:rPr>
              <w:t>T</w:t>
            </w:r>
            <w:r w:rsidRPr="005D7B3F">
              <w:rPr>
                <w:rFonts w:eastAsia="Malgun Gothic"/>
                <w:vertAlign w:val="subscript"/>
              </w:rPr>
              <w:t>detect,NR_Inter_CCA</w:t>
            </w:r>
            <w:r w:rsidRPr="005D7B3F">
              <w:rPr>
                <w:rFonts w:eastAsia="Malgun Gothic"/>
                <w:snapToGrid w:val="0"/>
                <w:lang w:eastAsia="zh-CN"/>
              </w:rPr>
              <w:t>,</w:t>
            </w:r>
            <w:r w:rsidRPr="005D7B3F">
              <w:rPr>
                <w:rFonts w:eastAsia="Malgun Gothic"/>
              </w:rPr>
              <w:t xml:space="preserve"> T</w:t>
            </w:r>
            <w:r w:rsidRPr="005D7B3F">
              <w:rPr>
                <w:rFonts w:eastAsia="Malgun Gothic"/>
                <w:vertAlign w:val="subscript"/>
              </w:rPr>
              <w:t>measure,NR_Inter_CCA</w:t>
            </w:r>
            <w:r w:rsidRPr="005D7B3F">
              <w:rPr>
                <w:rFonts w:eastAsia="Malgun Gothic"/>
                <w:snapToGrid w:val="0"/>
                <w:lang w:eastAsia="zh-CN"/>
              </w:rPr>
              <w:t xml:space="preserve"> and </w:t>
            </w:r>
            <w:r w:rsidRPr="005D7B3F">
              <w:rPr>
                <w:rFonts w:eastAsia="Malgun Gothic"/>
              </w:rPr>
              <w:t>T</w:t>
            </w:r>
            <w:r w:rsidRPr="005D7B3F">
              <w:rPr>
                <w:rFonts w:eastAsia="Malgun Gothic"/>
                <w:vertAlign w:val="subscript"/>
              </w:rPr>
              <w:t>evaluate,NR_</w:t>
            </w:r>
            <w:r w:rsidRPr="005D7B3F">
              <w:rPr>
                <w:rFonts w:eastAsia="Malgun Gothic" w:cs="v4.2.0"/>
                <w:vertAlign w:val="subscript"/>
              </w:rPr>
              <w:t>Inter</w:t>
            </w:r>
            <w:r w:rsidRPr="005D7B3F">
              <w:rPr>
                <w:rFonts w:eastAsia="Malgun Gothic"/>
                <w:vertAlign w:val="subscript"/>
              </w:rPr>
              <w:t>_CCA</w:t>
            </w:r>
            <w:r w:rsidRPr="005D7B3F">
              <w:rPr>
                <w:rFonts w:eastAsia="Malgun Gothic"/>
                <w:lang w:eastAsia="zh-CN"/>
              </w:rPr>
              <w:t>,</w:t>
            </w:r>
            <w:r w:rsidRPr="005D7B3F">
              <w:rPr>
                <w:rFonts w:eastAsia="Malgun Gothic"/>
              </w:rPr>
              <w:t xml:space="preserve"> </w:t>
            </w:r>
            <w:r w:rsidRPr="005D7B3F">
              <w:rPr>
                <w:rFonts w:eastAsia="Malgun Gothic"/>
                <w:snapToGrid w:val="0"/>
                <w:lang w:eastAsia="zh-CN"/>
              </w:rPr>
              <w:t xml:space="preserve">and </w:t>
            </w:r>
            <w:r w:rsidRPr="005D7B3F">
              <w:rPr>
                <w:rFonts w:eastAsia="Malgun Gothic" w:cs="Arial"/>
                <w:snapToGrid w:val="0"/>
                <w:szCs w:val="18"/>
              </w:rPr>
              <w:t>M</w:t>
            </w:r>
            <w:r w:rsidRPr="005D7B3F">
              <w:rPr>
                <w:rFonts w:eastAsia="Malgun Gothic" w:cs="Arial"/>
                <w:snapToGrid w:val="0"/>
                <w:szCs w:val="18"/>
                <w:vertAlign w:val="subscript"/>
              </w:rPr>
              <w:t xml:space="preserve"> m</w:t>
            </w:r>
            <w:r w:rsidRPr="005D7B3F">
              <w:rPr>
                <w:rFonts w:eastAsia="Malgun Gothic" w:cs="Arial"/>
                <w:snapToGrid w:val="0"/>
                <w:szCs w:val="18"/>
              </w:rPr>
              <w:t xml:space="preserve"> </w:t>
            </w:r>
            <w:r w:rsidRPr="005D7B3F">
              <w:rPr>
                <w:rFonts w:eastAsia="Malgun Gothic" w:hint="eastAsia"/>
              </w:rPr>
              <w:t>≤</w:t>
            </w:r>
            <w:r w:rsidRPr="005D7B3F">
              <w:rPr>
                <w:rFonts w:eastAsia="Malgun Gothic"/>
              </w:rPr>
              <w:t xml:space="preserve"> </w:t>
            </w:r>
            <w:r w:rsidRPr="005D7B3F">
              <w:rPr>
                <w:rFonts w:eastAsia="Malgun Gothic" w:cs="Arial"/>
                <w:snapToGrid w:val="0"/>
                <w:szCs w:val="18"/>
              </w:rPr>
              <w:t>M</w:t>
            </w:r>
            <w:r w:rsidRPr="005D7B3F">
              <w:rPr>
                <w:rFonts w:eastAsia="Malgun Gothic" w:cs="Arial"/>
                <w:snapToGrid w:val="0"/>
                <w:szCs w:val="18"/>
                <w:vertAlign w:val="subscript"/>
              </w:rPr>
              <w:t>m,max</w:t>
            </w:r>
            <w:r w:rsidRPr="005D7B3F">
              <w:rPr>
                <w:rFonts w:eastAsia="Malgun Gothic" w:cs="Arial"/>
                <w:snapToGrid w:val="0"/>
                <w:szCs w:val="18"/>
              </w:rPr>
              <w:t>, M</w:t>
            </w:r>
            <w:r w:rsidRPr="005D7B3F">
              <w:rPr>
                <w:rFonts w:eastAsia="Malgun Gothic" w:cs="Arial"/>
                <w:snapToGrid w:val="0"/>
                <w:szCs w:val="18"/>
                <w:vertAlign w:val="subscript"/>
              </w:rPr>
              <w:t>d</w:t>
            </w:r>
            <w:r w:rsidRPr="005D7B3F">
              <w:rPr>
                <w:rFonts w:eastAsia="Malgun Gothic" w:cs="Arial"/>
                <w:snapToGrid w:val="0"/>
                <w:szCs w:val="18"/>
              </w:rPr>
              <w:t xml:space="preserve"> </w:t>
            </w:r>
            <w:r w:rsidRPr="005D7B3F">
              <w:rPr>
                <w:rFonts w:eastAsia="Malgun Gothic" w:hint="eastAsia"/>
              </w:rPr>
              <w:t>≤</w:t>
            </w:r>
            <w:r w:rsidRPr="005D7B3F">
              <w:rPr>
                <w:rFonts w:eastAsia="Malgun Gothic"/>
              </w:rPr>
              <w:t xml:space="preserve"> </w:t>
            </w:r>
            <w:r w:rsidRPr="005D7B3F">
              <w:rPr>
                <w:rFonts w:eastAsia="Malgun Gothic" w:cs="Arial"/>
                <w:snapToGrid w:val="0"/>
                <w:szCs w:val="18"/>
              </w:rPr>
              <w:t>M</w:t>
            </w:r>
            <w:r w:rsidRPr="005D7B3F">
              <w:rPr>
                <w:rFonts w:eastAsia="Malgun Gothic" w:cs="Arial"/>
                <w:snapToGrid w:val="0"/>
                <w:szCs w:val="18"/>
                <w:vertAlign w:val="subscript"/>
              </w:rPr>
              <w:t>d,max</w:t>
            </w:r>
            <w:r w:rsidRPr="005D7B3F">
              <w:rPr>
                <w:rFonts w:eastAsia="Malgun Gothic" w:cs="Arial"/>
                <w:snapToGrid w:val="0"/>
                <w:szCs w:val="18"/>
              </w:rPr>
              <w:t xml:space="preserve"> and M</w:t>
            </w:r>
            <w:r w:rsidRPr="005D7B3F">
              <w:rPr>
                <w:rFonts w:eastAsia="Malgun Gothic" w:cs="Arial"/>
                <w:snapToGrid w:val="0"/>
                <w:szCs w:val="18"/>
                <w:vertAlign w:val="subscript"/>
              </w:rPr>
              <w:t>e</w:t>
            </w:r>
            <w:r w:rsidRPr="005D7B3F">
              <w:rPr>
                <w:rFonts w:eastAsia="Malgun Gothic" w:cs="Arial"/>
                <w:snapToGrid w:val="0"/>
                <w:szCs w:val="18"/>
              </w:rPr>
              <w:t xml:space="preserve"> </w:t>
            </w:r>
            <w:r w:rsidRPr="005D7B3F">
              <w:rPr>
                <w:rFonts w:eastAsia="Malgun Gothic" w:hint="eastAsia"/>
              </w:rPr>
              <w:t>≤</w:t>
            </w:r>
            <w:r w:rsidRPr="005D7B3F">
              <w:rPr>
                <w:rFonts w:eastAsia="Malgun Gothic"/>
              </w:rPr>
              <w:t xml:space="preserve"> </w:t>
            </w:r>
            <w:r w:rsidRPr="005D7B3F">
              <w:rPr>
                <w:rFonts w:eastAsia="Malgun Gothic" w:cs="Arial"/>
                <w:snapToGrid w:val="0"/>
                <w:szCs w:val="18"/>
              </w:rPr>
              <w:t> M</w:t>
            </w:r>
            <w:r w:rsidRPr="005D7B3F">
              <w:rPr>
                <w:rFonts w:eastAsia="Malgun Gothic" w:cs="Arial"/>
                <w:snapToGrid w:val="0"/>
                <w:szCs w:val="18"/>
                <w:vertAlign w:val="subscript"/>
              </w:rPr>
              <w:t>e,max</w:t>
            </w:r>
            <w:r w:rsidRPr="005D7B3F">
              <w:rPr>
                <w:rFonts w:eastAsia="Malgun Gothic"/>
                <w:snapToGrid w:val="0"/>
                <w:lang w:eastAsia="zh-CN"/>
              </w:rPr>
              <w:t xml:space="preserve"> </w:t>
            </w:r>
          </w:p>
          <w:p w14:paraId="51AA6971" w14:textId="77777777" w:rsidR="00EF71C1" w:rsidRPr="005D7B3F" w:rsidRDefault="00EF71C1" w:rsidP="00EF71C1">
            <w:pPr>
              <w:pStyle w:val="TAN"/>
              <w:rPr>
                <w:rFonts w:eastAsia="Malgun Gothic"/>
                <w:snapToGrid w:val="0"/>
                <w:lang w:eastAsia="zh-CN"/>
              </w:rPr>
            </w:pPr>
            <w:r w:rsidRPr="005D7B3F">
              <w:rPr>
                <w:rFonts w:eastAsia="Malgun Gothic"/>
                <w:snapToGrid w:val="0"/>
                <w:lang w:eastAsia="zh-CN"/>
              </w:rPr>
              <w:t>Note 3:</w:t>
            </w:r>
            <w:r w:rsidRPr="005D7B3F">
              <w:rPr>
                <w:rFonts w:eastAsia="Malgun Gothic"/>
                <w:noProof/>
              </w:rPr>
              <w:tab/>
            </w:r>
            <w:r w:rsidRPr="005D7B3F">
              <w:rPr>
                <w:rFonts w:eastAsia="Malgun Gothic"/>
                <w:snapToGrid w:val="0"/>
                <w:lang w:eastAsia="zh-CN"/>
              </w:rPr>
              <w:t>M</w:t>
            </w:r>
            <w:r w:rsidRPr="005D7B3F">
              <w:rPr>
                <w:rFonts w:eastAsia="Malgun Gothic"/>
                <w:snapToGrid w:val="0"/>
                <w:vertAlign w:val="subscript"/>
                <w:lang w:eastAsia="zh-CN"/>
              </w:rPr>
              <w:t>m,max</w:t>
            </w:r>
            <w:r w:rsidRPr="005D7B3F">
              <w:rPr>
                <w:rFonts w:eastAsia="Malgun Gothic"/>
                <w:snapToGrid w:val="0"/>
                <w:lang w:eastAsia="zh-CN"/>
              </w:rPr>
              <w:t xml:space="preserve"> = 16 for DRX cycle length = 0.32s; </w:t>
            </w:r>
          </w:p>
          <w:p w14:paraId="119BFC21" w14:textId="77777777" w:rsidR="00EF71C1" w:rsidRPr="005D7B3F" w:rsidRDefault="00EF71C1" w:rsidP="00EF71C1">
            <w:pPr>
              <w:pStyle w:val="TAN"/>
              <w:rPr>
                <w:rFonts w:eastAsia="Malgun Gothic"/>
                <w:snapToGrid w:val="0"/>
                <w:lang w:eastAsia="zh-CN"/>
              </w:rPr>
            </w:pPr>
            <w:r w:rsidRPr="005D7B3F">
              <w:rPr>
                <w:rFonts w:eastAsia="Malgun Gothic"/>
                <w:noProof/>
              </w:rPr>
              <w:tab/>
            </w:r>
            <w:r w:rsidRPr="005D7B3F">
              <w:rPr>
                <w:rFonts w:eastAsia="Malgun Gothic"/>
                <w:snapToGrid w:val="0"/>
                <w:lang w:eastAsia="zh-CN"/>
              </w:rPr>
              <w:t>M</w:t>
            </w:r>
            <w:r w:rsidRPr="005D7B3F">
              <w:rPr>
                <w:rFonts w:eastAsia="Malgun Gothic"/>
                <w:snapToGrid w:val="0"/>
                <w:vertAlign w:val="subscript"/>
                <w:lang w:eastAsia="zh-CN"/>
              </w:rPr>
              <w:t>m,max</w:t>
            </w:r>
            <w:r w:rsidRPr="005D7B3F">
              <w:rPr>
                <w:rFonts w:eastAsia="Malgun Gothic"/>
                <w:snapToGrid w:val="0"/>
                <w:lang w:eastAsia="zh-CN"/>
              </w:rPr>
              <w:t xml:space="preserve"> = 8 for DRX cycle length = 0.64s;</w:t>
            </w:r>
          </w:p>
          <w:p w14:paraId="28244A91" w14:textId="77777777" w:rsidR="00EF71C1" w:rsidRPr="005D7B3F" w:rsidRDefault="00EF71C1" w:rsidP="00EF71C1">
            <w:pPr>
              <w:pStyle w:val="TAN"/>
              <w:rPr>
                <w:rFonts w:eastAsia="Malgun Gothic"/>
                <w:snapToGrid w:val="0"/>
                <w:lang w:eastAsia="zh-CN"/>
              </w:rPr>
            </w:pPr>
            <w:r w:rsidRPr="005D7B3F">
              <w:rPr>
                <w:rFonts w:eastAsia="Malgun Gothic"/>
                <w:noProof/>
              </w:rPr>
              <w:tab/>
            </w:r>
            <w:r w:rsidRPr="005D7B3F">
              <w:rPr>
                <w:rFonts w:eastAsia="Malgun Gothic"/>
                <w:snapToGrid w:val="0"/>
                <w:lang w:eastAsia="zh-CN"/>
              </w:rPr>
              <w:t>M</w:t>
            </w:r>
            <w:r w:rsidRPr="005D7B3F">
              <w:rPr>
                <w:rFonts w:eastAsia="Malgun Gothic"/>
                <w:snapToGrid w:val="0"/>
                <w:vertAlign w:val="subscript"/>
                <w:lang w:eastAsia="zh-CN"/>
              </w:rPr>
              <w:t>m,max</w:t>
            </w:r>
            <w:r w:rsidRPr="005D7B3F">
              <w:rPr>
                <w:rFonts w:eastAsia="Malgun Gothic"/>
                <w:snapToGrid w:val="0"/>
                <w:lang w:eastAsia="zh-CN"/>
              </w:rPr>
              <w:t xml:space="preserve"> = 4 for DRX cycle length = 1.28s;</w:t>
            </w:r>
          </w:p>
          <w:p w14:paraId="134D6895" w14:textId="77777777" w:rsidR="00EF71C1" w:rsidRDefault="00EF71C1" w:rsidP="00EF71C1">
            <w:pPr>
              <w:pStyle w:val="TAN"/>
              <w:rPr>
                <w:rFonts w:eastAsia="Malgun Gothic"/>
                <w:snapToGrid w:val="0"/>
                <w:lang w:eastAsia="zh-CN"/>
              </w:rPr>
            </w:pPr>
            <w:r w:rsidRPr="005D7B3F">
              <w:rPr>
                <w:rFonts w:eastAsia="Malgun Gothic"/>
                <w:noProof/>
              </w:rPr>
              <w:tab/>
            </w:r>
            <w:r w:rsidRPr="005D7B3F">
              <w:rPr>
                <w:rFonts w:eastAsia="Malgun Gothic"/>
                <w:snapToGrid w:val="0"/>
                <w:lang w:eastAsia="zh-CN"/>
              </w:rPr>
              <w:t>M</w:t>
            </w:r>
            <w:r w:rsidRPr="005D7B3F">
              <w:rPr>
                <w:rFonts w:eastAsia="Malgun Gothic"/>
                <w:snapToGrid w:val="0"/>
                <w:vertAlign w:val="subscript"/>
                <w:lang w:eastAsia="zh-CN"/>
              </w:rPr>
              <w:t>m,max</w:t>
            </w:r>
            <w:r w:rsidRPr="005D7B3F">
              <w:rPr>
                <w:rFonts w:eastAsia="Malgun Gothic"/>
                <w:snapToGrid w:val="0"/>
                <w:lang w:eastAsia="zh-CN"/>
              </w:rPr>
              <w:t xml:space="preserve"> = 4 for DRX cycle length = 2.56s</w:t>
            </w:r>
            <w:r w:rsidRPr="005D7B3F" w:rsidDel="002C2D83">
              <w:rPr>
                <w:rFonts w:eastAsia="Malgun Gothic"/>
                <w:snapToGrid w:val="0"/>
                <w:lang w:eastAsia="zh-CN"/>
              </w:rPr>
              <w:t xml:space="preserve"> </w:t>
            </w:r>
          </w:p>
          <w:p w14:paraId="1BB1CFAF" w14:textId="77777777" w:rsidR="00EF71C1" w:rsidRDefault="00EF71C1" w:rsidP="00EF71C1">
            <w:pPr>
              <w:pStyle w:val="TAN"/>
              <w:rPr>
                <w:rFonts w:eastAsia="Malgun Gothic"/>
                <w:snapToGrid w:val="0"/>
                <w:lang w:val="fr-FR" w:eastAsia="zh-CN"/>
              </w:rPr>
            </w:pPr>
            <w:r w:rsidRPr="005D7B3F">
              <w:rPr>
                <w:rFonts w:eastAsia="Malgun Gothic"/>
                <w:snapToGrid w:val="0"/>
                <w:lang w:val="fr-FR" w:eastAsia="zh-CN"/>
              </w:rPr>
              <w:t>Note 4:</w:t>
            </w:r>
            <w:r w:rsidRPr="005D7B3F">
              <w:rPr>
                <w:rFonts w:eastAsia="Malgun Gothic"/>
                <w:noProof/>
                <w:lang w:val="fr-FR"/>
              </w:rPr>
              <w:tab/>
            </w:r>
            <w:r w:rsidRPr="005D7B3F">
              <w:rPr>
                <w:rFonts w:eastAsia="Malgun Gothic"/>
                <w:snapToGrid w:val="0"/>
                <w:lang w:val="fr-FR" w:eastAsia="zh-CN"/>
              </w:rPr>
              <w:t>M</w:t>
            </w:r>
            <w:r w:rsidRPr="005D7B3F">
              <w:rPr>
                <w:rFonts w:eastAsia="Malgun Gothic"/>
                <w:snapToGrid w:val="0"/>
                <w:vertAlign w:val="subscript"/>
                <w:lang w:val="fr-FR" w:eastAsia="zh-CN"/>
              </w:rPr>
              <w:t>d,max</w:t>
            </w:r>
            <w:r w:rsidRPr="005D7B3F">
              <w:rPr>
                <w:rFonts w:eastAsia="Malgun Gothic"/>
                <w:snapToGrid w:val="0"/>
                <w:lang w:val="fr-FR" w:eastAsia="zh-CN"/>
              </w:rPr>
              <w:t xml:space="preserve"> = 4*M</w:t>
            </w:r>
            <w:r w:rsidRPr="005D7B3F">
              <w:rPr>
                <w:rFonts w:eastAsia="Malgun Gothic"/>
                <w:snapToGrid w:val="0"/>
                <w:vertAlign w:val="subscript"/>
                <w:lang w:val="fr-FR" w:eastAsia="zh-CN"/>
              </w:rPr>
              <w:t>m,max</w:t>
            </w:r>
            <w:r w:rsidRPr="005D7B3F">
              <w:rPr>
                <w:rFonts w:eastAsia="Malgun Gothic"/>
                <w:snapToGrid w:val="0"/>
                <w:lang w:val="fr-FR" w:eastAsia="zh-CN"/>
              </w:rPr>
              <w:t>, M</w:t>
            </w:r>
            <w:r w:rsidRPr="005D7B3F">
              <w:rPr>
                <w:rFonts w:eastAsia="Malgun Gothic"/>
                <w:snapToGrid w:val="0"/>
                <w:vertAlign w:val="subscript"/>
                <w:lang w:val="fr-FR" w:eastAsia="zh-CN"/>
              </w:rPr>
              <w:t xml:space="preserve">e,max </w:t>
            </w:r>
            <w:r w:rsidRPr="005D7B3F">
              <w:rPr>
                <w:rFonts w:eastAsia="Malgun Gothic"/>
                <w:snapToGrid w:val="0"/>
                <w:lang w:val="fr-FR" w:eastAsia="zh-CN"/>
              </w:rPr>
              <w:t>= 2*M</w:t>
            </w:r>
            <w:r w:rsidRPr="005D7B3F">
              <w:rPr>
                <w:rFonts w:eastAsia="Malgun Gothic"/>
                <w:snapToGrid w:val="0"/>
                <w:vertAlign w:val="subscript"/>
                <w:lang w:val="fr-FR" w:eastAsia="zh-CN"/>
              </w:rPr>
              <w:t>m,max</w:t>
            </w:r>
            <w:r w:rsidRPr="005D7B3F">
              <w:rPr>
                <w:rFonts w:eastAsia="Malgun Gothic"/>
                <w:snapToGrid w:val="0"/>
                <w:lang w:val="fr-FR" w:eastAsia="zh-CN"/>
              </w:rPr>
              <w:t>.</w:t>
            </w:r>
          </w:p>
          <w:p w14:paraId="28B422C9" w14:textId="6525F5AB" w:rsidR="00C54446" w:rsidRPr="00415158" w:rsidRDefault="00EF71C1" w:rsidP="00EF71C1">
            <w:pPr>
              <w:pStyle w:val="TAN"/>
              <w:rPr>
                <w:rFonts w:eastAsiaTheme="minorEastAsia"/>
                <w:snapToGrid w:val="0"/>
                <w:lang w:val="fr-FR" w:eastAsia="zh-CN"/>
              </w:rPr>
            </w:pPr>
            <w:r>
              <w:rPr>
                <w:rFonts w:eastAsia="Malgun Gothic"/>
                <w:snapToGrid w:val="0"/>
                <w:lang w:val="fr-FR" w:eastAsia="zh-CN"/>
              </w:rPr>
              <w:t>Note 5:</w:t>
            </w:r>
            <w:r w:rsidRPr="005D7B3F">
              <w:rPr>
                <w:rFonts w:eastAsia="Malgun Gothic"/>
                <w:noProof/>
                <w:lang w:val="fr-FR"/>
              </w:rPr>
              <w:tab/>
            </w:r>
            <w:r w:rsidRPr="002C2E29">
              <w:rPr>
                <w:rFonts w:eastAsia="Malgun Gothic"/>
                <w:lang w:eastAsia="zh-CN"/>
              </w:rPr>
              <w:t>Applies for UE supporting FR2-2 power class 2&amp;3. For UE supporting FR2-2 power class 1, N1 = 12 for all DRX cycle length.</w:t>
            </w:r>
          </w:p>
        </w:tc>
      </w:tr>
    </w:tbl>
    <w:p w14:paraId="31B3A4CB" w14:textId="77777777" w:rsidR="00C54446" w:rsidRDefault="00C54446" w:rsidP="008A6EF7"/>
    <w:p w14:paraId="3EAC6CA0" w14:textId="492F2BE4" w:rsidR="008A6EF7" w:rsidRPr="003B2CE2" w:rsidRDefault="008A6EF7" w:rsidP="008A6EF7">
      <w:pPr>
        <w:rPr>
          <w:lang w:val="en-US" w:eastAsia="zh-CN"/>
        </w:rPr>
      </w:pPr>
      <w:r w:rsidRPr="003B2CE2">
        <w:t>The UE shall restart the measurements upon exceeding Mm,max, Md.max, or Me,max.</w:t>
      </w:r>
    </w:p>
    <w:p w14:paraId="77D01D86" w14:textId="77777777" w:rsidR="008A6EF7" w:rsidRPr="003B2CE2" w:rsidRDefault="008A6EF7" w:rsidP="008A6EF7">
      <w:pPr>
        <w:pStyle w:val="Heading4"/>
        <w:rPr>
          <w:lang w:val="en-US" w:eastAsia="zh-CN"/>
        </w:rPr>
      </w:pPr>
      <w:r w:rsidRPr="003B2CE2">
        <w:rPr>
          <w:lang w:val="en-US" w:eastAsia="zh-CN"/>
        </w:rPr>
        <w:t>4.2A.2.5</w:t>
      </w:r>
      <w:r w:rsidRPr="003B2CE2">
        <w:rPr>
          <w:lang w:val="en-US" w:eastAsia="zh-CN"/>
        </w:rPr>
        <w:tab/>
        <w:t xml:space="preserve">Measurements of inter-RAT E-UTRAN cells when </w:t>
      </w:r>
      <w:r>
        <w:rPr>
          <w:lang w:val="en-US" w:eastAsia="zh-CN"/>
        </w:rPr>
        <w:t xml:space="preserve">subject to </w:t>
      </w:r>
      <w:r w:rsidRPr="003B2CE2">
        <w:rPr>
          <w:lang w:val="en-US" w:eastAsia="zh-CN"/>
        </w:rPr>
        <w:t>CCA on the serving cell</w:t>
      </w:r>
    </w:p>
    <w:p w14:paraId="06099100" w14:textId="5F04EFF3" w:rsidR="008A6EF7" w:rsidRPr="003B2CE2" w:rsidRDefault="008A6EF7" w:rsidP="008A6EF7">
      <w:r w:rsidRPr="003B2CE2">
        <w:t xml:space="preserve">The requirements in </w:t>
      </w:r>
      <w:r w:rsidR="00A750BE">
        <w:t>clause</w:t>
      </w:r>
      <w:r w:rsidRPr="003B2CE2">
        <w:t xml:space="preserve"> 4.2.2.5 shall apply.</w:t>
      </w:r>
    </w:p>
    <w:p w14:paraId="380C4F18" w14:textId="77777777" w:rsidR="008A6EF7" w:rsidRPr="003B2CE2" w:rsidRDefault="008A6EF7" w:rsidP="008A6EF7">
      <w:pPr>
        <w:pStyle w:val="Heading4"/>
      </w:pPr>
      <w:r w:rsidRPr="003B2CE2">
        <w:t>4.2A.2.6</w:t>
      </w:r>
      <w:r w:rsidRPr="003B2CE2">
        <w:tab/>
        <w:t xml:space="preserve">Maximum interruption in paging reception when </w:t>
      </w:r>
      <w:r>
        <w:t xml:space="preserve">subject to </w:t>
      </w:r>
      <w:r w:rsidRPr="003B2CE2">
        <w:t>CCA on the target cell</w:t>
      </w:r>
    </w:p>
    <w:p w14:paraId="4B4317FF" w14:textId="77777777" w:rsidR="008A6EF7" w:rsidRPr="003B2CE2" w:rsidRDefault="008A6EF7" w:rsidP="008A6EF7">
      <w:pPr>
        <w:rPr>
          <w:lang w:eastAsia="ko-KR"/>
        </w:rPr>
      </w:pPr>
      <w:r w:rsidRPr="003B2CE2">
        <w:rPr>
          <w:lang w:eastAsia="ko-KR"/>
        </w:rPr>
        <w:t>UE shall perform the cell re-selection with minimum interruption in monitoring downlink channels for paging reception.</w:t>
      </w:r>
    </w:p>
    <w:p w14:paraId="67FC6807" w14:textId="77777777" w:rsidR="008A6EF7" w:rsidRPr="003B2CE2" w:rsidRDefault="008A6EF7" w:rsidP="008A6EF7">
      <w:pPr>
        <w:rPr>
          <w:lang w:eastAsia="ko-KR"/>
        </w:rPr>
      </w:pPr>
      <w:r w:rsidRPr="003B2CE2">
        <w:rPr>
          <w:lang w:eastAsia="ko-KR"/>
        </w:rPr>
        <w:t xml:space="preserve">At intra-frequency and inter-frequency cell re-selection, the UE shall monitor the downlink of serving cell for paging reception until the UE is capable to start monitoring downlink channels of the target intra-frequency and inter-frequency cell for paging reception. The interruption time shall not exceed </w:t>
      </w:r>
      <w:r w:rsidRPr="003B2CE2">
        <w:rPr>
          <w:lang w:val="en-US" w:eastAsia="zh-CN"/>
        </w:rPr>
        <w:t>T</w:t>
      </w:r>
      <w:r w:rsidRPr="003B2CE2">
        <w:rPr>
          <w:vertAlign w:val="subscript"/>
          <w:lang w:val="en-US" w:eastAsia="zh-CN"/>
        </w:rPr>
        <w:t>SI,CCA</w:t>
      </w:r>
      <w:r>
        <w:rPr>
          <w:lang w:eastAsia="ko-KR"/>
        </w:rPr>
        <w:t xml:space="preserve"> + 2*</w:t>
      </w:r>
      <w:r w:rsidRPr="003B2CE2">
        <w:t>T</w:t>
      </w:r>
      <w:r w:rsidRPr="003B2CE2">
        <w:rPr>
          <w:vertAlign w:val="subscript"/>
        </w:rPr>
        <w:t>target_cell_SMTC_period</w:t>
      </w:r>
      <w:r w:rsidRPr="003B2CE2">
        <w:rPr>
          <w:lang w:eastAsia="ko-KR"/>
        </w:rPr>
        <w:t>.</w:t>
      </w:r>
    </w:p>
    <w:p w14:paraId="592FBEF1" w14:textId="5B76396F" w:rsidR="008A6EF7" w:rsidRPr="003B2CE2" w:rsidRDefault="008A6EF7" w:rsidP="008A6EF7">
      <w:pPr>
        <w:rPr>
          <w:lang w:eastAsia="ko-KR"/>
        </w:rPr>
      </w:pPr>
      <w:r w:rsidRPr="003B2CE2">
        <w:rPr>
          <w:lang w:eastAsia="ko-KR"/>
        </w:rPr>
        <w:t xml:space="preserve">At inter-RAT cell re-selection, the UE shall monitor the downlink of serving cell for paging reception until the UE is capable to start monitoring downlink channels for paging reception of the target inter-RAT cell. For NR to E-UTRAN cell re-selection the interruption time </w:t>
      </w:r>
      <w:r>
        <w:rPr>
          <w:lang w:eastAsia="ko-KR"/>
        </w:rPr>
        <w:t>shall</w:t>
      </w:r>
      <w:r w:rsidRPr="003B2CE2">
        <w:rPr>
          <w:lang w:eastAsia="ko-KR"/>
        </w:rPr>
        <w:t xml:space="preserve"> not exceed T</w:t>
      </w:r>
      <w:r w:rsidRPr="003B2CE2">
        <w:rPr>
          <w:vertAlign w:val="subscript"/>
          <w:lang w:eastAsia="ko-KR"/>
        </w:rPr>
        <w:t xml:space="preserve">SI-EUTRA </w:t>
      </w:r>
      <w:r w:rsidRPr="003B2CE2">
        <w:rPr>
          <w:lang w:eastAsia="ko-KR"/>
        </w:rPr>
        <w:t>+ 55 ms.</w:t>
      </w:r>
    </w:p>
    <w:p w14:paraId="17BCFAB2" w14:textId="77777777" w:rsidR="008A6EF7" w:rsidRPr="003B2CE2" w:rsidRDefault="008A6EF7" w:rsidP="008A6EF7">
      <w:pPr>
        <w:rPr>
          <w:lang w:eastAsia="ko-KR"/>
        </w:rPr>
      </w:pPr>
      <w:r w:rsidRPr="003B2CE2">
        <w:rPr>
          <w:lang w:eastAsia="ko-KR"/>
        </w:rPr>
        <w:t>T</w:t>
      </w:r>
      <w:r w:rsidRPr="003B2CE2">
        <w:rPr>
          <w:vertAlign w:val="subscript"/>
          <w:lang w:eastAsia="ko-KR"/>
        </w:rPr>
        <w:t xml:space="preserve">SI_CCA </w:t>
      </w:r>
      <w:r w:rsidRPr="003B2CE2">
        <w:rPr>
          <w:lang w:eastAsia="ko-KR"/>
        </w:rPr>
        <w:t>is the time required for receiving all the relevant system information data according to the reception procedure and the RRC procedure delay of system information blocks defined in TS 38.331 [2] for an NR cell.</w:t>
      </w:r>
    </w:p>
    <w:p w14:paraId="47EA3BA8" w14:textId="77777777" w:rsidR="008A6EF7" w:rsidRPr="003B2CE2" w:rsidRDefault="008A6EF7" w:rsidP="008A6EF7">
      <w:pPr>
        <w:rPr>
          <w:lang w:eastAsia="ko-KR"/>
        </w:rPr>
      </w:pPr>
      <w:r w:rsidRPr="003B2CE2">
        <w:rPr>
          <w:lang w:eastAsia="ko-KR"/>
        </w:rPr>
        <w:t>T</w:t>
      </w:r>
      <w:r w:rsidRPr="003B2CE2">
        <w:rPr>
          <w:vertAlign w:val="subscript"/>
          <w:lang w:eastAsia="ko-KR"/>
        </w:rPr>
        <w:t xml:space="preserve">SI-EUTRA </w:t>
      </w:r>
      <w:r w:rsidRPr="003B2CE2">
        <w:rPr>
          <w:lang w:eastAsia="ko-KR"/>
        </w:rPr>
        <w:t>is the time required for receiving all the relevant system information data according to the reception procedure and the RRC procedure delay of system information blocks defined in TS 36.331 [16] for an E-UTRAN cell.</w:t>
      </w:r>
    </w:p>
    <w:p w14:paraId="7FFF7052" w14:textId="77777777" w:rsidR="008A6EF7" w:rsidRPr="003B2CE2" w:rsidRDefault="008A6EF7" w:rsidP="008A6EF7">
      <w:pPr>
        <w:rPr>
          <w:lang w:eastAsia="ko-KR"/>
        </w:rPr>
      </w:pPr>
      <w:r w:rsidRPr="003B2CE2">
        <w:rPr>
          <w:lang w:eastAsia="ko-KR"/>
        </w:rPr>
        <w:t>These requirements assume sufficient radio conditions, so that decoding of system information can be made without errors and does not take into account cell re-selection failure.</w:t>
      </w:r>
    </w:p>
    <w:p w14:paraId="05850742" w14:textId="77777777" w:rsidR="008A6EF7" w:rsidRPr="003B2CE2" w:rsidRDefault="008A6EF7" w:rsidP="008A6EF7">
      <w:pPr>
        <w:pStyle w:val="Heading4"/>
      </w:pPr>
      <w:r w:rsidRPr="003B2CE2">
        <w:t>4.2A.2.7</w:t>
      </w:r>
      <w:r w:rsidRPr="003B2CE2">
        <w:tab/>
        <w:t>General requirements</w:t>
      </w:r>
    </w:p>
    <w:p w14:paraId="5B74200E" w14:textId="22877F67" w:rsidR="008A6EF7" w:rsidRDefault="008A6EF7" w:rsidP="008A6EF7">
      <w:r w:rsidRPr="003B2CE2">
        <w:t>The requirements in clause 4.2.2.7 shall apply.</w:t>
      </w:r>
    </w:p>
    <w:p w14:paraId="310DFA05" w14:textId="77777777" w:rsidR="00D808CB" w:rsidRPr="00885F53" w:rsidRDefault="00D808CB" w:rsidP="00D808CB">
      <w:pPr>
        <w:pStyle w:val="Heading2"/>
      </w:pPr>
      <w:r w:rsidRPr="00885F53">
        <w:t>4.2</w:t>
      </w:r>
      <w:r>
        <w:t>B</w:t>
      </w:r>
      <w:r w:rsidRPr="00885F53">
        <w:tab/>
        <w:t>Cell Re-selection</w:t>
      </w:r>
      <w:r>
        <w:t xml:space="preserve"> for RedCap</w:t>
      </w:r>
    </w:p>
    <w:p w14:paraId="003D624B" w14:textId="1C1D18CB" w:rsidR="00D808CB" w:rsidRDefault="00D808CB" w:rsidP="00D808CB">
      <w:pPr>
        <w:pStyle w:val="Heading3"/>
        <w:rPr>
          <w:lang w:val="en-US" w:eastAsia="ko-KR"/>
        </w:rPr>
      </w:pPr>
      <w:r w:rsidRPr="00885F53">
        <w:rPr>
          <w:lang w:val="en-US" w:eastAsia="ko-KR"/>
        </w:rPr>
        <w:t>4.2</w:t>
      </w:r>
      <w:r>
        <w:rPr>
          <w:lang w:val="en-US" w:eastAsia="ko-KR"/>
        </w:rPr>
        <w:t>B</w:t>
      </w:r>
      <w:r w:rsidRPr="00885F53">
        <w:rPr>
          <w:lang w:val="en-US" w:eastAsia="ko-KR"/>
        </w:rPr>
        <w:t>.1</w:t>
      </w:r>
      <w:r w:rsidRPr="00885F53">
        <w:rPr>
          <w:lang w:val="en-US" w:eastAsia="ko-KR"/>
        </w:rPr>
        <w:tab/>
        <w:t>Introduction</w:t>
      </w:r>
    </w:p>
    <w:p w14:paraId="234CDD98" w14:textId="14C615F3" w:rsidR="0025203F" w:rsidRDefault="0025203F" w:rsidP="0025203F">
      <w:pPr>
        <w:rPr>
          <w:lang w:eastAsia="ko-KR"/>
        </w:rPr>
      </w:pPr>
      <w:r w:rsidRPr="00482A35">
        <w:rPr>
          <w:lang w:eastAsia="ko-KR"/>
        </w:rPr>
        <w:t>The terms SSB and SMTC in this clause apply to CD-SSB only if not specified otherwise.</w:t>
      </w:r>
    </w:p>
    <w:p w14:paraId="01871F10" w14:textId="77777777" w:rsidR="000558CD" w:rsidRDefault="000558CD" w:rsidP="000558CD">
      <w:pPr>
        <w:rPr>
          <w:lang w:eastAsia="sv-SE"/>
        </w:rPr>
      </w:pPr>
      <w:r>
        <w:rPr>
          <w:lang w:eastAsia="sv-SE"/>
        </w:rPr>
        <w:t>T</w:t>
      </w:r>
      <w:r w:rsidRPr="006857A3">
        <w:rPr>
          <w:lang w:eastAsia="sv-SE"/>
        </w:rPr>
        <w:t xml:space="preserve">he 1 Rx RedCap </w:t>
      </w:r>
      <w:r>
        <w:rPr>
          <w:lang w:eastAsia="sv-SE"/>
        </w:rPr>
        <w:t xml:space="preserve">UE for performing the cell reselection procedure [1] </w:t>
      </w:r>
      <w:r w:rsidRPr="006857A3">
        <w:rPr>
          <w:lang w:eastAsia="sv-SE"/>
        </w:rPr>
        <w:t>applies</w:t>
      </w:r>
      <w:r>
        <w:rPr>
          <w:lang w:eastAsia="sv-SE"/>
        </w:rPr>
        <w:t>:</w:t>
      </w:r>
    </w:p>
    <w:p w14:paraId="37BF485C" w14:textId="77777777" w:rsidR="000558CD" w:rsidRPr="005F511B" w:rsidRDefault="000558CD" w:rsidP="000558CD">
      <w:pPr>
        <w:pStyle w:val="B10"/>
        <w:rPr>
          <w:rFonts w:cs="v4.2.0"/>
        </w:rPr>
      </w:pPr>
      <w:r>
        <w:rPr>
          <w:i/>
        </w:rPr>
        <w:t>-</w:t>
      </w:r>
      <w:r>
        <w:rPr>
          <w:i/>
        </w:rPr>
        <w:tab/>
      </w:r>
      <w:r w:rsidRPr="005F511B">
        <w:rPr>
          <w:i/>
        </w:rPr>
        <w:t xml:space="preserve">Qrxlevmin </w:t>
      </w:r>
      <w:r w:rsidRPr="006857A3">
        <w:rPr>
          <w:lang w:eastAsia="sv-SE"/>
        </w:rPr>
        <w:t xml:space="preserve">as the signaled value of </w:t>
      </w:r>
      <w:r w:rsidRPr="005F511B">
        <w:rPr>
          <w:i/>
        </w:rPr>
        <w:t xml:space="preserve">Qrxlevmin </w:t>
      </w:r>
      <w:r>
        <w:rPr>
          <w:lang w:eastAsia="sv-SE"/>
        </w:rPr>
        <w:t>[2] -1 dB</w:t>
      </w:r>
      <w:r w:rsidRPr="006857A3">
        <w:rPr>
          <w:lang w:eastAsia="sv-SE"/>
        </w:rPr>
        <w:t>.</w:t>
      </w:r>
    </w:p>
    <w:p w14:paraId="0E44D409" w14:textId="4047B6F5" w:rsidR="000558CD" w:rsidRPr="0025203F" w:rsidRDefault="000558CD" w:rsidP="000558CD">
      <w:pPr>
        <w:pStyle w:val="B10"/>
        <w:rPr>
          <w:lang w:val="en-US" w:eastAsia="ko-KR"/>
        </w:rPr>
      </w:pPr>
      <w:r>
        <w:rPr>
          <w:i/>
        </w:rPr>
        <w:t>-</w:t>
      </w:r>
      <w:r>
        <w:rPr>
          <w:i/>
        </w:rPr>
        <w:tab/>
      </w:r>
      <w:r w:rsidRPr="00A14EB4">
        <w:rPr>
          <w:i/>
        </w:rPr>
        <w:t xml:space="preserve">Qqualmin </w:t>
      </w:r>
      <w:r w:rsidRPr="006857A3">
        <w:rPr>
          <w:lang w:eastAsia="sv-SE"/>
        </w:rPr>
        <w:t xml:space="preserve">as the signaled value of </w:t>
      </w:r>
      <w:r w:rsidRPr="00A14EB4">
        <w:rPr>
          <w:i/>
        </w:rPr>
        <w:t>Qqualmin</w:t>
      </w:r>
      <w:r w:rsidRPr="006857A3">
        <w:rPr>
          <w:lang w:eastAsia="sv-SE"/>
        </w:rPr>
        <w:t xml:space="preserve"> </w:t>
      </w:r>
      <w:r>
        <w:rPr>
          <w:lang w:eastAsia="sv-SE"/>
        </w:rPr>
        <w:t>[2] -1 dB</w:t>
      </w:r>
      <w:r w:rsidRPr="006857A3">
        <w:rPr>
          <w:lang w:eastAsia="sv-SE"/>
        </w:rPr>
        <w:t>.</w:t>
      </w:r>
    </w:p>
    <w:p w14:paraId="4DF08DDE" w14:textId="77777777" w:rsidR="00D808CB" w:rsidRPr="0071510F" w:rsidRDefault="00D808CB" w:rsidP="00D808CB">
      <w:pPr>
        <w:pStyle w:val="Heading3"/>
        <w:rPr>
          <w:lang w:val="en-US" w:eastAsia="ko-KR"/>
        </w:rPr>
      </w:pPr>
      <w:r w:rsidRPr="00885F53">
        <w:rPr>
          <w:lang w:val="en-US" w:eastAsia="ko-KR"/>
        </w:rPr>
        <w:t>4.2</w:t>
      </w:r>
      <w:r>
        <w:rPr>
          <w:lang w:val="en-US" w:eastAsia="ko-KR"/>
        </w:rPr>
        <w:t>B</w:t>
      </w:r>
      <w:r w:rsidRPr="00885F53">
        <w:rPr>
          <w:lang w:val="en-US" w:eastAsia="ko-KR"/>
        </w:rPr>
        <w:t>.2</w:t>
      </w:r>
      <w:r w:rsidRPr="00885F53">
        <w:rPr>
          <w:lang w:val="en-US" w:eastAsia="ko-KR"/>
        </w:rPr>
        <w:tab/>
        <w:t>Requirements</w:t>
      </w:r>
    </w:p>
    <w:p w14:paraId="207F6773" w14:textId="77777777" w:rsidR="00D808CB" w:rsidRDefault="00D808CB" w:rsidP="00D808CB">
      <w:pPr>
        <w:pStyle w:val="Heading4"/>
      </w:pPr>
      <w:r>
        <w:t>4.2B.2.1</w:t>
      </w:r>
      <w:r>
        <w:tab/>
        <w:t>UE measurement capability for RedCap</w:t>
      </w:r>
    </w:p>
    <w:p w14:paraId="52B07AEC" w14:textId="77777777" w:rsidR="00D808CB" w:rsidRDefault="00D808CB" w:rsidP="00D808CB">
      <w:pPr>
        <w:pStyle w:val="Heading5"/>
        <w:rPr>
          <w:lang w:val="en-US" w:eastAsia="zh-CN"/>
        </w:rPr>
      </w:pPr>
      <w:r>
        <w:rPr>
          <w:lang w:val="en-US" w:eastAsia="zh-CN"/>
        </w:rPr>
        <w:t>4</w:t>
      </w:r>
      <w:r w:rsidRPr="009C5807">
        <w:rPr>
          <w:lang w:val="en-US" w:eastAsia="zh-CN"/>
        </w:rPr>
        <w:t>.2</w:t>
      </w:r>
      <w:r>
        <w:rPr>
          <w:lang w:val="en-US" w:eastAsia="zh-CN"/>
        </w:rPr>
        <w:t>B</w:t>
      </w:r>
      <w:r w:rsidRPr="009C5807">
        <w:rPr>
          <w:lang w:val="en-US" w:eastAsia="zh-CN"/>
        </w:rPr>
        <w:t>.</w:t>
      </w:r>
      <w:r>
        <w:rPr>
          <w:lang w:val="en-US" w:eastAsia="zh-CN"/>
        </w:rPr>
        <w:t>2</w:t>
      </w:r>
      <w:r w:rsidRPr="009C5807">
        <w:rPr>
          <w:lang w:val="en-US" w:eastAsia="zh-CN"/>
        </w:rPr>
        <w:t>.</w:t>
      </w:r>
      <w:r>
        <w:rPr>
          <w:lang w:val="en-US" w:eastAsia="zh-CN"/>
        </w:rPr>
        <w:t>1</w:t>
      </w:r>
      <w:r w:rsidRPr="009C5807">
        <w:rPr>
          <w:lang w:val="en-US" w:eastAsia="zh-CN"/>
        </w:rPr>
        <w:t>.1</w:t>
      </w:r>
      <w:r w:rsidRPr="009C5807">
        <w:rPr>
          <w:lang w:val="en-US" w:eastAsia="zh-CN"/>
        </w:rPr>
        <w:tab/>
      </w:r>
      <w:r w:rsidRPr="001322E1">
        <w:rPr>
          <w:lang w:val="en-US" w:eastAsia="zh-CN"/>
        </w:rPr>
        <w:t xml:space="preserve">UE measurement capability for </w:t>
      </w:r>
      <w:r>
        <w:rPr>
          <w:lang w:val="en-US" w:eastAsia="zh-CN"/>
        </w:rPr>
        <w:t>1 Rx RedCap</w:t>
      </w:r>
    </w:p>
    <w:p w14:paraId="576888E6" w14:textId="77777777" w:rsidR="00D808CB" w:rsidRPr="005735B1" w:rsidRDefault="00D808CB" w:rsidP="00D808CB">
      <w:r w:rsidRPr="005735B1">
        <w:t xml:space="preserve">For idle mode cell re-selection purposes, and for UE supporting </w:t>
      </w:r>
      <w:r w:rsidRPr="005735B1">
        <w:rPr>
          <w:i/>
          <w:iCs/>
        </w:rPr>
        <w:t>IdleInactiveMeasurements-r16</w:t>
      </w:r>
      <w:r w:rsidRPr="005735B1">
        <w:t xml:space="preserve"> or </w:t>
      </w:r>
      <w:r w:rsidRPr="005735B1">
        <w:rPr>
          <w:i/>
        </w:rPr>
        <w:t>idleInactiveEUTRA-MeasReport-r16</w:t>
      </w:r>
      <w:r>
        <w:rPr>
          <w:iCs/>
        </w:rPr>
        <w:t xml:space="preserve">, </w:t>
      </w:r>
      <w:r w:rsidRPr="005735B1">
        <w:t>the UE shall be capable of monitoring at least:</w:t>
      </w:r>
    </w:p>
    <w:p w14:paraId="6058BF3D" w14:textId="77777777" w:rsidR="00D808CB" w:rsidRPr="009C5807" w:rsidRDefault="00D808CB" w:rsidP="00D808CB">
      <w:pPr>
        <w:pStyle w:val="B10"/>
      </w:pPr>
      <w:r w:rsidRPr="009C5807">
        <w:rPr>
          <w:rFonts w:cs="v4.2.0"/>
        </w:rPr>
        <w:t>-</w:t>
      </w:r>
      <w:r w:rsidRPr="009C5807">
        <w:rPr>
          <w:rFonts w:cs="v4.2.0"/>
        </w:rPr>
        <w:tab/>
        <w:t>Intra-frequency carrier, and</w:t>
      </w:r>
    </w:p>
    <w:p w14:paraId="47AD5F47" w14:textId="77777777" w:rsidR="00D808CB" w:rsidRPr="009C5807" w:rsidRDefault="00D808CB" w:rsidP="00D808CB">
      <w:pPr>
        <w:pStyle w:val="B10"/>
      </w:pPr>
      <w:r w:rsidRPr="009C5807">
        <w:t>-</w:t>
      </w:r>
      <w:r w:rsidRPr="009C5807">
        <w:tab/>
        <w:t xml:space="preserve">Depending on UE capability, </w:t>
      </w:r>
      <w:r>
        <w:t>6</w:t>
      </w:r>
      <w:r w:rsidRPr="009C5807">
        <w:t xml:space="preserve"> NR inter-frequency carriers, and</w:t>
      </w:r>
    </w:p>
    <w:p w14:paraId="612CF1A5" w14:textId="77777777" w:rsidR="00D808CB" w:rsidRPr="009C5807" w:rsidRDefault="00D808CB" w:rsidP="00D808CB">
      <w:pPr>
        <w:pStyle w:val="B10"/>
      </w:pPr>
      <w:r w:rsidRPr="009C5807">
        <w:t>-</w:t>
      </w:r>
      <w:r w:rsidRPr="009C5807">
        <w:tab/>
        <w:t xml:space="preserve">Depending on UE capability, </w:t>
      </w:r>
      <w:r>
        <w:t>6</w:t>
      </w:r>
      <w:r w:rsidRPr="009C5807">
        <w:t xml:space="preserve"> FDD E-UTRA inter-RAT carriers, and</w:t>
      </w:r>
    </w:p>
    <w:p w14:paraId="143F3264" w14:textId="77777777" w:rsidR="00D808CB" w:rsidRPr="009C5807" w:rsidRDefault="00D808CB" w:rsidP="00D808CB">
      <w:pPr>
        <w:pStyle w:val="B10"/>
      </w:pPr>
      <w:r w:rsidRPr="009C5807">
        <w:t>-</w:t>
      </w:r>
      <w:r w:rsidRPr="009C5807">
        <w:tab/>
        <w:t xml:space="preserve">Depending on UE capability, </w:t>
      </w:r>
      <w:r>
        <w:t>6</w:t>
      </w:r>
      <w:r w:rsidRPr="009C5807">
        <w:t xml:space="preserve"> TDD E-UTRA inter-RAT carriers.</w:t>
      </w:r>
    </w:p>
    <w:p w14:paraId="577CEBEF" w14:textId="77777777" w:rsidR="00D808CB" w:rsidRDefault="00D808CB" w:rsidP="00D808CB">
      <w:r w:rsidRPr="009C5807">
        <w:rPr>
          <w:iCs/>
        </w:rPr>
        <w:t xml:space="preserve">In addition to the requirements defined above, </w:t>
      </w:r>
      <w:r w:rsidRPr="009C5807">
        <w:t>a UE supporting E-UTRA measurements in RRC_IDLE state shall be capable of monitoring a total of at least 1</w:t>
      </w:r>
      <w:r>
        <w:t>1</w:t>
      </w:r>
      <w:r w:rsidRPr="009C5807">
        <w:t xml:space="preserve"> carrier frequency layers, which includes serving layer, comprising of any above defined combination of E-UTRA FDD, E-UTRA TDD and NR layers.</w:t>
      </w:r>
    </w:p>
    <w:p w14:paraId="6E742635" w14:textId="77777777" w:rsidR="00D808CB" w:rsidRPr="0071510F" w:rsidRDefault="00D808CB" w:rsidP="00D808CB">
      <w:pPr>
        <w:rPr>
          <w:lang w:eastAsia="zh-CN"/>
        </w:rPr>
      </w:pPr>
    </w:p>
    <w:p w14:paraId="78EABF27" w14:textId="77777777" w:rsidR="00D808CB" w:rsidRDefault="00D808CB" w:rsidP="00D808CB">
      <w:pPr>
        <w:pStyle w:val="Heading5"/>
        <w:rPr>
          <w:lang w:val="en-US" w:eastAsia="zh-CN"/>
        </w:rPr>
      </w:pPr>
      <w:r>
        <w:rPr>
          <w:lang w:val="en-US" w:eastAsia="zh-CN"/>
        </w:rPr>
        <w:t>4</w:t>
      </w:r>
      <w:r w:rsidRPr="009C5807">
        <w:rPr>
          <w:lang w:val="en-US" w:eastAsia="zh-CN"/>
        </w:rPr>
        <w:t>.2</w:t>
      </w:r>
      <w:r>
        <w:rPr>
          <w:lang w:val="en-US" w:eastAsia="zh-CN"/>
        </w:rPr>
        <w:t>B</w:t>
      </w:r>
      <w:r w:rsidRPr="009C5807">
        <w:rPr>
          <w:lang w:val="en-US" w:eastAsia="zh-CN"/>
        </w:rPr>
        <w:t>.</w:t>
      </w:r>
      <w:r>
        <w:rPr>
          <w:lang w:val="en-US" w:eastAsia="zh-CN"/>
        </w:rPr>
        <w:t>2</w:t>
      </w:r>
      <w:r w:rsidRPr="009C5807">
        <w:rPr>
          <w:lang w:val="en-US" w:eastAsia="zh-CN"/>
        </w:rPr>
        <w:t>.</w:t>
      </w:r>
      <w:r>
        <w:rPr>
          <w:lang w:val="en-US" w:eastAsia="zh-CN"/>
        </w:rPr>
        <w:t>1</w:t>
      </w:r>
      <w:r w:rsidRPr="009C5807">
        <w:rPr>
          <w:lang w:val="en-US" w:eastAsia="zh-CN"/>
        </w:rPr>
        <w:t>.</w:t>
      </w:r>
      <w:r>
        <w:rPr>
          <w:lang w:val="en-US" w:eastAsia="zh-CN"/>
        </w:rPr>
        <w:t>2</w:t>
      </w:r>
      <w:r w:rsidRPr="009C5807">
        <w:rPr>
          <w:lang w:val="en-US" w:eastAsia="zh-CN"/>
        </w:rPr>
        <w:tab/>
      </w:r>
      <w:r w:rsidRPr="001322E1">
        <w:rPr>
          <w:lang w:val="en-US" w:eastAsia="zh-CN"/>
        </w:rPr>
        <w:t xml:space="preserve">UE measurement capability for </w:t>
      </w:r>
      <w:r>
        <w:rPr>
          <w:lang w:val="en-US" w:eastAsia="zh-CN"/>
        </w:rPr>
        <w:t>2 Rx RedCap</w:t>
      </w:r>
    </w:p>
    <w:p w14:paraId="60B43DC4" w14:textId="77777777" w:rsidR="00D808CB" w:rsidRDefault="00D808CB" w:rsidP="00D808CB">
      <w:r w:rsidRPr="00691C10">
        <w:t xml:space="preserve">The </w:t>
      </w:r>
      <w:r>
        <w:t>capability</w:t>
      </w:r>
      <w:r w:rsidRPr="00691C10">
        <w:t xml:space="preserve"> defined in section </w:t>
      </w:r>
      <w:r>
        <w:t>4.2.2.1</w:t>
      </w:r>
      <w:r w:rsidRPr="00691C10">
        <w:t xml:space="preserve"> apply for this section.</w:t>
      </w:r>
    </w:p>
    <w:p w14:paraId="7DB2791E" w14:textId="77777777" w:rsidR="00D808CB" w:rsidRDefault="00D808CB" w:rsidP="00D808CB">
      <w:pPr>
        <w:pStyle w:val="Heading4"/>
      </w:pPr>
      <w:r>
        <w:t>4.2B.2.2</w:t>
      </w:r>
      <w:r>
        <w:tab/>
        <w:t>Measurement and evaluation of serving cell for RedCap UE</w:t>
      </w:r>
    </w:p>
    <w:p w14:paraId="42DD69D6" w14:textId="77777777" w:rsidR="00D808CB" w:rsidRPr="009C5807" w:rsidRDefault="00D808CB" w:rsidP="00D808CB">
      <w:pPr>
        <w:rPr>
          <w:rFonts w:cs="v4.2.0"/>
        </w:rPr>
      </w:pPr>
      <w:r w:rsidRPr="009C5807">
        <w:rPr>
          <w:rFonts w:cs="v4.2.0"/>
        </w:rPr>
        <w:t xml:space="preserve">The UE shall measure the </w:t>
      </w:r>
      <w:r w:rsidRPr="00FB0826">
        <w:rPr>
          <w:rFonts w:cs="v4.2.0"/>
        </w:rPr>
        <w:t>SS-</w:t>
      </w:r>
      <w:r w:rsidRPr="009C5807">
        <w:rPr>
          <w:rFonts w:cs="v4.2.0"/>
        </w:rPr>
        <w:t xml:space="preserve">RSRP and </w:t>
      </w:r>
      <w:r w:rsidRPr="00FB0826">
        <w:rPr>
          <w:rFonts w:cs="v4.2.0"/>
        </w:rPr>
        <w:t>SS-</w:t>
      </w:r>
      <w:r w:rsidRPr="009C5807">
        <w:rPr>
          <w:rFonts w:cs="v4.2.0"/>
        </w:rPr>
        <w:t xml:space="preserve">RSRQ level of the serving cell and evaluate the cell selection criterion S defined in </w:t>
      </w:r>
      <w:r w:rsidRPr="00FB0826">
        <w:rPr>
          <w:rFonts w:cs="v4.2.0"/>
        </w:rPr>
        <w:t>TS 38.304</w:t>
      </w:r>
      <w:r w:rsidRPr="009C5807">
        <w:rPr>
          <w:rFonts w:cs="v4.2.0"/>
        </w:rPr>
        <w:t> [1] for the serving cell at least once every M1*N1 DRX cycle; where:</w:t>
      </w:r>
    </w:p>
    <w:p w14:paraId="43320CFC" w14:textId="62D816AD" w:rsidR="00D808CB" w:rsidRPr="009C5807" w:rsidRDefault="00700469" w:rsidP="005965D4">
      <w:pPr>
        <w:pStyle w:val="B10"/>
      </w:pPr>
      <w:r>
        <w:t>-</w:t>
      </w:r>
      <w:r w:rsidR="005965D4">
        <w:tab/>
      </w:r>
      <w:r w:rsidR="00D808CB" w:rsidRPr="009C5807">
        <w:t>M1=2 if SMTC periodicity (T</w:t>
      </w:r>
      <w:r w:rsidR="00D808CB" w:rsidRPr="009C5807">
        <w:rPr>
          <w:vertAlign w:val="subscript"/>
        </w:rPr>
        <w:t>SMTC</w:t>
      </w:r>
      <w:r w:rsidR="00D808CB" w:rsidRPr="009C5807">
        <w:t xml:space="preserve">) &gt; 20 ms and DRX cycle </w:t>
      </w:r>
      <w:r w:rsidR="00D808CB" w:rsidRPr="009C5807">
        <w:rPr>
          <w:rFonts w:hint="eastAsia"/>
        </w:rPr>
        <w:t>≤</w:t>
      </w:r>
      <w:r w:rsidR="00D808CB" w:rsidRPr="009C5807">
        <w:t xml:space="preserve"> 0.64 second,</w:t>
      </w:r>
    </w:p>
    <w:p w14:paraId="7228FC01" w14:textId="16EADE3D" w:rsidR="00D808CB" w:rsidRPr="009C5807" w:rsidRDefault="00700469" w:rsidP="005965D4">
      <w:pPr>
        <w:pStyle w:val="B10"/>
      </w:pPr>
      <w:r>
        <w:t>-</w:t>
      </w:r>
      <w:r w:rsidR="005965D4">
        <w:tab/>
      </w:r>
      <w:r w:rsidR="00D808CB" w:rsidRPr="009C5807">
        <w:t>otherwise M1=1.</w:t>
      </w:r>
    </w:p>
    <w:p w14:paraId="2958B81D" w14:textId="77777777" w:rsidR="00D808CB" w:rsidRPr="009C5807" w:rsidRDefault="00D808CB" w:rsidP="00D808CB">
      <w:pPr>
        <w:rPr>
          <w:rFonts w:cs="v4.2.0"/>
        </w:rPr>
      </w:pPr>
      <w:r w:rsidRPr="009C5807">
        <w:rPr>
          <w:rFonts w:cs="v4.2.0"/>
        </w:rPr>
        <w:t xml:space="preserve">The UE shall filter the </w:t>
      </w:r>
      <w:r w:rsidRPr="009C5807">
        <w:rPr>
          <w:rFonts w:cs="v4.2.0"/>
          <w:lang w:eastAsia="zh-CN"/>
        </w:rPr>
        <w:t>SS-</w:t>
      </w:r>
      <w:r w:rsidRPr="009C5807">
        <w:rPr>
          <w:rFonts w:cs="v4.2.0"/>
        </w:rPr>
        <w:t xml:space="preserve">RSRP and </w:t>
      </w:r>
      <w:r w:rsidRPr="009C5807">
        <w:rPr>
          <w:rFonts w:cs="v4.2.0"/>
          <w:lang w:eastAsia="zh-CN"/>
        </w:rPr>
        <w:t>SS-</w:t>
      </w:r>
      <w:r w:rsidRPr="009C5807">
        <w:rPr>
          <w:rFonts w:cs="v4.2.0"/>
        </w:rPr>
        <w:t>RSRQ measurements of the serving cell using at least 2 measurements. Within the set of measurements used for the filtering, at least two measurements shall be spaced by, at least DRX cycle/2.</w:t>
      </w:r>
    </w:p>
    <w:p w14:paraId="154CB4D4" w14:textId="4E9422F5" w:rsidR="0025203F" w:rsidRDefault="00E37794" w:rsidP="0025203F">
      <w:pPr>
        <w:rPr>
          <w:rFonts w:cs="v4.2.0"/>
        </w:rPr>
      </w:pPr>
      <w:r w:rsidRPr="00691C10">
        <w:rPr>
          <w:rFonts w:cs="v4.2.0"/>
        </w:rPr>
        <w:t xml:space="preserve">If the UE is not configured with eDRX_IDLE cycle and </w:t>
      </w:r>
      <w:r w:rsidRPr="009C5807">
        <w:rPr>
          <w:rFonts w:cs="v4.2.0"/>
        </w:rPr>
        <w:t>the UE has evaluated according to Table</w:t>
      </w:r>
      <w:r w:rsidRPr="009C5807">
        <w:rPr>
          <w:rFonts w:cs="v4.2.0"/>
          <w:lang w:eastAsia="zh-CN"/>
        </w:rPr>
        <w:t xml:space="preserve"> </w:t>
      </w:r>
      <w:r w:rsidRPr="009C5807">
        <w:t>4.2</w:t>
      </w:r>
      <w:r>
        <w:t>B</w:t>
      </w:r>
      <w:r w:rsidRPr="009C5807">
        <w:t>.2.2-</w:t>
      </w:r>
      <w:r>
        <w:t>1</w:t>
      </w:r>
      <w:r w:rsidRPr="009C5807">
        <w:rPr>
          <w:rFonts w:cs="v4.2.0"/>
        </w:rPr>
        <w:t xml:space="preserve"> </w:t>
      </w:r>
      <w:r>
        <w:rPr>
          <w:rFonts w:cs="v4.2.0"/>
        </w:rPr>
        <w:t xml:space="preserve">for both 1Rx RedCap and 2Rx RedCap </w:t>
      </w:r>
      <w:r w:rsidRPr="009C5807">
        <w:rPr>
          <w:rFonts w:cs="v4.2.0"/>
        </w:rPr>
        <w:t>in</w:t>
      </w:r>
      <w:r w:rsidR="0025203F" w:rsidRPr="009C5807">
        <w:rPr>
          <w:rFonts w:cs="v4.2.0"/>
        </w:rPr>
        <w:t xml:space="preserve"> N</w:t>
      </w:r>
      <w:r w:rsidR="0025203F" w:rsidRPr="009C5807">
        <w:rPr>
          <w:rFonts w:cs="v4.2.0"/>
          <w:vertAlign w:val="subscript"/>
        </w:rPr>
        <w:t>serv</w:t>
      </w:r>
      <w:r w:rsidR="0025203F">
        <w:rPr>
          <w:rFonts w:cs="v4.2.0"/>
          <w:vertAlign w:val="subscript"/>
        </w:rPr>
        <w:t>_RedCap</w:t>
      </w:r>
      <w:r w:rsidR="0025203F" w:rsidRPr="009C5807">
        <w:rPr>
          <w:rFonts w:cs="v4.2.0"/>
        </w:rPr>
        <w:t xml:space="preserve"> consecutive DRX cycles that the serving cell does not fulfil the cell selection criterion S, the UE shall initiate the measurements of all neighbour cells indicated by the serving cell, regardless of the measurement rules currently limiting UE measurement activities.</w:t>
      </w:r>
      <w:r w:rsidR="0025203F" w:rsidRPr="004360DE">
        <w:rPr>
          <w:rFonts w:cs="v4.2.0"/>
        </w:rPr>
        <w:t xml:space="preserve"> </w:t>
      </w:r>
      <w:r w:rsidR="003D151D" w:rsidRPr="009C5807">
        <w:rPr>
          <w:rFonts w:cs="v4.2.0"/>
        </w:rPr>
        <w:t>.</w:t>
      </w:r>
      <w:r w:rsidR="003D151D" w:rsidRPr="004360DE">
        <w:rPr>
          <w:rFonts w:cs="v4.2.0"/>
        </w:rPr>
        <w:t xml:space="preserve"> </w:t>
      </w:r>
      <w:r w:rsidR="003D151D" w:rsidRPr="006B2D2F">
        <w:rPr>
          <w:rFonts w:cs="v4.2.0"/>
        </w:rPr>
        <w:t xml:space="preserve">In this case the UE shall not relax measurements on any of the neighbour cells even if </w:t>
      </w:r>
      <w:r w:rsidR="003D151D">
        <w:rPr>
          <w:rFonts w:cs="v4.2.0"/>
        </w:rPr>
        <w:t xml:space="preserve">UE has fulfilled the criteria for meeting the relaxed measurement requirements defined clauses </w:t>
      </w:r>
      <w:r w:rsidR="003D151D">
        <w:rPr>
          <w:lang w:val="en-US" w:eastAsia="zh-CN"/>
        </w:rPr>
        <w:t xml:space="preserve">4.2B.2.9.3, 4.2B.2.9.5, </w:t>
      </w:r>
      <w:r w:rsidR="003D151D" w:rsidRPr="00D07D26">
        <w:rPr>
          <w:lang w:val="en-US" w:eastAsia="zh-CN"/>
        </w:rPr>
        <w:t>4.2B.2.9.6</w:t>
      </w:r>
      <w:r w:rsidR="003D151D">
        <w:rPr>
          <w:lang w:val="en-US" w:eastAsia="zh-CN"/>
        </w:rPr>
        <w:t xml:space="preserve">, </w:t>
      </w:r>
      <w:r w:rsidR="003D151D" w:rsidRPr="0082197E">
        <w:rPr>
          <w:lang w:val="en-US" w:eastAsia="zh-CN"/>
        </w:rPr>
        <w:t>4.2B.2.9.7</w:t>
      </w:r>
      <w:r w:rsidR="003D151D">
        <w:rPr>
          <w:lang w:val="en-US" w:eastAsia="zh-CN"/>
        </w:rPr>
        <w:t xml:space="preserve">, </w:t>
      </w:r>
      <w:r w:rsidR="003D151D" w:rsidRPr="00AD5C2C">
        <w:rPr>
          <w:lang w:val="en-US" w:eastAsia="zh-CN"/>
        </w:rPr>
        <w:t>4.2B.2.10.3</w:t>
      </w:r>
      <w:r w:rsidR="003D151D">
        <w:rPr>
          <w:lang w:val="en-US" w:eastAsia="zh-CN"/>
        </w:rPr>
        <w:t xml:space="preserve">, </w:t>
      </w:r>
      <w:r w:rsidR="003D151D" w:rsidRPr="00BE54BE">
        <w:rPr>
          <w:lang w:val="en-US" w:eastAsia="zh-CN"/>
        </w:rPr>
        <w:t>4.2B.2.10.5</w:t>
      </w:r>
      <w:r w:rsidR="003D151D">
        <w:rPr>
          <w:lang w:val="en-US" w:eastAsia="zh-CN"/>
        </w:rPr>
        <w:t xml:space="preserve">, </w:t>
      </w:r>
      <w:r w:rsidR="003D151D" w:rsidRPr="0082197E">
        <w:rPr>
          <w:lang w:val="en-US" w:eastAsia="zh-CN"/>
        </w:rPr>
        <w:t>4.2B.2.10.6</w:t>
      </w:r>
      <w:r w:rsidR="003D151D">
        <w:rPr>
          <w:lang w:val="en-US" w:eastAsia="zh-CN"/>
        </w:rPr>
        <w:t xml:space="preserve">, </w:t>
      </w:r>
      <w:r w:rsidR="003D151D" w:rsidRPr="0082197E">
        <w:rPr>
          <w:lang w:val="en-US" w:eastAsia="zh-CN"/>
        </w:rPr>
        <w:t>4.2B.2.10.7</w:t>
      </w:r>
      <w:r w:rsidR="003D151D">
        <w:rPr>
          <w:lang w:val="en-US" w:eastAsia="zh-CN"/>
        </w:rPr>
        <w:t xml:space="preserve">, </w:t>
      </w:r>
      <w:r w:rsidR="003D151D" w:rsidRPr="00BE54BE">
        <w:rPr>
          <w:lang w:val="en-US" w:eastAsia="zh-CN"/>
        </w:rPr>
        <w:t>4.2B.2.11.3</w:t>
      </w:r>
      <w:r w:rsidR="003D151D">
        <w:rPr>
          <w:lang w:val="en-US" w:eastAsia="zh-CN"/>
        </w:rPr>
        <w:t xml:space="preserve">, 4.2B.2.11.5, </w:t>
      </w:r>
      <w:r w:rsidR="003D151D" w:rsidRPr="0082197E">
        <w:rPr>
          <w:lang w:val="en-US" w:eastAsia="zh-CN"/>
        </w:rPr>
        <w:t>4.2B.2.11.6</w:t>
      </w:r>
      <w:r w:rsidR="003D151D">
        <w:rPr>
          <w:lang w:val="en-US" w:eastAsia="zh-CN"/>
        </w:rPr>
        <w:t xml:space="preserve">, and </w:t>
      </w:r>
      <w:r w:rsidR="003D151D" w:rsidRPr="0082197E">
        <w:rPr>
          <w:lang w:val="en-US" w:eastAsia="zh-CN"/>
        </w:rPr>
        <w:t>4.2B.2.11.7</w:t>
      </w:r>
      <w:r w:rsidR="003D151D">
        <w:rPr>
          <w:lang w:val="en-US" w:eastAsia="zh-CN"/>
        </w:rPr>
        <w:t>.</w:t>
      </w:r>
    </w:p>
    <w:p w14:paraId="2DFB4604" w14:textId="7E77212C" w:rsidR="003D151D" w:rsidRDefault="0025203F" w:rsidP="0025203F">
      <w:pPr>
        <w:rPr>
          <w:rFonts w:cs="v4.2.0"/>
        </w:rPr>
      </w:pPr>
      <w:r w:rsidRPr="00691C10">
        <w:rPr>
          <w:rFonts w:cs="v4.2.0"/>
        </w:rPr>
        <w:t>If the UE is configured with eDRX_IDLE cycle and has evaluated according N</w:t>
      </w:r>
      <w:r w:rsidRPr="00691C10">
        <w:rPr>
          <w:rFonts w:cs="v4.2.0"/>
          <w:vertAlign w:val="subscript"/>
        </w:rPr>
        <w:t>serv</w:t>
      </w:r>
      <w:r>
        <w:rPr>
          <w:rFonts w:cs="v4.2.0"/>
          <w:vertAlign w:val="subscript"/>
        </w:rPr>
        <w:t>_RedCap</w:t>
      </w:r>
      <w:r w:rsidRPr="00691C10">
        <w:rPr>
          <w:rFonts w:cs="v4.2.0"/>
        </w:rPr>
        <w:t xml:space="preserve"> consecutive DRX cycles within a single PTW that the serving cell does not fulfil the cell selection criterion S, the UE shall initiate the measurements of all neighbour cells indicated by the </w:t>
      </w:r>
      <w:r w:rsidRPr="0082332A">
        <w:rPr>
          <w:rFonts w:cs="v4.2.0"/>
        </w:rPr>
        <w:t xml:space="preserve">serving cell, regardless of the measurement rules currently limiting UE measurement </w:t>
      </w:r>
      <w:r w:rsidRPr="00CC3310">
        <w:rPr>
          <w:rFonts w:cs="v4.2.0"/>
        </w:rPr>
        <w:t xml:space="preserve">activities. </w:t>
      </w:r>
      <w:r w:rsidR="003D151D" w:rsidRPr="006B2D2F">
        <w:rPr>
          <w:rFonts w:cs="v4.2.0"/>
        </w:rPr>
        <w:t xml:space="preserve">In this case the UE shall not relax measurements on any of the neighbour cells even if </w:t>
      </w:r>
      <w:r w:rsidR="003D151D">
        <w:rPr>
          <w:rFonts w:cs="v4.2.0"/>
        </w:rPr>
        <w:t xml:space="preserve">UE has fulfilled the criteria for meeting the relaxed measurement requirements defined clauses </w:t>
      </w:r>
      <w:r w:rsidR="003D151D">
        <w:rPr>
          <w:lang w:val="en-US" w:eastAsia="zh-CN"/>
        </w:rPr>
        <w:t xml:space="preserve">4.2B.2.9.3, 4.2B.2.9.5, </w:t>
      </w:r>
      <w:r w:rsidR="003D151D" w:rsidRPr="00D07D26">
        <w:rPr>
          <w:lang w:val="en-US" w:eastAsia="zh-CN"/>
        </w:rPr>
        <w:t>4.2B.2.9.6</w:t>
      </w:r>
      <w:r w:rsidR="003D151D">
        <w:rPr>
          <w:lang w:val="en-US" w:eastAsia="zh-CN"/>
        </w:rPr>
        <w:t xml:space="preserve">, </w:t>
      </w:r>
      <w:r w:rsidR="003D151D" w:rsidRPr="0082197E">
        <w:rPr>
          <w:lang w:val="en-US" w:eastAsia="zh-CN"/>
        </w:rPr>
        <w:t>4.2B.2.9.7</w:t>
      </w:r>
      <w:r w:rsidR="003D151D">
        <w:rPr>
          <w:lang w:val="en-US" w:eastAsia="zh-CN"/>
        </w:rPr>
        <w:t xml:space="preserve">, </w:t>
      </w:r>
      <w:r w:rsidR="003D151D" w:rsidRPr="00AD5C2C">
        <w:rPr>
          <w:lang w:val="en-US" w:eastAsia="zh-CN"/>
        </w:rPr>
        <w:t>4.2B.2.10.3</w:t>
      </w:r>
      <w:r w:rsidR="003D151D">
        <w:rPr>
          <w:lang w:val="en-US" w:eastAsia="zh-CN"/>
        </w:rPr>
        <w:t xml:space="preserve">, </w:t>
      </w:r>
      <w:r w:rsidR="003D151D" w:rsidRPr="00BE54BE">
        <w:rPr>
          <w:lang w:val="en-US" w:eastAsia="zh-CN"/>
        </w:rPr>
        <w:t>4.2B.2.10.5</w:t>
      </w:r>
      <w:r w:rsidR="003D151D">
        <w:rPr>
          <w:lang w:val="en-US" w:eastAsia="zh-CN"/>
        </w:rPr>
        <w:t xml:space="preserve">, </w:t>
      </w:r>
      <w:r w:rsidR="003D151D" w:rsidRPr="0082197E">
        <w:rPr>
          <w:lang w:val="en-US" w:eastAsia="zh-CN"/>
        </w:rPr>
        <w:t>4.2B.2.10.6</w:t>
      </w:r>
      <w:r w:rsidR="003D151D">
        <w:rPr>
          <w:lang w:val="en-US" w:eastAsia="zh-CN"/>
        </w:rPr>
        <w:t xml:space="preserve">, </w:t>
      </w:r>
      <w:r w:rsidR="003D151D" w:rsidRPr="0082197E">
        <w:rPr>
          <w:lang w:val="en-US" w:eastAsia="zh-CN"/>
        </w:rPr>
        <w:t>4.2B.2.10.7</w:t>
      </w:r>
      <w:r w:rsidR="003D151D">
        <w:rPr>
          <w:lang w:val="en-US" w:eastAsia="zh-CN"/>
        </w:rPr>
        <w:t xml:space="preserve">, </w:t>
      </w:r>
      <w:r w:rsidR="003D151D" w:rsidRPr="00BE54BE">
        <w:rPr>
          <w:lang w:val="en-US" w:eastAsia="zh-CN"/>
        </w:rPr>
        <w:t>4.2B.2.11.3</w:t>
      </w:r>
      <w:r w:rsidR="003D151D">
        <w:rPr>
          <w:lang w:val="en-US" w:eastAsia="zh-CN"/>
        </w:rPr>
        <w:t xml:space="preserve">, 4.2B.2.11.5, </w:t>
      </w:r>
      <w:r w:rsidR="003D151D" w:rsidRPr="0082197E">
        <w:rPr>
          <w:lang w:val="en-US" w:eastAsia="zh-CN"/>
        </w:rPr>
        <w:t>4.2B.2.11.6</w:t>
      </w:r>
      <w:r w:rsidR="003D151D">
        <w:rPr>
          <w:lang w:val="en-US" w:eastAsia="zh-CN"/>
        </w:rPr>
        <w:t xml:space="preserve">, and </w:t>
      </w:r>
      <w:r w:rsidR="003D151D" w:rsidRPr="0082197E">
        <w:rPr>
          <w:lang w:val="en-US" w:eastAsia="zh-CN"/>
        </w:rPr>
        <w:t>4.2B.2.11.7</w:t>
      </w:r>
      <w:r w:rsidR="003D151D">
        <w:rPr>
          <w:lang w:val="en-US" w:eastAsia="zh-CN"/>
        </w:rPr>
        <w:t>.</w:t>
      </w:r>
    </w:p>
    <w:p w14:paraId="37DA4981" w14:textId="5F753190" w:rsidR="00D808CB" w:rsidRDefault="0025203F" w:rsidP="0025203F">
      <w:pPr>
        <w:rPr>
          <w:rFonts w:cs="v4.2.0"/>
        </w:rPr>
      </w:pPr>
      <w:r w:rsidRPr="00087BA1">
        <w:rPr>
          <w:rFonts w:cs="v4.2.0"/>
        </w:rPr>
        <w:t xml:space="preserve">For the </w:t>
      </w:r>
      <w:r w:rsidRPr="00087BA1">
        <w:rPr>
          <w:rFonts w:cs="v4.2.0"/>
          <w:lang w:eastAsia="zh-CN"/>
        </w:rPr>
        <w:t xml:space="preserve">UE configured with eDRX_IDLE cycle, </w:t>
      </w:r>
      <w:r w:rsidRPr="00087BA1">
        <w:rPr>
          <w:rFonts w:cs="v4.2.0"/>
        </w:rPr>
        <w:t>N</w:t>
      </w:r>
      <w:r w:rsidRPr="00087BA1">
        <w:rPr>
          <w:rFonts w:cs="v4.2.0"/>
          <w:vertAlign w:val="subscript"/>
        </w:rPr>
        <w:t>serv_RedCap</w:t>
      </w:r>
      <w:r w:rsidRPr="00087BA1">
        <w:rPr>
          <w:rFonts w:cs="v4.2.0"/>
        </w:rPr>
        <w:t xml:space="preserve"> is specified in Table</w:t>
      </w:r>
      <w:r w:rsidRPr="00087BA1">
        <w:rPr>
          <w:rFonts w:cs="v4.2.0"/>
          <w:lang w:eastAsia="zh-CN"/>
        </w:rPr>
        <w:t xml:space="preserve"> </w:t>
      </w:r>
      <w:r w:rsidRPr="00087BA1">
        <w:t>4.2B.2.2-2 for</w:t>
      </w:r>
      <w:r>
        <w:t xml:space="preserve"> 1 Rx RedCap and 2 Rx RedCap </w:t>
      </w:r>
      <w:r w:rsidRPr="00087BA1">
        <w:t xml:space="preserve">in FR1 and in </w:t>
      </w:r>
      <w:r w:rsidRPr="0082332A">
        <w:rPr>
          <w:rFonts w:cs="v4.2.0"/>
        </w:rPr>
        <w:t>Table</w:t>
      </w:r>
      <w:r w:rsidRPr="00087BA1">
        <w:rPr>
          <w:rFonts w:cs="v4.2.0"/>
          <w:lang w:eastAsia="zh-CN"/>
        </w:rPr>
        <w:t xml:space="preserve"> </w:t>
      </w:r>
      <w:r w:rsidRPr="00087BA1">
        <w:t xml:space="preserve">4.2B.2.2-3 for FR2 for </w:t>
      </w:r>
      <w:r>
        <w:t>2 Rx RedCap</w:t>
      </w:r>
      <w:r w:rsidRPr="0082332A">
        <w:t>.</w:t>
      </w:r>
    </w:p>
    <w:p w14:paraId="0B492CB6" w14:textId="5F9CC451" w:rsidR="00427439" w:rsidRDefault="00D808CB" w:rsidP="00427439">
      <w:r w:rsidRPr="009C5807">
        <w:t xml:space="preserve">If the UE in RRC_IDLE has not found any new suitable cell based on searches and measurements using the intra-frequency, inter-frequency and inter-RAT information indicated in the system information </w:t>
      </w:r>
      <w:r>
        <w:t>during the time T</w:t>
      </w:r>
      <w:r w:rsidRPr="009C5807">
        <w:t>, the UE shall initiate cell selection procedures for the selected PLMN as defined in TS 38.304 [1]</w:t>
      </w:r>
      <w:r>
        <w:t xml:space="preserve">, where </w:t>
      </w:r>
    </w:p>
    <w:p w14:paraId="256B0426" w14:textId="5434DE83" w:rsidR="005965D4" w:rsidRDefault="00427439" w:rsidP="005965D4">
      <w:pPr>
        <w:pStyle w:val="B10"/>
      </w:pPr>
      <w:r>
        <w:t>-</w:t>
      </w:r>
      <w:r w:rsidR="005965D4">
        <w:tab/>
        <w:t xml:space="preserve">T= 10 s if the UE is not configured with eDRX_IDLE cycle, or </w:t>
      </w:r>
    </w:p>
    <w:p w14:paraId="158ADB28" w14:textId="5F169C30" w:rsidR="005965D4" w:rsidRDefault="00427439" w:rsidP="005965D4">
      <w:pPr>
        <w:pStyle w:val="B10"/>
      </w:pPr>
      <w:r>
        <w:t>-</w:t>
      </w:r>
      <w:r w:rsidR="005965D4">
        <w:tab/>
        <w:t>T= MAX (10 s, one eDRX_IDLE cycle) if the UE is configured with eDRX_IDLE cycle in FR1, or</w:t>
      </w:r>
    </w:p>
    <w:p w14:paraId="0B064D99" w14:textId="52D57AE2" w:rsidR="005965D4" w:rsidRDefault="00427439" w:rsidP="005965D4">
      <w:pPr>
        <w:pStyle w:val="B10"/>
      </w:pPr>
      <w:r>
        <w:t>-</w:t>
      </w:r>
      <w:r w:rsidR="005965D4">
        <w:tab/>
        <w:t xml:space="preserve">T= MAX (10 s, N1* eDRX_IDLE cycle) if the UE is configured with eDRX_IDLE cycle less than 20.48s in FR2, </w:t>
      </w:r>
    </w:p>
    <w:p w14:paraId="3ED083A7" w14:textId="70E697A4" w:rsidR="00D808CB" w:rsidRDefault="004B0A51" w:rsidP="00AF5628">
      <w:pPr>
        <w:pStyle w:val="B10"/>
      </w:pPr>
      <w:r>
        <w:t>-</w:t>
      </w:r>
      <w:r w:rsidR="005965D4">
        <w:tab/>
        <w:t>Otherwise, T= MAX (10 s, one eDRX_IDLE cycle) if the UE is configured with eDRX_IDLE cycle no less than 20.48 s in FR2</w:t>
      </w:r>
    </w:p>
    <w:p w14:paraId="60577E53" w14:textId="77777777" w:rsidR="00D808CB" w:rsidRPr="009C5807" w:rsidRDefault="00D808CB" w:rsidP="00D808CB">
      <w:pPr>
        <w:pStyle w:val="TH"/>
        <w:rPr>
          <w:vertAlign w:val="subscript"/>
        </w:rPr>
      </w:pPr>
      <w:r w:rsidRPr="009C5807">
        <w:t>Table 4.2</w:t>
      </w:r>
      <w:r>
        <w:t>B</w:t>
      </w:r>
      <w:r w:rsidRPr="009C5807">
        <w:t>.2.2-1: N</w:t>
      </w:r>
      <w:r w:rsidRPr="009C5807">
        <w:rPr>
          <w:vertAlign w:val="subscript"/>
        </w:rPr>
        <w:t>serv</w:t>
      </w:r>
      <w:r>
        <w:rPr>
          <w:vertAlign w:val="subscript"/>
        </w:rPr>
        <w:t>_RedCap</w:t>
      </w:r>
    </w:p>
    <w:tbl>
      <w:tblPr>
        <w:tblW w:w="37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5"/>
        <w:gridCol w:w="1096"/>
        <w:gridCol w:w="1096"/>
        <w:gridCol w:w="2918"/>
      </w:tblGrid>
      <w:tr w:rsidR="00D808CB" w:rsidRPr="009C5807" w14:paraId="353EBC7C" w14:textId="77777777" w:rsidTr="001313A6">
        <w:trPr>
          <w:cantSplit/>
          <w:trHeight w:val="207"/>
          <w:jc w:val="center"/>
        </w:trPr>
        <w:tc>
          <w:tcPr>
            <w:tcW w:w="1498" w:type="pct"/>
            <w:tcBorders>
              <w:bottom w:val="nil"/>
            </w:tcBorders>
          </w:tcPr>
          <w:p w14:paraId="17961C22" w14:textId="77777777" w:rsidR="00D808CB" w:rsidRPr="009C5807" w:rsidRDefault="00D808CB" w:rsidP="001313A6">
            <w:pPr>
              <w:pStyle w:val="TAH"/>
            </w:pPr>
            <w:r w:rsidRPr="009C5807">
              <w:t>DRX cycle length [s]</w:t>
            </w:r>
          </w:p>
        </w:tc>
        <w:tc>
          <w:tcPr>
            <w:tcW w:w="1502" w:type="pct"/>
            <w:gridSpan w:val="2"/>
          </w:tcPr>
          <w:p w14:paraId="74C1FFFE" w14:textId="77777777" w:rsidR="00D808CB" w:rsidRPr="009C5807" w:rsidRDefault="00D808CB" w:rsidP="001313A6">
            <w:pPr>
              <w:pStyle w:val="TAH"/>
            </w:pPr>
            <w:r w:rsidRPr="009C5807">
              <w:t>Scaling Factor (N1)</w:t>
            </w:r>
          </w:p>
        </w:tc>
        <w:tc>
          <w:tcPr>
            <w:tcW w:w="2000" w:type="pct"/>
            <w:tcBorders>
              <w:bottom w:val="nil"/>
            </w:tcBorders>
          </w:tcPr>
          <w:p w14:paraId="5186A397" w14:textId="77777777" w:rsidR="00D808CB" w:rsidRPr="009C5807" w:rsidRDefault="00D808CB" w:rsidP="001313A6">
            <w:pPr>
              <w:pStyle w:val="TAH"/>
            </w:pPr>
            <w:r w:rsidRPr="009C5807">
              <w:t>N</w:t>
            </w:r>
            <w:r w:rsidRPr="009C5807">
              <w:rPr>
                <w:vertAlign w:val="subscript"/>
              </w:rPr>
              <w:t>serv</w:t>
            </w:r>
            <w:r>
              <w:rPr>
                <w:vertAlign w:val="subscript"/>
              </w:rPr>
              <w:t>_RedCap</w:t>
            </w:r>
            <w:r w:rsidRPr="009C5807">
              <w:rPr>
                <w:vertAlign w:val="subscript"/>
              </w:rPr>
              <w:t xml:space="preserve"> </w:t>
            </w:r>
            <w:r w:rsidRPr="009C5807">
              <w:t>[number of DRX cycles]</w:t>
            </w:r>
          </w:p>
        </w:tc>
      </w:tr>
      <w:tr w:rsidR="00D808CB" w:rsidRPr="009C5807" w14:paraId="6566E850" w14:textId="77777777" w:rsidTr="001313A6">
        <w:trPr>
          <w:cantSplit/>
          <w:trHeight w:val="207"/>
          <w:jc w:val="center"/>
        </w:trPr>
        <w:tc>
          <w:tcPr>
            <w:tcW w:w="1498" w:type="pct"/>
            <w:tcBorders>
              <w:top w:val="nil"/>
            </w:tcBorders>
          </w:tcPr>
          <w:p w14:paraId="42D1B8B7" w14:textId="77777777" w:rsidR="00D808CB" w:rsidRPr="009C5807" w:rsidRDefault="00D808CB" w:rsidP="001313A6">
            <w:pPr>
              <w:pStyle w:val="TAH"/>
            </w:pPr>
          </w:p>
        </w:tc>
        <w:tc>
          <w:tcPr>
            <w:tcW w:w="751" w:type="pct"/>
          </w:tcPr>
          <w:p w14:paraId="02A80BE4" w14:textId="77777777" w:rsidR="00D808CB" w:rsidRPr="009C5807" w:rsidRDefault="00D808CB" w:rsidP="001313A6">
            <w:pPr>
              <w:pStyle w:val="TAH"/>
            </w:pPr>
            <w:r w:rsidRPr="009C5807">
              <w:t>FR1</w:t>
            </w:r>
          </w:p>
        </w:tc>
        <w:tc>
          <w:tcPr>
            <w:tcW w:w="751" w:type="pct"/>
          </w:tcPr>
          <w:p w14:paraId="03DCE147" w14:textId="77777777" w:rsidR="00D808CB" w:rsidRPr="009C5807" w:rsidRDefault="00D808CB" w:rsidP="001313A6">
            <w:pPr>
              <w:pStyle w:val="TAH"/>
              <w:rPr>
                <w:vertAlign w:val="superscript"/>
              </w:rPr>
            </w:pPr>
            <w:r w:rsidRPr="009C5807">
              <w:t>FR2</w:t>
            </w:r>
            <w:r w:rsidRPr="009C5807">
              <w:rPr>
                <w:vertAlign w:val="superscript"/>
              </w:rPr>
              <w:t>Note1</w:t>
            </w:r>
          </w:p>
        </w:tc>
        <w:tc>
          <w:tcPr>
            <w:tcW w:w="2000" w:type="pct"/>
            <w:tcBorders>
              <w:top w:val="nil"/>
            </w:tcBorders>
          </w:tcPr>
          <w:p w14:paraId="4BBB2428" w14:textId="77777777" w:rsidR="00D808CB" w:rsidRPr="009C5807" w:rsidRDefault="00D808CB" w:rsidP="001313A6">
            <w:pPr>
              <w:pStyle w:val="TAH"/>
            </w:pPr>
          </w:p>
        </w:tc>
      </w:tr>
      <w:tr w:rsidR="00D808CB" w:rsidRPr="009C5807" w14:paraId="09B156E2" w14:textId="77777777" w:rsidTr="001313A6">
        <w:trPr>
          <w:cantSplit/>
          <w:jc w:val="center"/>
        </w:trPr>
        <w:tc>
          <w:tcPr>
            <w:tcW w:w="1498" w:type="pct"/>
          </w:tcPr>
          <w:p w14:paraId="37EB3528" w14:textId="77777777" w:rsidR="00D808CB" w:rsidRPr="009C5807" w:rsidRDefault="00D808CB" w:rsidP="001313A6">
            <w:pPr>
              <w:pStyle w:val="TAC"/>
            </w:pPr>
            <w:r w:rsidRPr="009C5807">
              <w:t>0.32</w:t>
            </w:r>
          </w:p>
        </w:tc>
        <w:tc>
          <w:tcPr>
            <w:tcW w:w="751" w:type="pct"/>
            <w:tcBorders>
              <w:bottom w:val="nil"/>
            </w:tcBorders>
            <w:vAlign w:val="center"/>
          </w:tcPr>
          <w:p w14:paraId="55630F2E" w14:textId="77777777" w:rsidR="00D808CB" w:rsidRPr="009C5807" w:rsidRDefault="00D808CB" w:rsidP="001313A6">
            <w:pPr>
              <w:pStyle w:val="TAC"/>
              <w:rPr>
                <w:rFonts w:cs="Arial"/>
                <w:sz w:val="16"/>
                <w:lang w:eastAsia="zh-CN"/>
              </w:rPr>
            </w:pPr>
            <w:r w:rsidRPr="009C5807">
              <w:rPr>
                <w:rFonts w:cs="Arial"/>
                <w:sz w:val="16"/>
                <w:lang w:eastAsia="zh-CN"/>
              </w:rPr>
              <w:t>1</w:t>
            </w:r>
          </w:p>
        </w:tc>
        <w:tc>
          <w:tcPr>
            <w:tcW w:w="751" w:type="pct"/>
          </w:tcPr>
          <w:p w14:paraId="544A34C5" w14:textId="77777777" w:rsidR="00D808CB" w:rsidRPr="009C5807" w:rsidRDefault="00D808CB" w:rsidP="001313A6">
            <w:pPr>
              <w:pStyle w:val="TAC"/>
              <w:rPr>
                <w:rFonts w:cs="Arial"/>
                <w:sz w:val="16"/>
                <w:lang w:eastAsia="zh-CN"/>
              </w:rPr>
            </w:pPr>
            <w:r w:rsidRPr="009C5807">
              <w:rPr>
                <w:rFonts w:cs="Arial"/>
                <w:sz w:val="16"/>
                <w:lang w:eastAsia="zh-CN"/>
              </w:rPr>
              <w:t>8</w:t>
            </w:r>
          </w:p>
        </w:tc>
        <w:tc>
          <w:tcPr>
            <w:tcW w:w="2000" w:type="pct"/>
          </w:tcPr>
          <w:p w14:paraId="3DD75A55" w14:textId="77777777" w:rsidR="00D808CB" w:rsidRPr="009C5807" w:rsidRDefault="00D808CB" w:rsidP="001313A6">
            <w:pPr>
              <w:pStyle w:val="TAC"/>
            </w:pPr>
            <w:r w:rsidRPr="009C5807">
              <w:rPr>
                <w:rFonts w:cs="Arial"/>
                <w:sz w:val="16"/>
                <w:lang w:eastAsia="zh-CN"/>
              </w:rPr>
              <w:t>M1*N1*</w:t>
            </w:r>
            <w:r w:rsidRPr="009C5807">
              <w:t>4</w:t>
            </w:r>
          </w:p>
        </w:tc>
      </w:tr>
      <w:tr w:rsidR="00D808CB" w:rsidRPr="009C5807" w14:paraId="7CFFA072" w14:textId="77777777" w:rsidTr="001313A6">
        <w:trPr>
          <w:cantSplit/>
          <w:jc w:val="center"/>
        </w:trPr>
        <w:tc>
          <w:tcPr>
            <w:tcW w:w="1498" w:type="pct"/>
          </w:tcPr>
          <w:p w14:paraId="735ED412" w14:textId="77777777" w:rsidR="00D808CB" w:rsidRPr="009C5807" w:rsidRDefault="00D808CB" w:rsidP="001313A6">
            <w:pPr>
              <w:pStyle w:val="TAC"/>
            </w:pPr>
            <w:r w:rsidRPr="009C5807">
              <w:t>0.64</w:t>
            </w:r>
          </w:p>
        </w:tc>
        <w:tc>
          <w:tcPr>
            <w:tcW w:w="751" w:type="pct"/>
            <w:tcBorders>
              <w:top w:val="nil"/>
              <w:bottom w:val="nil"/>
            </w:tcBorders>
          </w:tcPr>
          <w:p w14:paraId="17FAAAAE" w14:textId="77777777" w:rsidR="00D808CB" w:rsidRPr="009C5807" w:rsidRDefault="00D808CB" w:rsidP="001313A6">
            <w:pPr>
              <w:pStyle w:val="TAC"/>
              <w:rPr>
                <w:rFonts w:cs="Arial"/>
                <w:sz w:val="16"/>
                <w:lang w:eastAsia="zh-CN"/>
              </w:rPr>
            </w:pPr>
          </w:p>
        </w:tc>
        <w:tc>
          <w:tcPr>
            <w:tcW w:w="751" w:type="pct"/>
          </w:tcPr>
          <w:p w14:paraId="06729DAC" w14:textId="77777777" w:rsidR="00D808CB" w:rsidRPr="009C5807" w:rsidRDefault="00D808CB" w:rsidP="001313A6">
            <w:pPr>
              <w:pStyle w:val="TAC"/>
              <w:rPr>
                <w:rFonts w:cs="Arial"/>
                <w:sz w:val="16"/>
                <w:lang w:eastAsia="zh-CN"/>
              </w:rPr>
            </w:pPr>
            <w:r w:rsidRPr="009C5807">
              <w:rPr>
                <w:rFonts w:cs="Arial"/>
                <w:sz w:val="16"/>
                <w:lang w:eastAsia="zh-CN"/>
              </w:rPr>
              <w:t>5</w:t>
            </w:r>
          </w:p>
        </w:tc>
        <w:tc>
          <w:tcPr>
            <w:tcW w:w="2000" w:type="pct"/>
          </w:tcPr>
          <w:p w14:paraId="76177565" w14:textId="77777777" w:rsidR="00D808CB" w:rsidRPr="009C5807" w:rsidRDefault="00D808CB" w:rsidP="001313A6">
            <w:pPr>
              <w:pStyle w:val="TAC"/>
            </w:pPr>
            <w:r w:rsidRPr="009C5807">
              <w:rPr>
                <w:rFonts w:cs="Arial"/>
                <w:sz w:val="16"/>
                <w:lang w:eastAsia="zh-CN"/>
              </w:rPr>
              <w:t>M1*N1*</w:t>
            </w:r>
            <w:r w:rsidRPr="009C5807">
              <w:t>4</w:t>
            </w:r>
          </w:p>
        </w:tc>
      </w:tr>
      <w:tr w:rsidR="00D808CB" w:rsidRPr="009C5807" w14:paraId="52DC67C6" w14:textId="77777777" w:rsidTr="001313A6">
        <w:trPr>
          <w:cantSplit/>
          <w:jc w:val="center"/>
        </w:trPr>
        <w:tc>
          <w:tcPr>
            <w:tcW w:w="1498" w:type="pct"/>
          </w:tcPr>
          <w:p w14:paraId="75BB1FE2" w14:textId="77777777" w:rsidR="00D808CB" w:rsidRPr="009C5807" w:rsidRDefault="00D808CB" w:rsidP="001313A6">
            <w:pPr>
              <w:pStyle w:val="TAC"/>
            </w:pPr>
            <w:r w:rsidRPr="009C5807">
              <w:t>1.28</w:t>
            </w:r>
          </w:p>
        </w:tc>
        <w:tc>
          <w:tcPr>
            <w:tcW w:w="751" w:type="pct"/>
            <w:tcBorders>
              <w:top w:val="nil"/>
              <w:bottom w:val="nil"/>
            </w:tcBorders>
          </w:tcPr>
          <w:p w14:paraId="26C325A7" w14:textId="77777777" w:rsidR="00D808CB" w:rsidRPr="009C5807" w:rsidRDefault="00D808CB" w:rsidP="001313A6">
            <w:pPr>
              <w:pStyle w:val="TAC"/>
              <w:rPr>
                <w:rFonts w:cs="Arial"/>
                <w:sz w:val="16"/>
                <w:lang w:eastAsia="zh-CN"/>
              </w:rPr>
            </w:pPr>
          </w:p>
        </w:tc>
        <w:tc>
          <w:tcPr>
            <w:tcW w:w="751" w:type="pct"/>
          </w:tcPr>
          <w:p w14:paraId="27883795" w14:textId="77777777" w:rsidR="00D808CB" w:rsidRPr="009C5807" w:rsidRDefault="00D808CB" w:rsidP="001313A6">
            <w:pPr>
              <w:pStyle w:val="TAC"/>
              <w:rPr>
                <w:rFonts w:cs="Arial"/>
                <w:sz w:val="16"/>
                <w:lang w:eastAsia="zh-CN"/>
              </w:rPr>
            </w:pPr>
            <w:r w:rsidRPr="009C5807">
              <w:rPr>
                <w:rFonts w:cs="Arial"/>
                <w:sz w:val="16"/>
                <w:lang w:eastAsia="zh-CN"/>
              </w:rPr>
              <w:t>4</w:t>
            </w:r>
          </w:p>
        </w:tc>
        <w:tc>
          <w:tcPr>
            <w:tcW w:w="2000" w:type="pct"/>
          </w:tcPr>
          <w:p w14:paraId="2FC926A5" w14:textId="77777777" w:rsidR="00D808CB" w:rsidRPr="009C5807" w:rsidRDefault="00D808CB" w:rsidP="001313A6">
            <w:pPr>
              <w:pStyle w:val="TAC"/>
            </w:pPr>
            <w:r w:rsidRPr="009C5807">
              <w:rPr>
                <w:rFonts w:cs="Arial"/>
                <w:sz w:val="16"/>
                <w:lang w:eastAsia="zh-CN"/>
              </w:rPr>
              <w:t>N1*</w:t>
            </w:r>
            <w:r w:rsidRPr="009C5807">
              <w:t>2</w:t>
            </w:r>
          </w:p>
        </w:tc>
      </w:tr>
      <w:tr w:rsidR="00D808CB" w:rsidRPr="009C5807" w14:paraId="375F8D70" w14:textId="77777777" w:rsidTr="001313A6">
        <w:trPr>
          <w:cantSplit/>
          <w:jc w:val="center"/>
        </w:trPr>
        <w:tc>
          <w:tcPr>
            <w:tcW w:w="1498" w:type="pct"/>
          </w:tcPr>
          <w:p w14:paraId="6C85FCFB" w14:textId="77777777" w:rsidR="00D808CB" w:rsidRPr="009C5807" w:rsidRDefault="00D808CB" w:rsidP="001313A6">
            <w:pPr>
              <w:pStyle w:val="TAC"/>
            </w:pPr>
            <w:r w:rsidRPr="009C5807">
              <w:t>2.56</w:t>
            </w:r>
          </w:p>
        </w:tc>
        <w:tc>
          <w:tcPr>
            <w:tcW w:w="751" w:type="pct"/>
            <w:tcBorders>
              <w:top w:val="nil"/>
            </w:tcBorders>
          </w:tcPr>
          <w:p w14:paraId="6B471228" w14:textId="77777777" w:rsidR="00D808CB" w:rsidRPr="009C5807" w:rsidRDefault="00D808CB" w:rsidP="001313A6">
            <w:pPr>
              <w:pStyle w:val="TAC"/>
              <w:rPr>
                <w:rFonts w:cs="Arial"/>
                <w:sz w:val="16"/>
                <w:lang w:eastAsia="zh-CN"/>
              </w:rPr>
            </w:pPr>
          </w:p>
        </w:tc>
        <w:tc>
          <w:tcPr>
            <w:tcW w:w="751" w:type="pct"/>
          </w:tcPr>
          <w:p w14:paraId="209074CE" w14:textId="77777777" w:rsidR="00D808CB" w:rsidRPr="009C5807" w:rsidRDefault="00D808CB" w:rsidP="001313A6">
            <w:pPr>
              <w:pStyle w:val="TAC"/>
              <w:rPr>
                <w:rFonts w:cs="Arial"/>
                <w:sz w:val="16"/>
                <w:lang w:eastAsia="zh-CN"/>
              </w:rPr>
            </w:pPr>
            <w:r w:rsidRPr="009C5807">
              <w:rPr>
                <w:rFonts w:cs="Arial"/>
                <w:sz w:val="16"/>
                <w:lang w:eastAsia="zh-CN"/>
              </w:rPr>
              <w:t>3</w:t>
            </w:r>
          </w:p>
        </w:tc>
        <w:tc>
          <w:tcPr>
            <w:tcW w:w="2000" w:type="pct"/>
          </w:tcPr>
          <w:p w14:paraId="60DDC871" w14:textId="77777777" w:rsidR="00D808CB" w:rsidRPr="00BE54BE" w:rsidRDefault="00D808CB" w:rsidP="001313A6">
            <w:pPr>
              <w:pStyle w:val="TAC"/>
            </w:pPr>
            <w:r w:rsidRPr="00BE54BE">
              <w:rPr>
                <w:rFonts w:cs="Arial"/>
                <w:sz w:val="16"/>
                <w:lang w:eastAsia="zh-CN"/>
              </w:rPr>
              <w:t>N1*</w:t>
            </w:r>
            <w:r w:rsidRPr="00BE54BE">
              <w:t>2</w:t>
            </w:r>
          </w:p>
        </w:tc>
      </w:tr>
      <w:tr w:rsidR="00D808CB" w:rsidRPr="009C5807" w14:paraId="13041C3C" w14:textId="77777777" w:rsidTr="001313A6">
        <w:trPr>
          <w:cantSplit/>
          <w:jc w:val="center"/>
        </w:trPr>
        <w:tc>
          <w:tcPr>
            <w:tcW w:w="5000" w:type="pct"/>
            <w:gridSpan w:val="4"/>
          </w:tcPr>
          <w:p w14:paraId="67C1DB3A" w14:textId="77777777" w:rsidR="00D808CB" w:rsidRPr="00BE54BE" w:rsidRDefault="00D808CB" w:rsidP="001313A6">
            <w:pPr>
              <w:pStyle w:val="TAN"/>
              <w:rPr>
                <w:lang w:eastAsia="zh-CN"/>
              </w:rPr>
            </w:pPr>
            <w:r w:rsidRPr="0082197E">
              <w:rPr>
                <w:lang w:eastAsia="zh-CN"/>
              </w:rPr>
              <w:t>Note 1:</w:t>
            </w:r>
            <w:r w:rsidRPr="0082197E">
              <w:rPr>
                <w:lang w:eastAsia="zh-CN"/>
              </w:rPr>
              <w:tab/>
              <w:t xml:space="preserve">Applies for RedCap UE of all FR2 power class. </w:t>
            </w:r>
          </w:p>
        </w:tc>
      </w:tr>
    </w:tbl>
    <w:p w14:paraId="1FBBED4F" w14:textId="77777777" w:rsidR="00D808CB" w:rsidRDefault="00D808CB" w:rsidP="00D808CB">
      <w:pPr>
        <w:rPr>
          <w:lang w:eastAsia="zh-CN"/>
        </w:rPr>
      </w:pPr>
    </w:p>
    <w:p w14:paraId="078BBC6E" w14:textId="77777777" w:rsidR="00D808CB" w:rsidRDefault="00D808CB" w:rsidP="00D808CB">
      <w:pPr>
        <w:pStyle w:val="TH"/>
        <w:rPr>
          <w:rFonts w:cs="v4.2.0"/>
        </w:rPr>
      </w:pPr>
      <w:r w:rsidRPr="009C5807">
        <w:t>Table 4.2</w:t>
      </w:r>
      <w:r>
        <w:t>B</w:t>
      </w:r>
      <w:r w:rsidRPr="009C5807">
        <w:t>.2.2-</w:t>
      </w:r>
      <w:r>
        <w:t>2</w:t>
      </w:r>
      <w:r w:rsidRPr="009C5807">
        <w:t>: N</w:t>
      </w:r>
      <w:r w:rsidRPr="009C5807">
        <w:rPr>
          <w:vertAlign w:val="subscript"/>
        </w:rPr>
        <w:t>serv</w:t>
      </w:r>
      <w:r>
        <w:rPr>
          <w:vertAlign w:val="subscript"/>
        </w:rPr>
        <w:t>_RedCap</w:t>
      </w:r>
      <w:r w:rsidRPr="00EF199C">
        <w:rPr>
          <w:rFonts w:cs="v4.2.0"/>
        </w:rPr>
        <w:t xml:space="preserve"> </w:t>
      </w:r>
      <w:r w:rsidRPr="00691C10">
        <w:rPr>
          <w:rFonts w:cs="v4.2.0"/>
        </w:rPr>
        <w:t>for UE configured with eDRX_IDLE cycle</w:t>
      </w:r>
      <w:r>
        <w:rPr>
          <w:rFonts w:cs="v4.2.0"/>
        </w:rPr>
        <w:t xml:space="preserve"> </w:t>
      </w:r>
      <w:r w:rsidRPr="00691C10">
        <w:t>(Frequency range FR1)</w:t>
      </w:r>
    </w:p>
    <w:tbl>
      <w:tblPr>
        <w:tblW w:w="35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2"/>
        <w:gridCol w:w="1054"/>
        <w:gridCol w:w="1086"/>
        <w:gridCol w:w="1086"/>
        <w:gridCol w:w="1382"/>
      </w:tblGrid>
      <w:tr w:rsidR="00D808CB" w:rsidRPr="00E32238" w14:paraId="05BC7BB2" w14:textId="77777777" w:rsidTr="001313A6">
        <w:trPr>
          <w:cantSplit/>
          <w:jc w:val="center"/>
        </w:trPr>
        <w:tc>
          <w:tcPr>
            <w:tcW w:w="1617" w:type="pct"/>
          </w:tcPr>
          <w:p w14:paraId="16C87B71" w14:textId="77777777" w:rsidR="00D808CB" w:rsidRPr="00E32238" w:rsidRDefault="00D808CB" w:rsidP="001313A6">
            <w:pPr>
              <w:pStyle w:val="TAH"/>
              <w:rPr>
                <w:rFonts w:cs="v4.2.0"/>
              </w:rPr>
            </w:pPr>
            <w:r w:rsidRPr="00E32238">
              <w:rPr>
                <w:rFonts w:cs="v4.2.0"/>
              </w:rPr>
              <w:t>eDRX_IDLE cycle length [s]</w:t>
            </w:r>
          </w:p>
        </w:tc>
        <w:tc>
          <w:tcPr>
            <w:tcW w:w="774" w:type="pct"/>
          </w:tcPr>
          <w:p w14:paraId="2434495D" w14:textId="77777777" w:rsidR="00D808CB" w:rsidRPr="00E32238" w:rsidRDefault="00D808CB" w:rsidP="001313A6">
            <w:pPr>
              <w:pStyle w:val="TAH"/>
              <w:rPr>
                <w:rFonts w:cs="v4.2.0"/>
              </w:rPr>
            </w:pPr>
            <w:r w:rsidRPr="00E32238">
              <w:rPr>
                <w:rFonts w:cs="v4.2.0"/>
              </w:rPr>
              <w:t>DRX cycle length [s]</w:t>
            </w:r>
          </w:p>
        </w:tc>
        <w:tc>
          <w:tcPr>
            <w:tcW w:w="797" w:type="pct"/>
          </w:tcPr>
          <w:p w14:paraId="04EF27D1" w14:textId="77777777" w:rsidR="00D808CB" w:rsidRPr="00E32238" w:rsidRDefault="00D808CB" w:rsidP="001313A6">
            <w:pPr>
              <w:pStyle w:val="TAH"/>
              <w:rPr>
                <w:rFonts w:cs="v4.2.0"/>
              </w:rPr>
            </w:pPr>
            <w:r w:rsidRPr="00E32238">
              <w:rPr>
                <w:rFonts w:cs="v4.2.0"/>
              </w:rPr>
              <w:t>PTW length [s]</w:t>
            </w:r>
            <w:r w:rsidRPr="00E32238">
              <w:rPr>
                <w:rFonts w:cs="v4.2.0" w:hint="eastAsia"/>
                <w:lang w:eastAsia="zh-CN"/>
              </w:rPr>
              <w:t xml:space="preserve"> (</w:t>
            </w:r>
            <w:r w:rsidRPr="00E32238">
              <w:rPr>
                <w:rFonts w:cs="Arial"/>
                <w:bCs/>
                <w:iCs/>
                <w:lang w:eastAsia="ja-JP"/>
              </w:rPr>
              <w:t>number of 1.28s periods</w:t>
            </w:r>
            <w:r w:rsidRPr="00E32238">
              <w:rPr>
                <w:rFonts w:cs="v4.2.0" w:hint="eastAsia"/>
                <w:lang w:eastAsia="zh-CN"/>
              </w:rPr>
              <w:t>)</w:t>
            </w:r>
          </w:p>
        </w:tc>
        <w:tc>
          <w:tcPr>
            <w:tcW w:w="797" w:type="pct"/>
          </w:tcPr>
          <w:p w14:paraId="65D724C9" w14:textId="77777777" w:rsidR="00D808CB" w:rsidRPr="00E32238" w:rsidRDefault="00D808CB" w:rsidP="001313A6">
            <w:pPr>
              <w:pStyle w:val="TAH"/>
              <w:rPr>
                <w:rFonts w:cs="Arial"/>
                <w:snapToGrid w:val="0"/>
              </w:rPr>
            </w:pPr>
            <w:r w:rsidRPr="009C5807">
              <w:t>Scaling Factor (N1)</w:t>
            </w:r>
          </w:p>
        </w:tc>
        <w:tc>
          <w:tcPr>
            <w:tcW w:w="1015" w:type="pct"/>
          </w:tcPr>
          <w:p w14:paraId="09AB2524" w14:textId="77777777" w:rsidR="00D808CB" w:rsidRPr="00E32238" w:rsidRDefault="00D808CB" w:rsidP="001313A6">
            <w:pPr>
              <w:pStyle w:val="TAH"/>
              <w:rPr>
                <w:rFonts w:cs="Arial"/>
                <w:snapToGrid w:val="0"/>
              </w:rPr>
            </w:pPr>
            <w:r w:rsidRPr="00E32238">
              <w:rPr>
                <w:rFonts w:cs="v4.2.0"/>
              </w:rPr>
              <w:t>N</w:t>
            </w:r>
            <w:r w:rsidRPr="00E32238">
              <w:rPr>
                <w:rFonts w:cs="v4.2.0"/>
                <w:vertAlign w:val="subscript"/>
              </w:rPr>
              <w:t>serv</w:t>
            </w:r>
            <w:r>
              <w:rPr>
                <w:rFonts w:cs="v4.2.0"/>
                <w:vertAlign w:val="subscript"/>
              </w:rPr>
              <w:t>_RedCap</w:t>
            </w:r>
            <w:r w:rsidRPr="00E32238">
              <w:rPr>
                <w:rFonts w:cs="v4.2.0"/>
                <w:vertAlign w:val="subscript"/>
              </w:rPr>
              <w:t xml:space="preserve"> </w:t>
            </w:r>
            <w:r w:rsidRPr="00E32238">
              <w:rPr>
                <w:rFonts w:cs="v4.2.0"/>
              </w:rPr>
              <w:t xml:space="preserve">[number of DRX </w:t>
            </w:r>
            <w:r>
              <w:rPr>
                <w:rFonts w:cs="v4.2.0"/>
              </w:rPr>
              <w:t xml:space="preserve">or eDRX </w:t>
            </w:r>
            <w:r w:rsidRPr="00E32238">
              <w:rPr>
                <w:rFonts w:cs="v4.2.0"/>
              </w:rPr>
              <w:t>cycles</w:t>
            </w:r>
            <w:r w:rsidRPr="009469A5">
              <w:rPr>
                <w:rFonts w:cs="Arial"/>
                <w:vertAlign w:val="superscript"/>
                <w:lang w:eastAsia="zh-CN"/>
              </w:rPr>
              <w:t xml:space="preserve"> Note 3</w:t>
            </w:r>
            <w:r w:rsidRPr="00E32238">
              <w:rPr>
                <w:rFonts w:cs="v4.2.0"/>
              </w:rPr>
              <w:t>]</w:t>
            </w:r>
          </w:p>
        </w:tc>
      </w:tr>
      <w:tr w:rsidR="00D808CB" w:rsidRPr="00E32238" w14:paraId="50B7CB60" w14:textId="77777777" w:rsidTr="001313A6">
        <w:trPr>
          <w:cantSplit/>
          <w:jc w:val="center"/>
        </w:trPr>
        <w:tc>
          <w:tcPr>
            <w:tcW w:w="1617" w:type="pct"/>
            <w:vAlign w:val="center"/>
          </w:tcPr>
          <w:p w14:paraId="2AE2162F" w14:textId="77777777" w:rsidR="00D808CB" w:rsidRPr="00E278D0" w:rsidDel="009469A5" w:rsidRDefault="00D808CB" w:rsidP="001313A6">
            <w:pPr>
              <w:pStyle w:val="TAC"/>
              <w:rPr>
                <w:rFonts w:cs="Arial"/>
                <w:lang w:eastAsia="zh-CN"/>
              </w:rPr>
            </w:pPr>
            <w:r>
              <w:rPr>
                <w:rFonts w:cs="Arial" w:hint="eastAsia"/>
                <w:lang w:eastAsia="zh-CN"/>
              </w:rPr>
              <w:t>2</w:t>
            </w:r>
            <w:r>
              <w:rPr>
                <w:rFonts w:cs="Arial"/>
                <w:lang w:eastAsia="zh-CN"/>
              </w:rPr>
              <w:t>.56</w:t>
            </w:r>
          </w:p>
        </w:tc>
        <w:tc>
          <w:tcPr>
            <w:tcW w:w="774" w:type="pct"/>
          </w:tcPr>
          <w:p w14:paraId="3E79DD98" w14:textId="77777777" w:rsidR="00D808CB" w:rsidRPr="00E32238" w:rsidRDefault="00D808CB" w:rsidP="001313A6">
            <w:pPr>
              <w:pStyle w:val="TAC"/>
              <w:rPr>
                <w:rFonts w:cs="Arial"/>
                <w:lang w:eastAsia="zh-CN"/>
              </w:rPr>
            </w:pPr>
            <w:r>
              <w:rPr>
                <w:rFonts w:cs="Arial"/>
                <w:lang w:eastAsia="zh-CN"/>
              </w:rPr>
              <w:t xml:space="preserve">N/A </w:t>
            </w:r>
          </w:p>
        </w:tc>
        <w:tc>
          <w:tcPr>
            <w:tcW w:w="797" w:type="pct"/>
          </w:tcPr>
          <w:p w14:paraId="6436E5DC" w14:textId="77777777" w:rsidR="00D808CB" w:rsidRDefault="00D808CB" w:rsidP="001313A6">
            <w:pPr>
              <w:pStyle w:val="TAC"/>
              <w:rPr>
                <w:rFonts w:cs="Arial"/>
                <w:snapToGrid w:val="0"/>
                <w:lang w:eastAsia="zh-CN"/>
              </w:rPr>
            </w:pPr>
            <w:r>
              <w:rPr>
                <w:rFonts w:cs="Arial" w:hint="eastAsia"/>
                <w:snapToGrid w:val="0"/>
                <w:lang w:eastAsia="zh-CN"/>
              </w:rPr>
              <w:t>N</w:t>
            </w:r>
            <w:r>
              <w:rPr>
                <w:rFonts w:cs="Arial"/>
                <w:snapToGrid w:val="0"/>
                <w:lang w:eastAsia="zh-CN"/>
              </w:rPr>
              <w:t>/A</w:t>
            </w:r>
          </w:p>
        </w:tc>
        <w:tc>
          <w:tcPr>
            <w:tcW w:w="797" w:type="pct"/>
            <w:vMerge w:val="restart"/>
          </w:tcPr>
          <w:p w14:paraId="291D1A5D" w14:textId="77777777" w:rsidR="00D808CB" w:rsidRPr="00E32238" w:rsidRDefault="00D808CB" w:rsidP="001313A6">
            <w:pPr>
              <w:pStyle w:val="TAC"/>
              <w:rPr>
                <w:rFonts w:cs="Arial"/>
                <w:snapToGrid w:val="0"/>
                <w:lang w:eastAsia="zh-CN"/>
              </w:rPr>
            </w:pPr>
          </w:p>
          <w:p w14:paraId="5C893BC6" w14:textId="77777777" w:rsidR="00D808CB" w:rsidRPr="00E32238" w:rsidRDefault="00D808CB" w:rsidP="001313A6">
            <w:pPr>
              <w:pStyle w:val="TAC"/>
              <w:rPr>
                <w:rFonts w:cs="Arial"/>
                <w:snapToGrid w:val="0"/>
                <w:lang w:eastAsia="zh-CN"/>
              </w:rPr>
            </w:pPr>
          </w:p>
          <w:p w14:paraId="17C6FA8A" w14:textId="77777777" w:rsidR="00D808CB" w:rsidRPr="00E32238" w:rsidRDefault="00D808CB" w:rsidP="001313A6">
            <w:pPr>
              <w:pStyle w:val="TAC"/>
              <w:rPr>
                <w:rFonts w:cs="Arial"/>
                <w:snapToGrid w:val="0"/>
                <w:lang w:eastAsia="zh-CN"/>
              </w:rPr>
            </w:pPr>
          </w:p>
          <w:p w14:paraId="47865148" w14:textId="77777777" w:rsidR="00D808CB" w:rsidRPr="00CA7017" w:rsidRDefault="00D808CB" w:rsidP="001313A6">
            <w:pPr>
              <w:pStyle w:val="TAC"/>
              <w:rPr>
                <w:rFonts w:cs="Arial"/>
                <w:snapToGrid w:val="0"/>
              </w:rPr>
            </w:pPr>
            <w:r>
              <w:rPr>
                <w:rFonts w:cs="Arial"/>
                <w:snapToGrid w:val="0"/>
              </w:rPr>
              <w:t>1</w:t>
            </w:r>
          </w:p>
          <w:p w14:paraId="06E90622" w14:textId="77777777" w:rsidR="00D808CB" w:rsidRPr="00CA7017" w:rsidRDefault="00D808CB" w:rsidP="001313A6">
            <w:pPr>
              <w:pStyle w:val="TAC"/>
              <w:rPr>
                <w:rFonts w:cs="Arial"/>
                <w:snapToGrid w:val="0"/>
              </w:rPr>
            </w:pPr>
          </w:p>
          <w:p w14:paraId="349D0B10" w14:textId="77777777" w:rsidR="00D808CB" w:rsidRPr="00CA7017" w:rsidRDefault="00D808CB" w:rsidP="001313A6">
            <w:pPr>
              <w:pStyle w:val="TAC"/>
              <w:rPr>
                <w:rFonts w:cs="Arial"/>
                <w:snapToGrid w:val="0"/>
              </w:rPr>
            </w:pPr>
          </w:p>
          <w:p w14:paraId="07BE2DF2" w14:textId="77777777" w:rsidR="00D808CB" w:rsidRPr="00E32238" w:rsidRDefault="00D808CB" w:rsidP="001313A6">
            <w:pPr>
              <w:pStyle w:val="TAC"/>
              <w:rPr>
                <w:rFonts w:cs="Arial"/>
                <w:snapToGrid w:val="0"/>
                <w:lang w:eastAsia="zh-CN"/>
              </w:rPr>
            </w:pPr>
          </w:p>
        </w:tc>
        <w:tc>
          <w:tcPr>
            <w:tcW w:w="1015" w:type="pct"/>
          </w:tcPr>
          <w:p w14:paraId="25F55B2E" w14:textId="77777777" w:rsidR="00D808CB" w:rsidRPr="00E32238" w:rsidRDefault="00D808CB" w:rsidP="001313A6">
            <w:pPr>
              <w:pStyle w:val="TAC"/>
              <w:rPr>
                <w:rFonts w:cs="Arial"/>
                <w:snapToGrid w:val="0"/>
                <w:lang w:eastAsia="zh-CN"/>
              </w:rPr>
            </w:pPr>
            <w:r w:rsidRPr="009C5807">
              <w:rPr>
                <w:rFonts w:cs="Arial"/>
                <w:sz w:val="16"/>
                <w:lang w:eastAsia="zh-CN"/>
              </w:rPr>
              <w:t>N1*</w:t>
            </w:r>
            <w:r>
              <w:rPr>
                <w:rFonts w:cs="Arial"/>
                <w:snapToGrid w:val="0"/>
                <w:lang w:eastAsia="zh-CN"/>
              </w:rPr>
              <w:t>2</w:t>
            </w:r>
          </w:p>
        </w:tc>
      </w:tr>
      <w:tr w:rsidR="00D808CB" w:rsidRPr="00E32238" w14:paraId="19AFE68A" w14:textId="77777777" w:rsidTr="001313A6">
        <w:trPr>
          <w:cantSplit/>
          <w:jc w:val="center"/>
        </w:trPr>
        <w:tc>
          <w:tcPr>
            <w:tcW w:w="1617" w:type="pct"/>
            <w:vAlign w:val="center"/>
          </w:tcPr>
          <w:p w14:paraId="36020FA5" w14:textId="77777777" w:rsidR="00D808CB" w:rsidRPr="00E32238" w:rsidDel="009469A5" w:rsidRDefault="00D808CB" w:rsidP="001313A6">
            <w:pPr>
              <w:pStyle w:val="TAC"/>
              <w:rPr>
                <w:rFonts w:cs="Arial"/>
              </w:rPr>
            </w:pPr>
            <w:r>
              <w:rPr>
                <w:rFonts w:cs="Arial"/>
              </w:rPr>
              <w:t>5.12</w:t>
            </w:r>
          </w:p>
        </w:tc>
        <w:tc>
          <w:tcPr>
            <w:tcW w:w="774" w:type="pct"/>
          </w:tcPr>
          <w:p w14:paraId="081F0AC1" w14:textId="77777777" w:rsidR="00D808CB" w:rsidRPr="00E32238" w:rsidRDefault="00D808CB" w:rsidP="001313A6">
            <w:pPr>
              <w:pStyle w:val="TAC"/>
              <w:rPr>
                <w:rFonts w:cs="Arial"/>
                <w:lang w:eastAsia="zh-CN"/>
              </w:rPr>
            </w:pPr>
            <w:r>
              <w:rPr>
                <w:rFonts w:cs="Arial"/>
                <w:lang w:eastAsia="zh-CN"/>
              </w:rPr>
              <w:t xml:space="preserve">N/A </w:t>
            </w:r>
          </w:p>
        </w:tc>
        <w:tc>
          <w:tcPr>
            <w:tcW w:w="797" w:type="pct"/>
          </w:tcPr>
          <w:p w14:paraId="29EC517A" w14:textId="77777777" w:rsidR="00D808CB" w:rsidRDefault="00D808CB" w:rsidP="001313A6">
            <w:pPr>
              <w:pStyle w:val="TAC"/>
              <w:rPr>
                <w:rFonts w:cs="Arial"/>
                <w:snapToGrid w:val="0"/>
                <w:lang w:eastAsia="zh-CN"/>
              </w:rPr>
            </w:pPr>
            <w:r>
              <w:rPr>
                <w:rFonts w:cs="Arial" w:hint="eastAsia"/>
                <w:snapToGrid w:val="0"/>
                <w:lang w:eastAsia="zh-CN"/>
              </w:rPr>
              <w:t>N</w:t>
            </w:r>
            <w:r>
              <w:rPr>
                <w:rFonts w:cs="Arial"/>
                <w:snapToGrid w:val="0"/>
                <w:lang w:eastAsia="zh-CN"/>
              </w:rPr>
              <w:t>/A</w:t>
            </w:r>
          </w:p>
        </w:tc>
        <w:tc>
          <w:tcPr>
            <w:tcW w:w="797" w:type="pct"/>
            <w:vMerge/>
          </w:tcPr>
          <w:p w14:paraId="69FE741C" w14:textId="77777777" w:rsidR="00D808CB" w:rsidRPr="00E32238" w:rsidRDefault="00D808CB" w:rsidP="001313A6">
            <w:pPr>
              <w:pStyle w:val="TAC"/>
              <w:rPr>
                <w:rFonts w:cs="Arial"/>
                <w:snapToGrid w:val="0"/>
                <w:lang w:eastAsia="zh-CN"/>
              </w:rPr>
            </w:pPr>
          </w:p>
        </w:tc>
        <w:tc>
          <w:tcPr>
            <w:tcW w:w="1015" w:type="pct"/>
          </w:tcPr>
          <w:p w14:paraId="61B93840" w14:textId="77777777" w:rsidR="00D808CB" w:rsidRPr="00E32238" w:rsidRDefault="00D808CB" w:rsidP="001313A6">
            <w:pPr>
              <w:pStyle w:val="TAC"/>
              <w:rPr>
                <w:rFonts w:cs="Arial"/>
                <w:snapToGrid w:val="0"/>
                <w:lang w:eastAsia="zh-CN"/>
              </w:rPr>
            </w:pPr>
            <w:r w:rsidRPr="009C5807">
              <w:rPr>
                <w:rFonts w:cs="Arial"/>
                <w:sz w:val="16"/>
                <w:lang w:eastAsia="zh-CN"/>
              </w:rPr>
              <w:t>N1*</w:t>
            </w:r>
            <w:r>
              <w:rPr>
                <w:rFonts w:cs="Arial"/>
                <w:snapToGrid w:val="0"/>
                <w:lang w:eastAsia="zh-CN"/>
              </w:rPr>
              <w:t>2</w:t>
            </w:r>
          </w:p>
        </w:tc>
      </w:tr>
      <w:tr w:rsidR="00D808CB" w:rsidRPr="00E32238" w14:paraId="412E5832" w14:textId="77777777" w:rsidTr="001313A6">
        <w:trPr>
          <w:cantSplit/>
          <w:jc w:val="center"/>
        </w:trPr>
        <w:tc>
          <w:tcPr>
            <w:tcW w:w="1617" w:type="pct"/>
            <w:vAlign w:val="center"/>
          </w:tcPr>
          <w:p w14:paraId="0C2BF635" w14:textId="77777777" w:rsidR="00D808CB" w:rsidRPr="00CA7017" w:rsidRDefault="00D808CB" w:rsidP="001313A6">
            <w:pPr>
              <w:pStyle w:val="TAC"/>
              <w:rPr>
                <w:rFonts w:cs="Arial"/>
                <w:lang w:eastAsia="zh-CN"/>
              </w:rPr>
            </w:pPr>
            <w:r>
              <w:rPr>
                <w:rFonts w:cs="Arial" w:hint="eastAsia"/>
                <w:lang w:eastAsia="zh-CN"/>
              </w:rPr>
              <w:t>1</w:t>
            </w:r>
            <w:r>
              <w:rPr>
                <w:rFonts w:cs="Arial"/>
                <w:lang w:eastAsia="zh-CN"/>
              </w:rPr>
              <w:t>0.24</w:t>
            </w:r>
          </w:p>
        </w:tc>
        <w:tc>
          <w:tcPr>
            <w:tcW w:w="774" w:type="pct"/>
          </w:tcPr>
          <w:p w14:paraId="0D90F9F7" w14:textId="77777777" w:rsidR="00D808CB" w:rsidRPr="00E32238" w:rsidRDefault="00D808CB" w:rsidP="001313A6">
            <w:pPr>
              <w:pStyle w:val="TAC"/>
              <w:rPr>
                <w:rFonts w:cs="Arial"/>
                <w:lang w:eastAsia="zh-CN"/>
              </w:rPr>
            </w:pPr>
            <w:r>
              <w:rPr>
                <w:rFonts w:cs="Arial"/>
                <w:lang w:eastAsia="zh-CN"/>
              </w:rPr>
              <w:t xml:space="preserve">N/A </w:t>
            </w:r>
          </w:p>
        </w:tc>
        <w:tc>
          <w:tcPr>
            <w:tcW w:w="797" w:type="pct"/>
          </w:tcPr>
          <w:p w14:paraId="0DD240BD" w14:textId="77777777" w:rsidR="00D808CB" w:rsidRDefault="00D808CB" w:rsidP="001313A6">
            <w:pPr>
              <w:pStyle w:val="TAC"/>
              <w:rPr>
                <w:rFonts w:cs="Arial"/>
                <w:snapToGrid w:val="0"/>
                <w:lang w:eastAsia="zh-CN"/>
              </w:rPr>
            </w:pPr>
            <w:r>
              <w:rPr>
                <w:rFonts w:cs="Arial" w:hint="eastAsia"/>
                <w:snapToGrid w:val="0"/>
                <w:lang w:eastAsia="zh-CN"/>
              </w:rPr>
              <w:t>N</w:t>
            </w:r>
            <w:r>
              <w:rPr>
                <w:rFonts w:cs="Arial"/>
                <w:snapToGrid w:val="0"/>
                <w:lang w:eastAsia="zh-CN"/>
              </w:rPr>
              <w:t>/A</w:t>
            </w:r>
          </w:p>
        </w:tc>
        <w:tc>
          <w:tcPr>
            <w:tcW w:w="797" w:type="pct"/>
            <w:vMerge/>
          </w:tcPr>
          <w:p w14:paraId="560A5B7D" w14:textId="77777777" w:rsidR="00D808CB" w:rsidRPr="00E32238" w:rsidRDefault="00D808CB" w:rsidP="001313A6">
            <w:pPr>
              <w:pStyle w:val="TAC"/>
              <w:rPr>
                <w:rFonts w:cs="Arial"/>
                <w:snapToGrid w:val="0"/>
                <w:lang w:eastAsia="zh-CN"/>
              </w:rPr>
            </w:pPr>
          </w:p>
        </w:tc>
        <w:tc>
          <w:tcPr>
            <w:tcW w:w="1015" w:type="pct"/>
          </w:tcPr>
          <w:p w14:paraId="6664B987" w14:textId="77777777" w:rsidR="00D808CB" w:rsidRPr="00432787" w:rsidRDefault="00D808CB" w:rsidP="001313A6">
            <w:pPr>
              <w:pStyle w:val="TAC"/>
              <w:rPr>
                <w:rFonts w:cs="Arial"/>
                <w:snapToGrid w:val="0"/>
                <w:lang w:eastAsia="zh-CN"/>
              </w:rPr>
            </w:pPr>
            <w:r w:rsidRPr="009C5807">
              <w:rPr>
                <w:rFonts w:cs="Arial"/>
                <w:sz w:val="16"/>
                <w:lang w:eastAsia="zh-CN"/>
              </w:rPr>
              <w:t>N1*</w:t>
            </w:r>
            <w:r>
              <w:rPr>
                <w:rFonts w:cs="Arial"/>
                <w:snapToGrid w:val="0"/>
                <w:lang w:eastAsia="zh-CN"/>
              </w:rPr>
              <w:t>2</w:t>
            </w:r>
          </w:p>
        </w:tc>
      </w:tr>
      <w:tr w:rsidR="00D808CB" w:rsidRPr="00E32238" w14:paraId="628BA6B5" w14:textId="77777777" w:rsidTr="001313A6">
        <w:trPr>
          <w:cantSplit/>
          <w:jc w:val="center"/>
        </w:trPr>
        <w:tc>
          <w:tcPr>
            <w:tcW w:w="1617" w:type="pct"/>
            <w:vMerge w:val="restart"/>
            <w:vAlign w:val="center"/>
          </w:tcPr>
          <w:p w14:paraId="29FA3C13" w14:textId="77777777" w:rsidR="00D808CB" w:rsidRPr="00CA7017" w:rsidRDefault="00D808CB" w:rsidP="001313A6">
            <w:pPr>
              <w:pStyle w:val="TAC"/>
              <w:rPr>
                <w:rFonts w:cs="Arial"/>
              </w:rPr>
            </w:pPr>
            <w:r>
              <w:rPr>
                <w:rFonts w:cs="Arial"/>
              </w:rPr>
              <w:t>20.48</w:t>
            </w:r>
            <w:r w:rsidRPr="00CA7017">
              <w:rPr>
                <w:rFonts w:cs="Arial"/>
              </w:rPr>
              <w:t xml:space="preserve"> </w:t>
            </w:r>
            <w:r>
              <w:rPr>
                <w:rFonts w:cs="Arial"/>
              </w:rPr>
              <w:t>≤</w:t>
            </w:r>
            <w:r w:rsidRPr="00CA7017">
              <w:rPr>
                <w:rFonts w:cs="Arial"/>
              </w:rPr>
              <w:t xml:space="preserve"> eDRX_IDLE cycle length ≤</w:t>
            </w:r>
            <w:r w:rsidRPr="00FA54D7">
              <w:rPr>
                <w:rFonts w:eastAsia="Yu Mincho" w:cs="Arial"/>
              </w:rPr>
              <w:t>10485.76</w:t>
            </w:r>
          </w:p>
        </w:tc>
        <w:tc>
          <w:tcPr>
            <w:tcW w:w="774" w:type="pct"/>
          </w:tcPr>
          <w:p w14:paraId="7FDF6A6F" w14:textId="77777777" w:rsidR="00D808CB" w:rsidRPr="00CA7017" w:rsidRDefault="00D808CB" w:rsidP="001313A6">
            <w:pPr>
              <w:pStyle w:val="TAC"/>
              <w:rPr>
                <w:rFonts w:cs="Arial"/>
              </w:rPr>
            </w:pPr>
            <w:r w:rsidRPr="00CA7017">
              <w:rPr>
                <w:rFonts w:cs="Arial"/>
              </w:rPr>
              <w:t>0.32</w:t>
            </w:r>
          </w:p>
        </w:tc>
        <w:tc>
          <w:tcPr>
            <w:tcW w:w="797" w:type="pct"/>
          </w:tcPr>
          <w:p w14:paraId="390313BE" w14:textId="77777777" w:rsidR="00D808CB" w:rsidRPr="00CA7017" w:rsidRDefault="00D808CB" w:rsidP="001313A6">
            <w:pPr>
              <w:pStyle w:val="TAC"/>
              <w:rPr>
                <w:rFonts w:cs="Arial"/>
                <w:snapToGrid w:val="0"/>
              </w:rPr>
            </w:pPr>
            <w:r w:rsidRPr="00CA7017">
              <w:rPr>
                <w:rFonts w:cs="Arial"/>
                <w:snapToGrid w:val="0"/>
              </w:rPr>
              <w:t>≥</w:t>
            </w:r>
            <w:r>
              <w:rPr>
                <w:rFonts w:cs="Arial"/>
                <w:snapToGrid w:val="0"/>
              </w:rPr>
              <w:t>[</w:t>
            </w:r>
            <w:r w:rsidRPr="00CA7017">
              <w:rPr>
                <w:rFonts w:cs="Arial"/>
                <w:snapToGrid w:val="0"/>
              </w:rPr>
              <w:t>1</w:t>
            </w:r>
            <w:r w:rsidRPr="00CA7017">
              <w:rPr>
                <w:rFonts w:cs="Arial" w:hint="eastAsia"/>
                <w:snapToGrid w:val="0"/>
                <w:lang w:eastAsia="zh-CN"/>
              </w:rPr>
              <w:t>.28</w:t>
            </w:r>
            <w:r>
              <w:rPr>
                <w:rFonts w:cs="Arial"/>
                <w:snapToGrid w:val="0"/>
                <w:lang w:eastAsia="zh-CN"/>
              </w:rPr>
              <w:t>]</w:t>
            </w:r>
            <w:r w:rsidRPr="00CA7017">
              <w:rPr>
                <w:rFonts w:cs="Arial" w:hint="eastAsia"/>
                <w:snapToGrid w:val="0"/>
                <w:lang w:eastAsia="zh-CN"/>
              </w:rPr>
              <w:t xml:space="preserve"> (1)</w:t>
            </w:r>
          </w:p>
        </w:tc>
        <w:tc>
          <w:tcPr>
            <w:tcW w:w="797" w:type="pct"/>
            <w:vMerge/>
          </w:tcPr>
          <w:p w14:paraId="46193DC2" w14:textId="77777777" w:rsidR="00D808CB" w:rsidRPr="00CA7017" w:rsidRDefault="00D808CB" w:rsidP="001313A6">
            <w:pPr>
              <w:pStyle w:val="TAC"/>
              <w:rPr>
                <w:rFonts w:cs="Arial"/>
                <w:snapToGrid w:val="0"/>
              </w:rPr>
            </w:pPr>
          </w:p>
        </w:tc>
        <w:tc>
          <w:tcPr>
            <w:tcW w:w="1015" w:type="pct"/>
          </w:tcPr>
          <w:p w14:paraId="51631E3B" w14:textId="77777777" w:rsidR="00D808CB" w:rsidRPr="00CA7017" w:rsidRDefault="00D808CB" w:rsidP="001313A6">
            <w:pPr>
              <w:pStyle w:val="TAC"/>
              <w:rPr>
                <w:rFonts w:cs="Arial"/>
                <w:snapToGrid w:val="0"/>
              </w:rPr>
            </w:pPr>
            <w:r w:rsidRPr="009C5807">
              <w:rPr>
                <w:rFonts w:cs="Arial"/>
                <w:sz w:val="16"/>
                <w:lang w:eastAsia="zh-CN"/>
              </w:rPr>
              <w:t>N1*</w:t>
            </w:r>
            <w:r>
              <w:rPr>
                <w:rFonts w:cs="Arial"/>
                <w:snapToGrid w:val="0"/>
              </w:rPr>
              <w:t>M1*2</w:t>
            </w:r>
          </w:p>
        </w:tc>
      </w:tr>
      <w:tr w:rsidR="00D808CB" w:rsidRPr="00E32238" w14:paraId="20712DC6" w14:textId="77777777" w:rsidTr="001313A6">
        <w:trPr>
          <w:cantSplit/>
          <w:jc w:val="center"/>
        </w:trPr>
        <w:tc>
          <w:tcPr>
            <w:tcW w:w="1617" w:type="pct"/>
            <w:vMerge/>
          </w:tcPr>
          <w:p w14:paraId="22874F76" w14:textId="77777777" w:rsidR="00D808CB" w:rsidRPr="00CA7017" w:rsidRDefault="00D808CB" w:rsidP="001313A6">
            <w:pPr>
              <w:pStyle w:val="TAC"/>
              <w:rPr>
                <w:rFonts w:cs="Arial"/>
              </w:rPr>
            </w:pPr>
          </w:p>
        </w:tc>
        <w:tc>
          <w:tcPr>
            <w:tcW w:w="774" w:type="pct"/>
          </w:tcPr>
          <w:p w14:paraId="3C003650" w14:textId="77777777" w:rsidR="00D808CB" w:rsidRPr="00CA7017" w:rsidRDefault="00D808CB" w:rsidP="001313A6">
            <w:pPr>
              <w:pStyle w:val="TAC"/>
              <w:rPr>
                <w:rFonts w:cs="Arial"/>
              </w:rPr>
            </w:pPr>
            <w:r w:rsidRPr="00CA7017">
              <w:rPr>
                <w:rFonts w:cs="Arial"/>
              </w:rPr>
              <w:t>0.64</w:t>
            </w:r>
          </w:p>
        </w:tc>
        <w:tc>
          <w:tcPr>
            <w:tcW w:w="797" w:type="pct"/>
          </w:tcPr>
          <w:p w14:paraId="6F3069BC" w14:textId="77777777" w:rsidR="00D808CB" w:rsidRPr="00CA7017" w:rsidRDefault="00D808CB" w:rsidP="001313A6">
            <w:pPr>
              <w:pStyle w:val="TAC"/>
              <w:rPr>
                <w:rFonts w:cs="Arial"/>
                <w:snapToGrid w:val="0"/>
              </w:rPr>
            </w:pPr>
            <w:r w:rsidRPr="000A79A0">
              <w:rPr>
                <w:rFonts w:cs="Arial"/>
                <w:snapToGrid w:val="0"/>
              </w:rPr>
              <w:t>≥ 1.28 (1) (M1=1) or ≥ 2.56 (2) (M1=2)</w:t>
            </w:r>
          </w:p>
        </w:tc>
        <w:tc>
          <w:tcPr>
            <w:tcW w:w="797" w:type="pct"/>
            <w:vMerge/>
          </w:tcPr>
          <w:p w14:paraId="2F5546DC" w14:textId="77777777" w:rsidR="00D808CB" w:rsidRPr="00CA7017" w:rsidRDefault="00D808CB" w:rsidP="001313A6">
            <w:pPr>
              <w:pStyle w:val="TAC"/>
              <w:rPr>
                <w:rFonts w:cs="Arial"/>
                <w:snapToGrid w:val="0"/>
              </w:rPr>
            </w:pPr>
          </w:p>
        </w:tc>
        <w:tc>
          <w:tcPr>
            <w:tcW w:w="1015" w:type="pct"/>
          </w:tcPr>
          <w:p w14:paraId="758C3F9C" w14:textId="77777777" w:rsidR="00D808CB" w:rsidRPr="00CA7017" w:rsidRDefault="00D808CB" w:rsidP="001313A6">
            <w:pPr>
              <w:pStyle w:val="TAC"/>
              <w:rPr>
                <w:rFonts w:cs="Arial"/>
                <w:snapToGrid w:val="0"/>
              </w:rPr>
            </w:pPr>
            <w:r w:rsidRPr="009C5807">
              <w:rPr>
                <w:rFonts w:cs="Arial"/>
                <w:sz w:val="16"/>
                <w:lang w:eastAsia="zh-CN"/>
              </w:rPr>
              <w:t>N1*</w:t>
            </w:r>
            <w:r>
              <w:rPr>
                <w:rFonts w:cs="Arial"/>
                <w:snapToGrid w:val="0"/>
              </w:rPr>
              <w:t>M1*</w:t>
            </w:r>
            <w:r w:rsidRPr="00CA7017">
              <w:rPr>
                <w:rFonts w:cs="Arial"/>
                <w:snapToGrid w:val="0"/>
              </w:rPr>
              <w:t>2</w:t>
            </w:r>
          </w:p>
        </w:tc>
      </w:tr>
      <w:tr w:rsidR="00D808CB" w:rsidRPr="00E32238" w14:paraId="4C7F3BA1" w14:textId="77777777" w:rsidTr="001313A6">
        <w:trPr>
          <w:cantSplit/>
          <w:jc w:val="center"/>
        </w:trPr>
        <w:tc>
          <w:tcPr>
            <w:tcW w:w="1617" w:type="pct"/>
            <w:vMerge/>
          </w:tcPr>
          <w:p w14:paraId="30F5C033" w14:textId="77777777" w:rsidR="00D808CB" w:rsidRPr="00CA7017" w:rsidRDefault="00D808CB" w:rsidP="001313A6">
            <w:pPr>
              <w:pStyle w:val="TAC"/>
              <w:rPr>
                <w:rFonts w:cs="Arial"/>
              </w:rPr>
            </w:pPr>
          </w:p>
        </w:tc>
        <w:tc>
          <w:tcPr>
            <w:tcW w:w="774" w:type="pct"/>
          </w:tcPr>
          <w:p w14:paraId="5EDB3200" w14:textId="77777777" w:rsidR="00D808CB" w:rsidRPr="00CA7017" w:rsidRDefault="00D808CB" w:rsidP="001313A6">
            <w:pPr>
              <w:pStyle w:val="TAC"/>
              <w:rPr>
                <w:rFonts w:cs="Arial"/>
              </w:rPr>
            </w:pPr>
            <w:r w:rsidRPr="00CA7017">
              <w:rPr>
                <w:rFonts w:cs="Arial"/>
              </w:rPr>
              <w:t>1.28</w:t>
            </w:r>
          </w:p>
        </w:tc>
        <w:tc>
          <w:tcPr>
            <w:tcW w:w="797" w:type="pct"/>
          </w:tcPr>
          <w:p w14:paraId="1A1A2329" w14:textId="77777777" w:rsidR="00D808CB" w:rsidRPr="00CA7017" w:rsidRDefault="00D808CB" w:rsidP="001313A6">
            <w:pPr>
              <w:pStyle w:val="TAC"/>
              <w:rPr>
                <w:rFonts w:cs="Arial"/>
                <w:snapToGrid w:val="0"/>
              </w:rPr>
            </w:pPr>
            <w:r w:rsidRPr="00CA7017">
              <w:rPr>
                <w:rFonts w:cs="Arial"/>
                <w:snapToGrid w:val="0"/>
              </w:rPr>
              <w:t>≥</w:t>
            </w:r>
            <w:r w:rsidRPr="00CA7017">
              <w:rPr>
                <w:rFonts w:cs="Arial" w:hint="eastAsia"/>
                <w:snapToGrid w:val="0"/>
                <w:lang w:eastAsia="zh-CN"/>
              </w:rPr>
              <w:t>2.56 (2)</w:t>
            </w:r>
          </w:p>
        </w:tc>
        <w:tc>
          <w:tcPr>
            <w:tcW w:w="797" w:type="pct"/>
            <w:vMerge/>
          </w:tcPr>
          <w:p w14:paraId="77C3AAB7" w14:textId="77777777" w:rsidR="00D808CB" w:rsidRPr="00CA7017" w:rsidRDefault="00D808CB" w:rsidP="001313A6">
            <w:pPr>
              <w:pStyle w:val="TAC"/>
              <w:rPr>
                <w:rFonts w:cs="Arial"/>
                <w:snapToGrid w:val="0"/>
              </w:rPr>
            </w:pPr>
          </w:p>
        </w:tc>
        <w:tc>
          <w:tcPr>
            <w:tcW w:w="1015" w:type="pct"/>
          </w:tcPr>
          <w:p w14:paraId="287931FB" w14:textId="77777777" w:rsidR="00D808CB" w:rsidRPr="00CA7017" w:rsidRDefault="00D808CB" w:rsidP="001313A6">
            <w:pPr>
              <w:pStyle w:val="TAC"/>
              <w:rPr>
                <w:rFonts w:cs="Arial"/>
                <w:snapToGrid w:val="0"/>
              </w:rPr>
            </w:pPr>
            <w:r w:rsidRPr="009C5807">
              <w:rPr>
                <w:rFonts w:cs="Arial"/>
                <w:sz w:val="16"/>
                <w:lang w:eastAsia="zh-CN"/>
              </w:rPr>
              <w:t>N1*</w:t>
            </w:r>
            <w:r w:rsidRPr="00CA7017">
              <w:rPr>
                <w:rFonts w:cs="Arial"/>
              </w:rPr>
              <w:t>2</w:t>
            </w:r>
          </w:p>
        </w:tc>
      </w:tr>
      <w:tr w:rsidR="00D808CB" w:rsidRPr="00E32238" w14:paraId="518F7BAE" w14:textId="77777777" w:rsidTr="001313A6">
        <w:trPr>
          <w:cantSplit/>
          <w:jc w:val="center"/>
        </w:trPr>
        <w:tc>
          <w:tcPr>
            <w:tcW w:w="1617" w:type="pct"/>
            <w:vMerge/>
          </w:tcPr>
          <w:p w14:paraId="481F7A56" w14:textId="77777777" w:rsidR="00D808CB" w:rsidRPr="00CA7017" w:rsidRDefault="00D808CB" w:rsidP="001313A6">
            <w:pPr>
              <w:pStyle w:val="TAC"/>
              <w:rPr>
                <w:rFonts w:cs="Arial"/>
              </w:rPr>
            </w:pPr>
          </w:p>
        </w:tc>
        <w:tc>
          <w:tcPr>
            <w:tcW w:w="774" w:type="pct"/>
          </w:tcPr>
          <w:p w14:paraId="7AA50FD4" w14:textId="77777777" w:rsidR="00D808CB" w:rsidRPr="00CA7017" w:rsidRDefault="00D808CB" w:rsidP="001313A6">
            <w:pPr>
              <w:pStyle w:val="TAC"/>
              <w:rPr>
                <w:rFonts w:cs="Arial"/>
              </w:rPr>
            </w:pPr>
            <w:r w:rsidRPr="00CA7017">
              <w:rPr>
                <w:rFonts w:cs="Arial"/>
              </w:rPr>
              <w:t>2.56</w:t>
            </w:r>
          </w:p>
        </w:tc>
        <w:tc>
          <w:tcPr>
            <w:tcW w:w="797" w:type="pct"/>
          </w:tcPr>
          <w:p w14:paraId="295D2902" w14:textId="77777777" w:rsidR="00D808CB" w:rsidRPr="00CA7017" w:rsidRDefault="00D808CB" w:rsidP="001313A6">
            <w:pPr>
              <w:pStyle w:val="TAC"/>
              <w:rPr>
                <w:rFonts w:cs="Arial"/>
                <w:snapToGrid w:val="0"/>
              </w:rPr>
            </w:pPr>
            <w:r w:rsidRPr="00CA7017">
              <w:rPr>
                <w:rFonts w:cs="Arial"/>
                <w:snapToGrid w:val="0"/>
              </w:rPr>
              <w:t>≥</w:t>
            </w:r>
            <w:r w:rsidRPr="00CA7017">
              <w:rPr>
                <w:rFonts w:cs="Arial" w:hint="eastAsia"/>
                <w:snapToGrid w:val="0"/>
                <w:lang w:eastAsia="zh-CN"/>
              </w:rPr>
              <w:t>5.12 (4)</w:t>
            </w:r>
          </w:p>
        </w:tc>
        <w:tc>
          <w:tcPr>
            <w:tcW w:w="797" w:type="pct"/>
            <w:vMerge/>
          </w:tcPr>
          <w:p w14:paraId="75FB0844" w14:textId="77777777" w:rsidR="00D808CB" w:rsidRPr="00CA7017" w:rsidRDefault="00D808CB" w:rsidP="001313A6">
            <w:pPr>
              <w:pStyle w:val="TAC"/>
              <w:rPr>
                <w:rFonts w:cs="Arial"/>
                <w:snapToGrid w:val="0"/>
              </w:rPr>
            </w:pPr>
          </w:p>
        </w:tc>
        <w:tc>
          <w:tcPr>
            <w:tcW w:w="1015" w:type="pct"/>
          </w:tcPr>
          <w:p w14:paraId="3A79110A" w14:textId="77777777" w:rsidR="00D808CB" w:rsidRPr="00CA7017" w:rsidRDefault="00D808CB" w:rsidP="001313A6">
            <w:pPr>
              <w:pStyle w:val="TAC"/>
              <w:rPr>
                <w:rFonts w:cs="Arial"/>
                <w:snapToGrid w:val="0"/>
              </w:rPr>
            </w:pPr>
            <w:r w:rsidRPr="009C5807">
              <w:rPr>
                <w:rFonts w:cs="Arial"/>
                <w:sz w:val="16"/>
                <w:lang w:eastAsia="zh-CN"/>
              </w:rPr>
              <w:t>N1*</w:t>
            </w:r>
            <w:r w:rsidRPr="00CA7017">
              <w:rPr>
                <w:rFonts w:cs="Arial"/>
              </w:rPr>
              <w:t>2</w:t>
            </w:r>
          </w:p>
        </w:tc>
      </w:tr>
      <w:tr w:rsidR="00D808CB" w:rsidRPr="00E32238" w14:paraId="2BB4AC80" w14:textId="77777777" w:rsidTr="001313A6">
        <w:trPr>
          <w:cantSplit/>
          <w:jc w:val="center"/>
        </w:trPr>
        <w:tc>
          <w:tcPr>
            <w:tcW w:w="5000" w:type="pct"/>
            <w:gridSpan w:val="5"/>
          </w:tcPr>
          <w:p w14:paraId="0888B441" w14:textId="77777777" w:rsidR="00D808CB" w:rsidRPr="00E32238" w:rsidRDefault="00D808CB" w:rsidP="004868FC">
            <w:pPr>
              <w:pStyle w:val="TAN"/>
            </w:pPr>
            <w:r w:rsidRPr="00E32238">
              <w:t>NOTE 1: The number of DRX cycles in this table is given for the DRX cycles within PTWs.</w:t>
            </w:r>
          </w:p>
          <w:p w14:paraId="7F77E69E" w14:textId="77777777" w:rsidR="00D808CB" w:rsidRDefault="00D808CB" w:rsidP="004868FC">
            <w:pPr>
              <w:pStyle w:val="TAN"/>
            </w:pPr>
            <w:r w:rsidRPr="00E32238">
              <w:t>NOTE 2: The eDRX_IDLE cycle lengths are as specified in Section 10.5.5.32 of TS 24.008 [34].</w:t>
            </w:r>
          </w:p>
          <w:p w14:paraId="35D746C4" w14:textId="77777777" w:rsidR="00D808CB" w:rsidRDefault="00D808CB" w:rsidP="004868FC">
            <w:pPr>
              <w:pStyle w:val="TAN"/>
            </w:pPr>
            <w:r w:rsidRPr="00691C10">
              <w:t xml:space="preserve">NOTE </w:t>
            </w:r>
            <w:r>
              <w:t>3</w:t>
            </w:r>
            <w:r w:rsidRPr="00691C10">
              <w:t xml:space="preserve">: </w:t>
            </w:r>
            <w:r>
              <w:t xml:space="preserve">Number of eDRX cycles when </w:t>
            </w:r>
            <w:r w:rsidRPr="00691C10">
              <w:t>eDRX_IDLE cycle length</w:t>
            </w:r>
            <w:r>
              <w:t xml:space="preserve"> equals 2.56s, 5.12s</w:t>
            </w:r>
            <w:r>
              <w:rPr>
                <w:rFonts w:hint="eastAsia"/>
                <w:lang w:eastAsia="zh-CN"/>
              </w:rPr>
              <w:t xml:space="preserve"> </w:t>
            </w:r>
            <w:r>
              <w:rPr>
                <w:lang w:eastAsia="zh-CN"/>
              </w:rPr>
              <w:t>and 10.24s.</w:t>
            </w:r>
            <w:r>
              <w:t xml:space="preserve"> Otherwise, number of DRX cycles</w:t>
            </w:r>
            <w:r w:rsidRPr="00691C10">
              <w:t>.</w:t>
            </w:r>
          </w:p>
          <w:p w14:paraId="1EC2A15A" w14:textId="77777777" w:rsidR="00D808CB" w:rsidRPr="00E32238" w:rsidRDefault="00D808CB" w:rsidP="004868FC">
            <w:pPr>
              <w:pStyle w:val="TAN"/>
            </w:pPr>
            <w:r w:rsidRPr="00691C10">
              <w:t xml:space="preserve">NOTE </w:t>
            </w:r>
            <w:r>
              <w:t>4</w:t>
            </w:r>
            <w:r w:rsidRPr="00691C10">
              <w:t>:</w:t>
            </w:r>
            <w:r>
              <w:t xml:space="preserve"> The lower bound of </w:t>
            </w:r>
            <w:r w:rsidRPr="0082197E">
              <w:rPr>
                <w:iCs/>
                <w:color w:val="000000" w:themeColor="text1"/>
              </w:rPr>
              <w:t xml:space="preserve">PTW length is derived based on </w:t>
            </w:r>
            <m:oMath>
              <m:d>
                <m:dPr>
                  <m:begChr m:val="⌈"/>
                  <m:endChr m:val="⌉"/>
                  <m:ctrlPr>
                    <w:rPr>
                      <w:rFonts w:ascii="Cambria Math" w:hAnsi="Cambria Math"/>
                      <w:iCs/>
                    </w:rPr>
                  </m:ctrlPr>
                </m:dPr>
                <m:e>
                  <m:f>
                    <m:fPr>
                      <m:ctrlPr>
                        <w:rPr>
                          <w:rFonts w:ascii="Cambria Math" w:hAnsi="Cambria Math"/>
                          <w:iCs/>
                        </w:rPr>
                      </m:ctrlPr>
                    </m:fPr>
                    <m:num>
                      <m:r>
                        <m:rPr>
                          <m:sty m:val="p"/>
                        </m:rPr>
                        <w:rPr>
                          <w:rFonts w:ascii="Cambria Math" w:hAnsi="Cambria Math"/>
                        </w:rPr>
                        <m:t>Nserv</m:t>
                      </m:r>
                      <m:r>
                        <m:rPr>
                          <m:sty m:val="p"/>
                        </m:rPr>
                        <w:rPr>
                          <w:rFonts w:ascii="Cambria Math" w:hAnsi="Cambria Math" w:cs="v4.2.0"/>
                          <w:vertAlign w:val="subscript"/>
                        </w:rPr>
                        <m:t xml:space="preserve">_RedCap </m:t>
                      </m:r>
                      <m:r>
                        <m:rPr>
                          <m:sty m:val="p"/>
                        </m:rPr>
                        <w:rPr>
                          <w:rFonts w:ascii="Cambria Math" w:hAnsi="Cambria Math"/>
                        </w:rPr>
                        <m:t>*DRX_cycle</m:t>
                      </m:r>
                    </m:num>
                    <m:den>
                      <m:r>
                        <m:rPr>
                          <m:sty m:val="p"/>
                        </m:rPr>
                        <w:rPr>
                          <w:rFonts w:ascii="Cambria Math" w:hAnsi="Cambria Math"/>
                        </w:rPr>
                        <m:t>1.28</m:t>
                      </m:r>
                    </m:den>
                  </m:f>
                </m:e>
              </m:d>
              <m:r>
                <m:rPr>
                  <m:sty m:val="p"/>
                </m:rPr>
                <w:rPr>
                  <w:rFonts w:ascii="Cambria Math" w:hAnsi="Cambria Math"/>
                </w:rPr>
                <m:t>*1.28</m:t>
              </m:r>
            </m:oMath>
            <w:r>
              <w:rPr>
                <w:iCs/>
              </w:rPr>
              <w:t>.</w:t>
            </w:r>
          </w:p>
        </w:tc>
      </w:tr>
    </w:tbl>
    <w:p w14:paraId="4D4A63D2" w14:textId="77777777" w:rsidR="00D808CB" w:rsidRPr="00963536" w:rsidRDefault="00D808CB" w:rsidP="00AF5628"/>
    <w:p w14:paraId="39E44768" w14:textId="77777777" w:rsidR="00D808CB" w:rsidRDefault="00D808CB" w:rsidP="00D808CB">
      <w:pPr>
        <w:pStyle w:val="TH"/>
      </w:pPr>
      <w:r w:rsidRPr="009C5807">
        <w:t>Table 4.2</w:t>
      </w:r>
      <w:r>
        <w:t>B</w:t>
      </w:r>
      <w:r w:rsidRPr="009C5807">
        <w:t>.2.2-</w:t>
      </w:r>
      <w:r>
        <w:t>3</w:t>
      </w:r>
      <w:r w:rsidRPr="009C5807">
        <w:t>: N</w:t>
      </w:r>
      <w:r w:rsidRPr="009C5807">
        <w:rPr>
          <w:vertAlign w:val="subscript"/>
        </w:rPr>
        <w:t>serv</w:t>
      </w:r>
      <w:r>
        <w:rPr>
          <w:vertAlign w:val="subscript"/>
        </w:rPr>
        <w:t>_RedCap</w:t>
      </w:r>
      <w:r w:rsidRPr="00EF199C">
        <w:rPr>
          <w:rFonts w:cs="v4.2.0"/>
        </w:rPr>
        <w:t xml:space="preserve"> </w:t>
      </w:r>
      <w:r w:rsidRPr="00691C10">
        <w:rPr>
          <w:rFonts w:cs="v4.2.0"/>
        </w:rPr>
        <w:t>for UE configured with eDRX_IDLE cycle</w:t>
      </w:r>
      <w:r>
        <w:rPr>
          <w:rFonts w:cs="v4.2.0"/>
        </w:rPr>
        <w:t xml:space="preserve"> </w:t>
      </w:r>
      <w:r w:rsidRPr="00691C10">
        <w:t>(Frequency range FR</w:t>
      </w:r>
      <w:r>
        <w:t>2</w:t>
      </w:r>
      <w:r w:rsidRPr="00691C10">
        <w:t>)</w:t>
      </w:r>
    </w:p>
    <w:tbl>
      <w:tblPr>
        <w:tblW w:w="36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7"/>
        <w:gridCol w:w="1054"/>
        <w:gridCol w:w="1234"/>
        <w:gridCol w:w="1228"/>
        <w:gridCol w:w="1377"/>
      </w:tblGrid>
      <w:tr w:rsidR="00D808CB" w:rsidRPr="00E32238" w14:paraId="2755B2C1" w14:textId="77777777" w:rsidTr="001313A6">
        <w:trPr>
          <w:cantSplit/>
          <w:jc w:val="center"/>
        </w:trPr>
        <w:tc>
          <w:tcPr>
            <w:tcW w:w="1554" w:type="pct"/>
          </w:tcPr>
          <w:p w14:paraId="205AD14D" w14:textId="77777777" w:rsidR="00D808CB" w:rsidRPr="00E32238" w:rsidRDefault="00D808CB" w:rsidP="001313A6">
            <w:pPr>
              <w:pStyle w:val="TAH"/>
              <w:rPr>
                <w:rFonts w:cs="v4.2.0"/>
              </w:rPr>
            </w:pPr>
            <w:r w:rsidRPr="00E32238">
              <w:rPr>
                <w:rFonts w:cs="v4.2.0"/>
              </w:rPr>
              <w:t>eDRX_IDLE cycle length [s]</w:t>
            </w:r>
          </w:p>
        </w:tc>
        <w:tc>
          <w:tcPr>
            <w:tcW w:w="742" w:type="pct"/>
          </w:tcPr>
          <w:p w14:paraId="571C3C94" w14:textId="77777777" w:rsidR="00D808CB" w:rsidRPr="00E32238" w:rsidRDefault="00D808CB" w:rsidP="001313A6">
            <w:pPr>
              <w:pStyle w:val="TAH"/>
              <w:rPr>
                <w:rFonts w:cs="v4.2.0"/>
              </w:rPr>
            </w:pPr>
            <w:r w:rsidRPr="00E32238">
              <w:rPr>
                <w:rFonts w:cs="v4.2.0"/>
              </w:rPr>
              <w:t>DRX cycle length [s]</w:t>
            </w:r>
          </w:p>
        </w:tc>
        <w:tc>
          <w:tcPr>
            <w:tcW w:w="869" w:type="pct"/>
          </w:tcPr>
          <w:p w14:paraId="714CF026" w14:textId="77777777" w:rsidR="00D808CB" w:rsidRPr="00E32238" w:rsidRDefault="00D808CB" w:rsidP="001313A6">
            <w:pPr>
              <w:pStyle w:val="TAH"/>
              <w:rPr>
                <w:rFonts w:cs="Arial"/>
                <w:snapToGrid w:val="0"/>
              </w:rPr>
            </w:pPr>
            <w:r w:rsidRPr="00E32238">
              <w:rPr>
                <w:rFonts w:cs="v4.2.0"/>
              </w:rPr>
              <w:t>PTW length [s]</w:t>
            </w:r>
            <w:r w:rsidRPr="00E32238">
              <w:rPr>
                <w:rFonts w:cs="v4.2.0" w:hint="eastAsia"/>
                <w:lang w:eastAsia="zh-CN"/>
              </w:rPr>
              <w:t xml:space="preserve"> (</w:t>
            </w:r>
            <w:r w:rsidRPr="00E32238">
              <w:rPr>
                <w:rFonts w:cs="Arial"/>
                <w:bCs/>
                <w:iCs/>
                <w:lang w:eastAsia="ja-JP"/>
              </w:rPr>
              <w:t>number of 1.28s periods</w:t>
            </w:r>
            <w:r w:rsidRPr="00E32238">
              <w:rPr>
                <w:rFonts w:cs="v4.2.0" w:hint="eastAsia"/>
                <w:lang w:eastAsia="zh-CN"/>
              </w:rPr>
              <w:t>)</w:t>
            </w:r>
          </w:p>
        </w:tc>
        <w:tc>
          <w:tcPr>
            <w:tcW w:w="865" w:type="pct"/>
          </w:tcPr>
          <w:p w14:paraId="2FA5E1B5" w14:textId="77777777" w:rsidR="00D808CB" w:rsidRPr="00E32238" w:rsidRDefault="00D808CB" w:rsidP="001313A6">
            <w:pPr>
              <w:pStyle w:val="TAH"/>
              <w:rPr>
                <w:rFonts w:cs="v4.2.0"/>
              </w:rPr>
            </w:pPr>
            <w:r w:rsidRPr="009C5807">
              <w:t>Scaling Factor (N1)</w:t>
            </w:r>
            <w:r w:rsidRPr="009C5807">
              <w:rPr>
                <w:vertAlign w:val="superscript"/>
              </w:rPr>
              <w:t xml:space="preserve"> Note</w:t>
            </w:r>
            <w:r>
              <w:rPr>
                <w:vertAlign w:val="superscript"/>
              </w:rPr>
              <w:t>1</w:t>
            </w:r>
          </w:p>
        </w:tc>
        <w:tc>
          <w:tcPr>
            <w:tcW w:w="970" w:type="pct"/>
          </w:tcPr>
          <w:p w14:paraId="09D0B8FF" w14:textId="77777777" w:rsidR="00D808CB" w:rsidRPr="00E32238" w:rsidRDefault="00D808CB" w:rsidP="001313A6">
            <w:pPr>
              <w:pStyle w:val="TAH"/>
              <w:rPr>
                <w:rFonts w:cs="Arial"/>
                <w:snapToGrid w:val="0"/>
              </w:rPr>
            </w:pPr>
            <w:r w:rsidRPr="00E32238">
              <w:rPr>
                <w:rFonts w:cs="v4.2.0"/>
              </w:rPr>
              <w:t>N</w:t>
            </w:r>
            <w:r w:rsidRPr="00E32238">
              <w:rPr>
                <w:rFonts w:cs="v4.2.0"/>
                <w:vertAlign w:val="subscript"/>
              </w:rPr>
              <w:t>serv</w:t>
            </w:r>
            <w:r>
              <w:rPr>
                <w:rFonts w:cs="v4.2.0"/>
                <w:vertAlign w:val="subscript"/>
              </w:rPr>
              <w:t>_RedCap</w:t>
            </w:r>
            <w:r w:rsidRPr="00E32238">
              <w:rPr>
                <w:rFonts w:cs="v4.2.0"/>
                <w:vertAlign w:val="subscript"/>
              </w:rPr>
              <w:t xml:space="preserve"> </w:t>
            </w:r>
            <w:r w:rsidRPr="00E32238">
              <w:rPr>
                <w:rFonts w:cs="v4.2.0"/>
              </w:rPr>
              <w:t xml:space="preserve">[number of DRX </w:t>
            </w:r>
            <w:r>
              <w:rPr>
                <w:rFonts w:cs="v4.2.0"/>
              </w:rPr>
              <w:t xml:space="preserve">or eDRX </w:t>
            </w:r>
            <w:r w:rsidRPr="00E32238">
              <w:rPr>
                <w:rFonts w:cs="v4.2.0"/>
              </w:rPr>
              <w:t>cycles</w:t>
            </w:r>
            <w:r w:rsidRPr="009469A5">
              <w:rPr>
                <w:rFonts w:cs="Arial"/>
                <w:vertAlign w:val="superscript"/>
                <w:lang w:eastAsia="zh-CN"/>
              </w:rPr>
              <w:t xml:space="preserve"> Note </w:t>
            </w:r>
            <w:r>
              <w:rPr>
                <w:rFonts w:cs="Arial"/>
                <w:vertAlign w:val="superscript"/>
                <w:lang w:eastAsia="zh-CN"/>
              </w:rPr>
              <w:t>4</w:t>
            </w:r>
            <w:r w:rsidRPr="00E32238">
              <w:rPr>
                <w:rFonts w:cs="v4.2.0"/>
              </w:rPr>
              <w:t>]</w:t>
            </w:r>
          </w:p>
        </w:tc>
      </w:tr>
      <w:tr w:rsidR="00D808CB" w:rsidRPr="00E32238" w14:paraId="165DAD7E" w14:textId="77777777" w:rsidTr="001313A6">
        <w:trPr>
          <w:cantSplit/>
          <w:jc w:val="center"/>
        </w:trPr>
        <w:tc>
          <w:tcPr>
            <w:tcW w:w="1554" w:type="pct"/>
            <w:vAlign w:val="center"/>
          </w:tcPr>
          <w:p w14:paraId="1DB75EB9" w14:textId="77777777" w:rsidR="00D808CB" w:rsidRPr="00E278D0" w:rsidDel="009469A5" w:rsidRDefault="00D808CB" w:rsidP="001313A6">
            <w:pPr>
              <w:pStyle w:val="TAC"/>
              <w:rPr>
                <w:rFonts w:cs="Arial"/>
                <w:lang w:eastAsia="zh-CN"/>
              </w:rPr>
            </w:pPr>
            <w:r>
              <w:rPr>
                <w:rFonts w:cs="Arial" w:hint="eastAsia"/>
                <w:lang w:eastAsia="zh-CN"/>
              </w:rPr>
              <w:t>2</w:t>
            </w:r>
            <w:r>
              <w:rPr>
                <w:rFonts w:cs="Arial"/>
                <w:lang w:eastAsia="zh-CN"/>
              </w:rPr>
              <w:t>.56</w:t>
            </w:r>
          </w:p>
        </w:tc>
        <w:tc>
          <w:tcPr>
            <w:tcW w:w="742" w:type="pct"/>
          </w:tcPr>
          <w:p w14:paraId="1EB9930F" w14:textId="77777777" w:rsidR="00D808CB" w:rsidRPr="00E32238" w:rsidRDefault="00D808CB" w:rsidP="001313A6">
            <w:pPr>
              <w:pStyle w:val="TAC"/>
              <w:rPr>
                <w:rFonts w:cs="Arial"/>
                <w:lang w:eastAsia="zh-CN"/>
              </w:rPr>
            </w:pPr>
            <w:r>
              <w:rPr>
                <w:rFonts w:cs="Arial"/>
                <w:lang w:eastAsia="zh-CN"/>
              </w:rPr>
              <w:t xml:space="preserve">N/A </w:t>
            </w:r>
          </w:p>
        </w:tc>
        <w:tc>
          <w:tcPr>
            <w:tcW w:w="869" w:type="pct"/>
          </w:tcPr>
          <w:p w14:paraId="504B7499" w14:textId="77777777" w:rsidR="00D808CB" w:rsidRPr="00E32238" w:rsidRDefault="00D808CB" w:rsidP="001313A6">
            <w:pPr>
              <w:pStyle w:val="TAC"/>
              <w:rPr>
                <w:rFonts w:cs="Arial"/>
                <w:snapToGrid w:val="0"/>
                <w:lang w:eastAsia="zh-CN"/>
              </w:rPr>
            </w:pPr>
            <w:r>
              <w:rPr>
                <w:rFonts w:cs="Arial" w:hint="eastAsia"/>
                <w:snapToGrid w:val="0"/>
                <w:lang w:eastAsia="zh-CN"/>
              </w:rPr>
              <w:t>N</w:t>
            </w:r>
            <w:r>
              <w:rPr>
                <w:rFonts w:cs="Arial"/>
                <w:snapToGrid w:val="0"/>
                <w:lang w:eastAsia="zh-CN"/>
              </w:rPr>
              <w:t>/A</w:t>
            </w:r>
          </w:p>
        </w:tc>
        <w:tc>
          <w:tcPr>
            <w:tcW w:w="865" w:type="pct"/>
          </w:tcPr>
          <w:p w14:paraId="79C4FCBA" w14:textId="77777777" w:rsidR="00D808CB" w:rsidRDefault="00D808CB" w:rsidP="001313A6">
            <w:pPr>
              <w:pStyle w:val="TAC"/>
              <w:rPr>
                <w:rFonts w:cs="Arial"/>
                <w:snapToGrid w:val="0"/>
                <w:lang w:eastAsia="zh-CN"/>
              </w:rPr>
            </w:pPr>
            <w:r>
              <w:rPr>
                <w:rFonts w:cs="Arial"/>
                <w:snapToGrid w:val="0"/>
                <w:lang w:eastAsia="zh-CN"/>
              </w:rPr>
              <w:t>3</w:t>
            </w:r>
          </w:p>
        </w:tc>
        <w:tc>
          <w:tcPr>
            <w:tcW w:w="970" w:type="pct"/>
          </w:tcPr>
          <w:p w14:paraId="15206209" w14:textId="77777777" w:rsidR="00D808CB" w:rsidRPr="00E32238" w:rsidRDefault="00D808CB" w:rsidP="001313A6">
            <w:pPr>
              <w:pStyle w:val="TAC"/>
              <w:rPr>
                <w:rFonts w:cs="Arial"/>
                <w:snapToGrid w:val="0"/>
                <w:lang w:eastAsia="zh-CN"/>
              </w:rPr>
            </w:pPr>
            <w:r w:rsidRPr="009C5807">
              <w:rPr>
                <w:rFonts w:cs="Arial"/>
                <w:sz w:val="16"/>
                <w:lang w:eastAsia="zh-CN"/>
              </w:rPr>
              <w:t>N1*</w:t>
            </w:r>
            <w:r w:rsidRPr="009C5807">
              <w:t>2</w:t>
            </w:r>
          </w:p>
        </w:tc>
      </w:tr>
      <w:tr w:rsidR="00D808CB" w:rsidRPr="00E32238" w14:paraId="6989C273" w14:textId="77777777" w:rsidTr="001313A6">
        <w:trPr>
          <w:cantSplit/>
          <w:jc w:val="center"/>
        </w:trPr>
        <w:tc>
          <w:tcPr>
            <w:tcW w:w="1554" w:type="pct"/>
            <w:vAlign w:val="center"/>
          </w:tcPr>
          <w:p w14:paraId="22D5736C" w14:textId="77777777" w:rsidR="00D808CB" w:rsidRPr="00E32238" w:rsidDel="009469A5" w:rsidRDefault="00D808CB" w:rsidP="001313A6">
            <w:pPr>
              <w:pStyle w:val="TAC"/>
              <w:rPr>
                <w:rFonts w:cs="Arial"/>
              </w:rPr>
            </w:pPr>
            <w:r>
              <w:rPr>
                <w:rFonts w:cs="Arial"/>
              </w:rPr>
              <w:t>5.12</w:t>
            </w:r>
          </w:p>
        </w:tc>
        <w:tc>
          <w:tcPr>
            <w:tcW w:w="742" w:type="pct"/>
          </w:tcPr>
          <w:p w14:paraId="71B9B5FF" w14:textId="77777777" w:rsidR="00D808CB" w:rsidRPr="00E32238" w:rsidRDefault="00D808CB" w:rsidP="001313A6">
            <w:pPr>
              <w:pStyle w:val="TAC"/>
              <w:rPr>
                <w:rFonts w:cs="Arial"/>
                <w:lang w:eastAsia="zh-CN"/>
              </w:rPr>
            </w:pPr>
            <w:r>
              <w:rPr>
                <w:rFonts w:cs="Arial"/>
                <w:lang w:eastAsia="zh-CN"/>
              </w:rPr>
              <w:t xml:space="preserve">N/A </w:t>
            </w:r>
          </w:p>
        </w:tc>
        <w:tc>
          <w:tcPr>
            <w:tcW w:w="869" w:type="pct"/>
          </w:tcPr>
          <w:p w14:paraId="7C87E794" w14:textId="77777777" w:rsidR="00D808CB" w:rsidRPr="00E32238" w:rsidRDefault="00D808CB" w:rsidP="001313A6">
            <w:pPr>
              <w:pStyle w:val="TAC"/>
              <w:rPr>
                <w:rFonts w:cs="Arial"/>
                <w:snapToGrid w:val="0"/>
                <w:lang w:eastAsia="zh-CN"/>
              </w:rPr>
            </w:pPr>
            <w:r>
              <w:rPr>
                <w:rFonts w:cs="Arial" w:hint="eastAsia"/>
                <w:snapToGrid w:val="0"/>
                <w:lang w:eastAsia="zh-CN"/>
              </w:rPr>
              <w:t>N</w:t>
            </w:r>
            <w:r>
              <w:rPr>
                <w:rFonts w:cs="Arial"/>
                <w:snapToGrid w:val="0"/>
                <w:lang w:eastAsia="zh-CN"/>
              </w:rPr>
              <w:t>/A</w:t>
            </w:r>
          </w:p>
        </w:tc>
        <w:tc>
          <w:tcPr>
            <w:tcW w:w="865" w:type="pct"/>
          </w:tcPr>
          <w:p w14:paraId="04CC00FF" w14:textId="77777777" w:rsidR="00D808CB" w:rsidRDefault="00D808CB" w:rsidP="001313A6">
            <w:pPr>
              <w:pStyle w:val="TAC"/>
              <w:rPr>
                <w:rFonts w:cs="Arial"/>
                <w:snapToGrid w:val="0"/>
                <w:lang w:eastAsia="zh-CN"/>
              </w:rPr>
            </w:pPr>
            <w:r>
              <w:rPr>
                <w:rFonts w:cs="Arial"/>
                <w:snapToGrid w:val="0"/>
                <w:lang w:eastAsia="zh-CN"/>
              </w:rPr>
              <w:t>3</w:t>
            </w:r>
          </w:p>
        </w:tc>
        <w:tc>
          <w:tcPr>
            <w:tcW w:w="970" w:type="pct"/>
          </w:tcPr>
          <w:p w14:paraId="214EDD3A" w14:textId="77777777" w:rsidR="00D808CB" w:rsidRPr="00E32238" w:rsidRDefault="00D808CB" w:rsidP="001313A6">
            <w:pPr>
              <w:pStyle w:val="TAC"/>
              <w:rPr>
                <w:rFonts w:cs="Arial"/>
                <w:snapToGrid w:val="0"/>
                <w:lang w:eastAsia="zh-CN"/>
              </w:rPr>
            </w:pPr>
            <w:r w:rsidRPr="009C5807">
              <w:rPr>
                <w:rFonts w:cs="Arial"/>
                <w:sz w:val="16"/>
                <w:lang w:eastAsia="zh-CN"/>
              </w:rPr>
              <w:t>N1*</w:t>
            </w:r>
            <w:r w:rsidRPr="009C5807">
              <w:t>2</w:t>
            </w:r>
          </w:p>
        </w:tc>
      </w:tr>
      <w:tr w:rsidR="00D808CB" w:rsidRPr="00E32238" w14:paraId="34A02616" w14:textId="77777777" w:rsidTr="001313A6">
        <w:trPr>
          <w:cantSplit/>
          <w:jc w:val="center"/>
        </w:trPr>
        <w:tc>
          <w:tcPr>
            <w:tcW w:w="1554" w:type="pct"/>
            <w:vAlign w:val="center"/>
          </w:tcPr>
          <w:p w14:paraId="64F5A173" w14:textId="77777777" w:rsidR="00D808CB" w:rsidRPr="00CA7017" w:rsidRDefault="00D808CB" w:rsidP="001313A6">
            <w:pPr>
              <w:pStyle w:val="TAC"/>
              <w:rPr>
                <w:rFonts w:cs="Arial"/>
                <w:lang w:eastAsia="zh-CN"/>
              </w:rPr>
            </w:pPr>
            <w:r>
              <w:rPr>
                <w:rFonts w:cs="Arial" w:hint="eastAsia"/>
                <w:lang w:eastAsia="zh-CN"/>
              </w:rPr>
              <w:t>1</w:t>
            </w:r>
            <w:r>
              <w:rPr>
                <w:rFonts w:cs="Arial"/>
                <w:lang w:eastAsia="zh-CN"/>
              </w:rPr>
              <w:t>0.24</w:t>
            </w:r>
          </w:p>
        </w:tc>
        <w:tc>
          <w:tcPr>
            <w:tcW w:w="742" w:type="pct"/>
          </w:tcPr>
          <w:p w14:paraId="3E3F934B" w14:textId="77777777" w:rsidR="00D808CB" w:rsidRPr="00E32238" w:rsidRDefault="00D808CB" w:rsidP="001313A6">
            <w:pPr>
              <w:pStyle w:val="TAC"/>
              <w:rPr>
                <w:rFonts w:cs="Arial"/>
                <w:lang w:eastAsia="zh-CN"/>
              </w:rPr>
            </w:pPr>
            <w:r>
              <w:rPr>
                <w:rFonts w:cs="Arial"/>
                <w:lang w:eastAsia="zh-CN"/>
              </w:rPr>
              <w:t xml:space="preserve">N/A </w:t>
            </w:r>
          </w:p>
        </w:tc>
        <w:tc>
          <w:tcPr>
            <w:tcW w:w="869" w:type="pct"/>
          </w:tcPr>
          <w:p w14:paraId="280267E8" w14:textId="77777777" w:rsidR="00D808CB" w:rsidRPr="00E32238" w:rsidRDefault="00D808CB" w:rsidP="001313A6">
            <w:pPr>
              <w:pStyle w:val="TAC"/>
              <w:rPr>
                <w:rFonts w:cs="Arial"/>
                <w:snapToGrid w:val="0"/>
                <w:lang w:eastAsia="zh-CN"/>
              </w:rPr>
            </w:pPr>
            <w:r>
              <w:rPr>
                <w:rFonts w:cs="Arial" w:hint="eastAsia"/>
                <w:snapToGrid w:val="0"/>
                <w:lang w:eastAsia="zh-CN"/>
              </w:rPr>
              <w:t>N</w:t>
            </w:r>
            <w:r>
              <w:rPr>
                <w:rFonts w:cs="Arial"/>
                <w:snapToGrid w:val="0"/>
                <w:lang w:eastAsia="zh-CN"/>
              </w:rPr>
              <w:t>/A</w:t>
            </w:r>
          </w:p>
        </w:tc>
        <w:tc>
          <w:tcPr>
            <w:tcW w:w="865" w:type="pct"/>
          </w:tcPr>
          <w:p w14:paraId="7F5909F1" w14:textId="77777777" w:rsidR="00D808CB" w:rsidRDefault="00D808CB" w:rsidP="001313A6">
            <w:pPr>
              <w:pStyle w:val="TAC"/>
              <w:rPr>
                <w:rFonts w:cs="Arial"/>
                <w:snapToGrid w:val="0"/>
                <w:lang w:eastAsia="zh-CN"/>
              </w:rPr>
            </w:pPr>
            <w:r>
              <w:rPr>
                <w:rFonts w:cs="Arial"/>
                <w:snapToGrid w:val="0"/>
                <w:lang w:eastAsia="zh-CN"/>
              </w:rPr>
              <w:t>3</w:t>
            </w:r>
          </w:p>
        </w:tc>
        <w:tc>
          <w:tcPr>
            <w:tcW w:w="970" w:type="pct"/>
          </w:tcPr>
          <w:p w14:paraId="15DF5A84" w14:textId="77777777" w:rsidR="00D808CB" w:rsidRPr="00432787" w:rsidRDefault="00D808CB" w:rsidP="001313A6">
            <w:pPr>
              <w:pStyle w:val="TAC"/>
              <w:rPr>
                <w:rFonts w:cs="Arial"/>
                <w:snapToGrid w:val="0"/>
                <w:lang w:eastAsia="zh-CN"/>
              </w:rPr>
            </w:pPr>
            <w:r w:rsidRPr="009C5807">
              <w:rPr>
                <w:rFonts w:cs="Arial"/>
                <w:sz w:val="16"/>
                <w:lang w:eastAsia="zh-CN"/>
              </w:rPr>
              <w:t>N1*</w:t>
            </w:r>
            <w:r w:rsidRPr="009C5807">
              <w:t>2</w:t>
            </w:r>
          </w:p>
        </w:tc>
      </w:tr>
      <w:tr w:rsidR="00D808CB" w:rsidRPr="00E32238" w14:paraId="1BE1990E" w14:textId="77777777" w:rsidTr="001313A6">
        <w:trPr>
          <w:cantSplit/>
          <w:jc w:val="center"/>
        </w:trPr>
        <w:tc>
          <w:tcPr>
            <w:tcW w:w="1554" w:type="pct"/>
            <w:vMerge w:val="restart"/>
            <w:vAlign w:val="center"/>
          </w:tcPr>
          <w:p w14:paraId="7EE1F34E" w14:textId="77777777" w:rsidR="00D808CB" w:rsidRPr="00CA7017" w:rsidRDefault="00D808CB" w:rsidP="001313A6">
            <w:pPr>
              <w:pStyle w:val="TAC"/>
              <w:rPr>
                <w:rFonts w:cs="Arial"/>
              </w:rPr>
            </w:pPr>
            <w:r w:rsidRPr="0082197E">
              <w:rPr>
                <w:rFonts w:cs="Arial"/>
              </w:rPr>
              <w:t xml:space="preserve">20.48 </w:t>
            </w:r>
            <w:r w:rsidRPr="0082197E">
              <w:rPr>
                <w:rFonts w:cs="Arial" w:hint="eastAsia"/>
              </w:rPr>
              <w:t>≤</w:t>
            </w:r>
            <w:r w:rsidRPr="00CA7017">
              <w:rPr>
                <w:rFonts w:cs="Arial"/>
              </w:rPr>
              <w:t xml:space="preserve"> eDRX_IDLE cycle length ≤</w:t>
            </w:r>
            <w:r w:rsidRPr="00FA54D7">
              <w:rPr>
                <w:rFonts w:eastAsia="Yu Mincho" w:cs="Arial"/>
              </w:rPr>
              <w:t>10485.76</w:t>
            </w:r>
          </w:p>
        </w:tc>
        <w:tc>
          <w:tcPr>
            <w:tcW w:w="742" w:type="pct"/>
          </w:tcPr>
          <w:p w14:paraId="3D3FE4F5" w14:textId="77777777" w:rsidR="00D808CB" w:rsidRPr="00CA7017" w:rsidRDefault="00D808CB" w:rsidP="001313A6">
            <w:pPr>
              <w:pStyle w:val="TAC"/>
              <w:rPr>
                <w:rFonts w:cs="Arial"/>
              </w:rPr>
            </w:pPr>
            <w:r w:rsidRPr="00CA7017">
              <w:rPr>
                <w:rFonts w:cs="Arial"/>
              </w:rPr>
              <w:t>0.32</w:t>
            </w:r>
          </w:p>
        </w:tc>
        <w:tc>
          <w:tcPr>
            <w:tcW w:w="869" w:type="pct"/>
          </w:tcPr>
          <w:p w14:paraId="573F5AF4" w14:textId="77777777" w:rsidR="00D808CB" w:rsidRPr="00CA7017" w:rsidRDefault="00D808CB" w:rsidP="001313A6">
            <w:pPr>
              <w:pStyle w:val="TAC"/>
              <w:rPr>
                <w:rFonts w:cs="Arial"/>
                <w:snapToGrid w:val="0"/>
              </w:rPr>
            </w:pPr>
            <w:r w:rsidRPr="00CA7017">
              <w:rPr>
                <w:rFonts w:cs="Arial"/>
                <w:snapToGrid w:val="0"/>
              </w:rPr>
              <w:t>≥</w:t>
            </w:r>
            <w:r>
              <w:rPr>
                <w:rFonts w:cs="Arial"/>
                <w:snapToGrid w:val="0"/>
              </w:rPr>
              <w:t>5.12</w:t>
            </w:r>
            <w:r w:rsidRPr="00CA7017">
              <w:rPr>
                <w:rFonts w:cs="Arial" w:hint="eastAsia"/>
                <w:snapToGrid w:val="0"/>
                <w:lang w:eastAsia="zh-CN"/>
              </w:rPr>
              <w:t xml:space="preserve"> (</w:t>
            </w:r>
            <w:r>
              <w:rPr>
                <w:rFonts w:cs="Arial"/>
                <w:snapToGrid w:val="0"/>
                <w:lang w:eastAsia="zh-CN"/>
              </w:rPr>
              <w:t>4</w:t>
            </w:r>
            <w:r w:rsidRPr="00CA7017">
              <w:rPr>
                <w:rFonts w:cs="Arial" w:hint="eastAsia"/>
                <w:snapToGrid w:val="0"/>
                <w:lang w:eastAsia="zh-CN"/>
              </w:rPr>
              <w:t>)</w:t>
            </w:r>
          </w:p>
        </w:tc>
        <w:tc>
          <w:tcPr>
            <w:tcW w:w="865" w:type="pct"/>
          </w:tcPr>
          <w:p w14:paraId="34911536" w14:textId="77777777" w:rsidR="00D808CB" w:rsidRDefault="00D808CB" w:rsidP="001313A6">
            <w:pPr>
              <w:pStyle w:val="TAC"/>
              <w:rPr>
                <w:rFonts w:cs="Arial"/>
                <w:snapToGrid w:val="0"/>
              </w:rPr>
            </w:pPr>
            <w:r>
              <w:rPr>
                <w:rFonts w:cs="Arial"/>
                <w:snapToGrid w:val="0"/>
              </w:rPr>
              <w:t>8</w:t>
            </w:r>
          </w:p>
        </w:tc>
        <w:tc>
          <w:tcPr>
            <w:tcW w:w="970" w:type="pct"/>
          </w:tcPr>
          <w:p w14:paraId="3CE798E7" w14:textId="77777777" w:rsidR="00D808CB" w:rsidRPr="00CA7017" w:rsidRDefault="00D808CB" w:rsidP="001313A6">
            <w:pPr>
              <w:pStyle w:val="TAC"/>
              <w:rPr>
                <w:rFonts w:cs="Arial"/>
                <w:snapToGrid w:val="0"/>
              </w:rPr>
            </w:pPr>
            <w:r w:rsidRPr="009C5807">
              <w:rPr>
                <w:rFonts w:cs="Arial"/>
                <w:sz w:val="16"/>
                <w:lang w:eastAsia="zh-CN"/>
              </w:rPr>
              <w:t>N1*</w:t>
            </w:r>
            <w:r w:rsidRPr="009C5807">
              <w:t>2</w:t>
            </w:r>
          </w:p>
        </w:tc>
      </w:tr>
      <w:tr w:rsidR="00D808CB" w:rsidRPr="00E32238" w14:paraId="7DE56363" w14:textId="77777777" w:rsidTr="001313A6">
        <w:trPr>
          <w:cantSplit/>
          <w:jc w:val="center"/>
        </w:trPr>
        <w:tc>
          <w:tcPr>
            <w:tcW w:w="1554" w:type="pct"/>
            <w:vMerge/>
          </w:tcPr>
          <w:p w14:paraId="38B97E56" w14:textId="77777777" w:rsidR="00D808CB" w:rsidRPr="00CA7017" w:rsidRDefault="00D808CB" w:rsidP="001313A6">
            <w:pPr>
              <w:pStyle w:val="TAC"/>
              <w:rPr>
                <w:rFonts w:cs="Arial"/>
              </w:rPr>
            </w:pPr>
          </w:p>
        </w:tc>
        <w:tc>
          <w:tcPr>
            <w:tcW w:w="742" w:type="pct"/>
          </w:tcPr>
          <w:p w14:paraId="3F307153" w14:textId="77777777" w:rsidR="00D808CB" w:rsidRPr="00CA7017" w:rsidRDefault="00D808CB" w:rsidP="001313A6">
            <w:pPr>
              <w:pStyle w:val="TAC"/>
              <w:rPr>
                <w:rFonts w:cs="Arial"/>
              </w:rPr>
            </w:pPr>
            <w:r w:rsidRPr="00CA7017">
              <w:rPr>
                <w:rFonts w:cs="Arial"/>
              </w:rPr>
              <w:t>0.64</w:t>
            </w:r>
          </w:p>
        </w:tc>
        <w:tc>
          <w:tcPr>
            <w:tcW w:w="869" w:type="pct"/>
          </w:tcPr>
          <w:p w14:paraId="40784CF4" w14:textId="77777777" w:rsidR="00D808CB" w:rsidRPr="00CA7017" w:rsidRDefault="00D808CB" w:rsidP="001313A6">
            <w:pPr>
              <w:pStyle w:val="TAC"/>
              <w:rPr>
                <w:rFonts w:cs="Arial"/>
                <w:snapToGrid w:val="0"/>
              </w:rPr>
            </w:pPr>
            <w:r w:rsidRPr="00CA7017">
              <w:rPr>
                <w:rFonts w:cs="Arial"/>
                <w:snapToGrid w:val="0"/>
              </w:rPr>
              <w:t>≥</w:t>
            </w:r>
            <w:r>
              <w:rPr>
                <w:rFonts w:cs="Arial"/>
                <w:snapToGrid w:val="0"/>
              </w:rPr>
              <w:t>6.4</w:t>
            </w:r>
            <w:r w:rsidRPr="00CA7017">
              <w:rPr>
                <w:rFonts w:cs="Arial" w:hint="eastAsia"/>
                <w:snapToGrid w:val="0"/>
                <w:lang w:eastAsia="zh-CN"/>
              </w:rPr>
              <w:t xml:space="preserve"> (</w:t>
            </w:r>
            <w:r>
              <w:rPr>
                <w:rFonts w:cs="Arial"/>
                <w:snapToGrid w:val="0"/>
                <w:lang w:eastAsia="zh-CN"/>
              </w:rPr>
              <w:t>5</w:t>
            </w:r>
            <w:r w:rsidRPr="00CA7017">
              <w:rPr>
                <w:rFonts w:cs="Arial" w:hint="eastAsia"/>
                <w:snapToGrid w:val="0"/>
                <w:lang w:eastAsia="zh-CN"/>
              </w:rPr>
              <w:t>)</w:t>
            </w:r>
          </w:p>
        </w:tc>
        <w:tc>
          <w:tcPr>
            <w:tcW w:w="865" w:type="pct"/>
          </w:tcPr>
          <w:p w14:paraId="622CF146" w14:textId="77777777" w:rsidR="00D808CB" w:rsidRDefault="00D808CB" w:rsidP="001313A6">
            <w:pPr>
              <w:pStyle w:val="TAC"/>
              <w:rPr>
                <w:rFonts w:cs="Arial"/>
                <w:snapToGrid w:val="0"/>
              </w:rPr>
            </w:pPr>
            <w:r>
              <w:rPr>
                <w:rFonts w:cs="Arial"/>
                <w:snapToGrid w:val="0"/>
              </w:rPr>
              <w:t>5</w:t>
            </w:r>
          </w:p>
        </w:tc>
        <w:tc>
          <w:tcPr>
            <w:tcW w:w="970" w:type="pct"/>
          </w:tcPr>
          <w:p w14:paraId="7130F2F4" w14:textId="77777777" w:rsidR="00D808CB" w:rsidRPr="00CA7017" w:rsidRDefault="00D808CB" w:rsidP="001313A6">
            <w:pPr>
              <w:pStyle w:val="TAC"/>
              <w:rPr>
                <w:rFonts w:cs="Arial"/>
                <w:snapToGrid w:val="0"/>
              </w:rPr>
            </w:pPr>
            <w:r w:rsidRPr="009C5807">
              <w:rPr>
                <w:rFonts w:cs="Arial"/>
                <w:sz w:val="16"/>
                <w:lang w:eastAsia="zh-CN"/>
              </w:rPr>
              <w:t>N1*</w:t>
            </w:r>
            <w:r w:rsidRPr="009C5807">
              <w:t>2</w:t>
            </w:r>
          </w:p>
        </w:tc>
      </w:tr>
      <w:tr w:rsidR="00D808CB" w:rsidRPr="00E32238" w14:paraId="7851F42C" w14:textId="77777777" w:rsidTr="001313A6">
        <w:trPr>
          <w:cantSplit/>
          <w:jc w:val="center"/>
        </w:trPr>
        <w:tc>
          <w:tcPr>
            <w:tcW w:w="1554" w:type="pct"/>
            <w:vMerge/>
          </w:tcPr>
          <w:p w14:paraId="6422CAC4" w14:textId="77777777" w:rsidR="00D808CB" w:rsidRPr="00CA7017" w:rsidRDefault="00D808CB" w:rsidP="001313A6">
            <w:pPr>
              <w:pStyle w:val="TAC"/>
              <w:rPr>
                <w:rFonts w:cs="Arial"/>
              </w:rPr>
            </w:pPr>
          </w:p>
        </w:tc>
        <w:tc>
          <w:tcPr>
            <w:tcW w:w="742" w:type="pct"/>
          </w:tcPr>
          <w:p w14:paraId="25C9C082" w14:textId="77777777" w:rsidR="00D808CB" w:rsidRPr="00CA7017" w:rsidRDefault="00D808CB" w:rsidP="001313A6">
            <w:pPr>
              <w:pStyle w:val="TAC"/>
              <w:rPr>
                <w:rFonts w:cs="Arial"/>
              </w:rPr>
            </w:pPr>
            <w:r w:rsidRPr="00CA7017">
              <w:rPr>
                <w:rFonts w:cs="Arial"/>
              </w:rPr>
              <w:t>1.28</w:t>
            </w:r>
          </w:p>
        </w:tc>
        <w:tc>
          <w:tcPr>
            <w:tcW w:w="869" w:type="pct"/>
          </w:tcPr>
          <w:p w14:paraId="47EB0601" w14:textId="77777777" w:rsidR="00D808CB" w:rsidRPr="00CA7017" w:rsidRDefault="00D808CB" w:rsidP="001313A6">
            <w:pPr>
              <w:pStyle w:val="TAC"/>
              <w:rPr>
                <w:rFonts w:cs="Arial"/>
                <w:snapToGrid w:val="0"/>
              </w:rPr>
            </w:pPr>
            <w:r w:rsidRPr="00CA7017">
              <w:rPr>
                <w:rFonts w:cs="Arial"/>
                <w:snapToGrid w:val="0"/>
              </w:rPr>
              <w:t>≥</w:t>
            </w:r>
            <w:r>
              <w:rPr>
                <w:rFonts w:cs="Arial"/>
                <w:snapToGrid w:val="0"/>
                <w:lang w:eastAsia="zh-CN"/>
              </w:rPr>
              <w:t>10.24</w:t>
            </w:r>
            <w:r w:rsidRPr="00CA7017">
              <w:rPr>
                <w:rFonts w:cs="Arial" w:hint="eastAsia"/>
                <w:snapToGrid w:val="0"/>
                <w:lang w:eastAsia="zh-CN"/>
              </w:rPr>
              <w:t xml:space="preserve"> (</w:t>
            </w:r>
            <w:r>
              <w:rPr>
                <w:rFonts w:cs="Arial"/>
                <w:snapToGrid w:val="0"/>
                <w:lang w:eastAsia="zh-CN"/>
              </w:rPr>
              <w:t>8</w:t>
            </w:r>
            <w:r w:rsidRPr="00CA7017">
              <w:rPr>
                <w:rFonts w:cs="Arial" w:hint="eastAsia"/>
                <w:snapToGrid w:val="0"/>
                <w:lang w:eastAsia="zh-CN"/>
              </w:rPr>
              <w:t>)</w:t>
            </w:r>
          </w:p>
        </w:tc>
        <w:tc>
          <w:tcPr>
            <w:tcW w:w="865" w:type="pct"/>
          </w:tcPr>
          <w:p w14:paraId="1E5238D8" w14:textId="77777777" w:rsidR="00D808CB" w:rsidRPr="00CA7017" w:rsidRDefault="00D808CB" w:rsidP="001313A6">
            <w:pPr>
              <w:pStyle w:val="TAC"/>
              <w:rPr>
                <w:rFonts w:cs="Arial"/>
              </w:rPr>
            </w:pPr>
            <w:r>
              <w:rPr>
                <w:rFonts w:cs="Arial"/>
              </w:rPr>
              <w:t>4</w:t>
            </w:r>
          </w:p>
        </w:tc>
        <w:tc>
          <w:tcPr>
            <w:tcW w:w="970" w:type="pct"/>
          </w:tcPr>
          <w:p w14:paraId="535B8033" w14:textId="77777777" w:rsidR="00D808CB" w:rsidRPr="00CA7017" w:rsidRDefault="00D808CB" w:rsidP="001313A6">
            <w:pPr>
              <w:pStyle w:val="TAC"/>
              <w:rPr>
                <w:rFonts w:cs="Arial"/>
                <w:snapToGrid w:val="0"/>
              </w:rPr>
            </w:pPr>
            <w:r w:rsidRPr="009C5807">
              <w:rPr>
                <w:rFonts w:cs="Arial"/>
                <w:sz w:val="16"/>
                <w:lang w:eastAsia="zh-CN"/>
              </w:rPr>
              <w:t>N1*</w:t>
            </w:r>
            <w:r w:rsidRPr="009C5807">
              <w:t>2</w:t>
            </w:r>
          </w:p>
        </w:tc>
      </w:tr>
      <w:tr w:rsidR="00D808CB" w:rsidRPr="00E32238" w14:paraId="46DF296F" w14:textId="77777777" w:rsidTr="001313A6">
        <w:trPr>
          <w:cantSplit/>
          <w:jc w:val="center"/>
        </w:trPr>
        <w:tc>
          <w:tcPr>
            <w:tcW w:w="1554" w:type="pct"/>
            <w:vMerge/>
          </w:tcPr>
          <w:p w14:paraId="7B113F68" w14:textId="77777777" w:rsidR="00D808CB" w:rsidRPr="00CA7017" w:rsidRDefault="00D808CB" w:rsidP="001313A6">
            <w:pPr>
              <w:pStyle w:val="TAC"/>
              <w:rPr>
                <w:rFonts w:cs="Arial"/>
              </w:rPr>
            </w:pPr>
          </w:p>
        </w:tc>
        <w:tc>
          <w:tcPr>
            <w:tcW w:w="742" w:type="pct"/>
          </w:tcPr>
          <w:p w14:paraId="5FBA69B2" w14:textId="77777777" w:rsidR="00D808CB" w:rsidRPr="00CA7017" w:rsidRDefault="00D808CB" w:rsidP="001313A6">
            <w:pPr>
              <w:pStyle w:val="TAC"/>
              <w:rPr>
                <w:rFonts w:cs="Arial"/>
              </w:rPr>
            </w:pPr>
            <w:r w:rsidRPr="00CA7017">
              <w:rPr>
                <w:rFonts w:cs="Arial"/>
              </w:rPr>
              <w:t>2.56</w:t>
            </w:r>
          </w:p>
        </w:tc>
        <w:tc>
          <w:tcPr>
            <w:tcW w:w="869" w:type="pct"/>
          </w:tcPr>
          <w:p w14:paraId="0D75C7AE" w14:textId="77777777" w:rsidR="00D808CB" w:rsidRPr="00CA7017" w:rsidRDefault="00D808CB" w:rsidP="001313A6">
            <w:pPr>
              <w:pStyle w:val="TAC"/>
              <w:rPr>
                <w:rFonts w:cs="Arial"/>
                <w:snapToGrid w:val="0"/>
              </w:rPr>
            </w:pPr>
            <w:r w:rsidRPr="00CA7017">
              <w:rPr>
                <w:rFonts w:cs="Arial"/>
                <w:snapToGrid w:val="0"/>
              </w:rPr>
              <w:t>≥</w:t>
            </w:r>
            <w:r>
              <w:rPr>
                <w:rFonts w:cs="Arial"/>
                <w:snapToGrid w:val="0"/>
                <w:lang w:eastAsia="zh-CN"/>
              </w:rPr>
              <w:t>15.36</w:t>
            </w:r>
            <w:r>
              <w:rPr>
                <w:rFonts w:cs="Arial" w:hint="eastAsia"/>
                <w:snapToGrid w:val="0"/>
                <w:lang w:eastAsia="zh-CN"/>
              </w:rPr>
              <w:t xml:space="preserve"> (</w:t>
            </w:r>
            <w:r>
              <w:rPr>
                <w:rFonts w:cs="Arial"/>
                <w:snapToGrid w:val="0"/>
                <w:lang w:eastAsia="zh-CN"/>
              </w:rPr>
              <w:t>12</w:t>
            </w:r>
            <w:r w:rsidRPr="00CA7017">
              <w:rPr>
                <w:rFonts w:cs="Arial" w:hint="eastAsia"/>
                <w:snapToGrid w:val="0"/>
                <w:lang w:eastAsia="zh-CN"/>
              </w:rPr>
              <w:t>)</w:t>
            </w:r>
          </w:p>
        </w:tc>
        <w:tc>
          <w:tcPr>
            <w:tcW w:w="865" w:type="pct"/>
          </w:tcPr>
          <w:p w14:paraId="7A7A14E8" w14:textId="77777777" w:rsidR="00D808CB" w:rsidRPr="00CA7017" w:rsidRDefault="00D808CB" w:rsidP="001313A6">
            <w:pPr>
              <w:pStyle w:val="TAC"/>
              <w:rPr>
                <w:rFonts w:cs="Arial"/>
              </w:rPr>
            </w:pPr>
            <w:r>
              <w:rPr>
                <w:rFonts w:cs="Arial"/>
              </w:rPr>
              <w:t>3</w:t>
            </w:r>
          </w:p>
        </w:tc>
        <w:tc>
          <w:tcPr>
            <w:tcW w:w="970" w:type="pct"/>
          </w:tcPr>
          <w:p w14:paraId="3880F90D" w14:textId="77777777" w:rsidR="00D808CB" w:rsidRPr="00CA7017" w:rsidRDefault="00D808CB" w:rsidP="001313A6">
            <w:pPr>
              <w:pStyle w:val="TAC"/>
              <w:rPr>
                <w:rFonts w:cs="Arial"/>
                <w:snapToGrid w:val="0"/>
              </w:rPr>
            </w:pPr>
            <w:r w:rsidRPr="009C5807">
              <w:rPr>
                <w:rFonts w:cs="Arial"/>
                <w:sz w:val="16"/>
                <w:lang w:eastAsia="zh-CN"/>
              </w:rPr>
              <w:t>N1*</w:t>
            </w:r>
            <w:r w:rsidRPr="009C5807">
              <w:t>2</w:t>
            </w:r>
          </w:p>
        </w:tc>
      </w:tr>
      <w:tr w:rsidR="00D808CB" w:rsidRPr="00E32238" w14:paraId="7FE80DD9" w14:textId="77777777" w:rsidTr="001313A6">
        <w:trPr>
          <w:cantSplit/>
          <w:jc w:val="center"/>
        </w:trPr>
        <w:tc>
          <w:tcPr>
            <w:tcW w:w="5000" w:type="pct"/>
            <w:gridSpan w:val="5"/>
          </w:tcPr>
          <w:p w14:paraId="7A456CA0" w14:textId="77777777" w:rsidR="00D808CB" w:rsidRDefault="00D808CB" w:rsidP="004868FC">
            <w:pPr>
              <w:pStyle w:val="TAN"/>
              <w:rPr>
                <w:rFonts w:cs="Arial"/>
              </w:rPr>
            </w:pPr>
            <w:r w:rsidRPr="00691C10">
              <w:rPr>
                <w:rFonts w:cs="Arial"/>
              </w:rPr>
              <w:t xml:space="preserve">NOTE </w:t>
            </w:r>
            <w:r>
              <w:rPr>
                <w:rFonts w:cs="Arial"/>
              </w:rPr>
              <w:t>1</w:t>
            </w:r>
            <w:r w:rsidRPr="00691C10">
              <w:rPr>
                <w:rFonts w:cs="Arial"/>
              </w:rPr>
              <w:t>:</w:t>
            </w:r>
            <w:r>
              <w:rPr>
                <w:rFonts w:cs="Arial"/>
              </w:rPr>
              <w:t xml:space="preserve"> </w:t>
            </w:r>
            <w:r w:rsidRPr="00FA29EC">
              <w:rPr>
                <w:lang w:eastAsia="zh-CN"/>
              </w:rPr>
              <w:t>Applies for RedCap UE of all FR2 power class.</w:t>
            </w:r>
          </w:p>
          <w:p w14:paraId="54652624" w14:textId="77777777" w:rsidR="00D808CB" w:rsidRPr="00E32238" w:rsidRDefault="00D808CB" w:rsidP="004868FC">
            <w:pPr>
              <w:pStyle w:val="TAN"/>
              <w:rPr>
                <w:rFonts w:cs="Arial"/>
              </w:rPr>
            </w:pPr>
            <w:r w:rsidRPr="00E32238">
              <w:rPr>
                <w:rFonts w:cs="Arial"/>
              </w:rPr>
              <w:t xml:space="preserve">NOTE </w:t>
            </w:r>
            <w:r>
              <w:rPr>
                <w:rFonts w:cs="Arial"/>
              </w:rPr>
              <w:t>2</w:t>
            </w:r>
            <w:r w:rsidRPr="00E32238">
              <w:rPr>
                <w:rFonts w:cs="Arial"/>
              </w:rPr>
              <w:t>: The number of DRX cycles in this table is given for the DRX cycles within PTWs.</w:t>
            </w:r>
          </w:p>
          <w:p w14:paraId="47752232" w14:textId="77777777" w:rsidR="00D808CB" w:rsidRDefault="00D808CB" w:rsidP="004868FC">
            <w:pPr>
              <w:pStyle w:val="TAN"/>
              <w:rPr>
                <w:rFonts w:cs="Arial"/>
              </w:rPr>
            </w:pPr>
            <w:r w:rsidRPr="00E32238">
              <w:rPr>
                <w:rFonts w:cs="Arial"/>
              </w:rPr>
              <w:t xml:space="preserve">NOTE </w:t>
            </w:r>
            <w:r>
              <w:rPr>
                <w:rFonts w:cs="Arial"/>
              </w:rPr>
              <w:t>3</w:t>
            </w:r>
            <w:r w:rsidRPr="00E32238">
              <w:rPr>
                <w:rFonts w:cs="Arial"/>
              </w:rPr>
              <w:t>: The eDRX_IDLE cycle lengths are as specified in Section 10.5.5.32 of TS 24.008 [34].</w:t>
            </w:r>
          </w:p>
          <w:p w14:paraId="73ADC050" w14:textId="77777777" w:rsidR="00D808CB" w:rsidRDefault="00D808CB" w:rsidP="004868FC">
            <w:pPr>
              <w:pStyle w:val="TAN"/>
              <w:rPr>
                <w:rFonts w:cs="Arial"/>
              </w:rPr>
            </w:pPr>
            <w:r w:rsidRPr="00691C10">
              <w:rPr>
                <w:rFonts w:cs="Arial"/>
              </w:rPr>
              <w:t xml:space="preserve">NOTE </w:t>
            </w:r>
            <w:r>
              <w:rPr>
                <w:rFonts w:cs="Arial"/>
              </w:rPr>
              <w:t>4</w:t>
            </w:r>
            <w:r w:rsidRPr="00691C10">
              <w:rPr>
                <w:rFonts w:cs="Arial"/>
              </w:rPr>
              <w:t xml:space="preserve">: </w:t>
            </w:r>
            <w:r>
              <w:rPr>
                <w:rFonts w:cs="Arial"/>
              </w:rPr>
              <w:t xml:space="preserve">Number of eDRX cycles when </w:t>
            </w:r>
            <w:r w:rsidRPr="00691C10">
              <w:rPr>
                <w:rFonts w:cs="Arial"/>
              </w:rPr>
              <w:t>eDRX_IDLE cycle length</w:t>
            </w:r>
            <w:r>
              <w:rPr>
                <w:rFonts w:cs="Arial"/>
              </w:rPr>
              <w:t xml:space="preserve"> equals 2.56s, 5.12s</w:t>
            </w:r>
            <w:r>
              <w:rPr>
                <w:rFonts w:cs="Arial" w:hint="eastAsia"/>
                <w:lang w:eastAsia="zh-CN"/>
              </w:rPr>
              <w:t xml:space="preserve"> </w:t>
            </w:r>
            <w:r>
              <w:rPr>
                <w:rFonts w:cs="Arial"/>
                <w:lang w:eastAsia="zh-CN"/>
              </w:rPr>
              <w:t>and 10.24s.</w:t>
            </w:r>
            <w:r>
              <w:rPr>
                <w:rFonts w:cs="Arial"/>
              </w:rPr>
              <w:t xml:space="preserve"> Otherwise, number of DRX cycles</w:t>
            </w:r>
            <w:r w:rsidRPr="00691C10">
              <w:rPr>
                <w:rFonts w:cs="Arial"/>
              </w:rPr>
              <w:t>.</w:t>
            </w:r>
          </w:p>
          <w:p w14:paraId="06CC7C1D" w14:textId="77777777" w:rsidR="003D151D" w:rsidRDefault="003D151D" w:rsidP="003D151D">
            <w:pPr>
              <w:pStyle w:val="TAN"/>
              <w:rPr>
                <w:rFonts w:cs="Arial"/>
                <w:iCs/>
              </w:rPr>
            </w:pPr>
            <w:r w:rsidRPr="00691C10">
              <w:rPr>
                <w:rFonts w:cs="Arial"/>
              </w:rPr>
              <w:t xml:space="preserve">NOTE </w:t>
            </w:r>
            <w:r>
              <w:rPr>
                <w:rFonts w:cs="Arial"/>
              </w:rPr>
              <w:t>5</w:t>
            </w:r>
            <w:r w:rsidRPr="00691C10">
              <w:rPr>
                <w:rFonts w:cs="Arial"/>
              </w:rPr>
              <w:t>:</w:t>
            </w:r>
            <w:r>
              <w:rPr>
                <w:rFonts w:cs="Arial"/>
              </w:rPr>
              <w:t xml:space="preserve"> The lower bound of </w:t>
            </w:r>
            <w:r w:rsidRPr="007D1E39">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rPr>
                        <m:t>Nserv</m:t>
                      </m:r>
                      <m:r>
                        <m:rPr>
                          <m:sty m:val="p"/>
                        </m:rPr>
                        <w:rPr>
                          <w:rFonts w:ascii="Cambria Math" w:hAnsi="Cambria Math" w:cs="v4.2.0"/>
                          <w:vertAlign w:val="subscript"/>
                        </w:rPr>
                        <m:t xml:space="preserve">_RedCap </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Pr>
                <w:rFonts w:cs="Arial"/>
                <w:iCs/>
              </w:rPr>
              <w:t>.</w:t>
            </w:r>
          </w:p>
          <w:p w14:paraId="6BB7A955" w14:textId="1FA376F7" w:rsidR="00D808CB" w:rsidRPr="00E32238" w:rsidRDefault="003D151D" w:rsidP="003D151D">
            <w:pPr>
              <w:pStyle w:val="TAN"/>
              <w:rPr>
                <w:rFonts w:cs="Arial"/>
              </w:rPr>
            </w:pPr>
            <w:r>
              <w:rPr>
                <w:rFonts w:cs="Arial"/>
                <w:iCs/>
              </w:rPr>
              <w:t>NOTE 6: When eDRX=20.48s and DRX=0.32s, UE is allowed to perform cell evaluation within PTW in every 2 eDRX cycles.</w:t>
            </w:r>
          </w:p>
        </w:tc>
      </w:tr>
    </w:tbl>
    <w:p w14:paraId="0468344C" w14:textId="6FD437CC" w:rsidR="00D808CB" w:rsidRDefault="00D808CB" w:rsidP="00D808CB"/>
    <w:p w14:paraId="3B6D77BC" w14:textId="240DE766" w:rsidR="004868FC" w:rsidRPr="004868FC" w:rsidRDefault="004868FC" w:rsidP="003D151D"/>
    <w:p w14:paraId="2CAB01D5" w14:textId="77777777" w:rsidR="00D808CB" w:rsidRPr="00691C10" w:rsidRDefault="00D808CB" w:rsidP="003D151D">
      <w:r w:rsidRPr="009A57E3">
        <w:t>For any requirement in this section, when the UE transitions between any two states when being configured with eDRX_IDLE, being configured with eDRX_IDLE cycle, changing eDRX_IDLE cycle length, or changing PTW configurat</w:t>
      </w:r>
      <w:r w:rsidRPr="00D90DBA">
        <w:t xml:space="preserve">ion, the UE shall meet the transition requirement, which is the less stringent requirement of the two requirements corresponding to the first state and the second state, during the transition time interval which is the time corresponding to the transition requirement. After the transition time interval, the UE </w:t>
      </w:r>
      <w:r>
        <w:t>shall</w:t>
      </w:r>
      <w:r w:rsidRPr="00D90DBA">
        <w:t xml:space="preserve"> meet the requirement corresponding to the second state.</w:t>
      </w:r>
    </w:p>
    <w:p w14:paraId="37720107" w14:textId="0713ADCF" w:rsidR="00D808CB" w:rsidRDefault="00D808CB" w:rsidP="00AF5628">
      <w:pPr>
        <w:pStyle w:val="Heading4"/>
      </w:pPr>
      <w:r>
        <w:t>4.2B.2.3</w:t>
      </w:r>
      <w:r w:rsidR="004868FC">
        <w:tab/>
      </w:r>
      <w:r>
        <w:t>Measurements of intra-frequency NR cells for RedCap UE</w:t>
      </w:r>
    </w:p>
    <w:p w14:paraId="2B9E294F" w14:textId="77777777" w:rsidR="00D808CB" w:rsidRPr="009C5807" w:rsidRDefault="00D808CB" w:rsidP="00D808CB">
      <w:r w:rsidRPr="009C5807">
        <w:t xml:space="preserve">The UE shall be able to identify new intra-frequency cells and perform </w:t>
      </w:r>
      <w:r w:rsidRPr="009C5807">
        <w:rPr>
          <w:lang w:eastAsia="zh-CN"/>
        </w:rPr>
        <w:t>SS</w:t>
      </w:r>
      <w:r w:rsidRPr="009C5807">
        <w:t xml:space="preserve">-RSRP and </w:t>
      </w:r>
      <w:r w:rsidRPr="009C5807">
        <w:rPr>
          <w:lang w:eastAsia="zh-CN"/>
        </w:rPr>
        <w:t>SS-</w:t>
      </w:r>
      <w:r w:rsidRPr="009C5807">
        <w:t xml:space="preserve">RSRQ measurements of </w:t>
      </w:r>
      <w:r w:rsidRPr="009C5807">
        <w:rPr>
          <w:lang w:eastAsia="zh-CN"/>
        </w:rPr>
        <w:t xml:space="preserve">the </w:t>
      </w:r>
      <w:r w:rsidRPr="009C5807">
        <w:t>identified intra-frequency cells without an explicit intra-frequency neighbour list containing physical layer cell identities.</w:t>
      </w:r>
    </w:p>
    <w:p w14:paraId="6DA38547" w14:textId="4472F817" w:rsidR="00D808CB" w:rsidRPr="009C5807" w:rsidRDefault="009A1D04" w:rsidP="00D808CB">
      <w:r w:rsidRPr="009C5807">
        <w:t>The UE shall be able to evaluate whether a newly detectable intra-frequency cell meets the reselection criteria defined in TS</w:t>
      </w:r>
      <w:r>
        <w:t xml:space="preserve"> </w:t>
      </w:r>
      <w:r w:rsidRPr="009C5807">
        <w:t>3</w:t>
      </w:r>
      <w:r w:rsidRPr="009C5807">
        <w:rPr>
          <w:lang w:eastAsia="zh-CN"/>
        </w:rPr>
        <w:t>8</w:t>
      </w:r>
      <w:r w:rsidRPr="009C5807">
        <w:t>.304 [1] within T</w:t>
      </w:r>
      <w:r w:rsidRPr="009C5807">
        <w:rPr>
          <w:vertAlign w:val="subscript"/>
        </w:rPr>
        <w:t>detect,</w:t>
      </w:r>
      <w:r w:rsidRPr="009C5807">
        <w:rPr>
          <w:vertAlign w:val="subscript"/>
          <w:lang w:eastAsia="zh-CN"/>
        </w:rPr>
        <w:t>NR</w:t>
      </w:r>
      <w:r w:rsidRPr="009C5807">
        <w:rPr>
          <w:vertAlign w:val="subscript"/>
        </w:rPr>
        <w:t>_Intra</w:t>
      </w:r>
      <w:r>
        <w:rPr>
          <w:vertAlign w:val="subscript"/>
        </w:rPr>
        <w:t>_RedCap</w:t>
      </w:r>
      <w:r w:rsidRPr="009C5807">
        <w:rPr>
          <w:i/>
          <w:vertAlign w:val="subscript"/>
        </w:rPr>
        <w:t xml:space="preserve"> </w:t>
      </w:r>
      <w:r w:rsidRPr="009C5807">
        <w:t>when that Treselection= 0</w:t>
      </w:r>
      <w:r w:rsidRPr="009C5807">
        <w:rPr>
          <w:i/>
          <w:vertAlign w:val="subscript"/>
        </w:rPr>
        <w:t xml:space="preserve"> </w:t>
      </w:r>
      <w:r w:rsidRPr="009C5807">
        <w:t>. An intra frequency cell is considered to be detectable according to the conditions defi</w:t>
      </w:r>
      <w:r w:rsidRPr="00C10549">
        <w:t xml:space="preserve">ned in Annex </w:t>
      </w:r>
      <w:r w:rsidRPr="00C10549">
        <w:rPr>
          <w:lang w:eastAsia="zh-CN"/>
        </w:rPr>
        <w:t>B.</w:t>
      </w:r>
      <w:r>
        <w:rPr>
          <w:lang w:eastAsia="zh-CN"/>
        </w:rPr>
        <w:t>1.4</w:t>
      </w:r>
      <w:r w:rsidRPr="00C10549">
        <w:t xml:space="preserve"> for a</w:t>
      </w:r>
      <w:r w:rsidRPr="009C5807">
        <w:t xml:space="preserve"> corresponding Band.</w:t>
      </w:r>
    </w:p>
    <w:p w14:paraId="353CDCDF" w14:textId="77777777" w:rsidR="00D808CB" w:rsidRPr="009C5807" w:rsidRDefault="00D808CB" w:rsidP="00D808CB">
      <w:pPr>
        <w:rPr>
          <w:rFonts w:cs="v4.2.0"/>
        </w:rPr>
      </w:pPr>
      <w:r w:rsidRPr="009C5807">
        <w:rPr>
          <w:rFonts w:cs="v4.2.0"/>
        </w:rPr>
        <w:t xml:space="preserve">The UE shall measure </w:t>
      </w:r>
      <w:r w:rsidRPr="009C5807">
        <w:rPr>
          <w:rFonts w:cs="v4.2.0"/>
          <w:lang w:eastAsia="zh-CN"/>
        </w:rPr>
        <w:t>SS-</w:t>
      </w:r>
      <w:r w:rsidRPr="009C5807">
        <w:rPr>
          <w:rFonts w:cs="v4.2.0"/>
        </w:rPr>
        <w:t xml:space="preserve">RSRP and </w:t>
      </w:r>
      <w:r w:rsidRPr="009C5807">
        <w:rPr>
          <w:rFonts w:cs="v4.2.0"/>
          <w:lang w:eastAsia="zh-CN"/>
        </w:rPr>
        <w:t>SS-</w:t>
      </w:r>
      <w:r w:rsidRPr="009C5807">
        <w:rPr>
          <w:rFonts w:cs="v4.2.0"/>
        </w:rPr>
        <w:t>RSRQ at least every T</w:t>
      </w:r>
      <w:r w:rsidRPr="009C5807">
        <w:rPr>
          <w:rFonts w:cs="v4.2.0"/>
          <w:vertAlign w:val="subscript"/>
        </w:rPr>
        <w:t>measure,NR_Intra</w:t>
      </w:r>
      <w:r>
        <w:rPr>
          <w:rFonts w:cs="v4.2.0"/>
          <w:vertAlign w:val="subscript"/>
        </w:rPr>
        <w:t>_RedCap</w:t>
      </w:r>
      <w:r w:rsidRPr="009C5807">
        <w:rPr>
          <w:rFonts w:cs="v4.2.0"/>
        </w:rPr>
        <w:t xml:space="preserve"> for intra-frequency cells that are identified and measured according to the measurement rules.</w:t>
      </w:r>
    </w:p>
    <w:p w14:paraId="7AF21606" w14:textId="77777777" w:rsidR="00D808CB" w:rsidRPr="009C5807" w:rsidRDefault="00D808CB" w:rsidP="00D808CB">
      <w:pPr>
        <w:rPr>
          <w:rFonts w:cs="v4.2.0"/>
          <w:lang w:eastAsia="zh-CN"/>
        </w:rPr>
      </w:pPr>
      <w:r w:rsidRPr="009C5807">
        <w:rPr>
          <w:rFonts w:cs="v4.2.0"/>
        </w:rPr>
        <w:t xml:space="preserve">The UE shall filter </w:t>
      </w:r>
      <w:r w:rsidRPr="009C5807">
        <w:rPr>
          <w:rFonts w:cs="v4.2.0"/>
          <w:lang w:eastAsia="zh-CN"/>
        </w:rPr>
        <w:t>SS-</w:t>
      </w:r>
      <w:r w:rsidRPr="009C5807">
        <w:rPr>
          <w:rFonts w:cs="v4.2.0"/>
        </w:rPr>
        <w:t xml:space="preserve">RSRP and </w:t>
      </w:r>
      <w:r w:rsidRPr="009C5807">
        <w:rPr>
          <w:rFonts w:cs="v4.2.0"/>
          <w:lang w:eastAsia="zh-CN"/>
        </w:rPr>
        <w:t>SS-</w:t>
      </w:r>
      <w:r w:rsidRPr="009C5807">
        <w:rPr>
          <w:rFonts w:cs="v4.2.0"/>
        </w:rPr>
        <w:t>RSRQ measurements of each measured intra-frequency cell using at least 2 measurements. Within the set of measurements used for the filtering, at least two measurements shall be spaced by at least T</w:t>
      </w:r>
      <w:r w:rsidRPr="009C5807">
        <w:rPr>
          <w:rFonts w:cs="v4.2.0"/>
          <w:vertAlign w:val="subscript"/>
        </w:rPr>
        <w:t>measure,NR_Intra</w:t>
      </w:r>
      <w:r>
        <w:rPr>
          <w:rFonts w:cs="v4.2.0"/>
          <w:vertAlign w:val="subscript"/>
        </w:rPr>
        <w:t>_RedCap</w:t>
      </w:r>
      <w:r w:rsidRPr="009C5807">
        <w:rPr>
          <w:rFonts w:cs="v4.2.0"/>
        </w:rPr>
        <w:t>/2</w:t>
      </w:r>
      <w:r w:rsidRPr="009C5807">
        <w:rPr>
          <w:rFonts w:cs="v4.2.0"/>
          <w:lang w:eastAsia="zh-CN"/>
        </w:rPr>
        <w:t>.</w:t>
      </w:r>
    </w:p>
    <w:p w14:paraId="3443DB2B" w14:textId="77777777" w:rsidR="00D808CB" w:rsidRPr="009C5807" w:rsidRDefault="00D808CB" w:rsidP="00D808CB">
      <w:pPr>
        <w:rPr>
          <w:lang w:eastAsia="zh-CN"/>
        </w:rPr>
      </w:pPr>
      <w:r w:rsidRPr="0005218F">
        <w:t xml:space="preserve">The UE shall not consider a </w:t>
      </w:r>
      <w:r w:rsidRPr="0005218F">
        <w:rPr>
          <w:lang w:eastAsia="zh-CN"/>
        </w:rPr>
        <w:t>NR</w:t>
      </w:r>
      <w:r w:rsidRPr="0005218F">
        <w:t xml:space="preserve"> neighbour cell in cell reselection, if it is indicated as not allowed in the measurement control system information of the serving cell.</w:t>
      </w:r>
    </w:p>
    <w:p w14:paraId="2A3BC52F" w14:textId="77777777" w:rsidR="00D808CB" w:rsidRPr="009C5807" w:rsidRDefault="00D808CB" w:rsidP="00D808CB">
      <w:pPr>
        <w:rPr>
          <w:rFonts w:cs="v4.2.0"/>
        </w:rPr>
      </w:pPr>
      <w:r w:rsidRPr="009C5807">
        <w:rPr>
          <w:rFonts w:cs="v4.2.0"/>
        </w:rPr>
        <w:t xml:space="preserve">For an intra-frequency cell that has been already detected, but that has not been reselected to, the filtering shall be such that the UE shall be capable of evaluating that the intra-frequency cell has met reselection criterion defined </w:t>
      </w:r>
      <w:r w:rsidRPr="009C5807">
        <w:t>in TS</w:t>
      </w:r>
      <w:r>
        <w:t xml:space="preserve"> </w:t>
      </w:r>
      <w:r w:rsidRPr="009C5807">
        <w:t>3</w:t>
      </w:r>
      <w:r w:rsidRPr="009C5807">
        <w:rPr>
          <w:lang w:eastAsia="zh-CN"/>
        </w:rPr>
        <w:t>8</w:t>
      </w:r>
      <w:r w:rsidRPr="009C5807">
        <w:t xml:space="preserve">.304 </w:t>
      </w:r>
      <w:r w:rsidRPr="009C5807">
        <w:rPr>
          <w:rFonts w:cs="v4.2.0"/>
        </w:rPr>
        <w:t>[1] within T</w:t>
      </w:r>
      <w:r w:rsidRPr="009C5807">
        <w:rPr>
          <w:rFonts w:cs="v4.2.0"/>
          <w:vertAlign w:val="subscript"/>
        </w:rPr>
        <w:t>evaluate,</w:t>
      </w:r>
      <w:r w:rsidRPr="009C5807">
        <w:rPr>
          <w:rFonts w:cs="v4.2.0"/>
          <w:vertAlign w:val="subscript"/>
          <w:lang w:eastAsia="zh-CN"/>
        </w:rPr>
        <w:t>NR</w:t>
      </w:r>
      <w:r w:rsidRPr="009C5807">
        <w:rPr>
          <w:rFonts w:cs="v4.2.0"/>
          <w:vertAlign w:val="subscript"/>
        </w:rPr>
        <w:t>_Intra</w:t>
      </w:r>
      <w:r>
        <w:rPr>
          <w:rFonts w:cs="v4.2.0"/>
          <w:vertAlign w:val="subscript"/>
        </w:rPr>
        <w:t>_RedCap</w:t>
      </w:r>
      <w:r w:rsidRPr="009C5807">
        <w:rPr>
          <w:rFonts w:cs="v4.2.0"/>
        </w:rPr>
        <w:t xml:space="preserve"> when T</w:t>
      </w:r>
      <w:r w:rsidRPr="009C5807">
        <w:rPr>
          <w:rFonts w:cs="v4.2.0"/>
          <w:vertAlign w:val="subscript"/>
        </w:rPr>
        <w:t>reselection</w:t>
      </w:r>
      <w:r w:rsidRPr="009C5807">
        <w:rPr>
          <w:rFonts w:cs="v4.2.0"/>
        </w:rPr>
        <w:t xml:space="preserve"> = 0 provided that:</w:t>
      </w:r>
    </w:p>
    <w:p w14:paraId="52085744" w14:textId="77777777" w:rsidR="00D808CB" w:rsidRPr="009C5807" w:rsidRDefault="00D808CB" w:rsidP="00D808CB">
      <w:pPr>
        <w:ind w:left="568" w:hanging="284"/>
      </w:pPr>
      <w:r w:rsidRPr="009C5807">
        <w:t xml:space="preserve">when </w:t>
      </w:r>
      <w:r w:rsidRPr="009C5807">
        <w:rPr>
          <w:i/>
        </w:rPr>
        <w:t>rangeToBestCell</w:t>
      </w:r>
      <w:r w:rsidRPr="009C5807">
        <w:t xml:space="preserve"> is not configured:</w:t>
      </w:r>
    </w:p>
    <w:p w14:paraId="2508B893" w14:textId="77777777" w:rsidR="00D808CB" w:rsidRDefault="00D808CB" w:rsidP="00D808CB">
      <w:pPr>
        <w:pStyle w:val="B10"/>
      </w:pPr>
      <w:r w:rsidRPr="009C5807">
        <w:t>-</w:t>
      </w:r>
      <w:r w:rsidRPr="009C5807">
        <w:tab/>
        <w:t xml:space="preserve">the cell is at least </w:t>
      </w:r>
      <w:r w:rsidRPr="009C5807">
        <w:rPr>
          <w:lang w:eastAsia="zh-CN"/>
        </w:rPr>
        <w:t>3</w:t>
      </w:r>
      <w:r w:rsidRPr="009C5807">
        <w:t>dB better ranked in FR1 or 4.5dB better ranked in FR2</w:t>
      </w:r>
      <w:r>
        <w:t xml:space="preserve"> for 2 Rx RedCap</w:t>
      </w:r>
      <w:r w:rsidRPr="009C5807">
        <w:t>.</w:t>
      </w:r>
    </w:p>
    <w:p w14:paraId="5A9DB651" w14:textId="68AA7A0E" w:rsidR="00D808CB" w:rsidRPr="009C5807" w:rsidRDefault="006F6E12" w:rsidP="00D808CB">
      <w:pPr>
        <w:pStyle w:val="B10"/>
      </w:pPr>
      <w:r w:rsidRPr="009C5807">
        <w:t>-</w:t>
      </w:r>
      <w:r w:rsidRPr="009C5807">
        <w:tab/>
        <w:t xml:space="preserve">the cell is at least </w:t>
      </w:r>
      <w:r>
        <w:rPr>
          <w:lang w:eastAsia="zh-CN"/>
        </w:rPr>
        <w:t>4</w:t>
      </w:r>
      <w:r w:rsidRPr="009C5807">
        <w:t xml:space="preserve">dB better ranked in FR1 </w:t>
      </w:r>
      <w:r>
        <w:t>for 1 Rx RedCap</w:t>
      </w:r>
      <w:r w:rsidRPr="009C5807">
        <w:t>.</w:t>
      </w:r>
    </w:p>
    <w:p w14:paraId="6F68363D" w14:textId="77777777" w:rsidR="00D808CB" w:rsidRPr="009C5807" w:rsidRDefault="00D808CB" w:rsidP="00D808CB">
      <w:pPr>
        <w:pStyle w:val="B10"/>
      </w:pPr>
      <w:r w:rsidRPr="009C5807">
        <w:rPr>
          <w:lang w:eastAsia="zh-CN"/>
        </w:rPr>
        <w:t xml:space="preserve">when </w:t>
      </w:r>
      <w:r w:rsidRPr="009C5807">
        <w:rPr>
          <w:i/>
        </w:rPr>
        <w:t>rangeToBestCell</w:t>
      </w:r>
      <w:r w:rsidRPr="009C5807">
        <w:t xml:space="preserve"> is configured:</w:t>
      </w:r>
    </w:p>
    <w:p w14:paraId="0BF5A2D2" w14:textId="77777777" w:rsidR="00D808CB" w:rsidRPr="009C5807" w:rsidRDefault="00D808CB" w:rsidP="00D808CB">
      <w:pPr>
        <w:pStyle w:val="B10"/>
      </w:pPr>
      <w:r w:rsidRPr="009C5807">
        <w:t>-</w:t>
      </w:r>
      <w:r w:rsidRPr="009C5807">
        <w:tab/>
        <w:t xml:space="preserve">the cell has the highest number of beams above the threshold </w:t>
      </w:r>
      <w:r w:rsidRPr="009C5807">
        <w:rPr>
          <w:i/>
        </w:rPr>
        <w:t>absThreshSS-BlocksConsolidation</w:t>
      </w:r>
      <w:r w:rsidRPr="009C5807">
        <w:t xml:space="preserve"> among all detected cells whose cell-ranking criterion R value in TS</w:t>
      </w:r>
      <w:r>
        <w:t xml:space="preserve"> </w:t>
      </w:r>
      <w:r w:rsidRPr="009C5807">
        <w:t>3</w:t>
      </w:r>
      <w:r w:rsidRPr="009C5807">
        <w:rPr>
          <w:lang w:eastAsia="zh-CN"/>
        </w:rPr>
        <w:t>8</w:t>
      </w:r>
      <w:r w:rsidRPr="009C5807">
        <w:t xml:space="preserve">.304 [1] is within </w:t>
      </w:r>
      <w:r w:rsidRPr="009C5807">
        <w:rPr>
          <w:i/>
        </w:rPr>
        <w:t>rangeToBestCell</w:t>
      </w:r>
      <w:r w:rsidRPr="009C5807">
        <w:t xml:space="preserve"> of the cell-ranking criterion </w:t>
      </w:r>
      <w:r w:rsidRPr="009C5807">
        <w:rPr>
          <w:rFonts w:cs="v4.2.0"/>
        </w:rPr>
        <w:t xml:space="preserve">R value </w:t>
      </w:r>
      <w:r w:rsidRPr="009C5807">
        <w:t>of the highest ranked cell.</w:t>
      </w:r>
      <w:r w:rsidRPr="009C5807">
        <w:rPr>
          <w:rFonts w:cs="v4.2.0"/>
        </w:rPr>
        <w:t xml:space="preserve"> </w:t>
      </w:r>
    </w:p>
    <w:p w14:paraId="6974120D" w14:textId="77777777" w:rsidR="00D808CB" w:rsidRPr="009C5807" w:rsidRDefault="00D808CB" w:rsidP="00D808CB">
      <w:pPr>
        <w:pStyle w:val="B20"/>
      </w:pPr>
      <w:r w:rsidRPr="009C5807">
        <w:t>-</w:t>
      </w:r>
      <w:r w:rsidRPr="009C5807">
        <w:tab/>
        <w:t xml:space="preserve">if there are multiple such cells, the cell has the highest rank among them. </w:t>
      </w:r>
    </w:p>
    <w:p w14:paraId="24E56CAB" w14:textId="77777777" w:rsidR="00D808CB" w:rsidRDefault="00D808CB" w:rsidP="00D808CB">
      <w:pPr>
        <w:pStyle w:val="B30"/>
      </w:pPr>
      <w:r>
        <w:t>-</w:t>
      </w:r>
      <w:r>
        <w:tab/>
      </w:r>
      <w:r w:rsidRPr="009C5807">
        <w:t>the cell is at least 3dB better ranked in FR1 or 4.5dB better ranked in FR2 if the current serving cell is among them</w:t>
      </w:r>
      <w:r>
        <w:t xml:space="preserve"> for 2 Rx RedCap</w:t>
      </w:r>
      <w:r w:rsidRPr="009C5807">
        <w:t>.</w:t>
      </w:r>
    </w:p>
    <w:p w14:paraId="10869DD6" w14:textId="30007A1F" w:rsidR="00D808CB" w:rsidRPr="009C5807" w:rsidRDefault="006F6E12" w:rsidP="00D808CB">
      <w:pPr>
        <w:pStyle w:val="B30"/>
      </w:pPr>
      <w:r>
        <w:t>-</w:t>
      </w:r>
      <w:r>
        <w:tab/>
      </w:r>
      <w:r w:rsidRPr="009C5807">
        <w:t xml:space="preserve">the cell is at least </w:t>
      </w:r>
      <w:r>
        <w:t>4</w:t>
      </w:r>
      <w:r w:rsidRPr="009C5807">
        <w:t>dB better ranked in FR1 if the current serving cell is among them</w:t>
      </w:r>
      <w:r>
        <w:t xml:space="preserve"> for 1 Rx RedCap</w:t>
      </w:r>
      <w:r w:rsidRPr="009C5807">
        <w:t>.</w:t>
      </w:r>
    </w:p>
    <w:p w14:paraId="1EBEA7AB" w14:textId="77777777" w:rsidR="000558CD" w:rsidRDefault="000558CD" w:rsidP="00D808CB">
      <w:pPr>
        <w:rPr>
          <w:lang w:eastAsia="sv-SE"/>
        </w:rPr>
      </w:pPr>
      <w:r w:rsidRPr="006857A3">
        <w:rPr>
          <w:lang w:eastAsia="sv-SE"/>
        </w:rPr>
        <w:t xml:space="preserve">The 1 Rx RedCap UE applies </w:t>
      </w:r>
      <w:r w:rsidRPr="00A6259E">
        <w:rPr>
          <w:i/>
        </w:rPr>
        <w:t>absThreshSS-BlocksConsolidation</w:t>
      </w:r>
      <w:r w:rsidRPr="006857A3">
        <w:rPr>
          <w:lang w:eastAsia="sv-SE"/>
        </w:rPr>
        <w:t xml:space="preserve"> as the signaled value of </w:t>
      </w:r>
      <w:r w:rsidRPr="00A6259E">
        <w:rPr>
          <w:i/>
        </w:rPr>
        <w:t>absThreshSS-BlocksConsolidation</w:t>
      </w:r>
      <w:r>
        <w:rPr>
          <w:lang w:eastAsia="sv-SE"/>
        </w:rPr>
        <w:t xml:space="preserve"> [2] </w:t>
      </w:r>
      <w:r w:rsidRPr="006857A3">
        <w:rPr>
          <w:lang w:eastAsia="sv-SE"/>
        </w:rPr>
        <w:t>+ 1 dB.</w:t>
      </w:r>
    </w:p>
    <w:p w14:paraId="1761D9AF" w14:textId="02AF6B93" w:rsidR="00D808CB" w:rsidRPr="009C5807" w:rsidRDefault="00D808CB" w:rsidP="00D808CB">
      <w:pPr>
        <w:rPr>
          <w:rFonts w:cs="v4.2.0"/>
        </w:rPr>
      </w:pPr>
      <w:r w:rsidRPr="009C5807">
        <w:rPr>
          <w:rFonts w:cs="v4.2.0"/>
        </w:rPr>
        <w:t>When evaluating cells for reselection, the SSB side conditions apply to both serving and non-serving intra-frequency cells.</w:t>
      </w:r>
    </w:p>
    <w:p w14:paraId="1FE8D83B" w14:textId="77777777" w:rsidR="00D808CB" w:rsidRDefault="00D808CB" w:rsidP="00D808CB">
      <w:pPr>
        <w:rPr>
          <w:rFonts w:cs="v4.2.0"/>
          <w:lang w:eastAsia="zh-CN"/>
        </w:rPr>
      </w:pPr>
      <w:r w:rsidRPr="000F35EE">
        <w:rPr>
          <w:rFonts w:cs="v4.2.0"/>
          <w:lang w:eastAsia="zh-CN"/>
        </w:rPr>
        <w:t>If T</w:t>
      </w:r>
      <w:r w:rsidRPr="000F35EE">
        <w:rPr>
          <w:rFonts w:cs="v4.2.0"/>
          <w:vertAlign w:val="subscript"/>
          <w:lang w:eastAsia="zh-CN"/>
        </w:rPr>
        <w:t>reselection</w:t>
      </w:r>
      <w:r w:rsidRPr="000F35EE">
        <w:rPr>
          <w:rFonts w:cs="v4.2.0"/>
          <w:lang w:eastAsia="zh-CN"/>
        </w:rPr>
        <w:t xml:space="preserve"> timer has a non</w:t>
      </w:r>
      <w:r>
        <w:rPr>
          <w:rFonts w:cs="v4.2.0"/>
          <w:lang w:eastAsia="zh-CN"/>
        </w:rPr>
        <w:t>-</w:t>
      </w:r>
      <w:r w:rsidRPr="000F35EE">
        <w:rPr>
          <w:rFonts w:cs="v4.2.0"/>
          <w:lang w:eastAsia="zh-CN"/>
        </w:rPr>
        <w:t>zero value and the intra-frequency</w:t>
      </w:r>
      <w:r w:rsidRPr="000F35EE">
        <w:rPr>
          <w:rFonts w:cs="v3.7.0"/>
        </w:rPr>
        <w:t xml:space="preserve"> cell is satisfied with the reselection criteria which are defined in TS</w:t>
      </w:r>
      <w:r>
        <w:rPr>
          <w:rFonts w:cs="v3.7.0"/>
        </w:rPr>
        <w:t xml:space="preserve"> </w:t>
      </w:r>
      <w:r w:rsidRPr="000F35EE">
        <w:rPr>
          <w:rFonts w:cs="v3.7.0"/>
        </w:rPr>
        <w:t>38</w:t>
      </w:r>
      <w:r w:rsidRPr="009C5807">
        <w:rPr>
          <w:rFonts w:cs="v3.7.0"/>
        </w:rPr>
        <w:t xml:space="preserve">.304 [1], </w:t>
      </w:r>
      <w:r w:rsidRPr="009C5807">
        <w:rPr>
          <w:rFonts w:cs="v4.2.0"/>
          <w:lang w:eastAsia="zh-CN"/>
        </w:rPr>
        <w:t>the UE shall evaluate this intra-frequency cell for the T</w:t>
      </w:r>
      <w:r w:rsidRPr="009C5807">
        <w:rPr>
          <w:rFonts w:cs="v4.2.0"/>
          <w:vertAlign w:val="subscript"/>
          <w:lang w:eastAsia="zh-CN"/>
        </w:rPr>
        <w:t>reselection</w:t>
      </w:r>
      <w:r w:rsidRPr="009C5807">
        <w:rPr>
          <w:rFonts w:cs="v4.2.0"/>
          <w:lang w:eastAsia="zh-CN"/>
        </w:rPr>
        <w:t xml:space="preserve"> time. If this cell remains satisfied with the reselection criteria within this duration, then the UE shall reselect that cell.</w:t>
      </w:r>
    </w:p>
    <w:p w14:paraId="42BC181D" w14:textId="70F5974C" w:rsidR="00D808CB" w:rsidRDefault="00E37794" w:rsidP="00D808CB">
      <w:pPr>
        <w:rPr>
          <w:rFonts w:cs="v4.2.0"/>
          <w:lang w:eastAsia="zh-CN"/>
        </w:rPr>
      </w:pPr>
      <w:r w:rsidRPr="00691C10">
        <w:rPr>
          <w:rFonts w:cs="v4.2.0"/>
          <w:lang w:eastAsia="zh-CN"/>
        </w:rPr>
        <w:t xml:space="preserve">For </w:t>
      </w:r>
      <w:r>
        <w:rPr>
          <w:rFonts w:cs="v4.2.0"/>
        </w:rPr>
        <w:t xml:space="preserve">both 1Rx RedCap and 2Rx </w:t>
      </w:r>
      <w:r>
        <w:rPr>
          <w:rFonts w:cs="v4.2.0"/>
          <w:lang w:eastAsia="zh-CN"/>
        </w:rPr>
        <w:t xml:space="preserve">RedCap </w:t>
      </w:r>
      <w:r w:rsidRPr="00691C10">
        <w:rPr>
          <w:rFonts w:cs="v4.2.0"/>
          <w:lang w:eastAsia="zh-CN"/>
        </w:rPr>
        <w:t xml:space="preserve">not configured with eDRX_IDLE cycle, </w:t>
      </w:r>
      <w:r w:rsidRPr="009C5807">
        <w:t>T</w:t>
      </w:r>
      <w:r w:rsidRPr="009C5807">
        <w:rPr>
          <w:vertAlign w:val="subscript"/>
        </w:rPr>
        <w:t>detect,NR_Intra</w:t>
      </w:r>
      <w:r>
        <w:rPr>
          <w:vertAlign w:val="subscript"/>
          <w:lang w:val="en-US"/>
        </w:rPr>
        <w:t>_RedCap</w:t>
      </w:r>
      <w:r w:rsidRPr="00691C10">
        <w:rPr>
          <w:vertAlign w:val="subscript"/>
        </w:rPr>
        <w:t>,</w:t>
      </w:r>
      <w:r w:rsidRPr="00691C10">
        <w:t xml:space="preserve"> </w:t>
      </w:r>
      <w:r w:rsidRPr="009C5807">
        <w:t>T</w:t>
      </w:r>
      <w:r w:rsidRPr="009C5807">
        <w:rPr>
          <w:vertAlign w:val="subscript"/>
        </w:rPr>
        <w:t>measure,NR_Intra</w:t>
      </w:r>
      <w:r>
        <w:rPr>
          <w:vertAlign w:val="subscript"/>
          <w:lang w:val="en-US"/>
        </w:rPr>
        <w:t>_RedCap</w:t>
      </w:r>
      <w:r w:rsidRPr="00691C10">
        <w:t xml:space="preserve"> and </w:t>
      </w:r>
      <w:r w:rsidRPr="009C5807">
        <w:t>T</w:t>
      </w:r>
      <w:r w:rsidRPr="009C5807">
        <w:rPr>
          <w:vertAlign w:val="subscript"/>
        </w:rPr>
        <w:t>evaluate,NR_</w:t>
      </w:r>
      <w:r w:rsidRPr="009C5807">
        <w:rPr>
          <w:rFonts w:cs="v4.2.0"/>
          <w:vertAlign w:val="subscript"/>
        </w:rPr>
        <w:t>Intra</w:t>
      </w:r>
      <w:r>
        <w:rPr>
          <w:vertAlign w:val="subscript"/>
          <w:lang w:val="en-US"/>
        </w:rPr>
        <w:t>_RedCap</w:t>
      </w:r>
      <w:r>
        <w:t xml:space="preserve"> </w:t>
      </w:r>
      <w:r w:rsidRPr="00691C10">
        <w:rPr>
          <w:rFonts w:cs="v4.2.0"/>
          <w:lang w:eastAsia="zh-CN"/>
        </w:rPr>
        <w:t xml:space="preserve">are specified in </w:t>
      </w:r>
      <w:r w:rsidRPr="0082197E">
        <w:rPr>
          <w:rFonts w:cs="v4.2.0"/>
          <w:lang w:eastAsia="zh-CN"/>
        </w:rPr>
        <w:t>Table 4.2B.2.3-1</w:t>
      </w:r>
    </w:p>
    <w:p w14:paraId="44F5F1B8" w14:textId="77777777" w:rsidR="00D808CB" w:rsidRPr="00E81740" w:rsidRDefault="00D808CB" w:rsidP="00D808CB">
      <w:r w:rsidRPr="00691C10">
        <w:rPr>
          <w:rFonts w:cs="v4.2.0"/>
          <w:lang w:eastAsia="zh-CN"/>
        </w:rPr>
        <w:t xml:space="preserve">For </w:t>
      </w:r>
      <w:r>
        <w:rPr>
          <w:rFonts w:cs="v4.2.0"/>
          <w:lang w:eastAsia="zh-CN"/>
        </w:rPr>
        <w:t xml:space="preserve">1 Rx RedCap and 2 Rx RedCap </w:t>
      </w:r>
      <w:r w:rsidRPr="00691C10">
        <w:rPr>
          <w:rFonts w:cs="v4.2.0"/>
          <w:lang w:eastAsia="zh-CN"/>
        </w:rPr>
        <w:t xml:space="preserve">configured with eDRX_IDLE cycle, </w:t>
      </w:r>
      <w:r w:rsidRPr="009C5807">
        <w:t>T</w:t>
      </w:r>
      <w:r w:rsidRPr="009C5807">
        <w:rPr>
          <w:vertAlign w:val="subscript"/>
        </w:rPr>
        <w:t>detect,NR_Intra</w:t>
      </w:r>
      <w:r>
        <w:rPr>
          <w:vertAlign w:val="subscript"/>
          <w:lang w:val="en-US"/>
        </w:rPr>
        <w:t>_RedCap</w:t>
      </w:r>
      <w:r w:rsidRPr="00691C10">
        <w:rPr>
          <w:vertAlign w:val="subscript"/>
        </w:rPr>
        <w:t>,</w:t>
      </w:r>
      <w:r w:rsidRPr="00691C10">
        <w:t xml:space="preserve"> </w:t>
      </w:r>
      <w:r w:rsidRPr="009C5807">
        <w:t>T</w:t>
      </w:r>
      <w:r w:rsidRPr="009C5807">
        <w:rPr>
          <w:vertAlign w:val="subscript"/>
        </w:rPr>
        <w:t>measure,NR_Intra</w:t>
      </w:r>
      <w:r>
        <w:rPr>
          <w:vertAlign w:val="subscript"/>
          <w:lang w:val="en-US"/>
        </w:rPr>
        <w:t>_RedCap</w:t>
      </w:r>
      <w:r w:rsidRPr="00691C10">
        <w:t xml:space="preserve"> and </w:t>
      </w:r>
      <w:r w:rsidRPr="009C5807">
        <w:t>T</w:t>
      </w:r>
      <w:r w:rsidRPr="009C5807">
        <w:rPr>
          <w:vertAlign w:val="subscript"/>
        </w:rPr>
        <w:t>evaluate,NR_</w:t>
      </w:r>
      <w:r w:rsidRPr="009C5807">
        <w:rPr>
          <w:rFonts w:cs="v4.2.0"/>
          <w:vertAlign w:val="subscript"/>
        </w:rPr>
        <w:t>Intra</w:t>
      </w:r>
      <w:r>
        <w:rPr>
          <w:vertAlign w:val="subscript"/>
          <w:lang w:val="en-US"/>
        </w:rPr>
        <w:t>_RedCap</w:t>
      </w:r>
      <w:r w:rsidRPr="00691C10">
        <w:rPr>
          <w:rFonts w:cs="v4.2.0"/>
          <w:lang w:eastAsia="zh-CN"/>
        </w:rPr>
        <w:t xml:space="preserve"> are specified in </w:t>
      </w:r>
      <w:r w:rsidRPr="0005218F">
        <w:rPr>
          <w:rFonts w:cs="v4.2.0"/>
          <w:lang w:eastAsia="zh-CN"/>
        </w:rPr>
        <w:t xml:space="preserve">Table </w:t>
      </w:r>
      <w:r w:rsidRPr="0082197E">
        <w:rPr>
          <w:rFonts w:cs="v4.2.0"/>
          <w:lang w:eastAsia="zh-CN"/>
        </w:rPr>
        <w:t>4.2B.2.3-2</w:t>
      </w:r>
      <w:r w:rsidRPr="0005218F">
        <w:rPr>
          <w:rFonts w:cs="v4.2.0"/>
          <w:lang w:eastAsia="zh-CN"/>
        </w:rPr>
        <w:t xml:space="preserve"> and Table </w:t>
      </w:r>
      <w:r w:rsidRPr="0082197E">
        <w:rPr>
          <w:rFonts w:cs="v4.2.0"/>
          <w:lang w:eastAsia="zh-CN"/>
        </w:rPr>
        <w:t>4.2B.2.3-3</w:t>
      </w:r>
      <w:r w:rsidRPr="0005218F">
        <w:rPr>
          <w:rFonts w:cs="v4.2.0"/>
          <w:lang w:eastAsia="zh-CN"/>
        </w:rPr>
        <w:t xml:space="preserve"> for FR1 and FR2</w:t>
      </w:r>
      <w:r>
        <w:rPr>
          <w:rFonts w:cs="v4.2.0"/>
          <w:lang w:eastAsia="zh-CN"/>
        </w:rPr>
        <w:t xml:space="preserve"> respectively</w:t>
      </w:r>
      <w:r w:rsidRPr="00691C10">
        <w:rPr>
          <w:rFonts w:cs="v4.2.0"/>
          <w:lang w:eastAsia="zh-CN"/>
        </w:rPr>
        <w:t xml:space="preserve">, where the requirements apply provided that the serving cell is </w:t>
      </w:r>
      <w:r w:rsidRPr="00691C10">
        <w:rPr>
          <w:rFonts w:cs="v4.2.0"/>
        </w:rPr>
        <w:t xml:space="preserve">configured with eDRX_IDLE and is </w:t>
      </w:r>
      <w:r w:rsidRPr="00691C10">
        <w:rPr>
          <w:rFonts w:cs="v4.2.0"/>
          <w:lang w:eastAsia="zh-CN"/>
        </w:rPr>
        <w:t xml:space="preserve">the same in all PTWs during any of </w:t>
      </w:r>
      <w:r w:rsidRPr="009C5807">
        <w:t>T</w:t>
      </w:r>
      <w:r w:rsidRPr="009C5807">
        <w:rPr>
          <w:vertAlign w:val="subscript"/>
        </w:rPr>
        <w:t>detect,NR_Intra</w:t>
      </w:r>
      <w:r>
        <w:rPr>
          <w:vertAlign w:val="subscript"/>
          <w:lang w:val="en-US"/>
        </w:rPr>
        <w:t>_RedCap</w:t>
      </w:r>
      <w:r w:rsidRPr="00691C10">
        <w:rPr>
          <w:vertAlign w:val="subscript"/>
        </w:rPr>
        <w:t>,</w:t>
      </w:r>
      <w:r w:rsidRPr="00691C10">
        <w:t xml:space="preserve"> </w:t>
      </w:r>
      <w:r w:rsidRPr="009C5807">
        <w:t>T</w:t>
      </w:r>
      <w:r w:rsidRPr="009C5807">
        <w:rPr>
          <w:vertAlign w:val="subscript"/>
        </w:rPr>
        <w:t>measure,NR_Intra</w:t>
      </w:r>
      <w:r>
        <w:rPr>
          <w:vertAlign w:val="subscript"/>
          <w:lang w:val="en-US"/>
        </w:rPr>
        <w:t>_RedCap</w:t>
      </w:r>
      <w:r w:rsidRPr="00691C10">
        <w:t xml:space="preserve"> and </w:t>
      </w:r>
      <w:r w:rsidRPr="009C5807">
        <w:t>T</w:t>
      </w:r>
      <w:r w:rsidRPr="009C5807">
        <w:rPr>
          <w:vertAlign w:val="subscript"/>
        </w:rPr>
        <w:t>evaluate,NR_</w:t>
      </w:r>
      <w:r w:rsidRPr="009C5807">
        <w:rPr>
          <w:rFonts w:cs="v4.2.0"/>
          <w:vertAlign w:val="subscript"/>
        </w:rPr>
        <w:t>Intra</w:t>
      </w:r>
      <w:r>
        <w:rPr>
          <w:vertAlign w:val="subscript"/>
          <w:lang w:val="en-US"/>
        </w:rPr>
        <w:t>_RedCap</w:t>
      </w:r>
      <w:r w:rsidRPr="00691C10">
        <w:t xml:space="preserve"> when multiple PTWs are used.</w:t>
      </w:r>
      <w:r>
        <w:t xml:space="preserve"> </w:t>
      </w:r>
    </w:p>
    <w:p w14:paraId="2A46E9E0" w14:textId="77777777" w:rsidR="00D808CB" w:rsidRPr="009C5807" w:rsidRDefault="00D808CB" w:rsidP="00D808CB">
      <w:pPr>
        <w:rPr>
          <w:rFonts w:cs="v4.2.0"/>
          <w:lang w:eastAsia="zh-CN"/>
        </w:rPr>
      </w:pPr>
    </w:p>
    <w:p w14:paraId="7D86FB88" w14:textId="77777777" w:rsidR="00D808CB" w:rsidRPr="00401468" w:rsidRDefault="00D808CB" w:rsidP="00D808CB">
      <w:pPr>
        <w:pStyle w:val="TH"/>
        <w:rPr>
          <w:lang w:val="en-US"/>
        </w:rPr>
      </w:pPr>
      <w:r w:rsidRPr="00342887">
        <w:rPr>
          <w:lang w:val="en-US"/>
        </w:rPr>
        <w:t>Table 4.2</w:t>
      </w:r>
      <w:r>
        <w:rPr>
          <w:lang w:val="en-US"/>
        </w:rPr>
        <w:t>B</w:t>
      </w:r>
      <w:r w:rsidRPr="00342887">
        <w:rPr>
          <w:lang w:val="en-US"/>
        </w:rPr>
        <w:t>.2.</w:t>
      </w:r>
      <w:r>
        <w:rPr>
          <w:lang w:val="en-US"/>
        </w:rPr>
        <w:t>3</w:t>
      </w:r>
      <w:r w:rsidRPr="00342887">
        <w:rPr>
          <w:lang w:val="en-US"/>
        </w:rPr>
        <w:t>-1: T</w:t>
      </w:r>
      <w:r w:rsidRPr="00342887">
        <w:rPr>
          <w:vertAlign w:val="subscript"/>
          <w:lang w:val="en-US"/>
        </w:rPr>
        <w:t>detect,NR_Intra</w:t>
      </w:r>
      <w:r>
        <w:rPr>
          <w:vertAlign w:val="subscript"/>
          <w:lang w:val="en-US"/>
        </w:rPr>
        <w:t>_RedCap</w:t>
      </w:r>
      <w:r w:rsidRPr="00342887">
        <w:rPr>
          <w:vertAlign w:val="subscript"/>
          <w:lang w:val="en-US"/>
        </w:rPr>
        <w:t>,</w:t>
      </w:r>
      <w:r w:rsidRPr="00342887">
        <w:rPr>
          <w:lang w:val="en-US"/>
        </w:rPr>
        <w:t xml:space="preserve"> T</w:t>
      </w:r>
      <w:r w:rsidRPr="00342887">
        <w:rPr>
          <w:vertAlign w:val="subscript"/>
          <w:lang w:val="en-US"/>
        </w:rPr>
        <w:t>measure,NR_Intra</w:t>
      </w:r>
      <w:r>
        <w:rPr>
          <w:vertAlign w:val="subscript"/>
          <w:lang w:val="en-US"/>
        </w:rPr>
        <w:t>_RedCap</w:t>
      </w:r>
      <w:r w:rsidRPr="00342887">
        <w:rPr>
          <w:lang w:val="en-US"/>
        </w:rPr>
        <w:t xml:space="preserve"> and T</w:t>
      </w:r>
      <w:r w:rsidRPr="00342887">
        <w:rPr>
          <w:vertAlign w:val="subscript"/>
          <w:lang w:val="en-US"/>
        </w:rPr>
        <w:t>evaluate,NR_Intra</w:t>
      </w:r>
      <w:r>
        <w:rPr>
          <w:vertAlign w:val="subscript"/>
          <w:lang w:val="en-US"/>
        </w:rPr>
        <w:t>_RedCap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021"/>
        <w:gridCol w:w="1023"/>
        <w:gridCol w:w="2140"/>
        <w:gridCol w:w="2141"/>
        <w:gridCol w:w="2141"/>
      </w:tblGrid>
      <w:tr w:rsidR="00D808CB" w:rsidRPr="009C5807" w14:paraId="626B91F4" w14:textId="77777777" w:rsidTr="001313A6">
        <w:trPr>
          <w:cantSplit/>
          <w:trHeight w:val="308"/>
          <w:jc w:val="center"/>
        </w:trPr>
        <w:tc>
          <w:tcPr>
            <w:tcW w:w="604" w:type="pct"/>
            <w:tcBorders>
              <w:top w:val="single" w:sz="4" w:space="0" w:color="auto"/>
              <w:left w:val="single" w:sz="4" w:space="0" w:color="auto"/>
              <w:bottom w:val="nil"/>
              <w:right w:val="single" w:sz="4" w:space="0" w:color="auto"/>
            </w:tcBorders>
            <w:hideMark/>
          </w:tcPr>
          <w:p w14:paraId="3E6C8359" w14:textId="77777777" w:rsidR="00D808CB" w:rsidRPr="009C5807" w:rsidRDefault="00D808CB" w:rsidP="001313A6">
            <w:pPr>
              <w:pStyle w:val="TAH"/>
            </w:pPr>
            <w:r w:rsidRPr="009C5807">
              <w:t>DRX cycle length [s]</w:t>
            </w:r>
          </w:p>
        </w:tc>
        <w:tc>
          <w:tcPr>
            <w:tcW w:w="1061" w:type="pct"/>
            <w:gridSpan w:val="2"/>
            <w:tcBorders>
              <w:top w:val="single" w:sz="4" w:space="0" w:color="auto"/>
              <w:left w:val="single" w:sz="4" w:space="0" w:color="auto"/>
              <w:bottom w:val="single" w:sz="4" w:space="0" w:color="auto"/>
              <w:right w:val="single" w:sz="4" w:space="0" w:color="auto"/>
            </w:tcBorders>
            <w:hideMark/>
          </w:tcPr>
          <w:p w14:paraId="63F7B962" w14:textId="77777777" w:rsidR="00D808CB" w:rsidRPr="009C5807" w:rsidRDefault="00D808CB" w:rsidP="001313A6">
            <w:pPr>
              <w:pStyle w:val="TAH"/>
            </w:pPr>
            <w:r w:rsidRPr="009C5807">
              <w:t>Scaling Factor (N1)</w:t>
            </w:r>
          </w:p>
        </w:tc>
        <w:tc>
          <w:tcPr>
            <w:tcW w:w="1111" w:type="pct"/>
            <w:tcBorders>
              <w:top w:val="single" w:sz="4" w:space="0" w:color="auto"/>
              <w:left w:val="single" w:sz="4" w:space="0" w:color="auto"/>
              <w:bottom w:val="nil"/>
              <w:right w:val="single" w:sz="4" w:space="0" w:color="auto"/>
            </w:tcBorders>
            <w:hideMark/>
          </w:tcPr>
          <w:p w14:paraId="318FCC74" w14:textId="77777777" w:rsidR="00D808CB" w:rsidRPr="009C5807" w:rsidRDefault="00D808CB" w:rsidP="001313A6">
            <w:pPr>
              <w:pStyle w:val="TAH"/>
            </w:pPr>
            <w:r w:rsidRPr="009C5807">
              <w:t>T</w:t>
            </w:r>
            <w:r w:rsidRPr="009C5807">
              <w:rPr>
                <w:vertAlign w:val="subscript"/>
              </w:rPr>
              <w:t>detect,NR_Intra</w:t>
            </w:r>
            <w:r>
              <w:rPr>
                <w:vertAlign w:val="subscript"/>
                <w:lang w:val="en-US"/>
              </w:rPr>
              <w:t>_RedCap</w:t>
            </w:r>
            <w:r w:rsidRPr="009C5807">
              <w:t xml:space="preserve"> [s] (number of DRX cycles)</w:t>
            </w:r>
          </w:p>
        </w:tc>
        <w:tc>
          <w:tcPr>
            <w:tcW w:w="1112" w:type="pct"/>
            <w:tcBorders>
              <w:top w:val="single" w:sz="4" w:space="0" w:color="auto"/>
              <w:left w:val="single" w:sz="4" w:space="0" w:color="auto"/>
              <w:bottom w:val="nil"/>
              <w:right w:val="single" w:sz="4" w:space="0" w:color="auto"/>
            </w:tcBorders>
            <w:hideMark/>
          </w:tcPr>
          <w:p w14:paraId="74A34E89" w14:textId="77777777" w:rsidR="00D808CB" w:rsidRPr="009C5807" w:rsidRDefault="00D808CB" w:rsidP="001313A6">
            <w:pPr>
              <w:pStyle w:val="TAH"/>
            </w:pPr>
            <w:r w:rsidRPr="009C5807">
              <w:t>T</w:t>
            </w:r>
            <w:r w:rsidRPr="009C5807">
              <w:rPr>
                <w:vertAlign w:val="subscript"/>
              </w:rPr>
              <w:t>measure,NR_Intra</w:t>
            </w:r>
            <w:r>
              <w:rPr>
                <w:vertAlign w:val="subscript"/>
                <w:lang w:val="en-US"/>
              </w:rPr>
              <w:t>_RedCap</w:t>
            </w:r>
            <w:r w:rsidRPr="009C5807">
              <w:t xml:space="preserve"> [s] (number of DRX cycles)</w:t>
            </w:r>
          </w:p>
        </w:tc>
        <w:tc>
          <w:tcPr>
            <w:tcW w:w="1112" w:type="pct"/>
            <w:tcBorders>
              <w:top w:val="single" w:sz="4" w:space="0" w:color="auto"/>
              <w:left w:val="single" w:sz="4" w:space="0" w:color="auto"/>
              <w:bottom w:val="nil"/>
              <w:right w:val="single" w:sz="4" w:space="0" w:color="auto"/>
            </w:tcBorders>
            <w:hideMark/>
          </w:tcPr>
          <w:p w14:paraId="3808DA27" w14:textId="77777777" w:rsidR="00D808CB" w:rsidRPr="009C5807" w:rsidRDefault="00D808CB" w:rsidP="001313A6">
            <w:pPr>
              <w:pStyle w:val="TAH"/>
              <w:rPr>
                <w:vertAlign w:val="subscript"/>
              </w:rPr>
            </w:pPr>
            <w:r w:rsidRPr="009C5807">
              <w:t>T</w:t>
            </w:r>
            <w:r w:rsidRPr="009C5807">
              <w:rPr>
                <w:vertAlign w:val="subscript"/>
              </w:rPr>
              <w:t>evaluate,NR_</w:t>
            </w:r>
            <w:r w:rsidRPr="009C5807">
              <w:rPr>
                <w:rFonts w:cs="v4.2.0"/>
                <w:vertAlign w:val="subscript"/>
              </w:rPr>
              <w:t>Intra</w:t>
            </w:r>
            <w:r>
              <w:rPr>
                <w:vertAlign w:val="subscript"/>
                <w:lang w:val="en-US"/>
              </w:rPr>
              <w:t>_RedCap</w:t>
            </w:r>
          </w:p>
          <w:p w14:paraId="46A5D1B9" w14:textId="77777777" w:rsidR="00D808CB" w:rsidRPr="009C5807" w:rsidRDefault="00D808CB" w:rsidP="001313A6">
            <w:pPr>
              <w:pStyle w:val="TAH"/>
            </w:pPr>
            <w:r w:rsidRPr="009C5807">
              <w:t>[s] (number of DRX cycles)</w:t>
            </w:r>
          </w:p>
        </w:tc>
      </w:tr>
      <w:tr w:rsidR="00D808CB" w:rsidRPr="009C5807" w14:paraId="7B74A6CA" w14:textId="77777777" w:rsidTr="001313A6">
        <w:trPr>
          <w:cantSplit/>
          <w:trHeight w:val="308"/>
          <w:jc w:val="center"/>
        </w:trPr>
        <w:tc>
          <w:tcPr>
            <w:tcW w:w="0" w:type="auto"/>
            <w:tcBorders>
              <w:top w:val="nil"/>
              <w:left w:val="single" w:sz="4" w:space="0" w:color="auto"/>
              <w:bottom w:val="single" w:sz="4" w:space="0" w:color="auto"/>
              <w:right w:val="single" w:sz="4" w:space="0" w:color="auto"/>
            </w:tcBorders>
            <w:vAlign w:val="center"/>
            <w:hideMark/>
          </w:tcPr>
          <w:p w14:paraId="53CB1F1F" w14:textId="77777777" w:rsidR="00D808CB" w:rsidRPr="009C5807" w:rsidRDefault="00D808CB" w:rsidP="001313A6">
            <w:pPr>
              <w:pStyle w:val="TAH"/>
            </w:pPr>
          </w:p>
        </w:tc>
        <w:tc>
          <w:tcPr>
            <w:tcW w:w="530" w:type="pct"/>
            <w:tcBorders>
              <w:top w:val="single" w:sz="4" w:space="0" w:color="auto"/>
              <w:left w:val="single" w:sz="4" w:space="0" w:color="auto"/>
              <w:bottom w:val="single" w:sz="4" w:space="0" w:color="auto"/>
              <w:right w:val="single" w:sz="4" w:space="0" w:color="auto"/>
            </w:tcBorders>
            <w:hideMark/>
          </w:tcPr>
          <w:p w14:paraId="3275CE2A" w14:textId="77777777" w:rsidR="00D808CB" w:rsidRPr="009C5807" w:rsidRDefault="00D808CB" w:rsidP="001313A6">
            <w:pPr>
              <w:pStyle w:val="TAH"/>
            </w:pPr>
            <w:r w:rsidRPr="009C5807">
              <w:t>FR1</w:t>
            </w:r>
          </w:p>
        </w:tc>
        <w:tc>
          <w:tcPr>
            <w:tcW w:w="531" w:type="pct"/>
            <w:tcBorders>
              <w:top w:val="single" w:sz="4" w:space="0" w:color="auto"/>
              <w:left w:val="single" w:sz="4" w:space="0" w:color="auto"/>
              <w:bottom w:val="single" w:sz="4" w:space="0" w:color="auto"/>
              <w:right w:val="single" w:sz="4" w:space="0" w:color="auto"/>
            </w:tcBorders>
            <w:hideMark/>
          </w:tcPr>
          <w:p w14:paraId="6C72FC4B" w14:textId="77777777" w:rsidR="00D808CB" w:rsidRPr="009C5807" w:rsidRDefault="00D808CB" w:rsidP="001313A6">
            <w:pPr>
              <w:pStyle w:val="TAH"/>
              <w:rPr>
                <w:vertAlign w:val="superscript"/>
              </w:rPr>
            </w:pPr>
            <w:r w:rsidRPr="009C5807">
              <w:t>FR2</w:t>
            </w:r>
            <w:r w:rsidRPr="009C5807">
              <w:rPr>
                <w:vertAlign w:val="superscript"/>
              </w:rPr>
              <w:t>Note1</w:t>
            </w:r>
          </w:p>
        </w:tc>
        <w:tc>
          <w:tcPr>
            <w:tcW w:w="0" w:type="auto"/>
            <w:tcBorders>
              <w:top w:val="nil"/>
              <w:left w:val="single" w:sz="4" w:space="0" w:color="auto"/>
              <w:bottom w:val="single" w:sz="4" w:space="0" w:color="auto"/>
              <w:right w:val="single" w:sz="4" w:space="0" w:color="auto"/>
            </w:tcBorders>
            <w:vAlign w:val="center"/>
            <w:hideMark/>
          </w:tcPr>
          <w:p w14:paraId="1245BDB0" w14:textId="77777777" w:rsidR="00D808CB" w:rsidRPr="009C5807" w:rsidRDefault="00D808CB" w:rsidP="001313A6">
            <w:pPr>
              <w:pStyle w:val="TAH"/>
            </w:pPr>
          </w:p>
        </w:tc>
        <w:tc>
          <w:tcPr>
            <w:tcW w:w="0" w:type="auto"/>
            <w:tcBorders>
              <w:top w:val="nil"/>
              <w:left w:val="single" w:sz="4" w:space="0" w:color="auto"/>
              <w:bottom w:val="single" w:sz="4" w:space="0" w:color="auto"/>
              <w:right w:val="single" w:sz="4" w:space="0" w:color="auto"/>
            </w:tcBorders>
            <w:vAlign w:val="center"/>
            <w:hideMark/>
          </w:tcPr>
          <w:p w14:paraId="188AC6E8" w14:textId="77777777" w:rsidR="00D808CB" w:rsidRPr="009C5807" w:rsidRDefault="00D808CB" w:rsidP="001313A6">
            <w:pPr>
              <w:pStyle w:val="TAH"/>
            </w:pPr>
          </w:p>
        </w:tc>
        <w:tc>
          <w:tcPr>
            <w:tcW w:w="0" w:type="auto"/>
            <w:tcBorders>
              <w:top w:val="nil"/>
              <w:left w:val="single" w:sz="4" w:space="0" w:color="auto"/>
              <w:bottom w:val="single" w:sz="4" w:space="0" w:color="auto"/>
              <w:right w:val="single" w:sz="4" w:space="0" w:color="auto"/>
            </w:tcBorders>
            <w:vAlign w:val="center"/>
            <w:hideMark/>
          </w:tcPr>
          <w:p w14:paraId="1EFD6E14" w14:textId="77777777" w:rsidR="00D808CB" w:rsidRPr="009C5807" w:rsidRDefault="00D808CB" w:rsidP="001313A6">
            <w:pPr>
              <w:pStyle w:val="TAH"/>
            </w:pPr>
          </w:p>
        </w:tc>
      </w:tr>
      <w:tr w:rsidR="00D808CB" w:rsidRPr="009C5807" w14:paraId="27FD16FE"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452F960F" w14:textId="77777777" w:rsidR="00D808CB" w:rsidRPr="009C5807" w:rsidRDefault="00D808CB" w:rsidP="001313A6">
            <w:pPr>
              <w:pStyle w:val="TAC"/>
            </w:pPr>
            <w:r w:rsidRPr="009C5807">
              <w:t>0.32</w:t>
            </w:r>
          </w:p>
        </w:tc>
        <w:tc>
          <w:tcPr>
            <w:tcW w:w="530" w:type="pct"/>
            <w:tcBorders>
              <w:top w:val="single" w:sz="4" w:space="0" w:color="auto"/>
              <w:left w:val="single" w:sz="4" w:space="0" w:color="auto"/>
              <w:bottom w:val="nil"/>
              <w:right w:val="single" w:sz="4" w:space="0" w:color="auto"/>
            </w:tcBorders>
            <w:vAlign w:val="center"/>
            <w:hideMark/>
          </w:tcPr>
          <w:p w14:paraId="4D9C8EE5" w14:textId="77777777" w:rsidR="00D808CB" w:rsidRPr="009C5807" w:rsidRDefault="00D808CB" w:rsidP="001313A6">
            <w:pPr>
              <w:pStyle w:val="TAC"/>
            </w:pPr>
            <w:r w:rsidRPr="009C5807">
              <w:t>1</w:t>
            </w:r>
          </w:p>
        </w:tc>
        <w:tc>
          <w:tcPr>
            <w:tcW w:w="531" w:type="pct"/>
            <w:tcBorders>
              <w:top w:val="single" w:sz="4" w:space="0" w:color="auto"/>
              <w:left w:val="single" w:sz="4" w:space="0" w:color="auto"/>
              <w:bottom w:val="single" w:sz="4" w:space="0" w:color="auto"/>
              <w:right w:val="single" w:sz="4" w:space="0" w:color="auto"/>
            </w:tcBorders>
            <w:hideMark/>
          </w:tcPr>
          <w:p w14:paraId="0A22D20B" w14:textId="77777777" w:rsidR="00D808CB" w:rsidRPr="009C5807" w:rsidRDefault="00D808CB" w:rsidP="001313A6">
            <w:pPr>
              <w:pStyle w:val="TAC"/>
            </w:pPr>
            <w:r w:rsidRPr="009C5807">
              <w:t>8</w:t>
            </w:r>
          </w:p>
        </w:tc>
        <w:tc>
          <w:tcPr>
            <w:tcW w:w="1111" w:type="pct"/>
            <w:tcBorders>
              <w:top w:val="single" w:sz="4" w:space="0" w:color="auto"/>
              <w:left w:val="single" w:sz="4" w:space="0" w:color="auto"/>
              <w:bottom w:val="single" w:sz="4" w:space="0" w:color="auto"/>
              <w:right w:val="single" w:sz="4" w:space="0" w:color="auto"/>
            </w:tcBorders>
            <w:hideMark/>
          </w:tcPr>
          <w:p w14:paraId="74E0A438" w14:textId="77777777" w:rsidR="00D808CB" w:rsidRPr="009C5807" w:rsidRDefault="00D808CB" w:rsidP="001313A6">
            <w:pPr>
              <w:pStyle w:val="TAC"/>
            </w:pPr>
            <w:r w:rsidRPr="008C6DE4">
              <w:t xml:space="preserve">11.52 x N1 </w:t>
            </w:r>
            <w:r w:rsidRPr="008C6DE4">
              <w:rPr>
                <w:rFonts w:cs="Arial"/>
                <w:lang w:eastAsia="zh-CN"/>
              </w:rPr>
              <w:t xml:space="preserve">x M2 </w:t>
            </w:r>
            <w:r w:rsidRPr="008C6DE4">
              <w:t>(36 x N1</w:t>
            </w:r>
            <w:r w:rsidRPr="008C6DE4">
              <w:rPr>
                <w:rFonts w:cs="Arial"/>
                <w:lang w:eastAsia="zh-CN"/>
              </w:rPr>
              <w:t xml:space="preserve"> x M2</w:t>
            </w:r>
            <w:r w:rsidRPr="008C6DE4">
              <w:t>)</w:t>
            </w:r>
          </w:p>
        </w:tc>
        <w:tc>
          <w:tcPr>
            <w:tcW w:w="1112" w:type="pct"/>
            <w:tcBorders>
              <w:top w:val="single" w:sz="4" w:space="0" w:color="auto"/>
              <w:left w:val="single" w:sz="4" w:space="0" w:color="auto"/>
              <w:bottom w:val="single" w:sz="4" w:space="0" w:color="auto"/>
              <w:right w:val="single" w:sz="4" w:space="0" w:color="auto"/>
            </w:tcBorders>
            <w:hideMark/>
          </w:tcPr>
          <w:p w14:paraId="6908E955" w14:textId="77777777" w:rsidR="00D808CB" w:rsidRPr="009C5807" w:rsidRDefault="00D808CB" w:rsidP="001313A6">
            <w:pPr>
              <w:pStyle w:val="TAC"/>
            </w:pPr>
            <w:r w:rsidRPr="008C6DE4">
              <w:t xml:space="preserve">1.28 x N1 </w:t>
            </w:r>
            <w:r w:rsidRPr="008C6DE4">
              <w:rPr>
                <w:rFonts w:cs="Arial"/>
                <w:lang w:eastAsia="zh-CN"/>
              </w:rPr>
              <w:t>x M2</w:t>
            </w:r>
            <w:r w:rsidRPr="008C6DE4">
              <w:rPr>
                <w:rFonts w:cs="Arial"/>
                <w:snapToGrid w:val="0"/>
              </w:rPr>
              <w:t xml:space="preserve"> </w:t>
            </w:r>
            <w:r w:rsidRPr="008C6DE4">
              <w:t>(4 x N1</w:t>
            </w:r>
            <w:r w:rsidRPr="008C6DE4">
              <w:rPr>
                <w:rFonts w:cs="Arial"/>
                <w:lang w:eastAsia="zh-CN"/>
              </w:rPr>
              <w:t xml:space="preserve"> x M2</w:t>
            </w:r>
            <w:r w:rsidRPr="008C6DE4">
              <w:t>)</w:t>
            </w:r>
          </w:p>
        </w:tc>
        <w:tc>
          <w:tcPr>
            <w:tcW w:w="1112" w:type="pct"/>
            <w:tcBorders>
              <w:top w:val="single" w:sz="4" w:space="0" w:color="auto"/>
              <w:left w:val="single" w:sz="4" w:space="0" w:color="auto"/>
              <w:bottom w:val="single" w:sz="4" w:space="0" w:color="auto"/>
              <w:right w:val="single" w:sz="4" w:space="0" w:color="auto"/>
            </w:tcBorders>
            <w:hideMark/>
          </w:tcPr>
          <w:p w14:paraId="15EC5ECA" w14:textId="77777777" w:rsidR="00D808CB" w:rsidRPr="009C5807" w:rsidRDefault="00D808CB" w:rsidP="001313A6">
            <w:pPr>
              <w:pStyle w:val="TAC"/>
            </w:pPr>
            <w:r w:rsidRPr="008C6DE4">
              <w:t xml:space="preserve">5.12 x N1 </w:t>
            </w:r>
            <w:r w:rsidRPr="008C6DE4">
              <w:rPr>
                <w:rFonts w:cs="Arial"/>
                <w:lang w:eastAsia="zh-CN"/>
              </w:rPr>
              <w:t>x M2</w:t>
            </w:r>
            <w:r w:rsidRPr="008C6DE4">
              <w:rPr>
                <w:rFonts w:cs="Arial"/>
                <w:snapToGrid w:val="0"/>
              </w:rPr>
              <w:t xml:space="preserve"> </w:t>
            </w:r>
            <w:r w:rsidRPr="008C6DE4">
              <w:t>(16 x N1</w:t>
            </w:r>
            <w:r w:rsidRPr="008C6DE4">
              <w:rPr>
                <w:rFonts w:cs="Arial"/>
                <w:lang w:eastAsia="zh-CN"/>
              </w:rPr>
              <w:t xml:space="preserve"> x M2</w:t>
            </w:r>
            <w:r w:rsidRPr="008C6DE4">
              <w:t>)</w:t>
            </w:r>
          </w:p>
        </w:tc>
      </w:tr>
      <w:tr w:rsidR="00D808CB" w:rsidRPr="009C5807" w14:paraId="1ECBAC87"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3367DD2D" w14:textId="77777777" w:rsidR="00D808CB" w:rsidRPr="009C5807" w:rsidRDefault="00D808CB" w:rsidP="001313A6">
            <w:pPr>
              <w:pStyle w:val="TAC"/>
            </w:pPr>
            <w:r w:rsidRPr="009C5807">
              <w:t>0.64</w:t>
            </w:r>
          </w:p>
        </w:tc>
        <w:tc>
          <w:tcPr>
            <w:tcW w:w="0" w:type="auto"/>
            <w:tcBorders>
              <w:top w:val="nil"/>
              <w:left w:val="single" w:sz="4" w:space="0" w:color="auto"/>
              <w:bottom w:val="nil"/>
              <w:right w:val="single" w:sz="4" w:space="0" w:color="auto"/>
            </w:tcBorders>
            <w:vAlign w:val="center"/>
            <w:hideMark/>
          </w:tcPr>
          <w:p w14:paraId="329CC517" w14:textId="77777777" w:rsidR="00D808CB" w:rsidRPr="009C5807" w:rsidRDefault="00D808CB" w:rsidP="001313A6">
            <w:pPr>
              <w:pStyle w:val="TAC"/>
            </w:pPr>
          </w:p>
        </w:tc>
        <w:tc>
          <w:tcPr>
            <w:tcW w:w="531" w:type="pct"/>
            <w:tcBorders>
              <w:top w:val="single" w:sz="4" w:space="0" w:color="auto"/>
              <w:left w:val="single" w:sz="4" w:space="0" w:color="auto"/>
              <w:bottom w:val="single" w:sz="4" w:space="0" w:color="auto"/>
              <w:right w:val="single" w:sz="4" w:space="0" w:color="auto"/>
            </w:tcBorders>
            <w:hideMark/>
          </w:tcPr>
          <w:p w14:paraId="4341D09B" w14:textId="77777777" w:rsidR="00D808CB" w:rsidRPr="009C5807" w:rsidRDefault="00D808CB" w:rsidP="001313A6">
            <w:pPr>
              <w:pStyle w:val="TAC"/>
            </w:pPr>
            <w:r w:rsidRPr="009C5807">
              <w:t>5</w:t>
            </w:r>
          </w:p>
        </w:tc>
        <w:tc>
          <w:tcPr>
            <w:tcW w:w="1111" w:type="pct"/>
            <w:tcBorders>
              <w:top w:val="single" w:sz="4" w:space="0" w:color="auto"/>
              <w:left w:val="single" w:sz="4" w:space="0" w:color="auto"/>
              <w:bottom w:val="single" w:sz="4" w:space="0" w:color="auto"/>
              <w:right w:val="single" w:sz="4" w:space="0" w:color="auto"/>
            </w:tcBorders>
            <w:hideMark/>
          </w:tcPr>
          <w:p w14:paraId="4EECAE90" w14:textId="77777777" w:rsidR="00D808CB" w:rsidRPr="009C5807" w:rsidRDefault="00D808CB" w:rsidP="001313A6">
            <w:pPr>
              <w:pStyle w:val="TAC"/>
            </w:pPr>
            <w:r w:rsidRPr="008C6DE4">
              <w:t>17.92 x N1 (28 x N1)</w:t>
            </w:r>
          </w:p>
        </w:tc>
        <w:tc>
          <w:tcPr>
            <w:tcW w:w="1112" w:type="pct"/>
            <w:tcBorders>
              <w:top w:val="single" w:sz="4" w:space="0" w:color="auto"/>
              <w:left w:val="single" w:sz="4" w:space="0" w:color="auto"/>
              <w:bottom w:val="single" w:sz="4" w:space="0" w:color="auto"/>
              <w:right w:val="single" w:sz="4" w:space="0" w:color="auto"/>
            </w:tcBorders>
            <w:hideMark/>
          </w:tcPr>
          <w:p w14:paraId="68F1A580" w14:textId="77777777" w:rsidR="00D808CB" w:rsidRPr="009C5807" w:rsidRDefault="00D808CB" w:rsidP="001313A6">
            <w:pPr>
              <w:pStyle w:val="TAC"/>
            </w:pPr>
            <w:r w:rsidRPr="008C6DE4">
              <w:t>1.28 x N1 (2 x N1)</w:t>
            </w:r>
          </w:p>
        </w:tc>
        <w:tc>
          <w:tcPr>
            <w:tcW w:w="1112" w:type="pct"/>
            <w:tcBorders>
              <w:top w:val="single" w:sz="4" w:space="0" w:color="auto"/>
              <w:left w:val="single" w:sz="4" w:space="0" w:color="auto"/>
              <w:bottom w:val="single" w:sz="4" w:space="0" w:color="auto"/>
              <w:right w:val="single" w:sz="4" w:space="0" w:color="auto"/>
            </w:tcBorders>
            <w:hideMark/>
          </w:tcPr>
          <w:p w14:paraId="1966FB84" w14:textId="77777777" w:rsidR="00D808CB" w:rsidRPr="009C5807" w:rsidRDefault="00D808CB" w:rsidP="001313A6">
            <w:pPr>
              <w:pStyle w:val="TAC"/>
            </w:pPr>
            <w:r w:rsidRPr="008C6DE4">
              <w:t>5.12 x N1 (8 x N1)</w:t>
            </w:r>
          </w:p>
        </w:tc>
      </w:tr>
      <w:tr w:rsidR="00D808CB" w:rsidRPr="009C5807" w14:paraId="44F40447"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06A68C04" w14:textId="77777777" w:rsidR="00D808CB" w:rsidRPr="009C5807" w:rsidRDefault="00D808CB" w:rsidP="001313A6">
            <w:pPr>
              <w:pStyle w:val="TAC"/>
            </w:pPr>
            <w:r w:rsidRPr="009C5807">
              <w:t>1.28</w:t>
            </w:r>
          </w:p>
        </w:tc>
        <w:tc>
          <w:tcPr>
            <w:tcW w:w="0" w:type="auto"/>
            <w:tcBorders>
              <w:top w:val="nil"/>
              <w:left w:val="single" w:sz="4" w:space="0" w:color="auto"/>
              <w:bottom w:val="nil"/>
              <w:right w:val="single" w:sz="4" w:space="0" w:color="auto"/>
            </w:tcBorders>
            <w:vAlign w:val="center"/>
            <w:hideMark/>
          </w:tcPr>
          <w:p w14:paraId="3E56282E" w14:textId="77777777" w:rsidR="00D808CB" w:rsidRPr="009C5807" w:rsidRDefault="00D808CB" w:rsidP="001313A6">
            <w:pPr>
              <w:pStyle w:val="TAC"/>
            </w:pPr>
          </w:p>
        </w:tc>
        <w:tc>
          <w:tcPr>
            <w:tcW w:w="531" w:type="pct"/>
            <w:tcBorders>
              <w:top w:val="single" w:sz="4" w:space="0" w:color="auto"/>
              <w:left w:val="single" w:sz="4" w:space="0" w:color="auto"/>
              <w:bottom w:val="single" w:sz="4" w:space="0" w:color="auto"/>
              <w:right w:val="single" w:sz="4" w:space="0" w:color="auto"/>
            </w:tcBorders>
            <w:hideMark/>
          </w:tcPr>
          <w:p w14:paraId="0A50456E" w14:textId="77777777" w:rsidR="00D808CB" w:rsidRPr="009C5807" w:rsidRDefault="00D808CB" w:rsidP="001313A6">
            <w:pPr>
              <w:pStyle w:val="TAC"/>
            </w:pPr>
            <w:r w:rsidRPr="009C5807">
              <w:t>4</w:t>
            </w:r>
          </w:p>
        </w:tc>
        <w:tc>
          <w:tcPr>
            <w:tcW w:w="1111" w:type="pct"/>
            <w:tcBorders>
              <w:top w:val="single" w:sz="4" w:space="0" w:color="auto"/>
              <w:left w:val="single" w:sz="4" w:space="0" w:color="auto"/>
              <w:bottom w:val="single" w:sz="4" w:space="0" w:color="auto"/>
              <w:right w:val="single" w:sz="4" w:space="0" w:color="auto"/>
            </w:tcBorders>
            <w:hideMark/>
          </w:tcPr>
          <w:p w14:paraId="448442D6" w14:textId="77777777" w:rsidR="00D808CB" w:rsidRPr="009C5807" w:rsidRDefault="00D808CB" w:rsidP="001313A6">
            <w:pPr>
              <w:pStyle w:val="TAC"/>
            </w:pPr>
            <w:r w:rsidRPr="008C6DE4">
              <w:t>32 x N1 (25 x N1)</w:t>
            </w:r>
          </w:p>
        </w:tc>
        <w:tc>
          <w:tcPr>
            <w:tcW w:w="1112" w:type="pct"/>
            <w:tcBorders>
              <w:top w:val="single" w:sz="4" w:space="0" w:color="auto"/>
              <w:left w:val="single" w:sz="4" w:space="0" w:color="auto"/>
              <w:bottom w:val="single" w:sz="4" w:space="0" w:color="auto"/>
              <w:right w:val="single" w:sz="4" w:space="0" w:color="auto"/>
            </w:tcBorders>
            <w:hideMark/>
          </w:tcPr>
          <w:p w14:paraId="2104D639" w14:textId="77777777" w:rsidR="00D808CB" w:rsidRPr="009C5807" w:rsidRDefault="00D808CB" w:rsidP="001313A6">
            <w:pPr>
              <w:pStyle w:val="TAC"/>
            </w:pPr>
            <w:r w:rsidRPr="008C6DE4">
              <w:t>1.28 x N1 (1 x N1)</w:t>
            </w:r>
          </w:p>
        </w:tc>
        <w:tc>
          <w:tcPr>
            <w:tcW w:w="1112" w:type="pct"/>
            <w:tcBorders>
              <w:top w:val="single" w:sz="4" w:space="0" w:color="auto"/>
              <w:left w:val="single" w:sz="4" w:space="0" w:color="auto"/>
              <w:bottom w:val="single" w:sz="4" w:space="0" w:color="auto"/>
              <w:right w:val="single" w:sz="4" w:space="0" w:color="auto"/>
            </w:tcBorders>
            <w:hideMark/>
          </w:tcPr>
          <w:p w14:paraId="519B1150" w14:textId="77777777" w:rsidR="00D808CB" w:rsidRPr="009C5807" w:rsidRDefault="00D808CB" w:rsidP="001313A6">
            <w:pPr>
              <w:pStyle w:val="TAC"/>
            </w:pPr>
            <w:r w:rsidRPr="008C6DE4">
              <w:t>6.4 x N1 (5 x N1)</w:t>
            </w:r>
          </w:p>
        </w:tc>
      </w:tr>
      <w:tr w:rsidR="00D808CB" w:rsidRPr="009C5807" w14:paraId="38F728F9"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6054E5F1" w14:textId="77777777" w:rsidR="00D808CB" w:rsidRPr="009C5807" w:rsidRDefault="00D808CB" w:rsidP="001313A6">
            <w:pPr>
              <w:pStyle w:val="TAC"/>
            </w:pPr>
            <w:r w:rsidRPr="009C5807">
              <w:t>2.56</w:t>
            </w:r>
          </w:p>
        </w:tc>
        <w:tc>
          <w:tcPr>
            <w:tcW w:w="0" w:type="auto"/>
            <w:tcBorders>
              <w:top w:val="nil"/>
              <w:left w:val="single" w:sz="4" w:space="0" w:color="auto"/>
              <w:bottom w:val="single" w:sz="4" w:space="0" w:color="auto"/>
              <w:right w:val="single" w:sz="4" w:space="0" w:color="auto"/>
            </w:tcBorders>
            <w:vAlign w:val="center"/>
            <w:hideMark/>
          </w:tcPr>
          <w:p w14:paraId="340639B3" w14:textId="77777777" w:rsidR="00D808CB" w:rsidRPr="009C5807" w:rsidRDefault="00D808CB" w:rsidP="001313A6">
            <w:pPr>
              <w:pStyle w:val="TAC"/>
            </w:pPr>
          </w:p>
        </w:tc>
        <w:tc>
          <w:tcPr>
            <w:tcW w:w="531" w:type="pct"/>
            <w:tcBorders>
              <w:top w:val="single" w:sz="4" w:space="0" w:color="auto"/>
              <w:left w:val="single" w:sz="4" w:space="0" w:color="auto"/>
              <w:bottom w:val="single" w:sz="4" w:space="0" w:color="auto"/>
              <w:right w:val="single" w:sz="4" w:space="0" w:color="auto"/>
            </w:tcBorders>
            <w:hideMark/>
          </w:tcPr>
          <w:p w14:paraId="6DE05820" w14:textId="77777777" w:rsidR="00D808CB" w:rsidRPr="009C5807" w:rsidRDefault="00D808CB" w:rsidP="001313A6">
            <w:pPr>
              <w:pStyle w:val="TAC"/>
              <w:rPr>
                <w:rFonts w:cs="Arial"/>
                <w:lang w:eastAsia="zh-CN"/>
              </w:rPr>
            </w:pPr>
            <w:r w:rsidRPr="009C5807">
              <w:rPr>
                <w:rFonts w:cs="Arial"/>
                <w:lang w:eastAsia="zh-CN"/>
              </w:rPr>
              <w:t>3</w:t>
            </w:r>
          </w:p>
        </w:tc>
        <w:tc>
          <w:tcPr>
            <w:tcW w:w="1111" w:type="pct"/>
            <w:tcBorders>
              <w:top w:val="single" w:sz="4" w:space="0" w:color="auto"/>
              <w:left w:val="single" w:sz="4" w:space="0" w:color="auto"/>
              <w:bottom w:val="single" w:sz="4" w:space="0" w:color="auto"/>
              <w:right w:val="single" w:sz="4" w:space="0" w:color="auto"/>
            </w:tcBorders>
            <w:hideMark/>
          </w:tcPr>
          <w:p w14:paraId="52A1A422" w14:textId="77777777" w:rsidR="00D808CB" w:rsidRPr="009C5807" w:rsidRDefault="00D808CB" w:rsidP="001313A6">
            <w:pPr>
              <w:pStyle w:val="TAC"/>
            </w:pPr>
            <w:r w:rsidRPr="008C6DE4">
              <w:rPr>
                <w:rFonts w:cs="Arial"/>
                <w:lang w:eastAsia="zh-CN"/>
              </w:rPr>
              <w:t>58.88</w:t>
            </w:r>
            <w:r w:rsidRPr="008C6DE4">
              <w:t xml:space="preserve"> x N1 (23 x N1)</w:t>
            </w:r>
          </w:p>
        </w:tc>
        <w:tc>
          <w:tcPr>
            <w:tcW w:w="1112" w:type="pct"/>
            <w:tcBorders>
              <w:top w:val="single" w:sz="4" w:space="0" w:color="auto"/>
              <w:left w:val="single" w:sz="4" w:space="0" w:color="auto"/>
              <w:bottom w:val="single" w:sz="4" w:space="0" w:color="auto"/>
              <w:right w:val="single" w:sz="4" w:space="0" w:color="auto"/>
            </w:tcBorders>
            <w:hideMark/>
          </w:tcPr>
          <w:p w14:paraId="1E228465" w14:textId="77777777" w:rsidR="00D808CB" w:rsidRPr="009C5807" w:rsidRDefault="00D808CB" w:rsidP="001313A6">
            <w:pPr>
              <w:pStyle w:val="TAC"/>
            </w:pPr>
            <w:r w:rsidRPr="008C6DE4">
              <w:t>2.56 x N1 (1 x N1)</w:t>
            </w:r>
          </w:p>
        </w:tc>
        <w:tc>
          <w:tcPr>
            <w:tcW w:w="1112" w:type="pct"/>
            <w:tcBorders>
              <w:top w:val="single" w:sz="4" w:space="0" w:color="auto"/>
              <w:left w:val="single" w:sz="4" w:space="0" w:color="auto"/>
              <w:bottom w:val="single" w:sz="4" w:space="0" w:color="auto"/>
              <w:right w:val="single" w:sz="4" w:space="0" w:color="auto"/>
            </w:tcBorders>
            <w:hideMark/>
          </w:tcPr>
          <w:p w14:paraId="2D3DDA94" w14:textId="77777777" w:rsidR="00D808CB" w:rsidRPr="009C5807" w:rsidRDefault="00D808CB" w:rsidP="001313A6">
            <w:pPr>
              <w:pStyle w:val="TAC"/>
            </w:pPr>
            <w:r w:rsidRPr="008C6DE4">
              <w:t>7.68 x N1 (3 x N1)</w:t>
            </w:r>
          </w:p>
        </w:tc>
      </w:tr>
      <w:tr w:rsidR="00D808CB" w:rsidRPr="009C5807" w14:paraId="7A95E6AF" w14:textId="77777777" w:rsidTr="001313A6">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CEB9DB0" w14:textId="77777777" w:rsidR="00D808CB" w:rsidRPr="009C5807" w:rsidRDefault="00D808CB" w:rsidP="001313A6">
            <w:pPr>
              <w:pStyle w:val="TAN"/>
              <w:rPr>
                <w:snapToGrid w:val="0"/>
                <w:lang w:eastAsia="zh-CN"/>
              </w:rPr>
            </w:pPr>
            <w:r w:rsidRPr="009C5807">
              <w:rPr>
                <w:snapToGrid w:val="0"/>
                <w:lang w:eastAsia="zh-CN"/>
              </w:rPr>
              <w:t>Note 1</w:t>
            </w:r>
            <w:r w:rsidRPr="009C5807">
              <w:t>:</w:t>
            </w:r>
            <w:r w:rsidRPr="009C5807">
              <w:rPr>
                <w:lang w:val="en-US"/>
              </w:rPr>
              <w:tab/>
            </w:r>
            <w:r w:rsidRPr="0082197E">
              <w:rPr>
                <w:lang w:eastAsia="zh-CN"/>
              </w:rPr>
              <w:t>Applies for RedCap UE of all FR2 power class</w:t>
            </w:r>
            <w:r w:rsidRPr="009C5807">
              <w:t>.</w:t>
            </w:r>
          </w:p>
          <w:p w14:paraId="760D62D8" w14:textId="77777777" w:rsidR="00D808CB" w:rsidRPr="009C5807" w:rsidRDefault="00D808CB" w:rsidP="001313A6">
            <w:pPr>
              <w:pStyle w:val="TAN"/>
            </w:pPr>
            <w:r w:rsidRPr="009C5807">
              <w:rPr>
                <w:snapToGrid w:val="0"/>
                <w:lang w:eastAsia="zh-CN"/>
              </w:rPr>
              <w:t>Note 2:</w:t>
            </w:r>
            <w:r w:rsidRPr="009C5807">
              <w:rPr>
                <w:lang w:val="en-US"/>
              </w:rPr>
              <w:tab/>
            </w:r>
            <w:r w:rsidRPr="009C5807">
              <w:rPr>
                <w:snapToGrid w:val="0"/>
                <w:lang w:eastAsia="zh-CN"/>
              </w:rPr>
              <w:t>M2 = 1.5 if SMTC periodicity</w:t>
            </w:r>
            <w:r w:rsidRPr="009C5807">
              <w:t xml:space="preserve"> </w:t>
            </w:r>
            <w:r w:rsidRPr="009C5807">
              <w:rPr>
                <w:snapToGrid w:val="0"/>
                <w:lang w:eastAsia="zh-CN"/>
              </w:rPr>
              <w:t>of measured intra-frequency cell &gt; 20 ms; otherwise M2=1.</w:t>
            </w:r>
            <w:r>
              <w:t xml:space="preserve"> </w:t>
            </w:r>
            <w:r w:rsidRPr="000359AF">
              <w:rPr>
                <w:snapToGrid w:val="0"/>
                <w:lang w:eastAsia="zh-CN"/>
              </w:rPr>
              <w:t>If different SMTC periodicities are configured for different cells, the SMTC periodicity in this note is the one used by the cell being identified.</w:t>
            </w:r>
            <w:r>
              <w:rPr>
                <w:snapToGrid w:val="0"/>
                <w:lang w:eastAsia="zh-CN"/>
              </w:rPr>
              <w:t xml:space="preserve"> </w:t>
            </w:r>
            <w:r w:rsidRPr="009B7158">
              <w:rPr>
                <w:snapToGrid w:val="0"/>
                <w:lang w:eastAsia="zh-CN"/>
              </w:rPr>
              <w:t>During PSS/SSS detection, the periodicity of the SMTC configured for the intra-frequency carrier is assumed, and if the actual SSB transmission periodicity is greater than the SMTC configured for the intra-frequency carrier, longer T</w:t>
            </w:r>
            <w:r w:rsidRPr="007C55F6">
              <w:rPr>
                <w:snapToGrid w:val="0"/>
                <w:vertAlign w:val="subscript"/>
                <w:lang w:eastAsia="zh-CN"/>
              </w:rPr>
              <w:t>detect, NR_intra</w:t>
            </w:r>
            <w:r>
              <w:rPr>
                <w:snapToGrid w:val="0"/>
                <w:vertAlign w:val="subscript"/>
                <w:lang w:eastAsia="zh-CN"/>
              </w:rPr>
              <w:t>_RedCap</w:t>
            </w:r>
            <w:r w:rsidRPr="007C55F6">
              <w:rPr>
                <w:snapToGrid w:val="0"/>
                <w:vertAlign w:val="subscript"/>
                <w:lang w:eastAsia="zh-CN"/>
              </w:rPr>
              <w:t xml:space="preserve"> </w:t>
            </w:r>
            <w:r w:rsidRPr="009B7158">
              <w:rPr>
                <w:snapToGrid w:val="0"/>
                <w:lang w:eastAsia="zh-CN"/>
              </w:rPr>
              <w:t>is expected.</w:t>
            </w:r>
          </w:p>
        </w:tc>
      </w:tr>
    </w:tbl>
    <w:p w14:paraId="63BFCF44" w14:textId="77777777" w:rsidR="00D808CB" w:rsidRPr="009C5807" w:rsidRDefault="00D808CB" w:rsidP="00D808CB">
      <w:pPr>
        <w:rPr>
          <w:lang w:val="en-US" w:eastAsia="zh-CN"/>
        </w:rPr>
      </w:pPr>
    </w:p>
    <w:p w14:paraId="507F621B" w14:textId="77777777" w:rsidR="00D808CB" w:rsidRPr="0005218F" w:rsidRDefault="00D808CB" w:rsidP="00D808CB">
      <w:pPr>
        <w:pStyle w:val="TH"/>
        <w:rPr>
          <w:lang w:val="en-US"/>
        </w:rPr>
      </w:pPr>
      <w:r w:rsidRPr="0005218F">
        <w:rPr>
          <w:rFonts w:eastAsiaTheme="minorEastAsia"/>
          <w:lang w:val="en-US"/>
        </w:rPr>
        <w:t>Table 4.2B.2.3-2: T</w:t>
      </w:r>
      <w:r w:rsidRPr="0005218F">
        <w:rPr>
          <w:rFonts w:eastAsiaTheme="minorEastAsia"/>
          <w:vertAlign w:val="subscript"/>
          <w:lang w:val="en-US"/>
        </w:rPr>
        <w:t>detect,NR_Intra_RedCap</w:t>
      </w:r>
      <w:r w:rsidRPr="0005218F">
        <w:rPr>
          <w:rFonts w:eastAsiaTheme="minorEastAsia"/>
          <w:lang w:val="en-US"/>
        </w:rPr>
        <w:t>, T</w:t>
      </w:r>
      <w:r w:rsidRPr="0005218F">
        <w:rPr>
          <w:rFonts w:eastAsiaTheme="minorEastAsia"/>
          <w:vertAlign w:val="subscript"/>
          <w:lang w:val="en-US"/>
        </w:rPr>
        <w:t>measure,NR_Intra_RedCap</w:t>
      </w:r>
      <w:r w:rsidRPr="0005218F">
        <w:rPr>
          <w:rFonts w:eastAsiaTheme="minorEastAsia"/>
          <w:lang w:val="en-US"/>
        </w:rPr>
        <w:t xml:space="preserve"> and T</w:t>
      </w:r>
      <w:r w:rsidRPr="0005218F">
        <w:rPr>
          <w:rFonts w:eastAsiaTheme="minorEastAsia"/>
          <w:vertAlign w:val="subscript"/>
          <w:lang w:val="en-US"/>
        </w:rPr>
        <w:t>evaluate,NR_Intra_RedCap</w:t>
      </w:r>
      <w:r w:rsidRPr="0005218F">
        <w:rPr>
          <w:rFonts w:eastAsiaTheme="minorEastAsia"/>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756"/>
        <w:gridCol w:w="936"/>
        <w:gridCol w:w="2450"/>
        <w:gridCol w:w="1874"/>
        <w:gridCol w:w="1860"/>
      </w:tblGrid>
      <w:tr w:rsidR="00D808CB" w:rsidRPr="00B85562" w14:paraId="56BFC15B" w14:textId="77777777" w:rsidTr="001313A6">
        <w:trPr>
          <w:trHeight w:val="1692"/>
        </w:trPr>
        <w:tc>
          <w:tcPr>
            <w:tcW w:w="1207" w:type="dxa"/>
            <w:hideMark/>
          </w:tcPr>
          <w:p w14:paraId="41E3900F" w14:textId="77777777" w:rsidR="00D808CB" w:rsidRPr="00B11B68" w:rsidRDefault="00D808CB" w:rsidP="001313A6">
            <w:pPr>
              <w:rPr>
                <w:rFonts w:ascii="Arial" w:hAnsi="Arial" w:cs="Arial"/>
                <w:sz w:val="18"/>
                <w:lang w:val="en-US" w:eastAsia="zh-CN"/>
              </w:rPr>
            </w:pPr>
            <w:r w:rsidRPr="00B11B68">
              <w:rPr>
                <w:rFonts w:ascii="Arial" w:hAnsi="Arial" w:cs="Arial"/>
                <w:b/>
                <w:sz w:val="18"/>
                <w:lang w:eastAsia="zh-CN"/>
              </w:rPr>
              <w:t>eDRX_IDLE cycle length [s]</w:t>
            </w:r>
          </w:p>
        </w:tc>
        <w:tc>
          <w:tcPr>
            <w:tcW w:w="756" w:type="dxa"/>
            <w:hideMark/>
          </w:tcPr>
          <w:p w14:paraId="521A58A7" w14:textId="77777777" w:rsidR="00D808CB" w:rsidRPr="00B11B68" w:rsidRDefault="00D808CB" w:rsidP="001313A6">
            <w:pPr>
              <w:rPr>
                <w:rFonts w:ascii="Arial" w:hAnsi="Arial" w:cs="Arial"/>
                <w:sz w:val="18"/>
                <w:lang w:val="en-US" w:eastAsia="zh-CN"/>
              </w:rPr>
            </w:pPr>
            <w:r w:rsidRPr="00B11B68">
              <w:rPr>
                <w:rFonts w:ascii="Arial" w:hAnsi="Arial" w:cs="Arial"/>
                <w:b/>
                <w:sz w:val="18"/>
                <w:lang w:eastAsia="zh-CN"/>
              </w:rPr>
              <w:t>DRX cycle length [s]</w:t>
            </w:r>
          </w:p>
        </w:tc>
        <w:tc>
          <w:tcPr>
            <w:tcW w:w="936" w:type="dxa"/>
            <w:hideMark/>
          </w:tcPr>
          <w:p w14:paraId="57C7EA44" w14:textId="77777777" w:rsidR="00D808CB" w:rsidRPr="00B11B68" w:rsidRDefault="00D808CB" w:rsidP="001313A6">
            <w:pPr>
              <w:rPr>
                <w:rFonts w:ascii="Arial" w:hAnsi="Arial" w:cs="Arial"/>
                <w:sz w:val="18"/>
                <w:lang w:val="en-US" w:eastAsia="zh-CN"/>
              </w:rPr>
            </w:pPr>
            <w:r w:rsidRPr="00B11B68">
              <w:rPr>
                <w:rFonts w:ascii="Arial" w:hAnsi="Arial" w:cs="Arial"/>
                <w:b/>
                <w:sz w:val="18"/>
                <w:lang w:eastAsia="zh-CN"/>
              </w:rPr>
              <w:t>PTW length [s] (number of 1.28s periods)</w:t>
            </w:r>
          </w:p>
        </w:tc>
        <w:tc>
          <w:tcPr>
            <w:tcW w:w="2450" w:type="dxa"/>
            <w:hideMark/>
          </w:tcPr>
          <w:p w14:paraId="2B730640" w14:textId="77777777" w:rsidR="00D808CB" w:rsidRPr="00B11B68" w:rsidRDefault="00D808CB" w:rsidP="001313A6">
            <w:pPr>
              <w:rPr>
                <w:rFonts w:ascii="Arial" w:hAnsi="Arial" w:cs="Arial"/>
                <w:sz w:val="18"/>
                <w:szCs w:val="18"/>
                <w:lang w:val="en-US" w:eastAsia="zh-CN"/>
              </w:rPr>
            </w:pPr>
            <w:r w:rsidRPr="00B11B68">
              <w:rPr>
                <w:rFonts w:ascii="Arial" w:hAnsi="Arial" w:cs="Arial"/>
                <w:b/>
                <w:sz w:val="18"/>
                <w:szCs w:val="18"/>
                <w:lang w:val="en-US"/>
              </w:rPr>
              <w:t>T</w:t>
            </w:r>
            <w:r w:rsidRPr="00B11B68">
              <w:rPr>
                <w:rFonts w:ascii="Arial" w:hAnsi="Arial" w:cs="Arial"/>
                <w:b/>
                <w:sz w:val="18"/>
                <w:szCs w:val="18"/>
                <w:vertAlign w:val="subscript"/>
                <w:lang w:val="en-US"/>
              </w:rPr>
              <w:t>detect,NR_Intra_RedCap</w:t>
            </w:r>
            <w:r w:rsidRPr="00963536">
              <w:rPr>
                <w:rFonts w:ascii="Arial" w:hAnsi="Arial" w:cs="Arial"/>
                <w:b/>
                <w:sz w:val="18"/>
                <w:szCs w:val="18"/>
                <w:lang w:eastAsia="zh-CN"/>
              </w:rPr>
              <w:t xml:space="preserve"> </w:t>
            </w:r>
            <w:r w:rsidRPr="00B11B68">
              <w:rPr>
                <w:rFonts w:ascii="Arial" w:hAnsi="Arial" w:cs="Arial"/>
                <w:b/>
                <w:sz w:val="18"/>
                <w:szCs w:val="18"/>
                <w:lang w:eastAsia="zh-CN"/>
              </w:rPr>
              <w:t>[s] (number of DRX cycles</w:t>
            </w:r>
            <w:r>
              <w:rPr>
                <w:rFonts w:ascii="Arial" w:hAnsi="Arial" w:cs="Arial"/>
                <w:b/>
                <w:sz w:val="18"/>
                <w:szCs w:val="18"/>
                <w:lang w:eastAsia="zh-CN"/>
              </w:rPr>
              <w:t xml:space="preserve"> or eDRX cycles </w:t>
            </w:r>
            <w:r w:rsidRPr="00340961">
              <w:rPr>
                <w:rFonts w:ascii="Arial" w:hAnsi="Arial" w:cs="Arial"/>
                <w:b/>
                <w:sz w:val="18"/>
                <w:szCs w:val="18"/>
                <w:vertAlign w:val="superscript"/>
                <w:lang w:eastAsia="zh-CN"/>
              </w:rPr>
              <w:t>Note 3</w:t>
            </w:r>
            <w:r w:rsidRPr="00B11B68">
              <w:rPr>
                <w:rFonts w:ascii="Arial" w:hAnsi="Arial" w:cs="Arial"/>
                <w:b/>
                <w:sz w:val="18"/>
                <w:szCs w:val="18"/>
                <w:lang w:eastAsia="zh-CN"/>
              </w:rPr>
              <w:t>)</w:t>
            </w:r>
          </w:p>
        </w:tc>
        <w:tc>
          <w:tcPr>
            <w:tcW w:w="1874" w:type="dxa"/>
            <w:hideMark/>
          </w:tcPr>
          <w:p w14:paraId="76C38D07" w14:textId="77777777" w:rsidR="00D808CB" w:rsidRPr="00B11B68" w:rsidRDefault="00D808CB" w:rsidP="001313A6">
            <w:pPr>
              <w:rPr>
                <w:rFonts w:ascii="Arial" w:hAnsi="Arial" w:cs="Arial"/>
                <w:sz w:val="18"/>
                <w:szCs w:val="18"/>
                <w:lang w:val="en-US" w:eastAsia="zh-CN"/>
              </w:rPr>
            </w:pPr>
            <w:r w:rsidRPr="00B11B68">
              <w:rPr>
                <w:rFonts w:ascii="Arial" w:hAnsi="Arial" w:cs="Arial"/>
                <w:b/>
                <w:sz w:val="18"/>
                <w:szCs w:val="18"/>
                <w:lang w:val="en-US"/>
              </w:rPr>
              <w:t>T</w:t>
            </w:r>
            <w:r w:rsidRPr="00B11B68">
              <w:rPr>
                <w:rFonts w:ascii="Arial" w:hAnsi="Arial" w:cs="Arial"/>
                <w:b/>
                <w:sz w:val="18"/>
                <w:szCs w:val="18"/>
                <w:vertAlign w:val="subscript"/>
                <w:lang w:val="en-US"/>
              </w:rPr>
              <w:t>measure,NR_Intra_RedCap</w:t>
            </w:r>
            <w:r w:rsidRPr="00B11B68">
              <w:rPr>
                <w:rFonts w:ascii="Arial" w:hAnsi="Arial" w:cs="Arial"/>
                <w:b/>
                <w:sz w:val="18"/>
                <w:szCs w:val="18"/>
                <w:lang w:val="en-US"/>
              </w:rPr>
              <w:t xml:space="preserve"> </w:t>
            </w:r>
            <w:r w:rsidRPr="00B11B68">
              <w:rPr>
                <w:rFonts w:ascii="Arial" w:hAnsi="Arial" w:cs="Arial"/>
                <w:b/>
                <w:sz w:val="18"/>
                <w:szCs w:val="18"/>
                <w:lang w:eastAsia="zh-CN"/>
              </w:rPr>
              <w:t>[s] (number of DRX cycles</w:t>
            </w:r>
            <w:r>
              <w:rPr>
                <w:rFonts w:ascii="Arial" w:hAnsi="Arial" w:cs="Arial"/>
                <w:b/>
                <w:sz w:val="18"/>
                <w:szCs w:val="18"/>
                <w:lang w:eastAsia="zh-CN"/>
              </w:rPr>
              <w:t xml:space="preserve"> or eDRX cycles </w:t>
            </w:r>
            <w:r w:rsidRPr="00340961">
              <w:rPr>
                <w:rFonts w:ascii="Arial" w:hAnsi="Arial" w:cs="Arial"/>
                <w:b/>
                <w:sz w:val="18"/>
                <w:szCs w:val="18"/>
                <w:vertAlign w:val="superscript"/>
                <w:lang w:eastAsia="zh-CN"/>
              </w:rPr>
              <w:t>Note 3</w:t>
            </w:r>
            <w:r w:rsidRPr="00B11B68">
              <w:rPr>
                <w:rFonts w:ascii="Arial" w:hAnsi="Arial" w:cs="Arial"/>
                <w:b/>
                <w:sz w:val="18"/>
                <w:szCs w:val="18"/>
                <w:lang w:eastAsia="zh-CN"/>
              </w:rPr>
              <w:t>)</w:t>
            </w:r>
          </w:p>
        </w:tc>
        <w:tc>
          <w:tcPr>
            <w:tcW w:w="1860" w:type="dxa"/>
          </w:tcPr>
          <w:p w14:paraId="47064632" w14:textId="77777777" w:rsidR="00D808CB" w:rsidRPr="00B11B68" w:rsidRDefault="00D808CB" w:rsidP="001313A6">
            <w:pPr>
              <w:rPr>
                <w:rFonts w:ascii="Arial" w:hAnsi="Arial" w:cs="Arial"/>
                <w:b/>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 xml:space="preserve">evaluate,NR_Intra_RedCap </w:t>
            </w:r>
            <w:r w:rsidRPr="00B11B68">
              <w:rPr>
                <w:rFonts w:ascii="Arial" w:hAnsi="Arial" w:cs="Arial"/>
                <w:b/>
                <w:sz w:val="18"/>
                <w:szCs w:val="18"/>
                <w:lang w:eastAsia="zh-CN"/>
              </w:rPr>
              <w:t>[s] (number of DRX cycles</w:t>
            </w:r>
            <w:r>
              <w:rPr>
                <w:rFonts w:ascii="Arial" w:hAnsi="Arial" w:cs="Arial"/>
                <w:b/>
                <w:sz w:val="18"/>
                <w:szCs w:val="18"/>
                <w:lang w:eastAsia="zh-CN"/>
              </w:rPr>
              <w:t xml:space="preserve"> or eDRX cycles </w:t>
            </w:r>
            <w:r w:rsidRPr="00340961">
              <w:rPr>
                <w:rFonts w:ascii="Arial" w:hAnsi="Arial" w:cs="Arial"/>
                <w:b/>
                <w:sz w:val="18"/>
                <w:szCs w:val="18"/>
                <w:vertAlign w:val="superscript"/>
                <w:lang w:eastAsia="zh-CN"/>
              </w:rPr>
              <w:t>Note 3</w:t>
            </w:r>
            <w:r w:rsidRPr="00B11B68">
              <w:rPr>
                <w:rFonts w:ascii="Arial" w:hAnsi="Arial" w:cs="Arial"/>
                <w:b/>
                <w:sz w:val="18"/>
                <w:szCs w:val="18"/>
                <w:lang w:eastAsia="zh-CN"/>
              </w:rPr>
              <w:t>)</w:t>
            </w:r>
          </w:p>
        </w:tc>
      </w:tr>
      <w:tr w:rsidR="00D808CB" w:rsidRPr="00B85562" w14:paraId="2179D942" w14:textId="77777777" w:rsidTr="001313A6">
        <w:trPr>
          <w:trHeight w:val="336"/>
        </w:trPr>
        <w:tc>
          <w:tcPr>
            <w:tcW w:w="1207" w:type="dxa"/>
          </w:tcPr>
          <w:p w14:paraId="1569AE0E" w14:textId="77777777" w:rsidR="00D808CB" w:rsidRPr="00B11B68" w:rsidRDefault="00D808CB" w:rsidP="001313A6">
            <w:pPr>
              <w:rPr>
                <w:rFonts w:ascii="Arial" w:hAnsi="Arial" w:cs="Arial"/>
                <w:sz w:val="18"/>
                <w:lang w:val="en-US" w:eastAsia="zh-CN"/>
              </w:rPr>
            </w:pPr>
            <w:r w:rsidRPr="00B11B68">
              <w:rPr>
                <w:rFonts w:ascii="Arial" w:hAnsi="Arial" w:cs="Arial"/>
                <w:sz w:val="18"/>
                <w:lang w:val="en-US" w:eastAsia="zh-CN"/>
              </w:rPr>
              <w:t>2.56</w:t>
            </w:r>
          </w:p>
        </w:tc>
        <w:tc>
          <w:tcPr>
            <w:tcW w:w="756" w:type="dxa"/>
          </w:tcPr>
          <w:p w14:paraId="12471B71" w14:textId="77777777" w:rsidR="00D808CB" w:rsidRPr="00B11B68" w:rsidRDefault="00D808CB" w:rsidP="001313A6">
            <w:pPr>
              <w:rPr>
                <w:rFonts w:ascii="Arial" w:hAnsi="Arial" w:cs="Arial"/>
                <w:sz w:val="18"/>
                <w:lang w:val="en-US" w:eastAsia="zh-CN"/>
              </w:rPr>
            </w:pPr>
            <w:r w:rsidRPr="00B11B68">
              <w:rPr>
                <w:rFonts w:ascii="Arial" w:hAnsi="Arial" w:cs="Arial"/>
                <w:sz w:val="18"/>
                <w:lang w:val="en-US" w:eastAsia="zh-CN"/>
              </w:rPr>
              <w:t>-</w:t>
            </w:r>
          </w:p>
        </w:tc>
        <w:tc>
          <w:tcPr>
            <w:tcW w:w="936" w:type="dxa"/>
          </w:tcPr>
          <w:p w14:paraId="4CF4750C" w14:textId="77777777" w:rsidR="00D808CB" w:rsidRPr="00B11B68" w:rsidRDefault="00D808CB" w:rsidP="001313A6">
            <w:pPr>
              <w:rPr>
                <w:rFonts w:ascii="Arial" w:hAnsi="Arial" w:cs="Arial"/>
                <w:sz w:val="18"/>
                <w:lang w:val="en-US" w:eastAsia="zh-CN"/>
              </w:rPr>
            </w:pPr>
            <w:r w:rsidRPr="00B11B68">
              <w:rPr>
                <w:rFonts w:ascii="Arial" w:hAnsi="Arial" w:cs="Arial"/>
                <w:sz w:val="18"/>
                <w:lang w:val="en-US" w:eastAsia="zh-CN"/>
              </w:rPr>
              <w:t>-</w:t>
            </w:r>
          </w:p>
        </w:tc>
        <w:tc>
          <w:tcPr>
            <w:tcW w:w="2450" w:type="dxa"/>
          </w:tcPr>
          <w:p w14:paraId="593B33A3" w14:textId="77777777" w:rsidR="00D808CB" w:rsidRPr="00B11B68" w:rsidRDefault="00D808CB" w:rsidP="001313A6">
            <w:pPr>
              <w:rPr>
                <w:rFonts w:ascii="Arial" w:hAnsi="Arial" w:cs="Arial"/>
                <w:sz w:val="18"/>
                <w:lang w:eastAsia="zh-CN"/>
              </w:rPr>
            </w:pPr>
            <w:r w:rsidRPr="00B11B68">
              <w:rPr>
                <w:rFonts w:ascii="Arial" w:hAnsi="Arial" w:cs="Arial"/>
                <w:sz w:val="18"/>
                <w:lang w:eastAsia="zh-CN"/>
              </w:rPr>
              <w:t>58.88 (23)</w:t>
            </w:r>
          </w:p>
        </w:tc>
        <w:tc>
          <w:tcPr>
            <w:tcW w:w="1874" w:type="dxa"/>
          </w:tcPr>
          <w:p w14:paraId="4F38CBBB" w14:textId="77777777" w:rsidR="00D808CB" w:rsidRPr="00B11B68" w:rsidRDefault="00D808CB" w:rsidP="001313A6">
            <w:pPr>
              <w:rPr>
                <w:rFonts w:ascii="Arial" w:hAnsi="Arial" w:cs="Arial"/>
                <w:sz w:val="18"/>
                <w:lang w:eastAsia="zh-CN"/>
              </w:rPr>
            </w:pPr>
            <w:r w:rsidRPr="00B11B68">
              <w:rPr>
                <w:rFonts w:ascii="Arial" w:hAnsi="Arial" w:cs="Arial"/>
                <w:sz w:val="18"/>
                <w:lang w:eastAsia="zh-CN"/>
              </w:rPr>
              <w:t>2.56 (1)</w:t>
            </w:r>
          </w:p>
        </w:tc>
        <w:tc>
          <w:tcPr>
            <w:tcW w:w="1860" w:type="dxa"/>
          </w:tcPr>
          <w:p w14:paraId="50ECA4C4" w14:textId="77777777" w:rsidR="00D808CB" w:rsidRPr="00B11B68" w:rsidRDefault="00D808CB" w:rsidP="001313A6">
            <w:pPr>
              <w:rPr>
                <w:rFonts w:ascii="Arial" w:hAnsi="Arial" w:cs="Arial"/>
                <w:sz w:val="18"/>
                <w:lang w:eastAsia="zh-CN"/>
              </w:rPr>
            </w:pPr>
            <w:r>
              <w:rPr>
                <w:rFonts w:ascii="Arial" w:hAnsi="Arial" w:cs="Arial"/>
                <w:sz w:val="18"/>
                <w:lang w:eastAsia="zh-CN"/>
              </w:rPr>
              <w:t>7.68</w:t>
            </w:r>
            <w:r w:rsidRPr="00B11B68">
              <w:rPr>
                <w:rFonts w:ascii="Arial" w:hAnsi="Arial" w:cs="Arial"/>
                <w:sz w:val="18"/>
                <w:lang w:eastAsia="zh-CN"/>
              </w:rPr>
              <w:t xml:space="preserve"> (</w:t>
            </w:r>
            <w:r>
              <w:rPr>
                <w:rFonts w:ascii="Arial" w:hAnsi="Arial" w:cs="Arial"/>
                <w:sz w:val="18"/>
                <w:lang w:eastAsia="zh-CN"/>
              </w:rPr>
              <w:t>3</w:t>
            </w:r>
            <w:r w:rsidRPr="00B11B68">
              <w:rPr>
                <w:rFonts w:ascii="Arial" w:hAnsi="Arial" w:cs="Arial"/>
                <w:sz w:val="18"/>
                <w:lang w:eastAsia="zh-CN"/>
              </w:rPr>
              <w:t>)</w:t>
            </w:r>
          </w:p>
        </w:tc>
      </w:tr>
      <w:tr w:rsidR="00D808CB" w:rsidRPr="00B85562" w14:paraId="45FBCEFA" w14:textId="77777777" w:rsidTr="001313A6">
        <w:trPr>
          <w:trHeight w:val="336"/>
        </w:trPr>
        <w:tc>
          <w:tcPr>
            <w:tcW w:w="1207" w:type="dxa"/>
          </w:tcPr>
          <w:p w14:paraId="5A907B96" w14:textId="77777777" w:rsidR="00D808CB" w:rsidRPr="00B11B68" w:rsidRDefault="00D808CB" w:rsidP="001313A6">
            <w:pPr>
              <w:rPr>
                <w:rFonts w:ascii="Arial" w:hAnsi="Arial" w:cs="Arial"/>
                <w:sz w:val="18"/>
                <w:lang w:eastAsia="zh-CN"/>
              </w:rPr>
            </w:pPr>
            <w:r w:rsidRPr="00B11B68">
              <w:rPr>
                <w:rFonts w:ascii="Arial" w:hAnsi="Arial" w:cs="Arial"/>
                <w:sz w:val="18"/>
                <w:lang w:eastAsia="zh-CN"/>
              </w:rPr>
              <w:t>5.12</w:t>
            </w:r>
          </w:p>
        </w:tc>
        <w:tc>
          <w:tcPr>
            <w:tcW w:w="756" w:type="dxa"/>
          </w:tcPr>
          <w:p w14:paraId="73E215B0" w14:textId="77777777" w:rsidR="00D808CB" w:rsidRPr="00B11B68" w:rsidRDefault="00D808CB" w:rsidP="001313A6">
            <w:pPr>
              <w:rPr>
                <w:rFonts w:ascii="Arial" w:hAnsi="Arial" w:cs="Arial"/>
                <w:sz w:val="18"/>
                <w:lang w:val="en-US" w:eastAsia="zh-CN"/>
              </w:rPr>
            </w:pPr>
            <w:r w:rsidRPr="00B11B68">
              <w:rPr>
                <w:rFonts w:ascii="Arial" w:hAnsi="Arial" w:cs="Arial"/>
                <w:sz w:val="18"/>
                <w:lang w:val="en-US" w:eastAsia="zh-CN"/>
              </w:rPr>
              <w:t>-</w:t>
            </w:r>
          </w:p>
        </w:tc>
        <w:tc>
          <w:tcPr>
            <w:tcW w:w="936" w:type="dxa"/>
          </w:tcPr>
          <w:p w14:paraId="4366E5DE" w14:textId="77777777" w:rsidR="00D808CB" w:rsidRPr="00B11B68" w:rsidRDefault="00D808CB" w:rsidP="001313A6">
            <w:pPr>
              <w:rPr>
                <w:rFonts w:ascii="Arial" w:hAnsi="Arial" w:cs="Arial"/>
                <w:sz w:val="18"/>
                <w:lang w:eastAsia="zh-CN"/>
              </w:rPr>
            </w:pPr>
            <w:r w:rsidRPr="00B11B68">
              <w:rPr>
                <w:rFonts w:ascii="Arial" w:hAnsi="Arial" w:cs="Arial"/>
                <w:sz w:val="18"/>
                <w:lang w:eastAsia="zh-CN"/>
              </w:rPr>
              <w:t>-</w:t>
            </w:r>
          </w:p>
        </w:tc>
        <w:tc>
          <w:tcPr>
            <w:tcW w:w="2450" w:type="dxa"/>
          </w:tcPr>
          <w:p w14:paraId="5D8D42E6" w14:textId="77777777" w:rsidR="00D808CB" w:rsidRPr="00B11B68" w:rsidRDefault="00D808CB" w:rsidP="001313A6">
            <w:pPr>
              <w:rPr>
                <w:rFonts w:ascii="Arial" w:hAnsi="Arial" w:cs="Arial"/>
                <w:sz w:val="18"/>
                <w:lang w:eastAsia="zh-CN"/>
              </w:rPr>
            </w:pPr>
            <w:r w:rsidRPr="00B11B68">
              <w:rPr>
                <w:rFonts w:ascii="Arial" w:hAnsi="Arial" w:cs="Arial"/>
                <w:sz w:val="18"/>
                <w:lang w:eastAsia="zh-CN"/>
              </w:rPr>
              <w:t>117.76 (23)</w:t>
            </w:r>
          </w:p>
        </w:tc>
        <w:tc>
          <w:tcPr>
            <w:tcW w:w="1874" w:type="dxa"/>
          </w:tcPr>
          <w:p w14:paraId="0F4C55D0" w14:textId="77777777" w:rsidR="00D808CB" w:rsidRPr="00B11B68" w:rsidRDefault="00D808CB" w:rsidP="001313A6">
            <w:pPr>
              <w:rPr>
                <w:rFonts w:ascii="Arial" w:hAnsi="Arial" w:cs="Arial"/>
                <w:sz w:val="18"/>
                <w:lang w:eastAsia="zh-CN"/>
              </w:rPr>
            </w:pPr>
            <w:r w:rsidRPr="00B11B68">
              <w:rPr>
                <w:rFonts w:ascii="Arial" w:hAnsi="Arial" w:cs="Arial"/>
                <w:sz w:val="18"/>
                <w:lang w:eastAsia="zh-CN"/>
              </w:rPr>
              <w:t>5.12 (1)</w:t>
            </w:r>
          </w:p>
        </w:tc>
        <w:tc>
          <w:tcPr>
            <w:tcW w:w="1860" w:type="dxa"/>
          </w:tcPr>
          <w:p w14:paraId="7E84C162" w14:textId="77777777" w:rsidR="00D808CB" w:rsidRPr="00B11B68" w:rsidRDefault="00D808CB" w:rsidP="001313A6">
            <w:pPr>
              <w:rPr>
                <w:rFonts w:ascii="Arial" w:hAnsi="Arial" w:cs="Arial"/>
                <w:sz w:val="18"/>
                <w:lang w:eastAsia="zh-CN"/>
              </w:rPr>
            </w:pPr>
            <w:r w:rsidRPr="00B11B68">
              <w:rPr>
                <w:rFonts w:ascii="Arial" w:hAnsi="Arial" w:cs="Arial"/>
                <w:sz w:val="18"/>
                <w:lang w:eastAsia="zh-CN"/>
              </w:rPr>
              <w:t>10.24 (2)</w:t>
            </w:r>
          </w:p>
        </w:tc>
      </w:tr>
      <w:tr w:rsidR="00D808CB" w:rsidRPr="00B85562" w14:paraId="66618E14" w14:textId="77777777" w:rsidTr="001313A6">
        <w:trPr>
          <w:trHeight w:val="336"/>
        </w:trPr>
        <w:tc>
          <w:tcPr>
            <w:tcW w:w="1207" w:type="dxa"/>
            <w:hideMark/>
          </w:tcPr>
          <w:p w14:paraId="684028C1"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10.24</w:t>
            </w:r>
          </w:p>
        </w:tc>
        <w:tc>
          <w:tcPr>
            <w:tcW w:w="756" w:type="dxa"/>
            <w:hideMark/>
          </w:tcPr>
          <w:p w14:paraId="00686F73" w14:textId="77777777" w:rsidR="00D808CB" w:rsidRPr="00B11B68" w:rsidRDefault="00D808CB" w:rsidP="001313A6">
            <w:pPr>
              <w:rPr>
                <w:rFonts w:ascii="Arial" w:hAnsi="Arial" w:cs="Arial"/>
                <w:sz w:val="18"/>
                <w:lang w:val="en-US" w:eastAsia="zh-CN"/>
              </w:rPr>
            </w:pPr>
            <w:r w:rsidRPr="00B11B68">
              <w:rPr>
                <w:rFonts w:ascii="Arial" w:hAnsi="Arial" w:cs="Arial"/>
                <w:sz w:val="18"/>
                <w:lang w:val="en-US" w:eastAsia="zh-CN"/>
              </w:rPr>
              <w:t>-</w:t>
            </w:r>
          </w:p>
        </w:tc>
        <w:tc>
          <w:tcPr>
            <w:tcW w:w="936" w:type="dxa"/>
            <w:hideMark/>
          </w:tcPr>
          <w:p w14:paraId="41884181"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w:t>
            </w:r>
          </w:p>
        </w:tc>
        <w:tc>
          <w:tcPr>
            <w:tcW w:w="2450" w:type="dxa"/>
            <w:hideMark/>
          </w:tcPr>
          <w:p w14:paraId="2345CA95"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235.52 (23)</w:t>
            </w:r>
          </w:p>
        </w:tc>
        <w:tc>
          <w:tcPr>
            <w:tcW w:w="1874" w:type="dxa"/>
            <w:hideMark/>
          </w:tcPr>
          <w:p w14:paraId="47797A63"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10.24 (1)</w:t>
            </w:r>
          </w:p>
        </w:tc>
        <w:tc>
          <w:tcPr>
            <w:tcW w:w="1860" w:type="dxa"/>
          </w:tcPr>
          <w:p w14:paraId="1A591404" w14:textId="77777777" w:rsidR="00D808CB" w:rsidRPr="00B11B68" w:rsidRDefault="00D808CB" w:rsidP="001313A6">
            <w:pPr>
              <w:rPr>
                <w:rFonts w:ascii="Arial" w:hAnsi="Arial" w:cs="Arial"/>
                <w:sz w:val="18"/>
                <w:lang w:eastAsia="zh-CN"/>
              </w:rPr>
            </w:pPr>
            <w:r w:rsidRPr="00B11B68">
              <w:rPr>
                <w:rFonts w:ascii="Arial" w:hAnsi="Arial" w:cs="Arial"/>
                <w:sz w:val="18"/>
                <w:lang w:eastAsia="zh-CN"/>
              </w:rPr>
              <w:t>20.48 (2)</w:t>
            </w:r>
          </w:p>
        </w:tc>
      </w:tr>
      <w:tr w:rsidR="00D808CB" w:rsidRPr="00B85562" w14:paraId="3AA67DA8" w14:textId="77777777" w:rsidTr="001313A6">
        <w:trPr>
          <w:trHeight w:val="673"/>
        </w:trPr>
        <w:tc>
          <w:tcPr>
            <w:tcW w:w="1207" w:type="dxa"/>
            <w:vMerge w:val="restart"/>
            <w:hideMark/>
          </w:tcPr>
          <w:p w14:paraId="4794910C"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20.48 ≤</w:t>
            </w:r>
            <w:r w:rsidRPr="00CA7017">
              <w:rPr>
                <w:rFonts w:cs="Arial"/>
              </w:rPr>
              <w:t xml:space="preserve"> </w:t>
            </w:r>
            <w:r w:rsidRPr="00B11B68">
              <w:rPr>
                <w:rFonts w:ascii="Arial" w:hAnsi="Arial" w:cs="Arial"/>
                <w:sz w:val="18"/>
                <w:lang w:eastAsia="zh-CN"/>
              </w:rPr>
              <w:t xml:space="preserve"> eDRX_IDLE cycle length ≤10485.76</w:t>
            </w:r>
          </w:p>
        </w:tc>
        <w:tc>
          <w:tcPr>
            <w:tcW w:w="756" w:type="dxa"/>
            <w:hideMark/>
          </w:tcPr>
          <w:p w14:paraId="298D55E6"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0.32</w:t>
            </w:r>
          </w:p>
        </w:tc>
        <w:tc>
          <w:tcPr>
            <w:tcW w:w="936" w:type="dxa"/>
            <w:hideMark/>
          </w:tcPr>
          <w:p w14:paraId="2E25188B"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w:t>
            </w:r>
            <w:r>
              <w:rPr>
                <w:rFonts w:ascii="Arial" w:hAnsi="Arial" w:cs="Arial"/>
                <w:sz w:val="18"/>
                <w:lang w:val="en-US" w:eastAsia="zh-CN"/>
              </w:rPr>
              <w:t>[</w:t>
            </w:r>
            <w:r w:rsidRPr="00B11B68">
              <w:rPr>
                <w:rFonts w:ascii="Arial" w:hAnsi="Arial" w:cs="Arial"/>
                <w:sz w:val="18"/>
                <w:lang w:eastAsia="zh-CN"/>
              </w:rPr>
              <w:t>1.28</w:t>
            </w:r>
            <w:r>
              <w:rPr>
                <w:rFonts w:ascii="Arial" w:hAnsi="Arial" w:cs="Arial"/>
                <w:sz w:val="18"/>
                <w:lang w:eastAsia="zh-CN"/>
              </w:rPr>
              <w:t>]</w:t>
            </w:r>
            <w:r w:rsidRPr="00B11B68">
              <w:rPr>
                <w:rFonts w:ascii="Arial" w:hAnsi="Arial" w:cs="Arial"/>
                <w:sz w:val="18"/>
                <w:lang w:eastAsia="zh-CN"/>
              </w:rPr>
              <w:t xml:space="preserve"> (</w:t>
            </w:r>
            <w:r>
              <w:rPr>
                <w:rFonts w:ascii="Arial" w:hAnsi="Arial" w:cs="Arial"/>
                <w:sz w:val="18"/>
                <w:lang w:eastAsia="zh-CN"/>
              </w:rPr>
              <w:t>[</w:t>
            </w:r>
            <w:r w:rsidRPr="00B11B68">
              <w:rPr>
                <w:rFonts w:ascii="Arial" w:hAnsi="Arial" w:cs="Arial"/>
                <w:sz w:val="18"/>
                <w:lang w:eastAsia="zh-CN"/>
              </w:rPr>
              <w:t>1</w:t>
            </w:r>
            <w:r>
              <w:rPr>
                <w:rFonts w:ascii="Arial" w:hAnsi="Arial" w:cs="Arial"/>
                <w:sz w:val="18"/>
                <w:lang w:eastAsia="zh-CN"/>
              </w:rPr>
              <w:t>]</w:t>
            </w:r>
            <w:r w:rsidRPr="00B11B68">
              <w:rPr>
                <w:rFonts w:ascii="Arial" w:hAnsi="Arial" w:cs="Arial"/>
                <w:sz w:val="18"/>
                <w:lang w:eastAsia="zh-CN"/>
              </w:rPr>
              <w:t>)</w:t>
            </w:r>
          </w:p>
        </w:tc>
        <w:tc>
          <w:tcPr>
            <w:tcW w:w="2450" w:type="dxa"/>
            <w:vMerge w:val="restart"/>
            <w:hideMark/>
          </w:tcPr>
          <w:p w14:paraId="602B6AFB" w14:textId="77777777" w:rsidR="00D808CB" w:rsidRPr="00B11B68" w:rsidRDefault="00D808CB" w:rsidP="001313A6">
            <w:pPr>
              <w:rPr>
                <w:rFonts w:ascii="Arial" w:hAnsi="Arial" w:cs="Arial"/>
                <w:sz w:val="18"/>
                <w:lang w:val="en-US" w:eastAsia="zh-CN"/>
              </w:rPr>
            </w:pPr>
            <m:oMathPara>
              <m:oMathParaPr>
                <m:jc m:val="centerGroup"/>
              </m:oMathParaPr>
              <m:oMath>
                <m:r>
                  <w:rPr>
                    <w:rFonts w:ascii="Cambria Math" w:hAnsi="Cambria Math" w:cs="Arial"/>
                    <w:sz w:val="18"/>
                    <w:lang w:val="en-US" w:eastAsia="zh-CN"/>
                  </w:rPr>
                  <m:t>eDRX</m:t>
                </m:r>
                <m:r>
                  <m:rPr>
                    <m:sty m:val="p"/>
                  </m:rPr>
                  <w:rPr>
                    <w:rFonts w:ascii="Cambria Math" w:hAnsi="Cambria Math" w:cs="Arial"/>
                    <w:sz w:val="18"/>
                    <w:lang w:val="en-US" w:eastAsia="zh-CN"/>
                  </w:rPr>
                  <m:t>_</m:t>
                </m:r>
                <m:r>
                  <w:rPr>
                    <w:rFonts w:ascii="Cambria Math" w:hAnsi="Cambria Math" w:cs="Arial"/>
                    <w:sz w:val="18"/>
                    <w:lang w:val="en-US" w:eastAsia="zh-CN"/>
                  </w:rPr>
                  <m:t>cycl</m:t>
                </m:r>
                <m:r>
                  <m:rPr>
                    <m:sty m:val="p"/>
                  </m:rPr>
                  <w:rPr>
                    <w:rFonts w:ascii="Cambria Math" w:hAnsi="Cambria Math" w:cs="Arial"/>
                    <w:sz w:val="18"/>
                    <w:lang w:val="en-US" w:eastAsia="zh-CN"/>
                  </w:rPr>
                  <m:t>e_</m:t>
                </m:r>
                <m:r>
                  <w:rPr>
                    <w:rFonts w:ascii="Cambria Math" w:hAnsi="Cambria Math" w:cs="Arial"/>
                    <w:sz w:val="18"/>
                    <w:lang w:val="en-US" w:eastAsia="zh-CN"/>
                  </w:rPr>
                  <m:t>length×</m:t>
                </m:r>
                <m:d>
                  <m:dPr>
                    <m:begChr m:val="⌈"/>
                    <m:endChr m:val="⌉"/>
                    <m:ctrlPr>
                      <w:rPr>
                        <w:rFonts w:ascii="Cambria Math" w:hAnsi="Cambria Math" w:cs="Arial"/>
                        <w:i/>
                        <w:sz w:val="18"/>
                        <w:lang w:val="en-US" w:eastAsia="zh-CN"/>
                      </w:rPr>
                    </m:ctrlPr>
                  </m:dPr>
                  <m:e>
                    <m:f>
                      <m:fPr>
                        <m:ctrlPr>
                          <w:rPr>
                            <w:rFonts w:ascii="Cambria Math" w:hAnsi="Cambria Math" w:cs="Arial"/>
                            <w:i/>
                            <w:sz w:val="18"/>
                            <w:lang w:val="en-US" w:eastAsia="zh-CN"/>
                          </w:rPr>
                        </m:ctrlPr>
                      </m:fPr>
                      <m:num>
                        <m:r>
                          <w:rPr>
                            <w:rFonts w:ascii="Cambria Math" w:hAnsi="Cambria Math" w:cs="Arial"/>
                            <w:sz w:val="18"/>
                            <w:lang w:val="en-US" w:eastAsia="zh-CN"/>
                          </w:rPr>
                          <m:t>23</m:t>
                        </m:r>
                      </m:num>
                      <m:den>
                        <m:r>
                          <w:rPr>
                            <w:rFonts w:ascii="Cambria Math" w:hAnsi="Cambria Math" w:cs="Arial"/>
                            <w:sz w:val="18"/>
                            <w:lang w:val="en-US" w:eastAsia="zh-CN"/>
                          </w:rPr>
                          <m:t>PTW/DRX_cycle_length</m:t>
                        </m:r>
                      </m:den>
                    </m:f>
                  </m:e>
                </m:d>
              </m:oMath>
            </m:oMathPara>
          </w:p>
          <w:p w14:paraId="7CB3FAE4" w14:textId="77777777" w:rsidR="00D808CB" w:rsidRPr="00B11B68" w:rsidRDefault="00D808CB" w:rsidP="001313A6">
            <w:pPr>
              <w:rPr>
                <w:rFonts w:ascii="Arial" w:hAnsi="Arial" w:cs="Arial"/>
                <w:sz w:val="18"/>
                <w:lang w:val="en-US" w:eastAsia="zh-CN"/>
              </w:rPr>
            </w:pPr>
            <w:r w:rsidRPr="00B11B68">
              <w:rPr>
                <w:rFonts w:ascii="Arial" w:hAnsi="Arial" w:cs="Arial"/>
                <w:sz w:val="18"/>
                <w:lang w:val="en-US" w:eastAsia="zh-CN"/>
              </w:rPr>
              <w:t>(23)</w:t>
            </w:r>
          </w:p>
        </w:tc>
        <w:tc>
          <w:tcPr>
            <w:tcW w:w="1874" w:type="dxa"/>
            <w:hideMark/>
          </w:tcPr>
          <w:p w14:paraId="1FAD099F"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0.32</w:t>
            </w:r>
            <w:r w:rsidRPr="002615F9">
              <w:rPr>
                <w:rFonts w:ascii="Arial" w:eastAsiaTheme="minorEastAsia" w:hAnsi="Arial"/>
                <w:sz w:val="18"/>
              </w:rPr>
              <w:t xml:space="preserve"> x M2</w:t>
            </w:r>
            <w:r w:rsidRPr="00B11B68">
              <w:rPr>
                <w:rFonts w:ascii="Arial" w:hAnsi="Arial" w:cs="Arial"/>
                <w:sz w:val="18"/>
                <w:lang w:eastAsia="zh-CN"/>
              </w:rPr>
              <w:t xml:space="preserve"> (1</w:t>
            </w:r>
            <w:r w:rsidRPr="002615F9">
              <w:rPr>
                <w:rFonts w:ascii="Arial" w:eastAsiaTheme="minorEastAsia" w:hAnsi="Arial"/>
                <w:sz w:val="18"/>
              </w:rPr>
              <w:t xml:space="preserve"> x M2</w:t>
            </w:r>
            <w:r w:rsidRPr="00B11B68">
              <w:rPr>
                <w:rFonts w:ascii="Arial" w:hAnsi="Arial" w:cs="Arial"/>
                <w:sz w:val="18"/>
                <w:lang w:eastAsia="zh-CN"/>
              </w:rPr>
              <w:t>)</w:t>
            </w:r>
          </w:p>
        </w:tc>
        <w:tc>
          <w:tcPr>
            <w:tcW w:w="1860" w:type="dxa"/>
          </w:tcPr>
          <w:p w14:paraId="4C56D7ED" w14:textId="77777777" w:rsidR="00D808CB" w:rsidRDefault="00D808CB" w:rsidP="001313A6">
            <w:pPr>
              <w:rPr>
                <w:rFonts w:ascii="Arial" w:hAnsi="Arial" w:cs="Arial"/>
                <w:sz w:val="18"/>
                <w:lang w:eastAsia="zh-CN"/>
              </w:rPr>
            </w:pPr>
            <w:r w:rsidRPr="000A79A0">
              <w:rPr>
                <w:rFonts w:ascii="Arial" w:eastAsiaTheme="minorEastAsia" w:hAnsi="Arial"/>
                <w:sz w:val="18"/>
              </w:rPr>
              <w:t>0.64 x M2 (2 x M2)</w:t>
            </w:r>
          </w:p>
        </w:tc>
      </w:tr>
      <w:tr w:rsidR="00D808CB" w:rsidRPr="00B85562" w14:paraId="69C5B73F" w14:textId="77777777" w:rsidTr="001313A6">
        <w:trPr>
          <w:trHeight w:val="336"/>
        </w:trPr>
        <w:tc>
          <w:tcPr>
            <w:tcW w:w="1207" w:type="dxa"/>
            <w:vMerge/>
            <w:hideMark/>
          </w:tcPr>
          <w:p w14:paraId="202F78B7" w14:textId="77777777" w:rsidR="00D808CB" w:rsidRPr="00B11B68" w:rsidRDefault="00D808CB" w:rsidP="001313A6">
            <w:pPr>
              <w:rPr>
                <w:rFonts w:ascii="Arial" w:hAnsi="Arial" w:cs="Arial"/>
                <w:sz w:val="18"/>
                <w:lang w:val="en-US" w:eastAsia="zh-CN"/>
              </w:rPr>
            </w:pPr>
          </w:p>
        </w:tc>
        <w:tc>
          <w:tcPr>
            <w:tcW w:w="756" w:type="dxa"/>
            <w:hideMark/>
          </w:tcPr>
          <w:p w14:paraId="5836C06C"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0.64</w:t>
            </w:r>
          </w:p>
        </w:tc>
        <w:tc>
          <w:tcPr>
            <w:tcW w:w="936" w:type="dxa"/>
            <w:hideMark/>
          </w:tcPr>
          <w:p w14:paraId="4780D510"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w:t>
            </w:r>
            <w:r>
              <w:rPr>
                <w:rFonts w:ascii="Arial" w:hAnsi="Arial" w:cs="Arial"/>
                <w:sz w:val="18"/>
                <w:lang w:val="en-US" w:eastAsia="zh-CN"/>
              </w:rPr>
              <w:t>[</w:t>
            </w:r>
            <w:r w:rsidRPr="00B11B68">
              <w:rPr>
                <w:rFonts w:ascii="Arial" w:hAnsi="Arial" w:cs="Arial"/>
                <w:sz w:val="18"/>
                <w:lang w:eastAsia="zh-CN"/>
              </w:rPr>
              <w:t>1.28</w:t>
            </w:r>
            <w:r>
              <w:rPr>
                <w:rFonts w:ascii="Arial" w:hAnsi="Arial" w:cs="Arial"/>
                <w:sz w:val="18"/>
                <w:lang w:eastAsia="zh-CN"/>
              </w:rPr>
              <w:t>]</w:t>
            </w:r>
            <w:r w:rsidRPr="00B11B68">
              <w:rPr>
                <w:rFonts w:ascii="Arial" w:hAnsi="Arial" w:cs="Arial"/>
                <w:sz w:val="18"/>
                <w:lang w:eastAsia="zh-CN"/>
              </w:rPr>
              <w:t xml:space="preserve"> (</w:t>
            </w:r>
            <w:r>
              <w:rPr>
                <w:rFonts w:ascii="Arial" w:hAnsi="Arial" w:cs="Arial"/>
                <w:sz w:val="18"/>
                <w:lang w:eastAsia="zh-CN"/>
              </w:rPr>
              <w:t>[</w:t>
            </w:r>
            <w:r w:rsidRPr="00B11B68">
              <w:rPr>
                <w:rFonts w:ascii="Arial" w:hAnsi="Arial" w:cs="Arial"/>
                <w:sz w:val="18"/>
                <w:lang w:eastAsia="zh-CN"/>
              </w:rPr>
              <w:t>1</w:t>
            </w:r>
            <w:r>
              <w:rPr>
                <w:rFonts w:ascii="Arial" w:hAnsi="Arial" w:cs="Arial"/>
                <w:sz w:val="18"/>
                <w:lang w:eastAsia="zh-CN"/>
              </w:rPr>
              <w:t>]</w:t>
            </w:r>
            <w:r w:rsidRPr="00B11B68">
              <w:rPr>
                <w:rFonts w:ascii="Arial" w:hAnsi="Arial" w:cs="Arial"/>
                <w:sz w:val="18"/>
                <w:lang w:eastAsia="zh-CN"/>
              </w:rPr>
              <w:t>)</w:t>
            </w:r>
          </w:p>
        </w:tc>
        <w:tc>
          <w:tcPr>
            <w:tcW w:w="2450" w:type="dxa"/>
            <w:vMerge/>
            <w:hideMark/>
          </w:tcPr>
          <w:p w14:paraId="347A9AE2" w14:textId="77777777" w:rsidR="00D808CB" w:rsidRPr="00B11B68" w:rsidRDefault="00D808CB" w:rsidP="001313A6">
            <w:pPr>
              <w:rPr>
                <w:rFonts w:ascii="Arial" w:hAnsi="Arial" w:cs="Arial"/>
                <w:sz w:val="18"/>
                <w:lang w:val="en-US" w:eastAsia="zh-CN"/>
              </w:rPr>
            </w:pPr>
          </w:p>
        </w:tc>
        <w:tc>
          <w:tcPr>
            <w:tcW w:w="1874" w:type="dxa"/>
            <w:hideMark/>
          </w:tcPr>
          <w:p w14:paraId="5E94A24C"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0.64 (1)</w:t>
            </w:r>
          </w:p>
        </w:tc>
        <w:tc>
          <w:tcPr>
            <w:tcW w:w="1860" w:type="dxa"/>
          </w:tcPr>
          <w:p w14:paraId="0723216B" w14:textId="77777777" w:rsidR="00D808CB" w:rsidRPr="00B11B68" w:rsidRDefault="00D808CB" w:rsidP="001313A6">
            <w:pPr>
              <w:rPr>
                <w:rFonts w:ascii="Arial" w:hAnsi="Arial" w:cs="Arial"/>
                <w:sz w:val="18"/>
                <w:lang w:eastAsia="zh-CN"/>
              </w:rPr>
            </w:pPr>
            <w:r w:rsidRPr="00B11B68">
              <w:rPr>
                <w:rFonts w:ascii="Arial" w:hAnsi="Arial" w:cs="Arial"/>
                <w:sz w:val="18"/>
                <w:lang w:eastAsia="zh-CN"/>
              </w:rPr>
              <w:t>1.28 (2)</w:t>
            </w:r>
          </w:p>
        </w:tc>
      </w:tr>
      <w:tr w:rsidR="00D808CB" w:rsidRPr="00B85562" w14:paraId="316D389F" w14:textId="77777777" w:rsidTr="001313A6">
        <w:trPr>
          <w:trHeight w:val="336"/>
        </w:trPr>
        <w:tc>
          <w:tcPr>
            <w:tcW w:w="1207" w:type="dxa"/>
            <w:vMerge/>
            <w:hideMark/>
          </w:tcPr>
          <w:p w14:paraId="6113E0A0" w14:textId="77777777" w:rsidR="00D808CB" w:rsidRPr="00B11B68" w:rsidRDefault="00D808CB" w:rsidP="001313A6">
            <w:pPr>
              <w:rPr>
                <w:rFonts w:ascii="Arial" w:hAnsi="Arial" w:cs="Arial"/>
                <w:sz w:val="18"/>
                <w:lang w:val="en-US" w:eastAsia="zh-CN"/>
              </w:rPr>
            </w:pPr>
          </w:p>
        </w:tc>
        <w:tc>
          <w:tcPr>
            <w:tcW w:w="756" w:type="dxa"/>
            <w:hideMark/>
          </w:tcPr>
          <w:p w14:paraId="529D33D0"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1.28</w:t>
            </w:r>
          </w:p>
        </w:tc>
        <w:tc>
          <w:tcPr>
            <w:tcW w:w="936" w:type="dxa"/>
            <w:hideMark/>
          </w:tcPr>
          <w:p w14:paraId="73D99CA8"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w:t>
            </w:r>
            <w:r>
              <w:rPr>
                <w:rFonts w:ascii="Arial" w:hAnsi="Arial" w:cs="Arial"/>
                <w:sz w:val="18"/>
                <w:lang w:eastAsia="zh-CN"/>
              </w:rPr>
              <w:t>[</w:t>
            </w:r>
            <w:r w:rsidRPr="00B11B68">
              <w:rPr>
                <w:rFonts w:ascii="Arial" w:hAnsi="Arial" w:cs="Arial"/>
                <w:sz w:val="18"/>
                <w:lang w:eastAsia="zh-CN"/>
              </w:rPr>
              <w:t>2.56</w:t>
            </w:r>
            <w:r>
              <w:rPr>
                <w:rFonts w:ascii="Arial" w:hAnsi="Arial" w:cs="Arial"/>
                <w:sz w:val="18"/>
                <w:lang w:eastAsia="zh-CN"/>
              </w:rPr>
              <w:t>]</w:t>
            </w:r>
            <w:r w:rsidRPr="00B11B68">
              <w:rPr>
                <w:rFonts w:ascii="Arial" w:hAnsi="Arial" w:cs="Arial"/>
                <w:sz w:val="18"/>
                <w:lang w:eastAsia="zh-CN"/>
              </w:rPr>
              <w:t xml:space="preserve"> (</w:t>
            </w:r>
            <w:r>
              <w:rPr>
                <w:rFonts w:ascii="Arial" w:hAnsi="Arial" w:cs="Arial"/>
                <w:sz w:val="18"/>
                <w:lang w:eastAsia="zh-CN"/>
              </w:rPr>
              <w:t>[</w:t>
            </w:r>
            <w:r w:rsidRPr="00B11B68">
              <w:rPr>
                <w:rFonts w:ascii="Arial" w:hAnsi="Arial" w:cs="Arial"/>
                <w:sz w:val="18"/>
                <w:lang w:eastAsia="zh-CN"/>
              </w:rPr>
              <w:t>2</w:t>
            </w:r>
            <w:r>
              <w:rPr>
                <w:rFonts w:ascii="Arial" w:hAnsi="Arial" w:cs="Arial"/>
                <w:sz w:val="18"/>
                <w:lang w:eastAsia="zh-CN"/>
              </w:rPr>
              <w:t>]</w:t>
            </w:r>
            <w:r w:rsidRPr="00B11B68">
              <w:rPr>
                <w:rFonts w:ascii="Arial" w:hAnsi="Arial" w:cs="Arial"/>
                <w:sz w:val="18"/>
                <w:lang w:eastAsia="zh-CN"/>
              </w:rPr>
              <w:t>)</w:t>
            </w:r>
          </w:p>
        </w:tc>
        <w:tc>
          <w:tcPr>
            <w:tcW w:w="2450" w:type="dxa"/>
            <w:vMerge/>
            <w:hideMark/>
          </w:tcPr>
          <w:p w14:paraId="7E5BE106" w14:textId="77777777" w:rsidR="00D808CB" w:rsidRPr="00B11B68" w:rsidRDefault="00D808CB" w:rsidP="001313A6">
            <w:pPr>
              <w:rPr>
                <w:rFonts w:ascii="Arial" w:hAnsi="Arial" w:cs="Arial"/>
                <w:sz w:val="18"/>
                <w:lang w:val="en-US" w:eastAsia="zh-CN"/>
              </w:rPr>
            </w:pPr>
          </w:p>
        </w:tc>
        <w:tc>
          <w:tcPr>
            <w:tcW w:w="1874" w:type="dxa"/>
            <w:hideMark/>
          </w:tcPr>
          <w:p w14:paraId="25D49718"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1.28 (1)</w:t>
            </w:r>
          </w:p>
        </w:tc>
        <w:tc>
          <w:tcPr>
            <w:tcW w:w="1860" w:type="dxa"/>
          </w:tcPr>
          <w:p w14:paraId="67B54D8E" w14:textId="77777777" w:rsidR="00D808CB" w:rsidRPr="00B11B68" w:rsidRDefault="00D808CB" w:rsidP="001313A6">
            <w:pPr>
              <w:rPr>
                <w:rFonts w:ascii="Arial" w:hAnsi="Arial" w:cs="Arial"/>
                <w:sz w:val="18"/>
                <w:lang w:eastAsia="zh-CN"/>
              </w:rPr>
            </w:pPr>
            <w:r w:rsidRPr="00B11B68">
              <w:rPr>
                <w:rFonts w:ascii="Arial" w:hAnsi="Arial" w:cs="Arial"/>
                <w:sz w:val="18"/>
                <w:lang w:eastAsia="zh-CN"/>
              </w:rPr>
              <w:t>2.56 (2)</w:t>
            </w:r>
          </w:p>
        </w:tc>
      </w:tr>
      <w:tr w:rsidR="00D808CB" w:rsidRPr="00B85562" w14:paraId="6838335B" w14:textId="77777777" w:rsidTr="001313A6">
        <w:trPr>
          <w:trHeight w:val="336"/>
        </w:trPr>
        <w:tc>
          <w:tcPr>
            <w:tcW w:w="1207" w:type="dxa"/>
            <w:vMerge/>
            <w:hideMark/>
          </w:tcPr>
          <w:p w14:paraId="46220527" w14:textId="77777777" w:rsidR="00D808CB" w:rsidRPr="00B11B68" w:rsidRDefault="00D808CB" w:rsidP="001313A6">
            <w:pPr>
              <w:rPr>
                <w:rFonts w:ascii="Arial" w:hAnsi="Arial" w:cs="Arial"/>
                <w:sz w:val="18"/>
                <w:lang w:val="en-US" w:eastAsia="zh-CN"/>
              </w:rPr>
            </w:pPr>
          </w:p>
        </w:tc>
        <w:tc>
          <w:tcPr>
            <w:tcW w:w="756" w:type="dxa"/>
            <w:hideMark/>
          </w:tcPr>
          <w:p w14:paraId="222C7765"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2.56</w:t>
            </w:r>
          </w:p>
        </w:tc>
        <w:tc>
          <w:tcPr>
            <w:tcW w:w="936" w:type="dxa"/>
            <w:hideMark/>
          </w:tcPr>
          <w:p w14:paraId="1EED2972"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w:t>
            </w:r>
            <w:r>
              <w:rPr>
                <w:rFonts w:ascii="Arial" w:hAnsi="Arial" w:cs="Arial"/>
                <w:sz w:val="18"/>
                <w:lang w:eastAsia="zh-CN"/>
              </w:rPr>
              <w:t>[</w:t>
            </w:r>
            <w:r w:rsidRPr="00B11B68">
              <w:rPr>
                <w:rFonts w:ascii="Arial" w:hAnsi="Arial" w:cs="Arial"/>
                <w:sz w:val="18"/>
                <w:lang w:eastAsia="zh-CN"/>
              </w:rPr>
              <w:t>5.12</w:t>
            </w:r>
            <w:r>
              <w:rPr>
                <w:rFonts w:ascii="Arial" w:hAnsi="Arial" w:cs="Arial"/>
                <w:sz w:val="18"/>
                <w:lang w:eastAsia="zh-CN"/>
              </w:rPr>
              <w:t>]</w:t>
            </w:r>
            <w:r w:rsidRPr="00B11B68">
              <w:rPr>
                <w:rFonts w:ascii="Arial" w:hAnsi="Arial" w:cs="Arial"/>
                <w:sz w:val="18"/>
                <w:lang w:eastAsia="zh-CN"/>
              </w:rPr>
              <w:t xml:space="preserve"> (</w:t>
            </w:r>
            <w:r>
              <w:rPr>
                <w:rFonts w:ascii="Arial" w:hAnsi="Arial" w:cs="Arial"/>
                <w:sz w:val="18"/>
                <w:lang w:eastAsia="zh-CN"/>
              </w:rPr>
              <w:t>[</w:t>
            </w:r>
            <w:r w:rsidRPr="00B11B68">
              <w:rPr>
                <w:rFonts w:ascii="Arial" w:hAnsi="Arial" w:cs="Arial"/>
                <w:sz w:val="18"/>
                <w:lang w:eastAsia="zh-CN"/>
              </w:rPr>
              <w:t>4</w:t>
            </w:r>
            <w:r>
              <w:rPr>
                <w:rFonts w:ascii="Arial" w:hAnsi="Arial" w:cs="Arial"/>
                <w:sz w:val="18"/>
                <w:lang w:eastAsia="zh-CN"/>
              </w:rPr>
              <w:t>]</w:t>
            </w:r>
            <w:r w:rsidRPr="00B11B68">
              <w:rPr>
                <w:rFonts w:ascii="Arial" w:hAnsi="Arial" w:cs="Arial"/>
                <w:sz w:val="18"/>
                <w:lang w:eastAsia="zh-CN"/>
              </w:rPr>
              <w:t>)</w:t>
            </w:r>
          </w:p>
        </w:tc>
        <w:tc>
          <w:tcPr>
            <w:tcW w:w="2450" w:type="dxa"/>
            <w:vMerge/>
            <w:hideMark/>
          </w:tcPr>
          <w:p w14:paraId="0B5BC665" w14:textId="77777777" w:rsidR="00D808CB" w:rsidRPr="00B11B68" w:rsidRDefault="00D808CB" w:rsidP="001313A6">
            <w:pPr>
              <w:rPr>
                <w:rFonts w:ascii="Arial" w:hAnsi="Arial" w:cs="Arial"/>
                <w:sz w:val="18"/>
                <w:lang w:val="en-US" w:eastAsia="zh-CN"/>
              </w:rPr>
            </w:pPr>
          </w:p>
        </w:tc>
        <w:tc>
          <w:tcPr>
            <w:tcW w:w="1874" w:type="dxa"/>
            <w:hideMark/>
          </w:tcPr>
          <w:p w14:paraId="5AD6CB36" w14:textId="77777777" w:rsidR="00D808CB" w:rsidRPr="00B11B68" w:rsidRDefault="00D808CB" w:rsidP="001313A6">
            <w:pPr>
              <w:rPr>
                <w:rFonts w:ascii="Arial" w:hAnsi="Arial" w:cs="Arial"/>
                <w:sz w:val="18"/>
                <w:lang w:val="en-US" w:eastAsia="zh-CN"/>
              </w:rPr>
            </w:pPr>
            <w:r w:rsidRPr="00B11B68">
              <w:rPr>
                <w:rFonts w:ascii="Arial" w:hAnsi="Arial" w:cs="Arial"/>
                <w:sz w:val="18"/>
                <w:lang w:eastAsia="zh-CN"/>
              </w:rPr>
              <w:t>2.56 (1)</w:t>
            </w:r>
          </w:p>
        </w:tc>
        <w:tc>
          <w:tcPr>
            <w:tcW w:w="1860" w:type="dxa"/>
          </w:tcPr>
          <w:p w14:paraId="7D3EAB22" w14:textId="77777777" w:rsidR="00D808CB" w:rsidRPr="00B11B68" w:rsidRDefault="00D808CB" w:rsidP="001313A6">
            <w:pPr>
              <w:rPr>
                <w:rFonts w:ascii="Arial" w:hAnsi="Arial" w:cs="Arial"/>
                <w:sz w:val="18"/>
                <w:lang w:eastAsia="zh-CN"/>
              </w:rPr>
            </w:pPr>
            <w:r w:rsidRPr="00B11B68">
              <w:rPr>
                <w:rFonts w:ascii="Arial" w:hAnsi="Arial" w:cs="Arial"/>
                <w:sz w:val="18"/>
                <w:lang w:eastAsia="zh-CN"/>
              </w:rPr>
              <w:t>5.12 (2)</w:t>
            </w:r>
          </w:p>
        </w:tc>
      </w:tr>
      <w:tr w:rsidR="00D808CB" w:rsidRPr="00B85562" w14:paraId="67160F71" w14:textId="77777777" w:rsidTr="001313A6">
        <w:trPr>
          <w:trHeight w:val="336"/>
        </w:trPr>
        <w:tc>
          <w:tcPr>
            <w:tcW w:w="9083" w:type="dxa"/>
            <w:gridSpan w:val="6"/>
          </w:tcPr>
          <w:p w14:paraId="4F171B93" w14:textId="77777777" w:rsidR="00D808CB" w:rsidRPr="009C5807" w:rsidRDefault="00D808CB" w:rsidP="001313A6">
            <w:pPr>
              <w:pStyle w:val="TAN"/>
              <w:rPr>
                <w:snapToGrid w:val="0"/>
                <w:lang w:eastAsia="zh-CN"/>
              </w:rPr>
            </w:pPr>
            <w:r w:rsidRPr="009C5807">
              <w:rPr>
                <w:snapToGrid w:val="0"/>
                <w:lang w:eastAsia="zh-CN"/>
              </w:rPr>
              <w:t>Note 1</w:t>
            </w:r>
            <w:r w:rsidRPr="009C5807">
              <w:t>:</w:t>
            </w:r>
            <w:r w:rsidRPr="009C5807">
              <w:rPr>
                <w:lang w:val="en-US"/>
              </w:rPr>
              <w:tab/>
            </w:r>
            <w:r w:rsidRPr="000C5ADE">
              <w:rPr>
                <w:snapToGrid w:val="0"/>
                <w:lang w:eastAsia="zh-CN"/>
              </w:rPr>
              <w:t>The number of DRX cycles in this table is given for the DRX cycles within PTWs.</w:t>
            </w:r>
          </w:p>
          <w:p w14:paraId="4489B75C" w14:textId="77777777" w:rsidR="00D808CB" w:rsidRPr="009C5807" w:rsidRDefault="00D808CB" w:rsidP="001313A6">
            <w:pPr>
              <w:pStyle w:val="TAN"/>
              <w:rPr>
                <w:snapToGrid w:val="0"/>
                <w:lang w:eastAsia="zh-CN"/>
              </w:rPr>
            </w:pPr>
            <w:r w:rsidRPr="009C5807">
              <w:rPr>
                <w:snapToGrid w:val="0"/>
                <w:lang w:eastAsia="zh-CN"/>
              </w:rPr>
              <w:t xml:space="preserve">Note </w:t>
            </w:r>
            <w:r>
              <w:rPr>
                <w:snapToGrid w:val="0"/>
                <w:lang w:eastAsia="zh-CN"/>
              </w:rPr>
              <w:t>2</w:t>
            </w:r>
            <w:r w:rsidRPr="009C5807">
              <w:t>:</w:t>
            </w:r>
            <w:r w:rsidRPr="009C5807">
              <w:rPr>
                <w:lang w:val="en-US"/>
              </w:rPr>
              <w:tab/>
            </w:r>
            <w:r w:rsidRPr="000C5ADE">
              <w:rPr>
                <w:rFonts w:eastAsiaTheme="minorEastAsia"/>
                <w:snapToGrid w:val="0"/>
                <w:lang w:eastAsia="zh-CN"/>
              </w:rPr>
              <w:t>The eDRX_IDLE cycle lengths are as specified in Section 10.5.5.32 of TS 24.008 [34].</w:t>
            </w:r>
          </w:p>
          <w:p w14:paraId="724C1FE8" w14:textId="77777777" w:rsidR="00D808CB" w:rsidRDefault="00D808CB" w:rsidP="001313A6">
            <w:pPr>
              <w:pStyle w:val="TAN"/>
              <w:rPr>
                <w:rFonts w:eastAsiaTheme="minorEastAsia"/>
                <w:snapToGrid w:val="0"/>
                <w:lang w:eastAsia="zh-CN"/>
              </w:rPr>
            </w:pPr>
            <w:r w:rsidRPr="009C5807">
              <w:rPr>
                <w:snapToGrid w:val="0"/>
                <w:lang w:eastAsia="zh-CN"/>
              </w:rPr>
              <w:t xml:space="preserve">Note </w:t>
            </w:r>
            <w:r>
              <w:rPr>
                <w:snapToGrid w:val="0"/>
                <w:lang w:eastAsia="zh-CN"/>
              </w:rPr>
              <w:t>3</w:t>
            </w:r>
            <w:r w:rsidRPr="009C5807">
              <w:t>:</w:t>
            </w:r>
            <w:r w:rsidRPr="009C5807">
              <w:rPr>
                <w:lang w:val="en-US"/>
              </w:rPr>
              <w:tab/>
            </w:r>
            <w:r w:rsidRPr="000C5ADE">
              <w:rPr>
                <w:rFonts w:eastAsiaTheme="minorEastAsia"/>
                <w:snapToGrid w:val="0"/>
                <w:lang w:eastAsia="zh-CN"/>
              </w:rPr>
              <w:t>Number of eDRX cycles when eDRX_IDLE cycle length equals 2.56s, 5.12s</w:t>
            </w:r>
            <w:r w:rsidRPr="000C5ADE">
              <w:rPr>
                <w:rFonts w:eastAsiaTheme="minorEastAsia" w:hint="eastAsia"/>
                <w:snapToGrid w:val="0"/>
                <w:lang w:eastAsia="zh-CN"/>
              </w:rPr>
              <w:t xml:space="preserve"> </w:t>
            </w:r>
            <w:r w:rsidRPr="000C5ADE">
              <w:rPr>
                <w:rFonts w:eastAsiaTheme="minorEastAsia"/>
                <w:snapToGrid w:val="0"/>
                <w:lang w:eastAsia="zh-CN"/>
              </w:rPr>
              <w:t>and 10.24s. Otherwise, number of DRX cycles.</w:t>
            </w:r>
          </w:p>
          <w:p w14:paraId="6D70FF2A" w14:textId="77777777" w:rsidR="00D808CB" w:rsidRDefault="00D808CB" w:rsidP="001313A6">
            <w:pPr>
              <w:pStyle w:val="TAN"/>
              <w:rPr>
                <w:rFonts w:cs="Arial"/>
                <w:iCs/>
              </w:rPr>
            </w:pPr>
            <w:r w:rsidRPr="009C5807">
              <w:rPr>
                <w:snapToGrid w:val="0"/>
                <w:lang w:eastAsia="zh-CN"/>
              </w:rPr>
              <w:t>Note</w:t>
            </w:r>
            <w:r w:rsidRPr="00691C10">
              <w:rPr>
                <w:rFonts w:cs="Arial"/>
              </w:rPr>
              <w:t xml:space="preserve"> </w:t>
            </w:r>
            <w:r>
              <w:rPr>
                <w:rFonts w:cs="Arial"/>
              </w:rPr>
              <w:t>4</w:t>
            </w:r>
            <w:r w:rsidRPr="00691C10">
              <w:rPr>
                <w:rFonts w:cs="Arial"/>
              </w:rPr>
              <w:t>:</w:t>
            </w:r>
            <w:r w:rsidRPr="009C5807">
              <w:rPr>
                <w:lang w:val="en-US"/>
              </w:rPr>
              <w:t xml:space="preserve"> </w:t>
            </w:r>
            <w:r w:rsidRPr="009C5807">
              <w:rPr>
                <w:lang w:val="en-US"/>
              </w:rPr>
              <w:tab/>
            </w:r>
            <w:r>
              <w:rPr>
                <w:rFonts w:cs="Arial"/>
              </w:rPr>
              <w:t xml:space="preserve">The lower bound of </w:t>
            </w:r>
            <w:r w:rsidRPr="007D1E39">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evaluate,NR_Intra_RedCap</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Pr>
                <w:rFonts w:cs="Arial"/>
                <w:iCs/>
              </w:rPr>
              <w:t>.</w:t>
            </w:r>
          </w:p>
          <w:p w14:paraId="22F9E013" w14:textId="4BD8CAED" w:rsidR="00D808CB" w:rsidRPr="0082197E" w:rsidRDefault="00AB0056" w:rsidP="001313A6">
            <w:pPr>
              <w:pStyle w:val="TAN"/>
              <w:rPr>
                <w:snapToGrid w:val="0"/>
                <w:lang w:eastAsia="zh-CN"/>
              </w:rPr>
            </w:pPr>
            <w:r w:rsidRPr="009C5807">
              <w:rPr>
                <w:snapToGrid w:val="0"/>
                <w:lang w:eastAsia="zh-CN"/>
              </w:rPr>
              <w:t xml:space="preserve">Note </w:t>
            </w:r>
            <w:r>
              <w:rPr>
                <w:snapToGrid w:val="0"/>
                <w:lang w:eastAsia="zh-CN"/>
              </w:rPr>
              <w:t>5</w:t>
            </w:r>
            <w:r w:rsidRPr="009C5807">
              <w:rPr>
                <w:snapToGrid w:val="0"/>
                <w:lang w:eastAsia="zh-CN"/>
              </w:rPr>
              <w:t>:</w:t>
            </w:r>
            <w:r w:rsidRPr="009C5807">
              <w:rPr>
                <w:lang w:val="en-US"/>
              </w:rPr>
              <w:tab/>
            </w:r>
            <w:r w:rsidRPr="009C5807">
              <w:rPr>
                <w:snapToGrid w:val="0"/>
                <w:lang w:eastAsia="zh-CN"/>
              </w:rPr>
              <w:t xml:space="preserve">M2 = </w:t>
            </w:r>
            <w:r>
              <w:rPr>
                <w:snapToGrid w:val="0"/>
                <w:lang w:eastAsia="zh-CN"/>
              </w:rPr>
              <w:t>2</w:t>
            </w:r>
            <w:r w:rsidRPr="009C5807">
              <w:rPr>
                <w:snapToGrid w:val="0"/>
                <w:lang w:eastAsia="zh-CN"/>
              </w:rPr>
              <w:t xml:space="preserve"> if SMTC periodicity</w:t>
            </w:r>
            <w:r w:rsidRPr="009C5807">
              <w:t xml:space="preserve"> </w:t>
            </w:r>
            <w:r w:rsidRPr="009C5807">
              <w:rPr>
                <w:snapToGrid w:val="0"/>
                <w:lang w:eastAsia="zh-CN"/>
              </w:rPr>
              <w:t>of measured intra-frequency cell &gt; 20 ms; otherwise M2=1.</w:t>
            </w:r>
          </w:p>
        </w:tc>
      </w:tr>
    </w:tbl>
    <w:p w14:paraId="545B5A62" w14:textId="77777777" w:rsidR="00D808CB" w:rsidRDefault="00D808CB" w:rsidP="00D808CB">
      <w:pPr>
        <w:rPr>
          <w:lang w:val="en-US"/>
        </w:rPr>
      </w:pPr>
    </w:p>
    <w:p w14:paraId="4FA756DD" w14:textId="77777777" w:rsidR="00D808CB" w:rsidRDefault="00D808CB" w:rsidP="00D808CB">
      <w:pPr>
        <w:pStyle w:val="TH"/>
      </w:pPr>
      <w:r w:rsidRPr="00391DE5">
        <w:rPr>
          <w:rFonts w:eastAsiaTheme="minorEastAsia"/>
          <w:lang w:val="en-US"/>
        </w:rPr>
        <w:t>Table 4.2B.2.3-</w:t>
      </w:r>
      <w:r>
        <w:rPr>
          <w:rFonts w:eastAsiaTheme="minorEastAsia"/>
          <w:lang w:val="en-US"/>
        </w:rPr>
        <w:t>3</w:t>
      </w:r>
      <w:r w:rsidRPr="00391DE5">
        <w:rPr>
          <w:rFonts w:eastAsiaTheme="minorEastAsia"/>
          <w:lang w:val="en-US"/>
        </w:rPr>
        <w:t>:</w:t>
      </w:r>
      <w:r>
        <w:rPr>
          <w:rFonts w:eastAsiaTheme="minorEastAsia"/>
          <w:lang w:val="en-US"/>
        </w:rPr>
        <w:t xml:space="preserve"> </w:t>
      </w:r>
      <w:r w:rsidRPr="00E96786">
        <w:rPr>
          <w:rFonts w:eastAsiaTheme="minorEastAsia"/>
          <w:lang w:val="en-US"/>
        </w:rPr>
        <w:t>T</w:t>
      </w:r>
      <w:r w:rsidRPr="0005218F">
        <w:rPr>
          <w:rFonts w:eastAsiaTheme="minorEastAsia"/>
          <w:vertAlign w:val="subscript"/>
          <w:lang w:val="en-US"/>
        </w:rPr>
        <w:t>detect,NR_Intra_RedCap</w:t>
      </w:r>
      <w:r w:rsidRPr="00E96786">
        <w:rPr>
          <w:rFonts w:eastAsiaTheme="minorEastAsia"/>
          <w:lang w:val="en-US"/>
        </w:rPr>
        <w:t>, T</w:t>
      </w:r>
      <w:r w:rsidRPr="0005218F">
        <w:rPr>
          <w:rFonts w:eastAsiaTheme="minorEastAsia"/>
          <w:vertAlign w:val="subscript"/>
          <w:lang w:val="en-US"/>
        </w:rPr>
        <w:t>measure,NR_Intra_RedCap</w:t>
      </w:r>
      <w:r w:rsidRPr="00E96786">
        <w:rPr>
          <w:rFonts w:eastAsiaTheme="minorEastAsia"/>
          <w:lang w:val="en-US"/>
        </w:rPr>
        <w:t xml:space="preserve"> and T</w:t>
      </w:r>
      <w:r w:rsidRPr="0005218F">
        <w:rPr>
          <w:rFonts w:eastAsiaTheme="minorEastAsia"/>
          <w:vertAlign w:val="subscript"/>
          <w:lang w:val="en-US"/>
        </w:rPr>
        <w:t>evaluate,NR_Intra_RedCap</w:t>
      </w:r>
      <w:r w:rsidRPr="00E96786">
        <w:rPr>
          <w:rFonts w:eastAsiaTheme="minorEastAsia"/>
          <w:lang w:val="en-US"/>
        </w:rPr>
        <w:t xml:space="preserve"> for UE configured with eDRX_IDLE cycle (Frequency range FR2)</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757"/>
        <w:gridCol w:w="977"/>
        <w:gridCol w:w="931"/>
        <w:gridCol w:w="2423"/>
        <w:gridCol w:w="1528"/>
        <w:gridCol w:w="1621"/>
      </w:tblGrid>
      <w:tr w:rsidR="00D808CB" w:rsidRPr="00B85562" w14:paraId="4E78087F" w14:textId="77777777" w:rsidTr="001313A6">
        <w:trPr>
          <w:trHeight w:val="1692"/>
        </w:trPr>
        <w:tc>
          <w:tcPr>
            <w:tcW w:w="639" w:type="pct"/>
            <w:hideMark/>
          </w:tcPr>
          <w:p w14:paraId="61BC4063" w14:textId="77777777" w:rsidR="00D808CB" w:rsidRPr="00581E8E" w:rsidRDefault="00D808CB" w:rsidP="001313A6">
            <w:pPr>
              <w:rPr>
                <w:rFonts w:ascii="Arial" w:hAnsi="Arial" w:cs="Arial"/>
                <w:sz w:val="18"/>
                <w:lang w:val="en-US" w:eastAsia="zh-CN"/>
              </w:rPr>
            </w:pPr>
            <w:r w:rsidRPr="00581E8E">
              <w:rPr>
                <w:rFonts w:ascii="Arial" w:hAnsi="Arial" w:cs="Arial"/>
                <w:b/>
                <w:sz w:val="18"/>
                <w:lang w:eastAsia="zh-CN"/>
              </w:rPr>
              <w:t>eDRX_IDLE cycle length [s]</w:t>
            </w:r>
          </w:p>
        </w:tc>
        <w:tc>
          <w:tcPr>
            <w:tcW w:w="401" w:type="pct"/>
            <w:hideMark/>
          </w:tcPr>
          <w:p w14:paraId="0DFF0995" w14:textId="77777777" w:rsidR="00D808CB" w:rsidRPr="00581E8E" w:rsidRDefault="00D808CB" w:rsidP="001313A6">
            <w:pPr>
              <w:rPr>
                <w:rFonts w:ascii="Arial" w:hAnsi="Arial" w:cs="Arial"/>
                <w:sz w:val="18"/>
                <w:lang w:val="en-US" w:eastAsia="zh-CN"/>
              </w:rPr>
            </w:pPr>
            <w:r w:rsidRPr="00581E8E">
              <w:rPr>
                <w:rFonts w:ascii="Arial" w:hAnsi="Arial" w:cs="Arial"/>
                <w:b/>
                <w:sz w:val="18"/>
                <w:lang w:eastAsia="zh-CN"/>
              </w:rPr>
              <w:t>DRX cycle length [s]</w:t>
            </w:r>
          </w:p>
        </w:tc>
        <w:tc>
          <w:tcPr>
            <w:tcW w:w="517" w:type="pct"/>
            <w:hideMark/>
          </w:tcPr>
          <w:p w14:paraId="0C1F5706" w14:textId="77777777" w:rsidR="00D808CB" w:rsidRPr="00581E8E" w:rsidRDefault="00D808CB" w:rsidP="001313A6">
            <w:pPr>
              <w:rPr>
                <w:rFonts w:ascii="Arial" w:hAnsi="Arial" w:cs="Arial"/>
                <w:sz w:val="18"/>
                <w:lang w:val="en-US" w:eastAsia="zh-CN"/>
              </w:rPr>
            </w:pPr>
            <w:r w:rsidRPr="00581E8E">
              <w:rPr>
                <w:rFonts w:ascii="Arial" w:hAnsi="Arial" w:cs="Arial"/>
                <w:b/>
                <w:sz w:val="18"/>
                <w:lang w:eastAsia="zh-CN"/>
              </w:rPr>
              <w:t>PTW length [s] (number of 1.28s periods)</w:t>
            </w:r>
          </w:p>
        </w:tc>
        <w:tc>
          <w:tcPr>
            <w:tcW w:w="493" w:type="pct"/>
          </w:tcPr>
          <w:p w14:paraId="295A3601" w14:textId="77777777" w:rsidR="00D808CB" w:rsidRPr="00581E8E" w:rsidRDefault="00D808CB" w:rsidP="001313A6">
            <w:pPr>
              <w:rPr>
                <w:rFonts w:ascii="Arial" w:hAnsi="Arial" w:cs="Arial"/>
                <w:b/>
                <w:sz w:val="18"/>
                <w:lang w:eastAsia="zh-CN"/>
              </w:rPr>
            </w:pPr>
            <w:r w:rsidRPr="00B11B68">
              <w:rPr>
                <w:rFonts w:ascii="Arial" w:hAnsi="Arial" w:cs="Arial"/>
                <w:b/>
                <w:sz w:val="18"/>
                <w:lang w:eastAsia="zh-CN"/>
              </w:rPr>
              <w:t>Scaling Factor (N1)</w:t>
            </w:r>
            <w:r w:rsidRPr="009C5807">
              <w:rPr>
                <w:vertAlign w:val="superscript"/>
              </w:rPr>
              <w:t xml:space="preserve"> </w:t>
            </w:r>
            <w:r w:rsidRPr="00047B96">
              <w:rPr>
                <w:rFonts w:ascii="Arial" w:hAnsi="Arial" w:cs="Arial"/>
                <w:vertAlign w:val="superscript"/>
              </w:rPr>
              <w:t>Note1</w:t>
            </w:r>
          </w:p>
        </w:tc>
        <w:tc>
          <w:tcPr>
            <w:tcW w:w="1283" w:type="pct"/>
            <w:hideMark/>
          </w:tcPr>
          <w:p w14:paraId="04D6A061" w14:textId="77777777" w:rsidR="00D808CB" w:rsidRPr="00581E8E" w:rsidRDefault="00D808CB" w:rsidP="001313A6">
            <w:pPr>
              <w:rPr>
                <w:rFonts w:ascii="Arial" w:hAnsi="Arial" w:cs="Arial"/>
                <w:sz w:val="18"/>
                <w:lang w:val="en-US" w:eastAsia="zh-CN"/>
              </w:rPr>
            </w:pPr>
            <w:r w:rsidRPr="00581E8E">
              <w:rPr>
                <w:rFonts w:ascii="Arial" w:hAnsi="Arial" w:cs="Arial"/>
                <w:b/>
                <w:bCs/>
                <w:sz w:val="18"/>
                <w:szCs w:val="18"/>
                <w:lang w:val="en-US"/>
              </w:rPr>
              <w:t>T</w:t>
            </w:r>
            <w:r w:rsidRPr="00581E8E">
              <w:rPr>
                <w:rFonts w:ascii="Arial" w:hAnsi="Arial" w:cs="Arial"/>
                <w:b/>
                <w:bCs/>
                <w:sz w:val="18"/>
                <w:szCs w:val="18"/>
                <w:vertAlign w:val="subscript"/>
                <w:lang w:val="en-US"/>
              </w:rPr>
              <w:t>detect,NR_Intra_RedCap</w:t>
            </w:r>
            <w:r w:rsidRPr="00581E8E">
              <w:rPr>
                <w:rFonts w:ascii="Arial" w:hAnsi="Arial" w:cs="Arial"/>
                <w:b/>
                <w:sz w:val="18"/>
                <w:szCs w:val="18"/>
                <w:lang w:eastAsia="zh-CN"/>
              </w:rPr>
              <w:t xml:space="preserve"> </w:t>
            </w:r>
            <w:r w:rsidRPr="00581E8E">
              <w:rPr>
                <w:rFonts w:ascii="Arial" w:hAnsi="Arial" w:cs="Arial"/>
                <w:b/>
                <w:sz w:val="18"/>
                <w:lang w:eastAsia="zh-CN"/>
              </w:rPr>
              <w:t>[s] (number of DRX cycles</w:t>
            </w:r>
            <w:r>
              <w:rPr>
                <w:rFonts w:ascii="Arial" w:hAnsi="Arial" w:cs="Arial"/>
                <w:b/>
                <w:bCs/>
                <w:sz w:val="18"/>
                <w:lang w:eastAsia="zh-CN"/>
              </w:rPr>
              <w:t xml:space="preserve"> </w:t>
            </w:r>
            <w:r w:rsidRPr="008F5E01">
              <w:rPr>
                <w:rFonts w:ascii="Arial" w:hAnsi="Arial" w:cs="Arial"/>
                <w:b/>
                <w:sz w:val="18"/>
                <w:szCs w:val="18"/>
                <w:lang w:eastAsia="zh-CN"/>
              </w:rPr>
              <w:t xml:space="preserve">or eDRX cycles </w:t>
            </w:r>
            <w:r w:rsidRPr="00ED700F">
              <w:rPr>
                <w:rFonts w:ascii="Arial" w:hAnsi="Arial" w:cs="Arial"/>
                <w:b/>
                <w:sz w:val="18"/>
                <w:szCs w:val="18"/>
                <w:vertAlign w:val="superscript"/>
                <w:lang w:eastAsia="zh-CN"/>
              </w:rPr>
              <w:t xml:space="preserve">Note </w:t>
            </w:r>
            <w:r>
              <w:rPr>
                <w:rFonts w:ascii="Arial" w:hAnsi="Arial" w:cs="Arial"/>
                <w:b/>
                <w:sz w:val="18"/>
                <w:szCs w:val="18"/>
                <w:vertAlign w:val="superscript"/>
                <w:lang w:eastAsia="zh-CN"/>
              </w:rPr>
              <w:t>4</w:t>
            </w:r>
            <w:r w:rsidRPr="00581E8E">
              <w:rPr>
                <w:rFonts w:ascii="Arial" w:hAnsi="Arial" w:cs="Arial"/>
                <w:b/>
                <w:sz w:val="18"/>
                <w:lang w:eastAsia="zh-CN"/>
              </w:rPr>
              <w:t>)</w:t>
            </w:r>
          </w:p>
        </w:tc>
        <w:tc>
          <w:tcPr>
            <w:tcW w:w="809" w:type="pct"/>
            <w:hideMark/>
          </w:tcPr>
          <w:p w14:paraId="38D35ED0" w14:textId="77777777" w:rsidR="00D808CB" w:rsidRPr="00581E8E" w:rsidRDefault="00D808CB" w:rsidP="001313A6">
            <w:pPr>
              <w:rPr>
                <w:rFonts w:ascii="Arial" w:hAnsi="Arial" w:cs="Arial"/>
                <w:sz w:val="18"/>
                <w:lang w:val="en-US" w:eastAsia="zh-CN"/>
              </w:rPr>
            </w:pPr>
            <w:r w:rsidRPr="00581E8E">
              <w:rPr>
                <w:rFonts w:ascii="Arial" w:hAnsi="Arial" w:cs="Arial"/>
                <w:b/>
                <w:bCs/>
                <w:sz w:val="18"/>
                <w:szCs w:val="18"/>
                <w:lang w:val="en-US"/>
              </w:rPr>
              <w:t>T</w:t>
            </w:r>
            <w:r w:rsidRPr="00581E8E">
              <w:rPr>
                <w:rFonts w:ascii="Arial" w:hAnsi="Arial" w:cs="Arial"/>
                <w:b/>
                <w:bCs/>
                <w:sz w:val="18"/>
                <w:szCs w:val="18"/>
                <w:vertAlign w:val="subscript"/>
                <w:lang w:val="en-US"/>
              </w:rPr>
              <w:t>measure,NR_Intra_RedCap</w:t>
            </w:r>
            <w:r w:rsidRPr="00581E8E">
              <w:rPr>
                <w:rFonts w:ascii="Arial" w:hAnsi="Arial" w:cs="Arial"/>
                <w:b/>
                <w:bCs/>
                <w:sz w:val="18"/>
                <w:szCs w:val="18"/>
                <w:lang w:val="en-US"/>
              </w:rPr>
              <w:t xml:space="preserve"> </w:t>
            </w:r>
            <w:r w:rsidRPr="00581E8E">
              <w:rPr>
                <w:rFonts w:ascii="Arial" w:hAnsi="Arial" w:cs="Arial"/>
                <w:b/>
                <w:sz w:val="18"/>
                <w:lang w:eastAsia="zh-CN"/>
              </w:rPr>
              <w:t>[s] (number of DRX cycles</w:t>
            </w:r>
            <w:r>
              <w:rPr>
                <w:rFonts w:ascii="Arial" w:hAnsi="Arial" w:cs="Arial"/>
                <w:b/>
                <w:bCs/>
                <w:sz w:val="18"/>
                <w:lang w:eastAsia="zh-CN"/>
              </w:rPr>
              <w:t xml:space="preserve"> </w:t>
            </w:r>
            <w:r w:rsidRPr="008F5E01">
              <w:rPr>
                <w:rFonts w:ascii="Arial" w:hAnsi="Arial" w:cs="Arial"/>
                <w:b/>
                <w:sz w:val="18"/>
                <w:szCs w:val="18"/>
                <w:lang w:eastAsia="zh-CN"/>
              </w:rPr>
              <w:t xml:space="preserve">or eDRX cycles </w:t>
            </w:r>
            <w:r w:rsidRPr="00ED700F">
              <w:rPr>
                <w:rFonts w:ascii="Arial" w:hAnsi="Arial" w:cs="Arial"/>
                <w:b/>
                <w:sz w:val="18"/>
                <w:szCs w:val="18"/>
                <w:vertAlign w:val="superscript"/>
                <w:lang w:eastAsia="zh-CN"/>
              </w:rPr>
              <w:t xml:space="preserve">Note </w:t>
            </w:r>
            <w:r>
              <w:rPr>
                <w:rFonts w:ascii="Arial" w:hAnsi="Arial" w:cs="Arial"/>
                <w:b/>
                <w:sz w:val="18"/>
                <w:szCs w:val="18"/>
                <w:vertAlign w:val="superscript"/>
                <w:lang w:eastAsia="zh-CN"/>
              </w:rPr>
              <w:t>4</w:t>
            </w:r>
            <w:r w:rsidRPr="00581E8E">
              <w:rPr>
                <w:rFonts w:ascii="Arial" w:hAnsi="Arial" w:cs="Arial"/>
                <w:b/>
                <w:sz w:val="18"/>
                <w:lang w:eastAsia="zh-CN"/>
              </w:rPr>
              <w:t>)</w:t>
            </w:r>
          </w:p>
        </w:tc>
        <w:tc>
          <w:tcPr>
            <w:tcW w:w="858" w:type="pct"/>
            <w:hideMark/>
          </w:tcPr>
          <w:p w14:paraId="1FE92689" w14:textId="77777777" w:rsidR="00D808CB" w:rsidRPr="00581E8E" w:rsidRDefault="00D808CB" w:rsidP="001313A6">
            <w:pPr>
              <w:rPr>
                <w:rFonts w:ascii="Arial" w:hAnsi="Arial" w:cs="Arial"/>
                <w:sz w:val="18"/>
                <w:lang w:val="en-US" w:eastAsia="zh-CN"/>
              </w:rPr>
            </w:pPr>
            <w:r w:rsidRPr="00581E8E">
              <w:rPr>
                <w:rFonts w:ascii="Arial" w:hAnsi="Arial" w:cs="Arial"/>
                <w:b/>
                <w:bCs/>
                <w:sz w:val="18"/>
                <w:szCs w:val="18"/>
                <w:lang w:val="en-US"/>
              </w:rPr>
              <w:t>T</w:t>
            </w:r>
            <w:r w:rsidRPr="00581E8E">
              <w:rPr>
                <w:rFonts w:ascii="Arial" w:hAnsi="Arial" w:cs="Arial"/>
                <w:b/>
                <w:bCs/>
                <w:sz w:val="18"/>
                <w:szCs w:val="18"/>
                <w:vertAlign w:val="subscript"/>
                <w:lang w:val="en-US"/>
              </w:rPr>
              <w:t xml:space="preserve">evaluate,NR_Intra_RedCap </w:t>
            </w:r>
            <w:r w:rsidRPr="00581E8E">
              <w:rPr>
                <w:rFonts w:ascii="Arial" w:hAnsi="Arial" w:cs="Arial"/>
                <w:b/>
                <w:sz w:val="18"/>
                <w:lang w:eastAsia="zh-CN"/>
              </w:rPr>
              <w:t>[s] (number of DRX cycles</w:t>
            </w:r>
            <w:r>
              <w:rPr>
                <w:rFonts w:ascii="Arial" w:hAnsi="Arial" w:cs="Arial"/>
                <w:b/>
                <w:bCs/>
                <w:sz w:val="18"/>
                <w:lang w:eastAsia="zh-CN"/>
              </w:rPr>
              <w:t xml:space="preserve"> </w:t>
            </w:r>
            <w:r w:rsidRPr="008F5E01">
              <w:rPr>
                <w:rFonts w:ascii="Arial" w:hAnsi="Arial" w:cs="Arial"/>
                <w:b/>
                <w:sz w:val="18"/>
                <w:szCs w:val="18"/>
                <w:lang w:eastAsia="zh-CN"/>
              </w:rPr>
              <w:t xml:space="preserve">or eDRX cycles </w:t>
            </w:r>
            <w:r w:rsidRPr="00ED700F">
              <w:rPr>
                <w:rFonts w:ascii="Arial" w:hAnsi="Arial" w:cs="Arial"/>
                <w:b/>
                <w:sz w:val="18"/>
                <w:szCs w:val="18"/>
                <w:vertAlign w:val="superscript"/>
                <w:lang w:eastAsia="zh-CN"/>
              </w:rPr>
              <w:t xml:space="preserve">Note </w:t>
            </w:r>
            <w:r>
              <w:rPr>
                <w:rFonts w:ascii="Arial" w:hAnsi="Arial" w:cs="Arial"/>
                <w:b/>
                <w:sz w:val="18"/>
                <w:szCs w:val="18"/>
                <w:vertAlign w:val="superscript"/>
                <w:lang w:eastAsia="zh-CN"/>
              </w:rPr>
              <w:t>4</w:t>
            </w:r>
            <w:r w:rsidRPr="00581E8E">
              <w:rPr>
                <w:rFonts w:ascii="Arial" w:hAnsi="Arial" w:cs="Arial"/>
                <w:b/>
                <w:sz w:val="18"/>
                <w:lang w:eastAsia="zh-CN"/>
              </w:rPr>
              <w:t>)</w:t>
            </w:r>
          </w:p>
        </w:tc>
      </w:tr>
      <w:tr w:rsidR="00D808CB" w:rsidRPr="00B85562" w14:paraId="3C0205F9" w14:textId="77777777" w:rsidTr="001313A6">
        <w:trPr>
          <w:trHeight w:val="336"/>
        </w:trPr>
        <w:tc>
          <w:tcPr>
            <w:tcW w:w="639" w:type="pct"/>
          </w:tcPr>
          <w:p w14:paraId="6DEAC8D9" w14:textId="77777777" w:rsidR="00D808CB" w:rsidRPr="00581E8E" w:rsidRDefault="00D808CB" w:rsidP="001313A6">
            <w:pPr>
              <w:rPr>
                <w:rFonts w:ascii="Arial" w:hAnsi="Arial" w:cs="Arial"/>
                <w:sz w:val="18"/>
                <w:lang w:val="en-US" w:eastAsia="zh-CN"/>
              </w:rPr>
            </w:pPr>
            <w:r w:rsidRPr="00581E8E">
              <w:rPr>
                <w:rFonts w:ascii="Arial" w:hAnsi="Arial" w:cs="Arial"/>
                <w:sz w:val="18"/>
                <w:lang w:val="en-US" w:eastAsia="zh-CN"/>
              </w:rPr>
              <w:t>2.56</w:t>
            </w:r>
          </w:p>
        </w:tc>
        <w:tc>
          <w:tcPr>
            <w:tcW w:w="401" w:type="pct"/>
          </w:tcPr>
          <w:p w14:paraId="63282F6E" w14:textId="77777777" w:rsidR="00D808CB" w:rsidRPr="00581E8E" w:rsidRDefault="00D808CB" w:rsidP="001313A6">
            <w:pPr>
              <w:rPr>
                <w:rFonts w:ascii="Arial" w:hAnsi="Arial" w:cs="Arial"/>
                <w:sz w:val="18"/>
                <w:lang w:val="en-US" w:eastAsia="zh-CN"/>
              </w:rPr>
            </w:pPr>
            <w:r w:rsidRPr="00581E8E">
              <w:rPr>
                <w:rFonts w:ascii="Arial" w:hAnsi="Arial" w:cs="Arial"/>
                <w:sz w:val="18"/>
                <w:lang w:val="en-US" w:eastAsia="zh-CN"/>
              </w:rPr>
              <w:t>-</w:t>
            </w:r>
          </w:p>
        </w:tc>
        <w:tc>
          <w:tcPr>
            <w:tcW w:w="517" w:type="pct"/>
          </w:tcPr>
          <w:p w14:paraId="17B07FE1" w14:textId="77777777" w:rsidR="00D808CB" w:rsidRPr="00581E8E" w:rsidRDefault="00D808CB" w:rsidP="001313A6">
            <w:pPr>
              <w:rPr>
                <w:rFonts w:ascii="Arial" w:hAnsi="Arial" w:cs="Arial"/>
                <w:sz w:val="18"/>
                <w:lang w:val="en-US" w:eastAsia="zh-CN"/>
              </w:rPr>
            </w:pPr>
            <w:r w:rsidRPr="00581E8E">
              <w:rPr>
                <w:rFonts w:ascii="Arial" w:hAnsi="Arial" w:cs="Arial"/>
                <w:sz w:val="18"/>
                <w:lang w:val="en-US" w:eastAsia="zh-CN"/>
              </w:rPr>
              <w:t>-</w:t>
            </w:r>
          </w:p>
        </w:tc>
        <w:tc>
          <w:tcPr>
            <w:tcW w:w="493" w:type="pct"/>
          </w:tcPr>
          <w:p w14:paraId="6926AA4F" w14:textId="77777777" w:rsidR="00D808CB" w:rsidRPr="00581E8E" w:rsidRDefault="00D808CB" w:rsidP="001313A6">
            <w:pPr>
              <w:rPr>
                <w:rFonts w:ascii="Arial" w:hAnsi="Arial" w:cs="Arial"/>
                <w:sz w:val="18"/>
                <w:lang w:eastAsia="zh-CN"/>
              </w:rPr>
            </w:pPr>
            <w:r>
              <w:rPr>
                <w:rFonts w:ascii="Arial" w:hAnsi="Arial" w:cs="Arial"/>
                <w:sz w:val="18"/>
                <w:lang w:eastAsia="zh-CN"/>
              </w:rPr>
              <w:t>3</w:t>
            </w:r>
          </w:p>
        </w:tc>
        <w:tc>
          <w:tcPr>
            <w:tcW w:w="1283" w:type="pct"/>
          </w:tcPr>
          <w:p w14:paraId="0B609529" w14:textId="77777777" w:rsidR="00D808CB" w:rsidRPr="00581E8E" w:rsidRDefault="00D808CB" w:rsidP="001313A6">
            <w:pPr>
              <w:rPr>
                <w:rFonts w:ascii="Arial" w:hAnsi="Arial" w:cs="Arial"/>
                <w:sz w:val="18"/>
                <w:lang w:eastAsia="zh-CN"/>
              </w:rPr>
            </w:pPr>
            <w:r w:rsidRPr="00581E8E">
              <w:rPr>
                <w:rFonts w:ascii="Arial" w:hAnsi="Arial" w:cs="Arial"/>
                <w:sz w:val="18"/>
                <w:lang w:eastAsia="zh-CN"/>
              </w:rPr>
              <w:t>58.88 x N1 (23 x N1)</w:t>
            </w:r>
          </w:p>
        </w:tc>
        <w:tc>
          <w:tcPr>
            <w:tcW w:w="809" w:type="pct"/>
          </w:tcPr>
          <w:p w14:paraId="1346EE0F" w14:textId="77777777" w:rsidR="00D808CB" w:rsidRPr="00581E8E" w:rsidRDefault="00D808CB" w:rsidP="001313A6">
            <w:pPr>
              <w:rPr>
                <w:rFonts w:ascii="Arial" w:hAnsi="Arial" w:cs="Arial"/>
                <w:sz w:val="18"/>
                <w:lang w:eastAsia="zh-CN"/>
              </w:rPr>
            </w:pPr>
            <w:r w:rsidRPr="00581E8E">
              <w:rPr>
                <w:rFonts w:ascii="Arial" w:hAnsi="Arial" w:cs="Arial"/>
                <w:sz w:val="18"/>
                <w:lang w:eastAsia="zh-CN"/>
              </w:rPr>
              <w:t>2.56 x N1 (1 x N1)</w:t>
            </w:r>
          </w:p>
        </w:tc>
        <w:tc>
          <w:tcPr>
            <w:tcW w:w="858" w:type="pct"/>
          </w:tcPr>
          <w:p w14:paraId="232776B7" w14:textId="77777777" w:rsidR="00D808CB" w:rsidRPr="00581E8E" w:rsidRDefault="00D808CB" w:rsidP="001313A6">
            <w:pPr>
              <w:rPr>
                <w:rFonts w:ascii="Arial" w:hAnsi="Arial" w:cs="Arial"/>
                <w:sz w:val="18"/>
                <w:lang w:eastAsia="zh-CN"/>
              </w:rPr>
            </w:pPr>
            <w:r>
              <w:rPr>
                <w:rFonts w:ascii="Arial" w:hAnsi="Arial" w:cs="Arial"/>
                <w:sz w:val="18"/>
                <w:lang w:eastAsia="zh-CN"/>
              </w:rPr>
              <w:t>7.68</w:t>
            </w:r>
            <w:r w:rsidRPr="00581E8E">
              <w:rPr>
                <w:rFonts w:ascii="Arial" w:hAnsi="Arial" w:cs="Arial"/>
                <w:sz w:val="18"/>
                <w:lang w:eastAsia="zh-CN"/>
              </w:rPr>
              <w:t xml:space="preserve"> x N1 (</w:t>
            </w:r>
            <w:r>
              <w:rPr>
                <w:rFonts w:ascii="Arial" w:hAnsi="Arial" w:cs="Arial"/>
                <w:sz w:val="18"/>
                <w:lang w:eastAsia="zh-CN"/>
              </w:rPr>
              <w:t>3</w:t>
            </w:r>
            <w:r w:rsidRPr="00581E8E">
              <w:rPr>
                <w:rFonts w:ascii="Arial" w:hAnsi="Arial" w:cs="Arial"/>
                <w:sz w:val="18"/>
                <w:lang w:eastAsia="zh-CN"/>
              </w:rPr>
              <w:t xml:space="preserve"> x N1)</w:t>
            </w:r>
          </w:p>
        </w:tc>
      </w:tr>
      <w:tr w:rsidR="00D808CB" w:rsidRPr="00B85562" w14:paraId="7D933FDF" w14:textId="77777777" w:rsidTr="001313A6">
        <w:trPr>
          <w:trHeight w:val="336"/>
        </w:trPr>
        <w:tc>
          <w:tcPr>
            <w:tcW w:w="639" w:type="pct"/>
          </w:tcPr>
          <w:p w14:paraId="34AC03D7" w14:textId="77777777" w:rsidR="00D808CB" w:rsidRPr="00581E8E" w:rsidRDefault="00D808CB" w:rsidP="001313A6">
            <w:pPr>
              <w:rPr>
                <w:rFonts w:ascii="Arial" w:hAnsi="Arial" w:cs="Arial"/>
                <w:sz w:val="18"/>
                <w:lang w:eastAsia="zh-CN"/>
              </w:rPr>
            </w:pPr>
            <w:r w:rsidRPr="00581E8E">
              <w:rPr>
                <w:rFonts w:ascii="Arial" w:hAnsi="Arial" w:cs="Arial"/>
                <w:sz w:val="18"/>
                <w:lang w:eastAsia="zh-CN"/>
              </w:rPr>
              <w:t>5.12</w:t>
            </w:r>
          </w:p>
        </w:tc>
        <w:tc>
          <w:tcPr>
            <w:tcW w:w="401" w:type="pct"/>
          </w:tcPr>
          <w:p w14:paraId="461C158A" w14:textId="77777777" w:rsidR="00D808CB" w:rsidRPr="00581E8E" w:rsidRDefault="00D808CB" w:rsidP="001313A6">
            <w:pPr>
              <w:rPr>
                <w:rFonts w:ascii="Arial" w:hAnsi="Arial" w:cs="Arial"/>
                <w:sz w:val="18"/>
                <w:lang w:val="en-US" w:eastAsia="zh-CN"/>
              </w:rPr>
            </w:pPr>
            <w:r w:rsidRPr="00581E8E">
              <w:rPr>
                <w:rFonts w:ascii="Arial" w:hAnsi="Arial" w:cs="Arial"/>
                <w:sz w:val="18"/>
                <w:lang w:val="en-US" w:eastAsia="zh-CN"/>
              </w:rPr>
              <w:t>-</w:t>
            </w:r>
          </w:p>
        </w:tc>
        <w:tc>
          <w:tcPr>
            <w:tcW w:w="517" w:type="pct"/>
          </w:tcPr>
          <w:p w14:paraId="3E731F15" w14:textId="77777777" w:rsidR="00D808CB" w:rsidRPr="00581E8E" w:rsidRDefault="00D808CB" w:rsidP="001313A6">
            <w:pPr>
              <w:rPr>
                <w:rFonts w:ascii="Arial" w:hAnsi="Arial" w:cs="Arial"/>
                <w:sz w:val="18"/>
                <w:lang w:eastAsia="zh-CN"/>
              </w:rPr>
            </w:pPr>
            <w:r w:rsidRPr="00581E8E">
              <w:rPr>
                <w:rFonts w:ascii="Arial" w:hAnsi="Arial" w:cs="Arial"/>
                <w:sz w:val="18"/>
                <w:lang w:eastAsia="zh-CN"/>
              </w:rPr>
              <w:t>-</w:t>
            </w:r>
          </w:p>
        </w:tc>
        <w:tc>
          <w:tcPr>
            <w:tcW w:w="493" w:type="pct"/>
          </w:tcPr>
          <w:p w14:paraId="617C3B33" w14:textId="77777777" w:rsidR="00D808CB" w:rsidRPr="00581E8E" w:rsidRDefault="00D808CB" w:rsidP="001313A6">
            <w:pPr>
              <w:rPr>
                <w:rFonts w:ascii="Arial" w:hAnsi="Arial" w:cs="Arial"/>
                <w:sz w:val="18"/>
                <w:lang w:eastAsia="zh-CN"/>
              </w:rPr>
            </w:pPr>
            <w:r>
              <w:rPr>
                <w:rFonts w:ascii="Arial" w:hAnsi="Arial" w:cs="Arial"/>
                <w:sz w:val="18"/>
                <w:lang w:eastAsia="zh-CN"/>
              </w:rPr>
              <w:t>3</w:t>
            </w:r>
          </w:p>
        </w:tc>
        <w:tc>
          <w:tcPr>
            <w:tcW w:w="1283" w:type="pct"/>
          </w:tcPr>
          <w:p w14:paraId="75F7F3CF" w14:textId="77777777" w:rsidR="00D808CB" w:rsidRPr="00581E8E" w:rsidRDefault="00D808CB" w:rsidP="001313A6">
            <w:pPr>
              <w:rPr>
                <w:rFonts w:ascii="Arial" w:hAnsi="Arial" w:cs="Arial"/>
                <w:sz w:val="18"/>
                <w:lang w:eastAsia="zh-CN"/>
              </w:rPr>
            </w:pPr>
            <w:r w:rsidRPr="00581E8E">
              <w:rPr>
                <w:rFonts w:ascii="Arial" w:hAnsi="Arial" w:cs="Arial"/>
                <w:sz w:val="18"/>
                <w:lang w:eastAsia="zh-CN"/>
              </w:rPr>
              <w:t>117.76 x N1 (23 x N1)</w:t>
            </w:r>
          </w:p>
        </w:tc>
        <w:tc>
          <w:tcPr>
            <w:tcW w:w="809" w:type="pct"/>
          </w:tcPr>
          <w:p w14:paraId="445135B3" w14:textId="77777777" w:rsidR="00D808CB" w:rsidRPr="00581E8E" w:rsidRDefault="00D808CB" w:rsidP="001313A6">
            <w:pPr>
              <w:rPr>
                <w:rFonts w:ascii="Arial" w:hAnsi="Arial" w:cs="Arial"/>
                <w:sz w:val="18"/>
                <w:lang w:eastAsia="zh-CN"/>
              </w:rPr>
            </w:pPr>
            <w:r w:rsidRPr="00581E8E">
              <w:rPr>
                <w:rFonts w:ascii="Arial" w:hAnsi="Arial" w:cs="Arial"/>
                <w:sz w:val="18"/>
                <w:lang w:eastAsia="zh-CN"/>
              </w:rPr>
              <w:t>5.12 x N1 (1 x N1)</w:t>
            </w:r>
          </w:p>
        </w:tc>
        <w:tc>
          <w:tcPr>
            <w:tcW w:w="858" w:type="pct"/>
          </w:tcPr>
          <w:p w14:paraId="7A85E446" w14:textId="77777777" w:rsidR="00D808CB" w:rsidRPr="00581E8E" w:rsidRDefault="00D808CB" w:rsidP="001313A6">
            <w:pPr>
              <w:rPr>
                <w:rFonts w:ascii="Arial" w:hAnsi="Arial" w:cs="Arial"/>
                <w:sz w:val="18"/>
                <w:lang w:eastAsia="zh-CN"/>
              </w:rPr>
            </w:pPr>
            <w:r w:rsidRPr="00581E8E">
              <w:rPr>
                <w:rFonts w:ascii="Arial" w:hAnsi="Arial" w:cs="Arial"/>
                <w:sz w:val="18"/>
                <w:lang w:eastAsia="zh-CN"/>
              </w:rPr>
              <w:t>10.24 x N1 (2 x N1)</w:t>
            </w:r>
          </w:p>
        </w:tc>
      </w:tr>
      <w:tr w:rsidR="00D808CB" w:rsidRPr="00B85562" w14:paraId="371A0718" w14:textId="77777777" w:rsidTr="001313A6">
        <w:trPr>
          <w:trHeight w:val="336"/>
        </w:trPr>
        <w:tc>
          <w:tcPr>
            <w:tcW w:w="639" w:type="pct"/>
            <w:hideMark/>
          </w:tcPr>
          <w:p w14:paraId="15064454"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10.24</w:t>
            </w:r>
          </w:p>
        </w:tc>
        <w:tc>
          <w:tcPr>
            <w:tcW w:w="401" w:type="pct"/>
            <w:hideMark/>
          </w:tcPr>
          <w:p w14:paraId="2C77F6CD" w14:textId="77777777" w:rsidR="00D808CB" w:rsidRPr="00581E8E" w:rsidRDefault="00D808CB" w:rsidP="001313A6">
            <w:pPr>
              <w:rPr>
                <w:rFonts w:ascii="Arial" w:hAnsi="Arial" w:cs="Arial"/>
                <w:sz w:val="18"/>
                <w:lang w:val="en-US" w:eastAsia="zh-CN"/>
              </w:rPr>
            </w:pPr>
            <w:r w:rsidRPr="00581E8E">
              <w:rPr>
                <w:rFonts w:ascii="Arial" w:hAnsi="Arial" w:cs="Arial"/>
                <w:sz w:val="18"/>
                <w:lang w:val="en-US" w:eastAsia="zh-CN"/>
              </w:rPr>
              <w:t>-</w:t>
            </w:r>
          </w:p>
        </w:tc>
        <w:tc>
          <w:tcPr>
            <w:tcW w:w="517" w:type="pct"/>
            <w:hideMark/>
          </w:tcPr>
          <w:p w14:paraId="1143D75D"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w:t>
            </w:r>
          </w:p>
        </w:tc>
        <w:tc>
          <w:tcPr>
            <w:tcW w:w="493" w:type="pct"/>
          </w:tcPr>
          <w:p w14:paraId="72A9C9CC" w14:textId="77777777" w:rsidR="00D808CB" w:rsidRPr="00581E8E" w:rsidRDefault="00D808CB" w:rsidP="001313A6">
            <w:pPr>
              <w:rPr>
                <w:rFonts w:ascii="Arial" w:hAnsi="Arial" w:cs="Arial"/>
                <w:sz w:val="18"/>
                <w:lang w:eastAsia="zh-CN"/>
              </w:rPr>
            </w:pPr>
            <w:r>
              <w:rPr>
                <w:rFonts w:ascii="Arial" w:hAnsi="Arial" w:cs="Arial"/>
                <w:sz w:val="18"/>
                <w:lang w:eastAsia="zh-CN"/>
              </w:rPr>
              <w:t>3</w:t>
            </w:r>
          </w:p>
        </w:tc>
        <w:tc>
          <w:tcPr>
            <w:tcW w:w="1283" w:type="pct"/>
            <w:hideMark/>
          </w:tcPr>
          <w:p w14:paraId="76AF8E18"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235.52 x N1 (23 x N1)</w:t>
            </w:r>
          </w:p>
        </w:tc>
        <w:tc>
          <w:tcPr>
            <w:tcW w:w="809" w:type="pct"/>
            <w:hideMark/>
          </w:tcPr>
          <w:p w14:paraId="47EB19A4"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10.24 x N1 (1 x N1)</w:t>
            </w:r>
          </w:p>
        </w:tc>
        <w:tc>
          <w:tcPr>
            <w:tcW w:w="858" w:type="pct"/>
            <w:hideMark/>
          </w:tcPr>
          <w:p w14:paraId="21438A36"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20.48 x N1 (2 x N1)</w:t>
            </w:r>
          </w:p>
        </w:tc>
      </w:tr>
      <w:tr w:rsidR="00D808CB" w:rsidRPr="00B85562" w14:paraId="72CFD290" w14:textId="77777777" w:rsidTr="001313A6">
        <w:trPr>
          <w:trHeight w:val="673"/>
        </w:trPr>
        <w:tc>
          <w:tcPr>
            <w:tcW w:w="639" w:type="pct"/>
            <w:vMerge w:val="restart"/>
            <w:hideMark/>
          </w:tcPr>
          <w:p w14:paraId="7C8EF683" w14:textId="77777777" w:rsidR="00D808CB" w:rsidRPr="00581E8E" w:rsidRDefault="00D808CB" w:rsidP="001313A6">
            <w:pPr>
              <w:rPr>
                <w:rFonts w:ascii="Arial" w:hAnsi="Arial" w:cs="Arial"/>
                <w:sz w:val="18"/>
                <w:lang w:val="en-US" w:eastAsia="zh-CN"/>
              </w:rPr>
            </w:pPr>
            <w:r w:rsidRPr="0082197E">
              <w:rPr>
                <w:rFonts w:ascii="Arial" w:hAnsi="Arial" w:cs="Arial"/>
                <w:sz w:val="18"/>
                <w:lang w:eastAsia="zh-CN"/>
              </w:rPr>
              <w:t>20.48</w:t>
            </w:r>
            <w:r w:rsidRPr="00BE54BE">
              <w:rPr>
                <w:rFonts w:ascii="Arial" w:hAnsi="Arial" w:cs="Arial"/>
                <w:sz w:val="18"/>
                <w:lang w:eastAsia="zh-CN"/>
              </w:rPr>
              <w:t xml:space="preserve"> ≤</w:t>
            </w:r>
            <w:r w:rsidRPr="00BE54BE">
              <w:rPr>
                <w:rFonts w:cs="Arial"/>
              </w:rPr>
              <w:t xml:space="preserve"> </w:t>
            </w:r>
            <w:r w:rsidRPr="00BE54BE">
              <w:rPr>
                <w:rFonts w:ascii="Arial" w:hAnsi="Arial" w:cs="Arial"/>
                <w:sz w:val="18"/>
                <w:lang w:eastAsia="zh-CN"/>
              </w:rPr>
              <w:t xml:space="preserve"> eDRX_IDLE</w:t>
            </w:r>
            <w:r w:rsidRPr="00BE54BE">
              <w:rPr>
                <w:rFonts w:ascii="Arial" w:hAnsi="Arial" w:cs="Arial" w:hint="eastAsia"/>
                <w:sz w:val="18"/>
                <w:lang w:eastAsia="zh-CN"/>
              </w:rPr>
              <w:t xml:space="preserve"> cycle length ≤10485.</w:t>
            </w:r>
            <w:r w:rsidRPr="00581E8E">
              <w:rPr>
                <w:rFonts w:ascii="Arial" w:hAnsi="Arial" w:cs="Arial"/>
                <w:sz w:val="18"/>
                <w:lang w:eastAsia="zh-CN"/>
              </w:rPr>
              <w:t>76</w:t>
            </w:r>
          </w:p>
        </w:tc>
        <w:tc>
          <w:tcPr>
            <w:tcW w:w="401" w:type="pct"/>
            <w:hideMark/>
          </w:tcPr>
          <w:p w14:paraId="1393F4C8"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0.32</w:t>
            </w:r>
          </w:p>
        </w:tc>
        <w:tc>
          <w:tcPr>
            <w:tcW w:w="517" w:type="pct"/>
            <w:hideMark/>
          </w:tcPr>
          <w:p w14:paraId="2E22536E"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≥5.12 (4)</w:t>
            </w:r>
          </w:p>
        </w:tc>
        <w:tc>
          <w:tcPr>
            <w:tcW w:w="493" w:type="pct"/>
          </w:tcPr>
          <w:p w14:paraId="75E77455" w14:textId="77777777" w:rsidR="00D808CB" w:rsidRPr="00B11B68" w:rsidRDefault="00D808CB" w:rsidP="001313A6">
            <w:pPr>
              <w:rPr>
                <w:rFonts w:ascii="Arial" w:hAnsi="Arial"/>
                <w:sz w:val="18"/>
                <w:lang w:val="en-US" w:eastAsia="zh-CN"/>
              </w:rPr>
            </w:pPr>
            <w:r>
              <w:rPr>
                <w:rFonts w:ascii="Arial" w:hAnsi="Arial"/>
                <w:sz w:val="18"/>
                <w:lang w:val="en-US" w:eastAsia="zh-CN"/>
              </w:rPr>
              <w:t>8</w:t>
            </w:r>
          </w:p>
        </w:tc>
        <w:tc>
          <w:tcPr>
            <w:tcW w:w="1283" w:type="pct"/>
            <w:vMerge w:val="restart"/>
            <w:hideMark/>
          </w:tcPr>
          <w:p w14:paraId="4B66C4C2" w14:textId="77777777" w:rsidR="00D808CB" w:rsidRPr="00581E8E" w:rsidRDefault="00D808CB" w:rsidP="001313A6">
            <w:pPr>
              <w:rPr>
                <w:rFonts w:ascii="Arial" w:hAnsi="Arial" w:cs="Arial"/>
                <w:sz w:val="18"/>
                <w:lang w:val="en-US" w:eastAsia="zh-CN"/>
              </w:rPr>
            </w:pPr>
            <m:oMathPara>
              <m:oMathParaPr>
                <m:jc m:val="centerGroup"/>
              </m:oMathParaPr>
              <m:oMath>
                <m:r>
                  <w:rPr>
                    <w:rFonts w:ascii="Cambria Math" w:hAnsi="Cambria Math" w:cs="Arial"/>
                    <w:sz w:val="18"/>
                    <w:lang w:val="en-US" w:eastAsia="zh-CN"/>
                  </w:rPr>
                  <m:t>eDRX</m:t>
                </m:r>
                <m:r>
                  <m:rPr>
                    <m:sty m:val="p"/>
                  </m:rPr>
                  <w:rPr>
                    <w:rFonts w:ascii="Cambria Math" w:hAnsi="Cambria Math" w:cs="Arial"/>
                    <w:sz w:val="18"/>
                    <w:lang w:val="en-US" w:eastAsia="zh-CN"/>
                  </w:rPr>
                  <m:t>_</m:t>
                </m:r>
                <m:r>
                  <w:rPr>
                    <w:rFonts w:ascii="Cambria Math" w:hAnsi="Cambria Math" w:cs="Arial"/>
                    <w:sz w:val="18"/>
                    <w:lang w:val="en-US" w:eastAsia="zh-CN"/>
                  </w:rPr>
                  <m:t>cycl</m:t>
                </m:r>
                <m:r>
                  <m:rPr>
                    <m:sty m:val="p"/>
                  </m:rPr>
                  <w:rPr>
                    <w:rFonts w:ascii="Cambria Math" w:hAnsi="Cambria Math" w:cs="Arial"/>
                    <w:sz w:val="18"/>
                    <w:lang w:val="en-US" w:eastAsia="zh-CN"/>
                  </w:rPr>
                  <m:t>e_</m:t>
                </m:r>
                <m:r>
                  <w:rPr>
                    <w:rFonts w:ascii="Cambria Math" w:hAnsi="Cambria Math" w:cs="Arial"/>
                    <w:sz w:val="18"/>
                    <w:lang w:val="en-US" w:eastAsia="zh-CN"/>
                  </w:rPr>
                  <m:t>length×</m:t>
                </m:r>
                <m:d>
                  <m:dPr>
                    <m:begChr m:val="⌈"/>
                    <m:endChr m:val="⌉"/>
                    <m:ctrlPr>
                      <w:rPr>
                        <w:rFonts w:ascii="Cambria Math" w:hAnsi="Cambria Math" w:cs="Arial"/>
                        <w:i/>
                        <w:sz w:val="18"/>
                        <w:lang w:val="en-US" w:eastAsia="zh-CN"/>
                      </w:rPr>
                    </m:ctrlPr>
                  </m:dPr>
                  <m:e>
                    <m:f>
                      <m:fPr>
                        <m:ctrlPr>
                          <w:rPr>
                            <w:rFonts w:ascii="Cambria Math" w:hAnsi="Cambria Math" w:cs="Arial"/>
                            <w:i/>
                            <w:sz w:val="18"/>
                            <w:lang w:val="en-US" w:eastAsia="zh-CN"/>
                          </w:rPr>
                        </m:ctrlPr>
                      </m:fPr>
                      <m:num>
                        <m:r>
                          <w:rPr>
                            <w:rFonts w:ascii="Cambria Math" w:hAnsi="Cambria Math" w:cs="Arial"/>
                            <w:sz w:val="18"/>
                            <w:lang w:val="en-US" w:eastAsia="zh-CN"/>
                          </w:rPr>
                          <m:t>23×N1</m:t>
                        </m:r>
                      </m:num>
                      <m:den>
                        <m:r>
                          <w:rPr>
                            <w:rFonts w:ascii="Cambria Math" w:hAnsi="Cambria Math" w:cs="Arial"/>
                            <w:sz w:val="18"/>
                            <w:lang w:val="en-US" w:eastAsia="zh-CN"/>
                          </w:rPr>
                          <m:t>PTW/DRX_cycle_length</m:t>
                        </m:r>
                      </m:den>
                    </m:f>
                  </m:e>
                </m:d>
              </m:oMath>
            </m:oMathPara>
          </w:p>
          <w:p w14:paraId="40972543" w14:textId="77777777" w:rsidR="00D808CB" w:rsidRPr="00581E8E" w:rsidRDefault="00D808CB" w:rsidP="001313A6">
            <w:pPr>
              <w:rPr>
                <w:rFonts w:ascii="Arial" w:hAnsi="Arial" w:cs="Arial"/>
                <w:sz w:val="18"/>
                <w:lang w:val="en-US" w:eastAsia="zh-CN"/>
              </w:rPr>
            </w:pPr>
            <w:r w:rsidRPr="00581E8E">
              <w:rPr>
                <w:rFonts w:ascii="Arial" w:hAnsi="Arial" w:cs="Arial"/>
                <w:sz w:val="18"/>
                <w:lang w:val="en-US" w:eastAsia="zh-CN"/>
              </w:rPr>
              <w:t>(23</w:t>
            </w:r>
            <w:r w:rsidRPr="00581E8E">
              <w:rPr>
                <w:rFonts w:ascii="Arial" w:hAnsi="Arial" w:cs="Arial"/>
                <w:sz w:val="18"/>
                <w:lang w:eastAsia="zh-CN"/>
              </w:rPr>
              <w:t xml:space="preserve"> x N1</w:t>
            </w:r>
            <w:r w:rsidRPr="00581E8E">
              <w:rPr>
                <w:rFonts w:ascii="Arial" w:hAnsi="Arial" w:cs="Arial"/>
                <w:sz w:val="18"/>
                <w:lang w:val="en-US" w:eastAsia="zh-CN"/>
              </w:rPr>
              <w:t>)</w:t>
            </w:r>
          </w:p>
        </w:tc>
        <w:tc>
          <w:tcPr>
            <w:tcW w:w="809" w:type="pct"/>
            <w:hideMark/>
          </w:tcPr>
          <w:p w14:paraId="017D4C91"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0.32 x N1 (1 x N1)</w:t>
            </w:r>
          </w:p>
        </w:tc>
        <w:tc>
          <w:tcPr>
            <w:tcW w:w="858" w:type="pct"/>
            <w:hideMark/>
          </w:tcPr>
          <w:p w14:paraId="3EEF0641"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0.64 x N1 (2 x N1)</w:t>
            </w:r>
          </w:p>
        </w:tc>
      </w:tr>
      <w:tr w:rsidR="00D808CB" w:rsidRPr="00B85562" w14:paraId="1CACC28B" w14:textId="77777777" w:rsidTr="001313A6">
        <w:trPr>
          <w:trHeight w:val="336"/>
        </w:trPr>
        <w:tc>
          <w:tcPr>
            <w:tcW w:w="639" w:type="pct"/>
            <w:vMerge/>
            <w:hideMark/>
          </w:tcPr>
          <w:p w14:paraId="29CDD9A5" w14:textId="77777777" w:rsidR="00D808CB" w:rsidRPr="00581E8E" w:rsidRDefault="00D808CB" w:rsidP="001313A6">
            <w:pPr>
              <w:rPr>
                <w:rFonts w:ascii="Arial" w:hAnsi="Arial" w:cs="Arial"/>
                <w:sz w:val="18"/>
                <w:lang w:val="en-US" w:eastAsia="zh-CN"/>
              </w:rPr>
            </w:pPr>
          </w:p>
        </w:tc>
        <w:tc>
          <w:tcPr>
            <w:tcW w:w="401" w:type="pct"/>
            <w:hideMark/>
          </w:tcPr>
          <w:p w14:paraId="5923682E"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0.64</w:t>
            </w:r>
          </w:p>
        </w:tc>
        <w:tc>
          <w:tcPr>
            <w:tcW w:w="517" w:type="pct"/>
            <w:hideMark/>
          </w:tcPr>
          <w:p w14:paraId="3E60935D"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w:t>
            </w:r>
            <w:r>
              <w:rPr>
                <w:rFonts w:ascii="Arial" w:hAnsi="Arial" w:cs="Arial"/>
                <w:sz w:val="18"/>
                <w:lang w:eastAsia="zh-CN"/>
              </w:rPr>
              <w:t>6.4</w:t>
            </w:r>
            <w:r w:rsidRPr="00581E8E">
              <w:rPr>
                <w:rFonts w:ascii="Arial" w:hAnsi="Arial" w:cs="Arial"/>
                <w:sz w:val="18"/>
                <w:lang w:eastAsia="zh-CN"/>
              </w:rPr>
              <w:t xml:space="preserve"> (</w:t>
            </w:r>
            <w:r>
              <w:rPr>
                <w:rFonts w:ascii="Arial" w:hAnsi="Arial" w:cs="Arial"/>
                <w:sz w:val="18"/>
                <w:lang w:eastAsia="zh-CN"/>
              </w:rPr>
              <w:t>5</w:t>
            </w:r>
            <w:r w:rsidRPr="00581E8E">
              <w:rPr>
                <w:rFonts w:ascii="Arial" w:hAnsi="Arial" w:cs="Arial"/>
                <w:sz w:val="18"/>
                <w:lang w:eastAsia="zh-CN"/>
              </w:rPr>
              <w:t>)</w:t>
            </w:r>
          </w:p>
        </w:tc>
        <w:tc>
          <w:tcPr>
            <w:tcW w:w="493" w:type="pct"/>
          </w:tcPr>
          <w:p w14:paraId="1A022AC8" w14:textId="77777777" w:rsidR="00D808CB" w:rsidRPr="00581E8E" w:rsidRDefault="00D808CB" w:rsidP="001313A6">
            <w:pPr>
              <w:rPr>
                <w:rFonts w:ascii="Arial" w:hAnsi="Arial" w:cs="Arial"/>
                <w:sz w:val="18"/>
                <w:lang w:val="en-US" w:eastAsia="zh-CN"/>
              </w:rPr>
            </w:pPr>
            <w:r>
              <w:rPr>
                <w:rFonts w:ascii="Arial" w:hAnsi="Arial" w:cs="Arial"/>
                <w:sz w:val="18"/>
                <w:lang w:val="en-US" w:eastAsia="zh-CN"/>
              </w:rPr>
              <w:t>5</w:t>
            </w:r>
          </w:p>
        </w:tc>
        <w:tc>
          <w:tcPr>
            <w:tcW w:w="1283" w:type="pct"/>
            <w:vMerge/>
            <w:hideMark/>
          </w:tcPr>
          <w:p w14:paraId="603005E2" w14:textId="77777777" w:rsidR="00D808CB" w:rsidRPr="00581E8E" w:rsidRDefault="00D808CB" w:rsidP="001313A6">
            <w:pPr>
              <w:rPr>
                <w:rFonts w:ascii="Arial" w:hAnsi="Arial" w:cs="Arial"/>
                <w:sz w:val="18"/>
                <w:lang w:val="en-US" w:eastAsia="zh-CN"/>
              </w:rPr>
            </w:pPr>
          </w:p>
        </w:tc>
        <w:tc>
          <w:tcPr>
            <w:tcW w:w="809" w:type="pct"/>
            <w:hideMark/>
          </w:tcPr>
          <w:p w14:paraId="2D5E9707"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0.64 x N1 (1 x N1)</w:t>
            </w:r>
          </w:p>
        </w:tc>
        <w:tc>
          <w:tcPr>
            <w:tcW w:w="858" w:type="pct"/>
            <w:hideMark/>
          </w:tcPr>
          <w:p w14:paraId="20D4BEE9"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1.28 x N1 (2 x N1)</w:t>
            </w:r>
          </w:p>
        </w:tc>
      </w:tr>
      <w:tr w:rsidR="00D808CB" w:rsidRPr="00B85562" w14:paraId="143675B6" w14:textId="77777777" w:rsidTr="001313A6">
        <w:trPr>
          <w:trHeight w:val="336"/>
        </w:trPr>
        <w:tc>
          <w:tcPr>
            <w:tcW w:w="639" w:type="pct"/>
            <w:vMerge/>
            <w:hideMark/>
          </w:tcPr>
          <w:p w14:paraId="2AB0166E" w14:textId="77777777" w:rsidR="00D808CB" w:rsidRPr="00581E8E" w:rsidRDefault="00D808CB" w:rsidP="001313A6">
            <w:pPr>
              <w:rPr>
                <w:rFonts w:ascii="Arial" w:hAnsi="Arial" w:cs="Arial"/>
                <w:sz w:val="18"/>
                <w:lang w:val="en-US" w:eastAsia="zh-CN"/>
              </w:rPr>
            </w:pPr>
          </w:p>
        </w:tc>
        <w:tc>
          <w:tcPr>
            <w:tcW w:w="401" w:type="pct"/>
            <w:hideMark/>
          </w:tcPr>
          <w:p w14:paraId="40593BD3"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1.28</w:t>
            </w:r>
          </w:p>
        </w:tc>
        <w:tc>
          <w:tcPr>
            <w:tcW w:w="517" w:type="pct"/>
            <w:hideMark/>
          </w:tcPr>
          <w:p w14:paraId="3A58DA88"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w:t>
            </w:r>
            <w:r>
              <w:rPr>
                <w:rFonts w:ascii="Arial" w:hAnsi="Arial" w:cs="Arial"/>
                <w:sz w:val="18"/>
                <w:lang w:eastAsia="zh-CN"/>
              </w:rPr>
              <w:t>10.24</w:t>
            </w:r>
            <w:r w:rsidRPr="00581E8E">
              <w:rPr>
                <w:rFonts w:ascii="Arial" w:hAnsi="Arial" w:cs="Arial"/>
                <w:sz w:val="18"/>
                <w:lang w:eastAsia="zh-CN"/>
              </w:rPr>
              <w:t xml:space="preserve"> (</w:t>
            </w:r>
            <w:r>
              <w:rPr>
                <w:rFonts w:ascii="Arial" w:hAnsi="Arial" w:cs="Arial"/>
                <w:sz w:val="18"/>
                <w:lang w:eastAsia="zh-CN"/>
              </w:rPr>
              <w:t>8</w:t>
            </w:r>
            <w:r w:rsidRPr="00581E8E">
              <w:rPr>
                <w:rFonts w:ascii="Arial" w:hAnsi="Arial" w:cs="Arial"/>
                <w:sz w:val="18"/>
                <w:lang w:eastAsia="zh-CN"/>
              </w:rPr>
              <w:t>)</w:t>
            </w:r>
          </w:p>
        </w:tc>
        <w:tc>
          <w:tcPr>
            <w:tcW w:w="493" w:type="pct"/>
          </w:tcPr>
          <w:p w14:paraId="7DC454D1" w14:textId="77777777" w:rsidR="00D808CB" w:rsidRPr="00581E8E" w:rsidRDefault="00D808CB" w:rsidP="001313A6">
            <w:pPr>
              <w:rPr>
                <w:rFonts w:ascii="Arial" w:hAnsi="Arial" w:cs="Arial"/>
                <w:sz w:val="18"/>
                <w:lang w:val="en-US" w:eastAsia="zh-CN"/>
              </w:rPr>
            </w:pPr>
            <w:r>
              <w:rPr>
                <w:rFonts w:ascii="Arial" w:hAnsi="Arial" w:cs="Arial"/>
                <w:sz w:val="18"/>
                <w:lang w:val="en-US" w:eastAsia="zh-CN"/>
              </w:rPr>
              <w:t>4</w:t>
            </w:r>
          </w:p>
        </w:tc>
        <w:tc>
          <w:tcPr>
            <w:tcW w:w="1283" w:type="pct"/>
            <w:vMerge/>
            <w:hideMark/>
          </w:tcPr>
          <w:p w14:paraId="6FF6C5B7" w14:textId="77777777" w:rsidR="00D808CB" w:rsidRPr="00581E8E" w:rsidRDefault="00D808CB" w:rsidP="001313A6">
            <w:pPr>
              <w:rPr>
                <w:rFonts w:ascii="Arial" w:hAnsi="Arial" w:cs="Arial"/>
                <w:sz w:val="18"/>
                <w:lang w:val="en-US" w:eastAsia="zh-CN"/>
              </w:rPr>
            </w:pPr>
          </w:p>
        </w:tc>
        <w:tc>
          <w:tcPr>
            <w:tcW w:w="809" w:type="pct"/>
            <w:hideMark/>
          </w:tcPr>
          <w:p w14:paraId="690BFDFB"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1.28 x N1 (1 x N1)</w:t>
            </w:r>
          </w:p>
        </w:tc>
        <w:tc>
          <w:tcPr>
            <w:tcW w:w="858" w:type="pct"/>
            <w:hideMark/>
          </w:tcPr>
          <w:p w14:paraId="0C1B73CF"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2.56 x N1 (2 x N1)</w:t>
            </w:r>
          </w:p>
        </w:tc>
      </w:tr>
      <w:tr w:rsidR="00D808CB" w:rsidRPr="00B85562" w14:paraId="54854585" w14:textId="77777777" w:rsidTr="001313A6">
        <w:trPr>
          <w:trHeight w:val="336"/>
        </w:trPr>
        <w:tc>
          <w:tcPr>
            <w:tcW w:w="639" w:type="pct"/>
            <w:vMerge/>
            <w:hideMark/>
          </w:tcPr>
          <w:p w14:paraId="084E92B9" w14:textId="77777777" w:rsidR="00D808CB" w:rsidRPr="00581E8E" w:rsidRDefault="00D808CB" w:rsidP="001313A6">
            <w:pPr>
              <w:rPr>
                <w:rFonts w:ascii="Arial" w:hAnsi="Arial" w:cs="Arial"/>
                <w:sz w:val="18"/>
                <w:lang w:val="en-US" w:eastAsia="zh-CN"/>
              </w:rPr>
            </w:pPr>
          </w:p>
        </w:tc>
        <w:tc>
          <w:tcPr>
            <w:tcW w:w="401" w:type="pct"/>
            <w:hideMark/>
          </w:tcPr>
          <w:p w14:paraId="495F813F"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2.56</w:t>
            </w:r>
          </w:p>
        </w:tc>
        <w:tc>
          <w:tcPr>
            <w:tcW w:w="517" w:type="pct"/>
            <w:hideMark/>
          </w:tcPr>
          <w:p w14:paraId="6FEE3702"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w:t>
            </w:r>
            <w:r>
              <w:rPr>
                <w:rFonts w:ascii="Arial" w:hAnsi="Arial" w:cs="Arial"/>
                <w:sz w:val="18"/>
                <w:lang w:eastAsia="zh-CN"/>
              </w:rPr>
              <w:t>15.36</w:t>
            </w:r>
            <w:r w:rsidRPr="00581E8E">
              <w:rPr>
                <w:rFonts w:ascii="Arial" w:hAnsi="Arial" w:cs="Arial"/>
                <w:sz w:val="18"/>
                <w:lang w:eastAsia="zh-CN"/>
              </w:rPr>
              <w:t xml:space="preserve"> (</w:t>
            </w:r>
            <w:r>
              <w:rPr>
                <w:rFonts w:ascii="Arial" w:hAnsi="Arial" w:cs="Arial"/>
                <w:sz w:val="18"/>
                <w:lang w:eastAsia="zh-CN"/>
              </w:rPr>
              <w:t>12</w:t>
            </w:r>
            <w:r w:rsidRPr="00581E8E">
              <w:rPr>
                <w:rFonts w:ascii="Arial" w:hAnsi="Arial" w:cs="Arial"/>
                <w:sz w:val="18"/>
                <w:lang w:eastAsia="zh-CN"/>
              </w:rPr>
              <w:t>)</w:t>
            </w:r>
          </w:p>
        </w:tc>
        <w:tc>
          <w:tcPr>
            <w:tcW w:w="493" w:type="pct"/>
          </w:tcPr>
          <w:p w14:paraId="20C141DD" w14:textId="77777777" w:rsidR="00D808CB" w:rsidRPr="00581E8E" w:rsidRDefault="00D808CB" w:rsidP="001313A6">
            <w:pPr>
              <w:rPr>
                <w:rFonts w:ascii="Arial" w:hAnsi="Arial" w:cs="Arial"/>
                <w:sz w:val="18"/>
                <w:lang w:val="en-US" w:eastAsia="zh-CN"/>
              </w:rPr>
            </w:pPr>
            <w:r>
              <w:rPr>
                <w:rFonts w:ascii="Arial" w:hAnsi="Arial" w:cs="Arial"/>
                <w:sz w:val="18"/>
                <w:lang w:val="en-US" w:eastAsia="zh-CN"/>
              </w:rPr>
              <w:t>3</w:t>
            </w:r>
          </w:p>
        </w:tc>
        <w:tc>
          <w:tcPr>
            <w:tcW w:w="1283" w:type="pct"/>
            <w:vMerge/>
            <w:hideMark/>
          </w:tcPr>
          <w:p w14:paraId="310871C2" w14:textId="77777777" w:rsidR="00D808CB" w:rsidRPr="00581E8E" w:rsidRDefault="00D808CB" w:rsidP="001313A6">
            <w:pPr>
              <w:rPr>
                <w:rFonts w:ascii="Arial" w:hAnsi="Arial" w:cs="Arial"/>
                <w:sz w:val="18"/>
                <w:lang w:val="en-US" w:eastAsia="zh-CN"/>
              </w:rPr>
            </w:pPr>
          </w:p>
        </w:tc>
        <w:tc>
          <w:tcPr>
            <w:tcW w:w="809" w:type="pct"/>
            <w:hideMark/>
          </w:tcPr>
          <w:p w14:paraId="2C00FB57"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2.56 x N1 (1 x N1)</w:t>
            </w:r>
          </w:p>
        </w:tc>
        <w:tc>
          <w:tcPr>
            <w:tcW w:w="858" w:type="pct"/>
            <w:hideMark/>
          </w:tcPr>
          <w:p w14:paraId="3CB7069B"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5.12 x N1 (2 x N1)</w:t>
            </w:r>
          </w:p>
        </w:tc>
      </w:tr>
      <w:tr w:rsidR="00D808CB" w:rsidRPr="00B85562" w14:paraId="7AF924E7" w14:textId="77777777" w:rsidTr="001313A6">
        <w:trPr>
          <w:trHeight w:val="336"/>
        </w:trPr>
        <w:tc>
          <w:tcPr>
            <w:tcW w:w="5000" w:type="pct"/>
            <w:gridSpan w:val="7"/>
          </w:tcPr>
          <w:p w14:paraId="17C8D7A9" w14:textId="77777777" w:rsidR="00D808CB" w:rsidRPr="009C5807" w:rsidRDefault="00D808CB" w:rsidP="001313A6">
            <w:pPr>
              <w:pStyle w:val="TAN"/>
              <w:rPr>
                <w:snapToGrid w:val="0"/>
                <w:lang w:eastAsia="zh-CN"/>
              </w:rPr>
            </w:pPr>
            <w:r w:rsidRPr="002615F9">
              <w:rPr>
                <w:snapToGrid w:val="0"/>
                <w:lang w:eastAsia="zh-CN"/>
              </w:rPr>
              <w:t>NOTE</w:t>
            </w:r>
            <w:r w:rsidRPr="009C5807">
              <w:rPr>
                <w:snapToGrid w:val="0"/>
                <w:lang w:eastAsia="zh-CN"/>
              </w:rPr>
              <w:t xml:space="preserve"> 1</w:t>
            </w:r>
            <w:r w:rsidRPr="009C5807">
              <w:t>:</w:t>
            </w:r>
            <w:r>
              <w:t xml:space="preserve"> </w:t>
            </w:r>
            <w:r w:rsidRPr="0082197E">
              <w:rPr>
                <w:lang w:eastAsia="zh-CN"/>
              </w:rPr>
              <w:t>Applies for RedCap UE of all power class</w:t>
            </w:r>
            <w:r w:rsidRPr="009C5807">
              <w:t>.</w:t>
            </w:r>
          </w:p>
          <w:p w14:paraId="0F0627CB" w14:textId="77777777" w:rsidR="00D808CB" w:rsidRPr="00047B96" w:rsidRDefault="00D808CB" w:rsidP="001313A6">
            <w:pPr>
              <w:pStyle w:val="TAN"/>
              <w:rPr>
                <w:snapToGrid w:val="0"/>
                <w:lang w:eastAsia="zh-CN"/>
              </w:rPr>
            </w:pPr>
            <w:r w:rsidRPr="00047B96">
              <w:rPr>
                <w:snapToGrid w:val="0"/>
                <w:lang w:eastAsia="zh-CN"/>
              </w:rPr>
              <w:t xml:space="preserve">NOTE </w:t>
            </w:r>
            <w:r>
              <w:rPr>
                <w:snapToGrid w:val="0"/>
                <w:lang w:eastAsia="zh-CN"/>
              </w:rPr>
              <w:t>2</w:t>
            </w:r>
            <w:r w:rsidRPr="00047B96">
              <w:rPr>
                <w:snapToGrid w:val="0"/>
                <w:lang w:eastAsia="zh-CN"/>
              </w:rPr>
              <w:t>: The number of DRX cycles in this table is given for the DRX cycles within PTWs.</w:t>
            </w:r>
          </w:p>
          <w:p w14:paraId="7A314F77" w14:textId="77777777" w:rsidR="00D808CB" w:rsidRPr="00047B96" w:rsidRDefault="00D808CB" w:rsidP="001313A6">
            <w:pPr>
              <w:pStyle w:val="TAN"/>
              <w:rPr>
                <w:snapToGrid w:val="0"/>
                <w:lang w:eastAsia="zh-CN"/>
              </w:rPr>
            </w:pPr>
            <w:r w:rsidRPr="00047B96">
              <w:rPr>
                <w:snapToGrid w:val="0"/>
                <w:lang w:eastAsia="zh-CN"/>
              </w:rPr>
              <w:t xml:space="preserve">NOTE </w:t>
            </w:r>
            <w:r>
              <w:rPr>
                <w:snapToGrid w:val="0"/>
                <w:lang w:eastAsia="zh-CN"/>
              </w:rPr>
              <w:t>3</w:t>
            </w:r>
            <w:r w:rsidRPr="00047B96">
              <w:rPr>
                <w:snapToGrid w:val="0"/>
                <w:lang w:eastAsia="zh-CN"/>
              </w:rPr>
              <w:t>: The eDRX_IDLE cycle lengths are as specified in Section 10.5.5.32 of TS 24.008 [34].</w:t>
            </w:r>
          </w:p>
          <w:p w14:paraId="50C27553" w14:textId="77777777" w:rsidR="00D808CB" w:rsidRDefault="00D808CB" w:rsidP="001313A6">
            <w:pPr>
              <w:pStyle w:val="TAN"/>
              <w:rPr>
                <w:snapToGrid w:val="0"/>
                <w:lang w:eastAsia="zh-CN"/>
              </w:rPr>
            </w:pPr>
            <w:r w:rsidRPr="00047B96">
              <w:rPr>
                <w:snapToGrid w:val="0"/>
                <w:lang w:eastAsia="zh-CN"/>
              </w:rPr>
              <w:t xml:space="preserve">NOTE </w:t>
            </w:r>
            <w:r>
              <w:rPr>
                <w:snapToGrid w:val="0"/>
                <w:lang w:eastAsia="zh-CN"/>
              </w:rPr>
              <w:t>4</w:t>
            </w:r>
            <w:r w:rsidRPr="00047B96">
              <w:rPr>
                <w:snapToGrid w:val="0"/>
                <w:lang w:eastAsia="zh-CN"/>
              </w:rPr>
              <w:t>: Number of eDRX cycles when eDRX_IDLE cycle length equals 2.56s, 5.12s</w:t>
            </w:r>
            <w:r w:rsidRPr="00047B96">
              <w:rPr>
                <w:rFonts w:hint="eastAsia"/>
                <w:snapToGrid w:val="0"/>
                <w:lang w:eastAsia="zh-CN"/>
              </w:rPr>
              <w:t xml:space="preserve"> </w:t>
            </w:r>
            <w:r w:rsidRPr="00047B96">
              <w:rPr>
                <w:snapToGrid w:val="0"/>
                <w:lang w:eastAsia="zh-CN"/>
              </w:rPr>
              <w:t>and 10.24s. Otherwise, number of DRX cycles.</w:t>
            </w:r>
          </w:p>
          <w:p w14:paraId="529E6512" w14:textId="77777777" w:rsidR="003D151D" w:rsidRDefault="003D151D" w:rsidP="003D151D">
            <w:pPr>
              <w:pStyle w:val="TAN"/>
              <w:rPr>
                <w:rFonts w:cs="Arial"/>
                <w:iCs/>
              </w:rPr>
            </w:pPr>
            <w:r w:rsidRPr="00047B96">
              <w:rPr>
                <w:snapToGrid w:val="0"/>
                <w:lang w:eastAsia="zh-CN"/>
              </w:rPr>
              <w:t xml:space="preserve">NOTE </w:t>
            </w:r>
            <w:r>
              <w:rPr>
                <w:rFonts w:cs="Arial"/>
              </w:rPr>
              <w:t>5</w:t>
            </w:r>
            <w:r w:rsidRPr="00691C10">
              <w:rPr>
                <w:rFonts w:cs="Arial"/>
              </w:rPr>
              <w:t>:</w:t>
            </w:r>
            <w:r w:rsidRPr="009C5807">
              <w:rPr>
                <w:lang w:val="en-US"/>
              </w:rPr>
              <w:t xml:space="preserve"> </w:t>
            </w:r>
            <w:r>
              <w:rPr>
                <w:rFonts w:cs="Arial"/>
              </w:rPr>
              <w:t xml:space="preserve">The lower bound of </w:t>
            </w:r>
            <w:r w:rsidRPr="007D1E39">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evaluate,NR_Intra_RedCap</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Pr>
                <w:rFonts w:cs="Arial"/>
                <w:iCs/>
              </w:rPr>
              <w:t>.</w:t>
            </w:r>
          </w:p>
          <w:p w14:paraId="4F1BDCF9" w14:textId="21984D31" w:rsidR="00D808CB" w:rsidRPr="00581E8E" w:rsidRDefault="003D151D" w:rsidP="003D151D">
            <w:pPr>
              <w:pStyle w:val="TAN"/>
              <w:rPr>
                <w:rFonts w:cs="Arial"/>
                <w:lang w:eastAsia="zh-CN"/>
              </w:rPr>
            </w:pPr>
            <w:r>
              <w:rPr>
                <w:rFonts w:cs="Arial"/>
                <w:iCs/>
              </w:rPr>
              <w:t>NOTE 6: When eDRX=20.48s and DRX=0.32s, UE is allowed to perform cell evaluation within PTW in every 2 eDRX cycles.</w:t>
            </w:r>
          </w:p>
        </w:tc>
      </w:tr>
    </w:tbl>
    <w:p w14:paraId="4309BA10" w14:textId="77777777" w:rsidR="00D808CB" w:rsidRDefault="00D808CB" w:rsidP="00D808CB">
      <w:pPr>
        <w:rPr>
          <w:lang w:val="en-US" w:eastAsia="zh-CN"/>
        </w:rPr>
      </w:pPr>
    </w:p>
    <w:p w14:paraId="6733D34C" w14:textId="77777777" w:rsidR="00D808CB" w:rsidRPr="00691C10" w:rsidRDefault="00D808CB" w:rsidP="00D808CB">
      <w:r w:rsidRPr="00691C10">
        <w:t xml:space="preserve">For any requirement in this section, when the UE transitions between any two states when being configured with eDRX_IDLE, being configured with eDRX_IDLE cycle, changing eDRX_IDLE cycle length, or changing PTW configuration, the UE shall meet the transition requirement, which is the less stringent requirement of the two requirements corresponding to the first state and the second state, during the transition time interval which is the time corresponding to the transition requirement. After the transition time interval, the UE </w:t>
      </w:r>
      <w:r>
        <w:t>shall</w:t>
      </w:r>
      <w:r w:rsidRPr="00691C10">
        <w:t xml:space="preserve"> meet the requirement corresponding to the second state.</w:t>
      </w:r>
    </w:p>
    <w:p w14:paraId="4A3E027F" w14:textId="77777777" w:rsidR="00D808CB" w:rsidRDefault="00D808CB" w:rsidP="00D808CB">
      <w:pPr>
        <w:pStyle w:val="Heading4"/>
      </w:pPr>
      <w:r>
        <w:t>4.2B.2.4</w:t>
      </w:r>
      <w:r>
        <w:tab/>
        <w:t xml:space="preserve">Measurements of inter-frequency NR cells </w:t>
      </w:r>
      <w:r w:rsidRPr="00A76DF0">
        <w:t>for RedCap UE</w:t>
      </w:r>
    </w:p>
    <w:p w14:paraId="47F28D97" w14:textId="77777777" w:rsidR="00D808CB" w:rsidRPr="008C6DE4" w:rsidRDefault="00D808CB" w:rsidP="00D808CB">
      <w:r w:rsidRPr="008C6DE4">
        <w:t>The UE shall be able to identify new inter-frequency cells and perform SS-RSRP or SS-RSRQ measurements of identified inter-frequency cells if carrier frequency information is provided by the serving cell, even if no explicit neighbour list with physical layer cell identities is provided.</w:t>
      </w:r>
    </w:p>
    <w:p w14:paraId="3F2EB053" w14:textId="77777777" w:rsidR="00D808CB" w:rsidRPr="008C6DE4" w:rsidRDefault="00D808CB" w:rsidP="00D808CB">
      <w:pPr>
        <w:jc w:val="both"/>
      </w:pPr>
      <w:r w:rsidRPr="008C6DE4">
        <w:t xml:space="preserve">If Srxlev &gt; </w:t>
      </w:r>
      <w:r w:rsidRPr="00275B6E">
        <w:t>S</w:t>
      </w:r>
      <w:r w:rsidRPr="00275B6E">
        <w:rPr>
          <w:vertAlign w:val="subscript"/>
        </w:rPr>
        <w:t>nonIntraSearchP</w:t>
      </w:r>
      <w:r w:rsidRPr="008C6DE4">
        <w:t xml:space="preserve"> and Squal &gt; </w:t>
      </w:r>
      <w:r w:rsidRPr="00275B6E">
        <w:t>S</w:t>
      </w:r>
      <w:r w:rsidRPr="00275B6E">
        <w:rPr>
          <w:vertAlign w:val="subscript"/>
        </w:rPr>
        <w:t>nonIntraSearchQ</w:t>
      </w:r>
      <w:r w:rsidRPr="008C6DE4">
        <w:t xml:space="preserve"> then the UE shall search for inter-frequency layers of higher priority at least every </w:t>
      </w:r>
      <w:r w:rsidRPr="00275B6E">
        <w:t>T</w:t>
      </w:r>
      <w:r w:rsidRPr="00275B6E">
        <w:rPr>
          <w:vertAlign w:val="subscript"/>
        </w:rPr>
        <w:t>higher_priority_search</w:t>
      </w:r>
      <w:r w:rsidRPr="008C6DE4">
        <w:rPr>
          <w:vertAlign w:val="subscript"/>
        </w:rPr>
        <w:t xml:space="preserve"> </w:t>
      </w:r>
      <w:r w:rsidRPr="008C6DE4">
        <w:t xml:space="preserve">where </w:t>
      </w:r>
      <w:r w:rsidRPr="00275B6E">
        <w:t>T</w:t>
      </w:r>
      <w:r w:rsidRPr="00275B6E">
        <w:rPr>
          <w:vertAlign w:val="subscript"/>
        </w:rPr>
        <w:t>higher_priority_search</w:t>
      </w:r>
      <w:r w:rsidRPr="008C6DE4">
        <w:t xml:space="preserve"> is described in </w:t>
      </w:r>
      <w:r w:rsidRPr="00275B6E">
        <w:t>clause 4.2.2.7</w:t>
      </w:r>
      <w:r w:rsidRPr="008C6DE4">
        <w:t>.</w:t>
      </w:r>
    </w:p>
    <w:p w14:paraId="7D2F2B27" w14:textId="77777777" w:rsidR="00D808CB" w:rsidRPr="008C6DE4" w:rsidRDefault="00D808CB" w:rsidP="00D808CB">
      <w:pPr>
        <w:jc w:val="both"/>
        <w:rPr>
          <w:rFonts w:cs="v4.2.0"/>
        </w:rPr>
      </w:pPr>
      <w:r w:rsidRPr="008C6DE4">
        <w:t xml:space="preserve">If Srxlev </w:t>
      </w:r>
      <w:r w:rsidRPr="008C6DE4">
        <w:rPr>
          <w:rFonts w:hint="eastAsia"/>
          <w:lang w:val="en-US"/>
        </w:rPr>
        <w:t>≤</w:t>
      </w:r>
      <w:r w:rsidRPr="008C6DE4">
        <w:t xml:space="preserve"> S</w:t>
      </w:r>
      <w:r w:rsidRPr="008C6DE4">
        <w:rPr>
          <w:vertAlign w:val="subscript"/>
        </w:rPr>
        <w:t>nonIntraSearchP</w:t>
      </w:r>
      <w:r w:rsidRPr="008C6DE4">
        <w:t xml:space="preserve"> or Squal </w:t>
      </w:r>
      <w:r w:rsidRPr="008C6DE4">
        <w:rPr>
          <w:rFonts w:hint="eastAsia"/>
          <w:lang w:val="en-US"/>
        </w:rPr>
        <w:t>≤</w:t>
      </w:r>
      <w:r w:rsidRPr="008C6DE4">
        <w:t xml:space="preserve"> S</w:t>
      </w:r>
      <w:r w:rsidRPr="008C6DE4">
        <w:rPr>
          <w:vertAlign w:val="subscript"/>
        </w:rPr>
        <w:t>nonIntraSearchQ</w:t>
      </w:r>
      <w:r w:rsidRPr="008C6DE4">
        <w:t xml:space="preserve"> then the UE shall search for and measure inter-frequency layers of higher, equal or lower priority in preparation for possible reselection. In this scenario, the minimum rate at which the UE is required to search for and measure higher priority layers shall be the same as that defined below in this clause.</w:t>
      </w:r>
    </w:p>
    <w:p w14:paraId="1597708E" w14:textId="77777777" w:rsidR="00D808CB" w:rsidRDefault="00D808CB" w:rsidP="00D808CB">
      <w:pPr>
        <w:rPr>
          <w:rFonts w:cs="v4.2.0"/>
        </w:rPr>
      </w:pPr>
      <w:r w:rsidRPr="008C6DE4">
        <w:rPr>
          <w:rFonts w:cs="v4.2.0"/>
        </w:rPr>
        <w:t>The UE shall be able to evaluate whether a newly detectable inter-frequency cell meets the reselection criteria defined in TS</w:t>
      </w:r>
      <w:r>
        <w:rPr>
          <w:rFonts w:cs="v4.2.0"/>
        </w:rPr>
        <w:t xml:space="preserve"> </w:t>
      </w:r>
      <w:r w:rsidRPr="008C6DE4">
        <w:rPr>
          <w:rFonts w:cs="v4.2.0"/>
        </w:rPr>
        <w:t>3</w:t>
      </w:r>
      <w:r w:rsidRPr="008C6DE4">
        <w:rPr>
          <w:rFonts w:cs="v4.2.0"/>
          <w:lang w:eastAsia="zh-CN"/>
        </w:rPr>
        <w:t>8</w:t>
      </w:r>
      <w:r w:rsidRPr="008C6DE4">
        <w:rPr>
          <w:rFonts w:cs="v4.2.0"/>
        </w:rPr>
        <w:t>.304</w:t>
      </w:r>
      <w:r>
        <w:rPr>
          <w:rFonts w:cs="v4.2.0"/>
        </w:rPr>
        <w:t xml:space="preserve"> </w:t>
      </w:r>
      <w:r>
        <w:rPr>
          <w:rFonts w:cs="v4.2.0"/>
          <w:lang w:val="en-US" w:eastAsia="zh-CN"/>
        </w:rPr>
        <w:t>[1]</w:t>
      </w:r>
      <w:r w:rsidRPr="008C6DE4">
        <w:rPr>
          <w:rFonts w:cs="v4.2.0"/>
        </w:rPr>
        <w:t xml:space="preserve"> within K</w:t>
      </w:r>
      <w:r w:rsidRPr="008C6DE4">
        <w:rPr>
          <w:rFonts w:cs="v4.2.0"/>
          <w:vertAlign w:val="subscript"/>
        </w:rPr>
        <w:t>carrier</w:t>
      </w:r>
      <w:r>
        <w:rPr>
          <w:rFonts w:cs="v4.2.0"/>
          <w:vertAlign w:val="subscript"/>
        </w:rPr>
        <w:t>_</w:t>
      </w:r>
      <w:r w:rsidRPr="0044064F">
        <w:rPr>
          <w:rFonts w:cs="v4.2.0"/>
          <w:vertAlign w:val="subscript"/>
        </w:rPr>
        <w:t>RedCap</w:t>
      </w:r>
      <w:r w:rsidRPr="008C6DE4">
        <w:rPr>
          <w:rFonts w:cs="v4.2.0"/>
        </w:rPr>
        <w:t xml:space="preserve"> * T</w:t>
      </w:r>
      <w:r w:rsidRPr="008C6DE4">
        <w:rPr>
          <w:rFonts w:cs="v4.2.0"/>
          <w:vertAlign w:val="subscript"/>
        </w:rPr>
        <w:t>detect,NR_Inter</w:t>
      </w:r>
      <w:r>
        <w:rPr>
          <w:rFonts w:cs="v4.2.0"/>
          <w:vertAlign w:val="subscript"/>
        </w:rPr>
        <w:t>_RedCap</w:t>
      </w:r>
      <w:r w:rsidRPr="008C6DE4">
        <w:rPr>
          <w:rFonts w:cs="v4.2.0"/>
        </w:rPr>
        <w:t xml:space="preserve">  if at least carrier frequency information is provided for inter-frequency neighbour cells by the serving cells when T</w:t>
      </w:r>
      <w:r w:rsidRPr="008C6DE4">
        <w:rPr>
          <w:rFonts w:cs="v4.2.0"/>
          <w:vertAlign w:val="subscript"/>
        </w:rPr>
        <w:t>reselection</w:t>
      </w:r>
      <w:r w:rsidRPr="008C6DE4">
        <w:rPr>
          <w:rFonts w:cs="v4.2.0"/>
        </w:rPr>
        <w:t xml:space="preserve"> = 0 provided that the reselection criteria is met </w:t>
      </w:r>
    </w:p>
    <w:p w14:paraId="6DC5B4F3" w14:textId="77777777" w:rsidR="00D808CB" w:rsidRPr="00806346" w:rsidRDefault="00D808CB" w:rsidP="00D808CB">
      <w:pPr>
        <w:pStyle w:val="B10"/>
      </w:pPr>
      <w:r>
        <w:tab/>
      </w:r>
      <w:r w:rsidRPr="002112CB">
        <w:t xml:space="preserve">For </w:t>
      </w:r>
      <w:r w:rsidRPr="000378A6">
        <w:t>2 Rx RedCap by a margin of</w:t>
      </w:r>
      <w:r w:rsidRPr="00806346">
        <w:t xml:space="preserve"> at least </w:t>
      </w:r>
    </w:p>
    <w:p w14:paraId="54BBC56A" w14:textId="77777777" w:rsidR="00D808CB" w:rsidRPr="00806346" w:rsidRDefault="00D808CB" w:rsidP="00D808CB">
      <w:pPr>
        <w:pStyle w:val="B20"/>
      </w:pPr>
      <w:r>
        <w:tab/>
      </w:r>
      <w:r w:rsidRPr="00806346">
        <w:t xml:space="preserve">5 dB </w:t>
      </w:r>
      <w:r w:rsidRPr="005B7259">
        <w:t>in FR1 or 6.5</w:t>
      </w:r>
      <w:r w:rsidRPr="00275B6E">
        <w:t> </w:t>
      </w:r>
      <w:r w:rsidRPr="000378A6">
        <w:t xml:space="preserve">dB in FR2 </w:t>
      </w:r>
      <w:r w:rsidRPr="00806346">
        <w:t xml:space="preserve">for reselections based on ranking or </w:t>
      </w:r>
    </w:p>
    <w:p w14:paraId="42914627" w14:textId="77777777" w:rsidR="00D808CB" w:rsidRPr="00806346" w:rsidRDefault="00D808CB" w:rsidP="00D808CB">
      <w:pPr>
        <w:pStyle w:val="B20"/>
      </w:pPr>
      <w:r>
        <w:tab/>
      </w:r>
      <w:r w:rsidRPr="00806346">
        <w:t xml:space="preserve">6 dB </w:t>
      </w:r>
      <w:r w:rsidRPr="005B7259">
        <w:t xml:space="preserve">in FR1 or 7.5 dB in FR2 </w:t>
      </w:r>
      <w:r w:rsidRPr="00806346">
        <w:t xml:space="preserve">for SS-RSRP reselections based on absolute priorities or </w:t>
      </w:r>
    </w:p>
    <w:p w14:paraId="5A3D2D6B" w14:textId="77777777" w:rsidR="00D808CB" w:rsidRPr="00806346" w:rsidRDefault="00D808CB" w:rsidP="00D808CB">
      <w:pPr>
        <w:pStyle w:val="B20"/>
      </w:pPr>
      <w:r>
        <w:tab/>
      </w:r>
      <w:r w:rsidRPr="00806346">
        <w:t xml:space="preserve">4 dB in FR1 and 4 dB in FR2 for SS-RSRQ reselections based on absolute priorities </w:t>
      </w:r>
    </w:p>
    <w:p w14:paraId="4A0D2D9A" w14:textId="77777777" w:rsidR="007A5E1E" w:rsidRPr="00806346" w:rsidRDefault="007A5E1E" w:rsidP="007A5E1E">
      <w:pPr>
        <w:pStyle w:val="B10"/>
      </w:pPr>
      <w:r>
        <w:tab/>
        <w:t xml:space="preserve">For 1 Rx RedCap by a margin of </w:t>
      </w:r>
      <w:r w:rsidRPr="002112CB">
        <w:t xml:space="preserve">at least </w:t>
      </w:r>
    </w:p>
    <w:p w14:paraId="769B426F" w14:textId="75681E2E" w:rsidR="007A5E1E" w:rsidRPr="00806346" w:rsidRDefault="007A5E1E" w:rsidP="007A5E1E">
      <w:pPr>
        <w:pStyle w:val="B20"/>
      </w:pPr>
      <w:r>
        <w:tab/>
        <w:t>6</w:t>
      </w:r>
      <w:r w:rsidRPr="00806346">
        <w:t xml:space="preserve"> dB </w:t>
      </w:r>
      <w:r w:rsidRPr="005B7259">
        <w:t xml:space="preserve">in FR1 </w:t>
      </w:r>
      <w:r w:rsidRPr="00806346">
        <w:t xml:space="preserve">for reselections based on ranking or </w:t>
      </w:r>
    </w:p>
    <w:p w14:paraId="3D50A631" w14:textId="7A0BED31" w:rsidR="007A5E1E" w:rsidRPr="00806346" w:rsidRDefault="007A5E1E" w:rsidP="007A5E1E">
      <w:pPr>
        <w:pStyle w:val="B20"/>
      </w:pPr>
      <w:r>
        <w:tab/>
        <w:t>7</w:t>
      </w:r>
      <w:r w:rsidRPr="00806346">
        <w:t xml:space="preserve"> dB </w:t>
      </w:r>
      <w:r w:rsidRPr="005B7259">
        <w:t xml:space="preserve">in FR1 </w:t>
      </w:r>
      <w:r w:rsidRPr="00806346">
        <w:t xml:space="preserve">for SS-RSRP reselections based on absolute priorities or </w:t>
      </w:r>
    </w:p>
    <w:p w14:paraId="37D2D562" w14:textId="234196CD" w:rsidR="00D808CB" w:rsidRPr="002112CB" w:rsidRDefault="007A5E1E" w:rsidP="007A5E1E">
      <w:pPr>
        <w:pStyle w:val="B20"/>
      </w:pPr>
      <w:r>
        <w:tab/>
        <w:t>5</w:t>
      </w:r>
      <w:r w:rsidRPr="00806346">
        <w:t> dB in FR1 for SS-RSRQ reselections based on absolute priorities</w:t>
      </w:r>
      <w:r w:rsidRPr="005B7259">
        <w:t>.</w:t>
      </w:r>
    </w:p>
    <w:p w14:paraId="2E50D71C" w14:textId="18BA4170" w:rsidR="00D808CB" w:rsidRPr="008C6DE4" w:rsidRDefault="009A1D04" w:rsidP="00D808CB">
      <w:r w:rsidRPr="002112CB">
        <w:rPr>
          <w:rFonts w:cs="v4.2.0"/>
        </w:rPr>
        <w:t>The parameter K</w:t>
      </w:r>
      <w:r w:rsidRPr="002112CB">
        <w:rPr>
          <w:rFonts w:cs="v4.2.0"/>
          <w:vertAlign w:val="subscript"/>
        </w:rPr>
        <w:t>carrier</w:t>
      </w:r>
      <w:r w:rsidRPr="000378A6">
        <w:rPr>
          <w:rFonts w:cs="v4.2.0"/>
          <w:vertAlign w:val="subscript"/>
        </w:rPr>
        <w:t>_RedCap</w:t>
      </w:r>
      <w:r w:rsidRPr="000378A6">
        <w:rPr>
          <w:rFonts w:cs="v4.2.0"/>
        </w:rPr>
        <w:t xml:space="preserve"> is the number of NR inter-frequency carriers indicated by th</w:t>
      </w:r>
      <w:r w:rsidRPr="004D5042">
        <w:rPr>
          <w:rFonts w:cs="v4.2.0"/>
        </w:rPr>
        <w:t xml:space="preserve">e serving cell. An inter-frequency cell is considered to be detectable </w:t>
      </w:r>
      <w:r w:rsidRPr="008C6DE4">
        <w:t xml:space="preserve">according to the conditions defined </w:t>
      </w:r>
      <w:r w:rsidRPr="00C10549">
        <w:t xml:space="preserve">in Annex </w:t>
      </w:r>
      <w:r w:rsidRPr="00C10549">
        <w:rPr>
          <w:lang w:eastAsia="zh-CN"/>
        </w:rPr>
        <w:t>B.</w:t>
      </w:r>
      <w:r>
        <w:rPr>
          <w:lang w:eastAsia="zh-CN"/>
        </w:rPr>
        <w:t>1.5</w:t>
      </w:r>
      <w:r w:rsidRPr="00C10549">
        <w:rPr>
          <w:lang w:eastAsia="zh-CN"/>
        </w:rPr>
        <w:t xml:space="preserve"> </w:t>
      </w:r>
      <w:r w:rsidRPr="00C10549">
        <w:t>for</w:t>
      </w:r>
      <w:r w:rsidRPr="008C6DE4">
        <w:t xml:space="preserve"> a corresponding Band.</w:t>
      </w:r>
      <w:r>
        <w:t xml:space="preserve"> </w:t>
      </w:r>
      <w:r w:rsidRPr="008C6DE4">
        <w:t xml:space="preserve">When higher priority cells are found by the higher priority search, they shall be measured at least every </w:t>
      </w:r>
      <w:r w:rsidRPr="002112CB">
        <w:rPr>
          <w:rFonts w:cs="v4.2.0"/>
        </w:rPr>
        <w:t>T</w:t>
      </w:r>
      <w:r w:rsidRPr="000378A6">
        <w:rPr>
          <w:rFonts w:cs="v4.2.0"/>
          <w:vertAlign w:val="subscript"/>
        </w:rPr>
        <w:t>measure,NR_Inter_RedCap</w:t>
      </w:r>
      <w:r w:rsidRPr="008C6DE4">
        <w:t xml:space="preserve">. If, after detecting a cell in a higher priority search, it is determined that reselection has not occurred then the UE is not required to continuously measure the detected cell to evaluate the ongoing possibility of reselection. However, the minimum measurement filtering requirements specified later in this clause shall still be met by the UE before it makes any determination that it may stop measuring the cell. </w:t>
      </w:r>
      <w:r w:rsidRPr="00275B6E">
        <w:t xml:space="preserve">If the UE detects on a </w:t>
      </w:r>
      <w:r w:rsidRPr="00275B6E">
        <w:rPr>
          <w:lang w:eastAsia="zh-CN"/>
        </w:rPr>
        <w:t>NR</w:t>
      </w:r>
      <w:r w:rsidRPr="00275B6E">
        <w:t xml:space="preserve"> carrier a cell whose physical identity is indicated as not allowed for that carrier in the measurement control system information of the serving cell, the UE is not required to perform measurements on that cell.</w:t>
      </w:r>
    </w:p>
    <w:p w14:paraId="6E592416" w14:textId="77777777" w:rsidR="00D808CB" w:rsidRPr="008C6DE4" w:rsidRDefault="00D808CB" w:rsidP="00D808CB">
      <w:r w:rsidRPr="008C6DE4">
        <w:t>The UE shall measure SS-RSRP or SS-RSRQ at least every K</w:t>
      </w:r>
      <w:r w:rsidRPr="008C6DE4">
        <w:rPr>
          <w:vertAlign w:val="subscript"/>
        </w:rPr>
        <w:t>carrier</w:t>
      </w:r>
      <w:r>
        <w:rPr>
          <w:vertAlign w:val="subscript"/>
        </w:rPr>
        <w:t>_RedCap</w:t>
      </w:r>
      <w:r w:rsidRPr="008C6DE4">
        <w:t xml:space="preserve"> * T</w:t>
      </w:r>
      <w:r w:rsidRPr="008C6DE4">
        <w:rPr>
          <w:vertAlign w:val="subscript"/>
        </w:rPr>
        <w:t>measure,NR_Inter</w:t>
      </w:r>
      <w:r>
        <w:rPr>
          <w:vertAlign w:val="subscript"/>
        </w:rPr>
        <w:t>_RedCap</w:t>
      </w:r>
      <w:r w:rsidRPr="008C6DE4">
        <w:t xml:space="preserve"> for identified lower or equal priority inter-frequency cells. </w:t>
      </w:r>
      <w:r w:rsidRPr="00275B6E">
        <w:t xml:space="preserve">If the UE detects on a </w:t>
      </w:r>
      <w:r w:rsidRPr="00275B6E">
        <w:rPr>
          <w:lang w:eastAsia="zh-CN"/>
        </w:rPr>
        <w:t xml:space="preserve">NR </w:t>
      </w:r>
      <w:r w:rsidRPr="00275B6E">
        <w:t>carrier a cell whose physical identity is indicated as not allowed for that carrier in the measurement control system information of the serving cell, the UE is not required to perform measurements on that cell.</w:t>
      </w:r>
    </w:p>
    <w:p w14:paraId="6CCA54CE" w14:textId="77777777" w:rsidR="00D808CB" w:rsidRPr="008C6DE4" w:rsidRDefault="00D808CB" w:rsidP="00D808CB">
      <w:pPr>
        <w:rPr>
          <w:rFonts w:cs="v4.2.0"/>
          <w:lang w:eastAsia="zh-CN"/>
        </w:rPr>
      </w:pPr>
      <w:r w:rsidRPr="008C6DE4">
        <w:rPr>
          <w:rFonts w:cs="v4.2.0"/>
        </w:rPr>
        <w:t>The UE shall filter SS-RSRP or SS-RSRQ measurements of each measured higher, lower and equal priority inter-frequency cell using at least 2 measurements. Within the set of measurements used for the filtering, at least two measurements shall be spaced by at least T</w:t>
      </w:r>
      <w:r w:rsidRPr="008C6DE4">
        <w:rPr>
          <w:rFonts w:cs="v4.2.0"/>
          <w:vertAlign w:val="subscript"/>
        </w:rPr>
        <w:t>measure,NR_Int</w:t>
      </w:r>
      <w:r w:rsidRPr="008C6DE4">
        <w:rPr>
          <w:rFonts w:cs="v4.2.0"/>
          <w:vertAlign w:val="subscript"/>
          <w:lang w:eastAsia="zh-CN"/>
        </w:rPr>
        <w:t>er</w:t>
      </w:r>
      <w:r w:rsidRPr="008C6DE4">
        <w:rPr>
          <w:rFonts w:cs="v4.2.0"/>
        </w:rPr>
        <w:t>/2</w:t>
      </w:r>
      <w:r w:rsidRPr="008C6DE4">
        <w:rPr>
          <w:rFonts w:cs="v4.2.0"/>
          <w:lang w:eastAsia="zh-CN"/>
        </w:rPr>
        <w:t>.</w:t>
      </w:r>
    </w:p>
    <w:p w14:paraId="29244392" w14:textId="77777777" w:rsidR="00D808CB" w:rsidRPr="008C6DE4" w:rsidRDefault="00D808CB" w:rsidP="00D808CB">
      <w:r w:rsidRPr="00275B6E">
        <w:t xml:space="preserve">The UE shall not consider a </w:t>
      </w:r>
      <w:r w:rsidRPr="00275B6E">
        <w:rPr>
          <w:lang w:eastAsia="zh-CN"/>
        </w:rPr>
        <w:t>NR</w:t>
      </w:r>
      <w:r w:rsidRPr="00275B6E">
        <w:t xml:space="preserve"> neighbour cell in cell reselection, if it is indicated as not allowed in the measurement control system information of the serving cell.</w:t>
      </w:r>
    </w:p>
    <w:p w14:paraId="6F40FEB2" w14:textId="77777777" w:rsidR="00D808CB" w:rsidRPr="008C6DE4" w:rsidRDefault="00D808CB" w:rsidP="00D808CB">
      <w:pPr>
        <w:rPr>
          <w:rFonts w:cs="v4.2.0"/>
        </w:rPr>
      </w:pPr>
      <w:r w:rsidRPr="008C6DE4">
        <w:rPr>
          <w:rFonts w:cs="v4.2.0"/>
        </w:rPr>
        <w:t>For an inter-frequency cell that has been already detected, but that has not been reselected to, the filtering shall be such that the UE shall be capable of evaluating that the inter-frequency cell has met reselection criterion defined TS 3</w:t>
      </w:r>
      <w:r w:rsidRPr="008C6DE4">
        <w:rPr>
          <w:rFonts w:cs="v4.2.0"/>
          <w:lang w:eastAsia="zh-CN"/>
        </w:rPr>
        <w:t>8</w:t>
      </w:r>
      <w:r w:rsidRPr="008C6DE4">
        <w:rPr>
          <w:rFonts w:cs="v4.2.0"/>
        </w:rPr>
        <w:t>.304</w:t>
      </w:r>
      <w:r>
        <w:rPr>
          <w:rFonts w:cs="v4.2.0"/>
        </w:rPr>
        <w:t xml:space="preserve"> </w:t>
      </w:r>
      <w:r>
        <w:rPr>
          <w:rFonts w:cs="v4.2.0"/>
          <w:lang w:val="en-US" w:eastAsia="zh-CN"/>
        </w:rPr>
        <w:t>[1]</w:t>
      </w:r>
      <w:r w:rsidRPr="008C6DE4">
        <w:rPr>
          <w:rFonts w:cs="v4.2.0"/>
        </w:rPr>
        <w:t xml:space="preserve"> within </w:t>
      </w:r>
      <w:r w:rsidRPr="008C6DE4">
        <w:t>K</w:t>
      </w:r>
      <w:r w:rsidRPr="008C6DE4">
        <w:rPr>
          <w:vertAlign w:val="subscript"/>
        </w:rPr>
        <w:t>carrier</w:t>
      </w:r>
      <w:r w:rsidRPr="008C6DE4">
        <w:t xml:space="preserve"> * </w:t>
      </w:r>
      <w:r w:rsidRPr="008C6DE4">
        <w:rPr>
          <w:rFonts w:cs="v4.2.0"/>
        </w:rPr>
        <w:t>T</w:t>
      </w:r>
      <w:r w:rsidRPr="008C6DE4">
        <w:rPr>
          <w:rFonts w:cs="v4.2.0"/>
          <w:vertAlign w:val="subscript"/>
        </w:rPr>
        <w:t>evaluate,NR_Inter</w:t>
      </w:r>
      <w:r>
        <w:rPr>
          <w:rFonts w:cs="v4.2.0"/>
          <w:vertAlign w:val="subscript"/>
        </w:rPr>
        <w:t>_RedCap</w:t>
      </w:r>
      <w:r w:rsidRPr="008C6DE4">
        <w:rPr>
          <w:rFonts w:cs="v4.2.0"/>
        </w:rPr>
        <w:t xml:space="preserve"> when T</w:t>
      </w:r>
      <w:r w:rsidRPr="008C6DE4">
        <w:rPr>
          <w:rFonts w:cs="v4.2.0"/>
          <w:vertAlign w:val="subscript"/>
        </w:rPr>
        <w:t>reselection</w:t>
      </w:r>
      <w:r w:rsidRPr="008C6DE4">
        <w:rPr>
          <w:rFonts w:cs="v4.2.0"/>
        </w:rPr>
        <w:t xml:space="preserve"> = 0</w:t>
      </w:r>
      <w:r w:rsidRPr="008C6DE4">
        <w:rPr>
          <w:rFonts w:cs="v4.2.0"/>
          <w:i/>
          <w:vertAlign w:val="subscript"/>
        </w:rPr>
        <w:t xml:space="preserve"> </w:t>
      </w:r>
      <w:r w:rsidRPr="008C6DE4">
        <w:rPr>
          <w:rFonts w:cs="v4.2.0"/>
        </w:rPr>
        <w:t>provided that the reselection criteria is met by</w:t>
      </w:r>
    </w:p>
    <w:p w14:paraId="2B77D785" w14:textId="77777777" w:rsidR="00D808CB" w:rsidRPr="008C6DE4" w:rsidRDefault="00D808CB" w:rsidP="004868FC">
      <w:pPr>
        <w:pStyle w:val="B10"/>
      </w:pPr>
      <w:r w:rsidRPr="008C6DE4">
        <w:t>-</w:t>
      </w:r>
      <w:r w:rsidRPr="008C6DE4">
        <w:tab/>
        <w:t>the condition when performing equal priority reselection and</w:t>
      </w:r>
    </w:p>
    <w:p w14:paraId="2F93CFAD" w14:textId="475032B5" w:rsidR="00D808CB" w:rsidRPr="008C6DE4" w:rsidRDefault="00C851D9" w:rsidP="004868FC">
      <w:pPr>
        <w:pStyle w:val="B20"/>
      </w:pPr>
      <w:r>
        <w:rPr>
          <w:rFonts w:cs="v4.2.0"/>
          <w:lang w:eastAsia="zh-CN"/>
        </w:rPr>
        <w:t>-</w:t>
      </w:r>
      <w:r w:rsidR="004868FC">
        <w:rPr>
          <w:rFonts w:cs="v4.2.0"/>
          <w:lang w:eastAsia="zh-CN"/>
        </w:rPr>
        <w:tab/>
      </w:r>
      <w:r w:rsidR="00D808CB" w:rsidRPr="008C6DE4">
        <w:rPr>
          <w:rFonts w:cs="v4.2.0"/>
          <w:lang w:eastAsia="zh-CN"/>
        </w:rPr>
        <w:t xml:space="preserve">when </w:t>
      </w:r>
      <w:r w:rsidR="00D808CB" w:rsidRPr="008C6DE4">
        <w:rPr>
          <w:i/>
        </w:rPr>
        <w:t>rangeToBestCell</w:t>
      </w:r>
      <w:r w:rsidR="00D808CB" w:rsidRPr="008C6DE4">
        <w:t xml:space="preserve"> is not configured:</w:t>
      </w:r>
    </w:p>
    <w:p w14:paraId="5492E8D4" w14:textId="77777777" w:rsidR="00D808CB" w:rsidRDefault="00D808CB" w:rsidP="00D808CB">
      <w:pPr>
        <w:pStyle w:val="B30"/>
      </w:pPr>
      <w:r w:rsidRPr="008C6DE4">
        <w:t>-</w:t>
      </w:r>
      <w:r w:rsidRPr="008C6DE4">
        <w:tab/>
        <w:t xml:space="preserve">the cell is at least </w:t>
      </w:r>
      <w:r w:rsidRPr="00275B6E">
        <w:rPr>
          <w:lang w:eastAsia="zh-CN"/>
        </w:rPr>
        <w:t>5</w:t>
      </w:r>
      <w:r w:rsidRPr="00275B6E">
        <w:t>dB</w:t>
      </w:r>
      <w:r w:rsidRPr="008C6DE4">
        <w:t xml:space="preserve"> better ranked in FR1 or </w:t>
      </w:r>
      <w:r w:rsidRPr="00275B6E">
        <w:t>6.5dB</w:t>
      </w:r>
      <w:r w:rsidRPr="008C6DE4">
        <w:t xml:space="preserve"> better ranked in FR2</w:t>
      </w:r>
      <w:r>
        <w:t xml:space="preserve"> for 2 Rx </w:t>
      </w:r>
      <w:r w:rsidRPr="008D0A78">
        <w:t>RedCap</w:t>
      </w:r>
      <w:r w:rsidRPr="008C6DE4">
        <w:t>.</w:t>
      </w:r>
    </w:p>
    <w:p w14:paraId="22FAE3B6" w14:textId="26430885" w:rsidR="00D808CB" w:rsidRPr="008C6DE4" w:rsidRDefault="007A5E1E" w:rsidP="00D808CB">
      <w:pPr>
        <w:pStyle w:val="B30"/>
      </w:pPr>
      <w:r w:rsidRPr="008C6DE4">
        <w:t>-</w:t>
      </w:r>
      <w:r w:rsidRPr="008C6DE4">
        <w:tab/>
        <w:t xml:space="preserve">the cell is at least </w:t>
      </w:r>
      <w:r>
        <w:t>[</w:t>
      </w:r>
      <w:r>
        <w:rPr>
          <w:lang w:eastAsia="zh-CN"/>
        </w:rPr>
        <w:t>6</w:t>
      </w:r>
      <w:r w:rsidRPr="00275B6E">
        <w:t>dB</w:t>
      </w:r>
      <w:r>
        <w:t>]</w:t>
      </w:r>
      <w:r w:rsidRPr="008C6DE4">
        <w:t xml:space="preserve"> better ranked in FR1 </w:t>
      </w:r>
      <w:r>
        <w:t xml:space="preserve">for 1 Rx </w:t>
      </w:r>
      <w:r w:rsidRPr="008D0A78">
        <w:t>R</w:t>
      </w:r>
      <w:r w:rsidRPr="0037390C">
        <w:t>edCap</w:t>
      </w:r>
      <w:r w:rsidRPr="008C6DE4">
        <w:t>.</w:t>
      </w:r>
    </w:p>
    <w:p w14:paraId="0DFE76AA" w14:textId="6AB61548" w:rsidR="00D808CB" w:rsidRPr="008C6DE4" w:rsidRDefault="00C851D9" w:rsidP="004868FC">
      <w:pPr>
        <w:pStyle w:val="B20"/>
      </w:pPr>
      <w:r>
        <w:rPr>
          <w:rFonts w:cs="v4.2.0"/>
          <w:lang w:eastAsia="zh-CN"/>
        </w:rPr>
        <w:t>-</w:t>
      </w:r>
      <w:r w:rsidR="004868FC">
        <w:rPr>
          <w:rFonts w:cs="v4.2.0"/>
          <w:lang w:eastAsia="zh-CN"/>
        </w:rPr>
        <w:tab/>
      </w:r>
      <w:r w:rsidR="00D808CB" w:rsidRPr="008C6DE4">
        <w:rPr>
          <w:rFonts w:cs="v4.2.0"/>
          <w:lang w:eastAsia="zh-CN"/>
        </w:rPr>
        <w:t xml:space="preserve">when </w:t>
      </w:r>
      <w:r w:rsidR="00D808CB" w:rsidRPr="008C6DE4">
        <w:rPr>
          <w:i/>
        </w:rPr>
        <w:t>rangeToBestCell</w:t>
      </w:r>
      <w:r w:rsidR="00D808CB" w:rsidRPr="008C6DE4">
        <w:t xml:space="preserve"> is configured:</w:t>
      </w:r>
    </w:p>
    <w:p w14:paraId="761B1E6A" w14:textId="77777777" w:rsidR="00D808CB" w:rsidRPr="008C6DE4" w:rsidRDefault="00D808CB" w:rsidP="004868FC">
      <w:pPr>
        <w:pStyle w:val="B30"/>
      </w:pPr>
      <w:r w:rsidRPr="008C6DE4">
        <w:t>-</w:t>
      </w:r>
      <w:r w:rsidRPr="008C6DE4">
        <w:tab/>
        <w:t xml:space="preserve">the cell has the highest number of beams above the threshold </w:t>
      </w:r>
      <w:r w:rsidRPr="008C6DE4">
        <w:rPr>
          <w:i/>
        </w:rPr>
        <w:t>absThreshSS-BlocksConsolidation</w:t>
      </w:r>
      <w:r w:rsidRPr="008C6DE4">
        <w:t xml:space="preserve"> among all detected cells whose cell-ranking criterion R value</w:t>
      </w:r>
      <w:r>
        <w:t xml:space="preserve"> defined in </w:t>
      </w:r>
      <w:r w:rsidRPr="008C6DE4">
        <w:t>TS3</w:t>
      </w:r>
      <w:r w:rsidRPr="008C6DE4">
        <w:rPr>
          <w:lang w:eastAsia="zh-CN"/>
        </w:rPr>
        <w:t>8</w:t>
      </w:r>
      <w:r w:rsidRPr="008C6DE4">
        <w:t>.304</w:t>
      </w:r>
      <w:r>
        <w:t xml:space="preserve"> </w:t>
      </w:r>
      <w:r w:rsidRPr="008C6DE4">
        <w:t xml:space="preserve">[1] is within </w:t>
      </w:r>
      <w:r w:rsidRPr="008C6DE4">
        <w:rPr>
          <w:i/>
        </w:rPr>
        <w:t>rangeToBestCell</w:t>
      </w:r>
      <w:r w:rsidRPr="008C6DE4">
        <w:t xml:space="preserve"> of the cell-ranking criterion R value of the highest ranked cell. </w:t>
      </w:r>
    </w:p>
    <w:p w14:paraId="096AAD5D" w14:textId="77777777" w:rsidR="00D808CB" w:rsidRPr="008C6DE4" w:rsidRDefault="00D808CB" w:rsidP="004868FC">
      <w:pPr>
        <w:pStyle w:val="B4"/>
      </w:pPr>
      <w:r w:rsidRPr="008C6DE4">
        <w:t>-</w:t>
      </w:r>
      <w:r w:rsidRPr="008C6DE4">
        <w:tab/>
        <w:t xml:space="preserve">if there are multiple such cells, the cell has the highest rank among them </w:t>
      </w:r>
    </w:p>
    <w:p w14:paraId="4EFCFB8B" w14:textId="77777777" w:rsidR="00171902" w:rsidRPr="008C6DE4" w:rsidRDefault="00171902" w:rsidP="00D60521">
      <w:pPr>
        <w:pStyle w:val="B4"/>
      </w:pPr>
      <w:r w:rsidRPr="008C6DE4">
        <w:t>-</w:t>
      </w:r>
      <w:r w:rsidRPr="008C6DE4">
        <w:tab/>
        <w:t>the cell is at least 5dB better ranked in FR1 or 6.5dB better ranked in FR2 if the current serving cell is among them</w:t>
      </w:r>
      <w:r w:rsidRPr="00386580">
        <w:t>, or</w:t>
      </w:r>
      <w:r>
        <w:t xml:space="preserve"> </w:t>
      </w:r>
      <w:r w:rsidRPr="00275B6E">
        <w:rPr>
          <w:lang w:eastAsia="zh-CN"/>
        </w:rPr>
        <w:t>6dB</w:t>
      </w:r>
      <w:r w:rsidRPr="008C6DE4">
        <w:rPr>
          <w:lang w:eastAsia="zh-CN"/>
        </w:rPr>
        <w:t xml:space="preserve"> in FR1 or </w:t>
      </w:r>
      <w:r w:rsidRPr="00275B6E">
        <w:rPr>
          <w:lang w:eastAsia="zh-CN"/>
        </w:rPr>
        <w:t>7.5dB</w:t>
      </w:r>
      <w:r w:rsidRPr="008C6DE4">
        <w:rPr>
          <w:lang w:eastAsia="zh-CN"/>
        </w:rPr>
        <w:t xml:space="preserve"> in FR2 for SS-RSRP reselections based on absolute priorities </w:t>
      </w:r>
      <w:r w:rsidRPr="008D0A78">
        <w:rPr>
          <w:lang w:eastAsia="zh-CN"/>
        </w:rPr>
        <w:t xml:space="preserve">for </w:t>
      </w:r>
      <w:r>
        <w:rPr>
          <w:lang w:eastAsia="zh-CN"/>
        </w:rPr>
        <w:t xml:space="preserve">2 Rx </w:t>
      </w:r>
      <w:r w:rsidRPr="008D0A78">
        <w:rPr>
          <w:lang w:eastAsia="zh-CN"/>
        </w:rPr>
        <w:t>RedCap</w:t>
      </w:r>
      <w:r>
        <w:rPr>
          <w:lang w:eastAsia="zh-CN"/>
        </w:rPr>
        <w:t xml:space="preserve"> </w:t>
      </w:r>
      <w:r w:rsidRPr="00386580">
        <w:rPr>
          <w:lang w:eastAsia="zh-CN"/>
        </w:rPr>
        <w:t>or</w:t>
      </w:r>
      <w:r>
        <w:rPr>
          <w:lang w:eastAsia="zh-CN"/>
        </w:rPr>
        <w:t xml:space="preserve"> </w:t>
      </w:r>
      <w:r w:rsidRPr="00275B6E">
        <w:rPr>
          <w:lang w:eastAsia="zh-CN"/>
        </w:rPr>
        <w:t>4dB</w:t>
      </w:r>
      <w:r w:rsidRPr="008C6DE4">
        <w:rPr>
          <w:lang w:eastAsia="zh-CN"/>
        </w:rPr>
        <w:t xml:space="preserve"> in FR1 or </w:t>
      </w:r>
      <w:r w:rsidRPr="00275B6E">
        <w:rPr>
          <w:lang w:eastAsia="zh-CN"/>
        </w:rPr>
        <w:t>4dB</w:t>
      </w:r>
      <w:r w:rsidRPr="008C6DE4">
        <w:rPr>
          <w:lang w:eastAsia="zh-CN"/>
        </w:rPr>
        <w:t xml:space="preserve"> in FR2 for SS-RSRQ reselections based on absolute priorities</w:t>
      </w:r>
      <w:r>
        <w:rPr>
          <w:lang w:eastAsia="zh-CN"/>
        </w:rPr>
        <w:t xml:space="preserve"> for 2 Rx </w:t>
      </w:r>
      <w:r w:rsidRPr="008D0A78">
        <w:t>RedCap</w:t>
      </w:r>
      <w:r w:rsidRPr="00386580">
        <w:t>.</w:t>
      </w:r>
    </w:p>
    <w:p w14:paraId="2445476C" w14:textId="5A4ADD69" w:rsidR="00D808CB" w:rsidRPr="00B562CD" w:rsidRDefault="00171902" w:rsidP="00171902">
      <w:pPr>
        <w:pStyle w:val="B4"/>
      </w:pPr>
      <w:r w:rsidRPr="008C6DE4">
        <w:t>-</w:t>
      </w:r>
      <w:r w:rsidRPr="008C6DE4">
        <w:tab/>
        <w:t xml:space="preserve">the cell is at least </w:t>
      </w:r>
      <w:r>
        <w:t>[6dB]</w:t>
      </w:r>
      <w:r w:rsidRPr="008C6DE4">
        <w:t xml:space="preserve"> better ranked in FR1 if the current serving cell is among them</w:t>
      </w:r>
      <w:r>
        <w:t>,</w:t>
      </w:r>
      <w:r w:rsidRPr="008C6DE4">
        <w:t xml:space="preserve"> </w:t>
      </w:r>
      <w:r>
        <w:t>o</w:t>
      </w:r>
      <w:r w:rsidRPr="008C6DE4">
        <w:t>r</w:t>
      </w:r>
      <w:r>
        <w:t xml:space="preserve"> [7</w:t>
      </w:r>
      <w:r w:rsidRPr="00B562CD">
        <w:t>dB</w:t>
      </w:r>
      <w:r>
        <w:t>]</w:t>
      </w:r>
      <w:r w:rsidRPr="008C6DE4">
        <w:t xml:space="preserve"> in FR1 for SS-RSRP reselections based on absolute priorities or</w:t>
      </w:r>
      <w:r>
        <w:t xml:space="preserve"> [5</w:t>
      </w:r>
      <w:r w:rsidRPr="00B562CD">
        <w:t>dB</w:t>
      </w:r>
      <w:r>
        <w:t>]</w:t>
      </w:r>
      <w:r w:rsidRPr="008C6DE4">
        <w:t xml:space="preserve"> in FR1 for SS-RSRQ reselections based on</w:t>
      </w:r>
      <w:r>
        <w:t xml:space="preserve"> </w:t>
      </w:r>
      <w:r w:rsidRPr="008C6DE4">
        <w:rPr>
          <w:lang w:eastAsia="zh-CN"/>
        </w:rPr>
        <w:t>absolute priorities</w:t>
      </w:r>
      <w:r>
        <w:rPr>
          <w:lang w:eastAsia="zh-CN"/>
        </w:rPr>
        <w:t xml:space="preserve"> for 1 Rx RedCap.</w:t>
      </w:r>
    </w:p>
    <w:p w14:paraId="7B58E925" w14:textId="77777777" w:rsidR="000558CD" w:rsidRDefault="000558CD" w:rsidP="00D808CB">
      <w:pPr>
        <w:rPr>
          <w:lang w:eastAsia="sv-SE"/>
        </w:rPr>
      </w:pPr>
      <w:r w:rsidRPr="006857A3">
        <w:rPr>
          <w:lang w:eastAsia="sv-SE"/>
        </w:rPr>
        <w:t xml:space="preserve">The 1 Rx RedCap UE applies </w:t>
      </w:r>
      <w:r w:rsidRPr="00A6259E">
        <w:rPr>
          <w:i/>
        </w:rPr>
        <w:t>absThreshSS-BlocksConsolidation</w:t>
      </w:r>
      <w:r w:rsidRPr="006857A3">
        <w:rPr>
          <w:lang w:eastAsia="sv-SE"/>
        </w:rPr>
        <w:t xml:space="preserve"> as the signaled value of </w:t>
      </w:r>
      <w:r w:rsidRPr="00A6259E">
        <w:rPr>
          <w:i/>
        </w:rPr>
        <w:t>absThreshSS-BlocksConsolidation</w:t>
      </w:r>
      <w:r>
        <w:rPr>
          <w:lang w:eastAsia="sv-SE"/>
        </w:rPr>
        <w:t xml:space="preserve"> [2] </w:t>
      </w:r>
      <w:r w:rsidRPr="006857A3">
        <w:rPr>
          <w:lang w:eastAsia="sv-SE"/>
        </w:rPr>
        <w:t>+ 1 dB.</w:t>
      </w:r>
    </w:p>
    <w:p w14:paraId="10D1D0EE" w14:textId="0AABC95F" w:rsidR="00D808CB" w:rsidRPr="008C6DE4" w:rsidRDefault="00D808CB" w:rsidP="00D808CB">
      <w:pPr>
        <w:rPr>
          <w:rFonts w:cs="v4.2.0"/>
        </w:rPr>
      </w:pPr>
      <w:r w:rsidRPr="008C6DE4">
        <w:rPr>
          <w:rFonts w:cs="v4.2.0"/>
        </w:rPr>
        <w:t>When evaluating cells for reselection, the SSB side conditions apply to both serving and inter-frequency cells.</w:t>
      </w:r>
    </w:p>
    <w:p w14:paraId="5C48F401" w14:textId="77777777" w:rsidR="00D808CB" w:rsidRPr="008C6DE4" w:rsidRDefault="00D808CB" w:rsidP="00D808CB">
      <w:pPr>
        <w:rPr>
          <w:rFonts w:cs="v4.2.0"/>
          <w:lang w:eastAsia="zh-CN"/>
        </w:rPr>
      </w:pPr>
      <w:r w:rsidRPr="008C6DE4">
        <w:rPr>
          <w:rFonts w:cs="v4.2.0"/>
          <w:lang w:eastAsia="zh-CN"/>
        </w:rPr>
        <w:t>If T</w:t>
      </w:r>
      <w:r w:rsidRPr="008C6DE4">
        <w:rPr>
          <w:rFonts w:cs="v4.2.0"/>
          <w:vertAlign w:val="subscript"/>
          <w:lang w:eastAsia="zh-CN"/>
        </w:rPr>
        <w:t>reselection</w:t>
      </w:r>
      <w:r w:rsidRPr="008C6DE4">
        <w:rPr>
          <w:rFonts w:cs="v4.2.0"/>
          <w:lang w:eastAsia="zh-CN"/>
        </w:rPr>
        <w:t xml:space="preserve"> timer has a non</w:t>
      </w:r>
      <w:r>
        <w:rPr>
          <w:rFonts w:cs="v4.2.0"/>
          <w:lang w:eastAsia="zh-CN"/>
        </w:rPr>
        <w:t>-</w:t>
      </w:r>
      <w:r w:rsidRPr="008C6DE4">
        <w:rPr>
          <w:rFonts w:cs="v4.2.0"/>
          <w:lang w:eastAsia="zh-CN"/>
        </w:rPr>
        <w:t>zero value and the inter-frequency cell is satisfied with the reselection criteria, the UE shall evaluate this inter-frequency cell for the T</w:t>
      </w:r>
      <w:r w:rsidRPr="008C6DE4">
        <w:rPr>
          <w:rFonts w:cs="v4.2.0"/>
          <w:vertAlign w:val="subscript"/>
          <w:lang w:eastAsia="zh-CN"/>
        </w:rPr>
        <w:t>reselection</w:t>
      </w:r>
      <w:r w:rsidRPr="008C6DE4">
        <w:rPr>
          <w:rFonts w:cs="v4.2.0"/>
          <w:lang w:eastAsia="zh-CN"/>
        </w:rPr>
        <w:t xml:space="preserve"> time. If this cell remains satisfied with the reselection criteria within this duration, then the UE shall reselect that cell.</w:t>
      </w:r>
    </w:p>
    <w:p w14:paraId="75C5B762" w14:textId="703D58D4" w:rsidR="00D808CB" w:rsidRPr="008C6DE4" w:rsidRDefault="00E37794" w:rsidP="00D808CB">
      <w:pPr>
        <w:rPr>
          <w:noProof/>
        </w:rPr>
      </w:pPr>
      <w:r w:rsidRPr="008C6DE4">
        <w:rPr>
          <w:noProof/>
        </w:rPr>
        <w:t>The UE is not expected to meet the measurement requirements for an inter-frequency carrier under DRX cycle=320 ms defined in Table 4.</w:t>
      </w:r>
      <w:r w:rsidRPr="008C6DE4">
        <w:t>2</w:t>
      </w:r>
      <w:r>
        <w:t>B</w:t>
      </w:r>
      <w:r w:rsidRPr="008C6DE4">
        <w:rPr>
          <w:noProof/>
        </w:rPr>
        <w:t>.2.4-1</w:t>
      </w:r>
      <w:r>
        <w:t xml:space="preserve"> </w:t>
      </w:r>
      <w:r>
        <w:rPr>
          <w:rFonts w:cs="v4.2.0"/>
        </w:rPr>
        <w:t xml:space="preserve">for both 1Rx RedCap and 2Rx RedCap </w:t>
      </w:r>
      <w:r w:rsidRPr="008C6DE4">
        <w:rPr>
          <w:noProof/>
        </w:rPr>
        <w:t>under the following conditions:</w:t>
      </w:r>
    </w:p>
    <w:p w14:paraId="3D190F75" w14:textId="77777777" w:rsidR="00D808CB" w:rsidRPr="008C6DE4" w:rsidRDefault="00D808CB" w:rsidP="004868FC">
      <w:pPr>
        <w:pStyle w:val="B10"/>
        <w:rPr>
          <w:noProof/>
        </w:rPr>
      </w:pPr>
      <w:r w:rsidRPr="008C6DE4">
        <w:rPr>
          <w:noProof/>
        </w:rPr>
        <w:t>-</w:t>
      </w:r>
      <w:r w:rsidRPr="008C6DE4">
        <w:rPr>
          <w:noProof/>
        </w:rPr>
        <w:tab/>
        <w:t>T</w:t>
      </w:r>
      <w:r w:rsidRPr="008C6DE4">
        <w:rPr>
          <w:noProof/>
          <w:vertAlign w:val="subscript"/>
        </w:rPr>
        <w:t>SMTC_intra</w:t>
      </w:r>
      <w:r w:rsidRPr="008C6DE4">
        <w:rPr>
          <w:noProof/>
        </w:rPr>
        <w:t xml:space="preserve"> = T</w:t>
      </w:r>
      <w:r w:rsidRPr="008C6DE4">
        <w:rPr>
          <w:noProof/>
          <w:vertAlign w:val="subscript"/>
        </w:rPr>
        <w:t>SMTC_inter</w:t>
      </w:r>
      <w:r w:rsidRPr="008C6DE4">
        <w:rPr>
          <w:noProof/>
        </w:rPr>
        <w:t xml:space="preserve"> = 160 ms; where T</w:t>
      </w:r>
      <w:r w:rsidRPr="008C6DE4">
        <w:rPr>
          <w:noProof/>
          <w:vertAlign w:val="subscript"/>
        </w:rPr>
        <w:t>SMTC_intra</w:t>
      </w:r>
      <w:r w:rsidRPr="008C6DE4">
        <w:rPr>
          <w:noProof/>
        </w:rPr>
        <w:t xml:space="preserve"> and T</w:t>
      </w:r>
      <w:r w:rsidRPr="008C6DE4">
        <w:rPr>
          <w:noProof/>
          <w:vertAlign w:val="subscript"/>
        </w:rPr>
        <w:t>SMTC_inter</w:t>
      </w:r>
      <w:r w:rsidRPr="008C6DE4">
        <w:rPr>
          <w:noProof/>
        </w:rPr>
        <w:t xml:space="preserve"> are periodicities of the SMTC occasions configured for the intra-frequency carrier and the inter-frequency carrier respectively, and</w:t>
      </w:r>
    </w:p>
    <w:p w14:paraId="0572C1DE" w14:textId="77777777" w:rsidR="00D808CB" w:rsidRPr="008C6DE4" w:rsidRDefault="00D808CB" w:rsidP="004868FC">
      <w:pPr>
        <w:pStyle w:val="B10"/>
        <w:rPr>
          <w:noProof/>
        </w:rPr>
      </w:pPr>
      <w:r w:rsidRPr="008C6DE4">
        <w:rPr>
          <w:noProof/>
        </w:rPr>
        <w:t>-</w:t>
      </w:r>
      <w:r w:rsidRPr="008C6DE4">
        <w:rPr>
          <w:noProof/>
        </w:rPr>
        <w:tab/>
        <w:t>SMTC occasions configured for the inter-frequency carrier occur up to 1 ms before the start or up to 1 ms after the end of the SMTC occasions configured for the intra-frequency carrier, and</w:t>
      </w:r>
    </w:p>
    <w:p w14:paraId="1E840445" w14:textId="77777777" w:rsidR="00D808CB" w:rsidRDefault="00D808CB" w:rsidP="004868FC">
      <w:pPr>
        <w:pStyle w:val="B10"/>
        <w:rPr>
          <w:noProof/>
        </w:rPr>
      </w:pPr>
      <w:r w:rsidRPr="008C6DE4">
        <w:rPr>
          <w:noProof/>
        </w:rPr>
        <w:t>-</w:t>
      </w:r>
      <w:r w:rsidRPr="008C6DE4">
        <w:rPr>
          <w:noProof/>
        </w:rPr>
        <w:tab/>
        <w:t xml:space="preserve">SMTC occasions configured for the intra-frequency carrier and for the inter-frequency carrier occur up to 1 ms before the start or up to 1 ms after the end of the paging occasion </w:t>
      </w:r>
      <w:r>
        <w:rPr>
          <w:noProof/>
        </w:rPr>
        <w:t xml:space="preserve">defined in </w:t>
      </w:r>
      <w:r w:rsidRPr="008C6DE4">
        <w:t>TS3</w:t>
      </w:r>
      <w:r w:rsidRPr="008C6DE4">
        <w:rPr>
          <w:lang w:eastAsia="zh-CN"/>
        </w:rPr>
        <w:t>8</w:t>
      </w:r>
      <w:r w:rsidRPr="008C6DE4">
        <w:t>.304</w:t>
      </w:r>
      <w:r>
        <w:t xml:space="preserve"> </w:t>
      </w:r>
      <w:r w:rsidRPr="008C6DE4">
        <w:rPr>
          <w:noProof/>
        </w:rPr>
        <w:t>[1].</w:t>
      </w:r>
    </w:p>
    <w:p w14:paraId="69E5DAAE" w14:textId="59503181" w:rsidR="00AA3655" w:rsidRDefault="00AA3655" w:rsidP="00AA3655">
      <w:pPr>
        <w:rPr>
          <w:rFonts w:cs="v4.2.0"/>
          <w:lang w:eastAsia="zh-CN"/>
        </w:rPr>
      </w:pPr>
      <w:r w:rsidRPr="00691C10">
        <w:rPr>
          <w:rFonts w:cs="v4.2.0"/>
          <w:lang w:eastAsia="zh-CN"/>
        </w:rPr>
        <w:t xml:space="preserve">For </w:t>
      </w:r>
      <w:r>
        <w:rPr>
          <w:rFonts w:cs="v4.2.0"/>
          <w:lang w:eastAsia="zh-CN"/>
        </w:rPr>
        <w:t>1 Rx RedCap and 2 Rx RedCap</w:t>
      </w:r>
      <w:r w:rsidRPr="00691C10">
        <w:rPr>
          <w:rFonts w:cs="v4.2.0"/>
          <w:lang w:eastAsia="zh-CN"/>
        </w:rPr>
        <w:t xml:space="preserve"> not configured with eDRX_IDLE cycle, </w:t>
      </w:r>
      <w:r w:rsidRPr="009C5807">
        <w:t>T</w:t>
      </w:r>
      <w:r w:rsidRPr="009C5807">
        <w:rPr>
          <w:vertAlign w:val="subscript"/>
        </w:rPr>
        <w:t>detect,NR_In</w:t>
      </w:r>
      <w:r>
        <w:rPr>
          <w:vertAlign w:val="subscript"/>
        </w:rPr>
        <w:t>ter</w:t>
      </w:r>
      <w:r>
        <w:rPr>
          <w:vertAlign w:val="subscript"/>
          <w:lang w:val="en-US"/>
        </w:rPr>
        <w:t>_RedCap</w:t>
      </w:r>
      <w:r w:rsidRPr="00691C10">
        <w:rPr>
          <w:vertAlign w:val="subscript"/>
        </w:rPr>
        <w:t>,</w:t>
      </w:r>
      <w:r w:rsidRPr="00691C10">
        <w:t xml:space="preserve"> </w:t>
      </w:r>
      <w:r w:rsidRPr="009C5807">
        <w:t>T</w:t>
      </w:r>
      <w:r w:rsidRPr="009C5807">
        <w:rPr>
          <w:vertAlign w:val="subscript"/>
        </w:rPr>
        <w:t>measure,NR_</w:t>
      </w:r>
      <w:r w:rsidRPr="00C00922">
        <w:rPr>
          <w:vertAlign w:val="subscript"/>
        </w:rPr>
        <w:t xml:space="preserve"> </w:t>
      </w:r>
      <w:r w:rsidRPr="009C5807">
        <w:rPr>
          <w:vertAlign w:val="subscript"/>
        </w:rPr>
        <w:t>In</w:t>
      </w:r>
      <w:r>
        <w:rPr>
          <w:vertAlign w:val="subscript"/>
        </w:rPr>
        <w:t>ter</w:t>
      </w:r>
      <w:r>
        <w:rPr>
          <w:vertAlign w:val="subscript"/>
          <w:lang w:val="en-US"/>
        </w:rPr>
        <w:t xml:space="preserve"> _RedCap</w:t>
      </w:r>
      <w:r w:rsidRPr="00691C10">
        <w:t xml:space="preserve"> and </w:t>
      </w:r>
      <w:r w:rsidRPr="009C5807">
        <w:t>T</w:t>
      </w:r>
      <w:r w:rsidRPr="009C5807">
        <w:rPr>
          <w:vertAlign w:val="subscript"/>
        </w:rPr>
        <w:t>evaluate,NR_</w:t>
      </w:r>
      <w:r w:rsidRPr="00C00922">
        <w:rPr>
          <w:vertAlign w:val="subscript"/>
        </w:rPr>
        <w:t xml:space="preserve"> </w:t>
      </w:r>
      <w:r w:rsidRPr="009C5807">
        <w:rPr>
          <w:vertAlign w:val="subscript"/>
        </w:rPr>
        <w:t>In</w:t>
      </w:r>
      <w:r>
        <w:rPr>
          <w:vertAlign w:val="subscript"/>
        </w:rPr>
        <w:t>ter</w:t>
      </w:r>
      <w:r>
        <w:rPr>
          <w:vertAlign w:val="subscript"/>
          <w:lang w:val="en-US"/>
        </w:rPr>
        <w:t xml:space="preserve"> _RedCap</w:t>
      </w:r>
      <w:r>
        <w:t xml:space="preserve"> </w:t>
      </w:r>
      <w:r w:rsidRPr="00691C10">
        <w:rPr>
          <w:rFonts w:cs="v4.2.0"/>
          <w:lang w:eastAsia="zh-CN"/>
        </w:rPr>
        <w:t xml:space="preserve">are specified in </w:t>
      </w:r>
      <w:r w:rsidRPr="008C6DE4">
        <w:t>Table 4.2</w:t>
      </w:r>
      <w:r>
        <w:t>B</w:t>
      </w:r>
      <w:r w:rsidRPr="008C6DE4">
        <w:t>.2.4</w:t>
      </w:r>
      <w:r>
        <w:t>.1</w:t>
      </w:r>
      <w:r w:rsidRPr="008C6DE4">
        <w:t>-1</w:t>
      </w:r>
      <w:r w:rsidRPr="00691C10">
        <w:rPr>
          <w:rFonts w:cs="v4.2.0"/>
          <w:lang w:eastAsia="zh-CN"/>
        </w:rPr>
        <w:t xml:space="preserve">. </w:t>
      </w:r>
    </w:p>
    <w:p w14:paraId="461EB199" w14:textId="7A181FFC" w:rsidR="00D808CB" w:rsidRPr="00E81740" w:rsidRDefault="00AA3655" w:rsidP="00AA3655">
      <w:r w:rsidRPr="00691C10">
        <w:rPr>
          <w:rFonts w:cs="v4.2.0"/>
          <w:lang w:eastAsia="zh-CN"/>
        </w:rPr>
        <w:t xml:space="preserve">For </w:t>
      </w:r>
      <w:r>
        <w:rPr>
          <w:rFonts w:cs="v4.2.0"/>
          <w:lang w:eastAsia="zh-CN"/>
        </w:rPr>
        <w:t xml:space="preserve">1 Rx RedCap and 2 Rx RedCap </w:t>
      </w:r>
      <w:r w:rsidRPr="00691C10">
        <w:rPr>
          <w:rFonts w:cs="v4.2.0"/>
          <w:lang w:eastAsia="zh-CN"/>
        </w:rPr>
        <w:t xml:space="preserve">configured with eDRX_IDLE cycle, </w:t>
      </w:r>
      <w:r w:rsidRPr="009C5807">
        <w:t>T</w:t>
      </w:r>
      <w:r w:rsidRPr="009C5807">
        <w:rPr>
          <w:vertAlign w:val="subscript"/>
        </w:rPr>
        <w:t>detect,NR_</w:t>
      </w:r>
      <w:r w:rsidRPr="00C00922">
        <w:rPr>
          <w:vertAlign w:val="subscript"/>
        </w:rPr>
        <w:t xml:space="preserve"> </w:t>
      </w:r>
      <w:r w:rsidRPr="009C5807">
        <w:rPr>
          <w:vertAlign w:val="subscript"/>
        </w:rPr>
        <w:t>In</w:t>
      </w:r>
      <w:r>
        <w:rPr>
          <w:vertAlign w:val="subscript"/>
        </w:rPr>
        <w:t>ter</w:t>
      </w:r>
      <w:r>
        <w:rPr>
          <w:vertAlign w:val="subscript"/>
          <w:lang w:val="en-US"/>
        </w:rPr>
        <w:t xml:space="preserve"> _RedCap</w:t>
      </w:r>
      <w:r w:rsidRPr="00691C10">
        <w:rPr>
          <w:vertAlign w:val="subscript"/>
        </w:rPr>
        <w:t>,</w:t>
      </w:r>
      <w:r w:rsidRPr="00691C10">
        <w:t xml:space="preserve"> </w:t>
      </w:r>
      <w:r w:rsidRPr="009C5807">
        <w:t>T</w:t>
      </w:r>
      <w:r w:rsidRPr="009C5807">
        <w:rPr>
          <w:vertAlign w:val="subscript"/>
        </w:rPr>
        <w:t>measure,NR_</w:t>
      </w:r>
      <w:r w:rsidRPr="00C00922">
        <w:rPr>
          <w:vertAlign w:val="subscript"/>
        </w:rPr>
        <w:t xml:space="preserve"> </w:t>
      </w:r>
      <w:r w:rsidRPr="009C5807">
        <w:rPr>
          <w:vertAlign w:val="subscript"/>
        </w:rPr>
        <w:t>In</w:t>
      </w:r>
      <w:r>
        <w:rPr>
          <w:vertAlign w:val="subscript"/>
        </w:rPr>
        <w:t>ter</w:t>
      </w:r>
      <w:r>
        <w:rPr>
          <w:vertAlign w:val="subscript"/>
          <w:lang w:val="en-US"/>
        </w:rPr>
        <w:t xml:space="preserve"> _RedCap</w:t>
      </w:r>
      <w:r w:rsidRPr="00691C10">
        <w:t xml:space="preserve"> and </w:t>
      </w:r>
      <w:r w:rsidRPr="009C5807">
        <w:t>T</w:t>
      </w:r>
      <w:r w:rsidRPr="009C5807">
        <w:rPr>
          <w:vertAlign w:val="subscript"/>
        </w:rPr>
        <w:t>evaluate,NR_</w:t>
      </w:r>
      <w:r w:rsidRPr="00C00922">
        <w:rPr>
          <w:vertAlign w:val="subscript"/>
        </w:rPr>
        <w:t xml:space="preserve"> </w:t>
      </w:r>
      <w:r w:rsidRPr="009C5807">
        <w:rPr>
          <w:vertAlign w:val="subscript"/>
        </w:rPr>
        <w:t>In</w:t>
      </w:r>
      <w:r>
        <w:rPr>
          <w:vertAlign w:val="subscript"/>
        </w:rPr>
        <w:t>ter</w:t>
      </w:r>
      <w:r>
        <w:rPr>
          <w:vertAlign w:val="subscript"/>
          <w:lang w:val="en-US"/>
        </w:rPr>
        <w:t xml:space="preserve"> _RedCap</w:t>
      </w:r>
      <w:r w:rsidRPr="00691C10">
        <w:rPr>
          <w:rFonts w:cs="v4.2.0"/>
          <w:lang w:eastAsia="zh-CN"/>
        </w:rPr>
        <w:t xml:space="preserve"> are specified in </w:t>
      </w:r>
      <w:r w:rsidRPr="008C6DE4">
        <w:t>Table 4.2</w:t>
      </w:r>
      <w:r>
        <w:t>B</w:t>
      </w:r>
      <w:r w:rsidRPr="008C6DE4">
        <w:t>.2.4-</w:t>
      </w:r>
      <w:r>
        <w:t xml:space="preserve">2 and </w:t>
      </w:r>
      <w:r w:rsidRPr="008C6DE4">
        <w:t>Table 4.2</w:t>
      </w:r>
      <w:r>
        <w:t>B</w:t>
      </w:r>
      <w:r w:rsidRPr="008C6DE4">
        <w:t>.2.4-</w:t>
      </w:r>
      <w:r>
        <w:t>3 for FR1 and FR2 respectively. T</w:t>
      </w:r>
      <w:r w:rsidRPr="00691C10">
        <w:rPr>
          <w:rFonts w:cs="v4.2.0"/>
          <w:lang w:eastAsia="zh-CN"/>
        </w:rPr>
        <w:t xml:space="preserve">he requirements apply provided that the serving cell is </w:t>
      </w:r>
      <w:r w:rsidRPr="00691C10">
        <w:rPr>
          <w:rFonts w:cs="v4.2.0"/>
        </w:rPr>
        <w:t xml:space="preserve">configured with eDRX_IDLE and is </w:t>
      </w:r>
      <w:r w:rsidRPr="00691C10">
        <w:rPr>
          <w:rFonts w:cs="v4.2.0"/>
          <w:lang w:eastAsia="zh-CN"/>
        </w:rPr>
        <w:t xml:space="preserve">the same in all PTWs during any of </w:t>
      </w:r>
      <w:r w:rsidRPr="009C5807">
        <w:t>T</w:t>
      </w:r>
      <w:r w:rsidRPr="009C5807">
        <w:rPr>
          <w:vertAlign w:val="subscript"/>
        </w:rPr>
        <w:t>detect,NR_</w:t>
      </w:r>
      <w:r w:rsidRPr="00C00922">
        <w:rPr>
          <w:vertAlign w:val="subscript"/>
        </w:rPr>
        <w:t xml:space="preserve"> </w:t>
      </w:r>
      <w:r w:rsidRPr="009C5807">
        <w:rPr>
          <w:vertAlign w:val="subscript"/>
        </w:rPr>
        <w:t>In</w:t>
      </w:r>
      <w:r>
        <w:rPr>
          <w:vertAlign w:val="subscript"/>
        </w:rPr>
        <w:t>ter</w:t>
      </w:r>
      <w:r>
        <w:rPr>
          <w:vertAlign w:val="subscript"/>
          <w:lang w:val="en-US"/>
        </w:rPr>
        <w:t xml:space="preserve"> _RedCap</w:t>
      </w:r>
      <w:r w:rsidRPr="00691C10">
        <w:rPr>
          <w:vertAlign w:val="subscript"/>
        </w:rPr>
        <w:t>,</w:t>
      </w:r>
      <w:r w:rsidRPr="00691C10">
        <w:t xml:space="preserve"> </w:t>
      </w:r>
      <w:r w:rsidRPr="009C5807">
        <w:t>T</w:t>
      </w:r>
      <w:r w:rsidRPr="009C5807">
        <w:rPr>
          <w:vertAlign w:val="subscript"/>
        </w:rPr>
        <w:t>measure,NR_</w:t>
      </w:r>
      <w:r w:rsidRPr="00C00922">
        <w:rPr>
          <w:vertAlign w:val="subscript"/>
        </w:rPr>
        <w:t xml:space="preserve"> </w:t>
      </w:r>
      <w:r w:rsidRPr="009C5807">
        <w:rPr>
          <w:vertAlign w:val="subscript"/>
        </w:rPr>
        <w:t>In</w:t>
      </w:r>
      <w:r>
        <w:rPr>
          <w:vertAlign w:val="subscript"/>
        </w:rPr>
        <w:t>ter</w:t>
      </w:r>
      <w:r>
        <w:rPr>
          <w:vertAlign w:val="subscript"/>
          <w:lang w:val="en-US"/>
        </w:rPr>
        <w:t xml:space="preserve"> _RedCap</w:t>
      </w:r>
      <w:r w:rsidRPr="00691C10">
        <w:t xml:space="preserve"> and </w:t>
      </w:r>
      <w:r w:rsidRPr="009C5807">
        <w:t>T</w:t>
      </w:r>
      <w:r w:rsidRPr="009C5807">
        <w:rPr>
          <w:vertAlign w:val="subscript"/>
        </w:rPr>
        <w:t>evaluate,NR_</w:t>
      </w:r>
      <w:r w:rsidRPr="00C00922">
        <w:rPr>
          <w:vertAlign w:val="subscript"/>
        </w:rPr>
        <w:t xml:space="preserve"> </w:t>
      </w:r>
      <w:r w:rsidRPr="009C5807">
        <w:rPr>
          <w:vertAlign w:val="subscript"/>
        </w:rPr>
        <w:t>In</w:t>
      </w:r>
      <w:r>
        <w:rPr>
          <w:vertAlign w:val="subscript"/>
        </w:rPr>
        <w:t>ter</w:t>
      </w:r>
      <w:r>
        <w:rPr>
          <w:vertAlign w:val="subscript"/>
          <w:lang w:val="en-US"/>
        </w:rPr>
        <w:t xml:space="preserve"> _RedCap</w:t>
      </w:r>
      <w:r w:rsidRPr="00691C10">
        <w:t xml:space="preserve"> when multiple PTWs are used.</w:t>
      </w:r>
    </w:p>
    <w:p w14:paraId="2290279B" w14:textId="77777777" w:rsidR="00D808CB" w:rsidRPr="008C6DE4" w:rsidRDefault="00D808CB" w:rsidP="00D808CB">
      <w:pPr>
        <w:pStyle w:val="TH"/>
        <w:rPr>
          <w:vertAlign w:val="subscript"/>
        </w:rPr>
      </w:pPr>
      <w:r w:rsidRPr="008C6DE4">
        <w:t>Table 4.2</w:t>
      </w:r>
      <w:r>
        <w:t>B</w:t>
      </w:r>
      <w:r w:rsidRPr="008C6DE4">
        <w:t>.2.4-1: T</w:t>
      </w:r>
      <w:r w:rsidRPr="008C6DE4">
        <w:rPr>
          <w:vertAlign w:val="subscript"/>
        </w:rPr>
        <w:t>detect,NR_Inter</w:t>
      </w:r>
      <w:r>
        <w:rPr>
          <w:vertAlign w:val="subscript"/>
        </w:rPr>
        <w:t>_RedCap</w:t>
      </w:r>
      <w:r w:rsidRPr="008C6DE4">
        <w:rPr>
          <w:vertAlign w:val="subscript"/>
        </w:rPr>
        <w:t>,</w:t>
      </w:r>
      <w:r w:rsidRPr="008C6DE4">
        <w:t xml:space="preserve"> T</w:t>
      </w:r>
      <w:r w:rsidRPr="008C6DE4">
        <w:rPr>
          <w:vertAlign w:val="subscript"/>
        </w:rPr>
        <w:t>measure,NR_Inter</w:t>
      </w:r>
      <w:r>
        <w:rPr>
          <w:vertAlign w:val="subscript"/>
        </w:rPr>
        <w:t>_RedCap</w:t>
      </w:r>
      <w:r w:rsidRPr="008C6DE4">
        <w:t xml:space="preserve"> and T</w:t>
      </w:r>
      <w:r w:rsidRPr="008C6DE4">
        <w:rPr>
          <w:vertAlign w:val="subscript"/>
        </w:rPr>
        <w:t>evaluate,NR_Inter</w:t>
      </w:r>
      <w:r>
        <w:rPr>
          <w:vertAlign w:val="subscript"/>
        </w:rPr>
        <w:t>_RedCap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021"/>
        <w:gridCol w:w="1023"/>
        <w:gridCol w:w="2140"/>
        <w:gridCol w:w="2141"/>
        <w:gridCol w:w="2141"/>
      </w:tblGrid>
      <w:tr w:rsidR="00D808CB" w:rsidRPr="008C6DE4" w14:paraId="5D58EE55" w14:textId="77777777" w:rsidTr="001313A6">
        <w:trPr>
          <w:cantSplit/>
          <w:trHeight w:val="310"/>
          <w:jc w:val="center"/>
        </w:trPr>
        <w:tc>
          <w:tcPr>
            <w:tcW w:w="604" w:type="pct"/>
            <w:vMerge w:val="restart"/>
            <w:tcBorders>
              <w:top w:val="single" w:sz="4" w:space="0" w:color="auto"/>
              <w:left w:val="single" w:sz="4" w:space="0" w:color="auto"/>
              <w:bottom w:val="single" w:sz="4" w:space="0" w:color="auto"/>
              <w:right w:val="single" w:sz="4" w:space="0" w:color="auto"/>
            </w:tcBorders>
            <w:hideMark/>
          </w:tcPr>
          <w:p w14:paraId="0F4C23CD" w14:textId="77777777" w:rsidR="00D808CB" w:rsidRPr="008C6DE4" w:rsidRDefault="00D808CB" w:rsidP="001313A6">
            <w:pPr>
              <w:pStyle w:val="TAH"/>
            </w:pPr>
            <w:r w:rsidRPr="008C6DE4">
              <w:t>DRX cycle length [s]</w:t>
            </w:r>
          </w:p>
        </w:tc>
        <w:tc>
          <w:tcPr>
            <w:tcW w:w="1061" w:type="pct"/>
            <w:gridSpan w:val="2"/>
            <w:tcBorders>
              <w:top w:val="single" w:sz="4" w:space="0" w:color="auto"/>
              <w:left w:val="single" w:sz="4" w:space="0" w:color="auto"/>
              <w:bottom w:val="single" w:sz="4" w:space="0" w:color="auto"/>
              <w:right w:val="single" w:sz="4" w:space="0" w:color="auto"/>
            </w:tcBorders>
            <w:hideMark/>
          </w:tcPr>
          <w:p w14:paraId="770635AD" w14:textId="77777777" w:rsidR="00D808CB" w:rsidRPr="008C6DE4" w:rsidRDefault="00D808CB" w:rsidP="001313A6">
            <w:pPr>
              <w:pStyle w:val="TAH"/>
            </w:pPr>
            <w:r w:rsidRPr="008C6DE4">
              <w:t>Scaling Factor (N1)</w:t>
            </w:r>
          </w:p>
        </w:tc>
        <w:tc>
          <w:tcPr>
            <w:tcW w:w="1111" w:type="pct"/>
            <w:vMerge w:val="restart"/>
            <w:tcBorders>
              <w:top w:val="single" w:sz="4" w:space="0" w:color="auto"/>
              <w:left w:val="single" w:sz="4" w:space="0" w:color="auto"/>
              <w:bottom w:val="single" w:sz="4" w:space="0" w:color="auto"/>
              <w:right w:val="single" w:sz="4" w:space="0" w:color="auto"/>
            </w:tcBorders>
            <w:hideMark/>
          </w:tcPr>
          <w:p w14:paraId="4446359E" w14:textId="77777777" w:rsidR="00D808CB" w:rsidRPr="008C6DE4" w:rsidRDefault="00D808CB" w:rsidP="001313A6">
            <w:pPr>
              <w:pStyle w:val="TAH"/>
            </w:pPr>
            <w:r w:rsidRPr="008C6DE4">
              <w:t>T</w:t>
            </w:r>
            <w:r w:rsidRPr="008C6DE4">
              <w:rPr>
                <w:vertAlign w:val="subscript"/>
              </w:rPr>
              <w:t>detect,NR_</w:t>
            </w:r>
            <w:r w:rsidRPr="008C6DE4">
              <w:rPr>
                <w:rFonts w:cs="v4.2.0"/>
                <w:vertAlign w:val="subscript"/>
              </w:rPr>
              <w:t>Inter</w:t>
            </w:r>
            <w:r>
              <w:rPr>
                <w:vertAlign w:val="subscript"/>
              </w:rPr>
              <w:t>_RedCap</w:t>
            </w:r>
            <w:r w:rsidRPr="008C6DE4">
              <w:t xml:space="preserve"> [s] (number of DRX cycles)</w:t>
            </w:r>
          </w:p>
        </w:tc>
        <w:tc>
          <w:tcPr>
            <w:tcW w:w="1112" w:type="pct"/>
            <w:vMerge w:val="restart"/>
            <w:tcBorders>
              <w:top w:val="single" w:sz="4" w:space="0" w:color="auto"/>
              <w:left w:val="single" w:sz="4" w:space="0" w:color="auto"/>
              <w:bottom w:val="single" w:sz="4" w:space="0" w:color="auto"/>
              <w:right w:val="single" w:sz="4" w:space="0" w:color="auto"/>
            </w:tcBorders>
            <w:hideMark/>
          </w:tcPr>
          <w:p w14:paraId="5483CD55" w14:textId="77777777" w:rsidR="00D808CB" w:rsidRPr="008C6DE4" w:rsidRDefault="00D808CB" w:rsidP="001313A6">
            <w:pPr>
              <w:pStyle w:val="TAH"/>
            </w:pPr>
            <w:r w:rsidRPr="008C6DE4">
              <w:t>T</w:t>
            </w:r>
            <w:r w:rsidRPr="008C6DE4">
              <w:rPr>
                <w:vertAlign w:val="subscript"/>
              </w:rPr>
              <w:t>measure,NR_</w:t>
            </w:r>
            <w:r w:rsidRPr="008C6DE4">
              <w:rPr>
                <w:rFonts w:cs="v4.2.0"/>
                <w:vertAlign w:val="subscript"/>
              </w:rPr>
              <w:t>Inter</w:t>
            </w:r>
            <w:r>
              <w:rPr>
                <w:vertAlign w:val="subscript"/>
              </w:rPr>
              <w:t>_RedCap</w:t>
            </w:r>
            <w:r w:rsidRPr="008C6DE4">
              <w:t xml:space="preserve"> [s] (number of DRX cycles)</w:t>
            </w:r>
          </w:p>
        </w:tc>
        <w:tc>
          <w:tcPr>
            <w:tcW w:w="1112" w:type="pct"/>
            <w:vMerge w:val="restart"/>
            <w:tcBorders>
              <w:top w:val="single" w:sz="4" w:space="0" w:color="auto"/>
              <w:left w:val="single" w:sz="4" w:space="0" w:color="auto"/>
              <w:bottom w:val="single" w:sz="4" w:space="0" w:color="auto"/>
              <w:right w:val="single" w:sz="4" w:space="0" w:color="auto"/>
            </w:tcBorders>
            <w:hideMark/>
          </w:tcPr>
          <w:p w14:paraId="5F691509" w14:textId="77777777" w:rsidR="00D808CB" w:rsidRPr="008C6DE4" w:rsidRDefault="00D808CB" w:rsidP="001313A6">
            <w:pPr>
              <w:pStyle w:val="TAH"/>
            </w:pPr>
            <w:r w:rsidRPr="008C6DE4">
              <w:t>T</w:t>
            </w:r>
            <w:r w:rsidRPr="008C6DE4">
              <w:rPr>
                <w:vertAlign w:val="subscript"/>
              </w:rPr>
              <w:t>evaluate,NR_</w:t>
            </w:r>
            <w:r w:rsidRPr="008C6DE4">
              <w:rPr>
                <w:rFonts w:cs="v4.2.0"/>
                <w:vertAlign w:val="subscript"/>
              </w:rPr>
              <w:t>Inter</w:t>
            </w:r>
            <w:r>
              <w:rPr>
                <w:vertAlign w:val="subscript"/>
              </w:rPr>
              <w:t>_RedCap</w:t>
            </w:r>
            <w:r w:rsidRPr="008C6DE4">
              <w:rPr>
                <w:rFonts w:cs="Arial"/>
              </w:rPr>
              <w:t xml:space="preserve"> </w:t>
            </w:r>
            <w:r w:rsidRPr="008C6DE4">
              <w:t>[s] (number of DRX cycles)</w:t>
            </w:r>
          </w:p>
        </w:tc>
      </w:tr>
      <w:tr w:rsidR="00D808CB" w:rsidRPr="008C6DE4" w14:paraId="151CA2CB" w14:textId="77777777" w:rsidTr="001313A6">
        <w:trPr>
          <w:cantSplit/>
          <w:trHeight w:val="3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BC1A95" w14:textId="77777777" w:rsidR="00D808CB" w:rsidRPr="008C6DE4" w:rsidRDefault="00D808CB" w:rsidP="001313A6">
            <w:pPr>
              <w:pStyle w:val="TAH"/>
            </w:pPr>
          </w:p>
        </w:tc>
        <w:tc>
          <w:tcPr>
            <w:tcW w:w="530" w:type="pct"/>
            <w:tcBorders>
              <w:top w:val="single" w:sz="4" w:space="0" w:color="auto"/>
              <w:left w:val="single" w:sz="4" w:space="0" w:color="auto"/>
              <w:bottom w:val="single" w:sz="4" w:space="0" w:color="auto"/>
              <w:right w:val="single" w:sz="4" w:space="0" w:color="auto"/>
            </w:tcBorders>
            <w:hideMark/>
          </w:tcPr>
          <w:p w14:paraId="46548897" w14:textId="77777777" w:rsidR="00D808CB" w:rsidRPr="008C6DE4" w:rsidRDefault="00D808CB" w:rsidP="001313A6">
            <w:pPr>
              <w:pStyle w:val="TAH"/>
            </w:pPr>
            <w:r w:rsidRPr="008C6DE4">
              <w:t>FR1</w:t>
            </w:r>
          </w:p>
        </w:tc>
        <w:tc>
          <w:tcPr>
            <w:tcW w:w="531" w:type="pct"/>
            <w:tcBorders>
              <w:top w:val="single" w:sz="4" w:space="0" w:color="auto"/>
              <w:left w:val="single" w:sz="4" w:space="0" w:color="auto"/>
              <w:bottom w:val="single" w:sz="4" w:space="0" w:color="auto"/>
              <w:right w:val="single" w:sz="4" w:space="0" w:color="auto"/>
            </w:tcBorders>
            <w:hideMark/>
          </w:tcPr>
          <w:p w14:paraId="3408E71E" w14:textId="77777777" w:rsidR="00D808CB" w:rsidRPr="008C6DE4" w:rsidRDefault="00D808CB" w:rsidP="001313A6">
            <w:pPr>
              <w:pStyle w:val="TAH"/>
              <w:rPr>
                <w:vertAlign w:val="superscript"/>
              </w:rPr>
            </w:pPr>
            <w:r w:rsidRPr="008C6DE4">
              <w:t>FR2</w:t>
            </w:r>
            <w:r w:rsidRPr="008C6DE4">
              <w:rPr>
                <w:vertAlign w:val="superscript"/>
              </w:rPr>
              <w:t>Note1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9730B4" w14:textId="77777777" w:rsidR="00D808CB" w:rsidRPr="008C6DE4" w:rsidRDefault="00D808CB" w:rsidP="001313A6">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345C2E" w14:textId="77777777" w:rsidR="00D808CB" w:rsidRPr="008C6DE4" w:rsidRDefault="00D808CB" w:rsidP="001313A6">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C1350A" w14:textId="77777777" w:rsidR="00D808CB" w:rsidRPr="008C6DE4" w:rsidRDefault="00D808CB" w:rsidP="001313A6">
            <w:pPr>
              <w:pStyle w:val="TAH"/>
            </w:pPr>
          </w:p>
        </w:tc>
      </w:tr>
      <w:tr w:rsidR="00D808CB" w:rsidRPr="008C6DE4" w14:paraId="158C7B00"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069DF747" w14:textId="77777777" w:rsidR="00D808CB" w:rsidRPr="008C6DE4" w:rsidRDefault="00D808CB" w:rsidP="001313A6">
            <w:pPr>
              <w:pStyle w:val="TAC"/>
            </w:pPr>
            <w:r w:rsidRPr="008C6DE4">
              <w:t>0.32</w:t>
            </w:r>
          </w:p>
        </w:tc>
        <w:tc>
          <w:tcPr>
            <w:tcW w:w="530" w:type="pct"/>
            <w:vMerge w:val="restart"/>
            <w:tcBorders>
              <w:top w:val="single" w:sz="4" w:space="0" w:color="auto"/>
              <w:left w:val="single" w:sz="4" w:space="0" w:color="auto"/>
              <w:bottom w:val="single" w:sz="4" w:space="0" w:color="auto"/>
              <w:right w:val="single" w:sz="4" w:space="0" w:color="auto"/>
            </w:tcBorders>
            <w:vAlign w:val="center"/>
            <w:hideMark/>
          </w:tcPr>
          <w:p w14:paraId="752414BD" w14:textId="77777777" w:rsidR="00D808CB" w:rsidRPr="008C6DE4" w:rsidRDefault="00D808CB" w:rsidP="001313A6">
            <w:pPr>
              <w:pStyle w:val="TAC"/>
            </w:pPr>
            <w:r w:rsidRPr="008C6DE4">
              <w:t>1</w:t>
            </w:r>
          </w:p>
        </w:tc>
        <w:tc>
          <w:tcPr>
            <w:tcW w:w="531" w:type="pct"/>
            <w:tcBorders>
              <w:top w:val="single" w:sz="4" w:space="0" w:color="auto"/>
              <w:left w:val="single" w:sz="4" w:space="0" w:color="auto"/>
              <w:bottom w:val="single" w:sz="4" w:space="0" w:color="auto"/>
              <w:right w:val="single" w:sz="4" w:space="0" w:color="auto"/>
            </w:tcBorders>
            <w:hideMark/>
          </w:tcPr>
          <w:p w14:paraId="043C8E79" w14:textId="77777777" w:rsidR="00D808CB" w:rsidRPr="008C6DE4" w:rsidRDefault="00D808CB" w:rsidP="001313A6">
            <w:pPr>
              <w:pStyle w:val="TAC"/>
            </w:pPr>
            <w:r w:rsidRPr="008C6DE4">
              <w:t>8</w:t>
            </w:r>
          </w:p>
        </w:tc>
        <w:tc>
          <w:tcPr>
            <w:tcW w:w="1111" w:type="pct"/>
            <w:tcBorders>
              <w:top w:val="single" w:sz="4" w:space="0" w:color="auto"/>
              <w:left w:val="single" w:sz="4" w:space="0" w:color="auto"/>
              <w:bottom w:val="single" w:sz="4" w:space="0" w:color="auto"/>
              <w:right w:val="single" w:sz="4" w:space="0" w:color="auto"/>
            </w:tcBorders>
            <w:hideMark/>
          </w:tcPr>
          <w:p w14:paraId="22327C85" w14:textId="77777777" w:rsidR="00D808CB" w:rsidRPr="008C6DE4" w:rsidRDefault="00D808CB" w:rsidP="001313A6">
            <w:pPr>
              <w:pStyle w:val="TAC"/>
            </w:pPr>
            <w:r w:rsidRPr="008C6DE4">
              <w:t xml:space="preserve">11.52 x N1 </w:t>
            </w:r>
            <w:r w:rsidRPr="008C6DE4">
              <w:rPr>
                <w:rFonts w:cs="Arial"/>
                <w:lang w:eastAsia="zh-CN"/>
              </w:rPr>
              <w:t xml:space="preserve">x 1.5 </w:t>
            </w:r>
            <w:r w:rsidRPr="008C6DE4">
              <w:t>(36 x N1</w:t>
            </w:r>
            <w:r w:rsidRPr="008C6DE4">
              <w:rPr>
                <w:rFonts w:cs="Arial"/>
                <w:lang w:eastAsia="zh-CN"/>
              </w:rPr>
              <w:t xml:space="preserve"> x 1.5</w:t>
            </w:r>
            <w:r w:rsidRPr="008C6DE4">
              <w:t>)</w:t>
            </w:r>
          </w:p>
        </w:tc>
        <w:tc>
          <w:tcPr>
            <w:tcW w:w="1112" w:type="pct"/>
            <w:tcBorders>
              <w:top w:val="single" w:sz="4" w:space="0" w:color="auto"/>
              <w:left w:val="single" w:sz="4" w:space="0" w:color="auto"/>
              <w:bottom w:val="single" w:sz="4" w:space="0" w:color="auto"/>
              <w:right w:val="single" w:sz="4" w:space="0" w:color="auto"/>
            </w:tcBorders>
            <w:hideMark/>
          </w:tcPr>
          <w:p w14:paraId="05DFB583" w14:textId="77777777" w:rsidR="00D808CB" w:rsidRPr="008C6DE4" w:rsidRDefault="00D808CB" w:rsidP="001313A6">
            <w:pPr>
              <w:pStyle w:val="TAC"/>
            </w:pPr>
            <w:r w:rsidRPr="008C6DE4">
              <w:t xml:space="preserve">1.28 x N1 </w:t>
            </w:r>
            <w:r w:rsidRPr="008C6DE4">
              <w:rPr>
                <w:rFonts w:cs="Arial"/>
                <w:lang w:eastAsia="zh-CN"/>
              </w:rPr>
              <w:t xml:space="preserve">x 1.5 </w:t>
            </w:r>
            <w:r w:rsidRPr="008C6DE4">
              <w:t>(4 x N1</w:t>
            </w:r>
            <w:r w:rsidRPr="008C6DE4">
              <w:rPr>
                <w:rFonts w:cs="Arial"/>
                <w:lang w:eastAsia="zh-CN"/>
              </w:rPr>
              <w:t xml:space="preserve"> x 1.5</w:t>
            </w:r>
            <w:r w:rsidRPr="008C6DE4">
              <w:t>)</w:t>
            </w:r>
          </w:p>
        </w:tc>
        <w:tc>
          <w:tcPr>
            <w:tcW w:w="1112" w:type="pct"/>
            <w:tcBorders>
              <w:top w:val="single" w:sz="4" w:space="0" w:color="auto"/>
              <w:left w:val="single" w:sz="4" w:space="0" w:color="auto"/>
              <w:bottom w:val="single" w:sz="4" w:space="0" w:color="auto"/>
              <w:right w:val="single" w:sz="4" w:space="0" w:color="auto"/>
            </w:tcBorders>
            <w:hideMark/>
          </w:tcPr>
          <w:p w14:paraId="72432918" w14:textId="77777777" w:rsidR="00D808CB" w:rsidRPr="008C6DE4" w:rsidRDefault="00D808CB" w:rsidP="001313A6">
            <w:pPr>
              <w:pStyle w:val="TAC"/>
            </w:pPr>
            <w:r w:rsidRPr="008C6DE4">
              <w:t xml:space="preserve">5.12 x N1 </w:t>
            </w:r>
            <w:r w:rsidRPr="008C6DE4">
              <w:rPr>
                <w:rFonts w:cs="Arial"/>
                <w:lang w:eastAsia="zh-CN"/>
              </w:rPr>
              <w:t xml:space="preserve">x 1.5 </w:t>
            </w:r>
            <w:r w:rsidRPr="008C6DE4">
              <w:t>(16 x N1</w:t>
            </w:r>
            <w:r w:rsidRPr="008C6DE4">
              <w:rPr>
                <w:rFonts w:cs="Arial"/>
                <w:lang w:eastAsia="zh-CN"/>
              </w:rPr>
              <w:t xml:space="preserve"> x 1.5</w:t>
            </w:r>
            <w:r w:rsidRPr="008C6DE4">
              <w:t>)</w:t>
            </w:r>
          </w:p>
        </w:tc>
      </w:tr>
      <w:tr w:rsidR="00D808CB" w:rsidRPr="008C6DE4" w14:paraId="4BEEFDEA"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49577D73" w14:textId="77777777" w:rsidR="00D808CB" w:rsidRPr="008C6DE4" w:rsidRDefault="00D808CB" w:rsidP="001313A6">
            <w:pPr>
              <w:pStyle w:val="TAC"/>
            </w:pPr>
            <w:r w:rsidRPr="008C6DE4">
              <w:t>0.64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74856F" w14:textId="77777777" w:rsidR="00D808CB" w:rsidRPr="008C6DE4" w:rsidRDefault="00D808CB" w:rsidP="001313A6">
            <w:pPr>
              <w:pStyle w:val="TAC"/>
            </w:pPr>
          </w:p>
        </w:tc>
        <w:tc>
          <w:tcPr>
            <w:tcW w:w="531" w:type="pct"/>
            <w:tcBorders>
              <w:top w:val="single" w:sz="4" w:space="0" w:color="auto"/>
              <w:left w:val="single" w:sz="4" w:space="0" w:color="auto"/>
              <w:bottom w:val="single" w:sz="4" w:space="0" w:color="auto"/>
              <w:right w:val="single" w:sz="4" w:space="0" w:color="auto"/>
            </w:tcBorders>
            <w:hideMark/>
          </w:tcPr>
          <w:p w14:paraId="5D2FD94D" w14:textId="77777777" w:rsidR="00D808CB" w:rsidRPr="008C6DE4" w:rsidRDefault="00D808CB" w:rsidP="001313A6">
            <w:pPr>
              <w:pStyle w:val="TAC"/>
            </w:pPr>
            <w:r w:rsidRPr="008C6DE4">
              <w:t>5</w:t>
            </w:r>
          </w:p>
        </w:tc>
        <w:tc>
          <w:tcPr>
            <w:tcW w:w="1111" w:type="pct"/>
            <w:tcBorders>
              <w:top w:val="single" w:sz="4" w:space="0" w:color="auto"/>
              <w:left w:val="single" w:sz="4" w:space="0" w:color="auto"/>
              <w:bottom w:val="single" w:sz="4" w:space="0" w:color="auto"/>
              <w:right w:val="single" w:sz="4" w:space="0" w:color="auto"/>
            </w:tcBorders>
            <w:hideMark/>
          </w:tcPr>
          <w:p w14:paraId="0FB040FB" w14:textId="77777777" w:rsidR="00D808CB" w:rsidRPr="008C6DE4" w:rsidRDefault="00D808CB" w:rsidP="001313A6">
            <w:pPr>
              <w:pStyle w:val="TAC"/>
            </w:pPr>
            <w:r w:rsidRPr="008C6DE4">
              <w:t>17.92x N1 (28 x N1)</w:t>
            </w:r>
          </w:p>
        </w:tc>
        <w:tc>
          <w:tcPr>
            <w:tcW w:w="1112" w:type="pct"/>
            <w:tcBorders>
              <w:top w:val="single" w:sz="4" w:space="0" w:color="auto"/>
              <w:left w:val="single" w:sz="4" w:space="0" w:color="auto"/>
              <w:bottom w:val="single" w:sz="4" w:space="0" w:color="auto"/>
              <w:right w:val="single" w:sz="4" w:space="0" w:color="auto"/>
            </w:tcBorders>
            <w:hideMark/>
          </w:tcPr>
          <w:p w14:paraId="77B9A722" w14:textId="77777777" w:rsidR="00D808CB" w:rsidRPr="008C6DE4" w:rsidRDefault="00D808CB" w:rsidP="001313A6">
            <w:pPr>
              <w:pStyle w:val="TAC"/>
            </w:pPr>
            <w:r w:rsidRPr="008C6DE4">
              <w:t>1.28 x N1 (2 x N1)</w:t>
            </w:r>
          </w:p>
        </w:tc>
        <w:tc>
          <w:tcPr>
            <w:tcW w:w="1112" w:type="pct"/>
            <w:tcBorders>
              <w:top w:val="single" w:sz="4" w:space="0" w:color="auto"/>
              <w:left w:val="single" w:sz="4" w:space="0" w:color="auto"/>
              <w:bottom w:val="single" w:sz="4" w:space="0" w:color="auto"/>
              <w:right w:val="single" w:sz="4" w:space="0" w:color="auto"/>
            </w:tcBorders>
            <w:hideMark/>
          </w:tcPr>
          <w:p w14:paraId="284DCE45" w14:textId="77777777" w:rsidR="00D808CB" w:rsidRPr="008C6DE4" w:rsidRDefault="00D808CB" w:rsidP="001313A6">
            <w:pPr>
              <w:pStyle w:val="TAC"/>
            </w:pPr>
            <w:r w:rsidRPr="008C6DE4">
              <w:t>5.12 x N1 (8 x N1)</w:t>
            </w:r>
          </w:p>
        </w:tc>
      </w:tr>
      <w:tr w:rsidR="00D808CB" w:rsidRPr="008C6DE4" w14:paraId="445447AA"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2A8FD379" w14:textId="77777777" w:rsidR="00D808CB" w:rsidRPr="008C6DE4" w:rsidRDefault="00D808CB" w:rsidP="001313A6">
            <w:pPr>
              <w:pStyle w:val="TAC"/>
            </w:pPr>
            <w:r w:rsidRPr="008C6DE4">
              <w:t>1.28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B09E26" w14:textId="77777777" w:rsidR="00D808CB" w:rsidRPr="008C6DE4" w:rsidRDefault="00D808CB" w:rsidP="001313A6">
            <w:pPr>
              <w:pStyle w:val="TAC"/>
            </w:pPr>
          </w:p>
        </w:tc>
        <w:tc>
          <w:tcPr>
            <w:tcW w:w="531" w:type="pct"/>
            <w:tcBorders>
              <w:top w:val="single" w:sz="4" w:space="0" w:color="auto"/>
              <w:left w:val="single" w:sz="4" w:space="0" w:color="auto"/>
              <w:bottom w:val="single" w:sz="4" w:space="0" w:color="auto"/>
              <w:right w:val="single" w:sz="4" w:space="0" w:color="auto"/>
            </w:tcBorders>
            <w:hideMark/>
          </w:tcPr>
          <w:p w14:paraId="14B005CD" w14:textId="77777777" w:rsidR="00D808CB" w:rsidRPr="008C6DE4" w:rsidRDefault="00D808CB" w:rsidP="001313A6">
            <w:pPr>
              <w:pStyle w:val="TAC"/>
            </w:pPr>
            <w:r w:rsidRPr="008C6DE4">
              <w:t>4</w:t>
            </w:r>
          </w:p>
        </w:tc>
        <w:tc>
          <w:tcPr>
            <w:tcW w:w="1111" w:type="pct"/>
            <w:tcBorders>
              <w:top w:val="single" w:sz="4" w:space="0" w:color="auto"/>
              <w:left w:val="single" w:sz="4" w:space="0" w:color="auto"/>
              <w:bottom w:val="single" w:sz="4" w:space="0" w:color="auto"/>
              <w:right w:val="single" w:sz="4" w:space="0" w:color="auto"/>
            </w:tcBorders>
            <w:hideMark/>
          </w:tcPr>
          <w:p w14:paraId="3FDB55D3" w14:textId="77777777" w:rsidR="00D808CB" w:rsidRPr="008C6DE4" w:rsidRDefault="00D808CB" w:rsidP="001313A6">
            <w:pPr>
              <w:pStyle w:val="TAC"/>
            </w:pPr>
            <w:r w:rsidRPr="008C6DE4">
              <w:t>32 x N1 (25 x N1)</w:t>
            </w:r>
          </w:p>
        </w:tc>
        <w:tc>
          <w:tcPr>
            <w:tcW w:w="1112" w:type="pct"/>
            <w:tcBorders>
              <w:top w:val="single" w:sz="4" w:space="0" w:color="auto"/>
              <w:left w:val="single" w:sz="4" w:space="0" w:color="auto"/>
              <w:bottom w:val="single" w:sz="4" w:space="0" w:color="auto"/>
              <w:right w:val="single" w:sz="4" w:space="0" w:color="auto"/>
            </w:tcBorders>
            <w:hideMark/>
          </w:tcPr>
          <w:p w14:paraId="5C785D03" w14:textId="77777777" w:rsidR="00D808CB" w:rsidRPr="008C6DE4" w:rsidRDefault="00D808CB" w:rsidP="001313A6">
            <w:pPr>
              <w:pStyle w:val="TAC"/>
            </w:pPr>
            <w:r w:rsidRPr="008C6DE4">
              <w:t>1.28 x N1 (1 x N1)</w:t>
            </w:r>
          </w:p>
        </w:tc>
        <w:tc>
          <w:tcPr>
            <w:tcW w:w="1112" w:type="pct"/>
            <w:tcBorders>
              <w:top w:val="single" w:sz="4" w:space="0" w:color="auto"/>
              <w:left w:val="single" w:sz="4" w:space="0" w:color="auto"/>
              <w:bottom w:val="single" w:sz="4" w:space="0" w:color="auto"/>
              <w:right w:val="single" w:sz="4" w:space="0" w:color="auto"/>
            </w:tcBorders>
            <w:hideMark/>
          </w:tcPr>
          <w:p w14:paraId="1095225F" w14:textId="77777777" w:rsidR="00D808CB" w:rsidRPr="008C6DE4" w:rsidRDefault="00D808CB" w:rsidP="001313A6">
            <w:pPr>
              <w:pStyle w:val="TAC"/>
            </w:pPr>
            <w:r w:rsidRPr="008C6DE4">
              <w:t>6.4 x N1 (5 x N1)</w:t>
            </w:r>
          </w:p>
        </w:tc>
      </w:tr>
      <w:tr w:rsidR="00D808CB" w:rsidRPr="008C6DE4" w14:paraId="47E9A350"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704E2497" w14:textId="77777777" w:rsidR="00D808CB" w:rsidRPr="008C6DE4" w:rsidRDefault="00D808CB" w:rsidP="001313A6">
            <w:pPr>
              <w:pStyle w:val="TAC"/>
            </w:pPr>
            <w:r w:rsidRPr="008C6DE4">
              <w:t>2.56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DE9AE9" w14:textId="77777777" w:rsidR="00D808CB" w:rsidRPr="008C6DE4" w:rsidRDefault="00D808CB" w:rsidP="001313A6">
            <w:pPr>
              <w:pStyle w:val="TAC"/>
            </w:pPr>
          </w:p>
        </w:tc>
        <w:tc>
          <w:tcPr>
            <w:tcW w:w="531" w:type="pct"/>
            <w:tcBorders>
              <w:top w:val="single" w:sz="4" w:space="0" w:color="auto"/>
              <w:left w:val="single" w:sz="4" w:space="0" w:color="auto"/>
              <w:bottom w:val="single" w:sz="4" w:space="0" w:color="auto"/>
              <w:right w:val="single" w:sz="4" w:space="0" w:color="auto"/>
            </w:tcBorders>
            <w:hideMark/>
          </w:tcPr>
          <w:p w14:paraId="76E99F67" w14:textId="77777777" w:rsidR="00D808CB" w:rsidRPr="008C6DE4" w:rsidRDefault="00D808CB" w:rsidP="001313A6">
            <w:pPr>
              <w:pStyle w:val="TAC"/>
            </w:pPr>
            <w:r w:rsidRPr="008C6DE4">
              <w:t>3</w:t>
            </w:r>
          </w:p>
        </w:tc>
        <w:tc>
          <w:tcPr>
            <w:tcW w:w="1111" w:type="pct"/>
            <w:tcBorders>
              <w:top w:val="single" w:sz="4" w:space="0" w:color="auto"/>
              <w:left w:val="single" w:sz="4" w:space="0" w:color="auto"/>
              <w:bottom w:val="single" w:sz="4" w:space="0" w:color="auto"/>
              <w:right w:val="single" w:sz="4" w:space="0" w:color="auto"/>
            </w:tcBorders>
            <w:hideMark/>
          </w:tcPr>
          <w:p w14:paraId="7B952C8D" w14:textId="77777777" w:rsidR="00D808CB" w:rsidRPr="008C6DE4" w:rsidRDefault="00D808CB" w:rsidP="001313A6">
            <w:pPr>
              <w:pStyle w:val="TAC"/>
            </w:pPr>
            <w:r w:rsidRPr="008C6DE4">
              <w:t>58.88 x N1 (23 x N1)</w:t>
            </w:r>
          </w:p>
        </w:tc>
        <w:tc>
          <w:tcPr>
            <w:tcW w:w="1112" w:type="pct"/>
            <w:tcBorders>
              <w:top w:val="single" w:sz="4" w:space="0" w:color="auto"/>
              <w:left w:val="single" w:sz="4" w:space="0" w:color="auto"/>
              <w:bottom w:val="single" w:sz="4" w:space="0" w:color="auto"/>
              <w:right w:val="single" w:sz="4" w:space="0" w:color="auto"/>
            </w:tcBorders>
            <w:hideMark/>
          </w:tcPr>
          <w:p w14:paraId="24DB0573" w14:textId="77777777" w:rsidR="00D808CB" w:rsidRPr="008C6DE4" w:rsidRDefault="00D808CB" w:rsidP="001313A6">
            <w:pPr>
              <w:pStyle w:val="TAC"/>
            </w:pPr>
            <w:r w:rsidRPr="008C6DE4">
              <w:t>2.56 x N1 (1 x N1)</w:t>
            </w:r>
          </w:p>
        </w:tc>
        <w:tc>
          <w:tcPr>
            <w:tcW w:w="1112" w:type="pct"/>
            <w:tcBorders>
              <w:top w:val="single" w:sz="4" w:space="0" w:color="auto"/>
              <w:left w:val="single" w:sz="4" w:space="0" w:color="auto"/>
              <w:bottom w:val="single" w:sz="4" w:space="0" w:color="auto"/>
              <w:right w:val="single" w:sz="4" w:space="0" w:color="auto"/>
            </w:tcBorders>
            <w:hideMark/>
          </w:tcPr>
          <w:p w14:paraId="016CD9BC" w14:textId="77777777" w:rsidR="00D808CB" w:rsidRPr="008C6DE4" w:rsidRDefault="00D808CB" w:rsidP="001313A6">
            <w:pPr>
              <w:pStyle w:val="TAC"/>
            </w:pPr>
            <w:r w:rsidRPr="008C6DE4">
              <w:t>7.68 x N1 (3 x N1)</w:t>
            </w:r>
          </w:p>
        </w:tc>
      </w:tr>
      <w:tr w:rsidR="00D808CB" w:rsidRPr="008C6DE4" w14:paraId="366D5546" w14:textId="77777777" w:rsidTr="001313A6">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692B1FBC" w14:textId="77777777" w:rsidR="00D808CB" w:rsidRPr="008C6DE4" w:rsidRDefault="00D808CB" w:rsidP="004868FC">
            <w:pPr>
              <w:pStyle w:val="TAN"/>
            </w:pPr>
            <w:r w:rsidRPr="008C6DE4">
              <w:rPr>
                <w:snapToGrid w:val="0"/>
                <w:lang w:eastAsia="zh-CN"/>
              </w:rPr>
              <w:t>Note 1</w:t>
            </w:r>
            <w:r w:rsidRPr="008C6DE4">
              <w:t>:</w:t>
            </w:r>
            <w:r w:rsidRPr="008C6DE4">
              <w:rPr>
                <w:lang w:val="en-US"/>
              </w:rPr>
              <w:tab/>
            </w:r>
            <w:r w:rsidRPr="0082197E">
              <w:rPr>
                <w:lang w:eastAsia="zh-CN"/>
              </w:rPr>
              <w:t>Applies for RedCap UE of all FR2 power class</w:t>
            </w:r>
            <w:r w:rsidRPr="009C5807">
              <w:t>.</w:t>
            </w:r>
          </w:p>
        </w:tc>
      </w:tr>
    </w:tbl>
    <w:p w14:paraId="1B6D4070" w14:textId="77777777" w:rsidR="00D808CB" w:rsidRDefault="00D808CB" w:rsidP="00D808CB">
      <w:pPr>
        <w:rPr>
          <w:lang w:eastAsia="zh-CN"/>
        </w:rPr>
      </w:pPr>
    </w:p>
    <w:p w14:paraId="494DD2A4" w14:textId="77777777" w:rsidR="00D808CB" w:rsidRPr="008C6DE4" w:rsidRDefault="00D808CB" w:rsidP="00D808CB">
      <w:pPr>
        <w:pStyle w:val="TH"/>
        <w:rPr>
          <w:vertAlign w:val="subscript"/>
        </w:rPr>
      </w:pPr>
      <w:r w:rsidRPr="008C6DE4">
        <w:t>Table 4.2</w:t>
      </w:r>
      <w:r>
        <w:t>B</w:t>
      </w:r>
      <w:r w:rsidRPr="008C6DE4">
        <w:t>.2.4-</w:t>
      </w:r>
      <w:r>
        <w:t>2</w:t>
      </w:r>
      <w:r w:rsidRPr="008C6DE4">
        <w:t>: T</w:t>
      </w:r>
      <w:r w:rsidRPr="008C6DE4">
        <w:rPr>
          <w:vertAlign w:val="subscript"/>
        </w:rPr>
        <w:t>detect,NR_Inter</w:t>
      </w:r>
      <w:r>
        <w:rPr>
          <w:vertAlign w:val="subscript"/>
        </w:rPr>
        <w:t>_RedCap</w:t>
      </w:r>
      <w:r w:rsidRPr="008C6DE4">
        <w:rPr>
          <w:vertAlign w:val="subscript"/>
        </w:rPr>
        <w:t>,</w:t>
      </w:r>
      <w:r w:rsidRPr="008C6DE4">
        <w:t xml:space="preserve"> T</w:t>
      </w:r>
      <w:r w:rsidRPr="008C6DE4">
        <w:rPr>
          <w:vertAlign w:val="subscript"/>
        </w:rPr>
        <w:t>measure,NR_Inter</w:t>
      </w:r>
      <w:r>
        <w:rPr>
          <w:vertAlign w:val="subscript"/>
        </w:rPr>
        <w:t>_RedCap</w:t>
      </w:r>
      <w:r w:rsidRPr="008C6DE4">
        <w:t xml:space="preserve"> and T</w:t>
      </w:r>
      <w:r w:rsidRPr="008C6DE4">
        <w:rPr>
          <w:vertAlign w:val="subscript"/>
        </w:rPr>
        <w:t>evaluate,NR_Inter</w:t>
      </w:r>
      <w:r>
        <w:rPr>
          <w:vertAlign w:val="subscript"/>
        </w:rPr>
        <w:t>_RedCap</w:t>
      </w:r>
      <w:r>
        <w:rPr>
          <w:vertAlign w:val="subscript"/>
          <w:lang w:val="en-US"/>
        </w:rPr>
        <w:t xml:space="preserve"> </w:t>
      </w:r>
      <w:r w:rsidRPr="00691C10">
        <w:t>for UE configured with eDRX_IDLE cycle</w:t>
      </w:r>
      <w:r>
        <w:t xml:space="preserve"> </w:t>
      </w:r>
      <w:r w:rsidRPr="00691C10">
        <w:t>(Frequency range FR1)</w:t>
      </w:r>
    </w:p>
    <w:tbl>
      <w:tblPr>
        <w:tblW w:w="48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756"/>
        <w:gridCol w:w="1065"/>
        <w:gridCol w:w="2597"/>
        <w:gridCol w:w="1874"/>
        <w:gridCol w:w="1860"/>
      </w:tblGrid>
      <w:tr w:rsidR="00D808CB" w:rsidRPr="00B85562" w14:paraId="0E06A1AD" w14:textId="77777777" w:rsidTr="001313A6">
        <w:trPr>
          <w:trHeight w:val="673"/>
        </w:trPr>
        <w:tc>
          <w:tcPr>
            <w:tcW w:w="645" w:type="pct"/>
            <w:vMerge w:val="restart"/>
            <w:hideMark/>
          </w:tcPr>
          <w:p w14:paraId="4996C222" w14:textId="77777777" w:rsidR="00D808CB" w:rsidRPr="00257170" w:rsidRDefault="00D808CB" w:rsidP="001313A6">
            <w:pPr>
              <w:rPr>
                <w:rFonts w:ascii="Arial" w:hAnsi="Arial" w:cs="Arial"/>
                <w:sz w:val="18"/>
                <w:szCs w:val="18"/>
                <w:lang w:val="en-US" w:eastAsia="zh-CN"/>
              </w:rPr>
            </w:pPr>
            <w:r w:rsidRPr="00963536">
              <w:rPr>
                <w:rFonts w:ascii="Arial" w:hAnsi="Arial" w:cs="Arial"/>
                <w:b/>
                <w:sz w:val="18"/>
                <w:szCs w:val="18"/>
                <w:lang w:eastAsia="zh-CN"/>
              </w:rPr>
              <w:t>eDRX_IDLE cycle length [s]</w:t>
            </w:r>
          </w:p>
        </w:tc>
        <w:tc>
          <w:tcPr>
            <w:tcW w:w="404" w:type="pct"/>
            <w:vMerge w:val="restart"/>
            <w:hideMark/>
          </w:tcPr>
          <w:p w14:paraId="37A2630D" w14:textId="77777777" w:rsidR="00D808CB" w:rsidRPr="00FB0826" w:rsidRDefault="00D808CB" w:rsidP="001313A6">
            <w:pPr>
              <w:rPr>
                <w:rFonts w:ascii="Arial" w:hAnsi="Arial" w:cs="Arial"/>
                <w:sz w:val="18"/>
                <w:szCs w:val="18"/>
                <w:lang w:val="en-US" w:eastAsia="zh-CN"/>
              </w:rPr>
            </w:pPr>
            <w:r w:rsidRPr="00BE6BE3">
              <w:rPr>
                <w:rFonts w:ascii="Arial" w:hAnsi="Arial" w:cs="Arial"/>
                <w:b/>
                <w:sz w:val="18"/>
                <w:szCs w:val="18"/>
                <w:lang w:eastAsia="zh-CN"/>
              </w:rPr>
              <w:t>DRX cycle length [s]</w:t>
            </w:r>
          </w:p>
        </w:tc>
        <w:tc>
          <w:tcPr>
            <w:tcW w:w="680" w:type="pct"/>
            <w:vMerge w:val="restart"/>
            <w:hideMark/>
          </w:tcPr>
          <w:p w14:paraId="6BBEB53F" w14:textId="77777777" w:rsidR="00D808CB" w:rsidRPr="00D90DBA" w:rsidRDefault="00D808CB" w:rsidP="001313A6">
            <w:pPr>
              <w:rPr>
                <w:rFonts w:ascii="Arial" w:hAnsi="Arial" w:cs="Arial"/>
                <w:sz w:val="18"/>
                <w:szCs w:val="18"/>
                <w:lang w:val="en-US" w:eastAsia="zh-CN"/>
              </w:rPr>
            </w:pPr>
            <w:r w:rsidRPr="002651A6">
              <w:rPr>
                <w:rFonts w:ascii="Arial" w:hAnsi="Arial" w:cs="Arial"/>
                <w:b/>
                <w:sz w:val="18"/>
                <w:szCs w:val="18"/>
                <w:lang w:eastAsia="zh-CN"/>
              </w:rPr>
              <w:t>PTW length [s] (number of 1.28s periods)</w:t>
            </w:r>
          </w:p>
        </w:tc>
        <w:tc>
          <w:tcPr>
            <w:tcW w:w="1498" w:type="pct"/>
            <w:vMerge w:val="restart"/>
            <w:hideMark/>
          </w:tcPr>
          <w:p w14:paraId="0E3C35B0" w14:textId="77777777" w:rsidR="00D808CB" w:rsidRPr="00BE6BE3" w:rsidRDefault="00D808CB" w:rsidP="001313A6">
            <w:pPr>
              <w:rPr>
                <w:rFonts w:ascii="Arial" w:hAnsi="Arial" w:cs="Arial"/>
                <w:sz w:val="18"/>
                <w:szCs w:val="18"/>
                <w:lang w:val="en-US" w:eastAsia="zh-CN"/>
              </w:rPr>
            </w:pPr>
            <w:r w:rsidRPr="00275B6E">
              <w:rPr>
                <w:rFonts w:ascii="Arial" w:hAnsi="Arial" w:cs="Arial"/>
                <w:b/>
                <w:bCs/>
                <w:sz w:val="18"/>
                <w:szCs w:val="18"/>
              </w:rPr>
              <w:t>T</w:t>
            </w:r>
            <w:r w:rsidRPr="00275B6E">
              <w:rPr>
                <w:rFonts w:ascii="Arial" w:hAnsi="Arial" w:cs="Arial"/>
                <w:b/>
                <w:bCs/>
                <w:sz w:val="18"/>
                <w:szCs w:val="18"/>
                <w:vertAlign w:val="subscript"/>
              </w:rPr>
              <w:t>detect,NR_Inter_RedCap</w:t>
            </w:r>
            <w:r w:rsidRPr="00963536">
              <w:rPr>
                <w:rFonts w:ascii="Arial" w:hAnsi="Arial" w:cs="Arial"/>
                <w:b/>
                <w:sz w:val="18"/>
                <w:szCs w:val="18"/>
                <w:lang w:eastAsia="zh-CN"/>
              </w:rPr>
              <w:t xml:space="preserve"> </w:t>
            </w:r>
            <w:r w:rsidRPr="00257170">
              <w:rPr>
                <w:rFonts w:ascii="Arial" w:hAnsi="Arial" w:cs="Arial"/>
                <w:b/>
                <w:sz w:val="18"/>
                <w:szCs w:val="18"/>
                <w:lang w:eastAsia="zh-CN"/>
              </w:rPr>
              <w:t>[s] (number of DRX cycles</w:t>
            </w:r>
            <w:r>
              <w:rPr>
                <w:rFonts w:ascii="Arial" w:hAnsi="Arial" w:cs="Arial"/>
                <w:b/>
                <w:bCs/>
                <w:sz w:val="18"/>
                <w:szCs w:val="18"/>
                <w:lang w:eastAsia="zh-CN"/>
              </w:rPr>
              <w:t xml:space="preserve"> or eDRX cycles </w:t>
            </w:r>
            <w:r w:rsidRPr="00CD5296">
              <w:rPr>
                <w:rFonts w:ascii="Arial" w:hAnsi="Arial" w:cs="Arial"/>
                <w:b/>
                <w:bCs/>
                <w:sz w:val="18"/>
                <w:szCs w:val="18"/>
                <w:vertAlign w:val="superscript"/>
                <w:lang w:eastAsia="zh-CN"/>
              </w:rPr>
              <w:t>Note 3</w:t>
            </w:r>
            <w:r w:rsidRPr="00257170">
              <w:rPr>
                <w:rFonts w:ascii="Arial" w:hAnsi="Arial" w:cs="Arial"/>
                <w:b/>
                <w:sz w:val="18"/>
                <w:szCs w:val="18"/>
                <w:lang w:eastAsia="zh-CN"/>
              </w:rPr>
              <w:t>)</w:t>
            </w:r>
          </w:p>
        </w:tc>
        <w:tc>
          <w:tcPr>
            <w:tcW w:w="863" w:type="pct"/>
            <w:vMerge w:val="restart"/>
            <w:hideMark/>
          </w:tcPr>
          <w:p w14:paraId="36E467E5" w14:textId="77777777" w:rsidR="00D808CB" w:rsidRPr="00257170" w:rsidRDefault="00D808CB" w:rsidP="001313A6">
            <w:pPr>
              <w:rPr>
                <w:rFonts w:ascii="Arial" w:hAnsi="Arial" w:cs="Arial"/>
                <w:sz w:val="18"/>
                <w:szCs w:val="18"/>
                <w:lang w:val="en-US" w:eastAsia="zh-CN"/>
              </w:rPr>
            </w:pPr>
            <w:r w:rsidRPr="00275B6E">
              <w:rPr>
                <w:rFonts w:ascii="Arial" w:hAnsi="Arial" w:cs="Arial"/>
                <w:b/>
                <w:bCs/>
                <w:sz w:val="18"/>
                <w:szCs w:val="18"/>
              </w:rPr>
              <w:t>T</w:t>
            </w:r>
            <w:r w:rsidRPr="00275B6E">
              <w:rPr>
                <w:rFonts w:ascii="Arial" w:hAnsi="Arial" w:cs="Arial"/>
                <w:b/>
                <w:bCs/>
                <w:sz w:val="18"/>
                <w:szCs w:val="18"/>
                <w:vertAlign w:val="subscript"/>
              </w:rPr>
              <w:t>measure,NR_Inter_RedCap</w:t>
            </w:r>
            <w:r w:rsidRPr="00275B6E">
              <w:rPr>
                <w:sz w:val="18"/>
                <w:szCs w:val="18"/>
              </w:rPr>
              <w:t xml:space="preserve"> </w:t>
            </w:r>
            <w:r w:rsidRPr="00963536">
              <w:rPr>
                <w:rFonts w:ascii="Arial" w:hAnsi="Arial" w:cs="Arial"/>
                <w:b/>
                <w:sz w:val="18"/>
                <w:szCs w:val="18"/>
                <w:lang w:eastAsia="zh-CN"/>
              </w:rPr>
              <w:t>[s] (number of DRX cycles</w:t>
            </w:r>
            <w:r>
              <w:rPr>
                <w:rFonts w:ascii="Arial" w:hAnsi="Arial" w:cs="Arial"/>
                <w:b/>
                <w:bCs/>
                <w:sz w:val="18"/>
                <w:szCs w:val="18"/>
                <w:lang w:eastAsia="zh-CN"/>
              </w:rPr>
              <w:t xml:space="preserve"> or eDRX cycles </w:t>
            </w:r>
            <w:r w:rsidRPr="00CD5296">
              <w:rPr>
                <w:rFonts w:ascii="Arial" w:hAnsi="Arial" w:cs="Arial"/>
                <w:b/>
                <w:bCs/>
                <w:sz w:val="18"/>
                <w:szCs w:val="18"/>
                <w:vertAlign w:val="superscript"/>
                <w:lang w:eastAsia="zh-CN"/>
              </w:rPr>
              <w:t>Note 3</w:t>
            </w:r>
            <w:r w:rsidRPr="00963536">
              <w:rPr>
                <w:rFonts w:ascii="Arial" w:hAnsi="Arial" w:cs="Arial"/>
                <w:b/>
                <w:sz w:val="18"/>
                <w:szCs w:val="18"/>
                <w:lang w:eastAsia="zh-CN"/>
              </w:rPr>
              <w:t>)</w:t>
            </w:r>
          </w:p>
        </w:tc>
        <w:tc>
          <w:tcPr>
            <w:tcW w:w="910" w:type="pct"/>
            <w:vMerge w:val="restart"/>
            <w:hideMark/>
          </w:tcPr>
          <w:p w14:paraId="7372968D" w14:textId="77777777" w:rsidR="00D808CB" w:rsidRPr="00257170" w:rsidRDefault="00D808CB" w:rsidP="001313A6">
            <w:pPr>
              <w:rPr>
                <w:rFonts w:ascii="Arial" w:hAnsi="Arial" w:cs="Arial"/>
                <w:sz w:val="18"/>
                <w:szCs w:val="18"/>
                <w:lang w:val="en-US" w:eastAsia="zh-CN"/>
              </w:rPr>
            </w:pPr>
            <w:r w:rsidRPr="00275B6E">
              <w:rPr>
                <w:rFonts w:ascii="Arial" w:hAnsi="Arial" w:cs="Arial"/>
                <w:b/>
                <w:bCs/>
                <w:sz w:val="18"/>
                <w:szCs w:val="18"/>
              </w:rPr>
              <w:t>T</w:t>
            </w:r>
            <w:r w:rsidRPr="00275B6E">
              <w:rPr>
                <w:rFonts w:ascii="Arial" w:hAnsi="Arial" w:cs="Arial"/>
                <w:b/>
                <w:bCs/>
                <w:sz w:val="18"/>
                <w:szCs w:val="18"/>
                <w:vertAlign w:val="subscript"/>
              </w:rPr>
              <w:t>evaluate,NR_Inter_RedCap</w:t>
            </w:r>
            <w:r w:rsidRPr="00275B6E">
              <w:rPr>
                <w:sz w:val="18"/>
                <w:szCs w:val="18"/>
                <w:vertAlign w:val="subscript"/>
                <w:lang w:val="en-US"/>
              </w:rPr>
              <w:t xml:space="preserve"> </w:t>
            </w:r>
            <w:r w:rsidRPr="00963536">
              <w:rPr>
                <w:rFonts w:ascii="Arial" w:hAnsi="Arial" w:cs="Arial"/>
                <w:b/>
                <w:sz w:val="18"/>
                <w:szCs w:val="18"/>
                <w:lang w:eastAsia="zh-CN"/>
              </w:rPr>
              <w:t>[s] (number of DRX cycles</w:t>
            </w:r>
            <w:r>
              <w:rPr>
                <w:rFonts w:ascii="Arial" w:hAnsi="Arial" w:cs="Arial"/>
                <w:b/>
                <w:bCs/>
                <w:sz w:val="18"/>
                <w:szCs w:val="18"/>
                <w:lang w:eastAsia="zh-CN"/>
              </w:rPr>
              <w:t xml:space="preserve"> or eDRX cycles </w:t>
            </w:r>
            <w:r w:rsidRPr="00CD5296">
              <w:rPr>
                <w:rFonts w:ascii="Arial" w:hAnsi="Arial" w:cs="Arial"/>
                <w:b/>
                <w:bCs/>
                <w:sz w:val="18"/>
                <w:szCs w:val="18"/>
                <w:vertAlign w:val="superscript"/>
                <w:lang w:eastAsia="zh-CN"/>
              </w:rPr>
              <w:t>Note 3</w:t>
            </w:r>
            <w:r w:rsidRPr="00963536">
              <w:rPr>
                <w:rFonts w:ascii="Arial" w:hAnsi="Arial" w:cs="Arial"/>
                <w:b/>
                <w:sz w:val="18"/>
                <w:szCs w:val="18"/>
                <w:lang w:eastAsia="zh-CN"/>
              </w:rPr>
              <w:t>)</w:t>
            </w:r>
          </w:p>
        </w:tc>
      </w:tr>
      <w:tr w:rsidR="00D808CB" w:rsidRPr="00B85562" w14:paraId="7E18E831" w14:textId="77777777" w:rsidTr="001313A6">
        <w:trPr>
          <w:trHeight w:val="1009"/>
        </w:trPr>
        <w:tc>
          <w:tcPr>
            <w:tcW w:w="645" w:type="pct"/>
            <w:vMerge/>
            <w:hideMark/>
          </w:tcPr>
          <w:p w14:paraId="2F752677" w14:textId="77777777" w:rsidR="00D808CB" w:rsidRPr="00581E8E" w:rsidRDefault="00D808CB" w:rsidP="001313A6">
            <w:pPr>
              <w:rPr>
                <w:rFonts w:ascii="Arial" w:hAnsi="Arial" w:cs="Arial"/>
                <w:sz w:val="18"/>
                <w:lang w:val="en-US" w:eastAsia="zh-CN"/>
              </w:rPr>
            </w:pPr>
          </w:p>
        </w:tc>
        <w:tc>
          <w:tcPr>
            <w:tcW w:w="404" w:type="pct"/>
            <w:vMerge/>
            <w:hideMark/>
          </w:tcPr>
          <w:p w14:paraId="3C517B0C" w14:textId="77777777" w:rsidR="00D808CB" w:rsidRPr="00581E8E" w:rsidRDefault="00D808CB" w:rsidP="001313A6">
            <w:pPr>
              <w:rPr>
                <w:rFonts w:ascii="Arial" w:hAnsi="Arial" w:cs="Arial"/>
                <w:sz w:val="18"/>
                <w:lang w:val="en-US" w:eastAsia="zh-CN"/>
              </w:rPr>
            </w:pPr>
          </w:p>
        </w:tc>
        <w:tc>
          <w:tcPr>
            <w:tcW w:w="680" w:type="pct"/>
            <w:vMerge/>
            <w:hideMark/>
          </w:tcPr>
          <w:p w14:paraId="1CEA50B5" w14:textId="77777777" w:rsidR="00D808CB" w:rsidRPr="00581E8E" w:rsidRDefault="00D808CB" w:rsidP="001313A6">
            <w:pPr>
              <w:rPr>
                <w:rFonts w:ascii="Arial" w:hAnsi="Arial" w:cs="Arial"/>
                <w:sz w:val="18"/>
                <w:lang w:val="en-US" w:eastAsia="zh-CN"/>
              </w:rPr>
            </w:pPr>
          </w:p>
        </w:tc>
        <w:tc>
          <w:tcPr>
            <w:tcW w:w="1498" w:type="pct"/>
            <w:vMerge/>
            <w:hideMark/>
          </w:tcPr>
          <w:p w14:paraId="6426DEF5" w14:textId="77777777" w:rsidR="00D808CB" w:rsidRPr="00581E8E" w:rsidRDefault="00D808CB" w:rsidP="001313A6">
            <w:pPr>
              <w:rPr>
                <w:rFonts w:ascii="Arial" w:hAnsi="Arial" w:cs="Arial"/>
                <w:sz w:val="18"/>
                <w:lang w:val="en-US" w:eastAsia="zh-CN"/>
              </w:rPr>
            </w:pPr>
          </w:p>
        </w:tc>
        <w:tc>
          <w:tcPr>
            <w:tcW w:w="863" w:type="pct"/>
            <w:vMerge/>
            <w:hideMark/>
          </w:tcPr>
          <w:p w14:paraId="4244477A" w14:textId="77777777" w:rsidR="00D808CB" w:rsidRPr="00581E8E" w:rsidRDefault="00D808CB" w:rsidP="001313A6">
            <w:pPr>
              <w:rPr>
                <w:rFonts w:ascii="Arial" w:hAnsi="Arial" w:cs="Arial"/>
                <w:sz w:val="18"/>
                <w:lang w:val="en-US" w:eastAsia="zh-CN"/>
              </w:rPr>
            </w:pPr>
          </w:p>
        </w:tc>
        <w:tc>
          <w:tcPr>
            <w:tcW w:w="910" w:type="pct"/>
            <w:vMerge/>
            <w:hideMark/>
          </w:tcPr>
          <w:p w14:paraId="5076F16E" w14:textId="77777777" w:rsidR="00D808CB" w:rsidRPr="00581E8E" w:rsidRDefault="00D808CB" w:rsidP="001313A6">
            <w:pPr>
              <w:rPr>
                <w:rFonts w:ascii="Arial" w:hAnsi="Arial" w:cs="Arial"/>
                <w:sz w:val="18"/>
                <w:lang w:val="en-US" w:eastAsia="zh-CN"/>
              </w:rPr>
            </w:pPr>
          </w:p>
        </w:tc>
      </w:tr>
      <w:tr w:rsidR="00D808CB" w:rsidRPr="00B85562" w14:paraId="4F45D3FA" w14:textId="77777777" w:rsidTr="001313A6">
        <w:trPr>
          <w:trHeight w:val="336"/>
        </w:trPr>
        <w:tc>
          <w:tcPr>
            <w:tcW w:w="645" w:type="pct"/>
          </w:tcPr>
          <w:p w14:paraId="1C909AD6" w14:textId="77777777" w:rsidR="00D808CB" w:rsidRPr="00581E8E" w:rsidRDefault="00D808CB" w:rsidP="001313A6">
            <w:pPr>
              <w:rPr>
                <w:rFonts w:ascii="Arial" w:hAnsi="Arial" w:cs="Arial"/>
                <w:sz w:val="18"/>
                <w:lang w:val="en-US" w:eastAsia="zh-CN"/>
              </w:rPr>
            </w:pPr>
            <w:r w:rsidRPr="00581E8E">
              <w:rPr>
                <w:rFonts w:ascii="Arial" w:hAnsi="Arial" w:cs="Arial"/>
                <w:sz w:val="18"/>
                <w:lang w:val="en-US" w:eastAsia="zh-CN"/>
              </w:rPr>
              <w:t>2.56</w:t>
            </w:r>
          </w:p>
        </w:tc>
        <w:tc>
          <w:tcPr>
            <w:tcW w:w="404" w:type="pct"/>
          </w:tcPr>
          <w:p w14:paraId="7290C11B" w14:textId="77777777" w:rsidR="00D808CB" w:rsidRPr="00581E8E" w:rsidRDefault="00D808CB" w:rsidP="001313A6">
            <w:pPr>
              <w:rPr>
                <w:rFonts w:ascii="Arial" w:hAnsi="Arial" w:cs="Arial"/>
                <w:sz w:val="18"/>
                <w:lang w:val="en-US" w:eastAsia="zh-CN"/>
              </w:rPr>
            </w:pPr>
            <w:r w:rsidRPr="00581E8E">
              <w:rPr>
                <w:rFonts w:ascii="Arial" w:hAnsi="Arial" w:cs="Arial"/>
                <w:sz w:val="18"/>
                <w:lang w:val="en-US" w:eastAsia="zh-CN"/>
              </w:rPr>
              <w:t>-</w:t>
            </w:r>
          </w:p>
        </w:tc>
        <w:tc>
          <w:tcPr>
            <w:tcW w:w="680" w:type="pct"/>
          </w:tcPr>
          <w:p w14:paraId="364D1FF2" w14:textId="77777777" w:rsidR="00D808CB" w:rsidRPr="00581E8E" w:rsidRDefault="00D808CB" w:rsidP="001313A6">
            <w:pPr>
              <w:rPr>
                <w:rFonts w:ascii="Arial" w:hAnsi="Arial" w:cs="Arial"/>
                <w:sz w:val="18"/>
                <w:lang w:val="en-US" w:eastAsia="zh-CN"/>
              </w:rPr>
            </w:pPr>
            <w:r w:rsidRPr="00581E8E">
              <w:rPr>
                <w:rFonts w:ascii="Arial" w:hAnsi="Arial" w:cs="Arial"/>
                <w:sz w:val="18"/>
                <w:lang w:val="en-US" w:eastAsia="zh-CN"/>
              </w:rPr>
              <w:t>-</w:t>
            </w:r>
          </w:p>
        </w:tc>
        <w:tc>
          <w:tcPr>
            <w:tcW w:w="1498" w:type="pct"/>
          </w:tcPr>
          <w:p w14:paraId="47CF598F" w14:textId="77777777" w:rsidR="00D808CB" w:rsidRPr="00581E8E" w:rsidRDefault="00D808CB" w:rsidP="001313A6">
            <w:pPr>
              <w:rPr>
                <w:rFonts w:ascii="Arial" w:hAnsi="Arial" w:cs="Arial"/>
                <w:sz w:val="18"/>
                <w:lang w:eastAsia="zh-CN"/>
              </w:rPr>
            </w:pPr>
            <w:r w:rsidRPr="00581E8E">
              <w:rPr>
                <w:rFonts w:ascii="Arial" w:hAnsi="Arial" w:cs="Arial"/>
                <w:sz w:val="18"/>
                <w:lang w:eastAsia="zh-CN"/>
              </w:rPr>
              <w:t>58.88 (23)</w:t>
            </w:r>
          </w:p>
        </w:tc>
        <w:tc>
          <w:tcPr>
            <w:tcW w:w="863" w:type="pct"/>
          </w:tcPr>
          <w:p w14:paraId="78ABAA33" w14:textId="77777777" w:rsidR="00D808CB" w:rsidRPr="00581E8E" w:rsidRDefault="00D808CB" w:rsidP="001313A6">
            <w:pPr>
              <w:rPr>
                <w:rFonts w:ascii="Arial" w:hAnsi="Arial" w:cs="Arial"/>
                <w:sz w:val="18"/>
                <w:lang w:eastAsia="zh-CN"/>
              </w:rPr>
            </w:pPr>
            <w:r w:rsidRPr="00581E8E">
              <w:rPr>
                <w:rFonts w:ascii="Arial" w:hAnsi="Arial" w:cs="Arial"/>
                <w:sz w:val="18"/>
                <w:lang w:eastAsia="zh-CN"/>
              </w:rPr>
              <w:t>2.56 (1)</w:t>
            </w:r>
          </w:p>
        </w:tc>
        <w:tc>
          <w:tcPr>
            <w:tcW w:w="910" w:type="pct"/>
          </w:tcPr>
          <w:p w14:paraId="6CAD4BE7" w14:textId="77777777" w:rsidR="00D808CB" w:rsidRPr="00581E8E" w:rsidRDefault="00D808CB" w:rsidP="001313A6">
            <w:pPr>
              <w:rPr>
                <w:rFonts w:ascii="Arial" w:hAnsi="Arial" w:cs="Arial"/>
                <w:sz w:val="18"/>
                <w:lang w:eastAsia="zh-CN"/>
              </w:rPr>
            </w:pPr>
            <w:r>
              <w:rPr>
                <w:rFonts w:ascii="Arial" w:hAnsi="Arial" w:cs="Arial"/>
                <w:sz w:val="18"/>
                <w:lang w:eastAsia="zh-CN"/>
              </w:rPr>
              <w:t>7.68</w:t>
            </w:r>
            <w:r w:rsidRPr="00581E8E">
              <w:rPr>
                <w:rFonts w:ascii="Arial" w:hAnsi="Arial" w:cs="Arial"/>
                <w:sz w:val="18"/>
                <w:lang w:eastAsia="zh-CN"/>
              </w:rPr>
              <w:t xml:space="preserve"> (</w:t>
            </w:r>
            <w:r>
              <w:rPr>
                <w:rFonts w:ascii="Arial" w:hAnsi="Arial" w:cs="Arial"/>
                <w:sz w:val="18"/>
                <w:lang w:eastAsia="zh-CN"/>
              </w:rPr>
              <w:t>3</w:t>
            </w:r>
            <w:r w:rsidRPr="00581E8E">
              <w:rPr>
                <w:rFonts w:ascii="Arial" w:hAnsi="Arial" w:cs="Arial"/>
                <w:sz w:val="18"/>
                <w:lang w:eastAsia="zh-CN"/>
              </w:rPr>
              <w:t>)</w:t>
            </w:r>
          </w:p>
        </w:tc>
      </w:tr>
      <w:tr w:rsidR="00D808CB" w:rsidRPr="00B85562" w14:paraId="2604397D" w14:textId="77777777" w:rsidTr="001313A6">
        <w:trPr>
          <w:trHeight w:val="336"/>
        </w:trPr>
        <w:tc>
          <w:tcPr>
            <w:tcW w:w="645" w:type="pct"/>
          </w:tcPr>
          <w:p w14:paraId="44E20FC9" w14:textId="77777777" w:rsidR="00D808CB" w:rsidRPr="00581E8E" w:rsidRDefault="00D808CB" w:rsidP="001313A6">
            <w:pPr>
              <w:rPr>
                <w:rFonts w:ascii="Arial" w:hAnsi="Arial" w:cs="Arial"/>
                <w:sz w:val="18"/>
                <w:lang w:eastAsia="zh-CN"/>
              </w:rPr>
            </w:pPr>
            <w:r w:rsidRPr="00581E8E">
              <w:rPr>
                <w:rFonts w:ascii="Arial" w:hAnsi="Arial" w:cs="Arial"/>
                <w:sz w:val="18"/>
                <w:lang w:eastAsia="zh-CN"/>
              </w:rPr>
              <w:t>5.12</w:t>
            </w:r>
          </w:p>
        </w:tc>
        <w:tc>
          <w:tcPr>
            <w:tcW w:w="404" w:type="pct"/>
          </w:tcPr>
          <w:p w14:paraId="2F84766D" w14:textId="77777777" w:rsidR="00D808CB" w:rsidRPr="00581E8E" w:rsidRDefault="00D808CB" w:rsidP="001313A6">
            <w:pPr>
              <w:rPr>
                <w:rFonts w:ascii="Arial" w:hAnsi="Arial" w:cs="Arial"/>
                <w:sz w:val="18"/>
                <w:lang w:val="en-US" w:eastAsia="zh-CN"/>
              </w:rPr>
            </w:pPr>
            <w:r w:rsidRPr="00581E8E">
              <w:rPr>
                <w:rFonts w:ascii="Arial" w:hAnsi="Arial" w:cs="Arial"/>
                <w:sz w:val="18"/>
                <w:lang w:val="en-US" w:eastAsia="zh-CN"/>
              </w:rPr>
              <w:t>-</w:t>
            </w:r>
          </w:p>
        </w:tc>
        <w:tc>
          <w:tcPr>
            <w:tcW w:w="680" w:type="pct"/>
          </w:tcPr>
          <w:p w14:paraId="07BFF65D" w14:textId="77777777" w:rsidR="00D808CB" w:rsidRPr="00581E8E" w:rsidRDefault="00D808CB" w:rsidP="001313A6">
            <w:pPr>
              <w:rPr>
                <w:rFonts w:ascii="Arial" w:hAnsi="Arial" w:cs="Arial"/>
                <w:sz w:val="18"/>
                <w:lang w:eastAsia="zh-CN"/>
              </w:rPr>
            </w:pPr>
            <w:r w:rsidRPr="00581E8E">
              <w:rPr>
                <w:rFonts w:ascii="Arial" w:hAnsi="Arial" w:cs="Arial"/>
                <w:sz w:val="18"/>
                <w:lang w:eastAsia="zh-CN"/>
              </w:rPr>
              <w:t>-</w:t>
            </w:r>
          </w:p>
        </w:tc>
        <w:tc>
          <w:tcPr>
            <w:tcW w:w="1498" w:type="pct"/>
          </w:tcPr>
          <w:p w14:paraId="6A5AFB30" w14:textId="77777777" w:rsidR="00D808CB" w:rsidRPr="00581E8E" w:rsidRDefault="00D808CB" w:rsidP="001313A6">
            <w:pPr>
              <w:rPr>
                <w:rFonts w:ascii="Arial" w:hAnsi="Arial" w:cs="Arial"/>
                <w:sz w:val="18"/>
                <w:lang w:eastAsia="zh-CN"/>
              </w:rPr>
            </w:pPr>
            <w:r w:rsidRPr="00581E8E">
              <w:rPr>
                <w:rFonts w:ascii="Arial" w:hAnsi="Arial" w:cs="Arial"/>
                <w:sz w:val="18"/>
                <w:lang w:eastAsia="zh-CN"/>
              </w:rPr>
              <w:t>117.76 (23)</w:t>
            </w:r>
          </w:p>
        </w:tc>
        <w:tc>
          <w:tcPr>
            <w:tcW w:w="863" w:type="pct"/>
          </w:tcPr>
          <w:p w14:paraId="3F63637D" w14:textId="77777777" w:rsidR="00D808CB" w:rsidRPr="00581E8E" w:rsidRDefault="00D808CB" w:rsidP="001313A6">
            <w:pPr>
              <w:rPr>
                <w:rFonts w:ascii="Arial" w:hAnsi="Arial" w:cs="Arial"/>
                <w:sz w:val="18"/>
                <w:lang w:eastAsia="zh-CN"/>
              </w:rPr>
            </w:pPr>
            <w:r w:rsidRPr="00581E8E">
              <w:rPr>
                <w:rFonts w:ascii="Arial" w:hAnsi="Arial" w:cs="Arial"/>
                <w:sz w:val="18"/>
                <w:lang w:eastAsia="zh-CN"/>
              </w:rPr>
              <w:t>5.12 (1)</w:t>
            </w:r>
          </w:p>
        </w:tc>
        <w:tc>
          <w:tcPr>
            <w:tcW w:w="910" w:type="pct"/>
          </w:tcPr>
          <w:p w14:paraId="62EC8055" w14:textId="77777777" w:rsidR="00D808CB" w:rsidRPr="00581E8E" w:rsidRDefault="00D808CB" w:rsidP="001313A6">
            <w:pPr>
              <w:rPr>
                <w:rFonts w:ascii="Arial" w:hAnsi="Arial" w:cs="Arial"/>
                <w:sz w:val="18"/>
                <w:lang w:eastAsia="zh-CN"/>
              </w:rPr>
            </w:pPr>
            <w:r w:rsidRPr="00581E8E">
              <w:rPr>
                <w:rFonts w:ascii="Arial" w:hAnsi="Arial" w:cs="Arial"/>
                <w:sz w:val="18"/>
                <w:lang w:eastAsia="zh-CN"/>
              </w:rPr>
              <w:t>10.24 (2)</w:t>
            </w:r>
          </w:p>
        </w:tc>
      </w:tr>
      <w:tr w:rsidR="00D808CB" w:rsidRPr="00B85562" w14:paraId="1BB23EE6" w14:textId="77777777" w:rsidTr="001313A6">
        <w:trPr>
          <w:trHeight w:val="336"/>
        </w:trPr>
        <w:tc>
          <w:tcPr>
            <w:tcW w:w="645" w:type="pct"/>
            <w:hideMark/>
          </w:tcPr>
          <w:p w14:paraId="0B1E2683"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10.24</w:t>
            </w:r>
          </w:p>
        </w:tc>
        <w:tc>
          <w:tcPr>
            <w:tcW w:w="404" w:type="pct"/>
            <w:hideMark/>
          </w:tcPr>
          <w:p w14:paraId="1EB8289D" w14:textId="77777777" w:rsidR="00D808CB" w:rsidRPr="00581E8E" w:rsidRDefault="00D808CB" w:rsidP="001313A6">
            <w:pPr>
              <w:rPr>
                <w:rFonts w:ascii="Arial" w:hAnsi="Arial" w:cs="Arial"/>
                <w:sz w:val="18"/>
                <w:lang w:val="en-US" w:eastAsia="zh-CN"/>
              </w:rPr>
            </w:pPr>
            <w:r w:rsidRPr="00581E8E">
              <w:rPr>
                <w:rFonts w:ascii="Arial" w:hAnsi="Arial" w:cs="Arial"/>
                <w:sz w:val="18"/>
                <w:lang w:val="en-US" w:eastAsia="zh-CN"/>
              </w:rPr>
              <w:t>-</w:t>
            </w:r>
          </w:p>
        </w:tc>
        <w:tc>
          <w:tcPr>
            <w:tcW w:w="680" w:type="pct"/>
            <w:hideMark/>
          </w:tcPr>
          <w:p w14:paraId="19FACB48"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w:t>
            </w:r>
          </w:p>
        </w:tc>
        <w:tc>
          <w:tcPr>
            <w:tcW w:w="1498" w:type="pct"/>
            <w:hideMark/>
          </w:tcPr>
          <w:p w14:paraId="45553E21"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235.52 (23)</w:t>
            </w:r>
          </w:p>
        </w:tc>
        <w:tc>
          <w:tcPr>
            <w:tcW w:w="863" w:type="pct"/>
            <w:hideMark/>
          </w:tcPr>
          <w:p w14:paraId="723D61EF"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10.24 (1)</w:t>
            </w:r>
          </w:p>
        </w:tc>
        <w:tc>
          <w:tcPr>
            <w:tcW w:w="910" w:type="pct"/>
            <w:hideMark/>
          </w:tcPr>
          <w:p w14:paraId="37E307E2"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20.48 (2)</w:t>
            </w:r>
          </w:p>
        </w:tc>
      </w:tr>
      <w:tr w:rsidR="00D808CB" w:rsidRPr="00B85562" w14:paraId="04657701" w14:textId="77777777" w:rsidTr="001313A6">
        <w:trPr>
          <w:trHeight w:val="673"/>
        </w:trPr>
        <w:tc>
          <w:tcPr>
            <w:tcW w:w="645" w:type="pct"/>
            <w:vMerge w:val="restart"/>
            <w:hideMark/>
          </w:tcPr>
          <w:p w14:paraId="2023B035"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20.48 ≤</w:t>
            </w:r>
            <w:r w:rsidRPr="00CA7017">
              <w:rPr>
                <w:rFonts w:cs="Arial"/>
              </w:rPr>
              <w:t xml:space="preserve"> </w:t>
            </w:r>
            <w:r w:rsidRPr="00581E8E">
              <w:rPr>
                <w:rFonts w:ascii="Arial" w:hAnsi="Arial" w:cs="Arial"/>
                <w:sz w:val="18"/>
                <w:lang w:eastAsia="zh-CN"/>
              </w:rPr>
              <w:t xml:space="preserve"> eDRX_IDLE cycle length ≤10485.76</w:t>
            </w:r>
          </w:p>
        </w:tc>
        <w:tc>
          <w:tcPr>
            <w:tcW w:w="404" w:type="pct"/>
            <w:hideMark/>
          </w:tcPr>
          <w:p w14:paraId="142BB301"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0.32</w:t>
            </w:r>
          </w:p>
        </w:tc>
        <w:tc>
          <w:tcPr>
            <w:tcW w:w="680" w:type="pct"/>
            <w:hideMark/>
          </w:tcPr>
          <w:p w14:paraId="6B7EE75B"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≥1.28 (1)</w:t>
            </w:r>
          </w:p>
        </w:tc>
        <w:tc>
          <w:tcPr>
            <w:tcW w:w="1498" w:type="pct"/>
            <w:vMerge w:val="restart"/>
            <w:hideMark/>
          </w:tcPr>
          <w:p w14:paraId="7E7E7E86" w14:textId="77777777" w:rsidR="00D808CB" w:rsidRPr="00581E8E" w:rsidRDefault="00D808CB" w:rsidP="001313A6">
            <w:pPr>
              <w:rPr>
                <w:rFonts w:ascii="Arial" w:hAnsi="Arial" w:cs="Arial"/>
                <w:sz w:val="18"/>
                <w:lang w:val="en-US" w:eastAsia="zh-CN"/>
              </w:rPr>
            </w:pPr>
            <m:oMathPara>
              <m:oMathParaPr>
                <m:jc m:val="centerGroup"/>
              </m:oMathParaPr>
              <m:oMath>
                <m:r>
                  <w:rPr>
                    <w:rFonts w:ascii="Cambria Math" w:hAnsi="Cambria Math" w:cs="Arial"/>
                    <w:sz w:val="18"/>
                    <w:lang w:val="en-US" w:eastAsia="zh-CN"/>
                  </w:rPr>
                  <m:t>eDRX</m:t>
                </m:r>
                <m:r>
                  <m:rPr>
                    <m:sty m:val="p"/>
                  </m:rPr>
                  <w:rPr>
                    <w:rFonts w:ascii="Cambria Math" w:hAnsi="Cambria Math" w:cs="Arial"/>
                    <w:sz w:val="18"/>
                    <w:lang w:val="en-US" w:eastAsia="zh-CN"/>
                  </w:rPr>
                  <m:t>_</m:t>
                </m:r>
                <m:r>
                  <w:rPr>
                    <w:rFonts w:ascii="Cambria Math" w:hAnsi="Cambria Math" w:cs="Arial"/>
                    <w:sz w:val="18"/>
                    <w:lang w:val="en-US" w:eastAsia="zh-CN"/>
                  </w:rPr>
                  <m:t>cycl</m:t>
                </m:r>
                <m:r>
                  <m:rPr>
                    <m:sty m:val="p"/>
                  </m:rPr>
                  <w:rPr>
                    <w:rFonts w:ascii="Cambria Math" w:hAnsi="Cambria Math" w:cs="Arial"/>
                    <w:sz w:val="18"/>
                    <w:lang w:val="en-US" w:eastAsia="zh-CN"/>
                  </w:rPr>
                  <m:t>e_</m:t>
                </m:r>
                <m:r>
                  <w:rPr>
                    <w:rFonts w:ascii="Cambria Math" w:hAnsi="Cambria Math" w:cs="Arial"/>
                    <w:sz w:val="18"/>
                    <w:lang w:val="en-US" w:eastAsia="zh-CN"/>
                  </w:rPr>
                  <m:t>length×</m:t>
                </m:r>
                <m:d>
                  <m:dPr>
                    <m:begChr m:val="⌈"/>
                    <m:endChr m:val="⌉"/>
                    <m:ctrlPr>
                      <w:rPr>
                        <w:rFonts w:ascii="Cambria Math" w:hAnsi="Cambria Math" w:cs="Arial"/>
                        <w:i/>
                        <w:sz w:val="18"/>
                        <w:lang w:val="en-US" w:eastAsia="zh-CN"/>
                      </w:rPr>
                    </m:ctrlPr>
                  </m:dPr>
                  <m:e>
                    <m:f>
                      <m:fPr>
                        <m:ctrlPr>
                          <w:rPr>
                            <w:rFonts w:ascii="Cambria Math" w:hAnsi="Cambria Math" w:cs="Arial"/>
                            <w:i/>
                            <w:sz w:val="18"/>
                            <w:lang w:val="en-US" w:eastAsia="zh-CN"/>
                          </w:rPr>
                        </m:ctrlPr>
                      </m:fPr>
                      <m:num>
                        <m:r>
                          <w:rPr>
                            <w:rFonts w:ascii="Cambria Math" w:hAnsi="Cambria Math" w:cs="Arial"/>
                            <w:sz w:val="18"/>
                            <w:lang w:val="en-US" w:eastAsia="zh-CN"/>
                          </w:rPr>
                          <m:t>23</m:t>
                        </m:r>
                      </m:num>
                      <m:den>
                        <m:r>
                          <w:rPr>
                            <w:rFonts w:ascii="Cambria Math" w:hAnsi="Cambria Math" w:cs="Arial"/>
                            <w:sz w:val="18"/>
                            <w:lang w:val="en-US" w:eastAsia="zh-CN"/>
                          </w:rPr>
                          <m:t>PTW/DRX_cycle_length</m:t>
                        </m:r>
                      </m:den>
                    </m:f>
                  </m:e>
                </m:d>
              </m:oMath>
            </m:oMathPara>
          </w:p>
          <w:p w14:paraId="55C8CD3E" w14:textId="77777777" w:rsidR="00D808CB" w:rsidRPr="00581E8E" w:rsidRDefault="00D808CB" w:rsidP="001313A6">
            <w:pPr>
              <w:rPr>
                <w:rFonts w:ascii="Arial" w:hAnsi="Arial" w:cs="Arial"/>
                <w:sz w:val="18"/>
                <w:lang w:val="en-US" w:eastAsia="zh-CN"/>
              </w:rPr>
            </w:pPr>
            <w:r w:rsidRPr="00581E8E">
              <w:rPr>
                <w:rFonts w:ascii="Arial" w:hAnsi="Arial" w:cs="Arial"/>
                <w:sz w:val="18"/>
                <w:lang w:val="en-US" w:eastAsia="zh-CN"/>
              </w:rPr>
              <w:t>(23)</w:t>
            </w:r>
          </w:p>
        </w:tc>
        <w:tc>
          <w:tcPr>
            <w:tcW w:w="863" w:type="pct"/>
            <w:hideMark/>
          </w:tcPr>
          <w:p w14:paraId="1376B964"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0.32</w:t>
            </w:r>
            <w:r w:rsidRPr="00047B96">
              <w:rPr>
                <w:rFonts w:ascii="Arial" w:hAnsi="Arial" w:cs="Arial"/>
                <w:sz w:val="18"/>
                <w:lang w:eastAsia="zh-CN"/>
              </w:rPr>
              <w:t xml:space="preserve"> x 1.5</w:t>
            </w:r>
            <w:r w:rsidRPr="00581E8E">
              <w:rPr>
                <w:rFonts w:ascii="Arial" w:hAnsi="Arial" w:cs="Arial"/>
                <w:sz w:val="18"/>
                <w:lang w:eastAsia="zh-CN"/>
              </w:rPr>
              <w:t xml:space="preserve"> (1</w:t>
            </w:r>
            <w:r w:rsidRPr="002615F9">
              <w:rPr>
                <w:rFonts w:ascii="Arial" w:hAnsi="Arial" w:cs="Arial"/>
                <w:sz w:val="18"/>
                <w:lang w:eastAsia="zh-CN"/>
              </w:rPr>
              <w:t xml:space="preserve"> x 1.5</w:t>
            </w:r>
            <w:r w:rsidRPr="00581E8E">
              <w:rPr>
                <w:rFonts w:ascii="Arial" w:hAnsi="Arial" w:cs="Arial"/>
                <w:sz w:val="18"/>
                <w:lang w:eastAsia="zh-CN"/>
              </w:rPr>
              <w:t>)</w:t>
            </w:r>
          </w:p>
        </w:tc>
        <w:tc>
          <w:tcPr>
            <w:tcW w:w="910" w:type="pct"/>
            <w:hideMark/>
          </w:tcPr>
          <w:p w14:paraId="4CB2DA17"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0.64</w:t>
            </w:r>
            <w:r w:rsidRPr="00047B96">
              <w:rPr>
                <w:rFonts w:ascii="Arial" w:hAnsi="Arial" w:cs="Arial"/>
                <w:sz w:val="18"/>
                <w:lang w:eastAsia="zh-CN"/>
              </w:rPr>
              <w:t xml:space="preserve"> x 1.5</w:t>
            </w:r>
            <w:r w:rsidRPr="00581E8E">
              <w:rPr>
                <w:rFonts w:ascii="Arial" w:hAnsi="Arial" w:cs="Arial"/>
                <w:sz w:val="18"/>
                <w:lang w:eastAsia="zh-CN"/>
              </w:rPr>
              <w:t xml:space="preserve"> (2</w:t>
            </w:r>
            <w:r w:rsidRPr="00047B96">
              <w:rPr>
                <w:rFonts w:ascii="Arial" w:hAnsi="Arial" w:cs="Arial"/>
                <w:sz w:val="18"/>
                <w:lang w:eastAsia="zh-CN"/>
              </w:rPr>
              <w:t xml:space="preserve"> x 1.5</w:t>
            </w:r>
            <w:r w:rsidRPr="00581E8E">
              <w:rPr>
                <w:rFonts w:ascii="Arial" w:hAnsi="Arial" w:cs="Arial"/>
                <w:sz w:val="18"/>
                <w:lang w:eastAsia="zh-CN"/>
              </w:rPr>
              <w:t>)</w:t>
            </w:r>
          </w:p>
        </w:tc>
      </w:tr>
      <w:tr w:rsidR="00D808CB" w:rsidRPr="00B85562" w14:paraId="7D541CE3" w14:textId="77777777" w:rsidTr="001313A6">
        <w:trPr>
          <w:trHeight w:val="336"/>
        </w:trPr>
        <w:tc>
          <w:tcPr>
            <w:tcW w:w="645" w:type="pct"/>
            <w:vMerge/>
            <w:hideMark/>
          </w:tcPr>
          <w:p w14:paraId="43932240" w14:textId="77777777" w:rsidR="00D808CB" w:rsidRPr="00581E8E" w:rsidRDefault="00D808CB" w:rsidP="001313A6">
            <w:pPr>
              <w:rPr>
                <w:rFonts w:ascii="Arial" w:hAnsi="Arial" w:cs="Arial"/>
                <w:sz w:val="18"/>
                <w:lang w:val="en-US" w:eastAsia="zh-CN"/>
              </w:rPr>
            </w:pPr>
          </w:p>
        </w:tc>
        <w:tc>
          <w:tcPr>
            <w:tcW w:w="404" w:type="pct"/>
            <w:hideMark/>
          </w:tcPr>
          <w:p w14:paraId="7E95D6A0"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0.64</w:t>
            </w:r>
          </w:p>
        </w:tc>
        <w:tc>
          <w:tcPr>
            <w:tcW w:w="680" w:type="pct"/>
            <w:hideMark/>
          </w:tcPr>
          <w:p w14:paraId="5557AF1C"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≥1.28 (1)</w:t>
            </w:r>
          </w:p>
        </w:tc>
        <w:tc>
          <w:tcPr>
            <w:tcW w:w="1498" w:type="pct"/>
            <w:vMerge/>
            <w:hideMark/>
          </w:tcPr>
          <w:p w14:paraId="1FE5B019" w14:textId="77777777" w:rsidR="00D808CB" w:rsidRPr="00581E8E" w:rsidRDefault="00D808CB" w:rsidP="001313A6">
            <w:pPr>
              <w:rPr>
                <w:rFonts w:ascii="Arial" w:hAnsi="Arial" w:cs="Arial"/>
                <w:sz w:val="18"/>
                <w:lang w:val="en-US" w:eastAsia="zh-CN"/>
              </w:rPr>
            </w:pPr>
          </w:p>
        </w:tc>
        <w:tc>
          <w:tcPr>
            <w:tcW w:w="863" w:type="pct"/>
            <w:hideMark/>
          </w:tcPr>
          <w:p w14:paraId="49A16A46"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0.64 (1)</w:t>
            </w:r>
          </w:p>
        </w:tc>
        <w:tc>
          <w:tcPr>
            <w:tcW w:w="910" w:type="pct"/>
            <w:hideMark/>
          </w:tcPr>
          <w:p w14:paraId="5076EC4D"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1.28 (2)</w:t>
            </w:r>
          </w:p>
        </w:tc>
      </w:tr>
      <w:tr w:rsidR="00D808CB" w:rsidRPr="00B85562" w14:paraId="16F14E44" w14:textId="77777777" w:rsidTr="001313A6">
        <w:trPr>
          <w:trHeight w:val="336"/>
        </w:trPr>
        <w:tc>
          <w:tcPr>
            <w:tcW w:w="645" w:type="pct"/>
            <w:vMerge/>
            <w:hideMark/>
          </w:tcPr>
          <w:p w14:paraId="1EE52548" w14:textId="77777777" w:rsidR="00D808CB" w:rsidRPr="00581E8E" w:rsidRDefault="00D808CB" w:rsidP="001313A6">
            <w:pPr>
              <w:rPr>
                <w:rFonts w:ascii="Arial" w:hAnsi="Arial" w:cs="Arial"/>
                <w:sz w:val="18"/>
                <w:lang w:val="en-US" w:eastAsia="zh-CN"/>
              </w:rPr>
            </w:pPr>
          </w:p>
        </w:tc>
        <w:tc>
          <w:tcPr>
            <w:tcW w:w="404" w:type="pct"/>
            <w:hideMark/>
          </w:tcPr>
          <w:p w14:paraId="57D3F586"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1.28</w:t>
            </w:r>
          </w:p>
        </w:tc>
        <w:tc>
          <w:tcPr>
            <w:tcW w:w="680" w:type="pct"/>
            <w:hideMark/>
          </w:tcPr>
          <w:p w14:paraId="797F029F"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≥2.56 (2)</w:t>
            </w:r>
          </w:p>
        </w:tc>
        <w:tc>
          <w:tcPr>
            <w:tcW w:w="1498" w:type="pct"/>
            <w:vMerge/>
            <w:hideMark/>
          </w:tcPr>
          <w:p w14:paraId="18949203" w14:textId="77777777" w:rsidR="00D808CB" w:rsidRPr="00581E8E" w:rsidRDefault="00D808CB" w:rsidP="001313A6">
            <w:pPr>
              <w:rPr>
                <w:rFonts w:ascii="Arial" w:hAnsi="Arial" w:cs="Arial"/>
                <w:sz w:val="18"/>
                <w:lang w:val="en-US" w:eastAsia="zh-CN"/>
              </w:rPr>
            </w:pPr>
          </w:p>
        </w:tc>
        <w:tc>
          <w:tcPr>
            <w:tcW w:w="863" w:type="pct"/>
            <w:hideMark/>
          </w:tcPr>
          <w:p w14:paraId="16B2477F"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1.28 (1)</w:t>
            </w:r>
          </w:p>
        </w:tc>
        <w:tc>
          <w:tcPr>
            <w:tcW w:w="910" w:type="pct"/>
            <w:hideMark/>
          </w:tcPr>
          <w:p w14:paraId="506D94C6"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2.56 (2)</w:t>
            </w:r>
          </w:p>
        </w:tc>
      </w:tr>
      <w:tr w:rsidR="00D808CB" w:rsidRPr="00B85562" w14:paraId="38AB8D07" w14:textId="77777777" w:rsidTr="001313A6">
        <w:trPr>
          <w:trHeight w:val="336"/>
        </w:trPr>
        <w:tc>
          <w:tcPr>
            <w:tcW w:w="645" w:type="pct"/>
            <w:vMerge/>
            <w:hideMark/>
          </w:tcPr>
          <w:p w14:paraId="4254547B" w14:textId="77777777" w:rsidR="00D808CB" w:rsidRPr="00581E8E" w:rsidRDefault="00D808CB" w:rsidP="001313A6">
            <w:pPr>
              <w:rPr>
                <w:rFonts w:ascii="Arial" w:hAnsi="Arial" w:cs="Arial"/>
                <w:sz w:val="18"/>
                <w:lang w:val="en-US" w:eastAsia="zh-CN"/>
              </w:rPr>
            </w:pPr>
          </w:p>
        </w:tc>
        <w:tc>
          <w:tcPr>
            <w:tcW w:w="404" w:type="pct"/>
            <w:hideMark/>
          </w:tcPr>
          <w:p w14:paraId="3839BAFD"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2.56</w:t>
            </w:r>
          </w:p>
        </w:tc>
        <w:tc>
          <w:tcPr>
            <w:tcW w:w="680" w:type="pct"/>
            <w:hideMark/>
          </w:tcPr>
          <w:p w14:paraId="19C7609E"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≥5.12 (4)</w:t>
            </w:r>
          </w:p>
        </w:tc>
        <w:tc>
          <w:tcPr>
            <w:tcW w:w="1498" w:type="pct"/>
            <w:vMerge/>
            <w:hideMark/>
          </w:tcPr>
          <w:p w14:paraId="10D245AC" w14:textId="77777777" w:rsidR="00D808CB" w:rsidRPr="00581E8E" w:rsidRDefault="00D808CB" w:rsidP="001313A6">
            <w:pPr>
              <w:rPr>
                <w:rFonts w:ascii="Arial" w:hAnsi="Arial" w:cs="Arial"/>
                <w:sz w:val="18"/>
                <w:lang w:val="en-US" w:eastAsia="zh-CN"/>
              </w:rPr>
            </w:pPr>
          </w:p>
        </w:tc>
        <w:tc>
          <w:tcPr>
            <w:tcW w:w="863" w:type="pct"/>
            <w:hideMark/>
          </w:tcPr>
          <w:p w14:paraId="6DC79AC4"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2.56 (1)</w:t>
            </w:r>
          </w:p>
        </w:tc>
        <w:tc>
          <w:tcPr>
            <w:tcW w:w="910" w:type="pct"/>
            <w:hideMark/>
          </w:tcPr>
          <w:p w14:paraId="1D8955C1" w14:textId="77777777" w:rsidR="00D808CB" w:rsidRPr="00581E8E" w:rsidRDefault="00D808CB" w:rsidP="001313A6">
            <w:pPr>
              <w:rPr>
                <w:rFonts w:ascii="Arial" w:hAnsi="Arial" w:cs="Arial"/>
                <w:sz w:val="18"/>
                <w:lang w:val="en-US" w:eastAsia="zh-CN"/>
              </w:rPr>
            </w:pPr>
            <w:r w:rsidRPr="00581E8E">
              <w:rPr>
                <w:rFonts w:ascii="Arial" w:hAnsi="Arial" w:cs="Arial"/>
                <w:sz w:val="18"/>
                <w:lang w:eastAsia="zh-CN"/>
              </w:rPr>
              <w:t>5.12 (2)</w:t>
            </w:r>
          </w:p>
        </w:tc>
      </w:tr>
      <w:tr w:rsidR="00D808CB" w:rsidRPr="00B85562" w14:paraId="76824744" w14:textId="77777777" w:rsidTr="001313A6">
        <w:trPr>
          <w:trHeight w:val="336"/>
        </w:trPr>
        <w:tc>
          <w:tcPr>
            <w:tcW w:w="5000" w:type="pct"/>
            <w:gridSpan w:val="6"/>
          </w:tcPr>
          <w:p w14:paraId="284E1D10" w14:textId="77777777" w:rsidR="00D808CB" w:rsidRPr="00E32238" w:rsidRDefault="00D808CB" w:rsidP="004868FC">
            <w:pPr>
              <w:pStyle w:val="TAN"/>
            </w:pPr>
            <w:r w:rsidRPr="00E32238">
              <w:t>NOTE 1: The number of DRX cycles in this table is given for the DRX cycles within PTWs.</w:t>
            </w:r>
          </w:p>
          <w:p w14:paraId="57BDA848" w14:textId="77777777" w:rsidR="00D808CB" w:rsidRDefault="00D808CB" w:rsidP="004868FC">
            <w:pPr>
              <w:pStyle w:val="TAN"/>
            </w:pPr>
            <w:r w:rsidRPr="00E32238">
              <w:t>NOTE 2: The eDRX_IDLE cycle lengths are as specified in Section 10.5.5.32 of TS 24.008 [34].</w:t>
            </w:r>
          </w:p>
          <w:p w14:paraId="21EDB836" w14:textId="77777777" w:rsidR="00D808CB" w:rsidRDefault="00D808CB" w:rsidP="004868FC">
            <w:pPr>
              <w:pStyle w:val="TAN"/>
            </w:pPr>
            <w:r w:rsidRPr="00275B6E">
              <w:t>NOTE 3: Number of eDRX cycles when eDRX_IDLE cycle length equals 2.56s, 5.12s and 10.24s. Otherwise, number of DRX cycles.</w:t>
            </w:r>
          </w:p>
          <w:p w14:paraId="37C0B23B" w14:textId="77777777" w:rsidR="00D808CB" w:rsidRPr="00A5640C" w:rsidRDefault="00D808CB" w:rsidP="004868FC">
            <w:pPr>
              <w:pStyle w:val="TAN"/>
              <w:rPr>
                <w:lang w:eastAsia="zh-CN"/>
              </w:rPr>
            </w:pPr>
            <w:r w:rsidRPr="0082197E">
              <w:rPr>
                <w:snapToGrid w:val="0"/>
                <w:szCs w:val="18"/>
                <w:lang w:eastAsia="zh-CN"/>
              </w:rPr>
              <w:t xml:space="preserve">NOTE </w:t>
            </w:r>
            <w:r>
              <w:rPr>
                <w:szCs w:val="18"/>
              </w:rPr>
              <w:t>4</w:t>
            </w:r>
            <w:r w:rsidRPr="0082197E">
              <w:rPr>
                <w:szCs w:val="18"/>
              </w:rPr>
              <w:t>:</w:t>
            </w:r>
            <w:r w:rsidRPr="0082197E">
              <w:rPr>
                <w:szCs w:val="18"/>
                <w:lang w:val="en-US"/>
              </w:rPr>
              <w:t xml:space="preserve"> </w:t>
            </w:r>
            <w:r w:rsidRPr="0082197E">
              <w:rPr>
                <w:szCs w:val="18"/>
              </w:rPr>
              <w:t xml:space="preserve">The lower bound of </w:t>
            </w:r>
            <w:r w:rsidRPr="0082197E">
              <w:rPr>
                <w:iCs/>
                <w:color w:val="000000" w:themeColor="text1"/>
                <w:szCs w:val="18"/>
              </w:rPr>
              <w:t xml:space="preserve">PTW length is derived based on </w:t>
            </w:r>
            <m:oMath>
              <m:d>
                <m:dPr>
                  <m:begChr m:val="⌈"/>
                  <m:endChr m:val="⌉"/>
                  <m:ctrlPr>
                    <w:rPr>
                      <w:rFonts w:ascii="Cambria Math" w:hAnsi="Cambria Math"/>
                      <w:iCs/>
                      <w:szCs w:val="18"/>
                    </w:rPr>
                  </m:ctrlPr>
                </m:dPr>
                <m:e>
                  <m:f>
                    <m:fPr>
                      <m:ctrlPr>
                        <w:rPr>
                          <w:rFonts w:ascii="Cambria Math" w:hAnsi="Cambria Math"/>
                          <w:iCs/>
                          <w:szCs w:val="18"/>
                        </w:rPr>
                      </m:ctrlPr>
                    </m:fPr>
                    <m:num>
                      <m:r>
                        <m:rPr>
                          <m:sty m:val="p"/>
                        </m:rPr>
                        <w:rPr>
                          <w:rFonts w:ascii="Cambria Math" w:hAnsi="Cambria Math"/>
                          <w:szCs w:val="16"/>
                          <w:lang w:val="en-US"/>
                        </w:rPr>
                        <m:t>T</m:t>
                      </m:r>
                      <m:r>
                        <m:rPr>
                          <m:sty m:val="p"/>
                        </m:rPr>
                        <w:rPr>
                          <w:rFonts w:ascii="Cambria Math" w:hAnsi="Cambria Math"/>
                          <w:szCs w:val="16"/>
                          <w:vertAlign w:val="subscript"/>
                          <w:lang w:val="en-US"/>
                        </w:rPr>
                        <m:t>evaluate,NR_Inter_RedCap</m:t>
                      </m:r>
                      <m:r>
                        <m:rPr>
                          <m:sty m:val="p"/>
                        </m:rPr>
                        <w:rPr>
                          <w:rFonts w:ascii="Cambria Math" w:hAnsi="Cambria Math"/>
                          <w:szCs w:val="18"/>
                        </w:rPr>
                        <m:t>*DRX_cycle</m:t>
                      </m:r>
                    </m:num>
                    <m:den>
                      <m:r>
                        <m:rPr>
                          <m:sty m:val="p"/>
                        </m:rPr>
                        <w:rPr>
                          <w:rFonts w:ascii="Cambria Math" w:hAnsi="Cambria Math"/>
                          <w:szCs w:val="18"/>
                        </w:rPr>
                        <m:t>1.28</m:t>
                      </m:r>
                    </m:den>
                  </m:f>
                </m:e>
              </m:d>
              <m:r>
                <m:rPr>
                  <m:sty m:val="p"/>
                </m:rPr>
                <w:rPr>
                  <w:rFonts w:ascii="Cambria Math" w:hAnsi="Cambria Math"/>
                  <w:szCs w:val="18"/>
                </w:rPr>
                <m:t>*1.28</m:t>
              </m:r>
            </m:oMath>
            <w:r w:rsidRPr="0082197E">
              <w:rPr>
                <w:iCs/>
                <w:szCs w:val="18"/>
              </w:rPr>
              <w:t>.</w:t>
            </w:r>
          </w:p>
        </w:tc>
      </w:tr>
    </w:tbl>
    <w:p w14:paraId="7EF4E0A1" w14:textId="77777777" w:rsidR="00D808CB" w:rsidRDefault="00D808CB" w:rsidP="00D808CB">
      <w:pPr>
        <w:rPr>
          <w:lang w:eastAsia="zh-CN"/>
        </w:rPr>
      </w:pPr>
    </w:p>
    <w:p w14:paraId="135A741B" w14:textId="77777777" w:rsidR="00D808CB" w:rsidRPr="008C6DE4" w:rsidRDefault="00D808CB" w:rsidP="00D808CB">
      <w:pPr>
        <w:pStyle w:val="TH"/>
        <w:rPr>
          <w:vertAlign w:val="subscript"/>
        </w:rPr>
      </w:pPr>
      <w:r w:rsidRPr="008C6DE4">
        <w:t>Table 4.2</w:t>
      </w:r>
      <w:r>
        <w:t>B</w:t>
      </w:r>
      <w:r w:rsidRPr="008C6DE4">
        <w:t>.2.4-</w:t>
      </w:r>
      <w:r>
        <w:t>3</w:t>
      </w:r>
      <w:r w:rsidRPr="008C6DE4">
        <w:t>: T</w:t>
      </w:r>
      <w:r w:rsidRPr="008C6DE4">
        <w:rPr>
          <w:vertAlign w:val="subscript"/>
        </w:rPr>
        <w:t>detect,NR_Inter</w:t>
      </w:r>
      <w:r>
        <w:rPr>
          <w:vertAlign w:val="subscript"/>
        </w:rPr>
        <w:t>_RedCap</w:t>
      </w:r>
      <w:r w:rsidRPr="008C6DE4">
        <w:rPr>
          <w:vertAlign w:val="subscript"/>
        </w:rPr>
        <w:t>,</w:t>
      </w:r>
      <w:r w:rsidRPr="008C6DE4">
        <w:t xml:space="preserve"> T</w:t>
      </w:r>
      <w:r w:rsidRPr="008C6DE4">
        <w:rPr>
          <w:vertAlign w:val="subscript"/>
        </w:rPr>
        <w:t>measure,NR_Inter</w:t>
      </w:r>
      <w:r>
        <w:rPr>
          <w:vertAlign w:val="subscript"/>
        </w:rPr>
        <w:t>_RedCap</w:t>
      </w:r>
      <w:r w:rsidRPr="008C6DE4">
        <w:t xml:space="preserve"> and T</w:t>
      </w:r>
      <w:r w:rsidRPr="008C6DE4">
        <w:rPr>
          <w:vertAlign w:val="subscript"/>
        </w:rPr>
        <w:t>evaluate,NR_Inter</w:t>
      </w:r>
      <w:r>
        <w:rPr>
          <w:vertAlign w:val="subscript"/>
        </w:rPr>
        <w:t>_RedCap</w:t>
      </w:r>
      <w:r>
        <w:rPr>
          <w:vertAlign w:val="subscript"/>
          <w:lang w:val="en-US"/>
        </w:rPr>
        <w:t xml:space="preserve"> </w:t>
      </w:r>
      <w:r w:rsidRPr="00691C10">
        <w:t>for UE configured with eDRX_IDLE cycle</w:t>
      </w:r>
      <w:r>
        <w:t xml:space="preserve"> </w:t>
      </w:r>
      <w:r w:rsidRPr="00691C10">
        <w:t>(Frequency range FR</w:t>
      </w:r>
      <w:r>
        <w:t>2</w:t>
      </w:r>
      <w:r w:rsidRPr="00691C10">
        <w:t>)</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757"/>
        <w:gridCol w:w="977"/>
        <w:gridCol w:w="931"/>
        <w:gridCol w:w="2503"/>
        <w:gridCol w:w="1449"/>
        <w:gridCol w:w="1621"/>
      </w:tblGrid>
      <w:tr w:rsidR="00D808CB" w:rsidRPr="00B85562" w14:paraId="77CDC225" w14:textId="77777777" w:rsidTr="00902C37">
        <w:trPr>
          <w:trHeight w:val="1692"/>
        </w:trPr>
        <w:tc>
          <w:tcPr>
            <w:tcW w:w="639" w:type="pct"/>
            <w:hideMark/>
          </w:tcPr>
          <w:p w14:paraId="1024EDC7" w14:textId="77777777" w:rsidR="00D808CB" w:rsidRPr="00581E8E" w:rsidRDefault="00D808CB" w:rsidP="00AA3655">
            <w:pPr>
              <w:pStyle w:val="TAH"/>
              <w:rPr>
                <w:lang w:val="en-US" w:eastAsia="zh-CN"/>
              </w:rPr>
            </w:pPr>
            <w:r w:rsidRPr="00581E8E">
              <w:rPr>
                <w:lang w:eastAsia="zh-CN"/>
              </w:rPr>
              <w:t>eDRX_IDLE cycle length [s]</w:t>
            </w:r>
          </w:p>
        </w:tc>
        <w:tc>
          <w:tcPr>
            <w:tcW w:w="401" w:type="pct"/>
            <w:hideMark/>
          </w:tcPr>
          <w:p w14:paraId="73C2A715" w14:textId="77777777" w:rsidR="00D808CB" w:rsidRPr="00581E8E" w:rsidRDefault="00D808CB" w:rsidP="00AA3655">
            <w:pPr>
              <w:pStyle w:val="TAH"/>
              <w:rPr>
                <w:lang w:val="en-US" w:eastAsia="zh-CN"/>
              </w:rPr>
            </w:pPr>
            <w:r w:rsidRPr="00581E8E">
              <w:rPr>
                <w:lang w:eastAsia="zh-CN"/>
              </w:rPr>
              <w:t>DRX cycle length [s]</w:t>
            </w:r>
          </w:p>
        </w:tc>
        <w:tc>
          <w:tcPr>
            <w:tcW w:w="517" w:type="pct"/>
            <w:hideMark/>
          </w:tcPr>
          <w:p w14:paraId="0D90CEE3" w14:textId="77777777" w:rsidR="00D808CB" w:rsidRPr="00581E8E" w:rsidRDefault="00D808CB" w:rsidP="00AA3655">
            <w:pPr>
              <w:pStyle w:val="TAH"/>
              <w:rPr>
                <w:lang w:val="en-US" w:eastAsia="zh-CN"/>
              </w:rPr>
            </w:pPr>
            <w:r w:rsidRPr="00581E8E">
              <w:rPr>
                <w:lang w:eastAsia="zh-CN"/>
              </w:rPr>
              <w:t>PTW length [s] (number of 1.28s periods)</w:t>
            </w:r>
          </w:p>
        </w:tc>
        <w:tc>
          <w:tcPr>
            <w:tcW w:w="493" w:type="pct"/>
          </w:tcPr>
          <w:p w14:paraId="075D907E" w14:textId="77777777" w:rsidR="00D808CB" w:rsidRPr="00581E8E" w:rsidRDefault="00D808CB" w:rsidP="00AA3655">
            <w:pPr>
              <w:pStyle w:val="TAH"/>
              <w:rPr>
                <w:lang w:eastAsia="zh-CN"/>
              </w:rPr>
            </w:pPr>
            <w:r w:rsidRPr="00581E8E">
              <w:rPr>
                <w:lang w:eastAsia="zh-CN"/>
              </w:rPr>
              <w:t>Scaling Factor (N1)</w:t>
            </w:r>
            <w:r w:rsidRPr="002615F9">
              <w:rPr>
                <w:vertAlign w:val="superscript"/>
              </w:rPr>
              <w:t xml:space="preserve"> Note1</w:t>
            </w:r>
          </w:p>
        </w:tc>
        <w:tc>
          <w:tcPr>
            <w:tcW w:w="1325" w:type="pct"/>
            <w:hideMark/>
          </w:tcPr>
          <w:p w14:paraId="2B7CE3D4" w14:textId="77777777" w:rsidR="00D808CB" w:rsidRPr="00581E8E" w:rsidRDefault="00D808CB" w:rsidP="00AA3655">
            <w:pPr>
              <w:pStyle w:val="TAH"/>
              <w:rPr>
                <w:lang w:val="en-US" w:eastAsia="zh-CN"/>
              </w:rPr>
            </w:pPr>
            <w:r w:rsidRPr="00581E8E">
              <w:rPr>
                <w:bCs/>
                <w:szCs w:val="18"/>
              </w:rPr>
              <w:t>T</w:t>
            </w:r>
            <w:r w:rsidRPr="00581E8E">
              <w:rPr>
                <w:bCs/>
                <w:szCs w:val="18"/>
                <w:vertAlign w:val="subscript"/>
              </w:rPr>
              <w:t>detect,NR_Inter_RedCap</w:t>
            </w:r>
            <w:r w:rsidRPr="00581E8E">
              <w:rPr>
                <w:szCs w:val="18"/>
                <w:lang w:eastAsia="zh-CN"/>
              </w:rPr>
              <w:t xml:space="preserve"> [s] (number of DRX cycles</w:t>
            </w:r>
            <w:r>
              <w:rPr>
                <w:bCs/>
                <w:szCs w:val="18"/>
                <w:lang w:eastAsia="zh-CN"/>
              </w:rPr>
              <w:t xml:space="preserve"> or eDRX cycles </w:t>
            </w:r>
            <w:r w:rsidRPr="00CD5296">
              <w:rPr>
                <w:bCs/>
                <w:szCs w:val="18"/>
                <w:vertAlign w:val="superscript"/>
                <w:lang w:eastAsia="zh-CN"/>
              </w:rPr>
              <w:t>Note 3</w:t>
            </w:r>
            <w:r w:rsidRPr="00581E8E">
              <w:rPr>
                <w:szCs w:val="18"/>
                <w:lang w:eastAsia="zh-CN"/>
              </w:rPr>
              <w:t>)</w:t>
            </w:r>
          </w:p>
        </w:tc>
        <w:tc>
          <w:tcPr>
            <w:tcW w:w="767" w:type="pct"/>
            <w:hideMark/>
          </w:tcPr>
          <w:p w14:paraId="713CFC60" w14:textId="77777777" w:rsidR="00D808CB" w:rsidRPr="00581E8E" w:rsidRDefault="00D808CB" w:rsidP="00AA3655">
            <w:pPr>
              <w:pStyle w:val="TAH"/>
              <w:rPr>
                <w:lang w:val="en-US" w:eastAsia="zh-CN"/>
              </w:rPr>
            </w:pPr>
            <w:r w:rsidRPr="00581E8E">
              <w:rPr>
                <w:bCs/>
                <w:szCs w:val="18"/>
              </w:rPr>
              <w:t>T</w:t>
            </w:r>
            <w:r w:rsidRPr="00581E8E">
              <w:rPr>
                <w:bCs/>
                <w:szCs w:val="18"/>
                <w:vertAlign w:val="subscript"/>
              </w:rPr>
              <w:t>measure,NR_Inter_RedCap</w:t>
            </w:r>
            <w:r w:rsidRPr="00581E8E">
              <w:rPr>
                <w:szCs w:val="18"/>
              </w:rPr>
              <w:t xml:space="preserve"> </w:t>
            </w:r>
            <w:r w:rsidRPr="00581E8E">
              <w:rPr>
                <w:szCs w:val="18"/>
                <w:lang w:eastAsia="zh-CN"/>
              </w:rPr>
              <w:t>[s] (number of DRX cycles</w:t>
            </w:r>
            <w:r>
              <w:rPr>
                <w:bCs/>
                <w:szCs w:val="18"/>
                <w:lang w:eastAsia="zh-CN"/>
              </w:rPr>
              <w:t xml:space="preserve"> or eDRX cycles </w:t>
            </w:r>
            <w:r w:rsidRPr="00CD5296">
              <w:rPr>
                <w:bCs/>
                <w:szCs w:val="18"/>
                <w:vertAlign w:val="superscript"/>
                <w:lang w:eastAsia="zh-CN"/>
              </w:rPr>
              <w:t>Note 3</w:t>
            </w:r>
            <w:r w:rsidRPr="00581E8E">
              <w:rPr>
                <w:szCs w:val="18"/>
                <w:lang w:eastAsia="zh-CN"/>
              </w:rPr>
              <w:t>)</w:t>
            </w:r>
          </w:p>
        </w:tc>
        <w:tc>
          <w:tcPr>
            <w:tcW w:w="858" w:type="pct"/>
            <w:hideMark/>
          </w:tcPr>
          <w:p w14:paraId="4BAAF033" w14:textId="77777777" w:rsidR="00D808CB" w:rsidRPr="00581E8E" w:rsidRDefault="00D808CB" w:rsidP="00AA3655">
            <w:pPr>
              <w:pStyle w:val="TAH"/>
              <w:rPr>
                <w:lang w:val="en-US" w:eastAsia="zh-CN"/>
              </w:rPr>
            </w:pPr>
            <w:r w:rsidRPr="00581E8E">
              <w:rPr>
                <w:bCs/>
                <w:szCs w:val="18"/>
              </w:rPr>
              <w:t>T</w:t>
            </w:r>
            <w:r w:rsidRPr="00581E8E">
              <w:rPr>
                <w:bCs/>
                <w:szCs w:val="18"/>
                <w:vertAlign w:val="subscript"/>
              </w:rPr>
              <w:t>evaluate,NR_Inter_RedCap</w:t>
            </w:r>
            <w:r w:rsidRPr="00581E8E">
              <w:rPr>
                <w:szCs w:val="18"/>
                <w:vertAlign w:val="subscript"/>
                <w:lang w:val="en-US"/>
              </w:rPr>
              <w:t xml:space="preserve"> </w:t>
            </w:r>
            <w:r w:rsidRPr="00581E8E">
              <w:rPr>
                <w:szCs w:val="18"/>
                <w:lang w:eastAsia="zh-CN"/>
              </w:rPr>
              <w:t>[s] (number of DRX cycles</w:t>
            </w:r>
            <w:r>
              <w:rPr>
                <w:bCs/>
                <w:szCs w:val="18"/>
                <w:lang w:eastAsia="zh-CN"/>
              </w:rPr>
              <w:t xml:space="preserve"> or eDRX cycles </w:t>
            </w:r>
            <w:r w:rsidRPr="00CD5296">
              <w:rPr>
                <w:bCs/>
                <w:szCs w:val="18"/>
                <w:vertAlign w:val="superscript"/>
                <w:lang w:eastAsia="zh-CN"/>
              </w:rPr>
              <w:t>Note 3</w:t>
            </w:r>
            <w:r w:rsidRPr="00581E8E">
              <w:rPr>
                <w:szCs w:val="18"/>
                <w:lang w:eastAsia="zh-CN"/>
              </w:rPr>
              <w:t>)</w:t>
            </w:r>
          </w:p>
        </w:tc>
      </w:tr>
      <w:tr w:rsidR="00D808CB" w:rsidRPr="00B85562" w14:paraId="682938A0" w14:textId="77777777" w:rsidTr="00902C37">
        <w:trPr>
          <w:trHeight w:val="336"/>
        </w:trPr>
        <w:tc>
          <w:tcPr>
            <w:tcW w:w="639" w:type="pct"/>
          </w:tcPr>
          <w:p w14:paraId="2B9DFBAE" w14:textId="77777777" w:rsidR="00D808CB" w:rsidRPr="00581E8E" w:rsidRDefault="00D808CB" w:rsidP="00275CB9">
            <w:pPr>
              <w:pStyle w:val="TAL"/>
              <w:rPr>
                <w:lang w:val="en-US" w:eastAsia="zh-CN"/>
              </w:rPr>
            </w:pPr>
            <w:r w:rsidRPr="00581E8E">
              <w:rPr>
                <w:lang w:val="en-US" w:eastAsia="zh-CN"/>
              </w:rPr>
              <w:t>2.56</w:t>
            </w:r>
          </w:p>
        </w:tc>
        <w:tc>
          <w:tcPr>
            <w:tcW w:w="401" w:type="pct"/>
          </w:tcPr>
          <w:p w14:paraId="66CD0DF6" w14:textId="77777777" w:rsidR="00D808CB" w:rsidRPr="00581E8E" w:rsidRDefault="00D808CB" w:rsidP="00275CB9">
            <w:pPr>
              <w:pStyle w:val="TAL"/>
              <w:rPr>
                <w:lang w:val="en-US" w:eastAsia="zh-CN"/>
              </w:rPr>
            </w:pPr>
            <w:r w:rsidRPr="00581E8E">
              <w:rPr>
                <w:lang w:val="en-US" w:eastAsia="zh-CN"/>
              </w:rPr>
              <w:t>-</w:t>
            </w:r>
          </w:p>
        </w:tc>
        <w:tc>
          <w:tcPr>
            <w:tcW w:w="517" w:type="pct"/>
          </w:tcPr>
          <w:p w14:paraId="639D88B5" w14:textId="77777777" w:rsidR="00D808CB" w:rsidRPr="00581E8E" w:rsidRDefault="00D808CB" w:rsidP="00275CB9">
            <w:pPr>
              <w:pStyle w:val="TAL"/>
              <w:rPr>
                <w:lang w:val="en-US" w:eastAsia="zh-CN"/>
              </w:rPr>
            </w:pPr>
            <w:r w:rsidRPr="00581E8E">
              <w:rPr>
                <w:lang w:val="en-US" w:eastAsia="zh-CN"/>
              </w:rPr>
              <w:t>-</w:t>
            </w:r>
          </w:p>
        </w:tc>
        <w:tc>
          <w:tcPr>
            <w:tcW w:w="493" w:type="pct"/>
          </w:tcPr>
          <w:p w14:paraId="2D9268A3" w14:textId="77777777" w:rsidR="00D808CB" w:rsidRPr="00581E8E" w:rsidRDefault="00D808CB" w:rsidP="00C6627F">
            <w:pPr>
              <w:pStyle w:val="TAC"/>
              <w:rPr>
                <w:lang w:eastAsia="zh-CN"/>
              </w:rPr>
            </w:pPr>
            <w:r>
              <w:rPr>
                <w:lang w:eastAsia="zh-CN"/>
              </w:rPr>
              <w:t>3</w:t>
            </w:r>
          </w:p>
        </w:tc>
        <w:tc>
          <w:tcPr>
            <w:tcW w:w="1325" w:type="pct"/>
          </w:tcPr>
          <w:p w14:paraId="64C509BB" w14:textId="77777777" w:rsidR="00D808CB" w:rsidRPr="00581E8E" w:rsidRDefault="00D808CB" w:rsidP="00275CB9">
            <w:pPr>
              <w:pStyle w:val="TAL"/>
              <w:rPr>
                <w:lang w:eastAsia="zh-CN"/>
              </w:rPr>
            </w:pPr>
            <w:r w:rsidRPr="00581E8E">
              <w:rPr>
                <w:lang w:eastAsia="zh-CN"/>
              </w:rPr>
              <w:t>58.88 x N1 (23 x N1)</w:t>
            </w:r>
          </w:p>
        </w:tc>
        <w:tc>
          <w:tcPr>
            <w:tcW w:w="767" w:type="pct"/>
          </w:tcPr>
          <w:p w14:paraId="761346F0" w14:textId="77777777" w:rsidR="00D808CB" w:rsidRPr="00581E8E" w:rsidRDefault="00D808CB" w:rsidP="00275CB9">
            <w:pPr>
              <w:pStyle w:val="TAL"/>
              <w:rPr>
                <w:lang w:eastAsia="zh-CN"/>
              </w:rPr>
            </w:pPr>
            <w:r w:rsidRPr="00581E8E">
              <w:rPr>
                <w:lang w:eastAsia="zh-CN"/>
              </w:rPr>
              <w:t>2.56 x N1 (1 x N1)</w:t>
            </w:r>
          </w:p>
        </w:tc>
        <w:tc>
          <w:tcPr>
            <w:tcW w:w="858" w:type="pct"/>
          </w:tcPr>
          <w:p w14:paraId="5C9556A1" w14:textId="77777777" w:rsidR="00D808CB" w:rsidRPr="00581E8E" w:rsidRDefault="00D808CB" w:rsidP="00275CB9">
            <w:pPr>
              <w:pStyle w:val="TAL"/>
              <w:rPr>
                <w:lang w:eastAsia="zh-CN"/>
              </w:rPr>
            </w:pPr>
            <w:r>
              <w:rPr>
                <w:lang w:eastAsia="zh-CN"/>
              </w:rPr>
              <w:t>7.68</w:t>
            </w:r>
            <w:r w:rsidRPr="00581E8E">
              <w:rPr>
                <w:lang w:eastAsia="zh-CN"/>
              </w:rPr>
              <w:t xml:space="preserve"> x N1 (</w:t>
            </w:r>
            <w:r>
              <w:rPr>
                <w:lang w:eastAsia="zh-CN"/>
              </w:rPr>
              <w:t>3</w:t>
            </w:r>
            <w:r w:rsidRPr="00581E8E">
              <w:rPr>
                <w:lang w:eastAsia="zh-CN"/>
              </w:rPr>
              <w:t xml:space="preserve"> x N1)</w:t>
            </w:r>
          </w:p>
        </w:tc>
      </w:tr>
      <w:tr w:rsidR="00D808CB" w:rsidRPr="00B85562" w14:paraId="4BB862B0" w14:textId="77777777" w:rsidTr="00902C37">
        <w:trPr>
          <w:trHeight w:val="336"/>
        </w:trPr>
        <w:tc>
          <w:tcPr>
            <w:tcW w:w="639" w:type="pct"/>
          </w:tcPr>
          <w:p w14:paraId="106E3FAC" w14:textId="77777777" w:rsidR="00D808CB" w:rsidRPr="00581E8E" w:rsidRDefault="00D808CB" w:rsidP="00275CB9">
            <w:pPr>
              <w:pStyle w:val="TAL"/>
              <w:rPr>
                <w:lang w:eastAsia="zh-CN"/>
              </w:rPr>
            </w:pPr>
            <w:r w:rsidRPr="00581E8E">
              <w:rPr>
                <w:lang w:eastAsia="zh-CN"/>
              </w:rPr>
              <w:t>5.12</w:t>
            </w:r>
          </w:p>
        </w:tc>
        <w:tc>
          <w:tcPr>
            <w:tcW w:w="401" w:type="pct"/>
          </w:tcPr>
          <w:p w14:paraId="708D7263" w14:textId="77777777" w:rsidR="00D808CB" w:rsidRPr="00581E8E" w:rsidRDefault="00D808CB" w:rsidP="00275CB9">
            <w:pPr>
              <w:pStyle w:val="TAL"/>
              <w:rPr>
                <w:lang w:val="en-US" w:eastAsia="zh-CN"/>
              </w:rPr>
            </w:pPr>
            <w:r w:rsidRPr="00581E8E">
              <w:rPr>
                <w:lang w:val="en-US" w:eastAsia="zh-CN"/>
              </w:rPr>
              <w:t>-</w:t>
            </w:r>
          </w:p>
        </w:tc>
        <w:tc>
          <w:tcPr>
            <w:tcW w:w="517" w:type="pct"/>
          </w:tcPr>
          <w:p w14:paraId="7D6A360C" w14:textId="77777777" w:rsidR="00D808CB" w:rsidRPr="00581E8E" w:rsidRDefault="00D808CB" w:rsidP="00275CB9">
            <w:pPr>
              <w:pStyle w:val="TAL"/>
              <w:rPr>
                <w:lang w:eastAsia="zh-CN"/>
              </w:rPr>
            </w:pPr>
            <w:r w:rsidRPr="00581E8E">
              <w:rPr>
                <w:lang w:eastAsia="zh-CN"/>
              </w:rPr>
              <w:t>-</w:t>
            </w:r>
          </w:p>
        </w:tc>
        <w:tc>
          <w:tcPr>
            <w:tcW w:w="493" w:type="pct"/>
          </w:tcPr>
          <w:p w14:paraId="6EA874C0" w14:textId="77777777" w:rsidR="00D808CB" w:rsidRPr="00581E8E" w:rsidRDefault="00D808CB" w:rsidP="00C6627F">
            <w:pPr>
              <w:pStyle w:val="TAC"/>
              <w:rPr>
                <w:lang w:eastAsia="zh-CN"/>
              </w:rPr>
            </w:pPr>
            <w:r>
              <w:rPr>
                <w:lang w:eastAsia="zh-CN"/>
              </w:rPr>
              <w:t>3</w:t>
            </w:r>
          </w:p>
        </w:tc>
        <w:tc>
          <w:tcPr>
            <w:tcW w:w="1325" w:type="pct"/>
          </w:tcPr>
          <w:p w14:paraId="4F93D678" w14:textId="77777777" w:rsidR="00D808CB" w:rsidRPr="00581E8E" w:rsidRDefault="00D808CB" w:rsidP="00275CB9">
            <w:pPr>
              <w:pStyle w:val="TAL"/>
              <w:rPr>
                <w:lang w:eastAsia="zh-CN"/>
              </w:rPr>
            </w:pPr>
            <w:r w:rsidRPr="00581E8E">
              <w:rPr>
                <w:lang w:eastAsia="zh-CN"/>
              </w:rPr>
              <w:t>117.76 x N1 (23 x N1)</w:t>
            </w:r>
          </w:p>
        </w:tc>
        <w:tc>
          <w:tcPr>
            <w:tcW w:w="767" w:type="pct"/>
          </w:tcPr>
          <w:p w14:paraId="7597A902" w14:textId="77777777" w:rsidR="00D808CB" w:rsidRPr="00581E8E" w:rsidRDefault="00D808CB" w:rsidP="00275CB9">
            <w:pPr>
              <w:pStyle w:val="TAL"/>
              <w:rPr>
                <w:lang w:eastAsia="zh-CN"/>
              </w:rPr>
            </w:pPr>
            <w:r w:rsidRPr="00581E8E">
              <w:rPr>
                <w:lang w:eastAsia="zh-CN"/>
              </w:rPr>
              <w:t>5.12 x N1 (1 x N1)</w:t>
            </w:r>
          </w:p>
        </w:tc>
        <w:tc>
          <w:tcPr>
            <w:tcW w:w="858" w:type="pct"/>
          </w:tcPr>
          <w:p w14:paraId="563BB5C0" w14:textId="77777777" w:rsidR="00D808CB" w:rsidRPr="00581E8E" w:rsidRDefault="00D808CB" w:rsidP="00275CB9">
            <w:pPr>
              <w:pStyle w:val="TAL"/>
              <w:rPr>
                <w:lang w:eastAsia="zh-CN"/>
              </w:rPr>
            </w:pPr>
            <w:r w:rsidRPr="00581E8E">
              <w:rPr>
                <w:lang w:eastAsia="zh-CN"/>
              </w:rPr>
              <w:t>10.24 x N1 (2 x N1)</w:t>
            </w:r>
          </w:p>
        </w:tc>
      </w:tr>
      <w:tr w:rsidR="00D808CB" w:rsidRPr="00B85562" w14:paraId="752E2800" w14:textId="77777777" w:rsidTr="00902C37">
        <w:trPr>
          <w:trHeight w:val="336"/>
        </w:trPr>
        <w:tc>
          <w:tcPr>
            <w:tcW w:w="639" w:type="pct"/>
            <w:hideMark/>
          </w:tcPr>
          <w:p w14:paraId="7BAECEE7" w14:textId="77777777" w:rsidR="00D808CB" w:rsidRPr="00581E8E" w:rsidRDefault="00D808CB" w:rsidP="00275CB9">
            <w:pPr>
              <w:pStyle w:val="TAL"/>
              <w:rPr>
                <w:lang w:val="en-US" w:eastAsia="zh-CN"/>
              </w:rPr>
            </w:pPr>
            <w:r w:rsidRPr="00581E8E">
              <w:rPr>
                <w:lang w:eastAsia="zh-CN"/>
              </w:rPr>
              <w:t>10.24</w:t>
            </w:r>
          </w:p>
        </w:tc>
        <w:tc>
          <w:tcPr>
            <w:tcW w:w="401" w:type="pct"/>
            <w:hideMark/>
          </w:tcPr>
          <w:p w14:paraId="7C44735E" w14:textId="77777777" w:rsidR="00D808CB" w:rsidRPr="00581E8E" w:rsidRDefault="00D808CB" w:rsidP="00275CB9">
            <w:pPr>
              <w:pStyle w:val="TAL"/>
              <w:rPr>
                <w:lang w:val="en-US" w:eastAsia="zh-CN"/>
              </w:rPr>
            </w:pPr>
            <w:r w:rsidRPr="00581E8E">
              <w:rPr>
                <w:lang w:val="en-US" w:eastAsia="zh-CN"/>
              </w:rPr>
              <w:t>-</w:t>
            </w:r>
          </w:p>
        </w:tc>
        <w:tc>
          <w:tcPr>
            <w:tcW w:w="517" w:type="pct"/>
            <w:hideMark/>
          </w:tcPr>
          <w:p w14:paraId="690ADC4D" w14:textId="77777777" w:rsidR="00D808CB" w:rsidRPr="00581E8E" w:rsidRDefault="00D808CB" w:rsidP="00275CB9">
            <w:pPr>
              <w:pStyle w:val="TAL"/>
              <w:rPr>
                <w:lang w:val="en-US" w:eastAsia="zh-CN"/>
              </w:rPr>
            </w:pPr>
            <w:r w:rsidRPr="00581E8E">
              <w:rPr>
                <w:lang w:eastAsia="zh-CN"/>
              </w:rPr>
              <w:t>-</w:t>
            </w:r>
          </w:p>
        </w:tc>
        <w:tc>
          <w:tcPr>
            <w:tcW w:w="493" w:type="pct"/>
          </w:tcPr>
          <w:p w14:paraId="60B25940" w14:textId="77777777" w:rsidR="00D808CB" w:rsidRPr="00581E8E" w:rsidRDefault="00D808CB" w:rsidP="00C6627F">
            <w:pPr>
              <w:pStyle w:val="TAC"/>
              <w:rPr>
                <w:lang w:eastAsia="zh-CN"/>
              </w:rPr>
            </w:pPr>
            <w:r>
              <w:rPr>
                <w:lang w:eastAsia="zh-CN"/>
              </w:rPr>
              <w:t>3</w:t>
            </w:r>
          </w:p>
        </w:tc>
        <w:tc>
          <w:tcPr>
            <w:tcW w:w="1325" w:type="pct"/>
            <w:hideMark/>
          </w:tcPr>
          <w:p w14:paraId="3516DFF1" w14:textId="77777777" w:rsidR="00D808CB" w:rsidRPr="00581E8E" w:rsidRDefault="00D808CB" w:rsidP="00275CB9">
            <w:pPr>
              <w:pStyle w:val="TAL"/>
              <w:rPr>
                <w:lang w:val="en-US" w:eastAsia="zh-CN"/>
              </w:rPr>
            </w:pPr>
            <w:r w:rsidRPr="00581E8E">
              <w:rPr>
                <w:lang w:eastAsia="zh-CN"/>
              </w:rPr>
              <w:t>235.52 x N1 (23 x N1)</w:t>
            </w:r>
          </w:p>
        </w:tc>
        <w:tc>
          <w:tcPr>
            <w:tcW w:w="767" w:type="pct"/>
            <w:hideMark/>
          </w:tcPr>
          <w:p w14:paraId="4999E569" w14:textId="77777777" w:rsidR="00D808CB" w:rsidRPr="00581E8E" w:rsidRDefault="00D808CB" w:rsidP="00275CB9">
            <w:pPr>
              <w:pStyle w:val="TAL"/>
              <w:rPr>
                <w:lang w:val="en-US" w:eastAsia="zh-CN"/>
              </w:rPr>
            </w:pPr>
            <w:r w:rsidRPr="00581E8E">
              <w:rPr>
                <w:lang w:eastAsia="zh-CN"/>
              </w:rPr>
              <w:t>10.24 x N1 (1 x N1)</w:t>
            </w:r>
          </w:p>
        </w:tc>
        <w:tc>
          <w:tcPr>
            <w:tcW w:w="858" w:type="pct"/>
            <w:hideMark/>
          </w:tcPr>
          <w:p w14:paraId="3002C436" w14:textId="77777777" w:rsidR="00D808CB" w:rsidRPr="00581E8E" w:rsidRDefault="00D808CB" w:rsidP="00275CB9">
            <w:pPr>
              <w:pStyle w:val="TAL"/>
              <w:rPr>
                <w:lang w:val="en-US" w:eastAsia="zh-CN"/>
              </w:rPr>
            </w:pPr>
            <w:r w:rsidRPr="00581E8E">
              <w:rPr>
                <w:lang w:eastAsia="zh-CN"/>
              </w:rPr>
              <w:t>20.48 x N1 (2 x N1)</w:t>
            </w:r>
          </w:p>
        </w:tc>
      </w:tr>
      <w:tr w:rsidR="00D808CB" w:rsidRPr="00B85562" w14:paraId="567D1656" w14:textId="77777777" w:rsidTr="00902C37">
        <w:trPr>
          <w:trHeight w:val="673"/>
        </w:trPr>
        <w:tc>
          <w:tcPr>
            <w:tcW w:w="639" w:type="pct"/>
            <w:vMerge w:val="restart"/>
            <w:hideMark/>
          </w:tcPr>
          <w:p w14:paraId="06C186C8" w14:textId="77777777" w:rsidR="00D808CB" w:rsidRPr="00581E8E" w:rsidRDefault="00D808CB" w:rsidP="00275CB9">
            <w:pPr>
              <w:pStyle w:val="TAL"/>
              <w:rPr>
                <w:lang w:val="en-US" w:eastAsia="zh-CN"/>
              </w:rPr>
            </w:pPr>
            <w:r w:rsidRPr="00581E8E">
              <w:rPr>
                <w:lang w:eastAsia="zh-CN"/>
              </w:rPr>
              <w:t>20.48 ≤</w:t>
            </w:r>
            <w:r w:rsidRPr="00CA7017">
              <w:t xml:space="preserve"> </w:t>
            </w:r>
            <w:r w:rsidRPr="00581E8E">
              <w:rPr>
                <w:lang w:eastAsia="zh-CN"/>
              </w:rPr>
              <w:t xml:space="preserve"> eDRX_IDLE cycle length ≤10485.76</w:t>
            </w:r>
          </w:p>
        </w:tc>
        <w:tc>
          <w:tcPr>
            <w:tcW w:w="401" w:type="pct"/>
            <w:hideMark/>
          </w:tcPr>
          <w:p w14:paraId="495C6705" w14:textId="77777777" w:rsidR="00D808CB" w:rsidRPr="00581E8E" w:rsidRDefault="00D808CB" w:rsidP="00275CB9">
            <w:pPr>
              <w:pStyle w:val="TAL"/>
              <w:rPr>
                <w:lang w:val="en-US" w:eastAsia="zh-CN"/>
              </w:rPr>
            </w:pPr>
            <w:r w:rsidRPr="00581E8E">
              <w:rPr>
                <w:lang w:eastAsia="zh-CN"/>
              </w:rPr>
              <w:t>0.32</w:t>
            </w:r>
          </w:p>
        </w:tc>
        <w:tc>
          <w:tcPr>
            <w:tcW w:w="517" w:type="pct"/>
            <w:hideMark/>
          </w:tcPr>
          <w:p w14:paraId="78E905C7" w14:textId="77777777" w:rsidR="00D808CB" w:rsidRPr="00581E8E" w:rsidRDefault="00D808CB" w:rsidP="00275CB9">
            <w:pPr>
              <w:pStyle w:val="TAL"/>
              <w:rPr>
                <w:lang w:val="en-US" w:eastAsia="zh-CN"/>
              </w:rPr>
            </w:pPr>
            <w:r w:rsidRPr="00581E8E">
              <w:rPr>
                <w:lang w:eastAsia="zh-CN"/>
              </w:rPr>
              <w:t>≥5.12 (4)</w:t>
            </w:r>
          </w:p>
        </w:tc>
        <w:tc>
          <w:tcPr>
            <w:tcW w:w="493" w:type="pct"/>
          </w:tcPr>
          <w:p w14:paraId="1E8F90C4" w14:textId="77777777" w:rsidR="00D808CB" w:rsidRPr="00581E8E" w:rsidRDefault="00D808CB" w:rsidP="00C6627F">
            <w:pPr>
              <w:pStyle w:val="TAC"/>
              <w:rPr>
                <w:lang w:val="en-US" w:eastAsia="zh-CN"/>
              </w:rPr>
            </w:pPr>
            <w:r>
              <w:rPr>
                <w:lang w:val="en-US" w:eastAsia="zh-CN"/>
              </w:rPr>
              <w:t>8</w:t>
            </w:r>
          </w:p>
        </w:tc>
        <w:tc>
          <w:tcPr>
            <w:tcW w:w="1325" w:type="pct"/>
            <w:vMerge w:val="restart"/>
            <w:hideMark/>
          </w:tcPr>
          <w:p w14:paraId="04B17138" w14:textId="77777777" w:rsidR="00D808CB" w:rsidRPr="00581E8E" w:rsidRDefault="00D808CB" w:rsidP="00275CB9">
            <w:pPr>
              <w:pStyle w:val="TAL"/>
              <w:rPr>
                <w:lang w:val="en-US" w:eastAsia="zh-CN"/>
              </w:rPr>
            </w:pPr>
            <m:oMathPara>
              <m:oMathParaPr>
                <m:jc m:val="centerGroup"/>
              </m:oMathParaPr>
              <m:oMath>
                <m:r>
                  <w:rPr>
                    <w:rFonts w:ascii="Cambria Math" w:hAnsi="Cambria Math"/>
                    <w:lang w:val="en-US" w:eastAsia="zh-CN"/>
                  </w:rPr>
                  <m:t>eDRX</m:t>
                </m:r>
                <m:r>
                  <m:rPr>
                    <m:sty m:val="p"/>
                  </m:rPr>
                  <w:rPr>
                    <w:rFonts w:ascii="Cambria Math" w:hAnsi="Cambria Math"/>
                    <w:lang w:val="en-US" w:eastAsia="zh-CN"/>
                  </w:rPr>
                  <m:t>_</m:t>
                </m:r>
                <m:r>
                  <w:rPr>
                    <w:rFonts w:ascii="Cambria Math" w:hAnsi="Cambria Math"/>
                    <w:lang w:val="en-US" w:eastAsia="zh-CN"/>
                  </w:rPr>
                  <m:t>cycl</m:t>
                </m:r>
                <m:r>
                  <m:rPr>
                    <m:sty m:val="p"/>
                  </m:rPr>
                  <w:rPr>
                    <w:rFonts w:ascii="Cambria Math" w:hAnsi="Cambria Math"/>
                    <w:lang w:val="en-US" w:eastAsia="zh-CN"/>
                  </w:rPr>
                  <m:t>e_</m:t>
                </m:r>
                <m:r>
                  <w:rPr>
                    <w:rFonts w:ascii="Cambria Math" w:hAnsi="Cambria Math"/>
                    <w:lang w:val="en-US" w:eastAsia="zh-CN"/>
                  </w:rPr>
                  <m:t>length×</m:t>
                </m:r>
                <m:d>
                  <m:dPr>
                    <m:begChr m:val="⌈"/>
                    <m:endChr m:val="⌉"/>
                    <m:ctrlPr>
                      <w:rPr>
                        <w:rFonts w:ascii="Cambria Math" w:hAnsi="Cambria Math"/>
                        <w:i/>
                        <w:lang w:val="en-US" w:eastAsia="zh-CN"/>
                      </w:rPr>
                    </m:ctrlPr>
                  </m:dPr>
                  <m:e>
                    <m:f>
                      <m:fPr>
                        <m:ctrlPr>
                          <w:rPr>
                            <w:rFonts w:ascii="Cambria Math" w:hAnsi="Cambria Math"/>
                            <w:i/>
                            <w:lang w:val="en-US" w:eastAsia="zh-CN"/>
                          </w:rPr>
                        </m:ctrlPr>
                      </m:fPr>
                      <m:num>
                        <m:r>
                          <w:rPr>
                            <w:rFonts w:ascii="Cambria Math" w:hAnsi="Cambria Math"/>
                            <w:lang w:val="en-US" w:eastAsia="zh-CN"/>
                          </w:rPr>
                          <m:t>23×N1</m:t>
                        </m:r>
                      </m:num>
                      <m:den>
                        <m:r>
                          <w:rPr>
                            <w:rFonts w:ascii="Cambria Math" w:hAnsi="Cambria Math"/>
                            <w:lang w:val="en-US" w:eastAsia="zh-CN"/>
                          </w:rPr>
                          <m:t>PTW/DRX_cycle_length</m:t>
                        </m:r>
                      </m:den>
                    </m:f>
                  </m:e>
                </m:d>
              </m:oMath>
            </m:oMathPara>
          </w:p>
          <w:p w14:paraId="265125CC" w14:textId="77777777" w:rsidR="00D808CB" w:rsidRPr="00581E8E" w:rsidRDefault="00D808CB" w:rsidP="00275CB9">
            <w:pPr>
              <w:pStyle w:val="TAL"/>
              <w:rPr>
                <w:lang w:val="en-US" w:eastAsia="zh-CN"/>
              </w:rPr>
            </w:pPr>
            <w:r w:rsidRPr="00581E8E">
              <w:rPr>
                <w:lang w:val="en-US" w:eastAsia="zh-CN"/>
              </w:rPr>
              <w:t>(23</w:t>
            </w:r>
            <w:r w:rsidRPr="00581E8E">
              <w:rPr>
                <w:lang w:eastAsia="zh-CN"/>
              </w:rPr>
              <w:t xml:space="preserve"> x N1</w:t>
            </w:r>
            <w:r w:rsidRPr="00581E8E">
              <w:rPr>
                <w:lang w:val="en-US" w:eastAsia="zh-CN"/>
              </w:rPr>
              <w:t>)</w:t>
            </w:r>
          </w:p>
        </w:tc>
        <w:tc>
          <w:tcPr>
            <w:tcW w:w="767" w:type="pct"/>
            <w:hideMark/>
          </w:tcPr>
          <w:p w14:paraId="1223BC48" w14:textId="77777777" w:rsidR="00D808CB" w:rsidRPr="00581E8E" w:rsidRDefault="00D808CB" w:rsidP="00275CB9">
            <w:pPr>
              <w:pStyle w:val="TAL"/>
              <w:rPr>
                <w:lang w:val="en-US" w:eastAsia="zh-CN"/>
              </w:rPr>
            </w:pPr>
            <w:r w:rsidRPr="00581E8E">
              <w:rPr>
                <w:lang w:eastAsia="zh-CN"/>
              </w:rPr>
              <w:t>0.32 x N1 (1 x N1)</w:t>
            </w:r>
          </w:p>
        </w:tc>
        <w:tc>
          <w:tcPr>
            <w:tcW w:w="858" w:type="pct"/>
            <w:hideMark/>
          </w:tcPr>
          <w:p w14:paraId="7FFAE055" w14:textId="77777777" w:rsidR="00D808CB" w:rsidRPr="00581E8E" w:rsidRDefault="00D808CB" w:rsidP="00275CB9">
            <w:pPr>
              <w:pStyle w:val="TAL"/>
              <w:rPr>
                <w:lang w:val="en-US" w:eastAsia="zh-CN"/>
              </w:rPr>
            </w:pPr>
            <w:r w:rsidRPr="00581E8E">
              <w:rPr>
                <w:lang w:eastAsia="zh-CN"/>
              </w:rPr>
              <w:t>0.64 x N1 (2 x N1)</w:t>
            </w:r>
          </w:p>
        </w:tc>
      </w:tr>
      <w:tr w:rsidR="00D808CB" w:rsidRPr="00B85562" w14:paraId="4EEA9110" w14:textId="77777777" w:rsidTr="00902C37">
        <w:trPr>
          <w:trHeight w:val="336"/>
        </w:trPr>
        <w:tc>
          <w:tcPr>
            <w:tcW w:w="639" w:type="pct"/>
            <w:vMerge/>
            <w:hideMark/>
          </w:tcPr>
          <w:p w14:paraId="17CECC05" w14:textId="77777777" w:rsidR="00D808CB" w:rsidRPr="00581E8E" w:rsidRDefault="00D808CB" w:rsidP="00275CB9">
            <w:pPr>
              <w:pStyle w:val="TAL"/>
              <w:rPr>
                <w:lang w:val="en-US" w:eastAsia="zh-CN"/>
              </w:rPr>
            </w:pPr>
          </w:p>
        </w:tc>
        <w:tc>
          <w:tcPr>
            <w:tcW w:w="401" w:type="pct"/>
            <w:hideMark/>
          </w:tcPr>
          <w:p w14:paraId="73758912" w14:textId="77777777" w:rsidR="00D808CB" w:rsidRPr="00581E8E" w:rsidRDefault="00D808CB" w:rsidP="00275CB9">
            <w:pPr>
              <w:pStyle w:val="TAL"/>
              <w:rPr>
                <w:lang w:val="en-US" w:eastAsia="zh-CN"/>
              </w:rPr>
            </w:pPr>
            <w:r w:rsidRPr="00581E8E">
              <w:rPr>
                <w:lang w:eastAsia="zh-CN"/>
              </w:rPr>
              <w:t>0.64</w:t>
            </w:r>
          </w:p>
        </w:tc>
        <w:tc>
          <w:tcPr>
            <w:tcW w:w="517" w:type="pct"/>
            <w:hideMark/>
          </w:tcPr>
          <w:p w14:paraId="7F186CA6" w14:textId="77777777" w:rsidR="00D808CB" w:rsidRPr="00581E8E" w:rsidRDefault="00D808CB" w:rsidP="00275CB9">
            <w:pPr>
              <w:pStyle w:val="TAL"/>
              <w:rPr>
                <w:lang w:val="en-US" w:eastAsia="zh-CN"/>
              </w:rPr>
            </w:pPr>
            <w:r w:rsidRPr="00581E8E">
              <w:rPr>
                <w:lang w:eastAsia="zh-CN"/>
              </w:rPr>
              <w:t>≥</w:t>
            </w:r>
            <w:r>
              <w:rPr>
                <w:lang w:eastAsia="zh-CN"/>
              </w:rPr>
              <w:t>6.4</w:t>
            </w:r>
            <w:r w:rsidRPr="00581E8E">
              <w:rPr>
                <w:lang w:eastAsia="zh-CN"/>
              </w:rPr>
              <w:t xml:space="preserve"> (</w:t>
            </w:r>
            <w:r>
              <w:rPr>
                <w:lang w:eastAsia="zh-CN"/>
              </w:rPr>
              <w:t>5</w:t>
            </w:r>
            <w:r w:rsidRPr="00581E8E">
              <w:rPr>
                <w:lang w:eastAsia="zh-CN"/>
              </w:rPr>
              <w:t>)</w:t>
            </w:r>
          </w:p>
        </w:tc>
        <w:tc>
          <w:tcPr>
            <w:tcW w:w="493" w:type="pct"/>
          </w:tcPr>
          <w:p w14:paraId="670D18E9" w14:textId="77777777" w:rsidR="00D808CB" w:rsidRPr="00581E8E" w:rsidRDefault="00D808CB" w:rsidP="00C6627F">
            <w:pPr>
              <w:pStyle w:val="TAC"/>
              <w:rPr>
                <w:lang w:val="en-US" w:eastAsia="zh-CN"/>
              </w:rPr>
            </w:pPr>
            <w:r>
              <w:rPr>
                <w:lang w:val="en-US" w:eastAsia="zh-CN"/>
              </w:rPr>
              <w:t>5</w:t>
            </w:r>
          </w:p>
        </w:tc>
        <w:tc>
          <w:tcPr>
            <w:tcW w:w="1325" w:type="pct"/>
            <w:vMerge/>
            <w:hideMark/>
          </w:tcPr>
          <w:p w14:paraId="7C817F2D" w14:textId="77777777" w:rsidR="00D808CB" w:rsidRPr="00581E8E" w:rsidRDefault="00D808CB" w:rsidP="00275CB9">
            <w:pPr>
              <w:pStyle w:val="TAL"/>
              <w:rPr>
                <w:lang w:val="en-US" w:eastAsia="zh-CN"/>
              </w:rPr>
            </w:pPr>
          </w:p>
        </w:tc>
        <w:tc>
          <w:tcPr>
            <w:tcW w:w="767" w:type="pct"/>
            <w:hideMark/>
          </w:tcPr>
          <w:p w14:paraId="0EF8EE11" w14:textId="77777777" w:rsidR="00D808CB" w:rsidRPr="00581E8E" w:rsidRDefault="00D808CB" w:rsidP="00275CB9">
            <w:pPr>
              <w:pStyle w:val="TAL"/>
              <w:rPr>
                <w:lang w:val="en-US" w:eastAsia="zh-CN"/>
              </w:rPr>
            </w:pPr>
            <w:r w:rsidRPr="00581E8E">
              <w:rPr>
                <w:lang w:eastAsia="zh-CN"/>
              </w:rPr>
              <w:t>0.64 x N1 (1 x N1)</w:t>
            </w:r>
          </w:p>
        </w:tc>
        <w:tc>
          <w:tcPr>
            <w:tcW w:w="858" w:type="pct"/>
            <w:hideMark/>
          </w:tcPr>
          <w:p w14:paraId="7ED1BA72" w14:textId="77777777" w:rsidR="00D808CB" w:rsidRPr="00581E8E" w:rsidRDefault="00D808CB" w:rsidP="00275CB9">
            <w:pPr>
              <w:pStyle w:val="TAL"/>
              <w:rPr>
                <w:lang w:val="en-US" w:eastAsia="zh-CN"/>
              </w:rPr>
            </w:pPr>
            <w:r w:rsidRPr="00581E8E">
              <w:rPr>
                <w:lang w:eastAsia="zh-CN"/>
              </w:rPr>
              <w:t>1.28 x N1 (2 x N1)</w:t>
            </w:r>
          </w:p>
        </w:tc>
      </w:tr>
      <w:tr w:rsidR="00D808CB" w:rsidRPr="00B85562" w14:paraId="65DEA77D" w14:textId="77777777" w:rsidTr="00902C37">
        <w:trPr>
          <w:trHeight w:val="336"/>
        </w:trPr>
        <w:tc>
          <w:tcPr>
            <w:tcW w:w="639" w:type="pct"/>
            <w:vMerge/>
            <w:hideMark/>
          </w:tcPr>
          <w:p w14:paraId="17CBF126" w14:textId="77777777" w:rsidR="00D808CB" w:rsidRPr="00581E8E" w:rsidRDefault="00D808CB" w:rsidP="00275CB9">
            <w:pPr>
              <w:pStyle w:val="TAL"/>
              <w:rPr>
                <w:lang w:val="en-US" w:eastAsia="zh-CN"/>
              </w:rPr>
            </w:pPr>
          </w:p>
        </w:tc>
        <w:tc>
          <w:tcPr>
            <w:tcW w:w="401" w:type="pct"/>
            <w:hideMark/>
          </w:tcPr>
          <w:p w14:paraId="05EF0C96" w14:textId="77777777" w:rsidR="00D808CB" w:rsidRPr="00581E8E" w:rsidRDefault="00D808CB" w:rsidP="00275CB9">
            <w:pPr>
              <w:pStyle w:val="TAL"/>
              <w:rPr>
                <w:lang w:val="en-US" w:eastAsia="zh-CN"/>
              </w:rPr>
            </w:pPr>
            <w:r w:rsidRPr="00581E8E">
              <w:rPr>
                <w:lang w:eastAsia="zh-CN"/>
              </w:rPr>
              <w:t>1.28</w:t>
            </w:r>
          </w:p>
        </w:tc>
        <w:tc>
          <w:tcPr>
            <w:tcW w:w="517" w:type="pct"/>
            <w:hideMark/>
          </w:tcPr>
          <w:p w14:paraId="3EC2786F" w14:textId="77777777" w:rsidR="00D808CB" w:rsidRPr="00581E8E" w:rsidRDefault="00D808CB" w:rsidP="00275CB9">
            <w:pPr>
              <w:pStyle w:val="TAL"/>
              <w:rPr>
                <w:lang w:val="en-US" w:eastAsia="zh-CN"/>
              </w:rPr>
            </w:pPr>
            <w:r w:rsidRPr="00581E8E">
              <w:rPr>
                <w:lang w:eastAsia="zh-CN"/>
              </w:rPr>
              <w:t>≥</w:t>
            </w:r>
            <w:r>
              <w:rPr>
                <w:lang w:eastAsia="zh-CN"/>
              </w:rPr>
              <w:t>10.24</w:t>
            </w:r>
            <w:r w:rsidRPr="00581E8E">
              <w:rPr>
                <w:lang w:eastAsia="zh-CN"/>
              </w:rPr>
              <w:t xml:space="preserve"> (</w:t>
            </w:r>
            <w:r>
              <w:rPr>
                <w:lang w:eastAsia="zh-CN"/>
              </w:rPr>
              <w:t>8</w:t>
            </w:r>
            <w:r w:rsidRPr="00581E8E">
              <w:rPr>
                <w:lang w:eastAsia="zh-CN"/>
              </w:rPr>
              <w:t>)</w:t>
            </w:r>
          </w:p>
        </w:tc>
        <w:tc>
          <w:tcPr>
            <w:tcW w:w="493" w:type="pct"/>
          </w:tcPr>
          <w:p w14:paraId="45931F07" w14:textId="77777777" w:rsidR="00D808CB" w:rsidRPr="00581E8E" w:rsidRDefault="00D808CB" w:rsidP="00C6627F">
            <w:pPr>
              <w:pStyle w:val="TAC"/>
              <w:rPr>
                <w:lang w:val="en-US" w:eastAsia="zh-CN"/>
              </w:rPr>
            </w:pPr>
            <w:r>
              <w:rPr>
                <w:lang w:val="en-US" w:eastAsia="zh-CN"/>
              </w:rPr>
              <w:t>4</w:t>
            </w:r>
          </w:p>
        </w:tc>
        <w:tc>
          <w:tcPr>
            <w:tcW w:w="1325" w:type="pct"/>
            <w:vMerge/>
            <w:hideMark/>
          </w:tcPr>
          <w:p w14:paraId="381A2E2E" w14:textId="77777777" w:rsidR="00D808CB" w:rsidRPr="00581E8E" w:rsidRDefault="00D808CB" w:rsidP="00275CB9">
            <w:pPr>
              <w:pStyle w:val="TAL"/>
              <w:rPr>
                <w:lang w:val="en-US" w:eastAsia="zh-CN"/>
              </w:rPr>
            </w:pPr>
          </w:p>
        </w:tc>
        <w:tc>
          <w:tcPr>
            <w:tcW w:w="767" w:type="pct"/>
            <w:hideMark/>
          </w:tcPr>
          <w:p w14:paraId="5F6A5DFF" w14:textId="77777777" w:rsidR="00D808CB" w:rsidRPr="00581E8E" w:rsidRDefault="00D808CB" w:rsidP="00275CB9">
            <w:pPr>
              <w:pStyle w:val="TAL"/>
              <w:rPr>
                <w:lang w:val="en-US" w:eastAsia="zh-CN"/>
              </w:rPr>
            </w:pPr>
            <w:r w:rsidRPr="00581E8E">
              <w:rPr>
                <w:lang w:eastAsia="zh-CN"/>
              </w:rPr>
              <w:t>1.28 x N1 (1 x N1)</w:t>
            </w:r>
          </w:p>
        </w:tc>
        <w:tc>
          <w:tcPr>
            <w:tcW w:w="858" w:type="pct"/>
            <w:hideMark/>
          </w:tcPr>
          <w:p w14:paraId="0EA4DDD3" w14:textId="77777777" w:rsidR="00D808CB" w:rsidRPr="00581E8E" w:rsidRDefault="00D808CB" w:rsidP="00275CB9">
            <w:pPr>
              <w:pStyle w:val="TAL"/>
              <w:rPr>
                <w:lang w:val="en-US" w:eastAsia="zh-CN"/>
              </w:rPr>
            </w:pPr>
            <w:r w:rsidRPr="00581E8E">
              <w:rPr>
                <w:lang w:eastAsia="zh-CN"/>
              </w:rPr>
              <w:t>2.56 x N1 (2 x N1)</w:t>
            </w:r>
          </w:p>
        </w:tc>
      </w:tr>
      <w:tr w:rsidR="00D808CB" w:rsidRPr="00B85562" w14:paraId="734748D1" w14:textId="77777777" w:rsidTr="00902C37">
        <w:trPr>
          <w:trHeight w:val="336"/>
        </w:trPr>
        <w:tc>
          <w:tcPr>
            <w:tcW w:w="639" w:type="pct"/>
            <w:vMerge/>
            <w:hideMark/>
          </w:tcPr>
          <w:p w14:paraId="29CC5D53" w14:textId="77777777" w:rsidR="00D808CB" w:rsidRPr="00581E8E" w:rsidRDefault="00D808CB" w:rsidP="00275CB9">
            <w:pPr>
              <w:pStyle w:val="TAL"/>
              <w:rPr>
                <w:lang w:val="en-US" w:eastAsia="zh-CN"/>
              </w:rPr>
            </w:pPr>
          </w:p>
        </w:tc>
        <w:tc>
          <w:tcPr>
            <w:tcW w:w="401" w:type="pct"/>
            <w:hideMark/>
          </w:tcPr>
          <w:p w14:paraId="2024F6BF" w14:textId="77777777" w:rsidR="00D808CB" w:rsidRPr="00581E8E" w:rsidRDefault="00D808CB" w:rsidP="00275CB9">
            <w:pPr>
              <w:pStyle w:val="TAL"/>
              <w:rPr>
                <w:lang w:val="en-US" w:eastAsia="zh-CN"/>
              </w:rPr>
            </w:pPr>
            <w:r w:rsidRPr="00581E8E">
              <w:rPr>
                <w:lang w:eastAsia="zh-CN"/>
              </w:rPr>
              <w:t>2.56</w:t>
            </w:r>
          </w:p>
        </w:tc>
        <w:tc>
          <w:tcPr>
            <w:tcW w:w="517" w:type="pct"/>
            <w:hideMark/>
          </w:tcPr>
          <w:p w14:paraId="451ABCB3" w14:textId="77777777" w:rsidR="00D808CB" w:rsidRPr="00581E8E" w:rsidRDefault="00D808CB" w:rsidP="00275CB9">
            <w:pPr>
              <w:pStyle w:val="TAL"/>
              <w:rPr>
                <w:lang w:val="en-US" w:eastAsia="zh-CN"/>
              </w:rPr>
            </w:pPr>
            <w:r w:rsidRPr="00581E8E">
              <w:rPr>
                <w:lang w:eastAsia="zh-CN"/>
              </w:rPr>
              <w:t>≥</w:t>
            </w:r>
            <w:r>
              <w:rPr>
                <w:lang w:eastAsia="zh-CN"/>
              </w:rPr>
              <w:t>15.36</w:t>
            </w:r>
            <w:r w:rsidRPr="00581E8E">
              <w:rPr>
                <w:lang w:eastAsia="zh-CN"/>
              </w:rPr>
              <w:t xml:space="preserve"> (</w:t>
            </w:r>
            <w:r>
              <w:rPr>
                <w:lang w:eastAsia="zh-CN"/>
              </w:rPr>
              <w:t>12</w:t>
            </w:r>
            <w:r w:rsidRPr="00581E8E">
              <w:rPr>
                <w:lang w:eastAsia="zh-CN"/>
              </w:rPr>
              <w:t>)</w:t>
            </w:r>
          </w:p>
        </w:tc>
        <w:tc>
          <w:tcPr>
            <w:tcW w:w="493" w:type="pct"/>
          </w:tcPr>
          <w:p w14:paraId="2DC60B86" w14:textId="77777777" w:rsidR="00D808CB" w:rsidRPr="00581E8E" w:rsidRDefault="00D808CB" w:rsidP="00C6627F">
            <w:pPr>
              <w:pStyle w:val="TAC"/>
              <w:rPr>
                <w:lang w:val="en-US" w:eastAsia="zh-CN"/>
              </w:rPr>
            </w:pPr>
            <w:r>
              <w:rPr>
                <w:lang w:val="en-US" w:eastAsia="zh-CN"/>
              </w:rPr>
              <w:t>3</w:t>
            </w:r>
          </w:p>
        </w:tc>
        <w:tc>
          <w:tcPr>
            <w:tcW w:w="1325" w:type="pct"/>
            <w:vMerge/>
            <w:hideMark/>
          </w:tcPr>
          <w:p w14:paraId="21B4EE1F" w14:textId="77777777" w:rsidR="00D808CB" w:rsidRPr="00581E8E" w:rsidRDefault="00D808CB" w:rsidP="00275CB9">
            <w:pPr>
              <w:pStyle w:val="TAL"/>
              <w:rPr>
                <w:lang w:val="en-US" w:eastAsia="zh-CN"/>
              </w:rPr>
            </w:pPr>
          </w:p>
        </w:tc>
        <w:tc>
          <w:tcPr>
            <w:tcW w:w="767" w:type="pct"/>
            <w:hideMark/>
          </w:tcPr>
          <w:p w14:paraId="351FD7F4" w14:textId="77777777" w:rsidR="00D808CB" w:rsidRPr="00581E8E" w:rsidRDefault="00D808CB" w:rsidP="00275CB9">
            <w:pPr>
              <w:pStyle w:val="TAL"/>
              <w:rPr>
                <w:lang w:val="en-US" w:eastAsia="zh-CN"/>
              </w:rPr>
            </w:pPr>
            <w:r w:rsidRPr="00581E8E">
              <w:rPr>
                <w:lang w:eastAsia="zh-CN"/>
              </w:rPr>
              <w:t>2.56 x N1 (1 x N1)</w:t>
            </w:r>
          </w:p>
        </w:tc>
        <w:tc>
          <w:tcPr>
            <w:tcW w:w="858" w:type="pct"/>
            <w:hideMark/>
          </w:tcPr>
          <w:p w14:paraId="21AC8A6D" w14:textId="77777777" w:rsidR="00D808CB" w:rsidRPr="00581E8E" w:rsidRDefault="00D808CB" w:rsidP="00275CB9">
            <w:pPr>
              <w:pStyle w:val="TAL"/>
              <w:rPr>
                <w:lang w:val="en-US" w:eastAsia="zh-CN"/>
              </w:rPr>
            </w:pPr>
            <w:r w:rsidRPr="00581E8E">
              <w:rPr>
                <w:lang w:eastAsia="zh-CN"/>
              </w:rPr>
              <w:t>5.12 x N1 (2 x N1)</w:t>
            </w:r>
          </w:p>
        </w:tc>
      </w:tr>
      <w:tr w:rsidR="00D808CB" w:rsidRPr="00B85562" w14:paraId="2B7381CB" w14:textId="77777777" w:rsidTr="001313A6">
        <w:trPr>
          <w:trHeight w:val="336"/>
        </w:trPr>
        <w:tc>
          <w:tcPr>
            <w:tcW w:w="5000" w:type="pct"/>
            <w:gridSpan w:val="7"/>
          </w:tcPr>
          <w:p w14:paraId="10C1763C" w14:textId="77777777" w:rsidR="00D808CB" w:rsidRPr="009C5807" w:rsidRDefault="00D808CB" w:rsidP="004868FC">
            <w:pPr>
              <w:pStyle w:val="TAN"/>
              <w:rPr>
                <w:snapToGrid w:val="0"/>
                <w:lang w:eastAsia="zh-CN"/>
              </w:rPr>
            </w:pPr>
            <w:r w:rsidRPr="002615F9">
              <w:rPr>
                <w:snapToGrid w:val="0"/>
                <w:lang w:eastAsia="zh-CN"/>
              </w:rPr>
              <w:t>NOTE</w:t>
            </w:r>
            <w:r w:rsidRPr="009C5807">
              <w:rPr>
                <w:snapToGrid w:val="0"/>
                <w:lang w:eastAsia="zh-CN"/>
              </w:rPr>
              <w:t xml:space="preserve"> 1</w:t>
            </w:r>
            <w:r w:rsidRPr="009C5807">
              <w:t>:</w:t>
            </w:r>
            <w:r>
              <w:t xml:space="preserve"> </w:t>
            </w:r>
            <w:r w:rsidRPr="0082197E">
              <w:rPr>
                <w:lang w:eastAsia="zh-CN"/>
              </w:rPr>
              <w:t>Applies for RedCap UE of all power class</w:t>
            </w:r>
            <w:r w:rsidRPr="009C5807">
              <w:t>.</w:t>
            </w:r>
          </w:p>
          <w:p w14:paraId="68E19C75" w14:textId="77777777" w:rsidR="00D808CB" w:rsidRPr="00E32238" w:rsidRDefault="00D808CB" w:rsidP="004868FC">
            <w:pPr>
              <w:pStyle w:val="TAN"/>
              <w:rPr>
                <w:rFonts w:cs="Arial"/>
              </w:rPr>
            </w:pPr>
            <w:r w:rsidRPr="00E32238">
              <w:rPr>
                <w:rFonts w:cs="Arial"/>
              </w:rPr>
              <w:t xml:space="preserve">NOTE </w:t>
            </w:r>
            <w:r>
              <w:rPr>
                <w:rFonts w:cs="Arial"/>
              </w:rPr>
              <w:t>2</w:t>
            </w:r>
            <w:r w:rsidRPr="00E32238">
              <w:rPr>
                <w:rFonts w:cs="Arial"/>
              </w:rPr>
              <w:t>: The number of DRX cycles in this table is given for the DRX cycles within PTWs.</w:t>
            </w:r>
          </w:p>
          <w:p w14:paraId="323C2B57" w14:textId="77777777" w:rsidR="00D808CB" w:rsidRDefault="00D808CB" w:rsidP="004868FC">
            <w:pPr>
              <w:pStyle w:val="TAN"/>
              <w:rPr>
                <w:rFonts w:cs="Arial"/>
              </w:rPr>
            </w:pPr>
            <w:r w:rsidRPr="00E32238">
              <w:rPr>
                <w:rFonts w:cs="Arial"/>
              </w:rPr>
              <w:t xml:space="preserve">NOTE </w:t>
            </w:r>
            <w:r>
              <w:rPr>
                <w:rFonts w:cs="Arial"/>
              </w:rPr>
              <w:t>3</w:t>
            </w:r>
            <w:r w:rsidRPr="00E32238">
              <w:rPr>
                <w:rFonts w:cs="Arial"/>
              </w:rPr>
              <w:t>: The eDRX_IDLE cycle lengths are as specified in Section 10.5.5.32 of TS 24.008 [34].</w:t>
            </w:r>
          </w:p>
          <w:p w14:paraId="49578597" w14:textId="77777777" w:rsidR="00D808CB" w:rsidRDefault="00D808CB" w:rsidP="004868FC">
            <w:pPr>
              <w:pStyle w:val="TAN"/>
              <w:rPr>
                <w:rFonts w:cs="Arial"/>
              </w:rPr>
            </w:pPr>
            <w:r w:rsidRPr="00275B6E">
              <w:rPr>
                <w:rFonts w:cs="Arial"/>
              </w:rPr>
              <w:t xml:space="preserve">NOTE </w:t>
            </w:r>
            <w:r>
              <w:rPr>
                <w:rFonts w:cs="Arial"/>
              </w:rPr>
              <w:t>4</w:t>
            </w:r>
            <w:r w:rsidRPr="00275B6E">
              <w:rPr>
                <w:rFonts w:cs="Arial"/>
              </w:rPr>
              <w:t>: Number of eDRX cycles when eDRX_IDLE cycle length equals 2.56s, 5.12s and 10.24s. Otherwise, number of DRX cycles.</w:t>
            </w:r>
          </w:p>
          <w:p w14:paraId="3ED18B6D" w14:textId="77777777" w:rsidR="003D151D" w:rsidRDefault="003D151D" w:rsidP="003D151D">
            <w:pPr>
              <w:pStyle w:val="TAN"/>
              <w:rPr>
                <w:rFonts w:cs="Arial"/>
                <w:iCs/>
                <w:szCs w:val="18"/>
              </w:rPr>
            </w:pPr>
            <w:r w:rsidRPr="007D1E39">
              <w:rPr>
                <w:rFonts w:cs="Arial"/>
                <w:snapToGrid w:val="0"/>
                <w:szCs w:val="18"/>
                <w:lang w:eastAsia="zh-CN"/>
              </w:rPr>
              <w:t xml:space="preserve">NOTE </w:t>
            </w:r>
            <w:r>
              <w:rPr>
                <w:rFonts w:cs="Arial"/>
                <w:szCs w:val="18"/>
              </w:rPr>
              <w:t>5</w:t>
            </w:r>
            <w:r w:rsidRPr="007D1E39">
              <w:rPr>
                <w:rFonts w:cs="Arial"/>
                <w:szCs w:val="18"/>
              </w:rPr>
              <w:t>:</w:t>
            </w:r>
            <w:r w:rsidRPr="007D1E39">
              <w:rPr>
                <w:rFonts w:cs="Arial"/>
                <w:szCs w:val="18"/>
                <w:lang w:val="en-US"/>
              </w:rPr>
              <w:t xml:space="preserve"> </w:t>
            </w:r>
            <w:r w:rsidRPr="007D1E39">
              <w:rPr>
                <w:rFonts w:cs="Arial"/>
                <w:szCs w:val="18"/>
              </w:rPr>
              <w:t xml:space="preserve">The lower bound of </w:t>
            </w:r>
            <w:r w:rsidRPr="007D1E39">
              <w:rPr>
                <w:rFonts w:cs="Arial"/>
                <w:iCs/>
                <w:color w:val="000000" w:themeColor="text1"/>
                <w:szCs w:val="18"/>
              </w:rPr>
              <w:t xml:space="preserve">PTW length is derived based on </w:t>
            </w:r>
            <m:oMath>
              <m:d>
                <m:dPr>
                  <m:begChr m:val="⌈"/>
                  <m:endChr m:val="⌉"/>
                  <m:ctrlPr>
                    <w:rPr>
                      <w:rFonts w:ascii="Cambria Math" w:hAnsi="Cambria Math" w:cs="Arial"/>
                      <w:iCs/>
                      <w:szCs w:val="18"/>
                    </w:rPr>
                  </m:ctrlPr>
                </m:dPr>
                <m:e>
                  <m:f>
                    <m:fPr>
                      <m:ctrlPr>
                        <w:rPr>
                          <w:rFonts w:ascii="Cambria Math" w:hAnsi="Cambria Math" w:cs="Arial"/>
                          <w:iCs/>
                          <w:szCs w:val="18"/>
                        </w:rPr>
                      </m:ctrlPr>
                    </m:fPr>
                    <m:num>
                      <m:r>
                        <m:rPr>
                          <m:sty m:val="p"/>
                        </m:rPr>
                        <w:rPr>
                          <w:rFonts w:ascii="Cambria Math" w:hAnsi="Cambria Math" w:cs="Arial"/>
                          <w:szCs w:val="16"/>
                          <w:lang w:val="en-US"/>
                        </w:rPr>
                        <m:t>T</m:t>
                      </m:r>
                      <m:r>
                        <m:rPr>
                          <m:sty m:val="p"/>
                        </m:rPr>
                        <w:rPr>
                          <w:rFonts w:ascii="Cambria Math" w:hAnsi="Cambria Math" w:cs="Arial"/>
                          <w:szCs w:val="16"/>
                          <w:vertAlign w:val="subscript"/>
                          <w:lang w:val="en-US"/>
                        </w:rPr>
                        <m:t>evaluate,NR_Inter_RedCap</m:t>
                      </m:r>
                      <m:r>
                        <m:rPr>
                          <m:sty m:val="p"/>
                        </m:rPr>
                        <w:rPr>
                          <w:rFonts w:ascii="Cambria Math" w:hAnsi="Cambria Math" w:cs="Arial"/>
                          <w:szCs w:val="18"/>
                        </w:rPr>
                        <m:t>*DRX_cycle</m:t>
                      </m:r>
                    </m:num>
                    <m:den>
                      <m:r>
                        <m:rPr>
                          <m:sty m:val="p"/>
                        </m:rPr>
                        <w:rPr>
                          <w:rFonts w:ascii="Cambria Math" w:hAnsi="Cambria Math" w:cs="Arial"/>
                          <w:szCs w:val="18"/>
                        </w:rPr>
                        <m:t>1.28</m:t>
                      </m:r>
                    </m:den>
                  </m:f>
                </m:e>
              </m:d>
              <m:r>
                <m:rPr>
                  <m:sty m:val="p"/>
                </m:rPr>
                <w:rPr>
                  <w:rFonts w:ascii="Cambria Math" w:hAnsi="Cambria Math" w:cs="Arial"/>
                  <w:szCs w:val="18"/>
                </w:rPr>
                <m:t>*1.28</m:t>
              </m:r>
            </m:oMath>
            <w:r w:rsidRPr="007D1E39">
              <w:rPr>
                <w:rFonts w:cs="Arial"/>
                <w:iCs/>
                <w:szCs w:val="18"/>
              </w:rPr>
              <w:t>.</w:t>
            </w:r>
          </w:p>
          <w:p w14:paraId="3DACDBA8" w14:textId="07DE9AF6" w:rsidR="00D808CB" w:rsidRPr="00581E8E" w:rsidRDefault="003D151D" w:rsidP="003D151D">
            <w:pPr>
              <w:pStyle w:val="TAN"/>
              <w:rPr>
                <w:rFonts w:cs="Arial"/>
                <w:lang w:eastAsia="zh-CN"/>
              </w:rPr>
            </w:pPr>
            <w:r>
              <w:rPr>
                <w:rFonts w:cs="Arial"/>
                <w:iCs/>
              </w:rPr>
              <w:t>NOTE 6: When eDRX=20.48s and DRX=0.32s, UE is allowed to perform cell evaluation within PTW in every 2 eDRX cycles.</w:t>
            </w:r>
          </w:p>
        </w:tc>
      </w:tr>
    </w:tbl>
    <w:p w14:paraId="09470059" w14:textId="77777777" w:rsidR="00D808CB" w:rsidRPr="008F77A5" w:rsidRDefault="00D808CB" w:rsidP="00D808CB">
      <w:pPr>
        <w:rPr>
          <w:lang w:eastAsia="zh-CN"/>
        </w:rPr>
      </w:pPr>
    </w:p>
    <w:p w14:paraId="03E50145" w14:textId="77777777" w:rsidR="00D808CB" w:rsidRPr="008F77A5" w:rsidRDefault="00D808CB" w:rsidP="00D808CB">
      <w:pPr>
        <w:rPr>
          <w:lang w:eastAsia="zh-CN"/>
        </w:rPr>
      </w:pPr>
      <w:r w:rsidRPr="00691C10">
        <w:t xml:space="preserve">For any requirement in this section, when the UE transitions between any two states when being configured with eDRX_IDLE, being configured with eDRX_IDLE cycle, changing eDRX_IDLE cycle length, or changing PTW configuration, the UE shall meet the transition requirement, which is the less stringent requirement of the two requirements corresponding to the first state and the second state, during the transition time interval which is the time corresponding to the transition requirement. After the transition time interval, the UE </w:t>
      </w:r>
      <w:r>
        <w:t>shall</w:t>
      </w:r>
      <w:r w:rsidRPr="00691C10">
        <w:t xml:space="preserve"> meet the requirement corresponding to the second state.</w:t>
      </w:r>
    </w:p>
    <w:p w14:paraId="036E6A9E" w14:textId="77777777" w:rsidR="00D808CB" w:rsidRDefault="00D808CB" w:rsidP="00D808CB">
      <w:pPr>
        <w:pStyle w:val="Heading4"/>
      </w:pPr>
      <w:r>
        <w:t>4.2B.2.5</w:t>
      </w:r>
      <w:r>
        <w:tab/>
        <w:t xml:space="preserve">Measurements of inter-RAT E-UTRAN cells </w:t>
      </w:r>
      <w:r w:rsidRPr="00630452">
        <w:t>for RedCap UE</w:t>
      </w:r>
    </w:p>
    <w:p w14:paraId="3DFCEBDE" w14:textId="77777777" w:rsidR="00D808CB" w:rsidRPr="009C5807" w:rsidRDefault="00D808CB" w:rsidP="00D808CB">
      <w:r w:rsidRPr="009C5807">
        <w:t xml:space="preserve">If </w:t>
      </w:r>
      <w:r w:rsidRPr="009A5082">
        <w:t xml:space="preserve">Srxlev &gt; </w:t>
      </w:r>
      <w:r w:rsidRPr="00AA3CB0">
        <w:t>S</w:t>
      </w:r>
      <w:r w:rsidRPr="00AA3CB0">
        <w:rPr>
          <w:vertAlign w:val="subscript"/>
        </w:rPr>
        <w:t>nonIntraSearchP</w:t>
      </w:r>
      <w:r w:rsidRPr="009A5082">
        <w:t xml:space="preserve"> and Squal &gt; </w:t>
      </w:r>
      <w:r w:rsidRPr="00AA3CB0">
        <w:t>S</w:t>
      </w:r>
      <w:r w:rsidRPr="00AA3CB0">
        <w:rPr>
          <w:vertAlign w:val="subscript"/>
        </w:rPr>
        <w:t>nonIntraSearchQ</w:t>
      </w:r>
      <w:r w:rsidRPr="009A5082" w:rsidDel="00937E5B">
        <w:t xml:space="preserve"> </w:t>
      </w:r>
      <w:r w:rsidRPr="000D2363">
        <w:t>then the</w:t>
      </w:r>
      <w:r w:rsidRPr="009C5807">
        <w:t xml:space="preserve"> UE shall search for inter-RAT E-UTRAN layers of higher priority at least every T</w:t>
      </w:r>
      <w:r w:rsidRPr="009C5807">
        <w:rPr>
          <w:vertAlign w:val="subscript"/>
        </w:rPr>
        <w:t xml:space="preserve">higher_priority_search </w:t>
      </w:r>
      <w:r w:rsidRPr="009C5807">
        <w:t>where T</w:t>
      </w:r>
      <w:r w:rsidRPr="009C5807">
        <w:rPr>
          <w:vertAlign w:val="subscript"/>
        </w:rPr>
        <w:t>higher_priority_search</w:t>
      </w:r>
      <w:r w:rsidRPr="009C5807">
        <w:t xml:space="preserve"> is described in clause </w:t>
      </w:r>
      <w:r w:rsidRPr="00F03957">
        <w:t>4.2B.2.7</w:t>
      </w:r>
      <w:r>
        <w:t>.</w:t>
      </w:r>
    </w:p>
    <w:p w14:paraId="2AF16D88" w14:textId="77777777" w:rsidR="00D808CB" w:rsidRPr="009C5807" w:rsidRDefault="00D808CB" w:rsidP="00D808CB">
      <w:r w:rsidRPr="009C5807">
        <w:t xml:space="preserve">If Srxlev </w:t>
      </w:r>
      <w:r w:rsidRPr="009C5807">
        <w:rPr>
          <w:rFonts w:hint="eastAsia"/>
        </w:rPr>
        <w:t>≤</w:t>
      </w:r>
      <w:r w:rsidRPr="009C5807">
        <w:t xml:space="preserve"> S</w:t>
      </w:r>
      <w:r w:rsidRPr="009C5807">
        <w:rPr>
          <w:vertAlign w:val="subscript"/>
        </w:rPr>
        <w:t>nonIntraSearchP</w:t>
      </w:r>
      <w:r w:rsidRPr="009C5807">
        <w:t xml:space="preserve"> or Squal </w:t>
      </w:r>
      <w:r w:rsidRPr="009C5807">
        <w:rPr>
          <w:rFonts w:hint="eastAsia"/>
        </w:rPr>
        <w:t>≤</w:t>
      </w:r>
      <w:r w:rsidRPr="009C5807">
        <w:t xml:space="preserve"> S</w:t>
      </w:r>
      <w:r w:rsidRPr="009C5807">
        <w:rPr>
          <w:vertAlign w:val="subscript"/>
        </w:rPr>
        <w:t xml:space="preserve">nonIntraSearchQ </w:t>
      </w:r>
      <w:r w:rsidRPr="009C5807">
        <w:t>then the UE shall search for and measure inter-RAT E-UTRAN layers of higher, lower priority in preparation for possible reselection. In this scenario, the minimum rate at which the UE is required to search for and measure higher priority inter-RAT E-UTRAN layers shall be the same as that defined below for lower priority RATs.</w:t>
      </w:r>
    </w:p>
    <w:p w14:paraId="0B03B1A2" w14:textId="77777777" w:rsidR="00D808CB" w:rsidRDefault="00D808CB" w:rsidP="00D808CB">
      <w:pPr>
        <w:rPr>
          <w:rFonts w:cs="v4.2.0"/>
        </w:rPr>
      </w:pPr>
      <w:r w:rsidRPr="00885F53">
        <w:t xml:space="preserve">The requirements in this </w:t>
      </w:r>
      <w:r>
        <w:t>clause</w:t>
      </w:r>
      <w:r w:rsidRPr="00885F53">
        <w:t xml:space="preserve"> apply for inter-RAT E-UTRAN FDD measurements and E-UTRA TDD measurements</w:t>
      </w:r>
      <w:r w:rsidRPr="00885F53">
        <w:rPr>
          <w:lang w:eastAsia="zh-CN"/>
        </w:rPr>
        <w:t xml:space="preserve">. </w:t>
      </w:r>
      <w:r w:rsidRPr="00885F53">
        <w:t xml:space="preserve">When the measurement rules indicate that </w:t>
      </w:r>
      <w:r w:rsidRPr="00885F53">
        <w:rPr>
          <w:lang w:val="en-US" w:eastAsia="zh-CN"/>
        </w:rPr>
        <w:t>inter-RAT E-UTRAN</w:t>
      </w:r>
      <w:r w:rsidRPr="00885F53">
        <w:t xml:space="preserve"> cells are to be measured, the UE shall measure </w:t>
      </w:r>
      <w:r w:rsidRPr="00885F53">
        <w:rPr>
          <w:lang w:eastAsia="zh-CN"/>
        </w:rPr>
        <w:t>RSRP and RSRQ</w:t>
      </w:r>
      <w:r w:rsidRPr="00885F53">
        <w:t xml:space="preserve"> of detected </w:t>
      </w:r>
      <w:r w:rsidRPr="00885F53">
        <w:rPr>
          <w:lang w:eastAsia="zh-CN"/>
        </w:rPr>
        <w:t>E-</w:t>
      </w:r>
      <w:r w:rsidRPr="00885F53">
        <w:t xml:space="preserve">UTRA cells in the neighbour frequency list at the minimum measurement rate specified in this </w:t>
      </w:r>
      <w:r>
        <w:t>clause</w:t>
      </w:r>
      <w:r w:rsidRPr="00885F53">
        <w:t>.</w:t>
      </w:r>
    </w:p>
    <w:p w14:paraId="27C2424F" w14:textId="77777777" w:rsidR="00D808CB" w:rsidRPr="00885F53" w:rsidRDefault="00D808CB" w:rsidP="00D808CB">
      <w:r w:rsidRPr="008C6DE4">
        <w:rPr>
          <w:rFonts w:cs="v4.2.0"/>
        </w:rPr>
        <w:t>The parameter N</w:t>
      </w:r>
      <w:r w:rsidRPr="008C6DE4">
        <w:rPr>
          <w:rFonts w:cs="v4.2.0"/>
          <w:vertAlign w:val="subscript"/>
          <w:lang w:eastAsia="zh-CN"/>
        </w:rPr>
        <w:t>E</w:t>
      </w:r>
      <w:r w:rsidRPr="008C6DE4">
        <w:rPr>
          <w:rFonts w:cs="v4.2.0"/>
          <w:vertAlign w:val="subscript"/>
        </w:rPr>
        <w:t>UTRA_carrier</w:t>
      </w:r>
      <w:r>
        <w:rPr>
          <w:rFonts w:cs="v4.2.0"/>
          <w:vertAlign w:val="subscript"/>
        </w:rPr>
        <w:t>_RedCap</w:t>
      </w:r>
      <w:r w:rsidRPr="008C6DE4">
        <w:rPr>
          <w:rFonts w:cs="v4.2.0"/>
        </w:rPr>
        <w:t xml:space="preserve"> is the total number of configured E-UTRA carriers in the neighbour frequency list. </w:t>
      </w:r>
      <w:r w:rsidRPr="00885F53">
        <w:t xml:space="preserve">The UE shall filter </w:t>
      </w:r>
      <w:r w:rsidRPr="00885F53">
        <w:rPr>
          <w:lang w:eastAsia="zh-CN"/>
        </w:rPr>
        <w:t>RSRP and RSRQ</w:t>
      </w:r>
      <w:r w:rsidRPr="00885F53">
        <w:t xml:space="preserve"> measurements of each measured </w:t>
      </w:r>
      <w:r w:rsidRPr="00885F53">
        <w:rPr>
          <w:lang w:eastAsia="zh-CN"/>
        </w:rPr>
        <w:t>E-</w:t>
      </w:r>
      <w:r w:rsidRPr="00885F53">
        <w:t xml:space="preserve">UTRA cell using at least 2 measurements. </w:t>
      </w:r>
      <w:r w:rsidRPr="008C6DE4">
        <w:rPr>
          <w:rFonts w:cs="v4.2.0"/>
        </w:rPr>
        <w:t>Within the set of measurements used for the filtering, at least two measurements shall be spaced by at least T</w:t>
      </w:r>
      <w:r w:rsidRPr="008C6DE4">
        <w:rPr>
          <w:rFonts w:cs="v4.2.0"/>
          <w:vertAlign w:val="subscript"/>
        </w:rPr>
        <w:t>measure,</w:t>
      </w:r>
      <w:r w:rsidRPr="008C6DE4">
        <w:rPr>
          <w:rFonts w:cs="v4.2.0"/>
          <w:vertAlign w:val="subscript"/>
          <w:lang w:eastAsia="zh-CN"/>
        </w:rPr>
        <w:t>E</w:t>
      </w:r>
      <w:r w:rsidRPr="008C6DE4">
        <w:rPr>
          <w:rFonts w:cs="v4.2.0"/>
          <w:vertAlign w:val="subscript"/>
        </w:rPr>
        <w:t>UTRAN</w:t>
      </w:r>
      <w:r>
        <w:rPr>
          <w:rFonts w:cs="v4.2.0"/>
          <w:vertAlign w:val="subscript"/>
        </w:rPr>
        <w:t>_RedCap</w:t>
      </w:r>
      <w:r w:rsidRPr="008C6DE4">
        <w:rPr>
          <w:rFonts w:cs="v4.2.0"/>
        </w:rPr>
        <w:t>/2.</w:t>
      </w:r>
    </w:p>
    <w:p w14:paraId="62769BDA" w14:textId="77777777" w:rsidR="00D808CB" w:rsidRPr="009C5807" w:rsidRDefault="00D808CB" w:rsidP="00D808CB">
      <w:pPr>
        <w:jc w:val="both"/>
        <w:rPr>
          <w:rFonts w:cs="v4.2.0"/>
        </w:rPr>
      </w:pPr>
      <w:r w:rsidRPr="009C5807">
        <w:rPr>
          <w:rFonts w:cs="v4.2.0"/>
        </w:rPr>
        <w:t>An inter-RAT E-UTRA cell is considered to be detectable provided the following conditions are fulfilled:</w:t>
      </w:r>
    </w:p>
    <w:p w14:paraId="7B45DB26" w14:textId="77777777" w:rsidR="00D808CB" w:rsidRPr="009C5807" w:rsidRDefault="00D808CB" w:rsidP="00D808CB">
      <w:pPr>
        <w:pStyle w:val="B10"/>
      </w:pPr>
      <w:r w:rsidRPr="009C5807">
        <w:t>-</w:t>
      </w:r>
      <w:r w:rsidRPr="009C5807">
        <w:tab/>
        <w:t>the same conditions as for inter-frequency RSRP measurements specified in TS 36.133 [15, Annex B.</w:t>
      </w:r>
      <w:r>
        <w:t>x</w:t>
      </w:r>
      <w:r w:rsidRPr="009C5807">
        <w:t>.</w:t>
      </w:r>
      <w:r>
        <w:t>y</w:t>
      </w:r>
      <w:r w:rsidRPr="009C5807">
        <w:t>] are fulfilled for a corresponding Band, and</w:t>
      </w:r>
    </w:p>
    <w:p w14:paraId="41F542A8" w14:textId="77777777" w:rsidR="00D808CB" w:rsidRPr="009C5807" w:rsidRDefault="00D808CB" w:rsidP="00D808CB">
      <w:pPr>
        <w:pStyle w:val="B10"/>
      </w:pPr>
      <w:r w:rsidRPr="009C5807">
        <w:t>-</w:t>
      </w:r>
      <w:r w:rsidRPr="009C5807">
        <w:tab/>
        <w:t>the same conditions as for inter-frequency RSRQ measurements specified in TS 36.133 [15, Annex B.</w:t>
      </w:r>
      <w:r>
        <w:t>x</w:t>
      </w:r>
      <w:r w:rsidRPr="009C5807">
        <w:t>.</w:t>
      </w:r>
      <w:r>
        <w:t>y</w:t>
      </w:r>
      <w:r w:rsidRPr="009C5807">
        <w:t>] are fulfilled for a corresponding Band.</w:t>
      </w:r>
    </w:p>
    <w:p w14:paraId="790AF8A0" w14:textId="4BEA8908" w:rsidR="00D808CB" w:rsidRPr="009C5807" w:rsidRDefault="009A1D04" w:rsidP="00D808CB">
      <w:pPr>
        <w:pStyle w:val="B10"/>
        <w:rPr>
          <w:rFonts w:cs="v4.2.0"/>
        </w:rPr>
      </w:pPr>
      <w:r w:rsidRPr="009C5807">
        <w:t>-</w:t>
      </w:r>
      <w:r w:rsidRPr="009C5807">
        <w:tab/>
        <w:t>SCH conditions specified in TS 36.133 [15, Annex B.</w:t>
      </w:r>
      <w:r>
        <w:t>1.2</w:t>
      </w:r>
      <w:r w:rsidRPr="009C5807">
        <w:t>] are fulfilled for a corresponding Band</w:t>
      </w:r>
    </w:p>
    <w:p w14:paraId="34F10AE9" w14:textId="77777777" w:rsidR="00D808CB" w:rsidRPr="008C6DE4" w:rsidRDefault="00D808CB" w:rsidP="00D808CB">
      <w:pPr>
        <w:rPr>
          <w:rFonts w:cs="v4.2.0"/>
        </w:rPr>
      </w:pPr>
      <w:r w:rsidRPr="008C6DE4">
        <w:rPr>
          <w:rFonts w:cs="v4.2.0"/>
        </w:rPr>
        <w:t>The UE shall be able to evaluate whether a newly detectable</w:t>
      </w:r>
      <w:r w:rsidRPr="008C6DE4">
        <w:rPr>
          <w:lang w:val="en-US" w:eastAsia="zh-CN"/>
        </w:rPr>
        <w:t xml:space="preserve"> inter-RAT E-UTRAN</w:t>
      </w:r>
      <w:r w:rsidRPr="008C6DE4">
        <w:rPr>
          <w:rFonts w:cs="v4.2.0"/>
        </w:rPr>
        <w:t xml:space="preserve"> cell meets the reselection criteria defined in TS3</w:t>
      </w:r>
      <w:r w:rsidRPr="008C6DE4">
        <w:rPr>
          <w:rFonts w:cs="v4.2.0"/>
          <w:lang w:eastAsia="zh-CN"/>
        </w:rPr>
        <w:t>8</w:t>
      </w:r>
      <w:r w:rsidRPr="008C6DE4">
        <w:rPr>
          <w:rFonts w:cs="v4.2.0"/>
        </w:rPr>
        <w:t>.304</w:t>
      </w:r>
      <w:r>
        <w:rPr>
          <w:rFonts w:cs="v4.2.0"/>
        </w:rPr>
        <w:t xml:space="preserve"> [1]</w:t>
      </w:r>
      <w:r w:rsidRPr="008C6DE4">
        <w:rPr>
          <w:rFonts w:cs="v4.2.0"/>
        </w:rPr>
        <w:t xml:space="preserve"> within </w:t>
      </w:r>
      <w:r w:rsidRPr="008C6DE4">
        <w:t>(N</w:t>
      </w:r>
      <w:r w:rsidRPr="008C6DE4">
        <w:rPr>
          <w:vertAlign w:val="subscript"/>
          <w:lang w:eastAsia="zh-CN"/>
        </w:rPr>
        <w:t>E</w:t>
      </w:r>
      <w:r w:rsidRPr="008C6DE4">
        <w:rPr>
          <w:vertAlign w:val="subscript"/>
        </w:rPr>
        <w:t>UTRA_carrier</w:t>
      </w:r>
      <w:r>
        <w:rPr>
          <w:vertAlign w:val="subscript"/>
        </w:rPr>
        <w:t>_RedCap</w:t>
      </w:r>
      <w:r w:rsidRPr="008C6DE4">
        <w:t>)</w:t>
      </w:r>
      <w:r w:rsidRPr="008C6DE4">
        <w:rPr>
          <w:rFonts w:cs="v4.2.0"/>
        </w:rPr>
        <w:t xml:space="preserve"> * </w:t>
      </w:r>
      <w:r w:rsidRPr="008C6DE4">
        <w:t>T</w:t>
      </w:r>
      <w:r w:rsidRPr="008C6DE4">
        <w:rPr>
          <w:vertAlign w:val="subscript"/>
        </w:rPr>
        <w:t>detect,</w:t>
      </w:r>
      <w:r w:rsidRPr="008C6DE4">
        <w:rPr>
          <w:vertAlign w:val="subscript"/>
          <w:lang w:eastAsia="zh-CN"/>
        </w:rPr>
        <w:t>E</w:t>
      </w:r>
      <w:r w:rsidRPr="008C6DE4">
        <w:rPr>
          <w:vertAlign w:val="subscript"/>
        </w:rPr>
        <w:t>UTRAN</w:t>
      </w:r>
      <w:r>
        <w:rPr>
          <w:vertAlign w:val="subscript"/>
        </w:rPr>
        <w:t>_RedCap</w:t>
      </w:r>
      <w:r w:rsidRPr="008C6DE4">
        <w:rPr>
          <w:rFonts w:cs="v4.2.0"/>
        </w:rPr>
        <w:t xml:space="preserve"> </w:t>
      </w:r>
      <w:r w:rsidRPr="008C6DE4">
        <w:t xml:space="preserve">when Srxlev </w:t>
      </w:r>
      <w:r w:rsidRPr="008C6DE4">
        <w:rPr>
          <w:rFonts w:hint="eastAsia"/>
        </w:rPr>
        <w:t>≤</w:t>
      </w:r>
      <w:r w:rsidRPr="008C6DE4">
        <w:t xml:space="preserve"> S</w:t>
      </w:r>
      <w:r w:rsidRPr="008C6DE4">
        <w:rPr>
          <w:vertAlign w:val="subscript"/>
        </w:rPr>
        <w:t>nonIntraSearchP</w:t>
      </w:r>
      <w:r w:rsidRPr="008C6DE4">
        <w:t xml:space="preserve"> or Squal </w:t>
      </w:r>
      <w:r w:rsidRPr="008C6DE4">
        <w:rPr>
          <w:rFonts w:hint="eastAsia"/>
        </w:rPr>
        <w:t>≤</w:t>
      </w:r>
      <w:r w:rsidRPr="008C6DE4">
        <w:t xml:space="preserve"> S</w:t>
      </w:r>
      <w:r w:rsidRPr="008C6DE4">
        <w:rPr>
          <w:vertAlign w:val="subscript"/>
        </w:rPr>
        <w:t>nonIntraSearchQ</w:t>
      </w:r>
      <w:r w:rsidRPr="008C6DE4">
        <w:t xml:space="preserve"> </w:t>
      </w:r>
      <w:r w:rsidRPr="008C6DE4">
        <w:rPr>
          <w:rFonts w:cs="v4.2.0"/>
        </w:rPr>
        <w:t xml:space="preserve">when </w:t>
      </w:r>
      <w:r w:rsidRPr="008C6DE4">
        <w:t>T</w:t>
      </w:r>
      <w:r w:rsidRPr="008C6DE4">
        <w:rPr>
          <w:vertAlign w:val="subscript"/>
        </w:rPr>
        <w:t>reselection</w:t>
      </w:r>
      <w:r w:rsidRPr="008C6DE4">
        <w:rPr>
          <w:rFonts w:cs="v4.2.0"/>
        </w:rPr>
        <w:t xml:space="preserve"> = 0</w:t>
      </w:r>
      <w:r w:rsidRPr="008C6DE4">
        <w:t xml:space="preserve"> </w:t>
      </w:r>
      <w:r w:rsidRPr="008C6DE4">
        <w:rPr>
          <w:rFonts w:cs="v4.2.0"/>
        </w:rPr>
        <w:t xml:space="preserve">provided that the reselection criteria </w:t>
      </w:r>
      <w:r>
        <w:rPr>
          <w:rFonts w:cs="v4.2.0"/>
        </w:rPr>
        <w:t>are</w:t>
      </w:r>
      <w:r w:rsidRPr="008C6DE4">
        <w:rPr>
          <w:rFonts w:cs="v4.2.0"/>
        </w:rPr>
        <w:t xml:space="preserve"> met by a margin of</w:t>
      </w:r>
      <w:r w:rsidRPr="008C6DE4">
        <w:rPr>
          <w:rFonts w:cs="v4.2.0"/>
          <w:lang w:eastAsia="zh-CN"/>
        </w:rPr>
        <w:t xml:space="preserve"> </w:t>
      </w:r>
      <w:r w:rsidRPr="008C6DE4">
        <w:rPr>
          <w:rFonts w:cs="v4.2.0"/>
        </w:rPr>
        <w:t>at least 6dB for RSRP reselections based on absolute priorities or 4dB for RSRQ reselections based on absolute priorities</w:t>
      </w:r>
      <w:r>
        <w:rPr>
          <w:rFonts w:cs="v4.2.0"/>
        </w:rPr>
        <w:t xml:space="preserve"> for 2 Rx RedCap and </w:t>
      </w:r>
      <w:r w:rsidRPr="008C6DE4">
        <w:rPr>
          <w:rFonts w:cs="v4.2.0"/>
        </w:rPr>
        <w:t xml:space="preserve">at least </w:t>
      </w:r>
      <w:r>
        <w:rPr>
          <w:rFonts w:cs="v4.2.0"/>
        </w:rPr>
        <w:t>[</w:t>
      </w:r>
      <w:r w:rsidRPr="008C6DE4">
        <w:rPr>
          <w:rFonts w:cs="v4.2.0"/>
        </w:rPr>
        <w:t>6dB</w:t>
      </w:r>
      <w:r>
        <w:rPr>
          <w:rFonts w:cs="v4.2.0"/>
        </w:rPr>
        <w:t>]</w:t>
      </w:r>
      <w:r w:rsidRPr="008C6DE4">
        <w:rPr>
          <w:rFonts w:cs="v4.2.0"/>
        </w:rPr>
        <w:t xml:space="preserve"> for RSRP reselections based on absolute priorities or </w:t>
      </w:r>
      <w:r>
        <w:rPr>
          <w:rFonts w:cs="v4.2.0"/>
        </w:rPr>
        <w:t>[</w:t>
      </w:r>
      <w:r w:rsidRPr="008C6DE4">
        <w:rPr>
          <w:rFonts w:cs="v4.2.0"/>
        </w:rPr>
        <w:t>4dB</w:t>
      </w:r>
      <w:r>
        <w:rPr>
          <w:rFonts w:cs="v4.2.0"/>
        </w:rPr>
        <w:t>]</w:t>
      </w:r>
      <w:r w:rsidRPr="008C6DE4">
        <w:rPr>
          <w:rFonts w:cs="v4.2.0"/>
        </w:rPr>
        <w:t xml:space="preserve"> for RSRQ reselections based on absolute priorities</w:t>
      </w:r>
      <w:r>
        <w:rPr>
          <w:rFonts w:cs="v4.2.0"/>
        </w:rPr>
        <w:t xml:space="preserve"> for 1 Rx RedCap</w:t>
      </w:r>
      <w:r w:rsidRPr="008C6DE4">
        <w:rPr>
          <w:rFonts w:cs="v4.2.0"/>
          <w:lang w:eastAsia="zh-CN"/>
        </w:rPr>
        <w:t>.</w:t>
      </w:r>
    </w:p>
    <w:p w14:paraId="1E3C5EFE" w14:textId="77777777" w:rsidR="00D808CB" w:rsidRPr="008C6DE4" w:rsidRDefault="00D808CB" w:rsidP="00D808CB">
      <w:pPr>
        <w:jc w:val="both"/>
        <w:rPr>
          <w:rFonts w:cs="v4.2.0"/>
        </w:rPr>
      </w:pPr>
      <w:r w:rsidRPr="008C6DE4">
        <w:rPr>
          <w:rFonts w:cs="v4.2.0"/>
        </w:rPr>
        <w:t>Cells which have been detected shall be measured at least every (N</w:t>
      </w:r>
      <w:r w:rsidRPr="008C6DE4">
        <w:rPr>
          <w:rFonts w:cs="v4.2.0"/>
          <w:vertAlign w:val="subscript"/>
          <w:lang w:eastAsia="zh-CN"/>
        </w:rPr>
        <w:t>E</w:t>
      </w:r>
      <w:r w:rsidRPr="008C6DE4">
        <w:rPr>
          <w:rFonts w:cs="v4.2.0"/>
          <w:vertAlign w:val="subscript"/>
        </w:rPr>
        <w:t>UTRA_carrier</w:t>
      </w:r>
      <w:r>
        <w:rPr>
          <w:rFonts w:cs="v4.2.0"/>
          <w:vertAlign w:val="subscript"/>
        </w:rPr>
        <w:t>_RedCap</w:t>
      </w:r>
      <w:r w:rsidRPr="008C6DE4">
        <w:rPr>
          <w:rFonts w:cs="v4.2.0"/>
        </w:rPr>
        <w:t>) * T</w:t>
      </w:r>
      <w:r w:rsidRPr="008C6DE4">
        <w:rPr>
          <w:rFonts w:cs="v4.2.0"/>
          <w:vertAlign w:val="subscript"/>
        </w:rPr>
        <w:t>measure,</w:t>
      </w:r>
      <w:r w:rsidRPr="008C6DE4">
        <w:rPr>
          <w:rFonts w:cs="v4.2.0"/>
          <w:vertAlign w:val="subscript"/>
          <w:lang w:eastAsia="zh-CN"/>
        </w:rPr>
        <w:t>E</w:t>
      </w:r>
      <w:r w:rsidRPr="008C6DE4">
        <w:rPr>
          <w:rFonts w:cs="v4.2.0"/>
          <w:vertAlign w:val="subscript"/>
        </w:rPr>
        <w:t>UTRAN</w:t>
      </w:r>
      <w:r>
        <w:rPr>
          <w:rFonts w:cs="v4.2.0"/>
          <w:vertAlign w:val="subscript"/>
        </w:rPr>
        <w:t>_RedCap</w:t>
      </w:r>
      <w:r w:rsidRPr="008C6DE4">
        <w:rPr>
          <w:rFonts w:cs="v4.2.0"/>
        </w:rPr>
        <w:t xml:space="preserve"> when </w:t>
      </w:r>
      <w:r w:rsidRPr="008C6DE4">
        <w:t xml:space="preserve">Srxlev </w:t>
      </w:r>
      <w:r w:rsidRPr="008C6DE4">
        <w:rPr>
          <w:rFonts w:hint="eastAsia"/>
        </w:rPr>
        <w:t>≤</w:t>
      </w:r>
      <w:r w:rsidRPr="008C6DE4">
        <w:t xml:space="preserve"> S</w:t>
      </w:r>
      <w:r w:rsidRPr="008C6DE4">
        <w:rPr>
          <w:vertAlign w:val="subscript"/>
        </w:rPr>
        <w:t>nonIntraSearchP</w:t>
      </w:r>
      <w:r w:rsidRPr="008C6DE4">
        <w:t xml:space="preserve"> or Squal </w:t>
      </w:r>
      <w:r w:rsidRPr="008C6DE4">
        <w:rPr>
          <w:rFonts w:hint="eastAsia"/>
        </w:rPr>
        <w:t>≤</w:t>
      </w:r>
      <w:r w:rsidRPr="008C6DE4">
        <w:t xml:space="preserve"> S</w:t>
      </w:r>
      <w:r w:rsidRPr="008C6DE4">
        <w:rPr>
          <w:vertAlign w:val="subscript"/>
        </w:rPr>
        <w:t>nonIntraSearchQ</w:t>
      </w:r>
      <w:r w:rsidRPr="008C6DE4">
        <w:rPr>
          <w:rFonts w:cs="v4.2.0"/>
        </w:rPr>
        <w:t>.</w:t>
      </w:r>
    </w:p>
    <w:p w14:paraId="0D1501A8" w14:textId="77777777" w:rsidR="00D808CB" w:rsidRPr="00AB6229" w:rsidRDefault="00D808CB" w:rsidP="00D808CB">
      <w:r w:rsidRPr="009C5807">
        <w:t xml:space="preserve">When higher priority cells are found by the higher priority search, they shall be measured at least every </w:t>
      </w:r>
      <w:r w:rsidRPr="009C5807">
        <w:rPr>
          <w:rFonts w:cs="v4.2.0"/>
        </w:rPr>
        <w:t>T</w:t>
      </w:r>
      <w:r w:rsidRPr="009C5807">
        <w:rPr>
          <w:rFonts w:cs="v4.2.0"/>
          <w:vertAlign w:val="subscript"/>
        </w:rPr>
        <w:t>measure,</w:t>
      </w:r>
      <w:r w:rsidRPr="009C5807">
        <w:rPr>
          <w:rFonts w:cs="v4.2.0"/>
          <w:vertAlign w:val="subscript"/>
          <w:lang w:eastAsia="zh-CN"/>
        </w:rPr>
        <w:t>E</w:t>
      </w:r>
      <w:r w:rsidRPr="009C5807">
        <w:rPr>
          <w:rFonts w:cs="v4.2.0"/>
          <w:vertAlign w:val="subscript"/>
        </w:rPr>
        <w:t>UTRAN</w:t>
      </w:r>
      <w:r>
        <w:rPr>
          <w:rFonts w:cs="v4.2.0"/>
          <w:vertAlign w:val="subscript"/>
        </w:rPr>
        <w:t>_RedCap</w:t>
      </w:r>
      <w:r w:rsidRPr="009C5807">
        <w:t xml:space="preserve">. If, after detecting a cell in a higher priority search, it is determined that reselection has not occurred then the UE is not required to continuously measure the detected cell to evaluate the ongoing possibility of reselection. However, the </w:t>
      </w:r>
      <w:r w:rsidRPr="005A4EEC">
        <w:t xml:space="preserve">minimum measurement filtering requirements specified later in this clause shall still be met by the UE before it makes any </w:t>
      </w:r>
      <w:r w:rsidRPr="00251038">
        <w:t>determination that it may stop measuring the cell.</w:t>
      </w:r>
    </w:p>
    <w:p w14:paraId="79ED332A" w14:textId="77777777" w:rsidR="00D808CB" w:rsidRPr="005A4EEC" w:rsidRDefault="00D808CB" w:rsidP="00D808CB">
      <w:r w:rsidRPr="00AA3CB0">
        <w:t>If the UE detects on an inter-RAT E-UTRAN carrier a cell whose physical identity is indicated as not allowed for that carrier in the measurement control system information of the serving cell, the UE is not required to perform measurements on that cell.</w:t>
      </w:r>
    </w:p>
    <w:p w14:paraId="1BD0C7BF" w14:textId="77777777" w:rsidR="00D808CB" w:rsidRPr="005A4EEC" w:rsidRDefault="00D808CB" w:rsidP="00D808CB">
      <w:pPr>
        <w:rPr>
          <w:rFonts w:cs="v4.2.0"/>
        </w:rPr>
      </w:pPr>
      <w:r w:rsidRPr="00AA3CB0">
        <w:t xml:space="preserve">The UE shall not consider an </w:t>
      </w:r>
      <w:r w:rsidRPr="00AA3CB0">
        <w:rPr>
          <w:lang w:val="en-US" w:eastAsia="zh-CN"/>
        </w:rPr>
        <w:t xml:space="preserve">inter-RAT </w:t>
      </w:r>
      <w:r w:rsidRPr="00AA3CB0">
        <w:t>E-UTRA cell in cell reselection, if it is indicated as not allowed in the measurement control system information of the serving cell.</w:t>
      </w:r>
    </w:p>
    <w:p w14:paraId="338BBD09" w14:textId="3661F465" w:rsidR="00D808CB" w:rsidRPr="008C6DE4" w:rsidRDefault="00AA3655" w:rsidP="00D808CB">
      <w:pPr>
        <w:rPr>
          <w:rFonts w:cs="v4.2.0"/>
          <w:lang w:eastAsia="zh-CN"/>
        </w:rPr>
      </w:pPr>
      <w:r w:rsidRPr="00B33AC1">
        <w:rPr>
          <w:rFonts w:cs="v4.2.0"/>
        </w:rPr>
        <w:t>For a cell that has been already detected, but that has not been reselected</w:t>
      </w:r>
      <w:r w:rsidRPr="008C6DE4">
        <w:rPr>
          <w:rFonts w:cs="v4.2.0"/>
        </w:rPr>
        <w:t xml:space="preserve"> to, the filtering shall be such that the UE shall be capable of evaluating that an already identified </w:t>
      </w:r>
      <w:r w:rsidRPr="008C6DE4">
        <w:rPr>
          <w:rFonts w:cs="v4.2.0"/>
          <w:lang w:eastAsia="zh-CN"/>
        </w:rPr>
        <w:t>inter-RAT E-</w:t>
      </w:r>
      <w:r w:rsidRPr="008C6DE4">
        <w:rPr>
          <w:rFonts w:cs="v4.2.0"/>
        </w:rPr>
        <w:t>UTRA cell has met reselection criterion defined in TS 3</w:t>
      </w:r>
      <w:r w:rsidRPr="008C6DE4">
        <w:rPr>
          <w:rFonts w:cs="v4.2.0"/>
          <w:lang w:eastAsia="zh-CN"/>
        </w:rPr>
        <w:t>8</w:t>
      </w:r>
      <w:r w:rsidRPr="008C6DE4">
        <w:rPr>
          <w:rFonts w:cs="v4.2.0"/>
        </w:rPr>
        <w:t>.304 [1] within (N</w:t>
      </w:r>
      <w:r w:rsidRPr="008C6DE4">
        <w:rPr>
          <w:rFonts w:cs="v4.2.0"/>
          <w:vertAlign w:val="subscript"/>
          <w:lang w:eastAsia="zh-CN"/>
        </w:rPr>
        <w:t>E</w:t>
      </w:r>
      <w:r w:rsidRPr="008C6DE4">
        <w:rPr>
          <w:rFonts w:cs="v4.2.0"/>
          <w:vertAlign w:val="subscript"/>
        </w:rPr>
        <w:t>UTRA_carrier</w:t>
      </w:r>
      <w:r>
        <w:rPr>
          <w:rFonts w:cs="v4.2.0"/>
          <w:vertAlign w:val="subscript"/>
        </w:rPr>
        <w:t>_RedCap</w:t>
      </w:r>
      <w:r w:rsidRPr="008C6DE4">
        <w:rPr>
          <w:rFonts w:cs="v4.2.0"/>
        </w:rPr>
        <w:t>) * T</w:t>
      </w:r>
      <w:r w:rsidRPr="008C6DE4">
        <w:rPr>
          <w:rFonts w:cs="v4.2.0"/>
          <w:vertAlign w:val="subscript"/>
        </w:rPr>
        <w:t>evaluate,</w:t>
      </w:r>
      <w:r w:rsidRPr="008C6DE4">
        <w:rPr>
          <w:rFonts w:cs="v4.2.0"/>
          <w:vertAlign w:val="subscript"/>
          <w:lang w:eastAsia="zh-CN"/>
        </w:rPr>
        <w:t>E</w:t>
      </w:r>
      <w:r w:rsidRPr="008C6DE4">
        <w:rPr>
          <w:rFonts w:cs="v4.2.0"/>
          <w:vertAlign w:val="subscript"/>
        </w:rPr>
        <w:t>UTRAN</w:t>
      </w:r>
      <w:r>
        <w:rPr>
          <w:rFonts w:cs="v4.2.0"/>
          <w:vertAlign w:val="subscript"/>
        </w:rPr>
        <w:t>_RedCap</w:t>
      </w:r>
      <w:r w:rsidRPr="008C6DE4">
        <w:rPr>
          <w:rFonts w:cs="v4.2.0"/>
        </w:rPr>
        <w:t xml:space="preserve"> when T</w:t>
      </w:r>
      <w:r w:rsidRPr="008C6DE4">
        <w:rPr>
          <w:rFonts w:cs="v4.2.0"/>
          <w:vertAlign w:val="subscript"/>
        </w:rPr>
        <w:t>reselection</w:t>
      </w:r>
      <w:r w:rsidRPr="008C6DE4">
        <w:rPr>
          <w:rFonts w:cs="v4.2.0"/>
        </w:rPr>
        <w:t xml:space="preserve"> = 0</w:t>
      </w:r>
      <w:r w:rsidRPr="008C6DE4">
        <w:rPr>
          <w:rFonts w:cs="v4.2.0"/>
          <w:i/>
          <w:vertAlign w:val="subscript"/>
        </w:rPr>
        <w:t xml:space="preserve"> </w:t>
      </w:r>
      <w:r w:rsidRPr="008C6DE4">
        <w:rPr>
          <w:rFonts w:cs="v4.2.0"/>
        </w:rPr>
        <w:t xml:space="preserve">provided that the reselection criteria </w:t>
      </w:r>
      <w:r>
        <w:rPr>
          <w:rFonts w:cs="v4.2.0"/>
        </w:rPr>
        <w:t>are</w:t>
      </w:r>
      <w:r w:rsidRPr="008C6DE4">
        <w:rPr>
          <w:rFonts w:cs="v4.2.0"/>
        </w:rPr>
        <w:t xml:space="preserve"> met by a margin of at least 6dB for RSRP reselections based on absolute priorities or 4dB for RSRQ reselections based on absolute priorities</w:t>
      </w:r>
      <w:r>
        <w:rPr>
          <w:rFonts w:cs="v4.2.0"/>
        </w:rPr>
        <w:t xml:space="preserve"> for 2 Rx RedCap and </w:t>
      </w:r>
      <w:r w:rsidRPr="008C6DE4">
        <w:rPr>
          <w:rFonts w:cs="v4.2.0"/>
        </w:rPr>
        <w:t>at least 6dB for RSRP reselections based on absolute priorities or 4dB for RSRQ reselections based on absolute priorities</w:t>
      </w:r>
      <w:r>
        <w:rPr>
          <w:rFonts w:cs="v4.2.0"/>
        </w:rPr>
        <w:t xml:space="preserve"> for 1 Rx RedCap</w:t>
      </w:r>
      <w:r w:rsidRPr="008C6DE4">
        <w:rPr>
          <w:rFonts w:cs="v4.2.0"/>
        </w:rPr>
        <w:t>.</w:t>
      </w:r>
    </w:p>
    <w:p w14:paraId="12DFC329" w14:textId="77777777" w:rsidR="00D808CB" w:rsidRDefault="00D808CB" w:rsidP="00D808CB">
      <w:pPr>
        <w:rPr>
          <w:rFonts w:cs="v3.7.0"/>
        </w:rPr>
      </w:pPr>
      <w:r w:rsidRPr="009C5807">
        <w:rPr>
          <w:rFonts w:cs="v3.7.0"/>
        </w:rPr>
        <w:t xml:space="preserve">If </w:t>
      </w:r>
      <w:r w:rsidRPr="009C5807">
        <w:rPr>
          <w:rFonts w:cs="v4.2.0"/>
        </w:rPr>
        <w:t>T</w:t>
      </w:r>
      <w:r w:rsidRPr="009C5807">
        <w:rPr>
          <w:rFonts w:cs="v4.2.0"/>
          <w:vertAlign w:val="subscript"/>
        </w:rPr>
        <w:t>reselection</w:t>
      </w:r>
      <w:r w:rsidRPr="009C5807">
        <w:rPr>
          <w:rFonts w:cs="v3.7.0"/>
        </w:rPr>
        <w:t xml:space="preserve"> timer has a non</w:t>
      </w:r>
      <w:r>
        <w:rPr>
          <w:rFonts w:cs="v3.7.0"/>
        </w:rPr>
        <w:t>-</w:t>
      </w:r>
      <w:r w:rsidRPr="009C5807">
        <w:rPr>
          <w:rFonts w:cs="v3.7.0"/>
        </w:rPr>
        <w:t xml:space="preserve">zero value and the </w:t>
      </w:r>
      <w:r w:rsidRPr="009C5807">
        <w:rPr>
          <w:rFonts w:cs="v4.2.0"/>
          <w:lang w:eastAsia="zh-CN"/>
        </w:rPr>
        <w:t>inter-RAT E-</w:t>
      </w:r>
      <w:r w:rsidRPr="009C5807">
        <w:rPr>
          <w:rFonts w:cs="v4.2.0"/>
        </w:rPr>
        <w:t>UTRA</w:t>
      </w:r>
      <w:r w:rsidRPr="009C5807">
        <w:rPr>
          <w:rFonts w:cs="v3.7.0"/>
        </w:rPr>
        <w:t xml:space="preserve"> cell is satisfied with the reselection criteria which are defined in </w:t>
      </w:r>
      <w:r w:rsidRPr="009C5807">
        <w:t>TS 38.304</w:t>
      </w:r>
      <w:r w:rsidRPr="009C5807">
        <w:rPr>
          <w:rFonts w:cs="v4.2.0"/>
        </w:rPr>
        <w:t> </w:t>
      </w:r>
      <w:r w:rsidRPr="009C5807">
        <w:rPr>
          <w:rFonts w:cs="v3.7.0"/>
        </w:rPr>
        <w:t xml:space="preserve">[1], the UE shall evaluate this </w:t>
      </w:r>
      <w:r w:rsidRPr="009C5807">
        <w:rPr>
          <w:rFonts w:cs="v3.7.0"/>
          <w:lang w:eastAsia="zh-CN"/>
        </w:rPr>
        <w:t>E-</w:t>
      </w:r>
      <w:r w:rsidRPr="009C5807">
        <w:rPr>
          <w:rFonts w:cs="v3.7.0"/>
        </w:rPr>
        <w:t xml:space="preserve">UTRA cell for the </w:t>
      </w:r>
      <w:r w:rsidRPr="009C5807">
        <w:rPr>
          <w:rFonts w:cs="v4.2.0"/>
        </w:rPr>
        <w:t>T</w:t>
      </w:r>
      <w:r w:rsidRPr="009C5807">
        <w:rPr>
          <w:rFonts w:cs="v4.2.0"/>
          <w:vertAlign w:val="subscript"/>
        </w:rPr>
        <w:t>reselection</w:t>
      </w:r>
      <w:r w:rsidRPr="009C5807">
        <w:rPr>
          <w:rFonts w:cs="v3.7.0"/>
        </w:rPr>
        <w:t xml:space="preserve"> time. If this cell remains satisfied with the reselection criteria within this duration, then the UE shall reselect that cell.</w:t>
      </w:r>
    </w:p>
    <w:p w14:paraId="2E66002D" w14:textId="66E99DE8" w:rsidR="00AA3655" w:rsidRPr="00BE54BE" w:rsidRDefault="00AA3655" w:rsidP="00AA3655">
      <w:pPr>
        <w:rPr>
          <w:rFonts w:cs="v4.2.0"/>
          <w:lang w:eastAsia="zh-CN"/>
        </w:rPr>
      </w:pPr>
      <w:r w:rsidRPr="00691C10">
        <w:rPr>
          <w:rFonts w:cs="v4.2.0"/>
          <w:lang w:eastAsia="zh-CN"/>
        </w:rPr>
        <w:t xml:space="preserve">For </w:t>
      </w:r>
      <w:r>
        <w:rPr>
          <w:rFonts w:cs="v4.2.0"/>
          <w:lang w:eastAsia="zh-CN"/>
        </w:rPr>
        <w:t xml:space="preserve">1 Rx RedCap and 2 Rx RedCap </w:t>
      </w:r>
      <w:r w:rsidRPr="00691C10">
        <w:rPr>
          <w:rFonts w:cs="v4.2.0"/>
          <w:lang w:eastAsia="zh-CN"/>
        </w:rPr>
        <w:t xml:space="preserve">not configured with </w:t>
      </w:r>
      <w:r w:rsidRPr="00BE54BE">
        <w:rPr>
          <w:rFonts w:cs="v4.2.0"/>
          <w:lang w:eastAsia="zh-CN"/>
        </w:rPr>
        <w:t xml:space="preserve">eDRX_IDLE cycle, </w:t>
      </w:r>
      <w:r w:rsidRPr="00BE54BE">
        <w:t>T</w:t>
      </w:r>
      <w:r w:rsidRPr="00BE54BE">
        <w:rPr>
          <w:vertAlign w:val="subscript"/>
        </w:rPr>
        <w:t>detect,EUTRAN_RedCap,</w:t>
      </w:r>
      <w:r w:rsidRPr="00BE54BE">
        <w:t xml:space="preserve"> T</w:t>
      </w:r>
      <w:r w:rsidRPr="00BE54BE">
        <w:rPr>
          <w:vertAlign w:val="subscript"/>
        </w:rPr>
        <w:t xml:space="preserve">measure,EUTRAN_RedCap </w:t>
      </w:r>
      <w:r w:rsidRPr="00BE54BE">
        <w:t>and T</w:t>
      </w:r>
      <w:r w:rsidRPr="00BE54BE">
        <w:rPr>
          <w:vertAlign w:val="subscript"/>
        </w:rPr>
        <w:t xml:space="preserve">evaluate, E-UTRAN_RedCap </w:t>
      </w:r>
      <w:r w:rsidRPr="00BE54BE">
        <w:rPr>
          <w:rFonts w:cs="v4.2.0"/>
          <w:lang w:eastAsia="zh-CN"/>
        </w:rPr>
        <w:t xml:space="preserve">are specified in </w:t>
      </w:r>
      <w:r w:rsidRPr="00BE54BE">
        <w:rPr>
          <w:snapToGrid w:val="0"/>
        </w:rPr>
        <w:t>Table 4.2B.2.5-1</w:t>
      </w:r>
      <w:r w:rsidRPr="00BE54BE">
        <w:rPr>
          <w:rFonts w:cs="v4.2.0"/>
        </w:rPr>
        <w:t>.</w:t>
      </w:r>
      <w:r w:rsidRPr="00BE54BE">
        <w:rPr>
          <w:rFonts w:cs="v4.2.0"/>
          <w:lang w:eastAsia="zh-CN"/>
        </w:rPr>
        <w:t xml:space="preserve"> </w:t>
      </w:r>
    </w:p>
    <w:p w14:paraId="40654D45" w14:textId="1A2194AB" w:rsidR="00D808CB" w:rsidRPr="00691C10" w:rsidRDefault="00AA3655" w:rsidP="00AA3655">
      <w:pPr>
        <w:rPr>
          <w:rFonts w:cs="v4.2.0"/>
          <w:lang w:eastAsia="zh-CN"/>
        </w:rPr>
      </w:pPr>
      <w:r w:rsidRPr="00BE54BE">
        <w:rPr>
          <w:rFonts w:cs="v4.2.0"/>
          <w:lang w:eastAsia="zh-CN"/>
        </w:rPr>
        <w:t xml:space="preserve">For 1 Rx RedCap and 2 Rx RedCap configured with eDRX_IDLE cycle, </w:t>
      </w:r>
      <w:r w:rsidRPr="00BE54BE">
        <w:t>T</w:t>
      </w:r>
      <w:r w:rsidRPr="00BE54BE">
        <w:rPr>
          <w:vertAlign w:val="subscript"/>
        </w:rPr>
        <w:t>detect,EUTRAN_RedCap,</w:t>
      </w:r>
      <w:r w:rsidRPr="00BE54BE">
        <w:t xml:space="preserve"> T</w:t>
      </w:r>
      <w:r w:rsidRPr="00BE54BE">
        <w:rPr>
          <w:vertAlign w:val="subscript"/>
        </w:rPr>
        <w:t xml:space="preserve">measure,EUTRAN_RedCap </w:t>
      </w:r>
      <w:r w:rsidRPr="00BE54BE">
        <w:t>and T</w:t>
      </w:r>
      <w:r w:rsidRPr="00BE54BE">
        <w:rPr>
          <w:vertAlign w:val="subscript"/>
        </w:rPr>
        <w:t>evaluate, E-UTRAN_RedCap</w:t>
      </w:r>
      <w:r w:rsidRPr="00BE54BE">
        <w:rPr>
          <w:rFonts w:cs="v4.2.0"/>
          <w:lang w:eastAsia="zh-CN"/>
        </w:rPr>
        <w:t xml:space="preserve"> are specified in </w:t>
      </w:r>
      <w:r w:rsidRPr="00BE54BE">
        <w:rPr>
          <w:snapToGrid w:val="0"/>
        </w:rPr>
        <w:t>Table 4.2B.2.5-2</w:t>
      </w:r>
      <w:r w:rsidRPr="00BE54BE">
        <w:rPr>
          <w:rFonts w:cs="v4.2.0"/>
          <w:lang w:eastAsia="zh-CN"/>
        </w:rPr>
        <w:t>, where the requirements apply provided</w:t>
      </w:r>
      <w:r w:rsidRPr="00691C10">
        <w:rPr>
          <w:rFonts w:cs="v4.2.0"/>
          <w:lang w:eastAsia="zh-CN"/>
        </w:rPr>
        <w:t xml:space="preserve"> that the serving cell is </w:t>
      </w:r>
      <w:r w:rsidRPr="00691C10">
        <w:rPr>
          <w:rFonts w:cs="v4.2.0"/>
        </w:rPr>
        <w:t xml:space="preserve">configured with eDRX_IDLE and is </w:t>
      </w:r>
      <w:r w:rsidRPr="00691C10">
        <w:rPr>
          <w:rFonts w:cs="v4.2.0"/>
          <w:lang w:eastAsia="zh-CN"/>
        </w:rPr>
        <w:t xml:space="preserve">the same in all PTWs during any of </w:t>
      </w:r>
      <w:r w:rsidRPr="00691C10">
        <w:t>T</w:t>
      </w:r>
      <w:r w:rsidRPr="00691C10">
        <w:rPr>
          <w:vertAlign w:val="subscript"/>
        </w:rPr>
        <w:t>detect,EUTRAN_</w:t>
      </w:r>
      <w:r>
        <w:rPr>
          <w:vertAlign w:val="subscript"/>
        </w:rPr>
        <w:t>RedCap</w:t>
      </w:r>
      <w:r w:rsidRPr="00691C10">
        <w:rPr>
          <w:vertAlign w:val="subscript"/>
        </w:rPr>
        <w:t>,</w:t>
      </w:r>
      <w:r w:rsidRPr="00691C10">
        <w:t xml:space="preserve"> T</w:t>
      </w:r>
      <w:r w:rsidRPr="00691C10">
        <w:rPr>
          <w:vertAlign w:val="subscript"/>
        </w:rPr>
        <w:t>measure,EUTRAN_</w:t>
      </w:r>
      <w:r>
        <w:rPr>
          <w:vertAlign w:val="subscript"/>
        </w:rPr>
        <w:t>RedCap</w:t>
      </w:r>
      <w:r w:rsidRPr="00691C10">
        <w:rPr>
          <w:vertAlign w:val="subscript"/>
        </w:rPr>
        <w:t xml:space="preserve"> </w:t>
      </w:r>
      <w:r w:rsidRPr="00691C10">
        <w:t>and T</w:t>
      </w:r>
      <w:r w:rsidRPr="00691C10">
        <w:rPr>
          <w:vertAlign w:val="subscript"/>
        </w:rPr>
        <w:t>evaluate, E-UTRAN_</w:t>
      </w:r>
      <w:r>
        <w:rPr>
          <w:vertAlign w:val="subscript"/>
        </w:rPr>
        <w:t>RedCap</w:t>
      </w:r>
      <w:r w:rsidRPr="00691C10">
        <w:t xml:space="preserve"> when multiple PTWs are used.</w:t>
      </w:r>
    </w:p>
    <w:p w14:paraId="095214A1" w14:textId="2B5BB79B" w:rsidR="00D808CB" w:rsidRPr="009C5807" w:rsidRDefault="00D808CB" w:rsidP="00D808CB">
      <w:pPr>
        <w:pStyle w:val="TH"/>
        <w:rPr>
          <w:rFonts w:cs="v4.2.0"/>
          <w:vertAlign w:val="subscript"/>
          <w:lang w:eastAsia="zh-CN"/>
        </w:rPr>
      </w:pPr>
      <w:r w:rsidRPr="009C5807">
        <w:rPr>
          <w:snapToGrid w:val="0"/>
        </w:rPr>
        <w:t>Table 4.2</w:t>
      </w:r>
      <w:r>
        <w:rPr>
          <w:snapToGrid w:val="0"/>
        </w:rPr>
        <w:t>B</w:t>
      </w:r>
      <w:r w:rsidRPr="009C5807">
        <w:rPr>
          <w:snapToGrid w:val="0"/>
        </w:rPr>
        <w:t xml:space="preserve">.2.5-1: </w:t>
      </w:r>
      <w:r w:rsidR="00AA3655" w:rsidRPr="009C5807">
        <w:t>T</w:t>
      </w:r>
      <w:r w:rsidR="00AA3655" w:rsidRPr="009C5807">
        <w:rPr>
          <w:vertAlign w:val="subscript"/>
        </w:rPr>
        <w:t>detect,</w:t>
      </w:r>
      <w:r w:rsidR="00AA3655" w:rsidRPr="009C5807">
        <w:rPr>
          <w:vertAlign w:val="subscript"/>
          <w:lang w:eastAsia="zh-CN"/>
        </w:rPr>
        <w:t>E</w:t>
      </w:r>
      <w:r w:rsidR="00AA3655" w:rsidRPr="009C5807">
        <w:rPr>
          <w:vertAlign w:val="subscript"/>
        </w:rPr>
        <w:t>UTRAN</w:t>
      </w:r>
      <w:r w:rsidR="00AA3655">
        <w:rPr>
          <w:vertAlign w:val="subscript"/>
        </w:rPr>
        <w:t>_RedCap</w:t>
      </w:r>
      <w:r w:rsidR="00AA3655" w:rsidRPr="009C5807">
        <w:rPr>
          <w:snapToGrid w:val="0"/>
        </w:rPr>
        <w:t xml:space="preserve">, </w:t>
      </w:r>
      <w:r w:rsidR="00AA3655" w:rsidRPr="009C5807">
        <w:t>T</w:t>
      </w:r>
      <w:r w:rsidR="00AA3655" w:rsidRPr="009C5807">
        <w:rPr>
          <w:vertAlign w:val="subscript"/>
        </w:rPr>
        <w:t>measure,</w:t>
      </w:r>
      <w:r w:rsidR="00AA3655" w:rsidRPr="009C5807">
        <w:rPr>
          <w:vertAlign w:val="subscript"/>
          <w:lang w:eastAsia="zh-CN"/>
        </w:rPr>
        <w:t>E</w:t>
      </w:r>
      <w:r w:rsidR="00AA3655" w:rsidRPr="009C5807">
        <w:rPr>
          <w:vertAlign w:val="subscript"/>
        </w:rPr>
        <w:t>UTRAN</w:t>
      </w:r>
      <w:r w:rsidR="00AA3655">
        <w:rPr>
          <w:vertAlign w:val="subscript"/>
        </w:rPr>
        <w:t>_RedCap</w:t>
      </w:r>
      <w:r w:rsidR="00AA3655" w:rsidRPr="009C5807">
        <w:rPr>
          <w:vertAlign w:val="subscript"/>
        </w:rPr>
        <w:t>,</w:t>
      </w:r>
      <w:r w:rsidR="00AA3655" w:rsidRPr="009C5807">
        <w:t xml:space="preserve"> and </w:t>
      </w:r>
      <w:r w:rsidR="00AA3655" w:rsidRPr="009C5807">
        <w:rPr>
          <w:rFonts w:cs="v4.2.0"/>
        </w:rPr>
        <w:t>T</w:t>
      </w:r>
      <w:r w:rsidR="00AA3655" w:rsidRPr="009C5807">
        <w:rPr>
          <w:rFonts w:cs="v4.2.0"/>
          <w:vertAlign w:val="subscript"/>
        </w:rPr>
        <w:t>evaluate,</w:t>
      </w:r>
      <w:r w:rsidR="00AA3655" w:rsidRPr="009C5807">
        <w:rPr>
          <w:rFonts w:cs="v4.2.0"/>
          <w:vertAlign w:val="subscript"/>
          <w:lang w:eastAsia="zh-CN"/>
        </w:rPr>
        <w:t>E</w:t>
      </w:r>
      <w:r w:rsidR="00AA3655" w:rsidRPr="009C5807">
        <w:rPr>
          <w:rFonts w:cs="v4.2.0"/>
          <w:vertAlign w:val="subscript"/>
        </w:rPr>
        <w:t>UTRAN</w:t>
      </w:r>
      <w:r w:rsidR="00AA3655">
        <w:rPr>
          <w:vertAlign w:val="subscript"/>
        </w:rPr>
        <w:t>_RedCap</w:t>
      </w:r>
    </w:p>
    <w:tbl>
      <w:tblPr>
        <w:tblW w:w="30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1498"/>
        <w:gridCol w:w="1636"/>
        <w:gridCol w:w="2066"/>
      </w:tblGrid>
      <w:tr w:rsidR="00D808CB" w:rsidRPr="009C5807" w14:paraId="716B53E7" w14:textId="77777777" w:rsidTr="001313A6">
        <w:trPr>
          <w:cantSplit/>
          <w:jc w:val="center"/>
        </w:trPr>
        <w:tc>
          <w:tcPr>
            <w:tcW w:w="620" w:type="pct"/>
            <w:tcBorders>
              <w:top w:val="single" w:sz="4" w:space="0" w:color="auto"/>
              <w:left w:val="single" w:sz="4" w:space="0" w:color="auto"/>
              <w:bottom w:val="single" w:sz="4" w:space="0" w:color="auto"/>
              <w:right w:val="single" w:sz="4" w:space="0" w:color="auto"/>
            </w:tcBorders>
            <w:hideMark/>
          </w:tcPr>
          <w:p w14:paraId="2CEE1FAF" w14:textId="77777777" w:rsidR="00D808CB" w:rsidRPr="009C5807" w:rsidRDefault="00D808CB" w:rsidP="001313A6">
            <w:pPr>
              <w:pStyle w:val="TAH"/>
              <w:rPr>
                <w:rFonts w:cs="Arial"/>
                <w:snapToGrid w:val="0"/>
              </w:rPr>
            </w:pPr>
            <w:r w:rsidRPr="009C5807">
              <w:t>DRX cycle length [s]</w:t>
            </w:r>
          </w:p>
        </w:tc>
        <w:tc>
          <w:tcPr>
            <w:tcW w:w="1263" w:type="pct"/>
            <w:tcBorders>
              <w:top w:val="single" w:sz="4" w:space="0" w:color="auto"/>
              <w:left w:val="single" w:sz="4" w:space="0" w:color="auto"/>
              <w:bottom w:val="single" w:sz="4" w:space="0" w:color="auto"/>
              <w:right w:val="single" w:sz="4" w:space="0" w:color="auto"/>
            </w:tcBorders>
            <w:hideMark/>
          </w:tcPr>
          <w:p w14:paraId="46424315" w14:textId="77777777" w:rsidR="00D808CB" w:rsidRPr="009C5807" w:rsidRDefault="00D808CB" w:rsidP="001313A6">
            <w:pPr>
              <w:pStyle w:val="TAH"/>
              <w:rPr>
                <w:rFonts w:cs="Arial"/>
              </w:rPr>
            </w:pPr>
            <w:r w:rsidRPr="009C5807">
              <w:t>T</w:t>
            </w:r>
            <w:r w:rsidRPr="009C5807">
              <w:rPr>
                <w:vertAlign w:val="subscript"/>
              </w:rPr>
              <w:t>detect,EUTRAN</w:t>
            </w:r>
            <w:r w:rsidRPr="009C5807">
              <w:t xml:space="preserve"> [s] (number of DRX cycles)</w:t>
            </w:r>
          </w:p>
        </w:tc>
        <w:tc>
          <w:tcPr>
            <w:tcW w:w="1378" w:type="pct"/>
            <w:tcBorders>
              <w:top w:val="single" w:sz="4" w:space="0" w:color="auto"/>
              <w:left w:val="single" w:sz="4" w:space="0" w:color="auto"/>
              <w:bottom w:val="single" w:sz="4" w:space="0" w:color="auto"/>
              <w:right w:val="single" w:sz="4" w:space="0" w:color="auto"/>
            </w:tcBorders>
            <w:hideMark/>
          </w:tcPr>
          <w:p w14:paraId="7714538B" w14:textId="77777777" w:rsidR="00D808CB" w:rsidRPr="009C5807" w:rsidRDefault="00D808CB" w:rsidP="001313A6">
            <w:pPr>
              <w:pStyle w:val="TAH"/>
              <w:rPr>
                <w:rFonts w:cs="Arial"/>
                <w:snapToGrid w:val="0"/>
              </w:rPr>
            </w:pPr>
            <w:r w:rsidRPr="009C5807">
              <w:t>T</w:t>
            </w:r>
            <w:r w:rsidRPr="009C5807">
              <w:rPr>
                <w:vertAlign w:val="subscript"/>
              </w:rPr>
              <w:t>measure,EUTRAN</w:t>
            </w:r>
            <w:r w:rsidRPr="009C5807">
              <w:t xml:space="preserve"> [s] (number of DRX cycles)</w:t>
            </w:r>
          </w:p>
        </w:tc>
        <w:tc>
          <w:tcPr>
            <w:tcW w:w="1739" w:type="pct"/>
            <w:tcBorders>
              <w:top w:val="single" w:sz="4" w:space="0" w:color="auto"/>
              <w:left w:val="single" w:sz="4" w:space="0" w:color="auto"/>
              <w:bottom w:val="single" w:sz="4" w:space="0" w:color="auto"/>
              <w:right w:val="single" w:sz="4" w:space="0" w:color="auto"/>
            </w:tcBorders>
            <w:hideMark/>
          </w:tcPr>
          <w:p w14:paraId="61D5F04F" w14:textId="77777777" w:rsidR="00D808CB" w:rsidRPr="009C5807" w:rsidRDefault="00D808CB" w:rsidP="001313A6">
            <w:pPr>
              <w:pStyle w:val="TAH"/>
              <w:rPr>
                <w:rFonts w:cs="Arial"/>
                <w:vertAlign w:val="subscript"/>
                <w:lang w:eastAsia="zh-CN"/>
              </w:rPr>
            </w:pPr>
            <w:r w:rsidRPr="009C5807">
              <w:t>T</w:t>
            </w:r>
            <w:r w:rsidRPr="009C5807">
              <w:rPr>
                <w:vertAlign w:val="subscript"/>
              </w:rPr>
              <w:t>evaluate,EUTRAN</w:t>
            </w:r>
          </w:p>
          <w:p w14:paraId="6770E76E" w14:textId="77777777" w:rsidR="00D808CB" w:rsidRPr="009C5807" w:rsidRDefault="00D808CB" w:rsidP="001313A6">
            <w:pPr>
              <w:pStyle w:val="TAH"/>
              <w:rPr>
                <w:rFonts w:cs="Arial"/>
              </w:rPr>
            </w:pPr>
            <w:r w:rsidRPr="009C5807">
              <w:rPr>
                <w:rFonts w:cs="Arial"/>
              </w:rPr>
              <w:t>[s] (number of DRX cycles)</w:t>
            </w:r>
          </w:p>
        </w:tc>
      </w:tr>
      <w:tr w:rsidR="00D808CB" w:rsidRPr="009C5807" w14:paraId="5ABC7422" w14:textId="77777777" w:rsidTr="001313A6">
        <w:trPr>
          <w:cantSplit/>
          <w:jc w:val="center"/>
        </w:trPr>
        <w:tc>
          <w:tcPr>
            <w:tcW w:w="620" w:type="pct"/>
            <w:tcBorders>
              <w:top w:val="single" w:sz="4" w:space="0" w:color="auto"/>
              <w:left w:val="single" w:sz="4" w:space="0" w:color="auto"/>
              <w:bottom w:val="single" w:sz="4" w:space="0" w:color="auto"/>
              <w:right w:val="single" w:sz="4" w:space="0" w:color="auto"/>
            </w:tcBorders>
            <w:hideMark/>
          </w:tcPr>
          <w:p w14:paraId="3D7EC92B" w14:textId="77777777" w:rsidR="00D808CB" w:rsidRPr="009C5807" w:rsidRDefault="00D808CB" w:rsidP="001313A6">
            <w:pPr>
              <w:pStyle w:val="TAC"/>
              <w:rPr>
                <w:snapToGrid w:val="0"/>
              </w:rPr>
            </w:pPr>
            <w:r w:rsidRPr="009C5807">
              <w:t>0.32</w:t>
            </w:r>
          </w:p>
        </w:tc>
        <w:tc>
          <w:tcPr>
            <w:tcW w:w="1263" w:type="pct"/>
            <w:tcBorders>
              <w:top w:val="single" w:sz="4" w:space="0" w:color="auto"/>
              <w:left w:val="single" w:sz="4" w:space="0" w:color="auto"/>
              <w:bottom w:val="single" w:sz="4" w:space="0" w:color="auto"/>
              <w:right w:val="single" w:sz="4" w:space="0" w:color="auto"/>
            </w:tcBorders>
            <w:hideMark/>
          </w:tcPr>
          <w:p w14:paraId="43F84106" w14:textId="77777777" w:rsidR="00D808CB" w:rsidRPr="009C5807" w:rsidRDefault="00D808CB" w:rsidP="001313A6">
            <w:pPr>
              <w:pStyle w:val="TAC"/>
              <w:rPr>
                <w:snapToGrid w:val="0"/>
              </w:rPr>
            </w:pPr>
            <w:r w:rsidRPr="009C5807">
              <w:t>11.52 (36)</w:t>
            </w:r>
          </w:p>
        </w:tc>
        <w:tc>
          <w:tcPr>
            <w:tcW w:w="1378" w:type="pct"/>
            <w:tcBorders>
              <w:top w:val="single" w:sz="4" w:space="0" w:color="auto"/>
              <w:left w:val="single" w:sz="4" w:space="0" w:color="auto"/>
              <w:bottom w:val="single" w:sz="4" w:space="0" w:color="auto"/>
              <w:right w:val="single" w:sz="4" w:space="0" w:color="auto"/>
            </w:tcBorders>
            <w:hideMark/>
          </w:tcPr>
          <w:p w14:paraId="25E36B2F" w14:textId="77777777" w:rsidR="00D808CB" w:rsidRPr="009C5807" w:rsidRDefault="00D808CB" w:rsidP="001313A6">
            <w:pPr>
              <w:pStyle w:val="TAC"/>
              <w:rPr>
                <w:snapToGrid w:val="0"/>
              </w:rPr>
            </w:pPr>
            <w:r w:rsidRPr="009C5807">
              <w:rPr>
                <w:snapToGrid w:val="0"/>
              </w:rPr>
              <w:t>1.28 (4)</w:t>
            </w:r>
          </w:p>
        </w:tc>
        <w:tc>
          <w:tcPr>
            <w:tcW w:w="1739" w:type="pct"/>
            <w:tcBorders>
              <w:top w:val="single" w:sz="4" w:space="0" w:color="auto"/>
              <w:left w:val="single" w:sz="4" w:space="0" w:color="auto"/>
              <w:bottom w:val="single" w:sz="4" w:space="0" w:color="auto"/>
              <w:right w:val="single" w:sz="4" w:space="0" w:color="auto"/>
            </w:tcBorders>
            <w:hideMark/>
          </w:tcPr>
          <w:p w14:paraId="2093A20C" w14:textId="77777777" w:rsidR="00D808CB" w:rsidRPr="009C5807" w:rsidRDefault="00D808CB" w:rsidP="001313A6">
            <w:pPr>
              <w:pStyle w:val="TAC"/>
              <w:rPr>
                <w:snapToGrid w:val="0"/>
              </w:rPr>
            </w:pPr>
            <w:r w:rsidRPr="009C5807">
              <w:t>5.12 (16)</w:t>
            </w:r>
          </w:p>
        </w:tc>
      </w:tr>
      <w:tr w:rsidR="00D808CB" w:rsidRPr="009C5807" w14:paraId="595E0448" w14:textId="77777777" w:rsidTr="001313A6">
        <w:trPr>
          <w:cantSplit/>
          <w:jc w:val="center"/>
        </w:trPr>
        <w:tc>
          <w:tcPr>
            <w:tcW w:w="620" w:type="pct"/>
            <w:tcBorders>
              <w:top w:val="single" w:sz="4" w:space="0" w:color="auto"/>
              <w:left w:val="single" w:sz="4" w:space="0" w:color="auto"/>
              <w:bottom w:val="single" w:sz="4" w:space="0" w:color="auto"/>
              <w:right w:val="single" w:sz="4" w:space="0" w:color="auto"/>
            </w:tcBorders>
            <w:hideMark/>
          </w:tcPr>
          <w:p w14:paraId="0AC02B06" w14:textId="77777777" w:rsidR="00D808CB" w:rsidRPr="009C5807" w:rsidRDefault="00D808CB" w:rsidP="001313A6">
            <w:pPr>
              <w:pStyle w:val="TAC"/>
              <w:rPr>
                <w:snapToGrid w:val="0"/>
              </w:rPr>
            </w:pPr>
            <w:r w:rsidRPr="009C5807">
              <w:t>0.64</w:t>
            </w:r>
          </w:p>
        </w:tc>
        <w:tc>
          <w:tcPr>
            <w:tcW w:w="1263" w:type="pct"/>
            <w:tcBorders>
              <w:top w:val="single" w:sz="4" w:space="0" w:color="auto"/>
              <w:left w:val="single" w:sz="4" w:space="0" w:color="auto"/>
              <w:bottom w:val="single" w:sz="4" w:space="0" w:color="auto"/>
              <w:right w:val="single" w:sz="4" w:space="0" w:color="auto"/>
            </w:tcBorders>
            <w:hideMark/>
          </w:tcPr>
          <w:p w14:paraId="093F4386" w14:textId="77777777" w:rsidR="00D808CB" w:rsidRPr="009C5807" w:rsidRDefault="00D808CB" w:rsidP="001313A6">
            <w:pPr>
              <w:pStyle w:val="TAC"/>
              <w:rPr>
                <w:snapToGrid w:val="0"/>
              </w:rPr>
            </w:pPr>
            <w:r w:rsidRPr="009C5807">
              <w:t>17.92 (28)</w:t>
            </w:r>
          </w:p>
        </w:tc>
        <w:tc>
          <w:tcPr>
            <w:tcW w:w="1378" w:type="pct"/>
            <w:tcBorders>
              <w:top w:val="single" w:sz="4" w:space="0" w:color="auto"/>
              <w:left w:val="single" w:sz="4" w:space="0" w:color="auto"/>
              <w:bottom w:val="single" w:sz="4" w:space="0" w:color="auto"/>
              <w:right w:val="single" w:sz="4" w:space="0" w:color="auto"/>
            </w:tcBorders>
            <w:hideMark/>
          </w:tcPr>
          <w:p w14:paraId="5B0E23F3" w14:textId="77777777" w:rsidR="00D808CB" w:rsidRPr="009C5807" w:rsidRDefault="00D808CB" w:rsidP="001313A6">
            <w:pPr>
              <w:pStyle w:val="TAC"/>
              <w:rPr>
                <w:snapToGrid w:val="0"/>
              </w:rPr>
            </w:pPr>
            <w:r w:rsidRPr="009C5807">
              <w:rPr>
                <w:snapToGrid w:val="0"/>
              </w:rPr>
              <w:t>1.28 (2)</w:t>
            </w:r>
          </w:p>
        </w:tc>
        <w:tc>
          <w:tcPr>
            <w:tcW w:w="1739" w:type="pct"/>
            <w:tcBorders>
              <w:top w:val="single" w:sz="4" w:space="0" w:color="auto"/>
              <w:left w:val="single" w:sz="4" w:space="0" w:color="auto"/>
              <w:bottom w:val="single" w:sz="4" w:space="0" w:color="auto"/>
              <w:right w:val="single" w:sz="4" w:space="0" w:color="auto"/>
            </w:tcBorders>
            <w:hideMark/>
          </w:tcPr>
          <w:p w14:paraId="48860AED" w14:textId="77777777" w:rsidR="00D808CB" w:rsidRPr="009C5807" w:rsidRDefault="00D808CB" w:rsidP="001313A6">
            <w:pPr>
              <w:pStyle w:val="TAC"/>
              <w:rPr>
                <w:snapToGrid w:val="0"/>
              </w:rPr>
            </w:pPr>
            <w:r w:rsidRPr="009C5807">
              <w:t>5.12 (8)</w:t>
            </w:r>
          </w:p>
        </w:tc>
      </w:tr>
      <w:tr w:rsidR="00D808CB" w:rsidRPr="009C5807" w14:paraId="6DA14ED7" w14:textId="77777777" w:rsidTr="001313A6">
        <w:trPr>
          <w:cantSplit/>
          <w:jc w:val="center"/>
        </w:trPr>
        <w:tc>
          <w:tcPr>
            <w:tcW w:w="620" w:type="pct"/>
            <w:tcBorders>
              <w:top w:val="single" w:sz="4" w:space="0" w:color="auto"/>
              <w:left w:val="single" w:sz="4" w:space="0" w:color="auto"/>
              <w:bottom w:val="single" w:sz="4" w:space="0" w:color="auto"/>
              <w:right w:val="single" w:sz="4" w:space="0" w:color="auto"/>
            </w:tcBorders>
            <w:hideMark/>
          </w:tcPr>
          <w:p w14:paraId="06D7245D" w14:textId="77777777" w:rsidR="00D808CB" w:rsidRPr="009C5807" w:rsidRDefault="00D808CB" w:rsidP="001313A6">
            <w:pPr>
              <w:pStyle w:val="TAC"/>
              <w:rPr>
                <w:snapToGrid w:val="0"/>
              </w:rPr>
            </w:pPr>
            <w:r w:rsidRPr="009C5807">
              <w:t>1.28</w:t>
            </w:r>
          </w:p>
        </w:tc>
        <w:tc>
          <w:tcPr>
            <w:tcW w:w="1263" w:type="pct"/>
            <w:tcBorders>
              <w:top w:val="single" w:sz="4" w:space="0" w:color="auto"/>
              <w:left w:val="single" w:sz="4" w:space="0" w:color="auto"/>
              <w:bottom w:val="single" w:sz="4" w:space="0" w:color="auto"/>
              <w:right w:val="single" w:sz="4" w:space="0" w:color="auto"/>
            </w:tcBorders>
            <w:hideMark/>
          </w:tcPr>
          <w:p w14:paraId="069AADF9" w14:textId="77777777" w:rsidR="00D808CB" w:rsidRPr="009C5807" w:rsidRDefault="00D808CB" w:rsidP="001313A6">
            <w:pPr>
              <w:pStyle w:val="TAC"/>
              <w:rPr>
                <w:snapToGrid w:val="0"/>
              </w:rPr>
            </w:pPr>
            <w:r w:rsidRPr="009C5807">
              <w:t>32(25)</w:t>
            </w:r>
          </w:p>
        </w:tc>
        <w:tc>
          <w:tcPr>
            <w:tcW w:w="1378" w:type="pct"/>
            <w:tcBorders>
              <w:top w:val="single" w:sz="4" w:space="0" w:color="auto"/>
              <w:left w:val="single" w:sz="4" w:space="0" w:color="auto"/>
              <w:bottom w:val="single" w:sz="4" w:space="0" w:color="auto"/>
              <w:right w:val="single" w:sz="4" w:space="0" w:color="auto"/>
            </w:tcBorders>
            <w:hideMark/>
          </w:tcPr>
          <w:p w14:paraId="7710E70C" w14:textId="77777777" w:rsidR="00D808CB" w:rsidRPr="009C5807" w:rsidRDefault="00D808CB" w:rsidP="001313A6">
            <w:pPr>
              <w:pStyle w:val="TAC"/>
              <w:rPr>
                <w:snapToGrid w:val="0"/>
              </w:rPr>
            </w:pPr>
            <w:r w:rsidRPr="009C5807">
              <w:rPr>
                <w:snapToGrid w:val="0"/>
              </w:rPr>
              <w:t>1.28 (1)</w:t>
            </w:r>
          </w:p>
        </w:tc>
        <w:tc>
          <w:tcPr>
            <w:tcW w:w="1739" w:type="pct"/>
            <w:tcBorders>
              <w:top w:val="single" w:sz="4" w:space="0" w:color="auto"/>
              <w:left w:val="single" w:sz="4" w:space="0" w:color="auto"/>
              <w:bottom w:val="single" w:sz="4" w:space="0" w:color="auto"/>
              <w:right w:val="single" w:sz="4" w:space="0" w:color="auto"/>
            </w:tcBorders>
            <w:hideMark/>
          </w:tcPr>
          <w:p w14:paraId="5E7C9D09" w14:textId="77777777" w:rsidR="00D808CB" w:rsidRPr="009C5807" w:rsidRDefault="00D808CB" w:rsidP="001313A6">
            <w:pPr>
              <w:pStyle w:val="TAC"/>
              <w:rPr>
                <w:snapToGrid w:val="0"/>
              </w:rPr>
            </w:pPr>
            <w:r w:rsidRPr="009C5807">
              <w:t>6.4 (5)</w:t>
            </w:r>
          </w:p>
        </w:tc>
      </w:tr>
      <w:tr w:rsidR="00D808CB" w:rsidRPr="009C5807" w14:paraId="6EAA8189" w14:textId="77777777" w:rsidTr="001313A6">
        <w:trPr>
          <w:cantSplit/>
          <w:jc w:val="center"/>
        </w:trPr>
        <w:tc>
          <w:tcPr>
            <w:tcW w:w="620" w:type="pct"/>
            <w:tcBorders>
              <w:top w:val="single" w:sz="4" w:space="0" w:color="auto"/>
              <w:left w:val="single" w:sz="4" w:space="0" w:color="auto"/>
              <w:bottom w:val="single" w:sz="4" w:space="0" w:color="auto"/>
              <w:right w:val="single" w:sz="4" w:space="0" w:color="auto"/>
            </w:tcBorders>
            <w:hideMark/>
          </w:tcPr>
          <w:p w14:paraId="605A6F83" w14:textId="77777777" w:rsidR="00D808CB" w:rsidRPr="009C5807" w:rsidRDefault="00D808CB" w:rsidP="001313A6">
            <w:pPr>
              <w:pStyle w:val="TAC"/>
              <w:rPr>
                <w:snapToGrid w:val="0"/>
              </w:rPr>
            </w:pPr>
            <w:r w:rsidRPr="009C5807">
              <w:t>2.56</w:t>
            </w:r>
          </w:p>
        </w:tc>
        <w:tc>
          <w:tcPr>
            <w:tcW w:w="1263" w:type="pct"/>
            <w:tcBorders>
              <w:top w:val="single" w:sz="4" w:space="0" w:color="auto"/>
              <w:left w:val="single" w:sz="4" w:space="0" w:color="auto"/>
              <w:bottom w:val="single" w:sz="4" w:space="0" w:color="auto"/>
              <w:right w:val="single" w:sz="4" w:space="0" w:color="auto"/>
            </w:tcBorders>
            <w:hideMark/>
          </w:tcPr>
          <w:p w14:paraId="0874D387" w14:textId="77777777" w:rsidR="00D808CB" w:rsidRPr="009C5807" w:rsidRDefault="00D808CB" w:rsidP="001313A6">
            <w:pPr>
              <w:pStyle w:val="TAC"/>
              <w:rPr>
                <w:snapToGrid w:val="0"/>
              </w:rPr>
            </w:pPr>
            <w:r w:rsidRPr="009C5807">
              <w:t>58.88 (23)</w:t>
            </w:r>
          </w:p>
        </w:tc>
        <w:tc>
          <w:tcPr>
            <w:tcW w:w="1378" w:type="pct"/>
            <w:tcBorders>
              <w:top w:val="single" w:sz="4" w:space="0" w:color="auto"/>
              <w:left w:val="single" w:sz="4" w:space="0" w:color="auto"/>
              <w:bottom w:val="single" w:sz="4" w:space="0" w:color="auto"/>
              <w:right w:val="single" w:sz="4" w:space="0" w:color="auto"/>
            </w:tcBorders>
            <w:hideMark/>
          </w:tcPr>
          <w:p w14:paraId="04E39AD8" w14:textId="77777777" w:rsidR="00D808CB" w:rsidRPr="009C5807" w:rsidRDefault="00D808CB" w:rsidP="001313A6">
            <w:pPr>
              <w:pStyle w:val="TAC"/>
              <w:rPr>
                <w:snapToGrid w:val="0"/>
              </w:rPr>
            </w:pPr>
            <w:r w:rsidRPr="009C5807">
              <w:rPr>
                <w:snapToGrid w:val="0"/>
              </w:rPr>
              <w:t>2.56 (1)</w:t>
            </w:r>
          </w:p>
        </w:tc>
        <w:tc>
          <w:tcPr>
            <w:tcW w:w="1739" w:type="pct"/>
            <w:tcBorders>
              <w:top w:val="single" w:sz="4" w:space="0" w:color="auto"/>
              <w:left w:val="single" w:sz="4" w:space="0" w:color="auto"/>
              <w:bottom w:val="single" w:sz="4" w:space="0" w:color="auto"/>
              <w:right w:val="single" w:sz="4" w:space="0" w:color="auto"/>
            </w:tcBorders>
            <w:hideMark/>
          </w:tcPr>
          <w:p w14:paraId="2AB7F7CF" w14:textId="77777777" w:rsidR="00D808CB" w:rsidRPr="009C5807" w:rsidRDefault="00D808CB" w:rsidP="001313A6">
            <w:pPr>
              <w:pStyle w:val="TAC"/>
              <w:rPr>
                <w:snapToGrid w:val="0"/>
              </w:rPr>
            </w:pPr>
            <w:r w:rsidRPr="009C5807">
              <w:t>7.68 (3)</w:t>
            </w:r>
          </w:p>
        </w:tc>
      </w:tr>
    </w:tbl>
    <w:p w14:paraId="1E384D99" w14:textId="77777777" w:rsidR="00D808CB" w:rsidRDefault="00D808CB" w:rsidP="00D808CB"/>
    <w:p w14:paraId="68E34ACC" w14:textId="77777777" w:rsidR="00FF5110" w:rsidRPr="009C5807" w:rsidRDefault="00FF5110" w:rsidP="00FF5110">
      <w:pPr>
        <w:pStyle w:val="TH"/>
        <w:rPr>
          <w:rFonts w:cs="v4.2.0"/>
          <w:vertAlign w:val="subscript"/>
          <w:lang w:eastAsia="zh-CN"/>
        </w:rPr>
      </w:pPr>
      <w:r w:rsidRPr="009C5807">
        <w:rPr>
          <w:snapToGrid w:val="0"/>
        </w:rPr>
        <w:t>Table 4.2</w:t>
      </w:r>
      <w:r>
        <w:rPr>
          <w:snapToGrid w:val="0"/>
        </w:rPr>
        <w:t>B</w:t>
      </w:r>
      <w:r w:rsidRPr="009C5807">
        <w:rPr>
          <w:snapToGrid w:val="0"/>
        </w:rPr>
        <w:t>.2.5-</w:t>
      </w:r>
      <w:r>
        <w:rPr>
          <w:snapToGrid w:val="0"/>
        </w:rPr>
        <w:t>2</w:t>
      </w:r>
      <w:r w:rsidRPr="009C5807">
        <w:rPr>
          <w:snapToGrid w:val="0"/>
        </w:rPr>
        <w:t xml:space="preserve">: </w:t>
      </w:r>
      <w:r w:rsidRPr="009C5807">
        <w:t>T</w:t>
      </w:r>
      <w:r w:rsidRPr="009C5807">
        <w:rPr>
          <w:vertAlign w:val="subscript"/>
        </w:rPr>
        <w:t>detect,</w:t>
      </w:r>
      <w:r w:rsidRPr="009C5807">
        <w:rPr>
          <w:vertAlign w:val="subscript"/>
          <w:lang w:eastAsia="zh-CN"/>
        </w:rPr>
        <w:t>E</w:t>
      </w:r>
      <w:r w:rsidRPr="009C5807">
        <w:rPr>
          <w:vertAlign w:val="subscript"/>
        </w:rPr>
        <w:t>UTRAN</w:t>
      </w:r>
      <w:r>
        <w:rPr>
          <w:vertAlign w:val="subscript"/>
        </w:rPr>
        <w:t>_RedCap</w:t>
      </w:r>
      <w:r w:rsidRPr="009C5807">
        <w:rPr>
          <w:snapToGrid w:val="0"/>
        </w:rPr>
        <w:t xml:space="preserve">, </w:t>
      </w:r>
      <w:r w:rsidRPr="009C5807">
        <w:t>T</w:t>
      </w:r>
      <w:r w:rsidRPr="009C5807">
        <w:rPr>
          <w:vertAlign w:val="subscript"/>
        </w:rPr>
        <w:t>measure,</w:t>
      </w:r>
      <w:r w:rsidRPr="009C5807">
        <w:rPr>
          <w:vertAlign w:val="subscript"/>
          <w:lang w:eastAsia="zh-CN"/>
        </w:rPr>
        <w:t>E</w:t>
      </w:r>
      <w:r w:rsidRPr="009C5807">
        <w:rPr>
          <w:vertAlign w:val="subscript"/>
        </w:rPr>
        <w:t>UTRAN</w:t>
      </w:r>
      <w:r>
        <w:rPr>
          <w:vertAlign w:val="subscript"/>
        </w:rPr>
        <w:t>_RedCap</w:t>
      </w:r>
      <w:r w:rsidRPr="009C5807">
        <w:rPr>
          <w:vertAlign w:val="subscript"/>
        </w:rPr>
        <w:t>,</w:t>
      </w:r>
      <w:r w:rsidRPr="009C5807">
        <w:t xml:space="preserve"> and </w:t>
      </w:r>
      <w:r w:rsidRPr="009C5807">
        <w:rPr>
          <w:rFonts w:cs="v4.2.0"/>
        </w:rPr>
        <w:t>T</w:t>
      </w:r>
      <w:r w:rsidRPr="009C5807">
        <w:rPr>
          <w:rFonts w:cs="v4.2.0"/>
          <w:vertAlign w:val="subscript"/>
        </w:rPr>
        <w:t>evaluate,</w:t>
      </w:r>
      <w:r w:rsidRPr="009C5807">
        <w:rPr>
          <w:rFonts w:cs="v4.2.0"/>
          <w:vertAlign w:val="subscript"/>
          <w:lang w:eastAsia="zh-CN"/>
        </w:rPr>
        <w:t>E</w:t>
      </w:r>
      <w:r w:rsidRPr="009C5807">
        <w:rPr>
          <w:rFonts w:cs="v4.2.0"/>
          <w:vertAlign w:val="subscript"/>
        </w:rPr>
        <w:t>UTRAN</w:t>
      </w:r>
      <w:r>
        <w:rPr>
          <w:vertAlign w:val="subscript"/>
        </w:rPr>
        <w:t>_RedCap</w:t>
      </w:r>
      <w:r w:rsidRPr="008A66BD">
        <w:t xml:space="preserve"> </w:t>
      </w:r>
      <w:r w:rsidRPr="00691C10">
        <w:t>for UE configured with eDRX_IDLE cycle</w:t>
      </w:r>
    </w:p>
    <w:tbl>
      <w:tblPr>
        <w:tblW w:w="52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8"/>
        <w:gridCol w:w="567"/>
        <w:gridCol w:w="730"/>
        <w:gridCol w:w="4880"/>
        <w:gridCol w:w="1349"/>
        <w:gridCol w:w="1359"/>
      </w:tblGrid>
      <w:tr w:rsidR="00FF5110" w:rsidRPr="00691C10" w14:paraId="3C7543D0" w14:textId="77777777" w:rsidTr="005145F6">
        <w:trPr>
          <w:cantSplit/>
          <w:jc w:val="center"/>
        </w:trPr>
        <w:tc>
          <w:tcPr>
            <w:tcW w:w="594" w:type="pct"/>
            <w:tcBorders>
              <w:top w:val="single" w:sz="4" w:space="0" w:color="auto"/>
              <w:left w:val="single" w:sz="4" w:space="0" w:color="auto"/>
              <w:bottom w:val="single" w:sz="4" w:space="0" w:color="auto"/>
              <w:right w:val="single" w:sz="4" w:space="0" w:color="auto"/>
            </w:tcBorders>
            <w:tcMar>
              <w:left w:w="0" w:type="dxa"/>
              <w:right w:w="0" w:type="dxa"/>
            </w:tcMar>
          </w:tcPr>
          <w:p w14:paraId="72B9750F" w14:textId="77777777" w:rsidR="00FF5110" w:rsidRPr="00691C10" w:rsidRDefault="00FF5110" w:rsidP="005145F6">
            <w:pPr>
              <w:pStyle w:val="TAH"/>
              <w:rPr>
                <w:rFonts w:cs="v4.2.0"/>
              </w:rPr>
            </w:pPr>
            <w:r>
              <w:rPr>
                <w:rFonts w:cs="v4.2.0"/>
              </w:rPr>
              <w:t>eDRX_IDLE cycle length [s]</w:t>
            </w:r>
          </w:p>
        </w:tc>
        <w:tc>
          <w:tcPr>
            <w:tcW w:w="281" w:type="pct"/>
            <w:tcBorders>
              <w:top w:val="single" w:sz="4" w:space="0" w:color="auto"/>
              <w:left w:val="single" w:sz="4" w:space="0" w:color="auto"/>
              <w:bottom w:val="single" w:sz="4" w:space="0" w:color="auto"/>
              <w:right w:val="single" w:sz="4" w:space="0" w:color="auto"/>
            </w:tcBorders>
            <w:tcMar>
              <w:left w:w="0" w:type="dxa"/>
              <w:right w:w="0" w:type="dxa"/>
            </w:tcMar>
          </w:tcPr>
          <w:p w14:paraId="4FCCBCE8" w14:textId="77777777" w:rsidR="00FF5110" w:rsidRPr="00691C10" w:rsidRDefault="00FF5110" w:rsidP="005145F6">
            <w:pPr>
              <w:pStyle w:val="TAH"/>
              <w:rPr>
                <w:rFonts w:cs="Arial"/>
                <w:snapToGrid w:val="0"/>
              </w:rPr>
            </w:pPr>
            <w:r>
              <w:rPr>
                <w:rFonts w:cs="v4.2.0"/>
              </w:rPr>
              <w:t>DRX cycle length [s]</w:t>
            </w:r>
          </w:p>
        </w:tc>
        <w:tc>
          <w:tcPr>
            <w:tcW w:w="362" w:type="pct"/>
            <w:tcBorders>
              <w:top w:val="single" w:sz="4" w:space="0" w:color="auto"/>
              <w:left w:val="single" w:sz="4" w:space="0" w:color="auto"/>
              <w:bottom w:val="single" w:sz="4" w:space="0" w:color="auto"/>
              <w:right w:val="single" w:sz="4" w:space="0" w:color="auto"/>
            </w:tcBorders>
            <w:tcMar>
              <w:left w:w="0" w:type="dxa"/>
              <w:right w:w="0" w:type="dxa"/>
            </w:tcMar>
          </w:tcPr>
          <w:p w14:paraId="7C77DEE1" w14:textId="77777777" w:rsidR="00FF5110" w:rsidRPr="00691C10" w:rsidRDefault="00FF5110" w:rsidP="005145F6">
            <w:pPr>
              <w:pStyle w:val="TAH"/>
              <w:rPr>
                <w:rFonts w:cs="v4.2.0"/>
              </w:rPr>
            </w:pPr>
            <w:r>
              <w:rPr>
                <w:rFonts w:cs="v4.2.0"/>
              </w:rPr>
              <w:t>PTW length [s]</w:t>
            </w:r>
            <w:r>
              <w:rPr>
                <w:rFonts w:cs="v4.2.0"/>
                <w:lang w:eastAsia="zh-CN"/>
              </w:rPr>
              <w:t xml:space="preserve"> (</w:t>
            </w:r>
            <w:r>
              <w:rPr>
                <w:rFonts w:cs="Arial"/>
                <w:bCs/>
                <w:iCs/>
                <w:lang w:eastAsia="ja-JP"/>
              </w:rPr>
              <w:t>number of 1.28s periods</w:t>
            </w:r>
            <w:r>
              <w:rPr>
                <w:rFonts w:cs="v4.2.0"/>
                <w:lang w:eastAsia="zh-CN"/>
              </w:rPr>
              <w:t>)</w:t>
            </w:r>
          </w:p>
        </w:tc>
        <w:tc>
          <w:tcPr>
            <w:tcW w:w="2420" w:type="pct"/>
            <w:tcBorders>
              <w:top w:val="single" w:sz="4" w:space="0" w:color="auto"/>
              <w:left w:val="single" w:sz="4" w:space="0" w:color="auto"/>
              <w:bottom w:val="single" w:sz="4" w:space="0" w:color="auto"/>
              <w:right w:val="single" w:sz="4" w:space="0" w:color="auto"/>
            </w:tcBorders>
            <w:tcMar>
              <w:left w:w="0" w:type="dxa"/>
              <w:right w:w="0" w:type="dxa"/>
            </w:tcMar>
          </w:tcPr>
          <w:p w14:paraId="1DAE4C56" w14:textId="77777777" w:rsidR="00FF5110" w:rsidRPr="00691C10" w:rsidRDefault="00FF5110" w:rsidP="005145F6">
            <w:pPr>
              <w:pStyle w:val="TAH"/>
              <w:rPr>
                <w:rFonts w:cs="Arial"/>
              </w:rPr>
            </w:pPr>
            <w:r>
              <w:rPr>
                <w:rFonts w:cs="v4.2.0"/>
              </w:rPr>
              <w:t>T</w:t>
            </w:r>
            <w:r>
              <w:rPr>
                <w:rFonts w:cs="v4.2.0"/>
                <w:vertAlign w:val="subscript"/>
              </w:rPr>
              <w:t>detect,EUTRAN</w:t>
            </w:r>
            <w:r>
              <w:rPr>
                <w:vertAlign w:val="subscript"/>
              </w:rPr>
              <w:t>_RedCap</w:t>
            </w:r>
            <w:r>
              <w:rPr>
                <w:rFonts w:cs="v4.2.0"/>
              </w:rPr>
              <w:t xml:space="preserve"> [s] (number of DRX or eDRX cycles</w:t>
            </w:r>
            <w:r>
              <w:rPr>
                <w:rFonts w:cs="Arial"/>
                <w:vertAlign w:val="superscript"/>
                <w:lang w:eastAsia="zh-CN"/>
              </w:rPr>
              <w:t xml:space="preserve"> Note 3</w:t>
            </w:r>
            <w:r>
              <w:rPr>
                <w:rFonts w:cs="v4.2.0"/>
              </w:rPr>
              <w:t>)</w:t>
            </w:r>
          </w:p>
        </w:tc>
        <w:tc>
          <w:tcPr>
            <w:tcW w:w="669" w:type="pct"/>
            <w:tcBorders>
              <w:top w:val="single" w:sz="4" w:space="0" w:color="auto"/>
              <w:left w:val="single" w:sz="4" w:space="0" w:color="auto"/>
              <w:bottom w:val="single" w:sz="4" w:space="0" w:color="auto"/>
              <w:right w:val="single" w:sz="4" w:space="0" w:color="auto"/>
            </w:tcBorders>
            <w:tcMar>
              <w:left w:w="0" w:type="dxa"/>
              <w:right w:w="0" w:type="dxa"/>
            </w:tcMar>
          </w:tcPr>
          <w:p w14:paraId="42B3369D" w14:textId="77777777" w:rsidR="00FF5110" w:rsidRPr="00691C10" w:rsidRDefault="00FF5110" w:rsidP="005145F6">
            <w:pPr>
              <w:pStyle w:val="TAH"/>
              <w:rPr>
                <w:rFonts w:cs="Arial"/>
                <w:snapToGrid w:val="0"/>
              </w:rPr>
            </w:pPr>
            <w:r>
              <w:rPr>
                <w:rFonts w:cs="v4.2.0"/>
              </w:rPr>
              <w:t>T</w:t>
            </w:r>
            <w:r>
              <w:rPr>
                <w:rFonts w:cs="v4.2.0"/>
                <w:vertAlign w:val="subscript"/>
              </w:rPr>
              <w:t>measure,EUTRAN</w:t>
            </w:r>
            <w:r>
              <w:rPr>
                <w:vertAlign w:val="subscript"/>
              </w:rPr>
              <w:t>_RedCap</w:t>
            </w:r>
            <w:r>
              <w:rPr>
                <w:rFonts w:cs="v4.2.0"/>
              </w:rPr>
              <w:t xml:space="preserve"> [s] (number of DRX or eDRX cycles</w:t>
            </w:r>
            <w:r>
              <w:rPr>
                <w:rFonts w:cs="Arial"/>
                <w:vertAlign w:val="superscript"/>
                <w:lang w:eastAsia="zh-CN"/>
              </w:rPr>
              <w:t xml:space="preserve"> Note 3</w:t>
            </w:r>
            <w:r>
              <w:rPr>
                <w:rFonts w:cs="v4.2.0"/>
              </w:rPr>
              <w:t>)</w:t>
            </w:r>
          </w:p>
        </w:tc>
        <w:tc>
          <w:tcPr>
            <w:tcW w:w="674" w:type="pct"/>
            <w:tcBorders>
              <w:top w:val="single" w:sz="4" w:space="0" w:color="auto"/>
              <w:left w:val="single" w:sz="4" w:space="0" w:color="auto"/>
              <w:bottom w:val="single" w:sz="4" w:space="0" w:color="auto"/>
              <w:right w:val="single" w:sz="4" w:space="0" w:color="auto"/>
            </w:tcBorders>
            <w:tcMar>
              <w:left w:w="0" w:type="dxa"/>
              <w:right w:w="0" w:type="dxa"/>
            </w:tcMar>
          </w:tcPr>
          <w:p w14:paraId="704307CA" w14:textId="77777777" w:rsidR="00FF5110" w:rsidRDefault="00FF5110" w:rsidP="005145F6">
            <w:pPr>
              <w:pStyle w:val="TAH"/>
              <w:rPr>
                <w:rFonts w:cs="Arial"/>
                <w:vertAlign w:val="subscript"/>
              </w:rPr>
            </w:pPr>
            <w:r>
              <w:rPr>
                <w:rFonts w:cs="v4.2.0"/>
              </w:rPr>
              <w:t>T</w:t>
            </w:r>
            <w:r>
              <w:rPr>
                <w:rFonts w:cs="v4.2.0"/>
                <w:vertAlign w:val="subscript"/>
              </w:rPr>
              <w:t>evaluate,E-UTRAN</w:t>
            </w:r>
            <w:r>
              <w:rPr>
                <w:vertAlign w:val="subscript"/>
              </w:rPr>
              <w:t>_RedCap</w:t>
            </w:r>
          </w:p>
          <w:p w14:paraId="568EB9A8" w14:textId="77777777" w:rsidR="00FF5110" w:rsidRPr="00691C10" w:rsidRDefault="00FF5110" w:rsidP="005145F6">
            <w:pPr>
              <w:pStyle w:val="TAH"/>
              <w:rPr>
                <w:rFonts w:cs="Arial"/>
              </w:rPr>
            </w:pPr>
            <w:r>
              <w:rPr>
                <w:rFonts w:cs="Arial"/>
              </w:rPr>
              <w:t xml:space="preserve">[s] (number of DRX </w:t>
            </w:r>
            <w:r>
              <w:rPr>
                <w:rFonts w:cs="v4.2.0"/>
              </w:rPr>
              <w:t>or eDRX</w:t>
            </w:r>
            <w:r>
              <w:rPr>
                <w:rFonts w:cs="Arial"/>
              </w:rPr>
              <w:t xml:space="preserve"> cycles</w:t>
            </w:r>
            <w:r>
              <w:rPr>
                <w:rFonts w:cs="Arial"/>
                <w:vertAlign w:val="superscript"/>
                <w:lang w:eastAsia="zh-CN"/>
              </w:rPr>
              <w:t xml:space="preserve"> Note 3</w:t>
            </w:r>
            <w:r>
              <w:rPr>
                <w:rFonts w:cs="Arial"/>
              </w:rPr>
              <w:t>)</w:t>
            </w:r>
          </w:p>
        </w:tc>
      </w:tr>
      <w:tr w:rsidR="00FF5110" w:rsidRPr="00691C10" w14:paraId="3EA658EB" w14:textId="77777777" w:rsidTr="005145F6">
        <w:trPr>
          <w:cantSplit/>
          <w:jc w:val="center"/>
        </w:trPr>
        <w:tc>
          <w:tcPr>
            <w:tcW w:w="594" w:type="pct"/>
            <w:tcBorders>
              <w:top w:val="single" w:sz="4" w:space="0" w:color="auto"/>
              <w:left w:val="single" w:sz="4" w:space="0" w:color="auto"/>
              <w:bottom w:val="single" w:sz="4" w:space="0" w:color="auto"/>
              <w:right w:val="single" w:sz="4" w:space="0" w:color="auto"/>
            </w:tcBorders>
            <w:tcMar>
              <w:left w:w="0" w:type="dxa"/>
              <w:right w:w="0" w:type="dxa"/>
            </w:tcMar>
          </w:tcPr>
          <w:p w14:paraId="79B75DF9" w14:textId="77777777" w:rsidR="00FF5110" w:rsidRPr="009E4A49" w:rsidRDefault="00FF5110" w:rsidP="005145F6">
            <w:pPr>
              <w:pStyle w:val="TAH"/>
              <w:rPr>
                <w:rFonts w:cs="v4.2.0"/>
                <w:b w:val="0"/>
                <w:lang w:eastAsia="zh-CN"/>
              </w:rPr>
            </w:pPr>
            <w:r w:rsidRPr="009E4A49">
              <w:rPr>
                <w:rFonts w:cs="Arial"/>
                <w:b w:val="0"/>
                <w:lang w:val="en-US" w:eastAsia="zh-CN"/>
              </w:rPr>
              <w:t>2.56</w:t>
            </w:r>
          </w:p>
        </w:tc>
        <w:tc>
          <w:tcPr>
            <w:tcW w:w="281" w:type="pct"/>
            <w:tcBorders>
              <w:top w:val="single" w:sz="4" w:space="0" w:color="auto"/>
              <w:left w:val="single" w:sz="4" w:space="0" w:color="auto"/>
              <w:bottom w:val="single" w:sz="4" w:space="0" w:color="auto"/>
              <w:right w:val="single" w:sz="4" w:space="0" w:color="auto"/>
            </w:tcBorders>
            <w:tcMar>
              <w:left w:w="0" w:type="dxa"/>
              <w:right w:w="0" w:type="dxa"/>
            </w:tcMar>
          </w:tcPr>
          <w:p w14:paraId="0A9D0A61" w14:textId="77777777" w:rsidR="00FF5110" w:rsidRPr="009E4A49" w:rsidRDefault="00FF5110" w:rsidP="005145F6">
            <w:pPr>
              <w:pStyle w:val="TAH"/>
              <w:rPr>
                <w:rFonts w:cs="v4.2.0"/>
                <w:b w:val="0"/>
              </w:rPr>
            </w:pPr>
            <w:r w:rsidRPr="009E4A49">
              <w:rPr>
                <w:rFonts w:cs="Arial"/>
                <w:b w:val="0"/>
                <w:lang w:eastAsia="zh-CN"/>
              </w:rPr>
              <w:t>N/A</w:t>
            </w:r>
          </w:p>
        </w:tc>
        <w:tc>
          <w:tcPr>
            <w:tcW w:w="362" w:type="pct"/>
            <w:tcBorders>
              <w:top w:val="single" w:sz="4" w:space="0" w:color="auto"/>
              <w:left w:val="single" w:sz="4" w:space="0" w:color="auto"/>
              <w:bottom w:val="single" w:sz="4" w:space="0" w:color="auto"/>
              <w:right w:val="single" w:sz="4" w:space="0" w:color="auto"/>
            </w:tcBorders>
            <w:tcMar>
              <w:left w:w="0" w:type="dxa"/>
              <w:right w:w="0" w:type="dxa"/>
            </w:tcMar>
          </w:tcPr>
          <w:p w14:paraId="45A3D486" w14:textId="77777777" w:rsidR="00FF5110" w:rsidRPr="009E4A49" w:rsidRDefault="00FF5110" w:rsidP="005145F6">
            <w:pPr>
              <w:pStyle w:val="TAH"/>
              <w:rPr>
                <w:rFonts w:cs="v4.2.0"/>
                <w:b w:val="0"/>
              </w:rPr>
            </w:pPr>
            <w:r w:rsidRPr="009E4A49">
              <w:rPr>
                <w:rFonts w:cs="Arial"/>
                <w:b w:val="0"/>
                <w:lang w:eastAsia="zh-CN"/>
              </w:rPr>
              <w:t>N/A</w:t>
            </w:r>
          </w:p>
        </w:tc>
        <w:tc>
          <w:tcPr>
            <w:tcW w:w="2420" w:type="pct"/>
            <w:tcBorders>
              <w:top w:val="single" w:sz="4" w:space="0" w:color="auto"/>
              <w:left w:val="single" w:sz="4" w:space="0" w:color="auto"/>
              <w:bottom w:val="single" w:sz="4" w:space="0" w:color="auto"/>
              <w:right w:val="single" w:sz="4" w:space="0" w:color="auto"/>
            </w:tcBorders>
            <w:tcMar>
              <w:left w:w="0" w:type="dxa"/>
              <w:right w:w="0" w:type="dxa"/>
            </w:tcMar>
          </w:tcPr>
          <w:p w14:paraId="391CF5BE" w14:textId="77777777" w:rsidR="00FF5110" w:rsidRPr="009E4A49" w:rsidRDefault="00FF5110" w:rsidP="005145F6">
            <w:pPr>
              <w:pStyle w:val="TAH"/>
              <w:rPr>
                <w:rFonts w:cs="v4.2.0"/>
                <w:b w:val="0"/>
              </w:rPr>
            </w:pPr>
            <w:r w:rsidRPr="009E4A49">
              <w:rPr>
                <w:rFonts w:cs="Arial"/>
                <w:b w:val="0"/>
                <w:lang w:eastAsia="zh-CN"/>
              </w:rPr>
              <w:t>58.88 (23)</w:t>
            </w:r>
          </w:p>
        </w:tc>
        <w:tc>
          <w:tcPr>
            <w:tcW w:w="669" w:type="pct"/>
            <w:tcBorders>
              <w:top w:val="single" w:sz="4" w:space="0" w:color="auto"/>
              <w:left w:val="single" w:sz="4" w:space="0" w:color="auto"/>
              <w:bottom w:val="single" w:sz="4" w:space="0" w:color="auto"/>
              <w:right w:val="single" w:sz="4" w:space="0" w:color="auto"/>
            </w:tcBorders>
            <w:tcMar>
              <w:left w:w="0" w:type="dxa"/>
              <w:right w:w="0" w:type="dxa"/>
            </w:tcMar>
          </w:tcPr>
          <w:p w14:paraId="270C446E" w14:textId="77777777" w:rsidR="00FF5110" w:rsidRPr="009E4A49" w:rsidRDefault="00FF5110" w:rsidP="005145F6">
            <w:pPr>
              <w:pStyle w:val="TAH"/>
              <w:rPr>
                <w:rFonts w:cs="v4.2.0"/>
                <w:b w:val="0"/>
              </w:rPr>
            </w:pPr>
            <w:r w:rsidRPr="009E4A49">
              <w:rPr>
                <w:rFonts w:cs="Arial"/>
                <w:b w:val="0"/>
                <w:lang w:eastAsia="zh-CN"/>
              </w:rPr>
              <w:t>2.56 (1)</w:t>
            </w:r>
          </w:p>
        </w:tc>
        <w:tc>
          <w:tcPr>
            <w:tcW w:w="674" w:type="pct"/>
            <w:tcBorders>
              <w:top w:val="single" w:sz="4" w:space="0" w:color="auto"/>
              <w:left w:val="single" w:sz="4" w:space="0" w:color="auto"/>
              <w:bottom w:val="single" w:sz="4" w:space="0" w:color="auto"/>
              <w:right w:val="single" w:sz="4" w:space="0" w:color="auto"/>
            </w:tcBorders>
            <w:tcMar>
              <w:left w:w="0" w:type="dxa"/>
              <w:right w:w="0" w:type="dxa"/>
            </w:tcMar>
          </w:tcPr>
          <w:p w14:paraId="1CA9F19A" w14:textId="77777777" w:rsidR="00FF5110" w:rsidRPr="009E4A49" w:rsidRDefault="00FF5110" w:rsidP="005145F6">
            <w:pPr>
              <w:pStyle w:val="TAH"/>
              <w:rPr>
                <w:rFonts w:cs="v4.2.0"/>
                <w:b w:val="0"/>
              </w:rPr>
            </w:pPr>
            <w:r w:rsidRPr="009E4A49">
              <w:rPr>
                <w:rFonts w:cs="Arial"/>
                <w:b w:val="0"/>
                <w:lang w:eastAsia="zh-CN"/>
              </w:rPr>
              <w:t>7.68 (3)</w:t>
            </w:r>
          </w:p>
        </w:tc>
      </w:tr>
      <w:tr w:rsidR="00FF5110" w:rsidRPr="00691C10" w14:paraId="59955F8A" w14:textId="77777777" w:rsidTr="005145F6">
        <w:trPr>
          <w:cantSplit/>
          <w:jc w:val="center"/>
        </w:trPr>
        <w:tc>
          <w:tcPr>
            <w:tcW w:w="594" w:type="pct"/>
            <w:tcBorders>
              <w:top w:val="single" w:sz="4" w:space="0" w:color="auto"/>
              <w:left w:val="single" w:sz="4" w:space="0" w:color="auto"/>
              <w:bottom w:val="single" w:sz="4" w:space="0" w:color="auto"/>
              <w:right w:val="single" w:sz="4" w:space="0" w:color="auto"/>
            </w:tcBorders>
            <w:vAlign w:val="center"/>
          </w:tcPr>
          <w:p w14:paraId="0EADFD26" w14:textId="77777777" w:rsidR="00FF5110" w:rsidRPr="00691C10" w:rsidRDefault="00FF5110" w:rsidP="005145F6">
            <w:pPr>
              <w:pStyle w:val="TAC"/>
              <w:rPr>
                <w:rFonts w:cs="Arial"/>
              </w:rPr>
            </w:pPr>
            <w:r>
              <w:rPr>
                <w:rFonts w:cs="Arial"/>
              </w:rPr>
              <w:t>5.12</w:t>
            </w:r>
          </w:p>
        </w:tc>
        <w:tc>
          <w:tcPr>
            <w:tcW w:w="281" w:type="pct"/>
            <w:tcBorders>
              <w:top w:val="single" w:sz="4" w:space="0" w:color="auto"/>
              <w:left w:val="single" w:sz="4" w:space="0" w:color="auto"/>
              <w:bottom w:val="single" w:sz="4" w:space="0" w:color="auto"/>
              <w:right w:val="single" w:sz="4" w:space="0" w:color="auto"/>
            </w:tcBorders>
          </w:tcPr>
          <w:p w14:paraId="43D5631C" w14:textId="77777777" w:rsidR="00FF5110" w:rsidRPr="00691C10" w:rsidRDefault="00FF5110" w:rsidP="005145F6">
            <w:pPr>
              <w:pStyle w:val="TAC"/>
              <w:rPr>
                <w:rFonts w:cs="Arial"/>
              </w:rPr>
            </w:pPr>
            <w:r>
              <w:rPr>
                <w:rFonts w:cs="Arial"/>
                <w:lang w:eastAsia="zh-CN"/>
              </w:rPr>
              <w:t>N/A</w:t>
            </w:r>
          </w:p>
        </w:tc>
        <w:tc>
          <w:tcPr>
            <w:tcW w:w="362" w:type="pct"/>
            <w:tcBorders>
              <w:top w:val="single" w:sz="4" w:space="0" w:color="auto"/>
              <w:left w:val="single" w:sz="4" w:space="0" w:color="auto"/>
              <w:bottom w:val="single" w:sz="4" w:space="0" w:color="auto"/>
              <w:right w:val="single" w:sz="4" w:space="0" w:color="auto"/>
            </w:tcBorders>
          </w:tcPr>
          <w:p w14:paraId="6C480DE0" w14:textId="77777777" w:rsidR="00FF5110" w:rsidRPr="00691C10" w:rsidRDefault="00FF5110" w:rsidP="005145F6">
            <w:pPr>
              <w:pStyle w:val="TAC"/>
              <w:rPr>
                <w:rFonts w:cs="Arial"/>
              </w:rPr>
            </w:pPr>
            <w:r>
              <w:rPr>
                <w:rFonts w:cs="Arial"/>
                <w:lang w:eastAsia="zh-CN"/>
              </w:rPr>
              <w:t>N/A</w:t>
            </w:r>
          </w:p>
        </w:tc>
        <w:tc>
          <w:tcPr>
            <w:tcW w:w="2420" w:type="pct"/>
            <w:tcBorders>
              <w:top w:val="single" w:sz="4" w:space="0" w:color="auto"/>
              <w:left w:val="single" w:sz="4" w:space="0" w:color="auto"/>
              <w:bottom w:val="single" w:sz="4" w:space="0" w:color="auto"/>
              <w:right w:val="single" w:sz="4" w:space="0" w:color="auto"/>
            </w:tcBorders>
            <w:tcMar>
              <w:left w:w="0" w:type="dxa"/>
              <w:right w:w="0" w:type="dxa"/>
            </w:tcMar>
          </w:tcPr>
          <w:p w14:paraId="23492903" w14:textId="77777777" w:rsidR="00FF5110" w:rsidRPr="00691C10" w:rsidRDefault="00FF5110" w:rsidP="005145F6">
            <w:pPr>
              <w:pStyle w:val="TOC1"/>
              <w:spacing w:before="0"/>
              <w:ind w:left="0" w:right="0" w:firstLine="0"/>
              <w:jc w:val="center"/>
              <w:rPr>
                <w:rFonts w:ascii="Arial" w:hAnsi="Arial" w:cs="Arial"/>
                <w:sz w:val="18"/>
                <w:szCs w:val="18"/>
              </w:rPr>
            </w:pPr>
            <w:r>
              <w:rPr>
                <w:rFonts w:ascii="Arial" w:hAnsi="Arial" w:cs="Arial"/>
                <w:sz w:val="18"/>
                <w:szCs w:val="18"/>
                <w:lang w:eastAsia="zh-CN"/>
              </w:rPr>
              <w:t>117.76 (23)</w:t>
            </w:r>
          </w:p>
        </w:tc>
        <w:tc>
          <w:tcPr>
            <w:tcW w:w="669" w:type="pct"/>
            <w:tcBorders>
              <w:top w:val="single" w:sz="4" w:space="0" w:color="auto"/>
              <w:left w:val="single" w:sz="4" w:space="0" w:color="auto"/>
              <w:bottom w:val="single" w:sz="4" w:space="0" w:color="auto"/>
              <w:right w:val="single" w:sz="4" w:space="0" w:color="auto"/>
            </w:tcBorders>
          </w:tcPr>
          <w:p w14:paraId="48B71B73" w14:textId="77777777" w:rsidR="00FF5110" w:rsidRPr="00691C10" w:rsidRDefault="00FF5110" w:rsidP="005145F6">
            <w:pPr>
              <w:keepNext/>
              <w:keepLines/>
              <w:spacing w:after="0"/>
              <w:jc w:val="center"/>
              <w:rPr>
                <w:rFonts w:ascii="Arial" w:hAnsi="Arial" w:cs="Arial"/>
                <w:snapToGrid w:val="0"/>
                <w:sz w:val="18"/>
                <w:szCs w:val="18"/>
              </w:rPr>
            </w:pPr>
            <w:r>
              <w:rPr>
                <w:rFonts w:ascii="Arial" w:hAnsi="Arial" w:cs="Arial"/>
                <w:snapToGrid w:val="0"/>
                <w:sz w:val="18"/>
                <w:szCs w:val="18"/>
                <w:lang w:eastAsia="zh-CN"/>
              </w:rPr>
              <w:t>5.12 (1)</w:t>
            </w:r>
          </w:p>
        </w:tc>
        <w:tc>
          <w:tcPr>
            <w:tcW w:w="674" w:type="pct"/>
            <w:tcBorders>
              <w:top w:val="single" w:sz="4" w:space="0" w:color="auto"/>
              <w:left w:val="single" w:sz="4" w:space="0" w:color="auto"/>
              <w:bottom w:val="single" w:sz="4" w:space="0" w:color="auto"/>
              <w:right w:val="single" w:sz="4" w:space="0" w:color="auto"/>
            </w:tcBorders>
          </w:tcPr>
          <w:p w14:paraId="33A4EFEE" w14:textId="77777777" w:rsidR="00FF5110" w:rsidRPr="00691C10" w:rsidRDefault="00FF5110" w:rsidP="005145F6">
            <w:pPr>
              <w:pStyle w:val="TAC"/>
              <w:rPr>
                <w:rFonts w:cs="Arial"/>
                <w:snapToGrid w:val="0"/>
              </w:rPr>
            </w:pPr>
            <w:r>
              <w:rPr>
                <w:rFonts w:cs="Arial"/>
                <w:snapToGrid w:val="0"/>
                <w:szCs w:val="18"/>
                <w:lang w:eastAsia="zh-CN"/>
              </w:rPr>
              <w:t>10.24 (2)</w:t>
            </w:r>
          </w:p>
        </w:tc>
      </w:tr>
      <w:tr w:rsidR="00AB0056" w:rsidRPr="00691C10" w14:paraId="5F7B7731" w14:textId="77777777" w:rsidTr="005145F6">
        <w:trPr>
          <w:cantSplit/>
          <w:jc w:val="center"/>
        </w:trPr>
        <w:tc>
          <w:tcPr>
            <w:tcW w:w="594" w:type="pct"/>
            <w:tcBorders>
              <w:top w:val="single" w:sz="4" w:space="0" w:color="auto"/>
              <w:left w:val="single" w:sz="4" w:space="0" w:color="auto"/>
              <w:bottom w:val="single" w:sz="4" w:space="0" w:color="auto"/>
              <w:right w:val="single" w:sz="4" w:space="0" w:color="auto"/>
            </w:tcBorders>
            <w:vAlign w:val="center"/>
          </w:tcPr>
          <w:p w14:paraId="5573735A" w14:textId="0E5FF32C" w:rsidR="00AB0056" w:rsidRDefault="00AB0056" w:rsidP="00AB0056">
            <w:pPr>
              <w:pStyle w:val="TAC"/>
              <w:rPr>
                <w:rFonts w:cs="Arial"/>
              </w:rPr>
            </w:pPr>
            <w:r>
              <w:rPr>
                <w:rFonts w:cs="Arial" w:hint="eastAsia"/>
                <w:lang w:eastAsia="zh-CN"/>
              </w:rPr>
              <w:t>1</w:t>
            </w:r>
            <w:r>
              <w:rPr>
                <w:rFonts w:cs="Arial"/>
                <w:lang w:eastAsia="zh-CN"/>
              </w:rPr>
              <w:t>0.24</w:t>
            </w:r>
          </w:p>
        </w:tc>
        <w:tc>
          <w:tcPr>
            <w:tcW w:w="281" w:type="pct"/>
            <w:tcBorders>
              <w:top w:val="single" w:sz="4" w:space="0" w:color="auto"/>
              <w:left w:val="single" w:sz="4" w:space="0" w:color="auto"/>
              <w:bottom w:val="single" w:sz="4" w:space="0" w:color="auto"/>
              <w:right w:val="single" w:sz="4" w:space="0" w:color="auto"/>
            </w:tcBorders>
          </w:tcPr>
          <w:p w14:paraId="491D22DB" w14:textId="12009DA1" w:rsidR="00AB0056" w:rsidRDefault="00AB0056" w:rsidP="00AB0056">
            <w:pPr>
              <w:pStyle w:val="TAC"/>
              <w:rPr>
                <w:rFonts w:cs="Arial"/>
                <w:lang w:eastAsia="zh-CN"/>
              </w:rPr>
            </w:pPr>
            <w:r>
              <w:rPr>
                <w:rFonts w:cs="Arial"/>
                <w:lang w:eastAsia="zh-CN"/>
              </w:rPr>
              <w:t>N/A</w:t>
            </w:r>
          </w:p>
        </w:tc>
        <w:tc>
          <w:tcPr>
            <w:tcW w:w="362" w:type="pct"/>
            <w:tcBorders>
              <w:top w:val="single" w:sz="4" w:space="0" w:color="auto"/>
              <w:left w:val="single" w:sz="4" w:space="0" w:color="auto"/>
              <w:bottom w:val="single" w:sz="4" w:space="0" w:color="auto"/>
              <w:right w:val="single" w:sz="4" w:space="0" w:color="auto"/>
            </w:tcBorders>
          </w:tcPr>
          <w:p w14:paraId="7DCEF941" w14:textId="3CABD745" w:rsidR="00AB0056" w:rsidRDefault="00AB0056" w:rsidP="00AB0056">
            <w:pPr>
              <w:pStyle w:val="TAC"/>
              <w:rPr>
                <w:rFonts w:cs="Arial"/>
                <w:lang w:eastAsia="zh-CN"/>
              </w:rPr>
            </w:pPr>
            <w:r>
              <w:rPr>
                <w:rFonts w:cs="Arial"/>
                <w:lang w:eastAsia="zh-CN"/>
              </w:rPr>
              <w:t>N/A</w:t>
            </w:r>
          </w:p>
        </w:tc>
        <w:tc>
          <w:tcPr>
            <w:tcW w:w="2420" w:type="pct"/>
            <w:tcBorders>
              <w:top w:val="single" w:sz="4" w:space="0" w:color="auto"/>
              <w:left w:val="single" w:sz="4" w:space="0" w:color="auto"/>
              <w:bottom w:val="single" w:sz="4" w:space="0" w:color="auto"/>
              <w:right w:val="single" w:sz="4" w:space="0" w:color="auto"/>
            </w:tcBorders>
            <w:tcMar>
              <w:left w:w="0" w:type="dxa"/>
              <w:right w:w="0" w:type="dxa"/>
            </w:tcMar>
          </w:tcPr>
          <w:p w14:paraId="083D40AE" w14:textId="276E4B3C" w:rsidR="00AB0056" w:rsidRDefault="00AB0056" w:rsidP="00AB0056">
            <w:pPr>
              <w:pStyle w:val="TOC1"/>
              <w:spacing w:before="0"/>
              <w:ind w:left="0" w:right="0" w:firstLine="0"/>
              <w:jc w:val="center"/>
              <w:rPr>
                <w:rFonts w:ascii="Arial" w:hAnsi="Arial" w:cs="Arial"/>
                <w:sz w:val="18"/>
                <w:szCs w:val="18"/>
                <w:lang w:eastAsia="zh-CN"/>
              </w:rPr>
            </w:pPr>
            <w:r w:rsidRPr="00581E8E">
              <w:rPr>
                <w:rFonts w:ascii="Arial" w:hAnsi="Arial" w:cs="Arial"/>
                <w:sz w:val="18"/>
                <w:lang w:eastAsia="zh-CN"/>
              </w:rPr>
              <w:t>235.52 (23)</w:t>
            </w:r>
          </w:p>
        </w:tc>
        <w:tc>
          <w:tcPr>
            <w:tcW w:w="669" w:type="pct"/>
            <w:tcBorders>
              <w:top w:val="single" w:sz="4" w:space="0" w:color="auto"/>
              <w:left w:val="single" w:sz="4" w:space="0" w:color="auto"/>
              <w:bottom w:val="single" w:sz="4" w:space="0" w:color="auto"/>
              <w:right w:val="single" w:sz="4" w:space="0" w:color="auto"/>
            </w:tcBorders>
          </w:tcPr>
          <w:p w14:paraId="30E715AC" w14:textId="4D48F61E" w:rsidR="00AB0056" w:rsidRDefault="00AB0056" w:rsidP="00AB0056">
            <w:pPr>
              <w:keepNext/>
              <w:keepLines/>
              <w:spacing w:after="0"/>
              <w:jc w:val="center"/>
              <w:rPr>
                <w:rFonts w:ascii="Arial" w:hAnsi="Arial" w:cs="Arial"/>
                <w:snapToGrid w:val="0"/>
                <w:sz w:val="18"/>
                <w:szCs w:val="18"/>
                <w:lang w:eastAsia="zh-CN"/>
              </w:rPr>
            </w:pPr>
            <w:r w:rsidRPr="00581E8E">
              <w:rPr>
                <w:rFonts w:ascii="Arial" w:hAnsi="Arial" w:cs="Arial"/>
                <w:sz w:val="18"/>
                <w:lang w:eastAsia="zh-CN"/>
              </w:rPr>
              <w:t>10.24 (1)</w:t>
            </w:r>
          </w:p>
        </w:tc>
        <w:tc>
          <w:tcPr>
            <w:tcW w:w="674" w:type="pct"/>
            <w:tcBorders>
              <w:top w:val="single" w:sz="4" w:space="0" w:color="auto"/>
              <w:left w:val="single" w:sz="4" w:space="0" w:color="auto"/>
              <w:bottom w:val="single" w:sz="4" w:space="0" w:color="auto"/>
              <w:right w:val="single" w:sz="4" w:space="0" w:color="auto"/>
            </w:tcBorders>
          </w:tcPr>
          <w:p w14:paraId="2C3745BF" w14:textId="0316B505" w:rsidR="00AB0056" w:rsidRDefault="00AB0056" w:rsidP="00AB0056">
            <w:pPr>
              <w:pStyle w:val="TAC"/>
              <w:rPr>
                <w:rFonts w:cs="Arial"/>
                <w:snapToGrid w:val="0"/>
                <w:szCs w:val="18"/>
                <w:lang w:eastAsia="zh-CN"/>
              </w:rPr>
            </w:pPr>
            <w:r w:rsidRPr="00581E8E">
              <w:rPr>
                <w:rFonts w:cs="Arial"/>
                <w:lang w:eastAsia="zh-CN"/>
              </w:rPr>
              <w:t>20.48 (2)</w:t>
            </w:r>
          </w:p>
        </w:tc>
      </w:tr>
      <w:tr w:rsidR="00FF5110" w:rsidRPr="00691C10" w14:paraId="0BFBC77D" w14:textId="77777777" w:rsidTr="005145F6">
        <w:trPr>
          <w:cantSplit/>
          <w:jc w:val="center"/>
        </w:trPr>
        <w:tc>
          <w:tcPr>
            <w:tcW w:w="594" w:type="pct"/>
            <w:vMerge w:val="restart"/>
            <w:vAlign w:val="center"/>
          </w:tcPr>
          <w:p w14:paraId="527F286B" w14:textId="1AD0A72A" w:rsidR="00FF5110" w:rsidRPr="00691C10" w:rsidRDefault="00AB0056" w:rsidP="005145F6">
            <w:pPr>
              <w:pStyle w:val="TAC"/>
              <w:rPr>
                <w:rFonts w:cs="Arial"/>
              </w:rPr>
            </w:pPr>
            <w:r>
              <w:rPr>
                <w:rFonts w:cs="Arial"/>
              </w:rPr>
              <w:t>20.48</w:t>
            </w:r>
            <w:r w:rsidRPr="00633B10">
              <w:rPr>
                <w:rFonts w:cs="Arial"/>
              </w:rPr>
              <w:t xml:space="preserve"> ≤ eDRX_IDLE cycle length ≤</w:t>
            </w:r>
            <w:r w:rsidRPr="00581E8E">
              <w:rPr>
                <w:rFonts w:cs="Arial"/>
                <w:lang w:eastAsia="zh-CN"/>
              </w:rPr>
              <w:t>10485.76</w:t>
            </w:r>
          </w:p>
        </w:tc>
        <w:tc>
          <w:tcPr>
            <w:tcW w:w="281" w:type="pct"/>
          </w:tcPr>
          <w:p w14:paraId="733E714D" w14:textId="77777777" w:rsidR="00FF5110" w:rsidRPr="00691C10" w:rsidRDefault="00FF5110" w:rsidP="005145F6">
            <w:pPr>
              <w:pStyle w:val="TAC"/>
              <w:rPr>
                <w:rFonts w:cs="Arial"/>
                <w:snapToGrid w:val="0"/>
              </w:rPr>
            </w:pPr>
            <w:r w:rsidRPr="00691C10">
              <w:rPr>
                <w:rFonts w:cs="Arial"/>
              </w:rPr>
              <w:t>0.32</w:t>
            </w:r>
          </w:p>
        </w:tc>
        <w:tc>
          <w:tcPr>
            <w:tcW w:w="362" w:type="pct"/>
          </w:tcPr>
          <w:p w14:paraId="3D8D8E69" w14:textId="77777777" w:rsidR="00FF5110" w:rsidRPr="00691C10" w:rsidRDefault="00FF5110" w:rsidP="005145F6">
            <w:pPr>
              <w:pStyle w:val="TAC"/>
              <w:rPr>
                <w:rFonts w:cs="Arial"/>
              </w:rPr>
            </w:pPr>
            <w:r w:rsidRPr="00691C10">
              <w:rPr>
                <w:rFonts w:cs="Arial"/>
              </w:rPr>
              <w:t>≥1</w:t>
            </w:r>
            <w:r w:rsidRPr="00691C10">
              <w:rPr>
                <w:rFonts w:cs="Arial" w:hint="eastAsia"/>
                <w:lang w:eastAsia="zh-CN"/>
              </w:rPr>
              <w:t>.28 (1)</w:t>
            </w:r>
          </w:p>
        </w:tc>
        <w:tc>
          <w:tcPr>
            <w:tcW w:w="2420" w:type="pct"/>
            <w:vMerge w:val="restart"/>
            <w:tcMar>
              <w:left w:w="0" w:type="dxa"/>
              <w:right w:w="0" w:type="dxa"/>
            </w:tcMar>
          </w:tcPr>
          <w:p w14:paraId="7A9D1A4C" w14:textId="77777777" w:rsidR="00FF5110" w:rsidRPr="00691C10" w:rsidRDefault="00FF5110" w:rsidP="005145F6">
            <w:pPr>
              <w:pStyle w:val="TOC1"/>
              <w:spacing w:before="0"/>
              <w:ind w:left="0" w:right="0" w:firstLine="0"/>
              <w:jc w:val="center"/>
              <w:rPr>
                <w:rFonts w:ascii="Arial" w:hAnsi="Arial" w:cs="Arial"/>
                <w:snapToGrid w:val="0"/>
                <w:sz w:val="18"/>
                <w:szCs w:val="18"/>
              </w:rPr>
            </w:pPr>
            <w:r w:rsidRPr="00691C10">
              <w:rPr>
                <w:rFonts w:ascii="Arial" w:hAnsi="Arial" w:cs="Arial"/>
                <w:position w:val="-32"/>
                <w:sz w:val="18"/>
                <w:szCs w:val="18"/>
              </w:rPr>
              <w:object w:dxaOrig="5460" w:dyaOrig="760" w14:anchorId="00737886">
                <v:shape id="_x0000_i1026" type="#_x0000_t75" alt="" style="width:229.5pt;height:27pt;mso-width-percent:0;mso-height-percent:0;mso-width-percent:0;mso-height-percent:0" o:ole="">
                  <v:imagedata r:id="rId13" o:title=""/>
                </v:shape>
                <o:OLEObject Type="Embed" ProgID="Equation.3" ShapeID="_x0000_i1026" DrawAspect="Content" ObjectID="_1749665162" r:id="rId15"/>
              </w:object>
            </w:r>
            <w:r w:rsidRPr="00691C10">
              <w:rPr>
                <w:rFonts w:ascii="Arial" w:hAnsi="Arial" w:cs="Arial"/>
                <w:sz w:val="18"/>
                <w:szCs w:val="18"/>
              </w:rPr>
              <w:t xml:space="preserve"> (23)</w:t>
            </w:r>
          </w:p>
        </w:tc>
        <w:tc>
          <w:tcPr>
            <w:tcW w:w="669" w:type="pct"/>
          </w:tcPr>
          <w:p w14:paraId="7806D2BD" w14:textId="77777777" w:rsidR="00FF5110" w:rsidRPr="00691C10" w:rsidRDefault="00FF5110" w:rsidP="005145F6">
            <w:pPr>
              <w:keepNext/>
              <w:keepLines/>
              <w:spacing w:after="0"/>
              <w:jc w:val="center"/>
              <w:rPr>
                <w:rFonts w:ascii="Arial" w:hAnsi="Arial" w:cs="Arial"/>
                <w:snapToGrid w:val="0"/>
                <w:sz w:val="18"/>
                <w:szCs w:val="18"/>
              </w:rPr>
            </w:pPr>
            <w:r w:rsidRPr="00691C10">
              <w:rPr>
                <w:rFonts w:ascii="Arial" w:hAnsi="Arial" w:cs="Arial"/>
                <w:snapToGrid w:val="0"/>
                <w:sz w:val="18"/>
                <w:szCs w:val="18"/>
              </w:rPr>
              <w:t>0.32 (1)</w:t>
            </w:r>
          </w:p>
        </w:tc>
        <w:tc>
          <w:tcPr>
            <w:tcW w:w="674" w:type="pct"/>
          </w:tcPr>
          <w:p w14:paraId="38CF83B0" w14:textId="77777777" w:rsidR="00FF5110" w:rsidRPr="00691C10" w:rsidRDefault="00FF5110" w:rsidP="005145F6">
            <w:pPr>
              <w:pStyle w:val="TAC"/>
              <w:rPr>
                <w:rFonts w:cs="Arial"/>
                <w:snapToGrid w:val="0"/>
              </w:rPr>
            </w:pPr>
            <w:r w:rsidRPr="00691C10">
              <w:rPr>
                <w:rFonts w:cs="Arial"/>
                <w:snapToGrid w:val="0"/>
              </w:rPr>
              <w:t>0.64 (2)</w:t>
            </w:r>
          </w:p>
        </w:tc>
      </w:tr>
      <w:tr w:rsidR="00FF5110" w:rsidRPr="00691C10" w14:paraId="71EDF443" w14:textId="77777777" w:rsidTr="005145F6">
        <w:trPr>
          <w:cantSplit/>
          <w:jc w:val="center"/>
        </w:trPr>
        <w:tc>
          <w:tcPr>
            <w:tcW w:w="594" w:type="pct"/>
            <w:vMerge/>
          </w:tcPr>
          <w:p w14:paraId="5520C400" w14:textId="77777777" w:rsidR="00FF5110" w:rsidRPr="00691C10" w:rsidRDefault="00FF5110" w:rsidP="005145F6">
            <w:pPr>
              <w:pStyle w:val="TAC"/>
              <w:rPr>
                <w:rFonts w:cs="Arial"/>
              </w:rPr>
            </w:pPr>
          </w:p>
        </w:tc>
        <w:tc>
          <w:tcPr>
            <w:tcW w:w="281" w:type="pct"/>
          </w:tcPr>
          <w:p w14:paraId="650C19AD" w14:textId="77777777" w:rsidR="00FF5110" w:rsidRPr="00691C10" w:rsidRDefault="00FF5110" w:rsidP="005145F6">
            <w:pPr>
              <w:pStyle w:val="TAC"/>
              <w:rPr>
                <w:rFonts w:cs="Arial"/>
                <w:snapToGrid w:val="0"/>
              </w:rPr>
            </w:pPr>
            <w:r w:rsidRPr="00691C10">
              <w:rPr>
                <w:rFonts w:cs="Arial"/>
              </w:rPr>
              <w:t>0.64</w:t>
            </w:r>
          </w:p>
        </w:tc>
        <w:tc>
          <w:tcPr>
            <w:tcW w:w="362" w:type="pct"/>
          </w:tcPr>
          <w:p w14:paraId="1C41EE59" w14:textId="77777777" w:rsidR="00FF5110" w:rsidRPr="00691C10" w:rsidRDefault="00FF5110" w:rsidP="005145F6">
            <w:pPr>
              <w:pStyle w:val="TAC"/>
              <w:rPr>
                <w:rFonts w:cs="Arial"/>
              </w:rPr>
            </w:pPr>
            <w:r w:rsidRPr="00691C10">
              <w:rPr>
                <w:rFonts w:cs="Arial"/>
                <w:lang w:eastAsia="ja-JP"/>
              </w:rPr>
              <w:t>≥</w:t>
            </w:r>
            <w:r w:rsidRPr="00691C10">
              <w:rPr>
                <w:rFonts w:cs="Arial" w:hint="eastAsia"/>
                <w:lang w:eastAsia="zh-CN"/>
              </w:rPr>
              <w:t>1.</w:t>
            </w:r>
            <w:r w:rsidRPr="00691C10">
              <w:rPr>
                <w:rFonts w:cs="Arial"/>
                <w:lang w:eastAsia="ja-JP"/>
              </w:rPr>
              <w:t>2</w:t>
            </w:r>
            <w:r w:rsidRPr="00691C10">
              <w:rPr>
                <w:rFonts w:cs="Arial" w:hint="eastAsia"/>
                <w:lang w:eastAsia="zh-CN"/>
              </w:rPr>
              <w:t>8 (1)</w:t>
            </w:r>
          </w:p>
        </w:tc>
        <w:tc>
          <w:tcPr>
            <w:tcW w:w="2420" w:type="pct"/>
            <w:vMerge/>
          </w:tcPr>
          <w:p w14:paraId="28618069" w14:textId="77777777" w:rsidR="00FF5110" w:rsidRPr="00691C10" w:rsidRDefault="00FF5110" w:rsidP="005145F6">
            <w:pPr>
              <w:pStyle w:val="TOC1"/>
              <w:spacing w:before="0"/>
              <w:ind w:left="0" w:right="0"/>
              <w:jc w:val="center"/>
              <w:rPr>
                <w:rFonts w:ascii="Arial" w:hAnsi="Arial" w:cs="Arial"/>
                <w:snapToGrid w:val="0"/>
                <w:sz w:val="18"/>
                <w:szCs w:val="18"/>
              </w:rPr>
            </w:pPr>
          </w:p>
        </w:tc>
        <w:tc>
          <w:tcPr>
            <w:tcW w:w="669" w:type="pct"/>
          </w:tcPr>
          <w:p w14:paraId="3F87F8D6" w14:textId="77777777" w:rsidR="00FF5110" w:rsidRPr="00691C10" w:rsidRDefault="00FF5110" w:rsidP="005145F6">
            <w:pPr>
              <w:keepNext/>
              <w:keepLines/>
              <w:spacing w:after="0"/>
              <w:jc w:val="center"/>
              <w:rPr>
                <w:rFonts w:ascii="Arial" w:hAnsi="Arial" w:cs="Arial"/>
                <w:snapToGrid w:val="0"/>
                <w:sz w:val="18"/>
                <w:szCs w:val="18"/>
              </w:rPr>
            </w:pPr>
            <w:r w:rsidRPr="00691C10">
              <w:rPr>
                <w:rFonts w:ascii="Arial" w:hAnsi="Arial" w:cs="Arial"/>
                <w:snapToGrid w:val="0"/>
                <w:sz w:val="18"/>
                <w:szCs w:val="18"/>
              </w:rPr>
              <w:t>0.64 (1)</w:t>
            </w:r>
          </w:p>
        </w:tc>
        <w:tc>
          <w:tcPr>
            <w:tcW w:w="674" w:type="pct"/>
          </w:tcPr>
          <w:p w14:paraId="5E620886" w14:textId="77777777" w:rsidR="00FF5110" w:rsidRPr="00691C10" w:rsidRDefault="00FF5110" w:rsidP="005145F6">
            <w:pPr>
              <w:pStyle w:val="TAC"/>
              <w:rPr>
                <w:rFonts w:cs="Arial"/>
                <w:snapToGrid w:val="0"/>
              </w:rPr>
            </w:pPr>
            <w:r w:rsidRPr="00691C10">
              <w:rPr>
                <w:rFonts w:cs="Arial"/>
                <w:snapToGrid w:val="0"/>
              </w:rPr>
              <w:t>1.28 (2)</w:t>
            </w:r>
          </w:p>
        </w:tc>
      </w:tr>
      <w:tr w:rsidR="00FF5110" w:rsidRPr="00691C10" w14:paraId="56DB3EB2" w14:textId="77777777" w:rsidTr="005145F6">
        <w:trPr>
          <w:cantSplit/>
          <w:jc w:val="center"/>
        </w:trPr>
        <w:tc>
          <w:tcPr>
            <w:tcW w:w="594" w:type="pct"/>
            <w:vMerge/>
          </w:tcPr>
          <w:p w14:paraId="50C0AAA5" w14:textId="77777777" w:rsidR="00FF5110" w:rsidRPr="00691C10" w:rsidRDefault="00FF5110" w:rsidP="005145F6">
            <w:pPr>
              <w:pStyle w:val="TAC"/>
              <w:rPr>
                <w:rFonts w:cs="Arial"/>
              </w:rPr>
            </w:pPr>
          </w:p>
        </w:tc>
        <w:tc>
          <w:tcPr>
            <w:tcW w:w="281" w:type="pct"/>
          </w:tcPr>
          <w:p w14:paraId="0A5F62F9" w14:textId="77777777" w:rsidR="00FF5110" w:rsidRPr="00691C10" w:rsidRDefault="00FF5110" w:rsidP="005145F6">
            <w:pPr>
              <w:pStyle w:val="TAC"/>
              <w:rPr>
                <w:rFonts w:cs="Arial"/>
                <w:snapToGrid w:val="0"/>
              </w:rPr>
            </w:pPr>
            <w:r w:rsidRPr="00691C10">
              <w:rPr>
                <w:rFonts w:cs="Arial"/>
              </w:rPr>
              <w:t>1.28</w:t>
            </w:r>
          </w:p>
        </w:tc>
        <w:tc>
          <w:tcPr>
            <w:tcW w:w="362" w:type="pct"/>
          </w:tcPr>
          <w:p w14:paraId="08649492" w14:textId="77777777" w:rsidR="00FF5110" w:rsidRPr="00691C10" w:rsidRDefault="00FF5110" w:rsidP="005145F6">
            <w:pPr>
              <w:pStyle w:val="TAC"/>
              <w:rPr>
                <w:rFonts w:cs="Arial"/>
              </w:rPr>
            </w:pPr>
            <w:r w:rsidRPr="00691C10">
              <w:rPr>
                <w:rFonts w:cs="Arial"/>
                <w:lang w:eastAsia="ja-JP"/>
              </w:rPr>
              <w:t>≥</w:t>
            </w:r>
            <w:r w:rsidRPr="00691C10">
              <w:rPr>
                <w:rFonts w:cs="Arial" w:hint="eastAsia"/>
                <w:lang w:eastAsia="zh-CN"/>
              </w:rPr>
              <w:t>2.56 (2)</w:t>
            </w:r>
          </w:p>
        </w:tc>
        <w:tc>
          <w:tcPr>
            <w:tcW w:w="2420" w:type="pct"/>
            <w:vMerge/>
          </w:tcPr>
          <w:p w14:paraId="15A45BAA" w14:textId="77777777" w:rsidR="00FF5110" w:rsidRPr="00691C10" w:rsidRDefault="00FF5110" w:rsidP="005145F6">
            <w:pPr>
              <w:pStyle w:val="TOC1"/>
              <w:spacing w:before="0"/>
              <w:ind w:left="0" w:right="0"/>
              <w:jc w:val="center"/>
              <w:rPr>
                <w:rFonts w:ascii="Arial" w:hAnsi="Arial" w:cs="Arial"/>
                <w:snapToGrid w:val="0"/>
                <w:sz w:val="18"/>
                <w:szCs w:val="18"/>
              </w:rPr>
            </w:pPr>
          </w:p>
        </w:tc>
        <w:tc>
          <w:tcPr>
            <w:tcW w:w="669" w:type="pct"/>
          </w:tcPr>
          <w:p w14:paraId="5D5D4C31" w14:textId="77777777" w:rsidR="00FF5110" w:rsidRPr="00691C10" w:rsidRDefault="00FF5110" w:rsidP="005145F6">
            <w:pPr>
              <w:pStyle w:val="TAC"/>
              <w:rPr>
                <w:rFonts w:cs="Arial"/>
                <w:snapToGrid w:val="0"/>
              </w:rPr>
            </w:pPr>
            <w:r w:rsidRPr="00691C10">
              <w:rPr>
                <w:rFonts w:cs="Arial"/>
                <w:snapToGrid w:val="0"/>
              </w:rPr>
              <w:t>1.28 (1)</w:t>
            </w:r>
          </w:p>
        </w:tc>
        <w:tc>
          <w:tcPr>
            <w:tcW w:w="674" w:type="pct"/>
          </w:tcPr>
          <w:p w14:paraId="5F40DFEC" w14:textId="77777777" w:rsidR="00FF5110" w:rsidRPr="00691C10" w:rsidRDefault="00FF5110" w:rsidP="005145F6">
            <w:pPr>
              <w:pStyle w:val="TAC"/>
              <w:rPr>
                <w:rFonts w:cs="Arial"/>
                <w:snapToGrid w:val="0"/>
              </w:rPr>
            </w:pPr>
            <w:r w:rsidRPr="00691C10">
              <w:rPr>
                <w:rFonts w:cs="Arial"/>
                <w:snapToGrid w:val="0"/>
              </w:rPr>
              <w:t>2.56 (2)</w:t>
            </w:r>
          </w:p>
        </w:tc>
      </w:tr>
      <w:tr w:rsidR="00FF5110" w:rsidRPr="00691C10" w14:paraId="15DD7F3D" w14:textId="77777777" w:rsidTr="005145F6">
        <w:trPr>
          <w:cantSplit/>
          <w:jc w:val="center"/>
        </w:trPr>
        <w:tc>
          <w:tcPr>
            <w:tcW w:w="594" w:type="pct"/>
            <w:vMerge/>
          </w:tcPr>
          <w:p w14:paraId="340103F6" w14:textId="77777777" w:rsidR="00FF5110" w:rsidRPr="00691C10" w:rsidRDefault="00FF5110" w:rsidP="005145F6">
            <w:pPr>
              <w:pStyle w:val="TAC"/>
              <w:rPr>
                <w:rFonts w:cs="Arial"/>
              </w:rPr>
            </w:pPr>
          </w:p>
        </w:tc>
        <w:tc>
          <w:tcPr>
            <w:tcW w:w="281" w:type="pct"/>
          </w:tcPr>
          <w:p w14:paraId="2601D148" w14:textId="77777777" w:rsidR="00FF5110" w:rsidRPr="00691C10" w:rsidRDefault="00FF5110" w:rsidP="005145F6">
            <w:pPr>
              <w:pStyle w:val="TAC"/>
              <w:rPr>
                <w:rFonts w:cs="Arial"/>
                <w:snapToGrid w:val="0"/>
              </w:rPr>
            </w:pPr>
            <w:r w:rsidRPr="00691C10">
              <w:rPr>
                <w:rFonts w:cs="Arial"/>
              </w:rPr>
              <w:t>2.56</w:t>
            </w:r>
          </w:p>
        </w:tc>
        <w:tc>
          <w:tcPr>
            <w:tcW w:w="362" w:type="pct"/>
          </w:tcPr>
          <w:p w14:paraId="2EC673A0" w14:textId="77777777" w:rsidR="00FF5110" w:rsidRPr="00691C10" w:rsidRDefault="00FF5110" w:rsidP="005145F6">
            <w:pPr>
              <w:pStyle w:val="TAC"/>
              <w:rPr>
                <w:rFonts w:cs="Arial"/>
              </w:rPr>
            </w:pPr>
            <w:r w:rsidRPr="00691C10">
              <w:rPr>
                <w:rFonts w:cs="Arial"/>
                <w:lang w:eastAsia="ja-JP"/>
              </w:rPr>
              <w:t>≥</w:t>
            </w:r>
            <w:r w:rsidRPr="00691C10">
              <w:rPr>
                <w:rFonts w:cs="Arial" w:hint="eastAsia"/>
                <w:lang w:eastAsia="zh-CN"/>
              </w:rPr>
              <w:t>5.12 (4)</w:t>
            </w:r>
          </w:p>
        </w:tc>
        <w:tc>
          <w:tcPr>
            <w:tcW w:w="2420" w:type="pct"/>
            <w:vMerge/>
          </w:tcPr>
          <w:p w14:paraId="0E4E8B02" w14:textId="77777777" w:rsidR="00FF5110" w:rsidRPr="00691C10" w:rsidRDefault="00FF5110" w:rsidP="005145F6">
            <w:pPr>
              <w:pStyle w:val="TOC1"/>
              <w:widowControl/>
              <w:tabs>
                <w:tab w:val="clear" w:pos="9639"/>
              </w:tabs>
              <w:spacing w:before="0"/>
              <w:ind w:left="0" w:right="0" w:firstLine="0"/>
              <w:jc w:val="center"/>
              <w:rPr>
                <w:rFonts w:ascii="Arial" w:hAnsi="Arial" w:cs="Arial"/>
                <w:snapToGrid w:val="0"/>
                <w:sz w:val="18"/>
                <w:szCs w:val="18"/>
              </w:rPr>
            </w:pPr>
          </w:p>
        </w:tc>
        <w:tc>
          <w:tcPr>
            <w:tcW w:w="669" w:type="pct"/>
          </w:tcPr>
          <w:p w14:paraId="763782F2" w14:textId="77777777" w:rsidR="00FF5110" w:rsidRPr="00691C10" w:rsidRDefault="00FF5110" w:rsidP="005145F6">
            <w:pPr>
              <w:pStyle w:val="TAC"/>
              <w:rPr>
                <w:rFonts w:cs="Arial"/>
                <w:snapToGrid w:val="0"/>
              </w:rPr>
            </w:pPr>
            <w:r w:rsidRPr="00691C10">
              <w:rPr>
                <w:rFonts w:cs="Arial"/>
                <w:snapToGrid w:val="0"/>
              </w:rPr>
              <w:t>2.56 (1)</w:t>
            </w:r>
          </w:p>
        </w:tc>
        <w:tc>
          <w:tcPr>
            <w:tcW w:w="674" w:type="pct"/>
          </w:tcPr>
          <w:p w14:paraId="4AA77919" w14:textId="77777777" w:rsidR="00FF5110" w:rsidRPr="00691C10" w:rsidRDefault="00FF5110" w:rsidP="005145F6">
            <w:pPr>
              <w:pStyle w:val="TAC"/>
              <w:rPr>
                <w:rFonts w:cs="Arial"/>
                <w:snapToGrid w:val="0"/>
              </w:rPr>
            </w:pPr>
            <w:r w:rsidRPr="00691C10">
              <w:rPr>
                <w:rFonts w:cs="Arial"/>
              </w:rPr>
              <w:t>5.12 (2)</w:t>
            </w:r>
          </w:p>
        </w:tc>
      </w:tr>
      <w:tr w:rsidR="00FF5110" w:rsidRPr="00691C10" w14:paraId="3214D8B8" w14:textId="77777777" w:rsidTr="005145F6">
        <w:trPr>
          <w:cantSplit/>
          <w:jc w:val="center"/>
        </w:trPr>
        <w:tc>
          <w:tcPr>
            <w:tcW w:w="5000" w:type="pct"/>
            <w:gridSpan w:val="6"/>
          </w:tcPr>
          <w:p w14:paraId="6D6701C0" w14:textId="77777777" w:rsidR="00FF5110" w:rsidRPr="00691C10" w:rsidRDefault="00FF5110" w:rsidP="005145F6">
            <w:pPr>
              <w:pStyle w:val="TAN"/>
            </w:pPr>
            <w:r w:rsidRPr="00691C10">
              <w:t>NOTE 1: The number of DRX cycles in this table is given for the DRX cycles within PTWs.</w:t>
            </w:r>
          </w:p>
          <w:p w14:paraId="23BB249A" w14:textId="77777777" w:rsidR="00FF5110" w:rsidRDefault="00FF5110" w:rsidP="005145F6">
            <w:pPr>
              <w:pStyle w:val="TAN"/>
            </w:pPr>
            <w:r w:rsidRPr="00691C10">
              <w:t>NOTE 2: The eDRX_IDLE cycle lengths are as specified in Section 10.5.5.32 of TS 24.008 [34].</w:t>
            </w:r>
          </w:p>
          <w:p w14:paraId="5D77F98A" w14:textId="77777777" w:rsidR="00FF5110" w:rsidRDefault="00FF5110" w:rsidP="005145F6">
            <w:pPr>
              <w:pStyle w:val="TAN"/>
            </w:pPr>
            <w:r>
              <w:t>NOTE 3: Number of eDRX cycles when eDRX_IDLE cycle length equals 5.12s, number of DRX cycles otherwise.</w:t>
            </w:r>
          </w:p>
          <w:p w14:paraId="1414E9CA" w14:textId="77777777" w:rsidR="00FF5110" w:rsidRDefault="00FF5110" w:rsidP="005145F6">
            <w:pPr>
              <w:pStyle w:val="TAN"/>
              <w:rPr>
                <w:iCs/>
                <w:szCs w:val="18"/>
              </w:rPr>
            </w:pPr>
            <w:r w:rsidRPr="007D1E39">
              <w:rPr>
                <w:snapToGrid w:val="0"/>
                <w:szCs w:val="18"/>
                <w:lang w:eastAsia="zh-CN"/>
              </w:rPr>
              <w:t xml:space="preserve">NOTE </w:t>
            </w:r>
            <w:r>
              <w:rPr>
                <w:szCs w:val="18"/>
              </w:rPr>
              <w:t>4</w:t>
            </w:r>
            <w:r w:rsidRPr="007D1E39">
              <w:rPr>
                <w:szCs w:val="18"/>
              </w:rPr>
              <w:t>:</w:t>
            </w:r>
            <w:r w:rsidRPr="007D1E39">
              <w:rPr>
                <w:szCs w:val="18"/>
                <w:lang w:val="en-US"/>
              </w:rPr>
              <w:t xml:space="preserve"> </w:t>
            </w:r>
            <w:r w:rsidRPr="007D1E39">
              <w:rPr>
                <w:szCs w:val="18"/>
              </w:rPr>
              <w:t xml:space="preserve">The lower bound of </w:t>
            </w:r>
            <w:r w:rsidRPr="007D1E39">
              <w:rPr>
                <w:iCs/>
                <w:color w:val="000000" w:themeColor="text1"/>
                <w:szCs w:val="18"/>
              </w:rPr>
              <w:t xml:space="preserve">PTW length is derived based on </w:t>
            </w:r>
            <m:oMath>
              <m:d>
                <m:dPr>
                  <m:begChr m:val="⌈"/>
                  <m:endChr m:val="⌉"/>
                  <m:ctrlPr>
                    <w:rPr>
                      <w:rFonts w:ascii="Cambria Math" w:hAnsi="Cambria Math"/>
                      <w:iCs/>
                      <w:szCs w:val="18"/>
                    </w:rPr>
                  </m:ctrlPr>
                </m:dPr>
                <m:e>
                  <m:f>
                    <m:fPr>
                      <m:ctrlPr>
                        <w:rPr>
                          <w:rFonts w:ascii="Cambria Math" w:hAnsi="Cambria Math"/>
                          <w:iCs/>
                          <w:szCs w:val="18"/>
                        </w:rPr>
                      </m:ctrlPr>
                    </m:fPr>
                    <m:num>
                      <m:r>
                        <m:rPr>
                          <m:sty m:val="p"/>
                        </m:rPr>
                        <w:rPr>
                          <w:rFonts w:ascii="Cambria Math" w:hAnsi="Cambria Math"/>
                          <w:szCs w:val="16"/>
                          <w:lang w:val="en-US"/>
                        </w:rPr>
                        <m:t>T</m:t>
                      </m:r>
                      <m:r>
                        <m:rPr>
                          <m:sty m:val="p"/>
                        </m:rPr>
                        <w:rPr>
                          <w:rFonts w:ascii="Cambria Math" w:hAnsi="Cambria Math"/>
                          <w:szCs w:val="16"/>
                          <w:vertAlign w:val="subscript"/>
                          <w:lang w:val="en-US"/>
                        </w:rPr>
                        <m:t>evaluate,E-UTRAN_RedCap</m:t>
                      </m:r>
                      <m:r>
                        <m:rPr>
                          <m:sty m:val="p"/>
                        </m:rPr>
                        <w:rPr>
                          <w:rFonts w:ascii="Cambria Math" w:hAnsi="Cambria Math"/>
                          <w:szCs w:val="18"/>
                        </w:rPr>
                        <m:t>*DRX_cycle</m:t>
                      </m:r>
                    </m:num>
                    <m:den>
                      <m:r>
                        <m:rPr>
                          <m:sty m:val="p"/>
                        </m:rPr>
                        <w:rPr>
                          <w:rFonts w:ascii="Cambria Math" w:hAnsi="Cambria Math"/>
                          <w:szCs w:val="18"/>
                        </w:rPr>
                        <m:t>1.28</m:t>
                      </m:r>
                    </m:den>
                  </m:f>
                </m:e>
              </m:d>
              <m:r>
                <m:rPr>
                  <m:sty m:val="p"/>
                </m:rPr>
                <w:rPr>
                  <w:rFonts w:ascii="Cambria Math" w:hAnsi="Cambria Math"/>
                  <w:szCs w:val="18"/>
                </w:rPr>
                <m:t>*1.28</m:t>
              </m:r>
            </m:oMath>
            <w:r w:rsidRPr="007D1E39">
              <w:rPr>
                <w:iCs/>
                <w:szCs w:val="18"/>
              </w:rPr>
              <w:t>.</w:t>
            </w:r>
          </w:p>
          <w:p w14:paraId="5EAD1BEA" w14:textId="41CCBB3C" w:rsidR="003D151D" w:rsidRPr="00691C10" w:rsidRDefault="003D151D" w:rsidP="005145F6">
            <w:pPr>
              <w:pStyle w:val="TAN"/>
            </w:pPr>
            <w:r>
              <w:rPr>
                <w:rFonts w:cs="Arial"/>
                <w:iCs/>
              </w:rPr>
              <w:t>NOTE 5: When eDRX=20.48s and DRX=0.32s, UE is allowed to perform cell evaluation within PTW in every 2 eDRX cycles.</w:t>
            </w:r>
          </w:p>
        </w:tc>
      </w:tr>
    </w:tbl>
    <w:p w14:paraId="64CAD638" w14:textId="77777777" w:rsidR="00FF5110" w:rsidRPr="008C6DE4" w:rsidRDefault="00FF5110" w:rsidP="00FF5110"/>
    <w:p w14:paraId="1C86A984" w14:textId="77777777" w:rsidR="00D808CB" w:rsidRPr="00691C10" w:rsidRDefault="00D808CB" w:rsidP="00D808CB">
      <w:r w:rsidRPr="00691C10">
        <w:t xml:space="preserve">For any requirement in this section, when the UE transitions between any two states when being configured with eDRX_IDLE, being configured with eDRX_IDLE cycle, changing eDRX_IDLE cycle length, or changing PTW configuration, the UE shall meet the transition requirement, which is the less stringent requirement of the two requirements corresponding to the first state and the second state, during the transition time interval which is the time corresponding to the transition requirement. After the transition time interval, the UE </w:t>
      </w:r>
      <w:r>
        <w:t xml:space="preserve">shall </w:t>
      </w:r>
      <w:r w:rsidRPr="00691C10">
        <w:t>meet the requirement corresponding to the second state.</w:t>
      </w:r>
    </w:p>
    <w:p w14:paraId="7521DC9B" w14:textId="77777777" w:rsidR="00D808CB" w:rsidRDefault="00D808CB" w:rsidP="00D808CB">
      <w:pPr>
        <w:pStyle w:val="Heading4"/>
      </w:pPr>
      <w:r>
        <w:t>4.2B.2.6</w:t>
      </w:r>
      <w:r>
        <w:tab/>
        <w:t>Maximum interruption in paging reception for RedCap</w:t>
      </w:r>
    </w:p>
    <w:p w14:paraId="2F19143B" w14:textId="18A0D0AA" w:rsidR="00D808CB" w:rsidRDefault="0025203F" w:rsidP="00D808CB">
      <w:pPr>
        <w:rPr>
          <w:lang w:eastAsia="zh-CN"/>
        </w:rPr>
      </w:pPr>
      <w:r>
        <w:rPr>
          <w:lang w:eastAsia="zh-CN"/>
        </w:rPr>
        <w:t>The FDD, HD-FDD and TDD RedCap UE</w:t>
      </w:r>
      <w:r w:rsidRPr="009048A2">
        <w:t xml:space="preserve"> </w:t>
      </w:r>
      <w:r w:rsidRPr="00691C10">
        <w:t xml:space="preserve">shall </w:t>
      </w:r>
      <w:r>
        <w:t xml:space="preserve">meet </w:t>
      </w:r>
      <w:r w:rsidRPr="00691C10">
        <w:t>all applicable requirements</w:t>
      </w:r>
      <w:r w:rsidRPr="00691C10">
        <w:rPr>
          <w:rFonts w:hint="eastAsia"/>
          <w:lang w:eastAsia="zh-CN"/>
        </w:rPr>
        <w:t xml:space="preserve"> </w:t>
      </w:r>
      <w:r w:rsidRPr="00691C10">
        <w:t>specified in clause </w:t>
      </w:r>
      <w:r>
        <w:rPr>
          <w:lang w:eastAsia="zh-CN"/>
        </w:rPr>
        <w:t>4</w:t>
      </w:r>
      <w:r w:rsidRPr="00691C10">
        <w:rPr>
          <w:rFonts w:hint="eastAsia"/>
          <w:lang w:eastAsia="zh-CN"/>
        </w:rPr>
        <w:t>.</w:t>
      </w:r>
      <w:r>
        <w:rPr>
          <w:lang w:eastAsia="zh-CN"/>
        </w:rPr>
        <w:t>2.</w:t>
      </w:r>
      <w:r w:rsidRPr="00691C10">
        <w:rPr>
          <w:rFonts w:hint="eastAsia"/>
          <w:lang w:eastAsia="zh-CN"/>
        </w:rPr>
        <w:t>2.</w:t>
      </w:r>
      <w:r>
        <w:rPr>
          <w:lang w:eastAsia="zh-CN"/>
        </w:rPr>
        <w:t xml:space="preserve">6. In addition, </w:t>
      </w:r>
      <w:r>
        <w:rPr>
          <w:snapToGrid w:val="0"/>
        </w:rPr>
        <w:t xml:space="preserve">when the </w:t>
      </w:r>
      <w:r w:rsidRPr="00691C10">
        <w:rPr>
          <w:snapToGrid w:val="0"/>
        </w:rPr>
        <w:t>UE is configured with eDRX_IDLE cycle, the UE shall not miss any paging in a PTW provided the paging is sent in at least 2 DRX cycles before the end of that PTW.</w:t>
      </w:r>
    </w:p>
    <w:p w14:paraId="7029E0E4" w14:textId="77777777" w:rsidR="00D808CB" w:rsidRPr="00691C10" w:rsidRDefault="00D808CB" w:rsidP="00D808CB">
      <w:pPr>
        <w:rPr>
          <w:rFonts w:cs="v4.2.0"/>
          <w:lang w:eastAsia="zh-CN"/>
        </w:rPr>
      </w:pPr>
      <w:r w:rsidRPr="00691C10">
        <w:rPr>
          <w:rFonts w:hint="eastAsia"/>
          <w:lang w:eastAsia="zh-CN"/>
        </w:rPr>
        <w:t xml:space="preserve">The </w:t>
      </w:r>
      <w:r>
        <w:rPr>
          <w:lang w:eastAsia="zh-CN"/>
        </w:rPr>
        <w:t xml:space="preserve">1 Rx RedCap in HD-FDD </w:t>
      </w:r>
      <w:r w:rsidRPr="00691C10">
        <w:t xml:space="preserve">shall </w:t>
      </w:r>
      <w:r>
        <w:t xml:space="preserve">meet </w:t>
      </w:r>
      <w:r w:rsidRPr="00691C10">
        <w:t>all applicable requirements</w:t>
      </w:r>
      <w:r w:rsidRPr="00691C10">
        <w:rPr>
          <w:rFonts w:hint="eastAsia"/>
          <w:lang w:eastAsia="zh-CN"/>
        </w:rPr>
        <w:t xml:space="preserve"> </w:t>
      </w:r>
      <w:r w:rsidRPr="00691C10">
        <w:t>specified in clause </w:t>
      </w:r>
      <w:r>
        <w:rPr>
          <w:lang w:eastAsia="zh-CN"/>
        </w:rPr>
        <w:t>4</w:t>
      </w:r>
      <w:r w:rsidRPr="00691C10">
        <w:rPr>
          <w:rFonts w:hint="eastAsia"/>
          <w:lang w:eastAsia="zh-CN"/>
        </w:rPr>
        <w:t>.</w:t>
      </w:r>
      <w:r>
        <w:rPr>
          <w:lang w:eastAsia="zh-CN"/>
        </w:rPr>
        <w:t>2.</w:t>
      </w:r>
      <w:r w:rsidRPr="00691C10">
        <w:rPr>
          <w:rFonts w:hint="eastAsia"/>
          <w:lang w:eastAsia="zh-CN"/>
        </w:rPr>
        <w:t>2.</w:t>
      </w:r>
      <w:r>
        <w:rPr>
          <w:lang w:eastAsia="zh-CN"/>
        </w:rPr>
        <w:t>6</w:t>
      </w:r>
      <w:r w:rsidRPr="00691C10">
        <w:rPr>
          <w:rFonts w:hint="eastAsia"/>
          <w:lang w:eastAsia="zh-CN"/>
        </w:rPr>
        <w:t xml:space="preserve"> </w:t>
      </w:r>
      <w:r w:rsidRPr="00691C10">
        <w:rPr>
          <w:rFonts w:cs="v4.2.0"/>
        </w:rPr>
        <w:t>under the following conditions</w:t>
      </w:r>
    </w:p>
    <w:p w14:paraId="11A57348" w14:textId="77777777" w:rsidR="00D808CB" w:rsidRDefault="00D808CB" w:rsidP="00D808CB">
      <w:pPr>
        <w:pStyle w:val="B10"/>
      </w:pPr>
      <w:r w:rsidRPr="00691C10">
        <w:t>-</w:t>
      </w:r>
      <w:r w:rsidRPr="00691C10">
        <w:tab/>
        <w:t xml:space="preserve">at least 1 </w:t>
      </w:r>
      <w:r>
        <w:t>SSB is available at the UE in the serving cell during the last 160 ms duration.</w:t>
      </w:r>
    </w:p>
    <w:p w14:paraId="13444CBA" w14:textId="79531D32" w:rsidR="00D808CB" w:rsidRDefault="00D808CB" w:rsidP="006A7D35">
      <w:pPr>
        <w:pStyle w:val="Heading4"/>
      </w:pPr>
      <w:r>
        <w:t>4.2B.2.7</w:t>
      </w:r>
      <w:r w:rsidR="006A7D35">
        <w:tab/>
      </w:r>
      <w:r>
        <w:t>General requirements for RedCap</w:t>
      </w:r>
    </w:p>
    <w:p w14:paraId="3E403E8E" w14:textId="77777777" w:rsidR="00D808CB" w:rsidRDefault="00D808CB" w:rsidP="00D808CB">
      <w:r w:rsidRPr="00691C10">
        <w:t xml:space="preserve">The requirements defined in section </w:t>
      </w:r>
      <w:r>
        <w:t>4.2.2.7</w:t>
      </w:r>
      <w:r w:rsidRPr="00691C10">
        <w:t xml:space="preserve"> apply for this section.</w:t>
      </w:r>
    </w:p>
    <w:p w14:paraId="159A48FB" w14:textId="77777777" w:rsidR="00F87F95" w:rsidRDefault="00F87F95" w:rsidP="00F87F95">
      <w:pPr>
        <w:pStyle w:val="Heading4"/>
      </w:pPr>
      <w:r>
        <w:t>4.2B.2.8</w:t>
      </w:r>
      <w:r>
        <w:tab/>
        <w:t>Minimum requirement at transitions</w:t>
      </w:r>
    </w:p>
    <w:p w14:paraId="5AEE700B" w14:textId="77777777" w:rsidR="00F87F95" w:rsidRPr="00784B74" w:rsidRDefault="00F87F95" w:rsidP="00F87F95">
      <w:pPr>
        <w:spacing w:after="120" w:line="259" w:lineRule="auto"/>
        <w:rPr>
          <w:color w:val="000000" w:themeColor="text1"/>
          <w:lang w:eastAsia="zh-CN"/>
        </w:rPr>
      </w:pPr>
      <w:r w:rsidRPr="00784B74">
        <w:rPr>
          <w:color w:val="000000" w:themeColor="text1"/>
          <w:lang w:eastAsia="zh-CN"/>
        </w:rPr>
        <w:t>When switching from:</w:t>
      </w:r>
    </w:p>
    <w:p w14:paraId="084D2BF1" w14:textId="0493EE32" w:rsidR="00F87F95" w:rsidRPr="00784B74" w:rsidRDefault="006A7D35" w:rsidP="006A7D35">
      <w:pPr>
        <w:pStyle w:val="B10"/>
        <w:rPr>
          <w:lang w:eastAsia="zh-CN"/>
        </w:rPr>
      </w:pPr>
      <w:r>
        <w:rPr>
          <w:lang w:eastAsia="zh-CN"/>
        </w:rPr>
        <w:tab/>
      </w:r>
      <w:r w:rsidR="00F87F95" w:rsidRPr="00784B74">
        <w:rPr>
          <w:lang w:eastAsia="zh-CN"/>
        </w:rPr>
        <w:t xml:space="preserve">low mobility scenario to stationary scenario, or </w:t>
      </w:r>
    </w:p>
    <w:p w14:paraId="139B7D24" w14:textId="3A259E59" w:rsidR="00F87F95" w:rsidRPr="00784B74" w:rsidRDefault="006A7D35" w:rsidP="006A7D35">
      <w:pPr>
        <w:pStyle w:val="B10"/>
        <w:rPr>
          <w:lang w:eastAsia="zh-CN"/>
        </w:rPr>
      </w:pPr>
      <w:r>
        <w:rPr>
          <w:lang w:eastAsia="zh-CN"/>
        </w:rPr>
        <w:tab/>
      </w:r>
      <w:r w:rsidR="00F87F95" w:rsidRPr="00784B74">
        <w:rPr>
          <w:lang w:eastAsia="zh-CN"/>
        </w:rPr>
        <w:t xml:space="preserve">from low mobility scenario to </w:t>
      </w:r>
      <w:r w:rsidR="00F87F95" w:rsidRPr="00784B74">
        <w:t>stationary and not-at-cell-edge scenario</w:t>
      </w:r>
      <w:r w:rsidR="00F87F95">
        <w:t>,</w:t>
      </w:r>
    </w:p>
    <w:p w14:paraId="4F1C9795" w14:textId="77777777" w:rsidR="00F87F95" w:rsidRDefault="00F87F95" w:rsidP="006A7D35">
      <w:pPr>
        <w:rPr>
          <w:lang w:val="en-US" w:eastAsia="zh-CN"/>
        </w:rPr>
      </w:pPr>
      <w:r w:rsidRPr="00784B74">
        <w:t>the UE shall</w:t>
      </w:r>
      <w:r w:rsidRPr="00784B74">
        <w:rPr>
          <w:lang w:val="en-US" w:eastAsia="zh-CN"/>
        </w:rPr>
        <w:t xml:space="preserve"> fulfill the requirements corresponding to</w:t>
      </w:r>
      <w:r w:rsidRPr="00784B74">
        <w:rPr>
          <w:rFonts w:hint="eastAsia"/>
          <w:lang w:val="en-US" w:eastAsia="zh-CN"/>
        </w:rPr>
        <w:t xml:space="preserve"> low mobility </w:t>
      </w:r>
      <w:r w:rsidRPr="00784B74">
        <w:rPr>
          <w:lang w:val="en-US" w:eastAsia="zh-CN"/>
        </w:rPr>
        <w:t xml:space="preserve">scenario over </w:t>
      </w:r>
      <w:r w:rsidRPr="00784B74">
        <w:rPr>
          <w:rFonts w:hint="eastAsia"/>
          <w:lang w:val="en-US" w:eastAsia="zh-CN"/>
        </w:rPr>
        <w:t>measurement period</w:t>
      </w:r>
      <w:r w:rsidRPr="00784B74">
        <w:rPr>
          <w:lang w:val="en-US" w:eastAsia="zh-CN"/>
        </w:rPr>
        <w:t xml:space="preserve"> (T</w:t>
      </w:r>
      <w:r w:rsidRPr="00784B74">
        <w:rPr>
          <w:vertAlign w:val="subscript"/>
          <w:lang w:val="en-US" w:eastAsia="zh-CN"/>
        </w:rPr>
        <w:t>relaxed</w:t>
      </w:r>
      <w:r w:rsidRPr="00784B74">
        <w:t>)</w:t>
      </w:r>
      <w:r w:rsidRPr="00784B74">
        <w:rPr>
          <w:lang w:val="en-US" w:eastAsia="zh-CN"/>
        </w:rPr>
        <w:t xml:space="preserve"> and thereafter switch to requirements corresponding to </w:t>
      </w:r>
      <w:r w:rsidRPr="00784B74">
        <w:rPr>
          <w:lang w:eastAsia="zh-CN"/>
        </w:rPr>
        <w:t xml:space="preserve">stationary scenario, or </w:t>
      </w:r>
      <w:r w:rsidRPr="00784B74">
        <w:t>stationary and not-at-cell-edge scenario.</w:t>
      </w:r>
      <w:r w:rsidRPr="00784B74">
        <w:rPr>
          <w:lang w:val="en-US" w:eastAsia="zh-CN"/>
        </w:rPr>
        <w:t xml:space="preserve"> </w:t>
      </w:r>
      <w:r>
        <w:rPr>
          <w:lang w:val="en-US" w:eastAsia="zh-CN"/>
        </w:rPr>
        <w:t>The measurement period, T</w:t>
      </w:r>
      <w:r w:rsidRPr="00D54275">
        <w:rPr>
          <w:vertAlign w:val="subscript"/>
          <w:lang w:val="en-US" w:eastAsia="zh-CN"/>
        </w:rPr>
        <w:t>relaxed</w:t>
      </w:r>
      <w:r>
        <w:rPr>
          <w:lang w:val="en-US" w:eastAsia="zh-CN"/>
        </w:rPr>
        <w:t>, is any of:</w:t>
      </w:r>
    </w:p>
    <w:p w14:paraId="16F0103D" w14:textId="77777777" w:rsidR="00F87F95" w:rsidRPr="002C6858" w:rsidRDefault="00F87F95" w:rsidP="00F87F95">
      <w:pPr>
        <w:pStyle w:val="B10"/>
        <w:rPr>
          <w:lang w:val="en-US" w:eastAsia="zh-CN"/>
        </w:rPr>
      </w:pPr>
      <w:r w:rsidRPr="002C6858">
        <w:t>-</w:t>
      </w:r>
      <w:r w:rsidRPr="002C6858">
        <w:tab/>
        <w:t>T</w:t>
      </w:r>
      <w:r w:rsidRPr="002C6858">
        <w:rPr>
          <w:vertAlign w:val="subscript"/>
        </w:rPr>
        <w:t>measure,NR_Intra_RedCap</w:t>
      </w:r>
      <w:r>
        <w:rPr>
          <w:vertAlign w:val="subscript"/>
        </w:rPr>
        <w:t>_Relax</w:t>
      </w:r>
      <w:r w:rsidRPr="002C6858">
        <w:rPr>
          <w:vertAlign w:val="subscript"/>
        </w:rPr>
        <w:t xml:space="preserve"> </w:t>
      </w:r>
      <w:r w:rsidRPr="002C6858">
        <w:t>and T</w:t>
      </w:r>
      <w:r w:rsidRPr="002C6858">
        <w:rPr>
          <w:vertAlign w:val="subscript"/>
        </w:rPr>
        <w:t>evaluate,NR_Intra_RedCap</w:t>
      </w:r>
      <w:r>
        <w:rPr>
          <w:vertAlign w:val="subscript"/>
        </w:rPr>
        <w:t>_Relax</w:t>
      </w:r>
      <w:r w:rsidRPr="002C6858">
        <w:rPr>
          <w:vertAlign w:val="subscript"/>
        </w:rPr>
        <w:t>,</w:t>
      </w:r>
      <w:r w:rsidRPr="002C6858">
        <w:t xml:space="preserve"> defined in section 4.2B.2.9 for intra-frequency measurements on NR cells, </w:t>
      </w:r>
    </w:p>
    <w:p w14:paraId="12ABB739" w14:textId="77777777" w:rsidR="00F87F95" w:rsidRPr="002C6858" w:rsidRDefault="00F87F95" w:rsidP="00F87F95">
      <w:pPr>
        <w:pStyle w:val="B10"/>
        <w:rPr>
          <w:lang w:val="en-US" w:eastAsia="zh-CN"/>
        </w:rPr>
      </w:pPr>
      <w:r w:rsidRPr="002C6858">
        <w:t>-</w:t>
      </w:r>
      <w:r w:rsidRPr="002C6858">
        <w:tab/>
        <w:t>T</w:t>
      </w:r>
      <w:r w:rsidRPr="002C6858">
        <w:rPr>
          <w:vertAlign w:val="subscript"/>
        </w:rPr>
        <w:t>measure,NR_Inter_RedCap</w:t>
      </w:r>
      <w:r>
        <w:rPr>
          <w:vertAlign w:val="subscript"/>
        </w:rPr>
        <w:t>_Relax</w:t>
      </w:r>
      <w:r w:rsidRPr="002C6858">
        <w:t xml:space="preserve"> and T</w:t>
      </w:r>
      <w:r w:rsidRPr="002C6858">
        <w:rPr>
          <w:vertAlign w:val="subscript"/>
        </w:rPr>
        <w:t>evaluate,NR_Inter_RedCap</w:t>
      </w:r>
      <w:r>
        <w:rPr>
          <w:vertAlign w:val="subscript"/>
        </w:rPr>
        <w:t>_Relax</w:t>
      </w:r>
      <w:r w:rsidRPr="002C6858">
        <w:t xml:space="preserve"> defined in section 4.2B.2.10 for inter-frequency measurements on NR cells and</w:t>
      </w:r>
    </w:p>
    <w:p w14:paraId="60A0CEFC" w14:textId="77777777" w:rsidR="00F87F95" w:rsidRPr="00D565AB" w:rsidRDefault="00F87F95" w:rsidP="00F87F95">
      <w:pPr>
        <w:pStyle w:val="B10"/>
        <w:rPr>
          <w:lang w:val="en-US" w:eastAsia="zh-CN"/>
        </w:rPr>
      </w:pPr>
      <w:r w:rsidRPr="002C6858">
        <w:t>-</w:t>
      </w:r>
      <w:r w:rsidRPr="002C6858">
        <w:tab/>
        <w:t>T</w:t>
      </w:r>
      <w:r w:rsidRPr="002C6858">
        <w:rPr>
          <w:vertAlign w:val="subscript"/>
        </w:rPr>
        <w:t>measure,EUTRAN_RedCap</w:t>
      </w:r>
      <w:r>
        <w:rPr>
          <w:vertAlign w:val="subscript"/>
        </w:rPr>
        <w:t>_Relax</w:t>
      </w:r>
      <w:r w:rsidRPr="002C6858">
        <w:t xml:space="preserve"> and T</w:t>
      </w:r>
      <w:r w:rsidRPr="002C6858">
        <w:rPr>
          <w:vertAlign w:val="subscript"/>
        </w:rPr>
        <w:t>evaluate,EUTRAN_RedCap</w:t>
      </w:r>
      <w:r>
        <w:rPr>
          <w:vertAlign w:val="subscript"/>
        </w:rPr>
        <w:t>_Relax</w:t>
      </w:r>
      <w:r w:rsidRPr="002C6858">
        <w:rPr>
          <w:vertAlign w:val="subscript"/>
        </w:rPr>
        <w:t xml:space="preserve"> </w:t>
      </w:r>
      <w:r w:rsidRPr="002C6858">
        <w:rPr>
          <w:lang w:val="en-US"/>
        </w:rPr>
        <w:t xml:space="preserve">defined in sections 4.2B.2.11 </w:t>
      </w:r>
      <w:r w:rsidRPr="002C6858">
        <w:t>for inter-RAT E-UTRAN measurements</w:t>
      </w:r>
      <w:r w:rsidRPr="002C6858">
        <w:rPr>
          <w:lang w:val="en-US"/>
        </w:rPr>
        <w:t>.</w:t>
      </w:r>
    </w:p>
    <w:p w14:paraId="14318C1D" w14:textId="77777777" w:rsidR="00F87F95" w:rsidRPr="004838C1" w:rsidRDefault="00F87F95" w:rsidP="00F87F95">
      <w:pPr>
        <w:spacing w:after="120" w:line="259" w:lineRule="auto"/>
        <w:rPr>
          <w:color w:val="000000" w:themeColor="text1"/>
          <w:lang w:val="en-US"/>
        </w:rPr>
      </w:pPr>
      <w:r w:rsidRPr="004838C1">
        <w:rPr>
          <w:color w:val="000000" w:themeColor="text1"/>
          <w:lang w:val="en-US"/>
        </w:rPr>
        <w:t>When switching from:</w:t>
      </w:r>
    </w:p>
    <w:p w14:paraId="4BD903F5" w14:textId="5038A049" w:rsidR="00F87F95" w:rsidRPr="004838C1" w:rsidRDefault="006A7D35" w:rsidP="006A7D35">
      <w:pPr>
        <w:pStyle w:val="B10"/>
        <w:rPr>
          <w:lang w:val="en-US"/>
        </w:rPr>
      </w:pPr>
      <w:r>
        <w:rPr>
          <w:lang w:val="en-US"/>
        </w:rPr>
        <w:tab/>
      </w:r>
      <w:r w:rsidR="00F87F95" w:rsidRPr="004838C1">
        <w:rPr>
          <w:lang w:val="en-US"/>
        </w:rPr>
        <w:t>stationary scenario to low mobility scenario, or</w:t>
      </w:r>
    </w:p>
    <w:p w14:paraId="5F79BC86" w14:textId="2769F633" w:rsidR="00F87F95" w:rsidRPr="004838C1" w:rsidRDefault="006A7D35" w:rsidP="006A7D35">
      <w:pPr>
        <w:pStyle w:val="B10"/>
        <w:rPr>
          <w:lang w:val="en-US"/>
        </w:rPr>
      </w:pPr>
      <w:r>
        <w:tab/>
      </w:r>
      <w:r w:rsidR="00F87F95" w:rsidRPr="004838C1">
        <w:t>stationary and not-at-cell-edge scenario to low mobility scenario,</w:t>
      </w:r>
    </w:p>
    <w:p w14:paraId="5C423772" w14:textId="77777777" w:rsidR="00F87F95" w:rsidRDefault="00F87F95" w:rsidP="006A7D35">
      <w:pPr>
        <w:rPr>
          <w:lang w:val="en-US" w:eastAsia="zh-CN"/>
        </w:rPr>
      </w:pPr>
      <w:r>
        <w:rPr>
          <w:color w:val="000000" w:themeColor="text1"/>
          <w:lang w:val="en-US"/>
        </w:rPr>
        <w:t xml:space="preserve">the UE shall </w:t>
      </w:r>
      <w:r w:rsidRPr="009C5807">
        <w:rPr>
          <w:lang w:val="en-US" w:eastAsia="zh-CN"/>
        </w:rPr>
        <w:t>fulfill the requirements corresponding to</w:t>
      </w:r>
      <w:r w:rsidRPr="009C5807">
        <w:rPr>
          <w:rFonts w:hint="eastAsia"/>
          <w:lang w:val="en-US" w:eastAsia="zh-CN"/>
        </w:rPr>
        <w:t xml:space="preserve"> low mobility </w:t>
      </w:r>
      <w:r w:rsidRPr="009C5807">
        <w:rPr>
          <w:lang w:val="en-US" w:eastAsia="zh-CN"/>
        </w:rPr>
        <w:t xml:space="preserve">scenario upon fulfilling the switching criteria. </w:t>
      </w:r>
    </w:p>
    <w:p w14:paraId="43FCBAC8" w14:textId="77777777" w:rsidR="00F87F95" w:rsidRDefault="00F87F95" w:rsidP="006A7D35">
      <w:pPr>
        <w:rPr>
          <w:lang w:val="en-US" w:eastAsia="zh-CN"/>
        </w:rPr>
      </w:pPr>
      <w:r w:rsidRPr="009C5807">
        <w:rPr>
          <w:lang w:val="en-US" w:eastAsia="zh-CN"/>
        </w:rPr>
        <w:t xml:space="preserve">When switching from normal mode to </w:t>
      </w:r>
      <w:r w:rsidRPr="009C5807">
        <w:rPr>
          <w:rFonts w:hint="eastAsia"/>
          <w:lang w:val="en-US" w:eastAsia="zh-CN"/>
        </w:rPr>
        <w:t xml:space="preserve">low mobility </w:t>
      </w:r>
      <w:r w:rsidRPr="009C5807">
        <w:rPr>
          <w:lang w:val="en-US" w:eastAsia="zh-CN"/>
        </w:rPr>
        <w:t>scenario</w:t>
      </w:r>
      <w:r>
        <w:rPr>
          <w:lang w:val="en-US" w:eastAsia="zh-CN"/>
        </w:rPr>
        <w:t>, stationary scenario or stationary and not-at-cell edge scenario</w:t>
      </w:r>
      <w:r w:rsidRPr="009C5807">
        <w:rPr>
          <w:rFonts w:hint="eastAsia"/>
          <w:lang w:val="en-US" w:eastAsia="zh-CN"/>
        </w:rPr>
        <w:t xml:space="preserve"> during cell-reselection period</w:t>
      </w:r>
      <w:r w:rsidRPr="009C5807">
        <w:rPr>
          <w:lang w:val="en-US" w:eastAsia="zh-CN"/>
        </w:rPr>
        <w:t xml:space="preserve">, the UE shall fulfill the requirements corresponding to normal mode </w:t>
      </w:r>
      <w:r>
        <w:rPr>
          <w:lang w:val="en-US" w:eastAsia="zh-CN"/>
        </w:rPr>
        <w:t>over</w:t>
      </w:r>
      <w:r w:rsidRPr="009C5807">
        <w:rPr>
          <w:rFonts w:hint="eastAsia"/>
          <w:lang w:val="en-US" w:eastAsia="zh-CN"/>
        </w:rPr>
        <w:t xml:space="preserve"> measurement period</w:t>
      </w:r>
      <w:r>
        <w:rPr>
          <w:lang w:val="en-US" w:eastAsia="zh-CN"/>
        </w:rPr>
        <w:t xml:space="preserve"> (T</w:t>
      </w:r>
      <w:r w:rsidRPr="00464452">
        <w:rPr>
          <w:vertAlign w:val="subscript"/>
          <w:lang w:val="en-US" w:eastAsia="zh-CN"/>
        </w:rPr>
        <w:t>normal</w:t>
      </w:r>
      <w:r w:rsidRPr="00D769C2">
        <w:t>)</w:t>
      </w:r>
      <w:r w:rsidRPr="009C5807">
        <w:rPr>
          <w:lang w:val="en-US" w:eastAsia="zh-CN"/>
        </w:rPr>
        <w:t xml:space="preserve"> and thereafter switch to requirements corresponding to </w:t>
      </w:r>
      <w:r w:rsidRPr="009C5807">
        <w:rPr>
          <w:rFonts w:hint="eastAsia"/>
          <w:lang w:val="en-US" w:eastAsia="zh-CN"/>
        </w:rPr>
        <w:t xml:space="preserve">low mobility </w:t>
      </w:r>
      <w:r w:rsidRPr="009C5807">
        <w:rPr>
          <w:lang w:val="en-US" w:eastAsia="zh-CN"/>
        </w:rPr>
        <w:t>scenario</w:t>
      </w:r>
      <w:r>
        <w:rPr>
          <w:lang w:val="en-US" w:eastAsia="zh-CN"/>
        </w:rPr>
        <w:t>, stationary scenario or stationary and not-at-cell edge scenario</w:t>
      </w:r>
      <w:r w:rsidRPr="009C5807">
        <w:rPr>
          <w:rFonts w:hint="eastAsia"/>
          <w:lang w:val="en-US" w:eastAsia="zh-CN"/>
        </w:rPr>
        <w:t>.</w:t>
      </w:r>
      <w:r>
        <w:rPr>
          <w:lang w:val="en-US" w:eastAsia="zh-CN"/>
        </w:rPr>
        <w:t xml:space="preserve"> The measurement period, T</w:t>
      </w:r>
      <w:r>
        <w:rPr>
          <w:vertAlign w:val="subscript"/>
          <w:lang w:val="en-US" w:eastAsia="zh-CN"/>
        </w:rPr>
        <w:t>normal</w:t>
      </w:r>
      <w:r>
        <w:rPr>
          <w:lang w:val="en-US" w:eastAsia="zh-CN"/>
        </w:rPr>
        <w:t xml:space="preserve">, is any of: </w:t>
      </w:r>
    </w:p>
    <w:p w14:paraId="51966FE2" w14:textId="77777777" w:rsidR="00F87F95" w:rsidRPr="0034003F" w:rsidRDefault="00F87F95" w:rsidP="00F87F95">
      <w:pPr>
        <w:pStyle w:val="B10"/>
        <w:rPr>
          <w:lang w:val="en-US" w:eastAsia="zh-CN"/>
        </w:rPr>
      </w:pPr>
      <w:r>
        <w:t>-</w:t>
      </w:r>
      <w:r>
        <w:tab/>
      </w:r>
      <w:r w:rsidRPr="0034003F">
        <w:t>T</w:t>
      </w:r>
      <w:r w:rsidRPr="0034003F">
        <w:rPr>
          <w:vertAlign w:val="subscript"/>
        </w:rPr>
        <w:t>measure,NR_Intra</w:t>
      </w:r>
      <w:r>
        <w:rPr>
          <w:vertAlign w:val="subscript"/>
        </w:rPr>
        <w:t>_RedCap</w:t>
      </w:r>
      <w:r w:rsidRPr="0034003F">
        <w:rPr>
          <w:vertAlign w:val="subscript"/>
        </w:rPr>
        <w:t xml:space="preserve"> </w:t>
      </w:r>
      <w:r w:rsidRPr="0034003F">
        <w:t>and T</w:t>
      </w:r>
      <w:r w:rsidRPr="0034003F">
        <w:rPr>
          <w:vertAlign w:val="subscript"/>
        </w:rPr>
        <w:t>evaluate,NR_Intra</w:t>
      </w:r>
      <w:r>
        <w:rPr>
          <w:vertAlign w:val="subscript"/>
        </w:rPr>
        <w:t>_RedCap</w:t>
      </w:r>
      <w:r w:rsidRPr="0034003F">
        <w:rPr>
          <w:vertAlign w:val="subscript"/>
        </w:rPr>
        <w:t>,</w:t>
      </w:r>
      <w:r w:rsidRPr="0034003F">
        <w:t xml:space="preserve"> defined in section 4.2</w:t>
      </w:r>
      <w:r>
        <w:t>B</w:t>
      </w:r>
      <w:r w:rsidRPr="0034003F">
        <w:t xml:space="preserve">.2.3 for intra-frequency measurements on NR cells, </w:t>
      </w:r>
    </w:p>
    <w:p w14:paraId="134F1A27" w14:textId="77777777" w:rsidR="00F87F95" w:rsidRPr="0034003F" w:rsidRDefault="00F87F95" w:rsidP="00F87F95">
      <w:pPr>
        <w:pStyle w:val="B10"/>
        <w:rPr>
          <w:lang w:val="en-US" w:eastAsia="zh-CN"/>
        </w:rPr>
      </w:pPr>
      <w:r>
        <w:t>-</w:t>
      </w:r>
      <w:r>
        <w:tab/>
      </w:r>
      <w:r w:rsidRPr="0034003F">
        <w:t>T</w:t>
      </w:r>
      <w:r w:rsidRPr="0034003F">
        <w:rPr>
          <w:vertAlign w:val="subscript"/>
        </w:rPr>
        <w:t>measure,NR_Inter</w:t>
      </w:r>
      <w:r>
        <w:rPr>
          <w:vertAlign w:val="subscript"/>
        </w:rPr>
        <w:t>_RedCap</w:t>
      </w:r>
      <w:r w:rsidRPr="0034003F">
        <w:t xml:space="preserve"> and</w:t>
      </w:r>
      <w:r>
        <w:t xml:space="preserve"> </w:t>
      </w:r>
      <w:r w:rsidRPr="0034003F">
        <w:t>T</w:t>
      </w:r>
      <w:r w:rsidRPr="0034003F">
        <w:rPr>
          <w:vertAlign w:val="subscript"/>
        </w:rPr>
        <w:t>evaluate,NR_Inter</w:t>
      </w:r>
      <w:r>
        <w:rPr>
          <w:vertAlign w:val="subscript"/>
        </w:rPr>
        <w:t>_RedCap</w:t>
      </w:r>
      <w:r w:rsidRPr="0034003F">
        <w:t xml:space="preserve"> defined in section 4.2</w:t>
      </w:r>
      <w:r>
        <w:t>B</w:t>
      </w:r>
      <w:r w:rsidRPr="0034003F">
        <w:t>.2.4 for inter-frequency measurements on NR cells and</w:t>
      </w:r>
    </w:p>
    <w:p w14:paraId="5CAB16F8" w14:textId="77777777" w:rsidR="00F87F95" w:rsidRPr="00D565AB" w:rsidRDefault="00F87F95" w:rsidP="00F87F95">
      <w:pPr>
        <w:pStyle w:val="B10"/>
        <w:rPr>
          <w:lang w:val="en-US" w:eastAsia="zh-CN"/>
        </w:rPr>
      </w:pPr>
      <w:r>
        <w:t>-</w:t>
      </w:r>
      <w:r>
        <w:tab/>
      </w:r>
      <w:r w:rsidRPr="0034003F">
        <w:t>T</w:t>
      </w:r>
      <w:r w:rsidRPr="0034003F">
        <w:rPr>
          <w:vertAlign w:val="subscript"/>
        </w:rPr>
        <w:t>measure,EUTRAN</w:t>
      </w:r>
      <w:r>
        <w:rPr>
          <w:vertAlign w:val="subscript"/>
        </w:rPr>
        <w:t>_RedCap</w:t>
      </w:r>
      <w:r w:rsidRPr="0034003F">
        <w:t xml:space="preserve"> and T</w:t>
      </w:r>
      <w:r w:rsidRPr="0034003F">
        <w:rPr>
          <w:vertAlign w:val="subscript"/>
        </w:rPr>
        <w:t>evaluate,EUTRAN</w:t>
      </w:r>
      <w:r>
        <w:rPr>
          <w:vertAlign w:val="subscript"/>
        </w:rPr>
        <w:t>_RedCap</w:t>
      </w:r>
      <w:r w:rsidRPr="0034003F">
        <w:rPr>
          <w:vertAlign w:val="subscript"/>
        </w:rPr>
        <w:t xml:space="preserve"> </w:t>
      </w:r>
      <w:r w:rsidRPr="0034003F">
        <w:rPr>
          <w:lang w:val="en-US"/>
        </w:rPr>
        <w:t>defined in sections 4.2</w:t>
      </w:r>
      <w:r>
        <w:rPr>
          <w:lang w:val="en-US"/>
        </w:rPr>
        <w:t>B</w:t>
      </w:r>
      <w:r w:rsidRPr="0034003F">
        <w:rPr>
          <w:lang w:val="en-US"/>
        </w:rPr>
        <w:t xml:space="preserve">.2.5 </w:t>
      </w:r>
      <w:r w:rsidRPr="0034003F">
        <w:t>for inter-RAT E-UTRAN measurements</w:t>
      </w:r>
      <w:r w:rsidRPr="0034003F">
        <w:rPr>
          <w:lang w:val="en-US"/>
        </w:rPr>
        <w:t>.</w:t>
      </w:r>
    </w:p>
    <w:p w14:paraId="2A9D08E7" w14:textId="77777777" w:rsidR="00F87F95" w:rsidRDefault="00F87F95" w:rsidP="00F87F95">
      <w:pPr>
        <w:rPr>
          <w:lang w:val="en-US" w:eastAsia="zh-CN"/>
        </w:rPr>
      </w:pPr>
      <w:r w:rsidRPr="009C5807">
        <w:rPr>
          <w:lang w:val="en-US" w:eastAsia="zh-CN"/>
        </w:rPr>
        <w:t>When switching from</w:t>
      </w:r>
      <w:r>
        <w:rPr>
          <w:lang w:val="en-US" w:eastAsia="zh-CN"/>
        </w:rPr>
        <w:t>:</w:t>
      </w:r>
    </w:p>
    <w:p w14:paraId="656B5377" w14:textId="5D442F6F" w:rsidR="00F87F95" w:rsidRDefault="006A7D35" w:rsidP="006A7D35">
      <w:pPr>
        <w:pStyle w:val="B10"/>
        <w:rPr>
          <w:lang w:val="en-US"/>
        </w:rPr>
      </w:pPr>
      <w:r>
        <w:rPr>
          <w:lang w:val="en-US"/>
        </w:rPr>
        <w:tab/>
      </w:r>
      <w:r w:rsidR="00F87F95">
        <w:rPr>
          <w:lang w:val="en-US"/>
        </w:rPr>
        <w:t>low mobility scenario to normal mode, or</w:t>
      </w:r>
    </w:p>
    <w:p w14:paraId="616DFC5B" w14:textId="1BDC941C" w:rsidR="00F87F95" w:rsidRPr="004838C1" w:rsidRDefault="006A7D35" w:rsidP="006A7D35">
      <w:pPr>
        <w:pStyle w:val="B10"/>
        <w:rPr>
          <w:lang w:val="en-US"/>
        </w:rPr>
      </w:pPr>
      <w:r>
        <w:rPr>
          <w:lang w:val="en-US"/>
        </w:rPr>
        <w:tab/>
      </w:r>
      <w:r w:rsidR="00F87F95" w:rsidRPr="004838C1">
        <w:rPr>
          <w:lang w:val="en-US"/>
        </w:rPr>
        <w:t xml:space="preserve">stationary scenario to </w:t>
      </w:r>
      <w:r w:rsidR="00F87F95">
        <w:rPr>
          <w:lang w:val="en-US"/>
        </w:rPr>
        <w:t>normal mode</w:t>
      </w:r>
      <w:r w:rsidR="00F87F95" w:rsidRPr="004838C1">
        <w:rPr>
          <w:lang w:val="en-US"/>
        </w:rPr>
        <w:t>, or</w:t>
      </w:r>
    </w:p>
    <w:p w14:paraId="53772020" w14:textId="782AC764" w:rsidR="00F87F95" w:rsidRPr="003E64AB" w:rsidRDefault="006A7D35" w:rsidP="006A7D35">
      <w:pPr>
        <w:pStyle w:val="B10"/>
        <w:rPr>
          <w:lang w:val="en-US"/>
        </w:rPr>
      </w:pPr>
      <w:r>
        <w:tab/>
      </w:r>
      <w:r w:rsidR="00F87F95" w:rsidRPr="004838C1">
        <w:t xml:space="preserve">stationary and not-at-cell-edge scenario to </w:t>
      </w:r>
      <w:r w:rsidR="00F87F95">
        <w:t>normal mode</w:t>
      </w:r>
    </w:p>
    <w:p w14:paraId="1C184923" w14:textId="77777777" w:rsidR="00F87F95" w:rsidRPr="009C5807" w:rsidRDefault="00F87F95" w:rsidP="00F87F95">
      <w:pPr>
        <w:rPr>
          <w:lang w:val="en-US" w:eastAsia="zh-CN"/>
        </w:rPr>
      </w:pPr>
      <w:r w:rsidRPr="009C5807">
        <w:rPr>
          <w:lang w:val="en-US" w:eastAsia="zh-CN"/>
        </w:rPr>
        <w:t>the UE shall fulfill the requirements corresponding to normal mode upon fulfilling the switching criteria.</w:t>
      </w:r>
    </w:p>
    <w:p w14:paraId="6ABA9190" w14:textId="77777777" w:rsidR="00F87F95" w:rsidRDefault="00F87F95" w:rsidP="00F87F95">
      <w:pPr>
        <w:rPr>
          <w:lang w:val="en-US" w:eastAsia="zh-CN"/>
        </w:rPr>
      </w:pPr>
      <w:r w:rsidRPr="009C5807">
        <w:rPr>
          <w:rFonts w:hint="eastAsia"/>
          <w:lang w:val="en-US" w:eastAsia="zh-CN"/>
        </w:rPr>
        <w:t>No requirement is defined for multiple transitions of scenarios within one measurement period.</w:t>
      </w:r>
    </w:p>
    <w:p w14:paraId="126F36F4" w14:textId="77777777" w:rsidR="00F87F95" w:rsidRPr="00784B74" w:rsidRDefault="00F87F95" w:rsidP="00F87F95">
      <w:pPr>
        <w:spacing w:after="120" w:line="259" w:lineRule="auto"/>
        <w:rPr>
          <w:color w:val="000000" w:themeColor="text1"/>
          <w:lang w:val="en-US"/>
        </w:rPr>
      </w:pPr>
    </w:p>
    <w:p w14:paraId="4F9BE8DC" w14:textId="77777777" w:rsidR="00F87F95" w:rsidRDefault="00F87F95" w:rsidP="006A7D35">
      <w:pPr>
        <w:pStyle w:val="Heading4"/>
      </w:pPr>
      <w:r>
        <w:t>4.2B.2.9</w:t>
      </w:r>
      <w:r>
        <w:tab/>
        <w:t>Measurements of intra-frequency NR cells for UE configured with relaxed measurement criterion for RedCap</w:t>
      </w:r>
    </w:p>
    <w:p w14:paraId="2B411EEF" w14:textId="77777777" w:rsidR="00F87F95" w:rsidRPr="00C83CA1" w:rsidRDefault="00F87F95" w:rsidP="00F87F95">
      <w:pPr>
        <w:pStyle w:val="Heading5"/>
        <w:rPr>
          <w:lang w:val="en-US" w:eastAsia="zh-CN"/>
        </w:rPr>
      </w:pPr>
      <w:r>
        <w:rPr>
          <w:lang w:val="en-US" w:eastAsia="zh-CN"/>
        </w:rPr>
        <w:t>4.2B.2.9</w:t>
      </w:r>
      <w:r w:rsidRPr="00C83CA1">
        <w:rPr>
          <w:lang w:val="en-US" w:eastAsia="zh-CN"/>
        </w:rPr>
        <w:t>.1</w:t>
      </w:r>
      <w:r>
        <w:rPr>
          <w:lang w:val="en-US" w:eastAsia="zh-CN"/>
        </w:rPr>
        <w:tab/>
      </w:r>
      <w:r w:rsidRPr="00C83CA1">
        <w:rPr>
          <w:lang w:val="en-US" w:eastAsia="zh-CN"/>
        </w:rPr>
        <w:t>Introduction</w:t>
      </w:r>
    </w:p>
    <w:p w14:paraId="7C4C7696" w14:textId="77777777" w:rsidR="00F87F95" w:rsidRPr="00EF59D1" w:rsidRDefault="00F87F95" w:rsidP="00F87F95">
      <w:pPr>
        <w:rPr>
          <w:noProof/>
        </w:rPr>
      </w:pPr>
      <w:r w:rsidRPr="00EF59D1">
        <w:rPr>
          <w:noProof/>
        </w:rPr>
        <w:t xml:space="preserve">This </w:t>
      </w:r>
      <w:r>
        <w:rPr>
          <w:noProof/>
        </w:rPr>
        <w:t>clause</w:t>
      </w:r>
      <w:r w:rsidRPr="00EF59D1">
        <w:rPr>
          <w:noProof/>
        </w:rPr>
        <w:t xml:space="preserve"> contains the requirements for measurements on intra-frequency NR cells when </w:t>
      </w:r>
      <w:r w:rsidRPr="00734785">
        <w:rPr>
          <w:lang w:eastAsia="zh-CN"/>
        </w:rPr>
        <w:t xml:space="preserve">Srxlev </w:t>
      </w:r>
      <w:r>
        <w:rPr>
          <w:lang w:eastAsia="zh-CN"/>
        </w:rPr>
        <w:t>≤</w:t>
      </w:r>
      <w:r w:rsidRPr="00734785">
        <w:rPr>
          <w:lang w:eastAsia="zh-CN"/>
        </w:rPr>
        <w:t xml:space="preserve"> S</w:t>
      </w:r>
      <w:r w:rsidRPr="002F5786">
        <w:rPr>
          <w:vertAlign w:val="subscript"/>
          <w:lang w:eastAsia="zh-CN"/>
        </w:rPr>
        <w:t>IntraSearchP</w:t>
      </w:r>
      <w:r w:rsidRPr="00734785">
        <w:rPr>
          <w:lang w:eastAsia="zh-CN"/>
        </w:rPr>
        <w:t xml:space="preserve"> </w:t>
      </w:r>
      <w:r>
        <w:rPr>
          <w:lang w:eastAsia="zh-CN"/>
        </w:rPr>
        <w:t>or</w:t>
      </w:r>
      <w:r w:rsidRPr="00734785">
        <w:rPr>
          <w:lang w:eastAsia="zh-CN"/>
        </w:rPr>
        <w:t xml:space="preserve"> Squal </w:t>
      </w:r>
      <w:r>
        <w:rPr>
          <w:lang w:eastAsia="zh-CN"/>
        </w:rPr>
        <w:t>≤</w:t>
      </w:r>
      <w:r w:rsidRPr="00734785">
        <w:rPr>
          <w:lang w:eastAsia="zh-CN"/>
        </w:rPr>
        <w:t xml:space="preserve"> S</w:t>
      </w:r>
      <w:r w:rsidRPr="002F5786">
        <w:rPr>
          <w:vertAlign w:val="subscript"/>
          <w:lang w:eastAsia="zh-CN"/>
        </w:rPr>
        <w:t>IntraSearchQ</w:t>
      </w:r>
      <w:r w:rsidRPr="00734785">
        <w:rPr>
          <w:lang w:eastAsia="zh-CN"/>
        </w:rPr>
        <w:t xml:space="preserve"> and when the UE is </w:t>
      </w:r>
      <w:r w:rsidRPr="00C83CA1">
        <w:rPr>
          <w:lang w:eastAsia="zh-CN"/>
        </w:rPr>
        <w:t xml:space="preserve">configured </w:t>
      </w:r>
      <w:r w:rsidRPr="00C83CA1">
        <w:rPr>
          <w:noProof/>
        </w:rPr>
        <w:t>any of the following relaxed measurement critera:</w:t>
      </w:r>
    </w:p>
    <w:p w14:paraId="1C6E4870" w14:textId="77777777" w:rsidR="00F87F95" w:rsidRDefault="00F87F95" w:rsidP="00F87F95">
      <w:pPr>
        <w:pStyle w:val="B10"/>
        <w:rPr>
          <w:noProof/>
        </w:rPr>
      </w:pPr>
      <w:r>
        <w:rPr>
          <w:noProof/>
        </w:rPr>
        <w:t>-</w:t>
      </w:r>
      <w:r>
        <w:rPr>
          <w:noProof/>
        </w:rPr>
        <w:tab/>
      </w:r>
      <w:r w:rsidRPr="007D632B">
        <w:rPr>
          <w:noProof/>
        </w:rPr>
        <w:t>Relaxed measurement criterion for</w:t>
      </w:r>
      <w:r>
        <w:rPr>
          <w:noProof/>
        </w:rPr>
        <w:t xml:space="preserve"> a stationary </w:t>
      </w:r>
      <w:r w:rsidRPr="007D632B">
        <w:rPr>
          <w:noProof/>
        </w:rPr>
        <w:t>UE</w:t>
      </w:r>
      <w:r w:rsidRPr="00950DA1">
        <w:rPr>
          <w:noProof/>
        </w:rPr>
        <w:t xml:space="preserve"> defined in clause 5.</w:t>
      </w:r>
      <w:r>
        <w:rPr>
          <w:noProof/>
        </w:rPr>
        <w:t>2</w:t>
      </w:r>
      <w:r w:rsidRPr="00950DA1">
        <w:rPr>
          <w:noProof/>
        </w:rPr>
        <w:t>.4.</w:t>
      </w:r>
      <w:r>
        <w:rPr>
          <w:noProof/>
        </w:rPr>
        <w:t>9.3</w:t>
      </w:r>
      <w:r w:rsidRPr="00950DA1">
        <w:rPr>
          <w:noProof/>
        </w:rPr>
        <w:t xml:space="preserve"> in [</w:t>
      </w:r>
      <w:r>
        <w:rPr>
          <w:noProof/>
        </w:rPr>
        <w:t>1</w:t>
      </w:r>
      <w:r w:rsidRPr="00950DA1">
        <w:rPr>
          <w:noProof/>
        </w:rPr>
        <w:t>],</w:t>
      </w:r>
    </w:p>
    <w:p w14:paraId="4DDDB28D" w14:textId="6C71CCE4" w:rsidR="00F87F95" w:rsidRDefault="0025203F" w:rsidP="00F87F95">
      <w:pPr>
        <w:pStyle w:val="B10"/>
        <w:rPr>
          <w:noProof/>
        </w:rPr>
      </w:pPr>
      <w:r>
        <w:rPr>
          <w:noProof/>
        </w:rPr>
        <w:t>-</w:t>
      </w:r>
      <w:r>
        <w:rPr>
          <w:noProof/>
        </w:rPr>
        <w:tab/>
      </w:r>
      <w:r w:rsidRPr="007D632B">
        <w:rPr>
          <w:noProof/>
        </w:rPr>
        <w:t>Relaxed measurement criteri</w:t>
      </w:r>
      <w:r>
        <w:rPr>
          <w:noProof/>
        </w:rPr>
        <w:t>a</w:t>
      </w:r>
      <w:r w:rsidRPr="007D632B">
        <w:rPr>
          <w:noProof/>
        </w:rPr>
        <w:t xml:space="preserve"> for</w:t>
      </w:r>
      <w:r>
        <w:rPr>
          <w:noProof/>
        </w:rPr>
        <w:t xml:space="preserve"> a stationary </w:t>
      </w:r>
      <w:r w:rsidRPr="007D632B">
        <w:rPr>
          <w:noProof/>
        </w:rPr>
        <w:t>U</w:t>
      </w:r>
      <w:r>
        <w:rPr>
          <w:noProof/>
        </w:rPr>
        <w:t xml:space="preserve">E and not-at-cell edge </w:t>
      </w:r>
      <w:r w:rsidRPr="00950DA1">
        <w:rPr>
          <w:noProof/>
        </w:rPr>
        <w:t>defined in clause 5.</w:t>
      </w:r>
      <w:r>
        <w:rPr>
          <w:noProof/>
        </w:rPr>
        <w:t>2</w:t>
      </w:r>
      <w:r w:rsidRPr="00950DA1">
        <w:rPr>
          <w:noProof/>
        </w:rPr>
        <w:t>.4.</w:t>
      </w:r>
      <w:r>
        <w:rPr>
          <w:noProof/>
        </w:rPr>
        <w:t>9.4</w:t>
      </w:r>
      <w:r w:rsidRPr="00950DA1">
        <w:rPr>
          <w:noProof/>
        </w:rPr>
        <w:t xml:space="preserve"> in [</w:t>
      </w:r>
      <w:r>
        <w:rPr>
          <w:noProof/>
        </w:rPr>
        <w:t>1</w:t>
      </w:r>
      <w:r w:rsidRPr="00950DA1">
        <w:rPr>
          <w:noProof/>
        </w:rPr>
        <w:t>],</w:t>
      </w:r>
    </w:p>
    <w:p w14:paraId="4D179819" w14:textId="7B7BA6AF" w:rsidR="00F87F95" w:rsidRDefault="00F87F95" w:rsidP="00F87F95">
      <w:pPr>
        <w:pStyle w:val="B10"/>
        <w:rPr>
          <w:noProof/>
        </w:rPr>
      </w:pPr>
      <w:r>
        <w:rPr>
          <w:noProof/>
        </w:rPr>
        <w:t>-</w:t>
      </w:r>
      <w:r>
        <w:rPr>
          <w:noProof/>
        </w:rPr>
        <w:tab/>
        <w:t xml:space="preserve">Both </w:t>
      </w:r>
      <w:r w:rsidRPr="00950DA1">
        <w:rPr>
          <w:noProof/>
        </w:rPr>
        <w:t xml:space="preserve">low mobility </w:t>
      </w:r>
      <w:r>
        <w:rPr>
          <w:noProof/>
        </w:rPr>
        <w:t xml:space="preserve">criterion and stationary criterion as </w:t>
      </w:r>
      <w:r w:rsidRPr="00950DA1">
        <w:rPr>
          <w:noProof/>
        </w:rPr>
        <w:t>defined in clause 5.2.4.</w:t>
      </w:r>
      <w:r>
        <w:rPr>
          <w:noProof/>
        </w:rPr>
        <w:t>9</w:t>
      </w:r>
      <w:r w:rsidRPr="00950DA1">
        <w:rPr>
          <w:noProof/>
        </w:rPr>
        <w:t>.1</w:t>
      </w:r>
      <w:r>
        <w:rPr>
          <w:noProof/>
        </w:rPr>
        <w:t xml:space="preserve"> and </w:t>
      </w:r>
      <w:r w:rsidRPr="00950DA1">
        <w:rPr>
          <w:noProof/>
        </w:rPr>
        <w:t>5.</w:t>
      </w:r>
      <w:r>
        <w:rPr>
          <w:noProof/>
        </w:rPr>
        <w:t>2</w:t>
      </w:r>
      <w:r w:rsidRPr="00950DA1">
        <w:rPr>
          <w:noProof/>
        </w:rPr>
        <w:t>.4.</w:t>
      </w:r>
      <w:r>
        <w:rPr>
          <w:noProof/>
        </w:rPr>
        <w:t>9.3 or 5.2.4.9.4</w:t>
      </w:r>
      <w:r w:rsidRPr="00950DA1">
        <w:rPr>
          <w:noProof/>
        </w:rPr>
        <w:t xml:space="preserve"> in [1]</w:t>
      </w:r>
      <w:r>
        <w:rPr>
          <w:noProof/>
        </w:rPr>
        <w:t xml:space="preserve"> respectively.</w:t>
      </w:r>
    </w:p>
    <w:p w14:paraId="63192850" w14:textId="77777777" w:rsidR="00594CBF" w:rsidRPr="00950DA1" w:rsidRDefault="00594CBF" w:rsidP="00594CBF">
      <w:pPr>
        <w:pStyle w:val="B10"/>
        <w:rPr>
          <w:noProof/>
        </w:rPr>
      </w:pPr>
      <w:r>
        <w:rPr>
          <w:noProof/>
        </w:rPr>
        <w:t>-</w:t>
      </w:r>
      <w:r>
        <w:rPr>
          <w:noProof/>
        </w:rPr>
        <w:tab/>
      </w:r>
      <w:r w:rsidRPr="007D632B">
        <w:rPr>
          <w:noProof/>
        </w:rPr>
        <w:t>Relaxed measurement criterion for UE</w:t>
      </w:r>
      <w:r w:rsidRPr="00950DA1">
        <w:rPr>
          <w:noProof/>
        </w:rPr>
        <w:t xml:space="preserve"> with low mobility defined in clause 5.2.4.</w:t>
      </w:r>
      <w:r>
        <w:rPr>
          <w:noProof/>
        </w:rPr>
        <w:t>9</w:t>
      </w:r>
      <w:r w:rsidRPr="00950DA1">
        <w:rPr>
          <w:noProof/>
        </w:rPr>
        <w:t>.1 in [1],</w:t>
      </w:r>
    </w:p>
    <w:p w14:paraId="572C754E" w14:textId="77777777" w:rsidR="00594CBF" w:rsidRPr="00950DA1" w:rsidRDefault="00594CBF" w:rsidP="00594CBF">
      <w:pPr>
        <w:pStyle w:val="B10"/>
        <w:rPr>
          <w:noProof/>
        </w:rPr>
      </w:pPr>
      <w:r>
        <w:rPr>
          <w:noProof/>
        </w:rPr>
        <w:t>-</w:t>
      </w:r>
      <w:r>
        <w:rPr>
          <w:noProof/>
        </w:rPr>
        <w:tab/>
      </w:r>
      <w:r w:rsidRPr="00950DA1">
        <w:rPr>
          <w:noProof/>
        </w:rPr>
        <w:t>Relaxed measurement criterion for UE not</w:t>
      </w:r>
      <w:r>
        <w:rPr>
          <w:noProof/>
        </w:rPr>
        <w:t>-</w:t>
      </w:r>
      <w:r w:rsidRPr="00950DA1">
        <w:rPr>
          <w:noProof/>
        </w:rPr>
        <w:t>at</w:t>
      </w:r>
      <w:r>
        <w:rPr>
          <w:noProof/>
        </w:rPr>
        <w:t>-</w:t>
      </w:r>
      <w:r w:rsidRPr="00950DA1">
        <w:rPr>
          <w:noProof/>
        </w:rPr>
        <w:t>cell</w:t>
      </w:r>
      <w:r>
        <w:rPr>
          <w:noProof/>
        </w:rPr>
        <w:t xml:space="preserve"> </w:t>
      </w:r>
      <w:r w:rsidRPr="00950DA1">
        <w:rPr>
          <w:noProof/>
        </w:rPr>
        <w:t>edge defined in clause 5.2.4.</w:t>
      </w:r>
      <w:r>
        <w:rPr>
          <w:noProof/>
        </w:rPr>
        <w:t>9</w:t>
      </w:r>
      <w:r w:rsidRPr="00950DA1">
        <w:rPr>
          <w:noProof/>
        </w:rPr>
        <w:t>.2 in [1],</w:t>
      </w:r>
    </w:p>
    <w:p w14:paraId="51B68BAC" w14:textId="5F9D0EEB" w:rsidR="00594CBF" w:rsidRDefault="00594CBF" w:rsidP="00594CBF">
      <w:pPr>
        <w:pStyle w:val="B10"/>
        <w:rPr>
          <w:noProof/>
        </w:rPr>
      </w:pPr>
      <w:r>
        <w:rPr>
          <w:noProof/>
        </w:rPr>
        <w:t>-</w:t>
      </w:r>
      <w:r>
        <w:rPr>
          <w:noProof/>
        </w:rPr>
        <w:tab/>
      </w:r>
      <w:r w:rsidRPr="00950DA1">
        <w:rPr>
          <w:noProof/>
        </w:rPr>
        <w:t>Both low mobility criterion and not</w:t>
      </w:r>
      <w:r>
        <w:rPr>
          <w:noProof/>
        </w:rPr>
        <w:t>-</w:t>
      </w:r>
      <w:r w:rsidRPr="00950DA1">
        <w:rPr>
          <w:noProof/>
        </w:rPr>
        <w:t>at</w:t>
      </w:r>
      <w:r>
        <w:rPr>
          <w:noProof/>
        </w:rPr>
        <w:t>-</w:t>
      </w:r>
      <w:r w:rsidRPr="00950DA1">
        <w:rPr>
          <w:noProof/>
        </w:rPr>
        <w:t>cell edge criterion as defined in clauses 5.2.4.</w:t>
      </w:r>
      <w:r>
        <w:rPr>
          <w:noProof/>
        </w:rPr>
        <w:t>9</w:t>
      </w:r>
      <w:r w:rsidRPr="00950DA1">
        <w:rPr>
          <w:noProof/>
        </w:rPr>
        <w:t>.1 and 5.2.4.</w:t>
      </w:r>
      <w:r>
        <w:rPr>
          <w:noProof/>
        </w:rPr>
        <w:t>9</w:t>
      </w:r>
      <w:r w:rsidRPr="00950DA1">
        <w:rPr>
          <w:noProof/>
        </w:rPr>
        <w:t>.2 in [1] respectively</w:t>
      </w:r>
      <w:r>
        <w:rPr>
          <w:noProof/>
        </w:rPr>
        <w:t>.</w:t>
      </w:r>
    </w:p>
    <w:p w14:paraId="68285007" w14:textId="77777777" w:rsidR="00065AEB" w:rsidRDefault="00065AEB" w:rsidP="00D60521">
      <w:pPr>
        <w:pStyle w:val="normalpuce"/>
        <w:tabs>
          <w:tab w:val="clear" w:pos="360"/>
          <w:tab w:val="left" w:pos="993"/>
          <w:tab w:val="num" w:pos="1276"/>
        </w:tabs>
        <w:ind w:left="567" w:hanging="283"/>
        <w:rPr>
          <w:lang w:eastAsia="zh-CN"/>
        </w:rPr>
      </w:pPr>
    </w:p>
    <w:p w14:paraId="1D32DEDC" w14:textId="77777777" w:rsidR="00F87F95" w:rsidRDefault="00F87F95" w:rsidP="00F87F95">
      <w:pPr>
        <w:pStyle w:val="Heading5"/>
        <w:rPr>
          <w:lang w:val="en-US" w:eastAsia="zh-CN"/>
        </w:rPr>
      </w:pPr>
      <w:r>
        <w:rPr>
          <w:lang w:val="en-US" w:eastAsia="zh-CN"/>
        </w:rPr>
        <w:t>4.2B.2.9.2</w:t>
      </w:r>
      <w:r>
        <w:rPr>
          <w:lang w:val="en-US" w:eastAsia="zh-CN"/>
        </w:rPr>
        <w:tab/>
        <w:t>Measurements for UE fulfilling stationary criterion</w:t>
      </w:r>
    </w:p>
    <w:p w14:paraId="439C675A" w14:textId="77777777" w:rsidR="00F87F95" w:rsidRPr="00EF59D1" w:rsidRDefault="00F87F95" w:rsidP="00F87F95">
      <w:pPr>
        <w:rPr>
          <w:lang w:eastAsia="zh-CN"/>
        </w:rPr>
      </w:pPr>
      <w:r w:rsidRPr="00C83CA1">
        <w:rPr>
          <w:lang w:val="en-US" w:eastAsia="zh-CN"/>
        </w:rPr>
        <w:t xml:space="preserve">This clause contains requirements </w:t>
      </w:r>
      <w:r w:rsidRPr="00C83CA1">
        <w:rPr>
          <w:lang w:eastAsia="zh-CN"/>
        </w:rPr>
        <w:t xml:space="preserve">for measurements on </w:t>
      </w:r>
      <w:r w:rsidRPr="00EF59D1">
        <w:rPr>
          <w:lang w:eastAsia="zh-CN"/>
        </w:rPr>
        <w:t>intra-frequency NR cells provided that:</w:t>
      </w:r>
    </w:p>
    <w:p w14:paraId="6235C1D5" w14:textId="77777777" w:rsidR="00F87F95" w:rsidRDefault="00F87F95" w:rsidP="00F87F95">
      <w:pPr>
        <w:pStyle w:val="B10"/>
        <w:rPr>
          <w:lang w:eastAsia="zh-CN"/>
        </w:rPr>
      </w:pPr>
      <w:r>
        <w:rPr>
          <w:noProof/>
        </w:rPr>
        <w:t>-</w:t>
      </w:r>
      <w:r>
        <w:rPr>
          <w:noProof/>
        </w:rPr>
        <w:tab/>
      </w:r>
      <w:r w:rsidRPr="007C2D19">
        <w:rPr>
          <w:lang w:eastAsia="zh-CN"/>
        </w:rPr>
        <w:t xml:space="preserve">UE is configured with </w:t>
      </w:r>
      <w:r w:rsidRPr="0082197E">
        <w:rPr>
          <w:i/>
          <w:iCs/>
        </w:rPr>
        <w:t>stationaryMobilityEvaluation</w:t>
      </w:r>
      <w:r w:rsidDel="004B26EA">
        <w:rPr>
          <w:i/>
          <w:iCs/>
          <w:lang w:eastAsia="zh-CN"/>
        </w:rPr>
        <w:t xml:space="preserve"> </w:t>
      </w:r>
      <w:r>
        <w:rPr>
          <w:lang w:eastAsia="zh-CN"/>
        </w:rPr>
        <w:t>[2]</w:t>
      </w:r>
      <w:r w:rsidRPr="007C2D19">
        <w:rPr>
          <w:lang w:eastAsia="zh-CN"/>
        </w:rPr>
        <w:t xml:space="preserve"> </w:t>
      </w:r>
      <w:r w:rsidRPr="00C33767">
        <w:rPr>
          <w:lang w:eastAsia="zh-CN"/>
        </w:rPr>
        <w:t>criterion</w:t>
      </w:r>
      <w:r>
        <w:rPr>
          <w:lang w:eastAsia="zh-CN"/>
        </w:rPr>
        <w:t xml:space="preserve"> and UE has fulfilled that criterion</w:t>
      </w:r>
      <w:r w:rsidRPr="00C33767">
        <w:rPr>
          <w:lang w:eastAsia="zh-CN"/>
        </w:rPr>
        <w:t xml:space="preserve">, or </w:t>
      </w:r>
    </w:p>
    <w:p w14:paraId="4359F5ED" w14:textId="77777777" w:rsidR="00F87F95" w:rsidRPr="0039265E" w:rsidRDefault="00F87F95" w:rsidP="00F87F95">
      <w:pPr>
        <w:pStyle w:val="B10"/>
        <w:rPr>
          <w:lang w:eastAsia="zh-CN"/>
        </w:rPr>
      </w:pPr>
      <w:r>
        <w:rPr>
          <w:noProof/>
        </w:rPr>
        <w:t>-</w:t>
      </w:r>
      <w:r>
        <w:rPr>
          <w:noProof/>
        </w:rPr>
        <w:tab/>
      </w:r>
      <w:r w:rsidRPr="00D36387">
        <w:rPr>
          <w:lang w:eastAsia="zh-CN"/>
        </w:rPr>
        <w:t xml:space="preserve">UE is configured with both </w:t>
      </w:r>
      <w:r w:rsidRPr="006E2031">
        <w:rPr>
          <w:i/>
          <w:noProof/>
        </w:rPr>
        <w:t xml:space="preserve">stationaryMobilityEvaluation </w:t>
      </w:r>
      <w:r>
        <w:rPr>
          <w:lang w:eastAsia="zh-CN"/>
        </w:rPr>
        <w:t>[2]</w:t>
      </w:r>
      <w:r w:rsidRPr="00D36387">
        <w:rPr>
          <w:lang w:eastAsia="zh-CN"/>
        </w:rPr>
        <w:t xml:space="preserve"> criterion and </w:t>
      </w:r>
      <w:r w:rsidRPr="006E2031">
        <w:rPr>
          <w:i/>
          <w:noProof/>
        </w:rPr>
        <w:t xml:space="preserve">cellEdgeEvaluationWhileStationary </w:t>
      </w:r>
      <w:r>
        <w:rPr>
          <w:lang w:eastAsia="zh-CN"/>
        </w:rPr>
        <w:t>[2]</w:t>
      </w:r>
      <w:r w:rsidRPr="00D36387">
        <w:rPr>
          <w:lang w:eastAsia="zh-CN"/>
        </w:rPr>
        <w:t xml:space="preserve"> criter</w:t>
      </w:r>
      <w:r>
        <w:rPr>
          <w:lang w:eastAsia="zh-CN"/>
        </w:rPr>
        <w:t>ion</w:t>
      </w:r>
      <w:r w:rsidRPr="00D36387">
        <w:rPr>
          <w:lang w:eastAsia="zh-CN"/>
        </w:rPr>
        <w:t xml:space="preserve"> </w:t>
      </w:r>
      <w:r>
        <w:rPr>
          <w:lang w:eastAsia="zh-CN"/>
        </w:rPr>
        <w:t xml:space="preserve">and </w:t>
      </w:r>
      <w:r w:rsidRPr="00BA1298">
        <w:rPr>
          <w:i/>
          <w:lang w:eastAsia="zh-CN"/>
        </w:rPr>
        <w:t xml:space="preserve">combineRelaxedMeasCondition2 </w:t>
      </w:r>
      <w:r>
        <w:rPr>
          <w:lang w:eastAsia="zh-CN"/>
        </w:rPr>
        <w:t>[2] not configured, and UE</w:t>
      </w:r>
      <w:r w:rsidRPr="00D36387">
        <w:rPr>
          <w:lang w:eastAsia="zh-CN"/>
        </w:rPr>
        <w:t xml:space="preserve"> has fulfilled only the </w:t>
      </w:r>
      <w:r w:rsidRPr="006E2031">
        <w:rPr>
          <w:i/>
          <w:noProof/>
        </w:rPr>
        <w:t xml:space="preserve">stationaryMobilityEvaluation </w:t>
      </w:r>
      <w:r>
        <w:rPr>
          <w:lang w:eastAsia="zh-CN"/>
        </w:rPr>
        <w:t>[2]</w:t>
      </w:r>
      <w:r w:rsidRPr="00D36387">
        <w:rPr>
          <w:lang w:eastAsia="zh-CN"/>
        </w:rPr>
        <w:t xml:space="preserve"> criterion</w:t>
      </w:r>
    </w:p>
    <w:p w14:paraId="6D3C4E00" w14:textId="77777777" w:rsidR="00F87F95" w:rsidRDefault="00F87F95" w:rsidP="00F87F95">
      <w:pPr>
        <w:rPr>
          <w:noProof/>
        </w:rPr>
      </w:pPr>
      <w:r w:rsidRPr="0089796C">
        <w:rPr>
          <w:noProof/>
        </w:rPr>
        <w:t xml:space="preserve">The requirements defined in clause </w:t>
      </w:r>
      <w:r>
        <w:t>4.2B.2.3</w:t>
      </w:r>
      <w:r w:rsidRPr="0089796C">
        <w:t xml:space="preserve"> </w:t>
      </w:r>
      <w:r w:rsidRPr="0089796C">
        <w:rPr>
          <w:noProof/>
        </w:rPr>
        <w:t xml:space="preserve">apply for this </w:t>
      </w:r>
      <w:r>
        <w:rPr>
          <w:noProof/>
        </w:rPr>
        <w:t>clause</w:t>
      </w:r>
      <w:r w:rsidRPr="0089796C">
        <w:rPr>
          <w:noProof/>
        </w:rPr>
        <w:t xml:space="preserve"> </w:t>
      </w:r>
      <w:r>
        <w:rPr>
          <w:noProof/>
        </w:rPr>
        <w:t>except that</w:t>
      </w:r>
      <w:r w:rsidRPr="0089796C">
        <w:rPr>
          <w:noProof/>
        </w:rPr>
        <w:t>:</w:t>
      </w:r>
    </w:p>
    <w:p w14:paraId="3D894C16" w14:textId="77777777" w:rsidR="00F87F95" w:rsidRDefault="00F87F95" w:rsidP="00F87F95">
      <w:pPr>
        <w:pStyle w:val="B10"/>
      </w:pPr>
      <w:r w:rsidRPr="0089796C">
        <w:t>-</w:t>
      </w:r>
      <w:r w:rsidRPr="0089796C">
        <w:tab/>
      </w:r>
      <w:r w:rsidRPr="00885F53">
        <w:t>T</w:t>
      </w:r>
      <w:r w:rsidRPr="00885F53">
        <w:rPr>
          <w:vertAlign w:val="subscript"/>
        </w:rPr>
        <w:t>detect,</w:t>
      </w:r>
      <w:r w:rsidRPr="00885F53">
        <w:rPr>
          <w:vertAlign w:val="subscript"/>
          <w:lang w:eastAsia="zh-CN"/>
        </w:rPr>
        <w:t>NR</w:t>
      </w:r>
      <w:r w:rsidRPr="00885F53">
        <w:rPr>
          <w:vertAlign w:val="subscript"/>
        </w:rPr>
        <w:t>_Intra</w:t>
      </w:r>
      <w:r>
        <w:rPr>
          <w:vertAlign w:val="subscript"/>
        </w:rPr>
        <w:t>_RedCap_Relax</w:t>
      </w:r>
      <w:r w:rsidRPr="00885F53">
        <w:rPr>
          <w:i/>
          <w:vertAlign w:val="subscript"/>
        </w:rPr>
        <w:t xml:space="preserve"> </w:t>
      </w:r>
      <w:r>
        <w:t xml:space="preserve">as specified in </w:t>
      </w:r>
      <w:r w:rsidRPr="00342887">
        <w:rPr>
          <w:lang w:val="en-US"/>
        </w:rPr>
        <w:t>Table 4.2</w:t>
      </w:r>
      <w:r>
        <w:rPr>
          <w:lang w:val="en-US"/>
        </w:rPr>
        <w:t>B</w:t>
      </w:r>
      <w:r w:rsidRPr="00342887">
        <w:rPr>
          <w:lang w:val="en-US"/>
        </w:rPr>
        <w:t>.2.</w:t>
      </w:r>
      <w:r>
        <w:rPr>
          <w:lang w:val="en-US"/>
        </w:rPr>
        <w:t>9.2</w:t>
      </w:r>
      <w:r w:rsidRPr="00342887">
        <w:rPr>
          <w:lang w:val="en-US"/>
        </w:rPr>
        <w:t>-1</w:t>
      </w:r>
      <w:r>
        <w:rPr>
          <w:lang w:val="en-US"/>
        </w:rPr>
        <w:t xml:space="preserve"> and </w:t>
      </w:r>
      <w:r w:rsidRPr="00342887">
        <w:rPr>
          <w:lang w:val="en-US"/>
        </w:rPr>
        <w:t>Table 4.2</w:t>
      </w:r>
      <w:r>
        <w:rPr>
          <w:lang w:val="en-US"/>
        </w:rPr>
        <w:t>B</w:t>
      </w:r>
      <w:r w:rsidRPr="00342887">
        <w:rPr>
          <w:lang w:val="en-US"/>
        </w:rPr>
        <w:t>.2.</w:t>
      </w:r>
      <w:r>
        <w:rPr>
          <w:lang w:val="en-US"/>
        </w:rPr>
        <w:t>9.2</w:t>
      </w:r>
      <w:r w:rsidRPr="00342887">
        <w:rPr>
          <w:lang w:val="en-US"/>
        </w:rPr>
        <w:t>-</w:t>
      </w:r>
      <w:r>
        <w:rPr>
          <w:lang w:val="en-US"/>
        </w:rPr>
        <w:t>2 for 1 Rx RedCap  and 2 Rx RedCap respectively</w:t>
      </w:r>
      <w:r w:rsidRPr="00AD77EE">
        <w:t>.</w:t>
      </w:r>
    </w:p>
    <w:p w14:paraId="5738CC05" w14:textId="77777777" w:rsidR="00F87F95" w:rsidRDefault="00F87F95" w:rsidP="00F87F95">
      <w:pPr>
        <w:pStyle w:val="B10"/>
      </w:pPr>
      <w:r w:rsidRPr="0089796C">
        <w:t>-</w:t>
      </w:r>
      <w:r w:rsidRPr="0089796C">
        <w:tab/>
      </w:r>
      <w:r w:rsidRPr="00885F53">
        <w:rPr>
          <w:rFonts w:cs="v4.2.0"/>
        </w:rPr>
        <w:t>T</w:t>
      </w:r>
      <w:r w:rsidRPr="00885F53">
        <w:rPr>
          <w:rFonts w:cs="v4.2.0"/>
          <w:vertAlign w:val="subscript"/>
        </w:rPr>
        <w:t>measure,NR_Intra</w:t>
      </w:r>
      <w:r>
        <w:rPr>
          <w:vertAlign w:val="subscript"/>
        </w:rPr>
        <w:t>_RedCap_Relax</w:t>
      </w:r>
      <w:r w:rsidRPr="00885F53">
        <w:rPr>
          <w:rFonts w:cs="v4.2.0"/>
        </w:rPr>
        <w:t xml:space="preserve"> </w:t>
      </w:r>
      <w:r>
        <w:t xml:space="preserve">as specified in </w:t>
      </w:r>
      <w:r w:rsidRPr="00342887">
        <w:rPr>
          <w:lang w:val="en-US"/>
        </w:rPr>
        <w:t>Table 4.2</w:t>
      </w:r>
      <w:r>
        <w:rPr>
          <w:lang w:val="en-US"/>
        </w:rPr>
        <w:t>B</w:t>
      </w:r>
      <w:r w:rsidRPr="00342887">
        <w:rPr>
          <w:lang w:val="en-US"/>
        </w:rPr>
        <w:t>.2.</w:t>
      </w:r>
      <w:r>
        <w:rPr>
          <w:lang w:val="en-US"/>
        </w:rPr>
        <w:t>9.2</w:t>
      </w:r>
      <w:r w:rsidRPr="00342887">
        <w:rPr>
          <w:lang w:val="en-US"/>
        </w:rPr>
        <w:t>-1</w:t>
      </w:r>
      <w:r>
        <w:rPr>
          <w:lang w:val="en-US"/>
        </w:rPr>
        <w:t xml:space="preserve"> and </w:t>
      </w:r>
      <w:r w:rsidRPr="00342887">
        <w:rPr>
          <w:lang w:val="en-US"/>
        </w:rPr>
        <w:t>Table 4.2</w:t>
      </w:r>
      <w:r>
        <w:rPr>
          <w:lang w:val="en-US"/>
        </w:rPr>
        <w:t>B</w:t>
      </w:r>
      <w:r w:rsidRPr="00342887">
        <w:rPr>
          <w:lang w:val="en-US"/>
        </w:rPr>
        <w:t>.2.</w:t>
      </w:r>
      <w:r>
        <w:rPr>
          <w:lang w:val="en-US"/>
        </w:rPr>
        <w:t>9.2</w:t>
      </w:r>
      <w:r w:rsidRPr="00342887">
        <w:rPr>
          <w:lang w:val="en-US"/>
        </w:rPr>
        <w:t>-</w:t>
      </w:r>
      <w:r>
        <w:rPr>
          <w:lang w:val="en-US"/>
        </w:rPr>
        <w:t>2 for 1 Rx RedCap  and 2 Rx RedCap respectively</w:t>
      </w:r>
      <w:r w:rsidRPr="00AD77EE">
        <w:t>.</w:t>
      </w:r>
    </w:p>
    <w:p w14:paraId="38F7C877" w14:textId="77777777" w:rsidR="00F87F95" w:rsidRPr="00AD5C2C" w:rsidRDefault="00F87F95" w:rsidP="00F87F95">
      <w:pPr>
        <w:pStyle w:val="B10"/>
      </w:pPr>
      <w:r w:rsidRPr="00AD5C2C">
        <w:t>-</w:t>
      </w:r>
      <w:r w:rsidRPr="00AD5C2C">
        <w:tab/>
      </w:r>
      <w:r w:rsidRPr="00AD5C2C">
        <w:rPr>
          <w:rFonts w:cs="v4.2.0"/>
        </w:rPr>
        <w:t>T</w:t>
      </w:r>
      <w:r w:rsidRPr="00AD5C2C">
        <w:rPr>
          <w:rFonts w:cs="v4.2.0"/>
          <w:vertAlign w:val="subscript"/>
        </w:rPr>
        <w:t>evaluate,</w:t>
      </w:r>
      <w:r w:rsidRPr="00AD5C2C">
        <w:rPr>
          <w:rFonts w:cs="v4.2.0"/>
          <w:vertAlign w:val="subscript"/>
          <w:lang w:eastAsia="zh-CN"/>
        </w:rPr>
        <w:t>NR</w:t>
      </w:r>
      <w:r w:rsidRPr="00AD5C2C">
        <w:rPr>
          <w:rFonts w:cs="v4.2.0"/>
          <w:vertAlign w:val="subscript"/>
        </w:rPr>
        <w:t>_Intra</w:t>
      </w:r>
      <w:r w:rsidRPr="00AD5C2C">
        <w:rPr>
          <w:vertAlign w:val="subscript"/>
        </w:rPr>
        <w:t>_RedCap_Relax</w:t>
      </w:r>
      <w:r w:rsidRPr="00AD5C2C">
        <w:rPr>
          <w:rFonts w:cs="v4.2.0"/>
          <w:vertAlign w:val="subscript"/>
        </w:rPr>
        <w:t xml:space="preserve"> </w:t>
      </w:r>
      <w:r w:rsidRPr="00AD5C2C">
        <w:t xml:space="preserve">as specified in </w:t>
      </w:r>
      <w:r w:rsidRPr="00AD5C2C">
        <w:rPr>
          <w:lang w:val="en-US"/>
        </w:rPr>
        <w:t>Table 4.2B.2.9.2-1 and Table 4.2B.2.9.2-2 for 1 Rx RedCap  and 2 Rx RedCap respectively</w:t>
      </w:r>
      <w:r w:rsidRPr="00AD5C2C">
        <w:t>.</w:t>
      </w:r>
    </w:p>
    <w:p w14:paraId="14D23F3F" w14:textId="77777777" w:rsidR="00F87F95" w:rsidRPr="003D532E" w:rsidRDefault="00F87F95" w:rsidP="00F87F95">
      <w:pPr>
        <w:pStyle w:val="B10"/>
        <w:ind w:left="0" w:firstLine="0"/>
        <w:rPr>
          <w:noProof/>
        </w:rPr>
      </w:pPr>
      <w:r w:rsidRPr="003D532E">
        <w:rPr>
          <w:noProof/>
        </w:rPr>
        <w:t xml:space="preserve">If the UE is configured with eDRX_IDLE cycle then the requirements in Table 4.2B.2.9.2-3 and Table 4.2B.2.9.2-4 are applicable for eDRX cycle up to 10.24 s in FR1 and FR2 respectively. </w:t>
      </w:r>
    </w:p>
    <w:p w14:paraId="60D10856" w14:textId="77777777" w:rsidR="00F87F95" w:rsidRDefault="00F87F95" w:rsidP="00F87F95">
      <w:pPr>
        <w:spacing w:after="0"/>
      </w:pPr>
      <w:r w:rsidRPr="003D532E">
        <w:t xml:space="preserve">If the UE is configured with eDRX_IDLE cycle greater than 10.24 s in FR1 and FR2, then the requirements in Table </w:t>
      </w:r>
      <w:r w:rsidRPr="003D532E">
        <w:rPr>
          <w:lang w:val="en-US"/>
        </w:rPr>
        <w:t>Table 4.2B.2.9.2-5</w:t>
      </w:r>
      <w:r w:rsidRPr="003D532E">
        <w:t xml:space="preserve"> and </w:t>
      </w:r>
      <w:r w:rsidRPr="003D532E">
        <w:rPr>
          <w:lang w:val="en-US"/>
        </w:rPr>
        <w:t xml:space="preserve">Table 4.2B.2.9.2-6 respectively </w:t>
      </w:r>
      <w:r w:rsidRPr="003D532E">
        <w:t xml:space="preserve">apply provided eDRX cycle is </w:t>
      </w:r>
      <w:r w:rsidRPr="003D532E">
        <w:rPr>
          <w:rFonts w:hint="eastAsia"/>
        </w:rPr>
        <w:t>≤</w:t>
      </w:r>
      <w:r w:rsidRPr="003D532E">
        <w:t xml:space="preserve"> [163.84] sec and evaluation/measurement time with relaxation on one carrier is not greater than single PTW window length.</w:t>
      </w:r>
    </w:p>
    <w:p w14:paraId="4E39AAC6" w14:textId="77777777" w:rsidR="00F87F95" w:rsidRPr="00806346" w:rsidRDefault="00F87F95" w:rsidP="007B0473">
      <w:pPr>
        <w:rPr>
          <w:lang w:val="en-US" w:eastAsia="zh-CN"/>
        </w:rPr>
      </w:pPr>
    </w:p>
    <w:p w14:paraId="15595E7A" w14:textId="77777777" w:rsidR="00F87F95" w:rsidRPr="00401468" w:rsidRDefault="00F87F95" w:rsidP="00F87F95">
      <w:pPr>
        <w:pStyle w:val="TH"/>
        <w:rPr>
          <w:lang w:val="en-US"/>
        </w:rPr>
      </w:pPr>
      <w:r w:rsidRPr="00342887">
        <w:rPr>
          <w:lang w:val="en-US"/>
        </w:rPr>
        <w:t>Table 4.2</w:t>
      </w:r>
      <w:r>
        <w:rPr>
          <w:lang w:val="en-US"/>
        </w:rPr>
        <w:t>B</w:t>
      </w:r>
      <w:r w:rsidRPr="00342887">
        <w:rPr>
          <w:lang w:val="en-US"/>
        </w:rPr>
        <w:t>.2.</w:t>
      </w:r>
      <w:r>
        <w:rPr>
          <w:lang w:val="en-US"/>
        </w:rPr>
        <w:t>9.2</w:t>
      </w:r>
      <w:r w:rsidRPr="00342887">
        <w:rPr>
          <w:lang w:val="en-US"/>
        </w:rPr>
        <w:t>-1: T</w:t>
      </w:r>
      <w:r w:rsidRPr="00342887">
        <w:rPr>
          <w:vertAlign w:val="subscript"/>
          <w:lang w:val="en-US"/>
        </w:rPr>
        <w:t>detect,NR_Intra</w:t>
      </w:r>
      <w:r>
        <w:rPr>
          <w:vertAlign w:val="subscript"/>
          <w:lang w:val="en-US"/>
        </w:rPr>
        <w:t>_RedCap</w:t>
      </w:r>
      <w:r>
        <w:rPr>
          <w:vertAlign w:val="subscript"/>
        </w:rPr>
        <w:t>_Relax</w:t>
      </w:r>
      <w:r w:rsidRPr="00342887">
        <w:rPr>
          <w:vertAlign w:val="subscript"/>
          <w:lang w:val="en-US"/>
        </w:rPr>
        <w:t>,</w:t>
      </w:r>
      <w:r w:rsidRPr="00342887">
        <w:rPr>
          <w:lang w:val="en-US"/>
        </w:rPr>
        <w:t xml:space="preserve"> T</w:t>
      </w:r>
      <w:r w:rsidRPr="00342887">
        <w:rPr>
          <w:vertAlign w:val="subscript"/>
          <w:lang w:val="en-US"/>
        </w:rPr>
        <w:t>measure,NR_Intra</w:t>
      </w:r>
      <w:r>
        <w:rPr>
          <w:vertAlign w:val="subscript"/>
          <w:lang w:val="en-US"/>
        </w:rPr>
        <w:t>_RedCap</w:t>
      </w:r>
      <w:r>
        <w:rPr>
          <w:vertAlign w:val="subscript"/>
        </w:rPr>
        <w:t>_Relax</w:t>
      </w:r>
      <w:r w:rsidRPr="00342887">
        <w:rPr>
          <w:lang w:val="en-US"/>
        </w:rPr>
        <w:t xml:space="preserve"> and T</w:t>
      </w:r>
      <w:r w:rsidRPr="00342887">
        <w:rPr>
          <w:vertAlign w:val="subscript"/>
          <w:lang w:val="en-US"/>
        </w:rPr>
        <w:t>evaluate,NR_Intra</w:t>
      </w:r>
      <w:r>
        <w:rPr>
          <w:vertAlign w:val="subscript"/>
          <w:lang w:val="en-US"/>
        </w:rPr>
        <w:t>_RedCap</w:t>
      </w:r>
      <w:r>
        <w:rPr>
          <w:vertAlign w:val="subscript"/>
        </w:rPr>
        <w:t>_Relax</w:t>
      </w:r>
      <w:r>
        <w:rPr>
          <w:vertAlign w:val="subscript"/>
          <w:lang w:val="en-US"/>
        </w:rPr>
        <w:t xml:space="preserve"> </w:t>
      </w:r>
      <w:r w:rsidRPr="00F74563">
        <w:rPr>
          <w:lang w:val="en-US"/>
        </w:rPr>
        <w:t xml:space="preserve">for UEs fulfilling </w:t>
      </w:r>
      <w:r>
        <w:rPr>
          <w:lang w:val="en-US"/>
        </w:rPr>
        <w:t>stationary criterion for 1 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2881"/>
        <w:gridCol w:w="3039"/>
        <w:gridCol w:w="2604"/>
      </w:tblGrid>
      <w:tr w:rsidR="00F87F95" w:rsidRPr="009C5807" w14:paraId="2D09F32D" w14:textId="77777777" w:rsidTr="001313A6">
        <w:trPr>
          <w:cantSplit/>
          <w:trHeight w:val="308"/>
          <w:jc w:val="center"/>
        </w:trPr>
        <w:tc>
          <w:tcPr>
            <w:tcW w:w="0" w:type="auto"/>
            <w:tcBorders>
              <w:top w:val="single" w:sz="4" w:space="0" w:color="auto"/>
              <w:left w:val="single" w:sz="4" w:space="0" w:color="auto"/>
              <w:bottom w:val="nil"/>
              <w:right w:val="single" w:sz="4" w:space="0" w:color="auto"/>
            </w:tcBorders>
            <w:hideMark/>
          </w:tcPr>
          <w:p w14:paraId="208A1B0E" w14:textId="77777777" w:rsidR="00F87F95" w:rsidRPr="009C5807" w:rsidRDefault="00F87F95" w:rsidP="001313A6">
            <w:pPr>
              <w:pStyle w:val="TAH"/>
            </w:pPr>
            <w:r w:rsidRPr="009C5807">
              <w:t>DRX cycle length [s]</w:t>
            </w:r>
          </w:p>
        </w:tc>
        <w:tc>
          <w:tcPr>
            <w:tcW w:w="0" w:type="auto"/>
            <w:tcBorders>
              <w:top w:val="single" w:sz="4" w:space="0" w:color="auto"/>
              <w:left w:val="single" w:sz="4" w:space="0" w:color="auto"/>
              <w:bottom w:val="nil"/>
              <w:right w:val="single" w:sz="4" w:space="0" w:color="auto"/>
            </w:tcBorders>
            <w:hideMark/>
          </w:tcPr>
          <w:p w14:paraId="6D3CAC6B" w14:textId="77777777" w:rsidR="00F87F95" w:rsidRPr="009C5807" w:rsidRDefault="00F87F95" w:rsidP="001313A6">
            <w:pPr>
              <w:pStyle w:val="TAH"/>
            </w:pPr>
            <w:r w:rsidRPr="009C5807">
              <w:t>T</w:t>
            </w:r>
            <w:r w:rsidRPr="009C5807">
              <w:rPr>
                <w:vertAlign w:val="subscript"/>
              </w:rPr>
              <w:t>detect,NR_Intra</w:t>
            </w:r>
            <w:r>
              <w:rPr>
                <w:vertAlign w:val="subscript"/>
                <w:lang w:val="en-US"/>
              </w:rPr>
              <w:t>_RedCap</w:t>
            </w:r>
            <w:r>
              <w:rPr>
                <w:vertAlign w:val="subscript"/>
              </w:rPr>
              <w:t>_Relax</w:t>
            </w:r>
            <w:r w:rsidRPr="009C5807">
              <w:t xml:space="preserve"> [s] (number of DRX cycles)</w:t>
            </w:r>
          </w:p>
        </w:tc>
        <w:tc>
          <w:tcPr>
            <w:tcW w:w="0" w:type="auto"/>
            <w:tcBorders>
              <w:top w:val="single" w:sz="4" w:space="0" w:color="auto"/>
              <w:left w:val="single" w:sz="4" w:space="0" w:color="auto"/>
              <w:bottom w:val="nil"/>
              <w:right w:val="single" w:sz="4" w:space="0" w:color="auto"/>
            </w:tcBorders>
            <w:hideMark/>
          </w:tcPr>
          <w:p w14:paraId="4BAF77E3" w14:textId="77777777" w:rsidR="00F87F95" w:rsidRPr="009C5807" w:rsidRDefault="00F87F95" w:rsidP="001313A6">
            <w:pPr>
              <w:pStyle w:val="TAH"/>
            </w:pPr>
            <w:r w:rsidRPr="009C5807">
              <w:t>T</w:t>
            </w:r>
            <w:r w:rsidRPr="009C5807">
              <w:rPr>
                <w:vertAlign w:val="subscript"/>
              </w:rPr>
              <w:t>measure,NR_Intra</w:t>
            </w:r>
            <w:r>
              <w:rPr>
                <w:vertAlign w:val="subscript"/>
                <w:lang w:val="en-US"/>
              </w:rPr>
              <w:t>_RedCap</w:t>
            </w:r>
            <w:r>
              <w:rPr>
                <w:vertAlign w:val="subscript"/>
              </w:rPr>
              <w:t>_Relax</w:t>
            </w:r>
            <w:r w:rsidRPr="009C5807">
              <w:t xml:space="preserve"> [s] (number of DRX cycles)</w:t>
            </w:r>
          </w:p>
        </w:tc>
        <w:tc>
          <w:tcPr>
            <w:tcW w:w="0" w:type="auto"/>
            <w:tcBorders>
              <w:top w:val="single" w:sz="4" w:space="0" w:color="auto"/>
              <w:left w:val="single" w:sz="4" w:space="0" w:color="auto"/>
              <w:bottom w:val="nil"/>
              <w:right w:val="single" w:sz="4" w:space="0" w:color="auto"/>
            </w:tcBorders>
            <w:hideMark/>
          </w:tcPr>
          <w:p w14:paraId="2597126A" w14:textId="77777777" w:rsidR="00F87F95" w:rsidRPr="009C5807" w:rsidRDefault="00F87F95" w:rsidP="001313A6">
            <w:pPr>
              <w:pStyle w:val="TAH"/>
              <w:rPr>
                <w:vertAlign w:val="subscript"/>
              </w:rPr>
            </w:pPr>
            <w:r w:rsidRPr="009C5807">
              <w:t>T</w:t>
            </w:r>
            <w:r w:rsidRPr="009C5807">
              <w:rPr>
                <w:vertAlign w:val="subscript"/>
              </w:rPr>
              <w:t>evaluate,NR_</w:t>
            </w:r>
            <w:r w:rsidRPr="009C5807">
              <w:rPr>
                <w:rFonts w:cs="v4.2.0"/>
                <w:vertAlign w:val="subscript"/>
              </w:rPr>
              <w:t>Intra</w:t>
            </w:r>
            <w:r>
              <w:rPr>
                <w:vertAlign w:val="subscript"/>
                <w:lang w:val="en-US"/>
              </w:rPr>
              <w:t>_RedCap</w:t>
            </w:r>
            <w:r>
              <w:rPr>
                <w:vertAlign w:val="subscript"/>
              </w:rPr>
              <w:t>_Relax</w:t>
            </w:r>
          </w:p>
          <w:p w14:paraId="2FAA22E8" w14:textId="77777777" w:rsidR="00F87F95" w:rsidRPr="009C5807" w:rsidRDefault="00F87F95" w:rsidP="001313A6">
            <w:pPr>
              <w:pStyle w:val="TAH"/>
            </w:pPr>
            <w:r w:rsidRPr="009C5807">
              <w:t>[s] (number of DRX cycles)</w:t>
            </w:r>
          </w:p>
        </w:tc>
      </w:tr>
      <w:tr w:rsidR="00F87F95" w:rsidRPr="009C5807" w14:paraId="29C897C5" w14:textId="77777777" w:rsidTr="001313A6">
        <w:trPr>
          <w:cantSplit/>
          <w:trHeight w:val="308"/>
          <w:jc w:val="center"/>
        </w:trPr>
        <w:tc>
          <w:tcPr>
            <w:tcW w:w="0" w:type="auto"/>
            <w:tcBorders>
              <w:top w:val="nil"/>
              <w:left w:val="single" w:sz="4" w:space="0" w:color="auto"/>
              <w:bottom w:val="single" w:sz="4" w:space="0" w:color="auto"/>
              <w:right w:val="single" w:sz="4" w:space="0" w:color="auto"/>
            </w:tcBorders>
            <w:vAlign w:val="center"/>
            <w:hideMark/>
          </w:tcPr>
          <w:p w14:paraId="71C2D777" w14:textId="77777777" w:rsidR="00F87F95" w:rsidRPr="009C5807" w:rsidRDefault="00F87F95" w:rsidP="001313A6">
            <w:pPr>
              <w:pStyle w:val="TAH"/>
            </w:pPr>
          </w:p>
        </w:tc>
        <w:tc>
          <w:tcPr>
            <w:tcW w:w="0" w:type="auto"/>
            <w:tcBorders>
              <w:top w:val="nil"/>
              <w:left w:val="single" w:sz="4" w:space="0" w:color="auto"/>
              <w:bottom w:val="single" w:sz="4" w:space="0" w:color="auto"/>
              <w:right w:val="single" w:sz="4" w:space="0" w:color="auto"/>
            </w:tcBorders>
            <w:vAlign w:val="center"/>
            <w:hideMark/>
          </w:tcPr>
          <w:p w14:paraId="5AD0F36E" w14:textId="77777777" w:rsidR="00F87F95" w:rsidRPr="009C5807" w:rsidRDefault="00F87F95" w:rsidP="001313A6">
            <w:pPr>
              <w:pStyle w:val="TAH"/>
            </w:pPr>
          </w:p>
        </w:tc>
        <w:tc>
          <w:tcPr>
            <w:tcW w:w="0" w:type="auto"/>
            <w:tcBorders>
              <w:top w:val="nil"/>
              <w:left w:val="single" w:sz="4" w:space="0" w:color="auto"/>
              <w:bottom w:val="single" w:sz="4" w:space="0" w:color="auto"/>
              <w:right w:val="single" w:sz="4" w:space="0" w:color="auto"/>
            </w:tcBorders>
            <w:vAlign w:val="center"/>
            <w:hideMark/>
          </w:tcPr>
          <w:p w14:paraId="1D179EE7" w14:textId="77777777" w:rsidR="00F87F95" w:rsidRPr="009C5807" w:rsidRDefault="00F87F95" w:rsidP="001313A6">
            <w:pPr>
              <w:pStyle w:val="TAH"/>
            </w:pPr>
          </w:p>
        </w:tc>
        <w:tc>
          <w:tcPr>
            <w:tcW w:w="0" w:type="auto"/>
            <w:tcBorders>
              <w:top w:val="nil"/>
              <w:left w:val="single" w:sz="4" w:space="0" w:color="auto"/>
              <w:bottom w:val="single" w:sz="4" w:space="0" w:color="auto"/>
              <w:right w:val="single" w:sz="4" w:space="0" w:color="auto"/>
            </w:tcBorders>
            <w:vAlign w:val="center"/>
            <w:hideMark/>
          </w:tcPr>
          <w:p w14:paraId="2E37B286" w14:textId="77777777" w:rsidR="00F87F95" w:rsidRPr="009C5807" w:rsidRDefault="00F87F95" w:rsidP="001313A6">
            <w:pPr>
              <w:pStyle w:val="TAH"/>
            </w:pPr>
          </w:p>
        </w:tc>
      </w:tr>
      <w:tr w:rsidR="00F87F95" w:rsidRPr="0060600A" w14:paraId="777A3711"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F733949" w14:textId="77777777" w:rsidR="00F87F95" w:rsidRPr="009C5807" w:rsidRDefault="00F87F95" w:rsidP="001313A6">
            <w:pPr>
              <w:pStyle w:val="TAC"/>
            </w:pPr>
            <w:r w:rsidRPr="009C5807">
              <w:t>0.32</w:t>
            </w:r>
          </w:p>
        </w:tc>
        <w:tc>
          <w:tcPr>
            <w:tcW w:w="0" w:type="auto"/>
            <w:tcBorders>
              <w:top w:val="single" w:sz="4" w:space="0" w:color="auto"/>
              <w:left w:val="single" w:sz="4" w:space="0" w:color="auto"/>
              <w:bottom w:val="single" w:sz="4" w:space="0" w:color="auto"/>
              <w:right w:val="single" w:sz="4" w:space="0" w:color="auto"/>
            </w:tcBorders>
            <w:hideMark/>
          </w:tcPr>
          <w:p w14:paraId="52695B64" w14:textId="77777777" w:rsidR="00F87F95" w:rsidRPr="0082197E" w:rsidRDefault="00F87F95" w:rsidP="001313A6">
            <w:pPr>
              <w:pStyle w:val="TAC"/>
              <w:rPr>
                <w:lang w:val="sv-SE"/>
              </w:rPr>
            </w:pPr>
            <w:r>
              <w:rPr>
                <w:lang w:val="sv-SE"/>
              </w:rPr>
              <w:t>11.52</w:t>
            </w:r>
            <w:r w:rsidRPr="0082197E">
              <w:rPr>
                <w:lang w:val="sv-SE"/>
              </w:rPr>
              <w:t xml:space="preserve"> x </w:t>
            </w:r>
            <w:r w:rsidRPr="0082197E">
              <w:rPr>
                <w:rFonts w:cs="Arial"/>
                <w:lang w:val="sv-SE" w:eastAsia="zh-CN"/>
              </w:rPr>
              <w:t xml:space="preserve">M2 x K3 </w:t>
            </w:r>
            <w:r w:rsidRPr="0082197E">
              <w:rPr>
                <w:lang w:val="sv-SE"/>
              </w:rPr>
              <w:t>(</w:t>
            </w:r>
            <w:r>
              <w:rPr>
                <w:lang w:val="sv-SE"/>
              </w:rPr>
              <w:t>36</w:t>
            </w:r>
            <w:r w:rsidRPr="0082197E">
              <w:rPr>
                <w:lang w:val="sv-SE"/>
              </w:rPr>
              <w:t xml:space="preserve"> x </w:t>
            </w:r>
            <w:r w:rsidRPr="0082197E">
              <w:rPr>
                <w:rFonts w:cs="Arial"/>
                <w:lang w:val="sv-SE" w:eastAsia="zh-CN"/>
              </w:rPr>
              <w:t>M2 x K3</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2EE3FC2C" w14:textId="77777777" w:rsidR="00F87F95" w:rsidRPr="0082197E" w:rsidRDefault="00F87F95" w:rsidP="001313A6">
            <w:pPr>
              <w:pStyle w:val="TAC"/>
              <w:rPr>
                <w:lang w:val="sv-SE"/>
              </w:rPr>
            </w:pPr>
            <w:r>
              <w:rPr>
                <w:lang w:val="sv-SE"/>
              </w:rPr>
              <w:t>1.28</w:t>
            </w:r>
            <w:r w:rsidRPr="0082197E">
              <w:rPr>
                <w:lang w:val="sv-SE"/>
              </w:rPr>
              <w:t xml:space="preserve"> x </w:t>
            </w:r>
            <w:r w:rsidRPr="0082197E">
              <w:rPr>
                <w:rFonts w:cs="Arial"/>
                <w:lang w:val="sv-SE" w:eastAsia="zh-CN"/>
              </w:rPr>
              <w:t>M2 x K3</w:t>
            </w:r>
            <w:r w:rsidRPr="0082197E">
              <w:rPr>
                <w:rFonts w:cs="Arial"/>
                <w:snapToGrid w:val="0"/>
                <w:lang w:val="sv-SE"/>
              </w:rPr>
              <w:t xml:space="preserve"> </w:t>
            </w:r>
            <w:r w:rsidRPr="0082197E">
              <w:rPr>
                <w:lang w:val="sv-SE"/>
              </w:rPr>
              <w:t>(</w:t>
            </w:r>
            <w:r>
              <w:rPr>
                <w:lang w:val="sv-SE"/>
              </w:rPr>
              <w:t>4</w:t>
            </w:r>
            <w:r w:rsidRPr="0082197E">
              <w:rPr>
                <w:lang w:val="sv-SE"/>
              </w:rPr>
              <w:t xml:space="preserve"> x </w:t>
            </w:r>
            <w:r w:rsidRPr="0082197E">
              <w:rPr>
                <w:rFonts w:cs="Arial"/>
                <w:lang w:val="sv-SE" w:eastAsia="zh-CN"/>
              </w:rPr>
              <w:t>M2 x K3</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B4DEC96" w14:textId="77777777" w:rsidR="00F87F95" w:rsidRPr="0082197E" w:rsidRDefault="00F87F95" w:rsidP="001313A6">
            <w:pPr>
              <w:pStyle w:val="TAC"/>
              <w:rPr>
                <w:lang w:val="sv-SE"/>
              </w:rPr>
            </w:pPr>
            <w:r>
              <w:rPr>
                <w:lang w:val="sv-SE"/>
              </w:rPr>
              <w:t>5.12</w:t>
            </w:r>
            <w:r w:rsidRPr="0082197E">
              <w:rPr>
                <w:lang w:val="sv-SE"/>
              </w:rPr>
              <w:t xml:space="preserve"> x </w:t>
            </w:r>
            <w:r w:rsidRPr="0082197E">
              <w:rPr>
                <w:rFonts w:cs="Arial"/>
                <w:lang w:val="sv-SE" w:eastAsia="zh-CN"/>
              </w:rPr>
              <w:t>M2 x K3</w:t>
            </w:r>
            <w:r w:rsidRPr="0082197E">
              <w:rPr>
                <w:rFonts w:cs="Arial"/>
                <w:snapToGrid w:val="0"/>
                <w:lang w:val="sv-SE"/>
              </w:rPr>
              <w:t xml:space="preserve"> </w:t>
            </w:r>
            <w:r w:rsidRPr="0082197E">
              <w:rPr>
                <w:lang w:val="sv-SE"/>
              </w:rPr>
              <w:t>(</w:t>
            </w:r>
            <w:r>
              <w:rPr>
                <w:lang w:val="sv-SE"/>
              </w:rPr>
              <w:t>16</w:t>
            </w:r>
            <w:r w:rsidRPr="0082197E">
              <w:rPr>
                <w:lang w:val="sv-SE"/>
              </w:rPr>
              <w:t xml:space="preserve"> x </w:t>
            </w:r>
            <w:r w:rsidRPr="0082197E">
              <w:rPr>
                <w:rFonts w:cs="Arial"/>
                <w:lang w:val="sv-SE" w:eastAsia="zh-CN"/>
              </w:rPr>
              <w:t>M2 x K3</w:t>
            </w:r>
            <w:r w:rsidRPr="0082197E">
              <w:rPr>
                <w:lang w:val="sv-SE"/>
              </w:rPr>
              <w:t>)</w:t>
            </w:r>
          </w:p>
        </w:tc>
      </w:tr>
      <w:tr w:rsidR="00F87F95" w:rsidRPr="002805CD" w14:paraId="05F2EE88"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69F7BB1" w14:textId="77777777" w:rsidR="00F87F95" w:rsidRPr="009C5807" w:rsidRDefault="00F87F95" w:rsidP="001313A6">
            <w:pPr>
              <w:pStyle w:val="TAC"/>
            </w:pPr>
            <w:r w:rsidRPr="009C5807">
              <w:t>0.64</w:t>
            </w:r>
          </w:p>
        </w:tc>
        <w:tc>
          <w:tcPr>
            <w:tcW w:w="0" w:type="auto"/>
            <w:tcBorders>
              <w:top w:val="single" w:sz="4" w:space="0" w:color="auto"/>
              <w:left w:val="single" w:sz="4" w:space="0" w:color="auto"/>
              <w:bottom w:val="single" w:sz="4" w:space="0" w:color="auto"/>
              <w:right w:val="single" w:sz="4" w:space="0" w:color="auto"/>
            </w:tcBorders>
            <w:hideMark/>
          </w:tcPr>
          <w:p w14:paraId="4F58FA29" w14:textId="77777777" w:rsidR="00F87F95" w:rsidRPr="0082197E" w:rsidRDefault="00F87F95" w:rsidP="001313A6">
            <w:pPr>
              <w:pStyle w:val="TAC"/>
              <w:rPr>
                <w:lang w:val="sv-SE"/>
              </w:rPr>
            </w:pPr>
            <w:r>
              <w:rPr>
                <w:lang w:val="sv-SE"/>
              </w:rPr>
              <w:t>17.92</w:t>
            </w:r>
            <w:r w:rsidRPr="0082197E">
              <w:rPr>
                <w:lang w:val="sv-SE"/>
              </w:rPr>
              <w:t xml:space="preserve"> x </w:t>
            </w:r>
            <w:r w:rsidRPr="0082197E">
              <w:rPr>
                <w:rFonts w:cs="Arial"/>
                <w:lang w:val="sv-SE" w:eastAsia="zh-CN"/>
              </w:rPr>
              <w:t>K3</w:t>
            </w:r>
            <w:r w:rsidRPr="0082197E">
              <w:rPr>
                <w:lang w:val="sv-SE"/>
              </w:rPr>
              <w:t xml:space="preserve"> (</w:t>
            </w:r>
            <w:r>
              <w:rPr>
                <w:lang w:val="sv-SE"/>
              </w:rPr>
              <w:t>28</w:t>
            </w:r>
            <w:r w:rsidRPr="0082197E">
              <w:rPr>
                <w:lang w:val="sv-SE"/>
              </w:rPr>
              <w:t xml:space="preserve"> x </w:t>
            </w:r>
            <w:r w:rsidRPr="0082197E">
              <w:rPr>
                <w:rFonts w:cs="Arial"/>
                <w:lang w:val="sv-SE" w:eastAsia="zh-CN"/>
              </w:rPr>
              <w:t>K3</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2381CDF7" w14:textId="77777777" w:rsidR="00F87F95" w:rsidRPr="0082197E" w:rsidRDefault="00F87F95" w:rsidP="001313A6">
            <w:pPr>
              <w:pStyle w:val="TAC"/>
              <w:rPr>
                <w:lang w:val="sv-SE"/>
              </w:rPr>
            </w:pPr>
            <w:r>
              <w:rPr>
                <w:lang w:val="sv-SE"/>
              </w:rPr>
              <w:t>1.28</w:t>
            </w:r>
            <w:r w:rsidRPr="0082197E">
              <w:rPr>
                <w:lang w:val="sv-SE"/>
              </w:rPr>
              <w:t xml:space="preserve"> x </w:t>
            </w:r>
            <w:r w:rsidRPr="0082197E">
              <w:rPr>
                <w:rFonts w:cs="Arial"/>
                <w:lang w:val="sv-SE" w:eastAsia="zh-CN"/>
              </w:rPr>
              <w:t>K3</w:t>
            </w:r>
            <w:r w:rsidRPr="0082197E">
              <w:rPr>
                <w:lang w:val="sv-SE"/>
              </w:rPr>
              <w:t xml:space="preserve"> (</w:t>
            </w:r>
            <w:r>
              <w:rPr>
                <w:lang w:val="sv-SE"/>
              </w:rPr>
              <w:t>2</w:t>
            </w:r>
            <w:r w:rsidRPr="0082197E">
              <w:rPr>
                <w:lang w:val="sv-SE"/>
              </w:rPr>
              <w:t xml:space="preserve"> x </w:t>
            </w:r>
            <w:r w:rsidRPr="0082197E">
              <w:rPr>
                <w:rFonts w:cs="Arial"/>
                <w:lang w:val="sv-SE" w:eastAsia="zh-CN"/>
              </w:rPr>
              <w:t>K3</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45C732C1" w14:textId="77777777" w:rsidR="00F87F95" w:rsidRPr="0082197E" w:rsidRDefault="00F87F95" w:rsidP="001313A6">
            <w:pPr>
              <w:pStyle w:val="TAC"/>
              <w:rPr>
                <w:lang w:val="sv-SE"/>
              </w:rPr>
            </w:pPr>
            <w:r>
              <w:rPr>
                <w:lang w:val="sv-SE"/>
              </w:rPr>
              <w:t>5.12</w:t>
            </w:r>
            <w:r w:rsidRPr="0082197E">
              <w:rPr>
                <w:lang w:val="sv-SE"/>
              </w:rPr>
              <w:t xml:space="preserve"> x </w:t>
            </w:r>
            <w:r w:rsidRPr="0082197E">
              <w:rPr>
                <w:rFonts w:cs="Arial"/>
                <w:lang w:val="sv-SE" w:eastAsia="zh-CN"/>
              </w:rPr>
              <w:t>K3</w:t>
            </w:r>
            <w:r w:rsidRPr="0082197E">
              <w:rPr>
                <w:lang w:val="sv-SE"/>
              </w:rPr>
              <w:t xml:space="preserve"> (</w:t>
            </w:r>
            <w:r>
              <w:rPr>
                <w:lang w:val="sv-SE"/>
              </w:rPr>
              <w:t>8</w:t>
            </w:r>
            <w:r w:rsidRPr="0082197E">
              <w:rPr>
                <w:lang w:val="sv-SE"/>
              </w:rPr>
              <w:t xml:space="preserve"> x </w:t>
            </w:r>
            <w:r w:rsidRPr="0082197E">
              <w:rPr>
                <w:rFonts w:cs="Arial"/>
                <w:lang w:val="sv-SE" w:eastAsia="zh-CN"/>
              </w:rPr>
              <w:t>K3</w:t>
            </w:r>
            <w:r w:rsidRPr="0082197E">
              <w:rPr>
                <w:lang w:val="sv-SE"/>
              </w:rPr>
              <w:t>)</w:t>
            </w:r>
          </w:p>
        </w:tc>
      </w:tr>
      <w:tr w:rsidR="00F87F95" w:rsidRPr="002805CD" w14:paraId="73BF328A"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3B597C5" w14:textId="77777777" w:rsidR="00F87F95" w:rsidRPr="009C5807" w:rsidRDefault="00F87F95" w:rsidP="001313A6">
            <w:pPr>
              <w:pStyle w:val="TAC"/>
            </w:pPr>
            <w:r w:rsidRPr="009C5807">
              <w:t>1.28</w:t>
            </w:r>
          </w:p>
        </w:tc>
        <w:tc>
          <w:tcPr>
            <w:tcW w:w="0" w:type="auto"/>
            <w:tcBorders>
              <w:top w:val="single" w:sz="4" w:space="0" w:color="auto"/>
              <w:left w:val="single" w:sz="4" w:space="0" w:color="auto"/>
              <w:bottom w:val="single" w:sz="4" w:space="0" w:color="auto"/>
              <w:right w:val="single" w:sz="4" w:space="0" w:color="auto"/>
            </w:tcBorders>
            <w:hideMark/>
          </w:tcPr>
          <w:p w14:paraId="788C3B87" w14:textId="77777777" w:rsidR="00F87F95" w:rsidRPr="0082197E" w:rsidRDefault="00F87F95" w:rsidP="001313A6">
            <w:pPr>
              <w:pStyle w:val="TAC"/>
              <w:rPr>
                <w:lang w:val="sv-SE"/>
              </w:rPr>
            </w:pPr>
            <w:r>
              <w:rPr>
                <w:lang w:val="sv-SE"/>
              </w:rPr>
              <w:t>32</w:t>
            </w:r>
            <w:r w:rsidRPr="0082197E">
              <w:rPr>
                <w:lang w:val="sv-SE"/>
              </w:rPr>
              <w:t xml:space="preserve"> x </w:t>
            </w:r>
            <w:r w:rsidRPr="0082197E">
              <w:rPr>
                <w:rFonts w:cs="Arial"/>
                <w:lang w:val="sv-SE" w:eastAsia="zh-CN"/>
              </w:rPr>
              <w:t>K3</w:t>
            </w:r>
            <w:r w:rsidRPr="0082197E">
              <w:rPr>
                <w:lang w:val="sv-SE"/>
              </w:rPr>
              <w:t xml:space="preserve"> (</w:t>
            </w:r>
            <w:r>
              <w:rPr>
                <w:lang w:val="sv-SE"/>
              </w:rPr>
              <w:t>25</w:t>
            </w:r>
            <w:r w:rsidRPr="0082197E">
              <w:rPr>
                <w:lang w:val="sv-SE"/>
              </w:rPr>
              <w:t xml:space="preserve"> x </w:t>
            </w:r>
            <w:r w:rsidRPr="0082197E">
              <w:rPr>
                <w:rFonts w:cs="Arial"/>
                <w:lang w:val="sv-SE" w:eastAsia="zh-CN"/>
              </w:rPr>
              <w:t>K3</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36D49784" w14:textId="77777777" w:rsidR="00F87F95" w:rsidRPr="0082197E" w:rsidRDefault="00F87F95" w:rsidP="001313A6">
            <w:pPr>
              <w:pStyle w:val="TAC"/>
              <w:rPr>
                <w:lang w:val="sv-SE"/>
              </w:rPr>
            </w:pPr>
            <w:r>
              <w:rPr>
                <w:lang w:val="sv-SE"/>
              </w:rPr>
              <w:t>1.28</w:t>
            </w:r>
            <w:r w:rsidRPr="0082197E">
              <w:rPr>
                <w:lang w:val="sv-SE"/>
              </w:rPr>
              <w:t xml:space="preserve">x </w:t>
            </w:r>
            <w:r w:rsidRPr="0082197E">
              <w:rPr>
                <w:rFonts w:cs="Arial"/>
                <w:lang w:val="sv-SE" w:eastAsia="zh-CN"/>
              </w:rPr>
              <w:t>K3</w:t>
            </w:r>
            <w:r w:rsidRPr="0082197E">
              <w:rPr>
                <w:lang w:val="sv-SE"/>
              </w:rPr>
              <w:t xml:space="preserve"> (</w:t>
            </w:r>
            <w:r>
              <w:rPr>
                <w:lang w:val="sv-SE"/>
              </w:rPr>
              <w:t>1</w:t>
            </w:r>
            <w:r w:rsidRPr="0082197E">
              <w:rPr>
                <w:lang w:val="sv-SE"/>
              </w:rPr>
              <w:t xml:space="preserve"> x </w:t>
            </w:r>
            <w:r w:rsidRPr="0082197E">
              <w:rPr>
                <w:rFonts w:cs="Arial"/>
                <w:lang w:val="sv-SE" w:eastAsia="zh-CN"/>
              </w:rPr>
              <w:t>K3</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14C564F8" w14:textId="77777777" w:rsidR="00F87F95" w:rsidRPr="0082197E" w:rsidRDefault="00F87F95" w:rsidP="001313A6">
            <w:pPr>
              <w:pStyle w:val="TAC"/>
              <w:rPr>
                <w:lang w:val="sv-SE"/>
              </w:rPr>
            </w:pPr>
            <w:r>
              <w:rPr>
                <w:lang w:val="sv-SE"/>
              </w:rPr>
              <w:t>6.4</w:t>
            </w:r>
            <w:r w:rsidRPr="0082197E">
              <w:rPr>
                <w:lang w:val="sv-SE"/>
              </w:rPr>
              <w:t xml:space="preserve"> x </w:t>
            </w:r>
            <w:r w:rsidRPr="0082197E">
              <w:rPr>
                <w:rFonts w:cs="Arial"/>
                <w:lang w:val="sv-SE" w:eastAsia="zh-CN"/>
              </w:rPr>
              <w:t>K3</w:t>
            </w:r>
            <w:r w:rsidRPr="0082197E">
              <w:rPr>
                <w:lang w:val="sv-SE"/>
              </w:rPr>
              <w:t xml:space="preserve"> (</w:t>
            </w:r>
            <w:r>
              <w:rPr>
                <w:lang w:val="sv-SE"/>
              </w:rPr>
              <w:t>5</w:t>
            </w:r>
            <w:r w:rsidRPr="0082197E">
              <w:rPr>
                <w:lang w:val="sv-SE"/>
              </w:rPr>
              <w:t xml:space="preserve"> x </w:t>
            </w:r>
            <w:r w:rsidRPr="0082197E">
              <w:rPr>
                <w:rFonts w:cs="Arial"/>
                <w:lang w:val="sv-SE" w:eastAsia="zh-CN"/>
              </w:rPr>
              <w:t>K3</w:t>
            </w:r>
            <w:r w:rsidRPr="0082197E">
              <w:rPr>
                <w:lang w:val="sv-SE"/>
              </w:rPr>
              <w:t>)</w:t>
            </w:r>
          </w:p>
        </w:tc>
      </w:tr>
      <w:tr w:rsidR="00F87F95" w:rsidRPr="002805CD" w14:paraId="617DC727"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902DE09" w14:textId="77777777" w:rsidR="00F87F95" w:rsidRPr="009C5807" w:rsidRDefault="00F87F95" w:rsidP="001313A6">
            <w:pPr>
              <w:pStyle w:val="TAC"/>
            </w:pPr>
            <w:r w:rsidRPr="009C5807">
              <w:t>2.56</w:t>
            </w:r>
          </w:p>
        </w:tc>
        <w:tc>
          <w:tcPr>
            <w:tcW w:w="0" w:type="auto"/>
            <w:tcBorders>
              <w:top w:val="single" w:sz="4" w:space="0" w:color="auto"/>
              <w:left w:val="single" w:sz="4" w:space="0" w:color="auto"/>
              <w:bottom w:val="single" w:sz="4" w:space="0" w:color="auto"/>
              <w:right w:val="single" w:sz="4" w:space="0" w:color="auto"/>
            </w:tcBorders>
            <w:hideMark/>
          </w:tcPr>
          <w:p w14:paraId="4E0CA329" w14:textId="77777777" w:rsidR="00F87F95" w:rsidRPr="0082197E" w:rsidRDefault="00F87F95" w:rsidP="001313A6">
            <w:pPr>
              <w:pStyle w:val="TAC"/>
              <w:rPr>
                <w:lang w:val="sv-SE"/>
              </w:rPr>
            </w:pPr>
            <w:r>
              <w:rPr>
                <w:lang w:val="sv-SE"/>
              </w:rPr>
              <w:t>58.88</w:t>
            </w:r>
            <w:r w:rsidRPr="0082197E">
              <w:rPr>
                <w:lang w:val="sv-SE"/>
              </w:rPr>
              <w:t xml:space="preserve"> x </w:t>
            </w:r>
            <w:r w:rsidRPr="0082197E">
              <w:rPr>
                <w:rFonts w:cs="Arial"/>
                <w:lang w:val="sv-SE" w:eastAsia="zh-CN"/>
              </w:rPr>
              <w:t>K3</w:t>
            </w:r>
            <w:r w:rsidRPr="0082197E">
              <w:rPr>
                <w:lang w:val="sv-SE"/>
              </w:rPr>
              <w:t xml:space="preserve"> (</w:t>
            </w:r>
            <w:r>
              <w:rPr>
                <w:lang w:val="sv-SE"/>
              </w:rPr>
              <w:t>23</w:t>
            </w:r>
            <w:r w:rsidRPr="0082197E">
              <w:rPr>
                <w:lang w:val="sv-SE"/>
              </w:rPr>
              <w:t xml:space="preserve"> x </w:t>
            </w:r>
            <w:r w:rsidRPr="0082197E">
              <w:rPr>
                <w:rFonts w:cs="Arial"/>
                <w:lang w:val="sv-SE" w:eastAsia="zh-CN"/>
              </w:rPr>
              <w:t>K3</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55DC35F5" w14:textId="77777777" w:rsidR="00F87F95" w:rsidRPr="0082197E" w:rsidRDefault="00F87F95" w:rsidP="001313A6">
            <w:pPr>
              <w:pStyle w:val="TAC"/>
              <w:rPr>
                <w:lang w:val="sv-SE"/>
              </w:rPr>
            </w:pPr>
            <w:r>
              <w:rPr>
                <w:lang w:val="sv-SE"/>
              </w:rPr>
              <w:t>2.56</w:t>
            </w:r>
            <w:r w:rsidRPr="0082197E">
              <w:rPr>
                <w:lang w:val="sv-SE"/>
              </w:rPr>
              <w:t xml:space="preserve"> x </w:t>
            </w:r>
            <w:r w:rsidRPr="0082197E">
              <w:rPr>
                <w:rFonts w:cs="Arial"/>
                <w:lang w:val="sv-SE" w:eastAsia="zh-CN"/>
              </w:rPr>
              <w:t>K3</w:t>
            </w:r>
            <w:r w:rsidRPr="0082197E">
              <w:rPr>
                <w:lang w:val="sv-SE"/>
              </w:rPr>
              <w:t xml:space="preserve"> (</w:t>
            </w:r>
            <w:r>
              <w:rPr>
                <w:lang w:val="sv-SE"/>
              </w:rPr>
              <w:t>1</w:t>
            </w:r>
            <w:r w:rsidRPr="0082197E">
              <w:rPr>
                <w:lang w:val="sv-SE"/>
              </w:rPr>
              <w:t xml:space="preserve"> x </w:t>
            </w:r>
            <w:r w:rsidRPr="0082197E">
              <w:rPr>
                <w:rFonts w:cs="Arial"/>
                <w:lang w:val="sv-SE" w:eastAsia="zh-CN"/>
              </w:rPr>
              <w:t>K3</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C0EDE94" w14:textId="77777777" w:rsidR="00F87F95" w:rsidRPr="0082197E" w:rsidRDefault="00F87F95" w:rsidP="001313A6">
            <w:pPr>
              <w:pStyle w:val="TAC"/>
              <w:rPr>
                <w:lang w:val="sv-SE"/>
              </w:rPr>
            </w:pPr>
            <w:r>
              <w:rPr>
                <w:lang w:val="sv-SE"/>
              </w:rPr>
              <w:t>7.68</w:t>
            </w:r>
            <w:r w:rsidRPr="0082197E">
              <w:rPr>
                <w:lang w:val="sv-SE"/>
              </w:rPr>
              <w:t xml:space="preserve"> x </w:t>
            </w:r>
            <w:r w:rsidRPr="0082197E">
              <w:rPr>
                <w:rFonts w:cs="Arial"/>
                <w:lang w:val="sv-SE" w:eastAsia="zh-CN"/>
              </w:rPr>
              <w:t>K3</w:t>
            </w:r>
            <w:r w:rsidRPr="0082197E">
              <w:rPr>
                <w:lang w:val="sv-SE"/>
              </w:rPr>
              <w:t xml:space="preserve"> (</w:t>
            </w:r>
            <w:r>
              <w:rPr>
                <w:lang w:val="sv-SE"/>
              </w:rPr>
              <w:t>3</w:t>
            </w:r>
            <w:r w:rsidRPr="0082197E">
              <w:rPr>
                <w:lang w:val="sv-SE"/>
              </w:rPr>
              <w:t xml:space="preserve"> x </w:t>
            </w:r>
            <w:r w:rsidRPr="0082197E">
              <w:rPr>
                <w:rFonts w:cs="Arial"/>
                <w:lang w:val="sv-SE" w:eastAsia="zh-CN"/>
              </w:rPr>
              <w:t>K3</w:t>
            </w:r>
            <w:r w:rsidRPr="0082197E">
              <w:rPr>
                <w:lang w:val="sv-SE"/>
              </w:rPr>
              <w:t>)</w:t>
            </w:r>
          </w:p>
        </w:tc>
      </w:tr>
      <w:tr w:rsidR="00F87F95" w:rsidRPr="009C5807" w14:paraId="2CAA8CC6" w14:textId="77777777" w:rsidTr="001313A6">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314E18E2" w14:textId="77777777" w:rsidR="00F87F95" w:rsidRPr="00AD5C2C" w:rsidRDefault="00F87F95" w:rsidP="001313A6">
            <w:pPr>
              <w:pStyle w:val="TAN"/>
              <w:rPr>
                <w:snapToGrid w:val="0"/>
                <w:lang w:eastAsia="zh-CN"/>
              </w:rPr>
            </w:pPr>
            <w:r w:rsidRPr="009C5807">
              <w:rPr>
                <w:snapToGrid w:val="0"/>
                <w:lang w:eastAsia="zh-CN"/>
              </w:rPr>
              <w:t xml:space="preserve">Note </w:t>
            </w:r>
            <w:r>
              <w:rPr>
                <w:snapToGrid w:val="0"/>
                <w:lang w:eastAsia="zh-CN"/>
              </w:rPr>
              <w:t>1</w:t>
            </w:r>
            <w:r w:rsidRPr="009C5807">
              <w:rPr>
                <w:snapToGrid w:val="0"/>
                <w:lang w:eastAsia="zh-CN"/>
              </w:rPr>
              <w:t>:</w:t>
            </w:r>
            <w:r w:rsidRPr="009C5807">
              <w:rPr>
                <w:lang w:val="en-US"/>
              </w:rPr>
              <w:tab/>
            </w:r>
            <w:r w:rsidRPr="009C5807">
              <w:rPr>
                <w:snapToGrid w:val="0"/>
                <w:lang w:eastAsia="zh-CN"/>
              </w:rPr>
              <w:t>M2 = 1.5 if SMTC periodicity</w:t>
            </w:r>
            <w:r w:rsidRPr="009C5807">
              <w:t xml:space="preserve"> </w:t>
            </w:r>
            <w:r w:rsidRPr="009C5807">
              <w:rPr>
                <w:snapToGrid w:val="0"/>
                <w:lang w:eastAsia="zh-CN"/>
              </w:rPr>
              <w:t>of measured intra-frequency cell &gt; 20 ms; otherwise M2=1.</w:t>
            </w:r>
            <w:r>
              <w:t xml:space="preserve"> </w:t>
            </w:r>
            <w:r w:rsidRPr="000359AF">
              <w:rPr>
                <w:snapToGrid w:val="0"/>
                <w:lang w:eastAsia="zh-CN"/>
              </w:rPr>
              <w:t>If different SMTC periodicities are configured for different cells, the SMTC periodicity in this note is the one used by the cell being identified.</w:t>
            </w:r>
            <w:r>
              <w:rPr>
                <w:snapToGrid w:val="0"/>
                <w:lang w:eastAsia="zh-CN"/>
              </w:rPr>
              <w:t xml:space="preserve"> </w:t>
            </w:r>
            <w:r w:rsidRPr="009B7158">
              <w:rPr>
                <w:snapToGrid w:val="0"/>
                <w:lang w:eastAsia="zh-CN"/>
              </w:rPr>
              <w:t xml:space="preserve">During PSS/SSS detection, the periodicity of the SMTC configured for the intra-frequency carrier is assumed, and if the actual SSB transmission periodicity is greater than the SMTC configured for </w:t>
            </w:r>
            <w:r w:rsidRPr="00AD5C2C">
              <w:rPr>
                <w:snapToGrid w:val="0"/>
                <w:lang w:eastAsia="zh-CN"/>
              </w:rPr>
              <w:t>the intra-frequency carrier, longer T</w:t>
            </w:r>
            <w:r w:rsidRPr="00AD5C2C">
              <w:rPr>
                <w:snapToGrid w:val="0"/>
                <w:vertAlign w:val="subscript"/>
                <w:lang w:eastAsia="zh-CN"/>
              </w:rPr>
              <w:t xml:space="preserve">detect, NR_intra </w:t>
            </w:r>
            <w:r w:rsidRPr="00AD5C2C">
              <w:rPr>
                <w:snapToGrid w:val="0"/>
                <w:lang w:eastAsia="zh-CN"/>
              </w:rPr>
              <w:t>is expected.</w:t>
            </w:r>
          </w:p>
          <w:p w14:paraId="1C1D574B" w14:textId="77777777" w:rsidR="00F87F95" w:rsidRPr="009C5807" w:rsidRDefault="00F87F95" w:rsidP="001313A6">
            <w:pPr>
              <w:pStyle w:val="TAN"/>
            </w:pPr>
            <w:r w:rsidRPr="00AD5C2C">
              <w:rPr>
                <w:snapToGrid w:val="0"/>
                <w:lang w:eastAsia="zh-CN"/>
              </w:rPr>
              <w:t>Note 2:</w:t>
            </w:r>
            <w:r w:rsidRPr="00AD5C2C">
              <w:rPr>
                <w:lang w:val="en-US"/>
              </w:rPr>
              <w:tab/>
            </w:r>
            <w:r w:rsidRPr="00AD5C2C">
              <w:rPr>
                <w:snapToGrid w:val="0"/>
                <w:lang w:eastAsia="zh-CN"/>
              </w:rPr>
              <w:t xml:space="preserve">K3 = 6 is the measurement relaxation factor applicable for UE fulfilling the </w:t>
            </w:r>
            <w:r w:rsidRPr="00AD5C2C">
              <w:rPr>
                <w:i/>
                <w:noProof/>
              </w:rPr>
              <w:t xml:space="preserve">stationaryMobilityEvaluation </w:t>
            </w:r>
            <w:r w:rsidRPr="00AD5C2C">
              <w:rPr>
                <w:lang w:eastAsia="zh-CN"/>
              </w:rPr>
              <w:t>[2]</w:t>
            </w:r>
            <w:r w:rsidRPr="00AD5C2C">
              <w:rPr>
                <w:snapToGrid w:val="0"/>
                <w:lang w:eastAsia="zh-CN"/>
              </w:rPr>
              <w:t xml:space="preserve"> criterion.</w:t>
            </w:r>
          </w:p>
        </w:tc>
      </w:tr>
    </w:tbl>
    <w:p w14:paraId="25E74812" w14:textId="77777777" w:rsidR="00F87F95" w:rsidRDefault="00F87F95" w:rsidP="00F87F95">
      <w:pPr>
        <w:rPr>
          <w:noProof/>
        </w:rPr>
      </w:pPr>
    </w:p>
    <w:p w14:paraId="34C4A099" w14:textId="77777777" w:rsidR="00F87F95" w:rsidRPr="00464452" w:rsidRDefault="00F87F95" w:rsidP="00F87F95">
      <w:pPr>
        <w:pStyle w:val="TH"/>
        <w:rPr>
          <w:lang w:val="en-US"/>
        </w:rPr>
      </w:pPr>
      <w:r w:rsidRPr="00342887">
        <w:rPr>
          <w:lang w:val="en-US"/>
        </w:rPr>
        <w:t>Table 4.2</w:t>
      </w:r>
      <w:r>
        <w:rPr>
          <w:lang w:val="en-US"/>
        </w:rPr>
        <w:t>B</w:t>
      </w:r>
      <w:r w:rsidRPr="00342887">
        <w:rPr>
          <w:lang w:val="en-US"/>
        </w:rPr>
        <w:t>.2.</w:t>
      </w:r>
      <w:r>
        <w:rPr>
          <w:lang w:val="en-US"/>
        </w:rPr>
        <w:t>9.2</w:t>
      </w:r>
      <w:r w:rsidRPr="00342887">
        <w:rPr>
          <w:lang w:val="en-US"/>
        </w:rPr>
        <w:t>-</w:t>
      </w:r>
      <w:r>
        <w:rPr>
          <w:lang w:val="en-US"/>
        </w:rPr>
        <w:t>2</w:t>
      </w:r>
      <w:r w:rsidRPr="00342887">
        <w:rPr>
          <w:lang w:val="en-US"/>
        </w:rPr>
        <w:t>: T</w:t>
      </w:r>
      <w:r w:rsidRPr="00342887">
        <w:rPr>
          <w:vertAlign w:val="subscript"/>
          <w:lang w:val="en-US"/>
        </w:rPr>
        <w:t>detect,NR_Intra</w:t>
      </w:r>
      <w:r>
        <w:rPr>
          <w:vertAlign w:val="subscript"/>
          <w:lang w:val="en-US"/>
        </w:rPr>
        <w:t>_RedCap</w:t>
      </w:r>
      <w:r>
        <w:rPr>
          <w:vertAlign w:val="subscript"/>
        </w:rPr>
        <w:t>_Relax</w:t>
      </w:r>
      <w:r w:rsidRPr="00342887">
        <w:rPr>
          <w:vertAlign w:val="subscript"/>
          <w:lang w:val="en-US"/>
        </w:rPr>
        <w:t>,</w:t>
      </w:r>
      <w:r w:rsidRPr="00342887">
        <w:rPr>
          <w:lang w:val="en-US"/>
        </w:rPr>
        <w:t xml:space="preserve"> T</w:t>
      </w:r>
      <w:r w:rsidRPr="00342887">
        <w:rPr>
          <w:vertAlign w:val="subscript"/>
          <w:lang w:val="en-US"/>
        </w:rPr>
        <w:t>measure,NR_Intra</w:t>
      </w:r>
      <w:r>
        <w:rPr>
          <w:vertAlign w:val="subscript"/>
          <w:lang w:val="en-US"/>
        </w:rPr>
        <w:t>_RedCap</w:t>
      </w:r>
      <w:r>
        <w:rPr>
          <w:vertAlign w:val="subscript"/>
        </w:rPr>
        <w:t>_Relax</w:t>
      </w:r>
      <w:r w:rsidRPr="00342887">
        <w:rPr>
          <w:lang w:val="en-US"/>
        </w:rPr>
        <w:t xml:space="preserve"> and T</w:t>
      </w:r>
      <w:r w:rsidRPr="00342887">
        <w:rPr>
          <w:vertAlign w:val="subscript"/>
          <w:lang w:val="en-US"/>
        </w:rPr>
        <w:t>evaluate,NR_Intra</w:t>
      </w:r>
      <w:r>
        <w:rPr>
          <w:vertAlign w:val="subscript"/>
          <w:lang w:val="en-US"/>
        </w:rPr>
        <w:t>_RedCap</w:t>
      </w:r>
      <w:r>
        <w:rPr>
          <w:vertAlign w:val="subscript"/>
        </w:rPr>
        <w:t>_Relax</w:t>
      </w:r>
      <w:r>
        <w:rPr>
          <w:vertAlign w:val="subscript"/>
          <w:lang w:val="en-US"/>
        </w:rPr>
        <w:t xml:space="preserve"> </w:t>
      </w:r>
      <w:r w:rsidRPr="00F74563">
        <w:rPr>
          <w:lang w:val="en-US"/>
        </w:rPr>
        <w:t xml:space="preserve">for UEs fulfilling </w:t>
      </w:r>
      <w:r>
        <w:rPr>
          <w:lang w:val="en-US"/>
        </w:rPr>
        <w:t>stationary criterion for 2 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586"/>
        <w:gridCol w:w="936"/>
        <w:gridCol w:w="2348"/>
        <w:gridCol w:w="2494"/>
        <w:gridCol w:w="2404"/>
      </w:tblGrid>
      <w:tr w:rsidR="00F87F95" w:rsidRPr="009C5807" w14:paraId="39B36C09" w14:textId="77777777" w:rsidTr="001313A6">
        <w:trPr>
          <w:cantSplit/>
          <w:trHeight w:val="308"/>
          <w:jc w:val="center"/>
        </w:trPr>
        <w:tc>
          <w:tcPr>
            <w:tcW w:w="0" w:type="auto"/>
            <w:tcBorders>
              <w:top w:val="single" w:sz="4" w:space="0" w:color="auto"/>
              <w:left w:val="single" w:sz="4" w:space="0" w:color="auto"/>
              <w:bottom w:val="nil"/>
              <w:right w:val="single" w:sz="4" w:space="0" w:color="auto"/>
            </w:tcBorders>
            <w:hideMark/>
          </w:tcPr>
          <w:p w14:paraId="7651E10D" w14:textId="77777777" w:rsidR="00F87F95" w:rsidRPr="009C5807" w:rsidRDefault="00F87F95" w:rsidP="001313A6">
            <w:pPr>
              <w:pStyle w:val="TAH"/>
            </w:pPr>
            <w:r w:rsidRPr="009C5807">
              <w:t>DRX cycle length [s]</w:t>
            </w:r>
          </w:p>
        </w:tc>
        <w:tc>
          <w:tcPr>
            <w:tcW w:w="0" w:type="auto"/>
            <w:gridSpan w:val="2"/>
            <w:tcBorders>
              <w:top w:val="single" w:sz="4" w:space="0" w:color="auto"/>
              <w:left w:val="single" w:sz="4" w:space="0" w:color="auto"/>
              <w:bottom w:val="single" w:sz="4" w:space="0" w:color="auto"/>
              <w:right w:val="single" w:sz="4" w:space="0" w:color="auto"/>
            </w:tcBorders>
            <w:hideMark/>
          </w:tcPr>
          <w:p w14:paraId="3E3396E6" w14:textId="77777777" w:rsidR="00F87F95" w:rsidRPr="009C5807" w:rsidRDefault="00F87F95" w:rsidP="001313A6">
            <w:pPr>
              <w:pStyle w:val="TAH"/>
            </w:pPr>
            <w:r w:rsidRPr="009C5807">
              <w:t>Scaling Factor (N1)</w:t>
            </w:r>
          </w:p>
        </w:tc>
        <w:tc>
          <w:tcPr>
            <w:tcW w:w="0" w:type="auto"/>
            <w:tcBorders>
              <w:top w:val="single" w:sz="4" w:space="0" w:color="auto"/>
              <w:left w:val="single" w:sz="4" w:space="0" w:color="auto"/>
              <w:bottom w:val="nil"/>
              <w:right w:val="single" w:sz="4" w:space="0" w:color="auto"/>
            </w:tcBorders>
            <w:hideMark/>
          </w:tcPr>
          <w:p w14:paraId="5C30D40A" w14:textId="77777777" w:rsidR="00F87F95" w:rsidRPr="009C5807" w:rsidRDefault="00F87F95" w:rsidP="001313A6">
            <w:pPr>
              <w:pStyle w:val="TAH"/>
            </w:pPr>
            <w:r w:rsidRPr="009C5807">
              <w:t>T</w:t>
            </w:r>
            <w:r w:rsidRPr="009C5807">
              <w:rPr>
                <w:vertAlign w:val="subscript"/>
              </w:rPr>
              <w:t>detect,NR_Intra</w:t>
            </w:r>
            <w:r>
              <w:rPr>
                <w:vertAlign w:val="subscript"/>
                <w:lang w:val="en-US"/>
              </w:rPr>
              <w:t>_RedCap</w:t>
            </w:r>
            <w:r>
              <w:rPr>
                <w:vertAlign w:val="subscript"/>
              </w:rPr>
              <w:t>_Relax</w:t>
            </w:r>
            <w:r w:rsidRPr="009C5807">
              <w:t xml:space="preserve"> [s] (number of DRX cycles)</w:t>
            </w:r>
          </w:p>
        </w:tc>
        <w:tc>
          <w:tcPr>
            <w:tcW w:w="0" w:type="auto"/>
            <w:tcBorders>
              <w:top w:val="single" w:sz="4" w:space="0" w:color="auto"/>
              <w:left w:val="single" w:sz="4" w:space="0" w:color="auto"/>
              <w:bottom w:val="nil"/>
              <w:right w:val="single" w:sz="4" w:space="0" w:color="auto"/>
            </w:tcBorders>
            <w:hideMark/>
          </w:tcPr>
          <w:p w14:paraId="58435F58" w14:textId="77777777" w:rsidR="00F87F95" w:rsidRPr="009C5807" w:rsidRDefault="00F87F95" w:rsidP="001313A6">
            <w:pPr>
              <w:pStyle w:val="TAH"/>
            </w:pPr>
            <w:r w:rsidRPr="009C5807">
              <w:t>T</w:t>
            </w:r>
            <w:r w:rsidRPr="009C5807">
              <w:rPr>
                <w:vertAlign w:val="subscript"/>
              </w:rPr>
              <w:t>measure,NR_Intra</w:t>
            </w:r>
            <w:r>
              <w:rPr>
                <w:vertAlign w:val="subscript"/>
                <w:lang w:val="en-US"/>
              </w:rPr>
              <w:t>_RedCap</w:t>
            </w:r>
            <w:r>
              <w:rPr>
                <w:vertAlign w:val="subscript"/>
              </w:rPr>
              <w:t>_Relax</w:t>
            </w:r>
            <w:r w:rsidRPr="009C5807">
              <w:t xml:space="preserve"> [s] (number of DRX cycles)</w:t>
            </w:r>
          </w:p>
        </w:tc>
        <w:tc>
          <w:tcPr>
            <w:tcW w:w="0" w:type="auto"/>
            <w:tcBorders>
              <w:top w:val="single" w:sz="4" w:space="0" w:color="auto"/>
              <w:left w:val="single" w:sz="4" w:space="0" w:color="auto"/>
              <w:bottom w:val="nil"/>
              <w:right w:val="single" w:sz="4" w:space="0" w:color="auto"/>
            </w:tcBorders>
            <w:hideMark/>
          </w:tcPr>
          <w:p w14:paraId="2BAD9966" w14:textId="77777777" w:rsidR="00F87F95" w:rsidRPr="009C5807" w:rsidRDefault="00F87F95" w:rsidP="001313A6">
            <w:pPr>
              <w:pStyle w:val="TAH"/>
              <w:rPr>
                <w:vertAlign w:val="subscript"/>
              </w:rPr>
            </w:pPr>
            <w:r w:rsidRPr="009C5807">
              <w:t>T</w:t>
            </w:r>
            <w:r w:rsidRPr="009C5807">
              <w:rPr>
                <w:vertAlign w:val="subscript"/>
              </w:rPr>
              <w:t>evaluate,NR_</w:t>
            </w:r>
            <w:r w:rsidRPr="009C5807">
              <w:rPr>
                <w:rFonts w:cs="v4.2.0"/>
                <w:vertAlign w:val="subscript"/>
              </w:rPr>
              <w:t>Intra</w:t>
            </w:r>
            <w:r>
              <w:rPr>
                <w:vertAlign w:val="subscript"/>
                <w:lang w:val="en-US"/>
              </w:rPr>
              <w:t>_RedCap</w:t>
            </w:r>
            <w:r>
              <w:rPr>
                <w:vertAlign w:val="subscript"/>
              </w:rPr>
              <w:t>_Relax</w:t>
            </w:r>
          </w:p>
          <w:p w14:paraId="3DE29D25" w14:textId="77777777" w:rsidR="00F87F95" w:rsidRPr="009C5807" w:rsidRDefault="00F87F95" w:rsidP="001313A6">
            <w:pPr>
              <w:pStyle w:val="TAH"/>
            </w:pPr>
            <w:r w:rsidRPr="009C5807">
              <w:t>[s] (number of DRX cycles)</w:t>
            </w:r>
          </w:p>
        </w:tc>
      </w:tr>
      <w:tr w:rsidR="00F87F95" w:rsidRPr="009C5807" w14:paraId="54DA2D9E" w14:textId="77777777" w:rsidTr="001313A6">
        <w:trPr>
          <w:cantSplit/>
          <w:trHeight w:val="308"/>
          <w:jc w:val="center"/>
        </w:trPr>
        <w:tc>
          <w:tcPr>
            <w:tcW w:w="0" w:type="auto"/>
            <w:tcBorders>
              <w:top w:val="nil"/>
              <w:left w:val="single" w:sz="4" w:space="0" w:color="auto"/>
              <w:bottom w:val="single" w:sz="4" w:space="0" w:color="auto"/>
              <w:right w:val="single" w:sz="4" w:space="0" w:color="auto"/>
            </w:tcBorders>
            <w:vAlign w:val="center"/>
            <w:hideMark/>
          </w:tcPr>
          <w:p w14:paraId="334455B5" w14:textId="77777777" w:rsidR="00F87F95" w:rsidRPr="009C5807" w:rsidRDefault="00F87F95" w:rsidP="001313A6">
            <w:pPr>
              <w:pStyle w:val="TAH"/>
            </w:pPr>
          </w:p>
        </w:tc>
        <w:tc>
          <w:tcPr>
            <w:tcW w:w="0" w:type="auto"/>
            <w:tcBorders>
              <w:top w:val="single" w:sz="4" w:space="0" w:color="auto"/>
              <w:left w:val="single" w:sz="4" w:space="0" w:color="auto"/>
              <w:bottom w:val="single" w:sz="4" w:space="0" w:color="auto"/>
              <w:right w:val="single" w:sz="4" w:space="0" w:color="auto"/>
            </w:tcBorders>
            <w:hideMark/>
          </w:tcPr>
          <w:p w14:paraId="5F98E2AF" w14:textId="77777777" w:rsidR="00F87F95" w:rsidRPr="009C5807" w:rsidRDefault="00F87F95" w:rsidP="001313A6">
            <w:pPr>
              <w:pStyle w:val="TAH"/>
            </w:pPr>
            <w:r w:rsidRPr="009C5807">
              <w:t>FR1</w:t>
            </w:r>
          </w:p>
        </w:tc>
        <w:tc>
          <w:tcPr>
            <w:tcW w:w="0" w:type="auto"/>
            <w:tcBorders>
              <w:top w:val="single" w:sz="4" w:space="0" w:color="auto"/>
              <w:left w:val="single" w:sz="4" w:space="0" w:color="auto"/>
              <w:bottom w:val="single" w:sz="4" w:space="0" w:color="auto"/>
              <w:right w:val="single" w:sz="4" w:space="0" w:color="auto"/>
            </w:tcBorders>
            <w:hideMark/>
          </w:tcPr>
          <w:p w14:paraId="073D3CED" w14:textId="77777777" w:rsidR="00F87F95" w:rsidRPr="009C5807" w:rsidRDefault="00F87F95" w:rsidP="001313A6">
            <w:pPr>
              <w:pStyle w:val="TAH"/>
              <w:rPr>
                <w:vertAlign w:val="superscript"/>
              </w:rPr>
            </w:pPr>
            <w:r w:rsidRPr="009C5807">
              <w:t>FR2</w:t>
            </w:r>
            <w:r w:rsidRPr="009C5807">
              <w:rPr>
                <w:vertAlign w:val="superscript"/>
              </w:rPr>
              <w:t>Note1</w:t>
            </w:r>
          </w:p>
        </w:tc>
        <w:tc>
          <w:tcPr>
            <w:tcW w:w="0" w:type="auto"/>
            <w:tcBorders>
              <w:top w:val="nil"/>
              <w:left w:val="single" w:sz="4" w:space="0" w:color="auto"/>
              <w:bottom w:val="single" w:sz="4" w:space="0" w:color="auto"/>
              <w:right w:val="single" w:sz="4" w:space="0" w:color="auto"/>
            </w:tcBorders>
            <w:vAlign w:val="center"/>
            <w:hideMark/>
          </w:tcPr>
          <w:p w14:paraId="53571269" w14:textId="77777777" w:rsidR="00F87F95" w:rsidRPr="009C5807" w:rsidRDefault="00F87F95" w:rsidP="001313A6">
            <w:pPr>
              <w:pStyle w:val="TAH"/>
            </w:pPr>
          </w:p>
        </w:tc>
        <w:tc>
          <w:tcPr>
            <w:tcW w:w="0" w:type="auto"/>
            <w:tcBorders>
              <w:top w:val="nil"/>
              <w:left w:val="single" w:sz="4" w:space="0" w:color="auto"/>
              <w:bottom w:val="single" w:sz="4" w:space="0" w:color="auto"/>
              <w:right w:val="single" w:sz="4" w:space="0" w:color="auto"/>
            </w:tcBorders>
            <w:vAlign w:val="center"/>
            <w:hideMark/>
          </w:tcPr>
          <w:p w14:paraId="4E6A1678" w14:textId="77777777" w:rsidR="00F87F95" w:rsidRPr="009C5807" w:rsidRDefault="00F87F95" w:rsidP="001313A6">
            <w:pPr>
              <w:pStyle w:val="TAH"/>
            </w:pPr>
          </w:p>
        </w:tc>
        <w:tc>
          <w:tcPr>
            <w:tcW w:w="0" w:type="auto"/>
            <w:tcBorders>
              <w:top w:val="nil"/>
              <w:left w:val="single" w:sz="4" w:space="0" w:color="auto"/>
              <w:bottom w:val="single" w:sz="4" w:space="0" w:color="auto"/>
              <w:right w:val="single" w:sz="4" w:space="0" w:color="auto"/>
            </w:tcBorders>
            <w:vAlign w:val="center"/>
            <w:hideMark/>
          </w:tcPr>
          <w:p w14:paraId="56ECC8A4" w14:textId="77777777" w:rsidR="00F87F95" w:rsidRPr="009C5807" w:rsidRDefault="00F87F95" w:rsidP="001313A6">
            <w:pPr>
              <w:pStyle w:val="TAH"/>
            </w:pPr>
          </w:p>
        </w:tc>
      </w:tr>
      <w:tr w:rsidR="00F87F95" w:rsidRPr="003D532E" w14:paraId="29BA0238"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114F1C5" w14:textId="77777777" w:rsidR="00F87F95" w:rsidRPr="009C5807" w:rsidRDefault="00F87F95" w:rsidP="001313A6">
            <w:pPr>
              <w:pStyle w:val="TAC"/>
            </w:pPr>
            <w:r w:rsidRPr="009C5807">
              <w:t>0.32</w:t>
            </w:r>
          </w:p>
        </w:tc>
        <w:tc>
          <w:tcPr>
            <w:tcW w:w="0" w:type="auto"/>
            <w:tcBorders>
              <w:top w:val="single" w:sz="4" w:space="0" w:color="auto"/>
              <w:left w:val="single" w:sz="4" w:space="0" w:color="auto"/>
              <w:bottom w:val="nil"/>
              <w:right w:val="single" w:sz="4" w:space="0" w:color="auto"/>
            </w:tcBorders>
            <w:vAlign w:val="center"/>
            <w:hideMark/>
          </w:tcPr>
          <w:p w14:paraId="2B8BF792" w14:textId="77777777" w:rsidR="00F87F95" w:rsidRPr="009C5807" w:rsidRDefault="00F87F95" w:rsidP="001313A6">
            <w:pPr>
              <w:pStyle w:val="TAC"/>
            </w:pPr>
            <w:r w:rsidRPr="009C5807">
              <w:t>1</w:t>
            </w:r>
          </w:p>
        </w:tc>
        <w:tc>
          <w:tcPr>
            <w:tcW w:w="0" w:type="auto"/>
            <w:tcBorders>
              <w:top w:val="single" w:sz="4" w:space="0" w:color="auto"/>
              <w:left w:val="single" w:sz="4" w:space="0" w:color="auto"/>
              <w:bottom w:val="single" w:sz="4" w:space="0" w:color="auto"/>
              <w:right w:val="single" w:sz="4" w:space="0" w:color="auto"/>
            </w:tcBorders>
            <w:hideMark/>
          </w:tcPr>
          <w:p w14:paraId="33A5702F" w14:textId="77777777" w:rsidR="00F87F95" w:rsidRPr="009C5807" w:rsidRDefault="00F87F95" w:rsidP="001313A6">
            <w:pPr>
              <w:pStyle w:val="TAC"/>
            </w:pPr>
            <w:r w:rsidRPr="009C5807">
              <w:t>8</w:t>
            </w:r>
          </w:p>
        </w:tc>
        <w:tc>
          <w:tcPr>
            <w:tcW w:w="0" w:type="auto"/>
            <w:tcBorders>
              <w:top w:val="single" w:sz="4" w:space="0" w:color="auto"/>
              <w:left w:val="single" w:sz="4" w:space="0" w:color="auto"/>
              <w:bottom w:val="single" w:sz="4" w:space="0" w:color="auto"/>
              <w:right w:val="single" w:sz="4" w:space="0" w:color="auto"/>
            </w:tcBorders>
            <w:hideMark/>
          </w:tcPr>
          <w:p w14:paraId="6CCD943D" w14:textId="77777777" w:rsidR="00F87F95" w:rsidRPr="0082197E" w:rsidRDefault="00F87F95" w:rsidP="001313A6">
            <w:pPr>
              <w:pStyle w:val="TAC"/>
              <w:rPr>
                <w:lang w:val="sv-SE"/>
              </w:rPr>
            </w:pPr>
            <w:r w:rsidRPr="0082197E">
              <w:rPr>
                <w:lang w:val="sv-SE"/>
              </w:rPr>
              <w:t xml:space="preserve">11.52 x N1 </w:t>
            </w:r>
            <w:r w:rsidRPr="0082197E">
              <w:rPr>
                <w:rFonts w:cs="Arial"/>
                <w:lang w:val="sv-SE" w:eastAsia="zh-CN"/>
              </w:rPr>
              <w:t xml:space="preserve">x M2 x K3 </w:t>
            </w:r>
            <w:r w:rsidRPr="0082197E">
              <w:rPr>
                <w:lang w:val="sv-SE"/>
              </w:rPr>
              <w:t>(36 x N1</w:t>
            </w:r>
            <w:r w:rsidRPr="0082197E">
              <w:rPr>
                <w:rFonts w:cs="Arial"/>
                <w:lang w:val="sv-SE" w:eastAsia="zh-CN"/>
              </w:rPr>
              <w:t xml:space="preserve"> x M2 x K3</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25BCC7D8" w14:textId="77777777" w:rsidR="00F87F95" w:rsidRPr="0082197E" w:rsidRDefault="00F87F95" w:rsidP="001313A6">
            <w:pPr>
              <w:pStyle w:val="TAC"/>
              <w:rPr>
                <w:lang w:val="sv-SE"/>
              </w:rPr>
            </w:pPr>
            <w:r w:rsidRPr="0082197E">
              <w:rPr>
                <w:lang w:val="sv-SE"/>
              </w:rPr>
              <w:t xml:space="preserve">1.28 x N1 </w:t>
            </w:r>
            <w:r w:rsidRPr="0082197E">
              <w:rPr>
                <w:rFonts w:cs="Arial"/>
                <w:lang w:val="sv-SE" w:eastAsia="zh-CN"/>
              </w:rPr>
              <w:t>x M2 x K3</w:t>
            </w:r>
            <w:r w:rsidRPr="0082197E">
              <w:rPr>
                <w:rFonts w:cs="Arial"/>
                <w:snapToGrid w:val="0"/>
                <w:lang w:val="sv-SE"/>
              </w:rPr>
              <w:t xml:space="preserve"> </w:t>
            </w:r>
            <w:r w:rsidRPr="0082197E">
              <w:rPr>
                <w:lang w:val="sv-SE"/>
              </w:rPr>
              <w:t>(4 x N1</w:t>
            </w:r>
            <w:r w:rsidRPr="0082197E">
              <w:rPr>
                <w:rFonts w:cs="Arial"/>
                <w:lang w:val="sv-SE" w:eastAsia="zh-CN"/>
              </w:rPr>
              <w:t xml:space="preserve"> x M2 x K3</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564B81A9" w14:textId="77777777" w:rsidR="00F87F95" w:rsidRPr="0082197E" w:rsidRDefault="00F87F95" w:rsidP="001313A6">
            <w:pPr>
              <w:pStyle w:val="TAC"/>
              <w:rPr>
                <w:lang w:val="sv-SE"/>
              </w:rPr>
            </w:pPr>
            <w:r w:rsidRPr="0082197E">
              <w:rPr>
                <w:lang w:val="sv-SE"/>
              </w:rPr>
              <w:t xml:space="preserve">5.12 x N1 </w:t>
            </w:r>
            <w:r w:rsidRPr="0082197E">
              <w:rPr>
                <w:rFonts w:cs="Arial"/>
                <w:lang w:val="sv-SE" w:eastAsia="zh-CN"/>
              </w:rPr>
              <w:t>x M2 x K3</w:t>
            </w:r>
            <w:r w:rsidRPr="0082197E">
              <w:rPr>
                <w:rFonts w:cs="Arial"/>
                <w:snapToGrid w:val="0"/>
                <w:lang w:val="sv-SE"/>
              </w:rPr>
              <w:t xml:space="preserve"> </w:t>
            </w:r>
            <w:r w:rsidRPr="0082197E">
              <w:rPr>
                <w:lang w:val="sv-SE"/>
              </w:rPr>
              <w:t>(16 x N1</w:t>
            </w:r>
            <w:r w:rsidRPr="0082197E">
              <w:rPr>
                <w:rFonts w:cs="Arial"/>
                <w:lang w:val="sv-SE" w:eastAsia="zh-CN"/>
              </w:rPr>
              <w:t xml:space="preserve"> x M2 x K3</w:t>
            </w:r>
            <w:r w:rsidRPr="0082197E">
              <w:rPr>
                <w:lang w:val="sv-SE"/>
              </w:rPr>
              <w:t>)</w:t>
            </w:r>
          </w:p>
        </w:tc>
      </w:tr>
      <w:tr w:rsidR="00F87F95" w:rsidRPr="009C5807" w14:paraId="09CE418F"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FF3DF4E" w14:textId="77777777" w:rsidR="00F87F95" w:rsidRPr="009C5807" w:rsidRDefault="00F87F95" w:rsidP="001313A6">
            <w:pPr>
              <w:pStyle w:val="TAC"/>
            </w:pPr>
            <w:r w:rsidRPr="009C5807">
              <w:t>0.64</w:t>
            </w:r>
          </w:p>
        </w:tc>
        <w:tc>
          <w:tcPr>
            <w:tcW w:w="0" w:type="auto"/>
            <w:tcBorders>
              <w:top w:val="nil"/>
              <w:left w:val="single" w:sz="4" w:space="0" w:color="auto"/>
              <w:bottom w:val="nil"/>
              <w:right w:val="single" w:sz="4" w:space="0" w:color="auto"/>
            </w:tcBorders>
            <w:vAlign w:val="center"/>
            <w:hideMark/>
          </w:tcPr>
          <w:p w14:paraId="29CA9FAF" w14:textId="77777777" w:rsidR="00F87F95" w:rsidRPr="009C5807" w:rsidRDefault="00F87F95" w:rsidP="001313A6">
            <w:pPr>
              <w:pStyle w:val="TAC"/>
            </w:pPr>
          </w:p>
        </w:tc>
        <w:tc>
          <w:tcPr>
            <w:tcW w:w="0" w:type="auto"/>
            <w:tcBorders>
              <w:top w:val="single" w:sz="4" w:space="0" w:color="auto"/>
              <w:left w:val="single" w:sz="4" w:space="0" w:color="auto"/>
              <w:bottom w:val="single" w:sz="4" w:space="0" w:color="auto"/>
              <w:right w:val="single" w:sz="4" w:space="0" w:color="auto"/>
            </w:tcBorders>
            <w:hideMark/>
          </w:tcPr>
          <w:p w14:paraId="5D5CC913" w14:textId="77777777" w:rsidR="00F87F95" w:rsidRPr="009C5807" w:rsidRDefault="00F87F95" w:rsidP="001313A6">
            <w:pPr>
              <w:pStyle w:val="TAC"/>
            </w:pPr>
            <w:r w:rsidRPr="009C5807">
              <w:t>5</w:t>
            </w:r>
          </w:p>
        </w:tc>
        <w:tc>
          <w:tcPr>
            <w:tcW w:w="0" w:type="auto"/>
            <w:tcBorders>
              <w:top w:val="single" w:sz="4" w:space="0" w:color="auto"/>
              <w:left w:val="single" w:sz="4" w:space="0" w:color="auto"/>
              <w:bottom w:val="single" w:sz="4" w:space="0" w:color="auto"/>
              <w:right w:val="single" w:sz="4" w:space="0" w:color="auto"/>
            </w:tcBorders>
            <w:hideMark/>
          </w:tcPr>
          <w:p w14:paraId="4B9AC933" w14:textId="77777777" w:rsidR="00F87F95" w:rsidRPr="009C5807" w:rsidRDefault="00F87F95" w:rsidP="001313A6">
            <w:pPr>
              <w:pStyle w:val="TAC"/>
            </w:pPr>
            <w:r w:rsidRPr="009C5807">
              <w:t>17.92 x N1</w:t>
            </w:r>
            <w:r w:rsidRPr="009C5807">
              <w:rPr>
                <w:rFonts w:cs="Arial"/>
                <w:lang w:eastAsia="zh-CN"/>
              </w:rPr>
              <w:t xml:space="preserve"> </w:t>
            </w:r>
            <w:r>
              <w:rPr>
                <w:rFonts w:cs="Arial"/>
                <w:lang w:eastAsia="zh-CN"/>
              </w:rPr>
              <w:t>x K3</w:t>
            </w:r>
            <w:r w:rsidRPr="009C5807">
              <w:t xml:space="preserve"> (28 x N1</w:t>
            </w:r>
            <w:r w:rsidRPr="009C5807">
              <w:rPr>
                <w:rFonts w:cs="Arial"/>
                <w:lang w:eastAsia="zh-CN"/>
              </w:rPr>
              <w:t xml:space="preserve"> </w:t>
            </w:r>
            <w:r>
              <w:rPr>
                <w:rFonts w:cs="Arial"/>
                <w:lang w:eastAsia="zh-CN"/>
              </w:rPr>
              <w:t>x K3</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0C258791" w14:textId="77777777" w:rsidR="00F87F95" w:rsidRPr="009C5807" w:rsidRDefault="00F87F95" w:rsidP="001313A6">
            <w:pPr>
              <w:pStyle w:val="TAC"/>
            </w:pPr>
            <w:r w:rsidRPr="009C5807">
              <w:t>1.28 x N1</w:t>
            </w:r>
            <w:r w:rsidRPr="009C5807">
              <w:rPr>
                <w:rFonts w:cs="Arial"/>
                <w:lang w:eastAsia="zh-CN"/>
              </w:rPr>
              <w:t xml:space="preserve"> </w:t>
            </w:r>
            <w:r>
              <w:rPr>
                <w:rFonts w:cs="Arial"/>
                <w:lang w:eastAsia="zh-CN"/>
              </w:rPr>
              <w:t>x K3</w:t>
            </w:r>
            <w:r w:rsidRPr="009C5807">
              <w:t xml:space="preserve"> (2 x N1</w:t>
            </w:r>
            <w:r w:rsidRPr="009C5807">
              <w:rPr>
                <w:rFonts w:cs="Arial"/>
                <w:lang w:eastAsia="zh-CN"/>
              </w:rPr>
              <w:t xml:space="preserve"> </w:t>
            </w:r>
            <w:r>
              <w:rPr>
                <w:rFonts w:cs="Arial"/>
                <w:lang w:eastAsia="zh-CN"/>
              </w:rPr>
              <w:t>x K3</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16CE7795" w14:textId="77777777" w:rsidR="00F87F95" w:rsidRPr="009C5807" w:rsidRDefault="00F87F95" w:rsidP="001313A6">
            <w:pPr>
              <w:pStyle w:val="TAC"/>
            </w:pPr>
            <w:r w:rsidRPr="009C5807">
              <w:t>5.12 x N1</w:t>
            </w:r>
            <w:r w:rsidRPr="009C5807">
              <w:rPr>
                <w:rFonts w:cs="Arial"/>
                <w:lang w:eastAsia="zh-CN"/>
              </w:rPr>
              <w:t xml:space="preserve"> </w:t>
            </w:r>
            <w:r>
              <w:rPr>
                <w:rFonts w:cs="Arial"/>
                <w:lang w:eastAsia="zh-CN"/>
              </w:rPr>
              <w:t>x K3</w:t>
            </w:r>
            <w:r w:rsidRPr="009C5807">
              <w:t xml:space="preserve"> (8 x N1</w:t>
            </w:r>
            <w:r w:rsidRPr="009C5807">
              <w:rPr>
                <w:rFonts w:cs="Arial"/>
                <w:lang w:eastAsia="zh-CN"/>
              </w:rPr>
              <w:t xml:space="preserve"> </w:t>
            </w:r>
            <w:r>
              <w:rPr>
                <w:rFonts w:cs="Arial"/>
                <w:lang w:eastAsia="zh-CN"/>
              </w:rPr>
              <w:t>x K3</w:t>
            </w:r>
            <w:r w:rsidRPr="009C5807">
              <w:t>)</w:t>
            </w:r>
          </w:p>
        </w:tc>
      </w:tr>
      <w:tr w:rsidR="00F87F95" w:rsidRPr="009C5807" w14:paraId="7345127A"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8B5C7CA" w14:textId="77777777" w:rsidR="00F87F95" w:rsidRPr="009C5807" w:rsidRDefault="00F87F95" w:rsidP="001313A6">
            <w:pPr>
              <w:pStyle w:val="TAC"/>
            </w:pPr>
            <w:r w:rsidRPr="009C5807">
              <w:t>1.28</w:t>
            </w:r>
          </w:p>
        </w:tc>
        <w:tc>
          <w:tcPr>
            <w:tcW w:w="0" w:type="auto"/>
            <w:tcBorders>
              <w:top w:val="nil"/>
              <w:left w:val="single" w:sz="4" w:space="0" w:color="auto"/>
              <w:bottom w:val="nil"/>
              <w:right w:val="single" w:sz="4" w:space="0" w:color="auto"/>
            </w:tcBorders>
            <w:vAlign w:val="center"/>
            <w:hideMark/>
          </w:tcPr>
          <w:p w14:paraId="00BE7D1C" w14:textId="77777777" w:rsidR="00F87F95" w:rsidRPr="009C5807" w:rsidRDefault="00F87F95" w:rsidP="001313A6">
            <w:pPr>
              <w:pStyle w:val="TAC"/>
            </w:pPr>
          </w:p>
        </w:tc>
        <w:tc>
          <w:tcPr>
            <w:tcW w:w="0" w:type="auto"/>
            <w:tcBorders>
              <w:top w:val="single" w:sz="4" w:space="0" w:color="auto"/>
              <w:left w:val="single" w:sz="4" w:space="0" w:color="auto"/>
              <w:bottom w:val="single" w:sz="4" w:space="0" w:color="auto"/>
              <w:right w:val="single" w:sz="4" w:space="0" w:color="auto"/>
            </w:tcBorders>
            <w:hideMark/>
          </w:tcPr>
          <w:p w14:paraId="26D23DCA" w14:textId="77777777" w:rsidR="00F87F95" w:rsidRPr="009C5807" w:rsidRDefault="00F87F95" w:rsidP="001313A6">
            <w:pPr>
              <w:pStyle w:val="TAC"/>
            </w:pPr>
            <w:r w:rsidRPr="009C5807">
              <w:t>4</w:t>
            </w:r>
          </w:p>
        </w:tc>
        <w:tc>
          <w:tcPr>
            <w:tcW w:w="0" w:type="auto"/>
            <w:tcBorders>
              <w:top w:val="single" w:sz="4" w:space="0" w:color="auto"/>
              <w:left w:val="single" w:sz="4" w:space="0" w:color="auto"/>
              <w:bottom w:val="single" w:sz="4" w:space="0" w:color="auto"/>
              <w:right w:val="single" w:sz="4" w:space="0" w:color="auto"/>
            </w:tcBorders>
            <w:hideMark/>
          </w:tcPr>
          <w:p w14:paraId="6A994513" w14:textId="77777777" w:rsidR="00F87F95" w:rsidRPr="009C5807" w:rsidRDefault="00F87F95" w:rsidP="001313A6">
            <w:pPr>
              <w:pStyle w:val="TAC"/>
            </w:pPr>
            <w:r w:rsidRPr="009C5807">
              <w:t>32 x N1</w:t>
            </w:r>
            <w:r w:rsidRPr="009C5807">
              <w:rPr>
                <w:rFonts w:cs="Arial"/>
                <w:lang w:eastAsia="zh-CN"/>
              </w:rPr>
              <w:t xml:space="preserve"> </w:t>
            </w:r>
            <w:r>
              <w:rPr>
                <w:rFonts w:cs="Arial"/>
                <w:lang w:eastAsia="zh-CN"/>
              </w:rPr>
              <w:t>x K3</w:t>
            </w:r>
            <w:r w:rsidRPr="009C5807">
              <w:t xml:space="preserve"> (25 x N1</w:t>
            </w:r>
            <w:r w:rsidRPr="009C5807">
              <w:rPr>
                <w:rFonts w:cs="Arial"/>
                <w:lang w:eastAsia="zh-CN"/>
              </w:rPr>
              <w:t xml:space="preserve"> </w:t>
            </w:r>
            <w:r>
              <w:rPr>
                <w:rFonts w:cs="Arial"/>
                <w:lang w:eastAsia="zh-CN"/>
              </w:rPr>
              <w:t>x K3</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14FBD551" w14:textId="77777777" w:rsidR="00F87F95" w:rsidRPr="009C5807" w:rsidRDefault="00F87F95" w:rsidP="001313A6">
            <w:pPr>
              <w:pStyle w:val="TAC"/>
            </w:pPr>
            <w:r w:rsidRPr="009C5807">
              <w:t>1.28 x N1</w:t>
            </w:r>
            <w:r w:rsidRPr="009C5807">
              <w:rPr>
                <w:rFonts w:cs="Arial"/>
                <w:lang w:eastAsia="zh-CN"/>
              </w:rPr>
              <w:t xml:space="preserve"> </w:t>
            </w:r>
            <w:r>
              <w:rPr>
                <w:rFonts w:cs="Arial"/>
                <w:lang w:eastAsia="zh-CN"/>
              </w:rPr>
              <w:t>x K3</w:t>
            </w:r>
            <w:r w:rsidRPr="009C5807">
              <w:t xml:space="preserve"> (1 x N1</w:t>
            </w:r>
            <w:r w:rsidRPr="009C5807">
              <w:rPr>
                <w:rFonts w:cs="Arial"/>
                <w:lang w:eastAsia="zh-CN"/>
              </w:rPr>
              <w:t xml:space="preserve"> </w:t>
            </w:r>
            <w:r>
              <w:rPr>
                <w:rFonts w:cs="Arial"/>
                <w:lang w:eastAsia="zh-CN"/>
              </w:rPr>
              <w:t>x K3</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1C333355" w14:textId="77777777" w:rsidR="00F87F95" w:rsidRPr="009C5807" w:rsidRDefault="00F87F95" w:rsidP="001313A6">
            <w:pPr>
              <w:pStyle w:val="TAC"/>
            </w:pPr>
            <w:r w:rsidRPr="009C5807">
              <w:t>6.4 x N1</w:t>
            </w:r>
            <w:r w:rsidRPr="009C5807">
              <w:rPr>
                <w:rFonts w:cs="Arial"/>
                <w:lang w:eastAsia="zh-CN"/>
              </w:rPr>
              <w:t xml:space="preserve"> </w:t>
            </w:r>
            <w:r>
              <w:rPr>
                <w:rFonts w:cs="Arial"/>
                <w:lang w:eastAsia="zh-CN"/>
              </w:rPr>
              <w:t>x K3</w:t>
            </w:r>
            <w:r w:rsidRPr="009C5807">
              <w:t xml:space="preserve"> (5 x N1</w:t>
            </w:r>
            <w:r w:rsidRPr="009C5807">
              <w:rPr>
                <w:rFonts w:cs="Arial"/>
                <w:lang w:eastAsia="zh-CN"/>
              </w:rPr>
              <w:t xml:space="preserve"> </w:t>
            </w:r>
            <w:r>
              <w:rPr>
                <w:rFonts w:cs="Arial"/>
                <w:lang w:eastAsia="zh-CN"/>
              </w:rPr>
              <w:t>x K3</w:t>
            </w:r>
            <w:r w:rsidRPr="009C5807">
              <w:t>)</w:t>
            </w:r>
          </w:p>
        </w:tc>
      </w:tr>
      <w:tr w:rsidR="00F87F95" w:rsidRPr="009C5807" w14:paraId="7B981308"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BE2C0EA" w14:textId="77777777" w:rsidR="00F87F95" w:rsidRPr="009C5807" w:rsidRDefault="00F87F95" w:rsidP="001313A6">
            <w:pPr>
              <w:pStyle w:val="TAC"/>
            </w:pPr>
            <w:r w:rsidRPr="009C5807">
              <w:t>2.56</w:t>
            </w:r>
          </w:p>
        </w:tc>
        <w:tc>
          <w:tcPr>
            <w:tcW w:w="0" w:type="auto"/>
            <w:tcBorders>
              <w:top w:val="nil"/>
              <w:left w:val="single" w:sz="4" w:space="0" w:color="auto"/>
              <w:bottom w:val="single" w:sz="4" w:space="0" w:color="auto"/>
              <w:right w:val="single" w:sz="4" w:space="0" w:color="auto"/>
            </w:tcBorders>
            <w:vAlign w:val="center"/>
            <w:hideMark/>
          </w:tcPr>
          <w:p w14:paraId="050FAEBF" w14:textId="77777777" w:rsidR="00F87F95" w:rsidRPr="009C5807" w:rsidRDefault="00F87F95" w:rsidP="001313A6">
            <w:pPr>
              <w:pStyle w:val="TAC"/>
            </w:pPr>
          </w:p>
        </w:tc>
        <w:tc>
          <w:tcPr>
            <w:tcW w:w="0" w:type="auto"/>
            <w:tcBorders>
              <w:top w:val="single" w:sz="4" w:space="0" w:color="auto"/>
              <w:left w:val="single" w:sz="4" w:space="0" w:color="auto"/>
              <w:bottom w:val="single" w:sz="4" w:space="0" w:color="auto"/>
              <w:right w:val="single" w:sz="4" w:space="0" w:color="auto"/>
            </w:tcBorders>
            <w:hideMark/>
          </w:tcPr>
          <w:p w14:paraId="45AF91C7" w14:textId="77777777" w:rsidR="00F87F95" w:rsidRPr="009C5807" w:rsidRDefault="00F87F95" w:rsidP="001313A6">
            <w:pPr>
              <w:pStyle w:val="TAC"/>
              <w:rPr>
                <w:rFonts w:cs="Arial"/>
                <w:lang w:eastAsia="zh-CN"/>
              </w:rPr>
            </w:pPr>
            <w:r w:rsidRPr="009C5807">
              <w:rPr>
                <w:rFonts w:cs="Arial"/>
                <w:lang w:eastAsia="zh-CN"/>
              </w:rPr>
              <w:t>3</w:t>
            </w:r>
          </w:p>
        </w:tc>
        <w:tc>
          <w:tcPr>
            <w:tcW w:w="0" w:type="auto"/>
            <w:tcBorders>
              <w:top w:val="single" w:sz="4" w:space="0" w:color="auto"/>
              <w:left w:val="single" w:sz="4" w:space="0" w:color="auto"/>
              <w:bottom w:val="single" w:sz="4" w:space="0" w:color="auto"/>
              <w:right w:val="single" w:sz="4" w:space="0" w:color="auto"/>
            </w:tcBorders>
            <w:hideMark/>
          </w:tcPr>
          <w:p w14:paraId="7B786890" w14:textId="77777777" w:rsidR="00F87F95" w:rsidRPr="009C5807" w:rsidRDefault="00F87F95" w:rsidP="001313A6">
            <w:pPr>
              <w:pStyle w:val="TAC"/>
            </w:pPr>
            <w:r w:rsidRPr="009C5807">
              <w:rPr>
                <w:rFonts w:cs="Arial"/>
                <w:lang w:eastAsia="zh-CN"/>
              </w:rPr>
              <w:t>58.88</w:t>
            </w:r>
            <w:r w:rsidRPr="009C5807">
              <w:t xml:space="preserve"> x N1</w:t>
            </w:r>
            <w:r w:rsidRPr="009C5807">
              <w:rPr>
                <w:rFonts w:cs="Arial"/>
                <w:lang w:eastAsia="zh-CN"/>
              </w:rPr>
              <w:t xml:space="preserve"> </w:t>
            </w:r>
            <w:r>
              <w:rPr>
                <w:rFonts w:cs="Arial"/>
                <w:lang w:eastAsia="zh-CN"/>
              </w:rPr>
              <w:t>x K3</w:t>
            </w:r>
            <w:r w:rsidRPr="009C5807">
              <w:t xml:space="preserve"> (23 x N1</w:t>
            </w:r>
            <w:r w:rsidRPr="009C5807">
              <w:rPr>
                <w:rFonts w:cs="Arial"/>
                <w:lang w:eastAsia="zh-CN"/>
              </w:rPr>
              <w:t xml:space="preserve"> </w:t>
            </w:r>
            <w:r>
              <w:rPr>
                <w:rFonts w:cs="Arial"/>
                <w:lang w:eastAsia="zh-CN"/>
              </w:rPr>
              <w:t>x K3</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55506462" w14:textId="77777777" w:rsidR="00F87F95" w:rsidRPr="009C5807" w:rsidRDefault="00F87F95" w:rsidP="001313A6">
            <w:pPr>
              <w:pStyle w:val="TAC"/>
            </w:pPr>
            <w:r w:rsidRPr="009C5807">
              <w:t>2.56 x N1</w:t>
            </w:r>
            <w:r w:rsidRPr="009C5807">
              <w:rPr>
                <w:rFonts w:cs="Arial"/>
                <w:lang w:eastAsia="zh-CN"/>
              </w:rPr>
              <w:t xml:space="preserve"> </w:t>
            </w:r>
            <w:r>
              <w:rPr>
                <w:rFonts w:cs="Arial"/>
                <w:lang w:eastAsia="zh-CN"/>
              </w:rPr>
              <w:t>x K3</w:t>
            </w:r>
            <w:r w:rsidRPr="009C5807">
              <w:t xml:space="preserve"> (1 x N1</w:t>
            </w:r>
            <w:r w:rsidRPr="009C5807">
              <w:rPr>
                <w:rFonts w:cs="Arial"/>
                <w:lang w:eastAsia="zh-CN"/>
              </w:rPr>
              <w:t xml:space="preserve"> </w:t>
            </w:r>
            <w:r>
              <w:rPr>
                <w:rFonts w:cs="Arial"/>
                <w:lang w:eastAsia="zh-CN"/>
              </w:rPr>
              <w:t>x K3</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0827D80D" w14:textId="77777777" w:rsidR="00F87F95" w:rsidRPr="009C5807" w:rsidRDefault="00F87F95" w:rsidP="001313A6">
            <w:pPr>
              <w:pStyle w:val="TAC"/>
            </w:pPr>
            <w:r w:rsidRPr="009C5807">
              <w:t>7.68 x N1</w:t>
            </w:r>
            <w:r w:rsidRPr="009C5807">
              <w:rPr>
                <w:rFonts w:cs="Arial"/>
                <w:lang w:eastAsia="zh-CN"/>
              </w:rPr>
              <w:t xml:space="preserve"> </w:t>
            </w:r>
            <w:r>
              <w:rPr>
                <w:rFonts w:cs="Arial"/>
                <w:lang w:eastAsia="zh-CN"/>
              </w:rPr>
              <w:t>x K3</w:t>
            </w:r>
            <w:r w:rsidRPr="009C5807">
              <w:t xml:space="preserve"> (3 x N1</w:t>
            </w:r>
            <w:r w:rsidRPr="009C5807">
              <w:rPr>
                <w:rFonts w:cs="Arial"/>
                <w:lang w:eastAsia="zh-CN"/>
              </w:rPr>
              <w:t xml:space="preserve"> </w:t>
            </w:r>
            <w:r>
              <w:rPr>
                <w:rFonts w:cs="Arial"/>
                <w:lang w:eastAsia="zh-CN"/>
              </w:rPr>
              <w:t>x K3</w:t>
            </w:r>
            <w:r w:rsidRPr="009C5807">
              <w:t>)</w:t>
            </w:r>
          </w:p>
        </w:tc>
      </w:tr>
      <w:tr w:rsidR="00F87F95" w:rsidRPr="009C5807" w14:paraId="76348B3E" w14:textId="77777777" w:rsidTr="001313A6">
        <w:trPr>
          <w:cantSplit/>
          <w:jc w:val="center"/>
        </w:trPr>
        <w:tc>
          <w:tcPr>
            <w:tcW w:w="0" w:type="auto"/>
            <w:gridSpan w:val="6"/>
            <w:tcBorders>
              <w:top w:val="single" w:sz="4" w:space="0" w:color="auto"/>
              <w:left w:val="single" w:sz="4" w:space="0" w:color="auto"/>
              <w:bottom w:val="single" w:sz="4" w:space="0" w:color="auto"/>
              <w:right w:val="single" w:sz="4" w:space="0" w:color="auto"/>
            </w:tcBorders>
            <w:hideMark/>
          </w:tcPr>
          <w:p w14:paraId="141F0F79" w14:textId="77777777" w:rsidR="00F87F95" w:rsidRPr="009C5807" w:rsidRDefault="00F87F95" w:rsidP="001313A6">
            <w:pPr>
              <w:pStyle w:val="TAN"/>
              <w:rPr>
                <w:snapToGrid w:val="0"/>
                <w:lang w:eastAsia="zh-CN"/>
              </w:rPr>
            </w:pPr>
            <w:r w:rsidRPr="009C5807">
              <w:rPr>
                <w:snapToGrid w:val="0"/>
                <w:lang w:eastAsia="zh-CN"/>
              </w:rPr>
              <w:t>Note 1</w:t>
            </w:r>
            <w:r w:rsidRPr="009C5807">
              <w:t>:</w:t>
            </w:r>
            <w:r w:rsidRPr="009C5807">
              <w:rPr>
                <w:lang w:val="en-US"/>
              </w:rPr>
              <w:tab/>
            </w:r>
            <w:r w:rsidRPr="009C5807">
              <w:t xml:space="preserve">Applies for </w:t>
            </w:r>
            <w:r>
              <w:t xml:space="preserve">RedCap </w:t>
            </w:r>
            <w:r w:rsidRPr="009C5807">
              <w:t xml:space="preserve">UE </w:t>
            </w:r>
            <w:r>
              <w:t xml:space="preserve">of all </w:t>
            </w:r>
            <w:r w:rsidRPr="009C5807">
              <w:t xml:space="preserve">supporting </w:t>
            </w:r>
            <w:r>
              <w:t xml:space="preserve">FR2 </w:t>
            </w:r>
            <w:r w:rsidRPr="009C5807">
              <w:t>power class</w:t>
            </w:r>
            <w:r>
              <w:t>es</w:t>
            </w:r>
            <w:r w:rsidRPr="009C5807">
              <w:t>.</w:t>
            </w:r>
          </w:p>
          <w:p w14:paraId="06A14849" w14:textId="77777777" w:rsidR="00F87F95" w:rsidRPr="00AD5C2C" w:rsidRDefault="00F87F95" w:rsidP="001313A6">
            <w:pPr>
              <w:pStyle w:val="TAN"/>
              <w:rPr>
                <w:snapToGrid w:val="0"/>
                <w:lang w:eastAsia="zh-CN"/>
              </w:rPr>
            </w:pPr>
            <w:r w:rsidRPr="009C5807">
              <w:rPr>
                <w:snapToGrid w:val="0"/>
                <w:lang w:eastAsia="zh-CN"/>
              </w:rPr>
              <w:t>Note 2:</w:t>
            </w:r>
            <w:r w:rsidRPr="009C5807">
              <w:rPr>
                <w:lang w:val="en-US"/>
              </w:rPr>
              <w:tab/>
            </w:r>
            <w:r w:rsidRPr="009C5807">
              <w:rPr>
                <w:snapToGrid w:val="0"/>
                <w:lang w:eastAsia="zh-CN"/>
              </w:rPr>
              <w:t>M2 = 1.5 if SMTC periodicity</w:t>
            </w:r>
            <w:r w:rsidRPr="009C5807">
              <w:t xml:space="preserve"> </w:t>
            </w:r>
            <w:r w:rsidRPr="009C5807">
              <w:rPr>
                <w:snapToGrid w:val="0"/>
                <w:lang w:eastAsia="zh-CN"/>
              </w:rPr>
              <w:t>of measured intra-frequency cell &gt; 20 ms; otherwise M2=1.</w:t>
            </w:r>
            <w:r>
              <w:t xml:space="preserve"> </w:t>
            </w:r>
            <w:r w:rsidRPr="000359AF">
              <w:rPr>
                <w:snapToGrid w:val="0"/>
                <w:lang w:eastAsia="zh-CN"/>
              </w:rPr>
              <w:t>If different SMTC periodicities are configured for different cells, the SMTC periodicity in this note is the one used by the cell being identified.</w:t>
            </w:r>
            <w:r>
              <w:rPr>
                <w:snapToGrid w:val="0"/>
                <w:lang w:eastAsia="zh-CN"/>
              </w:rPr>
              <w:t xml:space="preserve"> </w:t>
            </w:r>
            <w:r w:rsidRPr="009B7158">
              <w:rPr>
                <w:snapToGrid w:val="0"/>
                <w:lang w:eastAsia="zh-CN"/>
              </w:rPr>
              <w:t xml:space="preserve">During PSS/SSS detection, the periodicity of the SMTC configured for the intra-frequency carrier is assumed, and if the actual SSB transmission periodicity is greater than the SMTC configured for the </w:t>
            </w:r>
            <w:r w:rsidRPr="00AD5C2C">
              <w:rPr>
                <w:snapToGrid w:val="0"/>
                <w:lang w:eastAsia="zh-CN"/>
              </w:rPr>
              <w:t>intra-frequency carrier, longer T</w:t>
            </w:r>
            <w:r w:rsidRPr="00AD5C2C">
              <w:rPr>
                <w:snapToGrid w:val="0"/>
                <w:vertAlign w:val="subscript"/>
                <w:lang w:eastAsia="zh-CN"/>
              </w:rPr>
              <w:t xml:space="preserve">detect, NR_intra </w:t>
            </w:r>
            <w:r w:rsidRPr="00AD5C2C">
              <w:rPr>
                <w:snapToGrid w:val="0"/>
                <w:lang w:eastAsia="zh-CN"/>
              </w:rPr>
              <w:t>is expected.</w:t>
            </w:r>
          </w:p>
          <w:p w14:paraId="745EDC40" w14:textId="77777777" w:rsidR="00F87F95" w:rsidRPr="009C5807" w:rsidRDefault="00F87F95" w:rsidP="001313A6">
            <w:pPr>
              <w:pStyle w:val="TAN"/>
            </w:pPr>
            <w:r w:rsidRPr="00AD5C2C">
              <w:rPr>
                <w:snapToGrid w:val="0"/>
                <w:lang w:eastAsia="zh-CN"/>
              </w:rPr>
              <w:t>Note 3:</w:t>
            </w:r>
            <w:r w:rsidRPr="00AD5C2C">
              <w:rPr>
                <w:lang w:val="en-US"/>
              </w:rPr>
              <w:tab/>
            </w:r>
            <w:r w:rsidRPr="00AD5C2C">
              <w:rPr>
                <w:snapToGrid w:val="0"/>
                <w:lang w:eastAsia="zh-CN"/>
              </w:rPr>
              <w:t xml:space="preserve">K3 = 6 is the measurement relaxation factor applicable for UE fulfilling the </w:t>
            </w:r>
            <w:r w:rsidRPr="00AD5C2C">
              <w:rPr>
                <w:i/>
                <w:noProof/>
              </w:rPr>
              <w:t xml:space="preserve">stationaryMobilityEvaluation </w:t>
            </w:r>
            <w:r w:rsidRPr="00AD5C2C">
              <w:rPr>
                <w:lang w:eastAsia="zh-CN"/>
              </w:rPr>
              <w:t>[2]</w:t>
            </w:r>
            <w:r w:rsidRPr="00AD5C2C">
              <w:rPr>
                <w:snapToGrid w:val="0"/>
                <w:lang w:eastAsia="zh-CN"/>
              </w:rPr>
              <w:t xml:space="preserve"> criterion.</w:t>
            </w:r>
          </w:p>
        </w:tc>
      </w:tr>
    </w:tbl>
    <w:p w14:paraId="58CEBD70" w14:textId="77777777" w:rsidR="00F87F95" w:rsidRDefault="00F87F95" w:rsidP="00F87F95">
      <w:pPr>
        <w:rPr>
          <w:noProof/>
        </w:rPr>
      </w:pPr>
    </w:p>
    <w:p w14:paraId="67DEDA7D" w14:textId="77777777" w:rsidR="0025203F" w:rsidRPr="00AD5C2C" w:rsidRDefault="0025203F" w:rsidP="0025203F">
      <w:pPr>
        <w:pStyle w:val="TH"/>
        <w:rPr>
          <w:lang w:val="en-US"/>
        </w:rPr>
      </w:pPr>
      <w:r w:rsidRPr="0082197E">
        <w:rPr>
          <w:lang w:val="en-US"/>
        </w:rPr>
        <w:t>Table 4.2B.2.9.2-3:</w:t>
      </w:r>
      <w:r w:rsidRPr="00AD5C2C">
        <w:rPr>
          <w:lang w:val="en-US"/>
        </w:rPr>
        <w:t xml:space="preserve"> T</w:t>
      </w:r>
      <w:r w:rsidRPr="00AD5C2C">
        <w:rPr>
          <w:vertAlign w:val="subscript"/>
          <w:lang w:val="en-US"/>
        </w:rPr>
        <w:t>detect,NR_Intra_RedCap</w:t>
      </w:r>
      <w:r>
        <w:rPr>
          <w:vertAlign w:val="subscript"/>
          <w:lang w:val="en-US"/>
        </w:rPr>
        <w:t>_Relax</w:t>
      </w:r>
      <w:r w:rsidRPr="00AD5C2C">
        <w:rPr>
          <w:lang w:val="en-US"/>
        </w:rPr>
        <w:t>, T</w:t>
      </w:r>
      <w:r w:rsidRPr="00AD5C2C">
        <w:rPr>
          <w:vertAlign w:val="subscript"/>
          <w:lang w:val="en-US"/>
        </w:rPr>
        <w:t>measure,NR_Intra_RedCap</w:t>
      </w:r>
      <w:r>
        <w:rPr>
          <w:vertAlign w:val="subscript"/>
          <w:lang w:val="en-US"/>
        </w:rPr>
        <w:t>_Relax</w:t>
      </w:r>
      <w:r w:rsidRPr="00AD5C2C">
        <w:rPr>
          <w:lang w:val="en-US"/>
        </w:rPr>
        <w:t xml:space="preserve"> and T</w:t>
      </w:r>
      <w:r w:rsidRPr="00AD5C2C">
        <w:rPr>
          <w:vertAlign w:val="subscript"/>
          <w:lang w:val="en-US"/>
        </w:rPr>
        <w:t>evaluate,NR_Intra_RedCap</w:t>
      </w:r>
      <w:r>
        <w:rPr>
          <w:vertAlign w:val="subscript"/>
          <w:lang w:val="en-US"/>
        </w:rPr>
        <w:t>_Relax</w:t>
      </w:r>
      <w:r w:rsidRPr="00AD5C2C">
        <w:rPr>
          <w:lang w:val="en-US"/>
        </w:rPr>
        <w:t xml:space="preserve"> for UE configured with eDRX_IDLE cycle (Frequency range FR1)</w:t>
      </w:r>
      <w:r w:rsidRPr="00CE6B8A">
        <w:rPr>
          <w:lang w:val="en-US"/>
        </w:rPr>
        <w:t xml:space="preserve"> </w:t>
      </w:r>
      <w:r>
        <w:rPr>
          <w:lang w:val="en-US"/>
        </w:rPr>
        <w:t>for eDRX_IDLE cycle upto 10.24 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2638"/>
        <w:gridCol w:w="2779"/>
        <w:gridCol w:w="2762"/>
      </w:tblGrid>
      <w:tr w:rsidR="0025203F" w:rsidRPr="00AD5C2C" w14:paraId="1B5308F3" w14:textId="77777777" w:rsidTr="00430B21">
        <w:trPr>
          <w:trHeight w:val="673"/>
        </w:trPr>
        <w:tc>
          <w:tcPr>
            <w:tcW w:w="0" w:type="auto"/>
            <w:vMerge w:val="restart"/>
            <w:hideMark/>
          </w:tcPr>
          <w:p w14:paraId="6B70E990" w14:textId="77777777" w:rsidR="0025203F" w:rsidRPr="00AD5C2C" w:rsidRDefault="0025203F" w:rsidP="00430B21">
            <w:pPr>
              <w:rPr>
                <w:rFonts w:ascii="Arial" w:hAnsi="Arial" w:cs="Arial"/>
                <w:sz w:val="18"/>
                <w:lang w:val="en-US" w:eastAsia="zh-CN"/>
              </w:rPr>
            </w:pPr>
            <w:r w:rsidRPr="00AD5C2C">
              <w:rPr>
                <w:rFonts w:ascii="Arial" w:hAnsi="Arial" w:cs="Arial"/>
                <w:b/>
                <w:sz w:val="18"/>
                <w:lang w:eastAsia="zh-CN"/>
              </w:rPr>
              <w:t>eDRX_IDLE cycle length [s]</w:t>
            </w:r>
          </w:p>
        </w:tc>
        <w:tc>
          <w:tcPr>
            <w:tcW w:w="0" w:type="auto"/>
            <w:vMerge w:val="restart"/>
            <w:hideMark/>
          </w:tcPr>
          <w:p w14:paraId="65BD38B0" w14:textId="77777777" w:rsidR="0025203F" w:rsidRPr="00AD5C2C" w:rsidRDefault="0025203F" w:rsidP="00430B21">
            <w:pPr>
              <w:rPr>
                <w:rFonts w:ascii="Arial" w:hAnsi="Arial" w:cs="Arial"/>
                <w:sz w:val="18"/>
                <w:szCs w:val="18"/>
                <w:lang w:val="en-US" w:eastAsia="zh-CN"/>
              </w:rPr>
            </w:pPr>
            <w:r w:rsidRPr="00AD5C2C">
              <w:rPr>
                <w:rFonts w:ascii="Arial" w:hAnsi="Arial" w:cs="Arial"/>
                <w:b/>
                <w:sz w:val="18"/>
                <w:szCs w:val="18"/>
                <w:lang w:val="en-US"/>
              </w:rPr>
              <w:t>T</w:t>
            </w:r>
            <w:r w:rsidRPr="00AD5C2C">
              <w:rPr>
                <w:rFonts w:ascii="Arial" w:hAnsi="Arial" w:cs="Arial"/>
                <w:b/>
                <w:sz w:val="18"/>
                <w:szCs w:val="18"/>
                <w:vertAlign w:val="subscript"/>
                <w:lang w:val="en-US"/>
              </w:rPr>
              <w:t>detect,NR_Intra_RedCap</w:t>
            </w:r>
            <w:r>
              <w:rPr>
                <w:rFonts w:ascii="Arial" w:hAnsi="Arial" w:cs="Arial"/>
                <w:b/>
                <w:sz w:val="18"/>
                <w:szCs w:val="18"/>
                <w:vertAlign w:val="subscript"/>
                <w:lang w:val="en-US"/>
              </w:rPr>
              <w:t>_Relax</w:t>
            </w:r>
            <w:r w:rsidRPr="00AD5C2C">
              <w:rPr>
                <w:rFonts w:ascii="Arial" w:hAnsi="Arial" w:cs="Arial"/>
                <w:b/>
                <w:sz w:val="18"/>
                <w:szCs w:val="18"/>
                <w:lang w:eastAsia="zh-CN"/>
              </w:rPr>
              <w:t xml:space="preserve"> [s] (number of </w:t>
            </w:r>
            <w:r>
              <w:rPr>
                <w:rFonts w:ascii="Arial" w:hAnsi="Arial" w:cs="Arial"/>
                <w:b/>
                <w:sz w:val="18"/>
                <w:szCs w:val="18"/>
                <w:lang w:eastAsia="zh-CN"/>
              </w:rPr>
              <w:t>e</w:t>
            </w:r>
            <w:r w:rsidRPr="00AD5C2C">
              <w:rPr>
                <w:rFonts w:ascii="Arial" w:hAnsi="Arial" w:cs="Arial"/>
                <w:b/>
                <w:sz w:val="18"/>
                <w:szCs w:val="18"/>
                <w:lang w:eastAsia="zh-CN"/>
              </w:rPr>
              <w:t xml:space="preserve">DRX </w:t>
            </w:r>
            <w:r>
              <w:rPr>
                <w:rFonts w:ascii="Arial" w:hAnsi="Arial" w:cs="Arial"/>
                <w:b/>
                <w:sz w:val="18"/>
                <w:szCs w:val="18"/>
                <w:lang w:eastAsia="zh-CN"/>
              </w:rPr>
              <w:t xml:space="preserve">IDLE </w:t>
            </w:r>
            <w:r w:rsidRPr="00AD5C2C">
              <w:rPr>
                <w:rFonts w:ascii="Arial" w:hAnsi="Arial" w:cs="Arial"/>
                <w:b/>
                <w:sz w:val="18"/>
                <w:szCs w:val="18"/>
                <w:lang w:eastAsia="zh-CN"/>
              </w:rPr>
              <w:t>cycles)</w:t>
            </w:r>
          </w:p>
        </w:tc>
        <w:tc>
          <w:tcPr>
            <w:tcW w:w="0" w:type="auto"/>
            <w:vMerge w:val="restart"/>
            <w:hideMark/>
          </w:tcPr>
          <w:p w14:paraId="2734B00D" w14:textId="77777777" w:rsidR="0025203F" w:rsidRPr="00AD5C2C" w:rsidRDefault="0025203F" w:rsidP="00430B21">
            <w:pPr>
              <w:rPr>
                <w:rFonts w:ascii="Arial" w:hAnsi="Arial" w:cs="Arial"/>
                <w:sz w:val="18"/>
                <w:szCs w:val="18"/>
                <w:lang w:val="en-US" w:eastAsia="zh-CN"/>
              </w:rPr>
            </w:pPr>
            <w:r w:rsidRPr="00AD5C2C">
              <w:rPr>
                <w:rFonts w:ascii="Arial" w:hAnsi="Arial" w:cs="Arial"/>
                <w:b/>
                <w:sz w:val="18"/>
                <w:szCs w:val="18"/>
                <w:lang w:val="en-US"/>
              </w:rPr>
              <w:t>T</w:t>
            </w:r>
            <w:r w:rsidRPr="00AD5C2C">
              <w:rPr>
                <w:rFonts w:ascii="Arial" w:hAnsi="Arial" w:cs="Arial"/>
                <w:b/>
                <w:sz w:val="18"/>
                <w:szCs w:val="18"/>
                <w:vertAlign w:val="subscript"/>
                <w:lang w:val="en-US"/>
              </w:rPr>
              <w:t>measure,NR_Intra_RedCap</w:t>
            </w:r>
            <w:r>
              <w:rPr>
                <w:rFonts w:ascii="Arial" w:hAnsi="Arial" w:cs="Arial"/>
                <w:b/>
                <w:sz w:val="18"/>
                <w:szCs w:val="18"/>
                <w:vertAlign w:val="subscript"/>
                <w:lang w:val="en-US"/>
              </w:rPr>
              <w:t>_Relax</w:t>
            </w:r>
            <w:r w:rsidRPr="00AD5C2C">
              <w:rPr>
                <w:rFonts w:ascii="Arial" w:hAnsi="Arial" w:cs="Arial"/>
                <w:b/>
                <w:sz w:val="18"/>
                <w:szCs w:val="18"/>
                <w:lang w:val="en-US"/>
              </w:rPr>
              <w:t xml:space="preserve"> </w:t>
            </w:r>
            <w:r w:rsidRPr="00AD5C2C">
              <w:rPr>
                <w:rFonts w:ascii="Arial" w:hAnsi="Arial" w:cs="Arial"/>
                <w:b/>
                <w:sz w:val="18"/>
                <w:szCs w:val="18"/>
                <w:lang w:eastAsia="zh-CN"/>
              </w:rPr>
              <w:t xml:space="preserve">[s] (number of </w:t>
            </w:r>
            <w:r>
              <w:rPr>
                <w:rFonts w:ascii="Arial" w:hAnsi="Arial" w:cs="Arial"/>
                <w:b/>
                <w:sz w:val="18"/>
                <w:szCs w:val="18"/>
                <w:lang w:eastAsia="zh-CN"/>
              </w:rPr>
              <w:t>e</w:t>
            </w:r>
            <w:r w:rsidRPr="00AD5C2C">
              <w:rPr>
                <w:rFonts w:ascii="Arial" w:hAnsi="Arial" w:cs="Arial"/>
                <w:b/>
                <w:sz w:val="18"/>
                <w:szCs w:val="18"/>
                <w:lang w:eastAsia="zh-CN"/>
              </w:rPr>
              <w:t xml:space="preserve">DRX </w:t>
            </w:r>
            <w:r>
              <w:rPr>
                <w:rFonts w:ascii="Arial" w:hAnsi="Arial" w:cs="Arial"/>
                <w:b/>
                <w:sz w:val="18"/>
                <w:szCs w:val="18"/>
                <w:lang w:eastAsia="zh-CN"/>
              </w:rPr>
              <w:t xml:space="preserve">IDLE </w:t>
            </w:r>
            <w:r w:rsidRPr="00AD5C2C">
              <w:rPr>
                <w:rFonts w:ascii="Arial" w:hAnsi="Arial" w:cs="Arial"/>
                <w:b/>
                <w:sz w:val="18"/>
                <w:szCs w:val="18"/>
                <w:lang w:eastAsia="zh-CN"/>
              </w:rPr>
              <w:t>cycles)</w:t>
            </w:r>
          </w:p>
        </w:tc>
        <w:tc>
          <w:tcPr>
            <w:tcW w:w="0" w:type="auto"/>
            <w:vMerge w:val="restart"/>
            <w:hideMark/>
          </w:tcPr>
          <w:p w14:paraId="2B529CB8" w14:textId="77777777" w:rsidR="0025203F" w:rsidRPr="00AD5C2C" w:rsidRDefault="0025203F" w:rsidP="00430B21">
            <w:pPr>
              <w:rPr>
                <w:rFonts w:ascii="Arial" w:hAnsi="Arial" w:cs="Arial"/>
                <w:sz w:val="18"/>
                <w:szCs w:val="18"/>
                <w:lang w:val="en-US" w:eastAsia="zh-CN"/>
              </w:rPr>
            </w:pPr>
            <w:r w:rsidRPr="00AD5C2C">
              <w:rPr>
                <w:rFonts w:ascii="Arial" w:hAnsi="Arial" w:cs="Arial"/>
                <w:b/>
                <w:sz w:val="18"/>
                <w:szCs w:val="18"/>
                <w:lang w:val="en-US"/>
              </w:rPr>
              <w:t>T</w:t>
            </w:r>
            <w:r w:rsidRPr="00AD5C2C">
              <w:rPr>
                <w:rFonts w:ascii="Arial" w:hAnsi="Arial" w:cs="Arial"/>
                <w:b/>
                <w:sz w:val="18"/>
                <w:szCs w:val="18"/>
                <w:vertAlign w:val="subscript"/>
                <w:lang w:val="en-US"/>
              </w:rPr>
              <w:t>evaluate,NR_Intra_RedCap</w:t>
            </w:r>
            <w:r>
              <w:rPr>
                <w:rFonts w:ascii="Arial" w:hAnsi="Arial" w:cs="Arial"/>
                <w:b/>
                <w:sz w:val="18"/>
                <w:szCs w:val="18"/>
                <w:vertAlign w:val="subscript"/>
                <w:lang w:val="en-US"/>
              </w:rPr>
              <w:t>_Relax</w:t>
            </w:r>
            <w:r w:rsidRPr="00AD5C2C">
              <w:rPr>
                <w:rFonts w:ascii="Arial" w:hAnsi="Arial" w:cs="Arial"/>
                <w:b/>
                <w:sz w:val="18"/>
                <w:szCs w:val="18"/>
                <w:vertAlign w:val="subscript"/>
                <w:lang w:val="en-US"/>
              </w:rPr>
              <w:t xml:space="preserve"> </w:t>
            </w:r>
            <w:r w:rsidRPr="00AD5C2C">
              <w:rPr>
                <w:rFonts w:ascii="Arial" w:hAnsi="Arial" w:cs="Arial"/>
                <w:b/>
                <w:sz w:val="18"/>
                <w:szCs w:val="18"/>
                <w:lang w:eastAsia="zh-CN"/>
              </w:rPr>
              <w:t xml:space="preserve">[s] (number of </w:t>
            </w:r>
            <w:r>
              <w:rPr>
                <w:rFonts w:ascii="Arial" w:hAnsi="Arial" w:cs="Arial"/>
                <w:b/>
                <w:sz w:val="18"/>
                <w:szCs w:val="18"/>
                <w:lang w:eastAsia="zh-CN"/>
              </w:rPr>
              <w:t>e</w:t>
            </w:r>
            <w:r w:rsidRPr="00AD5C2C">
              <w:rPr>
                <w:rFonts w:ascii="Arial" w:hAnsi="Arial" w:cs="Arial"/>
                <w:b/>
                <w:sz w:val="18"/>
                <w:szCs w:val="18"/>
                <w:lang w:eastAsia="zh-CN"/>
              </w:rPr>
              <w:t xml:space="preserve">DRX </w:t>
            </w:r>
            <w:r>
              <w:rPr>
                <w:rFonts w:ascii="Arial" w:hAnsi="Arial" w:cs="Arial"/>
                <w:b/>
                <w:sz w:val="18"/>
                <w:szCs w:val="18"/>
                <w:lang w:eastAsia="zh-CN"/>
              </w:rPr>
              <w:t xml:space="preserve">IDLE </w:t>
            </w:r>
            <w:r w:rsidRPr="00AD5C2C">
              <w:rPr>
                <w:rFonts w:ascii="Arial" w:hAnsi="Arial" w:cs="Arial"/>
                <w:b/>
                <w:sz w:val="18"/>
                <w:szCs w:val="18"/>
                <w:lang w:eastAsia="zh-CN"/>
              </w:rPr>
              <w:t>cycles)</w:t>
            </w:r>
          </w:p>
        </w:tc>
      </w:tr>
      <w:tr w:rsidR="0025203F" w:rsidRPr="00AD5C2C" w14:paraId="017987AC" w14:textId="77777777" w:rsidTr="00430B21">
        <w:trPr>
          <w:trHeight w:val="387"/>
        </w:trPr>
        <w:tc>
          <w:tcPr>
            <w:tcW w:w="0" w:type="auto"/>
            <w:vMerge/>
            <w:hideMark/>
          </w:tcPr>
          <w:p w14:paraId="5B8B1E67" w14:textId="77777777" w:rsidR="0025203F" w:rsidRPr="00AD5C2C" w:rsidRDefault="0025203F" w:rsidP="00430B21">
            <w:pPr>
              <w:rPr>
                <w:rFonts w:ascii="Arial" w:hAnsi="Arial" w:cs="Arial"/>
                <w:sz w:val="18"/>
                <w:lang w:val="en-US" w:eastAsia="zh-CN"/>
              </w:rPr>
            </w:pPr>
          </w:p>
        </w:tc>
        <w:tc>
          <w:tcPr>
            <w:tcW w:w="0" w:type="auto"/>
            <w:vMerge/>
            <w:hideMark/>
          </w:tcPr>
          <w:p w14:paraId="031A443E" w14:textId="77777777" w:rsidR="0025203F" w:rsidRPr="00AD5C2C" w:rsidRDefault="0025203F" w:rsidP="00430B21">
            <w:pPr>
              <w:rPr>
                <w:rFonts w:ascii="Arial" w:hAnsi="Arial" w:cs="Arial"/>
                <w:sz w:val="18"/>
                <w:lang w:val="en-US" w:eastAsia="zh-CN"/>
              </w:rPr>
            </w:pPr>
          </w:p>
        </w:tc>
        <w:tc>
          <w:tcPr>
            <w:tcW w:w="0" w:type="auto"/>
            <w:vMerge/>
            <w:hideMark/>
          </w:tcPr>
          <w:p w14:paraId="21B8A470" w14:textId="77777777" w:rsidR="0025203F" w:rsidRPr="00AD5C2C" w:rsidRDefault="0025203F" w:rsidP="00430B21">
            <w:pPr>
              <w:rPr>
                <w:rFonts w:ascii="Arial" w:hAnsi="Arial" w:cs="Arial"/>
                <w:sz w:val="18"/>
                <w:lang w:val="en-US" w:eastAsia="zh-CN"/>
              </w:rPr>
            </w:pPr>
          </w:p>
        </w:tc>
        <w:tc>
          <w:tcPr>
            <w:tcW w:w="0" w:type="auto"/>
            <w:vMerge/>
            <w:hideMark/>
          </w:tcPr>
          <w:p w14:paraId="43893315" w14:textId="77777777" w:rsidR="0025203F" w:rsidRPr="00AD5C2C" w:rsidRDefault="0025203F" w:rsidP="00430B21">
            <w:pPr>
              <w:rPr>
                <w:rFonts w:ascii="Arial" w:hAnsi="Arial" w:cs="Arial"/>
                <w:sz w:val="18"/>
                <w:lang w:val="en-US" w:eastAsia="zh-CN"/>
              </w:rPr>
            </w:pPr>
          </w:p>
        </w:tc>
      </w:tr>
      <w:tr w:rsidR="0025203F" w:rsidRPr="00AD5C2C" w14:paraId="7CC8CF08" w14:textId="77777777" w:rsidTr="00430B21">
        <w:trPr>
          <w:trHeight w:val="336"/>
        </w:trPr>
        <w:tc>
          <w:tcPr>
            <w:tcW w:w="0" w:type="auto"/>
          </w:tcPr>
          <w:p w14:paraId="2E567933" w14:textId="77777777" w:rsidR="0025203F" w:rsidRPr="00C23796" w:rsidRDefault="0025203F" w:rsidP="00430B21">
            <w:pPr>
              <w:rPr>
                <w:rFonts w:ascii="Arial" w:hAnsi="Arial" w:cs="Arial"/>
                <w:sz w:val="18"/>
                <w:szCs w:val="18"/>
                <w:lang w:val="en-US" w:eastAsia="zh-CN"/>
              </w:rPr>
            </w:pPr>
            <w:r w:rsidRPr="00C23796">
              <w:rPr>
                <w:rFonts w:ascii="Arial" w:hAnsi="Arial" w:cs="Arial"/>
                <w:sz w:val="18"/>
                <w:szCs w:val="18"/>
                <w:lang w:val="en-US" w:eastAsia="zh-CN"/>
              </w:rPr>
              <w:t>2.56</w:t>
            </w:r>
          </w:p>
        </w:tc>
        <w:tc>
          <w:tcPr>
            <w:tcW w:w="0" w:type="auto"/>
          </w:tcPr>
          <w:p w14:paraId="46745758" w14:textId="77777777" w:rsidR="0025203F" w:rsidRPr="00C23796" w:rsidRDefault="0025203F" w:rsidP="00430B21">
            <w:pPr>
              <w:rPr>
                <w:rFonts w:ascii="Arial" w:hAnsi="Arial" w:cs="Arial"/>
                <w:sz w:val="18"/>
                <w:szCs w:val="18"/>
                <w:lang w:eastAsia="zh-CN"/>
              </w:rPr>
            </w:pPr>
            <w:r w:rsidRPr="00806346">
              <w:rPr>
                <w:rFonts w:ascii="Arial" w:hAnsi="Arial" w:cs="Arial"/>
                <w:sz w:val="18"/>
                <w:szCs w:val="18"/>
                <w:lang w:val="sv-SE"/>
              </w:rPr>
              <w:t xml:space="preserve">58.88 x </w:t>
            </w:r>
            <w:r w:rsidRPr="00806346">
              <w:rPr>
                <w:rFonts w:ascii="Arial" w:hAnsi="Arial" w:cs="Arial"/>
                <w:sz w:val="18"/>
                <w:szCs w:val="18"/>
                <w:lang w:val="sv-SE" w:eastAsia="zh-CN"/>
              </w:rPr>
              <w:t>K3</w:t>
            </w:r>
            <w:r w:rsidRPr="00806346">
              <w:rPr>
                <w:rFonts w:ascii="Arial" w:hAnsi="Arial" w:cs="Arial"/>
                <w:sz w:val="18"/>
                <w:szCs w:val="18"/>
                <w:lang w:val="sv-SE"/>
              </w:rPr>
              <w:t xml:space="preserve"> (23 x </w:t>
            </w:r>
            <w:r w:rsidRPr="00806346">
              <w:rPr>
                <w:rFonts w:ascii="Arial" w:hAnsi="Arial" w:cs="Arial"/>
                <w:sz w:val="18"/>
                <w:szCs w:val="18"/>
                <w:lang w:val="sv-SE" w:eastAsia="zh-CN"/>
              </w:rPr>
              <w:t>K3</w:t>
            </w:r>
            <w:r w:rsidRPr="00806346">
              <w:rPr>
                <w:rFonts w:ascii="Arial" w:hAnsi="Arial" w:cs="Arial"/>
                <w:sz w:val="18"/>
                <w:szCs w:val="18"/>
                <w:lang w:val="sv-SE"/>
              </w:rPr>
              <w:t>)</w:t>
            </w:r>
          </w:p>
        </w:tc>
        <w:tc>
          <w:tcPr>
            <w:tcW w:w="0" w:type="auto"/>
          </w:tcPr>
          <w:p w14:paraId="7847AAB0" w14:textId="77777777" w:rsidR="0025203F" w:rsidRPr="00C23796" w:rsidRDefault="0025203F" w:rsidP="00430B21">
            <w:pPr>
              <w:rPr>
                <w:rFonts w:ascii="Arial" w:hAnsi="Arial" w:cs="Arial"/>
                <w:sz w:val="18"/>
                <w:szCs w:val="18"/>
                <w:lang w:eastAsia="zh-CN"/>
              </w:rPr>
            </w:pPr>
            <w:r w:rsidRPr="00806346">
              <w:rPr>
                <w:rFonts w:ascii="Arial" w:hAnsi="Arial" w:cs="Arial"/>
                <w:sz w:val="18"/>
                <w:szCs w:val="18"/>
                <w:lang w:val="sv-SE"/>
              </w:rPr>
              <w:t xml:space="preserve">2.56 x </w:t>
            </w:r>
            <w:r w:rsidRPr="00806346">
              <w:rPr>
                <w:rFonts w:ascii="Arial" w:hAnsi="Arial" w:cs="Arial"/>
                <w:sz w:val="18"/>
                <w:szCs w:val="18"/>
                <w:lang w:val="sv-SE" w:eastAsia="zh-CN"/>
              </w:rPr>
              <w:t>K3</w:t>
            </w:r>
            <w:r w:rsidRPr="00806346">
              <w:rPr>
                <w:rFonts w:ascii="Arial" w:hAnsi="Arial" w:cs="Arial"/>
                <w:sz w:val="18"/>
                <w:szCs w:val="18"/>
                <w:lang w:val="sv-SE"/>
              </w:rPr>
              <w:t xml:space="preserve"> (1 x </w:t>
            </w:r>
            <w:r w:rsidRPr="00806346">
              <w:rPr>
                <w:rFonts w:ascii="Arial" w:hAnsi="Arial" w:cs="Arial"/>
                <w:sz w:val="18"/>
                <w:szCs w:val="18"/>
                <w:lang w:val="sv-SE" w:eastAsia="zh-CN"/>
              </w:rPr>
              <w:t>K3</w:t>
            </w:r>
            <w:r w:rsidRPr="00806346">
              <w:rPr>
                <w:rFonts w:ascii="Arial" w:hAnsi="Arial" w:cs="Arial"/>
                <w:sz w:val="18"/>
                <w:szCs w:val="18"/>
                <w:lang w:val="sv-SE"/>
              </w:rPr>
              <w:t>)</w:t>
            </w:r>
          </w:p>
        </w:tc>
        <w:tc>
          <w:tcPr>
            <w:tcW w:w="0" w:type="auto"/>
          </w:tcPr>
          <w:p w14:paraId="706C10AE" w14:textId="77777777" w:rsidR="0025203F" w:rsidRPr="00C23796" w:rsidRDefault="0025203F" w:rsidP="00430B21">
            <w:pPr>
              <w:rPr>
                <w:rFonts w:ascii="Arial" w:hAnsi="Arial" w:cs="Arial"/>
                <w:sz w:val="18"/>
                <w:szCs w:val="18"/>
                <w:lang w:eastAsia="zh-CN"/>
              </w:rPr>
            </w:pPr>
            <w:r w:rsidRPr="00806346">
              <w:rPr>
                <w:rFonts w:ascii="Arial" w:hAnsi="Arial" w:cs="Arial"/>
                <w:sz w:val="18"/>
                <w:szCs w:val="18"/>
                <w:lang w:val="sv-SE"/>
              </w:rPr>
              <w:t xml:space="preserve">7.68 x </w:t>
            </w:r>
            <w:r w:rsidRPr="00806346">
              <w:rPr>
                <w:rFonts w:ascii="Arial" w:hAnsi="Arial" w:cs="Arial"/>
                <w:sz w:val="18"/>
                <w:szCs w:val="18"/>
                <w:lang w:val="sv-SE" w:eastAsia="zh-CN"/>
              </w:rPr>
              <w:t>K3</w:t>
            </w:r>
            <w:r w:rsidRPr="00806346">
              <w:rPr>
                <w:rFonts w:ascii="Arial" w:hAnsi="Arial" w:cs="Arial"/>
                <w:sz w:val="18"/>
                <w:szCs w:val="18"/>
                <w:lang w:val="sv-SE"/>
              </w:rPr>
              <w:t xml:space="preserve"> (3 x </w:t>
            </w:r>
            <w:r w:rsidRPr="00806346">
              <w:rPr>
                <w:rFonts w:ascii="Arial" w:hAnsi="Arial" w:cs="Arial"/>
                <w:sz w:val="18"/>
                <w:szCs w:val="18"/>
                <w:lang w:val="sv-SE" w:eastAsia="zh-CN"/>
              </w:rPr>
              <w:t>K3</w:t>
            </w:r>
            <w:r w:rsidRPr="00806346">
              <w:rPr>
                <w:rFonts w:ascii="Arial" w:hAnsi="Arial" w:cs="Arial"/>
                <w:sz w:val="18"/>
                <w:szCs w:val="18"/>
                <w:lang w:val="sv-SE"/>
              </w:rPr>
              <w:t>)</w:t>
            </w:r>
          </w:p>
        </w:tc>
      </w:tr>
      <w:tr w:rsidR="0025203F" w:rsidRPr="00AD5C2C" w14:paraId="03AA6729" w14:textId="77777777" w:rsidTr="00430B21">
        <w:trPr>
          <w:trHeight w:val="336"/>
        </w:trPr>
        <w:tc>
          <w:tcPr>
            <w:tcW w:w="0" w:type="auto"/>
          </w:tcPr>
          <w:p w14:paraId="3EBB4E6E" w14:textId="77777777" w:rsidR="0025203F" w:rsidRPr="00C23796" w:rsidRDefault="0025203F" w:rsidP="00430B21">
            <w:pPr>
              <w:rPr>
                <w:rFonts w:ascii="Arial" w:hAnsi="Arial" w:cs="Arial"/>
                <w:sz w:val="18"/>
                <w:szCs w:val="18"/>
                <w:lang w:eastAsia="zh-CN"/>
              </w:rPr>
            </w:pPr>
            <w:r w:rsidRPr="00C23796">
              <w:rPr>
                <w:rFonts w:ascii="Arial" w:hAnsi="Arial" w:cs="Arial"/>
                <w:sz w:val="18"/>
                <w:szCs w:val="18"/>
                <w:lang w:eastAsia="zh-CN"/>
              </w:rPr>
              <w:t>5.12</w:t>
            </w:r>
          </w:p>
        </w:tc>
        <w:tc>
          <w:tcPr>
            <w:tcW w:w="0" w:type="auto"/>
          </w:tcPr>
          <w:p w14:paraId="32BCBAC9" w14:textId="77777777" w:rsidR="0025203F" w:rsidRPr="00C23796" w:rsidRDefault="0025203F" w:rsidP="00430B21">
            <w:pPr>
              <w:rPr>
                <w:rFonts w:ascii="Arial" w:hAnsi="Arial" w:cs="Arial"/>
                <w:sz w:val="18"/>
                <w:szCs w:val="18"/>
                <w:lang w:eastAsia="zh-CN"/>
              </w:rPr>
            </w:pPr>
            <w:r w:rsidRPr="00C23796">
              <w:rPr>
                <w:rFonts w:ascii="Arial" w:hAnsi="Arial" w:cs="Arial"/>
                <w:sz w:val="18"/>
                <w:szCs w:val="18"/>
                <w:lang w:eastAsia="zh-CN"/>
              </w:rPr>
              <w:t>117.76</w:t>
            </w:r>
            <w:r w:rsidRPr="00806346">
              <w:rPr>
                <w:rFonts w:ascii="Arial" w:hAnsi="Arial" w:cs="Arial"/>
                <w:sz w:val="18"/>
                <w:szCs w:val="18"/>
                <w:lang w:eastAsia="zh-CN"/>
              </w:rPr>
              <w:t xml:space="preserve"> x K3</w:t>
            </w:r>
            <w:r w:rsidRPr="00C23796">
              <w:rPr>
                <w:rFonts w:ascii="Arial" w:hAnsi="Arial" w:cs="Arial"/>
                <w:sz w:val="18"/>
                <w:szCs w:val="18"/>
                <w:lang w:eastAsia="zh-CN"/>
              </w:rPr>
              <w:t xml:space="preserve"> (23</w:t>
            </w:r>
            <w:r w:rsidRPr="00806346">
              <w:rPr>
                <w:rFonts w:ascii="Arial" w:hAnsi="Arial" w:cs="Arial"/>
                <w:sz w:val="18"/>
                <w:szCs w:val="18"/>
                <w:lang w:eastAsia="zh-CN"/>
              </w:rPr>
              <w:t xml:space="preserve"> x K3</w:t>
            </w:r>
            <w:r w:rsidRPr="00C23796">
              <w:rPr>
                <w:rFonts w:ascii="Arial" w:hAnsi="Arial" w:cs="Arial"/>
                <w:sz w:val="18"/>
                <w:szCs w:val="18"/>
                <w:lang w:eastAsia="zh-CN"/>
              </w:rPr>
              <w:t>)</w:t>
            </w:r>
          </w:p>
        </w:tc>
        <w:tc>
          <w:tcPr>
            <w:tcW w:w="0" w:type="auto"/>
          </w:tcPr>
          <w:p w14:paraId="0D568F48" w14:textId="77777777" w:rsidR="0025203F" w:rsidRPr="00C23796" w:rsidRDefault="0025203F" w:rsidP="00430B21">
            <w:pPr>
              <w:rPr>
                <w:rFonts w:ascii="Arial" w:hAnsi="Arial" w:cs="Arial"/>
                <w:sz w:val="18"/>
                <w:szCs w:val="18"/>
                <w:lang w:eastAsia="zh-CN"/>
              </w:rPr>
            </w:pPr>
            <w:r w:rsidRPr="00C23796">
              <w:rPr>
                <w:rFonts w:ascii="Arial" w:hAnsi="Arial" w:cs="Arial"/>
                <w:sz w:val="18"/>
                <w:szCs w:val="18"/>
                <w:lang w:eastAsia="zh-CN"/>
              </w:rPr>
              <w:t>5.12</w:t>
            </w:r>
            <w:r w:rsidRPr="00806346">
              <w:rPr>
                <w:rFonts w:ascii="Arial" w:hAnsi="Arial" w:cs="Arial"/>
                <w:sz w:val="18"/>
                <w:szCs w:val="18"/>
                <w:lang w:eastAsia="zh-CN"/>
              </w:rPr>
              <w:t xml:space="preserve"> x K3</w:t>
            </w:r>
            <w:r w:rsidRPr="00C23796">
              <w:rPr>
                <w:rFonts w:ascii="Arial" w:hAnsi="Arial" w:cs="Arial"/>
                <w:sz w:val="18"/>
                <w:szCs w:val="18"/>
                <w:lang w:eastAsia="zh-CN"/>
              </w:rPr>
              <w:t xml:space="preserve"> (1</w:t>
            </w:r>
            <w:r w:rsidRPr="00806346">
              <w:rPr>
                <w:rFonts w:ascii="Arial" w:hAnsi="Arial" w:cs="Arial"/>
                <w:sz w:val="18"/>
                <w:szCs w:val="18"/>
                <w:lang w:eastAsia="zh-CN"/>
              </w:rPr>
              <w:t xml:space="preserve"> x K3</w:t>
            </w:r>
            <w:r w:rsidRPr="00C23796">
              <w:rPr>
                <w:rFonts w:ascii="Arial" w:hAnsi="Arial" w:cs="Arial"/>
                <w:sz w:val="18"/>
                <w:szCs w:val="18"/>
                <w:lang w:eastAsia="zh-CN"/>
              </w:rPr>
              <w:t>)</w:t>
            </w:r>
          </w:p>
        </w:tc>
        <w:tc>
          <w:tcPr>
            <w:tcW w:w="0" w:type="auto"/>
          </w:tcPr>
          <w:p w14:paraId="4CC383F7" w14:textId="77777777" w:rsidR="0025203F" w:rsidRPr="00C23796" w:rsidRDefault="0025203F" w:rsidP="00430B21">
            <w:pPr>
              <w:rPr>
                <w:rFonts w:ascii="Arial" w:hAnsi="Arial" w:cs="Arial"/>
                <w:sz w:val="18"/>
                <w:szCs w:val="18"/>
                <w:lang w:eastAsia="zh-CN"/>
              </w:rPr>
            </w:pPr>
            <w:r w:rsidRPr="00C23796">
              <w:rPr>
                <w:rFonts w:ascii="Arial" w:hAnsi="Arial" w:cs="Arial"/>
                <w:sz w:val="18"/>
                <w:szCs w:val="18"/>
                <w:lang w:eastAsia="zh-CN"/>
              </w:rPr>
              <w:t>10.24</w:t>
            </w:r>
            <w:r w:rsidRPr="00806346">
              <w:rPr>
                <w:rFonts w:ascii="Arial" w:hAnsi="Arial" w:cs="Arial"/>
                <w:sz w:val="18"/>
                <w:szCs w:val="18"/>
                <w:lang w:eastAsia="zh-CN"/>
              </w:rPr>
              <w:t xml:space="preserve"> x K3</w:t>
            </w:r>
            <w:r w:rsidRPr="00C23796">
              <w:rPr>
                <w:rFonts w:ascii="Arial" w:hAnsi="Arial" w:cs="Arial"/>
                <w:sz w:val="18"/>
                <w:szCs w:val="18"/>
                <w:lang w:eastAsia="zh-CN"/>
              </w:rPr>
              <w:t xml:space="preserve"> (2</w:t>
            </w:r>
            <w:r w:rsidRPr="00806346">
              <w:rPr>
                <w:rFonts w:ascii="Arial" w:hAnsi="Arial" w:cs="Arial"/>
                <w:sz w:val="18"/>
                <w:szCs w:val="18"/>
                <w:lang w:eastAsia="zh-CN"/>
              </w:rPr>
              <w:t xml:space="preserve"> x K3</w:t>
            </w:r>
            <w:r w:rsidRPr="00C23796">
              <w:rPr>
                <w:rFonts w:ascii="Arial" w:hAnsi="Arial" w:cs="Arial"/>
                <w:sz w:val="18"/>
                <w:szCs w:val="18"/>
                <w:lang w:eastAsia="zh-CN"/>
              </w:rPr>
              <w:t>)</w:t>
            </w:r>
          </w:p>
        </w:tc>
      </w:tr>
      <w:tr w:rsidR="0025203F" w:rsidRPr="00AD5C2C" w14:paraId="1D804FEB" w14:textId="77777777" w:rsidTr="00430B21">
        <w:trPr>
          <w:trHeight w:val="336"/>
        </w:trPr>
        <w:tc>
          <w:tcPr>
            <w:tcW w:w="0" w:type="auto"/>
          </w:tcPr>
          <w:p w14:paraId="3B444DDC" w14:textId="77777777" w:rsidR="0025203F" w:rsidRPr="00C23796" w:rsidRDefault="0025203F" w:rsidP="00430B21">
            <w:pPr>
              <w:rPr>
                <w:rFonts w:ascii="Arial" w:hAnsi="Arial" w:cs="Arial"/>
                <w:sz w:val="18"/>
                <w:szCs w:val="18"/>
                <w:lang w:eastAsia="zh-CN"/>
              </w:rPr>
            </w:pPr>
            <w:r w:rsidRPr="00C23796">
              <w:rPr>
                <w:rFonts w:ascii="Arial" w:hAnsi="Arial" w:cs="Arial"/>
                <w:sz w:val="18"/>
                <w:szCs w:val="18"/>
                <w:lang w:eastAsia="zh-CN"/>
              </w:rPr>
              <w:t>10.24</w:t>
            </w:r>
          </w:p>
        </w:tc>
        <w:tc>
          <w:tcPr>
            <w:tcW w:w="0" w:type="auto"/>
          </w:tcPr>
          <w:p w14:paraId="466BD314" w14:textId="77777777" w:rsidR="0025203F" w:rsidRPr="00C23796" w:rsidRDefault="0025203F" w:rsidP="00430B21">
            <w:pPr>
              <w:rPr>
                <w:rFonts w:ascii="Arial" w:hAnsi="Arial" w:cs="Arial"/>
                <w:sz w:val="18"/>
                <w:szCs w:val="18"/>
                <w:lang w:eastAsia="zh-CN"/>
              </w:rPr>
            </w:pPr>
            <w:r w:rsidRPr="00C23796">
              <w:rPr>
                <w:rFonts w:ascii="Arial" w:hAnsi="Arial" w:cs="Arial"/>
                <w:sz w:val="18"/>
                <w:szCs w:val="18"/>
                <w:lang w:eastAsia="zh-CN"/>
              </w:rPr>
              <w:t>235.52</w:t>
            </w:r>
            <w:r w:rsidRPr="00806346">
              <w:rPr>
                <w:rFonts w:ascii="Arial" w:hAnsi="Arial" w:cs="Arial"/>
                <w:sz w:val="18"/>
                <w:szCs w:val="18"/>
                <w:lang w:eastAsia="zh-CN"/>
              </w:rPr>
              <w:t xml:space="preserve"> x K3</w:t>
            </w:r>
            <w:r w:rsidRPr="00C23796">
              <w:rPr>
                <w:rFonts w:ascii="Arial" w:hAnsi="Arial" w:cs="Arial"/>
                <w:sz w:val="18"/>
                <w:szCs w:val="18"/>
                <w:lang w:eastAsia="zh-CN"/>
              </w:rPr>
              <w:t xml:space="preserve"> (23</w:t>
            </w:r>
            <w:r w:rsidRPr="00806346">
              <w:rPr>
                <w:rFonts w:ascii="Arial" w:hAnsi="Arial" w:cs="Arial"/>
                <w:sz w:val="18"/>
                <w:szCs w:val="18"/>
                <w:lang w:eastAsia="zh-CN"/>
              </w:rPr>
              <w:t xml:space="preserve"> x K3</w:t>
            </w:r>
            <w:r w:rsidRPr="00C23796">
              <w:rPr>
                <w:rFonts w:ascii="Arial" w:hAnsi="Arial" w:cs="Arial"/>
                <w:sz w:val="18"/>
                <w:szCs w:val="18"/>
                <w:lang w:eastAsia="zh-CN"/>
              </w:rPr>
              <w:t>)</w:t>
            </w:r>
          </w:p>
        </w:tc>
        <w:tc>
          <w:tcPr>
            <w:tcW w:w="0" w:type="auto"/>
          </w:tcPr>
          <w:p w14:paraId="318D7E28" w14:textId="77777777" w:rsidR="0025203F" w:rsidRPr="00C23796" w:rsidRDefault="0025203F" w:rsidP="00430B21">
            <w:pPr>
              <w:rPr>
                <w:rFonts w:ascii="Arial" w:hAnsi="Arial" w:cs="Arial"/>
                <w:sz w:val="18"/>
                <w:szCs w:val="18"/>
                <w:lang w:eastAsia="zh-CN"/>
              </w:rPr>
            </w:pPr>
            <w:r w:rsidRPr="00C23796">
              <w:rPr>
                <w:rFonts w:ascii="Arial" w:hAnsi="Arial" w:cs="Arial"/>
                <w:sz w:val="18"/>
                <w:szCs w:val="18"/>
                <w:lang w:eastAsia="zh-CN"/>
              </w:rPr>
              <w:t>10.24</w:t>
            </w:r>
            <w:r w:rsidRPr="00806346">
              <w:rPr>
                <w:rFonts w:ascii="Arial" w:hAnsi="Arial" w:cs="Arial"/>
                <w:sz w:val="18"/>
                <w:szCs w:val="18"/>
                <w:lang w:eastAsia="zh-CN"/>
              </w:rPr>
              <w:t xml:space="preserve"> x K3</w:t>
            </w:r>
            <w:r w:rsidRPr="00C23796">
              <w:rPr>
                <w:rFonts w:ascii="Arial" w:hAnsi="Arial" w:cs="Arial"/>
                <w:sz w:val="18"/>
                <w:szCs w:val="18"/>
                <w:lang w:eastAsia="zh-CN"/>
              </w:rPr>
              <w:t xml:space="preserve"> (1</w:t>
            </w:r>
            <w:r w:rsidRPr="00806346">
              <w:rPr>
                <w:rFonts w:ascii="Arial" w:hAnsi="Arial" w:cs="Arial"/>
                <w:sz w:val="18"/>
                <w:szCs w:val="18"/>
                <w:lang w:eastAsia="zh-CN"/>
              </w:rPr>
              <w:t xml:space="preserve"> x K3</w:t>
            </w:r>
            <w:r w:rsidRPr="00C23796">
              <w:rPr>
                <w:rFonts w:ascii="Arial" w:hAnsi="Arial" w:cs="Arial"/>
                <w:sz w:val="18"/>
                <w:szCs w:val="18"/>
                <w:lang w:eastAsia="zh-CN"/>
              </w:rPr>
              <w:t>)</w:t>
            </w:r>
          </w:p>
        </w:tc>
        <w:tc>
          <w:tcPr>
            <w:tcW w:w="0" w:type="auto"/>
          </w:tcPr>
          <w:p w14:paraId="1C2DA0D8" w14:textId="77777777" w:rsidR="0025203F" w:rsidRPr="00C23796" w:rsidRDefault="0025203F" w:rsidP="00430B21">
            <w:pPr>
              <w:rPr>
                <w:rFonts w:ascii="Arial" w:hAnsi="Arial" w:cs="Arial"/>
                <w:sz w:val="18"/>
                <w:szCs w:val="18"/>
                <w:lang w:eastAsia="zh-CN"/>
              </w:rPr>
            </w:pPr>
            <w:r w:rsidRPr="00C23796">
              <w:rPr>
                <w:rFonts w:ascii="Arial" w:hAnsi="Arial" w:cs="Arial"/>
                <w:sz w:val="18"/>
                <w:szCs w:val="18"/>
                <w:lang w:eastAsia="zh-CN"/>
              </w:rPr>
              <w:t>20.48</w:t>
            </w:r>
            <w:r w:rsidRPr="00806346">
              <w:rPr>
                <w:rFonts w:ascii="Arial" w:hAnsi="Arial" w:cs="Arial"/>
                <w:sz w:val="18"/>
                <w:szCs w:val="18"/>
                <w:lang w:eastAsia="zh-CN"/>
              </w:rPr>
              <w:t xml:space="preserve"> x K3</w:t>
            </w:r>
            <w:r w:rsidRPr="00C23796">
              <w:rPr>
                <w:rFonts w:ascii="Arial" w:hAnsi="Arial" w:cs="Arial"/>
                <w:sz w:val="18"/>
                <w:szCs w:val="18"/>
                <w:lang w:eastAsia="zh-CN"/>
              </w:rPr>
              <w:t xml:space="preserve"> (2</w:t>
            </w:r>
            <w:r w:rsidRPr="00806346">
              <w:rPr>
                <w:rFonts w:ascii="Arial" w:hAnsi="Arial" w:cs="Arial"/>
                <w:sz w:val="18"/>
                <w:szCs w:val="18"/>
                <w:lang w:eastAsia="zh-CN"/>
              </w:rPr>
              <w:t xml:space="preserve"> x K3</w:t>
            </w:r>
            <w:r w:rsidRPr="00C23796">
              <w:rPr>
                <w:rFonts w:ascii="Arial" w:hAnsi="Arial" w:cs="Arial"/>
                <w:sz w:val="18"/>
                <w:szCs w:val="18"/>
                <w:lang w:eastAsia="zh-CN"/>
              </w:rPr>
              <w:t>)</w:t>
            </w:r>
          </w:p>
        </w:tc>
      </w:tr>
      <w:tr w:rsidR="0025203F" w:rsidRPr="00B11B68" w14:paraId="6FEEE225" w14:textId="77777777" w:rsidTr="00430B21">
        <w:trPr>
          <w:trHeight w:val="336"/>
        </w:trPr>
        <w:tc>
          <w:tcPr>
            <w:tcW w:w="0" w:type="auto"/>
            <w:gridSpan w:val="4"/>
          </w:tcPr>
          <w:p w14:paraId="5E86AEDB" w14:textId="77777777" w:rsidR="0025203F" w:rsidRPr="00AD5C2C" w:rsidRDefault="0025203F" w:rsidP="00430B21">
            <w:pPr>
              <w:pStyle w:val="TAN"/>
              <w:rPr>
                <w:rFonts w:cs="Arial"/>
                <w:lang w:eastAsia="zh-CN"/>
              </w:rPr>
            </w:pPr>
            <w:r w:rsidRPr="00806346">
              <w:rPr>
                <w:rFonts w:eastAsia="Malgun Gothic"/>
                <w:snapToGrid w:val="0"/>
                <w:lang w:eastAsia="zh-CN"/>
              </w:rPr>
              <w:t xml:space="preserve">Note </w:t>
            </w:r>
            <w:r>
              <w:rPr>
                <w:rFonts w:eastAsia="Malgun Gothic"/>
                <w:snapToGrid w:val="0"/>
                <w:lang w:eastAsia="zh-CN"/>
              </w:rPr>
              <w:t>1</w:t>
            </w:r>
            <w:r w:rsidRPr="00806346">
              <w:rPr>
                <w:rFonts w:eastAsia="Malgun Gothic"/>
                <w:snapToGrid w:val="0"/>
                <w:lang w:eastAsia="zh-CN"/>
              </w:rPr>
              <w:t>:</w:t>
            </w:r>
            <w:r w:rsidRPr="00806346">
              <w:rPr>
                <w:rFonts w:eastAsia="Malgun Gothic"/>
                <w:snapToGrid w:val="0"/>
                <w:lang w:eastAsia="zh-CN"/>
              </w:rPr>
              <w:tab/>
              <w:t xml:space="preserve">K3 = 6 is the measurement relaxation factor applicable for UE fulfilling the </w:t>
            </w:r>
            <w:r w:rsidRPr="008A7648">
              <w:rPr>
                <w:rFonts w:eastAsia="Malgun Gothic"/>
                <w:i/>
                <w:iCs/>
                <w:snapToGrid w:val="0"/>
                <w:lang w:eastAsia="zh-CN"/>
              </w:rPr>
              <w:t>stationaryMobilityEvaluation</w:t>
            </w:r>
            <w:r w:rsidRPr="00806346">
              <w:rPr>
                <w:rFonts w:eastAsia="Malgun Gothic"/>
                <w:snapToGrid w:val="0"/>
                <w:lang w:eastAsia="zh-CN"/>
              </w:rPr>
              <w:t xml:space="preserve"> [2] criterion.</w:t>
            </w:r>
          </w:p>
        </w:tc>
      </w:tr>
    </w:tbl>
    <w:p w14:paraId="3A66966F" w14:textId="77777777" w:rsidR="0025203F" w:rsidRDefault="0025203F" w:rsidP="0025203F">
      <w:pPr>
        <w:rPr>
          <w:noProof/>
        </w:rPr>
      </w:pPr>
    </w:p>
    <w:p w14:paraId="5C66B2DF" w14:textId="77777777" w:rsidR="00791FB3" w:rsidRPr="00AD5C2C" w:rsidRDefault="00791FB3" w:rsidP="00791FB3">
      <w:pPr>
        <w:pStyle w:val="TH"/>
        <w:rPr>
          <w:lang w:val="en-US"/>
        </w:rPr>
      </w:pPr>
      <w:r w:rsidRPr="0082197E">
        <w:rPr>
          <w:lang w:val="en-US"/>
        </w:rPr>
        <w:t>Table 4.2B.2.9.2-4:</w:t>
      </w:r>
      <w:r w:rsidRPr="00AD5C2C">
        <w:rPr>
          <w:lang w:val="en-US"/>
        </w:rPr>
        <w:t xml:space="preserve"> T</w:t>
      </w:r>
      <w:r w:rsidRPr="00AD5C2C">
        <w:rPr>
          <w:vertAlign w:val="subscript"/>
          <w:lang w:val="en-US"/>
        </w:rPr>
        <w:t>detect,NR_Intra_RedCap</w:t>
      </w:r>
      <w:r>
        <w:rPr>
          <w:vertAlign w:val="subscript"/>
          <w:lang w:val="en-US"/>
        </w:rPr>
        <w:t>_Relax</w:t>
      </w:r>
      <w:r w:rsidRPr="00AD5C2C">
        <w:rPr>
          <w:lang w:val="en-US"/>
        </w:rPr>
        <w:t>, T</w:t>
      </w:r>
      <w:r w:rsidRPr="00AD5C2C">
        <w:rPr>
          <w:vertAlign w:val="subscript"/>
          <w:lang w:val="en-US"/>
        </w:rPr>
        <w:t>measure,NR_Intra_RedCap</w:t>
      </w:r>
      <w:r>
        <w:rPr>
          <w:vertAlign w:val="subscript"/>
          <w:lang w:val="en-US"/>
        </w:rPr>
        <w:t>_Relax</w:t>
      </w:r>
      <w:r w:rsidRPr="00AD5C2C">
        <w:rPr>
          <w:lang w:val="en-US"/>
        </w:rPr>
        <w:t xml:space="preserve"> and T</w:t>
      </w:r>
      <w:r w:rsidRPr="00AD5C2C">
        <w:rPr>
          <w:vertAlign w:val="subscript"/>
          <w:lang w:val="en-US"/>
        </w:rPr>
        <w:t>evaluate,NR_Intra_RedCap</w:t>
      </w:r>
      <w:r>
        <w:rPr>
          <w:vertAlign w:val="subscript"/>
          <w:lang w:val="en-US"/>
        </w:rPr>
        <w:t>_Relax</w:t>
      </w:r>
      <w:r w:rsidRPr="00AD5C2C">
        <w:rPr>
          <w:lang w:val="en-US"/>
        </w:rPr>
        <w:t xml:space="preserve"> for UE configured with eDRX_IDLE cycle (Frequency range FR2)</w:t>
      </w:r>
      <w:r w:rsidRPr="00FF731A">
        <w:rPr>
          <w:lang w:val="en-US"/>
        </w:rPr>
        <w:t xml:space="preserve"> </w:t>
      </w:r>
      <w:r>
        <w:rPr>
          <w:lang w:val="en-US"/>
        </w:rPr>
        <w:t>for eDRX_IDLE cycle upto 10.24 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2638"/>
        <w:gridCol w:w="2779"/>
        <w:gridCol w:w="2762"/>
      </w:tblGrid>
      <w:tr w:rsidR="00791FB3" w:rsidRPr="00AD5C2C" w14:paraId="41D0F967" w14:textId="77777777" w:rsidTr="00430B21">
        <w:trPr>
          <w:trHeight w:val="673"/>
        </w:trPr>
        <w:tc>
          <w:tcPr>
            <w:tcW w:w="0" w:type="auto"/>
            <w:vMerge w:val="restart"/>
            <w:hideMark/>
          </w:tcPr>
          <w:p w14:paraId="6AE8FBD0" w14:textId="77777777" w:rsidR="00791FB3" w:rsidRPr="0082197E" w:rsidRDefault="00791FB3" w:rsidP="00430B21">
            <w:pPr>
              <w:rPr>
                <w:rFonts w:ascii="Arial" w:hAnsi="Arial" w:cs="Arial"/>
                <w:sz w:val="18"/>
                <w:lang w:val="en-US" w:eastAsia="zh-CN"/>
              </w:rPr>
            </w:pPr>
            <w:r w:rsidRPr="0082197E">
              <w:rPr>
                <w:rFonts w:ascii="Arial" w:hAnsi="Arial" w:cs="Arial"/>
                <w:b/>
                <w:sz w:val="18"/>
                <w:lang w:eastAsia="zh-CN"/>
              </w:rPr>
              <w:t>eDRX_IDLE cycle length [s]</w:t>
            </w:r>
          </w:p>
        </w:tc>
        <w:tc>
          <w:tcPr>
            <w:tcW w:w="0" w:type="auto"/>
            <w:vMerge w:val="restart"/>
            <w:hideMark/>
          </w:tcPr>
          <w:p w14:paraId="07113C7F" w14:textId="77777777" w:rsidR="00791FB3" w:rsidRPr="0082197E" w:rsidRDefault="00791FB3" w:rsidP="00430B21">
            <w:pPr>
              <w:rPr>
                <w:rFonts w:ascii="Arial" w:hAnsi="Arial" w:cs="Arial"/>
                <w:sz w:val="18"/>
                <w:szCs w:val="18"/>
                <w:lang w:val="en-US" w:eastAsia="zh-CN"/>
              </w:rPr>
            </w:pPr>
            <w:r w:rsidRPr="0082197E">
              <w:rPr>
                <w:rFonts w:ascii="Arial" w:hAnsi="Arial" w:cs="Arial"/>
                <w:b/>
                <w:sz w:val="18"/>
                <w:szCs w:val="18"/>
                <w:lang w:val="en-US"/>
              </w:rPr>
              <w:t>T</w:t>
            </w:r>
            <w:r w:rsidRPr="0082197E">
              <w:rPr>
                <w:rFonts w:ascii="Arial" w:hAnsi="Arial" w:cs="Arial"/>
                <w:b/>
                <w:sz w:val="18"/>
                <w:szCs w:val="18"/>
                <w:vertAlign w:val="subscript"/>
                <w:lang w:val="en-US"/>
              </w:rPr>
              <w:t>detect,NR_Intra_RedCap</w:t>
            </w:r>
            <w:r>
              <w:rPr>
                <w:rFonts w:ascii="Arial" w:hAnsi="Arial" w:cs="Arial"/>
                <w:b/>
                <w:sz w:val="18"/>
                <w:szCs w:val="18"/>
                <w:vertAlign w:val="subscript"/>
                <w:lang w:val="en-US"/>
              </w:rPr>
              <w:t>_Relax</w:t>
            </w:r>
            <w:r w:rsidRPr="0082197E">
              <w:rPr>
                <w:rFonts w:ascii="Arial" w:hAnsi="Arial" w:cs="Arial"/>
                <w:b/>
                <w:sz w:val="18"/>
                <w:szCs w:val="18"/>
                <w:lang w:eastAsia="zh-CN"/>
              </w:rPr>
              <w:t xml:space="preserve"> [s] (number of </w:t>
            </w:r>
            <w:r>
              <w:rPr>
                <w:rFonts w:ascii="Arial" w:hAnsi="Arial" w:cs="Arial"/>
                <w:b/>
                <w:sz w:val="18"/>
                <w:szCs w:val="18"/>
                <w:lang w:eastAsia="zh-CN"/>
              </w:rPr>
              <w:t>e</w:t>
            </w:r>
            <w:r w:rsidRPr="0082197E">
              <w:rPr>
                <w:rFonts w:ascii="Arial" w:hAnsi="Arial" w:cs="Arial"/>
                <w:b/>
                <w:sz w:val="18"/>
                <w:szCs w:val="18"/>
                <w:lang w:eastAsia="zh-CN"/>
              </w:rPr>
              <w:t xml:space="preserve">DRX </w:t>
            </w:r>
            <w:r>
              <w:rPr>
                <w:rFonts w:ascii="Arial" w:hAnsi="Arial" w:cs="Arial"/>
                <w:b/>
                <w:sz w:val="18"/>
                <w:szCs w:val="18"/>
                <w:lang w:eastAsia="zh-CN"/>
              </w:rPr>
              <w:t xml:space="preserve">IDLE </w:t>
            </w:r>
            <w:r w:rsidRPr="0082197E">
              <w:rPr>
                <w:rFonts w:ascii="Arial" w:hAnsi="Arial" w:cs="Arial"/>
                <w:b/>
                <w:sz w:val="18"/>
                <w:szCs w:val="18"/>
                <w:lang w:eastAsia="zh-CN"/>
              </w:rPr>
              <w:t>cycles)</w:t>
            </w:r>
          </w:p>
        </w:tc>
        <w:tc>
          <w:tcPr>
            <w:tcW w:w="0" w:type="auto"/>
            <w:vMerge w:val="restart"/>
            <w:hideMark/>
          </w:tcPr>
          <w:p w14:paraId="3B4A9733" w14:textId="77777777" w:rsidR="00791FB3" w:rsidRPr="0082197E" w:rsidRDefault="00791FB3" w:rsidP="00430B21">
            <w:pPr>
              <w:rPr>
                <w:rFonts w:ascii="Arial" w:hAnsi="Arial" w:cs="Arial"/>
                <w:sz w:val="18"/>
                <w:szCs w:val="18"/>
                <w:lang w:val="en-US" w:eastAsia="zh-CN"/>
              </w:rPr>
            </w:pPr>
            <w:r w:rsidRPr="0082197E">
              <w:rPr>
                <w:rFonts w:ascii="Arial" w:hAnsi="Arial" w:cs="Arial"/>
                <w:b/>
                <w:sz w:val="18"/>
                <w:szCs w:val="18"/>
                <w:lang w:val="en-US"/>
              </w:rPr>
              <w:t>T</w:t>
            </w:r>
            <w:r w:rsidRPr="0082197E">
              <w:rPr>
                <w:rFonts w:ascii="Arial" w:hAnsi="Arial" w:cs="Arial"/>
                <w:b/>
                <w:sz w:val="18"/>
                <w:szCs w:val="18"/>
                <w:vertAlign w:val="subscript"/>
                <w:lang w:val="en-US"/>
              </w:rPr>
              <w:t>measure,NR_Intra_RedCap</w:t>
            </w:r>
            <w:r>
              <w:rPr>
                <w:rFonts w:ascii="Arial" w:hAnsi="Arial" w:cs="Arial"/>
                <w:b/>
                <w:sz w:val="18"/>
                <w:szCs w:val="18"/>
                <w:vertAlign w:val="subscript"/>
                <w:lang w:val="en-US"/>
              </w:rPr>
              <w:t>_Relax</w:t>
            </w:r>
            <w:r w:rsidRPr="0082197E">
              <w:rPr>
                <w:rFonts w:ascii="Arial" w:hAnsi="Arial" w:cs="Arial"/>
                <w:b/>
                <w:sz w:val="18"/>
                <w:szCs w:val="18"/>
                <w:lang w:val="en-US"/>
              </w:rPr>
              <w:t xml:space="preserve"> </w:t>
            </w:r>
            <w:r w:rsidRPr="0082197E">
              <w:rPr>
                <w:rFonts w:ascii="Arial" w:hAnsi="Arial" w:cs="Arial"/>
                <w:b/>
                <w:sz w:val="18"/>
                <w:szCs w:val="18"/>
                <w:lang w:eastAsia="zh-CN"/>
              </w:rPr>
              <w:t xml:space="preserve">[s] (number of </w:t>
            </w:r>
            <w:r>
              <w:rPr>
                <w:rFonts w:ascii="Arial" w:hAnsi="Arial" w:cs="Arial"/>
                <w:b/>
                <w:sz w:val="18"/>
                <w:szCs w:val="18"/>
                <w:lang w:eastAsia="zh-CN"/>
              </w:rPr>
              <w:t>e</w:t>
            </w:r>
            <w:r w:rsidRPr="0082197E">
              <w:rPr>
                <w:rFonts w:ascii="Arial" w:hAnsi="Arial" w:cs="Arial"/>
                <w:b/>
                <w:sz w:val="18"/>
                <w:szCs w:val="18"/>
                <w:lang w:eastAsia="zh-CN"/>
              </w:rPr>
              <w:t xml:space="preserve">DRX </w:t>
            </w:r>
            <w:r>
              <w:rPr>
                <w:rFonts w:ascii="Arial" w:hAnsi="Arial" w:cs="Arial"/>
                <w:b/>
                <w:sz w:val="18"/>
                <w:szCs w:val="18"/>
                <w:lang w:eastAsia="zh-CN"/>
              </w:rPr>
              <w:t xml:space="preserve">IDLE </w:t>
            </w:r>
            <w:r w:rsidRPr="0082197E">
              <w:rPr>
                <w:rFonts w:ascii="Arial" w:hAnsi="Arial" w:cs="Arial"/>
                <w:b/>
                <w:sz w:val="18"/>
                <w:szCs w:val="18"/>
                <w:lang w:eastAsia="zh-CN"/>
              </w:rPr>
              <w:t>cycles)</w:t>
            </w:r>
          </w:p>
        </w:tc>
        <w:tc>
          <w:tcPr>
            <w:tcW w:w="0" w:type="auto"/>
            <w:vMerge w:val="restart"/>
            <w:hideMark/>
          </w:tcPr>
          <w:p w14:paraId="379748CF" w14:textId="77777777" w:rsidR="00791FB3" w:rsidRPr="00AD5C2C" w:rsidRDefault="00791FB3" w:rsidP="00430B21">
            <w:pPr>
              <w:rPr>
                <w:rFonts w:ascii="Arial" w:hAnsi="Arial" w:cs="Arial"/>
                <w:sz w:val="18"/>
                <w:szCs w:val="18"/>
                <w:lang w:val="en-US" w:eastAsia="zh-CN"/>
              </w:rPr>
            </w:pPr>
            <w:r w:rsidRPr="00AD5C2C">
              <w:rPr>
                <w:rFonts w:ascii="Arial" w:hAnsi="Arial" w:cs="Arial"/>
                <w:b/>
                <w:sz w:val="18"/>
                <w:szCs w:val="18"/>
                <w:lang w:val="en-US"/>
              </w:rPr>
              <w:t>T</w:t>
            </w:r>
            <w:r w:rsidRPr="00AD5C2C">
              <w:rPr>
                <w:rFonts w:ascii="Arial" w:hAnsi="Arial" w:cs="Arial"/>
                <w:b/>
                <w:sz w:val="18"/>
                <w:szCs w:val="18"/>
                <w:vertAlign w:val="subscript"/>
                <w:lang w:val="en-US"/>
              </w:rPr>
              <w:t>evaluate,NR_Intra_RedCap</w:t>
            </w:r>
            <w:r>
              <w:rPr>
                <w:rFonts w:ascii="Arial" w:hAnsi="Arial" w:cs="Arial"/>
                <w:b/>
                <w:sz w:val="18"/>
                <w:szCs w:val="18"/>
                <w:vertAlign w:val="subscript"/>
                <w:lang w:val="en-US"/>
              </w:rPr>
              <w:t>_Relax</w:t>
            </w:r>
            <w:r w:rsidRPr="00AD5C2C">
              <w:rPr>
                <w:rFonts w:ascii="Arial" w:hAnsi="Arial" w:cs="Arial"/>
                <w:b/>
                <w:sz w:val="18"/>
                <w:szCs w:val="18"/>
                <w:vertAlign w:val="subscript"/>
                <w:lang w:val="en-US"/>
              </w:rPr>
              <w:t xml:space="preserve"> </w:t>
            </w:r>
            <w:r w:rsidRPr="00AD5C2C">
              <w:rPr>
                <w:rFonts w:ascii="Arial" w:hAnsi="Arial" w:cs="Arial"/>
                <w:b/>
                <w:sz w:val="18"/>
                <w:szCs w:val="18"/>
                <w:lang w:eastAsia="zh-CN"/>
              </w:rPr>
              <w:t xml:space="preserve">[s] (number of </w:t>
            </w:r>
            <w:r>
              <w:rPr>
                <w:rFonts w:ascii="Arial" w:hAnsi="Arial" w:cs="Arial"/>
                <w:b/>
                <w:sz w:val="18"/>
                <w:szCs w:val="18"/>
                <w:lang w:eastAsia="zh-CN"/>
              </w:rPr>
              <w:t>e</w:t>
            </w:r>
            <w:r w:rsidRPr="00AD5C2C">
              <w:rPr>
                <w:rFonts w:ascii="Arial" w:hAnsi="Arial" w:cs="Arial"/>
                <w:b/>
                <w:sz w:val="18"/>
                <w:szCs w:val="18"/>
                <w:lang w:eastAsia="zh-CN"/>
              </w:rPr>
              <w:t xml:space="preserve">DRX </w:t>
            </w:r>
            <w:r>
              <w:rPr>
                <w:rFonts w:ascii="Arial" w:hAnsi="Arial" w:cs="Arial"/>
                <w:b/>
                <w:sz w:val="18"/>
                <w:szCs w:val="18"/>
                <w:lang w:eastAsia="zh-CN"/>
              </w:rPr>
              <w:t xml:space="preserve">IDLE </w:t>
            </w:r>
            <w:r w:rsidRPr="00AD5C2C">
              <w:rPr>
                <w:rFonts w:ascii="Arial" w:hAnsi="Arial" w:cs="Arial"/>
                <w:b/>
                <w:sz w:val="18"/>
                <w:szCs w:val="18"/>
                <w:lang w:eastAsia="zh-CN"/>
              </w:rPr>
              <w:t>cycles)</w:t>
            </w:r>
          </w:p>
        </w:tc>
      </w:tr>
      <w:tr w:rsidR="00791FB3" w:rsidRPr="00AD5C2C" w14:paraId="2723404B" w14:textId="77777777" w:rsidTr="00430B21">
        <w:trPr>
          <w:trHeight w:val="387"/>
        </w:trPr>
        <w:tc>
          <w:tcPr>
            <w:tcW w:w="0" w:type="auto"/>
            <w:vMerge/>
            <w:hideMark/>
          </w:tcPr>
          <w:p w14:paraId="08FCB3D8" w14:textId="77777777" w:rsidR="00791FB3" w:rsidRPr="0082197E" w:rsidRDefault="00791FB3" w:rsidP="00430B21">
            <w:pPr>
              <w:rPr>
                <w:rFonts w:ascii="Arial" w:hAnsi="Arial" w:cs="Arial"/>
                <w:sz w:val="18"/>
                <w:lang w:val="en-US" w:eastAsia="zh-CN"/>
              </w:rPr>
            </w:pPr>
          </w:p>
        </w:tc>
        <w:tc>
          <w:tcPr>
            <w:tcW w:w="0" w:type="auto"/>
            <w:vMerge/>
            <w:hideMark/>
          </w:tcPr>
          <w:p w14:paraId="618C2D9F" w14:textId="77777777" w:rsidR="00791FB3" w:rsidRPr="0082197E" w:rsidRDefault="00791FB3" w:rsidP="00430B21">
            <w:pPr>
              <w:rPr>
                <w:rFonts w:ascii="Arial" w:hAnsi="Arial" w:cs="Arial"/>
                <w:sz w:val="18"/>
                <w:lang w:val="en-US" w:eastAsia="zh-CN"/>
              </w:rPr>
            </w:pPr>
          </w:p>
        </w:tc>
        <w:tc>
          <w:tcPr>
            <w:tcW w:w="0" w:type="auto"/>
            <w:vMerge/>
            <w:hideMark/>
          </w:tcPr>
          <w:p w14:paraId="59BF29E4" w14:textId="77777777" w:rsidR="00791FB3" w:rsidRPr="0082197E" w:rsidRDefault="00791FB3" w:rsidP="00430B21">
            <w:pPr>
              <w:rPr>
                <w:rFonts w:ascii="Arial" w:hAnsi="Arial" w:cs="Arial"/>
                <w:sz w:val="18"/>
                <w:lang w:val="en-US" w:eastAsia="zh-CN"/>
              </w:rPr>
            </w:pPr>
          </w:p>
        </w:tc>
        <w:tc>
          <w:tcPr>
            <w:tcW w:w="0" w:type="auto"/>
            <w:vMerge/>
            <w:hideMark/>
          </w:tcPr>
          <w:p w14:paraId="15B6F6B5" w14:textId="77777777" w:rsidR="00791FB3" w:rsidRPr="00AD5C2C" w:rsidRDefault="00791FB3" w:rsidP="00430B21">
            <w:pPr>
              <w:rPr>
                <w:rFonts w:ascii="Arial" w:hAnsi="Arial" w:cs="Arial"/>
                <w:sz w:val="18"/>
                <w:lang w:val="en-US" w:eastAsia="zh-CN"/>
              </w:rPr>
            </w:pPr>
          </w:p>
        </w:tc>
      </w:tr>
      <w:tr w:rsidR="007A5E1E" w:rsidRPr="00AD5C2C" w14:paraId="3A7C7BD1" w14:textId="77777777" w:rsidTr="00430B21">
        <w:trPr>
          <w:trHeight w:val="336"/>
        </w:trPr>
        <w:tc>
          <w:tcPr>
            <w:tcW w:w="0" w:type="auto"/>
          </w:tcPr>
          <w:p w14:paraId="0E663C1D" w14:textId="19E6F7E1" w:rsidR="007A5E1E" w:rsidRPr="00C23796" w:rsidRDefault="007A5E1E" w:rsidP="007A5E1E">
            <w:pPr>
              <w:pStyle w:val="TAL"/>
              <w:rPr>
                <w:lang w:val="en-US" w:eastAsia="zh-CN"/>
              </w:rPr>
            </w:pPr>
            <w:r w:rsidRPr="00C23796">
              <w:rPr>
                <w:lang w:val="en-US" w:eastAsia="zh-CN"/>
              </w:rPr>
              <w:t>2.56</w:t>
            </w:r>
          </w:p>
        </w:tc>
        <w:tc>
          <w:tcPr>
            <w:tcW w:w="0" w:type="auto"/>
          </w:tcPr>
          <w:p w14:paraId="031CE73A" w14:textId="03F9ACF9" w:rsidR="007A5E1E" w:rsidRPr="00C23796" w:rsidRDefault="007A5E1E" w:rsidP="007A5E1E">
            <w:pPr>
              <w:pStyle w:val="TAL"/>
              <w:rPr>
                <w:lang w:eastAsia="zh-CN"/>
              </w:rPr>
            </w:pPr>
            <w:r w:rsidRPr="00806346">
              <w:rPr>
                <w:lang w:val="sv-SE"/>
              </w:rPr>
              <w:t xml:space="preserve">58.88 x N1 x </w:t>
            </w:r>
            <w:r w:rsidRPr="00806346">
              <w:rPr>
                <w:lang w:val="sv-SE" w:eastAsia="zh-CN"/>
              </w:rPr>
              <w:t>K3</w:t>
            </w:r>
            <w:r w:rsidRPr="00806346">
              <w:rPr>
                <w:lang w:val="sv-SE"/>
              </w:rPr>
              <w:t xml:space="preserve"> (23 x N1 x </w:t>
            </w:r>
            <w:r w:rsidRPr="00806346">
              <w:rPr>
                <w:lang w:val="sv-SE" w:eastAsia="zh-CN"/>
              </w:rPr>
              <w:t>K3</w:t>
            </w:r>
            <w:r w:rsidRPr="00806346">
              <w:rPr>
                <w:lang w:val="sv-SE"/>
              </w:rPr>
              <w:t>)</w:t>
            </w:r>
          </w:p>
        </w:tc>
        <w:tc>
          <w:tcPr>
            <w:tcW w:w="0" w:type="auto"/>
          </w:tcPr>
          <w:p w14:paraId="06DF4283" w14:textId="30925CD5" w:rsidR="007A5E1E" w:rsidRPr="00C23796" w:rsidRDefault="007A5E1E" w:rsidP="007A5E1E">
            <w:pPr>
              <w:pStyle w:val="TAL"/>
              <w:rPr>
                <w:lang w:eastAsia="zh-CN"/>
              </w:rPr>
            </w:pPr>
            <w:r w:rsidRPr="00806346">
              <w:rPr>
                <w:lang w:val="sv-SE"/>
              </w:rPr>
              <w:t xml:space="preserve">2.56 x N1 x </w:t>
            </w:r>
            <w:r w:rsidRPr="00806346">
              <w:rPr>
                <w:lang w:val="sv-SE" w:eastAsia="zh-CN"/>
              </w:rPr>
              <w:t>K3</w:t>
            </w:r>
            <w:r w:rsidRPr="00806346">
              <w:rPr>
                <w:lang w:val="sv-SE"/>
              </w:rPr>
              <w:t xml:space="preserve"> (1 x N1</w:t>
            </w:r>
            <w:r w:rsidRPr="00806346">
              <w:rPr>
                <w:lang w:eastAsia="zh-CN"/>
              </w:rPr>
              <w:t xml:space="preserve"> </w:t>
            </w:r>
            <w:r w:rsidRPr="00806346">
              <w:rPr>
                <w:lang w:val="sv-SE"/>
              </w:rPr>
              <w:t xml:space="preserve">x </w:t>
            </w:r>
            <w:r w:rsidRPr="00806346">
              <w:rPr>
                <w:lang w:val="sv-SE" w:eastAsia="zh-CN"/>
              </w:rPr>
              <w:t>K3</w:t>
            </w:r>
            <w:r w:rsidRPr="00806346">
              <w:rPr>
                <w:lang w:val="sv-SE"/>
              </w:rPr>
              <w:t>)</w:t>
            </w:r>
          </w:p>
        </w:tc>
        <w:tc>
          <w:tcPr>
            <w:tcW w:w="0" w:type="auto"/>
          </w:tcPr>
          <w:p w14:paraId="3E075609" w14:textId="733970DA" w:rsidR="007A5E1E" w:rsidRPr="00C23796" w:rsidRDefault="007A5E1E" w:rsidP="007A5E1E">
            <w:pPr>
              <w:pStyle w:val="TAL"/>
              <w:rPr>
                <w:lang w:eastAsia="zh-CN"/>
              </w:rPr>
            </w:pPr>
            <w:r w:rsidRPr="00806346">
              <w:rPr>
                <w:lang w:val="sv-SE"/>
              </w:rPr>
              <w:t xml:space="preserve">7.68 x N1 x </w:t>
            </w:r>
            <w:r w:rsidRPr="00806346">
              <w:rPr>
                <w:lang w:val="sv-SE" w:eastAsia="zh-CN"/>
              </w:rPr>
              <w:t>K3</w:t>
            </w:r>
            <w:r w:rsidRPr="00806346">
              <w:rPr>
                <w:lang w:val="sv-SE"/>
              </w:rPr>
              <w:t xml:space="preserve"> (3 x N1 x </w:t>
            </w:r>
            <w:r w:rsidRPr="00806346">
              <w:rPr>
                <w:lang w:val="sv-SE" w:eastAsia="zh-CN"/>
              </w:rPr>
              <w:t>K3</w:t>
            </w:r>
            <w:r w:rsidRPr="00806346">
              <w:rPr>
                <w:lang w:val="sv-SE"/>
              </w:rPr>
              <w:t>)</w:t>
            </w:r>
          </w:p>
        </w:tc>
      </w:tr>
      <w:tr w:rsidR="007A5E1E" w:rsidRPr="00AD5C2C" w14:paraId="083F826D" w14:textId="77777777" w:rsidTr="00430B21">
        <w:trPr>
          <w:trHeight w:val="336"/>
        </w:trPr>
        <w:tc>
          <w:tcPr>
            <w:tcW w:w="0" w:type="auto"/>
          </w:tcPr>
          <w:p w14:paraId="54A6C256" w14:textId="2EE74BF2" w:rsidR="007A5E1E" w:rsidRPr="00C23796" w:rsidRDefault="007A5E1E" w:rsidP="007A5E1E">
            <w:pPr>
              <w:pStyle w:val="TAL"/>
              <w:rPr>
                <w:lang w:eastAsia="zh-CN"/>
              </w:rPr>
            </w:pPr>
            <w:r w:rsidRPr="00C23796">
              <w:rPr>
                <w:lang w:eastAsia="zh-CN"/>
              </w:rPr>
              <w:t>5.12</w:t>
            </w:r>
          </w:p>
        </w:tc>
        <w:tc>
          <w:tcPr>
            <w:tcW w:w="0" w:type="auto"/>
          </w:tcPr>
          <w:p w14:paraId="1C7A4D0A" w14:textId="4E9648D3" w:rsidR="007A5E1E" w:rsidRPr="00C23796" w:rsidRDefault="007A5E1E" w:rsidP="007A5E1E">
            <w:pPr>
              <w:pStyle w:val="TAL"/>
              <w:rPr>
                <w:lang w:eastAsia="zh-CN"/>
              </w:rPr>
            </w:pPr>
            <w:r w:rsidRPr="006F2E0A">
              <w:rPr>
                <w:lang w:eastAsia="zh-CN"/>
              </w:rPr>
              <w:t>117.76</w:t>
            </w:r>
            <w:r w:rsidRPr="00806346">
              <w:rPr>
                <w:lang w:val="sv-SE"/>
              </w:rPr>
              <w:t xml:space="preserve"> x N1</w:t>
            </w:r>
            <w:r w:rsidRPr="00806346">
              <w:rPr>
                <w:lang w:eastAsia="zh-CN"/>
              </w:rPr>
              <w:t xml:space="preserve"> x K3</w:t>
            </w:r>
            <w:r w:rsidRPr="00C23796">
              <w:rPr>
                <w:lang w:eastAsia="zh-CN"/>
              </w:rPr>
              <w:t xml:space="preserve"> (23</w:t>
            </w:r>
            <w:r w:rsidRPr="00806346">
              <w:rPr>
                <w:lang w:val="sv-SE"/>
              </w:rPr>
              <w:t xml:space="preserve"> x N1</w:t>
            </w:r>
            <w:r w:rsidRPr="00806346">
              <w:rPr>
                <w:lang w:eastAsia="zh-CN"/>
              </w:rPr>
              <w:t xml:space="preserve"> x K3</w:t>
            </w:r>
            <w:r w:rsidRPr="00C23796">
              <w:rPr>
                <w:lang w:eastAsia="zh-CN"/>
              </w:rPr>
              <w:t>)</w:t>
            </w:r>
          </w:p>
        </w:tc>
        <w:tc>
          <w:tcPr>
            <w:tcW w:w="0" w:type="auto"/>
          </w:tcPr>
          <w:p w14:paraId="1AEA2C69" w14:textId="71F06272" w:rsidR="007A5E1E" w:rsidRPr="00C23796" w:rsidRDefault="007A5E1E" w:rsidP="007A5E1E">
            <w:pPr>
              <w:pStyle w:val="TAL"/>
              <w:rPr>
                <w:lang w:eastAsia="zh-CN"/>
              </w:rPr>
            </w:pPr>
            <w:r w:rsidRPr="006F2E0A">
              <w:rPr>
                <w:lang w:eastAsia="zh-CN"/>
              </w:rPr>
              <w:t>5.12</w:t>
            </w:r>
            <w:r w:rsidRPr="00806346">
              <w:rPr>
                <w:lang w:val="sv-SE"/>
              </w:rPr>
              <w:t xml:space="preserve"> x N1</w:t>
            </w:r>
            <w:r w:rsidRPr="00806346">
              <w:rPr>
                <w:lang w:eastAsia="zh-CN"/>
              </w:rPr>
              <w:t xml:space="preserve"> x K3</w:t>
            </w:r>
            <w:r w:rsidRPr="00C23796">
              <w:rPr>
                <w:lang w:eastAsia="zh-CN"/>
              </w:rPr>
              <w:t xml:space="preserve"> (1</w:t>
            </w:r>
            <w:r w:rsidRPr="00806346">
              <w:rPr>
                <w:lang w:val="sv-SE"/>
              </w:rPr>
              <w:t xml:space="preserve"> x N1</w:t>
            </w:r>
            <w:r w:rsidRPr="00806346">
              <w:rPr>
                <w:lang w:eastAsia="zh-CN"/>
              </w:rPr>
              <w:t xml:space="preserve"> x K3</w:t>
            </w:r>
            <w:r w:rsidRPr="00C23796">
              <w:rPr>
                <w:lang w:eastAsia="zh-CN"/>
              </w:rPr>
              <w:t>)</w:t>
            </w:r>
          </w:p>
        </w:tc>
        <w:tc>
          <w:tcPr>
            <w:tcW w:w="0" w:type="auto"/>
          </w:tcPr>
          <w:p w14:paraId="24B67F54" w14:textId="7522365B" w:rsidR="007A5E1E" w:rsidRPr="00C23796" w:rsidRDefault="007A5E1E" w:rsidP="007A5E1E">
            <w:pPr>
              <w:pStyle w:val="TAL"/>
              <w:rPr>
                <w:lang w:eastAsia="zh-CN"/>
              </w:rPr>
            </w:pPr>
            <w:r w:rsidRPr="006F2E0A">
              <w:rPr>
                <w:lang w:eastAsia="zh-CN"/>
              </w:rPr>
              <w:t>10.24</w:t>
            </w:r>
            <w:r w:rsidRPr="00806346">
              <w:rPr>
                <w:lang w:val="sv-SE"/>
              </w:rPr>
              <w:t xml:space="preserve"> x N1</w:t>
            </w:r>
            <w:r w:rsidRPr="00806346">
              <w:rPr>
                <w:lang w:eastAsia="zh-CN"/>
              </w:rPr>
              <w:t xml:space="preserve"> x K3</w:t>
            </w:r>
            <w:r w:rsidRPr="00C23796">
              <w:rPr>
                <w:lang w:eastAsia="zh-CN"/>
              </w:rPr>
              <w:t xml:space="preserve"> (2</w:t>
            </w:r>
            <w:r w:rsidRPr="00806346">
              <w:rPr>
                <w:lang w:val="sv-SE"/>
              </w:rPr>
              <w:t xml:space="preserve"> x N1</w:t>
            </w:r>
            <w:r w:rsidRPr="00806346">
              <w:rPr>
                <w:lang w:eastAsia="zh-CN"/>
              </w:rPr>
              <w:t xml:space="preserve"> x K3</w:t>
            </w:r>
            <w:r w:rsidRPr="00C23796">
              <w:rPr>
                <w:lang w:eastAsia="zh-CN"/>
              </w:rPr>
              <w:t>)</w:t>
            </w:r>
          </w:p>
        </w:tc>
      </w:tr>
      <w:tr w:rsidR="007A5E1E" w:rsidRPr="00AD5C2C" w14:paraId="09012379" w14:textId="77777777" w:rsidTr="00430B21">
        <w:trPr>
          <w:trHeight w:val="336"/>
        </w:trPr>
        <w:tc>
          <w:tcPr>
            <w:tcW w:w="0" w:type="auto"/>
          </w:tcPr>
          <w:p w14:paraId="077B38F6" w14:textId="675DCAF3" w:rsidR="007A5E1E" w:rsidRPr="00C23796" w:rsidRDefault="007A5E1E" w:rsidP="007A5E1E">
            <w:pPr>
              <w:pStyle w:val="TAL"/>
              <w:rPr>
                <w:lang w:eastAsia="zh-CN"/>
              </w:rPr>
            </w:pPr>
            <w:r w:rsidRPr="00C23796">
              <w:rPr>
                <w:lang w:eastAsia="zh-CN"/>
              </w:rPr>
              <w:t>10.24</w:t>
            </w:r>
          </w:p>
        </w:tc>
        <w:tc>
          <w:tcPr>
            <w:tcW w:w="0" w:type="auto"/>
          </w:tcPr>
          <w:p w14:paraId="1D44F309" w14:textId="6CE80F9F" w:rsidR="007A5E1E" w:rsidRPr="00C23796" w:rsidRDefault="007A5E1E" w:rsidP="007A5E1E">
            <w:pPr>
              <w:pStyle w:val="TAL"/>
              <w:rPr>
                <w:lang w:eastAsia="zh-CN"/>
              </w:rPr>
            </w:pPr>
            <w:r w:rsidRPr="006F2E0A">
              <w:rPr>
                <w:lang w:eastAsia="zh-CN"/>
              </w:rPr>
              <w:t>235.52</w:t>
            </w:r>
            <w:r w:rsidRPr="00806346">
              <w:rPr>
                <w:lang w:val="sv-SE"/>
              </w:rPr>
              <w:t xml:space="preserve"> x N1</w:t>
            </w:r>
            <w:r w:rsidRPr="00806346">
              <w:rPr>
                <w:lang w:eastAsia="zh-CN"/>
              </w:rPr>
              <w:t xml:space="preserve"> x K3</w:t>
            </w:r>
            <w:r w:rsidRPr="00C23796">
              <w:rPr>
                <w:lang w:eastAsia="zh-CN"/>
              </w:rPr>
              <w:t xml:space="preserve"> (23</w:t>
            </w:r>
            <w:r w:rsidRPr="00806346">
              <w:rPr>
                <w:lang w:val="sv-SE"/>
              </w:rPr>
              <w:t xml:space="preserve"> x N1</w:t>
            </w:r>
            <w:r w:rsidRPr="00806346">
              <w:rPr>
                <w:lang w:eastAsia="zh-CN"/>
              </w:rPr>
              <w:t xml:space="preserve"> x K3</w:t>
            </w:r>
            <w:r w:rsidRPr="00C23796">
              <w:rPr>
                <w:lang w:eastAsia="zh-CN"/>
              </w:rPr>
              <w:t>)</w:t>
            </w:r>
          </w:p>
        </w:tc>
        <w:tc>
          <w:tcPr>
            <w:tcW w:w="0" w:type="auto"/>
          </w:tcPr>
          <w:p w14:paraId="792C668D" w14:textId="7522A3CA" w:rsidR="007A5E1E" w:rsidRPr="00C23796" w:rsidRDefault="007A5E1E" w:rsidP="007A5E1E">
            <w:pPr>
              <w:pStyle w:val="TAL"/>
              <w:rPr>
                <w:lang w:eastAsia="zh-CN"/>
              </w:rPr>
            </w:pPr>
            <w:r w:rsidRPr="006F2E0A">
              <w:rPr>
                <w:lang w:eastAsia="zh-CN"/>
              </w:rPr>
              <w:t>10.24</w:t>
            </w:r>
            <w:r w:rsidRPr="00806346">
              <w:rPr>
                <w:lang w:val="sv-SE"/>
              </w:rPr>
              <w:t xml:space="preserve"> x N1</w:t>
            </w:r>
            <w:r w:rsidRPr="00806346">
              <w:rPr>
                <w:lang w:eastAsia="zh-CN"/>
              </w:rPr>
              <w:t xml:space="preserve"> x K3</w:t>
            </w:r>
            <w:r w:rsidRPr="00C23796">
              <w:rPr>
                <w:lang w:eastAsia="zh-CN"/>
              </w:rPr>
              <w:t xml:space="preserve"> (1</w:t>
            </w:r>
            <w:r w:rsidRPr="00806346">
              <w:rPr>
                <w:lang w:val="sv-SE"/>
              </w:rPr>
              <w:t xml:space="preserve"> x N1</w:t>
            </w:r>
            <w:r w:rsidRPr="00806346">
              <w:rPr>
                <w:lang w:eastAsia="zh-CN"/>
              </w:rPr>
              <w:t xml:space="preserve"> x K3</w:t>
            </w:r>
            <w:r w:rsidRPr="00C23796">
              <w:rPr>
                <w:lang w:eastAsia="zh-CN"/>
              </w:rPr>
              <w:t>)</w:t>
            </w:r>
          </w:p>
        </w:tc>
        <w:tc>
          <w:tcPr>
            <w:tcW w:w="0" w:type="auto"/>
          </w:tcPr>
          <w:p w14:paraId="37671799" w14:textId="09ABA5F8" w:rsidR="007A5E1E" w:rsidRPr="00C23796" w:rsidRDefault="007A5E1E" w:rsidP="007A5E1E">
            <w:pPr>
              <w:pStyle w:val="TAL"/>
              <w:rPr>
                <w:lang w:eastAsia="zh-CN"/>
              </w:rPr>
            </w:pPr>
            <w:r w:rsidRPr="006F2E0A">
              <w:rPr>
                <w:lang w:eastAsia="zh-CN"/>
              </w:rPr>
              <w:t>20.48</w:t>
            </w:r>
            <w:r w:rsidRPr="00806346">
              <w:rPr>
                <w:lang w:val="sv-SE"/>
              </w:rPr>
              <w:t xml:space="preserve"> x N1</w:t>
            </w:r>
            <w:r w:rsidRPr="00806346">
              <w:rPr>
                <w:lang w:eastAsia="zh-CN"/>
              </w:rPr>
              <w:t xml:space="preserve"> x K3</w:t>
            </w:r>
            <w:r w:rsidRPr="00C23796">
              <w:rPr>
                <w:lang w:eastAsia="zh-CN"/>
              </w:rPr>
              <w:t xml:space="preserve"> (2</w:t>
            </w:r>
            <w:r w:rsidRPr="00806346">
              <w:rPr>
                <w:lang w:val="sv-SE"/>
              </w:rPr>
              <w:t xml:space="preserve"> x N1</w:t>
            </w:r>
            <w:r w:rsidRPr="00806346">
              <w:rPr>
                <w:lang w:eastAsia="zh-CN"/>
              </w:rPr>
              <w:t xml:space="preserve"> x K3</w:t>
            </w:r>
            <w:r w:rsidRPr="00C23796">
              <w:rPr>
                <w:lang w:eastAsia="zh-CN"/>
              </w:rPr>
              <w:t>)</w:t>
            </w:r>
          </w:p>
        </w:tc>
      </w:tr>
      <w:tr w:rsidR="00791FB3" w:rsidRPr="00B11B68" w14:paraId="10901A25" w14:textId="77777777" w:rsidTr="00430B21">
        <w:trPr>
          <w:trHeight w:val="336"/>
        </w:trPr>
        <w:tc>
          <w:tcPr>
            <w:tcW w:w="0" w:type="auto"/>
            <w:gridSpan w:val="4"/>
          </w:tcPr>
          <w:p w14:paraId="52FC064F" w14:textId="77777777" w:rsidR="007A5E1E" w:rsidRDefault="007A5E1E" w:rsidP="007A5E1E">
            <w:pPr>
              <w:pStyle w:val="TAN"/>
              <w:rPr>
                <w:rFonts w:cs="Arial"/>
                <w:snapToGrid w:val="0"/>
                <w:szCs w:val="18"/>
                <w:lang w:eastAsia="zh-CN"/>
              </w:rPr>
            </w:pPr>
            <w:r w:rsidRPr="00C23796">
              <w:rPr>
                <w:rFonts w:cs="Arial"/>
                <w:snapToGrid w:val="0"/>
                <w:szCs w:val="18"/>
                <w:lang w:eastAsia="zh-CN"/>
              </w:rPr>
              <w:t>Note 1:</w:t>
            </w:r>
            <w:r w:rsidRPr="00C23796">
              <w:rPr>
                <w:rFonts w:cs="Arial"/>
                <w:snapToGrid w:val="0"/>
                <w:szCs w:val="18"/>
                <w:lang w:eastAsia="zh-CN"/>
              </w:rPr>
              <w:tab/>
              <w:t xml:space="preserve">K3 = 6 is the measurement relaxation factor applicable for UE fulfilling the </w:t>
            </w:r>
            <w:r w:rsidRPr="008A7648">
              <w:rPr>
                <w:rFonts w:cs="Arial"/>
                <w:i/>
                <w:iCs/>
                <w:snapToGrid w:val="0"/>
                <w:szCs w:val="18"/>
                <w:lang w:eastAsia="zh-CN"/>
              </w:rPr>
              <w:t>stationaryMobilityEvaluation</w:t>
            </w:r>
            <w:r w:rsidRPr="00C23796">
              <w:rPr>
                <w:rFonts w:cs="Arial"/>
                <w:snapToGrid w:val="0"/>
                <w:szCs w:val="18"/>
                <w:lang w:eastAsia="zh-CN"/>
              </w:rPr>
              <w:t xml:space="preserve"> [2] criterion.</w:t>
            </w:r>
          </w:p>
          <w:p w14:paraId="0BBA9919" w14:textId="503316BC" w:rsidR="00791FB3" w:rsidRPr="00693810" w:rsidRDefault="00791FB3" w:rsidP="00430B21">
            <w:pPr>
              <w:pStyle w:val="TAN"/>
              <w:rPr>
                <w:rFonts w:cs="Arial"/>
                <w:szCs w:val="18"/>
                <w:lang w:eastAsia="zh-CN"/>
              </w:rPr>
            </w:pPr>
          </w:p>
        </w:tc>
      </w:tr>
    </w:tbl>
    <w:p w14:paraId="0347AA8D" w14:textId="77777777" w:rsidR="00791FB3" w:rsidRDefault="00791FB3" w:rsidP="00791FB3">
      <w:pPr>
        <w:rPr>
          <w:noProof/>
        </w:rPr>
      </w:pPr>
    </w:p>
    <w:p w14:paraId="3F915131" w14:textId="77777777" w:rsidR="001E1993" w:rsidRPr="00AD5C2C" w:rsidRDefault="001E1993" w:rsidP="001E1993">
      <w:pPr>
        <w:pStyle w:val="TH"/>
        <w:rPr>
          <w:lang w:val="en-US"/>
        </w:rPr>
      </w:pPr>
      <w:r w:rsidRPr="0082197E">
        <w:rPr>
          <w:lang w:val="en-US"/>
        </w:rPr>
        <w:t>Table 4.2B.2.9.2-</w:t>
      </w:r>
      <w:r>
        <w:rPr>
          <w:lang w:val="en-US"/>
        </w:rPr>
        <w:t>5</w:t>
      </w:r>
      <w:r w:rsidRPr="0082197E">
        <w:rPr>
          <w:lang w:val="en-US"/>
        </w:rPr>
        <w:t>:</w:t>
      </w:r>
      <w:r w:rsidRPr="00AD5C2C">
        <w:rPr>
          <w:lang w:val="en-US"/>
        </w:rPr>
        <w:t xml:space="preserve"> T</w:t>
      </w:r>
      <w:r w:rsidRPr="00AD5C2C">
        <w:rPr>
          <w:vertAlign w:val="subscript"/>
          <w:lang w:val="en-US"/>
        </w:rPr>
        <w:t>detect,NR_Intra_RedCap</w:t>
      </w:r>
      <w:r>
        <w:rPr>
          <w:vertAlign w:val="subscript"/>
          <w:lang w:val="en-US"/>
        </w:rPr>
        <w:t>_Relax</w:t>
      </w:r>
      <w:r w:rsidRPr="00AD5C2C">
        <w:rPr>
          <w:lang w:val="en-US"/>
        </w:rPr>
        <w:t>, T</w:t>
      </w:r>
      <w:r w:rsidRPr="00AD5C2C">
        <w:rPr>
          <w:vertAlign w:val="subscript"/>
          <w:lang w:val="en-US"/>
        </w:rPr>
        <w:t>measure,NR_Intra_RedCap</w:t>
      </w:r>
      <w:r>
        <w:rPr>
          <w:vertAlign w:val="subscript"/>
          <w:lang w:val="en-US"/>
        </w:rPr>
        <w:t>_Relax</w:t>
      </w:r>
      <w:r w:rsidRPr="00AD5C2C">
        <w:rPr>
          <w:lang w:val="en-US"/>
        </w:rPr>
        <w:t xml:space="preserve"> and T</w:t>
      </w:r>
      <w:r w:rsidRPr="00AD5C2C">
        <w:rPr>
          <w:vertAlign w:val="subscript"/>
          <w:lang w:val="en-US"/>
        </w:rPr>
        <w:t>evaluate,NR_Intra_RedCap</w:t>
      </w:r>
      <w:r>
        <w:rPr>
          <w:vertAlign w:val="subscript"/>
          <w:lang w:val="en-US"/>
        </w:rPr>
        <w:t>_Relax</w:t>
      </w:r>
      <w:r w:rsidRPr="00AD5C2C">
        <w:rPr>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718"/>
        <w:gridCol w:w="885"/>
        <w:gridCol w:w="2670"/>
        <w:gridCol w:w="2116"/>
        <w:gridCol w:w="2103"/>
      </w:tblGrid>
      <w:tr w:rsidR="001E1993" w:rsidRPr="00B85562" w14:paraId="5691DDBD" w14:textId="77777777" w:rsidTr="005145F6">
        <w:trPr>
          <w:trHeight w:val="1692"/>
        </w:trPr>
        <w:tc>
          <w:tcPr>
            <w:tcW w:w="1198" w:type="dxa"/>
            <w:hideMark/>
          </w:tcPr>
          <w:p w14:paraId="44E4AA07" w14:textId="77777777" w:rsidR="001E1993" w:rsidRPr="00B11B68" w:rsidRDefault="001E1993" w:rsidP="005145F6">
            <w:pPr>
              <w:rPr>
                <w:rFonts w:ascii="Arial" w:hAnsi="Arial" w:cs="Arial"/>
                <w:sz w:val="18"/>
                <w:lang w:val="en-US" w:eastAsia="zh-CN"/>
              </w:rPr>
            </w:pPr>
            <w:r w:rsidRPr="00B11B68">
              <w:rPr>
                <w:rFonts w:ascii="Arial" w:hAnsi="Arial" w:cs="Arial"/>
                <w:b/>
                <w:sz w:val="18"/>
                <w:lang w:eastAsia="zh-CN"/>
              </w:rPr>
              <w:t>eDRX_IDLE cycle length [s]</w:t>
            </w:r>
          </w:p>
        </w:tc>
        <w:tc>
          <w:tcPr>
            <w:tcW w:w="751" w:type="dxa"/>
            <w:hideMark/>
          </w:tcPr>
          <w:p w14:paraId="135BB798" w14:textId="77777777" w:rsidR="001E1993" w:rsidRPr="00B11B68" w:rsidRDefault="001E1993" w:rsidP="005145F6">
            <w:pPr>
              <w:rPr>
                <w:rFonts w:ascii="Arial" w:hAnsi="Arial" w:cs="Arial"/>
                <w:sz w:val="18"/>
                <w:lang w:val="en-US" w:eastAsia="zh-CN"/>
              </w:rPr>
            </w:pPr>
            <w:r w:rsidRPr="00B11B68">
              <w:rPr>
                <w:rFonts w:ascii="Arial" w:hAnsi="Arial" w:cs="Arial"/>
                <w:b/>
                <w:sz w:val="18"/>
                <w:lang w:eastAsia="zh-CN"/>
              </w:rPr>
              <w:t>DRX cycle length [s]</w:t>
            </w:r>
          </w:p>
        </w:tc>
        <w:tc>
          <w:tcPr>
            <w:tcW w:w="930" w:type="dxa"/>
            <w:hideMark/>
          </w:tcPr>
          <w:p w14:paraId="409F0F05" w14:textId="77777777" w:rsidR="001E1993" w:rsidRPr="00B11B68" w:rsidRDefault="001E1993" w:rsidP="005145F6">
            <w:pPr>
              <w:rPr>
                <w:rFonts w:ascii="Arial" w:hAnsi="Arial" w:cs="Arial"/>
                <w:sz w:val="18"/>
                <w:lang w:val="en-US" w:eastAsia="zh-CN"/>
              </w:rPr>
            </w:pPr>
            <w:r w:rsidRPr="00B11B68">
              <w:rPr>
                <w:rFonts w:ascii="Arial" w:hAnsi="Arial" w:cs="Arial"/>
                <w:b/>
                <w:sz w:val="18"/>
                <w:lang w:eastAsia="zh-CN"/>
              </w:rPr>
              <w:t>PTW length [s] (number of 1.28s periods)</w:t>
            </w:r>
          </w:p>
        </w:tc>
        <w:tc>
          <w:tcPr>
            <w:tcW w:w="2431" w:type="dxa"/>
            <w:hideMark/>
          </w:tcPr>
          <w:p w14:paraId="311013A0" w14:textId="77777777" w:rsidR="001E1993" w:rsidRPr="00B11B68" w:rsidRDefault="001E1993" w:rsidP="005145F6">
            <w:pPr>
              <w:rPr>
                <w:rFonts w:ascii="Arial" w:hAnsi="Arial" w:cs="Arial"/>
                <w:sz w:val="18"/>
                <w:szCs w:val="18"/>
                <w:lang w:val="en-US" w:eastAsia="zh-CN"/>
              </w:rPr>
            </w:pPr>
            <w:r w:rsidRPr="00B11B68">
              <w:rPr>
                <w:rFonts w:ascii="Arial" w:hAnsi="Arial" w:cs="Arial"/>
                <w:b/>
                <w:sz w:val="18"/>
                <w:szCs w:val="18"/>
                <w:lang w:val="en-US"/>
              </w:rPr>
              <w:t>T</w:t>
            </w:r>
            <w:r w:rsidRPr="00B11B68">
              <w:rPr>
                <w:rFonts w:ascii="Arial" w:hAnsi="Arial" w:cs="Arial"/>
                <w:b/>
                <w:sz w:val="18"/>
                <w:szCs w:val="18"/>
                <w:vertAlign w:val="subscript"/>
                <w:lang w:val="en-US"/>
              </w:rPr>
              <w:t>detect,NR_Intra_RedCap</w:t>
            </w:r>
            <w:r>
              <w:rPr>
                <w:rFonts w:ascii="Arial" w:hAnsi="Arial" w:cs="Arial"/>
                <w:b/>
                <w:sz w:val="18"/>
                <w:szCs w:val="18"/>
                <w:vertAlign w:val="subscript"/>
                <w:lang w:val="en-US"/>
              </w:rPr>
              <w:t>_Relax</w:t>
            </w:r>
            <w:r w:rsidRPr="00963536">
              <w:rPr>
                <w:rFonts w:ascii="Arial" w:hAnsi="Arial" w:cs="Arial"/>
                <w:b/>
                <w:sz w:val="18"/>
                <w:szCs w:val="18"/>
                <w:lang w:eastAsia="zh-CN"/>
              </w:rPr>
              <w:t xml:space="preserve"> </w:t>
            </w:r>
            <w:r w:rsidRPr="00B11B68">
              <w:rPr>
                <w:rFonts w:ascii="Arial" w:hAnsi="Arial" w:cs="Arial"/>
                <w:b/>
                <w:sz w:val="18"/>
                <w:szCs w:val="18"/>
                <w:lang w:eastAsia="zh-CN"/>
              </w:rPr>
              <w:t>[s] (number of DRX cycles</w:t>
            </w:r>
            <w:r>
              <w:rPr>
                <w:rFonts w:ascii="Arial" w:hAnsi="Arial" w:cs="Arial"/>
                <w:b/>
                <w:sz w:val="18"/>
                <w:szCs w:val="18"/>
                <w:lang w:eastAsia="zh-CN"/>
              </w:rPr>
              <w:t xml:space="preserve"> or eDRX cycles </w:t>
            </w:r>
            <w:r w:rsidRPr="00340961">
              <w:rPr>
                <w:rFonts w:ascii="Arial" w:hAnsi="Arial" w:cs="Arial"/>
                <w:b/>
                <w:sz w:val="18"/>
                <w:szCs w:val="18"/>
                <w:vertAlign w:val="superscript"/>
                <w:lang w:eastAsia="zh-CN"/>
              </w:rPr>
              <w:t>Note 3</w:t>
            </w:r>
            <w:r w:rsidRPr="00B11B68">
              <w:rPr>
                <w:rFonts w:ascii="Arial" w:hAnsi="Arial" w:cs="Arial"/>
                <w:b/>
                <w:sz w:val="18"/>
                <w:szCs w:val="18"/>
                <w:lang w:eastAsia="zh-CN"/>
              </w:rPr>
              <w:t>)</w:t>
            </w:r>
          </w:p>
        </w:tc>
        <w:tc>
          <w:tcPr>
            <w:tcW w:w="1860" w:type="dxa"/>
            <w:hideMark/>
          </w:tcPr>
          <w:p w14:paraId="50CDAEAD" w14:textId="77777777" w:rsidR="001E1993" w:rsidRPr="00B11B68" w:rsidRDefault="001E1993" w:rsidP="005145F6">
            <w:pPr>
              <w:rPr>
                <w:rFonts w:ascii="Arial" w:hAnsi="Arial" w:cs="Arial"/>
                <w:sz w:val="18"/>
                <w:szCs w:val="18"/>
                <w:lang w:val="en-US" w:eastAsia="zh-CN"/>
              </w:rPr>
            </w:pPr>
            <w:r w:rsidRPr="00B11B68">
              <w:rPr>
                <w:rFonts w:ascii="Arial" w:hAnsi="Arial" w:cs="Arial"/>
                <w:b/>
                <w:sz w:val="18"/>
                <w:szCs w:val="18"/>
                <w:lang w:val="en-US"/>
              </w:rPr>
              <w:t>T</w:t>
            </w:r>
            <w:r w:rsidRPr="00B11B68">
              <w:rPr>
                <w:rFonts w:ascii="Arial" w:hAnsi="Arial" w:cs="Arial"/>
                <w:b/>
                <w:sz w:val="18"/>
                <w:szCs w:val="18"/>
                <w:vertAlign w:val="subscript"/>
                <w:lang w:val="en-US"/>
              </w:rPr>
              <w:t>measure,NR_Intra_RedCap</w:t>
            </w:r>
            <w:r>
              <w:rPr>
                <w:rFonts w:ascii="Arial" w:hAnsi="Arial" w:cs="Arial"/>
                <w:b/>
                <w:sz w:val="18"/>
                <w:szCs w:val="18"/>
                <w:vertAlign w:val="subscript"/>
                <w:lang w:val="en-US"/>
              </w:rPr>
              <w:t>_Relax</w:t>
            </w:r>
            <w:r w:rsidRPr="00B11B68">
              <w:rPr>
                <w:rFonts w:ascii="Arial" w:hAnsi="Arial" w:cs="Arial"/>
                <w:b/>
                <w:sz w:val="18"/>
                <w:szCs w:val="18"/>
                <w:lang w:val="en-US"/>
              </w:rPr>
              <w:t xml:space="preserve"> </w:t>
            </w:r>
            <w:r w:rsidRPr="00B11B68">
              <w:rPr>
                <w:rFonts w:ascii="Arial" w:hAnsi="Arial" w:cs="Arial"/>
                <w:b/>
                <w:sz w:val="18"/>
                <w:szCs w:val="18"/>
                <w:lang w:eastAsia="zh-CN"/>
              </w:rPr>
              <w:t>[s] (number of DRX cycles</w:t>
            </w:r>
            <w:r>
              <w:rPr>
                <w:rFonts w:ascii="Arial" w:hAnsi="Arial" w:cs="Arial"/>
                <w:b/>
                <w:sz w:val="18"/>
                <w:szCs w:val="18"/>
                <w:lang w:eastAsia="zh-CN"/>
              </w:rPr>
              <w:t xml:space="preserve"> or eDRX cycles </w:t>
            </w:r>
            <w:r w:rsidRPr="00340961">
              <w:rPr>
                <w:rFonts w:ascii="Arial" w:hAnsi="Arial" w:cs="Arial"/>
                <w:b/>
                <w:sz w:val="18"/>
                <w:szCs w:val="18"/>
                <w:vertAlign w:val="superscript"/>
                <w:lang w:eastAsia="zh-CN"/>
              </w:rPr>
              <w:t>Note 3</w:t>
            </w:r>
            <w:r w:rsidRPr="00B11B68">
              <w:rPr>
                <w:rFonts w:ascii="Arial" w:hAnsi="Arial" w:cs="Arial"/>
                <w:b/>
                <w:sz w:val="18"/>
                <w:szCs w:val="18"/>
                <w:lang w:eastAsia="zh-CN"/>
              </w:rPr>
              <w:t>)</w:t>
            </w:r>
          </w:p>
        </w:tc>
        <w:tc>
          <w:tcPr>
            <w:tcW w:w="1846" w:type="dxa"/>
          </w:tcPr>
          <w:p w14:paraId="7DB2FC9C" w14:textId="77777777" w:rsidR="001E1993" w:rsidRPr="00B11B68" w:rsidRDefault="001E1993" w:rsidP="005145F6">
            <w:pPr>
              <w:rPr>
                <w:rFonts w:ascii="Arial" w:hAnsi="Arial" w:cs="Arial"/>
                <w:b/>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evaluate,NR_Intra_RedCap</w:t>
            </w:r>
            <w:r>
              <w:rPr>
                <w:rFonts w:ascii="Arial" w:hAnsi="Arial" w:cs="Arial"/>
                <w:b/>
                <w:sz w:val="18"/>
                <w:szCs w:val="18"/>
                <w:vertAlign w:val="subscript"/>
                <w:lang w:val="en-US"/>
              </w:rPr>
              <w:t>_Relax</w:t>
            </w:r>
            <w:r w:rsidRPr="00B11B68">
              <w:rPr>
                <w:rFonts w:ascii="Arial" w:hAnsi="Arial" w:cs="Arial"/>
                <w:b/>
                <w:sz w:val="18"/>
                <w:szCs w:val="18"/>
                <w:vertAlign w:val="subscript"/>
                <w:lang w:val="en-US"/>
              </w:rPr>
              <w:t xml:space="preserve"> </w:t>
            </w:r>
            <w:r w:rsidRPr="00B11B68">
              <w:rPr>
                <w:rFonts w:ascii="Arial" w:hAnsi="Arial" w:cs="Arial"/>
                <w:b/>
                <w:sz w:val="18"/>
                <w:szCs w:val="18"/>
                <w:lang w:eastAsia="zh-CN"/>
              </w:rPr>
              <w:t>[s] (number of DRX cycles</w:t>
            </w:r>
            <w:r>
              <w:rPr>
                <w:rFonts w:ascii="Arial" w:hAnsi="Arial" w:cs="Arial"/>
                <w:b/>
                <w:sz w:val="18"/>
                <w:szCs w:val="18"/>
                <w:lang w:eastAsia="zh-CN"/>
              </w:rPr>
              <w:t xml:space="preserve"> or eDRX cycles </w:t>
            </w:r>
            <w:r w:rsidRPr="00340961">
              <w:rPr>
                <w:rFonts w:ascii="Arial" w:hAnsi="Arial" w:cs="Arial"/>
                <w:b/>
                <w:sz w:val="18"/>
                <w:szCs w:val="18"/>
                <w:vertAlign w:val="superscript"/>
                <w:lang w:eastAsia="zh-CN"/>
              </w:rPr>
              <w:t>Note 3</w:t>
            </w:r>
            <w:r w:rsidRPr="00B11B68">
              <w:rPr>
                <w:rFonts w:ascii="Arial" w:hAnsi="Arial" w:cs="Arial"/>
                <w:b/>
                <w:sz w:val="18"/>
                <w:szCs w:val="18"/>
                <w:lang w:eastAsia="zh-CN"/>
              </w:rPr>
              <w:t>)</w:t>
            </w:r>
          </w:p>
        </w:tc>
      </w:tr>
      <w:tr w:rsidR="001E1993" w:rsidRPr="00B85562" w14:paraId="0B501724" w14:textId="77777777" w:rsidTr="005145F6">
        <w:trPr>
          <w:trHeight w:val="673"/>
        </w:trPr>
        <w:tc>
          <w:tcPr>
            <w:tcW w:w="1198" w:type="dxa"/>
            <w:vMerge w:val="restart"/>
            <w:hideMark/>
          </w:tcPr>
          <w:p w14:paraId="34F4793F" w14:textId="64CE3D70" w:rsidR="001E1993" w:rsidRPr="00B11B68" w:rsidRDefault="001E1993" w:rsidP="005145F6">
            <w:pPr>
              <w:rPr>
                <w:rFonts w:ascii="Arial" w:hAnsi="Arial" w:cs="Arial"/>
                <w:sz w:val="18"/>
                <w:lang w:val="en-US" w:eastAsia="zh-CN"/>
              </w:rPr>
            </w:pPr>
            <w:r w:rsidRPr="00B11B68">
              <w:rPr>
                <w:rFonts w:ascii="Arial" w:hAnsi="Arial" w:cs="Arial"/>
                <w:sz w:val="18"/>
                <w:lang w:eastAsia="zh-CN"/>
              </w:rPr>
              <w:t>20.48 ≤</w:t>
            </w:r>
            <w:r w:rsidRPr="00CA7017">
              <w:rPr>
                <w:rFonts w:cs="Arial"/>
              </w:rPr>
              <w:t xml:space="preserve"> </w:t>
            </w:r>
            <w:r w:rsidRPr="00B11B68">
              <w:rPr>
                <w:rFonts w:ascii="Arial" w:hAnsi="Arial" w:cs="Arial"/>
                <w:sz w:val="18"/>
                <w:lang w:eastAsia="zh-CN"/>
              </w:rPr>
              <w:t xml:space="preserve"> eDRX_IDLE cycle length ≤</w:t>
            </w:r>
            <w:r>
              <w:rPr>
                <w:rFonts w:ascii="Arial" w:hAnsi="Arial" w:cs="Arial"/>
                <w:sz w:val="18"/>
                <w:lang w:eastAsia="zh-CN"/>
              </w:rPr>
              <w:t>[163.84]</w:t>
            </w:r>
          </w:p>
        </w:tc>
        <w:tc>
          <w:tcPr>
            <w:tcW w:w="751" w:type="dxa"/>
            <w:hideMark/>
          </w:tcPr>
          <w:p w14:paraId="21DC3AB5" w14:textId="77777777" w:rsidR="001E1993" w:rsidRPr="00B11B68" w:rsidRDefault="001E1993" w:rsidP="005145F6">
            <w:pPr>
              <w:rPr>
                <w:rFonts w:ascii="Arial" w:hAnsi="Arial" w:cs="Arial"/>
                <w:sz w:val="18"/>
                <w:lang w:val="en-US" w:eastAsia="zh-CN"/>
              </w:rPr>
            </w:pPr>
            <w:r w:rsidRPr="00B11B68">
              <w:rPr>
                <w:rFonts w:ascii="Arial" w:hAnsi="Arial" w:cs="Arial"/>
                <w:sz w:val="18"/>
                <w:lang w:eastAsia="zh-CN"/>
              </w:rPr>
              <w:t>0.32</w:t>
            </w:r>
          </w:p>
        </w:tc>
        <w:tc>
          <w:tcPr>
            <w:tcW w:w="930" w:type="dxa"/>
            <w:hideMark/>
          </w:tcPr>
          <w:p w14:paraId="18C4FCE9" w14:textId="4A012805" w:rsidR="001E1993" w:rsidRPr="00B11B68" w:rsidRDefault="001E1993" w:rsidP="005145F6">
            <w:pPr>
              <w:rPr>
                <w:rFonts w:ascii="Arial" w:hAnsi="Arial" w:cs="Arial"/>
                <w:sz w:val="18"/>
                <w:lang w:val="en-US" w:eastAsia="zh-CN"/>
              </w:rPr>
            </w:pPr>
            <w:r w:rsidRPr="00B11B68">
              <w:rPr>
                <w:rFonts w:ascii="Arial" w:hAnsi="Arial" w:cs="Arial"/>
                <w:sz w:val="18"/>
                <w:lang w:eastAsia="zh-CN"/>
              </w:rPr>
              <w:t>≥</w:t>
            </w:r>
            <w:r>
              <w:rPr>
                <w:rFonts w:ascii="Arial" w:hAnsi="Arial" w:cs="Arial"/>
                <w:sz w:val="18"/>
                <w:lang w:val="en-US" w:eastAsia="zh-CN"/>
              </w:rPr>
              <w:t>[</w:t>
            </w:r>
            <w:r>
              <w:rPr>
                <w:rFonts w:ascii="Arial" w:hAnsi="Arial" w:cs="Arial"/>
                <w:sz w:val="18"/>
                <w:lang w:eastAsia="zh-CN"/>
              </w:rPr>
              <w:t>6.4]</w:t>
            </w:r>
            <w:r w:rsidRPr="00B11B68">
              <w:rPr>
                <w:rFonts w:ascii="Arial" w:hAnsi="Arial" w:cs="Arial"/>
                <w:sz w:val="18"/>
                <w:lang w:eastAsia="zh-CN"/>
              </w:rPr>
              <w:t xml:space="preserve"> (</w:t>
            </w:r>
            <w:r>
              <w:rPr>
                <w:rFonts w:ascii="Arial" w:hAnsi="Arial" w:cs="Arial"/>
                <w:sz w:val="18"/>
                <w:lang w:eastAsia="zh-CN"/>
              </w:rPr>
              <w:t>[5]</w:t>
            </w:r>
            <w:r w:rsidRPr="00B11B68">
              <w:rPr>
                <w:rFonts w:ascii="Arial" w:hAnsi="Arial" w:cs="Arial"/>
                <w:sz w:val="18"/>
                <w:lang w:eastAsia="zh-CN"/>
              </w:rPr>
              <w:t>)</w:t>
            </w:r>
          </w:p>
        </w:tc>
        <w:tc>
          <w:tcPr>
            <w:tcW w:w="2431" w:type="dxa"/>
            <w:vMerge w:val="restart"/>
            <w:hideMark/>
          </w:tcPr>
          <w:p w14:paraId="5827313D" w14:textId="77777777" w:rsidR="001E1993" w:rsidRPr="00B11B68" w:rsidRDefault="001E1993" w:rsidP="005145F6">
            <w:pPr>
              <w:rPr>
                <w:rFonts w:ascii="Arial" w:hAnsi="Arial" w:cs="Arial"/>
                <w:sz w:val="18"/>
                <w:lang w:val="en-US" w:eastAsia="zh-CN"/>
              </w:rPr>
            </w:pPr>
            <m:oMathPara>
              <m:oMathParaPr>
                <m:jc m:val="centerGroup"/>
              </m:oMathParaPr>
              <m:oMath>
                <m:r>
                  <w:rPr>
                    <w:rFonts w:ascii="Cambria Math" w:hAnsi="Cambria Math" w:cs="Arial"/>
                    <w:sz w:val="18"/>
                    <w:lang w:val="en-US" w:eastAsia="zh-CN"/>
                  </w:rPr>
                  <m:t>eDRX</m:t>
                </m:r>
                <m:r>
                  <m:rPr>
                    <m:sty m:val="p"/>
                  </m:rPr>
                  <w:rPr>
                    <w:rFonts w:ascii="Cambria Math" w:hAnsi="Cambria Math" w:cs="Arial"/>
                    <w:sz w:val="18"/>
                    <w:lang w:val="en-US" w:eastAsia="zh-CN"/>
                  </w:rPr>
                  <m:t>_</m:t>
                </m:r>
                <m:r>
                  <w:rPr>
                    <w:rFonts w:ascii="Cambria Math" w:hAnsi="Cambria Math" w:cs="Arial"/>
                    <w:sz w:val="18"/>
                    <w:lang w:val="en-US" w:eastAsia="zh-CN"/>
                  </w:rPr>
                  <m:t>cycl</m:t>
                </m:r>
                <m:r>
                  <m:rPr>
                    <m:sty m:val="p"/>
                  </m:rPr>
                  <w:rPr>
                    <w:rFonts w:ascii="Cambria Math" w:hAnsi="Cambria Math" w:cs="Arial"/>
                    <w:sz w:val="18"/>
                    <w:lang w:val="en-US" w:eastAsia="zh-CN"/>
                  </w:rPr>
                  <m:t>e_</m:t>
                </m:r>
                <m:r>
                  <w:rPr>
                    <w:rFonts w:ascii="Cambria Math" w:hAnsi="Cambria Math" w:cs="Arial"/>
                    <w:sz w:val="18"/>
                    <w:lang w:val="en-US" w:eastAsia="zh-CN"/>
                  </w:rPr>
                  <m:t>length×</m:t>
                </m:r>
                <m:d>
                  <m:dPr>
                    <m:begChr m:val="⌈"/>
                    <m:endChr m:val="⌉"/>
                    <m:ctrlPr>
                      <w:rPr>
                        <w:rFonts w:ascii="Cambria Math" w:hAnsi="Cambria Math" w:cs="Arial"/>
                        <w:i/>
                        <w:sz w:val="18"/>
                        <w:lang w:val="en-US" w:eastAsia="zh-CN"/>
                      </w:rPr>
                    </m:ctrlPr>
                  </m:dPr>
                  <m:e>
                    <m:f>
                      <m:fPr>
                        <m:ctrlPr>
                          <w:rPr>
                            <w:rFonts w:ascii="Cambria Math" w:hAnsi="Cambria Math" w:cs="Arial"/>
                            <w:i/>
                            <w:sz w:val="18"/>
                            <w:lang w:val="en-US" w:eastAsia="zh-CN"/>
                          </w:rPr>
                        </m:ctrlPr>
                      </m:fPr>
                      <m:num>
                        <m:r>
                          <w:rPr>
                            <w:rFonts w:ascii="Cambria Math" w:hAnsi="Cambria Math" w:cs="Arial"/>
                            <w:sz w:val="18"/>
                            <w:lang w:val="en-US" w:eastAsia="zh-CN"/>
                          </w:rPr>
                          <m:t>23</m:t>
                        </m:r>
                      </m:num>
                      <m:den>
                        <m:r>
                          <w:rPr>
                            <w:rFonts w:ascii="Cambria Math" w:hAnsi="Cambria Math" w:cs="Arial"/>
                            <w:sz w:val="18"/>
                            <w:lang w:val="en-US" w:eastAsia="zh-CN"/>
                          </w:rPr>
                          <m:t>PTW/DRX_cycle_length</m:t>
                        </m:r>
                      </m:den>
                    </m:f>
                  </m:e>
                </m:d>
                <m:r>
                  <m:rPr>
                    <m:sty m:val="p"/>
                  </m:rPr>
                  <w:rPr>
                    <w:rFonts w:ascii="Cambria Math" w:hAnsi="Cambria Math"/>
                    <w:lang w:val="sv-SE"/>
                  </w:rPr>
                  <m:t xml:space="preserve">x </m:t>
                </m:r>
                <m:r>
                  <m:rPr>
                    <m:sty m:val="p"/>
                  </m:rPr>
                  <w:rPr>
                    <w:rFonts w:ascii="Cambria Math" w:hAnsi="Cambria Math" w:cs="Arial"/>
                    <w:lang w:val="sv-SE" w:eastAsia="zh-CN"/>
                  </w:rPr>
                  <m:t>K3</m:t>
                </m:r>
              </m:oMath>
            </m:oMathPara>
          </w:p>
          <w:p w14:paraId="7298CCA5" w14:textId="77777777" w:rsidR="001E1993" w:rsidRPr="00B11B68" w:rsidRDefault="001E1993" w:rsidP="005145F6">
            <w:pPr>
              <w:rPr>
                <w:rFonts w:ascii="Arial" w:hAnsi="Arial" w:cs="Arial"/>
                <w:sz w:val="18"/>
                <w:lang w:val="en-US" w:eastAsia="zh-CN"/>
              </w:rPr>
            </w:pPr>
            <w:r w:rsidRPr="00B11B68">
              <w:rPr>
                <w:rFonts w:ascii="Arial" w:hAnsi="Arial" w:cs="Arial"/>
                <w:sz w:val="18"/>
                <w:lang w:val="en-US" w:eastAsia="zh-CN"/>
              </w:rPr>
              <w:t>(23</w:t>
            </w:r>
            <w:r w:rsidRPr="0082197E">
              <w:rPr>
                <w:lang w:val="sv-SE"/>
              </w:rPr>
              <w:t xml:space="preserve"> x </w:t>
            </w:r>
            <w:r w:rsidRPr="0082197E">
              <w:rPr>
                <w:rFonts w:cs="Arial"/>
                <w:lang w:val="sv-SE" w:eastAsia="zh-CN"/>
              </w:rPr>
              <w:t>K3</w:t>
            </w:r>
            <w:r w:rsidRPr="00B11B68">
              <w:rPr>
                <w:rFonts w:ascii="Arial" w:hAnsi="Arial" w:cs="Arial"/>
                <w:sz w:val="18"/>
                <w:lang w:val="en-US" w:eastAsia="zh-CN"/>
              </w:rPr>
              <w:t>)</w:t>
            </w:r>
          </w:p>
        </w:tc>
        <w:tc>
          <w:tcPr>
            <w:tcW w:w="1860" w:type="dxa"/>
            <w:hideMark/>
          </w:tcPr>
          <w:p w14:paraId="6AEFCDD3" w14:textId="77777777" w:rsidR="001E1993" w:rsidRPr="00B11B68" w:rsidRDefault="001E1993" w:rsidP="005145F6">
            <w:pPr>
              <w:rPr>
                <w:rFonts w:ascii="Arial" w:hAnsi="Arial" w:cs="Arial"/>
                <w:sz w:val="18"/>
                <w:lang w:val="en-US" w:eastAsia="zh-CN"/>
              </w:rPr>
            </w:pPr>
            <w:r w:rsidRPr="00B11B68">
              <w:rPr>
                <w:rFonts w:ascii="Arial" w:hAnsi="Arial" w:cs="Arial"/>
                <w:sz w:val="18"/>
                <w:lang w:eastAsia="zh-CN"/>
              </w:rPr>
              <w:t>0.32</w:t>
            </w:r>
            <w:r w:rsidRPr="002615F9">
              <w:rPr>
                <w:rFonts w:ascii="Arial" w:hAnsi="Arial"/>
                <w:sz w:val="18"/>
              </w:rPr>
              <w:t xml:space="preserve"> x M2</w:t>
            </w:r>
            <w:r w:rsidRPr="0082197E">
              <w:rPr>
                <w:lang w:val="sv-SE"/>
              </w:rPr>
              <w:t xml:space="preserve"> x </w:t>
            </w:r>
            <w:r w:rsidRPr="0082197E">
              <w:rPr>
                <w:rFonts w:cs="Arial"/>
                <w:lang w:val="sv-SE" w:eastAsia="zh-CN"/>
              </w:rPr>
              <w:t>K3</w:t>
            </w:r>
            <w:r w:rsidRPr="00B11B68">
              <w:rPr>
                <w:rFonts w:ascii="Arial" w:hAnsi="Arial" w:cs="Arial"/>
                <w:sz w:val="18"/>
                <w:lang w:eastAsia="zh-CN"/>
              </w:rPr>
              <w:t xml:space="preserve"> (1</w:t>
            </w:r>
            <w:r w:rsidRPr="002615F9">
              <w:rPr>
                <w:rFonts w:ascii="Arial" w:hAnsi="Arial"/>
                <w:sz w:val="18"/>
              </w:rPr>
              <w:t xml:space="preserve"> x M2</w:t>
            </w:r>
            <w:r w:rsidRPr="0082197E">
              <w:rPr>
                <w:lang w:val="sv-SE"/>
              </w:rPr>
              <w:t xml:space="preserve"> x </w:t>
            </w:r>
            <w:r w:rsidRPr="0082197E">
              <w:rPr>
                <w:rFonts w:cs="Arial"/>
                <w:lang w:val="sv-SE" w:eastAsia="zh-CN"/>
              </w:rPr>
              <w:t>K3</w:t>
            </w:r>
            <w:r w:rsidRPr="00B11B68">
              <w:rPr>
                <w:rFonts w:ascii="Arial" w:hAnsi="Arial" w:cs="Arial"/>
                <w:sz w:val="18"/>
                <w:lang w:eastAsia="zh-CN"/>
              </w:rPr>
              <w:t>)</w:t>
            </w:r>
          </w:p>
        </w:tc>
        <w:tc>
          <w:tcPr>
            <w:tcW w:w="1846" w:type="dxa"/>
          </w:tcPr>
          <w:p w14:paraId="0CB80979" w14:textId="77777777" w:rsidR="001E1993" w:rsidRDefault="001E1993" w:rsidP="005145F6">
            <w:pPr>
              <w:rPr>
                <w:rFonts w:ascii="Arial" w:hAnsi="Arial" w:cs="Arial"/>
                <w:sz w:val="18"/>
                <w:lang w:eastAsia="zh-CN"/>
              </w:rPr>
            </w:pPr>
            <w:r w:rsidRPr="000A79A0">
              <w:rPr>
                <w:rFonts w:ascii="Arial" w:hAnsi="Arial"/>
                <w:sz w:val="18"/>
              </w:rPr>
              <w:t>0.64 x M2</w:t>
            </w:r>
            <w:r w:rsidRPr="0082197E">
              <w:rPr>
                <w:lang w:val="sv-SE"/>
              </w:rPr>
              <w:t xml:space="preserve"> x </w:t>
            </w:r>
            <w:r w:rsidRPr="0082197E">
              <w:rPr>
                <w:rFonts w:cs="Arial"/>
                <w:lang w:val="sv-SE" w:eastAsia="zh-CN"/>
              </w:rPr>
              <w:t>K3</w:t>
            </w:r>
            <w:r w:rsidRPr="000A79A0">
              <w:rPr>
                <w:rFonts w:ascii="Arial" w:hAnsi="Arial"/>
                <w:sz w:val="18"/>
              </w:rPr>
              <w:t xml:space="preserve"> (2 x M2</w:t>
            </w:r>
            <w:r w:rsidRPr="0082197E">
              <w:rPr>
                <w:lang w:val="sv-SE"/>
              </w:rPr>
              <w:t xml:space="preserve"> x </w:t>
            </w:r>
            <w:r w:rsidRPr="0082197E">
              <w:rPr>
                <w:rFonts w:cs="Arial"/>
                <w:lang w:val="sv-SE" w:eastAsia="zh-CN"/>
              </w:rPr>
              <w:t>K3</w:t>
            </w:r>
            <w:r w:rsidRPr="000A79A0">
              <w:rPr>
                <w:rFonts w:ascii="Arial" w:hAnsi="Arial"/>
                <w:sz w:val="18"/>
              </w:rPr>
              <w:t>)</w:t>
            </w:r>
          </w:p>
        </w:tc>
      </w:tr>
      <w:tr w:rsidR="001E1993" w:rsidRPr="00B85562" w14:paraId="1778E0E6" w14:textId="77777777" w:rsidTr="005145F6">
        <w:trPr>
          <w:trHeight w:val="336"/>
        </w:trPr>
        <w:tc>
          <w:tcPr>
            <w:tcW w:w="1198" w:type="dxa"/>
            <w:vMerge/>
            <w:hideMark/>
          </w:tcPr>
          <w:p w14:paraId="1A946BB0" w14:textId="77777777" w:rsidR="001E1993" w:rsidRPr="00B11B68" w:rsidRDefault="001E1993" w:rsidP="005145F6">
            <w:pPr>
              <w:rPr>
                <w:rFonts w:ascii="Arial" w:hAnsi="Arial" w:cs="Arial"/>
                <w:sz w:val="18"/>
                <w:lang w:val="en-US" w:eastAsia="zh-CN"/>
              </w:rPr>
            </w:pPr>
          </w:p>
        </w:tc>
        <w:tc>
          <w:tcPr>
            <w:tcW w:w="751" w:type="dxa"/>
            <w:hideMark/>
          </w:tcPr>
          <w:p w14:paraId="4AF40DD6" w14:textId="77777777" w:rsidR="001E1993" w:rsidRPr="00B11B68" w:rsidRDefault="001E1993" w:rsidP="005145F6">
            <w:pPr>
              <w:rPr>
                <w:rFonts w:ascii="Arial" w:hAnsi="Arial" w:cs="Arial"/>
                <w:sz w:val="18"/>
                <w:lang w:val="en-US" w:eastAsia="zh-CN"/>
              </w:rPr>
            </w:pPr>
            <w:r w:rsidRPr="00B11B68">
              <w:rPr>
                <w:rFonts w:ascii="Arial" w:hAnsi="Arial" w:cs="Arial"/>
                <w:sz w:val="18"/>
                <w:lang w:eastAsia="zh-CN"/>
              </w:rPr>
              <w:t>0.64</w:t>
            </w:r>
          </w:p>
        </w:tc>
        <w:tc>
          <w:tcPr>
            <w:tcW w:w="930" w:type="dxa"/>
            <w:hideMark/>
          </w:tcPr>
          <w:p w14:paraId="0FC3AEDA" w14:textId="29692EB2" w:rsidR="001E1993" w:rsidRPr="00B11B68" w:rsidRDefault="001E1993" w:rsidP="005145F6">
            <w:pPr>
              <w:rPr>
                <w:rFonts w:ascii="Arial" w:hAnsi="Arial" w:cs="Arial"/>
                <w:sz w:val="18"/>
                <w:lang w:val="en-US" w:eastAsia="zh-CN"/>
              </w:rPr>
            </w:pPr>
            <w:r w:rsidRPr="00B11B68">
              <w:rPr>
                <w:rFonts w:ascii="Arial" w:hAnsi="Arial" w:cs="Arial"/>
                <w:sz w:val="18"/>
                <w:lang w:eastAsia="zh-CN"/>
              </w:rPr>
              <w:t>≥</w:t>
            </w:r>
            <w:r>
              <w:rPr>
                <w:rFonts w:ascii="Arial" w:hAnsi="Arial" w:cs="Arial"/>
                <w:sz w:val="18"/>
                <w:lang w:val="en-US" w:eastAsia="zh-CN"/>
              </w:rPr>
              <w:t>[</w:t>
            </w:r>
            <w:r>
              <w:rPr>
                <w:rFonts w:ascii="Arial" w:hAnsi="Arial" w:cs="Arial"/>
                <w:sz w:val="18"/>
                <w:lang w:eastAsia="zh-CN"/>
              </w:rPr>
              <w:t>12.8]</w:t>
            </w:r>
            <w:r w:rsidRPr="00B11B68">
              <w:rPr>
                <w:rFonts w:ascii="Arial" w:hAnsi="Arial" w:cs="Arial"/>
                <w:sz w:val="18"/>
                <w:lang w:eastAsia="zh-CN"/>
              </w:rPr>
              <w:t xml:space="preserve"> (</w:t>
            </w:r>
            <w:r>
              <w:rPr>
                <w:rFonts w:ascii="Arial" w:hAnsi="Arial" w:cs="Arial"/>
                <w:sz w:val="18"/>
                <w:lang w:eastAsia="zh-CN"/>
              </w:rPr>
              <w:t>[</w:t>
            </w:r>
            <w:r w:rsidRPr="00B11B68">
              <w:rPr>
                <w:rFonts w:ascii="Arial" w:hAnsi="Arial" w:cs="Arial"/>
                <w:sz w:val="18"/>
                <w:lang w:eastAsia="zh-CN"/>
              </w:rPr>
              <w:t>1</w:t>
            </w:r>
            <w:r>
              <w:rPr>
                <w:rFonts w:ascii="Arial" w:hAnsi="Arial" w:cs="Arial"/>
                <w:sz w:val="18"/>
                <w:lang w:eastAsia="zh-CN"/>
              </w:rPr>
              <w:t>0]</w:t>
            </w:r>
            <w:r w:rsidRPr="00B11B68">
              <w:rPr>
                <w:rFonts w:ascii="Arial" w:hAnsi="Arial" w:cs="Arial"/>
                <w:sz w:val="18"/>
                <w:lang w:eastAsia="zh-CN"/>
              </w:rPr>
              <w:t>)</w:t>
            </w:r>
          </w:p>
        </w:tc>
        <w:tc>
          <w:tcPr>
            <w:tcW w:w="2431" w:type="dxa"/>
            <w:vMerge/>
            <w:hideMark/>
          </w:tcPr>
          <w:p w14:paraId="61178815" w14:textId="77777777" w:rsidR="001E1993" w:rsidRPr="00B11B68" w:rsidRDefault="001E1993" w:rsidP="005145F6">
            <w:pPr>
              <w:rPr>
                <w:rFonts w:ascii="Arial" w:hAnsi="Arial" w:cs="Arial"/>
                <w:sz w:val="18"/>
                <w:lang w:val="en-US" w:eastAsia="zh-CN"/>
              </w:rPr>
            </w:pPr>
          </w:p>
        </w:tc>
        <w:tc>
          <w:tcPr>
            <w:tcW w:w="1860" w:type="dxa"/>
            <w:hideMark/>
          </w:tcPr>
          <w:p w14:paraId="5ECC71E2" w14:textId="77777777" w:rsidR="001E1993" w:rsidRPr="00B11B68" w:rsidRDefault="001E1993" w:rsidP="005145F6">
            <w:pPr>
              <w:rPr>
                <w:rFonts w:ascii="Arial" w:hAnsi="Arial" w:cs="Arial"/>
                <w:sz w:val="18"/>
                <w:lang w:val="en-US" w:eastAsia="zh-CN"/>
              </w:rPr>
            </w:pPr>
            <w:r w:rsidRPr="00B11B68">
              <w:rPr>
                <w:rFonts w:ascii="Arial" w:hAnsi="Arial" w:cs="Arial"/>
                <w:sz w:val="18"/>
                <w:lang w:eastAsia="zh-CN"/>
              </w:rPr>
              <w:t>0.64</w:t>
            </w:r>
            <w:r w:rsidRPr="0082197E">
              <w:rPr>
                <w:lang w:val="sv-SE"/>
              </w:rPr>
              <w:t xml:space="preserve"> x </w:t>
            </w:r>
            <w:r w:rsidRPr="0082197E">
              <w:rPr>
                <w:rFonts w:cs="Arial"/>
                <w:lang w:val="sv-SE" w:eastAsia="zh-CN"/>
              </w:rPr>
              <w:t>K3</w:t>
            </w:r>
            <w:r w:rsidRPr="00B11B68">
              <w:rPr>
                <w:rFonts w:ascii="Arial" w:hAnsi="Arial" w:cs="Arial"/>
                <w:sz w:val="18"/>
                <w:lang w:eastAsia="zh-CN"/>
              </w:rPr>
              <w:t xml:space="preserve"> (1</w:t>
            </w:r>
            <w:r w:rsidRPr="0082197E">
              <w:rPr>
                <w:lang w:val="sv-SE"/>
              </w:rPr>
              <w:t xml:space="preserve"> x </w:t>
            </w:r>
            <w:r w:rsidRPr="0082197E">
              <w:rPr>
                <w:rFonts w:cs="Arial"/>
                <w:lang w:val="sv-SE" w:eastAsia="zh-CN"/>
              </w:rPr>
              <w:t>K3</w:t>
            </w:r>
            <w:r w:rsidRPr="00B11B68">
              <w:rPr>
                <w:rFonts w:ascii="Arial" w:hAnsi="Arial" w:cs="Arial"/>
                <w:sz w:val="18"/>
                <w:lang w:eastAsia="zh-CN"/>
              </w:rPr>
              <w:t>)</w:t>
            </w:r>
          </w:p>
        </w:tc>
        <w:tc>
          <w:tcPr>
            <w:tcW w:w="1846" w:type="dxa"/>
          </w:tcPr>
          <w:p w14:paraId="6439C64A" w14:textId="77777777" w:rsidR="001E1993" w:rsidRPr="00B11B68" w:rsidRDefault="001E1993" w:rsidP="005145F6">
            <w:pPr>
              <w:rPr>
                <w:rFonts w:ascii="Arial" w:hAnsi="Arial" w:cs="Arial"/>
                <w:sz w:val="18"/>
                <w:lang w:eastAsia="zh-CN"/>
              </w:rPr>
            </w:pPr>
            <w:r w:rsidRPr="00B11B68">
              <w:rPr>
                <w:rFonts w:ascii="Arial" w:hAnsi="Arial" w:cs="Arial"/>
                <w:sz w:val="18"/>
                <w:lang w:eastAsia="zh-CN"/>
              </w:rPr>
              <w:t>1.28</w:t>
            </w:r>
            <w:r w:rsidRPr="0082197E">
              <w:rPr>
                <w:lang w:val="sv-SE"/>
              </w:rPr>
              <w:t xml:space="preserve"> x </w:t>
            </w:r>
            <w:r w:rsidRPr="0082197E">
              <w:rPr>
                <w:rFonts w:cs="Arial"/>
                <w:lang w:val="sv-SE" w:eastAsia="zh-CN"/>
              </w:rPr>
              <w:t>K3</w:t>
            </w:r>
            <w:r w:rsidRPr="00B11B68">
              <w:rPr>
                <w:rFonts w:ascii="Arial" w:hAnsi="Arial" w:cs="Arial"/>
                <w:sz w:val="18"/>
                <w:lang w:eastAsia="zh-CN"/>
              </w:rPr>
              <w:t xml:space="preserve"> (2</w:t>
            </w:r>
            <w:r w:rsidRPr="0082197E">
              <w:rPr>
                <w:lang w:val="sv-SE"/>
              </w:rPr>
              <w:t xml:space="preserve"> x </w:t>
            </w:r>
            <w:r w:rsidRPr="0082197E">
              <w:rPr>
                <w:rFonts w:cs="Arial"/>
                <w:lang w:val="sv-SE" w:eastAsia="zh-CN"/>
              </w:rPr>
              <w:t>K3</w:t>
            </w:r>
            <w:r w:rsidRPr="00B11B68">
              <w:rPr>
                <w:rFonts w:ascii="Arial" w:hAnsi="Arial" w:cs="Arial"/>
                <w:sz w:val="18"/>
                <w:lang w:eastAsia="zh-CN"/>
              </w:rPr>
              <w:t>)</w:t>
            </w:r>
          </w:p>
        </w:tc>
      </w:tr>
      <w:tr w:rsidR="001E1993" w:rsidRPr="00B85562" w14:paraId="11DC205B" w14:textId="77777777" w:rsidTr="005145F6">
        <w:trPr>
          <w:trHeight w:val="336"/>
        </w:trPr>
        <w:tc>
          <w:tcPr>
            <w:tcW w:w="1198" w:type="dxa"/>
            <w:vMerge/>
            <w:hideMark/>
          </w:tcPr>
          <w:p w14:paraId="13588D22" w14:textId="77777777" w:rsidR="001E1993" w:rsidRPr="00B11B68" w:rsidRDefault="001E1993" w:rsidP="005145F6">
            <w:pPr>
              <w:rPr>
                <w:rFonts w:ascii="Arial" w:hAnsi="Arial" w:cs="Arial"/>
                <w:sz w:val="18"/>
                <w:lang w:val="en-US" w:eastAsia="zh-CN"/>
              </w:rPr>
            </w:pPr>
          </w:p>
        </w:tc>
        <w:tc>
          <w:tcPr>
            <w:tcW w:w="751" w:type="dxa"/>
            <w:hideMark/>
          </w:tcPr>
          <w:p w14:paraId="472AFFF5" w14:textId="77777777" w:rsidR="001E1993" w:rsidRPr="00B11B68" w:rsidRDefault="001E1993" w:rsidP="005145F6">
            <w:pPr>
              <w:rPr>
                <w:rFonts w:ascii="Arial" w:hAnsi="Arial" w:cs="Arial"/>
                <w:sz w:val="18"/>
                <w:lang w:val="en-US" w:eastAsia="zh-CN"/>
              </w:rPr>
            </w:pPr>
            <w:r w:rsidRPr="00B11B68">
              <w:rPr>
                <w:rFonts w:ascii="Arial" w:hAnsi="Arial" w:cs="Arial"/>
                <w:sz w:val="18"/>
                <w:lang w:eastAsia="zh-CN"/>
              </w:rPr>
              <w:t>1.28</w:t>
            </w:r>
          </w:p>
        </w:tc>
        <w:tc>
          <w:tcPr>
            <w:tcW w:w="930" w:type="dxa"/>
            <w:hideMark/>
          </w:tcPr>
          <w:p w14:paraId="57AA3318" w14:textId="43312533" w:rsidR="001E1993" w:rsidRPr="00B11B68" w:rsidRDefault="001E1993" w:rsidP="005145F6">
            <w:pPr>
              <w:rPr>
                <w:rFonts w:ascii="Arial" w:hAnsi="Arial" w:cs="Arial"/>
                <w:sz w:val="18"/>
                <w:lang w:val="en-US" w:eastAsia="zh-CN"/>
              </w:rPr>
            </w:pPr>
            <w:r w:rsidRPr="00B11B68">
              <w:rPr>
                <w:rFonts w:ascii="Arial" w:hAnsi="Arial" w:cs="Arial"/>
                <w:sz w:val="18"/>
                <w:lang w:eastAsia="zh-CN"/>
              </w:rPr>
              <w:t>≥</w:t>
            </w:r>
            <w:r>
              <w:rPr>
                <w:rFonts w:ascii="Arial" w:hAnsi="Arial" w:cs="Arial"/>
                <w:sz w:val="18"/>
                <w:lang w:eastAsia="zh-CN"/>
              </w:rPr>
              <w:t>[15.36]</w:t>
            </w:r>
            <w:r w:rsidRPr="00B11B68">
              <w:rPr>
                <w:rFonts w:ascii="Arial" w:hAnsi="Arial" w:cs="Arial"/>
                <w:sz w:val="18"/>
                <w:lang w:eastAsia="zh-CN"/>
              </w:rPr>
              <w:t xml:space="preserve"> (</w:t>
            </w:r>
            <w:r>
              <w:rPr>
                <w:rFonts w:ascii="Arial" w:hAnsi="Arial" w:cs="Arial"/>
                <w:sz w:val="18"/>
                <w:lang w:eastAsia="zh-CN"/>
              </w:rPr>
              <w:t>[1</w:t>
            </w:r>
            <w:r w:rsidRPr="00B11B68">
              <w:rPr>
                <w:rFonts w:ascii="Arial" w:hAnsi="Arial" w:cs="Arial"/>
                <w:sz w:val="18"/>
                <w:lang w:eastAsia="zh-CN"/>
              </w:rPr>
              <w:t>2</w:t>
            </w:r>
            <w:r>
              <w:rPr>
                <w:rFonts w:ascii="Arial" w:hAnsi="Arial" w:cs="Arial"/>
                <w:sz w:val="18"/>
                <w:lang w:eastAsia="zh-CN"/>
              </w:rPr>
              <w:t>]</w:t>
            </w:r>
            <w:r w:rsidRPr="00B11B68">
              <w:rPr>
                <w:rFonts w:ascii="Arial" w:hAnsi="Arial" w:cs="Arial"/>
                <w:sz w:val="18"/>
                <w:lang w:eastAsia="zh-CN"/>
              </w:rPr>
              <w:t>)</w:t>
            </w:r>
          </w:p>
        </w:tc>
        <w:tc>
          <w:tcPr>
            <w:tcW w:w="2431" w:type="dxa"/>
            <w:vMerge/>
            <w:hideMark/>
          </w:tcPr>
          <w:p w14:paraId="3776F86F" w14:textId="77777777" w:rsidR="001E1993" w:rsidRPr="00B11B68" w:rsidRDefault="001E1993" w:rsidP="005145F6">
            <w:pPr>
              <w:rPr>
                <w:rFonts w:ascii="Arial" w:hAnsi="Arial" w:cs="Arial"/>
                <w:sz w:val="18"/>
                <w:lang w:val="en-US" w:eastAsia="zh-CN"/>
              </w:rPr>
            </w:pPr>
          </w:p>
        </w:tc>
        <w:tc>
          <w:tcPr>
            <w:tcW w:w="1860" w:type="dxa"/>
            <w:hideMark/>
          </w:tcPr>
          <w:p w14:paraId="6A25968F" w14:textId="77777777" w:rsidR="001E1993" w:rsidRPr="00B11B68" w:rsidRDefault="001E1993" w:rsidP="005145F6">
            <w:pPr>
              <w:rPr>
                <w:rFonts w:ascii="Arial" w:hAnsi="Arial" w:cs="Arial"/>
                <w:sz w:val="18"/>
                <w:lang w:val="en-US" w:eastAsia="zh-CN"/>
              </w:rPr>
            </w:pPr>
            <w:r w:rsidRPr="00B11B68">
              <w:rPr>
                <w:rFonts w:ascii="Arial" w:hAnsi="Arial" w:cs="Arial"/>
                <w:sz w:val="18"/>
                <w:lang w:eastAsia="zh-CN"/>
              </w:rPr>
              <w:t>1.28</w:t>
            </w:r>
            <w:r w:rsidRPr="0082197E">
              <w:rPr>
                <w:lang w:val="sv-SE"/>
              </w:rPr>
              <w:t xml:space="preserve"> x </w:t>
            </w:r>
            <w:r w:rsidRPr="0082197E">
              <w:rPr>
                <w:rFonts w:cs="Arial"/>
                <w:lang w:val="sv-SE" w:eastAsia="zh-CN"/>
              </w:rPr>
              <w:t>K3</w:t>
            </w:r>
            <w:r w:rsidRPr="00B11B68">
              <w:rPr>
                <w:rFonts w:ascii="Arial" w:hAnsi="Arial" w:cs="Arial"/>
                <w:sz w:val="18"/>
                <w:lang w:eastAsia="zh-CN"/>
              </w:rPr>
              <w:t xml:space="preserve"> (1</w:t>
            </w:r>
            <w:r w:rsidRPr="0082197E">
              <w:rPr>
                <w:lang w:val="sv-SE"/>
              </w:rPr>
              <w:t xml:space="preserve"> x </w:t>
            </w:r>
            <w:r w:rsidRPr="0082197E">
              <w:rPr>
                <w:rFonts w:cs="Arial"/>
                <w:lang w:val="sv-SE" w:eastAsia="zh-CN"/>
              </w:rPr>
              <w:t>K3</w:t>
            </w:r>
            <w:r w:rsidRPr="00B11B68">
              <w:rPr>
                <w:rFonts w:ascii="Arial" w:hAnsi="Arial" w:cs="Arial"/>
                <w:sz w:val="18"/>
                <w:lang w:eastAsia="zh-CN"/>
              </w:rPr>
              <w:t>)</w:t>
            </w:r>
          </w:p>
        </w:tc>
        <w:tc>
          <w:tcPr>
            <w:tcW w:w="1846" w:type="dxa"/>
          </w:tcPr>
          <w:p w14:paraId="3F0DDCCB" w14:textId="77777777" w:rsidR="001E1993" w:rsidRPr="00B11B68" w:rsidRDefault="001E1993" w:rsidP="005145F6">
            <w:pPr>
              <w:rPr>
                <w:rFonts w:ascii="Arial" w:hAnsi="Arial" w:cs="Arial"/>
                <w:sz w:val="18"/>
                <w:lang w:eastAsia="zh-CN"/>
              </w:rPr>
            </w:pPr>
            <w:r w:rsidRPr="00B11B68">
              <w:rPr>
                <w:rFonts w:ascii="Arial" w:hAnsi="Arial" w:cs="Arial"/>
                <w:sz w:val="18"/>
                <w:lang w:eastAsia="zh-CN"/>
              </w:rPr>
              <w:t>2.56</w:t>
            </w:r>
            <w:r w:rsidRPr="0082197E">
              <w:rPr>
                <w:lang w:val="sv-SE"/>
              </w:rPr>
              <w:t xml:space="preserve"> x </w:t>
            </w:r>
            <w:r w:rsidRPr="0082197E">
              <w:rPr>
                <w:rFonts w:cs="Arial"/>
                <w:lang w:val="sv-SE" w:eastAsia="zh-CN"/>
              </w:rPr>
              <w:t>K3</w:t>
            </w:r>
            <w:r w:rsidRPr="00B11B68">
              <w:rPr>
                <w:rFonts w:ascii="Arial" w:hAnsi="Arial" w:cs="Arial"/>
                <w:sz w:val="18"/>
                <w:lang w:eastAsia="zh-CN"/>
              </w:rPr>
              <w:t xml:space="preserve"> (2</w:t>
            </w:r>
            <w:r w:rsidRPr="0082197E">
              <w:rPr>
                <w:lang w:val="sv-SE"/>
              </w:rPr>
              <w:t xml:space="preserve"> x </w:t>
            </w:r>
            <w:r w:rsidRPr="0082197E">
              <w:rPr>
                <w:rFonts w:cs="Arial"/>
                <w:lang w:val="sv-SE" w:eastAsia="zh-CN"/>
              </w:rPr>
              <w:t>K3</w:t>
            </w:r>
            <w:r w:rsidRPr="00B11B68">
              <w:rPr>
                <w:rFonts w:ascii="Arial" w:hAnsi="Arial" w:cs="Arial"/>
                <w:sz w:val="18"/>
                <w:lang w:eastAsia="zh-CN"/>
              </w:rPr>
              <w:t>)</w:t>
            </w:r>
          </w:p>
        </w:tc>
      </w:tr>
      <w:tr w:rsidR="001E1993" w:rsidRPr="00B85562" w14:paraId="25382C66" w14:textId="77777777" w:rsidTr="005145F6">
        <w:trPr>
          <w:trHeight w:val="336"/>
        </w:trPr>
        <w:tc>
          <w:tcPr>
            <w:tcW w:w="1198" w:type="dxa"/>
            <w:vMerge/>
            <w:hideMark/>
          </w:tcPr>
          <w:p w14:paraId="44D1F6E9" w14:textId="77777777" w:rsidR="001E1993" w:rsidRPr="00B11B68" w:rsidRDefault="001E1993" w:rsidP="005145F6">
            <w:pPr>
              <w:rPr>
                <w:rFonts w:ascii="Arial" w:hAnsi="Arial" w:cs="Arial"/>
                <w:sz w:val="18"/>
                <w:lang w:val="en-US" w:eastAsia="zh-CN"/>
              </w:rPr>
            </w:pPr>
          </w:p>
        </w:tc>
        <w:tc>
          <w:tcPr>
            <w:tcW w:w="751" w:type="dxa"/>
            <w:hideMark/>
          </w:tcPr>
          <w:p w14:paraId="45FA16CB" w14:textId="77777777" w:rsidR="001E1993" w:rsidRPr="00B11B68" w:rsidRDefault="001E1993" w:rsidP="005145F6">
            <w:pPr>
              <w:rPr>
                <w:rFonts w:ascii="Arial" w:hAnsi="Arial" w:cs="Arial"/>
                <w:sz w:val="18"/>
                <w:lang w:val="en-US" w:eastAsia="zh-CN"/>
              </w:rPr>
            </w:pPr>
            <w:r w:rsidRPr="00B11B68">
              <w:rPr>
                <w:rFonts w:ascii="Arial" w:hAnsi="Arial" w:cs="Arial"/>
                <w:sz w:val="18"/>
                <w:lang w:eastAsia="zh-CN"/>
              </w:rPr>
              <w:t>2.56</w:t>
            </w:r>
          </w:p>
        </w:tc>
        <w:tc>
          <w:tcPr>
            <w:tcW w:w="930" w:type="dxa"/>
            <w:hideMark/>
          </w:tcPr>
          <w:p w14:paraId="264954E5" w14:textId="4F6CFAC1" w:rsidR="001E1993" w:rsidRPr="00B11B68" w:rsidRDefault="001E1993" w:rsidP="005145F6">
            <w:pPr>
              <w:rPr>
                <w:rFonts w:ascii="Arial" w:hAnsi="Arial" w:cs="Arial"/>
                <w:sz w:val="18"/>
                <w:lang w:val="en-US" w:eastAsia="zh-CN"/>
              </w:rPr>
            </w:pPr>
            <w:r w:rsidRPr="00B11B68">
              <w:rPr>
                <w:rFonts w:ascii="Arial" w:hAnsi="Arial" w:cs="Arial"/>
                <w:sz w:val="18"/>
                <w:lang w:eastAsia="zh-CN"/>
              </w:rPr>
              <w:t>≥</w:t>
            </w:r>
            <w:r>
              <w:rPr>
                <w:rFonts w:ascii="Arial" w:hAnsi="Arial" w:cs="Arial"/>
                <w:sz w:val="18"/>
                <w:lang w:eastAsia="zh-CN"/>
              </w:rPr>
              <w:t>[30.72]</w:t>
            </w:r>
            <w:r w:rsidRPr="00B11B68">
              <w:rPr>
                <w:rFonts w:ascii="Arial" w:hAnsi="Arial" w:cs="Arial"/>
                <w:sz w:val="18"/>
                <w:lang w:eastAsia="zh-CN"/>
              </w:rPr>
              <w:t xml:space="preserve"> (</w:t>
            </w:r>
            <w:r>
              <w:rPr>
                <w:rFonts w:ascii="Arial" w:hAnsi="Arial" w:cs="Arial"/>
                <w:sz w:val="18"/>
                <w:lang w:eastAsia="zh-CN"/>
              </w:rPr>
              <w:t>[2</w:t>
            </w:r>
            <w:r w:rsidRPr="00B11B68">
              <w:rPr>
                <w:rFonts w:ascii="Arial" w:hAnsi="Arial" w:cs="Arial"/>
                <w:sz w:val="18"/>
                <w:lang w:eastAsia="zh-CN"/>
              </w:rPr>
              <w:t>4</w:t>
            </w:r>
            <w:r>
              <w:rPr>
                <w:rFonts w:ascii="Arial" w:hAnsi="Arial" w:cs="Arial"/>
                <w:sz w:val="18"/>
                <w:lang w:eastAsia="zh-CN"/>
              </w:rPr>
              <w:t>]</w:t>
            </w:r>
            <w:r w:rsidRPr="00B11B68">
              <w:rPr>
                <w:rFonts w:ascii="Arial" w:hAnsi="Arial" w:cs="Arial"/>
                <w:sz w:val="18"/>
                <w:lang w:eastAsia="zh-CN"/>
              </w:rPr>
              <w:t>)</w:t>
            </w:r>
          </w:p>
        </w:tc>
        <w:tc>
          <w:tcPr>
            <w:tcW w:w="2431" w:type="dxa"/>
            <w:vMerge/>
            <w:hideMark/>
          </w:tcPr>
          <w:p w14:paraId="664AA54A" w14:textId="77777777" w:rsidR="001E1993" w:rsidRPr="00B11B68" w:rsidRDefault="001E1993" w:rsidP="005145F6">
            <w:pPr>
              <w:rPr>
                <w:rFonts w:ascii="Arial" w:hAnsi="Arial" w:cs="Arial"/>
                <w:sz w:val="18"/>
                <w:lang w:val="en-US" w:eastAsia="zh-CN"/>
              </w:rPr>
            </w:pPr>
          </w:p>
        </w:tc>
        <w:tc>
          <w:tcPr>
            <w:tcW w:w="1860" w:type="dxa"/>
            <w:hideMark/>
          </w:tcPr>
          <w:p w14:paraId="58B3E864" w14:textId="77777777" w:rsidR="001E1993" w:rsidRPr="00B11B68" w:rsidRDefault="001E1993" w:rsidP="005145F6">
            <w:pPr>
              <w:rPr>
                <w:rFonts w:ascii="Arial" w:hAnsi="Arial" w:cs="Arial"/>
                <w:sz w:val="18"/>
                <w:lang w:val="en-US" w:eastAsia="zh-CN"/>
              </w:rPr>
            </w:pPr>
            <w:r w:rsidRPr="00B11B68">
              <w:rPr>
                <w:rFonts w:ascii="Arial" w:hAnsi="Arial" w:cs="Arial"/>
                <w:sz w:val="18"/>
                <w:lang w:eastAsia="zh-CN"/>
              </w:rPr>
              <w:t>2.56</w:t>
            </w:r>
            <w:r w:rsidRPr="0082197E">
              <w:rPr>
                <w:lang w:val="sv-SE"/>
              </w:rPr>
              <w:t xml:space="preserve"> x </w:t>
            </w:r>
            <w:r w:rsidRPr="0082197E">
              <w:rPr>
                <w:rFonts w:cs="Arial"/>
                <w:lang w:val="sv-SE" w:eastAsia="zh-CN"/>
              </w:rPr>
              <w:t>K3</w:t>
            </w:r>
            <w:r w:rsidRPr="00B11B68">
              <w:rPr>
                <w:rFonts w:ascii="Arial" w:hAnsi="Arial" w:cs="Arial"/>
                <w:sz w:val="18"/>
                <w:lang w:eastAsia="zh-CN"/>
              </w:rPr>
              <w:t xml:space="preserve"> (1</w:t>
            </w:r>
            <w:r w:rsidRPr="0082197E">
              <w:rPr>
                <w:lang w:val="sv-SE"/>
              </w:rPr>
              <w:t xml:space="preserve"> x </w:t>
            </w:r>
            <w:r w:rsidRPr="0082197E">
              <w:rPr>
                <w:rFonts w:cs="Arial"/>
                <w:lang w:val="sv-SE" w:eastAsia="zh-CN"/>
              </w:rPr>
              <w:t>K3</w:t>
            </w:r>
            <w:r w:rsidRPr="00B11B68">
              <w:rPr>
                <w:rFonts w:ascii="Arial" w:hAnsi="Arial" w:cs="Arial"/>
                <w:sz w:val="18"/>
                <w:lang w:eastAsia="zh-CN"/>
              </w:rPr>
              <w:t>)</w:t>
            </w:r>
          </w:p>
        </w:tc>
        <w:tc>
          <w:tcPr>
            <w:tcW w:w="1846" w:type="dxa"/>
          </w:tcPr>
          <w:p w14:paraId="08E71C5F" w14:textId="77777777" w:rsidR="001E1993" w:rsidRPr="00B11B68" w:rsidRDefault="001E1993" w:rsidP="005145F6">
            <w:pPr>
              <w:rPr>
                <w:rFonts w:ascii="Arial" w:hAnsi="Arial" w:cs="Arial"/>
                <w:sz w:val="18"/>
                <w:lang w:eastAsia="zh-CN"/>
              </w:rPr>
            </w:pPr>
            <w:r w:rsidRPr="00B11B68">
              <w:rPr>
                <w:rFonts w:ascii="Arial" w:hAnsi="Arial" w:cs="Arial"/>
                <w:sz w:val="18"/>
                <w:lang w:eastAsia="zh-CN"/>
              </w:rPr>
              <w:t>5.12</w:t>
            </w:r>
            <w:r w:rsidRPr="0082197E">
              <w:rPr>
                <w:lang w:val="sv-SE"/>
              </w:rPr>
              <w:t xml:space="preserve"> x </w:t>
            </w:r>
            <w:r w:rsidRPr="0082197E">
              <w:rPr>
                <w:rFonts w:cs="Arial"/>
                <w:lang w:val="sv-SE" w:eastAsia="zh-CN"/>
              </w:rPr>
              <w:t>K3</w:t>
            </w:r>
            <w:r w:rsidRPr="00B11B68">
              <w:rPr>
                <w:rFonts w:ascii="Arial" w:hAnsi="Arial" w:cs="Arial"/>
                <w:sz w:val="18"/>
                <w:lang w:eastAsia="zh-CN"/>
              </w:rPr>
              <w:t xml:space="preserve"> (2</w:t>
            </w:r>
            <w:r w:rsidRPr="0082197E">
              <w:rPr>
                <w:lang w:val="sv-SE"/>
              </w:rPr>
              <w:t xml:space="preserve"> x </w:t>
            </w:r>
            <w:r w:rsidRPr="0082197E">
              <w:rPr>
                <w:rFonts w:cs="Arial"/>
                <w:lang w:val="sv-SE" w:eastAsia="zh-CN"/>
              </w:rPr>
              <w:t>K3</w:t>
            </w:r>
            <w:r w:rsidRPr="00B11B68">
              <w:rPr>
                <w:rFonts w:ascii="Arial" w:hAnsi="Arial" w:cs="Arial"/>
                <w:sz w:val="18"/>
                <w:lang w:eastAsia="zh-CN"/>
              </w:rPr>
              <w:t>)</w:t>
            </w:r>
          </w:p>
        </w:tc>
      </w:tr>
      <w:tr w:rsidR="001E1993" w:rsidRPr="00B85562" w14:paraId="563CB5DA" w14:textId="77777777" w:rsidTr="005145F6">
        <w:trPr>
          <w:trHeight w:val="336"/>
        </w:trPr>
        <w:tc>
          <w:tcPr>
            <w:tcW w:w="9016" w:type="dxa"/>
            <w:gridSpan w:val="6"/>
          </w:tcPr>
          <w:p w14:paraId="770C0E42" w14:textId="77777777" w:rsidR="001E1993" w:rsidRPr="009C5807" w:rsidRDefault="001E1993" w:rsidP="005145F6">
            <w:pPr>
              <w:pStyle w:val="TAN"/>
              <w:rPr>
                <w:snapToGrid w:val="0"/>
                <w:lang w:eastAsia="zh-CN"/>
              </w:rPr>
            </w:pPr>
            <w:r w:rsidRPr="009C5807">
              <w:rPr>
                <w:snapToGrid w:val="0"/>
                <w:lang w:eastAsia="zh-CN"/>
              </w:rPr>
              <w:t>Note 1</w:t>
            </w:r>
            <w:r w:rsidRPr="009C5807">
              <w:t>:</w:t>
            </w:r>
            <w:r w:rsidRPr="009C5807">
              <w:rPr>
                <w:lang w:val="en-US"/>
              </w:rPr>
              <w:tab/>
            </w:r>
            <w:r w:rsidRPr="000C5ADE">
              <w:rPr>
                <w:snapToGrid w:val="0"/>
                <w:lang w:eastAsia="zh-CN"/>
              </w:rPr>
              <w:t>The number of DRX cycles in this table is given for the DRX cycles within PTWs.</w:t>
            </w:r>
          </w:p>
          <w:p w14:paraId="248BE593" w14:textId="77777777" w:rsidR="001E1993" w:rsidRPr="009C5807" w:rsidRDefault="001E1993" w:rsidP="005145F6">
            <w:pPr>
              <w:pStyle w:val="TAN"/>
              <w:rPr>
                <w:snapToGrid w:val="0"/>
                <w:lang w:eastAsia="zh-CN"/>
              </w:rPr>
            </w:pPr>
            <w:r w:rsidRPr="009C5807">
              <w:rPr>
                <w:snapToGrid w:val="0"/>
                <w:lang w:eastAsia="zh-CN"/>
              </w:rPr>
              <w:t xml:space="preserve">Note </w:t>
            </w:r>
            <w:r>
              <w:rPr>
                <w:snapToGrid w:val="0"/>
                <w:lang w:eastAsia="zh-CN"/>
              </w:rPr>
              <w:t>2</w:t>
            </w:r>
            <w:r w:rsidRPr="009C5807">
              <w:t>:</w:t>
            </w:r>
            <w:r w:rsidRPr="009C5807">
              <w:rPr>
                <w:lang w:val="en-US"/>
              </w:rPr>
              <w:tab/>
            </w:r>
            <w:r w:rsidRPr="000C5ADE">
              <w:rPr>
                <w:snapToGrid w:val="0"/>
                <w:lang w:eastAsia="zh-CN"/>
              </w:rPr>
              <w:t>The eDRX_IDLE cycle lengths are as specified in Section 10.5.5.32 of TS 24.008 [34].</w:t>
            </w:r>
          </w:p>
          <w:p w14:paraId="25F30BF3" w14:textId="2FCBFC88" w:rsidR="001E1993" w:rsidRDefault="006956D8" w:rsidP="005145F6">
            <w:pPr>
              <w:pStyle w:val="TAN"/>
              <w:rPr>
                <w:rFonts w:cs="Arial"/>
                <w:iCs/>
              </w:rPr>
            </w:pPr>
            <w:r w:rsidRPr="00AC5D99">
              <w:rPr>
                <w:rFonts w:cs="Arial"/>
                <w:snapToGrid w:val="0"/>
                <w:lang w:eastAsia="zh-CN"/>
              </w:rPr>
              <w:t>Note</w:t>
            </w:r>
            <w:r w:rsidRPr="00AC5D99">
              <w:rPr>
                <w:rFonts w:cs="Arial"/>
                <w:lang w:eastAsia="fr-FR"/>
              </w:rPr>
              <w:t xml:space="preserve"> 3:</w:t>
            </w:r>
            <w:r w:rsidRPr="00AC5D99">
              <w:rPr>
                <w:rFonts w:cs="Arial"/>
                <w:lang w:val="en-US" w:eastAsia="fr-FR"/>
              </w:rPr>
              <w:t xml:space="preserve"> </w:t>
            </w:r>
            <w:r w:rsidRPr="00AC5D99">
              <w:rPr>
                <w:rFonts w:cs="Arial"/>
                <w:lang w:val="en-US" w:eastAsia="fr-FR"/>
              </w:rPr>
              <w:tab/>
            </w:r>
            <w:r w:rsidRPr="00AC5D99">
              <w:rPr>
                <w:rFonts w:cs="Arial"/>
                <w:lang w:eastAsia="fr-FR"/>
              </w:rPr>
              <w:t xml:space="preserve">The lower bound of </w:t>
            </w:r>
            <w:r w:rsidRPr="00AC5D99">
              <w:rPr>
                <w:rFonts w:cs="Arial"/>
                <w:iCs/>
                <w:color w:val="000000" w:themeColor="text1"/>
                <w:lang w:eastAsia="fr-FR"/>
              </w:rPr>
              <w:t>PTW length is derived based on</w:t>
            </w:r>
            <w:r w:rsidRPr="00AC5D99">
              <w:rPr>
                <w:rFonts w:ascii="Cambria Math" w:hAnsi="Cambria Math" w:cs="Arial"/>
                <w:iCs/>
                <w:lang w:eastAsia="fr-FR"/>
              </w:rPr>
              <w:t xml:space="preserve">  </w:t>
            </w:r>
            <m:oMath>
              <m:d>
                <m:dPr>
                  <m:begChr m:val="⌈"/>
                  <m:endChr m:val="⌉"/>
                  <m:ctrlPr>
                    <w:rPr>
                      <w:rFonts w:ascii="Cambria Math" w:hAnsi="Cambria Math" w:cs="Arial"/>
                      <w:iCs/>
                      <w:lang w:eastAsia="fr-FR"/>
                    </w:rPr>
                  </m:ctrlPr>
                </m:dPr>
                <m:e>
                  <m:f>
                    <m:fPr>
                      <m:ctrlPr>
                        <w:rPr>
                          <w:rFonts w:ascii="Cambria Math" w:hAnsi="Cambria Math" w:cs="Arial"/>
                          <w:iCs/>
                          <w:lang w:eastAsia="fr-FR"/>
                        </w:rPr>
                      </m:ctrlPr>
                    </m:fPr>
                    <m:num>
                      <m:r>
                        <m:rPr>
                          <m:sty m:val="p"/>
                        </m:rPr>
                        <w:rPr>
                          <w:rFonts w:ascii="Cambria Math" w:hAnsi="Cambria Math" w:cs="Arial"/>
                          <w:szCs w:val="18"/>
                          <w:lang w:val="en-US" w:eastAsia="fr-FR"/>
                        </w:rPr>
                        <m:t>T</m:t>
                      </m:r>
                      <m:r>
                        <m:rPr>
                          <m:sty m:val="p"/>
                        </m:rPr>
                        <w:rPr>
                          <w:rFonts w:ascii="Cambria Math" w:hAnsi="Cambria Math" w:cs="Arial"/>
                          <w:szCs w:val="18"/>
                          <w:vertAlign w:val="subscript"/>
                          <w:lang w:val="en-US" w:eastAsia="fr-FR"/>
                        </w:rPr>
                        <m:t>evaluate,NR_Intra_RedCap_Relax</m:t>
                      </m:r>
                      <m:r>
                        <m:rPr>
                          <m:sty m:val="p"/>
                        </m:rPr>
                        <w:rPr>
                          <w:rFonts w:ascii="Cambria Math" w:hAnsi="Cambria Math" w:cs="Arial"/>
                          <w:lang w:eastAsia="fr-FR"/>
                        </w:rPr>
                        <m:t>*DRX_cycle</m:t>
                      </m:r>
                    </m:num>
                    <m:den>
                      <m:r>
                        <m:rPr>
                          <m:sty m:val="p"/>
                        </m:rPr>
                        <w:rPr>
                          <w:rFonts w:ascii="Cambria Math" w:hAnsi="Cambria Math" w:cs="Arial"/>
                          <w:lang w:eastAsia="fr-FR"/>
                        </w:rPr>
                        <m:t>1.28</m:t>
                      </m:r>
                    </m:den>
                  </m:f>
                </m:e>
              </m:d>
              <m:r>
                <m:rPr>
                  <m:sty m:val="p"/>
                </m:rPr>
                <w:rPr>
                  <w:rFonts w:ascii="Cambria Math" w:hAnsi="Cambria Math" w:cs="Arial"/>
                  <w:lang w:eastAsia="fr-FR"/>
                </w:rPr>
                <m:t>*1.28</m:t>
              </m:r>
            </m:oMath>
            <w:r w:rsidRPr="00AC5D99">
              <w:rPr>
                <w:rFonts w:cs="Arial"/>
                <w:iCs/>
                <w:lang w:eastAsia="fr-FR"/>
              </w:rPr>
              <w:t>.</w:t>
            </w:r>
          </w:p>
          <w:p w14:paraId="781E310E" w14:textId="77777777" w:rsidR="001E1993" w:rsidRDefault="001E1993" w:rsidP="005145F6">
            <w:pPr>
              <w:pStyle w:val="TAN"/>
              <w:rPr>
                <w:snapToGrid w:val="0"/>
                <w:lang w:eastAsia="zh-CN"/>
              </w:rPr>
            </w:pPr>
            <w:r w:rsidRPr="009C5807">
              <w:rPr>
                <w:snapToGrid w:val="0"/>
                <w:lang w:eastAsia="zh-CN"/>
              </w:rPr>
              <w:t xml:space="preserve">Note </w:t>
            </w:r>
            <w:r>
              <w:rPr>
                <w:snapToGrid w:val="0"/>
                <w:lang w:eastAsia="zh-CN"/>
              </w:rPr>
              <w:t>4</w:t>
            </w:r>
            <w:r w:rsidRPr="009C5807">
              <w:rPr>
                <w:snapToGrid w:val="0"/>
                <w:lang w:eastAsia="zh-CN"/>
              </w:rPr>
              <w:t>:</w:t>
            </w:r>
            <w:r w:rsidRPr="009C5807">
              <w:rPr>
                <w:lang w:val="en-US"/>
              </w:rPr>
              <w:tab/>
            </w:r>
            <w:r w:rsidRPr="009C5807">
              <w:rPr>
                <w:snapToGrid w:val="0"/>
                <w:lang w:eastAsia="zh-CN"/>
              </w:rPr>
              <w:t>M2 = 1.5 if SMTC periodicity</w:t>
            </w:r>
            <w:r w:rsidRPr="009C5807">
              <w:t xml:space="preserve"> </w:t>
            </w:r>
            <w:r w:rsidRPr="009C5807">
              <w:rPr>
                <w:snapToGrid w:val="0"/>
                <w:lang w:eastAsia="zh-CN"/>
              </w:rPr>
              <w:t>of measured intra-frequency cell &gt; 20 ms; otherwise M2=1.</w:t>
            </w:r>
            <w:r>
              <w:t xml:space="preserve"> </w:t>
            </w:r>
            <w:r w:rsidRPr="000359AF">
              <w:rPr>
                <w:snapToGrid w:val="0"/>
                <w:lang w:eastAsia="zh-CN"/>
              </w:rPr>
              <w:t>If different SMTC periodicities are configured for different cells, the SMTC periodicity in this note is the one used by the cell being identified.</w:t>
            </w:r>
            <w:r>
              <w:rPr>
                <w:snapToGrid w:val="0"/>
                <w:lang w:eastAsia="zh-CN"/>
              </w:rPr>
              <w:t xml:space="preserve"> </w:t>
            </w:r>
            <w:r w:rsidRPr="009B7158">
              <w:rPr>
                <w:snapToGrid w:val="0"/>
                <w:lang w:eastAsia="zh-CN"/>
              </w:rPr>
              <w:t>During PSS/SSS detection, the periodicity of the SMTC configured for the intra-frequency carrier is assumed, and if the actual SSB transmission periodicity is greater than the SMTC configured for the intra-frequency carrier, longer T</w:t>
            </w:r>
            <w:r w:rsidRPr="007C55F6">
              <w:rPr>
                <w:snapToGrid w:val="0"/>
                <w:vertAlign w:val="subscript"/>
                <w:lang w:eastAsia="zh-CN"/>
              </w:rPr>
              <w:t>detect, NR_intra</w:t>
            </w:r>
            <w:r>
              <w:rPr>
                <w:vertAlign w:val="subscript"/>
                <w:lang w:val="en-US"/>
              </w:rPr>
              <w:t>_RedCap</w:t>
            </w:r>
            <w:r w:rsidRPr="00ED700F">
              <w:rPr>
                <w:snapToGrid w:val="0"/>
                <w:lang w:eastAsia="zh-CN"/>
              </w:rPr>
              <w:t xml:space="preserve"> </w:t>
            </w:r>
            <w:r w:rsidRPr="009B7158">
              <w:rPr>
                <w:snapToGrid w:val="0"/>
                <w:lang w:eastAsia="zh-CN"/>
              </w:rPr>
              <w:t>is expected.</w:t>
            </w:r>
          </w:p>
          <w:p w14:paraId="394CE6BD" w14:textId="77777777" w:rsidR="001E1993" w:rsidRPr="0082197E" w:rsidRDefault="001E1993" w:rsidP="005145F6">
            <w:pPr>
              <w:pStyle w:val="TAN"/>
              <w:rPr>
                <w:snapToGrid w:val="0"/>
                <w:lang w:eastAsia="zh-CN"/>
              </w:rPr>
            </w:pPr>
            <w:r>
              <w:rPr>
                <w:snapToGrid w:val="0"/>
                <w:lang w:eastAsia="zh-CN"/>
              </w:rPr>
              <w:t>Note 5:</w:t>
            </w:r>
            <w:r>
              <w:rPr>
                <w:snapToGrid w:val="0"/>
                <w:lang w:eastAsia="zh-CN"/>
              </w:rPr>
              <w:tab/>
            </w:r>
            <w:r w:rsidRPr="002C65ED">
              <w:rPr>
                <w:snapToGrid w:val="0"/>
                <w:lang w:eastAsia="zh-CN"/>
              </w:rPr>
              <w:t>K3 = 6 is the measurement relaxation factor applicable for UE fulfilling the stationaryMobilityEvaluation [2] criterion.</w:t>
            </w:r>
          </w:p>
        </w:tc>
      </w:tr>
    </w:tbl>
    <w:p w14:paraId="72195A30" w14:textId="77777777" w:rsidR="001E1993" w:rsidRDefault="001E1993" w:rsidP="001E1993"/>
    <w:p w14:paraId="272A06BB" w14:textId="77777777" w:rsidR="001E1993" w:rsidRPr="00AD5C2C" w:rsidRDefault="001E1993" w:rsidP="001E1993">
      <w:pPr>
        <w:pStyle w:val="TH"/>
        <w:rPr>
          <w:lang w:val="en-US"/>
        </w:rPr>
      </w:pPr>
      <w:r w:rsidRPr="0082197E">
        <w:rPr>
          <w:lang w:val="en-US"/>
        </w:rPr>
        <w:t>Table 4.2B.2.9.2-</w:t>
      </w:r>
      <w:r>
        <w:rPr>
          <w:lang w:val="en-US"/>
        </w:rPr>
        <w:t>6</w:t>
      </w:r>
      <w:r w:rsidRPr="0082197E">
        <w:rPr>
          <w:lang w:val="en-US"/>
        </w:rPr>
        <w:t>:</w:t>
      </w:r>
      <w:r w:rsidRPr="00AD5C2C">
        <w:rPr>
          <w:lang w:val="en-US"/>
        </w:rPr>
        <w:t xml:space="preserve"> T</w:t>
      </w:r>
      <w:r w:rsidRPr="00AD5C2C">
        <w:rPr>
          <w:vertAlign w:val="subscript"/>
          <w:lang w:val="en-US"/>
        </w:rPr>
        <w:t>detect,NR_Intra_RedCap</w:t>
      </w:r>
      <w:r>
        <w:rPr>
          <w:vertAlign w:val="subscript"/>
          <w:lang w:val="en-US"/>
        </w:rPr>
        <w:t>_Relax</w:t>
      </w:r>
      <w:r w:rsidRPr="00AD5C2C">
        <w:rPr>
          <w:lang w:val="en-US"/>
        </w:rPr>
        <w:t>, T</w:t>
      </w:r>
      <w:r w:rsidRPr="00AD5C2C">
        <w:rPr>
          <w:vertAlign w:val="subscript"/>
          <w:lang w:val="en-US"/>
        </w:rPr>
        <w:t>measure,NR_Intra_RedCap</w:t>
      </w:r>
      <w:r>
        <w:rPr>
          <w:vertAlign w:val="subscript"/>
          <w:lang w:val="en-US"/>
        </w:rPr>
        <w:t>_Relax</w:t>
      </w:r>
      <w:r w:rsidRPr="00AD5C2C">
        <w:rPr>
          <w:lang w:val="en-US"/>
        </w:rPr>
        <w:t xml:space="preserve"> and T</w:t>
      </w:r>
      <w:r w:rsidRPr="00AD5C2C">
        <w:rPr>
          <w:vertAlign w:val="subscript"/>
          <w:lang w:val="en-US"/>
        </w:rPr>
        <w:t>evaluate,NR_Intra_RedCap</w:t>
      </w:r>
      <w:r>
        <w:rPr>
          <w:vertAlign w:val="subscript"/>
          <w:lang w:val="en-US"/>
        </w:rPr>
        <w:t>_Relax</w:t>
      </w:r>
      <w:r w:rsidRPr="00AD5C2C">
        <w:rPr>
          <w:lang w:val="en-US"/>
        </w:rPr>
        <w:t xml:space="preserve"> for UE configured with eDRX_IDLE cycle (Frequency range FR</w:t>
      </w:r>
      <w:r>
        <w:rPr>
          <w:lang w:val="en-US"/>
        </w:rPr>
        <w:t>2</w:t>
      </w:r>
      <w:r w:rsidRPr="00AD5C2C">
        <w:rPr>
          <w:lang w:val="en-US"/>
        </w:rPr>
        <w:t>)</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757"/>
        <w:gridCol w:w="977"/>
        <w:gridCol w:w="931"/>
        <w:gridCol w:w="2244"/>
        <w:gridCol w:w="179"/>
        <w:gridCol w:w="1528"/>
        <w:gridCol w:w="1621"/>
      </w:tblGrid>
      <w:tr w:rsidR="001E1993" w:rsidRPr="00B85562" w14:paraId="59EDB6FE" w14:textId="77777777" w:rsidTr="005145F6">
        <w:trPr>
          <w:trHeight w:val="1692"/>
        </w:trPr>
        <w:tc>
          <w:tcPr>
            <w:tcW w:w="639" w:type="pct"/>
            <w:hideMark/>
          </w:tcPr>
          <w:p w14:paraId="1250F161" w14:textId="77777777" w:rsidR="001E1993" w:rsidRPr="00581E8E" w:rsidRDefault="001E1993" w:rsidP="005145F6">
            <w:pPr>
              <w:rPr>
                <w:rFonts w:ascii="Arial" w:hAnsi="Arial" w:cs="Arial"/>
                <w:sz w:val="18"/>
                <w:lang w:val="en-US" w:eastAsia="zh-CN"/>
              </w:rPr>
            </w:pPr>
            <w:r w:rsidRPr="00581E8E">
              <w:rPr>
                <w:rFonts w:ascii="Arial" w:hAnsi="Arial" w:cs="Arial"/>
                <w:b/>
                <w:sz w:val="18"/>
                <w:lang w:eastAsia="zh-CN"/>
              </w:rPr>
              <w:t>eDRX_IDLE cycle length [s]</w:t>
            </w:r>
          </w:p>
        </w:tc>
        <w:tc>
          <w:tcPr>
            <w:tcW w:w="401" w:type="pct"/>
            <w:hideMark/>
          </w:tcPr>
          <w:p w14:paraId="4648C79E" w14:textId="77777777" w:rsidR="001E1993" w:rsidRPr="00581E8E" w:rsidRDefault="001E1993" w:rsidP="005145F6">
            <w:pPr>
              <w:rPr>
                <w:rFonts w:ascii="Arial" w:hAnsi="Arial" w:cs="Arial"/>
                <w:sz w:val="18"/>
                <w:lang w:val="en-US" w:eastAsia="zh-CN"/>
              </w:rPr>
            </w:pPr>
            <w:r w:rsidRPr="00581E8E">
              <w:rPr>
                <w:rFonts w:ascii="Arial" w:hAnsi="Arial" w:cs="Arial"/>
                <w:b/>
                <w:sz w:val="18"/>
                <w:lang w:eastAsia="zh-CN"/>
              </w:rPr>
              <w:t>DRX cycle length [s]</w:t>
            </w:r>
          </w:p>
        </w:tc>
        <w:tc>
          <w:tcPr>
            <w:tcW w:w="517" w:type="pct"/>
            <w:hideMark/>
          </w:tcPr>
          <w:p w14:paraId="711EC6C5" w14:textId="77777777" w:rsidR="001E1993" w:rsidRPr="00581E8E" w:rsidRDefault="001E1993" w:rsidP="005145F6">
            <w:pPr>
              <w:rPr>
                <w:rFonts w:ascii="Arial" w:hAnsi="Arial" w:cs="Arial"/>
                <w:sz w:val="18"/>
                <w:lang w:val="en-US" w:eastAsia="zh-CN"/>
              </w:rPr>
            </w:pPr>
            <w:r w:rsidRPr="00581E8E">
              <w:rPr>
                <w:rFonts w:ascii="Arial" w:hAnsi="Arial" w:cs="Arial"/>
                <w:b/>
                <w:sz w:val="18"/>
                <w:lang w:eastAsia="zh-CN"/>
              </w:rPr>
              <w:t>PTW length [s] (number of 1.28s periods)</w:t>
            </w:r>
          </w:p>
        </w:tc>
        <w:tc>
          <w:tcPr>
            <w:tcW w:w="493" w:type="pct"/>
          </w:tcPr>
          <w:p w14:paraId="44BC739E" w14:textId="77777777" w:rsidR="001E1993" w:rsidRPr="00581E8E" w:rsidRDefault="001E1993" w:rsidP="005145F6">
            <w:pPr>
              <w:rPr>
                <w:rFonts w:ascii="Arial" w:hAnsi="Arial" w:cs="Arial"/>
                <w:b/>
                <w:sz w:val="18"/>
                <w:lang w:eastAsia="zh-CN"/>
              </w:rPr>
            </w:pPr>
            <w:r w:rsidRPr="00581E8E">
              <w:rPr>
                <w:rFonts w:ascii="Arial" w:hAnsi="Arial" w:cs="Arial"/>
                <w:b/>
                <w:sz w:val="18"/>
                <w:lang w:eastAsia="zh-CN"/>
              </w:rPr>
              <w:t>Scaling Factor (N1)</w:t>
            </w:r>
            <w:r w:rsidRPr="002615F9">
              <w:rPr>
                <w:rFonts w:ascii="Arial" w:hAnsi="Arial" w:cs="Arial"/>
                <w:vertAlign w:val="superscript"/>
              </w:rPr>
              <w:t xml:space="preserve"> Note1</w:t>
            </w:r>
          </w:p>
        </w:tc>
        <w:tc>
          <w:tcPr>
            <w:tcW w:w="1188" w:type="pct"/>
            <w:hideMark/>
          </w:tcPr>
          <w:p w14:paraId="0CAC5E93" w14:textId="77777777" w:rsidR="001E1993" w:rsidRPr="00581E8E" w:rsidRDefault="001E1993" w:rsidP="005145F6">
            <w:pPr>
              <w:rPr>
                <w:rFonts w:ascii="Arial" w:hAnsi="Arial" w:cs="Arial"/>
                <w:sz w:val="18"/>
                <w:lang w:val="en-US" w:eastAsia="zh-CN"/>
              </w:rPr>
            </w:pPr>
            <w:r w:rsidRPr="00581E8E">
              <w:rPr>
                <w:rFonts w:ascii="Arial" w:hAnsi="Arial" w:cs="Arial"/>
                <w:b/>
                <w:bCs/>
                <w:sz w:val="18"/>
                <w:szCs w:val="18"/>
              </w:rPr>
              <w:t>T</w:t>
            </w:r>
            <w:r w:rsidRPr="00581E8E">
              <w:rPr>
                <w:rFonts w:ascii="Arial" w:hAnsi="Arial" w:cs="Arial"/>
                <w:b/>
                <w:bCs/>
                <w:sz w:val="18"/>
                <w:szCs w:val="18"/>
                <w:vertAlign w:val="subscript"/>
              </w:rPr>
              <w:t>detect,NR_Int</w:t>
            </w:r>
            <w:r>
              <w:rPr>
                <w:rFonts w:ascii="Arial" w:hAnsi="Arial" w:cs="Arial"/>
                <w:b/>
                <w:bCs/>
                <w:sz w:val="18"/>
                <w:szCs w:val="18"/>
                <w:vertAlign w:val="subscript"/>
              </w:rPr>
              <w:t>ra</w:t>
            </w:r>
            <w:r w:rsidRPr="00581E8E">
              <w:rPr>
                <w:rFonts w:ascii="Arial" w:hAnsi="Arial" w:cs="Arial"/>
                <w:b/>
                <w:bCs/>
                <w:sz w:val="18"/>
                <w:szCs w:val="18"/>
                <w:vertAlign w:val="subscript"/>
              </w:rPr>
              <w:t>_RedCap</w:t>
            </w:r>
            <w:r>
              <w:rPr>
                <w:rFonts w:ascii="Arial" w:hAnsi="Arial" w:cs="Arial"/>
                <w:b/>
                <w:bCs/>
                <w:sz w:val="18"/>
                <w:szCs w:val="18"/>
                <w:vertAlign w:val="subscript"/>
              </w:rPr>
              <w:t>_Relax</w:t>
            </w:r>
            <w:r w:rsidRPr="00581E8E">
              <w:rPr>
                <w:rFonts w:ascii="Arial" w:hAnsi="Arial" w:cs="Arial"/>
                <w:b/>
                <w:sz w:val="18"/>
                <w:szCs w:val="18"/>
                <w:lang w:eastAsia="zh-CN"/>
              </w:rPr>
              <w:t xml:space="preserve"> [s] (number of DRX cycles</w:t>
            </w:r>
            <w:r>
              <w:rPr>
                <w:rFonts w:ascii="Arial" w:hAnsi="Arial" w:cs="Arial"/>
                <w:b/>
                <w:bCs/>
                <w:sz w:val="18"/>
                <w:szCs w:val="18"/>
                <w:lang w:eastAsia="zh-CN"/>
              </w:rPr>
              <w:t xml:space="preserve"> or eDRX cycles </w:t>
            </w:r>
            <w:r w:rsidRPr="00CD5296">
              <w:rPr>
                <w:rFonts w:ascii="Arial" w:hAnsi="Arial" w:cs="Arial"/>
                <w:b/>
                <w:bCs/>
                <w:sz w:val="18"/>
                <w:szCs w:val="18"/>
                <w:vertAlign w:val="superscript"/>
                <w:lang w:eastAsia="zh-CN"/>
              </w:rPr>
              <w:t>Note 3</w:t>
            </w:r>
            <w:r w:rsidRPr="00581E8E">
              <w:rPr>
                <w:rFonts w:ascii="Arial" w:hAnsi="Arial" w:cs="Arial"/>
                <w:b/>
                <w:sz w:val="18"/>
                <w:szCs w:val="18"/>
                <w:lang w:eastAsia="zh-CN"/>
              </w:rPr>
              <w:t>)</w:t>
            </w:r>
          </w:p>
        </w:tc>
        <w:tc>
          <w:tcPr>
            <w:tcW w:w="904" w:type="pct"/>
            <w:gridSpan w:val="2"/>
            <w:hideMark/>
          </w:tcPr>
          <w:p w14:paraId="4BB4EFA3" w14:textId="77777777" w:rsidR="001E1993" w:rsidRPr="00581E8E" w:rsidRDefault="001E1993" w:rsidP="005145F6">
            <w:pPr>
              <w:rPr>
                <w:rFonts w:ascii="Arial" w:hAnsi="Arial" w:cs="Arial"/>
                <w:sz w:val="18"/>
                <w:lang w:val="en-US" w:eastAsia="zh-CN"/>
              </w:rPr>
            </w:pPr>
            <w:r w:rsidRPr="00581E8E">
              <w:rPr>
                <w:rFonts w:ascii="Arial" w:hAnsi="Arial" w:cs="Arial"/>
                <w:b/>
                <w:bCs/>
                <w:sz w:val="18"/>
                <w:szCs w:val="18"/>
              </w:rPr>
              <w:t>T</w:t>
            </w:r>
            <w:r w:rsidRPr="00581E8E">
              <w:rPr>
                <w:rFonts w:ascii="Arial" w:hAnsi="Arial" w:cs="Arial"/>
                <w:b/>
                <w:bCs/>
                <w:sz w:val="18"/>
                <w:szCs w:val="18"/>
                <w:vertAlign w:val="subscript"/>
              </w:rPr>
              <w:t>measure,NR_Int</w:t>
            </w:r>
            <w:r>
              <w:rPr>
                <w:rFonts w:ascii="Arial" w:hAnsi="Arial" w:cs="Arial"/>
                <w:b/>
                <w:bCs/>
                <w:sz w:val="18"/>
                <w:szCs w:val="18"/>
                <w:vertAlign w:val="subscript"/>
              </w:rPr>
              <w:t>ra</w:t>
            </w:r>
            <w:r w:rsidRPr="00581E8E">
              <w:rPr>
                <w:rFonts w:ascii="Arial" w:hAnsi="Arial" w:cs="Arial"/>
                <w:b/>
                <w:bCs/>
                <w:sz w:val="18"/>
                <w:szCs w:val="18"/>
                <w:vertAlign w:val="subscript"/>
              </w:rPr>
              <w:t>_RedCap</w:t>
            </w:r>
            <w:r>
              <w:rPr>
                <w:rFonts w:ascii="Arial" w:hAnsi="Arial" w:cs="Arial"/>
                <w:b/>
                <w:bCs/>
                <w:sz w:val="18"/>
                <w:szCs w:val="18"/>
                <w:vertAlign w:val="subscript"/>
              </w:rPr>
              <w:t>_Relax</w:t>
            </w:r>
            <w:r w:rsidRPr="00581E8E">
              <w:rPr>
                <w:sz w:val="18"/>
                <w:szCs w:val="18"/>
              </w:rPr>
              <w:t xml:space="preserve"> </w:t>
            </w:r>
            <w:r w:rsidRPr="00581E8E">
              <w:rPr>
                <w:rFonts w:ascii="Arial" w:hAnsi="Arial" w:cs="Arial"/>
                <w:b/>
                <w:sz w:val="18"/>
                <w:szCs w:val="18"/>
                <w:lang w:eastAsia="zh-CN"/>
              </w:rPr>
              <w:t>[s] (number of DRX cycles</w:t>
            </w:r>
            <w:r>
              <w:rPr>
                <w:rFonts w:ascii="Arial" w:hAnsi="Arial" w:cs="Arial"/>
                <w:b/>
                <w:bCs/>
                <w:sz w:val="18"/>
                <w:szCs w:val="18"/>
                <w:lang w:eastAsia="zh-CN"/>
              </w:rPr>
              <w:t xml:space="preserve"> or eDRX cycles </w:t>
            </w:r>
            <w:r w:rsidRPr="00CD5296">
              <w:rPr>
                <w:rFonts w:ascii="Arial" w:hAnsi="Arial" w:cs="Arial"/>
                <w:b/>
                <w:bCs/>
                <w:sz w:val="18"/>
                <w:szCs w:val="18"/>
                <w:vertAlign w:val="superscript"/>
                <w:lang w:eastAsia="zh-CN"/>
              </w:rPr>
              <w:t>Note 3</w:t>
            </w:r>
            <w:r w:rsidRPr="00581E8E">
              <w:rPr>
                <w:rFonts w:ascii="Arial" w:hAnsi="Arial" w:cs="Arial"/>
                <w:b/>
                <w:sz w:val="18"/>
                <w:szCs w:val="18"/>
                <w:lang w:eastAsia="zh-CN"/>
              </w:rPr>
              <w:t>)</w:t>
            </w:r>
          </w:p>
        </w:tc>
        <w:tc>
          <w:tcPr>
            <w:tcW w:w="858" w:type="pct"/>
            <w:hideMark/>
          </w:tcPr>
          <w:p w14:paraId="775A2FEE" w14:textId="77777777" w:rsidR="001E1993" w:rsidRPr="00581E8E" w:rsidRDefault="001E1993" w:rsidP="005145F6">
            <w:pPr>
              <w:rPr>
                <w:rFonts w:ascii="Arial" w:hAnsi="Arial" w:cs="Arial"/>
                <w:sz w:val="18"/>
                <w:lang w:val="en-US" w:eastAsia="zh-CN"/>
              </w:rPr>
            </w:pPr>
            <w:r w:rsidRPr="00581E8E">
              <w:rPr>
                <w:rFonts w:ascii="Arial" w:hAnsi="Arial" w:cs="Arial"/>
                <w:b/>
                <w:bCs/>
                <w:sz w:val="18"/>
                <w:szCs w:val="18"/>
              </w:rPr>
              <w:t>T</w:t>
            </w:r>
            <w:r w:rsidRPr="00581E8E">
              <w:rPr>
                <w:rFonts w:ascii="Arial" w:hAnsi="Arial" w:cs="Arial"/>
                <w:b/>
                <w:bCs/>
                <w:sz w:val="18"/>
                <w:szCs w:val="18"/>
                <w:vertAlign w:val="subscript"/>
              </w:rPr>
              <w:t>evaluate,NR_Int</w:t>
            </w:r>
            <w:r>
              <w:rPr>
                <w:rFonts w:ascii="Arial" w:hAnsi="Arial" w:cs="Arial"/>
                <w:b/>
                <w:bCs/>
                <w:sz w:val="18"/>
                <w:szCs w:val="18"/>
                <w:vertAlign w:val="subscript"/>
              </w:rPr>
              <w:t>ra</w:t>
            </w:r>
            <w:r w:rsidRPr="00581E8E">
              <w:rPr>
                <w:rFonts w:ascii="Arial" w:hAnsi="Arial" w:cs="Arial"/>
                <w:b/>
                <w:bCs/>
                <w:sz w:val="18"/>
                <w:szCs w:val="18"/>
                <w:vertAlign w:val="subscript"/>
              </w:rPr>
              <w:t>_RedCap</w:t>
            </w:r>
            <w:r>
              <w:rPr>
                <w:rFonts w:ascii="Arial" w:hAnsi="Arial" w:cs="Arial"/>
                <w:b/>
                <w:bCs/>
                <w:sz w:val="18"/>
                <w:szCs w:val="18"/>
                <w:vertAlign w:val="subscript"/>
              </w:rPr>
              <w:t>_Relax</w:t>
            </w:r>
            <w:r w:rsidRPr="00581E8E">
              <w:rPr>
                <w:sz w:val="18"/>
                <w:szCs w:val="18"/>
                <w:vertAlign w:val="subscript"/>
                <w:lang w:val="en-US"/>
              </w:rPr>
              <w:t xml:space="preserve"> </w:t>
            </w:r>
            <w:r w:rsidRPr="00581E8E">
              <w:rPr>
                <w:rFonts w:ascii="Arial" w:hAnsi="Arial" w:cs="Arial"/>
                <w:b/>
                <w:sz w:val="18"/>
                <w:szCs w:val="18"/>
                <w:lang w:eastAsia="zh-CN"/>
              </w:rPr>
              <w:t>[s] (number of DRX cycles</w:t>
            </w:r>
            <w:r>
              <w:rPr>
                <w:rFonts w:ascii="Arial" w:hAnsi="Arial" w:cs="Arial"/>
                <w:b/>
                <w:bCs/>
                <w:sz w:val="18"/>
                <w:szCs w:val="18"/>
                <w:lang w:eastAsia="zh-CN"/>
              </w:rPr>
              <w:t xml:space="preserve"> or eDRX cycles </w:t>
            </w:r>
            <w:r w:rsidRPr="00CD5296">
              <w:rPr>
                <w:rFonts w:ascii="Arial" w:hAnsi="Arial" w:cs="Arial"/>
                <w:b/>
                <w:bCs/>
                <w:sz w:val="18"/>
                <w:szCs w:val="18"/>
                <w:vertAlign w:val="superscript"/>
                <w:lang w:eastAsia="zh-CN"/>
              </w:rPr>
              <w:t>Note 3</w:t>
            </w:r>
            <w:r w:rsidRPr="00581E8E">
              <w:rPr>
                <w:rFonts w:ascii="Arial" w:hAnsi="Arial" w:cs="Arial"/>
                <w:b/>
                <w:sz w:val="18"/>
                <w:szCs w:val="18"/>
                <w:lang w:eastAsia="zh-CN"/>
              </w:rPr>
              <w:t>)</w:t>
            </w:r>
          </w:p>
        </w:tc>
      </w:tr>
      <w:tr w:rsidR="001E1993" w:rsidRPr="00B85562" w14:paraId="0154D8E1" w14:textId="77777777" w:rsidTr="005145F6">
        <w:trPr>
          <w:trHeight w:val="673"/>
        </w:trPr>
        <w:tc>
          <w:tcPr>
            <w:tcW w:w="639" w:type="pct"/>
            <w:vMerge w:val="restart"/>
            <w:hideMark/>
          </w:tcPr>
          <w:p w14:paraId="0F922018" w14:textId="22DCA72A" w:rsidR="001E1993" w:rsidRPr="00581E8E" w:rsidRDefault="001E1993" w:rsidP="00E45A0C">
            <w:pPr>
              <w:pStyle w:val="TAL"/>
              <w:rPr>
                <w:lang w:val="en-US" w:eastAsia="zh-CN"/>
              </w:rPr>
            </w:pPr>
            <w:r w:rsidRPr="00581E8E">
              <w:rPr>
                <w:lang w:eastAsia="zh-CN"/>
              </w:rPr>
              <w:t>20.48 ≤</w:t>
            </w:r>
            <w:r w:rsidRPr="00CA7017">
              <w:t xml:space="preserve"> </w:t>
            </w:r>
            <w:r w:rsidRPr="00581E8E">
              <w:rPr>
                <w:lang w:eastAsia="zh-CN"/>
              </w:rPr>
              <w:t xml:space="preserve"> eDRX_IDLE cycle length ≤</w:t>
            </w:r>
            <w:r>
              <w:rPr>
                <w:lang w:eastAsia="zh-CN"/>
              </w:rPr>
              <w:t>[163.84]</w:t>
            </w:r>
          </w:p>
        </w:tc>
        <w:tc>
          <w:tcPr>
            <w:tcW w:w="401" w:type="pct"/>
            <w:hideMark/>
          </w:tcPr>
          <w:p w14:paraId="73E5E8D2" w14:textId="77777777" w:rsidR="001E1993" w:rsidRPr="00581E8E" w:rsidRDefault="001E1993" w:rsidP="00E45A0C">
            <w:pPr>
              <w:pStyle w:val="TAL"/>
              <w:rPr>
                <w:lang w:val="en-US" w:eastAsia="zh-CN"/>
              </w:rPr>
            </w:pPr>
            <w:r w:rsidRPr="00581E8E">
              <w:rPr>
                <w:lang w:eastAsia="zh-CN"/>
              </w:rPr>
              <w:t>0.32</w:t>
            </w:r>
          </w:p>
        </w:tc>
        <w:tc>
          <w:tcPr>
            <w:tcW w:w="517" w:type="pct"/>
            <w:hideMark/>
          </w:tcPr>
          <w:p w14:paraId="5621B1A8" w14:textId="0605C310" w:rsidR="001E1993" w:rsidRPr="00581E8E" w:rsidRDefault="001E1993" w:rsidP="00E45A0C">
            <w:pPr>
              <w:pStyle w:val="TAL"/>
              <w:rPr>
                <w:lang w:val="en-US" w:eastAsia="zh-CN"/>
              </w:rPr>
            </w:pPr>
            <w:r w:rsidRPr="00581E8E">
              <w:rPr>
                <w:lang w:eastAsia="zh-CN"/>
              </w:rPr>
              <w:t>≥</w:t>
            </w:r>
            <w:r>
              <w:rPr>
                <w:lang w:eastAsia="zh-CN"/>
              </w:rPr>
              <w:t>30.72</w:t>
            </w:r>
            <w:r w:rsidRPr="00581E8E">
              <w:rPr>
                <w:lang w:eastAsia="zh-CN"/>
              </w:rPr>
              <w:t xml:space="preserve"> (</w:t>
            </w:r>
            <w:r>
              <w:rPr>
                <w:lang w:eastAsia="zh-CN"/>
              </w:rPr>
              <w:t>2</w:t>
            </w:r>
            <w:r w:rsidRPr="00581E8E">
              <w:rPr>
                <w:lang w:eastAsia="zh-CN"/>
              </w:rPr>
              <w:t>4)</w:t>
            </w:r>
          </w:p>
        </w:tc>
        <w:tc>
          <w:tcPr>
            <w:tcW w:w="493" w:type="pct"/>
          </w:tcPr>
          <w:p w14:paraId="65A94D20" w14:textId="77777777" w:rsidR="001E1993" w:rsidRPr="00581E8E" w:rsidRDefault="001E1993" w:rsidP="00E45A0C">
            <w:pPr>
              <w:pStyle w:val="TAL"/>
              <w:rPr>
                <w:lang w:val="en-US" w:eastAsia="zh-CN"/>
              </w:rPr>
            </w:pPr>
            <w:r>
              <w:rPr>
                <w:lang w:val="en-US" w:eastAsia="zh-CN"/>
              </w:rPr>
              <w:t>8</w:t>
            </w:r>
          </w:p>
        </w:tc>
        <w:tc>
          <w:tcPr>
            <w:tcW w:w="1283" w:type="pct"/>
            <w:gridSpan w:val="2"/>
            <w:vMerge w:val="restart"/>
            <w:hideMark/>
          </w:tcPr>
          <w:p w14:paraId="2B00AF53" w14:textId="77777777" w:rsidR="001E1993" w:rsidRPr="004E7C48" w:rsidRDefault="001E1993" w:rsidP="00E45A0C">
            <w:pPr>
              <w:pStyle w:val="TAL"/>
              <w:rPr>
                <w:rFonts w:cs="Arial"/>
                <w:lang w:val="sv-SE" w:eastAsia="zh-CN"/>
              </w:rPr>
            </w:pPr>
            <w:r w:rsidRPr="0082197E">
              <w:rPr>
                <w:rFonts w:cs="Arial"/>
                <w:lang w:val="sv-SE" w:eastAsia="zh-CN"/>
              </w:rPr>
              <w:t>K3</w:t>
            </w:r>
            <w:r>
              <w:rPr>
                <w:rFonts w:cs="Arial"/>
                <w:lang w:val="sv-SE" w:eastAsia="zh-CN"/>
              </w:rPr>
              <w:t xml:space="preserve"> x </w:t>
            </w:r>
            <m:oMath>
              <m:r>
                <w:rPr>
                  <w:rFonts w:ascii="Cambria Math" w:hAnsi="Cambria Math" w:cs="Arial"/>
                  <w:lang w:val="en-US" w:eastAsia="zh-CN"/>
                </w:rPr>
                <m:t>eDRX</m:t>
              </m:r>
              <m:r>
                <m:rPr>
                  <m:sty m:val="p"/>
                </m:rPr>
                <w:rPr>
                  <w:rFonts w:ascii="Cambria Math" w:hAnsi="Cambria Math" w:cs="Arial"/>
                  <w:lang w:val="sv-SE" w:eastAsia="zh-CN"/>
                </w:rPr>
                <m:t>_</m:t>
              </m:r>
              <m:r>
                <w:rPr>
                  <w:rFonts w:ascii="Cambria Math" w:hAnsi="Cambria Math" w:cs="Arial"/>
                  <w:lang w:val="en-US" w:eastAsia="zh-CN"/>
                </w:rPr>
                <m:t>cycl</m:t>
              </m:r>
              <m:r>
                <m:rPr>
                  <m:sty m:val="p"/>
                </m:rPr>
                <w:rPr>
                  <w:rFonts w:ascii="Cambria Math" w:hAnsi="Cambria Math" w:cs="Arial"/>
                  <w:lang w:val="sv-SE" w:eastAsia="zh-CN"/>
                </w:rPr>
                <m:t>e_</m:t>
              </m:r>
              <m:r>
                <w:rPr>
                  <w:rFonts w:ascii="Cambria Math" w:hAnsi="Cambria Math" w:cs="Arial"/>
                  <w:lang w:val="en-US" w:eastAsia="zh-CN"/>
                </w:rPr>
                <m:t>lengt</m:t>
              </m:r>
              <m:r>
                <w:rPr>
                  <w:rFonts w:ascii="Cambria Math" w:hAnsi="Cambria Math" w:cs="Arial"/>
                  <w:lang w:val="sv-SE" w:eastAsia="zh-CN"/>
                </w:rPr>
                <m:t>h×</m:t>
              </m:r>
              <m:d>
                <m:dPr>
                  <m:begChr m:val="⌈"/>
                  <m:endChr m:val="⌉"/>
                  <m:ctrlPr>
                    <w:rPr>
                      <w:rFonts w:ascii="Cambria Math" w:hAnsi="Cambria Math" w:cs="Arial"/>
                      <w:i/>
                      <w:lang w:val="en-US" w:eastAsia="zh-CN"/>
                    </w:rPr>
                  </m:ctrlPr>
                </m:dPr>
                <m:e>
                  <m:f>
                    <m:fPr>
                      <m:ctrlPr>
                        <w:rPr>
                          <w:rFonts w:ascii="Cambria Math" w:hAnsi="Cambria Math" w:cs="Arial"/>
                          <w:i/>
                          <w:lang w:val="en-US" w:eastAsia="zh-CN"/>
                        </w:rPr>
                      </m:ctrlPr>
                    </m:fPr>
                    <m:num>
                      <m:r>
                        <w:rPr>
                          <w:rFonts w:ascii="Cambria Math" w:hAnsi="Cambria Math" w:cs="Arial"/>
                          <w:lang w:val="sv-SE" w:eastAsia="zh-CN"/>
                        </w:rPr>
                        <m:t>23×</m:t>
                      </m:r>
                      <m:r>
                        <w:rPr>
                          <w:rFonts w:ascii="Cambria Math" w:hAnsi="Cambria Math" w:cs="Arial"/>
                          <w:lang w:val="en-US" w:eastAsia="zh-CN"/>
                        </w:rPr>
                        <m:t>N</m:t>
                      </m:r>
                      <m:r>
                        <w:rPr>
                          <w:rFonts w:ascii="Cambria Math" w:hAnsi="Cambria Math" w:cs="Arial"/>
                          <w:lang w:val="sv-SE" w:eastAsia="zh-CN"/>
                        </w:rPr>
                        <m:t>1</m:t>
                      </m:r>
                    </m:num>
                    <m:den>
                      <m:r>
                        <w:rPr>
                          <w:rFonts w:ascii="Cambria Math" w:hAnsi="Cambria Math" w:cs="Arial"/>
                          <w:lang w:val="en-US" w:eastAsia="zh-CN"/>
                        </w:rPr>
                        <m:t>PTW</m:t>
                      </m:r>
                      <m:r>
                        <w:rPr>
                          <w:rFonts w:ascii="Cambria Math" w:hAnsi="Cambria Math" w:cs="Arial"/>
                          <w:lang w:val="sv-SE" w:eastAsia="zh-CN"/>
                        </w:rPr>
                        <m:t>/</m:t>
                      </m:r>
                      <m:r>
                        <w:rPr>
                          <w:rFonts w:ascii="Cambria Math" w:hAnsi="Cambria Math" w:cs="Arial"/>
                          <w:lang w:val="en-US" w:eastAsia="zh-CN"/>
                        </w:rPr>
                        <m:t>DRX</m:t>
                      </m:r>
                      <m:r>
                        <w:rPr>
                          <w:rFonts w:ascii="Cambria Math" w:hAnsi="Cambria Math" w:cs="Arial"/>
                          <w:lang w:val="sv-SE" w:eastAsia="zh-CN"/>
                        </w:rPr>
                        <m:t>_</m:t>
                      </m:r>
                      <m:r>
                        <w:rPr>
                          <w:rFonts w:ascii="Cambria Math" w:hAnsi="Cambria Math" w:cs="Arial"/>
                          <w:lang w:val="en-US" w:eastAsia="zh-CN"/>
                        </w:rPr>
                        <m:t>cycle</m:t>
                      </m:r>
                      <m:r>
                        <w:rPr>
                          <w:rFonts w:ascii="Cambria Math" w:hAnsi="Cambria Math" w:cs="Arial"/>
                          <w:lang w:val="sv-SE" w:eastAsia="zh-CN"/>
                        </w:rPr>
                        <m:t>_</m:t>
                      </m:r>
                      <m:r>
                        <w:rPr>
                          <w:rFonts w:ascii="Cambria Math" w:hAnsi="Cambria Math" w:cs="Arial"/>
                          <w:lang w:val="en-US" w:eastAsia="zh-CN"/>
                        </w:rPr>
                        <m:t>lengt</m:t>
                      </m:r>
                      <m:r>
                        <w:rPr>
                          <w:rFonts w:ascii="Cambria Math" w:hAnsi="Cambria Math" w:cs="Arial"/>
                          <w:lang w:val="sv-SE" w:eastAsia="zh-CN"/>
                        </w:rPr>
                        <m:t>h</m:t>
                      </m:r>
                    </m:den>
                  </m:f>
                </m:e>
              </m:d>
            </m:oMath>
          </w:p>
          <w:p w14:paraId="5452CFCE" w14:textId="77777777" w:rsidR="001E1993" w:rsidRPr="00581E8E" w:rsidRDefault="001E1993" w:rsidP="00E45A0C">
            <w:pPr>
              <w:pStyle w:val="TAL"/>
              <w:rPr>
                <w:rFonts w:cs="Arial"/>
                <w:lang w:val="en-US" w:eastAsia="zh-CN"/>
              </w:rPr>
            </w:pPr>
            <w:r w:rsidRPr="00581E8E">
              <w:rPr>
                <w:rFonts w:cs="Arial"/>
                <w:lang w:val="en-US" w:eastAsia="zh-CN"/>
              </w:rPr>
              <w:t>(23</w:t>
            </w:r>
            <w:r w:rsidRPr="00581E8E">
              <w:rPr>
                <w:rFonts w:cs="Arial"/>
                <w:lang w:eastAsia="zh-CN"/>
              </w:rPr>
              <w:t xml:space="preserve"> x N1</w:t>
            </w:r>
            <w:r w:rsidRPr="0082197E">
              <w:rPr>
                <w:lang w:val="sv-SE"/>
              </w:rPr>
              <w:t xml:space="preserve"> x </w:t>
            </w:r>
            <w:r w:rsidRPr="0082197E">
              <w:rPr>
                <w:rFonts w:cs="Arial"/>
                <w:lang w:val="sv-SE" w:eastAsia="zh-CN"/>
              </w:rPr>
              <w:t>K3</w:t>
            </w:r>
            <w:r w:rsidRPr="00581E8E">
              <w:rPr>
                <w:rFonts w:cs="Arial"/>
                <w:lang w:val="en-US" w:eastAsia="zh-CN"/>
              </w:rPr>
              <w:t>)</w:t>
            </w:r>
          </w:p>
        </w:tc>
        <w:tc>
          <w:tcPr>
            <w:tcW w:w="809" w:type="pct"/>
            <w:hideMark/>
          </w:tcPr>
          <w:p w14:paraId="07FAE4B6" w14:textId="77777777" w:rsidR="001E1993" w:rsidRPr="00581E8E" w:rsidRDefault="001E1993" w:rsidP="00E45A0C">
            <w:pPr>
              <w:pStyle w:val="TAL"/>
              <w:rPr>
                <w:lang w:val="en-US" w:eastAsia="zh-CN"/>
              </w:rPr>
            </w:pPr>
            <w:r w:rsidRPr="00581E8E">
              <w:rPr>
                <w:lang w:eastAsia="zh-CN"/>
              </w:rPr>
              <w:t>0.32 x N1</w:t>
            </w:r>
            <w:r w:rsidRPr="0082197E">
              <w:rPr>
                <w:lang w:val="sv-SE"/>
              </w:rPr>
              <w:t xml:space="preserve"> x </w:t>
            </w:r>
            <w:r w:rsidRPr="0082197E">
              <w:rPr>
                <w:lang w:val="sv-SE" w:eastAsia="zh-CN"/>
              </w:rPr>
              <w:t>K3</w:t>
            </w:r>
            <w:r w:rsidRPr="00581E8E">
              <w:rPr>
                <w:lang w:eastAsia="zh-CN"/>
              </w:rPr>
              <w:t xml:space="preserve"> (1 x N1</w:t>
            </w:r>
            <w:r w:rsidRPr="0082197E">
              <w:rPr>
                <w:lang w:val="sv-SE"/>
              </w:rPr>
              <w:t xml:space="preserve"> x </w:t>
            </w:r>
            <w:r w:rsidRPr="0082197E">
              <w:rPr>
                <w:lang w:val="sv-SE" w:eastAsia="zh-CN"/>
              </w:rPr>
              <w:t>K3</w:t>
            </w:r>
            <w:r w:rsidRPr="00581E8E">
              <w:rPr>
                <w:lang w:eastAsia="zh-CN"/>
              </w:rPr>
              <w:t>)</w:t>
            </w:r>
          </w:p>
        </w:tc>
        <w:tc>
          <w:tcPr>
            <w:tcW w:w="858" w:type="pct"/>
            <w:hideMark/>
          </w:tcPr>
          <w:p w14:paraId="3F24C98C" w14:textId="77777777" w:rsidR="001E1993" w:rsidRPr="00581E8E" w:rsidRDefault="001E1993" w:rsidP="00E45A0C">
            <w:pPr>
              <w:pStyle w:val="TAL"/>
              <w:rPr>
                <w:lang w:val="en-US" w:eastAsia="zh-CN"/>
              </w:rPr>
            </w:pPr>
            <w:r w:rsidRPr="00581E8E">
              <w:rPr>
                <w:lang w:eastAsia="zh-CN"/>
              </w:rPr>
              <w:t>0.64 x N1</w:t>
            </w:r>
            <w:r w:rsidRPr="0082197E">
              <w:rPr>
                <w:lang w:val="sv-SE"/>
              </w:rPr>
              <w:t xml:space="preserve"> x </w:t>
            </w:r>
            <w:r w:rsidRPr="0082197E">
              <w:rPr>
                <w:lang w:val="sv-SE" w:eastAsia="zh-CN"/>
              </w:rPr>
              <w:t>K3</w:t>
            </w:r>
            <w:r w:rsidRPr="00581E8E">
              <w:rPr>
                <w:lang w:eastAsia="zh-CN"/>
              </w:rPr>
              <w:t xml:space="preserve"> (2 x N1</w:t>
            </w:r>
            <w:r w:rsidRPr="0082197E">
              <w:rPr>
                <w:lang w:val="sv-SE"/>
              </w:rPr>
              <w:t xml:space="preserve"> x </w:t>
            </w:r>
            <w:r w:rsidRPr="0082197E">
              <w:rPr>
                <w:lang w:val="sv-SE" w:eastAsia="zh-CN"/>
              </w:rPr>
              <w:t>K3</w:t>
            </w:r>
            <w:r w:rsidRPr="00581E8E">
              <w:rPr>
                <w:lang w:eastAsia="zh-CN"/>
              </w:rPr>
              <w:t>)</w:t>
            </w:r>
          </w:p>
        </w:tc>
      </w:tr>
      <w:tr w:rsidR="001E1993" w:rsidRPr="00B85562" w14:paraId="53FECC69" w14:textId="77777777" w:rsidTr="005145F6">
        <w:trPr>
          <w:trHeight w:val="336"/>
        </w:trPr>
        <w:tc>
          <w:tcPr>
            <w:tcW w:w="639" w:type="pct"/>
            <w:vMerge/>
            <w:hideMark/>
          </w:tcPr>
          <w:p w14:paraId="2F10DB20" w14:textId="77777777" w:rsidR="001E1993" w:rsidRPr="00581E8E" w:rsidRDefault="001E1993" w:rsidP="00E45A0C">
            <w:pPr>
              <w:pStyle w:val="TAL"/>
              <w:rPr>
                <w:lang w:val="en-US" w:eastAsia="zh-CN"/>
              </w:rPr>
            </w:pPr>
          </w:p>
        </w:tc>
        <w:tc>
          <w:tcPr>
            <w:tcW w:w="401" w:type="pct"/>
            <w:hideMark/>
          </w:tcPr>
          <w:p w14:paraId="34B3149F" w14:textId="77777777" w:rsidR="001E1993" w:rsidRPr="00581E8E" w:rsidRDefault="001E1993" w:rsidP="00E45A0C">
            <w:pPr>
              <w:pStyle w:val="TAL"/>
              <w:rPr>
                <w:lang w:val="en-US" w:eastAsia="zh-CN"/>
              </w:rPr>
            </w:pPr>
            <w:r w:rsidRPr="00581E8E">
              <w:rPr>
                <w:lang w:eastAsia="zh-CN"/>
              </w:rPr>
              <w:t>0.64</w:t>
            </w:r>
          </w:p>
        </w:tc>
        <w:tc>
          <w:tcPr>
            <w:tcW w:w="517" w:type="pct"/>
            <w:hideMark/>
          </w:tcPr>
          <w:p w14:paraId="552AED5E" w14:textId="26D26C87" w:rsidR="001E1993" w:rsidRPr="00581E8E" w:rsidRDefault="001E1993" w:rsidP="00E45A0C">
            <w:pPr>
              <w:pStyle w:val="TAL"/>
              <w:rPr>
                <w:lang w:val="en-US" w:eastAsia="zh-CN"/>
              </w:rPr>
            </w:pPr>
            <w:r w:rsidRPr="00581E8E">
              <w:rPr>
                <w:lang w:eastAsia="zh-CN"/>
              </w:rPr>
              <w:t>≥</w:t>
            </w:r>
            <w:r>
              <w:rPr>
                <w:lang w:eastAsia="zh-CN"/>
              </w:rPr>
              <w:t>38.4</w:t>
            </w:r>
            <w:r w:rsidRPr="00581E8E">
              <w:rPr>
                <w:lang w:eastAsia="zh-CN"/>
              </w:rPr>
              <w:t xml:space="preserve"> (</w:t>
            </w:r>
            <w:r>
              <w:rPr>
                <w:lang w:eastAsia="zh-CN"/>
              </w:rPr>
              <w:t>30</w:t>
            </w:r>
            <w:r w:rsidRPr="00581E8E">
              <w:rPr>
                <w:lang w:eastAsia="zh-CN"/>
              </w:rPr>
              <w:t>)</w:t>
            </w:r>
          </w:p>
        </w:tc>
        <w:tc>
          <w:tcPr>
            <w:tcW w:w="493" w:type="pct"/>
          </w:tcPr>
          <w:p w14:paraId="6AE109EC" w14:textId="77777777" w:rsidR="001E1993" w:rsidRPr="00581E8E" w:rsidRDefault="001E1993" w:rsidP="00E45A0C">
            <w:pPr>
              <w:pStyle w:val="TAL"/>
              <w:rPr>
                <w:lang w:val="en-US" w:eastAsia="zh-CN"/>
              </w:rPr>
            </w:pPr>
            <w:r>
              <w:rPr>
                <w:lang w:val="en-US" w:eastAsia="zh-CN"/>
              </w:rPr>
              <w:t>5</w:t>
            </w:r>
          </w:p>
        </w:tc>
        <w:tc>
          <w:tcPr>
            <w:tcW w:w="1283" w:type="pct"/>
            <w:gridSpan w:val="2"/>
            <w:vMerge/>
            <w:hideMark/>
          </w:tcPr>
          <w:p w14:paraId="564691ED" w14:textId="77777777" w:rsidR="001E1993" w:rsidRPr="00581E8E" w:rsidRDefault="001E1993" w:rsidP="005145F6">
            <w:pPr>
              <w:rPr>
                <w:rFonts w:ascii="Arial" w:hAnsi="Arial" w:cs="Arial"/>
                <w:sz w:val="18"/>
                <w:lang w:val="en-US" w:eastAsia="zh-CN"/>
              </w:rPr>
            </w:pPr>
          </w:p>
        </w:tc>
        <w:tc>
          <w:tcPr>
            <w:tcW w:w="809" w:type="pct"/>
            <w:hideMark/>
          </w:tcPr>
          <w:p w14:paraId="6C592037" w14:textId="77777777" w:rsidR="001E1993" w:rsidRPr="00581E8E" w:rsidRDefault="001E1993" w:rsidP="00E45A0C">
            <w:pPr>
              <w:pStyle w:val="TAL"/>
              <w:rPr>
                <w:lang w:val="en-US" w:eastAsia="zh-CN"/>
              </w:rPr>
            </w:pPr>
            <w:r w:rsidRPr="00581E8E">
              <w:rPr>
                <w:lang w:eastAsia="zh-CN"/>
              </w:rPr>
              <w:t>0.64 x N1</w:t>
            </w:r>
            <w:r w:rsidRPr="0082197E">
              <w:rPr>
                <w:lang w:val="sv-SE"/>
              </w:rPr>
              <w:t xml:space="preserve"> x </w:t>
            </w:r>
            <w:r w:rsidRPr="0082197E">
              <w:rPr>
                <w:lang w:val="sv-SE" w:eastAsia="zh-CN"/>
              </w:rPr>
              <w:t>K3</w:t>
            </w:r>
            <w:r w:rsidRPr="00581E8E">
              <w:rPr>
                <w:lang w:eastAsia="zh-CN"/>
              </w:rPr>
              <w:t xml:space="preserve"> (1 x N1</w:t>
            </w:r>
            <w:r w:rsidRPr="0082197E">
              <w:rPr>
                <w:lang w:val="sv-SE"/>
              </w:rPr>
              <w:t xml:space="preserve"> x </w:t>
            </w:r>
            <w:r w:rsidRPr="0082197E">
              <w:rPr>
                <w:lang w:val="sv-SE" w:eastAsia="zh-CN"/>
              </w:rPr>
              <w:t>K3</w:t>
            </w:r>
            <w:r w:rsidRPr="00581E8E">
              <w:rPr>
                <w:lang w:eastAsia="zh-CN"/>
              </w:rPr>
              <w:t>)</w:t>
            </w:r>
          </w:p>
        </w:tc>
        <w:tc>
          <w:tcPr>
            <w:tcW w:w="858" w:type="pct"/>
            <w:hideMark/>
          </w:tcPr>
          <w:p w14:paraId="3235C622" w14:textId="77777777" w:rsidR="001E1993" w:rsidRPr="00581E8E" w:rsidRDefault="001E1993" w:rsidP="00E45A0C">
            <w:pPr>
              <w:pStyle w:val="TAL"/>
              <w:rPr>
                <w:lang w:val="en-US" w:eastAsia="zh-CN"/>
              </w:rPr>
            </w:pPr>
            <w:r w:rsidRPr="00581E8E">
              <w:rPr>
                <w:lang w:eastAsia="zh-CN"/>
              </w:rPr>
              <w:t>1.28 x N1</w:t>
            </w:r>
            <w:r w:rsidRPr="0082197E">
              <w:rPr>
                <w:lang w:val="sv-SE"/>
              </w:rPr>
              <w:t xml:space="preserve"> x </w:t>
            </w:r>
            <w:r w:rsidRPr="0082197E">
              <w:rPr>
                <w:lang w:val="sv-SE" w:eastAsia="zh-CN"/>
              </w:rPr>
              <w:t>K3</w:t>
            </w:r>
            <w:r w:rsidRPr="00581E8E">
              <w:rPr>
                <w:lang w:eastAsia="zh-CN"/>
              </w:rPr>
              <w:t xml:space="preserve"> (2 x N1</w:t>
            </w:r>
            <w:r w:rsidRPr="0082197E">
              <w:rPr>
                <w:lang w:val="sv-SE"/>
              </w:rPr>
              <w:t xml:space="preserve"> x </w:t>
            </w:r>
            <w:r w:rsidRPr="0082197E">
              <w:rPr>
                <w:lang w:val="sv-SE" w:eastAsia="zh-CN"/>
              </w:rPr>
              <w:t>K3</w:t>
            </w:r>
            <w:r w:rsidRPr="00581E8E">
              <w:rPr>
                <w:lang w:eastAsia="zh-CN"/>
              </w:rPr>
              <w:t>)</w:t>
            </w:r>
          </w:p>
        </w:tc>
      </w:tr>
      <w:tr w:rsidR="00E45A0C" w:rsidRPr="00B85562" w14:paraId="5DC23B0A" w14:textId="77777777" w:rsidTr="005145F6">
        <w:trPr>
          <w:trHeight w:val="336"/>
        </w:trPr>
        <w:tc>
          <w:tcPr>
            <w:tcW w:w="639" w:type="pct"/>
            <w:vMerge/>
            <w:hideMark/>
          </w:tcPr>
          <w:p w14:paraId="70F4AB9D" w14:textId="77777777" w:rsidR="00E45A0C" w:rsidRPr="00581E8E" w:rsidRDefault="00E45A0C" w:rsidP="00E45A0C">
            <w:pPr>
              <w:pStyle w:val="TAL"/>
              <w:rPr>
                <w:lang w:val="en-US" w:eastAsia="zh-CN"/>
              </w:rPr>
            </w:pPr>
          </w:p>
        </w:tc>
        <w:tc>
          <w:tcPr>
            <w:tcW w:w="401" w:type="pct"/>
            <w:hideMark/>
          </w:tcPr>
          <w:p w14:paraId="75688D35" w14:textId="77777777" w:rsidR="00E45A0C" w:rsidRPr="00581E8E" w:rsidRDefault="00E45A0C" w:rsidP="00E45A0C">
            <w:pPr>
              <w:pStyle w:val="TAL"/>
              <w:rPr>
                <w:lang w:val="en-US" w:eastAsia="zh-CN"/>
              </w:rPr>
            </w:pPr>
            <w:r w:rsidRPr="00581E8E">
              <w:rPr>
                <w:lang w:eastAsia="zh-CN"/>
              </w:rPr>
              <w:t>1.28</w:t>
            </w:r>
          </w:p>
        </w:tc>
        <w:tc>
          <w:tcPr>
            <w:tcW w:w="517" w:type="pct"/>
            <w:hideMark/>
          </w:tcPr>
          <w:p w14:paraId="46FE2F1A" w14:textId="6F3989A6" w:rsidR="00E45A0C" w:rsidRPr="00581E8E" w:rsidRDefault="00E45A0C" w:rsidP="00E45A0C">
            <w:pPr>
              <w:pStyle w:val="TAL"/>
              <w:rPr>
                <w:lang w:val="en-US" w:eastAsia="zh-CN"/>
              </w:rPr>
            </w:pPr>
            <w:r>
              <w:rPr>
                <w:lang w:eastAsia="zh-CN"/>
              </w:rPr>
              <w:t>40.96</w:t>
            </w:r>
            <w:r w:rsidRPr="00581E8E">
              <w:rPr>
                <w:lang w:eastAsia="zh-CN"/>
              </w:rPr>
              <w:t xml:space="preserve"> (</w:t>
            </w:r>
            <w:r>
              <w:rPr>
                <w:lang w:eastAsia="zh-CN"/>
              </w:rPr>
              <w:t>32</w:t>
            </w:r>
            <w:r w:rsidRPr="00581E8E">
              <w:rPr>
                <w:lang w:eastAsia="zh-CN"/>
              </w:rPr>
              <w:t>)</w:t>
            </w:r>
          </w:p>
        </w:tc>
        <w:tc>
          <w:tcPr>
            <w:tcW w:w="493" w:type="pct"/>
          </w:tcPr>
          <w:p w14:paraId="2061D43C" w14:textId="77777777" w:rsidR="00E45A0C" w:rsidRPr="00581E8E" w:rsidRDefault="00E45A0C" w:rsidP="00E45A0C">
            <w:pPr>
              <w:pStyle w:val="TAL"/>
              <w:rPr>
                <w:lang w:val="en-US" w:eastAsia="zh-CN"/>
              </w:rPr>
            </w:pPr>
            <w:r>
              <w:rPr>
                <w:lang w:val="en-US" w:eastAsia="zh-CN"/>
              </w:rPr>
              <w:t>4</w:t>
            </w:r>
          </w:p>
        </w:tc>
        <w:tc>
          <w:tcPr>
            <w:tcW w:w="1283" w:type="pct"/>
            <w:gridSpan w:val="2"/>
            <w:vMerge/>
            <w:hideMark/>
          </w:tcPr>
          <w:p w14:paraId="6417C8D4" w14:textId="77777777" w:rsidR="00E45A0C" w:rsidRPr="00581E8E" w:rsidRDefault="00E45A0C" w:rsidP="00E45A0C">
            <w:pPr>
              <w:rPr>
                <w:rFonts w:ascii="Arial" w:hAnsi="Arial" w:cs="Arial"/>
                <w:sz w:val="18"/>
                <w:lang w:val="en-US" w:eastAsia="zh-CN"/>
              </w:rPr>
            </w:pPr>
          </w:p>
        </w:tc>
        <w:tc>
          <w:tcPr>
            <w:tcW w:w="809" w:type="pct"/>
            <w:hideMark/>
          </w:tcPr>
          <w:p w14:paraId="7F804E58" w14:textId="77777777" w:rsidR="00E45A0C" w:rsidRPr="00581E8E" w:rsidRDefault="00E45A0C" w:rsidP="00E45A0C">
            <w:pPr>
              <w:pStyle w:val="TAL"/>
              <w:rPr>
                <w:lang w:val="en-US" w:eastAsia="zh-CN"/>
              </w:rPr>
            </w:pPr>
            <w:r w:rsidRPr="00581E8E">
              <w:rPr>
                <w:lang w:eastAsia="zh-CN"/>
              </w:rPr>
              <w:t>1.28 x N1</w:t>
            </w:r>
            <w:r w:rsidRPr="0082197E">
              <w:rPr>
                <w:lang w:val="sv-SE"/>
              </w:rPr>
              <w:t xml:space="preserve"> x </w:t>
            </w:r>
            <w:r w:rsidRPr="0082197E">
              <w:rPr>
                <w:lang w:val="sv-SE" w:eastAsia="zh-CN"/>
              </w:rPr>
              <w:t>K3</w:t>
            </w:r>
            <w:r w:rsidRPr="00581E8E">
              <w:rPr>
                <w:lang w:eastAsia="zh-CN"/>
              </w:rPr>
              <w:t xml:space="preserve"> (1 x N1</w:t>
            </w:r>
            <w:r w:rsidRPr="0082197E">
              <w:rPr>
                <w:lang w:val="sv-SE"/>
              </w:rPr>
              <w:t xml:space="preserve"> x </w:t>
            </w:r>
            <w:r w:rsidRPr="0082197E">
              <w:rPr>
                <w:lang w:val="sv-SE" w:eastAsia="zh-CN"/>
              </w:rPr>
              <w:t>K3</w:t>
            </w:r>
            <w:r w:rsidRPr="00581E8E">
              <w:rPr>
                <w:lang w:eastAsia="zh-CN"/>
              </w:rPr>
              <w:t>)</w:t>
            </w:r>
          </w:p>
        </w:tc>
        <w:tc>
          <w:tcPr>
            <w:tcW w:w="858" w:type="pct"/>
            <w:hideMark/>
          </w:tcPr>
          <w:p w14:paraId="784A844B" w14:textId="77777777" w:rsidR="00E45A0C" w:rsidRPr="00581E8E" w:rsidRDefault="00E45A0C" w:rsidP="00E45A0C">
            <w:pPr>
              <w:pStyle w:val="TAL"/>
              <w:rPr>
                <w:lang w:val="en-US" w:eastAsia="zh-CN"/>
              </w:rPr>
            </w:pPr>
            <w:r w:rsidRPr="00581E8E">
              <w:rPr>
                <w:lang w:eastAsia="zh-CN"/>
              </w:rPr>
              <w:t>2.56 x N1</w:t>
            </w:r>
            <w:r w:rsidRPr="0082197E">
              <w:rPr>
                <w:lang w:val="sv-SE"/>
              </w:rPr>
              <w:t xml:space="preserve"> x </w:t>
            </w:r>
            <w:r w:rsidRPr="0082197E">
              <w:rPr>
                <w:lang w:val="sv-SE" w:eastAsia="zh-CN"/>
              </w:rPr>
              <w:t>K3</w:t>
            </w:r>
            <w:r w:rsidRPr="00581E8E">
              <w:rPr>
                <w:lang w:eastAsia="zh-CN"/>
              </w:rPr>
              <w:t xml:space="preserve"> (2 x N1</w:t>
            </w:r>
            <w:r w:rsidRPr="0082197E">
              <w:rPr>
                <w:lang w:val="sv-SE"/>
              </w:rPr>
              <w:t xml:space="preserve"> x </w:t>
            </w:r>
            <w:r w:rsidRPr="0082197E">
              <w:rPr>
                <w:lang w:val="sv-SE" w:eastAsia="zh-CN"/>
              </w:rPr>
              <w:t>K3</w:t>
            </w:r>
            <w:r w:rsidRPr="00581E8E">
              <w:rPr>
                <w:lang w:eastAsia="zh-CN"/>
              </w:rPr>
              <w:t>)</w:t>
            </w:r>
          </w:p>
        </w:tc>
      </w:tr>
      <w:tr w:rsidR="00C74541" w:rsidRPr="00B85562" w14:paraId="672EFE9B" w14:textId="77777777" w:rsidTr="005145F6">
        <w:trPr>
          <w:trHeight w:val="336"/>
        </w:trPr>
        <w:tc>
          <w:tcPr>
            <w:tcW w:w="639" w:type="pct"/>
            <w:vMerge/>
            <w:hideMark/>
          </w:tcPr>
          <w:p w14:paraId="7F5FC9F8" w14:textId="77777777" w:rsidR="00C74541" w:rsidRPr="00581E8E" w:rsidRDefault="00C74541" w:rsidP="00C74541">
            <w:pPr>
              <w:pStyle w:val="TAL"/>
              <w:rPr>
                <w:lang w:val="en-US" w:eastAsia="zh-CN"/>
              </w:rPr>
            </w:pPr>
          </w:p>
        </w:tc>
        <w:tc>
          <w:tcPr>
            <w:tcW w:w="401" w:type="pct"/>
            <w:hideMark/>
          </w:tcPr>
          <w:p w14:paraId="18D4190C" w14:textId="77777777" w:rsidR="00C74541" w:rsidRPr="00581E8E" w:rsidRDefault="00C74541" w:rsidP="00C74541">
            <w:pPr>
              <w:pStyle w:val="TAL"/>
              <w:rPr>
                <w:lang w:val="en-US" w:eastAsia="zh-CN"/>
              </w:rPr>
            </w:pPr>
            <w:r w:rsidRPr="00581E8E">
              <w:rPr>
                <w:lang w:eastAsia="zh-CN"/>
              </w:rPr>
              <w:t>2.56</w:t>
            </w:r>
          </w:p>
        </w:tc>
        <w:tc>
          <w:tcPr>
            <w:tcW w:w="517" w:type="pct"/>
            <w:hideMark/>
          </w:tcPr>
          <w:p w14:paraId="1BD18ED8" w14:textId="15548B74" w:rsidR="00C74541" w:rsidRPr="00581E8E" w:rsidRDefault="00C74541" w:rsidP="00C74541">
            <w:pPr>
              <w:pStyle w:val="TAL"/>
              <w:rPr>
                <w:lang w:val="en-US" w:eastAsia="zh-CN"/>
              </w:rPr>
            </w:pPr>
            <w:r w:rsidRPr="00727001">
              <w:rPr>
                <w:lang w:eastAsia="zh-CN"/>
              </w:rPr>
              <w:t>40.96 (32)</w:t>
            </w:r>
          </w:p>
        </w:tc>
        <w:tc>
          <w:tcPr>
            <w:tcW w:w="493" w:type="pct"/>
          </w:tcPr>
          <w:p w14:paraId="5161B1C2" w14:textId="77777777" w:rsidR="00C74541" w:rsidRPr="00581E8E" w:rsidRDefault="00C74541" w:rsidP="00C74541">
            <w:pPr>
              <w:pStyle w:val="TAL"/>
              <w:rPr>
                <w:lang w:val="en-US" w:eastAsia="zh-CN"/>
              </w:rPr>
            </w:pPr>
            <w:r>
              <w:rPr>
                <w:lang w:val="en-US" w:eastAsia="zh-CN"/>
              </w:rPr>
              <w:t>3</w:t>
            </w:r>
          </w:p>
        </w:tc>
        <w:tc>
          <w:tcPr>
            <w:tcW w:w="1283" w:type="pct"/>
            <w:gridSpan w:val="2"/>
            <w:vMerge/>
            <w:hideMark/>
          </w:tcPr>
          <w:p w14:paraId="2BED4FA5" w14:textId="77777777" w:rsidR="00C74541" w:rsidRPr="00581E8E" w:rsidRDefault="00C74541" w:rsidP="00C74541">
            <w:pPr>
              <w:rPr>
                <w:rFonts w:ascii="Arial" w:hAnsi="Arial" w:cs="Arial"/>
                <w:sz w:val="18"/>
                <w:lang w:val="en-US" w:eastAsia="zh-CN"/>
              </w:rPr>
            </w:pPr>
          </w:p>
        </w:tc>
        <w:tc>
          <w:tcPr>
            <w:tcW w:w="809" w:type="pct"/>
            <w:hideMark/>
          </w:tcPr>
          <w:p w14:paraId="53AD26C9" w14:textId="77777777" w:rsidR="00C74541" w:rsidRDefault="00C74541" w:rsidP="00C74541">
            <w:pPr>
              <w:pStyle w:val="TAL"/>
              <w:rPr>
                <w:lang w:eastAsia="zh-CN"/>
              </w:rPr>
            </w:pPr>
            <w:r w:rsidRPr="00727001">
              <w:rPr>
                <w:lang w:eastAsia="zh-CN"/>
              </w:rPr>
              <w:t>20.48</w:t>
            </w:r>
          </w:p>
          <w:p w14:paraId="4A15438F" w14:textId="34B5D206" w:rsidR="00C74541" w:rsidRPr="00581E8E" w:rsidRDefault="00C74541" w:rsidP="00C74541">
            <w:pPr>
              <w:pStyle w:val="TAL"/>
              <w:rPr>
                <w:lang w:val="en-US" w:eastAsia="zh-CN"/>
              </w:rPr>
            </w:pPr>
            <w:r>
              <w:rPr>
                <w:lang w:eastAsia="zh-CN"/>
              </w:rPr>
              <w:t>(8)</w:t>
            </w:r>
          </w:p>
        </w:tc>
        <w:tc>
          <w:tcPr>
            <w:tcW w:w="858" w:type="pct"/>
            <w:hideMark/>
          </w:tcPr>
          <w:p w14:paraId="457DBD51" w14:textId="77777777" w:rsidR="00C74541" w:rsidRDefault="00C74541" w:rsidP="00C74541">
            <w:pPr>
              <w:pStyle w:val="TAL"/>
              <w:rPr>
                <w:lang w:eastAsia="zh-CN"/>
              </w:rPr>
            </w:pPr>
            <w:r w:rsidRPr="00727001">
              <w:rPr>
                <w:lang w:eastAsia="zh-CN"/>
              </w:rPr>
              <w:t>40.96</w:t>
            </w:r>
          </w:p>
          <w:p w14:paraId="2CCD9DE4" w14:textId="03D4AC1D" w:rsidR="00C74541" w:rsidRPr="00581E8E" w:rsidRDefault="00C74541" w:rsidP="00C74541">
            <w:pPr>
              <w:pStyle w:val="TAL"/>
              <w:rPr>
                <w:lang w:val="en-US" w:eastAsia="zh-CN"/>
              </w:rPr>
            </w:pPr>
            <w:r>
              <w:rPr>
                <w:lang w:eastAsia="zh-CN"/>
              </w:rPr>
              <w:t>(16)</w:t>
            </w:r>
          </w:p>
        </w:tc>
      </w:tr>
      <w:tr w:rsidR="001E1993" w:rsidRPr="00B85562" w14:paraId="5AAD379A" w14:textId="77777777" w:rsidTr="005145F6">
        <w:trPr>
          <w:trHeight w:val="336"/>
        </w:trPr>
        <w:tc>
          <w:tcPr>
            <w:tcW w:w="5000" w:type="pct"/>
            <w:gridSpan w:val="8"/>
          </w:tcPr>
          <w:p w14:paraId="10EA64CA" w14:textId="77777777" w:rsidR="001E1993" w:rsidRPr="00806346" w:rsidRDefault="001E1993" w:rsidP="00E45A0C">
            <w:pPr>
              <w:pStyle w:val="TAN"/>
              <w:rPr>
                <w:rFonts w:eastAsia="Malgun Gothic"/>
                <w:snapToGrid w:val="0"/>
                <w:lang w:eastAsia="zh-CN"/>
              </w:rPr>
            </w:pPr>
            <w:r w:rsidRPr="00806346">
              <w:rPr>
                <w:rFonts w:eastAsia="Malgun Gothic"/>
                <w:snapToGrid w:val="0"/>
                <w:lang w:eastAsia="zh-CN"/>
              </w:rPr>
              <w:t xml:space="preserve">Note 1: </w:t>
            </w:r>
            <w:r w:rsidRPr="00806346">
              <w:rPr>
                <w:rFonts w:eastAsia="Malgun Gothic"/>
                <w:snapToGrid w:val="0"/>
                <w:lang w:eastAsia="zh-CN"/>
              </w:rPr>
              <w:tab/>
              <w:t>Applies for RedCap UE of all supporting FR2 power classes.</w:t>
            </w:r>
          </w:p>
          <w:p w14:paraId="0B29631E" w14:textId="77777777" w:rsidR="001E1993" w:rsidRPr="00806346" w:rsidRDefault="001E1993" w:rsidP="00E45A0C">
            <w:pPr>
              <w:pStyle w:val="TAN"/>
              <w:rPr>
                <w:rFonts w:eastAsia="Malgun Gothic"/>
                <w:snapToGrid w:val="0"/>
                <w:lang w:eastAsia="zh-CN"/>
              </w:rPr>
            </w:pPr>
            <w:r w:rsidRPr="00806346">
              <w:rPr>
                <w:rFonts w:eastAsia="Malgun Gothic"/>
                <w:snapToGrid w:val="0"/>
                <w:lang w:eastAsia="zh-CN"/>
              </w:rPr>
              <w:t xml:space="preserve">Note 2: </w:t>
            </w:r>
            <w:r w:rsidRPr="00806346">
              <w:rPr>
                <w:rFonts w:eastAsia="Malgun Gothic"/>
                <w:snapToGrid w:val="0"/>
                <w:lang w:eastAsia="zh-CN"/>
              </w:rPr>
              <w:tab/>
              <w:t>The number of DRX cycles in this table is given for the DRX cycles within PTWs.</w:t>
            </w:r>
          </w:p>
          <w:p w14:paraId="4DCC1F2F" w14:textId="77777777" w:rsidR="001E1993" w:rsidRPr="00806346" w:rsidRDefault="001E1993" w:rsidP="00E45A0C">
            <w:pPr>
              <w:pStyle w:val="TAN"/>
              <w:rPr>
                <w:rFonts w:eastAsia="Malgun Gothic"/>
                <w:snapToGrid w:val="0"/>
                <w:lang w:eastAsia="zh-CN"/>
              </w:rPr>
            </w:pPr>
            <w:r w:rsidRPr="00806346">
              <w:rPr>
                <w:rFonts w:eastAsia="Malgun Gothic"/>
                <w:snapToGrid w:val="0"/>
                <w:lang w:eastAsia="zh-CN"/>
              </w:rPr>
              <w:t xml:space="preserve">Note 3: </w:t>
            </w:r>
            <w:r w:rsidRPr="00806346">
              <w:rPr>
                <w:rFonts w:eastAsia="Malgun Gothic"/>
                <w:snapToGrid w:val="0"/>
                <w:lang w:eastAsia="zh-CN"/>
              </w:rPr>
              <w:tab/>
              <w:t>The eDRX_IDLE cycle lengths are as specified in Section 10.5.5.32 of TS 24.008 [34].</w:t>
            </w:r>
          </w:p>
          <w:p w14:paraId="2AD52B23" w14:textId="631B8B3A" w:rsidR="001E1993" w:rsidRPr="00806346" w:rsidRDefault="006956D8" w:rsidP="00E45A0C">
            <w:pPr>
              <w:pStyle w:val="TAN"/>
              <w:rPr>
                <w:rFonts w:eastAsia="Malgun Gothic"/>
                <w:snapToGrid w:val="0"/>
                <w:lang w:eastAsia="zh-CN"/>
              </w:rPr>
            </w:pPr>
            <w:r w:rsidRPr="00AC5D99">
              <w:rPr>
                <w:rFonts w:eastAsia="Malgun Gothic" w:cs="Arial"/>
                <w:snapToGrid w:val="0"/>
                <w:lang w:eastAsia="zh-CN"/>
              </w:rPr>
              <w:t xml:space="preserve">Note 4: </w:t>
            </w:r>
            <w:r w:rsidRPr="00AC5D99">
              <w:rPr>
                <w:rFonts w:eastAsia="Malgun Gothic" w:cs="Arial"/>
                <w:snapToGrid w:val="0"/>
                <w:lang w:eastAsia="zh-CN"/>
              </w:rPr>
              <w:tab/>
              <w:t xml:space="preserve">The lower bound of PTW length is derived based on  </w:t>
            </w:r>
            <m:oMath>
              <m:d>
                <m:dPr>
                  <m:begChr m:val="⌈"/>
                  <m:endChr m:val="⌉"/>
                  <m:ctrlPr>
                    <w:rPr>
                      <w:rFonts w:ascii="Cambria Math" w:eastAsia="Malgun Gothic" w:hAnsi="Cambria Math" w:cs="Arial"/>
                      <w:snapToGrid w:val="0"/>
                      <w:lang w:eastAsia="zh-CN"/>
                    </w:rPr>
                  </m:ctrlPr>
                </m:dPr>
                <m:e>
                  <m:f>
                    <m:fPr>
                      <m:ctrlPr>
                        <w:rPr>
                          <w:rFonts w:ascii="Cambria Math" w:eastAsia="Malgun Gothic" w:hAnsi="Cambria Math" w:cs="Arial"/>
                          <w:snapToGrid w:val="0"/>
                          <w:lang w:eastAsia="zh-CN"/>
                        </w:rPr>
                      </m:ctrlPr>
                    </m:fPr>
                    <m:num>
                      <m:r>
                        <m:rPr>
                          <m:sty m:val="p"/>
                        </m:rPr>
                        <w:rPr>
                          <w:rFonts w:ascii="Cambria Math" w:eastAsia="Malgun Gothic" w:hAnsi="Cambria Math" w:cs="Arial"/>
                          <w:snapToGrid w:val="0"/>
                          <w:lang w:eastAsia="zh-CN"/>
                        </w:rPr>
                        <m:t>Tevaluate,NR_Intra_RedCap_Relax*DRX_cycle</m:t>
                      </m:r>
                    </m:num>
                    <m:den>
                      <m:r>
                        <m:rPr>
                          <m:sty m:val="p"/>
                        </m:rPr>
                        <w:rPr>
                          <w:rFonts w:ascii="Cambria Math" w:eastAsia="Malgun Gothic" w:hAnsi="Cambria Math" w:cs="Arial"/>
                          <w:snapToGrid w:val="0"/>
                          <w:lang w:eastAsia="zh-CN"/>
                        </w:rPr>
                        <m:t>1.28</m:t>
                      </m:r>
                    </m:den>
                  </m:f>
                </m:e>
              </m:d>
              <m:r>
                <m:rPr>
                  <m:sty m:val="p"/>
                </m:rPr>
                <w:rPr>
                  <w:rFonts w:ascii="Cambria Math" w:eastAsia="Malgun Gothic" w:hAnsi="Cambria Math" w:cs="Arial"/>
                  <w:snapToGrid w:val="0"/>
                  <w:lang w:eastAsia="zh-CN"/>
                </w:rPr>
                <m:t>*1.28</m:t>
              </m:r>
            </m:oMath>
            <w:r w:rsidRPr="00AC5D99">
              <w:rPr>
                <w:rFonts w:eastAsia="Malgun Gothic" w:cs="Arial"/>
                <w:snapToGrid w:val="0"/>
                <w:lang w:eastAsia="zh-CN"/>
              </w:rPr>
              <w:t>.</w:t>
            </w:r>
          </w:p>
          <w:p w14:paraId="4EE4A81E" w14:textId="77777777" w:rsidR="001E1993" w:rsidRPr="00806346" w:rsidRDefault="001E1993" w:rsidP="00E45A0C">
            <w:pPr>
              <w:pStyle w:val="TAN"/>
              <w:rPr>
                <w:rFonts w:eastAsia="Malgun Gothic"/>
                <w:snapToGrid w:val="0"/>
                <w:lang w:eastAsia="zh-CN"/>
              </w:rPr>
            </w:pPr>
            <w:r w:rsidRPr="00806346">
              <w:rPr>
                <w:rFonts w:eastAsia="Malgun Gothic"/>
                <w:snapToGrid w:val="0"/>
                <w:lang w:eastAsia="zh-CN"/>
              </w:rPr>
              <w:t>Note 5:</w:t>
            </w:r>
            <w:r w:rsidRPr="00806346">
              <w:rPr>
                <w:rFonts w:eastAsia="Malgun Gothic"/>
                <w:snapToGrid w:val="0"/>
                <w:lang w:eastAsia="zh-CN"/>
              </w:rPr>
              <w:tab/>
              <w:t>The measurement shall not be performed across PTW’s. In this case the measurement is performed in the next available PTW.</w:t>
            </w:r>
          </w:p>
          <w:p w14:paraId="35126EE6" w14:textId="77777777" w:rsidR="001E1993" w:rsidRPr="00806346" w:rsidRDefault="001E1993" w:rsidP="00E45A0C">
            <w:pPr>
              <w:pStyle w:val="TAN"/>
              <w:rPr>
                <w:rFonts w:eastAsia="Malgun Gothic"/>
                <w:snapToGrid w:val="0"/>
                <w:lang w:eastAsia="zh-CN"/>
              </w:rPr>
            </w:pPr>
            <w:r w:rsidRPr="00806346">
              <w:rPr>
                <w:rFonts w:eastAsia="Malgun Gothic"/>
                <w:snapToGrid w:val="0"/>
                <w:lang w:eastAsia="zh-CN"/>
              </w:rPr>
              <w:t>Note 6:</w:t>
            </w:r>
            <w:r w:rsidRPr="00806346">
              <w:rPr>
                <w:rFonts w:eastAsia="Malgun Gothic"/>
                <w:snapToGrid w:val="0"/>
                <w:lang w:eastAsia="zh-CN"/>
              </w:rPr>
              <w:tab/>
              <w:t>The evaluation shall not be performed across PTW’s. In this case the evaluation is performed in the next available PTW.</w:t>
            </w:r>
          </w:p>
          <w:p w14:paraId="1F354BE4" w14:textId="5B101A4D" w:rsidR="001E1993" w:rsidRPr="00581E8E" w:rsidRDefault="00E45A0C" w:rsidP="00E45A0C">
            <w:pPr>
              <w:pStyle w:val="TAN"/>
              <w:rPr>
                <w:rFonts w:cs="Arial"/>
                <w:lang w:eastAsia="zh-CN"/>
              </w:rPr>
            </w:pPr>
            <w:r w:rsidRPr="00806346">
              <w:rPr>
                <w:rFonts w:eastAsia="Malgun Gothic"/>
                <w:snapToGrid w:val="0"/>
                <w:lang w:eastAsia="zh-CN"/>
              </w:rPr>
              <w:t>Note 7:</w:t>
            </w:r>
            <w:r w:rsidRPr="00806346">
              <w:rPr>
                <w:rFonts w:eastAsia="Malgun Gothic"/>
                <w:snapToGrid w:val="0"/>
                <w:lang w:eastAsia="zh-CN"/>
              </w:rPr>
              <w:tab/>
            </w:r>
            <w:bookmarkStart w:id="44" w:name="OLE_LINK13"/>
            <w:bookmarkStart w:id="45" w:name="OLE_LINK14"/>
            <w:r w:rsidRPr="00727001">
              <w:rPr>
                <w:rFonts w:eastAsia="Malgun Gothic"/>
                <w:snapToGrid w:val="0"/>
                <w:lang w:eastAsia="zh-CN"/>
              </w:rPr>
              <w:t>For DRX cycle length is 0.32s, 0.64s, and 2.56s, K3 = 6 is the measurement relaxation factor applicable for UE fulfilling the stationaryMobilityEvaluation [2] criterion.</w:t>
            </w:r>
            <w:bookmarkEnd w:id="44"/>
            <w:bookmarkEnd w:id="45"/>
            <w:r w:rsidRPr="00727001">
              <w:rPr>
                <w:rFonts w:eastAsia="Malgun Gothic"/>
                <w:snapToGrid w:val="0"/>
                <w:lang w:eastAsia="zh-CN"/>
              </w:rPr>
              <w:t xml:space="preserve"> For DRX cycle length is 1.28s, K3 = 4 is the measurement relaxation factor applicable for UE fulfilling the stationaryMobilityEvaluation [2] criterion.</w:t>
            </w:r>
          </w:p>
        </w:tc>
      </w:tr>
    </w:tbl>
    <w:p w14:paraId="423AFD9D" w14:textId="77777777" w:rsidR="001E1993" w:rsidRDefault="001E1993" w:rsidP="001E1993"/>
    <w:p w14:paraId="69D87081" w14:textId="1AC0D7BB" w:rsidR="00F87F95" w:rsidRDefault="00791FB3" w:rsidP="00F87F95">
      <w:pPr>
        <w:pStyle w:val="Heading5"/>
        <w:rPr>
          <w:lang w:val="en-US" w:eastAsia="zh-CN"/>
        </w:rPr>
      </w:pPr>
      <w:r>
        <w:rPr>
          <w:lang w:val="en-US" w:eastAsia="zh-CN"/>
        </w:rPr>
        <w:t>4.2B.2.9.3</w:t>
      </w:r>
      <w:r w:rsidRPr="00885F53">
        <w:rPr>
          <w:lang w:val="en-US" w:eastAsia="zh-CN"/>
        </w:rPr>
        <w:tab/>
      </w:r>
      <w:r>
        <w:rPr>
          <w:lang w:val="en-US" w:eastAsia="zh-CN"/>
        </w:rPr>
        <w:t>Measurements for a UE fulfilling stationary and not-at-cell edge criteria</w:t>
      </w:r>
    </w:p>
    <w:p w14:paraId="2F60F974" w14:textId="77777777" w:rsidR="00F87F95" w:rsidRDefault="00F87F95" w:rsidP="00F87F95">
      <w:pPr>
        <w:rPr>
          <w:lang w:eastAsia="zh-CN"/>
        </w:rPr>
      </w:pPr>
      <w:r w:rsidRPr="00885F53">
        <w:rPr>
          <w:lang w:val="en-US" w:eastAsia="zh-CN"/>
        </w:rPr>
        <w:t xml:space="preserve">This clause contains requirements </w:t>
      </w:r>
      <w:r>
        <w:rPr>
          <w:lang w:eastAsia="zh-CN"/>
        </w:rPr>
        <w:t>for measurements on intra-frequency NR cells provided that:</w:t>
      </w:r>
    </w:p>
    <w:p w14:paraId="364EA2E5" w14:textId="77777777" w:rsidR="00F87F95" w:rsidRPr="00AD77EE" w:rsidRDefault="00F87F95" w:rsidP="00F87F95">
      <w:pPr>
        <w:pStyle w:val="B10"/>
        <w:rPr>
          <w:lang w:eastAsia="zh-CN"/>
        </w:rPr>
      </w:pPr>
      <w:r>
        <w:rPr>
          <w:noProof/>
        </w:rPr>
        <w:t>-</w:t>
      </w:r>
      <w:r>
        <w:rPr>
          <w:noProof/>
        </w:rPr>
        <w:tab/>
      </w:r>
      <w:r w:rsidRPr="000A4CE3">
        <w:rPr>
          <w:lang w:eastAsia="zh-CN"/>
        </w:rPr>
        <w:t xml:space="preserve">UE is configured with </w:t>
      </w:r>
      <w:r w:rsidRPr="00AD77EE">
        <w:rPr>
          <w:lang w:eastAsia="zh-CN"/>
        </w:rPr>
        <w:t xml:space="preserve">both </w:t>
      </w:r>
      <w:r w:rsidRPr="0013391D">
        <w:rPr>
          <w:i/>
          <w:iCs/>
        </w:rPr>
        <w:t>stationaryMobilityEvaluation</w:t>
      </w:r>
      <w:r w:rsidDel="004B26EA">
        <w:rPr>
          <w:i/>
          <w:iCs/>
          <w:lang w:eastAsia="zh-CN"/>
        </w:rPr>
        <w:t xml:space="preserve"> </w:t>
      </w:r>
      <w:r>
        <w:rPr>
          <w:lang w:eastAsia="zh-CN"/>
        </w:rPr>
        <w:t>[2]</w:t>
      </w:r>
      <w:r w:rsidRPr="00AD77EE">
        <w:rPr>
          <w:lang w:eastAsia="zh-CN"/>
        </w:rPr>
        <w:t xml:space="preserve"> criterion and </w:t>
      </w:r>
      <w:r w:rsidRPr="006E2031">
        <w:rPr>
          <w:i/>
          <w:noProof/>
        </w:rPr>
        <w:t>cellEdgeEvaluationWhileStationary</w:t>
      </w:r>
      <w:r>
        <w:rPr>
          <w:i/>
          <w:noProof/>
        </w:rPr>
        <w:t xml:space="preserve"> </w:t>
      </w:r>
      <w:r>
        <w:rPr>
          <w:lang w:eastAsia="zh-CN"/>
        </w:rPr>
        <w:t>[2]</w:t>
      </w:r>
      <w:r w:rsidRPr="00AD77EE">
        <w:rPr>
          <w:lang w:eastAsia="zh-CN"/>
        </w:rPr>
        <w:t xml:space="preserve"> criterion, </w:t>
      </w:r>
      <w:r>
        <w:rPr>
          <w:lang w:eastAsia="zh-CN"/>
        </w:rPr>
        <w:t xml:space="preserve">and </w:t>
      </w:r>
    </w:p>
    <w:p w14:paraId="01CBF72C" w14:textId="77777777" w:rsidR="00F87F95" w:rsidRDefault="00F87F95" w:rsidP="00F87F95">
      <w:pPr>
        <w:pStyle w:val="B10"/>
        <w:rPr>
          <w:lang w:eastAsia="zh-CN"/>
        </w:rPr>
      </w:pPr>
      <w:r>
        <w:rPr>
          <w:noProof/>
        </w:rPr>
        <w:t>-</w:t>
      </w:r>
      <w:r>
        <w:rPr>
          <w:noProof/>
        </w:rPr>
        <w:tab/>
      </w:r>
      <w:r w:rsidRPr="00AD77EE">
        <w:rPr>
          <w:lang w:eastAsia="zh-CN"/>
        </w:rPr>
        <w:t xml:space="preserve">has </w:t>
      </w:r>
      <w:r>
        <w:rPr>
          <w:lang w:eastAsia="zh-CN"/>
        </w:rPr>
        <w:t xml:space="preserve">also </w:t>
      </w:r>
      <w:r w:rsidRPr="00AD77EE">
        <w:rPr>
          <w:lang w:eastAsia="zh-CN"/>
        </w:rPr>
        <w:t xml:space="preserve">fulfilled </w:t>
      </w:r>
      <w:r>
        <w:rPr>
          <w:lang w:eastAsia="zh-CN"/>
        </w:rPr>
        <w:t>both criteria, and,</w:t>
      </w:r>
    </w:p>
    <w:p w14:paraId="16D0E263" w14:textId="6148B5D9" w:rsidR="00F87F95" w:rsidRDefault="00F87F95" w:rsidP="00267E04">
      <w:pPr>
        <w:pStyle w:val="B10"/>
        <w:rPr>
          <w:lang w:eastAsia="zh-CN"/>
        </w:rPr>
      </w:pPr>
      <w:r>
        <w:rPr>
          <w:lang w:eastAsia="zh-CN"/>
        </w:rPr>
        <w:t>-</w:t>
      </w:r>
      <w:r>
        <w:rPr>
          <w:lang w:eastAsia="zh-CN"/>
        </w:rPr>
        <w:tab/>
        <w:t>less than 4 hours have passed since measurements for cell reselection were last performed</w:t>
      </w:r>
    </w:p>
    <w:p w14:paraId="644996FC" w14:textId="77777777" w:rsidR="00F020D7" w:rsidRDefault="00F020D7" w:rsidP="00F87F95">
      <w:pPr>
        <w:rPr>
          <w:rFonts w:cs="v4.2.0"/>
        </w:rPr>
      </w:pPr>
      <w:r>
        <w:rPr>
          <w:rFonts w:hint="eastAsia"/>
          <w:lang w:eastAsia="zh-CN"/>
        </w:rPr>
        <w:t>T</w:t>
      </w:r>
      <w:r>
        <w:rPr>
          <w:lang w:eastAsia="zh-CN"/>
        </w:rPr>
        <w:t xml:space="preserve">he requirments defined in this clause apply regardless of </w:t>
      </w:r>
      <w:r w:rsidRPr="00691C10">
        <w:rPr>
          <w:rFonts w:cs="v4.2.0"/>
        </w:rPr>
        <w:t>eDRX_IDLE</w:t>
      </w:r>
      <w:r>
        <w:rPr>
          <w:rFonts w:cs="v4.2.0"/>
        </w:rPr>
        <w:t xml:space="preserve"> configurations.</w:t>
      </w:r>
    </w:p>
    <w:p w14:paraId="6689B63C" w14:textId="7320DB86" w:rsidR="00F87F95" w:rsidRDefault="00791FB3" w:rsidP="00F87F95">
      <w:r>
        <w:rPr>
          <w:lang w:eastAsia="zh-CN"/>
        </w:rPr>
        <w:t xml:space="preserve">In </w:t>
      </w:r>
      <w:r w:rsidRPr="00BE54BE">
        <w:rPr>
          <w:lang w:eastAsia="zh-CN"/>
        </w:rPr>
        <w:t xml:space="preserve">this case the UE is not required to meet </w:t>
      </w:r>
      <w:r w:rsidRPr="00806346">
        <w:rPr>
          <w:sz w:val="18"/>
        </w:rPr>
        <w:t>T</w:t>
      </w:r>
      <w:r w:rsidRPr="00806346">
        <w:rPr>
          <w:sz w:val="18"/>
          <w:vertAlign w:val="subscript"/>
        </w:rPr>
        <w:t>detect,NR_Intra_RedCap</w:t>
      </w:r>
      <w:r w:rsidRPr="005556E5">
        <w:rPr>
          <w:vertAlign w:val="subscript"/>
        </w:rPr>
        <w:t>,</w:t>
      </w:r>
      <w:r w:rsidRPr="00FF6692">
        <w:t xml:space="preserve"> </w:t>
      </w:r>
      <w:r w:rsidRPr="00806346">
        <w:rPr>
          <w:sz w:val="18"/>
        </w:rPr>
        <w:t>T</w:t>
      </w:r>
      <w:r w:rsidRPr="00806346">
        <w:rPr>
          <w:sz w:val="18"/>
          <w:vertAlign w:val="subscript"/>
        </w:rPr>
        <w:t>measure,NR_Intra_RedCap</w:t>
      </w:r>
      <w:r w:rsidRPr="005556E5">
        <w:t xml:space="preserve"> and </w:t>
      </w:r>
      <w:r w:rsidRPr="00806346">
        <w:rPr>
          <w:sz w:val="18"/>
        </w:rPr>
        <w:t>T</w:t>
      </w:r>
      <w:r w:rsidRPr="00806346">
        <w:rPr>
          <w:sz w:val="18"/>
          <w:vertAlign w:val="subscript"/>
        </w:rPr>
        <w:t>evaluate,NR_Intra_RedCap</w:t>
      </w:r>
      <w:r w:rsidRPr="005556E5">
        <w:rPr>
          <w:lang w:eastAsia="zh-CN"/>
        </w:rPr>
        <w:t xml:space="preserve"> as defined in clause </w:t>
      </w:r>
      <w:r w:rsidRPr="008B0F23">
        <w:t>4.2B.2.3.</w:t>
      </w:r>
    </w:p>
    <w:p w14:paraId="4C211B49" w14:textId="51FC7061" w:rsidR="00F87F95" w:rsidRPr="0082197E" w:rsidRDefault="00F87F95" w:rsidP="00633580">
      <w:pPr>
        <w:rPr>
          <w:noProof/>
        </w:rPr>
      </w:pPr>
    </w:p>
    <w:p w14:paraId="7734E5DF" w14:textId="77777777" w:rsidR="00A7079C" w:rsidRDefault="00A7079C" w:rsidP="00A7079C">
      <w:pPr>
        <w:pStyle w:val="Heading5"/>
        <w:rPr>
          <w:lang w:val="en-US" w:eastAsia="zh-CN"/>
        </w:rPr>
      </w:pPr>
      <w:r>
        <w:rPr>
          <w:lang w:val="en-US" w:eastAsia="zh-CN"/>
        </w:rPr>
        <w:t>4.2B.2.9.3A</w:t>
      </w:r>
      <w:r w:rsidRPr="00885F53">
        <w:rPr>
          <w:lang w:val="en-US" w:eastAsia="zh-CN"/>
        </w:rPr>
        <w:tab/>
      </w:r>
      <w:r>
        <w:rPr>
          <w:lang w:val="en-US" w:eastAsia="zh-CN"/>
        </w:rPr>
        <w:t xml:space="preserve">Measurements for a UE fulfilling stationary and </w:t>
      </w:r>
      <w:r>
        <w:rPr>
          <w:rFonts w:hint="eastAsia"/>
          <w:lang w:val="en-US" w:eastAsia="zh-CN"/>
        </w:rPr>
        <w:t>Re</w:t>
      </w:r>
      <w:r>
        <w:rPr>
          <w:lang w:val="en-US" w:eastAsia="zh-CN"/>
        </w:rPr>
        <w:t>l-16 not at cell edge criteria</w:t>
      </w:r>
    </w:p>
    <w:p w14:paraId="1BFA72DE" w14:textId="73D069F5" w:rsidR="008C090A" w:rsidRDefault="008C090A" w:rsidP="008C090A">
      <w:pPr>
        <w:pStyle w:val="B10"/>
        <w:rPr>
          <w:lang w:eastAsia="zh-CN"/>
        </w:rPr>
      </w:pPr>
      <w:r>
        <w:rPr>
          <w:noProof/>
        </w:rPr>
        <w:t>-</w:t>
      </w:r>
      <w:r>
        <w:rPr>
          <w:noProof/>
        </w:rPr>
        <w:tab/>
      </w:r>
      <w:r>
        <w:rPr>
          <w:lang w:eastAsia="zh-CN"/>
        </w:rPr>
        <w:t xml:space="preserve">UE is configured with both </w:t>
      </w:r>
      <w:r>
        <w:rPr>
          <w:i/>
          <w:iCs/>
        </w:rPr>
        <w:t>stationaryMobilityEvaluation</w:t>
      </w:r>
      <w:r>
        <w:rPr>
          <w:i/>
          <w:iCs/>
          <w:lang w:eastAsia="zh-CN"/>
        </w:rPr>
        <w:t xml:space="preserve"> </w:t>
      </w:r>
      <w:r>
        <w:rPr>
          <w:lang w:eastAsia="zh-CN"/>
        </w:rPr>
        <w:t xml:space="preserve">[2] criterion and </w:t>
      </w:r>
      <w:r>
        <w:rPr>
          <w:i/>
          <w:iCs/>
          <w:lang w:eastAsia="zh-CN"/>
        </w:rPr>
        <w:t xml:space="preserve">cellEdgeEvaluation </w:t>
      </w:r>
      <w:r>
        <w:rPr>
          <w:lang w:eastAsia="zh-CN"/>
        </w:rPr>
        <w:t>[2] criterion, and</w:t>
      </w:r>
      <w:r>
        <w:rPr>
          <w:noProof/>
        </w:rPr>
        <w:t xml:space="preserve"> </w:t>
      </w:r>
      <w:r>
        <w:rPr>
          <w:lang w:eastAsia="zh-CN"/>
        </w:rPr>
        <w:t>has also fulfilled both criteria, or</w:t>
      </w:r>
    </w:p>
    <w:p w14:paraId="5034A5AB" w14:textId="72156BA3" w:rsidR="00A7079C" w:rsidRDefault="008C090A" w:rsidP="008C090A">
      <w:pPr>
        <w:pStyle w:val="B10"/>
        <w:rPr>
          <w:lang w:eastAsia="zh-CN"/>
        </w:rPr>
      </w:pPr>
      <w:r>
        <w:rPr>
          <w:noProof/>
        </w:rPr>
        <w:t>-</w:t>
      </w:r>
      <w:r>
        <w:rPr>
          <w:noProof/>
        </w:rPr>
        <w:tab/>
      </w:r>
      <w:r w:rsidRPr="001C4C1E">
        <w:rPr>
          <w:lang w:eastAsia="zh-CN"/>
        </w:rPr>
        <w:t xml:space="preserve">UE is configured with </w:t>
      </w:r>
      <w:r w:rsidRPr="001C4C1E">
        <w:rPr>
          <w:i/>
          <w:iCs/>
          <w:lang w:eastAsia="zh-CN"/>
        </w:rPr>
        <w:t xml:space="preserve">cellEdgeEvaluation </w:t>
      </w:r>
      <w:r w:rsidRPr="001C4C1E">
        <w:rPr>
          <w:lang w:eastAsia="zh-CN"/>
        </w:rPr>
        <w:t xml:space="preserve">[2] criterion and with both </w:t>
      </w:r>
      <w:r w:rsidRPr="001C4C1E">
        <w:rPr>
          <w:i/>
          <w:noProof/>
        </w:rPr>
        <w:t xml:space="preserve">stationaryMobilityEvaluation </w:t>
      </w:r>
      <w:r w:rsidRPr="001C4C1E">
        <w:rPr>
          <w:lang w:eastAsia="zh-CN"/>
        </w:rPr>
        <w:t xml:space="preserve">[2] criterion and </w:t>
      </w:r>
      <w:r w:rsidRPr="001C4C1E">
        <w:rPr>
          <w:i/>
          <w:noProof/>
        </w:rPr>
        <w:t xml:space="preserve">cellEdgeEvaluationWhileStationary </w:t>
      </w:r>
      <w:r w:rsidRPr="001C4C1E">
        <w:rPr>
          <w:lang w:eastAsia="zh-CN"/>
        </w:rPr>
        <w:t xml:space="preserve">[2] criterion and </w:t>
      </w:r>
      <w:r w:rsidRPr="001C4C1E">
        <w:rPr>
          <w:i/>
          <w:lang w:eastAsia="zh-CN"/>
        </w:rPr>
        <w:t xml:space="preserve">combineRelaxedMeasCondition2 </w:t>
      </w:r>
      <w:r w:rsidRPr="001C4C1E">
        <w:rPr>
          <w:lang w:eastAsia="zh-CN"/>
        </w:rPr>
        <w:t xml:space="preserve">[2] not configured, and UE has fulfilled </w:t>
      </w:r>
      <w:r w:rsidRPr="001C4C1E">
        <w:rPr>
          <w:i/>
          <w:iCs/>
          <w:lang w:eastAsia="zh-CN"/>
        </w:rPr>
        <w:t>cellEdgeEvaluation</w:t>
      </w:r>
      <w:r w:rsidRPr="001C4C1E">
        <w:rPr>
          <w:lang w:eastAsia="zh-CN"/>
        </w:rPr>
        <w:t xml:space="preserve"> and </w:t>
      </w:r>
      <w:r w:rsidRPr="001C4C1E">
        <w:rPr>
          <w:i/>
          <w:noProof/>
        </w:rPr>
        <w:t xml:space="preserve">stationaryMobilityEvaluation </w:t>
      </w:r>
      <w:r w:rsidRPr="001C4C1E">
        <w:rPr>
          <w:lang w:eastAsia="zh-CN"/>
        </w:rPr>
        <w:t>[2] criteria</w:t>
      </w:r>
    </w:p>
    <w:p w14:paraId="0EC48065" w14:textId="77777777" w:rsidR="00A7079C" w:rsidRDefault="00A7079C" w:rsidP="00A7079C">
      <w:pPr>
        <w:rPr>
          <w:noProof/>
        </w:rPr>
      </w:pPr>
      <w:r w:rsidRPr="0089796C">
        <w:rPr>
          <w:noProof/>
        </w:rPr>
        <w:t xml:space="preserve">The requirements defined in clause </w:t>
      </w:r>
      <w:r>
        <w:t>4.2B.2.3</w:t>
      </w:r>
      <w:r w:rsidRPr="0089796C">
        <w:t xml:space="preserve"> </w:t>
      </w:r>
      <w:r w:rsidRPr="0089796C">
        <w:rPr>
          <w:noProof/>
        </w:rPr>
        <w:t xml:space="preserve">apply for this </w:t>
      </w:r>
      <w:r>
        <w:rPr>
          <w:noProof/>
        </w:rPr>
        <w:t>clause</w:t>
      </w:r>
      <w:r w:rsidRPr="0089796C">
        <w:rPr>
          <w:noProof/>
        </w:rPr>
        <w:t xml:space="preserve"> </w:t>
      </w:r>
      <w:r>
        <w:rPr>
          <w:noProof/>
        </w:rPr>
        <w:t>except that</w:t>
      </w:r>
      <w:r w:rsidRPr="0089796C">
        <w:rPr>
          <w:noProof/>
        </w:rPr>
        <w:t>:</w:t>
      </w:r>
    </w:p>
    <w:p w14:paraId="237E4C0E" w14:textId="77777777" w:rsidR="00A7079C" w:rsidRDefault="00A7079C" w:rsidP="00A7079C">
      <w:pPr>
        <w:pStyle w:val="B10"/>
      </w:pPr>
      <w:r w:rsidRPr="0089796C">
        <w:t>-</w:t>
      </w:r>
      <w:r w:rsidRPr="0089796C">
        <w:tab/>
      </w:r>
      <w:r w:rsidRPr="00885F53">
        <w:t>T</w:t>
      </w:r>
      <w:r w:rsidRPr="00885F53">
        <w:rPr>
          <w:vertAlign w:val="subscript"/>
        </w:rPr>
        <w:t>detect,</w:t>
      </w:r>
      <w:r w:rsidRPr="00885F53">
        <w:rPr>
          <w:vertAlign w:val="subscript"/>
          <w:lang w:eastAsia="zh-CN"/>
        </w:rPr>
        <w:t>NR</w:t>
      </w:r>
      <w:r w:rsidRPr="00885F53">
        <w:rPr>
          <w:vertAlign w:val="subscript"/>
        </w:rPr>
        <w:t>_Intra</w:t>
      </w:r>
      <w:r>
        <w:rPr>
          <w:vertAlign w:val="subscript"/>
        </w:rPr>
        <w:t>_RedCap_Relax</w:t>
      </w:r>
      <w:r w:rsidRPr="00885F53">
        <w:rPr>
          <w:i/>
          <w:vertAlign w:val="subscript"/>
        </w:rPr>
        <w:t xml:space="preserve"> </w:t>
      </w:r>
      <w:r>
        <w:t xml:space="preserve">as specified in </w:t>
      </w:r>
      <w:r w:rsidRPr="00342887">
        <w:rPr>
          <w:lang w:val="en-US"/>
        </w:rPr>
        <w:t>Table 4.2</w:t>
      </w:r>
      <w:r>
        <w:rPr>
          <w:lang w:val="en-US"/>
        </w:rPr>
        <w:t>B</w:t>
      </w:r>
      <w:r w:rsidRPr="00342887">
        <w:rPr>
          <w:lang w:val="en-US"/>
        </w:rPr>
        <w:t>.2.</w:t>
      </w:r>
      <w:r>
        <w:rPr>
          <w:lang w:val="en-US"/>
        </w:rPr>
        <w:t>9.2</w:t>
      </w:r>
      <w:r w:rsidRPr="00342887">
        <w:rPr>
          <w:lang w:val="en-US"/>
        </w:rPr>
        <w:t>-1</w:t>
      </w:r>
      <w:r>
        <w:rPr>
          <w:lang w:val="en-US"/>
        </w:rPr>
        <w:t xml:space="preserve"> and </w:t>
      </w:r>
      <w:r w:rsidRPr="00342887">
        <w:rPr>
          <w:lang w:val="en-US"/>
        </w:rPr>
        <w:t>Table 4.2</w:t>
      </w:r>
      <w:r>
        <w:rPr>
          <w:lang w:val="en-US"/>
        </w:rPr>
        <w:t>B</w:t>
      </w:r>
      <w:r w:rsidRPr="00342887">
        <w:rPr>
          <w:lang w:val="en-US"/>
        </w:rPr>
        <w:t>.2.</w:t>
      </w:r>
      <w:r>
        <w:rPr>
          <w:lang w:val="en-US"/>
        </w:rPr>
        <w:t>9.2</w:t>
      </w:r>
      <w:r w:rsidRPr="00342887">
        <w:rPr>
          <w:lang w:val="en-US"/>
        </w:rPr>
        <w:t>-</w:t>
      </w:r>
      <w:r>
        <w:rPr>
          <w:lang w:val="en-US"/>
        </w:rPr>
        <w:t>2 for 1 Rx RedCap  and 2 Rx RedCap respectively</w:t>
      </w:r>
      <w:r w:rsidRPr="00AD77EE">
        <w:t>.</w:t>
      </w:r>
    </w:p>
    <w:p w14:paraId="3F3872C1" w14:textId="77777777" w:rsidR="00A7079C" w:rsidRDefault="00A7079C" w:rsidP="00A7079C">
      <w:pPr>
        <w:pStyle w:val="B10"/>
      </w:pPr>
      <w:r w:rsidRPr="0089796C">
        <w:t>-</w:t>
      </w:r>
      <w:r w:rsidRPr="0089796C">
        <w:tab/>
      </w:r>
      <w:r w:rsidRPr="00885F53">
        <w:rPr>
          <w:rFonts w:cs="v4.2.0"/>
        </w:rPr>
        <w:t>T</w:t>
      </w:r>
      <w:r w:rsidRPr="00885F53">
        <w:rPr>
          <w:rFonts w:cs="v4.2.0"/>
          <w:vertAlign w:val="subscript"/>
        </w:rPr>
        <w:t>measure,NR_Intra</w:t>
      </w:r>
      <w:r>
        <w:rPr>
          <w:vertAlign w:val="subscript"/>
        </w:rPr>
        <w:t>_RedCap_Relax</w:t>
      </w:r>
      <w:r w:rsidRPr="00885F53">
        <w:rPr>
          <w:rFonts w:cs="v4.2.0"/>
        </w:rPr>
        <w:t xml:space="preserve"> </w:t>
      </w:r>
      <w:r>
        <w:t xml:space="preserve">as specified in </w:t>
      </w:r>
      <w:r w:rsidRPr="00342887">
        <w:rPr>
          <w:lang w:val="en-US"/>
        </w:rPr>
        <w:t>Table 4.2</w:t>
      </w:r>
      <w:r>
        <w:rPr>
          <w:lang w:val="en-US"/>
        </w:rPr>
        <w:t>B</w:t>
      </w:r>
      <w:r w:rsidRPr="00342887">
        <w:rPr>
          <w:lang w:val="en-US"/>
        </w:rPr>
        <w:t>.2.</w:t>
      </w:r>
      <w:r>
        <w:rPr>
          <w:lang w:val="en-US"/>
        </w:rPr>
        <w:t>9.2</w:t>
      </w:r>
      <w:r w:rsidRPr="00342887">
        <w:rPr>
          <w:lang w:val="en-US"/>
        </w:rPr>
        <w:t>-1</w:t>
      </w:r>
      <w:r>
        <w:rPr>
          <w:lang w:val="en-US"/>
        </w:rPr>
        <w:t xml:space="preserve"> and </w:t>
      </w:r>
      <w:r w:rsidRPr="00342887">
        <w:rPr>
          <w:lang w:val="en-US"/>
        </w:rPr>
        <w:t>Table 4.2</w:t>
      </w:r>
      <w:r>
        <w:rPr>
          <w:lang w:val="en-US"/>
        </w:rPr>
        <w:t>B</w:t>
      </w:r>
      <w:r w:rsidRPr="00342887">
        <w:rPr>
          <w:lang w:val="en-US"/>
        </w:rPr>
        <w:t>.2.</w:t>
      </w:r>
      <w:r>
        <w:rPr>
          <w:lang w:val="en-US"/>
        </w:rPr>
        <w:t>9.2</w:t>
      </w:r>
      <w:r w:rsidRPr="00342887">
        <w:rPr>
          <w:lang w:val="en-US"/>
        </w:rPr>
        <w:t>-</w:t>
      </w:r>
      <w:r>
        <w:rPr>
          <w:lang w:val="en-US"/>
        </w:rPr>
        <w:t>2 for 1 Rx RedCap  and 2 Rx RedCap respectively</w:t>
      </w:r>
      <w:r w:rsidRPr="00AD77EE">
        <w:t>.</w:t>
      </w:r>
    </w:p>
    <w:p w14:paraId="73971C65" w14:textId="77777777" w:rsidR="00A7079C" w:rsidRPr="00AD5C2C" w:rsidRDefault="00A7079C" w:rsidP="00A7079C">
      <w:pPr>
        <w:pStyle w:val="B10"/>
      </w:pPr>
      <w:r w:rsidRPr="00AD5C2C">
        <w:t>-</w:t>
      </w:r>
      <w:r w:rsidRPr="00AD5C2C">
        <w:tab/>
      </w:r>
      <w:r w:rsidRPr="00AD5C2C">
        <w:rPr>
          <w:rFonts w:cs="v4.2.0"/>
        </w:rPr>
        <w:t>T</w:t>
      </w:r>
      <w:r w:rsidRPr="00AD5C2C">
        <w:rPr>
          <w:rFonts w:cs="v4.2.0"/>
          <w:vertAlign w:val="subscript"/>
        </w:rPr>
        <w:t>evaluate,</w:t>
      </w:r>
      <w:r w:rsidRPr="00AD5C2C">
        <w:rPr>
          <w:rFonts w:cs="v4.2.0"/>
          <w:vertAlign w:val="subscript"/>
          <w:lang w:eastAsia="zh-CN"/>
        </w:rPr>
        <w:t>NR</w:t>
      </w:r>
      <w:r w:rsidRPr="00AD5C2C">
        <w:rPr>
          <w:rFonts w:cs="v4.2.0"/>
          <w:vertAlign w:val="subscript"/>
        </w:rPr>
        <w:t>_Intra</w:t>
      </w:r>
      <w:r w:rsidRPr="00AD5C2C">
        <w:rPr>
          <w:vertAlign w:val="subscript"/>
        </w:rPr>
        <w:t>_RedCap_Relax</w:t>
      </w:r>
      <w:r w:rsidRPr="00AD5C2C">
        <w:rPr>
          <w:rFonts w:cs="v4.2.0"/>
          <w:vertAlign w:val="subscript"/>
        </w:rPr>
        <w:t xml:space="preserve"> </w:t>
      </w:r>
      <w:r w:rsidRPr="00AD5C2C">
        <w:t xml:space="preserve">as specified in </w:t>
      </w:r>
      <w:r w:rsidRPr="00AD5C2C">
        <w:rPr>
          <w:lang w:val="en-US"/>
        </w:rPr>
        <w:t>Table 4.2B.2.9.2-1 and Table 4.2B.2.9.2-2 for 1 Rx RedCap  and 2 Rx RedCap respectively</w:t>
      </w:r>
      <w:r w:rsidRPr="00AD5C2C">
        <w:t>.</w:t>
      </w:r>
    </w:p>
    <w:p w14:paraId="07293712" w14:textId="77777777" w:rsidR="00A7079C" w:rsidRPr="003D532E" w:rsidRDefault="00A7079C" w:rsidP="00A7079C">
      <w:pPr>
        <w:pStyle w:val="B10"/>
        <w:ind w:left="0" w:firstLine="0"/>
        <w:rPr>
          <w:noProof/>
        </w:rPr>
      </w:pPr>
      <w:r w:rsidRPr="003D532E">
        <w:rPr>
          <w:noProof/>
        </w:rPr>
        <w:t xml:space="preserve">If the UE is configured with eDRX_IDLE cycle then the requirements in Table 4.2B.2.9.2-3 and Table 4.2B.2.9.2-4 are applicable for eDRX cycle up to 10.24 s in FR1 and FR2 respectively. </w:t>
      </w:r>
    </w:p>
    <w:p w14:paraId="53326210" w14:textId="77777777" w:rsidR="00A7079C" w:rsidRDefault="00A7079C" w:rsidP="00A7079C">
      <w:pPr>
        <w:spacing w:after="0"/>
      </w:pPr>
      <w:r w:rsidRPr="003D532E">
        <w:t xml:space="preserve">If the UE is configured with eDRX_IDLE cycle greater than 10.24 s in FR1 and FR2, then the requirements in Table </w:t>
      </w:r>
      <w:r w:rsidRPr="003D532E">
        <w:rPr>
          <w:lang w:val="en-US"/>
        </w:rPr>
        <w:t>Table 4.2B.2.9.2-5</w:t>
      </w:r>
      <w:r w:rsidRPr="003D532E">
        <w:t xml:space="preserve"> and </w:t>
      </w:r>
      <w:r w:rsidRPr="003D532E">
        <w:rPr>
          <w:lang w:val="en-US"/>
        </w:rPr>
        <w:t xml:space="preserve">Table 4.2B.2.9.2-6 respectively </w:t>
      </w:r>
      <w:r w:rsidRPr="003D532E">
        <w:t xml:space="preserve">apply provided eDRX cycle is </w:t>
      </w:r>
      <w:r w:rsidRPr="003D532E">
        <w:rPr>
          <w:rFonts w:hint="eastAsia"/>
        </w:rPr>
        <w:t>≤</w:t>
      </w:r>
      <w:r w:rsidRPr="003D532E">
        <w:t xml:space="preserve"> [163.84] sec and evaluation/measurement time with relaxation on one carrier is not greater than single PTW window length.</w:t>
      </w:r>
    </w:p>
    <w:p w14:paraId="2D20AEDD" w14:textId="77777777" w:rsidR="00F87F95" w:rsidRPr="007D3BCC" w:rsidRDefault="00F87F95" w:rsidP="00F87F95"/>
    <w:p w14:paraId="59E12AFA" w14:textId="77777777" w:rsidR="00F87F95" w:rsidRDefault="00F87F95" w:rsidP="00F87F95">
      <w:pPr>
        <w:pStyle w:val="Heading5"/>
        <w:rPr>
          <w:lang w:val="en-US" w:eastAsia="zh-CN"/>
        </w:rPr>
      </w:pPr>
      <w:r>
        <w:rPr>
          <w:lang w:val="en-US" w:eastAsia="zh-CN"/>
        </w:rPr>
        <w:t>4.2B.2.9.4</w:t>
      </w:r>
      <w:r w:rsidRPr="00885F53">
        <w:rPr>
          <w:lang w:val="en-US" w:eastAsia="zh-CN"/>
        </w:rPr>
        <w:tab/>
      </w:r>
      <w:r>
        <w:rPr>
          <w:lang w:val="en-US" w:eastAsia="zh-CN"/>
        </w:rPr>
        <w:t>Measurements for a UE fulfilling low mobility and stationary criteria</w:t>
      </w:r>
    </w:p>
    <w:p w14:paraId="2E3A98BB" w14:textId="77777777" w:rsidR="00F87F95" w:rsidRDefault="00F87F95" w:rsidP="00F87F95">
      <w:pPr>
        <w:rPr>
          <w:lang w:eastAsia="zh-CN"/>
        </w:rPr>
      </w:pPr>
      <w:r w:rsidRPr="00885F53">
        <w:rPr>
          <w:lang w:val="en-US" w:eastAsia="zh-CN"/>
        </w:rPr>
        <w:t xml:space="preserve">This clause contains requirements </w:t>
      </w:r>
      <w:r>
        <w:rPr>
          <w:lang w:eastAsia="zh-CN"/>
        </w:rPr>
        <w:t>for measurements on intra-frequency NR cells provided that:</w:t>
      </w:r>
    </w:p>
    <w:p w14:paraId="19020498" w14:textId="77777777" w:rsidR="00F87F95" w:rsidRDefault="00F87F95" w:rsidP="00F87F95">
      <w:pPr>
        <w:pStyle w:val="B10"/>
        <w:rPr>
          <w:lang w:eastAsia="zh-CN"/>
        </w:rPr>
      </w:pPr>
      <w:r>
        <w:rPr>
          <w:noProof/>
        </w:rPr>
        <w:t>-</w:t>
      </w:r>
      <w:r>
        <w:rPr>
          <w:noProof/>
        </w:rPr>
        <w:tab/>
      </w:r>
      <w:r w:rsidRPr="007C2D19">
        <w:rPr>
          <w:lang w:eastAsia="zh-CN"/>
        </w:rPr>
        <w:t xml:space="preserve">UE is configured with </w:t>
      </w:r>
      <w:r w:rsidRPr="001C6668">
        <w:rPr>
          <w:i/>
          <w:iCs/>
          <w:lang w:eastAsia="zh-CN"/>
        </w:rPr>
        <w:t>lowMobilityEvaluation</w:t>
      </w:r>
      <w:r w:rsidDel="004B26EA">
        <w:rPr>
          <w:i/>
          <w:iCs/>
          <w:lang w:eastAsia="zh-CN"/>
        </w:rPr>
        <w:t xml:space="preserve"> </w:t>
      </w:r>
      <w:r>
        <w:rPr>
          <w:lang w:eastAsia="zh-CN"/>
        </w:rPr>
        <w:t>[2]</w:t>
      </w:r>
      <w:r w:rsidRPr="007C2D19">
        <w:rPr>
          <w:lang w:eastAsia="zh-CN"/>
        </w:rPr>
        <w:t xml:space="preserve"> </w:t>
      </w:r>
      <w:r w:rsidRPr="00C33767">
        <w:rPr>
          <w:lang w:eastAsia="zh-CN"/>
        </w:rPr>
        <w:t>criterion</w:t>
      </w:r>
      <w:r>
        <w:rPr>
          <w:lang w:eastAsia="zh-CN"/>
        </w:rPr>
        <w:t xml:space="preserve"> and </w:t>
      </w:r>
      <w:r w:rsidRPr="0013391D">
        <w:rPr>
          <w:i/>
          <w:iCs/>
        </w:rPr>
        <w:t>stationaryMobilityEvaluation</w:t>
      </w:r>
      <w:r w:rsidDel="004B26EA">
        <w:rPr>
          <w:i/>
          <w:iCs/>
          <w:lang w:eastAsia="zh-CN"/>
        </w:rPr>
        <w:t xml:space="preserve"> </w:t>
      </w:r>
      <w:r>
        <w:rPr>
          <w:lang w:eastAsia="zh-CN"/>
        </w:rPr>
        <w:t>[2]</w:t>
      </w:r>
      <w:r w:rsidRPr="00AD77EE">
        <w:rPr>
          <w:lang w:eastAsia="zh-CN"/>
        </w:rPr>
        <w:t xml:space="preserve"> criterion</w:t>
      </w:r>
      <w:r>
        <w:rPr>
          <w:lang w:eastAsia="zh-CN"/>
        </w:rPr>
        <w:t>,</w:t>
      </w:r>
      <w:r w:rsidRPr="00AD77EE">
        <w:rPr>
          <w:lang w:eastAsia="zh-CN"/>
        </w:rPr>
        <w:t xml:space="preserve"> </w:t>
      </w:r>
      <w:r>
        <w:rPr>
          <w:lang w:eastAsia="zh-CN"/>
        </w:rPr>
        <w:t xml:space="preserve">and </w:t>
      </w:r>
      <w:r w:rsidRPr="00AD77EE">
        <w:rPr>
          <w:lang w:eastAsia="zh-CN"/>
        </w:rPr>
        <w:t xml:space="preserve">has </w:t>
      </w:r>
      <w:r>
        <w:rPr>
          <w:lang w:eastAsia="zh-CN"/>
        </w:rPr>
        <w:t xml:space="preserve">also </w:t>
      </w:r>
      <w:r w:rsidRPr="00AD77EE">
        <w:rPr>
          <w:lang w:eastAsia="zh-CN"/>
        </w:rPr>
        <w:t xml:space="preserve">fulfilled </w:t>
      </w:r>
      <w:r>
        <w:rPr>
          <w:lang w:eastAsia="zh-CN"/>
        </w:rPr>
        <w:t>both criteria, or,</w:t>
      </w:r>
    </w:p>
    <w:p w14:paraId="7D76F9B5" w14:textId="77777777" w:rsidR="00F87F95" w:rsidRPr="00BE54BE" w:rsidRDefault="00F87F95" w:rsidP="00F87F95">
      <w:pPr>
        <w:pStyle w:val="B10"/>
        <w:rPr>
          <w:lang w:eastAsia="zh-CN"/>
        </w:rPr>
      </w:pPr>
      <w:r w:rsidRPr="00BE54BE">
        <w:rPr>
          <w:noProof/>
        </w:rPr>
        <w:t>-</w:t>
      </w:r>
      <w:r w:rsidRPr="00BE54BE">
        <w:rPr>
          <w:noProof/>
        </w:rPr>
        <w:tab/>
      </w:r>
      <w:r w:rsidRPr="00BE54BE">
        <w:rPr>
          <w:lang w:eastAsia="zh-CN"/>
        </w:rPr>
        <w:t xml:space="preserve">UE is configured with </w:t>
      </w:r>
      <w:r w:rsidRPr="00BE54BE">
        <w:rPr>
          <w:i/>
          <w:iCs/>
          <w:lang w:eastAsia="zh-CN"/>
        </w:rPr>
        <w:t>lowMobilityEvaluation</w:t>
      </w:r>
      <w:r w:rsidRPr="00BE54BE" w:rsidDel="004B26EA">
        <w:rPr>
          <w:i/>
          <w:iCs/>
          <w:lang w:eastAsia="zh-CN"/>
        </w:rPr>
        <w:t xml:space="preserve"> </w:t>
      </w:r>
      <w:r w:rsidRPr="00BE54BE">
        <w:rPr>
          <w:lang w:eastAsia="zh-CN"/>
        </w:rPr>
        <w:t xml:space="preserve">[2] criterion and with both </w:t>
      </w:r>
      <w:r w:rsidRPr="00BE54BE">
        <w:rPr>
          <w:i/>
          <w:noProof/>
        </w:rPr>
        <w:t xml:space="preserve">stationaryMobilityEvaluation </w:t>
      </w:r>
      <w:r w:rsidRPr="00BE54BE">
        <w:rPr>
          <w:lang w:eastAsia="zh-CN"/>
        </w:rPr>
        <w:t xml:space="preserve">[2] criterion and </w:t>
      </w:r>
      <w:r w:rsidRPr="00BE54BE">
        <w:rPr>
          <w:i/>
          <w:noProof/>
        </w:rPr>
        <w:t xml:space="preserve">cellEdgeEvaluationWhileStationary </w:t>
      </w:r>
      <w:r w:rsidRPr="00BE54BE">
        <w:rPr>
          <w:lang w:eastAsia="zh-CN"/>
        </w:rPr>
        <w:t xml:space="preserve">[2] criterion and </w:t>
      </w:r>
      <w:r w:rsidRPr="00BE54BE">
        <w:rPr>
          <w:i/>
          <w:lang w:eastAsia="zh-CN"/>
        </w:rPr>
        <w:t xml:space="preserve">combineRelaxedMeasCondition2 </w:t>
      </w:r>
      <w:r w:rsidRPr="00BE54BE">
        <w:rPr>
          <w:lang w:eastAsia="zh-CN"/>
        </w:rPr>
        <w:t xml:space="preserve">[2] not configured, and UE has fulfilled </w:t>
      </w:r>
      <w:r w:rsidRPr="00BE54BE">
        <w:rPr>
          <w:i/>
          <w:iCs/>
          <w:lang w:eastAsia="zh-CN"/>
        </w:rPr>
        <w:t>lowMobilityEvaluation</w:t>
      </w:r>
      <w:r w:rsidRPr="00BE54BE" w:rsidDel="004B26EA">
        <w:rPr>
          <w:i/>
          <w:iCs/>
          <w:lang w:eastAsia="zh-CN"/>
        </w:rPr>
        <w:t xml:space="preserve"> </w:t>
      </w:r>
      <w:r w:rsidRPr="00BE54BE">
        <w:rPr>
          <w:lang w:eastAsia="zh-CN"/>
        </w:rPr>
        <w:t xml:space="preserve">and </w:t>
      </w:r>
      <w:r w:rsidRPr="00BE54BE">
        <w:rPr>
          <w:i/>
          <w:noProof/>
        </w:rPr>
        <w:t xml:space="preserve">stationaryMobilityEvaluation </w:t>
      </w:r>
      <w:r w:rsidRPr="00BE54BE">
        <w:rPr>
          <w:lang w:eastAsia="zh-CN"/>
        </w:rPr>
        <w:t>[2] criteria</w:t>
      </w:r>
    </w:p>
    <w:p w14:paraId="03548A22" w14:textId="77777777" w:rsidR="00791FB3" w:rsidRPr="0082197E" w:rsidRDefault="00791FB3" w:rsidP="00791FB3">
      <w:pPr>
        <w:rPr>
          <w:lang w:eastAsia="zh-CN"/>
        </w:rPr>
      </w:pPr>
      <w:r w:rsidRPr="00BE54BE">
        <w:rPr>
          <w:lang w:eastAsia="zh-CN"/>
        </w:rPr>
        <w:t xml:space="preserve">The requirements defined in clause </w:t>
      </w:r>
      <w:r w:rsidRPr="0082197E">
        <w:rPr>
          <w:lang w:eastAsia="zh-CN"/>
        </w:rPr>
        <w:t>4.2B.2.9.2</w:t>
      </w:r>
      <w:r w:rsidRPr="00BE54BE">
        <w:rPr>
          <w:lang w:eastAsia="zh-CN"/>
        </w:rPr>
        <w:t xml:space="preserve"> apply for this clause.</w:t>
      </w:r>
    </w:p>
    <w:p w14:paraId="09AC2EA3" w14:textId="4E92A588" w:rsidR="00F87F95" w:rsidRPr="00EB6EC6" w:rsidRDefault="00F87F95" w:rsidP="00791FB3">
      <w:pPr>
        <w:pStyle w:val="NO"/>
        <w:rPr>
          <w:i/>
          <w:iCs/>
        </w:rPr>
      </w:pPr>
    </w:p>
    <w:p w14:paraId="2D85E2C1" w14:textId="77777777" w:rsidR="00F87F95" w:rsidRDefault="00F87F95" w:rsidP="00F87F95">
      <w:pPr>
        <w:rPr>
          <w:i/>
          <w:iCs/>
        </w:rPr>
      </w:pPr>
    </w:p>
    <w:p w14:paraId="0458E128" w14:textId="73A30CC8" w:rsidR="00F87F95" w:rsidRDefault="00791FB3" w:rsidP="00F87F95">
      <w:pPr>
        <w:pStyle w:val="Heading5"/>
        <w:rPr>
          <w:lang w:val="en-US" w:eastAsia="zh-CN"/>
        </w:rPr>
      </w:pPr>
      <w:r>
        <w:rPr>
          <w:lang w:val="en-US" w:eastAsia="zh-CN"/>
        </w:rPr>
        <w:t>4.2B.2.9.5</w:t>
      </w:r>
      <w:r w:rsidRPr="00885F53">
        <w:rPr>
          <w:lang w:val="en-US" w:eastAsia="zh-CN"/>
        </w:rPr>
        <w:tab/>
      </w:r>
      <w:r>
        <w:rPr>
          <w:lang w:val="en-US" w:eastAsia="zh-CN"/>
        </w:rPr>
        <w:t>Measurements for a UE fulfilling low mobility criterion and stationary and not-at-cell edge criteria</w:t>
      </w:r>
    </w:p>
    <w:p w14:paraId="60C2633E" w14:textId="77777777" w:rsidR="00F87F95" w:rsidRDefault="00F87F95" w:rsidP="00F87F95">
      <w:pPr>
        <w:rPr>
          <w:lang w:eastAsia="zh-CN"/>
        </w:rPr>
      </w:pPr>
      <w:r w:rsidRPr="00885F53">
        <w:rPr>
          <w:lang w:val="en-US" w:eastAsia="zh-CN"/>
        </w:rPr>
        <w:t xml:space="preserve">This clause contains requirements </w:t>
      </w:r>
      <w:r>
        <w:rPr>
          <w:lang w:eastAsia="zh-CN"/>
        </w:rPr>
        <w:t>for measurements on intra-frequency NR cells provided that:</w:t>
      </w:r>
    </w:p>
    <w:p w14:paraId="1C6625B4" w14:textId="77777777" w:rsidR="00F87F95" w:rsidRDefault="00F87F95" w:rsidP="00F87F95">
      <w:pPr>
        <w:pStyle w:val="B10"/>
        <w:rPr>
          <w:lang w:eastAsia="zh-CN"/>
        </w:rPr>
      </w:pPr>
      <w:r>
        <w:rPr>
          <w:noProof/>
        </w:rPr>
        <w:t>-</w:t>
      </w:r>
      <w:r>
        <w:rPr>
          <w:noProof/>
        </w:rPr>
        <w:tab/>
      </w:r>
      <w:r w:rsidRPr="007C2D19">
        <w:rPr>
          <w:lang w:eastAsia="zh-CN"/>
        </w:rPr>
        <w:t xml:space="preserve">UE is configured with </w:t>
      </w:r>
      <w:r w:rsidRPr="001C6668">
        <w:rPr>
          <w:i/>
          <w:iCs/>
          <w:lang w:eastAsia="zh-CN"/>
        </w:rPr>
        <w:t>lowMobilityEvaluation</w:t>
      </w:r>
      <w:r w:rsidDel="004B26EA">
        <w:rPr>
          <w:i/>
          <w:iCs/>
          <w:lang w:eastAsia="zh-CN"/>
        </w:rPr>
        <w:t xml:space="preserve"> </w:t>
      </w:r>
      <w:r>
        <w:rPr>
          <w:lang w:eastAsia="zh-CN"/>
        </w:rPr>
        <w:t>[2]</w:t>
      </w:r>
      <w:r w:rsidRPr="007C2D19">
        <w:rPr>
          <w:lang w:eastAsia="zh-CN"/>
        </w:rPr>
        <w:t xml:space="preserve"> </w:t>
      </w:r>
      <w:r w:rsidRPr="00C33767">
        <w:rPr>
          <w:lang w:eastAsia="zh-CN"/>
        </w:rPr>
        <w:t>criterion</w:t>
      </w:r>
      <w:r>
        <w:rPr>
          <w:lang w:eastAsia="zh-CN"/>
        </w:rPr>
        <w:t xml:space="preserve"> and UE has fulfilled this criterion, and </w:t>
      </w:r>
    </w:p>
    <w:p w14:paraId="15C13E9D" w14:textId="3199E14F" w:rsidR="00F87F95" w:rsidRDefault="006B19F0" w:rsidP="00F87F95">
      <w:pPr>
        <w:pStyle w:val="B10"/>
        <w:rPr>
          <w:lang w:eastAsia="zh-CN"/>
        </w:rPr>
      </w:pPr>
      <w:r>
        <w:rPr>
          <w:noProof/>
        </w:rPr>
        <w:t>-</w:t>
      </w:r>
      <w:r>
        <w:rPr>
          <w:noProof/>
        </w:rPr>
        <w:tab/>
      </w:r>
      <w:r w:rsidR="00F87F95">
        <w:rPr>
          <w:noProof/>
        </w:rPr>
        <w:t xml:space="preserve">UE is configured with </w:t>
      </w:r>
      <w:r w:rsidR="00F87F95" w:rsidRPr="0013391D">
        <w:rPr>
          <w:i/>
          <w:iCs/>
        </w:rPr>
        <w:t>stationaryMobilityEvaluation</w:t>
      </w:r>
      <w:r w:rsidR="00F87F95">
        <w:rPr>
          <w:i/>
          <w:iCs/>
        </w:rPr>
        <w:t xml:space="preserve"> </w:t>
      </w:r>
      <w:r w:rsidR="00F87F95" w:rsidRPr="00607F58">
        <w:rPr>
          <w:iCs/>
        </w:rPr>
        <w:t>[2]</w:t>
      </w:r>
      <w:r w:rsidR="00F87F95">
        <w:rPr>
          <w:iCs/>
        </w:rPr>
        <w:t xml:space="preserve"> </w:t>
      </w:r>
      <w:r w:rsidR="00F87F95">
        <w:rPr>
          <w:lang w:eastAsia="zh-CN"/>
        </w:rPr>
        <w:t xml:space="preserve">and </w:t>
      </w:r>
      <w:r w:rsidR="00F87F95" w:rsidRPr="006E2031">
        <w:rPr>
          <w:i/>
          <w:noProof/>
        </w:rPr>
        <w:t>cellEdgeEvaluationWhileStationary</w:t>
      </w:r>
      <w:r w:rsidR="00F87F95">
        <w:rPr>
          <w:i/>
          <w:noProof/>
        </w:rPr>
        <w:t xml:space="preserve"> </w:t>
      </w:r>
      <w:r w:rsidR="00F87F95">
        <w:rPr>
          <w:lang w:eastAsia="zh-CN"/>
        </w:rPr>
        <w:t>[2]</w:t>
      </w:r>
      <w:r w:rsidR="00F87F95" w:rsidRPr="00AD77EE">
        <w:rPr>
          <w:lang w:eastAsia="zh-CN"/>
        </w:rPr>
        <w:t xml:space="preserve"> criterion</w:t>
      </w:r>
      <w:r w:rsidR="00F87F95">
        <w:rPr>
          <w:lang w:eastAsia="zh-CN"/>
        </w:rPr>
        <w:t>,</w:t>
      </w:r>
      <w:r w:rsidR="00F87F95" w:rsidRPr="00AD77EE">
        <w:rPr>
          <w:lang w:eastAsia="zh-CN"/>
        </w:rPr>
        <w:t xml:space="preserve"> </w:t>
      </w:r>
      <w:r w:rsidR="00F87F95">
        <w:rPr>
          <w:lang w:eastAsia="zh-CN"/>
        </w:rPr>
        <w:t xml:space="preserve">and UE </w:t>
      </w:r>
      <w:r w:rsidR="00F87F95" w:rsidRPr="00AD77EE">
        <w:rPr>
          <w:lang w:eastAsia="zh-CN"/>
        </w:rPr>
        <w:t xml:space="preserve">has </w:t>
      </w:r>
      <w:r w:rsidR="00F87F95">
        <w:rPr>
          <w:lang w:eastAsia="zh-CN"/>
        </w:rPr>
        <w:t xml:space="preserve">also </w:t>
      </w:r>
      <w:r w:rsidR="00F87F95" w:rsidRPr="00AD77EE">
        <w:rPr>
          <w:lang w:eastAsia="zh-CN"/>
        </w:rPr>
        <w:t xml:space="preserve">fulfilled </w:t>
      </w:r>
      <w:r w:rsidR="00F87F95">
        <w:rPr>
          <w:lang w:eastAsia="zh-CN"/>
        </w:rPr>
        <w:t>both criteria</w:t>
      </w:r>
    </w:p>
    <w:p w14:paraId="318BC6CE" w14:textId="77777777" w:rsidR="00F87F95" w:rsidRPr="00BE54BE" w:rsidRDefault="00F87F95" w:rsidP="00F87F95">
      <w:r w:rsidRPr="00D07D26">
        <w:t xml:space="preserve">The requirements defined in clause </w:t>
      </w:r>
      <w:r w:rsidRPr="0082197E">
        <w:rPr>
          <w:lang w:eastAsia="zh-CN"/>
        </w:rPr>
        <w:t>4.2B.2.9.3</w:t>
      </w:r>
      <w:r w:rsidRPr="00D07D26">
        <w:t xml:space="preserve"> apply for this clause.</w:t>
      </w:r>
    </w:p>
    <w:p w14:paraId="5A56A866" w14:textId="77777777" w:rsidR="00F87F95" w:rsidRPr="0082197E" w:rsidRDefault="00F87F95" w:rsidP="00F87F95"/>
    <w:p w14:paraId="4987298B" w14:textId="512E4D5D" w:rsidR="00F87F95" w:rsidRPr="00D07D26" w:rsidRDefault="00791FB3" w:rsidP="00F87F95">
      <w:pPr>
        <w:pStyle w:val="Heading5"/>
        <w:rPr>
          <w:lang w:val="en-US" w:eastAsia="zh-CN"/>
        </w:rPr>
      </w:pPr>
      <w:r w:rsidRPr="00D07D26">
        <w:rPr>
          <w:lang w:val="en-US" w:eastAsia="zh-CN"/>
        </w:rPr>
        <w:t>4.2B.2.9.6</w:t>
      </w:r>
      <w:r w:rsidRPr="00D07D26">
        <w:rPr>
          <w:lang w:val="en-US" w:eastAsia="zh-CN"/>
        </w:rPr>
        <w:tab/>
        <w:t xml:space="preserve">Measurements for a UE fulfilling </w:t>
      </w:r>
      <w:r w:rsidRPr="0082197E">
        <w:rPr>
          <w:lang w:val="en-US" w:eastAsia="zh-CN"/>
        </w:rPr>
        <w:t xml:space="preserve">not-at-cell edge criterion and </w:t>
      </w:r>
      <w:r w:rsidRPr="00D07D26">
        <w:rPr>
          <w:lang w:val="en-US" w:eastAsia="zh-CN"/>
        </w:rPr>
        <w:t>stationary</w:t>
      </w:r>
      <w:r>
        <w:rPr>
          <w:lang w:val="en-US" w:eastAsia="zh-CN"/>
        </w:rPr>
        <w:t xml:space="preserve"> and</w:t>
      </w:r>
      <w:r w:rsidRPr="00BE54BE">
        <w:rPr>
          <w:lang w:val="en-US" w:eastAsia="zh-CN"/>
        </w:rPr>
        <w:t xml:space="preserve"> not</w:t>
      </w:r>
      <w:r>
        <w:rPr>
          <w:lang w:val="en-US" w:eastAsia="zh-CN"/>
        </w:rPr>
        <w:t>-</w:t>
      </w:r>
      <w:r w:rsidRPr="00BE54BE">
        <w:rPr>
          <w:lang w:val="en-US" w:eastAsia="zh-CN"/>
        </w:rPr>
        <w:t>at</w:t>
      </w:r>
      <w:r>
        <w:rPr>
          <w:lang w:val="en-US" w:eastAsia="zh-CN"/>
        </w:rPr>
        <w:t>-</w:t>
      </w:r>
      <w:r w:rsidRPr="00BE54BE">
        <w:rPr>
          <w:lang w:val="en-US" w:eastAsia="zh-CN"/>
        </w:rPr>
        <w:t>cell edge criteria</w:t>
      </w:r>
    </w:p>
    <w:p w14:paraId="6151A730" w14:textId="77777777" w:rsidR="00F87F95" w:rsidRPr="00D07D26" w:rsidRDefault="00F87F95" w:rsidP="00F87F95">
      <w:pPr>
        <w:rPr>
          <w:lang w:eastAsia="zh-CN"/>
        </w:rPr>
      </w:pPr>
      <w:r w:rsidRPr="00D07D26">
        <w:rPr>
          <w:lang w:val="en-US" w:eastAsia="zh-CN"/>
        </w:rPr>
        <w:t xml:space="preserve">This clause contains requirements </w:t>
      </w:r>
      <w:r w:rsidRPr="00D07D26">
        <w:rPr>
          <w:lang w:eastAsia="zh-CN"/>
        </w:rPr>
        <w:t>for measurements on intra-frequency NR cells provided that:</w:t>
      </w:r>
    </w:p>
    <w:p w14:paraId="1487D9A5" w14:textId="77777777" w:rsidR="00F87F95" w:rsidRPr="0082197E" w:rsidRDefault="00F87F95">
      <w:pPr>
        <w:pStyle w:val="B10"/>
        <w:numPr>
          <w:ilvl w:val="0"/>
          <w:numId w:val="15"/>
        </w:numPr>
        <w:rPr>
          <w:noProof/>
        </w:rPr>
      </w:pPr>
      <w:r w:rsidRPr="00D07D26">
        <w:rPr>
          <w:noProof/>
        </w:rPr>
        <w:t xml:space="preserve">UE is configured with </w:t>
      </w:r>
      <w:r w:rsidRPr="0082197E">
        <w:rPr>
          <w:noProof/>
        </w:rPr>
        <w:t xml:space="preserve">cellEdgeEvaluation </w:t>
      </w:r>
      <w:r w:rsidRPr="00D07D26">
        <w:rPr>
          <w:noProof/>
        </w:rPr>
        <w:t>[2] criterion and UE has fulfilled that criterion, and</w:t>
      </w:r>
    </w:p>
    <w:p w14:paraId="3AB5566C" w14:textId="77777777" w:rsidR="00F87F95" w:rsidRPr="00D07D26" w:rsidRDefault="00F87F95">
      <w:pPr>
        <w:pStyle w:val="B10"/>
        <w:numPr>
          <w:ilvl w:val="0"/>
          <w:numId w:val="15"/>
        </w:numPr>
        <w:rPr>
          <w:lang w:eastAsia="zh-CN"/>
        </w:rPr>
      </w:pPr>
      <w:r w:rsidRPr="00D07D26">
        <w:rPr>
          <w:lang w:eastAsia="zh-CN"/>
        </w:rPr>
        <w:t xml:space="preserve">UE is configured with </w:t>
      </w:r>
      <w:r w:rsidRPr="0013391D">
        <w:rPr>
          <w:i/>
          <w:iCs/>
        </w:rPr>
        <w:t>stationaryMobilityEvaluation</w:t>
      </w:r>
      <w:r w:rsidRPr="00BE54BE" w:rsidDel="00545A00">
        <w:rPr>
          <w:i/>
          <w:iCs/>
          <w:lang w:eastAsia="zh-CN"/>
        </w:rPr>
        <w:t xml:space="preserve"> </w:t>
      </w:r>
      <w:r w:rsidRPr="00D07D26">
        <w:rPr>
          <w:lang w:eastAsia="zh-CN"/>
        </w:rPr>
        <w:t xml:space="preserve">[2] criterion and </w:t>
      </w:r>
      <w:r w:rsidRPr="00D07D26">
        <w:rPr>
          <w:i/>
          <w:noProof/>
        </w:rPr>
        <w:t xml:space="preserve">cellEdgeEvaluationWhileStationary </w:t>
      </w:r>
      <w:r w:rsidRPr="00D07D26">
        <w:rPr>
          <w:lang w:eastAsia="zh-CN"/>
        </w:rPr>
        <w:t>[2] criterion, and has also fulfilled both criteria</w:t>
      </w:r>
    </w:p>
    <w:p w14:paraId="59C15203" w14:textId="77777777" w:rsidR="00F87F95" w:rsidRPr="00D07D26" w:rsidRDefault="00F87F95" w:rsidP="00F87F95">
      <w:r w:rsidRPr="0082197E">
        <w:t xml:space="preserve">The requirements defined in clause </w:t>
      </w:r>
      <w:r w:rsidRPr="0082197E">
        <w:rPr>
          <w:lang w:eastAsia="zh-CN"/>
        </w:rPr>
        <w:t>4.2B.2.9.3</w:t>
      </w:r>
      <w:r w:rsidRPr="0082197E">
        <w:t xml:space="preserve"> apply for this clause.</w:t>
      </w:r>
    </w:p>
    <w:p w14:paraId="687422B1" w14:textId="77777777" w:rsidR="00F87F95" w:rsidRPr="00D07D26" w:rsidRDefault="00F87F95" w:rsidP="00F87F95"/>
    <w:p w14:paraId="4A63C5D4" w14:textId="042BD9AA" w:rsidR="00F87F95" w:rsidRPr="0082197E" w:rsidRDefault="00791FB3" w:rsidP="00F87F95">
      <w:pPr>
        <w:pStyle w:val="Heading5"/>
        <w:rPr>
          <w:lang w:val="en-US" w:eastAsia="zh-CN"/>
        </w:rPr>
      </w:pPr>
      <w:r w:rsidRPr="0082197E">
        <w:rPr>
          <w:lang w:val="en-US" w:eastAsia="zh-CN"/>
        </w:rPr>
        <w:t>4.2B.2.9.7</w:t>
      </w:r>
      <w:r w:rsidRPr="0082197E">
        <w:rPr>
          <w:lang w:val="en-US" w:eastAsia="zh-CN"/>
        </w:rPr>
        <w:tab/>
        <w:t xml:space="preserve">Measurements for a UE fulfilling </w:t>
      </w:r>
      <w:r>
        <w:rPr>
          <w:lang w:val="en-US" w:eastAsia="zh-CN"/>
        </w:rPr>
        <w:t xml:space="preserve">low mobility and </w:t>
      </w:r>
      <w:r w:rsidRPr="0082197E">
        <w:rPr>
          <w:lang w:val="en-US" w:eastAsia="zh-CN"/>
        </w:rPr>
        <w:t>not-at-cell edge criteri</w:t>
      </w:r>
      <w:r>
        <w:rPr>
          <w:lang w:val="en-US" w:eastAsia="zh-CN"/>
        </w:rPr>
        <w:t>a</w:t>
      </w:r>
      <w:r w:rsidRPr="0082197E">
        <w:rPr>
          <w:lang w:val="en-US" w:eastAsia="zh-CN"/>
        </w:rPr>
        <w:t xml:space="preserve"> and stationary</w:t>
      </w:r>
      <w:r>
        <w:rPr>
          <w:lang w:val="en-US" w:eastAsia="zh-CN"/>
        </w:rPr>
        <w:t xml:space="preserve"> and</w:t>
      </w:r>
      <w:r w:rsidRPr="0082197E">
        <w:rPr>
          <w:lang w:val="en-US" w:eastAsia="zh-CN"/>
        </w:rPr>
        <w:t xml:space="preserve"> notatcell edge criteria</w:t>
      </w:r>
    </w:p>
    <w:p w14:paraId="70A93493" w14:textId="77777777" w:rsidR="00F87F95" w:rsidRPr="0082197E" w:rsidRDefault="00F87F95" w:rsidP="00F87F95">
      <w:pPr>
        <w:rPr>
          <w:lang w:eastAsia="zh-CN"/>
        </w:rPr>
      </w:pPr>
      <w:r w:rsidRPr="0082197E">
        <w:rPr>
          <w:lang w:val="en-US" w:eastAsia="zh-CN"/>
        </w:rPr>
        <w:t xml:space="preserve">This clause contains requirements </w:t>
      </w:r>
      <w:r w:rsidRPr="0082197E">
        <w:rPr>
          <w:lang w:eastAsia="zh-CN"/>
        </w:rPr>
        <w:t>for measurements on intra-frequency NR cells provided that:</w:t>
      </w:r>
    </w:p>
    <w:p w14:paraId="2652CE16" w14:textId="77777777" w:rsidR="00F87F95" w:rsidRPr="00D07D26" w:rsidRDefault="00F87F95">
      <w:pPr>
        <w:pStyle w:val="B10"/>
        <w:numPr>
          <w:ilvl w:val="0"/>
          <w:numId w:val="15"/>
        </w:numPr>
        <w:rPr>
          <w:lang w:eastAsia="zh-CN"/>
        </w:rPr>
      </w:pPr>
      <w:r w:rsidRPr="00D07D26">
        <w:rPr>
          <w:lang w:eastAsia="zh-CN"/>
        </w:rPr>
        <w:t xml:space="preserve">UE is configured with both </w:t>
      </w:r>
      <w:r w:rsidRPr="00BE54BE">
        <w:rPr>
          <w:i/>
          <w:iCs/>
          <w:lang w:eastAsia="zh-CN"/>
        </w:rPr>
        <w:t>lowMobilityEvaluation</w:t>
      </w:r>
      <w:r w:rsidRPr="00D07D26" w:rsidDel="002409CF">
        <w:rPr>
          <w:i/>
          <w:iCs/>
          <w:lang w:eastAsia="zh-CN"/>
        </w:rPr>
        <w:t xml:space="preserve"> </w:t>
      </w:r>
      <w:r w:rsidRPr="00D07D26">
        <w:rPr>
          <w:lang w:eastAsia="zh-CN"/>
        </w:rPr>
        <w:t xml:space="preserve">[2] criterion and </w:t>
      </w:r>
      <w:r w:rsidRPr="00D07D26">
        <w:rPr>
          <w:i/>
          <w:iCs/>
          <w:lang w:eastAsia="zh-CN"/>
        </w:rPr>
        <w:t xml:space="preserve">cellEdgeEvaluation </w:t>
      </w:r>
      <w:r w:rsidRPr="00D07D26">
        <w:rPr>
          <w:lang w:eastAsia="zh-CN"/>
        </w:rPr>
        <w:t>[2] criterion, and has fulfilled both criteria, and</w:t>
      </w:r>
    </w:p>
    <w:p w14:paraId="51B8DE02" w14:textId="77777777" w:rsidR="00F87F95" w:rsidRPr="0082197E" w:rsidRDefault="00F87F95">
      <w:pPr>
        <w:pStyle w:val="B10"/>
        <w:numPr>
          <w:ilvl w:val="0"/>
          <w:numId w:val="15"/>
        </w:numPr>
        <w:rPr>
          <w:lang w:eastAsia="zh-CN"/>
        </w:rPr>
      </w:pPr>
      <w:r w:rsidRPr="0082197E">
        <w:rPr>
          <w:lang w:eastAsia="zh-CN"/>
        </w:rPr>
        <w:t xml:space="preserve">UE is configured with </w:t>
      </w:r>
      <w:r w:rsidRPr="0013391D">
        <w:rPr>
          <w:i/>
          <w:iCs/>
        </w:rPr>
        <w:t>stationaryMobilityEvaluation</w:t>
      </w:r>
      <w:r>
        <w:rPr>
          <w:i/>
          <w:iCs/>
        </w:rPr>
        <w:t xml:space="preserve"> </w:t>
      </w:r>
      <w:r w:rsidRPr="0082197E">
        <w:rPr>
          <w:lang w:eastAsia="zh-CN"/>
        </w:rPr>
        <w:t xml:space="preserve">[2] criterion and </w:t>
      </w:r>
      <w:r w:rsidRPr="0082197E">
        <w:rPr>
          <w:i/>
          <w:noProof/>
        </w:rPr>
        <w:t xml:space="preserve">cellEdgeEvaluationWhileStationary </w:t>
      </w:r>
      <w:r w:rsidRPr="0082197E">
        <w:rPr>
          <w:lang w:eastAsia="zh-CN"/>
        </w:rPr>
        <w:t>[2] criterion, and has also fulfilled both criteria</w:t>
      </w:r>
    </w:p>
    <w:p w14:paraId="3C29DF86" w14:textId="77777777" w:rsidR="00F87F95" w:rsidRPr="0082197E" w:rsidRDefault="00F87F95" w:rsidP="00F87F95">
      <w:r w:rsidRPr="0082197E">
        <w:t xml:space="preserve">The requirements defined in clause </w:t>
      </w:r>
      <w:r w:rsidRPr="0082197E">
        <w:rPr>
          <w:lang w:eastAsia="zh-CN"/>
        </w:rPr>
        <w:t>4.2B.2.9.3</w:t>
      </w:r>
      <w:r w:rsidRPr="0082197E">
        <w:t xml:space="preserve"> apply for this clause.</w:t>
      </w:r>
    </w:p>
    <w:p w14:paraId="5F72DE0F" w14:textId="214A095B" w:rsidR="00F87F95" w:rsidRPr="00EB6EC6" w:rsidRDefault="00F87F95" w:rsidP="00791FB3"/>
    <w:p w14:paraId="54BDC5BB" w14:textId="5F7BE598" w:rsidR="00F87F95" w:rsidRPr="0082197E" w:rsidRDefault="00791FB3" w:rsidP="00F87F95">
      <w:pPr>
        <w:pStyle w:val="Heading5"/>
        <w:rPr>
          <w:lang w:val="en-US" w:eastAsia="zh-CN"/>
        </w:rPr>
      </w:pPr>
      <w:r w:rsidRPr="0082197E">
        <w:rPr>
          <w:lang w:val="en-US" w:eastAsia="zh-CN"/>
        </w:rPr>
        <w:t>4.2B.2.9.</w:t>
      </w:r>
      <w:r>
        <w:rPr>
          <w:lang w:val="en-US" w:eastAsia="zh-CN"/>
        </w:rPr>
        <w:t>8</w:t>
      </w:r>
      <w:r w:rsidRPr="0082197E">
        <w:rPr>
          <w:lang w:val="en-US" w:eastAsia="zh-CN"/>
        </w:rPr>
        <w:tab/>
        <w:t>Measurements for a UE fulfilling</w:t>
      </w:r>
      <w:r>
        <w:rPr>
          <w:lang w:val="en-US" w:eastAsia="zh-CN"/>
        </w:rPr>
        <w:t xml:space="preserve"> low mobility and </w:t>
      </w:r>
      <w:r w:rsidRPr="0082197E">
        <w:rPr>
          <w:lang w:val="en-US" w:eastAsia="zh-CN"/>
        </w:rPr>
        <w:t>not-at-cell edge criteri</w:t>
      </w:r>
      <w:r>
        <w:rPr>
          <w:lang w:val="en-US" w:eastAsia="zh-CN"/>
        </w:rPr>
        <w:t>a</w:t>
      </w:r>
      <w:r w:rsidRPr="0082197E">
        <w:rPr>
          <w:lang w:val="en-US" w:eastAsia="zh-CN"/>
        </w:rPr>
        <w:t xml:space="preserve"> and stationary criteri</w:t>
      </w:r>
      <w:r>
        <w:rPr>
          <w:lang w:val="en-US" w:eastAsia="zh-CN"/>
        </w:rPr>
        <w:t>on</w:t>
      </w:r>
    </w:p>
    <w:p w14:paraId="0F578070" w14:textId="77777777" w:rsidR="00F87F95" w:rsidRPr="0082197E" w:rsidRDefault="00F87F95" w:rsidP="00F87F95">
      <w:pPr>
        <w:rPr>
          <w:lang w:eastAsia="zh-CN"/>
        </w:rPr>
      </w:pPr>
      <w:r w:rsidRPr="0082197E">
        <w:rPr>
          <w:lang w:val="en-US" w:eastAsia="zh-CN"/>
        </w:rPr>
        <w:t xml:space="preserve">This clause contains requirements </w:t>
      </w:r>
      <w:r w:rsidRPr="0082197E">
        <w:rPr>
          <w:lang w:eastAsia="zh-CN"/>
        </w:rPr>
        <w:t>for measurements on intra-frequency NR cells provided that:</w:t>
      </w:r>
    </w:p>
    <w:p w14:paraId="2AE6F293" w14:textId="16BC00C0" w:rsidR="00F87F95" w:rsidRPr="00D07D26" w:rsidRDefault="008C090A" w:rsidP="008C090A">
      <w:pPr>
        <w:pStyle w:val="B10"/>
        <w:rPr>
          <w:lang w:eastAsia="zh-CN"/>
        </w:rPr>
      </w:pPr>
      <w:r>
        <w:rPr>
          <w:lang w:eastAsia="zh-CN"/>
        </w:rPr>
        <w:t>-</w:t>
      </w:r>
      <w:r>
        <w:rPr>
          <w:lang w:eastAsia="zh-CN"/>
        </w:rPr>
        <w:tab/>
      </w:r>
      <w:r w:rsidR="00F87F95" w:rsidRPr="00D07D26">
        <w:rPr>
          <w:lang w:eastAsia="zh-CN"/>
        </w:rPr>
        <w:t xml:space="preserve">UE is configured with both </w:t>
      </w:r>
      <w:r w:rsidR="00F87F95" w:rsidRPr="00BE54BE">
        <w:rPr>
          <w:i/>
          <w:iCs/>
          <w:lang w:eastAsia="zh-CN"/>
        </w:rPr>
        <w:t>lowMobilityEvaluation</w:t>
      </w:r>
      <w:r w:rsidR="00F87F95" w:rsidRPr="00D07D26" w:rsidDel="002409CF">
        <w:rPr>
          <w:i/>
          <w:iCs/>
          <w:lang w:eastAsia="zh-CN"/>
        </w:rPr>
        <w:t xml:space="preserve"> </w:t>
      </w:r>
      <w:r w:rsidR="00F87F95" w:rsidRPr="00D07D26">
        <w:rPr>
          <w:lang w:eastAsia="zh-CN"/>
        </w:rPr>
        <w:t xml:space="preserve">[2] criterion and </w:t>
      </w:r>
      <w:r w:rsidR="00F87F95" w:rsidRPr="00D07D26">
        <w:rPr>
          <w:i/>
          <w:iCs/>
          <w:lang w:eastAsia="zh-CN"/>
        </w:rPr>
        <w:t xml:space="preserve">cellEdgeEvaluation </w:t>
      </w:r>
      <w:r w:rsidR="00F87F95" w:rsidRPr="00D07D26">
        <w:rPr>
          <w:lang w:eastAsia="zh-CN"/>
        </w:rPr>
        <w:t>[2] criterion, and has fulfilled both criteria, and</w:t>
      </w:r>
    </w:p>
    <w:p w14:paraId="78F4B97B" w14:textId="014A656F" w:rsidR="00F87F95" w:rsidRPr="0082197E" w:rsidRDefault="008C090A" w:rsidP="008C090A">
      <w:pPr>
        <w:pStyle w:val="B10"/>
        <w:rPr>
          <w:lang w:eastAsia="zh-CN"/>
        </w:rPr>
      </w:pPr>
      <w:r>
        <w:rPr>
          <w:noProof/>
        </w:rPr>
        <w:t>-</w:t>
      </w:r>
      <w:r>
        <w:rPr>
          <w:noProof/>
        </w:rPr>
        <w:tab/>
      </w:r>
      <w:r w:rsidRPr="0082197E">
        <w:rPr>
          <w:lang w:eastAsia="zh-CN"/>
        </w:rPr>
        <w:t xml:space="preserve">UE is configured with </w:t>
      </w:r>
      <w:r w:rsidRPr="0013391D">
        <w:rPr>
          <w:i/>
          <w:iCs/>
        </w:rPr>
        <w:t>stationaryMobilityEvaluation</w:t>
      </w:r>
      <w:r>
        <w:rPr>
          <w:i/>
          <w:iCs/>
        </w:rPr>
        <w:t xml:space="preserve"> </w:t>
      </w:r>
      <w:r w:rsidRPr="0082197E">
        <w:rPr>
          <w:lang w:eastAsia="zh-CN"/>
        </w:rPr>
        <w:t xml:space="preserve">[2] criterion and has also fulfilled </w:t>
      </w:r>
      <w:r w:rsidRPr="004D6618">
        <w:rPr>
          <w:lang w:eastAsia="zh-CN"/>
        </w:rPr>
        <w:t xml:space="preserve">that criterion, or UE is configured with both </w:t>
      </w:r>
      <w:r w:rsidRPr="004D6618">
        <w:rPr>
          <w:i/>
          <w:noProof/>
        </w:rPr>
        <w:t xml:space="preserve">stationaryMobilityEvaluation </w:t>
      </w:r>
      <w:r w:rsidRPr="004D6618">
        <w:rPr>
          <w:lang w:eastAsia="zh-CN"/>
        </w:rPr>
        <w:t xml:space="preserve">[2] criterion and </w:t>
      </w:r>
      <w:r w:rsidRPr="004D6618">
        <w:rPr>
          <w:i/>
          <w:noProof/>
        </w:rPr>
        <w:t xml:space="preserve">cellEdgeEvaluationWhileStationary </w:t>
      </w:r>
      <w:r w:rsidRPr="004D6618">
        <w:rPr>
          <w:lang w:eastAsia="zh-CN"/>
        </w:rPr>
        <w:t xml:space="preserve">[2] criterion and </w:t>
      </w:r>
      <w:r w:rsidRPr="004D6618">
        <w:rPr>
          <w:i/>
          <w:lang w:eastAsia="zh-CN"/>
        </w:rPr>
        <w:t xml:space="preserve">combineRelaxedMeasCondition2 </w:t>
      </w:r>
      <w:r w:rsidRPr="004D6618">
        <w:rPr>
          <w:lang w:eastAsia="zh-CN"/>
        </w:rPr>
        <w:t>[2] not configured, and UE has fulfilled</w:t>
      </w:r>
      <w:r w:rsidRPr="00203FEA">
        <w:rPr>
          <w:lang w:eastAsia="zh-CN"/>
        </w:rPr>
        <w:t xml:space="preserve"> </w:t>
      </w:r>
      <w:r w:rsidRPr="00203FEA">
        <w:rPr>
          <w:i/>
          <w:noProof/>
        </w:rPr>
        <w:t xml:space="preserve">stationaryMobilityEvaluation </w:t>
      </w:r>
      <w:r w:rsidRPr="00203FEA">
        <w:rPr>
          <w:lang w:eastAsia="zh-CN"/>
        </w:rPr>
        <w:t>[2] criteria</w:t>
      </w:r>
    </w:p>
    <w:p w14:paraId="5F7C99D8" w14:textId="77777777" w:rsidR="00F87F95" w:rsidRPr="0082197E" w:rsidRDefault="00F87F95" w:rsidP="00F87F95">
      <w:r w:rsidRPr="0082197E">
        <w:t xml:space="preserve">The requirements defined in clause </w:t>
      </w:r>
      <w:r w:rsidRPr="0082197E">
        <w:rPr>
          <w:lang w:eastAsia="zh-CN"/>
        </w:rPr>
        <w:t>4.2</w:t>
      </w:r>
      <w:r>
        <w:rPr>
          <w:lang w:eastAsia="zh-CN"/>
        </w:rPr>
        <w:t>.2.9.4</w:t>
      </w:r>
      <w:r w:rsidRPr="0082197E">
        <w:t xml:space="preserve"> apply for this clause.</w:t>
      </w:r>
    </w:p>
    <w:p w14:paraId="4A26DE8A" w14:textId="7157CDC1" w:rsidR="00F87F95" w:rsidRDefault="00F87F95" w:rsidP="00D77779"/>
    <w:p w14:paraId="5B4AB75E" w14:textId="77777777" w:rsidR="00D77779" w:rsidRDefault="00D77779" w:rsidP="00D77779">
      <w:pPr>
        <w:pStyle w:val="Heading5"/>
        <w:rPr>
          <w:lang w:val="en-US" w:eastAsia="zh-CN"/>
        </w:rPr>
      </w:pPr>
      <w:r>
        <w:rPr>
          <w:lang w:val="en-US" w:eastAsia="zh-CN"/>
        </w:rPr>
        <w:t>4.2B.2.9.9</w:t>
      </w:r>
      <w:r>
        <w:rPr>
          <w:lang w:val="en-US" w:eastAsia="zh-CN"/>
        </w:rPr>
        <w:tab/>
        <w:t>Measurements for UE fulfilling low mobility criterion</w:t>
      </w:r>
    </w:p>
    <w:p w14:paraId="5C69667E" w14:textId="77777777" w:rsidR="00D77779" w:rsidRPr="00EF59D1" w:rsidRDefault="00D77779" w:rsidP="00D77779">
      <w:pPr>
        <w:rPr>
          <w:lang w:eastAsia="zh-CN"/>
        </w:rPr>
      </w:pPr>
      <w:r w:rsidRPr="00C83CA1">
        <w:rPr>
          <w:lang w:val="en-US" w:eastAsia="zh-CN"/>
        </w:rPr>
        <w:t xml:space="preserve">This clause contains requirements </w:t>
      </w:r>
      <w:r w:rsidRPr="00C83CA1">
        <w:rPr>
          <w:lang w:eastAsia="zh-CN"/>
        </w:rPr>
        <w:t xml:space="preserve">for measurements on </w:t>
      </w:r>
      <w:r w:rsidRPr="00EF59D1">
        <w:rPr>
          <w:lang w:eastAsia="zh-CN"/>
        </w:rPr>
        <w:t>intra-frequency NR cells provided that:</w:t>
      </w:r>
    </w:p>
    <w:p w14:paraId="528DC557" w14:textId="77777777" w:rsidR="00D77779" w:rsidRPr="00A41B58" w:rsidRDefault="00D77779" w:rsidP="00D77779">
      <w:pPr>
        <w:pStyle w:val="B10"/>
        <w:rPr>
          <w:lang w:eastAsia="zh-CN"/>
        </w:rPr>
      </w:pPr>
      <w:r>
        <w:rPr>
          <w:noProof/>
        </w:rPr>
        <w:t>-</w:t>
      </w:r>
      <w:r>
        <w:rPr>
          <w:noProof/>
        </w:rPr>
        <w:tab/>
      </w:r>
      <w:r w:rsidRPr="007C2D19">
        <w:rPr>
          <w:lang w:eastAsia="zh-CN"/>
        </w:rPr>
        <w:t xml:space="preserve">UE is configured with </w:t>
      </w:r>
      <w:r w:rsidRPr="001C6668">
        <w:rPr>
          <w:i/>
          <w:iCs/>
          <w:lang w:eastAsia="zh-CN"/>
        </w:rPr>
        <w:t>lowMobilityEvaluation</w:t>
      </w:r>
      <w:r w:rsidDel="004B26EA">
        <w:rPr>
          <w:i/>
          <w:iCs/>
          <w:lang w:eastAsia="zh-CN"/>
        </w:rPr>
        <w:t xml:space="preserve"> </w:t>
      </w:r>
      <w:r>
        <w:rPr>
          <w:lang w:eastAsia="zh-CN"/>
        </w:rPr>
        <w:t>[2]</w:t>
      </w:r>
      <w:r w:rsidRPr="007C2D19">
        <w:rPr>
          <w:lang w:eastAsia="zh-CN"/>
        </w:rPr>
        <w:t xml:space="preserve"> </w:t>
      </w:r>
      <w:r w:rsidRPr="00C33767">
        <w:rPr>
          <w:lang w:eastAsia="zh-CN"/>
        </w:rPr>
        <w:t>criterion</w:t>
      </w:r>
      <w:r>
        <w:rPr>
          <w:lang w:eastAsia="zh-CN"/>
        </w:rPr>
        <w:t xml:space="preserve"> and UE has fulfilled</w:t>
      </w:r>
      <w:r w:rsidRPr="00C33767">
        <w:rPr>
          <w:lang w:eastAsia="zh-CN"/>
        </w:rPr>
        <w:t xml:space="preserve">, or </w:t>
      </w:r>
    </w:p>
    <w:p w14:paraId="23D88515" w14:textId="77777777" w:rsidR="00D77779" w:rsidRPr="0039265E" w:rsidRDefault="00D77779" w:rsidP="00D77779">
      <w:pPr>
        <w:pStyle w:val="B10"/>
        <w:rPr>
          <w:lang w:eastAsia="zh-CN"/>
        </w:rPr>
      </w:pPr>
      <w:r>
        <w:rPr>
          <w:noProof/>
        </w:rPr>
        <w:t>-</w:t>
      </w:r>
      <w:r>
        <w:rPr>
          <w:noProof/>
        </w:rPr>
        <w:tab/>
      </w:r>
      <w:r w:rsidRPr="00D36387">
        <w:rPr>
          <w:lang w:eastAsia="zh-CN"/>
        </w:rPr>
        <w:t xml:space="preserve">UE is configured with both </w:t>
      </w:r>
      <w:r w:rsidRPr="001C6668">
        <w:rPr>
          <w:i/>
          <w:iCs/>
          <w:lang w:eastAsia="zh-CN"/>
        </w:rPr>
        <w:t>lowMobilityEvaluation</w:t>
      </w:r>
      <w:r w:rsidDel="004B26EA">
        <w:rPr>
          <w:i/>
          <w:iCs/>
          <w:lang w:eastAsia="zh-CN"/>
        </w:rPr>
        <w:t xml:space="preserve"> </w:t>
      </w:r>
      <w:r>
        <w:rPr>
          <w:lang w:eastAsia="zh-CN"/>
        </w:rPr>
        <w:t>[2]</w:t>
      </w:r>
      <w:r w:rsidRPr="00D36387">
        <w:rPr>
          <w:lang w:eastAsia="zh-CN"/>
        </w:rPr>
        <w:t xml:space="preserve"> criterion and </w:t>
      </w:r>
      <w:r w:rsidRPr="00485479">
        <w:rPr>
          <w:i/>
          <w:iCs/>
          <w:lang w:eastAsia="zh-CN"/>
        </w:rPr>
        <w:t>cellEdgeEvaluation</w:t>
      </w:r>
      <w:r>
        <w:rPr>
          <w:i/>
          <w:iCs/>
          <w:lang w:eastAsia="zh-CN"/>
        </w:rPr>
        <w:t xml:space="preserve"> </w:t>
      </w:r>
      <w:r>
        <w:rPr>
          <w:lang w:eastAsia="zh-CN"/>
        </w:rPr>
        <w:t>[2]</w:t>
      </w:r>
      <w:r w:rsidRPr="00D36387">
        <w:rPr>
          <w:lang w:eastAsia="zh-CN"/>
        </w:rPr>
        <w:t xml:space="preserve"> criter</w:t>
      </w:r>
      <w:r>
        <w:rPr>
          <w:lang w:eastAsia="zh-CN"/>
        </w:rPr>
        <w:t>ion</w:t>
      </w:r>
      <w:r w:rsidRPr="00D36387">
        <w:rPr>
          <w:lang w:eastAsia="zh-CN"/>
        </w:rPr>
        <w:t xml:space="preserve"> </w:t>
      </w:r>
      <w:r>
        <w:rPr>
          <w:lang w:eastAsia="zh-CN"/>
        </w:rPr>
        <w:t xml:space="preserve">and </w:t>
      </w:r>
      <w:r w:rsidRPr="0061045D">
        <w:rPr>
          <w:i/>
          <w:lang w:eastAsia="zh-CN"/>
        </w:rPr>
        <w:t>combineRelaxedMeasCondition</w:t>
      </w:r>
      <w:r>
        <w:rPr>
          <w:rFonts w:hint="eastAsia"/>
          <w:lang w:eastAsia="zh-CN"/>
        </w:rPr>
        <w:t xml:space="preserve"> </w:t>
      </w:r>
      <w:r>
        <w:rPr>
          <w:lang w:eastAsia="zh-CN"/>
        </w:rPr>
        <w:t>[2] not configured, and UE</w:t>
      </w:r>
      <w:r w:rsidRPr="00D36387">
        <w:rPr>
          <w:lang w:eastAsia="zh-CN"/>
        </w:rPr>
        <w:t xml:space="preserve"> has fulfilled only the </w:t>
      </w:r>
      <w:r w:rsidRPr="001C6668">
        <w:rPr>
          <w:i/>
          <w:iCs/>
          <w:lang w:eastAsia="zh-CN"/>
        </w:rPr>
        <w:t>lowMobilityEvaluation</w:t>
      </w:r>
      <w:r w:rsidDel="004B26EA">
        <w:rPr>
          <w:i/>
          <w:iCs/>
          <w:lang w:eastAsia="zh-CN"/>
        </w:rPr>
        <w:t xml:space="preserve"> </w:t>
      </w:r>
      <w:r>
        <w:rPr>
          <w:lang w:eastAsia="zh-CN"/>
        </w:rPr>
        <w:t>[2]</w:t>
      </w:r>
      <w:r w:rsidRPr="00D36387">
        <w:rPr>
          <w:lang w:eastAsia="zh-CN"/>
        </w:rPr>
        <w:t xml:space="preserve"> criterion</w:t>
      </w:r>
      <w:r w:rsidRPr="0039265E">
        <w:rPr>
          <w:lang w:eastAsia="zh-CN"/>
        </w:rPr>
        <w:t>.</w:t>
      </w:r>
    </w:p>
    <w:p w14:paraId="44762E60" w14:textId="77777777" w:rsidR="00D77779" w:rsidRDefault="00D77779" w:rsidP="00D77779">
      <w:pPr>
        <w:rPr>
          <w:noProof/>
        </w:rPr>
      </w:pPr>
      <w:r w:rsidRPr="0089796C">
        <w:rPr>
          <w:noProof/>
        </w:rPr>
        <w:t xml:space="preserve">The requirements defined in clause </w:t>
      </w:r>
      <w:r>
        <w:t>4.2B.2.3</w:t>
      </w:r>
      <w:r w:rsidRPr="0089796C">
        <w:t xml:space="preserve"> </w:t>
      </w:r>
      <w:r w:rsidRPr="0089796C">
        <w:rPr>
          <w:noProof/>
        </w:rPr>
        <w:t xml:space="preserve">apply for this </w:t>
      </w:r>
      <w:r>
        <w:rPr>
          <w:noProof/>
        </w:rPr>
        <w:t>clause</w:t>
      </w:r>
      <w:r w:rsidRPr="0089796C">
        <w:rPr>
          <w:noProof/>
        </w:rPr>
        <w:t xml:space="preserve"> </w:t>
      </w:r>
      <w:r>
        <w:rPr>
          <w:noProof/>
        </w:rPr>
        <w:t>except that</w:t>
      </w:r>
      <w:r w:rsidRPr="0089796C">
        <w:rPr>
          <w:noProof/>
        </w:rPr>
        <w:t>:</w:t>
      </w:r>
    </w:p>
    <w:p w14:paraId="04DDF81D" w14:textId="77777777" w:rsidR="00D77779" w:rsidRDefault="00D77779" w:rsidP="00D77779">
      <w:pPr>
        <w:pStyle w:val="B10"/>
      </w:pPr>
      <w:r w:rsidRPr="0089796C">
        <w:t>-</w:t>
      </w:r>
      <w:r w:rsidRPr="0089796C">
        <w:tab/>
      </w:r>
      <w:r w:rsidRPr="00885F53">
        <w:t>T</w:t>
      </w:r>
      <w:r w:rsidRPr="00885F53">
        <w:rPr>
          <w:vertAlign w:val="subscript"/>
        </w:rPr>
        <w:t>detect,</w:t>
      </w:r>
      <w:r w:rsidRPr="00885F53">
        <w:rPr>
          <w:vertAlign w:val="subscript"/>
          <w:lang w:eastAsia="zh-CN"/>
        </w:rPr>
        <w:t>NR</w:t>
      </w:r>
      <w:r w:rsidRPr="00885F53">
        <w:rPr>
          <w:vertAlign w:val="subscript"/>
        </w:rPr>
        <w:t>_Intra</w:t>
      </w:r>
      <w:r>
        <w:rPr>
          <w:vertAlign w:val="subscript"/>
        </w:rPr>
        <w:t>_RedCap_Relax</w:t>
      </w:r>
      <w:r w:rsidRPr="00885F53">
        <w:rPr>
          <w:i/>
          <w:vertAlign w:val="subscript"/>
        </w:rPr>
        <w:t xml:space="preserve"> </w:t>
      </w:r>
      <w:r>
        <w:t xml:space="preserve">as specified in </w:t>
      </w:r>
      <w:r w:rsidRPr="00AD77EE">
        <w:t xml:space="preserve">Table </w:t>
      </w:r>
      <w:r>
        <w:t>4.2B.2.9.9</w:t>
      </w:r>
      <w:r w:rsidRPr="00AD77EE">
        <w:t>-1</w:t>
      </w:r>
      <w:r>
        <w:t xml:space="preserve"> and </w:t>
      </w:r>
      <w:r w:rsidRPr="00AD77EE">
        <w:t xml:space="preserve">Table </w:t>
      </w:r>
      <w:r>
        <w:t>4.2B.2.9.9</w:t>
      </w:r>
      <w:r w:rsidRPr="00AD77EE">
        <w:t>-</w:t>
      </w:r>
      <w:r>
        <w:t xml:space="preserve">2 </w:t>
      </w:r>
      <w:r>
        <w:rPr>
          <w:lang w:val="en-US"/>
        </w:rPr>
        <w:t>for 1 Rx RedCap and 2 Rx RedCap respectively</w:t>
      </w:r>
      <w:r w:rsidRPr="00AD77EE">
        <w:t>.</w:t>
      </w:r>
    </w:p>
    <w:p w14:paraId="52841ED7" w14:textId="77777777" w:rsidR="00D77779" w:rsidRDefault="00D77779" w:rsidP="00D77779">
      <w:pPr>
        <w:pStyle w:val="B10"/>
      </w:pPr>
      <w:r w:rsidRPr="0089796C">
        <w:t>-</w:t>
      </w:r>
      <w:r w:rsidRPr="0089796C">
        <w:tab/>
      </w:r>
      <w:r w:rsidRPr="00885F53">
        <w:rPr>
          <w:rFonts w:cs="v4.2.0"/>
        </w:rPr>
        <w:t>T</w:t>
      </w:r>
      <w:r w:rsidRPr="00885F53">
        <w:rPr>
          <w:rFonts w:cs="v4.2.0"/>
          <w:vertAlign w:val="subscript"/>
        </w:rPr>
        <w:t>measure,NR_Intra</w:t>
      </w:r>
      <w:r>
        <w:rPr>
          <w:vertAlign w:val="subscript"/>
        </w:rPr>
        <w:t>_RedCap_Relax</w:t>
      </w:r>
      <w:r w:rsidRPr="00885F53">
        <w:rPr>
          <w:rFonts w:cs="v4.2.0"/>
        </w:rPr>
        <w:t xml:space="preserve"> </w:t>
      </w:r>
      <w:r>
        <w:t xml:space="preserve">as specified in </w:t>
      </w:r>
      <w:r w:rsidRPr="00AD77EE">
        <w:t xml:space="preserve">Table </w:t>
      </w:r>
      <w:r>
        <w:t>4.2B.2.9.9</w:t>
      </w:r>
      <w:r w:rsidRPr="00AD77EE">
        <w:t>-1</w:t>
      </w:r>
      <w:r w:rsidRPr="000B36AA">
        <w:t xml:space="preserve"> </w:t>
      </w:r>
      <w:r>
        <w:t xml:space="preserve">and </w:t>
      </w:r>
      <w:r w:rsidRPr="00AD77EE">
        <w:t xml:space="preserve">Table </w:t>
      </w:r>
      <w:r>
        <w:t>4.2B.2.9.9</w:t>
      </w:r>
      <w:r w:rsidRPr="00AD77EE">
        <w:t>-</w:t>
      </w:r>
      <w:r>
        <w:t xml:space="preserve">2 </w:t>
      </w:r>
      <w:r>
        <w:rPr>
          <w:lang w:val="en-US"/>
        </w:rPr>
        <w:t>for 1 Rx RedCap and 2 Rx RedCap respectively</w:t>
      </w:r>
      <w:r w:rsidRPr="00AD77EE">
        <w:t>.</w:t>
      </w:r>
    </w:p>
    <w:p w14:paraId="31A001B0" w14:textId="77777777" w:rsidR="00D77779" w:rsidRDefault="00D77779" w:rsidP="00D77779">
      <w:pPr>
        <w:pStyle w:val="B10"/>
      </w:pPr>
      <w:r w:rsidRPr="0089796C">
        <w:t>-</w:t>
      </w:r>
      <w:r w:rsidRPr="0089796C">
        <w:tab/>
      </w:r>
      <w:r w:rsidRPr="00885F53">
        <w:rPr>
          <w:rFonts w:cs="v4.2.0"/>
        </w:rPr>
        <w:t>T</w:t>
      </w:r>
      <w:r w:rsidRPr="00885F53">
        <w:rPr>
          <w:rFonts w:cs="v4.2.0"/>
          <w:vertAlign w:val="subscript"/>
        </w:rPr>
        <w:t>evaluate,</w:t>
      </w:r>
      <w:r w:rsidRPr="00885F53">
        <w:rPr>
          <w:rFonts w:cs="v4.2.0"/>
          <w:vertAlign w:val="subscript"/>
          <w:lang w:eastAsia="zh-CN"/>
        </w:rPr>
        <w:t>NR</w:t>
      </w:r>
      <w:r w:rsidRPr="00885F53">
        <w:rPr>
          <w:rFonts w:cs="v4.2.0"/>
          <w:vertAlign w:val="subscript"/>
        </w:rPr>
        <w:t>_Intra</w:t>
      </w:r>
      <w:r>
        <w:rPr>
          <w:vertAlign w:val="subscript"/>
        </w:rPr>
        <w:t>_RedCap_Relax</w:t>
      </w:r>
      <w:r>
        <w:rPr>
          <w:rFonts w:cs="v4.2.0"/>
          <w:vertAlign w:val="subscript"/>
        </w:rPr>
        <w:t xml:space="preserve"> </w:t>
      </w:r>
      <w:r>
        <w:t xml:space="preserve">as specified in </w:t>
      </w:r>
      <w:r w:rsidRPr="00950DA1">
        <w:t xml:space="preserve">Table </w:t>
      </w:r>
      <w:r>
        <w:t>4.2B.2.9.9</w:t>
      </w:r>
      <w:r w:rsidRPr="00950DA1">
        <w:t>-1</w:t>
      </w:r>
      <w:r w:rsidRPr="000B36AA">
        <w:t xml:space="preserve"> </w:t>
      </w:r>
      <w:r>
        <w:t xml:space="preserve">and </w:t>
      </w:r>
      <w:r w:rsidRPr="00AD77EE">
        <w:t xml:space="preserve">Table </w:t>
      </w:r>
      <w:r>
        <w:t>4.2B.2.9.9</w:t>
      </w:r>
      <w:r w:rsidRPr="00AD77EE">
        <w:t>-</w:t>
      </w:r>
      <w:r>
        <w:t xml:space="preserve">2 </w:t>
      </w:r>
      <w:r>
        <w:rPr>
          <w:lang w:val="en-US"/>
        </w:rPr>
        <w:t>for 1 Rx RedCap and 2 Rx RedCap respectively</w:t>
      </w:r>
      <w:r w:rsidRPr="00950DA1">
        <w:t>.</w:t>
      </w:r>
    </w:p>
    <w:p w14:paraId="626D7FC6" w14:textId="77777777" w:rsidR="00D77779" w:rsidRPr="003D532E" w:rsidRDefault="00D77779" w:rsidP="00D77779">
      <w:pPr>
        <w:pStyle w:val="B10"/>
        <w:ind w:left="0" w:firstLine="0"/>
        <w:rPr>
          <w:noProof/>
        </w:rPr>
      </w:pPr>
      <w:r w:rsidRPr="003D532E">
        <w:rPr>
          <w:noProof/>
        </w:rPr>
        <w:t>If the UE is configured with eDRX_IDLE cycle then the requirements in Table 4.2B.2.9.</w:t>
      </w:r>
      <w:r>
        <w:rPr>
          <w:noProof/>
        </w:rPr>
        <w:t>9</w:t>
      </w:r>
      <w:r w:rsidRPr="003D532E">
        <w:rPr>
          <w:noProof/>
        </w:rPr>
        <w:t xml:space="preserve">-3 </w:t>
      </w:r>
      <w:r>
        <w:rPr>
          <w:noProof/>
        </w:rPr>
        <w:t xml:space="preserve">and </w:t>
      </w:r>
      <w:r w:rsidRPr="003D532E">
        <w:rPr>
          <w:noProof/>
        </w:rPr>
        <w:t>Table 4.2B.2.9.</w:t>
      </w:r>
      <w:r>
        <w:rPr>
          <w:noProof/>
        </w:rPr>
        <w:t>9</w:t>
      </w:r>
      <w:r w:rsidRPr="003D532E">
        <w:rPr>
          <w:noProof/>
        </w:rPr>
        <w:t>-</w:t>
      </w:r>
      <w:r>
        <w:rPr>
          <w:noProof/>
        </w:rPr>
        <w:t>4</w:t>
      </w:r>
      <w:r w:rsidRPr="003D532E">
        <w:rPr>
          <w:noProof/>
        </w:rPr>
        <w:t xml:space="preserve"> </w:t>
      </w:r>
      <w:r>
        <w:rPr>
          <w:noProof/>
        </w:rPr>
        <w:t>are</w:t>
      </w:r>
      <w:r w:rsidRPr="003D532E">
        <w:rPr>
          <w:noProof/>
        </w:rPr>
        <w:t xml:space="preserve"> applicable for eDRX cycle up to 10.24 s in FR1 and FR2</w:t>
      </w:r>
      <w:r>
        <w:rPr>
          <w:noProof/>
        </w:rPr>
        <w:t>, respectively</w:t>
      </w:r>
      <w:r w:rsidRPr="003D532E">
        <w:rPr>
          <w:noProof/>
        </w:rPr>
        <w:t xml:space="preserve">. </w:t>
      </w:r>
    </w:p>
    <w:p w14:paraId="1DCBA9AC" w14:textId="77777777" w:rsidR="00D77779" w:rsidRDefault="00D77779" w:rsidP="00D77779">
      <w:pPr>
        <w:spacing w:after="0"/>
      </w:pPr>
      <w:r w:rsidRPr="003D532E">
        <w:t xml:space="preserve">If the UE is configured with eDRX_IDLE cycle greater than 10.24 s in FR1 and FR2, then the requirements in Table </w:t>
      </w:r>
      <w:r w:rsidRPr="003D532E">
        <w:rPr>
          <w:lang w:val="en-US"/>
        </w:rPr>
        <w:t>Table 4.2B.2.9.</w:t>
      </w:r>
      <w:r>
        <w:rPr>
          <w:lang w:val="en-US"/>
        </w:rPr>
        <w:t>9</w:t>
      </w:r>
      <w:r w:rsidRPr="003D532E">
        <w:rPr>
          <w:lang w:val="en-US"/>
        </w:rPr>
        <w:t>-</w:t>
      </w:r>
      <w:r>
        <w:rPr>
          <w:lang w:val="en-US"/>
        </w:rPr>
        <w:t>5</w:t>
      </w:r>
      <w:r w:rsidRPr="003D532E">
        <w:t xml:space="preserve"> and </w:t>
      </w:r>
      <w:r w:rsidRPr="003D532E">
        <w:rPr>
          <w:lang w:val="en-US"/>
        </w:rPr>
        <w:t>Table 4.2B.2.9.</w:t>
      </w:r>
      <w:r>
        <w:rPr>
          <w:lang w:val="en-US"/>
        </w:rPr>
        <w:t>9</w:t>
      </w:r>
      <w:r w:rsidRPr="003D532E">
        <w:rPr>
          <w:lang w:val="en-US"/>
        </w:rPr>
        <w:t>-</w:t>
      </w:r>
      <w:r>
        <w:rPr>
          <w:lang w:val="en-US"/>
        </w:rPr>
        <w:t>6</w:t>
      </w:r>
      <w:r w:rsidRPr="003D532E">
        <w:rPr>
          <w:lang w:val="en-US"/>
        </w:rPr>
        <w:t xml:space="preserve"> respectively </w:t>
      </w:r>
      <w:r w:rsidRPr="003D532E">
        <w:t>apply provided</w:t>
      </w:r>
      <w:r w:rsidRPr="00140320">
        <w:t xml:space="preserve"> </w:t>
      </w:r>
      <w:r w:rsidRPr="003D532E">
        <w:t xml:space="preserve">eDRX cycle is </w:t>
      </w:r>
      <w:r w:rsidRPr="003D532E">
        <w:rPr>
          <w:rFonts w:hint="eastAsia"/>
        </w:rPr>
        <w:t>≤</w:t>
      </w:r>
      <w:r w:rsidRPr="003D532E">
        <w:t xml:space="preserve"> [163.84] sec and evaluation/measurement time with relaxation on one carrier is not greater than single PTW window length.</w:t>
      </w:r>
    </w:p>
    <w:p w14:paraId="2938DDB0" w14:textId="77777777" w:rsidR="00D77779" w:rsidRPr="00486683" w:rsidRDefault="00D77779" w:rsidP="00D77779">
      <w:pPr>
        <w:pStyle w:val="B10"/>
      </w:pPr>
    </w:p>
    <w:p w14:paraId="059D773E" w14:textId="77777777" w:rsidR="00D77779" w:rsidRDefault="00D77779" w:rsidP="00034E52">
      <w:pPr>
        <w:pStyle w:val="TH"/>
      </w:pPr>
      <w:r w:rsidRPr="00885F53">
        <w:t xml:space="preserve">Table </w:t>
      </w:r>
      <w:r>
        <w:t>4.2B.2.9.9</w:t>
      </w:r>
      <w:r w:rsidRPr="00885F53">
        <w:t>-</w:t>
      </w:r>
      <w:r>
        <w:t>1</w:t>
      </w:r>
      <w:r w:rsidRPr="00885F53">
        <w:t>: T</w:t>
      </w:r>
      <w:r w:rsidRPr="00885F53">
        <w:rPr>
          <w:vertAlign w:val="subscript"/>
        </w:rPr>
        <w:t>detect,NR_Intra</w:t>
      </w:r>
      <w:r>
        <w:rPr>
          <w:vertAlign w:val="subscript"/>
        </w:rPr>
        <w:t>_RedCap_Relax</w:t>
      </w:r>
      <w:r w:rsidRPr="00885F53">
        <w:rPr>
          <w:vertAlign w:val="subscript"/>
        </w:rPr>
        <w:t>,</w:t>
      </w:r>
      <w:r w:rsidRPr="00885F53">
        <w:t xml:space="preserve"> T</w:t>
      </w:r>
      <w:r w:rsidRPr="00885F53">
        <w:rPr>
          <w:vertAlign w:val="subscript"/>
        </w:rPr>
        <w:t>measure,NR_Intra</w:t>
      </w:r>
      <w:r>
        <w:rPr>
          <w:vertAlign w:val="subscript"/>
        </w:rPr>
        <w:t>_RedCap_Relax</w:t>
      </w:r>
      <w:r w:rsidRPr="00885F53">
        <w:t xml:space="preserve"> and T</w:t>
      </w:r>
      <w:r w:rsidRPr="00885F53">
        <w:rPr>
          <w:vertAlign w:val="subscript"/>
        </w:rPr>
        <w:t>evaluate,NR_Intra</w:t>
      </w:r>
      <w:r>
        <w:rPr>
          <w:vertAlign w:val="subscript"/>
        </w:rPr>
        <w:t>_RedCap_Relax</w:t>
      </w:r>
      <w:r w:rsidRPr="008B51B4">
        <w:rPr>
          <w:lang w:val="en-US"/>
        </w:rPr>
        <w:t xml:space="preserve"> </w:t>
      </w:r>
      <w:r w:rsidRPr="00F74563">
        <w:rPr>
          <w:lang w:val="en-US"/>
        </w:rPr>
        <w:t xml:space="preserve">for UEs fulfilling </w:t>
      </w:r>
      <w:r>
        <w:rPr>
          <w:lang w:val="en-US" w:eastAsia="zh-CN"/>
        </w:rPr>
        <w:t xml:space="preserve">low mobility </w:t>
      </w:r>
      <w:r>
        <w:rPr>
          <w:lang w:val="en-US"/>
        </w:rPr>
        <w:t>criterion for 1 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2959"/>
        <w:gridCol w:w="3099"/>
        <w:gridCol w:w="2386"/>
      </w:tblGrid>
      <w:tr w:rsidR="00D77779" w:rsidRPr="00885F53" w14:paraId="2D5DE5E5"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04F431E3" w14:textId="77777777" w:rsidR="00D77779" w:rsidRPr="00885F53" w:rsidRDefault="00D77779" w:rsidP="008B25C8">
            <w:pPr>
              <w:pStyle w:val="TAH"/>
            </w:pPr>
            <w:r w:rsidRPr="00885F53">
              <w:t>DRX cycle length [s]</w:t>
            </w:r>
          </w:p>
        </w:tc>
        <w:tc>
          <w:tcPr>
            <w:tcW w:w="0" w:type="auto"/>
            <w:tcBorders>
              <w:top w:val="single" w:sz="4" w:space="0" w:color="auto"/>
              <w:left w:val="single" w:sz="4" w:space="0" w:color="auto"/>
              <w:bottom w:val="single" w:sz="4" w:space="0" w:color="auto"/>
              <w:right w:val="single" w:sz="4" w:space="0" w:color="auto"/>
            </w:tcBorders>
            <w:hideMark/>
          </w:tcPr>
          <w:p w14:paraId="272A72F6" w14:textId="77777777" w:rsidR="00D77779" w:rsidRPr="00885F53" w:rsidRDefault="00D77779" w:rsidP="008B25C8">
            <w:pPr>
              <w:pStyle w:val="TAH"/>
            </w:pPr>
            <w:r w:rsidRPr="00885F53">
              <w:t>T</w:t>
            </w:r>
            <w:r w:rsidRPr="00885F53">
              <w:rPr>
                <w:vertAlign w:val="subscript"/>
              </w:rPr>
              <w:t>detect,NR_Intra</w:t>
            </w:r>
            <w:r>
              <w:rPr>
                <w:vertAlign w:val="subscript"/>
              </w:rPr>
              <w:t>_RedCap_Relax</w:t>
            </w:r>
            <w:r w:rsidRPr="00885F53">
              <w:t xml:space="preserve"> [s] (number of DRX cycles)</w:t>
            </w:r>
          </w:p>
        </w:tc>
        <w:tc>
          <w:tcPr>
            <w:tcW w:w="0" w:type="auto"/>
            <w:tcBorders>
              <w:top w:val="single" w:sz="4" w:space="0" w:color="auto"/>
              <w:left w:val="single" w:sz="4" w:space="0" w:color="auto"/>
              <w:bottom w:val="single" w:sz="4" w:space="0" w:color="auto"/>
              <w:right w:val="single" w:sz="4" w:space="0" w:color="auto"/>
            </w:tcBorders>
            <w:hideMark/>
          </w:tcPr>
          <w:p w14:paraId="22890243" w14:textId="77777777" w:rsidR="00D77779" w:rsidRPr="00885F53" w:rsidRDefault="00D77779" w:rsidP="008B25C8">
            <w:pPr>
              <w:pStyle w:val="TAH"/>
            </w:pPr>
            <w:r w:rsidRPr="00885F53">
              <w:t>T</w:t>
            </w:r>
            <w:r w:rsidRPr="00885F53">
              <w:rPr>
                <w:vertAlign w:val="subscript"/>
              </w:rPr>
              <w:t>measure,NR_Intra</w:t>
            </w:r>
            <w:r>
              <w:rPr>
                <w:vertAlign w:val="subscript"/>
              </w:rPr>
              <w:t>_RedCap_Relax</w:t>
            </w:r>
            <w:r w:rsidRPr="00885F53">
              <w:t xml:space="preserve"> [s] (number of DRX cycles)</w:t>
            </w:r>
          </w:p>
        </w:tc>
        <w:tc>
          <w:tcPr>
            <w:tcW w:w="0" w:type="auto"/>
            <w:tcBorders>
              <w:top w:val="single" w:sz="4" w:space="0" w:color="auto"/>
              <w:left w:val="single" w:sz="4" w:space="0" w:color="auto"/>
              <w:bottom w:val="single" w:sz="4" w:space="0" w:color="auto"/>
              <w:right w:val="single" w:sz="4" w:space="0" w:color="auto"/>
            </w:tcBorders>
            <w:hideMark/>
          </w:tcPr>
          <w:p w14:paraId="7D289555" w14:textId="77777777" w:rsidR="00D77779" w:rsidRPr="00885F53" w:rsidRDefault="00D77779" w:rsidP="008B25C8">
            <w:pPr>
              <w:pStyle w:val="TAH"/>
              <w:rPr>
                <w:vertAlign w:val="subscript"/>
              </w:rPr>
            </w:pPr>
            <w:r w:rsidRPr="00885F53">
              <w:t>T</w:t>
            </w:r>
            <w:r w:rsidRPr="00885F53">
              <w:rPr>
                <w:vertAlign w:val="subscript"/>
              </w:rPr>
              <w:t>evaluate,NR_</w:t>
            </w:r>
            <w:r w:rsidRPr="00885F53">
              <w:rPr>
                <w:rFonts w:cs="v4.2.0"/>
                <w:vertAlign w:val="subscript"/>
              </w:rPr>
              <w:t>Intra</w:t>
            </w:r>
            <w:r>
              <w:rPr>
                <w:vertAlign w:val="subscript"/>
              </w:rPr>
              <w:t>_RedCap_Relax</w:t>
            </w:r>
          </w:p>
          <w:p w14:paraId="18F5EBA5" w14:textId="77777777" w:rsidR="00D77779" w:rsidRPr="00885F53" w:rsidRDefault="00D77779" w:rsidP="008B25C8">
            <w:pPr>
              <w:pStyle w:val="TAH"/>
            </w:pPr>
            <w:r w:rsidRPr="00885F53">
              <w:t>[s] (number of DRX cycles)</w:t>
            </w:r>
          </w:p>
        </w:tc>
      </w:tr>
      <w:tr w:rsidR="00D77779" w:rsidRPr="00EA7096" w14:paraId="02DBA442"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6494A93" w14:textId="77777777" w:rsidR="00D77779" w:rsidRPr="00885F53" w:rsidRDefault="00D77779" w:rsidP="008B25C8">
            <w:pPr>
              <w:pStyle w:val="TAC"/>
            </w:pPr>
            <w:r w:rsidRPr="00885F53">
              <w:t>0.32</w:t>
            </w:r>
          </w:p>
        </w:tc>
        <w:tc>
          <w:tcPr>
            <w:tcW w:w="0" w:type="auto"/>
            <w:tcBorders>
              <w:top w:val="single" w:sz="4" w:space="0" w:color="auto"/>
              <w:left w:val="single" w:sz="4" w:space="0" w:color="auto"/>
              <w:bottom w:val="single" w:sz="4" w:space="0" w:color="auto"/>
              <w:right w:val="single" w:sz="4" w:space="0" w:color="auto"/>
            </w:tcBorders>
            <w:hideMark/>
          </w:tcPr>
          <w:p w14:paraId="44BEAEB6" w14:textId="77777777" w:rsidR="00D77779" w:rsidRPr="00950DA1" w:rsidRDefault="00D77779" w:rsidP="008B25C8">
            <w:pPr>
              <w:pStyle w:val="TAC"/>
              <w:rPr>
                <w:lang w:val="sv-SE"/>
              </w:rPr>
            </w:pPr>
            <w:r w:rsidRPr="00950DA1">
              <w:rPr>
                <w:lang w:val="sv-SE"/>
              </w:rPr>
              <w:t xml:space="preserve">11.52 x </w:t>
            </w:r>
            <w:r w:rsidRPr="00950DA1">
              <w:rPr>
                <w:rFonts w:cs="Arial"/>
                <w:lang w:val="sv-SE" w:eastAsia="zh-CN"/>
              </w:rPr>
              <w:t>M2</w:t>
            </w:r>
            <w:r>
              <w:rPr>
                <w:rFonts w:cs="Arial"/>
                <w:lang w:val="sv-SE" w:eastAsia="zh-CN"/>
              </w:rPr>
              <w:t xml:space="preserve"> x K1</w:t>
            </w:r>
            <w:r w:rsidRPr="00950DA1">
              <w:rPr>
                <w:rFonts w:cs="Arial"/>
                <w:lang w:val="sv-SE" w:eastAsia="zh-CN"/>
              </w:rPr>
              <w:t xml:space="preserve"> </w:t>
            </w:r>
            <w:r w:rsidRPr="00950DA1">
              <w:rPr>
                <w:lang w:val="sv-SE"/>
              </w:rPr>
              <w:t xml:space="preserve">(36 x </w:t>
            </w:r>
            <w:r w:rsidRPr="00950DA1">
              <w:rPr>
                <w:rFonts w:cs="Arial"/>
                <w:lang w:val="sv-SE" w:eastAsia="zh-CN"/>
              </w:rPr>
              <w:t>M2</w:t>
            </w:r>
            <w:r>
              <w:rPr>
                <w:rFonts w:cs="Arial"/>
                <w:lang w:val="sv-SE" w:eastAsia="zh-CN"/>
              </w:rPr>
              <w:t xml:space="preserve"> 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624156A1" w14:textId="77777777" w:rsidR="00D77779" w:rsidRPr="00950DA1" w:rsidRDefault="00D77779" w:rsidP="008B25C8">
            <w:pPr>
              <w:pStyle w:val="TAC"/>
              <w:rPr>
                <w:lang w:val="sv-SE"/>
              </w:rPr>
            </w:pPr>
            <w:r w:rsidRPr="00950DA1">
              <w:rPr>
                <w:lang w:val="sv-SE"/>
              </w:rPr>
              <w:t xml:space="preserve">1.28 x </w:t>
            </w:r>
            <w:r w:rsidRPr="00950DA1">
              <w:rPr>
                <w:rFonts w:cs="Arial"/>
                <w:lang w:val="sv-SE" w:eastAsia="zh-CN"/>
              </w:rPr>
              <w:t>M2</w:t>
            </w:r>
            <w:r>
              <w:rPr>
                <w:rFonts w:cs="Arial"/>
                <w:lang w:val="sv-SE" w:eastAsia="zh-CN"/>
              </w:rPr>
              <w:t xml:space="preserve"> x K1</w:t>
            </w:r>
            <w:r w:rsidRPr="00950DA1">
              <w:rPr>
                <w:rFonts w:cs="Arial"/>
                <w:snapToGrid w:val="0"/>
                <w:lang w:val="sv-SE"/>
              </w:rPr>
              <w:t xml:space="preserve"> </w:t>
            </w:r>
            <w:r w:rsidRPr="00950DA1">
              <w:rPr>
                <w:lang w:val="sv-SE"/>
              </w:rPr>
              <w:t xml:space="preserve">(4 x </w:t>
            </w:r>
            <w:r w:rsidRPr="00950DA1">
              <w:rPr>
                <w:rFonts w:cs="Arial"/>
                <w:lang w:val="sv-SE" w:eastAsia="zh-CN"/>
              </w:rPr>
              <w:t>M2</w:t>
            </w:r>
            <w:r>
              <w:rPr>
                <w:rFonts w:cs="Arial"/>
                <w:lang w:val="sv-SE" w:eastAsia="zh-CN"/>
              </w:rPr>
              <w:t xml:space="preserve"> 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FA54882" w14:textId="77777777" w:rsidR="00D77779" w:rsidRPr="00950DA1" w:rsidRDefault="00D77779" w:rsidP="008B25C8">
            <w:pPr>
              <w:pStyle w:val="TAC"/>
              <w:rPr>
                <w:lang w:val="sv-SE"/>
              </w:rPr>
            </w:pPr>
            <w:r w:rsidRPr="00950DA1">
              <w:rPr>
                <w:lang w:val="sv-SE"/>
              </w:rPr>
              <w:t xml:space="preserve">5.12 x </w:t>
            </w:r>
            <w:r w:rsidRPr="00950DA1">
              <w:rPr>
                <w:rFonts w:cs="Arial"/>
                <w:lang w:val="sv-SE" w:eastAsia="zh-CN"/>
              </w:rPr>
              <w:t>M2</w:t>
            </w:r>
            <w:r>
              <w:rPr>
                <w:rFonts w:cs="Arial"/>
                <w:lang w:val="sv-SE" w:eastAsia="zh-CN"/>
              </w:rPr>
              <w:t xml:space="preserve"> x K1</w:t>
            </w:r>
            <w:r w:rsidRPr="00950DA1">
              <w:rPr>
                <w:rFonts w:cs="Arial"/>
                <w:snapToGrid w:val="0"/>
                <w:lang w:val="sv-SE"/>
              </w:rPr>
              <w:t xml:space="preserve"> </w:t>
            </w:r>
            <w:r w:rsidRPr="00950DA1">
              <w:rPr>
                <w:lang w:val="sv-SE"/>
              </w:rPr>
              <w:t xml:space="preserve">(16 x </w:t>
            </w:r>
            <w:r w:rsidRPr="00950DA1">
              <w:rPr>
                <w:rFonts w:cs="Arial"/>
                <w:lang w:val="sv-SE" w:eastAsia="zh-CN"/>
              </w:rPr>
              <w:t>M2</w:t>
            </w:r>
            <w:r>
              <w:rPr>
                <w:rFonts w:cs="Arial"/>
                <w:lang w:val="sv-SE" w:eastAsia="zh-CN"/>
              </w:rPr>
              <w:t xml:space="preserve"> x K1</w:t>
            </w:r>
            <w:r w:rsidRPr="00950DA1">
              <w:rPr>
                <w:lang w:val="sv-SE"/>
              </w:rPr>
              <w:t>)</w:t>
            </w:r>
          </w:p>
        </w:tc>
      </w:tr>
      <w:tr w:rsidR="00D77779" w:rsidRPr="00885F53" w14:paraId="399294FC"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F39235C" w14:textId="77777777" w:rsidR="00D77779" w:rsidRPr="00885F53" w:rsidRDefault="00D77779" w:rsidP="008B25C8">
            <w:pPr>
              <w:pStyle w:val="TAC"/>
            </w:pPr>
            <w:r w:rsidRPr="00885F53">
              <w:t>0.64</w:t>
            </w:r>
          </w:p>
        </w:tc>
        <w:tc>
          <w:tcPr>
            <w:tcW w:w="0" w:type="auto"/>
            <w:tcBorders>
              <w:top w:val="single" w:sz="4" w:space="0" w:color="auto"/>
              <w:left w:val="single" w:sz="4" w:space="0" w:color="auto"/>
              <w:bottom w:val="single" w:sz="4" w:space="0" w:color="auto"/>
              <w:right w:val="single" w:sz="4" w:space="0" w:color="auto"/>
            </w:tcBorders>
            <w:hideMark/>
          </w:tcPr>
          <w:p w14:paraId="0E0E60C9" w14:textId="77777777" w:rsidR="00D77779" w:rsidRPr="00885F53" w:rsidRDefault="00D77779" w:rsidP="008B25C8">
            <w:pPr>
              <w:pStyle w:val="TAC"/>
            </w:pPr>
            <w:r w:rsidRPr="00885F53">
              <w:t xml:space="preserve">17.92 x </w:t>
            </w:r>
            <w:r>
              <w:rPr>
                <w:rFonts w:cs="Arial"/>
                <w:lang w:val="sv-SE" w:eastAsia="zh-CN"/>
              </w:rPr>
              <w:t>K1</w:t>
            </w:r>
            <w:r w:rsidRPr="00885F53">
              <w:t xml:space="preserve"> (28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58A3B9C3" w14:textId="77777777" w:rsidR="00D77779" w:rsidRPr="00885F53" w:rsidRDefault="00D77779" w:rsidP="008B25C8">
            <w:pPr>
              <w:pStyle w:val="TAC"/>
            </w:pPr>
            <w:r w:rsidRPr="00885F53">
              <w:t xml:space="preserve">1.28 x </w:t>
            </w:r>
            <w:r>
              <w:rPr>
                <w:rFonts w:cs="Arial"/>
                <w:lang w:val="sv-SE" w:eastAsia="zh-CN"/>
              </w:rPr>
              <w:t>K1</w:t>
            </w:r>
            <w:r w:rsidRPr="00885F53">
              <w:t xml:space="preserve"> (2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1C1A5744" w14:textId="77777777" w:rsidR="00D77779" w:rsidRPr="00885F53" w:rsidRDefault="00D77779" w:rsidP="008B25C8">
            <w:pPr>
              <w:pStyle w:val="TAC"/>
            </w:pPr>
            <w:r w:rsidRPr="00885F53">
              <w:t xml:space="preserve">5.12 x </w:t>
            </w:r>
            <w:r>
              <w:rPr>
                <w:rFonts w:cs="Arial"/>
                <w:lang w:val="sv-SE" w:eastAsia="zh-CN"/>
              </w:rPr>
              <w:t>K1</w:t>
            </w:r>
            <w:r w:rsidRPr="00885F53">
              <w:t xml:space="preserve"> (8 x </w:t>
            </w:r>
            <w:r>
              <w:rPr>
                <w:rFonts w:cs="Arial"/>
                <w:lang w:val="sv-SE" w:eastAsia="zh-CN"/>
              </w:rPr>
              <w:t>K1</w:t>
            </w:r>
            <w:r w:rsidRPr="00885F53">
              <w:t>)</w:t>
            </w:r>
          </w:p>
        </w:tc>
      </w:tr>
      <w:tr w:rsidR="00D77779" w:rsidRPr="00885F53" w14:paraId="2AE3885E"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76A53C0" w14:textId="77777777" w:rsidR="00D77779" w:rsidRPr="00885F53" w:rsidRDefault="00D77779" w:rsidP="008B25C8">
            <w:pPr>
              <w:pStyle w:val="TAC"/>
            </w:pPr>
            <w:r w:rsidRPr="00885F53">
              <w:t>1.28</w:t>
            </w:r>
          </w:p>
        </w:tc>
        <w:tc>
          <w:tcPr>
            <w:tcW w:w="0" w:type="auto"/>
            <w:tcBorders>
              <w:top w:val="single" w:sz="4" w:space="0" w:color="auto"/>
              <w:left w:val="single" w:sz="4" w:space="0" w:color="auto"/>
              <w:bottom w:val="single" w:sz="4" w:space="0" w:color="auto"/>
              <w:right w:val="single" w:sz="4" w:space="0" w:color="auto"/>
            </w:tcBorders>
            <w:hideMark/>
          </w:tcPr>
          <w:p w14:paraId="551BBC2C" w14:textId="77777777" w:rsidR="00D77779" w:rsidRPr="00885F53" w:rsidRDefault="00D77779" w:rsidP="008B25C8">
            <w:pPr>
              <w:pStyle w:val="TAC"/>
            </w:pPr>
            <w:r w:rsidRPr="00885F53">
              <w:t xml:space="preserve">32 x </w:t>
            </w:r>
            <w:r>
              <w:rPr>
                <w:rFonts w:cs="Arial"/>
                <w:lang w:val="sv-SE" w:eastAsia="zh-CN"/>
              </w:rPr>
              <w:t>K1</w:t>
            </w:r>
            <w:r w:rsidRPr="00885F53">
              <w:t xml:space="preserve"> (25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240ED281" w14:textId="77777777" w:rsidR="00D77779" w:rsidRPr="00885F53" w:rsidRDefault="00D77779" w:rsidP="008B25C8">
            <w:pPr>
              <w:pStyle w:val="TAC"/>
            </w:pPr>
            <w:r w:rsidRPr="00885F53">
              <w:t xml:space="preserve">1.28 x </w:t>
            </w:r>
            <w:r>
              <w:rPr>
                <w:rFonts w:cs="Arial"/>
                <w:lang w:val="sv-SE" w:eastAsia="zh-CN"/>
              </w:rPr>
              <w:t>K1</w:t>
            </w:r>
            <w:r w:rsidRPr="00885F53">
              <w:t xml:space="preserve"> (1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67AE75A1" w14:textId="77777777" w:rsidR="00D77779" w:rsidRPr="00885F53" w:rsidRDefault="00D77779" w:rsidP="008B25C8">
            <w:pPr>
              <w:pStyle w:val="TAC"/>
            </w:pPr>
            <w:r w:rsidRPr="00885F53">
              <w:t xml:space="preserve">6.4 x </w:t>
            </w:r>
            <w:r>
              <w:rPr>
                <w:rFonts w:cs="Arial"/>
                <w:lang w:val="sv-SE" w:eastAsia="zh-CN"/>
              </w:rPr>
              <w:t>K1</w:t>
            </w:r>
            <w:r w:rsidRPr="00885F53">
              <w:t xml:space="preserve"> (5 x </w:t>
            </w:r>
            <w:r>
              <w:rPr>
                <w:rFonts w:cs="Arial"/>
                <w:lang w:val="sv-SE" w:eastAsia="zh-CN"/>
              </w:rPr>
              <w:t>K1</w:t>
            </w:r>
            <w:r w:rsidRPr="00885F53">
              <w:t>)</w:t>
            </w:r>
          </w:p>
        </w:tc>
      </w:tr>
      <w:tr w:rsidR="00D77779" w:rsidRPr="00885F53" w14:paraId="6B66B561"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5F340AF" w14:textId="77777777" w:rsidR="00D77779" w:rsidRPr="00885F53" w:rsidRDefault="00D77779" w:rsidP="008B25C8">
            <w:pPr>
              <w:pStyle w:val="TAC"/>
            </w:pPr>
            <w:r w:rsidRPr="00885F53">
              <w:t>2.56</w:t>
            </w:r>
          </w:p>
        </w:tc>
        <w:tc>
          <w:tcPr>
            <w:tcW w:w="0" w:type="auto"/>
            <w:tcBorders>
              <w:top w:val="single" w:sz="4" w:space="0" w:color="auto"/>
              <w:left w:val="single" w:sz="4" w:space="0" w:color="auto"/>
              <w:bottom w:val="single" w:sz="4" w:space="0" w:color="auto"/>
              <w:right w:val="single" w:sz="4" w:space="0" w:color="auto"/>
            </w:tcBorders>
            <w:hideMark/>
          </w:tcPr>
          <w:p w14:paraId="10055ECE" w14:textId="77777777" w:rsidR="00D77779" w:rsidRPr="00885F53" w:rsidRDefault="00D77779" w:rsidP="008B25C8">
            <w:pPr>
              <w:pStyle w:val="TAC"/>
            </w:pPr>
            <w:r w:rsidRPr="00885F53">
              <w:rPr>
                <w:rFonts w:cs="Arial"/>
                <w:lang w:eastAsia="zh-CN"/>
              </w:rPr>
              <w:t>58.88</w:t>
            </w:r>
            <w:r w:rsidRPr="00885F53">
              <w:t xml:space="preserve"> x </w:t>
            </w:r>
            <w:r>
              <w:rPr>
                <w:rFonts w:cs="Arial"/>
                <w:lang w:val="sv-SE" w:eastAsia="zh-CN"/>
              </w:rPr>
              <w:t>K1</w:t>
            </w:r>
            <w:r w:rsidRPr="00885F53">
              <w:t xml:space="preserve"> (23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3912C799" w14:textId="77777777" w:rsidR="00D77779" w:rsidRPr="00885F53" w:rsidRDefault="00D77779" w:rsidP="008B25C8">
            <w:pPr>
              <w:pStyle w:val="TAC"/>
            </w:pPr>
            <w:r w:rsidRPr="00885F53">
              <w:t xml:space="preserve">2.56 x </w:t>
            </w:r>
            <w:r>
              <w:rPr>
                <w:rFonts w:cs="Arial"/>
                <w:lang w:val="sv-SE" w:eastAsia="zh-CN"/>
              </w:rPr>
              <w:t>K1</w:t>
            </w:r>
            <w:r w:rsidRPr="00885F53">
              <w:t xml:space="preserve"> (1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20800C5B" w14:textId="77777777" w:rsidR="00D77779" w:rsidRPr="00885F53" w:rsidRDefault="00D77779" w:rsidP="008B25C8">
            <w:pPr>
              <w:pStyle w:val="TAC"/>
            </w:pPr>
            <w:r w:rsidRPr="00885F53">
              <w:t xml:space="preserve">7.68 x </w:t>
            </w:r>
            <w:r>
              <w:rPr>
                <w:rFonts w:cs="Arial"/>
                <w:lang w:val="sv-SE" w:eastAsia="zh-CN"/>
              </w:rPr>
              <w:t>K1</w:t>
            </w:r>
            <w:r w:rsidRPr="00885F53">
              <w:t xml:space="preserve"> (3 x </w:t>
            </w:r>
            <w:r>
              <w:rPr>
                <w:rFonts w:cs="Arial"/>
                <w:lang w:val="sv-SE" w:eastAsia="zh-CN"/>
              </w:rPr>
              <w:t>K1</w:t>
            </w:r>
            <w:r w:rsidRPr="00885F53">
              <w:t>)</w:t>
            </w:r>
          </w:p>
        </w:tc>
      </w:tr>
      <w:tr w:rsidR="00D77779" w:rsidRPr="00885F53" w14:paraId="3AE8A7FB" w14:textId="77777777" w:rsidTr="008B25C8">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5E493E87" w14:textId="77777777" w:rsidR="00D77779" w:rsidRPr="007D632B" w:rsidRDefault="00D77779" w:rsidP="008B25C8">
            <w:pPr>
              <w:pStyle w:val="TAN"/>
              <w:rPr>
                <w:snapToGrid w:val="0"/>
                <w:lang w:eastAsia="zh-CN"/>
              </w:rPr>
            </w:pPr>
            <w:r w:rsidRPr="00885F53">
              <w:rPr>
                <w:snapToGrid w:val="0"/>
                <w:lang w:eastAsia="zh-CN"/>
              </w:rPr>
              <w:t xml:space="preserve">Note </w:t>
            </w:r>
            <w:r>
              <w:rPr>
                <w:snapToGrid w:val="0"/>
                <w:lang w:eastAsia="zh-CN"/>
              </w:rPr>
              <w:t>1</w:t>
            </w:r>
            <w:r w:rsidRPr="00885F53">
              <w:rPr>
                <w:snapToGrid w:val="0"/>
                <w:lang w:eastAsia="zh-CN"/>
              </w:rPr>
              <w:t>:</w:t>
            </w:r>
            <w:r w:rsidRPr="00885F53">
              <w:rPr>
                <w:lang w:val="en-US"/>
              </w:rPr>
              <w:tab/>
            </w:r>
            <w:r w:rsidRPr="00885F53">
              <w:rPr>
                <w:snapToGrid w:val="0"/>
                <w:lang w:eastAsia="zh-CN"/>
              </w:rPr>
              <w:t xml:space="preserve">M2 = 1.5 if SMTC </w:t>
            </w:r>
            <w:r w:rsidRPr="00C83CA1">
              <w:rPr>
                <w:snapToGrid w:val="0"/>
                <w:lang w:eastAsia="zh-CN"/>
              </w:rPr>
              <w:t>periodicity</w:t>
            </w:r>
            <w:r w:rsidRPr="00EF59D1">
              <w:t xml:space="preserve"> </w:t>
            </w:r>
            <w:r w:rsidRPr="00EF59D1">
              <w:rPr>
                <w:snapToGrid w:val="0"/>
                <w:lang w:eastAsia="zh-CN"/>
              </w:rPr>
              <w:t>of measured intra-frequency cell &gt; 20 ms; otherwise M2=1.</w:t>
            </w:r>
          </w:p>
          <w:p w14:paraId="3AF09749" w14:textId="77777777" w:rsidR="00D77779" w:rsidRPr="00885F53" w:rsidRDefault="00D77779" w:rsidP="008B25C8">
            <w:pPr>
              <w:pStyle w:val="TAN"/>
            </w:pPr>
            <w:r w:rsidRPr="00E9086F">
              <w:rPr>
                <w:snapToGrid w:val="0"/>
                <w:lang w:eastAsia="zh-CN"/>
              </w:rPr>
              <w:t xml:space="preserve">Note </w:t>
            </w:r>
            <w:r>
              <w:rPr>
                <w:snapToGrid w:val="0"/>
                <w:lang w:eastAsia="zh-CN"/>
              </w:rPr>
              <w:t>2</w:t>
            </w:r>
            <w:r w:rsidRPr="00E9086F">
              <w:rPr>
                <w:snapToGrid w:val="0"/>
                <w:lang w:eastAsia="zh-CN"/>
              </w:rPr>
              <w:t>:</w:t>
            </w:r>
            <w:r w:rsidRPr="00885F53">
              <w:rPr>
                <w:lang w:val="en-US"/>
              </w:rPr>
              <w:tab/>
            </w:r>
            <w:r w:rsidRPr="00E9086F">
              <w:rPr>
                <w:snapToGrid w:val="0"/>
                <w:lang w:eastAsia="zh-CN"/>
              </w:rPr>
              <w:t>K1 = 3</w:t>
            </w:r>
            <w:r w:rsidRPr="007C2D19">
              <w:rPr>
                <w:snapToGrid w:val="0"/>
                <w:lang w:eastAsia="zh-CN"/>
              </w:rPr>
              <w:t xml:space="preserve"> is</w:t>
            </w:r>
            <w:r w:rsidRPr="00C33767">
              <w:rPr>
                <w:snapToGrid w:val="0"/>
                <w:lang w:eastAsia="zh-CN"/>
              </w:rPr>
              <w:t xml:space="preserve"> the measu</w:t>
            </w:r>
            <w:r>
              <w:rPr>
                <w:snapToGrid w:val="0"/>
                <w:lang w:eastAsia="zh-CN"/>
              </w:rPr>
              <w:t xml:space="preserve">rement relaxation factor applicable for UE fulfilling the </w:t>
            </w:r>
            <w:r w:rsidRPr="001C6668">
              <w:rPr>
                <w:i/>
                <w:iCs/>
                <w:lang w:eastAsia="zh-CN"/>
              </w:rPr>
              <w:t>lowMobilityEvaluation</w:t>
            </w:r>
            <w:r w:rsidDel="004B26EA">
              <w:rPr>
                <w:i/>
                <w:iCs/>
                <w:lang w:eastAsia="zh-CN"/>
              </w:rPr>
              <w:t xml:space="preserve"> </w:t>
            </w:r>
            <w:r>
              <w:rPr>
                <w:lang w:eastAsia="zh-CN"/>
              </w:rPr>
              <w:t>[2]</w:t>
            </w:r>
            <w:r>
              <w:rPr>
                <w:snapToGrid w:val="0"/>
                <w:lang w:eastAsia="zh-CN"/>
              </w:rPr>
              <w:t xml:space="preserve"> criterion.</w:t>
            </w:r>
          </w:p>
        </w:tc>
      </w:tr>
    </w:tbl>
    <w:p w14:paraId="3F74B90B" w14:textId="77777777" w:rsidR="00DE2AEA" w:rsidRDefault="00DE2AEA" w:rsidP="00DE2AEA"/>
    <w:p w14:paraId="0A812792" w14:textId="5D27159B" w:rsidR="00D77779" w:rsidRDefault="00D77779" w:rsidP="00DE2AEA">
      <w:pPr>
        <w:pStyle w:val="TH"/>
      </w:pPr>
      <w:r w:rsidRPr="00885F53">
        <w:t xml:space="preserve">Table </w:t>
      </w:r>
      <w:r>
        <w:t>4.2B.2.9.9</w:t>
      </w:r>
      <w:r w:rsidRPr="00885F53">
        <w:t>-</w:t>
      </w:r>
      <w:r>
        <w:t>2</w:t>
      </w:r>
      <w:r w:rsidRPr="00885F53">
        <w:t>: T</w:t>
      </w:r>
      <w:r w:rsidRPr="00885F53">
        <w:rPr>
          <w:vertAlign w:val="subscript"/>
        </w:rPr>
        <w:t>detect,NR_Intra</w:t>
      </w:r>
      <w:r>
        <w:rPr>
          <w:vertAlign w:val="subscript"/>
        </w:rPr>
        <w:t>_RedCap_Relax</w:t>
      </w:r>
      <w:r w:rsidRPr="00885F53">
        <w:rPr>
          <w:vertAlign w:val="subscript"/>
        </w:rPr>
        <w:t>,</w:t>
      </w:r>
      <w:r w:rsidRPr="00885F53">
        <w:t xml:space="preserve"> T</w:t>
      </w:r>
      <w:r w:rsidRPr="00885F53">
        <w:rPr>
          <w:vertAlign w:val="subscript"/>
        </w:rPr>
        <w:t>measure,NR_Intra</w:t>
      </w:r>
      <w:r>
        <w:rPr>
          <w:vertAlign w:val="subscript"/>
        </w:rPr>
        <w:t>_RedCap_Relax</w:t>
      </w:r>
      <w:r w:rsidRPr="00885F53">
        <w:t xml:space="preserve"> and T</w:t>
      </w:r>
      <w:r w:rsidRPr="00885F53">
        <w:rPr>
          <w:vertAlign w:val="subscript"/>
        </w:rPr>
        <w:t>evaluate,NR_Intra</w:t>
      </w:r>
      <w:r>
        <w:rPr>
          <w:vertAlign w:val="subscript"/>
        </w:rPr>
        <w:t>_RedCap_Relax</w:t>
      </w:r>
      <w:r w:rsidRPr="008B51B4">
        <w:rPr>
          <w:lang w:val="en-US"/>
        </w:rPr>
        <w:t xml:space="preserve"> </w:t>
      </w:r>
      <w:r w:rsidRPr="00F74563">
        <w:rPr>
          <w:lang w:val="en-US"/>
        </w:rPr>
        <w:t xml:space="preserve">for UEs fulfilling </w:t>
      </w:r>
      <w:r>
        <w:rPr>
          <w:lang w:val="en-US" w:eastAsia="zh-CN"/>
        </w:rPr>
        <w:t xml:space="preserve">low mobility </w:t>
      </w:r>
      <w:r>
        <w:rPr>
          <w:lang w:val="en-US"/>
        </w:rPr>
        <w:t>criterion for 2 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574"/>
        <w:gridCol w:w="917"/>
        <w:gridCol w:w="2369"/>
        <w:gridCol w:w="2510"/>
        <w:gridCol w:w="2377"/>
      </w:tblGrid>
      <w:tr w:rsidR="00D77779" w:rsidRPr="00885F53" w14:paraId="3B8FCE48"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17D7C849" w14:textId="77777777" w:rsidR="00D77779" w:rsidRPr="00885F53" w:rsidRDefault="00D77779" w:rsidP="008B25C8">
            <w:pPr>
              <w:pStyle w:val="TAH"/>
            </w:pPr>
            <w:r w:rsidRPr="00885F53">
              <w:t>DRX cycle length [s]</w:t>
            </w:r>
          </w:p>
        </w:tc>
        <w:tc>
          <w:tcPr>
            <w:tcW w:w="0" w:type="auto"/>
            <w:gridSpan w:val="2"/>
            <w:tcBorders>
              <w:top w:val="single" w:sz="4" w:space="0" w:color="auto"/>
              <w:left w:val="single" w:sz="4" w:space="0" w:color="auto"/>
              <w:bottom w:val="single" w:sz="4" w:space="0" w:color="auto"/>
              <w:right w:val="single" w:sz="4" w:space="0" w:color="auto"/>
            </w:tcBorders>
            <w:hideMark/>
          </w:tcPr>
          <w:p w14:paraId="4C2B4D7E" w14:textId="77777777" w:rsidR="00D77779" w:rsidRPr="00885F53" w:rsidRDefault="00D77779" w:rsidP="008B25C8">
            <w:pPr>
              <w:pStyle w:val="TAH"/>
            </w:pPr>
            <w:r w:rsidRPr="00885F53">
              <w:t>Scaling Factor (N1)</w:t>
            </w:r>
          </w:p>
        </w:tc>
        <w:tc>
          <w:tcPr>
            <w:tcW w:w="0" w:type="auto"/>
            <w:vMerge w:val="restart"/>
            <w:tcBorders>
              <w:top w:val="single" w:sz="4" w:space="0" w:color="auto"/>
              <w:left w:val="single" w:sz="4" w:space="0" w:color="auto"/>
              <w:bottom w:val="single" w:sz="4" w:space="0" w:color="auto"/>
              <w:right w:val="single" w:sz="4" w:space="0" w:color="auto"/>
            </w:tcBorders>
            <w:hideMark/>
          </w:tcPr>
          <w:p w14:paraId="3448C4B9" w14:textId="77777777" w:rsidR="00D77779" w:rsidRPr="00885F53" w:rsidRDefault="00D77779" w:rsidP="008B25C8">
            <w:pPr>
              <w:pStyle w:val="TAH"/>
            </w:pPr>
            <w:r w:rsidRPr="00885F53">
              <w:t>T</w:t>
            </w:r>
            <w:r w:rsidRPr="00885F53">
              <w:rPr>
                <w:vertAlign w:val="subscript"/>
              </w:rPr>
              <w:t>detect,NR_Intra</w:t>
            </w:r>
            <w:r>
              <w:rPr>
                <w:vertAlign w:val="subscript"/>
              </w:rPr>
              <w:t>_RedCap_Relax</w:t>
            </w:r>
            <w:r w:rsidRPr="00885F53">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66AFC0E6" w14:textId="77777777" w:rsidR="00D77779" w:rsidRPr="00885F53" w:rsidRDefault="00D77779" w:rsidP="008B25C8">
            <w:pPr>
              <w:pStyle w:val="TAH"/>
            </w:pPr>
            <w:r w:rsidRPr="00885F53">
              <w:t>T</w:t>
            </w:r>
            <w:r w:rsidRPr="00885F53">
              <w:rPr>
                <w:vertAlign w:val="subscript"/>
              </w:rPr>
              <w:t>measure,NR_Intra</w:t>
            </w:r>
            <w:r>
              <w:rPr>
                <w:vertAlign w:val="subscript"/>
              </w:rPr>
              <w:t>_RedCap_Relax</w:t>
            </w:r>
            <w:r w:rsidRPr="00885F53">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7F8833A2" w14:textId="77777777" w:rsidR="00D77779" w:rsidRPr="00885F53" w:rsidRDefault="00D77779" w:rsidP="008B25C8">
            <w:pPr>
              <w:pStyle w:val="TAH"/>
              <w:rPr>
                <w:vertAlign w:val="subscript"/>
              </w:rPr>
            </w:pPr>
            <w:r w:rsidRPr="00885F53">
              <w:t>T</w:t>
            </w:r>
            <w:r w:rsidRPr="00885F53">
              <w:rPr>
                <w:vertAlign w:val="subscript"/>
              </w:rPr>
              <w:t>evaluate,NR_</w:t>
            </w:r>
            <w:r w:rsidRPr="00885F53">
              <w:rPr>
                <w:rFonts w:cs="v4.2.0"/>
                <w:vertAlign w:val="subscript"/>
              </w:rPr>
              <w:t>Intra</w:t>
            </w:r>
            <w:r>
              <w:rPr>
                <w:vertAlign w:val="subscript"/>
              </w:rPr>
              <w:t>_RedCap_Relax</w:t>
            </w:r>
          </w:p>
          <w:p w14:paraId="2731C643" w14:textId="77777777" w:rsidR="00D77779" w:rsidRPr="00885F53" w:rsidRDefault="00D77779" w:rsidP="008B25C8">
            <w:pPr>
              <w:pStyle w:val="TAH"/>
            </w:pPr>
            <w:r w:rsidRPr="00885F53">
              <w:t>[s] (number of DRX cycles)</w:t>
            </w:r>
          </w:p>
        </w:tc>
      </w:tr>
      <w:tr w:rsidR="00D77779" w:rsidRPr="00885F53" w14:paraId="546F3CFE" w14:textId="77777777" w:rsidTr="008B25C8">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E9871C" w14:textId="77777777" w:rsidR="00D77779" w:rsidRPr="00885F53" w:rsidRDefault="00D77779" w:rsidP="008B25C8">
            <w:pPr>
              <w:pStyle w:val="TAH"/>
            </w:pPr>
          </w:p>
        </w:tc>
        <w:tc>
          <w:tcPr>
            <w:tcW w:w="0" w:type="auto"/>
            <w:tcBorders>
              <w:top w:val="single" w:sz="4" w:space="0" w:color="auto"/>
              <w:left w:val="single" w:sz="4" w:space="0" w:color="auto"/>
              <w:bottom w:val="single" w:sz="4" w:space="0" w:color="auto"/>
              <w:right w:val="single" w:sz="4" w:space="0" w:color="auto"/>
            </w:tcBorders>
            <w:hideMark/>
          </w:tcPr>
          <w:p w14:paraId="17F106AE" w14:textId="77777777" w:rsidR="00D77779" w:rsidRPr="00885F53" w:rsidRDefault="00D77779" w:rsidP="008B25C8">
            <w:pPr>
              <w:pStyle w:val="TAH"/>
            </w:pPr>
            <w:r w:rsidRPr="00885F53">
              <w:t>FR1</w:t>
            </w:r>
          </w:p>
        </w:tc>
        <w:tc>
          <w:tcPr>
            <w:tcW w:w="0" w:type="auto"/>
            <w:tcBorders>
              <w:top w:val="single" w:sz="4" w:space="0" w:color="auto"/>
              <w:left w:val="single" w:sz="4" w:space="0" w:color="auto"/>
              <w:bottom w:val="single" w:sz="4" w:space="0" w:color="auto"/>
              <w:right w:val="single" w:sz="4" w:space="0" w:color="auto"/>
            </w:tcBorders>
            <w:hideMark/>
          </w:tcPr>
          <w:p w14:paraId="1499FBF5" w14:textId="77777777" w:rsidR="00D77779" w:rsidRPr="00885F53" w:rsidRDefault="00D77779" w:rsidP="008B25C8">
            <w:pPr>
              <w:pStyle w:val="TAH"/>
              <w:rPr>
                <w:vertAlign w:val="superscript"/>
              </w:rPr>
            </w:pPr>
            <w:r w:rsidRPr="00885F53">
              <w:t>FR2</w:t>
            </w:r>
            <w:r w:rsidRPr="00885F53">
              <w:rPr>
                <w:vertAlign w:val="superscript"/>
              </w:rPr>
              <w:t>Note1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63A910" w14:textId="77777777" w:rsidR="00D77779" w:rsidRPr="00885F53"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59BA74" w14:textId="77777777" w:rsidR="00D77779" w:rsidRPr="00885F53"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52E6DB" w14:textId="77777777" w:rsidR="00D77779" w:rsidRPr="00885F53" w:rsidRDefault="00D77779" w:rsidP="008B25C8">
            <w:pPr>
              <w:pStyle w:val="TAH"/>
            </w:pPr>
          </w:p>
        </w:tc>
      </w:tr>
      <w:tr w:rsidR="00D77779" w:rsidRPr="00EA7096" w14:paraId="35BC88D3"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A83C985" w14:textId="77777777" w:rsidR="00D77779" w:rsidRPr="00885F53" w:rsidRDefault="00D77779" w:rsidP="008B25C8">
            <w:pPr>
              <w:pStyle w:val="TAC"/>
            </w:pPr>
            <w:r w:rsidRPr="00885F53">
              <w:t>0.32</w:t>
            </w:r>
          </w:p>
        </w:tc>
        <w:tc>
          <w:tcPr>
            <w:tcW w:w="0" w:type="auto"/>
            <w:tcBorders>
              <w:top w:val="single" w:sz="4" w:space="0" w:color="auto"/>
              <w:left w:val="single" w:sz="4" w:space="0" w:color="auto"/>
              <w:bottom w:val="nil"/>
              <w:right w:val="single" w:sz="4" w:space="0" w:color="auto"/>
            </w:tcBorders>
            <w:hideMark/>
          </w:tcPr>
          <w:p w14:paraId="3CD6C6B6" w14:textId="77777777" w:rsidR="00D77779" w:rsidRPr="00885F53" w:rsidRDefault="00D77779" w:rsidP="008B25C8">
            <w:pPr>
              <w:pStyle w:val="TAC"/>
            </w:pPr>
            <w:r w:rsidRPr="00885F53">
              <w:t>1</w:t>
            </w:r>
          </w:p>
        </w:tc>
        <w:tc>
          <w:tcPr>
            <w:tcW w:w="0" w:type="auto"/>
            <w:tcBorders>
              <w:top w:val="single" w:sz="4" w:space="0" w:color="auto"/>
              <w:left w:val="single" w:sz="4" w:space="0" w:color="auto"/>
              <w:bottom w:val="single" w:sz="4" w:space="0" w:color="auto"/>
              <w:right w:val="single" w:sz="4" w:space="0" w:color="auto"/>
            </w:tcBorders>
            <w:hideMark/>
          </w:tcPr>
          <w:p w14:paraId="16921454" w14:textId="77777777" w:rsidR="00D77779" w:rsidRPr="00885F53" w:rsidRDefault="00D77779" w:rsidP="008B25C8">
            <w:pPr>
              <w:pStyle w:val="TAC"/>
            </w:pPr>
            <w:r w:rsidRPr="00885F53">
              <w:t>8</w:t>
            </w:r>
          </w:p>
        </w:tc>
        <w:tc>
          <w:tcPr>
            <w:tcW w:w="0" w:type="auto"/>
            <w:tcBorders>
              <w:top w:val="single" w:sz="4" w:space="0" w:color="auto"/>
              <w:left w:val="single" w:sz="4" w:space="0" w:color="auto"/>
              <w:bottom w:val="single" w:sz="4" w:space="0" w:color="auto"/>
              <w:right w:val="single" w:sz="4" w:space="0" w:color="auto"/>
            </w:tcBorders>
            <w:hideMark/>
          </w:tcPr>
          <w:p w14:paraId="7D2296AE" w14:textId="77777777" w:rsidR="00D77779" w:rsidRPr="00950DA1" w:rsidRDefault="00D77779" w:rsidP="008B25C8">
            <w:pPr>
              <w:pStyle w:val="TAC"/>
              <w:rPr>
                <w:lang w:val="sv-SE"/>
              </w:rPr>
            </w:pPr>
            <w:r w:rsidRPr="00950DA1">
              <w:rPr>
                <w:lang w:val="sv-SE"/>
              </w:rPr>
              <w:t xml:space="preserve">11.52 x N1 </w:t>
            </w:r>
            <w:r w:rsidRPr="00950DA1">
              <w:rPr>
                <w:rFonts w:cs="Arial"/>
                <w:lang w:val="sv-SE" w:eastAsia="zh-CN"/>
              </w:rPr>
              <w:t>x M2</w:t>
            </w:r>
            <w:r>
              <w:rPr>
                <w:rFonts w:cs="Arial"/>
                <w:lang w:val="sv-SE" w:eastAsia="zh-CN"/>
              </w:rPr>
              <w:t xml:space="preserve"> x K1</w:t>
            </w:r>
            <w:r w:rsidRPr="00950DA1">
              <w:rPr>
                <w:rFonts w:cs="Arial"/>
                <w:lang w:val="sv-SE" w:eastAsia="zh-CN"/>
              </w:rPr>
              <w:t xml:space="preserve"> </w:t>
            </w:r>
            <w:r w:rsidRPr="00950DA1">
              <w:rPr>
                <w:lang w:val="sv-SE"/>
              </w:rPr>
              <w:t>(36 x N1</w:t>
            </w:r>
            <w:r w:rsidRPr="00950DA1">
              <w:rPr>
                <w:rFonts w:cs="Arial"/>
                <w:lang w:val="sv-SE" w:eastAsia="zh-CN"/>
              </w:rPr>
              <w:t xml:space="preserve"> x M2</w:t>
            </w:r>
            <w:r>
              <w:rPr>
                <w:rFonts w:cs="Arial"/>
                <w:lang w:val="sv-SE" w:eastAsia="zh-CN"/>
              </w:rPr>
              <w:t xml:space="preserve"> 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32FB8BF2" w14:textId="77777777" w:rsidR="00D77779" w:rsidRPr="00950DA1" w:rsidRDefault="00D77779" w:rsidP="008B25C8">
            <w:pPr>
              <w:pStyle w:val="TAC"/>
              <w:rPr>
                <w:lang w:val="sv-SE"/>
              </w:rPr>
            </w:pPr>
            <w:r w:rsidRPr="00950DA1">
              <w:rPr>
                <w:lang w:val="sv-SE"/>
              </w:rPr>
              <w:t xml:space="preserve">1.28 x N1 </w:t>
            </w:r>
            <w:r w:rsidRPr="00950DA1">
              <w:rPr>
                <w:rFonts w:cs="Arial"/>
                <w:lang w:val="sv-SE" w:eastAsia="zh-CN"/>
              </w:rPr>
              <w:t>x M2</w:t>
            </w:r>
            <w:r>
              <w:rPr>
                <w:rFonts w:cs="Arial"/>
                <w:lang w:val="sv-SE" w:eastAsia="zh-CN"/>
              </w:rPr>
              <w:t xml:space="preserve"> x K1</w:t>
            </w:r>
            <w:r w:rsidRPr="00950DA1">
              <w:rPr>
                <w:rFonts w:cs="Arial"/>
                <w:snapToGrid w:val="0"/>
                <w:lang w:val="sv-SE"/>
              </w:rPr>
              <w:t xml:space="preserve"> </w:t>
            </w:r>
            <w:r w:rsidRPr="00950DA1">
              <w:rPr>
                <w:lang w:val="sv-SE"/>
              </w:rPr>
              <w:t>(4 x N1</w:t>
            </w:r>
            <w:r w:rsidRPr="00950DA1">
              <w:rPr>
                <w:rFonts w:cs="Arial"/>
                <w:lang w:val="sv-SE" w:eastAsia="zh-CN"/>
              </w:rPr>
              <w:t xml:space="preserve"> x M2</w:t>
            </w:r>
            <w:r>
              <w:rPr>
                <w:rFonts w:cs="Arial"/>
                <w:lang w:val="sv-SE" w:eastAsia="zh-CN"/>
              </w:rPr>
              <w:t xml:space="preserve"> 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7348AC4" w14:textId="77777777" w:rsidR="00D77779" w:rsidRPr="00950DA1" w:rsidRDefault="00D77779" w:rsidP="008B25C8">
            <w:pPr>
              <w:pStyle w:val="TAC"/>
              <w:rPr>
                <w:lang w:val="sv-SE"/>
              </w:rPr>
            </w:pPr>
            <w:r w:rsidRPr="00950DA1">
              <w:rPr>
                <w:lang w:val="sv-SE"/>
              </w:rPr>
              <w:t xml:space="preserve">5.12 x N1 </w:t>
            </w:r>
            <w:r w:rsidRPr="00950DA1">
              <w:rPr>
                <w:rFonts w:cs="Arial"/>
                <w:lang w:val="sv-SE" w:eastAsia="zh-CN"/>
              </w:rPr>
              <w:t>x M2</w:t>
            </w:r>
            <w:r>
              <w:rPr>
                <w:rFonts w:cs="Arial"/>
                <w:lang w:val="sv-SE" w:eastAsia="zh-CN"/>
              </w:rPr>
              <w:t xml:space="preserve"> x K1</w:t>
            </w:r>
            <w:r w:rsidRPr="00950DA1">
              <w:rPr>
                <w:rFonts w:cs="Arial"/>
                <w:snapToGrid w:val="0"/>
                <w:lang w:val="sv-SE"/>
              </w:rPr>
              <w:t xml:space="preserve"> </w:t>
            </w:r>
            <w:r w:rsidRPr="00950DA1">
              <w:rPr>
                <w:lang w:val="sv-SE"/>
              </w:rPr>
              <w:t>(16 x N1</w:t>
            </w:r>
            <w:r w:rsidRPr="00950DA1">
              <w:rPr>
                <w:rFonts w:cs="Arial"/>
                <w:lang w:val="sv-SE" w:eastAsia="zh-CN"/>
              </w:rPr>
              <w:t xml:space="preserve"> x M2</w:t>
            </w:r>
            <w:r>
              <w:rPr>
                <w:rFonts w:cs="Arial"/>
                <w:lang w:val="sv-SE" w:eastAsia="zh-CN"/>
              </w:rPr>
              <w:t xml:space="preserve"> x K1</w:t>
            </w:r>
            <w:r w:rsidRPr="00950DA1">
              <w:rPr>
                <w:lang w:val="sv-SE"/>
              </w:rPr>
              <w:t>)</w:t>
            </w:r>
          </w:p>
        </w:tc>
      </w:tr>
      <w:tr w:rsidR="00D77779" w:rsidRPr="00885F53" w14:paraId="4ADB92E9"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CD9D7CD" w14:textId="77777777" w:rsidR="00D77779" w:rsidRPr="00885F53" w:rsidRDefault="00D77779" w:rsidP="008B25C8">
            <w:pPr>
              <w:pStyle w:val="TAC"/>
            </w:pPr>
            <w:r w:rsidRPr="00885F53">
              <w:t>0.64</w:t>
            </w:r>
          </w:p>
        </w:tc>
        <w:tc>
          <w:tcPr>
            <w:tcW w:w="0" w:type="auto"/>
            <w:tcBorders>
              <w:top w:val="nil"/>
              <w:left w:val="single" w:sz="4" w:space="0" w:color="auto"/>
              <w:bottom w:val="nil"/>
              <w:right w:val="single" w:sz="4" w:space="0" w:color="auto"/>
            </w:tcBorders>
            <w:hideMark/>
          </w:tcPr>
          <w:p w14:paraId="6C38A272" w14:textId="77777777" w:rsidR="00D77779" w:rsidRPr="00885F53" w:rsidRDefault="00D77779" w:rsidP="008B25C8">
            <w:pPr>
              <w:pStyle w:val="TAC"/>
            </w:pPr>
          </w:p>
        </w:tc>
        <w:tc>
          <w:tcPr>
            <w:tcW w:w="0" w:type="auto"/>
            <w:tcBorders>
              <w:top w:val="single" w:sz="4" w:space="0" w:color="auto"/>
              <w:left w:val="single" w:sz="4" w:space="0" w:color="auto"/>
              <w:bottom w:val="single" w:sz="4" w:space="0" w:color="auto"/>
              <w:right w:val="single" w:sz="4" w:space="0" w:color="auto"/>
            </w:tcBorders>
            <w:hideMark/>
          </w:tcPr>
          <w:p w14:paraId="53BCDA7C" w14:textId="77777777" w:rsidR="00D77779" w:rsidRPr="00885F53" w:rsidRDefault="00D77779" w:rsidP="008B25C8">
            <w:pPr>
              <w:pStyle w:val="TAC"/>
            </w:pPr>
            <w:r w:rsidRPr="00885F53">
              <w:t>5</w:t>
            </w:r>
          </w:p>
        </w:tc>
        <w:tc>
          <w:tcPr>
            <w:tcW w:w="0" w:type="auto"/>
            <w:tcBorders>
              <w:top w:val="single" w:sz="4" w:space="0" w:color="auto"/>
              <w:left w:val="single" w:sz="4" w:space="0" w:color="auto"/>
              <w:bottom w:val="single" w:sz="4" w:space="0" w:color="auto"/>
              <w:right w:val="single" w:sz="4" w:space="0" w:color="auto"/>
            </w:tcBorders>
            <w:hideMark/>
          </w:tcPr>
          <w:p w14:paraId="0F16B69E" w14:textId="77777777" w:rsidR="00D77779" w:rsidRPr="00885F53" w:rsidRDefault="00D77779" w:rsidP="008B25C8">
            <w:pPr>
              <w:pStyle w:val="TAC"/>
            </w:pPr>
            <w:r w:rsidRPr="00885F53">
              <w:t>17.92 x N1</w:t>
            </w:r>
            <w:r>
              <w:rPr>
                <w:rFonts w:cs="Arial"/>
                <w:lang w:val="sv-SE" w:eastAsia="zh-CN"/>
              </w:rPr>
              <w:t xml:space="preserve"> x K1</w:t>
            </w:r>
            <w:r w:rsidRPr="00885F53">
              <w:t xml:space="preserve"> (28 x N1</w:t>
            </w:r>
            <w:r>
              <w:t xml:space="preserve"> </w:t>
            </w:r>
            <w:r>
              <w:rPr>
                <w:rFonts w:cs="Arial"/>
                <w:lang w:val="sv-SE" w:eastAsia="zh-CN"/>
              </w:rPr>
              <w:t>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756890A1" w14:textId="77777777" w:rsidR="00D77779" w:rsidRPr="00885F53" w:rsidRDefault="00D77779" w:rsidP="008B25C8">
            <w:pPr>
              <w:pStyle w:val="TAC"/>
            </w:pPr>
            <w:r w:rsidRPr="00885F53">
              <w:t>1.28 x N1</w:t>
            </w:r>
            <w:r>
              <w:rPr>
                <w:rFonts w:cs="Arial"/>
                <w:lang w:val="sv-SE" w:eastAsia="zh-CN"/>
              </w:rPr>
              <w:t xml:space="preserve"> x K1</w:t>
            </w:r>
            <w:r w:rsidRPr="00885F53">
              <w:t xml:space="preserve"> (2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47816A65" w14:textId="77777777" w:rsidR="00D77779" w:rsidRPr="00885F53" w:rsidRDefault="00D77779" w:rsidP="008B25C8">
            <w:pPr>
              <w:pStyle w:val="TAC"/>
            </w:pPr>
            <w:r w:rsidRPr="00885F53">
              <w:t>5.12 x N1</w:t>
            </w:r>
            <w:r>
              <w:rPr>
                <w:rFonts w:cs="Arial"/>
                <w:lang w:val="sv-SE" w:eastAsia="zh-CN"/>
              </w:rPr>
              <w:t xml:space="preserve"> x K1</w:t>
            </w:r>
            <w:r w:rsidRPr="00885F53">
              <w:t xml:space="preserve"> (8 x N1</w:t>
            </w:r>
            <w:r>
              <w:rPr>
                <w:rFonts w:cs="Arial"/>
                <w:lang w:val="sv-SE" w:eastAsia="zh-CN"/>
              </w:rPr>
              <w:t xml:space="preserve"> x K1</w:t>
            </w:r>
            <w:r w:rsidRPr="00885F53">
              <w:t>)</w:t>
            </w:r>
          </w:p>
        </w:tc>
      </w:tr>
      <w:tr w:rsidR="00D77779" w:rsidRPr="00885F53" w14:paraId="74EE8B68"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49FD5E6" w14:textId="77777777" w:rsidR="00D77779" w:rsidRPr="00885F53" w:rsidRDefault="00D77779" w:rsidP="008B25C8">
            <w:pPr>
              <w:pStyle w:val="TAC"/>
            </w:pPr>
            <w:r w:rsidRPr="00885F53">
              <w:t>1.28</w:t>
            </w:r>
          </w:p>
        </w:tc>
        <w:tc>
          <w:tcPr>
            <w:tcW w:w="0" w:type="auto"/>
            <w:tcBorders>
              <w:top w:val="nil"/>
              <w:left w:val="single" w:sz="4" w:space="0" w:color="auto"/>
              <w:bottom w:val="nil"/>
              <w:right w:val="single" w:sz="4" w:space="0" w:color="auto"/>
            </w:tcBorders>
            <w:hideMark/>
          </w:tcPr>
          <w:p w14:paraId="62DDCFEA" w14:textId="77777777" w:rsidR="00D77779" w:rsidRPr="00885F53" w:rsidRDefault="00D77779" w:rsidP="008B25C8">
            <w:pPr>
              <w:pStyle w:val="TAC"/>
            </w:pPr>
          </w:p>
        </w:tc>
        <w:tc>
          <w:tcPr>
            <w:tcW w:w="0" w:type="auto"/>
            <w:tcBorders>
              <w:top w:val="single" w:sz="4" w:space="0" w:color="auto"/>
              <w:left w:val="single" w:sz="4" w:space="0" w:color="auto"/>
              <w:bottom w:val="single" w:sz="4" w:space="0" w:color="auto"/>
              <w:right w:val="single" w:sz="4" w:space="0" w:color="auto"/>
            </w:tcBorders>
            <w:hideMark/>
          </w:tcPr>
          <w:p w14:paraId="727E2B68" w14:textId="77777777" w:rsidR="00D77779" w:rsidRPr="00885F53" w:rsidRDefault="00D77779" w:rsidP="008B25C8">
            <w:pPr>
              <w:pStyle w:val="TAC"/>
            </w:pPr>
            <w:r w:rsidRPr="00885F53">
              <w:t>4</w:t>
            </w:r>
          </w:p>
        </w:tc>
        <w:tc>
          <w:tcPr>
            <w:tcW w:w="0" w:type="auto"/>
            <w:tcBorders>
              <w:top w:val="single" w:sz="4" w:space="0" w:color="auto"/>
              <w:left w:val="single" w:sz="4" w:space="0" w:color="auto"/>
              <w:bottom w:val="single" w:sz="4" w:space="0" w:color="auto"/>
              <w:right w:val="single" w:sz="4" w:space="0" w:color="auto"/>
            </w:tcBorders>
            <w:hideMark/>
          </w:tcPr>
          <w:p w14:paraId="6D542818" w14:textId="77777777" w:rsidR="00D77779" w:rsidRPr="00885F53" w:rsidRDefault="00D77779" w:rsidP="008B25C8">
            <w:pPr>
              <w:pStyle w:val="TAC"/>
            </w:pPr>
            <w:r w:rsidRPr="00885F53">
              <w:t>32 x N1</w:t>
            </w:r>
            <w:r>
              <w:rPr>
                <w:rFonts w:cs="Arial"/>
                <w:lang w:val="sv-SE" w:eastAsia="zh-CN"/>
              </w:rPr>
              <w:t xml:space="preserve"> x K1</w:t>
            </w:r>
            <w:r w:rsidRPr="00885F53">
              <w:t xml:space="preserve"> (25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50930F89" w14:textId="77777777" w:rsidR="00D77779" w:rsidRPr="00885F53" w:rsidRDefault="00D77779" w:rsidP="008B25C8">
            <w:pPr>
              <w:pStyle w:val="TAC"/>
            </w:pPr>
            <w:r w:rsidRPr="00885F53">
              <w:t>1.28 x N1</w:t>
            </w:r>
            <w:r>
              <w:rPr>
                <w:rFonts w:cs="Arial"/>
                <w:lang w:val="sv-SE" w:eastAsia="zh-CN"/>
              </w:rPr>
              <w:t xml:space="preserve"> x K1</w:t>
            </w:r>
            <w:r w:rsidRPr="00885F53">
              <w:t xml:space="preserve"> (1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34C7ED7C" w14:textId="77777777" w:rsidR="00D77779" w:rsidRPr="00885F53" w:rsidRDefault="00D77779" w:rsidP="008B25C8">
            <w:pPr>
              <w:pStyle w:val="TAC"/>
            </w:pPr>
            <w:r w:rsidRPr="00885F53">
              <w:t>6.4 x N1</w:t>
            </w:r>
            <w:r>
              <w:rPr>
                <w:rFonts w:cs="Arial"/>
                <w:lang w:val="sv-SE" w:eastAsia="zh-CN"/>
              </w:rPr>
              <w:t xml:space="preserve"> x K1</w:t>
            </w:r>
            <w:r w:rsidRPr="00885F53">
              <w:t xml:space="preserve"> (5 x N1</w:t>
            </w:r>
            <w:r>
              <w:rPr>
                <w:rFonts w:cs="Arial"/>
                <w:lang w:val="sv-SE" w:eastAsia="zh-CN"/>
              </w:rPr>
              <w:t xml:space="preserve"> x K1</w:t>
            </w:r>
            <w:r w:rsidRPr="00885F53">
              <w:t>)</w:t>
            </w:r>
          </w:p>
        </w:tc>
      </w:tr>
      <w:tr w:rsidR="00D77779" w:rsidRPr="00885F53" w14:paraId="70DB198E"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E66FB0E" w14:textId="77777777" w:rsidR="00D77779" w:rsidRPr="00885F53" w:rsidRDefault="00D77779" w:rsidP="008B25C8">
            <w:pPr>
              <w:pStyle w:val="TAC"/>
            </w:pPr>
            <w:r w:rsidRPr="00885F53">
              <w:t>2.56</w:t>
            </w:r>
          </w:p>
        </w:tc>
        <w:tc>
          <w:tcPr>
            <w:tcW w:w="0" w:type="auto"/>
            <w:tcBorders>
              <w:top w:val="nil"/>
              <w:left w:val="single" w:sz="4" w:space="0" w:color="auto"/>
              <w:bottom w:val="single" w:sz="4" w:space="0" w:color="auto"/>
              <w:right w:val="single" w:sz="4" w:space="0" w:color="auto"/>
            </w:tcBorders>
            <w:hideMark/>
          </w:tcPr>
          <w:p w14:paraId="4FBA460A" w14:textId="77777777" w:rsidR="00D77779" w:rsidRPr="00885F53" w:rsidRDefault="00D77779" w:rsidP="008B25C8">
            <w:pPr>
              <w:pStyle w:val="TAC"/>
            </w:pPr>
          </w:p>
        </w:tc>
        <w:tc>
          <w:tcPr>
            <w:tcW w:w="0" w:type="auto"/>
            <w:tcBorders>
              <w:top w:val="single" w:sz="4" w:space="0" w:color="auto"/>
              <w:left w:val="single" w:sz="4" w:space="0" w:color="auto"/>
              <w:bottom w:val="single" w:sz="4" w:space="0" w:color="auto"/>
              <w:right w:val="single" w:sz="4" w:space="0" w:color="auto"/>
            </w:tcBorders>
            <w:hideMark/>
          </w:tcPr>
          <w:p w14:paraId="381DD483" w14:textId="77777777" w:rsidR="00D77779" w:rsidRPr="00885F53" w:rsidRDefault="00D77779" w:rsidP="008B25C8">
            <w:pPr>
              <w:pStyle w:val="TAC"/>
              <w:rPr>
                <w:rFonts w:cs="Arial"/>
                <w:lang w:eastAsia="zh-CN"/>
              </w:rPr>
            </w:pPr>
            <w:r w:rsidRPr="00885F53">
              <w:rPr>
                <w:rFonts w:cs="Arial"/>
                <w:lang w:eastAsia="zh-CN"/>
              </w:rPr>
              <w:t>3</w:t>
            </w:r>
          </w:p>
        </w:tc>
        <w:tc>
          <w:tcPr>
            <w:tcW w:w="0" w:type="auto"/>
            <w:tcBorders>
              <w:top w:val="single" w:sz="4" w:space="0" w:color="auto"/>
              <w:left w:val="single" w:sz="4" w:space="0" w:color="auto"/>
              <w:bottom w:val="single" w:sz="4" w:space="0" w:color="auto"/>
              <w:right w:val="single" w:sz="4" w:space="0" w:color="auto"/>
            </w:tcBorders>
            <w:hideMark/>
          </w:tcPr>
          <w:p w14:paraId="6B6E6820" w14:textId="77777777" w:rsidR="00D77779" w:rsidRPr="00885F53" w:rsidRDefault="00D77779" w:rsidP="008B25C8">
            <w:pPr>
              <w:pStyle w:val="TAC"/>
            </w:pPr>
            <w:r w:rsidRPr="00885F53">
              <w:rPr>
                <w:rFonts w:cs="Arial"/>
                <w:lang w:eastAsia="zh-CN"/>
              </w:rPr>
              <w:t>58.88</w:t>
            </w:r>
            <w:r w:rsidRPr="00885F53">
              <w:t xml:space="preserve"> x N1</w:t>
            </w:r>
            <w:r>
              <w:rPr>
                <w:rFonts w:cs="Arial"/>
                <w:lang w:val="sv-SE" w:eastAsia="zh-CN"/>
              </w:rPr>
              <w:t xml:space="preserve"> x K1</w:t>
            </w:r>
            <w:r w:rsidRPr="00885F53">
              <w:t xml:space="preserve"> (23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059D78DB" w14:textId="77777777" w:rsidR="00D77779" w:rsidRPr="00885F53" w:rsidRDefault="00D77779" w:rsidP="008B25C8">
            <w:pPr>
              <w:pStyle w:val="TAC"/>
            </w:pPr>
            <w:r w:rsidRPr="00885F53">
              <w:t>2.56 x N1</w:t>
            </w:r>
            <w:r>
              <w:rPr>
                <w:rFonts w:cs="Arial"/>
                <w:lang w:val="sv-SE" w:eastAsia="zh-CN"/>
              </w:rPr>
              <w:t xml:space="preserve"> x K1</w:t>
            </w:r>
            <w:r w:rsidRPr="00885F53">
              <w:t xml:space="preserve"> (1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05322C53" w14:textId="77777777" w:rsidR="00D77779" w:rsidRPr="00885F53" w:rsidRDefault="00D77779" w:rsidP="008B25C8">
            <w:pPr>
              <w:pStyle w:val="TAC"/>
            </w:pPr>
            <w:r w:rsidRPr="00885F53">
              <w:t>7.68 x N1</w:t>
            </w:r>
            <w:r>
              <w:rPr>
                <w:rFonts w:cs="Arial"/>
                <w:lang w:val="sv-SE" w:eastAsia="zh-CN"/>
              </w:rPr>
              <w:t xml:space="preserve"> x K1</w:t>
            </w:r>
            <w:r w:rsidRPr="00885F53">
              <w:t xml:space="preserve"> (3 x N1</w:t>
            </w:r>
            <w:r>
              <w:rPr>
                <w:rFonts w:cs="Arial"/>
                <w:lang w:val="sv-SE" w:eastAsia="zh-CN"/>
              </w:rPr>
              <w:t xml:space="preserve"> x K1</w:t>
            </w:r>
            <w:r w:rsidRPr="00885F53">
              <w:t>)</w:t>
            </w:r>
          </w:p>
        </w:tc>
      </w:tr>
      <w:tr w:rsidR="00D77779" w:rsidRPr="00885F53" w14:paraId="1EF52D25" w14:textId="77777777" w:rsidTr="008B25C8">
        <w:trPr>
          <w:cantSplit/>
          <w:jc w:val="center"/>
        </w:trPr>
        <w:tc>
          <w:tcPr>
            <w:tcW w:w="0" w:type="auto"/>
            <w:gridSpan w:val="6"/>
            <w:tcBorders>
              <w:top w:val="single" w:sz="4" w:space="0" w:color="auto"/>
              <w:left w:val="single" w:sz="4" w:space="0" w:color="auto"/>
              <w:bottom w:val="single" w:sz="4" w:space="0" w:color="auto"/>
              <w:right w:val="single" w:sz="4" w:space="0" w:color="auto"/>
            </w:tcBorders>
            <w:hideMark/>
          </w:tcPr>
          <w:p w14:paraId="20705FA3" w14:textId="77777777" w:rsidR="00D77779" w:rsidRPr="00885F53" w:rsidRDefault="00D77779" w:rsidP="008B25C8">
            <w:pPr>
              <w:pStyle w:val="TAN"/>
              <w:rPr>
                <w:snapToGrid w:val="0"/>
                <w:lang w:eastAsia="zh-CN"/>
              </w:rPr>
            </w:pPr>
            <w:r w:rsidRPr="00885F53">
              <w:rPr>
                <w:snapToGrid w:val="0"/>
                <w:lang w:eastAsia="zh-CN"/>
              </w:rPr>
              <w:t>Note 1</w:t>
            </w:r>
            <w:r w:rsidRPr="00885F53">
              <w:t>:</w:t>
            </w:r>
            <w:r w:rsidRPr="00885F53">
              <w:rPr>
                <w:lang w:val="en-US"/>
              </w:rPr>
              <w:tab/>
            </w:r>
            <w:r w:rsidRPr="009C5807">
              <w:t xml:space="preserve">Applies for </w:t>
            </w:r>
            <w:r>
              <w:t xml:space="preserve">RedCap </w:t>
            </w:r>
            <w:r w:rsidRPr="009C5807">
              <w:t xml:space="preserve">UE </w:t>
            </w:r>
            <w:r>
              <w:t xml:space="preserve">of all </w:t>
            </w:r>
            <w:r w:rsidRPr="009C5807">
              <w:t xml:space="preserve">supporting </w:t>
            </w:r>
            <w:r>
              <w:t xml:space="preserve">FR2 </w:t>
            </w:r>
            <w:r w:rsidRPr="009C5807">
              <w:t>power class</w:t>
            </w:r>
            <w:r>
              <w:t>es</w:t>
            </w:r>
            <w:r w:rsidRPr="00885F53">
              <w:t>.</w:t>
            </w:r>
          </w:p>
          <w:p w14:paraId="1211BE38" w14:textId="77777777" w:rsidR="00D77779" w:rsidRPr="007D632B" w:rsidRDefault="00D77779" w:rsidP="008B25C8">
            <w:pPr>
              <w:pStyle w:val="TAN"/>
              <w:rPr>
                <w:snapToGrid w:val="0"/>
                <w:lang w:eastAsia="zh-CN"/>
              </w:rPr>
            </w:pPr>
            <w:r w:rsidRPr="00885F53">
              <w:rPr>
                <w:snapToGrid w:val="0"/>
                <w:lang w:eastAsia="zh-CN"/>
              </w:rPr>
              <w:t>Note 2:</w:t>
            </w:r>
            <w:r w:rsidRPr="00885F53">
              <w:rPr>
                <w:lang w:val="en-US"/>
              </w:rPr>
              <w:tab/>
            </w:r>
            <w:r w:rsidRPr="00885F53">
              <w:rPr>
                <w:snapToGrid w:val="0"/>
                <w:lang w:eastAsia="zh-CN"/>
              </w:rPr>
              <w:t xml:space="preserve">M2 = 1.5 if SMTC </w:t>
            </w:r>
            <w:r w:rsidRPr="00C83CA1">
              <w:rPr>
                <w:snapToGrid w:val="0"/>
                <w:lang w:eastAsia="zh-CN"/>
              </w:rPr>
              <w:t>periodicity</w:t>
            </w:r>
            <w:r w:rsidRPr="00EF59D1">
              <w:t xml:space="preserve"> </w:t>
            </w:r>
            <w:r w:rsidRPr="00EF59D1">
              <w:rPr>
                <w:snapToGrid w:val="0"/>
                <w:lang w:eastAsia="zh-CN"/>
              </w:rPr>
              <w:t>of measured intra-frequency cell &gt; 20 ms; otherwise M2=1.</w:t>
            </w:r>
            <w:r>
              <w:rPr>
                <w:snapToGrid w:val="0"/>
                <w:lang w:eastAsia="zh-CN"/>
              </w:rPr>
              <w:t xml:space="preserve"> </w:t>
            </w:r>
          </w:p>
          <w:p w14:paraId="4DBB2131" w14:textId="77777777" w:rsidR="00D77779" w:rsidRPr="00885F53" w:rsidRDefault="00D77779" w:rsidP="008B25C8">
            <w:pPr>
              <w:pStyle w:val="TAN"/>
            </w:pPr>
            <w:r w:rsidRPr="00E9086F">
              <w:rPr>
                <w:snapToGrid w:val="0"/>
                <w:lang w:eastAsia="zh-CN"/>
              </w:rPr>
              <w:t>Note 3:</w:t>
            </w:r>
            <w:r w:rsidRPr="00885F53">
              <w:rPr>
                <w:lang w:val="en-US"/>
              </w:rPr>
              <w:tab/>
            </w:r>
            <w:r w:rsidRPr="00E9086F">
              <w:rPr>
                <w:snapToGrid w:val="0"/>
                <w:lang w:eastAsia="zh-CN"/>
              </w:rPr>
              <w:t>K1 = 3</w:t>
            </w:r>
            <w:r w:rsidRPr="007C2D19">
              <w:rPr>
                <w:snapToGrid w:val="0"/>
                <w:lang w:eastAsia="zh-CN"/>
              </w:rPr>
              <w:t xml:space="preserve"> is</w:t>
            </w:r>
            <w:r w:rsidRPr="00C33767">
              <w:rPr>
                <w:snapToGrid w:val="0"/>
                <w:lang w:eastAsia="zh-CN"/>
              </w:rPr>
              <w:t xml:space="preserve"> the measu</w:t>
            </w:r>
            <w:r>
              <w:rPr>
                <w:snapToGrid w:val="0"/>
                <w:lang w:eastAsia="zh-CN"/>
              </w:rPr>
              <w:t xml:space="preserve">rement relaxation factor applicable for UE fulfilling the </w:t>
            </w:r>
            <w:r w:rsidRPr="001C6668">
              <w:rPr>
                <w:i/>
                <w:iCs/>
                <w:lang w:eastAsia="zh-CN"/>
              </w:rPr>
              <w:t>lowMobilityEvaluation</w:t>
            </w:r>
            <w:r w:rsidDel="004B26EA">
              <w:rPr>
                <w:i/>
                <w:iCs/>
                <w:lang w:eastAsia="zh-CN"/>
              </w:rPr>
              <w:t xml:space="preserve"> </w:t>
            </w:r>
            <w:r>
              <w:rPr>
                <w:lang w:eastAsia="zh-CN"/>
              </w:rPr>
              <w:t>[2]</w:t>
            </w:r>
            <w:r>
              <w:rPr>
                <w:snapToGrid w:val="0"/>
                <w:lang w:eastAsia="zh-CN"/>
              </w:rPr>
              <w:t xml:space="preserve"> criterion.</w:t>
            </w:r>
          </w:p>
        </w:tc>
      </w:tr>
    </w:tbl>
    <w:p w14:paraId="3ED19DD6" w14:textId="77777777" w:rsidR="00D77779" w:rsidRDefault="00D77779" w:rsidP="00D77779">
      <w:pPr>
        <w:rPr>
          <w:lang w:eastAsia="zh-CN"/>
        </w:rPr>
      </w:pPr>
    </w:p>
    <w:p w14:paraId="0AA0F9D4" w14:textId="77777777" w:rsidR="00D77779" w:rsidRPr="00327784" w:rsidRDefault="00D77779" w:rsidP="00DE2AEA">
      <w:pPr>
        <w:pStyle w:val="TH"/>
        <w:rPr>
          <w:lang w:val="en-US"/>
        </w:rPr>
      </w:pPr>
      <w:r w:rsidRPr="00327784">
        <w:rPr>
          <w:lang w:val="en-US"/>
        </w:rPr>
        <w:t>Table 4.2B.2.9.9-</w:t>
      </w:r>
      <w:r>
        <w:rPr>
          <w:lang w:val="en-US"/>
        </w:rPr>
        <w:t>3</w:t>
      </w:r>
      <w:r w:rsidRPr="00327784">
        <w:rPr>
          <w:lang w:val="en-US"/>
        </w:rPr>
        <w:t>: T</w:t>
      </w:r>
      <w:r w:rsidRPr="00327784">
        <w:rPr>
          <w:vertAlign w:val="subscript"/>
          <w:lang w:val="en-US"/>
        </w:rPr>
        <w:t>detect,NR_Intra_RedCap_Relax</w:t>
      </w:r>
      <w:r w:rsidRPr="00327784">
        <w:rPr>
          <w:lang w:val="en-US"/>
        </w:rPr>
        <w:t>, T</w:t>
      </w:r>
      <w:r w:rsidRPr="00327784">
        <w:rPr>
          <w:vertAlign w:val="subscript"/>
          <w:lang w:val="en-US"/>
        </w:rPr>
        <w:t>measure,NR_Intra_RedCap_Relax</w:t>
      </w:r>
      <w:r w:rsidRPr="00327784">
        <w:rPr>
          <w:lang w:val="en-US"/>
        </w:rPr>
        <w:t xml:space="preserve"> and T</w:t>
      </w:r>
      <w:r w:rsidRPr="00327784">
        <w:rPr>
          <w:vertAlign w:val="subscript"/>
          <w:lang w:val="en-US"/>
        </w:rPr>
        <w:t>evaluate,NR_Intra_RedCap_Relax</w:t>
      </w:r>
      <w:r w:rsidRPr="00327784">
        <w:rPr>
          <w:lang w:val="en-US"/>
        </w:rPr>
        <w:t xml:space="preserve"> for UE configured with eDRX_IDLE cycle</w:t>
      </w:r>
      <w:r>
        <w:rPr>
          <w:lang w:val="en-US"/>
        </w:rPr>
        <w:t xml:space="preserve"> </w:t>
      </w:r>
      <w:r>
        <w:t>(Frequency range FR1)</w:t>
      </w:r>
      <w:r w:rsidRPr="00327784">
        <w:rPr>
          <w:lang w:val="en-US"/>
        </w:rPr>
        <w:t xml:space="preserve"> 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3"/>
        <w:gridCol w:w="2667"/>
        <w:gridCol w:w="2808"/>
        <w:gridCol w:w="2791"/>
      </w:tblGrid>
      <w:tr w:rsidR="00D77779" w:rsidRPr="00885F53" w14:paraId="46381A66"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5C9D00BF" w14:textId="77777777" w:rsidR="00D77779" w:rsidRPr="00885F53" w:rsidRDefault="00D77779" w:rsidP="008B25C8">
            <w:pPr>
              <w:pStyle w:val="TAH"/>
            </w:pPr>
            <w:r w:rsidRPr="0082197E">
              <w:rPr>
                <w:rFonts w:cs="Arial"/>
              </w:rPr>
              <w:t>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0E328B36" w14:textId="77777777" w:rsidR="00D77779" w:rsidRPr="00885F53" w:rsidRDefault="00D77779" w:rsidP="008B25C8">
            <w:pPr>
              <w:pStyle w:val="TAH"/>
            </w:pPr>
            <w:r w:rsidRPr="0082197E">
              <w:rPr>
                <w:rFonts w:cs="Arial"/>
                <w:szCs w:val="18"/>
                <w:lang w:val="en-US"/>
              </w:rPr>
              <w:t>T</w:t>
            </w:r>
            <w:r w:rsidRPr="0082197E">
              <w:rPr>
                <w:rFonts w:cs="Arial"/>
                <w:szCs w:val="18"/>
                <w:vertAlign w:val="subscript"/>
                <w:lang w:val="en-US"/>
              </w:rPr>
              <w:t>detect,NR_Intra_RedCap</w:t>
            </w:r>
            <w:r>
              <w:rPr>
                <w:rFonts w:cs="Arial"/>
                <w:szCs w:val="18"/>
                <w:vertAlign w:val="subscript"/>
                <w:lang w:val="en-US"/>
              </w:rPr>
              <w:t>_Relax</w:t>
            </w:r>
            <w:r w:rsidRPr="0082197E">
              <w:rPr>
                <w:rFonts w:cs="Arial"/>
                <w:szCs w:val="18"/>
              </w:rPr>
              <w:t xml:space="preserve"> [s]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441358B4" w14:textId="77777777" w:rsidR="00D77779" w:rsidRPr="00885F53" w:rsidRDefault="00D77779" w:rsidP="008B25C8">
            <w:pPr>
              <w:pStyle w:val="TAH"/>
            </w:pPr>
            <w:r w:rsidRPr="0082197E">
              <w:rPr>
                <w:rFonts w:cs="Arial"/>
                <w:szCs w:val="18"/>
                <w:lang w:val="en-US"/>
              </w:rPr>
              <w:t>T</w:t>
            </w:r>
            <w:r w:rsidRPr="0082197E">
              <w:rPr>
                <w:rFonts w:cs="Arial"/>
                <w:szCs w:val="18"/>
                <w:vertAlign w:val="subscript"/>
                <w:lang w:val="en-US"/>
              </w:rPr>
              <w:t>measure,NR_Intra_RedCap</w:t>
            </w:r>
            <w:r>
              <w:rPr>
                <w:rFonts w:cs="Arial"/>
                <w:szCs w:val="18"/>
                <w:vertAlign w:val="subscript"/>
                <w:lang w:val="en-US"/>
              </w:rPr>
              <w:t>_Relax</w:t>
            </w:r>
            <w:r w:rsidRPr="0082197E">
              <w:rPr>
                <w:rFonts w:cs="Arial"/>
                <w:szCs w:val="18"/>
                <w:lang w:val="en-US"/>
              </w:rPr>
              <w:t xml:space="preserve"> </w:t>
            </w:r>
            <w:r w:rsidRPr="0082197E">
              <w:rPr>
                <w:rFonts w:cs="Arial"/>
                <w:szCs w:val="18"/>
              </w:rPr>
              <w:t xml:space="preserve">[s]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353ED32C" w14:textId="77777777" w:rsidR="00D77779" w:rsidRPr="00885F53" w:rsidRDefault="00D77779" w:rsidP="008B25C8">
            <w:pPr>
              <w:pStyle w:val="TAH"/>
            </w:pPr>
            <w:r w:rsidRPr="00AD5C2C">
              <w:rPr>
                <w:rFonts w:cs="Arial"/>
                <w:szCs w:val="18"/>
                <w:lang w:val="en-US"/>
              </w:rPr>
              <w:t>T</w:t>
            </w:r>
            <w:r w:rsidRPr="00AD5C2C">
              <w:rPr>
                <w:rFonts w:cs="Arial"/>
                <w:szCs w:val="18"/>
                <w:vertAlign w:val="subscript"/>
                <w:lang w:val="en-US"/>
              </w:rPr>
              <w:t>evaluate,NR_Intra_RedCap</w:t>
            </w:r>
            <w:r>
              <w:rPr>
                <w:rFonts w:cs="Arial"/>
                <w:szCs w:val="18"/>
                <w:vertAlign w:val="subscript"/>
                <w:lang w:val="en-US"/>
              </w:rPr>
              <w:t>_Relax</w:t>
            </w:r>
            <w:r w:rsidRPr="00AD5C2C">
              <w:rPr>
                <w:rFonts w:cs="Arial"/>
                <w:szCs w:val="18"/>
                <w:vertAlign w:val="subscript"/>
                <w:lang w:val="en-US"/>
              </w:rPr>
              <w:t xml:space="preserve"> </w:t>
            </w:r>
            <w:r w:rsidRPr="00AD5C2C">
              <w:rPr>
                <w:rFonts w:cs="Arial"/>
                <w:szCs w:val="18"/>
              </w:rPr>
              <w:t xml:space="preserve">[s] (number of </w:t>
            </w:r>
            <w:r>
              <w:rPr>
                <w:rFonts w:cs="Arial"/>
                <w:szCs w:val="18"/>
              </w:rPr>
              <w:t>e</w:t>
            </w:r>
            <w:r w:rsidRPr="00AD5C2C">
              <w:rPr>
                <w:rFonts w:cs="Arial"/>
                <w:szCs w:val="18"/>
              </w:rPr>
              <w:t xml:space="preserve">DRX </w:t>
            </w:r>
            <w:r>
              <w:rPr>
                <w:rFonts w:cs="Arial"/>
                <w:szCs w:val="18"/>
              </w:rPr>
              <w:t xml:space="preserve">IDLE </w:t>
            </w:r>
            <w:r w:rsidRPr="00AD5C2C">
              <w:rPr>
                <w:rFonts w:cs="Arial"/>
                <w:szCs w:val="18"/>
              </w:rPr>
              <w:t>cycles)</w:t>
            </w:r>
          </w:p>
        </w:tc>
      </w:tr>
      <w:tr w:rsidR="00D77779" w:rsidRPr="00885F53" w14:paraId="50E03529" w14:textId="77777777" w:rsidTr="008B25C8">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159859B" w14:textId="77777777" w:rsidR="00D77779" w:rsidRPr="00885F53"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78140" w14:textId="77777777" w:rsidR="00D77779" w:rsidRPr="00885F53"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D62422" w14:textId="77777777" w:rsidR="00D77779" w:rsidRPr="00885F53"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34E273" w14:textId="77777777" w:rsidR="00D77779" w:rsidRPr="00885F53" w:rsidRDefault="00D77779" w:rsidP="008B25C8">
            <w:pPr>
              <w:pStyle w:val="TAH"/>
            </w:pPr>
          </w:p>
        </w:tc>
      </w:tr>
      <w:tr w:rsidR="00D77779" w:rsidRPr="00EA7096" w14:paraId="48D3695B"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4644880" w14:textId="77777777" w:rsidR="00D77779" w:rsidRPr="00885F53" w:rsidRDefault="00D77779" w:rsidP="008B25C8">
            <w:pPr>
              <w:pStyle w:val="TAC"/>
            </w:pPr>
            <w:r w:rsidRPr="00885F53">
              <w:t>2.56</w:t>
            </w:r>
          </w:p>
        </w:tc>
        <w:tc>
          <w:tcPr>
            <w:tcW w:w="0" w:type="auto"/>
            <w:tcBorders>
              <w:top w:val="single" w:sz="4" w:space="0" w:color="auto"/>
              <w:left w:val="single" w:sz="4" w:space="0" w:color="auto"/>
              <w:bottom w:val="single" w:sz="4" w:space="0" w:color="auto"/>
              <w:right w:val="single" w:sz="4" w:space="0" w:color="auto"/>
            </w:tcBorders>
            <w:hideMark/>
          </w:tcPr>
          <w:p w14:paraId="563E31D6" w14:textId="77777777" w:rsidR="00D77779" w:rsidRPr="00950DA1" w:rsidRDefault="00D77779" w:rsidP="008B25C8">
            <w:pPr>
              <w:pStyle w:val="TAC"/>
              <w:rPr>
                <w:lang w:val="sv-SE"/>
              </w:rPr>
            </w:pPr>
            <w:r w:rsidRPr="00806346">
              <w:rPr>
                <w:rFonts w:cs="Arial"/>
                <w:szCs w:val="18"/>
                <w:lang w:val="sv-SE"/>
              </w:rPr>
              <w:t xml:space="preserve">58.88 x </w:t>
            </w:r>
            <w:r>
              <w:rPr>
                <w:rFonts w:cs="Arial"/>
                <w:szCs w:val="18"/>
                <w:lang w:val="sv-SE"/>
              </w:rPr>
              <w:t>K1</w:t>
            </w:r>
            <w:r w:rsidRPr="00806346">
              <w:rPr>
                <w:rFonts w:cs="Arial"/>
                <w:szCs w:val="18"/>
                <w:lang w:val="sv-SE"/>
              </w:rPr>
              <w:t xml:space="preserve"> (23 x </w:t>
            </w:r>
            <w:r>
              <w:rPr>
                <w:rFonts w:cs="Arial"/>
                <w:szCs w:val="18"/>
                <w:lang w:val="sv-SE"/>
              </w:rPr>
              <w:t>K1</w:t>
            </w:r>
            <w:r w:rsidRPr="00806346">
              <w:rPr>
                <w:rFonts w:cs="Arial"/>
                <w:szCs w:val="18"/>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2B0AC8B1" w14:textId="77777777" w:rsidR="00D77779" w:rsidRPr="00950DA1" w:rsidRDefault="00D77779" w:rsidP="008B25C8">
            <w:pPr>
              <w:pStyle w:val="TAC"/>
              <w:rPr>
                <w:lang w:val="sv-SE"/>
              </w:rPr>
            </w:pPr>
            <w:r w:rsidRPr="00806346">
              <w:rPr>
                <w:rFonts w:cs="Arial"/>
                <w:szCs w:val="18"/>
                <w:lang w:val="sv-SE"/>
              </w:rPr>
              <w:t xml:space="preserve">2.56 x </w:t>
            </w:r>
            <w:r>
              <w:rPr>
                <w:rFonts w:cs="Arial"/>
                <w:szCs w:val="18"/>
                <w:lang w:val="sv-SE"/>
              </w:rPr>
              <w:t>K1</w:t>
            </w:r>
            <w:r w:rsidRPr="00806346">
              <w:rPr>
                <w:rFonts w:cs="Arial"/>
                <w:szCs w:val="18"/>
                <w:lang w:val="sv-SE"/>
              </w:rPr>
              <w:t xml:space="preserve"> (1 x </w:t>
            </w:r>
            <w:r>
              <w:rPr>
                <w:rFonts w:cs="Arial"/>
                <w:szCs w:val="18"/>
                <w:lang w:val="sv-SE"/>
              </w:rPr>
              <w:t>K1</w:t>
            </w:r>
            <w:r w:rsidRPr="00806346">
              <w:rPr>
                <w:rFonts w:cs="Arial"/>
                <w:szCs w:val="18"/>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57C201FF" w14:textId="77777777" w:rsidR="00D77779" w:rsidRPr="00950DA1" w:rsidRDefault="00D77779" w:rsidP="008B25C8">
            <w:pPr>
              <w:pStyle w:val="TAC"/>
              <w:rPr>
                <w:lang w:val="sv-SE"/>
              </w:rPr>
            </w:pPr>
            <w:r w:rsidRPr="00806346">
              <w:rPr>
                <w:rFonts w:cs="Arial"/>
                <w:szCs w:val="18"/>
                <w:lang w:val="sv-SE"/>
              </w:rPr>
              <w:t xml:space="preserve">7.68 x </w:t>
            </w:r>
            <w:r>
              <w:rPr>
                <w:rFonts w:cs="Arial"/>
                <w:szCs w:val="18"/>
                <w:lang w:val="sv-SE"/>
              </w:rPr>
              <w:t>K1</w:t>
            </w:r>
            <w:r w:rsidRPr="00806346">
              <w:rPr>
                <w:rFonts w:cs="Arial"/>
                <w:szCs w:val="18"/>
                <w:lang w:val="sv-SE"/>
              </w:rPr>
              <w:t xml:space="preserve"> (3 x </w:t>
            </w:r>
            <w:r>
              <w:rPr>
                <w:rFonts w:cs="Arial"/>
                <w:szCs w:val="18"/>
                <w:lang w:val="sv-SE"/>
              </w:rPr>
              <w:t>K1</w:t>
            </w:r>
            <w:r w:rsidRPr="00806346">
              <w:rPr>
                <w:rFonts w:cs="Arial"/>
                <w:szCs w:val="18"/>
                <w:lang w:val="sv-SE"/>
              </w:rPr>
              <w:t>)</w:t>
            </w:r>
          </w:p>
        </w:tc>
      </w:tr>
      <w:tr w:rsidR="00D77779" w:rsidRPr="00885F53" w14:paraId="3F013AC0"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17D9A1A" w14:textId="77777777" w:rsidR="00D77779" w:rsidRPr="00885F53" w:rsidRDefault="00D77779" w:rsidP="008B25C8">
            <w:pPr>
              <w:pStyle w:val="TAC"/>
            </w:pPr>
            <w:r w:rsidRPr="00C23796">
              <w:rPr>
                <w:rFonts w:cs="Arial"/>
                <w:szCs w:val="18"/>
              </w:rPr>
              <w:t>5.12</w:t>
            </w:r>
          </w:p>
        </w:tc>
        <w:tc>
          <w:tcPr>
            <w:tcW w:w="0" w:type="auto"/>
            <w:tcBorders>
              <w:top w:val="single" w:sz="4" w:space="0" w:color="auto"/>
              <w:left w:val="single" w:sz="4" w:space="0" w:color="auto"/>
              <w:bottom w:val="single" w:sz="4" w:space="0" w:color="auto"/>
              <w:right w:val="single" w:sz="4" w:space="0" w:color="auto"/>
            </w:tcBorders>
            <w:hideMark/>
          </w:tcPr>
          <w:p w14:paraId="7A8DD3AC" w14:textId="77777777" w:rsidR="00D77779" w:rsidRPr="00885F53" w:rsidRDefault="00D77779" w:rsidP="008B25C8">
            <w:pPr>
              <w:pStyle w:val="TAC"/>
            </w:pPr>
            <w:r w:rsidRPr="006F2E0A">
              <w:rPr>
                <w:rFonts w:cs="Arial"/>
                <w:szCs w:val="18"/>
              </w:rPr>
              <w:t>117.76</w:t>
            </w:r>
            <w:r w:rsidRPr="00806346">
              <w:rPr>
                <w:rFonts w:cs="Arial"/>
                <w:szCs w:val="18"/>
                <w:lang w:val="sv-SE"/>
              </w:rPr>
              <w:t xml:space="preserve"> x </w:t>
            </w:r>
            <w:r>
              <w:rPr>
                <w:rFonts w:cs="Arial"/>
                <w:szCs w:val="18"/>
              </w:rPr>
              <w:t>K1</w:t>
            </w:r>
            <w:r w:rsidRPr="00C23796">
              <w:rPr>
                <w:rFonts w:cs="Arial"/>
                <w:szCs w:val="18"/>
              </w:rPr>
              <w:t xml:space="preserve"> (23</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2DFE73FB" w14:textId="77777777" w:rsidR="00D77779" w:rsidRPr="00885F53" w:rsidRDefault="00D77779" w:rsidP="008B25C8">
            <w:pPr>
              <w:pStyle w:val="TAC"/>
            </w:pPr>
            <w:r w:rsidRPr="006F2E0A">
              <w:rPr>
                <w:rFonts w:cs="Arial"/>
                <w:szCs w:val="18"/>
              </w:rPr>
              <w:t>5.12</w:t>
            </w:r>
            <w:r w:rsidRPr="00806346">
              <w:rPr>
                <w:rFonts w:cs="Arial"/>
                <w:szCs w:val="18"/>
                <w:lang w:val="sv-SE"/>
              </w:rPr>
              <w:t xml:space="preserve"> x </w:t>
            </w:r>
            <w:r>
              <w:rPr>
                <w:rFonts w:cs="Arial"/>
                <w:szCs w:val="18"/>
              </w:rPr>
              <w:t>K1</w:t>
            </w:r>
            <w:r w:rsidRPr="00C23796">
              <w:rPr>
                <w:rFonts w:cs="Arial"/>
                <w:szCs w:val="18"/>
              </w:rPr>
              <w:t xml:space="preserve"> (1</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15B43FD3" w14:textId="77777777" w:rsidR="00D77779" w:rsidRPr="00885F53" w:rsidRDefault="00D77779" w:rsidP="008B25C8">
            <w:pPr>
              <w:pStyle w:val="TAC"/>
            </w:pPr>
            <w:r w:rsidRPr="006F2E0A">
              <w:rPr>
                <w:rFonts w:cs="Arial"/>
                <w:szCs w:val="18"/>
              </w:rPr>
              <w:t>10.24</w:t>
            </w:r>
            <w:r w:rsidRPr="00806346">
              <w:rPr>
                <w:rFonts w:cs="Arial"/>
                <w:szCs w:val="18"/>
                <w:lang w:val="sv-SE"/>
              </w:rPr>
              <w:t xml:space="preserve"> x </w:t>
            </w:r>
            <w:r>
              <w:rPr>
                <w:rFonts w:cs="Arial"/>
                <w:szCs w:val="18"/>
              </w:rPr>
              <w:t>K1</w:t>
            </w:r>
            <w:r w:rsidRPr="00C23796">
              <w:rPr>
                <w:rFonts w:cs="Arial"/>
                <w:szCs w:val="18"/>
              </w:rPr>
              <w:t xml:space="preserve"> (2</w:t>
            </w:r>
            <w:r w:rsidRPr="00806346">
              <w:rPr>
                <w:rFonts w:cs="Arial"/>
                <w:szCs w:val="18"/>
                <w:lang w:val="sv-SE"/>
              </w:rPr>
              <w:t xml:space="preserve"> x </w:t>
            </w:r>
            <w:r>
              <w:rPr>
                <w:rFonts w:cs="Arial"/>
                <w:szCs w:val="18"/>
              </w:rPr>
              <w:t>K1</w:t>
            </w:r>
            <w:r w:rsidRPr="00C23796">
              <w:rPr>
                <w:rFonts w:cs="Arial"/>
                <w:szCs w:val="18"/>
              </w:rPr>
              <w:t>)</w:t>
            </w:r>
          </w:p>
        </w:tc>
      </w:tr>
      <w:tr w:rsidR="00D77779" w:rsidRPr="00885F53" w14:paraId="47E1FA8A"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D379AF6" w14:textId="77777777" w:rsidR="00D77779" w:rsidRPr="00885F53" w:rsidRDefault="00D77779" w:rsidP="008B25C8">
            <w:pPr>
              <w:pStyle w:val="TAC"/>
            </w:pPr>
            <w:r w:rsidRPr="00C23796">
              <w:rPr>
                <w:rFonts w:cs="Arial"/>
                <w:szCs w:val="18"/>
              </w:rPr>
              <w:t>10.24</w:t>
            </w:r>
          </w:p>
        </w:tc>
        <w:tc>
          <w:tcPr>
            <w:tcW w:w="0" w:type="auto"/>
            <w:tcBorders>
              <w:top w:val="single" w:sz="4" w:space="0" w:color="auto"/>
              <w:left w:val="single" w:sz="4" w:space="0" w:color="auto"/>
              <w:bottom w:val="single" w:sz="4" w:space="0" w:color="auto"/>
              <w:right w:val="single" w:sz="4" w:space="0" w:color="auto"/>
            </w:tcBorders>
            <w:hideMark/>
          </w:tcPr>
          <w:p w14:paraId="4940A695" w14:textId="77777777" w:rsidR="00D77779" w:rsidRPr="00885F53" w:rsidRDefault="00D77779" w:rsidP="008B25C8">
            <w:pPr>
              <w:pStyle w:val="TAC"/>
            </w:pPr>
            <w:r w:rsidRPr="006F2E0A">
              <w:rPr>
                <w:rFonts w:cs="Arial"/>
                <w:szCs w:val="18"/>
              </w:rPr>
              <w:t>235.52</w:t>
            </w:r>
            <w:r w:rsidRPr="00806346">
              <w:rPr>
                <w:rFonts w:cs="Arial"/>
                <w:szCs w:val="18"/>
                <w:lang w:val="sv-SE"/>
              </w:rPr>
              <w:t xml:space="preserve"> x </w:t>
            </w:r>
            <w:r>
              <w:rPr>
                <w:rFonts w:cs="Arial"/>
                <w:szCs w:val="18"/>
              </w:rPr>
              <w:t>K1</w:t>
            </w:r>
            <w:r w:rsidRPr="00C23796">
              <w:rPr>
                <w:rFonts w:cs="Arial"/>
                <w:szCs w:val="18"/>
              </w:rPr>
              <w:t xml:space="preserve"> (23</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50438C74" w14:textId="77777777" w:rsidR="00D77779" w:rsidRPr="00885F53" w:rsidRDefault="00D77779" w:rsidP="008B25C8">
            <w:pPr>
              <w:pStyle w:val="TAC"/>
            </w:pPr>
            <w:r w:rsidRPr="006F2E0A">
              <w:rPr>
                <w:rFonts w:cs="Arial"/>
                <w:szCs w:val="18"/>
              </w:rPr>
              <w:t>10.24</w:t>
            </w:r>
            <w:r w:rsidRPr="00806346">
              <w:rPr>
                <w:rFonts w:cs="Arial"/>
                <w:szCs w:val="18"/>
                <w:lang w:val="sv-SE"/>
              </w:rPr>
              <w:t xml:space="preserve"> x </w:t>
            </w:r>
            <w:r>
              <w:rPr>
                <w:rFonts w:cs="Arial"/>
                <w:szCs w:val="18"/>
              </w:rPr>
              <w:t>K1</w:t>
            </w:r>
            <w:r w:rsidRPr="00C23796">
              <w:rPr>
                <w:rFonts w:cs="Arial"/>
                <w:szCs w:val="18"/>
              </w:rPr>
              <w:t xml:space="preserve"> (1</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4A700E50" w14:textId="77777777" w:rsidR="00D77779" w:rsidRPr="00885F53" w:rsidRDefault="00D77779" w:rsidP="008B25C8">
            <w:pPr>
              <w:pStyle w:val="TAC"/>
            </w:pPr>
            <w:r w:rsidRPr="006F2E0A">
              <w:rPr>
                <w:rFonts w:cs="Arial"/>
                <w:szCs w:val="18"/>
              </w:rPr>
              <w:t>20.48</w:t>
            </w:r>
            <w:r w:rsidRPr="00806346">
              <w:rPr>
                <w:rFonts w:cs="Arial"/>
                <w:szCs w:val="18"/>
                <w:lang w:val="sv-SE"/>
              </w:rPr>
              <w:t xml:space="preserve"> x </w:t>
            </w:r>
            <w:r>
              <w:rPr>
                <w:rFonts w:cs="Arial"/>
                <w:szCs w:val="18"/>
              </w:rPr>
              <w:t>K1</w:t>
            </w:r>
            <w:r w:rsidRPr="00C23796">
              <w:rPr>
                <w:rFonts w:cs="Arial"/>
                <w:szCs w:val="18"/>
              </w:rPr>
              <w:t xml:space="preserve"> (2</w:t>
            </w:r>
            <w:r w:rsidRPr="00806346">
              <w:rPr>
                <w:rFonts w:cs="Arial"/>
                <w:szCs w:val="18"/>
                <w:lang w:val="sv-SE"/>
              </w:rPr>
              <w:t xml:space="preserve"> x </w:t>
            </w:r>
            <w:r>
              <w:rPr>
                <w:rFonts w:cs="Arial"/>
                <w:szCs w:val="18"/>
              </w:rPr>
              <w:t>K1</w:t>
            </w:r>
            <w:r w:rsidRPr="00C23796">
              <w:rPr>
                <w:rFonts w:cs="Arial"/>
                <w:szCs w:val="18"/>
              </w:rPr>
              <w:t>)</w:t>
            </w:r>
          </w:p>
        </w:tc>
      </w:tr>
      <w:tr w:rsidR="00D77779" w:rsidRPr="00885F53" w14:paraId="2D515904" w14:textId="77777777" w:rsidTr="008B25C8">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4355540D" w14:textId="77777777" w:rsidR="00D77779" w:rsidRPr="006D3EA9" w:rsidRDefault="00D77779" w:rsidP="008B25C8">
            <w:pPr>
              <w:pStyle w:val="TAN"/>
              <w:rPr>
                <w:snapToGrid w:val="0"/>
              </w:rPr>
            </w:pPr>
            <w:r w:rsidRPr="00885F53">
              <w:rPr>
                <w:snapToGrid w:val="0"/>
              </w:rPr>
              <w:t>Note 1</w:t>
            </w:r>
            <w:r w:rsidRPr="00885F53">
              <w:t>:</w:t>
            </w:r>
            <w:r w:rsidRPr="00885F53">
              <w:rPr>
                <w:lang w:val="en-US"/>
              </w:rPr>
              <w:tab/>
            </w:r>
            <w:r w:rsidRPr="009C5807">
              <w:t xml:space="preserve">Applies for </w:t>
            </w:r>
            <w:r>
              <w:t xml:space="preserve">RedCap </w:t>
            </w:r>
            <w:r w:rsidRPr="009C5807">
              <w:t xml:space="preserve">UE </w:t>
            </w:r>
            <w:r>
              <w:t xml:space="preserve">of all </w:t>
            </w:r>
            <w:r w:rsidRPr="009C5807">
              <w:t xml:space="preserve">supporting </w:t>
            </w:r>
            <w:r>
              <w:t xml:space="preserve">FR2 </w:t>
            </w:r>
            <w:r w:rsidRPr="009C5807">
              <w:t>power class</w:t>
            </w:r>
            <w:r>
              <w:t>es</w:t>
            </w:r>
            <w:r w:rsidRPr="00885F53">
              <w:t>.</w:t>
            </w:r>
          </w:p>
          <w:p w14:paraId="3B866159" w14:textId="77777777" w:rsidR="00D77779" w:rsidRPr="00885F53" w:rsidRDefault="00D77779" w:rsidP="008B25C8">
            <w:pPr>
              <w:pStyle w:val="TAN"/>
            </w:pPr>
            <w:r w:rsidRPr="00C23796">
              <w:rPr>
                <w:rFonts w:cs="Arial"/>
                <w:snapToGrid w:val="0"/>
                <w:szCs w:val="18"/>
              </w:rPr>
              <w:t xml:space="preserve">Note </w:t>
            </w:r>
            <w:r>
              <w:rPr>
                <w:rFonts w:cs="Arial"/>
                <w:snapToGrid w:val="0"/>
                <w:szCs w:val="18"/>
              </w:rPr>
              <w:t>2</w:t>
            </w:r>
            <w:r w:rsidRPr="00C23796">
              <w:rPr>
                <w:rFonts w:cs="Arial"/>
                <w:snapToGrid w:val="0"/>
                <w:szCs w:val="18"/>
              </w:rPr>
              <w:t>:</w:t>
            </w:r>
            <w:r w:rsidRPr="00C23796">
              <w:rPr>
                <w:rFonts w:cs="Arial"/>
                <w:snapToGrid w:val="0"/>
                <w:szCs w:val="18"/>
              </w:rPr>
              <w:tab/>
            </w:r>
            <w:r>
              <w:rPr>
                <w:rFonts w:cs="Arial"/>
                <w:snapToGrid w:val="0"/>
                <w:szCs w:val="18"/>
              </w:rPr>
              <w:t>K1</w:t>
            </w:r>
            <w:r w:rsidRPr="00C23796">
              <w:rPr>
                <w:rFonts w:cs="Arial"/>
                <w:snapToGrid w:val="0"/>
                <w:szCs w:val="18"/>
              </w:rPr>
              <w:t xml:space="preserve"> = </w:t>
            </w:r>
            <w:r>
              <w:rPr>
                <w:rFonts w:cs="Arial"/>
                <w:snapToGrid w:val="0"/>
                <w:szCs w:val="18"/>
              </w:rPr>
              <w:t>3</w:t>
            </w:r>
            <w:r w:rsidRPr="00C23796">
              <w:rPr>
                <w:rFonts w:cs="Arial"/>
                <w:snapToGrid w:val="0"/>
                <w:szCs w:val="18"/>
              </w:rPr>
              <w:t xml:space="preserve"> is the measurement relaxation factor applicable for UE fulfilling the </w:t>
            </w:r>
            <w:r w:rsidRPr="001C6668">
              <w:rPr>
                <w:i/>
                <w:iCs/>
              </w:rPr>
              <w:t>lowMobilityEvaluation</w:t>
            </w:r>
            <w:r w:rsidRPr="00C23796">
              <w:rPr>
                <w:rFonts w:cs="Arial"/>
                <w:snapToGrid w:val="0"/>
                <w:szCs w:val="18"/>
              </w:rPr>
              <w:t xml:space="preserve"> [2] criterion.</w:t>
            </w:r>
          </w:p>
        </w:tc>
      </w:tr>
    </w:tbl>
    <w:p w14:paraId="24D0C572" w14:textId="77777777" w:rsidR="00D77779" w:rsidRDefault="00D77779" w:rsidP="00DE2AEA">
      <w:pPr>
        <w:rPr>
          <w:lang w:val="en-US"/>
        </w:rPr>
      </w:pPr>
    </w:p>
    <w:p w14:paraId="78337BD4" w14:textId="77777777" w:rsidR="00D77779" w:rsidRPr="00327784" w:rsidRDefault="00D77779" w:rsidP="00DE2AEA">
      <w:pPr>
        <w:pStyle w:val="TH"/>
        <w:rPr>
          <w:lang w:val="en-US"/>
        </w:rPr>
      </w:pPr>
      <w:r w:rsidRPr="00327784">
        <w:rPr>
          <w:lang w:val="en-US"/>
        </w:rPr>
        <w:t>Table 4.2B.2.9.9-</w:t>
      </w:r>
      <w:r>
        <w:rPr>
          <w:lang w:val="en-US"/>
        </w:rPr>
        <w:t>4</w:t>
      </w:r>
      <w:r w:rsidRPr="00327784">
        <w:rPr>
          <w:lang w:val="en-US"/>
        </w:rPr>
        <w:t>: T</w:t>
      </w:r>
      <w:r w:rsidRPr="00327784">
        <w:rPr>
          <w:vertAlign w:val="subscript"/>
          <w:lang w:val="en-US"/>
        </w:rPr>
        <w:t>detect,NR_Intra_RedCap_Relax</w:t>
      </w:r>
      <w:r w:rsidRPr="00327784">
        <w:rPr>
          <w:lang w:val="en-US"/>
        </w:rPr>
        <w:t>, T</w:t>
      </w:r>
      <w:r w:rsidRPr="00327784">
        <w:rPr>
          <w:vertAlign w:val="subscript"/>
          <w:lang w:val="en-US"/>
        </w:rPr>
        <w:t>measure,NR_Intra_RedCap_Relax</w:t>
      </w:r>
      <w:r w:rsidRPr="00327784">
        <w:rPr>
          <w:lang w:val="en-US"/>
        </w:rPr>
        <w:t xml:space="preserve"> and T</w:t>
      </w:r>
      <w:r w:rsidRPr="00327784">
        <w:rPr>
          <w:vertAlign w:val="subscript"/>
          <w:lang w:val="en-US"/>
        </w:rPr>
        <w:t>evaluate,NR_Intra_RedCap_Relax</w:t>
      </w:r>
      <w:r w:rsidRPr="00327784">
        <w:rPr>
          <w:lang w:val="en-US"/>
        </w:rPr>
        <w:t xml:space="preserve"> for UE configured with eDRX_IDLE cycle</w:t>
      </w:r>
      <w:r>
        <w:rPr>
          <w:lang w:val="en-US"/>
        </w:rPr>
        <w:t xml:space="preserve"> </w:t>
      </w:r>
      <w:r>
        <w:t>(Frequency range FR2)</w:t>
      </w:r>
      <w:r w:rsidRPr="00327784">
        <w:rPr>
          <w:lang w:val="en-US"/>
        </w:rPr>
        <w:t xml:space="preserve"> 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3"/>
        <w:gridCol w:w="2667"/>
        <w:gridCol w:w="2808"/>
        <w:gridCol w:w="2791"/>
      </w:tblGrid>
      <w:tr w:rsidR="00D77779" w:rsidRPr="00885F53" w14:paraId="782251E6"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6A2276EA" w14:textId="77777777" w:rsidR="00D77779" w:rsidRPr="00885F53" w:rsidRDefault="00D77779" w:rsidP="008B25C8">
            <w:pPr>
              <w:pStyle w:val="TAH"/>
            </w:pPr>
            <w:r w:rsidRPr="0082197E">
              <w:rPr>
                <w:rFonts w:cs="Arial"/>
              </w:rPr>
              <w:t>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4738D56F" w14:textId="77777777" w:rsidR="00D77779" w:rsidRPr="00885F53" w:rsidRDefault="00D77779" w:rsidP="008B25C8">
            <w:pPr>
              <w:pStyle w:val="TAH"/>
            </w:pPr>
            <w:r w:rsidRPr="0082197E">
              <w:rPr>
                <w:rFonts w:cs="Arial"/>
                <w:szCs w:val="18"/>
                <w:lang w:val="en-US"/>
              </w:rPr>
              <w:t>T</w:t>
            </w:r>
            <w:r w:rsidRPr="0082197E">
              <w:rPr>
                <w:rFonts w:cs="Arial"/>
                <w:szCs w:val="18"/>
                <w:vertAlign w:val="subscript"/>
                <w:lang w:val="en-US"/>
              </w:rPr>
              <w:t>detect,NR_Intra_RedCap</w:t>
            </w:r>
            <w:r>
              <w:rPr>
                <w:rFonts w:cs="Arial"/>
                <w:szCs w:val="18"/>
                <w:vertAlign w:val="subscript"/>
                <w:lang w:val="en-US"/>
              </w:rPr>
              <w:t>_Relax</w:t>
            </w:r>
            <w:r w:rsidRPr="0082197E">
              <w:rPr>
                <w:rFonts w:cs="Arial"/>
                <w:szCs w:val="18"/>
              </w:rPr>
              <w:t xml:space="preserve"> [s]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6A60E8C6" w14:textId="77777777" w:rsidR="00D77779" w:rsidRPr="00885F53" w:rsidRDefault="00D77779" w:rsidP="008B25C8">
            <w:pPr>
              <w:pStyle w:val="TAH"/>
            </w:pPr>
            <w:r w:rsidRPr="0082197E">
              <w:rPr>
                <w:rFonts w:cs="Arial"/>
                <w:szCs w:val="18"/>
                <w:lang w:val="en-US"/>
              </w:rPr>
              <w:t>T</w:t>
            </w:r>
            <w:r w:rsidRPr="0082197E">
              <w:rPr>
                <w:rFonts w:cs="Arial"/>
                <w:szCs w:val="18"/>
                <w:vertAlign w:val="subscript"/>
                <w:lang w:val="en-US"/>
              </w:rPr>
              <w:t>measure,NR_Intra_RedCap</w:t>
            </w:r>
            <w:r>
              <w:rPr>
                <w:rFonts w:cs="Arial"/>
                <w:szCs w:val="18"/>
                <w:vertAlign w:val="subscript"/>
                <w:lang w:val="en-US"/>
              </w:rPr>
              <w:t>_Relax</w:t>
            </w:r>
            <w:r w:rsidRPr="0082197E">
              <w:rPr>
                <w:rFonts w:cs="Arial"/>
                <w:szCs w:val="18"/>
                <w:lang w:val="en-US"/>
              </w:rPr>
              <w:t xml:space="preserve"> </w:t>
            </w:r>
            <w:r w:rsidRPr="0082197E">
              <w:rPr>
                <w:rFonts w:cs="Arial"/>
                <w:szCs w:val="18"/>
              </w:rPr>
              <w:t xml:space="preserve">[s]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22CEF1E3" w14:textId="77777777" w:rsidR="00D77779" w:rsidRPr="00885F53" w:rsidRDefault="00D77779" w:rsidP="008B25C8">
            <w:pPr>
              <w:pStyle w:val="TAH"/>
            </w:pPr>
            <w:r w:rsidRPr="00AD5C2C">
              <w:rPr>
                <w:rFonts w:cs="Arial"/>
                <w:szCs w:val="18"/>
                <w:lang w:val="en-US"/>
              </w:rPr>
              <w:t>T</w:t>
            </w:r>
            <w:r w:rsidRPr="00AD5C2C">
              <w:rPr>
                <w:rFonts w:cs="Arial"/>
                <w:szCs w:val="18"/>
                <w:vertAlign w:val="subscript"/>
                <w:lang w:val="en-US"/>
              </w:rPr>
              <w:t>evaluate,NR_Intra_RedCap</w:t>
            </w:r>
            <w:r>
              <w:rPr>
                <w:rFonts w:cs="Arial"/>
                <w:szCs w:val="18"/>
                <w:vertAlign w:val="subscript"/>
                <w:lang w:val="en-US"/>
              </w:rPr>
              <w:t>_Relax</w:t>
            </w:r>
            <w:r w:rsidRPr="00AD5C2C">
              <w:rPr>
                <w:rFonts w:cs="Arial"/>
                <w:szCs w:val="18"/>
                <w:vertAlign w:val="subscript"/>
                <w:lang w:val="en-US"/>
              </w:rPr>
              <w:t xml:space="preserve"> </w:t>
            </w:r>
            <w:r w:rsidRPr="00AD5C2C">
              <w:rPr>
                <w:rFonts w:cs="Arial"/>
                <w:szCs w:val="18"/>
              </w:rPr>
              <w:t xml:space="preserve">[s] (number of </w:t>
            </w:r>
            <w:r>
              <w:rPr>
                <w:rFonts w:cs="Arial"/>
                <w:szCs w:val="18"/>
              </w:rPr>
              <w:t>e</w:t>
            </w:r>
            <w:r w:rsidRPr="00AD5C2C">
              <w:rPr>
                <w:rFonts w:cs="Arial"/>
                <w:szCs w:val="18"/>
              </w:rPr>
              <w:t xml:space="preserve">DRX </w:t>
            </w:r>
            <w:r>
              <w:rPr>
                <w:rFonts w:cs="Arial"/>
                <w:szCs w:val="18"/>
              </w:rPr>
              <w:t xml:space="preserve">IDLE </w:t>
            </w:r>
            <w:r w:rsidRPr="00AD5C2C">
              <w:rPr>
                <w:rFonts w:cs="Arial"/>
                <w:szCs w:val="18"/>
              </w:rPr>
              <w:t>cycles)</w:t>
            </w:r>
          </w:p>
        </w:tc>
      </w:tr>
      <w:tr w:rsidR="00D77779" w:rsidRPr="00885F53" w14:paraId="3CEC4B23" w14:textId="77777777" w:rsidTr="008B25C8">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ACECD9" w14:textId="77777777" w:rsidR="00D77779" w:rsidRPr="00885F53"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072A42" w14:textId="77777777" w:rsidR="00D77779" w:rsidRPr="00885F53"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ECEF42" w14:textId="77777777" w:rsidR="00D77779" w:rsidRPr="00885F53"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3832E" w14:textId="77777777" w:rsidR="00D77779" w:rsidRPr="00885F53" w:rsidRDefault="00D77779" w:rsidP="008B25C8">
            <w:pPr>
              <w:pStyle w:val="TAH"/>
            </w:pPr>
          </w:p>
        </w:tc>
      </w:tr>
      <w:tr w:rsidR="00D77779" w:rsidRPr="00EA7096" w14:paraId="764A608B"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00B45DF" w14:textId="77777777" w:rsidR="00D77779" w:rsidRPr="00885F53" w:rsidRDefault="00D77779" w:rsidP="008B25C8">
            <w:pPr>
              <w:pStyle w:val="TAC"/>
            </w:pPr>
            <w:r w:rsidRPr="00885F53">
              <w:t>2.56</w:t>
            </w:r>
          </w:p>
        </w:tc>
        <w:tc>
          <w:tcPr>
            <w:tcW w:w="0" w:type="auto"/>
            <w:tcBorders>
              <w:top w:val="single" w:sz="4" w:space="0" w:color="auto"/>
              <w:left w:val="single" w:sz="4" w:space="0" w:color="auto"/>
              <w:bottom w:val="single" w:sz="4" w:space="0" w:color="auto"/>
              <w:right w:val="single" w:sz="4" w:space="0" w:color="auto"/>
            </w:tcBorders>
            <w:hideMark/>
          </w:tcPr>
          <w:p w14:paraId="5B8452C7" w14:textId="77777777" w:rsidR="00D77779" w:rsidRPr="00950DA1" w:rsidRDefault="00D77779" w:rsidP="008B25C8">
            <w:pPr>
              <w:pStyle w:val="TAC"/>
              <w:rPr>
                <w:lang w:val="sv-SE"/>
              </w:rPr>
            </w:pPr>
            <w:r w:rsidRPr="00806346">
              <w:rPr>
                <w:rFonts w:cs="Arial"/>
                <w:szCs w:val="18"/>
                <w:lang w:val="sv-SE"/>
              </w:rPr>
              <w:t xml:space="preserve">58.88 x N1 x </w:t>
            </w:r>
            <w:r>
              <w:rPr>
                <w:rFonts w:cs="Arial"/>
                <w:szCs w:val="18"/>
                <w:lang w:val="sv-SE"/>
              </w:rPr>
              <w:t>K1</w:t>
            </w:r>
            <w:r w:rsidRPr="00806346">
              <w:rPr>
                <w:rFonts w:cs="Arial"/>
                <w:szCs w:val="18"/>
                <w:lang w:val="sv-SE"/>
              </w:rPr>
              <w:t xml:space="preserve"> (23 x N1 x </w:t>
            </w:r>
            <w:r>
              <w:rPr>
                <w:rFonts w:cs="Arial"/>
                <w:szCs w:val="18"/>
                <w:lang w:val="sv-SE"/>
              </w:rPr>
              <w:t>K1</w:t>
            </w:r>
            <w:r w:rsidRPr="00806346">
              <w:rPr>
                <w:rFonts w:cs="Arial"/>
                <w:szCs w:val="18"/>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E68832B" w14:textId="77777777" w:rsidR="00D77779" w:rsidRPr="00950DA1" w:rsidRDefault="00D77779" w:rsidP="008B25C8">
            <w:pPr>
              <w:pStyle w:val="TAC"/>
              <w:rPr>
                <w:lang w:val="sv-SE"/>
              </w:rPr>
            </w:pPr>
            <w:r w:rsidRPr="00806346">
              <w:rPr>
                <w:rFonts w:cs="Arial"/>
                <w:szCs w:val="18"/>
                <w:lang w:val="sv-SE"/>
              </w:rPr>
              <w:t xml:space="preserve">2.56 x N1 x </w:t>
            </w:r>
            <w:r>
              <w:rPr>
                <w:rFonts w:cs="Arial"/>
                <w:szCs w:val="18"/>
                <w:lang w:val="sv-SE"/>
              </w:rPr>
              <w:t>K1</w:t>
            </w:r>
            <w:r w:rsidRPr="00806346">
              <w:rPr>
                <w:rFonts w:cs="Arial"/>
                <w:szCs w:val="18"/>
                <w:lang w:val="sv-SE"/>
              </w:rPr>
              <w:t xml:space="preserve"> (1 x N1 x </w:t>
            </w:r>
            <w:r>
              <w:rPr>
                <w:rFonts w:cs="Arial"/>
                <w:szCs w:val="18"/>
                <w:lang w:val="sv-SE"/>
              </w:rPr>
              <w:t>K1</w:t>
            </w:r>
            <w:r w:rsidRPr="00806346">
              <w:rPr>
                <w:rFonts w:cs="Arial"/>
                <w:szCs w:val="18"/>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0A7CF186" w14:textId="77777777" w:rsidR="00D77779" w:rsidRPr="00950DA1" w:rsidRDefault="00D77779" w:rsidP="008B25C8">
            <w:pPr>
              <w:pStyle w:val="TAC"/>
              <w:rPr>
                <w:lang w:val="sv-SE"/>
              </w:rPr>
            </w:pPr>
            <w:r w:rsidRPr="00806346">
              <w:rPr>
                <w:rFonts w:cs="Arial"/>
                <w:szCs w:val="18"/>
                <w:lang w:val="sv-SE"/>
              </w:rPr>
              <w:t xml:space="preserve">7.68 x N1 x </w:t>
            </w:r>
            <w:r>
              <w:rPr>
                <w:rFonts w:cs="Arial"/>
                <w:szCs w:val="18"/>
                <w:lang w:val="sv-SE"/>
              </w:rPr>
              <w:t>K1</w:t>
            </w:r>
            <w:r w:rsidRPr="00806346">
              <w:rPr>
                <w:rFonts w:cs="Arial"/>
                <w:szCs w:val="18"/>
                <w:lang w:val="sv-SE"/>
              </w:rPr>
              <w:t xml:space="preserve"> (3 x N1 x </w:t>
            </w:r>
            <w:r>
              <w:rPr>
                <w:rFonts w:cs="Arial"/>
                <w:szCs w:val="18"/>
                <w:lang w:val="sv-SE"/>
              </w:rPr>
              <w:t>K1</w:t>
            </w:r>
            <w:r w:rsidRPr="00806346">
              <w:rPr>
                <w:rFonts w:cs="Arial"/>
                <w:szCs w:val="18"/>
                <w:lang w:val="sv-SE"/>
              </w:rPr>
              <w:t>)</w:t>
            </w:r>
          </w:p>
        </w:tc>
      </w:tr>
      <w:tr w:rsidR="00D77779" w:rsidRPr="00885F53" w14:paraId="03368539"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E669D8C" w14:textId="77777777" w:rsidR="00D77779" w:rsidRPr="00885F53" w:rsidRDefault="00D77779" w:rsidP="008B25C8">
            <w:pPr>
              <w:pStyle w:val="TAC"/>
            </w:pPr>
            <w:r w:rsidRPr="00C23796">
              <w:rPr>
                <w:rFonts w:cs="Arial"/>
                <w:szCs w:val="18"/>
              </w:rPr>
              <w:t>5.12</w:t>
            </w:r>
          </w:p>
        </w:tc>
        <w:tc>
          <w:tcPr>
            <w:tcW w:w="0" w:type="auto"/>
            <w:tcBorders>
              <w:top w:val="single" w:sz="4" w:space="0" w:color="auto"/>
              <w:left w:val="single" w:sz="4" w:space="0" w:color="auto"/>
              <w:bottom w:val="single" w:sz="4" w:space="0" w:color="auto"/>
              <w:right w:val="single" w:sz="4" w:space="0" w:color="auto"/>
            </w:tcBorders>
            <w:hideMark/>
          </w:tcPr>
          <w:p w14:paraId="61B6D0CF" w14:textId="77777777" w:rsidR="00D77779" w:rsidRPr="00885F53" w:rsidRDefault="00D77779" w:rsidP="008B25C8">
            <w:pPr>
              <w:pStyle w:val="TAC"/>
            </w:pPr>
            <w:r w:rsidRPr="006F2E0A">
              <w:rPr>
                <w:rFonts w:cs="Arial"/>
                <w:szCs w:val="18"/>
              </w:rPr>
              <w:t>117.76</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(23</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3D7583F2" w14:textId="77777777" w:rsidR="00D77779" w:rsidRPr="00885F53" w:rsidRDefault="00D77779" w:rsidP="008B25C8">
            <w:pPr>
              <w:pStyle w:val="TAC"/>
            </w:pPr>
            <w:r w:rsidRPr="006F2E0A">
              <w:rPr>
                <w:rFonts w:cs="Arial"/>
                <w:szCs w:val="18"/>
              </w:rPr>
              <w:t>5.12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(1</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6053A039" w14:textId="77777777" w:rsidR="00D77779" w:rsidRPr="00885F53" w:rsidRDefault="00D77779" w:rsidP="008B25C8">
            <w:pPr>
              <w:pStyle w:val="TAC"/>
            </w:pPr>
            <w:r w:rsidRPr="006F2E0A">
              <w:rPr>
                <w:rFonts w:cs="Arial"/>
                <w:szCs w:val="18"/>
              </w:rPr>
              <w:t>10.24</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r>
      <w:tr w:rsidR="00D77779" w:rsidRPr="00885F53" w14:paraId="4D5CD148"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DA19F5E" w14:textId="77777777" w:rsidR="00D77779" w:rsidRPr="00885F53" w:rsidRDefault="00D77779" w:rsidP="008B25C8">
            <w:pPr>
              <w:pStyle w:val="TAC"/>
            </w:pPr>
            <w:r w:rsidRPr="00C23796">
              <w:rPr>
                <w:rFonts w:cs="Arial"/>
                <w:szCs w:val="18"/>
              </w:rPr>
              <w:t>10.24</w:t>
            </w:r>
          </w:p>
        </w:tc>
        <w:tc>
          <w:tcPr>
            <w:tcW w:w="0" w:type="auto"/>
            <w:tcBorders>
              <w:top w:val="single" w:sz="4" w:space="0" w:color="auto"/>
              <w:left w:val="single" w:sz="4" w:space="0" w:color="auto"/>
              <w:bottom w:val="single" w:sz="4" w:space="0" w:color="auto"/>
              <w:right w:val="single" w:sz="4" w:space="0" w:color="auto"/>
            </w:tcBorders>
            <w:hideMark/>
          </w:tcPr>
          <w:p w14:paraId="1C6BB3D1" w14:textId="77777777" w:rsidR="00D77779" w:rsidRPr="00885F53" w:rsidRDefault="00D77779" w:rsidP="008B25C8">
            <w:pPr>
              <w:pStyle w:val="TAC"/>
            </w:pPr>
            <w:r w:rsidRPr="006F2E0A">
              <w:rPr>
                <w:rFonts w:cs="Arial"/>
                <w:szCs w:val="18"/>
              </w:rPr>
              <w:t>235.52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(23</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6ADE1B29" w14:textId="77777777" w:rsidR="00D77779" w:rsidRPr="00885F53" w:rsidRDefault="00D77779" w:rsidP="008B25C8">
            <w:pPr>
              <w:pStyle w:val="TAC"/>
            </w:pPr>
            <w:r w:rsidRPr="006F2E0A">
              <w:rPr>
                <w:rFonts w:cs="Arial"/>
                <w:szCs w:val="18"/>
              </w:rPr>
              <w:t>10.24</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(1</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65C4E39C" w14:textId="77777777" w:rsidR="00D77779" w:rsidRPr="00885F53" w:rsidRDefault="00D77779" w:rsidP="008B25C8">
            <w:pPr>
              <w:pStyle w:val="TAC"/>
            </w:pPr>
            <w:r w:rsidRPr="006F2E0A">
              <w:rPr>
                <w:rFonts w:cs="Arial"/>
                <w:szCs w:val="18"/>
              </w:rPr>
              <w:t>20.48</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r>
      <w:tr w:rsidR="00D77779" w:rsidRPr="00885F53" w14:paraId="48B483F9" w14:textId="77777777" w:rsidTr="008B25C8">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7CD5896D" w14:textId="77777777" w:rsidR="00D77779" w:rsidRPr="006D3EA9" w:rsidRDefault="00D77779" w:rsidP="008B25C8">
            <w:pPr>
              <w:pStyle w:val="TAN"/>
              <w:rPr>
                <w:snapToGrid w:val="0"/>
              </w:rPr>
            </w:pPr>
            <w:r w:rsidRPr="00885F53">
              <w:rPr>
                <w:snapToGrid w:val="0"/>
              </w:rPr>
              <w:t>Note 1</w:t>
            </w:r>
            <w:r w:rsidRPr="00885F53">
              <w:t>:</w:t>
            </w:r>
            <w:r w:rsidRPr="00885F53">
              <w:rPr>
                <w:lang w:val="en-US"/>
              </w:rPr>
              <w:tab/>
            </w:r>
            <w:r w:rsidRPr="009C5807">
              <w:t xml:space="preserve">Applies for </w:t>
            </w:r>
            <w:r>
              <w:t xml:space="preserve">RedCap </w:t>
            </w:r>
            <w:r w:rsidRPr="009C5807">
              <w:t xml:space="preserve">UE </w:t>
            </w:r>
            <w:r>
              <w:t xml:space="preserve">of all </w:t>
            </w:r>
            <w:r w:rsidRPr="009C5807">
              <w:t xml:space="preserve">supporting </w:t>
            </w:r>
            <w:r>
              <w:t xml:space="preserve">FR2 </w:t>
            </w:r>
            <w:r w:rsidRPr="009C5807">
              <w:t>power class</w:t>
            </w:r>
            <w:r>
              <w:t>es</w:t>
            </w:r>
            <w:r w:rsidRPr="00885F53">
              <w:t>.</w:t>
            </w:r>
          </w:p>
          <w:p w14:paraId="2706055F" w14:textId="77777777" w:rsidR="00D77779" w:rsidRPr="00E95AF7" w:rsidRDefault="00D77779" w:rsidP="008B25C8">
            <w:pPr>
              <w:pStyle w:val="TAN"/>
              <w:rPr>
                <w:snapToGrid w:val="0"/>
              </w:rPr>
            </w:pPr>
            <w:r w:rsidRPr="00885F53">
              <w:rPr>
                <w:snapToGrid w:val="0"/>
              </w:rPr>
              <w:t xml:space="preserve">Note </w:t>
            </w:r>
            <w:r>
              <w:rPr>
                <w:snapToGrid w:val="0"/>
              </w:rPr>
              <w:t>2</w:t>
            </w:r>
            <w:r w:rsidRPr="00885F53">
              <w:t>:</w:t>
            </w:r>
            <w:r w:rsidRPr="00885F53">
              <w:rPr>
                <w:lang w:val="en-US"/>
              </w:rPr>
              <w:tab/>
            </w:r>
            <w:r>
              <w:t>N1 = 3</w:t>
            </w:r>
            <w:r w:rsidRPr="00885F53">
              <w:t>.</w:t>
            </w:r>
          </w:p>
          <w:p w14:paraId="2D08E135" w14:textId="77777777" w:rsidR="00D77779" w:rsidRPr="00885F53" w:rsidRDefault="00D77779" w:rsidP="008B25C8">
            <w:pPr>
              <w:pStyle w:val="TAN"/>
            </w:pPr>
            <w:r w:rsidRPr="00C23796">
              <w:rPr>
                <w:rFonts w:cs="Arial"/>
                <w:snapToGrid w:val="0"/>
                <w:szCs w:val="18"/>
              </w:rPr>
              <w:t xml:space="preserve">Note </w:t>
            </w:r>
            <w:r>
              <w:rPr>
                <w:rFonts w:cs="Arial"/>
                <w:snapToGrid w:val="0"/>
                <w:szCs w:val="18"/>
              </w:rPr>
              <w:t>3</w:t>
            </w:r>
            <w:r w:rsidRPr="00C23796">
              <w:rPr>
                <w:rFonts w:cs="Arial"/>
                <w:snapToGrid w:val="0"/>
                <w:szCs w:val="18"/>
              </w:rPr>
              <w:t>:</w:t>
            </w:r>
            <w:r w:rsidRPr="00C23796">
              <w:rPr>
                <w:rFonts w:cs="Arial"/>
                <w:snapToGrid w:val="0"/>
                <w:szCs w:val="18"/>
              </w:rPr>
              <w:tab/>
            </w:r>
            <w:r>
              <w:rPr>
                <w:rFonts w:cs="Arial"/>
                <w:snapToGrid w:val="0"/>
                <w:szCs w:val="18"/>
              </w:rPr>
              <w:t>K1</w:t>
            </w:r>
            <w:r w:rsidRPr="00C23796">
              <w:rPr>
                <w:rFonts w:cs="Arial"/>
                <w:snapToGrid w:val="0"/>
                <w:szCs w:val="18"/>
              </w:rPr>
              <w:t xml:space="preserve"> = </w:t>
            </w:r>
            <w:r>
              <w:rPr>
                <w:rFonts w:cs="Arial"/>
                <w:snapToGrid w:val="0"/>
                <w:szCs w:val="18"/>
              </w:rPr>
              <w:t>3</w:t>
            </w:r>
            <w:r w:rsidRPr="00C23796">
              <w:rPr>
                <w:rFonts w:cs="Arial"/>
                <w:snapToGrid w:val="0"/>
                <w:szCs w:val="18"/>
              </w:rPr>
              <w:t xml:space="preserve"> is the measurement relaxation factor applicable for UE fulfilling the </w:t>
            </w:r>
            <w:r w:rsidRPr="001C6668">
              <w:rPr>
                <w:i/>
                <w:iCs/>
              </w:rPr>
              <w:t>lowMobilityEvaluation</w:t>
            </w:r>
            <w:r w:rsidRPr="00C23796">
              <w:rPr>
                <w:rFonts w:cs="Arial"/>
                <w:snapToGrid w:val="0"/>
                <w:szCs w:val="18"/>
              </w:rPr>
              <w:t xml:space="preserve"> [2] criterion.</w:t>
            </w:r>
          </w:p>
        </w:tc>
      </w:tr>
    </w:tbl>
    <w:p w14:paraId="62E9DA41" w14:textId="77777777" w:rsidR="00DE2AEA" w:rsidRDefault="00DE2AEA" w:rsidP="00DE2AEA">
      <w:pPr>
        <w:rPr>
          <w:lang w:val="en-US"/>
        </w:rPr>
      </w:pPr>
    </w:p>
    <w:p w14:paraId="5037B981" w14:textId="0495A116" w:rsidR="00D77779" w:rsidRPr="00327784" w:rsidRDefault="00D77779" w:rsidP="00DE2AEA">
      <w:pPr>
        <w:pStyle w:val="TH"/>
        <w:rPr>
          <w:lang w:val="en-US"/>
        </w:rPr>
      </w:pPr>
      <w:r w:rsidRPr="0063257B">
        <w:rPr>
          <w:lang w:val="en-US"/>
        </w:rPr>
        <w:t>Table 4.2B.2.9.9-</w:t>
      </w:r>
      <w:r>
        <w:rPr>
          <w:lang w:val="en-US"/>
        </w:rPr>
        <w:t>5</w:t>
      </w:r>
      <w:r w:rsidRPr="00327784">
        <w:rPr>
          <w:lang w:val="en-US"/>
        </w:rPr>
        <w:t xml:space="preserve">: </w:t>
      </w:r>
      <w:r w:rsidR="00C74541" w:rsidRPr="00327784">
        <w:rPr>
          <w:lang w:val="en-US"/>
        </w:rPr>
        <w:t>T</w:t>
      </w:r>
      <w:r w:rsidR="00C74541" w:rsidRPr="00327784">
        <w:rPr>
          <w:vertAlign w:val="subscript"/>
          <w:lang w:val="en-US"/>
        </w:rPr>
        <w:t>detect,NR_Intra_RedCap_Relax</w:t>
      </w:r>
      <w:r w:rsidR="00C74541" w:rsidRPr="00327784">
        <w:rPr>
          <w:lang w:val="en-US"/>
        </w:rPr>
        <w:t>, T</w:t>
      </w:r>
      <w:r w:rsidR="00C74541" w:rsidRPr="00327784">
        <w:rPr>
          <w:vertAlign w:val="subscript"/>
          <w:lang w:val="en-US"/>
        </w:rPr>
        <w:t>measure,NR_Intra_RedCap_</w:t>
      </w:r>
      <w:r w:rsidR="00C74541">
        <w:rPr>
          <w:vertAlign w:val="subscript"/>
          <w:lang w:val="en-US"/>
        </w:rPr>
        <w:t>R</w:t>
      </w:r>
      <w:r w:rsidR="00C74541" w:rsidRPr="00327784">
        <w:rPr>
          <w:vertAlign w:val="subscript"/>
          <w:lang w:val="en-US"/>
        </w:rPr>
        <w:t>elax</w:t>
      </w:r>
      <w:r w:rsidR="00C74541" w:rsidRPr="00327784">
        <w:rPr>
          <w:lang w:val="en-US"/>
        </w:rPr>
        <w:t xml:space="preserve"> and T</w:t>
      </w:r>
      <w:r w:rsidR="00C74541" w:rsidRPr="00327784">
        <w:rPr>
          <w:vertAlign w:val="subscript"/>
          <w:lang w:val="en-US"/>
        </w:rPr>
        <w:t>evaluate,NR_Intra_RedCap_Relax</w:t>
      </w:r>
      <w:r w:rsidR="00C74541" w:rsidRPr="00327784">
        <w:rPr>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718"/>
        <w:gridCol w:w="885"/>
        <w:gridCol w:w="2670"/>
        <w:gridCol w:w="2116"/>
        <w:gridCol w:w="2103"/>
      </w:tblGrid>
      <w:tr w:rsidR="00D77779" w:rsidRPr="00B85562" w14:paraId="788308D9" w14:textId="77777777" w:rsidTr="008B25C8">
        <w:trPr>
          <w:trHeight w:val="1692"/>
        </w:trPr>
        <w:tc>
          <w:tcPr>
            <w:tcW w:w="1198" w:type="dxa"/>
            <w:hideMark/>
          </w:tcPr>
          <w:p w14:paraId="04D45FBC" w14:textId="77777777" w:rsidR="00D77779" w:rsidRPr="00B11B68" w:rsidRDefault="00D77779" w:rsidP="008B25C8">
            <w:pPr>
              <w:rPr>
                <w:rFonts w:ascii="Arial" w:hAnsi="Arial" w:cs="Arial"/>
                <w:sz w:val="18"/>
                <w:lang w:val="en-US"/>
              </w:rPr>
            </w:pPr>
            <w:r w:rsidRPr="00B11B68">
              <w:rPr>
                <w:rFonts w:ascii="Arial" w:hAnsi="Arial" w:cs="Arial"/>
                <w:b/>
                <w:sz w:val="18"/>
              </w:rPr>
              <w:t>eDRX_IDLE cycle length [s]</w:t>
            </w:r>
          </w:p>
        </w:tc>
        <w:tc>
          <w:tcPr>
            <w:tcW w:w="751" w:type="dxa"/>
            <w:hideMark/>
          </w:tcPr>
          <w:p w14:paraId="626968EA" w14:textId="77777777" w:rsidR="00D77779" w:rsidRPr="00B11B68" w:rsidRDefault="00D77779" w:rsidP="008B25C8">
            <w:pPr>
              <w:rPr>
                <w:rFonts w:ascii="Arial" w:hAnsi="Arial" w:cs="Arial"/>
                <w:sz w:val="18"/>
                <w:lang w:val="en-US"/>
              </w:rPr>
            </w:pPr>
            <w:r w:rsidRPr="00B11B68">
              <w:rPr>
                <w:rFonts w:ascii="Arial" w:hAnsi="Arial" w:cs="Arial"/>
                <w:b/>
                <w:sz w:val="18"/>
              </w:rPr>
              <w:t>DRX cycle length [s]</w:t>
            </w:r>
          </w:p>
        </w:tc>
        <w:tc>
          <w:tcPr>
            <w:tcW w:w="930" w:type="dxa"/>
            <w:hideMark/>
          </w:tcPr>
          <w:p w14:paraId="00EACD00" w14:textId="77777777" w:rsidR="00D77779" w:rsidRPr="00B11B68" w:rsidRDefault="00D77779" w:rsidP="008B25C8">
            <w:pPr>
              <w:rPr>
                <w:rFonts w:ascii="Arial" w:hAnsi="Arial" w:cs="Arial"/>
                <w:sz w:val="18"/>
                <w:lang w:val="en-US"/>
              </w:rPr>
            </w:pPr>
            <w:r w:rsidRPr="00B11B68">
              <w:rPr>
                <w:rFonts w:ascii="Arial" w:hAnsi="Arial" w:cs="Arial"/>
                <w:b/>
                <w:sz w:val="18"/>
              </w:rPr>
              <w:t>PTW length [s] (number of 1.28s periods)</w:t>
            </w:r>
          </w:p>
        </w:tc>
        <w:tc>
          <w:tcPr>
            <w:tcW w:w="2431" w:type="dxa"/>
            <w:hideMark/>
          </w:tcPr>
          <w:p w14:paraId="4AC7335E" w14:textId="77777777" w:rsidR="00D77779" w:rsidRPr="00B11B68" w:rsidRDefault="00D77779" w:rsidP="008B25C8">
            <w:pPr>
              <w:rPr>
                <w:rFonts w:ascii="Arial" w:hAnsi="Arial" w:cs="Arial"/>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detect,NR_Intra_RedCap</w:t>
            </w:r>
            <w:r>
              <w:rPr>
                <w:rFonts w:ascii="Arial" w:hAnsi="Arial" w:cs="Arial"/>
                <w:b/>
                <w:sz w:val="18"/>
                <w:szCs w:val="18"/>
                <w:vertAlign w:val="subscript"/>
                <w:lang w:val="en-US"/>
              </w:rPr>
              <w:t>_Relax</w:t>
            </w:r>
            <w:r w:rsidRPr="00963536">
              <w:rPr>
                <w:rFonts w:ascii="Arial" w:hAnsi="Arial" w:cs="Arial"/>
                <w:b/>
                <w:sz w:val="18"/>
                <w:szCs w:val="18"/>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c>
          <w:tcPr>
            <w:tcW w:w="1860" w:type="dxa"/>
            <w:hideMark/>
          </w:tcPr>
          <w:p w14:paraId="570A8A18" w14:textId="77777777" w:rsidR="00D77779" w:rsidRPr="00B11B68" w:rsidRDefault="00D77779" w:rsidP="008B25C8">
            <w:pPr>
              <w:rPr>
                <w:rFonts w:ascii="Arial" w:hAnsi="Arial" w:cs="Arial"/>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measure,NR_Intra_RedCap</w:t>
            </w:r>
            <w:r>
              <w:rPr>
                <w:rFonts w:ascii="Arial" w:hAnsi="Arial" w:cs="Arial"/>
                <w:b/>
                <w:sz w:val="18"/>
                <w:szCs w:val="18"/>
                <w:vertAlign w:val="subscript"/>
                <w:lang w:val="en-US"/>
              </w:rPr>
              <w:t>_Relax</w:t>
            </w:r>
            <w:r w:rsidRPr="00B11B68">
              <w:rPr>
                <w:rFonts w:ascii="Arial" w:hAnsi="Arial" w:cs="Arial"/>
                <w:b/>
                <w:sz w:val="18"/>
                <w:szCs w:val="18"/>
                <w:lang w:val="en-US"/>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c>
          <w:tcPr>
            <w:tcW w:w="1846" w:type="dxa"/>
          </w:tcPr>
          <w:p w14:paraId="4A60A411" w14:textId="77777777" w:rsidR="00D77779" w:rsidRPr="00B11B68" w:rsidRDefault="00D77779" w:rsidP="008B25C8">
            <w:pPr>
              <w:rPr>
                <w:rFonts w:ascii="Arial" w:hAnsi="Arial" w:cs="Arial"/>
                <w:b/>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evaluate,NR_Intra_RedCap</w:t>
            </w:r>
            <w:r>
              <w:rPr>
                <w:rFonts w:ascii="Arial" w:hAnsi="Arial" w:cs="Arial"/>
                <w:b/>
                <w:sz w:val="18"/>
                <w:szCs w:val="18"/>
                <w:vertAlign w:val="subscript"/>
                <w:lang w:val="en-US"/>
              </w:rPr>
              <w:t>_Relax</w:t>
            </w:r>
            <w:r w:rsidRPr="00B11B68">
              <w:rPr>
                <w:rFonts w:ascii="Arial" w:hAnsi="Arial" w:cs="Arial"/>
                <w:b/>
                <w:sz w:val="18"/>
                <w:szCs w:val="18"/>
                <w:vertAlign w:val="subscript"/>
                <w:lang w:val="en-US"/>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r>
      <w:tr w:rsidR="00D77779" w:rsidRPr="00B85562" w14:paraId="7A9B1CE8" w14:textId="77777777" w:rsidTr="008B25C8">
        <w:trPr>
          <w:trHeight w:val="673"/>
        </w:trPr>
        <w:tc>
          <w:tcPr>
            <w:tcW w:w="1198" w:type="dxa"/>
            <w:vMerge w:val="restart"/>
            <w:hideMark/>
          </w:tcPr>
          <w:p w14:paraId="55F76384" w14:textId="77777777" w:rsidR="00D77779" w:rsidRPr="00B11B68" w:rsidRDefault="00D77779" w:rsidP="008B25C8">
            <w:pPr>
              <w:rPr>
                <w:rFonts w:ascii="Arial" w:hAnsi="Arial" w:cs="Arial"/>
                <w:sz w:val="18"/>
                <w:lang w:val="en-US"/>
              </w:rPr>
            </w:pPr>
            <w:r w:rsidRPr="00B11B68">
              <w:rPr>
                <w:rFonts w:ascii="Arial" w:hAnsi="Arial" w:cs="Arial"/>
                <w:sz w:val="18"/>
              </w:rPr>
              <w:t>20.48 ≤</w:t>
            </w:r>
            <w:r w:rsidRPr="00CA7017">
              <w:rPr>
                <w:rFonts w:cs="Arial"/>
              </w:rPr>
              <w:t xml:space="preserve"> </w:t>
            </w:r>
            <w:r w:rsidRPr="00B11B68">
              <w:rPr>
                <w:rFonts w:ascii="Arial" w:hAnsi="Arial" w:cs="Arial"/>
                <w:sz w:val="18"/>
              </w:rPr>
              <w:t xml:space="preserve"> eDRX_IDLE cycle length ≤</w:t>
            </w:r>
            <w:r>
              <w:rPr>
                <w:rFonts w:ascii="Arial" w:hAnsi="Arial" w:cs="Arial"/>
                <w:sz w:val="18"/>
              </w:rPr>
              <w:t>[163.84]</w:t>
            </w:r>
          </w:p>
        </w:tc>
        <w:tc>
          <w:tcPr>
            <w:tcW w:w="751" w:type="dxa"/>
            <w:hideMark/>
          </w:tcPr>
          <w:p w14:paraId="0EB1B45E" w14:textId="77777777" w:rsidR="00D77779" w:rsidRPr="00B11B68" w:rsidRDefault="00D77779" w:rsidP="008B25C8">
            <w:pPr>
              <w:rPr>
                <w:rFonts w:ascii="Arial" w:hAnsi="Arial" w:cs="Arial"/>
                <w:sz w:val="18"/>
                <w:lang w:val="en-US"/>
              </w:rPr>
            </w:pPr>
            <w:r w:rsidRPr="00B11B68">
              <w:rPr>
                <w:rFonts w:ascii="Arial" w:hAnsi="Arial" w:cs="Arial"/>
                <w:sz w:val="18"/>
              </w:rPr>
              <w:t>0.32</w:t>
            </w:r>
          </w:p>
        </w:tc>
        <w:tc>
          <w:tcPr>
            <w:tcW w:w="930" w:type="dxa"/>
            <w:hideMark/>
          </w:tcPr>
          <w:p w14:paraId="526145D3" w14:textId="77777777" w:rsidR="00D77779" w:rsidRPr="00B11B68" w:rsidRDefault="00D77779" w:rsidP="008B25C8">
            <w:pPr>
              <w:rPr>
                <w:rFonts w:ascii="Arial" w:hAnsi="Arial" w:cs="Arial"/>
                <w:sz w:val="18"/>
                <w:lang w:val="en-US"/>
              </w:rPr>
            </w:pPr>
            <w:r w:rsidRPr="00B11B68">
              <w:rPr>
                <w:rFonts w:ascii="Arial" w:hAnsi="Arial" w:cs="Arial"/>
                <w:sz w:val="18"/>
              </w:rPr>
              <w:t>≥</w:t>
            </w:r>
            <w:r>
              <w:rPr>
                <w:rFonts w:ascii="Arial" w:hAnsi="Arial" w:cs="Arial"/>
                <w:sz w:val="18"/>
                <w:lang w:val="en-US"/>
              </w:rPr>
              <w:t>[</w:t>
            </w:r>
            <w:r>
              <w:rPr>
                <w:rFonts w:ascii="Arial" w:hAnsi="Arial" w:cs="Arial"/>
                <w:sz w:val="18"/>
              </w:rPr>
              <w:t>3.84]</w:t>
            </w:r>
            <w:r w:rsidRPr="00B11B68">
              <w:rPr>
                <w:rFonts w:ascii="Arial" w:hAnsi="Arial" w:cs="Arial"/>
                <w:sz w:val="18"/>
              </w:rPr>
              <w:t xml:space="preserve"> (</w:t>
            </w:r>
            <w:r>
              <w:rPr>
                <w:rFonts w:ascii="Arial" w:hAnsi="Arial" w:cs="Arial"/>
                <w:sz w:val="18"/>
              </w:rPr>
              <w:t>[3]</w:t>
            </w:r>
            <w:r w:rsidRPr="00B11B68">
              <w:rPr>
                <w:rFonts w:ascii="Arial" w:hAnsi="Arial" w:cs="Arial"/>
                <w:sz w:val="18"/>
              </w:rPr>
              <w:t>)</w:t>
            </w:r>
          </w:p>
        </w:tc>
        <w:tc>
          <w:tcPr>
            <w:tcW w:w="2431" w:type="dxa"/>
            <w:vMerge w:val="restart"/>
            <w:hideMark/>
          </w:tcPr>
          <w:p w14:paraId="78C09B05" w14:textId="77777777" w:rsidR="00D77779" w:rsidRPr="00B11B68" w:rsidRDefault="00D77779" w:rsidP="008B25C8">
            <w:pPr>
              <w:rPr>
                <w:rFonts w:ascii="Arial" w:hAnsi="Arial" w:cs="Arial"/>
                <w:sz w:val="18"/>
                <w:lang w:val="en-US"/>
              </w:rPr>
            </w:pPr>
            <m:oMathPara>
              <m:oMathParaPr>
                <m:jc m:val="centerGroup"/>
              </m:oMathParaPr>
              <m:oMath>
                <m:r>
                  <w:rPr>
                    <w:rFonts w:ascii="Cambria Math" w:hAnsi="Cambria Math" w:cs="Arial"/>
                    <w:sz w:val="18"/>
                    <w:lang w:val="en-US"/>
                  </w:rPr>
                  <m:t>eDRX</m:t>
                </m:r>
                <m:r>
                  <m:rPr>
                    <m:sty m:val="p"/>
                  </m:rPr>
                  <w:rPr>
                    <w:rFonts w:ascii="Cambria Math" w:hAnsi="Cambria Math" w:cs="Arial"/>
                    <w:sz w:val="18"/>
                    <w:lang w:val="en-US"/>
                  </w:rPr>
                  <m:t>_</m:t>
                </m:r>
                <m:r>
                  <w:rPr>
                    <w:rFonts w:ascii="Cambria Math" w:hAnsi="Cambria Math" w:cs="Arial"/>
                    <w:sz w:val="18"/>
                    <w:lang w:val="en-US"/>
                  </w:rPr>
                  <m:t>cycl</m:t>
                </m:r>
                <m:r>
                  <m:rPr>
                    <m:sty m:val="p"/>
                  </m:rPr>
                  <w:rPr>
                    <w:rFonts w:ascii="Cambria Math" w:hAnsi="Cambria Math" w:cs="Arial"/>
                    <w:sz w:val="18"/>
                    <w:lang w:val="en-US"/>
                  </w:rPr>
                  <m:t>e_</m:t>
                </m:r>
                <m:r>
                  <w:rPr>
                    <w:rFonts w:ascii="Cambria Math" w:hAnsi="Cambria Math" w:cs="Arial"/>
                    <w:sz w:val="18"/>
                    <w:lang w:val="en-US"/>
                  </w:rPr>
                  <m:t>length×</m:t>
                </m:r>
                <m:d>
                  <m:dPr>
                    <m:begChr m:val="⌈"/>
                    <m:endChr m:val="⌉"/>
                    <m:ctrlPr>
                      <w:rPr>
                        <w:rFonts w:ascii="Cambria Math" w:hAnsi="Cambria Math" w:cs="Arial"/>
                        <w:i/>
                        <w:sz w:val="18"/>
                        <w:lang w:val="en-US"/>
                      </w:rPr>
                    </m:ctrlPr>
                  </m:dPr>
                  <m:e>
                    <m:f>
                      <m:fPr>
                        <m:ctrlPr>
                          <w:rPr>
                            <w:rFonts w:ascii="Cambria Math" w:hAnsi="Cambria Math" w:cs="Arial"/>
                            <w:i/>
                            <w:sz w:val="18"/>
                            <w:lang w:val="en-US"/>
                          </w:rPr>
                        </m:ctrlPr>
                      </m:fPr>
                      <m:num>
                        <m:r>
                          <w:rPr>
                            <w:rFonts w:ascii="Cambria Math" w:hAnsi="Cambria Math" w:cs="Arial"/>
                            <w:sz w:val="18"/>
                            <w:lang w:val="en-US"/>
                          </w:rPr>
                          <m:t>23</m:t>
                        </m:r>
                      </m:num>
                      <m:den>
                        <m:r>
                          <w:rPr>
                            <w:rFonts w:ascii="Cambria Math" w:hAnsi="Cambria Math" w:cs="Arial"/>
                            <w:sz w:val="18"/>
                            <w:lang w:val="en-US"/>
                          </w:rPr>
                          <m:t>PTW/DRX_cycle_length</m:t>
                        </m:r>
                      </m:den>
                    </m:f>
                  </m:e>
                </m:d>
                <m:r>
                  <m:rPr>
                    <m:sty m:val="p"/>
                  </m:rPr>
                  <w:rPr>
                    <w:rFonts w:ascii="Cambria Math" w:hAnsi="Cambria Math"/>
                    <w:lang w:val="sv-SE"/>
                  </w:rPr>
                  <m:t xml:space="preserve">x </m:t>
                </m:r>
                <m:r>
                  <m:rPr>
                    <m:sty m:val="p"/>
                  </m:rPr>
                  <w:rPr>
                    <w:rFonts w:ascii="Cambria Math" w:hAnsi="Cambria Math" w:cs="Arial"/>
                    <w:lang w:val="sv-SE"/>
                  </w:rPr>
                  <m:t>K1</m:t>
                </m:r>
              </m:oMath>
            </m:oMathPara>
          </w:p>
          <w:p w14:paraId="10081A30" w14:textId="77777777" w:rsidR="00D77779" w:rsidRPr="00B11B68" w:rsidRDefault="00D77779" w:rsidP="008B25C8">
            <w:pPr>
              <w:rPr>
                <w:rFonts w:ascii="Arial" w:hAnsi="Arial" w:cs="Arial"/>
                <w:sz w:val="18"/>
                <w:lang w:val="en-US"/>
              </w:rPr>
            </w:pPr>
            <w:r w:rsidRPr="00B11B68">
              <w:rPr>
                <w:rFonts w:ascii="Arial" w:hAnsi="Arial" w:cs="Arial"/>
                <w:sz w:val="18"/>
                <w:lang w:val="en-US"/>
              </w:rPr>
              <w:t>(23</w:t>
            </w:r>
            <w:r w:rsidRPr="0082197E">
              <w:rPr>
                <w:lang w:val="sv-SE"/>
              </w:rPr>
              <w:t xml:space="preserve"> x </w:t>
            </w:r>
            <w:r>
              <w:rPr>
                <w:rFonts w:cs="Arial"/>
                <w:lang w:val="sv-SE"/>
              </w:rPr>
              <w:t>K1</w:t>
            </w:r>
            <w:r w:rsidRPr="00B11B68">
              <w:rPr>
                <w:rFonts w:ascii="Arial" w:hAnsi="Arial" w:cs="Arial"/>
                <w:sz w:val="18"/>
                <w:lang w:val="en-US"/>
              </w:rPr>
              <w:t>)</w:t>
            </w:r>
          </w:p>
        </w:tc>
        <w:tc>
          <w:tcPr>
            <w:tcW w:w="1860" w:type="dxa"/>
            <w:hideMark/>
          </w:tcPr>
          <w:p w14:paraId="21E15139" w14:textId="77777777" w:rsidR="00D77779" w:rsidRPr="00896DB0" w:rsidRDefault="00D77779" w:rsidP="008B25C8">
            <w:pPr>
              <w:rPr>
                <w:rFonts w:ascii="Arial" w:hAnsi="Arial" w:cs="Arial"/>
                <w:sz w:val="18"/>
              </w:rPr>
            </w:pPr>
            <w:r w:rsidRPr="00B11B68">
              <w:rPr>
                <w:rFonts w:ascii="Arial" w:hAnsi="Arial" w:cs="Arial"/>
                <w:sz w:val="18"/>
              </w:rPr>
              <w:t>0.32</w:t>
            </w:r>
            <w:r w:rsidRPr="00896DB0">
              <w:rPr>
                <w:rFonts w:ascii="Arial" w:hAnsi="Arial" w:cs="Arial"/>
                <w:sz w:val="18"/>
              </w:rPr>
              <w:t xml:space="preserve"> x M2 x K1</w:t>
            </w:r>
            <w:r w:rsidRPr="00B11B68">
              <w:rPr>
                <w:rFonts w:ascii="Arial" w:hAnsi="Arial" w:cs="Arial"/>
                <w:sz w:val="18"/>
              </w:rPr>
              <w:t xml:space="preserve"> (1</w:t>
            </w:r>
            <w:r w:rsidRPr="00896DB0">
              <w:rPr>
                <w:rFonts w:ascii="Arial" w:hAnsi="Arial" w:cs="Arial"/>
                <w:sz w:val="18"/>
              </w:rPr>
              <w:t xml:space="preserve"> x M2 x K1</w:t>
            </w:r>
            <w:r w:rsidRPr="00B11B68">
              <w:rPr>
                <w:rFonts w:ascii="Arial" w:hAnsi="Arial" w:cs="Arial"/>
                <w:sz w:val="18"/>
              </w:rPr>
              <w:t>)</w:t>
            </w:r>
          </w:p>
        </w:tc>
        <w:tc>
          <w:tcPr>
            <w:tcW w:w="1846" w:type="dxa"/>
          </w:tcPr>
          <w:p w14:paraId="5BF5AA82" w14:textId="77777777" w:rsidR="00D77779" w:rsidRDefault="00D77779" w:rsidP="008B25C8">
            <w:pPr>
              <w:rPr>
                <w:rFonts w:ascii="Arial" w:hAnsi="Arial" w:cs="Arial"/>
                <w:sz w:val="18"/>
              </w:rPr>
            </w:pPr>
            <w:r w:rsidRPr="00896DB0">
              <w:rPr>
                <w:rFonts w:ascii="Arial" w:hAnsi="Arial" w:cs="Arial"/>
                <w:sz w:val="18"/>
              </w:rPr>
              <w:t>0.64 x M2 x K1 (2 x M2 x K1)</w:t>
            </w:r>
          </w:p>
        </w:tc>
      </w:tr>
      <w:tr w:rsidR="00D77779" w:rsidRPr="00B85562" w14:paraId="650E00CD" w14:textId="77777777" w:rsidTr="008B25C8">
        <w:trPr>
          <w:trHeight w:val="336"/>
        </w:trPr>
        <w:tc>
          <w:tcPr>
            <w:tcW w:w="1198" w:type="dxa"/>
            <w:vMerge/>
            <w:hideMark/>
          </w:tcPr>
          <w:p w14:paraId="2BB0EEC3" w14:textId="77777777" w:rsidR="00D77779" w:rsidRPr="00B11B68" w:rsidRDefault="00D77779" w:rsidP="008B25C8">
            <w:pPr>
              <w:rPr>
                <w:rFonts w:ascii="Arial" w:hAnsi="Arial" w:cs="Arial"/>
                <w:sz w:val="18"/>
                <w:lang w:val="en-US"/>
              </w:rPr>
            </w:pPr>
          </w:p>
        </w:tc>
        <w:tc>
          <w:tcPr>
            <w:tcW w:w="751" w:type="dxa"/>
            <w:hideMark/>
          </w:tcPr>
          <w:p w14:paraId="3DC479B2" w14:textId="77777777" w:rsidR="00D77779" w:rsidRPr="00B11B68" w:rsidRDefault="00D77779" w:rsidP="008B25C8">
            <w:pPr>
              <w:rPr>
                <w:rFonts w:ascii="Arial" w:hAnsi="Arial" w:cs="Arial"/>
                <w:sz w:val="18"/>
                <w:lang w:val="en-US"/>
              </w:rPr>
            </w:pPr>
            <w:r w:rsidRPr="00B11B68">
              <w:rPr>
                <w:rFonts w:ascii="Arial" w:hAnsi="Arial" w:cs="Arial"/>
                <w:sz w:val="18"/>
              </w:rPr>
              <w:t>0.64</w:t>
            </w:r>
          </w:p>
        </w:tc>
        <w:tc>
          <w:tcPr>
            <w:tcW w:w="930" w:type="dxa"/>
            <w:hideMark/>
          </w:tcPr>
          <w:p w14:paraId="357D66C0" w14:textId="77777777" w:rsidR="00D77779" w:rsidRPr="00B11B68" w:rsidRDefault="00D77779" w:rsidP="008B25C8">
            <w:pPr>
              <w:rPr>
                <w:rFonts w:ascii="Arial" w:hAnsi="Arial" w:cs="Arial"/>
                <w:sz w:val="18"/>
                <w:lang w:val="en-US"/>
              </w:rPr>
            </w:pPr>
            <w:r w:rsidRPr="00B11B68">
              <w:rPr>
                <w:rFonts w:ascii="Arial" w:hAnsi="Arial" w:cs="Arial"/>
                <w:sz w:val="18"/>
              </w:rPr>
              <w:t>≥</w:t>
            </w:r>
            <w:r>
              <w:rPr>
                <w:rFonts w:ascii="Arial" w:hAnsi="Arial" w:cs="Arial"/>
                <w:sz w:val="18"/>
                <w:lang w:val="en-US"/>
              </w:rPr>
              <w:t>[</w:t>
            </w:r>
            <w:r>
              <w:rPr>
                <w:rFonts w:ascii="Arial" w:hAnsi="Arial" w:cs="Arial"/>
                <w:sz w:val="18"/>
              </w:rPr>
              <w:t>3.84]</w:t>
            </w:r>
            <w:r w:rsidRPr="00B11B68">
              <w:rPr>
                <w:rFonts w:ascii="Arial" w:hAnsi="Arial" w:cs="Arial"/>
                <w:sz w:val="18"/>
              </w:rPr>
              <w:t xml:space="preserve"> (</w:t>
            </w:r>
            <w:r>
              <w:rPr>
                <w:rFonts w:ascii="Arial" w:hAnsi="Arial" w:cs="Arial"/>
                <w:sz w:val="18"/>
              </w:rPr>
              <w:t>[3]</w:t>
            </w:r>
            <w:r w:rsidRPr="00B11B68">
              <w:rPr>
                <w:rFonts w:ascii="Arial" w:hAnsi="Arial" w:cs="Arial"/>
                <w:sz w:val="18"/>
              </w:rPr>
              <w:t>)</w:t>
            </w:r>
          </w:p>
        </w:tc>
        <w:tc>
          <w:tcPr>
            <w:tcW w:w="2431" w:type="dxa"/>
            <w:vMerge/>
            <w:hideMark/>
          </w:tcPr>
          <w:p w14:paraId="26DB995C" w14:textId="77777777" w:rsidR="00D77779" w:rsidRPr="00B11B68" w:rsidRDefault="00D77779" w:rsidP="008B25C8">
            <w:pPr>
              <w:rPr>
                <w:rFonts w:ascii="Arial" w:hAnsi="Arial" w:cs="Arial"/>
                <w:sz w:val="18"/>
                <w:lang w:val="en-US"/>
              </w:rPr>
            </w:pPr>
          </w:p>
        </w:tc>
        <w:tc>
          <w:tcPr>
            <w:tcW w:w="1860" w:type="dxa"/>
            <w:hideMark/>
          </w:tcPr>
          <w:p w14:paraId="51972E72" w14:textId="77777777" w:rsidR="00D77779" w:rsidRPr="00896DB0" w:rsidRDefault="00D77779" w:rsidP="008B25C8">
            <w:pPr>
              <w:rPr>
                <w:rFonts w:ascii="Arial" w:hAnsi="Arial" w:cs="Arial"/>
                <w:sz w:val="18"/>
              </w:rPr>
            </w:pPr>
            <w:r w:rsidRPr="00B11B68">
              <w:rPr>
                <w:rFonts w:ascii="Arial" w:hAnsi="Arial" w:cs="Arial"/>
                <w:sz w:val="18"/>
              </w:rPr>
              <w:t>0.64</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2FDDA4F4" w14:textId="77777777" w:rsidR="00D77779" w:rsidRPr="00B11B68" w:rsidRDefault="00D77779" w:rsidP="008B25C8">
            <w:pPr>
              <w:rPr>
                <w:rFonts w:ascii="Arial" w:hAnsi="Arial" w:cs="Arial"/>
                <w:sz w:val="18"/>
              </w:rPr>
            </w:pPr>
            <w:r w:rsidRPr="00B11B68">
              <w:rPr>
                <w:rFonts w:ascii="Arial" w:hAnsi="Arial" w:cs="Arial"/>
                <w:sz w:val="18"/>
              </w:rPr>
              <w:t>1.28</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D77779" w:rsidRPr="00B85562" w14:paraId="7D03F31C" w14:textId="77777777" w:rsidTr="008B25C8">
        <w:trPr>
          <w:trHeight w:val="336"/>
        </w:trPr>
        <w:tc>
          <w:tcPr>
            <w:tcW w:w="1198" w:type="dxa"/>
            <w:vMerge/>
            <w:hideMark/>
          </w:tcPr>
          <w:p w14:paraId="6541A258" w14:textId="77777777" w:rsidR="00D77779" w:rsidRPr="00B11B68" w:rsidRDefault="00D77779" w:rsidP="008B25C8">
            <w:pPr>
              <w:rPr>
                <w:rFonts w:ascii="Arial" w:hAnsi="Arial" w:cs="Arial"/>
                <w:sz w:val="18"/>
                <w:lang w:val="en-US"/>
              </w:rPr>
            </w:pPr>
          </w:p>
        </w:tc>
        <w:tc>
          <w:tcPr>
            <w:tcW w:w="751" w:type="dxa"/>
            <w:hideMark/>
          </w:tcPr>
          <w:p w14:paraId="21FDFD10" w14:textId="77777777" w:rsidR="00D77779" w:rsidRPr="00B11B68" w:rsidRDefault="00D77779" w:rsidP="008B25C8">
            <w:pPr>
              <w:rPr>
                <w:rFonts w:ascii="Arial" w:hAnsi="Arial" w:cs="Arial"/>
                <w:sz w:val="18"/>
                <w:lang w:val="en-US"/>
              </w:rPr>
            </w:pPr>
            <w:r w:rsidRPr="00B11B68">
              <w:rPr>
                <w:rFonts w:ascii="Arial" w:hAnsi="Arial" w:cs="Arial"/>
                <w:sz w:val="18"/>
              </w:rPr>
              <w:t>1.28</w:t>
            </w:r>
          </w:p>
        </w:tc>
        <w:tc>
          <w:tcPr>
            <w:tcW w:w="930" w:type="dxa"/>
            <w:hideMark/>
          </w:tcPr>
          <w:p w14:paraId="27E2024A" w14:textId="77777777" w:rsidR="00D77779" w:rsidRPr="00B11B68" w:rsidRDefault="00D77779" w:rsidP="008B25C8">
            <w:pPr>
              <w:rPr>
                <w:rFonts w:ascii="Arial" w:hAnsi="Arial" w:cs="Arial"/>
                <w:sz w:val="18"/>
                <w:lang w:val="en-US"/>
              </w:rPr>
            </w:pPr>
            <w:r w:rsidRPr="00B11B68">
              <w:rPr>
                <w:rFonts w:ascii="Arial" w:hAnsi="Arial" w:cs="Arial"/>
                <w:sz w:val="18"/>
              </w:rPr>
              <w:t>≥</w:t>
            </w:r>
            <w:r>
              <w:rPr>
                <w:rFonts w:ascii="Arial" w:hAnsi="Arial" w:cs="Arial"/>
                <w:sz w:val="18"/>
              </w:rPr>
              <w:t>[7.68]</w:t>
            </w:r>
            <w:r w:rsidRPr="00B11B68">
              <w:rPr>
                <w:rFonts w:ascii="Arial" w:hAnsi="Arial" w:cs="Arial"/>
                <w:sz w:val="18"/>
              </w:rPr>
              <w:t xml:space="preserve"> (</w:t>
            </w:r>
            <w:r>
              <w:rPr>
                <w:rFonts w:ascii="Arial" w:hAnsi="Arial" w:cs="Arial"/>
                <w:sz w:val="18"/>
              </w:rPr>
              <w:t>[6]</w:t>
            </w:r>
            <w:r w:rsidRPr="00B11B68">
              <w:rPr>
                <w:rFonts w:ascii="Arial" w:hAnsi="Arial" w:cs="Arial"/>
                <w:sz w:val="18"/>
              </w:rPr>
              <w:t>)</w:t>
            </w:r>
          </w:p>
        </w:tc>
        <w:tc>
          <w:tcPr>
            <w:tcW w:w="2431" w:type="dxa"/>
            <w:vMerge/>
            <w:hideMark/>
          </w:tcPr>
          <w:p w14:paraId="247EA28F" w14:textId="77777777" w:rsidR="00D77779" w:rsidRPr="00B11B68" w:rsidRDefault="00D77779" w:rsidP="008B25C8">
            <w:pPr>
              <w:rPr>
                <w:rFonts w:ascii="Arial" w:hAnsi="Arial" w:cs="Arial"/>
                <w:sz w:val="18"/>
                <w:lang w:val="en-US"/>
              </w:rPr>
            </w:pPr>
          </w:p>
        </w:tc>
        <w:tc>
          <w:tcPr>
            <w:tcW w:w="1860" w:type="dxa"/>
            <w:hideMark/>
          </w:tcPr>
          <w:p w14:paraId="292EFAFA" w14:textId="77777777" w:rsidR="00D77779" w:rsidRPr="00896DB0" w:rsidRDefault="00D77779" w:rsidP="008B25C8">
            <w:pPr>
              <w:rPr>
                <w:rFonts w:ascii="Arial" w:hAnsi="Arial" w:cs="Arial"/>
                <w:sz w:val="18"/>
              </w:rPr>
            </w:pPr>
            <w:r w:rsidRPr="00B11B68">
              <w:rPr>
                <w:rFonts w:ascii="Arial" w:hAnsi="Arial" w:cs="Arial"/>
                <w:sz w:val="18"/>
              </w:rPr>
              <w:t>1.28</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0A5F170D" w14:textId="77777777" w:rsidR="00D77779" w:rsidRPr="00B11B68" w:rsidRDefault="00D77779" w:rsidP="008B25C8">
            <w:pPr>
              <w:rPr>
                <w:rFonts w:ascii="Arial" w:hAnsi="Arial" w:cs="Arial"/>
                <w:sz w:val="18"/>
              </w:rPr>
            </w:pPr>
            <w:r w:rsidRPr="00B11B68">
              <w:rPr>
                <w:rFonts w:ascii="Arial" w:hAnsi="Arial" w:cs="Arial"/>
                <w:sz w:val="18"/>
              </w:rPr>
              <w:t>2.56</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D77779" w:rsidRPr="00B85562" w14:paraId="0D6C8BDD" w14:textId="77777777" w:rsidTr="008B25C8">
        <w:trPr>
          <w:trHeight w:val="336"/>
        </w:trPr>
        <w:tc>
          <w:tcPr>
            <w:tcW w:w="1198" w:type="dxa"/>
            <w:vMerge/>
            <w:hideMark/>
          </w:tcPr>
          <w:p w14:paraId="1B926B84" w14:textId="77777777" w:rsidR="00D77779" w:rsidRPr="00B11B68" w:rsidRDefault="00D77779" w:rsidP="008B25C8">
            <w:pPr>
              <w:rPr>
                <w:rFonts w:ascii="Arial" w:hAnsi="Arial" w:cs="Arial"/>
                <w:sz w:val="18"/>
                <w:lang w:val="en-US"/>
              </w:rPr>
            </w:pPr>
          </w:p>
        </w:tc>
        <w:tc>
          <w:tcPr>
            <w:tcW w:w="751" w:type="dxa"/>
            <w:hideMark/>
          </w:tcPr>
          <w:p w14:paraId="5B33619F" w14:textId="77777777" w:rsidR="00D77779" w:rsidRPr="00B11B68" w:rsidRDefault="00D77779" w:rsidP="008B25C8">
            <w:pPr>
              <w:rPr>
                <w:rFonts w:ascii="Arial" w:hAnsi="Arial" w:cs="Arial"/>
                <w:sz w:val="18"/>
                <w:lang w:val="en-US"/>
              </w:rPr>
            </w:pPr>
            <w:r w:rsidRPr="00B11B68">
              <w:rPr>
                <w:rFonts w:ascii="Arial" w:hAnsi="Arial" w:cs="Arial"/>
                <w:sz w:val="18"/>
              </w:rPr>
              <w:t>2.56</w:t>
            </w:r>
          </w:p>
        </w:tc>
        <w:tc>
          <w:tcPr>
            <w:tcW w:w="930" w:type="dxa"/>
            <w:hideMark/>
          </w:tcPr>
          <w:p w14:paraId="5D34F337" w14:textId="77777777" w:rsidR="00D77779" w:rsidRPr="00B11B68" w:rsidRDefault="00D77779" w:rsidP="008B25C8">
            <w:pPr>
              <w:rPr>
                <w:rFonts w:ascii="Arial" w:hAnsi="Arial" w:cs="Arial"/>
                <w:sz w:val="18"/>
                <w:lang w:val="en-US"/>
              </w:rPr>
            </w:pPr>
            <w:r w:rsidRPr="00B11B68">
              <w:rPr>
                <w:rFonts w:ascii="Arial" w:hAnsi="Arial" w:cs="Arial"/>
                <w:sz w:val="18"/>
              </w:rPr>
              <w:t>≥</w:t>
            </w:r>
            <w:r>
              <w:rPr>
                <w:rFonts w:ascii="Arial" w:hAnsi="Arial" w:cs="Arial"/>
                <w:sz w:val="18"/>
              </w:rPr>
              <w:t>[15.36]</w:t>
            </w:r>
            <w:r w:rsidRPr="00B11B68">
              <w:rPr>
                <w:rFonts w:ascii="Arial" w:hAnsi="Arial" w:cs="Arial"/>
                <w:sz w:val="18"/>
              </w:rPr>
              <w:t xml:space="preserve"> (</w:t>
            </w:r>
            <w:r>
              <w:rPr>
                <w:rFonts w:ascii="Arial" w:hAnsi="Arial" w:cs="Arial"/>
                <w:sz w:val="18"/>
              </w:rPr>
              <w:t>[12]</w:t>
            </w:r>
            <w:r w:rsidRPr="00B11B68">
              <w:rPr>
                <w:rFonts w:ascii="Arial" w:hAnsi="Arial" w:cs="Arial"/>
                <w:sz w:val="18"/>
              </w:rPr>
              <w:t>)</w:t>
            </w:r>
          </w:p>
        </w:tc>
        <w:tc>
          <w:tcPr>
            <w:tcW w:w="2431" w:type="dxa"/>
            <w:vMerge/>
            <w:hideMark/>
          </w:tcPr>
          <w:p w14:paraId="536378BE" w14:textId="77777777" w:rsidR="00D77779" w:rsidRPr="00B11B68" w:rsidRDefault="00D77779" w:rsidP="008B25C8">
            <w:pPr>
              <w:rPr>
                <w:rFonts w:ascii="Arial" w:hAnsi="Arial" w:cs="Arial"/>
                <w:sz w:val="18"/>
                <w:lang w:val="en-US"/>
              </w:rPr>
            </w:pPr>
          </w:p>
        </w:tc>
        <w:tc>
          <w:tcPr>
            <w:tcW w:w="1860" w:type="dxa"/>
            <w:hideMark/>
          </w:tcPr>
          <w:p w14:paraId="2A1C0337" w14:textId="77777777" w:rsidR="00D77779" w:rsidRPr="00896DB0" w:rsidRDefault="00D77779" w:rsidP="008B25C8">
            <w:pPr>
              <w:rPr>
                <w:rFonts w:ascii="Arial" w:hAnsi="Arial" w:cs="Arial"/>
                <w:sz w:val="18"/>
              </w:rPr>
            </w:pPr>
            <w:r w:rsidRPr="00B11B68">
              <w:rPr>
                <w:rFonts w:ascii="Arial" w:hAnsi="Arial" w:cs="Arial"/>
                <w:sz w:val="18"/>
              </w:rPr>
              <w:t>2.56</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0FB427EE" w14:textId="77777777" w:rsidR="00D77779" w:rsidRPr="00B11B68" w:rsidRDefault="00D77779" w:rsidP="008B25C8">
            <w:pPr>
              <w:rPr>
                <w:rFonts w:ascii="Arial" w:hAnsi="Arial" w:cs="Arial"/>
                <w:sz w:val="18"/>
              </w:rPr>
            </w:pPr>
            <w:r w:rsidRPr="00B11B68">
              <w:rPr>
                <w:rFonts w:ascii="Arial" w:hAnsi="Arial" w:cs="Arial"/>
                <w:sz w:val="18"/>
              </w:rPr>
              <w:t>5.12</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D77779" w:rsidRPr="00B85562" w14:paraId="4F88C4B6" w14:textId="77777777" w:rsidTr="008B25C8">
        <w:trPr>
          <w:trHeight w:val="336"/>
        </w:trPr>
        <w:tc>
          <w:tcPr>
            <w:tcW w:w="9016" w:type="dxa"/>
            <w:gridSpan w:val="6"/>
          </w:tcPr>
          <w:p w14:paraId="183E4BD2" w14:textId="77777777" w:rsidR="00D77779" w:rsidRPr="009C5807" w:rsidRDefault="00D77779" w:rsidP="008B25C8">
            <w:pPr>
              <w:pStyle w:val="TAN"/>
              <w:rPr>
                <w:snapToGrid w:val="0"/>
              </w:rPr>
            </w:pPr>
            <w:r w:rsidRPr="009C5807">
              <w:rPr>
                <w:snapToGrid w:val="0"/>
              </w:rPr>
              <w:t>Note 1</w:t>
            </w:r>
            <w:r w:rsidRPr="009C5807">
              <w:t>:</w:t>
            </w:r>
            <w:r w:rsidRPr="009C5807">
              <w:rPr>
                <w:lang w:val="en-US"/>
              </w:rPr>
              <w:tab/>
            </w:r>
            <w:r w:rsidRPr="000C5ADE">
              <w:rPr>
                <w:snapToGrid w:val="0"/>
              </w:rPr>
              <w:t>The number of DRX cycles in this table is given for the DRX cycles within PTWs.</w:t>
            </w:r>
          </w:p>
          <w:p w14:paraId="28EF630D" w14:textId="77777777" w:rsidR="00D77779" w:rsidRPr="009C5807" w:rsidRDefault="00D77779" w:rsidP="008B25C8">
            <w:pPr>
              <w:pStyle w:val="TAN"/>
              <w:rPr>
                <w:snapToGrid w:val="0"/>
              </w:rPr>
            </w:pPr>
            <w:r w:rsidRPr="009C5807">
              <w:rPr>
                <w:snapToGrid w:val="0"/>
              </w:rPr>
              <w:t xml:space="preserve">Note </w:t>
            </w:r>
            <w:r>
              <w:rPr>
                <w:snapToGrid w:val="0"/>
              </w:rPr>
              <w:t>2</w:t>
            </w:r>
            <w:r w:rsidRPr="009C5807">
              <w:t>:</w:t>
            </w:r>
            <w:r w:rsidRPr="009C5807">
              <w:rPr>
                <w:lang w:val="en-US"/>
              </w:rPr>
              <w:tab/>
            </w:r>
            <w:r w:rsidRPr="000C5ADE">
              <w:rPr>
                <w:snapToGrid w:val="0"/>
              </w:rPr>
              <w:t>The eDRX_IDLE cycle lengths are as specified in Section 10.5.5.32 of TS 24.008 [34].</w:t>
            </w:r>
          </w:p>
          <w:p w14:paraId="02B7A033" w14:textId="77777777" w:rsidR="00D77779" w:rsidRDefault="00D77779" w:rsidP="008B25C8">
            <w:pPr>
              <w:pStyle w:val="TAN"/>
              <w:rPr>
                <w:rFonts w:cs="Arial"/>
                <w:iCs/>
              </w:rPr>
            </w:pPr>
            <w:r w:rsidRPr="009C5807">
              <w:rPr>
                <w:snapToGrid w:val="0"/>
              </w:rPr>
              <w:t>Note</w:t>
            </w:r>
            <w:r w:rsidRPr="00691C10">
              <w:rPr>
                <w:rFonts w:cs="Arial"/>
              </w:rPr>
              <w:t xml:space="preserve"> </w:t>
            </w:r>
            <w:r>
              <w:rPr>
                <w:rFonts w:cs="Arial"/>
              </w:rPr>
              <w:t>3</w:t>
            </w:r>
            <w:r w:rsidRPr="00691C10">
              <w:rPr>
                <w:rFonts w:cs="Arial"/>
              </w:rPr>
              <w:t>:</w:t>
            </w:r>
            <w:r w:rsidRPr="009C5807">
              <w:rPr>
                <w:lang w:val="en-US"/>
              </w:rPr>
              <w:t xml:space="preserve"> </w:t>
            </w:r>
            <w:r w:rsidRPr="009C5807">
              <w:rPr>
                <w:lang w:val="en-US"/>
              </w:rPr>
              <w:tab/>
            </w:r>
            <w:r>
              <w:rPr>
                <w:rFonts w:cs="Arial"/>
              </w:rPr>
              <w:t xml:space="preserve">The lower bound of </w:t>
            </w:r>
            <w:r w:rsidRPr="007D1E39">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evaluate,NR_Intra_RedCap</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Pr>
                <w:rFonts w:cs="Arial"/>
                <w:iCs/>
              </w:rPr>
              <w:t>.</w:t>
            </w:r>
          </w:p>
          <w:p w14:paraId="59897A06" w14:textId="77777777" w:rsidR="00D77779" w:rsidRDefault="00D77779" w:rsidP="008B25C8">
            <w:pPr>
              <w:pStyle w:val="TAN"/>
              <w:rPr>
                <w:snapToGrid w:val="0"/>
              </w:rPr>
            </w:pPr>
            <w:r w:rsidRPr="009C5807">
              <w:rPr>
                <w:snapToGrid w:val="0"/>
              </w:rPr>
              <w:t xml:space="preserve">Note </w:t>
            </w:r>
            <w:r>
              <w:rPr>
                <w:snapToGrid w:val="0"/>
              </w:rPr>
              <w:t>4</w:t>
            </w:r>
            <w:r w:rsidRPr="009C5807">
              <w:rPr>
                <w:snapToGrid w:val="0"/>
              </w:rPr>
              <w:t>:</w:t>
            </w:r>
            <w:r w:rsidRPr="009C5807">
              <w:rPr>
                <w:lang w:val="en-US"/>
              </w:rPr>
              <w:tab/>
            </w:r>
            <w:r w:rsidRPr="009C5807">
              <w:rPr>
                <w:snapToGrid w:val="0"/>
              </w:rPr>
              <w:t>M2 = 1.5 if SMTC periodicity</w:t>
            </w:r>
            <w:r w:rsidRPr="009C5807">
              <w:t xml:space="preserve"> </w:t>
            </w:r>
            <w:r w:rsidRPr="009C5807">
              <w:rPr>
                <w:snapToGrid w:val="0"/>
              </w:rPr>
              <w:t>of measured intra-frequency cell &gt; 20 ms; otherwise M2=1.</w:t>
            </w:r>
            <w:r>
              <w:t xml:space="preserve"> </w:t>
            </w:r>
          </w:p>
          <w:p w14:paraId="0A1B2C8D" w14:textId="77777777" w:rsidR="00D77779" w:rsidRPr="0082197E" w:rsidRDefault="00D77779" w:rsidP="008B25C8">
            <w:pPr>
              <w:pStyle w:val="TAN"/>
              <w:rPr>
                <w:snapToGrid w:val="0"/>
              </w:rPr>
            </w:pPr>
            <w:r>
              <w:rPr>
                <w:snapToGrid w:val="0"/>
              </w:rPr>
              <w:t>Note 5:</w:t>
            </w:r>
            <w:r>
              <w:rPr>
                <w:snapToGrid w:val="0"/>
              </w:rPr>
              <w:tab/>
              <w:t>K1</w:t>
            </w:r>
            <w:r w:rsidRPr="002C65ED">
              <w:rPr>
                <w:snapToGrid w:val="0"/>
              </w:rPr>
              <w:t xml:space="preserve"> = </w:t>
            </w:r>
            <w:r>
              <w:rPr>
                <w:snapToGrid w:val="0"/>
              </w:rPr>
              <w:t>3</w:t>
            </w:r>
            <w:r w:rsidRPr="002C65ED">
              <w:rPr>
                <w:snapToGrid w:val="0"/>
              </w:rPr>
              <w:t xml:space="preserve"> is the measurement relaxation factor applicable for UE fulfilling the </w:t>
            </w:r>
            <w:r w:rsidRPr="001C6668">
              <w:rPr>
                <w:i/>
                <w:iCs/>
              </w:rPr>
              <w:t>lowMobilityEvaluation</w:t>
            </w:r>
            <w:r w:rsidRPr="002C65ED">
              <w:rPr>
                <w:snapToGrid w:val="0"/>
              </w:rPr>
              <w:t xml:space="preserve"> [2] criterion.</w:t>
            </w:r>
          </w:p>
        </w:tc>
      </w:tr>
    </w:tbl>
    <w:p w14:paraId="4CEF4964" w14:textId="77777777" w:rsidR="00D77779" w:rsidRDefault="00D77779" w:rsidP="00DE2AEA"/>
    <w:p w14:paraId="12DF61EA" w14:textId="77777777" w:rsidR="00D77779" w:rsidRPr="00327784" w:rsidRDefault="00D77779" w:rsidP="00DE2AEA">
      <w:pPr>
        <w:pStyle w:val="TH"/>
        <w:rPr>
          <w:lang w:val="en-US"/>
        </w:rPr>
      </w:pPr>
      <w:r w:rsidRPr="0063257B">
        <w:rPr>
          <w:lang w:val="en-US"/>
        </w:rPr>
        <w:t>Table 4.2B.2.9.9-</w:t>
      </w:r>
      <w:r>
        <w:rPr>
          <w:lang w:val="en-US"/>
        </w:rPr>
        <w:t>6</w:t>
      </w:r>
      <w:r w:rsidRPr="00327784">
        <w:rPr>
          <w:lang w:val="en-US"/>
        </w:rPr>
        <w:t>: T</w:t>
      </w:r>
      <w:r w:rsidRPr="00327784">
        <w:rPr>
          <w:vertAlign w:val="subscript"/>
          <w:lang w:val="en-US"/>
        </w:rPr>
        <w:t>detect,NR_Intra_RedCap_Relax</w:t>
      </w:r>
      <w:r w:rsidRPr="00327784">
        <w:rPr>
          <w:lang w:val="en-US"/>
        </w:rPr>
        <w:t>, T</w:t>
      </w:r>
      <w:r w:rsidRPr="00327784">
        <w:rPr>
          <w:vertAlign w:val="subscript"/>
          <w:lang w:val="en-US"/>
        </w:rPr>
        <w:t>measure,NR_Intra_RedCap_Relax</w:t>
      </w:r>
      <w:r w:rsidRPr="00327784">
        <w:rPr>
          <w:lang w:val="en-US"/>
        </w:rPr>
        <w:t xml:space="preserve"> and T</w:t>
      </w:r>
      <w:r w:rsidRPr="00327784">
        <w:rPr>
          <w:vertAlign w:val="subscript"/>
          <w:lang w:val="en-US"/>
        </w:rPr>
        <w:t>evaluate,NR_Intra_RedCap_Relax</w:t>
      </w:r>
      <w:r w:rsidRPr="00327784">
        <w:rPr>
          <w:lang w:val="en-US"/>
        </w:rPr>
        <w:t xml:space="preserve"> for UE configured with eDRX_IDLE cycle (Frequency range FR2)</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757"/>
        <w:gridCol w:w="977"/>
        <w:gridCol w:w="882"/>
        <w:gridCol w:w="2408"/>
        <w:gridCol w:w="64"/>
        <w:gridCol w:w="1528"/>
        <w:gridCol w:w="1621"/>
      </w:tblGrid>
      <w:tr w:rsidR="00D77779" w:rsidRPr="00B85562" w14:paraId="390B2C46" w14:textId="77777777" w:rsidTr="008B25C8">
        <w:trPr>
          <w:trHeight w:val="1692"/>
        </w:trPr>
        <w:tc>
          <w:tcPr>
            <w:tcW w:w="639" w:type="pct"/>
            <w:hideMark/>
          </w:tcPr>
          <w:p w14:paraId="1EBC06A8" w14:textId="77777777" w:rsidR="00D77779" w:rsidRPr="00581E8E" w:rsidRDefault="00D77779" w:rsidP="008B25C8">
            <w:pPr>
              <w:rPr>
                <w:rFonts w:ascii="Arial" w:hAnsi="Arial" w:cs="Arial"/>
                <w:sz w:val="18"/>
                <w:lang w:val="en-US"/>
              </w:rPr>
            </w:pPr>
            <w:r w:rsidRPr="00581E8E">
              <w:rPr>
                <w:rFonts w:ascii="Arial" w:hAnsi="Arial" w:cs="Arial"/>
                <w:b/>
                <w:sz w:val="18"/>
              </w:rPr>
              <w:t>eDRX_IDLE cycle length [s]</w:t>
            </w:r>
          </w:p>
        </w:tc>
        <w:tc>
          <w:tcPr>
            <w:tcW w:w="401" w:type="pct"/>
            <w:hideMark/>
          </w:tcPr>
          <w:p w14:paraId="2E581ACC" w14:textId="77777777" w:rsidR="00D77779" w:rsidRPr="00581E8E" w:rsidRDefault="00D77779" w:rsidP="008B25C8">
            <w:pPr>
              <w:rPr>
                <w:rFonts w:ascii="Arial" w:hAnsi="Arial" w:cs="Arial"/>
                <w:sz w:val="18"/>
                <w:lang w:val="en-US"/>
              </w:rPr>
            </w:pPr>
            <w:r w:rsidRPr="00581E8E">
              <w:rPr>
                <w:rFonts w:ascii="Arial" w:hAnsi="Arial" w:cs="Arial"/>
                <w:b/>
                <w:sz w:val="18"/>
              </w:rPr>
              <w:t>DRX cycle length [s]</w:t>
            </w:r>
          </w:p>
        </w:tc>
        <w:tc>
          <w:tcPr>
            <w:tcW w:w="517" w:type="pct"/>
            <w:hideMark/>
          </w:tcPr>
          <w:p w14:paraId="0508CDB1" w14:textId="77777777" w:rsidR="00D77779" w:rsidRPr="00581E8E" w:rsidRDefault="00D77779" w:rsidP="008B25C8">
            <w:pPr>
              <w:rPr>
                <w:rFonts w:ascii="Arial" w:hAnsi="Arial" w:cs="Arial"/>
                <w:sz w:val="18"/>
                <w:lang w:val="en-US"/>
              </w:rPr>
            </w:pPr>
            <w:r w:rsidRPr="00581E8E">
              <w:rPr>
                <w:rFonts w:ascii="Arial" w:hAnsi="Arial" w:cs="Arial"/>
                <w:b/>
                <w:sz w:val="18"/>
              </w:rPr>
              <w:t>PTW length [s] (number of 1.28s periods)</w:t>
            </w:r>
          </w:p>
        </w:tc>
        <w:tc>
          <w:tcPr>
            <w:tcW w:w="467" w:type="pct"/>
          </w:tcPr>
          <w:p w14:paraId="3DC7C103" w14:textId="77777777" w:rsidR="00D77779" w:rsidRPr="00581E8E" w:rsidRDefault="00D77779" w:rsidP="008B25C8">
            <w:pPr>
              <w:rPr>
                <w:rFonts w:ascii="Arial" w:hAnsi="Arial" w:cs="Arial"/>
                <w:b/>
                <w:sz w:val="18"/>
              </w:rPr>
            </w:pPr>
            <w:r w:rsidRPr="00581E8E">
              <w:rPr>
                <w:rFonts w:ascii="Arial" w:hAnsi="Arial" w:cs="Arial"/>
                <w:b/>
                <w:sz w:val="18"/>
              </w:rPr>
              <w:t>Scaling Factor (N1)</w:t>
            </w:r>
            <w:r w:rsidRPr="002615F9">
              <w:rPr>
                <w:rFonts w:ascii="Arial" w:hAnsi="Arial" w:cs="Arial"/>
                <w:vertAlign w:val="superscript"/>
              </w:rPr>
              <w:t xml:space="preserve"> Note1</w:t>
            </w:r>
          </w:p>
        </w:tc>
        <w:tc>
          <w:tcPr>
            <w:tcW w:w="1275" w:type="pct"/>
            <w:hideMark/>
          </w:tcPr>
          <w:p w14:paraId="33447565" w14:textId="77777777" w:rsidR="00D77779" w:rsidRPr="00581E8E" w:rsidRDefault="00D77779" w:rsidP="008B25C8">
            <w:pPr>
              <w:rPr>
                <w:rFonts w:ascii="Arial" w:hAnsi="Arial" w:cs="Arial"/>
                <w:sz w:val="18"/>
                <w:lang w:val="en-US"/>
              </w:rPr>
            </w:pPr>
            <w:r w:rsidRPr="00581E8E">
              <w:rPr>
                <w:rFonts w:ascii="Arial" w:hAnsi="Arial" w:cs="Arial"/>
                <w:b/>
                <w:bCs/>
                <w:sz w:val="18"/>
                <w:szCs w:val="18"/>
              </w:rPr>
              <w:t>T</w:t>
            </w:r>
            <w:r w:rsidRPr="00581E8E">
              <w:rPr>
                <w:rFonts w:ascii="Arial" w:hAnsi="Arial" w:cs="Arial"/>
                <w:b/>
                <w:bCs/>
                <w:sz w:val="18"/>
                <w:szCs w:val="18"/>
                <w:vertAlign w:val="subscript"/>
              </w:rPr>
              <w:t>detect,NR_Int</w:t>
            </w:r>
            <w:r>
              <w:rPr>
                <w:rFonts w:ascii="Arial" w:hAnsi="Arial" w:cs="Arial"/>
                <w:b/>
                <w:bCs/>
                <w:sz w:val="18"/>
                <w:szCs w:val="18"/>
                <w:vertAlign w:val="subscript"/>
              </w:rPr>
              <w:t>ra</w:t>
            </w:r>
            <w:r w:rsidRPr="00581E8E">
              <w:rPr>
                <w:rFonts w:ascii="Arial" w:hAnsi="Arial" w:cs="Arial"/>
                <w:b/>
                <w:bCs/>
                <w:sz w:val="18"/>
                <w:szCs w:val="18"/>
                <w:vertAlign w:val="subscript"/>
              </w:rPr>
              <w:t>_RedCap</w:t>
            </w:r>
            <w:r>
              <w:rPr>
                <w:rFonts w:ascii="Arial" w:hAnsi="Arial" w:cs="Arial"/>
                <w:b/>
                <w:bCs/>
                <w:sz w:val="18"/>
                <w:szCs w:val="18"/>
                <w:vertAlign w:val="subscript"/>
              </w:rPr>
              <w:t>_Relax</w:t>
            </w:r>
            <w:r w:rsidRPr="00581E8E">
              <w:rPr>
                <w:rFonts w:ascii="Arial" w:hAnsi="Arial" w:cs="Arial"/>
                <w:b/>
                <w:sz w:val="18"/>
                <w:szCs w:val="18"/>
              </w:rPr>
              <w:t xml:space="preserve"> [s] (number of DRX cycles</w:t>
            </w:r>
            <w:r>
              <w:rPr>
                <w:rFonts w:ascii="Arial" w:hAnsi="Arial" w:cs="Arial"/>
                <w:b/>
                <w:bCs/>
                <w:sz w:val="18"/>
                <w:szCs w:val="18"/>
              </w:rPr>
              <w:t xml:space="preserve"> or eDRX cycles </w:t>
            </w:r>
            <w:r w:rsidRPr="00CD5296">
              <w:rPr>
                <w:rFonts w:ascii="Arial" w:hAnsi="Arial" w:cs="Arial"/>
                <w:b/>
                <w:bCs/>
                <w:sz w:val="18"/>
                <w:szCs w:val="18"/>
                <w:vertAlign w:val="superscript"/>
              </w:rPr>
              <w:t>Note 3</w:t>
            </w:r>
            <w:r w:rsidRPr="00581E8E">
              <w:rPr>
                <w:rFonts w:ascii="Arial" w:hAnsi="Arial" w:cs="Arial"/>
                <w:b/>
                <w:sz w:val="18"/>
                <w:szCs w:val="18"/>
              </w:rPr>
              <w:t>)</w:t>
            </w:r>
          </w:p>
        </w:tc>
        <w:tc>
          <w:tcPr>
            <w:tcW w:w="843" w:type="pct"/>
            <w:gridSpan w:val="2"/>
            <w:hideMark/>
          </w:tcPr>
          <w:p w14:paraId="64586D58" w14:textId="77777777" w:rsidR="00D77779" w:rsidRPr="00581E8E" w:rsidRDefault="00D77779" w:rsidP="008B25C8">
            <w:pPr>
              <w:rPr>
                <w:rFonts w:ascii="Arial" w:hAnsi="Arial" w:cs="Arial"/>
                <w:sz w:val="18"/>
                <w:lang w:val="en-US"/>
              </w:rPr>
            </w:pPr>
            <w:r w:rsidRPr="00581E8E">
              <w:rPr>
                <w:rFonts w:ascii="Arial" w:hAnsi="Arial" w:cs="Arial"/>
                <w:b/>
                <w:bCs/>
                <w:sz w:val="18"/>
                <w:szCs w:val="18"/>
              </w:rPr>
              <w:t>T</w:t>
            </w:r>
            <w:r w:rsidRPr="00581E8E">
              <w:rPr>
                <w:rFonts w:ascii="Arial" w:hAnsi="Arial" w:cs="Arial"/>
                <w:b/>
                <w:bCs/>
                <w:sz w:val="18"/>
                <w:szCs w:val="18"/>
                <w:vertAlign w:val="subscript"/>
              </w:rPr>
              <w:t>measure,NR_Int</w:t>
            </w:r>
            <w:r>
              <w:rPr>
                <w:rFonts w:ascii="Arial" w:hAnsi="Arial" w:cs="Arial"/>
                <w:b/>
                <w:bCs/>
                <w:sz w:val="18"/>
                <w:szCs w:val="18"/>
                <w:vertAlign w:val="subscript"/>
              </w:rPr>
              <w:t>ra</w:t>
            </w:r>
            <w:r w:rsidRPr="00581E8E">
              <w:rPr>
                <w:rFonts w:ascii="Arial" w:hAnsi="Arial" w:cs="Arial"/>
                <w:b/>
                <w:bCs/>
                <w:sz w:val="18"/>
                <w:szCs w:val="18"/>
                <w:vertAlign w:val="subscript"/>
              </w:rPr>
              <w:t>_RedCap</w:t>
            </w:r>
            <w:r>
              <w:rPr>
                <w:rFonts w:ascii="Arial" w:hAnsi="Arial" w:cs="Arial"/>
                <w:b/>
                <w:bCs/>
                <w:sz w:val="18"/>
                <w:szCs w:val="18"/>
                <w:vertAlign w:val="subscript"/>
              </w:rPr>
              <w:t>_Relax</w:t>
            </w:r>
            <w:r w:rsidRPr="00581E8E">
              <w:rPr>
                <w:sz w:val="18"/>
                <w:szCs w:val="18"/>
              </w:rPr>
              <w:t xml:space="preserve"> </w:t>
            </w:r>
            <w:r w:rsidRPr="00581E8E">
              <w:rPr>
                <w:rFonts w:ascii="Arial" w:hAnsi="Arial" w:cs="Arial"/>
                <w:b/>
                <w:sz w:val="18"/>
                <w:szCs w:val="18"/>
              </w:rPr>
              <w:t>[s] (number of DRX cycles</w:t>
            </w:r>
            <w:r>
              <w:rPr>
                <w:rFonts w:ascii="Arial" w:hAnsi="Arial" w:cs="Arial"/>
                <w:b/>
                <w:bCs/>
                <w:sz w:val="18"/>
                <w:szCs w:val="18"/>
              </w:rPr>
              <w:t xml:space="preserve"> or eDRX cycles </w:t>
            </w:r>
            <w:r w:rsidRPr="00CD5296">
              <w:rPr>
                <w:rFonts w:ascii="Arial" w:hAnsi="Arial" w:cs="Arial"/>
                <w:b/>
                <w:bCs/>
                <w:sz w:val="18"/>
                <w:szCs w:val="18"/>
                <w:vertAlign w:val="superscript"/>
              </w:rPr>
              <w:t>Note 3</w:t>
            </w:r>
            <w:r w:rsidRPr="00581E8E">
              <w:rPr>
                <w:rFonts w:ascii="Arial" w:hAnsi="Arial" w:cs="Arial"/>
                <w:b/>
                <w:sz w:val="18"/>
                <w:szCs w:val="18"/>
              </w:rPr>
              <w:t>)</w:t>
            </w:r>
          </w:p>
        </w:tc>
        <w:tc>
          <w:tcPr>
            <w:tcW w:w="858" w:type="pct"/>
            <w:hideMark/>
          </w:tcPr>
          <w:p w14:paraId="2F67B804" w14:textId="77777777" w:rsidR="00D77779" w:rsidRPr="00581E8E" w:rsidRDefault="00D77779" w:rsidP="008B25C8">
            <w:pPr>
              <w:rPr>
                <w:rFonts w:ascii="Arial" w:hAnsi="Arial" w:cs="Arial"/>
                <w:sz w:val="18"/>
                <w:lang w:val="en-US"/>
              </w:rPr>
            </w:pPr>
            <w:r w:rsidRPr="00581E8E">
              <w:rPr>
                <w:rFonts w:ascii="Arial" w:hAnsi="Arial" w:cs="Arial"/>
                <w:b/>
                <w:bCs/>
                <w:sz w:val="18"/>
                <w:szCs w:val="18"/>
              </w:rPr>
              <w:t>T</w:t>
            </w:r>
            <w:r w:rsidRPr="00581E8E">
              <w:rPr>
                <w:rFonts w:ascii="Arial" w:hAnsi="Arial" w:cs="Arial"/>
                <w:b/>
                <w:bCs/>
                <w:sz w:val="18"/>
                <w:szCs w:val="18"/>
                <w:vertAlign w:val="subscript"/>
              </w:rPr>
              <w:t>evaluate,NR_Int</w:t>
            </w:r>
            <w:r>
              <w:rPr>
                <w:rFonts w:ascii="Arial" w:hAnsi="Arial" w:cs="Arial"/>
                <w:b/>
                <w:bCs/>
                <w:sz w:val="18"/>
                <w:szCs w:val="18"/>
                <w:vertAlign w:val="subscript"/>
              </w:rPr>
              <w:t>ra</w:t>
            </w:r>
            <w:r w:rsidRPr="00581E8E">
              <w:rPr>
                <w:rFonts w:ascii="Arial" w:hAnsi="Arial" w:cs="Arial"/>
                <w:b/>
                <w:bCs/>
                <w:sz w:val="18"/>
                <w:szCs w:val="18"/>
                <w:vertAlign w:val="subscript"/>
              </w:rPr>
              <w:t>_RedCap</w:t>
            </w:r>
            <w:r>
              <w:rPr>
                <w:rFonts w:ascii="Arial" w:hAnsi="Arial" w:cs="Arial"/>
                <w:b/>
                <w:bCs/>
                <w:sz w:val="18"/>
                <w:szCs w:val="18"/>
                <w:vertAlign w:val="subscript"/>
              </w:rPr>
              <w:t>_Relax</w:t>
            </w:r>
            <w:r w:rsidRPr="00581E8E">
              <w:rPr>
                <w:sz w:val="18"/>
                <w:szCs w:val="18"/>
                <w:vertAlign w:val="subscript"/>
                <w:lang w:val="en-US"/>
              </w:rPr>
              <w:t xml:space="preserve"> </w:t>
            </w:r>
            <w:r w:rsidRPr="00581E8E">
              <w:rPr>
                <w:rFonts w:ascii="Arial" w:hAnsi="Arial" w:cs="Arial"/>
                <w:b/>
                <w:sz w:val="18"/>
                <w:szCs w:val="18"/>
              </w:rPr>
              <w:t>[s] (number of DRX cycles</w:t>
            </w:r>
            <w:r>
              <w:rPr>
                <w:rFonts w:ascii="Arial" w:hAnsi="Arial" w:cs="Arial"/>
                <w:b/>
                <w:bCs/>
                <w:sz w:val="18"/>
                <w:szCs w:val="18"/>
              </w:rPr>
              <w:t xml:space="preserve"> or eDRX cycles </w:t>
            </w:r>
            <w:r w:rsidRPr="00CD5296">
              <w:rPr>
                <w:rFonts w:ascii="Arial" w:hAnsi="Arial" w:cs="Arial"/>
                <w:b/>
                <w:bCs/>
                <w:sz w:val="18"/>
                <w:szCs w:val="18"/>
                <w:vertAlign w:val="superscript"/>
              </w:rPr>
              <w:t>Note 3</w:t>
            </w:r>
            <w:r w:rsidRPr="00581E8E">
              <w:rPr>
                <w:rFonts w:ascii="Arial" w:hAnsi="Arial" w:cs="Arial"/>
                <w:b/>
                <w:sz w:val="18"/>
                <w:szCs w:val="18"/>
              </w:rPr>
              <w:t>)</w:t>
            </w:r>
          </w:p>
        </w:tc>
      </w:tr>
      <w:tr w:rsidR="00D77779" w:rsidRPr="00B85562" w14:paraId="226FB3A2" w14:textId="77777777" w:rsidTr="008B25C8">
        <w:trPr>
          <w:trHeight w:val="673"/>
        </w:trPr>
        <w:tc>
          <w:tcPr>
            <w:tcW w:w="639" w:type="pct"/>
            <w:vMerge w:val="restart"/>
            <w:hideMark/>
          </w:tcPr>
          <w:p w14:paraId="7CAE4375" w14:textId="77777777" w:rsidR="00D77779" w:rsidRPr="00581E8E" w:rsidRDefault="00D77779" w:rsidP="008B25C8">
            <w:pPr>
              <w:rPr>
                <w:rFonts w:ascii="Arial" w:hAnsi="Arial" w:cs="Arial"/>
                <w:sz w:val="18"/>
                <w:lang w:val="en-US"/>
              </w:rPr>
            </w:pPr>
            <w:r w:rsidRPr="00581E8E">
              <w:rPr>
                <w:rFonts w:ascii="Arial" w:hAnsi="Arial" w:cs="Arial"/>
                <w:sz w:val="18"/>
              </w:rPr>
              <w:t>20.48 ≤</w:t>
            </w:r>
            <w:r w:rsidRPr="00CA7017">
              <w:rPr>
                <w:rFonts w:cs="Arial"/>
              </w:rPr>
              <w:t xml:space="preserve"> </w:t>
            </w:r>
            <w:r w:rsidRPr="00581E8E">
              <w:rPr>
                <w:rFonts w:ascii="Arial" w:hAnsi="Arial" w:cs="Arial"/>
                <w:sz w:val="18"/>
              </w:rPr>
              <w:t xml:space="preserve"> eDRX_IDLE cycle length ≤</w:t>
            </w:r>
            <w:r>
              <w:rPr>
                <w:rFonts w:ascii="Arial" w:hAnsi="Arial" w:cs="Arial"/>
                <w:sz w:val="18"/>
              </w:rPr>
              <w:t>[163.84]</w:t>
            </w:r>
          </w:p>
        </w:tc>
        <w:tc>
          <w:tcPr>
            <w:tcW w:w="401" w:type="pct"/>
            <w:hideMark/>
          </w:tcPr>
          <w:p w14:paraId="445ECB07" w14:textId="77777777" w:rsidR="00D77779" w:rsidRPr="00581E8E" w:rsidRDefault="00D77779" w:rsidP="008B25C8">
            <w:pPr>
              <w:rPr>
                <w:rFonts w:ascii="Arial" w:hAnsi="Arial" w:cs="Arial"/>
                <w:sz w:val="18"/>
                <w:lang w:val="en-US"/>
              </w:rPr>
            </w:pPr>
            <w:r w:rsidRPr="00581E8E">
              <w:rPr>
                <w:rFonts w:ascii="Arial" w:hAnsi="Arial" w:cs="Arial"/>
                <w:sz w:val="18"/>
              </w:rPr>
              <w:t>0.32</w:t>
            </w:r>
          </w:p>
        </w:tc>
        <w:tc>
          <w:tcPr>
            <w:tcW w:w="517" w:type="pct"/>
            <w:hideMark/>
          </w:tcPr>
          <w:p w14:paraId="039F9833" w14:textId="77777777" w:rsidR="00D77779" w:rsidRPr="00581E8E" w:rsidRDefault="00D77779" w:rsidP="008B25C8">
            <w:pPr>
              <w:rPr>
                <w:rFonts w:ascii="Arial" w:hAnsi="Arial" w:cs="Arial"/>
                <w:sz w:val="18"/>
                <w:lang w:val="en-US"/>
              </w:rPr>
            </w:pPr>
            <w:r w:rsidRPr="00581E8E">
              <w:rPr>
                <w:rFonts w:ascii="Arial" w:hAnsi="Arial" w:cs="Arial"/>
                <w:sz w:val="18"/>
              </w:rPr>
              <w:t>≥</w:t>
            </w:r>
            <w:r>
              <w:rPr>
                <w:rFonts w:ascii="Arial" w:hAnsi="Arial" w:cs="Arial"/>
                <w:sz w:val="18"/>
              </w:rPr>
              <w:t>15.36</w:t>
            </w:r>
            <w:r w:rsidRPr="00581E8E">
              <w:rPr>
                <w:rFonts w:ascii="Arial" w:hAnsi="Arial" w:cs="Arial"/>
                <w:sz w:val="18"/>
              </w:rPr>
              <w:t xml:space="preserve"> (</w:t>
            </w:r>
            <w:r>
              <w:rPr>
                <w:rFonts w:ascii="Arial" w:hAnsi="Arial" w:cs="Arial"/>
                <w:sz w:val="18"/>
              </w:rPr>
              <w:t>12</w:t>
            </w:r>
            <w:r w:rsidRPr="00581E8E">
              <w:rPr>
                <w:rFonts w:ascii="Arial" w:hAnsi="Arial" w:cs="Arial"/>
                <w:sz w:val="18"/>
              </w:rPr>
              <w:t>)</w:t>
            </w:r>
          </w:p>
        </w:tc>
        <w:tc>
          <w:tcPr>
            <w:tcW w:w="467" w:type="pct"/>
          </w:tcPr>
          <w:p w14:paraId="1C9E890A" w14:textId="77777777" w:rsidR="00D77779" w:rsidRPr="00581E8E" w:rsidRDefault="00D77779" w:rsidP="008B25C8">
            <w:pPr>
              <w:rPr>
                <w:rFonts w:ascii="Arial" w:hAnsi="Arial"/>
                <w:sz w:val="18"/>
                <w:lang w:val="en-US"/>
              </w:rPr>
            </w:pPr>
            <w:r>
              <w:rPr>
                <w:rFonts w:ascii="Arial" w:hAnsi="Arial"/>
                <w:sz w:val="18"/>
                <w:lang w:val="en-US"/>
              </w:rPr>
              <w:t>8</w:t>
            </w:r>
          </w:p>
        </w:tc>
        <w:tc>
          <w:tcPr>
            <w:tcW w:w="1309" w:type="pct"/>
            <w:gridSpan w:val="2"/>
            <w:vMerge w:val="restart"/>
            <w:hideMark/>
          </w:tcPr>
          <w:p w14:paraId="08FBF411" w14:textId="77777777" w:rsidR="00D77779" w:rsidRPr="004E7C48" w:rsidRDefault="00D77779" w:rsidP="008B25C8">
            <w:pPr>
              <w:rPr>
                <w:rFonts w:ascii="Arial" w:hAnsi="Arial" w:cs="Arial"/>
                <w:sz w:val="18"/>
                <w:lang w:val="sv-SE"/>
              </w:rPr>
            </w:pPr>
            <w:r>
              <w:rPr>
                <w:rFonts w:cs="Arial"/>
                <w:lang w:val="sv-SE"/>
              </w:rPr>
              <w:t xml:space="preserve">K1 x </w:t>
            </w:r>
            <m:oMath>
              <m:r>
                <w:rPr>
                  <w:rFonts w:ascii="Cambria Math" w:hAnsi="Cambria Math" w:cs="Arial"/>
                  <w:sz w:val="18"/>
                  <w:lang w:val="en-US"/>
                </w:rPr>
                <m:t>eDRX</m:t>
              </m:r>
              <m:r>
                <m:rPr>
                  <m:sty m:val="p"/>
                </m:rPr>
                <w:rPr>
                  <w:rFonts w:ascii="Cambria Math" w:hAnsi="Cambria Math" w:cs="Arial"/>
                  <w:sz w:val="18"/>
                  <w:lang w:val="sv-SE"/>
                </w:rPr>
                <m:t>_</m:t>
              </m:r>
              <m:r>
                <w:rPr>
                  <w:rFonts w:ascii="Cambria Math" w:hAnsi="Cambria Math" w:cs="Arial"/>
                  <w:sz w:val="18"/>
                  <w:lang w:val="en-US"/>
                </w:rPr>
                <m:t>cycl</m:t>
              </m:r>
              <m:r>
                <m:rPr>
                  <m:sty m:val="p"/>
                </m:rPr>
                <w:rPr>
                  <w:rFonts w:ascii="Cambria Math" w:hAnsi="Cambria Math" w:cs="Arial"/>
                  <w:sz w:val="18"/>
                  <w:lang w:val="sv-SE"/>
                </w:rPr>
                <m:t>e_</m:t>
              </m:r>
              <m:r>
                <w:rPr>
                  <w:rFonts w:ascii="Cambria Math" w:hAnsi="Cambria Math" w:cs="Arial"/>
                  <w:sz w:val="18"/>
                  <w:lang w:val="en-US"/>
                </w:rPr>
                <m:t>lengt</m:t>
              </m:r>
              <m:r>
                <w:rPr>
                  <w:rFonts w:ascii="Cambria Math" w:hAnsi="Cambria Math" w:cs="Arial"/>
                  <w:sz w:val="18"/>
                  <w:lang w:val="sv-SE"/>
                </w:rPr>
                <m:t>h×</m:t>
              </m:r>
              <m:d>
                <m:dPr>
                  <m:begChr m:val="⌈"/>
                  <m:endChr m:val="⌉"/>
                  <m:ctrlPr>
                    <w:rPr>
                      <w:rFonts w:ascii="Cambria Math" w:hAnsi="Cambria Math" w:cs="Arial"/>
                      <w:i/>
                      <w:sz w:val="18"/>
                      <w:lang w:val="en-US"/>
                    </w:rPr>
                  </m:ctrlPr>
                </m:dPr>
                <m:e>
                  <m:f>
                    <m:fPr>
                      <m:ctrlPr>
                        <w:rPr>
                          <w:rFonts w:ascii="Cambria Math" w:hAnsi="Cambria Math" w:cs="Arial"/>
                          <w:i/>
                          <w:sz w:val="18"/>
                          <w:lang w:val="en-US"/>
                        </w:rPr>
                      </m:ctrlPr>
                    </m:fPr>
                    <m:num>
                      <m:r>
                        <w:rPr>
                          <w:rFonts w:ascii="Cambria Math" w:hAnsi="Cambria Math" w:cs="Arial"/>
                          <w:sz w:val="18"/>
                          <w:lang w:val="sv-SE"/>
                        </w:rPr>
                        <m:t>23×</m:t>
                      </m:r>
                      <m:r>
                        <w:rPr>
                          <w:rFonts w:ascii="Cambria Math" w:hAnsi="Cambria Math" w:cs="Arial"/>
                          <w:sz w:val="18"/>
                          <w:lang w:val="en-US"/>
                        </w:rPr>
                        <m:t>N</m:t>
                      </m:r>
                      <m:r>
                        <w:rPr>
                          <w:rFonts w:ascii="Cambria Math" w:hAnsi="Cambria Math" w:cs="Arial"/>
                          <w:sz w:val="18"/>
                          <w:lang w:val="sv-SE"/>
                        </w:rPr>
                        <m:t>1</m:t>
                      </m:r>
                    </m:num>
                    <m:den>
                      <m:r>
                        <w:rPr>
                          <w:rFonts w:ascii="Cambria Math" w:hAnsi="Cambria Math" w:cs="Arial"/>
                          <w:sz w:val="18"/>
                          <w:lang w:val="en-US"/>
                        </w:rPr>
                        <m:t>PTW</m:t>
                      </m:r>
                      <m:r>
                        <w:rPr>
                          <w:rFonts w:ascii="Cambria Math" w:hAnsi="Cambria Math" w:cs="Arial"/>
                          <w:sz w:val="18"/>
                          <w:lang w:val="sv-SE"/>
                        </w:rPr>
                        <m:t>/</m:t>
                      </m:r>
                      <m:r>
                        <w:rPr>
                          <w:rFonts w:ascii="Cambria Math" w:hAnsi="Cambria Math" w:cs="Arial"/>
                          <w:sz w:val="18"/>
                          <w:lang w:val="en-US"/>
                        </w:rPr>
                        <m:t>DRX</m:t>
                      </m:r>
                      <m:r>
                        <w:rPr>
                          <w:rFonts w:ascii="Cambria Math" w:hAnsi="Cambria Math" w:cs="Arial"/>
                          <w:sz w:val="18"/>
                          <w:lang w:val="sv-SE"/>
                        </w:rPr>
                        <m:t>_</m:t>
                      </m:r>
                      <m:r>
                        <w:rPr>
                          <w:rFonts w:ascii="Cambria Math" w:hAnsi="Cambria Math" w:cs="Arial"/>
                          <w:sz w:val="18"/>
                          <w:lang w:val="en-US"/>
                        </w:rPr>
                        <m:t>cycle</m:t>
                      </m:r>
                      <m:r>
                        <w:rPr>
                          <w:rFonts w:ascii="Cambria Math" w:hAnsi="Cambria Math" w:cs="Arial"/>
                          <w:sz w:val="18"/>
                          <w:lang w:val="sv-SE"/>
                        </w:rPr>
                        <m:t>_</m:t>
                      </m:r>
                      <m:r>
                        <w:rPr>
                          <w:rFonts w:ascii="Cambria Math" w:hAnsi="Cambria Math" w:cs="Arial"/>
                          <w:sz w:val="18"/>
                          <w:lang w:val="en-US"/>
                        </w:rPr>
                        <m:t>lengt</m:t>
                      </m:r>
                      <m:r>
                        <w:rPr>
                          <w:rFonts w:ascii="Cambria Math" w:hAnsi="Cambria Math" w:cs="Arial"/>
                          <w:sz w:val="18"/>
                          <w:lang w:val="sv-SE"/>
                        </w:rPr>
                        <m:t>h</m:t>
                      </m:r>
                    </m:den>
                  </m:f>
                </m:e>
              </m:d>
            </m:oMath>
          </w:p>
          <w:p w14:paraId="44CEE2D4" w14:textId="77777777" w:rsidR="00D77779" w:rsidRPr="00581E8E" w:rsidRDefault="00D77779" w:rsidP="008B25C8">
            <w:pPr>
              <w:rPr>
                <w:rFonts w:ascii="Arial" w:hAnsi="Arial" w:cs="Arial"/>
                <w:sz w:val="18"/>
                <w:lang w:val="en-US"/>
              </w:rPr>
            </w:pPr>
            <w:r w:rsidRPr="00581E8E">
              <w:rPr>
                <w:rFonts w:ascii="Arial" w:hAnsi="Arial" w:cs="Arial"/>
                <w:sz w:val="18"/>
                <w:lang w:val="en-US"/>
              </w:rPr>
              <w:t>(23</w:t>
            </w:r>
            <w:r w:rsidRPr="00581E8E">
              <w:rPr>
                <w:rFonts w:ascii="Arial" w:hAnsi="Arial" w:cs="Arial"/>
                <w:sz w:val="18"/>
              </w:rPr>
              <w:t xml:space="preserve"> x N1</w:t>
            </w:r>
            <w:r w:rsidRPr="0082197E">
              <w:rPr>
                <w:lang w:val="sv-SE"/>
              </w:rPr>
              <w:t xml:space="preserve"> x </w:t>
            </w:r>
            <w:r>
              <w:rPr>
                <w:rFonts w:cs="Arial"/>
                <w:lang w:val="sv-SE"/>
              </w:rPr>
              <w:t>K1</w:t>
            </w:r>
            <w:r w:rsidRPr="00581E8E">
              <w:rPr>
                <w:rFonts w:ascii="Arial" w:hAnsi="Arial" w:cs="Arial"/>
                <w:sz w:val="18"/>
                <w:lang w:val="en-US"/>
              </w:rPr>
              <w:t>)</w:t>
            </w:r>
          </w:p>
        </w:tc>
        <w:tc>
          <w:tcPr>
            <w:tcW w:w="809" w:type="pct"/>
            <w:hideMark/>
          </w:tcPr>
          <w:p w14:paraId="4FE0B0C3" w14:textId="77777777" w:rsidR="00D77779" w:rsidRPr="00896DB0" w:rsidRDefault="00D77779" w:rsidP="008B25C8">
            <w:pPr>
              <w:rPr>
                <w:rFonts w:ascii="Arial" w:hAnsi="Arial" w:cs="Arial"/>
                <w:sz w:val="18"/>
              </w:rPr>
            </w:pPr>
            <w:r w:rsidRPr="00581E8E">
              <w:rPr>
                <w:rFonts w:ascii="Arial" w:hAnsi="Arial" w:cs="Arial"/>
                <w:sz w:val="18"/>
              </w:rPr>
              <w:t>0.32 x N1</w:t>
            </w:r>
            <w:r w:rsidRPr="00896DB0">
              <w:rPr>
                <w:rFonts w:ascii="Arial" w:hAnsi="Arial" w:cs="Arial"/>
                <w:sz w:val="18"/>
              </w:rPr>
              <w:t xml:space="preserve"> x K1</w:t>
            </w:r>
            <w:r w:rsidRPr="00581E8E">
              <w:rPr>
                <w:rFonts w:ascii="Arial" w:hAnsi="Arial" w:cs="Arial"/>
                <w:sz w:val="18"/>
              </w:rPr>
              <w:t xml:space="preserve"> (1 x N1</w:t>
            </w:r>
            <w:r w:rsidRPr="00896DB0">
              <w:rPr>
                <w:rFonts w:ascii="Arial" w:hAnsi="Arial" w:cs="Arial"/>
                <w:sz w:val="18"/>
              </w:rPr>
              <w:t xml:space="preserve"> x K1</w:t>
            </w:r>
            <w:r w:rsidRPr="00581E8E">
              <w:rPr>
                <w:rFonts w:ascii="Arial" w:hAnsi="Arial" w:cs="Arial"/>
                <w:sz w:val="18"/>
              </w:rPr>
              <w:t>)</w:t>
            </w:r>
          </w:p>
        </w:tc>
        <w:tc>
          <w:tcPr>
            <w:tcW w:w="858" w:type="pct"/>
            <w:hideMark/>
          </w:tcPr>
          <w:p w14:paraId="79EA0932" w14:textId="77777777" w:rsidR="00D77779" w:rsidRPr="00896DB0" w:rsidRDefault="00D77779" w:rsidP="008B25C8">
            <w:pPr>
              <w:rPr>
                <w:rFonts w:ascii="Arial" w:hAnsi="Arial" w:cs="Arial"/>
                <w:sz w:val="18"/>
              </w:rPr>
            </w:pPr>
            <w:r w:rsidRPr="00581E8E">
              <w:rPr>
                <w:rFonts w:ascii="Arial" w:hAnsi="Arial" w:cs="Arial"/>
                <w:sz w:val="18"/>
              </w:rPr>
              <w:t>0.64 x N1</w:t>
            </w:r>
            <w:r w:rsidRPr="00896DB0">
              <w:rPr>
                <w:rFonts w:ascii="Arial" w:hAnsi="Arial" w:cs="Arial"/>
                <w:sz w:val="18"/>
              </w:rPr>
              <w:t xml:space="preserve"> x K1</w:t>
            </w:r>
            <w:r w:rsidRPr="00581E8E">
              <w:rPr>
                <w:rFonts w:ascii="Arial" w:hAnsi="Arial" w:cs="Arial"/>
                <w:sz w:val="18"/>
              </w:rPr>
              <w:t xml:space="preserve"> (2 x N1</w:t>
            </w:r>
            <w:r w:rsidRPr="00896DB0">
              <w:rPr>
                <w:rFonts w:ascii="Arial" w:hAnsi="Arial" w:cs="Arial"/>
                <w:sz w:val="18"/>
              </w:rPr>
              <w:t xml:space="preserve"> x K1</w:t>
            </w:r>
            <w:r w:rsidRPr="00581E8E">
              <w:rPr>
                <w:rFonts w:ascii="Arial" w:hAnsi="Arial" w:cs="Arial"/>
                <w:sz w:val="18"/>
              </w:rPr>
              <w:t>)</w:t>
            </w:r>
          </w:p>
        </w:tc>
      </w:tr>
      <w:tr w:rsidR="00D77779" w:rsidRPr="00B85562" w14:paraId="064DBE54" w14:textId="77777777" w:rsidTr="008B25C8">
        <w:trPr>
          <w:trHeight w:val="336"/>
        </w:trPr>
        <w:tc>
          <w:tcPr>
            <w:tcW w:w="639" w:type="pct"/>
            <w:vMerge/>
            <w:hideMark/>
          </w:tcPr>
          <w:p w14:paraId="324B1A0E" w14:textId="77777777" w:rsidR="00D77779" w:rsidRPr="00581E8E" w:rsidRDefault="00D77779" w:rsidP="008B25C8">
            <w:pPr>
              <w:rPr>
                <w:rFonts w:ascii="Arial" w:hAnsi="Arial" w:cs="Arial"/>
                <w:sz w:val="18"/>
                <w:lang w:val="en-US"/>
              </w:rPr>
            </w:pPr>
          </w:p>
        </w:tc>
        <w:tc>
          <w:tcPr>
            <w:tcW w:w="401" w:type="pct"/>
            <w:hideMark/>
          </w:tcPr>
          <w:p w14:paraId="06335A84" w14:textId="77777777" w:rsidR="00D77779" w:rsidRPr="00581E8E" w:rsidRDefault="00D77779" w:rsidP="008B25C8">
            <w:pPr>
              <w:rPr>
                <w:rFonts w:ascii="Arial" w:hAnsi="Arial" w:cs="Arial"/>
                <w:sz w:val="18"/>
                <w:lang w:val="en-US"/>
              </w:rPr>
            </w:pPr>
            <w:r w:rsidRPr="00581E8E">
              <w:rPr>
                <w:rFonts w:ascii="Arial" w:hAnsi="Arial" w:cs="Arial"/>
                <w:sz w:val="18"/>
              </w:rPr>
              <w:t>0.64</w:t>
            </w:r>
          </w:p>
        </w:tc>
        <w:tc>
          <w:tcPr>
            <w:tcW w:w="517" w:type="pct"/>
            <w:hideMark/>
          </w:tcPr>
          <w:p w14:paraId="7B241BBE" w14:textId="77777777" w:rsidR="00D77779" w:rsidRPr="00581E8E" w:rsidRDefault="00D77779" w:rsidP="008B25C8">
            <w:pPr>
              <w:rPr>
                <w:rFonts w:ascii="Arial" w:hAnsi="Arial" w:cs="Arial"/>
                <w:sz w:val="18"/>
                <w:lang w:val="en-US"/>
              </w:rPr>
            </w:pPr>
            <w:r w:rsidRPr="00581E8E">
              <w:rPr>
                <w:rFonts w:ascii="Arial" w:hAnsi="Arial" w:cs="Arial"/>
                <w:sz w:val="18"/>
              </w:rPr>
              <w:t>≥</w:t>
            </w:r>
            <w:r>
              <w:rPr>
                <w:rFonts w:ascii="Arial" w:hAnsi="Arial" w:cs="Arial"/>
                <w:sz w:val="18"/>
              </w:rPr>
              <w:t>19.2</w:t>
            </w:r>
            <w:r w:rsidRPr="00581E8E">
              <w:rPr>
                <w:rFonts w:ascii="Arial" w:hAnsi="Arial" w:cs="Arial"/>
                <w:sz w:val="18"/>
              </w:rPr>
              <w:t xml:space="preserve"> (</w:t>
            </w:r>
            <w:r>
              <w:rPr>
                <w:rFonts w:ascii="Arial" w:hAnsi="Arial" w:cs="Arial"/>
                <w:sz w:val="18"/>
              </w:rPr>
              <w:t>15</w:t>
            </w:r>
            <w:r w:rsidRPr="00581E8E">
              <w:rPr>
                <w:rFonts w:ascii="Arial" w:hAnsi="Arial" w:cs="Arial"/>
                <w:sz w:val="18"/>
              </w:rPr>
              <w:t>)</w:t>
            </w:r>
          </w:p>
        </w:tc>
        <w:tc>
          <w:tcPr>
            <w:tcW w:w="467" w:type="pct"/>
          </w:tcPr>
          <w:p w14:paraId="33494528" w14:textId="77777777" w:rsidR="00D77779" w:rsidRPr="00581E8E" w:rsidRDefault="00D77779" w:rsidP="008B25C8">
            <w:pPr>
              <w:rPr>
                <w:rFonts w:ascii="Arial" w:hAnsi="Arial" w:cs="Arial"/>
                <w:sz w:val="18"/>
                <w:lang w:val="en-US"/>
              </w:rPr>
            </w:pPr>
            <w:r>
              <w:rPr>
                <w:rFonts w:ascii="Arial" w:hAnsi="Arial" w:cs="Arial"/>
                <w:sz w:val="18"/>
                <w:lang w:val="en-US"/>
              </w:rPr>
              <w:t>5</w:t>
            </w:r>
          </w:p>
        </w:tc>
        <w:tc>
          <w:tcPr>
            <w:tcW w:w="1309" w:type="pct"/>
            <w:gridSpan w:val="2"/>
            <w:vMerge/>
            <w:hideMark/>
          </w:tcPr>
          <w:p w14:paraId="1CEED032" w14:textId="77777777" w:rsidR="00D77779" w:rsidRPr="00581E8E" w:rsidRDefault="00D77779" w:rsidP="008B25C8">
            <w:pPr>
              <w:rPr>
                <w:rFonts w:ascii="Arial" w:hAnsi="Arial" w:cs="Arial"/>
                <w:sz w:val="18"/>
                <w:lang w:val="en-US"/>
              </w:rPr>
            </w:pPr>
          </w:p>
        </w:tc>
        <w:tc>
          <w:tcPr>
            <w:tcW w:w="809" w:type="pct"/>
            <w:hideMark/>
          </w:tcPr>
          <w:p w14:paraId="10B5DEA4" w14:textId="77777777" w:rsidR="00D77779" w:rsidRPr="00896DB0" w:rsidRDefault="00D77779" w:rsidP="008B25C8">
            <w:pPr>
              <w:rPr>
                <w:rFonts w:ascii="Arial" w:hAnsi="Arial" w:cs="Arial"/>
                <w:sz w:val="18"/>
              </w:rPr>
            </w:pPr>
            <w:r w:rsidRPr="00581E8E">
              <w:rPr>
                <w:rFonts w:ascii="Arial" w:hAnsi="Arial" w:cs="Arial"/>
                <w:sz w:val="18"/>
              </w:rPr>
              <w:t>0.64 x N1</w:t>
            </w:r>
            <w:r w:rsidRPr="00896DB0">
              <w:rPr>
                <w:rFonts w:ascii="Arial" w:hAnsi="Arial" w:cs="Arial"/>
                <w:sz w:val="18"/>
              </w:rPr>
              <w:t xml:space="preserve"> x K1</w:t>
            </w:r>
            <w:r w:rsidRPr="00581E8E">
              <w:rPr>
                <w:rFonts w:ascii="Arial" w:hAnsi="Arial" w:cs="Arial"/>
                <w:sz w:val="18"/>
              </w:rPr>
              <w:t xml:space="preserve"> (1 x N1</w:t>
            </w:r>
            <w:r w:rsidRPr="00896DB0">
              <w:rPr>
                <w:rFonts w:ascii="Arial" w:hAnsi="Arial" w:cs="Arial"/>
                <w:sz w:val="18"/>
              </w:rPr>
              <w:t xml:space="preserve"> x K1</w:t>
            </w:r>
            <w:r w:rsidRPr="00581E8E">
              <w:rPr>
                <w:rFonts w:ascii="Arial" w:hAnsi="Arial" w:cs="Arial"/>
                <w:sz w:val="18"/>
              </w:rPr>
              <w:t>)</w:t>
            </w:r>
          </w:p>
        </w:tc>
        <w:tc>
          <w:tcPr>
            <w:tcW w:w="858" w:type="pct"/>
            <w:hideMark/>
          </w:tcPr>
          <w:p w14:paraId="2C2AF034" w14:textId="77777777" w:rsidR="00D77779" w:rsidRPr="00896DB0" w:rsidRDefault="00D77779" w:rsidP="008B25C8">
            <w:pPr>
              <w:rPr>
                <w:rFonts w:ascii="Arial" w:hAnsi="Arial" w:cs="Arial"/>
                <w:sz w:val="18"/>
              </w:rPr>
            </w:pPr>
            <w:r w:rsidRPr="00581E8E">
              <w:rPr>
                <w:rFonts w:ascii="Arial" w:hAnsi="Arial" w:cs="Arial"/>
                <w:sz w:val="18"/>
              </w:rPr>
              <w:t>1.28 x N1</w:t>
            </w:r>
            <w:r w:rsidRPr="00896DB0">
              <w:rPr>
                <w:rFonts w:ascii="Arial" w:hAnsi="Arial" w:cs="Arial"/>
                <w:sz w:val="18"/>
              </w:rPr>
              <w:t xml:space="preserve"> x K1</w:t>
            </w:r>
            <w:r w:rsidRPr="00581E8E">
              <w:rPr>
                <w:rFonts w:ascii="Arial" w:hAnsi="Arial" w:cs="Arial"/>
                <w:sz w:val="18"/>
              </w:rPr>
              <w:t xml:space="preserve"> (2 x N1</w:t>
            </w:r>
            <w:r w:rsidRPr="00896DB0">
              <w:rPr>
                <w:rFonts w:ascii="Arial" w:hAnsi="Arial" w:cs="Arial"/>
                <w:sz w:val="18"/>
              </w:rPr>
              <w:t xml:space="preserve"> x K1</w:t>
            </w:r>
            <w:r w:rsidRPr="00581E8E">
              <w:rPr>
                <w:rFonts w:ascii="Arial" w:hAnsi="Arial" w:cs="Arial"/>
                <w:sz w:val="18"/>
              </w:rPr>
              <w:t>)</w:t>
            </w:r>
          </w:p>
        </w:tc>
      </w:tr>
      <w:tr w:rsidR="00D77779" w:rsidRPr="00B85562" w14:paraId="46CA764B" w14:textId="77777777" w:rsidTr="008B25C8">
        <w:trPr>
          <w:trHeight w:val="336"/>
        </w:trPr>
        <w:tc>
          <w:tcPr>
            <w:tcW w:w="639" w:type="pct"/>
            <w:vMerge/>
            <w:hideMark/>
          </w:tcPr>
          <w:p w14:paraId="6F8B6245" w14:textId="77777777" w:rsidR="00D77779" w:rsidRPr="00581E8E" w:rsidRDefault="00D77779" w:rsidP="008B25C8">
            <w:pPr>
              <w:rPr>
                <w:rFonts w:ascii="Arial" w:hAnsi="Arial" w:cs="Arial"/>
                <w:sz w:val="18"/>
                <w:lang w:val="en-US"/>
              </w:rPr>
            </w:pPr>
          </w:p>
        </w:tc>
        <w:tc>
          <w:tcPr>
            <w:tcW w:w="401" w:type="pct"/>
            <w:hideMark/>
          </w:tcPr>
          <w:p w14:paraId="5145F564" w14:textId="77777777" w:rsidR="00D77779" w:rsidRPr="00581E8E" w:rsidRDefault="00D77779" w:rsidP="008B25C8">
            <w:pPr>
              <w:rPr>
                <w:rFonts w:ascii="Arial" w:hAnsi="Arial" w:cs="Arial"/>
                <w:sz w:val="18"/>
                <w:lang w:val="en-US"/>
              </w:rPr>
            </w:pPr>
            <w:r w:rsidRPr="00581E8E">
              <w:rPr>
                <w:rFonts w:ascii="Arial" w:hAnsi="Arial" w:cs="Arial"/>
                <w:sz w:val="18"/>
              </w:rPr>
              <w:t>1.28</w:t>
            </w:r>
          </w:p>
        </w:tc>
        <w:tc>
          <w:tcPr>
            <w:tcW w:w="517" w:type="pct"/>
            <w:hideMark/>
          </w:tcPr>
          <w:p w14:paraId="03E3CEC7" w14:textId="77777777" w:rsidR="00D77779" w:rsidRPr="00896DB0" w:rsidRDefault="00D77779" w:rsidP="008B25C8">
            <w:pPr>
              <w:rPr>
                <w:rFonts w:ascii="Arial" w:hAnsi="Arial" w:cs="Arial"/>
                <w:sz w:val="18"/>
                <w:highlight w:val="yellow"/>
                <w:lang w:val="en-US"/>
              </w:rPr>
            </w:pPr>
            <w:r w:rsidRPr="00C77238">
              <w:rPr>
                <w:rFonts w:ascii="Arial" w:hAnsi="Arial" w:cs="Arial" w:hint="eastAsia"/>
                <w:sz w:val="18"/>
              </w:rPr>
              <w:t>≥</w:t>
            </w:r>
            <w:r w:rsidRPr="00C77238">
              <w:rPr>
                <w:rFonts w:ascii="Arial" w:hAnsi="Arial" w:cs="Arial"/>
                <w:sz w:val="18"/>
              </w:rPr>
              <w:t>30.72 (24)</w:t>
            </w:r>
          </w:p>
        </w:tc>
        <w:tc>
          <w:tcPr>
            <w:tcW w:w="467" w:type="pct"/>
          </w:tcPr>
          <w:p w14:paraId="55806CC7" w14:textId="77777777" w:rsidR="00D77779" w:rsidRPr="00581E8E" w:rsidRDefault="00D77779" w:rsidP="008B25C8">
            <w:pPr>
              <w:rPr>
                <w:rFonts w:ascii="Arial" w:hAnsi="Arial" w:cs="Arial"/>
                <w:sz w:val="18"/>
                <w:lang w:val="en-US"/>
              </w:rPr>
            </w:pPr>
            <w:r>
              <w:rPr>
                <w:rFonts w:ascii="Arial" w:hAnsi="Arial" w:cs="Arial"/>
                <w:sz w:val="18"/>
                <w:lang w:val="en-US"/>
              </w:rPr>
              <w:t>4</w:t>
            </w:r>
          </w:p>
        </w:tc>
        <w:tc>
          <w:tcPr>
            <w:tcW w:w="1309" w:type="pct"/>
            <w:gridSpan w:val="2"/>
            <w:vMerge/>
            <w:hideMark/>
          </w:tcPr>
          <w:p w14:paraId="3AD9E8E2" w14:textId="77777777" w:rsidR="00D77779" w:rsidRPr="00581E8E" w:rsidRDefault="00D77779" w:rsidP="008B25C8">
            <w:pPr>
              <w:rPr>
                <w:rFonts w:ascii="Arial" w:hAnsi="Arial" w:cs="Arial"/>
                <w:sz w:val="18"/>
                <w:lang w:val="en-US"/>
              </w:rPr>
            </w:pPr>
          </w:p>
        </w:tc>
        <w:tc>
          <w:tcPr>
            <w:tcW w:w="809" w:type="pct"/>
            <w:hideMark/>
          </w:tcPr>
          <w:p w14:paraId="54C7F0BB" w14:textId="77777777" w:rsidR="00D77779" w:rsidRPr="00896DB0" w:rsidRDefault="00D77779" w:rsidP="008B25C8">
            <w:pPr>
              <w:rPr>
                <w:rFonts w:ascii="Arial" w:hAnsi="Arial" w:cs="Arial"/>
                <w:sz w:val="18"/>
              </w:rPr>
            </w:pPr>
            <w:r w:rsidRPr="00581E8E">
              <w:rPr>
                <w:rFonts w:ascii="Arial" w:hAnsi="Arial" w:cs="Arial"/>
                <w:sz w:val="18"/>
              </w:rPr>
              <w:t>1.28 x N1</w:t>
            </w:r>
            <w:r w:rsidRPr="00896DB0">
              <w:rPr>
                <w:rFonts w:ascii="Arial" w:hAnsi="Arial" w:cs="Arial"/>
                <w:sz w:val="18"/>
              </w:rPr>
              <w:t xml:space="preserve"> x K1</w:t>
            </w:r>
            <w:r w:rsidRPr="00581E8E">
              <w:rPr>
                <w:rFonts w:ascii="Arial" w:hAnsi="Arial" w:cs="Arial"/>
                <w:sz w:val="18"/>
              </w:rPr>
              <w:t xml:space="preserve"> (1 x N1</w:t>
            </w:r>
            <w:r w:rsidRPr="00896DB0">
              <w:rPr>
                <w:rFonts w:ascii="Arial" w:hAnsi="Arial" w:cs="Arial"/>
                <w:sz w:val="18"/>
              </w:rPr>
              <w:t xml:space="preserve"> x K1</w:t>
            </w:r>
            <w:r w:rsidRPr="00581E8E">
              <w:rPr>
                <w:rFonts w:ascii="Arial" w:hAnsi="Arial" w:cs="Arial"/>
                <w:sz w:val="18"/>
              </w:rPr>
              <w:t>)</w:t>
            </w:r>
          </w:p>
        </w:tc>
        <w:tc>
          <w:tcPr>
            <w:tcW w:w="858" w:type="pct"/>
            <w:hideMark/>
          </w:tcPr>
          <w:p w14:paraId="156B0C7B" w14:textId="77777777" w:rsidR="00D77779" w:rsidRPr="00896DB0" w:rsidRDefault="00D77779" w:rsidP="008B25C8">
            <w:pPr>
              <w:rPr>
                <w:rFonts w:ascii="Arial" w:hAnsi="Arial" w:cs="Arial"/>
                <w:sz w:val="18"/>
              </w:rPr>
            </w:pPr>
            <w:r w:rsidRPr="00581E8E">
              <w:rPr>
                <w:rFonts w:ascii="Arial" w:hAnsi="Arial" w:cs="Arial"/>
                <w:sz w:val="18"/>
              </w:rPr>
              <w:t>2.56 x N1</w:t>
            </w:r>
            <w:r w:rsidRPr="00896DB0">
              <w:rPr>
                <w:rFonts w:ascii="Arial" w:hAnsi="Arial" w:cs="Arial"/>
                <w:sz w:val="18"/>
              </w:rPr>
              <w:t xml:space="preserve"> x K1</w:t>
            </w:r>
            <w:r w:rsidRPr="00581E8E">
              <w:rPr>
                <w:rFonts w:ascii="Arial" w:hAnsi="Arial" w:cs="Arial"/>
                <w:sz w:val="18"/>
              </w:rPr>
              <w:t xml:space="preserve"> (2 x N1</w:t>
            </w:r>
            <w:r w:rsidRPr="00896DB0">
              <w:rPr>
                <w:rFonts w:ascii="Arial" w:hAnsi="Arial" w:cs="Arial"/>
                <w:sz w:val="18"/>
              </w:rPr>
              <w:t xml:space="preserve"> x K1</w:t>
            </w:r>
            <w:r w:rsidRPr="00581E8E">
              <w:rPr>
                <w:rFonts w:ascii="Arial" w:hAnsi="Arial" w:cs="Arial"/>
                <w:sz w:val="18"/>
              </w:rPr>
              <w:t>)</w:t>
            </w:r>
          </w:p>
        </w:tc>
      </w:tr>
      <w:tr w:rsidR="00C74541" w:rsidRPr="00B85562" w14:paraId="299613D8" w14:textId="77777777" w:rsidTr="008B25C8">
        <w:trPr>
          <w:trHeight w:val="336"/>
        </w:trPr>
        <w:tc>
          <w:tcPr>
            <w:tcW w:w="639" w:type="pct"/>
            <w:vMerge/>
          </w:tcPr>
          <w:p w14:paraId="6028EA25" w14:textId="77777777" w:rsidR="00C74541" w:rsidRPr="00581E8E" w:rsidRDefault="00C74541" w:rsidP="00C74541">
            <w:pPr>
              <w:rPr>
                <w:rFonts w:ascii="Arial" w:hAnsi="Arial" w:cs="Arial"/>
                <w:sz w:val="18"/>
                <w:lang w:val="en-US"/>
              </w:rPr>
            </w:pPr>
          </w:p>
        </w:tc>
        <w:tc>
          <w:tcPr>
            <w:tcW w:w="401" w:type="pct"/>
          </w:tcPr>
          <w:p w14:paraId="1CAB718C" w14:textId="77777777" w:rsidR="00C74541" w:rsidRPr="00581E8E" w:rsidRDefault="00C74541" w:rsidP="00C74541">
            <w:pPr>
              <w:rPr>
                <w:rFonts w:ascii="Arial" w:hAnsi="Arial" w:cs="Arial"/>
                <w:sz w:val="18"/>
              </w:rPr>
            </w:pPr>
            <w:r>
              <w:rPr>
                <w:rFonts w:ascii="Arial" w:hAnsi="Arial" w:cs="Arial"/>
                <w:sz w:val="18"/>
              </w:rPr>
              <w:t>2.56</w:t>
            </w:r>
          </w:p>
        </w:tc>
        <w:tc>
          <w:tcPr>
            <w:tcW w:w="517" w:type="pct"/>
          </w:tcPr>
          <w:p w14:paraId="782FD51B" w14:textId="77777777" w:rsidR="00C74541" w:rsidRPr="007140C1" w:rsidRDefault="00C74541" w:rsidP="00C74541">
            <w:pPr>
              <w:rPr>
                <w:rFonts w:ascii="Arial" w:hAnsi="Arial" w:cs="Arial"/>
                <w:sz w:val="18"/>
              </w:rPr>
            </w:pPr>
            <w:r w:rsidRPr="00034E52">
              <w:rPr>
                <w:rFonts w:ascii="Arial" w:hAnsi="Arial" w:cs="Arial"/>
                <w:sz w:val="18"/>
                <w:lang w:eastAsia="zh-CN"/>
              </w:rPr>
              <w:t>40.96 (32)</w:t>
            </w:r>
          </w:p>
        </w:tc>
        <w:tc>
          <w:tcPr>
            <w:tcW w:w="467" w:type="pct"/>
          </w:tcPr>
          <w:p w14:paraId="5E0F776D" w14:textId="77777777" w:rsidR="00C74541" w:rsidRPr="002B5E7E" w:rsidRDefault="00C74541" w:rsidP="00C74541">
            <w:pPr>
              <w:rPr>
                <w:rFonts w:ascii="Arial" w:hAnsi="Arial" w:cs="Arial"/>
                <w:sz w:val="18"/>
                <w:lang w:val="en-US"/>
              </w:rPr>
            </w:pPr>
            <w:r w:rsidRPr="002B5E7E">
              <w:rPr>
                <w:rFonts w:ascii="Arial" w:hAnsi="Arial" w:cs="Arial"/>
                <w:sz w:val="18"/>
                <w:lang w:val="en-US"/>
              </w:rPr>
              <w:t>3</w:t>
            </w:r>
          </w:p>
        </w:tc>
        <w:tc>
          <w:tcPr>
            <w:tcW w:w="1309" w:type="pct"/>
            <w:gridSpan w:val="2"/>
            <w:vMerge/>
          </w:tcPr>
          <w:p w14:paraId="12656BF0" w14:textId="77777777" w:rsidR="00C74541" w:rsidRPr="002B5E7E" w:rsidRDefault="00C74541" w:rsidP="00C74541">
            <w:pPr>
              <w:rPr>
                <w:rFonts w:ascii="Arial" w:hAnsi="Arial" w:cs="Arial"/>
                <w:sz w:val="18"/>
                <w:lang w:val="en-US"/>
              </w:rPr>
            </w:pPr>
          </w:p>
        </w:tc>
        <w:tc>
          <w:tcPr>
            <w:tcW w:w="809" w:type="pct"/>
          </w:tcPr>
          <w:p w14:paraId="20804449" w14:textId="77777777" w:rsidR="00C74541" w:rsidRDefault="00C74541" w:rsidP="00C74541">
            <w:pPr>
              <w:pStyle w:val="TAL"/>
              <w:rPr>
                <w:lang w:eastAsia="zh-CN"/>
              </w:rPr>
            </w:pPr>
            <w:r w:rsidRPr="00100B15">
              <w:rPr>
                <w:lang w:eastAsia="zh-CN"/>
              </w:rPr>
              <w:t>20.48</w:t>
            </w:r>
          </w:p>
          <w:p w14:paraId="57EA99C6" w14:textId="73C86568" w:rsidR="00C74541" w:rsidRPr="007140C1" w:rsidRDefault="00C74541" w:rsidP="00C74541">
            <w:pPr>
              <w:pStyle w:val="TAL"/>
            </w:pPr>
            <w:r>
              <w:t>(8)</w:t>
            </w:r>
          </w:p>
        </w:tc>
        <w:tc>
          <w:tcPr>
            <w:tcW w:w="858" w:type="pct"/>
          </w:tcPr>
          <w:p w14:paraId="6495F197" w14:textId="77777777" w:rsidR="00C74541" w:rsidRDefault="00C74541" w:rsidP="00C74541">
            <w:pPr>
              <w:pStyle w:val="TAL"/>
              <w:rPr>
                <w:lang w:eastAsia="zh-CN"/>
              </w:rPr>
            </w:pPr>
            <w:r w:rsidRPr="00100B15">
              <w:rPr>
                <w:lang w:eastAsia="zh-CN"/>
              </w:rPr>
              <w:t>40.96</w:t>
            </w:r>
          </w:p>
          <w:p w14:paraId="5E1A14A0" w14:textId="67621FBF" w:rsidR="00C74541" w:rsidRPr="007140C1" w:rsidRDefault="00C74541" w:rsidP="00C74541">
            <w:pPr>
              <w:pStyle w:val="TAL"/>
            </w:pPr>
            <w:r>
              <w:t>(16)</w:t>
            </w:r>
          </w:p>
        </w:tc>
      </w:tr>
      <w:tr w:rsidR="00D77779" w:rsidRPr="00B85562" w14:paraId="4C5E65B2" w14:textId="77777777" w:rsidTr="008B25C8">
        <w:trPr>
          <w:trHeight w:val="336"/>
        </w:trPr>
        <w:tc>
          <w:tcPr>
            <w:tcW w:w="5000" w:type="pct"/>
            <w:gridSpan w:val="8"/>
          </w:tcPr>
          <w:p w14:paraId="7D841783" w14:textId="77777777" w:rsidR="00D77779" w:rsidRPr="00806346" w:rsidRDefault="00D77779" w:rsidP="008B25C8">
            <w:pPr>
              <w:pStyle w:val="TAN"/>
              <w:rPr>
                <w:rFonts w:eastAsia="Malgun Gothic"/>
                <w:snapToGrid w:val="0"/>
              </w:rPr>
            </w:pPr>
            <w:r w:rsidRPr="00806346">
              <w:rPr>
                <w:rFonts w:eastAsia="Malgun Gothic"/>
                <w:snapToGrid w:val="0"/>
              </w:rPr>
              <w:t xml:space="preserve">Note 1: </w:t>
            </w:r>
            <w:r w:rsidRPr="00806346">
              <w:rPr>
                <w:rFonts w:eastAsia="Malgun Gothic"/>
                <w:snapToGrid w:val="0"/>
              </w:rPr>
              <w:tab/>
              <w:t>Applies for RedCap UE of all supporting FR2 power classes.</w:t>
            </w:r>
          </w:p>
          <w:p w14:paraId="4F86F8D2" w14:textId="77777777" w:rsidR="00D77779" w:rsidRPr="00806346" w:rsidRDefault="00D77779" w:rsidP="008B25C8">
            <w:pPr>
              <w:pStyle w:val="TAN"/>
              <w:rPr>
                <w:rFonts w:eastAsia="Malgun Gothic"/>
                <w:snapToGrid w:val="0"/>
              </w:rPr>
            </w:pPr>
            <w:r w:rsidRPr="00806346">
              <w:rPr>
                <w:rFonts w:eastAsia="Malgun Gothic"/>
                <w:snapToGrid w:val="0"/>
              </w:rPr>
              <w:t xml:space="preserve">Note 2: </w:t>
            </w:r>
            <w:r w:rsidRPr="00806346">
              <w:rPr>
                <w:rFonts w:eastAsia="Malgun Gothic"/>
                <w:snapToGrid w:val="0"/>
              </w:rPr>
              <w:tab/>
              <w:t>The number of DRX cycles in this table is given for the DRX cycles within PTWs.</w:t>
            </w:r>
          </w:p>
          <w:p w14:paraId="3CDAE5F1" w14:textId="77777777" w:rsidR="00697B51" w:rsidRPr="00806346" w:rsidRDefault="00697B51" w:rsidP="00697B51">
            <w:pPr>
              <w:pStyle w:val="TAN"/>
              <w:rPr>
                <w:rFonts w:eastAsia="Malgun Gothic"/>
                <w:snapToGrid w:val="0"/>
              </w:rPr>
            </w:pPr>
            <w:r w:rsidRPr="00806346">
              <w:rPr>
                <w:rFonts w:eastAsia="Malgun Gothic"/>
                <w:snapToGrid w:val="0"/>
              </w:rPr>
              <w:t xml:space="preserve">Note 3: </w:t>
            </w:r>
            <w:r w:rsidRPr="00806346">
              <w:rPr>
                <w:rFonts w:eastAsia="Malgun Gothic"/>
                <w:snapToGrid w:val="0"/>
              </w:rPr>
              <w:tab/>
              <w:t>The eDRX_IDLE cycle lengths are as specified in Section 10.5.5.32 of TS 24.008 [34].</w:t>
            </w:r>
          </w:p>
          <w:p w14:paraId="2D59BACC" w14:textId="34B41609" w:rsidR="00D77779" w:rsidRPr="00806346" w:rsidRDefault="00697B51" w:rsidP="00697B51">
            <w:pPr>
              <w:pStyle w:val="TAN"/>
              <w:rPr>
                <w:rFonts w:eastAsia="Malgun Gothic"/>
                <w:snapToGrid w:val="0"/>
              </w:rPr>
            </w:pPr>
            <w:r w:rsidRPr="00806346">
              <w:rPr>
                <w:rFonts w:eastAsia="Malgun Gothic"/>
                <w:snapToGrid w:val="0"/>
              </w:rPr>
              <w:t xml:space="preserve">Note 4: </w:t>
            </w:r>
            <w:r w:rsidRPr="00806346">
              <w:rPr>
                <w:rFonts w:eastAsia="Malgun Gothic"/>
                <w:snapToGrid w:val="0"/>
              </w:rPr>
              <w:tab/>
              <w:t xml:space="preserve">The lower bound of PTW length is derived based on </w:t>
            </w:r>
            <m:oMath>
              <m:d>
                <m:dPr>
                  <m:begChr m:val="⌈"/>
                  <m:endChr m:val="⌉"/>
                  <m:ctrlPr>
                    <w:rPr>
                      <w:rFonts w:ascii="Cambria Math" w:eastAsia="Malgun Gothic" w:hAnsi="Cambria Math"/>
                      <w:snapToGrid w:val="0"/>
                    </w:rPr>
                  </m:ctrlPr>
                </m:dPr>
                <m:e>
                  <m:f>
                    <m:fPr>
                      <m:ctrlPr>
                        <w:rPr>
                          <w:rFonts w:ascii="Cambria Math" w:eastAsia="Malgun Gothic" w:hAnsi="Cambria Math"/>
                          <w:snapToGrid w:val="0"/>
                        </w:rPr>
                      </m:ctrlPr>
                    </m:fPr>
                    <m:num>
                      <m:r>
                        <m:rPr>
                          <m:sty m:val="p"/>
                        </m:rPr>
                        <w:rPr>
                          <w:rFonts w:ascii="Cambria Math" w:eastAsia="Malgun Gothic" w:hAnsi="Cambria Math"/>
                          <w:snapToGrid w:val="0"/>
                        </w:rPr>
                        <m:t>Tevaluate,NR_Intra_RedCap_Relax*DRX_cycle</m:t>
                      </m:r>
                    </m:num>
                    <m:den>
                      <m:r>
                        <m:rPr>
                          <m:sty m:val="p"/>
                        </m:rPr>
                        <w:rPr>
                          <w:rFonts w:ascii="Cambria Math" w:eastAsia="Malgun Gothic" w:hAnsi="Cambria Math"/>
                          <w:snapToGrid w:val="0"/>
                        </w:rPr>
                        <m:t>1.28</m:t>
                      </m:r>
                    </m:den>
                  </m:f>
                </m:e>
              </m:d>
              <m:r>
                <m:rPr>
                  <m:sty m:val="p"/>
                </m:rPr>
                <w:rPr>
                  <w:rFonts w:ascii="Cambria Math" w:eastAsia="Malgun Gothic" w:hAnsi="Cambria Math"/>
                  <w:snapToGrid w:val="0"/>
                </w:rPr>
                <m:t>*1.28</m:t>
              </m:r>
            </m:oMath>
            <w:r w:rsidRPr="00806346">
              <w:rPr>
                <w:rFonts w:eastAsia="Malgun Gothic"/>
                <w:snapToGrid w:val="0"/>
              </w:rPr>
              <w:t>.</w:t>
            </w:r>
          </w:p>
          <w:p w14:paraId="665FFC99" w14:textId="77777777" w:rsidR="00D77779" w:rsidRPr="00806346" w:rsidRDefault="00D77779" w:rsidP="008B25C8">
            <w:pPr>
              <w:pStyle w:val="TAN"/>
              <w:rPr>
                <w:rFonts w:eastAsia="Malgun Gothic"/>
                <w:snapToGrid w:val="0"/>
              </w:rPr>
            </w:pPr>
            <w:r w:rsidRPr="00806346">
              <w:rPr>
                <w:rFonts w:eastAsia="Malgun Gothic"/>
                <w:snapToGrid w:val="0"/>
              </w:rPr>
              <w:t>Note 5:</w:t>
            </w:r>
            <w:r w:rsidRPr="00806346">
              <w:rPr>
                <w:rFonts w:eastAsia="Malgun Gothic"/>
                <w:snapToGrid w:val="0"/>
              </w:rPr>
              <w:tab/>
              <w:t>The measurement shall not be performed across PTW’s. In this case the measurement is performed in the next available PTW.</w:t>
            </w:r>
          </w:p>
          <w:p w14:paraId="0B6A6748" w14:textId="77777777" w:rsidR="00D77779" w:rsidRPr="00806346" w:rsidRDefault="00D77779" w:rsidP="008B25C8">
            <w:pPr>
              <w:pStyle w:val="TAN"/>
              <w:rPr>
                <w:rFonts w:eastAsia="Malgun Gothic"/>
                <w:snapToGrid w:val="0"/>
              </w:rPr>
            </w:pPr>
            <w:r w:rsidRPr="00806346">
              <w:rPr>
                <w:rFonts w:eastAsia="Malgun Gothic"/>
                <w:snapToGrid w:val="0"/>
              </w:rPr>
              <w:t>Note 6:</w:t>
            </w:r>
            <w:r w:rsidRPr="00806346">
              <w:rPr>
                <w:rFonts w:eastAsia="Malgun Gothic"/>
                <w:snapToGrid w:val="0"/>
              </w:rPr>
              <w:tab/>
              <w:t>The evaluation shall not be performed across PTW’s.</w:t>
            </w:r>
          </w:p>
          <w:p w14:paraId="0C08E5A3" w14:textId="77777777" w:rsidR="00D77779" w:rsidRPr="007E0B8D" w:rsidRDefault="00D77779" w:rsidP="008B25C8">
            <w:pPr>
              <w:pStyle w:val="TAN"/>
              <w:rPr>
                <w:rFonts w:eastAsia="Malgun Gothic" w:cstheme="minorBidi"/>
                <w:snapToGrid w:val="0"/>
              </w:rPr>
            </w:pPr>
            <w:r w:rsidRPr="00806346">
              <w:rPr>
                <w:rFonts w:eastAsia="Malgun Gothic"/>
                <w:snapToGrid w:val="0"/>
              </w:rPr>
              <w:t>Note 7:</w:t>
            </w:r>
            <w:r w:rsidRPr="00806346">
              <w:rPr>
                <w:rFonts w:eastAsia="Malgun Gothic"/>
                <w:snapToGrid w:val="0"/>
              </w:rPr>
              <w:tab/>
            </w:r>
            <w:r>
              <w:rPr>
                <w:rFonts w:eastAsia="Malgun Gothic"/>
                <w:snapToGrid w:val="0"/>
              </w:rPr>
              <w:t>K1</w:t>
            </w:r>
            <w:r w:rsidRPr="00806346">
              <w:rPr>
                <w:rFonts w:eastAsia="Malgun Gothic"/>
                <w:snapToGrid w:val="0"/>
              </w:rPr>
              <w:t xml:space="preserve"> = </w:t>
            </w:r>
            <w:r>
              <w:rPr>
                <w:rFonts w:eastAsia="Malgun Gothic"/>
                <w:snapToGrid w:val="0"/>
              </w:rPr>
              <w:t>3</w:t>
            </w:r>
            <w:r w:rsidRPr="00806346">
              <w:rPr>
                <w:rFonts w:eastAsia="Malgun Gothic"/>
                <w:snapToGrid w:val="0"/>
              </w:rPr>
              <w:t xml:space="preserve"> is the measurement relaxation factor applicable for UE fulfilling the </w:t>
            </w:r>
            <w:r w:rsidRPr="001C6668">
              <w:rPr>
                <w:i/>
                <w:iCs/>
              </w:rPr>
              <w:t>lowMobilityEvaluation</w:t>
            </w:r>
            <w:r>
              <w:rPr>
                <w:i/>
                <w:iCs/>
              </w:rPr>
              <w:t xml:space="preserve"> criterion</w:t>
            </w:r>
            <w:r w:rsidRPr="00806346">
              <w:rPr>
                <w:rFonts w:eastAsia="Malgun Gothic"/>
                <w:snapToGrid w:val="0"/>
              </w:rPr>
              <w:t xml:space="preserve"> [2].</w:t>
            </w:r>
          </w:p>
        </w:tc>
      </w:tr>
    </w:tbl>
    <w:p w14:paraId="5C704271" w14:textId="77777777" w:rsidR="00D77779" w:rsidRPr="00950DA1" w:rsidRDefault="00D77779" w:rsidP="00D77779">
      <w:pPr>
        <w:rPr>
          <w:lang w:eastAsia="zh-CN"/>
        </w:rPr>
      </w:pPr>
    </w:p>
    <w:p w14:paraId="59B1CEA7" w14:textId="77777777" w:rsidR="00D77779" w:rsidRDefault="00D77779" w:rsidP="00D77779">
      <w:pPr>
        <w:pStyle w:val="Heading5"/>
        <w:rPr>
          <w:lang w:val="en-US" w:eastAsia="zh-CN"/>
        </w:rPr>
      </w:pPr>
      <w:r>
        <w:rPr>
          <w:lang w:val="en-US" w:eastAsia="zh-CN"/>
        </w:rPr>
        <w:t>4.2B.2.9.10</w:t>
      </w:r>
      <w:r>
        <w:rPr>
          <w:lang w:val="en-US" w:eastAsia="zh-CN"/>
        </w:rPr>
        <w:tab/>
        <w:t>Measurements for UE fulfilling not-at-cell edge criterion</w:t>
      </w:r>
    </w:p>
    <w:p w14:paraId="1551C233" w14:textId="77777777" w:rsidR="00D77779" w:rsidRDefault="00D77779" w:rsidP="00D77779">
      <w:pPr>
        <w:rPr>
          <w:rFonts w:eastAsiaTheme="minorEastAsia"/>
          <w:lang w:eastAsia="zh-CN"/>
        </w:rPr>
      </w:pPr>
      <w:r w:rsidRPr="00885F53">
        <w:rPr>
          <w:lang w:val="en-US" w:eastAsia="zh-CN"/>
        </w:rPr>
        <w:t xml:space="preserve">This clause contains requirements </w:t>
      </w:r>
      <w:r>
        <w:rPr>
          <w:rFonts w:eastAsiaTheme="minorEastAsia"/>
          <w:lang w:eastAsia="zh-CN"/>
        </w:rPr>
        <w:t>for measurements on intra-frequency NR cells provided that:</w:t>
      </w:r>
    </w:p>
    <w:p w14:paraId="7C93D6B8" w14:textId="77777777" w:rsidR="00D77779" w:rsidRPr="00FF3230" w:rsidRDefault="00D77779" w:rsidP="00D77779">
      <w:pPr>
        <w:pStyle w:val="B10"/>
        <w:rPr>
          <w:lang w:eastAsia="zh-CN"/>
        </w:rPr>
      </w:pPr>
      <w:r>
        <w:rPr>
          <w:noProof/>
        </w:rPr>
        <w:t>-</w:t>
      </w:r>
      <w:r>
        <w:rPr>
          <w:noProof/>
        </w:rPr>
        <w:tab/>
      </w:r>
      <w:r w:rsidRPr="00576F0B">
        <w:rPr>
          <w:lang w:eastAsia="zh-CN"/>
        </w:rPr>
        <w:t xml:space="preserve">UE is configured with </w:t>
      </w:r>
      <w:r w:rsidRPr="00485479">
        <w:rPr>
          <w:i/>
          <w:iCs/>
          <w:lang w:eastAsia="zh-CN"/>
        </w:rPr>
        <w:t>cellEdgeEvaluation</w:t>
      </w:r>
      <w:r>
        <w:rPr>
          <w:i/>
          <w:iCs/>
          <w:lang w:eastAsia="zh-CN"/>
        </w:rPr>
        <w:t xml:space="preserve"> </w:t>
      </w:r>
      <w:r>
        <w:rPr>
          <w:lang w:eastAsia="zh-CN"/>
        </w:rPr>
        <w:t>[2]</w:t>
      </w:r>
      <w:r w:rsidRPr="00FF3230">
        <w:rPr>
          <w:lang w:eastAsia="zh-CN"/>
        </w:rPr>
        <w:t xml:space="preserve"> criterion</w:t>
      </w:r>
      <w:r>
        <w:rPr>
          <w:lang w:eastAsia="zh-CN"/>
        </w:rPr>
        <w:t xml:space="preserve"> and UE has fulfilled</w:t>
      </w:r>
      <w:r w:rsidRPr="00FF3230">
        <w:rPr>
          <w:lang w:eastAsia="zh-CN"/>
        </w:rPr>
        <w:t xml:space="preserve">, or </w:t>
      </w:r>
    </w:p>
    <w:p w14:paraId="4EA159E3" w14:textId="77777777" w:rsidR="00D77779" w:rsidRPr="0039265E" w:rsidRDefault="00D77779" w:rsidP="00D77779">
      <w:pPr>
        <w:pStyle w:val="B10"/>
        <w:rPr>
          <w:lang w:eastAsia="zh-CN"/>
        </w:rPr>
      </w:pPr>
      <w:r>
        <w:rPr>
          <w:noProof/>
        </w:rPr>
        <w:t>-</w:t>
      </w:r>
      <w:r>
        <w:rPr>
          <w:noProof/>
        </w:rPr>
        <w:tab/>
      </w:r>
      <w:r w:rsidRPr="00FF3230">
        <w:rPr>
          <w:lang w:eastAsia="zh-CN"/>
        </w:rPr>
        <w:t xml:space="preserve">UE is configured with </w:t>
      </w:r>
      <w:r w:rsidRPr="005A5049">
        <w:rPr>
          <w:lang w:eastAsia="zh-CN"/>
        </w:rPr>
        <w:t xml:space="preserve">both </w:t>
      </w:r>
      <w:r w:rsidRPr="001C6668">
        <w:rPr>
          <w:i/>
          <w:iCs/>
          <w:lang w:eastAsia="zh-CN"/>
        </w:rPr>
        <w:t>lowMobilityEvaluation</w:t>
      </w:r>
      <w:r w:rsidDel="001B7A6A">
        <w:rPr>
          <w:i/>
          <w:iCs/>
          <w:lang w:eastAsia="zh-CN"/>
        </w:rPr>
        <w:t xml:space="preserve"> </w:t>
      </w:r>
      <w:r>
        <w:rPr>
          <w:lang w:eastAsia="zh-CN"/>
        </w:rPr>
        <w:t>[2]</w:t>
      </w:r>
      <w:r w:rsidRPr="005A5049">
        <w:rPr>
          <w:lang w:eastAsia="zh-CN"/>
        </w:rPr>
        <w:t xml:space="preserve"> criterion and </w:t>
      </w:r>
      <w:r w:rsidRPr="00485479">
        <w:rPr>
          <w:i/>
          <w:iCs/>
          <w:lang w:eastAsia="zh-CN"/>
        </w:rPr>
        <w:t>cellEdgeEvaluation</w:t>
      </w:r>
      <w:r>
        <w:rPr>
          <w:i/>
          <w:iCs/>
          <w:lang w:eastAsia="zh-CN"/>
        </w:rPr>
        <w:t xml:space="preserve"> </w:t>
      </w:r>
      <w:r>
        <w:rPr>
          <w:lang w:eastAsia="zh-CN"/>
        </w:rPr>
        <w:t>[2]</w:t>
      </w:r>
      <w:r w:rsidRPr="0039265E">
        <w:rPr>
          <w:lang w:eastAsia="zh-CN"/>
        </w:rPr>
        <w:t xml:space="preserve"> criteri</w:t>
      </w:r>
      <w:r>
        <w:rPr>
          <w:lang w:eastAsia="zh-CN"/>
        </w:rPr>
        <w:t>a</w:t>
      </w:r>
      <w:r w:rsidRPr="00D36387">
        <w:rPr>
          <w:lang w:eastAsia="zh-CN"/>
        </w:rPr>
        <w:t xml:space="preserve"> </w:t>
      </w:r>
      <w:r>
        <w:rPr>
          <w:lang w:eastAsia="zh-CN"/>
        </w:rPr>
        <w:t xml:space="preserve">and </w:t>
      </w:r>
      <w:r w:rsidRPr="0061045D">
        <w:rPr>
          <w:i/>
          <w:lang w:eastAsia="zh-CN"/>
        </w:rPr>
        <w:t>combineRelaxedMeasCondition</w:t>
      </w:r>
      <w:r>
        <w:rPr>
          <w:rFonts w:hint="eastAsia"/>
          <w:lang w:eastAsia="zh-CN"/>
        </w:rPr>
        <w:t xml:space="preserve"> </w:t>
      </w:r>
      <w:r>
        <w:rPr>
          <w:lang w:eastAsia="zh-CN"/>
        </w:rPr>
        <w:t>[2] not configured,</w:t>
      </w:r>
      <w:r w:rsidRPr="0039265E">
        <w:rPr>
          <w:lang w:eastAsia="zh-CN"/>
        </w:rPr>
        <w:t xml:space="preserve"> </w:t>
      </w:r>
      <w:r>
        <w:rPr>
          <w:lang w:eastAsia="zh-CN"/>
        </w:rPr>
        <w:t>and UE</w:t>
      </w:r>
      <w:r w:rsidRPr="0039265E">
        <w:rPr>
          <w:lang w:eastAsia="zh-CN"/>
        </w:rPr>
        <w:t xml:space="preserve"> has fulfilled only the </w:t>
      </w:r>
      <w:r w:rsidRPr="00485479">
        <w:rPr>
          <w:i/>
          <w:iCs/>
          <w:lang w:eastAsia="zh-CN"/>
        </w:rPr>
        <w:t>cellEdgeEvaluation</w:t>
      </w:r>
      <w:r>
        <w:rPr>
          <w:i/>
          <w:iCs/>
          <w:lang w:eastAsia="zh-CN"/>
        </w:rPr>
        <w:t xml:space="preserve"> </w:t>
      </w:r>
      <w:r>
        <w:rPr>
          <w:lang w:eastAsia="zh-CN"/>
        </w:rPr>
        <w:t>[2]</w:t>
      </w:r>
      <w:r w:rsidRPr="0039265E">
        <w:rPr>
          <w:lang w:eastAsia="zh-CN"/>
        </w:rPr>
        <w:t xml:space="preserve"> criterion.</w:t>
      </w:r>
    </w:p>
    <w:p w14:paraId="1F023BD9" w14:textId="77777777" w:rsidR="00D77779" w:rsidRDefault="00D77779" w:rsidP="00D77779">
      <w:pPr>
        <w:rPr>
          <w:noProof/>
        </w:rPr>
      </w:pPr>
      <w:r w:rsidRPr="0089796C">
        <w:rPr>
          <w:noProof/>
        </w:rPr>
        <w:t xml:space="preserve">The requirements defined in clause </w:t>
      </w:r>
      <w:r>
        <w:t>4.2B.2.3</w:t>
      </w:r>
      <w:r w:rsidRPr="0089796C">
        <w:t xml:space="preserve"> </w:t>
      </w:r>
      <w:r w:rsidRPr="0089796C">
        <w:rPr>
          <w:noProof/>
        </w:rPr>
        <w:t xml:space="preserve">apply for this </w:t>
      </w:r>
      <w:r>
        <w:rPr>
          <w:noProof/>
        </w:rPr>
        <w:t>clause</w:t>
      </w:r>
      <w:r w:rsidRPr="0089796C">
        <w:rPr>
          <w:noProof/>
        </w:rPr>
        <w:t xml:space="preserve"> </w:t>
      </w:r>
      <w:r>
        <w:rPr>
          <w:noProof/>
        </w:rPr>
        <w:t>except that</w:t>
      </w:r>
      <w:r w:rsidRPr="0089796C">
        <w:rPr>
          <w:noProof/>
        </w:rPr>
        <w:t>:</w:t>
      </w:r>
    </w:p>
    <w:p w14:paraId="33BEBA44" w14:textId="77777777" w:rsidR="00D77779" w:rsidRDefault="00D77779" w:rsidP="00D77779">
      <w:pPr>
        <w:pStyle w:val="B10"/>
      </w:pPr>
      <w:r w:rsidRPr="0089796C">
        <w:t>-</w:t>
      </w:r>
      <w:r w:rsidRPr="0089796C">
        <w:tab/>
      </w:r>
      <w:r w:rsidRPr="00885F53">
        <w:t>T</w:t>
      </w:r>
      <w:r w:rsidRPr="00885F53">
        <w:rPr>
          <w:vertAlign w:val="subscript"/>
        </w:rPr>
        <w:t>detect,</w:t>
      </w:r>
      <w:r w:rsidRPr="00885F53">
        <w:rPr>
          <w:vertAlign w:val="subscript"/>
          <w:lang w:eastAsia="zh-CN"/>
        </w:rPr>
        <w:t>NR</w:t>
      </w:r>
      <w:r w:rsidRPr="00885F53">
        <w:rPr>
          <w:vertAlign w:val="subscript"/>
        </w:rPr>
        <w:t>_Intra</w:t>
      </w:r>
      <w:r>
        <w:rPr>
          <w:vertAlign w:val="subscript"/>
        </w:rPr>
        <w:t>_RedCap_Relax</w:t>
      </w:r>
      <w:r w:rsidRPr="00885F53">
        <w:rPr>
          <w:i/>
          <w:vertAlign w:val="subscript"/>
        </w:rPr>
        <w:t xml:space="preserve"> </w:t>
      </w:r>
      <w:r>
        <w:t xml:space="preserve">as specified in </w:t>
      </w:r>
      <w:r w:rsidRPr="00AD77EE">
        <w:t xml:space="preserve">Table </w:t>
      </w:r>
      <w:r>
        <w:t>4.2B.2.9.10</w:t>
      </w:r>
      <w:r w:rsidRPr="00AD77EE">
        <w:t>-1</w:t>
      </w:r>
      <w:r w:rsidRPr="00AE582B">
        <w:t xml:space="preserve"> </w:t>
      </w:r>
      <w:r>
        <w:t xml:space="preserve">and </w:t>
      </w:r>
      <w:r w:rsidRPr="00AD77EE">
        <w:t xml:space="preserve">Table </w:t>
      </w:r>
      <w:r>
        <w:t>4.2B.2.9.10</w:t>
      </w:r>
      <w:r w:rsidRPr="00AD77EE">
        <w:t>-</w:t>
      </w:r>
      <w:r>
        <w:t xml:space="preserve">2 </w:t>
      </w:r>
      <w:r>
        <w:rPr>
          <w:lang w:val="en-US"/>
        </w:rPr>
        <w:t>for 1 Rx RedCap and 2 Rx RedCap respectively</w:t>
      </w:r>
      <w:r w:rsidRPr="00AD77EE">
        <w:t>.</w:t>
      </w:r>
    </w:p>
    <w:p w14:paraId="36FC92A7" w14:textId="77777777" w:rsidR="00D77779" w:rsidRDefault="00D77779" w:rsidP="00D77779">
      <w:pPr>
        <w:pStyle w:val="B10"/>
      </w:pPr>
      <w:r w:rsidRPr="0089796C">
        <w:t>-</w:t>
      </w:r>
      <w:r w:rsidRPr="0089796C">
        <w:tab/>
      </w:r>
      <w:r w:rsidRPr="00885F53">
        <w:rPr>
          <w:rFonts w:cs="v4.2.0"/>
        </w:rPr>
        <w:t>T</w:t>
      </w:r>
      <w:r w:rsidRPr="00885F53">
        <w:rPr>
          <w:rFonts w:cs="v4.2.0"/>
          <w:vertAlign w:val="subscript"/>
        </w:rPr>
        <w:t>measure,NR_Intra</w:t>
      </w:r>
      <w:r>
        <w:rPr>
          <w:vertAlign w:val="subscript"/>
        </w:rPr>
        <w:t>_RedCap_Relax</w:t>
      </w:r>
      <w:r w:rsidRPr="00885F53">
        <w:rPr>
          <w:rFonts w:cs="v4.2.0"/>
        </w:rPr>
        <w:t xml:space="preserve"> </w:t>
      </w:r>
      <w:r>
        <w:t xml:space="preserve">as specified in </w:t>
      </w:r>
      <w:r w:rsidRPr="00AD77EE">
        <w:t xml:space="preserve">Table </w:t>
      </w:r>
      <w:r>
        <w:t>4.2B.2.9.10</w:t>
      </w:r>
      <w:r w:rsidRPr="00AD77EE">
        <w:t>-1</w:t>
      </w:r>
      <w:r w:rsidRPr="00AE582B">
        <w:t xml:space="preserve"> </w:t>
      </w:r>
      <w:r>
        <w:t xml:space="preserve">and </w:t>
      </w:r>
      <w:r w:rsidRPr="00AD77EE">
        <w:t xml:space="preserve">Table </w:t>
      </w:r>
      <w:r>
        <w:t>4.2B.2.9.10</w:t>
      </w:r>
      <w:r w:rsidRPr="00AD77EE">
        <w:t>-</w:t>
      </w:r>
      <w:r>
        <w:t xml:space="preserve">2 </w:t>
      </w:r>
      <w:r>
        <w:rPr>
          <w:lang w:val="en-US"/>
        </w:rPr>
        <w:t>for 1 Rx RedCap and 2 Rx RedCap respectively</w:t>
      </w:r>
      <w:r w:rsidRPr="00AD77EE">
        <w:t>.</w:t>
      </w:r>
    </w:p>
    <w:p w14:paraId="1292E33E" w14:textId="77777777" w:rsidR="00D77779" w:rsidRDefault="00D77779" w:rsidP="00D77779">
      <w:pPr>
        <w:pStyle w:val="B10"/>
      </w:pPr>
      <w:r w:rsidRPr="0089796C">
        <w:t>-</w:t>
      </w:r>
      <w:r w:rsidRPr="0089796C">
        <w:tab/>
      </w:r>
      <w:r w:rsidRPr="00885F53">
        <w:rPr>
          <w:rFonts w:cs="v4.2.0"/>
        </w:rPr>
        <w:t>T</w:t>
      </w:r>
      <w:r w:rsidRPr="00885F53">
        <w:rPr>
          <w:rFonts w:cs="v4.2.0"/>
          <w:vertAlign w:val="subscript"/>
        </w:rPr>
        <w:t>evaluate,</w:t>
      </w:r>
      <w:r w:rsidRPr="00885F53">
        <w:rPr>
          <w:rFonts w:cs="v4.2.0"/>
          <w:vertAlign w:val="subscript"/>
          <w:lang w:eastAsia="zh-CN"/>
        </w:rPr>
        <w:t>NR</w:t>
      </w:r>
      <w:r w:rsidRPr="00885F53">
        <w:rPr>
          <w:rFonts w:cs="v4.2.0"/>
          <w:vertAlign w:val="subscript"/>
        </w:rPr>
        <w:t>_Intra</w:t>
      </w:r>
      <w:r>
        <w:rPr>
          <w:vertAlign w:val="subscript"/>
        </w:rPr>
        <w:t>_RedCap_Relax</w:t>
      </w:r>
      <w:r>
        <w:rPr>
          <w:rFonts w:cs="v4.2.0"/>
          <w:vertAlign w:val="subscript"/>
        </w:rPr>
        <w:t xml:space="preserve"> </w:t>
      </w:r>
      <w:r>
        <w:t xml:space="preserve">as specified in </w:t>
      </w:r>
      <w:r w:rsidRPr="00AD77EE">
        <w:t xml:space="preserve">Table </w:t>
      </w:r>
      <w:r>
        <w:t>4.2B.2.9.10</w:t>
      </w:r>
      <w:r w:rsidRPr="00AD77EE">
        <w:t>-1</w:t>
      </w:r>
      <w:r w:rsidRPr="00AE582B">
        <w:t xml:space="preserve"> </w:t>
      </w:r>
      <w:r>
        <w:t xml:space="preserve">and </w:t>
      </w:r>
      <w:r w:rsidRPr="00AD77EE">
        <w:t xml:space="preserve">Table </w:t>
      </w:r>
      <w:r>
        <w:t>4.2B.2.9.10</w:t>
      </w:r>
      <w:r w:rsidRPr="00AD77EE">
        <w:t>-</w:t>
      </w:r>
      <w:r>
        <w:t xml:space="preserve">2 </w:t>
      </w:r>
      <w:r>
        <w:rPr>
          <w:lang w:val="en-US"/>
        </w:rPr>
        <w:t>for 1 Rx RedCap and 2 Rx RedCap respectively</w:t>
      </w:r>
      <w:r w:rsidRPr="00AD77EE">
        <w:t>.</w:t>
      </w:r>
    </w:p>
    <w:p w14:paraId="28247B72" w14:textId="77777777" w:rsidR="00D77779" w:rsidRPr="003D532E" w:rsidRDefault="00D77779" w:rsidP="00D77779">
      <w:pPr>
        <w:pStyle w:val="B10"/>
        <w:ind w:left="0" w:firstLine="0"/>
        <w:rPr>
          <w:noProof/>
        </w:rPr>
      </w:pPr>
      <w:r w:rsidRPr="003D532E">
        <w:rPr>
          <w:noProof/>
        </w:rPr>
        <w:t>If the UE is configured with eDRX_IDLE cycle then the requirements in Table 4.2B.2.9.</w:t>
      </w:r>
      <w:r>
        <w:rPr>
          <w:noProof/>
        </w:rPr>
        <w:t>10</w:t>
      </w:r>
      <w:r w:rsidRPr="003D532E">
        <w:rPr>
          <w:noProof/>
        </w:rPr>
        <w:t xml:space="preserve">-3 </w:t>
      </w:r>
      <w:r>
        <w:rPr>
          <w:noProof/>
        </w:rPr>
        <w:t xml:space="preserve">and </w:t>
      </w:r>
      <w:r w:rsidRPr="003D532E">
        <w:rPr>
          <w:noProof/>
        </w:rPr>
        <w:t>Table 4.2B.2.9.</w:t>
      </w:r>
      <w:r>
        <w:rPr>
          <w:noProof/>
        </w:rPr>
        <w:t>10</w:t>
      </w:r>
      <w:r w:rsidRPr="003D532E">
        <w:rPr>
          <w:noProof/>
        </w:rPr>
        <w:t>-</w:t>
      </w:r>
      <w:r>
        <w:rPr>
          <w:noProof/>
        </w:rPr>
        <w:t>4</w:t>
      </w:r>
      <w:r w:rsidRPr="003D532E">
        <w:rPr>
          <w:noProof/>
        </w:rPr>
        <w:t xml:space="preserve"> </w:t>
      </w:r>
      <w:r>
        <w:rPr>
          <w:noProof/>
        </w:rPr>
        <w:t>are</w:t>
      </w:r>
      <w:r w:rsidRPr="003D532E">
        <w:rPr>
          <w:noProof/>
        </w:rPr>
        <w:t xml:space="preserve"> applicable for eDRX cycle up to 10.24 s in FR1 and FR2</w:t>
      </w:r>
      <w:r>
        <w:rPr>
          <w:noProof/>
        </w:rPr>
        <w:t>, respectively</w:t>
      </w:r>
      <w:r w:rsidRPr="003D532E">
        <w:rPr>
          <w:noProof/>
        </w:rPr>
        <w:t xml:space="preserve">. </w:t>
      </w:r>
    </w:p>
    <w:p w14:paraId="1AA0878D" w14:textId="77777777" w:rsidR="00D77779" w:rsidRDefault="00D77779" w:rsidP="00D77779">
      <w:pPr>
        <w:spacing w:after="0"/>
      </w:pPr>
      <w:r w:rsidRPr="003D532E">
        <w:t xml:space="preserve">If the UE is configured with eDRX_IDLE cycle greater than 10.24 s in FR1 and FR2, then the requirements in Table </w:t>
      </w:r>
      <w:r w:rsidRPr="003D532E">
        <w:rPr>
          <w:lang w:val="en-US"/>
        </w:rPr>
        <w:t>Table 4.2B.2.9.</w:t>
      </w:r>
      <w:r>
        <w:rPr>
          <w:lang w:val="en-US"/>
        </w:rPr>
        <w:t>10</w:t>
      </w:r>
      <w:r w:rsidRPr="003D532E">
        <w:rPr>
          <w:lang w:val="en-US"/>
        </w:rPr>
        <w:t>-</w:t>
      </w:r>
      <w:r>
        <w:rPr>
          <w:lang w:val="en-US"/>
        </w:rPr>
        <w:t>5</w:t>
      </w:r>
      <w:r w:rsidRPr="003D532E">
        <w:t xml:space="preserve"> and </w:t>
      </w:r>
      <w:r w:rsidRPr="003D532E">
        <w:rPr>
          <w:lang w:val="en-US"/>
        </w:rPr>
        <w:t>Table 4.2B.2.9.</w:t>
      </w:r>
      <w:r>
        <w:rPr>
          <w:lang w:val="en-US"/>
        </w:rPr>
        <w:t>10</w:t>
      </w:r>
      <w:r w:rsidRPr="003D532E">
        <w:rPr>
          <w:lang w:val="en-US"/>
        </w:rPr>
        <w:t>-</w:t>
      </w:r>
      <w:r>
        <w:rPr>
          <w:lang w:val="en-US"/>
        </w:rPr>
        <w:t>6</w:t>
      </w:r>
      <w:r w:rsidRPr="003D532E">
        <w:rPr>
          <w:lang w:val="en-US"/>
        </w:rPr>
        <w:t xml:space="preserve"> respectively </w:t>
      </w:r>
      <w:r w:rsidRPr="003D532E">
        <w:t>apply provided</w:t>
      </w:r>
      <w:r w:rsidRPr="00140320">
        <w:t xml:space="preserve"> </w:t>
      </w:r>
      <w:r w:rsidRPr="003D532E">
        <w:t xml:space="preserve">eDRX cycle is </w:t>
      </w:r>
      <w:r w:rsidRPr="003D532E">
        <w:rPr>
          <w:rFonts w:hint="eastAsia"/>
        </w:rPr>
        <w:t>≤</w:t>
      </w:r>
      <w:r w:rsidRPr="003D532E">
        <w:t xml:space="preserve"> [163.84] sec and evaluation/measurement time with relaxation on one carrier is not greater than single PTW window length.</w:t>
      </w:r>
    </w:p>
    <w:p w14:paraId="1B7CFC79" w14:textId="77777777" w:rsidR="00D77779" w:rsidRPr="00486683" w:rsidRDefault="00D77779" w:rsidP="00D77779">
      <w:pPr>
        <w:pStyle w:val="B10"/>
      </w:pPr>
    </w:p>
    <w:p w14:paraId="24EE760A" w14:textId="77777777" w:rsidR="00D77779" w:rsidRPr="00885F53" w:rsidRDefault="00D77779" w:rsidP="00FB48DD">
      <w:pPr>
        <w:pStyle w:val="TH"/>
      </w:pPr>
      <w:r w:rsidRPr="00885F53">
        <w:t xml:space="preserve">Table </w:t>
      </w:r>
      <w:r>
        <w:t>4.2B.2.9.10</w:t>
      </w:r>
      <w:r w:rsidRPr="00885F53">
        <w:t>-</w:t>
      </w:r>
      <w:r>
        <w:t>1</w:t>
      </w:r>
      <w:r w:rsidRPr="00885F53">
        <w:t>: T</w:t>
      </w:r>
      <w:r w:rsidRPr="00885F53">
        <w:rPr>
          <w:vertAlign w:val="subscript"/>
        </w:rPr>
        <w:t>detect,NR_Intra</w:t>
      </w:r>
      <w:r>
        <w:rPr>
          <w:vertAlign w:val="subscript"/>
        </w:rPr>
        <w:t>_RedCap_Relax</w:t>
      </w:r>
      <w:r w:rsidRPr="00885F53">
        <w:rPr>
          <w:vertAlign w:val="subscript"/>
        </w:rPr>
        <w:t>,</w:t>
      </w:r>
      <w:r w:rsidRPr="00885F53">
        <w:t xml:space="preserve"> T</w:t>
      </w:r>
      <w:r w:rsidRPr="00885F53">
        <w:rPr>
          <w:vertAlign w:val="subscript"/>
        </w:rPr>
        <w:t>measure,NR_Intra</w:t>
      </w:r>
      <w:r>
        <w:rPr>
          <w:vertAlign w:val="subscript"/>
        </w:rPr>
        <w:t>_RedCap_Relax</w:t>
      </w:r>
      <w:r w:rsidRPr="00885F53">
        <w:t xml:space="preserve"> and T</w:t>
      </w:r>
      <w:r w:rsidRPr="00885F53">
        <w:rPr>
          <w:vertAlign w:val="subscript"/>
        </w:rPr>
        <w:t>evaluate,NR_Intra</w:t>
      </w:r>
      <w:r>
        <w:rPr>
          <w:vertAlign w:val="subscript"/>
        </w:rPr>
        <w:t>_RedCap_Relax</w:t>
      </w:r>
      <w:r w:rsidRPr="00454B82">
        <w:rPr>
          <w:lang w:val="en-US"/>
        </w:rPr>
        <w:t xml:space="preserve"> </w:t>
      </w:r>
      <w:r w:rsidRPr="00F74563">
        <w:rPr>
          <w:lang w:val="en-US"/>
        </w:rPr>
        <w:t xml:space="preserve">for UEs fulfilling </w:t>
      </w:r>
      <w:r>
        <w:rPr>
          <w:lang w:val="en-US" w:eastAsia="zh-CN"/>
        </w:rPr>
        <w:t>not-at-cell edge</w:t>
      </w:r>
      <w:r>
        <w:rPr>
          <w:lang w:val="en-US"/>
        </w:rPr>
        <w:t xml:space="preserve"> criterion for 1 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2959"/>
        <w:gridCol w:w="3099"/>
        <w:gridCol w:w="2386"/>
      </w:tblGrid>
      <w:tr w:rsidR="00D77779" w:rsidRPr="00EF59D1" w14:paraId="403A2690"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6B332D6E" w14:textId="77777777" w:rsidR="00D77779" w:rsidRPr="00885F53" w:rsidRDefault="00D77779" w:rsidP="008B25C8">
            <w:pPr>
              <w:pStyle w:val="TAH"/>
            </w:pPr>
            <w:r w:rsidRPr="00885F53">
              <w:t>DRX cycle length [s]</w:t>
            </w:r>
          </w:p>
        </w:tc>
        <w:tc>
          <w:tcPr>
            <w:tcW w:w="0" w:type="auto"/>
            <w:tcBorders>
              <w:top w:val="single" w:sz="4" w:space="0" w:color="auto"/>
              <w:left w:val="single" w:sz="4" w:space="0" w:color="auto"/>
              <w:bottom w:val="single" w:sz="4" w:space="0" w:color="auto"/>
              <w:right w:val="single" w:sz="4" w:space="0" w:color="auto"/>
            </w:tcBorders>
            <w:hideMark/>
          </w:tcPr>
          <w:p w14:paraId="2562BFF6" w14:textId="77777777" w:rsidR="00D77779" w:rsidRPr="007D632B" w:rsidRDefault="00D77779" w:rsidP="008B25C8">
            <w:pPr>
              <w:pStyle w:val="TAH"/>
            </w:pPr>
            <w:r w:rsidRPr="00EF59D1">
              <w:t>T</w:t>
            </w:r>
            <w:r w:rsidRPr="00EF59D1">
              <w:rPr>
                <w:vertAlign w:val="subscript"/>
              </w:rPr>
              <w:t>detect,NR_Intra</w:t>
            </w:r>
            <w:r>
              <w:rPr>
                <w:vertAlign w:val="subscript"/>
              </w:rPr>
              <w:t>_RedCap_Relax</w:t>
            </w:r>
            <w:r w:rsidRPr="007D632B">
              <w:t xml:space="preserve"> [s] (number of DRX cycles)</w:t>
            </w:r>
          </w:p>
        </w:tc>
        <w:tc>
          <w:tcPr>
            <w:tcW w:w="0" w:type="auto"/>
            <w:tcBorders>
              <w:top w:val="single" w:sz="4" w:space="0" w:color="auto"/>
              <w:left w:val="single" w:sz="4" w:space="0" w:color="auto"/>
              <w:bottom w:val="single" w:sz="4" w:space="0" w:color="auto"/>
              <w:right w:val="single" w:sz="4" w:space="0" w:color="auto"/>
            </w:tcBorders>
            <w:hideMark/>
          </w:tcPr>
          <w:p w14:paraId="586B0287" w14:textId="77777777" w:rsidR="00D77779" w:rsidRPr="00E9086F" w:rsidRDefault="00D77779" w:rsidP="008B25C8">
            <w:pPr>
              <w:pStyle w:val="TAH"/>
            </w:pPr>
            <w:r w:rsidRPr="007D632B">
              <w:t>T</w:t>
            </w:r>
            <w:r w:rsidRPr="007D632B">
              <w:rPr>
                <w:vertAlign w:val="subscript"/>
              </w:rPr>
              <w:t>measure,NR_Intra</w:t>
            </w:r>
            <w:r>
              <w:rPr>
                <w:vertAlign w:val="subscript"/>
              </w:rPr>
              <w:t>_RedCap_Relax</w:t>
            </w:r>
            <w:r w:rsidRPr="00E9086F">
              <w:t xml:space="preserve"> [s] (number of DRX cycles)</w:t>
            </w:r>
          </w:p>
        </w:tc>
        <w:tc>
          <w:tcPr>
            <w:tcW w:w="0" w:type="auto"/>
            <w:tcBorders>
              <w:top w:val="single" w:sz="4" w:space="0" w:color="auto"/>
              <w:left w:val="single" w:sz="4" w:space="0" w:color="auto"/>
              <w:bottom w:val="single" w:sz="4" w:space="0" w:color="auto"/>
              <w:right w:val="single" w:sz="4" w:space="0" w:color="auto"/>
            </w:tcBorders>
            <w:hideMark/>
          </w:tcPr>
          <w:p w14:paraId="1C4CDDCC" w14:textId="77777777" w:rsidR="00D77779" w:rsidRPr="007C2D19" w:rsidRDefault="00D77779" w:rsidP="008B25C8">
            <w:pPr>
              <w:pStyle w:val="TAH"/>
              <w:rPr>
                <w:vertAlign w:val="subscript"/>
              </w:rPr>
            </w:pPr>
            <w:r w:rsidRPr="00996B49">
              <w:t>T</w:t>
            </w:r>
            <w:r w:rsidRPr="00996B49">
              <w:rPr>
                <w:vertAlign w:val="subscript"/>
              </w:rPr>
              <w:t>evaluate,NR_</w:t>
            </w:r>
            <w:r w:rsidRPr="007C2D19">
              <w:rPr>
                <w:rFonts w:cs="v4.2.0"/>
                <w:vertAlign w:val="subscript"/>
              </w:rPr>
              <w:t>Intra</w:t>
            </w:r>
            <w:r>
              <w:rPr>
                <w:vertAlign w:val="subscript"/>
              </w:rPr>
              <w:t>_RedCap_Relax</w:t>
            </w:r>
          </w:p>
          <w:p w14:paraId="4BE58C0A" w14:textId="77777777" w:rsidR="00D77779" w:rsidRPr="00C33767" w:rsidRDefault="00D77779" w:rsidP="008B25C8">
            <w:pPr>
              <w:pStyle w:val="TAH"/>
            </w:pPr>
            <w:r w:rsidRPr="00C33767">
              <w:t>[s] (number of DRX cycles)</w:t>
            </w:r>
          </w:p>
        </w:tc>
      </w:tr>
      <w:tr w:rsidR="00D77779" w:rsidRPr="00EA7096" w14:paraId="5C444FA4"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1E62E5E" w14:textId="77777777" w:rsidR="00D77779" w:rsidRPr="00885F53" w:rsidRDefault="00D77779" w:rsidP="008B25C8">
            <w:pPr>
              <w:pStyle w:val="TAC"/>
            </w:pPr>
            <w:r w:rsidRPr="00885F53">
              <w:t>0.32</w:t>
            </w:r>
          </w:p>
        </w:tc>
        <w:tc>
          <w:tcPr>
            <w:tcW w:w="0" w:type="auto"/>
            <w:tcBorders>
              <w:top w:val="single" w:sz="4" w:space="0" w:color="auto"/>
              <w:left w:val="single" w:sz="4" w:space="0" w:color="auto"/>
              <w:bottom w:val="single" w:sz="4" w:space="0" w:color="auto"/>
              <w:right w:val="single" w:sz="4" w:space="0" w:color="auto"/>
            </w:tcBorders>
            <w:hideMark/>
          </w:tcPr>
          <w:p w14:paraId="468D8DA3" w14:textId="77777777" w:rsidR="00D77779" w:rsidRPr="00EF59D1" w:rsidRDefault="00D77779" w:rsidP="008B25C8">
            <w:pPr>
              <w:pStyle w:val="TAC"/>
              <w:rPr>
                <w:lang w:val="sv-SE"/>
              </w:rPr>
            </w:pPr>
            <w:r w:rsidRPr="00EF59D1">
              <w:rPr>
                <w:lang w:val="sv-SE"/>
              </w:rPr>
              <w:t>11.52 x</w:t>
            </w:r>
            <w:r>
              <w:rPr>
                <w:lang w:val="sv-SE"/>
              </w:rPr>
              <w:t xml:space="preserve"> </w:t>
            </w:r>
            <w:r w:rsidRPr="00EF59D1">
              <w:rPr>
                <w:rFonts w:cs="Arial"/>
                <w:lang w:val="sv-SE" w:eastAsia="zh-CN"/>
              </w:rPr>
              <w:t>M2</w:t>
            </w:r>
            <w:r w:rsidRPr="007D632B">
              <w:rPr>
                <w:rFonts w:cs="Arial"/>
                <w:lang w:val="sv-SE" w:eastAsia="zh-CN"/>
              </w:rPr>
              <w:t xml:space="preserve"> x </w:t>
            </w:r>
            <w:r w:rsidRPr="00734785">
              <w:rPr>
                <w:snapToGrid w:val="0"/>
                <w:lang w:val="sv-SE" w:eastAsia="zh-CN"/>
              </w:rPr>
              <w:t>K1</w:t>
            </w:r>
            <w:r w:rsidRPr="00EF59D1">
              <w:rPr>
                <w:rFonts w:cs="Arial"/>
                <w:lang w:val="sv-SE" w:eastAsia="zh-CN"/>
              </w:rPr>
              <w:t xml:space="preserve"> </w:t>
            </w:r>
            <w:r w:rsidRPr="00EF59D1">
              <w:rPr>
                <w:lang w:val="sv-SE"/>
              </w:rPr>
              <w:t>(36 x</w:t>
            </w:r>
            <w:r w:rsidRPr="007D632B">
              <w:rPr>
                <w:rFonts w:cs="Arial"/>
                <w:lang w:val="sv-SE" w:eastAsia="zh-CN"/>
              </w:rPr>
              <w:t xml:space="preserve"> M2 x </w:t>
            </w:r>
            <w:r w:rsidRPr="00734785">
              <w:rPr>
                <w:snapToGrid w:val="0"/>
                <w:lang w:val="sv-SE" w:eastAsia="zh-CN"/>
              </w:rPr>
              <w:t>K1</w:t>
            </w:r>
            <w:r w:rsidRPr="00EF59D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3F7F769D" w14:textId="77777777" w:rsidR="00D77779" w:rsidRPr="00EF59D1" w:rsidRDefault="00D77779" w:rsidP="008B25C8">
            <w:pPr>
              <w:pStyle w:val="TAC"/>
              <w:rPr>
                <w:lang w:val="sv-SE"/>
              </w:rPr>
            </w:pPr>
            <w:r w:rsidRPr="007D632B">
              <w:rPr>
                <w:lang w:val="sv-SE"/>
              </w:rPr>
              <w:t>1.28 x</w:t>
            </w:r>
            <w:r w:rsidRPr="007D632B">
              <w:rPr>
                <w:rFonts w:cs="Arial"/>
                <w:lang w:val="sv-SE" w:eastAsia="zh-CN"/>
              </w:rPr>
              <w:t xml:space="preserve"> M2 x </w:t>
            </w:r>
            <w:r w:rsidRPr="00734785">
              <w:rPr>
                <w:snapToGrid w:val="0"/>
                <w:lang w:val="sv-SE" w:eastAsia="zh-CN"/>
              </w:rPr>
              <w:t>K1</w:t>
            </w:r>
            <w:r w:rsidRPr="00EF59D1">
              <w:rPr>
                <w:rFonts w:cs="Arial"/>
                <w:snapToGrid w:val="0"/>
                <w:lang w:val="sv-SE"/>
              </w:rPr>
              <w:t xml:space="preserve"> </w:t>
            </w:r>
            <w:r w:rsidRPr="00EF59D1">
              <w:rPr>
                <w:lang w:val="sv-SE"/>
              </w:rPr>
              <w:t>(4 x</w:t>
            </w:r>
            <w:r w:rsidRPr="007D632B">
              <w:rPr>
                <w:rFonts w:cs="Arial"/>
                <w:lang w:val="sv-SE" w:eastAsia="zh-CN"/>
              </w:rPr>
              <w:t xml:space="preserve"> M2 x </w:t>
            </w:r>
            <w:r w:rsidRPr="00734785">
              <w:rPr>
                <w:snapToGrid w:val="0"/>
                <w:lang w:val="sv-SE" w:eastAsia="zh-CN"/>
              </w:rPr>
              <w:t>K1</w:t>
            </w:r>
            <w:r w:rsidRPr="00EF59D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17F63B0E" w14:textId="77777777" w:rsidR="00D77779" w:rsidRPr="00EF59D1" w:rsidRDefault="00D77779" w:rsidP="008B25C8">
            <w:pPr>
              <w:pStyle w:val="TAC"/>
              <w:rPr>
                <w:lang w:val="sv-SE"/>
              </w:rPr>
            </w:pPr>
            <w:r w:rsidRPr="007D632B">
              <w:rPr>
                <w:lang w:val="sv-SE"/>
              </w:rPr>
              <w:t>5.12 x</w:t>
            </w:r>
            <w:r w:rsidRPr="007D632B">
              <w:rPr>
                <w:rFonts w:cs="Arial"/>
                <w:lang w:val="sv-SE" w:eastAsia="zh-CN"/>
              </w:rPr>
              <w:t xml:space="preserve"> M2 x </w:t>
            </w:r>
            <w:r w:rsidRPr="00734785">
              <w:rPr>
                <w:snapToGrid w:val="0"/>
                <w:lang w:val="sv-SE" w:eastAsia="zh-CN"/>
              </w:rPr>
              <w:t>K1</w:t>
            </w:r>
            <w:r w:rsidRPr="00EF59D1">
              <w:rPr>
                <w:rFonts w:cs="Arial"/>
                <w:snapToGrid w:val="0"/>
                <w:lang w:val="sv-SE"/>
              </w:rPr>
              <w:t xml:space="preserve"> </w:t>
            </w:r>
            <w:r w:rsidRPr="00EF59D1">
              <w:rPr>
                <w:lang w:val="sv-SE"/>
              </w:rPr>
              <w:t>(16 x</w:t>
            </w:r>
            <w:r w:rsidRPr="007D632B">
              <w:rPr>
                <w:rFonts w:cs="Arial"/>
                <w:lang w:val="sv-SE" w:eastAsia="zh-CN"/>
              </w:rPr>
              <w:t xml:space="preserve"> M2 x </w:t>
            </w:r>
            <w:r w:rsidRPr="00734785">
              <w:rPr>
                <w:snapToGrid w:val="0"/>
                <w:lang w:val="sv-SE" w:eastAsia="zh-CN"/>
              </w:rPr>
              <w:t>K1</w:t>
            </w:r>
            <w:r w:rsidRPr="00EF59D1">
              <w:rPr>
                <w:lang w:val="sv-SE"/>
              </w:rPr>
              <w:t>)</w:t>
            </w:r>
          </w:p>
        </w:tc>
      </w:tr>
      <w:tr w:rsidR="00D77779" w:rsidRPr="00EF59D1" w14:paraId="3B32E43E"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3B03253" w14:textId="77777777" w:rsidR="00D77779" w:rsidRPr="00885F53" w:rsidRDefault="00D77779" w:rsidP="008B25C8">
            <w:pPr>
              <w:pStyle w:val="TAC"/>
            </w:pPr>
            <w:r w:rsidRPr="00885F53">
              <w:t>0.64</w:t>
            </w:r>
          </w:p>
        </w:tc>
        <w:tc>
          <w:tcPr>
            <w:tcW w:w="0" w:type="auto"/>
            <w:tcBorders>
              <w:top w:val="single" w:sz="4" w:space="0" w:color="auto"/>
              <w:left w:val="single" w:sz="4" w:space="0" w:color="auto"/>
              <w:bottom w:val="single" w:sz="4" w:space="0" w:color="auto"/>
              <w:right w:val="single" w:sz="4" w:space="0" w:color="auto"/>
            </w:tcBorders>
            <w:hideMark/>
          </w:tcPr>
          <w:p w14:paraId="59877BA2" w14:textId="77777777" w:rsidR="00D77779" w:rsidRPr="00EF59D1" w:rsidRDefault="00D77779" w:rsidP="008B25C8">
            <w:pPr>
              <w:pStyle w:val="TAC"/>
            </w:pPr>
            <w:r w:rsidRPr="00EF59D1">
              <w:t>17.92 x</w:t>
            </w:r>
            <w:r w:rsidRPr="00EF59D1">
              <w:rPr>
                <w:rFonts w:cs="Arial"/>
                <w:lang w:val="sv-SE" w:eastAsia="zh-CN"/>
              </w:rPr>
              <w:t xml:space="preserve"> </w:t>
            </w:r>
            <w:r w:rsidRPr="00734785">
              <w:rPr>
                <w:snapToGrid w:val="0"/>
                <w:lang w:eastAsia="zh-CN"/>
              </w:rPr>
              <w:t>K1</w:t>
            </w:r>
            <w:r w:rsidRPr="00EF59D1">
              <w:t xml:space="preserve"> (28 x</w:t>
            </w:r>
            <w:r w:rsidRPr="007D632B">
              <w:rPr>
                <w:rFonts w:cs="Arial"/>
                <w:lang w:val="sv-SE" w:eastAsia="zh-CN"/>
              </w:rPr>
              <w:t xml:space="preserve"> </w:t>
            </w:r>
            <w:r w:rsidRPr="00734785">
              <w:rPr>
                <w:snapToGrid w:val="0"/>
                <w:lang w:eastAsia="zh-CN"/>
              </w:rPr>
              <w:t>K1</w:t>
            </w:r>
            <w:r w:rsidRPr="00EF59D1">
              <w:t>)</w:t>
            </w:r>
          </w:p>
        </w:tc>
        <w:tc>
          <w:tcPr>
            <w:tcW w:w="0" w:type="auto"/>
            <w:tcBorders>
              <w:top w:val="single" w:sz="4" w:space="0" w:color="auto"/>
              <w:left w:val="single" w:sz="4" w:space="0" w:color="auto"/>
              <w:bottom w:val="single" w:sz="4" w:space="0" w:color="auto"/>
              <w:right w:val="single" w:sz="4" w:space="0" w:color="auto"/>
            </w:tcBorders>
            <w:hideMark/>
          </w:tcPr>
          <w:p w14:paraId="3D9EDBC1" w14:textId="77777777" w:rsidR="00D77779" w:rsidRPr="00EF59D1" w:rsidRDefault="00D77779" w:rsidP="008B25C8">
            <w:pPr>
              <w:pStyle w:val="TAC"/>
            </w:pPr>
            <w:r w:rsidRPr="007D632B">
              <w:t>1.28 x</w:t>
            </w:r>
            <w:r w:rsidRPr="007D632B">
              <w:rPr>
                <w:rFonts w:cs="Arial"/>
                <w:lang w:val="sv-SE" w:eastAsia="zh-CN"/>
              </w:rPr>
              <w:t xml:space="preserve"> </w:t>
            </w:r>
            <w:r w:rsidRPr="00734785">
              <w:rPr>
                <w:snapToGrid w:val="0"/>
                <w:lang w:eastAsia="zh-CN"/>
              </w:rPr>
              <w:t>K1</w:t>
            </w:r>
            <w:r w:rsidRPr="00EF59D1">
              <w:t xml:space="preserve"> (2 x</w:t>
            </w:r>
            <w:r w:rsidRPr="00EF59D1">
              <w:rPr>
                <w:rFonts w:cs="Arial"/>
                <w:lang w:val="sv-SE" w:eastAsia="zh-CN"/>
              </w:rPr>
              <w:t xml:space="preserve"> </w:t>
            </w:r>
            <w:r w:rsidRPr="00734785">
              <w:rPr>
                <w:snapToGrid w:val="0"/>
                <w:lang w:eastAsia="zh-CN"/>
              </w:rPr>
              <w:t>K1</w:t>
            </w:r>
            <w:r w:rsidRPr="00EF59D1">
              <w:t>)</w:t>
            </w:r>
          </w:p>
        </w:tc>
        <w:tc>
          <w:tcPr>
            <w:tcW w:w="0" w:type="auto"/>
            <w:tcBorders>
              <w:top w:val="single" w:sz="4" w:space="0" w:color="auto"/>
              <w:left w:val="single" w:sz="4" w:space="0" w:color="auto"/>
              <w:bottom w:val="single" w:sz="4" w:space="0" w:color="auto"/>
              <w:right w:val="single" w:sz="4" w:space="0" w:color="auto"/>
            </w:tcBorders>
            <w:hideMark/>
          </w:tcPr>
          <w:p w14:paraId="12615627" w14:textId="77777777" w:rsidR="00D77779" w:rsidRPr="00EF59D1" w:rsidRDefault="00D77779" w:rsidP="008B25C8">
            <w:pPr>
              <w:pStyle w:val="TAC"/>
            </w:pPr>
            <w:r w:rsidRPr="007D632B">
              <w:t>5.12 x</w:t>
            </w:r>
            <w:r w:rsidRPr="007D632B">
              <w:rPr>
                <w:rFonts w:cs="Arial"/>
                <w:lang w:val="sv-SE" w:eastAsia="zh-CN"/>
              </w:rPr>
              <w:t xml:space="preserve"> </w:t>
            </w:r>
            <w:r w:rsidRPr="00734785">
              <w:rPr>
                <w:snapToGrid w:val="0"/>
                <w:lang w:eastAsia="zh-CN"/>
              </w:rPr>
              <w:t>K1</w:t>
            </w:r>
            <w:r w:rsidRPr="00EF59D1">
              <w:t xml:space="preserve"> (8 x</w:t>
            </w:r>
            <w:r w:rsidRPr="00EF59D1">
              <w:rPr>
                <w:rFonts w:cs="Arial"/>
                <w:lang w:val="sv-SE" w:eastAsia="zh-CN"/>
              </w:rPr>
              <w:t xml:space="preserve"> </w:t>
            </w:r>
            <w:r w:rsidRPr="00734785">
              <w:rPr>
                <w:snapToGrid w:val="0"/>
                <w:lang w:eastAsia="zh-CN"/>
              </w:rPr>
              <w:t>K1</w:t>
            </w:r>
            <w:r w:rsidRPr="00EF59D1">
              <w:t>)</w:t>
            </w:r>
          </w:p>
        </w:tc>
      </w:tr>
      <w:tr w:rsidR="00D77779" w:rsidRPr="00EF59D1" w14:paraId="506A968B"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A6B02B4" w14:textId="77777777" w:rsidR="00D77779" w:rsidRPr="00885F53" w:rsidRDefault="00D77779" w:rsidP="008B25C8">
            <w:pPr>
              <w:pStyle w:val="TAC"/>
            </w:pPr>
            <w:r w:rsidRPr="00885F53">
              <w:t>1.28</w:t>
            </w:r>
          </w:p>
        </w:tc>
        <w:tc>
          <w:tcPr>
            <w:tcW w:w="0" w:type="auto"/>
            <w:tcBorders>
              <w:top w:val="single" w:sz="4" w:space="0" w:color="auto"/>
              <w:left w:val="single" w:sz="4" w:space="0" w:color="auto"/>
              <w:bottom w:val="single" w:sz="4" w:space="0" w:color="auto"/>
              <w:right w:val="single" w:sz="4" w:space="0" w:color="auto"/>
            </w:tcBorders>
            <w:hideMark/>
          </w:tcPr>
          <w:p w14:paraId="6653879C" w14:textId="77777777" w:rsidR="00D77779" w:rsidRPr="00EF59D1" w:rsidRDefault="00D77779" w:rsidP="008B25C8">
            <w:pPr>
              <w:pStyle w:val="TAC"/>
            </w:pPr>
            <w:r w:rsidRPr="00EF59D1">
              <w:t>32 x</w:t>
            </w:r>
            <w:r w:rsidRPr="00EF59D1">
              <w:rPr>
                <w:rFonts w:cs="Arial"/>
                <w:lang w:val="sv-SE" w:eastAsia="zh-CN"/>
              </w:rPr>
              <w:t xml:space="preserve"> </w:t>
            </w:r>
            <w:r w:rsidRPr="00734785">
              <w:rPr>
                <w:snapToGrid w:val="0"/>
                <w:lang w:eastAsia="zh-CN"/>
              </w:rPr>
              <w:t>K1</w:t>
            </w:r>
            <w:r w:rsidRPr="00EF59D1">
              <w:t xml:space="preserve"> (25 x</w:t>
            </w:r>
            <w:r w:rsidRPr="00EF59D1">
              <w:rPr>
                <w:rFonts w:cs="Arial"/>
                <w:lang w:val="sv-SE" w:eastAsia="zh-CN"/>
              </w:rPr>
              <w:t xml:space="preserve"> </w:t>
            </w:r>
            <w:r w:rsidRPr="00734785">
              <w:rPr>
                <w:snapToGrid w:val="0"/>
                <w:lang w:eastAsia="zh-CN"/>
              </w:rPr>
              <w:t>K1</w:t>
            </w:r>
            <w:r w:rsidRPr="00EF59D1">
              <w:t>)</w:t>
            </w:r>
          </w:p>
        </w:tc>
        <w:tc>
          <w:tcPr>
            <w:tcW w:w="0" w:type="auto"/>
            <w:tcBorders>
              <w:top w:val="single" w:sz="4" w:space="0" w:color="auto"/>
              <w:left w:val="single" w:sz="4" w:space="0" w:color="auto"/>
              <w:bottom w:val="single" w:sz="4" w:space="0" w:color="auto"/>
              <w:right w:val="single" w:sz="4" w:space="0" w:color="auto"/>
            </w:tcBorders>
            <w:hideMark/>
          </w:tcPr>
          <w:p w14:paraId="2D864BCE" w14:textId="77777777" w:rsidR="00D77779" w:rsidRPr="00EF59D1" w:rsidRDefault="00D77779" w:rsidP="008B25C8">
            <w:pPr>
              <w:pStyle w:val="TAC"/>
            </w:pPr>
            <w:r w:rsidRPr="007D632B">
              <w:t>1.28 x</w:t>
            </w:r>
            <w:r w:rsidRPr="007D632B">
              <w:rPr>
                <w:rFonts w:cs="Arial"/>
                <w:lang w:val="sv-SE" w:eastAsia="zh-CN"/>
              </w:rPr>
              <w:t xml:space="preserve"> </w:t>
            </w:r>
            <w:r w:rsidRPr="00734785">
              <w:rPr>
                <w:snapToGrid w:val="0"/>
                <w:lang w:eastAsia="zh-CN"/>
              </w:rPr>
              <w:t>K1</w:t>
            </w:r>
            <w:r w:rsidRPr="00EF59D1">
              <w:t xml:space="preserve"> (1 x</w:t>
            </w:r>
            <w:r w:rsidRPr="00EF59D1">
              <w:rPr>
                <w:rFonts w:cs="Arial"/>
                <w:lang w:val="sv-SE" w:eastAsia="zh-CN"/>
              </w:rPr>
              <w:t xml:space="preserve"> </w:t>
            </w:r>
            <w:r w:rsidRPr="00734785">
              <w:rPr>
                <w:snapToGrid w:val="0"/>
                <w:lang w:eastAsia="zh-CN"/>
              </w:rPr>
              <w:t>K1</w:t>
            </w:r>
            <w:r w:rsidRPr="00EF59D1">
              <w:t>)</w:t>
            </w:r>
          </w:p>
        </w:tc>
        <w:tc>
          <w:tcPr>
            <w:tcW w:w="0" w:type="auto"/>
            <w:tcBorders>
              <w:top w:val="single" w:sz="4" w:space="0" w:color="auto"/>
              <w:left w:val="single" w:sz="4" w:space="0" w:color="auto"/>
              <w:bottom w:val="single" w:sz="4" w:space="0" w:color="auto"/>
              <w:right w:val="single" w:sz="4" w:space="0" w:color="auto"/>
            </w:tcBorders>
            <w:hideMark/>
          </w:tcPr>
          <w:p w14:paraId="1416F967" w14:textId="77777777" w:rsidR="00D77779" w:rsidRPr="00EF59D1" w:rsidRDefault="00D77779" w:rsidP="008B25C8">
            <w:pPr>
              <w:pStyle w:val="TAC"/>
            </w:pPr>
            <w:r w:rsidRPr="007D632B">
              <w:t>6.4 x</w:t>
            </w:r>
            <w:r w:rsidRPr="007D632B">
              <w:rPr>
                <w:rFonts w:cs="Arial"/>
                <w:lang w:val="sv-SE" w:eastAsia="zh-CN"/>
              </w:rPr>
              <w:t xml:space="preserve"> </w:t>
            </w:r>
            <w:r w:rsidRPr="00734785">
              <w:rPr>
                <w:snapToGrid w:val="0"/>
                <w:lang w:eastAsia="zh-CN"/>
              </w:rPr>
              <w:t>K1</w:t>
            </w:r>
            <w:r w:rsidRPr="00EF59D1">
              <w:t xml:space="preserve"> (5 x</w:t>
            </w:r>
            <w:r w:rsidRPr="00EF59D1">
              <w:rPr>
                <w:rFonts w:cs="Arial"/>
                <w:lang w:val="sv-SE" w:eastAsia="zh-CN"/>
              </w:rPr>
              <w:t xml:space="preserve"> </w:t>
            </w:r>
            <w:r w:rsidRPr="00734785">
              <w:rPr>
                <w:snapToGrid w:val="0"/>
                <w:lang w:eastAsia="zh-CN"/>
              </w:rPr>
              <w:t>K1</w:t>
            </w:r>
            <w:r w:rsidRPr="00EF59D1">
              <w:t>)</w:t>
            </w:r>
          </w:p>
        </w:tc>
      </w:tr>
      <w:tr w:rsidR="00D77779" w:rsidRPr="00EF59D1" w14:paraId="630C0BB1"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41E4031" w14:textId="77777777" w:rsidR="00D77779" w:rsidRPr="00885F53" w:rsidRDefault="00D77779" w:rsidP="008B25C8">
            <w:pPr>
              <w:pStyle w:val="TAC"/>
            </w:pPr>
            <w:r w:rsidRPr="00885F53">
              <w:t>2.56</w:t>
            </w:r>
          </w:p>
        </w:tc>
        <w:tc>
          <w:tcPr>
            <w:tcW w:w="0" w:type="auto"/>
            <w:tcBorders>
              <w:top w:val="single" w:sz="4" w:space="0" w:color="auto"/>
              <w:left w:val="single" w:sz="4" w:space="0" w:color="auto"/>
              <w:bottom w:val="single" w:sz="4" w:space="0" w:color="auto"/>
              <w:right w:val="single" w:sz="4" w:space="0" w:color="auto"/>
            </w:tcBorders>
            <w:hideMark/>
          </w:tcPr>
          <w:p w14:paraId="37916EA5" w14:textId="77777777" w:rsidR="00D77779" w:rsidRPr="00EF59D1" w:rsidRDefault="00D77779" w:rsidP="008B25C8">
            <w:pPr>
              <w:pStyle w:val="TAC"/>
            </w:pPr>
            <w:r w:rsidRPr="00EF59D1">
              <w:rPr>
                <w:rFonts w:cs="Arial"/>
                <w:lang w:eastAsia="zh-CN"/>
              </w:rPr>
              <w:t>58.88</w:t>
            </w:r>
            <w:r w:rsidRPr="00EF59D1">
              <w:t xml:space="preserve"> x</w:t>
            </w:r>
            <w:r w:rsidRPr="007D632B">
              <w:rPr>
                <w:rFonts w:cs="Arial"/>
                <w:lang w:val="sv-SE" w:eastAsia="zh-CN"/>
              </w:rPr>
              <w:t xml:space="preserve"> </w:t>
            </w:r>
            <w:r w:rsidRPr="00734785">
              <w:rPr>
                <w:snapToGrid w:val="0"/>
                <w:lang w:eastAsia="zh-CN"/>
              </w:rPr>
              <w:t>K1</w:t>
            </w:r>
            <w:r w:rsidRPr="00EF59D1">
              <w:t xml:space="preserve"> (23 x</w:t>
            </w:r>
            <w:r w:rsidRPr="00EF59D1">
              <w:rPr>
                <w:rFonts w:cs="Arial"/>
                <w:lang w:val="sv-SE" w:eastAsia="zh-CN"/>
              </w:rPr>
              <w:t xml:space="preserve"> </w:t>
            </w:r>
            <w:r w:rsidRPr="00734785">
              <w:rPr>
                <w:snapToGrid w:val="0"/>
                <w:lang w:eastAsia="zh-CN"/>
              </w:rPr>
              <w:t>K1</w:t>
            </w:r>
            <w:r w:rsidRPr="00EF59D1">
              <w:t>)</w:t>
            </w:r>
          </w:p>
        </w:tc>
        <w:tc>
          <w:tcPr>
            <w:tcW w:w="0" w:type="auto"/>
            <w:tcBorders>
              <w:top w:val="single" w:sz="4" w:space="0" w:color="auto"/>
              <w:left w:val="single" w:sz="4" w:space="0" w:color="auto"/>
              <w:bottom w:val="single" w:sz="4" w:space="0" w:color="auto"/>
              <w:right w:val="single" w:sz="4" w:space="0" w:color="auto"/>
            </w:tcBorders>
            <w:hideMark/>
          </w:tcPr>
          <w:p w14:paraId="614E776C" w14:textId="77777777" w:rsidR="00D77779" w:rsidRPr="00EF59D1" w:rsidRDefault="00D77779" w:rsidP="008B25C8">
            <w:pPr>
              <w:pStyle w:val="TAC"/>
            </w:pPr>
            <w:r w:rsidRPr="007D632B">
              <w:t>2.56 x</w:t>
            </w:r>
            <w:r w:rsidRPr="007D632B">
              <w:rPr>
                <w:rFonts w:cs="Arial"/>
                <w:lang w:val="sv-SE" w:eastAsia="zh-CN"/>
              </w:rPr>
              <w:t xml:space="preserve"> </w:t>
            </w:r>
            <w:r w:rsidRPr="00734785">
              <w:rPr>
                <w:snapToGrid w:val="0"/>
                <w:lang w:eastAsia="zh-CN"/>
              </w:rPr>
              <w:t>K1</w:t>
            </w:r>
            <w:r w:rsidRPr="00EF59D1">
              <w:t xml:space="preserve"> (1 x</w:t>
            </w:r>
            <w:r w:rsidRPr="00EF59D1">
              <w:rPr>
                <w:rFonts w:cs="Arial"/>
                <w:lang w:val="sv-SE" w:eastAsia="zh-CN"/>
              </w:rPr>
              <w:t xml:space="preserve"> </w:t>
            </w:r>
            <w:r w:rsidRPr="00734785">
              <w:rPr>
                <w:snapToGrid w:val="0"/>
                <w:lang w:eastAsia="zh-CN"/>
              </w:rPr>
              <w:t>K1</w:t>
            </w:r>
            <w:r w:rsidRPr="00EF59D1">
              <w:t>)</w:t>
            </w:r>
          </w:p>
        </w:tc>
        <w:tc>
          <w:tcPr>
            <w:tcW w:w="0" w:type="auto"/>
            <w:tcBorders>
              <w:top w:val="single" w:sz="4" w:space="0" w:color="auto"/>
              <w:left w:val="single" w:sz="4" w:space="0" w:color="auto"/>
              <w:bottom w:val="single" w:sz="4" w:space="0" w:color="auto"/>
              <w:right w:val="single" w:sz="4" w:space="0" w:color="auto"/>
            </w:tcBorders>
            <w:hideMark/>
          </w:tcPr>
          <w:p w14:paraId="1A484F04" w14:textId="77777777" w:rsidR="00D77779" w:rsidRPr="00EF59D1" w:rsidRDefault="00D77779" w:rsidP="008B25C8">
            <w:pPr>
              <w:pStyle w:val="TAC"/>
            </w:pPr>
            <w:r w:rsidRPr="007D632B">
              <w:t>7.68 x</w:t>
            </w:r>
            <w:r w:rsidRPr="007D632B">
              <w:rPr>
                <w:rFonts w:cs="Arial"/>
                <w:lang w:val="sv-SE" w:eastAsia="zh-CN"/>
              </w:rPr>
              <w:t xml:space="preserve"> </w:t>
            </w:r>
            <w:r w:rsidRPr="00734785">
              <w:rPr>
                <w:snapToGrid w:val="0"/>
                <w:lang w:eastAsia="zh-CN"/>
              </w:rPr>
              <w:t>K1</w:t>
            </w:r>
            <w:r w:rsidRPr="00EF59D1">
              <w:t xml:space="preserve"> (3 x</w:t>
            </w:r>
            <w:r w:rsidRPr="00EF59D1">
              <w:rPr>
                <w:rFonts w:cs="Arial"/>
                <w:lang w:val="sv-SE" w:eastAsia="zh-CN"/>
              </w:rPr>
              <w:t xml:space="preserve"> </w:t>
            </w:r>
            <w:r w:rsidRPr="00734785">
              <w:rPr>
                <w:snapToGrid w:val="0"/>
                <w:lang w:eastAsia="zh-CN"/>
              </w:rPr>
              <w:t>K1</w:t>
            </w:r>
            <w:r w:rsidRPr="00EF59D1">
              <w:t>)</w:t>
            </w:r>
          </w:p>
        </w:tc>
      </w:tr>
      <w:tr w:rsidR="00D77779" w:rsidRPr="00EF59D1" w14:paraId="44525B15" w14:textId="77777777" w:rsidTr="008B25C8">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60296AD4" w14:textId="77777777" w:rsidR="00D77779" w:rsidRPr="00EF59D1" w:rsidRDefault="00D77779" w:rsidP="008B25C8">
            <w:pPr>
              <w:pStyle w:val="TAN"/>
              <w:rPr>
                <w:snapToGrid w:val="0"/>
                <w:lang w:eastAsia="zh-CN"/>
              </w:rPr>
            </w:pPr>
            <w:r w:rsidRPr="00EF59D1">
              <w:rPr>
                <w:snapToGrid w:val="0"/>
                <w:lang w:eastAsia="zh-CN"/>
              </w:rPr>
              <w:t xml:space="preserve">Note </w:t>
            </w:r>
            <w:r>
              <w:rPr>
                <w:snapToGrid w:val="0"/>
                <w:lang w:eastAsia="zh-CN"/>
              </w:rPr>
              <w:t>1</w:t>
            </w:r>
            <w:r w:rsidRPr="00EF59D1">
              <w:rPr>
                <w:snapToGrid w:val="0"/>
                <w:lang w:eastAsia="zh-CN"/>
              </w:rPr>
              <w:t>:</w:t>
            </w:r>
            <w:r w:rsidRPr="00EF59D1">
              <w:rPr>
                <w:lang w:val="en-US"/>
              </w:rPr>
              <w:tab/>
            </w:r>
            <w:r w:rsidRPr="00EF59D1">
              <w:rPr>
                <w:snapToGrid w:val="0"/>
                <w:lang w:eastAsia="zh-CN"/>
              </w:rPr>
              <w:t>M2 = 1.5 if SMTC periodicity</w:t>
            </w:r>
            <w:r w:rsidRPr="00EF59D1">
              <w:t xml:space="preserve"> </w:t>
            </w:r>
            <w:r w:rsidRPr="00EF59D1">
              <w:rPr>
                <w:snapToGrid w:val="0"/>
                <w:lang w:eastAsia="zh-CN"/>
              </w:rPr>
              <w:t>of measured intra-frequency cell &gt; 20 ms; otherwise M2=1.</w:t>
            </w:r>
            <w:r>
              <w:rPr>
                <w:snapToGrid w:val="0"/>
                <w:lang w:eastAsia="zh-CN"/>
              </w:rPr>
              <w:t xml:space="preserve"> </w:t>
            </w:r>
          </w:p>
          <w:p w14:paraId="2FF42594" w14:textId="77777777" w:rsidR="00D77779" w:rsidRPr="00EF59D1" w:rsidRDefault="00D77779" w:rsidP="008B25C8">
            <w:pPr>
              <w:pStyle w:val="TAN"/>
            </w:pPr>
            <w:r w:rsidRPr="00EF59D1">
              <w:rPr>
                <w:snapToGrid w:val="0"/>
                <w:lang w:eastAsia="zh-CN"/>
              </w:rPr>
              <w:t xml:space="preserve">Note </w:t>
            </w:r>
            <w:r>
              <w:rPr>
                <w:snapToGrid w:val="0"/>
                <w:lang w:eastAsia="zh-CN"/>
              </w:rPr>
              <w:t>2</w:t>
            </w:r>
            <w:r w:rsidRPr="00EF59D1">
              <w:rPr>
                <w:snapToGrid w:val="0"/>
                <w:lang w:eastAsia="zh-CN"/>
              </w:rPr>
              <w:t>:</w:t>
            </w:r>
            <w:r w:rsidRPr="00EF59D1">
              <w:rPr>
                <w:lang w:val="en-US"/>
              </w:rPr>
              <w:tab/>
            </w:r>
            <w:r w:rsidRPr="00EF59D1">
              <w:rPr>
                <w:snapToGrid w:val="0"/>
                <w:lang w:eastAsia="zh-CN"/>
              </w:rPr>
              <w:t xml:space="preserve">K1 = 3 is the measurement relaxation factor applicable for UE fulfilling the </w:t>
            </w:r>
            <w:r w:rsidRPr="00485479">
              <w:rPr>
                <w:i/>
                <w:iCs/>
                <w:lang w:eastAsia="zh-CN"/>
              </w:rPr>
              <w:t>cellEdgeEvaluation</w:t>
            </w:r>
            <w:r>
              <w:rPr>
                <w:i/>
                <w:iCs/>
                <w:lang w:eastAsia="zh-CN"/>
              </w:rPr>
              <w:t xml:space="preserve"> </w:t>
            </w:r>
            <w:r>
              <w:rPr>
                <w:lang w:eastAsia="zh-CN"/>
              </w:rPr>
              <w:t>[2]</w:t>
            </w:r>
            <w:r w:rsidRPr="00EF59D1">
              <w:rPr>
                <w:snapToGrid w:val="0"/>
                <w:lang w:eastAsia="zh-CN"/>
              </w:rPr>
              <w:t xml:space="preserve"> criterion.</w:t>
            </w:r>
          </w:p>
        </w:tc>
      </w:tr>
    </w:tbl>
    <w:p w14:paraId="7C29EC47" w14:textId="77777777" w:rsidR="00FB48DD" w:rsidRDefault="00FB48DD" w:rsidP="00FB48DD"/>
    <w:p w14:paraId="267D16F0" w14:textId="026BC9D0" w:rsidR="00D77779" w:rsidRPr="00885F53" w:rsidRDefault="00D77779" w:rsidP="00FB48DD">
      <w:pPr>
        <w:pStyle w:val="TH"/>
      </w:pPr>
      <w:r w:rsidRPr="00885F53">
        <w:t xml:space="preserve">Table </w:t>
      </w:r>
      <w:r>
        <w:t>4.2B.2.9.10</w:t>
      </w:r>
      <w:r w:rsidRPr="00885F53">
        <w:t>-</w:t>
      </w:r>
      <w:r>
        <w:t>2</w:t>
      </w:r>
      <w:r w:rsidRPr="00885F53">
        <w:t>: T</w:t>
      </w:r>
      <w:r w:rsidRPr="00885F53">
        <w:rPr>
          <w:vertAlign w:val="subscript"/>
        </w:rPr>
        <w:t>detect,NR_Intra</w:t>
      </w:r>
      <w:r>
        <w:rPr>
          <w:vertAlign w:val="subscript"/>
        </w:rPr>
        <w:t>_RedCap_Relax</w:t>
      </w:r>
      <w:r w:rsidRPr="00885F53">
        <w:rPr>
          <w:vertAlign w:val="subscript"/>
        </w:rPr>
        <w:t>,</w:t>
      </w:r>
      <w:r w:rsidRPr="00885F53">
        <w:t xml:space="preserve"> T</w:t>
      </w:r>
      <w:r w:rsidRPr="00885F53">
        <w:rPr>
          <w:vertAlign w:val="subscript"/>
        </w:rPr>
        <w:t>measure,NR_Intra</w:t>
      </w:r>
      <w:r>
        <w:rPr>
          <w:vertAlign w:val="subscript"/>
        </w:rPr>
        <w:t>_RedCap_Relax</w:t>
      </w:r>
      <w:r w:rsidRPr="00885F53">
        <w:t xml:space="preserve"> and T</w:t>
      </w:r>
      <w:r w:rsidRPr="00885F53">
        <w:rPr>
          <w:vertAlign w:val="subscript"/>
        </w:rPr>
        <w:t>evaluate,NR_Intra</w:t>
      </w:r>
      <w:r>
        <w:rPr>
          <w:vertAlign w:val="subscript"/>
        </w:rPr>
        <w:t>_RedCap_Relax</w:t>
      </w:r>
      <w:r w:rsidRPr="00454B82">
        <w:rPr>
          <w:lang w:val="en-US"/>
        </w:rPr>
        <w:t xml:space="preserve"> </w:t>
      </w:r>
      <w:r w:rsidRPr="00F74563">
        <w:rPr>
          <w:lang w:val="en-US"/>
        </w:rPr>
        <w:t xml:space="preserve">for UEs fulfilling </w:t>
      </w:r>
      <w:r>
        <w:rPr>
          <w:lang w:val="en-US" w:eastAsia="zh-CN"/>
        </w:rPr>
        <w:t>not-at-cell edge</w:t>
      </w:r>
      <w:r>
        <w:rPr>
          <w:lang w:val="en-US"/>
        </w:rPr>
        <w:t xml:space="preserve"> criterion for 2 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574"/>
        <w:gridCol w:w="917"/>
        <w:gridCol w:w="2369"/>
        <w:gridCol w:w="2510"/>
        <w:gridCol w:w="2377"/>
      </w:tblGrid>
      <w:tr w:rsidR="00D77779" w:rsidRPr="00EF59D1" w14:paraId="2F94B990"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27E5B4A7" w14:textId="77777777" w:rsidR="00D77779" w:rsidRPr="00885F53" w:rsidRDefault="00D77779" w:rsidP="008B25C8">
            <w:pPr>
              <w:pStyle w:val="TAH"/>
            </w:pPr>
            <w:r w:rsidRPr="00885F53">
              <w:t>DRX cycle length [s]</w:t>
            </w:r>
          </w:p>
        </w:tc>
        <w:tc>
          <w:tcPr>
            <w:tcW w:w="0" w:type="auto"/>
            <w:gridSpan w:val="2"/>
            <w:tcBorders>
              <w:top w:val="single" w:sz="4" w:space="0" w:color="auto"/>
              <w:left w:val="single" w:sz="4" w:space="0" w:color="auto"/>
              <w:bottom w:val="single" w:sz="4" w:space="0" w:color="auto"/>
              <w:right w:val="single" w:sz="4" w:space="0" w:color="auto"/>
            </w:tcBorders>
            <w:hideMark/>
          </w:tcPr>
          <w:p w14:paraId="32503EBD" w14:textId="77777777" w:rsidR="00D77779" w:rsidRPr="00885F53" w:rsidRDefault="00D77779" w:rsidP="008B25C8">
            <w:pPr>
              <w:pStyle w:val="TAH"/>
            </w:pPr>
            <w:r w:rsidRPr="00885F53">
              <w:t>Scaling Factor (N1)</w:t>
            </w:r>
          </w:p>
        </w:tc>
        <w:tc>
          <w:tcPr>
            <w:tcW w:w="0" w:type="auto"/>
            <w:vMerge w:val="restart"/>
            <w:tcBorders>
              <w:top w:val="single" w:sz="4" w:space="0" w:color="auto"/>
              <w:left w:val="single" w:sz="4" w:space="0" w:color="auto"/>
              <w:bottom w:val="single" w:sz="4" w:space="0" w:color="auto"/>
              <w:right w:val="single" w:sz="4" w:space="0" w:color="auto"/>
            </w:tcBorders>
            <w:hideMark/>
          </w:tcPr>
          <w:p w14:paraId="4B83AADB" w14:textId="77777777" w:rsidR="00D77779" w:rsidRPr="007D632B" w:rsidRDefault="00D77779" w:rsidP="008B25C8">
            <w:pPr>
              <w:pStyle w:val="TAH"/>
            </w:pPr>
            <w:r w:rsidRPr="00EF59D1">
              <w:t>T</w:t>
            </w:r>
            <w:r w:rsidRPr="00EF59D1">
              <w:rPr>
                <w:vertAlign w:val="subscript"/>
              </w:rPr>
              <w:t>detect,NR_Intra</w:t>
            </w:r>
            <w:r>
              <w:rPr>
                <w:vertAlign w:val="subscript"/>
              </w:rPr>
              <w:t>_RedCap_Relax</w:t>
            </w:r>
            <w:r w:rsidRPr="007D632B">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153E775E" w14:textId="77777777" w:rsidR="00D77779" w:rsidRPr="00E9086F" w:rsidRDefault="00D77779" w:rsidP="008B25C8">
            <w:pPr>
              <w:pStyle w:val="TAH"/>
            </w:pPr>
            <w:r w:rsidRPr="007D632B">
              <w:t>T</w:t>
            </w:r>
            <w:r w:rsidRPr="007D632B">
              <w:rPr>
                <w:vertAlign w:val="subscript"/>
              </w:rPr>
              <w:t>measure,NR_Intra</w:t>
            </w:r>
            <w:r>
              <w:rPr>
                <w:vertAlign w:val="subscript"/>
              </w:rPr>
              <w:t>_RedCap_Relax</w:t>
            </w:r>
            <w:r w:rsidRPr="00E9086F">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18760287" w14:textId="77777777" w:rsidR="00D77779" w:rsidRPr="007C2D19" w:rsidRDefault="00D77779" w:rsidP="008B25C8">
            <w:pPr>
              <w:pStyle w:val="TAH"/>
              <w:rPr>
                <w:vertAlign w:val="subscript"/>
              </w:rPr>
            </w:pPr>
            <w:r w:rsidRPr="00996B49">
              <w:t>T</w:t>
            </w:r>
            <w:r w:rsidRPr="00996B49">
              <w:rPr>
                <w:vertAlign w:val="subscript"/>
              </w:rPr>
              <w:t>evaluate,NR_</w:t>
            </w:r>
            <w:r w:rsidRPr="007C2D19">
              <w:rPr>
                <w:rFonts w:cs="v4.2.0"/>
                <w:vertAlign w:val="subscript"/>
              </w:rPr>
              <w:t>Intra</w:t>
            </w:r>
            <w:r>
              <w:rPr>
                <w:vertAlign w:val="subscript"/>
              </w:rPr>
              <w:t>_RedCap_Relax</w:t>
            </w:r>
          </w:p>
          <w:p w14:paraId="024BC36C" w14:textId="77777777" w:rsidR="00D77779" w:rsidRPr="00C33767" w:rsidRDefault="00D77779" w:rsidP="008B25C8">
            <w:pPr>
              <w:pStyle w:val="TAH"/>
            </w:pPr>
            <w:r w:rsidRPr="00C33767">
              <w:t>[s] (number of DRX cycles)</w:t>
            </w:r>
          </w:p>
        </w:tc>
      </w:tr>
      <w:tr w:rsidR="00D77779" w:rsidRPr="00EF59D1" w14:paraId="71372480" w14:textId="77777777" w:rsidTr="008B25C8">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79F8D0C" w14:textId="77777777" w:rsidR="00D77779" w:rsidRPr="00885F53" w:rsidRDefault="00D77779" w:rsidP="008B25C8">
            <w:pPr>
              <w:pStyle w:val="TAH"/>
            </w:pPr>
          </w:p>
        </w:tc>
        <w:tc>
          <w:tcPr>
            <w:tcW w:w="0" w:type="auto"/>
            <w:tcBorders>
              <w:top w:val="single" w:sz="4" w:space="0" w:color="auto"/>
              <w:left w:val="single" w:sz="4" w:space="0" w:color="auto"/>
              <w:bottom w:val="single" w:sz="4" w:space="0" w:color="auto"/>
              <w:right w:val="single" w:sz="4" w:space="0" w:color="auto"/>
            </w:tcBorders>
            <w:hideMark/>
          </w:tcPr>
          <w:p w14:paraId="3EF2FDFF" w14:textId="77777777" w:rsidR="00D77779" w:rsidRPr="00885F53" w:rsidRDefault="00D77779" w:rsidP="008B25C8">
            <w:pPr>
              <w:pStyle w:val="TAH"/>
            </w:pPr>
            <w:r w:rsidRPr="00885F53">
              <w:t>FR1</w:t>
            </w:r>
          </w:p>
        </w:tc>
        <w:tc>
          <w:tcPr>
            <w:tcW w:w="0" w:type="auto"/>
            <w:tcBorders>
              <w:top w:val="single" w:sz="4" w:space="0" w:color="auto"/>
              <w:left w:val="single" w:sz="4" w:space="0" w:color="auto"/>
              <w:bottom w:val="single" w:sz="4" w:space="0" w:color="auto"/>
              <w:right w:val="single" w:sz="4" w:space="0" w:color="auto"/>
            </w:tcBorders>
            <w:hideMark/>
          </w:tcPr>
          <w:p w14:paraId="0B06E433" w14:textId="77777777" w:rsidR="00D77779" w:rsidRPr="00885F53" w:rsidRDefault="00D77779" w:rsidP="008B25C8">
            <w:pPr>
              <w:pStyle w:val="TAH"/>
              <w:rPr>
                <w:vertAlign w:val="superscript"/>
              </w:rPr>
            </w:pPr>
            <w:r w:rsidRPr="00885F53">
              <w:t>FR2</w:t>
            </w:r>
            <w:r w:rsidRPr="00885F53">
              <w:rPr>
                <w:vertAlign w:val="superscript"/>
              </w:rPr>
              <w:t>Note1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6D33B9" w14:textId="77777777" w:rsidR="00D77779" w:rsidRPr="00EF59D1"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6606B7" w14:textId="77777777" w:rsidR="00D77779" w:rsidRPr="00EF59D1"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1C7166" w14:textId="77777777" w:rsidR="00D77779" w:rsidRPr="00EF59D1" w:rsidRDefault="00D77779" w:rsidP="008B25C8">
            <w:pPr>
              <w:pStyle w:val="TAH"/>
            </w:pPr>
          </w:p>
        </w:tc>
      </w:tr>
      <w:tr w:rsidR="00D77779" w:rsidRPr="00EA7096" w14:paraId="50DD770F"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B804985" w14:textId="77777777" w:rsidR="00D77779" w:rsidRPr="00885F53" w:rsidRDefault="00D77779" w:rsidP="008B25C8">
            <w:pPr>
              <w:pStyle w:val="TAC"/>
            </w:pPr>
            <w:r w:rsidRPr="00885F53">
              <w:t>0.32</w:t>
            </w:r>
          </w:p>
        </w:tc>
        <w:tc>
          <w:tcPr>
            <w:tcW w:w="0" w:type="auto"/>
            <w:tcBorders>
              <w:top w:val="single" w:sz="4" w:space="0" w:color="auto"/>
              <w:left w:val="single" w:sz="4" w:space="0" w:color="auto"/>
              <w:bottom w:val="nil"/>
              <w:right w:val="single" w:sz="4" w:space="0" w:color="auto"/>
            </w:tcBorders>
            <w:hideMark/>
          </w:tcPr>
          <w:p w14:paraId="33915972" w14:textId="77777777" w:rsidR="00D77779" w:rsidRPr="00885F53" w:rsidRDefault="00D77779" w:rsidP="008B25C8">
            <w:pPr>
              <w:pStyle w:val="TAC"/>
            </w:pPr>
            <w:r w:rsidRPr="00885F53">
              <w:t>1</w:t>
            </w:r>
          </w:p>
        </w:tc>
        <w:tc>
          <w:tcPr>
            <w:tcW w:w="0" w:type="auto"/>
            <w:tcBorders>
              <w:top w:val="single" w:sz="4" w:space="0" w:color="auto"/>
              <w:left w:val="single" w:sz="4" w:space="0" w:color="auto"/>
              <w:bottom w:val="single" w:sz="4" w:space="0" w:color="auto"/>
              <w:right w:val="single" w:sz="4" w:space="0" w:color="auto"/>
            </w:tcBorders>
            <w:hideMark/>
          </w:tcPr>
          <w:p w14:paraId="6A213411" w14:textId="77777777" w:rsidR="00D77779" w:rsidRPr="00885F53" w:rsidRDefault="00D77779" w:rsidP="008B25C8">
            <w:pPr>
              <w:pStyle w:val="TAC"/>
            </w:pPr>
            <w:r w:rsidRPr="00885F53">
              <w:t>8</w:t>
            </w:r>
          </w:p>
        </w:tc>
        <w:tc>
          <w:tcPr>
            <w:tcW w:w="0" w:type="auto"/>
            <w:tcBorders>
              <w:top w:val="single" w:sz="4" w:space="0" w:color="auto"/>
              <w:left w:val="single" w:sz="4" w:space="0" w:color="auto"/>
              <w:bottom w:val="single" w:sz="4" w:space="0" w:color="auto"/>
              <w:right w:val="single" w:sz="4" w:space="0" w:color="auto"/>
            </w:tcBorders>
            <w:hideMark/>
          </w:tcPr>
          <w:p w14:paraId="16D75F39" w14:textId="77777777" w:rsidR="00D77779" w:rsidRPr="00EF59D1" w:rsidRDefault="00D77779" w:rsidP="008B25C8">
            <w:pPr>
              <w:pStyle w:val="TAC"/>
              <w:rPr>
                <w:lang w:val="sv-SE"/>
              </w:rPr>
            </w:pPr>
            <w:r w:rsidRPr="00EF59D1">
              <w:rPr>
                <w:lang w:val="sv-SE"/>
              </w:rPr>
              <w:t xml:space="preserve">11.52 x N1 </w:t>
            </w:r>
            <w:r w:rsidRPr="00EF59D1">
              <w:rPr>
                <w:rFonts w:cs="Arial"/>
                <w:lang w:val="sv-SE" w:eastAsia="zh-CN"/>
              </w:rPr>
              <w:t>x M2</w:t>
            </w:r>
            <w:r w:rsidRPr="007D632B">
              <w:rPr>
                <w:rFonts w:cs="Arial"/>
                <w:lang w:val="sv-SE" w:eastAsia="zh-CN"/>
              </w:rPr>
              <w:t xml:space="preserve"> x </w:t>
            </w:r>
            <w:r w:rsidRPr="00734785">
              <w:rPr>
                <w:snapToGrid w:val="0"/>
                <w:lang w:val="sv-SE" w:eastAsia="zh-CN"/>
              </w:rPr>
              <w:t>K1</w:t>
            </w:r>
            <w:r w:rsidRPr="00EF59D1">
              <w:rPr>
                <w:rFonts w:cs="Arial"/>
                <w:lang w:val="sv-SE" w:eastAsia="zh-CN"/>
              </w:rPr>
              <w:t xml:space="preserve"> </w:t>
            </w:r>
            <w:r w:rsidRPr="00EF59D1">
              <w:rPr>
                <w:lang w:val="sv-SE"/>
              </w:rPr>
              <w:t>(36 x N1</w:t>
            </w:r>
            <w:r w:rsidRPr="007D632B">
              <w:rPr>
                <w:rFonts w:cs="Arial"/>
                <w:lang w:val="sv-SE" w:eastAsia="zh-CN"/>
              </w:rPr>
              <w:t xml:space="preserve"> x M2 x </w:t>
            </w:r>
            <w:r w:rsidRPr="00734785">
              <w:rPr>
                <w:snapToGrid w:val="0"/>
                <w:lang w:val="sv-SE" w:eastAsia="zh-CN"/>
              </w:rPr>
              <w:t>K1</w:t>
            </w:r>
            <w:r w:rsidRPr="00EF59D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5F6CC886" w14:textId="77777777" w:rsidR="00D77779" w:rsidRPr="00EF59D1" w:rsidRDefault="00D77779" w:rsidP="008B25C8">
            <w:pPr>
              <w:pStyle w:val="TAC"/>
              <w:rPr>
                <w:lang w:val="sv-SE"/>
              </w:rPr>
            </w:pPr>
            <w:r w:rsidRPr="007D632B">
              <w:rPr>
                <w:lang w:val="sv-SE"/>
              </w:rPr>
              <w:t xml:space="preserve">1.28 x N1 </w:t>
            </w:r>
            <w:r w:rsidRPr="007D632B">
              <w:rPr>
                <w:rFonts w:cs="Arial"/>
                <w:lang w:val="sv-SE" w:eastAsia="zh-CN"/>
              </w:rPr>
              <w:t xml:space="preserve">x M2 x </w:t>
            </w:r>
            <w:r w:rsidRPr="00734785">
              <w:rPr>
                <w:snapToGrid w:val="0"/>
                <w:lang w:val="sv-SE" w:eastAsia="zh-CN"/>
              </w:rPr>
              <w:t>K1</w:t>
            </w:r>
            <w:r w:rsidRPr="00EF59D1">
              <w:rPr>
                <w:rFonts w:cs="Arial"/>
                <w:snapToGrid w:val="0"/>
                <w:lang w:val="sv-SE"/>
              </w:rPr>
              <w:t xml:space="preserve"> </w:t>
            </w:r>
            <w:r w:rsidRPr="00EF59D1">
              <w:rPr>
                <w:lang w:val="sv-SE"/>
              </w:rPr>
              <w:t>(4 x N1</w:t>
            </w:r>
            <w:r w:rsidRPr="007D632B">
              <w:rPr>
                <w:rFonts w:cs="Arial"/>
                <w:lang w:val="sv-SE" w:eastAsia="zh-CN"/>
              </w:rPr>
              <w:t xml:space="preserve"> x M2 x </w:t>
            </w:r>
            <w:r w:rsidRPr="00734785">
              <w:rPr>
                <w:snapToGrid w:val="0"/>
                <w:lang w:val="sv-SE" w:eastAsia="zh-CN"/>
              </w:rPr>
              <w:t>K1</w:t>
            </w:r>
            <w:r w:rsidRPr="00EF59D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6B55AD12" w14:textId="77777777" w:rsidR="00D77779" w:rsidRPr="00EF59D1" w:rsidRDefault="00D77779" w:rsidP="008B25C8">
            <w:pPr>
              <w:pStyle w:val="TAC"/>
              <w:rPr>
                <w:lang w:val="sv-SE"/>
              </w:rPr>
            </w:pPr>
            <w:r w:rsidRPr="007D632B">
              <w:rPr>
                <w:lang w:val="sv-SE"/>
              </w:rPr>
              <w:t xml:space="preserve">5.12 x N1 </w:t>
            </w:r>
            <w:r w:rsidRPr="007D632B">
              <w:rPr>
                <w:rFonts w:cs="Arial"/>
                <w:lang w:val="sv-SE" w:eastAsia="zh-CN"/>
              </w:rPr>
              <w:t xml:space="preserve">x M2 x </w:t>
            </w:r>
            <w:r w:rsidRPr="00734785">
              <w:rPr>
                <w:snapToGrid w:val="0"/>
                <w:lang w:val="sv-SE" w:eastAsia="zh-CN"/>
              </w:rPr>
              <w:t>K1</w:t>
            </w:r>
            <w:r w:rsidRPr="00EF59D1">
              <w:rPr>
                <w:rFonts w:cs="Arial"/>
                <w:snapToGrid w:val="0"/>
                <w:lang w:val="sv-SE"/>
              </w:rPr>
              <w:t xml:space="preserve"> </w:t>
            </w:r>
            <w:r w:rsidRPr="00EF59D1">
              <w:rPr>
                <w:lang w:val="sv-SE"/>
              </w:rPr>
              <w:t>(16 x N1</w:t>
            </w:r>
            <w:r w:rsidRPr="007D632B">
              <w:rPr>
                <w:rFonts w:cs="Arial"/>
                <w:lang w:val="sv-SE" w:eastAsia="zh-CN"/>
              </w:rPr>
              <w:t xml:space="preserve"> x M2 x </w:t>
            </w:r>
            <w:r w:rsidRPr="00734785">
              <w:rPr>
                <w:snapToGrid w:val="0"/>
                <w:lang w:val="sv-SE" w:eastAsia="zh-CN"/>
              </w:rPr>
              <w:t>K1</w:t>
            </w:r>
            <w:r w:rsidRPr="00EF59D1">
              <w:rPr>
                <w:lang w:val="sv-SE"/>
              </w:rPr>
              <w:t>)</w:t>
            </w:r>
          </w:p>
        </w:tc>
      </w:tr>
      <w:tr w:rsidR="00D77779" w:rsidRPr="00EF59D1" w14:paraId="26FD5177"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B2D6D76" w14:textId="77777777" w:rsidR="00D77779" w:rsidRPr="00885F53" w:rsidRDefault="00D77779" w:rsidP="008B25C8">
            <w:pPr>
              <w:pStyle w:val="TAC"/>
            </w:pPr>
            <w:r w:rsidRPr="00885F53">
              <w:t>0.64</w:t>
            </w:r>
          </w:p>
        </w:tc>
        <w:tc>
          <w:tcPr>
            <w:tcW w:w="0" w:type="auto"/>
            <w:tcBorders>
              <w:top w:val="nil"/>
              <w:left w:val="single" w:sz="4" w:space="0" w:color="auto"/>
              <w:bottom w:val="nil"/>
              <w:right w:val="single" w:sz="4" w:space="0" w:color="auto"/>
            </w:tcBorders>
            <w:hideMark/>
          </w:tcPr>
          <w:p w14:paraId="78CD4119" w14:textId="77777777" w:rsidR="00D77779" w:rsidRPr="00885F53" w:rsidRDefault="00D77779" w:rsidP="008B25C8">
            <w:pPr>
              <w:pStyle w:val="TAC"/>
            </w:pPr>
          </w:p>
        </w:tc>
        <w:tc>
          <w:tcPr>
            <w:tcW w:w="0" w:type="auto"/>
            <w:tcBorders>
              <w:top w:val="single" w:sz="4" w:space="0" w:color="auto"/>
              <w:left w:val="single" w:sz="4" w:space="0" w:color="auto"/>
              <w:bottom w:val="single" w:sz="4" w:space="0" w:color="auto"/>
              <w:right w:val="single" w:sz="4" w:space="0" w:color="auto"/>
            </w:tcBorders>
            <w:hideMark/>
          </w:tcPr>
          <w:p w14:paraId="7547583C" w14:textId="77777777" w:rsidR="00D77779" w:rsidRPr="00885F53" w:rsidRDefault="00D77779" w:rsidP="008B25C8">
            <w:pPr>
              <w:pStyle w:val="TAC"/>
            </w:pPr>
            <w:r w:rsidRPr="00885F53">
              <w:t>5</w:t>
            </w:r>
          </w:p>
        </w:tc>
        <w:tc>
          <w:tcPr>
            <w:tcW w:w="0" w:type="auto"/>
            <w:tcBorders>
              <w:top w:val="single" w:sz="4" w:space="0" w:color="auto"/>
              <w:left w:val="single" w:sz="4" w:space="0" w:color="auto"/>
              <w:bottom w:val="single" w:sz="4" w:space="0" w:color="auto"/>
              <w:right w:val="single" w:sz="4" w:space="0" w:color="auto"/>
            </w:tcBorders>
            <w:hideMark/>
          </w:tcPr>
          <w:p w14:paraId="4D10F540" w14:textId="77777777" w:rsidR="00D77779" w:rsidRPr="00EF59D1" w:rsidRDefault="00D77779" w:rsidP="008B25C8">
            <w:pPr>
              <w:pStyle w:val="TAC"/>
            </w:pPr>
            <w:r w:rsidRPr="00EF59D1">
              <w:t>17.92 x N1</w:t>
            </w:r>
            <w:r w:rsidRPr="00EF59D1">
              <w:rPr>
                <w:rFonts w:cs="Arial"/>
                <w:lang w:val="sv-SE" w:eastAsia="zh-CN"/>
              </w:rPr>
              <w:t xml:space="preserve"> x </w:t>
            </w:r>
            <w:r w:rsidRPr="00734785">
              <w:rPr>
                <w:snapToGrid w:val="0"/>
                <w:lang w:eastAsia="zh-CN"/>
              </w:rPr>
              <w:t>K1</w:t>
            </w:r>
            <w:r w:rsidRPr="00EF59D1">
              <w:t xml:space="preserve"> (28 x N1 </w:t>
            </w:r>
            <w:r w:rsidRPr="007D632B">
              <w:rPr>
                <w:rFonts w:cs="Arial"/>
                <w:lang w:val="sv-SE" w:eastAsia="zh-CN"/>
              </w:rPr>
              <w:t xml:space="preserve">x </w:t>
            </w:r>
            <w:r w:rsidRPr="00734785">
              <w:rPr>
                <w:snapToGrid w:val="0"/>
                <w:lang w:eastAsia="zh-CN"/>
              </w:rPr>
              <w:t>K1</w:t>
            </w:r>
            <w:r w:rsidRPr="00EF59D1">
              <w:t>)</w:t>
            </w:r>
          </w:p>
        </w:tc>
        <w:tc>
          <w:tcPr>
            <w:tcW w:w="0" w:type="auto"/>
            <w:tcBorders>
              <w:top w:val="single" w:sz="4" w:space="0" w:color="auto"/>
              <w:left w:val="single" w:sz="4" w:space="0" w:color="auto"/>
              <w:bottom w:val="single" w:sz="4" w:space="0" w:color="auto"/>
              <w:right w:val="single" w:sz="4" w:space="0" w:color="auto"/>
            </w:tcBorders>
            <w:hideMark/>
          </w:tcPr>
          <w:p w14:paraId="1E9D710B" w14:textId="77777777" w:rsidR="00D77779" w:rsidRPr="00EF59D1" w:rsidRDefault="00D77779" w:rsidP="008B25C8">
            <w:pPr>
              <w:pStyle w:val="TAC"/>
            </w:pPr>
            <w:r w:rsidRPr="007D632B">
              <w:t>1.28 x N1</w:t>
            </w:r>
            <w:r w:rsidRPr="007D632B">
              <w:rPr>
                <w:rFonts w:cs="Arial"/>
                <w:lang w:val="sv-SE" w:eastAsia="zh-CN"/>
              </w:rPr>
              <w:t xml:space="preserve"> x </w:t>
            </w:r>
            <w:r w:rsidRPr="00734785">
              <w:rPr>
                <w:snapToGrid w:val="0"/>
                <w:lang w:eastAsia="zh-CN"/>
              </w:rPr>
              <w:t>K1</w:t>
            </w:r>
            <w:r w:rsidRPr="00EF59D1">
              <w:t xml:space="preserve"> (2 x N1</w:t>
            </w:r>
            <w:r w:rsidRPr="00EF59D1">
              <w:rPr>
                <w:rFonts w:cs="Arial"/>
                <w:lang w:val="sv-SE" w:eastAsia="zh-CN"/>
              </w:rPr>
              <w:t xml:space="preserve"> x </w:t>
            </w:r>
            <w:r w:rsidRPr="00734785">
              <w:rPr>
                <w:snapToGrid w:val="0"/>
                <w:lang w:eastAsia="zh-CN"/>
              </w:rPr>
              <w:t>K1</w:t>
            </w:r>
            <w:r w:rsidRPr="00EF59D1">
              <w:t>)</w:t>
            </w:r>
          </w:p>
        </w:tc>
        <w:tc>
          <w:tcPr>
            <w:tcW w:w="0" w:type="auto"/>
            <w:tcBorders>
              <w:top w:val="single" w:sz="4" w:space="0" w:color="auto"/>
              <w:left w:val="single" w:sz="4" w:space="0" w:color="auto"/>
              <w:bottom w:val="single" w:sz="4" w:space="0" w:color="auto"/>
              <w:right w:val="single" w:sz="4" w:space="0" w:color="auto"/>
            </w:tcBorders>
            <w:hideMark/>
          </w:tcPr>
          <w:p w14:paraId="19066FD7" w14:textId="77777777" w:rsidR="00D77779" w:rsidRPr="00EF59D1" w:rsidRDefault="00D77779" w:rsidP="008B25C8">
            <w:pPr>
              <w:pStyle w:val="TAC"/>
            </w:pPr>
            <w:r w:rsidRPr="007D632B">
              <w:t>5.12 x N1</w:t>
            </w:r>
            <w:r w:rsidRPr="007D632B">
              <w:rPr>
                <w:rFonts w:cs="Arial"/>
                <w:lang w:val="sv-SE" w:eastAsia="zh-CN"/>
              </w:rPr>
              <w:t xml:space="preserve"> x </w:t>
            </w:r>
            <w:r w:rsidRPr="00734785">
              <w:rPr>
                <w:snapToGrid w:val="0"/>
                <w:lang w:eastAsia="zh-CN"/>
              </w:rPr>
              <w:t>K1</w:t>
            </w:r>
            <w:r w:rsidRPr="00EF59D1">
              <w:t xml:space="preserve"> (8 x N1</w:t>
            </w:r>
            <w:r w:rsidRPr="00EF59D1">
              <w:rPr>
                <w:rFonts w:cs="Arial"/>
                <w:lang w:val="sv-SE" w:eastAsia="zh-CN"/>
              </w:rPr>
              <w:t xml:space="preserve"> x </w:t>
            </w:r>
            <w:r w:rsidRPr="00734785">
              <w:rPr>
                <w:snapToGrid w:val="0"/>
                <w:lang w:eastAsia="zh-CN"/>
              </w:rPr>
              <w:t>K1</w:t>
            </w:r>
            <w:r w:rsidRPr="00EF59D1">
              <w:t>)</w:t>
            </w:r>
          </w:p>
        </w:tc>
      </w:tr>
      <w:tr w:rsidR="00D77779" w:rsidRPr="00EF59D1" w14:paraId="3DFA42FE"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F2B0B36" w14:textId="77777777" w:rsidR="00D77779" w:rsidRPr="00885F53" w:rsidRDefault="00D77779" w:rsidP="008B25C8">
            <w:pPr>
              <w:pStyle w:val="TAC"/>
            </w:pPr>
            <w:r w:rsidRPr="00885F53">
              <w:t>1.28</w:t>
            </w:r>
          </w:p>
        </w:tc>
        <w:tc>
          <w:tcPr>
            <w:tcW w:w="0" w:type="auto"/>
            <w:tcBorders>
              <w:top w:val="nil"/>
              <w:left w:val="single" w:sz="4" w:space="0" w:color="auto"/>
              <w:bottom w:val="nil"/>
              <w:right w:val="single" w:sz="4" w:space="0" w:color="auto"/>
            </w:tcBorders>
            <w:hideMark/>
          </w:tcPr>
          <w:p w14:paraId="1159ED50" w14:textId="77777777" w:rsidR="00D77779" w:rsidRPr="00885F53" w:rsidRDefault="00D77779" w:rsidP="008B25C8">
            <w:pPr>
              <w:pStyle w:val="TAC"/>
            </w:pPr>
          </w:p>
        </w:tc>
        <w:tc>
          <w:tcPr>
            <w:tcW w:w="0" w:type="auto"/>
            <w:tcBorders>
              <w:top w:val="single" w:sz="4" w:space="0" w:color="auto"/>
              <w:left w:val="single" w:sz="4" w:space="0" w:color="auto"/>
              <w:bottom w:val="single" w:sz="4" w:space="0" w:color="auto"/>
              <w:right w:val="single" w:sz="4" w:space="0" w:color="auto"/>
            </w:tcBorders>
            <w:hideMark/>
          </w:tcPr>
          <w:p w14:paraId="41F1CF9C" w14:textId="77777777" w:rsidR="00D77779" w:rsidRPr="00885F53" w:rsidRDefault="00D77779" w:rsidP="008B25C8">
            <w:pPr>
              <w:pStyle w:val="TAC"/>
            </w:pPr>
            <w:r w:rsidRPr="00885F53">
              <w:t>4</w:t>
            </w:r>
          </w:p>
        </w:tc>
        <w:tc>
          <w:tcPr>
            <w:tcW w:w="0" w:type="auto"/>
            <w:tcBorders>
              <w:top w:val="single" w:sz="4" w:space="0" w:color="auto"/>
              <w:left w:val="single" w:sz="4" w:space="0" w:color="auto"/>
              <w:bottom w:val="single" w:sz="4" w:space="0" w:color="auto"/>
              <w:right w:val="single" w:sz="4" w:space="0" w:color="auto"/>
            </w:tcBorders>
            <w:hideMark/>
          </w:tcPr>
          <w:p w14:paraId="74B65A54" w14:textId="77777777" w:rsidR="00D77779" w:rsidRPr="00EF59D1" w:rsidRDefault="00D77779" w:rsidP="008B25C8">
            <w:pPr>
              <w:pStyle w:val="TAC"/>
            </w:pPr>
            <w:r w:rsidRPr="00EF59D1">
              <w:t>32 x N1</w:t>
            </w:r>
            <w:r w:rsidRPr="00EF59D1">
              <w:rPr>
                <w:rFonts w:cs="Arial"/>
                <w:lang w:val="sv-SE" w:eastAsia="zh-CN"/>
              </w:rPr>
              <w:t xml:space="preserve"> x </w:t>
            </w:r>
            <w:r w:rsidRPr="00734785">
              <w:rPr>
                <w:snapToGrid w:val="0"/>
                <w:lang w:eastAsia="zh-CN"/>
              </w:rPr>
              <w:t>K1</w:t>
            </w:r>
            <w:r w:rsidRPr="00EF59D1">
              <w:t xml:space="preserve"> (25 x N1</w:t>
            </w:r>
            <w:r w:rsidRPr="00EF59D1">
              <w:rPr>
                <w:rFonts w:cs="Arial"/>
                <w:lang w:val="sv-SE" w:eastAsia="zh-CN"/>
              </w:rPr>
              <w:t xml:space="preserve"> x </w:t>
            </w:r>
            <w:r w:rsidRPr="00734785">
              <w:rPr>
                <w:snapToGrid w:val="0"/>
                <w:lang w:eastAsia="zh-CN"/>
              </w:rPr>
              <w:t>K1</w:t>
            </w:r>
            <w:r w:rsidRPr="00EF59D1">
              <w:t>)</w:t>
            </w:r>
          </w:p>
        </w:tc>
        <w:tc>
          <w:tcPr>
            <w:tcW w:w="0" w:type="auto"/>
            <w:tcBorders>
              <w:top w:val="single" w:sz="4" w:space="0" w:color="auto"/>
              <w:left w:val="single" w:sz="4" w:space="0" w:color="auto"/>
              <w:bottom w:val="single" w:sz="4" w:space="0" w:color="auto"/>
              <w:right w:val="single" w:sz="4" w:space="0" w:color="auto"/>
            </w:tcBorders>
            <w:hideMark/>
          </w:tcPr>
          <w:p w14:paraId="12B42D5F" w14:textId="77777777" w:rsidR="00D77779" w:rsidRPr="00EF59D1" w:rsidRDefault="00D77779" w:rsidP="008B25C8">
            <w:pPr>
              <w:pStyle w:val="TAC"/>
            </w:pPr>
            <w:r w:rsidRPr="007D632B">
              <w:t>1.28 x N1</w:t>
            </w:r>
            <w:r w:rsidRPr="007D632B">
              <w:rPr>
                <w:rFonts w:cs="Arial"/>
                <w:lang w:val="sv-SE" w:eastAsia="zh-CN"/>
              </w:rPr>
              <w:t xml:space="preserve"> x </w:t>
            </w:r>
            <w:r w:rsidRPr="00734785">
              <w:rPr>
                <w:snapToGrid w:val="0"/>
                <w:lang w:eastAsia="zh-CN"/>
              </w:rPr>
              <w:t>K1</w:t>
            </w:r>
            <w:r w:rsidRPr="00EF59D1">
              <w:t xml:space="preserve"> (1 x N1</w:t>
            </w:r>
            <w:r w:rsidRPr="00EF59D1">
              <w:rPr>
                <w:rFonts w:cs="Arial"/>
                <w:lang w:val="sv-SE" w:eastAsia="zh-CN"/>
              </w:rPr>
              <w:t xml:space="preserve"> x </w:t>
            </w:r>
            <w:r w:rsidRPr="00734785">
              <w:rPr>
                <w:snapToGrid w:val="0"/>
                <w:lang w:eastAsia="zh-CN"/>
              </w:rPr>
              <w:t>K1</w:t>
            </w:r>
            <w:r w:rsidRPr="00EF59D1">
              <w:t>)</w:t>
            </w:r>
          </w:p>
        </w:tc>
        <w:tc>
          <w:tcPr>
            <w:tcW w:w="0" w:type="auto"/>
            <w:tcBorders>
              <w:top w:val="single" w:sz="4" w:space="0" w:color="auto"/>
              <w:left w:val="single" w:sz="4" w:space="0" w:color="auto"/>
              <w:bottom w:val="single" w:sz="4" w:space="0" w:color="auto"/>
              <w:right w:val="single" w:sz="4" w:space="0" w:color="auto"/>
            </w:tcBorders>
            <w:hideMark/>
          </w:tcPr>
          <w:p w14:paraId="253D5BDF" w14:textId="77777777" w:rsidR="00D77779" w:rsidRPr="00EF59D1" w:rsidRDefault="00D77779" w:rsidP="008B25C8">
            <w:pPr>
              <w:pStyle w:val="TAC"/>
            </w:pPr>
            <w:r w:rsidRPr="007D632B">
              <w:t>6.4 x N1</w:t>
            </w:r>
            <w:r w:rsidRPr="007D632B">
              <w:rPr>
                <w:rFonts w:cs="Arial"/>
                <w:lang w:val="sv-SE" w:eastAsia="zh-CN"/>
              </w:rPr>
              <w:t xml:space="preserve"> x </w:t>
            </w:r>
            <w:r w:rsidRPr="00734785">
              <w:rPr>
                <w:snapToGrid w:val="0"/>
                <w:lang w:eastAsia="zh-CN"/>
              </w:rPr>
              <w:t>K1</w:t>
            </w:r>
            <w:r w:rsidRPr="00EF59D1">
              <w:t xml:space="preserve"> (5 x N1</w:t>
            </w:r>
            <w:r w:rsidRPr="00EF59D1">
              <w:rPr>
                <w:rFonts w:cs="Arial"/>
                <w:lang w:val="sv-SE" w:eastAsia="zh-CN"/>
              </w:rPr>
              <w:t xml:space="preserve"> x </w:t>
            </w:r>
            <w:r w:rsidRPr="00734785">
              <w:rPr>
                <w:snapToGrid w:val="0"/>
                <w:lang w:eastAsia="zh-CN"/>
              </w:rPr>
              <w:t>K1</w:t>
            </w:r>
            <w:r w:rsidRPr="00EF59D1">
              <w:t>)</w:t>
            </w:r>
          </w:p>
        </w:tc>
      </w:tr>
      <w:tr w:rsidR="00D77779" w:rsidRPr="00EF59D1" w14:paraId="0D953877"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4E8E0F7" w14:textId="77777777" w:rsidR="00D77779" w:rsidRPr="00885F53" w:rsidRDefault="00D77779" w:rsidP="008B25C8">
            <w:pPr>
              <w:pStyle w:val="TAC"/>
            </w:pPr>
            <w:r w:rsidRPr="00885F53">
              <w:t>2.56</w:t>
            </w:r>
          </w:p>
        </w:tc>
        <w:tc>
          <w:tcPr>
            <w:tcW w:w="0" w:type="auto"/>
            <w:tcBorders>
              <w:top w:val="nil"/>
              <w:left w:val="single" w:sz="4" w:space="0" w:color="auto"/>
              <w:bottom w:val="single" w:sz="4" w:space="0" w:color="auto"/>
              <w:right w:val="single" w:sz="4" w:space="0" w:color="auto"/>
            </w:tcBorders>
            <w:hideMark/>
          </w:tcPr>
          <w:p w14:paraId="350B43A4" w14:textId="77777777" w:rsidR="00D77779" w:rsidRPr="00885F53" w:rsidRDefault="00D77779" w:rsidP="008B25C8">
            <w:pPr>
              <w:pStyle w:val="TAC"/>
            </w:pPr>
          </w:p>
        </w:tc>
        <w:tc>
          <w:tcPr>
            <w:tcW w:w="0" w:type="auto"/>
            <w:tcBorders>
              <w:top w:val="single" w:sz="4" w:space="0" w:color="auto"/>
              <w:left w:val="single" w:sz="4" w:space="0" w:color="auto"/>
              <w:bottom w:val="single" w:sz="4" w:space="0" w:color="auto"/>
              <w:right w:val="single" w:sz="4" w:space="0" w:color="auto"/>
            </w:tcBorders>
            <w:hideMark/>
          </w:tcPr>
          <w:p w14:paraId="0C2EB13D" w14:textId="77777777" w:rsidR="00D77779" w:rsidRPr="00885F53" w:rsidRDefault="00D77779" w:rsidP="008B25C8">
            <w:pPr>
              <w:pStyle w:val="TAC"/>
              <w:rPr>
                <w:rFonts w:cs="Arial"/>
                <w:lang w:eastAsia="zh-CN"/>
              </w:rPr>
            </w:pPr>
            <w:r w:rsidRPr="00885F53">
              <w:rPr>
                <w:rFonts w:cs="Arial"/>
                <w:lang w:eastAsia="zh-CN"/>
              </w:rPr>
              <w:t>3</w:t>
            </w:r>
          </w:p>
        </w:tc>
        <w:tc>
          <w:tcPr>
            <w:tcW w:w="0" w:type="auto"/>
            <w:tcBorders>
              <w:top w:val="single" w:sz="4" w:space="0" w:color="auto"/>
              <w:left w:val="single" w:sz="4" w:space="0" w:color="auto"/>
              <w:bottom w:val="single" w:sz="4" w:space="0" w:color="auto"/>
              <w:right w:val="single" w:sz="4" w:space="0" w:color="auto"/>
            </w:tcBorders>
            <w:hideMark/>
          </w:tcPr>
          <w:p w14:paraId="76522FA6" w14:textId="77777777" w:rsidR="00D77779" w:rsidRPr="00EF59D1" w:rsidRDefault="00D77779" w:rsidP="008B25C8">
            <w:pPr>
              <w:pStyle w:val="TAC"/>
            </w:pPr>
            <w:r w:rsidRPr="00EF59D1">
              <w:rPr>
                <w:rFonts w:cs="Arial"/>
                <w:lang w:eastAsia="zh-CN"/>
              </w:rPr>
              <w:t>58.88</w:t>
            </w:r>
            <w:r w:rsidRPr="00EF59D1">
              <w:t xml:space="preserve"> x N1</w:t>
            </w:r>
            <w:r w:rsidRPr="007D632B">
              <w:rPr>
                <w:rFonts w:cs="Arial"/>
                <w:lang w:val="sv-SE" w:eastAsia="zh-CN"/>
              </w:rPr>
              <w:t xml:space="preserve"> x </w:t>
            </w:r>
            <w:r w:rsidRPr="00734785">
              <w:rPr>
                <w:snapToGrid w:val="0"/>
                <w:lang w:eastAsia="zh-CN"/>
              </w:rPr>
              <w:t>K1</w:t>
            </w:r>
            <w:r w:rsidRPr="00EF59D1">
              <w:t xml:space="preserve"> (23 x N1</w:t>
            </w:r>
            <w:r w:rsidRPr="00EF59D1">
              <w:rPr>
                <w:rFonts w:cs="Arial"/>
                <w:lang w:val="sv-SE" w:eastAsia="zh-CN"/>
              </w:rPr>
              <w:t xml:space="preserve"> x </w:t>
            </w:r>
            <w:r w:rsidRPr="00734785">
              <w:rPr>
                <w:snapToGrid w:val="0"/>
                <w:lang w:eastAsia="zh-CN"/>
              </w:rPr>
              <w:t>K1</w:t>
            </w:r>
            <w:r w:rsidRPr="00EF59D1">
              <w:t>)</w:t>
            </w:r>
          </w:p>
        </w:tc>
        <w:tc>
          <w:tcPr>
            <w:tcW w:w="0" w:type="auto"/>
            <w:tcBorders>
              <w:top w:val="single" w:sz="4" w:space="0" w:color="auto"/>
              <w:left w:val="single" w:sz="4" w:space="0" w:color="auto"/>
              <w:bottom w:val="single" w:sz="4" w:space="0" w:color="auto"/>
              <w:right w:val="single" w:sz="4" w:space="0" w:color="auto"/>
            </w:tcBorders>
            <w:hideMark/>
          </w:tcPr>
          <w:p w14:paraId="49FADFE0" w14:textId="77777777" w:rsidR="00D77779" w:rsidRPr="00EF59D1" w:rsidRDefault="00D77779" w:rsidP="008B25C8">
            <w:pPr>
              <w:pStyle w:val="TAC"/>
            </w:pPr>
            <w:r w:rsidRPr="007D632B">
              <w:t>2.56 x N1</w:t>
            </w:r>
            <w:r w:rsidRPr="007D632B">
              <w:rPr>
                <w:rFonts w:cs="Arial"/>
                <w:lang w:val="sv-SE" w:eastAsia="zh-CN"/>
              </w:rPr>
              <w:t xml:space="preserve"> x </w:t>
            </w:r>
            <w:r w:rsidRPr="00734785">
              <w:rPr>
                <w:snapToGrid w:val="0"/>
                <w:lang w:eastAsia="zh-CN"/>
              </w:rPr>
              <w:t>K1</w:t>
            </w:r>
            <w:r w:rsidRPr="00EF59D1">
              <w:t xml:space="preserve"> (1 x N1</w:t>
            </w:r>
            <w:r w:rsidRPr="00EF59D1">
              <w:rPr>
                <w:rFonts w:cs="Arial"/>
                <w:lang w:val="sv-SE" w:eastAsia="zh-CN"/>
              </w:rPr>
              <w:t xml:space="preserve"> x </w:t>
            </w:r>
            <w:r w:rsidRPr="00734785">
              <w:rPr>
                <w:snapToGrid w:val="0"/>
                <w:lang w:eastAsia="zh-CN"/>
              </w:rPr>
              <w:t>K1</w:t>
            </w:r>
            <w:r w:rsidRPr="00EF59D1">
              <w:t>)</w:t>
            </w:r>
          </w:p>
        </w:tc>
        <w:tc>
          <w:tcPr>
            <w:tcW w:w="0" w:type="auto"/>
            <w:tcBorders>
              <w:top w:val="single" w:sz="4" w:space="0" w:color="auto"/>
              <w:left w:val="single" w:sz="4" w:space="0" w:color="auto"/>
              <w:bottom w:val="single" w:sz="4" w:space="0" w:color="auto"/>
              <w:right w:val="single" w:sz="4" w:space="0" w:color="auto"/>
            </w:tcBorders>
            <w:hideMark/>
          </w:tcPr>
          <w:p w14:paraId="386B75DC" w14:textId="77777777" w:rsidR="00D77779" w:rsidRPr="00EF59D1" w:rsidRDefault="00D77779" w:rsidP="008B25C8">
            <w:pPr>
              <w:pStyle w:val="TAC"/>
            </w:pPr>
            <w:r w:rsidRPr="007D632B">
              <w:t>7.68 x N1</w:t>
            </w:r>
            <w:r w:rsidRPr="007D632B">
              <w:rPr>
                <w:rFonts w:cs="Arial"/>
                <w:lang w:val="sv-SE" w:eastAsia="zh-CN"/>
              </w:rPr>
              <w:t xml:space="preserve"> x </w:t>
            </w:r>
            <w:r w:rsidRPr="00734785">
              <w:rPr>
                <w:snapToGrid w:val="0"/>
                <w:lang w:eastAsia="zh-CN"/>
              </w:rPr>
              <w:t>K1</w:t>
            </w:r>
            <w:r w:rsidRPr="00EF59D1">
              <w:t xml:space="preserve"> (3 x N1</w:t>
            </w:r>
            <w:r w:rsidRPr="00EF59D1">
              <w:rPr>
                <w:rFonts w:cs="Arial"/>
                <w:lang w:val="sv-SE" w:eastAsia="zh-CN"/>
              </w:rPr>
              <w:t xml:space="preserve"> x </w:t>
            </w:r>
            <w:r w:rsidRPr="00734785">
              <w:rPr>
                <w:snapToGrid w:val="0"/>
                <w:lang w:eastAsia="zh-CN"/>
              </w:rPr>
              <w:t>K1</w:t>
            </w:r>
            <w:r w:rsidRPr="00EF59D1">
              <w:t>)</w:t>
            </w:r>
          </w:p>
        </w:tc>
      </w:tr>
      <w:tr w:rsidR="00D77779" w:rsidRPr="00EF59D1" w14:paraId="36E20A61" w14:textId="77777777" w:rsidTr="008B25C8">
        <w:trPr>
          <w:cantSplit/>
          <w:jc w:val="center"/>
        </w:trPr>
        <w:tc>
          <w:tcPr>
            <w:tcW w:w="0" w:type="auto"/>
            <w:gridSpan w:val="6"/>
            <w:tcBorders>
              <w:top w:val="single" w:sz="4" w:space="0" w:color="auto"/>
              <w:left w:val="single" w:sz="4" w:space="0" w:color="auto"/>
              <w:bottom w:val="single" w:sz="4" w:space="0" w:color="auto"/>
              <w:right w:val="single" w:sz="4" w:space="0" w:color="auto"/>
            </w:tcBorders>
            <w:hideMark/>
          </w:tcPr>
          <w:p w14:paraId="30A3E1E8" w14:textId="77777777" w:rsidR="00D77779" w:rsidRPr="00EF59D1" w:rsidRDefault="00D77779" w:rsidP="008B25C8">
            <w:pPr>
              <w:pStyle w:val="TAN"/>
              <w:rPr>
                <w:snapToGrid w:val="0"/>
                <w:lang w:eastAsia="zh-CN"/>
              </w:rPr>
            </w:pPr>
            <w:r w:rsidRPr="00EF59D1">
              <w:rPr>
                <w:snapToGrid w:val="0"/>
                <w:lang w:eastAsia="zh-CN"/>
              </w:rPr>
              <w:t>Note 1</w:t>
            </w:r>
            <w:r w:rsidRPr="00EF59D1">
              <w:t>:</w:t>
            </w:r>
            <w:r w:rsidRPr="00EF59D1">
              <w:rPr>
                <w:lang w:val="en-US"/>
              </w:rPr>
              <w:tab/>
            </w:r>
            <w:r w:rsidRPr="009C5807">
              <w:t xml:space="preserve">Applies for </w:t>
            </w:r>
            <w:r>
              <w:t xml:space="preserve">RedCap </w:t>
            </w:r>
            <w:r w:rsidRPr="009C5807">
              <w:t xml:space="preserve">UE </w:t>
            </w:r>
            <w:r>
              <w:t xml:space="preserve">of all </w:t>
            </w:r>
            <w:r w:rsidRPr="009C5807">
              <w:t xml:space="preserve">supporting </w:t>
            </w:r>
            <w:r>
              <w:t xml:space="preserve">FR2 </w:t>
            </w:r>
            <w:r w:rsidRPr="009C5807">
              <w:t>power class</w:t>
            </w:r>
            <w:r>
              <w:t>es</w:t>
            </w:r>
            <w:r w:rsidRPr="00EF59D1">
              <w:t>.</w:t>
            </w:r>
          </w:p>
          <w:p w14:paraId="1A1E4F5C" w14:textId="77777777" w:rsidR="00D77779" w:rsidRPr="00EF59D1" w:rsidRDefault="00D77779" w:rsidP="008B25C8">
            <w:pPr>
              <w:pStyle w:val="TAN"/>
              <w:rPr>
                <w:snapToGrid w:val="0"/>
                <w:lang w:eastAsia="zh-CN"/>
              </w:rPr>
            </w:pPr>
            <w:r w:rsidRPr="00EF59D1">
              <w:rPr>
                <w:snapToGrid w:val="0"/>
                <w:lang w:eastAsia="zh-CN"/>
              </w:rPr>
              <w:t>Note 2:</w:t>
            </w:r>
            <w:r w:rsidRPr="00EF59D1">
              <w:rPr>
                <w:lang w:val="en-US"/>
              </w:rPr>
              <w:tab/>
            </w:r>
            <w:r w:rsidRPr="00EF59D1">
              <w:rPr>
                <w:snapToGrid w:val="0"/>
                <w:lang w:eastAsia="zh-CN"/>
              </w:rPr>
              <w:t>M2 = 1.5 if SMTC periodicity</w:t>
            </w:r>
            <w:r w:rsidRPr="00EF59D1">
              <w:t xml:space="preserve"> </w:t>
            </w:r>
            <w:r w:rsidRPr="00EF59D1">
              <w:rPr>
                <w:snapToGrid w:val="0"/>
                <w:lang w:eastAsia="zh-CN"/>
              </w:rPr>
              <w:t>of measured intra-frequency cell &gt; 20 ms; otherwise M2=1.</w:t>
            </w:r>
            <w:r>
              <w:rPr>
                <w:snapToGrid w:val="0"/>
                <w:lang w:eastAsia="zh-CN"/>
              </w:rPr>
              <w:t xml:space="preserve"> </w:t>
            </w:r>
          </w:p>
          <w:p w14:paraId="17D73A3E" w14:textId="77777777" w:rsidR="00D77779" w:rsidRPr="00EF59D1" w:rsidRDefault="00D77779" w:rsidP="008B25C8">
            <w:pPr>
              <w:pStyle w:val="TAN"/>
            </w:pPr>
            <w:r w:rsidRPr="00EF59D1">
              <w:rPr>
                <w:snapToGrid w:val="0"/>
                <w:lang w:eastAsia="zh-CN"/>
              </w:rPr>
              <w:t>Note 3:</w:t>
            </w:r>
            <w:r w:rsidRPr="00EF59D1">
              <w:rPr>
                <w:lang w:val="en-US"/>
              </w:rPr>
              <w:tab/>
            </w:r>
            <w:r w:rsidRPr="00EF59D1">
              <w:rPr>
                <w:snapToGrid w:val="0"/>
                <w:lang w:eastAsia="zh-CN"/>
              </w:rPr>
              <w:t xml:space="preserve">K1 = 3 is the measurement relaxation factor applicable for UE fulfilling the </w:t>
            </w:r>
            <w:r w:rsidRPr="00485479">
              <w:rPr>
                <w:i/>
                <w:iCs/>
                <w:lang w:eastAsia="zh-CN"/>
              </w:rPr>
              <w:t>cellEdgeEvaluation</w:t>
            </w:r>
            <w:r>
              <w:rPr>
                <w:i/>
                <w:iCs/>
                <w:lang w:eastAsia="zh-CN"/>
              </w:rPr>
              <w:t xml:space="preserve"> </w:t>
            </w:r>
            <w:r>
              <w:rPr>
                <w:lang w:eastAsia="zh-CN"/>
              </w:rPr>
              <w:t>[2]</w:t>
            </w:r>
            <w:r w:rsidRPr="00EF59D1">
              <w:rPr>
                <w:snapToGrid w:val="0"/>
                <w:lang w:eastAsia="zh-CN"/>
              </w:rPr>
              <w:t xml:space="preserve"> criterion.</w:t>
            </w:r>
          </w:p>
        </w:tc>
      </w:tr>
    </w:tbl>
    <w:p w14:paraId="18B50B60" w14:textId="77777777" w:rsidR="00D77779" w:rsidRDefault="00D77779" w:rsidP="00FB48DD">
      <w:pPr>
        <w:rPr>
          <w:lang w:val="en-US"/>
        </w:rPr>
      </w:pPr>
    </w:p>
    <w:p w14:paraId="74821712" w14:textId="77777777" w:rsidR="00D77779" w:rsidRPr="00327784" w:rsidRDefault="00D77779" w:rsidP="00FB48DD">
      <w:pPr>
        <w:pStyle w:val="TH"/>
        <w:rPr>
          <w:lang w:val="en-US"/>
        </w:rPr>
      </w:pPr>
      <w:r w:rsidRPr="00327784">
        <w:rPr>
          <w:lang w:val="en-US"/>
        </w:rPr>
        <w:t>Table 4.2B.2.9.</w:t>
      </w:r>
      <w:r>
        <w:rPr>
          <w:lang w:val="en-US"/>
        </w:rPr>
        <w:t>10</w:t>
      </w:r>
      <w:r w:rsidRPr="00327784">
        <w:rPr>
          <w:lang w:val="en-US"/>
        </w:rPr>
        <w:t>-</w:t>
      </w:r>
      <w:r>
        <w:rPr>
          <w:lang w:val="en-US"/>
        </w:rPr>
        <w:t>3</w:t>
      </w:r>
      <w:r w:rsidRPr="00327784">
        <w:rPr>
          <w:lang w:val="en-US"/>
        </w:rPr>
        <w:t>: T</w:t>
      </w:r>
      <w:r w:rsidRPr="00327784">
        <w:rPr>
          <w:vertAlign w:val="subscript"/>
          <w:lang w:val="en-US"/>
        </w:rPr>
        <w:t>detect,NR_Intra_RedCap_Relax</w:t>
      </w:r>
      <w:r w:rsidRPr="00327784">
        <w:rPr>
          <w:lang w:val="en-US"/>
        </w:rPr>
        <w:t>, T</w:t>
      </w:r>
      <w:r w:rsidRPr="00327784">
        <w:rPr>
          <w:vertAlign w:val="subscript"/>
          <w:lang w:val="en-US"/>
        </w:rPr>
        <w:t>measure,NR_Intra_RedCap_Relax</w:t>
      </w:r>
      <w:r w:rsidRPr="00327784">
        <w:rPr>
          <w:lang w:val="en-US"/>
        </w:rPr>
        <w:t xml:space="preserve"> and T</w:t>
      </w:r>
      <w:r w:rsidRPr="00327784">
        <w:rPr>
          <w:vertAlign w:val="subscript"/>
          <w:lang w:val="en-US"/>
        </w:rPr>
        <w:t>evaluate,NR_Intra_RedCap_Relax</w:t>
      </w:r>
      <w:r w:rsidRPr="00327784">
        <w:rPr>
          <w:lang w:val="en-US"/>
        </w:rPr>
        <w:t xml:space="preserve"> for UE configured with eDRX_IDLE cycle</w:t>
      </w:r>
      <w:r>
        <w:rPr>
          <w:lang w:val="en-US"/>
        </w:rPr>
        <w:t xml:space="preserve"> </w:t>
      </w:r>
      <w:r>
        <w:t>(Frequency range FR1)</w:t>
      </w:r>
      <w:r w:rsidRPr="00327784">
        <w:rPr>
          <w:lang w:val="en-US"/>
        </w:rPr>
        <w:t xml:space="preserve"> 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3"/>
        <w:gridCol w:w="2667"/>
        <w:gridCol w:w="2808"/>
        <w:gridCol w:w="2791"/>
      </w:tblGrid>
      <w:tr w:rsidR="00D77779" w:rsidRPr="00885F53" w14:paraId="23202461"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3DBC0C65" w14:textId="77777777" w:rsidR="00D77779" w:rsidRPr="00885F53" w:rsidRDefault="00D77779" w:rsidP="008B25C8">
            <w:pPr>
              <w:pStyle w:val="TAH"/>
            </w:pPr>
            <w:r w:rsidRPr="0082197E">
              <w:rPr>
                <w:rFonts w:cs="Arial"/>
              </w:rPr>
              <w:t>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72344618" w14:textId="77777777" w:rsidR="00D77779" w:rsidRPr="00885F53" w:rsidRDefault="00D77779" w:rsidP="008B25C8">
            <w:pPr>
              <w:pStyle w:val="TAH"/>
            </w:pPr>
            <w:r w:rsidRPr="0082197E">
              <w:rPr>
                <w:rFonts w:cs="Arial"/>
                <w:szCs w:val="18"/>
                <w:lang w:val="en-US"/>
              </w:rPr>
              <w:t>T</w:t>
            </w:r>
            <w:r w:rsidRPr="0082197E">
              <w:rPr>
                <w:rFonts w:cs="Arial"/>
                <w:szCs w:val="18"/>
                <w:vertAlign w:val="subscript"/>
                <w:lang w:val="en-US"/>
              </w:rPr>
              <w:t>detect,NR_Intra_RedCap</w:t>
            </w:r>
            <w:r>
              <w:rPr>
                <w:rFonts w:cs="Arial"/>
                <w:szCs w:val="18"/>
                <w:vertAlign w:val="subscript"/>
                <w:lang w:val="en-US"/>
              </w:rPr>
              <w:t>_Relax</w:t>
            </w:r>
            <w:r w:rsidRPr="0082197E">
              <w:rPr>
                <w:rFonts w:cs="Arial"/>
                <w:szCs w:val="18"/>
              </w:rPr>
              <w:t xml:space="preserve"> [s]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5A720AE4" w14:textId="77777777" w:rsidR="00D77779" w:rsidRPr="00885F53" w:rsidRDefault="00D77779" w:rsidP="008B25C8">
            <w:pPr>
              <w:pStyle w:val="TAH"/>
            </w:pPr>
            <w:r w:rsidRPr="0082197E">
              <w:rPr>
                <w:rFonts w:cs="Arial"/>
                <w:szCs w:val="18"/>
                <w:lang w:val="en-US"/>
              </w:rPr>
              <w:t>T</w:t>
            </w:r>
            <w:r w:rsidRPr="0082197E">
              <w:rPr>
                <w:rFonts w:cs="Arial"/>
                <w:szCs w:val="18"/>
                <w:vertAlign w:val="subscript"/>
                <w:lang w:val="en-US"/>
              </w:rPr>
              <w:t>measure,NR_Intra_RedCap</w:t>
            </w:r>
            <w:r>
              <w:rPr>
                <w:rFonts w:cs="Arial"/>
                <w:szCs w:val="18"/>
                <w:vertAlign w:val="subscript"/>
                <w:lang w:val="en-US"/>
              </w:rPr>
              <w:t>_Relax</w:t>
            </w:r>
            <w:r w:rsidRPr="0082197E">
              <w:rPr>
                <w:rFonts w:cs="Arial"/>
                <w:szCs w:val="18"/>
                <w:lang w:val="en-US"/>
              </w:rPr>
              <w:t xml:space="preserve"> </w:t>
            </w:r>
            <w:r w:rsidRPr="0082197E">
              <w:rPr>
                <w:rFonts w:cs="Arial"/>
                <w:szCs w:val="18"/>
              </w:rPr>
              <w:t xml:space="preserve">[s]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6418B68D" w14:textId="77777777" w:rsidR="00D77779" w:rsidRPr="00885F53" w:rsidRDefault="00D77779" w:rsidP="008B25C8">
            <w:pPr>
              <w:pStyle w:val="TAH"/>
            </w:pPr>
            <w:r w:rsidRPr="00AD5C2C">
              <w:rPr>
                <w:rFonts w:cs="Arial"/>
                <w:szCs w:val="18"/>
                <w:lang w:val="en-US"/>
              </w:rPr>
              <w:t>T</w:t>
            </w:r>
            <w:r w:rsidRPr="00AD5C2C">
              <w:rPr>
                <w:rFonts w:cs="Arial"/>
                <w:szCs w:val="18"/>
                <w:vertAlign w:val="subscript"/>
                <w:lang w:val="en-US"/>
              </w:rPr>
              <w:t>evaluate,NR_Intra_RedCap</w:t>
            </w:r>
            <w:r>
              <w:rPr>
                <w:rFonts w:cs="Arial"/>
                <w:szCs w:val="18"/>
                <w:vertAlign w:val="subscript"/>
                <w:lang w:val="en-US"/>
              </w:rPr>
              <w:t>_Relax</w:t>
            </w:r>
            <w:r w:rsidRPr="00AD5C2C">
              <w:rPr>
                <w:rFonts w:cs="Arial"/>
                <w:szCs w:val="18"/>
                <w:vertAlign w:val="subscript"/>
                <w:lang w:val="en-US"/>
              </w:rPr>
              <w:t xml:space="preserve"> </w:t>
            </w:r>
            <w:r w:rsidRPr="00AD5C2C">
              <w:rPr>
                <w:rFonts w:cs="Arial"/>
                <w:szCs w:val="18"/>
              </w:rPr>
              <w:t xml:space="preserve">[s] (number of </w:t>
            </w:r>
            <w:r>
              <w:rPr>
                <w:rFonts w:cs="Arial"/>
                <w:szCs w:val="18"/>
              </w:rPr>
              <w:t>e</w:t>
            </w:r>
            <w:r w:rsidRPr="00AD5C2C">
              <w:rPr>
                <w:rFonts w:cs="Arial"/>
                <w:szCs w:val="18"/>
              </w:rPr>
              <w:t xml:space="preserve">DRX </w:t>
            </w:r>
            <w:r>
              <w:rPr>
                <w:rFonts w:cs="Arial"/>
                <w:szCs w:val="18"/>
              </w:rPr>
              <w:t xml:space="preserve">IDLE </w:t>
            </w:r>
            <w:r w:rsidRPr="00AD5C2C">
              <w:rPr>
                <w:rFonts w:cs="Arial"/>
                <w:szCs w:val="18"/>
              </w:rPr>
              <w:t>cycles)</w:t>
            </w:r>
          </w:p>
        </w:tc>
      </w:tr>
      <w:tr w:rsidR="00D77779" w:rsidRPr="00885F53" w14:paraId="41AC5FD7" w14:textId="77777777" w:rsidTr="008B25C8">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2058F5" w14:textId="77777777" w:rsidR="00D77779" w:rsidRPr="00885F53"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017FEE" w14:textId="77777777" w:rsidR="00D77779" w:rsidRPr="00885F53"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958787" w14:textId="77777777" w:rsidR="00D77779" w:rsidRPr="00885F53"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7D3D7A" w14:textId="77777777" w:rsidR="00D77779" w:rsidRPr="00885F53" w:rsidRDefault="00D77779" w:rsidP="008B25C8">
            <w:pPr>
              <w:pStyle w:val="TAH"/>
            </w:pPr>
          </w:p>
        </w:tc>
      </w:tr>
      <w:tr w:rsidR="00D77779" w:rsidRPr="00EA7096" w14:paraId="3E2DC824"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CE591E0" w14:textId="77777777" w:rsidR="00D77779" w:rsidRPr="00885F53" w:rsidRDefault="00D77779" w:rsidP="008B25C8">
            <w:pPr>
              <w:pStyle w:val="TAC"/>
            </w:pPr>
            <w:r w:rsidRPr="00885F53">
              <w:t>2.56</w:t>
            </w:r>
          </w:p>
        </w:tc>
        <w:tc>
          <w:tcPr>
            <w:tcW w:w="0" w:type="auto"/>
            <w:tcBorders>
              <w:top w:val="single" w:sz="4" w:space="0" w:color="auto"/>
              <w:left w:val="single" w:sz="4" w:space="0" w:color="auto"/>
              <w:bottom w:val="single" w:sz="4" w:space="0" w:color="auto"/>
              <w:right w:val="single" w:sz="4" w:space="0" w:color="auto"/>
            </w:tcBorders>
            <w:hideMark/>
          </w:tcPr>
          <w:p w14:paraId="5E19FEE3" w14:textId="77777777" w:rsidR="00D77779" w:rsidRPr="00950DA1" w:rsidRDefault="00D77779" w:rsidP="008B25C8">
            <w:pPr>
              <w:pStyle w:val="TAC"/>
              <w:rPr>
                <w:lang w:val="sv-SE"/>
              </w:rPr>
            </w:pPr>
            <w:r w:rsidRPr="00806346">
              <w:rPr>
                <w:rFonts w:cs="Arial"/>
                <w:szCs w:val="18"/>
                <w:lang w:val="sv-SE"/>
              </w:rPr>
              <w:t xml:space="preserve">58.88 x </w:t>
            </w:r>
            <w:r>
              <w:rPr>
                <w:rFonts w:cs="Arial"/>
                <w:szCs w:val="18"/>
                <w:lang w:val="sv-SE"/>
              </w:rPr>
              <w:t>K1</w:t>
            </w:r>
            <w:r w:rsidRPr="00806346">
              <w:rPr>
                <w:rFonts w:cs="Arial"/>
                <w:szCs w:val="18"/>
                <w:lang w:val="sv-SE"/>
              </w:rPr>
              <w:t xml:space="preserve"> (23 x </w:t>
            </w:r>
            <w:r>
              <w:rPr>
                <w:rFonts w:cs="Arial"/>
                <w:szCs w:val="18"/>
                <w:lang w:val="sv-SE"/>
              </w:rPr>
              <w:t>K1</w:t>
            </w:r>
            <w:r w:rsidRPr="00806346">
              <w:rPr>
                <w:rFonts w:cs="Arial"/>
                <w:szCs w:val="18"/>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2654335E" w14:textId="77777777" w:rsidR="00D77779" w:rsidRPr="00950DA1" w:rsidRDefault="00D77779" w:rsidP="008B25C8">
            <w:pPr>
              <w:pStyle w:val="TAC"/>
              <w:rPr>
                <w:lang w:val="sv-SE"/>
              </w:rPr>
            </w:pPr>
            <w:r w:rsidRPr="00806346">
              <w:rPr>
                <w:rFonts w:cs="Arial"/>
                <w:szCs w:val="18"/>
                <w:lang w:val="sv-SE"/>
              </w:rPr>
              <w:t xml:space="preserve">2.56 x </w:t>
            </w:r>
            <w:r>
              <w:rPr>
                <w:rFonts w:cs="Arial"/>
                <w:szCs w:val="18"/>
                <w:lang w:val="sv-SE"/>
              </w:rPr>
              <w:t>K1</w:t>
            </w:r>
            <w:r w:rsidRPr="00806346">
              <w:rPr>
                <w:rFonts w:cs="Arial"/>
                <w:szCs w:val="18"/>
                <w:lang w:val="sv-SE"/>
              </w:rPr>
              <w:t xml:space="preserve"> (1 x </w:t>
            </w:r>
            <w:r>
              <w:rPr>
                <w:rFonts w:cs="Arial"/>
                <w:szCs w:val="18"/>
                <w:lang w:val="sv-SE"/>
              </w:rPr>
              <w:t>K1</w:t>
            </w:r>
            <w:r w:rsidRPr="00806346">
              <w:rPr>
                <w:rFonts w:cs="Arial"/>
                <w:szCs w:val="18"/>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07435C04" w14:textId="77777777" w:rsidR="00D77779" w:rsidRPr="00950DA1" w:rsidRDefault="00D77779" w:rsidP="008B25C8">
            <w:pPr>
              <w:pStyle w:val="TAC"/>
              <w:rPr>
                <w:lang w:val="sv-SE"/>
              </w:rPr>
            </w:pPr>
            <w:r w:rsidRPr="00806346">
              <w:rPr>
                <w:rFonts w:cs="Arial"/>
                <w:szCs w:val="18"/>
                <w:lang w:val="sv-SE"/>
              </w:rPr>
              <w:t xml:space="preserve">7.68 x </w:t>
            </w:r>
            <w:r>
              <w:rPr>
                <w:rFonts w:cs="Arial"/>
                <w:szCs w:val="18"/>
                <w:lang w:val="sv-SE"/>
              </w:rPr>
              <w:t>K1</w:t>
            </w:r>
            <w:r w:rsidRPr="00806346">
              <w:rPr>
                <w:rFonts w:cs="Arial"/>
                <w:szCs w:val="18"/>
                <w:lang w:val="sv-SE"/>
              </w:rPr>
              <w:t xml:space="preserve"> (3 x </w:t>
            </w:r>
            <w:r>
              <w:rPr>
                <w:rFonts w:cs="Arial"/>
                <w:szCs w:val="18"/>
                <w:lang w:val="sv-SE"/>
              </w:rPr>
              <w:t>K1</w:t>
            </w:r>
            <w:r w:rsidRPr="00806346">
              <w:rPr>
                <w:rFonts w:cs="Arial"/>
                <w:szCs w:val="18"/>
                <w:lang w:val="sv-SE"/>
              </w:rPr>
              <w:t>)</w:t>
            </w:r>
          </w:p>
        </w:tc>
      </w:tr>
      <w:tr w:rsidR="00D77779" w:rsidRPr="00885F53" w14:paraId="0A5CDF4C"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D63D9E0" w14:textId="77777777" w:rsidR="00D77779" w:rsidRPr="00885F53" w:rsidRDefault="00D77779" w:rsidP="008B25C8">
            <w:pPr>
              <w:pStyle w:val="TAC"/>
            </w:pPr>
            <w:r w:rsidRPr="00C23796">
              <w:rPr>
                <w:rFonts w:cs="Arial"/>
                <w:szCs w:val="18"/>
              </w:rPr>
              <w:t>5.12</w:t>
            </w:r>
          </w:p>
        </w:tc>
        <w:tc>
          <w:tcPr>
            <w:tcW w:w="0" w:type="auto"/>
            <w:tcBorders>
              <w:top w:val="single" w:sz="4" w:space="0" w:color="auto"/>
              <w:left w:val="single" w:sz="4" w:space="0" w:color="auto"/>
              <w:bottom w:val="single" w:sz="4" w:space="0" w:color="auto"/>
              <w:right w:val="single" w:sz="4" w:space="0" w:color="auto"/>
            </w:tcBorders>
            <w:hideMark/>
          </w:tcPr>
          <w:p w14:paraId="7AAA6D8B" w14:textId="77777777" w:rsidR="00D77779" w:rsidRPr="00885F53" w:rsidRDefault="00D77779" w:rsidP="008B25C8">
            <w:pPr>
              <w:pStyle w:val="TAC"/>
            </w:pPr>
            <w:r w:rsidRPr="006F2E0A">
              <w:rPr>
                <w:rFonts w:cs="Arial"/>
                <w:szCs w:val="18"/>
              </w:rPr>
              <w:t>117.76</w:t>
            </w:r>
            <w:r w:rsidRPr="00806346">
              <w:rPr>
                <w:rFonts w:cs="Arial"/>
                <w:szCs w:val="18"/>
                <w:lang w:val="sv-SE"/>
              </w:rPr>
              <w:t xml:space="preserve"> x </w:t>
            </w:r>
            <w:r>
              <w:rPr>
                <w:rFonts w:cs="Arial"/>
                <w:szCs w:val="18"/>
              </w:rPr>
              <w:t>K1</w:t>
            </w:r>
            <w:r w:rsidRPr="00C23796">
              <w:rPr>
                <w:rFonts w:cs="Arial"/>
                <w:szCs w:val="18"/>
              </w:rPr>
              <w:t xml:space="preserve"> (23</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77396168" w14:textId="77777777" w:rsidR="00D77779" w:rsidRPr="00885F53" w:rsidRDefault="00D77779" w:rsidP="008B25C8">
            <w:pPr>
              <w:pStyle w:val="TAC"/>
            </w:pPr>
            <w:r w:rsidRPr="006F2E0A">
              <w:rPr>
                <w:rFonts w:cs="Arial"/>
                <w:szCs w:val="18"/>
              </w:rPr>
              <w:t>5.12</w:t>
            </w:r>
            <w:r w:rsidRPr="00806346">
              <w:rPr>
                <w:rFonts w:cs="Arial"/>
                <w:szCs w:val="18"/>
                <w:lang w:val="sv-SE"/>
              </w:rPr>
              <w:t xml:space="preserve"> x </w:t>
            </w:r>
            <w:r>
              <w:rPr>
                <w:rFonts w:cs="Arial"/>
                <w:szCs w:val="18"/>
              </w:rPr>
              <w:t>K1</w:t>
            </w:r>
            <w:r w:rsidRPr="00C23796">
              <w:rPr>
                <w:rFonts w:cs="Arial"/>
                <w:szCs w:val="18"/>
              </w:rPr>
              <w:t xml:space="preserve"> (1</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6F5AD2FB" w14:textId="77777777" w:rsidR="00D77779" w:rsidRPr="00885F53" w:rsidRDefault="00D77779" w:rsidP="008B25C8">
            <w:pPr>
              <w:pStyle w:val="TAC"/>
            </w:pPr>
            <w:r w:rsidRPr="006F2E0A">
              <w:rPr>
                <w:rFonts w:cs="Arial"/>
                <w:szCs w:val="18"/>
              </w:rPr>
              <w:t>10.24</w:t>
            </w:r>
            <w:r w:rsidRPr="00806346">
              <w:rPr>
                <w:rFonts w:cs="Arial"/>
                <w:szCs w:val="18"/>
                <w:lang w:val="sv-SE"/>
              </w:rPr>
              <w:t xml:space="preserve"> x </w:t>
            </w:r>
            <w:r>
              <w:rPr>
                <w:rFonts w:cs="Arial"/>
                <w:szCs w:val="18"/>
              </w:rPr>
              <w:t>K1</w:t>
            </w:r>
            <w:r w:rsidRPr="00C23796">
              <w:rPr>
                <w:rFonts w:cs="Arial"/>
                <w:szCs w:val="18"/>
              </w:rPr>
              <w:t xml:space="preserve"> (2</w:t>
            </w:r>
            <w:r w:rsidRPr="00806346">
              <w:rPr>
                <w:rFonts w:cs="Arial"/>
                <w:szCs w:val="18"/>
                <w:lang w:val="sv-SE"/>
              </w:rPr>
              <w:t xml:space="preserve"> x </w:t>
            </w:r>
            <w:r>
              <w:rPr>
                <w:rFonts w:cs="Arial"/>
                <w:szCs w:val="18"/>
              </w:rPr>
              <w:t>K1</w:t>
            </w:r>
            <w:r w:rsidRPr="00C23796">
              <w:rPr>
                <w:rFonts w:cs="Arial"/>
                <w:szCs w:val="18"/>
              </w:rPr>
              <w:t>)</w:t>
            </w:r>
          </w:p>
        </w:tc>
      </w:tr>
      <w:tr w:rsidR="00D77779" w:rsidRPr="00885F53" w14:paraId="13117D22"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7EF20AE" w14:textId="77777777" w:rsidR="00D77779" w:rsidRPr="00885F53" w:rsidRDefault="00D77779" w:rsidP="008B25C8">
            <w:pPr>
              <w:pStyle w:val="TAC"/>
            </w:pPr>
            <w:r w:rsidRPr="00C23796">
              <w:rPr>
                <w:rFonts w:cs="Arial"/>
                <w:szCs w:val="18"/>
              </w:rPr>
              <w:t>10.24</w:t>
            </w:r>
          </w:p>
        </w:tc>
        <w:tc>
          <w:tcPr>
            <w:tcW w:w="0" w:type="auto"/>
            <w:tcBorders>
              <w:top w:val="single" w:sz="4" w:space="0" w:color="auto"/>
              <w:left w:val="single" w:sz="4" w:space="0" w:color="auto"/>
              <w:bottom w:val="single" w:sz="4" w:space="0" w:color="auto"/>
              <w:right w:val="single" w:sz="4" w:space="0" w:color="auto"/>
            </w:tcBorders>
            <w:hideMark/>
          </w:tcPr>
          <w:p w14:paraId="1BC58449" w14:textId="77777777" w:rsidR="00D77779" w:rsidRPr="00885F53" w:rsidRDefault="00D77779" w:rsidP="008B25C8">
            <w:pPr>
              <w:pStyle w:val="TAC"/>
            </w:pPr>
            <w:r w:rsidRPr="006F2E0A">
              <w:rPr>
                <w:rFonts w:cs="Arial"/>
                <w:szCs w:val="18"/>
              </w:rPr>
              <w:t>235.52</w:t>
            </w:r>
            <w:r w:rsidRPr="00806346">
              <w:rPr>
                <w:rFonts w:cs="Arial"/>
                <w:szCs w:val="18"/>
                <w:lang w:val="sv-SE"/>
              </w:rPr>
              <w:t xml:space="preserve"> x </w:t>
            </w:r>
            <w:r>
              <w:rPr>
                <w:rFonts w:cs="Arial"/>
                <w:szCs w:val="18"/>
              </w:rPr>
              <w:t>K1</w:t>
            </w:r>
            <w:r w:rsidRPr="00C23796">
              <w:rPr>
                <w:rFonts w:cs="Arial"/>
                <w:szCs w:val="18"/>
              </w:rPr>
              <w:t xml:space="preserve"> (23</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0370AC88" w14:textId="77777777" w:rsidR="00D77779" w:rsidRPr="00885F53" w:rsidRDefault="00D77779" w:rsidP="008B25C8">
            <w:pPr>
              <w:pStyle w:val="TAC"/>
            </w:pPr>
            <w:r w:rsidRPr="006F2E0A">
              <w:rPr>
                <w:rFonts w:cs="Arial"/>
                <w:szCs w:val="18"/>
              </w:rPr>
              <w:t>10.24</w:t>
            </w:r>
            <w:r w:rsidRPr="00806346">
              <w:rPr>
                <w:rFonts w:cs="Arial"/>
                <w:szCs w:val="18"/>
                <w:lang w:val="sv-SE"/>
              </w:rPr>
              <w:t xml:space="preserve"> x </w:t>
            </w:r>
            <w:r>
              <w:rPr>
                <w:rFonts w:cs="Arial"/>
                <w:szCs w:val="18"/>
              </w:rPr>
              <w:t>K1</w:t>
            </w:r>
            <w:r w:rsidRPr="00C23796">
              <w:rPr>
                <w:rFonts w:cs="Arial"/>
                <w:szCs w:val="18"/>
              </w:rPr>
              <w:t xml:space="preserve"> (1</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14977FE0" w14:textId="77777777" w:rsidR="00D77779" w:rsidRPr="00885F53" w:rsidRDefault="00D77779" w:rsidP="008B25C8">
            <w:pPr>
              <w:pStyle w:val="TAC"/>
            </w:pPr>
            <w:r w:rsidRPr="006F2E0A">
              <w:rPr>
                <w:rFonts w:cs="Arial"/>
                <w:szCs w:val="18"/>
              </w:rPr>
              <w:t>20.48</w:t>
            </w:r>
            <w:r w:rsidRPr="00806346">
              <w:rPr>
                <w:rFonts w:cs="Arial"/>
                <w:szCs w:val="18"/>
                <w:lang w:val="sv-SE"/>
              </w:rPr>
              <w:t xml:space="preserve"> x </w:t>
            </w:r>
            <w:r>
              <w:rPr>
                <w:rFonts w:cs="Arial"/>
                <w:szCs w:val="18"/>
              </w:rPr>
              <w:t>K1</w:t>
            </w:r>
            <w:r w:rsidRPr="00C23796">
              <w:rPr>
                <w:rFonts w:cs="Arial"/>
                <w:szCs w:val="18"/>
              </w:rPr>
              <w:t xml:space="preserve"> (2</w:t>
            </w:r>
            <w:r w:rsidRPr="00806346">
              <w:rPr>
                <w:rFonts w:cs="Arial"/>
                <w:szCs w:val="18"/>
                <w:lang w:val="sv-SE"/>
              </w:rPr>
              <w:t xml:space="preserve"> x </w:t>
            </w:r>
            <w:r>
              <w:rPr>
                <w:rFonts w:cs="Arial"/>
                <w:szCs w:val="18"/>
              </w:rPr>
              <w:t>K1</w:t>
            </w:r>
            <w:r w:rsidRPr="00C23796">
              <w:rPr>
                <w:rFonts w:cs="Arial"/>
                <w:szCs w:val="18"/>
              </w:rPr>
              <w:t>)</w:t>
            </w:r>
          </w:p>
        </w:tc>
      </w:tr>
      <w:tr w:rsidR="00D77779" w:rsidRPr="00885F53" w14:paraId="47FD8C72" w14:textId="77777777" w:rsidTr="008B25C8">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20FA4324" w14:textId="77777777" w:rsidR="00D77779" w:rsidRPr="006D3EA9" w:rsidRDefault="00D77779" w:rsidP="008B25C8">
            <w:pPr>
              <w:pStyle w:val="TAN"/>
              <w:rPr>
                <w:snapToGrid w:val="0"/>
              </w:rPr>
            </w:pPr>
            <w:r w:rsidRPr="00885F53">
              <w:rPr>
                <w:snapToGrid w:val="0"/>
              </w:rPr>
              <w:t>Note 1</w:t>
            </w:r>
            <w:r w:rsidRPr="00885F53">
              <w:t>:</w:t>
            </w:r>
            <w:r w:rsidRPr="00885F53">
              <w:rPr>
                <w:lang w:val="en-US"/>
              </w:rPr>
              <w:tab/>
            </w:r>
            <w:r w:rsidRPr="009C5807">
              <w:t xml:space="preserve">Applies for </w:t>
            </w:r>
            <w:r>
              <w:t xml:space="preserve">RedCap </w:t>
            </w:r>
            <w:r w:rsidRPr="009C5807">
              <w:t xml:space="preserve">UE </w:t>
            </w:r>
            <w:r>
              <w:t xml:space="preserve">of all </w:t>
            </w:r>
            <w:r w:rsidRPr="009C5807">
              <w:t xml:space="preserve">supporting </w:t>
            </w:r>
            <w:r>
              <w:t xml:space="preserve">FR2 </w:t>
            </w:r>
            <w:r w:rsidRPr="009C5807">
              <w:t>power class</w:t>
            </w:r>
            <w:r>
              <w:t>es</w:t>
            </w:r>
            <w:r w:rsidRPr="00885F53">
              <w:t>.</w:t>
            </w:r>
          </w:p>
          <w:p w14:paraId="3BEE81FD" w14:textId="77777777" w:rsidR="00D77779" w:rsidRPr="00885F53" w:rsidRDefault="00D77779" w:rsidP="008B25C8">
            <w:pPr>
              <w:pStyle w:val="TAN"/>
            </w:pPr>
            <w:r w:rsidRPr="00C23796">
              <w:rPr>
                <w:rFonts w:cs="Arial"/>
                <w:snapToGrid w:val="0"/>
                <w:szCs w:val="18"/>
              </w:rPr>
              <w:t xml:space="preserve">Note </w:t>
            </w:r>
            <w:r>
              <w:rPr>
                <w:rFonts w:cs="Arial"/>
                <w:snapToGrid w:val="0"/>
                <w:szCs w:val="18"/>
              </w:rPr>
              <w:t>2</w:t>
            </w:r>
            <w:r w:rsidRPr="00C23796">
              <w:rPr>
                <w:rFonts w:cs="Arial"/>
                <w:snapToGrid w:val="0"/>
                <w:szCs w:val="18"/>
              </w:rPr>
              <w:t>:</w:t>
            </w:r>
            <w:r w:rsidRPr="00C23796">
              <w:rPr>
                <w:rFonts w:cs="Arial"/>
                <w:snapToGrid w:val="0"/>
                <w:szCs w:val="18"/>
              </w:rPr>
              <w:tab/>
            </w:r>
            <w:r>
              <w:rPr>
                <w:rFonts w:cs="Arial"/>
                <w:snapToGrid w:val="0"/>
                <w:szCs w:val="18"/>
              </w:rPr>
              <w:t>K1</w:t>
            </w:r>
            <w:r w:rsidRPr="00C23796">
              <w:rPr>
                <w:rFonts w:cs="Arial"/>
                <w:snapToGrid w:val="0"/>
                <w:szCs w:val="18"/>
              </w:rPr>
              <w:t xml:space="preserve"> = </w:t>
            </w:r>
            <w:r>
              <w:rPr>
                <w:rFonts w:cs="Arial"/>
                <w:snapToGrid w:val="0"/>
                <w:szCs w:val="18"/>
              </w:rPr>
              <w:t>3</w:t>
            </w:r>
            <w:r w:rsidRPr="00C23796">
              <w:rPr>
                <w:rFonts w:cs="Arial"/>
                <w:snapToGrid w:val="0"/>
                <w:szCs w:val="18"/>
              </w:rPr>
              <w:t xml:space="preserve"> is the measurement relaxation factor applicable for UE fulfilling the </w:t>
            </w:r>
            <w:r w:rsidRPr="00485479">
              <w:rPr>
                <w:i/>
                <w:iCs/>
              </w:rPr>
              <w:t>cellEdgeEvaluation</w:t>
            </w:r>
            <w:r>
              <w:rPr>
                <w:i/>
                <w:iCs/>
              </w:rPr>
              <w:t xml:space="preserve"> </w:t>
            </w:r>
            <w:r w:rsidRPr="00C23796">
              <w:rPr>
                <w:rFonts w:cs="Arial"/>
                <w:snapToGrid w:val="0"/>
                <w:szCs w:val="18"/>
              </w:rPr>
              <w:t>[2] criterion.</w:t>
            </w:r>
          </w:p>
        </w:tc>
      </w:tr>
    </w:tbl>
    <w:p w14:paraId="6501BA78" w14:textId="77777777" w:rsidR="00D77779" w:rsidRDefault="00D77779" w:rsidP="00D77779">
      <w:pPr>
        <w:rPr>
          <w:noProof/>
        </w:rPr>
      </w:pPr>
    </w:p>
    <w:p w14:paraId="0E5B6B42" w14:textId="77777777" w:rsidR="00D77779" w:rsidRPr="00327784" w:rsidRDefault="00D77779" w:rsidP="00D77779">
      <w:pPr>
        <w:pStyle w:val="TH"/>
        <w:jc w:val="left"/>
        <w:rPr>
          <w:lang w:val="en-US"/>
        </w:rPr>
      </w:pPr>
      <w:r w:rsidRPr="00327784">
        <w:rPr>
          <w:lang w:val="en-US"/>
        </w:rPr>
        <w:t>Table 4.2B.2.9.</w:t>
      </w:r>
      <w:r>
        <w:rPr>
          <w:lang w:val="en-US"/>
        </w:rPr>
        <w:t>10</w:t>
      </w:r>
      <w:r w:rsidRPr="00327784">
        <w:rPr>
          <w:lang w:val="en-US"/>
        </w:rPr>
        <w:t>-</w:t>
      </w:r>
      <w:r>
        <w:rPr>
          <w:lang w:val="en-US"/>
        </w:rPr>
        <w:t>4</w:t>
      </w:r>
      <w:r w:rsidRPr="00327784">
        <w:rPr>
          <w:lang w:val="en-US"/>
        </w:rPr>
        <w:t>: T</w:t>
      </w:r>
      <w:r w:rsidRPr="00327784">
        <w:rPr>
          <w:vertAlign w:val="subscript"/>
          <w:lang w:val="en-US"/>
        </w:rPr>
        <w:t>detect,NR_Intra_RedCap_Relax</w:t>
      </w:r>
      <w:r w:rsidRPr="00327784">
        <w:rPr>
          <w:lang w:val="en-US"/>
        </w:rPr>
        <w:t>, T</w:t>
      </w:r>
      <w:r w:rsidRPr="00327784">
        <w:rPr>
          <w:vertAlign w:val="subscript"/>
          <w:lang w:val="en-US"/>
        </w:rPr>
        <w:t>measure,NR_Intra_RedCap_Relax</w:t>
      </w:r>
      <w:r w:rsidRPr="00327784">
        <w:rPr>
          <w:lang w:val="en-US"/>
        </w:rPr>
        <w:t xml:space="preserve"> and T</w:t>
      </w:r>
      <w:r w:rsidRPr="00327784">
        <w:rPr>
          <w:vertAlign w:val="subscript"/>
          <w:lang w:val="en-US"/>
        </w:rPr>
        <w:t>evaluate,NR_Intra_RedCap_Relax</w:t>
      </w:r>
      <w:r w:rsidRPr="00327784">
        <w:rPr>
          <w:lang w:val="en-US"/>
        </w:rPr>
        <w:t xml:space="preserve"> for UE configured with eDRX_IDLE cycle </w:t>
      </w:r>
      <w:r>
        <w:t>(Frequency range FR2)</w:t>
      </w:r>
      <w:r w:rsidRPr="00327784">
        <w:rPr>
          <w:lang w:val="en-US"/>
        </w:rPr>
        <w:t xml:space="preserve"> 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3"/>
        <w:gridCol w:w="2667"/>
        <w:gridCol w:w="2808"/>
        <w:gridCol w:w="2791"/>
      </w:tblGrid>
      <w:tr w:rsidR="00D77779" w:rsidRPr="00885F53" w14:paraId="30C18EFF"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642E7866" w14:textId="77777777" w:rsidR="00D77779" w:rsidRPr="00885F53" w:rsidRDefault="00D77779" w:rsidP="008B25C8">
            <w:pPr>
              <w:pStyle w:val="TAH"/>
            </w:pPr>
            <w:r w:rsidRPr="0082197E">
              <w:rPr>
                <w:rFonts w:cs="Arial"/>
              </w:rPr>
              <w:t>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65CDCE73" w14:textId="77777777" w:rsidR="00D77779" w:rsidRPr="00885F53" w:rsidRDefault="00D77779" w:rsidP="008B25C8">
            <w:pPr>
              <w:pStyle w:val="TAH"/>
            </w:pPr>
            <w:r w:rsidRPr="0082197E">
              <w:rPr>
                <w:rFonts w:cs="Arial"/>
                <w:szCs w:val="18"/>
                <w:lang w:val="en-US"/>
              </w:rPr>
              <w:t>T</w:t>
            </w:r>
            <w:r w:rsidRPr="0082197E">
              <w:rPr>
                <w:rFonts w:cs="Arial"/>
                <w:szCs w:val="18"/>
                <w:vertAlign w:val="subscript"/>
                <w:lang w:val="en-US"/>
              </w:rPr>
              <w:t>detect,NR_Intra_RedCap</w:t>
            </w:r>
            <w:r>
              <w:rPr>
                <w:rFonts w:cs="Arial"/>
                <w:szCs w:val="18"/>
                <w:vertAlign w:val="subscript"/>
                <w:lang w:val="en-US"/>
              </w:rPr>
              <w:t>_Relax</w:t>
            </w:r>
            <w:r w:rsidRPr="0082197E">
              <w:rPr>
                <w:rFonts w:cs="Arial"/>
                <w:szCs w:val="18"/>
              </w:rPr>
              <w:t xml:space="preserve"> [s]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2375F31C" w14:textId="77777777" w:rsidR="00D77779" w:rsidRPr="00885F53" w:rsidRDefault="00D77779" w:rsidP="008B25C8">
            <w:pPr>
              <w:pStyle w:val="TAH"/>
            </w:pPr>
            <w:r w:rsidRPr="0082197E">
              <w:rPr>
                <w:rFonts w:cs="Arial"/>
                <w:szCs w:val="18"/>
                <w:lang w:val="en-US"/>
              </w:rPr>
              <w:t>T</w:t>
            </w:r>
            <w:r w:rsidRPr="0082197E">
              <w:rPr>
                <w:rFonts w:cs="Arial"/>
                <w:szCs w:val="18"/>
                <w:vertAlign w:val="subscript"/>
                <w:lang w:val="en-US"/>
              </w:rPr>
              <w:t>measure,NR_Intra_RedCap</w:t>
            </w:r>
            <w:r>
              <w:rPr>
                <w:rFonts w:cs="Arial"/>
                <w:szCs w:val="18"/>
                <w:vertAlign w:val="subscript"/>
                <w:lang w:val="en-US"/>
              </w:rPr>
              <w:t>_Relax</w:t>
            </w:r>
            <w:r w:rsidRPr="0082197E">
              <w:rPr>
                <w:rFonts w:cs="Arial"/>
                <w:szCs w:val="18"/>
                <w:lang w:val="en-US"/>
              </w:rPr>
              <w:t xml:space="preserve"> </w:t>
            </w:r>
            <w:r w:rsidRPr="0082197E">
              <w:rPr>
                <w:rFonts w:cs="Arial"/>
                <w:szCs w:val="18"/>
              </w:rPr>
              <w:t xml:space="preserve">[s]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7EFC5122" w14:textId="77777777" w:rsidR="00D77779" w:rsidRPr="00885F53" w:rsidRDefault="00D77779" w:rsidP="008B25C8">
            <w:pPr>
              <w:pStyle w:val="TAH"/>
            </w:pPr>
            <w:r w:rsidRPr="00AD5C2C">
              <w:rPr>
                <w:rFonts w:cs="Arial"/>
                <w:szCs w:val="18"/>
                <w:lang w:val="en-US"/>
              </w:rPr>
              <w:t>T</w:t>
            </w:r>
            <w:r w:rsidRPr="00AD5C2C">
              <w:rPr>
                <w:rFonts w:cs="Arial"/>
                <w:szCs w:val="18"/>
                <w:vertAlign w:val="subscript"/>
                <w:lang w:val="en-US"/>
              </w:rPr>
              <w:t>evaluate,NR_Intra_RedCap</w:t>
            </w:r>
            <w:r>
              <w:rPr>
                <w:rFonts w:cs="Arial"/>
                <w:szCs w:val="18"/>
                <w:vertAlign w:val="subscript"/>
                <w:lang w:val="en-US"/>
              </w:rPr>
              <w:t>_Relax</w:t>
            </w:r>
            <w:r w:rsidRPr="00AD5C2C">
              <w:rPr>
                <w:rFonts w:cs="Arial"/>
                <w:szCs w:val="18"/>
                <w:vertAlign w:val="subscript"/>
                <w:lang w:val="en-US"/>
              </w:rPr>
              <w:t xml:space="preserve"> </w:t>
            </w:r>
            <w:r w:rsidRPr="00AD5C2C">
              <w:rPr>
                <w:rFonts w:cs="Arial"/>
                <w:szCs w:val="18"/>
              </w:rPr>
              <w:t xml:space="preserve">[s] (number of </w:t>
            </w:r>
            <w:r>
              <w:rPr>
                <w:rFonts w:cs="Arial"/>
                <w:szCs w:val="18"/>
              </w:rPr>
              <w:t>e</w:t>
            </w:r>
            <w:r w:rsidRPr="00AD5C2C">
              <w:rPr>
                <w:rFonts w:cs="Arial"/>
                <w:szCs w:val="18"/>
              </w:rPr>
              <w:t xml:space="preserve">DRX </w:t>
            </w:r>
            <w:r>
              <w:rPr>
                <w:rFonts w:cs="Arial"/>
                <w:szCs w:val="18"/>
              </w:rPr>
              <w:t xml:space="preserve">IDLE </w:t>
            </w:r>
            <w:r w:rsidRPr="00AD5C2C">
              <w:rPr>
                <w:rFonts w:cs="Arial"/>
                <w:szCs w:val="18"/>
              </w:rPr>
              <w:t>cycles)</w:t>
            </w:r>
          </w:p>
        </w:tc>
      </w:tr>
      <w:tr w:rsidR="00D77779" w:rsidRPr="00885F53" w14:paraId="1C12A70C" w14:textId="77777777" w:rsidTr="008B25C8">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C979A0B" w14:textId="77777777" w:rsidR="00D77779" w:rsidRPr="00885F53"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FD3D76" w14:textId="77777777" w:rsidR="00D77779" w:rsidRPr="00885F53"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2BAAD0" w14:textId="77777777" w:rsidR="00D77779" w:rsidRPr="00885F53" w:rsidRDefault="00D77779"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44CA53" w14:textId="77777777" w:rsidR="00D77779" w:rsidRPr="00885F53" w:rsidRDefault="00D77779" w:rsidP="008B25C8">
            <w:pPr>
              <w:pStyle w:val="TAH"/>
            </w:pPr>
          </w:p>
        </w:tc>
      </w:tr>
      <w:tr w:rsidR="00D77779" w:rsidRPr="00EA7096" w14:paraId="4B3A7754"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29F497C" w14:textId="77777777" w:rsidR="00D77779" w:rsidRPr="00885F53" w:rsidRDefault="00D77779" w:rsidP="008B25C8">
            <w:pPr>
              <w:pStyle w:val="TAC"/>
            </w:pPr>
            <w:r w:rsidRPr="00885F53">
              <w:t>2.56</w:t>
            </w:r>
          </w:p>
        </w:tc>
        <w:tc>
          <w:tcPr>
            <w:tcW w:w="0" w:type="auto"/>
            <w:tcBorders>
              <w:top w:val="single" w:sz="4" w:space="0" w:color="auto"/>
              <w:left w:val="single" w:sz="4" w:space="0" w:color="auto"/>
              <w:bottom w:val="single" w:sz="4" w:space="0" w:color="auto"/>
              <w:right w:val="single" w:sz="4" w:space="0" w:color="auto"/>
            </w:tcBorders>
            <w:hideMark/>
          </w:tcPr>
          <w:p w14:paraId="03D2D086" w14:textId="77777777" w:rsidR="00D77779" w:rsidRPr="00950DA1" w:rsidRDefault="00D77779" w:rsidP="008B25C8">
            <w:pPr>
              <w:pStyle w:val="TAC"/>
              <w:rPr>
                <w:lang w:val="sv-SE"/>
              </w:rPr>
            </w:pPr>
            <w:r w:rsidRPr="00806346">
              <w:rPr>
                <w:rFonts w:cs="Arial"/>
                <w:szCs w:val="18"/>
                <w:lang w:val="sv-SE"/>
              </w:rPr>
              <w:t xml:space="preserve">58.88 x N1 x </w:t>
            </w:r>
            <w:r>
              <w:rPr>
                <w:rFonts w:cs="Arial"/>
                <w:szCs w:val="18"/>
                <w:lang w:val="sv-SE"/>
              </w:rPr>
              <w:t>K1</w:t>
            </w:r>
            <w:r w:rsidRPr="00806346">
              <w:rPr>
                <w:rFonts w:cs="Arial"/>
                <w:szCs w:val="18"/>
                <w:lang w:val="sv-SE"/>
              </w:rPr>
              <w:t xml:space="preserve"> (23 x N1 x </w:t>
            </w:r>
            <w:r>
              <w:rPr>
                <w:rFonts w:cs="Arial"/>
                <w:szCs w:val="18"/>
                <w:lang w:val="sv-SE"/>
              </w:rPr>
              <w:t>K1</w:t>
            </w:r>
            <w:r w:rsidRPr="00806346">
              <w:rPr>
                <w:rFonts w:cs="Arial"/>
                <w:szCs w:val="18"/>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49965A2E" w14:textId="77777777" w:rsidR="00D77779" w:rsidRPr="00950DA1" w:rsidRDefault="00D77779" w:rsidP="008B25C8">
            <w:pPr>
              <w:pStyle w:val="TAC"/>
              <w:rPr>
                <w:lang w:val="sv-SE"/>
              </w:rPr>
            </w:pPr>
            <w:r w:rsidRPr="00806346">
              <w:rPr>
                <w:rFonts w:cs="Arial"/>
                <w:szCs w:val="18"/>
                <w:lang w:val="sv-SE"/>
              </w:rPr>
              <w:t xml:space="preserve">2.56 x N1 x </w:t>
            </w:r>
            <w:r>
              <w:rPr>
                <w:rFonts w:cs="Arial"/>
                <w:szCs w:val="18"/>
                <w:lang w:val="sv-SE"/>
              </w:rPr>
              <w:t>K1</w:t>
            </w:r>
            <w:r w:rsidRPr="00806346">
              <w:rPr>
                <w:rFonts w:cs="Arial"/>
                <w:szCs w:val="18"/>
                <w:lang w:val="sv-SE"/>
              </w:rPr>
              <w:t xml:space="preserve"> (1 x </w:t>
            </w:r>
            <w:r>
              <w:rPr>
                <w:rFonts w:cs="Arial"/>
                <w:szCs w:val="18"/>
                <w:lang w:val="sv-SE"/>
              </w:rPr>
              <w:t>K1</w:t>
            </w:r>
            <w:r w:rsidRPr="00806346">
              <w:rPr>
                <w:rFonts w:cs="Arial"/>
                <w:szCs w:val="18"/>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280E64B7" w14:textId="77777777" w:rsidR="00D77779" w:rsidRPr="00950DA1" w:rsidRDefault="00D77779" w:rsidP="008B25C8">
            <w:pPr>
              <w:pStyle w:val="TAC"/>
              <w:rPr>
                <w:lang w:val="sv-SE"/>
              </w:rPr>
            </w:pPr>
            <w:r w:rsidRPr="00806346">
              <w:rPr>
                <w:rFonts w:cs="Arial"/>
                <w:szCs w:val="18"/>
                <w:lang w:val="sv-SE"/>
              </w:rPr>
              <w:t xml:space="preserve">7.68 x N1 x </w:t>
            </w:r>
            <w:r>
              <w:rPr>
                <w:rFonts w:cs="Arial"/>
                <w:szCs w:val="18"/>
                <w:lang w:val="sv-SE"/>
              </w:rPr>
              <w:t>K1</w:t>
            </w:r>
            <w:r w:rsidRPr="00806346">
              <w:rPr>
                <w:rFonts w:cs="Arial"/>
                <w:szCs w:val="18"/>
                <w:lang w:val="sv-SE"/>
              </w:rPr>
              <w:t xml:space="preserve"> (3 x N1 x </w:t>
            </w:r>
            <w:r>
              <w:rPr>
                <w:rFonts w:cs="Arial"/>
                <w:szCs w:val="18"/>
                <w:lang w:val="sv-SE"/>
              </w:rPr>
              <w:t>K1</w:t>
            </w:r>
            <w:r w:rsidRPr="00806346">
              <w:rPr>
                <w:rFonts w:cs="Arial"/>
                <w:szCs w:val="18"/>
                <w:lang w:val="sv-SE"/>
              </w:rPr>
              <w:t>)</w:t>
            </w:r>
          </w:p>
        </w:tc>
      </w:tr>
      <w:tr w:rsidR="00D77779" w:rsidRPr="00885F53" w14:paraId="2F20FD9D"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D00A9DC" w14:textId="77777777" w:rsidR="00D77779" w:rsidRPr="00885F53" w:rsidRDefault="00D77779" w:rsidP="008B25C8">
            <w:pPr>
              <w:pStyle w:val="TAC"/>
            </w:pPr>
            <w:r w:rsidRPr="00C23796">
              <w:rPr>
                <w:rFonts w:cs="Arial"/>
                <w:szCs w:val="18"/>
              </w:rPr>
              <w:t>5.12</w:t>
            </w:r>
          </w:p>
        </w:tc>
        <w:tc>
          <w:tcPr>
            <w:tcW w:w="0" w:type="auto"/>
            <w:tcBorders>
              <w:top w:val="single" w:sz="4" w:space="0" w:color="auto"/>
              <w:left w:val="single" w:sz="4" w:space="0" w:color="auto"/>
              <w:bottom w:val="single" w:sz="4" w:space="0" w:color="auto"/>
              <w:right w:val="single" w:sz="4" w:space="0" w:color="auto"/>
            </w:tcBorders>
            <w:hideMark/>
          </w:tcPr>
          <w:p w14:paraId="3D811651" w14:textId="77777777" w:rsidR="00D77779" w:rsidRPr="00885F53" w:rsidRDefault="00D77779" w:rsidP="008B25C8">
            <w:pPr>
              <w:pStyle w:val="TAC"/>
            </w:pPr>
            <w:r w:rsidRPr="006F2E0A">
              <w:rPr>
                <w:rFonts w:cs="Arial"/>
                <w:szCs w:val="18"/>
              </w:rPr>
              <w:t>117.76</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(23</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1C420083" w14:textId="77777777" w:rsidR="00D77779" w:rsidRPr="00885F53" w:rsidRDefault="00D77779" w:rsidP="008B25C8">
            <w:pPr>
              <w:pStyle w:val="TAC"/>
            </w:pPr>
            <w:r w:rsidRPr="006F2E0A">
              <w:rPr>
                <w:rFonts w:cs="Arial"/>
                <w:szCs w:val="18"/>
              </w:rPr>
              <w:t>5.12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(1</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2B1A6853" w14:textId="77777777" w:rsidR="00D77779" w:rsidRPr="00885F53" w:rsidRDefault="00D77779" w:rsidP="008B25C8">
            <w:pPr>
              <w:pStyle w:val="TAC"/>
            </w:pPr>
            <w:r w:rsidRPr="006F2E0A">
              <w:rPr>
                <w:rFonts w:cs="Arial"/>
                <w:szCs w:val="18"/>
              </w:rPr>
              <w:t>10.24</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r>
      <w:tr w:rsidR="00D77779" w:rsidRPr="00885F53" w14:paraId="142D0E9B"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FAE3220" w14:textId="77777777" w:rsidR="00D77779" w:rsidRPr="00885F53" w:rsidRDefault="00D77779" w:rsidP="008B25C8">
            <w:pPr>
              <w:pStyle w:val="TAC"/>
            </w:pPr>
            <w:r w:rsidRPr="00C23796">
              <w:rPr>
                <w:rFonts w:cs="Arial"/>
                <w:szCs w:val="18"/>
              </w:rPr>
              <w:t>10.24</w:t>
            </w:r>
          </w:p>
        </w:tc>
        <w:tc>
          <w:tcPr>
            <w:tcW w:w="0" w:type="auto"/>
            <w:tcBorders>
              <w:top w:val="single" w:sz="4" w:space="0" w:color="auto"/>
              <w:left w:val="single" w:sz="4" w:space="0" w:color="auto"/>
              <w:bottom w:val="single" w:sz="4" w:space="0" w:color="auto"/>
              <w:right w:val="single" w:sz="4" w:space="0" w:color="auto"/>
            </w:tcBorders>
            <w:hideMark/>
          </w:tcPr>
          <w:p w14:paraId="78C5B10A" w14:textId="77777777" w:rsidR="00D77779" w:rsidRPr="00885F53" w:rsidRDefault="00D77779" w:rsidP="008B25C8">
            <w:pPr>
              <w:pStyle w:val="TAC"/>
            </w:pPr>
            <w:r w:rsidRPr="006F2E0A">
              <w:rPr>
                <w:rFonts w:cs="Arial"/>
                <w:szCs w:val="18"/>
              </w:rPr>
              <w:t>235.52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(23</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5325CE68" w14:textId="77777777" w:rsidR="00D77779" w:rsidRPr="00885F53" w:rsidRDefault="00D77779" w:rsidP="008B25C8">
            <w:pPr>
              <w:pStyle w:val="TAC"/>
            </w:pPr>
            <w:r w:rsidRPr="006F2E0A">
              <w:rPr>
                <w:rFonts w:cs="Arial"/>
                <w:szCs w:val="18"/>
              </w:rPr>
              <w:t>10.24</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(1</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6C6C5CB2" w14:textId="77777777" w:rsidR="00D77779" w:rsidRPr="00885F53" w:rsidRDefault="00D77779" w:rsidP="008B25C8">
            <w:pPr>
              <w:pStyle w:val="TAC"/>
            </w:pPr>
            <w:r w:rsidRPr="006F2E0A">
              <w:rPr>
                <w:rFonts w:cs="Arial"/>
                <w:szCs w:val="18"/>
              </w:rPr>
              <w:t>20.48</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r>
      <w:tr w:rsidR="00D77779" w:rsidRPr="00885F53" w14:paraId="136C4CCC" w14:textId="77777777" w:rsidTr="008B25C8">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1F960031" w14:textId="77777777" w:rsidR="00D77779" w:rsidRPr="006D3EA9" w:rsidRDefault="00D77779" w:rsidP="008B25C8">
            <w:pPr>
              <w:pStyle w:val="TAN"/>
              <w:rPr>
                <w:snapToGrid w:val="0"/>
              </w:rPr>
            </w:pPr>
            <w:r w:rsidRPr="00885F53">
              <w:rPr>
                <w:snapToGrid w:val="0"/>
              </w:rPr>
              <w:t>Note 1</w:t>
            </w:r>
            <w:r w:rsidRPr="00885F53">
              <w:t>:</w:t>
            </w:r>
            <w:r w:rsidRPr="00885F53">
              <w:rPr>
                <w:lang w:val="en-US"/>
              </w:rPr>
              <w:tab/>
            </w:r>
            <w:r w:rsidRPr="009C5807">
              <w:t xml:space="preserve">Applies for </w:t>
            </w:r>
            <w:r>
              <w:t xml:space="preserve">RedCap </w:t>
            </w:r>
            <w:r w:rsidRPr="009C5807">
              <w:t xml:space="preserve">UE </w:t>
            </w:r>
            <w:r>
              <w:t xml:space="preserve">of all </w:t>
            </w:r>
            <w:r w:rsidRPr="009C5807">
              <w:t xml:space="preserve">supporting </w:t>
            </w:r>
            <w:r>
              <w:t xml:space="preserve">FR2 </w:t>
            </w:r>
            <w:r w:rsidRPr="009C5807">
              <w:t>power class</w:t>
            </w:r>
            <w:r>
              <w:t>es</w:t>
            </w:r>
            <w:r w:rsidRPr="00885F53">
              <w:t>.</w:t>
            </w:r>
          </w:p>
          <w:p w14:paraId="58920DE6" w14:textId="77777777" w:rsidR="00D77779" w:rsidRPr="00E95AF7" w:rsidRDefault="00D77779" w:rsidP="008B25C8">
            <w:pPr>
              <w:pStyle w:val="TAN"/>
              <w:rPr>
                <w:snapToGrid w:val="0"/>
              </w:rPr>
            </w:pPr>
            <w:r w:rsidRPr="00885F53">
              <w:rPr>
                <w:snapToGrid w:val="0"/>
              </w:rPr>
              <w:t xml:space="preserve">Note </w:t>
            </w:r>
            <w:r>
              <w:rPr>
                <w:snapToGrid w:val="0"/>
              </w:rPr>
              <w:t>2</w:t>
            </w:r>
            <w:r w:rsidRPr="00885F53">
              <w:t>:</w:t>
            </w:r>
            <w:r w:rsidRPr="00885F53">
              <w:rPr>
                <w:lang w:val="en-US"/>
              </w:rPr>
              <w:tab/>
            </w:r>
            <w:r>
              <w:t>N1 = 3</w:t>
            </w:r>
            <w:r w:rsidRPr="00885F53">
              <w:t>.</w:t>
            </w:r>
          </w:p>
          <w:p w14:paraId="762C0FEF" w14:textId="77777777" w:rsidR="00D77779" w:rsidRPr="00885F53" w:rsidRDefault="00D77779" w:rsidP="008B25C8">
            <w:pPr>
              <w:pStyle w:val="TAN"/>
            </w:pPr>
            <w:r w:rsidRPr="00C23796">
              <w:rPr>
                <w:rFonts w:cs="Arial"/>
                <w:snapToGrid w:val="0"/>
                <w:szCs w:val="18"/>
              </w:rPr>
              <w:t xml:space="preserve">Note </w:t>
            </w:r>
            <w:r>
              <w:rPr>
                <w:rFonts w:cs="Arial"/>
                <w:snapToGrid w:val="0"/>
                <w:szCs w:val="18"/>
              </w:rPr>
              <w:t>3</w:t>
            </w:r>
            <w:r w:rsidRPr="00C23796">
              <w:rPr>
                <w:rFonts w:cs="Arial"/>
                <w:snapToGrid w:val="0"/>
                <w:szCs w:val="18"/>
              </w:rPr>
              <w:t>:</w:t>
            </w:r>
            <w:r w:rsidRPr="00C23796">
              <w:rPr>
                <w:rFonts w:cs="Arial"/>
                <w:snapToGrid w:val="0"/>
                <w:szCs w:val="18"/>
              </w:rPr>
              <w:tab/>
            </w:r>
            <w:r>
              <w:rPr>
                <w:rFonts w:cs="Arial"/>
                <w:snapToGrid w:val="0"/>
                <w:szCs w:val="18"/>
              </w:rPr>
              <w:t>K1</w:t>
            </w:r>
            <w:r w:rsidRPr="00C23796">
              <w:rPr>
                <w:rFonts w:cs="Arial"/>
                <w:snapToGrid w:val="0"/>
                <w:szCs w:val="18"/>
              </w:rPr>
              <w:t xml:space="preserve"> = </w:t>
            </w:r>
            <w:r>
              <w:rPr>
                <w:rFonts w:cs="Arial"/>
                <w:snapToGrid w:val="0"/>
                <w:szCs w:val="18"/>
              </w:rPr>
              <w:t>3</w:t>
            </w:r>
            <w:r w:rsidRPr="00C23796">
              <w:rPr>
                <w:rFonts w:cs="Arial"/>
                <w:snapToGrid w:val="0"/>
                <w:szCs w:val="18"/>
              </w:rPr>
              <w:t xml:space="preserve"> is the measurement relaxation factor applicable for UE fulfilling the </w:t>
            </w:r>
            <w:r w:rsidRPr="00485479">
              <w:rPr>
                <w:i/>
                <w:iCs/>
              </w:rPr>
              <w:t>cellEdgeEvaluation</w:t>
            </w:r>
            <w:r>
              <w:rPr>
                <w:i/>
                <w:iCs/>
              </w:rPr>
              <w:t xml:space="preserve"> </w:t>
            </w:r>
            <w:r w:rsidRPr="00C23796">
              <w:rPr>
                <w:rFonts w:cs="Arial"/>
                <w:snapToGrid w:val="0"/>
                <w:szCs w:val="18"/>
              </w:rPr>
              <w:t>[2] criterion.</w:t>
            </w:r>
          </w:p>
        </w:tc>
      </w:tr>
    </w:tbl>
    <w:p w14:paraId="3CCAE316" w14:textId="77777777" w:rsidR="00D77779" w:rsidRDefault="00D77779" w:rsidP="00D77779">
      <w:pPr>
        <w:rPr>
          <w:noProof/>
        </w:rPr>
      </w:pPr>
    </w:p>
    <w:p w14:paraId="4E768694" w14:textId="77777777" w:rsidR="00D77779" w:rsidRPr="00327784" w:rsidRDefault="00D77779" w:rsidP="00FB48DD">
      <w:pPr>
        <w:pStyle w:val="TH"/>
        <w:rPr>
          <w:lang w:val="en-US"/>
        </w:rPr>
      </w:pPr>
      <w:r w:rsidRPr="00296365">
        <w:rPr>
          <w:lang w:val="en-US"/>
        </w:rPr>
        <w:t>Table 4.2B.2.9.10-</w:t>
      </w:r>
      <w:r>
        <w:rPr>
          <w:lang w:val="en-US"/>
        </w:rPr>
        <w:t>5</w:t>
      </w:r>
      <w:r w:rsidRPr="00327784">
        <w:rPr>
          <w:lang w:val="en-US"/>
        </w:rPr>
        <w:t>: T</w:t>
      </w:r>
      <w:r w:rsidRPr="00327784">
        <w:rPr>
          <w:vertAlign w:val="subscript"/>
          <w:lang w:val="en-US"/>
        </w:rPr>
        <w:t>detect,NR_Intra_RedCap_Relax</w:t>
      </w:r>
      <w:r w:rsidRPr="00327784">
        <w:rPr>
          <w:lang w:val="en-US"/>
        </w:rPr>
        <w:t>, T</w:t>
      </w:r>
      <w:r w:rsidRPr="00327784">
        <w:rPr>
          <w:vertAlign w:val="subscript"/>
          <w:lang w:val="en-US"/>
        </w:rPr>
        <w:t>measure,NR_Intra_RedCap_elax</w:t>
      </w:r>
      <w:r w:rsidRPr="00327784">
        <w:rPr>
          <w:lang w:val="en-US"/>
        </w:rPr>
        <w:t xml:space="preserve"> and T</w:t>
      </w:r>
      <w:r w:rsidRPr="00327784">
        <w:rPr>
          <w:vertAlign w:val="subscript"/>
          <w:lang w:val="en-US"/>
        </w:rPr>
        <w:t>evaluate,NR_Intra_RedCap_Relax</w:t>
      </w:r>
      <w:r w:rsidRPr="00327784">
        <w:rPr>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718"/>
        <w:gridCol w:w="885"/>
        <w:gridCol w:w="2670"/>
        <w:gridCol w:w="2116"/>
        <w:gridCol w:w="2103"/>
      </w:tblGrid>
      <w:tr w:rsidR="00D77779" w:rsidRPr="00B85562" w14:paraId="32EDFB80" w14:textId="77777777" w:rsidTr="008B25C8">
        <w:trPr>
          <w:trHeight w:val="1692"/>
        </w:trPr>
        <w:tc>
          <w:tcPr>
            <w:tcW w:w="1198" w:type="dxa"/>
            <w:hideMark/>
          </w:tcPr>
          <w:p w14:paraId="3415AF76" w14:textId="77777777" w:rsidR="00D77779" w:rsidRPr="00B11B68" w:rsidRDefault="00D77779" w:rsidP="008B25C8">
            <w:pPr>
              <w:rPr>
                <w:rFonts w:ascii="Arial" w:hAnsi="Arial" w:cs="Arial"/>
                <w:sz w:val="18"/>
                <w:lang w:val="en-US"/>
              </w:rPr>
            </w:pPr>
            <w:r w:rsidRPr="00B11B68">
              <w:rPr>
                <w:rFonts w:ascii="Arial" w:hAnsi="Arial" w:cs="Arial"/>
                <w:b/>
                <w:sz w:val="18"/>
              </w:rPr>
              <w:t>eDRX_IDLE cycle length [s]</w:t>
            </w:r>
          </w:p>
        </w:tc>
        <w:tc>
          <w:tcPr>
            <w:tcW w:w="751" w:type="dxa"/>
            <w:hideMark/>
          </w:tcPr>
          <w:p w14:paraId="3EF91796" w14:textId="77777777" w:rsidR="00D77779" w:rsidRPr="00B11B68" w:rsidRDefault="00D77779" w:rsidP="008B25C8">
            <w:pPr>
              <w:rPr>
                <w:rFonts w:ascii="Arial" w:hAnsi="Arial" w:cs="Arial"/>
                <w:sz w:val="18"/>
                <w:lang w:val="en-US"/>
              </w:rPr>
            </w:pPr>
            <w:r w:rsidRPr="00B11B68">
              <w:rPr>
                <w:rFonts w:ascii="Arial" w:hAnsi="Arial" w:cs="Arial"/>
                <w:b/>
                <w:sz w:val="18"/>
              </w:rPr>
              <w:t>DRX cycle length [s]</w:t>
            </w:r>
          </w:p>
        </w:tc>
        <w:tc>
          <w:tcPr>
            <w:tcW w:w="930" w:type="dxa"/>
            <w:hideMark/>
          </w:tcPr>
          <w:p w14:paraId="750AA789" w14:textId="77777777" w:rsidR="00D77779" w:rsidRPr="00B11B68" w:rsidRDefault="00D77779" w:rsidP="008B25C8">
            <w:pPr>
              <w:rPr>
                <w:rFonts w:ascii="Arial" w:hAnsi="Arial" w:cs="Arial"/>
                <w:sz w:val="18"/>
                <w:lang w:val="en-US"/>
              </w:rPr>
            </w:pPr>
            <w:r w:rsidRPr="00B11B68">
              <w:rPr>
                <w:rFonts w:ascii="Arial" w:hAnsi="Arial" w:cs="Arial"/>
                <w:b/>
                <w:sz w:val="18"/>
              </w:rPr>
              <w:t>PTW length [s] (number of 1.28s periods)</w:t>
            </w:r>
          </w:p>
        </w:tc>
        <w:tc>
          <w:tcPr>
            <w:tcW w:w="2431" w:type="dxa"/>
            <w:hideMark/>
          </w:tcPr>
          <w:p w14:paraId="34CA2F00" w14:textId="77777777" w:rsidR="00D77779" w:rsidRPr="00B11B68" w:rsidRDefault="00D77779" w:rsidP="008B25C8">
            <w:pPr>
              <w:rPr>
                <w:rFonts w:ascii="Arial" w:hAnsi="Arial" w:cs="Arial"/>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detect,NR_Intra_RedCap</w:t>
            </w:r>
            <w:r>
              <w:rPr>
                <w:rFonts w:ascii="Arial" w:hAnsi="Arial" w:cs="Arial"/>
                <w:b/>
                <w:sz w:val="18"/>
                <w:szCs w:val="18"/>
                <w:vertAlign w:val="subscript"/>
                <w:lang w:val="en-US"/>
              </w:rPr>
              <w:t>_Relax</w:t>
            </w:r>
            <w:r w:rsidRPr="00963536">
              <w:rPr>
                <w:rFonts w:ascii="Arial" w:hAnsi="Arial" w:cs="Arial"/>
                <w:b/>
                <w:sz w:val="18"/>
                <w:szCs w:val="18"/>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c>
          <w:tcPr>
            <w:tcW w:w="1860" w:type="dxa"/>
            <w:hideMark/>
          </w:tcPr>
          <w:p w14:paraId="4B79F322" w14:textId="77777777" w:rsidR="00D77779" w:rsidRPr="00B11B68" w:rsidRDefault="00D77779" w:rsidP="008B25C8">
            <w:pPr>
              <w:rPr>
                <w:rFonts w:ascii="Arial" w:hAnsi="Arial" w:cs="Arial"/>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measure,NR_Intra_RedCap</w:t>
            </w:r>
            <w:r>
              <w:rPr>
                <w:rFonts w:ascii="Arial" w:hAnsi="Arial" w:cs="Arial"/>
                <w:b/>
                <w:sz w:val="18"/>
                <w:szCs w:val="18"/>
                <w:vertAlign w:val="subscript"/>
                <w:lang w:val="en-US"/>
              </w:rPr>
              <w:t>_Relax</w:t>
            </w:r>
            <w:r w:rsidRPr="00B11B68">
              <w:rPr>
                <w:rFonts w:ascii="Arial" w:hAnsi="Arial" w:cs="Arial"/>
                <w:b/>
                <w:sz w:val="18"/>
                <w:szCs w:val="18"/>
                <w:lang w:val="en-US"/>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c>
          <w:tcPr>
            <w:tcW w:w="1846" w:type="dxa"/>
          </w:tcPr>
          <w:p w14:paraId="20713AEB" w14:textId="77777777" w:rsidR="00D77779" w:rsidRPr="00B11B68" w:rsidRDefault="00D77779" w:rsidP="008B25C8">
            <w:pPr>
              <w:rPr>
                <w:rFonts w:ascii="Arial" w:hAnsi="Arial" w:cs="Arial"/>
                <w:b/>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evaluate,NR_Intra_RedCap</w:t>
            </w:r>
            <w:r>
              <w:rPr>
                <w:rFonts w:ascii="Arial" w:hAnsi="Arial" w:cs="Arial"/>
                <w:b/>
                <w:sz w:val="18"/>
                <w:szCs w:val="18"/>
                <w:vertAlign w:val="subscript"/>
                <w:lang w:val="en-US"/>
              </w:rPr>
              <w:t>_Relax</w:t>
            </w:r>
            <w:r w:rsidRPr="00B11B68">
              <w:rPr>
                <w:rFonts w:ascii="Arial" w:hAnsi="Arial" w:cs="Arial"/>
                <w:b/>
                <w:sz w:val="18"/>
                <w:szCs w:val="18"/>
                <w:vertAlign w:val="subscript"/>
                <w:lang w:val="en-US"/>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r>
      <w:tr w:rsidR="00D77779" w:rsidRPr="00B85562" w14:paraId="035CFB72" w14:textId="77777777" w:rsidTr="008B25C8">
        <w:trPr>
          <w:trHeight w:val="673"/>
        </w:trPr>
        <w:tc>
          <w:tcPr>
            <w:tcW w:w="1198" w:type="dxa"/>
            <w:vMerge w:val="restart"/>
            <w:hideMark/>
          </w:tcPr>
          <w:p w14:paraId="6ED624D4" w14:textId="77777777" w:rsidR="00D77779" w:rsidRPr="00B11B68" w:rsidRDefault="00D77779" w:rsidP="008B25C8">
            <w:pPr>
              <w:rPr>
                <w:rFonts w:ascii="Arial" w:hAnsi="Arial" w:cs="Arial"/>
                <w:sz w:val="18"/>
                <w:lang w:val="en-US"/>
              </w:rPr>
            </w:pPr>
            <w:r w:rsidRPr="00B11B68">
              <w:rPr>
                <w:rFonts w:ascii="Arial" w:hAnsi="Arial" w:cs="Arial"/>
                <w:sz w:val="18"/>
              </w:rPr>
              <w:t>20.48 ≤</w:t>
            </w:r>
            <w:r w:rsidRPr="00CA7017">
              <w:rPr>
                <w:rFonts w:cs="Arial"/>
              </w:rPr>
              <w:t xml:space="preserve"> </w:t>
            </w:r>
            <w:r w:rsidRPr="00B11B68">
              <w:rPr>
                <w:rFonts w:ascii="Arial" w:hAnsi="Arial" w:cs="Arial"/>
                <w:sz w:val="18"/>
              </w:rPr>
              <w:t xml:space="preserve"> eDRX_IDLE cycle length ≤</w:t>
            </w:r>
            <w:r>
              <w:rPr>
                <w:rFonts w:ascii="Arial" w:hAnsi="Arial" w:cs="Arial"/>
                <w:sz w:val="18"/>
              </w:rPr>
              <w:t>[163.84]</w:t>
            </w:r>
          </w:p>
        </w:tc>
        <w:tc>
          <w:tcPr>
            <w:tcW w:w="751" w:type="dxa"/>
            <w:hideMark/>
          </w:tcPr>
          <w:p w14:paraId="284FD639" w14:textId="77777777" w:rsidR="00D77779" w:rsidRPr="00B11B68" w:rsidRDefault="00D77779" w:rsidP="008B25C8">
            <w:pPr>
              <w:rPr>
                <w:rFonts w:ascii="Arial" w:hAnsi="Arial" w:cs="Arial"/>
                <w:sz w:val="18"/>
                <w:lang w:val="en-US"/>
              </w:rPr>
            </w:pPr>
            <w:r w:rsidRPr="00B11B68">
              <w:rPr>
                <w:rFonts w:ascii="Arial" w:hAnsi="Arial" w:cs="Arial"/>
                <w:sz w:val="18"/>
              </w:rPr>
              <w:t>0.32</w:t>
            </w:r>
          </w:p>
        </w:tc>
        <w:tc>
          <w:tcPr>
            <w:tcW w:w="930" w:type="dxa"/>
            <w:hideMark/>
          </w:tcPr>
          <w:p w14:paraId="19DA1044" w14:textId="77777777" w:rsidR="00D77779" w:rsidRPr="00B11B68" w:rsidRDefault="00D77779" w:rsidP="008B25C8">
            <w:pPr>
              <w:rPr>
                <w:rFonts w:ascii="Arial" w:hAnsi="Arial" w:cs="Arial"/>
                <w:sz w:val="18"/>
                <w:lang w:val="en-US"/>
              </w:rPr>
            </w:pPr>
            <w:r w:rsidRPr="00B11B68">
              <w:rPr>
                <w:rFonts w:ascii="Arial" w:hAnsi="Arial" w:cs="Arial"/>
                <w:sz w:val="18"/>
              </w:rPr>
              <w:t>≥</w:t>
            </w:r>
            <w:r>
              <w:rPr>
                <w:rFonts w:ascii="Arial" w:hAnsi="Arial" w:cs="Arial"/>
                <w:sz w:val="18"/>
                <w:lang w:val="en-US"/>
              </w:rPr>
              <w:t>[</w:t>
            </w:r>
            <w:r>
              <w:rPr>
                <w:rFonts w:ascii="Arial" w:hAnsi="Arial" w:cs="Arial"/>
                <w:sz w:val="18"/>
              </w:rPr>
              <w:t>3.84]</w:t>
            </w:r>
            <w:r w:rsidRPr="00B11B68">
              <w:rPr>
                <w:rFonts w:ascii="Arial" w:hAnsi="Arial" w:cs="Arial"/>
                <w:sz w:val="18"/>
              </w:rPr>
              <w:t xml:space="preserve"> (</w:t>
            </w:r>
            <w:r>
              <w:rPr>
                <w:rFonts w:ascii="Arial" w:hAnsi="Arial" w:cs="Arial"/>
                <w:sz w:val="18"/>
              </w:rPr>
              <w:t>[3]</w:t>
            </w:r>
            <w:r w:rsidRPr="00B11B68">
              <w:rPr>
                <w:rFonts w:ascii="Arial" w:hAnsi="Arial" w:cs="Arial"/>
                <w:sz w:val="18"/>
              </w:rPr>
              <w:t>)</w:t>
            </w:r>
          </w:p>
        </w:tc>
        <w:tc>
          <w:tcPr>
            <w:tcW w:w="2431" w:type="dxa"/>
            <w:vMerge w:val="restart"/>
            <w:hideMark/>
          </w:tcPr>
          <w:p w14:paraId="5DAEC616" w14:textId="77777777" w:rsidR="00D77779" w:rsidRPr="00B11B68" w:rsidRDefault="00D77779" w:rsidP="008B25C8">
            <w:pPr>
              <w:rPr>
                <w:rFonts w:ascii="Arial" w:hAnsi="Arial" w:cs="Arial"/>
                <w:sz w:val="18"/>
                <w:lang w:val="en-US"/>
              </w:rPr>
            </w:pPr>
            <m:oMathPara>
              <m:oMathParaPr>
                <m:jc m:val="centerGroup"/>
              </m:oMathParaPr>
              <m:oMath>
                <m:r>
                  <w:rPr>
                    <w:rFonts w:ascii="Cambria Math" w:hAnsi="Cambria Math" w:cs="Arial"/>
                    <w:sz w:val="18"/>
                    <w:lang w:val="en-US"/>
                  </w:rPr>
                  <m:t>eDRX</m:t>
                </m:r>
                <m:r>
                  <m:rPr>
                    <m:sty m:val="p"/>
                  </m:rPr>
                  <w:rPr>
                    <w:rFonts w:ascii="Cambria Math" w:hAnsi="Cambria Math" w:cs="Arial"/>
                    <w:sz w:val="18"/>
                    <w:lang w:val="en-US"/>
                  </w:rPr>
                  <m:t>_</m:t>
                </m:r>
                <m:r>
                  <w:rPr>
                    <w:rFonts w:ascii="Cambria Math" w:hAnsi="Cambria Math" w:cs="Arial"/>
                    <w:sz w:val="18"/>
                    <w:lang w:val="en-US"/>
                  </w:rPr>
                  <m:t>cycl</m:t>
                </m:r>
                <m:r>
                  <m:rPr>
                    <m:sty m:val="p"/>
                  </m:rPr>
                  <w:rPr>
                    <w:rFonts w:ascii="Cambria Math" w:hAnsi="Cambria Math" w:cs="Arial"/>
                    <w:sz w:val="18"/>
                    <w:lang w:val="en-US"/>
                  </w:rPr>
                  <m:t>e_</m:t>
                </m:r>
                <m:r>
                  <w:rPr>
                    <w:rFonts w:ascii="Cambria Math" w:hAnsi="Cambria Math" w:cs="Arial"/>
                    <w:sz w:val="18"/>
                    <w:lang w:val="en-US"/>
                  </w:rPr>
                  <m:t>length×</m:t>
                </m:r>
                <m:d>
                  <m:dPr>
                    <m:begChr m:val="⌈"/>
                    <m:endChr m:val="⌉"/>
                    <m:ctrlPr>
                      <w:rPr>
                        <w:rFonts w:ascii="Cambria Math" w:hAnsi="Cambria Math" w:cs="Arial"/>
                        <w:i/>
                        <w:sz w:val="18"/>
                        <w:lang w:val="en-US"/>
                      </w:rPr>
                    </m:ctrlPr>
                  </m:dPr>
                  <m:e>
                    <m:f>
                      <m:fPr>
                        <m:ctrlPr>
                          <w:rPr>
                            <w:rFonts w:ascii="Cambria Math" w:hAnsi="Cambria Math" w:cs="Arial"/>
                            <w:i/>
                            <w:sz w:val="18"/>
                            <w:lang w:val="en-US"/>
                          </w:rPr>
                        </m:ctrlPr>
                      </m:fPr>
                      <m:num>
                        <m:r>
                          <w:rPr>
                            <w:rFonts w:ascii="Cambria Math" w:hAnsi="Cambria Math" w:cs="Arial"/>
                            <w:sz w:val="18"/>
                            <w:lang w:val="en-US"/>
                          </w:rPr>
                          <m:t>23</m:t>
                        </m:r>
                      </m:num>
                      <m:den>
                        <m:r>
                          <w:rPr>
                            <w:rFonts w:ascii="Cambria Math" w:hAnsi="Cambria Math" w:cs="Arial"/>
                            <w:sz w:val="18"/>
                            <w:lang w:val="en-US"/>
                          </w:rPr>
                          <m:t>PTW/DRX_cycle_length</m:t>
                        </m:r>
                      </m:den>
                    </m:f>
                  </m:e>
                </m:d>
                <m:r>
                  <m:rPr>
                    <m:sty m:val="p"/>
                  </m:rPr>
                  <w:rPr>
                    <w:rFonts w:ascii="Cambria Math" w:hAnsi="Cambria Math"/>
                    <w:lang w:val="sv-SE"/>
                  </w:rPr>
                  <m:t xml:space="preserve">x </m:t>
                </m:r>
                <m:r>
                  <m:rPr>
                    <m:sty m:val="p"/>
                  </m:rPr>
                  <w:rPr>
                    <w:rFonts w:ascii="Cambria Math" w:hAnsi="Cambria Math" w:cs="Arial"/>
                    <w:lang w:val="sv-SE"/>
                  </w:rPr>
                  <m:t>K1</m:t>
                </m:r>
              </m:oMath>
            </m:oMathPara>
          </w:p>
          <w:p w14:paraId="14F21B7A" w14:textId="77777777" w:rsidR="00D77779" w:rsidRPr="00B11B68" w:rsidRDefault="00D77779" w:rsidP="008B25C8">
            <w:pPr>
              <w:rPr>
                <w:rFonts w:ascii="Arial" w:hAnsi="Arial" w:cs="Arial"/>
                <w:sz w:val="18"/>
                <w:lang w:val="en-US"/>
              </w:rPr>
            </w:pPr>
            <w:r w:rsidRPr="00B11B68">
              <w:rPr>
                <w:rFonts w:ascii="Arial" w:hAnsi="Arial" w:cs="Arial"/>
                <w:sz w:val="18"/>
                <w:lang w:val="en-US"/>
              </w:rPr>
              <w:t>(23</w:t>
            </w:r>
            <w:r w:rsidRPr="0082197E">
              <w:rPr>
                <w:lang w:val="sv-SE"/>
              </w:rPr>
              <w:t xml:space="preserve"> x </w:t>
            </w:r>
            <w:r>
              <w:rPr>
                <w:rFonts w:cs="Arial"/>
                <w:lang w:val="sv-SE"/>
              </w:rPr>
              <w:t>K1</w:t>
            </w:r>
            <w:r w:rsidRPr="00B11B68">
              <w:rPr>
                <w:rFonts w:ascii="Arial" w:hAnsi="Arial" w:cs="Arial"/>
                <w:sz w:val="18"/>
                <w:lang w:val="en-US"/>
              </w:rPr>
              <w:t>)</w:t>
            </w:r>
          </w:p>
        </w:tc>
        <w:tc>
          <w:tcPr>
            <w:tcW w:w="1860" w:type="dxa"/>
            <w:hideMark/>
          </w:tcPr>
          <w:p w14:paraId="2714D6DD" w14:textId="77777777" w:rsidR="00D77779" w:rsidRPr="00896DB0" w:rsidRDefault="00D77779" w:rsidP="008B25C8">
            <w:pPr>
              <w:rPr>
                <w:rFonts w:ascii="Arial" w:hAnsi="Arial" w:cs="Arial"/>
                <w:sz w:val="18"/>
              </w:rPr>
            </w:pPr>
            <w:r w:rsidRPr="00B11B68">
              <w:rPr>
                <w:rFonts w:ascii="Arial" w:hAnsi="Arial" w:cs="Arial"/>
                <w:sz w:val="18"/>
              </w:rPr>
              <w:t>0.32</w:t>
            </w:r>
            <w:r w:rsidRPr="00896DB0">
              <w:rPr>
                <w:rFonts w:ascii="Arial" w:hAnsi="Arial" w:cs="Arial"/>
                <w:sz w:val="18"/>
              </w:rPr>
              <w:t xml:space="preserve"> x M2 x K1</w:t>
            </w:r>
            <w:r w:rsidRPr="00B11B68">
              <w:rPr>
                <w:rFonts w:ascii="Arial" w:hAnsi="Arial" w:cs="Arial"/>
                <w:sz w:val="18"/>
              </w:rPr>
              <w:t xml:space="preserve"> (1</w:t>
            </w:r>
            <w:r w:rsidRPr="00896DB0">
              <w:rPr>
                <w:rFonts w:ascii="Arial" w:hAnsi="Arial" w:cs="Arial"/>
                <w:sz w:val="18"/>
              </w:rPr>
              <w:t xml:space="preserve"> x M2 x K1</w:t>
            </w:r>
            <w:r w:rsidRPr="00B11B68">
              <w:rPr>
                <w:rFonts w:ascii="Arial" w:hAnsi="Arial" w:cs="Arial"/>
                <w:sz w:val="18"/>
              </w:rPr>
              <w:t>)</w:t>
            </w:r>
          </w:p>
        </w:tc>
        <w:tc>
          <w:tcPr>
            <w:tcW w:w="1846" w:type="dxa"/>
          </w:tcPr>
          <w:p w14:paraId="658390F5" w14:textId="77777777" w:rsidR="00D77779" w:rsidRDefault="00D77779" w:rsidP="008B25C8">
            <w:pPr>
              <w:rPr>
                <w:rFonts w:ascii="Arial" w:hAnsi="Arial" w:cs="Arial"/>
                <w:sz w:val="18"/>
              </w:rPr>
            </w:pPr>
            <w:r w:rsidRPr="00896DB0">
              <w:rPr>
                <w:rFonts w:ascii="Arial" w:hAnsi="Arial" w:cs="Arial"/>
                <w:sz w:val="18"/>
              </w:rPr>
              <w:t>0.64 x M2 x K1 (2 x M2 x K1)</w:t>
            </w:r>
          </w:p>
        </w:tc>
      </w:tr>
      <w:tr w:rsidR="00D77779" w:rsidRPr="00B85562" w14:paraId="5640CCEB" w14:textId="77777777" w:rsidTr="008B25C8">
        <w:trPr>
          <w:trHeight w:val="336"/>
        </w:trPr>
        <w:tc>
          <w:tcPr>
            <w:tcW w:w="1198" w:type="dxa"/>
            <w:vMerge/>
            <w:hideMark/>
          </w:tcPr>
          <w:p w14:paraId="2127023B" w14:textId="77777777" w:rsidR="00D77779" w:rsidRPr="00B11B68" w:rsidRDefault="00D77779" w:rsidP="008B25C8">
            <w:pPr>
              <w:rPr>
                <w:rFonts w:ascii="Arial" w:hAnsi="Arial" w:cs="Arial"/>
                <w:sz w:val="18"/>
                <w:lang w:val="en-US"/>
              </w:rPr>
            </w:pPr>
          </w:p>
        </w:tc>
        <w:tc>
          <w:tcPr>
            <w:tcW w:w="751" w:type="dxa"/>
            <w:hideMark/>
          </w:tcPr>
          <w:p w14:paraId="708D65A6" w14:textId="77777777" w:rsidR="00D77779" w:rsidRPr="00B11B68" w:rsidRDefault="00D77779" w:rsidP="008B25C8">
            <w:pPr>
              <w:rPr>
                <w:rFonts w:ascii="Arial" w:hAnsi="Arial" w:cs="Arial"/>
                <w:sz w:val="18"/>
                <w:lang w:val="en-US"/>
              </w:rPr>
            </w:pPr>
            <w:r w:rsidRPr="00B11B68">
              <w:rPr>
                <w:rFonts w:ascii="Arial" w:hAnsi="Arial" w:cs="Arial"/>
                <w:sz w:val="18"/>
              </w:rPr>
              <w:t>0.64</w:t>
            </w:r>
          </w:p>
        </w:tc>
        <w:tc>
          <w:tcPr>
            <w:tcW w:w="930" w:type="dxa"/>
            <w:hideMark/>
          </w:tcPr>
          <w:p w14:paraId="7B8197CC" w14:textId="77777777" w:rsidR="00D77779" w:rsidRPr="00B11B68" w:rsidRDefault="00D77779" w:rsidP="008B25C8">
            <w:pPr>
              <w:rPr>
                <w:rFonts w:ascii="Arial" w:hAnsi="Arial" w:cs="Arial"/>
                <w:sz w:val="18"/>
                <w:lang w:val="en-US"/>
              </w:rPr>
            </w:pPr>
            <w:r w:rsidRPr="00B11B68">
              <w:rPr>
                <w:rFonts w:ascii="Arial" w:hAnsi="Arial" w:cs="Arial"/>
                <w:sz w:val="18"/>
              </w:rPr>
              <w:t>≥</w:t>
            </w:r>
            <w:r>
              <w:rPr>
                <w:rFonts w:ascii="Arial" w:hAnsi="Arial" w:cs="Arial"/>
                <w:sz w:val="18"/>
                <w:lang w:val="en-US"/>
              </w:rPr>
              <w:t>[</w:t>
            </w:r>
            <w:r>
              <w:rPr>
                <w:rFonts w:ascii="Arial" w:hAnsi="Arial" w:cs="Arial"/>
                <w:sz w:val="18"/>
              </w:rPr>
              <w:t>3.84]</w:t>
            </w:r>
            <w:r w:rsidRPr="00B11B68">
              <w:rPr>
                <w:rFonts w:ascii="Arial" w:hAnsi="Arial" w:cs="Arial"/>
                <w:sz w:val="18"/>
              </w:rPr>
              <w:t xml:space="preserve"> (</w:t>
            </w:r>
            <w:r>
              <w:rPr>
                <w:rFonts w:ascii="Arial" w:hAnsi="Arial" w:cs="Arial"/>
                <w:sz w:val="18"/>
              </w:rPr>
              <w:t>[3]</w:t>
            </w:r>
            <w:r w:rsidRPr="00B11B68">
              <w:rPr>
                <w:rFonts w:ascii="Arial" w:hAnsi="Arial" w:cs="Arial"/>
                <w:sz w:val="18"/>
              </w:rPr>
              <w:t>)</w:t>
            </w:r>
          </w:p>
        </w:tc>
        <w:tc>
          <w:tcPr>
            <w:tcW w:w="2431" w:type="dxa"/>
            <w:vMerge/>
            <w:hideMark/>
          </w:tcPr>
          <w:p w14:paraId="35A96F1C" w14:textId="77777777" w:rsidR="00D77779" w:rsidRPr="00B11B68" w:rsidRDefault="00D77779" w:rsidP="008B25C8">
            <w:pPr>
              <w:rPr>
                <w:rFonts w:ascii="Arial" w:hAnsi="Arial" w:cs="Arial"/>
                <w:sz w:val="18"/>
                <w:lang w:val="en-US"/>
              </w:rPr>
            </w:pPr>
          </w:p>
        </w:tc>
        <w:tc>
          <w:tcPr>
            <w:tcW w:w="1860" w:type="dxa"/>
            <w:hideMark/>
          </w:tcPr>
          <w:p w14:paraId="401864B5" w14:textId="77777777" w:rsidR="00D77779" w:rsidRPr="00896DB0" w:rsidRDefault="00D77779" w:rsidP="008B25C8">
            <w:pPr>
              <w:rPr>
                <w:rFonts w:ascii="Arial" w:hAnsi="Arial" w:cs="Arial"/>
                <w:sz w:val="18"/>
              </w:rPr>
            </w:pPr>
            <w:r w:rsidRPr="00B11B68">
              <w:rPr>
                <w:rFonts w:ascii="Arial" w:hAnsi="Arial" w:cs="Arial"/>
                <w:sz w:val="18"/>
              </w:rPr>
              <w:t>0.64</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02DC3DF0" w14:textId="77777777" w:rsidR="00D77779" w:rsidRPr="00B11B68" w:rsidRDefault="00D77779" w:rsidP="008B25C8">
            <w:pPr>
              <w:rPr>
                <w:rFonts w:ascii="Arial" w:hAnsi="Arial" w:cs="Arial"/>
                <w:sz w:val="18"/>
              </w:rPr>
            </w:pPr>
            <w:r w:rsidRPr="00B11B68">
              <w:rPr>
                <w:rFonts w:ascii="Arial" w:hAnsi="Arial" w:cs="Arial"/>
                <w:sz w:val="18"/>
              </w:rPr>
              <w:t>1.28</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D77779" w:rsidRPr="00B85562" w14:paraId="6CB2718C" w14:textId="77777777" w:rsidTr="008B25C8">
        <w:trPr>
          <w:trHeight w:val="336"/>
        </w:trPr>
        <w:tc>
          <w:tcPr>
            <w:tcW w:w="1198" w:type="dxa"/>
            <w:vMerge/>
            <w:hideMark/>
          </w:tcPr>
          <w:p w14:paraId="0F023E13" w14:textId="77777777" w:rsidR="00D77779" w:rsidRPr="00B11B68" w:rsidRDefault="00D77779" w:rsidP="008B25C8">
            <w:pPr>
              <w:rPr>
                <w:rFonts w:ascii="Arial" w:hAnsi="Arial" w:cs="Arial"/>
                <w:sz w:val="18"/>
                <w:lang w:val="en-US"/>
              </w:rPr>
            </w:pPr>
          </w:p>
        </w:tc>
        <w:tc>
          <w:tcPr>
            <w:tcW w:w="751" w:type="dxa"/>
            <w:hideMark/>
          </w:tcPr>
          <w:p w14:paraId="64141C31" w14:textId="77777777" w:rsidR="00D77779" w:rsidRPr="00B11B68" w:rsidRDefault="00D77779" w:rsidP="008B25C8">
            <w:pPr>
              <w:rPr>
                <w:rFonts w:ascii="Arial" w:hAnsi="Arial" w:cs="Arial"/>
                <w:sz w:val="18"/>
                <w:lang w:val="en-US"/>
              </w:rPr>
            </w:pPr>
            <w:r w:rsidRPr="00B11B68">
              <w:rPr>
                <w:rFonts w:ascii="Arial" w:hAnsi="Arial" w:cs="Arial"/>
                <w:sz w:val="18"/>
              </w:rPr>
              <w:t>1.28</w:t>
            </w:r>
          </w:p>
        </w:tc>
        <w:tc>
          <w:tcPr>
            <w:tcW w:w="930" w:type="dxa"/>
            <w:hideMark/>
          </w:tcPr>
          <w:p w14:paraId="728A73F7" w14:textId="77777777" w:rsidR="00D77779" w:rsidRPr="00B11B68" w:rsidRDefault="00D77779" w:rsidP="008B25C8">
            <w:pPr>
              <w:rPr>
                <w:rFonts w:ascii="Arial" w:hAnsi="Arial" w:cs="Arial"/>
                <w:sz w:val="18"/>
                <w:lang w:val="en-US"/>
              </w:rPr>
            </w:pPr>
            <w:r w:rsidRPr="00B11B68">
              <w:rPr>
                <w:rFonts w:ascii="Arial" w:hAnsi="Arial" w:cs="Arial"/>
                <w:sz w:val="18"/>
              </w:rPr>
              <w:t>≥</w:t>
            </w:r>
            <w:r>
              <w:rPr>
                <w:rFonts w:ascii="Arial" w:hAnsi="Arial" w:cs="Arial"/>
                <w:sz w:val="18"/>
              </w:rPr>
              <w:t>[7.68]</w:t>
            </w:r>
            <w:r w:rsidRPr="00B11B68">
              <w:rPr>
                <w:rFonts w:ascii="Arial" w:hAnsi="Arial" w:cs="Arial"/>
                <w:sz w:val="18"/>
              </w:rPr>
              <w:t xml:space="preserve"> (</w:t>
            </w:r>
            <w:r>
              <w:rPr>
                <w:rFonts w:ascii="Arial" w:hAnsi="Arial" w:cs="Arial"/>
                <w:sz w:val="18"/>
              </w:rPr>
              <w:t>[6]</w:t>
            </w:r>
            <w:r w:rsidRPr="00B11B68">
              <w:rPr>
                <w:rFonts w:ascii="Arial" w:hAnsi="Arial" w:cs="Arial"/>
                <w:sz w:val="18"/>
              </w:rPr>
              <w:t>)</w:t>
            </w:r>
          </w:p>
        </w:tc>
        <w:tc>
          <w:tcPr>
            <w:tcW w:w="2431" w:type="dxa"/>
            <w:vMerge/>
            <w:hideMark/>
          </w:tcPr>
          <w:p w14:paraId="448FC7B6" w14:textId="77777777" w:rsidR="00D77779" w:rsidRPr="00B11B68" w:rsidRDefault="00D77779" w:rsidP="008B25C8">
            <w:pPr>
              <w:rPr>
                <w:rFonts w:ascii="Arial" w:hAnsi="Arial" w:cs="Arial"/>
                <w:sz w:val="18"/>
                <w:lang w:val="en-US"/>
              </w:rPr>
            </w:pPr>
          </w:p>
        </w:tc>
        <w:tc>
          <w:tcPr>
            <w:tcW w:w="1860" w:type="dxa"/>
            <w:hideMark/>
          </w:tcPr>
          <w:p w14:paraId="5AED6A0E" w14:textId="77777777" w:rsidR="00D77779" w:rsidRPr="00896DB0" w:rsidRDefault="00D77779" w:rsidP="008B25C8">
            <w:pPr>
              <w:rPr>
                <w:rFonts w:ascii="Arial" w:hAnsi="Arial" w:cs="Arial"/>
                <w:sz w:val="18"/>
              </w:rPr>
            </w:pPr>
            <w:r w:rsidRPr="00B11B68">
              <w:rPr>
                <w:rFonts w:ascii="Arial" w:hAnsi="Arial" w:cs="Arial"/>
                <w:sz w:val="18"/>
              </w:rPr>
              <w:t>1.28</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610A8C3A" w14:textId="77777777" w:rsidR="00D77779" w:rsidRPr="00B11B68" w:rsidRDefault="00D77779" w:rsidP="008B25C8">
            <w:pPr>
              <w:rPr>
                <w:rFonts w:ascii="Arial" w:hAnsi="Arial" w:cs="Arial"/>
                <w:sz w:val="18"/>
              </w:rPr>
            </w:pPr>
            <w:r w:rsidRPr="00B11B68">
              <w:rPr>
                <w:rFonts w:ascii="Arial" w:hAnsi="Arial" w:cs="Arial"/>
                <w:sz w:val="18"/>
              </w:rPr>
              <w:t>2.56</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D77779" w:rsidRPr="00B85562" w14:paraId="3A86709A" w14:textId="77777777" w:rsidTr="008B25C8">
        <w:trPr>
          <w:trHeight w:val="336"/>
        </w:trPr>
        <w:tc>
          <w:tcPr>
            <w:tcW w:w="1198" w:type="dxa"/>
            <w:vMerge/>
            <w:hideMark/>
          </w:tcPr>
          <w:p w14:paraId="14BAF7F4" w14:textId="77777777" w:rsidR="00D77779" w:rsidRPr="00B11B68" w:rsidRDefault="00D77779" w:rsidP="008B25C8">
            <w:pPr>
              <w:rPr>
                <w:rFonts w:ascii="Arial" w:hAnsi="Arial" w:cs="Arial"/>
                <w:sz w:val="18"/>
                <w:lang w:val="en-US"/>
              </w:rPr>
            </w:pPr>
          </w:p>
        </w:tc>
        <w:tc>
          <w:tcPr>
            <w:tcW w:w="751" w:type="dxa"/>
            <w:hideMark/>
          </w:tcPr>
          <w:p w14:paraId="63C71B4A" w14:textId="77777777" w:rsidR="00D77779" w:rsidRPr="00B11B68" w:rsidRDefault="00D77779" w:rsidP="008B25C8">
            <w:pPr>
              <w:rPr>
                <w:rFonts w:ascii="Arial" w:hAnsi="Arial" w:cs="Arial"/>
                <w:sz w:val="18"/>
                <w:lang w:val="en-US"/>
              </w:rPr>
            </w:pPr>
            <w:r w:rsidRPr="00B11B68">
              <w:rPr>
                <w:rFonts w:ascii="Arial" w:hAnsi="Arial" w:cs="Arial"/>
                <w:sz w:val="18"/>
              </w:rPr>
              <w:t>2.56</w:t>
            </w:r>
          </w:p>
        </w:tc>
        <w:tc>
          <w:tcPr>
            <w:tcW w:w="930" w:type="dxa"/>
            <w:hideMark/>
          </w:tcPr>
          <w:p w14:paraId="686EC2F1" w14:textId="77777777" w:rsidR="00D77779" w:rsidRPr="00B11B68" w:rsidRDefault="00D77779" w:rsidP="008B25C8">
            <w:pPr>
              <w:rPr>
                <w:rFonts w:ascii="Arial" w:hAnsi="Arial" w:cs="Arial"/>
                <w:sz w:val="18"/>
                <w:lang w:val="en-US"/>
              </w:rPr>
            </w:pPr>
            <w:r w:rsidRPr="00B11B68">
              <w:rPr>
                <w:rFonts w:ascii="Arial" w:hAnsi="Arial" w:cs="Arial"/>
                <w:sz w:val="18"/>
              </w:rPr>
              <w:t>≥</w:t>
            </w:r>
            <w:r>
              <w:rPr>
                <w:rFonts w:ascii="Arial" w:hAnsi="Arial" w:cs="Arial"/>
                <w:sz w:val="18"/>
              </w:rPr>
              <w:t>[15.36]</w:t>
            </w:r>
            <w:r w:rsidRPr="00B11B68">
              <w:rPr>
                <w:rFonts w:ascii="Arial" w:hAnsi="Arial" w:cs="Arial"/>
                <w:sz w:val="18"/>
              </w:rPr>
              <w:t xml:space="preserve"> (</w:t>
            </w:r>
            <w:r>
              <w:rPr>
                <w:rFonts w:ascii="Arial" w:hAnsi="Arial" w:cs="Arial"/>
                <w:sz w:val="18"/>
              </w:rPr>
              <w:t>[12]</w:t>
            </w:r>
            <w:r w:rsidRPr="00B11B68">
              <w:rPr>
                <w:rFonts w:ascii="Arial" w:hAnsi="Arial" w:cs="Arial"/>
                <w:sz w:val="18"/>
              </w:rPr>
              <w:t>)</w:t>
            </w:r>
          </w:p>
        </w:tc>
        <w:tc>
          <w:tcPr>
            <w:tcW w:w="2431" w:type="dxa"/>
            <w:vMerge/>
            <w:hideMark/>
          </w:tcPr>
          <w:p w14:paraId="7C398851" w14:textId="77777777" w:rsidR="00D77779" w:rsidRPr="00B11B68" w:rsidRDefault="00D77779" w:rsidP="008B25C8">
            <w:pPr>
              <w:rPr>
                <w:rFonts w:ascii="Arial" w:hAnsi="Arial" w:cs="Arial"/>
                <w:sz w:val="18"/>
                <w:lang w:val="en-US"/>
              </w:rPr>
            </w:pPr>
          </w:p>
        </w:tc>
        <w:tc>
          <w:tcPr>
            <w:tcW w:w="1860" w:type="dxa"/>
            <w:hideMark/>
          </w:tcPr>
          <w:p w14:paraId="462F736D" w14:textId="77777777" w:rsidR="00D77779" w:rsidRPr="00896DB0" w:rsidRDefault="00D77779" w:rsidP="008B25C8">
            <w:pPr>
              <w:rPr>
                <w:rFonts w:ascii="Arial" w:hAnsi="Arial" w:cs="Arial"/>
                <w:sz w:val="18"/>
              </w:rPr>
            </w:pPr>
            <w:r w:rsidRPr="00B11B68">
              <w:rPr>
                <w:rFonts w:ascii="Arial" w:hAnsi="Arial" w:cs="Arial"/>
                <w:sz w:val="18"/>
              </w:rPr>
              <w:t>2.56</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256BFAEF" w14:textId="77777777" w:rsidR="00D77779" w:rsidRPr="00B11B68" w:rsidRDefault="00D77779" w:rsidP="008B25C8">
            <w:pPr>
              <w:rPr>
                <w:rFonts w:ascii="Arial" w:hAnsi="Arial" w:cs="Arial"/>
                <w:sz w:val="18"/>
              </w:rPr>
            </w:pPr>
            <w:r w:rsidRPr="00B11B68">
              <w:rPr>
                <w:rFonts w:ascii="Arial" w:hAnsi="Arial" w:cs="Arial"/>
                <w:sz w:val="18"/>
              </w:rPr>
              <w:t>5.12</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D77779" w:rsidRPr="00B85562" w14:paraId="7C847BFA" w14:textId="77777777" w:rsidTr="008B25C8">
        <w:trPr>
          <w:trHeight w:val="336"/>
        </w:trPr>
        <w:tc>
          <w:tcPr>
            <w:tcW w:w="9016" w:type="dxa"/>
            <w:gridSpan w:val="6"/>
          </w:tcPr>
          <w:p w14:paraId="529A8C40" w14:textId="77777777" w:rsidR="00D77779" w:rsidRPr="009C5807" w:rsidRDefault="00D77779" w:rsidP="008B25C8">
            <w:pPr>
              <w:pStyle w:val="TAN"/>
              <w:rPr>
                <w:snapToGrid w:val="0"/>
              </w:rPr>
            </w:pPr>
            <w:r w:rsidRPr="009C5807">
              <w:rPr>
                <w:snapToGrid w:val="0"/>
              </w:rPr>
              <w:t>Note 1</w:t>
            </w:r>
            <w:r w:rsidRPr="009C5807">
              <w:t>:</w:t>
            </w:r>
            <w:r w:rsidRPr="009C5807">
              <w:rPr>
                <w:lang w:val="en-US"/>
              </w:rPr>
              <w:tab/>
            </w:r>
            <w:r w:rsidRPr="000C5ADE">
              <w:rPr>
                <w:snapToGrid w:val="0"/>
              </w:rPr>
              <w:t>The number of DRX cycles in this table is given for the DRX cycles within PTWs.</w:t>
            </w:r>
          </w:p>
          <w:p w14:paraId="0E0357F5" w14:textId="77777777" w:rsidR="00D77779" w:rsidRPr="009C5807" w:rsidRDefault="00D77779" w:rsidP="008B25C8">
            <w:pPr>
              <w:pStyle w:val="TAN"/>
              <w:rPr>
                <w:snapToGrid w:val="0"/>
              </w:rPr>
            </w:pPr>
            <w:r w:rsidRPr="009C5807">
              <w:rPr>
                <w:snapToGrid w:val="0"/>
              </w:rPr>
              <w:t xml:space="preserve">Note </w:t>
            </w:r>
            <w:r>
              <w:rPr>
                <w:snapToGrid w:val="0"/>
              </w:rPr>
              <w:t>2</w:t>
            </w:r>
            <w:r w:rsidRPr="009C5807">
              <w:t>:</w:t>
            </w:r>
            <w:r w:rsidRPr="009C5807">
              <w:rPr>
                <w:lang w:val="en-US"/>
              </w:rPr>
              <w:tab/>
            </w:r>
            <w:r w:rsidRPr="000C5ADE">
              <w:rPr>
                <w:snapToGrid w:val="0"/>
              </w:rPr>
              <w:t>The eDRX_IDLE cycle lengths are as specified in Section 10.5.5.32 of TS 24.008 [34].</w:t>
            </w:r>
          </w:p>
          <w:p w14:paraId="31520A47" w14:textId="77777777" w:rsidR="00D77779" w:rsidRDefault="00D77779" w:rsidP="008B25C8">
            <w:pPr>
              <w:pStyle w:val="TAN"/>
              <w:rPr>
                <w:rFonts w:cs="Arial"/>
                <w:iCs/>
              </w:rPr>
            </w:pPr>
            <w:r w:rsidRPr="009C5807">
              <w:rPr>
                <w:snapToGrid w:val="0"/>
              </w:rPr>
              <w:t>Note</w:t>
            </w:r>
            <w:r w:rsidRPr="00691C10">
              <w:rPr>
                <w:rFonts w:cs="Arial"/>
              </w:rPr>
              <w:t xml:space="preserve"> </w:t>
            </w:r>
            <w:r>
              <w:rPr>
                <w:rFonts w:cs="Arial"/>
              </w:rPr>
              <w:t>3</w:t>
            </w:r>
            <w:r w:rsidRPr="00691C10">
              <w:rPr>
                <w:rFonts w:cs="Arial"/>
              </w:rPr>
              <w:t>:</w:t>
            </w:r>
            <w:r w:rsidRPr="009C5807">
              <w:rPr>
                <w:lang w:val="en-US"/>
              </w:rPr>
              <w:t xml:space="preserve"> </w:t>
            </w:r>
            <w:r w:rsidRPr="009C5807">
              <w:rPr>
                <w:lang w:val="en-US"/>
              </w:rPr>
              <w:tab/>
            </w:r>
            <w:r>
              <w:rPr>
                <w:rFonts w:cs="Arial"/>
              </w:rPr>
              <w:t xml:space="preserve">The lower bound of </w:t>
            </w:r>
            <w:r w:rsidRPr="007D1E39">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evaluate,NR_Intra_RedCap</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Pr>
                <w:rFonts w:cs="Arial"/>
                <w:iCs/>
              </w:rPr>
              <w:t>.</w:t>
            </w:r>
          </w:p>
          <w:p w14:paraId="33610914" w14:textId="77777777" w:rsidR="00D77779" w:rsidRDefault="00D77779" w:rsidP="008B25C8">
            <w:pPr>
              <w:pStyle w:val="TAN"/>
              <w:rPr>
                <w:snapToGrid w:val="0"/>
              </w:rPr>
            </w:pPr>
            <w:r w:rsidRPr="009C5807">
              <w:rPr>
                <w:snapToGrid w:val="0"/>
              </w:rPr>
              <w:t xml:space="preserve">Note </w:t>
            </w:r>
            <w:r>
              <w:rPr>
                <w:snapToGrid w:val="0"/>
              </w:rPr>
              <w:t>4</w:t>
            </w:r>
            <w:r w:rsidRPr="009C5807">
              <w:rPr>
                <w:snapToGrid w:val="0"/>
              </w:rPr>
              <w:t>:</w:t>
            </w:r>
            <w:r w:rsidRPr="009C5807">
              <w:rPr>
                <w:lang w:val="en-US"/>
              </w:rPr>
              <w:tab/>
            </w:r>
            <w:r w:rsidRPr="009C5807">
              <w:rPr>
                <w:snapToGrid w:val="0"/>
              </w:rPr>
              <w:t>M2 = 1.5 if SMTC periodicity</w:t>
            </w:r>
            <w:r w:rsidRPr="009C5807">
              <w:t xml:space="preserve"> </w:t>
            </w:r>
            <w:r w:rsidRPr="009C5807">
              <w:rPr>
                <w:snapToGrid w:val="0"/>
              </w:rPr>
              <w:t>of measured intra-frequency cell &gt; 20 ms; otherwise M2=1.</w:t>
            </w:r>
            <w:r>
              <w:t xml:space="preserve"> </w:t>
            </w:r>
          </w:p>
          <w:p w14:paraId="2CA62274" w14:textId="77777777" w:rsidR="00D77779" w:rsidRPr="0082197E" w:rsidRDefault="00D77779" w:rsidP="008B25C8">
            <w:pPr>
              <w:pStyle w:val="TAN"/>
              <w:rPr>
                <w:snapToGrid w:val="0"/>
              </w:rPr>
            </w:pPr>
            <w:r>
              <w:rPr>
                <w:snapToGrid w:val="0"/>
              </w:rPr>
              <w:t>Note 5:</w:t>
            </w:r>
            <w:r>
              <w:rPr>
                <w:snapToGrid w:val="0"/>
              </w:rPr>
              <w:tab/>
              <w:t>K1</w:t>
            </w:r>
            <w:r w:rsidRPr="002C65ED">
              <w:rPr>
                <w:snapToGrid w:val="0"/>
              </w:rPr>
              <w:t xml:space="preserve"> = </w:t>
            </w:r>
            <w:r>
              <w:rPr>
                <w:snapToGrid w:val="0"/>
              </w:rPr>
              <w:t>3</w:t>
            </w:r>
            <w:r w:rsidRPr="002C65ED">
              <w:rPr>
                <w:snapToGrid w:val="0"/>
              </w:rPr>
              <w:t xml:space="preserve"> is the measurement relaxation factor applicable for UE fulfilling the </w:t>
            </w:r>
            <w:r w:rsidRPr="00485479">
              <w:rPr>
                <w:i/>
                <w:iCs/>
              </w:rPr>
              <w:t>cellEdgeEvaluation</w:t>
            </w:r>
            <w:r>
              <w:rPr>
                <w:i/>
                <w:iCs/>
              </w:rPr>
              <w:t xml:space="preserve"> </w:t>
            </w:r>
            <w:r w:rsidRPr="002C65ED">
              <w:rPr>
                <w:snapToGrid w:val="0"/>
              </w:rPr>
              <w:t>[2] criterion.</w:t>
            </w:r>
          </w:p>
        </w:tc>
      </w:tr>
    </w:tbl>
    <w:p w14:paraId="01951CBC" w14:textId="77777777" w:rsidR="00D77779" w:rsidRDefault="00D77779" w:rsidP="00D77779"/>
    <w:p w14:paraId="507C15F6" w14:textId="77777777" w:rsidR="00D77779" w:rsidRPr="00327784" w:rsidRDefault="00D77779" w:rsidP="00FB48DD">
      <w:pPr>
        <w:pStyle w:val="TH"/>
        <w:rPr>
          <w:lang w:val="en-US"/>
        </w:rPr>
      </w:pPr>
      <w:r w:rsidRPr="00296365">
        <w:rPr>
          <w:lang w:val="en-US"/>
        </w:rPr>
        <w:t>Table 4.2B.2.9.10-</w:t>
      </w:r>
      <w:r>
        <w:rPr>
          <w:lang w:val="en-US"/>
        </w:rPr>
        <w:t>6</w:t>
      </w:r>
      <w:r w:rsidRPr="00327784">
        <w:rPr>
          <w:lang w:val="en-US"/>
        </w:rPr>
        <w:t>: T</w:t>
      </w:r>
      <w:r w:rsidRPr="00327784">
        <w:rPr>
          <w:vertAlign w:val="subscript"/>
          <w:lang w:val="en-US"/>
        </w:rPr>
        <w:t>detect,NR_Intra_RedCap_Relax</w:t>
      </w:r>
      <w:r w:rsidRPr="00327784">
        <w:rPr>
          <w:lang w:val="en-US"/>
        </w:rPr>
        <w:t>, T</w:t>
      </w:r>
      <w:r w:rsidRPr="00327784">
        <w:rPr>
          <w:vertAlign w:val="subscript"/>
          <w:lang w:val="en-US"/>
        </w:rPr>
        <w:t>measure,NR_Intra_RedCap_Relax</w:t>
      </w:r>
      <w:r w:rsidRPr="00327784">
        <w:rPr>
          <w:lang w:val="en-US"/>
        </w:rPr>
        <w:t xml:space="preserve"> and T</w:t>
      </w:r>
      <w:r w:rsidRPr="00327784">
        <w:rPr>
          <w:vertAlign w:val="subscript"/>
          <w:lang w:val="en-US"/>
        </w:rPr>
        <w:t>evaluate,NR_Intra_RedCap_Relax</w:t>
      </w:r>
      <w:r w:rsidRPr="00327784">
        <w:rPr>
          <w:lang w:val="en-US"/>
        </w:rPr>
        <w:t xml:space="preserve"> for UE configured with eDRX_IDLE cycle (Frequency range FR2)</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757"/>
        <w:gridCol w:w="977"/>
        <w:gridCol w:w="882"/>
        <w:gridCol w:w="2408"/>
        <w:gridCol w:w="64"/>
        <w:gridCol w:w="1528"/>
        <w:gridCol w:w="1621"/>
      </w:tblGrid>
      <w:tr w:rsidR="00D77779" w:rsidRPr="00B85562" w14:paraId="48942816" w14:textId="77777777" w:rsidTr="008B25C8">
        <w:trPr>
          <w:trHeight w:val="1692"/>
        </w:trPr>
        <w:tc>
          <w:tcPr>
            <w:tcW w:w="639" w:type="pct"/>
            <w:hideMark/>
          </w:tcPr>
          <w:p w14:paraId="43636B04" w14:textId="77777777" w:rsidR="00D77779" w:rsidRPr="00581E8E" w:rsidRDefault="00D77779" w:rsidP="008B25C8">
            <w:pPr>
              <w:rPr>
                <w:rFonts w:ascii="Arial" w:hAnsi="Arial" w:cs="Arial"/>
                <w:sz w:val="18"/>
                <w:lang w:val="en-US"/>
              </w:rPr>
            </w:pPr>
            <w:r w:rsidRPr="00581E8E">
              <w:rPr>
                <w:rFonts w:ascii="Arial" w:hAnsi="Arial" w:cs="Arial"/>
                <w:b/>
                <w:sz w:val="18"/>
              </w:rPr>
              <w:t>eDRX_IDLE cycle length [s]</w:t>
            </w:r>
          </w:p>
        </w:tc>
        <w:tc>
          <w:tcPr>
            <w:tcW w:w="401" w:type="pct"/>
            <w:hideMark/>
          </w:tcPr>
          <w:p w14:paraId="580D45EE" w14:textId="77777777" w:rsidR="00D77779" w:rsidRPr="00581E8E" w:rsidRDefault="00D77779" w:rsidP="008B25C8">
            <w:pPr>
              <w:rPr>
                <w:rFonts w:ascii="Arial" w:hAnsi="Arial" w:cs="Arial"/>
                <w:sz w:val="18"/>
                <w:lang w:val="en-US"/>
              </w:rPr>
            </w:pPr>
            <w:r w:rsidRPr="00581E8E">
              <w:rPr>
                <w:rFonts w:ascii="Arial" w:hAnsi="Arial" w:cs="Arial"/>
                <w:b/>
                <w:sz w:val="18"/>
              </w:rPr>
              <w:t>DRX cycle length [s]</w:t>
            </w:r>
          </w:p>
        </w:tc>
        <w:tc>
          <w:tcPr>
            <w:tcW w:w="517" w:type="pct"/>
            <w:hideMark/>
          </w:tcPr>
          <w:p w14:paraId="10408E43" w14:textId="77777777" w:rsidR="00D77779" w:rsidRPr="00581E8E" w:rsidRDefault="00D77779" w:rsidP="008B25C8">
            <w:pPr>
              <w:rPr>
                <w:rFonts w:ascii="Arial" w:hAnsi="Arial" w:cs="Arial"/>
                <w:sz w:val="18"/>
                <w:lang w:val="en-US"/>
              </w:rPr>
            </w:pPr>
            <w:r w:rsidRPr="00581E8E">
              <w:rPr>
                <w:rFonts w:ascii="Arial" w:hAnsi="Arial" w:cs="Arial"/>
                <w:b/>
                <w:sz w:val="18"/>
              </w:rPr>
              <w:t>PTW length [s] (number of 1.28s periods)</w:t>
            </w:r>
          </w:p>
        </w:tc>
        <w:tc>
          <w:tcPr>
            <w:tcW w:w="467" w:type="pct"/>
          </w:tcPr>
          <w:p w14:paraId="179E48CE" w14:textId="77777777" w:rsidR="00D77779" w:rsidRPr="00581E8E" w:rsidRDefault="00D77779" w:rsidP="008B25C8">
            <w:pPr>
              <w:rPr>
                <w:rFonts w:ascii="Arial" w:hAnsi="Arial" w:cs="Arial"/>
                <w:b/>
                <w:sz w:val="18"/>
              </w:rPr>
            </w:pPr>
            <w:r w:rsidRPr="00581E8E">
              <w:rPr>
                <w:rFonts w:ascii="Arial" w:hAnsi="Arial" w:cs="Arial"/>
                <w:b/>
                <w:sz w:val="18"/>
              </w:rPr>
              <w:t>Scaling Factor (N1)</w:t>
            </w:r>
            <w:r w:rsidRPr="002615F9">
              <w:rPr>
                <w:rFonts w:ascii="Arial" w:hAnsi="Arial" w:cs="Arial"/>
                <w:vertAlign w:val="superscript"/>
              </w:rPr>
              <w:t xml:space="preserve"> Note1</w:t>
            </w:r>
          </w:p>
        </w:tc>
        <w:tc>
          <w:tcPr>
            <w:tcW w:w="1275" w:type="pct"/>
            <w:hideMark/>
          </w:tcPr>
          <w:p w14:paraId="2E5BBD9C" w14:textId="77777777" w:rsidR="00D77779" w:rsidRPr="00581E8E" w:rsidRDefault="00D77779" w:rsidP="008B25C8">
            <w:pPr>
              <w:rPr>
                <w:rFonts w:ascii="Arial" w:hAnsi="Arial" w:cs="Arial"/>
                <w:sz w:val="18"/>
                <w:lang w:val="en-US"/>
              </w:rPr>
            </w:pPr>
            <w:r w:rsidRPr="00581E8E">
              <w:rPr>
                <w:rFonts w:ascii="Arial" w:hAnsi="Arial" w:cs="Arial"/>
                <w:b/>
                <w:bCs/>
                <w:sz w:val="18"/>
                <w:szCs w:val="18"/>
              </w:rPr>
              <w:t>T</w:t>
            </w:r>
            <w:r w:rsidRPr="00581E8E">
              <w:rPr>
                <w:rFonts w:ascii="Arial" w:hAnsi="Arial" w:cs="Arial"/>
                <w:b/>
                <w:bCs/>
                <w:sz w:val="18"/>
                <w:szCs w:val="18"/>
                <w:vertAlign w:val="subscript"/>
              </w:rPr>
              <w:t>detect,NR_Int</w:t>
            </w:r>
            <w:r>
              <w:rPr>
                <w:rFonts w:ascii="Arial" w:hAnsi="Arial" w:cs="Arial"/>
                <w:b/>
                <w:bCs/>
                <w:sz w:val="18"/>
                <w:szCs w:val="18"/>
                <w:vertAlign w:val="subscript"/>
              </w:rPr>
              <w:t>ra</w:t>
            </w:r>
            <w:r w:rsidRPr="00581E8E">
              <w:rPr>
                <w:rFonts w:ascii="Arial" w:hAnsi="Arial" w:cs="Arial"/>
                <w:b/>
                <w:bCs/>
                <w:sz w:val="18"/>
                <w:szCs w:val="18"/>
                <w:vertAlign w:val="subscript"/>
              </w:rPr>
              <w:t>_RedCap</w:t>
            </w:r>
            <w:r>
              <w:rPr>
                <w:rFonts w:ascii="Arial" w:hAnsi="Arial" w:cs="Arial"/>
                <w:b/>
                <w:bCs/>
                <w:sz w:val="18"/>
                <w:szCs w:val="18"/>
                <w:vertAlign w:val="subscript"/>
              </w:rPr>
              <w:t>_Relax</w:t>
            </w:r>
            <w:r w:rsidRPr="00581E8E">
              <w:rPr>
                <w:rFonts w:ascii="Arial" w:hAnsi="Arial" w:cs="Arial"/>
                <w:b/>
                <w:sz w:val="18"/>
                <w:szCs w:val="18"/>
              </w:rPr>
              <w:t xml:space="preserve"> [s] (number of DRX cycles</w:t>
            </w:r>
            <w:r>
              <w:rPr>
                <w:rFonts w:ascii="Arial" w:hAnsi="Arial" w:cs="Arial"/>
                <w:b/>
                <w:bCs/>
                <w:sz w:val="18"/>
                <w:szCs w:val="18"/>
              </w:rPr>
              <w:t xml:space="preserve"> or eDRX cycles </w:t>
            </w:r>
            <w:r w:rsidRPr="00CD5296">
              <w:rPr>
                <w:rFonts w:ascii="Arial" w:hAnsi="Arial" w:cs="Arial"/>
                <w:b/>
                <w:bCs/>
                <w:sz w:val="18"/>
                <w:szCs w:val="18"/>
                <w:vertAlign w:val="superscript"/>
              </w:rPr>
              <w:t>Note 3</w:t>
            </w:r>
            <w:r w:rsidRPr="00581E8E">
              <w:rPr>
                <w:rFonts w:ascii="Arial" w:hAnsi="Arial" w:cs="Arial"/>
                <w:b/>
                <w:sz w:val="18"/>
                <w:szCs w:val="18"/>
              </w:rPr>
              <w:t>)</w:t>
            </w:r>
          </w:p>
        </w:tc>
        <w:tc>
          <w:tcPr>
            <w:tcW w:w="843" w:type="pct"/>
            <w:gridSpan w:val="2"/>
            <w:hideMark/>
          </w:tcPr>
          <w:p w14:paraId="1085DB0C" w14:textId="77777777" w:rsidR="00D77779" w:rsidRPr="00581E8E" w:rsidRDefault="00D77779" w:rsidP="008B25C8">
            <w:pPr>
              <w:rPr>
                <w:rFonts w:ascii="Arial" w:hAnsi="Arial" w:cs="Arial"/>
                <w:sz w:val="18"/>
                <w:lang w:val="en-US"/>
              </w:rPr>
            </w:pPr>
            <w:r w:rsidRPr="00581E8E">
              <w:rPr>
                <w:rFonts w:ascii="Arial" w:hAnsi="Arial" w:cs="Arial"/>
                <w:b/>
                <w:bCs/>
                <w:sz w:val="18"/>
                <w:szCs w:val="18"/>
              </w:rPr>
              <w:t>T</w:t>
            </w:r>
            <w:r w:rsidRPr="00581E8E">
              <w:rPr>
                <w:rFonts w:ascii="Arial" w:hAnsi="Arial" w:cs="Arial"/>
                <w:b/>
                <w:bCs/>
                <w:sz w:val="18"/>
                <w:szCs w:val="18"/>
                <w:vertAlign w:val="subscript"/>
              </w:rPr>
              <w:t>measure,NR_Int</w:t>
            </w:r>
            <w:r>
              <w:rPr>
                <w:rFonts w:ascii="Arial" w:hAnsi="Arial" w:cs="Arial"/>
                <w:b/>
                <w:bCs/>
                <w:sz w:val="18"/>
                <w:szCs w:val="18"/>
                <w:vertAlign w:val="subscript"/>
              </w:rPr>
              <w:t>ra</w:t>
            </w:r>
            <w:r w:rsidRPr="00581E8E">
              <w:rPr>
                <w:rFonts w:ascii="Arial" w:hAnsi="Arial" w:cs="Arial"/>
                <w:b/>
                <w:bCs/>
                <w:sz w:val="18"/>
                <w:szCs w:val="18"/>
                <w:vertAlign w:val="subscript"/>
              </w:rPr>
              <w:t>_RedCap</w:t>
            </w:r>
            <w:r>
              <w:rPr>
                <w:rFonts w:ascii="Arial" w:hAnsi="Arial" w:cs="Arial"/>
                <w:b/>
                <w:bCs/>
                <w:sz w:val="18"/>
                <w:szCs w:val="18"/>
                <w:vertAlign w:val="subscript"/>
              </w:rPr>
              <w:t>_Relax</w:t>
            </w:r>
            <w:r w:rsidRPr="00581E8E">
              <w:rPr>
                <w:sz w:val="18"/>
                <w:szCs w:val="18"/>
              </w:rPr>
              <w:t xml:space="preserve"> </w:t>
            </w:r>
            <w:r w:rsidRPr="00581E8E">
              <w:rPr>
                <w:rFonts w:ascii="Arial" w:hAnsi="Arial" w:cs="Arial"/>
                <w:b/>
                <w:sz w:val="18"/>
                <w:szCs w:val="18"/>
              </w:rPr>
              <w:t>[s] (number of DRX cycles</w:t>
            </w:r>
            <w:r>
              <w:rPr>
                <w:rFonts w:ascii="Arial" w:hAnsi="Arial" w:cs="Arial"/>
                <w:b/>
                <w:bCs/>
                <w:sz w:val="18"/>
                <w:szCs w:val="18"/>
              </w:rPr>
              <w:t xml:space="preserve"> or eDRX cycles </w:t>
            </w:r>
            <w:r w:rsidRPr="00CD5296">
              <w:rPr>
                <w:rFonts w:ascii="Arial" w:hAnsi="Arial" w:cs="Arial"/>
                <w:b/>
                <w:bCs/>
                <w:sz w:val="18"/>
                <w:szCs w:val="18"/>
                <w:vertAlign w:val="superscript"/>
              </w:rPr>
              <w:t>Note 3</w:t>
            </w:r>
            <w:r w:rsidRPr="00581E8E">
              <w:rPr>
                <w:rFonts w:ascii="Arial" w:hAnsi="Arial" w:cs="Arial"/>
                <w:b/>
                <w:sz w:val="18"/>
                <w:szCs w:val="18"/>
              </w:rPr>
              <w:t>)</w:t>
            </w:r>
          </w:p>
        </w:tc>
        <w:tc>
          <w:tcPr>
            <w:tcW w:w="858" w:type="pct"/>
            <w:hideMark/>
          </w:tcPr>
          <w:p w14:paraId="7A3118DF" w14:textId="77777777" w:rsidR="00D77779" w:rsidRPr="00581E8E" w:rsidRDefault="00D77779" w:rsidP="008B25C8">
            <w:pPr>
              <w:rPr>
                <w:rFonts w:ascii="Arial" w:hAnsi="Arial" w:cs="Arial"/>
                <w:sz w:val="18"/>
                <w:lang w:val="en-US"/>
              </w:rPr>
            </w:pPr>
            <w:r w:rsidRPr="00581E8E">
              <w:rPr>
                <w:rFonts w:ascii="Arial" w:hAnsi="Arial" w:cs="Arial"/>
                <w:b/>
                <w:bCs/>
                <w:sz w:val="18"/>
                <w:szCs w:val="18"/>
              </w:rPr>
              <w:t>T</w:t>
            </w:r>
            <w:r w:rsidRPr="00581E8E">
              <w:rPr>
                <w:rFonts w:ascii="Arial" w:hAnsi="Arial" w:cs="Arial"/>
                <w:b/>
                <w:bCs/>
                <w:sz w:val="18"/>
                <w:szCs w:val="18"/>
                <w:vertAlign w:val="subscript"/>
              </w:rPr>
              <w:t>evaluate,NR_Int</w:t>
            </w:r>
            <w:r>
              <w:rPr>
                <w:rFonts w:ascii="Arial" w:hAnsi="Arial" w:cs="Arial"/>
                <w:b/>
                <w:bCs/>
                <w:sz w:val="18"/>
                <w:szCs w:val="18"/>
                <w:vertAlign w:val="subscript"/>
              </w:rPr>
              <w:t>ra</w:t>
            </w:r>
            <w:r w:rsidRPr="00581E8E">
              <w:rPr>
                <w:rFonts w:ascii="Arial" w:hAnsi="Arial" w:cs="Arial"/>
                <w:b/>
                <w:bCs/>
                <w:sz w:val="18"/>
                <w:szCs w:val="18"/>
                <w:vertAlign w:val="subscript"/>
              </w:rPr>
              <w:t>_RedCap</w:t>
            </w:r>
            <w:r>
              <w:rPr>
                <w:rFonts w:ascii="Arial" w:hAnsi="Arial" w:cs="Arial"/>
                <w:b/>
                <w:bCs/>
                <w:sz w:val="18"/>
                <w:szCs w:val="18"/>
                <w:vertAlign w:val="subscript"/>
              </w:rPr>
              <w:t>_Relax</w:t>
            </w:r>
            <w:r w:rsidRPr="00581E8E">
              <w:rPr>
                <w:sz w:val="18"/>
                <w:szCs w:val="18"/>
                <w:vertAlign w:val="subscript"/>
                <w:lang w:val="en-US"/>
              </w:rPr>
              <w:t xml:space="preserve"> </w:t>
            </w:r>
            <w:r w:rsidRPr="00581E8E">
              <w:rPr>
                <w:rFonts w:ascii="Arial" w:hAnsi="Arial" w:cs="Arial"/>
                <w:b/>
                <w:sz w:val="18"/>
                <w:szCs w:val="18"/>
              </w:rPr>
              <w:t>[s] (number of DRX cycles</w:t>
            </w:r>
            <w:r>
              <w:rPr>
                <w:rFonts w:ascii="Arial" w:hAnsi="Arial" w:cs="Arial"/>
                <w:b/>
                <w:bCs/>
                <w:sz w:val="18"/>
                <w:szCs w:val="18"/>
              </w:rPr>
              <w:t xml:space="preserve"> or eDRX cycles </w:t>
            </w:r>
            <w:r w:rsidRPr="00CD5296">
              <w:rPr>
                <w:rFonts w:ascii="Arial" w:hAnsi="Arial" w:cs="Arial"/>
                <w:b/>
                <w:bCs/>
                <w:sz w:val="18"/>
                <w:szCs w:val="18"/>
                <w:vertAlign w:val="superscript"/>
              </w:rPr>
              <w:t>Note 3</w:t>
            </w:r>
            <w:r w:rsidRPr="00581E8E">
              <w:rPr>
                <w:rFonts w:ascii="Arial" w:hAnsi="Arial" w:cs="Arial"/>
                <w:b/>
                <w:sz w:val="18"/>
                <w:szCs w:val="18"/>
              </w:rPr>
              <w:t>)</w:t>
            </w:r>
          </w:p>
        </w:tc>
      </w:tr>
      <w:tr w:rsidR="00D77779" w:rsidRPr="00B85562" w14:paraId="39C01C43" w14:textId="77777777" w:rsidTr="008B25C8">
        <w:trPr>
          <w:trHeight w:val="673"/>
        </w:trPr>
        <w:tc>
          <w:tcPr>
            <w:tcW w:w="639" w:type="pct"/>
            <w:vMerge w:val="restart"/>
            <w:hideMark/>
          </w:tcPr>
          <w:p w14:paraId="76D29E3E" w14:textId="77777777" w:rsidR="00D77779" w:rsidRPr="00581E8E" w:rsidRDefault="00D77779" w:rsidP="008B25C8">
            <w:pPr>
              <w:rPr>
                <w:rFonts w:ascii="Arial" w:hAnsi="Arial" w:cs="Arial"/>
                <w:sz w:val="18"/>
                <w:lang w:val="en-US"/>
              </w:rPr>
            </w:pPr>
            <w:r w:rsidRPr="00581E8E">
              <w:rPr>
                <w:rFonts w:ascii="Arial" w:hAnsi="Arial" w:cs="Arial"/>
                <w:sz w:val="18"/>
              </w:rPr>
              <w:t>20.48 ≤</w:t>
            </w:r>
            <w:r w:rsidRPr="00CA7017">
              <w:rPr>
                <w:rFonts w:cs="Arial"/>
              </w:rPr>
              <w:t xml:space="preserve"> </w:t>
            </w:r>
            <w:r w:rsidRPr="00581E8E">
              <w:rPr>
                <w:rFonts w:ascii="Arial" w:hAnsi="Arial" w:cs="Arial"/>
                <w:sz w:val="18"/>
              </w:rPr>
              <w:t xml:space="preserve"> eDRX_IDLE cycle length ≤</w:t>
            </w:r>
            <w:r>
              <w:rPr>
                <w:rFonts w:ascii="Arial" w:hAnsi="Arial" w:cs="Arial"/>
                <w:sz w:val="18"/>
              </w:rPr>
              <w:t>[163.84]</w:t>
            </w:r>
          </w:p>
        </w:tc>
        <w:tc>
          <w:tcPr>
            <w:tcW w:w="401" w:type="pct"/>
            <w:hideMark/>
          </w:tcPr>
          <w:p w14:paraId="090DB0F4" w14:textId="77777777" w:rsidR="00D77779" w:rsidRPr="00581E8E" w:rsidRDefault="00D77779" w:rsidP="008B25C8">
            <w:pPr>
              <w:rPr>
                <w:rFonts w:ascii="Arial" w:hAnsi="Arial" w:cs="Arial"/>
                <w:sz w:val="18"/>
                <w:lang w:val="en-US"/>
              </w:rPr>
            </w:pPr>
            <w:r w:rsidRPr="00581E8E">
              <w:rPr>
                <w:rFonts w:ascii="Arial" w:hAnsi="Arial" w:cs="Arial"/>
                <w:sz w:val="18"/>
              </w:rPr>
              <w:t>0.32</w:t>
            </w:r>
          </w:p>
        </w:tc>
        <w:tc>
          <w:tcPr>
            <w:tcW w:w="517" w:type="pct"/>
            <w:hideMark/>
          </w:tcPr>
          <w:p w14:paraId="6D4A4100" w14:textId="77777777" w:rsidR="00D77779" w:rsidRPr="00581E8E" w:rsidRDefault="00D77779" w:rsidP="008B25C8">
            <w:pPr>
              <w:rPr>
                <w:rFonts w:ascii="Arial" w:hAnsi="Arial" w:cs="Arial"/>
                <w:sz w:val="18"/>
                <w:lang w:val="en-US"/>
              </w:rPr>
            </w:pPr>
            <w:r w:rsidRPr="00581E8E">
              <w:rPr>
                <w:rFonts w:ascii="Arial" w:hAnsi="Arial" w:cs="Arial"/>
                <w:sz w:val="18"/>
              </w:rPr>
              <w:t>≥</w:t>
            </w:r>
            <w:r>
              <w:rPr>
                <w:rFonts w:ascii="Arial" w:hAnsi="Arial" w:cs="Arial"/>
                <w:sz w:val="18"/>
              </w:rPr>
              <w:t>15.36</w:t>
            </w:r>
            <w:r w:rsidRPr="00581E8E">
              <w:rPr>
                <w:rFonts w:ascii="Arial" w:hAnsi="Arial" w:cs="Arial"/>
                <w:sz w:val="18"/>
              </w:rPr>
              <w:t xml:space="preserve"> (</w:t>
            </w:r>
            <w:r>
              <w:rPr>
                <w:rFonts w:ascii="Arial" w:hAnsi="Arial" w:cs="Arial"/>
                <w:sz w:val="18"/>
              </w:rPr>
              <w:t>12</w:t>
            </w:r>
            <w:r w:rsidRPr="00581E8E">
              <w:rPr>
                <w:rFonts w:ascii="Arial" w:hAnsi="Arial" w:cs="Arial"/>
                <w:sz w:val="18"/>
              </w:rPr>
              <w:t>)</w:t>
            </w:r>
          </w:p>
        </w:tc>
        <w:tc>
          <w:tcPr>
            <w:tcW w:w="467" w:type="pct"/>
          </w:tcPr>
          <w:p w14:paraId="54AC9E53" w14:textId="77777777" w:rsidR="00D77779" w:rsidRPr="00581E8E" w:rsidRDefault="00D77779" w:rsidP="008B25C8">
            <w:pPr>
              <w:rPr>
                <w:rFonts w:ascii="Arial" w:hAnsi="Arial"/>
                <w:sz w:val="18"/>
                <w:lang w:val="en-US"/>
              </w:rPr>
            </w:pPr>
            <w:r>
              <w:rPr>
                <w:rFonts w:ascii="Arial" w:hAnsi="Arial"/>
                <w:sz w:val="18"/>
                <w:lang w:val="en-US"/>
              </w:rPr>
              <w:t>8</w:t>
            </w:r>
          </w:p>
        </w:tc>
        <w:tc>
          <w:tcPr>
            <w:tcW w:w="1309" w:type="pct"/>
            <w:gridSpan w:val="2"/>
            <w:vMerge w:val="restart"/>
            <w:hideMark/>
          </w:tcPr>
          <w:p w14:paraId="7D42C3C5" w14:textId="77777777" w:rsidR="00D77779" w:rsidRPr="004E7C48" w:rsidRDefault="00D77779" w:rsidP="008B25C8">
            <w:pPr>
              <w:rPr>
                <w:rFonts w:ascii="Arial" w:hAnsi="Arial" w:cs="Arial"/>
                <w:sz w:val="18"/>
                <w:lang w:val="sv-SE"/>
              </w:rPr>
            </w:pPr>
            <w:r>
              <w:rPr>
                <w:rFonts w:cs="Arial"/>
                <w:lang w:val="sv-SE"/>
              </w:rPr>
              <w:t xml:space="preserve">K1 x </w:t>
            </w:r>
            <m:oMath>
              <m:r>
                <w:rPr>
                  <w:rFonts w:ascii="Cambria Math" w:hAnsi="Cambria Math" w:cs="Arial"/>
                  <w:sz w:val="18"/>
                  <w:lang w:val="en-US"/>
                </w:rPr>
                <m:t>eDRX</m:t>
              </m:r>
              <m:r>
                <m:rPr>
                  <m:sty m:val="p"/>
                </m:rPr>
                <w:rPr>
                  <w:rFonts w:ascii="Cambria Math" w:hAnsi="Cambria Math" w:cs="Arial"/>
                  <w:sz w:val="18"/>
                  <w:lang w:val="sv-SE"/>
                </w:rPr>
                <m:t>_</m:t>
              </m:r>
              <m:r>
                <w:rPr>
                  <w:rFonts w:ascii="Cambria Math" w:hAnsi="Cambria Math" w:cs="Arial"/>
                  <w:sz w:val="18"/>
                  <w:lang w:val="en-US"/>
                </w:rPr>
                <m:t>cycl</m:t>
              </m:r>
              <m:r>
                <m:rPr>
                  <m:sty m:val="p"/>
                </m:rPr>
                <w:rPr>
                  <w:rFonts w:ascii="Cambria Math" w:hAnsi="Cambria Math" w:cs="Arial"/>
                  <w:sz w:val="18"/>
                  <w:lang w:val="sv-SE"/>
                </w:rPr>
                <m:t>e_</m:t>
              </m:r>
              <m:r>
                <w:rPr>
                  <w:rFonts w:ascii="Cambria Math" w:hAnsi="Cambria Math" w:cs="Arial"/>
                  <w:sz w:val="18"/>
                  <w:lang w:val="en-US"/>
                </w:rPr>
                <m:t>lengt</m:t>
              </m:r>
              <m:r>
                <w:rPr>
                  <w:rFonts w:ascii="Cambria Math" w:hAnsi="Cambria Math" w:cs="Arial"/>
                  <w:sz w:val="18"/>
                  <w:lang w:val="sv-SE"/>
                </w:rPr>
                <m:t>h×</m:t>
              </m:r>
              <m:d>
                <m:dPr>
                  <m:begChr m:val="⌈"/>
                  <m:endChr m:val="⌉"/>
                  <m:ctrlPr>
                    <w:rPr>
                      <w:rFonts w:ascii="Cambria Math" w:hAnsi="Cambria Math" w:cs="Arial"/>
                      <w:i/>
                      <w:sz w:val="18"/>
                      <w:lang w:val="en-US"/>
                    </w:rPr>
                  </m:ctrlPr>
                </m:dPr>
                <m:e>
                  <m:f>
                    <m:fPr>
                      <m:ctrlPr>
                        <w:rPr>
                          <w:rFonts w:ascii="Cambria Math" w:hAnsi="Cambria Math" w:cs="Arial"/>
                          <w:i/>
                          <w:sz w:val="18"/>
                          <w:lang w:val="en-US"/>
                        </w:rPr>
                      </m:ctrlPr>
                    </m:fPr>
                    <m:num>
                      <m:r>
                        <w:rPr>
                          <w:rFonts w:ascii="Cambria Math" w:hAnsi="Cambria Math" w:cs="Arial"/>
                          <w:sz w:val="18"/>
                          <w:lang w:val="sv-SE"/>
                        </w:rPr>
                        <m:t>23×</m:t>
                      </m:r>
                      <m:r>
                        <w:rPr>
                          <w:rFonts w:ascii="Cambria Math" w:hAnsi="Cambria Math" w:cs="Arial"/>
                          <w:sz w:val="18"/>
                          <w:lang w:val="en-US"/>
                        </w:rPr>
                        <m:t>N</m:t>
                      </m:r>
                      <m:r>
                        <w:rPr>
                          <w:rFonts w:ascii="Cambria Math" w:hAnsi="Cambria Math" w:cs="Arial"/>
                          <w:sz w:val="18"/>
                          <w:lang w:val="sv-SE"/>
                        </w:rPr>
                        <m:t>1</m:t>
                      </m:r>
                    </m:num>
                    <m:den>
                      <m:r>
                        <w:rPr>
                          <w:rFonts w:ascii="Cambria Math" w:hAnsi="Cambria Math" w:cs="Arial"/>
                          <w:sz w:val="18"/>
                          <w:lang w:val="en-US"/>
                        </w:rPr>
                        <m:t>PTW</m:t>
                      </m:r>
                      <m:r>
                        <w:rPr>
                          <w:rFonts w:ascii="Cambria Math" w:hAnsi="Cambria Math" w:cs="Arial"/>
                          <w:sz w:val="18"/>
                          <w:lang w:val="sv-SE"/>
                        </w:rPr>
                        <m:t>/</m:t>
                      </m:r>
                      <m:r>
                        <w:rPr>
                          <w:rFonts w:ascii="Cambria Math" w:hAnsi="Cambria Math" w:cs="Arial"/>
                          <w:sz w:val="18"/>
                          <w:lang w:val="en-US"/>
                        </w:rPr>
                        <m:t>DRX</m:t>
                      </m:r>
                      <m:r>
                        <w:rPr>
                          <w:rFonts w:ascii="Cambria Math" w:hAnsi="Cambria Math" w:cs="Arial"/>
                          <w:sz w:val="18"/>
                          <w:lang w:val="sv-SE"/>
                        </w:rPr>
                        <m:t>_</m:t>
                      </m:r>
                      <m:r>
                        <w:rPr>
                          <w:rFonts w:ascii="Cambria Math" w:hAnsi="Cambria Math" w:cs="Arial"/>
                          <w:sz w:val="18"/>
                          <w:lang w:val="en-US"/>
                        </w:rPr>
                        <m:t>cycle</m:t>
                      </m:r>
                      <m:r>
                        <w:rPr>
                          <w:rFonts w:ascii="Cambria Math" w:hAnsi="Cambria Math" w:cs="Arial"/>
                          <w:sz w:val="18"/>
                          <w:lang w:val="sv-SE"/>
                        </w:rPr>
                        <m:t>_</m:t>
                      </m:r>
                      <m:r>
                        <w:rPr>
                          <w:rFonts w:ascii="Cambria Math" w:hAnsi="Cambria Math" w:cs="Arial"/>
                          <w:sz w:val="18"/>
                          <w:lang w:val="en-US"/>
                        </w:rPr>
                        <m:t>lengt</m:t>
                      </m:r>
                      <m:r>
                        <w:rPr>
                          <w:rFonts w:ascii="Cambria Math" w:hAnsi="Cambria Math" w:cs="Arial"/>
                          <w:sz w:val="18"/>
                          <w:lang w:val="sv-SE"/>
                        </w:rPr>
                        <m:t>h</m:t>
                      </m:r>
                    </m:den>
                  </m:f>
                </m:e>
              </m:d>
            </m:oMath>
          </w:p>
          <w:p w14:paraId="055D52CF" w14:textId="77777777" w:rsidR="00D77779" w:rsidRPr="00581E8E" w:rsidRDefault="00D77779" w:rsidP="008B25C8">
            <w:pPr>
              <w:rPr>
                <w:rFonts w:ascii="Arial" w:hAnsi="Arial" w:cs="Arial"/>
                <w:sz w:val="18"/>
                <w:lang w:val="en-US"/>
              </w:rPr>
            </w:pPr>
            <w:r w:rsidRPr="00581E8E">
              <w:rPr>
                <w:rFonts w:ascii="Arial" w:hAnsi="Arial" w:cs="Arial"/>
                <w:sz w:val="18"/>
                <w:lang w:val="en-US"/>
              </w:rPr>
              <w:t>(23</w:t>
            </w:r>
            <w:r w:rsidRPr="00581E8E">
              <w:rPr>
                <w:rFonts w:ascii="Arial" w:hAnsi="Arial" w:cs="Arial"/>
                <w:sz w:val="18"/>
              </w:rPr>
              <w:t xml:space="preserve"> x N1</w:t>
            </w:r>
            <w:r w:rsidRPr="0082197E">
              <w:rPr>
                <w:lang w:val="sv-SE"/>
              </w:rPr>
              <w:t xml:space="preserve"> x </w:t>
            </w:r>
            <w:r>
              <w:rPr>
                <w:rFonts w:cs="Arial"/>
                <w:lang w:val="sv-SE"/>
              </w:rPr>
              <w:t>K1</w:t>
            </w:r>
            <w:r w:rsidRPr="00581E8E">
              <w:rPr>
                <w:rFonts w:ascii="Arial" w:hAnsi="Arial" w:cs="Arial"/>
                <w:sz w:val="18"/>
                <w:lang w:val="en-US"/>
              </w:rPr>
              <w:t>)</w:t>
            </w:r>
          </w:p>
        </w:tc>
        <w:tc>
          <w:tcPr>
            <w:tcW w:w="809" w:type="pct"/>
            <w:hideMark/>
          </w:tcPr>
          <w:p w14:paraId="683E7496" w14:textId="77777777" w:rsidR="00D77779" w:rsidRPr="00896DB0" w:rsidRDefault="00D77779" w:rsidP="008B25C8">
            <w:pPr>
              <w:rPr>
                <w:rFonts w:ascii="Arial" w:hAnsi="Arial" w:cs="Arial"/>
                <w:sz w:val="18"/>
              </w:rPr>
            </w:pPr>
            <w:r w:rsidRPr="00581E8E">
              <w:rPr>
                <w:rFonts w:ascii="Arial" w:hAnsi="Arial" w:cs="Arial"/>
                <w:sz w:val="18"/>
              </w:rPr>
              <w:t>0.32 x N1</w:t>
            </w:r>
            <w:r w:rsidRPr="00896DB0">
              <w:rPr>
                <w:rFonts w:ascii="Arial" w:hAnsi="Arial" w:cs="Arial"/>
                <w:sz w:val="18"/>
              </w:rPr>
              <w:t xml:space="preserve"> x K1</w:t>
            </w:r>
            <w:r w:rsidRPr="00581E8E">
              <w:rPr>
                <w:rFonts w:ascii="Arial" w:hAnsi="Arial" w:cs="Arial"/>
                <w:sz w:val="18"/>
              </w:rPr>
              <w:t xml:space="preserve"> (1 x N1</w:t>
            </w:r>
            <w:r w:rsidRPr="00896DB0">
              <w:rPr>
                <w:rFonts w:ascii="Arial" w:hAnsi="Arial" w:cs="Arial"/>
                <w:sz w:val="18"/>
              </w:rPr>
              <w:t xml:space="preserve"> x K1</w:t>
            </w:r>
            <w:r w:rsidRPr="00581E8E">
              <w:rPr>
                <w:rFonts w:ascii="Arial" w:hAnsi="Arial" w:cs="Arial"/>
                <w:sz w:val="18"/>
              </w:rPr>
              <w:t>)</w:t>
            </w:r>
          </w:p>
        </w:tc>
        <w:tc>
          <w:tcPr>
            <w:tcW w:w="858" w:type="pct"/>
            <w:hideMark/>
          </w:tcPr>
          <w:p w14:paraId="3F0B90D5" w14:textId="77777777" w:rsidR="00D77779" w:rsidRPr="00896DB0" w:rsidRDefault="00D77779" w:rsidP="008B25C8">
            <w:pPr>
              <w:rPr>
                <w:rFonts w:ascii="Arial" w:hAnsi="Arial" w:cs="Arial"/>
                <w:sz w:val="18"/>
              </w:rPr>
            </w:pPr>
            <w:r w:rsidRPr="00581E8E">
              <w:rPr>
                <w:rFonts w:ascii="Arial" w:hAnsi="Arial" w:cs="Arial"/>
                <w:sz w:val="18"/>
              </w:rPr>
              <w:t>0.64 x N1</w:t>
            </w:r>
            <w:r w:rsidRPr="00896DB0">
              <w:rPr>
                <w:rFonts w:ascii="Arial" w:hAnsi="Arial" w:cs="Arial"/>
                <w:sz w:val="18"/>
              </w:rPr>
              <w:t xml:space="preserve"> x K1</w:t>
            </w:r>
            <w:r w:rsidRPr="00581E8E">
              <w:rPr>
                <w:rFonts w:ascii="Arial" w:hAnsi="Arial" w:cs="Arial"/>
                <w:sz w:val="18"/>
              </w:rPr>
              <w:t xml:space="preserve"> (2 x N1</w:t>
            </w:r>
            <w:r w:rsidRPr="00896DB0">
              <w:rPr>
                <w:rFonts w:ascii="Arial" w:hAnsi="Arial" w:cs="Arial"/>
                <w:sz w:val="18"/>
              </w:rPr>
              <w:t xml:space="preserve"> x K1</w:t>
            </w:r>
            <w:r w:rsidRPr="00581E8E">
              <w:rPr>
                <w:rFonts w:ascii="Arial" w:hAnsi="Arial" w:cs="Arial"/>
                <w:sz w:val="18"/>
              </w:rPr>
              <w:t>)</w:t>
            </w:r>
          </w:p>
        </w:tc>
      </w:tr>
      <w:tr w:rsidR="00D77779" w:rsidRPr="00B85562" w14:paraId="6E0CF9BF" w14:textId="77777777" w:rsidTr="008B25C8">
        <w:trPr>
          <w:trHeight w:val="336"/>
        </w:trPr>
        <w:tc>
          <w:tcPr>
            <w:tcW w:w="639" w:type="pct"/>
            <w:vMerge/>
            <w:hideMark/>
          </w:tcPr>
          <w:p w14:paraId="1A090ADD" w14:textId="77777777" w:rsidR="00D77779" w:rsidRPr="00581E8E" w:rsidRDefault="00D77779" w:rsidP="008B25C8">
            <w:pPr>
              <w:rPr>
                <w:rFonts w:ascii="Arial" w:hAnsi="Arial" w:cs="Arial"/>
                <w:sz w:val="18"/>
                <w:lang w:val="en-US"/>
              </w:rPr>
            </w:pPr>
          </w:p>
        </w:tc>
        <w:tc>
          <w:tcPr>
            <w:tcW w:w="401" w:type="pct"/>
            <w:hideMark/>
          </w:tcPr>
          <w:p w14:paraId="67F26F90" w14:textId="77777777" w:rsidR="00D77779" w:rsidRPr="00581E8E" w:rsidRDefault="00D77779" w:rsidP="008B25C8">
            <w:pPr>
              <w:rPr>
                <w:rFonts w:ascii="Arial" w:hAnsi="Arial" w:cs="Arial"/>
                <w:sz w:val="18"/>
                <w:lang w:val="en-US"/>
              </w:rPr>
            </w:pPr>
            <w:r w:rsidRPr="00581E8E">
              <w:rPr>
                <w:rFonts w:ascii="Arial" w:hAnsi="Arial" w:cs="Arial"/>
                <w:sz w:val="18"/>
              </w:rPr>
              <w:t>0.64</w:t>
            </w:r>
          </w:p>
        </w:tc>
        <w:tc>
          <w:tcPr>
            <w:tcW w:w="517" w:type="pct"/>
            <w:hideMark/>
          </w:tcPr>
          <w:p w14:paraId="5AAED8C1" w14:textId="77777777" w:rsidR="00D77779" w:rsidRPr="00581E8E" w:rsidRDefault="00D77779" w:rsidP="008B25C8">
            <w:pPr>
              <w:rPr>
                <w:rFonts w:ascii="Arial" w:hAnsi="Arial" w:cs="Arial"/>
                <w:sz w:val="18"/>
                <w:lang w:val="en-US"/>
              </w:rPr>
            </w:pPr>
            <w:r w:rsidRPr="00581E8E">
              <w:rPr>
                <w:rFonts w:ascii="Arial" w:hAnsi="Arial" w:cs="Arial"/>
                <w:sz w:val="18"/>
              </w:rPr>
              <w:t>≥</w:t>
            </w:r>
            <w:r>
              <w:rPr>
                <w:rFonts w:ascii="Arial" w:hAnsi="Arial" w:cs="Arial"/>
                <w:sz w:val="18"/>
              </w:rPr>
              <w:t>19.2</w:t>
            </w:r>
            <w:r w:rsidRPr="00581E8E">
              <w:rPr>
                <w:rFonts w:ascii="Arial" w:hAnsi="Arial" w:cs="Arial"/>
                <w:sz w:val="18"/>
              </w:rPr>
              <w:t xml:space="preserve"> (</w:t>
            </w:r>
            <w:r>
              <w:rPr>
                <w:rFonts w:ascii="Arial" w:hAnsi="Arial" w:cs="Arial"/>
                <w:sz w:val="18"/>
              </w:rPr>
              <w:t>15</w:t>
            </w:r>
            <w:r w:rsidRPr="00581E8E">
              <w:rPr>
                <w:rFonts w:ascii="Arial" w:hAnsi="Arial" w:cs="Arial"/>
                <w:sz w:val="18"/>
              </w:rPr>
              <w:t>)</w:t>
            </w:r>
          </w:p>
        </w:tc>
        <w:tc>
          <w:tcPr>
            <w:tcW w:w="467" w:type="pct"/>
          </w:tcPr>
          <w:p w14:paraId="00BE3E1B" w14:textId="77777777" w:rsidR="00D77779" w:rsidRPr="00581E8E" w:rsidRDefault="00D77779" w:rsidP="008B25C8">
            <w:pPr>
              <w:rPr>
                <w:rFonts w:ascii="Arial" w:hAnsi="Arial" w:cs="Arial"/>
                <w:sz w:val="18"/>
                <w:lang w:val="en-US"/>
              </w:rPr>
            </w:pPr>
            <w:r>
              <w:rPr>
                <w:rFonts w:ascii="Arial" w:hAnsi="Arial" w:cs="Arial"/>
                <w:sz w:val="18"/>
                <w:lang w:val="en-US"/>
              </w:rPr>
              <w:t>5</w:t>
            </w:r>
          </w:p>
        </w:tc>
        <w:tc>
          <w:tcPr>
            <w:tcW w:w="1309" w:type="pct"/>
            <w:gridSpan w:val="2"/>
            <w:vMerge/>
            <w:hideMark/>
          </w:tcPr>
          <w:p w14:paraId="1D614B0E" w14:textId="77777777" w:rsidR="00D77779" w:rsidRPr="00581E8E" w:rsidRDefault="00D77779" w:rsidP="008B25C8">
            <w:pPr>
              <w:rPr>
                <w:rFonts w:ascii="Arial" w:hAnsi="Arial" w:cs="Arial"/>
                <w:sz w:val="18"/>
                <w:lang w:val="en-US"/>
              </w:rPr>
            </w:pPr>
          </w:p>
        </w:tc>
        <w:tc>
          <w:tcPr>
            <w:tcW w:w="809" w:type="pct"/>
            <w:hideMark/>
          </w:tcPr>
          <w:p w14:paraId="3889293C" w14:textId="77777777" w:rsidR="00D77779" w:rsidRPr="00896DB0" w:rsidRDefault="00D77779" w:rsidP="008B25C8">
            <w:pPr>
              <w:rPr>
                <w:rFonts w:ascii="Arial" w:hAnsi="Arial" w:cs="Arial"/>
                <w:sz w:val="18"/>
              </w:rPr>
            </w:pPr>
            <w:r w:rsidRPr="00581E8E">
              <w:rPr>
                <w:rFonts w:ascii="Arial" w:hAnsi="Arial" w:cs="Arial"/>
                <w:sz w:val="18"/>
              </w:rPr>
              <w:t>0.64 x N1</w:t>
            </w:r>
            <w:r w:rsidRPr="00896DB0">
              <w:rPr>
                <w:rFonts w:ascii="Arial" w:hAnsi="Arial" w:cs="Arial"/>
                <w:sz w:val="18"/>
              </w:rPr>
              <w:t xml:space="preserve"> x K1</w:t>
            </w:r>
            <w:r w:rsidRPr="00581E8E">
              <w:rPr>
                <w:rFonts w:ascii="Arial" w:hAnsi="Arial" w:cs="Arial"/>
                <w:sz w:val="18"/>
              </w:rPr>
              <w:t xml:space="preserve"> (1 x N1</w:t>
            </w:r>
            <w:r w:rsidRPr="00896DB0">
              <w:rPr>
                <w:rFonts w:ascii="Arial" w:hAnsi="Arial" w:cs="Arial"/>
                <w:sz w:val="18"/>
              </w:rPr>
              <w:t xml:space="preserve"> x K1</w:t>
            </w:r>
            <w:r w:rsidRPr="00581E8E">
              <w:rPr>
                <w:rFonts w:ascii="Arial" w:hAnsi="Arial" w:cs="Arial"/>
                <w:sz w:val="18"/>
              </w:rPr>
              <w:t>)</w:t>
            </w:r>
          </w:p>
        </w:tc>
        <w:tc>
          <w:tcPr>
            <w:tcW w:w="858" w:type="pct"/>
            <w:hideMark/>
          </w:tcPr>
          <w:p w14:paraId="00FFBD47" w14:textId="77777777" w:rsidR="00D77779" w:rsidRPr="00896DB0" w:rsidRDefault="00D77779" w:rsidP="008B25C8">
            <w:pPr>
              <w:rPr>
                <w:rFonts w:ascii="Arial" w:hAnsi="Arial" w:cs="Arial"/>
                <w:sz w:val="18"/>
              </w:rPr>
            </w:pPr>
            <w:r w:rsidRPr="00581E8E">
              <w:rPr>
                <w:rFonts w:ascii="Arial" w:hAnsi="Arial" w:cs="Arial"/>
                <w:sz w:val="18"/>
              </w:rPr>
              <w:t>1.28 x N1</w:t>
            </w:r>
            <w:r w:rsidRPr="00896DB0">
              <w:rPr>
                <w:rFonts w:ascii="Arial" w:hAnsi="Arial" w:cs="Arial"/>
                <w:sz w:val="18"/>
              </w:rPr>
              <w:t xml:space="preserve"> x K1</w:t>
            </w:r>
            <w:r w:rsidRPr="00581E8E">
              <w:rPr>
                <w:rFonts w:ascii="Arial" w:hAnsi="Arial" w:cs="Arial"/>
                <w:sz w:val="18"/>
              </w:rPr>
              <w:t xml:space="preserve"> (2 x N1</w:t>
            </w:r>
            <w:r w:rsidRPr="00896DB0">
              <w:rPr>
                <w:rFonts w:ascii="Arial" w:hAnsi="Arial" w:cs="Arial"/>
                <w:sz w:val="18"/>
              </w:rPr>
              <w:t xml:space="preserve"> x K1</w:t>
            </w:r>
            <w:r w:rsidRPr="00581E8E">
              <w:rPr>
                <w:rFonts w:ascii="Arial" w:hAnsi="Arial" w:cs="Arial"/>
                <w:sz w:val="18"/>
              </w:rPr>
              <w:t>)</w:t>
            </w:r>
          </w:p>
        </w:tc>
      </w:tr>
      <w:tr w:rsidR="00D77779" w:rsidRPr="00B85562" w14:paraId="46E84E09" w14:textId="77777777" w:rsidTr="008B25C8">
        <w:trPr>
          <w:trHeight w:val="336"/>
        </w:trPr>
        <w:tc>
          <w:tcPr>
            <w:tcW w:w="639" w:type="pct"/>
            <w:vMerge/>
            <w:hideMark/>
          </w:tcPr>
          <w:p w14:paraId="02D613FF" w14:textId="77777777" w:rsidR="00D77779" w:rsidRPr="00581E8E" w:rsidRDefault="00D77779" w:rsidP="008B25C8">
            <w:pPr>
              <w:rPr>
                <w:rFonts w:ascii="Arial" w:hAnsi="Arial" w:cs="Arial"/>
                <w:sz w:val="18"/>
                <w:lang w:val="en-US"/>
              </w:rPr>
            </w:pPr>
          </w:p>
        </w:tc>
        <w:tc>
          <w:tcPr>
            <w:tcW w:w="401" w:type="pct"/>
            <w:hideMark/>
          </w:tcPr>
          <w:p w14:paraId="69C9C32C" w14:textId="77777777" w:rsidR="00D77779" w:rsidRPr="00581E8E" w:rsidRDefault="00D77779" w:rsidP="008B25C8">
            <w:pPr>
              <w:rPr>
                <w:rFonts w:ascii="Arial" w:hAnsi="Arial" w:cs="Arial"/>
                <w:sz w:val="18"/>
                <w:lang w:val="en-US"/>
              </w:rPr>
            </w:pPr>
            <w:r w:rsidRPr="00581E8E">
              <w:rPr>
                <w:rFonts w:ascii="Arial" w:hAnsi="Arial" w:cs="Arial"/>
                <w:sz w:val="18"/>
              </w:rPr>
              <w:t>1.28</w:t>
            </w:r>
          </w:p>
        </w:tc>
        <w:tc>
          <w:tcPr>
            <w:tcW w:w="517" w:type="pct"/>
            <w:hideMark/>
          </w:tcPr>
          <w:p w14:paraId="7C516F43" w14:textId="77777777" w:rsidR="00D77779" w:rsidRPr="00034E52" w:rsidRDefault="00D77779" w:rsidP="008B25C8">
            <w:pPr>
              <w:rPr>
                <w:rFonts w:ascii="Arial" w:hAnsi="Arial" w:cs="Arial"/>
                <w:sz w:val="18"/>
                <w:lang w:val="en-US"/>
              </w:rPr>
            </w:pPr>
            <w:r w:rsidRPr="007140C1">
              <w:rPr>
                <w:rFonts w:ascii="Arial" w:hAnsi="Arial" w:cs="Arial" w:hint="eastAsia"/>
                <w:sz w:val="18"/>
              </w:rPr>
              <w:t>≥</w:t>
            </w:r>
            <w:r w:rsidRPr="00C910BC">
              <w:rPr>
                <w:rFonts w:ascii="Arial" w:hAnsi="Arial" w:cs="Arial"/>
                <w:sz w:val="18"/>
              </w:rPr>
              <w:t>30.72 (24)</w:t>
            </w:r>
          </w:p>
        </w:tc>
        <w:tc>
          <w:tcPr>
            <w:tcW w:w="467" w:type="pct"/>
          </w:tcPr>
          <w:p w14:paraId="5B264CFB" w14:textId="77777777" w:rsidR="00D77779" w:rsidRPr="00C910BC" w:rsidRDefault="00D77779" w:rsidP="008B25C8">
            <w:pPr>
              <w:rPr>
                <w:rFonts w:ascii="Arial" w:hAnsi="Arial" w:cs="Arial"/>
                <w:sz w:val="18"/>
                <w:lang w:val="en-US"/>
              </w:rPr>
            </w:pPr>
            <w:r w:rsidRPr="007140C1">
              <w:rPr>
                <w:rFonts w:ascii="Arial" w:hAnsi="Arial" w:cs="Arial"/>
                <w:sz w:val="18"/>
                <w:lang w:val="en-US"/>
              </w:rPr>
              <w:t>4</w:t>
            </w:r>
          </w:p>
        </w:tc>
        <w:tc>
          <w:tcPr>
            <w:tcW w:w="1309" w:type="pct"/>
            <w:gridSpan w:val="2"/>
            <w:vMerge/>
            <w:hideMark/>
          </w:tcPr>
          <w:p w14:paraId="67642BE6" w14:textId="77777777" w:rsidR="00D77779" w:rsidRPr="00845B73" w:rsidRDefault="00D77779" w:rsidP="008B25C8">
            <w:pPr>
              <w:rPr>
                <w:rFonts w:ascii="Arial" w:hAnsi="Arial" w:cs="Arial"/>
                <w:sz w:val="18"/>
                <w:lang w:val="en-US"/>
              </w:rPr>
            </w:pPr>
          </w:p>
        </w:tc>
        <w:tc>
          <w:tcPr>
            <w:tcW w:w="809" w:type="pct"/>
            <w:hideMark/>
          </w:tcPr>
          <w:p w14:paraId="08F4F3EB" w14:textId="77777777" w:rsidR="00D77779" w:rsidRPr="00845B73" w:rsidRDefault="00D77779" w:rsidP="008B25C8">
            <w:pPr>
              <w:rPr>
                <w:rFonts w:ascii="Arial" w:hAnsi="Arial" w:cs="Arial"/>
                <w:sz w:val="18"/>
              </w:rPr>
            </w:pPr>
            <w:r w:rsidRPr="00845B73">
              <w:rPr>
                <w:rFonts w:ascii="Arial" w:hAnsi="Arial" w:cs="Arial"/>
                <w:sz w:val="18"/>
              </w:rPr>
              <w:t>1.28 x N1 x K1 (1 x N1 x K1)</w:t>
            </w:r>
          </w:p>
        </w:tc>
        <w:tc>
          <w:tcPr>
            <w:tcW w:w="858" w:type="pct"/>
            <w:hideMark/>
          </w:tcPr>
          <w:p w14:paraId="383E3E49" w14:textId="77777777" w:rsidR="00D77779" w:rsidRPr="00845B73" w:rsidRDefault="00D77779" w:rsidP="008B25C8">
            <w:pPr>
              <w:rPr>
                <w:rFonts w:ascii="Arial" w:hAnsi="Arial" w:cs="Arial"/>
                <w:sz w:val="18"/>
              </w:rPr>
            </w:pPr>
            <w:r w:rsidRPr="00845B73">
              <w:rPr>
                <w:rFonts w:ascii="Arial" w:hAnsi="Arial" w:cs="Arial"/>
                <w:sz w:val="18"/>
              </w:rPr>
              <w:t>2.56 x N1 x K1 (2 x N1 x K1)</w:t>
            </w:r>
          </w:p>
        </w:tc>
      </w:tr>
      <w:tr w:rsidR="00D77779" w:rsidRPr="00B85562" w14:paraId="314FF212" w14:textId="77777777" w:rsidTr="008B25C8">
        <w:trPr>
          <w:trHeight w:val="336"/>
        </w:trPr>
        <w:tc>
          <w:tcPr>
            <w:tcW w:w="639" w:type="pct"/>
            <w:vMerge/>
          </w:tcPr>
          <w:p w14:paraId="59068F1A" w14:textId="77777777" w:rsidR="00D77779" w:rsidRPr="00581E8E" w:rsidRDefault="00D77779" w:rsidP="008B25C8">
            <w:pPr>
              <w:rPr>
                <w:rFonts w:ascii="Arial" w:hAnsi="Arial" w:cs="Arial"/>
                <w:sz w:val="18"/>
                <w:lang w:val="en-US"/>
              </w:rPr>
            </w:pPr>
          </w:p>
        </w:tc>
        <w:tc>
          <w:tcPr>
            <w:tcW w:w="401" w:type="pct"/>
          </w:tcPr>
          <w:p w14:paraId="6BACBE7F" w14:textId="77777777" w:rsidR="00D77779" w:rsidRPr="00581E8E" w:rsidRDefault="00D77779" w:rsidP="008B25C8">
            <w:pPr>
              <w:rPr>
                <w:rFonts w:ascii="Arial" w:hAnsi="Arial" w:cs="Arial"/>
                <w:sz w:val="18"/>
              </w:rPr>
            </w:pPr>
            <w:r>
              <w:rPr>
                <w:rFonts w:ascii="Arial" w:hAnsi="Arial" w:cs="Arial"/>
                <w:sz w:val="18"/>
              </w:rPr>
              <w:t>2.56</w:t>
            </w:r>
          </w:p>
        </w:tc>
        <w:tc>
          <w:tcPr>
            <w:tcW w:w="517" w:type="pct"/>
          </w:tcPr>
          <w:p w14:paraId="5D14F71C" w14:textId="77777777" w:rsidR="00D77779" w:rsidRPr="007140C1" w:rsidRDefault="00D77779" w:rsidP="008B25C8">
            <w:pPr>
              <w:rPr>
                <w:rFonts w:ascii="Arial" w:hAnsi="Arial" w:cs="Arial"/>
                <w:sz w:val="18"/>
              </w:rPr>
            </w:pPr>
            <w:r w:rsidRPr="00034E52">
              <w:rPr>
                <w:rFonts w:ascii="Arial" w:hAnsi="Arial" w:cs="Arial"/>
                <w:sz w:val="18"/>
                <w:lang w:eastAsia="zh-CN"/>
              </w:rPr>
              <w:t>40.96 (32)</w:t>
            </w:r>
          </w:p>
        </w:tc>
        <w:tc>
          <w:tcPr>
            <w:tcW w:w="467" w:type="pct"/>
          </w:tcPr>
          <w:p w14:paraId="0858D972" w14:textId="77777777" w:rsidR="00D77779" w:rsidRPr="00845B73" w:rsidRDefault="00D77779" w:rsidP="008B25C8">
            <w:pPr>
              <w:rPr>
                <w:rFonts w:ascii="Arial" w:hAnsi="Arial" w:cs="Arial"/>
                <w:sz w:val="18"/>
                <w:lang w:val="en-US"/>
              </w:rPr>
            </w:pPr>
            <w:r w:rsidRPr="00845B73">
              <w:rPr>
                <w:rFonts w:ascii="Arial" w:hAnsi="Arial" w:cs="Arial"/>
                <w:sz w:val="18"/>
                <w:lang w:val="en-US"/>
              </w:rPr>
              <w:t>3</w:t>
            </w:r>
          </w:p>
        </w:tc>
        <w:tc>
          <w:tcPr>
            <w:tcW w:w="1309" w:type="pct"/>
            <w:gridSpan w:val="2"/>
            <w:vMerge/>
          </w:tcPr>
          <w:p w14:paraId="539AAFF2" w14:textId="77777777" w:rsidR="00D77779" w:rsidRPr="00845B73" w:rsidRDefault="00D77779" w:rsidP="008B25C8">
            <w:pPr>
              <w:rPr>
                <w:rFonts w:ascii="Arial" w:hAnsi="Arial" w:cs="Arial"/>
                <w:sz w:val="18"/>
                <w:lang w:val="en-US"/>
              </w:rPr>
            </w:pPr>
          </w:p>
        </w:tc>
        <w:tc>
          <w:tcPr>
            <w:tcW w:w="809" w:type="pct"/>
          </w:tcPr>
          <w:p w14:paraId="705CC654" w14:textId="77777777" w:rsidR="00D77779" w:rsidRPr="007140C1" w:rsidRDefault="00D77779" w:rsidP="008B25C8">
            <w:pPr>
              <w:rPr>
                <w:rFonts w:ascii="Arial" w:hAnsi="Arial" w:cs="Arial"/>
                <w:sz w:val="18"/>
              </w:rPr>
            </w:pPr>
            <w:r w:rsidRPr="00034E52">
              <w:rPr>
                <w:rFonts w:ascii="Arial" w:hAnsi="Arial" w:cs="Arial"/>
                <w:sz w:val="18"/>
                <w:lang w:eastAsia="zh-CN"/>
              </w:rPr>
              <w:t>20.48</w:t>
            </w:r>
          </w:p>
        </w:tc>
        <w:tc>
          <w:tcPr>
            <w:tcW w:w="858" w:type="pct"/>
          </w:tcPr>
          <w:p w14:paraId="3231888A" w14:textId="77777777" w:rsidR="00D77779" w:rsidRPr="007140C1" w:rsidRDefault="00D77779" w:rsidP="008B25C8">
            <w:pPr>
              <w:rPr>
                <w:rFonts w:ascii="Arial" w:hAnsi="Arial" w:cs="Arial"/>
                <w:sz w:val="18"/>
              </w:rPr>
            </w:pPr>
            <w:r w:rsidRPr="00034E52">
              <w:rPr>
                <w:rFonts w:ascii="Arial" w:hAnsi="Arial" w:cs="Arial"/>
                <w:sz w:val="18"/>
                <w:lang w:eastAsia="zh-CN"/>
              </w:rPr>
              <w:t>40.96</w:t>
            </w:r>
          </w:p>
        </w:tc>
      </w:tr>
      <w:tr w:rsidR="00D77779" w:rsidRPr="00B85562" w14:paraId="2287CA4F" w14:textId="77777777" w:rsidTr="008B25C8">
        <w:trPr>
          <w:trHeight w:val="336"/>
        </w:trPr>
        <w:tc>
          <w:tcPr>
            <w:tcW w:w="5000" w:type="pct"/>
            <w:gridSpan w:val="8"/>
          </w:tcPr>
          <w:p w14:paraId="63067182" w14:textId="77777777" w:rsidR="00D77779" w:rsidRPr="00806346" w:rsidRDefault="00D77779" w:rsidP="008B25C8">
            <w:pPr>
              <w:pStyle w:val="TAN"/>
              <w:rPr>
                <w:rFonts w:eastAsia="Malgun Gothic"/>
                <w:snapToGrid w:val="0"/>
              </w:rPr>
            </w:pPr>
            <w:r w:rsidRPr="00806346">
              <w:rPr>
                <w:rFonts w:eastAsia="Malgun Gothic"/>
                <w:snapToGrid w:val="0"/>
              </w:rPr>
              <w:t xml:space="preserve">Note 1: </w:t>
            </w:r>
            <w:r w:rsidRPr="00806346">
              <w:rPr>
                <w:rFonts w:eastAsia="Malgun Gothic"/>
                <w:snapToGrid w:val="0"/>
              </w:rPr>
              <w:tab/>
              <w:t>Applies for RedCap UE of all supporting FR2 power classes.</w:t>
            </w:r>
          </w:p>
          <w:p w14:paraId="093D6152" w14:textId="77777777" w:rsidR="00D77779" w:rsidRPr="00806346" w:rsidRDefault="00D77779" w:rsidP="008B25C8">
            <w:pPr>
              <w:pStyle w:val="TAN"/>
              <w:rPr>
                <w:rFonts w:eastAsia="Malgun Gothic"/>
                <w:snapToGrid w:val="0"/>
              </w:rPr>
            </w:pPr>
            <w:r w:rsidRPr="00806346">
              <w:rPr>
                <w:rFonts w:eastAsia="Malgun Gothic"/>
                <w:snapToGrid w:val="0"/>
              </w:rPr>
              <w:t xml:space="preserve">Note 2: </w:t>
            </w:r>
            <w:r w:rsidRPr="00806346">
              <w:rPr>
                <w:rFonts w:eastAsia="Malgun Gothic"/>
                <w:snapToGrid w:val="0"/>
              </w:rPr>
              <w:tab/>
              <w:t>The number of DRX cycles in this table is given for the DRX cycles within PTWs.</w:t>
            </w:r>
          </w:p>
          <w:p w14:paraId="12CB3925" w14:textId="77777777" w:rsidR="00D77779" w:rsidRPr="00806346" w:rsidRDefault="00D77779" w:rsidP="008B25C8">
            <w:pPr>
              <w:pStyle w:val="TAN"/>
              <w:rPr>
                <w:rFonts w:eastAsia="Malgun Gothic"/>
                <w:snapToGrid w:val="0"/>
              </w:rPr>
            </w:pPr>
            <w:r w:rsidRPr="00806346">
              <w:rPr>
                <w:rFonts w:eastAsia="Malgun Gothic"/>
                <w:snapToGrid w:val="0"/>
              </w:rPr>
              <w:t xml:space="preserve">Note 3: </w:t>
            </w:r>
            <w:r w:rsidRPr="00806346">
              <w:rPr>
                <w:rFonts w:eastAsia="Malgun Gothic"/>
                <w:snapToGrid w:val="0"/>
              </w:rPr>
              <w:tab/>
              <w:t>The eDRX_IDLE cycle lengths are as specified in Section 10.5.5.32 of TS 24.008 [34].</w:t>
            </w:r>
          </w:p>
          <w:p w14:paraId="195BF651" w14:textId="77777777" w:rsidR="00D77779" w:rsidRPr="00806346" w:rsidRDefault="00D77779" w:rsidP="008B25C8">
            <w:pPr>
              <w:pStyle w:val="TAN"/>
              <w:rPr>
                <w:rFonts w:eastAsia="Malgun Gothic"/>
                <w:snapToGrid w:val="0"/>
              </w:rPr>
            </w:pPr>
            <w:r w:rsidRPr="00806346">
              <w:rPr>
                <w:rFonts w:eastAsia="Malgun Gothic"/>
                <w:snapToGrid w:val="0"/>
              </w:rPr>
              <w:t xml:space="preserve">Note 4: </w:t>
            </w:r>
            <w:r w:rsidRPr="00806346">
              <w:rPr>
                <w:rFonts w:eastAsia="Malgun Gothic"/>
                <w:snapToGrid w:val="0"/>
              </w:rPr>
              <w:tab/>
              <w:t xml:space="preserve">The lower bound of PTW length is derived based on </w:t>
            </w:r>
            <m:oMath>
              <m:d>
                <m:dPr>
                  <m:begChr m:val="⌈"/>
                  <m:endChr m:val="⌉"/>
                  <m:ctrlPr>
                    <w:rPr>
                      <w:rFonts w:ascii="Cambria Math" w:eastAsia="Malgun Gothic" w:hAnsi="Cambria Math"/>
                      <w:snapToGrid w:val="0"/>
                    </w:rPr>
                  </m:ctrlPr>
                </m:dPr>
                <m:e>
                  <m:f>
                    <m:fPr>
                      <m:ctrlPr>
                        <w:rPr>
                          <w:rFonts w:ascii="Cambria Math" w:eastAsia="Malgun Gothic" w:hAnsi="Cambria Math"/>
                          <w:snapToGrid w:val="0"/>
                        </w:rPr>
                      </m:ctrlPr>
                    </m:fPr>
                    <m:num>
                      <m:r>
                        <m:rPr>
                          <m:sty m:val="p"/>
                        </m:rPr>
                        <w:rPr>
                          <w:rFonts w:ascii="Cambria Math" w:eastAsia="Malgun Gothic" w:hAnsi="Cambria Math"/>
                          <w:snapToGrid w:val="0"/>
                        </w:rPr>
                        <m:t>Tevaluate,NR_Intra_RedCap*DRX_cycle</m:t>
                      </m:r>
                    </m:num>
                    <m:den>
                      <m:r>
                        <m:rPr>
                          <m:sty m:val="p"/>
                        </m:rPr>
                        <w:rPr>
                          <w:rFonts w:ascii="Cambria Math" w:eastAsia="Malgun Gothic" w:hAnsi="Cambria Math"/>
                          <w:snapToGrid w:val="0"/>
                        </w:rPr>
                        <m:t>1.28</m:t>
                      </m:r>
                    </m:den>
                  </m:f>
                </m:e>
              </m:d>
              <m:r>
                <m:rPr>
                  <m:sty m:val="p"/>
                </m:rPr>
                <w:rPr>
                  <w:rFonts w:ascii="Cambria Math" w:eastAsia="Malgun Gothic" w:hAnsi="Cambria Math"/>
                  <w:snapToGrid w:val="0"/>
                </w:rPr>
                <m:t>*1.28</m:t>
              </m:r>
            </m:oMath>
            <w:r w:rsidRPr="00806346">
              <w:rPr>
                <w:rFonts w:eastAsia="Malgun Gothic"/>
                <w:snapToGrid w:val="0"/>
              </w:rPr>
              <w:t>.</w:t>
            </w:r>
          </w:p>
          <w:p w14:paraId="78054BE7" w14:textId="77777777" w:rsidR="00D77779" w:rsidRPr="00806346" w:rsidRDefault="00D77779" w:rsidP="008B25C8">
            <w:pPr>
              <w:pStyle w:val="TAN"/>
              <w:rPr>
                <w:rFonts w:eastAsia="Malgun Gothic"/>
                <w:snapToGrid w:val="0"/>
              </w:rPr>
            </w:pPr>
            <w:r w:rsidRPr="00806346">
              <w:rPr>
                <w:rFonts w:eastAsia="Malgun Gothic"/>
                <w:snapToGrid w:val="0"/>
              </w:rPr>
              <w:t>Note 5:</w:t>
            </w:r>
            <w:r w:rsidRPr="00806346">
              <w:rPr>
                <w:rFonts w:eastAsia="Malgun Gothic"/>
                <w:snapToGrid w:val="0"/>
              </w:rPr>
              <w:tab/>
              <w:t>The measurement shall not be performed across PTW’s. In this case the measurement is performed in the next available PTW.</w:t>
            </w:r>
          </w:p>
          <w:p w14:paraId="7E3DCBE2" w14:textId="77777777" w:rsidR="00D77779" w:rsidRPr="00806346" w:rsidRDefault="00D77779" w:rsidP="008B25C8">
            <w:pPr>
              <w:pStyle w:val="TAN"/>
              <w:rPr>
                <w:rFonts w:eastAsia="Malgun Gothic"/>
                <w:snapToGrid w:val="0"/>
              </w:rPr>
            </w:pPr>
            <w:r w:rsidRPr="00806346">
              <w:rPr>
                <w:rFonts w:eastAsia="Malgun Gothic"/>
                <w:snapToGrid w:val="0"/>
              </w:rPr>
              <w:t>Note 6:</w:t>
            </w:r>
            <w:r w:rsidRPr="00806346">
              <w:rPr>
                <w:rFonts w:eastAsia="Malgun Gothic"/>
                <w:snapToGrid w:val="0"/>
              </w:rPr>
              <w:tab/>
              <w:t>The evaluation shall not be performed across PTW’s.</w:t>
            </w:r>
          </w:p>
          <w:p w14:paraId="23C39DC1" w14:textId="77777777" w:rsidR="00D77779" w:rsidRPr="00581E8E" w:rsidRDefault="00D77779" w:rsidP="008B25C8">
            <w:pPr>
              <w:pStyle w:val="TAN"/>
              <w:rPr>
                <w:rFonts w:cs="Arial"/>
              </w:rPr>
            </w:pPr>
            <w:r w:rsidRPr="00806346">
              <w:rPr>
                <w:rFonts w:eastAsia="Malgun Gothic"/>
                <w:snapToGrid w:val="0"/>
              </w:rPr>
              <w:t>Note 7:</w:t>
            </w:r>
            <w:r w:rsidRPr="00806346">
              <w:rPr>
                <w:rFonts w:eastAsia="Malgun Gothic"/>
                <w:snapToGrid w:val="0"/>
              </w:rPr>
              <w:tab/>
            </w:r>
            <w:r>
              <w:rPr>
                <w:rFonts w:eastAsia="Malgun Gothic"/>
                <w:snapToGrid w:val="0"/>
              </w:rPr>
              <w:t>K1</w:t>
            </w:r>
            <w:r w:rsidRPr="00806346">
              <w:rPr>
                <w:rFonts w:eastAsia="Malgun Gothic"/>
                <w:snapToGrid w:val="0"/>
              </w:rPr>
              <w:t xml:space="preserve"> = </w:t>
            </w:r>
            <w:r>
              <w:rPr>
                <w:rFonts w:eastAsia="Malgun Gothic"/>
                <w:snapToGrid w:val="0"/>
              </w:rPr>
              <w:t>3</w:t>
            </w:r>
            <w:r w:rsidRPr="00806346">
              <w:rPr>
                <w:rFonts w:eastAsia="Malgun Gothic"/>
                <w:snapToGrid w:val="0"/>
              </w:rPr>
              <w:t xml:space="preserve"> is the measurement relaxation factor applicable for UE fulfilling the </w:t>
            </w:r>
            <w:r w:rsidRPr="00485479">
              <w:rPr>
                <w:i/>
                <w:iCs/>
              </w:rPr>
              <w:t>cellEdgeEvaluation</w:t>
            </w:r>
            <w:r>
              <w:rPr>
                <w:i/>
                <w:iCs/>
              </w:rPr>
              <w:t xml:space="preserve"> criterion</w:t>
            </w:r>
            <w:r w:rsidRPr="00806346">
              <w:rPr>
                <w:rFonts w:eastAsia="Malgun Gothic"/>
                <w:snapToGrid w:val="0"/>
              </w:rPr>
              <w:t xml:space="preserve"> [2].</w:t>
            </w:r>
          </w:p>
        </w:tc>
      </w:tr>
    </w:tbl>
    <w:p w14:paraId="4E690055" w14:textId="77777777" w:rsidR="00D77779" w:rsidRPr="000B6693" w:rsidRDefault="00D77779" w:rsidP="00D77779">
      <w:pPr>
        <w:rPr>
          <w:lang w:eastAsia="zh-CN"/>
        </w:rPr>
      </w:pPr>
    </w:p>
    <w:p w14:paraId="2D3E893B" w14:textId="77777777" w:rsidR="00D77779" w:rsidRDefault="00D77779" w:rsidP="00D77779">
      <w:pPr>
        <w:pStyle w:val="Heading5"/>
        <w:rPr>
          <w:lang w:val="en-US" w:eastAsia="zh-CN"/>
        </w:rPr>
      </w:pPr>
      <w:r>
        <w:rPr>
          <w:lang w:val="en-US" w:eastAsia="zh-CN"/>
        </w:rPr>
        <w:t>4.2B.2.9.11</w:t>
      </w:r>
      <w:r w:rsidRPr="00885F53">
        <w:rPr>
          <w:lang w:val="en-US" w:eastAsia="zh-CN"/>
        </w:rPr>
        <w:tab/>
      </w:r>
      <w:r>
        <w:rPr>
          <w:lang w:val="en-US" w:eastAsia="zh-CN"/>
        </w:rPr>
        <w:t>Measurements for UE fulfilling low mobility and not-at-cell edge criteria</w:t>
      </w:r>
    </w:p>
    <w:p w14:paraId="532379CB" w14:textId="77777777" w:rsidR="00D77779" w:rsidRDefault="00D77779" w:rsidP="00D77779">
      <w:pPr>
        <w:rPr>
          <w:rFonts w:eastAsiaTheme="minorEastAsia"/>
          <w:lang w:eastAsia="zh-CN"/>
        </w:rPr>
      </w:pPr>
      <w:r w:rsidRPr="00885F53">
        <w:rPr>
          <w:lang w:val="en-US" w:eastAsia="zh-CN"/>
        </w:rPr>
        <w:t xml:space="preserve">This clause contains requirements </w:t>
      </w:r>
      <w:r>
        <w:rPr>
          <w:rFonts w:eastAsiaTheme="minorEastAsia"/>
          <w:lang w:eastAsia="zh-CN"/>
        </w:rPr>
        <w:t>for measurements on intra-frequency NR cells provided that:</w:t>
      </w:r>
    </w:p>
    <w:p w14:paraId="13044707" w14:textId="77777777" w:rsidR="00D77779" w:rsidRPr="00AD77EE" w:rsidRDefault="00D77779" w:rsidP="00D77779">
      <w:pPr>
        <w:pStyle w:val="B10"/>
        <w:rPr>
          <w:lang w:eastAsia="zh-CN"/>
        </w:rPr>
      </w:pPr>
      <w:r>
        <w:rPr>
          <w:noProof/>
        </w:rPr>
        <w:t>-</w:t>
      </w:r>
      <w:r>
        <w:rPr>
          <w:noProof/>
        </w:rPr>
        <w:tab/>
      </w:r>
      <w:r w:rsidRPr="000A4CE3">
        <w:rPr>
          <w:lang w:eastAsia="zh-CN"/>
        </w:rPr>
        <w:t xml:space="preserve">UE is configured with </w:t>
      </w:r>
      <w:r w:rsidRPr="00AD77EE">
        <w:rPr>
          <w:lang w:eastAsia="zh-CN"/>
        </w:rPr>
        <w:t xml:space="preserve">both </w:t>
      </w:r>
      <w:r w:rsidRPr="001C6668">
        <w:rPr>
          <w:i/>
          <w:iCs/>
          <w:lang w:eastAsia="zh-CN"/>
        </w:rPr>
        <w:t>lowMobilityEvaluation</w:t>
      </w:r>
      <w:r w:rsidDel="00575BE1">
        <w:rPr>
          <w:i/>
          <w:iCs/>
          <w:lang w:eastAsia="zh-CN"/>
        </w:rPr>
        <w:t xml:space="preserve"> </w:t>
      </w:r>
      <w:r>
        <w:rPr>
          <w:lang w:eastAsia="zh-CN"/>
        </w:rPr>
        <w:t>[2]</w:t>
      </w:r>
      <w:r w:rsidRPr="00AD77EE">
        <w:rPr>
          <w:lang w:eastAsia="zh-CN"/>
        </w:rPr>
        <w:t xml:space="preserve"> criterion and </w:t>
      </w:r>
      <w:r w:rsidRPr="00485479">
        <w:rPr>
          <w:i/>
          <w:iCs/>
          <w:lang w:eastAsia="zh-CN"/>
        </w:rPr>
        <w:t>cellEdgeEvaluation</w:t>
      </w:r>
      <w:r>
        <w:rPr>
          <w:i/>
          <w:iCs/>
          <w:lang w:eastAsia="zh-CN"/>
        </w:rPr>
        <w:t xml:space="preserve"> </w:t>
      </w:r>
      <w:r>
        <w:rPr>
          <w:lang w:eastAsia="zh-CN"/>
        </w:rPr>
        <w:t>[2]</w:t>
      </w:r>
      <w:r w:rsidRPr="00AD77EE">
        <w:rPr>
          <w:lang w:eastAsia="zh-CN"/>
        </w:rPr>
        <w:t xml:space="preserve"> criterion, </w:t>
      </w:r>
      <w:r>
        <w:rPr>
          <w:lang w:eastAsia="zh-CN"/>
        </w:rPr>
        <w:t xml:space="preserve">and </w:t>
      </w:r>
    </w:p>
    <w:p w14:paraId="262588B3" w14:textId="77777777" w:rsidR="00D77779" w:rsidRDefault="00D77779" w:rsidP="00D77779">
      <w:pPr>
        <w:pStyle w:val="B10"/>
        <w:rPr>
          <w:lang w:eastAsia="zh-CN"/>
        </w:rPr>
      </w:pPr>
      <w:r>
        <w:rPr>
          <w:noProof/>
        </w:rPr>
        <w:t>-</w:t>
      </w:r>
      <w:r>
        <w:rPr>
          <w:noProof/>
        </w:rPr>
        <w:tab/>
      </w:r>
      <w:r w:rsidRPr="00AD77EE">
        <w:rPr>
          <w:lang w:eastAsia="zh-CN"/>
        </w:rPr>
        <w:t xml:space="preserve">has </w:t>
      </w:r>
      <w:r>
        <w:rPr>
          <w:lang w:eastAsia="zh-CN"/>
        </w:rPr>
        <w:t xml:space="preserve">also </w:t>
      </w:r>
      <w:r w:rsidRPr="00AD77EE">
        <w:rPr>
          <w:lang w:eastAsia="zh-CN"/>
        </w:rPr>
        <w:t xml:space="preserve">fulfilled </w:t>
      </w:r>
      <w:r>
        <w:rPr>
          <w:lang w:eastAsia="zh-CN"/>
        </w:rPr>
        <w:t>both criteria, and</w:t>
      </w:r>
    </w:p>
    <w:p w14:paraId="08F9F480" w14:textId="77777777" w:rsidR="00D77779" w:rsidRDefault="00D77779" w:rsidP="00D77779">
      <w:pPr>
        <w:pStyle w:val="B10"/>
        <w:rPr>
          <w:rFonts w:eastAsiaTheme="minorEastAsia"/>
          <w:lang w:eastAsia="zh-CN"/>
        </w:rPr>
      </w:pPr>
      <w:r>
        <w:rPr>
          <w:rFonts w:eastAsiaTheme="minorEastAsia"/>
          <w:lang w:eastAsia="zh-CN"/>
        </w:rPr>
        <w:t>-</w:t>
      </w:r>
      <w:r>
        <w:rPr>
          <w:rFonts w:eastAsiaTheme="minorEastAsia"/>
          <w:lang w:eastAsia="zh-CN"/>
        </w:rPr>
        <w:tab/>
        <w:t>less than 1 hour have passed since measurements for cell reselection were last performed</w:t>
      </w:r>
    </w:p>
    <w:p w14:paraId="78259230" w14:textId="77777777" w:rsidR="00D77779" w:rsidRDefault="00D77779" w:rsidP="00D77779">
      <w:r>
        <w:rPr>
          <w:lang w:eastAsia="zh-CN"/>
        </w:rPr>
        <w:t>In this case t</w:t>
      </w:r>
      <w:r w:rsidRPr="00F15959">
        <w:rPr>
          <w:lang w:eastAsia="zh-CN"/>
        </w:rPr>
        <w:t>he UE</w:t>
      </w:r>
      <w:r>
        <w:rPr>
          <w:lang w:eastAsia="zh-CN"/>
        </w:rPr>
        <w:t xml:space="preserve"> </w:t>
      </w:r>
      <w:r w:rsidRPr="00F15959">
        <w:rPr>
          <w:lang w:eastAsia="zh-CN"/>
        </w:rPr>
        <w:t xml:space="preserve">is not required to meet </w:t>
      </w:r>
      <w:r w:rsidRPr="00950DA1">
        <w:rPr>
          <w:rFonts w:ascii="Arial" w:hAnsi="Arial"/>
          <w:sz w:val="18"/>
        </w:rPr>
        <w:t>T</w:t>
      </w:r>
      <w:r w:rsidRPr="00950DA1">
        <w:rPr>
          <w:rFonts w:ascii="Arial" w:hAnsi="Arial"/>
          <w:sz w:val="18"/>
          <w:vertAlign w:val="subscript"/>
        </w:rPr>
        <w:t>detect,NR_Intra</w:t>
      </w:r>
      <w:r w:rsidRPr="00703678">
        <w:rPr>
          <w:rFonts w:ascii="Arial" w:hAnsi="Arial"/>
          <w:sz w:val="18"/>
          <w:vertAlign w:val="subscript"/>
        </w:rPr>
        <w:t>_RedCap</w:t>
      </w:r>
      <w:r w:rsidRPr="00F15959">
        <w:rPr>
          <w:vertAlign w:val="subscript"/>
        </w:rPr>
        <w:t>,</w:t>
      </w:r>
      <w:r w:rsidRPr="00DD1374">
        <w:t xml:space="preserve"> </w:t>
      </w:r>
      <w:r w:rsidRPr="00950DA1">
        <w:rPr>
          <w:rFonts w:ascii="Arial" w:hAnsi="Arial"/>
          <w:sz w:val="18"/>
        </w:rPr>
        <w:t>T</w:t>
      </w:r>
      <w:r w:rsidRPr="00950DA1">
        <w:rPr>
          <w:rFonts w:ascii="Arial" w:hAnsi="Arial"/>
          <w:sz w:val="18"/>
          <w:vertAlign w:val="subscript"/>
        </w:rPr>
        <w:t>measure,NR_Intra</w:t>
      </w:r>
      <w:r w:rsidRPr="00703678">
        <w:rPr>
          <w:rFonts w:ascii="Arial" w:hAnsi="Arial"/>
          <w:sz w:val="18"/>
          <w:vertAlign w:val="subscript"/>
        </w:rPr>
        <w:t>_RedCap</w:t>
      </w:r>
      <w:r w:rsidRPr="00F15959">
        <w:t xml:space="preserve"> and </w:t>
      </w:r>
      <w:r w:rsidRPr="00950DA1">
        <w:rPr>
          <w:rFonts w:ascii="Arial" w:hAnsi="Arial"/>
          <w:sz w:val="18"/>
        </w:rPr>
        <w:t>T</w:t>
      </w:r>
      <w:r w:rsidRPr="00950DA1">
        <w:rPr>
          <w:rFonts w:ascii="Arial" w:hAnsi="Arial"/>
          <w:sz w:val="18"/>
          <w:vertAlign w:val="subscript"/>
        </w:rPr>
        <w:t>evaluate,NR_</w:t>
      </w:r>
      <w:r w:rsidRPr="00950DA1">
        <w:rPr>
          <w:rFonts w:ascii="Arial" w:hAnsi="Arial" w:cs="v4.2.0"/>
          <w:sz w:val="18"/>
          <w:vertAlign w:val="subscript"/>
        </w:rPr>
        <w:t>Intr</w:t>
      </w:r>
      <w:r>
        <w:rPr>
          <w:rFonts w:ascii="Arial" w:hAnsi="Arial" w:cs="v4.2.0"/>
          <w:sz w:val="18"/>
          <w:vertAlign w:val="subscript"/>
        </w:rPr>
        <w:t>m</w:t>
      </w:r>
      <w:r w:rsidRPr="00950DA1">
        <w:rPr>
          <w:rFonts w:ascii="Arial" w:hAnsi="Arial" w:cs="v4.2.0"/>
          <w:sz w:val="18"/>
          <w:vertAlign w:val="subscript"/>
        </w:rPr>
        <w:t>a</w:t>
      </w:r>
      <w:r w:rsidRPr="00703678">
        <w:rPr>
          <w:rFonts w:ascii="Arial" w:hAnsi="Arial" w:cs="v4.2.0"/>
          <w:sz w:val="18"/>
          <w:vertAlign w:val="subscript"/>
        </w:rPr>
        <w:t>_RedCap</w:t>
      </w:r>
      <w:r w:rsidRPr="00F15959">
        <w:rPr>
          <w:lang w:eastAsia="zh-CN"/>
        </w:rPr>
        <w:t xml:space="preserve"> a</w:t>
      </w:r>
      <w:r w:rsidRPr="0089796C">
        <w:rPr>
          <w:lang w:eastAsia="zh-CN"/>
        </w:rPr>
        <w:t xml:space="preserve">s defined </w:t>
      </w:r>
      <w:r w:rsidRPr="00D04289">
        <w:rPr>
          <w:lang w:eastAsia="zh-CN"/>
        </w:rPr>
        <w:t>in Table 4.2</w:t>
      </w:r>
      <w:r w:rsidRPr="00034E52">
        <w:rPr>
          <w:lang w:eastAsia="zh-CN"/>
        </w:rPr>
        <w:t>B</w:t>
      </w:r>
      <w:r w:rsidRPr="00D04289">
        <w:rPr>
          <w:lang w:eastAsia="zh-CN"/>
        </w:rPr>
        <w:t>.2.3.</w:t>
      </w:r>
    </w:p>
    <w:p w14:paraId="54662469" w14:textId="77777777" w:rsidR="00D77779" w:rsidRPr="00566B67" w:rsidRDefault="00D77779" w:rsidP="00D77779">
      <w:pPr>
        <w:rPr>
          <w:rFonts w:cs="v4.2.0"/>
        </w:rPr>
      </w:pPr>
    </w:p>
    <w:p w14:paraId="503443A0" w14:textId="77777777" w:rsidR="00F87F95" w:rsidRDefault="00F87F95" w:rsidP="00F87F95">
      <w:pPr>
        <w:pStyle w:val="Heading4"/>
      </w:pPr>
      <w:r>
        <w:t>4.2B.2.10</w:t>
      </w:r>
      <w:r>
        <w:tab/>
        <w:t>Measurements of inter-frequency NR cells for UE configured with relaxed measurement criterion</w:t>
      </w:r>
    </w:p>
    <w:p w14:paraId="001335C2" w14:textId="77777777" w:rsidR="00F87F95" w:rsidRPr="00C83CA1" w:rsidRDefault="00F87F95" w:rsidP="00F87F95">
      <w:pPr>
        <w:pStyle w:val="Heading5"/>
        <w:rPr>
          <w:lang w:val="en-US" w:eastAsia="zh-CN"/>
        </w:rPr>
      </w:pPr>
      <w:r>
        <w:rPr>
          <w:lang w:val="en-US" w:eastAsia="zh-CN"/>
        </w:rPr>
        <w:t>4.2B.2.10</w:t>
      </w:r>
      <w:r w:rsidRPr="00C83CA1">
        <w:rPr>
          <w:lang w:val="en-US" w:eastAsia="zh-CN"/>
        </w:rPr>
        <w:t>.1</w:t>
      </w:r>
      <w:r>
        <w:rPr>
          <w:lang w:val="en-US" w:eastAsia="zh-CN"/>
        </w:rPr>
        <w:tab/>
      </w:r>
      <w:r w:rsidRPr="00C83CA1">
        <w:rPr>
          <w:lang w:val="en-US" w:eastAsia="zh-CN"/>
        </w:rPr>
        <w:t>Introduction</w:t>
      </w:r>
    </w:p>
    <w:p w14:paraId="7C0204C7" w14:textId="265CA781" w:rsidR="00F87F95" w:rsidRPr="00EF59D1" w:rsidRDefault="00027E5C" w:rsidP="00F87F95">
      <w:pPr>
        <w:rPr>
          <w:noProof/>
        </w:rPr>
      </w:pPr>
      <w:r w:rsidRPr="00EF59D1">
        <w:rPr>
          <w:noProof/>
        </w:rPr>
        <w:t xml:space="preserve">This </w:t>
      </w:r>
      <w:r>
        <w:rPr>
          <w:noProof/>
        </w:rPr>
        <w:t>clause</w:t>
      </w:r>
      <w:r w:rsidRPr="00EF59D1">
        <w:rPr>
          <w:noProof/>
        </w:rPr>
        <w:t xml:space="preserve"> contains the requirements for measurements on </w:t>
      </w:r>
      <w:r>
        <w:rPr>
          <w:noProof/>
        </w:rPr>
        <w:t>inter</w:t>
      </w:r>
      <w:r w:rsidRPr="00EF59D1">
        <w:rPr>
          <w:noProof/>
        </w:rPr>
        <w:t xml:space="preserve">-frequency NR cells </w:t>
      </w:r>
      <w:r w:rsidRPr="00734785">
        <w:rPr>
          <w:lang w:eastAsia="zh-CN"/>
        </w:rPr>
        <w:t xml:space="preserve">when the UE is </w:t>
      </w:r>
      <w:r w:rsidRPr="00C83CA1">
        <w:rPr>
          <w:lang w:eastAsia="zh-CN"/>
        </w:rPr>
        <w:t xml:space="preserve">configured </w:t>
      </w:r>
      <w:r w:rsidRPr="00C83CA1">
        <w:rPr>
          <w:noProof/>
        </w:rPr>
        <w:t>any of the following relaxed measurement critera:</w:t>
      </w:r>
    </w:p>
    <w:p w14:paraId="747E3410" w14:textId="77777777" w:rsidR="00F87F95" w:rsidRDefault="00F87F95" w:rsidP="00F87F95">
      <w:pPr>
        <w:pStyle w:val="B10"/>
        <w:rPr>
          <w:noProof/>
        </w:rPr>
      </w:pPr>
      <w:r>
        <w:rPr>
          <w:noProof/>
        </w:rPr>
        <w:t>-</w:t>
      </w:r>
      <w:r>
        <w:rPr>
          <w:noProof/>
        </w:rPr>
        <w:tab/>
      </w:r>
      <w:r w:rsidRPr="007D632B">
        <w:rPr>
          <w:noProof/>
        </w:rPr>
        <w:t>Relaxed measurement criterion for</w:t>
      </w:r>
      <w:r>
        <w:rPr>
          <w:noProof/>
        </w:rPr>
        <w:t xml:space="preserve"> a stationary </w:t>
      </w:r>
      <w:r w:rsidRPr="007D632B">
        <w:rPr>
          <w:noProof/>
        </w:rPr>
        <w:t>UE</w:t>
      </w:r>
      <w:r w:rsidRPr="00950DA1">
        <w:rPr>
          <w:noProof/>
        </w:rPr>
        <w:t xml:space="preserve"> defined in clause 5.</w:t>
      </w:r>
      <w:r>
        <w:rPr>
          <w:noProof/>
        </w:rPr>
        <w:t>2</w:t>
      </w:r>
      <w:r w:rsidRPr="00950DA1">
        <w:rPr>
          <w:noProof/>
        </w:rPr>
        <w:t>.4.</w:t>
      </w:r>
      <w:r>
        <w:rPr>
          <w:noProof/>
        </w:rPr>
        <w:t>9.3</w:t>
      </w:r>
      <w:r w:rsidRPr="00950DA1">
        <w:rPr>
          <w:noProof/>
        </w:rPr>
        <w:t xml:space="preserve"> in [</w:t>
      </w:r>
      <w:r>
        <w:rPr>
          <w:noProof/>
        </w:rPr>
        <w:t>1</w:t>
      </w:r>
      <w:r w:rsidRPr="00950DA1">
        <w:rPr>
          <w:noProof/>
        </w:rPr>
        <w:t>],</w:t>
      </w:r>
    </w:p>
    <w:p w14:paraId="28A03556" w14:textId="77777777" w:rsidR="00F87F95" w:rsidRDefault="00F87F95" w:rsidP="00F87F95">
      <w:pPr>
        <w:pStyle w:val="B10"/>
        <w:rPr>
          <w:noProof/>
        </w:rPr>
      </w:pPr>
      <w:r>
        <w:rPr>
          <w:noProof/>
        </w:rPr>
        <w:t>-</w:t>
      </w:r>
      <w:r>
        <w:rPr>
          <w:noProof/>
        </w:rPr>
        <w:tab/>
      </w:r>
      <w:r w:rsidRPr="007D632B">
        <w:rPr>
          <w:noProof/>
        </w:rPr>
        <w:t>Relaxed measurement criterion for</w:t>
      </w:r>
      <w:r>
        <w:rPr>
          <w:noProof/>
        </w:rPr>
        <w:t xml:space="preserve"> a stationary </w:t>
      </w:r>
      <w:r w:rsidRPr="007D632B">
        <w:rPr>
          <w:noProof/>
        </w:rPr>
        <w:t>U</w:t>
      </w:r>
      <w:r>
        <w:rPr>
          <w:noProof/>
        </w:rPr>
        <w:t xml:space="preserve">E not at cell edge </w:t>
      </w:r>
      <w:r w:rsidRPr="00950DA1">
        <w:rPr>
          <w:noProof/>
        </w:rPr>
        <w:t>defined in clause 5.</w:t>
      </w:r>
      <w:r>
        <w:rPr>
          <w:noProof/>
        </w:rPr>
        <w:t>2</w:t>
      </w:r>
      <w:r w:rsidRPr="00950DA1">
        <w:rPr>
          <w:noProof/>
        </w:rPr>
        <w:t>.4.</w:t>
      </w:r>
      <w:r>
        <w:rPr>
          <w:noProof/>
        </w:rPr>
        <w:t>9.4</w:t>
      </w:r>
      <w:r w:rsidRPr="00950DA1">
        <w:rPr>
          <w:noProof/>
        </w:rPr>
        <w:t xml:space="preserve"> in [</w:t>
      </w:r>
      <w:r>
        <w:rPr>
          <w:noProof/>
        </w:rPr>
        <w:t>1</w:t>
      </w:r>
      <w:r w:rsidRPr="00950DA1">
        <w:rPr>
          <w:noProof/>
        </w:rPr>
        <w:t>],</w:t>
      </w:r>
    </w:p>
    <w:p w14:paraId="252AF0E5" w14:textId="6FFCEC8C" w:rsidR="00F87F95" w:rsidRDefault="00F87F95" w:rsidP="00F87F95">
      <w:pPr>
        <w:pStyle w:val="B10"/>
        <w:rPr>
          <w:noProof/>
        </w:rPr>
      </w:pPr>
      <w:r>
        <w:rPr>
          <w:noProof/>
        </w:rPr>
        <w:t>-</w:t>
      </w:r>
      <w:r>
        <w:rPr>
          <w:noProof/>
        </w:rPr>
        <w:tab/>
        <w:t xml:space="preserve">Both </w:t>
      </w:r>
      <w:r w:rsidRPr="00950DA1">
        <w:rPr>
          <w:noProof/>
        </w:rPr>
        <w:t xml:space="preserve">low mobility </w:t>
      </w:r>
      <w:r>
        <w:rPr>
          <w:noProof/>
        </w:rPr>
        <w:t xml:space="preserve">criterion and stationary criterion as </w:t>
      </w:r>
      <w:r w:rsidRPr="00950DA1">
        <w:rPr>
          <w:noProof/>
        </w:rPr>
        <w:t>defined in clause 5.2.4.</w:t>
      </w:r>
      <w:r>
        <w:rPr>
          <w:noProof/>
        </w:rPr>
        <w:t>9</w:t>
      </w:r>
      <w:r w:rsidRPr="00950DA1">
        <w:rPr>
          <w:noProof/>
        </w:rPr>
        <w:t>.1</w:t>
      </w:r>
      <w:r>
        <w:rPr>
          <w:noProof/>
        </w:rPr>
        <w:t xml:space="preserve"> and </w:t>
      </w:r>
      <w:r w:rsidRPr="00950DA1">
        <w:rPr>
          <w:noProof/>
        </w:rPr>
        <w:t>5.</w:t>
      </w:r>
      <w:r>
        <w:rPr>
          <w:noProof/>
        </w:rPr>
        <w:t>2</w:t>
      </w:r>
      <w:r w:rsidRPr="00950DA1">
        <w:rPr>
          <w:noProof/>
        </w:rPr>
        <w:t>.4.</w:t>
      </w:r>
      <w:r>
        <w:rPr>
          <w:noProof/>
        </w:rPr>
        <w:t>9.3 or 5.2.4.9.4</w:t>
      </w:r>
      <w:r w:rsidRPr="00950DA1">
        <w:rPr>
          <w:noProof/>
        </w:rPr>
        <w:t xml:space="preserve"> in [1]</w:t>
      </w:r>
      <w:r>
        <w:rPr>
          <w:noProof/>
        </w:rPr>
        <w:t xml:space="preserve"> respectively.</w:t>
      </w:r>
    </w:p>
    <w:p w14:paraId="1267D8B2" w14:textId="77777777" w:rsidR="00027E5C" w:rsidRPr="00F52E47" w:rsidRDefault="00027E5C" w:rsidP="00027E5C">
      <w:pPr>
        <w:pStyle w:val="B10"/>
        <w:rPr>
          <w:noProof/>
        </w:rPr>
      </w:pPr>
      <w:r>
        <w:rPr>
          <w:noProof/>
        </w:rPr>
        <w:t>-</w:t>
      </w:r>
      <w:r>
        <w:rPr>
          <w:noProof/>
        </w:rPr>
        <w:tab/>
      </w:r>
      <w:r w:rsidRPr="00C33767">
        <w:rPr>
          <w:noProof/>
        </w:rPr>
        <w:t>Relaxed m</w:t>
      </w:r>
      <w:r w:rsidRPr="00F52E47">
        <w:rPr>
          <w:noProof/>
        </w:rPr>
        <w:t>easurement criterion for UE with low mobility defined in clause 5.2.4.</w:t>
      </w:r>
      <w:r>
        <w:rPr>
          <w:noProof/>
        </w:rPr>
        <w:t>9</w:t>
      </w:r>
      <w:r w:rsidRPr="00F52E47">
        <w:rPr>
          <w:noProof/>
        </w:rPr>
        <w:t>.1 in [1],</w:t>
      </w:r>
    </w:p>
    <w:p w14:paraId="34F0D957" w14:textId="77777777" w:rsidR="00027E5C" w:rsidRPr="00F52E47" w:rsidRDefault="00027E5C" w:rsidP="00027E5C">
      <w:pPr>
        <w:pStyle w:val="B10"/>
        <w:rPr>
          <w:noProof/>
        </w:rPr>
      </w:pPr>
      <w:r>
        <w:rPr>
          <w:noProof/>
        </w:rPr>
        <w:t>-</w:t>
      </w:r>
      <w:r>
        <w:rPr>
          <w:noProof/>
        </w:rPr>
        <w:tab/>
      </w:r>
      <w:r w:rsidRPr="00F52E47">
        <w:rPr>
          <w:noProof/>
        </w:rPr>
        <w:t>Relaxed measurement criterion for UE not</w:t>
      </w:r>
      <w:r>
        <w:rPr>
          <w:noProof/>
        </w:rPr>
        <w:t>-</w:t>
      </w:r>
      <w:r w:rsidRPr="00F52E47">
        <w:rPr>
          <w:noProof/>
        </w:rPr>
        <w:t>at</w:t>
      </w:r>
      <w:r>
        <w:rPr>
          <w:noProof/>
        </w:rPr>
        <w:t>-</w:t>
      </w:r>
      <w:r w:rsidRPr="00F52E47">
        <w:rPr>
          <w:noProof/>
        </w:rPr>
        <w:t>cell edge defined in clause 5.2.4.</w:t>
      </w:r>
      <w:r w:rsidRPr="00FA1949" w:rsidDel="00E1759F">
        <w:rPr>
          <w:noProof/>
        </w:rPr>
        <w:t xml:space="preserve"> </w:t>
      </w:r>
      <w:r>
        <w:rPr>
          <w:noProof/>
        </w:rPr>
        <w:t>9</w:t>
      </w:r>
      <w:r w:rsidRPr="00F52E47">
        <w:rPr>
          <w:noProof/>
        </w:rPr>
        <w:t>.2 in [1],</w:t>
      </w:r>
    </w:p>
    <w:p w14:paraId="550B986A" w14:textId="16CEACAF" w:rsidR="00027E5C" w:rsidRDefault="00027E5C" w:rsidP="00027E5C">
      <w:pPr>
        <w:pStyle w:val="B10"/>
        <w:rPr>
          <w:noProof/>
        </w:rPr>
      </w:pPr>
      <w:r>
        <w:rPr>
          <w:noProof/>
        </w:rPr>
        <w:t>-</w:t>
      </w:r>
      <w:r>
        <w:rPr>
          <w:noProof/>
        </w:rPr>
        <w:tab/>
      </w:r>
      <w:r w:rsidRPr="00F52E47">
        <w:rPr>
          <w:noProof/>
        </w:rPr>
        <w:t>Both low mobility criterion and not</w:t>
      </w:r>
      <w:r>
        <w:rPr>
          <w:noProof/>
        </w:rPr>
        <w:t>-</w:t>
      </w:r>
      <w:r w:rsidRPr="00F52E47">
        <w:rPr>
          <w:noProof/>
        </w:rPr>
        <w:t>at</w:t>
      </w:r>
      <w:r>
        <w:rPr>
          <w:noProof/>
        </w:rPr>
        <w:t>-</w:t>
      </w:r>
      <w:r w:rsidRPr="00F52E47">
        <w:rPr>
          <w:noProof/>
        </w:rPr>
        <w:t>cell edge criterion as defined in clauses 5.2.4.</w:t>
      </w:r>
      <w:r w:rsidRPr="00FA1949" w:rsidDel="00E1759F">
        <w:rPr>
          <w:noProof/>
        </w:rPr>
        <w:t xml:space="preserve"> </w:t>
      </w:r>
      <w:r>
        <w:rPr>
          <w:noProof/>
        </w:rPr>
        <w:t>9</w:t>
      </w:r>
      <w:r w:rsidRPr="00F52E47">
        <w:rPr>
          <w:noProof/>
        </w:rPr>
        <w:t>.1 and 5.2.4.</w:t>
      </w:r>
      <w:r>
        <w:rPr>
          <w:noProof/>
        </w:rPr>
        <w:t>9</w:t>
      </w:r>
      <w:r w:rsidRPr="00F52E47">
        <w:rPr>
          <w:noProof/>
        </w:rPr>
        <w:t>.2 in [1] respectively.</w:t>
      </w:r>
    </w:p>
    <w:p w14:paraId="4A31373B" w14:textId="77777777" w:rsidR="00B822F3" w:rsidRDefault="00B822F3" w:rsidP="000558CD">
      <w:pPr>
        <w:pStyle w:val="B10"/>
        <w:rPr>
          <w:noProof/>
        </w:rPr>
      </w:pPr>
    </w:p>
    <w:p w14:paraId="7B68540F" w14:textId="77777777" w:rsidR="00F87F95" w:rsidRDefault="00F87F95" w:rsidP="00F87F95">
      <w:pPr>
        <w:pStyle w:val="Heading5"/>
        <w:rPr>
          <w:lang w:val="en-US" w:eastAsia="zh-CN"/>
        </w:rPr>
      </w:pPr>
      <w:r>
        <w:rPr>
          <w:lang w:val="en-US" w:eastAsia="zh-CN"/>
        </w:rPr>
        <w:t>4.2B.2.10.2</w:t>
      </w:r>
      <w:r>
        <w:rPr>
          <w:lang w:val="en-US" w:eastAsia="zh-CN"/>
        </w:rPr>
        <w:tab/>
        <w:t>Measurements for UE fulfilling stationary criterion</w:t>
      </w:r>
    </w:p>
    <w:p w14:paraId="6C6DBF9A" w14:textId="77777777" w:rsidR="00F87F95" w:rsidRPr="00EF59D1" w:rsidRDefault="00F87F95" w:rsidP="00F87F95">
      <w:pPr>
        <w:rPr>
          <w:lang w:eastAsia="zh-CN"/>
        </w:rPr>
      </w:pPr>
      <w:r w:rsidRPr="00C83CA1">
        <w:rPr>
          <w:lang w:val="en-US" w:eastAsia="zh-CN"/>
        </w:rPr>
        <w:t xml:space="preserve">This clause contains requirements </w:t>
      </w:r>
      <w:r w:rsidRPr="00C83CA1">
        <w:rPr>
          <w:lang w:eastAsia="zh-CN"/>
        </w:rPr>
        <w:t xml:space="preserve">for measurements on </w:t>
      </w:r>
      <w:r>
        <w:rPr>
          <w:lang w:eastAsia="zh-CN"/>
        </w:rPr>
        <w:t>inter</w:t>
      </w:r>
      <w:r w:rsidRPr="00EF59D1">
        <w:rPr>
          <w:lang w:eastAsia="zh-CN"/>
        </w:rPr>
        <w:t>-frequency NR cells provided that:</w:t>
      </w:r>
    </w:p>
    <w:p w14:paraId="495C7666" w14:textId="77777777" w:rsidR="00F87F95" w:rsidRDefault="00F87F95" w:rsidP="00F87F95">
      <w:pPr>
        <w:pStyle w:val="B10"/>
        <w:rPr>
          <w:lang w:eastAsia="zh-CN"/>
        </w:rPr>
      </w:pPr>
      <w:r>
        <w:rPr>
          <w:noProof/>
        </w:rPr>
        <w:t>-</w:t>
      </w:r>
      <w:r>
        <w:rPr>
          <w:noProof/>
        </w:rPr>
        <w:tab/>
      </w:r>
      <w:r w:rsidRPr="007C2D19">
        <w:rPr>
          <w:lang w:eastAsia="zh-CN"/>
        </w:rPr>
        <w:t xml:space="preserve">UE is configured with </w:t>
      </w:r>
      <w:r w:rsidRPr="0013391D">
        <w:rPr>
          <w:i/>
          <w:iCs/>
        </w:rPr>
        <w:t>stationaryMobilityEvaluation</w:t>
      </w:r>
      <w:r w:rsidDel="004B26EA">
        <w:rPr>
          <w:i/>
          <w:iCs/>
          <w:lang w:eastAsia="zh-CN"/>
        </w:rPr>
        <w:t xml:space="preserve"> </w:t>
      </w:r>
      <w:r>
        <w:rPr>
          <w:lang w:eastAsia="zh-CN"/>
        </w:rPr>
        <w:t>[2]</w:t>
      </w:r>
      <w:r w:rsidRPr="007C2D19">
        <w:rPr>
          <w:lang w:eastAsia="zh-CN"/>
        </w:rPr>
        <w:t xml:space="preserve"> </w:t>
      </w:r>
      <w:r w:rsidRPr="00C33767">
        <w:rPr>
          <w:lang w:eastAsia="zh-CN"/>
        </w:rPr>
        <w:t>criterion</w:t>
      </w:r>
      <w:r>
        <w:rPr>
          <w:lang w:eastAsia="zh-CN"/>
        </w:rPr>
        <w:t xml:space="preserve"> and UE has fulfilled that criterion</w:t>
      </w:r>
      <w:r w:rsidRPr="00C33767">
        <w:rPr>
          <w:lang w:eastAsia="zh-CN"/>
        </w:rPr>
        <w:t xml:space="preserve">, or </w:t>
      </w:r>
    </w:p>
    <w:p w14:paraId="0801E4AD" w14:textId="05BCCB7E" w:rsidR="00F87F95" w:rsidRPr="0039265E" w:rsidRDefault="00F87F95" w:rsidP="009177F3">
      <w:pPr>
        <w:pStyle w:val="B10"/>
        <w:rPr>
          <w:lang w:eastAsia="zh-CN"/>
        </w:rPr>
      </w:pPr>
      <w:r>
        <w:rPr>
          <w:noProof/>
        </w:rPr>
        <w:t>-</w:t>
      </w:r>
      <w:r>
        <w:rPr>
          <w:noProof/>
        </w:rPr>
        <w:tab/>
      </w:r>
      <w:r w:rsidRPr="00D36387">
        <w:rPr>
          <w:lang w:eastAsia="zh-CN"/>
        </w:rPr>
        <w:t xml:space="preserve">UE is configured with both </w:t>
      </w:r>
      <w:r w:rsidRPr="006E2031">
        <w:rPr>
          <w:i/>
          <w:noProof/>
        </w:rPr>
        <w:t xml:space="preserve">stationaryMobilityEvaluation </w:t>
      </w:r>
      <w:r>
        <w:rPr>
          <w:lang w:eastAsia="zh-CN"/>
        </w:rPr>
        <w:t>[2]</w:t>
      </w:r>
      <w:r w:rsidRPr="00D36387">
        <w:rPr>
          <w:lang w:eastAsia="zh-CN"/>
        </w:rPr>
        <w:t xml:space="preserve"> criterion and </w:t>
      </w:r>
      <w:r w:rsidRPr="006E2031">
        <w:rPr>
          <w:i/>
          <w:noProof/>
        </w:rPr>
        <w:t xml:space="preserve">cellEdgeEvaluationWhileStationary </w:t>
      </w:r>
      <w:r>
        <w:rPr>
          <w:lang w:eastAsia="zh-CN"/>
        </w:rPr>
        <w:t>[2]</w:t>
      </w:r>
      <w:r w:rsidRPr="00D36387">
        <w:rPr>
          <w:lang w:eastAsia="zh-CN"/>
        </w:rPr>
        <w:t xml:space="preserve"> criter</w:t>
      </w:r>
      <w:r>
        <w:rPr>
          <w:lang w:eastAsia="zh-CN"/>
        </w:rPr>
        <w:t>ion</w:t>
      </w:r>
      <w:r w:rsidRPr="00D36387">
        <w:rPr>
          <w:lang w:eastAsia="zh-CN"/>
        </w:rPr>
        <w:t xml:space="preserve"> </w:t>
      </w:r>
      <w:r>
        <w:rPr>
          <w:lang w:eastAsia="zh-CN"/>
        </w:rPr>
        <w:t xml:space="preserve">and </w:t>
      </w:r>
      <w:r w:rsidRPr="00BA1298">
        <w:rPr>
          <w:i/>
          <w:lang w:eastAsia="zh-CN"/>
        </w:rPr>
        <w:t xml:space="preserve">combineRelaxedMeasCondition2 </w:t>
      </w:r>
      <w:r>
        <w:rPr>
          <w:lang w:eastAsia="zh-CN"/>
        </w:rPr>
        <w:t>[2] not configured, and UE</w:t>
      </w:r>
      <w:r w:rsidRPr="00D36387">
        <w:rPr>
          <w:lang w:eastAsia="zh-CN"/>
        </w:rPr>
        <w:t xml:space="preserve"> has fulfilled only the </w:t>
      </w:r>
      <w:r w:rsidRPr="006E2031">
        <w:rPr>
          <w:i/>
          <w:noProof/>
        </w:rPr>
        <w:t xml:space="preserve">stationaryMobilityEvaluation </w:t>
      </w:r>
      <w:r>
        <w:rPr>
          <w:lang w:eastAsia="zh-CN"/>
        </w:rPr>
        <w:t>[2]</w:t>
      </w:r>
      <w:r w:rsidRPr="00D36387">
        <w:rPr>
          <w:lang w:eastAsia="zh-CN"/>
        </w:rPr>
        <w:t xml:space="preserve"> criterion</w:t>
      </w:r>
      <w:r>
        <w:rPr>
          <w:lang w:eastAsia="zh-CN"/>
        </w:rPr>
        <w:t>, and</w:t>
      </w:r>
    </w:p>
    <w:p w14:paraId="4BAE8734" w14:textId="4775F1B6" w:rsidR="00F87F95" w:rsidRPr="00170812" w:rsidRDefault="00027E5C" w:rsidP="00F87F95">
      <w:pPr>
        <w:rPr>
          <w:noProof/>
        </w:rPr>
      </w:pPr>
      <w:r>
        <w:rPr>
          <w:rFonts w:hint="eastAsia"/>
          <w:noProof/>
          <w:lang w:eastAsia="zh-CN"/>
        </w:rPr>
        <w:t>W</w:t>
      </w:r>
      <w:r w:rsidRPr="007C2D19">
        <w:rPr>
          <w:noProof/>
        </w:rPr>
        <w:t xml:space="preserve">hen </w:t>
      </w:r>
      <w:r w:rsidRPr="00734785">
        <w:rPr>
          <w:rFonts w:eastAsiaTheme="minorEastAsia"/>
          <w:lang w:eastAsia="zh-CN"/>
        </w:rPr>
        <w:t xml:space="preserve">Srxlev </w:t>
      </w:r>
      <w:r w:rsidRPr="00691C10">
        <w:t>≤</w:t>
      </w:r>
      <w:r w:rsidRPr="00734785">
        <w:rPr>
          <w:rFonts w:eastAsiaTheme="minorEastAsia"/>
          <w:lang w:eastAsia="zh-CN"/>
        </w:rPr>
        <w:t xml:space="preserve"> S</w:t>
      </w:r>
      <w:r w:rsidRPr="00C15974">
        <w:rPr>
          <w:rFonts w:eastAsiaTheme="minorEastAsia"/>
          <w:vertAlign w:val="subscript"/>
          <w:lang w:eastAsia="zh-CN"/>
        </w:rPr>
        <w:t>nonIntraSearchP</w:t>
      </w:r>
      <w:r w:rsidRPr="00734785">
        <w:rPr>
          <w:rFonts w:eastAsiaTheme="minorEastAsia"/>
          <w:lang w:eastAsia="zh-CN"/>
        </w:rPr>
        <w:t xml:space="preserve"> </w:t>
      </w:r>
      <w:r>
        <w:rPr>
          <w:rFonts w:eastAsiaTheme="minorEastAsia"/>
          <w:lang w:eastAsia="zh-CN"/>
        </w:rPr>
        <w:t>or</w:t>
      </w:r>
      <w:r w:rsidRPr="00734785">
        <w:rPr>
          <w:rFonts w:eastAsiaTheme="minorEastAsia"/>
          <w:lang w:eastAsia="zh-CN"/>
        </w:rPr>
        <w:t xml:space="preserve"> Squal </w:t>
      </w:r>
      <w:r w:rsidRPr="00691C10">
        <w:t>≤</w:t>
      </w:r>
      <w:r w:rsidRPr="00734785">
        <w:rPr>
          <w:rFonts w:eastAsiaTheme="minorEastAsia"/>
          <w:lang w:eastAsia="zh-CN"/>
        </w:rPr>
        <w:t xml:space="preserve"> S</w:t>
      </w:r>
      <w:r w:rsidRPr="00C15974">
        <w:rPr>
          <w:rFonts w:eastAsiaTheme="minorEastAsia"/>
          <w:vertAlign w:val="subscript"/>
          <w:lang w:eastAsia="zh-CN"/>
        </w:rPr>
        <w:t>nonIntraSearchQ</w:t>
      </w:r>
      <w:r w:rsidRPr="00734785">
        <w:rPr>
          <w:rFonts w:eastAsiaTheme="minorEastAsia"/>
          <w:lang w:eastAsia="zh-CN"/>
        </w:rPr>
        <w:t xml:space="preserve"> </w:t>
      </w:r>
      <w:r>
        <w:rPr>
          <w:rFonts w:eastAsiaTheme="minorEastAsia" w:hint="eastAsia"/>
          <w:lang w:eastAsia="zh-CN"/>
        </w:rPr>
        <w:t>then t</w:t>
      </w:r>
      <w:r>
        <w:rPr>
          <w:rFonts w:eastAsiaTheme="minorEastAsia"/>
          <w:lang w:eastAsia="zh-CN"/>
        </w:rPr>
        <w:t>h</w:t>
      </w:r>
      <w:r w:rsidRPr="0089796C">
        <w:rPr>
          <w:noProof/>
        </w:rPr>
        <w:t xml:space="preserve">e </w:t>
      </w:r>
      <w:r w:rsidRPr="00572CC3">
        <w:rPr>
          <w:noProof/>
        </w:rPr>
        <w:t xml:space="preserve">requirements defined in clause </w:t>
      </w:r>
      <w:r w:rsidRPr="00572CC3">
        <w:t>4.2</w:t>
      </w:r>
      <w:r w:rsidRPr="005A1619">
        <w:t>B</w:t>
      </w:r>
      <w:r w:rsidRPr="009010C6">
        <w:t>.2.</w:t>
      </w:r>
      <w:r w:rsidRPr="004D34A9">
        <w:t xml:space="preserve">4 </w:t>
      </w:r>
      <w:r w:rsidRPr="003400CC">
        <w:rPr>
          <w:noProof/>
        </w:rPr>
        <w:t xml:space="preserve">apply for this </w:t>
      </w:r>
      <w:r w:rsidRPr="00984FB6">
        <w:rPr>
          <w:noProof/>
        </w:rPr>
        <w:t>clause</w:t>
      </w:r>
      <w:r w:rsidRPr="00DB17FD">
        <w:rPr>
          <w:noProof/>
        </w:rPr>
        <w:t xml:space="preserve"> </w:t>
      </w:r>
      <w:r w:rsidRPr="00002984">
        <w:rPr>
          <w:noProof/>
        </w:rPr>
        <w:t>except that:</w:t>
      </w:r>
    </w:p>
    <w:p w14:paraId="2FB2A555" w14:textId="1ADC9361" w:rsidR="00791FB3" w:rsidRPr="00CB35F8" w:rsidRDefault="00791FB3" w:rsidP="00791FB3">
      <w:pPr>
        <w:pStyle w:val="B10"/>
      </w:pPr>
      <w:r w:rsidRPr="00CB35F8">
        <w:t>-</w:t>
      </w:r>
      <w:r w:rsidRPr="00CB35F8">
        <w:tab/>
        <w:t>T</w:t>
      </w:r>
      <w:r w:rsidRPr="00B579C3">
        <w:rPr>
          <w:vertAlign w:val="subscript"/>
        </w:rPr>
        <w:t>detect,</w:t>
      </w:r>
      <w:r w:rsidRPr="00426F42">
        <w:rPr>
          <w:vertAlign w:val="subscript"/>
          <w:lang w:eastAsia="zh-CN"/>
        </w:rPr>
        <w:t>NR</w:t>
      </w:r>
      <w:r w:rsidRPr="000C619A">
        <w:rPr>
          <w:vertAlign w:val="subscript"/>
        </w:rPr>
        <w:t>_In</w:t>
      </w:r>
      <w:r w:rsidRPr="0082197E">
        <w:rPr>
          <w:vertAlign w:val="subscript"/>
        </w:rPr>
        <w:t>ter</w:t>
      </w:r>
      <w:r w:rsidRPr="00572CC3">
        <w:rPr>
          <w:vertAlign w:val="subscript"/>
        </w:rPr>
        <w:t>_RedCap</w:t>
      </w:r>
      <w:r>
        <w:rPr>
          <w:vertAlign w:val="subscript"/>
        </w:rPr>
        <w:t>_Relax</w:t>
      </w:r>
      <w:r w:rsidRPr="005A1619">
        <w:rPr>
          <w:i/>
          <w:vertAlign w:val="subscript"/>
        </w:rPr>
        <w:t xml:space="preserve"> </w:t>
      </w:r>
      <w:r w:rsidRPr="009010C6">
        <w:t xml:space="preserve">as specified in </w:t>
      </w:r>
      <w:r w:rsidRPr="004D34A9">
        <w:t>Table 4.2B</w:t>
      </w:r>
      <w:r w:rsidRPr="003400CC">
        <w:t>.2.</w:t>
      </w:r>
      <w:r w:rsidRPr="00984FB6">
        <w:t>10</w:t>
      </w:r>
      <w:r w:rsidRPr="00DB17FD">
        <w:t>.</w:t>
      </w:r>
      <w:r w:rsidRPr="00002984">
        <w:t>2-1</w:t>
      </w:r>
      <w:r>
        <w:t xml:space="preserve"> and </w:t>
      </w:r>
      <w:r w:rsidRPr="004D34A9">
        <w:t xml:space="preserve">Table </w:t>
      </w:r>
      <w:r>
        <w:t xml:space="preserve">4.2B.2.10.2-2 for </w:t>
      </w:r>
      <w:r>
        <w:rPr>
          <w:lang w:val="en-US"/>
        </w:rPr>
        <w:t>1 Rx RedCap and 2 Rx RedCap</w:t>
      </w:r>
      <w:r>
        <w:t xml:space="preserve"> respectively</w:t>
      </w:r>
      <w:r w:rsidRPr="00170812">
        <w:t>.</w:t>
      </w:r>
    </w:p>
    <w:p w14:paraId="737D876B" w14:textId="1F89D5AA" w:rsidR="00791FB3" w:rsidRPr="00170812" w:rsidRDefault="00791FB3" w:rsidP="00791FB3">
      <w:pPr>
        <w:pStyle w:val="B10"/>
      </w:pPr>
      <w:r w:rsidRPr="00CB35F8">
        <w:t>-</w:t>
      </w:r>
      <w:r w:rsidRPr="00CB35F8">
        <w:tab/>
      </w:r>
      <w:r w:rsidRPr="00B579C3">
        <w:rPr>
          <w:rFonts w:cs="v4.2.0"/>
        </w:rPr>
        <w:t>T</w:t>
      </w:r>
      <w:r w:rsidRPr="00426F42">
        <w:rPr>
          <w:rFonts w:cs="v4.2.0"/>
          <w:vertAlign w:val="subscript"/>
        </w:rPr>
        <w:t>measure,NR_Int</w:t>
      </w:r>
      <w:r w:rsidRPr="0082197E">
        <w:rPr>
          <w:rFonts w:cs="v4.2.0"/>
          <w:vertAlign w:val="subscript"/>
        </w:rPr>
        <w:t>er</w:t>
      </w:r>
      <w:r w:rsidRPr="00572CC3">
        <w:rPr>
          <w:vertAlign w:val="subscript"/>
        </w:rPr>
        <w:t>_RedCap</w:t>
      </w:r>
      <w:r>
        <w:rPr>
          <w:vertAlign w:val="subscript"/>
        </w:rPr>
        <w:t>_Relax</w:t>
      </w:r>
      <w:r w:rsidRPr="005A1619">
        <w:rPr>
          <w:rFonts w:cs="v4.2.0"/>
        </w:rPr>
        <w:t xml:space="preserve"> </w:t>
      </w:r>
      <w:r w:rsidRPr="009010C6">
        <w:t>as specified in Table 4.2</w:t>
      </w:r>
      <w:r w:rsidRPr="004D34A9">
        <w:t>B.2.</w:t>
      </w:r>
      <w:r w:rsidRPr="003400CC">
        <w:t>10</w:t>
      </w:r>
      <w:r w:rsidRPr="00984FB6">
        <w:t>.</w:t>
      </w:r>
      <w:r w:rsidRPr="00DB17FD">
        <w:t>2</w:t>
      </w:r>
      <w:r w:rsidRPr="00002984">
        <w:t>-1</w:t>
      </w:r>
      <w:r>
        <w:t xml:space="preserve"> and </w:t>
      </w:r>
      <w:r w:rsidRPr="004D34A9">
        <w:t xml:space="preserve">Table </w:t>
      </w:r>
      <w:r>
        <w:t xml:space="preserve">4.2B.2.10.2-2 for </w:t>
      </w:r>
      <w:r>
        <w:rPr>
          <w:lang w:val="en-US"/>
        </w:rPr>
        <w:t>1 Rx RedCap and 2 Rx RedCap</w:t>
      </w:r>
      <w:r>
        <w:t xml:space="preserve"> respectively</w:t>
      </w:r>
      <w:r w:rsidRPr="00002984">
        <w:t>.</w:t>
      </w:r>
    </w:p>
    <w:p w14:paraId="1EFE4C52" w14:textId="00868746" w:rsidR="00F87F95" w:rsidRPr="00AD5C2C" w:rsidRDefault="00791FB3" w:rsidP="00791FB3">
      <w:pPr>
        <w:pStyle w:val="B10"/>
      </w:pPr>
      <w:r w:rsidRPr="00CB35F8">
        <w:t>-</w:t>
      </w:r>
      <w:r w:rsidRPr="00CB35F8">
        <w:tab/>
      </w:r>
      <w:r w:rsidRPr="00CB35F8">
        <w:rPr>
          <w:rFonts w:cs="v4.2.0"/>
        </w:rPr>
        <w:t>T</w:t>
      </w:r>
      <w:r w:rsidRPr="00B579C3">
        <w:rPr>
          <w:rFonts w:cs="v4.2.0"/>
          <w:vertAlign w:val="subscript"/>
        </w:rPr>
        <w:t>evaluate,</w:t>
      </w:r>
      <w:r w:rsidRPr="00426F42">
        <w:rPr>
          <w:rFonts w:cs="v4.2.0"/>
          <w:vertAlign w:val="subscript"/>
          <w:lang w:eastAsia="zh-CN"/>
        </w:rPr>
        <w:t>NR</w:t>
      </w:r>
      <w:r w:rsidRPr="000C619A">
        <w:rPr>
          <w:rFonts w:cs="v4.2.0"/>
          <w:vertAlign w:val="subscript"/>
        </w:rPr>
        <w:t>_Int</w:t>
      </w:r>
      <w:r w:rsidRPr="0082197E">
        <w:rPr>
          <w:rFonts w:cs="v4.2.0"/>
          <w:vertAlign w:val="subscript"/>
        </w:rPr>
        <w:t>er</w:t>
      </w:r>
      <w:r w:rsidRPr="00572CC3">
        <w:rPr>
          <w:vertAlign w:val="subscript"/>
        </w:rPr>
        <w:t>_RedCap</w:t>
      </w:r>
      <w:r>
        <w:rPr>
          <w:vertAlign w:val="subscript"/>
        </w:rPr>
        <w:t>_Relax</w:t>
      </w:r>
      <w:r w:rsidRPr="005A1619">
        <w:rPr>
          <w:rFonts w:cs="v4.2.0"/>
          <w:vertAlign w:val="subscript"/>
        </w:rPr>
        <w:t xml:space="preserve"> </w:t>
      </w:r>
      <w:r w:rsidRPr="009010C6">
        <w:t>as specified in Table 4.2</w:t>
      </w:r>
      <w:r w:rsidRPr="004D34A9">
        <w:t>B.2.</w:t>
      </w:r>
      <w:r w:rsidRPr="003400CC">
        <w:t>10</w:t>
      </w:r>
      <w:r w:rsidRPr="00984FB6">
        <w:t>.</w:t>
      </w:r>
      <w:r w:rsidRPr="00DB17FD">
        <w:t>2</w:t>
      </w:r>
      <w:r w:rsidRPr="00002984">
        <w:t>-1</w:t>
      </w:r>
      <w:r>
        <w:t xml:space="preserve"> and </w:t>
      </w:r>
      <w:r w:rsidRPr="004D34A9">
        <w:t xml:space="preserve">Table </w:t>
      </w:r>
      <w:r>
        <w:t xml:space="preserve">4.2B.2.10.2-2 for </w:t>
      </w:r>
      <w:r>
        <w:rPr>
          <w:lang w:val="en-US"/>
        </w:rPr>
        <w:t>1 Rx RedCap and 2 Rx RedCap</w:t>
      </w:r>
      <w:r>
        <w:t xml:space="preserve"> </w:t>
      </w:r>
      <w:r w:rsidRPr="00AD5C2C">
        <w:t>respectively.</w:t>
      </w:r>
    </w:p>
    <w:p w14:paraId="1CC2B7F2" w14:textId="20EE97B2" w:rsidR="00F87F95" w:rsidRDefault="00F87F95" w:rsidP="00F87F95">
      <w:pPr>
        <w:rPr>
          <w:noProof/>
        </w:rPr>
      </w:pPr>
      <w:r w:rsidRPr="0082197E">
        <w:rPr>
          <w:noProof/>
        </w:rPr>
        <w:t xml:space="preserve">If the UE is configured with eDRX_IDLE cycle then the requirements in Table 4.2B.2.10.2-3 and Table 4.2B.2.10.2-4 are applicable for eDRX cycle up to 10.24 s in FR1 and FR2 respectively. </w:t>
      </w:r>
    </w:p>
    <w:p w14:paraId="75178468" w14:textId="77777777" w:rsidR="00F87F95" w:rsidRPr="0082197E" w:rsidRDefault="00F87F95" w:rsidP="00F87F95">
      <w:pPr>
        <w:rPr>
          <w:noProof/>
        </w:rPr>
      </w:pPr>
      <w:r>
        <w:t xml:space="preserve">If the UE is configured with eDRX_IDLE cycle greater than 10.24 s in FR1 and FR2, then the requirements in Table </w:t>
      </w:r>
      <w:r w:rsidRPr="0082197E">
        <w:rPr>
          <w:lang w:val="en-US"/>
        </w:rPr>
        <w:t>Table 4.2B.2.</w:t>
      </w:r>
      <w:r>
        <w:rPr>
          <w:lang w:val="en-US"/>
        </w:rPr>
        <w:t>10</w:t>
      </w:r>
      <w:r w:rsidRPr="0082197E">
        <w:rPr>
          <w:lang w:val="en-US"/>
        </w:rPr>
        <w:t>.2-</w:t>
      </w:r>
      <w:r>
        <w:rPr>
          <w:lang w:val="en-US"/>
        </w:rPr>
        <w:t>5</w:t>
      </w:r>
      <w:r>
        <w:t xml:space="preserve"> and </w:t>
      </w:r>
      <w:r w:rsidRPr="0082197E">
        <w:rPr>
          <w:lang w:val="en-US"/>
        </w:rPr>
        <w:t>Table 4.2B.2.</w:t>
      </w:r>
      <w:r>
        <w:rPr>
          <w:lang w:val="en-US"/>
        </w:rPr>
        <w:t>10</w:t>
      </w:r>
      <w:r w:rsidRPr="0082197E">
        <w:rPr>
          <w:lang w:val="en-US"/>
        </w:rPr>
        <w:t>.2-</w:t>
      </w:r>
      <w:r>
        <w:rPr>
          <w:lang w:val="en-US"/>
        </w:rPr>
        <w:t xml:space="preserve">6 respectively </w:t>
      </w:r>
      <w:r>
        <w:t xml:space="preserve">apply provided that eDRX </w:t>
      </w:r>
      <w:r w:rsidRPr="00BE0C6E">
        <w:t>cycle is ≤ [</w:t>
      </w:r>
      <w:r w:rsidRPr="00806346">
        <w:t>163.84</w:t>
      </w:r>
      <w:r w:rsidRPr="00BE0C6E">
        <w:t>] sec</w:t>
      </w:r>
      <w:r w:rsidRPr="00806346">
        <w:t xml:space="preserve"> and evaluation/measurement time with relaxation on one carrier is not greater than single PTW window length</w:t>
      </w:r>
      <w:r w:rsidRPr="00BE0C6E">
        <w:t>.</w:t>
      </w:r>
    </w:p>
    <w:p w14:paraId="223F88E6" w14:textId="0DFB0022" w:rsidR="00F87F95" w:rsidRPr="00AD5C2C" w:rsidRDefault="00027E5C" w:rsidP="00F87F95">
      <w:r>
        <w:rPr>
          <w:lang w:eastAsia="zh-CN"/>
        </w:rPr>
        <w:t>W</w:t>
      </w:r>
      <w:r w:rsidRPr="00C33767">
        <w:rPr>
          <w:lang w:eastAsia="zh-CN"/>
        </w:rPr>
        <w:t xml:space="preserve">hen </w:t>
      </w:r>
      <w:r w:rsidRPr="00A41B58">
        <w:t>Srxlev &gt; S</w:t>
      </w:r>
      <w:r w:rsidRPr="00A41B58">
        <w:rPr>
          <w:vertAlign w:val="subscript"/>
        </w:rPr>
        <w:t>nonIntraSearchP</w:t>
      </w:r>
      <w:r w:rsidRPr="00A41B58">
        <w:t xml:space="preserve"> and Squal &gt; S</w:t>
      </w:r>
      <w:r w:rsidRPr="00EC47A7">
        <w:rPr>
          <w:vertAlign w:val="subscript"/>
        </w:rPr>
        <w:t>nonIntraSearchQ</w:t>
      </w:r>
      <w:r w:rsidRPr="00EC47A7">
        <w:t xml:space="preserve"> </w:t>
      </w:r>
      <w:r w:rsidRPr="00A41B58">
        <w:rPr>
          <w:noProof/>
        </w:rPr>
        <w:t>then</w:t>
      </w:r>
      <w:r w:rsidRPr="00A41B58">
        <w:t xml:space="preserve"> the UE shall search for inter-frequency layers of higher priority at least every K</w:t>
      </w:r>
      <w:r w:rsidRPr="00EC47A7">
        <w:t>2*T</w:t>
      </w:r>
      <w:r w:rsidRPr="00EC47A7">
        <w:rPr>
          <w:vertAlign w:val="subscript"/>
        </w:rPr>
        <w:t xml:space="preserve">higher_priority_search </w:t>
      </w:r>
      <w:r w:rsidRPr="00EC47A7">
        <w:t>where T</w:t>
      </w:r>
      <w:r w:rsidRPr="00EC47A7">
        <w:rPr>
          <w:vertAlign w:val="subscript"/>
        </w:rPr>
        <w:t>higher_priority_search</w:t>
      </w:r>
      <w:r w:rsidRPr="00D56527">
        <w:t xml:space="preserve"> is described in clause 4.2.2.7 and</w:t>
      </w:r>
      <w:r w:rsidRPr="000D108A">
        <w:t xml:space="preserve">, </w:t>
      </w:r>
      <w:r w:rsidRPr="000D108A">
        <w:rPr>
          <w:snapToGrid w:val="0"/>
          <w:lang w:eastAsia="zh-CN"/>
        </w:rPr>
        <w:t>K2</w:t>
      </w:r>
      <w:r w:rsidRPr="009449C0">
        <w:rPr>
          <w:snapToGrid w:val="0"/>
          <w:lang w:eastAsia="zh-CN"/>
        </w:rPr>
        <w:t xml:space="preserve"> = </w:t>
      </w:r>
      <w:r>
        <w:rPr>
          <w:snapToGrid w:val="0"/>
          <w:lang w:eastAsia="zh-CN"/>
        </w:rPr>
        <w:t>240</w:t>
      </w:r>
      <w:r w:rsidRPr="009449C0">
        <w:t>.</w:t>
      </w:r>
    </w:p>
    <w:p w14:paraId="7A73AC34" w14:textId="77777777" w:rsidR="00F87F95" w:rsidRPr="00AD5C2C" w:rsidRDefault="00F87F95" w:rsidP="00F87F95">
      <w:pPr>
        <w:pStyle w:val="TH"/>
        <w:rPr>
          <w:vertAlign w:val="subscript"/>
        </w:rPr>
      </w:pPr>
      <w:r w:rsidRPr="00AD5C2C">
        <w:t>Table 4.2B.2.10.2-1: T</w:t>
      </w:r>
      <w:r w:rsidRPr="00AD5C2C">
        <w:rPr>
          <w:vertAlign w:val="subscript"/>
        </w:rPr>
        <w:t>detect,NR_Inter_RedCap_Relax,</w:t>
      </w:r>
      <w:r w:rsidRPr="00AD5C2C">
        <w:t xml:space="preserve"> T</w:t>
      </w:r>
      <w:r w:rsidRPr="00AD5C2C">
        <w:rPr>
          <w:vertAlign w:val="subscript"/>
        </w:rPr>
        <w:t>measure,NR_Inter_RedCap_Relax</w:t>
      </w:r>
      <w:r w:rsidRPr="00AD5C2C">
        <w:t xml:space="preserve"> and T</w:t>
      </w:r>
      <w:r w:rsidRPr="00AD5C2C">
        <w:rPr>
          <w:vertAlign w:val="subscript"/>
        </w:rPr>
        <w:t>evaluate,NR_Inter_RedCap_Relax</w:t>
      </w:r>
      <w:r w:rsidRPr="0082197E">
        <w:t xml:space="preserve"> for 1 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2760"/>
        <w:gridCol w:w="2900"/>
        <w:gridCol w:w="2887"/>
      </w:tblGrid>
      <w:tr w:rsidR="00F87F95" w:rsidRPr="00AD5C2C" w14:paraId="1E956462" w14:textId="77777777" w:rsidTr="001313A6">
        <w:trPr>
          <w:cantSplit/>
          <w:trHeight w:val="630"/>
          <w:jc w:val="center"/>
        </w:trPr>
        <w:tc>
          <w:tcPr>
            <w:tcW w:w="0" w:type="auto"/>
            <w:tcBorders>
              <w:top w:val="single" w:sz="4" w:space="0" w:color="auto"/>
              <w:left w:val="single" w:sz="4" w:space="0" w:color="auto"/>
              <w:bottom w:val="single" w:sz="4" w:space="0" w:color="auto"/>
              <w:right w:val="single" w:sz="4" w:space="0" w:color="auto"/>
            </w:tcBorders>
            <w:hideMark/>
          </w:tcPr>
          <w:p w14:paraId="42A24020" w14:textId="77777777" w:rsidR="00F87F95" w:rsidRPr="00AD5C2C" w:rsidRDefault="00F87F95" w:rsidP="001313A6">
            <w:pPr>
              <w:pStyle w:val="TAH"/>
            </w:pPr>
            <w:r w:rsidRPr="00AD5C2C">
              <w:t>DRX cycle length [s]</w:t>
            </w:r>
          </w:p>
        </w:tc>
        <w:tc>
          <w:tcPr>
            <w:tcW w:w="0" w:type="auto"/>
            <w:tcBorders>
              <w:top w:val="single" w:sz="4" w:space="0" w:color="auto"/>
              <w:left w:val="single" w:sz="4" w:space="0" w:color="auto"/>
              <w:bottom w:val="single" w:sz="4" w:space="0" w:color="auto"/>
              <w:right w:val="single" w:sz="4" w:space="0" w:color="auto"/>
            </w:tcBorders>
            <w:hideMark/>
          </w:tcPr>
          <w:p w14:paraId="6582E191" w14:textId="77777777" w:rsidR="00F87F95" w:rsidRPr="00AD5C2C" w:rsidRDefault="00F87F95" w:rsidP="001313A6">
            <w:pPr>
              <w:pStyle w:val="TAH"/>
            </w:pPr>
            <w:r w:rsidRPr="00AD5C2C">
              <w:t>T</w:t>
            </w:r>
            <w:r w:rsidRPr="00AD5C2C">
              <w:rPr>
                <w:vertAlign w:val="subscript"/>
              </w:rPr>
              <w:t>detect,NR_</w:t>
            </w:r>
            <w:r w:rsidRPr="00AD5C2C">
              <w:rPr>
                <w:rFonts w:cs="v4.2.0"/>
                <w:vertAlign w:val="subscript"/>
              </w:rPr>
              <w:t>Inter</w:t>
            </w:r>
            <w:r w:rsidRPr="00AD5C2C">
              <w:rPr>
                <w:vertAlign w:val="subscript"/>
              </w:rPr>
              <w:t>_RedCap_Relax</w:t>
            </w:r>
            <w:r w:rsidRPr="00AD5C2C">
              <w:t xml:space="preserve"> [s] (number of DRX cycles)</w:t>
            </w:r>
          </w:p>
        </w:tc>
        <w:tc>
          <w:tcPr>
            <w:tcW w:w="0" w:type="auto"/>
            <w:tcBorders>
              <w:top w:val="single" w:sz="4" w:space="0" w:color="auto"/>
              <w:left w:val="single" w:sz="4" w:space="0" w:color="auto"/>
              <w:bottom w:val="single" w:sz="4" w:space="0" w:color="auto"/>
              <w:right w:val="single" w:sz="4" w:space="0" w:color="auto"/>
            </w:tcBorders>
            <w:hideMark/>
          </w:tcPr>
          <w:p w14:paraId="69145EA0" w14:textId="77777777" w:rsidR="00F87F95" w:rsidRPr="00AD5C2C" w:rsidRDefault="00F87F95" w:rsidP="001313A6">
            <w:pPr>
              <w:pStyle w:val="TAH"/>
            </w:pPr>
            <w:r w:rsidRPr="00AD5C2C">
              <w:t>T</w:t>
            </w:r>
            <w:r w:rsidRPr="00AD5C2C">
              <w:rPr>
                <w:vertAlign w:val="subscript"/>
              </w:rPr>
              <w:t>measure,NR_</w:t>
            </w:r>
            <w:r w:rsidRPr="00AD5C2C">
              <w:rPr>
                <w:rFonts w:cs="v4.2.0"/>
                <w:vertAlign w:val="subscript"/>
              </w:rPr>
              <w:t>Inter</w:t>
            </w:r>
            <w:r w:rsidRPr="00AD5C2C">
              <w:rPr>
                <w:vertAlign w:val="subscript"/>
              </w:rPr>
              <w:t>_RedCap_Relax</w:t>
            </w:r>
            <w:r w:rsidRPr="00AD5C2C">
              <w:t xml:space="preserve"> [s] (number of DRX cycles)</w:t>
            </w:r>
          </w:p>
        </w:tc>
        <w:tc>
          <w:tcPr>
            <w:tcW w:w="0" w:type="auto"/>
            <w:tcBorders>
              <w:top w:val="single" w:sz="4" w:space="0" w:color="auto"/>
              <w:left w:val="single" w:sz="4" w:space="0" w:color="auto"/>
              <w:bottom w:val="single" w:sz="4" w:space="0" w:color="auto"/>
              <w:right w:val="single" w:sz="4" w:space="0" w:color="auto"/>
            </w:tcBorders>
            <w:hideMark/>
          </w:tcPr>
          <w:p w14:paraId="4D7F0FFE" w14:textId="77777777" w:rsidR="00F87F95" w:rsidRPr="00AD5C2C" w:rsidRDefault="00F87F95" w:rsidP="001313A6">
            <w:pPr>
              <w:pStyle w:val="TAH"/>
            </w:pPr>
            <w:r w:rsidRPr="00AD5C2C">
              <w:t>T</w:t>
            </w:r>
            <w:r w:rsidRPr="00AD5C2C">
              <w:rPr>
                <w:vertAlign w:val="subscript"/>
              </w:rPr>
              <w:t>evaluate,NR_</w:t>
            </w:r>
            <w:r w:rsidRPr="00AD5C2C">
              <w:rPr>
                <w:rFonts w:cs="v4.2.0"/>
                <w:vertAlign w:val="subscript"/>
              </w:rPr>
              <w:t>Inter</w:t>
            </w:r>
            <w:r w:rsidRPr="00AD5C2C">
              <w:rPr>
                <w:vertAlign w:val="subscript"/>
              </w:rPr>
              <w:t>_RedCap_Relax</w:t>
            </w:r>
            <w:r w:rsidRPr="00AD5C2C">
              <w:rPr>
                <w:rFonts w:cs="Arial"/>
              </w:rPr>
              <w:t xml:space="preserve"> </w:t>
            </w:r>
            <w:r w:rsidRPr="00AD5C2C">
              <w:t>[s] (number of DRX cycles)</w:t>
            </w:r>
          </w:p>
        </w:tc>
      </w:tr>
      <w:tr w:rsidR="00F87F95" w:rsidRPr="00AD5C2C" w14:paraId="737CAEB8"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438C6A9" w14:textId="77777777" w:rsidR="00F87F95" w:rsidRPr="00AD5C2C" w:rsidRDefault="00F87F95" w:rsidP="001313A6">
            <w:pPr>
              <w:pStyle w:val="TAC"/>
            </w:pPr>
            <w:r w:rsidRPr="00AD5C2C">
              <w:t>0.32</w:t>
            </w:r>
          </w:p>
        </w:tc>
        <w:tc>
          <w:tcPr>
            <w:tcW w:w="0" w:type="auto"/>
            <w:tcBorders>
              <w:top w:val="single" w:sz="4" w:space="0" w:color="auto"/>
              <w:left w:val="single" w:sz="4" w:space="0" w:color="auto"/>
              <w:bottom w:val="single" w:sz="4" w:space="0" w:color="auto"/>
              <w:right w:val="single" w:sz="4" w:space="0" w:color="auto"/>
            </w:tcBorders>
            <w:hideMark/>
          </w:tcPr>
          <w:p w14:paraId="712A3109" w14:textId="77777777" w:rsidR="00F87F95" w:rsidRPr="0082197E" w:rsidRDefault="00F87F95" w:rsidP="001313A6">
            <w:pPr>
              <w:pStyle w:val="TAC"/>
              <w:rPr>
                <w:lang w:val="sv-SE"/>
              </w:rPr>
            </w:pPr>
            <w:r>
              <w:rPr>
                <w:lang w:val="sv-SE"/>
              </w:rPr>
              <w:t>11.52</w:t>
            </w:r>
            <w:r w:rsidRPr="0082197E">
              <w:rPr>
                <w:lang w:val="sv-SE"/>
              </w:rPr>
              <w:t xml:space="preserve"> x </w:t>
            </w:r>
            <w:r w:rsidRPr="0082197E">
              <w:rPr>
                <w:rFonts w:cs="Arial"/>
                <w:lang w:val="sv-SE" w:eastAsia="zh-CN"/>
              </w:rPr>
              <w:t>1.5 x  K4</w:t>
            </w:r>
            <w:r w:rsidRPr="0082197E">
              <w:rPr>
                <w:lang w:val="sv-SE"/>
              </w:rPr>
              <w:t>(</w:t>
            </w:r>
            <w:r>
              <w:rPr>
                <w:lang w:val="sv-SE"/>
              </w:rPr>
              <w:t>36</w:t>
            </w:r>
            <w:r w:rsidRPr="0082197E">
              <w:rPr>
                <w:lang w:val="sv-SE"/>
              </w:rPr>
              <w:t xml:space="preserve"> x </w:t>
            </w:r>
            <w:r w:rsidRPr="0082197E">
              <w:rPr>
                <w:rFonts w:cs="Arial"/>
                <w:lang w:val="sv-SE" w:eastAsia="zh-CN"/>
              </w:rPr>
              <w:t>1.5 x  K4</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AA818D5" w14:textId="77777777" w:rsidR="00F87F95" w:rsidRPr="0082197E" w:rsidRDefault="00F87F95" w:rsidP="001313A6">
            <w:pPr>
              <w:pStyle w:val="TAC"/>
              <w:rPr>
                <w:lang w:val="sv-SE"/>
              </w:rPr>
            </w:pPr>
            <w:r>
              <w:rPr>
                <w:lang w:val="sv-SE"/>
              </w:rPr>
              <w:t>1.28</w:t>
            </w:r>
            <w:r w:rsidRPr="0082197E">
              <w:rPr>
                <w:lang w:val="sv-SE"/>
              </w:rPr>
              <w:t xml:space="preserve"> x </w:t>
            </w:r>
            <w:r w:rsidRPr="0082197E">
              <w:rPr>
                <w:rFonts w:cs="Arial"/>
                <w:lang w:val="sv-SE" w:eastAsia="zh-CN"/>
              </w:rPr>
              <w:t xml:space="preserve">1.5 x  K4 </w:t>
            </w:r>
            <w:r w:rsidRPr="0082197E">
              <w:rPr>
                <w:lang w:val="sv-SE"/>
              </w:rPr>
              <w:t>(</w:t>
            </w:r>
            <w:r>
              <w:rPr>
                <w:lang w:val="sv-SE"/>
              </w:rPr>
              <w:t>4</w:t>
            </w:r>
            <w:r w:rsidRPr="0082197E">
              <w:rPr>
                <w:lang w:val="sv-SE"/>
              </w:rPr>
              <w:t xml:space="preserve"> x </w:t>
            </w:r>
            <w:r w:rsidRPr="0082197E">
              <w:rPr>
                <w:rFonts w:cs="Arial"/>
                <w:lang w:val="sv-SE" w:eastAsia="zh-CN"/>
              </w:rPr>
              <w:t>1.5 x  K4</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1DCD993E" w14:textId="77777777" w:rsidR="00F87F95" w:rsidRPr="0082197E" w:rsidRDefault="00F87F95" w:rsidP="001313A6">
            <w:pPr>
              <w:pStyle w:val="TAC"/>
              <w:rPr>
                <w:lang w:val="sv-SE"/>
              </w:rPr>
            </w:pPr>
            <w:r>
              <w:rPr>
                <w:lang w:val="sv-SE"/>
              </w:rPr>
              <w:t>5.12</w:t>
            </w:r>
            <w:r w:rsidRPr="0082197E">
              <w:rPr>
                <w:lang w:val="sv-SE"/>
              </w:rPr>
              <w:t xml:space="preserve"> x </w:t>
            </w:r>
            <w:r w:rsidRPr="0082197E">
              <w:rPr>
                <w:rFonts w:cs="Arial"/>
                <w:lang w:val="sv-SE" w:eastAsia="zh-CN"/>
              </w:rPr>
              <w:t xml:space="preserve">1.5 x  K4 </w:t>
            </w:r>
            <w:r w:rsidRPr="0082197E">
              <w:rPr>
                <w:lang w:val="sv-SE"/>
              </w:rPr>
              <w:t>(</w:t>
            </w:r>
            <w:r>
              <w:rPr>
                <w:lang w:val="sv-SE"/>
              </w:rPr>
              <w:t>16</w:t>
            </w:r>
            <w:r w:rsidRPr="0082197E">
              <w:rPr>
                <w:lang w:val="sv-SE"/>
              </w:rPr>
              <w:t xml:space="preserve"> x </w:t>
            </w:r>
            <w:r w:rsidRPr="0082197E">
              <w:rPr>
                <w:rFonts w:cs="Arial"/>
                <w:lang w:val="sv-SE" w:eastAsia="zh-CN"/>
              </w:rPr>
              <w:t>1.5 x  K4</w:t>
            </w:r>
            <w:r w:rsidRPr="0082197E">
              <w:rPr>
                <w:lang w:val="sv-SE"/>
              </w:rPr>
              <w:t>)</w:t>
            </w:r>
          </w:p>
        </w:tc>
      </w:tr>
      <w:tr w:rsidR="00F87F95" w:rsidRPr="00AD5C2C" w14:paraId="5170BF63"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147C8D3" w14:textId="77777777" w:rsidR="00F87F95" w:rsidRPr="00AD5C2C" w:rsidRDefault="00F87F95" w:rsidP="001313A6">
            <w:pPr>
              <w:pStyle w:val="TAC"/>
            </w:pPr>
            <w:r w:rsidRPr="00AD5C2C">
              <w:t>0.64</w:t>
            </w:r>
          </w:p>
        </w:tc>
        <w:tc>
          <w:tcPr>
            <w:tcW w:w="0" w:type="auto"/>
            <w:tcBorders>
              <w:top w:val="single" w:sz="4" w:space="0" w:color="auto"/>
              <w:left w:val="single" w:sz="4" w:space="0" w:color="auto"/>
              <w:bottom w:val="single" w:sz="4" w:space="0" w:color="auto"/>
              <w:right w:val="single" w:sz="4" w:space="0" w:color="auto"/>
            </w:tcBorders>
            <w:hideMark/>
          </w:tcPr>
          <w:p w14:paraId="09F0036C" w14:textId="77777777" w:rsidR="00F87F95" w:rsidRPr="0082197E" w:rsidRDefault="00F87F95" w:rsidP="001313A6">
            <w:pPr>
              <w:pStyle w:val="TAC"/>
              <w:rPr>
                <w:lang w:val="sv-SE"/>
              </w:rPr>
            </w:pPr>
            <w:r>
              <w:rPr>
                <w:lang w:val="sv-SE"/>
              </w:rPr>
              <w:t>17.92</w:t>
            </w:r>
            <w:r w:rsidRPr="0082197E">
              <w:rPr>
                <w:lang w:val="sv-SE"/>
              </w:rPr>
              <w:t xml:space="preserve"> x </w:t>
            </w:r>
            <w:r w:rsidRPr="0082197E">
              <w:rPr>
                <w:rFonts w:cs="Arial"/>
                <w:lang w:val="sv-SE" w:eastAsia="zh-CN"/>
              </w:rPr>
              <w:t>K4</w:t>
            </w:r>
            <w:r w:rsidRPr="0082197E">
              <w:rPr>
                <w:lang w:val="sv-SE"/>
              </w:rPr>
              <w:t xml:space="preserve"> (</w:t>
            </w:r>
            <w:r>
              <w:rPr>
                <w:lang w:val="sv-SE"/>
              </w:rPr>
              <w:t>28</w:t>
            </w:r>
            <w:r w:rsidRPr="0082197E">
              <w:rPr>
                <w:lang w:val="sv-SE"/>
              </w:rPr>
              <w:t xml:space="preserve"> x </w:t>
            </w:r>
            <w:r w:rsidRPr="0082197E">
              <w:rPr>
                <w:rFonts w:cs="Arial"/>
                <w:lang w:val="sv-SE" w:eastAsia="zh-CN"/>
              </w:rPr>
              <w:t>K4</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57C0059F" w14:textId="77777777" w:rsidR="00F87F95" w:rsidRPr="0082197E" w:rsidRDefault="00F87F95" w:rsidP="001313A6">
            <w:pPr>
              <w:pStyle w:val="TAC"/>
              <w:rPr>
                <w:lang w:val="sv-SE"/>
              </w:rPr>
            </w:pPr>
            <w:r>
              <w:rPr>
                <w:lang w:val="sv-SE"/>
              </w:rPr>
              <w:t>1.28</w:t>
            </w:r>
            <w:r w:rsidRPr="0082197E">
              <w:rPr>
                <w:lang w:val="sv-SE"/>
              </w:rPr>
              <w:t xml:space="preserve">x </w:t>
            </w:r>
            <w:r w:rsidRPr="0082197E">
              <w:rPr>
                <w:rFonts w:cs="Arial"/>
                <w:lang w:val="sv-SE" w:eastAsia="zh-CN"/>
              </w:rPr>
              <w:t>K4</w:t>
            </w:r>
            <w:r w:rsidRPr="0082197E">
              <w:rPr>
                <w:lang w:val="sv-SE"/>
              </w:rPr>
              <w:t xml:space="preserve"> (</w:t>
            </w:r>
            <w:r>
              <w:rPr>
                <w:lang w:val="sv-SE"/>
              </w:rPr>
              <w:t>2</w:t>
            </w:r>
            <w:r w:rsidRPr="0082197E">
              <w:rPr>
                <w:lang w:val="sv-SE"/>
              </w:rPr>
              <w:t xml:space="preserve"> x </w:t>
            </w:r>
            <w:r w:rsidRPr="0082197E">
              <w:rPr>
                <w:rFonts w:cs="Arial"/>
                <w:lang w:val="sv-SE" w:eastAsia="zh-CN"/>
              </w:rPr>
              <w:t>K4</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CA49839" w14:textId="77777777" w:rsidR="00F87F95" w:rsidRPr="0082197E" w:rsidRDefault="00F87F95" w:rsidP="001313A6">
            <w:pPr>
              <w:pStyle w:val="TAC"/>
              <w:rPr>
                <w:lang w:val="sv-SE"/>
              </w:rPr>
            </w:pPr>
            <w:r>
              <w:rPr>
                <w:lang w:val="sv-SE"/>
              </w:rPr>
              <w:t>5.12</w:t>
            </w:r>
            <w:r w:rsidRPr="0082197E">
              <w:rPr>
                <w:lang w:val="sv-SE"/>
              </w:rPr>
              <w:t xml:space="preserve"> x </w:t>
            </w:r>
            <w:r w:rsidRPr="0082197E">
              <w:rPr>
                <w:rFonts w:cs="Arial"/>
                <w:lang w:val="sv-SE" w:eastAsia="zh-CN"/>
              </w:rPr>
              <w:t>K4</w:t>
            </w:r>
            <w:r w:rsidRPr="0082197E">
              <w:rPr>
                <w:lang w:val="sv-SE"/>
              </w:rPr>
              <w:t xml:space="preserve"> (</w:t>
            </w:r>
            <w:r>
              <w:rPr>
                <w:lang w:val="sv-SE"/>
              </w:rPr>
              <w:t>8</w:t>
            </w:r>
            <w:r w:rsidRPr="0082197E">
              <w:rPr>
                <w:lang w:val="sv-SE"/>
              </w:rPr>
              <w:t xml:space="preserve"> x </w:t>
            </w:r>
            <w:r w:rsidRPr="0082197E">
              <w:rPr>
                <w:rFonts w:cs="Arial"/>
                <w:lang w:val="sv-SE" w:eastAsia="zh-CN"/>
              </w:rPr>
              <w:t>K4</w:t>
            </w:r>
            <w:r w:rsidRPr="0082197E">
              <w:rPr>
                <w:lang w:val="sv-SE"/>
              </w:rPr>
              <w:t>)</w:t>
            </w:r>
          </w:p>
        </w:tc>
      </w:tr>
      <w:tr w:rsidR="00F87F95" w:rsidRPr="00AD5C2C" w14:paraId="47080E0A"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D6B1C64" w14:textId="77777777" w:rsidR="00F87F95" w:rsidRPr="00AD5C2C" w:rsidRDefault="00F87F95" w:rsidP="001313A6">
            <w:pPr>
              <w:pStyle w:val="TAC"/>
            </w:pPr>
            <w:r w:rsidRPr="00AD5C2C">
              <w:t>1.28</w:t>
            </w:r>
          </w:p>
        </w:tc>
        <w:tc>
          <w:tcPr>
            <w:tcW w:w="0" w:type="auto"/>
            <w:tcBorders>
              <w:top w:val="single" w:sz="4" w:space="0" w:color="auto"/>
              <w:left w:val="single" w:sz="4" w:space="0" w:color="auto"/>
              <w:bottom w:val="single" w:sz="4" w:space="0" w:color="auto"/>
              <w:right w:val="single" w:sz="4" w:space="0" w:color="auto"/>
            </w:tcBorders>
            <w:hideMark/>
          </w:tcPr>
          <w:p w14:paraId="412D29F4" w14:textId="77777777" w:rsidR="00F87F95" w:rsidRPr="0082197E" w:rsidRDefault="00F87F95" w:rsidP="001313A6">
            <w:pPr>
              <w:pStyle w:val="TAC"/>
              <w:rPr>
                <w:lang w:val="sv-SE"/>
              </w:rPr>
            </w:pPr>
            <w:r>
              <w:rPr>
                <w:lang w:val="sv-SE"/>
              </w:rPr>
              <w:t>32</w:t>
            </w:r>
            <w:r w:rsidRPr="0082197E">
              <w:rPr>
                <w:lang w:val="sv-SE"/>
              </w:rPr>
              <w:t xml:space="preserve"> x </w:t>
            </w:r>
            <w:r w:rsidRPr="0082197E">
              <w:rPr>
                <w:rFonts w:cs="Arial"/>
                <w:lang w:val="sv-SE" w:eastAsia="zh-CN"/>
              </w:rPr>
              <w:t>K4</w:t>
            </w:r>
            <w:r w:rsidRPr="0082197E">
              <w:rPr>
                <w:lang w:val="sv-SE"/>
              </w:rPr>
              <w:t xml:space="preserve"> (</w:t>
            </w:r>
            <w:r>
              <w:rPr>
                <w:lang w:val="sv-SE"/>
              </w:rPr>
              <w:t>25</w:t>
            </w:r>
            <w:r w:rsidRPr="0082197E">
              <w:rPr>
                <w:lang w:val="sv-SE"/>
              </w:rPr>
              <w:t xml:space="preserve"> x </w:t>
            </w:r>
            <w:r w:rsidRPr="0082197E">
              <w:rPr>
                <w:rFonts w:cs="Arial"/>
                <w:lang w:val="sv-SE" w:eastAsia="zh-CN"/>
              </w:rPr>
              <w:t>K4</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CAF58C4" w14:textId="77777777" w:rsidR="00F87F95" w:rsidRPr="0082197E" w:rsidRDefault="00F87F95" w:rsidP="001313A6">
            <w:pPr>
              <w:pStyle w:val="TAC"/>
              <w:rPr>
                <w:lang w:val="sv-SE"/>
              </w:rPr>
            </w:pPr>
            <w:r>
              <w:rPr>
                <w:lang w:val="sv-SE"/>
              </w:rPr>
              <w:t>1.28</w:t>
            </w:r>
            <w:r w:rsidRPr="0082197E">
              <w:rPr>
                <w:lang w:val="sv-SE"/>
              </w:rPr>
              <w:t xml:space="preserve">x </w:t>
            </w:r>
            <w:r w:rsidRPr="0082197E">
              <w:rPr>
                <w:rFonts w:cs="Arial"/>
                <w:lang w:val="sv-SE" w:eastAsia="zh-CN"/>
              </w:rPr>
              <w:t>K4</w:t>
            </w:r>
            <w:r w:rsidRPr="0082197E">
              <w:rPr>
                <w:lang w:val="sv-SE"/>
              </w:rPr>
              <w:t xml:space="preserve"> (</w:t>
            </w:r>
            <w:r>
              <w:rPr>
                <w:lang w:val="sv-SE"/>
              </w:rPr>
              <w:t>1</w:t>
            </w:r>
            <w:r w:rsidRPr="0082197E">
              <w:rPr>
                <w:lang w:val="sv-SE"/>
              </w:rPr>
              <w:t xml:space="preserve"> x </w:t>
            </w:r>
            <w:r w:rsidRPr="0082197E">
              <w:rPr>
                <w:rFonts w:cs="Arial"/>
                <w:lang w:val="sv-SE" w:eastAsia="zh-CN"/>
              </w:rPr>
              <w:t>K4</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6DED6351" w14:textId="77777777" w:rsidR="00F87F95" w:rsidRPr="0082197E" w:rsidRDefault="00F87F95" w:rsidP="001313A6">
            <w:pPr>
              <w:pStyle w:val="TAC"/>
              <w:rPr>
                <w:lang w:val="sv-SE"/>
              </w:rPr>
            </w:pPr>
            <w:r>
              <w:rPr>
                <w:lang w:val="sv-SE"/>
              </w:rPr>
              <w:t>6.4</w:t>
            </w:r>
            <w:r w:rsidRPr="0082197E">
              <w:rPr>
                <w:lang w:val="sv-SE"/>
              </w:rPr>
              <w:t xml:space="preserve"> x </w:t>
            </w:r>
            <w:r w:rsidRPr="0082197E">
              <w:rPr>
                <w:rFonts w:cs="Arial"/>
                <w:lang w:val="sv-SE" w:eastAsia="zh-CN"/>
              </w:rPr>
              <w:t>K4</w:t>
            </w:r>
            <w:r w:rsidRPr="0082197E">
              <w:rPr>
                <w:lang w:val="sv-SE"/>
              </w:rPr>
              <w:t xml:space="preserve"> (</w:t>
            </w:r>
            <w:r>
              <w:rPr>
                <w:lang w:val="sv-SE"/>
              </w:rPr>
              <w:t>5</w:t>
            </w:r>
            <w:r w:rsidRPr="0082197E">
              <w:rPr>
                <w:lang w:val="sv-SE"/>
              </w:rPr>
              <w:t xml:space="preserve"> x </w:t>
            </w:r>
            <w:r w:rsidRPr="0082197E">
              <w:rPr>
                <w:rFonts w:cs="Arial"/>
                <w:lang w:val="sv-SE" w:eastAsia="zh-CN"/>
              </w:rPr>
              <w:t>K4</w:t>
            </w:r>
            <w:r w:rsidRPr="0082197E">
              <w:rPr>
                <w:lang w:val="sv-SE"/>
              </w:rPr>
              <w:t>)</w:t>
            </w:r>
          </w:p>
        </w:tc>
      </w:tr>
      <w:tr w:rsidR="00F87F95" w:rsidRPr="00AD5C2C" w14:paraId="115DC725"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B0F79F7" w14:textId="77777777" w:rsidR="00F87F95" w:rsidRPr="00AD5C2C" w:rsidRDefault="00F87F95" w:rsidP="001313A6">
            <w:pPr>
              <w:pStyle w:val="TAC"/>
            </w:pPr>
            <w:r w:rsidRPr="00AD5C2C">
              <w:t>2.56</w:t>
            </w:r>
          </w:p>
        </w:tc>
        <w:tc>
          <w:tcPr>
            <w:tcW w:w="0" w:type="auto"/>
            <w:tcBorders>
              <w:top w:val="single" w:sz="4" w:space="0" w:color="auto"/>
              <w:left w:val="single" w:sz="4" w:space="0" w:color="auto"/>
              <w:bottom w:val="single" w:sz="4" w:space="0" w:color="auto"/>
              <w:right w:val="single" w:sz="4" w:space="0" w:color="auto"/>
            </w:tcBorders>
            <w:hideMark/>
          </w:tcPr>
          <w:p w14:paraId="3BC6B486" w14:textId="77777777" w:rsidR="00F87F95" w:rsidRPr="0082197E" w:rsidRDefault="00F87F95" w:rsidP="001313A6">
            <w:pPr>
              <w:pStyle w:val="TAC"/>
              <w:rPr>
                <w:lang w:val="sv-SE"/>
              </w:rPr>
            </w:pPr>
            <w:r>
              <w:rPr>
                <w:lang w:val="sv-SE"/>
              </w:rPr>
              <w:t>58.88</w:t>
            </w:r>
            <w:r w:rsidRPr="0082197E">
              <w:rPr>
                <w:lang w:val="sv-SE"/>
              </w:rPr>
              <w:t xml:space="preserve"> x </w:t>
            </w:r>
            <w:r w:rsidRPr="0082197E">
              <w:rPr>
                <w:rFonts w:cs="Arial"/>
                <w:lang w:val="sv-SE" w:eastAsia="zh-CN"/>
              </w:rPr>
              <w:t>K4</w:t>
            </w:r>
            <w:r w:rsidRPr="0082197E">
              <w:rPr>
                <w:lang w:val="sv-SE"/>
              </w:rPr>
              <w:t xml:space="preserve"> (</w:t>
            </w:r>
            <w:r>
              <w:rPr>
                <w:lang w:val="sv-SE"/>
              </w:rPr>
              <w:t>23</w:t>
            </w:r>
            <w:r w:rsidRPr="0082197E">
              <w:rPr>
                <w:lang w:val="sv-SE"/>
              </w:rPr>
              <w:t xml:space="preserve"> x </w:t>
            </w:r>
            <w:r w:rsidRPr="0082197E">
              <w:rPr>
                <w:rFonts w:cs="Arial"/>
                <w:lang w:val="sv-SE" w:eastAsia="zh-CN"/>
              </w:rPr>
              <w:t>K4</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51085092" w14:textId="77777777" w:rsidR="00F87F95" w:rsidRPr="0082197E" w:rsidRDefault="00F87F95" w:rsidP="001313A6">
            <w:pPr>
              <w:pStyle w:val="TAC"/>
              <w:rPr>
                <w:lang w:val="sv-SE"/>
              </w:rPr>
            </w:pPr>
            <w:r>
              <w:rPr>
                <w:lang w:val="sv-SE"/>
              </w:rPr>
              <w:t>2.56</w:t>
            </w:r>
            <w:r w:rsidRPr="0082197E">
              <w:rPr>
                <w:lang w:val="sv-SE"/>
              </w:rPr>
              <w:t xml:space="preserve"> x </w:t>
            </w:r>
            <w:r w:rsidRPr="0082197E">
              <w:rPr>
                <w:rFonts w:cs="Arial"/>
                <w:lang w:val="sv-SE" w:eastAsia="zh-CN"/>
              </w:rPr>
              <w:t>K4</w:t>
            </w:r>
            <w:r w:rsidRPr="0082197E">
              <w:rPr>
                <w:lang w:val="sv-SE"/>
              </w:rPr>
              <w:t xml:space="preserve"> (</w:t>
            </w:r>
            <w:r>
              <w:rPr>
                <w:lang w:val="sv-SE"/>
              </w:rPr>
              <w:t>1</w:t>
            </w:r>
            <w:r w:rsidRPr="0082197E">
              <w:rPr>
                <w:lang w:val="sv-SE"/>
              </w:rPr>
              <w:t xml:space="preserve"> x </w:t>
            </w:r>
            <w:r w:rsidRPr="0082197E">
              <w:rPr>
                <w:rFonts w:cs="Arial"/>
                <w:lang w:val="sv-SE" w:eastAsia="zh-CN"/>
              </w:rPr>
              <w:t>K4</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4707CD5A" w14:textId="77777777" w:rsidR="00F87F95" w:rsidRPr="0082197E" w:rsidRDefault="00F87F95" w:rsidP="001313A6">
            <w:pPr>
              <w:pStyle w:val="TAC"/>
              <w:rPr>
                <w:lang w:val="sv-SE"/>
              </w:rPr>
            </w:pPr>
            <w:r>
              <w:rPr>
                <w:lang w:val="sv-SE"/>
              </w:rPr>
              <w:t>7.68</w:t>
            </w:r>
            <w:r w:rsidRPr="0082197E">
              <w:rPr>
                <w:lang w:val="sv-SE"/>
              </w:rPr>
              <w:t xml:space="preserve"> x </w:t>
            </w:r>
            <w:r w:rsidRPr="0082197E">
              <w:rPr>
                <w:rFonts w:cs="Arial"/>
                <w:lang w:val="sv-SE" w:eastAsia="zh-CN"/>
              </w:rPr>
              <w:t>K4</w:t>
            </w:r>
            <w:r w:rsidRPr="0082197E">
              <w:rPr>
                <w:lang w:val="sv-SE"/>
              </w:rPr>
              <w:t xml:space="preserve"> (</w:t>
            </w:r>
            <w:r>
              <w:rPr>
                <w:lang w:val="sv-SE"/>
              </w:rPr>
              <w:t>3</w:t>
            </w:r>
            <w:r w:rsidRPr="0082197E">
              <w:rPr>
                <w:lang w:val="sv-SE"/>
              </w:rPr>
              <w:t xml:space="preserve"> x </w:t>
            </w:r>
            <w:r w:rsidRPr="0082197E">
              <w:rPr>
                <w:rFonts w:cs="Arial"/>
                <w:lang w:val="sv-SE" w:eastAsia="zh-CN"/>
              </w:rPr>
              <w:t>K4</w:t>
            </w:r>
            <w:r w:rsidRPr="0082197E">
              <w:rPr>
                <w:lang w:val="sv-SE"/>
              </w:rPr>
              <w:t>)</w:t>
            </w:r>
          </w:p>
        </w:tc>
      </w:tr>
      <w:tr w:rsidR="00F87F95" w:rsidRPr="008C6DE4" w14:paraId="001D50B1" w14:textId="77777777" w:rsidTr="001313A6">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55AD9AED" w14:textId="77777777" w:rsidR="00F87F95" w:rsidRPr="008C6DE4" w:rsidRDefault="00F87F95" w:rsidP="001313A6">
            <w:pPr>
              <w:pStyle w:val="TAN"/>
            </w:pPr>
            <w:r w:rsidRPr="00AD5C2C">
              <w:rPr>
                <w:snapToGrid w:val="0"/>
                <w:lang w:eastAsia="zh-CN"/>
              </w:rPr>
              <w:t>Note 1:</w:t>
            </w:r>
            <w:r w:rsidRPr="00AD5C2C">
              <w:rPr>
                <w:lang w:val="en-US"/>
              </w:rPr>
              <w:tab/>
            </w:r>
            <w:r w:rsidRPr="00AD5C2C">
              <w:rPr>
                <w:snapToGrid w:val="0"/>
                <w:lang w:eastAsia="zh-CN"/>
              </w:rPr>
              <w:t xml:space="preserve">K4 = 6 is the measurement relaxation factor applicable for UE fulfilling the </w:t>
            </w:r>
            <w:r w:rsidRPr="00AD5C2C">
              <w:rPr>
                <w:i/>
                <w:noProof/>
              </w:rPr>
              <w:t xml:space="preserve">stationaryMobilityEvaluation </w:t>
            </w:r>
            <w:r w:rsidRPr="00AD5C2C">
              <w:rPr>
                <w:lang w:eastAsia="zh-CN"/>
              </w:rPr>
              <w:t>[2]</w:t>
            </w:r>
            <w:r w:rsidRPr="00AD5C2C">
              <w:rPr>
                <w:snapToGrid w:val="0"/>
                <w:lang w:eastAsia="zh-CN"/>
              </w:rPr>
              <w:t xml:space="preserve"> criterion.</w:t>
            </w:r>
          </w:p>
        </w:tc>
      </w:tr>
    </w:tbl>
    <w:p w14:paraId="7FAD3A90" w14:textId="77777777" w:rsidR="00F87F95" w:rsidRDefault="00F87F95" w:rsidP="00F87F95">
      <w:pPr>
        <w:rPr>
          <w:noProof/>
        </w:rPr>
      </w:pPr>
    </w:p>
    <w:p w14:paraId="33ACA338" w14:textId="77777777" w:rsidR="00F87F95" w:rsidRPr="008C6DE4" w:rsidRDefault="00F87F95" w:rsidP="00F87F95">
      <w:pPr>
        <w:pStyle w:val="TH"/>
        <w:rPr>
          <w:vertAlign w:val="subscript"/>
        </w:rPr>
      </w:pPr>
      <w:r w:rsidRPr="008C6DE4">
        <w:t>Table 4.2</w:t>
      </w:r>
      <w:r>
        <w:t>B</w:t>
      </w:r>
      <w:r w:rsidRPr="008C6DE4">
        <w:t>.2.</w:t>
      </w:r>
      <w:r>
        <w:t>10.2</w:t>
      </w:r>
      <w:r w:rsidRPr="008C6DE4">
        <w:t>-</w:t>
      </w:r>
      <w:r>
        <w:t>2</w:t>
      </w:r>
      <w:r w:rsidRPr="008C6DE4">
        <w:t>: T</w:t>
      </w:r>
      <w:r w:rsidRPr="008C6DE4">
        <w:rPr>
          <w:vertAlign w:val="subscript"/>
        </w:rPr>
        <w:t>detect,NR_Inter</w:t>
      </w:r>
      <w:r>
        <w:rPr>
          <w:vertAlign w:val="subscript"/>
        </w:rPr>
        <w:t>_RedCap_Relax</w:t>
      </w:r>
      <w:r w:rsidRPr="008C6DE4">
        <w:rPr>
          <w:vertAlign w:val="subscript"/>
        </w:rPr>
        <w:t>,</w:t>
      </w:r>
      <w:r w:rsidRPr="008C6DE4">
        <w:t xml:space="preserve"> T</w:t>
      </w:r>
      <w:r w:rsidRPr="008C6DE4">
        <w:rPr>
          <w:vertAlign w:val="subscript"/>
        </w:rPr>
        <w:t>measure,NR_Inter</w:t>
      </w:r>
      <w:r>
        <w:rPr>
          <w:vertAlign w:val="subscript"/>
        </w:rPr>
        <w:t>_RedCap_Relax</w:t>
      </w:r>
      <w:r w:rsidRPr="008C6DE4">
        <w:t xml:space="preserve"> and T</w:t>
      </w:r>
      <w:r w:rsidRPr="008C6DE4">
        <w:rPr>
          <w:vertAlign w:val="subscript"/>
        </w:rPr>
        <w:t>evaluate,NR_Inter</w:t>
      </w:r>
      <w:r>
        <w:rPr>
          <w:vertAlign w:val="subscript"/>
        </w:rPr>
        <w:t>_RedCap_Relax</w:t>
      </w:r>
      <w:r w:rsidRPr="00F74563">
        <w:t xml:space="preserve"> for </w:t>
      </w:r>
      <w:r>
        <w:t>2</w:t>
      </w:r>
      <w:r w:rsidRPr="00F74563">
        <w:t xml:space="preserve"> 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600"/>
        <w:gridCol w:w="959"/>
        <w:gridCol w:w="2240"/>
        <w:gridCol w:w="2380"/>
        <w:gridCol w:w="2367"/>
      </w:tblGrid>
      <w:tr w:rsidR="00F87F95" w:rsidRPr="009C5807" w14:paraId="072B3E8F" w14:textId="77777777" w:rsidTr="001313A6">
        <w:trPr>
          <w:cantSplit/>
          <w:trHeight w:val="310"/>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0FE7BC8" w14:textId="77777777" w:rsidR="00F87F95" w:rsidRPr="009C5807" w:rsidRDefault="00F87F95" w:rsidP="001313A6">
            <w:pPr>
              <w:pStyle w:val="TAH"/>
            </w:pPr>
            <w:r w:rsidRPr="009C5807">
              <w:t>DRX cycle length [s]</w:t>
            </w:r>
          </w:p>
        </w:tc>
        <w:tc>
          <w:tcPr>
            <w:tcW w:w="0" w:type="auto"/>
            <w:gridSpan w:val="2"/>
            <w:tcBorders>
              <w:top w:val="single" w:sz="4" w:space="0" w:color="auto"/>
              <w:left w:val="single" w:sz="4" w:space="0" w:color="auto"/>
              <w:bottom w:val="single" w:sz="4" w:space="0" w:color="auto"/>
              <w:right w:val="single" w:sz="4" w:space="0" w:color="auto"/>
            </w:tcBorders>
            <w:hideMark/>
          </w:tcPr>
          <w:p w14:paraId="3DDF525E" w14:textId="77777777" w:rsidR="00F87F95" w:rsidRPr="009C5807" w:rsidRDefault="00F87F95" w:rsidP="001313A6">
            <w:pPr>
              <w:pStyle w:val="TAH"/>
            </w:pPr>
            <w:r w:rsidRPr="009C5807">
              <w:t>Scaling Factor (N1)</w:t>
            </w:r>
          </w:p>
        </w:tc>
        <w:tc>
          <w:tcPr>
            <w:tcW w:w="0" w:type="auto"/>
            <w:vMerge w:val="restart"/>
            <w:tcBorders>
              <w:top w:val="single" w:sz="4" w:space="0" w:color="auto"/>
              <w:left w:val="single" w:sz="4" w:space="0" w:color="auto"/>
              <w:bottom w:val="single" w:sz="4" w:space="0" w:color="auto"/>
              <w:right w:val="single" w:sz="4" w:space="0" w:color="auto"/>
            </w:tcBorders>
            <w:hideMark/>
          </w:tcPr>
          <w:p w14:paraId="3B67A828" w14:textId="77777777" w:rsidR="00F87F95" w:rsidRPr="009C5807" w:rsidRDefault="00F87F95" w:rsidP="001313A6">
            <w:pPr>
              <w:pStyle w:val="TAH"/>
            </w:pPr>
            <w:r w:rsidRPr="009C5807">
              <w:t>T</w:t>
            </w:r>
            <w:r w:rsidRPr="009C5807">
              <w:rPr>
                <w:vertAlign w:val="subscript"/>
              </w:rPr>
              <w:t>detect,NR_</w:t>
            </w:r>
            <w:r w:rsidRPr="009C5807">
              <w:rPr>
                <w:rFonts w:cs="v4.2.0"/>
                <w:vertAlign w:val="subscript"/>
              </w:rPr>
              <w:t>Inter</w:t>
            </w:r>
            <w:r>
              <w:rPr>
                <w:rFonts w:cs="v4.2.0"/>
                <w:vertAlign w:val="subscript"/>
              </w:rPr>
              <w:t>_Relax</w:t>
            </w:r>
            <w:r w:rsidRPr="009C5807">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12AADAD4" w14:textId="77777777" w:rsidR="00F87F95" w:rsidRPr="009C5807" w:rsidRDefault="00F87F95" w:rsidP="001313A6">
            <w:pPr>
              <w:pStyle w:val="TAH"/>
            </w:pPr>
            <w:r w:rsidRPr="009C5807">
              <w:t>T</w:t>
            </w:r>
            <w:r w:rsidRPr="009C5807">
              <w:rPr>
                <w:vertAlign w:val="subscript"/>
              </w:rPr>
              <w:t>measure,NR_</w:t>
            </w:r>
            <w:r w:rsidRPr="009C5807">
              <w:rPr>
                <w:rFonts w:cs="v4.2.0"/>
                <w:vertAlign w:val="subscript"/>
              </w:rPr>
              <w:t>Inter</w:t>
            </w:r>
            <w:r>
              <w:rPr>
                <w:rFonts w:cs="v4.2.0"/>
                <w:vertAlign w:val="subscript"/>
              </w:rPr>
              <w:t>_Relax</w:t>
            </w:r>
            <w:r w:rsidRPr="009C5807">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3F99B7C1" w14:textId="77777777" w:rsidR="00F87F95" w:rsidRPr="009C5807" w:rsidRDefault="00F87F95" w:rsidP="001313A6">
            <w:pPr>
              <w:pStyle w:val="TAH"/>
            </w:pPr>
            <w:r w:rsidRPr="009C5807">
              <w:t>T</w:t>
            </w:r>
            <w:r w:rsidRPr="009C5807">
              <w:rPr>
                <w:vertAlign w:val="subscript"/>
              </w:rPr>
              <w:t>evaluate,NR_</w:t>
            </w:r>
            <w:r w:rsidRPr="009C5807">
              <w:rPr>
                <w:rFonts w:cs="v4.2.0"/>
                <w:vertAlign w:val="subscript"/>
              </w:rPr>
              <w:t>Inter</w:t>
            </w:r>
            <w:r>
              <w:rPr>
                <w:rFonts w:cs="v4.2.0"/>
                <w:vertAlign w:val="subscript"/>
              </w:rPr>
              <w:t>_Relax</w:t>
            </w:r>
            <w:r w:rsidRPr="009C5807">
              <w:rPr>
                <w:rFonts w:cs="Arial"/>
              </w:rPr>
              <w:t xml:space="preserve"> </w:t>
            </w:r>
            <w:r w:rsidRPr="009C5807">
              <w:t>[s] (number of DRX cycles)</w:t>
            </w:r>
          </w:p>
        </w:tc>
      </w:tr>
      <w:tr w:rsidR="00F87F95" w:rsidRPr="009C5807" w14:paraId="75922FE1" w14:textId="77777777" w:rsidTr="001313A6">
        <w:trPr>
          <w:cantSplit/>
          <w:trHeight w:val="3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0BA674" w14:textId="77777777" w:rsidR="00F87F95" w:rsidRPr="009C5807" w:rsidRDefault="00F87F95" w:rsidP="001313A6">
            <w:pPr>
              <w:pStyle w:val="TAH"/>
            </w:pPr>
          </w:p>
        </w:tc>
        <w:tc>
          <w:tcPr>
            <w:tcW w:w="0" w:type="auto"/>
            <w:tcBorders>
              <w:top w:val="single" w:sz="4" w:space="0" w:color="auto"/>
              <w:left w:val="single" w:sz="4" w:space="0" w:color="auto"/>
              <w:bottom w:val="single" w:sz="4" w:space="0" w:color="auto"/>
              <w:right w:val="single" w:sz="4" w:space="0" w:color="auto"/>
            </w:tcBorders>
            <w:hideMark/>
          </w:tcPr>
          <w:p w14:paraId="56FD73F3" w14:textId="77777777" w:rsidR="00F87F95" w:rsidRPr="009C5807" w:rsidRDefault="00F87F95" w:rsidP="001313A6">
            <w:pPr>
              <w:pStyle w:val="TAH"/>
            </w:pPr>
            <w:r w:rsidRPr="009C5807">
              <w:t>FR1</w:t>
            </w:r>
          </w:p>
        </w:tc>
        <w:tc>
          <w:tcPr>
            <w:tcW w:w="0" w:type="auto"/>
            <w:tcBorders>
              <w:top w:val="single" w:sz="4" w:space="0" w:color="auto"/>
              <w:left w:val="single" w:sz="4" w:space="0" w:color="auto"/>
              <w:bottom w:val="single" w:sz="4" w:space="0" w:color="auto"/>
              <w:right w:val="single" w:sz="4" w:space="0" w:color="auto"/>
            </w:tcBorders>
            <w:hideMark/>
          </w:tcPr>
          <w:p w14:paraId="545619E0" w14:textId="77777777" w:rsidR="00F87F95" w:rsidRPr="009C5807" w:rsidRDefault="00F87F95" w:rsidP="001313A6">
            <w:pPr>
              <w:pStyle w:val="TAH"/>
              <w:rPr>
                <w:vertAlign w:val="superscript"/>
              </w:rPr>
            </w:pPr>
            <w:r w:rsidRPr="009C5807">
              <w:t>FR2</w:t>
            </w:r>
            <w:r w:rsidRPr="009C5807">
              <w:rPr>
                <w:vertAlign w:val="superscript"/>
              </w:rPr>
              <w:t>Note1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2B9619" w14:textId="77777777" w:rsidR="00F87F95" w:rsidRPr="009C5807" w:rsidRDefault="00F87F95" w:rsidP="001313A6">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29E9E3" w14:textId="77777777" w:rsidR="00F87F95" w:rsidRPr="009C5807" w:rsidRDefault="00F87F95" w:rsidP="001313A6">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FE9B21" w14:textId="77777777" w:rsidR="00F87F95" w:rsidRPr="009C5807" w:rsidRDefault="00F87F95" w:rsidP="001313A6">
            <w:pPr>
              <w:pStyle w:val="TAH"/>
            </w:pPr>
          </w:p>
        </w:tc>
      </w:tr>
      <w:tr w:rsidR="00F87F95" w:rsidRPr="003D532E" w14:paraId="0E1548FD"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443C45A" w14:textId="77777777" w:rsidR="00F87F95" w:rsidRPr="009C5807" w:rsidRDefault="00F87F95" w:rsidP="001313A6">
            <w:pPr>
              <w:pStyle w:val="TAC"/>
            </w:pPr>
            <w:r w:rsidRPr="009C5807">
              <w:t>0.32</w:t>
            </w:r>
          </w:p>
        </w:tc>
        <w:tc>
          <w:tcPr>
            <w:tcW w:w="0" w:type="auto"/>
            <w:tcBorders>
              <w:top w:val="single" w:sz="4" w:space="0" w:color="auto"/>
              <w:left w:val="single" w:sz="4" w:space="0" w:color="auto"/>
              <w:bottom w:val="nil"/>
              <w:right w:val="single" w:sz="4" w:space="0" w:color="auto"/>
            </w:tcBorders>
            <w:hideMark/>
          </w:tcPr>
          <w:p w14:paraId="36D05CAE" w14:textId="77777777" w:rsidR="00F87F95" w:rsidRPr="009C5807" w:rsidRDefault="00F87F95" w:rsidP="001313A6">
            <w:pPr>
              <w:pStyle w:val="TAC"/>
            </w:pPr>
            <w:r w:rsidRPr="009C5807">
              <w:t>1</w:t>
            </w:r>
          </w:p>
        </w:tc>
        <w:tc>
          <w:tcPr>
            <w:tcW w:w="0" w:type="auto"/>
            <w:tcBorders>
              <w:top w:val="single" w:sz="4" w:space="0" w:color="auto"/>
              <w:left w:val="single" w:sz="4" w:space="0" w:color="auto"/>
              <w:bottom w:val="single" w:sz="4" w:space="0" w:color="auto"/>
              <w:right w:val="single" w:sz="4" w:space="0" w:color="auto"/>
            </w:tcBorders>
            <w:hideMark/>
          </w:tcPr>
          <w:p w14:paraId="72804A96" w14:textId="77777777" w:rsidR="00F87F95" w:rsidRPr="009C5807" w:rsidRDefault="00F87F95" w:rsidP="001313A6">
            <w:pPr>
              <w:pStyle w:val="TAC"/>
            </w:pPr>
            <w:r w:rsidRPr="009C5807">
              <w:t>8</w:t>
            </w:r>
          </w:p>
        </w:tc>
        <w:tc>
          <w:tcPr>
            <w:tcW w:w="0" w:type="auto"/>
            <w:tcBorders>
              <w:top w:val="single" w:sz="4" w:space="0" w:color="auto"/>
              <w:left w:val="single" w:sz="4" w:space="0" w:color="auto"/>
              <w:bottom w:val="single" w:sz="4" w:space="0" w:color="auto"/>
              <w:right w:val="single" w:sz="4" w:space="0" w:color="auto"/>
            </w:tcBorders>
            <w:hideMark/>
          </w:tcPr>
          <w:p w14:paraId="3EBA525B" w14:textId="77777777" w:rsidR="00F87F95" w:rsidRPr="0082197E" w:rsidRDefault="00F87F95" w:rsidP="001313A6">
            <w:pPr>
              <w:pStyle w:val="TAC"/>
              <w:rPr>
                <w:lang w:val="sv-SE"/>
              </w:rPr>
            </w:pPr>
            <w:r w:rsidRPr="0082197E">
              <w:rPr>
                <w:lang w:val="sv-SE"/>
              </w:rPr>
              <w:t xml:space="preserve">11.52 x N1 </w:t>
            </w:r>
            <w:r w:rsidRPr="0082197E">
              <w:rPr>
                <w:rFonts w:cs="Arial"/>
                <w:lang w:val="sv-SE" w:eastAsia="zh-CN"/>
              </w:rPr>
              <w:t xml:space="preserve">x 1.5 x  K4 </w:t>
            </w:r>
            <w:r w:rsidRPr="0082197E">
              <w:rPr>
                <w:lang w:val="sv-SE"/>
              </w:rPr>
              <w:t>(36 x N1</w:t>
            </w:r>
            <w:r w:rsidRPr="0082197E">
              <w:rPr>
                <w:rFonts w:cs="Arial"/>
                <w:lang w:val="sv-SE" w:eastAsia="zh-CN"/>
              </w:rPr>
              <w:t xml:space="preserve"> x 1.5 x  K4</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0CF63C43" w14:textId="77777777" w:rsidR="00F87F95" w:rsidRPr="0082197E" w:rsidRDefault="00F87F95" w:rsidP="001313A6">
            <w:pPr>
              <w:pStyle w:val="TAC"/>
              <w:rPr>
                <w:lang w:val="sv-SE"/>
              </w:rPr>
            </w:pPr>
            <w:r w:rsidRPr="0082197E">
              <w:rPr>
                <w:lang w:val="sv-SE"/>
              </w:rPr>
              <w:t xml:space="preserve">1.28 x N1 </w:t>
            </w:r>
            <w:r w:rsidRPr="0082197E">
              <w:rPr>
                <w:rFonts w:cs="Arial"/>
                <w:lang w:val="sv-SE" w:eastAsia="zh-CN"/>
              </w:rPr>
              <w:t xml:space="preserve">x 1.5 x  K4 </w:t>
            </w:r>
            <w:r w:rsidRPr="0082197E">
              <w:rPr>
                <w:lang w:val="sv-SE"/>
              </w:rPr>
              <w:t>(4 x N1</w:t>
            </w:r>
            <w:r w:rsidRPr="0082197E">
              <w:rPr>
                <w:rFonts w:cs="Arial"/>
                <w:lang w:val="sv-SE" w:eastAsia="zh-CN"/>
              </w:rPr>
              <w:t xml:space="preserve"> x 1.5 x  K4</w:t>
            </w:r>
            <w:r w:rsidRPr="0082197E">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5D728997" w14:textId="77777777" w:rsidR="00F87F95" w:rsidRPr="0082197E" w:rsidRDefault="00F87F95" w:rsidP="001313A6">
            <w:pPr>
              <w:pStyle w:val="TAC"/>
              <w:rPr>
                <w:lang w:val="sv-SE"/>
              </w:rPr>
            </w:pPr>
            <w:r w:rsidRPr="0082197E">
              <w:rPr>
                <w:lang w:val="sv-SE"/>
              </w:rPr>
              <w:t xml:space="preserve">5.12 x N1 </w:t>
            </w:r>
            <w:r w:rsidRPr="0082197E">
              <w:rPr>
                <w:rFonts w:cs="Arial"/>
                <w:lang w:val="sv-SE" w:eastAsia="zh-CN"/>
              </w:rPr>
              <w:t xml:space="preserve">x 1.5 x  K4 </w:t>
            </w:r>
            <w:r w:rsidRPr="0082197E">
              <w:rPr>
                <w:lang w:val="sv-SE"/>
              </w:rPr>
              <w:t>(16 x N1</w:t>
            </w:r>
            <w:r w:rsidRPr="0082197E">
              <w:rPr>
                <w:rFonts w:cs="Arial"/>
                <w:lang w:val="sv-SE" w:eastAsia="zh-CN"/>
              </w:rPr>
              <w:t xml:space="preserve"> x 1.5 x  K4</w:t>
            </w:r>
            <w:r w:rsidRPr="0082197E">
              <w:rPr>
                <w:lang w:val="sv-SE"/>
              </w:rPr>
              <w:t>)</w:t>
            </w:r>
          </w:p>
        </w:tc>
      </w:tr>
      <w:tr w:rsidR="00F87F95" w:rsidRPr="009C5807" w14:paraId="46EE1779"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19DD14C" w14:textId="77777777" w:rsidR="00F87F95" w:rsidRPr="009C5807" w:rsidRDefault="00F87F95" w:rsidP="001313A6">
            <w:pPr>
              <w:pStyle w:val="TAC"/>
            </w:pPr>
            <w:r w:rsidRPr="009C5807">
              <w:t>0.64</w:t>
            </w:r>
          </w:p>
        </w:tc>
        <w:tc>
          <w:tcPr>
            <w:tcW w:w="0" w:type="auto"/>
            <w:tcBorders>
              <w:top w:val="nil"/>
              <w:left w:val="single" w:sz="4" w:space="0" w:color="auto"/>
              <w:bottom w:val="nil"/>
              <w:right w:val="single" w:sz="4" w:space="0" w:color="auto"/>
            </w:tcBorders>
            <w:hideMark/>
          </w:tcPr>
          <w:p w14:paraId="7E734412" w14:textId="77777777" w:rsidR="00F87F95" w:rsidRPr="009C5807" w:rsidRDefault="00F87F95" w:rsidP="001313A6">
            <w:pPr>
              <w:pStyle w:val="TAC"/>
            </w:pPr>
          </w:p>
        </w:tc>
        <w:tc>
          <w:tcPr>
            <w:tcW w:w="0" w:type="auto"/>
            <w:tcBorders>
              <w:top w:val="single" w:sz="4" w:space="0" w:color="auto"/>
              <w:left w:val="single" w:sz="4" w:space="0" w:color="auto"/>
              <w:bottom w:val="single" w:sz="4" w:space="0" w:color="auto"/>
              <w:right w:val="single" w:sz="4" w:space="0" w:color="auto"/>
            </w:tcBorders>
            <w:hideMark/>
          </w:tcPr>
          <w:p w14:paraId="27076339" w14:textId="77777777" w:rsidR="00F87F95" w:rsidRPr="009C5807" w:rsidRDefault="00F87F95" w:rsidP="001313A6">
            <w:pPr>
              <w:pStyle w:val="TAC"/>
            </w:pPr>
            <w:r w:rsidRPr="009C5807">
              <w:t>5</w:t>
            </w:r>
          </w:p>
        </w:tc>
        <w:tc>
          <w:tcPr>
            <w:tcW w:w="0" w:type="auto"/>
            <w:tcBorders>
              <w:top w:val="single" w:sz="4" w:space="0" w:color="auto"/>
              <w:left w:val="single" w:sz="4" w:space="0" w:color="auto"/>
              <w:bottom w:val="single" w:sz="4" w:space="0" w:color="auto"/>
              <w:right w:val="single" w:sz="4" w:space="0" w:color="auto"/>
            </w:tcBorders>
            <w:hideMark/>
          </w:tcPr>
          <w:p w14:paraId="61763EC6" w14:textId="77777777" w:rsidR="00F87F95" w:rsidRPr="009C5807" w:rsidRDefault="00F87F95" w:rsidP="001313A6">
            <w:pPr>
              <w:pStyle w:val="TAC"/>
            </w:pPr>
            <w:r w:rsidRPr="009C5807">
              <w:t>17.92x N1</w:t>
            </w:r>
            <w:r w:rsidRPr="008C6DE4">
              <w:rPr>
                <w:rFonts w:cs="Arial"/>
                <w:lang w:eastAsia="zh-CN"/>
              </w:rPr>
              <w:t xml:space="preserve"> </w:t>
            </w:r>
            <w:r>
              <w:rPr>
                <w:rFonts w:cs="Arial"/>
                <w:lang w:eastAsia="zh-CN"/>
              </w:rPr>
              <w:t>x  K4</w:t>
            </w:r>
            <w:r w:rsidRPr="009C5807">
              <w:t xml:space="preserve"> (28 x N1</w:t>
            </w:r>
            <w:r w:rsidRPr="008C6DE4">
              <w:rPr>
                <w:rFonts w:cs="Arial"/>
                <w:lang w:eastAsia="zh-CN"/>
              </w:rPr>
              <w:t xml:space="preserve"> </w:t>
            </w:r>
            <w:r>
              <w:rPr>
                <w:rFonts w:cs="Arial"/>
                <w:lang w:eastAsia="zh-CN"/>
              </w:rPr>
              <w:t>x  K4</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10530D32" w14:textId="77777777" w:rsidR="00F87F95" w:rsidRPr="009C5807" w:rsidRDefault="00F87F95" w:rsidP="001313A6">
            <w:pPr>
              <w:pStyle w:val="TAC"/>
            </w:pPr>
            <w:r w:rsidRPr="009C5807">
              <w:t>1.28 x N1</w:t>
            </w:r>
            <w:r w:rsidRPr="008C6DE4">
              <w:rPr>
                <w:rFonts w:cs="Arial"/>
                <w:lang w:eastAsia="zh-CN"/>
              </w:rPr>
              <w:t xml:space="preserve"> </w:t>
            </w:r>
            <w:r>
              <w:rPr>
                <w:rFonts w:cs="Arial"/>
                <w:lang w:eastAsia="zh-CN"/>
              </w:rPr>
              <w:t>x  K4</w:t>
            </w:r>
            <w:r w:rsidRPr="009C5807">
              <w:t xml:space="preserve"> (2 x N1</w:t>
            </w:r>
            <w:r w:rsidRPr="008C6DE4">
              <w:rPr>
                <w:rFonts w:cs="Arial"/>
                <w:lang w:eastAsia="zh-CN"/>
              </w:rPr>
              <w:t xml:space="preserve"> </w:t>
            </w:r>
            <w:r>
              <w:rPr>
                <w:rFonts w:cs="Arial"/>
                <w:lang w:eastAsia="zh-CN"/>
              </w:rPr>
              <w:t>x  K4</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5D2DF3C8" w14:textId="77777777" w:rsidR="00F87F95" w:rsidRPr="009C5807" w:rsidRDefault="00F87F95" w:rsidP="001313A6">
            <w:pPr>
              <w:pStyle w:val="TAC"/>
            </w:pPr>
            <w:r w:rsidRPr="009C5807">
              <w:t>5.12 x N1</w:t>
            </w:r>
            <w:r w:rsidRPr="008C6DE4">
              <w:rPr>
                <w:rFonts w:cs="Arial"/>
                <w:lang w:eastAsia="zh-CN"/>
              </w:rPr>
              <w:t xml:space="preserve"> </w:t>
            </w:r>
            <w:r>
              <w:rPr>
                <w:rFonts w:cs="Arial"/>
                <w:lang w:eastAsia="zh-CN"/>
              </w:rPr>
              <w:t>x  K4</w:t>
            </w:r>
            <w:r w:rsidRPr="009C5807">
              <w:t xml:space="preserve"> (8 x N1</w:t>
            </w:r>
            <w:r w:rsidRPr="008C6DE4">
              <w:rPr>
                <w:rFonts w:cs="Arial"/>
                <w:lang w:eastAsia="zh-CN"/>
              </w:rPr>
              <w:t xml:space="preserve"> </w:t>
            </w:r>
            <w:r>
              <w:rPr>
                <w:rFonts w:cs="Arial"/>
                <w:lang w:eastAsia="zh-CN"/>
              </w:rPr>
              <w:t>x  K4</w:t>
            </w:r>
            <w:r w:rsidRPr="009C5807">
              <w:t>)</w:t>
            </w:r>
          </w:p>
        </w:tc>
      </w:tr>
      <w:tr w:rsidR="00F87F95" w:rsidRPr="009C5807" w14:paraId="513218C5"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707524D" w14:textId="77777777" w:rsidR="00F87F95" w:rsidRPr="009C5807" w:rsidRDefault="00F87F95" w:rsidP="001313A6">
            <w:pPr>
              <w:pStyle w:val="TAC"/>
            </w:pPr>
            <w:r w:rsidRPr="009C5807">
              <w:t>1.28</w:t>
            </w:r>
          </w:p>
        </w:tc>
        <w:tc>
          <w:tcPr>
            <w:tcW w:w="0" w:type="auto"/>
            <w:tcBorders>
              <w:top w:val="nil"/>
              <w:left w:val="single" w:sz="4" w:space="0" w:color="auto"/>
              <w:bottom w:val="nil"/>
              <w:right w:val="single" w:sz="4" w:space="0" w:color="auto"/>
            </w:tcBorders>
            <w:hideMark/>
          </w:tcPr>
          <w:p w14:paraId="2EED298B" w14:textId="77777777" w:rsidR="00F87F95" w:rsidRPr="009C5807" w:rsidRDefault="00F87F95" w:rsidP="001313A6">
            <w:pPr>
              <w:pStyle w:val="TAC"/>
            </w:pPr>
          </w:p>
        </w:tc>
        <w:tc>
          <w:tcPr>
            <w:tcW w:w="0" w:type="auto"/>
            <w:tcBorders>
              <w:top w:val="single" w:sz="4" w:space="0" w:color="auto"/>
              <w:left w:val="single" w:sz="4" w:space="0" w:color="auto"/>
              <w:bottom w:val="single" w:sz="4" w:space="0" w:color="auto"/>
              <w:right w:val="single" w:sz="4" w:space="0" w:color="auto"/>
            </w:tcBorders>
            <w:hideMark/>
          </w:tcPr>
          <w:p w14:paraId="5B5F7D9B" w14:textId="77777777" w:rsidR="00F87F95" w:rsidRPr="009C5807" w:rsidRDefault="00F87F95" w:rsidP="001313A6">
            <w:pPr>
              <w:pStyle w:val="TAC"/>
            </w:pPr>
            <w:r w:rsidRPr="009C5807">
              <w:t>4</w:t>
            </w:r>
          </w:p>
        </w:tc>
        <w:tc>
          <w:tcPr>
            <w:tcW w:w="0" w:type="auto"/>
            <w:tcBorders>
              <w:top w:val="single" w:sz="4" w:space="0" w:color="auto"/>
              <w:left w:val="single" w:sz="4" w:space="0" w:color="auto"/>
              <w:bottom w:val="single" w:sz="4" w:space="0" w:color="auto"/>
              <w:right w:val="single" w:sz="4" w:space="0" w:color="auto"/>
            </w:tcBorders>
            <w:hideMark/>
          </w:tcPr>
          <w:p w14:paraId="7962816A" w14:textId="77777777" w:rsidR="00F87F95" w:rsidRPr="009C5807" w:rsidRDefault="00F87F95" w:rsidP="001313A6">
            <w:pPr>
              <w:pStyle w:val="TAC"/>
            </w:pPr>
            <w:r w:rsidRPr="009C5807">
              <w:t>32 x N1</w:t>
            </w:r>
            <w:r w:rsidRPr="008C6DE4">
              <w:rPr>
                <w:rFonts w:cs="Arial"/>
                <w:lang w:eastAsia="zh-CN"/>
              </w:rPr>
              <w:t xml:space="preserve"> </w:t>
            </w:r>
            <w:r>
              <w:rPr>
                <w:rFonts w:cs="Arial"/>
                <w:lang w:eastAsia="zh-CN"/>
              </w:rPr>
              <w:t>x  K4</w:t>
            </w:r>
            <w:r w:rsidRPr="009C5807">
              <w:t xml:space="preserve"> (25 x N1</w:t>
            </w:r>
            <w:r w:rsidRPr="008C6DE4">
              <w:rPr>
                <w:rFonts w:cs="Arial"/>
                <w:lang w:eastAsia="zh-CN"/>
              </w:rPr>
              <w:t xml:space="preserve"> </w:t>
            </w:r>
            <w:r>
              <w:rPr>
                <w:rFonts w:cs="Arial"/>
                <w:lang w:eastAsia="zh-CN"/>
              </w:rPr>
              <w:t>x  K4</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530BC51B" w14:textId="77777777" w:rsidR="00F87F95" w:rsidRPr="009C5807" w:rsidRDefault="00F87F95" w:rsidP="001313A6">
            <w:pPr>
              <w:pStyle w:val="TAC"/>
            </w:pPr>
            <w:r w:rsidRPr="009C5807">
              <w:t>1.28 x N1</w:t>
            </w:r>
            <w:r w:rsidRPr="008C6DE4">
              <w:rPr>
                <w:rFonts w:cs="Arial"/>
                <w:lang w:eastAsia="zh-CN"/>
              </w:rPr>
              <w:t xml:space="preserve"> </w:t>
            </w:r>
            <w:r>
              <w:rPr>
                <w:rFonts w:cs="Arial"/>
                <w:lang w:eastAsia="zh-CN"/>
              </w:rPr>
              <w:t>x  K4</w:t>
            </w:r>
            <w:r w:rsidRPr="009C5807">
              <w:t xml:space="preserve"> (1 x N1</w:t>
            </w:r>
            <w:r w:rsidRPr="008C6DE4">
              <w:rPr>
                <w:rFonts w:cs="Arial"/>
                <w:lang w:eastAsia="zh-CN"/>
              </w:rPr>
              <w:t xml:space="preserve"> </w:t>
            </w:r>
            <w:r>
              <w:rPr>
                <w:rFonts w:cs="Arial"/>
                <w:lang w:eastAsia="zh-CN"/>
              </w:rPr>
              <w:t>x  K4</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0595718E" w14:textId="77777777" w:rsidR="00F87F95" w:rsidRPr="009C5807" w:rsidRDefault="00F87F95" w:rsidP="001313A6">
            <w:pPr>
              <w:pStyle w:val="TAC"/>
            </w:pPr>
            <w:r w:rsidRPr="009C5807">
              <w:t>6.4 x N1</w:t>
            </w:r>
            <w:r w:rsidRPr="008C6DE4">
              <w:rPr>
                <w:rFonts w:cs="Arial"/>
                <w:lang w:eastAsia="zh-CN"/>
              </w:rPr>
              <w:t xml:space="preserve"> </w:t>
            </w:r>
            <w:r>
              <w:rPr>
                <w:rFonts w:cs="Arial"/>
                <w:lang w:eastAsia="zh-CN"/>
              </w:rPr>
              <w:t>x  K4</w:t>
            </w:r>
            <w:r w:rsidRPr="009C5807">
              <w:t xml:space="preserve"> (5 x N1</w:t>
            </w:r>
            <w:r w:rsidRPr="008C6DE4">
              <w:rPr>
                <w:rFonts w:cs="Arial"/>
                <w:lang w:eastAsia="zh-CN"/>
              </w:rPr>
              <w:t xml:space="preserve"> </w:t>
            </w:r>
            <w:r>
              <w:rPr>
                <w:rFonts w:cs="Arial"/>
                <w:lang w:eastAsia="zh-CN"/>
              </w:rPr>
              <w:t>x  K4</w:t>
            </w:r>
            <w:r w:rsidRPr="009C5807">
              <w:t>)</w:t>
            </w:r>
          </w:p>
        </w:tc>
      </w:tr>
      <w:tr w:rsidR="00F87F95" w:rsidRPr="009C5807" w14:paraId="6E2F6891"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9ED22A6" w14:textId="77777777" w:rsidR="00F87F95" w:rsidRPr="009C5807" w:rsidRDefault="00F87F95" w:rsidP="001313A6">
            <w:pPr>
              <w:pStyle w:val="TAC"/>
            </w:pPr>
            <w:r w:rsidRPr="009C5807">
              <w:t>2.56</w:t>
            </w:r>
          </w:p>
        </w:tc>
        <w:tc>
          <w:tcPr>
            <w:tcW w:w="0" w:type="auto"/>
            <w:tcBorders>
              <w:top w:val="nil"/>
              <w:left w:val="single" w:sz="4" w:space="0" w:color="auto"/>
              <w:bottom w:val="single" w:sz="4" w:space="0" w:color="auto"/>
              <w:right w:val="single" w:sz="4" w:space="0" w:color="auto"/>
            </w:tcBorders>
            <w:hideMark/>
          </w:tcPr>
          <w:p w14:paraId="6956EF0D" w14:textId="77777777" w:rsidR="00F87F95" w:rsidRPr="009C5807" w:rsidRDefault="00F87F95" w:rsidP="001313A6">
            <w:pPr>
              <w:pStyle w:val="TAC"/>
            </w:pPr>
          </w:p>
        </w:tc>
        <w:tc>
          <w:tcPr>
            <w:tcW w:w="0" w:type="auto"/>
            <w:tcBorders>
              <w:top w:val="single" w:sz="4" w:space="0" w:color="auto"/>
              <w:left w:val="single" w:sz="4" w:space="0" w:color="auto"/>
              <w:bottom w:val="single" w:sz="4" w:space="0" w:color="auto"/>
              <w:right w:val="single" w:sz="4" w:space="0" w:color="auto"/>
            </w:tcBorders>
            <w:hideMark/>
          </w:tcPr>
          <w:p w14:paraId="471DC121" w14:textId="77777777" w:rsidR="00F87F95" w:rsidRPr="009C5807" w:rsidRDefault="00F87F95" w:rsidP="001313A6">
            <w:pPr>
              <w:pStyle w:val="TAC"/>
            </w:pPr>
            <w:r w:rsidRPr="009C5807">
              <w:t>3</w:t>
            </w:r>
          </w:p>
        </w:tc>
        <w:tc>
          <w:tcPr>
            <w:tcW w:w="0" w:type="auto"/>
            <w:tcBorders>
              <w:top w:val="single" w:sz="4" w:space="0" w:color="auto"/>
              <w:left w:val="single" w:sz="4" w:space="0" w:color="auto"/>
              <w:bottom w:val="single" w:sz="4" w:space="0" w:color="auto"/>
              <w:right w:val="single" w:sz="4" w:space="0" w:color="auto"/>
            </w:tcBorders>
            <w:hideMark/>
          </w:tcPr>
          <w:p w14:paraId="5B86EF0C" w14:textId="77777777" w:rsidR="00F87F95" w:rsidRPr="009C5807" w:rsidRDefault="00F87F95" w:rsidP="001313A6">
            <w:pPr>
              <w:pStyle w:val="TAC"/>
            </w:pPr>
            <w:r w:rsidRPr="009C5807">
              <w:t>58.88 x N1</w:t>
            </w:r>
            <w:r w:rsidRPr="008C6DE4">
              <w:rPr>
                <w:rFonts w:cs="Arial"/>
                <w:lang w:eastAsia="zh-CN"/>
              </w:rPr>
              <w:t xml:space="preserve"> </w:t>
            </w:r>
            <w:r>
              <w:rPr>
                <w:rFonts w:cs="Arial"/>
                <w:lang w:eastAsia="zh-CN"/>
              </w:rPr>
              <w:t>x  K4</w:t>
            </w:r>
            <w:r w:rsidRPr="009C5807">
              <w:t xml:space="preserve"> (23 x N1</w:t>
            </w:r>
            <w:r w:rsidRPr="008C6DE4">
              <w:rPr>
                <w:rFonts w:cs="Arial"/>
                <w:lang w:eastAsia="zh-CN"/>
              </w:rPr>
              <w:t xml:space="preserve"> </w:t>
            </w:r>
            <w:r>
              <w:rPr>
                <w:rFonts w:cs="Arial"/>
                <w:lang w:eastAsia="zh-CN"/>
              </w:rPr>
              <w:t>x  K4</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628D73F4" w14:textId="77777777" w:rsidR="00F87F95" w:rsidRPr="009C5807" w:rsidRDefault="00F87F95" w:rsidP="001313A6">
            <w:pPr>
              <w:pStyle w:val="TAC"/>
            </w:pPr>
            <w:r w:rsidRPr="009C5807">
              <w:t>2.56 x N1</w:t>
            </w:r>
            <w:r w:rsidRPr="008C6DE4">
              <w:rPr>
                <w:rFonts w:cs="Arial"/>
                <w:lang w:eastAsia="zh-CN"/>
              </w:rPr>
              <w:t xml:space="preserve"> </w:t>
            </w:r>
            <w:r>
              <w:rPr>
                <w:rFonts w:cs="Arial"/>
                <w:lang w:eastAsia="zh-CN"/>
              </w:rPr>
              <w:t>x  K4</w:t>
            </w:r>
            <w:r w:rsidRPr="009C5807">
              <w:t xml:space="preserve"> (1 x N1</w:t>
            </w:r>
            <w:r w:rsidRPr="008C6DE4">
              <w:rPr>
                <w:rFonts w:cs="Arial"/>
                <w:lang w:eastAsia="zh-CN"/>
              </w:rPr>
              <w:t xml:space="preserve"> </w:t>
            </w:r>
            <w:r>
              <w:rPr>
                <w:rFonts w:cs="Arial"/>
                <w:lang w:eastAsia="zh-CN"/>
              </w:rPr>
              <w:t>x  K4</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67A63440" w14:textId="77777777" w:rsidR="00F87F95" w:rsidRPr="009C5807" w:rsidRDefault="00F87F95" w:rsidP="001313A6">
            <w:pPr>
              <w:pStyle w:val="TAC"/>
            </w:pPr>
            <w:r w:rsidRPr="009C5807">
              <w:t>7.68 x N1</w:t>
            </w:r>
            <w:r w:rsidRPr="008C6DE4">
              <w:rPr>
                <w:rFonts w:cs="Arial"/>
                <w:lang w:eastAsia="zh-CN"/>
              </w:rPr>
              <w:t xml:space="preserve"> </w:t>
            </w:r>
            <w:r>
              <w:rPr>
                <w:rFonts w:cs="Arial"/>
                <w:lang w:eastAsia="zh-CN"/>
              </w:rPr>
              <w:t>x  K4</w:t>
            </w:r>
            <w:r w:rsidRPr="009C5807">
              <w:t xml:space="preserve"> (3 x N1</w:t>
            </w:r>
            <w:r w:rsidRPr="008C6DE4">
              <w:rPr>
                <w:rFonts w:cs="Arial"/>
                <w:lang w:eastAsia="zh-CN"/>
              </w:rPr>
              <w:t xml:space="preserve"> </w:t>
            </w:r>
            <w:r>
              <w:rPr>
                <w:rFonts w:cs="Arial"/>
                <w:lang w:eastAsia="zh-CN"/>
              </w:rPr>
              <w:t>x  K4</w:t>
            </w:r>
            <w:r w:rsidRPr="009C5807">
              <w:t>)</w:t>
            </w:r>
          </w:p>
        </w:tc>
      </w:tr>
      <w:tr w:rsidR="00F87F95" w:rsidRPr="00AD5C2C" w14:paraId="07101184" w14:textId="77777777" w:rsidTr="001313A6">
        <w:trPr>
          <w:cantSplit/>
          <w:jc w:val="center"/>
        </w:trPr>
        <w:tc>
          <w:tcPr>
            <w:tcW w:w="0" w:type="auto"/>
            <w:gridSpan w:val="6"/>
            <w:tcBorders>
              <w:top w:val="single" w:sz="4" w:space="0" w:color="auto"/>
              <w:left w:val="single" w:sz="4" w:space="0" w:color="auto"/>
              <w:bottom w:val="single" w:sz="4" w:space="0" w:color="auto"/>
              <w:right w:val="single" w:sz="4" w:space="0" w:color="auto"/>
            </w:tcBorders>
            <w:hideMark/>
          </w:tcPr>
          <w:p w14:paraId="2BCB8367" w14:textId="77777777" w:rsidR="00F87F95" w:rsidRPr="00AD5C2C" w:rsidRDefault="00F87F95" w:rsidP="001313A6">
            <w:pPr>
              <w:pStyle w:val="TAN"/>
            </w:pPr>
            <w:r w:rsidRPr="00AD5C2C">
              <w:rPr>
                <w:snapToGrid w:val="0"/>
                <w:lang w:eastAsia="zh-CN"/>
              </w:rPr>
              <w:t>Note 1</w:t>
            </w:r>
            <w:r w:rsidRPr="00AD5C2C">
              <w:t>:</w:t>
            </w:r>
            <w:r w:rsidRPr="00AD5C2C">
              <w:rPr>
                <w:lang w:val="en-US"/>
              </w:rPr>
              <w:tab/>
            </w:r>
            <w:r w:rsidRPr="00AD5C2C">
              <w:t>Applies for RedCap UE of all supporting power class.</w:t>
            </w:r>
          </w:p>
          <w:p w14:paraId="397CE2A8" w14:textId="77777777" w:rsidR="00F87F95" w:rsidRPr="00AD5C2C" w:rsidRDefault="00F87F95" w:rsidP="001313A6">
            <w:pPr>
              <w:pStyle w:val="TAN"/>
            </w:pPr>
            <w:r w:rsidRPr="00AD5C2C">
              <w:rPr>
                <w:snapToGrid w:val="0"/>
                <w:lang w:eastAsia="zh-CN"/>
              </w:rPr>
              <w:t>Note 2:</w:t>
            </w:r>
            <w:r w:rsidRPr="00AD5C2C">
              <w:rPr>
                <w:lang w:val="en-US"/>
              </w:rPr>
              <w:tab/>
            </w:r>
            <w:r w:rsidRPr="00AD5C2C">
              <w:rPr>
                <w:snapToGrid w:val="0"/>
                <w:lang w:eastAsia="zh-CN"/>
              </w:rPr>
              <w:t xml:space="preserve">K4 = 6 is the measurement relaxation factor applicable for UE fulfilling the </w:t>
            </w:r>
            <w:r w:rsidRPr="00AD5C2C">
              <w:rPr>
                <w:i/>
                <w:noProof/>
              </w:rPr>
              <w:t xml:space="preserve">stationaryMobilityEvaluation </w:t>
            </w:r>
            <w:r w:rsidRPr="00AD5C2C">
              <w:rPr>
                <w:lang w:eastAsia="zh-CN"/>
              </w:rPr>
              <w:t>[2]</w:t>
            </w:r>
            <w:r w:rsidRPr="00AD5C2C">
              <w:rPr>
                <w:snapToGrid w:val="0"/>
                <w:lang w:eastAsia="zh-CN"/>
              </w:rPr>
              <w:t xml:space="preserve"> criterion.</w:t>
            </w:r>
          </w:p>
        </w:tc>
      </w:tr>
    </w:tbl>
    <w:p w14:paraId="0E7C9733" w14:textId="77777777" w:rsidR="00F87F95" w:rsidRPr="00AD5C2C" w:rsidRDefault="00F87F95" w:rsidP="00F87F95">
      <w:pPr>
        <w:rPr>
          <w:noProof/>
        </w:rPr>
      </w:pPr>
    </w:p>
    <w:p w14:paraId="25438BE7" w14:textId="73B05513" w:rsidR="00FF5110" w:rsidRPr="00AD5C2C" w:rsidRDefault="00AB0056" w:rsidP="00FF5110">
      <w:pPr>
        <w:pStyle w:val="TH"/>
        <w:rPr>
          <w:lang w:val="en-US"/>
        </w:rPr>
      </w:pPr>
      <w:r w:rsidRPr="002F762B">
        <w:rPr>
          <w:lang w:val="en-US"/>
        </w:rPr>
        <w:t>Table 4.2B.2.10.2-3: T</w:t>
      </w:r>
      <w:r w:rsidRPr="002F762B">
        <w:rPr>
          <w:vertAlign w:val="subscript"/>
          <w:lang w:val="en-US"/>
        </w:rPr>
        <w:t>detect,</w:t>
      </w:r>
      <w:r w:rsidRPr="002F762B">
        <w:t xml:space="preserve"> </w:t>
      </w:r>
      <w:r w:rsidRPr="002F762B">
        <w:rPr>
          <w:vertAlign w:val="subscript"/>
          <w:lang w:val="en-US"/>
        </w:rPr>
        <w:t>NR_Inter _RedCap_Relax</w:t>
      </w:r>
      <w:r w:rsidRPr="002F762B">
        <w:rPr>
          <w:lang w:val="en-US"/>
        </w:rPr>
        <w:t>, T</w:t>
      </w:r>
      <w:r w:rsidRPr="002F762B">
        <w:rPr>
          <w:vertAlign w:val="subscript"/>
          <w:lang w:val="en-US"/>
        </w:rPr>
        <w:t>measure,NR_,NR_Inter _RedCap_Relax</w:t>
      </w:r>
      <w:r w:rsidRPr="002F762B">
        <w:rPr>
          <w:lang w:val="en-US"/>
        </w:rPr>
        <w:t xml:space="preserve"> and T</w:t>
      </w:r>
      <w:r w:rsidRPr="002F762B">
        <w:rPr>
          <w:vertAlign w:val="subscript"/>
          <w:lang w:val="en-US"/>
        </w:rPr>
        <w:t>evaluate, NR_Inter _RedCap_Relax</w:t>
      </w:r>
      <w:r w:rsidRPr="002F762B">
        <w:rPr>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2614"/>
        <w:gridCol w:w="2647"/>
        <w:gridCol w:w="2639"/>
      </w:tblGrid>
      <w:tr w:rsidR="00AB0056" w:rsidRPr="00AD5C2C" w14:paraId="6A3A0D7C" w14:textId="77777777" w:rsidTr="005145F6">
        <w:trPr>
          <w:trHeight w:val="673"/>
        </w:trPr>
        <w:tc>
          <w:tcPr>
            <w:tcW w:w="0" w:type="auto"/>
            <w:vMerge w:val="restart"/>
            <w:hideMark/>
          </w:tcPr>
          <w:p w14:paraId="2B5AEAD8" w14:textId="4AFE1DD5" w:rsidR="00AB0056" w:rsidRPr="0082197E" w:rsidRDefault="00AB0056" w:rsidP="00AB0056">
            <w:pPr>
              <w:pStyle w:val="TAH"/>
              <w:rPr>
                <w:lang w:val="en-US" w:eastAsia="zh-CN"/>
              </w:rPr>
            </w:pPr>
            <w:r w:rsidRPr="0082197E">
              <w:rPr>
                <w:lang w:eastAsia="zh-CN"/>
              </w:rPr>
              <w:t>eDRX_IDLE cycle length [s]</w:t>
            </w:r>
          </w:p>
        </w:tc>
        <w:tc>
          <w:tcPr>
            <w:tcW w:w="0" w:type="auto"/>
            <w:vMerge w:val="restart"/>
            <w:hideMark/>
          </w:tcPr>
          <w:p w14:paraId="59F036B6" w14:textId="391CD0E7" w:rsidR="00AB0056" w:rsidRPr="0082197E" w:rsidRDefault="00AB0056" w:rsidP="00AB0056">
            <w:pPr>
              <w:pStyle w:val="TAH"/>
              <w:rPr>
                <w:szCs w:val="18"/>
                <w:lang w:val="en-US" w:eastAsia="zh-CN"/>
              </w:rPr>
            </w:pPr>
            <w:r w:rsidRPr="0082197E">
              <w:rPr>
                <w:szCs w:val="18"/>
                <w:lang w:val="en-US"/>
              </w:rPr>
              <w:t>T</w:t>
            </w:r>
            <w:r w:rsidRPr="0082197E">
              <w:rPr>
                <w:szCs w:val="18"/>
                <w:vertAlign w:val="subscript"/>
                <w:lang w:val="en-US"/>
              </w:rPr>
              <w:t>detect,</w:t>
            </w:r>
            <w:r>
              <w:t xml:space="preserve"> </w:t>
            </w:r>
            <w:r w:rsidRPr="00FC72A4">
              <w:rPr>
                <w:szCs w:val="18"/>
                <w:vertAlign w:val="subscript"/>
                <w:lang w:val="en-US"/>
              </w:rPr>
              <w:t>NR_Inter</w:t>
            </w:r>
            <w:r w:rsidRPr="0082197E">
              <w:rPr>
                <w:szCs w:val="18"/>
                <w:vertAlign w:val="subscript"/>
                <w:lang w:val="en-US"/>
              </w:rPr>
              <w:t>_RedCap</w:t>
            </w:r>
            <w:r>
              <w:rPr>
                <w:szCs w:val="18"/>
                <w:vertAlign w:val="subscript"/>
                <w:lang w:val="en-US"/>
              </w:rPr>
              <w:t>_Relax</w:t>
            </w:r>
            <w:r w:rsidRPr="0082197E">
              <w:rPr>
                <w:szCs w:val="18"/>
                <w:lang w:eastAsia="zh-CN"/>
              </w:rPr>
              <w:t xml:space="preserve"> [s] (number of DRX cycles)</w:t>
            </w:r>
          </w:p>
        </w:tc>
        <w:tc>
          <w:tcPr>
            <w:tcW w:w="0" w:type="auto"/>
            <w:vMerge w:val="restart"/>
            <w:hideMark/>
          </w:tcPr>
          <w:p w14:paraId="6F6FC093" w14:textId="553B83E5" w:rsidR="00AB0056" w:rsidRPr="0082197E" w:rsidRDefault="00AB0056" w:rsidP="00AB0056">
            <w:pPr>
              <w:pStyle w:val="TAH"/>
              <w:rPr>
                <w:szCs w:val="18"/>
                <w:lang w:val="en-US" w:eastAsia="zh-CN"/>
              </w:rPr>
            </w:pPr>
            <w:r w:rsidRPr="0082197E">
              <w:rPr>
                <w:szCs w:val="18"/>
                <w:lang w:val="en-US"/>
              </w:rPr>
              <w:t>T</w:t>
            </w:r>
            <w:r w:rsidRPr="0082197E">
              <w:rPr>
                <w:szCs w:val="18"/>
                <w:vertAlign w:val="subscript"/>
                <w:lang w:val="en-US"/>
              </w:rPr>
              <w:t>measure,</w:t>
            </w:r>
            <w:r w:rsidRPr="00FC72A4">
              <w:rPr>
                <w:szCs w:val="18"/>
                <w:vertAlign w:val="subscript"/>
                <w:lang w:val="en-US"/>
              </w:rPr>
              <w:t xml:space="preserve"> NR_Inter</w:t>
            </w:r>
            <w:r w:rsidRPr="0082197E">
              <w:rPr>
                <w:szCs w:val="18"/>
                <w:vertAlign w:val="subscript"/>
                <w:lang w:val="en-US"/>
              </w:rPr>
              <w:t>_RedCap</w:t>
            </w:r>
            <w:r>
              <w:rPr>
                <w:szCs w:val="18"/>
                <w:vertAlign w:val="subscript"/>
                <w:lang w:val="en-US"/>
              </w:rPr>
              <w:t>_Relax</w:t>
            </w:r>
            <w:r w:rsidRPr="0082197E">
              <w:rPr>
                <w:szCs w:val="18"/>
                <w:lang w:val="en-US"/>
              </w:rPr>
              <w:t xml:space="preserve"> </w:t>
            </w:r>
            <w:r w:rsidRPr="0082197E">
              <w:rPr>
                <w:szCs w:val="18"/>
                <w:lang w:eastAsia="zh-CN"/>
              </w:rPr>
              <w:t>[s] (number of DRX cycles)</w:t>
            </w:r>
          </w:p>
        </w:tc>
        <w:tc>
          <w:tcPr>
            <w:tcW w:w="0" w:type="auto"/>
            <w:vMerge w:val="restart"/>
            <w:hideMark/>
          </w:tcPr>
          <w:p w14:paraId="2D3BCD27" w14:textId="17B53408" w:rsidR="00AB0056" w:rsidRPr="00AD5C2C" w:rsidRDefault="00AB0056" w:rsidP="00AB0056">
            <w:pPr>
              <w:pStyle w:val="TAH"/>
              <w:rPr>
                <w:szCs w:val="18"/>
                <w:lang w:val="en-US" w:eastAsia="zh-CN"/>
              </w:rPr>
            </w:pPr>
            <w:r w:rsidRPr="00AD5C2C">
              <w:rPr>
                <w:szCs w:val="18"/>
                <w:lang w:val="en-US"/>
              </w:rPr>
              <w:t>T</w:t>
            </w:r>
            <w:r w:rsidRPr="00AD5C2C">
              <w:rPr>
                <w:szCs w:val="18"/>
                <w:vertAlign w:val="subscript"/>
                <w:lang w:val="en-US"/>
              </w:rPr>
              <w:t>evaluate,</w:t>
            </w:r>
            <w:r w:rsidRPr="00FC72A4">
              <w:rPr>
                <w:szCs w:val="18"/>
                <w:vertAlign w:val="subscript"/>
                <w:lang w:val="en-US"/>
              </w:rPr>
              <w:t xml:space="preserve"> NR_Inter</w:t>
            </w:r>
            <w:r w:rsidRPr="00AD5C2C">
              <w:rPr>
                <w:szCs w:val="18"/>
                <w:vertAlign w:val="subscript"/>
                <w:lang w:val="en-US"/>
              </w:rPr>
              <w:t>_RedCap</w:t>
            </w:r>
            <w:r>
              <w:rPr>
                <w:szCs w:val="18"/>
                <w:vertAlign w:val="subscript"/>
                <w:lang w:val="en-US"/>
              </w:rPr>
              <w:t>_Relax</w:t>
            </w:r>
            <w:r w:rsidRPr="00AD5C2C">
              <w:rPr>
                <w:szCs w:val="18"/>
                <w:vertAlign w:val="subscript"/>
                <w:lang w:val="en-US"/>
              </w:rPr>
              <w:t xml:space="preserve"> </w:t>
            </w:r>
            <w:r w:rsidRPr="00AD5C2C">
              <w:rPr>
                <w:szCs w:val="18"/>
                <w:lang w:eastAsia="zh-CN"/>
              </w:rPr>
              <w:t>[s] (number of DRX cycles)</w:t>
            </w:r>
          </w:p>
        </w:tc>
      </w:tr>
      <w:tr w:rsidR="00FF5110" w:rsidRPr="00AD5C2C" w14:paraId="3CC444B8" w14:textId="77777777" w:rsidTr="005145F6">
        <w:trPr>
          <w:trHeight w:val="408"/>
        </w:trPr>
        <w:tc>
          <w:tcPr>
            <w:tcW w:w="0" w:type="auto"/>
            <w:vMerge/>
            <w:hideMark/>
          </w:tcPr>
          <w:p w14:paraId="5024305A" w14:textId="77777777" w:rsidR="00FF5110" w:rsidRPr="0082197E" w:rsidRDefault="00FF5110" w:rsidP="005145F6">
            <w:pPr>
              <w:rPr>
                <w:rFonts w:ascii="Arial" w:hAnsi="Arial" w:cs="Arial"/>
                <w:sz w:val="18"/>
                <w:lang w:val="en-US" w:eastAsia="zh-CN"/>
              </w:rPr>
            </w:pPr>
          </w:p>
        </w:tc>
        <w:tc>
          <w:tcPr>
            <w:tcW w:w="0" w:type="auto"/>
            <w:vMerge/>
            <w:hideMark/>
          </w:tcPr>
          <w:p w14:paraId="175FD287" w14:textId="77777777" w:rsidR="00FF5110" w:rsidRPr="0082197E" w:rsidRDefault="00FF5110" w:rsidP="005145F6">
            <w:pPr>
              <w:rPr>
                <w:rFonts w:ascii="Arial" w:hAnsi="Arial" w:cs="Arial"/>
                <w:sz w:val="18"/>
                <w:lang w:val="en-US" w:eastAsia="zh-CN"/>
              </w:rPr>
            </w:pPr>
          </w:p>
        </w:tc>
        <w:tc>
          <w:tcPr>
            <w:tcW w:w="0" w:type="auto"/>
            <w:vMerge/>
            <w:hideMark/>
          </w:tcPr>
          <w:p w14:paraId="521C32C0" w14:textId="77777777" w:rsidR="00FF5110" w:rsidRPr="0082197E" w:rsidRDefault="00FF5110" w:rsidP="005145F6">
            <w:pPr>
              <w:rPr>
                <w:rFonts w:ascii="Arial" w:hAnsi="Arial" w:cs="Arial"/>
                <w:sz w:val="18"/>
                <w:lang w:val="en-US" w:eastAsia="zh-CN"/>
              </w:rPr>
            </w:pPr>
          </w:p>
        </w:tc>
        <w:tc>
          <w:tcPr>
            <w:tcW w:w="0" w:type="auto"/>
            <w:vMerge/>
            <w:hideMark/>
          </w:tcPr>
          <w:p w14:paraId="1ED3C1F3" w14:textId="77777777" w:rsidR="00FF5110" w:rsidRPr="00AD5C2C" w:rsidRDefault="00FF5110" w:rsidP="005145F6">
            <w:pPr>
              <w:rPr>
                <w:rFonts w:ascii="Arial" w:hAnsi="Arial" w:cs="Arial"/>
                <w:sz w:val="18"/>
                <w:lang w:val="en-US" w:eastAsia="zh-CN"/>
              </w:rPr>
            </w:pPr>
          </w:p>
        </w:tc>
      </w:tr>
      <w:tr w:rsidR="00FF5110" w:rsidRPr="00AD5C2C" w14:paraId="477AD83D" w14:textId="77777777" w:rsidTr="005145F6">
        <w:trPr>
          <w:trHeight w:val="408"/>
        </w:trPr>
        <w:tc>
          <w:tcPr>
            <w:tcW w:w="0" w:type="auto"/>
          </w:tcPr>
          <w:p w14:paraId="508D1E96" w14:textId="77777777" w:rsidR="00FF5110" w:rsidRPr="0082197E" w:rsidRDefault="00FF5110" w:rsidP="00AB0056">
            <w:pPr>
              <w:pStyle w:val="TAL"/>
              <w:rPr>
                <w:lang w:val="en-US" w:eastAsia="zh-CN"/>
              </w:rPr>
            </w:pPr>
            <w:r>
              <w:rPr>
                <w:lang w:eastAsia="zh-CN"/>
              </w:rPr>
              <w:t>2.56</w:t>
            </w:r>
          </w:p>
        </w:tc>
        <w:tc>
          <w:tcPr>
            <w:tcW w:w="0" w:type="auto"/>
          </w:tcPr>
          <w:p w14:paraId="50DB2EDE" w14:textId="77777777" w:rsidR="00FF5110" w:rsidRPr="0082197E" w:rsidRDefault="00FF5110" w:rsidP="00AB0056">
            <w:pPr>
              <w:pStyle w:val="TAL"/>
              <w:rPr>
                <w:lang w:val="en-US" w:eastAsia="zh-CN"/>
              </w:rPr>
            </w:pPr>
            <w:r>
              <w:rPr>
                <w:lang w:eastAsia="zh-CN"/>
              </w:rPr>
              <w:t>58.88</w:t>
            </w:r>
            <w:r w:rsidRPr="00806346">
              <w:rPr>
                <w:lang w:eastAsia="zh-CN"/>
              </w:rPr>
              <w:t xml:space="preserve"> x K3</w:t>
            </w:r>
            <w:r w:rsidRPr="006F2E0A">
              <w:rPr>
                <w:lang w:eastAsia="zh-CN"/>
              </w:rPr>
              <w:t xml:space="preserve"> (23</w:t>
            </w:r>
            <w:r w:rsidRPr="00806346">
              <w:rPr>
                <w:lang w:eastAsia="zh-CN"/>
              </w:rPr>
              <w:t xml:space="preserve"> x K3</w:t>
            </w:r>
            <w:r w:rsidRPr="006F2E0A">
              <w:rPr>
                <w:lang w:eastAsia="zh-CN"/>
              </w:rPr>
              <w:t>)</w:t>
            </w:r>
          </w:p>
        </w:tc>
        <w:tc>
          <w:tcPr>
            <w:tcW w:w="0" w:type="auto"/>
          </w:tcPr>
          <w:p w14:paraId="03A1D457" w14:textId="77777777" w:rsidR="00FF5110" w:rsidRPr="0082197E" w:rsidRDefault="00FF5110" w:rsidP="00AB0056">
            <w:pPr>
              <w:pStyle w:val="TAL"/>
              <w:rPr>
                <w:lang w:val="en-US" w:eastAsia="zh-CN"/>
              </w:rPr>
            </w:pPr>
            <w:r>
              <w:rPr>
                <w:lang w:eastAsia="zh-CN"/>
              </w:rPr>
              <w:t>2.56</w:t>
            </w:r>
            <w:r w:rsidRPr="00806346">
              <w:rPr>
                <w:lang w:eastAsia="zh-CN"/>
              </w:rPr>
              <w:t xml:space="preserve"> x K3</w:t>
            </w:r>
            <w:r w:rsidRPr="006F2E0A">
              <w:rPr>
                <w:lang w:eastAsia="zh-CN"/>
              </w:rPr>
              <w:t xml:space="preserve"> (1</w:t>
            </w:r>
            <w:r w:rsidRPr="00806346">
              <w:rPr>
                <w:lang w:eastAsia="zh-CN"/>
              </w:rPr>
              <w:t xml:space="preserve"> x K3</w:t>
            </w:r>
            <w:r w:rsidRPr="006F2E0A">
              <w:rPr>
                <w:lang w:eastAsia="zh-CN"/>
              </w:rPr>
              <w:t>)</w:t>
            </w:r>
          </w:p>
        </w:tc>
        <w:tc>
          <w:tcPr>
            <w:tcW w:w="0" w:type="auto"/>
          </w:tcPr>
          <w:p w14:paraId="725BD157" w14:textId="77777777" w:rsidR="00FF5110" w:rsidRPr="00AD5C2C" w:rsidRDefault="00FF5110" w:rsidP="00AB0056">
            <w:pPr>
              <w:pStyle w:val="TAL"/>
              <w:rPr>
                <w:lang w:val="en-US" w:eastAsia="zh-CN"/>
              </w:rPr>
            </w:pPr>
            <w:r>
              <w:rPr>
                <w:lang w:eastAsia="zh-CN"/>
              </w:rPr>
              <w:t>5.12</w:t>
            </w:r>
            <w:r w:rsidRPr="00806346">
              <w:rPr>
                <w:lang w:eastAsia="zh-CN"/>
              </w:rPr>
              <w:t xml:space="preserve"> x K3</w:t>
            </w:r>
            <w:r w:rsidRPr="006F2E0A">
              <w:rPr>
                <w:lang w:eastAsia="zh-CN"/>
              </w:rPr>
              <w:t xml:space="preserve"> (2</w:t>
            </w:r>
            <w:r w:rsidRPr="00806346">
              <w:rPr>
                <w:lang w:eastAsia="zh-CN"/>
              </w:rPr>
              <w:t xml:space="preserve"> x K3</w:t>
            </w:r>
            <w:r w:rsidRPr="006F2E0A">
              <w:rPr>
                <w:lang w:eastAsia="zh-CN"/>
              </w:rPr>
              <w:t>)</w:t>
            </w:r>
          </w:p>
        </w:tc>
      </w:tr>
      <w:tr w:rsidR="00FF5110" w:rsidRPr="00AD5C2C" w14:paraId="4ACAAC2F" w14:textId="77777777" w:rsidTr="005145F6">
        <w:trPr>
          <w:trHeight w:val="336"/>
        </w:trPr>
        <w:tc>
          <w:tcPr>
            <w:tcW w:w="0" w:type="auto"/>
          </w:tcPr>
          <w:p w14:paraId="4EC669B6" w14:textId="77777777" w:rsidR="00FF5110" w:rsidRPr="006F2E0A" w:rsidRDefault="00FF5110" w:rsidP="00AB0056">
            <w:pPr>
              <w:pStyle w:val="TAL"/>
              <w:rPr>
                <w:lang w:eastAsia="zh-CN"/>
              </w:rPr>
            </w:pPr>
            <w:r w:rsidRPr="006F2E0A">
              <w:rPr>
                <w:lang w:eastAsia="zh-CN"/>
              </w:rPr>
              <w:t>5.12</w:t>
            </w:r>
          </w:p>
        </w:tc>
        <w:tc>
          <w:tcPr>
            <w:tcW w:w="0" w:type="auto"/>
          </w:tcPr>
          <w:p w14:paraId="2CD244E2" w14:textId="77777777" w:rsidR="00FF5110" w:rsidRPr="006F2E0A" w:rsidRDefault="00FF5110" w:rsidP="00AB0056">
            <w:pPr>
              <w:pStyle w:val="TAL"/>
              <w:rPr>
                <w:lang w:eastAsia="zh-CN"/>
              </w:rPr>
            </w:pPr>
            <w:r w:rsidRPr="006F2E0A">
              <w:rPr>
                <w:lang w:eastAsia="zh-CN"/>
              </w:rPr>
              <w:t>117.76</w:t>
            </w:r>
            <w:r w:rsidRPr="00806346">
              <w:rPr>
                <w:lang w:eastAsia="zh-CN"/>
              </w:rPr>
              <w:t xml:space="preserve"> x K3</w:t>
            </w:r>
            <w:r w:rsidRPr="006F2E0A">
              <w:rPr>
                <w:lang w:eastAsia="zh-CN"/>
              </w:rPr>
              <w:t xml:space="preserve"> (23</w:t>
            </w:r>
            <w:r w:rsidRPr="00806346">
              <w:rPr>
                <w:lang w:eastAsia="zh-CN"/>
              </w:rPr>
              <w:t xml:space="preserve"> x K3</w:t>
            </w:r>
            <w:r w:rsidRPr="006F2E0A">
              <w:rPr>
                <w:lang w:eastAsia="zh-CN"/>
              </w:rPr>
              <w:t>)</w:t>
            </w:r>
          </w:p>
        </w:tc>
        <w:tc>
          <w:tcPr>
            <w:tcW w:w="0" w:type="auto"/>
          </w:tcPr>
          <w:p w14:paraId="19A95CCF" w14:textId="77777777" w:rsidR="00FF5110" w:rsidRPr="006F2E0A" w:rsidRDefault="00FF5110" w:rsidP="00AB0056">
            <w:pPr>
              <w:pStyle w:val="TAL"/>
              <w:rPr>
                <w:lang w:eastAsia="zh-CN"/>
              </w:rPr>
            </w:pPr>
            <w:r w:rsidRPr="006F2E0A">
              <w:rPr>
                <w:lang w:eastAsia="zh-CN"/>
              </w:rPr>
              <w:t>5.12</w:t>
            </w:r>
            <w:r w:rsidRPr="00806346">
              <w:rPr>
                <w:lang w:eastAsia="zh-CN"/>
              </w:rPr>
              <w:t xml:space="preserve"> x K3</w:t>
            </w:r>
            <w:r w:rsidRPr="006F2E0A">
              <w:rPr>
                <w:lang w:eastAsia="zh-CN"/>
              </w:rPr>
              <w:t xml:space="preserve"> (1</w:t>
            </w:r>
            <w:r w:rsidRPr="00806346">
              <w:rPr>
                <w:lang w:eastAsia="zh-CN"/>
              </w:rPr>
              <w:t xml:space="preserve"> x K3</w:t>
            </w:r>
            <w:r w:rsidRPr="006F2E0A">
              <w:rPr>
                <w:lang w:eastAsia="zh-CN"/>
              </w:rPr>
              <w:t>)</w:t>
            </w:r>
          </w:p>
        </w:tc>
        <w:tc>
          <w:tcPr>
            <w:tcW w:w="0" w:type="auto"/>
          </w:tcPr>
          <w:p w14:paraId="115A285A" w14:textId="77777777" w:rsidR="00FF5110" w:rsidRPr="006F2E0A" w:rsidRDefault="00FF5110" w:rsidP="00AB0056">
            <w:pPr>
              <w:pStyle w:val="TAL"/>
              <w:rPr>
                <w:lang w:eastAsia="zh-CN"/>
              </w:rPr>
            </w:pPr>
            <w:r w:rsidRPr="006F2E0A">
              <w:rPr>
                <w:lang w:eastAsia="zh-CN"/>
              </w:rPr>
              <w:t>10.24</w:t>
            </w:r>
            <w:r w:rsidRPr="00806346">
              <w:rPr>
                <w:lang w:eastAsia="zh-CN"/>
              </w:rPr>
              <w:t xml:space="preserve"> x K3</w:t>
            </w:r>
            <w:r w:rsidRPr="006F2E0A">
              <w:rPr>
                <w:lang w:eastAsia="zh-CN"/>
              </w:rPr>
              <w:t xml:space="preserve"> (2</w:t>
            </w:r>
            <w:r w:rsidRPr="00806346">
              <w:rPr>
                <w:lang w:eastAsia="zh-CN"/>
              </w:rPr>
              <w:t xml:space="preserve"> x K3</w:t>
            </w:r>
            <w:r w:rsidRPr="006F2E0A">
              <w:rPr>
                <w:lang w:eastAsia="zh-CN"/>
              </w:rPr>
              <w:t>)</w:t>
            </w:r>
          </w:p>
        </w:tc>
      </w:tr>
      <w:tr w:rsidR="00AB0056" w:rsidRPr="00AD5C2C" w14:paraId="080F52C0" w14:textId="77777777" w:rsidTr="005145F6">
        <w:trPr>
          <w:trHeight w:val="336"/>
        </w:trPr>
        <w:tc>
          <w:tcPr>
            <w:tcW w:w="0" w:type="auto"/>
          </w:tcPr>
          <w:p w14:paraId="08FDF8D8" w14:textId="0CE88E1E" w:rsidR="00AB0056" w:rsidRPr="006F2E0A" w:rsidRDefault="00AB0056" w:rsidP="00AB0056">
            <w:pPr>
              <w:pStyle w:val="TAL"/>
              <w:rPr>
                <w:lang w:eastAsia="zh-CN"/>
              </w:rPr>
            </w:pPr>
            <w:r w:rsidRPr="007C4090">
              <w:rPr>
                <w:lang w:eastAsia="zh-CN"/>
              </w:rPr>
              <w:t>10.24</w:t>
            </w:r>
          </w:p>
        </w:tc>
        <w:tc>
          <w:tcPr>
            <w:tcW w:w="0" w:type="auto"/>
          </w:tcPr>
          <w:p w14:paraId="12401A36" w14:textId="50A0D81C" w:rsidR="00AB0056" w:rsidRPr="006F2E0A" w:rsidRDefault="00AB0056" w:rsidP="00AB0056">
            <w:pPr>
              <w:pStyle w:val="TAL"/>
              <w:rPr>
                <w:lang w:eastAsia="zh-CN"/>
              </w:rPr>
            </w:pPr>
            <w:r w:rsidRPr="008906AC">
              <w:rPr>
                <w:lang w:eastAsia="zh-CN"/>
              </w:rPr>
              <w:t>235.52</w:t>
            </w:r>
            <w:r w:rsidRPr="00806346">
              <w:rPr>
                <w:lang w:val="sv-SE"/>
              </w:rPr>
              <w:t xml:space="preserve"> </w:t>
            </w:r>
            <w:r w:rsidRPr="00806346">
              <w:rPr>
                <w:lang w:eastAsia="zh-CN"/>
              </w:rPr>
              <w:t>x K3</w:t>
            </w:r>
            <w:r w:rsidRPr="007C4090">
              <w:rPr>
                <w:lang w:eastAsia="zh-CN"/>
              </w:rPr>
              <w:t xml:space="preserve"> (23</w:t>
            </w:r>
            <w:r w:rsidRPr="00806346">
              <w:rPr>
                <w:lang w:val="sv-SE"/>
              </w:rPr>
              <w:t xml:space="preserve"> </w:t>
            </w:r>
            <w:r w:rsidRPr="00806346">
              <w:rPr>
                <w:lang w:eastAsia="zh-CN"/>
              </w:rPr>
              <w:t>x K3</w:t>
            </w:r>
            <w:r w:rsidRPr="007C4090">
              <w:rPr>
                <w:lang w:eastAsia="zh-CN"/>
              </w:rPr>
              <w:t>)</w:t>
            </w:r>
          </w:p>
        </w:tc>
        <w:tc>
          <w:tcPr>
            <w:tcW w:w="0" w:type="auto"/>
          </w:tcPr>
          <w:p w14:paraId="403A55BF" w14:textId="458F8163" w:rsidR="00AB0056" w:rsidRPr="006F2E0A" w:rsidRDefault="00AB0056" w:rsidP="00AB0056">
            <w:pPr>
              <w:pStyle w:val="TAL"/>
              <w:rPr>
                <w:lang w:eastAsia="zh-CN"/>
              </w:rPr>
            </w:pPr>
            <w:r w:rsidRPr="008906AC">
              <w:rPr>
                <w:lang w:eastAsia="zh-CN"/>
              </w:rPr>
              <w:t>10.24</w:t>
            </w:r>
            <w:r w:rsidRPr="00806346">
              <w:rPr>
                <w:lang w:eastAsia="zh-CN"/>
              </w:rPr>
              <w:t xml:space="preserve"> x K3</w:t>
            </w:r>
            <w:r w:rsidRPr="007C4090">
              <w:rPr>
                <w:lang w:eastAsia="zh-CN"/>
              </w:rPr>
              <w:t xml:space="preserve"> (1</w:t>
            </w:r>
            <w:r w:rsidRPr="00806346">
              <w:rPr>
                <w:lang w:val="sv-SE"/>
              </w:rPr>
              <w:t xml:space="preserve"> </w:t>
            </w:r>
            <w:r w:rsidRPr="00806346">
              <w:rPr>
                <w:lang w:eastAsia="zh-CN"/>
              </w:rPr>
              <w:t>x K3</w:t>
            </w:r>
            <w:r w:rsidRPr="007C4090">
              <w:rPr>
                <w:lang w:eastAsia="zh-CN"/>
              </w:rPr>
              <w:t>)</w:t>
            </w:r>
          </w:p>
        </w:tc>
        <w:tc>
          <w:tcPr>
            <w:tcW w:w="0" w:type="auto"/>
          </w:tcPr>
          <w:p w14:paraId="18F848D8" w14:textId="2D639D4A" w:rsidR="00AB0056" w:rsidRPr="006F2E0A" w:rsidRDefault="00AB0056" w:rsidP="00AB0056">
            <w:pPr>
              <w:pStyle w:val="TAL"/>
              <w:rPr>
                <w:lang w:eastAsia="zh-CN"/>
              </w:rPr>
            </w:pPr>
            <w:r w:rsidRPr="008906AC">
              <w:rPr>
                <w:lang w:eastAsia="zh-CN"/>
              </w:rPr>
              <w:t>20.48</w:t>
            </w:r>
            <w:r w:rsidRPr="00806346">
              <w:rPr>
                <w:lang w:val="sv-SE"/>
              </w:rPr>
              <w:t xml:space="preserve"> </w:t>
            </w:r>
            <w:r w:rsidRPr="00806346">
              <w:rPr>
                <w:lang w:eastAsia="zh-CN"/>
              </w:rPr>
              <w:t>x K3</w:t>
            </w:r>
            <w:r w:rsidRPr="007C4090">
              <w:rPr>
                <w:lang w:eastAsia="zh-CN"/>
              </w:rPr>
              <w:t xml:space="preserve"> (2</w:t>
            </w:r>
            <w:r w:rsidRPr="00806346">
              <w:rPr>
                <w:lang w:val="sv-SE"/>
              </w:rPr>
              <w:t xml:space="preserve"> </w:t>
            </w:r>
            <w:r w:rsidRPr="00806346">
              <w:rPr>
                <w:lang w:eastAsia="zh-CN"/>
              </w:rPr>
              <w:t>x K3</w:t>
            </w:r>
            <w:r w:rsidRPr="007C4090">
              <w:rPr>
                <w:lang w:eastAsia="zh-CN"/>
              </w:rPr>
              <w:t>)</w:t>
            </w:r>
          </w:p>
        </w:tc>
      </w:tr>
      <w:tr w:rsidR="00FF5110" w:rsidRPr="00AD5C2C" w14:paraId="78971404" w14:textId="77777777" w:rsidTr="005145F6">
        <w:trPr>
          <w:trHeight w:val="336"/>
        </w:trPr>
        <w:tc>
          <w:tcPr>
            <w:tcW w:w="0" w:type="auto"/>
            <w:gridSpan w:val="4"/>
          </w:tcPr>
          <w:p w14:paraId="5C3C5659" w14:textId="77777777" w:rsidR="00FF5110" w:rsidRPr="005B7259" w:rsidRDefault="00FF5110" w:rsidP="005145F6">
            <w:pPr>
              <w:pStyle w:val="TAN"/>
              <w:rPr>
                <w:snapToGrid w:val="0"/>
                <w:lang w:eastAsia="zh-CN"/>
              </w:rPr>
            </w:pPr>
            <w:r w:rsidRPr="006F2E0A">
              <w:rPr>
                <w:snapToGrid w:val="0"/>
                <w:lang w:eastAsia="zh-CN"/>
              </w:rPr>
              <w:t>Note 1:</w:t>
            </w:r>
            <w:r w:rsidRPr="005B7259">
              <w:rPr>
                <w:lang w:val="en-US"/>
              </w:rPr>
              <w:tab/>
            </w:r>
            <w:r w:rsidRPr="005B7259">
              <w:rPr>
                <w:snapToGrid w:val="0"/>
                <w:lang w:eastAsia="zh-CN"/>
              </w:rPr>
              <w:t>M2 = 1.5 if SMTC periodicity</w:t>
            </w:r>
            <w:r w:rsidRPr="005B7259">
              <w:t xml:space="preserve"> </w:t>
            </w:r>
            <w:r w:rsidRPr="005B7259">
              <w:rPr>
                <w:snapToGrid w:val="0"/>
                <w:lang w:eastAsia="zh-CN"/>
              </w:rPr>
              <w:t>of measured intra-frequency cell &gt; 20 ms; otherwise M2=1.</w:t>
            </w:r>
            <w:r w:rsidRPr="005B7259">
              <w:t xml:space="preserve"> </w:t>
            </w:r>
            <w:r w:rsidRPr="005B7259">
              <w:rPr>
                <w:snapToGrid w:val="0"/>
                <w:lang w:eastAsia="zh-CN"/>
              </w:rPr>
              <w:t>If different SMTC periodicities are configured for different cells, the SMTC periodicity in this note is the one used by the cell being identified. During PSS/SSS detection, the periodicity of the SMTC configured for the intra-frequency carrier is assumed, and if the actual SSB transmission periodicity is greater than the SMTC configured for the intra-frequency carrier, longer T</w:t>
            </w:r>
            <w:r w:rsidRPr="005B7259">
              <w:rPr>
                <w:snapToGrid w:val="0"/>
                <w:vertAlign w:val="subscript"/>
                <w:lang w:eastAsia="zh-CN"/>
              </w:rPr>
              <w:t xml:space="preserve">detect, NR_intra </w:t>
            </w:r>
            <w:r w:rsidRPr="005B7259">
              <w:rPr>
                <w:snapToGrid w:val="0"/>
                <w:lang w:eastAsia="zh-CN"/>
              </w:rPr>
              <w:t>is expected.</w:t>
            </w:r>
          </w:p>
          <w:p w14:paraId="11C974EB" w14:textId="77777777" w:rsidR="00FF5110" w:rsidRPr="006F2E0A" w:rsidRDefault="00FF5110" w:rsidP="005145F6">
            <w:pPr>
              <w:pStyle w:val="TAN"/>
              <w:rPr>
                <w:lang w:eastAsia="zh-CN"/>
              </w:rPr>
            </w:pPr>
            <w:r w:rsidRPr="00806346">
              <w:rPr>
                <w:snapToGrid w:val="0"/>
                <w:lang w:eastAsia="zh-CN"/>
              </w:rPr>
              <w:t>Note 2:</w:t>
            </w:r>
            <w:r w:rsidRPr="00806346">
              <w:rPr>
                <w:lang w:val="en-US"/>
              </w:rPr>
              <w:tab/>
            </w:r>
            <w:r w:rsidRPr="00806346">
              <w:rPr>
                <w:snapToGrid w:val="0"/>
                <w:lang w:eastAsia="zh-CN"/>
              </w:rPr>
              <w:t xml:space="preserve">K3 = 6 is the measurement relaxation factor applicable for UE fulfilling the </w:t>
            </w:r>
            <w:r w:rsidRPr="00806346">
              <w:rPr>
                <w:i/>
                <w:noProof/>
              </w:rPr>
              <w:t xml:space="preserve">stationaryMobilityEvaluation </w:t>
            </w:r>
            <w:r w:rsidRPr="00806346">
              <w:rPr>
                <w:lang w:eastAsia="zh-CN"/>
              </w:rPr>
              <w:t>[2]</w:t>
            </w:r>
            <w:r w:rsidRPr="00806346">
              <w:rPr>
                <w:snapToGrid w:val="0"/>
                <w:lang w:eastAsia="zh-CN"/>
              </w:rPr>
              <w:t xml:space="preserve"> criterion.</w:t>
            </w:r>
          </w:p>
        </w:tc>
      </w:tr>
    </w:tbl>
    <w:p w14:paraId="56E7C394" w14:textId="77777777" w:rsidR="00FF5110" w:rsidRDefault="00FF5110" w:rsidP="00FF5110">
      <w:pPr>
        <w:rPr>
          <w:noProof/>
        </w:rPr>
      </w:pPr>
    </w:p>
    <w:p w14:paraId="67F9FBF7" w14:textId="77777777" w:rsidR="00791FB3" w:rsidRPr="00AD5C2C" w:rsidRDefault="00791FB3" w:rsidP="00791FB3">
      <w:pPr>
        <w:pStyle w:val="TH"/>
        <w:rPr>
          <w:lang w:val="en-US"/>
        </w:rPr>
      </w:pPr>
      <w:r w:rsidRPr="0082197E">
        <w:rPr>
          <w:lang w:val="en-US"/>
        </w:rPr>
        <w:t>Table 4.2B.2.10.2-4: T</w:t>
      </w:r>
      <w:r w:rsidRPr="0082197E">
        <w:rPr>
          <w:vertAlign w:val="subscript"/>
          <w:lang w:val="en-US"/>
        </w:rPr>
        <w:t>detect,NR_Inter_RedCap</w:t>
      </w:r>
      <w:r>
        <w:rPr>
          <w:vertAlign w:val="subscript"/>
          <w:lang w:val="en-US"/>
        </w:rPr>
        <w:t>_Relax</w:t>
      </w:r>
      <w:r w:rsidRPr="0082197E">
        <w:rPr>
          <w:lang w:val="en-US"/>
        </w:rPr>
        <w:t>, T</w:t>
      </w:r>
      <w:r w:rsidRPr="0082197E">
        <w:rPr>
          <w:vertAlign w:val="subscript"/>
          <w:lang w:val="en-US"/>
        </w:rPr>
        <w:t>measure,NR_Inter_RedCap</w:t>
      </w:r>
      <w:r>
        <w:rPr>
          <w:vertAlign w:val="subscript"/>
          <w:lang w:val="en-US"/>
        </w:rPr>
        <w:t>_Relax</w:t>
      </w:r>
      <w:r w:rsidRPr="0082197E">
        <w:rPr>
          <w:lang w:val="en-US"/>
        </w:rPr>
        <w:t xml:space="preserve"> and T</w:t>
      </w:r>
      <w:r w:rsidRPr="0082197E">
        <w:rPr>
          <w:vertAlign w:val="subscript"/>
          <w:lang w:val="en-US"/>
        </w:rPr>
        <w:t>evaluate,NR_Inter_RedCap</w:t>
      </w:r>
      <w:r>
        <w:rPr>
          <w:vertAlign w:val="subscript"/>
          <w:lang w:val="en-US"/>
        </w:rPr>
        <w:t>_Relax</w:t>
      </w:r>
      <w:r w:rsidRPr="0082197E">
        <w:rPr>
          <w:lang w:val="en-US"/>
        </w:rPr>
        <w:t xml:space="preserve"> for UE configured with eDRX_IDLE cycle (Frequency range FR2)</w:t>
      </w:r>
      <w:r w:rsidRPr="00AD48DE">
        <w:rPr>
          <w:lang w:val="en-US"/>
        </w:rPr>
        <w:t xml:space="preserve"> </w:t>
      </w:r>
      <w:r>
        <w:rPr>
          <w:lang w:val="en-US"/>
        </w:rPr>
        <w:t>for eDRX_IDLE cycle upto 10.24 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8"/>
        <w:gridCol w:w="2622"/>
        <w:gridCol w:w="2763"/>
        <w:gridCol w:w="2746"/>
      </w:tblGrid>
      <w:tr w:rsidR="00791FB3" w:rsidRPr="00AD5C2C" w14:paraId="631224CF" w14:textId="77777777" w:rsidTr="00430B21">
        <w:trPr>
          <w:trHeight w:val="673"/>
        </w:trPr>
        <w:tc>
          <w:tcPr>
            <w:tcW w:w="0" w:type="auto"/>
            <w:vMerge w:val="restart"/>
            <w:hideMark/>
          </w:tcPr>
          <w:p w14:paraId="7C441F73" w14:textId="77777777" w:rsidR="00791FB3" w:rsidRPr="0082197E" w:rsidRDefault="00791FB3" w:rsidP="00430B21">
            <w:pPr>
              <w:rPr>
                <w:rFonts w:ascii="Arial" w:hAnsi="Arial" w:cs="Arial"/>
                <w:sz w:val="18"/>
                <w:lang w:val="en-US" w:eastAsia="zh-CN"/>
              </w:rPr>
            </w:pPr>
            <w:r w:rsidRPr="0082197E">
              <w:rPr>
                <w:rFonts w:ascii="Arial" w:hAnsi="Arial" w:cs="Arial"/>
                <w:b/>
                <w:sz w:val="18"/>
                <w:lang w:eastAsia="zh-CN"/>
              </w:rPr>
              <w:t>eDRX_IDLE cycle length [s]</w:t>
            </w:r>
          </w:p>
        </w:tc>
        <w:tc>
          <w:tcPr>
            <w:tcW w:w="0" w:type="auto"/>
            <w:vMerge w:val="restart"/>
            <w:hideMark/>
          </w:tcPr>
          <w:p w14:paraId="5C776E1F" w14:textId="77777777" w:rsidR="00791FB3" w:rsidRPr="0082197E" w:rsidRDefault="00791FB3" w:rsidP="00430B21">
            <w:pPr>
              <w:rPr>
                <w:rFonts w:ascii="Arial" w:hAnsi="Arial" w:cs="Arial"/>
                <w:sz w:val="18"/>
                <w:szCs w:val="18"/>
                <w:lang w:val="en-US" w:eastAsia="zh-CN"/>
              </w:rPr>
            </w:pPr>
            <w:r w:rsidRPr="0082197E">
              <w:rPr>
                <w:rFonts w:ascii="Arial" w:hAnsi="Arial" w:cs="Arial"/>
                <w:b/>
                <w:sz w:val="18"/>
                <w:szCs w:val="18"/>
                <w:lang w:val="en-US"/>
              </w:rPr>
              <w:t>T</w:t>
            </w:r>
            <w:r w:rsidRPr="0082197E">
              <w:rPr>
                <w:rFonts w:ascii="Arial" w:hAnsi="Arial" w:cs="Arial"/>
                <w:b/>
                <w:sz w:val="18"/>
                <w:szCs w:val="18"/>
                <w:vertAlign w:val="subscript"/>
                <w:lang w:val="en-US"/>
              </w:rPr>
              <w:t>detect,NR_Inter_RedCap</w:t>
            </w:r>
            <w:r>
              <w:rPr>
                <w:rFonts w:ascii="Arial" w:hAnsi="Arial" w:cs="Arial"/>
                <w:b/>
                <w:sz w:val="18"/>
                <w:szCs w:val="18"/>
                <w:vertAlign w:val="subscript"/>
                <w:lang w:val="en-US"/>
              </w:rPr>
              <w:t>_Relax</w:t>
            </w:r>
            <w:r w:rsidRPr="0082197E">
              <w:rPr>
                <w:rFonts w:ascii="Arial" w:hAnsi="Arial" w:cs="Arial"/>
                <w:b/>
                <w:sz w:val="18"/>
                <w:szCs w:val="18"/>
                <w:lang w:eastAsia="zh-CN"/>
              </w:rPr>
              <w:t xml:space="preserve"> [s] (number of DRX cycles)</w:t>
            </w:r>
          </w:p>
        </w:tc>
        <w:tc>
          <w:tcPr>
            <w:tcW w:w="0" w:type="auto"/>
            <w:vMerge w:val="restart"/>
            <w:hideMark/>
          </w:tcPr>
          <w:p w14:paraId="6CC8721A" w14:textId="77777777" w:rsidR="00791FB3" w:rsidRPr="0082197E" w:rsidRDefault="00791FB3" w:rsidP="00430B21">
            <w:pPr>
              <w:rPr>
                <w:rFonts w:ascii="Arial" w:hAnsi="Arial" w:cs="Arial"/>
                <w:sz w:val="18"/>
                <w:szCs w:val="18"/>
                <w:lang w:val="en-US" w:eastAsia="zh-CN"/>
              </w:rPr>
            </w:pPr>
            <w:r w:rsidRPr="0082197E">
              <w:rPr>
                <w:rFonts w:ascii="Arial" w:hAnsi="Arial" w:cs="Arial"/>
                <w:b/>
                <w:sz w:val="18"/>
                <w:szCs w:val="18"/>
                <w:lang w:val="en-US"/>
              </w:rPr>
              <w:t>T</w:t>
            </w:r>
            <w:r w:rsidRPr="0082197E">
              <w:rPr>
                <w:rFonts w:ascii="Arial" w:hAnsi="Arial" w:cs="Arial"/>
                <w:b/>
                <w:sz w:val="18"/>
                <w:szCs w:val="18"/>
                <w:vertAlign w:val="subscript"/>
                <w:lang w:val="en-US"/>
              </w:rPr>
              <w:t>measure,NR_Inter_RedCap</w:t>
            </w:r>
            <w:r>
              <w:rPr>
                <w:rFonts w:ascii="Arial" w:hAnsi="Arial" w:cs="Arial"/>
                <w:b/>
                <w:sz w:val="18"/>
                <w:szCs w:val="18"/>
                <w:vertAlign w:val="subscript"/>
                <w:lang w:val="en-US"/>
              </w:rPr>
              <w:t>_Relax</w:t>
            </w:r>
            <w:r w:rsidRPr="0082197E">
              <w:rPr>
                <w:rFonts w:ascii="Arial" w:hAnsi="Arial" w:cs="Arial"/>
                <w:b/>
                <w:sz w:val="18"/>
                <w:szCs w:val="18"/>
                <w:lang w:val="en-US"/>
              </w:rPr>
              <w:t xml:space="preserve"> </w:t>
            </w:r>
            <w:r w:rsidRPr="0082197E">
              <w:rPr>
                <w:rFonts w:ascii="Arial" w:hAnsi="Arial" w:cs="Arial"/>
                <w:b/>
                <w:sz w:val="18"/>
                <w:szCs w:val="18"/>
                <w:lang w:eastAsia="zh-CN"/>
              </w:rPr>
              <w:t>[s] (number of DRX cycles)</w:t>
            </w:r>
          </w:p>
        </w:tc>
        <w:tc>
          <w:tcPr>
            <w:tcW w:w="0" w:type="auto"/>
            <w:vMerge w:val="restart"/>
            <w:hideMark/>
          </w:tcPr>
          <w:p w14:paraId="60CE3D4A" w14:textId="77777777" w:rsidR="00791FB3" w:rsidRPr="00AD5C2C" w:rsidRDefault="00791FB3" w:rsidP="00430B21">
            <w:pPr>
              <w:rPr>
                <w:rFonts w:ascii="Arial" w:hAnsi="Arial" w:cs="Arial"/>
                <w:sz w:val="18"/>
                <w:szCs w:val="18"/>
                <w:lang w:val="en-US" w:eastAsia="zh-CN"/>
              </w:rPr>
            </w:pPr>
            <w:r w:rsidRPr="00AD5C2C">
              <w:rPr>
                <w:rFonts w:ascii="Arial" w:hAnsi="Arial" w:cs="Arial"/>
                <w:b/>
                <w:sz w:val="18"/>
                <w:szCs w:val="18"/>
                <w:lang w:val="en-US"/>
              </w:rPr>
              <w:t>T</w:t>
            </w:r>
            <w:r w:rsidRPr="00AD5C2C">
              <w:rPr>
                <w:rFonts w:ascii="Arial" w:hAnsi="Arial" w:cs="Arial"/>
                <w:b/>
                <w:sz w:val="18"/>
                <w:szCs w:val="18"/>
                <w:vertAlign w:val="subscript"/>
                <w:lang w:val="en-US"/>
              </w:rPr>
              <w:t>evaluate,NR_Inter_RedCap</w:t>
            </w:r>
            <w:r>
              <w:rPr>
                <w:rFonts w:ascii="Arial" w:hAnsi="Arial" w:cs="Arial"/>
                <w:b/>
                <w:sz w:val="18"/>
                <w:szCs w:val="18"/>
                <w:vertAlign w:val="subscript"/>
                <w:lang w:val="en-US"/>
              </w:rPr>
              <w:t>_Relax</w:t>
            </w:r>
            <w:r w:rsidRPr="00AD5C2C">
              <w:rPr>
                <w:rFonts w:ascii="Arial" w:hAnsi="Arial" w:cs="Arial"/>
                <w:b/>
                <w:sz w:val="18"/>
                <w:szCs w:val="18"/>
                <w:vertAlign w:val="subscript"/>
                <w:lang w:val="en-US"/>
              </w:rPr>
              <w:t xml:space="preserve"> </w:t>
            </w:r>
            <w:r w:rsidRPr="00AD5C2C">
              <w:rPr>
                <w:rFonts w:ascii="Arial" w:hAnsi="Arial" w:cs="Arial"/>
                <w:b/>
                <w:sz w:val="18"/>
                <w:szCs w:val="18"/>
                <w:lang w:eastAsia="zh-CN"/>
              </w:rPr>
              <w:t>[s] (number of DRX cycles)</w:t>
            </w:r>
          </w:p>
        </w:tc>
      </w:tr>
      <w:tr w:rsidR="00791FB3" w:rsidRPr="00AD5C2C" w14:paraId="2FDE4F6E" w14:textId="77777777" w:rsidTr="00430B21">
        <w:trPr>
          <w:trHeight w:val="387"/>
        </w:trPr>
        <w:tc>
          <w:tcPr>
            <w:tcW w:w="0" w:type="auto"/>
            <w:vMerge/>
            <w:hideMark/>
          </w:tcPr>
          <w:p w14:paraId="4A1B0CBD" w14:textId="77777777" w:rsidR="00791FB3" w:rsidRPr="0082197E" w:rsidRDefault="00791FB3" w:rsidP="00430B21">
            <w:pPr>
              <w:rPr>
                <w:rFonts w:ascii="Arial" w:hAnsi="Arial" w:cs="Arial"/>
                <w:sz w:val="18"/>
                <w:lang w:val="en-US" w:eastAsia="zh-CN"/>
              </w:rPr>
            </w:pPr>
          </w:p>
        </w:tc>
        <w:tc>
          <w:tcPr>
            <w:tcW w:w="0" w:type="auto"/>
            <w:vMerge/>
            <w:hideMark/>
          </w:tcPr>
          <w:p w14:paraId="0AC48BF3" w14:textId="77777777" w:rsidR="00791FB3" w:rsidRPr="0082197E" w:rsidRDefault="00791FB3" w:rsidP="00430B21">
            <w:pPr>
              <w:rPr>
                <w:rFonts w:ascii="Arial" w:hAnsi="Arial" w:cs="Arial"/>
                <w:sz w:val="18"/>
                <w:lang w:val="en-US" w:eastAsia="zh-CN"/>
              </w:rPr>
            </w:pPr>
          </w:p>
        </w:tc>
        <w:tc>
          <w:tcPr>
            <w:tcW w:w="0" w:type="auto"/>
            <w:vMerge/>
            <w:hideMark/>
          </w:tcPr>
          <w:p w14:paraId="3139A239" w14:textId="77777777" w:rsidR="00791FB3" w:rsidRPr="0082197E" w:rsidRDefault="00791FB3" w:rsidP="00430B21">
            <w:pPr>
              <w:rPr>
                <w:rFonts w:ascii="Arial" w:hAnsi="Arial" w:cs="Arial"/>
                <w:sz w:val="18"/>
                <w:lang w:val="en-US" w:eastAsia="zh-CN"/>
              </w:rPr>
            </w:pPr>
          </w:p>
        </w:tc>
        <w:tc>
          <w:tcPr>
            <w:tcW w:w="0" w:type="auto"/>
            <w:vMerge/>
            <w:hideMark/>
          </w:tcPr>
          <w:p w14:paraId="0B114059" w14:textId="77777777" w:rsidR="00791FB3" w:rsidRPr="00AD5C2C" w:rsidRDefault="00791FB3" w:rsidP="00430B21">
            <w:pPr>
              <w:rPr>
                <w:rFonts w:ascii="Arial" w:hAnsi="Arial" w:cs="Arial"/>
                <w:sz w:val="18"/>
                <w:lang w:val="en-US" w:eastAsia="zh-CN"/>
              </w:rPr>
            </w:pPr>
          </w:p>
        </w:tc>
      </w:tr>
      <w:tr w:rsidR="007A5E1E" w:rsidRPr="00AD5C2C" w14:paraId="5C04C792" w14:textId="77777777" w:rsidTr="00430B21">
        <w:trPr>
          <w:trHeight w:val="336"/>
        </w:trPr>
        <w:tc>
          <w:tcPr>
            <w:tcW w:w="0" w:type="auto"/>
          </w:tcPr>
          <w:p w14:paraId="7E99F22B" w14:textId="7E561F4B" w:rsidR="007A5E1E" w:rsidRPr="005556E5" w:rsidRDefault="007A5E1E" w:rsidP="007A5E1E">
            <w:pPr>
              <w:pStyle w:val="TAL"/>
              <w:rPr>
                <w:lang w:val="en-US" w:eastAsia="zh-CN"/>
              </w:rPr>
            </w:pPr>
            <w:r w:rsidRPr="007C4090">
              <w:rPr>
                <w:lang w:val="en-US" w:eastAsia="zh-CN"/>
              </w:rPr>
              <w:t>2.56</w:t>
            </w:r>
          </w:p>
        </w:tc>
        <w:tc>
          <w:tcPr>
            <w:tcW w:w="0" w:type="auto"/>
          </w:tcPr>
          <w:p w14:paraId="72EC5933" w14:textId="72593AA9" w:rsidR="007A5E1E" w:rsidRPr="007C4090" w:rsidRDefault="007A5E1E" w:rsidP="007A5E1E">
            <w:pPr>
              <w:pStyle w:val="TAL"/>
              <w:rPr>
                <w:lang w:eastAsia="zh-CN"/>
              </w:rPr>
            </w:pPr>
            <w:r w:rsidRPr="00806346">
              <w:rPr>
                <w:lang w:val="sv-SE"/>
              </w:rPr>
              <w:t xml:space="preserve">58.88 x N1 x </w:t>
            </w:r>
            <w:r w:rsidRPr="00806346">
              <w:rPr>
                <w:lang w:val="sv-SE" w:eastAsia="zh-CN"/>
              </w:rPr>
              <w:t>K3</w:t>
            </w:r>
            <w:r w:rsidRPr="00806346">
              <w:rPr>
                <w:lang w:val="sv-SE"/>
              </w:rPr>
              <w:t xml:space="preserve"> (23 x N1 x </w:t>
            </w:r>
            <w:r w:rsidRPr="00806346">
              <w:rPr>
                <w:lang w:val="sv-SE" w:eastAsia="zh-CN"/>
              </w:rPr>
              <w:t>K3</w:t>
            </w:r>
            <w:r w:rsidRPr="00806346">
              <w:rPr>
                <w:lang w:val="sv-SE"/>
              </w:rPr>
              <w:t>)</w:t>
            </w:r>
          </w:p>
        </w:tc>
        <w:tc>
          <w:tcPr>
            <w:tcW w:w="0" w:type="auto"/>
          </w:tcPr>
          <w:p w14:paraId="7026E3D9" w14:textId="11AAC54D" w:rsidR="007A5E1E" w:rsidRPr="007C4090" w:rsidRDefault="007A5E1E" w:rsidP="007A5E1E">
            <w:pPr>
              <w:pStyle w:val="TAL"/>
              <w:rPr>
                <w:lang w:eastAsia="zh-CN"/>
              </w:rPr>
            </w:pPr>
            <w:r w:rsidRPr="00806346">
              <w:rPr>
                <w:lang w:val="sv-SE"/>
              </w:rPr>
              <w:t xml:space="preserve">2.56 x N1 x </w:t>
            </w:r>
            <w:r w:rsidRPr="00806346">
              <w:rPr>
                <w:lang w:val="sv-SE" w:eastAsia="zh-CN"/>
              </w:rPr>
              <w:t>K3</w:t>
            </w:r>
            <w:r w:rsidRPr="00806346">
              <w:rPr>
                <w:lang w:val="sv-SE"/>
              </w:rPr>
              <w:t xml:space="preserve"> (1 x N1</w:t>
            </w:r>
            <w:r w:rsidRPr="00806346">
              <w:rPr>
                <w:lang w:eastAsia="zh-CN"/>
              </w:rPr>
              <w:t xml:space="preserve"> x</w:t>
            </w:r>
            <w:r w:rsidRPr="00806346">
              <w:rPr>
                <w:lang w:val="sv-SE"/>
              </w:rPr>
              <w:t xml:space="preserve"> </w:t>
            </w:r>
            <w:r w:rsidRPr="00806346">
              <w:rPr>
                <w:lang w:val="sv-SE" w:eastAsia="zh-CN"/>
              </w:rPr>
              <w:t>K3</w:t>
            </w:r>
            <w:r w:rsidRPr="00806346">
              <w:rPr>
                <w:lang w:val="sv-SE"/>
              </w:rPr>
              <w:t>)</w:t>
            </w:r>
          </w:p>
        </w:tc>
        <w:tc>
          <w:tcPr>
            <w:tcW w:w="0" w:type="auto"/>
          </w:tcPr>
          <w:p w14:paraId="1EFFF272" w14:textId="7B26706F" w:rsidR="007A5E1E" w:rsidRPr="007C4090" w:rsidRDefault="007A5E1E" w:rsidP="007A5E1E">
            <w:pPr>
              <w:pStyle w:val="TAL"/>
              <w:rPr>
                <w:lang w:eastAsia="zh-CN"/>
              </w:rPr>
            </w:pPr>
            <w:r w:rsidRPr="00806346">
              <w:rPr>
                <w:lang w:val="sv-SE"/>
              </w:rPr>
              <w:t xml:space="preserve">7.68 x N1 x </w:t>
            </w:r>
            <w:r w:rsidRPr="00806346">
              <w:rPr>
                <w:lang w:val="sv-SE" w:eastAsia="zh-CN"/>
              </w:rPr>
              <w:t>K3</w:t>
            </w:r>
            <w:r w:rsidRPr="00806346">
              <w:rPr>
                <w:lang w:val="sv-SE"/>
              </w:rPr>
              <w:t xml:space="preserve"> (3 x N1 x </w:t>
            </w:r>
            <w:r w:rsidRPr="00806346">
              <w:rPr>
                <w:lang w:val="sv-SE" w:eastAsia="zh-CN"/>
              </w:rPr>
              <w:t>K3</w:t>
            </w:r>
            <w:r w:rsidRPr="00806346">
              <w:rPr>
                <w:lang w:val="sv-SE"/>
              </w:rPr>
              <w:t>)</w:t>
            </w:r>
          </w:p>
        </w:tc>
      </w:tr>
      <w:tr w:rsidR="007A5E1E" w:rsidRPr="00AD5C2C" w14:paraId="0A4D2457" w14:textId="77777777" w:rsidTr="00430B21">
        <w:trPr>
          <w:trHeight w:val="336"/>
        </w:trPr>
        <w:tc>
          <w:tcPr>
            <w:tcW w:w="0" w:type="auto"/>
          </w:tcPr>
          <w:p w14:paraId="3E6902CE" w14:textId="7DF129A6" w:rsidR="007A5E1E" w:rsidRPr="005556E5" w:rsidRDefault="007A5E1E" w:rsidP="007A5E1E">
            <w:pPr>
              <w:pStyle w:val="TAL"/>
              <w:rPr>
                <w:lang w:eastAsia="zh-CN"/>
              </w:rPr>
            </w:pPr>
            <w:r w:rsidRPr="007C4090">
              <w:rPr>
                <w:lang w:eastAsia="zh-CN"/>
              </w:rPr>
              <w:t>5.12</w:t>
            </w:r>
          </w:p>
        </w:tc>
        <w:tc>
          <w:tcPr>
            <w:tcW w:w="0" w:type="auto"/>
          </w:tcPr>
          <w:p w14:paraId="5D9D7FB6" w14:textId="1C8CF4DE" w:rsidR="007A5E1E" w:rsidRPr="005556E5" w:rsidRDefault="007A5E1E" w:rsidP="007A5E1E">
            <w:pPr>
              <w:pStyle w:val="TAL"/>
              <w:rPr>
                <w:lang w:eastAsia="zh-CN"/>
              </w:rPr>
            </w:pPr>
            <w:r w:rsidRPr="008906AC">
              <w:rPr>
                <w:lang w:eastAsia="zh-CN"/>
              </w:rPr>
              <w:t>117.76</w:t>
            </w:r>
            <w:r w:rsidRPr="00806346">
              <w:rPr>
                <w:lang w:val="sv-SE"/>
              </w:rPr>
              <w:t xml:space="preserve"> x N1</w:t>
            </w:r>
            <w:r w:rsidRPr="00806346">
              <w:rPr>
                <w:lang w:eastAsia="zh-CN"/>
              </w:rPr>
              <w:t xml:space="preserve"> x K3</w:t>
            </w:r>
            <w:r w:rsidRPr="007C4090">
              <w:rPr>
                <w:lang w:eastAsia="zh-CN"/>
              </w:rPr>
              <w:t xml:space="preserve"> (23</w:t>
            </w:r>
            <w:r w:rsidRPr="00806346">
              <w:rPr>
                <w:lang w:val="sv-SE"/>
              </w:rPr>
              <w:t xml:space="preserve"> x N1</w:t>
            </w:r>
            <w:r w:rsidRPr="00806346">
              <w:rPr>
                <w:lang w:eastAsia="zh-CN"/>
              </w:rPr>
              <w:t xml:space="preserve"> x K3</w:t>
            </w:r>
            <w:r w:rsidRPr="007C4090">
              <w:rPr>
                <w:lang w:eastAsia="zh-CN"/>
              </w:rPr>
              <w:t>)</w:t>
            </w:r>
          </w:p>
        </w:tc>
        <w:tc>
          <w:tcPr>
            <w:tcW w:w="0" w:type="auto"/>
          </w:tcPr>
          <w:p w14:paraId="7E395203" w14:textId="588EB951" w:rsidR="007A5E1E" w:rsidRPr="005556E5" w:rsidRDefault="007A5E1E" w:rsidP="007A5E1E">
            <w:pPr>
              <w:pStyle w:val="TAL"/>
              <w:rPr>
                <w:lang w:eastAsia="zh-CN"/>
              </w:rPr>
            </w:pPr>
            <w:r w:rsidRPr="008906AC">
              <w:rPr>
                <w:lang w:eastAsia="zh-CN"/>
              </w:rPr>
              <w:t>5.12</w:t>
            </w:r>
            <w:r w:rsidRPr="00806346">
              <w:rPr>
                <w:lang w:val="sv-SE"/>
              </w:rPr>
              <w:t xml:space="preserve"> x N1</w:t>
            </w:r>
            <w:r w:rsidRPr="00806346">
              <w:rPr>
                <w:lang w:eastAsia="zh-CN"/>
              </w:rPr>
              <w:t xml:space="preserve"> x K3</w:t>
            </w:r>
            <w:r w:rsidRPr="007C4090">
              <w:rPr>
                <w:lang w:eastAsia="zh-CN"/>
              </w:rPr>
              <w:t xml:space="preserve"> (1</w:t>
            </w:r>
            <w:r w:rsidRPr="00806346">
              <w:rPr>
                <w:lang w:val="sv-SE"/>
              </w:rPr>
              <w:t xml:space="preserve"> x N1</w:t>
            </w:r>
            <w:r w:rsidRPr="00806346">
              <w:rPr>
                <w:lang w:eastAsia="zh-CN"/>
              </w:rPr>
              <w:t xml:space="preserve"> x K3</w:t>
            </w:r>
            <w:r w:rsidRPr="007C4090">
              <w:rPr>
                <w:lang w:eastAsia="zh-CN"/>
              </w:rPr>
              <w:t>)</w:t>
            </w:r>
          </w:p>
        </w:tc>
        <w:tc>
          <w:tcPr>
            <w:tcW w:w="0" w:type="auto"/>
          </w:tcPr>
          <w:p w14:paraId="780C48AE" w14:textId="17238374" w:rsidR="007A5E1E" w:rsidRPr="005556E5" w:rsidRDefault="007A5E1E" w:rsidP="007A5E1E">
            <w:pPr>
              <w:pStyle w:val="TAL"/>
              <w:rPr>
                <w:lang w:eastAsia="zh-CN"/>
              </w:rPr>
            </w:pPr>
            <w:r w:rsidRPr="008906AC">
              <w:rPr>
                <w:lang w:eastAsia="zh-CN"/>
              </w:rPr>
              <w:t>10.24</w:t>
            </w:r>
            <w:r w:rsidRPr="00806346">
              <w:rPr>
                <w:lang w:val="sv-SE"/>
              </w:rPr>
              <w:t xml:space="preserve"> x N1</w:t>
            </w:r>
            <w:r w:rsidRPr="00806346">
              <w:rPr>
                <w:lang w:eastAsia="zh-CN"/>
              </w:rPr>
              <w:t xml:space="preserve"> x K3</w:t>
            </w:r>
            <w:r w:rsidRPr="007C4090">
              <w:rPr>
                <w:lang w:eastAsia="zh-CN"/>
              </w:rPr>
              <w:t xml:space="preserve"> (2</w:t>
            </w:r>
            <w:r w:rsidRPr="00806346">
              <w:rPr>
                <w:lang w:val="sv-SE"/>
              </w:rPr>
              <w:t xml:space="preserve"> x N1</w:t>
            </w:r>
            <w:r w:rsidRPr="00806346">
              <w:rPr>
                <w:lang w:eastAsia="zh-CN"/>
              </w:rPr>
              <w:t xml:space="preserve"> x K3</w:t>
            </w:r>
            <w:r w:rsidRPr="007C4090">
              <w:rPr>
                <w:lang w:eastAsia="zh-CN"/>
              </w:rPr>
              <w:t>)</w:t>
            </w:r>
          </w:p>
        </w:tc>
      </w:tr>
      <w:tr w:rsidR="007A5E1E" w:rsidRPr="00AD5C2C" w14:paraId="56222652" w14:textId="77777777" w:rsidTr="00430B21">
        <w:trPr>
          <w:trHeight w:val="336"/>
        </w:trPr>
        <w:tc>
          <w:tcPr>
            <w:tcW w:w="0" w:type="auto"/>
          </w:tcPr>
          <w:p w14:paraId="4C77CB16" w14:textId="0F1BD4CB" w:rsidR="007A5E1E" w:rsidRPr="005556E5" w:rsidRDefault="007A5E1E" w:rsidP="007A5E1E">
            <w:pPr>
              <w:pStyle w:val="TAL"/>
              <w:rPr>
                <w:lang w:eastAsia="zh-CN"/>
              </w:rPr>
            </w:pPr>
            <w:r w:rsidRPr="007C4090">
              <w:rPr>
                <w:lang w:eastAsia="zh-CN"/>
              </w:rPr>
              <w:t>10.24</w:t>
            </w:r>
          </w:p>
        </w:tc>
        <w:tc>
          <w:tcPr>
            <w:tcW w:w="0" w:type="auto"/>
          </w:tcPr>
          <w:p w14:paraId="2AB6EEA6" w14:textId="75D0C6B4" w:rsidR="007A5E1E" w:rsidRPr="005556E5" w:rsidRDefault="007A5E1E" w:rsidP="007A5E1E">
            <w:pPr>
              <w:pStyle w:val="TAL"/>
              <w:rPr>
                <w:lang w:eastAsia="zh-CN"/>
              </w:rPr>
            </w:pPr>
            <w:r w:rsidRPr="008906AC">
              <w:rPr>
                <w:lang w:eastAsia="zh-CN"/>
              </w:rPr>
              <w:t>235.52</w:t>
            </w:r>
            <w:r w:rsidRPr="00806346">
              <w:rPr>
                <w:lang w:val="sv-SE"/>
              </w:rPr>
              <w:t xml:space="preserve"> x N1</w:t>
            </w:r>
            <w:r w:rsidRPr="00806346">
              <w:rPr>
                <w:lang w:eastAsia="zh-CN"/>
              </w:rPr>
              <w:t xml:space="preserve"> x K3</w:t>
            </w:r>
            <w:r w:rsidRPr="007C4090">
              <w:rPr>
                <w:lang w:eastAsia="zh-CN"/>
              </w:rPr>
              <w:t xml:space="preserve"> (23</w:t>
            </w:r>
            <w:r w:rsidRPr="00806346">
              <w:rPr>
                <w:lang w:val="sv-SE"/>
              </w:rPr>
              <w:t xml:space="preserve"> x N1</w:t>
            </w:r>
            <w:r w:rsidRPr="00806346">
              <w:rPr>
                <w:lang w:eastAsia="zh-CN"/>
              </w:rPr>
              <w:t xml:space="preserve"> x K3</w:t>
            </w:r>
            <w:r w:rsidRPr="007C4090">
              <w:rPr>
                <w:lang w:eastAsia="zh-CN"/>
              </w:rPr>
              <w:t>)</w:t>
            </w:r>
          </w:p>
        </w:tc>
        <w:tc>
          <w:tcPr>
            <w:tcW w:w="0" w:type="auto"/>
          </w:tcPr>
          <w:p w14:paraId="46EE201C" w14:textId="419F27A9" w:rsidR="007A5E1E" w:rsidRPr="005556E5" w:rsidRDefault="007A5E1E" w:rsidP="007A5E1E">
            <w:pPr>
              <w:pStyle w:val="TAL"/>
              <w:rPr>
                <w:lang w:eastAsia="zh-CN"/>
              </w:rPr>
            </w:pPr>
            <w:r w:rsidRPr="008906AC">
              <w:rPr>
                <w:lang w:eastAsia="zh-CN"/>
              </w:rPr>
              <w:t>10.24</w:t>
            </w:r>
            <w:r w:rsidRPr="00806346">
              <w:rPr>
                <w:lang w:val="sv-SE"/>
              </w:rPr>
              <w:t xml:space="preserve"> x N1</w:t>
            </w:r>
            <w:r w:rsidRPr="00806346">
              <w:rPr>
                <w:lang w:eastAsia="zh-CN"/>
              </w:rPr>
              <w:t xml:space="preserve"> x K3</w:t>
            </w:r>
            <w:r w:rsidRPr="007C4090">
              <w:rPr>
                <w:lang w:eastAsia="zh-CN"/>
              </w:rPr>
              <w:t xml:space="preserve"> (1</w:t>
            </w:r>
            <w:r w:rsidRPr="00806346">
              <w:rPr>
                <w:lang w:val="sv-SE"/>
              </w:rPr>
              <w:t xml:space="preserve"> x N1</w:t>
            </w:r>
            <w:r w:rsidRPr="00806346">
              <w:rPr>
                <w:lang w:eastAsia="zh-CN"/>
              </w:rPr>
              <w:t xml:space="preserve"> x K3</w:t>
            </w:r>
            <w:r w:rsidRPr="007C4090">
              <w:rPr>
                <w:lang w:eastAsia="zh-CN"/>
              </w:rPr>
              <w:t>)</w:t>
            </w:r>
          </w:p>
        </w:tc>
        <w:tc>
          <w:tcPr>
            <w:tcW w:w="0" w:type="auto"/>
          </w:tcPr>
          <w:p w14:paraId="3852A8CA" w14:textId="4057737F" w:rsidR="007A5E1E" w:rsidRPr="005556E5" w:rsidRDefault="007A5E1E" w:rsidP="007A5E1E">
            <w:pPr>
              <w:pStyle w:val="TAL"/>
              <w:rPr>
                <w:lang w:eastAsia="zh-CN"/>
              </w:rPr>
            </w:pPr>
            <w:r w:rsidRPr="008906AC">
              <w:rPr>
                <w:lang w:eastAsia="zh-CN"/>
              </w:rPr>
              <w:t>20.48</w:t>
            </w:r>
            <w:r w:rsidRPr="00806346">
              <w:rPr>
                <w:lang w:val="sv-SE"/>
              </w:rPr>
              <w:t xml:space="preserve"> x N1</w:t>
            </w:r>
            <w:r w:rsidRPr="00806346">
              <w:rPr>
                <w:lang w:eastAsia="zh-CN"/>
              </w:rPr>
              <w:t xml:space="preserve"> x K3</w:t>
            </w:r>
            <w:r w:rsidRPr="007C4090">
              <w:rPr>
                <w:lang w:eastAsia="zh-CN"/>
              </w:rPr>
              <w:t xml:space="preserve"> (2</w:t>
            </w:r>
            <w:r w:rsidRPr="00806346">
              <w:rPr>
                <w:lang w:val="sv-SE"/>
              </w:rPr>
              <w:t xml:space="preserve"> x N1</w:t>
            </w:r>
            <w:r w:rsidRPr="00806346">
              <w:rPr>
                <w:lang w:eastAsia="zh-CN"/>
              </w:rPr>
              <w:t xml:space="preserve"> x K3</w:t>
            </w:r>
            <w:r w:rsidRPr="007C4090">
              <w:rPr>
                <w:lang w:eastAsia="zh-CN"/>
              </w:rPr>
              <w:t>)</w:t>
            </w:r>
          </w:p>
        </w:tc>
      </w:tr>
      <w:tr w:rsidR="00791FB3" w:rsidRPr="00AD5C2C" w14:paraId="62D476F0" w14:textId="77777777" w:rsidTr="00430B21">
        <w:trPr>
          <w:trHeight w:val="336"/>
        </w:trPr>
        <w:tc>
          <w:tcPr>
            <w:tcW w:w="0" w:type="auto"/>
            <w:gridSpan w:val="4"/>
          </w:tcPr>
          <w:p w14:paraId="46BF3E71" w14:textId="77777777" w:rsidR="007A5E1E" w:rsidRDefault="007A5E1E" w:rsidP="007A5E1E">
            <w:pPr>
              <w:pStyle w:val="TAN"/>
              <w:rPr>
                <w:rFonts w:cs="Arial"/>
                <w:snapToGrid w:val="0"/>
                <w:szCs w:val="18"/>
                <w:lang w:eastAsia="zh-CN"/>
              </w:rPr>
            </w:pPr>
            <w:r w:rsidRPr="007C4090">
              <w:rPr>
                <w:rFonts w:cs="Arial"/>
                <w:snapToGrid w:val="0"/>
                <w:szCs w:val="18"/>
                <w:lang w:eastAsia="zh-CN"/>
              </w:rPr>
              <w:t>Note 1:</w:t>
            </w:r>
            <w:r w:rsidRPr="007C4090">
              <w:rPr>
                <w:rFonts w:cs="Arial"/>
                <w:snapToGrid w:val="0"/>
                <w:szCs w:val="18"/>
                <w:lang w:eastAsia="zh-CN"/>
              </w:rPr>
              <w:tab/>
              <w:t xml:space="preserve">K3 = 6 is the measurement relaxation factor applicable for UE </w:t>
            </w:r>
            <w:r w:rsidRPr="005556E5">
              <w:rPr>
                <w:rFonts w:cs="Arial"/>
                <w:snapToGrid w:val="0"/>
                <w:szCs w:val="18"/>
                <w:lang w:eastAsia="zh-CN"/>
              </w:rPr>
              <w:t xml:space="preserve">fulfilling the </w:t>
            </w:r>
            <w:r w:rsidRPr="008A7648">
              <w:rPr>
                <w:rFonts w:cs="Arial"/>
                <w:i/>
                <w:iCs/>
                <w:snapToGrid w:val="0"/>
                <w:szCs w:val="18"/>
                <w:lang w:eastAsia="zh-CN"/>
              </w:rPr>
              <w:t>stationaryMobilityEvaluation</w:t>
            </w:r>
            <w:r w:rsidRPr="005556E5">
              <w:rPr>
                <w:rFonts w:cs="Arial"/>
                <w:snapToGrid w:val="0"/>
                <w:szCs w:val="18"/>
                <w:lang w:eastAsia="zh-CN"/>
              </w:rPr>
              <w:t xml:space="preserve"> [2] criterion.</w:t>
            </w:r>
          </w:p>
          <w:p w14:paraId="772508EE" w14:textId="129DB1EB" w:rsidR="00791FB3" w:rsidRPr="008B0F23" w:rsidRDefault="00791FB3" w:rsidP="00430B21">
            <w:pPr>
              <w:pStyle w:val="TAN"/>
              <w:rPr>
                <w:rFonts w:cs="Arial"/>
                <w:szCs w:val="18"/>
                <w:lang w:eastAsia="zh-CN"/>
              </w:rPr>
            </w:pPr>
          </w:p>
        </w:tc>
      </w:tr>
    </w:tbl>
    <w:p w14:paraId="0BE3C55C" w14:textId="77777777" w:rsidR="00791FB3" w:rsidRDefault="00791FB3" w:rsidP="00791FB3">
      <w:pPr>
        <w:rPr>
          <w:noProof/>
        </w:rPr>
      </w:pPr>
    </w:p>
    <w:p w14:paraId="458835F7" w14:textId="702A81C2" w:rsidR="00F020D7" w:rsidRPr="00AD5C2C" w:rsidRDefault="00082331" w:rsidP="00F020D7">
      <w:pPr>
        <w:pStyle w:val="TH"/>
        <w:rPr>
          <w:lang w:val="en-US"/>
        </w:rPr>
      </w:pPr>
      <w:r>
        <w:rPr>
          <w:lang w:val="en-US"/>
        </w:rPr>
        <w:t>T</w:t>
      </w:r>
      <w:r w:rsidR="00F020D7" w:rsidRPr="0082197E">
        <w:rPr>
          <w:lang w:val="en-US"/>
        </w:rPr>
        <w:t>able 4.2B.2.</w:t>
      </w:r>
      <w:r w:rsidR="00F020D7">
        <w:rPr>
          <w:lang w:val="en-US"/>
        </w:rPr>
        <w:t>10</w:t>
      </w:r>
      <w:r w:rsidR="00F020D7" w:rsidRPr="0082197E">
        <w:rPr>
          <w:lang w:val="en-US"/>
        </w:rPr>
        <w:t>.2-</w:t>
      </w:r>
      <w:r w:rsidR="00F020D7">
        <w:rPr>
          <w:lang w:val="en-US"/>
        </w:rPr>
        <w:t>5</w:t>
      </w:r>
      <w:r w:rsidR="00F020D7" w:rsidRPr="0082197E">
        <w:rPr>
          <w:lang w:val="en-US"/>
        </w:rPr>
        <w:t>:</w:t>
      </w:r>
      <w:r w:rsidR="00F020D7" w:rsidRPr="00AD5C2C">
        <w:rPr>
          <w:lang w:val="en-US"/>
        </w:rPr>
        <w:t xml:space="preserve"> T</w:t>
      </w:r>
      <w:r w:rsidR="00F020D7" w:rsidRPr="00AD5C2C">
        <w:rPr>
          <w:vertAlign w:val="subscript"/>
          <w:lang w:val="en-US"/>
        </w:rPr>
        <w:t>detect,NR_I</w:t>
      </w:r>
      <w:r w:rsidR="00F020D7">
        <w:rPr>
          <w:vertAlign w:val="subscript"/>
          <w:lang w:val="en-US"/>
        </w:rPr>
        <w:t>nter</w:t>
      </w:r>
      <w:r w:rsidR="00F020D7" w:rsidRPr="00AD5C2C">
        <w:rPr>
          <w:vertAlign w:val="subscript"/>
          <w:lang w:val="en-US"/>
        </w:rPr>
        <w:t>_RedCap</w:t>
      </w:r>
      <w:r w:rsidR="00F020D7">
        <w:rPr>
          <w:vertAlign w:val="subscript"/>
          <w:lang w:val="en-US"/>
        </w:rPr>
        <w:t>_Relax</w:t>
      </w:r>
      <w:r w:rsidR="00F020D7" w:rsidRPr="00AD5C2C">
        <w:rPr>
          <w:lang w:val="en-US"/>
        </w:rPr>
        <w:t>, T</w:t>
      </w:r>
      <w:r w:rsidR="00F020D7" w:rsidRPr="00AD5C2C">
        <w:rPr>
          <w:vertAlign w:val="subscript"/>
          <w:lang w:val="en-US"/>
        </w:rPr>
        <w:t>measure,NR_</w:t>
      </w:r>
      <w:r w:rsidR="00F020D7" w:rsidRPr="00621C9A">
        <w:rPr>
          <w:vertAlign w:val="subscript"/>
          <w:lang w:val="en-US"/>
        </w:rPr>
        <w:t xml:space="preserve"> </w:t>
      </w:r>
      <w:r w:rsidR="00F020D7" w:rsidRPr="00AD5C2C">
        <w:rPr>
          <w:vertAlign w:val="subscript"/>
          <w:lang w:val="en-US"/>
        </w:rPr>
        <w:t>I</w:t>
      </w:r>
      <w:r w:rsidR="00F020D7">
        <w:rPr>
          <w:vertAlign w:val="subscript"/>
          <w:lang w:val="en-US"/>
        </w:rPr>
        <w:t>nter</w:t>
      </w:r>
      <w:r w:rsidR="00F020D7" w:rsidRPr="00AD5C2C">
        <w:rPr>
          <w:vertAlign w:val="subscript"/>
          <w:lang w:val="en-US"/>
        </w:rPr>
        <w:t xml:space="preserve"> _RedCap</w:t>
      </w:r>
      <w:r w:rsidR="00F020D7">
        <w:rPr>
          <w:vertAlign w:val="subscript"/>
          <w:lang w:val="en-US"/>
        </w:rPr>
        <w:t>_Relax</w:t>
      </w:r>
      <w:r w:rsidR="00F020D7" w:rsidRPr="00AD5C2C">
        <w:rPr>
          <w:lang w:val="en-US"/>
        </w:rPr>
        <w:t xml:space="preserve"> and T</w:t>
      </w:r>
      <w:r w:rsidR="00F020D7" w:rsidRPr="00AD5C2C">
        <w:rPr>
          <w:vertAlign w:val="subscript"/>
          <w:lang w:val="en-US"/>
        </w:rPr>
        <w:t>evaluate,NR_</w:t>
      </w:r>
      <w:r w:rsidR="00F020D7" w:rsidRPr="00621C9A">
        <w:rPr>
          <w:vertAlign w:val="subscript"/>
          <w:lang w:val="en-US"/>
        </w:rPr>
        <w:t xml:space="preserve"> </w:t>
      </w:r>
      <w:r w:rsidR="00F020D7" w:rsidRPr="00AD5C2C">
        <w:rPr>
          <w:vertAlign w:val="subscript"/>
          <w:lang w:val="en-US"/>
        </w:rPr>
        <w:t>I</w:t>
      </w:r>
      <w:r w:rsidR="00F020D7">
        <w:rPr>
          <w:vertAlign w:val="subscript"/>
          <w:lang w:val="en-US"/>
        </w:rPr>
        <w:t>nter</w:t>
      </w:r>
      <w:r w:rsidR="00F020D7" w:rsidRPr="00AD5C2C">
        <w:rPr>
          <w:vertAlign w:val="subscript"/>
          <w:lang w:val="en-US"/>
        </w:rPr>
        <w:t xml:space="preserve"> _RedCap</w:t>
      </w:r>
      <w:r w:rsidR="00F020D7">
        <w:rPr>
          <w:vertAlign w:val="subscript"/>
          <w:lang w:val="en-US"/>
        </w:rPr>
        <w:t>_Relax</w:t>
      </w:r>
      <w:r w:rsidR="00F020D7" w:rsidRPr="00AD5C2C">
        <w:rPr>
          <w:lang w:val="en-US"/>
        </w:rPr>
        <w:t xml:space="preserve"> for UE configured with eDRX_IDLE cycle (Frequency range FR1)</w:t>
      </w:r>
      <w:r w:rsidR="00F020D7" w:rsidRPr="00AA154E">
        <w:rPr>
          <w:lang w:val="en-US"/>
        </w:rPr>
        <w:t xml:space="preserve"> </w:t>
      </w:r>
      <w:r w:rsidR="00F020D7">
        <w:rPr>
          <w:lang w:val="en-US"/>
        </w:rPr>
        <w:t>for eDRX_IDLE cycle larger than 10.24 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720"/>
        <w:gridCol w:w="888"/>
        <w:gridCol w:w="2645"/>
        <w:gridCol w:w="2124"/>
        <w:gridCol w:w="2111"/>
      </w:tblGrid>
      <w:tr w:rsidR="00F020D7" w:rsidRPr="00B85562" w14:paraId="79A8E395" w14:textId="77777777" w:rsidTr="005145F6">
        <w:trPr>
          <w:trHeight w:val="1692"/>
        </w:trPr>
        <w:tc>
          <w:tcPr>
            <w:tcW w:w="1198" w:type="dxa"/>
            <w:hideMark/>
          </w:tcPr>
          <w:p w14:paraId="158B241E" w14:textId="77777777" w:rsidR="00F020D7" w:rsidRPr="00B11B68" w:rsidRDefault="00F020D7" w:rsidP="005145F6">
            <w:pPr>
              <w:rPr>
                <w:rFonts w:ascii="Arial" w:hAnsi="Arial" w:cs="Arial"/>
                <w:sz w:val="18"/>
                <w:lang w:val="en-US" w:eastAsia="zh-CN"/>
              </w:rPr>
            </w:pPr>
            <w:r w:rsidRPr="00B11B68">
              <w:rPr>
                <w:rFonts w:ascii="Arial" w:hAnsi="Arial" w:cs="Arial"/>
                <w:b/>
                <w:sz w:val="18"/>
                <w:lang w:eastAsia="zh-CN"/>
              </w:rPr>
              <w:t>eDRX_IDLE cycle length [s]</w:t>
            </w:r>
          </w:p>
        </w:tc>
        <w:tc>
          <w:tcPr>
            <w:tcW w:w="751" w:type="dxa"/>
            <w:hideMark/>
          </w:tcPr>
          <w:p w14:paraId="15F54F25" w14:textId="77777777" w:rsidR="00F020D7" w:rsidRPr="00B11B68" w:rsidRDefault="00F020D7" w:rsidP="005145F6">
            <w:pPr>
              <w:rPr>
                <w:rFonts w:ascii="Arial" w:hAnsi="Arial" w:cs="Arial"/>
                <w:sz w:val="18"/>
                <w:lang w:val="en-US" w:eastAsia="zh-CN"/>
              </w:rPr>
            </w:pPr>
            <w:r w:rsidRPr="00B11B68">
              <w:rPr>
                <w:rFonts w:ascii="Arial" w:hAnsi="Arial" w:cs="Arial"/>
                <w:b/>
                <w:sz w:val="18"/>
                <w:lang w:eastAsia="zh-CN"/>
              </w:rPr>
              <w:t>DRX cycle length [s]</w:t>
            </w:r>
          </w:p>
        </w:tc>
        <w:tc>
          <w:tcPr>
            <w:tcW w:w="930" w:type="dxa"/>
            <w:hideMark/>
          </w:tcPr>
          <w:p w14:paraId="7EE9F36A" w14:textId="77777777" w:rsidR="00F020D7" w:rsidRPr="00B11B68" w:rsidRDefault="00F020D7" w:rsidP="005145F6">
            <w:pPr>
              <w:rPr>
                <w:rFonts w:ascii="Arial" w:hAnsi="Arial" w:cs="Arial"/>
                <w:sz w:val="18"/>
                <w:lang w:val="en-US" w:eastAsia="zh-CN"/>
              </w:rPr>
            </w:pPr>
            <w:r w:rsidRPr="00B11B68">
              <w:rPr>
                <w:rFonts w:ascii="Arial" w:hAnsi="Arial" w:cs="Arial"/>
                <w:b/>
                <w:sz w:val="18"/>
                <w:lang w:eastAsia="zh-CN"/>
              </w:rPr>
              <w:t>PTW length [s] (number of 1.28s periods)</w:t>
            </w:r>
          </w:p>
        </w:tc>
        <w:tc>
          <w:tcPr>
            <w:tcW w:w="2431" w:type="dxa"/>
            <w:hideMark/>
          </w:tcPr>
          <w:p w14:paraId="702C1374" w14:textId="77777777" w:rsidR="00F020D7" w:rsidRPr="00B11B68" w:rsidRDefault="00F020D7" w:rsidP="005145F6">
            <w:pPr>
              <w:rPr>
                <w:rFonts w:ascii="Arial" w:hAnsi="Arial" w:cs="Arial"/>
                <w:sz w:val="18"/>
                <w:szCs w:val="18"/>
                <w:lang w:val="en-US" w:eastAsia="zh-CN"/>
              </w:rPr>
            </w:pPr>
            <w:r w:rsidRPr="00B11B68">
              <w:rPr>
                <w:rFonts w:ascii="Arial" w:hAnsi="Arial" w:cs="Arial"/>
                <w:b/>
                <w:sz w:val="18"/>
                <w:szCs w:val="18"/>
                <w:lang w:val="en-US"/>
              </w:rPr>
              <w:t>T</w:t>
            </w:r>
            <w:r w:rsidRPr="00B11B68">
              <w:rPr>
                <w:rFonts w:ascii="Arial" w:hAnsi="Arial" w:cs="Arial"/>
                <w:b/>
                <w:sz w:val="18"/>
                <w:szCs w:val="18"/>
                <w:vertAlign w:val="subscript"/>
                <w:lang w:val="en-US"/>
              </w:rPr>
              <w:t>detect,NR_</w:t>
            </w:r>
            <w:r>
              <w:rPr>
                <w:rFonts w:ascii="Arial" w:hAnsi="Arial" w:cs="Arial"/>
                <w:b/>
                <w:sz w:val="18"/>
                <w:szCs w:val="18"/>
                <w:vertAlign w:val="subscript"/>
                <w:lang w:val="en-US"/>
              </w:rPr>
              <w:t>Inter</w:t>
            </w:r>
            <w:r w:rsidRPr="00B11B68">
              <w:rPr>
                <w:rFonts w:ascii="Arial" w:hAnsi="Arial" w:cs="Arial"/>
                <w:b/>
                <w:sz w:val="18"/>
                <w:szCs w:val="18"/>
                <w:vertAlign w:val="subscript"/>
                <w:lang w:val="en-US"/>
              </w:rPr>
              <w:t>_RedCap</w:t>
            </w:r>
            <w:r>
              <w:rPr>
                <w:rFonts w:ascii="Arial" w:hAnsi="Arial" w:cs="Arial"/>
                <w:b/>
                <w:sz w:val="18"/>
                <w:szCs w:val="18"/>
                <w:vertAlign w:val="subscript"/>
                <w:lang w:val="en-US"/>
              </w:rPr>
              <w:t>_Relax</w:t>
            </w:r>
            <w:r w:rsidRPr="00963536">
              <w:rPr>
                <w:rFonts w:ascii="Arial" w:hAnsi="Arial" w:cs="Arial"/>
                <w:b/>
                <w:sz w:val="18"/>
                <w:szCs w:val="18"/>
                <w:lang w:eastAsia="zh-CN"/>
              </w:rPr>
              <w:t xml:space="preserve"> </w:t>
            </w:r>
            <w:r w:rsidRPr="00B11B68">
              <w:rPr>
                <w:rFonts w:ascii="Arial" w:hAnsi="Arial" w:cs="Arial"/>
                <w:b/>
                <w:sz w:val="18"/>
                <w:szCs w:val="18"/>
                <w:lang w:eastAsia="zh-CN"/>
              </w:rPr>
              <w:t>[s] (number of DRX cycles</w:t>
            </w:r>
            <w:r>
              <w:rPr>
                <w:rFonts w:ascii="Arial" w:hAnsi="Arial" w:cs="Arial"/>
                <w:b/>
                <w:sz w:val="18"/>
                <w:szCs w:val="18"/>
                <w:lang w:eastAsia="zh-CN"/>
              </w:rPr>
              <w:t xml:space="preserve"> or eDRX cycles </w:t>
            </w:r>
            <w:r w:rsidRPr="00340961">
              <w:rPr>
                <w:rFonts w:ascii="Arial" w:hAnsi="Arial" w:cs="Arial"/>
                <w:b/>
                <w:sz w:val="18"/>
                <w:szCs w:val="18"/>
                <w:vertAlign w:val="superscript"/>
                <w:lang w:eastAsia="zh-CN"/>
              </w:rPr>
              <w:t>Note 3</w:t>
            </w:r>
            <w:r w:rsidRPr="00B11B68">
              <w:rPr>
                <w:rFonts w:ascii="Arial" w:hAnsi="Arial" w:cs="Arial"/>
                <w:b/>
                <w:sz w:val="18"/>
                <w:szCs w:val="18"/>
                <w:lang w:eastAsia="zh-CN"/>
              </w:rPr>
              <w:t>)</w:t>
            </w:r>
          </w:p>
        </w:tc>
        <w:tc>
          <w:tcPr>
            <w:tcW w:w="1860" w:type="dxa"/>
            <w:hideMark/>
          </w:tcPr>
          <w:p w14:paraId="65F34359" w14:textId="77777777" w:rsidR="00F020D7" w:rsidRPr="00B11B68" w:rsidRDefault="00F020D7" w:rsidP="005145F6">
            <w:pPr>
              <w:rPr>
                <w:rFonts w:ascii="Arial" w:hAnsi="Arial" w:cs="Arial"/>
                <w:sz w:val="18"/>
                <w:szCs w:val="18"/>
                <w:lang w:val="en-US" w:eastAsia="zh-CN"/>
              </w:rPr>
            </w:pPr>
            <w:r w:rsidRPr="00B11B68">
              <w:rPr>
                <w:rFonts w:ascii="Arial" w:hAnsi="Arial" w:cs="Arial"/>
                <w:b/>
                <w:sz w:val="18"/>
                <w:szCs w:val="18"/>
                <w:lang w:val="en-US"/>
              </w:rPr>
              <w:t>T</w:t>
            </w:r>
            <w:r w:rsidRPr="00B11B68">
              <w:rPr>
                <w:rFonts w:ascii="Arial" w:hAnsi="Arial" w:cs="Arial"/>
                <w:b/>
                <w:sz w:val="18"/>
                <w:szCs w:val="18"/>
                <w:vertAlign w:val="subscript"/>
                <w:lang w:val="en-US"/>
              </w:rPr>
              <w:t>measure,NR_I</w:t>
            </w:r>
            <w:r>
              <w:rPr>
                <w:rFonts w:ascii="Arial" w:hAnsi="Arial" w:cs="Arial"/>
                <w:b/>
                <w:sz w:val="18"/>
                <w:szCs w:val="18"/>
                <w:vertAlign w:val="subscript"/>
                <w:lang w:val="en-US"/>
              </w:rPr>
              <w:t>nter</w:t>
            </w:r>
            <w:r w:rsidRPr="00B11B68">
              <w:rPr>
                <w:rFonts w:ascii="Arial" w:hAnsi="Arial" w:cs="Arial"/>
                <w:b/>
                <w:sz w:val="18"/>
                <w:szCs w:val="18"/>
                <w:vertAlign w:val="subscript"/>
                <w:lang w:val="en-US"/>
              </w:rPr>
              <w:t>_RedCap</w:t>
            </w:r>
            <w:r>
              <w:rPr>
                <w:rFonts w:ascii="Arial" w:hAnsi="Arial" w:cs="Arial"/>
                <w:b/>
                <w:sz w:val="18"/>
                <w:szCs w:val="18"/>
                <w:vertAlign w:val="subscript"/>
                <w:lang w:val="en-US"/>
              </w:rPr>
              <w:t>_Relax</w:t>
            </w:r>
            <w:r w:rsidRPr="00B11B68">
              <w:rPr>
                <w:rFonts w:ascii="Arial" w:hAnsi="Arial" w:cs="Arial"/>
                <w:b/>
                <w:sz w:val="18"/>
                <w:szCs w:val="18"/>
                <w:lang w:val="en-US"/>
              </w:rPr>
              <w:t xml:space="preserve"> </w:t>
            </w:r>
            <w:r w:rsidRPr="00B11B68">
              <w:rPr>
                <w:rFonts w:ascii="Arial" w:hAnsi="Arial" w:cs="Arial"/>
                <w:b/>
                <w:sz w:val="18"/>
                <w:szCs w:val="18"/>
                <w:lang w:eastAsia="zh-CN"/>
              </w:rPr>
              <w:t>[s] (number of DRX cycles</w:t>
            </w:r>
            <w:r>
              <w:rPr>
                <w:rFonts w:ascii="Arial" w:hAnsi="Arial" w:cs="Arial"/>
                <w:b/>
                <w:sz w:val="18"/>
                <w:szCs w:val="18"/>
                <w:lang w:eastAsia="zh-CN"/>
              </w:rPr>
              <w:t xml:space="preserve"> or eDRX cycles </w:t>
            </w:r>
            <w:r w:rsidRPr="00340961">
              <w:rPr>
                <w:rFonts w:ascii="Arial" w:hAnsi="Arial" w:cs="Arial"/>
                <w:b/>
                <w:sz w:val="18"/>
                <w:szCs w:val="18"/>
                <w:vertAlign w:val="superscript"/>
                <w:lang w:eastAsia="zh-CN"/>
              </w:rPr>
              <w:t>Note 3</w:t>
            </w:r>
            <w:r w:rsidRPr="00B11B68">
              <w:rPr>
                <w:rFonts w:ascii="Arial" w:hAnsi="Arial" w:cs="Arial"/>
                <w:b/>
                <w:sz w:val="18"/>
                <w:szCs w:val="18"/>
                <w:lang w:eastAsia="zh-CN"/>
              </w:rPr>
              <w:t>)</w:t>
            </w:r>
          </w:p>
        </w:tc>
        <w:tc>
          <w:tcPr>
            <w:tcW w:w="1846" w:type="dxa"/>
          </w:tcPr>
          <w:p w14:paraId="406B9110" w14:textId="77777777" w:rsidR="00F020D7" w:rsidRPr="00B11B68" w:rsidRDefault="00F020D7" w:rsidP="005145F6">
            <w:pPr>
              <w:rPr>
                <w:rFonts w:ascii="Arial" w:hAnsi="Arial" w:cs="Arial"/>
                <w:b/>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evaluate,NR_In</w:t>
            </w:r>
            <w:r>
              <w:rPr>
                <w:rFonts w:ascii="Arial" w:hAnsi="Arial" w:cs="Arial"/>
                <w:b/>
                <w:sz w:val="18"/>
                <w:szCs w:val="18"/>
                <w:vertAlign w:val="subscript"/>
                <w:lang w:val="en-US"/>
              </w:rPr>
              <w:t>ter</w:t>
            </w:r>
            <w:r w:rsidRPr="00B11B68">
              <w:rPr>
                <w:rFonts w:ascii="Arial" w:hAnsi="Arial" w:cs="Arial"/>
                <w:b/>
                <w:sz w:val="18"/>
                <w:szCs w:val="18"/>
                <w:vertAlign w:val="subscript"/>
                <w:lang w:val="en-US"/>
              </w:rPr>
              <w:t>_RedCap</w:t>
            </w:r>
            <w:r>
              <w:rPr>
                <w:rFonts w:ascii="Arial" w:hAnsi="Arial" w:cs="Arial"/>
                <w:b/>
                <w:sz w:val="18"/>
                <w:szCs w:val="18"/>
                <w:vertAlign w:val="subscript"/>
                <w:lang w:val="en-US"/>
              </w:rPr>
              <w:t>_Relax</w:t>
            </w:r>
            <w:r w:rsidRPr="00B11B68">
              <w:rPr>
                <w:rFonts w:ascii="Arial" w:hAnsi="Arial" w:cs="Arial"/>
                <w:b/>
                <w:sz w:val="18"/>
                <w:szCs w:val="18"/>
                <w:vertAlign w:val="subscript"/>
                <w:lang w:val="en-US"/>
              </w:rPr>
              <w:t xml:space="preserve"> </w:t>
            </w:r>
            <w:r w:rsidRPr="00B11B68">
              <w:rPr>
                <w:rFonts w:ascii="Arial" w:hAnsi="Arial" w:cs="Arial"/>
                <w:b/>
                <w:sz w:val="18"/>
                <w:szCs w:val="18"/>
                <w:lang w:eastAsia="zh-CN"/>
              </w:rPr>
              <w:t>[s] (number of DRX cycles</w:t>
            </w:r>
            <w:r>
              <w:rPr>
                <w:rFonts w:ascii="Arial" w:hAnsi="Arial" w:cs="Arial"/>
                <w:b/>
                <w:sz w:val="18"/>
                <w:szCs w:val="18"/>
                <w:lang w:eastAsia="zh-CN"/>
              </w:rPr>
              <w:t xml:space="preserve"> or eDRX cycles </w:t>
            </w:r>
            <w:r w:rsidRPr="00340961">
              <w:rPr>
                <w:rFonts w:ascii="Arial" w:hAnsi="Arial" w:cs="Arial"/>
                <w:b/>
                <w:sz w:val="18"/>
                <w:szCs w:val="18"/>
                <w:vertAlign w:val="superscript"/>
                <w:lang w:eastAsia="zh-CN"/>
              </w:rPr>
              <w:t>Note 3</w:t>
            </w:r>
            <w:r w:rsidRPr="00B11B68">
              <w:rPr>
                <w:rFonts w:ascii="Arial" w:hAnsi="Arial" w:cs="Arial"/>
                <w:b/>
                <w:sz w:val="18"/>
                <w:szCs w:val="18"/>
                <w:lang w:eastAsia="zh-CN"/>
              </w:rPr>
              <w:t>)</w:t>
            </w:r>
          </w:p>
        </w:tc>
      </w:tr>
      <w:tr w:rsidR="00F020D7" w:rsidRPr="00B85562" w14:paraId="2DA0A081" w14:textId="77777777" w:rsidTr="005145F6">
        <w:trPr>
          <w:trHeight w:val="673"/>
        </w:trPr>
        <w:tc>
          <w:tcPr>
            <w:tcW w:w="1198" w:type="dxa"/>
            <w:vMerge w:val="restart"/>
            <w:hideMark/>
          </w:tcPr>
          <w:p w14:paraId="5F2FC3FD" w14:textId="440042B9" w:rsidR="00F020D7" w:rsidRPr="00B11B68" w:rsidRDefault="00F020D7" w:rsidP="005145F6">
            <w:pPr>
              <w:rPr>
                <w:rFonts w:ascii="Arial" w:hAnsi="Arial" w:cs="Arial"/>
                <w:sz w:val="18"/>
                <w:lang w:val="en-US" w:eastAsia="zh-CN"/>
              </w:rPr>
            </w:pPr>
            <w:r w:rsidRPr="00B11B68">
              <w:rPr>
                <w:rFonts w:ascii="Arial" w:hAnsi="Arial" w:cs="Arial"/>
                <w:sz w:val="18"/>
                <w:lang w:eastAsia="zh-CN"/>
              </w:rPr>
              <w:t>20.48 ≤</w:t>
            </w:r>
            <w:r w:rsidRPr="00CA7017">
              <w:rPr>
                <w:rFonts w:cs="Arial"/>
              </w:rPr>
              <w:t xml:space="preserve"> </w:t>
            </w:r>
            <w:r w:rsidRPr="00B11B68">
              <w:rPr>
                <w:rFonts w:ascii="Arial" w:hAnsi="Arial" w:cs="Arial"/>
                <w:sz w:val="18"/>
                <w:lang w:eastAsia="zh-CN"/>
              </w:rPr>
              <w:t xml:space="preserve"> eDRX_IDLE cycle length ≤</w:t>
            </w:r>
            <w:r>
              <w:rPr>
                <w:rFonts w:ascii="Arial" w:hAnsi="Arial" w:cs="Arial"/>
                <w:sz w:val="18"/>
                <w:lang w:eastAsia="zh-CN"/>
              </w:rPr>
              <w:t>[163.84]</w:t>
            </w:r>
          </w:p>
        </w:tc>
        <w:tc>
          <w:tcPr>
            <w:tcW w:w="751" w:type="dxa"/>
            <w:hideMark/>
          </w:tcPr>
          <w:p w14:paraId="467E9A4D" w14:textId="77777777" w:rsidR="00F020D7" w:rsidRPr="00E659AD" w:rsidRDefault="00F020D7" w:rsidP="005145F6">
            <w:pPr>
              <w:rPr>
                <w:rFonts w:ascii="Arial" w:hAnsi="Arial" w:cs="Arial"/>
                <w:sz w:val="18"/>
                <w:szCs w:val="18"/>
                <w:lang w:val="en-US" w:eastAsia="zh-CN"/>
              </w:rPr>
            </w:pPr>
            <w:r w:rsidRPr="00E659AD">
              <w:rPr>
                <w:rFonts w:ascii="Arial" w:hAnsi="Arial" w:cs="Arial"/>
                <w:sz w:val="18"/>
                <w:szCs w:val="18"/>
                <w:lang w:eastAsia="zh-CN"/>
              </w:rPr>
              <w:t>0.32</w:t>
            </w:r>
          </w:p>
        </w:tc>
        <w:tc>
          <w:tcPr>
            <w:tcW w:w="930" w:type="dxa"/>
            <w:hideMark/>
          </w:tcPr>
          <w:p w14:paraId="01F24A34" w14:textId="535D8D8B" w:rsidR="00F020D7" w:rsidRPr="00E80FA3" w:rsidRDefault="00F020D7" w:rsidP="005145F6">
            <w:pPr>
              <w:rPr>
                <w:rFonts w:ascii="Arial" w:hAnsi="Arial" w:cs="Arial"/>
                <w:sz w:val="18"/>
                <w:szCs w:val="18"/>
                <w:lang w:val="en-US" w:eastAsia="zh-CN"/>
              </w:rPr>
            </w:pPr>
            <w:r w:rsidRPr="00E83408">
              <w:rPr>
                <w:rFonts w:ascii="Arial" w:hAnsi="Arial" w:cs="Arial" w:hint="eastAsia"/>
                <w:sz w:val="18"/>
                <w:szCs w:val="18"/>
                <w:lang w:eastAsia="zh-CN"/>
              </w:rPr>
              <w:t>≥</w:t>
            </w:r>
            <w:r w:rsidRPr="00E83408">
              <w:rPr>
                <w:rFonts w:ascii="Arial" w:hAnsi="Arial" w:cs="Arial"/>
                <w:sz w:val="18"/>
                <w:szCs w:val="18"/>
                <w:lang w:val="en-US" w:eastAsia="zh-CN"/>
              </w:rPr>
              <w:t>[</w:t>
            </w:r>
            <w:r>
              <w:rPr>
                <w:rFonts w:ascii="Arial" w:hAnsi="Arial" w:cs="Arial"/>
                <w:sz w:val="18"/>
                <w:szCs w:val="18"/>
                <w:lang w:eastAsia="zh-CN"/>
              </w:rPr>
              <w:t>6.4</w:t>
            </w:r>
            <w:r w:rsidRPr="00E83408">
              <w:rPr>
                <w:rFonts w:ascii="Arial" w:hAnsi="Arial" w:cs="Arial"/>
                <w:sz w:val="18"/>
                <w:szCs w:val="18"/>
                <w:lang w:eastAsia="zh-CN"/>
              </w:rPr>
              <w:t>] ([</w:t>
            </w:r>
            <w:r>
              <w:rPr>
                <w:rFonts w:ascii="Arial" w:hAnsi="Arial" w:cs="Arial"/>
                <w:sz w:val="18"/>
                <w:szCs w:val="18"/>
                <w:lang w:eastAsia="zh-CN"/>
              </w:rPr>
              <w:t>5</w:t>
            </w:r>
            <w:r w:rsidRPr="00E83408">
              <w:rPr>
                <w:rFonts w:ascii="Arial" w:hAnsi="Arial" w:cs="Arial"/>
                <w:sz w:val="18"/>
                <w:szCs w:val="18"/>
                <w:lang w:eastAsia="zh-CN"/>
              </w:rPr>
              <w:t>])</w:t>
            </w:r>
          </w:p>
        </w:tc>
        <w:tc>
          <w:tcPr>
            <w:tcW w:w="2431" w:type="dxa"/>
            <w:vMerge w:val="restart"/>
            <w:hideMark/>
          </w:tcPr>
          <w:p w14:paraId="47155248" w14:textId="77777777" w:rsidR="00F020D7" w:rsidRPr="00E659AD" w:rsidRDefault="00F020D7" w:rsidP="005145F6">
            <w:pPr>
              <w:rPr>
                <w:rFonts w:ascii="Arial" w:hAnsi="Arial" w:cs="Arial"/>
                <w:sz w:val="18"/>
                <w:szCs w:val="18"/>
                <w:lang w:val="en-US" w:eastAsia="zh-CN"/>
              </w:rPr>
            </w:pPr>
            <m:oMathPara>
              <m:oMathParaPr>
                <m:jc m:val="centerGroup"/>
              </m:oMathParaPr>
              <m:oMath>
                <m:r>
                  <w:rPr>
                    <w:rFonts w:ascii="Cambria Math" w:hAnsi="Cambria Math" w:cs="Arial"/>
                    <w:sz w:val="18"/>
                    <w:szCs w:val="18"/>
                    <w:lang w:val="en-US" w:eastAsia="zh-CN"/>
                  </w:rPr>
                  <m:t>eDRX</m:t>
                </m:r>
                <m:r>
                  <m:rPr>
                    <m:sty m:val="p"/>
                  </m:rPr>
                  <w:rPr>
                    <w:rFonts w:ascii="Cambria Math" w:hAnsi="Cambria Math" w:cs="Arial"/>
                    <w:sz w:val="18"/>
                    <w:szCs w:val="18"/>
                    <w:lang w:val="en-US" w:eastAsia="zh-CN"/>
                  </w:rPr>
                  <m:t>_</m:t>
                </m:r>
                <m:r>
                  <w:rPr>
                    <w:rFonts w:ascii="Cambria Math" w:hAnsi="Cambria Math" w:cs="Arial"/>
                    <w:sz w:val="18"/>
                    <w:szCs w:val="18"/>
                    <w:lang w:val="en-US" w:eastAsia="zh-CN"/>
                  </w:rPr>
                  <m:t>cycl</m:t>
                </m:r>
                <m:r>
                  <m:rPr>
                    <m:sty m:val="p"/>
                  </m:rPr>
                  <w:rPr>
                    <w:rFonts w:ascii="Cambria Math" w:hAnsi="Cambria Math" w:cs="Arial"/>
                    <w:sz w:val="18"/>
                    <w:szCs w:val="18"/>
                    <w:lang w:val="en-US" w:eastAsia="zh-CN"/>
                  </w:rPr>
                  <m:t>e_</m:t>
                </m:r>
                <m:r>
                  <w:rPr>
                    <w:rFonts w:ascii="Cambria Math" w:hAnsi="Cambria Math" w:cs="Arial"/>
                    <w:sz w:val="18"/>
                    <w:szCs w:val="18"/>
                    <w:lang w:val="en-US" w:eastAsia="zh-CN"/>
                  </w:rPr>
                  <m:t>length×</m:t>
                </m:r>
                <m:d>
                  <m:dPr>
                    <m:begChr m:val="⌈"/>
                    <m:endChr m:val="⌉"/>
                    <m:ctrlPr>
                      <w:rPr>
                        <w:rFonts w:ascii="Cambria Math" w:hAnsi="Cambria Math" w:cs="Arial"/>
                        <w:i/>
                        <w:sz w:val="18"/>
                        <w:szCs w:val="18"/>
                        <w:lang w:val="en-US" w:eastAsia="zh-CN"/>
                      </w:rPr>
                    </m:ctrlPr>
                  </m:dPr>
                  <m:e>
                    <m:f>
                      <m:fPr>
                        <m:ctrlPr>
                          <w:rPr>
                            <w:rFonts w:ascii="Cambria Math" w:hAnsi="Cambria Math" w:cs="Arial"/>
                            <w:i/>
                            <w:sz w:val="18"/>
                            <w:szCs w:val="18"/>
                            <w:lang w:val="en-US" w:eastAsia="zh-CN"/>
                          </w:rPr>
                        </m:ctrlPr>
                      </m:fPr>
                      <m:num>
                        <m:r>
                          <w:rPr>
                            <w:rFonts w:ascii="Cambria Math" w:hAnsi="Cambria Math" w:cs="Arial"/>
                            <w:sz w:val="18"/>
                            <w:szCs w:val="18"/>
                            <w:lang w:val="en-US" w:eastAsia="zh-CN"/>
                          </w:rPr>
                          <m:t>23</m:t>
                        </m:r>
                      </m:num>
                      <m:den>
                        <m:r>
                          <w:rPr>
                            <w:rFonts w:ascii="Cambria Math" w:hAnsi="Cambria Math" w:cs="Arial"/>
                            <w:sz w:val="18"/>
                            <w:szCs w:val="18"/>
                            <w:lang w:val="en-US" w:eastAsia="zh-CN"/>
                          </w:rPr>
                          <m:t>PTW/DRX_cycle_length</m:t>
                        </m:r>
                      </m:den>
                    </m:f>
                  </m:e>
                </m:d>
                <m:r>
                  <m:rPr>
                    <m:sty m:val="p"/>
                  </m:rPr>
                  <w:rPr>
                    <w:rFonts w:ascii="Cambria Math" w:hAnsi="Cambria Math" w:cs="Arial"/>
                    <w:sz w:val="18"/>
                    <w:szCs w:val="18"/>
                    <w:lang w:val="sv-SE"/>
                  </w:rPr>
                  <m:t xml:space="preserve">x </m:t>
                </m:r>
                <m:r>
                  <m:rPr>
                    <m:sty m:val="p"/>
                  </m:rPr>
                  <w:rPr>
                    <w:rFonts w:ascii="Cambria Math" w:hAnsi="Cambria Math" w:cs="Arial"/>
                    <w:sz w:val="18"/>
                    <w:szCs w:val="18"/>
                    <w:lang w:val="sv-SE" w:eastAsia="zh-CN"/>
                  </w:rPr>
                  <m:t>K3</m:t>
                </m:r>
              </m:oMath>
            </m:oMathPara>
          </w:p>
          <w:p w14:paraId="18026023" w14:textId="77777777" w:rsidR="00F020D7" w:rsidRPr="00E659AD" w:rsidRDefault="00F020D7" w:rsidP="005145F6">
            <w:pPr>
              <w:rPr>
                <w:rFonts w:ascii="Arial" w:hAnsi="Arial" w:cs="Arial"/>
                <w:sz w:val="18"/>
                <w:szCs w:val="18"/>
                <w:lang w:val="en-US" w:eastAsia="zh-CN"/>
              </w:rPr>
            </w:pPr>
            <w:r w:rsidRPr="00E659AD">
              <w:rPr>
                <w:rFonts w:ascii="Arial" w:hAnsi="Arial" w:cs="Arial"/>
                <w:sz w:val="18"/>
                <w:szCs w:val="18"/>
                <w:lang w:val="en-US" w:eastAsia="zh-CN"/>
              </w:rPr>
              <w:t>(23</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lang w:val="en-US" w:eastAsia="zh-CN"/>
              </w:rPr>
              <w:t>)</w:t>
            </w:r>
          </w:p>
        </w:tc>
        <w:tc>
          <w:tcPr>
            <w:tcW w:w="1860" w:type="dxa"/>
            <w:hideMark/>
          </w:tcPr>
          <w:p w14:paraId="2E2EF03D" w14:textId="77777777" w:rsidR="00F020D7" w:rsidRPr="00E659AD" w:rsidRDefault="00F020D7" w:rsidP="005145F6">
            <w:pPr>
              <w:rPr>
                <w:rFonts w:ascii="Arial" w:hAnsi="Arial" w:cs="Arial"/>
                <w:sz w:val="18"/>
                <w:szCs w:val="18"/>
                <w:lang w:val="en-US" w:eastAsia="zh-CN"/>
              </w:rPr>
            </w:pPr>
            <w:r w:rsidRPr="00E83408">
              <w:rPr>
                <w:rFonts w:ascii="Arial" w:hAnsi="Arial" w:cs="Arial"/>
                <w:sz w:val="18"/>
                <w:szCs w:val="18"/>
                <w:lang w:eastAsia="zh-CN"/>
              </w:rPr>
              <w:t>0.32</w:t>
            </w:r>
            <w:r w:rsidRPr="00E83408">
              <w:rPr>
                <w:rFonts w:ascii="Arial" w:hAnsi="Arial" w:cs="Arial"/>
                <w:sz w:val="18"/>
                <w:szCs w:val="18"/>
              </w:rPr>
              <w:t xml:space="preserve"> x M2</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lang w:eastAsia="zh-CN"/>
              </w:rPr>
              <w:t xml:space="preserve"> (1</w:t>
            </w:r>
            <w:r w:rsidRPr="00E659AD">
              <w:rPr>
                <w:rFonts w:ascii="Arial" w:hAnsi="Arial" w:cs="Arial"/>
                <w:sz w:val="18"/>
                <w:szCs w:val="18"/>
              </w:rPr>
              <w:t xml:space="preserve"> x M2</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lang w:eastAsia="zh-CN"/>
              </w:rPr>
              <w:t>)</w:t>
            </w:r>
          </w:p>
        </w:tc>
        <w:tc>
          <w:tcPr>
            <w:tcW w:w="1846" w:type="dxa"/>
          </w:tcPr>
          <w:p w14:paraId="59C31F9D" w14:textId="77777777" w:rsidR="00F020D7" w:rsidRPr="00E659AD" w:rsidRDefault="00F020D7" w:rsidP="005145F6">
            <w:pPr>
              <w:rPr>
                <w:rFonts w:ascii="Arial" w:hAnsi="Arial" w:cs="Arial"/>
                <w:sz w:val="18"/>
                <w:szCs w:val="18"/>
                <w:lang w:eastAsia="zh-CN"/>
              </w:rPr>
            </w:pPr>
            <w:r w:rsidRPr="00E83408">
              <w:rPr>
                <w:rFonts w:ascii="Arial" w:hAnsi="Arial" w:cs="Arial"/>
                <w:sz w:val="18"/>
                <w:szCs w:val="18"/>
              </w:rPr>
              <w:t>0.64 x M2</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rPr>
              <w:t xml:space="preserve"> (2 x M2</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rPr>
              <w:t>)</w:t>
            </w:r>
          </w:p>
        </w:tc>
      </w:tr>
      <w:tr w:rsidR="00F020D7" w:rsidRPr="00B85562" w14:paraId="48EE593E" w14:textId="77777777" w:rsidTr="005145F6">
        <w:trPr>
          <w:trHeight w:val="336"/>
        </w:trPr>
        <w:tc>
          <w:tcPr>
            <w:tcW w:w="1198" w:type="dxa"/>
            <w:vMerge/>
            <w:hideMark/>
          </w:tcPr>
          <w:p w14:paraId="063A3FDF" w14:textId="77777777" w:rsidR="00F020D7" w:rsidRPr="00B11B68" w:rsidRDefault="00F020D7" w:rsidP="005145F6">
            <w:pPr>
              <w:rPr>
                <w:rFonts w:ascii="Arial" w:hAnsi="Arial" w:cs="Arial"/>
                <w:sz w:val="18"/>
                <w:lang w:val="en-US" w:eastAsia="zh-CN"/>
              </w:rPr>
            </w:pPr>
          </w:p>
        </w:tc>
        <w:tc>
          <w:tcPr>
            <w:tcW w:w="751" w:type="dxa"/>
            <w:hideMark/>
          </w:tcPr>
          <w:p w14:paraId="03B0FAAC" w14:textId="77777777" w:rsidR="00F020D7" w:rsidRPr="00E659AD" w:rsidRDefault="00F020D7" w:rsidP="005145F6">
            <w:pPr>
              <w:rPr>
                <w:rFonts w:ascii="Arial" w:hAnsi="Arial" w:cs="Arial"/>
                <w:sz w:val="18"/>
                <w:szCs w:val="18"/>
                <w:lang w:val="en-US" w:eastAsia="zh-CN"/>
              </w:rPr>
            </w:pPr>
            <w:r w:rsidRPr="00E659AD">
              <w:rPr>
                <w:rFonts w:ascii="Arial" w:hAnsi="Arial" w:cs="Arial"/>
                <w:sz w:val="18"/>
                <w:szCs w:val="18"/>
                <w:lang w:eastAsia="zh-CN"/>
              </w:rPr>
              <w:t>0.64</w:t>
            </w:r>
          </w:p>
        </w:tc>
        <w:tc>
          <w:tcPr>
            <w:tcW w:w="930" w:type="dxa"/>
            <w:hideMark/>
          </w:tcPr>
          <w:p w14:paraId="378D55DA" w14:textId="470BF5CC" w:rsidR="00F020D7" w:rsidRPr="00E80FA3" w:rsidRDefault="00F020D7" w:rsidP="005145F6">
            <w:pPr>
              <w:rPr>
                <w:rFonts w:ascii="Arial" w:hAnsi="Arial" w:cs="Arial"/>
                <w:sz w:val="18"/>
                <w:szCs w:val="18"/>
                <w:lang w:val="en-US" w:eastAsia="zh-CN"/>
              </w:rPr>
            </w:pPr>
            <w:r w:rsidRPr="00E83408">
              <w:rPr>
                <w:rFonts w:ascii="Arial" w:hAnsi="Arial" w:cs="Arial" w:hint="eastAsia"/>
                <w:sz w:val="18"/>
                <w:szCs w:val="18"/>
                <w:lang w:eastAsia="zh-CN"/>
              </w:rPr>
              <w:t>≥</w:t>
            </w:r>
            <w:r w:rsidRPr="00E83408">
              <w:rPr>
                <w:rFonts w:ascii="Arial" w:hAnsi="Arial" w:cs="Arial"/>
                <w:sz w:val="18"/>
                <w:szCs w:val="18"/>
                <w:lang w:val="en-US" w:eastAsia="zh-CN"/>
              </w:rPr>
              <w:t>[</w:t>
            </w:r>
            <w:r>
              <w:rPr>
                <w:rFonts w:ascii="Arial" w:hAnsi="Arial" w:cs="Arial"/>
                <w:sz w:val="18"/>
                <w:szCs w:val="18"/>
                <w:lang w:eastAsia="zh-CN"/>
              </w:rPr>
              <w:t>12.8</w:t>
            </w:r>
            <w:r w:rsidRPr="00E83408">
              <w:rPr>
                <w:rFonts w:ascii="Arial" w:hAnsi="Arial" w:cs="Arial"/>
                <w:sz w:val="18"/>
                <w:szCs w:val="18"/>
                <w:lang w:eastAsia="zh-CN"/>
              </w:rPr>
              <w:t>] ([1</w:t>
            </w:r>
            <w:r>
              <w:rPr>
                <w:rFonts w:ascii="Arial" w:hAnsi="Arial" w:cs="Arial"/>
                <w:sz w:val="18"/>
                <w:szCs w:val="18"/>
                <w:lang w:eastAsia="zh-CN"/>
              </w:rPr>
              <w:t>0</w:t>
            </w:r>
            <w:r w:rsidRPr="00E83408">
              <w:rPr>
                <w:rFonts w:ascii="Arial" w:hAnsi="Arial" w:cs="Arial"/>
                <w:sz w:val="18"/>
                <w:szCs w:val="18"/>
                <w:lang w:eastAsia="zh-CN"/>
              </w:rPr>
              <w:t>])</w:t>
            </w:r>
          </w:p>
        </w:tc>
        <w:tc>
          <w:tcPr>
            <w:tcW w:w="2431" w:type="dxa"/>
            <w:vMerge/>
            <w:hideMark/>
          </w:tcPr>
          <w:p w14:paraId="44235CF8" w14:textId="77777777" w:rsidR="00F020D7" w:rsidRPr="005B7259" w:rsidRDefault="00F020D7" w:rsidP="005145F6">
            <w:pPr>
              <w:rPr>
                <w:rFonts w:ascii="Arial" w:hAnsi="Arial" w:cs="Arial"/>
                <w:sz w:val="18"/>
                <w:szCs w:val="18"/>
                <w:lang w:val="en-US" w:eastAsia="zh-CN"/>
              </w:rPr>
            </w:pPr>
          </w:p>
        </w:tc>
        <w:tc>
          <w:tcPr>
            <w:tcW w:w="1860" w:type="dxa"/>
            <w:hideMark/>
          </w:tcPr>
          <w:p w14:paraId="1BB26898" w14:textId="77777777" w:rsidR="00F020D7" w:rsidRPr="00E659AD" w:rsidRDefault="00F020D7" w:rsidP="005145F6">
            <w:pPr>
              <w:rPr>
                <w:rFonts w:ascii="Arial" w:hAnsi="Arial" w:cs="Arial"/>
                <w:sz w:val="18"/>
                <w:szCs w:val="18"/>
                <w:lang w:val="en-US" w:eastAsia="zh-CN"/>
              </w:rPr>
            </w:pPr>
            <w:r w:rsidRPr="005B7259">
              <w:rPr>
                <w:rFonts w:ascii="Arial" w:hAnsi="Arial" w:cs="Arial"/>
                <w:sz w:val="18"/>
                <w:szCs w:val="18"/>
                <w:lang w:eastAsia="zh-CN"/>
              </w:rPr>
              <w:t>0.64</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lang w:eastAsia="zh-CN"/>
              </w:rPr>
              <w:t xml:space="preserve"> (1</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lang w:eastAsia="zh-CN"/>
              </w:rPr>
              <w:t>)</w:t>
            </w:r>
          </w:p>
        </w:tc>
        <w:tc>
          <w:tcPr>
            <w:tcW w:w="1846" w:type="dxa"/>
          </w:tcPr>
          <w:p w14:paraId="2663422C" w14:textId="77777777" w:rsidR="00F020D7" w:rsidRPr="00E659AD" w:rsidRDefault="00F020D7" w:rsidP="005145F6">
            <w:pPr>
              <w:rPr>
                <w:rFonts w:ascii="Arial" w:hAnsi="Arial" w:cs="Arial"/>
                <w:sz w:val="18"/>
                <w:szCs w:val="18"/>
                <w:lang w:eastAsia="zh-CN"/>
              </w:rPr>
            </w:pPr>
            <w:r w:rsidRPr="00E83408">
              <w:rPr>
                <w:rFonts w:ascii="Arial" w:hAnsi="Arial" w:cs="Arial"/>
                <w:sz w:val="18"/>
                <w:szCs w:val="18"/>
                <w:lang w:eastAsia="zh-CN"/>
              </w:rPr>
              <w:t>1.28</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lang w:eastAsia="zh-CN"/>
              </w:rPr>
              <w:t xml:space="preserve"> (2</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lang w:eastAsia="zh-CN"/>
              </w:rPr>
              <w:t>)</w:t>
            </w:r>
          </w:p>
        </w:tc>
      </w:tr>
      <w:tr w:rsidR="00F020D7" w:rsidRPr="00B85562" w14:paraId="6CB67527" w14:textId="77777777" w:rsidTr="005145F6">
        <w:trPr>
          <w:trHeight w:val="336"/>
        </w:trPr>
        <w:tc>
          <w:tcPr>
            <w:tcW w:w="1198" w:type="dxa"/>
            <w:vMerge/>
            <w:hideMark/>
          </w:tcPr>
          <w:p w14:paraId="7AE26F65" w14:textId="77777777" w:rsidR="00F020D7" w:rsidRPr="00B11B68" w:rsidRDefault="00F020D7" w:rsidP="005145F6">
            <w:pPr>
              <w:rPr>
                <w:rFonts w:ascii="Arial" w:hAnsi="Arial" w:cs="Arial"/>
                <w:sz w:val="18"/>
                <w:lang w:val="en-US" w:eastAsia="zh-CN"/>
              </w:rPr>
            </w:pPr>
          </w:p>
        </w:tc>
        <w:tc>
          <w:tcPr>
            <w:tcW w:w="751" w:type="dxa"/>
            <w:hideMark/>
          </w:tcPr>
          <w:p w14:paraId="5BD867A8" w14:textId="77777777" w:rsidR="00F020D7" w:rsidRPr="00E659AD" w:rsidRDefault="00F020D7" w:rsidP="005145F6">
            <w:pPr>
              <w:rPr>
                <w:rFonts w:ascii="Arial" w:hAnsi="Arial" w:cs="Arial"/>
                <w:sz w:val="18"/>
                <w:szCs w:val="18"/>
                <w:lang w:val="en-US" w:eastAsia="zh-CN"/>
              </w:rPr>
            </w:pPr>
            <w:r w:rsidRPr="00E659AD">
              <w:rPr>
                <w:rFonts w:ascii="Arial" w:hAnsi="Arial" w:cs="Arial"/>
                <w:sz w:val="18"/>
                <w:szCs w:val="18"/>
                <w:lang w:eastAsia="zh-CN"/>
              </w:rPr>
              <w:t>1.28</w:t>
            </w:r>
          </w:p>
        </w:tc>
        <w:tc>
          <w:tcPr>
            <w:tcW w:w="930" w:type="dxa"/>
            <w:hideMark/>
          </w:tcPr>
          <w:p w14:paraId="180D7C83" w14:textId="30E166F5" w:rsidR="00F020D7" w:rsidRPr="00E80FA3" w:rsidRDefault="00F020D7" w:rsidP="005145F6">
            <w:pPr>
              <w:rPr>
                <w:rFonts w:ascii="Arial" w:hAnsi="Arial" w:cs="Arial"/>
                <w:sz w:val="18"/>
                <w:szCs w:val="18"/>
                <w:lang w:val="en-US" w:eastAsia="zh-CN"/>
              </w:rPr>
            </w:pPr>
            <w:r w:rsidRPr="00E83408">
              <w:rPr>
                <w:rFonts w:ascii="Arial" w:hAnsi="Arial" w:cs="Arial" w:hint="eastAsia"/>
                <w:sz w:val="18"/>
                <w:szCs w:val="18"/>
                <w:lang w:eastAsia="zh-CN"/>
              </w:rPr>
              <w:t>≥[</w:t>
            </w:r>
            <w:r>
              <w:rPr>
                <w:rFonts w:ascii="Arial" w:hAnsi="Arial" w:cs="Arial"/>
                <w:sz w:val="18"/>
                <w:szCs w:val="18"/>
                <w:lang w:eastAsia="zh-CN"/>
              </w:rPr>
              <w:t>15.36</w:t>
            </w:r>
            <w:r w:rsidRPr="00E83408">
              <w:rPr>
                <w:rFonts w:ascii="Arial" w:hAnsi="Arial" w:cs="Arial" w:hint="eastAsia"/>
                <w:sz w:val="18"/>
                <w:szCs w:val="18"/>
                <w:lang w:eastAsia="zh-CN"/>
              </w:rPr>
              <w:t>]</w:t>
            </w:r>
            <w:r w:rsidRPr="00E83408">
              <w:rPr>
                <w:rFonts w:ascii="Arial" w:hAnsi="Arial" w:cs="Arial"/>
                <w:sz w:val="18"/>
                <w:szCs w:val="18"/>
                <w:lang w:eastAsia="zh-CN"/>
              </w:rPr>
              <w:t xml:space="preserve"> ([</w:t>
            </w:r>
            <w:r>
              <w:rPr>
                <w:rFonts w:ascii="Arial" w:hAnsi="Arial" w:cs="Arial"/>
                <w:sz w:val="18"/>
                <w:szCs w:val="18"/>
                <w:lang w:eastAsia="zh-CN"/>
              </w:rPr>
              <w:t>1</w:t>
            </w:r>
            <w:r w:rsidRPr="00E83408">
              <w:rPr>
                <w:rFonts w:ascii="Arial" w:hAnsi="Arial" w:cs="Arial"/>
                <w:sz w:val="18"/>
                <w:szCs w:val="18"/>
                <w:lang w:eastAsia="zh-CN"/>
              </w:rPr>
              <w:t>2])</w:t>
            </w:r>
          </w:p>
        </w:tc>
        <w:tc>
          <w:tcPr>
            <w:tcW w:w="2431" w:type="dxa"/>
            <w:vMerge/>
            <w:hideMark/>
          </w:tcPr>
          <w:p w14:paraId="586E7751" w14:textId="77777777" w:rsidR="00F020D7" w:rsidRPr="005B7259" w:rsidRDefault="00F020D7" w:rsidP="005145F6">
            <w:pPr>
              <w:rPr>
                <w:rFonts w:ascii="Arial" w:hAnsi="Arial" w:cs="Arial"/>
                <w:sz w:val="18"/>
                <w:szCs w:val="18"/>
                <w:lang w:val="en-US" w:eastAsia="zh-CN"/>
              </w:rPr>
            </w:pPr>
          </w:p>
        </w:tc>
        <w:tc>
          <w:tcPr>
            <w:tcW w:w="1860" w:type="dxa"/>
            <w:hideMark/>
          </w:tcPr>
          <w:p w14:paraId="20E45471" w14:textId="77777777" w:rsidR="00F020D7" w:rsidRPr="00E659AD" w:rsidRDefault="00F020D7" w:rsidP="005145F6">
            <w:pPr>
              <w:rPr>
                <w:rFonts w:ascii="Arial" w:hAnsi="Arial" w:cs="Arial"/>
                <w:sz w:val="18"/>
                <w:szCs w:val="18"/>
                <w:lang w:val="en-US" w:eastAsia="zh-CN"/>
              </w:rPr>
            </w:pPr>
            <w:r w:rsidRPr="005B7259">
              <w:rPr>
                <w:rFonts w:ascii="Arial" w:hAnsi="Arial" w:cs="Arial"/>
                <w:sz w:val="18"/>
                <w:szCs w:val="18"/>
                <w:lang w:eastAsia="zh-CN"/>
              </w:rPr>
              <w:t>1.28</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lang w:eastAsia="zh-CN"/>
              </w:rPr>
              <w:t xml:space="preserve"> (1</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lang w:eastAsia="zh-CN"/>
              </w:rPr>
              <w:t>)</w:t>
            </w:r>
          </w:p>
        </w:tc>
        <w:tc>
          <w:tcPr>
            <w:tcW w:w="1846" w:type="dxa"/>
          </w:tcPr>
          <w:p w14:paraId="728829BF" w14:textId="77777777" w:rsidR="00F020D7" w:rsidRPr="00E659AD" w:rsidRDefault="00F020D7" w:rsidP="005145F6">
            <w:pPr>
              <w:rPr>
                <w:rFonts w:ascii="Arial" w:hAnsi="Arial" w:cs="Arial"/>
                <w:sz w:val="18"/>
                <w:szCs w:val="18"/>
                <w:lang w:eastAsia="zh-CN"/>
              </w:rPr>
            </w:pPr>
            <w:r w:rsidRPr="00E83408">
              <w:rPr>
                <w:rFonts w:ascii="Arial" w:hAnsi="Arial" w:cs="Arial"/>
                <w:sz w:val="18"/>
                <w:szCs w:val="18"/>
                <w:lang w:eastAsia="zh-CN"/>
              </w:rPr>
              <w:t>2.56</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lang w:eastAsia="zh-CN"/>
              </w:rPr>
              <w:t xml:space="preserve"> (2</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lang w:eastAsia="zh-CN"/>
              </w:rPr>
              <w:t>)</w:t>
            </w:r>
          </w:p>
        </w:tc>
      </w:tr>
      <w:tr w:rsidR="00F020D7" w:rsidRPr="00B85562" w14:paraId="6F37436F" w14:textId="77777777" w:rsidTr="005145F6">
        <w:trPr>
          <w:trHeight w:val="336"/>
        </w:trPr>
        <w:tc>
          <w:tcPr>
            <w:tcW w:w="1198" w:type="dxa"/>
            <w:vMerge/>
            <w:hideMark/>
          </w:tcPr>
          <w:p w14:paraId="2EB9413F" w14:textId="77777777" w:rsidR="00F020D7" w:rsidRPr="00B11B68" w:rsidRDefault="00F020D7" w:rsidP="005145F6">
            <w:pPr>
              <w:rPr>
                <w:rFonts w:ascii="Arial" w:hAnsi="Arial" w:cs="Arial"/>
                <w:sz w:val="18"/>
                <w:lang w:val="en-US" w:eastAsia="zh-CN"/>
              </w:rPr>
            </w:pPr>
          </w:p>
        </w:tc>
        <w:tc>
          <w:tcPr>
            <w:tcW w:w="751" w:type="dxa"/>
            <w:hideMark/>
          </w:tcPr>
          <w:p w14:paraId="1408CCE8" w14:textId="77777777" w:rsidR="00F020D7" w:rsidRPr="00E659AD" w:rsidRDefault="00F020D7" w:rsidP="005145F6">
            <w:pPr>
              <w:rPr>
                <w:rFonts w:ascii="Arial" w:hAnsi="Arial" w:cs="Arial"/>
                <w:sz w:val="18"/>
                <w:szCs w:val="18"/>
                <w:lang w:val="en-US" w:eastAsia="zh-CN"/>
              </w:rPr>
            </w:pPr>
            <w:r w:rsidRPr="00E659AD">
              <w:rPr>
                <w:rFonts w:ascii="Arial" w:hAnsi="Arial" w:cs="Arial"/>
                <w:sz w:val="18"/>
                <w:szCs w:val="18"/>
                <w:lang w:eastAsia="zh-CN"/>
              </w:rPr>
              <w:t>2.56</w:t>
            </w:r>
          </w:p>
        </w:tc>
        <w:tc>
          <w:tcPr>
            <w:tcW w:w="930" w:type="dxa"/>
            <w:hideMark/>
          </w:tcPr>
          <w:p w14:paraId="30A98A8B" w14:textId="5237824B" w:rsidR="00F020D7" w:rsidRPr="00E80FA3" w:rsidRDefault="00F020D7" w:rsidP="005145F6">
            <w:pPr>
              <w:rPr>
                <w:rFonts w:ascii="Arial" w:hAnsi="Arial" w:cs="Arial"/>
                <w:sz w:val="18"/>
                <w:szCs w:val="18"/>
                <w:lang w:val="en-US" w:eastAsia="zh-CN"/>
              </w:rPr>
            </w:pPr>
            <w:r w:rsidRPr="00E83408">
              <w:rPr>
                <w:rFonts w:ascii="Arial" w:hAnsi="Arial" w:cs="Arial" w:hint="eastAsia"/>
                <w:sz w:val="18"/>
                <w:szCs w:val="18"/>
                <w:lang w:eastAsia="zh-CN"/>
              </w:rPr>
              <w:t>≥[</w:t>
            </w:r>
            <w:r>
              <w:rPr>
                <w:rFonts w:ascii="Arial" w:hAnsi="Arial" w:cs="Arial"/>
                <w:sz w:val="18"/>
                <w:szCs w:val="18"/>
                <w:lang w:eastAsia="zh-CN"/>
              </w:rPr>
              <w:t>30.72</w:t>
            </w:r>
            <w:r w:rsidRPr="00E83408">
              <w:rPr>
                <w:rFonts w:ascii="Arial" w:hAnsi="Arial" w:cs="Arial" w:hint="eastAsia"/>
                <w:sz w:val="18"/>
                <w:szCs w:val="18"/>
                <w:lang w:eastAsia="zh-CN"/>
              </w:rPr>
              <w:t>]</w:t>
            </w:r>
            <w:r w:rsidRPr="00E83408">
              <w:rPr>
                <w:rFonts w:ascii="Arial" w:hAnsi="Arial" w:cs="Arial"/>
                <w:sz w:val="18"/>
                <w:szCs w:val="18"/>
                <w:lang w:eastAsia="zh-CN"/>
              </w:rPr>
              <w:t xml:space="preserve"> ([4])</w:t>
            </w:r>
          </w:p>
        </w:tc>
        <w:tc>
          <w:tcPr>
            <w:tcW w:w="2431" w:type="dxa"/>
            <w:vMerge/>
            <w:hideMark/>
          </w:tcPr>
          <w:p w14:paraId="7334BB0D" w14:textId="77777777" w:rsidR="00F020D7" w:rsidRPr="005B7259" w:rsidRDefault="00F020D7" w:rsidP="005145F6">
            <w:pPr>
              <w:rPr>
                <w:rFonts w:ascii="Arial" w:hAnsi="Arial" w:cs="Arial"/>
                <w:sz w:val="18"/>
                <w:szCs w:val="18"/>
                <w:lang w:val="en-US" w:eastAsia="zh-CN"/>
              </w:rPr>
            </w:pPr>
          </w:p>
        </w:tc>
        <w:tc>
          <w:tcPr>
            <w:tcW w:w="1860" w:type="dxa"/>
            <w:hideMark/>
          </w:tcPr>
          <w:p w14:paraId="48F8E9A4" w14:textId="77777777" w:rsidR="00F020D7" w:rsidRPr="00E659AD" w:rsidRDefault="00F020D7" w:rsidP="005145F6">
            <w:pPr>
              <w:rPr>
                <w:rFonts w:ascii="Arial" w:hAnsi="Arial" w:cs="Arial"/>
                <w:sz w:val="18"/>
                <w:szCs w:val="18"/>
                <w:lang w:val="en-US" w:eastAsia="zh-CN"/>
              </w:rPr>
            </w:pPr>
            <w:r w:rsidRPr="005B7259">
              <w:rPr>
                <w:rFonts w:ascii="Arial" w:hAnsi="Arial" w:cs="Arial"/>
                <w:sz w:val="18"/>
                <w:szCs w:val="18"/>
                <w:lang w:eastAsia="zh-CN"/>
              </w:rPr>
              <w:t>2.56</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lang w:eastAsia="zh-CN"/>
              </w:rPr>
              <w:t xml:space="preserve"> (1</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lang w:eastAsia="zh-CN"/>
              </w:rPr>
              <w:t>)</w:t>
            </w:r>
          </w:p>
        </w:tc>
        <w:tc>
          <w:tcPr>
            <w:tcW w:w="1846" w:type="dxa"/>
          </w:tcPr>
          <w:p w14:paraId="1028259A" w14:textId="77777777" w:rsidR="00F020D7" w:rsidRPr="00E659AD" w:rsidRDefault="00F020D7" w:rsidP="005145F6">
            <w:pPr>
              <w:rPr>
                <w:rFonts w:ascii="Arial" w:hAnsi="Arial" w:cs="Arial"/>
                <w:sz w:val="18"/>
                <w:szCs w:val="18"/>
                <w:lang w:eastAsia="zh-CN"/>
              </w:rPr>
            </w:pPr>
            <w:r w:rsidRPr="00E83408">
              <w:rPr>
                <w:rFonts w:ascii="Arial" w:hAnsi="Arial" w:cs="Arial"/>
                <w:sz w:val="18"/>
                <w:szCs w:val="18"/>
                <w:lang w:eastAsia="zh-CN"/>
              </w:rPr>
              <w:t>5.12</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lang w:eastAsia="zh-CN"/>
              </w:rPr>
              <w:t xml:space="preserve"> (2</w:t>
            </w:r>
            <w:r w:rsidRPr="00806346">
              <w:rPr>
                <w:rFonts w:ascii="Arial" w:hAnsi="Arial" w:cs="Arial"/>
                <w:sz w:val="18"/>
                <w:szCs w:val="18"/>
                <w:lang w:val="sv-SE"/>
              </w:rPr>
              <w:t xml:space="preserve"> x </w:t>
            </w:r>
            <w:r w:rsidRPr="00806346">
              <w:rPr>
                <w:rFonts w:ascii="Arial" w:hAnsi="Arial" w:cs="Arial"/>
                <w:sz w:val="18"/>
                <w:szCs w:val="18"/>
                <w:lang w:val="sv-SE" w:eastAsia="zh-CN"/>
              </w:rPr>
              <w:t>K3</w:t>
            </w:r>
            <w:r w:rsidRPr="00E659AD">
              <w:rPr>
                <w:rFonts w:ascii="Arial" w:hAnsi="Arial" w:cs="Arial"/>
                <w:sz w:val="18"/>
                <w:szCs w:val="18"/>
                <w:lang w:eastAsia="zh-CN"/>
              </w:rPr>
              <w:t>)</w:t>
            </w:r>
          </w:p>
        </w:tc>
      </w:tr>
      <w:tr w:rsidR="00F020D7" w:rsidRPr="00B85562" w14:paraId="3C573C70" w14:textId="77777777" w:rsidTr="005145F6">
        <w:trPr>
          <w:trHeight w:val="336"/>
        </w:trPr>
        <w:tc>
          <w:tcPr>
            <w:tcW w:w="9016" w:type="dxa"/>
            <w:gridSpan w:val="6"/>
          </w:tcPr>
          <w:p w14:paraId="3622E5E5" w14:textId="77777777" w:rsidR="00F020D7" w:rsidRPr="009C5807" w:rsidRDefault="00F020D7" w:rsidP="005145F6">
            <w:pPr>
              <w:pStyle w:val="TAN"/>
              <w:rPr>
                <w:snapToGrid w:val="0"/>
                <w:lang w:eastAsia="zh-CN"/>
              </w:rPr>
            </w:pPr>
            <w:r w:rsidRPr="009C5807">
              <w:rPr>
                <w:snapToGrid w:val="0"/>
                <w:lang w:eastAsia="zh-CN"/>
              </w:rPr>
              <w:t>Note 1</w:t>
            </w:r>
            <w:r w:rsidRPr="009C5807">
              <w:t>:</w:t>
            </w:r>
            <w:r w:rsidRPr="009C5807">
              <w:rPr>
                <w:lang w:val="en-US"/>
              </w:rPr>
              <w:tab/>
            </w:r>
            <w:r w:rsidRPr="000C5ADE">
              <w:rPr>
                <w:snapToGrid w:val="0"/>
                <w:lang w:eastAsia="zh-CN"/>
              </w:rPr>
              <w:t>The number of DRX cycles in this table is given for the DRX cycles within PTWs.</w:t>
            </w:r>
          </w:p>
          <w:p w14:paraId="73DA63AC" w14:textId="77777777" w:rsidR="00F020D7" w:rsidRPr="009C5807" w:rsidRDefault="00F020D7" w:rsidP="005145F6">
            <w:pPr>
              <w:pStyle w:val="TAN"/>
              <w:rPr>
                <w:snapToGrid w:val="0"/>
                <w:lang w:eastAsia="zh-CN"/>
              </w:rPr>
            </w:pPr>
            <w:r w:rsidRPr="009C5807">
              <w:rPr>
                <w:snapToGrid w:val="0"/>
                <w:lang w:eastAsia="zh-CN"/>
              </w:rPr>
              <w:t xml:space="preserve">Note </w:t>
            </w:r>
            <w:r>
              <w:rPr>
                <w:snapToGrid w:val="0"/>
                <w:lang w:eastAsia="zh-CN"/>
              </w:rPr>
              <w:t>2</w:t>
            </w:r>
            <w:r w:rsidRPr="009C5807">
              <w:t>:</w:t>
            </w:r>
            <w:r w:rsidRPr="009C5807">
              <w:rPr>
                <w:lang w:val="en-US"/>
              </w:rPr>
              <w:tab/>
            </w:r>
            <w:r w:rsidRPr="000C5ADE">
              <w:rPr>
                <w:snapToGrid w:val="0"/>
                <w:lang w:eastAsia="zh-CN"/>
              </w:rPr>
              <w:t>The eDRX_IDLE cycle lengths are as specified in Section 10.5.5.32 of TS 24.008 [34].</w:t>
            </w:r>
          </w:p>
          <w:p w14:paraId="1C2EA364" w14:textId="77777777" w:rsidR="00F020D7" w:rsidRPr="00806346" w:rsidRDefault="00F020D7" w:rsidP="005145F6">
            <w:pPr>
              <w:pStyle w:val="TAN"/>
              <w:rPr>
                <w:rFonts w:cs="Arial"/>
                <w:iCs/>
              </w:rPr>
            </w:pPr>
            <w:r w:rsidRPr="009C5807">
              <w:rPr>
                <w:snapToGrid w:val="0"/>
                <w:lang w:eastAsia="zh-CN"/>
              </w:rPr>
              <w:t>Note</w:t>
            </w:r>
            <w:r w:rsidRPr="00691C10">
              <w:rPr>
                <w:rFonts w:cs="Arial"/>
              </w:rPr>
              <w:t xml:space="preserve"> </w:t>
            </w:r>
            <w:r>
              <w:rPr>
                <w:rFonts w:cs="Arial"/>
              </w:rPr>
              <w:t>3</w:t>
            </w:r>
            <w:r w:rsidRPr="00691C10">
              <w:rPr>
                <w:rFonts w:cs="Arial"/>
              </w:rPr>
              <w:t>:</w:t>
            </w:r>
            <w:r w:rsidRPr="009C5807">
              <w:rPr>
                <w:lang w:val="en-US"/>
              </w:rPr>
              <w:t xml:space="preserve"> </w:t>
            </w:r>
            <w:r w:rsidRPr="009C5807">
              <w:rPr>
                <w:lang w:val="en-US"/>
              </w:rPr>
              <w:tab/>
            </w:r>
            <w:r>
              <w:rPr>
                <w:rFonts w:cs="Arial"/>
              </w:rPr>
              <w:t xml:space="preserve">The lower bound of </w:t>
            </w:r>
            <w:r w:rsidRPr="007D1E39">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evaluate,NR_Inter_RedCap</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Pr>
                <w:rFonts w:cs="Arial"/>
                <w:iCs/>
              </w:rPr>
              <w:t>.</w:t>
            </w:r>
          </w:p>
          <w:p w14:paraId="443EE801" w14:textId="1C27B7A2" w:rsidR="00F020D7" w:rsidRPr="0082197E" w:rsidRDefault="007A5E1E" w:rsidP="005145F6">
            <w:pPr>
              <w:pStyle w:val="TAN"/>
              <w:rPr>
                <w:snapToGrid w:val="0"/>
                <w:lang w:eastAsia="zh-CN"/>
              </w:rPr>
            </w:pPr>
            <w:r>
              <w:rPr>
                <w:snapToGrid w:val="0"/>
                <w:lang w:eastAsia="zh-CN"/>
              </w:rPr>
              <w:t>Note 4:</w:t>
            </w:r>
            <w:r>
              <w:rPr>
                <w:snapToGrid w:val="0"/>
                <w:lang w:eastAsia="zh-CN"/>
              </w:rPr>
              <w:tab/>
            </w:r>
            <w:r w:rsidRPr="002C65ED">
              <w:rPr>
                <w:snapToGrid w:val="0"/>
                <w:lang w:eastAsia="zh-CN"/>
              </w:rPr>
              <w:t>K</w:t>
            </w:r>
            <w:r>
              <w:rPr>
                <w:snapToGrid w:val="0"/>
                <w:lang w:eastAsia="zh-CN"/>
              </w:rPr>
              <w:t>3</w:t>
            </w:r>
            <w:r w:rsidRPr="002C65ED">
              <w:rPr>
                <w:snapToGrid w:val="0"/>
                <w:lang w:eastAsia="zh-CN"/>
              </w:rPr>
              <w:t xml:space="preserve"> = 6 is the measurement relaxation factor applicable for UE fulfilling the stationaryMobilityEvaluation [2] criterion.</w:t>
            </w:r>
          </w:p>
        </w:tc>
      </w:tr>
    </w:tbl>
    <w:p w14:paraId="79B678DD" w14:textId="77777777" w:rsidR="00F020D7" w:rsidRDefault="00F020D7" w:rsidP="00F020D7"/>
    <w:p w14:paraId="0B599559" w14:textId="77777777" w:rsidR="00F020D7" w:rsidRPr="00AD5C2C" w:rsidRDefault="00F020D7" w:rsidP="00F020D7">
      <w:pPr>
        <w:pStyle w:val="TH"/>
        <w:rPr>
          <w:lang w:val="en-US"/>
        </w:rPr>
      </w:pPr>
      <w:r w:rsidRPr="0082197E">
        <w:rPr>
          <w:lang w:val="en-US"/>
        </w:rPr>
        <w:t>Table 4.2B.2.</w:t>
      </w:r>
      <w:r>
        <w:rPr>
          <w:lang w:val="en-US"/>
        </w:rPr>
        <w:t>10</w:t>
      </w:r>
      <w:r w:rsidRPr="0082197E">
        <w:rPr>
          <w:lang w:val="en-US"/>
        </w:rPr>
        <w:t>.2-</w:t>
      </w:r>
      <w:r>
        <w:rPr>
          <w:lang w:val="en-US"/>
        </w:rPr>
        <w:t>6</w:t>
      </w:r>
      <w:r w:rsidRPr="0082197E">
        <w:rPr>
          <w:lang w:val="en-US"/>
        </w:rPr>
        <w:t>:</w:t>
      </w:r>
      <w:r w:rsidRPr="00AD5C2C">
        <w:rPr>
          <w:lang w:val="en-US"/>
        </w:rPr>
        <w:t xml:space="preserve"> T</w:t>
      </w:r>
      <w:r w:rsidRPr="00AD5C2C">
        <w:rPr>
          <w:vertAlign w:val="subscript"/>
          <w:lang w:val="en-US"/>
        </w:rPr>
        <w:t>detect,NR_In</w:t>
      </w:r>
      <w:r>
        <w:rPr>
          <w:vertAlign w:val="subscript"/>
          <w:lang w:val="en-US"/>
        </w:rPr>
        <w:t>ter</w:t>
      </w:r>
      <w:r w:rsidRPr="00AD5C2C">
        <w:rPr>
          <w:vertAlign w:val="subscript"/>
          <w:lang w:val="en-US"/>
        </w:rPr>
        <w:t>_RedCap</w:t>
      </w:r>
      <w:r>
        <w:rPr>
          <w:vertAlign w:val="subscript"/>
          <w:lang w:val="en-US"/>
        </w:rPr>
        <w:t>_Relax</w:t>
      </w:r>
      <w:r w:rsidRPr="00AD5C2C">
        <w:rPr>
          <w:lang w:val="en-US"/>
        </w:rPr>
        <w:t>, T</w:t>
      </w:r>
      <w:r w:rsidRPr="00AD5C2C">
        <w:rPr>
          <w:vertAlign w:val="subscript"/>
          <w:lang w:val="en-US"/>
        </w:rPr>
        <w:t>measure,NR_In</w:t>
      </w:r>
      <w:r>
        <w:rPr>
          <w:vertAlign w:val="subscript"/>
          <w:lang w:val="en-US"/>
        </w:rPr>
        <w:t>ter</w:t>
      </w:r>
      <w:r w:rsidRPr="00AD5C2C">
        <w:rPr>
          <w:vertAlign w:val="subscript"/>
          <w:lang w:val="en-US"/>
        </w:rPr>
        <w:t>_RedCap</w:t>
      </w:r>
      <w:r>
        <w:rPr>
          <w:vertAlign w:val="subscript"/>
          <w:lang w:val="en-US"/>
        </w:rPr>
        <w:t>_Relax</w:t>
      </w:r>
      <w:r w:rsidRPr="00AD5C2C">
        <w:rPr>
          <w:lang w:val="en-US"/>
        </w:rPr>
        <w:t xml:space="preserve"> and T</w:t>
      </w:r>
      <w:r w:rsidRPr="00AD5C2C">
        <w:rPr>
          <w:vertAlign w:val="subscript"/>
          <w:lang w:val="en-US"/>
        </w:rPr>
        <w:t>evaluate,NR_Int</w:t>
      </w:r>
      <w:r>
        <w:rPr>
          <w:vertAlign w:val="subscript"/>
          <w:lang w:val="en-US"/>
        </w:rPr>
        <w:t>er</w:t>
      </w:r>
      <w:r w:rsidRPr="00AD5C2C">
        <w:rPr>
          <w:vertAlign w:val="subscript"/>
          <w:lang w:val="en-US"/>
        </w:rPr>
        <w:t>_RedCap</w:t>
      </w:r>
      <w:r>
        <w:rPr>
          <w:vertAlign w:val="subscript"/>
          <w:lang w:val="en-US"/>
        </w:rPr>
        <w:t>_Relax</w:t>
      </w:r>
      <w:r w:rsidRPr="00AD5C2C">
        <w:rPr>
          <w:lang w:val="en-US"/>
        </w:rPr>
        <w:t xml:space="preserve"> for UE configured with eDRX_IDLE cycle (Frequency range FR</w:t>
      </w:r>
      <w:r>
        <w:rPr>
          <w:lang w:val="en-US"/>
        </w:rPr>
        <w:t>2</w:t>
      </w:r>
      <w:r w:rsidRPr="00AD5C2C">
        <w:rPr>
          <w:lang w:val="en-US"/>
        </w:rPr>
        <w:t>)</w:t>
      </w:r>
      <w:r w:rsidRPr="007C6FE1">
        <w:rPr>
          <w:lang w:val="en-US"/>
        </w:rPr>
        <w:t xml:space="preserve"> </w:t>
      </w:r>
      <w:r>
        <w:rPr>
          <w:lang w:val="en-US"/>
        </w:rPr>
        <w:t>for eDRX_IDLE cycle larger than 10.24 s</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757"/>
        <w:gridCol w:w="977"/>
        <w:gridCol w:w="931"/>
        <w:gridCol w:w="2244"/>
        <w:gridCol w:w="179"/>
        <w:gridCol w:w="1528"/>
        <w:gridCol w:w="1621"/>
      </w:tblGrid>
      <w:tr w:rsidR="00F020D7" w:rsidRPr="00B85562" w14:paraId="3C5FF965" w14:textId="77777777" w:rsidTr="005145F6">
        <w:trPr>
          <w:trHeight w:val="1692"/>
        </w:trPr>
        <w:tc>
          <w:tcPr>
            <w:tcW w:w="639" w:type="pct"/>
            <w:hideMark/>
          </w:tcPr>
          <w:p w14:paraId="06C33F44" w14:textId="77777777" w:rsidR="00F020D7" w:rsidRPr="00581E8E" w:rsidRDefault="00F020D7" w:rsidP="001C3543">
            <w:pPr>
              <w:pStyle w:val="TAH"/>
              <w:rPr>
                <w:lang w:val="en-US" w:eastAsia="zh-CN"/>
              </w:rPr>
            </w:pPr>
            <w:r w:rsidRPr="00581E8E">
              <w:rPr>
                <w:lang w:eastAsia="zh-CN"/>
              </w:rPr>
              <w:t>eDRX_IDLE cycle length [s]</w:t>
            </w:r>
          </w:p>
        </w:tc>
        <w:tc>
          <w:tcPr>
            <w:tcW w:w="401" w:type="pct"/>
            <w:hideMark/>
          </w:tcPr>
          <w:p w14:paraId="0B5ED592" w14:textId="77777777" w:rsidR="00F020D7" w:rsidRPr="00581E8E" w:rsidRDefault="00F020D7" w:rsidP="001C3543">
            <w:pPr>
              <w:pStyle w:val="TAH"/>
              <w:rPr>
                <w:lang w:val="en-US" w:eastAsia="zh-CN"/>
              </w:rPr>
            </w:pPr>
            <w:r w:rsidRPr="00581E8E">
              <w:rPr>
                <w:lang w:eastAsia="zh-CN"/>
              </w:rPr>
              <w:t>DRX cycle length [s]</w:t>
            </w:r>
          </w:p>
        </w:tc>
        <w:tc>
          <w:tcPr>
            <w:tcW w:w="517" w:type="pct"/>
            <w:hideMark/>
          </w:tcPr>
          <w:p w14:paraId="5033E88D" w14:textId="77777777" w:rsidR="00F020D7" w:rsidRPr="00581E8E" w:rsidRDefault="00F020D7" w:rsidP="001C3543">
            <w:pPr>
              <w:pStyle w:val="TAH"/>
              <w:rPr>
                <w:lang w:val="en-US" w:eastAsia="zh-CN"/>
              </w:rPr>
            </w:pPr>
            <w:r w:rsidRPr="00581E8E">
              <w:rPr>
                <w:lang w:eastAsia="zh-CN"/>
              </w:rPr>
              <w:t>PTW length [s] (number of 1.28s periods)</w:t>
            </w:r>
          </w:p>
        </w:tc>
        <w:tc>
          <w:tcPr>
            <w:tcW w:w="493" w:type="pct"/>
          </w:tcPr>
          <w:p w14:paraId="726D50FF" w14:textId="77777777" w:rsidR="00F020D7" w:rsidRPr="00581E8E" w:rsidRDefault="00F020D7" w:rsidP="001C3543">
            <w:pPr>
              <w:pStyle w:val="TAH"/>
              <w:rPr>
                <w:lang w:eastAsia="zh-CN"/>
              </w:rPr>
            </w:pPr>
            <w:r w:rsidRPr="00581E8E">
              <w:rPr>
                <w:lang w:eastAsia="zh-CN"/>
              </w:rPr>
              <w:t>Scaling Factor (N1)</w:t>
            </w:r>
            <w:r w:rsidRPr="002615F9">
              <w:rPr>
                <w:vertAlign w:val="superscript"/>
              </w:rPr>
              <w:t xml:space="preserve"> Note1</w:t>
            </w:r>
          </w:p>
        </w:tc>
        <w:tc>
          <w:tcPr>
            <w:tcW w:w="1188" w:type="pct"/>
            <w:hideMark/>
          </w:tcPr>
          <w:p w14:paraId="66C9366D" w14:textId="77777777" w:rsidR="00F020D7" w:rsidRPr="00581E8E" w:rsidRDefault="00F020D7" w:rsidP="001C3543">
            <w:pPr>
              <w:pStyle w:val="TAH"/>
              <w:rPr>
                <w:lang w:val="en-US" w:eastAsia="zh-CN"/>
              </w:rPr>
            </w:pPr>
            <w:r w:rsidRPr="00581E8E">
              <w:rPr>
                <w:bCs/>
                <w:szCs w:val="18"/>
              </w:rPr>
              <w:t>T</w:t>
            </w:r>
            <w:r w:rsidRPr="00581E8E">
              <w:rPr>
                <w:bCs/>
                <w:szCs w:val="18"/>
                <w:vertAlign w:val="subscript"/>
              </w:rPr>
              <w:t>detect,NR_Inter_RedCap</w:t>
            </w:r>
            <w:r>
              <w:rPr>
                <w:bCs/>
                <w:szCs w:val="18"/>
                <w:vertAlign w:val="subscript"/>
              </w:rPr>
              <w:t>_Relax</w:t>
            </w:r>
            <w:r w:rsidRPr="00581E8E">
              <w:rPr>
                <w:szCs w:val="18"/>
                <w:lang w:eastAsia="zh-CN"/>
              </w:rPr>
              <w:t xml:space="preserve"> [s] (number of DRX cycles</w:t>
            </w:r>
            <w:r>
              <w:rPr>
                <w:bCs/>
                <w:szCs w:val="18"/>
                <w:lang w:eastAsia="zh-CN"/>
              </w:rPr>
              <w:t xml:space="preserve"> or eDRX cycles </w:t>
            </w:r>
            <w:r w:rsidRPr="00CD5296">
              <w:rPr>
                <w:bCs/>
                <w:szCs w:val="18"/>
                <w:vertAlign w:val="superscript"/>
                <w:lang w:eastAsia="zh-CN"/>
              </w:rPr>
              <w:t>Note 3</w:t>
            </w:r>
            <w:r w:rsidRPr="00581E8E">
              <w:rPr>
                <w:szCs w:val="18"/>
                <w:lang w:eastAsia="zh-CN"/>
              </w:rPr>
              <w:t>)</w:t>
            </w:r>
          </w:p>
        </w:tc>
        <w:tc>
          <w:tcPr>
            <w:tcW w:w="904" w:type="pct"/>
            <w:gridSpan w:val="2"/>
            <w:hideMark/>
          </w:tcPr>
          <w:p w14:paraId="5039F419" w14:textId="77777777" w:rsidR="00F020D7" w:rsidRPr="00581E8E" w:rsidRDefault="00F020D7" w:rsidP="001C3543">
            <w:pPr>
              <w:pStyle w:val="TAH"/>
              <w:rPr>
                <w:lang w:val="en-US" w:eastAsia="zh-CN"/>
              </w:rPr>
            </w:pPr>
            <w:r w:rsidRPr="00581E8E">
              <w:rPr>
                <w:bCs/>
                <w:szCs w:val="18"/>
              </w:rPr>
              <w:t>T</w:t>
            </w:r>
            <w:r w:rsidRPr="00581E8E">
              <w:rPr>
                <w:bCs/>
                <w:szCs w:val="18"/>
                <w:vertAlign w:val="subscript"/>
              </w:rPr>
              <w:t>measure,NR_Inter_RedCap</w:t>
            </w:r>
            <w:r>
              <w:rPr>
                <w:bCs/>
                <w:szCs w:val="18"/>
                <w:vertAlign w:val="subscript"/>
              </w:rPr>
              <w:t>_Relax</w:t>
            </w:r>
            <w:r w:rsidRPr="00581E8E">
              <w:rPr>
                <w:szCs w:val="18"/>
              </w:rPr>
              <w:t xml:space="preserve"> </w:t>
            </w:r>
            <w:r w:rsidRPr="00581E8E">
              <w:rPr>
                <w:szCs w:val="18"/>
                <w:lang w:eastAsia="zh-CN"/>
              </w:rPr>
              <w:t>[s] (number of DRX cycles</w:t>
            </w:r>
            <w:r>
              <w:rPr>
                <w:bCs/>
                <w:szCs w:val="18"/>
                <w:lang w:eastAsia="zh-CN"/>
              </w:rPr>
              <w:t xml:space="preserve"> or eDRX cycles </w:t>
            </w:r>
            <w:r w:rsidRPr="00CD5296">
              <w:rPr>
                <w:bCs/>
                <w:szCs w:val="18"/>
                <w:vertAlign w:val="superscript"/>
                <w:lang w:eastAsia="zh-CN"/>
              </w:rPr>
              <w:t>Note 3</w:t>
            </w:r>
            <w:r w:rsidRPr="00581E8E">
              <w:rPr>
                <w:szCs w:val="18"/>
                <w:lang w:eastAsia="zh-CN"/>
              </w:rPr>
              <w:t>)</w:t>
            </w:r>
          </w:p>
        </w:tc>
        <w:tc>
          <w:tcPr>
            <w:tcW w:w="858" w:type="pct"/>
            <w:hideMark/>
          </w:tcPr>
          <w:p w14:paraId="5A5650A0" w14:textId="77777777" w:rsidR="00F020D7" w:rsidRPr="00581E8E" w:rsidRDefault="00F020D7" w:rsidP="001C3543">
            <w:pPr>
              <w:pStyle w:val="TAH"/>
              <w:rPr>
                <w:lang w:val="en-US" w:eastAsia="zh-CN"/>
              </w:rPr>
            </w:pPr>
            <w:r w:rsidRPr="00581E8E">
              <w:rPr>
                <w:bCs/>
                <w:szCs w:val="18"/>
              </w:rPr>
              <w:t>T</w:t>
            </w:r>
            <w:r w:rsidRPr="00581E8E">
              <w:rPr>
                <w:bCs/>
                <w:szCs w:val="18"/>
                <w:vertAlign w:val="subscript"/>
              </w:rPr>
              <w:t>evaluate,NR_Inter_RedCap</w:t>
            </w:r>
            <w:r>
              <w:rPr>
                <w:bCs/>
                <w:szCs w:val="18"/>
                <w:vertAlign w:val="subscript"/>
              </w:rPr>
              <w:t>_Relax</w:t>
            </w:r>
            <w:r w:rsidRPr="00581E8E">
              <w:rPr>
                <w:szCs w:val="18"/>
                <w:vertAlign w:val="subscript"/>
                <w:lang w:val="en-US"/>
              </w:rPr>
              <w:t xml:space="preserve"> </w:t>
            </w:r>
            <w:r w:rsidRPr="00581E8E">
              <w:rPr>
                <w:szCs w:val="18"/>
                <w:lang w:eastAsia="zh-CN"/>
              </w:rPr>
              <w:t>[s] (number of DRX cycles</w:t>
            </w:r>
            <w:r>
              <w:rPr>
                <w:bCs/>
                <w:szCs w:val="18"/>
                <w:lang w:eastAsia="zh-CN"/>
              </w:rPr>
              <w:t xml:space="preserve"> or eDRX cycles </w:t>
            </w:r>
            <w:r w:rsidRPr="00CD5296">
              <w:rPr>
                <w:bCs/>
                <w:szCs w:val="18"/>
                <w:vertAlign w:val="superscript"/>
                <w:lang w:eastAsia="zh-CN"/>
              </w:rPr>
              <w:t>Note 3</w:t>
            </w:r>
            <w:r w:rsidRPr="00581E8E">
              <w:rPr>
                <w:szCs w:val="18"/>
                <w:lang w:eastAsia="zh-CN"/>
              </w:rPr>
              <w:t>)</w:t>
            </w:r>
          </w:p>
        </w:tc>
      </w:tr>
      <w:tr w:rsidR="00F020D7" w:rsidRPr="00B85562" w14:paraId="6BB6BC3F" w14:textId="77777777" w:rsidTr="005145F6">
        <w:trPr>
          <w:trHeight w:val="673"/>
        </w:trPr>
        <w:tc>
          <w:tcPr>
            <w:tcW w:w="639" w:type="pct"/>
            <w:vMerge w:val="restart"/>
            <w:hideMark/>
          </w:tcPr>
          <w:p w14:paraId="48EF676A" w14:textId="368E676A" w:rsidR="00F020D7" w:rsidRPr="00581E8E" w:rsidRDefault="00F020D7" w:rsidP="00E45A0C">
            <w:pPr>
              <w:pStyle w:val="TAL"/>
              <w:rPr>
                <w:lang w:val="en-US" w:eastAsia="zh-CN"/>
              </w:rPr>
            </w:pPr>
            <w:r w:rsidRPr="00581E8E">
              <w:rPr>
                <w:lang w:eastAsia="zh-CN"/>
              </w:rPr>
              <w:t>20.48 ≤</w:t>
            </w:r>
            <w:r w:rsidRPr="00CA7017">
              <w:t xml:space="preserve"> </w:t>
            </w:r>
            <w:r w:rsidRPr="00581E8E">
              <w:rPr>
                <w:lang w:eastAsia="zh-CN"/>
              </w:rPr>
              <w:t xml:space="preserve"> eDRX_IDLE cycle length ≤</w:t>
            </w:r>
            <w:r>
              <w:rPr>
                <w:lang w:eastAsia="zh-CN"/>
              </w:rPr>
              <w:t>[163.84]</w:t>
            </w:r>
          </w:p>
        </w:tc>
        <w:tc>
          <w:tcPr>
            <w:tcW w:w="401" w:type="pct"/>
            <w:hideMark/>
          </w:tcPr>
          <w:p w14:paraId="235F318A" w14:textId="77777777" w:rsidR="00F020D7" w:rsidRPr="00290C22" w:rsidRDefault="00F020D7" w:rsidP="00E45A0C">
            <w:pPr>
              <w:pStyle w:val="TAL"/>
              <w:rPr>
                <w:szCs w:val="18"/>
                <w:lang w:val="en-US" w:eastAsia="zh-CN"/>
              </w:rPr>
            </w:pPr>
            <w:r w:rsidRPr="00290C22">
              <w:rPr>
                <w:szCs w:val="18"/>
                <w:lang w:eastAsia="zh-CN"/>
              </w:rPr>
              <w:t>0.32</w:t>
            </w:r>
          </w:p>
        </w:tc>
        <w:tc>
          <w:tcPr>
            <w:tcW w:w="517" w:type="pct"/>
            <w:hideMark/>
          </w:tcPr>
          <w:p w14:paraId="15FC416B" w14:textId="10222421" w:rsidR="00F020D7" w:rsidRPr="00E80FA3" w:rsidRDefault="00F020D7" w:rsidP="00E45A0C">
            <w:pPr>
              <w:pStyle w:val="TAL"/>
              <w:rPr>
                <w:szCs w:val="18"/>
                <w:lang w:val="en-US" w:eastAsia="zh-CN"/>
              </w:rPr>
            </w:pPr>
            <w:r w:rsidRPr="00E83408">
              <w:rPr>
                <w:rFonts w:hint="eastAsia"/>
                <w:szCs w:val="18"/>
                <w:lang w:eastAsia="zh-CN"/>
              </w:rPr>
              <w:t>≥</w:t>
            </w:r>
            <w:r>
              <w:rPr>
                <w:szCs w:val="18"/>
                <w:lang w:eastAsia="zh-CN"/>
              </w:rPr>
              <w:t>30.72</w:t>
            </w:r>
            <w:r w:rsidRPr="00E83408">
              <w:rPr>
                <w:szCs w:val="18"/>
                <w:lang w:eastAsia="zh-CN"/>
              </w:rPr>
              <w:t xml:space="preserve"> (</w:t>
            </w:r>
            <w:r>
              <w:rPr>
                <w:szCs w:val="18"/>
                <w:lang w:eastAsia="zh-CN"/>
              </w:rPr>
              <w:t>2</w:t>
            </w:r>
            <w:r w:rsidRPr="00E83408">
              <w:rPr>
                <w:szCs w:val="18"/>
                <w:lang w:eastAsia="zh-CN"/>
              </w:rPr>
              <w:t>4)</w:t>
            </w:r>
          </w:p>
        </w:tc>
        <w:tc>
          <w:tcPr>
            <w:tcW w:w="493" w:type="pct"/>
          </w:tcPr>
          <w:p w14:paraId="096667E3" w14:textId="77777777" w:rsidR="00F020D7" w:rsidRPr="00471049" w:rsidRDefault="00F020D7" w:rsidP="00E45A0C">
            <w:pPr>
              <w:pStyle w:val="TAL"/>
              <w:rPr>
                <w:lang w:val="en-US" w:eastAsia="zh-CN"/>
              </w:rPr>
            </w:pPr>
            <w:r w:rsidRPr="00471049">
              <w:rPr>
                <w:lang w:val="en-US" w:eastAsia="zh-CN"/>
              </w:rPr>
              <w:t>8</w:t>
            </w:r>
          </w:p>
        </w:tc>
        <w:tc>
          <w:tcPr>
            <w:tcW w:w="1283" w:type="pct"/>
            <w:gridSpan w:val="2"/>
            <w:vMerge w:val="restart"/>
            <w:hideMark/>
          </w:tcPr>
          <w:p w14:paraId="38AC23EA" w14:textId="77777777" w:rsidR="00F020D7" w:rsidRPr="00290C22" w:rsidRDefault="00F020D7" w:rsidP="00E45A0C">
            <w:pPr>
              <w:pStyle w:val="TAL"/>
              <w:rPr>
                <w:rFonts w:cs="Arial"/>
                <w:lang w:val="sv-SE" w:eastAsia="zh-CN"/>
              </w:rPr>
            </w:pPr>
            <w:r w:rsidRPr="00806346">
              <w:rPr>
                <w:rFonts w:cs="Arial"/>
                <w:lang w:val="sv-SE" w:eastAsia="zh-CN"/>
              </w:rPr>
              <w:t xml:space="preserve">K3 x </w:t>
            </w:r>
            <m:oMath>
              <m:r>
                <w:rPr>
                  <w:rFonts w:ascii="Cambria Math" w:hAnsi="Cambria Math" w:cs="Arial"/>
                  <w:lang w:val="en-US" w:eastAsia="zh-CN"/>
                </w:rPr>
                <m:t>eDRX</m:t>
              </m:r>
              <m:r>
                <m:rPr>
                  <m:sty m:val="p"/>
                </m:rPr>
                <w:rPr>
                  <w:rFonts w:ascii="Cambria Math" w:hAnsi="Cambria Math" w:cs="Arial"/>
                  <w:lang w:val="sv-SE" w:eastAsia="zh-CN"/>
                </w:rPr>
                <m:t>_</m:t>
              </m:r>
              <m:r>
                <w:rPr>
                  <w:rFonts w:ascii="Cambria Math" w:hAnsi="Cambria Math" w:cs="Arial"/>
                  <w:lang w:val="en-US" w:eastAsia="zh-CN"/>
                </w:rPr>
                <m:t>cycl</m:t>
              </m:r>
              <m:r>
                <m:rPr>
                  <m:sty m:val="p"/>
                </m:rPr>
                <w:rPr>
                  <w:rFonts w:ascii="Cambria Math" w:hAnsi="Cambria Math" w:cs="Arial"/>
                  <w:lang w:val="sv-SE" w:eastAsia="zh-CN"/>
                </w:rPr>
                <m:t>e_</m:t>
              </m:r>
              <m:r>
                <w:rPr>
                  <w:rFonts w:ascii="Cambria Math" w:hAnsi="Cambria Math" w:cs="Arial"/>
                  <w:lang w:val="en-US" w:eastAsia="zh-CN"/>
                </w:rPr>
                <m:t>lengt</m:t>
              </m:r>
              <m:r>
                <w:rPr>
                  <w:rFonts w:ascii="Cambria Math" w:hAnsi="Cambria Math" w:cs="Arial"/>
                  <w:lang w:val="sv-SE" w:eastAsia="zh-CN"/>
                </w:rPr>
                <m:t>h×</m:t>
              </m:r>
              <m:d>
                <m:dPr>
                  <m:begChr m:val="⌈"/>
                  <m:endChr m:val="⌉"/>
                  <m:ctrlPr>
                    <w:rPr>
                      <w:rFonts w:ascii="Cambria Math" w:hAnsi="Cambria Math" w:cs="Arial"/>
                      <w:i/>
                      <w:lang w:val="en-US" w:eastAsia="zh-CN"/>
                    </w:rPr>
                  </m:ctrlPr>
                </m:dPr>
                <m:e>
                  <m:f>
                    <m:fPr>
                      <m:ctrlPr>
                        <w:rPr>
                          <w:rFonts w:ascii="Cambria Math" w:hAnsi="Cambria Math" w:cs="Arial"/>
                          <w:i/>
                          <w:lang w:val="en-US" w:eastAsia="zh-CN"/>
                        </w:rPr>
                      </m:ctrlPr>
                    </m:fPr>
                    <m:num>
                      <m:r>
                        <w:rPr>
                          <w:rFonts w:ascii="Cambria Math" w:hAnsi="Cambria Math" w:cs="Arial"/>
                          <w:lang w:val="sv-SE" w:eastAsia="zh-CN"/>
                        </w:rPr>
                        <m:t>23×</m:t>
                      </m:r>
                      <m:r>
                        <w:rPr>
                          <w:rFonts w:ascii="Cambria Math" w:hAnsi="Cambria Math" w:cs="Arial"/>
                          <w:lang w:val="en-US" w:eastAsia="zh-CN"/>
                        </w:rPr>
                        <m:t>N</m:t>
                      </m:r>
                      <m:r>
                        <w:rPr>
                          <w:rFonts w:ascii="Cambria Math" w:hAnsi="Cambria Math" w:cs="Arial"/>
                          <w:lang w:val="sv-SE" w:eastAsia="zh-CN"/>
                        </w:rPr>
                        <m:t>1</m:t>
                      </m:r>
                    </m:num>
                    <m:den>
                      <m:r>
                        <w:rPr>
                          <w:rFonts w:ascii="Cambria Math" w:hAnsi="Cambria Math" w:cs="Arial"/>
                          <w:lang w:val="en-US" w:eastAsia="zh-CN"/>
                        </w:rPr>
                        <m:t>PTW</m:t>
                      </m:r>
                      <m:r>
                        <w:rPr>
                          <w:rFonts w:ascii="Cambria Math" w:hAnsi="Cambria Math" w:cs="Arial"/>
                          <w:lang w:val="sv-SE" w:eastAsia="zh-CN"/>
                        </w:rPr>
                        <m:t>/</m:t>
                      </m:r>
                      <m:r>
                        <w:rPr>
                          <w:rFonts w:ascii="Cambria Math" w:hAnsi="Cambria Math" w:cs="Arial"/>
                          <w:lang w:val="en-US" w:eastAsia="zh-CN"/>
                        </w:rPr>
                        <m:t>DRX</m:t>
                      </m:r>
                      <m:r>
                        <w:rPr>
                          <w:rFonts w:ascii="Cambria Math" w:hAnsi="Cambria Math" w:cs="Arial"/>
                          <w:lang w:val="sv-SE" w:eastAsia="zh-CN"/>
                        </w:rPr>
                        <m:t>_</m:t>
                      </m:r>
                      <m:r>
                        <w:rPr>
                          <w:rFonts w:ascii="Cambria Math" w:hAnsi="Cambria Math" w:cs="Arial"/>
                          <w:lang w:val="en-US" w:eastAsia="zh-CN"/>
                        </w:rPr>
                        <m:t>cycle</m:t>
                      </m:r>
                      <m:r>
                        <w:rPr>
                          <w:rFonts w:ascii="Cambria Math" w:hAnsi="Cambria Math" w:cs="Arial"/>
                          <w:lang w:val="sv-SE" w:eastAsia="zh-CN"/>
                        </w:rPr>
                        <m:t>_</m:t>
                      </m:r>
                      <m:r>
                        <w:rPr>
                          <w:rFonts w:ascii="Cambria Math" w:hAnsi="Cambria Math" w:cs="Arial"/>
                          <w:lang w:val="en-US" w:eastAsia="zh-CN"/>
                        </w:rPr>
                        <m:t>lengt</m:t>
                      </m:r>
                      <m:r>
                        <w:rPr>
                          <w:rFonts w:ascii="Cambria Math" w:hAnsi="Cambria Math" w:cs="Arial"/>
                          <w:lang w:val="sv-SE" w:eastAsia="zh-CN"/>
                        </w:rPr>
                        <m:t>h</m:t>
                      </m:r>
                    </m:den>
                  </m:f>
                </m:e>
              </m:d>
            </m:oMath>
          </w:p>
          <w:p w14:paraId="3EEAA78B" w14:textId="77777777" w:rsidR="00F020D7" w:rsidRPr="00290C22" w:rsidRDefault="00F020D7" w:rsidP="00E45A0C">
            <w:pPr>
              <w:pStyle w:val="TAL"/>
              <w:rPr>
                <w:rFonts w:cs="Arial"/>
                <w:lang w:val="en-US" w:eastAsia="zh-CN"/>
              </w:rPr>
            </w:pPr>
            <w:r w:rsidRPr="00290C22">
              <w:rPr>
                <w:rFonts w:cs="Arial"/>
                <w:lang w:val="en-US" w:eastAsia="zh-CN"/>
              </w:rPr>
              <w:t>(23</w:t>
            </w:r>
            <w:r w:rsidRPr="00E659AD">
              <w:rPr>
                <w:rFonts w:cs="Arial"/>
                <w:lang w:eastAsia="zh-CN"/>
              </w:rPr>
              <w:t xml:space="preserve"> x N1</w:t>
            </w:r>
            <w:r w:rsidRPr="00806346">
              <w:rPr>
                <w:rFonts w:cs="Arial"/>
                <w:lang w:val="sv-SE"/>
              </w:rPr>
              <w:t xml:space="preserve"> x </w:t>
            </w:r>
            <w:r w:rsidRPr="00806346">
              <w:rPr>
                <w:rFonts w:cs="Arial"/>
                <w:lang w:val="sv-SE" w:eastAsia="zh-CN"/>
              </w:rPr>
              <w:t>K3</w:t>
            </w:r>
            <w:r w:rsidRPr="00290C22">
              <w:rPr>
                <w:rFonts w:cs="Arial"/>
                <w:lang w:val="en-US" w:eastAsia="zh-CN"/>
              </w:rPr>
              <w:t>)</w:t>
            </w:r>
          </w:p>
        </w:tc>
        <w:tc>
          <w:tcPr>
            <w:tcW w:w="809" w:type="pct"/>
            <w:hideMark/>
          </w:tcPr>
          <w:p w14:paraId="4B2A49AD" w14:textId="77777777" w:rsidR="00F020D7" w:rsidRPr="00290C22" w:rsidRDefault="00F020D7" w:rsidP="00E45A0C">
            <w:pPr>
              <w:pStyle w:val="TAL"/>
              <w:rPr>
                <w:lang w:val="en-US" w:eastAsia="zh-CN"/>
              </w:rPr>
            </w:pPr>
            <w:r w:rsidRPr="00E659AD">
              <w:rPr>
                <w:lang w:eastAsia="zh-CN"/>
              </w:rPr>
              <w:t>0.32 x N1</w:t>
            </w:r>
            <w:r w:rsidRPr="00806346">
              <w:rPr>
                <w:lang w:val="sv-SE"/>
              </w:rPr>
              <w:t xml:space="preserve"> x </w:t>
            </w:r>
            <w:r w:rsidRPr="00806346">
              <w:rPr>
                <w:lang w:val="sv-SE" w:eastAsia="zh-CN"/>
              </w:rPr>
              <w:t>K3</w:t>
            </w:r>
            <w:r w:rsidRPr="00290C22">
              <w:rPr>
                <w:lang w:eastAsia="zh-CN"/>
              </w:rPr>
              <w:t xml:space="preserve"> (1 x N1</w:t>
            </w:r>
            <w:r w:rsidRPr="00806346">
              <w:rPr>
                <w:lang w:val="sv-SE"/>
              </w:rPr>
              <w:t xml:space="preserve"> x </w:t>
            </w:r>
            <w:r w:rsidRPr="00806346">
              <w:rPr>
                <w:lang w:val="sv-SE" w:eastAsia="zh-CN"/>
              </w:rPr>
              <w:t>K3</w:t>
            </w:r>
            <w:r w:rsidRPr="00290C22">
              <w:rPr>
                <w:lang w:eastAsia="zh-CN"/>
              </w:rPr>
              <w:t>)</w:t>
            </w:r>
          </w:p>
        </w:tc>
        <w:tc>
          <w:tcPr>
            <w:tcW w:w="858" w:type="pct"/>
            <w:hideMark/>
          </w:tcPr>
          <w:p w14:paraId="305944F2" w14:textId="77777777" w:rsidR="00F020D7" w:rsidRPr="00290C22" w:rsidRDefault="00F020D7" w:rsidP="00E45A0C">
            <w:pPr>
              <w:pStyle w:val="TAL"/>
              <w:rPr>
                <w:lang w:val="en-US" w:eastAsia="zh-CN"/>
              </w:rPr>
            </w:pPr>
            <w:r w:rsidRPr="00E659AD">
              <w:rPr>
                <w:lang w:eastAsia="zh-CN"/>
              </w:rPr>
              <w:t>0.64 x N1</w:t>
            </w:r>
            <w:r w:rsidRPr="00806346">
              <w:rPr>
                <w:lang w:val="sv-SE"/>
              </w:rPr>
              <w:t xml:space="preserve"> x </w:t>
            </w:r>
            <w:r w:rsidRPr="00806346">
              <w:rPr>
                <w:lang w:val="sv-SE" w:eastAsia="zh-CN"/>
              </w:rPr>
              <w:t>K3</w:t>
            </w:r>
            <w:r w:rsidRPr="00290C22">
              <w:rPr>
                <w:lang w:eastAsia="zh-CN"/>
              </w:rPr>
              <w:t xml:space="preserve"> (2 x N1</w:t>
            </w:r>
            <w:r w:rsidRPr="00806346">
              <w:rPr>
                <w:lang w:val="sv-SE"/>
              </w:rPr>
              <w:t xml:space="preserve"> x </w:t>
            </w:r>
            <w:r w:rsidRPr="00806346">
              <w:rPr>
                <w:lang w:val="sv-SE" w:eastAsia="zh-CN"/>
              </w:rPr>
              <w:t>K3</w:t>
            </w:r>
            <w:r w:rsidRPr="00290C22">
              <w:rPr>
                <w:lang w:eastAsia="zh-CN"/>
              </w:rPr>
              <w:t>)</w:t>
            </w:r>
          </w:p>
        </w:tc>
      </w:tr>
      <w:tr w:rsidR="00F020D7" w:rsidRPr="00B85562" w14:paraId="17D711FE" w14:textId="77777777" w:rsidTr="005145F6">
        <w:trPr>
          <w:trHeight w:val="336"/>
        </w:trPr>
        <w:tc>
          <w:tcPr>
            <w:tcW w:w="639" w:type="pct"/>
            <w:vMerge/>
            <w:hideMark/>
          </w:tcPr>
          <w:p w14:paraId="5C60AFE6" w14:textId="77777777" w:rsidR="00F020D7" w:rsidRPr="00581E8E" w:rsidRDefault="00F020D7" w:rsidP="00E45A0C">
            <w:pPr>
              <w:pStyle w:val="TAL"/>
              <w:rPr>
                <w:lang w:val="en-US" w:eastAsia="zh-CN"/>
              </w:rPr>
            </w:pPr>
          </w:p>
        </w:tc>
        <w:tc>
          <w:tcPr>
            <w:tcW w:w="401" w:type="pct"/>
            <w:hideMark/>
          </w:tcPr>
          <w:p w14:paraId="044903DE" w14:textId="77777777" w:rsidR="00F020D7" w:rsidRPr="00290C22" w:rsidRDefault="00F020D7" w:rsidP="00E45A0C">
            <w:pPr>
              <w:pStyle w:val="TAL"/>
              <w:rPr>
                <w:szCs w:val="18"/>
                <w:lang w:val="en-US" w:eastAsia="zh-CN"/>
              </w:rPr>
            </w:pPr>
            <w:r w:rsidRPr="00290C22">
              <w:rPr>
                <w:szCs w:val="18"/>
                <w:lang w:eastAsia="zh-CN"/>
              </w:rPr>
              <w:t>0.64</w:t>
            </w:r>
          </w:p>
        </w:tc>
        <w:tc>
          <w:tcPr>
            <w:tcW w:w="517" w:type="pct"/>
            <w:hideMark/>
          </w:tcPr>
          <w:p w14:paraId="0026120D" w14:textId="4A455D74" w:rsidR="00F020D7" w:rsidRPr="00E83408" w:rsidRDefault="00F020D7" w:rsidP="00E45A0C">
            <w:pPr>
              <w:pStyle w:val="TAL"/>
              <w:rPr>
                <w:szCs w:val="18"/>
                <w:lang w:val="en-US" w:eastAsia="zh-CN"/>
              </w:rPr>
            </w:pPr>
            <w:r w:rsidRPr="00E83408">
              <w:rPr>
                <w:rFonts w:hint="eastAsia"/>
                <w:szCs w:val="18"/>
                <w:lang w:eastAsia="zh-CN"/>
              </w:rPr>
              <w:t>≥</w:t>
            </w:r>
            <w:r>
              <w:rPr>
                <w:szCs w:val="18"/>
                <w:lang w:eastAsia="zh-CN"/>
              </w:rPr>
              <w:t>38.4</w:t>
            </w:r>
            <w:r w:rsidRPr="00E83408">
              <w:rPr>
                <w:szCs w:val="18"/>
                <w:lang w:eastAsia="zh-CN"/>
              </w:rPr>
              <w:t xml:space="preserve"> (</w:t>
            </w:r>
            <w:r>
              <w:rPr>
                <w:szCs w:val="18"/>
                <w:lang w:eastAsia="zh-CN"/>
              </w:rPr>
              <w:t>30</w:t>
            </w:r>
            <w:r w:rsidRPr="00E83408">
              <w:rPr>
                <w:szCs w:val="18"/>
                <w:lang w:eastAsia="zh-CN"/>
              </w:rPr>
              <w:t>)</w:t>
            </w:r>
          </w:p>
        </w:tc>
        <w:tc>
          <w:tcPr>
            <w:tcW w:w="493" w:type="pct"/>
          </w:tcPr>
          <w:p w14:paraId="4F8F2B41" w14:textId="77777777" w:rsidR="00F020D7" w:rsidRPr="00E80FA3" w:rsidRDefault="00F020D7" w:rsidP="00E45A0C">
            <w:pPr>
              <w:pStyle w:val="TAL"/>
              <w:rPr>
                <w:szCs w:val="18"/>
                <w:lang w:val="en-US" w:eastAsia="zh-CN"/>
              </w:rPr>
            </w:pPr>
            <w:r w:rsidRPr="00E80FA3">
              <w:rPr>
                <w:szCs w:val="18"/>
                <w:lang w:val="en-US" w:eastAsia="zh-CN"/>
              </w:rPr>
              <w:t>5</w:t>
            </w:r>
          </w:p>
        </w:tc>
        <w:tc>
          <w:tcPr>
            <w:tcW w:w="1283" w:type="pct"/>
            <w:gridSpan w:val="2"/>
            <w:vMerge/>
            <w:hideMark/>
          </w:tcPr>
          <w:p w14:paraId="427B2EBD" w14:textId="77777777" w:rsidR="00F020D7" w:rsidRPr="005B7259" w:rsidRDefault="00F020D7" w:rsidP="005145F6">
            <w:pPr>
              <w:rPr>
                <w:rFonts w:ascii="Arial" w:hAnsi="Arial" w:cs="Arial"/>
                <w:sz w:val="18"/>
                <w:szCs w:val="18"/>
                <w:lang w:val="en-US" w:eastAsia="zh-CN"/>
              </w:rPr>
            </w:pPr>
          </w:p>
        </w:tc>
        <w:tc>
          <w:tcPr>
            <w:tcW w:w="809" w:type="pct"/>
            <w:hideMark/>
          </w:tcPr>
          <w:p w14:paraId="0ABCCD86" w14:textId="77777777" w:rsidR="00F020D7" w:rsidRPr="00290C22" w:rsidRDefault="00F020D7" w:rsidP="00E45A0C">
            <w:pPr>
              <w:pStyle w:val="TAL"/>
              <w:rPr>
                <w:lang w:val="en-US" w:eastAsia="zh-CN"/>
              </w:rPr>
            </w:pPr>
            <w:r w:rsidRPr="005B7259">
              <w:rPr>
                <w:lang w:eastAsia="zh-CN"/>
              </w:rPr>
              <w:t>0.64 x N1</w:t>
            </w:r>
            <w:r w:rsidRPr="00806346">
              <w:rPr>
                <w:lang w:val="sv-SE"/>
              </w:rPr>
              <w:t xml:space="preserve"> x </w:t>
            </w:r>
            <w:r w:rsidRPr="00806346">
              <w:rPr>
                <w:lang w:val="sv-SE" w:eastAsia="zh-CN"/>
              </w:rPr>
              <w:t>K3</w:t>
            </w:r>
            <w:r w:rsidRPr="00290C22">
              <w:rPr>
                <w:lang w:eastAsia="zh-CN"/>
              </w:rPr>
              <w:t xml:space="preserve"> (1 x N1</w:t>
            </w:r>
            <w:r w:rsidRPr="00806346">
              <w:rPr>
                <w:lang w:val="sv-SE"/>
              </w:rPr>
              <w:t xml:space="preserve"> x </w:t>
            </w:r>
            <w:r w:rsidRPr="00806346">
              <w:rPr>
                <w:lang w:val="sv-SE" w:eastAsia="zh-CN"/>
              </w:rPr>
              <w:t>K3</w:t>
            </w:r>
            <w:r w:rsidRPr="00290C22">
              <w:rPr>
                <w:lang w:eastAsia="zh-CN"/>
              </w:rPr>
              <w:t>)</w:t>
            </w:r>
          </w:p>
        </w:tc>
        <w:tc>
          <w:tcPr>
            <w:tcW w:w="858" w:type="pct"/>
            <w:hideMark/>
          </w:tcPr>
          <w:p w14:paraId="08253E63" w14:textId="77777777" w:rsidR="00F020D7" w:rsidRPr="00290C22" w:rsidRDefault="00F020D7" w:rsidP="00E45A0C">
            <w:pPr>
              <w:pStyle w:val="TAL"/>
              <w:rPr>
                <w:lang w:val="en-US" w:eastAsia="zh-CN"/>
              </w:rPr>
            </w:pPr>
            <w:r w:rsidRPr="00E659AD">
              <w:rPr>
                <w:lang w:eastAsia="zh-CN"/>
              </w:rPr>
              <w:t>1.28 x N1</w:t>
            </w:r>
            <w:r w:rsidRPr="00806346">
              <w:rPr>
                <w:lang w:val="sv-SE"/>
              </w:rPr>
              <w:t xml:space="preserve"> x </w:t>
            </w:r>
            <w:r w:rsidRPr="00806346">
              <w:rPr>
                <w:lang w:val="sv-SE" w:eastAsia="zh-CN"/>
              </w:rPr>
              <w:t>K3</w:t>
            </w:r>
            <w:r w:rsidRPr="00290C22">
              <w:rPr>
                <w:lang w:eastAsia="zh-CN"/>
              </w:rPr>
              <w:t xml:space="preserve"> (2 x N1</w:t>
            </w:r>
            <w:r w:rsidRPr="00806346">
              <w:rPr>
                <w:lang w:val="sv-SE"/>
              </w:rPr>
              <w:t xml:space="preserve"> x </w:t>
            </w:r>
            <w:r w:rsidRPr="00806346">
              <w:rPr>
                <w:lang w:val="sv-SE" w:eastAsia="zh-CN"/>
              </w:rPr>
              <w:t>K3</w:t>
            </w:r>
            <w:r w:rsidRPr="00290C22">
              <w:rPr>
                <w:lang w:eastAsia="zh-CN"/>
              </w:rPr>
              <w:t>)</w:t>
            </w:r>
          </w:p>
        </w:tc>
      </w:tr>
      <w:tr w:rsidR="00E45A0C" w:rsidRPr="00B85562" w14:paraId="2AF2579E" w14:textId="77777777" w:rsidTr="005145F6">
        <w:trPr>
          <w:trHeight w:val="336"/>
        </w:trPr>
        <w:tc>
          <w:tcPr>
            <w:tcW w:w="639" w:type="pct"/>
            <w:vMerge/>
            <w:hideMark/>
          </w:tcPr>
          <w:p w14:paraId="30D9EF54" w14:textId="77777777" w:rsidR="00E45A0C" w:rsidRPr="00581E8E" w:rsidRDefault="00E45A0C" w:rsidP="00E45A0C">
            <w:pPr>
              <w:pStyle w:val="TAL"/>
              <w:rPr>
                <w:lang w:val="en-US" w:eastAsia="zh-CN"/>
              </w:rPr>
            </w:pPr>
          </w:p>
        </w:tc>
        <w:tc>
          <w:tcPr>
            <w:tcW w:w="401" w:type="pct"/>
            <w:hideMark/>
          </w:tcPr>
          <w:p w14:paraId="33BF29E1" w14:textId="77777777" w:rsidR="00E45A0C" w:rsidRPr="00290C22" w:rsidRDefault="00E45A0C" w:rsidP="00E45A0C">
            <w:pPr>
              <w:pStyle w:val="TAL"/>
              <w:rPr>
                <w:szCs w:val="18"/>
                <w:lang w:val="en-US" w:eastAsia="zh-CN"/>
              </w:rPr>
            </w:pPr>
            <w:r w:rsidRPr="00290C22">
              <w:rPr>
                <w:szCs w:val="18"/>
                <w:lang w:eastAsia="zh-CN"/>
              </w:rPr>
              <w:t>1.28</w:t>
            </w:r>
          </w:p>
        </w:tc>
        <w:tc>
          <w:tcPr>
            <w:tcW w:w="517" w:type="pct"/>
            <w:hideMark/>
          </w:tcPr>
          <w:p w14:paraId="47B677B3" w14:textId="6505DEF0" w:rsidR="00E45A0C" w:rsidRPr="00E80FA3" w:rsidRDefault="00E45A0C" w:rsidP="00E45A0C">
            <w:pPr>
              <w:pStyle w:val="TAL"/>
              <w:rPr>
                <w:szCs w:val="18"/>
                <w:lang w:val="en-US" w:eastAsia="zh-CN"/>
              </w:rPr>
            </w:pPr>
            <w:r>
              <w:rPr>
                <w:szCs w:val="18"/>
                <w:lang w:eastAsia="zh-CN"/>
              </w:rPr>
              <w:t>40.96</w:t>
            </w:r>
            <w:r w:rsidRPr="00E83408">
              <w:rPr>
                <w:szCs w:val="18"/>
                <w:lang w:eastAsia="zh-CN"/>
              </w:rPr>
              <w:t xml:space="preserve"> (</w:t>
            </w:r>
            <w:r>
              <w:rPr>
                <w:szCs w:val="18"/>
                <w:lang w:eastAsia="zh-CN"/>
              </w:rPr>
              <w:t>32</w:t>
            </w:r>
            <w:r w:rsidRPr="00E83408">
              <w:rPr>
                <w:szCs w:val="18"/>
                <w:lang w:eastAsia="zh-CN"/>
              </w:rPr>
              <w:t>)</w:t>
            </w:r>
          </w:p>
        </w:tc>
        <w:tc>
          <w:tcPr>
            <w:tcW w:w="493" w:type="pct"/>
          </w:tcPr>
          <w:p w14:paraId="3E1AFB7F" w14:textId="77777777" w:rsidR="00E45A0C" w:rsidRPr="00471049" w:rsidRDefault="00E45A0C" w:rsidP="00E45A0C">
            <w:pPr>
              <w:pStyle w:val="TAL"/>
              <w:rPr>
                <w:szCs w:val="18"/>
                <w:lang w:val="en-US" w:eastAsia="zh-CN"/>
              </w:rPr>
            </w:pPr>
            <w:r w:rsidRPr="00471049">
              <w:rPr>
                <w:szCs w:val="18"/>
                <w:lang w:val="en-US" w:eastAsia="zh-CN"/>
              </w:rPr>
              <w:t>4</w:t>
            </w:r>
          </w:p>
        </w:tc>
        <w:tc>
          <w:tcPr>
            <w:tcW w:w="1283" w:type="pct"/>
            <w:gridSpan w:val="2"/>
            <w:vMerge/>
            <w:hideMark/>
          </w:tcPr>
          <w:p w14:paraId="2C2F1F70" w14:textId="77777777" w:rsidR="00E45A0C" w:rsidRPr="005B7259" w:rsidRDefault="00E45A0C" w:rsidP="00E45A0C">
            <w:pPr>
              <w:rPr>
                <w:rFonts w:ascii="Arial" w:hAnsi="Arial" w:cs="Arial"/>
                <w:sz w:val="18"/>
                <w:szCs w:val="18"/>
                <w:lang w:val="en-US" w:eastAsia="zh-CN"/>
              </w:rPr>
            </w:pPr>
          </w:p>
        </w:tc>
        <w:tc>
          <w:tcPr>
            <w:tcW w:w="809" w:type="pct"/>
            <w:hideMark/>
          </w:tcPr>
          <w:p w14:paraId="26D5DF89" w14:textId="77777777" w:rsidR="00E45A0C" w:rsidRPr="00290C22" w:rsidRDefault="00E45A0C" w:rsidP="00E45A0C">
            <w:pPr>
              <w:pStyle w:val="TAL"/>
              <w:rPr>
                <w:lang w:val="en-US" w:eastAsia="zh-CN"/>
              </w:rPr>
            </w:pPr>
            <w:r w:rsidRPr="005B7259">
              <w:rPr>
                <w:lang w:eastAsia="zh-CN"/>
              </w:rPr>
              <w:t>1.28 x N1</w:t>
            </w:r>
            <w:r w:rsidRPr="00806346">
              <w:rPr>
                <w:lang w:val="sv-SE"/>
              </w:rPr>
              <w:t xml:space="preserve"> x </w:t>
            </w:r>
            <w:r w:rsidRPr="00806346">
              <w:rPr>
                <w:lang w:val="sv-SE" w:eastAsia="zh-CN"/>
              </w:rPr>
              <w:t>K3</w:t>
            </w:r>
            <w:r w:rsidRPr="00290C22">
              <w:rPr>
                <w:lang w:eastAsia="zh-CN"/>
              </w:rPr>
              <w:t xml:space="preserve"> (1 x N1</w:t>
            </w:r>
            <w:r w:rsidRPr="00806346">
              <w:rPr>
                <w:lang w:val="sv-SE"/>
              </w:rPr>
              <w:t xml:space="preserve"> x </w:t>
            </w:r>
            <w:r w:rsidRPr="00806346">
              <w:rPr>
                <w:lang w:val="sv-SE" w:eastAsia="zh-CN"/>
              </w:rPr>
              <w:t>K3</w:t>
            </w:r>
            <w:r w:rsidRPr="00290C22">
              <w:rPr>
                <w:lang w:eastAsia="zh-CN"/>
              </w:rPr>
              <w:t>)</w:t>
            </w:r>
          </w:p>
        </w:tc>
        <w:tc>
          <w:tcPr>
            <w:tcW w:w="858" w:type="pct"/>
            <w:hideMark/>
          </w:tcPr>
          <w:p w14:paraId="75ED480F" w14:textId="77777777" w:rsidR="00E45A0C" w:rsidRPr="00290C22" w:rsidRDefault="00E45A0C" w:rsidP="00E45A0C">
            <w:pPr>
              <w:pStyle w:val="TAL"/>
              <w:rPr>
                <w:lang w:val="en-US" w:eastAsia="zh-CN"/>
              </w:rPr>
            </w:pPr>
            <w:r w:rsidRPr="00E659AD">
              <w:rPr>
                <w:lang w:eastAsia="zh-CN"/>
              </w:rPr>
              <w:t>2.56 x N1</w:t>
            </w:r>
            <w:r w:rsidRPr="00806346">
              <w:rPr>
                <w:lang w:val="sv-SE"/>
              </w:rPr>
              <w:t xml:space="preserve"> x </w:t>
            </w:r>
            <w:r w:rsidRPr="00806346">
              <w:rPr>
                <w:lang w:val="sv-SE" w:eastAsia="zh-CN"/>
              </w:rPr>
              <w:t>K3</w:t>
            </w:r>
            <w:r w:rsidRPr="00290C22">
              <w:rPr>
                <w:lang w:eastAsia="zh-CN"/>
              </w:rPr>
              <w:t xml:space="preserve"> (2 x N1</w:t>
            </w:r>
            <w:r w:rsidRPr="00806346">
              <w:rPr>
                <w:lang w:val="sv-SE"/>
              </w:rPr>
              <w:t xml:space="preserve"> x </w:t>
            </w:r>
            <w:r w:rsidRPr="00806346">
              <w:rPr>
                <w:lang w:val="sv-SE" w:eastAsia="zh-CN"/>
              </w:rPr>
              <w:t>K3</w:t>
            </w:r>
            <w:r w:rsidRPr="00290C22">
              <w:rPr>
                <w:lang w:eastAsia="zh-CN"/>
              </w:rPr>
              <w:t>)</w:t>
            </w:r>
          </w:p>
        </w:tc>
      </w:tr>
      <w:tr w:rsidR="00697B51" w:rsidRPr="00B85562" w14:paraId="315C57F4" w14:textId="77777777" w:rsidTr="005145F6">
        <w:trPr>
          <w:trHeight w:val="336"/>
        </w:trPr>
        <w:tc>
          <w:tcPr>
            <w:tcW w:w="639" w:type="pct"/>
            <w:vMerge/>
            <w:hideMark/>
          </w:tcPr>
          <w:p w14:paraId="2E181F18" w14:textId="77777777" w:rsidR="00697B51" w:rsidRPr="00581E8E" w:rsidRDefault="00697B51" w:rsidP="00697B51">
            <w:pPr>
              <w:pStyle w:val="TAL"/>
              <w:rPr>
                <w:lang w:val="en-US" w:eastAsia="zh-CN"/>
              </w:rPr>
            </w:pPr>
          </w:p>
        </w:tc>
        <w:tc>
          <w:tcPr>
            <w:tcW w:w="401" w:type="pct"/>
            <w:hideMark/>
          </w:tcPr>
          <w:p w14:paraId="6E6D9543" w14:textId="77777777" w:rsidR="00697B51" w:rsidRPr="00290C22" w:rsidRDefault="00697B51" w:rsidP="00697B51">
            <w:pPr>
              <w:pStyle w:val="TAL"/>
              <w:rPr>
                <w:szCs w:val="18"/>
                <w:lang w:val="en-US" w:eastAsia="zh-CN"/>
              </w:rPr>
            </w:pPr>
            <w:r w:rsidRPr="00290C22">
              <w:rPr>
                <w:szCs w:val="18"/>
                <w:lang w:eastAsia="zh-CN"/>
              </w:rPr>
              <w:t>2.56</w:t>
            </w:r>
          </w:p>
        </w:tc>
        <w:tc>
          <w:tcPr>
            <w:tcW w:w="517" w:type="pct"/>
            <w:hideMark/>
          </w:tcPr>
          <w:p w14:paraId="7D04185B" w14:textId="1D47B7E4" w:rsidR="00697B51" w:rsidRPr="00E80FA3" w:rsidRDefault="00697B51" w:rsidP="00697B51">
            <w:pPr>
              <w:pStyle w:val="TAL"/>
              <w:rPr>
                <w:szCs w:val="18"/>
                <w:lang w:val="en-US" w:eastAsia="zh-CN"/>
              </w:rPr>
            </w:pPr>
            <w:r w:rsidRPr="00727001">
              <w:rPr>
                <w:szCs w:val="18"/>
                <w:lang w:eastAsia="zh-CN"/>
              </w:rPr>
              <w:t>40.96 (32)</w:t>
            </w:r>
          </w:p>
        </w:tc>
        <w:tc>
          <w:tcPr>
            <w:tcW w:w="493" w:type="pct"/>
          </w:tcPr>
          <w:p w14:paraId="2127665A" w14:textId="77777777" w:rsidR="00697B51" w:rsidRPr="002707ED" w:rsidRDefault="00697B51" w:rsidP="00697B51">
            <w:pPr>
              <w:pStyle w:val="TAL"/>
              <w:rPr>
                <w:szCs w:val="18"/>
                <w:lang w:val="en-US" w:eastAsia="zh-CN"/>
              </w:rPr>
            </w:pPr>
            <w:r w:rsidRPr="00471049">
              <w:rPr>
                <w:szCs w:val="18"/>
                <w:lang w:val="en-US" w:eastAsia="zh-CN"/>
              </w:rPr>
              <w:t>3</w:t>
            </w:r>
          </w:p>
        </w:tc>
        <w:tc>
          <w:tcPr>
            <w:tcW w:w="1283" w:type="pct"/>
            <w:gridSpan w:val="2"/>
            <w:vMerge/>
            <w:hideMark/>
          </w:tcPr>
          <w:p w14:paraId="7F8E57F1" w14:textId="77777777" w:rsidR="00697B51" w:rsidRPr="005B7259" w:rsidRDefault="00697B51" w:rsidP="00697B51">
            <w:pPr>
              <w:rPr>
                <w:rFonts w:ascii="Arial" w:hAnsi="Arial" w:cs="Arial"/>
                <w:sz w:val="18"/>
                <w:szCs w:val="18"/>
                <w:lang w:val="en-US" w:eastAsia="zh-CN"/>
              </w:rPr>
            </w:pPr>
          </w:p>
        </w:tc>
        <w:tc>
          <w:tcPr>
            <w:tcW w:w="809" w:type="pct"/>
            <w:hideMark/>
          </w:tcPr>
          <w:p w14:paraId="43EDC99E" w14:textId="77777777" w:rsidR="00697B51" w:rsidRDefault="00697B51" w:rsidP="00697B51">
            <w:pPr>
              <w:pStyle w:val="TAL"/>
              <w:rPr>
                <w:lang w:eastAsia="zh-CN"/>
              </w:rPr>
            </w:pPr>
            <w:r w:rsidRPr="00727001">
              <w:rPr>
                <w:lang w:eastAsia="zh-CN"/>
              </w:rPr>
              <w:t>20.48</w:t>
            </w:r>
          </w:p>
          <w:p w14:paraId="12D0C32C" w14:textId="145C9754" w:rsidR="00697B51" w:rsidRPr="00290C22" w:rsidRDefault="00697B51" w:rsidP="00697B51">
            <w:pPr>
              <w:pStyle w:val="TAL"/>
              <w:rPr>
                <w:lang w:val="en-US" w:eastAsia="zh-CN"/>
              </w:rPr>
            </w:pPr>
            <w:r>
              <w:rPr>
                <w:lang w:eastAsia="zh-CN"/>
              </w:rPr>
              <w:t>(8)</w:t>
            </w:r>
          </w:p>
        </w:tc>
        <w:tc>
          <w:tcPr>
            <w:tcW w:w="858" w:type="pct"/>
            <w:hideMark/>
          </w:tcPr>
          <w:p w14:paraId="393FE996" w14:textId="77777777" w:rsidR="00697B51" w:rsidRDefault="00697B51" w:rsidP="00697B51">
            <w:pPr>
              <w:pStyle w:val="TAL"/>
              <w:rPr>
                <w:lang w:eastAsia="zh-CN"/>
              </w:rPr>
            </w:pPr>
            <w:r w:rsidRPr="00727001">
              <w:rPr>
                <w:lang w:eastAsia="zh-CN"/>
              </w:rPr>
              <w:t>40.96</w:t>
            </w:r>
          </w:p>
          <w:p w14:paraId="6DDC23F5" w14:textId="63F0FECD" w:rsidR="00697B51" w:rsidRPr="00290C22" w:rsidRDefault="00697B51" w:rsidP="00697B51">
            <w:pPr>
              <w:pStyle w:val="TAL"/>
              <w:rPr>
                <w:lang w:val="en-US" w:eastAsia="zh-CN"/>
              </w:rPr>
            </w:pPr>
            <w:r>
              <w:rPr>
                <w:lang w:eastAsia="zh-CN"/>
              </w:rPr>
              <w:t>(16)</w:t>
            </w:r>
          </w:p>
        </w:tc>
      </w:tr>
      <w:tr w:rsidR="00F020D7" w:rsidRPr="00B85562" w14:paraId="5AA7735C" w14:textId="77777777" w:rsidTr="005145F6">
        <w:trPr>
          <w:trHeight w:val="336"/>
        </w:trPr>
        <w:tc>
          <w:tcPr>
            <w:tcW w:w="5000" w:type="pct"/>
            <w:gridSpan w:val="8"/>
          </w:tcPr>
          <w:p w14:paraId="3EA6FF7C" w14:textId="77777777" w:rsidR="00F020D7" w:rsidRPr="009C5807" w:rsidRDefault="00F020D7" w:rsidP="005145F6">
            <w:pPr>
              <w:pStyle w:val="TAN"/>
              <w:rPr>
                <w:snapToGrid w:val="0"/>
                <w:lang w:eastAsia="zh-CN"/>
              </w:rPr>
            </w:pPr>
            <w:r w:rsidRPr="002615F9">
              <w:rPr>
                <w:snapToGrid w:val="0"/>
                <w:lang w:eastAsia="zh-CN"/>
              </w:rPr>
              <w:t>N</w:t>
            </w:r>
            <w:r>
              <w:rPr>
                <w:snapToGrid w:val="0"/>
                <w:lang w:eastAsia="zh-CN"/>
              </w:rPr>
              <w:t>ote</w:t>
            </w:r>
            <w:r w:rsidRPr="009C5807">
              <w:rPr>
                <w:snapToGrid w:val="0"/>
                <w:lang w:eastAsia="zh-CN"/>
              </w:rPr>
              <w:t xml:space="preserve"> 1</w:t>
            </w:r>
            <w:r w:rsidRPr="009C5807">
              <w:t>:</w:t>
            </w:r>
            <w:r>
              <w:t xml:space="preserve"> </w:t>
            </w:r>
            <w:r>
              <w:tab/>
            </w:r>
            <w:r w:rsidRPr="0082197E">
              <w:rPr>
                <w:lang w:eastAsia="zh-CN"/>
              </w:rPr>
              <w:t xml:space="preserve">Applies for RedCap UE of all </w:t>
            </w:r>
            <w:r>
              <w:rPr>
                <w:lang w:eastAsia="zh-CN"/>
              </w:rPr>
              <w:t xml:space="preserve">supporting FR2 </w:t>
            </w:r>
            <w:r w:rsidRPr="0082197E">
              <w:rPr>
                <w:lang w:eastAsia="zh-CN"/>
              </w:rPr>
              <w:t>power class</w:t>
            </w:r>
            <w:r>
              <w:rPr>
                <w:lang w:eastAsia="zh-CN"/>
              </w:rPr>
              <w:t>es</w:t>
            </w:r>
            <w:r w:rsidRPr="009C5807">
              <w:t>.</w:t>
            </w:r>
          </w:p>
          <w:p w14:paraId="27A41BB4" w14:textId="77777777" w:rsidR="00F020D7" w:rsidRPr="00047B96" w:rsidRDefault="00F020D7" w:rsidP="005145F6">
            <w:pPr>
              <w:pStyle w:val="TAN"/>
              <w:rPr>
                <w:snapToGrid w:val="0"/>
                <w:lang w:eastAsia="zh-CN"/>
              </w:rPr>
            </w:pPr>
            <w:r w:rsidRPr="00047B96">
              <w:rPr>
                <w:snapToGrid w:val="0"/>
                <w:lang w:eastAsia="zh-CN"/>
              </w:rPr>
              <w:t>N</w:t>
            </w:r>
            <w:r>
              <w:rPr>
                <w:snapToGrid w:val="0"/>
                <w:lang w:eastAsia="zh-CN"/>
              </w:rPr>
              <w:t>ote</w:t>
            </w:r>
            <w:r w:rsidRPr="00047B96">
              <w:rPr>
                <w:snapToGrid w:val="0"/>
                <w:lang w:eastAsia="zh-CN"/>
              </w:rPr>
              <w:t xml:space="preserve"> </w:t>
            </w:r>
            <w:r>
              <w:rPr>
                <w:snapToGrid w:val="0"/>
                <w:lang w:eastAsia="zh-CN"/>
              </w:rPr>
              <w:t>2</w:t>
            </w:r>
            <w:r w:rsidRPr="00047B96">
              <w:rPr>
                <w:snapToGrid w:val="0"/>
                <w:lang w:eastAsia="zh-CN"/>
              </w:rPr>
              <w:t xml:space="preserve">: </w:t>
            </w:r>
            <w:r>
              <w:rPr>
                <w:snapToGrid w:val="0"/>
                <w:lang w:eastAsia="zh-CN"/>
              </w:rPr>
              <w:tab/>
            </w:r>
            <w:r w:rsidRPr="00047B96">
              <w:rPr>
                <w:snapToGrid w:val="0"/>
                <w:lang w:eastAsia="zh-CN"/>
              </w:rPr>
              <w:t>The number of DRX cycles in this table is given for the DRX cycles within PTWs.</w:t>
            </w:r>
          </w:p>
          <w:p w14:paraId="0EBB4CC4" w14:textId="77777777" w:rsidR="00697B51" w:rsidRPr="00047B96" w:rsidRDefault="00697B51" w:rsidP="00697B51">
            <w:pPr>
              <w:pStyle w:val="TAN"/>
              <w:rPr>
                <w:snapToGrid w:val="0"/>
                <w:lang w:eastAsia="zh-CN"/>
              </w:rPr>
            </w:pPr>
            <w:r>
              <w:rPr>
                <w:snapToGrid w:val="0"/>
                <w:lang w:eastAsia="zh-CN"/>
              </w:rPr>
              <w:t>Note</w:t>
            </w:r>
            <w:r w:rsidRPr="00047B96">
              <w:rPr>
                <w:snapToGrid w:val="0"/>
                <w:lang w:eastAsia="zh-CN"/>
              </w:rPr>
              <w:t xml:space="preserve"> </w:t>
            </w:r>
            <w:r>
              <w:rPr>
                <w:snapToGrid w:val="0"/>
                <w:lang w:eastAsia="zh-CN"/>
              </w:rPr>
              <w:t>3</w:t>
            </w:r>
            <w:r w:rsidRPr="00047B96">
              <w:rPr>
                <w:snapToGrid w:val="0"/>
                <w:lang w:eastAsia="zh-CN"/>
              </w:rPr>
              <w:t xml:space="preserve">: </w:t>
            </w:r>
            <w:r>
              <w:rPr>
                <w:snapToGrid w:val="0"/>
                <w:lang w:eastAsia="zh-CN"/>
              </w:rPr>
              <w:tab/>
            </w:r>
            <w:r w:rsidRPr="00047B96">
              <w:rPr>
                <w:snapToGrid w:val="0"/>
                <w:lang w:eastAsia="zh-CN"/>
              </w:rPr>
              <w:t>The eDRX_IDLE cycle lengths are as specified in Section 10.5.5.32 of TS 24.008 [34].</w:t>
            </w:r>
          </w:p>
          <w:p w14:paraId="4C405EC8" w14:textId="427CA2EA" w:rsidR="00F020D7" w:rsidRDefault="00697B51" w:rsidP="00697B51">
            <w:pPr>
              <w:pStyle w:val="TAN"/>
              <w:rPr>
                <w:rFonts w:cs="Arial"/>
                <w:iCs/>
              </w:rPr>
            </w:pPr>
            <w:r>
              <w:rPr>
                <w:snapToGrid w:val="0"/>
                <w:lang w:eastAsia="zh-CN"/>
              </w:rPr>
              <w:t>Note</w:t>
            </w:r>
            <w:r w:rsidRPr="00047B96">
              <w:rPr>
                <w:snapToGrid w:val="0"/>
                <w:lang w:eastAsia="zh-CN"/>
              </w:rPr>
              <w:t xml:space="preserve"> </w:t>
            </w:r>
            <w:r>
              <w:rPr>
                <w:snapToGrid w:val="0"/>
              </w:rPr>
              <w:t>4</w:t>
            </w:r>
            <w:r w:rsidRPr="00691C10">
              <w:rPr>
                <w:rFonts w:cs="Arial"/>
              </w:rPr>
              <w:t>:</w:t>
            </w:r>
            <w:r w:rsidRPr="009C5807">
              <w:rPr>
                <w:lang w:val="en-US"/>
              </w:rPr>
              <w:t xml:space="preserve"> </w:t>
            </w:r>
            <w:r>
              <w:rPr>
                <w:lang w:val="en-US"/>
              </w:rPr>
              <w:tab/>
            </w:r>
            <w:r>
              <w:rPr>
                <w:rFonts w:cs="Arial"/>
              </w:rPr>
              <w:t xml:space="preserve">The lower bound of </w:t>
            </w:r>
            <w:r w:rsidRPr="007D1E39">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evaluate,NR_Inter_RedCap_Relax</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Pr>
                <w:rFonts w:cs="Arial"/>
                <w:iCs/>
              </w:rPr>
              <w:t>.</w:t>
            </w:r>
          </w:p>
          <w:p w14:paraId="5C80F798" w14:textId="1902B5FF" w:rsidR="00F020D7" w:rsidRPr="00250981" w:rsidRDefault="00E45A0C" w:rsidP="005145F6">
            <w:pPr>
              <w:pStyle w:val="TAN"/>
              <w:rPr>
                <w:rFonts w:cs="Arial"/>
                <w:szCs w:val="18"/>
                <w:lang w:eastAsia="zh-CN"/>
              </w:rPr>
            </w:pPr>
            <w:r w:rsidRPr="00250981">
              <w:rPr>
                <w:snapToGrid w:val="0"/>
                <w:lang w:eastAsia="zh-CN"/>
              </w:rPr>
              <w:t xml:space="preserve">Note </w:t>
            </w:r>
            <w:r>
              <w:rPr>
                <w:snapToGrid w:val="0"/>
                <w:lang w:eastAsia="zh-CN"/>
              </w:rPr>
              <w:t>5</w:t>
            </w:r>
            <w:r w:rsidRPr="00250981">
              <w:rPr>
                <w:snapToGrid w:val="0"/>
                <w:lang w:eastAsia="zh-CN"/>
              </w:rPr>
              <w:t>:</w:t>
            </w:r>
            <w:r w:rsidRPr="00250981">
              <w:rPr>
                <w:snapToGrid w:val="0"/>
                <w:lang w:eastAsia="zh-CN"/>
              </w:rPr>
              <w:tab/>
            </w:r>
            <w:r w:rsidRPr="00727001">
              <w:rPr>
                <w:rFonts w:eastAsia="Malgun Gothic"/>
                <w:snapToGrid w:val="0"/>
                <w:lang w:eastAsia="zh-CN"/>
              </w:rPr>
              <w:t xml:space="preserve">For DRX cycle length is 0.32s, 0.64s and 2.56s, </w:t>
            </w:r>
            <w:r w:rsidRPr="00727001">
              <w:rPr>
                <w:snapToGrid w:val="0"/>
                <w:lang w:eastAsia="zh-CN"/>
              </w:rPr>
              <w:t>K3 = 6 is the measurement relaxation factor applicable for UE fulfilling the stationaryMobilityEvaluation [2] criterion.</w:t>
            </w:r>
            <w:r w:rsidRPr="00727001">
              <w:rPr>
                <w:rFonts w:eastAsia="Malgun Gothic"/>
                <w:snapToGrid w:val="0"/>
                <w:lang w:eastAsia="zh-CN"/>
              </w:rPr>
              <w:t xml:space="preserve"> For DRX cycle length is 1.28s, K3 = 4 is the measurement relaxation factor applicable for UE fulfilling the stationaryMobilityEvaluation [2] criterion.</w:t>
            </w:r>
          </w:p>
        </w:tc>
      </w:tr>
    </w:tbl>
    <w:p w14:paraId="63922CE5" w14:textId="77777777" w:rsidR="00D339BA" w:rsidRDefault="00D339BA" w:rsidP="00D339BA">
      <w:pPr>
        <w:rPr>
          <w:lang w:val="en-US" w:eastAsia="zh-CN"/>
        </w:rPr>
      </w:pPr>
    </w:p>
    <w:p w14:paraId="3D6F25C9" w14:textId="31E9709E" w:rsidR="00F87F95" w:rsidRPr="00AD5C2C" w:rsidRDefault="00F87F95" w:rsidP="00F87F95">
      <w:pPr>
        <w:pStyle w:val="Heading5"/>
        <w:rPr>
          <w:lang w:val="en-US" w:eastAsia="zh-CN"/>
        </w:rPr>
      </w:pPr>
      <w:r w:rsidRPr="00AD5C2C">
        <w:rPr>
          <w:lang w:val="en-US" w:eastAsia="zh-CN"/>
        </w:rPr>
        <w:t>4.2B.2.10.3</w:t>
      </w:r>
      <w:r w:rsidRPr="00AD5C2C">
        <w:rPr>
          <w:lang w:val="en-US" w:eastAsia="zh-CN"/>
        </w:rPr>
        <w:tab/>
        <w:t>Measurements for a UE fulfilling stationary not at cell edge criterion</w:t>
      </w:r>
    </w:p>
    <w:p w14:paraId="6C0975D8" w14:textId="77777777" w:rsidR="00F87F95" w:rsidRDefault="00F87F95" w:rsidP="00F87F95">
      <w:pPr>
        <w:rPr>
          <w:lang w:eastAsia="zh-CN"/>
        </w:rPr>
      </w:pPr>
      <w:r w:rsidRPr="00AD5C2C">
        <w:rPr>
          <w:lang w:val="en-US" w:eastAsia="zh-CN"/>
        </w:rPr>
        <w:t xml:space="preserve">This clause contains requirements </w:t>
      </w:r>
      <w:r w:rsidRPr="00AD5C2C">
        <w:rPr>
          <w:lang w:eastAsia="zh-CN"/>
        </w:rPr>
        <w:t xml:space="preserve">for measurements on </w:t>
      </w:r>
      <w:r>
        <w:rPr>
          <w:lang w:eastAsia="zh-CN"/>
        </w:rPr>
        <w:t>inter-frequency NR cells provided that:</w:t>
      </w:r>
    </w:p>
    <w:p w14:paraId="41FAD9E7" w14:textId="77777777" w:rsidR="00F87F95" w:rsidRPr="00AD77EE" w:rsidRDefault="00F87F95" w:rsidP="00F87F95">
      <w:pPr>
        <w:pStyle w:val="B10"/>
        <w:rPr>
          <w:lang w:eastAsia="zh-CN"/>
        </w:rPr>
      </w:pPr>
      <w:r>
        <w:rPr>
          <w:noProof/>
        </w:rPr>
        <w:t>-</w:t>
      </w:r>
      <w:r>
        <w:rPr>
          <w:noProof/>
        </w:rPr>
        <w:tab/>
      </w:r>
      <w:r w:rsidRPr="000A4CE3">
        <w:rPr>
          <w:lang w:eastAsia="zh-CN"/>
        </w:rPr>
        <w:t xml:space="preserve">UE is configured with </w:t>
      </w:r>
      <w:r w:rsidRPr="00AD77EE">
        <w:rPr>
          <w:lang w:eastAsia="zh-CN"/>
        </w:rPr>
        <w:t xml:space="preserve">both </w:t>
      </w:r>
      <w:r w:rsidRPr="0013391D">
        <w:rPr>
          <w:i/>
          <w:iCs/>
        </w:rPr>
        <w:t>stationaryMobilityEvaluation</w:t>
      </w:r>
      <w:r w:rsidDel="004B26EA">
        <w:rPr>
          <w:i/>
          <w:iCs/>
          <w:lang w:eastAsia="zh-CN"/>
        </w:rPr>
        <w:t xml:space="preserve"> </w:t>
      </w:r>
      <w:r>
        <w:rPr>
          <w:lang w:eastAsia="zh-CN"/>
        </w:rPr>
        <w:t>[2]</w:t>
      </w:r>
      <w:r w:rsidRPr="00AD77EE">
        <w:rPr>
          <w:lang w:eastAsia="zh-CN"/>
        </w:rPr>
        <w:t xml:space="preserve"> criterion and </w:t>
      </w:r>
      <w:r w:rsidRPr="006E2031">
        <w:rPr>
          <w:i/>
          <w:noProof/>
        </w:rPr>
        <w:t>cellEdgeEvaluationWhileStationary</w:t>
      </w:r>
      <w:r>
        <w:rPr>
          <w:i/>
          <w:noProof/>
        </w:rPr>
        <w:t xml:space="preserve"> </w:t>
      </w:r>
      <w:r>
        <w:rPr>
          <w:lang w:eastAsia="zh-CN"/>
        </w:rPr>
        <w:t>[2]</w:t>
      </w:r>
      <w:r w:rsidRPr="00AD77EE">
        <w:rPr>
          <w:lang w:eastAsia="zh-CN"/>
        </w:rPr>
        <w:t xml:space="preserve"> criterion, </w:t>
      </w:r>
      <w:r>
        <w:rPr>
          <w:lang w:eastAsia="zh-CN"/>
        </w:rPr>
        <w:t xml:space="preserve">and </w:t>
      </w:r>
    </w:p>
    <w:p w14:paraId="4F864543" w14:textId="77777777" w:rsidR="00F87F95" w:rsidRDefault="00F87F95" w:rsidP="00F87F95">
      <w:pPr>
        <w:pStyle w:val="B10"/>
        <w:rPr>
          <w:lang w:eastAsia="zh-CN"/>
        </w:rPr>
      </w:pPr>
      <w:r>
        <w:rPr>
          <w:noProof/>
        </w:rPr>
        <w:t>-</w:t>
      </w:r>
      <w:r>
        <w:rPr>
          <w:noProof/>
        </w:rPr>
        <w:tab/>
      </w:r>
      <w:r w:rsidRPr="00AD77EE">
        <w:rPr>
          <w:lang w:eastAsia="zh-CN"/>
        </w:rPr>
        <w:t xml:space="preserve">has </w:t>
      </w:r>
      <w:r>
        <w:rPr>
          <w:lang w:eastAsia="zh-CN"/>
        </w:rPr>
        <w:t xml:space="preserve">also </w:t>
      </w:r>
      <w:r w:rsidRPr="00AD77EE">
        <w:rPr>
          <w:lang w:eastAsia="zh-CN"/>
        </w:rPr>
        <w:t xml:space="preserve">fulfilled </w:t>
      </w:r>
      <w:r>
        <w:rPr>
          <w:lang w:eastAsia="zh-CN"/>
        </w:rPr>
        <w:t>both criteria, and</w:t>
      </w:r>
    </w:p>
    <w:p w14:paraId="6D1C0D14" w14:textId="77777777" w:rsidR="00F87F95" w:rsidRDefault="00F87F95" w:rsidP="00F87F95">
      <w:pPr>
        <w:pStyle w:val="B10"/>
        <w:rPr>
          <w:lang w:eastAsia="zh-CN"/>
        </w:rPr>
      </w:pPr>
      <w:r>
        <w:rPr>
          <w:lang w:eastAsia="zh-CN"/>
        </w:rPr>
        <w:t>-</w:t>
      </w:r>
      <w:r>
        <w:rPr>
          <w:lang w:eastAsia="zh-CN"/>
        </w:rPr>
        <w:tab/>
        <w:t>less than 4 hours have passed since measurements for cell reselection were last performed, and</w:t>
      </w:r>
    </w:p>
    <w:p w14:paraId="682EAE20" w14:textId="77777777" w:rsidR="00F87F95" w:rsidRPr="00621C9A" w:rsidRDefault="00F87F95" w:rsidP="00F87F95">
      <w:r>
        <w:rPr>
          <w:lang w:eastAsia="zh-CN"/>
        </w:rPr>
        <w:t>In this case t</w:t>
      </w:r>
      <w:r w:rsidRPr="00F15959">
        <w:rPr>
          <w:lang w:eastAsia="zh-CN"/>
        </w:rPr>
        <w:t>he UE</w:t>
      </w:r>
      <w:r>
        <w:rPr>
          <w:lang w:eastAsia="zh-CN"/>
        </w:rPr>
        <w:t xml:space="preserve"> </w:t>
      </w:r>
      <w:r w:rsidRPr="00F15959">
        <w:rPr>
          <w:lang w:eastAsia="zh-CN"/>
        </w:rPr>
        <w:t xml:space="preserve">is not required to meet </w:t>
      </w:r>
      <w:r w:rsidRPr="00806346">
        <w:rPr>
          <w:sz w:val="18"/>
        </w:rPr>
        <w:t>T</w:t>
      </w:r>
      <w:r w:rsidRPr="00806346">
        <w:rPr>
          <w:sz w:val="18"/>
          <w:vertAlign w:val="subscript"/>
        </w:rPr>
        <w:t>detect,NR_Inter_RedCap</w:t>
      </w:r>
      <w:r w:rsidRPr="005556E5">
        <w:rPr>
          <w:vertAlign w:val="subscript"/>
        </w:rPr>
        <w:t>,</w:t>
      </w:r>
      <w:r w:rsidRPr="008906AC">
        <w:t xml:space="preserve"> </w:t>
      </w:r>
      <w:r w:rsidRPr="00806346">
        <w:rPr>
          <w:sz w:val="18"/>
        </w:rPr>
        <w:t>T</w:t>
      </w:r>
      <w:r w:rsidRPr="00806346">
        <w:rPr>
          <w:sz w:val="18"/>
          <w:vertAlign w:val="subscript"/>
        </w:rPr>
        <w:t>measure,NR_Inter_RedCap</w:t>
      </w:r>
      <w:r w:rsidRPr="005556E5">
        <w:t xml:space="preserve"> and </w:t>
      </w:r>
      <w:r w:rsidRPr="00806346">
        <w:rPr>
          <w:sz w:val="18"/>
        </w:rPr>
        <w:t>T</w:t>
      </w:r>
      <w:r w:rsidRPr="00806346">
        <w:rPr>
          <w:sz w:val="18"/>
          <w:vertAlign w:val="subscript"/>
        </w:rPr>
        <w:t>evaluate,NR_Inter_RedCap</w:t>
      </w:r>
      <w:r w:rsidRPr="005556E5">
        <w:rPr>
          <w:lang w:eastAsia="zh-CN"/>
        </w:rPr>
        <w:t xml:space="preserve"> a</w:t>
      </w:r>
      <w:r w:rsidRPr="008906AC">
        <w:rPr>
          <w:lang w:eastAsia="zh-CN"/>
        </w:rPr>
        <w:t>s defined i</w:t>
      </w:r>
      <w:r w:rsidRPr="00064A3F">
        <w:rPr>
          <w:lang w:eastAsia="zh-CN"/>
        </w:rPr>
        <w:t xml:space="preserve">n </w:t>
      </w:r>
      <w:r w:rsidRPr="008B0F23">
        <w:rPr>
          <w:lang w:eastAsia="zh-CN"/>
        </w:rPr>
        <w:t xml:space="preserve">clause </w:t>
      </w:r>
      <w:r w:rsidRPr="008E65F5">
        <w:t xml:space="preserve">4.2B.2.4. </w:t>
      </w:r>
    </w:p>
    <w:p w14:paraId="6715CCD9" w14:textId="77777777" w:rsidR="00C80F01" w:rsidRPr="007E1BBF" w:rsidRDefault="00C80F01" w:rsidP="00C80F01">
      <w:pPr>
        <w:rPr>
          <w:lang w:eastAsia="zh-CN"/>
        </w:rPr>
      </w:pPr>
      <w:r w:rsidRPr="007E1BBF">
        <w:rPr>
          <w:rFonts w:hint="eastAsia"/>
          <w:noProof/>
          <w:lang w:eastAsia="zh-CN"/>
        </w:rPr>
        <w:t>W</w:t>
      </w:r>
      <w:r w:rsidRPr="007E1BBF">
        <w:rPr>
          <w:noProof/>
        </w:rPr>
        <w:t xml:space="preserve">hen </w:t>
      </w:r>
      <w:r w:rsidRPr="007E1BBF">
        <w:rPr>
          <w:lang w:eastAsia="zh-CN"/>
        </w:rPr>
        <w:t xml:space="preserve">Srxlev </w:t>
      </w:r>
      <w:r w:rsidRPr="007E1BBF">
        <w:t>≤</w:t>
      </w:r>
      <w:r w:rsidRPr="007E1BBF">
        <w:rPr>
          <w:lang w:eastAsia="zh-CN"/>
        </w:rPr>
        <w:t xml:space="preserve"> S</w:t>
      </w:r>
      <w:r w:rsidRPr="007E1BBF">
        <w:rPr>
          <w:vertAlign w:val="subscript"/>
          <w:lang w:eastAsia="zh-CN"/>
        </w:rPr>
        <w:t>nonIntraSearchP</w:t>
      </w:r>
      <w:r w:rsidRPr="007E1BBF">
        <w:rPr>
          <w:lang w:eastAsia="zh-CN"/>
        </w:rPr>
        <w:t xml:space="preserve"> or Squal </w:t>
      </w:r>
      <w:r w:rsidRPr="007E1BBF">
        <w:t>≤</w:t>
      </w:r>
      <w:r w:rsidRPr="007E1BBF">
        <w:rPr>
          <w:lang w:eastAsia="zh-CN"/>
        </w:rPr>
        <w:t xml:space="preserve"> S</w:t>
      </w:r>
      <w:r w:rsidRPr="007E1BBF">
        <w:rPr>
          <w:vertAlign w:val="subscript"/>
          <w:lang w:eastAsia="zh-CN"/>
        </w:rPr>
        <w:t>nonIntraSearchQ</w:t>
      </w:r>
      <w:r w:rsidRPr="007E1BBF">
        <w:rPr>
          <w:noProof/>
        </w:rPr>
        <w:t xml:space="preserve">, the UE shall search for, measure and evaluate inter-frequency layers of </w:t>
      </w:r>
      <w:r w:rsidRPr="007E1BBF">
        <w:t>higher, equal or lower priority</w:t>
      </w:r>
      <w:r w:rsidRPr="007E1BBF">
        <w:rPr>
          <w:noProof/>
        </w:rPr>
        <w:t xml:space="preserve"> at least every </w:t>
      </w:r>
      <w:r>
        <w:rPr>
          <w:noProof/>
        </w:rPr>
        <w:t>4</w:t>
      </w:r>
      <w:r w:rsidRPr="007E1BBF">
        <w:rPr>
          <w:noProof/>
        </w:rPr>
        <w:t xml:space="preserve"> hour</w:t>
      </w:r>
      <w:r>
        <w:rPr>
          <w:noProof/>
        </w:rPr>
        <w:t>s</w:t>
      </w:r>
      <w:r w:rsidRPr="007E1BBF">
        <w:rPr>
          <w:noProof/>
        </w:rPr>
        <w:t>.</w:t>
      </w:r>
    </w:p>
    <w:p w14:paraId="298D0734" w14:textId="77777777" w:rsidR="00C80F01" w:rsidRDefault="00C80F01" w:rsidP="00C80F01">
      <w:pPr>
        <w:rPr>
          <w:noProof/>
        </w:rPr>
      </w:pPr>
      <w:r w:rsidRPr="007E1BBF">
        <w:rPr>
          <w:noProof/>
        </w:rPr>
        <w:t>When Srxlev &gt; S</w:t>
      </w:r>
      <w:r w:rsidRPr="007E1BBF">
        <w:rPr>
          <w:noProof/>
          <w:vertAlign w:val="subscript"/>
        </w:rPr>
        <w:t>nonIntraSearchP</w:t>
      </w:r>
      <w:r w:rsidRPr="007E1BBF">
        <w:rPr>
          <w:noProof/>
        </w:rPr>
        <w:t xml:space="preserve"> and Squal &gt; S</w:t>
      </w:r>
      <w:r w:rsidRPr="007E1BBF">
        <w:rPr>
          <w:noProof/>
          <w:vertAlign w:val="subscript"/>
        </w:rPr>
        <w:t>nonIntraSearchQ</w:t>
      </w:r>
      <w:r w:rsidRPr="007E1BBF">
        <w:rPr>
          <w:noProof/>
        </w:rPr>
        <w:t xml:space="preserve">, the UE shall search for inter-frequency layers of higher priority at least every </w:t>
      </w:r>
      <w:r>
        <w:rPr>
          <w:noProof/>
        </w:rPr>
        <w:t>K2</w:t>
      </w:r>
      <w:r w:rsidRPr="007E1BBF">
        <w:rPr>
          <w:noProof/>
        </w:rPr>
        <w:t>*T</w:t>
      </w:r>
      <w:r w:rsidRPr="007E1BBF">
        <w:rPr>
          <w:noProof/>
          <w:vertAlign w:val="subscript"/>
        </w:rPr>
        <w:t xml:space="preserve">higher_priority_search </w:t>
      </w:r>
      <w:r w:rsidRPr="007E1BBF">
        <w:rPr>
          <w:noProof/>
        </w:rPr>
        <w:t>where T</w:t>
      </w:r>
      <w:r w:rsidRPr="007E1BBF">
        <w:rPr>
          <w:noProof/>
          <w:vertAlign w:val="subscript"/>
        </w:rPr>
        <w:t>higher_priority_search</w:t>
      </w:r>
      <w:r w:rsidRPr="007E1BBF">
        <w:rPr>
          <w:noProof/>
        </w:rPr>
        <w:t xml:space="preserve"> is described in clause 4.2.2.7</w:t>
      </w:r>
      <w:r>
        <w:rPr>
          <w:noProof/>
        </w:rPr>
        <w:t xml:space="preserve"> and K2=240</w:t>
      </w:r>
      <w:r w:rsidRPr="007E1BBF">
        <w:rPr>
          <w:noProof/>
        </w:rPr>
        <w:t>.</w:t>
      </w:r>
    </w:p>
    <w:p w14:paraId="1DD5DFD7" w14:textId="77777777" w:rsidR="00F020D7" w:rsidRPr="00847EA5" w:rsidRDefault="00F020D7" w:rsidP="00F020D7">
      <w:pPr>
        <w:rPr>
          <w:lang w:eastAsia="zh-CN"/>
        </w:rPr>
      </w:pPr>
      <w:r>
        <w:rPr>
          <w:rFonts w:hint="eastAsia"/>
          <w:lang w:eastAsia="zh-CN"/>
        </w:rPr>
        <w:t>T</w:t>
      </w:r>
      <w:r>
        <w:rPr>
          <w:lang w:eastAsia="zh-CN"/>
        </w:rPr>
        <w:t xml:space="preserve">he requirments defined in this clause apply regardless of </w:t>
      </w:r>
      <w:r w:rsidRPr="00691C10">
        <w:rPr>
          <w:rFonts w:cs="v4.2.0"/>
        </w:rPr>
        <w:t>eDRX_IDLE</w:t>
      </w:r>
      <w:r>
        <w:rPr>
          <w:rFonts w:cs="v4.2.0"/>
        </w:rPr>
        <w:t xml:space="preserve"> configurations.</w:t>
      </w:r>
    </w:p>
    <w:p w14:paraId="61DAF730" w14:textId="1D0242F2" w:rsidR="00F87F95" w:rsidRPr="0082197E" w:rsidRDefault="00F87F95" w:rsidP="00F020D7">
      <w:pPr>
        <w:rPr>
          <w:noProof/>
        </w:rPr>
      </w:pPr>
    </w:p>
    <w:p w14:paraId="6CF36C6A" w14:textId="77777777" w:rsidR="006558D9" w:rsidRPr="00AD5C2C" w:rsidRDefault="006558D9" w:rsidP="006558D9">
      <w:pPr>
        <w:pStyle w:val="Heading5"/>
        <w:rPr>
          <w:lang w:val="en-US" w:eastAsia="zh-CN"/>
        </w:rPr>
      </w:pPr>
      <w:r w:rsidRPr="00AD5C2C">
        <w:rPr>
          <w:lang w:val="en-US" w:eastAsia="zh-CN"/>
        </w:rPr>
        <w:t>4.2B.2.10.3</w:t>
      </w:r>
      <w:r>
        <w:rPr>
          <w:lang w:val="en-US" w:eastAsia="zh-CN"/>
        </w:rPr>
        <w:t>A</w:t>
      </w:r>
      <w:r w:rsidRPr="00AD5C2C">
        <w:rPr>
          <w:lang w:val="en-US" w:eastAsia="zh-CN"/>
        </w:rPr>
        <w:tab/>
        <w:t>Measurements for a UE fulfilling stationary</w:t>
      </w:r>
      <w:r>
        <w:rPr>
          <w:lang w:val="en-US" w:eastAsia="zh-CN"/>
        </w:rPr>
        <w:t xml:space="preserve"> and Rel-16</w:t>
      </w:r>
      <w:r w:rsidRPr="00AD5C2C">
        <w:rPr>
          <w:lang w:val="en-US" w:eastAsia="zh-CN"/>
        </w:rPr>
        <w:t xml:space="preserve"> not at cell edge criterion</w:t>
      </w:r>
    </w:p>
    <w:p w14:paraId="51931EEF" w14:textId="77777777" w:rsidR="006558D9" w:rsidRDefault="006558D9" w:rsidP="006558D9">
      <w:pPr>
        <w:rPr>
          <w:lang w:eastAsia="zh-CN"/>
        </w:rPr>
      </w:pPr>
      <w:r w:rsidRPr="00AD5C2C">
        <w:rPr>
          <w:lang w:val="en-US" w:eastAsia="zh-CN"/>
        </w:rPr>
        <w:t xml:space="preserve">This clause contains requirements </w:t>
      </w:r>
      <w:r w:rsidRPr="00AD5C2C">
        <w:rPr>
          <w:lang w:eastAsia="zh-CN"/>
        </w:rPr>
        <w:t xml:space="preserve">for measurements on </w:t>
      </w:r>
      <w:r>
        <w:rPr>
          <w:lang w:eastAsia="zh-CN"/>
        </w:rPr>
        <w:t>inter-frequency NR cells provided that:</w:t>
      </w:r>
    </w:p>
    <w:p w14:paraId="0E412EC5" w14:textId="77777777" w:rsidR="008C090A" w:rsidRDefault="008C090A" w:rsidP="008C090A">
      <w:pPr>
        <w:pStyle w:val="B10"/>
        <w:rPr>
          <w:lang w:eastAsia="zh-CN"/>
        </w:rPr>
      </w:pPr>
      <w:r>
        <w:rPr>
          <w:noProof/>
        </w:rPr>
        <w:t>-</w:t>
      </w:r>
      <w:r>
        <w:rPr>
          <w:noProof/>
        </w:rPr>
        <w:tab/>
      </w:r>
      <w:r>
        <w:rPr>
          <w:lang w:eastAsia="zh-CN"/>
        </w:rPr>
        <w:t xml:space="preserve">UE is configured with both </w:t>
      </w:r>
      <w:r>
        <w:rPr>
          <w:i/>
          <w:iCs/>
        </w:rPr>
        <w:t>stationaryMobilityEvaluation</w:t>
      </w:r>
      <w:r>
        <w:rPr>
          <w:i/>
          <w:iCs/>
          <w:lang w:eastAsia="zh-CN"/>
        </w:rPr>
        <w:t xml:space="preserve"> </w:t>
      </w:r>
      <w:r>
        <w:rPr>
          <w:lang w:eastAsia="zh-CN"/>
        </w:rPr>
        <w:t xml:space="preserve">[2] criterion and </w:t>
      </w:r>
      <w:r>
        <w:rPr>
          <w:i/>
          <w:iCs/>
          <w:lang w:eastAsia="zh-CN"/>
        </w:rPr>
        <w:t xml:space="preserve">cellEdgeEvaluation </w:t>
      </w:r>
      <w:r>
        <w:rPr>
          <w:lang w:eastAsia="zh-CN"/>
        </w:rPr>
        <w:t>[2] criterion, and</w:t>
      </w:r>
      <w:r>
        <w:rPr>
          <w:noProof/>
        </w:rPr>
        <w:t>-</w:t>
      </w:r>
      <w:r>
        <w:rPr>
          <w:noProof/>
        </w:rPr>
        <w:tab/>
      </w:r>
      <w:r>
        <w:rPr>
          <w:lang w:eastAsia="zh-CN"/>
        </w:rPr>
        <w:t>has also fulfilled both criteria, or</w:t>
      </w:r>
    </w:p>
    <w:p w14:paraId="42A70530" w14:textId="75ABF735" w:rsidR="006558D9" w:rsidRDefault="008C090A" w:rsidP="008C090A">
      <w:pPr>
        <w:pStyle w:val="B10"/>
        <w:rPr>
          <w:lang w:eastAsia="zh-CN"/>
        </w:rPr>
      </w:pPr>
      <w:r>
        <w:rPr>
          <w:noProof/>
        </w:rPr>
        <w:t>-</w:t>
      </w:r>
      <w:r>
        <w:rPr>
          <w:noProof/>
        </w:rPr>
        <w:tab/>
      </w:r>
      <w:r w:rsidRPr="001C4C1E">
        <w:rPr>
          <w:lang w:eastAsia="zh-CN"/>
        </w:rPr>
        <w:t xml:space="preserve">UE is configured with </w:t>
      </w:r>
      <w:r w:rsidRPr="001C4C1E">
        <w:rPr>
          <w:i/>
          <w:iCs/>
          <w:lang w:eastAsia="zh-CN"/>
        </w:rPr>
        <w:t xml:space="preserve">cellEdgeEvaluation </w:t>
      </w:r>
      <w:r w:rsidRPr="001C4C1E">
        <w:rPr>
          <w:lang w:eastAsia="zh-CN"/>
        </w:rPr>
        <w:t xml:space="preserve">[2] criterion and with both </w:t>
      </w:r>
      <w:r w:rsidRPr="001C4C1E">
        <w:rPr>
          <w:i/>
          <w:noProof/>
        </w:rPr>
        <w:t xml:space="preserve">stationaryMobilityEvaluation </w:t>
      </w:r>
      <w:r w:rsidRPr="001C4C1E">
        <w:rPr>
          <w:lang w:eastAsia="zh-CN"/>
        </w:rPr>
        <w:t xml:space="preserve">[2] criterion and </w:t>
      </w:r>
      <w:r w:rsidRPr="001C4C1E">
        <w:rPr>
          <w:i/>
          <w:noProof/>
        </w:rPr>
        <w:t xml:space="preserve">cellEdgeEvaluationWhileStationary </w:t>
      </w:r>
      <w:r w:rsidRPr="001C4C1E">
        <w:rPr>
          <w:lang w:eastAsia="zh-CN"/>
        </w:rPr>
        <w:t xml:space="preserve">[2] criterion and </w:t>
      </w:r>
      <w:r w:rsidRPr="001C4C1E">
        <w:rPr>
          <w:i/>
          <w:lang w:eastAsia="zh-CN"/>
        </w:rPr>
        <w:t xml:space="preserve">combineRelaxedMeasCondition2 </w:t>
      </w:r>
      <w:r w:rsidRPr="001C4C1E">
        <w:rPr>
          <w:lang w:eastAsia="zh-CN"/>
        </w:rPr>
        <w:t xml:space="preserve">[2] not configured, and UE has fulfilled </w:t>
      </w:r>
      <w:r w:rsidRPr="001C4C1E">
        <w:rPr>
          <w:i/>
          <w:iCs/>
          <w:lang w:eastAsia="zh-CN"/>
        </w:rPr>
        <w:t>cellEdgeEvaluation</w:t>
      </w:r>
      <w:r w:rsidRPr="001C4C1E">
        <w:rPr>
          <w:lang w:eastAsia="zh-CN"/>
        </w:rPr>
        <w:t xml:space="preserve"> and </w:t>
      </w:r>
      <w:r w:rsidRPr="001C4C1E">
        <w:rPr>
          <w:i/>
          <w:noProof/>
        </w:rPr>
        <w:t xml:space="preserve">stationaryMobilityEvaluation </w:t>
      </w:r>
      <w:r w:rsidRPr="001C4C1E">
        <w:rPr>
          <w:lang w:eastAsia="zh-CN"/>
        </w:rPr>
        <w:t>[2] criteria</w:t>
      </w:r>
    </w:p>
    <w:p w14:paraId="1C7EC98C" w14:textId="7C3E42A1" w:rsidR="006558D9" w:rsidRPr="00170812" w:rsidRDefault="001C3543" w:rsidP="006558D9">
      <w:pPr>
        <w:rPr>
          <w:noProof/>
        </w:rPr>
      </w:pPr>
      <w:r>
        <w:rPr>
          <w:rFonts w:hint="eastAsia"/>
          <w:noProof/>
          <w:lang w:eastAsia="zh-CN"/>
        </w:rPr>
        <w:t>W</w:t>
      </w:r>
      <w:r w:rsidRPr="007C2D19">
        <w:rPr>
          <w:noProof/>
        </w:rPr>
        <w:t xml:space="preserve">hen </w:t>
      </w:r>
      <w:r w:rsidRPr="00734785">
        <w:rPr>
          <w:rFonts w:eastAsiaTheme="minorEastAsia"/>
          <w:lang w:eastAsia="zh-CN"/>
        </w:rPr>
        <w:t xml:space="preserve">Srxlev </w:t>
      </w:r>
      <w:r w:rsidRPr="00691C10">
        <w:t>≤</w:t>
      </w:r>
      <w:r w:rsidRPr="00734785">
        <w:rPr>
          <w:rFonts w:eastAsiaTheme="minorEastAsia"/>
          <w:lang w:eastAsia="zh-CN"/>
        </w:rPr>
        <w:t xml:space="preserve"> S</w:t>
      </w:r>
      <w:r w:rsidRPr="00C15974">
        <w:rPr>
          <w:rFonts w:eastAsiaTheme="minorEastAsia"/>
          <w:vertAlign w:val="subscript"/>
          <w:lang w:eastAsia="zh-CN"/>
        </w:rPr>
        <w:t>nonIntraSearchP</w:t>
      </w:r>
      <w:r w:rsidRPr="00734785">
        <w:rPr>
          <w:rFonts w:eastAsiaTheme="minorEastAsia"/>
          <w:lang w:eastAsia="zh-CN"/>
        </w:rPr>
        <w:t xml:space="preserve"> </w:t>
      </w:r>
      <w:r>
        <w:rPr>
          <w:rFonts w:eastAsiaTheme="minorEastAsia"/>
          <w:lang w:eastAsia="zh-CN"/>
        </w:rPr>
        <w:t>or</w:t>
      </w:r>
      <w:r w:rsidRPr="00734785">
        <w:rPr>
          <w:rFonts w:eastAsiaTheme="minorEastAsia"/>
          <w:lang w:eastAsia="zh-CN"/>
        </w:rPr>
        <w:t xml:space="preserve"> Squal </w:t>
      </w:r>
      <w:r w:rsidRPr="00691C10">
        <w:t>≤</w:t>
      </w:r>
      <w:r w:rsidRPr="00734785">
        <w:rPr>
          <w:rFonts w:eastAsiaTheme="minorEastAsia"/>
          <w:lang w:eastAsia="zh-CN"/>
        </w:rPr>
        <w:t xml:space="preserve"> S</w:t>
      </w:r>
      <w:r w:rsidRPr="00C15974">
        <w:rPr>
          <w:rFonts w:eastAsiaTheme="minorEastAsia"/>
          <w:vertAlign w:val="subscript"/>
          <w:lang w:eastAsia="zh-CN"/>
        </w:rPr>
        <w:t>nonIntraSearchQ</w:t>
      </w:r>
      <w:r w:rsidRPr="00734785">
        <w:rPr>
          <w:rFonts w:eastAsiaTheme="minorEastAsia"/>
          <w:lang w:eastAsia="zh-CN"/>
        </w:rPr>
        <w:t xml:space="preserve"> </w:t>
      </w:r>
      <w:r>
        <w:rPr>
          <w:rFonts w:eastAsiaTheme="minorEastAsia" w:hint="eastAsia"/>
          <w:lang w:eastAsia="zh-CN"/>
        </w:rPr>
        <w:t>then t</w:t>
      </w:r>
      <w:r>
        <w:rPr>
          <w:rFonts w:eastAsiaTheme="minorEastAsia"/>
          <w:lang w:eastAsia="zh-CN"/>
        </w:rPr>
        <w:t>h</w:t>
      </w:r>
      <w:r w:rsidRPr="0089796C">
        <w:rPr>
          <w:noProof/>
        </w:rPr>
        <w:t xml:space="preserve">e </w:t>
      </w:r>
      <w:r w:rsidRPr="00572CC3">
        <w:rPr>
          <w:noProof/>
        </w:rPr>
        <w:t xml:space="preserve">requirements defined in clause </w:t>
      </w:r>
      <w:r w:rsidRPr="00572CC3">
        <w:t>4.2</w:t>
      </w:r>
      <w:r w:rsidRPr="005A1619">
        <w:t>B</w:t>
      </w:r>
      <w:r w:rsidRPr="009010C6">
        <w:t>.2.</w:t>
      </w:r>
      <w:r w:rsidRPr="004D34A9">
        <w:t xml:space="preserve">4 </w:t>
      </w:r>
      <w:r w:rsidRPr="003400CC">
        <w:rPr>
          <w:noProof/>
        </w:rPr>
        <w:t xml:space="preserve">apply for this </w:t>
      </w:r>
      <w:r w:rsidRPr="00984FB6">
        <w:rPr>
          <w:noProof/>
        </w:rPr>
        <w:t>clause</w:t>
      </w:r>
      <w:r w:rsidRPr="00DB17FD">
        <w:rPr>
          <w:noProof/>
        </w:rPr>
        <w:t xml:space="preserve"> </w:t>
      </w:r>
      <w:r w:rsidRPr="00002984">
        <w:rPr>
          <w:noProof/>
        </w:rPr>
        <w:t>except that:</w:t>
      </w:r>
    </w:p>
    <w:p w14:paraId="6155F2F3" w14:textId="3BB7ED5B" w:rsidR="001C3543" w:rsidRPr="00CB35F8" w:rsidRDefault="001C3543" w:rsidP="001C3543">
      <w:pPr>
        <w:pStyle w:val="B10"/>
      </w:pPr>
      <w:r w:rsidRPr="00CB35F8">
        <w:t>-</w:t>
      </w:r>
      <w:r w:rsidRPr="00CB35F8">
        <w:tab/>
        <w:t>T</w:t>
      </w:r>
      <w:r w:rsidRPr="00B579C3">
        <w:rPr>
          <w:vertAlign w:val="subscript"/>
        </w:rPr>
        <w:t>detect,</w:t>
      </w:r>
      <w:r w:rsidRPr="00426F42">
        <w:rPr>
          <w:vertAlign w:val="subscript"/>
          <w:lang w:eastAsia="zh-CN"/>
        </w:rPr>
        <w:t>NR</w:t>
      </w:r>
      <w:r w:rsidRPr="000C619A">
        <w:rPr>
          <w:vertAlign w:val="subscript"/>
        </w:rPr>
        <w:t>_In</w:t>
      </w:r>
      <w:r w:rsidRPr="0082197E">
        <w:rPr>
          <w:vertAlign w:val="subscript"/>
        </w:rPr>
        <w:t>ter</w:t>
      </w:r>
      <w:r w:rsidRPr="00572CC3">
        <w:rPr>
          <w:vertAlign w:val="subscript"/>
        </w:rPr>
        <w:t>_RedCap</w:t>
      </w:r>
      <w:r>
        <w:rPr>
          <w:vertAlign w:val="subscript"/>
        </w:rPr>
        <w:t>_Relax</w:t>
      </w:r>
      <w:r w:rsidRPr="005A1619">
        <w:rPr>
          <w:i/>
          <w:vertAlign w:val="subscript"/>
        </w:rPr>
        <w:t xml:space="preserve"> </w:t>
      </w:r>
      <w:r w:rsidRPr="009010C6">
        <w:t xml:space="preserve">as specified in </w:t>
      </w:r>
      <w:r w:rsidRPr="004D34A9">
        <w:t>Table 4.2B</w:t>
      </w:r>
      <w:r w:rsidRPr="003400CC">
        <w:t>.2.</w:t>
      </w:r>
      <w:r w:rsidRPr="00984FB6">
        <w:t>10</w:t>
      </w:r>
      <w:r w:rsidRPr="00DB17FD">
        <w:t>.</w:t>
      </w:r>
      <w:r w:rsidRPr="00002984">
        <w:t>2-1</w:t>
      </w:r>
      <w:r>
        <w:t xml:space="preserve"> and </w:t>
      </w:r>
      <w:r w:rsidRPr="004D34A9">
        <w:t>Table 4.2B</w:t>
      </w:r>
      <w:r w:rsidRPr="003400CC">
        <w:t>.2.</w:t>
      </w:r>
      <w:r w:rsidRPr="00984FB6">
        <w:t>10</w:t>
      </w:r>
      <w:r w:rsidRPr="00DB17FD">
        <w:t>.</w:t>
      </w:r>
      <w:r w:rsidRPr="00002984">
        <w:t>2-</w:t>
      </w:r>
      <w:r>
        <w:t xml:space="preserve">2 for </w:t>
      </w:r>
      <w:r>
        <w:rPr>
          <w:lang w:val="en-US"/>
        </w:rPr>
        <w:t>1 Rx RedCap and 2 Rx RedCap</w:t>
      </w:r>
      <w:r>
        <w:t xml:space="preserve"> respectively</w:t>
      </w:r>
      <w:r w:rsidRPr="00170812">
        <w:t>.</w:t>
      </w:r>
    </w:p>
    <w:p w14:paraId="39563144" w14:textId="62D1E7A3" w:rsidR="001C3543" w:rsidRPr="00170812" w:rsidRDefault="001C3543" w:rsidP="001C3543">
      <w:pPr>
        <w:pStyle w:val="B10"/>
      </w:pPr>
      <w:r w:rsidRPr="00CB35F8">
        <w:t>-</w:t>
      </w:r>
      <w:r w:rsidRPr="00CB35F8">
        <w:tab/>
      </w:r>
      <w:r w:rsidRPr="00B579C3">
        <w:rPr>
          <w:rFonts w:cs="v4.2.0"/>
        </w:rPr>
        <w:t>T</w:t>
      </w:r>
      <w:r w:rsidRPr="00426F42">
        <w:rPr>
          <w:rFonts w:cs="v4.2.0"/>
          <w:vertAlign w:val="subscript"/>
        </w:rPr>
        <w:t>measure,NR_Int</w:t>
      </w:r>
      <w:r w:rsidRPr="0082197E">
        <w:rPr>
          <w:rFonts w:cs="v4.2.0"/>
          <w:vertAlign w:val="subscript"/>
        </w:rPr>
        <w:t>er</w:t>
      </w:r>
      <w:r w:rsidRPr="00572CC3">
        <w:rPr>
          <w:vertAlign w:val="subscript"/>
        </w:rPr>
        <w:t>_RedCap</w:t>
      </w:r>
      <w:r>
        <w:rPr>
          <w:vertAlign w:val="subscript"/>
        </w:rPr>
        <w:t>_Relax</w:t>
      </w:r>
      <w:r w:rsidRPr="005A1619">
        <w:rPr>
          <w:rFonts w:cs="v4.2.0"/>
        </w:rPr>
        <w:t xml:space="preserve"> </w:t>
      </w:r>
      <w:r w:rsidRPr="009010C6">
        <w:t>as specified in Table 4.2</w:t>
      </w:r>
      <w:r w:rsidRPr="004D34A9">
        <w:t>B.2.</w:t>
      </w:r>
      <w:r w:rsidRPr="003400CC">
        <w:t>10</w:t>
      </w:r>
      <w:r w:rsidRPr="00984FB6">
        <w:t>.</w:t>
      </w:r>
      <w:r w:rsidRPr="00DB17FD">
        <w:t>2</w:t>
      </w:r>
      <w:r w:rsidRPr="00002984">
        <w:t>-1</w:t>
      </w:r>
      <w:r>
        <w:t xml:space="preserve"> and </w:t>
      </w:r>
      <w:r w:rsidRPr="004D34A9">
        <w:t>Table 4.2B</w:t>
      </w:r>
      <w:r w:rsidRPr="003400CC">
        <w:t>.2.</w:t>
      </w:r>
      <w:r w:rsidRPr="00984FB6">
        <w:t>10</w:t>
      </w:r>
      <w:r w:rsidRPr="00DB17FD">
        <w:t>.</w:t>
      </w:r>
      <w:r w:rsidRPr="00002984">
        <w:t>2-</w:t>
      </w:r>
      <w:r>
        <w:t xml:space="preserve">2 for </w:t>
      </w:r>
      <w:r>
        <w:rPr>
          <w:lang w:val="en-US"/>
        </w:rPr>
        <w:t>1 Rx RedCap and 2 Rx RedCap</w:t>
      </w:r>
      <w:r>
        <w:t xml:space="preserve"> respectively</w:t>
      </w:r>
      <w:r w:rsidRPr="00002984">
        <w:t>.</w:t>
      </w:r>
    </w:p>
    <w:p w14:paraId="2ABDAE4C" w14:textId="6C511D25" w:rsidR="006558D9" w:rsidRPr="00D64452" w:rsidRDefault="001C3543" w:rsidP="001C3543">
      <w:pPr>
        <w:pStyle w:val="B10"/>
        <w:rPr>
          <w:noProof/>
        </w:rPr>
      </w:pPr>
      <w:r w:rsidRPr="00CB35F8">
        <w:t>-</w:t>
      </w:r>
      <w:r w:rsidRPr="00CB35F8">
        <w:tab/>
      </w:r>
      <w:r w:rsidRPr="00CB35F8">
        <w:rPr>
          <w:rFonts w:cs="v4.2.0"/>
        </w:rPr>
        <w:t>T</w:t>
      </w:r>
      <w:r w:rsidRPr="00B579C3">
        <w:rPr>
          <w:rFonts w:cs="v4.2.0"/>
          <w:vertAlign w:val="subscript"/>
        </w:rPr>
        <w:t>evaluate,</w:t>
      </w:r>
      <w:r w:rsidRPr="00426F42">
        <w:rPr>
          <w:rFonts w:cs="v4.2.0"/>
          <w:vertAlign w:val="subscript"/>
          <w:lang w:eastAsia="zh-CN"/>
        </w:rPr>
        <w:t>NR</w:t>
      </w:r>
      <w:r w:rsidRPr="000C619A">
        <w:rPr>
          <w:rFonts w:cs="v4.2.0"/>
          <w:vertAlign w:val="subscript"/>
        </w:rPr>
        <w:t>_Int</w:t>
      </w:r>
      <w:r w:rsidRPr="0082197E">
        <w:rPr>
          <w:rFonts w:cs="v4.2.0"/>
          <w:vertAlign w:val="subscript"/>
        </w:rPr>
        <w:t>er</w:t>
      </w:r>
      <w:r w:rsidRPr="00572CC3">
        <w:rPr>
          <w:vertAlign w:val="subscript"/>
        </w:rPr>
        <w:t>_RedCap</w:t>
      </w:r>
      <w:r>
        <w:rPr>
          <w:vertAlign w:val="subscript"/>
        </w:rPr>
        <w:t>_Relax</w:t>
      </w:r>
      <w:r w:rsidRPr="005A1619">
        <w:rPr>
          <w:rFonts w:cs="v4.2.0"/>
          <w:vertAlign w:val="subscript"/>
        </w:rPr>
        <w:t xml:space="preserve"> </w:t>
      </w:r>
      <w:r w:rsidRPr="009010C6">
        <w:t>as specified in Table 4.2</w:t>
      </w:r>
      <w:r w:rsidRPr="004D34A9">
        <w:t>B.2.</w:t>
      </w:r>
      <w:r w:rsidRPr="003400CC">
        <w:t>10</w:t>
      </w:r>
      <w:r w:rsidRPr="00984FB6">
        <w:t>.</w:t>
      </w:r>
      <w:r w:rsidRPr="00DB17FD">
        <w:t>2</w:t>
      </w:r>
      <w:r w:rsidRPr="00002984">
        <w:t>-1</w:t>
      </w:r>
      <w:r>
        <w:t xml:space="preserve"> and </w:t>
      </w:r>
      <w:r w:rsidRPr="004D34A9">
        <w:t>Table 4.2B</w:t>
      </w:r>
      <w:r w:rsidRPr="003400CC">
        <w:t>.2.</w:t>
      </w:r>
      <w:r w:rsidRPr="00984FB6">
        <w:t>10</w:t>
      </w:r>
      <w:r w:rsidRPr="00DB17FD">
        <w:t>.</w:t>
      </w:r>
      <w:r w:rsidRPr="00002984">
        <w:t>2-</w:t>
      </w:r>
      <w:r>
        <w:t xml:space="preserve">2 for </w:t>
      </w:r>
      <w:r>
        <w:rPr>
          <w:lang w:val="en-US"/>
        </w:rPr>
        <w:t>1 Rx RedCap and 2 Rx RedCap</w:t>
      </w:r>
      <w:r>
        <w:t xml:space="preserve"> </w:t>
      </w:r>
      <w:r w:rsidRPr="00AD5C2C">
        <w:t>respectively.</w:t>
      </w:r>
    </w:p>
    <w:p w14:paraId="49D4636A" w14:textId="77777777" w:rsidR="006558D9" w:rsidRDefault="006558D9" w:rsidP="006558D9">
      <w:pPr>
        <w:rPr>
          <w:noProof/>
        </w:rPr>
      </w:pPr>
      <w:r w:rsidRPr="0082197E">
        <w:rPr>
          <w:noProof/>
        </w:rPr>
        <w:t xml:space="preserve">If the UE is configured with eDRX_IDLE cycle then the requirements in Table 4.2B.2.10.2-3 and Table 4.2B.2.10.2-4 are applicable for eDRX cycle up to 10.24 s in FR1 and FR2 respectively. </w:t>
      </w:r>
    </w:p>
    <w:p w14:paraId="2849C60E" w14:textId="31445D43" w:rsidR="00F87F95" w:rsidRDefault="006558D9" w:rsidP="006558D9">
      <w:r>
        <w:t xml:space="preserve">If the UE is configured with eDRX_IDLE cycle greater than 10.24 s in FR1 and FR2, then the requirements in Table </w:t>
      </w:r>
      <w:r w:rsidRPr="0082197E">
        <w:rPr>
          <w:lang w:val="en-US"/>
        </w:rPr>
        <w:t>Table 4.2B.2.</w:t>
      </w:r>
      <w:r>
        <w:rPr>
          <w:lang w:val="en-US"/>
        </w:rPr>
        <w:t>10</w:t>
      </w:r>
      <w:r w:rsidRPr="0082197E">
        <w:rPr>
          <w:lang w:val="en-US"/>
        </w:rPr>
        <w:t>.2-</w:t>
      </w:r>
      <w:r>
        <w:rPr>
          <w:lang w:val="en-US"/>
        </w:rPr>
        <w:t>5</w:t>
      </w:r>
      <w:r>
        <w:t xml:space="preserve"> and </w:t>
      </w:r>
      <w:r w:rsidRPr="0082197E">
        <w:rPr>
          <w:lang w:val="en-US"/>
        </w:rPr>
        <w:t>Table 4.2B.2.</w:t>
      </w:r>
      <w:r>
        <w:rPr>
          <w:lang w:val="en-US"/>
        </w:rPr>
        <w:t>10</w:t>
      </w:r>
      <w:r w:rsidRPr="0082197E">
        <w:rPr>
          <w:lang w:val="en-US"/>
        </w:rPr>
        <w:t>.2-</w:t>
      </w:r>
      <w:r>
        <w:rPr>
          <w:lang w:val="en-US"/>
        </w:rPr>
        <w:t xml:space="preserve">6 respectively </w:t>
      </w:r>
      <w:r>
        <w:t xml:space="preserve">apply provided that eDRX </w:t>
      </w:r>
      <w:r w:rsidRPr="00BE0C6E">
        <w:t>cycle is ≤ [</w:t>
      </w:r>
      <w:r w:rsidRPr="00806346">
        <w:t>163.84</w:t>
      </w:r>
      <w:r w:rsidRPr="00BE0C6E">
        <w:t>] sec</w:t>
      </w:r>
      <w:r w:rsidRPr="00806346">
        <w:t xml:space="preserve"> and evaluation/measurement time with relaxation on one carrier is not greater than single PTW window length</w:t>
      </w:r>
      <w:r w:rsidRPr="00BE0C6E">
        <w:t>.</w:t>
      </w:r>
    </w:p>
    <w:p w14:paraId="26BA97FA" w14:textId="7F764AD7" w:rsidR="006228AE" w:rsidRPr="00950DA1" w:rsidRDefault="006228AE" w:rsidP="006558D9">
      <w:pPr>
        <w:rPr>
          <w:noProof/>
        </w:rPr>
      </w:pPr>
      <w:r>
        <w:rPr>
          <w:lang w:eastAsia="zh-CN"/>
        </w:rPr>
        <w:t>W</w:t>
      </w:r>
      <w:r w:rsidRPr="00C33767">
        <w:rPr>
          <w:lang w:eastAsia="zh-CN"/>
        </w:rPr>
        <w:t xml:space="preserve">hen </w:t>
      </w:r>
      <w:r w:rsidRPr="00A41B58">
        <w:t>Srxlev &gt; S</w:t>
      </w:r>
      <w:r w:rsidRPr="00A41B58">
        <w:rPr>
          <w:vertAlign w:val="subscript"/>
        </w:rPr>
        <w:t>nonIntraSearchP</w:t>
      </w:r>
      <w:r w:rsidRPr="00A41B58">
        <w:t xml:space="preserve"> and Squal &gt; S</w:t>
      </w:r>
      <w:r w:rsidRPr="00EC47A7">
        <w:rPr>
          <w:vertAlign w:val="subscript"/>
        </w:rPr>
        <w:t>nonIntraSearchQ</w:t>
      </w:r>
      <w:r w:rsidRPr="00EC47A7">
        <w:t xml:space="preserve"> </w:t>
      </w:r>
      <w:r w:rsidRPr="00A41B58">
        <w:rPr>
          <w:noProof/>
        </w:rPr>
        <w:t>then</w:t>
      </w:r>
      <w:r w:rsidRPr="00A41B58">
        <w:t xml:space="preserve"> the UE shall search for inter-frequency layers of higher priority at least every K</w:t>
      </w:r>
      <w:r w:rsidRPr="00EC47A7">
        <w:t>2*T</w:t>
      </w:r>
      <w:r w:rsidRPr="00EC47A7">
        <w:rPr>
          <w:vertAlign w:val="subscript"/>
        </w:rPr>
        <w:t xml:space="preserve">higher_priority_search </w:t>
      </w:r>
      <w:r w:rsidRPr="00EC47A7">
        <w:t>where T</w:t>
      </w:r>
      <w:r w:rsidRPr="00EC47A7">
        <w:rPr>
          <w:vertAlign w:val="subscript"/>
        </w:rPr>
        <w:t>higher_priority_search</w:t>
      </w:r>
      <w:r w:rsidRPr="00D56527">
        <w:t xml:space="preserve"> is described in clause 4.2.2.7 and</w:t>
      </w:r>
      <w:r w:rsidRPr="000D108A">
        <w:t xml:space="preserve">, </w:t>
      </w:r>
      <w:r w:rsidRPr="000D108A">
        <w:rPr>
          <w:snapToGrid w:val="0"/>
          <w:lang w:eastAsia="zh-CN"/>
        </w:rPr>
        <w:t>K2</w:t>
      </w:r>
      <w:r w:rsidRPr="009449C0">
        <w:rPr>
          <w:snapToGrid w:val="0"/>
          <w:lang w:eastAsia="zh-CN"/>
        </w:rPr>
        <w:t xml:space="preserve"> = </w:t>
      </w:r>
      <w:r>
        <w:rPr>
          <w:snapToGrid w:val="0"/>
          <w:lang w:eastAsia="zh-CN"/>
        </w:rPr>
        <w:t>240</w:t>
      </w:r>
      <w:r w:rsidRPr="009449C0">
        <w:t>.</w:t>
      </w:r>
    </w:p>
    <w:p w14:paraId="313FC3DB" w14:textId="77777777" w:rsidR="00F87F95" w:rsidRDefault="00F87F95" w:rsidP="00F87F95">
      <w:pPr>
        <w:pStyle w:val="Heading5"/>
        <w:rPr>
          <w:lang w:val="en-US" w:eastAsia="zh-CN"/>
        </w:rPr>
      </w:pPr>
      <w:r>
        <w:rPr>
          <w:lang w:val="en-US" w:eastAsia="zh-CN"/>
        </w:rPr>
        <w:t>4.2B.2.10.4</w:t>
      </w:r>
      <w:r w:rsidRPr="00885F53">
        <w:rPr>
          <w:lang w:val="en-US" w:eastAsia="zh-CN"/>
        </w:rPr>
        <w:tab/>
      </w:r>
      <w:r>
        <w:rPr>
          <w:lang w:val="en-US" w:eastAsia="zh-CN"/>
        </w:rPr>
        <w:t>Measurements for a UE fulfilling low mobility and stationary criteria</w:t>
      </w:r>
    </w:p>
    <w:p w14:paraId="764967F2" w14:textId="77777777" w:rsidR="00F87F95" w:rsidRDefault="00F87F95" w:rsidP="00F87F95">
      <w:pPr>
        <w:rPr>
          <w:lang w:eastAsia="zh-CN"/>
        </w:rPr>
      </w:pPr>
      <w:r w:rsidRPr="00885F53">
        <w:rPr>
          <w:lang w:val="en-US" w:eastAsia="zh-CN"/>
        </w:rPr>
        <w:t xml:space="preserve">This clause contains requirements </w:t>
      </w:r>
      <w:r>
        <w:rPr>
          <w:lang w:eastAsia="zh-CN"/>
        </w:rPr>
        <w:t>for measurements on inter-frequency NR cells provided that:</w:t>
      </w:r>
    </w:p>
    <w:p w14:paraId="7925A260" w14:textId="77777777" w:rsidR="00F87F95" w:rsidRDefault="00F87F95" w:rsidP="00F87F95">
      <w:pPr>
        <w:pStyle w:val="B10"/>
        <w:rPr>
          <w:lang w:eastAsia="zh-CN"/>
        </w:rPr>
      </w:pPr>
      <w:r>
        <w:rPr>
          <w:noProof/>
        </w:rPr>
        <w:t>-</w:t>
      </w:r>
      <w:r>
        <w:rPr>
          <w:noProof/>
        </w:rPr>
        <w:tab/>
      </w:r>
      <w:r w:rsidRPr="007C2D19">
        <w:rPr>
          <w:lang w:eastAsia="zh-CN"/>
        </w:rPr>
        <w:t xml:space="preserve">UE is configured with </w:t>
      </w:r>
      <w:r w:rsidRPr="001C6668">
        <w:rPr>
          <w:i/>
          <w:iCs/>
          <w:lang w:eastAsia="zh-CN"/>
        </w:rPr>
        <w:t>lowMobilityEvaluation</w:t>
      </w:r>
      <w:r w:rsidDel="004B26EA">
        <w:rPr>
          <w:i/>
          <w:iCs/>
          <w:lang w:eastAsia="zh-CN"/>
        </w:rPr>
        <w:t xml:space="preserve"> </w:t>
      </w:r>
      <w:r>
        <w:rPr>
          <w:lang w:eastAsia="zh-CN"/>
        </w:rPr>
        <w:t>[2]</w:t>
      </w:r>
      <w:r w:rsidRPr="007C2D19">
        <w:rPr>
          <w:lang w:eastAsia="zh-CN"/>
        </w:rPr>
        <w:t xml:space="preserve"> </w:t>
      </w:r>
      <w:r w:rsidRPr="00C33767">
        <w:rPr>
          <w:lang w:eastAsia="zh-CN"/>
        </w:rPr>
        <w:t>criterion</w:t>
      </w:r>
      <w:r>
        <w:rPr>
          <w:lang w:eastAsia="zh-CN"/>
        </w:rPr>
        <w:t xml:space="preserve"> and </w:t>
      </w:r>
      <w:r w:rsidRPr="0013391D">
        <w:rPr>
          <w:i/>
          <w:iCs/>
        </w:rPr>
        <w:t>stationaryMobilityEvaluation</w:t>
      </w:r>
      <w:r w:rsidDel="004B26EA">
        <w:rPr>
          <w:i/>
          <w:iCs/>
          <w:lang w:eastAsia="zh-CN"/>
        </w:rPr>
        <w:t xml:space="preserve"> </w:t>
      </w:r>
      <w:r>
        <w:rPr>
          <w:lang w:eastAsia="zh-CN"/>
        </w:rPr>
        <w:t>[2]</w:t>
      </w:r>
      <w:r w:rsidRPr="00AD77EE">
        <w:rPr>
          <w:lang w:eastAsia="zh-CN"/>
        </w:rPr>
        <w:t xml:space="preserve"> criterion</w:t>
      </w:r>
      <w:r>
        <w:rPr>
          <w:lang w:eastAsia="zh-CN"/>
        </w:rPr>
        <w:t>,</w:t>
      </w:r>
      <w:r w:rsidRPr="00AD77EE">
        <w:rPr>
          <w:lang w:eastAsia="zh-CN"/>
        </w:rPr>
        <w:t xml:space="preserve"> </w:t>
      </w:r>
      <w:r>
        <w:rPr>
          <w:lang w:eastAsia="zh-CN"/>
        </w:rPr>
        <w:t xml:space="preserve">and </w:t>
      </w:r>
      <w:r w:rsidRPr="00AD77EE">
        <w:rPr>
          <w:lang w:eastAsia="zh-CN"/>
        </w:rPr>
        <w:t xml:space="preserve">has </w:t>
      </w:r>
      <w:r>
        <w:rPr>
          <w:lang w:eastAsia="zh-CN"/>
        </w:rPr>
        <w:t xml:space="preserve">also </w:t>
      </w:r>
      <w:r w:rsidRPr="00AD77EE">
        <w:rPr>
          <w:lang w:eastAsia="zh-CN"/>
        </w:rPr>
        <w:t xml:space="preserve">fulfilled </w:t>
      </w:r>
      <w:r>
        <w:rPr>
          <w:lang w:eastAsia="zh-CN"/>
        </w:rPr>
        <w:t>both criteria, or,</w:t>
      </w:r>
    </w:p>
    <w:p w14:paraId="33D339A2" w14:textId="77777777" w:rsidR="00F87F95" w:rsidRPr="00BE54BE" w:rsidRDefault="00F87F95" w:rsidP="00F87F95">
      <w:pPr>
        <w:pStyle w:val="B10"/>
        <w:rPr>
          <w:lang w:eastAsia="zh-CN"/>
        </w:rPr>
      </w:pPr>
      <w:r>
        <w:rPr>
          <w:noProof/>
        </w:rPr>
        <w:t>-</w:t>
      </w:r>
      <w:r>
        <w:rPr>
          <w:noProof/>
        </w:rPr>
        <w:tab/>
      </w:r>
      <w:r w:rsidRPr="00D36387">
        <w:rPr>
          <w:lang w:eastAsia="zh-CN"/>
        </w:rPr>
        <w:t>UE is configured</w:t>
      </w:r>
      <w:r>
        <w:rPr>
          <w:lang w:eastAsia="zh-CN"/>
        </w:rPr>
        <w:t xml:space="preserve"> with</w:t>
      </w:r>
      <w:r w:rsidRPr="00D36387">
        <w:rPr>
          <w:lang w:eastAsia="zh-CN"/>
        </w:rPr>
        <w:t xml:space="preserve"> </w:t>
      </w:r>
      <w:r w:rsidRPr="001C6668">
        <w:rPr>
          <w:i/>
          <w:iCs/>
          <w:lang w:eastAsia="zh-CN"/>
        </w:rPr>
        <w:t>lowMobilityEvaluation</w:t>
      </w:r>
      <w:r w:rsidDel="004B26EA">
        <w:rPr>
          <w:i/>
          <w:iCs/>
          <w:lang w:eastAsia="zh-CN"/>
        </w:rPr>
        <w:t xml:space="preserve"> </w:t>
      </w:r>
      <w:r>
        <w:rPr>
          <w:lang w:eastAsia="zh-CN"/>
        </w:rPr>
        <w:t>[2]</w:t>
      </w:r>
      <w:r w:rsidRPr="007C2D19">
        <w:rPr>
          <w:lang w:eastAsia="zh-CN"/>
        </w:rPr>
        <w:t xml:space="preserve"> </w:t>
      </w:r>
      <w:r w:rsidRPr="00C33767">
        <w:rPr>
          <w:lang w:eastAsia="zh-CN"/>
        </w:rPr>
        <w:t>criterion</w:t>
      </w:r>
      <w:r w:rsidRPr="00D36387">
        <w:rPr>
          <w:lang w:eastAsia="zh-CN"/>
        </w:rPr>
        <w:t xml:space="preserve"> </w:t>
      </w:r>
      <w:r>
        <w:rPr>
          <w:lang w:eastAsia="zh-CN"/>
        </w:rPr>
        <w:t xml:space="preserve">and </w:t>
      </w:r>
      <w:r w:rsidRPr="00D36387">
        <w:rPr>
          <w:lang w:eastAsia="zh-CN"/>
        </w:rPr>
        <w:t xml:space="preserve">with both </w:t>
      </w:r>
      <w:r w:rsidRPr="006E2031">
        <w:rPr>
          <w:i/>
          <w:noProof/>
        </w:rPr>
        <w:t xml:space="preserve">stationaryMobilityEvaluation </w:t>
      </w:r>
      <w:r>
        <w:rPr>
          <w:lang w:eastAsia="zh-CN"/>
        </w:rPr>
        <w:t>[2]</w:t>
      </w:r>
      <w:r w:rsidRPr="00D36387">
        <w:rPr>
          <w:lang w:eastAsia="zh-CN"/>
        </w:rPr>
        <w:t xml:space="preserve"> criterion and </w:t>
      </w:r>
      <w:r w:rsidRPr="006E2031">
        <w:rPr>
          <w:i/>
          <w:noProof/>
        </w:rPr>
        <w:t xml:space="preserve">cellEdgeEvaluationWhileStationary </w:t>
      </w:r>
      <w:r>
        <w:rPr>
          <w:lang w:eastAsia="zh-CN"/>
        </w:rPr>
        <w:t>[2]</w:t>
      </w:r>
      <w:r w:rsidRPr="00D36387">
        <w:rPr>
          <w:lang w:eastAsia="zh-CN"/>
        </w:rPr>
        <w:t xml:space="preserve"> criter</w:t>
      </w:r>
      <w:r>
        <w:rPr>
          <w:lang w:eastAsia="zh-CN"/>
        </w:rPr>
        <w:t>ion</w:t>
      </w:r>
      <w:r w:rsidRPr="00D36387">
        <w:rPr>
          <w:lang w:eastAsia="zh-CN"/>
        </w:rPr>
        <w:t xml:space="preserve"> </w:t>
      </w:r>
      <w:r>
        <w:rPr>
          <w:lang w:eastAsia="zh-CN"/>
        </w:rPr>
        <w:t xml:space="preserve">and </w:t>
      </w:r>
      <w:r w:rsidRPr="00BA1298">
        <w:rPr>
          <w:i/>
          <w:lang w:eastAsia="zh-CN"/>
        </w:rPr>
        <w:t xml:space="preserve">combineRelaxedMeasCondition2 </w:t>
      </w:r>
      <w:r>
        <w:rPr>
          <w:lang w:eastAsia="zh-CN"/>
        </w:rPr>
        <w:t xml:space="preserve">[2] not </w:t>
      </w:r>
      <w:r w:rsidRPr="00BE54BE">
        <w:rPr>
          <w:lang w:eastAsia="zh-CN"/>
        </w:rPr>
        <w:t xml:space="preserve">configured, and UE has fulfilled </w:t>
      </w:r>
      <w:r w:rsidRPr="00BE54BE">
        <w:rPr>
          <w:i/>
          <w:iCs/>
          <w:lang w:eastAsia="zh-CN"/>
        </w:rPr>
        <w:t>lowMobilityEvaluation</w:t>
      </w:r>
      <w:r w:rsidRPr="00BE54BE" w:rsidDel="004B26EA">
        <w:rPr>
          <w:i/>
          <w:iCs/>
          <w:lang w:eastAsia="zh-CN"/>
        </w:rPr>
        <w:t xml:space="preserve"> </w:t>
      </w:r>
      <w:r w:rsidRPr="00BE54BE">
        <w:rPr>
          <w:lang w:eastAsia="zh-CN"/>
        </w:rPr>
        <w:t xml:space="preserve">and </w:t>
      </w:r>
      <w:r w:rsidRPr="00BE54BE">
        <w:rPr>
          <w:i/>
          <w:noProof/>
        </w:rPr>
        <w:t xml:space="preserve">stationaryMobilityEvaluation </w:t>
      </w:r>
      <w:r w:rsidRPr="00BE54BE">
        <w:rPr>
          <w:lang w:eastAsia="zh-CN"/>
        </w:rPr>
        <w:t>[2] criteria</w:t>
      </w:r>
    </w:p>
    <w:p w14:paraId="4956BFF6" w14:textId="77777777" w:rsidR="00F87F95" w:rsidRPr="00BE54BE" w:rsidRDefault="00F87F95" w:rsidP="00F87F95">
      <w:r w:rsidRPr="00BE54BE">
        <w:t xml:space="preserve">The requirements defined in clause </w:t>
      </w:r>
      <w:r w:rsidRPr="0082197E">
        <w:rPr>
          <w:lang w:eastAsia="zh-CN"/>
        </w:rPr>
        <w:t>4.2B.2.10.2</w:t>
      </w:r>
      <w:r w:rsidRPr="00BE54BE">
        <w:t xml:space="preserve"> apply for this clause.</w:t>
      </w:r>
    </w:p>
    <w:p w14:paraId="4C41D541" w14:textId="4B49A98C" w:rsidR="00F87F95" w:rsidRPr="00BE54BE" w:rsidRDefault="00F87F95" w:rsidP="00D77C68"/>
    <w:p w14:paraId="149F0259" w14:textId="77777777" w:rsidR="00F87F95" w:rsidRDefault="00F87F95" w:rsidP="00F87F95">
      <w:pPr>
        <w:pStyle w:val="Heading5"/>
        <w:rPr>
          <w:lang w:val="en-US" w:eastAsia="zh-CN"/>
        </w:rPr>
      </w:pPr>
      <w:r w:rsidRPr="00BE54BE">
        <w:rPr>
          <w:lang w:val="en-US" w:eastAsia="zh-CN"/>
        </w:rPr>
        <w:t>4.2B.2.10.5</w:t>
      </w:r>
      <w:r w:rsidRPr="00BE54BE">
        <w:rPr>
          <w:lang w:val="en-US" w:eastAsia="zh-CN"/>
        </w:rPr>
        <w:tab/>
        <w:t>Measurements</w:t>
      </w:r>
      <w:r>
        <w:rPr>
          <w:lang w:val="en-US" w:eastAsia="zh-CN"/>
        </w:rPr>
        <w:t xml:space="preserve"> for a UE fulfilling low mobility and stationary not at cell edge criteria</w:t>
      </w:r>
    </w:p>
    <w:p w14:paraId="3329BABE" w14:textId="77777777" w:rsidR="00F87F95" w:rsidRDefault="00F87F95" w:rsidP="00F87F95">
      <w:pPr>
        <w:rPr>
          <w:lang w:eastAsia="zh-CN"/>
        </w:rPr>
      </w:pPr>
      <w:r w:rsidRPr="00885F53">
        <w:rPr>
          <w:lang w:val="en-US" w:eastAsia="zh-CN"/>
        </w:rPr>
        <w:t xml:space="preserve">This clause contains requirements </w:t>
      </w:r>
      <w:r>
        <w:rPr>
          <w:lang w:eastAsia="zh-CN"/>
        </w:rPr>
        <w:t>for measurements on intra-frequency NR cells provided that:</w:t>
      </w:r>
    </w:p>
    <w:p w14:paraId="62EDDD85" w14:textId="77777777" w:rsidR="00F87F95" w:rsidRDefault="00F87F95" w:rsidP="00F87F95">
      <w:pPr>
        <w:pStyle w:val="B10"/>
        <w:rPr>
          <w:lang w:eastAsia="zh-CN"/>
        </w:rPr>
      </w:pPr>
      <w:r>
        <w:rPr>
          <w:noProof/>
        </w:rPr>
        <w:t>-</w:t>
      </w:r>
      <w:r>
        <w:rPr>
          <w:noProof/>
        </w:rPr>
        <w:tab/>
      </w:r>
      <w:r w:rsidRPr="007C2D19">
        <w:rPr>
          <w:lang w:eastAsia="zh-CN"/>
        </w:rPr>
        <w:t xml:space="preserve">UE is configured with </w:t>
      </w:r>
      <w:r w:rsidRPr="001C6668">
        <w:rPr>
          <w:i/>
          <w:iCs/>
          <w:lang w:eastAsia="zh-CN"/>
        </w:rPr>
        <w:t>lowMobilityEvaluation</w:t>
      </w:r>
      <w:r w:rsidDel="004B26EA">
        <w:rPr>
          <w:i/>
          <w:iCs/>
          <w:lang w:eastAsia="zh-CN"/>
        </w:rPr>
        <w:t xml:space="preserve"> </w:t>
      </w:r>
      <w:r>
        <w:rPr>
          <w:lang w:eastAsia="zh-CN"/>
        </w:rPr>
        <w:t>[2]</w:t>
      </w:r>
      <w:r w:rsidRPr="007C2D19">
        <w:rPr>
          <w:lang w:eastAsia="zh-CN"/>
        </w:rPr>
        <w:t xml:space="preserve"> </w:t>
      </w:r>
      <w:r w:rsidRPr="00C33767">
        <w:rPr>
          <w:lang w:eastAsia="zh-CN"/>
        </w:rPr>
        <w:t>criterion</w:t>
      </w:r>
      <w:r>
        <w:rPr>
          <w:lang w:eastAsia="zh-CN"/>
        </w:rPr>
        <w:t xml:space="preserve"> and UE has fulfilled this criterion, and</w:t>
      </w:r>
    </w:p>
    <w:p w14:paraId="5A5810A1" w14:textId="77777777" w:rsidR="00F87F95" w:rsidRDefault="00F87F95" w:rsidP="00F87F95">
      <w:pPr>
        <w:pStyle w:val="B10"/>
        <w:rPr>
          <w:lang w:eastAsia="zh-CN"/>
        </w:rPr>
      </w:pPr>
      <w:r>
        <w:rPr>
          <w:lang w:eastAsia="zh-CN"/>
        </w:rPr>
        <w:t xml:space="preserve">- </w:t>
      </w:r>
      <w:r>
        <w:rPr>
          <w:lang w:eastAsia="zh-CN"/>
        </w:rPr>
        <w:tab/>
        <w:t xml:space="preserve">UE is configured with </w:t>
      </w:r>
      <w:r w:rsidRPr="0013391D">
        <w:rPr>
          <w:i/>
          <w:iCs/>
        </w:rPr>
        <w:t>stationaryMobilityEvaluation</w:t>
      </w:r>
      <w:r>
        <w:rPr>
          <w:i/>
          <w:iCs/>
        </w:rPr>
        <w:t xml:space="preserve"> </w:t>
      </w:r>
      <w:r w:rsidRPr="00607F58">
        <w:rPr>
          <w:iCs/>
        </w:rPr>
        <w:t>[2]</w:t>
      </w:r>
      <w:r>
        <w:rPr>
          <w:lang w:eastAsia="zh-CN"/>
        </w:rPr>
        <w:t xml:space="preserve"> and </w:t>
      </w:r>
      <w:r w:rsidRPr="006E2031">
        <w:rPr>
          <w:i/>
          <w:noProof/>
        </w:rPr>
        <w:t>cellEdgeEvaluationWhileStationary</w:t>
      </w:r>
      <w:r>
        <w:rPr>
          <w:i/>
          <w:noProof/>
        </w:rPr>
        <w:t xml:space="preserve"> </w:t>
      </w:r>
      <w:r>
        <w:rPr>
          <w:lang w:eastAsia="zh-CN"/>
        </w:rPr>
        <w:t>[2]</w:t>
      </w:r>
      <w:r w:rsidRPr="00AD77EE">
        <w:rPr>
          <w:lang w:eastAsia="zh-CN"/>
        </w:rPr>
        <w:t xml:space="preserve"> criterion</w:t>
      </w:r>
      <w:r>
        <w:rPr>
          <w:lang w:eastAsia="zh-CN"/>
        </w:rPr>
        <w:t>,</w:t>
      </w:r>
      <w:r w:rsidRPr="00AD77EE">
        <w:rPr>
          <w:lang w:eastAsia="zh-CN"/>
        </w:rPr>
        <w:t xml:space="preserve"> </w:t>
      </w:r>
      <w:r>
        <w:rPr>
          <w:lang w:eastAsia="zh-CN"/>
        </w:rPr>
        <w:t>and UE has also fulfilled both criteria</w:t>
      </w:r>
    </w:p>
    <w:p w14:paraId="7F82DE1B" w14:textId="77777777" w:rsidR="00F87F95" w:rsidRPr="00BE54BE" w:rsidRDefault="00F87F95" w:rsidP="00F87F95">
      <w:r w:rsidRPr="00BE54BE">
        <w:t xml:space="preserve">The requirements defined in clause </w:t>
      </w:r>
      <w:r w:rsidRPr="0082197E">
        <w:rPr>
          <w:lang w:eastAsia="zh-CN"/>
        </w:rPr>
        <w:t>4.2B.2.10.3</w:t>
      </w:r>
      <w:r w:rsidRPr="00BE54BE">
        <w:t xml:space="preserve"> apply for this clause.</w:t>
      </w:r>
    </w:p>
    <w:p w14:paraId="1BC14484" w14:textId="77777777" w:rsidR="00F87F95" w:rsidRDefault="00F87F95" w:rsidP="00F87F95">
      <w:pPr>
        <w:rPr>
          <w:rFonts w:cs="v4.2.0"/>
          <w:i/>
          <w:iCs/>
        </w:rPr>
      </w:pPr>
    </w:p>
    <w:p w14:paraId="606E3678" w14:textId="77777777" w:rsidR="00F87F95" w:rsidRPr="0082197E" w:rsidRDefault="00F87F95" w:rsidP="00F87F95">
      <w:pPr>
        <w:pStyle w:val="Heading5"/>
        <w:rPr>
          <w:lang w:val="en-US" w:eastAsia="zh-CN"/>
        </w:rPr>
      </w:pPr>
      <w:r w:rsidRPr="0082197E">
        <w:rPr>
          <w:lang w:val="en-US" w:eastAsia="zh-CN"/>
        </w:rPr>
        <w:t>4.2B.2.10.6</w:t>
      </w:r>
      <w:r w:rsidRPr="0082197E">
        <w:rPr>
          <w:lang w:val="en-US" w:eastAsia="zh-CN"/>
        </w:rPr>
        <w:tab/>
        <w:t>Measurements for a UE fulfilling not-at-cell edge criterion and stationary not at cell edge criteria</w:t>
      </w:r>
    </w:p>
    <w:p w14:paraId="7F2C9479" w14:textId="77777777" w:rsidR="00F87F95" w:rsidRPr="0082197E" w:rsidRDefault="00F87F95" w:rsidP="00F87F95">
      <w:pPr>
        <w:rPr>
          <w:lang w:eastAsia="zh-CN"/>
        </w:rPr>
      </w:pPr>
      <w:r w:rsidRPr="0082197E">
        <w:rPr>
          <w:lang w:val="en-US" w:eastAsia="zh-CN"/>
        </w:rPr>
        <w:t xml:space="preserve">This clause contains requirements </w:t>
      </w:r>
      <w:r w:rsidRPr="0082197E">
        <w:rPr>
          <w:lang w:eastAsia="zh-CN"/>
        </w:rPr>
        <w:t xml:space="preserve">for measurements on </w:t>
      </w:r>
      <w:r>
        <w:rPr>
          <w:lang w:eastAsia="zh-CN"/>
        </w:rPr>
        <w:t>inter</w:t>
      </w:r>
      <w:r w:rsidRPr="0082197E">
        <w:rPr>
          <w:lang w:eastAsia="zh-CN"/>
        </w:rPr>
        <w:t>-frequency NR cells provided that:</w:t>
      </w:r>
    </w:p>
    <w:p w14:paraId="6C48E1F6" w14:textId="77777777" w:rsidR="00F87F95" w:rsidRPr="0082197E" w:rsidRDefault="00F87F95">
      <w:pPr>
        <w:pStyle w:val="B10"/>
        <w:numPr>
          <w:ilvl w:val="0"/>
          <w:numId w:val="15"/>
        </w:numPr>
        <w:rPr>
          <w:noProof/>
        </w:rPr>
      </w:pPr>
      <w:r w:rsidRPr="0082197E">
        <w:rPr>
          <w:noProof/>
        </w:rPr>
        <w:t>UE is configured with cellEdgeEvaluation [2] criterion and UE has fulfilled that criterion, and</w:t>
      </w:r>
    </w:p>
    <w:p w14:paraId="43118BE2" w14:textId="77777777" w:rsidR="00F87F95" w:rsidRPr="0082197E" w:rsidRDefault="00F87F95">
      <w:pPr>
        <w:pStyle w:val="B10"/>
        <w:numPr>
          <w:ilvl w:val="0"/>
          <w:numId w:val="15"/>
        </w:numPr>
        <w:rPr>
          <w:lang w:eastAsia="zh-CN"/>
        </w:rPr>
      </w:pPr>
      <w:r w:rsidRPr="0082197E">
        <w:rPr>
          <w:lang w:eastAsia="zh-CN"/>
        </w:rPr>
        <w:t xml:space="preserve">UE is configured with </w:t>
      </w:r>
      <w:r w:rsidRPr="0013391D">
        <w:rPr>
          <w:i/>
          <w:iCs/>
        </w:rPr>
        <w:t>stationaryMobilityEvaluation</w:t>
      </w:r>
      <w:r w:rsidRPr="0082197E">
        <w:rPr>
          <w:i/>
          <w:iCs/>
          <w:lang w:eastAsia="zh-CN"/>
        </w:rPr>
        <w:t xml:space="preserve"> </w:t>
      </w:r>
      <w:r w:rsidRPr="0082197E">
        <w:rPr>
          <w:lang w:eastAsia="zh-CN"/>
        </w:rPr>
        <w:t xml:space="preserve">[2] criterion and </w:t>
      </w:r>
      <w:r w:rsidRPr="0082197E">
        <w:rPr>
          <w:i/>
          <w:noProof/>
        </w:rPr>
        <w:t xml:space="preserve">cellEdgeEvaluationWhileStationary </w:t>
      </w:r>
      <w:r w:rsidRPr="0082197E">
        <w:rPr>
          <w:lang w:eastAsia="zh-CN"/>
        </w:rPr>
        <w:t>[2] criterion, and has also fulfilled both criteria</w:t>
      </w:r>
    </w:p>
    <w:p w14:paraId="13303E23" w14:textId="77777777" w:rsidR="00F87F95" w:rsidRPr="0082197E" w:rsidRDefault="00F87F95" w:rsidP="00F87F95">
      <w:r w:rsidRPr="0082197E">
        <w:t xml:space="preserve">The requirements defined in clause </w:t>
      </w:r>
      <w:r w:rsidRPr="0082197E">
        <w:rPr>
          <w:lang w:eastAsia="zh-CN"/>
        </w:rPr>
        <w:t>4.2B.2.10.3</w:t>
      </w:r>
      <w:r w:rsidRPr="0082197E">
        <w:t xml:space="preserve"> apply for this clause.</w:t>
      </w:r>
    </w:p>
    <w:p w14:paraId="0C76529B" w14:textId="77777777" w:rsidR="00F87F95" w:rsidRPr="00BE54BE" w:rsidRDefault="00F87F95" w:rsidP="00D77C68"/>
    <w:p w14:paraId="324BA9C6" w14:textId="77777777" w:rsidR="00F87F95" w:rsidRPr="0082197E" w:rsidRDefault="00F87F95" w:rsidP="00F87F95">
      <w:pPr>
        <w:pStyle w:val="Heading5"/>
        <w:rPr>
          <w:lang w:val="en-US" w:eastAsia="zh-CN"/>
        </w:rPr>
      </w:pPr>
      <w:r w:rsidRPr="0082197E">
        <w:rPr>
          <w:lang w:val="en-US" w:eastAsia="zh-CN"/>
        </w:rPr>
        <w:t>4.2B.2.10.7</w:t>
      </w:r>
      <w:r w:rsidRPr="0082197E">
        <w:rPr>
          <w:lang w:val="en-US" w:eastAsia="zh-CN"/>
        </w:rPr>
        <w:tab/>
        <w:t xml:space="preserve">Measurements for a UE fulfilling </w:t>
      </w:r>
      <w:r>
        <w:rPr>
          <w:lang w:val="en-US" w:eastAsia="zh-CN"/>
        </w:rPr>
        <w:t xml:space="preserve">low mobility </w:t>
      </w:r>
      <w:r w:rsidRPr="0082197E">
        <w:rPr>
          <w:lang w:val="en-US" w:eastAsia="zh-CN"/>
        </w:rPr>
        <w:t>not-at-cell edge criterion and stationary not at cell edge criteria</w:t>
      </w:r>
    </w:p>
    <w:p w14:paraId="1BBCE3E1" w14:textId="77777777" w:rsidR="00F87F95" w:rsidRPr="0082197E" w:rsidRDefault="00F87F95" w:rsidP="00F87F95">
      <w:pPr>
        <w:rPr>
          <w:lang w:eastAsia="zh-CN"/>
        </w:rPr>
      </w:pPr>
      <w:r w:rsidRPr="0082197E">
        <w:rPr>
          <w:lang w:val="en-US" w:eastAsia="zh-CN"/>
        </w:rPr>
        <w:t xml:space="preserve">This clause contains requirements </w:t>
      </w:r>
      <w:r w:rsidRPr="0082197E">
        <w:rPr>
          <w:lang w:eastAsia="zh-CN"/>
        </w:rPr>
        <w:t>for measurements on intra-frequency NR cells provided that:</w:t>
      </w:r>
    </w:p>
    <w:p w14:paraId="387EE523" w14:textId="77777777" w:rsidR="00F87F95" w:rsidRPr="0082197E" w:rsidRDefault="00F87F95">
      <w:pPr>
        <w:pStyle w:val="B10"/>
        <w:numPr>
          <w:ilvl w:val="0"/>
          <w:numId w:val="15"/>
        </w:numPr>
        <w:rPr>
          <w:lang w:eastAsia="zh-CN"/>
        </w:rPr>
      </w:pPr>
      <w:r w:rsidRPr="0082197E">
        <w:rPr>
          <w:lang w:eastAsia="zh-CN"/>
        </w:rPr>
        <w:t xml:space="preserve">UE is configured with both </w:t>
      </w:r>
      <w:r w:rsidRPr="0082197E">
        <w:rPr>
          <w:i/>
          <w:iCs/>
          <w:lang w:eastAsia="zh-CN"/>
        </w:rPr>
        <w:t>lowMobilityEvaluation</w:t>
      </w:r>
      <w:r w:rsidRPr="0082197E" w:rsidDel="002409CF">
        <w:rPr>
          <w:i/>
          <w:iCs/>
          <w:lang w:eastAsia="zh-CN"/>
        </w:rPr>
        <w:t xml:space="preserve"> </w:t>
      </w:r>
      <w:r w:rsidRPr="0082197E">
        <w:rPr>
          <w:lang w:eastAsia="zh-CN"/>
        </w:rPr>
        <w:t xml:space="preserve">[2] criterion and </w:t>
      </w:r>
      <w:r w:rsidRPr="0082197E">
        <w:rPr>
          <w:i/>
          <w:iCs/>
          <w:lang w:eastAsia="zh-CN"/>
        </w:rPr>
        <w:t xml:space="preserve">cellEdgeEvaluation </w:t>
      </w:r>
      <w:r w:rsidRPr="0082197E">
        <w:rPr>
          <w:lang w:eastAsia="zh-CN"/>
        </w:rPr>
        <w:t>[2] criterion, and has fulfilled both criteria, and</w:t>
      </w:r>
    </w:p>
    <w:p w14:paraId="7729449B" w14:textId="77777777" w:rsidR="00F87F95" w:rsidRPr="0082197E" w:rsidRDefault="00F87F95">
      <w:pPr>
        <w:pStyle w:val="B10"/>
        <w:numPr>
          <w:ilvl w:val="0"/>
          <w:numId w:val="15"/>
        </w:numPr>
        <w:rPr>
          <w:lang w:eastAsia="zh-CN"/>
        </w:rPr>
      </w:pPr>
      <w:r w:rsidRPr="0082197E">
        <w:rPr>
          <w:lang w:eastAsia="zh-CN"/>
        </w:rPr>
        <w:t xml:space="preserve">UE is configured with </w:t>
      </w:r>
      <w:r w:rsidRPr="0013391D">
        <w:rPr>
          <w:i/>
          <w:iCs/>
        </w:rPr>
        <w:t>stationaryMobilityEvaluation</w:t>
      </w:r>
      <w:r w:rsidRPr="0082197E" w:rsidDel="00421482">
        <w:rPr>
          <w:i/>
          <w:iCs/>
          <w:lang w:eastAsia="zh-CN"/>
        </w:rPr>
        <w:t xml:space="preserve"> </w:t>
      </w:r>
      <w:r w:rsidRPr="0082197E">
        <w:rPr>
          <w:lang w:eastAsia="zh-CN"/>
        </w:rPr>
        <w:t xml:space="preserve">[2] criterion and </w:t>
      </w:r>
      <w:r w:rsidRPr="0082197E">
        <w:rPr>
          <w:i/>
          <w:noProof/>
        </w:rPr>
        <w:t xml:space="preserve">cellEdgeEvaluationWhileStationary </w:t>
      </w:r>
      <w:r w:rsidRPr="0082197E">
        <w:rPr>
          <w:lang w:eastAsia="zh-CN"/>
        </w:rPr>
        <w:t>[2] criterion, and has also fulfilled both criteria</w:t>
      </w:r>
    </w:p>
    <w:p w14:paraId="0539E6CC" w14:textId="77777777" w:rsidR="00F87F95" w:rsidRPr="0082197E" w:rsidRDefault="00F87F95" w:rsidP="00F87F95">
      <w:r w:rsidRPr="0082197E">
        <w:t xml:space="preserve">The requirements defined in clause </w:t>
      </w:r>
      <w:r w:rsidRPr="0082197E">
        <w:rPr>
          <w:lang w:eastAsia="zh-CN"/>
        </w:rPr>
        <w:t>4.2B.2.10.3</w:t>
      </w:r>
      <w:r w:rsidRPr="0082197E">
        <w:t xml:space="preserve"> apply for this clause.</w:t>
      </w:r>
    </w:p>
    <w:p w14:paraId="59CFEDFD" w14:textId="77777777" w:rsidR="00F87F95" w:rsidRPr="0031562A" w:rsidRDefault="00F87F95" w:rsidP="008A7648"/>
    <w:p w14:paraId="18E9F747" w14:textId="77777777" w:rsidR="00F87F95" w:rsidRPr="0082197E" w:rsidRDefault="00F87F95" w:rsidP="00F87F95">
      <w:pPr>
        <w:pStyle w:val="Heading5"/>
        <w:rPr>
          <w:lang w:val="en-US" w:eastAsia="zh-CN"/>
        </w:rPr>
      </w:pPr>
      <w:r w:rsidRPr="0082197E">
        <w:rPr>
          <w:lang w:val="en-US" w:eastAsia="zh-CN"/>
        </w:rPr>
        <w:t>4.2B.2.</w:t>
      </w:r>
      <w:r>
        <w:rPr>
          <w:lang w:val="en-US" w:eastAsia="zh-CN"/>
        </w:rPr>
        <w:t>10</w:t>
      </w:r>
      <w:r w:rsidRPr="0082197E">
        <w:rPr>
          <w:lang w:val="en-US" w:eastAsia="zh-CN"/>
        </w:rPr>
        <w:t>.</w:t>
      </w:r>
      <w:r>
        <w:rPr>
          <w:lang w:val="en-US" w:eastAsia="zh-CN"/>
        </w:rPr>
        <w:t>8</w:t>
      </w:r>
      <w:r w:rsidRPr="0082197E">
        <w:rPr>
          <w:lang w:val="en-US" w:eastAsia="zh-CN"/>
        </w:rPr>
        <w:tab/>
        <w:t>Measurements for a UE fulfilling</w:t>
      </w:r>
      <w:r>
        <w:rPr>
          <w:lang w:val="en-US" w:eastAsia="zh-CN"/>
        </w:rPr>
        <w:t xml:space="preserve"> low mobility </w:t>
      </w:r>
      <w:r w:rsidRPr="0082197E">
        <w:rPr>
          <w:lang w:val="en-US" w:eastAsia="zh-CN"/>
        </w:rPr>
        <w:t>not-at-cell edge criterion and stationary criteria</w:t>
      </w:r>
    </w:p>
    <w:p w14:paraId="62C015A4" w14:textId="77777777" w:rsidR="00F87F95" w:rsidRPr="0082197E" w:rsidRDefault="00F87F95" w:rsidP="00F87F95">
      <w:pPr>
        <w:rPr>
          <w:lang w:eastAsia="zh-CN"/>
        </w:rPr>
      </w:pPr>
      <w:r w:rsidRPr="0082197E">
        <w:rPr>
          <w:lang w:val="en-US" w:eastAsia="zh-CN"/>
        </w:rPr>
        <w:t xml:space="preserve">This clause contains requirements </w:t>
      </w:r>
      <w:r w:rsidRPr="0082197E">
        <w:rPr>
          <w:lang w:eastAsia="zh-CN"/>
        </w:rPr>
        <w:t xml:space="preserve">for measurements on </w:t>
      </w:r>
      <w:r>
        <w:rPr>
          <w:lang w:eastAsia="zh-CN"/>
        </w:rPr>
        <w:t>inter</w:t>
      </w:r>
      <w:r w:rsidRPr="0082197E">
        <w:rPr>
          <w:lang w:eastAsia="zh-CN"/>
        </w:rPr>
        <w:t>-frequency NR cells provided that:</w:t>
      </w:r>
    </w:p>
    <w:p w14:paraId="7E0B0CEA" w14:textId="768CB361" w:rsidR="00F87F95" w:rsidRPr="00D07D26" w:rsidRDefault="008C090A" w:rsidP="008C090A">
      <w:pPr>
        <w:pStyle w:val="B10"/>
        <w:rPr>
          <w:lang w:eastAsia="zh-CN"/>
        </w:rPr>
      </w:pPr>
      <w:r>
        <w:rPr>
          <w:lang w:eastAsia="zh-CN"/>
        </w:rPr>
        <w:t>-</w:t>
      </w:r>
      <w:r>
        <w:rPr>
          <w:lang w:eastAsia="zh-CN"/>
        </w:rPr>
        <w:tab/>
      </w:r>
      <w:r w:rsidR="00F87F95" w:rsidRPr="00D07D26">
        <w:rPr>
          <w:lang w:eastAsia="zh-CN"/>
        </w:rPr>
        <w:t xml:space="preserve">UE is configured with both </w:t>
      </w:r>
      <w:r w:rsidR="00F87F95" w:rsidRPr="00BE54BE">
        <w:rPr>
          <w:i/>
          <w:iCs/>
          <w:lang w:eastAsia="zh-CN"/>
        </w:rPr>
        <w:t>lowMobilityEvaluation</w:t>
      </w:r>
      <w:r w:rsidR="00F87F95" w:rsidRPr="00D07D26" w:rsidDel="002409CF">
        <w:rPr>
          <w:i/>
          <w:iCs/>
          <w:lang w:eastAsia="zh-CN"/>
        </w:rPr>
        <w:t xml:space="preserve"> </w:t>
      </w:r>
      <w:r w:rsidR="00F87F95" w:rsidRPr="00D07D26">
        <w:rPr>
          <w:lang w:eastAsia="zh-CN"/>
        </w:rPr>
        <w:t xml:space="preserve">[2] criterion and </w:t>
      </w:r>
      <w:r w:rsidR="00F87F95" w:rsidRPr="00D07D26">
        <w:rPr>
          <w:i/>
          <w:iCs/>
          <w:lang w:eastAsia="zh-CN"/>
        </w:rPr>
        <w:t xml:space="preserve">cellEdgeEvaluation </w:t>
      </w:r>
      <w:r w:rsidR="00F87F95" w:rsidRPr="00D07D26">
        <w:rPr>
          <w:lang w:eastAsia="zh-CN"/>
        </w:rPr>
        <w:t>[2] criterion, and has fulfilled both criteria, and</w:t>
      </w:r>
    </w:p>
    <w:p w14:paraId="08FB7322" w14:textId="323DDB8B" w:rsidR="00F87F95" w:rsidRPr="0082197E" w:rsidRDefault="008C090A" w:rsidP="008C090A">
      <w:pPr>
        <w:pStyle w:val="B10"/>
        <w:rPr>
          <w:lang w:eastAsia="zh-CN"/>
        </w:rPr>
      </w:pPr>
      <w:r>
        <w:rPr>
          <w:lang w:eastAsia="zh-CN"/>
        </w:rPr>
        <w:t>-</w:t>
      </w:r>
      <w:r>
        <w:rPr>
          <w:lang w:eastAsia="zh-CN"/>
        </w:rPr>
        <w:tab/>
      </w:r>
      <w:r w:rsidRPr="0082197E">
        <w:rPr>
          <w:lang w:eastAsia="zh-CN"/>
        </w:rPr>
        <w:t xml:space="preserve">UE is configured with </w:t>
      </w:r>
      <w:r w:rsidRPr="0013391D">
        <w:rPr>
          <w:i/>
          <w:iCs/>
        </w:rPr>
        <w:t>stationaryMobilityEvaluation</w:t>
      </w:r>
      <w:r>
        <w:rPr>
          <w:i/>
          <w:iCs/>
        </w:rPr>
        <w:t xml:space="preserve"> </w:t>
      </w:r>
      <w:r w:rsidRPr="0082197E">
        <w:rPr>
          <w:lang w:eastAsia="zh-CN"/>
        </w:rPr>
        <w:t xml:space="preserve">[2] criterion and has also fulfilled </w:t>
      </w:r>
      <w:r>
        <w:rPr>
          <w:lang w:eastAsia="zh-CN"/>
        </w:rPr>
        <w:t xml:space="preserve">that </w:t>
      </w:r>
      <w:r w:rsidRPr="0082197E">
        <w:rPr>
          <w:lang w:eastAsia="zh-CN"/>
        </w:rPr>
        <w:t>criteri</w:t>
      </w:r>
      <w:r>
        <w:rPr>
          <w:lang w:eastAsia="zh-CN"/>
        </w:rPr>
        <w:t xml:space="preserve">on, </w:t>
      </w:r>
      <w:r w:rsidRPr="00C27538">
        <w:rPr>
          <w:lang w:eastAsia="zh-CN"/>
        </w:rPr>
        <w:t xml:space="preserve">or UE is configured with both </w:t>
      </w:r>
      <w:r w:rsidRPr="00C27538">
        <w:rPr>
          <w:i/>
          <w:noProof/>
        </w:rPr>
        <w:t xml:space="preserve">stationaryMobilityEvaluation </w:t>
      </w:r>
      <w:r w:rsidRPr="00C27538">
        <w:rPr>
          <w:lang w:eastAsia="zh-CN"/>
        </w:rPr>
        <w:t xml:space="preserve">[2] criterion and </w:t>
      </w:r>
      <w:r w:rsidRPr="00C27538">
        <w:rPr>
          <w:i/>
          <w:noProof/>
        </w:rPr>
        <w:t xml:space="preserve">cellEdgeEvaluationWhileStationary </w:t>
      </w:r>
      <w:r w:rsidRPr="00C27538">
        <w:rPr>
          <w:lang w:eastAsia="zh-CN"/>
        </w:rPr>
        <w:t xml:space="preserve">[2] criterion and </w:t>
      </w:r>
      <w:r w:rsidRPr="00C27538">
        <w:rPr>
          <w:i/>
          <w:lang w:eastAsia="zh-CN"/>
        </w:rPr>
        <w:t>combineRelaxe</w:t>
      </w:r>
      <w:r w:rsidRPr="004D6618">
        <w:rPr>
          <w:i/>
          <w:lang w:eastAsia="zh-CN"/>
        </w:rPr>
        <w:t xml:space="preserve">dMeasCondition2 </w:t>
      </w:r>
      <w:r w:rsidRPr="004D6618">
        <w:rPr>
          <w:lang w:eastAsia="zh-CN"/>
        </w:rPr>
        <w:t xml:space="preserve">[2] not configured, and UE has fulfilled </w:t>
      </w:r>
      <w:r w:rsidRPr="004D6618">
        <w:rPr>
          <w:i/>
          <w:noProof/>
        </w:rPr>
        <w:t xml:space="preserve">stationaryMobilityEvaluation </w:t>
      </w:r>
      <w:r w:rsidRPr="004D6618">
        <w:rPr>
          <w:lang w:eastAsia="zh-CN"/>
        </w:rPr>
        <w:t>[2] criterion</w:t>
      </w:r>
      <w:r>
        <w:rPr>
          <w:lang w:eastAsia="zh-CN"/>
        </w:rPr>
        <w:t>.</w:t>
      </w:r>
    </w:p>
    <w:p w14:paraId="317C9839" w14:textId="77777777" w:rsidR="00F87F95" w:rsidRPr="0082197E" w:rsidRDefault="00F87F95" w:rsidP="00F87F95">
      <w:r w:rsidRPr="0082197E">
        <w:t xml:space="preserve">The requirements defined in clause </w:t>
      </w:r>
      <w:r w:rsidRPr="0082197E">
        <w:rPr>
          <w:lang w:eastAsia="zh-CN"/>
        </w:rPr>
        <w:t>4.2</w:t>
      </w:r>
      <w:r>
        <w:rPr>
          <w:lang w:eastAsia="zh-CN"/>
        </w:rPr>
        <w:t>.2.10.4</w:t>
      </w:r>
      <w:r w:rsidRPr="0082197E">
        <w:t xml:space="preserve"> apply for this clause.</w:t>
      </w:r>
    </w:p>
    <w:p w14:paraId="13E89761" w14:textId="2D7EAFBD" w:rsidR="00F87F95" w:rsidRDefault="00F87F95" w:rsidP="00EE3F9C"/>
    <w:p w14:paraId="00C0F71C" w14:textId="77777777" w:rsidR="00220A02" w:rsidRDefault="00220A02" w:rsidP="00220A02">
      <w:pPr>
        <w:pStyle w:val="Heading5"/>
        <w:rPr>
          <w:lang w:val="en-US" w:eastAsia="zh-CN"/>
        </w:rPr>
      </w:pPr>
      <w:r>
        <w:rPr>
          <w:lang w:val="en-US" w:eastAsia="zh-CN"/>
        </w:rPr>
        <w:t>4.2B.2.10.9</w:t>
      </w:r>
      <w:r w:rsidRPr="00885F53">
        <w:rPr>
          <w:lang w:val="en-US" w:eastAsia="zh-CN"/>
        </w:rPr>
        <w:tab/>
      </w:r>
      <w:r>
        <w:rPr>
          <w:lang w:val="en-US" w:eastAsia="zh-CN"/>
        </w:rPr>
        <w:t>Measurements for UE fulfilling low mobility criterion</w:t>
      </w:r>
    </w:p>
    <w:p w14:paraId="05D4AF43" w14:textId="77777777" w:rsidR="00220A02" w:rsidRDefault="00220A02" w:rsidP="00220A02">
      <w:pPr>
        <w:rPr>
          <w:rFonts w:eastAsiaTheme="minorEastAsia"/>
          <w:lang w:eastAsia="zh-CN"/>
        </w:rPr>
      </w:pPr>
      <w:r w:rsidRPr="00885F53">
        <w:rPr>
          <w:lang w:val="en-US" w:eastAsia="zh-CN"/>
        </w:rPr>
        <w:t xml:space="preserve">This clause contains requirements </w:t>
      </w:r>
      <w:r>
        <w:rPr>
          <w:rFonts w:eastAsiaTheme="minorEastAsia"/>
          <w:lang w:eastAsia="zh-CN"/>
        </w:rPr>
        <w:t>for measurements on inter-frequency NR cells provided that:</w:t>
      </w:r>
    </w:p>
    <w:p w14:paraId="4B5458C2" w14:textId="77777777" w:rsidR="00220A02" w:rsidRPr="00FA1949" w:rsidRDefault="00220A02" w:rsidP="00220A02">
      <w:pPr>
        <w:pStyle w:val="B10"/>
        <w:rPr>
          <w:rFonts w:eastAsiaTheme="minorEastAsia"/>
          <w:lang w:eastAsia="zh-CN"/>
        </w:rPr>
      </w:pPr>
      <w:r>
        <w:rPr>
          <w:lang w:eastAsia="zh-CN"/>
        </w:rPr>
        <w:t>-</w:t>
      </w:r>
      <w:r>
        <w:rPr>
          <w:lang w:eastAsia="zh-CN"/>
        </w:rPr>
        <w:tab/>
      </w:r>
      <w:r w:rsidRPr="00996B49">
        <w:rPr>
          <w:lang w:eastAsia="zh-CN"/>
        </w:rPr>
        <w:t xml:space="preserve">UE is configured with </w:t>
      </w:r>
      <w:r w:rsidRPr="001C6668">
        <w:rPr>
          <w:i/>
          <w:iCs/>
          <w:lang w:eastAsia="zh-CN"/>
        </w:rPr>
        <w:t>lowMobilityEvaluation</w:t>
      </w:r>
      <w:r w:rsidRPr="00032D2A" w:rsidDel="001E51FB">
        <w:rPr>
          <w:i/>
          <w:iCs/>
          <w:lang w:eastAsia="zh-CN"/>
        </w:rPr>
        <w:t xml:space="preserve"> </w:t>
      </w:r>
      <w:r w:rsidRPr="00032D2A">
        <w:rPr>
          <w:lang w:eastAsia="zh-CN"/>
        </w:rPr>
        <w:t xml:space="preserve">[2] </w:t>
      </w:r>
      <w:r w:rsidRPr="00557212">
        <w:rPr>
          <w:rFonts w:eastAsiaTheme="minorEastAsia"/>
          <w:lang w:eastAsia="zh-CN"/>
        </w:rPr>
        <w:t>criterion</w:t>
      </w:r>
      <w:r>
        <w:rPr>
          <w:rFonts w:eastAsiaTheme="minorEastAsia"/>
          <w:lang w:eastAsia="zh-CN"/>
        </w:rPr>
        <w:t xml:space="preserve"> and UE has fulfilled</w:t>
      </w:r>
      <w:r w:rsidRPr="00557212">
        <w:rPr>
          <w:rFonts w:eastAsiaTheme="minorEastAsia"/>
          <w:lang w:eastAsia="zh-CN"/>
        </w:rPr>
        <w:t xml:space="preserve">, or </w:t>
      </w:r>
    </w:p>
    <w:p w14:paraId="7DDDF162" w14:textId="77777777" w:rsidR="00220A02" w:rsidRPr="00C33767" w:rsidRDefault="00220A02" w:rsidP="00220A02">
      <w:pPr>
        <w:pStyle w:val="B10"/>
        <w:rPr>
          <w:lang w:eastAsia="zh-CN"/>
        </w:rPr>
      </w:pPr>
      <w:r>
        <w:rPr>
          <w:lang w:eastAsia="zh-CN"/>
        </w:rPr>
        <w:t>-</w:t>
      </w:r>
      <w:r>
        <w:rPr>
          <w:lang w:eastAsia="zh-CN"/>
        </w:rPr>
        <w:tab/>
      </w:r>
      <w:r w:rsidRPr="007C2D19">
        <w:rPr>
          <w:lang w:eastAsia="zh-CN"/>
        </w:rPr>
        <w:t xml:space="preserve">UE is configured with both </w:t>
      </w:r>
      <w:r w:rsidRPr="001C6668">
        <w:rPr>
          <w:i/>
          <w:iCs/>
          <w:lang w:eastAsia="zh-CN"/>
        </w:rPr>
        <w:t>lowMobilityEvaluation</w:t>
      </w:r>
      <w:r w:rsidRPr="00032D2A" w:rsidDel="001E51FB">
        <w:rPr>
          <w:i/>
          <w:iCs/>
          <w:lang w:eastAsia="zh-CN"/>
        </w:rPr>
        <w:t xml:space="preserve"> </w:t>
      </w:r>
      <w:r w:rsidRPr="00032D2A">
        <w:rPr>
          <w:lang w:eastAsia="zh-CN"/>
        </w:rPr>
        <w:t>[2]</w:t>
      </w:r>
      <w:r w:rsidRPr="00557212">
        <w:rPr>
          <w:lang w:eastAsia="zh-CN"/>
        </w:rPr>
        <w:t xml:space="preserve"> and </w:t>
      </w:r>
      <w:r w:rsidRPr="00032D2A">
        <w:rPr>
          <w:i/>
          <w:iCs/>
          <w:lang w:eastAsia="zh-CN"/>
        </w:rPr>
        <w:t xml:space="preserve">cellEdgeEvaluation </w:t>
      </w:r>
      <w:r w:rsidRPr="00032D2A">
        <w:rPr>
          <w:lang w:eastAsia="zh-CN"/>
        </w:rPr>
        <w:t>[2]</w:t>
      </w:r>
      <w:r w:rsidRPr="00557212">
        <w:rPr>
          <w:lang w:eastAsia="zh-CN"/>
        </w:rPr>
        <w:t xml:space="preserve"> criterion</w:t>
      </w:r>
      <w:r w:rsidRPr="00C15974">
        <w:t xml:space="preserve"> </w:t>
      </w:r>
      <w:r w:rsidRPr="00C15974">
        <w:rPr>
          <w:lang w:eastAsia="zh-CN"/>
        </w:rPr>
        <w:t xml:space="preserve">and </w:t>
      </w:r>
      <w:r w:rsidRPr="002F5786">
        <w:rPr>
          <w:i/>
          <w:iCs/>
          <w:lang w:eastAsia="zh-CN"/>
        </w:rPr>
        <w:t>combineRelaxedMeasCondition</w:t>
      </w:r>
      <w:r w:rsidRPr="00C15974">
        <w:rPr>
          <w:lang w:eastAsia="zh-CN"/>
        </w:rPr>
        <w:t xml:space="preserve"> [2] not configured</w:t>
      </w:r>
      <w:r w:rsidRPr="00557212">
        <w:rPr>
          <w:lang w:eastAsia="zh-CN"/>
        </w:rPr>
        <w:t>, and</w:t>
      </w:r>
      <w:r w:rsidRPr="007C2D19">
        <w:rPr>
          <w:lang w:eastAsia="zh-CN"/>
        </w:rPr>
        <w:t xml:space="preserve"> </w:t>
      </w:r>
    </w:p>
    <w:p w14:paraId="46823490" w14:textId="77777777" w:rsidR="00220A02" w:rsidRPr="00A41B58" w:rsidRDefault="00220A02" w:rsidP="00220A02">
      <w:pPr>
        <w:pStyle w:val="B10"/>
        <w:rPr>
          <w:lang w:eastAsia="zh-CN"/>
        </w:rPr>
      </w:pPr>
      <w:r>
        <w:rPr>
          <w:lang w:eastAsia="zh-CN"/>
        </w:rPr>
        <w:t>-</w:t>
      </w:r>
      <w:r>
        <w:rPr>
          <w:lang w:eastAsia="zh-CN"/>
        </w:rPr>
        <w:tab/>
      </w:r>
      <w:r w:rsidRPr="00C33767">
        <w:rPr>
          <w:lang w:eastAsia="zh-CN"/>
        </w:rPr>
        <w:t xml:space="preserve">UE has fulfilled </w:t>
      </w:r>
      <w:r w:rsidRPr="00557212">
        <w:rPr>
          <w:rFonts w:eastAsiaTheme="minorEastAsia"/>
          <w:lang w:eastAsia="zh-CN"/>
        </w:rPr>
        <w:t xml:space="preserve">only the </w:t>
      </w:r>
      <w:r w:rsidRPr="001C6668">
        <w:rPr>
          <w:i/>
          <w:iCs/>
          <w:lang w:eastAsia="zh-CN"/>
        </w:rPr>
        <w:t>lowMobilityEvaluation</w:t>
      </w:r>
      <w:r w:rsidRPr="00032D2A" w:rsidDel="001E51FB">
        <w:rPr>
          <w:i/>
          <w:iCs/>
          <w:lang w:eastAsia="zh-CN"/>
        </w:rPr>
        <w:t xml:space="preserve"> </w:t>
      </w:r>
      <w:r w:rsidRPr="00032D2A">
        <w:rPr>
          <w:lang w:eastAsia="zh-CN"/>
        </w:rPr>
        <w:t>[2]</w:t>
      </w:r>
      <w:r w:rsidRPr="00557212">
        <w:rPr>
          <w:rFonts w:eastAsiaTheme="minorEastAsia"/>
          <w:lang w:eastAsia="zh-CN"/>
        </w:rPr>
        <w:t xml:space="preserve"> criterion</w:t>
      </w:r>
      <w:r w:rsidRPr="00A41B58">
        <w:rPr>
          <w:lang w:eastAsia="zh-CN"/>
        </w:rPr>
        <w:t>.</w:t>
      </w:r>
    </w:p>
    <w:p w14:paraId="0C274AD0" w14:textId="77777777" w:rsidR="00220A02" w:rsidRDefault="00220A02" w:rsidP="00220A02">
      <w:pPr>
        <w:rPr>
          <w:noProof/>
        </w:rPr>
      </w:pPr>
      <w:r>
        <w:rPr>
          <w:rFonts w:hint="eastAsia"/>
          <w:noProof/>
          <w:lang w:eastAsia="zh-CN"/>
        </w:rPr>
        <w:t>W</w:t>
      </w:r>
      <w:r w:rsidRPr="007C2D19">
        <w:rPr>
          <w:noProof/>
        </w:rPr>
        <w:t xml:space="preserve">hen </w:t>
      </w:r>
      <w:r w:rsidRPr="00734785">
        <w:rPr>
          <w:rFonts w:eastAsiaTheme="minorEastAsia"/>
          <w:lang w:eastAsia="zh-CN"/>
        </w:rPr>
        <w:t xml:space="preserve">Srxlev </w:t>
      </w:r>
      <w:r w:rsidRPr="00691C10">
        <w:t>≤</w:t>
      </w:r>
      <w:r w:rsidRPr="00734785">
        <w:rPr>
          <w:rFonts w:eastAsiaTheme="minorEastAsia"/>
          <w:lang w:eastAsia="zh-CN"/>
        </w:rPr>
        <w:t xml:space="preserve"> S</w:t>
      </w:r>
      <w:r w:rsidRPr="00C15974">
        <w:rPr>
          <w:rFonts w:eastAsiaTheme="minorEastAsia"/>
          <w:vertAlign w:val="subscript"/>
          <w:lang w:eastAsia="zh-CN"/>
        </w:rPr>
        <w:t>nonIntraSearchP</w:t>
      </w:r>
      <w:r w:rsidRPr="00734785">
        <w:rPr>
          <w:rFonts w:eastAsiaTheme="minorEastAsia"/>
          <w:lang w:eastAsia="zh-CN"/>
        </w:rPr>
        <w:t xml:space="preserve"> </w:t>
      </w:r>
      <w:r>
        <w:rPr>
          <w:rFonts w:eastAsiaTheme="minorEastAsia"/>
          <w:lang w:eastAsia="zh-CN"/>
        </w:rPr>
        <w:t>or</w:t>
      </w:r>
      <w:r w:rsidRPr="00734785">
        <w:rPr>
          <w:rFonts w:eastAsiaTheme="minorEastAsia"/>
          <w:lang w:eastAsia="zh-CN"/>
        </w:rPr>
        <w:t xml:space="preserve"> Squal </w:t>
      </w:r>
      <w:r w:rsidRPr="00691C10">
        <w:t>≤</w:t>
      </w:r>
      <w:r w:rsidRPr="00734785">
        <w:rPr>
          <w:rFonts w:eastAsiaTheme="minorEastAsia"/>
          <w:lang w:eastAsia="zh-CN"/>
        </w:rPr>
        <w:t xml:space="preserve"> S</w:t>
      </w:r>
      <w:r w:rsidRPr="00C15974">
        <w:rPr>
          <w:rFonts w:eastAsiaTheme="minorEastAsia"/>
          <w:vertAlign w:val="subscript"/>
          <w:lang w:eastAsia="zh-CN"/>
        </w:rPr>
        <w:t>nonIntraSearchQ</w:t>
      </w:r>
      <w:r w:rsidRPr="00734785">
        <w:rPr>
          <w:rFonts w:eastAsiaTheme="minorEastAsia"/>
          <w:lang w:eastAsia="zh-CN"/>
        </w:rPr>
        <w:t xml:space="preserve"> </w:t>
      </w:r>
      <w:r>
        <w:rPr>
          <w:rFonts w:eastAsiaTheme="minorEastAsia" w:hint="eastAsia"/>
          <w:lang w:eastAsia="zh-CN"/>
        </w:rPr>
        <w:t>then t</w:t>
      </w:r>
      <w:r w:rsidRPr="0089796C">
        <w:rPr>
          <w:noProof/>
        </w:rPr>
        <w:t xml:space="preserve">he requirements </w:t>
      </w:r>
      <w:r>
        <w:rPr>
          <w:noProof/>
        </w:rPr>
        <w:t xml:space="preserve">are </w:t>
      </w:r>
      <w:r w:rsidRPr="0089796C">
        <w:rPr>
          <w:noProof/>
        </w:rPr>
        <w:t xml:space="preserve">defined </w:t>
      </w:r>
      <w:r>
        <w:rPr>
          <w:noProof/>
        </w:rPr>
        <w:t>as follows:</w:t>
      </w:r>
    </w:p>
    <w:p w14:paraId="5A6DC083" w14:textId="77777777" w:rsidR="00220A02" w:rsidRDefault="00220A02" w:rsidP="00220A02">
      <w:pPr>
        <w:pStyle w:val="B10"/>
      </w:pPr>
      <w:r w:rsidRPr="0089796C">
        <w:t>-</w:t>
      </w:r>
      <w:r w:rsidRPr="0089796C">
        <w:tab/>
      </w:r>
      <w:r w:rsidRPr="00885F53">
        <w:t>T</w:t>
      </w:r>
      <w:r w:rsidRPr="00885F53">
        <w:rPr>
          <w:vertAlign w:val="subscript"/>
        </w:rPr>
        <w:t>detect,</w:t>
      </w:r>
      <w:r w:rsidRPr="00885F53">
        <w:rPr>
          <w:vertAlign w:val="subscript"/>
          <w:lang w:eastAsia="zh-CN"/>
        </w:rPr>
        <w:t>NR</w:t>
      </w:r>
      <w:r w:rsidRPr="00885F53">
        <w:rPr>
          <w:vertAlign w:val="subscript"/>
        </w:rPr>
        <w:t>_Int</w:t>
      </w:r>
      <w:r>
        <w:rPr>
          <w:vertAlign w:val="subscript"/>
        </w:rPr>
        <w:t>er_RedCap_Relax</w:t>
      </w:r>
      <w:r w:rsidRPr="00885F53">
        <w:rPr>
          <w:i/>
          <w:vertAlign w:val="subscript"/>
        </w:rPr>
        <w:t xml:space="preserve"> </w:t>
      </w:r>
      <w:r>
        <w:t xml:space="preserve">as specified in </w:t>
      </w:r>
      <w:r w:rsidRPr="00AD77EE">
        <w:t xml:space="preserve">Table </w:t>
      </w:r>
      <w:r>
        <w:t>4.2B.2.10.9</w:t>
      </w:r>
      <w:r w:rsidRPr="00AD77EE">
        <w:t>-1</w:t>
      </w:r>
      <w:r w:rsidRPr="00D04289">
        <w:t xml:space="preserve"> </w:t>
      </w:r>
      <w:r>
        <w:t xml:space="preserve">and </w:t>
      </w:r>
      <w:r w:rsidRPr="00AD77EE">
        <w:t xml:space="preserve">Table </w:t>
      </w:r>
      <w:r>
        <w:t>4.2B.2.10.9</w:t>
      </w:r>
      <w:r w:rsidRPr="00AD77EE">
        <w:t>-</w:t>
      </w:r>
      <w:r>
        <w:t xml:space="preserve">2 </w:t>
      </w:r>
      <w:r>
        <w:rPr>
          <w:lang w:val="en-US"/>
        </w:rPr>
        <w:t>for 1 Rx RedCap and 2 Rx RedCap respectively</w:t>
      </w:r>
      <w:r w:rsidRPr="00AD77EE">
        <w:t>.</w:t>
      </w:r>
    </w:p>
    <w:p w14:paraId="3F7F4F36" w14:textId="77777777" w:rsidR="00220A02" w:rsidRDefault="00220A02" w:rsidP="00220A02">
      <w:pPr>
        <w:pStyle w:val="B10"/>
      </w:pPr>
      <w:r w:rsidRPr="0089796C">
        <w:t>-</w:t>
      </w:r>
      <w:r w:rsidRPr="0089796C">
        <w:tab/>
      </w:r>
      <w:r w:rsidRPr="00885F53">
        <w:rPr>
          <w:rFonts w:cs="v4.2.0"/>
        </w:rPr>
        <w:t>T</w:t>
      </w:r>
      <w:r w:rsidRPr="00885F53">
        <w:rPr>
          <w:rFonts w:cs="v4.2.0"/>
          <w:vertAlign w:val="subscript"/>
        </w:rPr>
        <w:t>measure,NR_Int</w:t>
      </w:r>
      <w:r>
        <w:rPr>
          <w:rFonts w:cs="v4.2.0"/>
          <w:vertAlign w:val="subscript"/>
        </w:rPr>
        <w:t>e</w:t>
      </w:r>
      <w:r w:rsidRPr="00885F53">
        <w:rPr>
          <w:rFonts w:cs="v4.2.0"/>
          <w:vertAlign w:val="subscript"/>
        </w:rPr>
        <w:t>r</w:t>
      </w:r>
      <w:r w:rsidRPr="007C6A6B">
        <w:rPr>
          <w:vertAlign w:val="subscript"/>
        </w:rPr>
        <w:t xml:space="preserve"> </w:t>
      </w:r>
      <w:r>
        <w:rPr>
          <w:vertAlign w:val="subscript"/>
        </w:rPr>
        <w:t>RedCap Relax</w:t>
      </w:r>
      <w:r w:rsidRPr="00885F53">
        <w:rPr>
          <w:rFonts w:cs="v4.2.0"/>
        </w:rPr>
        <w:t xml:space="preserve"> </w:t>
      </w:r>
      <w:r>
        <w:t xml:space="preserve">as specified in </w:t>
      </w:r>
      <w:r w:rsidRPr="00AD77EE">
        <w:t xml:space="preserve">Table </w:t>
      </w:r>
      <w:r>
        <w:t>4.2B.2.10.9</w:t>
      </w:r>
      <w:r w:rsidRPr="00AD77EE">
        <w:t>-1</w:t>
      </w:r>
      <w:r w:rsidRPr="009B63AD">
        <w:t xml:space="preserve"> </w:t>
      </w:r>
      <w:r>
        <w:t xml:space="preserve">and </w:t>
      </w:r>
      <w:r w:rsidRPr="00AD77EE">
        <w:t xml:space="preserve">Table </w:t>
      </w:r>
      <w:r>
        <w:t>4.2B.2.10.9</w:t>
      </w:r>
      <w:r w:rsidRPr="00AD77EE">
        <w:t>-</w:t>
      </w:r>
      <w:r>
        <w:t xml:space="preserve">2 </w:t>
      </w:r>
      <w:r>
        <w:rPr>
          <w:lang w:val="en-US"/>
        </w:rPr>
        <w:t>for 1 Rx RedCap and 2 Rx RedCap respectively</w:t>
      </w:r>
      <w:r w:rsidRPr="00AD77EE">
        <w:t>.</w:t>
      </w:r>
    </w:p>
    <w:p w14:paraId="120E9A7E" w14:textId="77777777" w:rsidR="00220A02" w:rsidRDefault="00220A02" w:rsidP="00220A02">
      <w:pPr>
        <w:pStyle w:val="B10"/>
      </w:pPr>
      <w:r w:rsidRPr="00B73B84">
        <w:t>-</w:t>
      </w:r>
      <w:r w:rsidRPr="00B73B84">
        <w:tab/>
      </w:r>
      <w:r w:rsidRPr="00B73B84">
        <w:rPr>
          <w:rFonts w:cs="v4.2.0"/>
        </w:rPr>
        <w:t>T</w:t>
      </w:r>
      <w:r w:rsidRPr="00B73B84">
        <w:rPr>
          <w:rFonts w:cs="v4.2.0"/>
          <w:vertAlign w:val="subscript"/>
        </w:rPr>
        <w:t>evaluate,</w:t>
      </w:r>
      <w:r w:rsidRPr="00B73B84">
        <w:rPr>
          <w:rFonts w:cs="v4.2.0"/>
          <w:vertAlign w:val="subscript"/>
          <w:lang w:eastAsia="zh-CN"/>
        </w:rPr>
        <w:t>NR</w:t>
      </w:r>
      <w:r w:rsidRPr="00B73B84">
        <w:rPr>
          <w:rFonts w:cs="v4.2.0"/>
          <w:vertAlign w:val="subscript"/>
        </w:rPr>
        <w:t>_Inter</w:t>
      </w:r>
      <w:r>
        <w:rPr>
          <w:vertAlign w:val="subscript"/>
        </w:rPr>
        <w:t>_RedCap Relax</w:t>
      </w:r>
      <w:r w:rsidRPr="00B73B84">
        <w:rPr>
          <w:rFonts w:cs="v4.2.0"/>
          <w:vertAlign w:val="subscript"/>
        </w:rPr>
        <w:t xml:space="preserve"> </w:t>
      </w:r>
      <w:r w:rsidRPr="00B73B84">
        <w:t xml:space="preserve">as specified in </w:t>
      </w:r>
      <w:r w:rsidRPr="00854F01">
        <w:t xml:space="preserve">Table </w:t>
      </w:r>
      <w:r>
        <w:t>4.2B.2.10.9</w:t>
      </w:r>
      <w:r w:rsidRPr="00854F01">
        <w:t>-1</w:t>
      </w:r>
      <w:r w:rsidRPr="009B63AD">
        <w:t xml:space="preserve"> </w:t>
      </w:r>
      <w:r>
        <w:t xml:space="preserve">and </w:t>
      </w:r>
      <w:r w:rsidRPr="00AD77EE">
        <w:t xml:space="preserve">Table </w:t>
      </w:r>
      <w:r>
        <w:t>4.2B.2.10.9</w:t>
      </w:r>
      <w:r w:rsidRPr="00AD77EE">
        <w:t>-</w:t>
      </w:r>
      <w:r>
        <w:t xml:space="preserve">2 </w:t>
      </w:r>
      <w:r>
        <w:rPr>
          <w:lang w:val="en-US"/>
        </w:rPr>
        <w:t>for 1 Rx RedCap and 2 Rx RedCap respectively</w:t>
      </w:r>
      <w:r w:rsidRPr="00854F01">
        <w:t>.</w:t>
      </w:r>
    </w:p>
    <w:p w14:paraId="55499F60" w14:textId="77777777" w:rsidR="00220A02" w:rsidRPr="003D532E" w:rsidRDefault="00220A02" w:rsidP="00220A02">
      <w:pPr>
        <w:pStyle w:val="B10"/>
        <w:ind w:left="0" w:firstLine="0"/>
        <w:rPr>
          <w:noProof/>
        </w:rPr>
      </w:pPr>
      <w:r w:rsidRPr="003D532E">
        <w:rPr>
          <w:noProof/>
        </w:rPr>
        <w:t>If the UE is configured with eDRX_IDLE cycle then the requirements in Table 4.2B.2.</w:t>
      </w:r>
      <w:r>
        <w:rPr>
          <w:noProof/>
        </w:rPr>
        <w:t>10</w:t>
      </w:r>
      <w:r w:rsidRPr="003D532E">
        <w:rPr>
          <w:noProof/>
        </w:rPr>
        <w:t>.</w:t>
      </w:r>
      <w:r>
        <w:rPr>
          <w:noProof/>
        </w:rPr>
        <w:t>9</w:t>
      </w:r>
      <w:r w:rsidRPr="003D532E">
        <w:rPr>
          <w:noProof/>
        </w:rPr>
        <w:t xml:space="preserve">-3 </w:t>
      </w:r>
      <w:r>
        <w:rPr>
          <w:noProof/>
        </w:rPr>
        <w:t xml:space="preserve">and </w:t>
      </w:r>
      <w:r w:rsidRPr="003D532E">
        <w:rPr>
          <w:noProof/>
        </w:rPr>
        <w:t>Table 4.2B.2.</w:t>
      </w:r>
      <w:r>
        <w:rPr>
          <w:noProof/>
        </w:rPr>
        <w:t>10</w:t>
      </w:r>
      <w:r w:rsidRPr="003D532E">
        <w:rPr>
          <w:noProof/>
        </w:rPr>
        <w:t>.</w:t>
      </w:r>
      <w:r>
        <w:rPr>
          <w:noProof/>
        </w:rPr>
        <w:t>9</w:t>
      </w:r>
      <w:r w:rsidRPr="003D532E">
        <w:rPr>
          <w:noProof/>
        </w:rPr>
        <w:t>-</w:t>
      </w:r>
      <w:r>
        <w:rPr>
          <w:noProof/>
        </w:rPr>
        <w:t>4</w:t>
      </w:r>
      <w:r w:rsidRPr="003D532E">
        <w:rPr>
          <w:noProof/>
        </w:rPr>
        <w:t xml:space="preserve"> </w:t>
      </w:r>
      <w:r>
        <w:rPr>
          <w:noProof/>
        </w:rPr>
        <w:t>are</w:t>
      </w:r>
      <w:r w:rsidRPr="003D532E">
        <w:rPr>
          <w:noProof/>
        </w:rPr>
        <w:t xml:space="preserve"> applicable for eDRX cycle up to 10.24 s in FR1 and FR2</w:t>
      </w:r>
      <w:r>
        <w:rPr>
          <w:noProof/>
        </w:rPr>
        <w:t>, respectively</w:t>
      </w:r>
      <w:r w:rsidRPr="003D532E">
        <w:rPr>
          <w:noProof/>
        </w:rPr>
        <w:t xml:space="preserve">. </w:t>
      </w:r>
    </w:p>
    <w:p w14:paraId="04740A48" w14:textId="77777777" w:rsidR="00220A02" w:rsidRDefault="00220A02" w:rsidP="00220A02">
      <w:pPr>
        <w:spacing w:after="0"/>
      </w:pPr>
      <w:r w:rsidRPr="003D532E">
        <w:t xml:space="preserve">If the UE is configured with eDRX_IDLE cycle greater than 10.24 s in FR1 and FR2, then the requirements in Table </w:t>
      </w:r>
      <w:r w:rsidRPr="003D532E">
        <w:rPr>
          <w:lang w:val="en-US"/>
        </w:rPr>
        <w:t>Table 4.2B.2.</w:t>
      </w:r>
      <w:r>
        <w:rPr>
          <w:lang w:val="en-US"/>
        </w:rPr>
        <w:t>10</w:t>
      </w:r>
      <w:r w:rsidRPr="003D532E">
        <w:rPr>
          <w:lang w:val="en-US"/>
        </w:rPr>
        <w:t>.</w:t>
      </w:r>
      <w:r>
        <w:rPr>
          <w:lang w:val="en-US"/>
        </w:rPr>
        <w:t>9</w:t>
      </w:r>
      <w:r w:rsidRPr="003D532E">
        <w:rPr>
          <w:lang w:val="en-US"/>
        </w:rPr>
        <w:t>-</w:t>
      </w:r>
      <w:r>
        <w:rPr>
          <w:lang w:val="en-US"/>
        </w:rPr>
        <w:t>5</w:t>
      </w:r>
      <w:r w:rsidRPr="003D532E">
        <w:t xml:space="preserve"> and </w:t>
      </w:r>
      <w:r w:rsidRPr="003D532E">
        <w:rPr>
          <w:lang w:val="en-US"/>
        </w:rPr>
        <w:t>Table 4.2B.2.</w:t>
      </w:r>
      <w:r>
        <w:rPr>
          <w:lang w:val="en-US"/>
        </w:rPr>
        <w:t>10</w:t>
      </w:r>
      <w:r w:rsidRPr="003D532E">
        <w:rPr>
          <w:lang w:val="en-US"/>
        </w:rPr>
        <w:t>.</w:t>
      </w:r>
      <w:r>
        <w:rPr>
          <w:lang w:val="en-US"/>
        </w:rPr>
        <w:t>9</w:t>
      </w:r>
      <w:r w:rsidRPr="003D532E">
        <w:rPr>
          <w:lang w:val="en-US"/>
        </w:rPr>
        <w:t>-</w:t>
      </w:r>
      <w:r>
        <w:rPr>
          <w:lang w:val="en-US"/>
        </w:rPr>
        <w:t>6</w:t>
      </w:r>
      <w:r w:rsidRPr="003D532E">
        <w:rPr>
          <w:lang w:val="en-US"/>
        </w:rPr>
        <w:t xml:space="preserve"> respectively </w:t>
      </w:r>
      <w:r w:rsidRPr="003D532E">
        <w:t>apply provided</w:t>
      </w:r>
      <w:r w:rsidRPr="00140320">
        <w:t xml:space="preserve"> </w:t>
      </w:r>
      <w:r w:rsidRPr="003D532E">
        <w:t xml:space="preserve">eDRX cycle is </w:t>
      </w:r>
      <w:r w:rsidRPr="003D532E">
        <w:rPr>
          <w:rFonts w:hint="eastAsia"/>
        </w:rPr>
        <w:t>≤</w:t>
      </w:r>
      <w:r w:rsidRPr="003D532E">
        <w:t xml:space="preserve"> [163.84] sec and evaluation/measurement time with relaxation on one carrier is not greater than single PTW window length.</w:t>
      </w:r>
    </w:p>
    <w:p w14:paraId="72BB2EEA" w14:textId="77777777" w:rsidR="00220A02" w:rsidRPr="00854F01" w:rsidRDefault="00220A02" w:rsidP="00034E52">
      <w:pPr>
        <w:pStyle w:val="B10"/>
        <w:ind w:left="0" w:firstLine="0"/>
      </w:pPr>
    </w:p>
    <w:p w14:paraId="1203C125" w14:textId="77777777" w:rsidR="00220A02" w:rsidRPr="00B73B84" w:rsidRDefault="00220A02" w:rsidP="00220A02">
      <w:pPr>
        <w:rPr>
          <w:lang w:eastAsia="zh-CN"/>
        </w:rPr>
      </w:pPr>
      <w:r>
        <w:rPr>
          <w:lang w:eastAsia="zh-CN"/>
        </w:rPr>
        <w:t>W</w:t>
      </w:r>
      <w:r w:rsidRPr="00C33767">
        <w:rPr>
          <w:lang w:eastAsia="zh-CN"/>
        </w:rPr>
        <w:t xml:space="preserve">hen </w:t>
      </w:r>
      <w:r w:rsidRPr="00A41B58">
        <w:t>Srxlev &gt; S</w:t>
      </w:r>
      <w:r w:rsidRPr="00A41B58">
        <w:rPr>
          <w:vertAlign w:val="subscript"/>
        </w:rPr>
        <w:t>nonIntraSearchP</w:t>
      </w:r>
      <w:r w:rsidRPr="00A41B58">
        <w:t xml:space="preserve"> and Squal &gt; S</w:t>
      </w:r>
      <w:r w:rsidRPr="00EC47A7">
        <w:rPr>
          <w:vertAlign w:val="subscript"/>
        </w:rPr>
        <w:t>nonIntraSearchQ</w:t>
      </w:r>
      <w:r w:rsidRPr="00EC47A7">
        <w:t xml:space="preserve"> and the UE is co</w:t>
      </w:r>
      <w:r w:rsidRPr="00D56527">
        <w:t xml:space="preserve">nfigured with </w:t>
      </w:r>
      <w:r w:rsidRPr="00734785">
        <w:rPr>
          <w:i/>
          <w:iCs/>
          <w:noProof/>
        </w:rPr>
        <w:t>highPriorityMeasRelax</w:t>
      </w:r>
      <w:r w:rsidRPr="00734785">
        <w:rPr>
          <w:noProof/>
        </w:rPr>
        <w:t xml:space="preserve"> [2]</w:t>
      </w:r>
      <w:r w:rsidRPr="00C33767">
        <w:rPr>
          <w:noProof/>
        </w:rPr>
        <w:t xml:space="preserve"> </w:t>
      </w:r>
      <w:r w:rsidRPr="00A41B58">
        <w:rPr>
          <w:noProof/>
        </w:rPr>
        <w:t>then</w:t>
      </w:r>
      <w:r w:rsidRPr="00A41B58">
        <w:t xml:space="preserve"> the UE shall search for inter-frequency layers of higher priority at least every K</w:t>
      </w:r>
      <w:r w:rsidRPr="00EC47A7">
        <w:t>2*T</w:t>
      </w:r>
      <w:r w:rsidRPr="00EC47A7">
        <w:rPr>
          <w:vertAlign w:val="subscript"/>
        </w:rPr>
        <w:t xml:space="preserve">higher_priority_search </w:t>
      </w:r>
      <w:r w:rsidRPr="00EC47A7">
        <w:t>where T</w:t>
      </w:r>
      <w:r w:rsidRPr="00EC47A7">
        <w:rPr>
          <w:vertAlign w:val="subscript"/>
        </w:rPr>
        <w:t>higher_priority_search</w:t>
      </w:r>
      <w:r w:rsidRPr="00D56527">
        <w:t xml:space="preserve"> is described in clause </w:t>
      </w:r>
      <w:r>
        <w:t>4.2B.</w:t>
      </w:r>
      <w:r w:rsidRPr="00D56527">
        <w:t>2.7 and</w:t>
      </w:r>
      <w:r w:rsidRPr="000D108A">
        <w:t xml:space="preserve">, </w:t>
      </w:r>
      <w:r w:rsidRPr="000D108A">
        <w:rPr>
          <w:snapToGrid w:val="0"/>
          <w:lang w:eastAsia="zh-CN"/>
        </w:rPr>
        <w:t>K2</w:t>
      </w:r>
      <w:r w:rsidRPr="009449C0">
        <w:rPr>
          <w:snapToGrid w:val="0"/>
          <w:lang w:eastAsia="zh-CN"/>
        </w:rPr>
        <w:t xml:space="preserve"> = 60</w:t>
      </w:r>
      <w:r w:rsidRPr="009449C0">
        <w:t xml:space="preserve">. </w:t>
      </w:r>
      <w:r w:rsidRPr="00CF075A">
        <w:t xml:space="preserve">Otherwise if </w:t>
      </w:r>
      <w:r w:rsidRPr="00734785">
        <w:t xml:space="preserve">the UE is not configured with </w:t>
      </w:r>
      <w:r w:rsidRPr="00734785">
        <w:rPr>
          <w:i/>
          <w:iCs/>
          <w:noProof/>
        </w:rPr>
        <w:t>highPriorityMeasRelax</w:t>
      </w:r>
      <w:r w:rsidRPr="00734785">
        <w:rPr>
          <w:noProof/>
        </w:rPr>
        <w:t xml:space="preserve"> [2] then </w:t>
      </w:r>
      <w:r w:rsidRPr="00C33767">
        <w:rPr>
          <w:noProof/>
        </w:rPr>
        <w:t xml:space="preserve">the UE shall </w:t>
      </w:r>
      <w:r w:rsidRPr="00A41B58">
        <w:t>search for inter-frequency layers of higher priority at least every T</w:t>
      </w:r>
      <w:r w:rsidRPr="00A41B58">
        <w:rPr>
          <w:vertAlign w:val="subscript"/>
        </w:rPr>
        <w:t xml:space="preserve">higher_priority_search </w:t>
      </w:r>
      <w:r w:rsidRPr="00A41B58">
        <w:t>where T</w:t>
      </w:r>
      <w:r w:rsidRPr="00EC47A7">
        <w:rPr>
          <w:vertAlign w:val="subscript"/>
        </w:rPr>
        <w:t>higher_priority_search</w:t>
      </w:r>
      <w:r w:rsidRPr="00EC47A7">
        <w:t xml:space="preserve"> is described in clause </w:t>
      </w:r>
      <w:r>
        <w:t>4.2B.</w:t>
      </w:r>
      <w:r w:rsidRPr="00EC47A7">
        <w:t>2.7.</w:t>
      </w:r>
    </w:p>
    <w:p w14:paraId="35155EEA" w14:textId="77777777" w:rsidR="00220A02" w:rsidRDefault="00220A02" w:rsidP="009F2DC6">
      <w:pPr>
        <w:pStyle w:val="TH"/>
      </w:pPr>
      <w:r w:rsidRPr="00885F53">
        <w:t xml:space="preserve">Table </w:t>
      </w:r>
      <w:r>
        <w:t>4.2B.2.10.9</w:t>
      </w:r>
      <w:r w:rsidRPr="00885F53">
        <w:t>-</w:t>
      </w:r>
      <w:r>
        <w:t>1</w:t>
      </w:r>
      <w:r w:rsidRPr="00885F53">
        <w:t>: T</w:t>
      </w:r>
      <w:r w:rsidRPr="00885F53">
        <w:rPr>
          <w:vertAlign w:val="subscript"/>
        </w:rPr>
        <w:t>detect,NR_</w:t>
      </w:r>
      <w:r w:rsidRPr="00EE1704">
        <w:rPr>
          <w:vertAlign w:val="subscript"/>
        </w:rPr>
        <w:t xml:space="preserve"> </w:t>
      </w:r>
      <w:r w:rsidRPr="00885F53">
        <w:rPr>
          <w:vertAlign w:val="subscript"/>
        </w:rPr>
        <w:t>Inter</w:t>
      </w:r>
      <w:r>
        <w:rPr>
          <w:vertAlign w:val="subscript"/>
        </w:rPr>
        <w:t>_RedCap_Relax</w:t>
      </w:r>
      <w:r w:rsidRPr="00885F53">
        <w:rPr>
          <w:vertAlign w:val="subscript"/>
        </w:rPr>
        <w:t>,</w:t>
      </w:r>
      <w:r w:rsidRPr="00885F53">
        <w:t xml:space="preserve"> T</w:t>
      </w:r>
      <w:r w:rsidRPr="00885F53">
        <w:rPr>
          <w:vertAlign w:val="subscript"/>
        </w:rPr>
        <w:t>measure,NR_</w:t>
      </w:r>
      <w:r w:rsidRPr="00EE1704">
        <w:rPr>
          <w:vertAlign w:val="subscript"/>
        </w:rPr>
        <w:t xml:space="preserve"> </w:t>
      </w:r>
      <w:r w:rsidRPr="00885F53">
        <w:rPr>
          <w:vertAlign w:val="subscript"/>
        </w:rPr>
        <w:t>Inter</w:t>
      </w:r>
      <w:r>
        <w:rPr>
          <w:vertAlign w:val="subscript"/>
        </w:rPr>
        <w:t xml:space="preserve"> RedCap_Relax</w:t>
      </w:r>
      <w:r w:rsidRPr="00885F53">
        <w:t xml:space="preserve"> and T</w:t>
      </w:r>
      <w:r w:rsidRPr="00885F53">
        <w:rPr>
          <w:vertAlign w:val="subscript"/>
        </w:rPr>
        <w:t>evaluate,NR_</w:t>
      </w:r>
      <w:r w:rsidRPr="00EE1704">
        <w:rPr>
          <w:vertAlign w:val="subscript"/>
        </w:rPr>
        <w:t xml:space="preserve"> </w:t>
      </w:r>
      <w:r w:rsidRPr="00885F53">
        <w:rPr>
          <w:vertAlign w:val="subscript"/>
        </w:rPr>
        <w:t>Inter</w:t>
      </w:r>
      <w:r>
        <w:rPr>
          <w:vertAlign w:val="subscript"/>
        </w:rPr>
        <w:t xml:space="preserve"> RedCap_Relax</w:t>
      </w:r>
      <w:r w:rsidRPr="008B51B4">
        <w:rPr>
          <w:lang w:val="en-US"/>
        </w:rPr>
        <w:t xml:space="preserve"> </w:t>
      </w:r>
      <w:r w:rsidRPr="00F74563">
        <w:rPr>
          <w:lang w:val="en-US"/>
        </w:rPr>
        <w:t xml:space="preserve">for UEs fulfilling </w:t>
      </w:r>
      <w:r>
        <w:rPr>
          <w:lang w:val="en-US" w:eastAsia="zh-CN"/>
        </w:rPr>
        <w:t xml:space="preserve">low mobility </w:t>
      </w:r>
      <w:r>
        <w:rPr>
          <w:lang w:val="en-US"/>
        </w:rPr>
        <w:t>criterion for 1 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3045"/>
        <w:gridCol w:w="3142"/>
        <w:gridCol w:w="1987"/>
      </w:tblGrid>
      <w:tr w:rsidR="00220A02" w:rsidRPr="00885F53" w14:paraId="75ECF85F"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0FE712E0" w14:textId="77777777" w:rsidR="00220A02" w:rsidRPr="00885F53" w:rsidRDefault="00220A02" w:rsidP="008B25C8">
            <w:pPr>
              <w:pStyle w:val="TAH"/>
            </w:pPr>
            <w:r w:rsidRPr="00885F53">
              <w:t>DRX cycle length [s]</w:t>
            </w:r>
          </w:p>
        </w:tc>
        <w:tc>
          <w:tcPr>
            <w:tcW w:w="0" w:type="auto"/>
            <w:tcBorders>
              <w:top w:val="single" w:sz="4" w:space="0" w:color="auto"/>
              <w:left w:val="single" w:sz="4" w:space="0" w:color="auto"/>
              <w:bottom w:val="single" w:sz="4" w:space="0" w:color="auto"/>
              <w:right w:val="single" w:sz="4" w:space="0" w:color="auto"/>
            </w:tcBorders>
            <w:hideMark/>
          </w:tcPr>
          <w:p w14:paraId="2ECBC303" w14:textId="77777777" w:rsidR="00220A02" w:rsidRPr="00885F53" w:rsidRDefault="00220A02" w:rsidP="008B25C8">
            <w:pPr>
              <w:pStyle w:val="TAH"/>
            </w:pPr>
            <w:r w:rsidRPr="00885F53">
              <w:t>T</w:t>
            </w:r>
            <w:r w:rsidRPr="00885F53">
              <w:rPr>
                <w:vertAlign w:val="subscript"/>
              </w:rPr>
              <w:t>detect,NR_ Inter</w:t>
            </w:r>
            <w:r>
              <w:rPr>
                <w:vertAlign w:val="subscript"/>
              </w:rPr>
              <w:t xml:space="preserve"> RedCap_Relax</w:t>
            </w:r>
            <w:r w:rsidRPr="00885F53">
              <w:t xml:space="preserve"> [s] (number of DRX cycles)</w:t>
            </w:r>
          </w:p>
        </w:tc>
        <w:tc>
          <w:tcPr>
            <w:tcW w:w="0" w:type="auto"/>
            <w:tcBorders>
              <w:top w:val="single" w:sz="4" w:space="0" w:color="auto"/>
              <w:left w:val="single" w:sz="4" w:space="0" w:color="auto"/>
              <w:bottom w:val="single" w:sz="4" w:space="0" w:color="auto"/>
              <w:right w:val="single" w:sz="4" w:space="0" w:color="auto"/>
            </w:tcBorders>
            <w:hideMark/>
          </w:tcPr>
          <w:p w14:paraId="5A05274D" w14:textId="77777777" w:rsidR="00220A02" w:rsidRPr="00885F53" w:rsidRDefault="00220A02" w:rsidP="008B25C8">
            <w:pPr>
              <w:pStyle w:val="TAH"/>
            </w:pPr>
            <w:r w:rsidRPr="00885F53">
              <w:t>T</w:t>
            </w:r>
            <w:r w:rsidRPr="00885F53">
              <w:rPr>
                <w:vertAlign w:val="subscript"/>
              </w:rPr>
              <w:t>measure,NR_ Inter</w:t>
            </w:r>
            <w:r>
              <w:rPr>
                <w:vertAlign w:val="subscript"/>
              </w:rPr>
              <w:t xml:space="preserve"> RedCap_Relax</w:t>
            </w:r>
            <w:r w:rsidRPr="00885F53">
              <w:t xml:space="preserve"> [s] (number of DRX cycles)</w:t>
            </w:r>
          </w:p>
        </w:tc>
        <w:tc>
          <w:tcPr>
            <w:tcW w:w="0" w:type="auto"/>
            <w:tcBorders>
              <w:top w:val="single" w:sz="4" w:space="0" w:color="auto"/>
              <w:left w:val="single" w:sz="4" w:space="0" w:color="auto"/>
              <w:bottom w:val="single" w:sz="4" w:space="0" w:color="auto"/>
              <w:right w:val="single" w:sz="4" w:space="0" w:color="auto"/>
            </w:tcBorders>
            <w:hideMark/>
          </w:tcPr>
          <w:p w14:paraId="12C18D51" w14:textId="77777777" w:rsidR="00220A02" w:rsidRPr="00885F53" w:rsidRDefault="00220A02" w:rsidP="008B25C8">
            <w:pPr>
              <w:pStyle w:val="TAH"/>
              <w:rPr>
                <w:vertAlign w:val="subscript"/>
              </w:rPr>
            </w:pPr>
            <w:r w:rsidRPr="00885F53">
              <w:t>T</w:t>
            </w:r>
            <w:r w:rsidRPr="00885F53">
              <w:rPr>
                <w:vertAlign w:val="subscript"/>
              </w:rPr>
              <w:t>evaluate,NR_ Inter</w:t>
            </w:r>
            <w:r>
              <w:rPr>
                <w:vertAlign w:val="subscript"/>
              </w:rPr>
              <w:t xml:space="preserve"> RedCap_Relax</w:t>
            </w:r>
          </w:p>
          <w:p w14:paraId="265715D3" w14:textId="77777777" w:rsidR="00220A02" w:rsidRPr="00885F53" w:rsidRDefault="00220A02" w:rsidP="008B25C8">
            <w:pPr>
              <w:pStyle w:val="TAH"/>
            </w:pPr>
            <w:r w:rsidRPr="00885F53">
              <w:t>[s] (number of DRX cycles)</w:t>
            </w:r>
          </w:p>
        </w:tc>
      </w:tr>
      <w:tr w:rsidR="00220A02" w:rsidRPr="00EA7096" w14:paraId="79A99201"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F01419C" w14:textId="77777777" w:rsidR="00220A02" w:rsidRPr="00885F53" w:rsidRDefault="00220A02" w:rsidP="008B25C8">
            <w:pPr>
              <w:pStyle w:val="TAC"/>
            </w:pPr>
            <w:r w:rsidRPr="00885F53">
              <w:t>0.32</w:t>
            </w:r>
          </w:p>
        </w:tc>
        <w:tc>
          <w:tcPr>
            <w:tcW w:w="0" w:type="auto"/>
            <w:tcBorders>
              <w:top w:val="single" w:sz="4" w:space="0" w:color="auto"/>
              <w:left w:val="single" w:sz="4" w:space="0" w:color="auto"/>
              <w:bottom w:val="single" w:sz="4" w:space="0" w:color="auto"/>
              <w:right w:val="single" w:sz="4" w:space="0" w:color="auto"/>
            </w:tcBorders>
            <w:hideMark/>
          </w:tcPr>
          <w:p w14:paraId="0E3EC322" w14:textId="77777777" w:rsidR="00220A02" w:rsidRPr="00950DA1" w:rsidRDefault="00220A02" w:rsidP="008B25C8">
            <w:pPr>
              <w:pStyle w:val="TAC"/>
              <w:rPr>
                <w:lang w:val="sv-SE"/>
              </w:rPr>
            </w:pPr>
            <w:r w:rsidRPr="00950DA1">
              <w:rPr>
                <w:lang w:val="sv-SE"/>
              </w:rPr>
              <w:t xml:space="preserve">11.52 x </w:t>
            </w:r>
            <w:r w:rsidRPr="00950DA1">
              <w:rPr>
                <w:rFonts w:cs="Arial"/>
                <w:lang w:val="sv-SE" w:eastAsia="zh-CN"/>
              </w:rPr>
              <w:t>M2</w:t>
            </w:r>
            <w:r>
              <w:rPr>
                <w:rFonts w:cs="Arial"/>
                <w:lang w:val="sv-SE" w:eastAsia="zh-CN"/>
              </w:rPr>
              <w:t xml:space="preserve"> x K1</w:t>
            </w:r>
            <w:r w:rsidRPr="00950DA1">
              <w:rPr>
                <w:rFonts w:cs="Arial"/>
                <w:lang w:val="sv-SE" w:eastAsia="zh-CN"/>
              </w:rPr>
              <w:t xml:space="preserve"> </w:t>
            </w:r>
            <w:r w:rsidRPr="00950DA1">
              <w:rPr>
                <w:lang w:val="sv-SE"/>
              </w:rPr>
              <w:t xml:space="preserve">(36 x </w:t>
            </w:r>
            <w:r w:rsidRPr="00950DA1">
              <w:rPr>
                <w:rFonts w:cs="Arial"/>
                <w:lang w:val="sv-SE" w:eastAsia="zh-CN"/>
              </w:rPr>
              <w:t>M2</w:t>
            </w:r>
            <w:r>
              <w:rPr>
                <w:rFonts w:cs="Arial"/>
                <w:lang w:val="sv-SE" w:eastAsia="zh-CN"/>
              </w:rPr>
              <w:t xml:space="preserve"> 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18D0B171" w14:textId="77777777" w:rsidR="00220A02" w:rsidRPr="00950DA1" w:rsidRDefault="00220A02" w:rsidP="008B25C8">
            <w:pPr>
              <w:pStyle w:val="TAC"/>
              <w:rPr>
                <w:lang w:val="sv-SE"/>
              </w:rPr>
            </w:pPr>
            <w:r w:rsidRPr="00950DA1">
              <w:rPr>
                <w:lang w:val="sv-SE"/>
              </w:rPr>
              <w:t xml:space="preserve">1.28 x </w:t>
            </w:r>
            <w:r w:rsidRPr="00950DA1">
              <w:rPr>
                <w:rFonts w:cs="Arial"/>
                <w:lang w:val="sv-SE" w:eastAsia="zh-CN"/>
              </w:rPr>
              <w:t>M2</w:t>
            </w:r>
            <w:r>
              <w:rPr>
                <w:rFonts w:cs="Arial"/>
                <w:lang w:val="sv-SE" w:eastAsia="zh-CN"/>
              </w:rPr>
              <w:t xml:space="preserve"> x K1</w:t>
            </w:r>
            <w:r w:rsidRPr="00950DA1">
              <w:rPr>
                <w:rFonts w:cs="Arial"/>
                <w:snapToGrid w:val="0"/>
                <w:lang w:val="sv-SE"/>
              </w:rPr>
              <w:t xml:space="preserve"> </w:t>
            </w:r>
            <w:r w:rsidRPr="00950DA1">
              <w:rPr>
                <w:lang w:val="sv-SE"/>
              </w:rPr>
              <w:t xml:space="preserve">(4 x </w:t>
            </w:r>
            <w:r w:rsidRPr="00950DA1">
              <w:rPr>
                <w:rFonts w:cs="Arial"/>
                <w:lang w:val="sv-SE" w:eastAsia="zh-CN"/>
              </w:rPr>
              <w:t>M2</w:t>
            </w:r>
            <w:r>
              <w:rPr>
                <w:rFonts w:cs="Arial"/>
                <w:lang w:val="sv-SE" w:eastAsia="zh-CN"/>
              </w:rPr>
              <w:t xml:space="preserve"> 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1933F779" w14:textId="77777777" w:rsidR="00220A02" w:rsidRPr="00950DA1" w:rsidRDefault="00220A02" w:rsidP="008B25C8">
            <w:pPr>
              <w:pStyle w:val="TAC"/>
              <w:rPr>
                <w:lang w:val="sv-SE"/>
              </w:rPr>
            </w:pPr>
            <w:r w:rsidRPr="00950DA1">
              <w:rPr>
                <w:lang w:val="sv-SE"/>
              </w:rPr>
              <w:t xml:space="preserve">5.12 x </w:t>
            </w:r>
            <w:r w:rsidRPr="00950DA1">
              <w:rPr>
                <w:rFonts w:cs="Arial"/>
                <w:lang w:val="sv-SE" w:eastAsia="zh-CN"/>
              </w:rPr>
              <w:t>M2</w:t>
            </w:r>
            <w:r>
              <w:rPr>
                <w:rFonts w:cs="Arial"/>
                <w:lang w:val="sv-SE" w:eastAsia="zh-CN"/>
              </w:rPr>
              <w:t xml:space="preserve"> x K1</w:t>
            </w:r>
            <w:r w:rsidRPr="00950DA1">
              <w:rPr>
                <w:rFonts w:cs="Arial"/>
                <w:snapToGrid w:val="0"/>
                <w:lang w:val="sv-SE"/>
              </w:rPr>
              <w:t xml:space="preserve"> </w:t>
            </w:r>
            <w:r w:rsidRPr="00950DA1">
              <w:rPr>
                <w:lang w:val="sv-SE"/>
              </w:rPr>
              <w:t xml:space="preserve">(16 x </w:t>
            </w:r>
            <w:r w:rsidRPr="00950DA1">
              <w:rPr>
                <w:rFonts w:cs="Arial"/>
                <w:lang w:val="sv-SE" w:eastAsia="zh-CN"/>
              </w:rPr>
              <w:t>M2</w:t>
            </w:r>
            <w:r>
              <w:rPr>
                <w:rFonts w:cs="Arial"/>
                <w:lang w:val="sv-SE" w:eastAsia="zh-CN"/>
              </w:rPr>
              <w:t xml:space="preserve"> x K1</w:t>
            </w:r>
            <w:r w:rsidRPr="00950DA1">
              <w:rPr>
                <w:lang w:val="sv-SE"/>
              </w:rPr>
              <w:t>)</w:t>
            </w:r>
          </w:p>
        </w:tc>
      </w:tr>
      <w:tr w:rsidR="00220A02" w:rsidRPr="00885F53" w14:paraId="41D066E5"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9532147" w14:textId="77777777" w:rsidR="00220A02" w:rsidRPr="00885F53" w:rsidRDefault="00220A02" w:rsidP="008B25C8">
            <w:pPr>
              <w:pStyle w:val="TAC"/>
            </w:pPr>
            <w:r w:rsidRPr="00885F53">
              <w:t>0.64</w:t>
            </w:r>
          </w:p>
        </w:tc>
        <w:tc>
          <w:tcPr>
            <w:tcW w:w="0" w:type="auto"/>
            <w:tcBorders>
              <w:top w:val="single" w:sz="4" w:space="0" w:color="auto"/>
              <w:left w:val="single" w:sz="4" w:space="0" w:color="auto"/>
              <w:bottom w:val="single" w:sz="4" w:space="0" w:color="auto"/>
              <w:right w:val="single" w:sz="4" w:space="0" w:color="auto"/>
            </w:tcBorders>
            <w:hideMark/>
          </w:tcPr>
          <w:p w14:paraId="053096CF" w14:textId="77777777" w:rsidR="00220A02" w:rsidRPr="00885F53" w:rsidRDefault="00220A02" w:rsidP="008B25C8">
            <w:pPr>
              <w:pStyle w:val="TAC"/>
            </w:pPr>
            <w:r w:rsidRPr="00885F53">
              <w:t xml:space="preserve">17.92 x </w:t>
            </w:r>
            <w:r>
              <w:rPr>
                <w:rFonts w:cs="Arial"/>
                <w:lang w:val="sv-SE" w:eastAsia="zh-CN"/>
              </w:rPr>
              <w:t>K1</w:t>
            </w:r>
            <w:r w:rsidRPr="00885F53">
              <w:t xml:space="preserve"> (28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341639F9" w14:textId="77777777" w:rsidR="00220A02" w:rsidRPr="00885F53" w:rsidRDefault="00220A02" w:rsidP="008B25C8">
            <w:pPr>
              <w:pStyle w:val="TAC"/>
            </w:pPr>
            <w:r w:rsidRPr="00885F53">
              <w:t xml:space="preserve">1.28 x </w:t>
            </w:r>
            <w:r>
              <w:rPr>
                <w:rFonts w:cs="Arial"/>
                <w:lang w:val="sv-SE" w:eastAsia="zh-CN"/>
              </w:rPr>
              <w:t>K1</w:t>
            </w:r>
            <w:r w:rsidRPr="00885F53">
              <w:t xml:space="preserve"> (2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53BAD6D4" w14:textId="77777777" w:rsidR="00220A02" w:rsidRPr="00885F53" w:rsidRDefault="00220A02" w:rsidP="008B25C8">
            <w:pPr>
              <w:pStyle w:val="TAC"/>
            </w:pPr>
            <w:r w:rsidRPr="00885F53">
              <w:t xml:space="preserve">5.12 x </w:t>
            </w:r>
            <w:r>
              <w:rPr>
                <w:rFonts w:cs="Arial"/>
                <w:lang w:val="sv-SE" w:eastAsia="zh-CN"/>
              </w:rPr>
              <w:t>K1</w:t>
            </w:r>
            <w:r w:rsidRPr="00885F53">
              <w:t xml:space="preserve"> (8 x </w:t>
            </w:r>
            <w:r>
              <w:rPr>
                <w:rFonts w:cs="Arial"/>
                <w:lang w:val="sv-SE" w:eastAsia="zh-CN"/>
              </w:rPr>
              <w:t>K1</w:t>
            </w:r>
            <w:r w:rsidRPr="00885F53">
              <w:t>)</w:t>
            </w:r>
          </w:p>
        </w:tc>
      </w:tr>
      <w:tr w:rsidR="00220A02" w:rsidRPr="00885F53" w14:paraId="5B1A2F41"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3083DE6" w14:textId="77777777" w:rsidR="00220A02" w:rsidRPr="00885F53" w:rsidRDefault="00220A02" w:rsidP="008B25C8">
            <w:pPr>
              <w:pStyle w:val="TAC"/>
            </w:pPr>
            <w:r w:rsidRPr="00885F53">
              <w:t>1.28</w:t>
            </w:r>
          </w:p>
        </w:tc>
        <w:tc>
          <w:tcPr>
            <w:tcW w:w="0" w:type="auto"/>
            <w:tcBorders>
              <w:top w:val="single" w:sz="4" w:space="0" w:color="auto"/>
              <w:left w:val="single" w:sz="4" w:space="0" w:color="auto"/>
              <w:bottom w:val="single" w:sz="4" w:space="0" w:color="auto"/>
              <w:right w:val="single" w:sz="4" w:space="0" w:color="auto"/>
            </w:tcBorders>
            <w:hideMark/>
          </w:tcPr>
          <w:p w14:paraId="1E3B912D" w14:textId="77777777" w:rsidR="00220A02" w:rsidRPr="00885F53" w:rsidRDefault="00220A02" w:rsidP="008B25C8">
            <w:pPr>
              <w:pStyle w:val="TAC"/>
            </w:pPr>
            <w:r w:rsidRPr="00885F53">
              <w:t xml:space="preserve">32 x </w:t>
            </w:r>
            <w:r>
              <w:rPr>
                <w:rFonts w:cs="Arial"/>
                <w:lang w:val="sv-SE" w:eastAsia="zh-CN"/>
              </w:rPr>
              <w:t>K1</w:t>
            </w:r>
            <w:r w:rsidRPr="00885F53">
              <w:t xml:space="preserve"> (25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6E3D1F1F" w14:textId="77777777" w:rsidR="00220A02" w:rsidRPr="00885F53" w:rsidRDefault="00220A02" w:rsidP="008B25C8">
            <w:pPr>
              <w:pStyle w:val="TAC"/>
            </w:pPr>
            <w:r w:rsidRPr="00885F53">
              <w:t xml:space="preserve">1.28 x </w:t>
            </w:r>
            <w:r>
              <w:rPr>
                <w:rFonts w:cs="Arial"/>
                <w:lang w:val="sv-SE" w:eastAsia="zh-CN"/>
              </w:rPr>
              <w:t>K1</w:t>
            </w:r>
            <w:r w:rsidRPr="00885F53">
              <w:t xml:space="preserve"> (1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39DFD5CF" w14:textId="77777777" w:rsidR="00220A02" w:rsidRPr="00885F53" w:rsidRDefault="00220A02" w:rsidP="008B25C8">
            <w:pPr>
              <w:pStyle w:val="TAC"/>
            </w:pPr>
            <w:r w:rsidRPr="00885F53">
              <w:t xml:space="preserve">6.4 x </w:t>
            </w:r>
            <w:r>
              <w:rPr>
                <w:rFonts w:cs="Arial"/>
                <w:lang w:val="sv-SE" w:eastAsia="zh-CN"/>
              </w:rPr>
              <w:t>K1</w:t>
            </w:r>
            <w:r w:rsidRPr="00885F53">
              <w:t xml:space="preserve"> (5 x </w:t>
            </w:r>
            <w:r>
              <w:rPr>
                <w:rFonts w:cs="Arial"/>
                <w:lang w:val="sv-SE" w:eastAsia="zh-CN"/>
              </w:rPr>
              <w:t>K1</w:t>
            </w:r>
            <w:r w:rsidRPr="00885F53">
              <w:t>)</w:t>
            </w:r>
          </w:p>
        </w:tc>
      </w:tr>
      <w:tr w:rsidR="00220A02" w:rsidRPr="00885F53" w14:paraId="33020B4C"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693AE47" w14:textId="77777777" w:rsidR="00220A02" w:rsidRPr="00885F53" w:rsidRDefault="00220A02" w:rsidP="008B25C8">
            <w:pPr>
              <w:pStyle w:val="TAC"/>
            </w:pPr>
            <w:r w:rsidRPr="00885F53">
              <w:t>2.56</w:t>
            </w:r>
          </w:p>
        </w:tc>
        <w:tc>
          <w:tcPr>
            <w:tcW w:w="0" w:type="auto"/>
            <w:tcBorders>
              <w:top w:val="single" w:sz="4" w:space="0" w:color="auto"/>
              <w:left w:val="single" w:sz="4" w:space="0" w:color="auto"/>
              <w:bottom w:val="single" w:sz="4" w:space="0" w:color="auto"/>
              <w:right w:val="single" w:sz="4" w:space="0" w:color="auto"/>
            </w:tcBorders>
            <w:hideMark/>
          </w:tcPr>
          <w:p w14:paraId="3A918F38" w14:textId="77777777" w:rsidR="00220A02" w:rsidRPr="00885F53" w:rsidRDefault="00220A02" w:rsidP="008B25C8">
            <w:pPr>
              <w:pStyle w:val="TAC"/>
            </w:pPr>
            <w:r w:rsidRPr="00885F53">
              <w:rPr>
                <w:rFonts w:cs="Arial"/>
                <w:lang w:eastAsia="zh-CN"/>
              </w:rPr>
              <w:t>58.88</w:t>
            </w:r>
            <w:r w:rsidRPr="00885F53">
              <w:t xml:space="preserve"> x </w:t>
            </w:r>
            <w:r>
              <w:rPr>
                <w:rFonts w:cs="Arial"/>
                <w:lang w:val="sv-SE" w:eastAsia="zh-CN"/>
              </w:rPr>
              <w:t>K1</w:t>
            </w:r>
            <w:r w:rsidRPr="00885F53">
              <w:t xml:space="preserve"> (23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7D301E5F" w14:textId="77777777" w:rsidR="00220A02" w:rsidRPr="00885F53" w:rsidRDefault="00220A02" w:rsidP="008B25C8">
            <w:pPr>
              <w:pStyle w:val="TAC"/>
            </w:pPr>
            <w:r w:rsidRPr="00885F53">
              <w:t xml:space="preserve">2.56 x </w:t>
            </w:r>
            <w:r>
              <w:rPr>
                <w:rFonts w:cs="Arial"/>
                <w:lang w:val="sv-SE" w:eastAsia="zh-CN"/>
              </w:rPr>
              <w:t>K1</w:t>
            </w:r>
            <w:r w:rsidRPr="00885F53">
              <w:t xml:space="preserve"> (1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3A0A2A35" w14:textId="77777777" w:rsidR="00220A02" w:rsidRPr="00885F53" w:rsidRDefault="00220A02" w:rsidP="008B25C8">
            <w:pPr>
              <w:pStyle w:val="TAC"/>
            </w:pPr>
            <w:r w:rsidRPr="00885F53">
              <w:t xml:space="preserve">7.68 x </w:t>
            </w:r>
            <w:r>
              <w:rPr>
                <w:rFonts w:cs="Arial"/>
                <w:lang w:val="sv-SE" w:eastAsia="zh-CN"/>
              </w:rPr>
              <w:t>K1</w:t>
            </w:r>
            <w:r w:rsidRPr="00885F53">
              <w:t xml:space="preserve"> (3 x </w:t>
            </w:r>
            <w:r>
              <w:rPr>
                <w:rFonts w:cs="Arial"/>
                <w:lang w:val="sv-SE" w:eastAsia="zh-CN"/>
              </w:rPr>
              <w:t>K1</w:t>
            </w:r>
            <w:r w:rsidRPr="00885F53">
              <w:t>)</w:t>
            </w:r>
          </w:p>
        </w:tc>
      </w:tr>
      <w:tr w:rsidR="00220A02" w:rsidRPr="00885F53" w14:paraId="0B12B848" w14:textId="77777777" w:rsidTr="008B25C8">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7078267E" w14:textId="77777777" w:rsidR="00220A02" w:rsidRPr="007D632B" w:rsidRDefault="00220A02" w:rsidP="008B25C8">
            <w:pPr>
              <w:pStyle w:val="TAN"/>
              <w:rPr>
                <w:snapToGrid w:val="0"/>
                <w:lang w:eastAsia="zh-CN"/>
              </w:rPr>
            </w:pPr>
            <w:r w:rsidRPr="00885F53">
              <w:rPr>
                <w:snapToGrid w:val="0"/>
                <w:lang w:eastAsia="zh-CN"/>
              </w:rPr>
              <w:t xml:space="preserve">Note </w:t>
            </w:r>
            <w:r>
              <w:rPr>
                <w:snapToGrid w:val="0"/>
                <w:lang w:eastAsia="zh-CN"/>
              </w:rPr>
              <w:t>1</w:t>
            </w:r>
            <w:r w:rsidRPr="00885F53">
              <w:rPr>
                <w:snapToGrid w:val="0"/>
                <w:lang w:eastAsia="zh-CN"/>
              </w:rPr>
              <w:t>:</w:t>
            </w:r>
            <w:r w:rsidRPr="00885F53">
              <w:rPr>
                <w:lang w:val="en-US"/>
              </w:rPr>
              <w:tab/>
            </w:r>
            <w:r w:rsidRPr="00885F53">
              <w:rPr>
                <w:snapToGrid w:val="0"/>
                <w:lang w:eastAsia="zh-CN"/>
              </w:rPr>
              <w:t xml:space="preserve">M2 = 1.5 if SMTC </w:t>
            </w:r>
            <w:r w:rsidRPr="00C83CA1">
              <w:rPr>
                <w:snapToGrid w:val="0"/>
                <w:lang w:eastAsia="zh-CN"/>
              </w:rPr>
              <w:t>periodicity</w:t>
            </w:r>
            <w:r w:rsidRPr="00EF59D1">
              <w:t xml:space="preserve"> </w:t>
            </w:r>
            <w:r w:rsidRPr="00EF59D1">
              <w:rPr>
                <w:snapToGrid w:val="0"/>
                <w:lang w:eastAsia="zh-CN"/>
              </w:rPr>
              <w:t>of measured intra-frequency cell &gt; 20 ms; otherwise M2=1.</w:t>
            </w:r>
          </w:p>
          <w:p w14:paraId="4C699F57" w14:textId="77777777" w:rsidR="00220A02" w:rsidRPr="00885F53" w:rsidRDefault="00220A02" w:rsidP="008B25C8">
            <w:pPr>
              <w:pStyle w:val="TAN"/>
            </w:pPr>
            <w:r w:rsidRPr="00E9086F">
              <w:rPr>
                <w:snapToGrid w:val="0"/>
                <w:lang w:eastAsia="zh-CN"/>
              </w:rPr>
              <w:t xml:space="preserve">Note </w:t>
            </w:r>
            <w:r>
              <w:rPr>
                <w:snapToGrid w:val="0"/>
                <w:lang w:eastAsia="zh-CN"/>
              </w:rPr>
              <w:t>2</w:t>
            </w:r>
            <w:r w:rsidRPr="00E9086F">
              <w:rPr>
                <w:snapToGrid w:val="0"/>
                <w:lang w:eastAsia="zh-CN"/>
              </w:rPr>
              <w:t>:</w:t>
            </w:r>
            <w:r w:rsidRPr="00885F53">
              <w:rPr>
                <w:lang w:val="en-US"/>
              </w:rPr>
              <w:tab/>
            </w:r>
            <w:r w:rsidRPr="00E9086F">
              <w:rPr>
                <w:snapToGrid w:val="0"/>
                <w:lang w:eastAsia="zh-CN"/>
              </w:rPr>
              <w:t>K1 = 3</w:t>
            </w:r>
            <w:r w:rsidRPr="007C2D19">
              <w:rPr>
                <w:snapToGrid w:val="0"/>
                <w:lang w:eastAsia="zh-CN"/>
              </w:rPr>
              <w:t xml:space="preserve"> is</w:t>
            </w:r>
            <w:r w:rsidRPr="00C33767">
              <w:rPr>
                <w:snapToGrid w:val="0"/>
                <w:lang w:eastAsia="zh-CN"/>
              </w:rPr>
              <w:t xml:space="preserve"> the measu</w:t>
            </w:r>
            <w:r>
              <w:rPr>
                <w:snapToGrid w:val="0"/>
                <w:lang w:eastAsia="zh-CN"/>
              </w:rPr>
              <w:t xml:space="preserve">rement relaxation factor applicable for UE fulfilling the </w:t>
            </w:r>
            <w:r w:rsidRPr="001C6668">
              <w:rPr>
                <w:i/>
                <w:iCs/>
                <w:lang w:eastAsia="zh-CN"/>
              </w:rPr>
              <w:t>lowMobilityEvaluation</w:t>
            </w:r>
            <w:r w:rsidDel="004B26EA">
              <w:rPr>
                <w:i/>
                <w:iCs/>
                <w:lang w:eastAsia="zh-CN"/>
              </w:rPr>
              <w:t xml:space="preserve"> </w:t>
            </w:r>
            <w:r>
              <w:rPr>
                <w:lang w:eastAsia="zh-CN"/>
              </w:rPr>
              <w:t>[2]</w:t>
            </w:r>
            <w:r>
              <w:rPr>
                <w:snapToGrid w:val="0"/>
                <w:lang w:eastAsia="zh-CN"/>
              </w:rPr>
              <w:t xml:space="preserve"> criterion.</w:t>
            </w:r>
          </w:p>
        </w:tc>
      </w:tr>
    </w:tbl>
    <w:p w14:paraId="7FB49B00" w14:textId="77777777" w:rsidR="00D92F72" w:rsidRDefault="00D92F72" w:rsidP="00D92F72"/>
    <w:p w14:paraId="6834564E" w14:textId="508B0110" w:rsidR="00220A02" w:rsidRDefault="00220A02" w:rsidP="00D92F72">
      <w:pPr>
        <w:pStyle w:val="TH"/>
      </w:pPr>
      <w:r w:rsidRPr="00885F53">
        <w:t xml:space="preserve">Table </w:t>
      </w:r>
      <w:r>
        <w:t>4.2B.2.10.9</w:t>
      </w:r>
      <w:r w:rsidRPr="00885F53">
        <w:t>-</w:t>
      </w:r>
      <w:r>
        <w:t>2</w:t>
      </w:r>
      <w:r w:rsidRPr="00885F53">
        <w:t>: T</w:t>
      </w:r>
      <w:r w:rsidRPr="00885F53">
        <w:rPr>
          <w:vertAlign w:val="subscript"/>
        </w:rPr>
        <w:t>detect,NR_</w:t>
      </w:r>
      <w:r w:rsidRPr="00EE1704">
        <w:rPr>
          <w:vertAlign w:val="subscript"/>
        </w:rPr>
        <w:t xml:space="preserve"> </w:t>
      </w:r>
      <w:r w:rsidRPr="00885F53">
        <w:rPr>
          <w:vertAlign w:val="subscript"/>
        </w:rPr>
        <w:t>Inter</w:t>
      </w:r>
      <w:r>
        <w:rPr>
          <w:vertAlign w:val="subscript"/>
        </w:rPr>
        <w:t>_RedCap_Relax</w:t>
      </w:r>
      <w:r w:rsidRPr="00885F53">
        <w:rPr>
          <w:vertAlign w:val="subscript"/>
        </w:rPr>
        <w:t>,</w:t>
      </w:r>
      <w:r w:rsidRPr="00885F53">
        <w:t xml:space="preserve"> T</w:t>
      </w:r>
      <w:r w:rsidRPr="00885F53">
        <w:rPr>
          <w:vertAlign w:val="subscript"/>
        </w:rPr>
        <w:t>measure,NR_</w:t>
      </w:r>
      <w:r w:rsidRPr="00EE1704">
        <w:rPr>
          <w:vertAlign w:val="subscript"/>
        </w:rPr>
        <w:t xml:space="preserve"> </w:t>
      </w:r>
      <w:r w:rsidRPr="00885F53">
        <w:rPr>
          <w:vertAlign w:val="subscript"/>
        </w:rPr>
        <w:t>Inter</w:t>
      </w:r>
      <w:r>
        <w:rPr>
          <w:vertAlign w:val="subscript"/>
        </w:rPr>
        <w:t xml:space="preserve"> RedCap_Relax</w:t>
      </w:r>
      <w:r w:rsidRPr="00885F53">
        <w:t xml:space="preserve"> and T</w:t>
      </w:r>
      <w:r w:rsidRPr="00885F53">
        <w:rPr>
          <w:vertAlign w:val="subscript"/>
        </w:rPr>
        <w:t>evaluate,NR_</w:t>
      </w:r>
      <w:r w:rsidRPr="00EE1704">
        <w:rPr>
          <w:vertAlign w:val="subscript"/>
        </w:rPr>
        <w:t xml:space="preserve"> </w:t>
      </w:r>
      <w:r w:rsidRPr="00885F53">
        <w:rPr>
          <w:vertAlign w:val="subscript"/>
        </w:rPr>
        <w:t>Inter</w:t>
      </w:r>
      <w:r>
        <w:rPr>
          <w:vertAlign w:val="subscript"/>
        </w:rPr>
        <w:t xml:space="preserve"> RedCap_Relax</w:t>
      </w:r>
      <w:r w:rsidRPr="008B51B4">
        <w:rPr>
          <w:lang w:val="en-US"/>
        </w:rPr>
        <w:t xml:space="preserve"> </w:t>
      </w:r>
      <w:r w:rsidRPr="00F74563">
        <w:rPr>
          <w:lang w:val="en-US"/>
        </w:rPr>
        <w:t xml:space="preserve">for UEs fulfilling </w:t>
      </w:r>
      <w:r>
        <w:rPr>
          <w:lang w:val="en-US" w:eastAsia="zh-CN"/>
        </w:rPr>
        <w:t xml:space="preserve">low mobility </w:t>
      </w:r>
      <w:r>
        <w:rPr>
          <w:lang w:val="en-US"/>
        </w:rPr>
        <w:t>criterion for 2 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617"/>
        <w:gridCol w:w="987"/>
        <w:gridCol w:w="2366"/>
        <w:gridCol w:w="2443"/>
        <w:gridCol w:w="2000"/>
      </w:tblGrid>
      <w:tr w:rsidR="00220A02" w:rsidRPr="00885F53" w14:paraId="73354600"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3ADFD85C" w14:textId="77777777" w:rsidR="00220A02" w:rsidRPr="00885F53" w:rsidRDefault="00220A02" w:rsidP="008B25C8">
            <w:pPr>
              <w:pStyle w:val="TAH"/>
            </w:pPr>
            <w:r w:rsidRPr="00885F53">
              <w:t>DRX cycle length [s]</w:t>
            </w:r>
          </w:p>
        </w:tc>
        <w:tc>
          <w:tcPr>
            <w:tcW w:w="0" w:type="auto"/>
            <w:gridSpan w:val="2"/>
            <w:tcBorders>
              <w:top w:val="single" w:sz="4" w:space="0" w:color="auto"/>
              <w:left w:val="single" w:sz="4" w:space="0" w:color="auto"/>
              <w:bottom w:val="single" w:sz="4" w:space="0" w:color="auto"/>
              <w:right w:val="single" w:sz="4" w:space="0" w:color="auto"/>
            </w:tcBorders>
            <w:hideMark/>
          </w:tcPr>
          <w:p w14:paraId="387C1C16" w14:textId="77777777" w:rsidR="00220A02" w:rsidRPr="00885F53" w:rsidRDefault="00220A02" w:rsidP="008B25C8">
            <w:pPr>
              <w:pStyle w:val="TAH"/>
            </w:pPr>
            <w:r w:rsidRPr="00885F53">
              <w:t>Scaling Factor (N1)</w:t>
            </w:r>
          </w:p>
        </w:tc>
        <w:tc>
          <w:tcPr>
            <w:tcW w:w="0" w:type="auto"/>
            <w:vMerge w:val="restart"/>
            <w:tcBorders>
              <w:top w:val="single" w:sz="4" w:space="0" w:color="auto"/>
              <w:left w:val="single" w:sz="4" w:space="0" w:color="auto"/>
              <w:bottom w:val="single" w:sz="4" w:space="0" w:color="auto"/>
              <w:right w:val="single" w:sz="4" w:space="0" w:color="auto"/>
            </w:tcBorders>
            <w:hideMark/>
          </w:tcPr>
          <w:p w14:paraId="0C4E4998" w14:textId="77777777" w:rsidR="00220A02" w:rsidRPr="00885F53" w:rsidRDefault="00220A02" w:rsidP="008B25C8">
            <w:pPr>
              <w:pStyle w:val="TAH"/>
            </w:pPr>
            <w:r w:rsidRPr="00885F53">
              <w:t>T</w:t>
            </w:r>
            <w:r w:rsidRPr="00885F53">
              <w:rPr>
                <w:vertAlign w:val="subscript"/>
              </w:rPr>
              <w:t>detect,NR_ Inter</w:t>
            </w:r>
            <w:r>
              <w:rPr>
                <w:vertAlign w:val="subscript"/>
              </w:rPr>
              <w:t xml:space="preserve"> RedCap_Relax</w:t>
            </w:r>
            <w:r w:rsidRPr="00885F53">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3269F847" w14:textId="77777777" w:rsidR="00220A02" w:rsidRPr="00885F53" w:rsidRDefault="00220A02" w:rsidP="008B25C8">
            <w:pPr>
              <w:pStyle w:val="TAH"/>
            </w:pPr>
            <w:r w:rsidRPr="00885F53">
              <w:t>T</w:t>
            </w:r>
            <w:r w:rsidRPr="00885F53">
              <w:rPr>
                <w:vertAlign w:val="subscript"/>
              </w:rPr>
              <w:t>measure,NR_ Inter</w:t>
            </w:r>
            <w:r>
              <w:rPr>
                <w:vertAlign w:val="subscript"/>
              </w:rPr>
              <w:t xml:space="preserve"> RedCap_Relax</w:t>
            </w:r>
            <w:r w:rsidRPr="00885F53">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26668E24" w14:textId="77777777" w:rsidR="00220A02" w:rsidRPr="00885F53" w:rsidRDefault="00220A02" w:rsidP="008B25C8">
            <w:pPr>
              <w:pStyle w:val="TAH"/>
              <w:rPr>
                <w:vertAlign w:val="subscript"/>
              </w:rPr>
            </w:pPr>
            <w:r w:rsidRPr="00885F53">
              <w:t>T</w:t>
            </w:r>
            <w:r w:rsidRPr="00885F53">
              <w:rPr>
                <w:vertAlign w:val="subscript"/>
              </w:rPr>
              <w:t>evaluate,NR_ Inter</w:t>
            </w:r>
            <w:r>
              <w:rPr>
                <w:vertAlign w:val="subscript"/>
              </w:rPr>
              <w:t xml:space="preserve"> RedCap_Relax</w:t>
            </w:r>
          </w:p>
          <w:p w14:paraId="4767C675" w14:textId="77777777" w:rsidR="00220A02" w:rsidRPr="00885F53" w:rsidRDefault="00220A02" w:rsidP="008B25C8">
            <w:pPr>
              <w:pStyle w:val="TAH"/>
            </w:pPr>
            <w:r w:rsidRPr="00885F53">
              <w:t>[s] (number of DRX cycles)</w:t>
            </w:r>
          </w:p>
        </w:tc>
      </w:tr>
      <w:tr w:rsidR="00220A02" w:rsidRPr="00885F53" w14:paraId="0EA7B53D" w14:textId="77777777" w:rsidTr="008B25C8">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CB637C" w14:textId="77777777" w:rsidR="00220A02" w:rsidRPr="00885F53" w:rsidRDefault="00220A02" w:rsidP="008B25C8">
            <w:pPr>
              <w:pStyle w:val="TAH"/>
            </w:pPr>
          </w:p>
        </w:tc>
        <w:tc>
          <w:tcPr>
            <w:tcW w:w="0" w:type="auto"/>
            <w:tcBorders>
              <w:top w:val="single" w:sz="4" w:space="0" w:color="auto"/>
              <w:left w:val="single" w:sz="4" w:space="0" w:color="auto"/>
              <w:bottom w:val="single" w:sz="4" w:space="0" w:color="auto"/>
              <w:right w:val="single" w:sz="4" w:space="0" w:color="auto"/>
            </w:tcBorders>
            <w:hideMark/>
          </w:tcPr>
          <w:p w14:paraId="5EB4850E" w14:textId="77777777" w:rsidR="00220A02" w:rsidRPr="00885F53" w:rsidRDefault="00220A02" w:rsidP="008B25C8">
            <w:pPr>
              <w:pStyle w:val="TAH"/>
            </w:pPr>
            <w:r w:rsidRPr="00885F53">
              <w:t>FR1</w:t>
            </w:r>
          </w:p>
        </w:tc>
        <w:tc>
          <w:tcPr>
            <w:tcW w:w="0" w:type="auto"/>
            <w:tcBorders>
              <w:top w:val="single" w:sz="4" w:space="0" w:color="auto"/>
              <w:left w:val="single" w:sz="4" w:space="0" w:color="auto"/>
              <w:bottom w:val="single" w:sz="4" w:space="0" w:color="auto"/>
              <w:right w:val="single" w:sz="4" w:space="0" w:color="auto"/>
            </w:tcBorders>
            <w:hideMark/>
          </w:tcPr>
          <w:p w14:paraId="4E615156" w14:textId="77777777" w:rsidR="00220A02" w:rsidRPr="00885F53" w:rsidRDefault="00220A02" w:rsidP="008B25C8">
            <w:pPr>
              <w:pStyle w:val="TAH"/>
              <w:rPr>
                <w:vertAlign w:val="superscript"/>
              </w:rPr>
            </w:pPr>
            <w:r w:rsidRPr="00885F53">
              <w:t>FR2</w:t>
            </w:r>
            <w:r w:rsidRPr="00885F53">
              <w:rPr>
                <w:vertAlign w:val="superscript"/>
              </w:rPr>
              <w:t>Note1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7A35A0" w14:textId="77777777" w:rsidR="00220A02" w:rsidRPr="00885F53" w:rsidRDefault="00220A02"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67E563" w14:textId="77777777" w:rsidR="00220A02" w:rsidRPr="00885F53" w:rsidRDefault="00220A02"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D7CB86" w14:textId="77777777" w:rsidR="00220A02" w:rsidRPr="00885F53" w:rsidRDefault="00220A02" w:rsidP="008B25C8">
            <w:pPr>
              <w:pStyle w:val="TAH"/>
            </w:pPr>
          </w:p>
        </w:tc>
      </w:tr>
      <w:tr w:rsidR="00220A02" w:rsidRPr="00EA7096" w14:paraId="0F0C0766"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2E0ABAB" w14:textId="77777777" w:rsidR="00220A02" w:rsidRPr="00885F53" w:rsidRDefault="00220A02" w:rsidP="008B25C8">
            <w:pPr>
              <w:pStyle w:val="TAC"/>
            </w:pPr>
            <w:r w:rsidRPr="00885F53">
              <w:t>0.32</w:t>
            </w:r>
          </w:p>
        </w:tc>
        <w:tc>
          <w:tcPr>
            <w:tcW w:w="0" w:type="auto"/>
            <w:tcBorders>
              <w:top w:val="single" w:sz="4" w:space="0" w:color="auto"/>
              <w:left w:val="single" w:sz="4" w:space="0" w:color="auto"/>
              <w:bottom w:val="nil"/>
              <w:right w:val="single" w:sz="4" w:space="0" w:color="auto"/>
            </w:tcBorders>
            <w:hideMark/>
          </w:tcPr>
          <w:p w14:paraId="1026960B" w14:textId="77777777" w:rsidR="00220A02" w:rsidRPr="00885F53" w:rsidRDefault="00220A02" w:rsidP="008B25C8">
            <w:pPr>
              <w:pStyle w:val="TAC"/>
            </w:pPr>
            <w:r w:rsidRPr="00885F53">
              <w:t>1</w:t>
            </w:r>
          </w:p>
        </w:tc>
        <w:tc>
          <w:tcPr>
            <w:tcW w:w="0" w:type="auto"/>
            <w:tcBorders>
              <w:top w:val="single" w:sz="4" w:space="0" w:color="auto"/>
              <w:left w:val="single" w:sz="4" w:space="0" w:color="auto"/>
              <w:bottom w:val="single" w:sz="4" w:space="0" w:color="auto"/>
              <w:right w:val="single" w:sz="4" w:space="0" w:color="auto"/>
            </w:tcBorders>
            <w:hideMark/>
          </w:tcPr>
          <w:p w14:paraId="3356CC15" w14:textId="77777777" w:rsidR="00220A02" w:rsidRPr="00885F53" w:rsidRDefault="00220A02" w:rsidP="008B25C8">
            <w:pPr>
              <w:pStyle w:val="TAC"/>
            </w:pPr>
            <w:r w:rsidRPr="00885F53">
              <w:t>8</w:t>
            </w:r>
          </w:p>
        </w:tc>
        <w:tc>
          <w:tcPr>
            <w:tcW w:w="0" w:type="auto"/>
            <w:tcBorders>
              <w:top w:val="single" w:sz="4" w:space="0" w:color="auto"/>
              <w:left w:val="single" w:sz="4" w:space="0" w:color="auto"/>
              <w:bottom w:val="single" w:sz="4" w:space="0" w:color="auto"/>
              <w:right w:val="single" w:sz="4" w:space="0" w:color="auto"/>
            </w:tcBorders>
            <w:hideMark/>
          </w:tcPr>
          <w:p w14:paraId="23E0224A" w14:textId="77777777" w:rsidR="00220A02" w:rsidRPr="00950DA1" w:rsidRDefault="00220A02" w:rsidP="008B25C8">
            <w:pPr>
              <w:pStyle w:val="TAC"/>
              <w:rPr>
                <w:lang w:val="sv-SE"/>
              </w:rPr>
            </w:pPr>
            <w:r w:rsidRPr="00950DA1">
              <w:rPr>
                <w:lang w:val="sv-SE"/>
              </w:rPr>
              <w:t xml:space="preserve">11.52 x N1 </w:t>
            </w:r>
            <w:r w:rsidRPr="00950DA1">
              <w:rPr>
                <w:rFonts w:cs="Arial"/>
                <w:lang w:val="sv-SE" w:eastAsia="zh-CN"/>
              </w:rPr>
              <w:t>x M2</w:t>
            </w:r>
            <w:r>
              <w:rPr>
                <w:rFonts w:cs="Arial"/>
                <w:lang w:val="sv-SE" w:eastAsia="zh-CN"/>
              </w:rPr>
              <w:t xml:space="preserve"> x K1</w:t>
            </w:r>
            <w:r w:rsidRPr="00950DA1">
              <w:rPr>
                <w:rFonts w:cs="Arial"/>
                <w:lang w:val="sv-SE" w:eastAsia="zh-CN"/>
              </w:rPr>
              <w:t xml:space="preserve"> </w:t>
            </w:r>
            <w:r w:rsidRPr="00950DA1">
              <w:rPr>
                <w:lang w:val="sv-SE"/>
              </w:rPr>
              <w:t>(36 x N1</w:t>
            </w:r>
            <w:r w:rsidRPr="00950DA1">
              <w:rPr>
                <w:rFonts w:cs="Arial"/>
                <w:lang w:val="sv-SE" w:eastAsia="zh-CN"/>
              </w:rPr>
              <w:t xml:space="preserve"> x M2</w:t>
            </w:r>
            <w:r>
              <w:rPr>
                <w:rFonts w:cs="Arial"/>
                <w:lang w:val="sv-SE" w:eastAsia="zh-CN"/>
              </w:rPr>
              <w:t xml:space="preserve"> 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6890307F" w14:textId="77777777" w:rsidR="00220A02" w:rsidRPr="00950DA1" w:rsidRDefault="00220A02" w:rsidP="008B25C8">
            <w:pPr>
              <w:pStyle w:val="TAC"/>
              <w:rPr>
                <w:lang w:val="sv-SE"/>
              </w:rPr>
            </w:pPr>
            <w:r w:rsidRPr="00950DA1">
              <w:rPr>
                <w:lang w:val="sv-SE"/>
              </w:rPr>
              <w:t xml:space="preserve">1.28 x N1 </w:t>
            </w:r>
            <w:r w:rsidRPr="00950DA1">
              <w:rPr>
                <w:rFonts w:cs="Arial"/>
                <w:lang w:val="sv-SE" w:eastAsia="zh-CN"/>
              </w:rPr>
              <w:t>x M2</w:t>
            </w:r>
            <w:r>
              <w:rPr>
                <w:rFonts w:cs="Arial"/>
                <w:lang w:val="sv-SE" w:eastAsia="zh-CN"/>
              </w:rPr>
              <w:t xml:space="preserve"> x K1</w:t>
            </w:r>
            <w:r w:rsidRPr="00950DA1">
              <w:rPr>
                <w:rFonts w:cs="Arial"/>
                <w:snapToGrid w:val="0"/>
                <w:lang w:val="sv-SE"/>
              </w:rPr>
              <w:t xml:space="preserve"> </w:t>
            </w:r>
            <w:r w:rsidRPr="00950DA1">
              <w:rPr>
                <w:lang w:val="sv-SE"/>
              </w:rPr>
              <w:t>(4 x N1</w:t>
            </w:r>
            <w:r w:rsidRPr="00950DA1">
              <w:rPr>
                <w:rFonts w:cs="Arial"/>
                <w:lang w:val="sv-SE" w:eastAsia="zh-CN"/>
              </w:rPr>
              <w:t xml:space="preserve"> x M2</w:t>
            </w:r>
            <w:r>
              <w:rPr>
                <w:rFonts w:cs="Arial"/>
                <w:lang w:val="sv-SE" w:eastAsia="zh-CN"/>
              </w:rPr>
              <w:t xml:space="preserve"> 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EA15A24" w14:textId="77777777" w:rsidR="00220A02" w:rsidRPr="00950DA1" w:rsidRDefault="00220A02" w:rsidP="008B25C8">
            <w:pPr>
              <w:pStyle w:val="TAC"/>
              <w:rPr>
                <w:lang w:val="sv-SE"/>
              </w:rPr>
            </w:pPr>
            <w:r w:rsidRPr="00950DA1">
              <w:rPr>
                <w:lang w:val="sv-SE"/>
              </w:rPr>
              <w:t xml:space="preserve">5.12 x N1 </w:t>
            </w:r>
            <w:r w:rsidRPr="00950DA1">
              <w:rPr>
                <w:rFonts w:cs="Arial"/>
                <w:lang w:val="sv-SE" w:eastAsia="zh-CN"/>
              </w:rPr>
              <w:t>x M2</w:t>
            </w:r>
            <w:r>
              <w:rPr>
                <w:rFonts w:cs="Arial"/>
                <w:lang w:val="sv-SE" w:eastAsia="zh-CN"/>
              </w:rPr>
              <w:t xml:space="preserve"> x K1</w:t>
            </w:r>
            <w:r w:rsidRPr="00950DA1">
              <w:rPr>
                <w:rFonts w:cs="Arial"/>
                <w:snapToGrid w:val="0"/>
                <w:lang w:val="sv-SE"/>
              </w:rPr>
              <w:t xml:space="preserve"> </w:t>
            </w:r>
            <w:r w:rsidRPr="00950DA1">
              <w:rPr>
                <w:lang w:val="sv-SE"/>
              </w:rPr>
              <w:t>(16 x N1</w:t>
            </w:r>
            <w:r w:rsidRPr="00950DA1">
              <w:rPr>
                <w:rFonts w:cs="Arial"/>
                <w:lang w:val="sv-SE" w:eastAsia="zh-CN"/>
              </w:rPr>
              <w:t xml:space="preserve"> x M2</w:t>
            </w:r>
            <w:r>
              <w:rPr>
                <w:rFonts w:cs="Arial"/>
                <w:lang w:val="sv-SE" w:eastAsia="zh-CN"/>
              </w:rPr>
              <w:t xml:space="preserve"> x K1</w:t>
            </w:r>
            <w:r w:rsidRPr="00950DA1">
              <w:rPr>
                <w:lang w:val="sv-SE"/>
              </w:rPr>
              <w:t>)</w:t>
            </w:r>
          </w:p>
        </w:tc>
      </w:tr>
      <w:tr w:rsidR="00220A02" w:rsidRPr="00885F53" w14:paraId="4F36DAC5"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B849252" w14:textId="77777777" w:rsidR="00220A02" w:rsidRPr="00885F53" w:rsidRDefault="00220A02" w:rsidP="008B25C8">
            <w:pPr>
              <w:pStyle w:val="TAC"/>
            </w:pPr>
            <w:r w:rsidRPr="00885F53">
              <w:t>0.64</w:t>
            </w:r>
          </w:p>
        </w:tc>
        <w:tc>
          <w:tcPr>
            <w:tcW w:w="0" w:type="auto"/>
            <w:tcBorders>
              <w:top w:val="nil"/>
              <w:left w:val="single" w:sz="4" w:space="0" w:color="auto"/>
              <w:bottom w:val="nil"/>
              <w:right w:val="single" w:sz="4" w:space="0" w:color="auto"/>
            </w:tcBorders>
            <w:hideMark/>
          </w:tcPr>
          <w:p w14:paraId="07EE2B75" w14:textId="77777777" w:rsidR="00220A02" w:rsidRPr="00885F53" w:rsidRDefault="00220A02" w:rsidP="008B25C8">
            <w:pPr>
              <w:pStyle w:val="TAC"/>
            </w:pPr>
          </w:p>
        </w:tc>
        <w:tc>
          <w:tcPr>
            <w:tcW w:w="0" w:type="auto"/>
            <w:tcBorders>
              <w:top w:val="single" w:sz="4" w:space="0" w:color="auto"/>
              <w:left w:val="single" w:sz="4" w:space="0" w:color="auto"/>
              <w:bottom w:val="single" w:sz="4" w:space="0" w:color="auto"/>
              <w:right w:val="single" w:sz="4" w:space="0" w:color="auto"/>
            </w:tcBorders>
            <w:hideMark/>
          </w:tcPr>
          <w:p w14:paraId="5705EEE9" w14:textId="77777777" w:rsidR="00220A02" w:rsidRPr="00885F53" w:rsidRDefault="00220A02" w:rsidP="008B25C8">
            <w:pPr>
              <w:pStyle w:val="TAC"/>
            </w:pPr>
            <w:r w:rsidRPr="00885F53">
              <w:t>5</w:t>
            </w:r>
          </w:p>
        </w:tc>
        <w:tc>
          <w:tcPr>
            <w:tcW w:w="0" w:type="auto"/>
            <w:tcBorders>
              <w:top w:val="single" w:sz="4" w:space="0" w:color="auto"/>
              <w:left w:val="single" w:sz="4" w:space="0" w:color="auto"/>
              <w:bottom w:val="single" w:sz="4" w:space="0" w:color="auto"/>
              <w:right w:val="single" w:sz="4" w:space="0" w:color="auto"/>
            </w:tcBorders>
            <w:hideMark/>
          </w:tcPr>
          <w:p w14:paraId="19AB3E75" w14:textId="77777777" w:rsidR="00220A02" w:rsidRPr="00885F53" w:rsidRDefault="00220A02" w:rsidP="008B25C8">
            <w:pPr>
              <w:pStyle w:val="TAC"/>
            </w:pPr>
            <w:r w:rsidRPr="00885F53">
              <w:t>17.92 x N1</w:t>
            </w:r>
            <w:r>
              <w:rPr>
                <w:rFonts w:cs="Arial"/>
                <w:lang w:val="sv-SE" w:eastAsia="zh-CN"/>
              </w:rPr>
              <w:t xml:space="preserve"> x K1</w:t>
            </w:r>
            <w:r w:rsidRPr="00885F53">
              <w:t xml:space="preserve"> (28 x N1</w:t>
            </w:r>
            <w:r>
              <w:t xml:space="preserve"> </w:t>
            </w:r>
            <w:r>
              <w:rPr>
                <w:rFonts w:cs="Arial"/>
                <w:lang w:val="sv-SE" w:eastAsia="zh-CN"/>
              </w:rPr>
              <w:t>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5987D1DD" w14:textId="77777777" w:rsidR="00220A02" w:rsidRPr="00885F53" w:rsidRDefault="00220A02" w:rsidP="008B25C8">
            <w:pPr>
              <w:pStyle w:val="TAC"/>
            </w:pPr>
            <w:r w:rsidRPr="00885F53">
              <w:t>1.28 x N1</w:t>
            </w:r>
            <w:r>
              <w:rPr>
                <w:rFonts w:cs="Arial"/>
                <w:lang w:val="sv-SE" w:eastAsia="zh-CN"/>
              </w:rPr>
              <w:t xml:space="preserve"> x K1</w:t>
            </w:r>
            <w:r w:rsidRPr="00885F53">
              <w:t xml:space="preserve"> (2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4A8AF070" w14:textId="77777777" w:rsidR="00220A02" w:rsidRPr="00885F53" w:rsidRDefault="00220A02" w:rsidP="008B25C8">
            <w:pPr>
              <w:pStyle w:val="TAC"/>
            </w:pPr>
            <w:r w:rsidRPr="00885F53">
              <w:t>5.12 x N1</w:t>
            </w:r>
            <w:r>
              <w:rPr>
                <w:rFonts w:cs="Arial"/>
                <w:lang w:val="sv-SE" w:eastAsia="zh-CN"/>
              </w:rPr>
              <w:t xml:space="preserve"> x K1</w:t>
            </w:r>
            <w:r w:rsidRPr="00885F53">
              <w:t xml:space="preserve"> (8 x N1</w:t>
            </w:r>
            <w:r>
              <w:rPr>
                <w:rFonts w:cs="Arial"/>
                <w:lang w:val="sv-SE" w:eastAsia="zh-CN"/>
              </w:rPr>
              <w:t xml:space="preserve"> x K1</w:t>
            </w:r>
            <w:r w:rsidRPr="00885F53">
              <w:t>)</w:t>
            </w:r>
          </w:p>
        </w:tc>
      </w:tr>
      <w:tr w:rsidR="00220A02" w:rsidRPr="00885F53" w14:paraId="55ECB2DB"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673887E" w14:textId="77777777" w:rsidR="00220A02" w:rsidRPr="00885F53" w:rsidRDefault="00220A02" w:rsidP="008B25C8">
            <w:pPr>
              <w:pStyle w:val="TAC"/>
            </w:pPr>
            <w:r w:rsidRPr="00885F53">
              <w:t>1.28</w:t>
            </w:r>
          </w:p>
        </w:tc>
        <w:tc>
          <w:tcPr>
            <w:tcW w:w="0" w:type="auto"/>
            <w:tcBorders>
              <w:top w:val="nil"/>
              <w:left w:val="single" w:sz="4" w:space="0" w:color="auto"/>
              <w:bottom w:val="nil"/>
              <w:right w:val="single" w:sz="4" w:space="0" w:color="auto"/>
            </w:tcBorders>
            <w:hideMark/>
          </w:tcPr>
          <w:p w14:paraId="194803D8" w14:textId="77777777" w:rsidR="00220A02" w:rsidRPr="00885F53" w:rsidRDefault="00220A02" w:rsidP="008B25C8">
            <w:pPr>
              <w:pStyle w:val="TAC"/>
            </w:pPr>
          </w:p>
        </w:tc>
        <w:tc>
          <w:tcPr>
            <w:tcW w:w="0" w:type="auto"/>
            <w:tcBorders>
              <w:top w:val="single" w:sz="4" w:space="0" w:color="auto"/>
              <w:left w:val="single" w:sz="4" w:space="0" w:color="auto"/>
              <w:bottom w:val="single" w:sz="4" w:space="0" w:color="auto"/>
              <w:right w:val="single" w:sz="4" w:space="0" w:color="auto"/>
            </w:tcBorders>
            <w:hideMark/>
          </w:tcPr>
          <w:p w14:paraId="7AC8468A" w14:textId="77777777" w:rsidR="00220A02" w:rsidRPr="00885F53" w:rsidRDefault="00220A02" w:rsidP="008B25C8">
            <w:pPr>
              <w:pStyle w:val="TAC"/>
            </w:pPr>
            <w:r w:rsidRPr="00885F53">
              <w:t>4</w:t>
            </w:r>
          </w:p>
        </w:tc>
        <w:tc>
          <w:tcPr>
            <w:tcW w:w="0" w:type="auto"/>
            <w:tcBorders>
              <w:top w:val="single" w:sz="4" w:space="0" w:color="auto"/>
              <w:left w:val="single" w:sz="4" w:space="0" w:color="auto"/>
              <w:bottom w:val="single" w:sz="4" w:space="0" w:color="auto"/>
              <w:right w:val="single" w:sz="4" w:space="0" w:color="auto"/>
            </w:tcBorders>
            <w:hideMark/>
          </w:tcPr>
          <w:p w14:paraId="70470A80" w14:textId="77777777" w:rsidR="00220A02" w:rsidRPr="00885F53" w:rsidRDefault="00220A02" w:rsidP="008B25C8">
            <w:pPr>
              <w:pStyle w:val="TAC"/>
            </w:pPr>
            <w:r w:rsidRPr="00885F53">
              <w:t>32 x N1</w:t>
            </w:r>
            <w:r>
              <w:rPr>
                <w:rFonts w:cs="Arial"/>
                <w:lang w:val="sv-SE" w:eastAsia="zh-CN"/>
              </w:rPr>
              <w:t xml:space="preserve"> x K1</w:t>
            </w:r>
            <w:r w:rsidRPr="00885F53">
              <w:t xml:space="preserve"> (25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706ABFC4" w14:textId="77777777" w:rsidR="00220A02" w:rsidRPr="00885F53" w:rsidRDefault="00220A02" w:rsidP="008B25C8">
            <w:pPr>
              <w:pStyle w:val="TAC"/>
            </w:pPr>
            <w:r w:rsidRPr="00885F53">
              <w:t>1.28 x N1</w:t>
            </w:r>
            <w:r>
              <w:rPr>
                <w:rFonts w:cs="Arial"/>
                <w:lang w:val="sv-SE" w:eastAsia="zh-CN"/>
              </w:rPr>
              <w:t xml:space="preserve"> x K1</w:t>
            </w:r>
            <w:r w:rsidRPr="00885F53">
              <w:t xml:space="preserve"> (1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4A4BB85D" w14:textId="77777777" w:rsidR="00220A02" w:rsidRPr="00885F53" w:rsidRDefault="00220A02" w:rsidP="008B25C8">
            <w:pPr>
              <w:pStyle w:val="TAC"/>
            </w:pPr>
            <w:r w:rsidRPr="00885F53">
              <w:t>6.4 x N1</w:t>
            </w:r>
            <w:r>
              <w:rPr>
                <w:rFonts w:cs="Arial"/>
                <w:lang w:val="sv-SE" w:eastAsia="zh-CN"/>
              </w:rPr>
              <w:t xml:space="preserve"> x K1</w:t>
            </w:r>
            <w:r w:rsidRPr="00885F53">
              <w:t xml:space="preserve"> (5 x N1</w:t>
            </w:r>
            <w:r>
              <w:rPr>
                <w:rFonts w:cs="Arial"/>
                <w:lang w:val="sv-SE" w:eastAsia="zh-CN"/>
              </w:rPr>
              <w:t xml:space="preserve"> x K1</w:t>
            </w:r>
            <w:r w:rsidRPr="00885F53">
              <w:t>)</w:t>
            </w:r>
          </w:p>
        </w:tc>
      </w:tr>
      <w:tr w:rsidR="00220A02" w:rsidRPr="00885F53" w14:paraId="52F2E315"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4966B0D" w14:textId="77777777" w:rsidR="00220A02" w:rsidRPr="00885F53" w:rsidRDefault="00220A02" w:rsidP="008B25C8">
            <w:pPr>
              <w:pStyle w:val="TAC"/>
            </w:pPr>
            <w:r w:rsidRPr="00885F53">
              <w:t>2.56</w:t>
            </w:r>
          </w:p>
        </w:tc>
        <w:tc>
          <w:tcPr>
            <w:tcW w:w="0" w:type="auto"/>
            <w:tcBorders>
              <w:top w:val="nil"/>
              <w:left w:val="single" w:sz="4" w:space="0" w:color="auto"/>
              <w:bottom w:val="single" w:sz="4" w:space="0" w:color="auto"/>
              <w:right w:val="single" w:sz="4" w:space="0" w:color="auto"/>
            </w:tcBorders>
            <w:hideMark/>
          </w:tcPr>
          <w:p w14:paraId="4995B65A" w14:textId="77777777" w:rsidR="00220A02" w:rsidRPr="00885F53" w:rsidRDefault="00220A02" w:rsidP="008B25C8">
            <w:pPr>
              <w:pStyle w:val="TAC"/>
            </w:pPr>
          </w:p>
        </w:tc>
        <w:tc>
          <w:tcPr>
            <w:tcW w:w="0" w:type="auto"/>
            <w:tcBorders>
              <w:top w:val="single" w:sz="4" w:space="0" w:color="auto"/>
              <w:left w:val="single" w:sz="4" w:space="0" w:color="auto"/>
              <w:bottom w:val="single" w:sz="4" w:space="0" w:color="auto"/>
              <w:right w:val="single" w:sz="4" w:space="0" w:color="auto"/>
            </w:tcBorders>
            <w:hideMark/>
          </w:tcPr>
          <w:p w14:paraId="0F817271" w14:textId="77777777" w:rsidR="00220A02" w:rsidRPr="00885F53" w:rsidRDefault="00220A02" w:rsidP="008B25C8">
            <w:pPr>
              <w:pStyle w:val="TAC"/>
              <w:rPr>
                <w:rFonts w:cs="Arial"/>
                <w:lang w:eastAsia="zh-CN"/>
              </w:rPr>
            </w:pPr>
            <w:r w:rsidRPr="00885F53">
              <w:rPr>
                <w:rFonts w:cs="Arial"/>
                <w:lang w:eastAsia="zh-CN"/>
              </w:rPr>
              <w:t>3</w:t>
            </w:r>
          </w:p>
        </w:tc>
        <w:tc>
          <w:tcPr>
            <w:tcW w:w="0" w:type="auto"/>
            <w:tcBorders>
              <w:top w:val="single" w:sz="4" w:space="0" w:color="auto"/>
              <w:left w:val="single" w:sz="4" w:space="0" w:color="auto"/>
              <w:bottom w:val="single" w:sz="4" w:space="0" w:color="auto"/>
              <w:right w:val="single" w:sz="4" w:space="0" w:color="auto"/>
            </w:tcBorders>
            <w:hideMark/>
          </w:tcPr>
          <w:p w14:paraId="7410010F" w14:textId="77777777" w:rsidR="00220A02" w:rsidRPr="00885F53" w:rsidRDefault="00220A02" w:rsidP="008B25C8">
            <w:pPr>
              <w:pStyle w:val="TAC"/>
            </w:pPr>
            <w:r w:rsidRPr="00885F53">
              <w:rPr>
                <w:rFonts w:cs="Arial"/>
                <w:lang w:eastAsia="zh-CN"/>
              </w:rPr>
              <w:t>58.88</w:t>
            </w:r>
            <w:r w:rsidRPr="00885F53">
              <w:t xml:space="preserve"> x N1</w:t>
            </w:r>
            <w:r>
              <w:rPr>
                <w:rFonts w:cs="Arial"/>
                <w:lang w:val="sv-SE" w:eastAsia="zh-CN"/>
              </w:rPr>
              <w:t xml:space="preserve"> x K1</w:t>
            </w:r>
            <w:r w:rsidRPr="00885F53">
              <w:t xml:space="preserve"> (23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25059C81" w14:textId="77777777" w:rsidR="00220A02" w:rsidRPr="00885F53" w:rsidRDefault="00220A02" w:rsidP="008B25C8">
            <w:pPr>
              <w:pStyle w:val="TAC"/>
            </w:pPr>
            <w:r w:rsidRPr="00885F53">
              <w:t>2.56 x N1</w:t>
            </w:r>
            <w:r>
              <w:rPr>
                <w:rFonts w:cs="Arial"/>
                <w:lang w:val="sv-SE" w:eastAsia="zh-CN"/>
              </w:rPr>
              <w:t xml:space="preserve"> x K1</w:t>
            </w:r>
            <w:r w:rsidRPr="00885F53">
              <w:t xml:space="preserve"> (1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6351C4AC" w14:textId="77777777" w:rsidR="00220A02" w:rsidRPr="00885F53" w:rsidRDefault="00220A02" w:rsidP="008B25C8">
            <w:pPr>
              <w:pStyle w:val="TAC"/>
            </w:pPr>
            <w:r w:rsidRPr="00885F53">
              <w:t>7.68 x N1</w:t>
            </w:r>
            <w:r>
              <w:rPr>
                <w:rFonts w:cs="Arial"/>
                <w:lang w:val="sv-SE" w:eastAsia="zh-CN"/>
              </w:rPr>
              <w:t xml:space="preserve"> x K1</w:t>
            </w:r>
            <w:r w:rsidRPr="00885F53">
              <w:t xml:space="preserve"> (3 x N1</w:t>
            </w:r>
            <w:r>
              <w:rPr>
                <w:rFonts w:cs="Arial"/>
                <w:lang w:val="sv-SE" w:eastAsia="zh-CN"/>
              </w:rPr>
              <w:t xml:space="preserve"> x K1</w:t>
            </w:r>
            <w:r w:rsidRPr="00885F53">
              <w:t>)</w:t>
            </w:r>
          </w:p>
        </w:tc>
      </w:tr>
      <w:tr w:rsidR="00220A02" w:rsidRPr="00885F53" w14:paraId="21A6C727" w14:textId="77777777" w:rsidTr="008B25C8">
        <w:trPr>
          <w:cantSplit/>
          <w:jc w:val="center"/>
        </w:trPr>
        <w:tc>
          <w:tcPr>
            <w:tcW w:w="0" w:type="auto"/>
            <w:gridSpan w:val="6"/>
            <w:tcBorders>
              <w:top w:val="single" w:sz="4" w:space="0" w:color="auto"/>
              <w:left w:val="single" w:sz="4" w:space="0" w:color="auto"/>
              <w:bottom w:val="single" w:sz="4" w:space="0" w:color="auto"/>
              <w:right w:val="single" w:sz="4" w:space="0" w:color="auto"/>
            </w:tcBorders>
            <w:hideMark/>
          </w:tcPr>
          <w:p w14:paraId="4AFE8C59" w14:textId="77777777" w:rsidR="00220A02" w:rsidRPr="00885F53" w:rsidRDefault="00220A02" w:rsidP="008B25C8">
            <w:pPr>
              <w:pStyle w:val="TAN"/>
              <w:rPr>
                <w:snapToGrid w:val="0"/>
                <w:lang w:eastAsia="zh-CN"/>
              </w:rPr>
            </w:pPr>
            <w:r w:rsidRPr="00885F53">
              <w:rPr>
                <w:snapToGrid w:val="0"/>
                <w:lang w:eastAsia="zh-CN"/>
              </w:rPr>
              <w:t>Note 1</w:t>
            </w:r>
            <w:r w:rsidRPr="00885F53">
              <w:t>:</w:t>
            </w:r>
            <w:r w:rsidRPr="00885F53">
              <w:rPr>
                <w:lang w:val="en-US"/>
              </w:rPr>
              <w:tab/>
            </w:r>
            <w:r w:rsidRPr="009C5807">
              <w:t xml:space="preserve">Applies for </w:t>
            </w:r>
            <w:r>
              <w:t xml:space="preserve">RedCap </w:t>
            </w:r>
            <w:r w:rsidRPr="009C5807">
              <w:t xml:space="preserve">UE </w:t>
            </w:r>
            <w:r>
              <w:t xml:space="preserve">of all </w:t>
            </w:r>
            <w:r w:rsidRPr="009C5807">
              <w:t xml:space="preserve">supporting </w:t>
            </w:r>
            <w:r>
              <w:t xml:space="preserve">FR2 </w:t>
            </w:r>
            <w:r w:rsidRPr="009C5807">
              <w:t>power class</w:t>
            </w:r>
            <w:r>
              <w:t>es</w:t>
            </w:r>
            <w:r w:rsidRPr="00885F53">
              <w:t>.</w:t>
            </w:r>
          </w:p>
          <w:p w14:paraId="225B0581" w14:textId="77777777" w:rsidR="00220A02" w:rsidRPr="007D632B" w:rsidRDefault="00220A02" w:rsidP="008B25C8">
            <w:pPr>
              <w:pStyle w:val="TAN"/>
              <w:rPr>
                <w:snapToGrid w:val="0"/>
                <w:lang w:eastAsia="zh-CN"/>
              </w:rPr>
            </w:pPr>
            <w:r w:rsidRPr="00885F53">
              <w:rPr>
                <w:snapToGrid w:val="0"/>
                <w:lang w:eastAsia="zh-CN"/>
              </w:rPr>
              <w:t>Note 2:</w:t>
            </w:r>
            <w:r w:rsidRPr="00885F53">
              <w:rPr>
                <w:lang w:val="en-US"/>
              </w:rPr>
              <w:tab/>
            </w:r>
            <w:r w:rsidRPr="00885F53">
              <w:rPr>
                <w:snapToGrid w:val="0"/>
                <w:lang w:eastAsia="zh-CN"/>
              </w:rPr>
              <w:t xml:space="preserve">M2 = 1.5 if SMTC </w:t>
            </w:r>
            <w:r w:rsidRPr="00C83CA1">
              <w:rPr>
                <w:snapToGrid w:val="0"/>
                <w:lang w:eastAsia="zh-CN"/>
              </w:rPr>
              <w:t>periodicity</w:t>
            </w:r>
            <w:r w:rsidRPr="00EF59D1">
              <w:t xml:space="preserve"> </w:t>
            </w:r>
            <w:r w:rsidRPr="00EF59D1">
              <w:rPr>
                <w:snapToGrid w:val="0"/>
                <w:lang w:eastAsia="zh-CN"/>
              </w:rPr>
              <w:t>of measured intra-frequency cell &gt; 20 ms; otherwise M2=1.</w:t>
            </w:r>
            <w:r>
              <w:rPr>
                <w:snapToGrid w:val="0"/>
                <w:lang w:eastAsia="zh-CN"/>
              </w:rPr>
              <w:t xml:space="preserve"> </w:t>
            </w:r>
          </w:p>
          <w:p w14:paraId="18EEF12B" w14:textId="77777777" w:rsidR="00220A02" w:rsidRPr="00885F53" w:rsidRDefault="00220A02" w:rsidP="008B25C8">
            <w:pPr>
              <w:pStyle w:val="TAN"/>
            </w:pPr>
            <w:r w:rsidRPr="00E9086F">
              <w:rPr>
                <w:snapToGrid w:val="0"/>
                <w:lang w:eastAsia="zh-CN"/>
              </w:rPr>
              <w:t>Note 3:</w:t>
            </w:r>
            <w:r w:rsidRPr="00885F53">
              <w:rPr>
                <w:lang w:val="en-US"/>
              </w:rPr>
              <w:tab/>
            </w:r>
            <w:r w:rsidRPr="00E9086F">
              <w:rPr>
                <w:snapToGrid w:val="0"/>
                <w:lang w:eastAsia="zh-CN"/>
              </w:rPr>
              <w:t>K1 = 3</w:t>
            </w:r>
            <w:r w:rsidRPr="007C2D19">
              <w:rPr>
                <w:snapToGrid w:val="0"/>
                <w:lang w:eastAsia="zh-CN"/>
              </w:rPr>
              <w:t xml:space="preserve"> is</w:t>
            </w:r>
            <w:r w:rsidRPr="00C33767">
              <w:rPr>
                <w:snapToGrid w:val="0"/>
                <w:lang w:eastAsia="zh-CN"/>
              </w:rPr>
              <w:t xml:space="preserve"> the measu</w:t>
            </w:r>
            <w:r>
              <w:rPr>
                <w:snapToGrid w:val="0"/>
                <w:lang w:eastAsia="zh-CN"/>
              </w:rPr>
              <w:t xml:space="preserve">rement relaxation factor applicable for UE fulfilling the </w:t>
            </w:r>
            <w:r w:rsidRPr="001C6668">
              <w:rPr>
                <w:i/>
                <w:iCs/>
                <w:lang w:eastAsia="zh-CN"/>
              </w:rPr>
              <w:t>lowMobilityEvaluation</w:t>
            </w:r>
            <w:r w:rsidDel="004B26EA">
              <w:rPr>
                <w:i/>
                <w:iCs/>
                <w:lang w:eastAsia="zh-CN"/>
              </w:rPr>
              <w:t xml:space="preserve"> </w:t>
            </w:r>
            <w:r>
              <w:rPr>
                <w:lang w:eastAsia="zh-CN"/>
              </w:rPr>
              <w:t>[2]</w:t>
            </w:r>
            <w:r>
              <w:rPr>
                <w:snapToGrid w:val="0"/>
                <w:lang w:eastAsia="zh-CN"/>
              </w:rPr>
              <w:t xml:space="preserve"> criterion.</w:t>
            </w:r>
          </w:p>
        </w:tc>
      </w:tr>
    </w:tbl>
    <w:p w14:paraId="00F19FC5" w14:textId="77777777" w:rsidR="00D92F72" w:rsidRDefault="00D92F72" w:rsidP="00D92F72">
      <w:pPr>
        <w:rPr>
          <w:lang w:val="en-US"/>
        </w:rPr>
      </w:pPr>
    </w:p>
    <w:p w14:paraId="1632F66B" w14:textId="6A5CB0A5" w:rsidR="00220A02" w:rsidRPr="00327784" w:rsidRDefault="00220A02" w:rsidP="00D92F72">
      <w:pPr>
        <w:pStyle w:val="TH"/>
        <w:rPr>
          <w:lang w:val="en-US"/>
        </w:rPr>
      </w:pPr>
      <w:r w:rsidRPr="00327784">
        <w:rPr>
          <w:lang w:val="en-US"/>
        </w:rPr>
        <w:t>Table 4.2B.2.</w:t>
      </w:r>
      <w:r>
        <w:rPr>
          <w:lang w:val="en-US"/>
        </w:rPr>
        <w:t>10</w:t>
      </w:r>
      <w:r w:rsidRPr="00327784">
        <w:rPr>
          <w:lang w:val="en-US"/>
        </w:rPr>
        <w:t>.9-</w:t>
      </w:r>
      <w:r>
        <w:rPr>
          <w:lang w:val="en-US"/>
        </w:rPr>
        <w:t>3</w:t>
      </w:r>
      <w:r w:rsidRPr="00327784">
        <w:rPr>
          <w:lang w:val="en-US"/>
        </w:rPr>
        <w:t>: T</w:t>
      </w:r>
      <w:r w:rsidRPr="00327784">
        <w:rPr>
          <w:vertAlign w:val="subscript"/>
          <w:lang w:val="en-US"/>
        </w:rPr>
        <w:t>detect,NR_</w:t>
      </w:r>
      <w:r w:rsidRPr="00CF520A">
        <w:rPr>
          <w:vertAlign w:val="subscript"/>
        </w:rPr>
        <w:t>Inter</w:t>
      </w:r>
      <w:r w:rsidRPr="00327784">
        <w:rPr>
          <w:vertAlign w:val="subscript"/>
          <w:lang w:val="en-US"/>
        </w:rPr>
        <w:t>_RedCap_Relax</w:t>
      </w:r>
      <w:r w:rsidRPr="00327784">
        <w:rPr>
          <w:lang w:val="en-US"/>
        </w:rPr>
        <w:t>, T</w:t>
      </w:r>
      <w:r w:rsidRPr="00327784">
        <w:rPr>
          <w:vertAlign w:val="subscript"/>
          <w:lang w:val="en-US"/>
        </w:rPr>
        <w:t>measure,NR_Int</w:t>
      </w:r>
      <w:r>
        <w:rPr>
          <w:vertAlign w:val="subscript"/>
          <w:lang w:val="en-US"/>
        </w:rPr>
        <w:t>er</w:t>
      </w:r>
      <w:r w:rsidRPr="00327784">
        <w:rPr>
          <w:vertAlign w:val="subscript"/>
          <w:lang w:val="en-US"/>
        </w:rPr>
        <w:t>_RedCap_Relax</w:t>
      </w:r>
      <w:r w:rsidRPr="00327784">
        <w:rPr>
          <w:lang w:val="en-US"/>
        </w:rPr>
        <w:t xml:space="preserve"> and T</w:t>
      </w:r>
      <w:r w:rsidRPr="00327784">
        <w:rPr>
          <w:vertAlign w:val="subscript"/>
          <w:lang w:val="en-US"/>
        </w:rPr>
        <w:t>evaluate,NR_Int</w:t>
      </w:r>
      <w:r>
        <w:rPr>
          <w:vertAlign w:val="subscript"/>
          <w:lang w:val="en-US"/>
        </w:rPr>
        <w:t>er</w:t>
      </w:r>
      <w:r w:rsidRPr="00327784">
        <w:rPr>
          <w:vertAlign w:val="subscript"/>
          <w:lang w:val="en-US"/>
        </w:rPr>
        <w:t>_RedCap_Relax</w:t>
      </w:r>
      <w:r w:rsidRPr="00327784">
        <w:rPr>
          <w:lang w:val="en-US"/>
        </w:rPr>
        <w:t xml:space="preserve"> for UE configured with eDRX_IDLE cycle (Frequency range FR1)</w:t>
      </w:r>
      <w:r>
        <w:rPr>
          <w:lang w:val="en-US"/>
        </w:rPr>
        <w:t xml:space="preserve"> </w:t>
      </w:r>
      <w:r w:rsidRPr="00327784">
        <w:rPr>
          <w:lang w:val="en-US"/>
        </w:rPr>
        <w:t xml:space="preserve">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2638"/>
        <w:gridCol w:w="2779"/>
        <w:gridCol w:w="2762"/>
      </w:tblGrid>
      <w:tr w:rsidR="00220A02" w:rsidRPr="00885F53" w14:paraId="7292A816"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3C2412C8" w14:textId="77777777" w:rsidR="00220A02" w:rsidRPr="00885F53" w:rsidRDefault="00220A02" w:rsidP="008B25C8">
            <w:pPr>
              <w:pStyle w:val="TAH"/>
            </w:pPr>
            <w:r>
              <w:rPr>
                <w:rFonts w:cs="Arial"/>
              </w:rPr>
              <w:t>e</w:t>
            </w:r>
            <w:r w:rsidRPr="0082197E">
              <w:rPr>
                <w:rFonts w:cs="Arial"/>
              </w:rPr>
              <w:t>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4EF14711" w14:textId="77777777" w:rsidR="00220A02" w:rsidRPr="00885F53" w:rsidRDefault="00220A02" w:rsidP="008B25C8">
            <w:pPr>
              <w:pStyle w:val="TAH"/>
            </w:pPr>
            <w:r w:rsidRPr="0082197E">
              <w:rPr>
                <w:rFonts w:cs="Arial"/>
                <w:szCs w:val="18"/>
                <w:lang w:val="en-US"/>
              </w:rPr>
              <w:t>T</w:t>
            </w:r>
            <w:r w:rsidRPr="0082197E">
              <w:rPr>
                <w:rFonts w:cs="Arial"/>
                <w:szCs w:val="18"/>
                <w:vertAlign w:val="subscript"/>
                <w:lang w:val="en-US"/>
              </w:rPr>
              <w:t>detect,NR_Int</w:t>
            </w:r>
            <w:r>
              <w:rPr>
                <w:rFonts w:cs="Arial"/>
                <w:szCs w:val="18"/>
                <w:vertAlign w:val="subscript"/>
                <w:lang w:val="en-US"/>
              </w:rPr>
              <w:t>er</w:t>
            </w:r>
            <w:r w:rsidRPr="0082197E">
              <w:rPr>
                <w:rFonts w:cs="Arial"/>
                <w:szCs w:val="18"/>
                <w:vertAlign w:val="subscript"/>
                <w:lang w:val="en-US"/>
              </w:rPr>
              <w:t>_RedCap</w:t>
            </w:r>
            <w:r>
              <w:rPr>
                <w:rFonts w:cs="Arial"/>
                <w:szCs w:val="18"/>
                <w:vertAlign w:val="subscript"/>
                <w:lang w:val="en-US"/>
              </w:rPr>
              <w:t>_Relax</w:t>
            </w:r>
            <w:r w:rsidRPr="0082197E">
              <w:rPr>
                <w:rFonts w:cs="Arial"/>
                <w:szCs w:val="18"/>
              </w:rPr>
              <w:t xml:space="preserve"> [s]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19402ACC" w14:textId="77777777" w:rsidR="00220A02" w:rsidRPr="00885F53" w:rsidRDefault="00220A02" w:rsidP="008B25C8">
            <w:pPr>
              <w:pStyle w:val="TAH"/>
            </w:pPr>
            <w:r w:rsidRPr="0082197E">
              <w:rPr>
                <w:rFonts w:cs="Arial"/>
                <w:szCs w:val="18"/>
                <w:lang w:val="en-US"/>
              </w:rPr>
              <w:t>T</w:t>
            </w:r>
            <w:r w:rsidRPr="0082197E">
              <w:rPr>
                <w:rFonts w:cs="Arial"/>
                <w:szCs w:val="18"/>
                <w:vertAlign w:val="subscript"/>
                <w:lang w:val="en-US"/>
              </w:rPr>
              <w:t>measure,NR_Int</w:t>
            </w:r>
            <w:r>
              <w:rPr>
                <w:rFonts w:cs="Arial"/>
                <w:szCs w:val="18"/>
                <w:vertAlign w:val="subscript"/>
                <w:lang w:val="en-US"/>
              </w:rPr>
              <w:t>er</w:t>
            </w:r>
            <w:r w:rsidRPr="0082197E">
              <w:rPr>
                <w:rFonts w:cs="Arial"/>
                <w:szCs w:val="18"/>
                <w:vertAlign w:val="subscript"/>
                <w:lang w:val="en-US"/>
              </w:rPr>
              <w:t>_RedCap</w:t>
            </w:r>
            <w:r>
              <w:rPr>
                <w:rFonts w:cs="Arial"/>
                <w:szCs w:val="18"/>
                <w:vertAlign w:val="subscript"/>
                <w:lang w:val="en-US"/>
              </w:rPr>
              <w:t>_Relax</w:t>
            </w:r>
            <w:r w:rsidRPr="0082197E">
              <w:rPr>
                <w:rFonts w:cs="Arial"/>
                <w:szCs w:val="18"/>
                <w:lang w:val="en-US"/>
              </w:rPr>
              <w:t xml:space="preserve"> </w:t>
            </w:r>
            <w:r w:rsidRPr="0082197E">
              <w:rPr>
                <w:rFonts w:cs="Arial"/>
                <w:szCs w:val="18"/>
              </w:rPr>
              <w:t xml:space="preserve">[s]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4DB6A2DC" w14:textId="77777777" w:rsidR="00220A02" w:rsidRPr="00885F53" w:rsidRDefault="00220A02" w:rsidP="008B25C8">
            <w:pPr>
              <w:pStyle w:val="TAH"/>
            </w:pPr>
            <w:r w:rsidRPr="00AD5C2C">
              <w:rPr>
                <w:rFonts w:cs="Arial"/>
                <w:szCs w:val="18"/>
                <w:lang w:val="en-US"/>
              </w:rPr>
              <w:t>T</w:t>
            </w:r>
            <w:r w:rsidRPr="00AD5C2C">
              <w:rPr>
                <w:rFonts w:cs="Arial"/>
                <w:szCs w:val="18"/>
                <w:vertAlign w:val="subscript"/>
                <w:lang w:val="en-US"/>
              </w:rPr>
              <w:t>evaluate,NR_Int</w:t>
            </w:r>
            <w:r>
              <w:rPr>
                <w:rFonts w:cs="Arial"/>
                <w:szCs w:val="18"/>
                <w:vertAlign w:val="subscript"/>
                <w:lang w:val="en-US"/>
              </w:rPr>
              <w:t>er</w:t>
            </w:r>
            <w:r w:rsidRPr="00AD5C2C">
              <w:rPr>
                <w:rFonts w:cs="Arial"/>
                <w:szCs w:val="18"/>
                <w:vertAlign w:val="subscript"/>
                <w:lang w:val="en-US"/>
              </w:rPr>
              <w:t>_RedCap</w:t>
            </w:r>
            <w:r>
              <w:rPr>
                <w:rFonts w:cs="Arial"/>
                <w:szCs w:val="18"/>
                <w:vertAlign w:val="subscript"/>
                <w:lang w:val="en-US"/>
              </w:rPr>
              <w:t>_Relax</w:t>
            </w:r>
            <w:r w:rsidRPr="00AD5C2C">
              <w:rPr>
                <w:rFonts w:cs="Arial"/>
                <w:szCs w:val="18"/>
                <w:vertAlign w:val="subscript"/>
                <w:lang w:val="en-US"/>
              </w:rPr>
              <w:t xml:space="preserve"> </w:t>
            </w:r>
            <w:r w:rsidRPr="00AD5C2C">
              <w:rPr>
                <w:rFonts w:cs="Arial"/>
                <w:szCs w:val="18"/>
              </w:rPr>
              <w:t xml:space="preserve">[s] (number of </w:t>
            </w:r>
            <w:r>
              <w:rPr>
                <w:rFonts w:cs="Arial"/>
                <w:szCs w:val="18"/>
              </w:rPr>
              <w:t>e</w:t>
            </w:r>
            <w:r w:rsidRPr="00AD5C2C">
              <w:rPr>
                <w:rFonts w:cs="Arial"/>
                <w:szCs w:val="18"/>
              </w:rPr>
              <w:t xml:space="preserve">DRX </w:t>
            </w:r>
            <w:r>
              <w:rPr>
                <w:rFonts w:cs="Arial"/>
                <w:szCs w:val="18"/>
              </w:rPr>
              <w:t xml:space="preserve">IDLE </w:t>
            </w:r>
            <w:r w:rsidRPr="00AD5C2C">
              <w:rPr>
                <w:rFonts w:cs="Arial"/>
                <w:szCs w:val="18"/>
              </w:rPr>
              <w:t>cycles)</w:t>
            </w:r>
          </w:p>
        </w:tc>
      </w:tr>
      <w:tr w:rsidR="00220A02" w:rsidRPr="00885F53" w14:paraId="7CD4F814" w14:textId="77777777" w:rsidTr="008B25C8">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F474FD8" w14:textId="77777777" w:rsidR="00220A02" w:rsidRPr="00885F53" w:rsidRDefault="00220A02"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CF1B69" w14:textId="77777777" w:rsidR="00220A02" w:rsidRPr="00885F53" w:rsidRDefault="00220A02"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B746B" w14:textId="77777777" w:rsidR="00220A02" w:rsidRPr="00885F53" w:rsidRDefault="00220A02"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8E0EA6" w14:textId="77777777" w:rsidR="00220A02" w:rsidRPr="00885F53" w:rsidRDefault="00220A02" w:rsidP="008B25C8">
            <w:pPr>
              <w:pStyle w:val="TAH"/>
            </w:pPr>
          </w:p>
        </w:tc>
      </w:tr>
      <w:tr w:rsidR="00220A02" w:rsidRPr="00EA7096" w14:paraId="55977098"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13E0830" w14:textId="77777777" w:rsidR="00220A02" w:rsidRPr="00885F53" w:rsidRDefault="00220A02" w:rsidP="008B25C8">
            <w:pPr>
              <w:pStyle w:val="TAC"/>
            </w:pPr>
            <w:r w:rsidRPr="00885F53">
              <w:t>2.56</w:t>
            </w:r>
          </w:p>
        </w:tc>
        <w:tc>
          <w:tcPr>
            <w:tcW w:w="0" w:type="auto"/>
            <w:tcBorders>
              <w:top w:val="single" w:sz="4" w:space="0" w:color="auto"/>
              <w:left w:val="single" w:sz="4" w:space="0" w:color="auto"/>
              <w:bottom w:val="single" w:sz="4" w:space="0" w:color="auto"/>
              <w:right w:val="single" w:sz="4" w:space="0" w:color="auto"/>
            </w:tcBorders>
            <w:hideMark/>
          </w:tcPr>
          <w:p w14:paraId="13CCC2BA" w14:textId="77777777" w:rsidR="00220A02" w:rsidRPr="00950DA1" w:rsidRDefault="00220A02" w:rsidP="008B25C8">
            <w:pPr>
              <w:pStyle w:val="TAC"/>
              <w:rPr>
                <w:lang w:val="sv-SE"/>
              </w:rPr>
            </w:pPr>
            <w:r w:rsidRPr="00806346">
              <w:rPr>
                <w:rFonts w:cs="Arial"/>
                <w:szCs w:val="18"/>
                <w:lang w:val="sv-SE"/>
              </w:rPr>
              <w:t xml:space="preserve">58.88 x </w:t>
            </w:r>
            <w:r>
              <w:rPr>
                <w:rFonts w:cs="Arial"/>
                <w:szCs w:val="18"/>
                <w:lang w:val="sv-SE"/>
              </w:rPr>
              <w:t>K1</w:t>
            </w:r>
            <w:r w:rsidRPr="00806346">
              <w:rPr>
                <w:rFonts w:cs="Arial"/>
                <w:szCs w:val="18"/>
                <w:lang w:val="sv-SE"/>
              </w:rPr>
              <w:t xml:space="preserve"> (23 x </w:t>
            </w:r>
            <w:r>
              <w:rPr>
                <w:rFonts w:cs="Arial"/>
                <w:szCs w:val="18"/>
                <w:lang w:val="sv-SE"/>
              </w:rPr>
              <w:t>K1</w:t>
            </w:r>
            <w:r w:rsidRPr="00806346">
              <w:rPr>
                <w:rFonts w:cs="Arial"/>
                <w:szCs w:val="18"/>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31571045" w14:textId="77777777" w:rsidR="00220A02" w:rsidRPr="00950DA1" w:rsidRDefault="00220A02" w:rsidP="008B25C8">
            <w:pPr>
              <w:pStyle w:val="TAC"/>
              <w:rPr>
                <w:lang w:val="sv-SE"/>
              </w:rPr>
            </w:pPr>
            <w:r w:rsidRPr="00806346">
              <w:rPr>
                <w:rFonts w:cs="Arial"/>
                <w:szCs w:val="18"/>
                <w:lang w:val="sv-SE"/>
              </w:rPr>
              <w:t xml:space="preserve">2.56 x </w:t>
            </w:r>
            <w:r>
              <w:rPr>
                <w:rFonts w:cs="Arial"/>
                <w:szCs w:val="18"/>
                <w:lang w:val="sv-SE"/>
              </w:rPr>
              <w:t>K1</w:t>
            </w:r>
            <w:r w:rsidRPr="00806346">
              <w:rPr>
                <w:rFonts w:cs="Arial"/>
                <w:szCs w:val="18"/>
                <w:lang w:val="sv-SE"/>
              </w:rPr>
              <w:t xml:space="preserve"> (1 x </w:t>
            </w:r>
            <w:r>
              <w:rPr>
                <w:rFonts w:cs="Arial"/>
                <w:szCs w:val="18"/>
                <w:lang w:val="sv-SE"/>
              </w:rPr>
              <w:t>K1</w:t>
            </w:r>
            <w:r w:rsidRPr="00806346">
              <w:rPr>
                <w:rFonts w:cs="Arial"/>
                <w:szCs w:val="18"/>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417F178" w14:textId="77777777" w:rsidR="00220A02" w:rsidRPr="00950DA1" w:rsidRDefault="00220A02" w:rsidP="008B25C8">
            <w:pPr>
              <w:pStyle w:val="TAC"/>
              <w:rPr>
                <w:lang w:val="sv-SE"/>
              </w:rPr>
            </w:pPr>
            <w:r w:rsidRPr="00806346">
              <w:rPr>
                <w:rFonts w:cs="Arial"/>
                <w:szCs w:val="18"/>
                <w:lang w:val="sv-SE"/>
              </w:rPr>
              <w:t xml:space="preserve">7.68 x </w:t>
            </w:r>
            <w:r>
              <w:rPr>
                <w:rFonts w:cs="Arial"/>
                <w:szCs w:val="18"/>
                <w:lang w:val="sv-SE"/>
              </w:rPr>
              <w:t>K1</w:t>
            </w:r>
            <w:r w:rsidRPr="00806346">
              <w:rPr>
                <w:rFonts w:cs="Arial"/>
                <w:szCs w:val="18"/>
                <w:lang w:val="sv-SE"/>
              </w:rPr>
              <w:t xml:space="preserve"> (3 x </w:t>
            </w:r>
            <w:r>
              <w:rPr>
                <w:rFonts w:cs="Arial"/>
                <w:szCs w:val="18"/>
                <w:lang w:val="sv-SE"/>
              </w:rPr>
              <w:t>K1</w:t>
            </w:r>
            <w:r w:rsidRPr="00806346">
              <w:rPr>
                <w:rFonts w:cs="Arial"/>
                <w:szCs w:val="18"/>
                <w:lang w:val="sv-SE"/>
              </w:rPr>
              <w:t>)</w:t>
            </w:r>
          </w:p>
        </w:tc>
      </w:tr>
      <w:tr w:rsidR="00220A02" w:rsidRPr="00885F53" w14:paraId="50BCFF15"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DC7558E" w14:textId="77777777" w:rsidR="00220A02" w:rsidRPr="00885F53" w:rsidRDefault="00220A02" w:rsidP="008B25C8">
            <w:pPr>
              <w:pStyle w:val="TAC"/>
            </w:pPr>
            <w:r w:rsidRPr="00C23796">
              <w:rPr>
                <w:rFonts w:cs="Arial"/>
                <w:szCs w:val="18"/>
              </w:rPr>
              <w:t>5.12</w:t>
            </w:r>
          </w:p>
        </w:tc>
        <w:tc>
          <w:tcPr>
            <w:tcW w:w="0" w:type="auto"/>
            <w:tcBorders>
              <w:top w:val="single" w:sz="4" w:space="0" w:color="auto"/>
              <w:left w:val="single" w:sz="4" w:space="0" w:color="auto"/>
              <w:bottom w:val="single" w:sz="4" w:space="0" w:color="auto"/>
              <w:right w:val="single" w:sz="4" w:space="0" w:color="auto"/>
            </w:tcBorders>
            <w:hideMark/>
          </w:tcPr>
          <w:p w14:paraId="5329F65C" w14:textId="77777777" w:rsidR="00220A02" w:rsidRPr="00885F53" w:rsidRDefault="00220A02" w:rsidP="008B25C8">
            <w:pPr>
              <w:pStyle w:val="TAC"/>
            </w:pPr>
            <w:r w:rsidRPr="006F2E0A">
              <w:rPr>
                <w:rFonts w:cs="Arial"/>
                <w:szCs w:val="18"/>
              </w:rPr>
              <w:t>117.76</w:t>
            </w:r>
            <w:r w:rsidRPr="00806346">
              <w:rPr>
                <w:rFonts w:cs="Arial"/>
                <w:szCs w:val="18"/>
                <w:lang w:val="sv-SE"/>
              </w:rPr>
              <w:t xml:space="preserve"> x </w:t>
            </w:r>
            <w:r>
              <w:rPr>
                <w:rFonts w:cs="Arial"/>
                <w:szCs w:val="18"/>
              </w:rPr>
              <w:t>K1</w:t>
            </w:r>
            <w:r w:rsidRPr="00C23796">
              <w:rPr>
                <w:rFonts w:cs="Arial"/>
                <w:szCs w:val="18"/>
              </w:rPr>
              <w:t xml:space="preserve"> (23</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0BDD1618" w14:textId="77777777" w:rsidR="00220A02" w:rsidRPr="00885F53" w:rsidRDefault="00220A02" w:rsidP="008B25C8">
            <w:pPr>
              <w:pStyle w:val="TAC"/>
            </w:pPr>
            <w:r w:rsidRPr="006F2E0A">
              <w:rPr>
                <w:rFonts w:cs="Arial"/>
                <w:szCs w:val="18"/>
              </w:rPr>
              <w:t>5.12</w:t>
            </w:r>
            <w:r w:rsidRPr="00806346">
              <w:rPr>
                <w:rFonts w:cs="Arial"/>
                <w:szCs w:val="18"/>
                <w:lang w:val="sv-SE"/>
              </w:rPr>
              <w:t xml:space="preserve"> x </w:t>
            </w:r>
            <w:r>
              <w:rPr>
                <w:rFonts w:cs="Arial"/>
                <w:szCs w:val="18"/>
              </w:rPr>
              <w:t>K1</w:t>
            </w:r>
            <w:r w:rsidRPr="00C23796">
              <w:rPr>
                <w:rFonts w:cs="Arial"/>
                <w:szCs w:val="18"/>
              </w:rPr>
              <w:t xml:space="preserve"> (1</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3BA5550F" w14:textId="77777777" w:rsidR="00220A02" w:rsidRPr="00885F53" w:rsidRDefault="00220A02" w:rsidP="008B25C8">
            <w:pPr>
              <w:pStyle w:val="TAC"/>
            </w:pPr>
            <w:r w:rsidRPr="006F2E0A">
              <w:rPr>
                <w:rFonts w:cs="Arial"/>
                <w:szCs w:val="18"/>
              </w:rPr>
              <w:t>10.24</w:t>
            </w:r>
            <w:r w:rsidRPr="00806346">
              <w:rPr>
                <w:rFonts w:cs="Arial"/>
                <w:szCs w:val="18"/>
                <w:lang w:val="sv-SE"/>
              </w:rPr>
              <w:t xml:space="preserve"> x </w:t>
            </w:r>
            <w:r>
              <w:rPr>
                <w:rFonts w:cs="Arial"/>
                <w:szCs w:val="18"/>
              </w:rPr>
              <w:t>K1</w:t>
            </w:r>
            <w:r w:rsidRPr="00C23796">
              <w:rPr>
                <w:rFonts w:cs="Arial"/>
                <w:szCs w:val="18"/>
              </w:rPr>
              <w:t xml:space="preserve"> (2</w:t>
            </w:r>
            <w:r w:rsidRPr="00806346">
              <w:rPr>
                <w:rFonts w:cs="Arial"/>
                <w:szCs w:val="18"/>
                <w:lang w:val="sv-SE"/>
              </w:rPr>
              <w:t xml:space="preserve"> x </w:t>
            </w:r>
            <w:r>
              <w:rPr>
                <w:rFonts w:cs="Arial"/>
                <w:szCs w:val="18"/>
              </w:rPr>
              <w:t>K1</w:t>
            </w:r>
            <w:r w:rsidRPr="00C23796">
              <w:rPr>
                <w:rFonts w:cs="Arial"/>
                <w:szCs w:val="18"/>
              </w:rPr>
              <w:t>)</w:t>
            </w:r>
          </w:p>
        </w:tc>
      </w:tr>
      <w:tr w:rsidR="00220A02" w:rsidRPr="00885F53" w14:paraId="54440749"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D92B246" w14:textId="77777777" w:rsidR="00220A02" w:rsidRPr="00885F53" w:rsidRDefault="00220A02" w:rsidP="008B25C8">
            <w:pPr>
              <w:pStyle w:val="TAC"/>
            </w:pPr>
            <w:r w:rsidRPr="00C23796">
              <w:rPr>
                <w:rFonts w:cs="Arial"/>
                <w:szCs w:val="18"/>
              </w:rPr>
              <w:t>10.24</w:t>
            </w:r>
          </w:p>
        </w:tc>
        <w:tc>
          <w:tcPr>
            <w:tcW w:w="0" w:type="auto"/>
            <w:tcBorders>
              <w:top w:val="single" w:sz="4" w:space="0" w:color="auto"/>
              <w:left w:val="single" w:sz="4" w:space="0" w:color="auto"/>
              <w:bottom w:val="single" w:sz="4" w:space="0" w:color="auto"/>
              <w:right w:val="single" w:sz="4" w:space="0" w:color="auto"/>
            </w:tcBorders>
            <w:hideMark/>
          </w:tcPr>
          <w:p w14:paraId="7FCE2BF9" w14:textId="77777777" w:rsidR="00220A02" w:rsidRPr="00885F53" w:rsidRDefault="00220A02" w:rsidP="008B25C8">
            <w:pPr>
              <w:pStyle w:val="TAC"/>
            </w:pPr>
            <w:r w:rsidRPr="006F2E0A">
              <w:rPr>
                <w:rFonts w:cs="Arial"/>
                <w:szCs w:val="18"/>
              </w:rPr>
              <w:t>235.52</w:t>
            </w:r>
            <w:r w:rsidRPr="00806346">
              <w:rPr>
                <w:rFonts w:cs="Arial"/>
                <w:szCs w:val="18"/>
                <w:lang w:val="sv-SE"/>
              </w:rPr>
              <w:t xml:space="preserve"> x </w:t>
            </w:r>
            <w:r>
              <w:rPr>
                <w:rFonts w:cs="Arial"/>
                <w:szCs w:val="18"/>
              </w:rPr>
              <w:t>K1</w:t>
            </w:r>
            <w:r w:rsidRPr="00C23796">
              <w:rPr>
                <w:rFonts w:cs="Arial"/>
                <w:szCs w:val="18"/>
              </w:rPr>
              <w:t xml:space="preserve"> (23</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2379FC19" w14:textId="77777777" w:rsidR="00220A02" w:rsidRPr="00885F53" w:rsidRDefault="00220A02" w:rsidP="008B25C8">
            <w:pPr>
              <w:pStyle w:val="TAC"/>
            </w:pPr>
            <w:r w:rsidRPr="006F2E0A">
              <w:rPr>
                <w:rFonts w:cs="Arial"/>
                <w:szCs w:val="18"/>
              </w:rPr>
              <w:t>10.24</w:t>
            </w:r>
            <w:r w:rsidRPr="00806346">
              <w:rPr>
                <w:rFonts w:cs="Arial"/>
                <w:szCs w:val="18"/>
                <w:lang w:val="sv-SE"/>
              </w:rPr>
              <w:t xml:space="preserve"> x </w:t>
            </w:r>
            <w:r>
              <w:rPr>
                <w:rFonts w:cs="Arial"/>
                <w:szCs w:val="18"/>
              </w:rPr>
              <w:t>K1</w:t>
            </w:r>
            <w:r w:rsidRPr="00C23796">
              <w:rPr>
                <w:rFonts w:cs="Arial"/>
                <w:szCs w:val="18"/>
              </w:rPr>
              <w:t xml:space="preserve"> (1</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19C922AD" w14:textId="77777777" w:rsidR="00220A02" w:rsidRPr="00885F53" w:rsidRDefault="00220A02" w:rsidP="008B25C8">
            <w:pPr>
              <w:pStyle w:val="TAC"/>
            </w:pPr>
            <w:r w:rsidRPr="006F2E0A">
              <w:rPr>
                <w:rFonts w:cs="Arial"/>
                <w:szCs w:val="18"/>
              </w:rPr>
              <w:t>20.48</w:t>
            </w:r>
            <w:r w:rsidRPr="00806346">
              <w:rPr>
                <w:rFonts w:cs="Arial"/>
                <w:szCs w:val="18"/>
                <w:lang w:val="sv-SE"/>
              </w:rPr>
              <w:t xml:space="preserve"> x </w:t>
            </w:r>
            <w:r>
              <w:rPr>
                <w:rFonts w:cs="Arial"/>
                <w:szCs w:val="18"/>
              </w:rPr>
              <w:t>K1</w:t>
            </w:r>
            <w:r w:rsidRPr="00C23796">
              <w:rPr>
                <w:rFonts w:cs="Arial"/>
                <w:szCs w:val="18"/>
              </w:rPr>
              <w:t xml:space="preserve"> (2</w:t>
            </w:r>
            <w:r w:rsidRPr="00806346">
              <w:rPr>
                <w:rFonts w:cs="Arial"/>
                <w:szCs w:val="18"/>
                <w:lang w:val="sv-SE"/>
              </w:rPr>
              <w:t xml:space="preserve"> x </w:t>
            </w:r>
            <w:r>
              <w:rPr>
                <w:rFonts w:cs="Arial"/>
                <w:szCs w:val="18"/>
              </w:rPr>
              <w:t>K1</w:t>
            </w:r>
            <w:r w:rsidRPr="00C23796">
              <w:rPr>
                <w:rFonts w:cs="Arial"/>
                <w:szCs w:val="18"/>
              </w:rPr>
              <w:t>)</w:t>
            </w:r>
          </w:p>
        </w:tc>
      </w:tr>
      <w:tr w:rsidR="00220A02" w:rsidRPr="00885F53" w14:paraId="080D2A4E" w14:textId="77777777" w:rsidTr="008B25C8">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50D85D73" w14:textId="77777777" w:rsidR="00220A02" w:rsidRPr="006D3EA9" w:rsidRDefault="00220A02" w:rsidP="008B25C8">
            <w:pPr>
              <w:pStyle w:val="TAN"/>
              <w:rPr>
                <w:snapToGrid w:val="0"/>
              </w:rPr>
            </w:pPr>
            <w:r w:rsidRPr="00885F53">
              <w:rPr>
                <w:snapToGrid w:val="0"/>
              </w:rPr>
              <w:t>Note 1</w:t>
            </w:r>
            <w:r w:rsidRPr="00885F53">
              <w:t>:</w:t>
            </w:r>
            <w:r w:rsidRPr="00885F53">
              <w:rPr>
                <w:lang w:val="en-US"/>
              </w:rPr>
              <w:tab/>
            </w:r>
            <w:r w:rsidRPr="009C5807">
              <w:t xml:space="preserve">Applies for </w:t>
            </w:r>
            <w:r>
              <w:t xml:space="preserve">RedCap </w:t>
            </w:r>
            <w:r w:rsidRPr="009C5807">
              <w:t xml:space="preserve">UE </w:t>
            </w:r>
            <w:r>
              <w:t xml:space="preserve">of all </w:t>
            </w:r>
            <w:r w:rsidRPr="009C5807">
              <w:t xml:space="preserve">supporting </w:t>
            </w:r>
            <w:r>
              <w:t xml:space="preserve">FR2 </w:t>
            </w:r>
            <w:r w:rsidRPr="009C5807">
              <w:t>power class</w:t>
            </w:r>
            <w:r>
              <w:t>es</w:t>
            </w:r>
            <w:r w:rsidRPr="00885F53">
              <w:t>.</w:t>
            </w:r>
          </w:p>
          <w:p w14:paraId="1785EE21" w14:textId="77777777" w:rsidR="00220A02" w:rsidRPr="00885F53" w:rsidRDefault="00220A02" w:rsidP="008B25C8">
            <w:pPr>
              <w:pStyle w:val="TAN"/>
            </w:pPr>
            <w:r w:rsidRPr="00C23796">
              <w:rPr>
                <w:rFonts w:cs="Arial"/>
                <w:snapToGrid w:val="0"/>
                <w:szCs w:val="18"/>
              </w:rPr>
              <w:t xml:space="preserve">Note </w:t>
            </w:r>
            <w:r>
              <w:rPr>
                <w:rFonts w:cs="Arial"/>
                <w:snapToGrid w:val="0"/>
                <w:szCs w:val="18"/>
              </w:rPr>
              <w:t>2</w:t>
            </w:r>
            <w:r w:rsidRPr="00C23796">
              <w:rPr>
                <w:rFonts w:cs="Arial"/>
                <w:snapToGrid w:val="0"/>
                <w:szCs w:val="18"/>
              </w:rPr>
              <w:t>:</w:t>
            </w:r>
            <w:r w:rsidRPr="00C23796">
              <w:rPr>
                <w:rFonts w:cs="Arial"/>
                <w:snapToGrid w:val="0"/>
                <w:szCs w:val="18"/>
              </w:rPr>
              <w:tab/>
            </w:r>
            <w:r>
              <w:rPr>
                <w:rFonts w:cs="Arial"/>
                <w:snapToGrid w:val="0"/>
                <w:szCs w:val="18"/>
              </w:rPr>
              <w:t>K1</w:t>
            </w:r>
            <w:r w:rsidRPr="00C23796">
              <w:rPr>
                <w:rFonts w:cs="Arial"/>
                <w:snapToGrid w:val="0"/>
                <w:szCs w:val="18"/>
              </w:rPr>
              <w:t xml:space="preserve"> = </w:t>
            </w:r>
            <w:r>
              <w:rPr>
                <w:rFonts w:cs="Arial"/>
                <w:snapToGrid w:val="0"/>
                <w:szCs w:val="18"/>
              </w:rPr>
              <w:t>3</w:t>
            </w:r>
            <w:r w:rsidRPr="00C23796">
              <w:rPr>
                <w:rFonts w:cs="Arial"/>
                <w:snapToGrid w:val="0"/>
                <w:szCs w:val="18"/>
              </w:rPr>
              <w:t xml:space="preserve"> is the measurement relaxation factor applicable for UE fulfilling the </w:t>
            </w:r>
            <w:r w:rsidRPr="001C6668">
              <w:rPr>
                <w:i/>
                <w:iCs/>
              </w:rPr>
              <w:t>lowMobilityEvaluation</w:t>
            </w:r>
            <w:r w:rsidRPr="00C23796">
              <w:rPr>
                <w:rFonts w:cs="Arial"/>
                <w:snapToGrid w:val="0"/>
                <w:szCs w:val="18"/>
              </w:rPr>
              <w:t xml:space="preserve"> [2] criterion.</w:t>
            </w:r>
          </w:p>
        </w:tc>
      </w:tr>
    </w:tbl>
    <w:p w14:paraId="7C1C9C4B" w14:textId="77777777" w:rsidR="00220A02" w:rsidRDefault="00220A02" w:rsidP="00220A02">
      <w:pPr>
        <w:rPr>
          <w:noProof/>
        </w:rPr>
      </w:pPr>
    </w:p>
    <w:p w14:paraId="70A4DEA8" w14:textId="77777777" w:rsidR="00220A02" w:rsidRPr="00327784" w:rsidRDefault="00220A02" w:rsidP="00D92F72">
      <w:pPr>
        <w:pStyle w:val="TH"/>
        <w:rPr>
          <w:lang w:val="en-US"/>
        </w:rPr>
      </w:pPr>
      <w:r w:rsidRPr="00327784">
        <w:rPr>
          <w:lang w:val="en-US"/>
        </w:rPr>
        <w:t>Table 4.2B.2.</w:t>
      </w:r>
      <w:r>
        <w:rPr>
          <w:lang w:val="en-US"/>
        </w:rPr>
        <w:t>10</w:t>
      </w:r>
      <w:r w:rsidRPr="00327784">
        <w:rPr>
          <w:lang w:val="en-US"/>
        </w:rPr>
        <w:t>.9-</w:t>
      </w:r>
      <w:r>
        <w:rPr>
          <w:lang w:val="en-US"/>
        </w:rPr>
        <w:t>4</w:t>
      </w:r>
      <w:r w:rsidRPr="00327784">
        <w:rPr>
          <w:lang w:val="en-US"/>
        </w:rPr>
        <w:t>: T</w:t>
      </w:r>
      <w:r w:rsidRPr="00327784">
        <w:rPr>
          <w:vertAlign w:val="subscript"/>
          <w:lang w:val="en-US"/>
        </w:rPr>
        <w:t>detect,NR_</w:t>
      </w:r>
      <w:r w:rsidRPr="00CF520A">
        <w:rPr>
          <w:vertAlign w:val="subscript"/>
        </w:rPr>
        <w:t>Inter</w:t>
      </w:r>
      <w:r w:rsidRPr="00327784">
        <w:rPr>
          <w:vertAlign w:val="subscript"/>
          <w:lang w:val="en-US"/>
        </w:rPr>
        <w:t>_RedCap_Relax</w:t>
      </w:r>
      <w:r w:rsidRPr="00327784">
        <w:rPr>
          <w:lang w:val="en-US"/>
        </w:rPr>
        <w:t>, T</w:t>
      </w:r>
      <w:r w:rsidRPr="00327784">
        <w:rPr>
          <w:vertAlign w:val="subscript"/>
          <w:lang w:val="en-US"/>
        </w:rPr>
        <w:t>measure,NR_Int</w:t>
      </w:r>
      <w:r>
        <w:rPr>
          <w:vertAlign w:val="subscript"/>
          <w:lang w:val="en-US"/>
        </w:rPr>
        <w:t>er</w:t>
      </w:r>
      <w:r w:rsidRPr="00327784">
        <w:rPr>
          <w:vertAlign w:val="subscript"/>
          <w:lang w:val="en-US"/>
        </w:rPr>
        <w:t>_RedCap_Relax</w:t>
      </w:r>
      <w:r w:rsidRPr="00327784">
        <w:rPr>
          <w:lang w:val="en-US"/>
        </w:rPr>
        <w:t xml:space="preserve"> and T</w:t>
      </w:r>
      <w:r w:rsidRPr="00327784">
        <w:rPr>
          <w:vertAlign w:val="subscript"/>
          <w:lang w:val="en-US"/>
        </w:rPr>
        <w:t>evaluate,NR_Int</w:t>
      </w:r>
      <w:r>
        <w:rPr>
          <w:vertAlign w:val="subscript"/>
          <w:lang w:val="en-US"/>
        </w:rPr>
        <w:t>er</w:t>
      </w:r>
      <w:r w:rsidRPr="00327784">
        <w:rPr>
          <w:vertAlign w:val="subscript"/>
          <w:lang w:val="en-US"/>
        </w:rPr>
        <w:t>_RedCap_Relax</w:t>
      </w:r>
      <w:r w:rsidRPr="00327784">
        <w:rPr>
          <w:lang w:val="en-US"/>
        </w:rPr>
        <w:t xml:space="preserve"> for UE configured with eDRX_IDLE cycle (Frequency range FR</w:t>
      </w:r>
      <w:r>
        <w:rPr>
          <w:lang w:val="en-US"/>
        </w:rPr>
        <w:t>2</w:t>
      </w:r>
      <w:r w:rsidRPr="00327784">
        <w:rPr>
          <w:lang w:val="en-US"/>
        </w:rPr>
        <w:t>)</w:t>
      </w:r>
      <w:r>
        <w:rPr>
          <w:lang w:val="en-US"/>
        </w:rPr>
        <w:t xml:space="preserve"> </w:t>
      </w:r>
      <w:r w:rsidRPr="00327784">
        <w:rPr>
          <w:lang w:val="en-US"/>
        </w:rPr>
        <w:t>for eDRX_IDLE cycle upto 10.24 s for 2 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2798"/>
        <w:gridCol w:w="2619"/>
        <w:gridCol w:w="2763"/>
      </w:tblGrid>
      <w:tr w:rsidR="00220A02" w:rsidRPr="00885F53" w14:paraId="5F535746"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7FFEC525" w14:textId="77777777" w:rsidR="00220A02" w:rsidRPr="00885F53" w:rsidRDefault="00220A02" w:rsidP="008B25C8">
            <w:pPr>
              <w:pStyle w:val="TAH"/>
            </w:pPr>
            <w:r>
              <w:rPr>
                <w:rFonts w:cs="Arial"/>
              </w:rPr>
              <w:t>e</w:t>
            </w:r>
            <w:r w:rsidRPr="0082197E">
              <w:rPr>
                <w:rFonts w:cs="Arial"/>
              </w:rPr>
              <w:t>DRX_IDLE cycle length [s]</w:t>
            </w:r>
          </w:p>
        </w:tc>
        <w:tc>
          <w:tcPr>
            <w:tcW w:w="2798" w:type="dxa"/>
            <w:vMerge w:val="restart"/>
            <w:tcBorders>
              <w:top w:val="single" w:sz="4" w:space="0" w:color="auto"/>
              <w:left w:val="single" w:sz="4" w:space="0" w:color="auto"/>
              <w:bottom w:val="single" w:sz="4" w:space="0" w:color="auto"/>
              <w:right w:val="single" w:sz="4" w:space="0" w:color="auto"/>
            </w:tcBorders>
            <w:hideMark/>
          </w:tcPr>
          <w:p w14:paraId="6BDE0EDB" w14:textId="77777777" w:rsidR="00220A02" w:rsidRPr="00885F53" w:rsidRDefault="00220A02" w:rsidP="008B25C8">
            <w:pPr>
              <w:pStyle w:val="TAH"/>
            </w:pPr>
            <w:r w:rsidRPr="0082197E">
              <w:rPr>
                <w:rFonts w:cs="Arial"/>
                <w:szCs w:val="18"/>
                <w:lang w:val="en-US"/>
              </w:rPr>
              <w:t>T</w:t>
            </w:r>
            <w:r w:rsidRPr="0082197E">
              <w:rPr>
                <w:rFonts w:cs="Arial"/>
                <w:szCs w:val="18"/>
                <w:vertAlign w:val="subscript"/>
                <w:lang w:val="en-US"/>
              </w:rPr>
              <w:t>detect,NR_Int</w:t>
            </w:r>
            <w:r>
              <w:rPr>
                <w:rFonts w:cs="Arial"/>
                <w:szCs w:val="18"/>
                <w:vertAlign w:val="subscript"/>
                <w:lang w:val="en-US"/>
              </w:rPr>
              <w:t>er</w:t>
            </w:r>
            <w:r w:rsidRPr="0082197E">
              <w:rPr>
                <w:rFonts w:cs="Arial"/>
                <w:szCs w:val="18"/>
                <w:vertAlign w:val="subscript"/>
                <w:lang w:val="en-US"/>
              </w:rPr>
              <w:t>_RedCap</w:t>
            </w:r>
            <w:r>
              <w:rPr>
                <w:rFonts w:cs="Arial"/>
                <w:szCs w:val="18"/>
                <w:vertAlign w:val="subscript"/>
                <w:lang w:val="en-US"/>
              </w:rPr>
              <w:t>_Relax</w:t>
            </w:r>
            <w:r w:rsidRPr="0082197E">
              <w:rPr>
                <w:rFonts w:cs="Arial"/>
                <w:szCs w:val="18"/>
              </w:rPr>
              <w:t xml:space="preserve"> [s]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2619" w:type="dxa"/>
            <w:vMerge w:val="restart"/>
            <w:tcBorders>
              <w:top w:val="single" w:sz="4" w:space="0" w:color="auto"/>
              <w:left w:val="single" w:sz="4" w:space="0" w:color="auto"/>
              <w:bottom w:val="single" w:sz="4" w:space="0" w:color="auto"/>
              <w:right w:val="single" w:sz="4" w:space="0" w:color="auto"/>
            </w:tcBorders>
            <w:hideMark/>
          </w:tcPr>
          <w:p w14:paraId="40ECCF7C" w14:textId="77777777" w:rsidR="00220A02" w:rsidRPr="00885F53" w:rsidRDefault="00220A02" w:rsidP="008B25C8">
            <w:pPr>
              <w:pStyle w:val="TAH"/>
            </w:pPr>
            <w:r w:rsidRPr="0082197E">
              <w:rPr>
                <w:rFonts w:cs="Arial"/>
                <w:szCs w:val="18"/>
                <w:lang w:val="en-US"/>
              </w:rPr>
              <w:t>T</w:t>
            </w:r>
            <w:r w:rsidRPr="0082197E">
              <w:rPr>
                <w:rFonts w:cs="Arial"/>
                <w:szCs w:val="18"/>
                <w:vertAlign w:val="subscript"/>
                <w:lang w:val="en-US"/>
              </w:rPr>
              <w:t>measure,NR_Int</w:t>
            </w:r>
            <w:r>
              <w:rPr>
                <w:rFonts w:cs="Arial"/>
                <w:szCs w:val="18"/>
                <w:vertAlign w:val="subscript"/>
                <w:lang w:val="en-US"/>
              </w:rPr>
              <w:t>er</w:t>
            </w:r>
            <w:r w:rsidRPr="0082197E">
              <w:rPr>
                <w:rFonts w:cs="Arial"/>
                <w:szCs w:val="18"/>
                <w:vertAlign w:val="subscript"/>
                <w:lang w:val="en-US"/>
              </w:rPr>
              <w:t>_RedCap</w:t>
            </w:r>
            <w:r>
              <w:rPr>
                <w:rFonts w:cs="Arial"/>
                <w:szCs w:val="18"/>
                <w:vertAlign w:val="subscript"/>
                <w:lang w:val="en-US"/>
              </w:rPr>
              <w:t>_Relax</w:t>
            </w:r>
            <w:r w:rsidRPr="0082197E">
              <w:rPr>
                <w:rFonts w:cs="Arial"/>
                <w:szCs w:val="18"/>
                <w:lang w:val="en-US"/>
              </w:rPr>
              <w:t xml:space="preserve"> </w:t>
            </w:r>
            <w:r w:rsidRPr="0082197E">
              <w:rPr>
                <w:rFonts w:cs="Arial"/>
                <w:szCs w:val="18"/>
              </w:rPr>
              <w:t xml:space="preserve">[s]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57E09F7D" w14:textId="77777777" w:rsidR="00220A02" w:rsidRPr="00885F53" w:rsidRDefault="00220A02" w:rsidP="008B25C8">
            <w:pPr>
              <w:pStyle w:val="TAH"/>
            </w:pPr>
            <w:r w:rsidRPr="00AD5C2C">
              <w:rPr>
                <w:rFonts w:cs="Arial"/>
                <w:szCs w:val="18"/>
                <w:lang w:val="en-US"/>
              </w:rPr>
              <w:t>T</w:t>
            </w:r>
            <w:r w:rsidRPr="00AD5C2C">
              <w:rPr>
                <w:rFonts w:cs="Arial"/>
                <w:szCs w:val="18"/>
                <w:vertAlign w:val="subscript"/>
                <w:lang w:val="en-US"/>
              </w:rPr>
              <w:t>evaluate,NR_Int</w:t>
            </w:r>
            <w:r>
              <w:rPr>
                <w:rFonts w:cs="Arial"/>
                <w:szCs w:val="18"/>
                <w:vertAlign w:val="subscript"/>
                <w:lang w:val="en-US"/>
              </w:rPr>
              <w:t>er</w:t>
            </w:r>
            <w:r w:rsidRPr="00AD5C2C">
              <w:rPr>
                <w:rFonts w:cs="Arial"/>
                <w:szCs w:val="18"/>
                <w:vertAlign w:val="subscript"/>
                <w:lang w:val="en-US"/>
              </w:rPr>
              <w:t>_RedCap</w:t>
            </w:r>
            <w:r>
              <w:rPr>
                <w:rFonts w:cs="Arial"/>
                <w:szCs w:val="18"/>
                <w:vertAlign w:val="subscript"/>
                <w:lang w:val="en-US"/>
              </w:rPr>
              <w:t>_Relax</w:t>
            </w:r>
            <w:r w:rsidRPr="00AD5C2C">
              <w:rPr>
                <w:rFonts w:cs="Arial"/>
                <w:szCs w:val="18"/>
                <w:vertAlign w:val="subscript"/>
                <w:lang w:val="en-US"/>
              </w:rPr>
              <w:t xml:space="preserve"> </w:t>
            </w:r>
            <w:r w:rsidRPr="00AD5C2C">
              <w:rPr>
                <w:rFonts w:cs="Arial"/>
                <w:szCs w:val="18"/>
              </w:rPr>
              <w:t xml:space="preserve">[s] (number of </w:t>
            </w:r>
            <w:r>
              <w:rPr>
                <w:rFonts w:cs="Arial"/>
                <w:szCs w:val="18"/>
              </w:rPr>
              <w:t>e</w:t>
            </w:r>
            <w:r w:rsidRPr="00AD5C2C">
              <w:rPr>
                <w:rFonts w:cs="Arial"/>
                <w:szCs w:val="18"/>
              </w:rPr>
              <w:t xml:space="preserve">DRX </w:t>
            </w:r>
            <w:r>
              <w:rPr>
                <w:rFonts w:cs="Arial"/>
                <w:szCs w:val="18"/>
              </w:rPr>
              <w:t xml:space="preserve">IDLE </w:t>
            </w:r>
            <w:r w:rsidRPr="00AD5C2C">
              <w:rPr>
                <w:rFonts w:cs="Arial"/>
                <w:szCs w:val="18"/>
              </w:rPr>
              <w:t>cycles)</w:t>
            </w:r>
          </w:p>
        </w:tc>
      </w:tr>
      <w:tr w:rsidR="00220A02" w:rsidRPr="00885F53" w14:paraId="60A24278" w14:textId="77777777" w:rsidTr="008B25C8">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B48029B" w14:textId="77777777" w:rsidR="00220A02" w:rsidRPr="00885F53" w:rsidRDefault="00220A02" w:rsidP="008B25C8">
            <w:pPr>
              <w:pStyle w:val="TAH"/>
            </w:pPr>
          </w:p>
        </w:tc>
        <w:tc>
          <w:tcPr>
            <w:tcW w:w="2798" w:type="dxa"/>
            <w:vMerge/>
            <w:tcBorders>
              <w:top w:val="single" w:sz="4" w:space="0" w:color="auto"/>
              <w:left w:val="single" w:sz="4" w:space="0" w:color="auto"/>
              <w:bottom w:val="single" w:sz="4" w:space="0" w:color="auto"/>
              <w:right w:val="single" w:sz="4" w:space="0" w:color="auto"/>
            </w:tcBorders>
            <w:vAlign w:val="center"/>
            <w:hideMark/>
          </w:tcPr>
          <w:p w14:paraId="3498B68C" w14:textId="77777777" w:rsidR="00220A02" w:rsidRPr="00885F53" w:rsidRDefault="00220A02" w:rsidP="008B25C8">
            <w:pPr>
              <w:pStyle w:val="TAH"/>
            </w:pPr>
          </w:p>
        </w:tc>
        <w:tc>
          <w:tcPr>
            <w:tcW w:w="2619" w:type="dxa"/>
            <w:vMerge/>
            <w:tcBorders>
              <w:top w:val="single" w:sz="4" w:space="0" w:color="auto"/>
              <w:left w:val="single" w:sz="4" w:space="0" w:color="auto"/>
              <w:bottom w:val="single" w:sz="4" w:space="0" w:color="auto"/>
              <w:right w:val="single" w:sz="4" w:space="0" w:color="auto"/>
            </w:tcBorders>
            <w:vAlign w:val="center"/>
            <w:hideMark/>
          </w:tcPr>
          <w:p w14:paraId="619FE236" w14:textId="77777777" w:rsidR="00220A02" w:rsidRPr="00885F53" w:rsidRDefault="00220A02"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B62B26" w14:textId="77777777" w:rsidR="00220A02" w:rsidRPr="00885F53" w:rsidRDefault="00220A02" w:rsidP="008B25C8">
            <w:pPr>
              <w:pStyle w:val="TAH"/>
            </w:pPr>
          </w:p>
        </w:tc>
      </w:tr>
      <w:tr w:rsidR="00220A02" w:rsidRPr="00EA7096" w14:paraId="3B0177C0"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BDCE47D" w14:textId="77777777" w:rsidR="00220A02" w:rsidRPr="00885F53" w:rsidRDefault="00220A02" w:rsidP="008B25C8">
            <w:pPr>
              <w:pStyle w:val="TAC"/>
            </w:pPr>
            <w:r w:rsidRPr="00885F53">
              <w:t>2.56</w:t>
            </w:r>
          </w:p>
        </w:tc>
        <w:tc>
          <w:tcPr>
            <w:tcW w:w="2798" w:type="dxa"/>
            <w:tcBorders>
              <w:top w:val="single" w:sz="4" w:space="0" w:color="auto"/>
              <w:left w:val="single" w:sz="4" w:space="0" w:color="auto"/>
              <w:bottom w:val="single" w:sz="4" w:space="0" w:color="auto"/>
              <w:right w:val="single" w:sz="4" w:space="0" w:color="auto"/>
            </w:tcBorders>
            <w:hideMark/>
          </w:tcPr>
          <w:p w14:paraId="743662A7" w14:textId="77777777" w:rsidR="00220A02" w:rsidRPr="00950DA1" w:rsidRDefault="00220A02" w:rsidP="008B25C8">
            <w:pPr>
              <w:pStyle w:val="TAC"/>
              <w:rPr>
                <w:lang w:val="sv-SE"/>
              </w:rPr>
            </w:pPr>
            <w:r w:rsidRPr="00806346">
              <w:rPr>
                <w:rFonts w:cs="Arial"/>
                <w:szCs w:val="18"/>
                <w:lang w:val="sv-SE"/>
              </w:rPr>
              <w:t xml:space="preserve">58.88 x N1 x </w:t>
            </w:r>
            <w:r>
              <w:rPr>
                <w:rFonts w:cs="Arial"/>
                <w:szCs w:val="18"/>
                <w:lang w:val="sv-SE"/>
              </w:rPr>
              <w:t>K1</w:t>
            </w:r>
            <w:r w:rsidRPr="00806346">
              <w:rPr>
                <w:rFonts w:cs="Arial"/>
                <w:szCs w:val="18"/>
                <w:lang w:val="sv-SE"/>
              </w:rPr>
              <w:t xml:space="preserve"> (23 x N1 x </w:t>
            </w:r>
            <w:r>
              <w:rPr>
                <w:rFonts w:cs="Arial"/>
                <w:szCs w:val="18"/>
                <w:lang w:val="sv-SE"/>
              </w:rPr>
              <w:t>K1</w:t>
            </w:r>
            <w:r w:rsidRPr="00806346">
              <w:rPr>
                <w:rFonts w:cs="Arial"/>
                <w:szCs w:val="18"/>
                <w:lang w:val="sv-SE"/>
              </w:rPr>
              <w:t>)</w:t>
            </w:r>
          </w:p>
        </w:tc>
        <w:tc>
          <w:tcPr>
            <w:tcW w:w="2619" w:type="dxa"/>
            <w:tcBorders>
              <w:top w:val="single" w:sz="4" w:space="0" w:color="auto"/>
              <w:left w:val="single" w:sz="4" w:space="0" w:color="auto"/>
              <w:bottom w:val="single" w:sz="4" w:space="0" w:color="auto"/>
              <w:right w:val="single" w:sz="4" w:space="0" w:color="auto"/>
            </w:tcBorders>
            <w:hideMark/>
          </w:tcPr>
          <w:p w14:paraId="6573994D" w14:textId="77777777" w:rsidR="00220A02" w:rsidRPr="00950DA1" w:rsidRDefault="00220A02" w:rsidP="008B25C8">
            <w:pPr>
              <w:pStyle w:val="TAC"/>
              <w:rPr>
                <w:lang w:val="sv-SE"/>
              </w:rPr>
            </w:pPr>
            <w:r w:rsidRPr="00806346">
              <w:rPr>
                <w:rFonts w:cs="Arial"/>
                <w:szCs w:val="18"/>
                <w:lang w:val="sv-SE"/>
              </w:rPr>
              <w:t xml:space="preserve">2.56 x N1 x </w:t>
            </w:r>
            <w:r>
              <w:rPr>
                <w:rFonts w:cs="Arial"/>
                <w:szCs w:val="18"/>
                <w:lang w:val="sv-SE"/>
              </w:rPr>
              <w:t>K1</w:t>
            </w:r>
            <w:r w:rsidRPr="00806346">
              <w:rPr>
                <w:rFonts w:cs="Arial"/>
                <w:szCs w:val="18"/>
                <w:lang w:val="sv-SE"/>
              </w:rPr>
              <w:t xml:space="preserve"> (1 x N1 x </w:t>
            </w:r>
            <w:r>
              <w:rPr>
                <w:rFonts w:cs="Arial"/>
                <w:szCs w:val="18"/>
                <w:lang w:val="sv-SE"/>
              </w:rPr>
              <w:t>K1</w:t>
            </w:r>
            <w:r w:rsidRPr="00806346">
              <w:rPr>
                <w:rFonts w:cs="Arial"/>
                <w:szCs w:val="18"/>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1ECD09E6" w14:textId="77777777" w:rsidR="00220A02" w:rsidRPr="00950DA1" w:rsidRDefault="00220A02" w:rsidP="008B25C8">
            <w:pPr>
              <w:pStyle w:val="TAC"/>
              <w:rPr>
                <w:lang w:val="sv-SE"/>
              </w:rPr>
            </w:pPr>
            <w:r w:rsidRPr="00806346">
              <w:rPr>
                <w:rFonts w:cs="Arial"/>
                <w:szCs w:val="18"/>
                <w:lang w:val="sv-SE"/>
              </w:rPr>
              <w:t xml:space="preserve">7.68 x N1 x </w:t>
            </w:r>
            <w:r>
              <w:rPr>
                <w:rFonts w:cs="Arial"/>
                <w:szCs w:val="18"/>
                <w:lang w:val="sv-SE"/>
              </w:rPr>
              <w:t>K1</w:t>
            </w:r>
            <w:r w:rsidRPr="00806346">
              <w:rPr>
                <w:rFonts w:cs="Arial"/>
                <w:szCs w:val="18"/>
                <w:lang w:val="sv-SE"/>
              </w:rPr>
              <w:t xml:space="preserve"> (3 x N1 x </w:t>
            </w:r>
            <w:r>
              <w:rPr>
                <w:rFonts w:cs="Arial"/>
                <w:szCs w:val="18"/>
                <w:lang w:val="sv-SE"/>
              </w:rPr>
              <w:t>K1</w:t>
            </w:r>
            <w:r w:rsidRPr="00806346">
              <w:rPr>
                <w:rFonts w:cs="Arial"/>
                <w:szCs w:val="18"/>
                <w:lang w:val="sv-SE"/>
              </w:rPr>
              <w:t>)</w:t>
            </w:r>
          </w:p>
        </w:tc>
      </w:tr>
      <w:tr w:rsidR="00220A02" w:rsidRPr="00885F53" w14:paraId="5A8B77C6"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25BC742" w14:textId="77777777" w:rsidR="00220A02" w:rsidRPr="00885F53" w:rsidRDefault="00220A02" w:rsidP="008B25C8">
            <w:pPr>
              <w:pStyle w:val="TAC"/>
            </w:pPr>
            <w:r w:rsidRPr="00C23796">
              <w:rPr>
                <w:rFonts w:cs="Arial"/>
                <w:szCs w:val="18"/>
              </w:rPr>
              <w:t>5.12</w:t>
            </w:r>
          </w:p>
        </w:tc>
        <w:tc>
          <w:tcPr>
            <w:tcW w:w="2798" w:type="dxa"/>
            <w:tcBorders>
              <w:top w:val="single" w:sz="4" w:space="0" w:color="auto"/>
              <w:left w:val="single" w:sz="4" w:space="0" w:color="auto"/>
              <w:bottom w:val="single" w:sz="4" w:space="0" w:color="auto"/>
              <w:right w:val="single" w:sz="4" w:space="0" w:color="auto"/>
            </w:tcBorders>
            <w:hideMark/>
          </w:tcPr>
          <w:p w14:paraId="55F805E4" w14:textId="77777777" w:rsidR="00220A02" w:rsidRPr="00885F53" w:rsidRDefault="00220A02" w:rsidP="008B25C8">
            <w:pPr>
              <w:pStyle w:val="TAC"/>
            </w:pPr>
            <w:r w:rsidRPr="006F2E0A">
              <w:rPr>
                <w:rFonts w:cs="Arial"/>
                <w:szCs w:val="18"/>
              </w:rPr>
              <w:t>117.76</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(23</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2619" w:type="dxa"/>
            <w:tcBorders>
              <w:top w:val="single" w:sz="4" w:space="0" w:color="auto"/>
              <w:left w:val="single" w:sz="4" w:space="0" w:color="auto"/>
              <w:bottom w:val="single" w:sz="4" w:space="0" w:color="auto"/>
              <w:right w:val="single" w:sz="4" w:space="0" w:color="auto"/>
            </w:tcBorders>
            <w:hideMark/>
          </w:tcPr>
          <w:p w14:paraId="2706F0A5" w14:textId="77777777" w:rsidR="00220A02" w:rsidRPr="00885F53" w:rsidRDefault="00220A02" w:rsidP="008B25C8">
            <w:pPr>
              <w:pStyle w:val="TAC"/>
            </w:pPr>
            <w:r w:rsidRPr="006F2E0A">
              <w:rPr>
                <w:rFonts w:cs="Arial"/>
                <w:szCs w:val="18"/>
              </w:rPr>
              <w:t>5.12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(1</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504AA43C" w14:textId="77777777" w:rsidR="00220A02" w:rsidRPr="00885F53" w:rsidRDefault="00220A02" w:rsidP="008B25C8">
            <w:pPr>
              <w:pStyle w:val="TAC"/>
            </w:pPr>
            <w:r w:rsidRPr="006F2E0A">
              <w:rPr>
                <w:rFonts w:cs="Arial"/>
                <w:szCs w:val="18"/>
              </w:rPr>
              <w:t>10.24</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r>
      <w:tr w:rsidR="00220A02" w:rsidRPr="00885F53" w14:paraId="6FFAA5D3"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37EC8F0" w14:textId="77777777" w:rsidR="00220A02" w:rsidRPr="00885F53" w:rsidRDefault="00220A02" w:rsidP="008B25C8">
            <w:pPr>
              <w:pStyle w:val="TAC"/>
            </w:pPr>
            <w:r w:rsidRPr="00C23796">
              <w:rPr>
                <w:rFonts w:cs="Arial"/>
                <w:szCs w:val="18"/>
              </w:rPr>
              <w:t>10.24</w:t>
            </w:r>
          </w:p>
        </w:tc>
        <w:tc>
          <w:tcPr>
            <w:tcW w:w="2798" w:type="dxa"/>
            <w:tcBorders>
              <w:top w:val="single" w:sz="4" w:space="0" w:color="auto"/>
              <w:left w:val="single" w:sz="4" w:space="0" w:color="auto"/>
              <w:bottom w:val="single" w:sz="4" w:space="0" w:color="auto"/>
              <w:right w:val="single" w:sz="4" w:space="0" w:color="auto"/>
            </w:tcBorders>
            <w:hideMark/>
          </w:tcPr>
          <w:p w14:paraId="21EF6925" w14:textId="77777777" w:rsidR="00220A02" w:rsidRPr="00885F53" w:rsidRDefault="00220A02" w:rsidP="008B25C8">
            <w:pPr>
              <w:pStyle w:val="TAC"/>
            </w:pPr>
            <w:r w:rsidRPr="006F2E0A">
              <w:rPr>
                <w:rFonts w:cs="Arial"/>
                <w:szCs w:val="18"/>
              </w:rPr>
              <w:t>235.52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(23</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2619" w:type="dxa"/>
            <w:tcBorders>
              <w:top w:val="single" w:sz="4" w:space="0" w:color="auto"/>
              <w:left w:val="single" w:sz="4" w:space="0" w:color="auto"/>
              <w:bottom w:val="single" w:sz="4" w:space="0" w:color="auto"/>
              <w:right w:val="single" w:sz="4" w:space="0" w:color="auto"/>
            </w:tcBorders>
            <w:hideMark/>
          </w:tcPr>
          <w:p w14:paraId="78A16EA1" w14:textId="77777777" w:rsidR="00220A02" w:rsidRPr="00885F53" w:rsidRDefault="00220A02" w:rsidP="008B25C8">
            <w:pPr>
              <w:pStyle w:val="TAC"/>
            </w:pPr>
            <w:r w:rsidRPr="006F2E0A">
              <w:rPr>
                <w:rFonts w:cs="Arial"/>
                <w:szCs w:val="18"/>
              </w:rPr>
              <w:t>10.24</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(1</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641E0D8C" w14:textId="77777777" w:rsidR="00220A02" w:rsidRPr="00885F53" w:rsidRDefault="00220A02" w:rsidP="008B25C8">
            <w:pPr>
              <w:pStyle w:val="TAC"/>
            </w:pPr>
            <w:r w:rsidRPr="006F2E0A">
              <w:rPr>
                <w:rFonts w:cs="Arial"/>
                <w:szCs w:val="18"/>
              </w:rPr>
              <w:t>20.48</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r>
      <w:tr w:rsidR="00220A02" w:rsidRPr="00885F53" w14:paraId="0916C787" w14:textId="77777777" w:rsidTr="008B25C8">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7DB8740E" w14:textId="77777777" w:rsidR="00220A02" w:rsidRPr="006D3EA9" w:rsidRDefault="00220A02" w:rsidP="008B25C8">
            <w:pPr>
              <w:pStyle w:val="TAN"/>
              <w:rPr>
                <w:snapToGrid w:val="0"/>
              </w:rPr>
            </w:pPr>
            <w:r w:rsidRPr="00885F53">
              <w:rPr>
                <w:snapToGrid w:val="0"/>
              </w:rPr>
              <w:t>Note 1</w:t>
            </w:r>
            <w:r w:rsidRPr="00885F53">
              <w:t>:</w:t>
            </w:r>
            <w:r w:rsidRPr="00885F53">
              <w:rPr>
                <w:lang w:val="en-US"/>
              </w:rPr>
              <w:tab/>
            </w:r>
            <w:r w:rsidRPr="009C5807">
              <w:t xml:space="preserve">Applies for </w:t>
            </w:r>
            <w:r>
              <w:t xml:space="preserve">RedCap </w:t>
            </w:r>
            <w:r w:rsidRPr="009C5807">
              <w:t xml:space="preserve">UE </w:t>
            </w:r>
            <w:r>
              <w:t xml:space="preserve">of all </w:t>
            </w:r>
            <w:r w:rsidRPr="009C5807">
              <w:t xml:space="preserve">supporting </w:t>
            </w:r>
            <w:r>
              <w:t xml:space="preserve">FR2 </w:t>
            </w:r>
            <w:r w:rsidRPr="009C5807">
              <w:t>power class</w:t>
            </w:r>
            <w:r>
              <w:t>es</w:t>
            </w:r>
            <w:r w:rsidRPr="00885F53">
              <w:t>.</w:t>
            </w:r>
          </w:p>
          <w:p w14:paraId="28492636" w14:textId="77777777" w:rsidR="00220A02" w:rsidRPr="00E95AF7" w:rsidRDefault="00220A02" w:rsidP="008B25C8">
            <w:pPr>
              <w:pStyle w:val="TAN"/>
              <w:rPr>
                <w:snapToGrid w:val="0"/>
              </w:rPr>
            </w:pPr>
            <w:r w:rsidRPr="00885F53">
              <w:rPr>
                <w:snapToGrid w:val="0"/>
              </w:rPr>
              <w:t xml:space="preserve">Note </w:t>
            </w:r>
            <w:r>
              <w:rPr>
                <w:snapToGrid w:val="0"/>
              </w:rPr>
              <w:t>2</w:t>
            </w:r>
            <w:r w:rsidRPr="00885F53">
              <w:t>:</w:t>
            </w:r>
            <w:r w:rsidRPr="00885F53">
              <w:rPr>
                <w:lang w:val="en-US"/>
              </w:rPr>
              <w:tab/>
            </w:r>
            <w:r>
              <w:t>N1 = 3</w:t>
            </w:r>
            <w:r w:rsidRPr="00885F53">
              <w:t>.</w:t>
            </w:r>
          </w:p>
          <w:p w14:paraId="194BB977" w14:textId="77777777" w:rsidR="00220A02" w:rsidRPr="00885F53" w:rsidRDefault="00220A02" w:rsidP="008B25C8">
            <w:pPr>
              <w:pStyle w:val="TAN"/>
            </w:pPr>
            <w:r w:rsidRPr="00C23796">
              <w:rPr>
                <w:rFonts w:cs="Arial"/>
                <w:snapToGrid w:val="0"/>
                <w:szCs w:val="18"/>
              </w:rPr>
              <w:t xml:space="preserve">Note </w:t>
            </w:r>
            <w:r>
              <w:rPr>
                <w:rFonts w:cs="Arial"/>
                <w:snapToGrid w:val="0"/>
                <w:szCs w:val="18"/>
              </w:rPr>
              <w:t>3</w:t>
            </w:r>
            <w:r w:rsidRPr="00C23796">
              <w:rPr>
                <w:rFonts w:cs="Arial"/>
                <w:snapToGrid w:val="0"/>
                <w:szCs w:val="18"/>
              </w:rPr>
              <w:t>:</w:t>
            </w:r>
            <w:r w:rsidRPr="00C23796">
              <w:rPr>
                <w:rFonts w:cs="Arial"/>
                <w:snapToGrid w:val="0"/>
                <w:szCs w:val="18"/>
              </w:rPr>
              <w:tab/>
            </w:r>
            <w:r>
              <w:rPr>
                <w:rFonts w:cs="Arial"/>
                <w:snapToGrid w:val="0"/>
                <w:szCs w:val="18"/>
              </w:rPr>
              <w:t>K1</w:t>
            </w:r>
            <w:r w:rsidRPr="00C23796">
              <w:rPr>
                <w:rFonts w:cs="Arial"/>
                <w:snapToGrid w:val="0"/>
                <w:szCs w:val="18"/>
              </w:rPr>
              <w:t xml:space="preserve"> = </w:t>
            </w:r>
            <w:r>
              <w:rPr>
                <w:rFonts w:cs="Arial"/>
                <w:snapToGrid w:val="0"/>
                <w:szCs w:val="18"/>
              </w:rPr>
              <w:t>3</w:t>
            </w:r>
            <w:r w:rsidRPr="00C23796">
              <w:rPr>
                <w:rFonts w:cs="Arial"/>
                <w:snapToGrid w:val="0"/>
                <w:szCs w:val="18"/>
              </w:rPr>
              <w:t xml:space="preserve"> is the measurement relaxation factor applicable for UE fulfilling the </w:t>
            </w:r>
            <w:r w:rsidRPr="001C6668">
              <w:rPr>
                <w:i/>
                <w:iCs/>
              </w:rPr>
              <w:t>lowMobilityEvaluation</w:t>
            </w:r>
            <w:r w:rsidRPr="00C23796">
              <w:rPr>
                <w:rFonts w:cs="Arial"/>
                <w:snapToGrid w:val="0"/>
                <w:szCs w:val="18"/>
              </w:rPr>
              <w:t xml:space="preserve"> [2] criterion.</w:t>
            </w:r>
          </w:p>
        </w:tc>
      </w:tr>
    </w:tbl>
    <w:p w14:paraId="49F1297C" w14:textId="77777777" w:rsidR="00220A02" w:rsidRDefault="00220A02" w:rsidP="00220A02">
      <w:pPr>
        <w:rPr>
          <w:noProof/>
        </w:rPr>
      </w:pPr>
    </w:p>
    <w:p w14:paraId="43D150AA" w14:textId="77777777" w:rsidR="00220A02" w:rsidRPr="00327784" w:rsidRDefault="00220A02" w:rsidP="00D92F72">
      <w:pPr>
        <w:pStyle w:val="TH"/>
        <w:rPr>
          <w:lang w:val="en-US"/>
        </w:rPr>
      </w:pPr>
      <w:r w:rsidRPr="0063257B">
        <w:rPr>
          <w:lang w:val="en-US"/>
        </w:rPr>
        <w:t>Table 4.2B.2.</w:t>
      </w:r>
      <w:r>
        <w:rPr>
          <w:lang w:val="en-US"/>
        </w:rPr>
        <w:t>10</w:t>
      </w:r>
      <w:r w:rsidRPr="0063257B">
        <w:rPr>
          <w:lang w:val="en-US"/>
        </w:rPr>
        <w:t>.9-</w:t>
      </w:r>
      <w:r>
        <w:rPr>
          <w:lang w:val="en-US"/>
        </w:rPr>
        <w:t>5</w:t>
      </w:r>
      <w:r w:rsidRPr="00327784">
        <w:rPr>
          <w:lang w:val="en-US"/>
        </w:rPr>
        <w:t>: T</w:t>
      </w:r>
      <w:r w:rsidRPr="00327784">
        <w:rPr>
          <w:vertAlign w:val="subscript"/>
          <w:lang w:val="en-US"/>
        </w:rPr>
        <w:t>detect,NR_Int</w:t>
      </w:r>
      <w:r>
        <w:rPr>
          <w:vertAlign w:val="subscript"/>
          <w:lang w:val="en-US"/>
        </w:rPr>
        <w:t>er</w:t>
      </w:r>
      <w:r w:rsidRPr="00327784">
        <w:rPr>
          <w:vertAlign w:val="subscript"/>
          <w:lang w:val="en-US"/>
        </w:rPr>
        <w:t>_RedCap_Relax</w:t>
      </w:r>
      <w:r w:rsidRPr="00327784">
        <w:rPr>
          <w:lang w:val="en-US"/>
        </w:rPr>
        <w:t>, T</w:t>
      </w:r>
      <w:r w:rsidRPr="00327784">
        <w:rPr>
          <w:vertAlign w:val="subscript"/>
          <w:lang w:val="en-US"/>
        </w:rPr>
        <w:t>measure,NR_Int</w:t>
      </w:r>
      <w:r>
        <w:rPr>
          <w:vertAlign w:val="subscript"/>
          <w:lang w:val="en-US"/>
        </w:rPr>
        <w:t>er</w:t>
      </w:r>
      <w:r w:rsidRPr="00327784">
        <w:rPr>
          <w:vertAlign w:val="subscript"/>
          <w:lang w:val="en-US"/>
        </w:rPr>
        <w:t>_RedCap_elax</w:t>
      </w:r>
      <w:r w:rsidRPr="00327784">
        <w:rPr>
          <w:lang w:val="en-US"/>
        </w:rPr>
        <w:t xml:space="preserve"> and T</w:t>
      </w:r>
      <w:r w:rsidRPr="00327784">
        <w:rPr>
          <w:vertAlign w:val="subscript"/>
          <w:lang w:val="en-US"/>
        </w:rPr>
        <w:t>evaluate,NR_Int</w:t>
      </w:r>
      <w:r>
        <w:rPr>
          <w:vertAlign w:val="subscript"/>
          <w:lang w:val="en-US"/>
        </w:rPr>
        <w:t>er</w:t>
      </w:r>
      <w:r w:rsidRPr="00327784">
        <w:rPr>
          <w:vertAlign w:val="subscript"/>
          <w:lang w:val="en-US"/>
        </w:rPr>
        <w:t>_RedCap_Relax</w:t>
      </w:r>
      <w:r w:rsidRPr="00327784">
        <w:rPr>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718"/>
        <w:gridCol w:w="885"/>
        <w:gridCol w:w="2670"/>
        <w:gridCol w:w="2116"/>
        <w:gridCol w:w="2103"/>
      </w:tblGrid>
      <w:tr w:rsidR="00220A02" w:rsidRPr="00B85562" w14:paraId="33DD1056" w14:textId="77777777" w:rsidTr="008B25C8">
        <w:trPr>
          <w:trHeight w:val="1692"/>
        </w:trPr>
        <w:tc>
          <w:tcPr>
            <w:tcW w:w="1198" w:type="dxa"/>
            <w:hideMark/>
          </w:tcPr>
          <w:p w14:paraId="501062B2" w14:textId="77777777" w:rsidR="00220A02" w:rsidRPr="00B11B68" w:rsidRDefault="00220A02" w:rsidP="008B25C8">
            <w:pPr>
              <w:rPr>
                <w:rFonts w:ascii="Arial" w:hAnsi="Arial" w:cs="Arial"/>
                <w:sz w:val="18"/>
                <w:lang w:val="en-US"/>
              </w:rPr>
            </w:pPr>
            <w:r w:rsidRPr="00B11B68">
              <w:rPr>
                <w:rFonts w:ascii="Arial" w:hAnsi="Arial" w:cs="Arial"/>
                <w:b/>
                <w:sz w:val="18"/>
              </w:rPr>
              <w:t>eDRX_IDLE cycle length [s]</w:t>
            </w:r>
          </w:p>
        </w:tc>
        <w:tc>
          <w:tcPr>
            <w:tcW w:w="751" w:type="dxa"/>
            <w:hideMark/>
          </w:tcPr>
          <w:p w14:paraId="1FA737CF" w14:textId="77777777" w:rsidR="00220A02" w:rsidRPr="00B11B68" w:rsidRDefault="00220A02" w:rsidP="008B25C8">
            <w:pPr>
              <w:rPr>
                <w:rFonts w:ascii="Arial" w:hAnsi="Arial" w:cs="Arial"/>
                <w:sz w:val="18"/>
                <w:lang w:val="en-US"/>
              </w:rPr>
            </w:pPr>
            <w:r w:rsidRPr="00B11B68">
              <w:rPr>
                <w:rFonts w:ascii="Arial" w:hAnsi="Arial" w:cs="Arial"/>
                <w:b/>
                <w:sz w:val="18"/>
              </w:rPr>
              <w:t>DRX cycle length [s]</w:t>
            </w:r>
          </w:p>
        </w:tc>
        <w:tc>
          <w:tcPr>
            <w:tcW w:w="930" w:type="dxa"/>
            <w:hideMark/>
          </w:tcPr>
          <w:p w14:paraId="6D14BE50" w14:textId="77777777" w:rsidR="00220A02" w:rsidRPr="00B11B68" w:rsidRDefault="00220A02" w:rsidP="008B25C8">
            <w:pPr>
              <w:rPr>
                <w:rFonts w:ascii="Arial" w:hAnsi="Arial" w:cs="Arial"/>
                <w:sz w:val="18"/>
                <w:lang w:val="en-US"/>
              </w:rPr>
            </w:pPr>
            <w:r w:rsidRPr="00B11B68">
              <w:rPr>
                <w:rFonts w:ascii="Arial" w:hAnsi="Arial" w:cs="Arial"/>
                <w:b/>
                <w:sz w:val="18"/>
              </w:rPr>
              <w:t>PTW length [s] (number of 1.28s periods)</w:t>
            </w:r>
          </w:p>
        </w:tc>
        <w:tc>
          <w:tcPr>
            <w:tcW w:w="2431" w:type="dxa"/>
            <w:hideMark/>
          </w:tcPr>
          <w:p w14:paraId="4FD5F328" w14:textId="77777777" w:rsidR="00220A02" w:rsidRPr="00B11B68" w:rsidRDefault="00220A02" w:rsidP="008B25C8">
            <w:pPr>
              <w:rPr>
                <w:rFonts w:ascii="Arial" w:hAnsi="Arial" w:cs="Arial"/>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detect,NR_Int</w:t>
            </w:r>
            <w:r>
              <w:rPr>
                <w:rFonts w:ascii="Arial" w:hAnsi="Arial" w:cs="Arial"/>
                <w:b/>
                <w:sz w:val="18"/>
                <w:szCs w:val="18"/>
                <w:vertAlign w:val="subscript"/>
                <w:lang w:val="en-US"/>
              </w:rPr>
              <w:t>er</w:t>
            </w:r>
            <w:r w:rsidRPr="00B11B68">
              <w:rPr>
                <w:rFonts w:ascii="Arial" w:hAnsi="Arial" w:cs="Arial"/>
                <w:b/>
                <w:sz w:val="18"/>
                <w:szCs w:val="18"/>
                <w:vertAlign w:val="subscript"/>
                <w:lang w:val="en-US"/>
              </w:rPr>
              <w:t>_RedCap</w:t>
            </w:r>
            <w:r>
              <w:rPr>
                <w:rFonts w:ascii="Arial" w:hAnsi="Arial" w:cs="Arial"/>
                <w:b/>
                <w:sz w:val="18"/>
                <w:szCs w:val="18"/>
                <w:vertAlign w:val="subscript"/>
                <w:lang w:val="en-US"/>
              </w:rPr>
              <w:t>_Relax</w:t>
            </w:r>
            <w:r w:rsidRPr="00963536">
              <w:rPr>
                <w:rFonts w:ascii="Arial" w:hAnsi="Arial" w:cs="Arial"/>
                <w:b/>
                <w:sz w:val="18"/>
                <w:szCs w:val="18"/>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c>
          <w:tcPr>
            <w:tcW w:w="1860" w:type="dxa"/>
            <w:hideMark/>
          </w:tcPr>
          <w:p w14:paraId="5DDE152E" w14:textId="77777777" w:rsidR="00220A02" w:rsidRPr="00B11B68" w:rsidRDefault="00220A02" w:rsidP="008B25C8">
            <w:pPr>
              <w:rPr>
                <w:rFonts w:ascii="Arial" w:hAnsi="Arial" w:cs="Arial"/>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measure,NR_Int</w:t>
            </w:r>
            <w:r>
              <w:rPr>
                <w:rFonts w:ascii="Arial" w:hAnsi="Arial" w:cs="Arial"/>
                <w:b/>
                <w:sz w:val="18"/>
                <w:szCs w:val="18"/>
                <w:vertAlign w:val="subscript"/>
                <w:lang w:val="en-US"/>
              </w:rPr>
              <w:t>er</w:t>
            </w:r>
            <w:r w:rsidRPr="00B11B68">
              <w:rPr>
                <w:rFonts w:ascii="Arial" w:hAnsi="Arial" w:cs="Arial"/>
                <w:b/>
                <w:sz w:val="18"/>
                <w:szCs w:val="18"/>
                <w:vertAlign w:val="subscript"/>
                <w:lang w:val="en-US"/>
              </w:rPr>
              <w:t>_RedCap</w:t>
            </w:r>
            <w:r>
              <w:rPr>
                <w:rFonts w:ascii="Arial" w:hAnsi="Arial" w:cs="Arial"/>
                <w:b/>
                <w:sz w:val="18"/>
                <w:szCs w:val="18"/>
                <w:vertAlign w:val="subscript"/>
                <w:lang w:val="en-US"/>
              </w:rPr>
              <w:t>_Relax</w:t>
            </w:r>
            <w:r w:rsidRPr="00B11B68">
              <w:rPr>
                <w:rFonts w:ascii="Arial" w:hAnsi="Arial" w:cs="Arial"/>
                <w:b/>
                <w:sz w:val="18"/>
                <w:szCs w:val="18"/>
                <w:lang w:val="en-US"/>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c>
          <w:tcPr>
            <w:tcW w:w="1846" w:type="dxa"/>
          </w:tcPr>
          <w:p w14:paraId="2BDF62C6" w14:textId="77777777" w:rsidR="00220A02" w:rsidRPr="00B11B68" w:rsidRDefault="00220A02" w:rsidP="008B25C8">
            <w:pPr>
              <w:rPr>
                <w:rFonts w:ascii="Arial" w:hAnsi="Arial" w:cs="Arial"/>
                <w:b/>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evaluate,NR_Int</w:t>
            </w:r>
            <w:r>
              <w:rPr>
                <w:rFonts w:ascii="Arial" w:hAnsi="Arial" w:cs="Arial"/>
                <w:b/>
                <w:sz w:val="18"/>
                <w:szCs w:val="18"/>
                <w:vertAlign w:val="subscript"/>
                <w:lang w:val="en-US"/>
              </w:rPr>
              <w:t>er</w:t>
            </w:r>
            <w:r w:rsidRPr="00B11B68">
              <w:rPr>
                <w:rFonts w:ascii="Arial" w:hAnsi="Arial" w:cs="Arial"/>
                <w:b/>
                <w:sz w:val="18"/>
                <w:szCs w:val="18"/>
                <w:vertAlign w:val="subscript"/>
                <w:lang w:val="en-US"/>
              </w:rPr>
              <w:t>_RedCap</w:t>
            </w:r>
            <w:r>
              <w:rPr>
                <w:rFonts w:ascii="Arial" w:hAnsi="Arial" w:cs="Arial"/>
                <w:b/>
                <w:sz w:val="18"/>
                <w:szCs w:val="18"/>
                <w:vertAlign w:val="subscript"/>
                <w:lang w:val="en-US"/>
              </w:rPr>
              <w:t>_Relax</w:t>
            </w:r>
            <w:r w:rsidRPr="00B11B68">
              <w:rPr>
                <w:rFonts w:ascii="Arial" w:hAnsi="Arial" w:cs="Arial"/>
                <w:b/>
                <w:sz w:val="18"/>
                <w:szCs w:val="18"/>
                <w:vertAlign w:val="subscript"/>
                <w:lang w:val="en-US"/>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r>
      <w:tr w:rsidR="00220A02" w:rsidRPr="00B85562" w14:paraId="6AA60CF7" w14:textId="77777777" w:rsidTr="008B25C8">
        <w:trPr>
          <w:trHeight w:val="673"/>
        </w:trPr>
        <w:tc>
          <w:tcPr>
            <w:tcW w:w="1198" w:type="dxa"/>
            <w:vMerge w:val="restart"/>
            <w:hideMark/>
          </w:tcPr>
          <w:p w14:paraId="42C874E1" w14:textId="77777777" w:rsidR="00220A02" w:rsidRPr="00B11B68" w:rsidRDefault="00220A02" w:rsidP="008B25C8">
            <w:pPr>
              <w:rPr>
                <w:rFonts w:ascii="Arial" w:hAnsi="Arial" w:cs="Arial"/>
                <w:sz w:val="18"/>
                <w:lang w:val="en-US"/>
              </w:rPr>
            </w:pPr>
            <w:r w:rsidRPr="00B11B68">
              <w:rPr>
                <w:rFonts w:ascii="Arial" w:hAnsi="Arial" w:cs="Arial"/>
                <w:sz w:val="18"/>
              </w:rPr>
              <w:t>20.48 ≤</w:t>
            </w:r>
            <w:r w:rsidRPr="00CA7017">
              <w:rPr>
                <w:rFonts w:cs="Arial"/>
              </w:rPr>
              <w:t xml:space="preserve"> </w:t>
            </w:r>
            <w:r w:rsidRPr="00B11B68">
              <w:rPr>
                <w:rFonts w:ascii="Arial" w:hAnsi="Arial" w:cs="Arial"/>
                <w:sz w:val="18"/>
              </w:rPr>
              <w:t xml:space="preserve"> eDRX_IDLE cycle length ≤</w:t>
            </w:r>
            <w:r>
              <w:rPr>
                <w:rFonts w:ascii="Arial" w:hAnsi="Arial" w:cs="Arial"/>
                <w:sz w:val="18"/>
              </w:rPr>
              <w:t>[163.84]</w:t>
            </w:r>
          </w:p>
        </w:tc>
        <w:tc>
          <w:tcPr>
            <w:tcW w:w="751" w:type="dxa"/>
            <w:hideMark/>
          </w:tcPr>
          <w:p w14:paraId="1F38BA13" w14:textId="77777777" w:rsidR="00220A02" w:rsidRPr="00B11B68" w:rsidRDefault="00220A02" w:rsidP="008B25C8">
            <w:pPr>
              <w:rPr>
                <w:rFonts w:ascii="Arial" w:hAnsi="Arial" w:cs="Arial"/>
                <w:sz w:val="18"/>
                <w:lang w:val="en-US"/>
              </w:rPr>
            </w:pPr>
            <w:r w:rsidRPr="00B11B68">
              <w:rPr>
                <w:rFonts w:ascii="Arial" w:hAnsi="Arial" w:cs="Arial"/>
                <w:sz w:val="18"/>
              </w:rPr>
              <w:t>0.32</w:t>
            </w:r>
          </w:p>
        </w:tc>
        <w:tc>
          <w:tcPr>
            <w:tcW w:w="930" w:type="dxa"/>
            <w:hideMark/>
          </w:tcPr>
          <w:p w14:paraId="5E4738AD" w14:textId="77777777" w:rsidR="00220A02" w:rsidRPr="00B11B68" w:rsidRDefault="00220A02" w:rsidP="008B25C8">
            <w:pPr>
              <w:rPr>
                <w:rFonts w:ascii="Arial" w:hAnsi="Arial" w:cs="Arial"/>
                <w:sz w:val="18"/>
                <w:lang w:val="en-US"/>
              </w:rPr>
            </w:pPr>
            <w:r w:rsidRPr="00B11B68">
              <w:rPr>
                <w:rFonts w:ascii="Arial" w:hAnsi="Arial" w:cs="Arial"/>
                <w:sz w:val="18"/>
              </w:rPr>
              <w:t>≥</w:t>
            </w:r>
            <w:r>
              <w:rPr>
                <w:rFonts w:ascii="Arial" w:hAnsi="Arial" w:cs="Arial"/>
                <w:sz w:val="18"/>
                <w:lang w:val="en-US"/>
              </w:rPr>
              <w:t>[</w:t>
            </w:r>
            <w:r>
              <w:rPr>
                <w:rFonts w:ascii="Arial" w:hAnsi="Arial" w:cs="Arial"/>
                <w:sz w:val="18"/>
              </w:rPr>
              <w:t>3.84]</w:t>
            </w:r>
            <w:r w:rsidRPr="00B11B68">
              <w:rPr>
                <w:rFonts w:ascii="Arial" w:hAnsi="Arial" w:cs="Arial"/>
                <w:sz w:val="18"/>
              </w:rPr>
              <w:t xml:space="preserve"> (</w:t>
            </w:r>
            <w:r>
              <w:rPr>
                <w:rFonts w:ascii="Arial" w:hAnsi="Arial" w:cs="Arial"/>
                <w:sz w:val="18"/>
              </w:rPr>
              <w:t>[3]</w:t>
            </w:r>
            <w:r w:rsidRPr="00B11B68">
              <w:rPr>
                <w:rFonts w:ascii="Arial" w:hAnsi="Arial" w:cs="Arial"/>
                <w:sz w:val="18"/>
              </w:rPr>
              <w:t>)</w:t>
            </w:r>
          </w:p>
        </w:tc>
        <w:tc>
          <w:tcPr>
            <w:tcW w:w="2431" w:type="dxa"/>
            <w:vMerge w:val="restart"/>
            <w:hideMark/>
          </w:tcPr>
          <w:p w14:paraId="6D563384" w14:textId="77777777" w:rsidR="00220A02" w:rsidRPr="00B11B68" w:rsidRDefault="00220A02" w:rsidP="008B25C8">
            <w:pPr>
              <w:rPr>
                <w:rFonts w:ascii="Arial" w:hAnsi="Arial" w:cs="Arial"/>
                <w:sz w:val="18"/>
                <w:lang w:val="en-US"/>
              </w:rPr>
            </w:pPr>
            <m:oMathPara>
              <m:oMathParaPr>
                <m:jc m:val="centerGroup"/>
              </m:oMathParaPr>
              <m:oMath>
                <m:r>
                  <w:rPr>
                    <w:rFonts w:ascii="Cambria Math" w:hAnsi="Cambria Math" w:cs="Arial"/>
                    <w:sz w:val="18"/>
                    <w:lang w:val="en-US"/>
                  </w:rPr>
                  <m:t>eDRX</m:t>
                </m:r>
                <m:r>
                  <m:rPr>
                    <m:sty m:val="p"/>
                  </m:rPr>
                  <w:rPr>
                    <w:rFonts w:ascii="Cambria Math" w:hAnsi="Cambria Math" w:cs="Arial"/>
                    <w:sz w:val="18"/>
                    <w:lang w:val="en-US"/>
                  </w:rPr>
                  <m:t>_</m:t>
                </m:r>
                <m:r>
                  <w:rPr>
                    <w:rFonts w:ascii="Cambria Math" w:hAnsi="Cambria Math" w:cs="Arial"/>
                    <w:sz w:val="18"/>
                    <w:lang w:val="en-US"/>
                  </w:rPr>
                  <m:t>cycl</m:t>
                </m:r>
                <m:r>
                  <m:rPr>
                    <m:sty m:val="p"/>
                  </m:rPr>
                  <w:rPr>
                    <w:rFonts w:ascii="Cambria Math" w:hAnsi="Cambria Math" w:cs="Arial"/>
                    <w:sz w:val="18"/>
                    <w:lang w:val="en-US"/>
                  </w:rPr>
                  <m:t>e_</m:t>
                </m:r>
                <m:r>
                  <w:rPr>
                    <w:rFonts w:ascii="Cambria Math" w:hAnsi="Cambria Math" w:cs="Arial"/>
                    <w:sz w:val="18"/>
                    <w:lang w:val="en-US"/>
                  </w:rPr>
                  <m:t>length×</m:t>
                </m:r>
                <m:d>
                  <m:dPr>
                    <m:begChr m:val="⌈"/>
                    <m:endChr m:val="⌉"/>
                    <m:ctrlPr>
                      <w:rPr>
                        <w:rFonts w:ascii="Cambria Math" w:hAnsi="Cambria Math" w:cs="Arial"/>
                        <w:i/>
                        <w:sz w:val="18"/>
                        <w:lang w:val="en-US"/>
                      </w:rPr>
                    </m:ctrlPr>
                  </m:dPr>
                  <m:e>
                    <m:f>
                      <m:fPr>
                        <m:ctrlPr>
                          <w:rPr>
                            <w:rFonts w:ascii="Cambria Math" w:hAnsi="Cambria Math" w:cs="Arial"/>
                            <w:i/>
                            <w:sz w:val="18"/>
                            <w:lang w:val="en-US"/>
                          </w:rPr>
                        </m:ctrlPr>
                      </m:fPr>
                      <m:num>
                        <m:r>
                          <w:rPr>
                            <w:rFonts w:ascii="Cambria Math" w:hAnsi="Cambria Math" w:cs="Arial"/>
                            <w:sz w:val="18"/>
                            <w:lang w:val="en-US"/>
                          </w:rPr>
                          <m:t>23</m:t>
                        </m:r>
                      </m:num>
                      <m:den>
                        <m:r>
                          <w:rPr>
                            <w:rFonts w:ascii="Cambria Math" w:hAnsi="Cambria Math" w:cs="Arial"/>
                            <w:sz w:val="18"/>
                            <w:lang w:val="en-US"/>
                          </w:rPr>
                          <m:t>PTW/DRX_cycle_length</m:t>
                        </m:r>
                      </m:den>
                    </m:f>
                  </m:e>
                </m:d>
                <m:r>
                  <m:rPr>
                    <m:sty m:val="p"/>
                  </m:rPr>
                  <w:rPr>
                    <w:rFonts w:ascii="Cambria Math" w:hAnsi="Cambria Math"/>
                    <w:lang w:val="sv-SE"/>
                  </w:rPr>
                  <m:t xml:space="preserve">x </m:t>
                </m:r>
                <m:r>
                  <m:rPr>
                    <m:sty m:val="p"/>
                  </m:rPr>
                  <w:rPr>
                    <w:rFonts w:ascii="Cambria Math" w:hAnsi="Cambria Math" w:cs="Arial"/>
                    <w:lang w:val="sv-SE"/>
                  </w:rPr>
                  <m:t>K1</m:t>
                </m:r>
              </m:oMath>
            </m:oMathPara>
          </w:p>
          <w:p w14:paraId="1F0333A9" w14:textId="77777777" w:rsidR="00220A02" w:rsidRPr="00B11B68" w:rsidRDefault="00220A02" w:rsidP="008B25C8">
            <w:pPr>
              <w:rPr>
                <w:rFonts w:ascii="Arial" w:hAnsi="Arial" w:cs="Arial"/>
                <w:sz w:val="18"/>
                <w:lang w:val="en-US"/>
              </w:rPr>
            </w:pPr>
            <w:r w:rsidRPr="00B11B68">
              <w:rPr>
                <w:rFonts w:ascii="Arial" w:hAnsi="Arial" w:cs="Arial"/>
                <w:sz w:val="18"/>
                <w:lang w:val="en-US"/>
              </w:rPr>
              <w:t>(23</w:t>
            </w:r>
            <w:r w:rsidRPr="0082197E">
              <w:rPr>
                <w:lang w:val="sv-SE"/>
              </w:rPr>
              <w:t xml:space="preserve"> x </w:t>
            </w:r>
            <w:r>
              <w:rPr>
                <w:rFonts w:cs="Arial"/>
                <w:lang w:val="sv-SE"/>
              </w:rPr>
              <w:t>K1</w:t>
            </w:r>
            <w:r w:rsidRPr="00B11B68">
              <w:rPr>
                <w:rFonts w:ascii="Arial" w:hAnsi="Arial" w:cs="Arial"/>
                <w:sz w:val="18"/>
                <w:lang w:val="en-US"/>
              </w:rPr>
              <w:t>)</w:t>
            </w:r>
          </w:p>
        </w:tc>
        <w:tc>
          <w:tcPr>
            <w:tcW w:w="1860" w:type="dxa"/>
            <w:hideMark/>
          </w:tcPr>
          <w:p w14:paraId="58E192AA" w14:textId="77777777" w:rsidR="00220A02" w:rsidRPr="00896DB0" w:rsidRDefault="00220A02" w:rsidP="008B25C8">
            <w:pPr>
              <w:rPr>
                <w:rFonts w:ascii="Arial" w:hAnsi="Arial" w:cs="Arial"/>
                <w:sz w:val="18"/>
              </w:rPr>
            </w:pPr>
            <w:r w:rsidRPr="00B11B68">
              <w:rPr>
                <w:rFonts w:ascii="Arial" w:hAnsi="Arial" w:cs="Arial"/>
                <w:sz w:val="18"/>
              </w:rPr>
              <w:t>0.32</w:t>
            </w:r>
            <w:r w:rsidRPr="00896DB0">
              <w:rPr>
                <w:rFonts w:ascii="Arial" w:hAnsi="Arial" w:cs="Arial"/>
                <w:sz w:val="18"/>
              </w:rPr>
              <w:t xml:space="preserve"> x </w:t>
            </w:r>
            <w:r>
              <w:rPr>
                <w:rFonts w:ascii="Arial" w:hAnsi="Arial" w:cs="Arial"/>
                <w:sz w:val="18"/>
              </w:rPr>
              <w:t>1.5</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M2 x K1</w:t>
            </w:r>
            <w:r w:rsidRPr="00B11B68">
              <w:rPr>
                <w:rFonts w:ascii="Arial" w:hAnsi="Arial" w:cs="Arial"/>
                <w:sz w:val="18"/>
              </w:rPr>
              <w:t>)</w:t>
            </w:r>
          </w:p>
        </w:tc>
        <w:tc>
          <w:tcPr>
            <w:tcW w:w="1846" w:type="dxa"/>
          </w:tcPr>
          <w:p w14:paraId="60C46D68" w14:textId="77777777" w:rsidR="00220A02" w:rsidRDefault="00220A02" w:rsidP="008B25C8">
            <w:pPr>
              <w:rPr>
                <w:rFonts w:ascii="Arial" w:hAnsi="Arial" w:cs="Arial"/>
                <w:sz w:val="18"/>
              </w:rPr>
            </w:pPr>
            <w:r w:rsidRPr="00896DB0">
              <w:rPr>
                <w:rFonts w:ascii="Arial" w:hAnsi="Arial" w:cs="Arial"/>
                <w:sz w:val="18"/>
              </w:rPr>
              <w:t xml:space="preserve">0.64 x </w:t>
            </w:r>
            <w:r>
              <w:rPr>
                <w:rFonts w:ascii="Arial" w:hAnsi="Arial" w:cs="Arial"/>
                <w:sz w:val="18"/>
              </w:rPr>
              <w:t>1.5</w:t>
            </w:r>
            <w:r w:rsidRPr="00896DB0">
              <w:rPr>
                <w:rFonts w:ascii="Arial" w:hAnsi="Arial" w:cs="Arial"/>
                <w:sz w:val="18"/>
              </w:rPr>
              <w:t xml:space="preserve"> x K1 (2 x M2 x K1)</w:t>
            </w:r>
          </w:p>
        </w:tc>
      </w:tr>
      <w:tr w:rsidR="00220A02" w:rsidRPr="00B85562" w14:paraId="0172CC25" w14:textId="77777777" w:rsidTr="008B25C8">
        <w:trPr>
          <w:trHeight w:val="336"/>
        </w:trPr>
        <w:tc>
          <w:tcPr>
            <w:tcW w:w="1198" w:type="dxa"/>
            <w:vMerge/>
            <w:hideMark/>
          </w:tcPr>
          <w:p w14:paraId="7F4C45EE" w14:textId="77777777" w:rsidR="00220A02" w:rsidRPr="00B11B68" w:rsidRDefault="00220A02" w:rsidP="008B25C8">
            <w:pPr>
              <w:rPr>
                <w:rFonts w:ascii="Arial" w:hAnsi="Arial" w:cs="Arial"/>
                <w:sz w:val="18"/>
                <w:lang w:val="en-US"/>
              </w:rPr>
            </w:pPr>
          </w:p>
        </w:tc>
        <w:tc>
          <w:tcPr>
            <w:tcW w:w="751" w:type="dxa"/>
            <w:hideMark/>
          </w:tcPr>
          <w:p w14:paraId="2C23B260" w14:textId="77777777" w:rsidR="00220A02" w:rsidRPr="00B11B68" w:rsidRDefault="00220A02" w:rsidP="008B25C8">
            <w:pPr>
              <w:rPr>
                <w:rFonts w:ascii="Arial" w:hAnsi="Arial" w:cs="Arial"/>
                <w:sz w:val="18"/>
                <w:lang w:val="en-US"/>
              </w:rPr>
            </w:pPr>
            <w:r w:rsidRPr="00B11B68">
              <w:rPr>
                <w:rFonts w:ascii="Arial" w:hAnsi="Arial" w:cs="Arial"/>
                <w:sz w:val="18"/>
              </w:rPr>
              <w:t>0.64</w:t>
            </w:r>
          </w:p>
        </w:tc>
        <w:tc>
          <w:tcPr>
            <w:tcW w:w="930" w:type="dxa"/>
            <w:hideMark/>
          </w:tcPr>
          <w:p w14:paraId="707ECA8A" w14:textId="77777777" w:rsidR="00220A02" w:rsidRPr="00B11B68" w:rsidRDefault="00220A02" w:rsidP="008B25C8">
            <w:pPr>
              <w:rPr>
                <w:rFonts w:ascii="Arial" w:hAnsi="Arial" w:cs="Arial"/>
                <w:sz w:val="18"/>
                <w:lang w:val="en-US"/>
              </w:rPr>
            </w:pPr>
            <w:r w:rsidRPr="00B11B68">
              <w:rPr>
                <w:rFonts w:ascii="Arial" w:hAnsi="Arial" w:cs="Arial"/>
                <w:sz w:val="18"/>
              </w:rPr>
              <w:t>≥</w:t>
            </w:r>
            <w:r>
              <w:rPr>
                <w:rFonts w:ascii="Arial" w:hAnsi="Arial" w:cs="Arial"/>
                <w:sz w:val="18"/>
                <w:lang w:val="en-US"/>
              </w:rPr>
              <w:t>[</w:t>
            </w:r>
            <w:r>
              <w:rPr>
                <w:rFonts w:ascii="Arial" w:hAnsi="Arial" w:cs="Arial"/>
                <w:sz w:val="18"/>
              </w:rPr>
              <w:t>3.84]</w:t>
            </w:r>
            <w:r w:rsidRPr="00B11B68">
              <w:rPr>
                <w:rFonts w:ascii="Arial" w:hAnsi="Arial" w:cs="Arial"/>
                <w:sz w:val="18"/>
              </w:rPr>
              <w:t xml:space="preserve"> (</w:t>
            </w:r>
            <w:r>
              <w:rPr>
                <w:rFonts w:ascii="Arial" w:hAnsi="Arial" w:cs="Arial"/>
                <w:sz w:val="18"/>
              </w:rPr>
              <w:t>[3]</w:t>
            </w:r>
            <w:r w:rsidRPr="00B11B68">
              <w:rPr>
                <w:rFonts w:ascii="Arial" w:hAnsi="Arial" w:cs="Arial"/>
                <w:sz w:val="18"/>
              </w:rPr>
              <w:t>)</w:t>
            </w:r>
          </w:p>
        </w:tc>
        <w:tc>
          <w:tcPr>
            <w:tcW w:w="2431" w:type="dxa"/>
            <w:vMerge/>
            <w:hideMark/>
          </w:tcPr>
          <w:p w14:paraId="4B2CFCC7" w14:textId="77777777" w:rsidR="00220A02" w:rsidRPr="00B11B68" w:rsidRDefault="00220A02" w:rsidP="008B25C8">
            <w:pPr>
              <w:rPr>
                <w:rFonts w:ascii="Arial" w:hAnsi="Arial" w:cs="Arial"/>
                <w:sz w:val="18"/>
                <w:lang w:val="en-US"/>
              </w:rPr>
            </w:pPr>
          </w:p>
        </w:tc>
        <w:tc>
          <w:tcPr>
            <w:tcW w:w="1860" w:type="dxa"/>
            <w:hideMark/>
          </w:tcPr>
          <w:p w14:paraId="17EA46D2" w14:textId="77777777" w:rsidR="00220A02" w:rsidRPr="00896DB0" w:rsidRDefault="00220A02" w:rsidP="008B25C8">
            <w:pPr>
              <w:rPr>
                <w:rFonts w:ascii="Arial" w:hAnsi="Arial" w:cs="Arial"/>
                <w:sz w:val="18"/>
              </w:rPr>
            </w:pPr>
            <w:r w:rsidRPr="00B11B68">
              <w:rPr>
                <w:rFonts w:ascii="Arial" w:hAnsi="Arial" w:cs="Arial"/>
                <w:sz w:val="18"/>
              </w:rPr>
              <w:t>0.64</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11ABA8AE" w14:textId="77777777" w:rsidR="00220A02" w:rsidRPr="00B11B68" w:rsidRDefault="00220A02" w:rsidP="008B25C8">
            <w:pPr>
              <w:rPr>
                <w:rFonts w:ascii="Arial" w:hAnsi="Arial" w:cs="Arial"/>
                <w:sz w:val="18"/>
              </w:rPr>
            </w:pPr>
            <w:r w:rsidRPr="00B11B68">
              <w:rPr>
                <w:rFonts w:ascii="Arial" w:hAnsi="Arial" w:cs="Arial"/>
                <w:sz w:val="18"/>
              </w:rPr>
              <w:t>1.28</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220A02" w:rsidRPr="00B85562" w14:paraId="2DD97580" w14:textId="77777777" w:rsidTr="008B25C8">
        <w:trPr>
          <w:trHeight w:val="336"/>
        </w:trPr>
        <w:tc>
          <w:tcPr>
            <w:tcW w:w="1198" w:type="dxa"/>
            <w:vMerge/>
            <w:hideMark/>
          </w:tcPr>
          <w:p w14:paraId="2C0E4C02" w14:textId="77777777" w:rsidR="00220A02" w:rsidRPr="00B11B68" w:rsidRDefault="00220A02" w:rsidP="008B25C8">
            <w:pPr>
              <w:rPr>
                <w:rFonts w:ascii="Arial" w:hAnsi="Arial" w:cs="Arial"/>
                <w:sz w:val="18"/>
                <w:lang w:val="en-US"/>
              </w:rPr>
            </w:pPr>
          </w:p>
        </w:tc>
        <w:tc>
          <w:tcPr>
            <w:tcW w:w="751" w:type="dxa"/>
            <w:hideMark/>
          </w:tcPr>
          <w:p w14:paraId="3B86B4C8" w14:textId="77777777" w:rsidR="00220A02" w:rsidRPr="00B11B68" w:rsidRDefault="00220A02" w:rsidP="008B25C8">
            <w:pPr>
              <w:rPr>
                <w:rFonts w:ascii="Arial" w:hAnsi="Arial" w:cs="Arial"/>
                <w:sz w:val="18"/>
                <w:lang w:val="en-US"/>
              </w:rPr>
            </w:pPr>
            <w:r w:rsidRPr="00B11B68">
              <w:rPr>
                <w:rFonts w:ascii="Arial" w:hAnsi="Arial" w:cs="Arial"/>
                <w:sz w:val="18"/>
              </w:rPr>
              <w:t>1.28</w:t>
            </w:r>
          </w:p>
        </w:tc>
        <w:tc>
          <w:tcPr>
            <w:tcW w:w="930" w:type="dxa"/>
            <w:hideMark/>
          </w:tcPr>
          <w:p w14:paraId="39D229A5" w14:textId="77777777" w:rsidR="00220A02" w:rsidRPr="00B11B68" w:rsidRDefault="00220A02" w:rsidP="008B25C8">
            <w:pPr>
              <w:rPr>
                <w:rFonts w:ascii="Arial" w:hAnsi="Arial" w:cs="Arial"/>
                <w:sz w:val="18"/>
                <w:lang w:val="en-US"/>
              </w:rPr>
            </w:pPr>
            <w:r w:rsidRPr="00B11B68">
              <w:rPr>
                <w:rFonts w:ascii="Arial" w:hAnsi="Arial" w:cs="Arial"/>
                <w:sz w:val="18"/>
              </w:rPr>
              <w:t>≥</w:t>
            </w:r>
            <w:r>
              <w:rPr>
                <w:rFonts w:ascii="Arial" w:hAnsi="Arial" w:cs="Arial"/>
                <w:sz w:val="18"/>
              </w:rPr>
              <w:t>[7.68]</w:t>
            </w:r>
            <w:r w:rsidRPr="00B11B68">
              <w:rPr>
                <w:rFonts w:ascii="Arial" w:hAnsi="Arial" w:cs="Arial"/>
                <w:sz w:val="18"/>
              </w:rPr>
              <w:t xml:space="preserve"> (</w:t>
            </w:r>
            <w:r>
              <w:rPr>
                <w:rFonts w:ascii="Arial" w:hAnsi="Arial" w:cs="Arial"/>
                <w:sz w:val="18"/>
              </w:rPr>
              <w:t>[6]</w:t>
            </w:r>
            <w:r w:rsidRPr="00B11B68">
              <w:rPr>
                <w:rFonts w:ascii="Arial" w:hAnsi="Arial" w:cs="Arial"/>
                <w:sz w:val="18"/>
              </w:rPr>
              <w:t>)</w:t>
            </w:r>
          </w:p>
        </w:tc>
        <w:tc>
          <w:tcPr>
            <w:tcW w:w="2431" w:type="dxa"/>
            <w:vMerge/>
            <w:hideMark/>
          </w:tcPr>
          <w:p w14:paraId="4E947DF3" w14:textId="77777777" w:rsidR="00220A02" w:rsidRPr="00B11B68" w:rsidRDefault="00220A02" w:rsidP="008B25C8">
            <w:pPr>
              <w:rPr>
                <w:rFonts w:ascii="Arial" w:hAnsi="Arial" w:cs="Arial"/>
                <w:sz w:val="18"/>
                <w:lang w:val="en-US"/>
              </w:rPr>
            </w:pPr>
          </w:p>
        </w:tc>
        <w:tc>
          <w:tcPr>
            <w:tcW w:w="1860" w:type="dxa"/>
            <w:hideMark/>
          </w:tcPr>
          <w:p w14:paraId="31B0B968" w14:textId="77777777" w:rsidR="00220A02" w:rsidRPr="00896DB0" w:rsidRDefault="00220A02" w:rsidP="008B25C8">
            <w:pPr>
              <w:rPr>
                <w:rFonts w:ascii="Arial" w:hAnsi="Arial" w:cs="Arial"/>
                <w:sz w:val="18"/>
              </w:rPr>
            </w:pPr>
            <w:r w:rsidRPr="00B11B68">
              <w:rPr>
                <w:rFonts w:ascii="Arial" w:hAnsi="Arial" w:cs="Arial"/>
                <w:sz w:val="18"/>
              </w:rPr>
              <w:t>1.28</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63C5945C" w14:textId="77777777" w:rsidR="00220A02" w:rsidRPr="00B11B68" w:rsidRDefault="00220A02" w:rsidP="008B25C8">
            <w:pPr>
              <w:rPr>
                <w:rFonts w:ascii="Arial" w:hAnsi="Arial" w:cs="Arial"/>
                <w:sz w:val="18"/>
              </w:rPr>
            </w:pPr>
            <w:r w:rsidRPr="00B11B68">
              <w:rPr>
                <w:rFonts w:ascii="Arial" w:hAnsi="Arial" w:cs="Arial"/>
                <w:sz w:val="18"/>
              </w:rPr>
              <w:t>2.56</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220A02" w:rsidRPr="00B85562" w14:paraId="45C5AA4B" w14:textId="77777777" w:rsidTr="008B25C8">
        <w:trPr>
          <w:trHeight w:val="336"/>
        </w:trPr>
        <w:tc>
          <w:tcPr>
            <w:tcW w:w="1198" w:type="dxa"/>
            <w:vMerge/>
            <w:hideMark/>
          </w:tcPr>
          <w:p w14:paraId="0A7D6E72" w14:textId="77777777" w:rsidR="00220A02" w:rsidRPr="00B11B68" w:rsidRDefault="00220A02" w:rsidP="008B25C8">
            <w:pPr>
              <w:rPr>
                <w:rFonts w:ascii="Arial" w:hAnsi="Arial" w:cs="Arial"/>
                <w:sz w:val="18"/>
                <w:lang w:val="en-US"/>
              </w:rPr>
            </w:pPr>
          </w:p>
        </w:tc>
        <w:tc>
          <w:tcPr>
            <w:tcW w:w="751" w:type="dxa"/>
            <w:hideMark/>
          </w:tcPr>
          <w:p w14:paraId="0902AEB5" w14:textId="77777777" w:rsidR="00220A02" w:rsidRPr="00B11B68" w:rsidRDefault="00220A02" w:rsidP="008B25C8">
            <w:pPr>
              <w:rPr>
                <w:rFonts w:ascii="Arial" w:hAnsi="Arial" w:cs="Arial"/>
                <w:sz w:val="18"/>
                <w:lang w:val="en-US"/>
              </w:rPr>
            </w:pPr>
            <w:r w:rsidRPr="00B11B68">
              <w:rPr>
                <w:rFonts w:ascii="Arial" w:hAnsi="Arial" w:cs="Arial"/>
                <w:sz w:val="18"/>
              </w:rPr>
              <w:t>2.56</w:t>
            </w:r>
          </w:p>
        </w:tc>
        <w:tc>
          <w:tcPr>
            <w:tcW w:w="930" w:type="dxa"/>
            <w:hideMark/>
          </w:tcPr>
          <w:p w14:paraId="46F51E6F" w14:textId="77777777" w:rsidR="00220A02" w:rsidRPr="00B11B68" w:rsidRDefault="00220A02" w:rsidP="008B25C8">
            <w:pPr>
              <w:rPr>
                <w:rFonts w:ascii="Arial" w:hAnsi="Arial" w:cs="Arial"/>
                <w:sz w:val="18"/>
                <w:lang w:val="en-US"/>
              </w:rPr>
            </w:pPr>
            <w:r w:rsidRPr="00B11B68">
              <w:rPr>
                <w:rFonts w:ascii="Arial" w:hAnsi="Arial" w:cs="Arial"/>
                <w:sz w:val="18"/>
              </w:rPr>
              <w:t>≥</w:t>
            </w:r>
            <w:r>
              <w:rPr>
                <w:rFonts w:ascii="Arial" w:hAnsi="Arial" w:cs="Arial"/>
                <w:sz w:val="18"/>
              </w:rPr>
              <w:t>[15.36]</w:t>
            </w:r>
            <w:r w:rsidRPr="00B11B68">
              <w:rPr>
                <w:rFonts w:ascii="Arial" w:hAnsi="Arial" w:cs="Arial"/>
                <w:sz w:val="18"/>
              </w:rPr>
              <w:t xml:space="preserve"> (</w:t>
            </w:r>
            <w:r>
              <w:rPr>
                <w:rFonts w:ascii="Arial" w:hAnsi="Arial" w:cs="Arial"/>
                <w:sz w:val="18"/>
              </w:rPr>
              <w:t>[12]</w:t>
            </w:r>
            <w:r w:rsidRPr="00B11B68">
              <w:rPr>
                <w:rFonts w:ascii="Arial" w:hAnsi="Arial" w:cs="Arial"/>
                <w:sz w:val="18"/>
              </w:rPr>
              <w:t>)</w:t>
            </w:r>
          </w:p>
        </w:tc>
        <w:tc>
          <w:tcPr>
            <w:tcW w:w="2431" w:type="dxa"/>
            <w:vMerge/>
            <w:hideMark/>
          </w:tcPr>
          <w:p w14:paraId="449D6982" w14:textId="77777777" w:rsidR="00220A02" w:rsidRPr="00B11B68" w:rsidRDefault="00220A02" w:rsidP="008B25C8">
            <w:pPr>
              <w:rPr>
                <w:rFonts w:ascii="Arial" w:hAnsi="Arial" w:cs="Arial"/>
                <w:sz w:val="18"/>
                <w:lang w:val="en-US"/>
              </w:rPr>
            </w:pPr>
          </w:p>
        </w:tc>
        <w:tc>
          <w:tcPr>
            <w:tcW w:w="1860" w:type="dxa"/>
            <w:hideMark/>
          </w:tcPr>
          <w:p w14:paraId="65E56A41" w14:textId="77777777" w:rsidR="00220A02" w:rsidRPr="00896DB0" w:rsidRDefault="00220A02" w:rsidP="008B25C8">
            <w:pPr>
              <w:rPr>
                <w:rFonts w:ascii="Arial" w:hAnsi="Arial" w:cs="Arial"/>
                <w:sz w:val="18"/>
              </w:rPr>
            </w:pPr>
            <w:r w:rsidRPr="00B11B68">
              <w:rPr>
                <w:rFonts w:ascii="Arial" w:hAnsi="Arial" w:cs="Arial"/>
                <w:sz w:val="18"/>
              </w:rPr>
              <w:t>2.56</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2D2A2B23" w14:textId="77777777" w:rsidR="00220A02" w:rsidRPr="00B11B68" w:rsidRDefault="00220A02" w:rsidP="008B25C8">
            <w:pPr>
              <w:rPr>
                <w:rFonts w:ascii="Arial" w:hAnsi="Arial" w:cs="Arial"/>
                <w:sz w:val="18"/>
              </w:rPr>
            </w:pPr>
            <w:r w:rsidRPr="00B11B68">
              <w:rPr>
                <w:rFonts w:ascii="Arial" w:hAnsi="Arial" w:cs="Arial"/>
                <w:sz w:val="18"/>
              </w:rPr>
              <w:t>5.12</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220A02" w:rsidRPr="00B85562" w14:paraId="6A02E906" w14:textId="77777777" w:rsidTr="008B25C8">
        <w:trPr>
          <w:trHeight w:val="336"/>
        </w:trPr>
        <w:tc>
          <w:tcPr>
            <w:tcW w:w="9016" w:type="dxa"/>
            <w:gridSpan w:val="6"/>
          </w:tcPr>
          <w:p w14:paraId="4B22CB26" w14:textId="77777777" w:rsidR="00220A02" w:rsidRPr="009C5807" w:rsidRDefault="00220A02" w:rsidP="008B25C8">
            <w:pPr>
              <w:pStyle w:val="TAN"/>
              <w:rPr>
                <w:snapToGrid w:val="0"/>
              </w:rPr>
            </w:pPr>
            <w:r w:rsidRPr="009C5807">
              <w:rPr>
                <w:snapToGrid w:val="0"/>
              </w:rPr>
              <w:t>Note 1</w:t>
            </w:r>
            <w:r w:rsidRPr="009C5807">
              <w:t>:</w:t>
            </w:r>
            <w:r w:rsidRPr="009C5807">
              <w:rPr>
                <w:lang w:val="en-US"/>
              </w:rPr>
              <w:tab/>
            </w:r>
            <w:r w:rsidRPr="000C5ADE">
              <w:rPr>
                <w:snapToGrid w:val="0"/>
              </w:rPr>
              <w:t>The number of DRX cycles in this table is given for the DRX cycles within PTWs.</w:t>
            </w:r>
          </w:p>
          <w:p w14:paraId="6A38FE33" w14:textId="77777777" w:rsidR="0004662B" w:rsidRPr="009C5807" w:rsidRDefault="0004662B" w:rsidP="0004662B">
            <w:pPr>
              <w:pStyle w:val="TAN"/>
              <w:rPr>
                <w:snapToGrid w:val="0"/>
              </w:rPr>
            </w:pPr>
            <w:r w:rsidRPr="009C5807">
              <w:rPr>
                <w:snapToGrid w:val="0"/>
              </w:rPr>
              <w:t xml:space="preserve">Note </w:t>
            </w:r>
            <w:r>
              <w:rPr>
                <w:snapToGrid w:val="0"/>
              </w:rPr>
              <w:t>2</w:t>
            </w:r>
            <w:r w:rsidRPr="009C5807">
              <w:t>:</w:t>
            </w:r>
            <w:r w:rsidRPr="009C5807">
              <w:rPr>
                <w:lang w:val="en-US"/>
              </w:rPr>
              <w:tab/>
            </w:r>
            <w:r w:rsidRPr="000C5ADE">
              <w:rPr>
                <w:snapToGrid w:val="0"/>
              </w:rPr>
              <w:t>The eDRX_IDLE cycle lengths are as specified in Section 10.5.5.32 of TS 24.008 [34].</w:t>
            </w:r>
          </w:p>
          <w:p w14:paraId="54B74D7C" w14:textId="277CE21D" w:rsidR="00220A02" w:rsidRDefault="0004662B" w:rsidP="0004662B">
            <w:pPr>
              <w:pStyle w:val="TAN"/>
              <w:rPr>
                <w:rFonts w:cs="Arial"/>
                <w:iCs/>
              </w:rPr>
            </w:pPr>
            <w:r w:rsidRPr="009C5807">
              <w:rPr>
                <w:snapToGrid w:val="0"/>
              </w:rPr>
              <w:t>Note</w:t>
            </w:r>
            <w:r w:rsidRPr="00691C10">
              <w:rPr>
                <w:rFonts w:cs="Arial"/>
              </w:rPr>
              <w:t xml:space="preserve"> </w:t>
            </w:r>
            <w:r>
              <w:rPr>
                <w:rFonts w:cs="Arial"/>
              </w:rPr>
              <w:t>3</w:t>
            </w:r>
            <w:r w:rsidRPr="00691C10">
              <w:rPr>
                <w:rFonts w:cs="Arial"/>
              </w:rPr>
              <w:t>:</w:t>
            </w:r>
            <w:r w:rsidRPr="009C5807">
              <w:rPr>
                <w:lang w:val="en-US"/>
              </w:rPr>
              <w:t xml:space="preserve"> </w:t>
            </w:r>
            <w:r w:rsidRPr="009C5807">
              <w:rPr>
                <w:lang w:val="en-US"/>
              </w:rPr>
              <w:tab/>
            </w:r>
            <w:r>
              <w:rPr>
                <w:rFonts w:cs="Arial"/>
              </w:rPr>
              <w:t xml:space="preserve">The lower bound of </w:t>
            </w:r>
            <w:r w:rsidRPr="007D1E39">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evaluate,NR_Intra_RedCap_Relax</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Pr>
                <w:rFonts w:cs="Arial"/>
                <w:iCs/>
              </w:rPr>
              <w:t>.</w:t>
            </w:r>
          </w:p>
          <w:p w14:paraId="17246351" w14:textId="77777777" w:rsidR="00220A02" w:rsidRPr="0082197E" w:rsidRDefault="00220A02" w:rsidP="008B25C8">
            <w:pPr>
              <w:pStyle w:val="TAN"/>
              <w:rPr>
                <w:snapToGrid w:val="0"/>
              </w:rPr>
            </w:pPr>
            <w:r>
              <w:rPr>
                <w:snapToGrid w:val="0"/>
              </w:rPr>
              <w:t>Note 4:</w:t>
            </w:r>
            <w:r>
              <w:rPr>
                <w:snapToGrid w:val="0"/>
              </w:rPr>
              <w:tab/>
              <w:t>K1</w:t>
            </w:r>
            <w:r w:rsidRPr="002C65ED">
              <w:rPr>
                <w:snapToGrid w:val="0"/>
              </w:rPr>
              <w:t xml:space="preserve"> = </w:t>
            </w:r>
            <w:r>
              <w:rPr>
                <w:snapToGrid w:val="0"/>
              </w:rPr>
              <w:t>3</w:t>
            </w:r>
            <w:r w:rsidRPr="002C65ED">
              <w:rPr>
                <w:snapToGrid w:val="0"/>
              </w:rPr>
              <w:t xml:space="preserve"> is the measurement relaxation factor applicable for UE fulfilling the </w:t>
            </w:r>
            <w:r w:rsidRPr="001C6668">
              <w:rPr>
                <w:i/>
                <w:iCs/>
              </w:rPr>
              <w:t>lowMobilityEvaluation</w:t>
            </w:r>
            <w:r w:rsidRPr="002C65ED">
              <w:rPr>
                <w:snapToGrid w:val="0"/>
              </w:rPr>
              <w:t xml:space="preserve"> [2] criterion.</w:t>
            </w:r>
          </w:p>
        </w:tc>
      </w:tr>
    </w:tbl>
    <w:p w14:paraId="0CB279C7" w14:textId="77777777" w:rsidR="00220A02" w:rsidRDefault="00220A02" w:rsidP="00220A02"/>
    <w:p w14:paraId="35F67EAA" w14:textId="77777777" w:rsidR="00220A02" w:rsidRPr="00327784" w:rsidRDefault="00220A02" w:rsidP="00D92F72">
      <w:pPr>
        <w:pStyle w:val="TH"/>
        <w:rPr>
          <w:lang w:val="en-US"/>
        </w:rPr>
      </w:pPr>
      <w:r w:rsidRPr="0063257B">
        <w:rPr>
          <w:lang w:val="en-US"/>
        </w:rPr>
        <w:t>Table 4.2B.2.</w:t>
      </w:r>
      <w:r>
        <w:rPr>
          <w:lang w:val="en-US"/>
        </w:rPr>
        <w:t>10</w:t>
      </w:r>
      <w:r w:rsidRPr="0063257B">
        <w:rPr>
          <w:lang w:val="en-US"/>
        </w:rPr>
        <w:t>.9-</w:t>
      </w:r>
      <w:r>
        <w:rPr>
          <w:lang w:val="en-US"/>
        </w:rPr>
        <w:t>6</w:t>
      </w:r>
      <w:r w:rsidRPr="00327784">
        <w:rPr>
          <w:lang w:val="en-US"/>
        </w:rPr>
        <w:t>: T</w:t>
      </w:r>
      <w:r w:rsidRPr="00327784">
        <w:rPr>
          <w:vertAlign w:val="subscript"/>
          <w:lang w:val="en-US"/>
        </w:rPr>
        <w:t>detect,NR_Int</w:t>
      </w:r>
      <w:r>
        <w:rPr>
          <w:vertAlign w:val="subscript"/>
          <w:lang w:val="en-US"/>
        </w:rPr>
        <w:t>er</w:t>
      </w:r>
      <w:r w:rsidRPr="00327784">
        <w:rPr>
          <w:vertAlign w:val="subscript"/>
          <w:lang w:val="en-US"/>
        </w:rPr>
        <w:t>_RedCap_Relax</w:t>
      </w:r>
      <w:r w:rsidRPr="00327784">
        <w:rPr>
          <w:lang w:val="en-US"/>
        </w:rPr>
        <w:t>, T</w:t>
      </w:r>
      <w:r w:rsidRPr="00327784">
        <w:rPr>
          <w:vertAlign w:val="subscript"/>
          <w:lang w:val="en-US"/>
        </w:rPr>
        <w:t>measure,NR_Int</w:t>
      </w:r>
      <w:r>
        <w:rPr>
          <w:vertAlign w:val="subscript"/>
          <w:lang w:val="en-US"/>
        </w:rPr>
        <w:t>er</w:t>
      </w:r>
      <w:r w:rsidRPr="00327784">
        <w:rPr>
          <w:vertAlign w:val="subscript"/>
          <w:lang w:val="en-US"/>
        </w:rPr>
        <w:t>_RedCap_Relax</w:t>
      </w:r>
      <w:r w:rsidRPr="00327784">
        <w:rPr>
          <w:lang w:val="en-US"/>
        </w:rPr>
        <w:t xml:space="preserve"> and T</w:t>
      </w:r>
      <w:r w:rsidRPr="00327784">
        <w:rPr>
          <w:vertAlign w:val="subscript"/>
          <w:lang w:val="en-US"/>
        </w:rPr>
        <w:t>evaluate,NR_Int</w:t>
      </w:r>
      <w:r>
        <w:rPr>
          <w:vertAlign w:val="subscript"/>
          <w:lang w:val="en-US"/>
        </w:rPr>
        <w:t>er</w:t>
      </w:r>
      <w:r w:rsidRPr="00327784">
        <w:rPr>
          <w:vertAlign w:val="subscript"/>
          <w:lang w:val="en-US"/>
        </w:rPr>
        <w:t>_RedCap_Relax</w:t>
      </w:r>
      <w:r w:rsidRPr="00327784">
        <w:rPr>
          <w:lang w:val="en-US"/>
        </w:rPr>
        <w:t xml:space="preserve"> for UE configured with eDRX_IDLE cycle (Frequency range FR2)</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757"/>
        <w:gridCol w:w="977"/>
        <w:gridCol w:w="882"/>
        <w:gridCol w:w="2408"/>
        <w:gridCol w:w="64"/>
        <w:gridCol w:w="1528"/>
        <w:gridCol w:w="1621"/>
      </w:tblGrid>
      <w:tr w:rsidR="00220A02" w:rsidRPr="00B85562" w14:paraId="51FFEE31" w14:textId="77777777" w:rsidTr="008B25C8">
        <w:trPr>
          <w:trHeight w:val="1692"/>
        </w:trPr>
        <w:tc>
          <w:tcPr>
            <w:tcW w:w="639" w:type="pct"/>
            <w:hideMark/>
          </w:tcPr>
          <w:p w14:paraId="4C662283" w14:textId="77777777" w:rsidR="00220A02" w:rsidRPr="00581E8E" w:rsidRDefault="00220A02" w:rsidP="008B25C8">
            <w:pPr>
              <w:rPr>
                <w:rFonts w:ascii="Arial" w:hAnsi="Arial" w:cs="Arial"/>
                <w:sz w:val="18"/>
                <w:lang w:val="en-US"/>
              </w:rPr>
            </w:pPr>
            <w:r w:rsidRPr="00581E8E">
              <w:rPr>
                <w:rFonts w:ascii="Arial" w:hAnsi="Arial" w:cs="Arial"/>
                <w:b/>
                <w:sz w:val="18"/>
              </w:rPr>
              <w:t>eDRX_IDLE cycle length [s]</w:t>
            </w:r>
          </w:p>
        </w:tc>
        <w:tc>
          <w:tcPr>
            <w:tcW w:w="401" w:type="pct"/>
            <w:hideMark/>
          </w:tcPr>
          <w:p w14:paraId="0546E4DE" w14:textId="77777777" w:rsidR="00220A02" w:rsidRPr="00581E8E" w:rsidRDefault="00220A02" w:rsidP="008B25C8">
            <w:pPr>
              <w:rPr>
                <w:rFonts w:ascii="Arial" w:hAnsi="Arial" w:cs="Arial"/>
                <w:sz w:val="18"/>
                <w:lang w:val="en-US"/>
              </w:rPr>
            </w:pPr>
            <w:r w:rsidRPr="00581E8E">
              <w:rPr>
                <w:rFonts w:ascii="Arial" w:hAnsi="Arial" w:cs="Arial"/>
                <w:b/>
                <w:sz w:val="18"/>
              </w:rPr>
              <w:t>DRX cycle length [s]</w:t>
            </w:r>
          </w:p>
        </w:tc>
        <w:tc>
          <w:tcPr>
            <w:tcW w:w="517" w:type="pct"/>
            <w:hideMark/>
          </w:tcPr>
          <w:p w14:paraId="0BC6D3FF" w14:textId="77777777" w:rsidR="00220A02" w:rsidRPr="00581E8E" w:rsidRDefault="00220A02" w:rsidP="008B25C8">
            <w:pPr>
              <w:rPr>
                <w:rFonts w:ascii="Arial" w:hAnsi="Arial" w:cs="Arial"/>
                <w:sz w:val="18"/>
                <w:lang w:val="en-US"/>
              </w:rPr>
            </w:pPr>
            <w:r w:rsidRPr="00581E8E">
              <w:rPr>
                <w:rFonts w:ascii="Arial" w:hAnsi="Arial" w:cs="Arial"/>
                <w:b/>
                <w:sz w:val="18"/>
              </w:rPr>
              <w:t>PTW length [s] (number of 1.28s periods)</w:t>
            </w:r>
          </w:p>
        </w:tc>
        <w:tc>
          <w:tcPr>
            <w:tcW w:w="467" w:type="pct"/>
          </w:tcPr>
          <w:p w14:paraId="65BF8BB7" w14:textId="77777777" w:rsidR="00220A02" w:rsidRPr="00581E8E" w:rsidRDefault="00220A02" w:rsidP="008B25C8">
            <w:pPr>
              <w:rPr>
                <w:rFonts w:ascii="Arial" w:hAnsi="Arial" w:cs="Arial"/>
                <w:b/>
                <w:sz w:val="18"/>
              </w:rPr>
            </w:pPr>
            <w:r w:rsidRPr="00581E8E">
              <w:rPr>
                <w:rFonts w:ascii="Arial" w:hAnsi="Arial" w:cs="Arial"/>
                <w:b/>
                <w:sz w:val="18"/>
              </w:rPr>
              <w:t>Scaling Factor (N1)</w:t>
            </w:r>
            <w:r w:rsidRPr="002615F9">
              <w:rPr>
                <w:rFonts w:ascii="Arial" w:hAnsi="Arial" w:cs="Arial"/>
                <w:vertAlign w:val="superscript"/>
              </w:rPr>
              <w:t xml:space="preserve"> Note1</w:t>
            </w:r>
          </w:p>
        </w:tc>
        <w:tc>
          <w:tcPr>
            <w:tcW w:w="1275" w:type="pct"/>
            <w:hideMark/>
          </w:tcPr>
          <w:p w14:paraId="005FE086" w14:textId="77777777" w:rsidR="00220A02" w:rsidRPr="00581E8E" w:rsidRDefault="00220A02" w:rsidP="008B25C8">
            <w:pPr>
              <w:rPr>
                <w:rFonts w:ascii="Arial" w:hAnsi="Arial" w:cs="Arial"/>
                <w:sz w:val="18"/>
                <w:lang w:val="en-US"/>
              </w:rPr>
            </w:pPr>
            <w:r w:rsidRPr="00581E8E">
              <w:rPr>
                <w:rFonts w:ascii="Arial" w:hAnsi="Arial" w:cs="Arial"/>
                <w:b/>
                <w:bCs/>
                <w:sz w:val="18"/>
                <w:szCs w:val="18"/>
              </w:rPr>
              <w:t>T</w:t>
            </w:r>
            <w:r w:rsidRPr="00581E8E">
              <w:rPr>
                <w:rFonts w:ascii="Arial" w:hAnsi="Arial" w:cs="Arial"/>
                <w:b/>
                <w:bCs/>
                <w:sz w:val="18"/>
                <w:szCs w:val="18"/>
                <w:vertAlign w:val="subscript"/>
              </w:rPr>
              <w:t>detect,NR_Int</w:t>
            </w:r>
            <w:r>
              <w:rPr>
                <w:rFonts w:ascii="Arial" w:hAnsi="Arial" w:cs="Arial"/>
                <w:b/>
                <w:bCs/>
                <w:sz w:val="18"/>
                <w:szCs w:val="18"/>
                <w:vertAlign w:val="subscript"/>
              </w:rPr>
              <w:t>er</w:t>
            </w:r>
            <w:r w:rsidRPr="00581E8E">
              <w:rPr>
                <w:rFonts w:ascii="Arial" w:hAnsi="Arial" w:cs="Arial"/>
                <w:b/>
                <w:bCs/>
                <w:sz w:val="18"/>
                <w:szCs w:val="18"/>
                <w:vertAlign w:val="subscript"/>
              </w:rPr>
              <w:t>_RedCap</w:t>
            </w:r>
            <w:r>
              <w:rPr>
                <w:rFonts w:ascii="Arial" w:hAnsi="Arial" w:cs="Arial"/>
                <w:b/>
                <w:bCs/>
                <w:sz w:val="18"/>
                <w:szCs w:val="18"/>
                <w:vertAlign w:val="subscript"/>
              </w:rPr>
              <w:t>_Relax</w:t>
            </w:r>
            <w:r w:rsidRPr="00581E8E">
              <w:rPr>
                <w:rFonts w:ascii="Arial" w:hAnsi="Arial" w:cs="Arial"/>
                <w:b/>
                <w:sz w:val="18"/>
                <w:szCs w:val="18"/>
              </w:rPr>
              <w:t xml:space="preserve"> [s] (number of DRX cycles</w:t>
            </w:r>
            <w:r>
              <w:rPr>
                <w:rFonts w:ascii="Arial" w:hAnsi="Arial" w:cs="Arial"/>
                <w:b/>
                <w:bCs/>
                <w:sz w:val="18"/>
                <w:szCs w:val="18"/>
              </w:rPr>
              <w:t xml:space="preserve"> or eDRX cycles </w:t>
            </w:r>
            <w:r w:rsidRPr="00CD5296">
              <w:rPr>
                <w:rFonts w:ascii="Arial" w:hAnsi="Arial" w:cs="Arial"/>
                <w:b/>
                <w:bCs/>
                <w:sz w:val="18"/>
                <w:szCs w:val="18"/>
                <w:vertAlign w:val="superscript"/>
              </w:rPr>
              <w:t>Note 3</w:t>
            </w:r>
            <w:r w:rsidRPr="00581E8E">
              <w:rPr>
                <w:rFonts w:ascii="Arial" w:hAnsi="Arial" w:cs="Arial"/>
                <w:b/>
                <w:sz w:val="18"/>
                <w:szCs w:val="18"/>
              </w:rPr>
              <w:t>)</w:t>
            </w:r>
          </w:p>
        </w:tc>
        <w:tc>
          <w:tcPr>
            <w:tcW w:w="843" w:type="pct"/>
            <w:gridSpan w:val="2"/>
            <w:hideMark/>
          </w:tcPr>
          <w:p w14:paraId="79351D83" w14:textId="77777777" w:rsidR="00220A02" w:rsidRPr="00581E8E" w:rsidRDefault="00220A02" w:rsidP="008B25C8">
            <w:pPr>
              <w:rPr>
                <w:rFonts w:ascii="Arial" w:hAnsi="Arial" w:cs="Arial"/>
                <w:sz w:val="18"/>
                <w:lang w:val="en-US"/>
              </w:rPr>
            </w:pPr>
            <w:r w:rsidRPr="00581E8E">
              <w:rPr>
                <w:rFonts w:ascii="Arial" w:hAnsi="Arial" w:cs="Arial"/>
                <w:b/>
                <w:bCs/>
                <w:sz w:val="18"/>
                <w:szCs w:val="18"/>
              </w:rPr>
              <w:t>T</w:t>
            </w:r>
            <w:r w:rsidRPr="00581E8E">
              <w:rPr>
                <w:rFonts w:ascii="Arial" w:hAnsi="Arial" w:cs="Arial"/>
                <w:b/>
                <w:bCs/>
                <w:sz w:val="18"/>
                <w:szCs w:val="18"/>
                <w:vertAlign w:val="subscript"/>
              </w:rPr>
              <w:t>measure,NR_Int</w:t>
            </w:r>
            <w:r>
              <w:rPr>
                <w:rFonts w:ascii="Arial" w:hAnsi="Arial" w:cs="Arial"/>
                <w:b/>
                <w:bCs/>
                <w:sz w:val="18"/>
                <w:szCs w:val="18"/>
                <w:vertAlign w:val="subscript"/>
              </w:rPr>
              <w:t>er</w:t>
            </w:r>
            <w:r w:rsidRPr="00581E8E">
              <w:rPr>
                <w:rFonts w:ascii="Arial" w:hAnsi="Arial" w:cs="Arial"/>
                <w:b/>
                <w:bCs/>
                <w:sz w:val="18"/>
                <w:szCs w:val="18"/>
                <w:vertAlign w:val="subscript"/>
              </w:rPr>
              <w:t>_RedCap</w:t>
            </w:r>
            <w:r>
              <w:rPr>
                <w:rFonts w:ascii="Arial" w:hAnsi="Arial" w:cs="Arial"/>
                <w:b/>
                <w:bCs/>
                <w:sz w:val="18"/>
                <w:szCs w:val="18"/>
                <w:vertAlign w:val="subscript"/>
              </w:rPr>
              <w:t>_Relax</w:t>
            </w:r>
            <w:r w:rsidRPr="00581E8E">
              <w:rPr>
                <w:sz w:val="18"/>
                <w:szCs w:val="18"/>
              </w:rPr>
              <w:t xml:space="preserve"> </w:t>
            </w:r>
            <w:r w:rsidRPr="00581E8E">
              <w:rPr>
                <w:rFonts w:ascii="Arial" w:hAnsi="Arial" w:cs="Arial"/>
                <w:b/>
                <w:sz w:val="18"/>
                <w:szCs w:val="18"/>
              </w:rPr>
              <w:t>[s] (number of DRX cycles</w:t>
            </w:r>
            <w:r>
              <w:rPr>
                <w:rFonts w:ascii="Arial" w:hAnsi="Arial" w:cs="Arial"/>
                <w:b/>
                <w:bCs/>
                <w:sz w:val="18"/>
                <w:szCs w:val="18"/>
              </w:rPr>
              <w:t xml:space="preserve"> or eDRX cycles </w:t>
            </w:r>
            <w:r w:rsidRPr="00CD5296">
              <w:rPr>
                <w:rFonts w:ascii="Arial" w:hAnsi="Arial" w:cs="Arial"/>
                <w:b/>
                <w:bCs/>
                <w:sz w:val="18"/>
                <w:szCs w:val="18"/>
                <w:vertAlign w:val="superscript"/>
              </w:rPr>
              <w:t>Note 3</w:t>
            </w:r>
            <w:r w:rsidRPr="00581E8E">
              <w:rPr>
                <w:rFonts w:ascii="Arial" w:hAnsi="Arial" w:cs="Arial"/>
                <w:b/>
                <w:sz w:val="18"/>
                <w:szCs w:val="18"/>
              </w:rPr>
              <w:t>)</w:t>
            </w:r>
          </w:p>
        </w:tc>
        <w:tc>
          <w:tcPr>
            <w:tcW w:w="858" w:type="pct"/>
            <w:hideMark/>
          </w:tcPr>
          <w:p w14:paraId="05BA2A93" w14:textId="77777777" w:rsidR="00220A02" w:rsidRPr="00581E8E" w:rsidRDefault="00220A02" w:rsidP="008B25C8">
            <w:pPr>
              <w:rPr>
                <w:rFonts w:ascii="Arial" w:hAnsi="Arial" w:cs="Arial"/>
                <w:sz w:val="18"/>
                <w:lang w:val="en-US"/>
              </w:rPr>
            </w:pPr>
            <w:r w:rsidRPr="00581E8E">
              <w:rPr>
                <w:rFonts w:ascii="Arial" w:hAnsi="Arial" w:cs="Arial"/>
                <w:b/>
                <w:bCs/>
                <w:sz w:val="18"/>
                <w:szCs w:val="18"/>
              </w:rPr>
              <w:t>T</w:t>
            </w:r>
            <w:r w:rsidRPr="00581E8E">
              <w:rPr>
                <w:rFonts w:ascii="Arial" w:hAnsi="Arial" w:cs="Arial"/>
                <w:b/>
                <w:bCs/>
                <w:sz w:val="18"/>
                <w:szCs w:val="18"/>
                <w:vertAlign w:val="subscript"/>
              </w:rPr>
              <w:t>evaluate,NR_Int</w:t>
            </w:r>
            <w:r>
              <w:rPr>
                <w:rFonts w:ascii="Arial" w:hAnsi="Arial" w:cs="Arial"/>
                <w:b/>
                <w:bCs/>
                <w:sz w:val="18"/>
                <w:szCs w:val="18"/>
                <w:vertAlign w:val="subscript"/>
              </w:rPr>
              <w:t>er</w:t>
            </w:r>
            <w:r w:rsidRPr="00581E8E">
              <w:rPr>
                <w:rFonts w:ascii="Arial" w:hAnsi="Arial" w:cs="Arial"/>
                <w:b/>
                <w:bCs/>
                <w:sz w:val="18"/>
                <w:szCs w:val="18"/>
                <w:vertAlign w:val="subscript"/>
              </w:rPr>
              <w:t>_RedCap</w:t>
            </w:r>
            <w:r>
              <w:rPr>
                <w:rFonts w:ascii="Arial" w:hAnsi="Arial" w:cs="Arial"/>
                <w:b/>
                <w:bCs/>
                <w:sz w:val="18"/>
                <w:szCs w:val="18"/>
                <w:vertAlign w:val="subscript"/>
              </w:rPr>
              <w:t>_Relax</w:t>
            </w:r>
            <w:r w:rsidRPr="00581E8E">
              <w:rPr>
                <w:sz w:val="18"/>
                <w:szCs w:val="18"/>
                <w:vertAlign w:val="subscript"/>
                <w:lang w:val="en-US"/>
              </w:rPr>
              <w:t xml:space="preserve"> </w:t>
            </w:r>
            <w:r w:rsidRPr="00581E8E">
              <w:rPr>
                <w:rFonts w:ascii="Arial" w:hAnsi="Arial" w:cs="Arial"/>
                <w:b/>
                <w:sz w:val="18"/>
                <w:szCs w:val="18"/>
              </w:rPr>
              <w:t>[s] (number of DRX cycles</w:t>
            </w:r>
            <w:r>
              <w:rPr>
                <w:rFonts w:ascii="Arial" w:hAnsi="Arial" w:cs="Arial"/>
                <w:b/>
                <w:bCs/>
                <w:sz w:val="18"/>
                <w:szCs w:val="18"/>
              </w:rPr>
              <w:t xml:space="preserve"> or eDRX cycles </w:t>
            </w:r>
            <w:r w:rsidRPr="00CD5296">
              <w:rPr>
                <w:rFonts w:ascii="Arial" w:hAnsi="Arial" w:cs="Arial"/>
                <w:b/>
                <w:bCs/>
                <w:sz w:val="18"/>
                <w:szCs w:val="18"/>
                <w:vertAlign w:val="superscript"/>
              </w:rPr>
              <w:t>Note 3</w:t>
            </w:r>
            <w:r w:rsidRPr="00581E8E">
              <w:rPr>
                <w:rFonts w:ascii="Arial" w:hAnsi="Arial" w:cs="Arial"/>
                <w:b/>
                <w:sz w:val="18"/>
                <w:szCs w:val="18"/>
              </w:rPr>
              <w:t>)</w:t>
            </w:r>
          </w:p>
        </w:tc>
      </w:tr>
      <w:tr w:rsidR="00220A02" w:rsidRPr="00B85562" w14:paraId="6164D95B" w14:textId="77777777" w:rsidTr="008B25C8">
        <w:trPr>
          <w:trHeight w:val="673"/>
        </w:trPr>
        <w:tc>
          <w:tcPr>
            <w:tcW w:w="639" w:type="pct"/>
            <w:vMerge w:val="restart"/>
            <w:hideMark/>
          </w:tcPr>
          <w:p w14:paraId="6261AEC2" w14:textId="77777777" w:rsidR="00220A02" w:rsidRPr="00581E8E" w:rsidRDefault="00220A02" w:rsidP="008B25C8">
            <w:pPr>
              <w:rPr>
                <w:rFonts w:ascii="Arial" w:hAnsi="Arial" w:cs="Arial"/>
                <w:sz w:val="18"/>
                <w:lang w:val="en-US"/>
              </w:rPr>
            </w:pPr>
            <w:r w:rsidRPr="00581E8E">
              <w:rPr>
                <w:rFonts w:ascii="Arial" w:hAnsi="Arial" w:cs="Arial"/>
                <w:sz w:val="18"/>
              </w:rPr>
              <w:t>20.48 ≤</w:t>
            </w:r>
            <w:r w:rsidRPr="00CA7017">
              <w:rPr>
                <w:rFonts w:cs="Arial"/>
              </w:rPr>
              <w:t xml:space="preserve"> </w:t>
            </w:r>
            <w:r w:rsidRPr="00581E8E">
              <w:rPr>
                <w:rFonts w:ascii="Arial" w:hAnsi="Arial" w:cs="Arial"/>
                <w:sz w:val="18"/>
              </w:rPr>
              <w:t xml:space="preserve"> eDRX_IDLE cycle length ≤</w:t>
            </w:r>
            <w:r>
              <w:rPr>
                <w:rFonts w:ascii="Arial" w:hAnsi="Arial" w:cs="Arial"/>
                <w:sz w:val="18"/>
              </w:rPr>
              <w:t>[163.84]</w:t>
            </w:r>
          </w:p>
        </w:tc>
        <w:tc>
          <w:tcPr>
            <w:tcW w:w="401" w:type="pct"/>
            <w:hideMark/>
          </w:tcPr>
          <w:p w14:paraId="587A23F6" w14:textId="77777777" w:rsidR="00220A02" w:rsidRPr="00581E8E" w:rsidRDefault="00220A02" w:rsidP="008B25C8">
            <w:pPr>
              <w:rPr>
                <w:rFonts w:ascii="Arial" w:hAnsi="Arial" w:cs="Arial"/>
                <w:sz w:val="18"/>
                <w:lang w:val="en-US"/>
              </w:rPr>
            </w:pPr>
            <w:r w:rsidRPr="00581E8E">
              <w:rPr>
                <w:rFonts w:ascii="Arial" w:hAnsi="Arial" w:cs="Arial"/>
                <w:sz w:val="18"/>
              </w:rPr>
              <w:t>0.32</w:t>
            </w:r>
          </w:p>
        </w:tc>
        <w:tc>
          <w:tcPr>
            <w:tcW w:w="517" w:type="pct"/>
            <w:hideMark/>
          </w:tcPr>
          <w:p w14:paraId="60C28C40" w14:textId="77777777" w:rsidR="00220A02" w:rsidRPr="00581E8E" w:rsidRDefault="00220A02" w:rsidP="008B25C8">
            <w:pPr>
              <w:rPr>
                <w:rFonts w:ascii="Arial" w:hAnsi="Arial" w:cs="Arial"/>
                <w:sz w:val="18"/>
                <w:lang w:val="en-US"/>
              </w:rPr>
            </w:pPr>
            <w:r w:rsidRPr="00581E8E">
              <w:rPr>
                <w:rFonts w:ascii="Arial" w:hAnsi="Arial" w:cs="Arial"/>
                <w:sz w:val="18"/>
              </w:rPr>
              <w:t>≥</w:t>
            </w:r>
            <w:r>
              <w:rPr>
                <w:rFonts w:ascii="Arial" w:hAnsi="Arial" w:cs="Arial"/>
                <w:sz w:val="18"/>
              </w:rPr>
              <w:t>15.36</w:t>
            </w:r>
            <w:r w:rsidRPr="00581E8E">
              <w:rPr>
                <w:rFonts w:ascii="Arial" w:hAnsi="Arial" w:cs="Arial"/>
                <w:sz w:val="18"/>
              </w:rPr>
              <w:t xml:space="preserve"> (</w:t>
            </w:r>
            <w:r>
              <w:rPr>
                <w:rFonts w:ascii="Arial" w:hAnsi="Arial" w:cs="Arial"/>
                <w:sz w:val="18"/>
              </w:rPr>
              <w:t>12</w:t>
            </w:r>
            <w:r w:rsidRPr="00581E8E">
              <w:rPr>
                <w:rFonts w:ascii="Arial" w:hAnsi="Arial" w:cs="Arial"/>
                <w:sz w:val="18"/>
              </w:rPr>
              <w:t>)</w:t>
            </w:r>
          </w:p>
        </w:tc>
        <w:tc>
          <w:tcPr>
            <w:tcW w:w="467" w:type="pct"/>
          </w:tcPr>
          <w:p w14:paraId="228B6511" w14:textId="77777777" w:rsidR="00220A02" w:rsidRPr="00581E8E" w:rsidRDefault="00220A02" w:rsidP="008B25C8">
            <w:pPr>
              <w:rPr>
                <w:rFonts w:ascii="Arial" w:hAnsi="Arial"/>
                <w:sz w:val="18"/>
                <w:lang w:val="en-US"/>
              </w:rPr>
            </w:pPr>
            <w:r>
              <w:rPr>
                <w:rFonts w:ascii="Arial" w:hAnsi="Arial"/>
                <w:sz w:val="18"/>
                <w:lang w:val="en-US"/>
              </w:rPr>
              <w:t>8</w:t>
            </w:r>
          </w:p>
        </w:tc>
        <w:tc>
          <w:tcPr>
            <w:tcW w:w="1309" w:type="pct"/>
            <w:gridSpan w:val="2"/>
            <w:vMerge w:val="restart"/>
            <w:hideMark/>
          </w:tcPr>
          <w:p w14:paraId="58B113A4" w14:textId="77777777" w:rsidR="00220A02" w:rsidRPr="004E7C48" w:rsidRDefault="00220A02" w:rsidP="008B25C8">
            <w:pPr>
              <w:rPr>
                <w:rFonts w:ascii="Arial" w:hAnsi="Arial" w:cs="Arial"/>
                <w:sz w:val="18"/>
                <w:lang w:val="sv-SE"/>
              </w:rPr>
            </w:pPr>
            <w:r>
              <w:rPr>
                <w:rFonts w:cs="Arial"/>
                <w:lang w:val="sv-SE"/>
              </w:rPr>
              <w:t xml:space="preserve">K1 x </w:t>
            </w:r>
            <m:oMath>
              <m:r>
                <w:rPr>
                  <w:rFonts w:ascii="Cambria Math" w:hAnsi="Cambria Math" w:cs="Arial"/>
                  <w:sz w:val="18"/>
                  <w:lang w:val="en-US"/>
                </w:rPr>
                <m:t>eDRX</m:t>
              </m:r>
              <m:r>
                <m:rPr>
                  <m:sty m:val="p"/>
                </m:rPr>
                <w:rPr>
                  <w:rFonts w:ascii="Cambria Math" w:hAnsi="Cambria Math" w:cs="Arial"/>
                  <w:sz w:val="18"/>
                  <w:lang w:val="sv-SE"/>
                </w:rPr>
                <m:t>_</m:t>
              </m:r>
              <m:r>
                <w:rPr>
                  <w:rFonts w:ascii="Cambria Math" w:hAnsi="Cambria Math" w:cs="Arial"/>
                  <w:sz w:val="18"/>
                  <w:lang w:val="en-US"/>
                </w:rPr>
                <m:t>cycl</m:t>
              </m:r>
              <m:r>
                <m:rPr>
                  <m:sty m:val="p"/>
                </m:rPr>
                <w:rPr>
                  <w:rFonts w:ascii="Cambria Math" w:hAnsi="Cambria Math" w:cs="Arial"/>
                  <w:sz w:val="18"/>
                  <w:lang w:val="sv-SE"/>
                </w:rPr>
                <m:t>e_</m:t>
              </m:r>
              <m:r>
                <w:rPr>
                  <w:rFonts w:ascii="Cambria Math" w:hAnsi="Cambria Math" w:cs="Arial"/>
                  <w:sz w:val="18"/>
                  <w:lang w:val="en-US"/>
                </w:rPr>
                <m:t>lengt</m:t>
              </m:r>
              <m:r>
                <w:rPr>
                  <w:rFonts w:ascii="Cambria Math" w:hAnsi="Cambria Math" w:cs="Arial"/>
                  <w:sz w:val="18"/>
                  <w:lang w:val="sv-SE"/>
                </w:rPr>
                <m:t>h×</m:t>
              </m:r>
              <m:d>
                <m:dPr>
                  <m:begChr m:val="⌈"/>
                  <m:endChr m:val="⌉"/>
                  <m:ctrlPr>
                    <w:rPr>
                      <w:rFonts w:ascii="Cambria Math" w:hAnsi="Cambria Math" w:cs="Arial"/>
                      <w:i/>
                      <w:sz w:val="18"/>
                      <w:lang w:val="en-US"/>
                    </w:rPr>
                  </m:ctrlPr>
                </m:dPr>
                <m:e>
                  <m:f>
                    <m:fPr>
                      <m:ctrlPr>
                        <w:rPr>
                          <w:rFonts w:ascii="Cambria Math" w:hAnsi="Cambria Math" w:cs="Arial"/>
                          <w:i/>
                          <w:sz w:val="18"/>
                          <w:lang w:val="en-US"/>
                        </w:rPr>
                      </m:ctrlPr>
                    </m:fPr>
                    <m:num>
                      <m:r>
                        <w:rPr>
                          <w:rFonts w:ascii="Cambria Math" w:hAnsi="Cambria Math" w:cs="Arial"/>
                          <w:sz w:val="18"/>
                          <w:lang w:val="sv-SE"/>
                        </w:rPr>
                        <m:t>23×</m:t>
                      </m:r>
                      <m:r>
                        <w:rPr>
                          <w:rFonts w:ascii="Cambria Math" w:hAnsi="Cambria Math" w:cs="Arial"/>
                          <w:sz w:val="18"/>
                          <w:lang w:val="en-US"/>
                        </w:rPr>
                        <m:t>N</m:t>
                      </m:r>
                      <m:r>
                        <w:rPr>
                          <w:rFonts w:ascii="Cambria Math" w:hAnsi="Cambria Math" w:cs="Arial"/>
                          <w:sz w:val="18"/>
                          <w:lang w:val="sv-SE"/>
                        </w:rPr>
                        <m:t>1</m:t>
                      </m:r>
                    </m:num>
                    <m:den>
                      <m:r>
                        <w:rPr>
                          <w:rFonts w:ascii="Cambria Math" w:hAnsi="Cambria Math" w:cs="Arial"/>
                          <w:sz w:val="18"/>
                          <w:lang w:val="en-US"/>
                        </w:rPr>
                        <m:t>PTW</m:t>
                      </m:r>
                      <m:r>
                        <w:rPr>
                          <w:rFonts w:ascii="Cambria Math" w:hAnsi="Cambria Math" w:cs="Arial"/>
                          <w:sz w:val="18"/>
                          <w:lang w:val="sv-SE"/>
                        </w:rPr>
                        <m:t>/</m:t>
                      </m:r>
                      <m:r>
                        <w:rPr>
                          <w:rFonts w:ascii="Cambria Math" w:hAnsi="Cambria Math" w:cs="Arial"/>
                          <w:sz w:val="18"/>
                          <w:lang w:val="en-US"/>
                        </w:rPr>
                        <m:t>DRX</m:t>
                      </m:r>
                      <m:r>
                        <w:rPr>
                          <w:rFonts w:ascii="Cambria Math" w:hAnsi="Cambria Math" w:cs="Arial"/>
                          <w:sz w:val="18"/>
                          <w:lang w:val="sv-SE"/>
                        </w:rPr>
                        <m:t>_</m:t>
                      </m:r>
                      <m:r>
                        <w:rPr>
                          <w:rFonts w:ascii="Cambria Math" w:hAnsi="Cambria Math" w:cs="Arial"/>
                          <w:sz w:val="18"/>
                          <w:lang w:val="en-US"/>
                        </w:rPr>
                        <m:t>cycle</m:t>
                      </m:r>
                      <m:r>
                        <w:rPr>
                          <w:rFonts w:ascii="Cambria Math" w:hAnsi="Cambria Math" w:cs="Arial"/>
                          <w:sz w:val="18"/>
                          <w:lang w:val="sv-SE"/>
                        </w:rPr>
                        <m:t>_</m:t>
                      </m:r>
                      <m:r>
                        <w:rPr>
                          <w:rFonts w:ascii="Cambria Math" w:hAnsi="Cambria Math" w:cs="Arial"/>
                          <w:sz w:val="18"/>
                          <w:lang w:val="en-US"/>
                        </w:rPr>
                        <m:t>lengt</m:t>
                      </m:r>
                      <m:r>
                        <w:rPr>
                          <w:rFonts w:ascii="Cambria Math" w:hAnsi="Cambria Math" w:cs="Arial"/>
                          <w:sz w:val="18"/>
                          <w:lang w:val="sv-SE"/>
                        </w:rPr>
                        <m:t>h</m:t>
                      </m:r>
                    </m:den>
                  </m:f>
                </m:e>
              </m:d>
            </m:oMath>
          </w:p>
          <w:p w14:paraId="1C4B6BF2" w14:textId="77777777" w:rsidR="00220A02" w:rsidRPr="00581E8E" w:rsidRDefault="00220A02" w:rsidP="008B25C8">
            <w:pPr>
              <w:rPr>
                <w:rFonts w:ascii="Arial" w:hAnsi="Arial" w:cs="Arial"/>
                <w:sz w:val="18"/>
                <w:lang w:val="en-US"/>
              </w:rPr>
            </w:pPr>
            <w:r w:rsidRPr="00581E8E">
              <w:rPr>
                <w:rFonts w:ascii="Arial" w:hAnsi="Arial" w:cs="Arial"/>
                <w:sz w:val="18"/>
                <w:lang w:val="en-US"/>
              </w:rPr>
              <w:t>(23</w:t>
            </w:r>
            <w:r w:rsidRPr="00581E8E">
              <w:rPr>
                <w:rFonts w:ascii="Arial" w:hAnsi="Arial" w:cs="Arial"/>
                <w:sz w:val="18"/>
              </w:rPr>
              <w:t xml:space="preserve"> x N1</w:t>
            </w:r>
            <w:r w:rsidRPr="0082197E">
              <w:rPr>
                <w:lang w:val="sv-SE"/>
              </w:rPr>
              <w:t xml:space="preserve"> x </w:t>
            </w:r>
            <w:r>
              <w:rPr>
                <w:rFonts w:cs="Arial"/>
                <w:lang w:val="sv-SE"/>
              </w:rPr>
              <w:t>K1</w:t>
            </w:r>
            <w:r w:rsidRPr="00581E8E">
              <w:rPr>
                <w:rFonts w:ascii="Arial" w:hAnsi="Arial" w:cs="Arial"/>
                <w:sz w:val="18"/>
                <w:lang w:val="en-US"/>
              </w:rPr>
              <w:t>)</w:t>
            </w:r>
          </w:p>
        </w:tc>
        <w:tc>
          <w:tcPr>
            <w:tcW w:w="809" w:type="pct"/>
            <w:hideMark/>
          </w:tcPr>
          <w:p w14:paraId="1478F5F0" w14:textId="77777777" w:rsidR="00220A02" w:rsidRPr="00896DB0" w:rsidRDefault="00220A02" w:rsidP="008B25C8">
            <w:pPr>
              <w:rPr>
                <w:rFonts w:ascii="Arial" w:hAnsi="Arial" w:cs="Arial"/>
                <w:sz w:val="18"/>
              </w:rPr>
            </w:pPr>
            <w:r w:rsidRPr="00581E8E">
              <w:rPr>
                <w:rFonts w:ascii="Arial" w:hAnsi="Arial" w:cs="Arial"/>
                <w:sz w:val="18"/>
              </w:rPr>
              <w:t>0.32 x N1</w:t>
            </w:r>
            <w:r w:rsidRPr="00896DB0">
              <w:rPr>
                <w:rFonts w:ascii="Arial" w:hAnsi="Arial" w:cs="Arial"/>
                <w:sz w:val="18"/>
              </w:rPr>
              <w:t xml:space="preserve"> x K1</w:t>
            </w:r>
            <w:r w:rsidRPr="00581E8E">
              <w:rPr>
                <w:rFonts w:ascii="Arial" w:hAnsi="Arial" w:cs="Arial"/>
                <w:sz w:val="18"/>
              </w:rPr>
              <w:t xml:space="preserve"> (1 x N1</w:t>
            </w:r>
            <w:r w:rsidRPr="00896DB0">
              <w:rPr>
                <w:rFonts w:ascii="Arial" w:hAnsi="Arial" w:cs="Arial"/>
                <w:sz w:val="18"/>
              </w:rPr>
              <w:t xml:space="preserve"> x K1</w:t>
            </w:r>
            <w:r w:rsidRPr="00581E8E">
              <w:rPr>
                <w:rFonts w:ascii="Arial" w:hAnsi="Arial" w:cs="Arial"/>
                <w:sz w:val="18"/>
              </w:rPr>
              <w:t>)</w:t>
            </w:r>
          </w:p>
        </w:tc>
        <w:tc>
          <w:tcPr>
            <w:tcW w:w="858" w:type="pct"/>
            <w:hideMark/>
          </w:tcPr>
          <w:p w14:paraId="7F7FB58D" w14:textId="77777777" w:rsidR="00220A02" w:rsidRPr="00896DB0" w:rsidRDefault="00220A02" w:rsidP="008B25C8">
            <w:pPr>
              <w:rPr>
                <w:rFonts w:ascii="Arial" w:hAnsi="Arial" w:cs="Arial"/>
                <w:sz w:val="18"/>
              </w:rPr>
            </w:pPr>
            <w:r w:rsidRPr="00581E8E">
              <w:rPr>
                <w:rFonts w:ascii="Arial" w:hAnsi="Arial" w:cs="Arial"/>
                <w:sz w:val="18"/>
              </w:rPr>
              <w:t>0.64 x N1</w:t>
            </w:r>
            <w:r w:rsidRPr="00896DB0">
              <w:rPr>
                <w:rFonts w:ascii="Arial" w:hAnsi="Arial" w:cs="Arial"/>
                <w:sz w:val="18"/>
              </w:rPr>
              <w:t xml:space="preserve"> x K1</w:t>
            </w:r>
            <w:r w:rsidRPr="00581E8E">
              <w:rPr>
                <w:rFonts w:ascii="Arial" w:hAnsi="Arial" w:cs="Arial"/>
                <w:sz w:val="18"/>
              </w:rPr>
              <w:t xml:space="preserve"> (2 x N1</w:t>
            </w:r>
            <w:r w:rsidRPr="00896DB0">
              <w:rPr>
                <w:rFonts w:ascii="Arial" w:hAnsi="Arial" w:cs="Arial"/>
                <w:sz w:val="18"/>
              </w:rPr>
              <w:t xml:space="preserve"> x K1</w:t>
            </w:r>
            <w:r w:rsidRPr="00581E8E">
              <w:rPr>
                <w:rFonts w:ascii="Arial" w:hAnsi="Arial" w:cs="Arial"/>
                <w:sz w:val="18"/>
              </w:rPr>
              <w:t>)</w:t>
            </w:r>
          </w:p>
        </w:tc>
      </w:tr>
      <w:tr w:rsidR="00220A02" w:rsidRPr="00B85562" w14:paraId="5B716518" w14:textId="77777777" w:rsidTr="008B25C8">
        <w:trPr>
          <w:trHeight w:val="336"/>
        </w:trPr>
        <w:tc>
          <w:tcPr>
            <w:tcW w:w="639" w:type="pct"/>
            <w:vMerge/>
            <w:hideMark/>
          </w:tcPr>
          <w:p w14:paraId="74F37111" w14:textId="77777777" w:rsidR="00220A02" w:rsidRPr="00581E8E" w:rsidRDefault="00220A02" w:rsidP="008B25C8">
            <w:pPr>
              <w:rPr>
                <w:rFonts w:ascii="Arial" w:hAnsi="Arial" w:cs="Arial"/>
                <w:sz w:val="18"/>
                <w:lang w:val="en-US"/>
              </w:rPr>
            </w:pPr>
          </w:p>
        </w:tc>
        <w:tc>
          <w:tcPr>
            <w:tcW w:w="401" w:type="pct"/>
            <w:hideMark/>
          </w:tcPr>
          <w:p w14:paraId="3A45806D" w14:textId="77777777" w:rsidR="00220A02" w:rsidRPr="00581E8E" w:rsidRDefault="00220A02" w:rsidP="008B25C8">
            <w:pPr>
              <w:rPr>
                <w:rFonts w:ascii="Arial" w:hAnsi="Arial" w:cs="Arial"/>
                <w:sz w:val="18"/>
                <w:lang w:val="en-US"/>
              </w:rPr>
            </w:pPr>
            <w:r w:rsidRPr="00581E8E">
              <w:rPr>
                <w:rFonts w:ascii="Arial" w:hAnsi="Arial" w:cs="Arial"/>
                <w:sz w:val="18"/>
              </w:rPr>
              <w:t>0.64</w:t>
            </w:r>
          </w:p>
        </w:tc>
        <w:tc>
          <w:tcPr>
            <w:tcW w:w="517" w:type="pct"/>
            <w:hideMark/>
          </w:tcPr>
          <w:p w14:paraId="175CBB21" w14:textId="77777777" w:rsidR="00220A02" w:rsidRPr="00581E8E" w:rsidRDefault="00220A02" w:rsidP="008B25C8">
            <w:pPr>
              <w:rPr>
                <w:rFonts w:ascii="Arial" w:hAnsi="Arial" w:cs="Arial"/>
                <w:sz w:val="18"/>
                <w:lang w:val="en-US"/>
              </w:rPr>
            </w:pPr>
            <w:r w:rsidRPr="00581E8E">
              <w:rPr>
                <w:rFonts w:ascii="Arial" w:hAnsi="Arial" w:cs="Arial"/>
                <w:sz w:val="18"/>
              </w:rPr>
              <w:t>≥</w:t>
            </w:r>
            <w:r>
              <w:rPr>
                <w:rFonts w:ascii="Arial" w:hAnsi="Arial" w:cs="Arial"/>
                <w:sz w:val="18"/>
              </w:rPr>
              <w:t>19.2</w:t>
            </w:r>
            <w:r w:rsidRPr="00581E8E">
              <w:rPr>
                <w:rFonts w:ascii="Arial" w:hAnsi="Arial" w:cs="Arial"/>
                <w:sz w:val="18"/>
              </w:rPr>
              <w:t xml:space="preserve"> (</w:t>
            </w:r>
            <w:r>
              <w:rPr>
                <w:rFonts w:ascii="Arial" w:hAnsi="Arial" w:cs="Arial"/>
                <w:sz w:val="18"/>
              </w:rPr>
              <w:t>15</w:t>
            </w:r>
            <w:r w:rsidRPr="00581E8E">
              <w:rPr>
                <w:rFonts w:ascii="Arial" w:hAnsi="Arial" w:cs="Arial"/>
                <w:sz w:val="18"/>
              </w:rPr>
              <w:t>)</w:t>
            </w:r>
          </w:p>
        </w:tc>
        <w:tc>
          <w:tcPr>
            <w:tcW w:w="467" w:type="pct"/>
          </w:tcPr>
          <w:p w14:paraId="5B83992F" w14:textId="77777777" w:rsidR="00220A02" w:rsidRPr="00581E8E" w:rsidRDefault="00220A02" w:rsidP="008B25C8">
            <w:pPr>
              <w:rPr>
                <w:rFonts w:ascii="Arial" w:hAnsi="Arial" w:cs="Arial"/>
                <w:sz w:val="18"/>
                <w:lang w:val="en-US"/>
              </w:rPr>
            </w:pPr>
            <w:r>
              <w:rPr>
                <w:rFonts w:ascii="Arial" w:hAnsi="Arial" w:cs="Arial"/>
                <w:sz w:val="18"/>
                <w:lang w:val="en-US"/>
              </w:rPr>
              <w:t>5</w:t>
            </w:r>
          </w:p>
        </w:tc>
        <w:tc>
          <w:tcPr>
            <w:tcW w:w="1309" w:type="pct"/>
            <w:gridSpan w:val="2"/>
            <w:vMerge/>
            <w:hideMark/>
          </w:tcPr>
          <w:p w14:paraId="629882C1" w14:textId="77777777" w:rsidR="00220A02" w:rsidRPr="00581E8E" w:rsidRDefault="00220A02" w:rsidP="008B25C8">
            <w:pPr>
              <w:rPr>
                <w:rFonts w:ascii="Arial" w:hAnsi="Arial" w:cs="Arial"/>
                <w:sz w:val="18"/>
                <w:lang w:val="en-US"/>
              </w:rPr>
            </w:pPr>
          </w:p>
        </w:tc>
        <w:tc>
          <w:tcPr>
            <w:tcW w:w="809" w:type="pct"/>
            <w:hideMark/>
          </w:tcPr>
          <w:p w14:paraId="0FDD086C" w14:textId="77777777" w:rsidR="00220A02" w:rsidRPr="00896DB0" w:rsidRDefault="00220A02" w:rsidP="008B25C8">
            <w:pPr>
              <w:rPr>
                <w:rFonts w:ascii="Arial" w:hAnsi="Arial" w:cs="Arial"/>
                <w:sz w:val="18"/>
              </w:rPr>
            </w:pPr>
            <w:r w:rsidRPr="00581E8E">
              <w:rPr>
                <w:rFonts w:ascii="Arial" w:hAnsi="Arial" w:cs="Arial"/>
                <w:sz w:val="18"/>
              </w:rPr>
              <w:t>0.64 x N1</w:t>
            </w:r>
            <w:r w:rsidRPr="00896DB0">
              <w:rPr>
                <w:rFonts w:ascii="Arial" w:hAnsi="Arial" w:cs="Arial"/>
                <w:sz w:val="18"/>
              </w:rPr>
              <w:t xml:space="preserve"> x K1</w:t>
            </w:r>
            <w:r w:rsidRPr="00581E8E">
              <w:rPr>
                <w:rFonts w:ascii="Arial" w:hAnsi="Arial" w:cs="Arial"/>
                <w:sz w:val="18"/>
              </w:rPr>
              <w:t xml:space="preserve"> (1 x N1</w:t>
            </w:r>
            <w:r w:rsidRPr="00896DB0">
              <w:rPr>
                <w:rFonts w:ascii="Arial" w:hAnsi="Arial" w:cs="Arial"/>
                <w:sz w:val="18"/>
              </w:rPr>
              <w:t xml:space="preserve"> x K1</w:t>
            </w:r>
            <w:r w:rsidRPr="00581E8E">
              <w:rPr>
                <w:rFonts w:ascii="Arial" w:hAnsi="Arial" w:cs="Arial"/>
                <w:sz w:val="18"/>
              </w:rPr>
              <w:t>)</w:t>
            </w:r>
          </w:p>
        </w:tc>
        <w:tc>
          <w:tcPr>
            <w:tcW w:w="858" w:type="pct"/>
            <w:hideMark/>
          </w:tcPr>
          <w:p w14:paraId="2D98D6B3" w14:textId="77777777" w:rsidR="00220A02" w:rsidRPr="00896DB0" w:rsidRDefault="00220A02" w:rsidP="008B25C8">
            <w:pPr>
              <w:rPr>
                <w:rFonts w:ascii="Arial" w:hAnsi="Arial" w:cs="Arial"/>
                <w:sz w:val="18"/>
              </w:rPr>
            </w:pPr>
            <w:r w:rsidRPr="00581E8E">
              <w:rPr>
                <w:rFonts w:ascii="Arial" w:hAnsi="Arial" w:cs="Arial"/>
                <w:sz w:val="18"/>
              </w:rPr>
              <w:t>1.28 x N1</w:t>
            </w:r>
            <w:r w:rsidRPr="00896DB0">
              <w:rPr>
                <w:rFonts w:ascii="Arial" w:hAnsi="Arial" w:cs="Arial"/>
                <w:sz w:val="18"/>
              </w:rPr>
              <w:t xml:space="preserve"> x K1</w:t>
            </w:r>
            <w:r w:rsidRPr="00581E8E">
              <w:rPr>
                <w:rFonts w:ascii="Arial" w:hAnsi="Arial" w:cs="Arial"/>
                <w:sz w:val="18"/>
              </w:rPr>
              <w:t xml:space="preserve"> (2 x N1</w:t>
            </w:r>
            <w:r w:rsidRPr="00896DB0">
              <w:rPr>
                <w:rFonts w:ascii="Arial" w:hAnsi="Arial" w:cs="Arial"/>
                <w:sz w:val="18"/>
              </w:rPr>
              <w:t xml:space="preserve"> x K1</w:t>
            </w:r>
            <w:r w:rsidRPr="00581E8E">
              <w:rPr>
                <w:rFonts w:ascii="Arial" w:hAnsi="Arial" w:cs="Arial"/>
                <w:sz w:val="18"/>
              </w:rPr>
              <w:t>)</w:t>
            </w:r>
          </w:p>
        </w:tc>
      </w:tr>
      <w:tr w:rsidR="00220A02" w:rsidRPr="00B85562" w14:paraId="57C72B9C" w14:textId="77777777" w:rsidTr="008B25C8">
        <w:trPr>
          <w:trHeight w:val="336"/>
        </w:trPr>
        <w:tc>
          <w:tcPr>
            <w:tcW w:w="639" w:type="pct"/>
            <w:vMerge/>
            <w:hideMark/>
          </w:tcPr>
          <w:p w14:paraId="28404248" w14:textId="77777777" w:rsidR="00220A02" w:rsidRPr="00581E8E" w:rsidRDefault="00220A02" w:rsidP="008B25C8">
            <w:pPr>
              <w:rPr>
                <w:rFonts w:ascii="Arial" w:hAnsi="Arial" w:cs="Arial"/>
                <w:sz w:val="18"/>
                <w:lang w:val="en-US"/>
              </w:rPr>
            </w:pPr>
          </w:p>
        </w:tc>
        <w:tc>
          <w:tcPr>
            <w:tcW w:w="401" w:type="pct"/>
            <w:hideMark/>
          </w:tcPr>
          <w:p w14:paraId="443B8199" w14:textId="77777777" w:rsidR="00220A02" w:rsidRPr="00581E8E" w:rsidRDefault="00220A02" w:rsidP="008B25C8">
            <w:pPr>
              <w:rPr>
                <w:rFonts w:ascii="Arial" w:hAnsi="Arial" w:cs="Arial"/>
                <w:sz w:val="18"/>
                <w:lang w:val="en-US"/>
              </w:rPr>
            </w:pPr>
            <w:r w:rsidRPr="00581E8E">
              <w:rPr>
                <w:rFonts w:ascii="Arial" w:hAnsi="Arial" w:cs="Arial"/>
                <w:sz w:val="18"/>
              </w:rPr>
              <w:t>1.28</w:t>
            </w:r>
          </w:p>
        </w:tc>
        <w:tc>
          <w:tcPr>
            <w:tcW w:w="517" w:type="pct"/>
            <w:hideMark/>
          </w:tcPr>
          <w:p w14:paraId="39E7A253" w14:textId="77777777" w:rsidR="00220A02" w:rsidRPr="00034E52" w:rsidRDefault="00220A02" w:rsidP="008B25C8">
            <w:pPr>
              <w:rPr>
                <w:rFonts w:ascii="Arial" w:hAnsi="Arial" w:cs="Arial"/>
                <w:sz w:val="18"/>
                <w:lang w:val="en-US"/>
              </w:rPr>
            </w:pPr>
            <w:r w:rsidRPr="007140C1">
              <w:rPr>
                <w:rFonts w:ascii="Arial" w:hAnsi="Arial" w:cs="Arial" w:hint="eastAsia"/>
                <w:sz w:val="18"/>
              </w:rPr>
              <w:t>≥</w:t>
            </w:r>
            <w:r w:rsidRPr="00CC753B">
              <w:rPr>
                <w:rFonts w:ascii="Arial" w:hAnsi="Arial" w:cs="Arial"/>
                <w:sz w:val="18"/>
              </w:rPr>
              <w:t>30.72 (24)</w:t>
            </w:r>
          </w:p>
        </w:tc>
        <w:tc>
          <w:tcPr>
            <w:tcW w:w="467" w:type="pct"/>
          </w:tcPr>
          <w:p w14:paraId="064B1888" w14:textId="77777777" w:rsidR="00220A02" w:rsidRPr="00CC753B" w:rsidRDefault="00220A02" w:rsidP="008B25C8">
            <w:pPr>
              <w:rPr>
                <w:rFonts w:ascii="Arial" w:hAnsi="Arial" w:cs="Arial"/>
                <w:sz w:val="18"/>
                <w:lang w:val="en-US"/>
              </w:rPr>
            </w:pPr>
            <w:r w:rsidRPr="007140C1">
              <w:rPr>
                <w:rFonts w:ascii="Arial" w:hAnsi="Arial" w:cs="Arial"/>
                <w:sz w:val="18"/>
                <w:lang w:val="en-US"/>
              </w:rPr>
              <w:t>4</w:t>
            </w:r>
          </w:p>
        </w:tc>
        <w:tc>
          <w:tcPr>
            <w:tcW w:w="1309" w:type="pct"/>
            <w:gridSpan w:val="2"/>
            <w:vMerge/>
            <w:hideMark/>
          </w:tcPr>
          <w:p w14:paraId="09F8CCBC" w14:textId="77777777" w:rsidR="00220A02" w:rsidRPr="00CC753B" w:rsidRDefault="00220A02" w:rsidP="008B25C8">
            <w:pPr>
              <w:rPr>
                <w:rFonts w:ascii="Arial" w:hAnsi="Arial" w:cs="Arial"/>
                <w:sz w:val="18"/>
                <w:lang w:val="en-US"/>
              </w:rPr>
            </w:pPr>
          </w:p>
        </w:tc>
        <w:tc>
          <w:tcPr>
            <w:tcW w:w="809" w:type="pct"/>
            <w:hideMark/>
          </w:tcPr>
          <w:p w14:paraId="28D30C09" w14:textId="77777777" w:rsidR="00220A02" w:rsidRPr="00CC753B" w:rsidRDefault="00220A02" w:rsidP="008B25C8">
            <w:pPr>
              <w:rPr>
                <w:rFonts w:ascii="Arial" w:hAnsi="Arial" w:cs="Arial"/>
                <w:sz w:val="18"/>
              </w:rPr>
            </w:pPr>
            <w:r w:rsidRPr="00CC753B">
              <w:rPr>
                <w:rFonts w:ascii="Arial" w:hAnsi="Arial" w:cs="Arial"/>
                <w:sz w:val="18"/>
              </w:rPr>
              <w:t>1.28 x N1 x K1 (1 x N1 x K1)</w:t>
            </w:r>
          </w:p>
        </w:tc>
        <w:tc>
          <w:tcPr>
            <w:tcW w:w="858" w:type="pct"/>
            <w:hideMark/>
          </w:tcPr>
          <w:p w14:paraId="4381708A" w14:textId="77777777" w:rsidR="00220A02" w:rsidRPr="00CC753B" w:rsidRDefault="00220A02" w:rsidP="008B25C8">
            <w:pPr>
              <w:rPr>
                <w:rFonts w:ascii="Arial" w:hAnsi="Arial" w:cs="Arial"/>
                <w:sz w:val="18"/>
              </w:rPr>
            </w:pPr>
            <w:r w:rsidRPr="00CC753B">
              <w:rPr>
                <w:rFonts w:ascii="Arial" w:hAnsi="Arial" w:cs="Arial"/>
                <w:sz w:val="18"/>
              </w:rPr>
              <w:t>2.56 x N1 x K1 (2 x N1 x K1)</w:t>
            </w:r>
          </w:p>
        </w:tc>
      </w:tr>
      <w:tr w:rsidR="0004662B" w:rsidRPr="00B85562" w14:paraId="10865D46" w14:textId="77777777" w:rsidTr="008B25C8">
        <w:trPr>
          <w:trHeight w:val="336"/>
        </w:trPr>
        <w:tc>
          <w:tcPr>
            <w:tcW w:w="639" w:type="pct"/>
            <w:vMerge/>
          </w:tcPr>
          <w:p w14:paraId="0EE0D279" w14:textId="77777777" w:rsidR="0004662B" w:rsidRPr="00581E8E" w:rsidRDefault="0004662B" w:rsidP="0004662B">
            <w:pPr>
              <w:rPr>
                <w:rFonts w:ascii="Arial" w:hAnsi="Arial" w:cs="Arial"/>
                <w:sz w:val="18"/>
                <w:lang w:val="en-US"/>
              </w:rPr>
            </w:pPr>
          </w:p>
        </w:tc>
        <w:tc>
          <w:tcPr>
            <w:tcW w:w="401" w:type="pct"/>
          </w:tcPr>
          <w:p w14:paraId="61F7146B" w14:textId="77777777" w:rsidR="0004662B" w:rsidRPr="00581E8E" w:rsidRDefault="0004662B" w:rsidP="0004662B">
            <w:pPr>
              <w:rPr>
                <w:rFonts w:ascii="Arial" w:hAnsi="Arial" w:cs="Arial"/>
                <w:sz w:val="18"/>
              </w:rPr>
            </w:pPr>
            <w:r>
              <w:rPr>
                <w:rFonts w:ascii="Arial" w:hAnsi="Arial" w:cs="Arial"/>
                <w:sz w:val="18"/>
              </w:rPr>
              <w:t>2.56</w:t>
            </w:r>
          </w:p>
        </w:tc>
        <w:tc>
          <w:tcPr>
            <w:tcW w:w="517" w:type="pct"/>
          </w:tcPr>
          <w:p w14:paraId="5ED72A01" w14:textId="77777777" w:rsidR="0004662B" w:rsidRPr="007140C1" w:rsidRDefault="0004662B" w:rsidP="0004662B">
            <w:pPr>
              <w:rPr>
                <w:rFonts w:ascii="Arial" w:hAnsi="Arial" w:cs="Arial"/>
                <w:sz w:val="18"/>
              </w:rPr>
            </w:pPr>
            <w:r w:rsidRPr="00034E52">
              <w:rPr>
                <w:rFonts w:ascii="Arial" w:hAnsi="Arial" w:cs="Arial"/>
                <w:sz w:val="18"/>
                <w:lang w:eastAsia="zh-CN"/>
              </w:rPr>
              <w:t>40.96 (32)</w:t>
            </w:r>
          </w:p>
        </w:tc>
        <w:tc>
          <w:tcPr>
            <w:tcW w:w="467" w:type="pct"/>
          </w:tcPr>
          <w:p w14:paraId="7F736018" w14:textId="77777777" w:rsidR="0004662B" w:rsidRPr="00CC753B" w:rsidRDefault="0004662B" w:rsidP="0004662B">
            <w:pPr>
              <w:rPr>
                <w:rFonts w:ascii="Arial" w:hAnsi="Arial" w:cs="Arial"/>
                <w:sz w:val="18"/>
                <w:lang w:val="en-US"/>
              </w:rPr>
            </w:pPr>
            <w:r w:rsidRPr="00CC753B">
              <w:rPr>
                <w:rFonts w:ascii="Arial" w:hAnsi="Arial" w:cs="Arial"/>
                <w:sz w:val="18"/>
                <w:lang w:val="en-US"/>
              </w:rPr>
              <w:t>3</w:t>
            </w:r>
          </w:p>
        </w:tc>
        <w:tc>
          <w:tcPr>
            <w:tcW w:w="1309" w:type="pct"/>
            <w:gridSpan w:val="2"/>
            <w:vMerge/>
          </w:tcPr>
          <w:p w14:paraId="083A82F7" w14:textId="77777777" w:rsidR="0004662B" w:rsidRPr="00CC753B" w:rsidRDefault="0004662B" w:rsidP="0004662B">
            <w:pPr>
              <w:rPr>
                <w:rFonts w:ascii="Arial" w:hAnsi="Arial" w:cs="Arial"/>
                <w:sz w:val="18"/>
                <w:lang w:val="en-US"/>
              </w:rPr>
            </w:pPr>
          </w:p>
        </w:tc>
        <w:tc>
          <w:tcPr>
            <w:tcW w:w="809" w:type="pct"/>
          </w:tcPr>
          <w:p w14:paraId="1D587331" w14:textId="77777777" w:rsidR="0004662B" w:rsidRDefault="0004662B" w:rsidP="0004662B">
            <w:pPr>
              <w:pStyle w:val="TAL"/>
              <w:rPr>
                <w:lang w:eastAsia="zh-CN"/>
              </w:rPr>
            </w:pPr>
            <w:r w:rsidRPr="00100B15">
              <w:rPr>
                <w:lang w:eastAsia="zh-CN"/>
              </w:rPr>
              <w:t>20.48</w:t>
            </w:r>
          </w:p>
          <w:p w14:paraId="47BEF627" w14:textId="6547F02C" w:rsidR="0004662B" w:rsidRPr="007140C1" w:rsidRDefault="0004662B" w:rsidP="0004662B">
            <w:pPr>
              <w:pStyle w:val="TAL"/>
            </w:pPr>
            <w:r>
              <w:rPr>
                <w:lang w:eastAsia="zh-CN"/>
              </w:rPr>
              <w:t>(8)</w:t>
            </w:r>
          </w:p>
        </w:tc>
        <w:tc>
          <w:tcPr>
            <w:tcW w:w="858" w:type="pct"/>
          </w:tcPr>
          <w:p w14:paraId="072F1C00" w14:textId="77777777" w:rsidR="0004662B" w:rsidRDefault="0004662B" w:rsidP="0004662B">
            <w:pPr>
              <w:pStyle w:val="TAL"/>
              <w:rPr>
                <w:lang w:eastAsia="zh-CN"/>
              </w:rPr>
            </w:pPr>
            <w:r w:rsidRPr="00100B15">
              <w:rPr>
                <w:lang w:eastAsia="zh-CN"/>
              </w:rPr>
              <w:t>40.96</w:t>
            </w:r>
          </w:p>
          <w:p w14:paraId="03F60765" w14:textId="3551CFE4" w:rsidR="0004662B" w:rsidRPr="007140C1" w:rsidRDefault="0004662B" w:rsidP="0004662B">
            <w:pPr>
              <w:pStyle w:val="TAL"/>
            </w:pPr>
            <w:r>
              <w:rPr>
                <w:lang w:eastAsia="zh-CN"/>
              </w:rPr>
              <w:t>(16)</w:t>
            </w:r>
          </w:p>
        </w:tc>
      </w:tr>
      <w:tr w:rsidR="00220A02" w:rsidRPr="00B85562" w14:paraId="3E9E7AFB" w14:textId="77777777" w:rsidTr="008B25C8">
        <w:trPr>
          <w:trHeight w:val="336"/>
        </w:trPr>
        <w:tc>
          <w:tcPr>
            <w:tcW w:w="5000" w:type="pct"/>
            <w:gridSpan w:val="8"/>
          </w:tcPr>
          <w:p w14:paraId="0DB50705" w14:textId="77777777" w:rsidR="00220A02" w:rsidRPr="00806346" w:rsidRDefault="00220A02" w:rsidP="008B25C8">
            <w:pPr>
              <w:pStyle w:val="TAN"/>
              <w:rPr>
                <w:rFonts w:eastAsia="Malgun Gothic"/>
                <w:snapToGrid w:val="0"/>
              </w:rPr>
            </w:pPr>
            <w:r w:rsidRPr="00806346">
              <w:rPr>
                <w:rFonts w:eastAsia="Malgun Gothic"/>
                <w:snapToGrid w:val="0"/>
              </w:rPr>
              <w:t xml:space="preserve">Note 1: </w:t>
            </w:r>
            <w:r w:rsidRPr="00806346">
              <w:rPr>
                <w:rFonts w:eastAsia="Malgun Gothic"/>
                <w:snapToGrid w:val="0"/>
              </w:rPr>
              <w:tab/>
              <w:t>Applies for RedCap UE of all supporting FR2 power classes.</w:t>
            </w:r>
          </w:p>
          <w:p w14:paraId="74DB1451" w14:textId="77777777" w:rsidR="00220A02" w:rsidRPr="00806346" w:rsidRDefault="00220A02" w:rsidP="008B25C8">
            <w:pPr>
              <w:pStyle w:val="TAN"/>
              <w:rPr>
                <w:rFonts w:eastAsia="Malgun Gothic"/>
                <w:snapToGrid w:val="0"/>
              </w:rPr>
            </w:pPr>
            <w:r w:rsidRPr="00806346">
              <w:rPr>
                <w:rFonts w:eastAsia="Malgun Gothic"/>
                <w:snapToGrid w:val="0"/>
              </w:rPr>
              <w:t xml:space="preserve">Note 2: </w:t>
            </w:r>
            <w:r w:rsidRPr="00806346">
              <w:rPr>
                <w:rFonts w:eastAsia="Malgun Gothic"/>
                <w:snapToGrid w:val="0"/>
              </w:rPr>
              <w:tab/>
              <w:t>The number of DRX cycles in this table is given for the DRX cycles within PTWs.</w:t>
            </w:r>
          </w:p>
          <w:p w14:paraId="1343A90E" w14:textId="77777777" w:rsidR="0004662B" w:rsidRPr="00806346" w:rsidRDefault="0004662B" w:rsidP="0004662B">
            <w:pPr>
              <w:pStyle w:val="TAN"/>
              <w:rPr>
                <w:rFonts w:eastAsia="Malgun Gothic"/>
                <w:snapToGrid w:val="0"/>
              </w:rPr>
            </w:pPr>
            <w:r w:rsidRPr="00806346">
              <w:rPr>
                <w:rFonts w:eastAsia="Malgun Gothic"/>
                <w:snapToGrid w:val="0"/>
              </w:rPr>
              <w:t xml:space="preserve">Note 3: </w:t>
            </w:r>
            <w:r w:rsidRPr="00806346">
              <w:rPr>
                <w:rFonts w:eastAsia="Malgun Gothic"/>
                <w:snapToGrid w:val="0"/>
              </w:rPr>
              <w:tab/>
              <w:t>The eDRX_IDLE cycle lengths are as specified in Section 10.5.5.32 of TS 24.008 [34].</w:t>
            </w:r>
          </w:p>
          <w:p w14:paraId="1956309E" w14:textId="25B937C8" w:rsidR="00220A02" w:rsidRPr="00806346" w:rsidRDefault="0004662B" w:rsidP="0004662B">
            <w:pPr>
              <w:pStyle w:val="TAN"/>
              <w:rPr>
                <w:rFonts w:eastAsia="Malgun Gothic"/>
                <w:snapToGrid w:val="0"/>
              </w:rPr>
            </w:pPr>
            <w:r w:rsidRPr="00806346">
              <w:rPr>
                <w:rFonts w:eastAsia="Malgun Gothic"/>
                <w:snapToGrid w:val="0"/>
              </w:rPr>
              <w:t xml:space="preserve">Note 4: </w:t>
            </w:r>
            <w:r w:rsidRPr="00806346">
              <w:rPr>
                <w:rFonts w:eastAsia="Malgun Gothic"/>
                <w:snapToGrid w:val="0"/>
              </w:rPr>
              <w:tab/>
              <w:t xml:space="preserve">The lower bound of PTW length is derived based on </w:t>
            </w:r>
            <m:oMath>
              <m:d>
                <m:dPr>
                  <m:begChr m:val="⌈"/>
                  <m:endChr m:val="⌉"/>
                  <m:ctrlPr>
                    <w:rPr>
                      <w:rFonts w:ascii="Cambria Math" w:eastAsia="Malgun Gothic" w:hAnsi="Cambria Math"/>
                      <w:snapToGrid w:val="0"/>
                    </w:rPr>
                  </m:ctrlPr>
                </m:dPr>
                <m:e>
                  <m:f>
                    <m:fPr>
                      <m:ctrlPr>
                        <w:rPr>
                          <w:rFonts w:ascii="Cambria Math" w:eastAsia="Malgun Gothic" w:hAnsi="Cambria Math"/>
                          <w:snapToGrid w:val="0"/>
                        </w:rPr>
                      </m:ctrlPr>
                    </m:fPr>
                    <m:num>
                      <m:r>
                        <m:rPr>
                          <m:sty m:val="p"/>
                        </m:rPr>
                        <w:rPr>
                          <w:rFonts w:ascii="Cambria Math" w:eastAsia="Malgun Gothic" w:hAnsi="Cambria Math"/>
                          <w:snapToGrid w:val="0"/>
                        </w:rPr>
                        <m:t>Tevaluate,NR_Intra_RedCap_Relax*DRX_cycle</m:t>
                      </m:r>
                    </m:num>
                    <m:den>
                      <m:r>
                        <m:rPr>
                          <m:sty m:val="p"/>
                        </m:rPr>
                        <w:rPr>
                          <w:rFonts w:ascii="Cambria Math" w:eastAsia="Malgun Gothic" w:hAnsi="Cambria Math"/>
                          <w:snapToGrid w:val="0"/>
                        </w:rPr>
                        <m:t>1.28</m:t>
                      </m:r>
                    </m:den>
                  </m:f>
                </m:e>
              </m:d>
              <m:r>
                <m:rPr>
                  <m:sty m:val="p"/>
                </m:rPr>
                <w:rPr>
                  <w:rFonts w:ascii="Cambria Math" w:eastAsia="Malgun Gothic" w:hAnsi="Cambria Math"/>
                  <w:snapToGrid w:val="0"/>
                </w:rPr>
                <m:t>*1.28</m:t>
              </m:r>
            </m:oMath>
            <w:r w:rsidRPr="00806346">
              <w:rPr>
                <w:rFonts w:eastAsia="Malgun Gothic"/>
                <w:snapToGrid w:val="0"/>
              </w:rPr>
              <w:t>.</w:t>
            </w:r>
          </w:p>
          <w:p w14:paraId="1A93E6AE" w14:textId="77777777" w:rsidR="00220A02" w:rsidRPr="00806346" w:rsidRDefault="00220A02" w:rsidP="008B25C8">
            <w:pPr>
              <w:pStyle w:val="TAN"/>
              <w:rPr>
                <w:rFonts w:eastAsia="Malgun Gothic"/>
                <w:snapToGrid w:val="0"/>
              </w:rPr>
            </w:pPr>
            <w:r w:rsidRPr="00806346">
              <w:rPr>
                <w:rFonts w:eastAsia="Malgun Gothic"/>
                <w:snapToGrid w:val="0"/>
              </w:rPr>
              <w:t>Note 5:</w:t>
            </w:r>
            <w:r w:rsidRPr="00806346">
              <w:rPr>
                <w:rFonts w:eastAsia="Malgun Gothic"/>
                <w:snapToGrid w:val="0"/>
              </w:rPr>
              <w:tab/>
              <w:t>The measurement shall not be performed across PTW’s. In this case the measurement is performed in the next available PTW.</w:t>
            </w:r>
          </w:p>
          <w:p w14:paraId="37056D6A" w14:textId="77777777" w:rsidR="00220A02" w:rsidRPr="00806346" w:rsidRDefault="00220A02" w:rsidP="008B25C8">
            <w:pPr>
              <w:pStyle w:val="TAN"/>
              <w:rPr>
                <w:rFonts w:eastAsia="Malgun Gothic"/>
                <w:snapToGrid w:val="0"/>
              </w:rPr>
            </w:pPr>
            <w:r w:rsidRPr="00806346">
              <w:rPr>
                <w:rFonts w:eastAsia="Malgun Gothic"/>
                <w:snapToGrid w:val="0"/>
              </w:rPr>
              <w:t>Note 6:</w:t>
            </w:r>
            <w:r w:rsidRPr="00806346">
              <w:rPr>
                <w:rFonts w:eastAsia="Malgun Gothic"/>
                <w:snapToGrid w:val="0"/>
              </w:rPr>
              <w:tab/>
              <w:t>The evaluation shall not be performed across PTW’s.</w:t>
            </w:r>
          </w:p>
          <w:p w14:paraId="66434AEE" w14:textId="77777777" w:rsidR="00220A02" w:rsidRPr="00581E8E" w:rsidRDefault="00220A02" w:rsidP="008B25C8">
            <w:pPr>
              <w:pStyle w:val="TAN"/>
              <w:rPr>
                <w:rFonts w:cs="Arial"/>
              </w:rPr>
            </w:pPr>
            <w:r w:rsidRPr="00806346">
              <w:rPr>
                <w:rFonts w:eastAsia="Malgun Gothic"/>
                <w:snapToGrid w:val="0"/>
              </w:rPr>
              <w:t>Note 7:</w:t>
            </w:r>
            <w:r w:rsidRPr="00806346">
              <w:rPr>
                <w:rFonts w:eastAsia="Malgun Gothic"/>
                <w:snapToGrid w:val="0"/>
              </w:rPr>
              <w:tab/>
            </w:r>
            <w:r>
              <w:rPr>
                <w:rFonts w:eastAsia="Malgun Gothic"/>
                <w:snapToGrid w:val="0"/>
              </w:rPr>
              <w:t>K1</w:t>
            </w:r>
            <w:r w:rsidRPr="00806346">
              <w:rPr>
                <w:rFonts w:eastAsia="Malgun Gothic"/>
                <w:snapToGrid w:val="0"/>
              </w:rPr>
              <w:t xml:space="preserve"> = </w:t>
            </w:r>
            <w:r>
              <w:rPr>
                <w:rFonts w:eastAsia="Malgun Gothic"/>
                <w:snapToGrid w:val="0"/>
              </w:rPr>
              <w:t>3</w:t>
            </w:r>
            <w:r w:rsidRPr="00806346">
              <w:rPr>
                <w:rFonts w:eastAsia="Malgun Gothic"/>
                <w:snapToGrid w:val="0"/>
              </w:rPr>
              <w:t xml:space="preserve"> is the measurement relaxation factor applicable for UE fulfilling the </w:t>
            </w:r>
            <w:r w:rsidRPr="001C6668">
              <w:rPr>
                <w:i/>
                <w:iCs/>
              </w:rPr>
              <w:t>lowMobilityEvaluation</w:t>
            </w:r>
            <w:r>
              <w:rPr>
                <w:i/>
                <w:iCs/>
              </w:rPr>
              <w:t xml:space="preserve"> criterion</w:t>
            </w:r>
            <w:r w:rsidRPr="00806346">
              <w:rPr>
                <w:rFonts w:eastAsia="Malgun Gothic"/>
                <w:snapToGrid w:val="0"/>
              </w:rPr>
              <w:t xml:space="preserve"> [2].</w:t>
            </w:r>
          </w:p>
        </w:tc>
      </w:tr>
    </w:tbl>
    <w:p w14:paraId="60E0C5F3" w14:textId="77777777" w:rsidR="00220A02" w:rsidRDefault="00220A02" w:rsidP="00220A02">
      <w:pPr>
        <w:rPr>
          <w:lang w:eastAsia="zh-CN"/>
        </w:rPr>
      </w:pPr>
    </w:p>
    <w:p w14:paraId="2A16E228" w14:textId="77777777" w:rsidR="00220A02" w:rsidRDefault="00220A02" w:rsidP="00220A02">
      <w:pPr>
        <w:pStyle w:val="Heading5"/>
        <w:rPr>
          <w:lang w:val="en-US" w:eastAsia="zh-CN"/>
        </w:rPr>
      </w:pPr>
      <w:r>
        <w:rPr>
          <w:lang w:val="en-US" w:eastAsia="zh-CN"/>
        </w:rPr>
        <w:t>4.2B.2.10.10</w:t>
      </w:r>
      <w:r w:rsidRPr="00885F53">
        <w:rPr>
          <w:lang w:val="en-US" w:eastAsia="zh-CN"/>
        </w:rPr>
        <w:tab/>
      </w:r>
      <w:r>
        <w:rPr>
          <w:lang w:val="en-US" w:eastAsia="zh-CN"/>
        </w:rPr>
        <w:t>Measurements for UE fulfilling not-at-cell edge criterion</w:t>
      </w:r>
    </w:p>
    <w:p w14:paraId="4AEEDB11" w14:textId="77777777" w:rsidR="00220A02" w:rsidRDefault="00220A02" w:rsidP="00220A02">
      <w:pPr>
        <w:rPr>
          <w:rFonts w:eastAsiaTheme="minorEastAsia"/>
          <w:lang w:eastAsia="zh-CN"/>
        </w:rPr>
      </w:pPr>
      <w:r w:rsidRPr="00885F53">
        <w:rPr>
          <w:lang w:val="en-US" w:eastAsia="zh-CN"/>
        </w:rPr>
        <w:t xml:space="preserve">This clause contains requirements </w:t>
      </w:r>
      <w:r>
        <w:rPr>
          <w:rFonts w:eastAsiaTheme="minorEastAsia"/>
          <w:lang w:eastAsia="zh-CN"/>
        </w:rPr>
        <w:t>for measurements on inter-frequency NR cells provided that:</w:t>
      </w:r>
    </w:p>
    <w:p w14:paraId="48570067" w14:textId="77777777" w:rsidR="00220A02" w:rsidRPr="00AD77EE" w:rsidRDefault="00220A02" w:rsidP="00220A02">
      <w:pPr>
        <w:pStyle w:val="B10"/>
        <w:rPr>
          <w:lang w:eastAsia="zh-CN"/>
        </w:rPr>
      </w:pPr>
      <w:r>
        <w:rPr>
          <w:lang w:eastAsia="zh-CN"/>
        </w:rPr>
        <w:t>-</w:t>
      </w:r>
      <w:r>
        <w:rPr>
          <w:lang w:eastAsia="zh-CN"/>
        </w:rPr>
        <w:tab/>
      </w:r>
      <w:r w:rsidRPr="000D542C">
        <w:rPr>
          <w:lang w:eastAsia="zh-CN"/>
        </w:rPr>
        <w:t xml:space="preserve">UE is </w:t>
      </w:r>
      <w:r w:rsidRPr="00AD77EE">
        <w:rPr>
          <w:lang w:eastAsia="zh-CN"/>
        </w:rPr>
        <w:t xml:space="preserve">configured with </w:t>
      </w:r>
      <w:r w:rsidRPr="00485479">
        <w:rPr>
          <w:i/>
          <w:iCs/>
          <w:lang w:eastAsia="zh-CN"/>
        </w:rPr>
        <w:t>cellEdgeEvaluation</w:t>
      </w:r>
      <w:r>
        <w:rPr>
          <w:i/>
          <w:iCs/>
          <w:lang w:eastAsia="zh-CN"/>
        </w:rPr>
        <w:t xml:space="preserve"> </w:t>
      </w:r>
      <w:r>
        <w:rPr>
          <w:lang w:eastAsia="zh-CN"/>
        </w:rPr>
        <w:t>[2] criterion</w:t>
      </w:r>
      <w:r w:rsidRPr="000D542C">
        <w:rPr>
          <w:lang w:eastAsia="zh-CN"/>
        </w:rPr>
        <w:t>,</w:t>
      </w:r>
      <w:r w:rsidRPr="00AD77EE">
        <w:rPr>
          <w:lang w:eastAsia="zh-CN"/>
        </w:rPr>
        <w:t xml:space="preserve"> </w:t>
      </w:r>
      <w:r>
        <w:rPr>
          <w:lang w:eastAsia="zh-CN"/>
        </w:rPr>
        <w:t>and UE has fulfilled</w:t>
      </w:r>
      <w:r w:rsidRPr="00AD77EE">
        <w:rPr>
          <w:lang w:eastAsia="zh-CN"/>
        </w:rPr>
        <w:t xml:space="preserve"> or  </w:t>
      </w:r>
    </w:p>
    <w:p w14:paraId="4CB75878" w14:textId="77777777" w:rsidR="00220A02" w:rsidRPr="00AD77EE" w:rsidRDefault="00220A02" w:rsidP="00220A02">
      <w:pPr>
        <w:pStyle w:val="B10"/>
        <w:rPr>
          <w:lang w:eastAsia="zh-CN"/>
        </w:rPr>
      </w:pPr>
      <w:r>
        <w:rPr>
          <w:lang w:eastAsia="zh-CN"/>
        </w:rPr>
        <w:t>-</w:t>
      </w:r>
      <w:r>
        <w:rPr>
          <w:lang w:eastAsia="zh-CN"/>
        </w:rPr>
        <w:tab/>
      </w:r>
      <w:r w:rsidRPr="000A4CE3">
        <w:rPr>
          <w:lang w:eastAsia="zh-CN"/>
        </w:rPr>
        <w:t xml:space="preserve">UE is configured with </w:t>
      </w:r>
      <w:r w:rsidRPr="00AD77EE">
        <w:rPr>
          <w:lang w:eastAsia="zh-CN"/>
        </w:rPr>
        <w:t xml:space="preserve">both </w:t>
      </w:r>
      <w:r w:rsidRPr="001C6668">
        <w:rPr>
          <w:i/>
          <w:iCs/>
          <w:lang w:eastAsia="zh-CN"/>
        </w:rPr>
        <w:t>lowMobilityEvaluation</w:t>
      </w:r>
      <w:r w:rsidRPr="00485479" w:rsidDel="001E51FB">
        <w:rPr>
          <w:i/>
          <w:iCs/>
          <w:lang w:eastAsia="zh-CN"/>
        </w:rPr>
        <w:t xml:space="preserve"> </w:t>
      </w:r>
      <w:r>
        <w:rPr>
          <w:lang w:eastAsia="zh-CN"/>
        </w:rPr>
        <w:t>[2]</w:t>
      </w:r>
      <w:r w:rsidRPr="00AD77EE">
        <w:rPr>
          <w:lang w:eastAsia="zh-CN"/>
        </w:rPr>
        <w:t xml:space="preserve"> criterion and </w:t>
      </w:r>
      <w:r w:rsidRPr="00485479">
        <w:rPr>
          <w:i/>
          <w:iCs/>
          <w:lang w:eastAsia="zh-CN"/>
        </w:rPr>
        <w:t>cellEdgeEvaluation</w:t>
      </w:r>
      <w:r>
        <w:rPr>
          <w:i/>
          <w:iCs/>
          <w:lang w:eastAsia="zh-CN"/>
        </w:rPr>
        <w:t xml:space="preserve"> </w:t>
      </w:r>
      <w:r>
        <w:rPr>
          <w:lang w:eastAsia="zh-CN"/>
        </w:rPr>
        <w:t>[2]</w:t>
      </w:r>
      <w:r w:rsidRPr="00AD77EE">
        <w:rPr>
          <w:lang w:eastAsia="zh-CN"/>
        </w:rPr>
        <w:t xml:space="preserve"> criterion</w:t>
      </w:r>
      <w:r w:rsidRPr="00D36387">
        <w:rPr>
          <w:lang w:eastAsia="zh-CN"/>
        </w:rPr>
        <w:t xml:space="preserve"> </w:t>
      </w:r>
      <w:r>
        <w:rPr>
          <w:lang w:eastAsia="zh-CN"/>
        </w:rPr>
        <w:t xml:space="preserve">and </w:t>
      </w:r>
      <w:r w:rsidRPr="0061045D">
        <w:rPr>
          <w:i/>
          <w:lang w:eastAsia="zh-CN"/>
        </w:rPr>
        <w:t>combineRelaxedMeasCondition</w:t>
      </w:r>
      <w:r>
        <w:rPr>
          <w:rFonts w:hint="eastAsia"/>
          <w:lang w:eastAsia="zh-CN"/>
        </w:rPr>
        <w:t xml:space="preserve"> </w:t>
      </w:r>
      <w:r>
        <w:rPr>
          <w:lang w:eastAsia="zh-CN"/>
        </w:rPr>
        <w:t>[2] not configured</w:t>
      </w:r>
      <w:r w:rsidRPr="00AD77EE">
        <w:rPr>
          <w:lang w:eastAsia="zh-CN"/>
        </w:rPr>
        <w:t xml:space="preserve">, </w:t>
      </w:r>
      <w:r>
        <w:rPr>
          <w:lang w:eastAsia="zh-CN"/>
        </w:rPr>
        <w:t>and</w:t>
      </w:r>
    </w:p>
    <w:p w14:paraId="30C9C066" w14:textId="77777777" w:rsidR="00220A02" w:rsidRPr="00AD77EE" w:rsidRDefault="00220A02" w:rsidP="00220A02">
      <w:pPr>
        <w:pStyle w:val="B10"/>
        <w:rPr>
          <w:lang w:eastAsia="zh-CN"/>
        </w:rPr>
      </w:pPr>
      <w:r>
        <w:rPr>
          <w:lang w:eastAsia="zh-CN"/>
        </w:rPr>
        <w:t>-</w:t>
      </w:r>
      <w:r>
        <w:rPr>
          <w:lang w:eastAsia="zh-CN"/>
        </w:rPr>
        <w:tab/>
        <w:t xml:space="preserve">UE </w:t>
      </w:r>
      <w:r w:rsidRPr="00AD77EE">
        <w:rPr>
          <w:lang w:eastAsia="zh-CN"/>
        </w:rPr>
        <w:t>has fulfilled only th</w:t>
      </w:r>
      <w:r>
        <w:rPr>
          <w:lang w:eastAsia="zh-CN"/>
        </w:rPr>
        <w:t xml:space="preserve">e </w:t>
      </w:r>
      <w:r w:rsidRPr="00485479">
        <w:rPr>
          <w:i/>
          <w:iCs/>
          <w:lang w:eastAsia="zh-CN"/>
        </w:rPr>
        <w:t>cellEdgeEvaluation</w:t>
      </w:r>
      <w:r>
        <w:rPr>
          <w:i/>
          <w:iCs/>
          <w:lang w:eastAsia="zh-CN"/>
        </w:rPr>
        <w:t xml:space="preserve"> </w:t>
      </w:r>
      <w:r>
        <w:rPr>
          <w:lang w:eastAsia="zh-CN"/>
        </w:rPr>
        <w:t>[2] criterion.</w:t>
      </w:r>
    </w:p>
    <w:p w14:paraId="46E6C380" w14:textId="77777777" w:rsidR="00220A02" w:rsidRDefault="00220A02" w:rsidP="00220A02">
      <w:pPr>
        <w:rPr>
          <w:noProof/>
        </w:rPr>
      </w:pPr>
      <w:r>
        <w:rPr>
          <w:rFonts w:hint="eastAsia"/>
          <w:noProof/>
          <w:lang w:eastAsia="zh-CN"/>
        </w:rPr>
        <w:t>W</w:t>
      </w:r>
      <w:r w:rsidRPr="007C2D19">
        <w:rPr>
          <w:noProof/>
        </w:rPr>
        <w:t xml:space="preserve">hen </w:t>
      </w:r>
      <w:r w:rsidRPr="00734785">
        <w:rPr>
          <w:rFonts w:eastAsiaTheme="minorEastAsia"/>
          <w:lang w:eastAsia="zh-CN"/>
        </w:rPr>
        <w:t xml:space="preserve">Srxlev </w:t>
      </w:r>
      <w:r w:rsidRPr="00691C10">
        <w:t>≤</w:t>
      </w:r>
      <w:r w:rsidRPr="00734785">
        <w:rPr>
          <w:rFonts w:eastAsiaTheme="minorEastAsia"/>
          <w:lang w:eastAsia="zh-CN"/>
        </w:rPr>
        <w:t xml:space="preserve"> S</w:t>
      </w:r>
      <w:r w:rsidRPr="00C15974">
        <w:rPr>
          <w:rFonts w:eastAsiaTheme="minorEastAsia"/>
          <w:vertAlign w:val="subscript"/>
          <w:lang w:eastAsia="zh-CN"/>
        </w:rPr>
        <w:t>nonIntraSearchP</w:t>
      </w:r>
      <w:r w:rsidRPr="00734785">
        <w:rPr>
          <w:rFonts w:eastAsiaTheme="minorEastAsia"/>
          <w:lang w:eastAsia="zh-CN"/>
        </w:rPr>
        <w:t xml:space="preserve"> </w:t>
      </w:r>
      <w:r>
        <w:rPr>
          <w:rFonts w:eastAsiaTheme="minorEastAsia"/>
          <w:lang w:eastAsia="zh-CN"/>
        </w:rPr>
        <w:t>or</w:t>
      </w:r>
      <w:r w:rsidRPr="00734785">
        <w:rPr>
          <w:rFonts w:eastAsiaTheme="minorEastAsia"/>
          <w:lang w:eastAsia="zh-CN"/>
        </w:rPr>
        <w:t xml:space="preserve"> Squal </w:t>
      </w:r>
      <w:r w:rsidRPr="00691C10">
        <w:t>≤</w:t>
      </w:r>
      <w:r w:rsidRPr="00734785">
        <w:rPr>
          <w:rFonts w:eastAsiaTheme="minorEastAsia"/>
          <w:lang w:eastAsia="zh-CN"/>
        </w:rPr>
        <w:t xml:space="preserve"> S</w:t>
      </w:r>
      <w:r w:rsidRPr="00C15974">
        <w:rPr>
          <w:rFonts w:eastAsiaTheme="minorEastAsia"/>
          <w:vertAlign w:val="subscript"/>
          <w:lang w:eastAsia="zh-CN"/>
        </w:rPr>
        <w:t>nonIntraSearchQ</w:t>
      </w:r>
      <w:r w:rsidRPr="00734785">
        <w:rPr>
          <w:rFonts w:eastAsiaTheme="minorEastAsia"/>
          <w:lang w:eastAsia="zh-CN"/>
        </w:rPr>
        <w:t xml:space="preserve"> </w:t>
      </w:r>
      <w:r>
        <w:rPr>
          <w:rFonts w:eastAsiaTheme="minorEastAsia" w:hint="eastAsia"/>
          <w:lang w:eastAsia="zh-CN"/>
        </w:rPr>
        <w:t>then t</w:t>
      </w:r>
      <w:r>
        <w:rPr>
          <w:rFonts w:eastAsiaTheme="minorEastAsia"/>
          <w:lang w:eastAsia="zh-CN"/>
        </w:rPr>
        <w:t>h</w:t>
      </w:r>
      <w:r w:rsidRPr="0089796C">
        <w:rPr>
          <w:noProof/>
        </w:rPr>
        <w:t xml:space="preserve">e requirements defined in clause </w:t>
      </w:r>
      <w:r>
        <w:t>4.2B.2.4</w:t>
      </w:r>
      <w:r w:rsidRPr="0089796C">
        <w:t xml:space="preserve"> </w:t>
      </w:r>
      <w:r w:rsidRPr="0089796C">
        <w:rPr>
          <w:noProof/>
        </w:rPr>
        <w:t xml:space="preserve">apply for this </w:t>
      </w:r>
      <w:r>
        <w:rPr>
          <w:noProof/>
        </w:rPr>
        <w:t>clause</w:t>
      </w:r>
      <w:r w:rsidRPr="0089796C">
        <w:rPr>
          <w:noProof/>
        </w:rPr>
        <w:t xml:space="preserve"> </w:t>
      </w:r>
      <w:r>
        <w:rPr>
          <w:noProof/>
        </w:rPr>
        <w:t>except that</w:t>
      </w:r>
      <w:r w:rsidRPr="0089796C">
        <w:rPr>
          <w:noProof/>
        </w:rPr>
        <w:t>:</w:t>
      </w:r>
    </w:p>
    <w:p w14:paraId="1DE6D30E" w14:textId="77777777" w:rsidR="00220A02" w:rsidRDefault="00220A02" w:rsidP="00220A02">
      <w:pPr>
        <w:pStyle w:val="B10"/>
      </w:pPr>
      <w:r w:rsidRPr="0089796C">
        <w:t>-</w:t>
      </w:r>
      <w:r w:rsidRPr="0089796C">
        <w:tab/>
      </w:r>
      <w:r w:rsidRPr="00885F53">
        <w:t>T</w:t>
      </w:r>
      <w:r w:rsidRPr="00885F53">
        <w:rPr>
          <w:vertAlign w:val="subscript"/>
        </w:rPr>
        <w:t>detect,</w:t>
      </w:r>
      <w:r w:rsidRPr="00885F53">
        <w:rPr>
          <w:vertAlign w:val="subscript"/>
          <w:lang w:eastAsia="zh-CN"/>
        </w:rPr>
        <w:t>NR</w:t>
      </w:r>
      <w:r w:rsidRPr="00885F53">
        <w:rPr>
          <w:vertAlign w:val="subscript"/>
        </w:rPr>
        <w:t>_Int</w:t>
      </w:r>
      <w:r>
        <w:rPr>
          <w:vertAlign w:val="subscript"/>
        </w:rPr>
        <w:t>e</w:t>
      </w:r>
      <w:r w:rsidRPr="00885F53">
        <w:rPr>
          <w:vertAlign w:val="subscript"/>
        </w:rPr>
        <w:t>r</w:t>
      </w:r>
      <w:r w:rsidRPr="007C6A6B">
        <w:rPr>
          <w:vertAlign w:val="subscript"/>
        </w:rPr>
        <w:t xml:space="preserve"> </w:t>
      </w:r>
      <w:r>
        <w:rPr>
          <w:vertAlign w:val="subscript"/>
        </w:rPr>
        <w:t>RedCap</w:t>
      </w:r>
      <w:r w:rsidRPr="00736EB3">
        <w:rPr>
          <w:rFonts w:cs="v4.2.0"/>
          <w:vertAlign w:val="subscript"/>
        </w:rPr>
        <w:t xml:space="preserve"> Relax</w:t>
      </w:r>
      <w:r w:rsidRPr="00885F53">
        <w:rPr>
          <w:i/>
          <w:vertAlign w:val="subscript"/>
        </w:rPr>
        <w:t xml:space="preserve"> </w:t>
      </w:r>
      <w:r>
        <w:t xml:space="preserve">as specified in </w:t>
      </w:r>
      <w:r w:rsidRPr="00AD77EE">
        <w:t xml:space="preserve">Table </w:t>
      </w:r>
      <w:r>
        <w:t>4.2B.2.10.10</w:t>
      </w:r>
      <w:r w:rsidRPr="00AD77EE">
        <w:t>-1</w:t>
      </w:r>
      <w:r w:rsidRPr="00641AE6">
        <w:t xml:space="preserve"> </w:t>
      </w:r>
      <w:r>
        <w:t xml:space="preserve">and </w:t>
      </w:r>
      <w:r w:rsidRPr="00AD77EE">
        <w:t xml:space="preserve">Table </w:t>
      </w:r>
      <w:r>
        <w:t>4.2B.2.10.10</w:t>
      </w:r>
      <w:r w:rsidRPr="00AD77EE">
        <w:t>-</w:t>
      </w:r>
      <w:r>
        <w:t xml:space="preserve">2 </w:t>
      </w:r>
      <w:r>
        <w:rPr>
          <w:lang w:val="en-US"/>
        </w:rPr>
        <w:t>for 1 Rx RedCap and 2 Rx RedCap respectively</w:t>
      </w:r>
      <w:r w:rsidRPr="00AD77EE">
        <w:t>.</w:t>
      </w:r>
    </w:p>
    <w:p w14:paraId="3B3B737D" w14:textId="77777777" w:rsidR="00220A02" w:rsidRDefault="00220A02" w:rsidP="00220A02">
      <w:pPr>
        <w:pStyle w:val="B10"/>
      </w:pPr>
      <w:r w:rsidRPr="0089796C">
        <w:t>-</w:t>
      </w:r>
      <w:r w:rsidRPr="0089796C">
        <w:tab/>
      </w:r>
      <w:r w:rsidRPr="00885F53">
        <w:rPr>
          <w:rFonts w:cs="v4.2.0"/>
        </w:rPr>
        <w:t>T</w:t>
      </w:r>
      <w:r w:rsidRPr="00885F53">
        <w:rPr>
          <w:rFonts w:cs="v4.2.0"/>
          <w:vertAlign w:val="subscript"/>
        </w:rPr>
        <w:t>measure,NR_Int</w:t>
      </w:r>
      <w:r>
        <w:rPr>
          <w:rFonts w:cs="v4.2.0"/>
          <w:vertAlign w:val="subscript"/>
        </w:rPr>
        <w:t>e</w:t>
      </w:r>
      <w:r w:rsidRPr="00885F53">
        <w:rPr>
          <w:rFonts w:cs="v4.2.0"/>
          <w:vertAlign w:val="subscript"/>
        </w:rPr>
        <w:t>r</w:t>
      </w:r>
      <w:r w:rsidRPr="00736EB3">
        <w:rPr>
          <w:rFonts w:cs="v4.2.0"/>
          <w:vertAlign w:val="subscript"/>
        </w:rPr>
        <w:t>_</w:t>
      </w:r>
      <w:r>
        <w:rPr>
          <w:vertAlign w:val="subscript"/>
        </w:rPr>
        <w:t>RedCap</w:t>
      </w:r>
      <w:r w:rsidRPr="00736EB3">
        <w:rPr>
          <w:rFonts w:cs="v4.2.0"/>
          <w:vertAlign w:val="subscript"/>
        </w:rPr>
        <w:t xml:space="preserve"> Relax</w:t>
      </w:r>
      <w:r w:rsidRPr="00885F53">
        <w:rPr>
          <w:rFonts w:cs="v4.2.0"/>
        </w:rPr>
        <w:t xml:space="preserve"> </w:t>
      </w:r>
      <w:r>
        <w:t xml:space="preserve">as specified in </w:t>
      </w:r>
      <w:r w:rsidRPr="00AD77EE">
        <w:t xml:space="preserve">Table </w:t>
      </w:r>
      <w:r>
        <w:t>4.2B.2.10.10</w:t>
      </w:r>
      <w:r w:rsidRPr="00AD77EE">
        <w:t>-1</w:t>
      </w:r>
      <w:r w:rsidRPr="00641AE6">
        <w:t xml:space="preserve"> </w:t>
      </w:r>
      <w:r>
        <w:t xml:space="preserve">and </w:t>
      </w:r>
      <w:r w:rsidRPr="00AD77EE">
        <w:t xml:space="preserve">Table </w:t>
      </w:r>
      <w:r>
        <w:t>4.2B.2.10.10</w:t>
      </w:r>
      <w:r w:rsidRPr="00AD77EE">
        <w:t>-</w:t>
      </w:r>
      <w:r>
        <w:t xml:space="preserve">2 </w:t>
      </w:r>
      <w:r>
        <w:rPr>
          <w:lang w:val="en-US"/>
        </w:rPr>
        <w:t>for 1 Rx RedCap and 2 Rx RedCap respectively</w:t>
      </w:r>
      <w:r w:rsidRPr="00AD77EE">
        <w:t>.</w:t>
      </w:r>
    </w:p>
    <w:p w14:paraId="72CA4D1C" w14:textId="77777777" w:rsidR="00220A02" w:rsidRDefault="00220A02" w:rsidP="00220A02">
      <w:pPr>
        <w:pStyle w:val="B10"/>
      </w:pPr>
      <w:r w:rsidRPr="0089796C">
        <w:t>-</w:t>
      </w:r>
      <w:r w:rsidRPr="0089796C">
        <w:tab/>
      </w:r>
      <w:r w:rsidRPr="00885F53">
        <w:rPr>
          <w:rFonts w:cs="v4.2.0"/>
        </w:rPr>
        <w:t>T</w:t>
      </w:r>
      <w:r w:rsidRPr="00885F53">
        <w:rPr>
          <w:rFonts w:cs="v4.2.0"/>
          <w:vertAlign w:val="subscript"/>
        </w:rPr>
        <w:t>evaluate,</w:t>
      </w:r>
      <w:r w:rsidRPr="00885F53">
        <w:rPr>
          <w:rFonts w:cs="v4.2.0"/>
          <w:vertAlign w:val="subscript"/>
          <w:lang w:eastAsia="zh-CN"/>
        </w:rPr>
        <w:t>NR</w:t>
      </w:r>
      <w:r w:rsidRPr="00885F53">
        <w:rPr>
          <w:rFonts w:cs="v4.2.0"/>
          <w:vertAlign w:val="subscript"/>
        </w:rPr>
        <w:t>_Int</w:t>
      </w:r>
      <w:r>
        <w:rPr>
          <w:rFonts w:cs="v4.2.0"/>
          <w:vertAlign w:val="subscript"/>
        </w:rPr>
        <w:t>e</w:t>
      </w:r>
      <w:r w:rsidRPr="00885F53">
        <w:rPr>
          <w:rFonts w:cs="v4.2.0"/>
          <w:vertAlign w:val="subscript"/>
        </w:rPr>
        <w:t>r</w:t>
      </w:r>
      <w:r w:rsidRPr="00736EB3">
        <w:rPr>
          <w:rFonts w:cs="v4.2.0"/>
          <w:vertAlign w:val="subscript"/>
        </w:rPr>
        <w:t>_</w:t>
      </w:r>
      <w:r>
        <w:rPr>
          <w:vertAlign w:val="subscript"/>
        </w:rPr>
        <w:t>RedCap</w:t>
      </w:r>
      <w:r w:rsidRPr="00736EB3">
        <w:rPr>
          <w:rFonts w:cs="v4.2.0"/>
          <w:vertAlign w:val="subscript"/>
        </w:rPr>
        <w:t xml:space="preserve"> Relax</w:t>
      </w:r>
      <w:r>
        <w:rPr>
          <w:rFonts w:cs="v4.2.0"/>
          <w:vertAlign w:val="subscript"/>
        </w:rPr>
        <w:t xml:space="preserve"> </w:t>
      </w:r>
      <w:r>
        <w:t xml:space="preserve">as specified in </w:t>
      </w:r>
      <w:r w:rsidRPr="00AD77EE">
        <w:t xml:space="preserve">Table </w:t>
      </w:r>
      <w:r>
        <w:t>4.2B.2.10.10</w:t>
      </w:r>
      <w:r w:rsidRPr="00AD77EE">
        <w:t>-1</w:t>
      </w:r>
      <w:r w:rsidRPr="00641AE6">
        <w:t xml:space="preserve"> </w:t>
      </w:r>
      <w:r>
        <w:t xml:space="preserve">and </w:t>
      </w:r>
      <w:r w:rsidRPr="00AD77EE">
        <w:t xml:space="preserve">Table </w:t>
      </w:r>
      <w:r>
        <w:t>4.2B.2.10.10</w:t>
      </w:r>
      <w:r w:rsidRPr="00AD77EE">
        <w:t>-</w:t>
      </w:r>
      <w:r>
        <w:t xml:space="preserve">2 </w:t>
      </w:r>
      <w:r>
        <w:rPr>
          <w:lang w:val="en-US"/>
        </w:rPr>
        <w:t>for 1 Rx RedCap and 2 Rx RedCap respectively</w:t>
      </w:r>
      <w:r w:rsidRPr="00AD77EE">
        <w:t>.</w:t>
      </w:r>
    </w:p>
    <w:p w14:paraId="55FD2F0B" w14:textId="77777777" w:rsidR="00220A02" w:rsidRPr="003D532E" w:rsidRDefault="00220A02" w:rsidP="00220A02">
      <w:pPr>
        <w:pStyle w:val="B10"/>
        <w:ind w:left="0" w:firstLine="0"/>
        <w:rPr>
          <w:noProof/>
        </w:rPr>
      </w:pPr>
      <w:r w:rsidRPr="003D532E">
        <w:rPr>
          <w:noProof/>
        </w:rPr>
        <w:t>If the UE is configured with eDRX_IDLE cycle then the requirements in Table 4.2B.2.</w:t>
      </w:r>
      <w:r>
        <w:rPr>
          <w:noProof/>
        </w:rPr>
        <w:t>10</w:t>
      </w:r>
      <w:r w:rsidRPr="003D532E">
        <w:rPr>
          <w:noProof/>
        </w:rPr>
        <w:t>.</w:t>
      </w:r>
      <w:r>
        <w:rPr>
          <w:noProof/>
        </w:rPr>
        <w:t>10</w:t>
      </w:r>
      <w:r w:rsidRPr="003D532E">
        <w:rPr>
          <w:noProof/>
        </w:rPr>
        <w:t xml:space="preserve">-3 </w:t>
      </w:r>
      <w:r>
        <w:rPr>
          <w:noProof/>
        </w:rPr>
        <w:t xml:space="preserve">and </w:t>
      </w:r>
      <w:r w:rsidRPr="003D532E">
        <w:rPr>
          <w:noProof/>
        </w:rPr>
        <w:t>Table 4.2B.2.</w:t>
      </w:r>
      <w:r>
        <w:rPr>
          <w:noProof/>
        </w:rPr>
        <w:t>10</w:t>
      </w:r>
      <w:r w:rsidRPr="003D532E">
        <w:rPr>
          <w:noProof/>
        </w:rPr>
        <w:t>.</w:t>
      </w:r>
      <w:r>
        <w:rPr>
          <w:noProof/>
        </w:rPr>
        <w:t>10</w:t>
      </w:r>
      <w:r w:rsidRPr="003D532E">
        <w:rPr>
          <w:noProof/>
        </w:rPr>
        <w:t>-</w:t>
      </w:r>
      <w:r>
        <w:rPr>
          <w:noProof/>
        </w:rPr>
        <w:t>4</w:t>
      </w:r>
      <w:r w:rsidRPr="003D532E">
        <w:rPr>
          <w:noProof/>
        </w:rPr>
        <w:t xml:space="preserve"> </w:t>
      </w:r>
      <w:r>
        <w:rPr>
          <w:noProof/>
        </w:rPr>
        <w:t>are</w:t>
      </w:r>
      <w:r w:rsidRPr="003D532E">
        <w:rPr>
          <w:noProof/>
        </w:rPr>
        <w:t xml:space="preserve"> applicable for eDRX cycle up to 10.24 s in FR1 and FR2</w:t>
      </w:r>
      <w:r>
        <w:rPr>
          <w:noProof/>
        </w:rPr>
        <w:t>, respectively</w:t>
      </w:r>
      <w:r w:rsidRPr="003D532E">
        <w:rPr>
          <w:noProof/>
        </w:rPr>
        <w:t xml:space="preserve">. </w:t>
      </w:r>
    </w:p>
    <w:p w14:paraId="6D02AD35" w14:textId="77777777" w:rsidR="00220A02" w:rsidRDefault="00220A02" w:rsidP="00220A02">
      <w:pPr>
        <w:spacing w:after="0"/>
      </w:pPr>
      <w:r w:rsidRPr="003D532E">
        <w:t xml:space="preserve">If the UE is configured with eDRX_IDLE cycle greater than 10.24 s in FR1 and FR2, then the requirements in Table </w:t>
      </w:r>
      <w:r w:rsidRPr="003D532E">
        <w:rPr>
          <w:lang w:val="en-US"/>
        </w:rPr>
        <w:t>Table 4.2B.2.</w:t>
      </w:r>
      <w:r>
        <w:rPr>
          <w:lang w:val="en-US"/>
        </w:rPr>
        <w:t>10</w:t>
      </w:r>
      <w:r w:rsidRPr="003D532E">
        <w:rPr>
          <w:lang w:val="en-US"/>
        </w:rPr>
        <w:t>.</w:t>
      </w:r>
      <w:r>
        <w:rPr>
          <w:lang w:val="en-US"/>
        </w:rPr>
        <w:t>10</w:t>
      </w:r>
      <w:r w:rsidRPr="003D532E">
        <w:rPr>
          <w:lang w:val="en-US"/>
        </w:rPr>
        <w:t>-</w:t>
      </w:r>
      <w:r>
        <w:rPr>
          <w:lang w:val="en-US"/>
        </w:rPr>
        <w:t>5</w:t>
      </w:r>
      <w:r w:rsidRPr="003D532E">
        <w:t xml:space="preserve"> and </w:t>
      </w:r>
      <w:r w:rsidRPr="003D532E">
        <w:rPr>
          <w:lang w:val="en-US"/>
        </w:rPr>
        <w:t>Table 4.2B.2.</w:t>
      </w:r>
      <w:r>
        <w:rPr>
          <w:lang w:val="en-US"/>
        </w:rPr>
        <w:t>10</w:t>
      </w:r>
      <w:r w:rsidRPr="003D532E">
        <w:rPr>
          <w:lang w:val="en-US"/>
        </w:rPr>
        <w:t>.</w:t>
      </w:r>
      <w:r>
        <w:rPr>
          <w:lang w:val="en-US"/>
        </w:rPr>
        <w:t>10</w:t>
      </w:r>
      <w:r w:rsidRPr="003D532E">
        <w:rPr>
          <w:lang w:val="en-US"/>
        </w:rPr>
        <w:t>-</w:t>
      </w:r>
      <w:r>
        <w:rPr>
          <w:lang w:val="en-US"/>
        </w:rPr>
        <w:t>6</w:t>
      </w:r>
      <w:r w:rsidRPr="003D532E">
        <w:rPr>
          <w:lang w:val="en-US"/>
        </w:rPr>
        <w:t xml:space="preserve"> respectively </w:t>
      </w:r>
      <w:r w:rsidRPr="003D532E">
        <w:t>apply provided</w:t>
      </w:r>
      <w:r w:rsidRPr="00140320">
        <w:t xml:space="preserve"> </w:t>
      </w:r>
      <w:r w:rsidRPr="003D532E">
        <w:t xml:space="preserve">eDRX cycle is </w:t>
      </w:r>
      <w:r w:rsidRPr="003D532E">
        <w:rPr>
          <w:rFonts w:hint="eastAsia"/>
        </w:rPr>
        <w:t>≤</w:t>
      </w:r>
      <w:r w:rsidRPr="003D532E">
        <w:t xml:space="preserve"> [163.84] sec and evaluation/measurement time with relaxation on one carrier is not greater than single PTW window length.</w:t>
      </w:r>
    </w:p>
    <w:p w14:paraId="1ABBBFE5" w14:textId="77777777" w:rsidR="00220A02" w:rsidRDefault="00220A02" w:rsidP="00220A02">
      <w:pPr>
        <w:pStyle w:val="B10"/>
      </w:pPr>
    </w:p>
    <w:p w14:paraId="2FBD6E90" w14:textId="77777777" w:rsidR="00220A02" w:rsidRDefault="00220A02" w:rsidP="00220A02">
      <w:pPr>
        <w:rPr>
          <w:noProof/>
        </w:rPr>
      </w:pPr>
      <w:r w:rsidRPr="00EC47A7">
        <w:rPr>
          <w:noProof/>
        </w:rPr>
        <w:t>When Srxlev &gt; S</w:t>
      </w:r>
      <w:r w:rsidRPr="00734785">
        <w:rPr>
          <w:noProof/>
        </w:rPr>
        <w:t>nonIntraSearchP</w:t>
      </w:r>
      <w:r w:rsidRPr="00EC47A7">
        <w:rPr>
          <w:noProof/>
        </w:rPr>
        <w:t xml:space="preserve"> and Squal &gt; S</w:t>
      </w:r>
      <w:r w:rsidRPr="00734785">
        <w:rPr>
          <w:noProof/>
        </w:rPr>
        <w:t>nonIntraSearchQ</w:t>
      </w:r>
      <w:r w:rsidRPr="00EC47A7">
        <w:rPr>
          <w:noProof/>
        </w:rPr>
        <w:t xml:space="preserve"> and regardless of whether the UE is configured with</w:t>
      </w:r>
      <w:r w:rsidRPr="00734785">
        <w:rPr>
          <w:noProof/>
        </w:rPr>
        <w:t xml:space="preserve"> </w:t>
      </w:r>
      <w:r w:rsidRPr="00734785">
        <w:rPr>
          <w:i/>
          <w:iCs/>
          <w:noProof/>
        </w:rPr>
        <w:t>highPriorityMeasRelax</w:t>
      </w:r>
      <w:r w:rsidRPr="00734785">
        <w:rPr>
          <w:noProof/>
        </w:rPr>
        <w:t xml:space="preserve"> [2]</w:t>
      </w:r>
      <w:r w:rsidRPr="00EC47A7">
        <w:rPr>
          <w:noProof/>
        </w:rPr>
        <w:t xml:space="preserve"> or not, the UE shall search for inter-frequency layers of higher priority at least every T</w:t>
      </w:r>
      <w:r w:rsidRPr="00734785">
        <w:rPr>
          <w:noProof/>
          <w:vertAlign w:val="subscript"/>
        </w:rPr>
        <w:t>higher_priority</w:t>
      </w:r>
      <w:r w:rsidRPr="00734785">
        <w:rPr>
          <w:noProof/>
        </w:rPr>
        <w:t xml:space="preserve">_search </w:t>
      </w:r>
      <w:r w:rsidRPr="00EC47A7">
        <w:rPr>
          <w:noProof/>
        </w:rPr>
        <w:t>where T</w:t>
      </w:r>
      <w:r w:rsidRPr="00734785">
        <w:rPr>
          <w:noProof/>
          <w:vertAlign w:val="subscript"/>
        </w:rPr>
        <w:t>higher_priority_search</w:t>
      </w:r>
      <w:r w:rsidRPr="00EC47A7">
        <w:rPr>
          <w:noProof/>
        </w:rPr>
        <w:t xml:space="preserve"> is described in clause </w:t>
      </w:r>
      <w:r>
        <w:rPr>
          <w:noProof/>
        </w:rPr>
        <w:t>4.2B.</w:t>
      </w:r>
      <w:r w:rsidRPr="00EC47A7">
        <w:rPr>
          <w:noProof/>
        </w:rPr>
        <w:t>2.7</w:t>
      </w:r>
    </w:p>
    <w:p w14:paraId="114750E6" w14:textId="77777777" w:rsidR="00220A02" w:rsidRDefault="00220A02" w:rsidP="00220A02">
      <w:pPr>
        <w:rPr>
          <w:lang w:val="en-US" w:eastAsia="zh-CN"/>
        </w:rPr>
      </w:pPr>
    </w:p>
    <w:p w14:paraId="77F73F13" w14:textId="77777777" w:rsidR="00220A02" w:rsidRDefault="00220A02" w:rsidP="004170C7">
      <w:pPr>
        <w:pStyle w:val="TH"/>
      </w:pPr>
      <w:r w:rsidRPr="00885F53">
        <w:t xml:space="preserve">Table </w:t>
      </w:r>
      <w:r>
        <w:t>4.2B.2.10.10</w:t>
      </w:r>
      <w:r w:rsidRPr="00885F53">
        <w:t>-</w:t>
      </w:r>
      <w:r>
        <w:t>1</w:t>
      </w:r>
      <w:r w:rsidRPr="00885F53">
        <w:t>: T</w:t>
      </w:r>
      <w:r w:rsidRPr="00885F53">
        <w:rPr>
          <w:vertAlign w:val="subscript"/>
        </w:rPr>
        <w:t>detect,NR_</w:t>
      </w:r>
      <w:r w:rsidRPr="00EE1704">
        <w:rPr>
          <w:vertAlign w:val="subscript"/>
        </w:rPr>
        <w:t xml:space="preserve"> </w:t>
      </w:r>
      <w:r w:rsidRPr="00885F53">
        <w:rPr>
          <w:vertAlign w:val="subscript"/>
        </w:rPr>
        <w:t>Inter</w:t>
      </w:r>
      <w:r>
        <w:rPr>
          <w:vertAlign w:val="subscript"/>
        </w:rPr>
        <w:t>_RedCap_Relax</w:t>
      </w:r>
      <w:r w:rsidRPr="00885F53">
        <w:rPr>
          <w:vertAlign w:val="subscript"/>
        </w:rPr>
        <w:t>,</w:t>
      </w:r>
      <w:r w:rsidRPr="00885F53">
        <w:t xml:space="preserve"> T</w:t>
      </w:r>
      <w:r w:rsidRPr="00885F53">
        <w:rPr>
          <w:vertAlign w:val="subscript"/>
        </w:rPr>
        <w:t>measure,NR_</w:t>
      </w:r>
      <w:r w:rsidRPr="00EE1704">
        <w:rPr>
          <w:vertAlign w:val="subscript"/>
        </w:rPr>
        <w:t xml:space="preserve"> </w:t>
      </w:r>
      <w:r w:rsidRPr="00885F53">
        <w:rPr>
          <w:vertAlign w:val="subscript"/>
        </w:rPr>
        <w:t>Inter</w:t>
      </w:r>
      <w:r>
        <w:rPr>
          <w:vertAlign w:val="subscript"/>
        </w:rPr>
        <w:t xml:space="preserve"> RedCap_Relax</w:t>
      </w:r>
      <w:r w:rsidRPr="00885F53">
        <w:t xml:space="preserve"> and T</w:t>
      </w:r>
      <w:r w:rsidRPr="00885F53">
        <w:rPr>
          <w:vertAlign w:val="subscript"/>
        </w:rPr>
        <w:t>evaluate,NR_</w:t>
      </w:r>
      <w:r w:rsidRPr="00EE1704">
        <w:rPr>
          <w:vertAlign w:val="subscript"/>
        </w:rPr>
        <w:t xml:space="preserve"> </w:t>
      </w:r>
      <w:r w:rsidRPr="00885F53">
        <w:rPr>
          <w:vertAlign w:val="subscript"/>
        </w:rPr>
        <w:t>Inter</w:t>
      </w:r>
      <w:r>
        <w:rPr>
          <w:vertAlign w:val="subscript"/>
        </w:rPr>
        <w:t xml:space="preserve"> RedCap_Relax</w:t>
      </w:r>
      <w:r w:rsidRPr="008B51B4">
        <w:rPr>
          <w:lang w:val="en-US"/>
        </w:rPr>
        <w:t xml:space="preserve"> </w:t>
      </w:r>
      <w:r w:rsidRPr="00F74563">
        <w:rPr>
          <w:lang w:val="en-US"/>
        </w:rPr>
        <w:t xml:space="preserve">for UEs fulfilling </w:t>
      </w:r>
      <w:r>
        <w:rPr>
          <w:lang w:val="en-US" w:eastAsia="zh-CN"/>
        </w:rPr>
        <w:t xml:space="preserve">low mobility </w:t>
      </w:r>
      <w:r>
        <w:rPr>
          <w:lang w:val="en-US"/>
        </w:rPr>
        <w:t>criterion for 1 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3045"/>
        <w:gridCol w:w="3142"/>
        <w:gridCol w:w="1987"/>
      </w:tblGrid>
      <w:tr w:rsidR="00220A02" w:rsidRPr="00885F53" w14:paraId="4476D45E"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633BAC98" w14:textId="77777777" w:rsidR="00220A02" w:rsidRPr="00885F53" w:rsidRDefault="00220A02" w:rsidP="008B25C8">
            <w:pPr>
              <w:pStyle w:val="TAH"/>
            </w:pPr>
            <w:r w:rsidRPr="00885F53">
              <w:t>DRX cycle length [s]</w:t>
            </w:r>
          </w:p>
        </w:tc>
        <w:tc>
          <w:tcPr>
            <w:tcW w:w="0" w:type="auto"/>
            <w:tcBorders>
              <w:top w:val="single" w:sz="4" w:space="0" w:color="auto"/>
              <w:left w:val="single" w:sz="4" w:space="0" w:color="auto"/>
              <w:bottom w:val="single" w:sz="4" w:space="0" w:color="auto"/>
              <w:right w:val="single" w:sz="4" w:space="0" w:color="auto"/>
            </w:tcBorders>
            <w:hideMark/>
          </w:tcPr>
          <w:p w14:paraId="03592441" w14:textId="77777777" w:rsidR="00220A02" w:rsidRPr="00885F53" w:rsidRDefault="00220A02" w:rsidP="008B25C8">
            <w:pPr>
              <w:pStyle w:val="TAH"/>
            </w:pPr>
            <w:r w:rsidRPr="00885F53">
              <w:t>T</w:t>
            </w:r>
            <w:r w:rsidRPr="00885F53">
              <w:rPr>
                <w:vertAlign w:val="subscript"/>
              </w:rPr>
              <w:t>detect,NR_ Inter</w:t>
            </w:r>
            <w:r>
              <w:rPr>
                <w:vertAlign w:val="subscript"/>
              </w:rPr>
              <w:t xml:space="preserve"> RedCap_Relax</w:t>
            </w:r>
            <w:r w:rsidRPr="00885F53">
              <w:t xml:space="preserve"> [s] (number of DRX cycles)</w:t>
            </w:r>
          </w:p>
        </w:tc>
        <w:tc>
          <w:tcPr>
            <w:tcW w:w="0" w:type="auto"/>
            <w:tcBorders>
              <w:top w:val="single" w:sz="4" w:space="0" w:color="auto"/>
              <w:left w:val="single" w:sz="4" w:space="0" w:color="auto"/>
              <w:bottom w:val="single" w:sz="4" w:space="0" w:color="auto"/>
              <w:right w:val="single" w:sz="4" w:space="0" w:color="auto"/>
            </w:tcBorders>
            <w:hideMark/>
          </w:tcPr>
          <w:p w14:paraId="0DD08DB6" w14:textId="77777777" w:rsidR="00220A02" w:rsidRPr="00885F53" w:rsidRDefault="00220A02" w:rsidP="008B25C8">
            <w:pPr>
              <w:pStyle w:val="TAH"/>
            </w:pPr>
            <w:r w:rsidRPr="00885F53">
              <w:t>T</w:t>
            </w:r>
            <w:r w:rsidRPr="00885F53">
              <w:rPr>
                <w:vertAlign w:val="subscript"/>
              </w:rPr>
              <w:t>measure,NR_ Inter</w:t>
            </w:r>
            <w:r>
              <w:rPr>
                <w:vertAlign w:val="subscript"/>
              </w:rPr>
              <w:t xml:space="preserve"> RedCap_Relax</w:t>
            </w:r>
            <w:r w:rsidRPr="00885F53">
              <w:t xml:space="preserve"> [s] (number of DRX cycles)</w:t>
            </w:r>
          </w:p>
        </w:tc>
        <w:tc>
          <w:tcPr>
            <w:tcW w:w="0" w:type="auto"/>
            <w:tcBorders>
              <w:top w:val="single" w:sz="4" w:space="0" w:color="auto"/>
              <w:left w:val="single" w:sz="4" w:space="0" w:color="auto"/>
              <w:bottom w:val="single" w:sz="4" w:space="0" w:color="auto"/>
              <w:right w:val="single" w:sz="4" w:space="0" w:color="auto"/>
            </w:tcBorders>
            <w:hideMark/>
          </w:tcPr>
          <w:p w14:paraId="14D92628" w14:textId="77777777" w:rsidR="00220A02" w:rsidRPr="00885F53" w:rsidRDefault="00220A02" w:rsidP="008B25C8">
            <w:pPr>
              <w:pStyle w:val="TAH"/>
              <w:rPr>
                <w:vertAlign w:val="subscript"/>
              </w:rPr>
            </w:pPr>
            <w:r w:rsidRPr="00885F53">
              <w:t>T</w:t>
            </w:r>
            <w:r w:rsidRPr="00885F53">
              <w:rPr>
                <w:vertAlign w:val="subscript"/>
              </w:rPr>
              <w:t>evaluate,NR_ Inter</w:t>
            </w:r>
            <w:r>
              <w:rPr>
                <w:vertAlign w:val="subscript"/>
              </w:rPr>
              <w:t xml:space="preserve"> RedCap_Relax</w:t>
            </w:r>
          </w:p>
          <w:p w14:paraId="6999985B" w14:textId="77777777" w:rsidR="00220A02" w:rsidRPr="00885F53" w:rsidRDefault="00220A02" w:rsidP="008B25C8">
            <w:pPr>
              <w:pStyle w:val="TAH"/>
            </w:pPr>
            <w:r w:rsidRPr="00885F53">
              <w:t>[s] (number of DRX cycles)</w:t>
            </w:r>
          </w:p>
        </w:tc>
      </w:tr>
      <w:tr w:rsidR="00220A02" w:rsidRPr="00EA7096" w14:paraId="0E341AA5"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DBDF6E9" w14:textId="77777777" w:rsidR="00220A02" w:rsidRPr="00885F53" w:rsidRDefault="00220A02" w:rsidP="008B25C8">
            <w:pPr>
              <w:pStyle w:val="TAC"/>
            </w:pPr>
            <w:r w:rsidRPr="00885F53">
              <w:t>0.32</w:t>
            </w:r>
          </w:p>
        </w:tc>
        <w:tc>
          <w:tcPr>
            <w:tcW w:w="0" w:type="auto"/>
            <w:tcBorders>
              <w:top w:val="single" w:sz="4" w:space="0" w:color="auto"/>
              <w:left w:val="single" w:sz="4" w:space="0" w:color="auto"/>
              <w:bottom w:val="single" w:sz="4" w:space="0" w:color="auto"/>
              <w:right w:val="single" w:sz="4" w:space="0" w:color="auto"/>
            </w:tcBorders>
            <w:hideMark/>
          </w:tcPr>
          <w:p w14:paraId="1BB61D8A" w14:textId="77777777" w:rsidR="00220A02" w:rsidRPr="00950DA1" w:rsidRDefault="00220A02" w:rsidP="008B25C8">
            <w:pPr>
              <w:pStyle w:val="TAC"/>
              <w:rPr>
                <w:lang w:val="sv-SE"/>
              </w:rPr>
            </w:pPr>
            <w:r w:rsidRPr="00950DA1">
              <w:rPr>
                <w:lang w:val="sv-SE"/>
              </w:rPr>
              <w:t xml:space="preserve">11.52 x </w:t>
            </w:r>
            <w:r w:rsidRPr="000D108A">
              <w:rPr>
                <w:rFonts w:cs="Arial"/>
                <w:lang w:val="sv-SE" w:eastAsia="zh-CN"/>
              </w:rPr>
              <w:t xml:space="preserve">1.5 </w:t>
            </w:r>
            <w:r>
              <w:rPr>
                <w:rFonts w:cs="Arial"/>
                <w:lang w:val="sv-SE" w:eastAsia="zh-CN"/>
              </w:rPr>
              <w:t>x K1</w:t>
            </w:r>
            <w:r w:rsidRPr="00950DA1">
              <w:rPr>
                <w:rFonts w:cs="Arial"/>
                <w:lang w:val="sv-SE" w:eastAsia="zh-CN"/>
              </w:rPr>
              <w:t xml:space="preserve"> </w:t>
            </w:r>
            <w:r w:rsidRPr="00950DA1">
              <w:rPr>
                <w:lang w:val="sv-SE"/>
              </w:rPr>
              <w:t xml:space="preserve">(36 x </w:t>
            </w:r>
            <w:r w:rsidRPr="000D108A">
              <w:rPr>
                <w:rFonts w:cs="Arial"/>
                <w:lang w:val="sv-SE" w:eastAsia="zh-CN"/>
              </w:rPr>
              <w:t xml:space="preserve">1.5 </w:t>
            </w:r>
            <w:r>
              <w:rPr>
                <w:rFonts w:cs="Arial"/>
                <w:lang w:val="sv-SE" w:eastAsia="zh-CN"/>
              </w:rPr>
              <w:t>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34980941" w14:textId="77777777" w:rsidR="00220A02" w:rsidRPr="00950DA1" w:rsidRDefault="00220A02" w:rsidP="008B25C8">
            <w:pPr>
              <w:pStyle w:val="TAC"/>
              <w:rPr>
                <w:lang w:val="sv-SE"/>
              </w:rPr>
            </w:pPr>
            <w:r w:rsidRPr="00950DA1">
              <w:rPr>
                <w:lang w:val="sv-SE"/>
              </w:rPr>
              <w:t xml:space="preserve">1.28 x </w:t>
            </w:r>
            <w:r w:rsidRPr="000D108A">
              <w:rPr>
                <w:rFonts w:cs="Arial"/>
                <w:lang w:val="sv-SE" w:eastAsia="zh-CN"/>
              </w:rPr>
              <w:t xml:space="preserve">1.5 </w:t>
            </w:r>
            <w:r>
              <w:rPr>
                <w:rFonts w:cs="Arial"/>
                <w:lang w:val="sv-SE" w:eastAsia="zh-CN"/>
              </w:rPr>
              <w:t>x K1</w:t>
            </w:r>
            <w:r w:rsidRPr="00950DA1">
              <w:rPr>
                <w:rFonts w:cs="Arial"/>
                <w:snapToGrid w:val="0"/>
                <w:lang w:val="sv-SE"/>
              </w:rPr>
              <w:t xml:space="preserve"> </w:t>
            </w:r>
            <w:r w:rsidRPr="00950DA1">
              <w:rPr>
                <w:lang w:val="sv-SE"/>
              </w:rPr>
              <w:t xml:space="preserve">(4 x </w:t>
            </w:r>
            <w:r w:rsidRPr="000D108A">
              <w:rPr>
                <w:rFonts w:cs="Arial"/>
                <w:lang w:val="sv-SE" w:eastAsia="zh-CN"/>
              </w:rPr>
              <w:t xml:space="preserve">1.5 </w:t>
            </w:r>
            <w:r>
              <w:rPr>
                <w:rFonts w:cs="Arial"/>
                <w:lang w:val="sv-SE" w:eastAsia="zh-CN"/>
              </w:rPr>
              <w:t>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47A7DF73" w14:textId="77777777" w:rsidR="00220A02" w:rsidRPr="00950DA1" w:rsidRDefault="00220A02" w:rsidP="008B25C8">
            <w:pPr>
              <w:pStyle w:val="TAC"/>
              <w:rPr>
                <w:lang w:val="sv-SE"/>
              </w:rPr>
            </w:pPr>
            <w:r w:rsidRPr="00950DA1">
              <w:rPr>
                <w:lang w:val="sv-SE"/>
              </w:rPr>
              <w:t xml:space="preserve">5.12 x </w:t>
            </w:r>
            <w:r w:rsidRPr="000D108A">
              <w:rPr>
                <w:rFonts w:cs="Arial"/>
                <w:lang w:val="sv-SE" w:eastAsia="zh-CN"/>
              </w:rPr>
              <w:t xml:space="preserve">1.5 </w:t>
            </w:r>
            <w:r>
              <w:rPr>
                <w:rFonts w:cs="Arial"/>
                <w:lang w:val="sv-SE" w:eastAsia="zh-CN"/>
              </w:rPr>
              <w:t>x K1</w:t>
            </w:r>
            <w:r w:rsidRPr="00950DA1">
              <w:rPr>
                <w:rFonts w:cs="Arial"/>
                <w:snapToGrid w:val="0"/>
                <w:lang w:val="sv-SE"/>
              </w:rPr>
              <w:t xml:space="preserve"> </w:t>
            </w:r>
            <w:r w:rsidRPr="00950DA1">
              <w:rPr>
                <w:lang w:val="sv-SE"/>
              </w:rPr>
              <w:t xml:space="preserve">(16 x </w:t>
            </w:r>
            <w:r w:rsidRPr="000D108A">
              <w:rPr>
                <w:rFonts w:cs="Arial"/>
                <w:lang w:val="sv-SE" w:eastAsia="zh-CN"/>
              </w:rPr>
              <w:t xml:space="preserve">1.5 </w:t>
            </w:r>
            <w:r>
              <w:rPr>
                <w:rFonts w:cs="Arial"/>
                <w:lang w:val="sv-SE" w:eastAsia="zh-CN"/>
              </w:rPr>
              <w:t>x K1</w:t>
            </w:r>
            <w:r w:rsidRPr="00950DA1">
              <w:rPr>
                <w:lang w:val="sv-SE"/>
              </w:rPr>
              <w:t>)</w:t>
            </w:r>
          </w:p>
        </w:tc>
      </w:tr>
      <w:tr w:rsidR="00220A02" w:rsidRPr="00885F53" w14:paraId="41D7D5C1"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FEED393" w14:textId="77777777" w:rsidR="00220A02" w:rsidRPr="00885F53" w:rsidRDefault="00220A02" w:rsidP="008B25C8">
            <w:pPr>
              <w:pStyle w:val="TAC"/>
            </w:pPr>
            <w:r w:rsidRPr="00885F53">
              <w:t>0.64</w:t>
            </w:r>
          </w:p>
        </w:tc>
        <w:tc>
          <w:tcPr>
            <w:tcW w:w="0" w:type="auto"/>
            <w:tcBorders>
              <w:top w:val="single" w:sz="4" w:space="0" w:color="auto"/>
              <w:left w:val="single" w:sz="4" w:space="0" w:color="auto"/>
              <w:bottom w:val="single" w:sz="4" w:space="0" w:color="auto"/>
              <w:right w:val="single" w:sz="4" w:space="0" w:color="auto"/>
            </w:tcBorders>
            <w:hideMark/>
          </w:tcPr>
          <w:p w14:paraId="0837B1FB" w14:textId="77777777" w:rsidR="00220A02" w:rsidRPr="00885F53" w:rsidRDefault="00220A02" w:rsidP="008B25C8">
            <w:pPr>
              <w:pStyle w:val="TAC"/>
            </w:pPr>
            <w:r w:rsidRPr="00885F53">
              <w:t xml:space="preserve">17.92 x </w:t>
            </w:r>
            <w:r>
              <w:rPr>
                <w:rFonts w:cs="Arial"/>
                <w:lang w:val="sv-SE" w:eastAsia="zh-CN"/>
              </w:rPr>
              <w:t>K1</w:t>
            </w:r>
            <w:r w:rsidRPr="00885F53">
              <w:t xml:space="preserve"> (28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5BB39C29" w14:textId="77777777" w:rsidR="00220A02" w:rsidRPr="00885F53" w:rsidRDefault="00220A02" w:rsidP="008B25C8">
            <w:pPr>
              <w:pStyle w:val="TAC"/>
            </w:pPr>
            <w:r w:rsidRPr="00885F53">
              <w:t xml:space="preserve">1.28 x </w:t>
            </w:r>
            <w:r>
              <w:rPr>
                <w:rFonts w:cs="Arial"/>
                <w:lang w:val="sv-SE" w:eastAsia="zh-CN"/>
              </w:rPr>
              <w:t>K1</w:t>
            </w:r>
            <w:r w:rsidRPr="00885F53">
              <w:t xml:space="preserve"> (2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147AB0A8" w14:textId="77777777" w:rsidR="00220A02" w:rsidRPr="00885F53" w:rsidRDefault="00220A02" w:rsidP="008B25C8">
            <w:pPr>
              <w:pStyle w:val="TAC"/>
            </w:pPr>
            <w:r w:rsidRPr="00885F53">
              <w:t xml:space="preserve">5.12 x </w:t>
            </w:r>
            <w:r>
              <w:rPr>
                <w:rFonts w:cs="Arial"/>
                <w:lang w:val="sv-SE" w:eastAsia="zh-CN"/>
              </w:rPr>
              <w:t>K1</w:t>
            </w:r>
            <w:r w:rsidRPr="00885F53">
              <w:t xml:space="preserve"> (8 x </w:t>
            </w:r>
            <w:r>
              <w:rPr>
                <w:rFonts w:cs="Arial"/>
                <w:lang w:val="sv-SE" w:eastAsia="zh-CN"/>
              </w:rPr>
              <w:t>K1</w:t>
            </w:r>
            <w:r w:rsidRPr="00885F53">
              <w:t>)</w:t>
            </w:r>
          </w:p>
        </w:tc>
      </w:tr>
      <w:tr w:rsidR="00220A02" w:rsidRPr="00885F53" w14:paraId="5599C0CE"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03013D9" w14:textId="77777777" w:rsidR="00220A02" w:rsidRPr="00885F53" w:rsidRDefault="00220A02" w:rsidP="008B25C8">
            <w:pPr>
              <w:pStyle w:val="TAC"/>
            </w:pPr>
            <w:r w:rsidRPr="00885F53">
              <w:t>1.28</w:t>
            </w:r>
          </w:p>
        </w:tc>
        <w:tc>
          <w:tcPr>
            <w:tcW w:w="0" w:type="auto"/>
            <w:tcBorders>
              <w:top w:val="single" w:sz="4" w:space="0" w:color="auto"/>
              <w:left w:val="single" w:sz="4" w:space="0" w:color="auto"/>
              <w:bottom w:val="single" w:sz="4" w:space="0" w:color="auto"/>
              <w:right w:val="single" w:sz="4" w:space="0" w:color="auto"/>
            </w:tcBorders>
            <w:hideMark/>
          </w:tcPr>
          <w:p w14:paraId="1F76314B" w14:textId="77777777" w:rsidR="00220A02" w:rsidRPr="00885F53" w:rsidRDefault="00220A02" w:rsidP="008B25C8">
            <w:pPr>
              <w:pStyle w:val="TAC"/>
            </w:pPr>
            <w:r w:rsidRPr="00885F53">
              <w:t xml:space="preserve">32 x </w:t>
            </w:r>
            <w:r>
              <w:rPr>
                <w:rFonts w:cs="Arial"/>
                <w:lang w:val="sv-SE" w:eastAsia="zh-CN"/>
              </w:rPr>
              <w:t>K1</w:t>
            </w:r>
            <w:r w:rsidRPr="00885F53">
              <w:t xml:space="preserve"> (25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144DCC56" w14:textId="77777777" w:rsidR="00220A02" w:rsidRPr="00885F53" w:rsidRDefault="00220A02" w:rsidP="008B25C8">
            <w:pPr>
              <w:pStyle w:val="TAC"/>
            </w:pPr>
            <w:r w:rsidRPr="00885F53">
              <w:t xml:space="preserve">1.28 x </w:t>
            </w:r>
            <w:r>
              <w:rPr>
                <w:rFonts w:cs="Arial"/>
                <w:lang w:val="sv-SE" w:eastAsia="zh-CN"/>
              </w:rPr>
              <w:t>K1</w:t>
            </w:r>
            <w:r w:rsidRPr="00885F53">
              <w:t xml:space="preserve"> (1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07A4BAAA" w14:textId="77777777" w:rsidR="00220A02" w:rsidRPr="00885F53" w:rsidRDefault="00220A02" w:rsidP="008B25C8">
            <w:pPr>
              <w:pStyle w:val="TAC"/>
            </w:pPr>
            <w:r w:rsidRPr="00885F53">
              <w:t xml:space="preserve">6.4 x </w:t>
            </w:r>
            <w:r>
              <w:rPr>
                <w:rFonts w:cs="Arial"/>
                <w:lang w:val="sv-SE" w:eastAsia="zh-CN"/>
              </w:rPr>
              <w:t>K1</w:t>
            </w:r>
            <w:r w:rsidRPr="00885F53">
              <w:t xml:space="preserve"> (5 x </w:t>
            </w:r>
            <w:r>
              <w:rPr>
                <w:rFonts w:cs="Arial"/>
                <w:lang w:val="sv-SE" w:eastAsia="zh-CN"/>
              </w:rPr>
              <w:t>K1</w:t>
            </w:r>
            <w:r w:rsidRPr="00885F53">
              <w:t>)</w:t>
            </w:r>
          </w:p>
        </w:tc>
      </w:tr>
      <w:tr w:rsidR="00220A02" w:rsidRPr="00885F53" w14:paraId="2C506C75"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6868FC2" w14:textId="77777777" w:rsidR="00220A02" w:rsidRPr="00885F53" w:rsidRDefault="00220A02" w:rsidP="008B25C8">
            <w:pPr>
              <w:pStyle w:val="TAC"/>
            </w:pPr>
            <w:r w:rsidRPr="00885F53">
              <w:t>2.56</w:t>
            </w:r>
          </w:p>
        </w:tc>
        <w:tc>
          <w:tcPr>
            <w:tcW w:w="0" w:type="auto"/>
            <w:tcBorders>
              <w:top w:val="single" w:sz="4" w:space="0" w:color="auto"/>
              <w:left w:val="single" w:sz="4" w:space="0" w:color="auto"/>
              <w:bottom w:val="single" w:sz="4" w:space="0" w:color="auto"/>
              <w:right w:val="single" w:sz="4" w:space="0" w:color="auto"/>
            </w:tcBorders>
            <w:hideMark/>
          </w:tcPr>
          <w:p w14:paraId="7345AEAF" w14:textId="77777777" w:rsidR="00220A02" w:rsidRPr="00885F53" w:rsidRDefault="00220A02" w:rsidP="008B25C8">
            <w:pPr>
              <w:pStyle w:val="TAC"/>
            </w:pPr>
            <w:r w:rsidRPr="00885F53">
              <w:rPr>
                <w:rFonts w:cs="Arial"/>
                <w:lang w:eastAsia="zh-CN"/>
              </w:rPr>
              <w:t>58.88</w:t>
            </w:r>
            <w:r w:rsidRPr="00885F53">
              <w:t xml:space="preserve"> x </w:t>
            </w:r>
            <w:r>
              <w:rPr>
                <w:rFonts w:cs="Arial"/>
                <w:lang w:val="sv-SE" w:eastAsia="zh-CN"/>
              </w:rPr>
              <w:t>K1</w:t>
            </w:r>
            <w:r w:rsidRPr="00885F53">
              <w:t xml:space="preserve"> (23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534B6C07" w14:textId="77777777" w:rsidR="00220A02" w:rsidRPr="00885F53" w:rsidRDefault="00220A02" w:rsidP="008B25C8">
            <w:pPr>
              <w:pStyle w:val="TAC"/>
            </w:pPr>
            <w:r w:rsidRPr="00885F53">
              <w:t xml:space="preserve">2.56 x </w:t>
            </w:r>
            <w:r>
              <w:rPr>
                <w:rFonts w:cs="Arial"/>
                <w:lang w:val="sv-SE" w:eastAsia="zh-CN"/>
              </w:rPr>
              <w:t>K1</w:t>
            </w:r>
            <w:r w:rsidRPr="00885F53">
              <w:t xml:space="preserve"> (1 x </w:t>
            </w:r>
            <w:r>
              <w:rPr>
                <w:rFonts w:cs="Arial"/>
                <w:lang w:val="sv-SE" w:eastAsia="zh-CN"/>
              </w:rPr>
              <w:t>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0F7C3D82" w14:textId="77777777" w:rsidR="00220A02" w:rsidRPr="00885F53" w:rsidRDefault="00220A02" w:rsidP="008B25C8">
            <w:pPr>
              <w:pStyle w:val="TAC"/>
            </w:pPr>
            <w:r w:rsidRPr="00885F53">
              <w:t xml:space="preserve">7.68 x </w:t>
            </w:r>
            <w:r>
              <w:rPr>
                <w:rFonts w:cs="Arial"/>
                <w:lang w:val="sv-SE" w:eastAsia="zh-CN"/>
              </w:rPr>
              <w:t>K1</w:t>
            </w:r>
            <w:r w:rsidRPr="00885F53">
              <w:t xml:space="preserve"> (3 x </w:t>
            </w:r>
            <w:r>
              <w:rPr>
                <w:rFonts w:cs="Arial"/>
                <w:lang w:val="sv-SE" w:eastAsia="zh-CN"/>
              </w:rPr>
              <w:t>K1</w:t>
            </w:r>
            <w:r w:rsidRPr="00885F53">
              <w:t>)</w:t>
            </w:r>
          </w:p>
        </w:tc>
      </w:tr>
      <w:tr w:rsidR="00220A02" w:rsidRPr="00885F53" w14:paraId="3725E0EB" w14:textId="77777777" w:rsidTr="008B25C8">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245DA23E" w14:textId="77777777" w:rsidR="00220A02" w:rsidRPr="00885F53" w:rsidRDefault="00220A02" w:rsidP="008B25C8">
            <w:pPr>
              <w:pStyle w:val="TAN"/>
            </w:pPr>
            <w:r w:rsidRPr="00E9086F">
              <w:rPr>
                <w:snapToGrid w:val="0"/>
                <w:lang w:eastAsia="zh-CN"/>
              </w:rPr>
              <w:t xml:space="preserve">Note </w:t>
            </w:r>
            <w:r>
              <w:rPr>
                <w:snapToGrid w:val="0"/>
                <w:lang w:eastAsia="zh-CN"/>
              </w:rPr>
              <w:t>1</w:t>
            </w:r>
            <w:r w:rsidRPr="00E9086F">
              <w:rPr>
                <w:snapToGrid w:val="0"/>
                <w:lang w:eastAsia="zh-CN"/>
              </w:rPr>
              <w:t>:</w:t>
            </w:r>
            <w:r w:rsidRPr="00885F53">
              <w:rPr>
                <w:lang w:val="en-US"/>
              </w:rPr>
              <w:tab/>
            </w:r>
            <w:r w:rsidRPr="00E9086F">
              <w:rPr>
                <w:snapToGrid w:val="0"/>
                <w:lang w:eastAsia="zh-CN"/>
              </w:rPr>
              <w:t>K1 = 3</w:t>
            </w:r>
            <w:r w:rsidRPr="007C2D19">
              <w:rPr>
                <w:snapToGrid w:val="0"/>
                <w:lang w:eastAsia="zh-CN"/>
              </w:rPr>
              <w:t xml:space="preserve"> is</w:t>
            </w:r>
            <w:r w:rsidRPr="00C33767">
              <w:rPr>
                <w:snapToGrid w:val="0"/>
                <w:lang w:eastAsia="zh-CN"/>
              </w:rPr>
              <w:t xml:space="preserve"> the measu</w:t>
            </w:r>
            <w:r>
              <w:rPr>
                <w:snapToGrid w:val="0"/>
                <w:lang w:eastAsia="zh-CN"/>
              </w:rPr>
              <w:t xml:space="preserve">rement relaxation factor applicable for UE fulfilling the </w:t>
            </w:r>
            <w:r w:rsidRPr="00485479">
              <w:rPr>
                <w:i/>
                <w:iCs/>
                <w:lang w:eastAsia="zh-CN"/>
              </w:rPr>
              <w:t>cellEdgeEvaluation</w:t>
            </w:r>
            <w:r>
              <w:rPr>
                <w:i/>
                <w:iCs/>
                <w:lang w:eastAsia="zh-CN"/>
              </w:rPr>
              <w:t xml:space="preserve"> </w:t>
            </w:r>
            <w:r>
              <w:rPr>
                <w:lang w:eastAsia="zh-CN"/>
              </w:rPr>
              <w:t>[2]</w:t>
            </w:r>
            <w:r>
              <w:rPr>
                <w:snapToGrid w:val="0"/>
                <w:lang w:eastAsia="zh-CN"/>
              </w:rPr>
              <w:t xml:space="preserve"> criterion.</w:t>
            </w:r>
          </w:p>
        </w:tc>
      </w:tr>
    </w:tbl>
    <w:p w14:paraId="2ABADDF8" w14:textId="77777777" w:rsidR="004170C7" w:rsidRDefault="004170C7" w:rsidP="004170C7"/>
    <w:p w14:paraId="43325A48" w14:textId="559E088D" w:rsidR="00220A02" w:rsidRDefault="00220A02" w:rsidP="004170C7">
      <w:pPr>
        <w:pStyle w:val="TH"/>
      </w:pPr>
      <w:r w:rsidRPr="00885F53">
        <w:t xml:space="preserve">Table </w:t>
      </w:r>
      <w:r>
        <w:t>4.2B.2.10.10</w:t>
      </w:r>
      <w:r w:rsidRPr="00885F53">
        <w:t>-</w:t>
      </w:r>
      <w:r>
        <w:t>2</w:t>
      </w:r>
      <w:r w:rsidRPr="00885F53">
        <w:t>: T</w:t>
      </w:r>
      <w:r w:rsidRPr="00885F53">
        <w:rPr>
          <w:vertAlign w:val="subscript"/>
        </w:rPr>
        <w:t>detect,NR_</w:t>
      </w:r>
      <w:r w:rsidRPr="00EE1704">
        <w:rPr>
          <w:vertAlign w:val="subscript"/>
        </w:rPr>
        <w:t xml:space="preserve"> </w:t>
      </w:r>
      <w:r w:rsidRPr="00885F53">
        <w:rPr>
          <w:vertAlign w:val="subscript"/>
        </w:rPr>
        <w:t>Inter</w:t>
      </w:r>
      <w:r>
        <w:rPr>
          <w:vertAlign w:val="subscript"/>
        </w:rPr>
        <w:t>_RedCap_Relax</w:t>
      </w:r>
      <w:r w:rsidRPr="00885F53">
        <w:rPr>
          <w:vertAlign w:val="subscript"/>
        </w:rPr>
        <w:t>,</w:t>
      </w:r>
      <w:r w:rsidRPr="00885F53">
        <w:t xml:space="preserve"> T</w:t>
      </w:r>
      <w:r w:rsidRPr="00885F53">
        <w:rPr>
          <w:vertAlign w:val="subscript"/>
        </w:rPr>
        <w:t>measure,NR_</w:t>
      </w:r>
      <w:r w:rsidRPr="00EE1704">
        <w:rPr>
          <w:vertAlign w:val="subscript"/>
        </w:rPr>
        <w:t xml:space="preserve"> </w:t>
      </w:r>
      <w:r w:rsidRPr="00885F53">
        <w:rPr>
          <w:vertAlign w:val="subscript"/>
        </w:rPr>
        <w:t>Inter</w:t>
      </w:r>
      <w:r>
        <w:rPr>
          <w:vertAlign w:val="subscript"/>
        </w:rPr>
        <w:t xml:space="preserve"> RedCap_Relax</w:t>
      </w:r>
      <w:r w:rsidRPr="00885F53">
        <w:t xml:space="preserve"> and T</w:t>
      </w:r>
      <w:r w:rsidRPr="00885F53">
        <w:rPr>
          <w:vertAlign w:val="subscript"/>
        </w:rPr>
        <w:t>evaluate,NR_</w:t>
      </w:r>
      <w:r w:rsidRPr="00EE1704">
        <w:rPr>
          <w:vertAlign w:val="subscript"/>
        </w:rPr>
        <w:t xml:space="preserve"> </w:t>
      </w:r>
      <w:r w:rsidRPr="00885F53">
        <w:rPr>
          <w:vertAlign w:val="subscript"/>
        </w:rPr>
        <w:t>Inter</w:t>
      </w:r>
      <w:r>
        <w:rPr>
          <w:vertAlign w:val="subscript"/>
        </w:rPr>
        <w:t xml:space="preserve"> RedCap_Relax</w:t>
      </w:r>
      <w:r w:rsidRPr="008B51B4">
        <w:rPr>
          <w:lang w:val="en-US"/>
        </w:rPr>
        <w:t xml:space="preserve"> </w:t>
      </w:r>
      <w:r w:rsidRPr="00F74563">
        <w:rPr>
          <w:lang w:val="en-US"/>
        </w:rPr>
        <w:t xml:space="preserve">for UEs fulfilling </w:t>
      </w:r>
      <w:r>
        <w:rPr>
          <w:lang w:val="en-US" w:eastAsia="zh-CN"/>
        </w:rPr>
        <w:t xml:space="preserve">low mobility </w:t>
      </w:r>
      <w:r>
        <w:rPr>
          <w:lang w:val="en-US"/>
        </w:rPr>
        <w:t>criterion for 2 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617"/>
        <w:gridCol w:w="987"/>
        <w:gridCol w:w="2366"/>
        <w:gridCol w:w="2443"/>
        <w:gridCol w:w="2000"/>
      </w:tblGrid>
      <w:tr w:rsidR="00220A02" w:rsidRPr="00885F53" w14:paraId="59741984"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7DBE5DDC" w14:textId="77777777" w:rsidR="00220A02" w:rsidRPr="00885F53" w:rsidRDefault="00220A02" w:rsidP="008B25C8">
            <w:pPr>
              <w:pStyle w:val="TAH"/>
            </w:pPr>
            <w:r w:rsidRPr="00885F53">
              <w:t>DRX cycle length [s]</w:t>
            </w:r>
          </w:p>
        </w:tc>
        <w:tc>
          <w:tcPr>
            <w:tcW w:w="0" w:type="auto"/>
            <w:gridSpan w:val="2"/>
            <w:tcBorders>
              <w:top w:val="single" w:sz="4" w:space="0" w:color="auto"/>
              <w:left w:val="single" w:sz="4" w:space="0" w:color="auto"/>
              <w:bottom w:val="single" w:sz="4" w:space="0" w:color="auto"/>
              <w:right w:val="single" w:sz="4" w:space="0" w:color="auto"/>
            </w:tcBorders>
            <w:hideMark/>
          </w:tcPr>
          <w:p w14:paraId="0B23BBBC" w14:textId="77777777" w:rsidR="00220A02" w:rsidRPr="00885F53" w:rsidRDefault="00220A02" w:rsidP="008B25C8">
            <w:pPr>
              <w:pStyle w:val="TAH"/>
            </w:pPr>
            <w:r w:rsidRPr="00885F53">
              <w:t>Scaling Factor (N1)</w:t>
            </w:r>
          </w:p>
        </w:tc>
        <w:tc>
          <w:tcPr>
            <w:tcW w:w="0" w:type="auto"/>
            <w:vMerge w:val="restart"/>
            <w:tcBorders>
              <w:top w:val="single" w:sz="4" w:space="0" w:color="auto"/>
              <w:left w:val="single" w:sz="4" w:space="0" w:color="auto"/>
              <w:bottom w:val="single" w:sz="4" w:space="0" w:color="auto"/>
              <w:right w:val="single" w:sz="4" w:space="0" w:color="auto"/>
            </w:tcBorders>
            <w:hideMark/>
          </w:tcPr>
          <w:p w14:paraId="74E5C3AE" w14:textId="77777777" w:rsidR="00220A02" w:rsidRPr="00885F53" w:rsidRDefault="00220A02" w:rsidP="008B25C8">
            <w:pPr>
              <w:pStyle w:val="TAH"/>
            </w:pPr>
            <w:r w:rsidRPr="00885F53">
              <w:t>T</w:t>
            </w:r>
            <w:r w:rsidRPr="00885F53">
              <w:rPr>
                <w:vertAlign w:val="subscript"/>
              </w:rPr>
              <w:t>detect,NR_ Inter</w:t>
            </w:r>
            <w:r>
              <w:rPr>
                <w:vertAlign w:val="subscript"/>
              </w:rPr>
              <w:t xml:space="preserve"> RedCap_Relax</w:t>
            </w:r>
            <w:r w:rsidRPr="00885F53">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2D90E6BE" w14:textId="77777777" w:rsidR="00220A02" w:rsidRPr="00885F53" w:rsidRDefault="00220A02" w:rsidP="008B25C8">
            <w:pPr>
              <w:pStyle w:val="TAH"/>
            </w:pPr>
            <w:r w:rsidRPr="00885F53">
              <w:t>T</w:t>
            </w:r>
            <w:r w:rsidRPr="00885F53">
              <w:rPr>
                <w:vertAlign w:val="subscript"/>
              </w:rPr>
              <w:t>measure,NR_ Inter</w:t>
            </w:r>
            <w:r>
              <w:rPr>
                <w:vertAlign w:val="subscript"/>
              </w:rPr>
              <w:t xml:space="preserve"> RedCap_Relax</w:t>
            </w:r>
            <w:r w:rsidRPr="00885F53">
              <w:t xml:space="preserve"> [s] (number of DRX 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2AF0DCAB" w14:textId="77777777" w:rsidR="00220A02" w:rsidRPr="00885F53" w:rsidRDefault="00220A02" w:rsidP="008B25C8">
            <w:pPr>
              <w:pStyle w:val="TAH"/>
              <w:rPr>
                <w:vertAlign w:val="subscript"/>
              </w:rPr>
            </w:pPr>
            <w:r w:rsidRPr="00885F53">
              <w:t>T</w:t>
            </w:r>
            <w:r w:rsidRPr="00885F53">
              <w:rPr>
                <w:vertAlign w:val="subscript"/>
              </w:rPr>
              <w:t>evaluate,NR_ Inter</w:t>
            </w:r>
            <w:r>
              <w:rPr>
                <w:vertAlign w:val="subscript"/>
              </w:rPr>
              <w:t xml:space="preserve"> RedCap_Relax</w:t>
            </w:r>
          </w:p>
          <w:p w14:paraId="754E5732" w14:textId="77777777" w:rsidR="00220A02" w:rsidRPr="00885F53" w:rsidRDefault="00220A02" w:rsidP="008B25C8">
            <w:pPr>
              <w:pStyle w:val="TAH"/>
            </w:pPr>
            <w:r w:rsidRPr="00885F53">
              <w:t>[s] (number of DRX cycles)</w:t>
            </w:r>
          </w:p>
        </w:tc>
      </w:tr>
      <w:tr w:rsidR="00220A02" w:rsidRPr="00885F53" w14:paraId="527E5E1E" w14:textId="77777777" w:rsidTr="008B25C8">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603BCA3" w14:textId="77777777" w:rsidR="00220A02" w:rsidRPr="00885F53" w:rsidRDefault="00220A02" w:rsidP="008B25C8">
            <w:pPr>
              <w:pStyle w:val="TAH"/>
            </w:pPr>
          </w:p>
        </w:tc>
        <w:tc>
          <w:tcPr>
            <w:tcW w:w="0" w:type="auto"/>
            <w:tcBorders>
              <w:top w:val="single" w:sz="4" w:space="0" w:color="auto"/>
              <w:left w:val="single" w:sz="4" w:space="0" w:color="auto"/>
              <w:bottom w:val="single" w:sz="4" w:space="0" w:color="auto"/>
              <w:right w:val="single" w:sz="4" w:space="0" w:color="auto"/>
            </w:tcBorders>
            <w:hideMark/>
          </w:tcPr>
          <w:p w14:paraId="68689154" w14:textId="77777777" w:rsidR="00220A02" w:rsidRPr="00885F53" w:rsidRDefault="00220A02" w:rsidP="008B25C8">
            <w:pPr>
              <w:pStyle w:val="TAH"/>
            </w:pPr>
            <w:r w:rsidRPr="00885F53">
              <w:t>FR1</w:t>
            </w:r>
          </w:p>
        </w:tc>
        <w:tc>
          <w:tcPr>
            <w:tcW w:w="0" w:type="auto"/>
            <w:tcBorders>
              <w:top w:val="single" w:sz="4" w:space="0" w:color="auto"/>
              <w:left w:val="single" w:sz="4" w:space="0" w:color="auto"/>
              <w:bottom w:val="single" w:sz="4" w:space="0" w:color="auto"/>
              <w:right w:val="single" w:sz="4" w:space="0" w:color="auto"/>
            </w:tcBorders>
            <w:hideMark/>
          </w:tcPr>
          <w:p w14:paraId="0E9C34BC" w14:textId="77777777" w:rsidR="00220A02" w:rsidRPr="00885F53" w:rsidRDefault="00220A02" w:rsidP="008B25C8">
            <w:pPr>
              <w:pStyle w:val="TAH"/>
              <w:rPr>
                <w:vertAlign w:val="superscript"/>
              </w:rPr>
            </w:pPr>
            <w:r w:rsidRPr="00885F53">
              <w:t>FR2</w:t>
            </w:r>
            <w:r w:rsidRPr="00885F53">
              <w:rPr>
                <w:vertAlign w:val="superscript"/>
              </w:rPr>
              <w:t>Note1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9FD562" w14:textId="77777777" w:rsidR="00220A02" w:rsidRPr="00885F53" w:rsidRDefault="00220A02"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C9D636" w14:textId="77777777" w:rsidR="00220A02" w:rsidRPr="00885F53" w:rsidRDefault="00220A02"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2BA5A5" w14:textId="77777777" w:rsidR="00220A02" w:rsidRPr="00885F53" w:rsidRDefault="00220A02" w:rsidP="008B25C8">
            <w:pPr>
              <w:pStyle w:val="TAH"/>
            </w:pPr>
          </w:p>
        </w:tc>
      </w:tr>
      <w:tr w:rsidR="00220A02" w:rsidRPr="00EA7096" w14:paraId="37F8A762"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4ED810F" w14:textId="77777777" w:rsidR="00220A02" w:rsidRPr="00885F53" w:rsidRDefault="00220A02" w:rsidP="008B25C8">
            <w:pPr>
              <w:pStyle w:val="TAC"/>
            </w:pPr>
            <w:r w:rsidRPr="00885F53">
              <w:t>0.32</w:t>
            </w:r>
          </w:p>
        </w:tc>
        <w:tc>
          <w:tcPr>
            <w:tcW w:w="0" w:type="auto"/>
            <w:tcBorders>
              <w:top w:val="single" w:sz="4" w:space="0" w:color="auto"/>
              <w:left w:val="single" w:sz="4" w:space="0" w:color="auto"/>
              <w:bottom w:val="nil"/>
              <w:right w:val="single" w:sz="4" w:space="0" w:color="auto"/>
            </w:tcBorders>
            <w:hideMark/>
          </w:tcPr>
          <w:p w14:paraId="367D0653" w14:textId="77777777" w:rsidR="00220A02" w:rsidRPr="00885F53" w:rsidRDefault="00220A02" w:rsidP="008B25C8">
            <w:pPr>
              <w:pStyle w:val="TAC"/>
            </w:pPr>
            <w:r w:rsidRPr="00885F53">
              <w:t>1</w:t>
            </w:r>
          </w:p>
        </w:tc>
        <w:tc>
          <w:tcPr>
            <w:tcW w:w="0" w:type="auto"/>
            <w:tcBorders>
              <w:top w:val="single" w:sz="4" w:space="0" w:color="auto"/>
              <w:left w:val="single" w:sz="4" w:space="0" w:color="auto"/>
              <w:bottom w:val="single" w:sz="4" w:space="0" w:color="auto"/>
              <w:right w:val="single" w:sz="4" w:space="0" w:color="auto"/>
            </w:tcBorders>
            <w:hideMark/>
          </w:tcPr>
          <w:p w14:paraId="75686AE0" w14:textId="77777777" w:rsidR="00220A02" w:rsidRPr="00885F53" w:rsidRDefault="00220A02" w:rsidP="008B25C8">
            <w:pPr>
              <w:pStyle w:val="TAC"/>
            </w:pPr>
            <w:r w:rsidRPr="00885F53">
              <w:t>8</w:t>
            </w:r>
          </w:p>
        </w:tc>
        <w:tc>
          <w:tcPr>
            <w:tcW w:w="0" w:type="auto"/>
            <w:tcBorders>
              <w:top w:val="single" w:sz="4" w:space="0" w:color="auto"/>
              <w:left w:val="single" w:sz="4" w:space="0" w:color="auto"/>
              <w:bottom w:val="single" w:sz="4" w:space="0" w:color="auto"/>
              <w:right w:val="single" w:sz="4" w:space="0" w:color="auto"/>
            </w:tcBorders>
            <w:hideMark/>
          </w:tcPr>
          <w:p w14:paraId="41D91394" w14:textId="77777777" w:rsidR="00220A02" w:rsidRPr="00950DA1" w:rsidRDefault="00220A02" w:rsidP="008B25C8">
            <w:pPr>
              <w:pStyle w:val="TAC"/>
              <w:rPr>
                <w:lang w:val="sv-SE"/>
              </w:rPr>
            </w:pPr>
            <w:r w:rsidRPr="00950DA1">
              <w:rPr>
                <w:lang w:val="sv-SE"/>
              </w:rPr>
              <w:t xml:space="preserve">11.52 x N1 </w:t>
            </w:r>
            <w:r w:rsidRPr="00950DA1">
              <w:rPr>
                <w:rFonts w:cs="Arial"/>
                <w:lang w:val="sv-SE" w:eastAsia="zh-CN"/>
              </w:rPr>
              <w:t xml:space="preserve">x </w:t>
            </w:r>
            <w:r w:rsidRPr="000D108A">
              <w:rPr>
                <w:rFonts w:cs="Arial"/>
                <w:lang w:val="sv-SE" w:eastAsia="zh-CN"/>
              </w:rPr>
              <w:t xml:space="preserve">1.5 </w:t>
            </w:r>
            <w:r>
              <w:rPr>
                <w:rFonts w:cs="Arial"/>
                <w:lang w:val="sv-SE" w:eastAsia="zh-CN"/>
              </w:rPr>
              <w:t>x K1</w:t>
            </w:r>
            <w:r w:rsidRPr="00950DA1">
              <w:rPr>
                <w:rFonts w:cs="Arial"/>
                <w:lang w:val="sv-SE" w:eastAsia="zh-CN"/>
              </w:rPr>
              <w:t xml:space="preserve"> </w:t>
            </w:r>
            <w:r w:rsidRPr="00950DA1">
              <w:rPr>
                <w:lang w:val="sv-SE"/>
              </w:rPr>
              <w:t>(36 x N1</w:t>
            </w:r>
            <w:r w:rsidRPr="00950DA1">
              <w:rPr>
                <w:rFonts w:cs="Arial"/>
                <w:lang w:val="sv-SE" w:eastAsia="zh-CN"/>
              </w:rPr>
              <w:t xml:space="preserve"> x </w:t>
            </w:r>
            <w:r w:rsidRPr="000D108A">
              <w:rPr>
                <w:rFonts w:cs="Arial"/>
                <w:lang w:val="sv-SE" w:eastAsia="zh-CN"/>
              </w:rPr>
              <w:t xml:space="preserve">1.5 </w:t>
            </w:r>
            <w:r>
              <w:rPr>
                <w:rFonts w:cs="Arial"/>
                <w:lang w:val="sv-SE" w:eastAsia="zh-CN"/>
              </w:rPr>
              <w:t>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3FD0E683" w14:textId="77777777" w:rsidR="00220A02" w:rsidRPr="00950DA1" w:rsidRDefault="00220A02" w:rsidP="008B25C8">
            <w:pPr>
              <w:pStyle w:val="TAC"/>
              <w:rPr>
                <w:lang w:val="sv-SE"/>
              </w:rPr>
            </w:pPr>
            <w:r w:rsidRPr="00950DA1">
              <w:rPr>
                <w:lang w:val="sv-SE"/>
              </w:rPr>
              <w:t xml:space="preserve">1.28 x N1 </w:t>
            </w:r>
            <w:r w:rsidRPr="00950DA1">
              <w:rPr>
                <w:rFonts w:cs="Arial"/>
                <w:lang w:val="sv-SE" w:eastAsia="zh-CN"/>
              </w:rPr>
              <w:t xml:space="preserve">x </w:t>
            </w:r>
            <w:r w:rsidRPr="000D108A">
              <w:rPr>
                <w:rFonts w:cs="Arial"/>
                <w:lang w:val="sv-SE" w:eastAsia="zh-CN"/>
              </w:rPr>
              <w:t xml:space="preserve">1.5 </w:t>
            </w:r>
            <w:r>
              <w:rPr>
                <w:rFonts w:cs="Arial"/>
                <w:lang w:val="sv-SE" w:eastAsia="zh-CN"/>
              </w:rPr>
              <w:t>x K1</w:t>
            </w:r>
            <w:r w:rsidRPr="00950DA1">
              <w:rPr>
                <w:rFonts w:cs="Arial"/>
                <w:snapToGrid w:val="0"/>
                <w:lang w:val="sv-SE"/>
              </w:rPr>
              <w:t xml:space="preserve"> </w:t>
            </w:r>
            <w:r w:rsidRPr="00950DA1">
              <w:rPr>
                <w:lang w:val="sv-SE"/>
              </w:rPr>
              <w:t>(4 x N1</w:t>
            </w:r>
            <w:r w:rsidRPr="00950DA1">
              <w:rPr>
                <w:rFonts w:cs="Arial"/>
                <w:lang w:val="sv-SE" w:eastAsia="zh-CN"/>
              </w:rPr>
              <w:t xml:space="preserve"> x </w:t>
            </w:r>
            <w:r w:rsidRPr="000D108A">
              <w:rPr>
                <w:rFonts w:cs="Arial"/>
                <w:lang w:val="sv-SE" w:eastAsia="zh-CN"/>
              </w:rPr>
              <w:t xml:space="preserve">1.5 </w:t>
            </w:r>
            <w:r>
              <w:rPr>
                <w:rFonts w:cs="Arial"/>
                <w:lang w:val="sv-SE" w:eastAsia="zh-CN"/>
              </w:rPr>
              <w:t>x K1</w:t>
            </w:r>
            <w:r w:rsidRPr="00950DA1">
              <w:rPr>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4C280FF2" w14:textId="77777777" w:rsidR="00220A02" w:rsidRPr="00950DA1" w:rsidRDefault="00220A02" w:rsidP="008B25C8">
            <w:pPr>
              <w:pStyle w:val="TAC"/>
              <w:rPr>
                <w:lang w:val="sv-SE"/>
              </w:rPr>
            </w:pPr>
            <w:r w:rsidRPr="00950DA1">
              <w:rPr>
                <w:lang w:val="sv-SE"/>
              </w:rPr>
              <w:t xml:space="preserve">5.12 x N1 </w:t>
            </w:r>
            <w:r w:rsidRPr="00950DA1">
              <w:rPr>
                <w:rFonts w:cs="Arial"/>
                <w:lang w:val="sv-SE" w:eastAsia="zh-CN"/>
              </w:rPr>
              <w:t xml:space="preserve">x </w:t>
            </w:r>
            <w:r w:rsidRPr="000D108A">
              <w:rPr>
                <w:rFonts w:cs="Arial"/>
                <w:lang w:val="sv-SE" w:eastAsia="zh-CN"/>
              </w:rPr>
              <w:t xml:space="preserve">1.5 </w:t>
            </w:r>
            <w:r>
              <w:rPr>
                <w:rFonts w:cs="Arial"/>
                <w:lang w:val="sv-SE" w:eastAsia="zh-CN"/>
              </w:rPr>
              <w:t>x K1</w:t>
            </w:r>
            <w:r w:rsidRPr="00950DA1">
              <w:rPr>
                <w:rFonts w:cs="Arial"/>
                <w:snapToGrid w:val="0"/>
                <w:lang w:val="sv-SE"/>
              </w:rPr>
              <w:t xml:space="preserve"> </w:t>
            </w:r>
            <w:r w:rsidRPr="00950DA1">
              <w:rPr>
                <w:lang w:val="sv-SE"/>
              </w:rPr>
              <w:t>(16 x N1</w:t>
            </w:r>
            <w:r w:rsidRPr="00950DA1">
              <w:rPr>
                <w:rFonts w:cs="Arial"/>
                <w:lang w:val="sv-SE" w:eastAsia="zh-CN"/>
              </w:rPr>
              <w:t xml:space="preserve"> x </w:t>
            </w:r>
            <w:r w:rsidRPr="000D108A">
              <w:rPr>
                <w:rFonts w:cs="Arial"/>
                <w:lang w:val="sv-SE" w:eastAsia="zh-CN"/>
              </w:rPr>
              <w:t xml:space="preserve">1.5 </w:t>
            </w:r>
            <w:r>
              <w:rPr>
                <w:rFonts w:cs="Arial"/>
                <w:lang w:val="sv-SE" w:eastAsia="zh-CN"/>
              </w:rPr>
              <w:t>x K1</w:t>
            </w:r>
            <w:r w:rsidRPr="00950DA1">
              <w:rPr>
                <w:lang w:val="sv-SE"/>
              </w:rPr>
              <w:t>)</w:t>
            </w:r>
          </w:p>
        </w:tc>
      </w:tr>
      <w:tr w:rsidR="00220A02" w:rsidRPr="00885F53" w14:paraId="7BFD9B03"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93A26BA" w14:textId="77777777" w:rsidR="00220A02" w:rsidRPr="00885F53" w:rsidRDefault="00220A02" w:rsidP="008B25C8">
            <w:pPr>
              <w:pStyle w:val="TAC"/>
            </w:pPr>
            <w:r w:rsidRPr="00885F53">
              <w:t>0.64</w:t>
            </w:r>
          </w:p>
        </w:tc>
        <w:tc>
          <w:tcPr>
            <w:tcW w:w="0" w:type="auto"/>
            <w:tcBorders>
              <w:top w:val="nil"/>
              <w:left w:val="single" w:sz="4" w:space="0" w:color="auto"/>
              <w:bottom w:val="nil"/>
              <w:right w:val="single" w:sz="4" w:space="0" w:color="auto"/>
            </w:tcBorders>
            <w:hideMark/>
          </w:tcPr>
          <w:p w14:paraId="26EC9C64" w14:textId="77777777" w:rsidR="00220A02" w:rsidRPr="00885F53" w:rsidRDefault="00220A02" w:rsidP="008B25C8">
            <w:pPr>
              <w:pStyle w:val="TAC"/>
            </w:pPr>
          </w:p>
        </w:tc>
        <w:tc>
          <w:tcPr>
            <w:tcW w:w="0" w:type="auto"/>
            <w:tcBorders>
              <w:top w:val="single" w:sz="4" w:space="0" w:color="auto"/>
              <w:left w:val="single" w:sz="4" w:space="0" w:color="auto"/>
              <w:bottom w:val="single" w:sz="4" w:space="0" w:color="auto"/>
              <w:right w:val="single" w:sz="4" w:space="0" w:color="auto"/>
            </w:tcBorders>
            <w:hideMark/>
          </w:tcPr>
          <w:p w14:paraId="5E38749B" w14:textId="77777777" w:rsidR="00220A02" w:rsidRPr="00885F53" w:rsidRDefault="00220A02" w:rsidP="008B25C8">
            <w:pPr>
              <w:pStyle w:val="TAC"/>
            </w:pPr>
            <w:r w:rsidRPr="00885F53">
              <w:t>5</w:t>
            </w:r>
          </w:p>
        </w:tc>
        <w:tc>
          <w:tcPr>
            <w:tcW w:w="0" w:type="auto"/>
            <w:tcBorders>
              <w:top w:val="single" w:sz="4" w:space="0" w:color="auto"/>
              <w:left w:val="single" w:sz="4" w:space="0" w:color="auto"/>
              <w:bottom w:val="single" w:sz="4" w:space="0" w:color="auto"/>
              <w:right w:val="single" w:sz="4" w:space="0" w:color="auto"/>
            </w:tcBorders>
            <w:hideMark/>
          </w:tcPr>
          <w:p w14:paraId="36DE34B4" w14:textId="77777777" w:rsidR="00220A02" w:rsidRPr="00885F53" w:rsidRDefault="00220A02" w:rsidP="008B25C8">
            <w:pPr>
              <w:pStyle w:val="TAC"/>
            </w:pPr>
            <w:r w:rsidRPr="00885F53">
              <w:t>17.92 x N1</w:t>
            </w:r>
            <w:r>
              <w:rPr>
                <w:rFonts w:cs="Arial"/>
                <w:lang w:val="sv-SE" w:eastAsia="zh-CN"/>
              </w:rPr>
              <w:t xml:space="preserve"> x K1</w:t>
            </w:r>
            <w:r w:rsidRPr="00885F53">
              <w:t xml:space="preserve"> (28 x N1</w:t>
            </w:r>
            <w:r>
              <w:t xml:space="preserve"> </w:t>
            </w:r>
            <w:r>
              <w:rPr>
                <w:rFonts w:cs="Arial"/>
                <w:lang w:val="sv-SE" w:eastAsia="zh-CN"/>
              </w:rPr>
              <w:t>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0598A16E" w14:textId="77777777" w:rsidR="00220A02" w:rsidRPr="00885F53" w:rsidRDefault="00220A02" w:rsidP="008B25C8">
            <w:pPr>
              <w:pStyle w:val="TAC"/>
            </w:pPr>
            <w:r w:rsidRPr="00885F53">
              <w:t>1.28 x N1</w:t>
            </w:r>
            <w:r>
              <w:rPr>
                <w:rFonts w:cs="Arial"/>
                <w:lang w:val="sv-SE" w:eastAsia="zh-CN"/>
              </w:rPr>
              <w:t xml:space="preserve"> x K1</w:t>
            </w:r>
            <w:r w:rsidRPr="00885F53">
              <w:t xml:space="preserve"> (2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4B75A9BD" w14:textId="77777777" w:rsidR="00220A02" w:rsidRPr="00885F53" w:rsidRDefault="00220A02" w:rsidP="008B25C8">
            <w:pPr>
              <w:pStyle w:val="TAC"/>
            </w:pPr>
            <w:r w:rsidRPr="00885F53">
              <w:t>5.12 x N1</w:t>
            </w:r>
            <w:r>
              <w:rPr>
                <w:rFonts w:cs="Arial"/>
                <w:lang w:val="sv-SE" w:eastAsia="zh-CN"/>
              </w:rPr>
              <w:t xml:space="preserve"> x K1</w:t>
            </w:r>
            <w:r w:rsidRPr="00885F53">
              <w:t xml:space="preserve"> (8 x N1</w:t>
            </w:r>
            <w:r>
              <w:rPr>
                <w:rFonts w:cs="Arial"/>
                <w:lang w:val="sv-SE" w:eastAsia="zh-CN"/>
              </w:rPr>
              <w:t xml:space="preserve"> x K1</w:t>
            </w:r>
            <w:r w:rsidRPr="00885F53">
              <w:t>)</w:t>
            </w:r>
          </w:p>
        </w:tc>
      </w:tr>
      <w:tr w:rsidR="00220A02" w:rsidRPr="00885F53" w14:paraId="791712EF"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B30BCBF" w14:textId="77777777" w:rsidR="00220A02" w:rsidRPr="00885F53" w:rsidRDefault="00220A02" w:rsidP="008B25C8">
            <w:pPr>
              <w:pStyle w:val="TAC"/>
            </w:pPr>
            <w:r w:rsidRPr="00885F53">
              <w:t>1.28</w:t>
            </w:r>
          </w:p>
        </w:tc>
        <w:tc>
          <w:tcPr>
            <w:tcW w:w="0" w:type="auto"/>
            <w:tcBorders>
              <w:top w:val="nil"/>
              <w:left w:val="single" w:sz="4" w:space="0" w:color="auto"/>
              <w:bottom w:val="nil"/>
              <w:right w:val="single" w:sz="4" w:space="0" w:color="auto"/>
            </w:tcBorders>
            <w:hideMark/>
          </w:tcPr>
          <w:p w14:paraId="27C5D291" w14:textId="77777777" w:rsidR="00220A02" w:rsidRPr="00885F53" w:rsidRDefault="00220A02" w:rsidP="008B25C8">
            <w:pPr>
              <w:pStyle w:val="TAC"/>
            </w:pPr>
          </w:p>
        </w:tc>
        <w:tc>
          <w:tcPr>
            <w:tcW w:w="0" w:type="auto"/>
            <w:tcBorders>
              <w:top w:val="single" w:sz="4" w:space="0" w:color="auto"/>
              <w:left w:val="single" w:sz="4" w:space="0" w:color="auto"/>
              <w:bottom w:val="single" w:sz="4" w:space="0" w:color="auto"/>
              <w:right w:val="single" w:sz="4" w:space="0" w:color="auto"/>
            </w:tcBorders>
            <w:hideMark/>
          </w:tcPr>
          <w:p w14:paraId="6B2BBCB8" w14:textId="77777777" w:rsidR="00220A02" w:rsidRPr="00885F53" w:rsidRDefault="00220A02" w:rsidP="008B25C8">
            <w:pPr>
              <w:pStyle w:val="TAC"/>
            </w:pPr>
            <w:r w:rsidRPr="00885F53">
              <w:t>4</w:t>
            </w:r>
          </w:p>
        </w:tc>
        <w:tc>
          <w:tcPr>
            <w:tcW w:w="0" w:type="auto"/>
            <w:tcBorders>
              <w:top w:val="single" w:sz="4" w:space="0" w:color="auto"/>
              <w:left w:val="single" w:sz="4" w:space="0" w:color="auto"/>
              <w:bottom w:val="single" w:sz="4" w:space="0" w:color="auto"/>
              <w:right w:val="single" w:sz="4" w:space="0" w:color="auto"/>
            </w:tcBorders>
            <w:hideMark/>
          </w:tcPr>
          <w:p w14:paraId="07F3D9F4" w14:textId="77777777" w:rsidR="00220A02" w:rsidRPr="00885F53" w:rsidRDefault="00220A02" w:rsidP="008B25C8">
            <w:pPr>
              <w:pStyle w:val="TAC"/>
            </w:pPr>
            <w:r w:rsidRPr="00885F53">
              <w:t>32 x N1</w:t>
            </w:r>
            <w:r>
              <w:rPr>
                <w:rFonts w:cs="Arial"/>
                <w:lang w:val="sv-SE" w:eastAsia="zh-CN"/>
              </w:rPr>
              <w:t xml:space="preserve"> x K1</w:t>
            </w:r>
            <w:r w:rsidRPr="00885F53">
              <w:t xml:space="preserve"> (25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30FD29E7" w14:textId="77777777" w:rsidR="00220A02" w:rsidRPr="00885F53" w:rsidRDefault="00220A02" w:rsidP="008B25C8">
            <w:pPr>
              <w:pStyle w:val="TAC"/>
            </w:pPr>
            <w:r w:rsidRPr="00885F53">
              <w:t>1.28 x N1</w:t>
            </w:r>
            <w:r>
              <w:rPr>
                <w:rFonts w:cs="Arial"/>
                <w:lang w:val="sv-SE" w:eastAsia="zh-CN"/>
              </w:rPr>
              <w:t xml:space="preserve"> x K1</w:t>
            </w:r>
            <w:r w:rsidRPr="00885F53">
              <w:t xml:space="preserve"> (1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7B3D4899" w14:textId="77777777" w:rsidR="00220A02" w:rsidRPr="00885F53" w:rsidRDefault="00220A02" w:rsidP="008B25C8">
            <w:pPr>
              <w:pStyle w:val="TAC"/>
            </w:pPr>
            <w:r w:rsidRPr="00885F53">
              <w:t>6.4 x N1</w:t>
            </w:r>
            <w:r>
              <w:rPr>
                <w:rFonts w:cs="Arial"/>
                <w:lang w:val="sv-SE" w:eastAsia="zh-CN"/>
              </w:rPr>
              <w:t xml:space="preserve"> x K1</w:t>
            </w:r>
            <w:r w:rsidRPr="00885F53">
              <w:t xml:space="preserve"> (5 x N1</w:t>
            </w:r>
            <w:r>
              <w:rPr>
                <w:rFonts w:cs="Arial"/>
                <w:lang w:val="sv-SE" w:eastAsia="zh-CN"/>
              </w:rPr>
              <w:t xml:space="preserve"> x K1</w:t>
            </w:r>
            <w:r w:rsidRPr="00885F53">
              <w:t>)</w:t>
            </w:r>
          </w:p>
        </w:tc>
      </w:tr>
      <w:tr w:rsidR="00220A02" w:rsidRPr="00885F53" w14:paraId="1D3555E1"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53E56AF" w14:textId="77777777" w:rsidR="00220A02" w:rsidRPr="00885F53" w:rsidRDefault="00220A02" w:rsidP="008B25C8">
            <w:pPr>
              <w:pStyle w:val="TAC"/>
            </w:pPr>
            <w:r w:rsidRPr="00885F53">
              <w:t>2.56</w:t>
            </w:r>
          </w:p>
        </w:tc>
        <w:tc>
          <w:tcPr>
            <w:tcW w:w="0" w:type="auto"/>
            <w:tcBorders>
              <w:top w:val="nil"/>
              <w:left w:val="single" w:sz="4" w:space="0" w:color="auto"/>
              <w:bottom w:val="single" w:sz="4" w:space="0" w:color="auto"/>
              <w:right w:val="single" w:sz="4" w:space="0" w:color="auto"/>
            </w:tcBorders>
            <w:hideMark/>
          </w:tcPr>
          <w:p w14:paraId="439034CA" w14:textId="77777777" w:rsidR="00220A02" w:rsidRPr="00885F53" w:rsidRDefault="00220A02" w:rsidP="008B25C8">
            <w:pPr>
              <w:pStyle w:val="TAC"/>
            </w:pPr>
          </w:p>
        </w:tc>
        <w:tc>
          <w:tcPr>
            <w:tcW w:w="0" w:type="auto"/>
            <w:tcBorders>
              <w:top w:val="single" w:sz="4" w:space="0" w:color="auto"/>
              <w:left w:val="single" w:sz="4" w:space="0" w:color="auto"/>
              <w:bottom w:val="single" w:sz="4" w:space="0" w:color="auto"/>
              <w:right w:val="single" w:sz="4" w:space="0" w:color="auto"/>
            </w:tcBorders>
            <w:hideMark/>
          </w:tcPr>
          <w:p w14:paraId="0E461296" w14:textId="77777777" w:rsidR="00220A02" w:rsidRPr="00885F53" w:rsidRDefault="00220A02" w:rsidP="008B25C8">
            <w:pPr>
              <w:pStyle w:val="TAC"/>
              <w:rPr>
                <w:rFonts w:cs="Arial"/>
                <w:lang w:eastAsia="zh-CN"/>
              </w:rPr>
            </w:pPr>
            <w:r w:rsidRPr="00885F53">
              <w:rPr>
                <w:rFonts w:cs="Arial"/>
                <w:lang w:eastAsia="zh-CN"/>
              </w:rPr>
              <w:t>3</w:t>
            </w:r>
          </w:p>
        </w:tc>
        <w:tc>
          <w:tcPr>
            <w:tcW w:w="0" w:type="auto"/>
            <w:tcBorders>
              <w:top w:val="single" w:sz="4" w:space="0" w:color="auto"/>
              <w:left w:val="single" w:sz="4" w:space="0" w:color="auto"/>
              <w:bottom w:val="single" w:sz="4" w:space="0" w:color="auto"/>
              <w:right w:val="single" w:sz="4" w:space="0" w:color="auto"/>
            </w:tcBorders>
            <w:hideMark/>
          </w:tcPr>
          <w:p w14:paraId="3143B8DE" w14:textId="77777777" w:rsidR="00220A02" w:rsidRPr="00885F53" w:rsidRDefault="00220A02" w:rsidP="008B25C8">
            <w:pPr>
              <w:pStyle w:val="TAC"/>
            </w:pPr>
            <w:r w:rsidRPr="00885F53">
              <w:rPr>
                <w:rFonts w:cs="Arial"/>
                <w:lang w:eastAsia="zh-CN"/>
              </w:rPr>
              <w:t>58.88</w:t>
            </w:r>
            <w:r w:rsidRPr="00885F53">
              <w:t xml:space="preserve"> x N1</w:t>
            </w:r>
            <w:r>
              <w:rPr>
                <w:rFonts w:cs="Arial"/>
                <w:lang w:val="sv-SE" w:eastAsia="zh-CN"/>
              </w:rPr>
              <w:t xml:space="preserve"> x K1</w:t>
            </w:r>
            <w:r w:rsidRPr="00885F53">
              <w:t xml:space="preserve"> (23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0E17F538" w14:textId="77777777" w:rsidR="00220A02" w:rsidRPr="00885F53" w:rsidRDefault="00220A02" w:rsidP="008B25C8">
            <w:pPr>
              <w:pStyle w:val="TAC"/>
            </w:pPr>
            <w:r w:rsidRPr="00885F53">
              <w:t>2.56 x N1</w:t>
            </w:r>
            <w:r>
              <w:rPr>
                <w:rFonts w:cs="Arial"/>
                <w:lang w:val="sv-SE" w:eastAsia="zh-CN"/>
              </w:rPr>
              <w:t xml:space="preserve"> x K1</w:t>
            </w:r>
            <w:r w:rsidRPr="00885F53">
              <w:t xml:space="preserve"> (1 x N1</w:t>
            </w:r>
            <w:r>
              <w:rPr>
                <w:rFonts w:cs="Arial"/>
                <w:lang w:val="sv-SE" w:eastAsia="zh-CN"/>
              </w:rPr>
              <w:t xml:space="preserve"> x K1</w:t>
            </w:r>
            <w:r w:rsidRPr="00885F53">
              <w:t>)</w:t>
            </w:r>
          </w:p>
        </w:tc>
        <w:tc>
          <w:tcPr>
            <w:tcW w:w="0" w:type="auto"/>
            <w:tcBorders>
              <w:top w:val="single" w:sz="4" w:space="0" w:color="auto"/>
              <w:left w:val="single" w:sz="4" w:space="0" w:color="auto"/>
              <w:bottom w:val="single" w:sz="4" w:space="0" w:color="auto"/>
              <w:right w:val="single" w:sz="4" w:space="0" w:color="auto"/>
            </w:tcBorders>
            <w:hideMark/>
          </w:tcPr>
          <w:p w14:paraId="48270D48" w14:textId="77777777" w:rsidR="00220A02" w:rsidRPr="00885F53" w:rsidRDefault="00220A02" w:rsidP="008B25C8">
            <w:pPr>
              <w:pStyle w:val="TAC"/>
            </w:pPr>
            <w:r w:rsidRPr="00885F53">
              <w:t>7.68 x N1</w:t>
            </w:r>
            <w:r>
              <w:rPr>
                <w:rFonts w:cs="Arial"/>
                <w:lang w:val="sv-SE" w:eastAsia="zh-CN"/>
              </w:rPr>
              <w:t xml:space="preserve"> x K1</w:t>
            </w:r>
            <w:r w:rsidRPr="00885F53">
              <w:t xml:space="preserve"> (3 x N1</w:t>
            </w:r>
            <w:r>
              <w:rPr>
                <w:rFonts w:cs="Arial"/>
                <w:lang w:val="sv-SE" w:eastAsia="zh-CN"/>
              </w:rPr>
              <w:t xml:space="preserve"> x K1</w:t>
            </w:r>
            <w:r w:rsidRPr="00885F53">
              <w:t>)</w:t>
            </w:r>
          </w:p>
        </w:tc>
      </w:tr>
      <w:tr w:rsidR="00220A02" w:rsidRPr="00885F53" w14:paraId="79BA8151" w14:textId="77777777" w:rsidTr="008B25C8">
        <w:trPr>
          <w:cantSplit/>
          <w:jc w:val="center"/>
        </w:trPr>
        <w:tc>
          <w:tcPr>
            <w:tcW w:w="0" w:type="auto"/>
            <w:gridSpan w:val="6"/>
            <w:tcBorders>
              <w:top w:val="single" w:sz="4" w:space="0" w:color="auto"/>
              <w:left w:val="single" w:sz="4" w:space="0" w:color="auto"/>
              <w:bottom w:val="single" w:sz="4" w:space="0" w:color="auto"/>
              <w:right w:val="single" w:sz="4" w:space="0" w:color="auto"/>
            </w:tcBorders>
            <w:hideMark/>
          </w:tcPr>
          <w:p w14:paraId="222C6099" w14:textId="77777777" w:rsidR="00220A02" w:rsidRPr="00885F53" w:rsidRDefault="00220A02" w:rsidP="008B25C8">
            <w:pPr>
              <w:pStyle w:val="TAN"/>
              <w:rPr>
                <w:snapToGrid w:val="0"/>
                <w:lang w:eastAsia="zh-CN"/>
              </w:rPr>
            </w:pPr>
            <w:r w:rsidRPr="00885F53">
              <w:rPr>
                <w:snapToGrid w:val="0"/>
                <w:lang w:eastAsia="zh-CN"/>
              </w:rPr>
              <w:t>Note 1</w:t>
            </w:r>
            <w:r w:rsidRPr="00885F53">
              <w:t>:</w:t>
            </w:r>
            <w:r w:rsidRPr="00885F53">
              <w:rPr>
                <w:lang w:val="en-US"/>
              </w:rPr>
              <w:tab/>
            </w:r>
            <w:r w:rsidRPr="009C5807">
              <w:t xml:space="preserve">Applies for </w:t>
            </w:r>
            <w:r>
              <w:t xml:space="preserve">RedCap </w:t>
            </w:r>
            <w:r w:rsidRPr="009C5807">
              <w:t xml:space="preserve">UE </w:t>
            </w:r>
            <w:r>
              <w:t xml:space="preserve">of all </w:t>
            </w:r>
            <w:r w:rsidRPr="009C5807">
              <w:t xml:space="preserve">supporting </w:t>
            </w:r>
            <w:r>
              <w:t xml:space="preserve">FR2 </w:t>
            </w:r>
            <w:r w:rsidRPr="009C5807">
              <w:t>power class</w:t>
            </w:r>
            <w:r>
              <w:t>es</w:t>
            </w:r>
            <w:r w:rsidRPr="00885F53">
              <w:t>.</w:t>
            </w:r>
          </w:p>
          <w:p w14:paraId="1B82887A" w14:textId="77777777" w:rsidR="00220A02" w:rsidRPr="00885F53" w:rsidRDefault="00220A02" w:rsidP="008B25C8">
            <w:pPr>
              <w:pStyle w:val="TAN"/>
            </w:pPr>
            <w:r w:rsidRPr="00E9086F">
              <w:rPr>
                <w:snapToGrid w:val="0"/>
                <w:lang w:eastAsia="zh-CN"/>
              </w:rPr>
              <w:t xml:space="preserve">Note </w:t>
            </w:r>
            <w:r>
              <w:rPr>
                <w:snapToGrid w:val="0"/>
                <w:lang w:eastAsia="zh-CN"/>
              </w:rPr>
              <w:t>2</w:t>
            </w:r>
            <w:r w:rsidRPr="00E9086F">
              <w:rPr>
                <w:snapToGrid w:val="0"/>
                <w:lang w:eastAsia="zh-CN"/>
              </w:rPr>
              <w:t>:</w:t>
            </w:r>
            <w:r w:rsidRPr="00885F53">
              <w:rPr>
                <w:lang w:val="en-US"/>
              </w:rPr>
              <w:tab/>
            </w:r>
            <w:r w:rsidRPr="00E9086F">
              <w:rPr>
                <w:snapToGrid w:val="0"/>
                <w:lang w:eastAsia="zh-CN"/>
              </w:rPr>
              <w:t>K1 = 3</w:t>
            </w:r>
            <w:r w:rsidRPr="007C2D19">
              <w:rPr>
                <w:snapToGrid w:val="0"/>
                <w:lang w:eastAsia="zh-CN"/>
              </w:rPr>
              <w:t xml:space="preserve"> is</w:t>
            </w:r>
            <w:r w:rsidRPr="00C33767">
              <w:rPr>
                <w:snapToGrid w:val="0"/>
                <w:lang w:eastAsia="zh-CN"/>
              </w:rPr>
              <w:t xml:space="preserve"> the measu</w:t>
            </w:r>
            <w:r>
              <w:rPr>
                <w:snapToGrid w:val="0"/>
                <w:lang w:eastAsia="zh-CN"/>
              </w:rPr>
              <w:t xml:space="preserve">rement relaxation factor applicable for UE fulfilling the </w:t>
            </w:r>
            <w:r w:rsidRPr="00485479">
              <w:rPr>
                <w:i/>
                <w:iCs/>
                <w:lang w:eastAsia="zh-CN"/>
              </w:rPr>
              <w:t>cellEdgeEvaluation</w:t>
            </w:r>
            <w:r>
              <w:rPr>
                <w:i/>
                <w:iCs/>
                <w:lang w:eastAsia="zh-CN"/>
              </w:rPr>
              <w:t xml:space="preserve"> </w:t>
            </w:r>
            <w:r>
              <w:rPr>
                <w:lang w:eastAsia="zh-CN"/>
              </w:rPr>
              <w:t>[2]</w:t>
            </w:r>
            <w:r>
              <w:rPr>
                <w:snapToGrid w:val="0"/>
                <w:lang w:eastAsia="zh-CN"/>
              </w:rPr>
              <w:t xml:space="preserve"> criterion.</w:t>
            </w:r>
          </w:p>
        </w:tc>
      </w:tr>
    </w:tbl>
    <w:p w14:paraId="02FFE7D5" w14:textId="77777777" w:rsidR="00220A02" w:rsidRDefault="00220A02" w:rsidP="00220A02">
      <w:pPr>
        <w:rPr>
          <w:lang w:val="en-US" w:eastAsia="zh-CN"/>
        </w:rPr>
      </w:pPr>
    </w:p>
    <w:p w14:paraId="2E6D7CF8" w14:textId="77777777" w:rsidR="00220A02" w:rsidRPr="00327784" w:rsidRDefault="00220A02" w:rsidP="004170C7">
      <w:pPr>
        <w:pStyle w:val="TH"/>
        <w:rPr>
          <w:lang w:val="en-US"/>
        </w:rPr>
      </w:pPr>
      <w:r w:rsidRPr="00327784">
        <w:rPr>
          <w:lang w:val="en-US"/>
        </w:rPr>
        <w:t>Table 4.2B.2.</w:t>
      </w:r>
      <w:r>
        <w:rPr>
          <w:lang w:val="en-US"/>
        </w:rPr>
        <w:t>10</w:t>
      </w:r>
      <w:r w:rsidRPr="00327784">
        <w:rPr>
          <w:lang w:val="en-US"/>
        </w:rPr>
        <w:t>.</w:t>
      </w:r>
      <w:r>
        <w:rPr>
          <w:lang w:val="en-US"/>
        </w:rPr>
        <w:t>10</w:t>
      </w:r>
      <w:r w:rsidRPr="00327784">
        <w:rPr>
          <w:lang w:val="en-US"/>
        </w:rPr>
        <w:t>-</w:t>
      </w:r>
      <w:r>
        <w:rPr>
          <w:lang w:val="en-US"/>
        </w:rPr>
        <w:t>3</w:t>
      </w:r>
      <w:r w:rsidRPr="00327784">
        <w:rPr>
          <w:lang w:val="en-US"/>
        </w:rPr>
        <w:t>: T</w:t>
      </w:r>
      <w:r w:rsidRPr="00327784">
        <w:rPr>
          <w:vertAlign w:val="subscript"/>
          <w:lang w:val="en-US"/>
        </w:rPr>
        <w:t>detect,NR_Int</w:t>
      </w:r>
      <w:r>
        <w:rPr>
          <w:vertAlign w:val="subscript"/>
          <w:lang w:val="en-US"/>
        </w:rPr>
        <w:t>er</w:t>
      </w:r>
      <w:r w:rsidRPr="00327784">
        <w:rPr>
          <w:vertAlign w:val="subscript"/>
          <w:lang w:val="en-US"/>
        </w:rPr>
        <w:t>_RedCap_Relax</w:t>
      </w:r>
      <w:r w:rsidRPr="00327784">
        <w:rPr>
          <w:lang w:val="en-US"/>
        </w:rPr>
        <w:t>, T</w:t>
      </w:r>
      <w:r w:rsidRPr="00327784">
        <w:rPr>
          <w:vertAlign w:val="subscript"/>
          <w:lang w:val="en-US"/>
        </w:rPr>
        <w:t>measure,NR_Int</w:t>
      </w:r>
      <w:r>
        <w:rPr>
          <w:vertAlign w:val="subscript"/>
          <w:lang w:val="en-US"/>
        </w:rPr>
        <w:t>er</w:t>
      </w:r>
      <w:r w:rsidRPr="00327784">
        <w:rPr>
          <w:vertAlign w:val="subscript"/>
          <w:lang w:val="en-US"/>
        </w:rPr>
        <w:t>_RedCap_Relax</w:t>
      </w:r>
      <w:r w:rsidRPr="00327784">
        <w:rPr>
          <w:lang w:val="en-US"/>
        </w:rPr>
        <w:t xml:space="preserve"> and T</w:t>
      </w:r>
      <w:r w:rsidRPr="00327784">
        <w:rPr>
          <w:vertAlign w:val="subscript"/>
          <w:lang w:val="en-US"/>
        </w:rPr>
        <w:t>evaluate,NR_Int</w:t>
      </w:r>
      <w:r>
        <w:rPr>
          <w:vertAlign w:val="subscript"/>
          <w:lang w:val="en-US"/>
        </w:rPr>
        <w:t>er</w:t>
      </w:r>
      <w:r w:rsidRPr="00327784">
        <w:rPr>
          <w:vertAlign w:val="subscript"/>
          <w:lang w:val="en-US"/>
        </w:rPr>
        <w:t>_RedCap_Relax</w:t>
      </w:r>
      <w:r w:rsidRPr="00327784">
        <w:rPr>
          <w:lang w:val="en-US"/>
        </w:rPr>
        <w:t xml:space="preserve"> for UE configured with eDRX_IDLE cycle (Frequency range FR1)</w:t>
      </w:r>
      <w:r>
        <w:rPr>
          <w:lang w:val="en-US"/>
        </w:rPr>
        <w:t xml:space="preserve"> </w:t>
      </w:r>
      <w:r w:rsidRPr="00327784">
        <w:rPr>
          <w:lang w:val="en-US"/>
        </w:rPr>
        <w:t xml:space="preserve">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3"/>
        <w:gridCol w:w="2667"/>
        <w:gridCol w:w="2808"/>
        <w:gridCol w:w="2791"/>
      </w:tblGrid>
      <w:tr w:rsidR="00220A02" w:rsidRPr="00885F53" w14:paraId="67AAA318"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395FFE7A" w14:textId="77777777" w:rsidR="00220A02" w:rsidRPr="00885F53" w:rsidRDefault="00220A02" w:rsidP="008B25C8">
            <w:pPr>
              <w:pStyle w:val="TAH"/>
            </w:pPr>
            <w:r w:rsidRPr="0082197E">
              <w:rPr>
                <w:rFonts w:cs="Arial"/>
              </w:rPr>
              <w:t>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32B26AA2" w14:textId="77777777" w:rsidR="00220A02" w:rsidRPr="00885F53" w:rsidRDefault="00220A02" w:rsidP="008B25C8">
            <w:pPr>
              <w:pStyle w:val="TAH"/>
            </w:pPr>
            <w:r w:rsidRPr="0082197E">
              <w:rPr>
                <w:rFonts w:cs="Arial"/>
                <w:szCs w:val="18"/>
                <w:lang w:val="en-US"/>
              </w:rPr>
              <w:t>T</w:t>
            </w:r>
            <w:r w:rsidRPr="0082197E">
              <w:rPr>
                <w:rFonts w:cs="Arial"/>
                <w:szCs w:val="18"/>
                <w:vertAlign w:val="subscript"/>
                <w:lang w:val="en-US"/>
              </w:rPr>
              <w:t>detect,NR_Int</w:t>
            </w:r>
            <w:r>
              <w:rPr>
                <w:rFonts w:cs="Arial"/>
                <w:szCs w:val="18"/>
                <w:vertAlign w:val="subscript"/>
                <w:lang w:val="en-US"/>
              </w:rPr>
              <w:t>er</w:t>
            </w:r>
            <w:r w:rsidRPr="0082197E">
              <w:rPr>
                <w:rFonts w:cs="Arial"/>
                <w:szCs w:val="18"/>
                <w:vertAlign w:val="subscript"/>
                <w:lang w:val="en-US"/>
              </w:rPr>
              <w:t>_RedCap</w:t>
            </w:r>
            <w:r>
              <w:rPr>
                <w:rFonts w:cs="Arial"/>
                <w:szCs w:val="18"/>
                <w:vertAlign w:val="subscript"/>
                <w:lang w:val="en-US"/>
              </w:rPr>
              <w:t>_Relax</w:t>
            </w:r>
            <w:r w:rsidRPr="0082197E">
              <w:rPr>
                <w:rFonts w:cs="Arial"/>
                <w:szCs w:val="18"/>
              </w:rPr>
              <w:t xml:space="preserve"> [s]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B19A4E" w14:textId="77777777" w:rsidR="00220A02" w:rsidRPr="00885F53" w:rsidRDefault="00220A02" w:rsidP="008B25C8">
            <w:pPr>
              <w:pStyle w:val="TAH"/>
            </w:pPr>
            <w:r w:rsidRPr="0082197E">
              <w:rPr>
                <w:rFonts w:cs="Arial"/>
                <w:szCs w:val="18"/>
                <w:lang w:val="en-US"/>
              </w:rPr>
              <w:t>T</w:t>
            </w:r>
            <w:r w:rsidRPr="0082197E">
              <w:rPr>
                <w:rFonts w:cs="Arial"/>
                <w:szCs w:val="18"/>
                <w:vertAlign w:val="subscript"/>
                <w:lang w:val="en-US"/>
              </w:rPr>
              <w:t>measure,NR_Int</w:t>
            </w:r>
            <w:r>
              <w:rPr>
                <w:rFonts w:cs="Arial"/>
                <w:szCs w:val="18"/>
                <w:vertAlign w:val="subscript"/>
                <w:lang w:val="en-US"/>
              </w:rPr>
              <w:t>er</w:t>
            </w:r>
            <w:r w:rsidRPr="0082197E">
              <w:rPr>
                <w:rFonts w:cs="Arial"/>
                <w:szCs w:val="18"/>
                <w:vertAlign w:val="subscript"/>
                <w:lang w:val="en-US"/>
              </w:rPr>
              <w:t>_RedCap</w:t>
            </w:r>
            <w:r>
              <w:rPr>
                <w:rFonts w:cs="Arial"/>
                <w:szCs w:val="18"/>
                <w:vertAlign w:val="subscript"/>
                <w:lang w:val="en-US"/>
              </w:rPr>
              <w:t>_Relax</w:t>
            </w:r>
            <w:r w:rsidRPr="0082197E">
              <w:rPr>
                <w:rFonts w:cs="Arial"/>
                <w:szCs w:val="18"/>
                <w:lang w:val="en-US"/>
              </w:rPr>
              <w:t xml:space="preserve"> </w:t>
            </w:r>
            <w:r w:rsidRPr="0082197E">
              <w:rPr>
                <w:rFonts w:cs="Arial"/>
                <w:szCs w:val="18"/>
              </w:rPr>
              <w:t xml:space="preserve">[s]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15794076" w14:textId="77777777" w:rsidR="00220A02" w:rsidRPr="00885F53" w:rsidRDefault="00220A02" w:rsidP="008B25C8">
            <w:pPr>
              <w:pStyle w:val="TAH"/>
            </w:pPr>
            <w:r w:rsidRPr="00AD5C2C">
              <w:rPr>
                <w:rFonts w:cs="Arial"/>
                <w:szCs w:val="18"/>
                <w:lang w:val="en-US"/>
              </w:rPr>
              <w:t>T</w:t>
            </w:r>
            <w:r w:rsidRPr="00AD5C2C">
              <w:rPr>
                <w:rFonts w:cs="Arial"/>
                <w:szCs w:val="18"/>
                <w:vertAlign w:val="subscript"/>
                <w:lang w:val="en-US"/>
              </w:rPr>
              <w:t>evaluate,NR_Int</w:t>
            </w:r>
            <w:r>
              <w:rPr>
                <w:rFonts w:cs="Arial"/>
                <w:szCs w:val="18"/>
                <w:vertAlign w:val="subscript"/>
                <w:lang w:val="en-US"/>
              </w:rPr>
              <w:t>er</w:t>
            </w:r>
            <w:r w:rsidRPr="00AD5C2C">
              <w:rPr>
                <w:rFonts w:cs="Arial"/>
                <w:szCs w:val="18"/>
                <w:vertAlign w:val="subscript"/>
                <w:lang w:val="en-US"/>
              </w:rPr>
              <w:t>_RedCap</w:t>
            </w:r>
            <w:r>
              <w:rPr>
                <w:rFonts w:cs="Arial"/>
                <w:szCs w:val="18"/>
                <w:vertAlign w:val="subscript"/>
                <w:lang w:val="en-US"/>
              </w:rPr>
              <w:t>_Relax</w:t>
            </w:r>
            <w:r w:rsidRPr="00AD5C2C">
              <w:rPr>
                <w:rFonts w:cs="Arial"/>
                <w:szCs w:val="18"/>
                <w:vertAlign w:val="subscript"/>
                <w:lang w:val="en-US"/>
              </w:rPr>
              <w:t xml:space="preserve"> </w:t>
            </w:r>
            <w:r w:rsidRPr="00AD5C2C">
              <w:rPr>
                <w:rFonts w:cs="Arial"/>
                <w:szCs w:val="18"/>
              </w:rPr>
              <w:t xml:space="preserve">[s] (number of </w:t>
            </w:r>
            <w:r>
              <w:rPr>
                <w:rFonts w:cs="Arial"/>
                <w:szCs w:val="18"/>
              </w:rPr>
              <w:t>e</w:t>
            </w:r>
            <w:r w:rsidRPr="00AD5C2C">
              <w:rPr>
                <w:rFonts w:cs="Arial"/>
                <w:szCs w:val="18"/>
              </w:rPr>
              <w:t xml:space="preserve">DRX </w:t>
            </w:r>
            <w:r>
              <w:rPr>
                <w:rFonts w:cs="Arial"/>
                <w:szCs w:val="18"/>
              </w:rPr>
              <w:t xml:space="preserve">IDLE </w:t>
            </w:r>
            <w:r w:rsidRPr="00AD5C2C">
              <w:rPr>
                <w:rFonts w:cs="Arial"/>
                <w:szCs w:val="18"/>
              </w:rPr>
              <w:t>cycles)</w:t>
            </w:r>
          </w:p>
        </w:tc>
      </w:tr>
      <w:tr w:rsidR="00220A02" w:rsidRPr="00885F53" w14:paraId="1C3DC3D2" w14:textId="77777777" w:rsidTr="008B25C8">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83FB15A" w14:textId="77777777" w:rsidR="00220A02" w:rsidRPr="00885F53" w:rsidRDefault="00220A02"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83972B" w14:textId="77777777" w:rsidR="00220A02" w:rsidRPr="00885F53" w:rsidRDefault="00220A02"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4B45C7" w14:textId="77777777" w:rsidR="00220A02" w:rsidRPr="00885F53" w:rsidRDefault="00220A02"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C0D87B" w14:textId="77777777" w:rsidR="00220A02" w:rsidRPr="00885F53" w:rsidRDefault="00220A02" w:rsidP="008B25C8">
            <w:pPr>
              <w:pStyle w:val="TAH"/>
            </w:pPr>
          </w:p>
        </w:tc>
      </w:tr>
      <w:tr w:rsidR="00220A02" w:rsidRPr="00EA7096" w14:paraId="2E9118F2"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88E20AA" w14:textId="77777777" w:rsidR="00220A02" w:rsidRPr="00885F53" w:rsidRDefault="00220A02" w:rsidP="008B25C8">
            <w:pPr>
              <w:pStyle w:val="TAC"/>
            </w:pPr>
            <w:r w:rsidRPr="00885F53">
              <w:t>2.56</w:t>
            </w:r>
          </w:p>
        </w:tc>
        <w:tc>
          <w:tcPr>
            <w:tcW w:w="0" w:type="auto"/>
            <w:tcBorders>
              <w:top w:val="single" w:sz="4" w:space="0" w:color="auto"/>
              <w:left w:val="single" w:sz="4" w:space="0" w:color="auto"/>
              <w:bottom w:val="single" w:sz="4" w:space="0" w:color="auto"/>
              <w:right w:val="single" w:sz="4" w:space="0" w:color="auto"/>
            </w:tcBorders>
            <w:hideMark/>
          </w:tcPr>
          <w:p w14:paraId="4F87D746" w14:textId="77777777" w:rsidR="00220A02" w:rsidRPr="00950DA1" w:rsidRDefault="00220A02" w:rsidP="008B25C8">
            <w:pPr>
              <w:pStyle w:val="TAC"/>
              <w:rPr>
                <w:lang w:val="sv-SE"/>
              </w:rPr>
            </w:pPr>
            <w:r w:rsidRPr="00806346">
              <w:rPr>
                <w:rFonts w:cs="Arial"/>
                <w:szCs w:val="18"/>
                <w:lang w:val="sv-SE"/>
              </w:rPr>
              <w:t xml:space="preserve">58.88 x </w:t>
            </w:r>
            <w:r>
              <w:rPr>
                <w:rFonts w:cs="Arial"/>
                <w:szCs w:val="18"/>
                <w:lang w:val="sv-SE"/>
              </w:rPr>
              <w:t>K1</w:t>
            </w:r>
            <w:r w:rsidRPr="00806346">
              <w:rPr>
                <w:rFonts w:cs="Arial"/>
                <w:szCs w:val="18"/>
                <w:lang w:val="sv-SE"/>
              </w:rPr>
              <w:t xml:space="preserve"> (23 x </w:t>
            </w:r>
            <w:r>
              <w:rPr>
                <w:rFonts w:cs="Arial"/>
                <w:szCs w:val="18"/>
                <w:lang w:val="sv-SE"/>
              </w:rPr>
              <w:t>K1</w:t>
            </w:r>
            <w:r w:rsidRPr="00806346">
              <w:rPr>
                <w:rFonts w:cs="Arial"/>
                <w:szCs w:val="18"/>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295A7724" w14:textId="77777777" w:rsidR="00220A02" w:rsidRPr="00950DA1" w:rsidRDefault="00220A02" w:rsidP="008B25C8">
            <w:pPr>
              <w:pStyle w:val="TAC"/>
              <w:rPr>
                <w:lang w:val="sv-SE"/>
              </w:rPr>
            </w:pPr>
            <w:r w:rsidRPr="00806346">
              <w:rPr>
                <w:rFonts w:cs="Arial"/>
                <w:szCs w:val="18"/>
                <w:lang w:val="sv-SE"/>
              </w:rPr>
              <w:t xml:space="preserve">2.56 x </w:t>
            </w:r>
            <w:r>
              <w:rPr>
                <w:rFonts w:cs="Arial"/>
                <w:szCs w:val="18"/>
                <w:lang w:val="sv-SE"/>
              </w:rPr>
              <w:t>K1</w:t>
            </w:r>
            <w:r w:rsidRPr="00806346">
              <w:rPr>
                <w:rFonts w:cs="Arial"/>
                <w:szCs w:val="18"/>
                <w:lang w:val="sv-SE"/>
              </w:rPr>
              <w:t xml:space="preserve"> (1 x </w:t>
            </w:r>
            <w:r>
              <w:rPr>
                <w:rFonts w:cs="Arial"/>
                <w:szCs w:val="18"/>
                <w:lang w:val="sv-SE"/>
              </w:rPr>
              <w:t>K1</w:t>
            </w:r>
            <w:r w:rsidRPr="00806346">
              <w:rPr>
                <w:rFonts w:cs="Arial"/>
                <w:szCs w:val="18"/>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0E996A56" w14:textId="77777777" w:rsidR="00220A02" w:rsidRPr="00950DA1" w:rsidRDefault="00220A02" w:rsidP="008B25C8">
            <w:pPr>
              <w:pStyle w:val="TAC"/>
              <w:rPr>
                <w:lang w:val="sv-SE"/>
              </w:rPr>
            </w:pPr>
            <w:r w:rsidRPr="00806346">
              <w:rPr>
                <w:rFonts w:cs="Arial"/>
                <w:szCs w:val="18"/>
                <w:lang w:val="sv-SE"/>
              </w:rPr>
              <w:t xml:space="preserve">7.68 x N1 x </w:t>
            </w:r>
            <w:r>
              <w:rPr>
                <w:rFonts w:cs="Arial"/>
                <w:szCs w:val="18"/>
                <w:lang w:val="sv-SE"/>
              </w:rPr>
              <w:t>K1</w:t>
            </w:r>
            <w:r w:rsidRPr="00806346">
              <w:rPr>
                <w:rFonts w:cs="Arial"/>
                <w:szCs w:val="18"/>
                <w:lang w:val="sv-SE"/>
              </w:rPr>
              <w:t xml:space="preserve"> (3 x N1 x </w:t>
            </w:r>
            <w:r>
              <w:rPr>
                <w:rFonts w:cs="Arial"/>
                <w:szCs w:val="18"/>
                <w:lang w:val="sv-SE"/>
              </w:rPr>
              <w:t>K1</w:t>
            </w:r>
            <w:r w:rsidRPr="00806346">
              <w:rPr>
                <w:rFonts w:cs="Arial"/>
                <w:szCs w:val="18"/>
                <w:lang w:val="sv-SE"/>
              </w:rPr>
              <w:t>)</w:t>
            </w:r>
          </w:p>
        </w:tc>
      </w:tr>
      <w:tr w:rsidR="00220A02" w:rsidRPr="00885F53" w14:paraId="6619C011"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F76BC22" w14:textId="77777777" w:rsidR="00220A02" w:rsidRPr="00885F53" w:rsidRDefault="00220A02" w:rsidP="008B25C8">
            <w:pPr>
              <w:pStyle w:val="TAC"/>
            </w:pPr>
            <w:r w:rsidRPr="00C23796">
              <w:rPr>
                <w:rFonts w:cs="Arial"/>
                <w:szCs w:val="18"/>
              </w:rPr>
              <w:t>5.12</w:t>
            </w:r>
          </w:p>
        </w:tc>
        <w:tc>
          <w:tcPr>
            <w:tcW w:w="0" w:type="auto"/>
            <w:tcBorders>
              <w:top w:val="single" w:sz="4" w:space="0" w:color="auto"/>
              <w:left w:val="single" w:sz="4" w:space="0" w:color="auto"/>
              <w:bottom w:val="single" w:sz="4" w:space="0" w:color="auto"/>
              <w:right w:val="single" w:sz="4" w:space="0" w:color="auto"/>
            </w:tcBorders>
            <w:hideMark/>
          </w:tcPr>
          <w:p w14:paraId="591C0B03" w14:textId="77777777" w:rsidR="00220A02" w:rsidRPr="00885F53" w:rsidRDefault="00220A02" w:rsidP="008B25C8">
            <w:pPr>
              <w:pStyle w:val="TAC"/>
            </w:pPr>
            <w:r w:rsidRPr="006F2E0A">
              <w:rPr>
                <w:rFonts w:cs="Arial"/>
                <w:szCs w:val="18"/>
              </w:rPr>
              <w:t>117.76</w:t>
            </w:r>
            <w:r w:rsidRPr="00806346">
              <w:rPr>
                <w:rFonts w:cs="Arial"/>
                <w:szCs w:val="18"/>
                <w:lang w:val="sv-SE"/>
              </w:rPr>
              <w:t xml:space="preserve"> x </w:t>
            </w:r>
            <w:r>
              <w:rPr>
                <w:rFonts w:cs="Arial"/>
                <w:szCs w:val="18"/>
              </w:rPr>
              <w:t>K1</w:t>
            </w:r>
            <w:r w:rsidRPr="00C23796">
              <w:rPr>
                <w:rFonts w:cs="Arial"/>
                <w:szCs w:val="18"/>
              </w:rPr>
              <w:t xml:space="preserve"> (23</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23DF67CE" w14:textId="77777777" w:rsidR="00220A02" w:rsidRPr="00885F53" w:rsidRDefault="00220A02" w:rsidP="008B25C8">
            <w:pPr>
              <w:pStyle w:val="TAC"/>
            </w:pPr>
            <w:r w:rsidRPr="006F2E0A">
              <w:rPr>
                <w:rFonts w:cs="Arial"/>
                <w:szCs w:val="18"/>
              </w:rPr>
              <w:t>5.12</w:t>
            </w:r>
            <w:r w:rsidRPr="00806346">
              <w:rPr>
                <w:rFonts w:cs="Arial"/>
                <w:szCs w:val="18"/>
                <w:lang w:val="sv-SE"/>
              </w:rPr>
              <w:t xml:space="preserve"> x </w:t>
            </w:r>
            <w:r>
              <w:rPr>
                <w:rFonts w:cs="Arial"/>
                <w:szCs w:val="18"/>
              </w:rPr>
              <w:t>K1</w:t>
            </w:r>
            <w:r w:rsidRPr="00C23796">
              <w:rPr>
                <w:rFonts w:cs="Arial"/>
                <w:szCs w:val="18"/>
              </w:rPr>
              <w:t xml:space="preserve"> (1</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4C9E0B06" w14:textId="77777777" w:rsidR="00220A02" w:rsidRPr="00885F53" w:rsidRDefault="00220A02" w:rsidP="008B25C8">
            <w:pPr>
              <w:pStyle w:val="TAC"/>
            </w:pPr>
            <w:r w:rsidRPr="006F2E0A">
              <w:rPr>
                <w:rFonts w:cs="Arial"/>
                <w:szCs w:val="18"/>
              </w:rPr>
              <w:t>10.24</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r>
      <w:tr w:rsidR="00220A02" w:rsidRPr="00885F53" w14:paraId="5B772153"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4EA32AE" w14:textId="77777777" w:rsidR="00220A02" w:rsidRPr="00885F53" w:rsidRDefault="00220A02" w:rsidP="008B25C8">
            <w:pPr>
              <w:pStyle w:val="TAC"/>
            </w:pPr>
            <w:r w:rsidRPr="00C23796">
              <w:rPr>
                <w:rFonts w:cs="Arial"/>
                <w:szCs w:val="18"/>
              </w:rPr>
              <w:t>10.24</w:t>
            </w:r>
          </w:p>
        </w:tc>
        <w:tc>
          <w:tcPr>
            <w:tcW w:w="0" w:type="auto"/>
            <w:tcBorders>
              <w:top w:val="single" w:sz="4" w:space="0" w:color="auto"/>
              <w:left w:val="single" w:sz="4" w:space="0" w:color="auto"/>
              <w:bottom w:val="single" w:sz="4" w:space="0" w:color="auto"/>
              <w:right w:val="single" w:sz="4" w:space="0" w:color="auto"/>
            </w:tcBorders>
            <w:hideMark/>
          </w:tcPr>
          <w:p w14:paraId="27A70345" w14:textId="77777777" w:rsidR="00220A02" w:rsidRPr="00885F53" w:rsidRDefault="00220A02" w:rsidP="008B25C8">
            <w:pPr>
              <w:pStyle w:val="TAC"/>
            </w:pPr>
            <w:r w:rsidRPr="006F2E0A">
              <w:rPr>
                <w:rFonts w:cs="Arial"/>
                <w:szCs w:val="18"/>
              </w:rPr>
              <w:t>235.52</w:t>
            </w:r>
            <w:r w:rsidRPr="00806346">
              <w:rPr>
                <w:rFonts w:cs="Arial"/>
                <w:szCs w:val="18"/>
                <w:lang w:val="sv-SE"/>
              </w:rPr>
              <w:t xml:space="preserve"> x </w:t>
            </w:r>
            <w:r>
              <w:rPr>
                <w:rFonts w:cs="Arial"/>
                <w:szCs w:val="18"/>
              </w:rPr>
              <w:t>K1</w:t>
            </w:r>
            <w:r w:rsidRPr="00C23796">
              <w:rPr>
                <w:rFonts w:cs="Arial"/>
                <w:szCs w:val="18"/>
              </w:rPr>
              <w:t xml:space="preserve"> (23</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4D354189" w14:textId="77777777" w:rsidR="00220A02" w:rsidRPr="00885F53" w:rsidRDefault="00220A02" w:rsidP="008B25C8">
            <w:pPr>
              <w:pStyle w:val="TAC"/>
            </w:pPr>
            <w:r w:rsidRPr="006F2E0A">
              <w:rPr>
                <w:rFonts w:cs="Arial"/>
                <w:szCs w:val="18"/>
              </w:rPr>
              <w:t>10.24</w:t>
            </w:r>
            <w:r w:rsidRPr="00806346">
              <w:rPr>
                <w:rFonts w:cs="Arial"/>
                <w:szCs w:val="18"/>
                <w:lang w:val="sv-SE"/>
              </w:rPr>
              <w:t xml:space="preserve"> x </w:t>
            </w:r>
            <w:r>
              <w:rPr>
                <w:rFonts w:cs="Arial"/>
                <w:szCs w:val="18"/>
              </w:rPr>
              <w:t>K1</w:t>
            </w:r>
            <w:r w:rsidRPr="00C23796">
              <w:rPr>
                <w:rFonts w:cs="Arial"/>
                <w:szCs w:val="18"/>
              </w:rPr>
              <w:t xml:space="preserve"> (1</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0F200BF3" w14:textId="77777777" w:rsidR="00220A02" w:rsidRPr="00885F53" w:rsidRDefault="00220A02" w:rsidP="008B25C8">
            <w:pPr>
              <w:pStyle w:val="TAC"/>
            </w:pPr>
            <w:r w:rsidRPr="006F2E0A">
              <w:rPr>
                <w:rFonts w:cs="Arial"/>
                <w:szCs w:val="18"/>
              </w:rPr>
              <w:t>20.48</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r>
      <w:tr w:rsidR="00220A02" w:rsidRPr="00885F53" w14:paraId="3639AFBD" w14:textId="77777777" w:rsidTr="008B25C8">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044641E6" w14:textId="77777777" w:rsidR="00220A02" w:rsidRPr="006D3EA9" w:rsidRDefault="00220A02" w:rsidP="008B25C8">
            <w:pPr>
              <w:pStyle w:val="TAN"/>
              <w:rPr>
                <w:snapToGrid w:val="0"/>
              </w:rPr>
            </w:pPr>
            <w:r w:rsidRPr="00885F53">
              <w:rPr>
                <w:snapToGrid w:val="0"/>
              </w:rPr>
              <w:t>Note 1</w:t>
            </w:r>
            <w:r w:rsidRPr="00885F53">
              <w:t>:</w:t>
            </w:r>
            <w:r w:rsidRPr="00885F53">
              <w:rPr>
                <w:lang w:val="en-US"/>
              </w:rPr>
              <w:tab/>
            </w:r>
            <w:r w:rsidRPr="009C5807">
              <w:t xml:space="preserve">Applies for </w:t>
            </w:r>
            <w:r>
              <w:t xml:space="preserve">RedCap </w:t>
            </w:r>
            <w:r w:rsidRPr="009C5807">
              <w:t xml:space="preserve">UE </w:t>
            </w:r>
            <w:r>
              <w:t xml:space="preserve">of all </w:t>
            </w:r>
            <w:r w:rsidRPr="009C5807">
              <w:t xml:space="preserve">supporting </w:t>
            </w:r>
            <w:r>
              <w:t xml:space="preserve">FR2 </w:t>
            </w:r>
            <w:r w:rsidRPr="009C5807">
              <w:t>power class</w:t>
            </w:r>
            <w:r>
              <w:t>es</w:t>
            </w:r>
            <w:r w:rsidRPr="00885F53">
              <w:t>.</w:t>
            </w:r>
          </w:p>
          <w:p w14:paraId="165AD8BE" w14:textId="77777777" w:rsidR="00220A02" w:rsidRPr="00885F53" w:rsidRDefault="00220A02" w:rsidP="008B25C8">
            <w:pPr>
              <w:pStyle w:val="TAN"/>
            </w:pPr>
            <w:r w:rsidRPr="00C23796">
              <w:rPr>
                <w:rFonts w:cs="Arial"/>
                <w:snapToGrid w:val="0"/>
                <w:szCs w:val="18"/>
              </w:rPr>
              <w:t xml:space="preserve">Note </w:t>
            </w:r>
            <w:r>
              <w:rPr>
                <w:rFonts w:cs="Arial"/>
                <w:snapToGrid w:val="0"/>
                <w:szCs w:val="18"/>
              </w:rPr>
              <w:t>2</w:t>
            </w:r>
            <w:r w:rsidRPr="00C23796">
              <w:rPr>
                <w:rFonts w:cs="Arial"/>
                <w:snapToGrid w:val="0"/>
                <w:szCs w:val="18"/>
              </w:rPr>
              <w:t>:</w:t>
            </w:r>
            <w:r w:rsidRPr="00C23796">
              <w:rPr>
                <w:rFonts w:cs="Arial"/>
                <w:snapToGrid w:val="0"/>
                <w:szCs w:val="18"/>
              </w:rPr>
              <w:tab/>
            </w:r>
            <w:r>
              <w:rPr>
                <w:rFonts w:cs="Arial"/>
                <w:snapToGrid w:val="0"/>
                <w:szCs w:val="18"/>
              </w:rPr>
              <w:t>K1</w:t>
            </w:r>
            <w:r w:rsidRPr="00C23796">
              <w:rPr>
                <w:rFonts w:cs="Arial"/>
                <w:snapToGrid w:val="0"/>
                <w:szCs w:val="18"/>
              </w:rPr>
              <w:t xml:space="preserve"> = </w:t>
            </w:r>
            <w:r>
              <w:rPr>
                <w:rFonts w:cs="Arial"/>
                <w:snapToGrid w:val="0"/>
                <w:szCs w:val="18"/>
              </w:rPr>
              <w:t>3</w:t>
            </w:r>
            <w:r w:rsidRPr="00C23796">
              <w:rPr>
                <w:rFonts w:cs="Arial"/>
                <w:snapToGrid w:val="0"/>
                <w:szCs w:val="18"/>
              </w:rPr>
              <w:t xml:space="preserve"> is the measurement relaxation factor applicable for UE fulfilling the </w:t>
            </w:r>
            <w:r w:rsidRPr="00485479">
              <w:rPr>
                <w:i/>
                <w:iCs/>
              </w:rPr>
              <w:t>cellEdgeEvaluation</w:t>
            </w:r>
            <w:r>
              <w:rPr>
                <w:i/>
                <w:iCs/>
              </w:rPr>
              <w:t xml:space="preserve"> </w:t>
            </w:r>
            <w:r w:rsidRPr="00C23796">
              <w:rPr>
                <w:rFonts w:cs="Arial"/>
                <w:snapToGrid w:val="0"/>
                <w:szCs w:val="18"/>
              </w:rPr>
              <w:t>[2] criterion.</w:t>
            </w:r>
          </w:p>
        </w:tc>
      </w:tr>
    </w:tbl>
    <w:p w14:paraId="5E17C0C5" w14:textId="77777777" w:rsidR="00220A02" w:rsidRDefault="00220A02" w:rsidP="00220A02">
      <w:pPr>
        <w:rPr>
          <w:noProof/>
        </w:rPr>
      </w:pPr>
    </w:p>
    <w:p w14:paraId="504B40F9" w14:textId="77777777" w:rsidR="00220A02" w:rsidRPr="00327784" w:rsidRDefault="00220A02" w:rsidP="004170C7">
      <w:pPr>
        <w:pStyle w:val="TH"/>
        <w:rPr>
          <w:lang w:val="en-US"/>
        </w:rPr>
      </w:pPr>
      <w:r w:rsidRPr="00327784">
        <w:rPr>
          <w:lang w:val="en-US"/>
        </w:rPr>
        <w:t>Table 4.2B.2.</w:t>
      </w:r>
      <w:r>
        <w:rPr>
          <w:lang w:val="en-US"/>
        </w:rPr>
        <w:t>10</w:t>
      </w:r>
      <w:r w:rsidRPr="00327784">
        <w:rPr>
          <w:lang w:val="en-US"/>
        </w:rPr>
        <w:t>.</w:t>
      </w:r>
      <w:r>
        <w:rPr>
          <w:lang w:val="en-US"/>
        </w:rPr>
        <w:t>10</w:t>
      </w:r>
      <w:r w:rsidRPr="00327784">
        <w:rPr>
          <w:lang w:val="en-US"/>
        </w:rPr>
        <w:t>-</w:t>
      </w:r>
      <w:r>
        <w:rPr>
          <w:lang w:val="en-US"/>
        </w:rPr>
        <w:t>4</w:t>
      </w:r>
      <w:r w:rsidRPr="00327784">
        <w:rPr>
          <w:lang w:val="en-US"/>
        </w:rPr>
        <w:t>: T</w:t>
      </w:r>
      <w:r w:rsidRPr="00327784">
        <w:rPr>
          <w:vertAlign w:val="subscript"/>
          <w:lang w:val="en-US"/>
        </w:rPr>
        <w:t>detect,NR_Int</w:t>
      </w:r>
      <w:r>
        <w:rPr>
          <w:vertAlign w:val="subscript"/>
          <w:lang w:val="en-US"/>
        </w:rPr>
        <w:t>er</w:t>
      </w:r>
      <w:r w:rsidRPr="00327784">
        <w:rPr>
          <w:vertAlign w:val="subscript"/>
          <w:lang w:val="en-US"/>
        </w:rPr>
        <w:t>_RedCap_Relax</w:t>
      </w:r>
      <w:r w:rsidRPr="00327784">
        <w:rPr>
          <w:lang w:val="en-US"/>
        </w:rPr>
        <w:t>, T</w:t>
      </w:r>
      <w:r w:rsidRPr="00327784">
        <w:rPr>
          <w:vertAlign w:val="subscript"/>
          <w:lang w:val="en-US"/>
        </w:rPr>
        <w:t>measure,NR_Int</w:t>
      </w:r>
      <w:r>
        <w:rPr>
          <w:vertAlign w:val="subscript"/>
          <w:lang w:val="en-US"/>
        </w:rPr>
        <w:t>er</w:t>
      </w:r>
      <w:r w:rsidRPr="00327784">
        <w:rPr>
          <w:vertAlign w:val="subscript"/>
          <w:lang w:val="en-US"/>
        </w:rPr>
        <w:t>_RedCap_Relax</w:t>
      </w:r>
      <w:r w:rsidRPr="00327784">
        <w:rPr>
          <w:lang w:val="en-US"/>
        </w:rPr>
        <w:t xml:space="preserve"> and T</w:t>
      </w:r>
      <w:r w:rsidRPr="00327784">
        <w:rPr>
          <w:vertAlign w:val="subscript"/>
          <w:lang w:val="en-US"/>
        </w:rPr>
        <w:t>evaluate,NR_Int</w:t>
      </w:r>
      <w:r>
        <w:rPr>
          <w:vertAlign w:val="subscript"/>
          <w:lang w:val="en-US"/>
        </w:rPr>
        <w:t>er</w:t>
      </w:r>
      <w:r w:rsidRPr="00327784">
        <w:rPr>
          <w:vertAlign w:val="subscript"/>
          <w:lang w:val="en-US"/>
        </w:rPr>
        <w:t>_RedCap_Relax</w:t>
      </w:r>
      <w:r w:rsidRPr="00327784">
        <w:rPr>
          <w:lang w:val="en-US"/>
        </w:rPr>
        <w:t xml:space="preserve"> for UE configured with eDRX_IDLE cycle (Frequency range FR</w:t>
      </w:r>
      <w:r>
        <w:rPr>
          <w:lang w:val="en-US"/>
        </w:rPr>
        <w:t>2</w:t>
      </w:r>
      <w:r w:rsidRPr="00327784">
        <w:rPr>
          <w:lang w:val="en-US"/>
        </w:rPr>
        <w:t>)</w:t>
      </w:r>
      <w:r>
        <w:rPr>
          <w:lang w:val="en-US"/>
        </w:rPr>
        <w:t xml:space="preserve"> </w:t>
      </w:r>
      <w:r w:rsidRPr="00327784">
        <w:rPr>
          <w:lang w:val="en-US"/>
        </w:rPr>
        <w:t>for eDRX_IDLE cycle upto 10.24 s for 1 Rx and 2 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3"/>
        <w:gridCol w:w="2885"/>
        <w:gridCol w:w="2693"/>
        <w:gridCol w:w="2688"/>
      </w:tblGrid>
      <w:tr w:rsidR="00220A02" w:rsidRPr="00885F53" w14:paraId="3FE3E843"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72087083" w14:textId="77777777" w:rsidR="00220A02" w:rsidRPr="00885F53" w:rsidRDefault="00220A02" w:rsidP="008B25C8">
            <w:pPr>
              <w:pStyle w:val="TAH"/>
            </w:pPr>
            <w:r w:rsidRPr="0082197E">
              <w:rPr>
                <w:rFonts w:cs="Arial"/>
              </w:rPr>
              <w:t>DRX_IDLE cycle length [s]</w:t>
            </w:r>
          </w:p>
        </w:tc>
        <w:tc>
          <w:tcPr>
            <w:tcW w:w="2885" w:type="dxa"/>
            <w:vMerge w:val="restart"/>
            <w:tcBorders>
              <w:top w:val="single" w:sz="4" w:space="0" w:color="auto"/>
              <w:left w:val="single" w:sz="4" w:space="0" w:color="auto"/>
              <w:bottom w:val="single" w:sz="4" w:space="0" w:color="auto"/>
              <w:right w:val="single" w:sz="4" w:space="0" w:color="auto"/>
            </w:tcBorders>
            <w:hideMark/>
          </w:tcPr>
          <w:p w14:paraId="48D14C8C" w14:textId="77777777" w:rsidR="00220A02" w:rsidRPr="00885F53" w:rsidRDefault="00220A02" w:rsidP="008B25C8">
            <w:pPr>
              <w:pStyle w:val="TAH"/>
            </w:pPr>
            <w:r w:rsidRPr="0082197E">
              <w:rPr>
                <w:rFonts w:cs="Arial"/>
                <w:szCs w:val="18"/>
                <w:lang w:val="en-US"/>
              </w:rPr>
              <w:t>T</w:t>
            </w:r>
            <w:r w:rsidRPr="0082197E">
              <w:rPr>
                <w:rFonts w:cs="Arial"/>
                <w:szCs w:val="18"/>
                <w:vertAlign w:val="subscript"/>
                <w:lang w:val="en-US"/>
              </w:rPr>
              <w:t>detect,NR_Int</w:t>
            </w:r>
            <w:r>
              <w:rPr>
                <w:rFonts w:cs="Arial"/>
                <w:szCs w:val="18"/>
                <w:vertAlign w:val="subscript"/>
                <w:lang w:val="en-US"/>
              </w:rPr>
              <w:t>er</w:t>
            </w:r>
            <w:r w:rsidRPr="0082197E">
              <w:rPr>
                <w:rFonts w:cs="Arial"/>
                <w:szCs w:val="18"/>
                <w:vertAlign w:val="subscript"/>
                <w:lang w:val="en-US"/>
              </w:rPr>
              <w:t>_RedCap</w:t>
            </w:r>
            <w:r>
              <w:rPr>
                <w:rFonts w:cs="Arial"/>
                <w:szCs w:val="18"/>
                <w:vertAlign w:val="subscript"/>
                <w:lang w:val="en-US"/>
              </w:rPr>
              <w:t>_Relax</w:t>
            </w:r>
            <w:r w:rsidRPr="0082197E">
              <w:rPr>
                <w:rFonts w:cs="Arial"/>
                <w:szCs w:val="18"/>
              </w:rPr>
              <w:t xml:space="preserve"> [s]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2693" w:type="dxa"/>
            <w:vMerge w:val="restart"/>
            <w:tcBorders>
              <w:top w:val="single" w:sz="4" w:space="0" w:color="auto"/>
              <w:left w:val="single" w:sz="4" w:space="0" w:color="auto"/>
              <w:bottom w:val="single" w:sz="4" w:space="0" w:color="auto"/>
              <w:right w:val="single" w:sz="4" w:space="0" w:color="auto"/>
            </w:tcBorders>
            <w:hideMark/>
          </w:tcPr>
          <w:p w14:paraId="2072738C" w14:textId="77777777" w:rsidR="00220A02" w:rsidRPr="00885F53" w:rsidRDefault="00220A02" w:rsidP="008B25C8">
            <w:pPr>
              <w:pStyle w:val="TAH"/>
            </w:pPr>
            <w:r w:rsidRPr="0082197E">
              <w:rPr>
                <w:rFonts w:cs="Arial"/>
                <w:szCs w:val="18"/>
                <w:lang w:val="en-US"/>
              </w:rPr>
              <w:t>T</w:t>
            </w:r>
            <w:r w:rsidRPr="0082197E">
              <w:rPr>
                <w:rFonts w:cs="Arial"/>
                <w:szCs w:val="18"/>
                <w:vertAlign w:val="subscript"/>
                <w:lang w:val="en-US"/>
              </w:rPr>
              <w:t>measure,NR_Int</w:t>
            </w:r>
            <w:r>
              <w:rPr>
                <w:rFonts w:cs="Arial"/>
                <w:szCs w:val="18"/>
                <w:vertAlign w:val="subscript"/>
                <w:lang w:val="en-US"/>
              </w:rPr>
              <w:t>er</w:t>
            </w:r>
            <w:r w:rsidRPr="0082197E">
              <w:rPr>
                <w:rFonts w:cs="Arial"/>
                <w:szCs w:val="18"/>
                <w:vertAlign w:val="subscript"/>
                <w:lang w:val="en-US"/>
              </w:rPr>
              <w:t>_RedCap</w:t>
            </w:r>
            <w:r>
              <w:rPr>
                <w:rFonts w:cs="Arial"/>
                <w:szCs w:val="18"/>
                <w:vertAlign w:val="subscript"/>
                <w:lang w:val="en-US"/>
              </w:rPr>
              <w:t>_Relax</w:t>
            </w:r>
            <w:r w:rsidRPr="0082197E">
              <w:rPr>
                <w:rFonts w:cs="Arial"/>
                <w:szCs w:val="18"/>
                <w:lang w:val="en-US"/>
              </w:rPr>
              <w:t xml:space="preserve"> </w:t>
            </w:r>
            <w:r w:rsidRPr="0082197E">
              <w:rPr>
                <w:rFonts w:cs="Arial"/>
                <w:szCs w:val="18"/>
              </w:rPr>
              <w:t xml:space="preserve">[s]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2688" w:type="dxa"/>
            <w:vMerge w:val="restart"/>
            <w:tcBorders>
              <w:top w:val="single" w:sz="4" w:space="0" w:color="auto"/>
              <w:left w:val="single" w:sz="4" w:space="0" w:color="auto"/>
              <w:bottom w:val="single" w:sz="4" w:space="0" w:color="auto"/>
              <w:right w:val="single" w:sz="4" w:space="0" w:color="auto"/>
            </w:tcBorders>
            <w:hideMark/>
          </w:tcPr>
          <w:p w14:paraId="61C78FC8" w14:textId="77777777" w:rsidR="00220A02" w:rsidRPr="00885F53" w:rsidRDefault="00220A02" w:rsidP="008B25C8">
            <w:pPr>
              <w:pStyle w:val="TAH"/>
            </w:pPr>
            <w:r w:rsidRPr="00AD5C2C">
              <w:rPr>
                <w:rFonts w:cs="Arial"/>
                <w:szCs w:val="18"/>
                <w:lang w:val="en-US"/>
              </w:rPr>
              <w:t>T</w:t>
            </w:r>
            <w:r w:rsidRPr="00AD5C2C">
              <w:rPr>
                <w:rFonts w:cs="Arial"/>
                <w:szCs w:val="18"/>
                <w:vertAlign w:val="subscript"/>
                <w:lang w:val="en-US"/>
              </w:rPr>
              <w:t>evaluate,NR_Int</w:t>
            </w:r>
            <w:r>
              <w:rPr>
                <w:rFonts w:cs="Arial"/>
                <w:szCs w:val="18"/>
                <w:vertAlign w:val="subscript"/>
                <w:lang w:val="en-US"/>
              </w:rPr>
              <w:t>er</w:t>
            </w:r>
            <w:r w:rsidRPr="00AD5C2C">
              <w:rPr>
                <w:rFonts w:cs="Arial"/>
                <w:szCs w:val="18"/>
                <w:vertAlign w:val="subscript"/>
                <w:lang w:val="en-US"/>
              </w:rPr>
              <w:t>_RedCap</w:t>
            </w:r>
            <w:r>
              <w:rPr>
                <w:rFonts w:cs="Arial"/>
                <w:szCs w:val="18"/>
                <w:vertAlign w:val="subscript"/>
                <w:lang w:val="en-US"/>
              </w:rPr>
              <w:t>_Relax</w:t>
            </w:r>
            <w:r w:rsidRPr="00AD5C2C">
              <w:rPr>
                <w:rFonts w:cs="Arial"/>
                <w:szCs w:val="18"/>
                <w:vertAlign w:val="subscript"/>
                <w:lang w:val="en-US"/>
              </w:rPr>
              <w:t xml:space="preserve"> </w:t>
            </w:r>
            <w:r w:rsidRPr="00AD5C2C">
              <w:rPr>
                <w:rFonts w:cs="Arial"/>
                <w:szCs w:val="18"/>
              </w:rPr>
              <w:t xml:space="preserve">[s] (number of </w:t>
            </w:r>
            <w:r>
              <w:rPr>
                <w:rFonts w:cs="Arial"/>
                <w:szCs w:val="18"/>
              </w:rPr>
              <w:t>e</w:t>
            </w:r>
            <w:r w:rsidRPr="00AD5C2C">
              <w:rPr>
                <w:rFonts w:cs="Arial"/>
                <w:szCs w:val="18"/>
              </w:rPr>
              <w:t xml:space="preserve">DRX </w:t>
            </w:r>
            <w:r>
              <w:rPr>
                <w:rFonts w:cs="Arial"/>
                <w:szCs w:val="18"/>
              </w:rPr>
              <w:t xml:space="preserve">IDLE </w:t>
            </w:r>
            <w:r w:rsidRPr="00AD5C2C">
              <w:rPr>
                <w:rFonts w:cs="Arial"/>
                <w:szCs w:val="18"/>
              </w:rPr>
              <w:t>cycles)</w:t>
            </w:r>
          </w:p>
        </w:tc>
      </w:tr>
      <w:tr w:rsidR="00220A02" w:rsidRPr="00885F53" w14:paraId="7CEE542A" w14:textId="77777777" w:rsidTr="008B25C8">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522ECE" w14:textId="77777777" w:rsidR="00220A02" w:rsidRPr="00885F53" w:rsidRDefault="00220A02" w:rsidP="008B25C8">
            <w:pPr>
              <w:pStyle w:val="TAH"/>
            </w:pPr>
          </w:p>
        </w:tc>
        <w:tc>
          <w:tcPr>
            <w:tcW w:w="2885" w:type="dxa"/>
            <w:vMerge/>
            <w:tcBorders>
              <w:top w:val="single" w:sz="4" w:space="0" w:color="auto"/>
              <w:left w:val="single" w:sz="4" w:space="0" w:color="auto"/>
              <w:bottom w:val="single" w:sz="4" w:space="0" w:color="auto"/>
              <w:right w:val="single" w:sz="4" w:space="0" w:color="auto"/>
            </w:tcBorders>
            <w:vAlign w:val="center"/>
            <w:hideMark/>
          </w:tcPr>
          <w:p w14:paraId="5CDA4DDB" w14:textId="77777777" w:rsidR="00220A02" w:rsidRPr="00885F53" w:rsidRDefault="00220A02" w:rsidP="008B25C8">
            <w:pPr>
              <w:pStyle w:val="TAH"/>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3DE9AD2A" w14:textId="77777777" w:rsidR="00220A02" w:rsidRPr="00885F53" w:rsidRDefault="00220A02" w:rsidP="008B25C8">
            <w:pPr>
              <w:pStyle w:val="TAH"/>
            </w:pPr>
          </w:p>
        </w:tc>
        <w:tc>
          <w:tcPr>
            <w:tcW w:w="2688" w:type="dxa"/>
            <w:vMerge/>
            <w:tcBorders>
              <w:top w:val="single" w:sz="4" w:space="0" w:color="auto"/>
              <w:left w:val="single" w:sz="4" w:space="0" w:color="auto"/>
              <w:bottom w:val="single" w:sz="4" w:space="0" w:color="auto"/>
              <w:right w:val="single" w:sz="4" w:space="0" w:color="auto"/>
            </w:tcBorders>
            <w:vAlign w:val="center"/>
            <w:hideMark/>
          </w:tcPr>
          <w:p w14:paraId="48A4FF98" w14:textId="77777777" w:rsidR="00220A02" w:rsidRPr="00885F53" w:rsidRDefault="00220A02" w:rsidP="008B25C8">
            <w:pPr>
              <w:pStyle w:val="TAH"/>
            </w:pPr>
          </w:p>
        </w:tc>
      </w:tr>
      <w:tr w:rsidR="00220A02" w:rsidRPr="00EA7096" w14:paraId="624C7C0D"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E1FC951" w14:textId="77777777" w:rsidR="00220A02" w:rsidRPr="00885F53" w:rsidRDefault="00220A02" w:rsidP="008B25C8">
            <w:pPr>
              <w:pStyle w:val="TAC"/>
            </w:pPr>
            <w:r w:rsidRPr="00885F53">
              <w:t>2.56</w:t>
            </w:r>
          </w:p>
        </w:tc>
        <w:tc>
          <w:tcPr>
            <w:tcW w:w="2885" w:type="dxa"/>
            <w:tcBorders>
              <w:top w:val="single" w:sz="4" w:space="0" w:color="auto"/>
              <w:left w:val="single" w:sz="4" w:space="0" w:color="auto"/>
              <w:bottom w:val="single" w:sz="4" w:space="0" w:color="auto"/>
              <w:right w:val="single" w:sz="4" w:space="0" w:color="auto"/>
            </w:tcBorders>
            <w:hideMark/>
          </w:tcPr>
          <w:p w14:paraId="047AFE39" w14:textId="77777777" w:rsidR="00220A02" w:rsidRPr="00950DA1" w:rsidRDefault="00220A02" w:rsidP="008B25C8">
            <w:pPr>
              <w:pStyle w:val="TAC"/>
              <w:rPr>
                <w:lang w:val="sv-SE"/>
              </w:rPr>
            </w:pPr>
            <w:r w:rsidRPr="00806346">
              <w:rPr>
                <w:rFonts w:cs="Arial"/>
                <w:szCs w:val="18"/>
                <w:lang w:val="sv-SE"/>
              </w:rPr>
              <w:t xml:space="preserve">58.88 x N1 x </w:t>
            </w:r>
            <w:r>
              <w:rPr>
                <w:rFonts w:cs="Arial"/>
                <w:szCs w:val="18"/>
                <w:lang w:val="sv-SE"/>
              </w:rPr>
              <w:t>K1</w:t>
            </w:r>
            <w:r w:rsidRPr="00806346">
              <w:rPr>
                <w:rFonts w:cs="Arial"/>
                <w:szCs w:val="18"/>
                <w:lang w:val="sv-SE"/>
              </w:rPr>
              <w:t xml:space="preserve"> (23 x N1 x </w:t>
            </w:r>
            <w:r>
              <w:rPr>
                <w:rFonts w:cs="Arial"/>
                <w:szCs w:val="18"/>
                <w:lang w:val="sv-SE"/>
              </w:rPr>
              <w:t>K1</w:t>
            </w:r>
            <w:r w:rsidRPr="00806346">
              <w:rPr>
                <w:rFonts w:cs="Arial"/>
                <w:szCs w:val="18"/>
                <w:lang w:val="sv-SE"/>
              </w:rPr>
              <w:t>)</w:t>
            </w:r>
          </w:p>
        </w:tc>
        <w:tc>
          <w:tcPr>
            <w:tcW w:w="2693" w:type="dxa"/>
            <w:tcBorders>
              <w:top w:val="single" w:sz="4" w:space="0" w:color="auto"/>
              <w:left w:val="single" w:sz="4" w:space="0" w:color="auto"/>
              <w:bottom w:val="single" w:sz="4" w:space="0" w:color="auto"/>
              <w:right w:val="single" w:sz="4" w:space="0" w:color="auto"/>
            </w:tcBorders>
            <w:hideMark/>
          </w:tcPr>
          <w:p w14:paraId="7D77835B" w14:textId="77777777" w:rsidR="00220A02" w:rsidRPr="00950DA1" w:rsidRDefault="00220A02" w:rsidP="008B25C8">
            <w:pPr>
              <w:pStyle w:val="TAC"/>
              <w:rPr>
                <w:lang w:val="sv-SE"/>
              </w:rPr>
            </w:pPr>
            <w:r w:rsidRPr="00806346">
              <w:rPr>
                <w:rFonts w:cs="Arial"/>
                <w:szCs w:val="18"/>
                <w:lang w:val="sv-SE"/>
              </w:rPr>
              <w:t xml:space="preserve">2.56 x N1 x </w:t>
            </w:r>
            <w:r>
              <w:rPr>
                <w:rFonts w:cs="Arial"/>
                <w:szCs w:val="18"/>
                <w:lang w:val="sv-SE"/>
              </w:rPr>
              <w:t>K1</w:t>
            </w:r>
            <w:r w:rsidRPr="00806346">
              <w:rPr>
                <w:rFonts w:cs="Arial"/>
                <w:szCs w:val="18"/>
                <w:lang w:val="sv-SE"/>
              </w:rPr>
              <w:t xml:space="preserve"> (1 x N1 x </w:t>
            </w:r>
            <w:r>
              <w:rPr>
                <w:rFonts w:cs="Arial"/>
                <w:szCs w:val="18"/>
                <w:lang w:val="sv-SE"/>
              </w:rPr>
              <w:t>K1</w:t>
            </w:r>
            <w:r w:rsidRPr="00806346">
              <w:rPr>
                <w:rFonts w:cs="Arial"/>
                <w:szCs w:val="18"/>
                <w:lang w:val="sv-SE"/>
              </w:rPr>
              <w:t>)</w:t>
            </w:r>
          </w:p>
        </w:tc>
        <w:tc>
          <w:tcPr>
            <w:tcW w:w="2688" w:type="dxa"/>
            <w:tcBorders>
              <w:top w:val="single" w:sz="4" w:space="0" w:color="auto"/>
              <w:left w:val="single" w:sz="4" w:space="0" w:color="auto"/>
              <w:bottom w:val="single" w:sz="4" w:space="0" w:color="auto"/>
              <w:right w:val="single" w:sz="4" w:space="0" w:color="auto"/>
            </w:tcBorders>
            <w:hideMark/>
          </w:tcPr>
          <w:p w14:paraId="6CF7322B" w14:textId="77777777" w:rsidR="00220A02" w:rsidRPr="00950DA1" w:rsidRDefault="00220A02" w:rsidP="008B25C8">
            <w:pPr>
              <w:pStyle w:val="TAC"/>
              <w:rPr>
                <w:lang w:val="sv-SE"/>
              </w:rPr>
            </w:pPr>
            <w:r w:rsidRPr="00806346">
              <w:rPr>
                <w:rFonts w:cs="Arial"/>
                <w:szCs w:val="18"/>
                <w:lang w:val="sv-SE"/>
              </w:rPr>
              <w:t xml:space="preserve">7.68 x N1 x </w:t>
            </w:r>
            <w:r>
              <w:rPr>
                <w:rFonts w:cs="Arial"/>
                <w:szCs w:val="18"/>
                <w:lang w:val="sv-SE"/>
              </w:rPr>
              <w:t>K1</w:t>
            </w:r>
            <w:r w:rsidRPr="00806346">
              <w:rPr>
                <w:rFonts w:cs="Arial"/>
                <w:szCs w:val="18"/>
                <w:lang w:val="sv-SE"/>
              </w:rPr>
              <w:t xml:space="preserve"> (3 x N1 x </w:t>
            </w:r>
            <w:r>
              <w:rPr>
                <w:rFonts w:cs="Arial"/>
                <w:szCs w:val="18"/>
                <w:lang w:val="sv-SE"/>
              </w:rPr>
              <w:t>K1</w:t>
            </w:r>
            <w:r w:rsidRPr="00806346">
              <w:rPr>
                <w:rFonts w:cs="Arial"/>
                <w:szCs w:val="18"/>
                <w:lang w:val="sv-SE"/>
              </w:rPr>
              <w:t>)</w:t>
            </w:r>
          </w:p>
        </w:tc>
      </w:tr>
      <w:tr w:rsidR="00220A02" w:rsidRPr="00885F53" w14:paraId="3A633262"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B3FF63C" w14:textId="77777777" w:rsidR="00220A02" w:rsidRPr="00885F53" w:rsidRDefault="00220A02" w:rsidP="008B25C8">
            <w:pPr>
              <w:pStyle w:val="TAC"/>
            </w:pPr>
            <w:r w:rsidRPr="00C23796">
              <w:rPr>
                <w:rFonts w:cs="Arial"/>
                <w:szCs w:val="18"/>
              </w:rPr>
              <w:t>5.12</w:t>
            </w:r>
          </w:p>
        </w:tc>
        <w:tc>
          <w:tcPr>
            <w:tcW w:w="2885" w:type="dxa"/>
            <w:tcBorders>
              <w:top w:val="single" w:sz="4" w:space="0" w:color="auto"/>
              <w:left w:val="single" w:sz="4" w:space="0" w:color="auto"/>
              <w:bottom w:val="single" w:sz="4" w:space="0" w:color="auto"/>
              <w:right w:val="single" w:sz="4" w:space="0" w:color="auto"/>
            </w:tcBorders>
            <w:hideMark/>
          </w:tcPr>
          <w:p w14:paraId="4FD62AC5" w14:textId="77777777" w:rsidR="00220A02" w:rsidRPr="00885F53" w:rsidRDefault="00220A02" w:rsidP="008B25C8">
            <w:pPr>
              <w:pStyle w:val="TAC"/>
            </w:pPr>
            <w:r w:rsidRPr="006F2E0A">
              <w:rPr>
                <w:rFonts w:cs="Arial"/>
                <w:szCs w:val="18"/>
              </w:rPr>
              <w:t>117.76</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(23</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2693" w:type="dxa"/>
            <w:tcBorders>
              <w:top w:val="single" w:sz="4" w:space="0" w:color="auto"/>
              <w:left w:val="single" w:sz="4" w:space="0" w:color="auto"/>
              <w:bottom w:val="single" w:sz="4" w:space="0" w:color="auto"/>
              <w:right w:val="single" w:sz="4" w:space="0" w:color="auto"/>
            </w:tcBorders>
            <w:hideMark/>
          </w:tcPr>
          <w:p w14:paraId="6633B2A3" w14:textId="77777777" w:rsidR="00220A02" w:rsidRPr="00885F53" w:rsidRDefault="00220A02" w:rsidP="008B25C8">
            <w:pPr>
              <w:pStyle w:val="TAC"/>
            </w:pPr>
            <w:r w:rsidRPr="006F2E0A">
              <w:rPr>
                <w:rFonts w:cs="Arial"/>
                <w:szCs w:val="18"/>
              </w:rPr>
              <w:t>5.12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(1</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2688" w:type="dxa"/>
            <w:tcBorders>
              <w:top w:val="single" w:sz="4" w:space="0" w:color="auto"/>
              <w:left w:val="single" w:sz="4" w:space="0" w:color="auto"/>
              <w:bottom w:val="single" w:sz="4" w:space="0" w:color="auto"/>
              <w:right w:val="single" w:sz="4" w:space="0" w:color="auto"/>
            </w:tcBorders>
            <w:hideMark/>
          </w:tcPr>
          <w:p w14:paraId="685906B5" w14:textId="77777777" w:rsidR="00220A02" w:rsidRPr="00885F53" w:rsidRDefault="00220A02" w:rsidP="008B25C8">
            <w:pPr>
              <w:pStyle w:val="TAC"/>
            </w:pPr>
            <w:r w:rsidRPr="006F2E0A">
              <w:rPr>
                <w:rFonts w:cs="Arial"/>
                <w:szCs w:val="18"/>
              </w:rPr>
              <w:t>10.24</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r>
      <w:tr w:rsidR="00220A02" w:rsidRPr="00885F53" w14:paraId="7710DF3F"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A90B145" w14:textId="77777777" w:rsidR="00220A02" w:rsidRPr="00885F53" w:rsidRDefault="00220A02" w:rsidP="008B25C8">
            <w:pPr>
              <w:pStyle w:val="TAC"/>
            </w:pPr>
            <w:r w:rsidRPr="00C23796">
              <w:rPr>
                <w:rFonts w:cs="Arial"/>
                <w:szCs w:val="18"/>
              </w:rPr>
              <w:t>10.24</w:t>
            </w:r>
          </w:p>
        </w:tc>
        <w:tc>
          <w:tcPr>
            <w:tcW w:w="2885" w:type="dxa"/>
            <w:tcBorders>
              <w:top w:val="single" w:sz="4" w:space="0" w:color="auto"/>
              <w:left w:val="single" w:sz="4" w:space="0" w:color="auto"/>
              <w:bottom w:val="single" w:sz="4" w:space="0" w:color="auto"/>
              <w:right w:val="single" w:sz="4" w:space="0" w:color="auto"/>
            </w:tcBorders>
            <w:hideMark/>
          </w:tcPr>
          <w:p w14:paraId="6BED6B79" w14:textId="77777777" w:rsidR="00220A02" w:rsidRPr="00885F53" w:rsidRDefault="00220A02" w:rsidP="008B25C8">
            <w:pPr>
              <w:pStyle w:val="TAC"/>
            </w:pPr>
            <w:r w:rsidRPr="006F2E0A">
              <w:rPr>
                <w:rFonts w:cs="Arial"/>
                <w:szCs w:val="18"/>
              </w:rPr>
              <w:t>235.52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(23</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2693" w:type="dxa"/>
            <w:tcBorders>
              <w:top w:val="single" w:sz="4" w:space="0" w:color="auto"/>
              <w:left w:val="single" w:sz="4" w:space="0" w:color="auto"/>
              <w:bottom w:val="single" w:sz="4" w:space="0" w:color="auto"/>
              <w:right w:val="single" w:sz="4" w:space="0" w:color="auto"/>
            </w:tcBorders>
            <w:hideMark/>
          </w:tcPr>
          <w:p w14:paraId="0E40DEC5" w14:textId="77777777" w:rsidR="00220A02" w:rsidRPr="00885F53" w:rsidRDefault="00220A02" w:rsidP="008B25C8">
            <w:pPr>
              <w:pStyle w:val="TAC"/>
            </w:pPr>
            <w:r w:rsidRPr="006F2E0A">
              <w:rPr>
                <w:rFonts w:cs="Arial"/>
                <w:szCs w:val="18"/>
              </w:rPr>
              <w:t>10.24</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(1</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c>
          <w:tcPr>
            <w:tcW w:w="2688" w:type="dxa"/>
            <w:tcBorders>
              <w:top w:val="single" w:sz="4" w:space="0" w:color="auto"/>
              <w:left w:val="single" w:sz="4" w:space="0" w:color="auto"/>
              <w:bottom w:val="single" w:sz="4" w:space="0" w:color="auto"/>
              <w:right w:val="single" w:sz="4" w:space="0" w:color="auto"/>
            </w:tcBorders>
            <w:hideMark/>
          </w:tcPr>
          <w:p w14:paraId="69AEEEED" w14:textId="77777777" w:rsidR="00220A02" w:rsidRPr="00885F53" w:rsidRDefault="00220A02" w:rsidP="008B25C8">
            <w:pPr>
              <w:pStyle w:val="TAC"/>
            </w:pPr>
            <w:r w:rsidRPr="006F2E0A">
              <w:rPr>
                <w:rFonts w:cs="Arial"/>
                <w:szCs w:val="18"/>
              </w:rPr>
              <w:t>20.48</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 xml:space="preserve"> (2</w:t>
            </w:r>
            <w:r w:rsidRPr="00806346">
              <w:rPr>
                <w:rFonts w:cs="Arial"/>
                <w:szCs w:val="18"/>
                <w:lang w:val="sv-SE"/>
              </w:rPr>
              <w:t xml:space="preserve"> x N1</w:t>
            </w:r>
            <w:r w:rsidRPr="00806346">
              <w:rPr>
                <w:rFonts w:cs="Arial"/>
                <w:szCs w:val="18"/>
              </w:rPr>
              <w:t xml:space="preserve"> x </w:t>
            </w:r>
            <w:r>
              <w:rPr>
                <w:rFonts w:cs="Arial"/>
                <w:szCs w:val="18"/>
              </w:rPr>
              <w:t>K1</w:t>
            </w:r>
            <w:r w:rsidRPr="00C23796">
              <w:rPr>
                <w:rFonts w:cs="Arial"/>
                <w:szCs w:val="18"/>
              </w:rPr>
              <w:t>)</w:t>
            </w:r>
          </w:p>
        </w:tc>
      </w:tr>
      <w:tr w:rsidR="00220A02" w:rsidRPr="00885F53" w14:paraId="677C583E" w14:textId="77777777" w:rsidTr="008B25C8">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5D517C54" w14:textId="77777777" w:rsidR="00220A02" w:rsidRPr="006D3EA9" w:rsidRDefault="00220A02" w:rsidP="008B25C8">
            <w:pPr>
              <w:pStyle w:val="TAN"/>
              <w:rPr>
                <w:snapToGrid w:val="0"/>
              </w:rPr>
            </w:pPr>
            <w:r w:rsidRPr="00885F53">
              <w:rPr>
                <w:snapToGrid w:val="0"/>
              </w:rPr>
              <w:t>Note 1</w:t>
            </w:r>
            <w:r w:rsidRPr="00885F53">
              <w:t>:</w:t>
            </w:r>
            <w:r w:rsidRPr="00885F53">
              <w:rPr>
                <w:lang w:val="en-US"/>
              </w:rPr>
              <w:tab/>
            </w:r>
            <w:r w:rsidRPr="009C5807">
              <w:t xml:space="preserve">Applies for </w:t>
            </w:r>
            <w:r>
              <w:t xml:space="preserve">RedCap </w:t>
            </w:r>
            <w:r w:rsidRPr="009C5807">
              <w:t xml:space="preserve">UE </w:t>
            </w:r>
            <w:r>
              <w:t xml:space="preserve">of all </w:t>
            </w:r>
            <w:r w:rsidRPr="009C5807">
              <w:t xml:space="preserve">supporting </w:t>
            </w:r>
            <w:r>
              <w:t xml:space="preserve">FR2 </w:t>
            </w:r>
            <w:r w:rsidRPr="009C5807">
              <w:t>power class</w:t>
            </w:r>
            <w:r>
              <w:t>es</w:t>
            </w:r>
            <w:r w:rsidRPr="00885F53">
              <w:t>.</w:t>
            </w:r>
          </w:p>
          <w:p w14:paraId="1A1B99E1" w14:textId="77777777" w:rsidR="00220A02" w:rsidRPr="00E95AF7" w:rsidRDefault="00220A02" w:rsidP="008B25C8">
            <w:pPr>
              <w:pStyle w:val="TAN"/>
              <w:rPr>
                <w:snapToGrid w:val="0"/>
              </w:rPr>
            </w:pPr>
            <w:r w:rsidRPr="00885F53">
              <w:rPr>
                <w:snapToGrid w:val="0"/>
              </w:rPr>
              <w:t xml:space="preserve">Note </w:t>
            </w:r>
            <w:r>
              <w:rPr>
                <w:snapToGrid w:val="0"/>
              </w:rPr>
              <w:t>2</w:t>
            </w:r>
            <w:r w:rsidRPr="00885F53">
              <w:t>:</w:t>
            </w:r>
            <w:r w:rsidRPr="00885F53">
              <w:rPr>
                <w:lang w:val="en-US"/>
              </w:rPr>
              <w:tab/>
            </w:r>
            <w:r>
              <w:t>N1 = 3</w:t>
            </w:r>
            <w:r w:rsidRPr="00885F53">
              <w:t>.</w:t>
            </w:r>
          </w:p>
          <w:p w14:paraId="2FEB0DC7" w14:textId="77777777" w:rsidR="00220A02" w:rsidRPr="00885F53" w:rsidRDefault="00220A02" w:rsidP="008B25C8">
            <w:pPr>
              <w:pStyle w:val="TAN"/>
            </w:pPr>
            <w:r w:rsidRPr="00C23796">
              <w:rPr>
                <w:rFonts w:cs="Arial"/>
                <w:snapToGrid w:val="0"/>
                <w:szCs w:val="18"/>
              </w:rPr>
              <w:t xml:space="preserve">Note </w:t>
            </w:r>
            <w:r>
              <w:rPr>
                <w:rFonts w:cs="Arial"/>
                <w:snapToGrid w:val="0"/>
                <w:szCs w:val="18"/>
              </w:rPr>
              <w:t>3</w:t>
            </w:r>
            <w:r w:rsidRPr="00C23796">
              <w:rPr>
                <w:rFonts w:cs="Arial"/>
                <w:snapToGrid w:val="0"/>
                <w:szCs w:val="18"/>
              </w:rPr>
              <w:t>:</w:t>
            </w:r>
            <w:r w:rsidRPr="00C23796">
              <w:rPr>
                <w:rFonts w:cs="Arial"/>
                <w:snapToGrid w:val="0"/>
                <w:szCs w:val="18"/>
              </w:rPr>
              <w:tab/>
            </w:r>
            <w:r>
              <w:rPr>
                <w:rFonts w:cs="Arial"/>
                <w:snapToGrid w:val="0"/>
                <w:szCs w:val="18"/>
              </w:rPr>
              <w:t>K1</w:t>
            </w:r>
            <w:r w:rsidRPr="00C23796">
              <w:rPr>
                <w:rFonts w:cs="Arial"/>
                <w:snapToGrid w:val="0"/>
                <w:szCs w:val="18"/>
              </w:rPr>
              <w:t xml:space="preserve"> = </w:t>
            </w:r>
            <w:r>
              <w:rPr>
                <w:rFonts w:cs="Arial"/>
                <w:snapToGrid w:val="0"/>
                <w:szCs w:val="18"/>
              </w:rPr>
              <w:t>3</w:t>
            </w:r>
            <w:r w:rsidRPr="00C23796">
              <w:rPr>
                <w:rFonts w:cs="Arial"/>
                <w:snapToGrid w:val="0"/>
                <w:szCs w:val="18"/>
              </w:rPr>
              <w:t xml:space="preserve"> is the measurement relaxation factor applicable for UE fulfilling the </w:t>
            </w:r>
            <w:r w:rsidRPr="00485479">
              <w:rPr>
                <w:i/>
                <w:iCs/>
              </w:rPr>
              <w:t>cellEdgeEvaluation</w:t>
            </w:r>
            <w:r>
              <w:rPr>
                <w:i/>
                <w:iCs/>
              </w:rPr>
              <w:t xml:space="preserve"> </w:t>
            </w:r>
            <w:r w:rsidRPr="00C23796">
              <w:rPr>
                <w:rFonts w:cs="Arial"/>
                <w:snapToGrid w:val="0"/>
                <w:szCs w:val="18"/>
              </w:rPr>
              <w:t>[2] criterion.</w:t>
            </w:r>
          </w:p>
        </w:tc>
      </w:tr>
    </w:tbl>
    <w:p w14:paraId="28523145" w14:textId="77777777" w:rsidR="00220A02" w:rsidRDefault="00220A02" w:rsidP="00220A02">
      <w:pPr>
        <w:rPr>
          <w:noProof/>
        </w:rPr>
      </w:pPr>
    </w:p>
    <w:p w14:paraId="7438E95F" w14:textId="3B12276E" w:rsidR="00220A02" w:rsidRPr="00327784" w:rsidRDefault="00220A02" w:rsidP="004170C7">
      <w:pPr>
        <w:pStyle w:val="TH"/>
        <w:rPr>
          <w:lang w:val="en-US"/>
        </w:rPr>
      </w:pPr>
      <w:r w:rsidRPr="00296365">
        <w:rPr>
          <w:lang w:val="en-US"/>
        </w:rPr>
        <w:t>Table 4.2B.2.</w:t>
      </w:r>
      <w:r>
        <w:rPr>
          <w:lang w:val="en-US"/>
        </w:rPr>
        <w:t>10</w:t>
      </w:r>
      <w:r w:rsidRPr="00296365">
        <w:rPr>
          <w:lang w:val="en-US"/>
        </w:rPr>
        <w:t>.10-</w:t>
      </w:r>
      <w:r>
        <w:rPr>
          <w:lang w:val="en-US"/>
        </w:rPr>
        <w:t>5</w:t>
      </w:r>
      <w:r w:rsidRPr="00327784">
        <w:rPr>
          <w:lang w:val="en-US"/>
        </w:rPr>
        <w:t xml:space="preserve">: </w:t>
      </w:r>
      <w:r w:rsidR="00B9242E" w:rsidRPr="00327784">
        <w:rPr>
          <w:lang w:val="en-US"/>
        </w:rPr>
        <w:t>T</w:t>
      </w:r>
      <w:r w:rsidR="00B9242E" w:rsidRPr="00327784">
        <w:rPr>
          <w:vertAlign w:val="subscript"/>
          <w:lang w:val="en-US"/>
        </w:rPr>
        <w:t>detect,NR_Int</w:t>
      </w:r>
      <w:r w:rsidR="00B9242E">
        <w:rPr>
          <w:vertAlign w:val="subscript"/>
          <w:lang w:val="en-US"/>
        </w:rPr>
        <w:t>er</w:t>
      </w:r>
      <w:r w:rsidR="00B9242E" w:rsidRPr="00327784">
        <w:rPr>
          <w:vertAlign w:val="subscript"/>
          <w:lang w:val="en-US"/>
        </w:rPr>
        <w:t>_RedCap_Relax</w:t>
      </w:r>
      <w:r w:rsidR="00B9242E" w:rsidRPr="00327784">
        <w:rPr>
          <w:lang w:val="en-US"/>
        </w:rPr>
        <w:t>, T</w:t>
      </w:r>
      <w:r w:rsidR="00B9242E" w:rsidRPr="00327784">
        <w:rPr>
          <w:vertAlign w:val="subscript"/>
          <w:lang w:val="en-US"/>
        </w:rPr>
        <w:t>measure,NR_Int</w:t>
      </w:r>
      <w:r w:rsidR="00B9242E">
        <w:rPr>
          <w:vertAlign w:val="subscript"/>
          <w:lang w:val="en-US"/>
        </w:rPr>
        <w:t>er</w:t>
      </w:r>
      <w:r w:rsidR="00B9242E" w:rsidRPr="00327784">
        <w:rPr>
          <w:vertAlign w:val="subscript"/>
          <w:lang w:val="en-US"/>
        </w:rPr>
        <w:t>_RedCap_</w:t>
      </w:r>
      <w:r w:rsidR="00B9242E">
        <w:rPr>
          <w:vertAlign w:val="subscript"/>
          <w:lang w:val="en-US"/>
        </w:rPr>
        <w:t>R</w:t>
      </w:r>
      <w:r w:rsidR="00B9242E" w:rsidRPr="00327784">
        <w:rPr>
          <w:vertAlign w:val="subscript"/>
          <w:lang w:val="en-US"/>
        </w:rPr>
        <w:t>elax</w:t>
      </w:r>
      <w:r w:rsidR="00B9242E" w:rsidRPr="00327784">
        <w:rPr>
          <w:lang w:val="en-US"/>
        </w:rPr>
        <w:t xml:space="preserve"> and T</w:t>
      </w:r>
      <w:r w:rsidR="00B9242E" w:rsidRPr="00327784">
        <w:rPr>
          <w:vertAlign w:val="subscript"/>
          <w:lang w:val="en-US"/>
        </w:rPr>
        <w:t>evaluate,NR_Int</w:t>
      </w:r>
      <w:r w:rsidR="00B9242E">
        <w:rPr>
          <w:vertAlign w:val="subscript"/>
          <w:lang w:val="en-US"/>
        </w:rPr>
        <w:t>er</w:t>
      </w:r>
      <w:r w:rsidR="00B9242E" w:rsidRPr="00327784">
        <w:rPr>
          <w:vertAlign w:val="subscript"/>
          <w:lang w:val="en-US"/>
        </w:rPr>
        <w:t>_RedCap_Relax</w:t>
      </w:r>
      <w:r w:rsidR="00B9242E" w:rsidRPr="00327784">
        <w:rPr>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718"/>
        <w:gridCol w:w="885"/>
        <w:gridCol w:w="2670"/>
        <w:gridCol w:w="2116"/>
        <w:gridCol w:w="2103"/>
      </w:tblGrid>
      <w:tr w:rsidR="00220A02" w:rsidRPr="00B85562" w14:paraId="3E308482" w14:textId="77777777" w:rsidTr="008B25C8">
        <w:trPr>
          <w:trHeight w:val="1692"/>
        </w:trPr>
        <w:tc>
          <w:tcPr>
            <w:tcW w:w="1198" w:type="dxa"/>
            <w:hideMark/>
          </w:tcPr>
          <w:p w14:paraId="465DE263" w14:textId="77777777" w:rsidR="00220A02" w:rsidRPr="00B11B68" w:rsidRDefault="00220A02" w:rsidP="008B25C8">
            <w:pPr>
              <w:rPr>
                <w:rFonts w:ascii="Arial" w:hAnsi="Arial" w:cs="Arial"/>
                <w:sz w:val="18"/>
                <w:lang w:val="en-US"/>
              </w:rPr>
            </w:pPr>
            <w:r w:rsidRPr="00B11B68">
              <w:rPr>
                <w:rFonts w:ascii="Arial" w:hAnsi="Arial" w:cs="Arial"/>
                <w:b/>
                <w:sz w:val="18"/>
              </w:rPr>
              <w:t>eDRX_IDLE cycle length [s]</w:t>
            </w:r>
          </w:p>
        </w:tc>
        <w:tc>
          <w:tcPr>
            <w:tcW w:w="751" w:type="dxa"/>
            <w:hideMark/>
          </w:tcPr>
          <w:p w14:paraId="1AC2D9FE" w14:textId="77777777" w:rsidR="00220A02" w:rsidRPr="00B11B68" w:rsidRDefault="00220A02" w:rsidP="008B25C8">
            <w:pPr>
              <w:rPr>
                <w:rFonts w:ascii="Arial" w:hAnsi="Arial" w:cs="Arial"/>
                <w:sz w:val="18"/>
                <w:lang w:val="en-US"/>
              </w:rPr>
            </w:pPr>
            <w:r w:rsidRPr="00B11B68">
              <w:rPr>
                <w:rFonts w:ascii="Arial" w:hAnsi="Arial" w:cs="Arial"/>
                <w:b/>
                <w:sz w:val="18"/>
              </w:rPr>
              <w:t>DRX cycle length [s]</w:t>
            </w:r>
          </w:p>
        </w:tc>
        <w:tc>
          <w:tcPr>
            <w:tcW w:w="930" w:type="dxa"/>
            <w:hideMark/>
          </w:tcPr>
          <w:p w14:paraId="40319993" w14:textId="77777777" w:rsidR="00220A02" w:rsidRPr="00B11B68" w:rsidRDefault="00220A02" w:rsidP="008B25C8">
            <w:pPr>
              <w:rPr>
                <w:rFonts w:ascii="Arial" w:hAnsi="Arial" w:cs="Arial"/>
                <w:sz w:val="18"/>
                <w:lang w:val="en-US"/>
              </w:rPr>
            </w:pPr>
            <w:r w:rsidRPr="00B11B68">
              <w:rPr>
                <w:rFonts w:ascii="Arial" w:hAnsi="Arial" w:cs="Arial"/>
                <w:b/>
                <w:sz w:val="18"/>
              </w:rPr>
              <w:t>PTW length [s] (number of 1.28s periods)</w:t>
            </w:r>
          </w:p>
        </w:tc>
        <w:tc>
          <w:tcPr>
            <w:tcW w:w="2431" w:type="dxa"/>
            <w:hideMark/>
          </w:tcPr>
          <w:p w14:paraId="49DD6E00" w14:textId="77777777" w:rsidR="00220A02" w:rsidRPr="00B11B68" w:rsidRDefault="00220A02" w:rsidP="008B25C8">
            <w:pPr>
              <w:rPr>
                <w:rFonts w:ascii="Arial" w:hAnsi="Arial" w:cs="Arial"/>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detect,NR_Int</w:t>
            </w:r>
            <w:r>
              <w:rPr>
                <w:rFonts w:ascii="Arial" w:hAnsi="Arial" w:cs="Arial"/>
                <w:b/>
                <w:sz w:val="18"/>
                <w:szCs w:val="18"/>
                <w:vertAlign w:val="subscript"/>
                <w:lang w:val="en-US"/>
              </w:rPr>
              <w:t>er</w:t>
            </w:r>
            <w:r w:rsidRPr="00B11B68">
              <w:rPr>
                <w:rFonts w:ascii="Arial" w:hAnsi="Arial" w:cs="Arial"/>
                <w:b/>
                <w:sz w:val="18"/>
                <w:szCs w:val="18"/>
                <w:vertAlign w:val="subscript"/>
                <w:lang w:val="en-US"/>
              </w:rPr>
              <w:t>_RedCap</w:t>
            </w:r>
            <w:r>
              <w:rPr>
                <w:rFonts w:ascii="Arial" w:hAnsi="Arial" w:cs="Arial"/>
                <w:b/>
                <w:sz w:val="18"/>
                <w:szCs w:val="18"/>
                <w:vertAlign w:val="subscript"/>
                <w:lang w:val="en-US"/>
              </w:rPr>
              <w:t>_Relax</w:t>
            </w:r>
            <w:r w:rsidRPr="00963536">
              <w:rPr>
                <w:rFonts w:ascii="Arial" w:hAnsi="Arial" w:cs="Arial"/>
                <w:b/>
                <w:sz w:val="18"/>
                <w:szCs w:val="18"/>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c>
          <w:tcPr>
            <w:tcW w:w="1860" w:type="dxa"/>
            <w:hideMark/>
          </w:tcPr>
          <w:p w14:paraId="4ED1C86C" w14:textId="77777777" w:rsidR="00220A02" w:rsidRPr="00B11B68" w:rsidRDefault="00220A02" w:rsidP="008B25C8">
            <w:pPr>
              <w:rPr>
                <w:rFonts w:ascii="Arial" w:hAnsi="Arial" w:cs="Arial"/>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measure,NR_Int</w:t>
            </w:r>
            <w:r>
              <w:rPr>
                <w:rFonts w:ascii="Arial" w:hAnsi="Arial" w:cs="Arial"/>
                <w:b/>
                <w:sz w:val="18"/>
                <w:szCs w:val="18"/>
                <w:vertAlign w:val="subscript"/>
                <w:lang w:val="en-US"/>
              </w:rPr>
              <w:t>er</w:t>
            </w:r>
            <w:r w:rsidRPr="00B11B68">
              <w:rPr>
                <w:rFonts w:ascii="Arial" w:hAnsi="Arial" w:cs="Arial"/>
                <w:b/>
                <w:sz w:val="18"/>
                <w:szCs w:val="18"/>
                <w:vertAlign w:val="subscript"/>
                <w:lang w:val="en-US"/>
              </w:rPr>
              <w:t>_RedCap</w:t>
            </w:r>
            <w:r>
              <w:rPr>
                <w:rFonts w:ascii="Arial" w:hAnsi="Arial" w:cs="Arial"/>
                <w:b/>
                <w:sz w:val="18"/>
                <w:szCs w:val="18"/>
                <w:vertAlign w:val="subscript"/>
                <w:lang w:val="en-US"/>
              </w:rPr>
              <w:t>_Relax</w:t>
            </w:r>
            <w:r w:rsidRPr="00B11B68">
              <w:rPr>
                <w:rFonts w:ascii="Arial" w:hAnsi="Arial" w:cs="Arial"/>
                <w:b/>
                <w:sz w:val="18"/>
                <w:szCs w:val="18"/>
                <w:lang w:val="en-US"/>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c>
          <w:tcPr>
            <w:tcW w:w="1846" w:type="dxa"/>
          </w:tcPr>
          <w:p w14:paraId="6102A994" w14:textId="77777777" w:rsidR="00220A02" w:rsidRPr="00B11B68" w:rsidRDefault="00220A02" w:rsidP="008B25C8">
            <w:pPr>
              <w:rPr>
                <w:rFonts w:ascii="Arial" w:hAnsi="Arial" w:cs="Arial"/>
                <w:b/>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evaluate,NR_Int</w:t>
            </w:r>
            <w:r>
              <w:rPr>
                <w:rFonts w:ascii="Arial" w:hAnsi="Arial" w:cs="Arial"/>
                <w:b/>
                <w:sz w:val="18"/>
                <w:szCs w:val="18"/>
                <w:vertAlign w:val="subscript"/>
                <w:lang w:val="en-US"/>
              </w:rPr>
              <w:t>er</w:t>
            </w:r>
            <w:r w:rsidRPr="00B11B68">
              <w:rPr>
                <w:rFonts w:ascii="Arial" w:hAnsi="Arial" w:cs="Arial"/>
                <w:b/>
                <w:sz w:val="18"/>
                <w:szCs w:val="18"/>
                <w:vertAlign w:val="subscript"/>
                <w:lang w:val="en-US"/>
              </w:rPr>
              <w:t>_RedCap</w:t>
            </w:r>
            <w:r>
              <w:rPr>
                <w:rFonts w:ascii="Arial" w:hAnsi="Arial" w:cs="Arial"/>
                <w:b/>
                <w:sz w:val="18"/>
                <w:szCs w:val="18"/>
                <w:vertAlign w:val="subscript"/>
                <w:lang w:val="en-US"/>
              </w:rPr>
              <w:t>_Relax</w:t>
            </w:r>
            <w:r w:rsidRPr="00B11B68">
              <w:rPr>
                <w:rFonts w:ascii="Arial" w:hAnsi="Arial" w:cs="Arial"/>
                <w:b/>
                <w:sz w:val="18"/>
                <w:szCs w:val="18"/>
                <w:vertAlign w:val="subscript"/>
                <w:lang w:val="en-US"/>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r>
      <w:tr w:rsidR="00220A02" w:rsidRPr="00B85562" w14:paraId="48C73369" w14:textId="77777777" w:rsidTr="008B25C8">
        <w:trPr>
          <w:trHeight w:val="673"/>
        </w:trPr>
        <w:tc>
          <w:tcPr>
            <w:tcW w:w="1198" w:type="dxa"/>
            <w:vMerge w:val="restart"/>
            <w:hideMark/>
          </w:tcPr>
          <w:p w14:paraId="66583EB9" w14:textId="77777777" w:rsidR="00220A02" w:rsidRPr="00B11B68" w:rsidRDefault="00220A02" w:rsidP="008B25C8">
            <w:pPr>
              <w:rPr>
                <w:rFonts w:ascii="Arial" w:hAnsi="Arial" w:cs="Arial"/>
                <w:sz w:val="18"/>
                <w:lang w:val="en-US"/>
              </w:rPr>
            </w:pPr>
            <w:r w:rsidRPr="00B11B68">
              <w:rPr>
                <w:rFonts w:ascii="Arial" w:hAnsi="Arial" w:cs="Arial"/>
                <w:sz w:val="18"/>
              </w:rPr>
              <w:t>20.48 ≤</w:t>
            </w:r>
            <w:r w:rsidRPr="00CA7017">
              <w:rPr>
                <w:rFonts w:cs="Arial"/>
              </w:rPr>
              <w:t xml:space="preserve"> </w:t>
            </w:r>
            <w:r w:rsidRPr="00B11B68">
              <w:rPr>
                <w:rFonts w:ascii="Arial" w:hAnsi="Arial" w:cs="Arial"/>
                <w:sz w:val="18"/>
              </w:rPr>
              <w:t xml:space="preserve"> eDRX_IDLE cycle length ≤</w:t>
            </w:r>
            <w:r>
              <w:rPr>
                <w:rFonts w:ascii="Arial" w:hAnsi="Arial" w:cs="Arial"/>
                <w:sz w:val="18"/>
              </w:rPr>
              <w:t>[163.84]</w:t>
            </w:r>
          </w:p>
        </w:tc>
        <w:tc>
          <w:tcPr>
            <w:tcW w:w="751" w:type="dxa"/>
            <w:hideMark/>
          </w:tcPr>
          <w:p w14:paraId="626B34B1" w14:textId="77777777" w:rsidR="00220A02" w:rsidRPr="00B11B68" w:rsidRDefault="00220A02" w:rsidP="008B25C8">
            <w:pPr>
              <w:rPr>
                <w:rFonts w:ascii="Arial" w:hAnsi="Arial" w:cs="Arial"/>
                <w:sz w:val="18"/>
                <w:lang w:val="en-US"/>
              </w:rPr>
            </w:pPr>
            <w:r w:rsidRPr="00B11B68">
              <w:rPr>
                <w:rFonts w:ascii="Arial" w:hAnsi="Arial" w:cs="Arial"/>
                <w:sz w:val="18"/>
              </w:rPr>
              <w:t>0.32</w:t>
            </w:r>
          </w:p>
        </w:tc>
        <w:tc>
          <w:tcPr>
            <w:tcW w:w="930" w:type="dxa"/>
            <w:hideMark/>
          </w:tcPr>
          <w:p w14:paraId="45D1634F" w14:textId="77777777" w:rsidR="00220A02" w:rsidRPr="00B11B68" w:rsidRDefault="00220A02" w:rsidP="008B25C8">
            <w:pPr>
              <w:rPr>
                <w:rFonts w:ascii="Arial" w:hAnsi="Arial" w:cs="Arial"/>
                <w:sz w:val="18"/>
                <w:lang w:val="en-US"/>
              </w:rPr>
            </w:pPr>
            <w:r w:rsidRPr="00B11B68">
              <w:rPr>
                <w:rFonts w:ascii="Arial" w:hAnsi="Arial" w:cs="Arial"/>
                <w:sz w:val="18"/>
              </w:rPr>
              <w:t>≥</w:t>
            </w:r>
            <w:r>
              <w:rPr>
                <w:rFonts w:ascii="Arial" w:hAnsi="Arial" w:cs="Arial"/>
                <w:sz w:val="18"/>
                <w:lang w:val="en-US"/>
              </w:rPr>
              <w:t>[</w:t>
            </w:r>
            <w:r>
              <w:rPr>
                <w:rFonts w:ascii="Arial" w:hAnsi="Arial" w:cs="Arial"/>
                <w:sz w:val="18"/>
              </w:rPr>
              <w:t>3.84]</w:t>
            </w:r>
            <w:r w:rsidRPr="00B11B68">
              <w:rPr>
                <w:rFonts w:ascii="Arial" w:hAnsi="Arial" w:cs="Arial"/>
                <w:sz w:val="18"/>
              </w:rPr>
              <w:t xml:space="preserve"> (</w:t>
            </w:r>
            <w:r>
              <w:rPr>
                <w:rFonts w:ascii="Arial" w:hAnsi="Arial" w:cs="Arial"/>
                <w:sz w:val="18"/>
              </w:rPr>
              <w:t>[3]</w:t>
            </w:r>
            <w:r w:rsidRPr="00B11B68">
              <w:rPr>
                <w:rFonts w:ascii="Arial" w:hAnsi="Arial" w:cs="Arial"/>
                <w:sz w:val="18"/>
              </w:rPr>
              <w:t>)</w:t>
            </w:r>
          </w:p>
        </w:tc>
        <w:tc>
          <w:tcPr>
            <w:tcW w:w="2431" w:type="dxa"/>
            <w:vMerge w:val="restart"/>
            <w:hideMark/>
          </w:tcPr>
          <w:p w14:paraId="0CDBB4F4" w14:textId="77777777" w:rsidR="00220A02" w:rsidRPr="00B11B68" w:rsidRDefault="00220A02" w:rsidP="008B25C8">
            <w:pPr>
              <w:rPr>
                <w:rFonts w:ascii="Arial" w:hAnsi="Arial" w:cs="Arial"/>
                <w:sz w:val="18"/>
                <w:lang w:val="en-US"/>
              </w:rPr>
            </w:pPr>
            <m:oMathPara>
              <m:oMathParaPr>
                <m:jc m:val="centerGroup"/>
              </m:oMathParaPr>
              <m:oMath>
                <m:r>
                  <w:rPr>
                    <w:rFonts w:ascii="Cambria Math" w:hAnsi="Cambria Math" w:cs="Arial"/>
                    <w:sz w:val="18"/>
                    <w:lang w:val="en-US"/>
                  </w:rPr>
                  <m:t>eDRX</m:t>
                </m:r>
                <m:r>
                  <m:rPr>
                    <m:sty m:val="p"/>
                  </m:rPr>
                  <w:rPr>
                    <w:rFonts w:ascii="Cambria Math" w:hAnsi="Cambria Math" w:cs="Arial"/>
                    <w:sz w:val="18"/>
                    <w:lang w:val="en-US"/>
                  </w:rPr>
                  <m:t>_</m:t>
                </m:r>
                <m:r>
                  <w:rPr>
                    <w:rFonts w:ascii="Cambria Math" w:hAnsi="Cambria Math" w:cs="Arial"/>
                    <w:sz w:val="18"/>
                    <w:lang w:val="en-US"/>
                  </w:rPr>
                  <m:t>cycl</m:t>
                </m:r>
                <m:r>
                  <m:rPr>
                    <m:sty m:val="p"/>
                  </m:rPr>
                  <w:rPr>
                    <w:rFonts w:ascii="Cambria Math" w:hAnsi="Cambria Math" w:cs="Arial"/>
                    <w:sz w:val="18"/>
                    <w:lang w:val="en-US"/>
                  </w:rPr>
                  <m:t>e_</m:t>
                </m:r>
                <m:r>
                  <w:rPr>
                    <w:rFonts w:ascii="Cambria Math" w:hAnsi="Cambria Math" w:cs="Arial"/>
                    <w:sz w:val="18"/>
                    <w:lang w:val="en-US"/>
                  </w:rPr>
                  <m:t>length×</m:t>
                </m:r>
                <m:d>
                  <m:dPr>
                    <m:begChr m:val="⌈"/>
                    <m:endChr m:val="⌉"/>
                    <m:ctrlPr>
                      <w:rPr>
                        <w:rFonts w:ascii="Cambria Math" w:hAnsi="Cambria Math" w:cs="Arial"/>
                        <w:i/>
                        <w:sz w:val="18"/>
                        <w:lang w:val="en-US"/>
                      </w:rPr>
                    </m:ctrlPr>
                  </m:dPr>
                  <m:e>
                    <m:f>
                      <m:fPr>
                        <m:ctrlPr>
                          <w:rPr>
                            <w:rFonts w:ascii="Cambria Math" w:hAnsi="Cambria Math" w:cs="Arial"/>
                            <w:i/>
                            <w:sz w:val="18"/>
                            <w:lang w:val="en-US"/>
                          </w:rPr>
                        </m:ctrlPr>
                      </m:fPr>
                      <m:num>
                        <m:r>
                          <w:rPr>
                            <w:rFonts w:ascii="Cambria Math" w:hAnsi="Cambria Math" w:cs="Arial"/>
                            <w:sz w:val="18"/>
                            <w:lang w:val="en-US"/>
                          </w:rPr>
                          <m:t>23</m:t>
                        </m:r>
                      </m:num>
                      <m:den>
                        <m:r>
                          <w:rPr>
                            <w:rFonts w:ascii="Cambria Math" w:hAnsi="Cambria Math" w:cs="Arial"/>
                            <w:sz w:val="18"/>
                            <w:lang w:val="en-US"/>
                          </w:rPr>
                          <m:t>PTW/DRX_cycle_length</m:t>
                        </m:r>
                      </m:den>
                    </m:f>
                  </m:e>
                </m:d>
                <m:r>
                  <m:rPr>
                    <m:sty m:val="p"/>
                  </m:rPr>
                  <w:rPr>
                    <w:rFonts w:ascii="Cambria Math" w:hAnsi="Cambria Math"/>
                    <w:lang w:val="sv-SE"/>
                  </w:rPr>
                  <m:t xml:space="preserve">x </m:t>
                </m:r>
                <m:r>
                  <m:rPr>
                    <m:sty m:val="p"/>
                  </m:rPr>
                  <w:rPr>
                    <w:rFonts w:ascii="Cambria Math" w:hAnsi="Cambria Math" w:cs="Arial"/>
                    <w:lang w:val="sv-SE"/>
                  </w:rPr>
                  <m:t>K1</m:t>
                </m:r>
              </m:oMath>
            </m:oMathPara>
          </w:p>
          <w:p w14:paraId="63B9B3A7" w14:textId="77777777" w:rsidR="00220A02" w:rsidRPr="00B11B68" w:rsidRDefault="00220A02" w:rsidP="008B25C8">
            <w:pPr>
              <w:rPr>
                <w:rFonts w:ascii="Arial" w:hAnsi="Arial" w:cs="Arial"/>
                <w:sz w:val="18"/>
                <w:lang w:val="en-US"/>
              </w:rPr>
            </w:pPr>
            <w:r w:rsidRPr="00B11B68">
              <w:rPr>
                <w:rFonts w:ascii="Arial" w:hAnsi="Arial" w:cs="Arial"/>
                <w:sz w:val="18"/>
                <w:lang w:val="en-US"/>
              </w:rPr>
              <w:t>(23</w:t>
            </w:r>
            <w:r w:rsidRPr="0082197E">
              <w:rPr>
                <w:lang w:val="sv-SE"/>
              </w:rPr>
              <w:t xml:space="preserve"> x </w:t>
            </w:r>
            <w:r>
              <w:rPr>
                <w:rFonts w:cs="Arial"/>
                <w:lang w:val="sv-SE"/>
              </w:rPr>
              <w:t>K1</w:t>
            </w:r>
            <w:r w:rsidRPr="00B11B68">
              <w:rPr>
                <w:rFonts w:ascii="Arial" w:hAnsi="Arial" w:cs="Arial"/>
                <w:sz w:val="18"/>
                <w:lang w:val="en-US"/>
              </w:rPr>
              <w:t>)</w:t>
            </w:r>
          </w:p>
        </w:tc>
        <w:tc>
          <w:tcPr>
            <w:tcW w:w="1860" w:type="dxa"/>
            <w:hideMark/>
          </w:tcPr>
          <w:p w14:paraId="662E04A7" w14:textId="77777777" w:rsidR="00220A02" w:rsidRPr="00896DB0" w:rsidRDefault="00220A02" w:rsidP="008B25C8">
            <w:pPr>
              <w:rPr>
                <w:rFonts w:ascii="Arial" w:hAnsi="Arial" w:cs="Arial"/>
                <w:sz w:val="18"/>
              </w:rPr>
            </w:pPr>
            <w:r w:rsidRPr="00B11B68">
              <w:rPr>
                <w:rFonts w:ascii="Arial" w:hAnsi="Arial" w:cs="Arial"/>
                <w:sz w:val="18"/>
              </w:rPr>
              <w:t>0.32</w:t>
            </w:r>
            <w:r w:rsidRPr="00896DB0">
              <w:rPr>
                <w:rFonts w:ascii="Arial" w:hAnsi="Arial" w:cs="Arial"/>
                <w:sz w:val="18"/>
              </w:rPr>
              <w:t xml:space="preserve"> x M2 x K1</w:t>
            </w:r>
            <w:r w:rsidRPr="00B11B68">
              <w:rPr>
                <w:rFonts w:ascii="Arial" w:hAnsi="Arial" w:cs="Arial"/>
                <w:sz w:val="18"/>
              </w:rPr>
              <w:t xml:space="preserve"> (1</w:t>
            </w:r>
            <w:r w:rsidRPr="00896DB0">
              <w:rPr>
                <w:rFonts w:ascii="Arial" w:hAnsi="Arial" w:cs="Arial"/>
                <w:sz w:val="18"/>
              </w:rPr>
              <w:t xml:space="preserve"> x M2 x K1</w:t>
            </w:r>
            <w:r w:rsidRPr="00B11B68">
              <w:rPr>
                <w:rFonts w:ascii="Arial" w:hAnsi="Arial" w:cs="Arial"/>
                <w:sz w:val="18"/>
              </w:rPr>
              <w:t>)</w:t>
            </w:r>
          </w:p>
        </w:tc>
        <w:tc>
          <w:tcPr>
            <w:tcW w:w="1846" w:type="dxa"/>
          </w:tcPr>
          <w:p w14:paraId="0E756598" w14:textId="77777777" w:rsidR="00220A02" w:rsidRDefault="00220A02" w:rsidP="008B25C8">
            <w:pPr>
              <w:rPr>
                <w:rFonts w:ascii="Arial" w:hAnsi="Arial" w:cs="Arial"/>
                <w:sz w:val="18"/>
              </w:rPr>
            </w:pPr>
            <w:r w:rsidRPr="00896DB0">
              <w:rPr>
                <w:rFonts w:ascii="Arial" w:hAnsi="Arial" w:cs="Arial"/>
                <w:sz w:val="18"/>
              </w:rPr>
              <w:t>0.64 x M2 x K1 (2 x M2 x K1)</w:t>
            </w:r>
          </w:p>
        </w:tc>
      </w:tr>
      <w:tr w:rsidR="00220A02" w:rsidRPr="00B85562" w14:paraId="5A5D944A" w14:textId="77777777" w:rsidTr="008B25C8">
        <w:trPr>
          <w:trHeight w:val="336"/>
        </w:trPr>
        <w:tc>
          <w:tcPr>
            <w:tcW w:w="1198" w:type="dxa"/>
            <w:vMerge/>
            <w:hideMark/>
          </w:tcPr>
          <w:p w14:paraId="1D0C3005" w14:textId="77777777" w:rsidR="00220A02" w:rsidRPr="00B11B68" w:rsidRDefault="00220A02" w:rsidP="008B25C8">
            <w:pPr>
              <w:rPr>
                <w:rFonts w:ascii="Arial" w:hAnsi="Arial" w:cs="Arial"/>
                <w:sz w:val="18"/>
                <w:lang w:val="en-US"/>
              </w:rPr>
            </w:pPr>
          </w:p>
        </w:tc>
        <w:tc>
          <w:tcPr>
            <w:tcW w:w="751" w:type="dxa"/>
            <w:hideMark/>
          </w:tcPr>
          <w:p w14:paraId="779AE05E" w14:textId="77777777" w:rsidR="00220A02" w:rsidRPr="00B11B68" w:rsidRDefault="00220A02" w:rsidP="008B25C8">
            <w:pPr>
              <w:rPr>
                <w:rFonts w:ascii="Arial" w:hAnsi="Arial" w:cs="Arial"/>
                <w:sz w:val="18"/>
                <w:lang w:val="en-US"/>
              </w:rPr>
            </w:pPr>
            <w:r w:rsidRPr="00B11B68">
              <w:rPr>
                <w:rFonts w:ascii="Arial" w:hAnsi="Arial" w:cs="Arial"/>
                <w:sz w:val="18"/>
              </w:rPr>
              <w:t>0.64</w:t>
            </w:r>
          </w:p>
        </w:tc>
        <w:tc>
          <w:tcPr>
            <w:tcW w:w="930" w:type="dxa"/>
            <w:hideMark/>
          </w:tcPr>
          <w:p w14:paraId="0B9E6AF7" w14:textId="77777777" w:rsidR="00220A02" w:rsidRPr="00B11B68" w:rsidRDefault="00220A02" w:rsidP="008B25C8">
            <w:pPr>
              <w:rPr>
                <w:rFonts w:ascii="Arial" w:hAnsi="Arial" w:cs="Arial"/>
                <w:sz w:val="18"/>
                <w:lang w:val="en-US"/>
              </w:rPr>
            </w:pPr>
            <w:r w:rsidRPr="00B11B68">
              <w:rPr>
                <w:rFonts w:ascii="Arial" w:hAnsi="Arial" w:cs="Arial"/>
                <w:sz w:val="18"/>
              </w:rPr>
              <w:t>≥</w:t>
            </w:r>
            <w:r>
              <w:rPr>
                <w:rFonts w:ascii="Arial" w:hAnsi="Arial" w:cs="Arial"/>
                <w:sz w:val="18"/>
                <w:lang w:val="en-US"/>
              </w:rPr>
              <w:t>[</w:t>
            </w:r>
            <w:r>
              <w:rPr>
                <w:rFonts w:ascii="Arial" w:hAnsi="Arial" w:cs="Arial"/>
                <w:sz w:val="18"/>
              </w:rPr>
              <w:t>3.84]</w:t>
            </w:r>
            <w:r w:rsidRPr="00B11B68">
              <w:rPr>
                <w:rFonts w:ascii="Arial" w:hAnsi="Arial" w:cs="Arial"/>
                <w:sz w:val="18"/>
              </w:rPr>
              <w:t xml:space="preserve"> (</w:t>
            </w:r>
            <w:r>
              <w:rPr>
                <w:rFonts w:ascii="Arial" w:hAnsi="Arial" w:cs="Arial"/>
                <w:sz w:val="18"/>
              </w:rPr>
              <w:t>[3]</w:t>
            </w:r>
            <w:r w:rsidRPr="00B11B68">
              <w:rPr>
                <w:rFonts w:ascii="Arial" w:hAnsi="Arial" w:cs="Arial"/>
                <w:sz w:val="18"/>
              </w:rPr>
              <w:t>)</w:t>
            </w:r>
          </w:p>
        </w:tc>
        <w:tc>
          <w:tcPr>
            <w:tcW w:w="2431" w:type="dxa"/>
            <w:vMerge/>
            <w:hideMark/>
          </w:tcPr>
          <w:p w14:paraId="577A4019" w14:textId="77777777" w:rsidR="00220A02" w:rsidRPr="00B11B68" w:rsidRDefault="00220A02" w:rsidP="008B25C8">
            <w:pPr>
              <w:rPr>
                <w:rFonts w:ascii="Arial" w:hAnsi="Arial" w:cs="Arial"/>
                <w:sz w:val="18"/>
                <w:lang w:val="en-US"/>
              </w:rPr>
            </w:pPr>
          </w:p>
        </w:tc>
        <w:tc>
          <w:tcPr>
            <w:tcW w:w="1860" w:type="dxa"/>
            <w:hideMark/>
          </w:tcPr>
          <w:p w14:paraId="07F9EC08" w14:textId="77777777" w:rsidR="00220A02" w:rsidRPr="00896DB0" w:rsidRDefault="00220A02" w:rsidP="008B25C8">
            <w:pPr>
              <w:rPr>
                <w:rFonts w:ascii="Arial" w:hAnsi="Arial" w:cs="Arial"/>
                <w:sz w:val="18"/>
              </w:rPr>
            </w:pPr>
            <w:r w:rsidRPr="00B11B68">
              <w:rPr>
                <w:rFonts w:ascii="Arial" w:hAnsi="Arial" w:cs="Arial"/>
                <w:sz w:val="18"/>
              </w:rPr>
              <w:t>0.64</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19E0A66E" w14:textId="77777777" w:rsidR="00220A02" w:rsidRPr="00B11B68" w:rsidRDefault="00220A02" w:rsidP="008B25C8">
            <w:pPr>
              <w:rPr>
                <w:rFonts w:ascii="Arial" w:hAnsi="Arial" w:cs="Arial"/>
                <w:sz w:val="18"/>
              </w:rPr>
            </w:pPr>
            <w:r w:rsidRPr="00B11B68">
              <w:rPr>
                <w:rFonts w:ascii="Arial" w:hAnsi="Arial" w:cs="Arial"/>
                <w:sz w:val="18"/>
              </w:rPr>
              <w:t>1.28</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220A02" w:rsidRPr="00B85562" w14:paraId="364A5D58" w14:textId="77777777" w:rsidTr="008B25C8">
        <w:trPr>
          <w:trHeight w:val="336"/>
        </w:trPr>
        <w:tc>
          <w:tcPr>
            <w:tcW w:w="1198" w:type="dxa"/>
            <w:vMerge/>
            <w:hideMark/>
          </w:tcPr>
          <w:p w14:paraId="530EBBEA" w14:textId="77777777" w:rsidR="00220A02" w:rsidRPr="00B11B68" w:rsidRDefault="00220A02" w:rsidP="008B25C8">
            <w:pPr>
              <w:rPr>
                <w:rFonts w:ascii="Arial" w:hAnsi="Arial" w:cs="Arial"/>
                <w:sz w:val="18"/>
                <w:lang w:val="en-US"/>
              </w:rPr>
            </w:pPr>
          </w:p>
        </w:tc>
        <w:tc>
          <w:tcPr>
            <w:tcW w:w="751" w:type="dxa"/>
            <w:hideMark/>
          </w:tcPr>
          <w:p w14:paraId="774BE276" w14:textId="77777777" w:rsidR="00220A02" w:rsidRPr="00B11B68" w:rsidRDefault="00220A02" w:rsidP="008B25C8">
            <w:pPr>
              <w:rPr>
                <w:rFonts w:ascii="Arial" w:hAnsi="Arial" w:cs="Arial"/>
                <w:sz w:val="18"/>
                <w:lang w:val="en-US"/>
              </w:rPr>
            </w:pPr>
            <w:r w:rsidRPr="00B11B68">
              <w:rPr>
                <w:rFonts w:ascii="Arial" w:hAnsi="Arial" w:cs="Arial"/>
                <w:sz w:val="18"/>
              </w:rPr>
              <w:t>1.28</w:t>
            </w:r>
          </w:p>
        </w:tc>
        <w:tc>
          <w:tcPr>
            <w:tcW w:w="930" w:type="dxa"/>
            <w:hideMark/>
          </w:tcPr>
          <w:p w14:paraId="353BBCA2" w14:textId="77777777" w:rsidR="00220A02" w:rsidRPr="00B11B68" w:rsidRDefault="00220A02" w:rsidP="008B25C8">
            <w:pPr>
              <w:rPr>
                <w:rFonts w:ascii="Arial" w:hAnsi="Arial" w:cs="Arial"/>
                <w:sz w:val="18"/>
                <w:lang w:val="en-US"/>
              </w:rPr>
            </w:pPr>
            <w:r w:rsidRPr="00B11B68">
              <w:rPr>
                <w:rFonts w:ascii="Arial" w:hAnsi="Arial" w:cs="Arial"/>
                <w:sz w:val="18"/>
              </w:rPr>
              <w:t>≥</w:t>
            </w:r>
            <w:r>
              <w:rPr>
                <w:rFonts w:ascii="Arial" w:hAnsi="Arial" w:cs="Arial"/>
                <w:sz w:val="18"/>
              </w:rPr>
              <w:t>[7.68]</w:t>
            </w:r>
            <w:r w:rsidRPr="00B11B68">
              <w:rPr>
                <w:rFonts w:ascii="Arial" w:hAnsi="Arial" w:cs="Arial"/>
                <w:sz w:val="18"/>
              </w:rPr>
              <w:t xml:space="preserve"> (</w:t>
            </w:r>
            <w:r>
              <w:rPr>
                <w:rFonts w:ascii="Arial" w:hAnsi="Arial" w:cs="Arial"/>
                <w:sz w:val="18"/>
              </w:rPr>
              <w:t>[6]</w:t>
            </w:r>
            <w:r w:rsidRPr="00B11B68">
              <w:rPr>
                <w:rFonts w:ascii="Arial" w:hAnsi="Arial" w:cs="Arial"/>
                <w:sz w:val="18"/>
              </w:rPr>
              <w:t>)</w:t>
            </w:r>
          </w:p>
        </w:tc>
        <w:tc>
          <w:tcPr>
            <w:tcW w:w="2431" w:type="dxa"/>
            <w:vMerge/>
            <w:hideMark/>
          </w:tcPr>
          <w:p w14:paraId="4FC05EC1" w14:textId="77777777" w:rsidR="00220A02" w:rsidRPr="00B11B68" w:rsidRDefault="00220A02" w:rsidP="008B25C8">
            <w:pPr>
              <w:rPr>
                <w:rFonts w:ascii="Arial" w:hAnsi="Arial" w:cs="Arial"/>
                <w:sz w:val="18"/>
                <w:lang w:val="en-US"/>
              </w:rPr>
            </w:pPr>
          </w:p>
        </w:tc>
        <w:tc>
          <w:tcPr>
            <w:tcW w:w="1860" w:type="dxa"/>
            <w:hideMark/>
          </w:tcPr>
          <w:p w14:paraId="21FFEC08" w14:textId="77777777" w:rsidR="00220A02" w:rsidRPr="00896DB0" w:rsidRDefault="00220A02" w:rsidP="008B25C8">
            <w:pPr>
              <w:rPr>
                <w:rFonts w:ascii="Arial" w:hAnsi="Arial" w:cs="Arial"/>
                <w:sz w:val="18"/>
              </w:rPr>
            </w:pPr>
            <w:r w:rsidRPr="00B11B68">
              <w:rPr>
                <w:rFonts w:ascii="Arial" w:hAnsi="Arial" w:cs="Arial"/>
                <w:sz w:val="18"/>
              </w:rPr>
              <w:t>1.28</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720EA12E" w14:textId="77777777" w:rsidR="00220A02" w:rsidRPr="00B11B68" w:rsidRDefault="00220A02" w:rsidP="008B25C8">
            <w:pPr>
              <w:rPr>
                <w:rFonts w:ascii="Arial" w:hAnsi="Arial" w:cs="Arial"/>
                <w:sz w:val="18"/>
              </w:rPr>
            </w:pPr>
            <w:r w:rsidRPr="00B11B68">
              <w:rPr>
                <w:rFonts w:ascii="Arial" w:hAnsi="Arial" w:cs="Arial"/>
                <w:sz w:val="18"/>
              </w:rPr>
              <w:t>2.56</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220A02" w:rsidRPr="00B85562" w14:paraId="44B19779" w14:textId="77777777" w:rsidTr="008B25C8">
        <w:trPr>
          <w:trHeight w:val="336"/>
        </w:trPr>
        <w:tc>
          <w:tcPr>
            <w:tcW w:w="1198" w:type="dxa"/>
            <w:vMerge/>
            <w:hideMark/>
          </w:tcPr>
          <w:p w14:paraId="5DEBC7B8" w14:textId="77777777" w:rsidR="00220A02" w:rsidRPr="00B11B68" w:rsidRDefault="00220A02" w:rsidP="008B25C8">
            <w:pPr>
              <w:rPr>
                <w:rFonts w:ascii="Arial" w:hAnsi="Arial" w:cs="Arial"/>
                <w:sz w:val="18"/>
                <w:lang w:val="en-US"/>
              </w:rPr>
            </w:pPr>
          </w:p>
        </w:tc>
        <w:tc>
          <w:tcPr>
            <w:tcW w:w="751" w:type="dxa"/>
            <w:hideMark/>
          </w:tcPr>
          <w:p w14:paraId="3959B403" w14:textId="77777777" w:rsidR="00220A02" w:rsidRPr="00B11B68" w:rsidRDefault="00220A02" w:rsidP="008B25C8">
            <w:pPr>
              <w:rPr>
                <w:rFonts w:ascii="Arial" w:hAnsi="Arial" w:cs="Arial"/>
                <w:sz w:val="18"/>
                <w:lang w:val="en-US"/>
              </w:rPr>
            </w:pPr>
            <w:r w:rsidRPr="00B11B68">
              <w:rPr>
                <w:rFonts w:ascii="Arial" w:hAnsi="Arial" w:cs="Arial"/>
                <w:sz w:val="18"/>
              </w:rPr>
              <w:t>2.56</w:t>
            </w:r>
          </w:p>
        </w:tc>
        <w:tc>
          <w:tcPr>
            <w:tcW w:w="930" w:type="dxa"/>
            <w:hideMark/>
          </w:tcPr>
          <w:p w14:paraId="415BAC95" w14:textId="77777777" w:rsidR="00220A02" w:rsidRPr="00B11B68" w:rsidRDefault="00220A02" w:rsidP="008B25C8">
            <w:pPr>
              <w:rPr>
                <w:rFonts w:ascii="Arial" w:hAnsi="Arial" w:cs="Arial"/>
                <w:sz w:val="18"/>
                <w:lang w:val="en-US"/>
              </w:rPr>
            </w:pPr>
            <w:r w:rsidRPr="00B11B68">
              <w:rPr>
                <w:rFonts w:ascii="Arial" w:hAnsi="Arial" w:cs="Arial"/>
                <w:sz w:val="18"/>
              </w:rPr>
              <w:t>≥</w:t>
            </w:r>
            <w:r>
              <w:rPr>
                <w:rFonts w:ascii="Arial" w:hAnsi="Arial" w:cs="Arial"/>
                <w:sz w:val="18"/>
              </w:rPr>
              <w:t>[15.36]</w:t>
            </w:r>
            <w:r w:rsidRPr="00B11B68">
              <w:rPr>
                <w:rFonts w:ascii="Arial" w:hAnsi="Arial" w:cs="Arial"/>
                <w:sz w:val="18"/>
              </w:rPr>
              <w:t xml:space="preserve"> (</w:t>
            </w:r>
            <w:r>
              <w:rPr>
                <w:rFonts w:ascii="Arial" w:hAnsi="Arial" w:cs="Arial"/>
                <w:sz w:val="18"/>
              </w:rPr>
              <w:t>[12]</w:t>
            </w:r>
            <w:r w:rsidRPr="00B11B68">
              <w:rPr>
                <w:rFonts w:ascii="Arial" w:hAnsi="Arial" w:cs="Arial"/>
                <w:sz w:val="18"/>
              </w:rPr>
              <w:t>)</w:t>
            </w:r>
          </w:p>
        </w:tc>
        <w:tc>
          <w:tcPr>
            <w:tcW w:w="2431" w:type="dxa"/>
            <w:vMerge/>
            <w:hideMark/>
          </w:tcPr>
          <w:p w14:paraId="74F8B3A1" w14:textId="77777777" w:rsidR="00220A02" w:rsidRPr="00B11B68" w:rsidRDefault="00220A02" w:rsidP="008B25C8">
            <w:pPr>
              <w:rPr>
                <w:rFonts w:ascii="Arial" w:hAnsi="Arial" w:cs="Arial"/>
                <w:sz w:val="18"/>
                <w:lang w:val="en-US"/>
              </w:rPr>
            </w:pPr>
          </w:p>
        </w:tc>
        <w:tc>
          <w:tcPr>
            <w:tcW w:w="1860" w:type="dxa"/>
            <w:hideMark/>
          </w:tcPr>
          <w:p w14:paraId="04103016" w14:textId="77777777" w:rsidR="00220A02" w:rsidRPr="00896DB0" w:rsidRDefault="00220A02" w:rsidP="008B25C8">
            <w:pPr>
              <w:rPr>
                <w:rFonts w:ascii="Arial" w:hAnsi="Arial" w:cs="Arial"/>
                <w:sz w:val="18"/>
              </w:rPr>
            </w:pPr>
            <w:r w:rsidRPr="00B11B68">
              <w:rPr>
                <w:rFonts w:ascii="Arial" w:hAnsi="Arial" w:cs="Arial"/>
                <w:sz w:val="18"/>
              </w:rPr>
              <w:t>2.56</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7C11748F" w14:textId="77777777" w:rsidR="00220A02" w:rsidRPr="00B11B68" w:rsidRDefault="00220A02" w:rsidP="008B25C8">
            <w:pPr>
              <w:rPr>
                <w:rFonts w:ascii="Arial" w:hAnsi="Arial" w:cs="Arial"/>
                <w:sz w:val="18"/>
              </w:rPr>
            </w:pPr>
            <w:r w:rsidRPr="00B11B68">
              <w:rPr>
                <w:rFonts w:ascii="Arial" w:hAnsi="Arial" w:cs="Arial"/>
                <w:sz w:val="18"/>
              </w:rPr>
              <w:t>5.12</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220A02" w:rsidRPr="00B85562" w14:paraId="64592EFA" w14:textId="77777777" w:rsidTr="008B25C8">
        <w:trPr>
          <w:trHeight w:val="336"/>
        </w:trPr>
        <w:tc>
          <w:tcPr>
            <w:tcW w:w="9016" w:type="dxa"/>
            <w:gridSpan w:val="6"/>
          </w:tcPr>
          <w:p w14:paraId="6C0CCACE" w14:textId="77777777" w:rsidR="00220A02" w:rsidRPr="009C5807" w:rsidRDefault="00220A02" w:rsidP="008B25C8">
            <w:pPr>
              <w:pStyle w:val="TAN"/>
              <w:rPr>
                <w:snapToGrid w:val="0"/>
              </w:rPr>
            </w:pPr>
            <w:r w:rsidRPr="009C5807">
              <w:rPr>
                <w:snapToGrid w:val="0"/>
              </w:rPr>
              <w:t>Note 1</w:t>
            </w:r>
            <w:r w:rsidRPr="009C5807">
              <w:t>:</w:t>
            </w:r>
            <w:r w:rsidRPr="009C5807">
              <w:rPr>
                <w:lang w:val="en-US"/>
              </w:rPr>
              <w:tab/>
            </w:r>
            <w:r w:rsidRPr="000C5ADE">
              <w:rPr>
                <w:snapToGrid w:val="0"/>
              </w:rPr>
              <w:t>The number of DRX cycles in this table is given for the DRX cycles within PTWs.</w:t>
            </w:r>
          </w:p>
          <w:p w14:paraId="03C4EC8F" w14:textId="77777777" w:rsidR="000C63EE" w:rsidRPr="009C5807" w:rsidRDefault="000C63EE" w:rsidP="000C63EE">
            <w:pPr>
              <w:pStyle w:val="TAN"/>
              <w:rPr>
                <w:snapToGrid w:val="0"/>
              </w:rPr>
            </w:pPr>
            <w:r w:rsidRPr="009C5807">
              <w:rPr>
                <w:snapToGrid w:val="0"/>
              </w:rPr>
              <w:t xml:space="preserve">Note </w:t>
            </w:r>
            <w:r>
              <w:rPr>
                <w:snapToGrid w:val="0"/>
              </w:rPr>
              <w:t>2</w:t>
            </w:r>
            <w:r w:rsidRPr="009C5807">
              <w:t>:</w:t>
            </w:r>
            <w:r w:rsidRPr="009C5807">
              <w:rPr>
                <w:lang w:val="en-US"/>
              </w:rPr>
              <w:tab/>
            </w:r>
            <w:r w:rsidRPr="000C5ADE">
              <w:rPr>
                <w:snapToGrid w:val="0"/>
              </w:rPr>
              <w:t>The eDRX_IDLE cycle lengths are as specified in Section 10.5.5.32 of TS 24.008 [34].</w:t>
            </w:r>
          </w:p>
          <w:p w14:paraId="78AFA0B0" w14:textId="34B3D08A" w:rsidR="00220A02" w:rsidRDefault="000C63EE" w:rsidP="000C63EE">
            <w:pPr>
              <w:pStyle w:val="TAN"/>
              <w:rPr>
                <w:rFonts w:cs="Arial"/>
                <w:iCs/>
              </w:rPr>
            </w:pPr>
            <w:r w:rsidRPr="009C5807">
              <w:rPr>
                <w:snapToGrid w:val="0"/>
              </w:rPr>
              <w:t>Note</w:t>
            </w:r>
            <w:r w:rsidRPr="00691C10">
              <w:rPr>
                <w:rFonts w:cs="Arial"/>
              </w:rPr>
              <w:t xml:space="preserve"> </w:t>
            </w:r>
            <w:r>
              <w:rPr>
                <w:rFonts w:cs="Arial"/>
              </w:rPr>
              <w:t>3</w:t>
            </w:r>
            <w:r w:rsidRPr="00691C10">
              <w:rPr>
                <w:rFonts w:cs="Arial"/>
              </w:rPr>
              <w:t>:</w:t>
            </w:r>
            <w:r w:rsidRPr="009C5807">
              <w:rPr>
                <w:lang w:val="en-US"/>
              </w:rPr>
              <w:t xml:space="preserve"> </w:t>
            </w:r>
            <w:r w:rsidRPr="009C5807">
              <w:rPr>
                <w:lang w:val="en-US"/>
              </w:rPr>
              <w:tab/>
            </w:r>
            <w:r>
              <w:rPr>
                <w:rFonts w:cs="Arial"/>
              </w:rPr>
              <w:t xml:space="preserve">The lower bound of </w:t>
            </w:r>
            <w:r w:rsidRPr="007D1E39">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evaluate,NR_Intra_RedCap_Relax</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Pr>
                <w:rFonts w:cs="Arial"/>
                <w:iCs/>
              </w:rPr>
              <w:t>.</w:t>
            </w:r>
          </w:p>
          <w:p w14:paraId="04B46CE3" w14:textId="77777777" w:rsidR="00220A02" w:rsidRDefault="00220A02" w:rsidP="008B25C8">
            <w:pPr>
              <w:pStyle w:val="TAN"/>
              <w:rPr>
                <w:snapToGrid w:val="0"/>
              </w:rPr>
            </w:pPr>
            <w:r w:rsidRPr="009C5807">
              <w:rPr>
                <w:snapToGrid w:val="0"/>
              </w:rPr>
              <w:t xml:space="preserve">Note </w:t>
            </w:r>
            <w:r>
              <w:rPr>
                <w:snapToGrid w:val="0"/>
              </w:rPr>
              <w:t>4</w:t>
            </w:r>
            <w:r w:rsidRPr="009C5807">
              <w:rPr>
                <w:snapToGrid w:val="0"/>
              </w:rPr>
              <w:t>:</w:t>
            </w:r>
            <w:r w:rsidRPr="009C5807">
              <w:rPr>
                <w:lang w:val="en-US"/>
              </w:rPr>
              <w:tab/>
            </w:r>
            <w:r w:rsidRPr="009C5807">
              <w:rPr>
                <w:snapToGrid w:val="0"/>
              </w:rPr>
              <w:t>M2 = 1.5 if SMTC periodicity</w:t>
            </w:r>
            <w:r w:rsidRPr="009C5807">
              <w:t xml:space="preserve"> </w:t>
            </w:r>
            <w:r w:rsidRPr="009C5807">
              <w:rPr>
                <w:snapToGrid w:val="0"/>
              </w:rPr>
              <w:t>of measured intra-frequency cell &gt; 20 ms; otherwise M2=1.</w:t>
            </w:r>
            <w:r>
              <w:t xml:space="preserve"> </w:t>
            </w:r>
            <w:r w:rsidRPr="000359AF">
              <w:rPr>
                <w:snapToGrid w:val="0"/>
              </w:rPr>
              <w:t>If different SMTC periodicities are configured for different cells, the SMTC periodicity in this note is the one used by the cell being identified.</w:t>
            </w:r>
            <w:r>
              <w:rPr>
                <w:snapToGrid w:val="0"/>
              </w:rPr>
              <w:t xml:space="preserve"> </w:t>
            </w:r>
            <w:r w:rsidRPr="009B7158">
              <w:rPr>
                <w:snapToGrid w:val="0"/>
              </w:rPr>
              <w:t>During PSS/SSS detection, the periodicity of the SMTC configured for the intra-frequency carrier is assumed, and if the actual SSB transmission periodicity is greater than the SMTC configured for the intra-frequency carrier, longer T</w:t>
            </w:r>
            <w:r w:rsidRPr="007C55F6">
              <w:rPr>
                <w:snapToGrid w:val="0"/>
                <w:vertAlign w:val="subscript"/>
              </w:rPr>
              <w:t>detect, NR_intra</w:t>
            </w:r>
            <w:r>
              <w:rPr>
                <w:vertAlign w:val="subscript"/>
                <w:lang w:val="en-US"/>
              </w:rPr>
              <w:t>_RedCap</w:t>
            </w:r>
            <w:r w:rsidRPr="00ED700F">
              <w:rPr>
                <w:snapToGrid w:val="0"/>
              </w:rPr>
              <w:t xml:space="preserve"> </w:t>
            </w:r>
            <w:r w:rsidRPr="009B7158">
              <w:rPr>
                <w:snapToGrid w:val="0"/>
              </w:rPr>
              <w:t>is expected.</w:t>
            </w:r>
          </w:p>
          <w:p w14:paraId="18C1F824" w14:textId="77777777" w:rsidR="00220A02" w:rsidRPr="0082197E" w:rsidRDefault="00220A02" w:rsidP="008B25C8">
            <w:pPr>
              <w:pStyle w:val="TAN"/>
              <w:rPr>
                <w:snapToGrid w:val="0"/>
              </w:rPr>
            </w:pPr>
            <w:r>
              <w:rPr>
                <w:snapToGrid w:val="0"/>
              </w:rPr>
              <w:t>Note 5:</w:t>
            </w:r>
            <w:r>
              <w:rPr>
                <w:snapToGrid w:val="0"/>
              </w:rPr>
              <w:tab/>
              <w:t>K1</w:t>
            </w:r>
            <w:r w:rsidRPr="002C65ED">
              <w:rPr>
                <w:snapToGrid w:val="0"/>
              </w:rPr>
              <w:t xml:space="preserve"> = </w:t>
            </w:r>
            <w:r>
              <w:rPr>
                <w:snapToGrid w:val="0"/>
              </w:rPr>
              <w:t>3</w:t>
            </w:r>
            <w:r w:rsidRPr="002C65ED">
              <w:rPr>
                <w:snapToGrid w:val="0"/>
              </w:rPr>
              <w:t xml:space="preserve"> is the measurement relaxation factor applicable for UE fulfilling the </w:t>
            </w:r>
            <w:r w:rsidRPr="00485479">
              <w:rPr>
                <w:i/>
                <w:iCs/>
              </w:rPr>
              <w:t>cellEdgeEvaluation</w:t>
            </w:r>
            <w:r>
              <w:rPr>
                <w:i/>
                <w:iCs/>
              </w:rPr>
              <w:t xml:space="preserve"> </w:t>
            </w:r>
            <w:r w:rsidRPr="002C65ED">
              <w:rPr>
                <w:snapToGrid w:val="0"/>
              </w:rPr>
              <w:t>[2] criterion.</w:t>
            </w:r>
          </w:p>
        </w:tc>
      </w:tr>
    </w:tbl>
    <w:p w14:paraId="4C6C2BF9" w14:textId="77777777" w:rsidR="00220A02" w:rsidRDefault="00220A02" w:rsidP="00220A02"/>
    <w:p w14:paraId="6CDFD2A9" w14:textId="77777777" w:rsidR="00220A02" w:rsidRPr="00327784" w:rsidRDefault="00220A02" w:rsidP="004170C7">
      <w:pPr>
        <w:pStyle w:val="TH"/>
        <w:rPr>
          <w:lang w:val="en-US"/>
        </w:rPr>
      </w:pPr>
      <w:r w:rsidRPr="00296365">
        <w:rPr>
          <w:lang w:val="en-US"/>
        </w:rPr>
        <w:t>Table 4.2B.2.</w:t>
      </w:r>
      <w:r>
        <w:rPr>
          <w:lang w:val="en-US"/>
        </w:rPr>
        <w:t>10</w:t>
      </w:r>
      <w:r w:rsidRPr="00296365">
        <w:rPr>
          <w:lang w:val="en-US"/>
        </w:rPr>
        <w:t>.10-</w:t>
      </w:r>
      <w:r>
        <w:rPr>
          <w:lang w:val="en-US"/>
        </w:rPr>
        <w:t>6</w:t>
      </w:r>
      <w:r w:rsidRPr="00327784">
        <w:rPr>
          <w:lang w:val="en-US"/>
        </w:rPr>
        <w:t>: T</w:t>
      </w:r>
      <w:r w:rsidRPr="00327784">
        <w:rPr>
          <w:vertAlign w:val="subscript"/>
          <w:lang w:val="en-US"/>
        </w:rPr>
        <w:t>detect,NR_Int</w:t>
      </w:r>
      <w:r>
        <w:rPr>
          <w:vertAlign w:val="subscript"/>
          <w:lang w:val="en-US"/>
        </w:rPr>
        <w:t>er</w:t>
      </w:r>
      <w:r w:rsidRPr="00327784">
        <w:rPr>
          <w:vertAlign w:val="subscript"/>
          <w:lang w:val="en-US"/>
        </w:rPr>
        <w:t>_RedCap_Relax</w:t>
      </w:r>
      <w:r w:rsidRPr="00327784">
        <w:rPr>
          <w:lang w:val="en-US"/>
        </w:rPr>
        <w:t>, T</w:t>
      </w:r>
      <w:r w:rsidRPr="00327784">
        <w:rPr>
          <w:vertAlign w:val="subscript"/>
          <w:lang w:val="en-US"/>
        </w:rPr>
        <w:t>measure,NR_Int</w:t>
      </w:r>
      <w:r>
        <w:rPr>
          <w:vertAlign w:val="subscript"/>
          <w:lang w:val="en-US"/>
        </w:rPr>
        <w:t>er</w:t>
      </w:r>
      <w:r w:rsidRPr="00327784">
        <w:rPr>
          <w:vertAlign w:val="subscript"/>
          <w:lang w:val="en-US"/>
        </w:rPr>
        <w:t>_RedCap_Relax</w:t>
      </w:r>
      <w:r w:rsidRPr="00327784">
        <w:rPr>
          <w:lang w:val="en-US"/>
        </w:rPr>
        <w:t xml:space="preserve"> and T</w:t>
      </w:r>
      <w:r w:rsidRPr="00327784">
        <w:rPr>
          <w:vertAlign w:val="subscript"/>
          <w:lang w:val="en-US"/>
        </w:rPr>
        <w:t>evaluate,NR_Int</w:t>
      </w:r>
      <w:r>
        <w:rPr>
          <w:vertAlign w:val="subscript"/>
          <w:lang w:val="en-US"/>
        </w:rPr>
        <w:t>er</w:t>
      </w:r>
      <w:r w:rsidRPr="00327784">
        <w:rPr>
          <w:vertAlign w:val="subscript"/>
          <w:lang w:val="en-US"/>
        </w:rPr>
        <w:t>_RedCap_Relax</w:t>
      </w:r>
      <w:r w:rsidRPr="00327784">
        <w:rPr>
          <w:lang w:val="en-US"/>
        </w:rPr>
        <w:t xml:space="preserve"> for UE configured with eDRX_IDLE cycle (Frequency range FR2)</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757"/>
        <w:gridCol w:w="977"/>
        <w:gridCol w:w="882"/>
        <w:gridCol w:w="2408"/>
        <w:gridCol w:w="64"/>
        <w:gridCol w:w="1528"/>
        <w:gridCol w:w="1621"/>
      </w:tblGrid>
      <w:tr w:rsidR="00220A02" w:rsidRPr="00B85562" w14:paraId="488051FA" w14:textId="77777777" w:rsidTr="008B25C8">
        <w:trPr>
          <w:trHeight w:val="1692"/>
        </w:trPr>
        <w:tc>
          <w:tcPr>
            <w:tcW w:w="639" w:type="pct"/>
            <w:hideMark/>
          </w:tcPr>
          <w:p w14:paraId="61A18A1D" w14:textId="77777777" w:rsidR="00220A02" w:rsidRPr="00581E8E" w:rsidRDefault="00220A02" w:rsidP="008B25C8">
            <w:pPr>
              <w:rPr>
                <w:rFonts w:ascii="Arial" w:hAnsi="Arial" w:cs="Arial"/>
                <w:sz w:val="18"/>
                <w:lang w:val="en-US"/>
              </w:rPr>
            </w:pPr>
            <w:r w:rsidRPr="00581E8E">
              <w:rPr>
                <w:rFonts w:ascii="Arial" w:hAnsi="Arial" w:cs="Arial"/>
                <w:b/>
                <w:sz w:val="18"/>
              </w:rPr>
              <w:t>eDRX_IDLE cycle length [s]</w:t>
            </w:r>
          </w:p>
        </w:tc>
        <w:tc>
          <w:tcPr>
            <w:tcW w:w="401" w:type="pct"/>
            <w:hideMark/>
          </w:tcPr>
          <w:p w14:paraId="0D3C69F5" w14:textId="77777777" w:rsidR="00220A02" w:rsidRPr="00581E8E" w:rsidRDefault="00220A02" w:rsidP="008B25C8">
            <w:pPr>
              <w:rPr>
                <w:rFonts w:ascii="Arial" w:hAnsi="Arial" w:cs="Arial"/>
                <w:sz w:val="18"/>
                <w:lang w:val="en-US"/>
              </w:rPr>
            </w:pPr>
            <w:r w:rsidRPr="00581E8E">
              <w:rPr>
                <w:rFonts w:ascii="Arial" w:hAnsi="Arial" w:cs="Arial"/>
                <w:b/>
                <w:sz w:val="18"/>
              </w:rPr>
              <w:t>DRX cycle length [s]</w:t>
            </w:r>
          </w:p>
        </w:tc>
        <w:tc>
          <w:tcPr>
            <w:tcW w:w="517" w:type="pct"/>
            <w:hideMark/>
          </w:tcPr>
          <w:p w14:paraId="61B9934D" w14:textId="77777777" w:rsidR="00220A02" w:rsidRPr="00581E8E" w:rsidRDefault="00220A02" w:rsidP="008B25C8">
            <w:pPr>
              <w:rPr>
                <w:rFonts w:ascii="Arial" w:hAnsi="Arial" w:cs="Arial"/>
                <w:sz w:val="18"/>
                <w:lang w:val="en-US"/>
              </w:rPr>
            </w:pPr>
            <w:r w:rsidRPr="00581E8E">
              <w:rPr>
                <w:rFonts w:ascii="Arial" w:hAnsi="Arial" w:cs="Arial"/>
                <w:b/>
                <w:sz w:val="18"/>
              </w:rPr>
              <w:t>PTW length [s] (number of 1.28s periods)</w:t>
            </w:r>
          </w:p>
        </w:tc>
        <w:tc>
          <w:tcPr>
            <w:tcW w:w="467" w:type="pct"/>
          </w:tcPr>
          <w:p w14:paraId="2754CCC3" w14:textId="77777777" w:rsidR="00220A02" w:rsidRPr="00581E8E" w:rsidRDefault="00220A02" w:rsidP="008B25C8">
            <w:pPr>
              <w:rPr>
                <w:rFonts w:ascii="Arial" w:hAnsi="Arial" w:cs="Arial"/>
                <w:b/>
                <w:sz w:val="18"/>
              </w:rPr>
            </w:pPr>
            <w:r w:rsidRPr="00581E8E">
              <w:rPr>
                <w:rFonts w:ascii="Arial" w:hAnsi="Arial" w:cs="Arial"/>
                <w:b/>
                <w:sz w:val="18"/>
              </w:rPr>
              <w:t>Scaling Factor (N1)</w:t>
            </w:r>
            <w:r w:rsidRPr="002615F9">
              <w:rPr>
                <w:rFonts w:ascii="Arial" w:hAnsi="Arial" w:cs="Arial"/>
                <w:vertAlign w:val="superscript"/>
              </w:rPr>
              <w:t xml:space="preserve"> Note1</w:t>
            </w:r>
          </w:p>
        </w:tc>
        <w:tc>
          <w:tcPr>
            <w:tcW w:w="1275" w:type="pct"/>
            <w:hideMark/>
          </w:tcPr>
          <w:p w14:paraId="7B401BDE" w14:textId="77777777" w:rsidR="00220A02" w:rsidRPr="00581E8E" w:rsidRDefault="00220A02" w:rsidP="008B25C8">
            <w:pPr>
              <w:rPr>
                <w:rFonts w:ascii="Arial" w:hAnsi="Arial" w:cs="Arial"/>
                <w:sz w:val="18"/>
                <w:lang w:val="en-US"/>
              </w:rPr>
            </w:pPr>
            <w:r w:rsidRPr="00581E8E">
              <w:rPr>
                <w:rFonts w:ascii="Arial" w:hAnsi="Arial" w:cs="Arial"/>
                <w:b/>
                <w:bCs/>
                <w:sz w:val="18"/>
                <w:szCs w:val="18"/>
              </w:rPr>
              <w:t>T</w:t>
            </w:r>
            <w:r w:rsidRPr="00581E8E">
              <w:rPr>
                <w:rFonts w:ascii="Arial" w:hAnsi="Arial" w:cs="Arial"/>
                <w:b/>
                <w:bCs/>
                <w:sz w:val="18"/>
                <w:szCs w:val="18"/>
                <w:vertAlign w:val="subscript"/>
              </w:rPr>
              <w:t>detect,NR_Int</w:t>
            </w:r>
            <w:r>
              <w:rPr>
                <w:rFonts w:ascii="Arial" w:hAnsi="Arial" w:cs="Arial"/>
                <w:b/>
                <w:bCs/>
                <w:sz w:val="18"/>
                <w:szCs w:val="18"/>
                <w:vertAlign w:val="subscript"/>
              </w:rPr>
              <w:t>er</w:t>
            </w:r>
            <w:r w:rsidRPr="00581E8E">
              <w:rPr>
                <w:rFonts w:ascii="Arial" w:hAnsi="Arial" w:cs="Arial"/>
                <w:b/>
                <w:bCs/>
                <w:sz w:val="18"/>
                <w:szCs w:val="18"/>
                <w:vertAlign w:val="subscript"/>
              </w:rPr>
              <w:t>_RedCap</w:t>
            </w:r>
            <w:r>
              <w:rPr>
                <w:rFonts w:ascii="Arial" w:hAnsi="Arial" w:cs="Arial"/>
                <w:b/>
                <w:bCs/>
                <w:sz w:val="18"/>
                <w:szCs w:val="18"/>
                <w:vertAlign w:val="subscript"/>
              </w:rPr>
              <w:t>_Relax</w:t>
            </w:r>
            <w:r w:rsidRPr="00581E8E">
              <w:rPr>
                <w:rFonts w:ascii="Arial" w:hAnsi="Arial" w:cs="Arial"/>
                <w:b/>
                <w:sz w:val="18"/>
                <w:szCs w:val="18"/>
              </w:rPr>
              <w:t xml:space="preserve"> [s] (number of DRX cycles</w:t>
            </w:r>
            <w:r>
              <w:rPr>
                <w:rFonts w:ascii="Arial" w:hAnsi="Arial" w:cs="Arial"/>
                <w:b/>
                <w:bCs/>
                <w:sz w:val="18"/>
                <w:szCs w:val="18"/>
              </w:rPr>
              <w:t xml:space="preserve"> or eDRX cycles </w:t>
            </w:r>
            <w:r w:rsidRPr="00CD5296">
              <w:rPr>
                <w:rFonts w:ascii="Arial" w:hAnsi="Arial" w:cs="Arial"/>
                <w:b/>
                <w:bCs/>
                <w:sz w:val="18"/>
                <w:szCs w:val="18"/>
                <w:vertAlign w:val="superscript"/>
              </w:rPr>
              <w:t>Note 3</w:t>
            </w:r>
            <w:r w:rsidRPr="00581E8E">
              <w:rPr>
                <w:rFonts w:ascii="Arial" w:hAnsi="Arial" w:cs="Arial"/>
                <w:b/>
                <w:sz w:val="18"/>
                <w:szCs w:val="18"/>
              </w:rPr>
              <w:t>)</w:t>
            </w:r>
          </w:p>
        </w:tc>
        <w:tc>
          <w:tcPr>
            <w:tcW w:w="843" w:type="pct"/>
            <w:gridSpan w:val="2"/>
            <w:hideMark/>
          </w:tcPr>
          <w:p w14:paraId="657A1B57" w14:textId="77777777" w:rsidR="00220A02" w:rsidRPr="00581E8E" w:rsidRDefault="00220A02" w:rsidP="008B25C8">
            <w:pPr>
              <w:rPr>
                <w:rFonts w:ascii="Arial" w:hAnsi="Arial" w:cs="Arial"/>
                <w:sz w:val="18"/>
                <w:lang w:val="en-US"/>
              </w:rPr>
            </w:pPr>
            <w:r w:rsidRPr="00581E8E">
              <w:rPr>
                <w:rFonts w:ascii="Arial" w:hAnsi="Arial" w:cs="Arial"/>
                <w:b/>
                <w:bCs/>
                <w:sz w:val="18"/>
                <w:szCs w:val="18"/>
              </w:rPr>
              <w:t>T</w:t>
            </w:r>
            <w:r w:rsidRPr="00581E8E">
              <w:rPr>
                <w:rFonts w:ascii="Arial" w:hAnsi="Arial" w:cs="Arial"/>
                <w:b/>
                <w:bCs/>
                <w:sz w:val="18"/>
                <w:szCs w:val="18"/>
                <w:vertAlign w:val="subscript"/>
              </w:rPr>
              <w:t>measure,NR_Int</w:t>
            </w:r>
            <w:r>
              <w:rPr>
                <w:rFonts w:ascii="Arial" w:hAnsi="Arial" w:cs="Arial"/>
                <w:b/>
                <w:bCs/>
                <w:sz w:val="18"/>
                <w:szCs w:val="18"/>
                <w:vertAlign w:val="subscript"/>
              </w:rPr>
              <w:t>er</w:t>
            </w:r>
            <w:r w:rsidRPr="00581E8E">
              <w:rPr>
                <w:rFonts w:ascii="Arial" w:hAnsi="Arial" w:cs="Arial"/>
                <w:b/>
                <w:bCs/>
                <w:sz w:val="18"/>
                <w:szCs w:val="18"/>
                <w:vertAlign w:val="subscript"/>
              </w:rPr>
              <w:t>_RedCap</w:t>
            </w:r>
            <w:r>
              <w:rPr>
                <w:rFonts w:ascii="Arial" w:hAnsi="Arial" w:cs="Arial"/>
                <w:b/>
                <w:bCs/>
                <w:sz w:val="18"/>
                <w:szCs w:val="18"/>
                <w:vertAlign w:val="subscript"/>
              </w:rPr>
              <w:t>_Relax</w:t>
            </w:r>
            <w:r w:rsidRPr="00581E8E">
              <w:rPr>
                <w:sz w:val="18"/>
                <w:szCs w:val="18"/>
              </w:rPr>
              <w:t xml:space="preserve"> </w:t>
            </w:r>
            <w:r w:rsidRPr="00581E8E">
              <w:rPr>
                <w:rFonts w:ascii="Arial" w:hAnsi="Arial" w:cs="Arial"/>
                <w:b/>
                <w:sz w:val="18"/>
                <w:szCs w:val="18"/>
              </w:rPr>
              <w:t>[s] (number of DRX cycles</w:t>
            </w:r>
            <w:r>
              <w:rPr>
                <w:rFonts w:ascii="Arial" w:hAnsi="Arial" w:cs="Arial"/>
                <w:b/>
                <w:bCs/>
                <w:sz w:val="18"/>
                <w:szCs w:val="18"/>
              </w:rPr>
              <w:t xml:space="preserve"> or eDRX cycles </w:t>
            </w:r>
            <w:r w:rsidRPr="00CD5296">
              <w:rPr>
                <w:rFonts w:ascii="Arial" w:hAnsi="Arial" w:cs="Arial"/>
                <w:b/>
                <w:bCs/>
                <w:sz w:val="18"/>
                <w:szCs w:val="18"/>
                <w:vertAlign w:val="superscript"/>
              </w:rPr>
              <w:t>Note 3</w:t>
            </w:r>
            <w:r w:rsidRPr="00581E8E">
              <w:rPr>
                <w:rFonts w:ascii="Arial" w:hAnsi="Arial" w:cs="Arial"/>
                <w:b/>
                <w:sz w:val="18"/>
                <w:szCs w:val="18"/>
              </w:rPr>
              <w:t>)</w:t>
            </w:r>
          </w:p>
        </w:tc>
        <w:tc>
          <w:tcPr>
            <w:tcW w:w="858" w:type="pct"/>
            <w:hideMark/>
          </w:tcPr>
          <w:p w14:paraId="1877D703" w14:textId="77777777" w:rsidR="00220A02" w:rsidRPr="00581E8E" w:rsidRDefault="00220A02" w:rsidP="008B25C8">
            <w:pPr>
              <w:rPr>
                <w:rFonts w:ascii="Arial" w:hAnsi="Arial" w:cs="Arial"/>
                <w:sz w:val="18"/>
                <w:lang w:val="en-US"/>
              </w:rPr>
            </w:pPr>
            <w:r w:rsidRPr="00581E8E">
              <w:rPr>
                <w:rFonts w:ascii="Arial" w:hAnsi="Arial" w:cs="Arial"/>
                <w:b/>
                <w:bCs/>
                <w:sz w:val="18"/>
                <w:szCs w:val="18"/>
              </w:rPr>
              <w:t>T</w:t>
            </w:r>
            <w:r w:rsidRPr="00581E8E">
              <w:rPr>
                <w:rFonts w:ascii="Arial" w:hAnsi="Arial" w:cs="Arial"/>
                <w:b/>
                <w:bCs/>
                <w:sz w:val="18"/>
                <w:szCs w:val="18"/>
                <w:vertAlign w:val="subscript"/>
              </w:rPr>
              <w:t>evaluate,NR_Int</w:t>
            </w:r>
            <w:r>
              <w:rPr>
                <w:rFonts w:ascii="Arial" w:hAnsi="Arial" w:cs="Arial"/>
                <w:b/>
                <w:bCs/>
                <w:sz w:val="18"/>
                <w:szCs w:val="18"/>
                <w:vertAlign w:val="subscript"/>
              </w:rPr>
              <w:t>er</w:t>
            </w:r>
            <w:r w:rsidRPr="00581E8E">
              <w:rPr>
                <w:rFonts w:ascii="Arial" w:hAnsi="Arial" w:cs="Arial"/>
                <w:b/>
                <w:bCs/>
                <w:sz w:val="18"/>
                <w:szCs w:val="18"/>
                <w:vertAlign w:val="subscript"/>
              </w:rPr>
              <w:t>_RedCap</w:t>
            </w:r>
            <w:r>
              <w:rPr>
                <w:rFonts w:ascii="Arial" w:hAnsi="Arial" w:cs="Arial"/>
                <w:b/>
                <w:bCs/>
                <w:sz w:val="18"/>
                <w:szCs w:val="18"/>
                <w:vertAlign w:val="subscript"/>
              </w:rPr>
              <w:t>_Relax</w:t>
            </w:r>
            <w:r w:rsidRPr="00581E8E">
              <w:rPr>
                <w:sz w:val="18"/>
                <w:szCs w:val="18"/>
                <w:vertAlign w:val="subscript"/>
                <w:lang w:val="en-US"/>
              </w:rPr>
              <w:t xml:space="preserve"> </w:t>
            </w:r>
            <w:r w:rsidRPr="00581E8E">
              <w:rPr>
                <w:rFonts w:ascii="Arial" w:hAnsi="Arial" w:cs="Arial"/>
                <w:b/>
                <w:sz w:val="18"/>
                <w:szCs w:val="18"/>
              </w:rPr>
              <w:t>[s] (number of DRX cycles</w:t>
            </w:r>
            <w:r>
              <w:rPr>
                <w:rFonts w:ascii="Arial" w:hAnsi="Arial" w:cs="Arial"/>
                <w:b/>
                <w:bCs/>
                <w:sz w:val="18"/>
                <w:szCs w:val="18"/>
              </w:rPr>
              <w:t xml:space="preserve"> or eDRX cycles </w:t>
            </w:r>
            <w:r w:rsidRPr="00CD5296">
              <w:rPr>
                <w:rFonts w:ascii="Arial" w:hAnsi="Arial" w:cs="Arial"/>
                <w:b/>
                <w:bCs/>
                <w:sz w:val="18"/>
                <w:szCs w:val="18"/>
                <w:vertAlign w:val="superscript"/>
              </w:rPr>
              <w:t>Note 3</w:t>
            </w:r>
            <w:r w:rsidRPr="00581E8E">
              <w:rPr>
                <w:rFonts w:ascii="Arial" w:hAnsi="Arial" w:cs="Arial"/>
                <w:b/>
                <w:sz w:val="18"/>
                <w:szCs w:val="18"/>
              </w:rPr>
              <w:t>)</w:t>
            </w:r>
          </w:p>
        </w:tc>
      </w:tr>
      <w:tr w:rsidR="00220A02" w:rsidRPr="00B85562" w14:paraId="2FAF5C98" w14:textId="77777777" w:rsidTr="008B25C8">
        <w:trPr>
          <w:trHeight w:val="673"/>
        </w:trPr>
        <w:tc>
          <w:tcPr>
            <w:tcW w:w="639" w:type="pct"/>
            <w:vMerge w:val="restart"/>
            <w:hideMark/>
          </w:tcPr>
          <w:p w14:paraId="7DD5AD06" w14:textId="77777777" w:rsidR="00220A02" w:rsidRPr="00581E8E" w:rsidRDefault="00220A02" w:rsidP="008B25C8">
            <w:pPr>
              <w:rPr>
                <w:rFonts w:ascii="Arial" w:hAnsi="Arial" w:cs="Arial"/>
                <w:sz w:val="18"/>
                <w:lang w:val="en-US"/>
              </w:rPr>
            </w:pPr>
            <w:r w:rsidRPr="00581E8E">
              <w:rPr>
                <w:rFonts w:ascii="Arial" w:hAnsi="Arial" w:cs="Arial"/>
                <w:sz w:val="18"/>
              </w:rPr>
              <w:t>20.48 ≤</w:t>
            </w:r>
            <w:r w:rsidRPr="00CA7017">
              <w:rPr>
                <w:rFonts w:cs="Arial"/>
              </w:rPr>
              <w:t xml:space="preserve"> </w:t>
            </w:r>
            <w:r w:rsidRPr="00581E8E">
              <w:rPr>
                <w:rFonts w:ascii="Arial" w:hAnsi="Arial" w:cs="Arial"/>
                <w:sz w:val="18"/>
              </w:rPr>
              <w:t xml:space="preserve"> eDRX_IDLE cycle length ≤</w:t>
            </w:r>
            <w:r>
              <w:rPr>
                <w:rFonts w:ascii="Arial" w:hAnsi="Arial" w:cs="Arial"/>
                <w:sz w:val="18"/>
              </w:rPr>
              <w:t>[163.84]</w:t>
            </w:r>
          </w:p>
        </w:tc>
        <w:tc>
          <w:tcPr>
            <w:tcW w:w="401" w:type="pct"/>
            <w:hideMark/>
          </w:tcPr>
          <w:p w14:paraId="095BAAC8" w14:textId="77777777" w:rsidR="00220A02" w:rsidRPr="00581E8E" w:rsidRDefault="00220A02" w:rsidP="008B25C8">
            <w:pPr>
              <w:rPr>
                <w:rFonts w:ascii="Arial" w:hAnsi="Arial" w:cs="Arial"/>
                <w:sz w:val="18"/>
                <w:lang w:val="en-US"/>
              </w:rPr>
            </w:pPr>
            <w:r w:rsidRPr="00581E8E">
              <w:rPr>
                <w:rFonts w:ascii="Arial" w:hAnsi="Arial" w:cs="Arial"/>
                <w:sz w:val="18"/>
              </w:rPr>
              <w:t>0.32</w:t>
            </w:r>
          </w:p>
        </w:tc>
        <w:tc>
          <w:tcPr>
            <w:tcW w:w="517" w:type="pct"/>
            <w:hideMark/>
          </w:tcPr>
          <w:p w14:paraId="1CB367D7" w14:textId="77777777" w:rsidR="00220A02" w:rsidRPr="00581E8E" w:rsidRDefault="00220A02" w:rsidP="008B25C8">
            <w:pPr>
              <w:rPr>
                <w:rFonts w:ascii="Arial" w:hAnsi="Arial" w:cs="Arial"/>
                <w:sz w:val="18"/>
                <w:lang w:val="en-US"/>
              </w:rPr>
            </w:pPr>
            <w:r w:rsidRPr="00581E8E">
              <w:rPr>
                <w:rFonts w:ascii="Arial" w:hAnsi="Arial" w:cs="Arial"/>
                <w:sz w:val="18"/>
              </w:rPr>
              <w:t>≥</w:t>
            </w:r>
            <w:r>
              <w:rPr>
                <w:rFonts w:ascii="Arial" w:hAnsi="Arial" w:cs="Arial"/>
                <w:sz w:val="18"/>
              </w:rPr>
              <w:t>15.36</w:t>
            </w:r>
            <w:r w:rsidRPr="00581E8E">
              <w:rPr>
                <w:rFonts w:ascii="Arial" w:hAnsi="Arial" w:cs="Arial"/>
                <w:sz w:val="18"/>
              </w:rPr>
              <w:t xml:space="preserve"> (</w:t>
            </w:r>
            <w:r>
              <w:rPr>
                <w:rFonts w:ascii="Arial" w:hAnsi="Arial" w:cs="Arial"/>
                <w:sz w:val="18"/>
              </w:rPr>
              <w:t>12</w:t>
            </w:r>
            <w:r w:rsidRPr="00581E8E">
              <w:rPr>
                <w:rFonts w:ascii="Arial" w:hAnsi="Arial" w:cs="Arial"/>
                <w:sz w:val="18"/>
              </w:rPr>
              <w:t>)</w:t>
            </w:r>
          </w:p>
        </w:tc>
        <w:tc>
          <w:tcPr>
            <w:tcW w:w="467" w:type="pct"/>
          </w:tcPr>
          <w:p w14:paraId="29A36AE3" w14:textId="77777777" w:rsidR="00220A02" w:rsidRPr="00581E8E" w:rsidRDefault="00220A02" w:rsidP="008B25C8">
            <w:pPr>
              <w:rPr>
                <w:rFonts w:ascii="Arial" w:hAnsi="Arial"/>
                <w:sz w:val="18"/>
                <w:lang w:val="en-US"/>
              </w:rPr>
            </w:pPr>
            <w:r>
              <w:rPr>
                <w:rFonts w:ascii="Arial" w:hAnsi="Arial"/>
                <w:sz w:val="18"/>
                <w:lang w:val="en-US"/>
              </w:rPr>
              <w:t>8</w:t>
            </w:r>
          </w:p>
        </w:tc>
        <w:tc>
          <w:tcPr>
            <w:tcW w:w="1309" w:type="pct"/>
            <w:gridSpan w:val="2"/>
            <w:vMerge w:val="restart"/>
            <w:hideMark/>
          </w:tcPr>
          <w:p w14:paraId="7D4860C0" w14:textId="77777777" w:rsidR="00220A02" w:rsidRPr="004E7C48" w:rsidRDefault="00220A02" w:rsidP="008B25C8">
            <w:pPr>
              <w:rPr>
                <w:rFonts w:ascii="Arial" w:hAnsi="Arial" w:cs="Arial"/>
                <w:sz w:val="18"/>
                <w:lang w:val="sv-SE"/>
              </w:rPr>
            </w:pPr>
            <w:r>
              <w:rPr>
                <w:rFonts w:cs="Arial"/>
                <w:lang w:val="sv-SE"/>
              </w:rPr>
              <w:t xml:space="preserve">K1 x </w:t>
            </w:r>
            <m:oMath>
              <m:r>
                <w:rPr>
                  <w:rFonts w:ascii="Cambria Math" w:hAnsi="Cambria Math" w:cs="Arial"/>
                  <w:sz w:val="18"/>
                  <w:lang w:val="en-US"/>
                </w:rPr>
                <m:t>eDRX</m:t>
              </m:r>
              <m:r>
                <m:rPr>
                  <m:sty m:val="p"/>
                </m:rPr>
                <w:rPr>
                  <w:rFonts w:ascii="Cambria Math" w:hAnsi="Cambria Math" w:cs="Arial"/>
                  <w:sz w:val="18"/>
                  <w:lang w:val="sv-SE"/>
                </w:rPr>
                <m:t>_</m:t>
              </m:r>
              <m:r>
                <w:rPr>
                  <w:rFonts w:ascii="Cambria Math" w:hAnsi="Cambria Math" w:cs="Arial"/>
                  <w:sz w:val="18"/>
                  <w:lang w:val="en-US"/>
                </w:rPr>
                <m:t>cycl</m:t>
              </m:r>
              <m:r>
                <m:rPr>
                  <m:sty m:val="p"/>
                </m:rPr>
                <w:rPr>
                  <w:rFonts w:ascii="Cambria Math" w:hAnsi="Cambria Math" w:cs="Arial"/>
                  <w:sz w:val="18"/>
                  <w:lang w:val="sv-SE"/>
                </w:rPr>
                <m:t>e_</m:t>
              </m:r>
              <m:r>
                <w:rPr>
                  <w:rFonts w:ascii="Cambria Math" w:hAnsi="Cambria Math" w:cs="Arial"/>
                  <w:sz w:val="18"/>
                  <w:lang w:val="en-US"/>
                </w:rPr>
                <m:t>lengt</m:t>
              </m:r>
              <m:r>
                <w:rPr>
                  <w:rFonts w:ascii="Cambria Math" w:hAnsi="Cambria Math" w:cs="Arial"/>
                  <w:sz w:val="18"/>
                  <w:lang w:val="sv-SE"/>
                </w:rPr>
                <m:t>h×</m:t>
              </m:r>
              <m:d>
                <m:dPr>
                  <m:begChr m:val="⌈"/>
                  <m:endChr m:val="⌉"/>
                  <m:ctrlPr>
                    <w:rPr>
                      <w:rFonts w:ascii="Cambria Math" w:hAnsi="Cambria Math" w:cs="Arial"/>
                      <w:i/>
                      <w:sz w:val="18"/>
                      <w:lang w:val="en-US"/>
                    </w:rPr>
                  </m:ctrlPr>
                </m:dPr>
                <m:e>
                  <m:f>
                    <m:fPr>
                      <m:ctrlPr>
                        <w:rPr>
                          <w:rFonts w:ascii="Cambria Math" w:hAnsi="Cambria Math" w:cs="Arial"/>
                          <w:i/>
                          <w:sz w:val="18"/>
                          <w:lang w:val="en-US"/>
                        </w:rPr>
                      </m:ctrlPr>
                    </m:fPr>
                    <m:num>
                      <m:r>
                        <w:rPr>
                          <w:rFonts w:ascii="Cambria Math" w:hAnsi="Cambria Math" w:cs="Arial"/>
                          <w:sz w:val="18"/>
                          <w:lang w:val="sv-SE"/>
                        </w:rPr>
                        <m:t>23×</m:t>
                      </m:r>
                      <m:r>
                        <w:rPr>
                          <w:rFonts w:ascii="Cambria Math" w:hAnsi="Cambria Math" w:cs="Arial"/>
                          <w:sz w:val="18"/>
                          <w:lang w:val="en-US"/>
                        </w:rPr>
                        <m:t>N</m:t>
                      </m:r>
                      <m:r>
                        <w:rPr>
                          <w:rFonts w:ascii="Cambria Math" w:hAnsi="Cambria Math" w:cs="Arial"/>
                          <w:sz w:val="18"/>
                          <w:lang w:val="sv-SE"/>
                        </w:rPr>
                        <m:t>1</m:t>
                      </m:r>
                    </m:num>
                    <m:den>
                      <m:r>
                        <w:rPr>
                          <w:rFonts w:ascii="Cambria Math" w:hAnsi="Cambria Math" w:cs="Arial"/>
                          <w:sz w:val="18"/>
                          <w:lang w:val="en-US"/>
                        </w:rPr>
                        <m:t>PTW</m:t>
                      </m:r>
                      <m:r>
                        <w:rPr>
                          <w:rFonts w:ascii="Cambria Math" w:hAnsi="Cambria Math" w:cs="Arial"/>
                          <w:sz w:val="18"/>
                          <w:lang w:val="sv-SE"/>
                        </w:rPr>
                        <m:t>/</m:t>
                      </m:r>
                      <m:r>
                        <w:rPr>
                          <w:rFonts w:ascii="Cambria Math" w:hAnsi="Cambria Math" w:cs="Arial"/>
                          <w:sz w:val="18"/>
                          <w:lang w:val="en-US"/>
                        </w:rPr>
                        <m:t>DRX</m:t>
                      </m:r>
                      <m:r>
                        <w:rPr>
                          <w:rFonts w:ascii="Cambria Math" w:hAnsi="Cambria Math" w:cs="Arial"/>
                          <w:sz w:val="18"/>
                          <w:lang w:val="sv-SE"/>
                        </w:rPr>
                        <m:t>_</m:t>
                      </m:r>
                      <m:r>
                        <w:rPr>
                          <w:rFonts w:ascii="Cambria Math" w:hAnsi="Cambria Math" w:cs="Arial"/>
                          <w:sz w:val="18"/>
                          <w:lang w:val="en-US"/>
                        </w:rPr>
                        <m:t>cycle</m:t>
                      </m:r>
                      <m:r>
                        <w:rPr>
                          <w:rFonts w:ascii="Cambria Math" w:hAnsi="Cambria Math" w:cs="Arial"/>
                          <w:sz w:val="18"/>
                          <w:lang w:val="sv-SE"/>
                        </w:rPr>
                        <m:t>_</m:t>
                      </m:r>
                      <m:r>
                        <w:rPr>
                          <w:rFonts w:ascii="Cambria Math" w:hAnsi="Cambria Math" w:cs="Arial"/>
                          <w:sz w:val="18"/>
                          <w:lang w:val="en-US"/>
                        </w:rPr>
                        <m:t>lengt</m:t>
                      </m:r>
                      <m:r>
                        <w:rPr>
                          <w:rFonts w:ascii="Cambria Math" w:hAnsi="Cambria Math" w:cs="Arial"/>
                          <w:sz w:val="18"/>
                          <w:lang w:val="sv-SE"/>
                        </w:rPr>
                        <m:t>h</m:t>
                      </m:r>
                    </m:den>
                  </m:f>
                </m:e>
              </m:d>
            </m:oMath>
          </w:p>
          <w:p w14:paraId="5CB4A13B" w14:textId="77777777" w:rsidR="00220A02" w:rsidRPr="00581E8E" w:rsidRDefault="00220A02" w:rsidP="008B25C8">
            <w:pPr>
              <w:rPr>
                <w:rFonts w:ascii="Arial" w:hAnsi="Arial" w:cs="Arial"/>
                <w:sz w:val="18"/>
                <w:lang w:val="en-US"/>
              </w:rPr>
            </w:pPr>
            <w:r w:rsidRPr="00581E8E">
              <w:rPr>
                <w:rFonts w:ascii="Arial" w:hAnsi="Arial" w:cs="Arial"/>
                <w:sz w:val="18"/>
                <w:lang w:val="en-US"/>
              </w:rPr>
              <w:t>(23</w:t>
            </w:r>
            <w:r w:rsidRPr="00581E8E">
              <w:rPr>
                <w:rFonts w:ascii="Arial" w:hAnsi="Arial" w:cs="Arial"/>
                <w:sz w:val="18"/>
              </w:rPr>
              <w:t xml:space="preserve"> x N1</w:t>
            </w:r>
            <w:r w:rsidRPr="0082197E">
              <w:rPr>
                <w:lang w:val="sv-SE"/>
              </w:rPr>
              <w:t xml:space="preserve"> x </w:t>
            </w:r>
            <w:r>
              <w:rPr>
                <w:rFonts w:cs="Arial"/>
                <w:lang w:val="sv-SE"/>
              </w:rPr>
              <w:t>K1</w:t>
            </w:r>
            <w:r w:rsidRPr="00581E8E">
              <w:rPr>
                <w:rFonts w:ascii="Arial" w:hAnsi="Arial" w:cs="Arial"/>
                <w:sz w:val="18"/>
                <w:lang w:val="en-US"/>
              </w:rPr>
              <w:t>)</w:t>
            </w:r>
          </w:p>
        </w:tc>
        <w:tc>
          <w:tcPr>
            <w:tcW w:w="809" w:type="pct"/>
            <w:hideMark/>
          </w:tcPr>
          <w:p w14:paraId="189A3B76" w14:textId="77777777" w:rsidR="00220A02" w:rsidRPr="00896DB0" w:rsidRDefault="00220A02" w:rsidP="008B25C8">
            <w:pPr>
              <w:rPr>
                <w:rFonts w:ascii="Arial" w:hAnsi="Arial" w:cs="Arial"/>
                <w:sz w:val="18"/>
              </w:rPr>
            </w:pPr>
            <w:r w:rsidRPr="00581E8E">
              <w:rPr>
                <w:rFonts w:ascii="Arial" w:hAnsi="Arial" w:cs="Arial"/>
                <w:sz w:val="18"/>
              </w:rPr>
              <w:t>0.32 x N1</w:t>
            </w:r>
            <w:r w:rsidRPr="00896DB0">
              <w:rPr>
                <w:rFonts w:ascii="Arial" w:hAnsi="Arial" w:cs="Arial"/>
                <w:sz w:val="18"/>
              </w:rPr>
              <w:t xml:space="preserve"> x K1</w:t>
            </w:r>
            <w:r w:rsidRPr="00581E8E">
              <w:rPr>
                <w:rFonts w:ascii="Arial" w:hAnsi="Arial" w:cs="Arial"/>
                <w:sz w:val="18"/>
              </w:rPr>
              <w:t xml:space="preserve"> (1 x N1</w:t>
            </w:r>
            <w:r w:rsidRPr="00896DB0">
              <w:rPr>
                <w:rFonts w:ascii="Arial" w:hAnsi="Arial" w:cs="Arial"/>
                <w:sz w:val="18"/>
              </w:rPr>
              <w:t xml:space="preserve"> x K1</w:t>
            </w:r>
            <w:r w:rsidRPr="00581E8E">
              <w:rPr>
                <w:rFonts w:ascii="Arial" w:hAnsi="Arial" w:cs="Arial"/>
                <w:sz w:val="18"/>
              </w:rPr>
              <w:t>)</w:t>
            </w:r>
          </w:p>
        </w:tc>
        <w:tc>
          <w:tcPr>
            <w:tcW w:w="858" w:type="pct"/>
            <w:hideMark/>
          </w:tcPr>
          <w:p w14:paraId="6FE7EE56" w14:textId="77777777" w:rsidR="00220A02" w:rsidRPr="00896DB0" w:rsidRDefault="00220A02" w:rsidP="008B25C8">
            <w:pPr>
              <w:rPr>
                <w:rFonts w:ascii="Arial" w:hAnsi="Arial" w:cs="Arial"/>
                <w:sz w:val="18"/>
              </w:rPr>
            </w:pPr>
            <w:r w:rsidRPr="00581E8E">
              <w:rPr>
                <w:rFonts w:ascii="Arial" w:hAnsi="Arial" w:cs="Arial"/>
                <w:sz w:val="18"/>
              </w:rPr>
              <w:t>0.64 x N1</w:t>
            </w:r>
            <w:r w:rsidRPr="00896DB0">
              <w:rPr>
                <w:rFonts w:ascii="Arial" w:hAnsi="Arial" w:cs="Arial"/>
                <w:sz w:val="18"/>
              </w:rPr>
              <w:t xml:space="preserve"> x K1</w:t>
            </w:r>
            <w:r w:rsidRPr="00581E8E">
              <w:rPr>
                <w:rFonts w:ascii="Arial" w:hAnsi="Arial" w:cs="Arial"/>
                <w:sz w:val="18"/>
              </w:rPr>
              <w:t xml:space="preserve"> (2 x N1</w:t>
            </w:r>
            <w:r w:rsidRPr="00896DB0">
              <w:rPr>
                <w:rFonts w:ascii="Arial" w:hAnsi="Arial" w:cs="Arial"/>
                <w:sz w:val="18"/>
              </w:rPr>
              <w:t xml:space="preserve"> x K1</w:t>
            </w:r>
            <w:r w:rsidRPr="00581E8E">
              <w:rPr>
                <w:rFonts w:ascii="Arial" w:hAnsi="Arial" w:cs="Arial"/>
                <w:sz w:val="18"/>
              </w:rPr>
              <w:t>)</w:t>
            </w:r>
          </w:p>
        </w:tc>
      </w:tr>
      <w:tr w:rsidR="00220A02" w:rsidRPr="00B85562" w14:paraId="0FB9958E" w14:textId="77777777" w:rsidTr="008B25C8">
        <w:trPr>
          <w:trHeight w:val="336"/>
        </w:trPr>
        <w:tc>
          <w:tcPr>
            <w:tcW w:w="639" w:type="pct"/>
            <w:vMerge/>
            <w:hideMark/>
          </w:tcPr>
          <w:p w14:paraId="757FF6BA" w14:textId="77777777" w:rsidR="00220A02" w:rsidRPr="00581E8E" w:rsidRDefault="00220A02" w:rsidP="008B25C8">
            <w:pPr>
              <w:rPr>
                <w:rFonts w:ascii="Arial" w:hAnsi="Arial" w:cs="Arial"/>
                <w:sz w:val="18"/>
                <w:lang w:val="en-US"/>
              </w:rPr>
            </w:pPr>
          </w:p>
        </w:tc>
        <w:tc>
          <w:tcPr>
            <w:tcW w:w="401" w:type="pct"/>
            <w:hideMark/>
          </w:tcPr>
          <w:p w14:paraId="492930A9" w14:textId="77777777" w:rsidR="00220A02" w:rsidRPr="00581E8E" w:rsidRDefault="00220A02" w:rsidP="008B25C8">
            <w:pPr>
              <w:rPr>
                <w:rFonts w:ascii="Arial" w:hAnsi="Arial" w:cs="Arial"/>
                <w:sz w:val="18"/>
                <w:lang w:val="en-US"/>
              </w:rPr>
            </w:pPr>
            <w:r w:rsidRPr="00581E8E">
              <w:rPr>
                <w:rFonts w:ascii="Arial" w:hAnsi="Arial" w:cs="Arial"/>
                <w:sz w:val="18"/>
              </w:rPr>
              <w:t>0.64</w:t>
            </w:r>
          </w:p>
        </w:tc>
        <w:tc>
          <w:tcPr>
            <w:tcW w:w="517" w:type="pct"/>
            <w:hideMark/>
          </w:tcPr>
          <w:p w14:paraId="4C3C9D3C" w14:textId="77777777" w:rsidR="00220A02" w:rsidRPr="00581E8E" w:rsidRDefault="00220A02" w:rsidP="008B25C8">
            <w:pPr>
              <w:rPr>
                <w:rFonts w:ascii="Arial" w:hAnsi="Arial" w:cs="Arial"/>
                <w:sz w:val="18"/>
                <w:lang w:val="en-US"/>
              </w:rPr>
            </w:pPr>
            <w:r w:rsidRPr="00581E8E">
              <w:rPr>
                <w:rFonts w:ascii="Arial" w:hAnsi="Arial" w:cs="Arial"/>
                <w:sz w:val="18"/>
              </w:rPr>
              <w:t>≥</w:t>
            </w:r>
            <w:r>
              <w:rPr>
                <w:rFonts w:ascii="Arial" w:hAnsi="Arial" w:cs="Arial"/>
                <w:sz w:val="18"/>
              </w:rPr>
              <w:t>19.2</w:t>
            </w:r>
            <w:r w:rsidRPr="00581E8E">
              <w:rPr>
                <w:rFonts w:ascii="Arial" w:hAnsi="Arial" w:cs="Arial"/>
                <w:sz w:val="18"/>
              </w:rPr>
              <w:t xml:space="preserve"> (</w:t>
            </w:r>
            <w:r>
              <w:rPr>
                <w:rFonts w:ascii="Arial" w:hAnsi="Arial" w:cs="Arial"/>
                <w:sz w:val="18"/>
              </w:rPr>
              <w:t>15</w:t>
            </w:r>
            <w:r w:rsidRPr="00581E8E">
              <w:rPr>
                <w:rFonts w:ascii="Arial" w:hAnsi="Arial" w:cs="Arial"/>
                <w:sz w:val="18"/>
              </w:rPr>
              <w:t>)</w:t>
            </w:r>
          </w:p>
        </w:tc>
        <w:tc>
          <w:tcPr>
            <w:tcW w:w="467" w:type="pct"/>
          </w:tcPr>
          <w:p w14:paraId="4C68D878" w14:textId="77777777" w:rsidR="00220A02" w:rsidRPr="00581E8E" w:rsidRDefault="00220A02" w:rsidP="008B25C8">
            <w:pPr>
              <w:rPr>
                <w:rFonts w:ascii="Arial" w:hAnsi="Arial" w:cs="Arial"/>
                <w:sz w:val="18"/>
                <w:lang w:val="en-US"/>
              </w:rPr>
            </w:pPr>
            <w:r>
              <w:rPr>
                <w:rFonts w:ascii="Arial" w:hAnsi="Arial" w:cs="Arial"/>
                <w:sz w:val="18"/>
                <w:lang w:val="en-US"/>
              </w:rPr>
              <w:t>5</w:t>
            </w:r>
          </w:p>
        </w:tc>
        <w:tc>
          <w:tcPr>
            <w:tcW w:w="1309" w:type="pct"/>
            <w:gridSpan w:val="2"/>
            <w:vMerge/>
            <w:hideMark/>
          </w:tcPr>
          <w:p w14:paraId="6D454CFB" w14:textId="77777777" w:rsidR="00220A02" w:rsidRPr="00581E8E" w:rsidRDefault="00220A02" w:rsidP="008B25C8">
            <w:pPr>
              <w:rPr>
                <w:rFonts w:ascii="Arial" w:hAnsi="Arial" w:cs="Arial"/>
                <w:sz w:val="18"/>
                <w:lang w:val="en-US"/>
              </w:rPr>
            </w:pPr>
          </w:p>
        </w:tc>
        <w:tc>
          <w:tcPr>
            <w:tcW w:w="809" w:type="pct"/>
            <w:hideMark/>
          </w:tcPr>
          <w:p w14:paraId="16A72DC6" w14:textId="77777777" w:rsidR="00220A02" w:rsidRPr="00896DB0" w:rsidRDefault="00220A02" w:rsidP="008B25C8">
            <w:pPr>
              <w:rPr>
                <w:rFonts w:ascii="Arial" w:hAnsi="Arial" w:cs="Arial"/>
                <w:sz w:val="18"/>
              </w:rPr>
            </w:pPr>
            <w:r w:rsidRPr="00581E8E">
              <w:rPr>
                <w:rFonts w:ascii="Arial" w:hAnsi="Arial" w:cs="Arial"/>
                <w:sz w:val="18"/>
              </w:rPr>
              <w:t>0.64 x N1</w:t>
            </w:r>
            <w:r w:rsidRPr="00896DB0">
              <w:rPr>
                <w:rFonts w:ascii="Arial" w:hAnsi="Arial" w:cs="Arial"/>
                <w:sz w:val="18"/>
              </w:rPr>
              <w:t xml:space="preserve"> x K1</w:t>
            </w:r>
            <w:r w:rsidRPr="00581E8E">
              <w:rPr>
                <w:rFonts w:ascii="Arial" w:hAnsi="Arial" w:cs="Arial"/>
                <w:sz w:val="18"/>
              </w:rPr>
              <w:t xml:space="preserve"> (1 x N1</w:t>
            </w:r>
            <w:r w:rsidRPr="00896DB0">
              <w:rPr>
                <w:rFonts w:ascii="Arial" w:hAnsi="Arial" w:cs="Arial"/>
                <w:sz w:val="18"/>
              </w:rPr>
              <w:t xml:space="preserve"> x K1</w:t>
            </w:r>
            <w:r w:rsidRPr="00581E8E">
              <w:rPr>
                <w:rFonts w:ascii="Arial" w:hAnsi="Arial" w:cs="Arial"/>
                <w:sz w:val="18"/>
              </w:rPr>
              <w:t>)</w:t>
            </w:r>
          </w:p>
        </w:tc>
        <w:tc>
          <w:tcPr>
            <w:tcW w:w="858" w:type="pct"/>
            <w:hideMark/>
          </w:tcPr>
          <w:p w14:paraId="2693D0AF" w14:textId="77777777" w:rsidR="00220A02" w:rsidRPr="00896DB0" w:rsidRDefault="00220A02" w:rsidP="008B25C8">
            <w:pPr>
              <w:rPr>
                <w:rFonts w:ascii="Arial" w:hAnsi="Arial" w:cs="Arial"/>
                <w:sz w:val="18"/>
              </w:rPr>
            </w:pPr>
            <w:r w:rsidRPr="00581E8E">
              <w:rPr>
                <w:rFonts w:ascii="Arial" w:hAnsi="Arial" w:cs="Arial"/>
                <w:sz w:val="18"/>
              </w:rPr>
              <w:t>1.28 x N1</w:t>
            </w:r>
            <w:r w:rsidRPr="00896DB0">
              <w:rPr>
                <w:rFonts w:ascii="Arial" w:hAnsi="Arial" w:cs="Arial"/>
                <w:sz w:val="18"/>
              </w:rPr>
              <w:t xml:space="preserve"> x K1</w:t>
            </w:r>
            <w:r w:rsidRPr="00581E8E">
              <w:rPr>
                <w:rFonts w:ascii="Arial" w:hAnsi="Arial" w:cs="Arial"/>
                <w:sz w:val="18"/>
              </w:rPr>
              <w:t xml:space="preserve"> (2 x N1</w:t>
            </w:r>
            <w:r w:rsidRPr="00896DB0">
              <w:rPr>
                <w:rFonts w:ascii="Arial" w:hAnsi="Arial" w:cs="Arial"/>
                <w:sz w:val="18"/>
              </w:rPr>
              <w:t xml:space="preserve"> x K1</w:t>
            </w:r>
            <w:r w:rsidRPr="00581E8E">
              <w:rPr>
                <w:rFonts w:ascii="Arial" w:hAnsi="Arial" w:cs="Arial"/>
                <w:sz w:val="18"/>
              </w:rPr>
              <w:t>)</w:t>
            </w:r>
          </w:p>
        </w:tc>
      </w:tr>
      <w:tr w:rsidR="00220A02" w:rsidRPr="00B85562" w14:paraId="7342F3EF" w14:textId="77777777" w:rsidTr="008B25C8">
        <w:trPr>
          <w:trHeight w:val="336"/>
        </w:trPr>
        <w:tc>
          <w:tcPr>
            <w:tcW w:w="639" w:type="pct"/>
            <w:vMerge/>
            <w:hideMark/>
          </w:tcPr>
          <w:p w14:paraId="5DAB231A" w14:textId="77777777" w:rsidR="00220A02" w:rsidRPr="00581E8E" w:rsidRDefault="00220A02" w:rsidP="008B25C8">
            <w:pPr>
              <w:rPr>
                <w:rFonts w:ascii="Arial" w:hAnsi="Arial" w:cs="Arial"/>
                <w:sz w:val="18"/>
                <w:lang w:val="en-US"/>
              </w:rPr>
            </w:pPr>
          </w:p>
        </w:tc>
        <w:tc>
          <w:tcPr>
            <w:tcW w:w="401" w:type="pct"/>
            <w:hideMark/>
          </w:tcPr>
          <w:p w14:paraId="096E9755" w14:textId="77777777" w:rsidR="00220A02" w:rsidRPr="00581E8E" w:rsidRDefault="00220A02" w:rsidP="008B25C8">
            <w:pPr>
              <w:rPr>
                <w:rFonts w:ascii="Arial" w:hAnsi="Arial" w:cs="Arial"/>
                <w:sz w:val="18"/>
                <w:lang w:val="en-US"/>
              </w:rPr>
            </w:pPr>
            <w:r w:rsidRPr="00581E8E">
              <w:rPr>
                <w:rFonts w:ascii="Arial" w:hAnsi="Arial" w:cs="Arial"/>
                <w:sz w:val="18"/>
              </w:rPr>
              <w:t>1.28</w:t>
            </w:r>
          </w:p>
        </w:tc>
        <w:tc>
          <w:tcPr>
            <w:tcW w:w="517" w:type="pct"/>
            <w:hideMark/>
          </w:tcPr>
          <w:p w14:paraId="72B04728" w14:textId="77777777" w:rsidR="00220A02" w:rsidRPr="00896DB0" w:rsidRDefault="00220A02" w:rsidP="008B25C8">
            <w:pPr>
              <w:rPr>
                <w:rFonts w:ascii="Arial" w:hAnsi="Arial" w:cs="Arial"/>
                <w:sz w:val="18"/>
                <w:highlight w:val="yellow"/>
                <w:lang w:val="en-US"/>
              </w:rPr>
            </w:pPr>
            <w:r w:rsidRPr="00C77238">
              <w:rPr>
                <w:rFonts w:ascii="Arial" w:hAnsi="Arial" w:cs="Arial" w:hint="eastAsia"/>
                <w:sz w:val="18"/>
              </w:rPr>
              <w:t>≥</w:t>
            </w:r>
            <w:r w:rsidRPr="00C77238">
              <w:rPr>
                <w:rFonts w:ascii="Arial" w:hAnsi="Arial" w:cs="Arial"/>
                <w:sz w:val="18"/>
              </w:rPr>
              <w:t>30.72 (24)</w:t>
            </w:r>
          </w:p>
        </w:tc>
        <w:tc>
          <w:tcPr>
            <w:tcW w:w="467" w:type="pct"/>
          </w:tcPr>
          <w:p w14:paraId="6FA6BAF8" w14:textId="77777777" w:rsidR="00220A02" w:rsidRPr="00581E8E" w:rsidRDefault="00220A02" w:rsidP="008B25C8">
            <w:pPr>
              <w:rPr>
                <w:rFonts w:ascii="Arial" w:hAnsi="Arial" w:cs="Arial"/>
                <w:sz w:val="18"/>
                <w:lang w:val="en-US"/>
              </w:rPr>
            </w:pPr>
            <w:r>
              <w:rPr>
                <w:rFonts w:ascii="Arial" w:hAnsi="Arial" w:cs="Arial"/>
                <w:sz w:val="18"/>
                <w:lang w:val="en-US"/>
              </w:rPr>
              <w:t>4</w:t>
            </w:r>
          </w:p>
        </w:tc>
        <w:tc>
          <w:tcPr>
            <w:tcW w:w="1309" w:type="pct"/>
            <w:gridSpan w:val="2"/>
            <w:vMerge/>
            <w:hideMark/>
          </w:tcPr>
          <w:p w14:paraId="6A5FBC98" w14:textId="77777777" w:rsidR="00220A02" w:rsidRPr="00581E8E" w:rsidRDefault="00220A02" w:rsidP="008B25C8">
            <w:pPr>
              <w:rPr>
                <w:rFonts w:ascii="Arial" w:hAnsi="Arial" w:cs="Arial"/>
                <w:sz w:val="18"/>
                <w:lang w:val="en-US"/>
              </w:rPr>
            </w:pPr>
          </w:p>
        </w:tc>
        <w:tc>
          <w:tcPr>
            <w:tcW w:w="809" w:type="pct"/>
            <w:hideMark/>
          </w:tcPr>
          <w:p w14:paraId="75D300D6" w14:textId="77777777" w:rsidR="00220A02" w:rsidRPr="00896DB0" w:rsidRDefault="00220A02" w:rsidP="008B25C8">
            <w:pPr>
              <w:rPr>
                <w:rFonts w:ascii="Arial" w:hAnsi="Arial" w:cs="Arial"/>
                <w:sz w:val="18"/>
              </w:rPr>
            </w:pPr>
            <w:r w:rsidRPr="00581E8E">
              <w:rPr>
                <w:rFonts w:ascii="Arial" w:hAnsi="Arial" w:cs="Arial"/>
                <w:sz w:val="18"/>
              </w:rPr>
              <w:t>1.28 x N1</w:t>
            </w:r>
            <w:r w:rsidRPr="00896DB0">
              <w:rPr>
                <w:rFonts w:ascii="Arial" w:hAnsi="Arial" w:cs="Arial"/>
                <w:sz w:val="18"/>
              </w:rPr>
              <w:t xml:space="preserve"> x K1</w:t>
            </w:r>
            <w:r w:rsidRPr="00581E8E">
              <w:rPr>
                <w:rFonts w:ascii="Arial" w:hAnsi="Arial" w:cs="Arial"/>
                <w:sz w:val="18"/>
              </w:rPr>
              <w:t xml:space="preserve"> (1 x N1</w:t>
            </w:r>
            <w:r w:rsidRPr="00896DB0">
              <w:rPr>
                <w:rFonts w:ascii="Arial" w:hAnsi="Arial" w:cs="Arial"/>
                <w:sz w:val="18"/>
              </w:rPr>
              <w:t xml:space="preserve"> x K1</w:t>
            </w:r>
            <w:r w:rsidRPr="00581E8E">
              <w:rPr>
                <w:rFonts w:ascii="Arial" w:hAnsi="Arial" w:cs="Arial"/>
                <w:sz w:val="18"/>
              </w:rPr>
              <w:t>)</w:t>
            </w:r>
          </w:p>
        </w:tc>
        <w:tc>
          <w:tcPr>
            <w:tcW w:w="858" w:type="pct"/>
            <w:hideMark/>
          </w:tcPr>
          <w:p w14:paraId="3AD407FB" w14:textId="77777777" w:rsidR="00220A02" w:rsidRPr="00896DB0" w:rsidRDefault="00220A02" w:rsidP="008B25C8">
            <w:pPr>
              <w:rPr>
                <w:rFonts w:ascii="Arial" w:hAnsi="Arial" w:cs="Arial"/>
                <w:sz w:val="18"/>
              </w:rPr>
            </w:pPr>
            <w:r w:rsidRPr="00581E8E">
              <w:rPr>
                <w:rFonts w:ascii="Arial" w:hAnsi="Arial" w:cs="Arial"/>
                <w:sz w:val="18"/>
              </w:rPr>
              <w:t>2.56 x N1</w:t>
            </w:r>
            <w:r w:rsidRPr="00896DB0">
              <w:rPr>
                <w:rFonts w:ascii="Arial" w:hAnsi="Arial" w:cs="Arial"/>
                <w:sz w:val="18"/>
              </w:rPr>
              <w:t xml:space="preserve"> x K1</w:t>
            </w:r>
            <w:r w:rsidRPr="00581E8E">
              <w:rPr>
                <w:rFonts w:ascii="Arial" w:hAnsi="Arial" w:cs="Arial"/>
                <w:sz w:val="18"/>
              </w:rPr>
              <w:t xml:space="preserve"> (2 x N1</w:t>
            </w:r>
            <w:r w:rsidRPr="00896DB0">
              <w:rPr>
                <w:rFonts w:ascii="Arial" w:hAnsi="Arial" w:cs="Arial"/>
                <w:sz w:val="18"/>
              </w:rPr>
              <w:t xml:space="preserve"> x K1</w:t>
            </w:r>
            <w:r w:rsidRPr="00581E8E">
              <w:rPr>
                <w:rFonts w:ascii="Arial" w:hAnsi="Arial" w:cs="Arial"/>
                <w:sz w:val="18"/>
              </w:rPr>
              <w:t>)</w:t>
            </w:r>
          </w:p>
        </w:tc>
      </w:tr>
      <w:tr w:rsidR="00980011" w:rsidRPr="00B85562" w14:paraId="08EAF3BF" w14:textId="77777777" w:rsidTr="008B25C8">
        <w:trPr>
          <w:trHeight w:val="336"/>
        </w:trPr>
        <w:tc>
          <w:tcPr>
            <w:tcW w:w="639" w:type="pct"/>
            <w:vMerge/>
          </w:tcPr>
          <w:p w14:paraId="6A950A2A" w14:textId="77777777" w:rsidR="00980011" w:rsidRPr="00581E8E" w:rsidRDefault="00980011" w:rsidP="00980011">
            <w:pPr>
              <w:rPr>
                <w:rFonts w:ascii="Arial" w:hAnsi="Arial" w:cs="Arial"/>
                <w:sz w:val="18"/>
                <w:lang w:val="en-US"/>
              </w:rPr>
            </w:pPr>
          </w:p>
        </w:tc>
        <w:tc>
          <w:tcPr>
            <w:tcW w:w="401" w:type="pct"/>
          </w:tcPr>
          <w:p w14:paraId="72B3CE4A" w14:textId="77777777" w:rsidR="00980011" w:rsidRPr="002B5E7E" w:rsidRDefault="00980011" w:rsidP="00980011">
            <w:pPr>
              <w:rPr>
                <w:rFonts w:ascii="Arial" w:hAnsi="Arial" w:cs="Arial"/>
                <w:sz w:val="18"/>
              </w:rPr>
            </w:pPr>
            <w:r w:rsidRPr="007140C1">
              <w:rPr>
                <w:rFonts w:ascii="Arial" w:hAnsi="Arial" w:cs="Arial"/>
                <w:sz w:val="18"/>
              </w:rPr>
              <w:t>2.56</w:t>
            </w:r>
          </w:p>
        </w:tc>
        <w:tc>
          <w:tcPr>
            <w:tcW w:w="517" w:type="pct"/>
          </w:tcPr>
          <w:p w14:paraId="76FDCF56" w14:textId="77777777" w:rsidR="00980011" w:rsidRPr="007140C1" w:rsidRDefault="00980011" w:rsidP="00980011">
            <w:pPr>
              <w:rPr>
                <w:rFonts w:ascii="Arial" w:hAnsi="Arial" w:cs="Arial"/>
                <w:sz w:val="18"/>
              </w:rPr>
            </w:pPr>
            <w:r w:rsidRPr="00034E52">
              <w:rPr>
                <w:rFonts w:ascii="Arial" w:hAnsi="Arial" w:cs="Arial"/>
                <w:sz w:val="18"/>
                <w:lang w:eastAsia="zh-CN"/>
              </w:rPr>
              <w:t>40.96 (32)</w:t>
            </w:r>
          </w:p>
        </w:tc>
        <w:tc>
          <w:tcPr>
            <w:tcW w:w="467" w:type="pct"/>
          </w:tcPr>
          <w:p w14:paraId="02080A29" w14:textId="77777777" w:rsidR="00980011" w:rsidRPr="002B5E7E" w:rsidRDefault="00980011" w:rsidP="00980011">
            <w:pPr>
              <w:rPr>
                <w:rFonts w:ascii="Arial" w:hAnsi="Arial" w:cs="Arial"/>
                <w:sz w:val="18"/>
                <w:lang w:val="en-US"/>
              </w:rPr>
            </w:pPr>
            <w:r w:rsidRPr="002B5E7E">
              <w:rPr>
                <w:rFonts w:ascii="Arial" w:hAnsi="Arial" w:cs="Arial"/>
                <w:sz w:val="18"/>
                <w:lang w:val="en-US"/>
              </w:rPr>
              <w:t>3</w:t>
            </w:r>
          </w:p>
        </w:tc>
        <w:tc>
          <w:tcPr>
            <w:tcW w:w="1309" w:type="pct"/>
            <w:gridSpan w:val="2"/>
            <w:vMerge/>
          </w:tcPr>
          <w:p w14:paraId="097A7A60" w14:textId="77777777" w:rsidR="00980011" w:rsidRPr="002B5E7E" w:rsidRDefault="00980011" w:rsidP="00980011">
            <w:pPr>
              <w:rPr>
                <w:rFonts w:ascii="Arial" w:hAnsi="Arial" w:cs="Arial"/>
                <w:sz w:val="18"/>
                <w:lang w:val="en-US"/>
              </w:rPr>
            </w:pPr>
          </w:p>
        </w:tc>
        <w:tc>
          <w:tcPr>
            <w:tcW w:w="809" w:type="pct"/>
          </w:tcPr>
          <w:p w14:paraId="1515BE02" w14:textId="77777777" w:rsidR="00980011" w:rsidRDefault="00980011" w:rsidP="00980011">
            <w:pPr>
              <w:pStyle w:val="TAL"/>
              <w:rPr>
                <w:lang w:eastAsia="zh-CN"/>
              </w:rPr>
            </w:pPr>
            <w:r w:rsidRPr="00100B15">
              <w:rPr>
                <w:lang w:eastAsia="zh-CN"/>
              </w:rPr>
              <w:t>20.48</w:t>
            </w:r>
          </w:p>
          <w:p w14:paraId="3AB56030" w14:textId="7E271615" w:rsidR="00980011" w:rsidRPr="007140C1" w:rsidRDefault="00980011" w:rsidP="00980011">
            <w:pPr>
              <w:pStyle w:val="TAL"/>
            </w:pPr>
            <w:r>
              <w:rPr>
                <w:lang w:eastAsia="zh-CN"/>
              </w:rPr>
              <w:t>(8)</w:t>
            </w:r>
          </w:p>
        </w:tc>
        <w:tc>
          <w:tcPr>
            <w:tcW w:w="858" w:type="pct"/>
          </w:tcPr>
          <w:p w14:paraId="292880AD" w14:textId="77777777" w:rsidR="00980011" w:rsidRDefault="00980011" w:rsidP="00980011">
            <w:pPr>
              <w:pStyle w:val="TAL"/>
              <w:rPr>
                <w:lang w:eastAsia="zh-CN"/>
              </w:rPr>
            </w:pPr>
            <w:r w:rsidRPr="00100B15">
              <w:rPr>
                <w:lang w:eastAsia="zh-CN"/>
              </w:rPr>
              <w:t>40.96</w:t>
            </w:r>
          </w:p>
          <w:p w14:paraId="5B37DB75" w14:textId="11DD2559" w:rsidR="00980011" w:rsidRPr="007140C1" w:rsidRDefault="00980011" w:rsidP="00980011">
            <w:pPr>
              <w:pStyle w:val="TAL"/>
            </w:pPr>
            <w:r>
              <w:rPr>
                <w:lang w:eastAsia="zh-CN"/>
              </w:rPr>
              <w:t>(16)</w:t>
            </w:r>
          </w:p>
        </w:tc>
      </w:tr>
      <w:tr w:rsidR="00220A02" w:rsidRPr="00B85562" w14:paraId="60A3864C" w14:textId="77777777" w:rsidTr="008B25C8">
        <w:trPr>
          <w:trHeight w:val="336"/>
        </w:trPr>
        <w:tc>
          <w:tcPr>
            <w:tcW w:w="5000" w:type="pct"/>
            <w:gridSpan w:val="8"/>
          </w:tcPr>
          <w:p w14:paraId="38958A81" w14:textId="77777777" w:rsidR="00220A02" w:rsidRPr="00806346" w:rsidRDefault="00220A02" w:rsidP="008B25C8">
            <w:pPr>
              <w:pStyle w:val="TAN"/>
              <w:rPr>
                <w:rFonts w:eastAsia="Malgun Gothic"/>
                <w:snapToGrid w:val="0"/>
              </w:rPr>
            </w:pPr>
            <w:r w:rsidRPr="00806346">
              <w:rPr>
                <w:rFonts w:eastAsia="Malgun Gothic"/>
                <w:snapToGrid w:val="0"/>
              </w:rPr>
              <w:t xml:space="preserve">Note 1: </w:t>
            </w:r>
            <w:r w:rsidRPr="00806346">
              <w:rPr>
                <w:rFonts w:eastAsia="Malgun Gothic"/>
                <w:snapToGrid w:val="0"/>
              </w:rPr>
              <w:tab/>
              <w:t>Applies for RedCap UE of all supporting FR2 power classes.</w:t>
            </w:r>
          </w:p>
          <w:p w14:paraId="5BEF3F78" w14:textId="77777777" w:rsidR="00220A02" w:rsidRPr="00806346" w:rsidRDefault="00220A02" w:rsidP="008B25C8">
            <w:pPr>
              <w:pStyle w:val="TAN"/>
              <w:rPr>
                <w:rFonts w:eastAsia="Malgun Gothic"/>
                <w:snapToGrid w:val="0"/>
              </w:rPr>
            </w:pPr>
            <w:r w:rsidRPr="00806346">
              <w:rPr>
                <w:rFonts w:eastAsia="Malgun Gothic"/>
                <w:snapToGrid w:val="0"/>
              </w:rPr>
              <w:t xml:space="preserve">Note 2: </w:t>
            </w:r>
            <w:r w:rsidRPr="00806346">
              <w:rPr>
                <w:rFonts w:eastAsia="Malgun Gothic"/>
                <w:snapToGrid w:val="0"/>
              </w:rPr>
              <w:tab/>
              <w:t>The number of DRX cycles in this table is given for the DRX cycles within PTWs.</w:t>
            </w:r>
          </w:p>
          <w:p w14:paraId="43A4E61E" w14:textId="77777777" w:rsidR="00980011" w:rsidRPr="00806346" w:rsidRDefault="00980011" w:rsidP="00980011">
            <w:pPr>
              <w:pStyle w:val="TAN"/>
              <w:rPr>
                <w:rFonts w:eastAsia="Malgun Gothic"/>
                <w:snapToGrid w:val="0"/>
              </w:rPr>
            </w:pPr>
            <w:r w:rsidRPr="00806346">
              <w:rPr>
                <w:rFonts w:eastAsia="Malgun Gothic"/>
                <w:snapToGrid w:val="0"/>
              </w:rPr>
              <w:t xml:space="preserve">Note 3: </w:t>
            </w:r>
            <w:r w:rsidRPr="00806346">
              <w:rPr>
                <w:rFonts w:eastAsia="Malgun Gothic"/>
                <w:snapToGrid w:val="0"/>
              </w:rPr>
              <w:tab/>
              <w:t>The eDRX_IDLE cycle lengths are as specified in Section 10.5.5.32 of TS 24.008 [34].</w:t>
            </w:r>
          </w:p>
          <w:p w14:paraId="5A58AB59" w14:textId="281CD654" w:rsidR="00220A02" w:rsidRPr="00806346" w:rsidRDefault="00980011" w:rsidP="00980011">
            <w:pPr>
              <w:pStyle w:val="TAN"/>
              <w:rPr>
                <w:rFonts w:eastAsia="Malgun Gothic"/>
                <w:snapToGrid w:val="0"/>
              </w:rPr>
            </w:pPr>
            <w:r w:rsidRPr="00806346">
              <w:rPr>
                <w:rFonts w:eastAsia="Malgun Gothic"/>
                <w:snapToGrid w:val="0"/>
              </w:rPr>
              <w:t xml:space="preserve">Note 4: </w:t>
            </w:r>
            <w:r w:rsidRPr="00806346">
              <w:rPr>
                <w:rFonts w:eastAsia="Malgun Gothic"/>
                <w:snapToGrid w:val="0"/>
              </w:rPr>
              <w:tab/>
              <w:t xml:space="preserve">The lower bound of PTW length is derived based on </w:t>
            </w:r>
            <m:oMath>
              <m:d>
                <m:dPr>
                  <m:begChr m:val="⌈"/>
                  <m:endChr m:val="⌉"/>
                  <m:ctrlPr>
                    <w:rPr>
                      <w:rFonts w:ascii="Cambria Math" w:eastAsia="Malgun Gothic" w:hAnsi="Cambria Math"/>
                      <w:snapToGrid w:val="0"/>
                    </w:rPr>
                  </m:ctrlPr>
                </m:dPr>
                <m:e>
                  <m:f>
                    <m:fPr>
                      <m:ctrlPr>
                        <w:rPr>
                          <w:rFonts w:ascii="Cambria Math" w:eastAsia="Malgun Gothic" w:hAnsi="Cambria Math"/>
                          <w:snapToGrid w:val="0"/>
                        </w:rPr>
                      </m:ctrlPr>
                    </m:fPr>
                    <m:num>
                      <m:r>
                        <m:rPr>
                          <m:sty m:val="p"/>
                        </m:rPr>
                        <w:rPr>
                          <w:rFonts w:ascii="Cambria Math" w:eastAsia="Malgun Gothic" w:hAnsi="Cambria Math"/>
                          <w:snapToGrid w:val="0"/>
                        </w:rPr>
                        <m:t>Tevaluate,NR_Intra_RedCap_Relax*DRX_cycle</m:t>
                      </m:r>
                    </m:num>
                    <m:den>
                      <m:r>
                        <m:rPr>
                          <m:sty m:val="p"/>
                        </m:rPr>
                        <w:rPr>
                          <w:rFonts w:ascii="Cambria Math" w:eastAsia="Malgun Gothic" w:hAnsi="Cambria Math"/>
                          <w:snapToGrid w:val="0"/>
                        </w:rPr>
                        <m:t>1.28</m:t>
                      </m:r>
                    </m:den>
                  </m:f>
                </m:e>
              </m:d>
              <m:r>
                <m:rPr>
                  <m:sty m:val="p"/>
                </m:rPr>
                <w:rPr>
                  <w:rFonts w:ascii="Cambria Math" w:eastAsia="Malgun Gothic" w:hAnsi="Cambria Math"/>
                  <w:snapToGrid w:val="0"/>
                </w:rPr>
                <m:t>*1.28</m:t>
              </m:r>
            </m:oMath>
            <w:r w:rsidRPr="00806346">
              <w:rPr>
                <w:rFonts w:eastAsia="Malgun Gothic"/>
                <w:snapToGrid w:val="0"/>
              </w:rPr>
              <w:t>.</w:t>
            </w:r>
          </w:p>
          <w:p w14:paraId="16B2607B" w14:textId="77777777" w:rsidR="00220A02" w:rsidRPr="00806346" w:rsidRDefault="00220A02" w:rsidP="008B25C8">
            <w:pPr>
              <w:pStyle w:val="TAN"/>
              <w:rPr>
                <w:rFonts w:eastAsia="Malgun Gothic"/>
                <w:snapToGrid w:val="0"/>
              </w:rPr>
            </w:pPr>
            <w:r w:rsidRPr="00806346">
              <w:rPr>
                <w:rFonts w:eastAsia="Malgun Gothic"/>
                <w:snapToGrid w:val="0"/>
              </w:rPr>
              <w:t>Note 5:</w:t>
            </w:r>
            <w:r w:rsidRPr="00806346">
              <w:rPr>
                <w:rFonts w:eastAsia="Malgun Gothic"/>
                <w:snapToGrid w:val="0"/>
              </w:rPr>
              <w:tab/>
              <w:t>The measurement shall not be performed across PTW’s. In this case the measurement is performed in the next available PTW.</w:t>
            </w:r>
          </w:p>
          <w:p w14:paraId="542C1EC8" w14:textId="77777777" w:rsidR="00220A02" w:rsidRPr="00806346" w:rsidRDefault="00220A02" w:rsidP="008B25C8">
            <w:pPr>
              <w:pStyle w:val="TAN"/>
              <w:rPr>
                <w:rFonts w:eastAsia="Malgun Gothic"/>
                <w:snapToGrid w:val="0"/>
              </w:rPr>
            </w:pPr>
            <w:r w:rsidRPr="00806346">
              <w:rPr>
                <w:rFonts w:eastAsia="Malgun Gothic"/>
                <w:snapToGrid w:val="0"/>
              </w:rPr>
              <w:t>Note 6:</w:t>
            </w:r>
            <w:r w:rsidRPr="00806346">
              <w:rPr>
                <w:rFonts w:eastAsia="Malgun Gothic"/>
                <w:snapToGrid w:val="0"/>
              </w:rPr>
              <w:tab/>
              <w:t>The evaluation shall not be performed across PTW’s.</w:t>
            </w:r>
          </w:p>
          <w:p w14:paraId="3BA5BF2A" w14:textId="77777777" w:rsidR="00220A02" w:rsidRPr="00581E8E" w:rsidRDefault="00220A02" w:rsidP="008B25C8">
            <w:pPr>
              <w:pStyle w:val="TAN"/>
              <w:rPr>
                <w:rFonts w:cs="Arial"/>
              </w:rPr>
            </w:pPr>
            <w:r w:rsidRPr="00806346">
              <w:rPr>
                <w:rFonts w:eastAsia="Malgun Gothic"/>
                <w:snapToGrid w:val="0"/>
              </w:rPr>
              <w:t>Note 7:</w:t>
            </w:r>
            <w:r w:rsidRPr="00806346">
              <w:rPr>
                <w:rFonts w:eastAsia="Malgun Gothic"/>
                <w:snapToGrid w:val="0"/>
              </w:rPr>
              <w:tab/>
            </w:r>
            <w:r>
              <w:rPr>
                <w:rFonts w:eastAsia="Malgun Gothic"/>
                <w:snapToGrid w:val="0"/>
              </w:rPr>
              <w:t>K1</w:t>
            </w:r>
            <w:r w:rsidRPr="00806346">
              <w:rPr>
                <w:rFonts w:eastAsia="Malgun Gothic"/>
                <w:snapToGrid w:val="0"/>
              </w:rPr>
              <w:t xml:space="preserve"> = </w:t>
            </w:r>
            <w:r>
              <w:rPr>
                <w:rFonts w:eastAsia="Malgun Gothic"/>
                <w:snapToGrid w:val="0"/>
              </w:rPr>
              <w:t>3</w:t>
            </w:r>
            <w:r w:rsidRPr="00806346">
              <w:rPr>
                <w:rFonts w:eastAsia="Malgun Gothic"/>
                <w:snapToGrid w:val="0"/>
              </w:rPr>
              <w:t xml:space="preserve"> is the measurement relaxation factor applicable for UE fulfilling the </w:t>
            </w:r>
            <w:r w:rsidRPr="00485479">
              <w:rPr>
                <w:i/>
                <w:iCs/>
              </w:rPr>
              <w:t>cellEdgeEvaluation</w:t>
            </w:r>
            <w:r>
              <w:rPr>
                <w:i/>
                <w:iCs/>
              </w:rPr>
              <w:t xml:space="preserve"> criterion</w:t>
            </w:r>
            <w:r w:rsidRPr="00806346">
              <w:rPr>
                <w:rFonts w:eastAsia="Malgun Gothic"/>
                <w:snapToGrid w:val="0"/>
              </w:rPr>
              <w:t xml:space="preserve"> [2].</w:t>
            </w:r>
          </w:p>
        </w:tc>
      </w:tr>
    </w:tbl>
    <w:p w14:paraId="7C63FBDB" w14:textId="77777777" w:rsidR="00220A02" w:rsidRPr="00034E52" w:rsidRDefault="00220A02" w:rsidP="00220A02">
      <w:pPr>
        <w:rPr>
          <w:lang w:eastAsia="zh-CN"/>
        </w:rPr>
      </w:pPr>
    </w:p>
    <w:p w14:paraId="22C1F021" w14:textId="77777777" w:rsidR="00220A02" w:rsidRDefault="00220A02" w:rsidP="00220A02">
      <w:pPr>
        <w:pStyle w:val="Heading5"/>
        <w:rPr>
          <w:lang w:val="en-US" w:eastAsia="zh-CN"/>
        </w:rPr>
      </w:pPr>
      <w:r>
        <w:rPr>
          <w:lang w:val="en-US" w:eastAsia="zh-CN"/>
        </w:rPr>
        <w:t>4.2B.2.10.11</w:t>
      </w:r>
      <w:r w:rsidRPr="00885F53">
        <w:rPr>
          <w:lang w:val="en-US" w:eastAsia="zh-CN"/>
        </w:rPr>
        <w:tab/>
      </w:r>
      <w:r>
        <w:rPr>
          <w:lang w:val="en-US" w:eastAsia="zh-CN"/>
        </w:rPr>
        <w:t>Measurements for UE fulfilling low mobility and not-at-cell edge criterion</w:t>
      </w:r>
    </w:p>
    <w:p w14:paraId="0525E74D" w14:textId="77777777" w:rsidR="00220A02" w:rsidRDefault="00220A02" w:rsidP="00220A02">
      <w:pPr>
        <w:rPr>
          <w:rFonts w:eastAsiaTheme="minorEastAsia"/>
          <w:lang w:eastAsia="zh-CN"/>
        </w:rPr>
      </w:pPr>
      <w:r w:rsidRPr="00885F53">
        <w:rPr>
          <w:lang w:val="en-US" w:eastAsia="zh-CN"/>
        </w:rPr>
        <w:t xml:space="preserve">This clause contains requirements </w:t>
      </w:r>
      <w:r>
        <w:rPr>
          <w:rFonts w:eastAsiaTheme="minorEastAsia"/>
          <w:lang w:eastAsia="zh-CN"/>
        </w:rPr>
        <w:t>for measurements on int</w:t>
      </w:r>
      <w:r>
        <w:rPr>
          <w:rFonts w:eastAsiaTheme="minorEastAsia" w:hint="eastAsia"/>
          <w:lang w:eastAsia="zh-CN"/>
        </w:rPr>
        <w:t>er</w:t>
      </w:r>
      <w:r>
        <w:rPr>
          <w:rFonts w:eastAsiaTheme="minorEastAsia"/>
          <w:lang w:eastAsia="zh-CN"/>
        </w:rPr>
        <w:t>-frequency NR cells provided that:</w:t>
      </w:r>
    </w:p>
    <w:p w14:paraId="1A272920" w14:textId="77777777" w:rsidR="00220A02" w:rsidRPr="00AD77EE" w:rsidRDefault="00220A02" w:rsidP="00220A02">
      <w:pPr>
        <w:pStyle w:val="B10"/>
        <w:rPr>
          <w:lang w:eastAsia="zh-CN"/>
        </w:rPr>
      </w:pPr>
      <w:r>
        <w:rPr>
          <w:lang w:eastAsia="zh-CN"/>
        </w:rPr>
        <w:t>-</w:t>
      </w:r>
      <w:r>
        <w:rPr>
          <w:lang w:eastAsia="zh-CN"/>
        </w:rPr>
        <w:tab/>
      </w:r>
      <w:r w:rsidRPr="000A4CE3">
        <w:rPr>
          <w:lang w:eastAsia="zh-CN"/>
        </w:rPr>
        <w:t xml:space="preserve">UE is configured with </w:t>
      </w:r>
      <w:r w:rsidRPr="00AD77EE">
        <w:rPr>
          <w:lang w:eastAsia="zh-CN"/>
        </w:rPr>
        <w:t xml:space="preserve">both </w:t>
      </w:r>
      <w:r w:rsidRPr="001C6668">
        <w:rPr>
          <w:i/>
          <w:iCs/>
          <w:lang w:eastAsia="zh-CN"/>
        </w:rPr>
        <w:t>lowMobilityEvaluation</w:t>
      </w:r>
      <w:r w:rsidRPr="00485479" w:rsidDel="001E51FB">
        <w:rPr>
          <w:i/>
          <w:iCs/>
          <w:lang w:eastAsia="zh-CN"/>
        </w:rPr>
        <w:t xml:space="preserve"> </w:t>
      </w:r>
      <w:r>
        <w:rPr>
          <w:lang w:eastAsia="zh-CN"/>
        </w:rPr>
        <w:t>[2]</w:t>
      </w:r>
      <w:r w:rsidRPr="00AD77EE">
        <w:rPr>
          <w:lang w:eastAsia="zh-CN"/>
        </w:rPr>
        <w:t xml:space="preserve"> criterion and </w:t>
      </w:r>
      <w:r w:rsidRPr="00485479">
        <w:rPr>
          <w:i/>
          <w:iCs/>
          <w:lang w:eastAsia="zh-CN"/>
        </w:rPr>
        <w:t>cellEdgeEvaluation</w:t>
      </w:r>
      <w:r>
        <w:rPr>
          <w:i/>
          <w:iCs/>
          <w:lang w:eastAsia="zh-CN"/>
        </w:rPr>
        <w:t xml:space="preserve"> </w:t>
      </w:r>
      <w:r>
        <w:rPr>
          <w:lang w:eastAsia="zh-CN"/>
        </w:rPr>
        <w:t>[2]</w:t>
      </w:r>
      <w:r w:rsidRPr="00AD77EE">
        <w:rPr>
          <w:lang w:eastAsia="zh-CN"/>
        </w:rPr>
        <w:t xml:space="preserve"> criterion, </w:t>
      </w:r>
      <w:r>
        <w:rPr>
          <w:lang w:eastAsia="zh-CN"/>
        </w:rPr>
        <w:t xml:space="preserve">and </w:t>
      </w:r>
    </w:p>
    <w:p w14:paraId="6B617448" w14:textId="77777777" w:rsidR="00220A02" w:rsidRDefault="00220A02" w:rsidP="00220A02">
      <w:pPr>
        <w:pStyle w:val="B10"/>
        <w:rPr>
          <w:lang w:eastAsia="zh-CN"/>
        </w:rPr>
      </w:pPr>
      <w:r>
        <w:rPr>
          <w:lang w:eastAsia="zh-CN"/>
        </w:rPr>
        <w:t>-</w:t>
      </w:r>
      <w:r>
        <w:rPr>
          <w:lang w:eastAsia="zh-CN"/>
        </w:rPr>
        <w:tab/>
        <w:t xml:space="preserve">Has also </w:t>
      </w:r>
      <w:r w:rsidRPr="00AD77EE">
        <w:rPr>
          <w:lang w:eastAsia="zh-CN"/>
        </w:rPr>
        <w:t xml:space="preserve">fulfilled </w:t>
      </w:r>
      <w:r>
        <w:rPr>
          <w:lang w:eastAsia="zh-CN"/>
        </w:rPr>
        <w:t>both criteria, and</w:t>
      </w:r>
    </w:p>
    <w:p w14:paraId="14B6EF30" w14:textId="77777777" w:rsidR="00220A02" w:rsidRPr="00FA1949" w:rsidRDefault="00220A02" w:rsidP="00220A02">
      <w:pPr>
        <w:pStyle w:val="B10"/>
        <w:rPr>
          <w:lang w:eastAsia="zh-CN"/>
        </w:rPr>
      </w:pPr>
      <w:r>
        <w:rPr>
          <w:rFonts w:hint="eastAsia"/>
          <w:lang w:eastAsia="zh-CN"/>
        </w:rPr>
        <w:t>-</w:t>
      </w:r>
      <w:r>
        <w:rPr>
          <w:rFonts w:hint="eastAsia"/>
          <w:lang w:eastAsia="zh-CN"/>
        </w:rPr>
        <w:tab/>
      </w:r>
      <w:r w:rsidRPr="00C15974">
        <w:rPr>
          <w:rFonts w:eastAsiaTheme="minorEastAsia"/>
          <w:lang w:eastAsia="zh-CN"/>
        </w:rPr>
        <w:t>less than 1 hour have passed since measurements for cell reselection were last performed</w:t>
      </w:r>
    </w:p>
    <w:p w14:paraId="4902AFD2" w14:textId="7ED80CD9" w:rsidR="00220A02" w:rsidRPr="002A0573" w:rsidRDefault="00ED1CE6" w:rsidP="00220A02">
      <w:pPr>
        <w:rPr>
          <w:lang w:eastAsia="zh-CN"/>
        </w:rPr>
      </w:pPr>
      <w:r w:rsidRPr="00D56527">
        <w:rPr>
          <w:lang w:eastAsia="zh-CN"/>
        </w:rPr>
        <w:t xml:space="preserve">In this case the UE is not required to meet </w:t>
      </w:r>
      <w:r w:rsidRPr="00D56527">
        <w:rPr>
          <w:rFonts w:ascii="Arial" w:hAnsi="Arial"/>
          <w:sz w:val="18"/>
        </w:rPr>
        <w:t>T</w:t>
      </w:r>
      <w:r w:rsidRPr="00D56527">
        <w:rPr>
          <w:rFonts w:ascii="Arial" w:hAnsi="Arial"/>
          <w:sz w:val="18"/>
          <w:vertAlign w:val="subscript"/>
        </w:rPr>
        <w:t>detect,NR_</w:t>
      </w:r>
      <w:r w:rsidRPr="000D108A">
        <w:rPr>
          <w:rFonts w:ascii="Arial" w:hAnsi="Arial"/>
          <w:sz w:val="18"/>
          <w:vertAlign w:val="subscript"/>
        </w:rPr>
        <w:t>Inter</w:t>
      </w:r>
      <w:r w:rsidRPr="00703678">
        <w:rPr>
          <w:rFonts w:ascii="Arial" w:hAnsi="Arial"/>
          <w:sz w:val="18"/>
          <w:vertAlign w:val="subscript"/>
        </w:rPr>
        <w:t>_RedCap</w:t>
      </w:r>
      <w:r w:rsidRPr="000D108A">
        <w:rPr>
          <w:vertAlign w:val="subscript"/>
        </w:rPr>
        <w:t>,</w:t>
      </w:r>
      <w:r w:rsidRPr="000D108A">
        <w:t xml:space="preserve"> </w:t>
      </w:r>
      <w:r w:rsidRPr="000D108A">
        <w:rPr>
          <w:rFonts w:ascii="Arial" w:hAnsi="Arial"/>
          <w:sz w:val="18"/>
        </w:rPr>
        <w:t>T</w:t>
      </w:r>
      <w:r w:rsidRPr="000D108A">
        <w:rPr>
          <w:rFonts w:ascii="Arial" w:hAnsi="Arial"/>
          <w:sz w:val="18"/>
          <w:vertAlign w:val="subscript"/>
        </w:rPr>
        <w:t>measure,NR_</w:t>
      </w:r>
      <w:r w:rsidRPr="009449C0">
        <w:rPr>
          <w:rFonts w:ascii="Arial" w:hAnsi="Arial"/>
          <w:sz w:val="18"/>
          <w:vertAlign w:val="subscript"/>
        </w:rPr>
        <w:t>Inter</w:t>
      </w:r>
      <w:r w:rsidRPr="00703678">
        <w:rPr>
          <w:rFonts w:ascii="Arial" w:hAnsi="Arial"/>
          <w:sz w:val="18"/>
          <w:vertAlign w:val="subscript"/>
        </w:rPr>
        <w:t>_RedCap</w:t>
      </w:r>
      <w:r w:rsidRPr="009449C0">
        <w:t xml:space="preserve"> and </w:t>
      </w:r>
      <w:r w:rsidRPr="009449C0">
        <w:rPr>
          <w:rFonts w:ascii="Arial" w:hAnsi="Arial"/>
          <w:sz w:val="18"/>
        </w:rPr>
        <w:t>T</w:t>
      </w:r>
      <w:r w:rsidRPr="00CF075A">
        <w:rPr>
          <w:rFonts w:ascii="Arial" w:hAnsi="Arial"/>
          <w:sz w:val="18"/>
          <w:vertAlign w:val="subscript"/>
        </w:rPr>
        <w:t>evaluate,NR_</w:t>
      </w:r>
      <w:r w:rsidRPr="00CF075A">
        <w:rPr>
          <w:rFonts w:ascii="Arial" w:hAnsi="Arial" w:cs="v4.2.0"/>
          <w:sz w:val="18"/>
          <w:vertAlign w:val="subscript"/>
        </w:rPr>
        <w:t>Inter</w:t>
      </w:r>
      <w:r w:rsidRPr="00703678">
        <w:rPr>
          <w:rFonts w:ascii="Arial" w:hAnsi="Arial"/>
          <w:sz w:val="18"/>
          <w:vertAlign w:val="subscript"/>
        </w:rPr>
        <w:t>_RedCap</w:t>
      </w:r>
      <w:r w:rsidRPr="00CF075A">
        <w:rPr>
          <w:lang w:eastAsia="zh-CN"/>
        </w:rPr>
        <w:t xml:space="preserve"> as defined in </w:t>
      </w:r>
      <w:r>
        <w:t>clause</w:t>
      </w:r>
      <w:r w:rsidRPr="00556C03">
        <w:t xml:space="preserve"> 4.2</w:t>
      </w:r>
      <w:r w:rsidRPr="00034E52">
        <w:t>B</w:t>
      </w:r>
      <w:r w:rsidRPr="00556C03">
        <w:t>.2.4</w:t>
      </w:r>
      <w:r w:rsidRPr="002A0573">
        <w:rPr>
          <w:lang w:eastAsia="zh-CN"/>
        </w:rPr>
        <w:t>.</w:t>
      </w:r>
    </w:p>
    <w:p w14:paraId="0FF4F68F" w14:textId="77777777" w:rsidR="00ED1CE6" w:rsidRPr="007E1BBF" w:rsidRDefault="00ED1CE6" w:rsidP="00ED1CE6">
      <w:pPr>
        <w:rPr>
          <w:lang w:eastAsia="zh-CN"/>
        </w:rPr>
      </w:pPr>
      <w:r w:rsidRPr="007E1BBF">
        <w:rPr>
          <w:rFonts w:hint="eastAsia"/>
          <w:noProof/>
          <w:lang w:eastAsia="zh-CN"/>
        </w:rPr>
        <w:t>W</w:t>
      </w:r>
      <w:r w:rsidRPr="007E1BBF">
        <w:rPr>
          <w:noProof/>
        </w:rPr>
        <w:t xml:space="preserve">hen </w:t>
      </w:r>
      <w:r w:rsidRPr="007E1BBF">
        <w:rPr>
          <w:lang w:eastAsia="zh-CN"/>
        </w:rPr>
        <w:t xml:space="preserve">Srxlev </w:t>
      </w:r>
      <w:r w:rsidRPr="007E1BBF">
        <w:t>≤</w:t>
      </w:r>
      <w:r w:rsidRPr="007E1BBF">
        <w:rPr>
          <w:lang w:eastAsia="zh-CN"/>
        </w:rPr>
        <w:t xml:space="preserve"> S</w:t>
      </w:r>
      <w:r w:rsidRPr="007E1BBF">
        <w:rPr>
          <w:vertAlign w:val="subscript"/>
          <w:lang w:eastAsia="zh-CN"/>
        </w:rPr>
        <w:t>nonIntraSearchP</w:t>
      </w:r>
      <w:r w:rsidRPr="007E1BBF">
        <w:rPr>
          <w:lang w:eastAsia="zh-CN"/>
        </w:rPr>
        <w:t xml:space="preserve"> or Squal </w:t>
      </w:r>
      <w:r w:rsidRPr="007E1BBF">
        <w:t>≤</w:t>
      </w:r>
      <w:r w:rsidRPr="007E1BBF">
        <w:rPr>
          <w:lang w:eastAsia="zh-CN"/>
        </w:rPr>
        <w:t xml:space="preserve"> S</w:t>
      </w:r>
      <w:r w:rsidRPr="007E1BBF">
        <w:rPr>
          <w:vertAlign w:val="subscript"/>
          <w:lang w:eastAsia="zh-CN"/>
        </w:rPr>
        <w:t>nonIntraSearchQ</w:t>
      </w:r>
      <w:r w:rsidRPr="007E1BBF">
        <w:rPr>
          <w:noProof/>
        </w:rPr>
        <w:t xml:space="preserve">, the UE shall search for, measure and evaluate inter-frequency layers of </w:t>
      </w:r>
      <w:r w:rsidRPr="007E1BBF">
        <w:t>higher, equal or lower priority</w:t>
      </w:r>
      <w:r w:rsidRPr="007E1BBF">
        <w:rPr>
          <w:noProof/>
        </w:rPr>
        <w:t xml:space="preserve"> at least every </w:t>
      </w:r>
      <w:r>
        <w:rPr>
          <w:noProof/>
        </w:rPr>
        <w:t>1</w:t>
      </w:r>
      <w:r w:rsidRPr="007E1BBF">
        <w:rPr>
          <w:noProof/>
        </w:rPr>
        <w:t xml:space="preserve"> hour</w:t>
      </w:r>
      <w:r>
        <w:rPr>
          <w:noProof/>
        </w:rPr>
        <w:t>s</w:t>
      </w:r>
      <w:r w:rsidRPr="007E1BBF">
        <w:rPr>
          <w:noProof/>
        </w:rPr>
        <w:t>.</w:t>
      </w:r>
    </w:p>
    <w:p w14:paraId="43A38891" w14:textId="77777777" w:rsidR="00ED1CE6" w:rsidRDefault="00ED1CE6" w:rsidP="00ED1CE6">
      <w:pPr>
        <w:rPr>
          <w:noProof/>
        </w:rPr>
      </w:pPr>
      <w:r w:rsidRPr="007E1BBF">
        <w:rPr>
          <w:noProof/>
        </w:rPr>
        <w:t>When Srxlev &gt; S</w:t>
      </w:r>
      <w:r w:rsidRPr="007E1BBF">
        <w:rPr>
          <w:noProof/>
          <w:vertAlign w:val="subscript"/>
        </w:rPr>
        <w:t>nonIntraSearchP</w:t>
      </w:r>
      <w:r w:rsidRPr="007E1BBF">
        <w:rPr>
          <w:noProof/>
        </w:rPr>
        <w:t xml:space="preserve"> and Squal &gt; S</w:t>
      </w:r>
      <w:r w:rsidRPr="007E1BBF">
        <w:rPr>
          <w:noProof/>
          <w:vertAlign w:val="subscript"/>
        </w:rPr>
        <w:t>nonIntraSearchQ</w:t>
      </w:r>
      <w:r w:rsidRPr="007E1BBF">
        <w:rPr>
          <w:noProof/>
        </w:rPr>
        <w:t xml:space="preserve">, the UE shall search for inter-frequency layers of higher priority at least every </w:t>
      </w:r>
      <w:r>
        <w:rPr>
          <w:noProof/>
        </w:rPr>
        <w:t>K2</w:t>
      </w:r>
      <w:r w:rsidRPr="007E1BBF">
        <w:rPr>
          <w:noProof/>
        </w:rPr>
        <w:t>*T</w:t>
      </w:r>
      <w:r w:rsidRPr="007E1BBF">
        <w:rPr>
          <w:noProof/>
          <w:vertAlign w:val="subscript"/>
        </w:rPr>
        <w:t xml:space="preserve">higher_priority_search </w:t>
      </w:r>
      <w:r w:rsidRPr="007E1BBF">
        <w:rPr>
          <w:noProof/>
        </w:rPr>
        <w:t>where T</w:t>
      </w:r>
      <w:r w:rsidRPr="007E1BBF">
        <w:rPr>
          <w:noProof/>
          <w:vertAlign w:val="subscript"/>
        </w:rPr>
        <w:t>higher_priority_search</w:t>
      </w:r>
      <w:r w:rsidRPr="007E1BBF">
        <w:rPr>
          <w:noProof/>
        </w:rPr>
        <w:t xml:space="preserve"> is described in clause 4.2.2.7</w:t>
      </w:r>
      <w:r>
        <w:rPr>
          <w:noProof/>
        </w:rPr>
        <w:t xml:space="preserve"> and K2=60</w:t>
      </w:r>
      <w:r w:rsidRPr="007E1BBF">
        <w:rPr>
          <w:noProof/>
        </w:rPr>
        <w:t>.</w:t>
      </w:r>
    </w:p>
    <w:p w14:paraId="73BAFA7D" w14:textId="77777777" w:rsidR="00ED1CE6" w:rsidRPr="00847EA5" w:rsidRDefault="00ED1CE6" w:rsidP="00ED1CE6">
      <w:pPr>
        <w:rPr>
          <w:lang w:eastAsia="zh-CN"/>
        </w:rPr>
      </w:pPr>
      <w:r>
        <w:rPr>
          <w:rFonts w:hint="eastAsia"/>
          <w:lang w:eastAsia="zh-CN"/>
        </w:rPr>
        <w:t>T</w:t>
      </w:r>
      <w:r>
        <w:rPr>
          <w:lang w:eastAsia="zh-CN"/>
        </w:rPr>
        <w:t xml:space="preserve">he requirments defined in this clause apply regardless of </w:t>
      </w:r>
      <w:r w:rsidRPr="00691C10">
        <w:rPr>
          <w:rFonts w:cs="v4.2.0"/>
        </w:rPr>
        <w:t>eDRX_IDLE</w:t>
      </w:r>
      <w:r>
        <w:rPr>
          <w:rFonts w:cs="v4.2.0"/>
        </w:rPr>
        <w:t xml:space="preserve"> configurations.</w:t>
      </w:r>
    </w:p>
    <w:p w14:paraId="071FEBA7" w14:textId="77777777" w:rsidR="00220A02" w:rsidRPr="00566B67" w:rsidRDefault="00220A02" w:rsidP="00220A02">
      <w:pPr>
        <w:rPr>
          <w:rFonts w:cs="v4.2.0"/>
        </w:rPr>
      </w:pPr>
    </w:p>
    <w:p w14:paraId="5D042174" w14:textId="77777777" w:rsidR="00F87F95" w:rsidRDefault="00F87F95" w:rsidP="00F87F95">
      <w:pPr>
        <w:pStyle w:val="Heading4"/>
      </w:pPr>
      <w:r>
        <w:t>4.2B.2.11</w:t>
      </w:r>
      <w:r>
        <w:tab/>
        <w:t>Measurements of inter-RAT E-UTRAN cells for UE configured with relaxed measurement criterion</w:t>
      </w:r>
    </w:p>
    <w:p w14:paraId="02844858" w14:textId="77777777" w:rsidR="00F87F95" w:rsidRPr="00C83CA1" w:rsidRDefault="00F87F95" w:rsidP="00F87F95">
      <w:pPr>
        <w:pStyle w:val="Heading5"/>
        <w:rPr>
          <w:lang w:val="en-US" w:eastAsia="zh-CN"/>
        </w:rPr>
      </w:pPr>
      <w:r>
        <w:rPr>
          <w:lang w:val="en-US" w:eastAsia="zh-CN"/>
        </w:rPr>
        <w:t>4.2B.2.11</w:t>
      </w:r>
      <w:r w:rsidRPr="00C83CA1">
        <w:rPr>
          <w:lang w:val="en-US" w:eastAsia="zh-CN"/>
        </w:rPr>
        <w:t>.1</w:t>
      </w:r>
      <w:r>
        <w:rPr>
          <w:lang w:val="en-US" w:eastAsia="zh-CN"/>
        </w:rPr>
        <w:tab/>
      </w:r>
      <w:r w:rsidRPr="00C83CA1">
        <w:rPr>
          <w:lang w:val="en-US" w:eastAsia="zh-CN"/>
        </w:rPr>
        <w:t>Introduction</w:t>
      </w:r>
    </w:p>
    <w:p w14:paraId="27D80C58" w14:textId="6E16F615" w:rsidR="00F87F95" w:rsidRPr="00EF59D1" w:rsidRDefault="00225700" w:rsidP="00F87F95">
      <w:pPr>
        <w:rPr>
          <w:noProof/>
        </w:rPr>
      </w:pPr>
      <w:r w:rsidRPr="00EF59D1">
        <w:rPr>
          <w:noProof/>
        </w:rPr>
        <w:t xml:space="preserve">This </w:t>
      </w:r>
      <w:r>
        <w:rPr>
          <w:noProof/>
        </w:rPr>
        <w:t>clause</w:t>
      </w:r>
      <w:r w:rsidRPr="00EF59D1">
        <w:rPr>
          <w:noProof/>
        </w:rPr>
        <w:t xml:space="preserve"> contains the requirements for measurements on </w:t>
      </w:r>
      <w:r>
        <w:rPr>
          <w:noProof/>
        </w:rPr>
        <w:t xml:space="preserve">inter-RAT E-UTRAN </w:t>
      </w:r>
      <w:r w:rsidRPr="00EF59D1">
        <w:rPr>
          <w:noProof/>
        </w:rPr>
        <w:t xml:space="preserve">cells </w:t>
      </w:r>
      <w:r w:rsidRPr="00734785">
        <w:rPr>
          <w:lang w:eastAsia="zh-CN"/>
        </w:rPr>
        <w:t xml:space="preserve">when the UE is </w:t>
      </w:r>
      <w:r w:rsidRPr="00C83CA1">
        <w:rPr>
          <w:lang w:eastAsia="zh-CN"/>
        </w:rPr>
        <w:t xml:space="preserve">configured </w:t>
      </w:r>
      <w:r w:rsidRPr="00C83CA1">
        <w:rPr>
          <w:noProof/>
        </w:rPr>
        <w:t>any of the following relaxed measurement critera:</w:t>
      </w:r>
    </w:p>
    <w:p w14:paraId="6D843159" w14:textId="01EB6485" w:rsidR="00225700" w:rsidRDefault="00225700" w:rsidP="00225700">
      <w:pPr>
        <w:pStyle w:val="B10"/>
        <w:rPr>
          <w:noProof/>
        </w:rPr>
      </w:pPr>
      <w:r>
        <w:rPr>
          <w:noProof/>
        </w:rPr>
        <w:t>-</w:t>
      </w:r>
      <w:r>
        <w:rPr>
          <w:noProof/>
        </w:rPr>
        <w:tab/>
      </w:r>
      <w:r w:rsidRPr="007D632B">
        <w:rPr>
          <w:noProof/>
        </w:rPr>
        <w:t>Relaxed measurement criterion for</w:t>
      </w:r>
      <w:r>
        <w:rPr>
          <w:noProof/>
        </w:rPr>
        <w:t xml:space="preserve"> a stationary </w:t>
      </w:r>
      <w:r w:rsidRPr="007D632B">
        <w:rPr>
          <w:noProof/>
        </w:rPr>
        <w:t>UE</w:t>
      </w:r>
      <w:r w:rsidRPr="00950DA1">
        <w:rPr>
          <w:noProof/>
        </w:rPr>
        <w:t xml:space="preserve"> defined in clause 5.</w:t>
      </w:r>
      <w:r>
        <w:rPr>
          <w:noProof/>
        </w:rPr>
        <w:t>2</w:t>
      </w:r>
      <w:r w:rsidRPr="00950DA1">
        <w:rPr>
          <w:noProof/>
        </w:rPr>
        <w:t>.4.</w:t>
      </w:r>
      <w:r>
        <w:rPr>
          <w:noProof/>
        </w:rPr>
        <w:t>9.</w:t>
      </w:r>
      <w:r w:rsidRPr="007A3888">
        <w:rPr>
          <w:noProof/>
        </w:rPr>
        <w:t>3</w:t>
      </w:r>
      <w:r w:rsidRPr="00950DA1">
        <w:rPr>
          <w:noProof/>
        </w:rPr>
        <w:t xml:space="preserve"> in [</w:t>
      </w:r>
      <w:r>
        <w:rPr>
          <w:noProof/>
        </w:rPr>
        <w:t>1</w:t>
      </w:r>
      <w:r w:rsidRPr="00950DA1">
        <w:rPr>
          <w:noProof/>
        </w:rPr>
        <w:t>],</w:t>
      </w:r>
    </w:p>
    <w:p w14:paraId="0366263C" w14:textId="3E7BE11D" w:rsidR="00225700" w:rsidRDefault="00225700" w:rsidP="00225700">
      <w:pPr>
        <w:pStyle w:val="B10"/>
        <w:rPr>
          <w:noProof/>
        </w:rPr>
      </w:pPr>
      <w:r>
        <w:rPr>
          <w:noProof/>
        </w:rPr>
        <w:t>-</w:t>
      </w:r>
      <w:r>
        <w:rPr>
          <w:noProof/>
        </w:rPr>
        <w:tab/>
      </w:r>
      <w:r w:rsidRPr="007D632B">
        <w:rPr>
          <w:noProof/>
        </w:rPr>
        <w:t>Relaxed measurement criterion for</w:t>
      </w:r>
      <w:r>
        <w:rPr>
          <w:noProof/>
        </w:rPr>
        <w:t xml:space="preserve"> a stationary </w:t>
      </w:r>
      <w:r w:rsidRPr="007D632B">
        <w:rPr>
          <w:noProof/>
        </w:rPr>
        <w:t>U</w:t>
      </w:r>
      <w:r>
        <w:rPr>
          <w:noProof/>
        </w:rPr>
        <w:t xml:space="preserve">E not at cell edge </w:t>
      </w:r>
      <w:r w:rsidRPr="00950DA1">
        <w:rPr>
          <w:noProof/>
        </w:rPr>
        <w:t>defined in clause 5.</w:t>
      </w:r>
      <w:r>
        <w:rPr>
          <w:noProof/>
        </w:rPr>
        <w:t>2</w:t>
      </w:r>
      <w:r w:rsidRPr="00950DA1">
        <w:rPr>
          <w:noProof/>
        </w:rPr>
        <w:t>.4.</w:t>
      </w:r>
      <w:r>
        <w:rPr>
          <w:noProof/>
        </w:rPr>
        <w:t>9.</w:t>
      </w:r>
      <w:r w:rsidRPr="007A3888">
        <w:rPr>
          <w:noProof/>
        </w:rPr>
        <w:t>4</w:t>
      </w:r>
      <w:r w:rsidRPr="00950DA1">
        <w:rPr>
          <w:noProof/>
        </w:rPr>
        <w:t xml:space="preserve"> in [</w:t>
      </w:r>
      <w:r>
        <w:rPr>
          <w:noProof/>
        </w:rPr>
        <w:t>1</w:t>
      </w:r>
      <w:r w:rsidRPr="00950DA1">
        <w:rPr>
          <w:noProof/>
        </w:rPr>
        <w:t>],</w:t>
      </w:r>
    </w:p>
    <w:p w14:paraId="00D58BDD" w14:textId="3177E21E" w:rsidR="00225700" w:rsidRDefault="00225700" w:rsidP="00225700">
      <w:pPr>
        <w:pStyle w:val="B10"/>
        <w:rPr>
          <w:noProof/>
        </w:rPr>
      </w:pPr>
      <w:r>
        <w:rPr>
          <w:noProof/>
        </w:rPr>
        <w:t>-</w:t>
      </w:r>
      <w:r>
        <w:rPr>
          <w:noProof/>
        </w:rPr>
        <w:tab/>
        <w:t xml:space="preserve">Both </w:t>
      </w:r>
      <w:r w:rsidRPr="00950DA1">
        <w:rPr>
          <w:noProof/>
        </w:rPr>
        <w:t xml:space="preserve">low mobility </w:t>
      </w:r>
      <w:r>
        <w:rPr>
          <w:noProof/>
        </w:rPr>
        <w:t xml:space="preserve">criterion and stationary criterion as </w:t>
      </w:r>
      <w:r w:rsidRPr="00950DA1">
        <w:rPr>
          <w:noProof/>
        </w:rPr>
        <w:t>defined in clause 5.2.4.</w:t>
      </w:r>
      <w:r>
        <w:rPr>
          <w:noProof/>
        </w:rPr>
        <w:t>9</w:t>
      </w:r>
      <w:r w:rsidRPr="00950DA1">
        <w:rPr>
          <w:noProof/>
        </w:rPr>
        <w:t>.1</w:t>
      </w:r>
      <w:r>
        <w:rPr>
          <w:noProof/>
        </w:rPr>
        <w:t xml:space="preserve"> and </w:t>
      </w:r>
      <w:r w:rsidRPr="00950DA1">
        <w:rPr>
          <w:noProof/>
        </w:rPr>
        <w:t>5.</w:t>
      </w:r>
      <w:r>
        <w:rPr>
          <w:noProof/>
        </w:rPr>
        <w:t>2</w:t>
      </w:r>
      <w:r w:rsidRPr="00950DA1">
        <w:rPr>
          <w:noProof/>
        </w:rPr>
        <w:t>.4.</w:t>
      </w:r>
      <w:r>
        <w:rPr>
          <w:noProof/>
        </w:rPr>
        <w:t>9.</w:t>
      </w:r>
      <w:r w:rsidRPr="007A3888">
        <w:rPr>
          <w:noProof/>
        </w:rPr>
        <w:t>3</w:t>
      </w:r>
      <w:r w:rsidRPr="00950DA1">
        <w:rPr>
          <w:noProof/>
        </w:rPr>
        <w:t xml:space="preserve"> in [1]</w:t>
      </w:r>
      <w:r>
        <w:rPr>
          <w:noProof/>
        </w:rPr>
        <w:t xml:space="preserve"> respectively.</w:t>
      </w:r>
    </w:p>
    <w:p w14:paraId="1B635C61" w14:textId="77777777" w:rsidR="00225700" w:rsidRPr="00F52E47" w:rsidRDefault="00225700" w:rsidP="00225700">
      <w:pPr>
        <w:pStyle w:val="B10"/>
        <w:rPr>
          <w:noProof/>
        </w:rPr>
      </w:pPr>
      <w:r>
        <w:rPr>
          <w:noProof/>
        </w:rPr>
        <w:t>-</w:t>
      </w:r>
      <w:r>
        <w:rPr>
          <w:noProof/>
        </w:rPr>
        <w:tab/>
      </w:r>
      <w:r w:rsidRPr="000D108A">
        <w:rPr>
          <w:noProof/>
        </w:rPr>
        <w:t>Relaxed measurement crit</w:t>
      </w:r>
      <w:r w:rsidRPr="00F52E47">
        <w:rPr>
          <w:noProof/>
        </w:rPr>
        <w:t>erion for UE with low mobility defined in clause 5.2.4.</w:t>
      </w:r>
      <w:r>
        <w:rPr>
          <w:noProof/>
        </w:rPr>
        <w:t>9</w:t>
      </w:r>
      <w:r w:rsidRPr="00F52E47">
        <w:rPr>
          <w:noProof/>
        </w:rPr>
        <w:t>.1 in [1],</w:t>
      </w:r>
    </w:p>
    <w:p w14:paraId="4DDBA678" w14:textId="77777777" w:rsidR="00225700" w:rsidRPr="00F52E47" w:rsidRDefault="00225700" w:rsidP="00225700">
      <w:pPr>
        <w:pStyle w:val="B10"/>
        <w:rPr>
          <w:noProof/>
        </w:rPr>
      </w:pPr>
      <w:r>
        <w:rPr>
          <w:noProof/>
        </w:rPr>
        <w:t>-</w:t>
      </w:r>
      <w:r>
        <w:rPr>
          <w:noProof/>
        </w:rPr>
        <w:tab/>
      </w:r>
      <w:r w:rsidRPr="00F52E47">
        <w:rPr>
          <w:noProof/>
        </w:rPr>
        <w:t>Relaxed measurement criterion for UE not</w:t>
      </w:r>
      <w:r>
        <w:rPr>
          <w:noProof/>
        </w:rPr>
        <w:t>-</w:t>
      </w:r>
      <w:r w:rsidRPr="00F52E47">
        <w:rPr>
          <w:noProof/>
        </w:rPr>
        <w:t>at</w:t>
      </w:r>
      <w:r>
        <w:rPr>
          <w:noProof/>
        </w:rPr>
        <w:t>-</w:t>
      </w:r>
      <w:r w:rsidRPr="00F52E47">
        <w:rPr>
          <w:noProof/>
        </w:rPr>
        <w:t>cell edge defined in clause 5.2.4.</w:t>
      </w:r>
      <w:r>
        <w:rPr>
          <w:noProof/>
        </w:rPr>
        <w:t>9</w:t>
      </w:r>
      <w:r w:rsidRPr="00F52E47">
        <w:rPr>
          <w:noProof/>
        </w:rPr>
        <w:t>.2 in [1],</w:t>
      </w:r>
    </w:p>
    <w:p w14:paraId="76CEEB4A" w14:textId="6B46FCD6" w:rsidR="002E7BFF" w:rsidRDefault="00225700" w:rsidP="002E7BFF">
      <w:pPr>
        <w:rPr>
          <w:noProof/>
        </w:rPr>
      </w:pPr>
      <w:r>
        <w:rPr>
          <w:noProof/>
        </w:rPr>
        <w:t>-</w:t>
      </w:r>
      <w:r>
        <w:rPr>
          <w:noProof/>
        </w:rPr>
        <w:tab/>
      </w:r>
      <w:r w:rsidRPr="00F52E47">
        <w:rPr>
          <w:noProof/>
        </w:rPr>
        <w:t>Both low mobility criterion and not</w:t>
      </w:r>
      <w:r>
        <w:rPr>
          <w:noProof/>
        </w:rPr>
        <w:t>-</w:t>
      </w:r>
      <w:r w:rsidRPr="00F52E47">
        <w:rPr>
          <w:noProof/>
        </w:rPr>
        <w:t>at</w:t>
      </w:r>
      <w:r>
        <w:rPr>
          <w:noProof/>
        </w:rPr>
        <w:t>-</w:t>
      </w:r>
      <w:r w:rsidRPr="00F52E47">
        <w:rPr>
          <w:noProof/>
        </w:rPr>
        <w:t>cell edge criterion as defined in clauses 5.2.4.</w:t>
      </w:r>
      <w:r>
        <w:rPr>
          <w:noProof/>
        </w:rPr>
        <w:t>9</w:t>
      </w:r>
      <w:r w:rsidRPr="00F52E47">
        <w:rPr>
          <w:noProof/>
        </w:rPr>
        <w:t>.1 and 5.2.4.</w:t>
      </w:r>
      <w:r>
        <w:rPr>
          <w:noProof/>
        </w:rPr>
        <w:t>9</w:t>
      </w:r>
      <w:r w:rsidRPr="00F52E47">
        <w:rPr>
          <w:noProof/>
        </w:rPr>
        <w:t xml:space="preserve">.2 in [1] respectively.  </w:t>
      </w:r>
    </w:p>
    <w:p w14:paraId="798B99A0" w14:textId="77777777" w:rsidR="00F87F95" w:rsidRDefault="00F87F95" w:rsidP="00F87F95">
      <w:pPr>
        <w:pStyle w:val="Heading5"/>
        <w:rPr>
          <w:lang w:val="en-US" w:eastAsia="zh-CN"/>
        </w:rPr>
      </w:pPr>
      <w:r>
        <w:rPr>
          <w:lang w:val="en-US" w:eastAsia="zh-CN"/>
        </w:rPr>
        <w:t>4.2B.2.11.2</w:t>
      </w:r>
      <w:r>
        <w:rPr>
          <w:lang w:val="en-US" w:eastAsia="zh-CN"/>
        </w:rPr>
        <w:tab/>
        <w:t>Measurements for UE fulfilling stationary criterion</w:t>
      </w:r>
    </w:p>
    <w:p w14:paraId="7B9196AB" w14:textId="77777777" w:rsidR="00F87F95" w:rsidRPr="00EF59D1" w:rsidRDefault="00F87F95" w:rsidP="00F87F95">
      <w:pPr>
        <w:rPr>
          <w:lang w:eastAsia="zh-CN"/>
        </w:rPr>
      </w:pPr>
      <w:r w:rsidRPr="00C83CA1">
        <w:rPr>
          <w:lang w:val="en-US" w:eastAsia="zh-CN"/>
        </w:rPr>
        <w:t xml:space="preserve">This clause contains requirements </w:t>
      </w:r>
      <w:r w:rsidRPr="00C83CA1">
        <w:rPr>
          <w:lang w:eastAsia="zh-CN"/>
        </w:rPr>
        <w:t xml:space="preserve">for measurements on </w:t>
      </w:r>
      <w:r>
        <w:rPr>
          <w:lang w:eastAsia="zh-CN"/>
        </w:rPr>
        <w:t>inter-RAT E-UTRAN</w:t>
      </w:r>
      <w:r w:rsidRPr="00EF59D1">
        <w:rPr>
          <w:lang w:eastAsia="zh-CN"/>
        </w:rPr>
        <w:t xml:space="preserve"> cells provided that:</w:t>
      </w:r>
    </w:p>
    <w:p w14:paraId="1B4E0E97" w14:textId="77777777" w:rsidR="00F87F95" w:rsidRDefault="00F87F95" w:rsidP="00F87F95">
      <w:pPr>
        <w:pStyle w:val="B10"/>
        <w:rPr>
          <w:lang w:eastAsia="zh-CN"/>
        </w:rPr>
      </w:pPr>
      <w:r>
        <w:rPr>
          <w:noProof/>
        </w:rPr>
        <w:t>-</w:t>
      </w:r>
      <w:r>
        <w:rPr>
          <w:noProof/>
        </w:rPr>
        <w:tab/>
      </w:r>
      <w:r w:rsidRPr="007C2D19">
        <w:rPr>
          <w:lang w:eastAsia="zh-CN"/>
        </w:rPr>
        <w:t xml:space="preserve">UE is configured with </w:t>
      </w:r>
      <w:r w:rsidRPr="0013391D">
        <w:rPr>
          <w:i/>
          <w:iCs/>
        </w:rPr>
        <w:t>stationaryMobilityEvaluation</w:t>
      </w:r>
      <w:r w:rsidDel="004B26EA">
        <w:rPr>
          <w:i/>
          <w:iCs/>
          <w:lang w:eastAsia="zh-CN"/>
        </w:rPr>
        <w:t xml:space="preserve"> </w:t>
      </w:r>
      <w:r>
        <w:rPr>
          <w:lang w:eastAsia="zh-CN"/>
        </w:rPr>
        <w:t>[2]</w:t>
      </w:r>
      <w:r w:rsidRPr="007C2D19">
        <w:rPr>
          <w:lang w:eastAsia="zh-CN"/>
        </w:rPr>
        <w:t xml:space="preserve"> </w:t>
      </w:r>
      <w:r w:rsidRPr="00C33767">
        <w:rPr>
          <w:lang w:eastAsia="zh-CN"/>
        </w:rPr>
        <w:t>criterion</w:t>
      </w:r>
      <w:r>
        <w:rPr>
          <w:lang w:eastAsia="zh-CN"/>
        </w:rPr>
        <w:t xml:space="preserve"> and UE has fulfilled that criterion</w:t>
      </w:r>
      <w:r w:rsidRPr="00C33767">
        <w:rPr>
          <w:lang w:eastAsia="zh-CN"/>
        </w:rPr>
        <w:t xml:space="preserve">, or </w:t>
      </w:r>
    </w:p>
    <w:p w14:paraId="1C92830F" w14:textId="77777777" w:rsidR="00F87F95" w:rsidRPr="00BE54BE" w:rsidRDefault="00F87F95" w:rsidP="00F87F95">
      <w:pPr>
        <w:pStyle w:val="B10"/>
        <w:rPr>
          <w:lang w:eastAsia="zh-CN"/>
        </w:rPr>
      </w:pPr>
      <w:r>
        <w:rPr>
          <w:noProof/>
        </w:rPr>
        <w:t>-</w:t>
      </w:r>
      <w:r>
        <w:rPr>
          <w:noProof/>
        </w:rPr>
        <w:tab/>
      </w:r>
      <w:r w:rsidRPr="00D36387">
        <w:rPr>
          <w:lang w:eastAsia="zh-CN"/>
        </w:rPr>
        <w:t xml:space="preserve">UE is configured with both </w:t>
      </w:r>
      <w:r w:rsidRPr="00BE54BE">
        <w:rPr>
          <w:i/>
          <w:noProof/>
        </w:rPr>
        <w:t xml:space="preserve">stationaryMobilityEvaluation </w:t>
      </w:r>
      <w:r w:rsidRPr="00BE54BE">
        <w:rPr>
          <w:lang w:eastAsia="zh-CN"/>
        </w:rPr>
        <w:t xml:space="preserve">[2] criterion and </w:t>
      </w:r>
      <w:r w:rsidRPr="00BE54BE">
        <w:rPr>
          <w:i/>
          <w:noProof/>
        </w:rPr>
        <w:t xml:space="preserve">cellEdgeEvaluationWhileStationary </w:t>
      </w:r>
      <w:r w:rsidRPr="00BE54BE">
        <w:rPr>
          <w:lang w:eastAsia="zh-CN"/>
        </w:rPr>
        <w:t xml:space="preserve">[2] criterion and </w:t>
      </w:r>
      <w:r w:rsidRPr="00BE54BE">
        <w:rPr>
          <w:i/>
          <w:lang w:eastAsia="zh-CN"/>
        </w:rPr>
        <w:t xml:space="preserve">combineRelaxedMeasCondition2 </w:t>
      </w:r>
      <w:r w:rsidRPr="00BE54BE">
        <w:rPr>
          <w:lang w:eastAsia="zh-CN"/>
        </w:rPr>
        <w:t xml:space="preserve">[2] not configured, and UE has fulfilled only the </w:t>
      </w:r>
      <w:r w:rsidRPr="00BE54BE">
        <w:rPr>
          <w:i/>
          <w:noProof/>
        </w:rPr>
        <w:t xml:space="preserve">stationaryMobilityEvaluation </w:t>
      </w:r>
      <w:r w:rsidRPr="00BE54BE">
        <w:rPr>
          <w:lang w:eastAsia="zh-CN"/>
        </w:rPr>
        <w:t>[2] criterion, and</w:t>
      </w:r>
    </w:p>
    <w:p w14:paraId="3BBAA5E0" w14:textId="1D5E81D9" w:rsidR="00F87F95" w:rsidRPr="00BE54BE" w:rsidRDefault="00D9623D" w:rsidP="00F87F95">
      <w:pPr>
        <w:rPr>
          <w:noProof/>
        </w:rPr>
      </w:pPr>
      <w:r>
        <w:rPr>
          <w:rFonts w:hint="eastAsia"/>
          <w:noProof/>
          <w:lang w:eastAsia="zh-CN"/>
        </w:rPr>
        <w:t>W</w:t>
      </w:r>
      <w:r w:rsidRPr="007C2D19">
        <w:rPr>
          <w:noProof/>
        </w:rPr>
        <w:t xml:space="preserve">hen </w:t>
      </w:r>
      <w:r w:rsidRPr="00734785">
        <w:rPr>
          <w:rFonts w:eastAsiaTheme="minorEastAsia"/>
          <w:lang w:eastAsia="zh-CN"/>
        </w:rPr>
        <w:t xml:space="preserve">Srxlev </w:t>
      </w:r>
      <w:r w:rsidRPr="00691C10">
        <w:t>≤</w:t>
      </w:r>
      <w:r w:rsidRPr="00734785">
        <w:rPr>
          <w:rFonts w:eastAsiaTheme="minorEastAsia"/>
          <w:lang w:eastAsia="zh-CN"/>
        </w:rPr>
        <w:t xml:space="preserve"> S</w:t>
      </w:r>
      <w:r w:rsidRPr="00C15974">
        <w:rPr>
          <w:rFonts w:eastAsiaTheme="minorEastAsia"/>
          <w:vertAlign w:val="subscript"/>
          <w:lang w:eastAsia="zh-CN"/>
        </w:rPr>
        <w:t>nonIntraSearchP</w:t>
      </w:r>
      <w:r w:rsidRPr="00734785">
        <w:rPr>
          <w:rFonts w:eastAsiaTheme="minorEastAsia"/>
          <w:lang w:eastAsia="zh-CN"/>
        </w:rPr>
        <w:t xml:space="preserve"> </w:t>
      </w:r>
      <w:r>
        <w:rPr>
          <w:rFonts w:eastAsiaTheme="minorEastAsia"/>
          <w:lang w:eastAsia="zh-CN"/>
        </w:rPr>
        <w:t>or</w:t>
      </w:r>
      <w:r w:rsidRPr="00734785">
        <w:rPr>
          <w:rFonts w:eastAsiaTheme="minorEastAsia"/>
          <w:lang w:eastAsia="zh-CN"/>
        </w:rPr>
        <w:t xml:space="preserve"> Squal </w:t>
      </w:r>
      <w:r w:rsidRPr="00691C10">
        <w:t>≤</w:t>
      </w:r>
      <w:r w:rsidRPr="00734785">
        <w:rPr>
          <w:rFonts w:eastAsiaTheme="minorEastAsia"/>
          <w:lang w:eastAsia="zh-CN"/>
        </w:rPr>
        <w:t xml:space="preserve"> S</w:t>
      </w:r>
      <w:r w:rsidRPr="00C15974">
        <w:rPr>
          <w:rFonts w:eastAsiaTheme="minorEastAsia"/>
          <w:vertAlign w:val="subscript"/>
          <w:lang w:eastAsia="zh-CN"/>
        </w:rPr>
        <w:t>nonIntraSearchQ</w:t>
      </w:r>
      <w:r w:rsidRPr="00734785">
        <w:rPr>
          <w:rFonts w:eastAsiaTheme="minorEastAsia"/>
          <w:lang w:eastAsia="zh-CN"/>
        </w:rPr>
        <w:t xml:space="preserve"> </w:t>
      </w:r>
      <w:r>
        <w:rPr>
          <w:rFonts w:eastAsiaTheme="minorEastAsia" w:hint="eastAsia"/>
          <w:lang w:eastAsia="zh-CN"/>
        </w:rPr>
        <w:t>then t</w:t>
      </w:r>
      <w:r>
        <w:rPr>
          <w:rFonts w:eastAsiaTheme="minorEastAsia"/>
          <w:lang w:eastAsia="zh-CN"/>
        </w:rPr>
        <w:t>h</w:t>
      </w:r>
      <w:r w:rsidRPr="0089796C">
        <w:rPr>
          <w:noProof/>
        </w:rPr>
        <w:t xml:space="preserve">e </w:t>
      </w:r>
      <w:r w:rsidRPr="00BE54BE">
        <w:rPr>
          <w:noProof/>
        </w:rPr>
        <w:t xml:space="preserve">requirements defined in clause </w:t>
      </w:r>
      <w:r w:rsidRPr="00BE54BE">
        <w:t xml:space="preserve">4.2B.2.5 </w:t>
      </w:r>
      <w:r w:rsidRPr="00BE54BE">
        <w:rPr>
          <w:noProof/>
        </w:rPr>
        <w:t>apply for this clause except that:</w:t>
      </w:r>
    </w:p>
    <w:p w14:paraId="4E5E976B" w14:textId="77777777" w:rsidR="003260E3" w:rsidRPr="00BE54BE" w:rsidRDefault="003260E3" w:rsidP="003260E3">
      <w:pPr>
        <w:pStyle w:val="B10"/>
      </w:pPr>
      <w:r w:rsidRPr="00BE54BE">
        <w:t>-</w:t>
      </w:r>
      <w:r w:rsidRPr="00BE54BE">
        <w:tab/>
        <w:t>T</w:t>
      </w:r>
      <w:r w:rsidRPr="00BE54BE">
        <w:rPr>
          <w:vertAlign w:val="subscript"/>
        </w:rPr>
        <w:t>detect,EUTRAN_</w:t>
      </w:r>
      <w:r>
        <w:rPr>
          <w:vertAlign w:val="subscript"/>
        </w:rPr>
        <w:t xml:space="preserve">RedCap </w:t>
      </w:r>
      <w:r w:rsidRPr="00BE54BE">
        <w:rPr>
          <w:vertAlign w:val="subscript"/>
        </w:rPr>
        <w:t>Relax</w:t>
      </w:r>
      <w:r w:rsidRPr="00BE54BE">
        <w:t xml:space="preserve"> as specified in Table 4.2B.2.11.2-1 and Table 4.2B.2.11.2-2</w:t>
      </w:r>
      <w:r w:rsidRPr="00BE54BE">
        <w:rPr>
          <w:lang w:val="en-US"/>
        </w:rPr>
        <w:t xml:space="preserve"> for 1 Rx RedCap and 2 Rx RedCap respectively</w:t>
      </w:r>
      <w:r w:rsidRPr="00BE54BE">
        <w:t>.</w:t>
      </w:r>
    </w:p>
    <w:p w14:paraId="1DE3B52C" w14:textId="420F0217" w:rsidR="003260E3" w:rsidRPr="00BE54BE" w:rsidRDefault="003260E3" w:rsidP="003260E3">
      <w:pPr>
        <w:pStyle w:val="B10"/>
      </w:pPr>
      <w:r w:rsidRPr="00BE54BE">
        <w:t>-</w:t>
      </w:r>
      <w:r w:rsidRPr="00BE54BE">
        <w:tab/>
        <w:t>T</w:t>
      </w:r>
      <w:r w:rsidRPr="00BE54BE">
        <w:rPr>
          <w:vertAlign w:val="subscript"/>
        </w:rPr>
        <w:t>measure,EUTRAN</w:t>
      </w:r>
      <w:r w:rsidRPr="00E763A8">
        <w:rPr>
          <w:vertAlign w:val="subscript"/>
        </w:rPr>
        <w:t xml:space="preserve"> </w:t>
      </w:r>
      <w:r>
        <w:rPr>
          <w:vertAlign w:val="subscript"/>
        </w:rPr>
        <w:t xml:space="preserve">RedCap </w:t>
      </w:r>
      <w:r w:rsidRPr="00BE54BE">
        <w:rPr>
          <w:vertAlign w:val="subscript"/>
        </w:rPr>
        <w:t>Relax</w:t>
      </w:r>
      <w:r w:rsidRPr="00BE54BE">
        <w:t xml:space="preserve"> as specified in Table 4.2B.2.11.2-1 and Table 4.2B.2.11.2-2</w:t>
      </w:r>
      <w:r w:rsidRPr="00BE54BE">
        <w:rPr>
          <w:lang w:val="en-US"/>
        </w:rPr>
        <w:t xml:space="preserve"> for 1 Rx RedCap and 2 Rx RedCap respectively</w:t>
      </w:r>
      <w:r w:rsidRPr="00BE54BE">
        <w:t>.</w:t>
      </w:r>
    </w:p>
    <w:p w14:paraId="059727D4" w14:textId="54D00AB0" w:rsidR="00F87F95" w:rsidRDefault="003260E3" w:rsidP="003260E3">
      <w:pPr>
        <w:pStyle w:val="B10"/>
      </w:pPr>
      <w:r w:rsidRPr="00BE54BE">
        <w:t>-</w:t>
      </w:r>
      <w:r w:rsidRPr="00BE54BE">
        <w:tab/>
        <w:t>T</w:t>
      </w:r>
      <w:r w:rsidRPr="00BE54BE">
        <w:rPr>
          <w:vertAlign w:val="subscript"/>
        </w:rPr>
        <w:t>evaluate,EUTRAN</w:t>
      </w:r>
      <w:r w:rsidRPr="00E763A8">
        <w:rPr>
          <w:vertAlign w:val="subscript"/>
        </w:rPr>
        <w:t xml:space="preserve"> </w:t>
      </w:r>
      <w:r>
        <w:rPr>
          <w:vertAlign w:val="subscript"/>
        </w:rPr>
        <w:t xml:space="preserve">RedCap </w:t>
      </w:r>
      <w:r w:rsidRPr="00BE54BE">
        <w:rPr>
          <w:vertAlign w:val="subscript"/>
        </w:rPr>
        <w:t>Relax</w:t>
      </w:r>
      <w:r w:rsidRPr="00BE54BE">
        <w:t xml:space="preserve"> as specified in Table 4.2B.2.11.2-1 and Table 4.2B.2.11.2-2</w:t>
      </w:r>
      <w:r w:rsidRPr="00BE54BE">
        <w:rPr>
          <w:lang w:val="en-US"/>
        </w:rPr>
        <w:t xml:space="preserve"> for 1 Rx RedCap and 2 Rx RedCap respectively</w:t>
      </w:r>
      <w:r w:rsidRPr="00BE54BE">
        <w:t>.</w:t>
      </w:r>
    </w:p>
    <w:p w14:paraId="12DFA5D1" w14:textId="77777777" w:rsidR="00F87F95" w:rsidRPr="0082197E" w:rsidRDefault="00F87F95" w:rsidP="00F87F95">
      <w:pPr>
        <w:rPr>
          <w:noProof/>
        </w:rPr>
      </w:pPr>
      <w:r w:rsidRPr="0082197E">
        <w:rPr>
          <w:noProof/>
        </w:rPr>
        <w:t>If the UE is configured with eDRX_IDLE cycle then the requirements in Table 4.2B.2.1</w:t>
      </w:r>
      <w:r>
        <w:rPr>
          <w:noProof/>
        </w:rPr>
        <w:t>1.2</w:t>
      </w:r>
      <w:r w:rsidRPr="0082197E">
        <w:rPr>
          <w:noProof/>
        </w:rPr>
        <w:t xml:space="preserve">-3 are applicable for eDRX cycle </w:t>
      </w:r>
      <w:r>
        <w:rPr>
          <w:noProof/>
        </w:rPr>
        <w:t>&lt;</w:t>
      </w:r>
      <w:r w:rsidRPr="0082197E">
        <w:rPr>
          <w:noProof/>
        </w:rPr>
        <w:t xml:space="preserve"> 10.24 s. </w:t>
      </w:r>
    </w:p>
    <w:p w14:paraId="28E90670" w14:textId="77777777" w:rsidR="00F87F95" w:rsidRPr="0082197E" w:rsidRDefault="00F87F95" w:rsidP="00F87F95">
      <w:pPr>
        <w:rPr>
          <w:noProof/>
        </w:rPr>
      </w:pPr>
      <w:r w:rsidRPr="00F213AA">
        <w:t xml:space="preserve">If the UE is configured with eDRX_IDLE cycle </w:t>
      </w:r>
      <w:r w:rsidRPr="00F213AA">
        <w:rPr>
          <w:rFonts w:hint="eastAsia"/>
        </w:rPr>
        <w:t>≥</w:t>
      </w:r>
      <w:r w:rsidRPr="00F213AA">
        <w:t xml:space="preserve"> 10.24 s, then the requirements in </w:t>
      </w:r>
      <w:r w:rsidRPr="00F213AA">
        <w:rPr>
          <w:noProof/>
        </w:rPr>
        <w:t>Table 4.2B.2.11.2-4</w:t>
      </w:r>
      <w:r w:rsidRPr="00F213AA">
        <w:rPr>
          <w:lang w:val="en-US"/>
        </w:rPr>
        <w:t xml:space="preserve"> </w:t>
      </w:r>
      <w:r w:rsidRPr="00F213AA">
        <w:t xml:space="preserve">apply provided that filtering of a measurement is done within a single PTW and provided that the </w:t>
      </w:r>
      <w:r w:rsidRPr="00806346">
        <w:rPr>
          <w:noProof/>
        </w:rPr>
        <w:t xml:space="preserve">eDRX cycle is </w:t>
      </w:r>
      <w:r w:rsidRPr="00806346">
        <w:rPr>
          <w:rFonts w:hint="eastAsia"/>
          <w:noProof/>
        </w:rPr>
        <w:t>≤</w:t>
      </w:r>
      <w:r w:rsidRPr="00806346">
        <w:rPr>
          <w:noProof/>
        </w:rPr>
        <w:t xml:space="preserve"> [163.84]</w:t>
      </w:r>
      <w:r w:rsidRPr="00F213AA">
        <w:t xml:space="preserve"> sec</w:t>
      </w:r>
      <w:r w:rsidRPr="00806346">
        <w:t xml:space="preserve"> and evaluation/measurement time with relaxation on one carrier is not greater than single PTW window length</w:t>
      </w:r>
      <w:r w:rsidRPr="00F213AA">
        <w:t>.</w:t>
      </w:r>
    </w:p>
    <w:p w14:paraId="0EA8C36B" w14:textId="7F4751E6" w:rsidR="00F87F95" w:rsidRPr="00BE54BE" w:rsidRDefault="00D9623D" w:rsidP="00F87F95">
      <w:r>
        <w:rPr>
          <w:lang w:eastAsia="zh-CN"/>
        </w:rPr>
        <w:t>W</w:t>
      </w:r>
      <w:r w:rsidRPr="00C33767">
        <w:rPr>
          <w:lang w:eastAsia="zh-CN"/>
        </w:rPr>
        <w:t xml:space="preserve">hen </w:t>
      </w:r>
      <w:r w:rsidRPr="00A41B58">
        <w:t>Srxlev &gt; S</w:t>
      </w:r>
      <w:r w:rsidRPr="00A41B58">
        <w:rPr>
          <w:vertAlign w:val="subscript"/>
        </w:rPr>
        <w:t>nonIntraSearchP</w:t>
      </w:r>
      <w:r w:rsidRPr="00A41B58">
        <w:t xml:space="preserve"> and Squal &gt; S</w:t>
      </w:r>
      <w:r w:rsidRPr="00EC47A7">
        <w:rPr>
          <w:vertAlign w:val="subscript"/>
        </w:rPr>
        <w:t>nonIntraSearchQ</w:t>
      </w:r>
      <w:r w:rsidRPr="00EC47A7">
        <w:t xml:space="preserve"> </w:t>
      </w:r>
      <w:r w:rsidRPr="00A41B58">
        <w:rPr>
          <w:noProof/>
        </w:rPr>
        <w:t>then</w:t>
      </w:r>
      <w:r w:rsidRPr="00A41B58">
        <w:t xml:space="preserve"> the UE shall search for </w:t>
      </w:r>
      <w:r>
        <w:t xml:space="preserve">E-UTRA </w:t>
      </w:r>
      <w:r w:rsidRPr="00A41B58">
        <w:t>inter-</w:t>
      </w:r>
      <w:r>
        <w:rPr>
          <w:rFonts w:hint="eastAsia"/>
          <w:lang w:eastAsia="zh-CN"/>
        </w:rPr>
        <w:t xml:space="preserve">RAT </w:t>
      </w:r>
      <w:r w:rsidRPr="00A41B58">
        <w:t>frequency layers of higher priority at least every K</w:t>
      </w:r>
      <w:r w:rsidRPr="00EC47A7">
        <w:t>2*T</w:t>
      </w:r>
      <w:r w:rsidRPr="00EC47A7">
        <w:rPr>
          <w:vertAlign w:val="subscript"/>
        </w:rPr>
        <w:t xml:space="preserve">higher_priority_search </w:t>
      </w:r>
      <w:r w:rsidRPr="00EC47A7">
        <w:t>where T</w:t>
      </w:r>
      <w:r w:rsidRPr="00EC47A7">
        <w:rPr>
          <w:vertAlign w:val="subscript"/>
        </w:rPr>
        <w:t>higher_priority_search</w:t>
      </w:r>
      <w:r w:rsidRPr="00D56527">
        <w:t xml:space="preserve"> is described in clause 4.2.2.7 and</w:t>
      </w:r>
      <w:r w:rsidRPr="000D108A">
        <w:t xml:space="preserve">, </w:t>
      </w:r>
      <w:r w:rsidRPr="000D108A">
        <w:rPr>
          <w:snapToGrid w:val="0"/>
          <w:lang w:eastAsia="zh-CN"/>
        </w:rPr>
        <w:t>K2</w:t>
      </w:r>
      <w:r w:rsidRPr="009449C0">
        <w:rPr>
          <w:snapToGrid w:val="0"/>
          <w:lang w:eastAsia="zh-CN"/>
        </w:rPr>
        <w:t xml:space="preserve"> = </w:t>
      </w:r>
      <w:r>
        <w:rPr>
          <w:snapToGrid w:val="0"/>
          <w:lang w:eastAsia="zh-CN"/>
        </w:rPr>
        <w:t>240</w:t>
      </w:r>
      <w:r w:rsidRPr="009449C0">
        <w:t>.</w:t>
      </w:r>
    </w:p>
    <w:p w14:paraId="7B5D9358" w14:textId="77777777" w:rsidR="00F87F95" w:rsidRPr="009C5807" w:rsidRDefault="00F87F95" w:rsidP="00F87F95">
      <w:pPr>
        <w:pStyle w:val="TH"/>
        <w:rPr>
          <w:rFonts w:cs="v4.2.0"/>
          <w:vertAlign w:val="subscript"/>
          <w:lang w:eastAsia="zh-CN"/>
        </w:rPr>
      </w:pPr>
      <w:r w:rsidRPr="009C5807">
        <w:rPr>
          <w:snapToGrid w:val="0"/>
        </w:rPr>
        <w:t>Table 4.2</w:t>
      </w:r>
      <w:r>
        <w:rPr>
          <w:snapToGrid w:val="0"/>
        </w:rPr>
        <w:t>B</w:t>
      </w:r>
      <w:r w:rsidRPr="009C5807">
        <w:rPr>
          <w:snapToGrid w:val="0"/>
        </w:rPr>
        <w:t>.2.</w:t>
      </w:r>
      <w:r>
        <w:rPr>
          <w:snapToGrid w:val="0"/>
        </w:rPr>
        <w:t>11.2</w:t>
      </w:r>
      <w:r w:rsidRPr="009C5807">
        <w:rPr>
          <w:snapToGrid w:val="0"/>
        </w:rPr>
        <w:t xml:space="preserve">-1: </w:t>
      </w:r>
      <w:r w:rsidRPr="009C5807">
        <w:t>T</w:t>
      </w:r>
      <w:r w:rsidRPr="009C5807">
        <w:rPr>
          <w:vertAlign w:val="subscript"/>
        </w:rPr>
        <w:t>detect,</w:t>
      </w:r>
      <w:r w:rsidRPr="009C5807">
        <w:rPr>
          <w:vertAlign w:val="subscript"/>
          <w:lang w:eastAsia="zh-CN"/>
        </w:rPr>
        <w:t>E</w:t>
      </w:r>
      <w:r w:rsidRPr="009C5807">
        <w:rPr>
          <w:vertAlign w:val="subscript"/>
        </w:rPr>
        <w:t>UTRAN</w:t>
      </w:r>
      <w:r>
        <w:rPr>
          <w:vertAlign w:val="subscript"/>
        </w:rPr>
        <w:t>_RedCap_Relax</w:t>
      </w:r>
      <w:r w:rsidRPr="009C5807">
        <w:rPr>
          <w:snapToGrid w:val="0"/>
        </w:rPr>
        <w:t xml:space="preserve">, </w:t>
      </w:r>
      <w:r w:rsidRPr="009C5807">
        <w:t>T</w:t>
      </w:r>
      <w:r w:rsidRPr="009C5807">
        <w:rPr>
          <w:vertAlign w:val="subscript"/>
        </w:rPr>
        <w:t>measure,</w:t>
      </w:r>
      <w:r w:rsidRPr="009C5807">
        <w:rPr>
          <w:vertAlign w:val="subscript"/>
          <w:lang w:eastAsia="zh-CN"/>
        </w:rPr>
        <w:t>E</w:t>
      </w:r>
      <w:r w:rsidRPr="009C5807">
        <w:rPr>
          <w:vertAlign w:val="subscript"/>
        </w:rPr>
        <w:t>UTRAN</w:t>
      </w:r>
      <w:r>
        <w:rPr>
          <w:vertAlign w:val="subscript"/>
        </w:rPr>
        <w:t>_RedCap_Relax</w:t>
      </w:r>
      <w:r w:rsidRPr="009C5807">
        <w:rPr>
          <w:vertAlign w:val="subscript"/>
        </w:rPr>
        <w:t>,</w:t>
      </w:r>
      <w:r w:rsidRPr="009C5807">
        <w:t xml:space="preserve"> and </w:t>
      </w:r>
      <w:r w:rsidRPr="009C5807">
        <w:rPr>
          <w:rFonts w:cs="v4.2.0"/>
        </w:rPr>
        <w:t>T</w:t>
      </w:r>
      <w:r w:rsidRPr="009C5807">
        <w:rPr>
          <w:rFonts w:cs="v4.2.0"/>
          <w:vertAlign w:val="subscript"/>
        </w:rPr>
        <w:t>evaluate,</w:t>
      </w:r>
      <w:r w:rsidRPr="009C5807">
        <w:rPr>
          <w:rFonts w:cs="v4.2.0"/>
          <w:vertAlign w:val="subscript"/>
          <w:lang w:eastAsia="zh-CN"/>
        </w:rPr>
        <w:t>E</w:t>
      </w:r>
      <w:r w:rsidRPr="009C5807">
        <w:rPr>
          <w:rFonts w:cs="v4.2.0"/>
          <w:vertAlign w:val="subscript"/>
        </w:rPr>
        <w:t>UTRAN</w:t>
      </w:r>
      <w:r>
        <w:rPr>
          <w:vertAlign w:val="subscript"/>
        </w:rPr>
        <w:t>_RedCap_Relax</w:t>
      </w:r>
      <w:r>
        <w:rPr>
          <w:snapToGrid w:val="0"/>
        </w:rPr>
        <w:t xml:space="preserve"> for 1 Rx RedCap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2937"/>
        <w:gridCol w:w="3077"/>
        <w:gridCol w:w="2176"/>
      </w:tblGrid>
      <w:tr w:rsidR="00F87F95" w:rsidRPr="009C5807" w14:paraId="22BD1E54"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FEA8F01" w14:textId="77777777" w:rsidR="00F87F95" w:rsidRPr="009C5807" w:rsidRDefault="00F87F95" w:rsidP="001313A6">
            <w:pPr>
              <w:pStyle w:val="TAH"/>
              <w:rPr>
                <w:rFonts w:cs="Arial"/>
                <w:snapToGrid w:val="0"/>
              </w:rPr>
            </w:pPr>
            <w:r w:rsidRPr="009C5807">
              <w:t>DRX cycle length [s]</w:t>
            </w:r>
          </w:p>
        </w:tc>
        <w:tc>
          <w:tcPr>
            <w:tcW w:w="0" w:type="auto"/>
            <w:tcBorders>
              <w:top w:val="single" w:sz="4" w:space="0" w:color="auto"/>
              <w:left w:val="single" w:sz="4" w:space="0" w:color="auto"/>
              <w:bottom w:val="single" w:sz="4" w:space="0" w:color="auto"/>
              <w:right w:val="single" w:sz="4" w:space="0" w:color="auto"/>
            </w:tcBorders>
            <w:hideMark/>
          </w:tcPr>
          <w:p w14:paraId="747CF2E6" w14:textId="77777777" w:rsidR="00F87F95" w:rsidRPr="009C5807" w:rsidRDefault="00F87F95" w:rsidP="001313A6">
            <w:pPr>
              <w:pStyle w:val="TAH"/>
              <w:rPr>
                <w:rFonts w:cs="Arial"/>
              </w:rPr>
            </w:pPr>
            <w:r w:rsidRPr="009C5807">
              <w:t>T</w:t>
            </w:r>
            <w:r w:rsidRPr="009C5807">
              <w:rPr>
                <w:vertAlign w:val="subscript"/>
              </w:rPr>
              <w:t>detect,EUTRAN</w:t>
            </w:r>
            <w:r>
              <w:rPr>
                <w:vertAlign w:val="subscript"/>
              </w:rPr>
              <w:t>_Relax</w:t>
            </w:r>
            <w:r w:rsidRPr="009C5807">
              <w:t xml:space="preserve"> [s] (number of DRX cycles)</w:t>
            </w:r>
          </w:p>
        </w:tc>
        <w:tc>
          <w:tcPr>
            <w:tcW w:w="0" w:type="auto"/>
            <w:tcBorders>
              <w:top w:val="single" w:sz="4" w:space="0" w:color="auto"/>
              <w:left w:val="single" w:sz="4" w:space="0" w:color="auto"/>
              <w:bottom w:val="single" w:sz="4" w:space="0" w:color="auto"/>
              <w:right w:val="single" w:sz="4" w:space="0" w:color="auto"/>
            </w:tcBorders>
            <w:hideMark/>
          </w:tcPr>
          <w:p w14:paraId="787F6414" w14:textId="77777777" w:rsidR="00F87F95" w:rsidRPr="009C5807" w:rsidRDefault="00F87F95" w:rsidP="001313A6">
            <w:pPr>
              <w:pStyle w:val="TAH"/>
              <w:rPr>
                <w:rFonts w:cs="Arial"/>
                <w:snapToGrid w:val="0"/>
              </w:rPr>
            </w:pPr>
            <w:r w:rsidRPr="009C5807">
              <w:t>T</w:t>
            </w:r>
            <w:r w:rsidRPr="009C5807">
              <w:rPr>
                <w:vertAlign w:val="subscript"/>
              </w:rPr>
              <w:t>measure,EUTRAN</w:t>
            </w:r>
            <w:r>
              <w:rPr>
                <w:vertAlign w:val="subscript"/>
              </w:rPr>
              <w:t>_Relax</w:t>
            </w:r>
            <w:r w:rsidRPr="009C5807">
              <w:t xml:space="preserve"> [s] (number of DRX cycles)</w:t>
            </w:r>
          </w:p>
        </w:tc>
        <w:tc>
          <w:tcPr>
            <w:tcW w:w="0" w:type="auto"/>
            <w:tcBorders>
              <w:top w:val="single" w:sz="4" w:space="0" w:color="auto"/>
              <w:left w:val="single" w:sz="4" w:space="0" w:color="auto"/>
              <w:bottom w:val="single" w:sz="4" w:space="0" w:color="auto"/>
              <w:right w:val="single" w:sz="4" w:space="0" w:color="auto"/>
            </w:tcBorders>
            <w:hideMark/>
          </w:tcPr>
          <w:p w14:paraId="4A2F3D4A" w14:textId="77777777" w:rsidR="00F87F95" w:rsidRPr="009C5807" w:rsidRDefault="00F87F95" w:rsidP="001313A6">
            <w:pPr>
              <w:pStyle w:val="TAH"/>
              <w:rPr>
                <w:rFonts w:cs="Arial"/>
                <w:vertAlign w:val="subscript"/>
                <w:lang w:eastAsia="zh-CN"/>
              </w:rPr>
            </w:pPr>
            <w:r w:rsidRPr="009C5807">
              <w:t>T</w:t>
            </w:r>
            <w:r w:rsidRPr="009C5807">
              <w:rPr>
                <w:vertAlign w:val="subscript"/>
              </w:rPr>
              <w:t>evaluate,EUTRAN</w:t>
            </w:r>
            <w:r>
              <w:rPr>
                <w:vertAlign w:val="subscript"/>
              </w:rPr>
              <w:t>_Relax</w:t>
            </w:r>
          </w:p>
          <w:p w14:paraId="114F1AA0" w14:textId="77777777" w:rsidR="00F87F95" w:rsidRPr="009C5807" w:rsidRDefault="00F87F95" w:rsidP="001313A6">
            <w:pPr>
              <w:pStyle w:val="TAH"/>
              <w:rPr>
                <w:rFonts w:cs="Arial"/>
              </w:rPr>
            </w:pPr>
            <w:r w:rsidRPr="009C5807">
              <w:rPr>
                <w:rFonts w:cs="Arial"/>
              </w:rPr>
              <w:t>[s] (number of DRX cycles)</w:t>
            </w:r>
          </w:p>
        </w:tc>
      </w:tr>
      <w:tr w:rsidR="00F87F95" w:rsidRPr="009C5807" w14:paraId="2F8BBD0A"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C414AD1" w14:textId="77777777" w:rsidR="00F87F95" w:rsidRPr="009C5807" w:rsidRDefault="00F87F95" w:rsidP="001313A6">
            <w:pPr>
              <w:pStyle w:val="TAC"/>
              <w:rPr>
                <w:snapToGrid w:val="0"/>
              </w:rPr>
            </w:pPr>
            <w:r w:rsidRPr="009C5807">
              <w:t>0.32</w:t>
            </w:r>
          </w:p>
        </w:tc>
        <w:tc>
          <w:tcPr>
            <w:tcW w:w="0" w:type="auto"/>
            <w:tcBorders>
              <w:top w:val="single" w:sz="4" w:space="0" w:color="auto"/>
              <w:left w:val="single" w:sz="4" w:space="0" w:color="auto"/>
              <w:bottom w:val="single" w:sz="4" w:space="0" w:color="auto"/>
              <w:right w:val="single" w:sz="4" w:space="0" w:color="auto"/>
            </w:tcBorders>
            <w:hideMark/>
          </w:tcPr>
          <w:p w14:paraId="7FE006A5" w14:textId="77777777" w:rsidR="00F87F95" w:rsidRPr="009C5807" w:rsidRDefault="00F87F95" w:rsidP="001313A6">
            <w:pPr>
              <w:pStyle w:val="TAC"/>
              <w:rPr>
                <w:snapToGrid w:val="0"/>
              </w:rPr>
            </w:pPr>
            <w:r w:rsidRPr="009C5807">
              <w:t>11.52</w:t>
            </w:r>
            <w:r>
              <w:t xml:space="preserve"> x K5</w:t>
            </w:r>
            <w:r w:rsidRPr="009C5807">
              <w:t xml:space="preserve"> (36</w:t>
            </w:r>
            <w:r>
              <w:t xml:space="preserve"> x K5</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506BD629" w14:textId="77777777" w:rsidR="00F87F95" w:rsidRPr="009C5807" w:rsidRDefault="00F87F95" w:rsidP="001313A6">
            <w:pPr>
              <w:pStyle w:val="TAC"/>
              <w:rPr>
                <w:snapToGrid w:val="0"/>
              </w:rPr>
            </w:pPr>
            <w:r w:rsidRPr="009C5807">
              <w:rPr>
                <w:snapToGrid w:val="0"/>
              </w:rPr>
              <w:t>1.28</w:t>
            </w:r>
            <w:r>
              <w:t xml:space="preserve"> x K5</w:t>
            </w:r>
            <w:r w:rsidRPr="009C5807">
              <w:rPr>
                <w:snapToGrid w:val="0"/>
              </w:rPr>
              <w:t xml:space="preserve"> (4</w:t>
            </w:r>
            <w:r>
              <w:t xml:space="preserve"> x K5</w:t>
            </w:r>
            <w:r w:rsidRPr="009C5807">
              <w:rPr>
                <w:snapToGrid w:val="0"/>
              </w:rPr>
              <w:t>)</w:t>
            </w:r>
          </w:p>
        </w:tc>
        <w:tc>
          <w:tcPr>
            <w:tcW w:w="0" w:type="auto"/>
            <w:tcBorders>
              <w:top w:val="single" w:sz="4" w:space="0" w:color="auto"/>
              <w:left w:val="single" w:sz="4" w:space="0" w:color="auto"/>
              <w:bottom w:val="single" w:sz="4" w:space="0" w:color="auto"/>
              <w:right w:val="single" w:sz="4" w:space="0" w:color="auto"/>
            </w:tcBorders>
            <w:hideMark/>
          </w:tcPr>
          <w:p w14:paraId="5403C43A" w14:textId="77777777" w:rsidR="00F87F95" w:rsidRPr="009C5807" w:rsidRDefault="00F87F95" w:rsidP="001313A6">
            <w:pPr>
              <w:pStyle w:val="TAC"/>
              <w:rPr>
                <w:snapToGrid w:val="0"/>
              </w:rPr>
            </w:pPr>
            <w:r w:rsidRPr="009C5807">
              <w:t>5.12</w:t>
            </w:r>
            <w:r>
              <w:t xml:space="preserve"> x K5</w:t>
            </w:r>
            <w:r w:rsidRPr="009C5807">
              <w:t xml:space="preserve"> (16</w:t>
            </w:r>
            <w:r>
              <w:t xml:space="preserve"> x K5</w:t>
            </w:r>
            <w:r w:rsidRPr="009C5807">
              <w:t>)</w:t>
            </w:r>
          </w:p>
        </w:tc>
      </w:tr>
      <w:tr w:rsidR="00F87F95" w:rsidRPr="009C5807" w14:paraId="5B50460D"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EDFE58D" w14:textId="77777777" w:rsidR="00F87F95" w:rsidRPr="009C5807" w:rsidRDefault="00F87F95" w:rsidP="001313A6">
            <w:pPr>
              <w:pStyle w:val="TAC"/>
              <w:rPr>
                <w:snapToGrid w:val="0"/>
              </w:rPr>
            </w:pPr>
            <w:r w:rsidRPr="009C5807">
              <w:t>0.64</w:t>
            </w:r>
          </w:p>
        </w:tc>
        <w:tc>
          <w:tcPr>
            <w:tcW w:w="0" w:type="auto"/>
            <w:tcBorders>
              <w:top w:val="single" w:sz="4" w:space="0" w:color="auto"/>
              <w:left w:val="single" w:sz="4" w:space="0" w:color="auto"/>
              <w:bottom w:val="single" w:sz="4" w:space="0" w:color="auto"/>
              <w:right w:val="single" w:sz="4" w:space="0" w:color="auto"/>
            </w:tcBorders>
            <w:hideMark/>
          </w:tcPr>
          <w:p w14:paraId="0E761F8D" w14:textId="77777777" w:rsidR="00F87F95" w:rsidRPr="009C5807" w:rsidRDefault="00F87F95" w:rsidP="001313A6">
            <w:pPr>
              <w:pStyle w:val="TAC"/>
              <w:rPr>
                <w:snapToGrid w:val="0"/>
              </w:rPr>
            </w:pPr>
            <w:r w:rsidRPr="009C5807">
              <w:t>17.92</w:t>
            </w:r>
            <w:r>
              <w:t xml:space="preserve"> x K5</w:t>
            </w:r>
            <w:r w:rsidRPr="009C5807">
              <w:t xml:space="preserve"> (28</w:t>
            </w:r>
            <w:r>
              <w:t xml:space="preserve"> x K5</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64A52914" w14:textId="77777777" w:rsidR="00F87F95" w:rsidRPr="009C5807" w:rsidRDefault="00F87F95" w:rsidP="001313A6">
            <w:pPr>
              <w:pStyle w:val="TAC"/>
              <w:rPr>
                <w:snapToGrid w:val="0"/>
              </w:rPr>
            </w:pPr>
            <w:r w:rsidRPr="009C5807">
              <w:rPr>
                <w:snapToGrid w:val="0"/>
              </w:rPr>
              <w:t>1.28</w:t>
            </w:r>
            <w:r>
              <w:t xml:space="preserve"> x K5</w:t>
            </w:r>
            <w:r w:rsidRPr="009C5807">
              <w:rPr>
                <w:snapToGrid w:val="0"/>
              </w:rPr>
              <w:t xml:space="preserve"> (2</w:t>
            </w:r>
            <w:r>
              <w:t xml:space="preserve"> x K5</w:t>
            </w:r>
            <w:r w:rsidRPr="009C5807">
              <w:rPr>
                <w:snapToGrid w:val="0"/>
              </w:rPr>
              <w:t>)</w:t>
            </w:r>
          </w:p>
        </w:tc>
        <w:tc>
          <w:tcPr>
            <w:tcW w:w="0" w:type="auto"/>
            <w:tcBorders>
              <w:top w:val="single" w:sz="4" w:space="0" w:color="auto"/>
              <w:left w:val="single" w:sz="4" w:space="0" w:color="auto"/>
              <w:bottom w:val="single" w:sz="4" w:space="0" w:color="auto"/>
              <w:right w:val="single" w:sz="4" w:space="0" w:color="auto"/>
            </w:tcBorders>
            <w:hideMark/>
          </w:tcPr>
          <w:p w14:paraId="2F25E1B2" w14:textId="77777777" w:rsidR="00F87F95" w:rsidRPr="009C5807" w:rsidRDefault="00F87F95" w:rsidP="001313A6">
            <w:pPr>
              <w:pStyle w:val="TAC"/>
              <w:rPr>
                <w:snapToGrid w:val="0"/>
              </w:rPr>
            </w:pPr>
            <w:r w:rsidRPr="009C5807">
              <w:t>5.12</w:t>
            </w:r>
            <w:r>
              <w:t xml:space="preserve"> x K5</w:t>
            </w:r>
            <w:r w:rsidRPr="009C5807">
              <w:t xml:space="preserve"> (8</w:t>
            </w:r>
            <w:r>
              <w:t xml:space="preserve"> x K5</w:t>
            </w:r>
            <w:r w:rsidRPr="009C5807">
              <w:t>)</w:t>
            </w:r>
          </w:p>
        </w:tc>
      </w:tr>
      <w:tr w:rsidR="00F87F95" w:rsidRPr="009C5807" w14:paraId="18801254"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19C3924" w14:textId="77777777" w:rsidR="00F87F95" w:rsidRPr="009C5807" w:rsidRDefault="00F87F95" w:rsidP="001313A6">
            <w:pPr>
              <w:pStyle w:val="TAC"/>
              <w:rPr>
                <w:snapToGrid w:val="0"/>
              </w:rPr>
            </w:pPr>
            <w:r w:rsidRPr="009C5807">
              <w:t>1.28</w:t>
            </w:r>
          </w:p>
        </w:tc>
        <w:tc>
          <w:tcPr>
            <w:tcW w:w="0" w:type="auto"/>
            <w:tcBorders>
              <w:top w:val="single" w:sz="4" w:space="0" w:color="auto"/>
              <w:left w:val="single" w:sz="4" w:space="0" w:color="auto"/>
              <w:bottom w:val="single" w:sz="4" w:space="0" w:color="auto"/>
              <w:right w:val="single" w:sz="4" w:space="0" w:color="auto"/>
            </w:tcBorders>
            <w:hideMark/>
          </w:tcPr>
          <w:p w14:paraId="5148DA71" w14:textId="77777777" w:rsidR="00F87F95" w:rsidRPr="009C5807" w:rsidRDefault="00F87F95" w:rsidP="001313A6">
            <w:pPr>
              <w:pStyle w:val="TAC"/>
              <w:rPr>
                <w:snapToGrid w:val="0"/>
              </w:rPr>
            </w:pPr>
            <w:r w:rsidRPr="009C5807">
              <w:t>32</w:t>
            </w:r>
            <w:r>
              <w:t xml:space="preserve"> x K5</w:t>
            </w:r>
            <w:r w:rsidRPr="009C5807">
              <w:t xml:space="preserve"> (25</w:t>
            </w:r>
            <w:r>
              <w:t xml:space="preserve"> x K5</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72F0FC03" w14:textId="77777777" w:rsidR="00F87F95" w:rsidRPr="009C5807" w:rsidRDefault="00F87F95" w:rsidP="001313A6">
            <w:pPr>
              <w:pStyle w:val="TAC"/>
              <w:rPr>
                <w:snapToGrid w:val="0"/>
              </w:rPr>
            </w:pPr>
            <w:r w:rsidRPr="009C5807">
              <w:rPr>
                <w:snapToGrid w:val="0"/>
              </w:rPr>
              <w:t>1.28</w:t>
            </w:r>
            <w:r>
              <w:t xml:space="preserve"> x K5</w:t>
            </w:r>
            <w:r w:rsidRPr="009C5807">
              <w:rPr>
                <w:snapToGrid w:val="0"/>
              </w:rPr>
              <w:t xml:space="preserve"> (1</w:t>
            </w:r>
            <w:r>
              <w:t xml:space="preserve"> x K5</w:t>
            </w:r>
            <w:r w:rsidRPr="009C5807">
              <w:rPr>
                <w:snapToGrid w:val="0"/>
              </w:rPr>
              <w:t>)</w:t>
            </w:r>
          </w:p>
        </w:tc>
        <w:tc>
          <w:tcPr>
            <w:tcW w:w="0" w:type="auto"/>
            <w:tcBorders>
              <w:top w:val="single" w:sz="4" w:space="0" w:color="auto"/>
              <w:left w:val="single" w:sz="4" w:space="0" w:color="auto"/>
              <w:bottom w:val="single" w:sz="4" w:space="0" w:color="auto"/>
              <w:right w:val="single" w:sz="4" w:space="0" w:color="auto"/>
            </w:tcBorders>
            <w:hideMark/>
          </w:tcPr>
          <w:p w14:paraId="2200EC90" w14:textId="77777777" w:rsidR="00F87F95" w:rsidRPr="009C5807" w:rsidRDefault="00F87F95" w:rsidP="001313A6">
            <w:pPr>
              <w:pStyle w:val="TAC"/>
              <w:rPr>
                <w:snapToGrid w:val="0"/>
              </w:rPr>
            </w:pPr>
            <w:r w:rsidRPr="009C5807">
              <w:t>6.4</w:t>
            </w:r>
            <w:r>
              <w:t xml:space="preserve"> x K5</w:t>
            </w:r>
            <w:r w:rsidRPr="009C5807">
              <w:t xml:space="preserve"> (5</w:t>
            </w:r>
            <w:r>
              <w:t xml:space="preserve"> x K5</w:t>
            </w:r>
            <w:r w:rsidRPr="009C5807">
              <w:t>)</w:t>
            </w:r>
          </w:p>
        </w:tc>
      </w:tr>
      <w:tr w:rsidR="00F87F95" w:rsidRPr="009C5807" w14:paraId="497842AE" w14:textId="77777777" w:rsidTr="001313A6">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44BD4F8" w14:textId="77777777" w:rsidR="00F87F95" w:rsidRPr="009C5807" w:rsidRDefault="00F87F95" w:rsidP="001313A6">
            <w:pPr>
              <w:pStyle w:val="TAC"/>
              <w:rPr>
                <w:snapToGrid w:val="0"/>
              </w:rPr>
            </w:pPr>
            <w:r w:rsidRPr="009C5807">
              <w:t>2.56</w:t>
            </w:r>
          </w:p>
        </w:tc>
        <w:tc>
          <w:tcPr>
            <w:tcW w:w="0" w:type="auto"/>
            <w:tcBorders>
              <w:top w:val="single" w:sz="4" w:space="0" w:color="auto"/>
              <w:left w:val="single" w:sz="4" w:space="0" w:color="auto"/>
              <w:bottom w:val="single" w:sz="4" w:space="0" w:color="auto"/>
              <w:right w:val="single" w:sz="4" w:space="0" w:color="auto"/>
            </w:tcBorders>
            <w:hideMark/>
          </w:tcPr>
          <w:p w14:paraId="6C35E743" w14:textId="77777777" w:rsidR="00F87F95" w:rsidRPr="009C5807" w:rsidRDefault="00F87F95" w:rsidP="001313A6">
            <w:pPr>
              <w:pStyle w:val="TAC"/>
              <w:rPr>
                <w:snapToGrid w:val="0"/>
              </w:rPr>
            </w:pPr>
            <w:r w:rsidRPr="009C5807">
              <w:t>58.88</w:t>
            </w:r>
            <w:r>
              <w:t xml:space="preserve"> x K5</w:t>
            </w:r>
            <w:r w:rsidRPr="009C5807">
              <w:t xml:space="preserve"> (23</w:t>
            </w:r>
            <w:r>
              <w:t xml:space="preserve"> x K5</w:t>
            </w:r>
            <w:r w:rsidRPr="009C5807">
              <w:t>)</w:t>
            </w:r>
          </w:p>
        </w:tc>
        <w:tc>
          <w:tcPr>
            <w:tcW w:w="0" w:type="auto"/>
            <w:tcBorders>
              <w:top w:val="single" w:sz="4" w:space="0" w:color="auto"/>
              <w:left w:val="single" w:sz="4" w:space="0" w:color="auto"/>
              <w:bottom w:val="single" w:sz="4" w:space="0" w:color="auto"/>
              <w:right w:val="single" w:sz="4" w:space="0" w:color="auto"/>
            </w:tcBorders>
            <w:hideMark/>
          </w:tcPr>
          <w:p w14:paraId="6AF5E5E1" w14:textId="77777777" w:rsidR="00F87F95" w:rsidRPr="009C5807" w:rsidRDefault="00F87F95" w:rsidP="001313A6">
            <w:pPr>
              <w:pStyle w:val="TAC"/>
              <w:rPr>
                <w:snapToGrid w:val="0"/>
              </w:rPr>
            </w:pPr>
            <w:r w:rsidRPr="009C5807">
              <w:rPr>
                <w:snapToGrid w:val="0"/>
              </w:rPr>
              <w:t>2.56</w:t>
            </w:r>
            <w:r>
              <w:t xml:space="preserve"> x K5</w:t>
            </w:r>
            <w:r w:rsidRPr="009C5807">
              <w:rPr>
                <w:snapToGrid w:val="0"/>
              </w:rPr>
              <w:t xml:space="preserve"> (1</w:t>
            </w:r>
            <w:r>
              <w:t xml:space="preserve"> x K5</w:t>
            </w:r>
            <w:r w:rsidRPr="009C5807">
              <w:rPr>
                <w:snapToGrid w:val="0"/>
              </w:rPr>
              <w:t>)</w:t>
            </w:r>
          </w:p>
        </w:tc>
        <w:tc>
          <w:tcPr>
            <w:tcW w:w="0" w:type="auto"/>
            <w:tcBorders>
              <w:top w:val="single" w:sz="4" w:space="0" w:color="auto"/>
              <w:left w:val="single" w:sz="4" w:space="0" w:color="auto"/>
              <w:bottom w:val="single" w:sz="4" w:space="0" w:color="auto"/>
              <w:right w:val="single" w:sz="4" w:space="0" w:color="auto"/>
            </w:tcBorders>
            <w:hideMark/>
          </w:tcPr>
          <w:p w14:paraId="7680E258" w14:textId="77777777" w:rsidR="00F87F95" w:rsidRPr="009C5807" w:rsidRDefault="00F87F95" w:rsidP="001313A6">
            <w:pPr>
              <w:pStyle w:val="TAC"/>
              <w:rPr>
                <w:snapToGrid w:val="0"/>
              </w:rPr>
            </w:pPr>
            <w:r w:rsidRPr="009C5807">
              <w:t>7.68</w:t>
            </w:r>
            <w:r>
              <w:t xml:space="preserve"> x K5</w:t>
            </w:r>
            <w:r w:rsidRPr="009C5807">
              <w:t xml:space="preserve"> (3</w:t>
            </w:r>
            <w:r>
              <w:t xml:space="preserve"> x K5</w:t>
            </w:r>
            <w:r w:rsidRPr="009C5807">
              <w:t>)</w:t>
            </w:r>
          </w:p>
        </w:tc>
      </w:tr>
      <w:tr w:rsidR="00F87F95" w:rsidRPr="009C5807" w14:paraId="735EC839" w14:textId="77777777" w:rsidTr="001313A6">
        <w:trPr>
          <w:cantSplit/>
          <w:jc w:val="center"/>
        </w:trPr>
        <w:tc>
          <w:tcPr>
            <w:tcW w:w="0" w:type="auto"/>
            <w:gridSpan w:val="4"/>
            <w:tcBorders>
              <w:top w:val="single" w:sz="4" w:space="0" w:color="auto"/>
              <w:left w:val="single" w:sz="4" w:space="0" w:color="auto"/>
              <w:bottom w:val="single" w:sz="4" w:space="0" w:color="auto"/>
              <w:right w:val="single" w:sz="4" w:space="0" w:color="auto"/>
            </w:tcBorders>
          </w:tcPr>
          <w:p w14:paraId="25A2D8AA" w14:textId="77777777" w:rsidR="00F87F95" w:rsidRPr="009C5807" w:rsidRDefault="00F87F95" w:rsidP="001313A6">
            <w:pPr>
              <w:pStyle w:val="TAC"/>
              <w:jc w:val="left"/>
            </w:pPr>
            <w:r w:rsidRPr="00AD5C2C">
              <w:rPr>
                <w:snapToGrid w:val="0"/>
                <w:lang w:eastAsia="zh-CN"/>
              </w:rPr>
              <w:t>Note 1:</w:t>
            </w:r>
            <w:r w:rsidRPr="00AD5C2C">
              <w:rPr>
                <w:lang w:val="en-US"/>
              </w:rPr>
              <w:tab/>
            </w:r>
            <w:r w:rsidRPr="00AD5C2C">
              <w:rPr>
                <w:snapToGrid w:val="0"/>
                <w:lang w:eastAsia="zh-CN"/>
              </w:rPr>
              <w:t>K5 = 6 is the measurement</w:t>
            </w:r>
            <w:r>
              <w:rPr>
                <w:snapToGrid w:val="0"/>
                <w:lang w:eastAsia="zh-CN"/>
              </w:rPr>
              <w:t xml:space="preserve"> relaxation factor applicable for UE fulfilling the </w:t>
            </w:r>
            <w:r w:rsidRPr="006E2031">
              <w:rPr>
                <w:i/>
                <w:noProof/>
              </w:rPr>
              <w:t xml:space="preserve">stationaryMobilityEvaluation </w:t>
            </w:r>
            <w:r>
              <w:rPr>
                <w:lang w:eastAsia="zh-CN"/>
              </w:rPr>
              <w:t>[2]</w:t>
            </w:r>
            <w:r>
              <w:rPr>
                <w:snapToGrid w:val="0"/>
                <w:lang w:eastAsia="zh-CN"/>
              </w:rPr>
              <w:t xml:space="preserve"> criterion.</w:t>
            </w:r>
          </w:p>
        </w:tc>
      </w:tr>
    </w:tbl>
    <w:p w14:paraId="16342414" w14:textId="77777777" w:rsidR="00F87F95" w:rsidRDefault="00F87F95" w:rsidP="00F87F95"/>
    <w:p w14:paraId="6958BFFF" w14:textId="77777777" w:rsidR="00F87F95" w:rsidRPr="00BE54BE" w:rsidRDefault="00F87F95" w:rsidP="00F87F95">
      <w:pPr>
        <w:pStyle w:val="TH"/>
        <w:rPr>
          <w:rFonts w:cs="v4.2.0"/>
          <w:vertAlign w:val="subscript"/>
          <w:lang w:eastAsia="zh-CN"/>
        </w:rPr>
      </w:pPr>
      <w:r w:rsidRPr="00BE54BE">
        <w:rPr>
          <w:snapToGrid w:val="0"/>
        </w:rPr>
        <w:t xml:space="preserve">Table 4.2B.2.11.2-2: </w:t>
      </w:r>
      <w:r w:rsidRPr="00BE54BE">
        <w:t>T</w:t>
      </w:r>
      <w:r w:rsidRPr="00BE54BE">
        <w:rPr>
          <w:vertAlign w:val="subscript"/>
        </w:rPr>
        <w:t>detect,</w:t>
      </w:r>
      <w:r w:rsidRPr="00BE54BE">
        <w:rPr>
          <w:vertAlign w:val="subscript"/>
          <w:lang w:eastAsia="zh-CN"/>
        </w:rPr>
        <w:t>E</w:t>
      </w:r>
      <w:r w:rsidRPr="00BE54BE">
        <w:rPr>
          <w:vertAlign w:val="subscript"/>
        </w:rPr>
        <w:t>UTRAN</w:t>
      </w:r>
      <w:r>
        <w:rPr>
          <w:vertAlign w:val="subscript"/>
        </w:rPr>
        <w:t>_Relax</w:t>
      </w:r>
      <w:r w:rsidRPr="00BE54BE">
        <w:rPr>
          <w:snapToGrid w:val="0"/>
        </w:rPr>
        <w:t xml:space="preserve">, </w:t>
      </w:r>
      <w:r w:rsidRPr="00BE54BE">
        <w:t>T</w:t>
      </w:r>
      <w:r w:rsidRPr="00BE54BE">
        <w:rPr>
          <w:vertAlign w:val="subscript"/>
        </w:rPr>
        <w:t>measure,</w:t>
      </w:r>
      <w:r w:rsidRPr="00BE54BE">
        <w:rPr>
          <w:vertAlign w:val="subscript"/>
          <w:lang w:eastAsia="zh-CN"/>
        </w:rPr>
        <w:t>E</w:t>
      </w:r>
      <w:r w:rsidRPr="00BE54BE">
        <w:rPr>
          <w:vertAlign w:val="subscript"/>
        </w:rPr>
        <w:t>UTRAN</w:t>
      </w:r>
      <w:r>
        <w:rPr>
          <w:vertAlign w:val="subscript"/>
        </w:rPr>
        <w:t>_Relax</w:t>
      </w:r>
      <w:r w:rsidRPr="00BE54BE">
        <w:rPr>
          <w:vertAlign w:val="subscript"/>
        </w:rPr>
        <w:t>,</w:t>
      </w:r>
      <w:r w:rsidRPr="00BE54BE">
        <w:t xml:space="preserve"> and </w:t>
      </w:r>
      <w:r w:rsidRPr="00BE54BE">
        <w:rPr>
          <w:rFonts w:cs="v4.2.0"/>
        </w:rPr>
        <w:t>T</w:t>
      </w:r>
      <w:r w:rsidRPr="00BE54BE">
        <w:rPr>
          <w:rFonts w:cs="v4.2.0"/>
          <w:vertAlign w:val="subscript"/>
        </w:rPr>
        <w:t>evaluate,</w:t>
      </w:r>
      <w:r w:rsidRPr="00BE54BE">
        <w:rPr>
          <w:rFonts w:cs="v4.2.0"/>
          <w:vertAlign w:val="subscript"/>
          <w:lang w:eastAsia="zh-CN"/>
        </w:rPr>
        <w:t>E</w:t>
      </w:r>
      <w:r w:rsidRPr="00BE54BE">
        <w:rPr>
          <w:rFonts w:cs="v4.2.0"/>
          <w:vertAlign w:val="subscript"/>
        </w:rPr>
        <w:t>UTRAN</w:t>
      </w:r>
      <w:r>
        <w:rPr>
          <w:rFonts w:cs="v4.2.0"/>
          <w:vertAlign w:val="subscript"/>
        </w:rPr>
        <w:t>_Relax</w:t>
      </w:r>
      <w:r w:rsidRPr="00BE54BE">
        <w:rPr>
          <w:snapToGrid w:val="0"/>
        </w:rPr>
        <w:t xml:space="preserve"> for </w:t>
      </w:r>
      <w:r w:rsidRPr="0082197E">
        <w:rPr>
          <w:snapToGrid w:val="0"/>
        </w:rPr>
        <w:t xml:space="preserve">2 Rx </w:t>
      </w:r>
      <w:r w:rsidRPr="00BE54BE">
        <w:rPr>
          <w:snapToGrid w:val="0"/>
        </w:rPr>
        <w:t>RedCap</w:t>
      </w:r>
    </w:p>
    <w:tbl>
      <w:tblPr>
        <w:tblW w:w="30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1600"/>
        <w:gridCol w:w="1740"/>
        <w:gridCol w:w="1859"/>
      </w:tblGrid>
      <w:tr w:rsidR="00F87F95" w:rsidRPr="00BE54BE" w14:paraId="7A6342E5" w14:textId="77777777" w:rsidTr="00AB0056">
        <w:trPr>
          <w:cantSplit/>
          <w:jc w:val="center"/>
        </w:trPr>
        <w:tc>
          <w:tcPr>
            <w:tcW w:w="635" w:type="pct"/>
            <w:tcBorders>
              <w:top w:val="single" w:sz="4" w:space="0" w:color="auto"/>
              <w:left w:val="single" w:sz="4" w:space="0" w:color="auto"/>
              <w:bottom w:val="single" w:sz="4" w:space="0" w:color="auto"/>
              <w:right w:val="single" w:sz="4" w:space="0" w:color="auto"/>
            </w:tcBorders>
            <w:hideMark/>
          </w:tcPr>
          <w:p w14:paraId="0CCA8457" w14:textId="77777777" w:rsidR="00F87F95" w:rsidRPr="00BE54BE" w:rsidRDefault="00F87F95" w:rsidP="001313A6">
            <w:pPr>
              <w:pStyle w:val="TAH"/>
              <w:rPr>
                <w:rFonts w:cs="Arial"/>
                <w:snapToGrid w:val="0"/>
              </w:rPr>
            </w:pPr>
            <w:r w:rsidRPr="00BE54BE">
              <w:t>DRX cycle length [s]</w:t>
            </w:r>
          </w:p>
        </w:tc>
        <w:tc>
          <w:tcPr>
            <w:tcW w:w="1343" w:type="pct"/>
            <w:tcBorders>
              <w:top w:val="single" w:sz="4" w:space="0" w:color="auto"/>
              <w:left w:val="single" w:sz="4" w:space="0" w:color="auto"/>
              <w:bottom w:val="single" w:sz="4" w:space="0" w:color="auto"/>
              <w:right w:val="single" w:sz="4" w:space="0" w:color="auto"/>
            </w:tcBorders>
            <w:hideMark/>
          </w:tcPr>
          <w:p w14:paraId="5043A3E5" w14:textId="77777777" w:rsidR="00F87F95" w:rsidRPr="00BE54BE" w:rsidRDefault="00F87F95" w:rsidP="001313A6">
            <w:pPr>
              <w:pStyle w:val="TAH"/>
              <w:rPr>
                <w:rFonts w:cs="Arial"/>
              </w:rPr>
            </w:pPr>
            <w:r w:rsidRPr="00BE54BE">
              <w:t>T</w:t>
            </w:r>
            <w:r w:rsidRPr="00BE54BE">
              <w:rPr>
                <w:vertAlign w:val="subscript"/>
              </w:rPr>
              <w:t>detect,EUTRAN</w:t>
            </w:r>
            <w:r>
              <w:rPr>
                <w:vertAlign w:val="subscript"/>
              </w:rPr>
              <w:t>_Relax</w:t>
            </w:r>
            <w:r w:rsidRPr="00BE54BE">
              <w:t xml:space="preserve"> [s] (number of DRX cycles)</w:t>
            </w:r>
          </w:p>
        </w:tc>
        <w:tc>
          <w:tcPr>
            <w:tcW w:w="1461" w:type="pct"/>
            <w:tcBorders>
              <w:top w:val="single" w:sz="4" w:space="0" w:color="auto"/>
              <w:left w:val="single" w:sz="4" w:space="0" w:color="auto"/>
              <w:bottom w:val="single" w:sz="4" w:space="0" w:color="auto"/>
              <w:right w:val="single" w:sz="4" w:space="0" w:color="auto"/>
            </w:tcBorders>
            <w:hideMark/>
          </w:tcPr>
          <w:p w14:paraId="4DF35B10" w14:textId="77777777" w:rsidR="00F87F95" w:rsidRPr="00BE54BE" w:rsidRDefault="00F87F95" w:rsidP="001313A6">
            <w:pPr>
              <w:pStyle w:val="TAH"/>
              <w:rPr>
                <w:rFonts w:cs="Arial"/>
                <w:snapToGrid w:val="0"/>
              </w:rPr>
            </w:pPr>
            <w:r w:rsidRPr="00BE54BE">
              <w:t>T</w:t>
            </w:r>
            <w:r w:rsidRPr="00BE54BE">
              <w:rPr>
                <w:vertAlign w:val="subscript"/>
              </w:rPr>
              <w:t>measure,EUTRAN</w:t>
            </w:r>
            <w:r>
              <w:rPr>
                <w:vertAlign w:val="subscript"/>
              </w:rPr>
              <w:t>_Relax</w:t>
            </w:r>
            <w:r w:rsidRPr="00BE54BE">
              <w:t xml:space="preserve"> [s] (number of DRX cycles)</w:t>
            </w:r>
          </w:p>
        </w:tc>
        <w:tc>
          <w:tcPr>
            <w:tcW w:w="1561" w:type="pct"/>
            <w:tcBorders>
              <w:top w:val="single" w:sz="4" w:space="0" w:color="auto"/>
              <w:left w:val="single" w:sz="4" w:space="0" w:color="auto"/>
              <w:bottom w:val="single" w:sz="4" w:space="0" w:color="auto"/>
              <w:right w:val="single" w:sz="4" w:space="0" w:color="auto"/>
            </w:tcBorders>
            <w:hideMark/>
          </w:tcPr>
          <w:p w14:paraId="0BF94A9C" w14:textId="77777777" w:rsidR="00F87F95" w:rsidRPr="00BE54BE" w:rsidRDefault="00F87F95" w:rsidP="001313A6">
            <w:pPr>
              <w:pStyle w:val="TAH"/>
              <w:rPr>
                <w:rFonts w:cs="Arial"/>
                <w:vertAlign w:val="subscript"/>
                <w:lang w:eastAsia="zh-CN"/>
              </w:rPr>
            </w:pPr>
            <w:r w:rsidRPr="00BE54BE">
              <w:t>T</w:t>
            </w:r>
            <w:r w:rsidRPr="00BE54BE">
              <w:rPr>
                <w:vertAlign w:val="subscript"/>
              </w:rPr>
              <w:t>evaluate,EUTRAN</w:t>
            </w:r>
            <w:r>
              <w:rPr>
                <w:vertAlign w:val="subscript"/>
              </w:rPr>
              <w:t>_Relax</w:t>
            </w:r>
          </w:p>
          <w:p w14:paraId="75AFF552" w14:textId="77777777" w:rsidR="00F87F95" w:rsidRPr="00BE54BE" w:rsidRDefault="00F87F95" w:rsidP="001313A6">
            <w:pPr>
              <w:pStyle w:val="TAH"/>
              <w:rPr>
                <w:rFonts w:cs="Arial"/>
              </w:rPr>
            </w:pPr>
            <w:r w:rsidRPr="00BE54BE">
              <w:rPr>
                <w:rFonts w:cs="Arial"/>
              </w:rPr>
              <w:t>[s] (number of DRX cycles)</w:t>
            </w:r>
          </w:p>
        </w:tc>
      </w:tr>
      <w:tr w:rsidR="00F87F95" w:rsidRPr="00BE54BE" w14:paraId="0BC7D7D5" w14:textId="77777777" w:rsidTr="00AB0056">
        <w:trPr>
          <w:cantSplit/>
          <w:jc w:val="center"/>
        </w:trPr>
        <w:tc>
          <w:tcPr>
            <w:tcW w:w="635" w:type="pct"/>
            <w:tcBorders>
              <w:top w:val="single" w:sz="4" w:space="0" w:color="auto"/>
              <w:left w:val="single" w:sz="4" w:space="0" w:color="auto"/>
              <w:bottom w:val="single" w:sz="4" w:space="0" w:color="auto"/>
              <w:right w:val="single" w:sz="4" w:space="0" w:color="auto"/>
            </w:tcBorders>
            <w:hideMark/>
          </w:tcPr>
          <w:p w14:paraId="4D0A51FD" w14:textId="77777777" w:rsidR="00F87F95" w:rsidRPr="00BE54BE" w:rsidRDefault="00F87F95" w:rsidP="001313A6">
            <w:pPr>
              <w:pStyle w:val="TAC"/>
              <w:rPr>
                <w:snapToGrid w:val="0"/>
              </w:rPr>
            </w:pPr>
            <w:r w:rsidRPr="00BE54BE">
              <w:t>0.32</w:t>
            </w:r>
          </w:p>
        </w:tc>
        <w:tc>
          <w:tcPr>
            <w:tcW w:w="1343" w:type="pct"/>
            <w:tcBorders>
              <w:top w:val="single" w:sz="4" w:space="0" w:color="auto"/>
              <w:left w:val="single" w:sz="4" w:space="0" w:color="auto"/>
              <w:bottom w:val="single" w:sz="4" w:space="0" w:color="auto"/>
              <w:right w:val="single" w:sz="4" w:space="0" w:color="auto"/>
            </w:tcBorders>
            <w:hideMark/>
          </w:tcPr>
          <w:p w14:paraId="1FF8280F" w14:textId="77777777" w:rsidR="00F87F95" w:rsidRPr="00BE54BE" w:rsidRDefault="00F87F95" w:rsidP="001313A6">
            <w:pPr>
              <w:pStyle w:val="TAC"/>
              <w:rPr>
                <w:snapToGrid w:val="0"/>
              </w:rPr>
            </w:pPr>
            <w:r w:rsidRPr="00BE54BE">
              <w:t>11.52 x K5 (36 x K5)</w:t>
            </w:r>
          </w:p>
        </w:tc>
        <w:tc>
          <w:tcPr>
            <w:tcW w:w="1461" w:type="pct"/>
            <w:tcBorders>
              <w:top w:val="single" w:sz="4" w:space="0" w:color="auto"/>
              <w:left w:val="single" w:sz="4" w:space="0" w:color="auto"/>
              <w:bottom w:val="single" w:sz="4" w:space="0" w:color="auto"/>
              <w:right w:val="single" w:sz="4" w:space="0" w:color="auto"/>
            </w:tcBorders>
            <w:hideMark/>
          </w:tcPr>
          <w:p w14:paraId="0E25966D" w14:textId="77777777" w:rsidR="00F87F95" w:rsidRPr="00BE54BE" w:rsidRDefault="00F87F95" w:rsidP="001313A6">
            <w:pPr>
              <w:pStyle w:val="TAC"/>
              <w:rPr>
                <w:snapToGrid w:val="0"/>
              </w:rPr>
            </w:pPr>
            <w:r w:rsidRPr="00BE54BE">
              <w:rPr>
                <w:snapToGrid w:val="0"/>
              </w:rPr>
              <w:t>1.28</w:t>
            </w:r>
            <w:r w:rsidRPr="00BE54BE">
              <w:t xml:space="preserve"> x K5</w:t>
            </w:r>
            <w:r w:rsidRPr="00BE54BE">
              <w:rPr>
                <w:snapToGrid w:val="0"/>
              </w:rPr>
              <w:t xml:space="preserve"> (4</w:t>
            </w:r>
            <w:r w:rsidRPr="00BE54BE">
              <w:t xml:space="preserve"> x K5</w:t>
            </w:r>
            <w:r w:rsidRPr="00BE54BE">
              <w:rPr>
                <w:snapToGrid w:val="0"/>
              </w:rPr>
              <w:t>)</w:t>
            </w:r>
          </w:p>
        </w:tc>
        <w:tc>
          <w:tcPr>
            <w:tcW w:w="1561" w:type="pct"/>
            <w:tcBorders>
              <w:top w:val="single" w:sz="4" w:space="0" w:color="auto"/>
              <w:left w:val="single" w:sz="4" w:space="0" w:color="auto"/>
              <w:bottom w:val="single" w:sz="4" w:space="0" w:color="auto"/>
              <w:right w:val="single" w:sz="4" w:space="0" w:color="auto"/>
            </w:tcBorders>
            <w:hideMark/>
          </w:tcPr>
          <w:p w14:paraId="5308984E" w14:textId="77777777" w:rsidR="00F87F95" w:rsidRPr="00BE54BE" w:rsidRDefault="00F87F95" w:rsidP="001313A6">
            <w:pPr>
              <w:pStyle w:val="TAC"/>
              <w:rPr>
                <w:snapToGrid w:val="0"/>
              </w:rPr>
            </w:pPr>
            <w:r w:rsidRPr="00BE54BE">
              <w:t>5.12 x K5 (16 x K5)</w:t>
            </w:r>
          </w:p>
        </w:tc>
      </w:tr>
      <w:tr w:rsidR="00F87F95" w:rsidRPr="00BE54BE" w14:paraId="1AEB4CA1" w14:textId="77777777" w:rsidTr="00AB0056">
        <w:trPr>
          <w:cantSplit/>
          <w:jc w:val="center"/>
        </w:trPr>
        <w:tc>
          <w:tcPr>
            <w:tcW w:w="635" w:type="pct"/>
            <w:tcBorders>
              <w:top w:val="single" w:sz="4" w:space="0" w:color="auto"/>
              <w:left w:val="single" w:sz="4" w:space="0" w:color="auto"/>
              <w:bottom w:val="single" w:sz="4" w:space="0" w:color="auto"/>
              <w:right w:val="single" w:sz="4" w:space="0" w:color="auto"/>
            </w:tcBorders>
            <w:hideMark/>
          </w:tcPr>
          <w:p w14:paraId="0CAFC4A6" w14:textId="77777777" w:rsidR="00F87F95" w:rsidRPr="00BE54BE" w:rsidRDefault="00F87F95" w:rsidP="001313A6">
            <w:pPr>
              <w:pStyle w:val="TAC"/>
              <w:rPr>
                <w:snapToGrid w:val="0"/>
              </w:rPr>
            </w:pPr>
            <w:r w:rsidRPr="00BE54BE">
              <w:t>0.64</w:t>
            </w:r>
          </w:p>
        </w:tc>
        <w:tc>
          <w:tcPr>
            <w:tcW w:w="1343" w:type="pct"/>
            <w:tcBorders>
              <w:top w:val="single" w:sz="4" w:space="0" w:color="auto"/>
              <w:left w:val="single" w:sz="4" w:space="0" w:color="auto"/>
              <w:bottom w:val="single" w:sz="4" w:space="0" w:color="auto"/>
              <w:right w:val="single" w:sz="4" w:space="0" w:color="auto"/>
            </w:tcBorders>
            <w:hideMark/>
          </w:tcPr>
          <w:p w14:paraId="4E17C59B" w14:textId="77777777" w:rsidR="00F87F95" w:rsidRPr="00BE54BE" w:rsidRDefault="00F87F95" w:rsidP="001313A6">
            <w:pPr>
              <w:pStyle w:val="TAC"/>
              <w:rPr>
                <w:snapToGrid w:val="0"/>
              </w:rPr>
            </w:pPr>
            <w:r w:rsidRPr="00BE54BE">
              <w:t>17.92 x K5 (28 x K5)</w:t>
            </w:r>
          </w:p>
        </w:tc>
        <w:tc>
          <w:tcPr>
            <w:tcW w:w="1461" w:type="pct"/>
            <w:tcBorders>
              <w:top w:val="single" w:sz="4" w:space="0" w:color="auto"/>
              <w:left w:val="single" w:sz="4" w:space="0" w:color="auto"/>
              <w:bottom w:val="single" w:sz="4" w:space="0" w:color="auto"/>
              <w:right w:val="single" w:sz="4" w:space="0" w:color="auto"/>
            </w:tcBorders>
            <w:hideMark/>
          </w:tcPr>
          <w:p w14:paraId="0104B915" w14:textId="77777777" w:rsidR="00F87F95" w:rsidRPr="00BE54BE" w:rsidRDefault="00F87F95" w:rsidP="001313A6">
            <w:pPr>
              <w:pStyle w:val="TAC"/>
              <w:rPr>
                <w:snapToGrid w:val="0"/>
              </w:rPr>
            </w:pPr>
            <w:r w:rsidRPr="00BE54BE">
              <w:rPr>
                <w:snapToGrid w:val="0"/>
              </w:rPr>
              <w:t>1.28</w:t>
            </w:r>
            <w:r w:rsidRPr="00BE54BE">
              <w:t xml:space="preserve"> x K5</w:t>
            </w:r>
            <w:r w:rsidRPr="00BE54BE">
              <w:rPr>
                <w:snapToGrid w:val="0"/>
              </w:rPr>
              <w:t xml:space="preserve"> (2</w:t>
            </w:r>
            <w:r w:rsidRPr="00BE54BE">
              <w:t xml:space="preserve"> x K5</w:t>
            </w:r>
            <w:r w:rsidRPr="00BE54BE">
              <w:rPr>
                <w:snapToGrid w:val="0"/>
              </w:rPr>
              <w:t>)</w:t>
            </w:r>
          </w:p>
        </w:tc>
        <w:tc>
          <w:tcPr>
            <w:tcW w:w="1561" w:type="pct"/>
            <w:tcBorders>
              <w:top w:val="single" w:sz="4" w:space="0" w:color="auto"/>
              <w:left w:val="single" w:sz="4" w:space="0" w:color="auto"/>
              <w:bottom w:val="single" w:sz="4" w:space="0" w:color="auto"/>
              <w:right w:val="single" w:sz="4" w:space="0" w:color="auto"/>
            </w:tcBorders>
            <w:hideMark/>
          </w:tcPr>
          <w:p w14:paraId="2D3D1214" w14:textId="77777777" w:rsidR="00F87F95" w:rsidRPr="00BE54BE" w:rsidRDefault="00F87F95" w:rsidP="001313A6">
            <w:pPr>
              <w:pStyle w:val="TAC"/>
              <w:rPr>
                <w:snapToGrid w:val="0"/>
              </w:rPr>
            </w:pPr>
            <w:r w:rsidRPr="00BE54BE">
              <w:t>5.12 x K5 (8 x K5)</w:t>
            </w:r>
          </w:p>
        </w:tc>
      </w:tr>
      <w:tr w:rsidR="00F87F95" w:rsidRPr="00BE54BE" w14:paraId="3626879E" w14:textId="77777777" w:rsidTr="00AB0056">
        <w:trPr>
          <w:cantSplit/>
          <w:jc w:val="center"/>
        </w:trPr>
        <w:tc>
          <w:tcPr>
            <w:tcW w:w="635" w:type="pct"/>
            <w:tcBorders>
              <w:top w:val="single" w:sz="4" w:space="0" w:color="auto"/>
              <w:left w:val="single" w:sz="4" w:space="0" w:color="auto"/>
              <w:bottom w:val="single" w:sz="4" w:space="0" w:color="auto"/>
              <w:right w:val="single" w:sz="4" w:space="0" w:color="auto"/>
            </w:tcBorders>
            <w:hideMark/>
          </w:tcPr>
          <w:p w14:paraId="4FE786C7" w14:textId="77777777" w:rsidR="00F87F95" w:rsidRPr="00BE54BE" w:rsidRDefault="00F87F95" w:rsidP="001313A6">
            <w:pPr>
              <w:pStyle w:val="TAC"/>
              <w:rPr>
                <w:snapToGrid w:val="0"/>
              </w:rPr>
            </w:pPr>
            <w:r w:rsidRPr="00BE54BE">
              <w:t>1.28</w:t>
            </w:r>
          </w:p>
        </w:tc>
        <w:tc>
          <w:tcPr>
            <w:tcW w:w="1343" w:type="pct"/>
            <w:tcBorders>
              <w:top w:val="single" w:sz="4" w:space="0" w:color="auto"/>
              <w:left w:val="single" w:sz="4" w:space="0" w:color="auto"/>
              <w:bottom w:val="single" w:sz="4" w:space="0" w:color="auto"/>
              <w:right w:val="single" w:sz="4" w:space="0" w:color="auto"/>
            </w:tcBorders>
            <w:hideMark/>
          </w:tcPr>
          <w:p w14:paraId="002A7107" w14:textId="77777777" w:rsidR="00F87F95" w:rsidRPr="00BE54BE" w:rsidRDefault="00F87F95" w:rsidP="001313A6">
            <w:pPr>
              <w:pStyle w:val="TAC"/>
              <w:rPr>
                <w:snapToGrid w:val="0"/>
              </w:rPr>
            </w:pPr>
            <w:r w:rsidRPr="00BE54BE">
              <w:t>32 x K5 (25 x K5)</w:t>
            </w:r>
          </w:p>
        </w:tc>
        <w:tc>
          <w:tcPr>
            <w:tcW w:w="1461" w:type="pct"/>
            <w:tcBorders>
              <w:top w:val="single" w:sz="4" w:space="0" w:color="auto"/>
              <w:left w:val="single" w:sz="4" w:space="0" w:color="auto"/>
              <w:bottom w:val="single" w:sz="4" w:space="0" w:color="auto"/>
              <w:right w:val="single" w:sz="4" w:space="0" w:color="auto"/>
            </w:tcBorders>
            <w:hideMark/>
          </w:tcPr>
          <w:p w14:paraId="773EC48C" w14:textId="77777777" w:rsidR="00F87F95" w:rsidRPr="00BE54BE" w:rsidRDefault="00F87F95" w:rsidP="001313A6">
            <w:pPr>
              <w:pStyle w:val="TAC"/>
              <w:rPr>
                <w:snapToGrid w:val="0"/>
              </w:rPr>
            </w:pPr>
            <w:r w:rsidRPr="00BE54BE">
              <w:rPr>
                <w:snapToGrid w:val="0"/>
              </w:rPr>
              <w:t>1.28</w:t>
            </w:r>
            <w:r w:rsidRPr="00BE54BE">
              <w:t xml:space="preserve"> x K5</w:t>
            </w:r>
            <w:r w:rsidRPr="00BE54BE">
              <w:rPr>
                <w:snapToGrid w:val="0"/>
              </w:rPr>
              <w:t xml:space="preserve"> (1</w:t>
            </w:r>
            <w:r w:rsidRPr="00BE54BE">
              <w:t xml:space="preserve"> x K5</w:t>
            </w:r>
            <w:r w:rsidRPr="00BE54BE">
              <w:rPr>
                <w:snapToGrid w:val="0"/>
              </w:rPr>
              <w:t>)</w:t>
            </w:r>
          </w:p>
        </w:tc>
        <w:tc>
          <w:tcPr>
            <w:tcW w:w="1561" w:type="pct"/>
            <w:tcBorders>
              <w:top w:val="single" w:sz="4" w:space="0" w:color="auto"/>
              <w:left w:val="single" w:sz="4" w:space="0" w:color="auto"/>
              <w:bottom w:val="single" w:sz="4" w:space="0" w:color="auto"/>
              <w:right w:val="single" w:sz="4" w:space="0" w:color="auto"/>
            </w:tcBorders>
            <w:hideMark/>
          </w:tcPr>
          <w:p w14:paraId="3E07391B" w14:textId="77777777" w:rsidR="00F87F95" w:rsidRPr="00BE54BE" w:rsidRDefault="00F87F95" w:rsidP="001313A6">
            <w:pPr>
              <w:pStyle w:val="TAC"/>
              <w:rPr>
                <w:snapToGrid w:val="0"/>
              </w:rPr>
            </w:pPr>
            <w:r w:rsidRPr="00BE54BE">
              <w:t>6.4 x K5 (5 x K5)</w:t>
            </w:r>
          </w:p>
        </w:tc>
      </w:tr>
      <w:tr w:rsidR="00F87F95" w:rsidRPr="00BE54BE" w14:paraId="344F1057" w14:textId="77777777" w:rsidTr="00AB0056">
        <w:trPr>
          <w:cantSplit/>
          <w:jc w:val="center"/>
        </w:trPr>
        <w:tc>
          <w:tcPr>
            <w:tcW w:w="635" w:type="pct"/>
            <w:tcBorders>
              <w:top w:val="single" w:sz="4" w:space="0" w:color="auto"/>
              <w:left w:val="single" w:sz="4" w:space="0" w:color="auto"/>
              <w:bottom w:val="single" w:sz="4" w:space="0" w:color="auto"/>
              <w:right w:val="single" w:sz="4" w:space="0" w:color="auto"/>
            </w:tcBorders>
            <w:hideMark/>
          </w:tcPr>
          <w:p w14:paraId="7F2D84D2" w14:textId="77777777" w:rsidR="00F87F95" w:rsidRPr="00BE54BE" w:rsidRDefault="00F87F95" w:rsidP="001313A6">
            <w:pPr>
              <w:pStyle w:val="TAC"/>
              <w:rPr>
                <w:snapToGrid w:val="0"/>
              </w:rPr>
            </w:pPr>
            <w:r w:rsidRPr="00BE54BE">
              <w:t>2.56</w:t>
            </w:r>
          </w:p>
        </w:tc>
        <w:tc>
          <w:tcPr>
            <w:tcW w:w="1343" w:type="pct"/>
            <w:tcBorders>
              <w:top w:val="single" w:sz="4" w:space="0" w:color="auto"/>
              <w:left w:val="single" w:sz="4" w:space="0" w:color="auto"/>
              <w:bottom w:val="single" w:sz="4" w:space="0" w:color="auto"/>
              <w:right w:val="single" w:sz="4" w:space="0" w:color="auto"/>
            </w:tcBorders>
            <w:hideMark/>
          </w:tcPr>
          <w:p w14:paraId="104D76FC" w14:textId="77777777" w:rsidR="00F87F95" w:rsidRPr="00BE54BE" w:rsidRDefault="00F87F95" w:rsidP="001313A6">
            <w:pPr>
              <w:pStyle w:val="TAC"/>
              <w:rPr>
                <w:snapToGrid w:val="0"/>
              </w:rPr>
            </w:pPr>
            <w:r w:rsidRPr="00BE54BE">
              <w:t>58.88 x K5 (23 x K5)</w:t>
            </w:r>
          </w:p>
        </w:tc>
        <w:tc>
          <w:tcPr>
            <w:tcW w:w="1461" w:type="pct"/>
            <w:tcBorders>
              <w:top w:val="single" w:sz="4" w:space="0" w:color="auto"/>
              <w:left w:val="single" w:sz="4" w:space="0" w:color="auto"/>
              <w:bottom w:val="single" w:sz="4" w:space="0" w:color="auto"/>
              <w:right w:val="single" w:sz="4" w:space="0" w:color="auto"/>
            </w:tcBorders>
            <w:hideMark/>
          </w:tcPr>
          <w:p w14:paraId="06DA5D6B" w14:textId="77777777" w:rsidR="00F87F95" w:rsidRPr="00BE54BE" w:rsidRDefault="00F87F95" w:rsidP="001313A6">
            <w:pPr>
              <w:pStyle w:val="TAC"/>
              <w:rPr>
                <w:snapToGrid w:val="0"/>
              </w:rPr>
            </w:pPr>
            <w:r w:rsidRPr="00BE54BE">
              <w:rPr>
                <w:snapToGrid w:val="0"/>
              </w:rPr>
              <w:t>2.56</w:t>
            </w:r>
            <w:r w:rsidRPr="00BE54BE">
              <w:t xml:space="preserve"> x K5</w:t>
            </w:r>
            <w:r w:rsidRPr="00BE54BE">
              <w:rPr>
                <w:snapToGrid w:val="0"/>
              </w:rPr>
              <w:t xml:space="preserve"> (1</w:t>
            </w:r>
            <w:r w:rsidRPr="00BE54BE">
              <w:t xml:space="preserve"> x K5</w:t>
            </w:r>
            <w:r w:rsidRPr="00BE54BE">
              <w:rPr>
                <w:snapToGrid w:val="0"/>
              </w:rPr>
              <w:t>)</w:t>
            </w:r>
          </w:p>
        </w:tc>
        <w:tc>
          <w:tcPr>
            <w:tcW w:w="1561" w:type="pct"/>
            <w:tcBorders>
              <w:top w:val="single" w:sz="4" w:space="0" w:color="auto"/>
              <w:left w:val="single" w:sz="4" w:space="0" w:color="auto"/>
              <w:bottom w:val="single" w:sz="4" w:space="0" w:color="auto"/>
              <w:right w:val="single" w:sz="4" w:space="0" w:color="auto"/>
            </w:tcBorders>
            <w:hideMark/>
          </w:tcPr>
          <w:p w14:paraId="023E8A5F" w14:textId="77777777" w:rsidR="00F87F95" w:rsidRPr="00BE54BE" w:rsidRDefault="00F87F95" w:rsidP="001313A6">
            <w:pPr>
              <w:pStyle w:val="TAC"/>
              <w:rPr>
                <w:snapToGrid w:val="0"/>
              </w:rPr>
            </w:pPr>
            <w:r w:rsidRPr="00BE54BE">
              <w:t>7.68 x K5 (3 x K5)</w:t>
            </w:r>
          </w:p>
        </w:tc>
      </w:tr>
      <w:tr w:rsidR="00AB0056" w:rsidRPr="00BE54BE" w14:paraId="01038137" w14:textId="77777777" w:rsidTr="00AB0056">
        <w:trPr>
          <w:cantSplit/>
          <w:jc w:val="center"/>
        </w:trPr>
        <w:tc>
          <w:tcPr>
            <w:tcW w:w="5000" w:type="pct"/>
            <w:gridSpan w:val="4"/>
            <w:tcBorders>
              <w:top w:val="single" w:sz="4" w:space="0" w:color="auto"/>
              <w:left w:val="single" w:sz="4" w:space="0" w:color="auto"/>
              <w:bottom w:val="single" w:sz="4" w:space="0" w:color="auto"/>
              <w:right w:val="single" w:sz="4" w:space="0" w:color="auto"/>
            </w:tcBorders>
          </w:tcPr>
          <w:p w14:paraId="24703DE7" w14:textId="1231570B" w:rsidR="00AB0056" w:rsidRPr="00BE54BE" w:rsidRDefault="00AB0056" w:rsidP="00AB0056">
            <w:pPr>
              <w:pStyle w:val="TAN"/>
            </w:pPr>
            <w:r w:rsidRPr="00AD5C2C">
              <w:rPr>
                <w:snapToGrid w:val="0"/>
                <w:lang w:eastAsia="zh-CN"/>
              </w:rPr>
              <w:t>Note 1:</w:t>
            </w:r>
            <w:r w:rsidRPr="00AD5C2C">
              <w:rPr>
                <w:lang w:val="en-US"/>
              </w:rPr>
              <w:tab/>
            </w:r>
            <w:r w:rsidRPr="00AD5C2C">
              <w:rPr>
                <w:snapToGrid w:val="0"/>
                <w:lang w:eastAsia="zh-CN"/>
              </w:rPr>
              <w:t>K5 = 6 is the measurement</w:t>
            </w:r>
            <w:r>
              <w:rPr>
                <w:snapToGrid w:val="0"/>
                <w:lang w:eastAsia="zh-CN"/>
              </w:rPr>
              <w:t xml:space="preserve"> relaxation factor applicable for UE fulfilling the </w:t>
            </w:r>
            <w:r w:rsidRPr="006E2031">
              <w:rPr>
                <w:i/>
                <w:noProof/>
              </w:rPr>
              <w:t xml:space="preserve">stationaryMobilityEvaluation </w:t>
            </w:r>
            <w:r>
              <w:rPr>
                <w:lang w:eastAsia="zh-CN"/>
              </w:rPr>
              <w:t>[2]</w:t>
            </w:r>
            <w:r>
              <w:rPr>
                <w:snapToGrid w:val="0"/>
                <w:lang w:eastAsia="zh-CN"/>
              </w:rPr>
              <w:t xml:space="preserve"> criterion.</w:t>
            </w:r>
          </w:p>
        </w:tc>
      </w:tr>
    </w:tbl>
    <w:p w14:paraId="5832AB6E" w14:textId="77777777" w:rsidR="00F87F95" w:rsidRDefault="00F87F95" w:rsidP="00F87F95">
      <w:pPr>
        <w:rPr>
          <w:noProof/>
        </w:rPr>
      </w:pPr>
    </w:p>
    <w:p w14:paraId="2AE772EE" w14:textId="180CABCA" w:rsidR="00F87F95" w:rsidRPr="00AD5C2C" w:rsidRDefault="00AB0056" w:rsidP="00F87F95">
      <w:pPr>
        <w:pStyle w:val="TH"/>
        <w:rPr>
          <w:lang w:val="en-US"/>
        </w:rPr>
      </w:pPr>
      <w:r w:rsidRPr="0082197E">
        <w:rPr>
          <w:lang w:val="en-US"/>
        </w:rPr>
        <w:t>Table 4.2B.2.1</w:t>
      </w:r>
      <w:r>
        <w:rPr>
          <w:lang w:val="en-US"/>
        </w:rPr>
        <w:t>1</w:t>
      </w:r>
      <w:r w:rsidRPr="0082197E">
        <w:rPr>
          <w:lang w:val="en-US"/>
        </w:rPr>
        <w:t>.2-3</w:t>
      </w:r>
      <w:r>
        <w:rPr>
          <w:lang w:val="en-US"/>
        </w:rPr>
        <w:t>:</w:t>
      </w:r>
      <w:r w:rsidR="00F87F95" w:rsidRPr="0082197E">
        <w:rPr>
          <w:lang w:val="en-US"/>
        </w:rPr>
        <w:t xml:space="preserve"> T</w:t>
      </w:r>
      <w:r w:rsidR="00F87F95" w:rsidRPr="0082197E">
        <w:rPr>
          <w:vertAlign w:val="subscript"/>
          <w:lang w:val="en-US"/>
        </w:rPr>
        <w:t>detect,</w:t>
      </w:r>
      <w:r w:rsidR="00F87F95">
        <w:rPr>
          <w:vertAlign w:val="subscript"/>
          <w:lang w:val="en-US"/>
        </w:rPr>
        <w:t>E-UTRAN</w:t>
      </w:r>
      <w:r w:rsidR="00F87F95" w:rsidRPr="0082197E">
        <w:rPr>
          <w:vertAlign w:val="subscript"/>
          <w:lang w:val="en-US"/>
        </w:rPr>
        <w:t xml:space="preserve"> _RedCap</w:t>
      </w:r>
      <w:r w:rsidR="00F87F95">
        <w:rPr>
          <w:vertAlign w:val="subscript"/>
          <w:lang w:val="en-US"/>
        </w:rPr>
        <w:t>_Relax</w:t>
      </w:r>
      <w:r w:rsidR="00F87F95" w:rsidRPr="0082197E">
        <w:rPr>
          <w:lang w:val="en-US"/>
        </w:rPr>
        <w:t>, T</w:t>
      </w:r>
      <w:r w:rsidR="00F87F95" w:rsidRPr="0082197E">
        <w:rPr>
          <w:vertAlign w:val="subscript"/>
          <w:lang w:val="en-US"/>
        </w:rPr>
        <w:t>measure,NR_,</w:t>
      </w:r>
      <w:r w:rsidR="00F87F95">
        <w:rPr>
          <w:vertAlign w:val="subscript"/>
          <w:lang w:val="en-US"/>
        </w:rPr>
        <w:t>E-UTRAN</w:t>
      </w:r>
      <w:r w:rsidR="00F87F95" w:rsidRPr="0082197E">
        <w:rPr>
          <w:vertAlign w:val="subscript"/>
          <w:lang w:val="en-US"/>
        </w:rPr>
        <w:t xml:space="preserve"> _RedCap</w:t>
      </w:r>
      <w:r w:rsidR="00F87F95">
        <w:rPr>
          <w:vertAlign w:val="subscript"/>
          <w:lang w:val="en-US"/>
        </w:rPr>
        <w:t>_Relax</w:t>
      </w:r>
      <w:r w:rsidR="00F87F95" w:rsidRPr="0082197E">
        <w:rPr>
          <w:lang w:val="en-US"/>
        </w:rPr>
        <w:t xml:space="preserve"> and T</w:t>
      </w:r>
      <w:r w:rsidR="00F87F95" w:rsidRPr="0082197E">
        <w:rPr>
          <w:vertAlign w:val="subscript"/>
          <w:lang w:val="en-US"/>
        </w:rPr>
        <w:t>evaluate,NR_,</w:t>
      </w:r>
      <w:r w:rsidR="00F87F95">
        <w:rPr>
          <w:vertAlign w:val="subscript"/>
          <w:lang w:val="en-US"/>
        </w:rPr>
        <w:t>E-UTRAN</w:t>
      </w:r>
      <w:r w:rsidR="00F87F95" w:rsidRPr="0082197E">
        <w:rPr>
          <w:vertAlign w:val="subscript"/>
          <w:lang w:val="en-US"/>
        </w:rPr>
        <w:t xml:space="preserve"> _RedCap</w:t>
      </w:r>
      <w:r w:rsidR="00F87F95">
        <w:rPr>
          <w:vertAlign w:val="subscript"/>
          <w:lang w:val="en-US"/>
        </w:rPr>
        <w:t>_Relax</w:t>
      </w:r>
      <w:r w:rsidR="00F87F95" w:rsidRPr="0082197E">
        <w:rPr>
          <w:lang w:val="en-US"/>
        </w:rPr>
        <w:t xml:space="preserve"> for UE configured with eDRX_IDLE cycle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611"/>
        <w:gridCol w:w="2649"/>
        <w:gridCol w:w="2641"/>
      </w:tblGrid>
      <w:tr w:rsidR="00F87F95" w:rsidRPr="00AD5C2C" w14:paraId="6DC31A20" w14:textId="77777777" w:rsidTr="001313A6">
        <w:trPr>
          <w:trHeight w:val="673"/>
        </w:trPr>
        <w:tc>
          <w:tcPr>
            <w:tcW w:w="0" w:type="auto"/>
            <w:vMerge w:val="restart"/>
            <w:hideMark/>
          </w:tcPr>
          <w:p w14:paraId="0C30D162" w14:textId="77777777" w:rsidR="00F87F95" w:rsidRPr="0082197E" w:rsidRDefault="00F87F95" w:rsidP="001313A6">
            <w:pPr>
              <w:rPr>
                <w:rFonts w:ascii="Arial" w:hAnsi="Arial" w:cs="Arial"/>
                <w:sz w:val="18"/>
                <w:lang w:val="en-US" w:eastAsia="zh-CN"/>
              </w:rPr>
            </w:pPr>
            <w:r w:rsidRPr="0082197E">
              <w:rPr>
                <w:rFonts w:ascii="Arial" w:hAnsi="Arial" w:cs="Arial"/>
                <w:b/>
                <w:sz w:val="18"/>
                <w:lang w:eastAsia="zh-CN"/>
              </w:rPr>
              <w:t>eDRX_IDLE cycle length [s]</w:t>
            </w:r>
          </w:p>
        </w:tc>
        <w:tc>
          <w:tcPr>
            <w:tcW w:w="0" w:type="auto"/>
            <w:vMerge w:val="restart"/>
            <w:hideMark/>
          </w:tcPr>
          <w:p w14:paraId="47DD4390" w14:textId="77777777" w:rsidR="00F87F95" w:rsidRPr="0082197E" w:rsidRDefault="00F87F95" w:rsidP="001313A6">
            <w:pPr>
              <w:rPr>
                <w:rFonts w:ascii="Arial" w:hAnsi="Arial" w:cs="Arial"/>
                <w:sz w:val="18"/>
                <w:szCs w:val="18"/>
                <w:lang w:val="en-US" w:eastAsia="zh-CN"/>
              </w:rPr>
            </w:pPr>
            <w:r w:rsidRPr="0082197E">
              <w:rPr>
                <w:rFonts w:ascii="Arial" w:hAnsi="Arial" w:cs="Arial"/>
                <w:b/>
                <w:sz w:val="18"/>
                <w:szCs w:val="18"/>
                <w:lang w:val="en-US"/>
              </w:rPr>
              <w:t>T</w:t>
            </w:r>
            <w:r w:rsidRPr="0082197E">
              <w:rPr>
                <w:rFonts w:ascii="Arial" w:hAnsi="Arial" w:cs="Arial"/>
                <w:b/>
                <w:sz w:val="18"/>
                <w:szCs w:val="18"/>
                <w:vertAlign w:val="subscript"/>
                <w:lang w:val="en-US"/>
              </w:rPr>
              <w:t>detect,NR_</w:t>
            </w:r>
            <w:r>
              <w:rPr>
                <w:rFonts w:ascii="Arial" w:hAnsi="Arial" w:cs="Arial"/>
                <w:b/>
                <w:sz w:val="18"/>
                <w:szCs w:val="18"/>
                <w:vertAlign w:val="subscript"/>
                <w:lang w:val="en-US"/>
              </w:rPr>
              <w:t>E-UTRAN</w:t>
            </w:r>
            <w:r w:rsidRPr="0082197E">
              <w:rPr>
                <w:rFonts w:ascii="Arial" w:hAnsi="Arial" w:cs="Arial"/>
                <w:b/>
                <w:sz w:val="18"/>
                <w:szCs w:val="18"/>
                <w:vertAlign w:val="subscript"/>
                <w:lang w:val="en-US"/>
              </w:rPr>
              <w:t>_RedCap</w:t>
            </w:r>
            <w:r>
              <w:rPr>
                <w:rFonts w:ascii="Arial" w:hAnsi="Arial" w:cs="Arial"/>
                <w:b/>
                <w:sz w:val="18"/>
                <w:szCs w:val="18"/>
                <w:vertAlign w:val="subscript"/>
                <w:lang w:val="en-US"/>
              </w:rPr>
              <w:t>_Relax</w:t>
            </w:r>
            <w:r w:rsidRPr="0082197E">
              <w:rPr>
                <w:rFonts w:ascii="Arial" w:hAnsi="Arial" w:cs="Arial"/>
                <w:b/>
                <w:sz w:val="18"/>
                <w:szCs w:val="18"/>
                <w:lang w:eastAsia="zh-CN"/>
              </w:rPr>
              <w:t xml:space="preserve"> [s] (number of DRX cycles)</w:t>
            </w:r>
          </w:p>
        </w:tc>
        <w:tc>
          <w:tcPr>
            <w:tcW w:w="0" w:type="auto"/>
            <w:vMerge w:val="restart"/>
            <w:hideMark/>
          </w:tcPr>
          <w:p w14:paraId="0E75D68A" w14:textId="77777777" w:rsidR="00F87F95" w:rsidRPr="0082197E" w:rsidRDefault="00F87F95" w:rsidP="001313A6">
            <w:pPr>
              <w:rPr>
                <w:rFonts w:ascii="Arial" w:hAnsi="Arial" w:cs="Arial"/>
                <w:sz w:val="18"/>
                <w:szCs w:val="18"/>
                <w:lang w:val="en-US" w:eastAsia="zh-CN"/>
              </w:rPr>
            </w:pPr>
            <w:r w:rsidRPr="0082197E">
              <w:rPr>
                <w:rFonts w:ascii="Arial" w:hAnsi="Arial" w:cs="Arial"/>
                <w:b/>
                <w:sz w:val="18"/>
                <w:szCs w:val="18"/>
                <w:lang w:val="en-US"/>
              </w:rPr>
              <w:t>T</w:t>
            </w:r>
            <w:r w:rsidRPr="0082197E">
              <w:rPr>
                <w:rFonts w:ascii="Arial" w:hAnsi="Arial" w:cs="Arial"/>
                <w:b/>
                <w:sz w:val="18"/>
                <w:szCs w:val="18"/>
                <w:vertAlign w:val="subscript"/>
                <w:lang w:val="en-US"/>
              </w:rPr>
              <w:t>measure,NR_</w:t>
            </w:r>
            <w:r>
              <w:rPr>
                <w:rFonts w:ascii="Arial" w:hAnsi="Arial" w:cs="Arial"/>
                <w:b/>
                <w:sz w:val="18"/>
                <w:szCs w:val="18"/>
                <w:vertAlign w:val="subscript"/>
                <w:lang w:val="en-US"/>
              </w:rPr>
              <w:t>E-UTRAN</w:t>
            </w:r>
            <w:r w:rsidRPr="0082197E">
              <w:rPr>
                <w:rFonts w:ascii="Arial" w:hAnsi="Arial" w:cs="Arial"/>
                <w:b/>
                <w:sz w:val="18"/>
                <w:szCs w:val="18"/>
                <w:vertAlign w:val="subscript"/>
                <w:lang w:val="en-US"/>
              </w:rPr>
              <w:t>_RedCap</w:t>
            </w:r>
            <w:r>
              <w:rPr>
                <w:rFonts w:ascii="Arial" w:hAnsi="Arial" w:cs="Arial"/>
                <w:b/>
                <w:sz w:val="18"/>
                <w:szCs w:val="18"/>
                <w:vertAlign w:val="subscript"/>
                <w:lang w:val="en-US"/>
              </w:rPr>
              <w:t>_Relax</w:t>
            </w:r>
            <w:r w:rsidRPr="0082197E">
              <w:rPr>
                <w:rFonts w:ascii="Arial" w:hAnsi="Arial" w:cs="Arial"/>
                <w:b/>
                <w:sz w:val="18"/>
                <w:szCs w:val="18"/>
                <w:lang w:val="en-US"/>
              </w:rPr>
              <w:t xml:space="preserve"> </w:t>
            </w:r>
            <w:r w:rsidRPr="0082197E">
              <w:rPr>
                <w:rFonts w:ascii="Arial" w:hAnsi="Arial" w:cs="Arial"/>
                <w:b/>
                <w:sz w:val="18"/>
                <w:szCs w:val="18"/>
                <w:lang w:eastAsia="zh-CN"/>
              </w:rPr>
              <w:t>[s] (number of DRX cycles)</w:t>
            </w:r>
          </w:p>
        </w:tc>
        <w:tc>
          <w:tcPr>
            <w:tcW w:w="0" w:type="auto"/>
            <w:vMerge w:val="restart"/>
            <w:hideMark/>
          </w:tcPr>
          <w:p w14:paraId="59B41CD6" w14:textId="77777777" w:rsidR="00F87F95" w:rsidRPr="00AD5C2C" w:rsidRDefault="00F87F95" w:rsidP="001313A6">
            <w:pPr>
              <w:rPr>
                <w:rFonts w:ascii="Arial" w:hAnsi="Arial" w:cs="Arial"/>
                <w:sz w:val="18"/>
                <w:szCs w:val="18"/>
                <w:lang w:val="en-US" w:eastAsia="zh-CN"/>
              </w:rPr>
            </w:pPr>
            <w:r w:rsidRPr="00AD5C2C">
              <w:rPr>
                <w:rFonts w:ascii="Arial" w:hAnsi="Arial" w:cs="Arial"/>
                <w:b/>
                <w:sz w:val="18"/>
                <w:szCs w:val="18"/>
                <w:lang w:val="en-US"/>
              </w:rPr>
              <w:t>T</w:t>
            </w:r>
            <w:r w:rsidRPr="00AD5C2C">
              <w:rPr>
                <w:rFonts w:ascii="Arial" w:hAnsi="Arial" w:cs="Arial"/>
                <w:b/>
                <w:sz w:val="18"/>
                <w:szCs w:val="18"/>
                <w:vertAlign w:val="subscript"/>
                <w:lang w:val="en-US"/>
              </w:rPr>
              <w:t>evaluate,NR_</w:t>
            </w:r>
            <w:r>
              <w:rPr>
                <w:rFonts w:ascii="Arial" w:hAnsi="Arial" w:cs="Arial"/>
                <w:b/>
                <w:sz w:val="18"/>
                <w:szCs w:val="18"/>
                <w:vertAlign w:val="subscript"/>
                <w:lang w:val="en-US"/>
              </w:rPr>
              <w:t>E-UTRAN</w:t>
            </w:r>
            <w:r w:rsidRPr="00AD5C2C">
              <w:rPr>
                <w:rFonts w:ascii="Arial" w:hAnsi="Arial" w:cs="Arial"/>
                <w:b/>
                <w:sz w:val="18"/>
                <w:szCs w:val="18"/>
                <w:vertAlign w:val="subscript"/>
                <w:lang w:val="en-US"/>
              </w:rPr>
              <w:t>_RedCap</w:t>
            </w:r>
            <w:r>
              <w:rPr>
                <w:rFonts w:ascii="Arial" w:hAnsi="Arial" w:cs="Arial"/>
                <w:b/>
                <w:sz w:val="18"/>
                <w:szCs w:val="18"/>
                <w:vertAlign w:val="subscript"/>
                <w:lang w:val="en-US"/>
              </w:rPr>
              <w:t>_Relax</w:t>
            </w:r>
            <w:r w:rsidRPr="00AD5C2C">
              <w:rPr>
                <w:rFonts w:ascii="Arial" w:hAnsi="Arial" w:cs="Arial"/>
                <w:b/>
                <w:sz w:val="18"/>
                <w:szCs w:val="18"/>
                <w:vertAlign w:val="subscript"/>
                <w:lang w:val="en-US"/>
              </w:rPr>
              <w:t xml:space="preserve"> </w:t>
            </w:r>
            <w:r w:rsidRPr="00AD5C2C">
              <w:rPr>
                <w:rFonts w:ascii="Arial" w:hAnsi="Arial" w:cs="Arial"/>
                <w:b/>
                <w:sz w:val="18"/>
                <w:szCs w:val="18"/>
                <w:lang w:eastAsia="zh-CN"/>
              </w:rPr>
              <w:t>[s] (number of DRX cycles)</w:t>
            </w:r>
          </w:p>
        </w:tc>
      </w:tr>
      <w:tr w:rsidR="00F87F95" w:rsidRPr="00AD5C2C" w14:paraId="286B82A8" w14:textId="77777777" w:rsidTr="001313A6">
        <w:trPr>
          <w:trHeight w:val="408"/>
        </w:trPr>
        <w:tc>
          <w:tcPr>
            <w:tcW w:w="0" w:type="auto"/>
            <w:vMerge/>
            <w:hideMark/>
          </w:tcPr>
          <w:p w14:paraId="70CE3C67" w14:textId="77777777" w:rsidR="00F87F95" w:rsidRPr="0082197E" w:rsidRDefault="00F87F95" w:rsidP="001313A6">
            <w:pPr>
              <w:rPr>
                <w:rFonts w:ascii="Arial" w:hAnsi="Arial" w:cs="Arial"/>
                <w:sz w:val="18"/>
                <w:lang w:val="en-US" w:eastAsia="zh-CN"/>
              </w:rPr>
            </w:pPr>
          </w:p>
        </w:tc>
        <w:tc>
          <w:tcPr>
            <w:tcW w:w="0" w:type="auto"/>
            <w:vMerge/>
            <w:hideMark/>
          </w:tcPr>
          <w:p w14:paraId="32F02225" w14:textId="77777777" w:rsidR="00F87F95" w:rsidRPr="0082197E" w:rsidRDefault="00F87F95" w:rsidP="001313A6">
            <w:pPr>
              <w:rPr>
                <w:rFonts w:ascii="Arial" w:hAnsi="Arial" w:cs="Arial"/>
                <w:sz w:val="18"/>
                <w:lang w:val="en-US" w:eastAsia="zh-CN"/>
              </w:rPr>
            </w:pPr>
          </w:p>
        </w:tc>
        <w:tc>
          <w:tcPr>
            <w:tcW w:w="0" w:type="auto"/>
            <w:vMerge/>
            <w:hideMark/>
          </w:tcPr>
          <w:p w14:paraId="415AC07B" w14:textId="77777777" w:rsidR="00F87F95" w:rsidRPr="0082197E" w:rsidRDefault="00F87F95" w:rsidP="001313A6">
            <w:pPr>
              <w:rPr>
                <w:rFonts w:ascii="Arial" w:hAnsi="Arial" w:cs="Arial"/>
                <w:sz w:val="18"/>
                <w:lang w:val="en-US" w:eastAsia="zh-CN"/>
              </w:rPr>
            </w:pPr>
          </w:p>
        </w:tc>
        <w:tc>
          <w:tcPr>
            <w:tcW w:w="0" w:type="auto"/>
            <w:vMerge/>
            <w:hideMark/>
          </w:tcPr>
          <w:p w14:paraId="5196FCC2" w14:textId="77777777" w:rsidR="00F87F95" w:rsidRPr="00AD5C2C" w:rsidRDefault="00F87F95" w:rsidP="001313A6">
            <w:pPr>
              <w:rPr>
                <w:rFonts w:ascii="Arial" w:hAnsi="Arial" w:cs="Arial"/>
                <w:sz w:val="18"/>
                <w:lang w:val="en-US" w:eastAsia="zh-CN"/>
              </w:rPr>
            </w:pPr>
          </w:p>
        </w:tc>
      </w:tr>
      <w:tr w:rsidR="00F87F95" w:rsidRPr="00AD5C2C" w14:paraId="1463E516" w14:textId="77777777" w:rsidTr="001313A6">
        <w:trPr>
          <w:trHeight w:val="336"/>
        </w:trPr>
        <w:tc>
          <w:tcPr>
            <w:tcW w:w="0" w:type="auto"/>
          </w:tcPr>
          <w:p w14:paraId="3F803B40" w14:textId="77777777" w:rsidR="00F87F95" w:rsidRPr="006F2E0A" w:rsidRDefault="00F87F95" w:rsidP="001313A6">
            <w:pPr>
              <w:rPr>
                <w:rFonts w:ascii="Arial" w:hAnsi="Arial" w:cs="Arial"/>
                <w:sz w:val="18"/>
                <w:szCs w:val="18"/>
                <w:lang w:eastAsia="zh-CN"/>
              </w:rPr>
            </w:pPr>
            <w:r w:rsidRPr="006F2E0A">
              <w:rPr>
                <w:rFonts w:ascii="Arial" w:hAnsi="Arial" w:cs="Arial"/>
                <w:sz w:val="18"/>
                <w:szCs w:val="18"/>
                <w:lang w:eastAsia="zh-CN"/>
              </w:rPr>
              <w:t>5.12</w:t>
            </w:r>
          </w:p>
        </w:tc>
        <w:tc>
          <w:tcPr>
            <w:tcW w:w="0" w:type="auto"/>
          </w:tcPr>
          <w:p w14:paraId="356DE662" w14:textId="77777777" w:rsidR="00F87F95" w:rsidRPr="006F2E0A" w:rsidRDefault="00F87F95" w:rsidP="001313A6">
            <w:pPr>
              <w:rPr>
                <w:rFonts w:ascii="Arial" w:hAnsi="Arial" w:cs="Arial"/>
                <w:sz w:val="18"/>
                <w:szCs w:val="18"/>
                <w:lang w:eastAsia="zh-CN"/>
              </w:rPr>
            </w:pPr>
            <w:r w:rsidRPr="006F2E0A">
              <w:rPr>
                <w:rFonts w:ascii="Arial" w:hAnsi="Arial" w:cs="Arial"/>
                <w:sz w:val="18"/>
                <w:szCs w:val="18"/>
                <w:lang w:eastAsia="zh-CN"/>
              </w:rPr>
              <w:t>117.76</w:t>
            </w:r>
            <w:r w:rsidRPr="00806346">
              <w:rPr>
                <w:rFonts w:ascii="Arial" w:hAnsi="Arial" w:cs="Arial"/>
                <w:sz w:val="18"/>
                <w:szCs w:val="18"/>
                <w:lang w:eastAsia="zh-CN"/>
              </w:rPr>
              <w:t xml:space="preserve"> x K3</w:t>
            </w:r>
            <w:r w:rsidRPr="006F2E0A">
              <w:rPr>
                <w:rFonts w:ascii="Arial" w:hAnsi="Arial" w:cs="Arial"/>
                <w:sz w:val="18"/>
                <w:szCs w:val="18"/>
                <w:lang w:eastAsia="zh-CN"/>
              </w:rPr>
              <w:t xml:space="preserve"> (23</w:t>
            </w:r>
            <w:r w:rsidRPr="00806346">
              <w:rPr>
                <w:rFonts w:ascii="Arial" w:hAnsi="Arial" w:cs="Arial"/>
                <w:sz w:val="18"/>
                <w:szCs w:val="18"/>
                <w:lang w:eastAsia="zh-CN"/>
              </w:rPr>
              <w:t xml:space="preserve"> x K3</w:t>
            </w:r>
            <w:r w:rsidRPr="006F2E0A">
              <w:rPr>
                <w:rFonts w:ascii="Arial" w:hAnsi="Arial" w:cs="Arial"/>
                <w:sz w:val="18"/>
                <w:szCs w:val="18"/>
                <w:lang w:eastAsia="zh-CN"/>
              </w:rPr>
              <w:t>)</w:t>
            </w:r>
          </w:p>
        </w:tc>
        <w:tc>
          <w:tcPr>
            <w:tcW w:w="0" w:type="auto"/>
          </w:tcPr>
          <w:p w14:paraId="542C192A" w14:textId="77777777" w:rsidR="00F87F95" w:rsidRPr="006F2E0A" w:rsidRDefault="00F87F95" w:rsidP="001313A6">
            <w:pPr>
              <w:rPr>
                <w:rFonts w:ascii="Arial" w:hAnsi="Arial" w:cs="Arial"/>
                <w:sz w:val="18"/>
                <w:szCs w:val="18"/>
                <w:lang w:eastAsia="zh-CN"/>
              </w:rPr>
            </w:pPr>
            <w:r w:rsidRPr="006F2E0A">
              <w:rPr>
                <w:rFonts w:ascii="Arial" w:hAnsi="Arial" w:cs="Arial"/>
                <w:sz w:val="18"/>
                <w:szCs w:val="18"/>
                <w:lang w:eastAsia="zh-CN"/>
              </w:rPr>
              <w:t>5.12</w:t>
            </w:r>
            <w:r w:rsidRPr="00806346">
              <w:rPr>
                <w:rFonts w:ascii="Arial" w:hAnsi="Arial" w:cs="Arial"/>
                <w:sz w:val="18"/>
                <w:szCs w:val="18"/>
                <w:lang w:eastAsia="zh-CN"/>
              </w:rPr>
              <w:t xml:space="preserve"> x K3</w:t>
            </w:r>
            <w:r w:rsidRPr="006F2E0A">
              <w:rPr>
                <w:rFonts w:ascii="Arial" w:hAnsi="Arial" w:cs="Arial"/>
                <w:sz w:val="18"/>
                <w:szCs w:val="18"/>
                <w:lang w:eastAsia="zh-CN"/>
              </w:rPr>
              <w:t xml:space="preserve"> (1</w:t>
            </w:r>
            <w:r w:rsidRPr="00806346">
              <w:rPr>
                <w:rFonts w:ascii="Arial" w:hAnsi="Arial" w:cs="Arial"/>
                <w:sz w:val="18"/>
                <w:szCs w:val="18"/>
                <w:lang w:eastAsia="zh-CN"/>
              </w:rPr>
              <w:t xml:space="preserve"> x K3</w:t>
            </w:r>
            <w:r w:rsidRPr="006F2E0A">
              <w:rPr>
                <w:rFonts w:ascii="Arial" w:hAnsi="Arial" w:cs="Arial"/>
                <w:sz w:val="18"/>
                <w:szCs w:val="18"/>
                <w:lang w:eastAsia="zh-CN"/>
              </w:rPr>
              <w:t>)</w:t>
            </w:r>
          </w:p>
        </w:tc>
        <w:tc>
          <w:tcPr>
            <w:tcW w:w="0" w:type="auto"/>
          </w:tcPr>
          <w:p w14:paraId="3ACE38C0" w14:textId="77777777" w:rsidR="00F87F95" w:rsidRPr="006F2E0A" w:rsidRDefault="00F87F95" w:rsidP="001313A6">
            <w:pPr>
              <w:rPr>
                <w:rFonts w:ascii="Arial" w:hAnsi="Arial" w:cs="Arial"/>
                <w:sz w:val="18"/>
                <w:szCs w:val="18"/>
                <w:lang w:eastAsia="zh-CN"/>
              </w:rPr>
            </w:pPr>
            <w:r w:rsidRPr="006F2E0A">
              <w:rPr>
                <w:rFonts w:ascii="Arial" w:hAnsi="Arial" w:cs="Arial"/>
                <w:sz w:val="18"/>
                <w:szCs w:val="18"/>
                <w:lang w:eastAsia="zh-CN"/>
              </w:rPr>
              <w:t>10.24</w:t>
            </w:r>
            <w:r w:rsidRPr="00806346">
              <w:rPr>
                <w:rFonts w:ascii="Arial" w:hAnsi="Arial" w:cs="Arial"/>
                <w:sz w:val="18"/>
                <w:szCs w:val="18"/>
                <w:lang w:eastAsia="zh-CN"/>
              </w:rPr>
              <w:t xml:space="preserve"> x K3</w:t>
            </w:r>
            <w:r w:rsidRPr="006F2E0A">
              <w:rPr>
                <w:rFonts w:ascii="Arial" w:hAnsi="Arial" w:cs="Arial"/>
                <w:sz w:val="18"/>
                <w:szCs w:val="18"/>
                <w:lang w:eastAsia="zh-CN"/>
              </w:rPr>
              <w:t xml:space="preserve"> (2</w:t>
            </w:r>
            <w:r w:rsidRPr="00806346">
              <w:rPr>
                <w:rFonts w:ascii="Arial" w:hAnsi="Arial" w:cs="Arial"/>
                <w:sz w:val="18"/>
                <w:szCs w:val="18"/>
                <w:lang w:eastAsia="zh-CN"/>
              </w:rPr>
              <w:t xml:space="preserve"> x K3</w:t>
            </w:r>
            <w:r w:rsidRPr="006F2E0A">
              <w:rPr>
                <w:rFonts w:ascii="Arial" w:hAnsi="Arial" w:cs="Arial"/>
                <w:sz w:val="18"/>
                <w:szCs w:val="18"/>
                <w:lang w:eastAsia="zh-CN"/>
              </w:rPr>
              <w:t>)</w:t>
            </w:r>
          </w:p>
        </w:tc>
      </w:tr>
      <w:tr w:rsidR="00F87F95" w:rsidRPr="00AD5C2C" w14:paraId="4C62A777" w14:textId="77777777" w:rsidTr="001313A6">
        <w:trPr>
          <w:trHeight w:val="336"/>
        </w:trPr>
        <w:tc>
          <w:tcPr>
            <w:tcW w:w="0" w:type="auto"/>
            <w:gridSpan w:val="4"/>
          </w:tcPr>
          <w:p w14:paraId="57582D78" w14:textId="77777777" w:rsidR="00F87F95" w:rsidRPr="005B7259" w:rsidRDefault="00F87F95" w:rsidP="00F605E7">
            <w:pPr>
              <w:pStyle w:val="TAN"/>
              <w:rPr>
                <w:snapToGrid w:val="0"/>
                <w:lang w:eastAsia="zh-CN"/>
              </w:rPr>
            </w:pPr>
            <w:r w:rsidRPr="006F2E0A">
              <w:rPr>
                <w:snapToGrid w:val="0"/>
                <w:lang w:eastAsia="zh-CN"/>
              </w:rPr>
              <w:t>Note 1:</w:t>
            </w:r>
            <w:r w:rsidRPr="005B7259">
              <w:rPr>
                <w:lang w:val="en-US"/>
              </w:rPr>
              <w:tab/>
            </w:r>
            <w:r w:rsidRPr="005B7259">
              <w:rPr>
                <w:snapToGrid w:val="0"/>
                <w:lang w:eastAsia="zh-CN"/>
              </w:rPr>
              <w:t>M2 = 1.5 if SMTC periodicity</w:t>
            </w:r>
            <w:r w:rsidRPr="005B7259">
              <w:t xml:space="preserve"> </w:t>
            </w:r>
            <w:r w:rsidRPr="005B7259">
              <w:rPr>
                <w:snapToGrid w:val="0"/>
                <w:lang w:eastAsia="zh-CN"/>
              </w:rPr>
              <w:t>of measured intra-frequency cell &gt; 20 ms; otherwise M2=1.</w:t>
            </w:r>
            <w:r w:rsidRPr="005B7259">
              <w:t xml:space="preserve"> </w:t>
            </w:r>
            <w:r w:rsidRPr="005B7259">
              <w:rPr>
                <w:snapToGrid w:val="0"/>
                <w:lang w:eastAsia="zh-CN"/>
              </w:rPr>
              <w:t>If different SMTC periodicities are configured for different cells, the SMTC periodicity in this note is the one used by the cell being identified. During PSS/SSS detection, the periodicity of the SMTC configured for the intra-frequency carrier is assumed, and if the actual SSB transmission periodicity is greater than the SMTC configured for the intra-frequency carrier, longer T</w:t>
            </w:r>
            <w:r w:rsidRPr="005B7259">
              <w:rPr>
                <w:snapToGrid w:val="0"/>
                <w:vertAlign w:val="subscript"/>
                <w:lang w:eastAsia="zh-CN"/>
              </w:rPr>
              <w:t xml:space="preserve">detect, NR_intra </w:t>
            </w:r>
            <w:r w:rsidRPr="005B7259">
              <w:rPr>
                <w:snapToGrid w:val="0"/>
                <w:lang w:eastAsia="zh-CN"/>
              </w:rPr>
              <w:t>is expected.</w:t>
            </w:r>
          </w:p>
          <w:p w14:paraId="6CD54270" w14:textId="77777777" w:rsidR="00F87F95" w:rsidRPr="006F2E0A" w:rsidRDefault="00F87F95" w:rsidP="00F605E7">
            <w:pPr>
              <w:pStyle w:val="TAN"/>
              <w:rPr>
                <w:lang w:eastAsia="zh-CN"/>
              </w:rPr>
            </w:pPr>
            <w:r w:rsidRPr="00806346">
              <w:rPr>
                <w:snapToGrid w:val="0"/>
                <w:lang w:eastAsia="zh-CN"/>
              </w:rPr>
              <w:t>Note 2:</w:t>
            </w:r>
            <w:r w:rsidRPr="00806346">
              <w:rPr>
                <w:lang w:val="en-US"/>
              </w:rPr>
              <w:tab/>
            </w:r>
            <w:r w:rsidRPr="00806346">
              <w:rPr>
                <w:snapToGrid w:val="0"/>
                <w:lang w:eastAsia="zh-CN"/>
              </w:rPr>
              <w:t xml:space="preserve">K3 = 6 is the measurement relaxation factor applicable for UE fulfilling the </w:t>
            </w:r>
            <w:r w:rsidRPr="00806346">
              <w:rPr>
                <w:i/>
                <w:noProof/>
              </w:rPr>
              <w:t xml:space="preserve">stationaryMobilityEvaluation </w:t>
            </w:r>
            <w:r w:rsidRPr="00806346">
              <w:rPr>
                <w:lang w:eastAsia="zh-CN"/>
              </w:rPr>
              <w:t>[2]</w:t>
            </w:r>
            <w:r w:rsidRPr="00806346">
              <w:rPr>
                <w:snapToGrid w:val="0"/>
                <w:lang w:eastAsia="zh-CN"/>
              </w:rPr>
              <w:t xml:space="preserve"> criterion.</w:t>
            </w:r>
          </w:p>
        </w:tc>
      </w:tr>
    </w:tbl>
    <w:p w14:paraId="7FBF65E8" w14:textId="77777777" w:rsidR="00F87F95" w:rsidRDefault="00F87F95" w:rsidP="00E92510">
      <w:pPr>
        <w:rPr>
          <w:noProof/>
        </w:rPr>
      </w:pPr>
    </w:p>
    <w:p w14:paraId="6CB561C6" w14:textId="3927280B" w:rsidR="00F87F95" w:rsidRPr="00AD5C2C" w:rsidRDefault="00AB0056" w:rsidP="00F87F95">
      <w:pPr>
        <w:pStyle w:val="TH"/>
        <w:rPr>
          <w:lang w:val="en-US"/>
        </w:rPr>
      </w:pPr>
      <w:r w:rsidRPr="0082197E">
        <w:rPr>
          <w:lang w:val="en-US"/>
        </w:rPr>
        <w:t>Table 4.2B.2.1</w:t>
      </w:r>
      <w:r>
        <w:rPr>
          <w:lang w:val="en-US"/>
        </w:rPr>
        <w:t>1</w:t>
      </w:r>
      <w:r w:rsidRPr="0082197E">
        <w:rPr>
          <w:lang w:val="en-US"/>
        </w:rPr>
        <w:t>.2-</w:t>
      </w:r>
      <w:r>
        <w:rPr>
          <w:lang w:val="en-US"/>
        </w:rPr>
        <w:t>4</w:t>
      </w:r>
      <w:r w:rsidRPr="0082197E">
        <w:rPr>
          <w:lang w:val="en-US"/>
        </w:rPr>
        <w:t xml:space="preserve">: </w:t>
      </w:r>
      <w:r w:rsidR="00F87F95" w:rsidRPr="0082197E">
        <w:rPr>
          <w:lang w:val="en-US"/>
        </w:rPr>
        <w:t>T</w:t>
      </w:r>
      <w:r w:rsidR="00F87F95" w:rsidRPr="0082197E">
        <w:rPr>
          <w:vertAlign w:val="subscript"/>
          <w:lang w:val="en-US"/>
        </w:rPr>
        <w:t>detect,</w:t>
      </w:r>
      <w:r w:rsidR="00F87F95">
        <w:rPr>
          <w:vertAlign w:val="subscript"/>
          <w:lang w:val="en-US"/>
        </w:rPr>
        <w:t>E-UTRAN</w:t>
      </w:r>
      <w:r w:rsidR="00F87F95" w:rsidRPr="0082197E">
        <w:rPr>
          <w:vertAlign w:val="subscript"/>
          <w:lang w:val="en-US"/>
        </w:rPr>
        <w:t xml:space="preserve"> _RedCap</w:t>
      </w:r>
      <w:r w:rsidR="00F87F95">
        <w:rPr>
          <w:vertAlign w:val="subscript"/>
          <w:lang w:val="en-US"/>
        </w:rPr>
        <w:t>_Relax</w:t>
      </w:r>
      <w:r w:rsidR="00F87F95" w:rsidRPr="0082197E">
        <w:rPr>
          <w:lang w:val="en-US"/>
        </w:rPr>
        <w:t>, T</w:t>
      </w:r>
      <w:r w:rsidR="00F87F95" w:rsidRPr="0082197E">
        <w:rPr>
          <w:vertAlign w:val="subscript"/>
          <w:lang w:val="en-US"/>
        </w:rPr>
        <w:t>measure,NR_,</w:t>
      </w:r>
      <w:r w:rsidR="00F87F95">
        <w:rPr>
          <w:vertAlign w:val="subscript"/>
          <w:lang w:val="en-US"/>
        </w:rPr>
        <w:t>E-UTRAN</w:t>
      </w:r>
      <w:r w:rsidR="00F87F95" w:rsidRPr="0082197E">
        <w:rPr>
          <w:vertAlign w:val="subscript"/>
          <w:lang w:val="en-US"/>
        </w:rPr>
        <w:t xml:space="preserve"> _RedCap</w:t>
      </w:r>
      <w:r w:rsidR="00F87F95">
        <w:rPr>
          <w:vertAlign w:val="subscript"/>
          <w:lang w:val="en-US"/>
        </w:rPr>
        <w:t>_Relax</w:t>
      </w:r>
      <w:r w:rsidR="00F87F95" w:rsidRPr="0082197E">
        <w:rPr>
          <w:lang w:val="en-US"/>
        </w:rPr>
        <w:t xml:space="preserve"> and T</w:t>
      </w:r>
      <w:r w:rsidR="00F87F95" w:rsidRPr="0082197E">
        <w:rPr>
          <w:vertAlign w:val="subscript"/>
          <w:lang w:val="en-US"/>
        </w:rPr>
        <w:t>evaluate,NR_,</w:t>
      </w:r>
      <w:r w:rsidR="00F87F95">
        <w:rPr>
          <w:vertAlign w:val="subscript"/>
          <w:lang w:val="en-US"/>
        </w:rPr>
        <w:t>E-UTRAN</w:t>
      </w:r>
      <w:r w:rsidR="00F87F95" w:rsidRPr="0082197E">
        <w:rPr>
          <w:vertAlign w:val="subscript"/>
          <w:lang w:val="en-US"/>
        </w:rPr>
        <w:t xml:space="preserve"> _RedCap</w:t>
      </w:r>
      <w:r w:rsidR="00F87F95">
        <w:rPr>
          <w:vertAlign w:val="subscript"/>
          <w:lang w:val="en-US"/>
        </w:rPr>
        <w:t>_Relax</w:t>
      </w:r>
      <w:r w:rsidR="00F87F95" w:rsidRPr="0082197E">
        <w:rPr>
          <w:lang w:val="en-US"/>
        </w:rPr>
        <w:t xml:space="preserve"> for UE configured with eDRX_IDLE cycle</w:t>
      </w:r>
    </w:p>
    <w:tbl>
      <w:tblPr>
        <w:tblW w:w="52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8"/>
        <w:gridCol w:w="567"/>
        <w:gridCol w:w="730"/>
        <w:gridCol w:w="4880"/>
        <w:gridCol w:w="1349"/>
        <w:gridCol w:w="1359"/>
      </w:tblGrid>
      <w:tr w:rsidR="00F87F95" w:rsidRPr="00691C10" w14:paraId="4798F1AD" w14:textId="77777777" w:rsidTr="001313A6">
        <w:trPr>
          <w:cantSplit/>
          <w:jc w:val="center"/>
        </w:trPr>
        <w:tc>
          <w:tcPr>
            <w:tcW w:w="594" w:type="pct"/>
            <w:tcBorders>
              <w:top w:val="single" w:sz="4" w:space="0" w:color="auto"/>
              <w:left w:val="single" w:sz="4" w:space="0" w:color="auto"/>
              <w:bottom w:val="single" w:sz="4" w:space="0" w:color="auto"/>
              <w:right w:val="single" w:sz="4" w:space="0" w:color="auto"/>
            </w:tcBorders>
            <w:tcMar>
              <w:left w:w="0" w:type="dxa"/>
              <w:right w:w="0" w:type="dxa"/>
            </w:tcMar>
          </w:tcPr>
          <w:p w14:paraId="0574E9BC" w14:textId="77777777" w:rsidR="00F87F95" w:rsidRPr="00691C10" w:rsidRDefault="00F87F95" w:rsidP="001313A6">
            <w:pPr>
              <w:pStyle w:val="TAH"/>
              <w:rPr>
                <w:rFonts w:cs="v4.2.0"/>
              </w:rPr>
            </w:pPr>
            <w:r>
              <w:rPr>
                <w:rFonts w:cs="v4.2.0"/>
              </w:rPr>
              <w:t>eDRX_IDLE cycle length [s]</w:t>
            </w:r>
          </w:p>
        </w:tc>
        <w:tc>
          <w:tcPr>
            <w:tcW w:w="281" w:type="pct"/>
            <w:tcBorders>
              <w:top w:val="single" w:sz="4" w:space="0" w:color="auto"/>
              <w:left w:val="single" w:sz="4" w:space="0" w:color="auto"/>
              <w:bottom w:val="single" w:sz="4" w:space="0" w:color="auto"/>
              <w:right w:val="single" w:sz="4" w:space="0" w:color="auto"/>
            </w:tcBorders>
            <w:tcMar>
              <w:left w:w="0" w:type="dxa"/>
              <w:right w:w="0" w:type="dxa"/>
            </w:tcMar>
          </w:tcPr>
          <w:p w14:paraId="71378E10" w14:textId="77777777" w:rsidR="00F87F95" w:rsidRPr="00691C10" w:rsidRDefault="00F87F95" w:rsidP="001313A6">
            <w:pPr>
              <w:pStyle w:val="TAH"/>
              <w:rPr>
                <w:rFonts w:cs="Arial"/>
                <w:snapToGrid w:val="0"/>
              </w:rPr>
            </w:pPr>
            <w:r>
              <w:rPr>
                <w:rFonts w:cs="v4.2.0"/>
              </w:rPr>
              <w:t>DRX cycle length [s]</w:t>
            </w:r>
          </w:p>
        </w:tc>
        <w:tc>
          <w:tcPr>
            <w:tcW w:w="362" w:type="pct"/>
            <w:tcBorders>
              <w:top w:val="single" w:sz="4" w:space="0" w:color="auto"/>
              <w:left w:val="single" w:sz="4" w:space="0" w:color="auto"/>
              <w:bottom w:val="single" w:sz="4" w:space="0" w:color="auto"/>
              <w:right w:val="single" w:sz="4" w:space="0" w:color="auto"/>
            </w:tcBorders>
            <w:tcMar>
              <w:left w:w="0" w:type="dxa"/>
              <w:right w:w="0" w:type="dxa"/>
            </w:tcMar>
          </w:tcPr>
          <w:p w14:paraId="7B51E190" w14:textId="77777777" w:rsidR="00F87F95" w:rsidRPr="00691C10" w:rsidRDefault="00F87F95" w:rsidP="001313A6">
            <w:pPr>
              <w:pStyle w:val="TAH"/>
              <w:rPr>
                <w:rFonts w:cs="v4.2.0"/>
              </w:rPr>
            </w:pPr>
            <w:r>
              <w:rPr>
                <w:rFonts w:cs="v4.2.0"/>
              </w:rPr>
              <w:t>PTW length [s]</w:t>
            </w:r>
            <w:r>
              <w:rPr>
                <w:rFonts w:cs="v4.2.0"/>
                <w:lang w:eastAsia="zh-CN"/>
              </w:rPr>
              <w:t xml:space="preserve"> (</w:t>
            </w:r>
            <w:r>
              <w:rPr>
                <w:rFonts w:cs="Arial"/>
                <w:bCs/>
                <w:iCs/>
                <w:lang w:eastAsia="ja-JP"/>
              </w:rPr>
              <w:t>number of 1.28s periods</w:t>
            </w:r>
            <w:r>
              <w:rPr>
                <w:rFonts w:cs="v4.2.0"/>
                <w:lang w:eastAsia="zh-CN"/>
              </w:rPr>
              <w:t>)</w:t>
            </w:r>
          </w:p>
        </w:tc>
        <w:tc>
          <w:tcPr>
            <w:tcW w:w="2420" w:type="pct"/>
            <w:tcBorders>
              <w:top w:val="single" w:sz="4" w:space="0" w:color="auto"/>
              <w:left w:val="single" w:sz="4" w:space="0" w:color="auto"/>
              <w:bottom w:val="single" w:sz="4" w:space="0" w:color="auto"/>
              <w:right w:val="single" w:sz="4" w:space="0" w:color="auto"/>
            </w:tcBorders>
            <w:tcMar>
              <w:left w:w="0" w:type="dxa"/>
              <w:right w:w="0" w:type="dxa"/>
            </w:tcMar>
          </w:tcPr>
          <w:p w14:paraId="0F4744EE" w14:textId="77777777" w:rsidR="00F87F95" w:rsidRPr="00691C10" w:rsidRDefault="00F87F95" w:rsidP="001313A6">
            <w:pPr>
              <w:pStyle w:val="TAH"/>
              <w:rPr>
                <w:rFonts w:cs="Arial"/>
              </w:rPr>
            </w:pPr>
            <w:r>
              <w:rPr>
                <w:rFonts w:cs="v4.2.0"/>
              </w:rPr>
              <w:t>T</w:t>
            </w:r>
            <w:r>
              <w:rPr>
                <w:rFonts w:cs="v4.2.0"/>
                <w:vertAlign w:val="subscript"/>
              </w:rPr>
              <w:t>detect,EUTRAN</w:t>
            </w:r>
            <w:r>
              <w:rPr>
                <w:vertAlign w:val="subscript"/>
              </w:rPr>
              <w:t>_RedCap_Relax</w:t>
            </w:r>
            <w:r>
              <w:rPr>
                <w:rFonts w:cs="v4.2.0"/>
              </w:rPr>
              <w:t xml:space="preserve"> [s] (number of DRX or eDRX cycles</w:t>
            </w:r>
            <w:r>
              <w:rPr>
                <w:rFonts w:cs="Arial"/>
                <w:vertAlign w:val="superscript"/>
                <w:lang w:eastAsia="zh-CN"/>
              </w:rPr>
              <w:t xml:space="preserve"> Note 3</w:t>
            </w:r>
            <w:r>
              <w:rPr>
                <w:rFonts w:cs="v4.2.0"/>
              </w:rPr>
              <w:t>)</w:t>
            </w:r>
          </w:p>
        </w:tc>
        <w:tc>
          <w:tcPr>
            <w:tcW w:w="669" w:type="pct"/>
            <w:tcBorders>
              <w:top w:val="single" w:sz="4" w:space="0" w:color="auto"/>
              <w:left w:val="single" w:sz="4" w:space="0" w:color="auto"/>
              <w:bottom w:val="single" w:sz="4" w:space="0" w:color="auto"/>
              <w:right w:val="single" w:sz="4" w:space="0" w:color="auto"/>
            </w:tcBorders>
            <w:tcMar>
              <w:left w:w="0" w:type="dxa"/>
              <w:right w:w="0" w:type="dxa"/>
            </w:tcMar>
          </w:tcPr>
          <w:p w14:paraId="3C2C1C6D" w14:textId="77777777" w:rsidR="00F87F95" w:rsidRPr="00691C10" w:rsidRDefault="00F87F95" w:rsidP="001313A6">
            <w:pPr>
              <w:pStyle w:val="TAH"/>
              <w:rPr>
                <w:rFonts w:cs="Arial"/>
                <w:snapToGrid w:val="0"/>
              </w:rPr>
            </w:pPr>
            <w:r>
              <w:rPr>
                <w:rFonts w:cs="v4.2.0"/>
              </w:rPr>
              <w:t>T</w:t>
            </w:r>
            <w:r>
              <w:rPr>
                <w:rFonts w:cs="v4.2.0"/>
                <w:vertAlign w:val="subscript"/>
              </w:rPr>
              <w:t>measure,EUTRAN</w:t>
            </w:r>
            <w:r>
              <w:rPr>
                <w:vertAlign w:val="subscript"/>
              </w:rPr>
              <w:t>_RedCap_Relax</w:t>
            </w:r>
            <w:r>
              <w:rPr>
                <w:rFonts w:cs="v4.2.0"/>
              </w:rPr>
              <w:t xml:space="preserve"> [s] (number of DRX or eDRX cycles</w:t>
            </w:r>
            <w:r>
              <w:rPr>
                <w:rFonts w:cs="Arial"/>
                <w:vertAlign w:val="superscript"/>
                <w:lang w:eastAsia="zh-CN"/>
              </w:rPr>
              <w:t xml:space="preserve"> Note 3</w:t>
            </w:r>
            <w:r>
              <w:rPr>
                <w:rFonts w:cs="v4.2.0"/>
              </w:rPr>
              <w:t>)</w:t>
            </w:r>
          </w:p>
        </w:tc>
        <w:tc>
          <w:tcPr>
            <w:tcW w:w="674" w:type="pct"/>
            <w:tcBorders>
              <w:top w:val="single" w:sz="4" w:space="0" w:color="auto"/>
              <w:left w:val="single" w:sz="4" w:space="0" w:color="auto"/>
              <w:bottom w:val="single" w:sz="4" w:space="0" w:color="auto"/>
              <w:right w:val="single" w:sz="4" w:space="0" w:color="auto"/>
            </w:tcBorders>
            <w:tcMar>
              <w:left w:w="0" w:type="dxa"/>
              <w:right w:w="0" w:type="dxa"/>
            </w:tcMar>
          </w:tcPr>
          <w:p w14:paraId="034B63C2" w14:textId="77777777" w:rsidR="00F87F95" w:rsidRDefault="00F87F95" w:rsidP="001313A6">
            <w:pPr>
              <w:pStyle w:val="TAH"/>
              <w:rPr>
                <w:rFonts w:cs="Arial"/>
                <w:vertAlign w:val="subscript"/>
              </w:rPr>
            </w:pPr>
            <w:r>
              <w:rPr>
                <w:rFonts w:cs="v4.2.0"/>
              </w:rPr>
              <w:t>T</w:t>
            </w:r>
            <w:r>
              <w:rPr>
                <w:rFonts w:cs="v4.2.0"/>
                <w:vertAlign w:val="subscript"/>
              </w:rPr>
              <w:t>evaluate,E-UTRAN</w:t>
            </w:r>
            <w:r>
              <w:rPr>
                <w:vertAlign w:val="subscript"/>
              </w:rPr>
              <w:t>_RedCap_Relax</w:t>
            </w:r>
          </w:p>
          <w:p w14:paraId="7E3EBB00" w14:textId="77777777" w:rsidR="00F87F95" w:rsidRPr="00691C10" w:rsidRDefault="00F87F95" w:rsidP="001313A6">
            <w:pPr>
              <w:pStyle w:val="TAH"/>
              <w:rPr>
                <w:rFonts w:cs="Arial"/>
              </w:rPr>
            </w:pPr>
            <w:r>
              <w:rPr>
                <w:rFonts w:cs="Arial"/>
              </w:rPr>
              <w:t xml:space="preserve">[s] (number of DRX </w:t>
            </w:r>
            <w:r>
              <w:rPr>
                <w:rFonts w:cs="v4.2.0"/>
              </w:rPr>
              <w:t>or eDRX</w:t>
            </w:r>
            <w:r>
              <w:rPr>
                <w:rFonts w:cs="Arial"/>
              </w:rPr>
              <w:t xml:space="preserve"> cycles</w:t>
            </w:r>
            <w:r>
              <w:rPr>
                <w:rFonts w:cs="Arial"/>
                <w:vertAlign w:val="superscript"/>
                <w:lang w:eastAsia="zh-CN"/>
              </w:rPr>
              <w:t xml:space="preserve"> Note 3</w:t>
            </w:r>
            <w:r>
              <w:rPr>
                <w:rFonts w:cs="Arial"/>
              </w:rPr>
              <w:t>)</w:t>
            </w:r>
          </w:p>
        </w:tc>
      </w:tr>
      <w:tr w:rsidR="00F87F95" w:rsidRPr="00691C10" w14:paraId="1B4952B6" w14:textId="77777777" w:rsidTr="001313A6">
        <w:trPr>
          <w:cantSplit/>
          <w:jc w:val="center"/>
        </w:trPr>
        <w:tc>
          <w:tcPr>
            <w:tcW w:w="594" w:type="pct"/>
            <w:vMerge w:val="restart"/>
            <w:vAlign w:val="center"/>
          </w:tcPr>
          <w:p w14:paraId="517C625F" w14:textId="77777777" w:rsidR="00F87F95" w:rsidRPr="00691C10" w:rsidRDefault="00F87F95" w:rsidP="001313A6">
            <w:pPr>
              <w:pStyle w:val="TAC"/>
              <w:rPr>
                <w:rFonts w:cs="Arial"/>
              </w:rPr>
            </w:pPr>
            <w:r>
              <w:rPr>
                <w:rFonts w:cs="Arial"/>
              </w:rPr>
              <w:t>10.24 ≤ eDRX_IDLE cycle length ≤ 2621.44</w:t>
            </w:r>
            <w:r w:rsidRPr="00691C10">
              <w:rPr>
                <w:rFonts w:cs="Arial"/>
              </w:rPr>
              <w:t>4</w:t>
            </w:r>
          </w:p>
        </w:tc>
        <w:tc>
          <w:tcPr>
            <w:tcW w:w="281" w:type="pct"/>
          </w:tcPr>
          <w:p w14:paraId="2BD6BF43" w14:textId="77777777" w:rsidR="00F87F95" w:rsidRPr="00691C10" w:rsidRDefault="00F87F95" w:rsidP="001313A6">
            <w:pPr>
              <w:pStyle w:val="TAC"/>
              <w:rPr>
                <w:rFonts w:cs="Arial"/>
                <w:snapToGrid w:val="0"/>
              </w:rPr>
            </w:pPr>
            <w:r w:rsidRPr="00691C10">
              <w:rPr>
                <w:rFonts w:cs="Arial"/>
              </w:rPr>
              <w:t>0.32</w:t>
            </w:r>
          </w:p>
        </w:tc>
        <w:tc>
          <w:tcPr>
            <w:tcW w:w="362" w:type="pct"/>
          </w:tcPr>
          <w:p w14:paraId="687444A1" w14:textId="77777777" w:rsidR="00F87F95" w:rsidRPr="00691C10" w:rsidRDefault="00F87F95" w:rsidP="001313A6">
            <w:pPr>
              <w:pStyle w:val="TAC"/>
              <w:rPr>
                <w:rFonts w:cs="Arial"/>
              </w:rPr>
            </w:pPr>
            <w:r w:rsidRPr="00691C10">
              <w:rPr>
                <w:rFonts w:cs="Arial"/>
              </w:rPr>
              <w:t>≥1</w:t>
            </w:r>
            <w:r w:rsidRPr="00691C10">
              <w:rPr>
                <w:rFonts w:cs="Arial" w:hint="eastAsia"/>
                <w:lang w:eastAsia="zh-CN"/>
              </w:rPr>
              <w:t>.28 (1)</w:t>
            </w:r>
          </w:p>
        </w:tc>
        <w:tc>
          <w:tcPr>
            <w:tcW w:w="2420" w:type="pct"/>
            <w:vMerge w:val="restart"/>
            <w:tcMar>
              <w:left w:w="0" w:type="dxa"/>
              <w:right w:w="0" w:type="dxa"/>
            </w:tcMar>
          </w:tcPr>
          <w:p w14:paraId="4F79C5C7" w14:textId="77777777" w:rsidR="00F87F95" w:rsidRPr="00691C10" w:rsidRDefault="00F87F95" w:rsidP="001313A6">
            <w:pPr>
              <w:pStyle w:val="TOC1"/>
              <w:spacing w:before="0"/>
              <w:ind w:left="0" w:right="0" w:firstLine="0"/>
              <w:jc w:val="center"/>
              <w:rPr>
                <w:rFonts w:ascii="Arial" w:hAnsi="Arial" w:cs="Arial"/>
                <w:snapToGrid w:val="0"/>
                <w:sz w:val="18"/>
                <w:szCs w:val="18"/>
              </w:rPr>
            </w:pPr>
            <w:r w:rsidRPr="0082197E">
              <w:rPr>
                <w:rFonts w:cs="Arial"/>
                <w:lang w:eastAsia="zh-CN"/>
              </w:rPr>
              <w:t xml:space="preserve">K3 x </w:t>
            </w:r>
            <w:r w:rsidRPr="00691C10">
              <w:rPr>
                <w:rFonts w:ascii="Arial" w:hAnsi="Arial" w:cs="Arial"/>
                <w:position w:val="-32"/>
                <w:sz w:val="18"/>
                <w:szCs w:val="18"/>
              </w:rPr>
              <w:object w:dxaOrig="5460" w:dyaOrig="760" w14:anchorId="1613EDE6">
                <v:shape id="_x0000_i1027" type="#_x0000_t75" alt="" style="width:231.5pt;height:25.5pt;mso-width-percent:0;mso-height-percent:0;mso-width-percent:0;mso-height-percent:0" o:ole="">
                  <v:imagedata r:id="rId13" o:title=""/>
                </v:shape>
                <o:OLEObject Type="Embed" ProgID="Equation.3" ShapeID="_x0000_i1027" DrawAspect="Content" ObjectID="_1749665163" r:id="rId16"/>
              </w:object>
            </w:r>
            <w:r w:rsidRPr="00691C10">
              <w:rPr>
                <w:rFonts w:ascii="Arial" w:hAnsi="Arial" w:cs="Arial"/>
                <w:sz w:val="18"/>
                <w:szCs w:val="18"/>
              </w:rPr>
              <w:t xml:space="preserve"> (23</w:t>
            </w:r>
            <w:r>
              <w:rPr>
                <w:rFonts w:ascii="Arial" w:hAnsi="Arial" w:cs="Arial"/>
                <w:sz w:val="18"/>
                <w:szCs w:val="18"/>
              </w:rPr>
              <w:t xml:space="preserve"> x K3</w:t>
            </w:r>
            <w:r w:rsidRPr="00691C10">
              <w:rPr>
                <w:rFonts w:ascii="Arial" w:hAnsi="Arial" w:cs="Arial"/>
                <w:sz w:val="18"/>
                <w:szCs w:val="18"/>
              </w:rPr>
              <w:t>)</w:t>
            </w:r>
          </w:p>
        </w:tc>
        <w:tc>
          <w:tcPr>
            <w:tcW w:w="669" w:type="pct"/>
          </w:tcPr>
          <w:p w14:paraId="0DA555B6" w14:textId="77777777" w:rsidR="00F87F95" w:rsidRPr="00691C10" w:rsidRDefault="00F87F95" w:rsidP="001313A6">
            <w:pPr>
              <w:keepNext/>
              <w:keepLines/>
              <w:spacing w:after="0"/>
              <w:jc w:val="center"/>
              <w:rPr>
                <w:rFonts w:ascii="Arial" w:hAnsi="Arial" w:cs="Arial"/>
                <w:snapToGrid w:val="0"/>
                <w:sz w:val="18"/>
                <w:szCs w:val="18"/>
              </w:rPr>
            </w:pPr>
            <w:r w:rsidRPr="00691C10">
              <w:rPr>
                <w:rFonts w:ascii="Arial" w:hAnsi="Arial" w:cs="Arial"/>
                <w:snapToGrid w:val="0"/>
                <w:sz w:val="18"/>
                <w:szCs w:val="18"/>
              </w:rPr>
              <w:t>0.32</w:t>
            </w:r>
            <w:r>
              <w:rPr>
                <w:rFonts w:ascii="Arial" w:hAnsi="Arial" w:cs="Arial"/>
                <w:sz w:val="18"/>
                <w:szCs w:val="18"/>
              </w:rPr>
              <w:t xml:space="preserve"> x K3</w:t>
            </w:r>
            <w:r w:rsidRPr="00691C10">
              <w:rPr>
                <w:rFonts w:ascii="Arial" w:hAnsi="Arial" w:cs="Arial"/>
                <w:snapToGrid w:val="0"/>
                <w:sz w:val="18"/>
                <w:szCs w:val="18"/>
              </w:rPr>
              <w:t xml:space="preserve"> (1</w:t>
            </w:r>
            <w:r>
              <w:rPr>
                <w:rFonts w:ascii="Arial" w:hAnsi="Arial" w:cs="Arial"/>
                <w:sz w:val="18"/>
                <w:szCs w:val="18"/>
              </w:rPr>
              <w:t xml:space="preserve"> x K3</w:t>
            </w:r>
            <w:r w:rsidRPr="00691C10">
              <w:rPr>
                <w:rFonts w:ascii="Arial" w:hAnsi="Arial" w:cs="Arial"/>
                <w:snapToGrid w:val="0"/>
                <w:sz w:val="18"/>
                <w:szCs w:val="18"/>
              </w:rPr>
              <w:t>)</w:t>
            </w:r>
          </w:p>
        </w:tc>
        <w:tc>
          <w:tcPr>
            <w:tcW w:w="674" w:type="pct"/>
          </w:tcPr>
          <w:p w14:paraId="1AD5E89B" w14:textId="77777777" w:rsidR="00F87F95" w:rsidRPr="00691C10" w:rsidRDefault="00F87F95" w:rsidP="001313A6">
            <w:pPr>
              <w:pStyle w:val="TAC"/>
              <w:rPr>
                <w:rFonts w:cs="Arial"/>
                <w:snapToGrid w:val="0"/>
              </w:rPr>
            </w:pPr>
            <w:r w:rsidRPr="00691C10">
              <w:rPr>
                <w:rFonts w:cs="Arial"/>
                <w:snapToGrid w:val="0"/>
              </w:rPr>
              <w:t>0.64</w:t>
            </w:r>
            <w:r>
              <w:rPr>
                <w:rFonts w:cs="Arial"/>
                <w:szCs w:val="18"/>
              </w:rPr>
              <w:t xml:space="preserve"> x K3</w:t>
            </w:r>
            <w:r w:rsidRPr="00691C10">
              <w:rPr>
                <w:rFonts w:cs="Arial"/>
                <w:snapToGrid w:val="0"/>
              </w:rPr>
              <w:t xml:space="preserve"> (2</w:t>
            </w:r>
            <w:r>
              <w:rPr>
                <w:rFonts w:cs="Arial"/>
                <w:szCs w:val="18"/>
              </w:rPr>
              <w:t xml:space="preserve"> x K3</w:t>
            </w:r>
            <w:r w:rsidRPr="00691C10">
              <w:rPr>
                <w:rFonts w:cs="Arial"/>
                <w:snapToGrid w:val="0"/>
              </w:rPr>
              <w:t>)</w:t>
            </w:r>
          </w:p>
        </w:tc>
      </w:tr>
      <w:tr w:rsidR="00F87F95" w:rsidRPr="00691C10" w14:paraId="71AD5A36" w14:textId="77777777" w:rsidTr="001313A6">
        <w:trPr>
          <w:cantSplit/>
          <w:jc w:val="center"/>
        </w:trPr>
        <w:tc>
          <w:tcPr>
            <w:tcW w:w="594" w:type="pct"/>
            <w:vMerge/>
          </w:tcPr>
          <w:p w14:paraId="66F6BFC5" w14:textId="77777777" w:rsidR="00F87F95" w:rsidRPr="00691C10" w:rsidRDefault="00F87F95" w:rsidP="001313A6">
            <w:pPr>
              <w:pStyle w:val="TAC"/>
              <w:rPr>
                <w:rFonts w:cs="Arial"/>
              </w:rPr>
            </w:pPr>
          </w:p>
        </w:tc>
        <w:tc>
          <w:tcPr>
            <w:tcW w:w="281" w:type="pct"/>
          </w:tcPr>
          <w:p w14:paraId="2327D67D" w14:textId="77777777" w:rsidR="00F87F95" w:rsidRPr="00691C10" w:rsidRDefault="00F87F95" w:rsidP="001313A6">
            <w:pPr>
              <w:pStyle w:val="TAC"/>
              <w:rPr>
                <w:rFonts w:cs="Arial"/>
                <w:snapToGrid w:val="0"/>
              </w:rPr>
            </w:pPr>
            <w:r w:rsidRPr="00691C10">
              <w:rPr>
                <w:rFonts w:cs="Arial"/>
              </w:rPr>
              <w:t>0.64</w:t>
            </w:r>
          </w:p>
        </w:tc>
        <w:tc>
          <w:tcPr>
            <w:tcW w:w="362" w:type="pct"/>
          </w:tcPr>
          <w:p w14:paraId="4A5C3ECB" w14:textId="77777777" w:rsidR="00F87F95" w:rsidRPr="00691C10" w:rsidRDefault="00F87F95" w:rsidP="001313A6">
            <w:pPr>
              <w:pStyle w:val="TAC"/>
              <w:rPr>
                <w:rFonts w:cs="Arial"/>
              </w:rPr>
            </w:pPr>
            <w:r w:rsidRPr="00691C10">
              <w:rPr>
                <w:rFonts w:cs="Arial"/>
                <w:lang w:eastAsia="ja-JP"/>
              </w:rPr>
              <w:t>≥</w:t>
            </w:r>
            <w:r w:rsidRPr="00691C10">
              <w:rPr>
                <w:rFonts w:cs="Arial" w:hint="eastAsia"/>
                <w:lang w:eastAsia="zh-CN"/>
              </w:rPr>
              <w:t>1.</w:t>
            </w:r>
            <w:r w:rsidRPr="00691C10">
              <w:rPr>
                <w:rFonts w:cs="Arial"/>
                <w:lang w:eastAsia="ja-JP"/>
              </w:rPr>
              <w:t>2</w:t>
            </w:r>
            <w:r w:rsidRPr="00691C10">
              <w:rPr>
                <w:rFonts w:cs="Arial" w:hint="eastAsia"/>
                <w:lang w:eastAsia="zh-CN"/>
              </w:rPr>
              <w:t>8 (1)</w:t>
            </w:r>
          </w:p>
        </w:tc>
        <w:tc>
          <w:tcPr>
            <w:tcW w:w="2420" w:type="pct"/>
            <w:vMerge/>
          </w:tcPr>
          <w:p w14:paraId="4FE1D33A" w14:textId="77777777" w:rsidR="00F87F95" w:rsidRPr="00691C10" w:rsidRDefault="00F87F95" w:rsidP="001313A6">
            <w:pPr>
              <w:pStyle w:val="TOC1"/>
              <w:spacing w:before="0"/>
              <w:ind w:left="0" w:right="0"/>
              <w:jc w:val="center"/>
              <w:rPr>
                <w:rFonts w:ascii="Arial" w:hAnsi="Arial" w:cs="Arial"/>
                <w:snapToGrid w:val="0"/>
                <w:sz w:val="18"/>
                <w:szCs w:val="18"/>
              </w:rPr>
            </w:pPr>
          </w:p>
        </w:tc>
        <w:tc>
          <w:tcPr>
            <w:tcW w:w="669" w:type="pct"/>
          </w:tcPr>
          <w:p w14:paraId="25713DFA" w14:textId="77777777" w:rsidR="00F87F95" w:rsidRPr="00691C10" w:rsidRDefault="00F87F95" w:rsidP="001313A6">
            <w:pPr>
              <w:keepNext/>
              <w:keepLines/>
              <w:spacing w:after="0"/>
              <w:jc w:val="center"/>
              <w:rPr>
                <w:rFonts w:ascii="Arial" w:hAnsi="Arial" w:cs="Arial"/>
                <w:snapToGrid w:val="0"/>
                <w:sz w:val="18"/>
                <w:szCs w:val="18"/>
              </w:rPr>
            </w:pPr>
            <w:r w:rsidRPr="00691C10">
              <w:rPr>
                <w:rFonts w:ascii="Arial" w:hAnsi="Arial" w:cs="Arial"/>
                <w:snapToGrid w:val="0"/>
                <w:sz w:val="18"/>
                <w:szCs w:val="18"/>
              </w:rPr>
              <w:t>0.64</w:t>
            </w:r>
            <w:r>
              <w:rPr>
                <w:rFonts w:ascii="Arial" w:hAnsi="Arial" w:cs="Arial"/>
                <w:sz w:val="18"/>
                <w:szCs w:val="18"/>
              </w:rPr>
              <w:t xml:space="preserve"> x K3</w:t>
            </w:r>
            <w:r w:rsidRPr="00691C10">
              <w:rPr>
                <w:rFonts w:ascii="Arial" w:hAnsi="Arial" w:cs="Arial"/>
                <w:snapToGrid w:val="0"/>
                <w:sz w:val="18"/>
                <w:szCs w:val="18"/>
              </w:rPr>
              <w:t xml:space="preserve"> (1</w:t>
            </w:r>
            <w:r>
              <w:rPr>
                <w:rFonts w:ascii="Arial" w:hAnsi="Arial" w:cs="Arial"/>
                <w:sz w:val="18"/>
                <w:szCs w:val="18"/>
              </w:rPr>
              <w:t xml:space="preserve"> x K3</w:t>
            </w:r>
            <w:r w:rsidRPr="00691C10">
              <w:rPr>
                <w:rFonts w:ascii="Arial" w:hAnsi="Arial" w:cs="Arial"/>
                <w:snapToGrid w:val="0"/>
                <w:sz w:val="18"/>
                <w:szCs w:val="18"/>
              </w:rPr>
              <w:t>)</w:t>
            </w:r>
          </w:p>
        </w:tc>
        <w:tc>
          <w:tcPr>
            <w:tcW w:w="674" w:type="pct"/>
          </w:tcPr>
          <w:p w14:paraId="04635480" w14:textId="77777777" w:rsidR="00F87F95" w:rsidRPr="00691C10" w:rsidRDefault="00F87F95" w:rsidP="001313A6">
            <w:pPr>
              <w:pStyle w:val="TAC"/>
              <w:rPr>
                <w:rFonts w:cs="Arial"/>
                <w:snapToGrid w:val="0"/>
              </w:rPr>
            </w:pPr>
            <w:r w:rsidRPr="00691C10">
              <w:rPr>
                <w:rFonts w:cs="Arial"/>
                <w:snapToGrid w:val="0"/>
              </w:rPr>
              <w:t>1.28</w:t>
            </w:r>
            <w:r>
              <w:rPr>
                <w:rFonts w:cs="Arial"/>
                <w:szCs w:val="18"/>
              </w:rPr>
              <w:t xml:space="preserve"> x K3</w:t>
            </w:r>
            <w:r w:rsidRPr="00691C10">
              <w:rPr>
                <w:rFonts w:cs="Arial"/>
                <w:snapToGrid w:val="0"/>
              </w:rPr>
              <w:t xml:space="preserve"> (2</w:t>
            </w:r>
            <w:r>
              <w:rPr>
                <w:rFonts w:cs="Arial"/>
                <w:szCs w:val="18"/>
              </w:rPr>
              <w:t xml:space="preserve"> x K3</w:t>
            </w:r>
            <w:r w:rsidRPr="00691C10">
              <w:rPr>
                <w:rFonts w:cs="Arial"/>
                <w:snapToGrid w:val="0"/>
              </w:rPr>
              <w:t>)</w:t>
            </w:r>
          </w:p>
        </w:tc>
      </w:tr>
      <w:tr w:rsidR="00F87F95" w:rsidRPr="00691C10" w14:paraId="766AE6E4" w14:textId="77777777" w:rsidTr="001313A6">
        <w:trPr>
          <w:cantSplit/>
          <w:jc w:val="center"/>
        </w:trPr>
        <w:tc>
          <w:tcPr>
            <w:tcW w:w="594" w:type="pct"/>
            <w:vMerge/>
          </w:tcPr>
          <w:p w14:paraId="226AADCC" w14:textId="77777777" w:rsidR="00F87F95" w:rsidRPr="00691C10" w:rsidRDefault="00F87F95" w:rsidP="001313A6">
            <w:pPr>
              <w:pStyle w:val="TAC"/>
              <w:rPr>
                <w:rFonts w:cs="Arial"/>
              </w:rPr>
            </w:pPr>
          </w:p>
        </w:tc>
        <w:tc>
          <w:tcPr>
            <w:tcW w:w="281" w:type="pct"/>
          </w:tcPr>
          <w:p w14:paraId="719A3F67" w14:textId="77777777" w:rsidR="00F87F95" w:rsidRPr="00691C10" w:rsidRDefault="00F87F95" w:rsidP="001313A6">
            <w:pPr>
              <w:pStyle w:val="TAC"/>
              <w:rPr>
                <w:rFonts w:cs="Arial"/>
                <w:snapToGrid w:val="0"/>
              </w:rPr>
            </w:pPr>
            <w:r w:rsidRPr="00691C10">
              <w:rPr>
                <w:rFonts w:cs="Arial"/>
              </w:rPr>
              <w:t>1.28</w:t>
            </w:r>
          </w:p>
        </w:tc>
        <w:tc>
          <w:tcPr>
            <w:tcW w:w="362" w:type="pct"/>
          </w:tcPr>
          <w:p w14:paraId="457F3985" w14:textId="77777777" w:rsidR="00F87F95" w:rsidRPr="00691C10" w:rsidRDefault="00F87F95" w:rsidP="001313A6">
            <w:pPr>
              <w:pStyle w:val="TAC"/>
              <w:rPr>
                <w:rFonts w:cs="Arial"/>
              </w:rPr>
            </w:pPr>
            <w:r w:rsidRPr="00691C10">
              <w:rPr>
                <w:rFonts w:cs="Arial"/>
                <w:lang w:eastAsia="ja-JP"/>
              </w:rPr>
              <w:t>≥</w:t>
            </w:r>
            <w:r w:rsidRPr="00691C10">
              <w:rPr>
                <w:rFonts w:cs="Arial" w:hint="eastAsia"/>
                <w:lang w:eastAsia="zh-CN"/>
              </w:rPr>
              <w:t>2.56 (2)</w:t>
            </w:r>
          </w:p>
        </w:tc>
        <w:tc>
          <w:tcPr>
            <w:tcW w:w="2420" w:type="pct"/>
            <w:vMerge/>
          </w:tcPr>
          <w:p w14:paraId="3CCE7AC2" w14:textId="77777777" w:rsidR="00F87F95" w:rsidRPr="00691C10" w:rsidRDefault="00F87F95" w:rsidP="001313A6">
            <w:pPr>
              <w:pStyle w:val="TOC1"/>
              <w:spacing w:before="0"/>
              <w:ind w:left="0" w:right="0"/>
              <w:jc w:val="center"/>
              <w:rPr>
                <w:rFonts w:ascii="Arial" w:hAnsi="Arial" w:cs="Arial"/>
                <w:snapToGrid w:val="0"/>
                <w:sz w:val="18"/>
                <w:szCs w:val="18"/>
              </w:rPr>
            </w:pPr>
          </w:p>
        </w:tc>
        <w:tc>
          <w:tcPr>
            <w:tcW w:w="669" w:type="pct"/>
          </w:tcPr>
          <w:p w14:paraId="58483D57" w14:textId="77777777" w:rsidR="00F87F95" w:rsidRPr="00691C10" w:rsidRDefault="00F87F95" w:rsidP="001313A6">
            <w:pPr>
              <w:pStyle w:val="TAC"/>
              <w:rPr>
                <w:rFonts w:cs="Arial"/>
                <w:snapToGrid w:val="0"/>
              </w:rPr>
            </w:pPr>
            <w:r w:rsidRPr="00691C10">
              <w:rPr>
                <w:rFonts w:cs="Arial"/>
                <w:snapToGrid w:val="0"/>
              </w:rPr>
              <w:t>1.28</w:t>
            </w:r>
            <w:r>
              <w:rPr>
                <w:rFonts w:cs="Arial"/>
                <w:szCs w:val="18"/>
              </w:rPr>
              <w:t xml:space="preserve"> x K3</w:t>
            </w:r>
            <w:r w:rsidRPr="00691C10">
              <w:rPr>
                <w:rFonts w:cs="Arial"/>
                <w:snapToGrid w:val="0"/>
              </w:rPr>
              <w:t xml:space="preserve"> (1</w:t>
            </w:r>
            <w:r>
              <w:rPr>
                <w:rFonts w:cs="Arial"/>
                <w:szCs w:val="18"/>
              </w:rPr>
              <w:t xml:space="preserve"> x K3</w:t>
            </w:r>
            <w:r w:rsidRPr="00691C10">
              <w:rPr>
                <w:rFonts w:cs="Arial"/>
                <w:snapToGrid w:val="0"/>
              </w:rPr>
              <w:t>)</w:t>
            </w:r>
          </w:p>
        </w:tc>
        <w:tc>
          <w:tcPr>
            <w:tcW w:w="674" w:type="pct"/>
          </w:tcPr>
          <w:p w14:paraId="66661CC7" w14:textId="77777777" w:rsidR="00F87F95" w:rsidRPr="00691C10" w:rsidRDefault="00F87F95" w:rsidP="001313A6">
            <w:pPr>
              <w:pStyle w:val="TAC"/>
              <w:rPr>
                <w:rFonts w:cs="Arial"/>
                <w:snapToGrid w:val="0"/>
              </w:rPr>
            </w:pPr>
            <w:r w:rsidRPr="00691C10">
              <w:rPr>
                <w:rFonts w:cs="Arial"/>
                <w:snapToGrid w:val="0"/>
              </w:rPr>
              <w:t>2.56</w:t>
            </w:r>
            <w:r>
              <w:rPr>
                <w:rFonts w:cs="Arial"/>
                <w:szCs w:val="18"/>
              </w:rPr>
              <w:t xml:space="preserve"> x K3</w:t>
            </w:r>
            <w:r w:rsidRPr="00691C10">
              <w:rPr>
                <w:rFonts w:cs="Arial"/>
                <w:snapToGrid w:val="0"/>
              </w:rPr>
              <w:t xml:space="preserve"> (2</w:t>
            </w:r>
            <w:r>
              <w:rPr>
                <w:rFonts w:cs="Arial"/>
                <w:szCs w:val="18"/>
              </w:rPr>
              <w:t xml:space="preserve"> x K3</w:t>
            </w:r>
            <w:r w:rsidRPr="00691C10">
              <w:rPr>
                <w:rFonts w:cs="Arial"/>
                <w:snapToGrid w:val="0"/>
              </w:rPr>
              <w:t>)</w:t>
            </w:r>
          </w:p>
        </w:tc>
      </w:tr>
      <w:tr w:rsidR="00F87F95" w:rsidRPr="00691C10" w14:paraId="21C9E287" w14:textId="77777777" w:rsidTr="001313A6">
        <w:trPr>
          <w:cantSplit/>
          <w:jc w:val="center"/>
        </w:trPr>
        <w:tc>
          <w:tcPr>
            <w:tcW w:w="594" w:type="pct"/>
            <w:vMerge/>
          </w:tcPr>
          <w:p w14:paraId="7E28A88B" w14:textId="77777777" w:rsidR="00F87F95" w:rsidRPr="00691C10" w:rsidRDefault="00F87F95" w:rsidP="001313A6">
            <w:pPr>
              <w:pStyle w:val="TAC"/>
              <w:rPr>
                <w:rFonts w:cs="Arial"/>
              </w:rPr>
            </w:pPr>
          </w:p>
        </w:tc>
        <w:tc>
          <w:tcPr>
            <w:tcW w:w="281" w:type="pct"/>
          </w:tcPr>
          <w:p w14:paraId="78D6D61A" w14:textId="77777777" w:rsidR="00F87F95" w:rsidRPr="00691C10" w:rsidRDefault="00F87F95" w:rsidP="001313A6">
            <w:pPr>
              <w:pStyle w:val="TAC"/>
              <w:rPr>
                <w:rFonts w:cs="Arial"/>
                <w:snapToGrid w:val="0"/>
              </w:rPr>
            </w:pPr>
            <w:r w:rsidRPr="00691C10">
              <w:rPr>
                <w:rFonts w:cs="Arial"/>
              </w:rPr>
              <w:t>2.56</w:t>
            </w:r>
          </w:p>
        </w:tc>
        <w:tc>
          <w:tcPr>
            <w:tcW w:w="362" w:type="pct"/>
          </w:tcPr>
          <w:p w14:paraId="64E09C27" w14:textId="77777777" w:rsidR="00F87F95" w:rsidRPr="00691C10" w:rsidRDefault="00F87F95" w:rsidP="001313A6">
            <w:pPr>
              <w:pStyle w:val="TAC"/>
              <w:rPr>
                <w:rFonts w:cs="Arial"/>
              </w:rPr>
            </w:pPr>
            <w:r w:rsidRPr="00691C10">
              <w:rPr>
                <w:rFonts w:cs="Arial"/>
                <w:lang w:eastAsia="ja-JP"/>
              </w:rPr>
              <w:t>≥</w:t>
            </w:r>
            <w:r w:rsidRPr="00691C10">
              <w:rPr>
                <w:rFonts w:cs="Arial" w:hint="eastAsia"/>
                <w:lang w:eastAsia="zh-CN"/>
              </w:rPr>
              <w:t>5.12 (4)</w:t>
            </w:r>
          </w:p>
        </w:tc>
        <w:tc>
          <w:tcPr>
            <w:tcW w:w="2420" w:type="pct"/>
            <w:vMerge/>
          </w:tcPr>
          <w:p w14:paraId="17D375FD" w14:textId="77777777" w:rsidR="00F87F95" w:rsidRPr="00691C10" w:rsidRDefault="00F87F95" w:rsidP="001313A6">
            <w:pPr>
              <w:pStyle w:val="TOC1"/>
              <w:widowControl/>
              <w:tabs>
                <w:tab w:val="clear" w:pos="9639"/>
              </w:tabs>
              <w:spacing w:before="0"/>
              <w:ind w:left="0" w:right="0" w:firstLine="0"/>
              <w:jc w:val="center"/>
              <w:rPr>
                <w:rFonts w:ascii="Arial" w:hAnsi="Arial" w:cs="Arial"/>
                <w:snapToGrid w:val="0"/>
                <w:sz w:val="18"/>
                <w:szCs w:val="18"/>
              </w:rPr>
            </w:pPr>
          </w:p>
        </w:tc>
        <w:tc>
          <w:tcPr>
            <w:tcW w:w="669" w:type="pct"/>
          </w:tcPr>
          <w:p w14:paraId="26621B04" w14:textId="77777777" w:rsidR="00F87F95" w:rsidRPr="00691C10" w:rsidRDefault="00F87F95" w:rsidP="001313A6">
            <w:pPr>
              <w:pStyle w:val="TAC"/>
              <w:rPr>
                <w:rFonts w:cs="Arial"/>
                <w:snapToGrid w:val="0"/>
              </w:rPr>
            </w:pPr>
            <w:r w:rsidRPr="00691C10">
              <w:rPr>
                <w:rFonts w:cs="Arial"/>
                <w:snapToGrid w:val="0"/>
              </w:rPr>
              <w:t>2.56</w:t>
            </w:r>
            <w:r>
              <w:rPr>
                <w:rFonts w:cs="Arial"/>
                <w:szCs w:val="18"/>
              </w:rPr>
              <w:t xml:space="preserve"> x K3</w:t>
            </w:r>
            <w:r w:rsidRPr="00691C10">
              <w:rPr>
                <w:rFonts w:cs="Arial"/>
                <w:snapToGrid w:val="0"/>
              </w:rPr>
              <w:t xml:space="preserve"> (1</w:t>
            </w:r>
            <w:r>
              <w:rPr>
                <w:rFonts w:cs="Arial"/>
                <w:szCs w:val="18"/>
              </w:rPr>
              <w:t xml:space="preserve"> x K3</w:t>
            </w:r>
            <w:r w:rsidRPr="00691C10">
              <w:rPr>
                <w:rFonts w:cs="Arial"/>
                <w:snapToGrid w:val="0"/>
              </w:rPr>
              <w:t>)</w:t>
            </w:r>
          </w:p>
        </w:tc>
        <w:tc>
          <w:tcPr>
            <w:tcW w:w="674" w:type="pct"/>
          </w:tcPr>
          <w:p w14:paraId="1CB33375" w14:textId="77777777" w:rsidR="00F87F95" w:rsidRPr="00691C10" w:rsidRDefault="00F87F95" w:rsidP="001313A6">
            <w:pPr>
              <w:pStyle w:val="TAC"/>
              <w:rPr>
                <w:rFonts w:cs="Arial"/>
                <w:snapToGrid w:val="0"/>
              </w:rPr>
            </w:pPr>
            <w:r w:rsidRPr="00691C10">
              <w:rPr>
                <w:rFonts w:cs="Arial"/>
              </w:rPr>
              <w:t>5.12</w:t>
            </w:r>
            <w:r>
              <w:rPr>
                <w:rFonts w:cs="Arial"/>
                <w:szCs w:val="18"/>
              </w:rPr>
              <w:t xml:space="preserve"> x K3</w:t>
            </w:r>
            <w:r w:rsidRPr="00691C10">
              <w:rPr>
                <w:rFonts w:cs="Arial"/>
              </w:rPr>
              <w:t xml:space="preserve"> (2</w:t>
            </w:r>
            <w:r>
              <w:rPr>
                <w:rFonts w:cs="Arial"/>
                <w:szCs w:val="18"/>
              </w:rPr>
              <w:t xml:space="preserve"> x K3</w:t>
            </w:r>
            <w:r w:rsidRPr="00691C10">
              <w:rPr>
                <w:rFonts w:cs="Arial"/>
              </w:rPr>
              <w:t>)</w:t>
            </w:r>
          </w:p>
        </w:tc>
      </w:tr>
      <w:tr w:rsidR="00F87F95" w:rsidRPr="00691C10" w14:paraId="221BD2FD" w14:textId="77777777" w:rsidTr="001313A6">
        <w:trPr>
          <w:cantSplit/>
          <w:jc w:val="center"/>
        </w:trPr>
        <w:tc>
          <w:tcPr>
            <w:tcW w:w="5000" w:type="pct"/>
            <w:gridSpan w:val="6"/>
          </w:tcPr>
          <w:p w14:paraId="59041268" w14:textId="77777777" w:rsidR="00F87F95" w:rsidRPr="00691C10" w:rsidRDefault="00F87F95" w:rsidP="00F605E7">
            <w:pPr>
              <w:pStyle w:val="TAN"/>
            </w:pPr>
            <w:r w:rsidRPr="00691C10">
              <w:t>NOTE 1: The number of DRX cycles in this table is given for the DRX cycles within PTWs.</w:t>
            </w:r>
          </w:p>
          <w:p w14:paraId="0C4316EC" w14:textId="77777777" w:rsidR="00F87F95" w:rsidRDefault="00F87F95" w:rsidP="00F605E7">
            <w:pPr>
              <w:pStyle w:val="TAN"/>
            </w:pPr>
            <w:r w:rsidRPr="00691C10">
              <w:t>NOTE 2: The eDRX_IDLE cycle lengths are as specified in Section 10.5.5.32 of TS 24.008 [34].</w:t>
            </w:r>
          </w:p>
          <w:p w14:paraId="6C530F96" w14:textId="77777777" w:rsidR="00836029" w:rsidRDefault="00836029" w:rsidP="00836029">
            <w:pPr>
              <w:pStyle w:val="TAN"/>
            </w:pPr>
            <w:r>
              <w:t>NOTE 3: Number of eDRX cycles when eDRX_IDLE cycle length equals 5.12s, number of DRX cycles otherwise.</w:t>
            </w:r>
          </w:p>
          <w:p w14:paraId="308A4CC1" w14:textId="4989EE12" w:rsidR="00F87F95" w:rsidRDefault="00836029" w:rsidP="00836029">
            <w:pPr>
              <w:pStyle w:val="TAN"/>
              <w:rPr>
                <w:iCs/>
                <w:szCs w:val="18"/>
              </w:rPr>
            </w:pPr>
            <w:r w:rsidRPr="007D1E39">
              <w:rPr>
                <w:snapToGrid w:val="0"/>
                <w:szCs w:val="18"/>
                <w:lang w:eastAsia="zh-CN"/>
              </w:rPr>
              <w:t xml:space="preserve">NOTE </w:t>
            </w:r>
            <w:r>
              <w:rPr>
                <w:szCs w:val="18"/>
              </w:rPr>
              <w:t>4</w:t>
            </w:r>
            <w:r w:rsidRPr="007D1E39">
              <w:rPr>
                <w:szCs w:val="18"/>
              </w:rPr>
              <w:t>:</w:t>
            </w:r>
            <w:r w:rsidRPr="007D1E39">
              <w:rPr>
                <w:szCs w:val="18"/>
                <w:lang w:val="en-US"/>
              </w:rPr>
              <w:t xml:space="preserve"> </w:t>
            </w:r>
            <w:r w:rsidRPr="007D1E39">
              <w:rPr>
                <w:szCs w:val="18"/>
              </w:rPr>
              <w:t xml:space="preserve">The lower bound of </w:t>
            </w:r>
            <w:r w:rsidRPr="007D1E39">
              <w:rPr>
                <w:iCs/>
                <w:color w:val="000000" w:themeColor="text1"/>
                <w:szCs w:val="18"/>
              </w:rPr>
              <w:t xml:space="preserve">PTW length is derived based on </w:t>
            </w:r>
            <m:oMath>
              <m:d>
                <m:dPr>
                  <m:begChr m:val="⌈"/>
                  <m:endChr m:val="⌉"/>
                  <m:ctrlPr>
                    <w:rPr>
                      <w:rFonts w:ascii="Cambria Math" w:hAnsi="Cambria Math"/>
                      <w:iCs/>
                      <w:szCs w:val="18"/>
                    </w:rPr>
                  </m:ctrlPr>
                </m:dPr>
                <m:e>
                  <m:f>
                    <m:fPr>
                      <m:ctrlPr>
                        <w:rPr>
                          <w:rFonts w:ascii="Cambria Math" w:hAnsi="Cambria Math"/>
                          <w:iCs/>
                          <w:szCs w:val="18"/>
                        </w:rPr>
                      </m:ctrlPr>
                    </m:fPr>
                    <m:num>
                      <m:r>
                        <m:rPr>
                          <m:sty m:val="p"/>
                        </m:rPr>
                        <w:rPr>
                          <w:rFonts w:ascii="Cambria Math" w:hAnsi="Cambria Math"/>
                          <w:szCs w:val="16"/>
                          <w:lang w:val="en-US"/>
                        </w:rPr>
                        <m:t>T</m:t>
                      </m:r>
                      <m:r>
                        <m:rPr>
                          <m:sty m:val="p"/>
                        </m:rPr>
                        <w:rPr>
                          <w:rFonts w:ascii="Cambria Math" w:hAnsi="Cambria Math"/>
                          <w:szCs w:val="16"/>
                          <w:vertAlign w:val="subscript"/>
                          <w:lang w:val="en-US"/>
                        </w:rPr>
                        <m:t>evaluate,E-UTRAN_RedCap_Relax</m:t>
                      </m:r>
                      <m:r>
                        <m:rPr>
                          <m:sty m:val="p"/>
                        </m:rPr>
                        <w:rPr>
                          <w:rFonts w:ascii="Cambria Math" w:hAnsi="Cambria Math"/>
                          <w:szCs w:val="18"/>
                        </w:rPr>
                        <m:t>*DRX_cycle</m:t>
                      </m:r>
                    </m:num>
                    <m:den>
                      <m:r>
                        <m:rPr>
                          <m:sty m:val="p"/>
                        </m:rPr>
                        <w:rPr>
                          <w:rFonts w:ascii="Cambria Math" w:hAnsi="Cambria Math"/>
                          <w:szCs w:val="18"/>
                        </w:rPr>
                        <m:t>1.28</m:t>
                      </m:r>
                    </m:den>
                  </m:f>
                </m:e>
              </m:d>
              <m:r>
                <m:rPr>
                  <m:sty m:val="p"/>
                </m:rPr>
                <w:rPr>
                  <w:rFonts w:ascii="Cambria Math" w:hAnsi="Cambria Math"/>
                  <w:szCs w:val="18"/>
                </w:rPr>
                <m:t>*1.28</m:t>
              </m:r>
            </m:oMath>
            <w:r w:rsidRPr="007D1E39">
              <w:rPr>
                <w:iCs/>
                <w:szCs w:val="18"/>
              </w:rPr>
              <w:t>.</w:t>
            </w:r>
          </w:p>
          <w:p w14:paraId="2EE1A8F7" w14:textId="7BD665CA" w:rsidR="00AB0056" w:rsidRPr="00691C10" w:rsidRDefault="00AB0056" w:rsidP="00F605E7">
            <w:pPr>
              <w:pStyle w:val="TAN"/>
            </w:pPr>
            <w:r w:rsidRPr="007D1E39">
              <w:rPr>
                <w:snapToGrid w:val="0"/>
                <w:szCs w:val="18"/>
                <w:lang w:eastAsia="zh-CN"/>
              </w:rPr>
              <w:t xml:space="preserve">NOTE </w:t>
            </w:r>
            <w:r>
              <w:rPr>
                <w:szCs w:val="18"/>
              </w:rPr>
              <w:t>5</w:t>
            </w:r>
            <w:r w:rsidRPr="00806346">
              <w:rPr>
                <w:snapToGrid w:val="0"/>
                <w:lang w:eastAsia="zh-CN"/>
              </w:rPr>
              <w:t>:</w:t>
            </w:r>
            <w:r w:rsidRPr="00806346">
              <w:rPr>
                <w:lang w:val="en-US"/>
              </w:rPr>
              <w:tab/>
            </w:r>
            <w:r w:rsidRPr="00806346">
              <w:rPr>
                <w:snapToGrid w:val="0"/>
                <w:lang w:eastAsia="zh-CN"/>
              </w:rPr>
              <w:t xml:space="preserve">K3 = 6 is the measurement relaxation factor applicable for UE fulfilling the </w:t>
            </w:r>
            <w:r w:rsidRPr="00806346">
              <w:rPr>
                <w:i/>
                <w:noProof/>
              </w:rPr>
              <w:t xml:space="preserve">stationaryMobilityEvaluation </w:t>
            </w:r>
            <w:r w:rsidRPr="00806346">
              <w:rPr>
                <w:lang w:eastAsia="zh-CN"/>
              </w:rPr>
              <w:t>[2]</w:t>
            </w:r>
            <w:r w:rsidRPr="00806346">
              <w:rPr>
                <w:snapToGrid w:val="0"/>
                <w:lang w:eastAsia="zh-CN"/>
              </w:rPr>
              <w:t xml:space="preserve"> criterion.</w:t>
            </w:r>
          </w:p>
        </w:tc>
      </w:tr>
    </w:tbl>
    <w:p w14:paraId="207A03C9" w14:textId="77777777" w:rsidR="00F87F95" w:rsidRPr="008C6DE4" w:rsidRDefault="00F87F95" w:rsidP="00F605E7"/>
    <w:p w14:paraId="03F001A0" w14:textId="77777777" w:rsidR="00F87F95" w:rsidRPr="00BE54BE" w:rsidRDefault="00F87F95" w:rsidP="00F87F95">
      <w:pPr>
        <w:pStyle w:val="Heading5"/>
        <w:rPr>
          <w:lang w:val="en-US" w:eastAsia="zh-CN"/>
        </w:rPr>
      </w:pPr>
      <w:r w:rsidRPr="00BE54BE">
        <w:rPr>
          <w:lang w:val="en-US" w:eastAsia="zh-CN"/>
        </w:rPr>
        <w:t>4.2B.2.11.3</w:t>
      </w:r>
      <w:r w:rsidRPr="00BE54BE">
        <w:rPr>
          <w:lang w:val="en-US" w:eastAsia="zh-CN"/>
        </w:rPr>
        <w:tab/>
        <w:t>Measurements for a UE fulfilling stationary not at cell edge criterion</w:t>
      </w:r>
    </w:p>
    <w:p w14:paraId="297B152B" w14:textId="77777777" w:rsidR="00F87F95" w:rsidRPr="00BE54BE" w:rsidRDefault="00F87F95" w:rsidP="00F87F95">
      <w:pPr>
        <w:rPr>
          <w:lang w:eastAsia="zh-CN"/>
        </w:rPr>
      </w:pPr>
      <w:r w:rsidRPr="00BE54BE">
        <w:rPr>
          <w:lang w:val="en-US" w:eastAsia="zh-CN"/>
        </w:rPr>
        <w:t xml:space="preserve">This clause contains requirements </w:t>
      </w:r>
      <w:r w:rsidRPr="00BE54BE">
        <w:rPr>
          <w:lang w:eastAsia="zh-CN"/>
        </w:rPr>
        <w:t xml:space="preserve">for measurements on </w:t>
      </w:r>
      <w:r>
        <w:rPr>
          <w:lang w:eastAsia="zh-CN"/>
        </w:rPr>
        <w:t>inter-RAT E-UTRAN</w:t>
      </w:r>
      <w:r w:rsidRPr="00BE54BE">
        <w:rPr>
          <w:lang w:eastAsia="zh-CN"/>
        </w:rPr>
        <w:t xml:space="preserve"> cells provided that:</w:t>
      </w:r>
    </w:p>
    <w:p w14:paraId="71E7D561" w14:textId="77777777" w:rsidR="00F87F95" w:rsidRPr="00BE54BE" w:rsidRDefault="00F87F95" w:rsidP="00F87F95">
      <w:pPr>
        <w:pStyle w:val="B10"/>
        <w:rPr>
          <w:lang w:eastAsia="zh-CN"/>
        </w:rPr>
      </w:pPr>
      <w:r w:rsidRPr="00BE54BE">
        <w:rPr>
          <w:noProof/>
        </w:rPr>
        <w:t>-</w:t>
      </w:r>
      <w:r w:rsidRPr="00BE54BE">
        <w:rPr>
          <w:noProof/>
        </w:rPr>
        <w:tab/>
      </w:r>
      <w:r w:rsidRPr="00BE54BE">
        <w:rPr>
          <w:lang w:eastAsia="zh-CN"/>
        </w:rPr>
        <w:t xml:space="preserve">UE is configured with both </w:t>
      </w:r>
      <w:r w:rsidRPr="00BE54BE">
        <w:rPr>
          <w:i/>
          <w:iCs/>
        </w:rPr>
        <w:t>stationaryMobilityEvaluation</w:t>
      </w:r>
      <w:r w:rsidRPr="00BE54BE" w:rsidDel="004B26EA">
        <w:rPr>
          <w:i/>
          <w:iCs/>
          <w:lang w:eastAsia="zh-CN"/>
        </w:rPr>
        <w:t xml:space="preserve"> </w:t>
      </w:r>
      <w:r w:rsidRPr="00BE54BE">
        <w:rPr>
          <w:lang w:eastAsia="zh-CN"/>
        </w:rPr>
        <w:t xml:space="preserve">[2] criterion and </w:t>
      </w:r>
      <w:r w:rsidRPr="00BE54BE">
        <w:rPr>
          <w:i/>
          <w:noProof/>
        </w:rPr>
        <w:t xml:space="preserve">cellEdgeEvaluationWhileStationary </w:t>
      </w:r>
      <w:r w:rsidRPr="00BE54BE">
        <w:rPr>
          <w:lang w:eastAsia="zh-CN"/>
        </w:rPr>
        <w:t xml:space="preserve">[2] criterion, and </w:t>
      </w:r>
    </w:p>
    <w:p w14:paraId="65F1E45F" w14:textId="77777777" w:rsidR="00F87F95" w:rsidRPr="00BE54BE" w:rsidRDefault="00F87F95" w:rsidP="00F87F95">
      <w:pPr>
        <w:pStyle w:val="B10"/>
        <w:rPr>
          <w:lang w:eastAsia="zh-CN"/>
        </w:rPr>
      </w:pPr>
      <w:r w:rsidRPr="00BE54BE">
        <w:rPr>
          <w:noProof/>
        </w:rPr>
        <w:t>-</w:t>
      </w:r>
      <w:r w:rsidRPr="00BE54BE">
        <w:rPr>
          <w:noProof/>
        </w:rPr>
        <w:tab/>
      </w:r>
      <w:r w:rsidRPr="00BE54BE">
        <w:rPr>
          <w:lang w:eastAsia="zh-CN"/>
        </w:rPr>
        <w:t>has also fulfilled both criteria, and</w:t>
      </w:r>
    </w:p>
    <w:p w14:paraId="0BD2ED5A" w14:textId="77777777" w:rsidR="00F87F95" w:rsidRPr="00BE54BE" w:rsidRDefault="00F87F95" w:rsidP="00F87F95">
      <w:pPr>
        <w:pStyle w:val="B10"/>
        <w:rPr>
          <w:lang w:eastAsia="zh-CN"/>
        </w:rPr>
      </w:pPr>
      <w:r w:rsidRPr="00BE54BE">
        <w:rPr>
          <w:lang w:eastAsia="zh-CN"/>
        </w:rPr>
        <w:t>-</w:t>
      </w:r>
      <w:r w:rsidRPr="00BE54BE">
        <w:rPr>
          <w:lang w:eastAsia="zh-CN"/>
        </w:rPr>
        <w:tab/>
        <w:t xml:space="preserve">less than </w:t>
      </w:r>
      <w:r>
        <w:rPr>
          <w:lang w:eastAsia="zh-CN"/>
        </w:rPr>
        <w:t>4</w:t>
      </w:r>
      <w:r w:rsidRPr="00BE54BE">
        <w:rPr>
          <w:lang w:eastAsia="zh-CN"/>
        </w:rPr>
        <w:t xml:space="preserve"> hours have passed since measurements for cell reselection were last performed, and</w:t>
      </w:r>
    </w:p>
    <w:p w14:paraId="507F14F7" w14:textId="77777777" w:rsidR="00D9623D" w:rsidRPr="00BE54BE" w:rsidRDefault="00D9623D" w:rsidP="00D9623D">
      <w:r w:rsidRPr="00BE54BE">
        <w:rPr>
          <w:lang w:eastAsia="zh-CN"/>
        </w:rPr>
        <w:t>In this case the UE is not required to meet</w:t>
      </w:r>
      <w:r w:rsidRPr="00BE54BE">
        <w:t xml:space="preserve"> T</w:t>
      </w:r>
      <w:r w:rsidRPr="00BE54BE">
        <w:rPr>
          <w:vertAlign w:val="subscript"/>
        </w:rPr>
        <w:t>detect,EUTRAN,</w:t>
      </w:r>
      <w:r w:rsidRPr="00BE54BE">
        <w:t xml:space="preserve"> T</w:t>
      </w:r>
      <w:r w:rsidRPr="00BE54BE">
        <w:rPr>
          <w:vertAlign w:val="subscript"/>
        </w:rPr>
        <w:t>measure,EUTRAN</w:t>
      </w:r>
      <w:r w:rsidRPr="00BE54BE">
        <w:t xml:space="preserve"> and T</w:t>
      </w:r>
      <w:r w:rsidRPr="00BE54BE">
        <w:rPr>
          <w:vertAlign w:val="subscript"/>
        </w:rPr>
        <w:t>evaluate,EUTRAN</w:t>
      </w:r>
      <w:r w:rsidRPr="00BE54BE">
        <w:rPr>
          <w:lang w:eastAsia="zh-CN"/>
        </w:rPr>
        <w:t xml:space="preserve"> as defined in clause </w:t>
      </w:r>
      <w:r w:rsidRPr="00BE54BE">
        <w:t xml:space="preserve">4.2B.2.5. </w:t>
      </w:r>
    </w:p>
    <w:p w14:paraId="53008213" w14:textId="77777777" w:rsidR="00D9623D" w:rsidRPr="007E1BBF" w:rsidRDefault="00D9623D" w:rsidP="00D9623D">
      <w:pPr>
        <w:rPr>
          <w:lang w:eastAsia="zh-CN"/>
        </w:rPr>
      </w:pPr>
      <w:r w:rsidRPr="007E1BBF">
        <w:rPr>
          <w:rFonts w:hint="eastAsia"/>
          <w:noProof/>
          <w:lang w:eastAsia="zh-CN"/>
        </w:rPr>
        <w:t>W</w:t>
      </w:r>
      <w:r w:rsidRPr="007E1BBF">
        <w:rPr>
          <w:noProof/>
        </w:rPr>
        <w:t xml:space="preserve">hen </w:t>
      </w:r>
      <w:r w:rsidRPr="007E1BBF">
        <w:rPr>
          <w:lang w:eastAsia="zh-CN"/>
        </w:rPr>
        <w:t xml:space="preserve">Srxlev </w:t>
      </w:r>
      <w:r w:rsidRPr="007E1BBF">
        <w:t>≤</w:t>
      </w:r>
      <w:r w:rsidRPr="007E1BBF">
        <w:rPr>
          <w:lang w:eastAsia="zh-CN"/>
        </w:rPr>
        <w:t xml:space="preserve"> S</w:t>
      </w:r>
      <w:r w:rsidRPr="007E1BBF">
        <w:rPr>
          <w:vertAlign w:val="subscript"/>
          <w:lang w:eastAsia="zh-CN"/>
        </w:rPr>
        <w:t>nonIntraSearchP</w:t>
      </w:r>
      <w:r w:rsidRPr="007E1BBF">
        <w:rPr>
          <w:lang w:eastAsia="zh-CN"/>
        </w:rPr>
        <w:t xml:space="preserve"> or Squal </w:t>
      </w:r>
      <w:r w:rsidRPr="007E1BBF">
        <w:t>≤</w:t>
      </w:r>
      <w:r w:rsidRPr="007E1BBF">
        <w:rPr>
          <w:lang w:eastAsia="zh-CN"/>
        </w:rPr>
        <w:t xml:space="preserve"> S</w:t>
      </w:r>
      <w:r w:rsidRPr="007E1BBF">
        <w:rPr>
          <w:vertAlign w:val="subscript"/>
          <w:lang w:eastAsia="zh-CN"/>
        </w:rPr>
        <w:t>nonIntraSearchQ</w:t>
      </w:r>
      <w:r w:rsidRPr="007E1BBF">
        <w:rPr>
          <w:noProof/>
        </w:rPr>
        <w:t xml:space="preserve">, the UE shall search for, measure and evaluate </w:t>
      </w:r>
      <w:r w:rsidRPr="00D56527">
        <w:rPr>
          <w:noProof/>
        </w:rPr>
        <w:t>inter-RAT E-UTRAN</w:t>
      </w:r>
      <w:r w:rsidRPr="007E1BBF">
        <w:rPr>
          <w:noProof/>
        </w:rPr>
        <w:t xml:space="preserve"> layers of </w:t>
      </w:r>
      <w:r w:rsidRPr="007E1BBF">
        <w:t>higher or lower priority</w:t>
      </w:r>
      <w:r w:rsidRPr="007E1BBF">
        <w:rPr>
          <w:noProof/>
        </w:rPr>
        <w:t xml:space="preserve"> at least every </w:t>
      </w:r>
      <w:r>
        <w:rPr>
          <w:noProof/>
        </w:rPr>
        <w:t>4</w:t>
      </w:r>
      <w:r w:rsidRPr="007E1BBF">
        <w:rPr>
          <w:noProof/>
        </w:rPr>
        <w:t xml:space="preserve"> hour.</w:t>
      </w:r>
    </w:p>
    <w:p w14:paraId="558AF608" w14:textId="77777777" w:rsidR="00D9623D" w:rsidRDefault="00D9623D" w:rsidP="00D9623D">
      <w:pPr>
        <w:rPr>
          <w:noProof/>
        </w:rPr>
      </w:pPr>
      <w:r w:rsidRPr="007E1BBF">
        <w:rPr>
          <w:noProof/>
        </w:rPr>
        <w:t>When Srxlev &gt; S</w:t>
      </w:r>
      <w:r w:rsidRPr="007E1BBF">
        <w:rPr>
          <w:noProof/>
          <w:vertAlign w:val="subscript"/>
        </w:rPr>
        <w:t>nonIntraSearchP</w:t>
      </w:r>
      <w:r w:rsidRPr="007E1BBF">
        <w:rPr>
          <w:noProof/>
        </w:rPr>
        <w:t xml:space="preserve"> and Squal &gt; S</w:t>
      </w:r>
      <w:r w:rsidRPr="007E1BBF">
        <w:rPr>
          <w:noProof/>
          <w:vertAlign w:val="subscript"/>
        </w:rPr>
        <w:t>nonIntraSearchQ</w:t>
      </w:r>
      <w:r w:rsidRPr="007E1BBF">
        <w:rPr>
          <w:noProof/>
        </w:rPr>
        <w:t xml:space="preserve">, the UE shall search for </w:t>
      </w:r>
      <w:r w:rsidRPr="00D56527">
        <w:rPr>
          <w:noProof/>
        </w:rPr>
        <w:t>inter-RAT E-UTRAN</w:t>
      </w:r>
      <w:r w:rsidRPr="007E1BBF">
        <w:rPr>
          <w:noProof/>
        </w:rPr>
        <w:t xml:space="preserve"> of higher priority at least every </w:t>
      </w:r>
      <w:r>
        <w:rPr>
          <w:noProof/>
        </w:rPr>
        <w:t>K2</w:t>
      </w:r>
      <w:r w:rsidRPr="007E1BBF">
        <w:rPr>
          <w:noProof/>
        </w:rPr>
        <w:t>*T</w:t>
      </w:r>
      <w:r w:rsidRPr="007E1BBF">
        <w:rPr>
          <w:noProof/>
          <w:vertAlign w:val="subscript"/>
        </w:rPr>
        <w:t xml:space="preserve">higher_priority_search </w:t>
      </w:r>
      <w:r w:rsidRPr="007E1BBF">
        <w:rPr>
          <w:noProof/>
        </w:rPr>
        <w:t>where T</w:t>
      </w:r>
      <w:r w:rsidRPr="007E1BBF">
        <w:rPr>
          <w:noProof/>
          <w:vertAlign w:val="subscript"/>
        </w:rPr>
        <w:t>higher_priority_search</w:t>
      </w:r>
      <w:r w:rsidRPr="007E1BBF">
        <w:rPr>
          <w:noProof/>
        </w:rPr>
        <w:t xml:space="preserve"> is described in clause 4.2.2.7</w:t>
      </w:r>
      <w:r w:rsidRPr="00BE33D6">
        <w:rPr>
          <w:noProof/>
        </w:rPr>
        <w:t xml:space="preserve"> </w:t>
      </w:r>
      <w:r>
        <w:rPr>
          <w:noProof/>
        </w:rPr>
        <w:t>and K2=240</w:t>
      </w:r>
      <w:r w:rsidRPr="007E1BBF">
        <w:rPr>
          <w:noProof/>
        </w:rPr>
        <w:t>.</w:t>
      </w:r>
      <w:r w:rsidRPr="0074751E">
        <w:rPr>
          <w:noProof/>
        </w:rPr>
        <w:t xml:space="preserve"> </w:t>
      </w:r>
    </w:p>
    <w:p w14:paraId="2B998B2A" w14:textId="4F0D76A9" w:rsidR="00F87F95" w:rsidRPr="0082197E" w:rsidRDefault="00D9623D" w:rsidP="00D9623D">
      <w:pPr>
        <w:pStyle w:val="B10"/>
        <w:ind w:left="0" w:firstLine="0"/>
        <w:rPr>
          <w:noProof/>
        </w:rPr>
      </w:pPr>
      <w:r>
        <w:rPr>
          <w:rFonts w:hint="eastAsia"/>
          <w:lang w:eastAsia="zh-CN"/>
        </w:rPr>
        <w:t>T</w:t>
      </w:r>
      <w:r>
        <w:rPr>
          <w:lang w:eastAsia="zh-CN"/>
        </w:rPr>
        <w:t xml:space="preserve">he requirments defined in this clause apply regardless of </w:t>
      </w:r>
      <w:r w:rsidRPr="00691C10">
        <w:rPr>
          <w:rFonts w:cs="v4.2.0"/>
        </w:rPr>
        <w:t>eDRX_IDLE</w:t>
      </w:r>
      <w:r>
        <w:rPr>
          <w:rFonts w:cs="v4.2.0"/>
        </w:rPr>
        <w:t xml:space="preserve"> configurations.</w:t>
      </w:r>
    </w:p>
    <w:p w14:paraId="3C7CA778" w14:textId="69C1D978" w:rsidR="00F87F95" w:rsidRDefault="00F87F95" w:rsidP="00F605E7">
      <w:pPr>
        <w:rPr>
          <w:noProof/>
        </w:rPr>
      </w:pPr>
    </w:p>
    <w:p w14:paraId="30B0CAAE" w14:textId="77777777" w:rsidR="006558D9" w:rsidRPr="00BE54BE" w:rsidRDefault="006558D9" w:rsidP="006558D9">
      <w:pPr>
        <w:pStyle w:val="Heading5"/>
        <w:rPr>
          <w:lang w:val="en-US" w:eastAsia="zh-CN"/>
        </w:rPr>
      </w:pPr>
      <w:r w:rsidRPr="00BE54BE">
        <w:rPr>
          <w:lang w:val="en-US" w:eastAsia="zh-CN"/>
        </w:rPr>
        <w:t>4.2B.2.11.3</w:t>
      </w:r>
      <w:r>
        <w:rPr>
          <w:lang w:val="en-US" w:eastAsia="zh-CN"/>
        </w:rPr>
        <w:t>A</w:t>
      </w:r>
      <w:r w:rsidRPr="00BE54BE">
        <w:rPr>
          <w:lang w:val="en-US" w:eastAsia="zh-CN"/>
        </w:rPr>
        <w:tab/>
        <w:t>Measurements for a UE fulfilling stationary</w:t>
      </w:r>
      <w:r>
        <w:rPr>
          <w:lang w:val="en-US" w:eastAsia="zh-CN"/>
        </w:rPr>
        <w:t xml:space="preserve"> and Rel-16</w:t>
      </w:r>
      <w:r w:rsidRPr="00BE54BE">
        <w:rPr>
          <w:lang w:val="en-US" w:eastAsia="zh-CN"/>
        </w:rPr>
        <w:t xml:space="preserve"> not at cell edge criterion</w:t>
      </w:r>
    </w:p>
    <w:p w14:paraId="095C3A4C" w14:textId="77777777" w:rsidR="006558D9" w:rsidRPr="00BE54BE" w:rsidRDefault="006558D9" w:rsidP="006558D9">
      <w:pPr>
        <w:rPr>
          <w:lang w:eastAsia="zh-CN"/>
        </w:rPr>
      </w:pPr>
      <w:r w:rsidRPr="00BE54BE">
        <w:rPr>
          <w:lang w:val="en-US" w:eastAsia="zh-CN"/>
        </w:rPr>
        <w:t xml:space="preserve">This clause contains requirements </w:t>
      </w:r>
      <w:r w:rsidRPr="00BE54BE">
        <w:rPr>
          <w:lang w:eastAsia="zh-CN"/>
        </w:rPr>
        <w:t xml:space="preserve">for measurements on </w:t>
      </w:r>
      <w:r>
        <w:rPr>
          <w:lang w:eastAsia="zh-CN"/>
        </w:rPr>
        <w:t>inter-RAT E-UTRAN</w:t>
      </w:r>
      <w:r w:rsidRPr="00BE54BE">
        <w:rPr>
          <w:lang w:eastAsia="zh-CN"/>
        </w:rPr>
        <w:t xml:space="preserve"> cells provided that:</w:t>
      </w:r>
    </w:p>
    <w:p w14:paraId="15450B04" w14:textId="07CCD13F" w:rsidR="008C090A" w:rsidRDefault="008C090A" w:rsidP="008C090A">
      <w:pPr>
        <w:rPr>
          <w:lang w:eastAsia="zh-CN"/>
        </w:rPr>
      </w:pPr>
      <w:r>
        <w:rPr>
          <w:lang w:eastAsia="zh-CN"/>
        </w:rPr>
        <w:t xml:space="preserve"> </w:t>
      </w:r>
    </w:p>
    <w:p w14:paraId="4C539C18" w14:textId="0041D278" w:rsidR="008C090A" w:rsidRDefault="008C090A" w:rsidP="008C090A">
      <w:pPr>
        <w:pStyle w:val="B10"/>
        <w:rPr>
          <w:lang w:eastAsia="zh-CN"/>
        </w:rPr>
      </w:pPr>
      <w:r>
        <w:rPr>
          <w:noProof/>
        </w:rPr>
        <w:t>-</w:t>
      </w:r>
      <w:r>
        <w:rPr>
          <w:noProof/>
        </w:rPr>
        <w:tab/>
      </w:r>
      <w:r>
        <w:rPr>
          <w:lang w:eastAsia="zh-CN"/>
        </w:rPr>
        <w:t xml:space="preserve">UE is configured with both </w:t>
      </w:r>
      <w:r>
        <w:rPr>
          <w:i/>
          <w:iCs/>
        </w:rPr>
        <w:t>stationaryMobilityEvaluation</w:t>
      </w:r>
      <w:r>
        <w:rPr>
          <w:i/>
          <w:iCs/>
          <w:lang w:eastAsia="zh-CN"/>
        </w:rPr>
        <w:t xml:space="preserve"> </w:t>
      </w:r>
      <w:r>
        <w:rPr>
          <w:lang w:eastAsia="zh-CN"/>
        </w:rPr>
        <w:t xml:space="preserve">[2] criterion and </w:t>
      </w:r>
      <w:r>
        <w:rPr>
          <w:i/>
          <w:iCs/>
          <w:lang w:eastAsia="zh-CN"/>
        </w:rPr>
        <w:t xml:space="preserve">cellEdgeEvaluation </w:t>
      </w:r>
      <w:r>
        <w:rPr>
          <w:lang w:eastAsia="zh-CN"/>
        </w:rPr>
        <w:t>[2] criterion, and has also fulfilled both criteria, or</w:t>
      </w:r>
    </w:p>
    <w:p w14:paraId="54E126B0" w14:textId="3E982680" w:rsidR="006558D9" w:rsidRPr="00BE54BE" w:rsidRDefault="008C090A" w:rsidP="008C090A">
      <w:pPr>
        <w:pStyle w:val="B10"/>
        <w:rPr>
          <w:lang w:eastAsia="zh-CN"/>
        </w:rPr>
      </w:pPr>
      <w:r>
        <w:rPr>
          <w:noProof/>
        </w:rPr>
        <w:t>-</w:t>
      </w:r>
      <w:r>
        <w:rPr>
          <w:noProof/>
        </w:rPr>
        <w:tab/>
      </w:r>
      <w:r w:rsidRPr="001C4C1E">
        <w:rPr>
          <w:lang w:eastAsia="zh-CN"/>
        </w:rPr>
        <w:t xml:space="preserve">UE is configured with </w:t>
      </w:r>
      <w:r w:rsidRPr="001C4C1E">
        <w:rPr>
          <w:i/>
          <w:iCs/>
          <w:lang w:eastAsia="zh-CN"/>
        </w:rPr>
        <w:t xml:space="preserve">cellEdgeEvaluation </w:t>
      </w:r>
      <w:r w:rsidRPr="001C4C1E">
        <w:rPr>
          <w:lang w:eastAsia="zh-CN"/>
        </w:rPr>
        <w:t xml:space="preserve">[2] criterion and with both </w:t>
      </w:r>
      <w:r w:rsidRPr="001C4C1E">
        <w:rPr>
          <w:i/>
          <w:noProof/>
        </w:rPr>
        <w:t xml:space="preserve">stationaryMobilityEvaluation </w:t>
      </w:r>
      <w:r w:rsidRPr="001C4C1E">
        <w:rPr>
          <w:lang w:eastAsia="zh-CN"/>
        </w:rPr>
        <w:t xml:space="preserve">[2] criterion and </w:t>
      </w:r>
      <w:r w:rsidRPr="001C4C1E">
        <w:rPr>
          <w:i/>
          <w:noProof/>
        </w:rPr>
        <w:t xml:space="preserve">cellEdgeEvaluationWhileStationary </w:t>
      </w:r>
      <w:r w:rsidRPr="001C4C1E">
        <w:rPr>
          <w:lang w:eastAsia="zh-CN"/>
        </w:rPr>
        <w:t xml:space="preserve">[2] criterion and </w:t>
      </w:r>
      <w:r w:rsidRPr="001C4C1E">
        <w:rPr>
          <w:i/>
          <w:lang w:eastAsia="zh-CN"/>
        </w:rPr>
        <w:t>combine</w:t>
      </w:r>
      <w:r w:rsidRPr="004D6618">
        <w:rPr>
          <w:i/>
          <w:lang w:eastAsia="zh-CN"/>
        </w:rPr>
        <w:t xml:space="preserve">RelaxedMeasCondition2 </w:t>
      </w:r>
      <w:r w:rsidRPr="004D6618">
        <w:rPr>
          <w:lang w:eastAsia="zh-CN"/>
        </w:rPr>
        <w:t xml:space="preserve">[2] not configured, and UE has fulfilled </w:t>
      </w:r>
      <w:r w:rsidRPr="004D6618">
        <w:rPr>
          <w:i/>
          <w:iCs/>
          <w:lang w:eastAsia="zh-CN"/>
        </w:rPr>
        <w:t>cellEdgeEvaluation</w:t>
      </w:r>
      <w:r w:rsidRPr="004D6618">
        <w:rPr>
          <w:lang w:eastAsia="zh-CN"/>
        </w:rPr>
        <w:t xml:space="preserve"> and </w:t>
      </w:r>
      <w:r w:rsidRPr="004D6618">
        <w:rPr>
          <w:i/>
          <w:noProof/>
        </w:rPr>
        <w:t xml:space="preserve">stationaryMobilityEvaluation </w:t>
      </w:r>
      <w:r w:rsidRPr="004D6618">
        <w:rPr>
          <w:lang w:eastAsia="zh-CN"/>
        </w:rPr>
        <w:t>[2] criterion.</w:t>
      </w:r>
    </w:p>
    <w:p w14:paraId="5C960A19" w14:textId="7026E892" w:rsidR="006558D9" w:rsidRPr="00BE54BE" w:rsidRDefault="0001101A" w:rsidP="006558D9">
      <w:pPr>
        <w:rPr>
          <w:noProof/>
        </w:rPr>
      </w:pPr>
      <w:r>
        <w:rPr>
          <w:rFonts w:hint="eastAsia"/>
          <w:noProof/>
          <w:lang w:eastAsia="zh-CN"/>
        </w:rPr>
        <w:t>W</w:t>
      </w:r>
      <w:r w:rsidRPr="007C2D19">
        <w:rPr>
          <w:noProof/>
        </w:rPr>
        <w:t xml:space="preserve">hen </w:t>
      </w:r>
      <w:r w:rsidRPr="00734785">
        <w:rPr>
          <w:rFonts w:eastAsiaTheme="minorEastAsia"/>
          <w:lang w:eastAsia="zh-CN"/>
        </w:rPr>
        <w:t xml:space="preserve">Srxlev </w:t>
      </w:r>
      <w:r w:rsidRPr="00691C10">
        <w:t>≤</w:t>
      </w:r>
      <w:r w:rsidRPr="00734785">
        <w:rPr>
          <w:rFonts w:eastAsiaTheme="minorEastAsia"/>
          <w:lang w:eastAsia="zh-CN"/>
        </w:rPr>
        <w:t xml:space="preserve"> S</w:t>
      </w:r>
      <w:r w:rsidRPr="00C15974">
        <w:rPr>
          <w:rFonts w:eastAsiaTheme="minorEastAsia"/>
          <w:vertAlign w:val="subscript"/>
          <w:lang w:eastAsia="zh-CN"/>
        </w:rPr>
        <w:t>nonIntraSearchP</w:t>
      </w:r>
      <w:r w:rsidRPr="00734785">
        <w:rPr>
          <w:rFonts w:eastAsiaTheme="minorEastAsia"/>
          <w:lang w:eastAsia="zh-CN"/>
        </w:rPr>
        <w:t xml:space="preserve"> </w:t>
      </w:r>
      <w:r>
        <w:rPr>
          <w:rFonts w:eastAsiaTheme="minorEastAsia"/>
          <w:lang w:eastAsia="zh-CN"/>
        </w:rPr>
        <w:t>or</w:t>
      </w:r>
      <w:r w:rsidRPr="00734785">
        <w:rPr>
          <w:rFonts w:eastAsiaTheme="minorEastAsia"/>
          <w:lang w:eastAsia="zh-CN"/>
        </w:rPr>
        <w:t xml:space="preserve"> Squal </w:t>
      </w:r>
      <w:r w:rsidRPr="00691C10">
        <w:t>≤</w:t>
      </w:r>
      <w:r w:rsidRPr="00734785">
        <w:rPr>
          <w:rFonts w:eastAsiaTheme="minorEastAsia"/>
          <w:lang w:eastAsia="zh-CN"/>
        </w:rPr>
        <w:t xml:space="preserve"> S</w:t>
      </w:r>
      <w:r w:rsidRPr="00C15974">
        <w:rPr>
          <w:rFonts w:eastAsiaTheme="minorEastAsia"/>
          <w:vertAlign w:val="subscript"/>
          <w:lang w:eastAsia="zh-CN"/>
        </w:rPr>
        <w:t>nonIntraSearchQ</w:t>
      </w:r>
      <w:r w:rsidRPr="00734785">
        <w:rPr>
          <w:rFonts w:eastAsiaTheme="minorEastAsia"/>
          <w:lang w:eastAsia="zh-CN"/>
        </w:rPr>
        <w:t xml:space="preserve"> </w:t>
      </w:r>
      <w:r>
        <w:rPr>
          <w:rFonts w:eastAsiaTheme="minorEastAsia" w:hint="eastAsia"/>
          <w:lang w:eastAsia="zh-CN"/>
        </w:rPr>
        <w:t>then t</w:t>
      </w:r>
      <w:r>
        <w:rPr>
          <w:rFonts w:eastAsiaTheme="minorEastAsia"/>
          <w:lang w:eastAsia="zh-CN"/>
        </w:rPr>
        <w:t>h</w:t>
      </w:r>
      <w:r w:rsidRPr="0089796C">
        <w:rPr>
          <w:noProof/>
        </w:rPr>
        <w:t xml:space="preserve">e </w:t>
      </w:r>
      <w:r w:rsidRPr="00BE54BE">
        <w:rPr>
          <w:noProof/>
        </w:rPr>
        <w:t xml:space="preserve">requirements defined in clause </w:t>
      </w:r>
      <w:r w:rsidRPr="00BE54BE">
        <w:t xml:space="preserve">4.2B.2.5 </w:t>
      </w:r>
      <w:r w:rsidRPr="00BE54BE">
        <w:rPr>
          <w:noProof/>
        </w:rPr>
        <w:t>apply for this clause except that:</w:t>
      </w:r>
    </w:p>
    <w:p w14:paraId="030E4AF6" w14:textId="77777777" w:rsidR="006558D9" w:rsidRPr="00BE54BE" w:rsidRDefault="006558D9" w:rsidP="006558D9">
      <w:pPr>
        <w:pStyle w:val="B10"/>
      </w:pPr>
      <w:r w:rsidRPr="00BE54BE">
        <w:t>-</w:t>
      </w:r>
      <w:r w:rsidRPr="00BE54BE">
        <w:tab/>
        <w:t>T</w:t>
      </w:r>
      <w:r w:rsidRPr="00BE54BE">
        <w:rPr>
          <w:vertAlign w:val="subscript"/>
        </w:rPr>
        <w:t>detect,EUTRAN_Relax</w:t>
      </w:r>
      <w:r w:rsidRPr="00BE54BE">
        <w:t xml:space="preserve"> as specified in Table 4.2B.2.11.2-1 and Table 4.2B.2.11.2-2</w:t>
      </w:r>
      <w:r w:rsidRPr="00BE54BE">
        <w:rPr>
          <w:lang w:val="en-US"/>
        </w:rPr>
        <w:t xml:space="preserve"> for 1 Rx RedCap and 2 Rx RedCap respectively</w:t>
      </w:r>
      <w:r w:rsidRPr="00BE54BE">
        <w:t>.</w:t>
      </w:r>
    </w:p>
    <w:p w14:paraId="565E65BB" w14:textId="77777777" w:rsidR="006558D9" w:rsidRPr="00BE54BE" w:rsidRDefault="006558D9" w:rsidP="006558D9">
      <w:pPr>
        <w:pStyle w:val="B10"/>
      </w:pPr>
      <w:r w:rsidRPr="00BE54BE">
        <w:t>-</w:t>
      </w:r>
      <w:r w:rsidRPr="00BE54BE">
        <w:tab/>
        <w:t>T</w:t>
      </w:r>
      <w:r w:rsidRPr="00BE54BE">
        <w:rPr>
          <w:vertAlign w:val="subscript"/>
        </w:rPr>
        <w:t>measure,EUTRAN_Relax</w:t>
      </w:r>
      <w:r w:rsidRPr="00BE54BE">
        <w:t xml:space="preserve"> as specified in Table 4.2B.2.11.2-1 and Table 4.2B.2.11.2-2</w:t>
      </w:r>
      <w:r w:rsidRPr="00BE54BE">
        <w:rPr>
          <w:lang w:val="en-US"/>
        </w:rPr>
        <w:t xml:space="preserve"> for 1 Rx RedCap and 2 Rx RedCap respectively</w:t>
      </w:r>
      <w:r w:rsidRPr="00BE54BE">
        <w:t>.</w:t>
      </w:r>
    </w:p>
    <w:p w14:paraId="7E7190C5" w14:textId="77777777" w:rsidR="006558D9" w:rsidRDefault="006558D9" w:rsidP="006558D9">
      <w:pPr>
        <w:pStyle w:val="B10"/>
      </w:pPr>
      <w:r w:rsidRPr="00BE54BE">
        <w:t>-</w:t>
      </w:r>
      <w:r w:rsidRPr="00BE54BE">
        <w:tab/>
        <w:t>T</w:t>
      </w:r>
      <w:r w:rsidRPr="00BE54BE">
        <w:rPr>
          <w:vertAlign w:val="subscript"/>
        </w:rPr>
        <w:t>evaluate,EUTRAN_Relax</w:t>
      </w:r>
      <w:r w:rsidRPr="00BE54BE">
        <w:t xml:space="preserve"> as specified in Table 4.2B.2.11.2-1 and Table 4.2B.2.11.2-2</w:t>
      </w:r>
      <w:r w:rsidRPr="00BE54BE">
        <w:rPr>
          <w:lang w:val="en-US"/>
        </w:rPr>
        <w:t xml:space="preserve"> for 1 Rx RedCap and 2 Rx RedCap respectively</w:t>
      </w:r>
      <w:r w:rsidRPr="00BE54BE">
        <w:t>.</w:t>
      </w:r>
    </w:p>
    <w:p w14:paraId="65CBE49A" w14:textId="77777777" w:rsidR="006558D9" w:rsidRPr="0082197E" w:rsidRDefault="006558D9" w:rsidP="006558D9">
      <w:pPr>
        <w:rPr>
          <w:noProof/>
        </w:rPr>
      </w:pPr>
      <w:r w:rsidRPr="0082197E">
        <w:rPr>
          <w:noProof/>
        </w:rPr>
        <w:t>If the UE is configured with eDRX_IDLE cycle then the requirements in Table 4.2B.2.1</w:t>
      </w:r>
      <w:r>
        <w:rPr>
          <w:noProof/>
        </w:rPr>
        <w:t>1.2</w:t>
      </w:r>
      <w:r w:rsidRPr="0082197E">
        <w:rPr>
          <w:noProof/>
        </w:rPr>
        <w:t xml:space="preserve">-3 are applicable for eDRX cycle </w:t>
      </w:r>
      <w:r>
        <w:rPr>
          <w:noProof/>
        </w:rPr>
        <w:t>&lt;</w:t>
      </w:r>
      <w:r w:rsidRPr="0082197E">
        <w:rPr>
          <w:noProof/>
        </w:rPr>
        <w:t xml:space="preserve"> 10.24 s. </w:t>
      </w:r>
    </w:p>
    <w:p w14:paraId="5A0DDEB5" w14:textId="77777777" w:rsidR="006558D9" w:rsidRPr="0082197E" w:rsidRDefault="006558D9" w:rsidP="006558D9">
      <w:pPr>
        <w:rPr>
          <w:noProof/>
        </w:rPr>
      </w:pPr>
      <w:r w:rsidRPr="00F213AA">
        <w:t xml:space="preserve">If the UE is configured with eDRX_IDLE cycle </w:t>
      </w:r>
      <w:r w:rsidRPr="00F213AA">
        <w:rPr>
          <w:rFonts w:hint="eastAsia"/>
        </w:rPr>
        <w:t>≥</w:t>
      </w:r>
      <w:r w:rsidRPr="00F213AA">
        <w:t xml:space="preserve"> 10.24 s, then the requirements in </w:t>
      </w:r>
      <w:r w:rsidRPr="00F213AA">
        <w:rPr>
          <w:noProof/>
        </w:rPr>
        <w:t>Table 4.2B.2.11.2-4</w:t>
      </w:r>
      <w:r w:rsidRPr="00F213AA">
        <w:rPr>
          <w:lang w:val="en-US"/>
        </w:rPr>
        <w:t xml:space="preserve"> </w:t>
      </w:r>
      <w:r w:rsidRPr="00F213AA">
        <w:t xml:space="preserve">apply provided that filtering of a measurement is done within a single PTW and provided that the </w:t>
      </w:r>
      <w:r w:rsidRPr="00806346">
        <w:rPr>
          <w:noProof/>
        </w:rPr>
        <w:t xml:space="preserve">eDRX cycle is </w:t>
      </w:r>
      <w:r w:rsidRPr="00806346">
        <w:rPr>
          <w:rFonts w:hint="eastAsia"/>
          <w:noProof/>
        </w:rPr>
        <w:t>≤</w:t>
      </w:r>
      <w:r w:rsidRPr="00806346">
        <w:rPr>
          <w:noProof/>
        </w:rPr>
        <w:t xml:space="preserve"> [163.84]</w:t>
      </w:r>
      <w:r w:rsidRPr="00F213AA">
        <w:t xml:space="preserve"> sec</w:t>
      </w:r>
      <w:r w:rsidRPr="00806346">
        <w:t xml:space="preserve"> and evaluation/measurement time with relaxation on one carrier is not greater than single PTW window length</w:t>
      </w:r>
      <w:r w:rsidRPr="00F213AA">
        <w:t>.</w:t>
      </w:r>
    </w:p>
    <w:p w14:paraId="4CC0B5D2" w14:textId="650D3136" w:rsidR="006558D9" w:rsidRPr="00BE54BE" w:rsidRDefault="0001101A" w:rsidP="00F605E7">
      <w:pPr>
        <w:rPr>
          <w:noProof/>
        </w:rPr>
      </w:pPr>
      <w:r w:rsidRPr="007E1BBF">
        <w:rPr>
          <w:noProof/>
        </w:rPr>
        <w:t>When Srxlev &gt; S</w:t>
      </w:r>
      <w:r w:rsidRPr="007E1BBF">
        <w:rPr>
          <w:noProof/>
          <w:vertAlign w:val="subscript"/>
        </w:rPr>
        <w:t>nonIntraSearchP</w:t>
      </w:r>
      <w:r w:rsidRPr="007E1BBF">
        <w:rPr>
          <w:noProof/>
        </w:rPr>
        <w:t xml:space="preserve"> and Squal &gt; S</w:t>
      </w:r>
      <w:r w:rsidRPr="007E1BBF">
        <w:rPr>
          <w:noProof/>
          <w:vertAlign w:val="subscript"/>
        </w:rPr>
        <w:t>nonIntraSearchQ</w:t>
      </w:r>
      <w:r w:rsidRPr="007E1BBF">
        <w:rPr>
          <w:noProof/>
        </w:rPr>
        <w:t xml:space="preserve">, the UE shall search for </w:t>
      </w:r>
      <w:r w:rsidRPr="00D56527">
        <w:rPr>
          <w:noProof/>
        </w:rPr>
        <w:t>inter-RAT E-UTRAN</w:t>
      </w:r>
      <w:r w:rsidRPr="007E1BBF">
        <w:rPr>
          <w:noProof/>
        </w:rPr>
        <w:t xml:space="preserve"> of higher priority at least every </w:t>
      </w:r>
      <w:r>
        <w:rPr>
          <w:noProof/>
        </w:rPr>
        <w:t>K2</w:t>
      </w:r>
      <w:r w:rsidRPr="007E1BBF">
        <w:rPr>
          <w:noProof/>
        </w:rPr>
        <w:t>*T</w:t>
      </w:r>
      <w:r w:rsidRPr="007E1BBF">
        <w:rPr>
          <w:noProof/>
          <w:vertAlign w:val="subscript"/>
        </w:rPr>
        <w:t xml:space="preserve">higher_priority_search </w:t>
      </w:r>
      <w:r w:rsidRPr="007E1BBF">
        <w:rPr>
          <w:noProof/>
        </w:rPr>
        <w:t>where T</w:t>
      </w:r>
      <w:r w:rsidRPr="007E1BBF">
        <w:rPr>
          <w:noProof/>
          <w:vertAlign w:val="subscript"/>
        </w:rPr>
        <w:t>higher_priority_search</w:t>
      </w:r>
      <w:r w:rsidRPr="007E1BBF">
        <w:rPr>
          <w:noProof/>
        </w:rPr>
        <w:t xml:space="preserve"> is described in clause 4.2.2.7</w:t>
      </w:r>
      <w:r w:rsidRPr="00BE33D6">
        <w:rPr>
          <w:noProof/>
        </w:rPr>
        <w:t xml:space="preserve"> </w:t>
      </w:r>
      <w:r>
        <w:rPr>
          <w:noProof/>
        </w:rPr>
        <w:t>and K2=240</w:t>
      </w:r>
      <w:r w:rsidRPr="007E1BBF">
        <w:rPr>
          <w:noProof/>
        </w:rPr>
        <w:t>.</w:t>
      </w:r>
    </w:p>
    <w:p w14:paraId="15317EF0" w14:textId="77777777" w:rsidR="00F87F95" w:rsidRPr="00BE54BE" w:rsidRDefault="00F87F95" w:rsidP="00F87F95">
      <w:pPr>
        <w:pStyle w:val="Heading5"/>
        <w:rPr>
          <w:lang w:val="en-US" w:eastAsia="zh-CN"/>
        </w:rPr>
      </w:pPr>
      <w:r w:rsidRPr="00BE54BE">
        <w:rPr>
          <w:lang w:val="en-US" w:eastAsia="zh-CN"/>
        </w:rPr>
        <w:t>4.2B.2.11.4</w:t>
      </w:r>
      <w:r w:rsidRPr="00BE54BE">
        <w:rPr>
          <w:lang w:val="en-US" w:eastAsia="zh-CN"/>
        </w:rPr>
        <w:tab/>
        <w:t>Measurements for a UE fulfilling low mobility and stationary criteria</w:t>
      </w:r>
    </w:p>
    <w:p w14:paraId="26DF7696" w14:textId="77777777" w:rsidR="00F87F95" w:rsidRPr="00BE54BE" w:rsidRDefault="00F87F95" w:rsidP="00F87F95">
      <w:pPr>
        <w:rPr>
          <w:lang w:eastAsia="zh-CN"/>
        </w:rPr>
      </w:pPr>
      <w:r w:rsidRPr="00BE54BE">
        <w:rPr>
          <w:lang w:val="en-US" w:eastAsia="zh-CN"/>
        </w:rPr>
        <w:t xml:space="preserve">This clause contains requirements </w:t>
      </w:r>
      <w:r w:rsidRPr="00BE54BE">
        <w:rPr>
          <w:lang w:eastAsia="zh-CN"/>
        </w:rPr>
        <w:t xml:space="preserve">for measurements on </w:t>
      </w:r>
      <w:r>
        <w:rPr>
          <w:lang w:eastAsia="zh-CN"/>
        </w:rPr>
        <w:t>inter-RAT E-UTRAN</w:t>
      </w:r>
      <w:r w:rsidRPr="00BE54BE">
        <w:rPr>
          <w:lang w:eastAsia="zh-CN"/>
        </w:rPr>
        <w:t xml:space="preserve"> cells provided that:</w:t>
      </w:r>
    </w:p>
    <w:p w14:paraId="65D51136" w14:textId="77777777" w:rsidR="00F87F95" w:rsidRPr="00BE54BE" w:rsidRDefault="00F87F95" w:rsidP="00F87F95">
      <w:pPr>
        <w:pStyle w:val="B10"/>
        <w:rPr>
          <w:lang w:eastAsia="zh-CN"/>
        </w:rPr>
      </w:pPr>
      <w:r w:rsidRPr="00BE54BE">
        <w:rPr>
          <w:noProof/>
        </w:rPr>
        <w:t>-</w:t>
      </w:r>
      <w:r w:rsidRPr="00BE54BE">
        <w:rPr>
          <w:noProof/>
        </w:rPr>
        <w:tab/>
      </w:r>
      <w:r w:rsidRPr="00BE54BE">
        <w:rPr>
          <w:lang w:eastAsia="zh-CN"/>
        </w:rPr>
        <w:t xml:space="preserve">UE is configured with </w:t>
      </w:r>
      <w:r w:rsidRPr="00BE54BE">
        <w:rPr>
          <w:i/>
          <w:iCs/>
          <w:lang w:eastAsia="zh-CN"/>
        </w:rPr>
        <w:t>lowMobilityEvaluation</w:t>
      </w:r>
      <w:r w:rsidRPr="00BE54BE" w:rsidDel="004B26EA">
        <w:rPr>
          <w:i/>
          <w:iCs/>
          <w:lang w:eastAsia="zh-CN"/>
        </w:rPr>
        <w:t xml:space="preserve"> </w:t>
      </w:r>
      <w:r w:rsidRPr="00BE54BE">
        <w:rPr>
          <w:lang w:eastAsia="zh-CN"/>
        </w:rPr>
        <w:t xml:space="preserve">[2] criterion and </w:t>
      </w:r>
      <w:r w:rsidRPr="00BE54BE">
        <w:rPr>
          <w:i/>
          <w:iCs/>
        </w:rPr>
        <w:t>stationaryMobilityEvaluation</w:t>
      </w:r>
      <w:r w:rsidRPr="00BE54BE" w:rsidDel="004B26EA">
        <w:rPr>
          <w:i/>
          <w:iCs/>
          <w:lang w:eastAsia="zh-CN"/>
        </w:rPr>
        <w:t xml:space="preserve"> </w:t>
      </w:r>
      <w:r w:rsidRPr="00BE54BE">
        <w:rPr>
          <w:lang w:eastAsia="zh-CN"/>
        </w:rPr>
        <w:t>[2] criterion, and has also fulfilled both criteria, or,</w:t>
      </w:r>
    </w:p>
    <w:p w14:paraId="3A0231B7" w14:textId="77777777" w:rsidR="00F87F95" w:rsidRPr="00BE54BE" w:rsidRDefault="00F87F95" w:rsidP="00F87F95">
      <w:pPr>
        <w:pStyle w:val="B10"/>
        <w:rPr>
          <w:lang w:eastAsia="zh-CN"/>
        </w:rPr>
      </w:pPr>
      <w:r w:rsidRPr="00BE54BE">
        <w:rPr>
          <w:noProof/>
        </w:rPr>
        <w:t>-</w:t>
      </w:r>
      <w:r w:rsidRPr="00BE54BE">
        <w:rPr>
          <w:noProof/>
        </w:rPr>
        <w:tab/>
      </w:r>
      <w:r w:rsidRPr="00BE54BE">
        <w:rPr>
          <w:lang w:eastAsia="zh-CN"/>
        </w:rPr>
        <w:t xml:space="preserve">UE is configured with </w:t>
      </w:r>
      <w:r w:rsidRPr="00BE54BE">
        <w:rPr>
          <w:i/>
          <w:iCs/>
          <w:lang w:eastAsia="zh-CN"/>
        </w:rPr>
        <w:t>lowMobilityEvaluation</w:t>
      </w:r>
      <w:r w:rsidRPr="00BE54BE" w:rsidDel="004B26EA">
        <w:rPr>
          <w:i/>
          <w:iCs/>
          <w:lang w:eastAsia="zh-CN"/>
        </w:rPr>
        <w:t xml:space="preserve"> </w:t>
      </w:r>
      <w:r w:rsidRPr="00BE54BE">
        <w:rPr>
          <w:lang w:eastAsia="zh-CN"/>
        </w:rPr>
        <w:t xml:space="preserve">[2] criterion and with both </w:t>
      </w:r>
      <w:r w:rsidRPr="00BE54BE">
        <w:rPr>
          <w:i/>
          <w:noProof/>
        </w:rPr>
        <w:t xml:space="preserve">stationaryMobilityEvaluation </w:t>
      </w:r>
      <w:r w:rsidRPr="00BE54BE">
        <w:rPr>
          <w:lang w:eastAsia="zh-CN"/>
        </w:rPr>
        <w:t xml:space="preserve">[2] criterion and </w:t>
      </w:r>
      <w:r w:rsidRPr="00BE54BE">
        <w:rPr>
          <w:i/>
          <w:noProof/>
        </w:rPr>
        <w:t xml:space="preserve">cellEdgeEvaluationWhileStationary </w:t>
      </w:r>
      <w:r w:rsidRPr="00BE54BE">
        <w:rPr>
          <w:lang w:eastAsia="zh-CN"/>
        </w:rPr>
        <w:t xml:space="preserve">[2] criterion and </w:t>
      </w:r>
      <w:r w:rsidRPr="00BE54BE">
        <w:rPr>
          <w:i/>
          <w:lang w:eastAsia="zh-CN"/>
        </w:rPr>
        <w:t xml:space="preserve">combineRelaxedMeasCondition2 </w:t>
      </w:r>
      <w:r w:rsidRPr="00BE54BE">
        <w:rPr>
          <w:lang w:eastAsia="zh-CN"/>
        </w:rPr>
        <w:t xml:space="preserve">[2] not configured, and UE has fulfilled </w:t>
      </w:r>
      <w:r w:rsidRPr="00BE54BE">
        <w:rPr>
          <w:i/>
          <w:iCs/>
          <w:lang w:eastAsia="zh-CN"/>
        </w:rPr>
        <w:t>lowMobilityEvaluation</w:t>
      </w:r>
      <w:r w:rsidRPr="00BE54BE" w:rsidDel="004B26EA">
        <w:rPr>
          <w:i/>
          <w:iCs/>
          <w:lang w:eastAsia="zh-CN"/>
        </w:rPr>
        <w:t xml:space="preserve"> </w:t>
      </w:r>
      <w:r w:rsidRPr="00BE54BE">
        <w:rPr>
          <w:lang w:eastAsia="zh-CN"/>
        </w:rPr>
        <w:t xml:space="preserve">and </w:t>
      </w:r>
      <w:r w:rsidRPr="00BE54BE">
        <w:rPr>
          <w:i/>
          <w:noProof/>
        </w:rPr>
        <w:t xml:space="preserve">stationaryMobilityEvaluation </w:t>
      </w:r>
      <w:r w:rsidRPr="00BE54BE">
        <w:rPr>
          <w:lang w:eastAsia="zh-CN"/>
        </w:rPr>
        <w:t>[2] criteria</w:t>
      </w:r>
    </w:p>
    <w:p w14:paraId="0139FEF1" w14:textId="77777777" w:rsidR="00F87F95" w:rsidRPr="00BE54BE" w:rsidRDefault="00F87F95" w:rsidP="00F87F95">
      <w:pPr>
        <w:rPr>
          <w:noProof/>
        </w:rPr>
      </w:pPr>
      <w:r w:rsidRPr="00BE54BE">
        <w:rPr>
          <w:noProof/>
        </w:rPr>
        <w:t xml:space="preserve">The requirements defined in clause </w:t>
      </w:r>
      <w:r w:rsidRPr="0082197E">
        <w:rPr>
          <w:lang w:eastAsia="zh-CN"/>
        </w:rPr>
        <w:t>4.2B.2.11.2</w:t>
      </w:r>
      <w:r w:rsidRPr="00BE54BE">
        <w:t xml:space="preserve"> </w:t>
      </w:r>
      <w:r w:rsidRPr="00BE54BE">
        <w:rPr>
          <w:noProof/>
        </w:rPr>
        <w:t>apply for this clause.</w:t>
      </w:r>
    </w:p>
    <w:p w14:paraId="060EC000" w14:textId="77777777" w:rsidR="00F87F95" w:rsidRDefault="00F87F95" w:rsidP="00D77C68"/>
    <w:p w14:paraId="7EE8808C" w14:textId="77777777" w:rsidR="00F87F95" w:rsidRPr="00BE54BE" w:rsidRDefault="00F87F95" w:rsidP="00F87F95">
      <w:pPr>
        <w:pStyle w:val="Heading5"/>
        <w:rPr>
          <w:lang w:val="en-US" w:eastAsia="zh-CN"/>
        </w:rPr>
      </w:pPr>
      <w:r>
        <w:rPr>
          <w:lang w:val="en-US" w:eastAsia="zh-CN"/>
        </w:rPr>
        <w:t>4.2B.2.11.5</w:t>
      </w:r>
      <w:r w:rsidRPr="00885F53">
        <w:rPr>
          <w:lang w:val="en-US" w:eastAsia="zh-CN"/>
        </w:rPr>
        <w:tab/>
      </w:r>
      <w:r w:rsidRPr="00BE54BE">
        <w:rPr>
          <w:lang w:val="en-US" w:eastAsia="zh-CN"/>
        </w:rPr>
        <w:t>Measurements for a UE fulfilling low mobility and stationary not at cell edge criteria</w:t>
      </w:r>
    </w:p>
    <w:p w14:paraId="38987A6D" w14:textId="77777777" w:rsidR="00F87F95" w:rsidRPr="00BE54BE" w:rsidRDefault="00F87F95" w:rsidP="00F87F95">
      <w:pPr>
        <w:rPr>
          <w:lang w:eastAsia="zh-CN"/>
        </w:rPr>
      </w:pPr>
      <w:r w:rsidRPr="00BE54BE">
        <w:rPr>
          <w:lang w:val="en-US" w:eastAsia="zh-CN"/>
        </w:rPr>
        <w:t xml:space="preserve">This clause contains requirements </w:t>
      </w:r>
      <w:r w:rsidRPr="00BE54BE">
        <w:rPr>
          <w:lang w:eastAsia="zh-CN"/>
        </w:rPr>
        <w:t xml:space="preserve">for measurements on </w:t>
      </w:r>
      <w:r>
        <w:rPr>
          <w:lang w:eastAsia="zh-CN"/>
        </w:rPr>
        <w:t>inter-RAT E-UTRAN</w:t>
      </w:r>
      <w:r w:rsidRPr="00BE54BE">
        <w:rPr>
          <w:lang w:eastAsia="zh-CN"/>
        </w:rPr>
        <w:t xml:space="preserve"> cells provided that:</w:t>
      </w:r>
    </w:p>
    <w:p w14:paraId="4C9D77B2" w14:textId="77777777" w:rsidR="00F87F95" w:rsidRDefault="00F87F95" w:rsidP="00F87F95">
      <w:pPr>
        <w:pStyle w:val="B10"/>
        <w:rPr>
          <w:lang w:eastAsia="zh-CN"/>
        </w:rPr>
      </w:pPr>
      <w:r>
        <w:rPr>
          <w:noProof/>
        </w:rPr>
        <w:t>-</w:t>
      </w:r>
      <w:r>
        <w:rPr>
          <w:noProof/>
        </w:rPr>
        <w:tab/>
      </w:r>
      <w:r w:rsidRPr="007C2D19">
        <w:rPr>
          <w:lang w:eastAsia="zh-CN"/>
        </w:rPr>
        <w:t xml:space="preserve">UE is configured with </w:t>
      </w:r>
      <w:r w:rsidRPr="001C6668">
        <w:rPr>
          <w:i/>
          <w:iCs/>
          <w:lang w:eastAsia="zh-CN"/>
        </w:rPr>
        <w:t>lowMobilityEvaluation</w:t>
      </w:r>
      <w:r w:rsidDel="004B26EA">
        <w:rPr>
          <w:i/>
          <w:iCs/>
          <w:lang w:eastAsia="zh-CN"/>
        </w:rPr>
        <w:t xml:space="preserve"> </w:t>
      </w:r>
      <w:r>
        <w:rPr>
          <w:lang w:eastAsia="zh-CN"/>
        </w:rPr>
        <w:t>[2]</w:t>
      </w:r>
      <w:r w:rsidRPr="007C2D19">
        <w:rPr>
          <w:lang w:eastAsia="zh-CN"/>
        </w:rPr>
        <w:t xml:space="preserve"> </w:t>
      </w:r>
      <w:r w:rsidRPr="00C33767">
        <w:rPr>
          <w:lang w:eastAsia="zh-CN"/>
        </w:rPr>
        <w:t>criterion</w:t>
      </w:r>
      <w:r>
        <w:rPr>
          <w:lang w:eastAsia="zh-CN"/>
        </w:rPr>
        <w:t xml:space="preserve"> and UE has fulfilled this criterion, and</w:t>
      </w:r>
    </w:p>
    <w:p w14:paraId="5005C82C" w14:textId="77777777" w:rsidR="00F87F95" w:rsidRDefault="00F87F95" w:rsidP="00F87F95">
      <w:pPr>
        <w:pStyle w:val="B10"/>
        <w:rPr>
          <w:lang w:eastAsia="zh-CN"/>
        </w:rPr>
      </w:pPr>
      <w:r>
        <w:rPr>
          <w:lang w:eastAsia="zh-CN"/>
        </w:rPr>
        <w:t>-</w:t>
      </w:r>
      <w:r>
        <w:rPr>
          <w:lang w:eastAsia="zh-CN"/>
        </w:rPr>
        <w:tab/>
        <w:t xml:space="preserve">UE is configured with </w:t>
      </w:r>
      <w:r w:rsidRPr="0013391D">
        <w:rPr>
          <w:i/>
          <w:iCs/>
        </w:rPr>
        <w:t>stationaryMobilityEvaluation</w:t>
      </w:r>
      <w:r>
        <w:rPr>
          <w:i/>
          <w:iCs/>
        </w:rPr>
        <w:t xml:space="preserve"> </w:t>
      </w:r>
      <w:r w:rsidRPr="00607F58">
        <w:rPr>
          <w:iCs/>
        </w:rPr>
        <w:t>[2]</w:t>
      </w:r>
      <w:r>
        <w:rPr>
          <w:lang w:eastAsia="zh-CN"/>
        </w:rPr>
        <w:t xml:space="preserve"> and </w:t>
      </w:r>
      <w:r w:rsidRPr="006E2031">
        <w:rPr>
          <w:i/>
          <w:noProof/>
        </w:rPr>
        <w:t>cellEdgeEvaluationWhileStationary</w:t>
      </w:r>
      <w:r>
        <w:rPr>
          <w:i/>
          <w:noProof/>
        </w:rPr>
        <w:t xml:space="preserve"> </w:t>
      </w:r>
      <w:r>
        <w:rPr>
          <w:lang w:eastAsia="zh-CN"/>
        </w:rPr>
        <w:t>[2]</w:t>
      </w:r>
      <w:r w:rsidRPr="00AD77EE">
        <w:rPr>
          <w:lang w:eastAsia="zh-CN"/>
        </w:rPr>
        <w:t xml:space="preserve"> criterion</w:t>
      </w:r>
      <w:r>
        <w:rPr>
          <w:lang w:eastAsia="zh-CN"/>
        </w:rPr>
        <w:t>,</w:t>
      </w:r>
      <w:r w:rsidRPr="00AD77EE">
        <w:rPr>
          <w:lang w:eastAsia="zh-CN"/>
        </w:rPr>
        <w:t xml:space="preserve"> </w:t>
      </w:r>
      <w:r>
        <w:rPr>
          <w:lang w:eastAsia="zh-CN"/>
        </w:rPr>
        <w:t>and UE has also fulfilled both criteria</w:t>
      </w:r>
    </w:p>
    <w:p w14:paraId="08DD1807" w14:textId="77777777" w:rsidR="00F87F95" w:rsidRPr="00BE54BE" w:rsidRDefault="00F87F95" w:rsidP="00F87F95">
      <w:pPr>
        <w:rPr>
          <w:noProof/>
        </w:rPr>
      </w:pPr>
      <w:r w:rsidRPr="00BE54BE">
        <w:rPr>
          <w:noProof/>
        </w:rPr>
        <w:t xml:space="preserve">The requirements defined in clause </w:t>
      </w:r>
      <w:r w:rsidRPr="0082197E">
        <w:rPr>
          <w:lang w:eastAsia="zh-CN"/>
        </w:rPr>
        <w:t>4.2B.2.11.3</w:t>
      </w:r>
      <w:r w:rsidRPr="00BE54BE">
        <w:t xml:space="preserve"> </w:t>
      </w:r>
      <w:r w:rsidRPr="00BE54BE">
        <w:rPr>
          <w:noProof/>
        </w:rPr>
        <w:t>apply for this clause.</w:t>
      </w:r>
    </w:p>
    <w:p w14:paraId="1451AD2B" w14:textId="77777777" w:rsidR="00F87F95" w:rsidRPr="00BE54BE" w:rsidRDefault="00F87F95" w:rsidP="00D77C68"/>
    <w:p w14:paraId="1C6D0FDB" w14:textId="77777777" w:rsidR="00F87F95" w:rsidRPr="0082197E" w:rsidRDefault="00F87F95" w:rsidP="00F87F95">
      <w:pPr>
        <w:pStyle w:val="Heading5"/>
        <w:rPr>
          <w:lang w:val="en-US" w:eastAsia="zh-CN"/>
        </w:rPr>
      </w:pPr>
      <w:r w:rsidRPr="0082197E">
        <w:rPr>
          <w:lang w:val="en-US" w:eastAsia="zh-CN"/>
        </w:rPr>
        <w:t>4.2B.2.11.6</w:t>
      </w:r>
      <w:r w:rsidRPr="0082197E">
        <w:rPr>
          <w:lang w:val="en-US" w:eastAsia="zh-CN"/>
        </w:rPr>
        <w:tab/>
        <w:t>Measurements for a UE fulfilling not-at-cell edge criterion and stationary not at cell edge criteria</w:t>
      </w:r>
    </w:p>
    <w:p w14:paraId="1F06181B" w14:textId="77777777" w:rsidR="00F87F95" w:rsidRPr="0082197E" w:rsidRDefault="00F87F95" w:rsidP="00F87F95">
      <w:pPr>
        <w:rPr>
          <w:lang w:eastAsia="zh-CN"/>
        </w:rPr>
      </w:pPr>
      <w:r w:rsidRPr="0082197E">
        <w:rPr>
          <w:lang w:val="en-US" w:eastAsia="zh-CN"/>
        </w:rPr>
        <w:t xml:space="preserve">This clause contains requirements </w:t>
      </w:r>
      <w:r w:rsidRPr="0082197E">
        <w:rPr>
          <w:lang w:eastAsia="zh-CN"/>
        </w:rPr>
        <w:t xml:space="preserve">for measurements on </w:t>
      </w:r>
      <w:r>
        <w:rPr>
          <w:lang w:eastAsia="zh-CN"/>
        </w:rPr>
        <w:t>inter-RAT E-UTRAN</w:t>
      </w:r>
      <w:r w:rsidRPr="0082197E">
        <w:rPr>
          <w:lang w:eastAsia="zh-CN"/>
        </w:rPr>
        <w:t xml:space="preserve"> cells provided that:</w:t>
      </w:r>
    </w:p>
    <w:p w14:paraId="47D78B97" w14:textId="77777777" w:rsidR="00F87F95" w:rsidRPr="0082197E" w:rsidRDefault="00F87F95">
      <w:pPr>
        <w:pStyle w:val="B10"/>
        <w:numPr>
          <w:ilvl w:val="0"/>
          <w:numId w:val="15"/>
        </w:numPr>
        <w:rPr>
          <w:noProof/>
        </w:rPr>
      </w:pPr>
      <w:r w:rsidRPr="0082197E">
        <w:rPr>
          <w:noProof/>
        </w:rPr>
        <w:t>UE is configured with cellEdgeEvaluation [2] criterion and UE has fulfilled that criterion, and</w:t>
      </w:r>
    </w:p>
    <w:p w14:paraId="3312FA25" w14:textId="77777777" w:rsidR="00F87F95" w:rsidRPr="0082197E" w:rsidRDefault="00F87F95">
      <w:pPr>
        <w:pStyle w:val="B10"/>
        <w:numPr>
          <w:ilvl w:val="0"/>
          <w:numId w:val="15"/>
        </w:numPr>
        <w:rPr>
          <w:lang w:eastAsia="zh-CN"/>
        </w:rPr>
      </w:pPr>
      <w:r w:rsidRPr="0082197E">
        <w:rPr>
          <w:lang w:eastAsia="zh-CN"/>
        </w:rPr>
        <w:t xml:space="preserve">UE is configured with </w:t>
      </w:r>
      <w:r w:rsidRPr="0013391D">
        <w:rPr>
          <w:i/>
          <w:iCs/>
        </w:rPr>
        <w:t>stationaryMobilityEvaluation</w:t>
      </w:r>
      <w:r w:rsidRPr="0082197E" w:rsidDel="004B26EA">
        <w:rPr>
          <w:i/>
          <w:iCs/>
          <w:lang w:eastAsia="zh-CN"/>
        </w:rPr>
        <w:t xml:space="preserve"> </w:t>
      </w:r>
      <w:r w:rsidRPr="0082197E">
        <w:rPr>
          <w:lang w:eastAsia="zh-CN"/>
        </w:rPr>
        <w:t xml:space="preserve">[2] criterion and </w:t>
      </w:r>
      <w:r w:rsidRPr="0082197E">
        <w:rPr>
          <w:i/>
          <w:noProof/>
        </w:rPr>
        <w:t xml:space="preserve">cellEdgeEvaluationWhileStationary </w:t>
      </w:r>
      <w:r w:rsidRPr="0082197E">
        <w:rPr>
          <w:lang w:eastAsia="zh-CN"/>
        </w:rPr>
        <w:t>[2] criterion, and has also fulfilled both criteria</w:t>
      </w:r>
    </w:p>
    <w:p w14:paraId="7A13328F" w14:textId="77777777" w:rsidR="00F87F95" w:rsidRPr="0082197E" w:rsidRDefault="00F87F95" w:rsidP="00F87F95">
      <w:r w:rsidRPr="0082197E">
        <w:t xml:space="preserve">The requirements defined in clause </w:t>
      </w:r>
      <w:r w:rsidRPr="0082197E">
        <w:rPr>
          <w:lang w:eastAsia="zh-CN"/>
        </w:rPr>
        <w:t>4.2B.2.11.3</w:t>
      </w:r>
      <w:r w:rsidRPr="0082197E">
        <w:t xml:space="preserve"> apply for this clause.</w:t>
      </w:r>
    </w:p>
    <w:p w14:paraId="621F0D5E" w14:textId="77777777" w:rsidR="00F87F95" w:rsidRPr="00BE54BE" w:rsidRDefault="00F87F95" w:rsidP="00D77C68"/>
    <w:p w14:paraId="5C50B31A" w14:textId="77777777" w:rsidR="00F87F95" w:rsidRPr="0082197E" w:rsidRDefault="00F87F95" w:rsidP="00F87F95">
      <w:pPr>
        <w:pStyle w:val="Heading5"/>
        <w:rPr>
          <w:lang w:val="en-US" w:eastAsia="zh-CN"/>
        </w:rPr>
      </w:pPr>
      <w:r w:rsidRPr="0082197E">
        <w:rPr>
          <w:lang w:val="en-US" w:eastAsia="zh-CN"/>
        </w:rPr>
        <w:t>4.2B.2.11.7</w:t>
      </w:r>
      <w:r w:rsidRPr="0082197E">
        <w:rPr>
          <w:lang w:val="en-US" w:eastAsia="zh-CN"/>
        </w:rPr>
        <w:tab/>
        <w:t xml:space="preserve">Measurements for a UE fulfilling </w:t>
      </w:r>
      <w:r>
        <w:rPr>
          <w:lang w:val="en-US" w:eastAsia="zh-CN"/>
        </w:rPr>
        <w:t xml:space="preserve">low mobility </w:t>
      </w:r>
      <w:r w:rsidRPr="0082197E">
        <w:rPr>
          <w:lang w:val="en-US" w:eastAsia="zh-CN"/>
        </w:rPr>
        <w:t>not-at-cell edge criterion and stationary not at cell edge criteria</w:t>
      </w:r>
    </w:p>
    <w:p w14:paraId="1EF3D220" w14:textId="77777777" w:rsidR="00F87F95" w:rsidRPr="0082197E" w:rsidRDefault="00F87F95" w:rsidP="00F87F95">
      <w:pPr>
        <w:rPr>
          <w:lang w:eastAsia="zh-CN"/>
        </w:rPr>
      </w:pPr>
      <w:r w:rsidRPr="0082197E">
        <w:rPr>
          <w:lang w:val="en-US" w:eastAsia="zh-CN"/>
        </w:rPr>
        <w:t xml:space="preserve">This clause contains requirements </w:t>
      </w:r>
      <w:r w:rsidRPr="0082197E">
        <w:rPr>
          <w:lang w:eastAsia="zh-CN"/>
        </w:rPr>
        <w:t xml:space="preserve">for measurements on </w:t>
      </w:r>
      <w:r>
        <w:rPr>
          <w:lang w:eastAsia="zh-CN"/>
        </w:rPr>
        <w:t>inter-RAT E-UTRAN</w:t>
      </w:r>
      <w:r w:rsidRPr="0082197E">
        <w:rPr>
          <w:lang w:eastAsia="zh-CN"/>
        </w:rPr>
        <w:t xml:space="preserve"> cells provided that:</w:t>
      </w:r>
    </w:p>
    <w:p w14:paraId="0AD0DBC3" w14:textId="77777777" w:rsidR="00F87F95" w:rsidRPr="0082197E" w:rsidRDefault="00F87F95">
      <w:pPr>
        <w:pStyle w:val="B10"/>
        <w:numPr>
          <w:ilvl w:val="0"/>
          <w:numId w:val="15"/>
        </w:numPr>
        <w:rPr>
          <w:lang w:eastAsia="zh-CN"/>
        </w:rPr>
      </w:pPr>
      <w:r w:rsidRPr="0082197E">
        <w:rPr>
          <w:lang w:eastAsia="zh-CN"/>
        </w:rPr>
        <w:t xml:space="preserve">UE is configured with both </w:t>
      </w:r>
      <w:r w:rsidRPr="0082197E">
        <w:rPr>
          <w:i/>
          <w:iCs/>
          <w:lang w:eastAsia="zh-CN"/>
        </w:rPr>
        <w:t>lowMobilityEvaluation</w:t>
      </w:r>
      <w:r w:rsidRPr="0082197E" w:rsidDel="002409CF">
        <w:rPr>
          <w:i/>
          <w:iCs/>
          <w:lang w:eastAsia="zh-CN"/>
        </w:rPr>
        <w:t xml:space="preserve"> </w:t>
      </w:r>
      <w:r w:rsidRPr="0082197E">
        <w:rPr>
          <w:lang w:eastAsia="zh-CN"/>
        </w:rPr>
        <w:t xml:space="preserve">[2] criterion and </w:t>
      </w:r>
      <w:r w:rsidRPr="0082197E">
        <w:rPr>
          <w:i/>
          <w:iCs/>
          <w:lang w:eastAsia="zh-CN"/>
        </w:rPr>
        <w:t xml:space="preserve">cellEdgeEvaluation </w:t>
      </w:r>
      <w:r w:rsidRPr="0082197E">
        <w:rPr>
          <w:lang w:eastAsia="zh-CN"/>
        </w:rPr>
        <w:t>[2] criterion, and has fulfilled both criteria, and</w:t>
      </w:r>
    </w:p>
    <w:p w14:paraId="098B7BEB" w14:textId="77777777" w:rsidR="00F87F95" w:rsidRPr="0082197E" w:rsidRDefault="00F87F95">
      <w:pPr>
        <w:pStyle w:val="B10"/>
        <w:numPr>
          <w:ilvl w:val="0"/>
          <w:numId w:val="15"/>
        </w:numPr>
        <w:rPr>
          <w:lang w:eastAsia="zh-CN"/>
        </w:rPr>
      </w:pPr>
      <w:r w:rsidRPr="0082197E">
        <w:rPr>
          <w:lang w:eastAsia="zh-CN"/>
        </w:rPr>
        <w:t xml:space="preserve">UE is configured with </w:t>
      </w:r>
      <w:r w:rsidRPr="0013391D">
        <w:rPr>
          <w:i/>
          <w:iCs/>
        </w:rPr>
        <w:t>stationaryMobilityEvaluation</w:t>
      </w:r>
      <w:r w:rsidRPr="0082197E" w:rsidDel="00A82662">
        <w:rPr>
          <w:i/>
          <w:iCs/>
          <w:lang w:eastAsia="zh-CN"/>
        </w:rPr>
        <w:t xml:space="preserve"> </w:t>
      </w:r>
      <w:r w:rsidRPr="0082197E">
        <w:rPr>
          <w:lang w:eastAsia="zh-CN"/>
        </w:rPr>
        <w:t xml:space="preserve">[2] criterion and </w:t>
      </w:r>
      <w:r w:rsidRPr="0082197E">
        <w:rPr>
          <w:i/>
          <w:noProof/>
        </w:rPr>
        <w:t xml:space="preserve">cellEdgeEvaluationWhileStationary </w:t>
      </w:r>
      <w:r w:rsidRPr="0082197E">
        <w:rPr>
          <w:lang w:eastAsia="zh-CN"/>
        </w:rPr>
        <w:t>[2] criterion, and has also fulfilled both criteria</w:t>
      </w:r>
    </w:p>
    <w:p w14:paraId="471DA310" w14:textId="77777777" w:rsidR="00F87F95" w:rsidRPr="0082197E" w:rsidRDefault="00F87F95" w:rsidP="00F87F95">
      <w:r w:rsidRPr="0082197E">
        <w:t xml:space="preserve">The requirements defined in clause </w:t>
      </w:r>
      <w:r w:rsidRPr="0082197E">
        <w:rPr>
          <w:lang w:eastAsia="zh-CN"/>
        </w:rPr>
        <w:t>4.2B.2.11.3</w:t>
      </w:r>
      <w:r w:rsidRPr="0082197E">
        <w:t xml:space="preserve"> apply for this clause.</w:t>
      </w:r>
    </w:p>
    <w:p w14:paraId="08636DCF" w14:textId="77777777" w:rsidR="00F87F95" w:rsidRPr="0031562A" w:rsidRDefault="00F87F95" w:rsidP="00D77C68"/>
    <w:p w14:paraId="69784DC7" w14:textId="77777777" w:rsidR="00F87F95" w:rsidRPr="0082197E" w:rsidRDefault="00F87F95" w:rsidP="00F87F95">
      <w:pPr>
        <w:pStyle w:val="Heading5"/>
        <w:rPr>
          <w:lang w:val="en-US" w:eastAsia="zh-CN"/>
        </w:rPr>
      </w:pPr>
      <w:r w:rsidRPr="0082197E">
        <w:rPr>
          <w:lang w:val="en-US" w:eastAsia="zh-CN"/>
        </w:rPr>
        <w:t>4.2B.2.</w:t>
      </w:r>
      <w:r>
        <w:rPr>
          <w:lang w:val="en-US" w:eastAsia="zh-CN"/>
        </w:rPr>
        <w:t>11</w:t>
      </w:r>
      <w:r w:rsidRPr="0082197E">
        <w:rPr>
          <w:lang w:val="en-US" w:eastAsia="zh-CN"/>
        </w:rPr>
        <w:t>.</w:t>
      </w:r>
      <w:r>
        <w:rPr>
          <w:lang w:val="en-US" w:eastAsia="zh-CN"/>
        </w:rPr>
        <w:t>8</w:t>
      </w:r>
      <w:r w:rsidRPr="0082197E">
        <w:rPr>
          <w:lang w:val="en-US" w:eastAsia="zh-CN"/>
        </w:rPr>
        <w:tab/>
        <w:t>Measurements for a UE fulfilling</w:t>
      </w:r>
      <w:r>
        <w:rPr>
          <w:lang w:val="en-US" w:eastAsia="zh-CN"/>
        </w:rPr>
        <w:t xml:space="preserve"> low mobility </w:t>
      </w:r>
      <w:r w:rsidRPr="0082197E">
        <w:rPr>
          <w:lang w:val="en-US" w:eastAsia="zh-CN"/>
        </w:rPr>
        <w:t>not-at-cell edge criterion and stationary criteria</w:t>
      </w:r>
    </w:p>
    <w:p w14:paraId="474CB23F" w14:textId="77777777" w:rsidR="00F87F95" w:rsidRPr="0082197E" w:rsidRDefault="00F87F95" w:rsidP="00F87F95">
      <w:pPr>
        <w:rPr>
          <w:lang w:eastAsia="zh-CN"/>
        </w:rPr>
      </w:pPr>
      <w:r w:rsidRPr="0082197E">
        <w:rPr>
          <w:lang w:val="en-US" w:eastAsia="zh-CN"/>
        </w:rPr>
        <w:t xml:space="preserve">This clause contains requirements </w:t>
      </w:r>
      <w:r w:rsidRPr="0082197E">
        <w:rPr>
          <w:lang w:eastAsia="zh-CN"/>
        </w:rPr>
        <w:t xml:space="preserve">for measurements on </w:t>
      </w:r>
      <w:r w:rsidRPr="00D56527">
        <w:rPr>
          <w:noProof/>
        </w:rPr>
        <w:t xml:space="preserve">inter-RAT E-UTRAN </w:t>
      </w:r>
      <w:r w:rsidRPr="0082197E">
        <w:rPr>
          <w:lang w:eastAsia="zh-CN"/>
        </w:rPr>
        <w:t>cells provided that:</w:t>
      </w:r>
    </w:p>
    <w:p w14:paraId="645EE464" w14:textId="681102B0" w:rsidR="00F87F95" w:rsidRPr="00D07D26" w:rsidRDefault="008C090A" w:rsidP="008C090A">
      <w:pPr>
        <w:pStyle w:val="B10"/>
        <w:rPr>
          <w:lang w:eastAsia="zh-CN"/>
        </w:rPr>
      </w:pPr>
      <w:r>
        <w:rPr>
          <w:lang w:eastAsia="zh-CN"/>
        </w:rPr>
        <w:t>-</w:t>
      </w:r>
      <w:r>
        <w:rPr>
          <w:lang w:eastAsia="zh-CN"/>
        </w:rPr>
        <w:tab/>
      </w:r>
      <w:r w:rsidR="00F87F95" w:rsidRPr="00D07D26">
        <w:rPr>
          <w:lang w:eastAsia="zh-CN"/>
        </w:rPr>
        <w:t xml:space="preserve">UE is configured with both </w:t>
      </w:r>
      <w:r w:rsidR="00F87F95" w:rsidRPr="00BE54BE">
        <w:rPr>
          <w:i/>
          <w:iCs/>
          <w:lang w:eastAsia="zh-CN"/>
        </w:rPr>
        <w:t>lowMobilityEvaluation</w:t>
      </w:r>
      <w:r w:rsidR="00F87F95" w:rsidRPr="00D07D26" w:rsidDel="002409CF">
        <w:rPr>
          <w:i/>
          <w:iCs/>
          <w:lang w:eastAsia="zh-CN"/>
        </w:rPr>
        <w:t xml:space="preserve"> </w:t>
      </w:r>
      <w:r w:rsidR="00F87F95" w:rsidRPr="00D07D26">
        <w:rPr>
          <w:lang w:eastAsia="zh-CN"/>
        </w:rPr>
        <w:t xml:space="preserve">[2] criterion and </w:t>
      </w:r>
      <w:r w:rsidR="00F87F95" w:rsidRPr="00D07D26">
        <w:rPr>
          <w:i/>
          <w:iCs/>
          <w:lang w:eastAsia="zh-CN"/>
        </w:rPr>
        <w:t xml:space="preserve">cellEdgeEvaluation </w:t>
      </w:r>
      <w:r w:rsidR="00F87F95" w:rsidRPr="00D07D26">
        <w:rPr>
          <w:lang w:eastAsia="zh-CN"/>
        </w:rPr>
        <w:t>[2] criterion, and has fulfilled both criteria, and</w:t>
      </w:r>
    </w:p>
    <w:p w14:paraId="276CB170" w14:textId="7EBB8421" w:rsidR="00F87F95" w:rsidRPr="0082197E" w:rsidRDefault="008C090A" w:rsidP="008C090A">
      <w:pPr>
        <w:pStyle w:val="B10"/>
        <w:rPr>
          <w:lang w:eastAsia="zh-CN"/>
        </w:rPr>
      </w:pPr>
      <w:r>
        <w:rPr>
          <w:lang w:eastAsia="zh-CN"/>
        </w:rPr>
        <w:t>-</w:t>
      </w:r>
      <w:r>
        <w:rPr>
          <w:lang w:eastAsia="zh-CN"/>
        </w:rPr>
        <w:tab/>
      </w:r>
      <w:r w:rsidRPr="0082197E">
        <w:rPr>
          <w:lang w:eastAsia="zh-CN"/>
        </w:rPr>
        <w:t xml:space="preserve">UE is configured with </w:t>
      </w:r>
      <w:r w:rsidRPr="0013391D">
        <w:rPr>
          <w:i/>
          <w:iCs/>
        </w:rPr>
        <w:t>stationaryMobilityEvaluation</w:t>
      </w:r>
      <w:r>
        <w:rPr>
          <w:i/>
          <w:iCs/>
        </w:rPr>
        <w:t xml:space="preserve"> </w:t>
      </w:r>
      <w:r w:rsidRPr="0082197E">
        <w:rPr>
          <w:lang w:eastAsia="zh-CN"/>
        </w:rPr>
        <w:t>[2] crite</w:t>
      </w:r>
      <w:r w:rsidRPr="004D6618">
        <w:rPr>
          <w:lang w:eastAsia="zh-CN"/>
        </w:rPr>
        <w:t xml:space="preserve">rion and has also fulfilled that criterion, or UE is configured with both </w:t>
      </w:r>
      <w:r w:rsidRPr="004D6618">
        <w:rPr>
          <w:i/>
          <w:noProof/>
        </w:rPr>
        <w:t xml:space="preserve">stationaryMobilityEvaluation </w:t>
      </w:r>
      <w:r w:rsidRPr="004D6618">
        <w:rPr>
          <w:lang w:eastAsia="zh-CN"/>
        </w:rPr>
        <w:t xml:space="preserve">[2] criterion and </w:t>
      </w:r>
      <w:r w:rsidRPr="004D6618">
        <w:rPr>
          <w:i/>
          <w:noProof/>
        </w:rPr>
        <w:t xml:space="preserve">cellEdgeEvaluationWhileStationary </w:t>
      </w:r>
      <w:r w:rsidRPr="004D6618">
        <w:rPr>
          <w:lang w:eastAsia="zh-CN"/>
        </w:rPr>
        <w:t xml:space="preserve">[2] criterion and </w:t>
      </w:r>
      <w:r w:rsidRPr="004D6618">
        <w:rPr>
          <w:i/>
          <w:lang w:eastAsia="zh-CN"/>
        </w:rPr>
        <w:t xml:space="preserve">combineRelaxedMeasCondition2 </w:t>
      </w:r>
      <w:r w:rsidRPr="004D6618">
        <w:rPr>
          <w:lang w:eastAsia="zh-CN"/>
        </w:rPr>
        <w:t xml:space="preserve">[2] not configured, and UE has fulfilled </w:t>
      </w:r>
      <w:r w:rsidRPr="004D6618">
        <w:rPr>
          <w:i/>
          <w:noProof/>
        </w:rPr>
        <w:t xml:space="preserve">stationaryMobilityEvaluation </w:t>
      </w:r>
      <w:r w:rsidRPr="004D6618">
        <w:rPr>
          <w:lang w:eastAsia="zh-CN"/>
        </w:rPr>
        <w:t>[2] criteria.</w:t>
      </w:r>
    </w:p>
    <w:p w14:paraId="198B0708" w14:textId="77777777" w:rsidR="00F87F95" w:rsidRPr="0082197E" w:rsidRDefault="00F87F95" w:rsidP="00F87F95">
      <w:r w:rsidRPr="0082197E">
        <w:t xml:space="preserve">The requirements defined in clause </w:t>
      </w:r>
      <w:r w:rsidRPr="0082197E">
        <w:rPr>
          <w:lang w:eastAsia="zh-CN"/>
        </w:rPr>
        <w:t>4.2</w:t>
      </w:r>
      <w:r>
        <w:rPr>
          <w:lang w:eastAsia="zh-CN"/>
        </w:rPr>
        <w:t>.2.11.4</w:t>
      </w:r>
      <w:r w:rsidRPr="0082197E">
        <w:t xml:space="preserve"> apply for this clause.</w:t>
      </w:r>
    </w:p>
    <w:p w14:paraId="432F4658" w14:textId="3E8B4D4C" w:rsidR="00D808CB" w:rsidRDefault="00D808CB" w:rsidP="008A6EF7"/>
    <w:p w14:paraId="5C9921E4" w14:textId="77777777" w:rsidR="009F2DC6" w:rsidRDefault="009F2DC6" w:rsidP="009F2DC6">
      <w:pPr>
        <w:pStyle w:val="Heading5"/>
        <w:rPr>
          <w:lang w:val="en-US" w:eastAsia="zh-CN"/>
        </w:rPr>
      </w:pPr>
      <w:r>
        <w:rPr>
          <w:lang w:val="en-US" w:eastAsia="zh-CN"/>
        </w:rPr>
        <w:t>4.2B.2.11.9</w:t>
      </w:r>
      <w:r w:rsidRPr="00885F53">
        <w:rPr>
          <w:lang w:val="en-US" w:eastAsia="zh-CN"/>
        </w:rPr>
        <w:tab/>
      </w:r>
      <w:r>
        <w:rPr>
          <w:lang w:val="en-US" w:eastAsia="zh-CN"/>
        </w:rPr>
        <w:t>Measurements for UE fulfilling low mobility criterion</w:t>
      </w:r>
    </w:p>
    <w:p w14:paraId="79B5FC58" w14:textId="77777777" w:rsidR="009F2DC6" w:rsidRPr="000D108A" w:rsidRDefault="009F2DC6" w:rsidP="009F2DC6">
      <w:pPr>
        <w:rPr>
          <w:rFonts w:eastAsiaTheme="minorEastAsia"/>
          <w:lang w:eastAsia="zh-CN"/>
        </w:rPr>
      </w:pPr>
      <w:r w:rsidRPr="00885F53">
        <w:rPr>
          <w:lang w:val="en-US" w:eastAsia="zh-CN"/>
        </w:rPr>
        <w:t xml:space="preserve">This clause contains requirements </w:t>
      </w:r>
      <w:r>
        <w:rPr>
          <w:rFonts w:eastAsiaTheme="minorEastAsia"/>
          <w:lang w:eastAsia="zh-CN"/>
        </w:rPr>
        <w:t>for measur</w:t>
      </w:r>
      <w:r w:rsidRPr="00D56527">
        <w:rPr>
          <w:rFonts w:eastAsiaTheme="minorEastAsia"/>
          <w:lang w:eastAsia="zh-CN"/>
        </w:rPr>
        <w:t xml:space="preserve">ements on </w:t>
      </w:r>
      <w:r w:rsidRPr="00D56527">
        <w:rPr>
          <w:noProof/>
        </w:rPr>
        <w:t>inter-RAT E-UTRAN cells</w:t>
      </w:r>
      <w:r w:rsidRPr="000D108A">
        <w:rPr>
          <w:rFonts w:eastAsiaTheme="minorEastAsia"/>
          <w:lang w:eastAsia="zh-CN"/>
        </w:rPr>
        <w:t xml:space="preserve"> provided that:</w:t>
      </w:r>
    </w:p>
    <w:p w14:paraId="559EB7F9" w14:textId="77777777" w:rsidR="009F2DC6" w:rsidRPr="00CF075A" w:rsidRDefault="009F2DC6" w:rsidP="009F2DC6">
      <w:pPr>
        <w:pStyle w:val="B10"/>
        <w:rPr>
          <w:lang w:eastAsia="zh-CN"/>
        </w:rPr>
      </w:pPr>
      <w:r>
        <w:rPr>
          <w:lang w:eastAsia="zh-CN"/>
        </w:rPr>
        <w:t>-</w:t>
      </w:r>
      <w:r>
        <w:rPr>
          <w:lang w:eastAsia="zh-CN"/>
        </w:rPr>
        <w:tab/>
      </w:r>
      <w:r w:rsidRPr="009449C0">
        <w:rPr>
          <w:lang w:eastAsia="zh-CN"/>
        </w:rPr>
        <w:t xml:space="preserve">UE is configured with </w:t>
      </w:r>
      <w:r w:rsidRPr="00485479">
        <w:rPr>
          <w:i/>
          <w:iCs/>
          <w:lang w:eastAsia="zh-CN"/>
        </w:rPr>
        <w:t>lowMobilityEvalutation</w:t>
      </w:r>
      <w:r>
        <w:rPr>
          <w:lang w:eastAsia="zh-CN"/>
        </w:rPr>
        <w:t xml:space="preserve"> [2]</w:t>
      </w:r>
      <w:r w:rsidRPr="009449C0">
        <w:rPr>
          <w:lang w:eastAsia="zh-CN"/>
        </w:rPr>
        <w:t xml:space="preserve"> criterion</w:t>
      </w:r>
      <w:r>
        <w:rPr>
          <w:lang w:eastAsia="zh-CN"/>
        </w:rPr>
        <w:t xml:space="preserve"> and UE has fulfilled</w:t>
      </w:r>
      <w:r w:rsidRPr="009449C0">
        <w:rPr>
          <w:lang w:eastAsia="zh-CN"/>
        </w:rPr>
        <w:t xml:space="preserve">, </w:t>
      </w:r>
      <w:r w:rsidRPr="00CF075A">
        <w:rPr>
          <w:lang w:eastAsia="zh-CN"/>
        </w:rPr>
        <w:t xml:space="preserve">or  </w:t>
      </w:r>
    </w:p>
    <w:p w14:paraId="4504BCF9" w14:textId="77777777" w:rsidR="009F2DC6" w:rsidRPr="00AD77EE" w:rsidRDefault="009F2DC6" w:rsidP="009F2DC6">
      <w:pPr>
        <w:pStyle w:val="B10"/>
        <w:rPr>
          <w:lang w:eastAsia="zh-CN"/>
        </w:rPr>
      </w:pPr>
      <w:r>
        <w:rPr>
          <w:lang w:eastAsia="zh-CN"/>
        </w:rPr>
        <w:t>-</w:t>
      </w:r>
      <w:r>
        <w:rPr>
          <w:lang w:eastAsia="zh-CN"/>
        </w:rPr>
        <w:tab/>
      </w:r>
      <w:r w:rsidRPr="002A0573">
        <w:rPr>
          <w:lang w:eastAsia="zh-CN"/>
        </w:rPr>
        <w:t xml:space="preserve">UE is configured with </w:t>
      </w:r>
      <w:r w:rsidRPr="00D56527">
        <w:rPr>
          <w:lang w:eastAsia="zh-CN"/>
        </w:rPr>
        <w:t xml:space="preserve">both </w:t>
      </w:r>
      <w:r w:rsidRPr="00485479">
        <w:rPr>
          <w:i/>
          <w:iCs/>
          <w:lang w:eastAsia="zh-CN"/>
        </w:rPr>
        <w:t>lowMobilityEvalutation</w:t>
      </w:r>
      <w:r>
        <w:rPr>
          <w:lang w:eastAsia="zh-CN"/>
        </w:rPr>
        <w:t xml:space="preserve"> [2]</w:t>
      </w:r>
      <w:r w:rsidRPr="00AD77EE">
        <w:rPr>
          <w:lang w:eastAsia="zh-CN"/>
        </w:rPr>
        <w:t xml:space="preserve"> criterion and </w:t>
      </w:r>
      <w:r w:rsidRPr="00485479">
        <w:rPr>
          <w:i/>
          <w:iCs/>
          <w:lang w:eastAsia="zh-CN"/>
        </w:rPr>
        <w:t>cellEdgeEvaluation</w:t>
      </w:r>
      <w:r>
        <w:rPr>
          <w:i/>
          <w:iCs/>
          <w:lang w:eastAsia="zh-CN"/>
        </w:rPr>
        <w:t xml:space="preserve"> </w:t>
      </w:r>
      <w:r>
        <w:rPr>
          <w:lang w:eastAsia="zh-CN"/>
        </w:rPr>
        <w:t>[2]</w:t>
      </w:r>
      <w:r w:rsidRPr="00AD77EE">
        <w:rPr>
          <w:lang w:eastAsia="zh-CN"/>
        </w:rPr>
        <w:t xml:space="preserve"> criterion</w:t>
      </w:r>
      <w:r w:rsidRPr="00D36387">
        <w:rPr>
          <w:lang w:eastAsia="zh-CN"/>
        </w:rPr>
        <w:t xml:space="preserve"> </w:t>
      </w:r>
      <w:r>
        <w:rPr>
          <w:lang w:eastAsia="zh-CN"/>
        </w:rPr>
        <w:t xml:space="preserve">and </w:t>
      </w:r>
      <w:r w:rsidRPr="0061045D">
        <w:rPr>
          <w:i/>
          <w:lang w:eastAsia="zh-CN"/>
        </w:rPr>
        <w:t>combineRelaxedMeasCondition</w:t>
      </w:r>
      <w:r>
        <w:rPr>
          <w:rFonts w:hint="eastAsia"/>
          <w:lang w:eastAsia="zh-CN"/>
        </w:rPr>
        <w:t xml:space="preserve"> </w:t>
      </w:r>
      <w:r>
        <w:rPr>
          <w:lang w:eastAsia="zh-CN"/>
        </w:rPr>
        <w:t>[2] not configured</w:t>
      </w:r>
      <w:r w:rsidRPr="00AD77EE">
        <w:rPr>
          <w:lang w:eastAsia="zh-CN"/>
        </w:rPr>
        <w:t xml:space="preserve">, </w:t>
      </w:r>
      <w:r>
        <w:rPr>
          <w:lang w:eastAsia="zh-CN"/>
        </w:rPr>
        <w:t>and</w:t>
      </w:r>
    </w:p>
    <w:p w14:paraId="61D27D6A" w14:textId="77777777" w:rsidR="009F2DC6" w:rsidRPr="00F52E47" w:rsidRDefault="009F2DC6" w:rsidP="009F2DC6">
      <w:pPr>
        <w:pStyle w:val="B10"/>
        <w:rPr>
          <w:lang w:eastAsia="zh-CN"/>
        </w:rPr>
      </w:pPr>
      <w:r>
        <w:rPr>
          <w:lang w:eastAsia="zh-CN"/>
        </w:rPr>
        <w:t>-</w:t>
      </w:r>
      <w:r>
        <w:rPr>
          <w:lang w:eastAsia="zh-CN"/>
        </w:rPr>
        <w:tab/>
        <w:t xml:space="preserve">UE </w:t>
      </w:r>
      <w:r w:rsidRPr="00F52E47">
        <w:rPr>
          <w:lang w:eastAsia="zh-CN"/>
        </w:rPr>
        <w:t xml:space="preserve">has fulfilled only the </w:t>
      </w:r>
      <w:r w:rsidRPr="00485479">
        <w:rPr>
          <w:i/>
          <w:iCs/>
          <w:lang w:eastAsia="zh-CN"/>
        </w:rPr>
        <w:t>lowMobilityEvalutation</w:t>
      </w:r>
      <w:r>
        <w:rPr>
          <w:lang w:eastAsia="zh-CN"/>
        </w:rPr>
        <w:t xml:space="preserve"> [2]</w:t>
      </w:r>
      <w:r w:rsidRPr="00F52E47">
        <w:rPr>
          <w:lang w:eastAsia="zh-CN"/>
        </w:rPr>
        <w:t xml:space="preserve"> criterion</w:t>
      </w:r>
      <w:r>
        <w:rPr>
          <w:lang w:eastAsia="zh-CN"/>
        </w:rPr>
        <w:t>.</w:t>
      </w:r>
    </w:p>
    <w:p w14:paraId="632226FE" w14:textId="77777777" w:rsidR="009F2DC6" w:rsidRDefault="009F2DC6" w:rsidP="009F2DC6">
      <w:pPr>
        <w:rPr>
          <w:noProof/>
        </w:rPr>
      </w:pPr>
      <w:r>
        <w:rPr>
          <w:rFonts w:hint="eastAsia"/>
          <w:noProof/>
          <w:lang w:eastAsia="zh-CN"/>
        </w:rPr>
        <w:t>W</w:t>
      </w:r>
      <w:r w:rsidRPr="00D56527">
        <w:rPr>
          <w:noProof/>
        </w:rPr>
        <w:t xml:space="preserve">hen </w:t>
      </w:r>
      <w:r w:rsidRPr="00734785">
        <w:rPr>
          <w:rFonts w:eastAsiaTheme="minorEastAsia"/>
          <w:lang w:eastAsia="zh-CN"/>
        </w:rPr>
        <w:t xml:space="preserve">Srxlev </w:t>
      </w:r>
      <w:r w:rsidRPr="00691C10">
        <w:t>≤</w:t>
      </w:r>
      <w:r w:rsidRPr="00734785">
        <w:rPr>
          <w:rFonts w:eastAsiaTheme="minorEastAsia"/>
          <w:lang w:eastAsia="zh-CN"/>
        </w:rPr>
        <w:t xml:space="preserve"> S</w:t>
      </w:r>
      <w:r w:rsidRPr="00C15974">
        <w:rPr>
          <w:rFonts w:eastAsiaTheme="minorEastAsia"/>
          <w:vertAlign w:val="subscript"/>
          <w:lang w:eastAsia="zh-CN"/>
        </w:rPr>
        <w:t>nonIntraSearchP</w:t>
      </w:r>
      <w:r w:rsidRPr="00734785">
        <w:rPr>
          <w:rFonts w:eastAsiaTheme="minorEastAsia"/>
          <w:lang w:eastAsia="zh-CN"/>
        </w:rPr>
        <w:t xml:space="preserve"> and Squal </w:t>
      </w:r>
      <w:r w:rsidRPr="00691C10">
        <w:t>≤</w:t>
      </w:r>
      <w:r w:rsidRPr="00734785">
        <w:rPr>
          <w:rFonts w:eastAsiaTheme="minorEastAsia"/>
          <w:lang w:eastAsia="zh-CN"/>
        </w:rPr>
        <w:t xml:space="preserve"> S</w:t>
      </w:r>
      <w:r w:rsidRPr="00C15974">
        <w:rPr>
          <w:rFonts w:eastAsiaTheme="minorEastAsia"/>
          <w:vertAlign w:val="subscript"/>
          <w:lang w:eastAsia="zh-CN"/>
        </w:rPr>
        <w:t>nonIntraSearchQ</w:t>
      </w:r>
      <w:r w:rsidRPr="00D56527">
        <w:rPr>
          <w:noProof/>
        </w:rPr>
        <w:t xml:space="preserve"> </w:t>
      </w:r>
      <w:r>
        <w:rPr>
          <w:rFonts w:hint="eastAsia"/>
          <w:noProof/>
          <w:lang w:eastAsia="zh-CN"/>
        </w:rPr>
        <w:t>then</w:t>
      </w:r>
      <w:r w:rsidRPr="0089796C">
        <w:rPr>
          <w:noProof/>
        </w:rPr>
        <w:t xml:space="preserve"> </w:t>
      </w:r>
      <w:r>
        <w:rPr>
          <w:noProof/>
        </w:rPr>
        <w:t>t</w:t>
      </w:r>
      <w:r w:rsidRPr="0089796C">
        <w:rPr>
          <w:noProof/>
        </w:rPr>
        <w:t xml:space="preserve">he requirements defined in clause </w:t>
      </w:r>
      <w:r>
        <w:t>4.2B.2.5</w:t>
      </w:r>
      <w:r w:rsidRPr="0089796C">
        <w:t xml:space="preserve"> </w:t>
      </w:r>
      <w:r w:rsidRPr="0089796C">
        <w:rPr>
          <w:noProof/>
        </w:rPr>
        <w:t xml:space="preserve">apply for this </w:t>
      </w:r>
      <w:r>
        <w:rPr>
          <w:noProof/>
        </w:rPr>
        <w:t>clause</w:t>
      </w:r>
      <w:r w:rsidRPr="0089796C">
        <w:rPr>
          <w:noProof/>
        </w:rPr>
        <w:t xml:space="preserve"> </w:t>
      </w:r>
      <w:r>
        <w:rPr>
          <w:noProof/>
        </w:rPr>
        <w:t>except that</w:t>
      </w:r>
      <w:r w:rsidRPr="0089796C">
        <w:rPr>
          <w:noProof/>
        </w:rPr>
        <w:t>:</w:t>
      </w:r>
    </w:p>
    <w:p w14:paraId="303ED629" w14:textId="77777777" w:rsidR="009F2DC6" w:rsidRDefault="009F2DC6" w:rsidP="009F2DC6">
      <w:pPr>
        <w:pStyle w:val="B10"/>
      </w:pPr>
      <w:r w:rsidRPr="0089796C">
        <w:t>-</w:t>
      </w:r>
      <w:r w:rsidRPr="0089796C">
        <w:tab/>
      </w:r>
      <w:r w:rsidRPr="00885F53">
        <w:t>T</w:t>
      </w:r>
      <w:r w:rsidRPr="00885F53">
        <w:rPr>
          <w:vertAlign w:val="subscript"/>
        </w:rPr>
        <w:t>detect,</w:t>
      </w:r>
      <w:r>
        <w:rPr>
          <w:vertAlign w:val="subscript"/>
        </w:rPr>
        <w:t>EUTRAN_RedCap_Relax</w:t>
      </w:r>
      <w:r w:rsidRPr="00885F53">
        <w:rPr>
          <w:i/>
          <w:vertAlign w:val="subscript"/>
        </w:rPr>
        <w:t xml:space="preserve"> </w:t>
      </w:r>
      <w:r>
        <w:t xml:space="preserve">as specified in </w:t>
      </w:r>
      <w:r w:rsidRPr="00AD77EE">
        <w:t xml:space="preserve">Table </w:t>
      </w:r>
      <w:r>
        <w:t>4.2B.2.11.9</w:t>
      </w:r>
      <w:r w:rsidRPr="00AD77EE">
        <w:t>-1.</w:t>
      </w:r>
    </w:p>
    <w:p w14:paraId="75AAAE58" w14:textId="77777777" w:rsidR="009F2DC6" w:rsidRDefault="009F2DC6" w:rsidP="009F2DC6">
      <w:pPr>
        <w:pStyle w:val="B10"/>
      </w:pPr>
      <w:r w:rsidRPr="0089796C">
        <w:t>-</w:t>
      </w:r>
      <w:r w:rsidRPr="0089796C">
        <w:tab/>
      </w:r>
      <w:r w:rsidRPr="00885F53">
        <w:rPr>
          <w:rFonts w:cs="v4.2.0"/>
        </w:rPr>
        <w:t>T</w:t>
      </w:r>
      <w:r w:rsidRPr="00885F53">
        <w:rPr>
          <w:rFonts w:cs="v4.2.0"/>
          <w:vertAlign w:val="subscript"/>
        </w:rPr>
        <w:t>measure,</w:t>
      </w:r>
      <w:r>
        <w:rPr>
          <w:rFonts w:cs="v4.2.0"/>
          <w:vertAlign w:val="subscript"/>
        </w:rPr>
        <w:t>EUTRAN</w:t>
      </w:r>
      <w:r>
        <w:rPr>
          <w:vertAlign w:val="subscript"/>
        </w:rPr>
        <w:t>_RedCap_Relax</w:t>
      </w:r>
      <w:r w:rsidRPr="00885F53">
        <w:rPr>
          <w:rFonts w:cs="v4.2.0"/>
        </w:rPr>
        <w:t xml:space="preserve"> </w:t>
      </w:r>
      <w:r>
        <w:t xml:space="preserve">as specified in </w:t>
      </w:r>
      <w:r w:rsidRPr="00AD77EE">
        <w:t xml:space="preserve">Table </w:t>
      </w:r>
      <w:r>
        <w:t>4.2B.2.11.9</w:t>
      </w:r>
      <w:r w:rsidRPr="00AD77EE">
        <w:t>-1.</w:t>
      </w:r>
    </w:p>
    <w:p w14:paraId="2FEF62CD" w14:textId="77777777" w:rsidR="009F2DC6" w:rsidRDefault="009F2DC6" w:rsidP="009F2DC6">
      <w:pPr>
        <w:pStyle w:val="B10"/>
      </w:pPr>
      <w:r w:rsidRPr="0089796C">
        <w:t>-</w:t>
      </w:r>
      <w:r w:rsidRPr="0089796C">
        <w:tab/>
      </w:r>
      <w:r w:rsidRPr="00885F53">
        <w:rPr>
          <w:rFonts w:cs="v4.2.0"/>
        </w:rPr>
        <w:t>T</w:t>
      </w:r>
      <w:r w:rsidRPr="00885F53">
        <w:rPr>
          <w:rFonts w:cs="v4.2.0"/>
          <w:vertAlign w:val="subscript"/>
        </w:rPr>
        <w:t>evaluate,</w:t>
      </w:r>
      <w:r>
        <w:rPr>
          <w:rFonts w:cs="v4.2.0"/>
          <w:vertAlign w:val="subscript"/>
        </w:rPr>
        <w:t>EUTRAN</w:t>
      </w:r>
      <w:r>
        <w:rPr>
          <w:vertAlign w:val="subscript"/>
        </w:rPr>
        <w:t>_RedCap_Relax</w:t>
      </w:r>
      <w:r>
        <w:rPr>
          <w:rFonts w:cs="v4.2.0"/>
          <w:vertAlign w:val="subscript"/>
        </w:rPr>
        <w:t xml:space="preserve"> </w:t>
      </w:r>
      <w:r>
        <w:t xml:space="preserve">as specified in </w:t>
      </w:r>
      <w:r w:rsidRPr="00F52E47">
        <w:t xml:space="preserve">Table </w:t>
      </w:r>
      <w:r>
        <w:t>4.2B.2.11.9</w:t>
      </w:r>
      <w:r w:rsidRPr="00F52E47">
        <w:t>-1.</w:t>
      </w:r>
    </w:p>
    <w:p w14:paraId="0DAE1DA1" w14:textId="77777777" w:rsidR="009F2DC6" w:rsidRDefault="009F2DC6" w:rsidP="009F2DC6">
      <w:pPr>
        <w:spacing w:after="0"/>
        <w:rPr>
          <w:color w:val="000000"/>
          <w:lang w:eastAsia="fr-FR"/>
        </w:rPr>
      </w:pPr>
      <w:r w:rsidRPr="00020954">
        <w:rPr>
          <w:color w:val="000000"/>
          <w:lang w:eastAsia="fr-FR"/>
        </w:rPr>
        <w:t>If the UE is configured with eDRX_IDLE cycle then the requirements in Table 4.2B.2.11.</w:t>
      </w:r>
      <w:r>
        <w:rPr>
          <w:color w:val="000000"/>
          <w:lang w:eastAsia="fr-FR"/>
        </w:rPr>
        <w:t>9</w:t>
      </w:r>
      <w:r w:rsidRPr="00020954">
        <w:rPr>
          <w:color w:val="000000"/>
          <w:lang w:eastAsia="fr-FR"/>
        </w:rPr>
        <w:t>-</w:t>
      </w:r>
      <w:r>
        <w:rPr>
          <w:color w:val="000000"/>
          <w:lang w:eastAsia="fr-FR"/>
        </w:rPr>
        <w:t>2</w:t>
      </w:r>
      <w:r w:rsidRPr="00020954">
        <w:rPr>
          <w:color w:val="000000"/>
          <w:lang w:eastAsia="fr-FR"/>
        </w:rPr>
        <w:t xml:space="preserve"> are applicable for eDRX cycle &lt; 10.24 s</w:t>
      </w:r>
      <w:r>
        <w:rPr>
          <w:color w:val="000000"/>
          <w:lang w:eastAsia="fr-FR"/>
        </w:rPr>
        <w:t xml:space="preserve"> </w:t>
      </w:r>
      <w:r>
        <w:rPr>
          <w:snapToGrid w:val="0"/>
        </w:rPr>
        <w:t>for 1 Rx and 2 Rx RedCap UE</w:t>
      </w:r>
      <w:r w:rsidRPr="00020954">
        <w:rPr>
          <w:color w:val="000000"/>
          <w:lang w:eastAsia="fr-FR"/>
        </w:rPr>
        <w:t xml:space="preserve">. </w:t>
      </w:r>
    </w:p>
    <w:p w14:paraId="6BB36414" w14:textId="77777777" w:rsidR="009F2DC6" w:rsidRDefault="009F2DC6" w:rsidP="009F2DC6">
      <w:pPr>
        <w:spacing w:after="0"/>
        <w:rPr>
          <w:color w:val="000000"/>
          <w:lang w:eastAsia="fr-FR"/>
        </w:rPr>
      </w:pPr>
      <w:r w:rsidRPr="00020954">
        <w:rPr>
          <w:color w:val="000000"/>
          <w:lang w:eastAsia="fr-FR"/>
        </w:rPr>
        <w:t>If the UE is configured with eDRX_IDLE cycle ≥ 10.24 s, then the requirements in Table 4.2B.2.11.</w:t>
      </w:r>
      <w:r>
        <w:rPr>
          <w:color w:val="000000"/>
          <w:lang w:eastAsia="fr-FR"/>
        </w:rPr>
        <w:t>9</w:t>
      </w:r>
      <w:r w:rsidRPr="00020954">
        <w:rPr>
          <w:color w:val="000000"/>
          <w:lang w:eastAsia="fr-FR"/>
        </w:rPr>
        <w:t>-</w:t>
      </w:r>
      <w:r>
        <w:rPr>
          <w:color w:val="000000"/>
          <w:lang w:eastAsia="fr-FR"/>
        </w:rPr>
        <w:t>3,</w:t>
      </w:r>
      <w:r w:rsidRPr="00020954">
        <w:rPr>
          <w:color w:val="000000"/>
          <w:lang w:eastAsia="fr-FR"/>
        </w:rPr>
        <w:t xml:space="preserve"> </w:t>
      </w:r>
      <w:r>
        <w:rPr>
          <w:snapToGrid w:val="0"/>
        </w:rPr>
        <w:t>for 1 Rx and 2 Rx RedCap UE,</w:t>
      </w:r>
      <w:r w:rsidRPr="00020954">
        <w:rPr>
          <w:color w:val="000000"/>
          <w:lang w:eastAsia="fr-FR"/>
        </w:rPr>
        <w:t xml:space="preserve"> apply provided that filtering of a measurement is done within a single PTW and provided that the eDRX cycle is ≤ [163.84] sec and evaluation/measurement time with relaxation on one carrier is not greater than single PTW window length.</w:t>
      </w:r>
    </w:p>
    <w:p w14:paraId="5C13551D" w14:textId="77777777" w:rsidR="009F2DC6" w:rsidRDefault="009F2DC6" w:rsidP="009F2DC6">
      <w:pPr>
        <w:spacing w:after="0"/>
      </w:pPr>
    </w:p>
    <w:p w14:paraId="6CB5317E" w14:textId="77777777" w:rsidR="009F2DC6" w:rsidRDefault="009F2DC6" w:rsidP="009F2DC6">
      <w:pPr>
        <w:rPr>
          <w:lang w:eastAsia="zh-CN"/>
        </w:rPr>
      </w:pPr>
      <w:r>
        <w:rPr>
          <w:lang w:eastAsia="zh-CN"/>
        </w:rPr>
        <w:t>W</w:t>
      </w:r>
      <w:r w:rsidRPr="00C33767">
        <w:rPr>
          <w:lang w:eastAsia="zh-CN"/>
        </w:rPr>
        <w:t xml:space="preserve">hen </w:t>
      </w:r>
      <w:r w:rsidRPr="00A41B58">
        <w:t>Srxlev &gt; S</w:t>
      </w:r>
      <w:r w:rsidRPr="00A41B58">
        <w:rPr>
          <w:vertAlign w:val="subscript"/>
        </w:rPr>
        <w:t>nonIntraSearchP</w:t>
      </w:r>
      <w:r w:rsidRPr="00A41B58">
        <w:t xml:space="preserve"> and Squal &gt; S</w:t>
      </w:r>
      <w:r w:rsidRPr="00EC47A7">
        <w:rPr>
          <w:vertAlign w:val="subscript"/>
        </w:rPr>
        <w:t>nonIntraSearchQ</w:t>
      </w:r>
      <w:r w:rsidRPr="00EC47A7">
        <w:t xml:space="preserve"> and the UE is co</w:t>
      </w:r>
      <w:r w:rsidRPr="00D56527">
        <w:t xml:space="preserve">nfigured with </w:t>
      </w:r>
      <w:r w:rsidRPr="00734785">
        <w:rPr>
          <w:i/>
          <w:iCs/>
          <w:noProof/>
        </w:rPr>
        <w:t>highPriorityMeasRelax</w:t>
      </w:r>
      <w:r w:rsidRPr="00734785">
        <w:rPr>
          <w:noProof/>
        </w:rPr>
        <w:t xml:space="preserve"> [2]</w:t>
      </w:r>
      <w:r w:rsidRPr="00C33767">
        <w:rPr>
          <w:noProof/>
        </w:rPr>
        <w:t xml:space="preserve"> </w:t>
      </w:r>
      <w:r w:rsidRPr="00A41B58">
        <w:rPr>
          <w:noProof/>
        </w:rPr>
        <w:t>then</w:t>
      </w:r>
      <w:r w:rsidRPr="00A41B58">
        <w:t xml:space="preserve"> the UE shall search for </w:t>
      </w:r>
      <w:r>
        <w:t xml:space="preserve">E-UTRA </w:t>
      </w:r>
      <w:r w:rsidRPr="00A41B58">
        <w:t>inter-</w:t>
      </w:r>
      <w:r>
        <w:rPr>
          <w:rFonts w:hint="eastAsia"/>
          <w:lang w:eastAsia="zh-CN"/>
        </w:rPr>
        <w:t xml:space="preserve">RAT </w:t>
      </w:r>
      <w:r w:rsidRPr="00A41B58">
        <w:t>frequency layers of higher priority at least every K</w:t>
      </w:r>
      <w:r w:rsidRPr="00EC47A7">
        <w:t>2*T</w:t>
      </w:r>
      <w:r w:rsidRPr="00EC47A7">
        <w:rPr>
          <w:vertAlign w:val="subscript"/>
        </w:rPr>
        <w:t xml:space="preserve">higher_priority_search seconds </w:t>
      </w:r>
      <w:r w:rsidRPr="00EC47A7">
        <w:t>where T</w:t>
      </w:r>
      <w:r w:rsidRPr="00EC47A7">
        <w:rPr>
          <w:vertAlign w:val="subscript"/>
        </w:rPr>
        <w:t>higher_priority_search</w:t>
      </w:r>
      <w:r w:rsidRPr="00D56527">
        <w:t xml:space="preserve"> is described in clause </w:t>
      </w:r>
      <w:r>
        <w:t>4.2B.</w:t>
      </w:r>
      <w:r w:rsidRPr="00D56527">
        <w:t>2.7 and</w:t>
      </w:r>
      <w:r w:rsidRPr="000D108A">
        <w:t xml:space="preserve">, </w:t>
      </w:r>
      <w:r w:rsidRPr="000D108A">
        <w:rPr>
          <w:snapToGrid w:val="0"/>
          <w:lang w:eastAsia="zh-CN"/>
        </w:rPr>
        <w:t>K2</w:t>
      </w:r>
      <w:r w:rsidRPr="009449C0">
        <w:rPr>
          <w:snapToGrid w:val="0"/>
          <w:lang w:eastAsia="zh-CN"/>
        </w:rPr>
        <w:t xml:space="preserve"> = 60</w:t>
      </w:r>
      <w:r w:rsidRPr="009449C0">
        <w:t xml:space="preserve">. </w:t>
      </w:r>
      <w:r w:rsidRPr="00CF075A">
        <w:t xml:space="preserve">Otherwise, if </w:t>
      </w:r>
      <w:r w:rsidRPr="00734785">
        <w:t xml:space="preserve">the UE is not configured with </w:t>
      </w:r>
      <w:r w:rsidRPr="00734785">
        <w:rPr>
          <w:i/>
          <w:iCs/>
          <w:noProof/>
        </w:rPr>
        <w:t>highPriorityMeasRelax</w:t>
      </w:r>
      <w:r w:rsidRPr="00734785">
        <w:rPr>
          <w:noProof/>
        </w:rPr>
        <w:t xml:space="preserve"> [2] then </w:t>
      </w:r>
      <w:r w:rsidRPr="00C33767">
        <w:rPr>
          <w:noProof/>
        </w:rPr>
        <w:t xml:space="preserve">the UE shall </w:t>
      </w:r>
      <w:r w:rsidRPr="00A41B58">
        <w:t xml:space="preserve">search for </w:t>
      </w:r>
      <w:r>
        <w:t xml:space="preserve">E-UTRA </w:t>
      </w:r>
      <w:r w:rsidRPr="00A41B58">
        <w:t>inter-</w:t>
      </w:r>
      <w:r>
        <w:rPr>
          <w:rFonts w:hint="eastAsia"/>
          <w:lang w:eastAsia="zh-CN"/>
        </w:rPr>
        <w:t>RA</w:t>
      </w:r>
      <w:r>
        <w:rPr>
          <w:lang w:eastAsia="zh-CN"/>
        </w:rPr>
        <w:t>T</w:t>
      </w:r>
      <w:r>
        <w:rPr>
          <w:rFonts w:hint="eastAsia"/>
          <w:lang w:eastAsia="zh-CN"/>
        </w:rPr>
        <w:t xml:space="preserve"> </w:t>
      </w:r>
      <w:r w:rsidRPr="00A41B58">
        <w:t>frequency layers of higher priority at least every T</w:t>
      </w:r>
      <w:r w:rsidRPr="00A41B58">
        <w:rPr>
          <w:vertAlign w:val="subscript"/>
        </w:rPr>
        <w:t xml:space="preserve">higher_priority_search </w:t>
      </w:r>
      <w:r w:rsidRPr="00A41B58">
        <w:t>where T</w:t>
      </w:r>
      <w:r w:rsidRPr="00EC47A7">
        <w:rPr>
          <w:vertAlign w:val="subscript"/>
        </w:rPr>
        <w:t>higher_priority_search</w:t>
      </w:r>
      <w:r w:rsidRPr="00EC47A7">
        <w:t xml:space="preserve"> is described in clause </w:t>
      </w:r>
      <w:r>
        <w:t>4.2B.</w:t>
      </w:r>
      <w:r w:rsidRPr="00EC47A7">
        <w:t>2.7.</w:t>
      </w:r>
    </w:p>
    <w:p w14:paraId="7E38A78E" w14:textId="77777777" w:rsidR="009F2DC6" w:rsidRPr="00885F53" w:rsidRDefault="009F2DC6" w:rsidP="009F2DC6">
      <w:pPr>
        <w:pStyle w:val="TH"/>
        <w:rPr>
          <w:rFonts w:cs="v4.2.0"/>
          <w:vertAlign w:val="subscript"/>
          <w:lang w:eastAsia="zh-CN"/>
        </w:rPr>
      </w:pPr>
      <w:r w:rsidRPr="00885F53">
        <w:rPr>
          <w:snapToGrid w:val="0"/>
        </w:rPr>
        <w:t xml:space="preserve">Table </w:t>
      </w:r>
      <w:r>
        <w:rPr>
          <w:snapToGrid w:val="0"/>
        </w:rPr>
        <w:t>4.2B.2.11.9</w:t>
      </w:r>
      <w:r w:rsidRPr="00885F53">
        <w:rPr>
          <w:snapToGrid w:val="0"/>
        </w:rPr>
        <w:t xml:space="preserve">-1: </w:t>
      </w:r>
      <w:r w:rsidRPr="00885F53">
        <w:t>T</w:t>
      </w:r>
      <w:r w:rsidRPr="00885F53">
        <w:rPr>
          <w:vertAlign w:val="subscript"/>
        </w:rPr>
        <w:t>detect,</w:t>
      </w:r>
      <w:r w:rsidRPr="00885F53">
        <w:rPr>
          <w:vertAlign w:val="subscript"/>
          <w:lang w:eastAsia="zh-CN"/>
        </w:rPr>
        <w:t>E</w:t>
      </w:r>
      <w:r w:rsidRPr="00885F53">
        <w:rPr>
          <w:vertAlign w:val="subscript"/>
        </w:rPr>
        <w:t>UTRAN</w:t>
      </w:r>
      <w:r>
        <w:rPr>
          <w:vertAlign w:val="subscript"/>
        </w:rPr>
        <w:t>_RedCap_Relax</w:t>
      </w:r>
      <w:r w:rsidRPr="00885F53">
        <w:rPr>
          <w:snapToGrid w:val="0"/>
        </w:rPr>
        <w:t xml:space="preserve">, </w:t>
      </w:r>
      <w:r w:rsidRPr="00885F53">
        <w:t>T</w:t>
      </w:r>
      <w:r w:rsidRPr="00885F53">
        <w:rPr>
          <w:vertAlign w:val="subscript"/>
        </w:rPr>
        <w:t>measure,</w:t>
      </w:r>
      <w:r w:rsidRPr="00885F53">
        <w:rPr>
          <w:vertAlign w:val="subscript"/>
          <w:lang w:eastAsia="zh-CN"/>
        </w:rPr>
        <w:t>E</w:t>
      </w:r>
      <w:r w:rsidRPr="00885F53">
        <w:rPr>
          <w:vertAlign w:val="subscript"/>
        </w:rPr>
        <w:t>UTRAN</w:t>
      </w:r>
      <w:r>
        <w:rPr>
          <w:vertAlign w:val="subscript"/>
        </w:rPr>
        <w:t>_RedCap_Relax</w:t>
      </w:r>
      <w:r w:rsidRPr="00885F53">
        <w:rPr>
          <w:vertAlign w:val="subscript"/>
        </w:rPr>
        <w:t>,</w:t>
      </w:r>
      <w:r w:rsidRPr="00885F53">
        <w:t xml:space="preserve"> and </w:t>
      </w:r>
      <w:r w:rsidRPr="00885F53">
        <w:rPr>
          <w:rFonts w:cs="v4.2.0"/>
        </w:rPr>
        <w:t>T</w:t>
      </w:r>
      <w:r w:rsidRPr="00885F53">
        <w:rPr>
          <w:rFonts w:cs="v4.2.0"/>
          <w:vertAlign w:val="subscript"/>
        </w:rPr>
        <w:t>evaluate,</w:t>
      </w:r>
      <w:r w:rsidRPr="00885F53">
        <w:rPr>
          <w:rFonts w:cs="v4.2.0"/>
          <w:vertAlign w:val="subscript"/>
          <w:lang w:eastAsia="zh-CN"/>
        </w:rPr>
        <w:t>E</w:t>
      </w:r>
      <w:r w:rsidRPr="00885F53">
        <w:rPr>
          <w:rFonts w:cs="v4.2.0"/>
          <w:vertAlign w:val="subscript"/>
        </w:rPr>
        <w:t>UTRAN</w:t>
      </w:r>
      <w:r>
        <w:rPr>
          <w:vertAlign w:val="subscript"/>
        </w:rPr>
        <w:t>_RedCap_Relax</w:t>
      </w:r>
      <w:r w:rsidRPr="00771FC9">
        <w:rPr>
          <w:snapToGrid w:val="0"/>
        </w:rPr>
        <w:t xml:space="preserve"> </w:t>
      </w:r>
      <w:r>
        <w:rPr>
          <w:snapToGrid w:val="0"/>
        </w:rPr>
        <w:t>for 1 Rx and 2 Rx RedCap UE</w:t>
      </w:r>
    </w:p>
    <w:tbl>
      <w:tblPr>
        <w:tblW w:w="46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2409"/>
        <w:gridCol w:w="2345"/>
        <w:gridCol w:w="2904"/>
      </w:tblGrid>
      <w:tr w:rsidR="009F2DC6" w:rsidRPr="00885F53" w14:paraId="1B03C6BD" w14:textId="77777777" w:rsidTr="008B25C8">
        <w:trPr>
          <w:cantSplit/>
          <w:jc w:val="center"/>
        </w:trPr>
        <w:tc>
          <w:tcPr>
            <w:tcW w:w="712" w:type="pct"/>
            <w:tcBorders>
              <w:top w:val="single" w:sz="4" w:space="0" w:color="auto"/>
              <w:left w:val="single" w:sz="4" w:space="0" w:color="auto"/>
              <w:bottom w:val="single" w:sz="4" w:space="0" w:color="auto"/>
              <w:right w:val="single" w:sz="4" w:space="0" w:color="auto"/>
            </w:tcBorders>
            <w:hideMark/>
          </w:tcPr>
          <w:p w14:paraId="5E80EB4B" w14:textId="77777777" w:rsidR="009F2DC6" w:rsidRPr="00885F53" w:rsidRDefault="009F2DC6" w:rsidP="008B25C8">
            <w:pPr>
              <w:pStyle w:val="TAH"/>
              <w:rPr>
                <w:rFonts w:cs="Arial"/>
                <w:snapToGrid w:val="0"/>
              </w:rPr>
            </w:pPr>
            <w:r w:rsidRPr="00885F53">
              <w:t>DRX cycle length [s]</w:t>
            </w:r>
          </w:p>
        </w:tc>
        <w:tc>
          <w:tcPr>
            <w:tcW w:w="1349" w:type="pct"/>
            <w:tcBorders>
              <w:top w:val="single" w:sz="4" w:space="0" w:color="auto"/>
              <w:left w:val="single" w:sz="4" w:space="0" w:color="auto"/>
              <w:bottom w:val="single" w:sz="4" w:space="0" w:color="auto"/>
              <w:right w:val="single" w:sz="4" w:space="0" w:color="auto"/>
            </w:tcBorders>
            <w:hideMark/>
          </w:tcPr>
          <w:p w14:paraId="12CF8E11" w14:textId="77777777" w:rsidR="009F2DC6" w:rsidRPr="00885F53" w:rsidRDefault="009F2DC6" w:rsidP="008B25C8">
            <w:pPr>
              <w:pStyle w:val="TAH"/>
              <w:rPr>
                <w:rFonts w:cs="Arial"/>
              </w:rPr>
            </w:pPr>
            <w:r w:rsidRPr="00885F53">
              <w:t>T</w:t>
            </w:r>
            <w:r w:rsidRPr="00885F53">
              <w:rPr>
                <w:vertAlign w:val="subscript"/>
              </w:rPr>
              <w:t>detect,EUTRAN</w:t>
            </w:r>
            <w:r>
              <w:rPr>
                <w:vertAlign w:val="subscript"/>
              </w:rPr>
              <w:t>_RedCap_Relax</w:t>
            </w:r>
            <w:r w:rsidRPr="00885F53">
              <w:t xml:space="preserve"> [s] (number of DRX cycles)</w:t>
            </w:r>
          </w:p>
        </w:tc>
        <w:tc>
          <w:tcPr>
            <w:tcW w:w="1313" w:type="pct"/>
            <w:tcBorders>
              <w:top w:val="single" w:sz="4" w:space="0" w:color="auto"/>
              <w:left w:val="single" w:sz="4" w:space="0" w:color="auto"/>
              <w:bottom w:val="single" w:sz="4" w:space="0" w:color="auto"/>
              <w:right w:val="single" w:sz="4" w:space="0" w:color="auto"/>
            </w:tcBorders>
            <w:hideMark/>
          </w:tcPr>
          <w:p w14:paraId="3F89D248" w14:textId="77777777" w:rsidR="009F2DC6" w:rsidRPr="00885F53" w:rsidRDefault="009F2DC6" w:rsidP="008B25C8">
            <w:pPr>
              <w:pStyle w:val="TAH"/>
              <w:rPr>
                <w:rFonts w:cs="Arial"/>
                <w:snapToGrid w:val="0"/>
              </w:rPr>
            </w:pPr>
            <w:r w:rsidRPr="00885F53">
              <w:t>T</w:t>
            </w:r>
            <w:r w:rsidRPr="00885F53">
              <w:rPr>
                <w:vertAlign w:val="subscript"/>
              </w:rPr>
              <w:t>measure,EUTRAN</w:t>
            </w:r>
            <w:r>
              <w:rPr>
                <w:vertAlign w:val="subscript"/>
              </w:rPr>
              <w:t>_RedCap_Relax</w:t>
            </w:r>
            <w:r w:rsidRPr="00885F53">
              <w:t xml:space="preserve"> [s] (number of DRX cycles)</w:t>
            </w:r>
          </w:p>
        </w:tc>
        <w:tc>
          <w:tcPr>
            <w:tcW w:w="1626" w:type="pct"/>
            <w:tcBorders>
              <w:top w:val="single" w:sz="4" w:space="0" w:color="auto"/>
              <w:left w:val="single" w:sz="4" w:space="0" w:color="auto"/>
              <w:bottom w:val="single" w:sz="4" w:space="0" w:color="auto"/>
              <w:right w:val="single" w:sz="4" w:space="0" w:color="auto"/>
            </w:tcBorders>
            <w:hideMark/>
          </w:tcPr>
          <w:p w14:paraId="2554DF29" w14:textId="77777777" w:rsidR="009F2DC6" w:rsidRPr="00885F53" w:rsidRDefault="009F2DC6" w:rsidP="008B25C8">
            <w:pPr>
              <w:pStyle w:val="TAH"/>
              <w:rPr>
                <w:rFonts w:cs="Arial"/>
                <w:vertAlign w:val="subscript"/>
                <w:lang w:eastAsia="zh-CN"/>
              </w:rPr>
            </w:pPr>
            <w:r w:rsidRPr="00885F53">
              <w:t>T</w:t>
            </w:r>
            <w:r w:rsidRPr="00885F53">
              <w:rPr>
                <w:vertAlign w:val="subscript"/>
              </w:rPr>
              <w:t>evaluate,EUTRAN</w:t>
            </w:r>
            <w:r>
              <w:rPr>
                <w:vertAlign w:val="subscript"/>
              </w:rPr>
              <w:t>_RedCap_Relax</w:t>
            </w:r>
          </w:p>
          <w:p w14:paraId="4401FAEA" w14:textId="77777777" w:rsidR="009F2DC6" w:rsidRPr="00885F53" w:rsidRDefault="009F2DC6" w:rsidP="008B25C8">
            <w:pPr>
              <w:pStyle w:val="TAH"/>
              <w:rPr>
                <w:rFonts w:cs="Arial"/>
              </w:rPr>
            </w:pPr>
            <w:r w:rsidRPr="00885F53">
              <w:rPr>
                <w:rFonts w:cs="Arial"/>
              </w:rPr>
              <w:t>[s] (number of DRX cycles)</w:t>
            </w:r>
          </w:p>
        </w:tc>
      </w:tr>
      <w:tr w:rsidR="009F2DC6" w:rsidRPr="00885F53" w14:paraId="56000F70" w14:textId="77777777" w:rsidTr="008B25C8">
        <w:trPr>
          <w:cantSplit/>
          <w:jc w:val="center"/>
        </w:trPr>
        <w:tc>
          <w:tcPr>
            <w:tcW w:w="712" w:type="pct"/>
            <w:tcBorders>
              <w:top w:val="single" w:sz="4" w:space="0" w:color="auto"/>
              <w:left w:val="single" w:sz="4" w:space="0" w:color="auto"/>
              <w:bottom w:val="single" w:sz="4" w:space="0" w:color="auto"/>
              <w:right w:val="single" w:sz="4" w:space="0" w:color="auto"/>
            </w:tcBorders>
            <w:hideMark/>
          </w:tcPr>
          <w:p w14:paraId="7AEC116E" w14:textId="77777777" w:rsidR="009F2DC6" w:rsidRPr="00885F53" w:rsidRDefault="009F2DC6" w:rsidP="008B25C8">
            <w:pPr>
              <w:pStyle w:val="TAC"/>
              <w:rPr>
                <w:snapToGrid w:val="0"/>
              </w:rPr>
            </w:pPr>
            <w:r w:rsidRPr="00885F53">
              <w:t>0.32</w:t>
            </w:r>
          </w:p>
        </w:tc>
        <w:tc>
          <w:tcPr>
            <w:tcW w:w="1349" w:type="pct"/>
            <w:tcBorders>
              <w:top w:val="single" w:sz="4" w:space="0" w:color="auto"/>
              <w:left w:val="single" w:sz="4" w:space="0" w:color="auto"/>
              <w:bottom w:val="single" w:sz="4" w:space="0" w:color="auto"/>
              <w:right w:val="single" w:sz="4" w:space="0" w:color="auto"/>
            </w:tcBorders>
            <w:hideMark/>
          </w:tcPr>
          <w:p w14:paraId="4D65A1D2" w14:textId="77777777" w:rsidR="009F2DC6" w:rsidRPr="00885F53" w:rsidRDefault="009F2DC6" w:rsidP="008B25C8">
            <w:pPr>
              <w:pStyle w:val="TAC"/>
              <w:rPr>
                <w:snapToGrid w:val="0"/>
              </w:rPr>
            </w:pPr>
            <w:r w:rsidRPr="00885F53">
              <w:t>11.52</w:t>
            </w:r>
            <w:r w:rsidRPr="00F52E47">
              <w:rPr>
                <w:lang w:val="sv-SE" w:eastAsia="zh-CN"/>
              </w:rPr>
              <w:t xml:space="preserve"> x </w:t>
            </w:r>
            <w:r w:rsidRPr="00F52E47">
              <w:rPr>
                <w:snapToGrid w:val="0"/>
                <w:lang w:val="sv-SE" w:eastAsia="zh-CN"/>
              </w:rPr>
              <w:t>K1</w:t>
            </w:r>
            <w:r w:rsidRPr="00885F53">
              <w:t xml:space="preserve"> (36</w:t>
            </w:r>
            <w:r w:rsidRPr="00F52E47">
              <w:rPr>
                <w:lang w:val="sv-SE" w:eastAsia="zh-CN"/>
              </w:rPr>
              <w:t xml:space="preserve"> x </w:t>
            </w:r>
            <w:r w:rsidRPr="00F52E47">
              <w:rPr>
                <w:snapToGrid w:val="0"/>
                <w:lang w:val="sv-SE" w:eastAsia="zh-CN"/>
              </w:rPr>
              <w:t>K1</w:t>
            </w:r>
            <w:r w:rsidRPr="00885F53">
              <w:t>)</w:t>
            </w:r>
          </w:p>
        </w:tc>
        <w:tc>
          <w:tcPr>
            <w:tcW w:w="1313" w:type="pct"/>
            <w:tcBorders>
              <w:top w:val="single" w:sz="4" w:space="0" w:color="auto"/>
              <w:left w:val="single" w:sz="4" w:space="0" w:color="auto"/>
              <w:bottom w:val="single" w:sz="4" w:space="0" w:color="auto"/>
              <w:right w:val="single" w:sz="4" w:space="0" w:color="auto"/>
            </w:tcBorders>
            <w:hideMark/>
          </w:tcPr>
          <w:p w14:paraId="4EFDCEAE" w14:textId="77777777" w:rsidR="009F2DC6" w:rsidRPr="00885F53" w:rsidRDefault="009F2DC6" w:rsidP="008B25C8">
            <w:pPr>
              <w:pStyle w:val="TAC"/>
              <w:rPr>
                <w:snapToGrid w:val="0"/>
              </w:rPr>
            </w:pPr>
            <w:r w:rsidRPr="00885F53">
              <w:rPr>
                <w:snapToGrid w:val="0"/>
              </w:rPr>
              <w:t>1.28</w:t>
            </w:r>
            <w:r w:rsidRPr="00F52E47">
              <w:rPr>
                <w:lang w:val="sv-SE" w:eastAsia="zh-CN"/>
              </w:rPr>
              <w:t xml:space="preserve"> x </w:t>
            </w:r>
            <w:r w:rsidRPr="00F52E47">
              <w:rPr>
                <w:snapToGrid w:val="0"/>
                <w:lang w:val="sv-SE" w:eastAsia="zh-CN"/>
              </w:rPr>
              <w:t>K1</w:t>
            </w:r>
            <w:r w:rsidRPr="00885F53">
              <w:rPr>
                <w:snapToGrid w:val="0"/>
              </w:rPr>
              <w:t xml:space="preserve"> (4</w:t>
            </w:r>
            <w:r w:rsidRPr="00F52E47">
              <w:rPr>
                <w:lang w:val="sv-SE" w:eastAsia="zh-CN"/>
              </w:rPr>
              <w:t xml:space="preserve"> x </w:t>
            </w:r>
            <w:r w:rsidRPr="00F52E47">
              <w:rPr>
                <w:snapToGrid w:val="0"/>
                <w:lang w:val="sv-SE" w:eastAsia="zh-CN"/>
              </w:rPr>
              <w:t>K1</w:t>
            </w:r>
            <w:r w:rsidRPr="00885F53">
              <w:rPr>
                <w:snapToGrid w:val="0"/>
              </w:rPr>
              <w:t>)</w:t>
            </w:r>
          </w:p>
        </w:tc>
        <w:tc>
          <w:tcPr>
            <w:tcW w:w="1626" w:type="pct"/>
            <w:tcBorders>
              <w:top w:val="single" w:sz="4" w:space="0" w:color="auto"/>
              <w:left w:val="single" w:sz="4" w:space="0" w:color="auto"/>
              <w:bottom w:val="single" w:sz="4" w:space="0" w:color="auto"/>
              <w:right w:val="single" w:sz="4" w:space="0" w:color="auto"/>
            </w:tcBorders>
            <w:hideMark/>
          </w:tcPr>
          <w:p w14:paraId="79EEB76F" w14:textId="77777777" w:rsidR="009F2DC6" w:rsidRPr="00885F53" w:rsidRDefault="009F2DC6" w:rsidP="008B25C8">
            <w:pPr>
              <w:pStyle w:val="TAC"/>
              <w:rPr>
                <w:snapToGrid w:val="0"/>
              </w:rPr>
            </w:pPr>
            <w:r w:rsidRPr="00885F53">
              <w:t>5.12</w:t>
            </w:r>
            <w:r w:rsidRPr="00F52E47">
              <w:rPr>
                <w:lang w:val="sv-SE" w:eastAsia="zh-CN"/>
              </w:rPr>
              <w:t xml:space="preserve"> x </w:t>
            </w:r>
            <w:r w:rsidRPr="00F52E47">
              <w:rPr>
                <w:snapToGrid w:val="0"/>
                <w:lang w:val="sv-SE" w:eastAsia="zh-CN"/>
              </w:rPr>
              <w:t>K1</w:t>
            </w:r>
            <w:r w:rsidRPr="00885F53">
              <w:t xml:space="preserve"> (16</w:t>
            </w:r>
            <w:r w:rsidRPr="00F52E47">
              <w:rPr>
                <w:lang w:val="sv-SE" w:eastAsia="zh-CN"/>
              </w:rPr>
              <w:t xml:space="preserve"> x </w:t>
            </w:r>
            <w:r w:rsidRPr="00F52E47">
              <w:rPr>
                <w:snapToGrid w:val="0"/>
                <w:lang w:val="sv-SE" w:eastAsia="zh-CN"/>
              </w:rPr>
              <w:t>K1</w:t>
            </w:r>
            <w:r w:rsidRPr="00885F53">
              <w:t>)</w:t>
            </w:r>
          </w:p>
        </w:tc>
      </w:tr>
      <w:tr w:rsidR="009F2DC6" w:rsidRPr="00885F53" w14:paraId="457023F1" w14:textId="77777777" w:rsidTr="008B25C8">
        <w:trPr>
          <w:cantSplit/>
          <w:jc w:val="center"/>
        </w:trPr>
        <w:tc>
          <w:tcPr>
            <w:tcW w:w="712" w:type="pct"/>
            <w:tcBorders>
              <w:top w:val="single" w:sz="4" w:space="0" w:color="auto"/>
              <w:left w:val="single" w:sz="4" w:space="0" w:color="auto"/>
              <w:bottom w:val="single" w:sz="4" w:space="0" w:color="auto"/>
              <w:right w:val="single" w:sz="4" w:space="0" w:color="auto"/>
            </w:tcBorders>
            <w:hideMark/>
          </w:tcPr>
          <w:p w14:paraId="5B5D2E1A" w14:textId="77777777" w:rsidR="009F2DC6" w:rsidRPr="00885F53" w:rsidRDefault="009F2DC6" w:rsidP="008B25C8">
            <w:pPr>
              <w:pStyle w:val="TAC"/>
              <w:rPr>
                <w:snapToGrid w:val="0"/>
              </w:rPr>
            </w:pPr>
            <w:r w:rsidRPr="00885F53">
              <w:t>0.64</w:t>
            </w:r>
          </w:p>
        </w:tc>
        <w:tc>
          <w:tcPr>
            <w:tcW w:w="1349" w:type="pct"/>
            <w:tcBorders>
              <w:top w:val="single" w:sz="4" w:space="0" w:color="auto"/>
              <w:left w:val="single" w:sz="4" w:space="0" w:color="auto"/>
              <w:bottom w:val="single" w:sz="4" w:space="0" w:color="auto"/>
              <w:right w:val="single" w:sz="4" w:space="0" w:color="auto"/>
            </w:tcBorders>
            <w:hideMark/>
          </w:tcPr>
          <w:p w14:paraId="20BE834C" w14:textId="77777777" w:rsidR="009F2DC6" w:rsidRPr="00885F53" w:rsidRDefault="009F2DC6" w:rsidP="008B25C8">
            <w:pPr>
              <w:pStyle w:val="TAC"/>
              <w:rPr>
                <w:snapToGrid w:val="0"/>
              </w:rPr>
            </w:pPr>
            <w:r w:rsidRPr="00885F53">
              <w:t>17.92</w:t>
            </w:r>
            <w:r w:rsidRPr="00F52E47">
              <w:rPr>
                <w:lang w:val="sv-SE" w:eastAsia="zh-CN"/>
              </w:rPr>
              <w:t xml:space="preserve"> x </w:t>
            </w:r>
            <w:r w:rsidRPr="00F52E47">
              <w:rPr>
                <w:snapToGrid w:val="0"/>
                <w:lang w:val="sv-SE" w:eastAsia="zh-CN"/>
              </w:rPr>
              <w:t>K1</w:t>
            </w:r>
            <w:r w:rsidRPr="00885F53">
              <w:t xml:space="preserve"> (28</w:t>
            </w:r>
            <w:r w:rsidRPr="00F52E47">
              <w:rPr>
                <w:lang w:val="sv-SE" w:eastAsia="zh-CN"/>
              </w:rPr>
              <w:t xml:space="preserve"> x </w:t>
            </w:r>
            <w:r w:rsidRPr="00F52E47">
              <w:rPr>
                <w:snapToGrid w:val="0"/>
                <w:lang w:val="sv-SE" w:eastAsia="zh-CN"/>
              </w:rPr>
              <w:t>K1</w:t>
            </w:r>
            <w:r w:rsidRPr="00885F53">
              <w:t>)</w:t>
            </w:r>
          </w:p>
        </w:tc>
        <w:tc>
          <w:tcPr>
            <w:tcW w:w="1313" w:type="pct"/>
            <w:tcBorders>
              <w:top w:val="single" w:sz="4" w:space="0" w:color="auto"/>
              <w:left w:val="single" w:sz="4" w:space="0" w:color="auto"/>
              <w:bottom w:val="single" w:sz="4" w:space="0" w:color="auto"/>
              <w:right w:val="single" w:sz="4" w:space="0" w:color="auto"/>
            </w:tcBorders>
            <w:hideMark/>
          </w:tcPr>
          <w:p w14:paraId="47BFCB02" w14:textId="77777777" w:rsidR="009F2DC6" w:rsidRPr="00885F53" w:rsidRDefault="009F2DC6" w:rsidP="008B25C8">
            <w:pPr>
              <w:pStyle w:val="TAC"/>
              <w:rPr>
                <w:snapToGrid w:val="0"/>
              </w:rPr>
            </w:pPr>
            <w:r w:rsidRPr="00885F53">
              <w:rPr>
                <w:snapToGrid w:val="0"/>
              </w:rPr>
              <w:t>1.28</w:t>
            </w:r>
            <w:r w:rsidRPr="00F52E47">
              <w:rPr>
                <w:lang w:val="sv-SE" w:eastAsia="zh-CN"/>
              </w:rPr>
              <w:t xml:space="preserve"> x </w:t>
            </w:r>
            <w:r w:rsidRPr="00F52E47">
              <w:rPr>
                <w:snapToGrid w:val="0"/>
                <w:lang w:val="sv-SE" w:eastAsia="zh-CN"/>
              </w:rPr>
              <w:t>K1</w:t>
            </w:r>
            <w:r w:rsidRPr="00885F53">
              <w:rPr>
                <w:snapToGrid w:val="0"/>
              </w:rPr>
              <w:t xml:space="preserve"> (2</w:t>
            </w:r>
            <w:r w:rsidRPr="00F52E47">
              <w:rPr>
                <w:lang w:val="sv-SE" w:eastAsia="zh-CN"/>
              </w:rPr>
              <w:t xml:space="preserve"> x </w:t>
            </w:r>
            <w:r w:rsidRPr="00F52E47">
              <w:rPr>
                <w:snapToGrid w:val="0"/>
                <w:lang w:val="sv-SE" w:eastAsia="zh-CN"/>
              </w:rPr>
              <w:t>K1</w:t>
            </w:r>
            <w:r w:rsidRPr="00885F53">
              <w:rPr>
                <w:snapToGrid w:val="0"/>
              </w:rPr>
              <w:t>)</w:t>
            </w:r>
          </w:p>
        </w:tc>
        <w:tc>
          <w:tcPr>
            <w:tcW w:w="1626" w:type="pct"/>
            <w:tcBorders>
              <w:top w:val="single" w:sz="4" w:space="0" w:color="auto"/>
              <w:left w:val="single" w:sz="4" w:space="0" w:color="auto"/>
              <w:bottom w:val="single" w:sz="4" w:space="0" w:color="auto"/>
              <w:right w:val="single" w:sz="4" w:space="0" w:color="auto"/>
            </w:tcBorders>
            <w:hideMark/>
          </w:tcPr>
          <w:p w14:paraId="23DBE1BF" w14:textId="77777777" w:rsidR="009F2DC6" w:rsidRPr="00885F53" w:rsidRDefault="009F2DC6" w:rsidP="008B25C8">
            <w:pPr>
              <w:pStyle w:val="TAC"/>
              <w:rPr>
                <w:snapToGrid w:val="0"/>
              </w:rPr>
            </w:pPr>
            <w:r w:rsidRPr="00885F53">
              <w:t>5.12</w:t>
            </w:r>
            <w:r w:rsidRPr="00F52E47">
              <w:rPr>
                <w:lang w:val="sv-SE" w:eastAsia="zh-CN"/>
              </w:rPr>
              <w:t xml:space="preserve"> x </w:t>
            </w:r>
            <w:r w:rsidRPr="00F52E47">
              <w:rPr>
                <w:snapToGrid w:val="0"/>
                <w:lang w:val="sv-SE" w:eastAsia="zh-CN"/>
              </w:rPr>
              <w:t>K1</w:t>
            </w:r>
            <w:r w:rsidRPr="00885F53">
              <w:t xml:space="preserve"> (8</w:t>
            </w:r>
            <w:r w:rsidRPr="00F52E47">
              <w:rPr>
                <w:lang w:val="sv-SE" w:eastAsia="zh-CN"/>
              </w:rPr>
              <w:t xml:space="preserve"> x </w:t>
            </w:r>
            <w:r w:rsidRPr="00F52E47">
              <w:rPr>
                <w:snapToGrid w:val="0"/>
                <w:lang w:val="sv-SE" w:eastAsia="zh-CN"/>
              </w:rPr>
              <w:t>K1</w:t>
            </w:r>
            <w:r w:rsidRPr="00885F53">
              <w:t>)</w:t>
            </w:r>
          </w:p>
        </w:tc>
      </w:tr>
      <w:tr w:rsidR="009F2DC6" w:rsidRPr="00885F53" w14:paraId="104B656C" w14:textId="77777777" w:rsidTr="008B25C8">
        <w:trPr>
          <w:cantSplit/>
          <w:jc w:val="center"/>
        </w:trPr>
        <w:tc>
          <w:tcPr>
            <w:tcW w:w="712" w:type="pct"/>
            <w:tcBorders>
              <w:top w:val="single" w:sz="4" w:space="0" w:color="auto"/>
              <w:left w:val="single" w:sz="4" w:space="0" w:color="auto"/>
              <w:bottom w:val="single" w:sz="4" w:space="0" w:color="auto"/>
              <w:right w:val="single" w:sz="4" w:space="0" w:color="auto"/>
            </w:tcBorders>
            <w:hideMark/>
          </w:tcPr>
          <w:p w14:paraId="7A1FC04B" w14:textId="77777777" w:rsidR="009F2DC6" w:rsidRPr="00885F53" w:rsidRDefault="009F2DC6" w:rsidP="008B25C8">
            <w:pPr>
              <w:pStyle w:val="TAC"/>
              <w:rPr>
                <w:snapToGrid w:val="0"/>
              </w:rPr>
            </w:pPr>
            <w:r w:rsidRPr="00885F53">
              <w:t>1.28</w:t>
            </w:r>
          </w:p>
        </w:tc>
        <w:tc>
          <w:tcPr>
            <w:tcW w:w="1349" w:type="pct"/>
            <w:tcBorders>
              <w:top w:val="single" w:sz="4" w:space="0" w:color="auto"/>
              <w:left w:val="single" w:sz="4" w:space="0" w:color="auto"/>
              <w:bottom w:val="single" w:sz="4" w:space="0" w:color="auto"/>
              <w:right w:val="single" w:sz="4" w:space="0" w:color="auto"/>
            </w:tcBorders>
            <w:hideMark/>
          </w:tcPr>
          <w:p w14:paraId="2F210518" w14:textId="77777777" w:rsidR="009F2DC6" w:rsidRPr="00885F53" w:rsidRDefault="009F2DC6" w:rsidP="008B25C8">
            <w:pPr>
              <w:pStyle w:val="TAC"/>
              <w:rPr>
                <w:snapToGrid w:val="0"/>
              </w:rPr>
            </w:pPr>
            <w:r w:rsidRPr="00885F53">
              <w:t>32</w:t>
            </w:r>
            <w:r w:rsidRPr="00F52E47">
              <w:rPr>
                <w:lang w:val="sv-SE" w:eastAsia="zh-CN"/>
              </w:rPr>
              <w:t xml:space="preserve"> x </w:t>
            </w:r>
            <w:r w:rsidRPr="00F52E47">
              <w:rPr>
                <w:snapToGrid w:val="0"/>
                <w:lang w:val="sv-SE" w:eastAsia="zh-CN"/>
              </w:rPr>
              <w:t>K1</w:t>
            </w:r>
            <w:r w:rsidRPr="00885F53">
              <w:t xml:space="preserve"> (25</w:t>
            </w:r>
            <w:r w:rsidRPr="00F52E47">
              <w:rPr>
                <w:lang w:val="sv-SE" w:eastAsia="zh-CN"/>
              </w:rPr>
              <w:t xml:space="preserve"> x </w:t>
            </w:r>
            <w:r w:rsidRPr="00F52E47">
              <w:rPr>
                <w:snapToGrid w:val="0"/>
                <w:lang w:val="sv-SE" w:eastAsia="zh-CN"/>
              </w:rPr>
              <w:t>K1</w:t>
            </w:r>
            <w:r w:rsidRPr="00885F53">
              <w:t>)</w:t>
            </w:r>
          </w:p>
        </w:tc>
        <w:tc>
          <w:tcPr>
            <w:tcW w:w="1313" w:type="pct"/>
            <w:tcBorders>
              <w:top w:val="single" w:sz="4" w:space="0" w:color="auto"/>
              <w:left w:val="single" w:sz="4" w:space="0" w:color="auto"/>
              <w:bottom w:val="single" w:sz="4" w:space="0" w:color="auto"/>
              <w:right w:val="single" w:sz="4" w:space="0" w:color="auto"/>
            </w:tcBorders>
            <w:hideMark/>
          </w:tcPr>
          <w:p w14:paraId="20CD2956" w14:textId="77777777" w:rsidR="009F2DC6" w:rsidRPr="00885F53" w:rsidRDefault="009F2DC6" w:rsidP="008B25C8">
            <w:pPr>
              <w:pStyle w:val="TAC"/>
              <w:rPr>
                <w:snapToGrid w:val="0"/>
              </w:rPr>
            </w:pPr>
            <w:r w:rsidRPr="00885F53">
              <w:rPr>
                <w:snapToGrid w:val="0"/>
              </w:rPr>
              <w:t>1.28</w:t>
            </w:r>
            <w:r w:rsidRPr="00F52E47">
              <w:rPr>
                <w:lang w:val="sv-SE" w:eastAsia="zh-CN"/>
              </w:rPr>
              <w:t xml:space="preserve"> x </w:t>
            </w:r>
            <w:r w:rsidRPr="00F52E47">
              <w:rPr>
                <w:snapToGrid w:val="0"/>
                <w:lang w:val="sv-SE" w:eastAsia="zh-CN"/>
              </w:rPr>
              <w:t>K1</w:t>
            </w:r>
            <w:r w:rsidRPr="00885F53">
              <w:rPr>
                <w:snapToGrid w:val="0"/>
              </w:rPr>
              <w:t xml:space="preserve"> (1</w:t>
            </w:r>
            <w:r w:rsidRPr="00F52E47">
              <w:rPr>
                <w:lang w:val="sv-SE" w:eastAsia="zh-CN"/>
              </w:rPr>
              <w:t xml:space="preserve"> x </w:t>
            </w:r>
            <w:r w:rsidRPr="00F52E47">
              <w:rPr>
                <w:snapToGrid w:val="0"/>
                <w:lang w:val="sv-SE" w:eastAsia="zh-CN"/>
              </w:rPr>
              <w:t>K1</w:t>
            </w:r>
            <w:r w:rsidRPr="00885F53">
              <w:rPr>
                <w:snapToGrid w:val="0"/>
              </w:rPr>
              <w:t>)</w:t>
            </w:r>
          </w:p>
        </w:tc>
        <w:tc>
          <w:tcPr>
            <w:tcW w:w="1626" w:type="pct"/>
            <w:tcBorders>
              <w:top w:val="single" w:sz="4" w:space="0" w:color="auto"/>
              <w:left w:val="single" w:sz="4" w:space="0" w:color="auto"/>
              <w:bottom w:val="single" w:sz="4" w:space="0" w:color="auto"/>
              <w:right w:val="single" w:sz="4" w:space="0" w:color="auto"/>
            </w:tcBorders>
            <w:hideMark/>
          </w:tcPr>
          <w:p w14:paraId="79B783E2" w14:textId="77777777" w:rsidR="009F2DC6" w:rsidRPr="00885F53" w:rsidRDefault="009F2DC6" w:rsidP="008B25C8">
            <w:pPr>
              <w:pStyle w:val="TAC"/>
              <w:rPr>
                <w:snapToGrid w:val="0"/>
              </w:rPr>
            </w:pPr>
            <w:r w:rsidRPr="00885F53">
              <w:t>6.4</w:t>
            </w:r>
            <w:r w:rsidRPr="00F52E47">
              <w:rPr>
                <w:lang w:val="sv-SE" w:eastAsia="zh-CN"/>
              </w:rPr>
              <w:t xml:space="preserve"> x </w:t>
            </w:r>
            <w:r w:rsidRPr="00F52E47">
              <w:rPr>
                <w:snapToGrid w:val="0"/>
                <w:lang w:val="sv-SE" w:eastAsia="zh-CN"/>
              </w:rPr>
              <w:t>K1</w:t>
            </w:r>
            <w:r w:rsidRPr="00885F53">
              <w:t xml:space="preserve"> (5</w:t>
            </w:r>
            <w:r w:rsidRPr="00F52E47">
              <w:rPr>
                <w:lang w:val="sv-SE" w:eastAsia="zh-CN"/>
              </w:rPr>
              <w:t xml:space="preserve"> x </w:t>
            </w:r>
            <w:r w:rsidRPr="00F52E47">
              <w:rPr>
                <w:snapToGrid w:val="0"/>
                <w:lang w:val="sv-SE" w:eastAsia="zh-CN"/>
              </w:rPr>
              <w:t>K1</w:t>
            </w:r>
            <w:r w:rsidRPr="00885F53">
              <w:t>)</w:t>
            </w:r>
          </w:p>
        </w:tc>
      </w:tr>
      <w:tr w:rsidR="009F2DC6" w:rsidRPr="00885F53" w14:paraId="7852456B" w14:textId="77777777" w:rsidTr="008B25C8">
        <w:trPr>
          <w:cantSplit/>
          <w:jc w:val="center"/>
        </w:trPr>
        <w:tc>
          <w:tcPr>
            <w:tcW w:w="712" w:type="pct"/>
            <w:tcBorders>
              <w:top w:val="single" w:sz="4" w:space="0" w:color="auto"/>
              <w:left w:val="single" w:sz="4" w:space="0" w:color="auto"/>
              <w:bottom w:val="single" w:sz="4" w:space="0" w:color="auto"/>
              <w:right w:val="single" w:sz="4" w:space="0" w:color="auto"/>
            </w:tcBorders>
            <w:hideMark/>
          </w:tcPr>
          <w:p w14:paraId="377E9E80" w14:textId="77777777" w:rsidR="009F2DC6" w:rsidRPr="00885F53" w:rsidRDefault="009F2DC6" w:rsidP="008B25C8">
            <w:pPr>
              <w:pStyle w:val="TAC"/>
              <w:rPr>
                <w:snapToGrid w:val="0"/>
              </w:rPr>
            </w:pPr>
            <w:r w:rsidRPr="00885F53">
              <w:t>2.56</w:t>
            </w:r>
          </w:p>
        </w:tc>
        <w:tc>
          <w:tcPr>
            <w:tcW w:w="1349" w:type="pct"/>
            <w:tcBorders>
              <w:top w:val="single" w:sz="4" w:space="0" w:color="auto"/>
              <w:left w:val="single" w:sz="4" w:space="0" w:color="auto"/>
              <w:bottom w:val="single" w:sz="4" w:space="0" w:color="auto"/>
              <w:right w:val="single" w:sz="4" w:space="0" w:color="auto"/>
            </w:tcBorders>
            <w:hideMark/>
          </w:tcPr>
          <w:p w14:paraId="0F936C2B" w14:textId="77777777" w:rsidR="009F2DC6" w:rsidRPr="000D108A" w:rsidRDefault="009F2DC6" w:rsidP="008B25C8">
            <w:pPr>
              <w:pStyle w:val="TAC"/>
              <w:rPr>
                <w:snapToGrid w:val="0"/>
              </w:rPr>
            </w:pPr>
            <w:r w:rsidRPr="00D56527">
              <w:t>58.88</w:t>
            </w:r>
            <w:r w:rsidRPr="00D56527">
              <w:rPr>
                <w:lang w:val="sv-SE" w:eastAsia="zh-CN"/>
              </w:rPr>
              <w:t xml:space="preserve"> x </w:t>
            </w:r>
            <w:r w:rsidRPr="00D56527">
              <w:rPr>
                <w:snapToGrid w:val="0"/>
                <w:lang w:val="sv-SE" w:eastAsia="zh-CN"/>
              </w:rPr>
              <w:t>K1</w:t>
            </w:r>
            <w:r w:rsidRPr="000D108A">
              <w:t xml:space="preserve"> (23</w:t>
            </w:r>
            <w:r w:rsidRPr="000D108A">
              <w:rPr>
                <w:lang w:val="sv-SE" w:eastAsia="zh-CN"/>
              </w:rPr>
              <w:t xml:space="preserve"> x </w:t>
            </w:r>
            <w:r w:rsidRPr="000D108A">
              <w:rPr>
                <w:snapToGrid w:val="0"/>
                <w:lang w:val="sv-SE" w:eastAsia="zh-CN"/>
              </w:rPr>
              <w:t>K1</w:t>
            </w:r>
            <w:r w:rsidRPr="000D108A">
              <w:t>)</w:t>
            </w:r>
          </w:p>
        </w:tc>
        <w:tc>
          <w:tcPr>
            <w:tcW w:w="1313" w:type="pct"/>
            <w:tcBorders>
              <w:top w:val="single" w:sz="4" w:space="0" w:color="auto"/>
              <w:left w:val="single" w:sz="4" w:space="0" w:color="auto"/>
              <w:bottom w:val="single" w:sz="4" w:space="0" w:color="auto"/>
              <w:right w:val="single" w:sz="4" w:space="0" w:color="auto"/>
            </w:tcBorders>
            <w:hideMark/>
          </w:tcPr>
          <w:p w14:paraId="25A97508" w14:textId="77777777" w:rsidR="009F2DC6" w:rsidRPr="00885F53" w:rsidRDefault="009F2DC6" w:rsidP="008B25C8">
            <w:pPr>
              <w:pStyle w:val="TAC"/>
              <w:rPr>
                <w:snapToGrid w:val="0"/>
              </w:rPr>
            </w:pPr>
            <w:r w:rsidRPr="00885F53">
              <w:rPr>
                <w:snapToGrid w:val="0"/>
              </w:rPr>
              <w:t>2.56 (1</w:t>
            </w:r>
            <w:r w:rsidRPr="00F52E47">
              <w:rPr>
                <w:lang w:val="sv-SE" w:eastAsia="zh-CN"/>
              </w:rPr>
              <w:t xml:space="preserve"> x </w:t>
            </w:r>
            <w:r w:rsidRPr="00F52E47">
              <w:rPr>
                <w:snapToGrid w:val="0"/>
                <w:lang w:val="sv-SE" w:eastAsia="zh-CN"/>
              </w:rPr>
              <w:t>K1</w:t>
            </w:r>
            <w:r w:rsidRPr="00885F53">
              <w:rPr>
                <w:snapToGrid w:val="0"/>
              </w:rPr>
              <w:t>)</w:t>
            </w:r>
          </w:p>
        </w:tc>
        <w:tc>
          <w:tcPr>
            <w:tcW w:w="1626" w:type="pct"/>
            <w:tcBorders>
              <w:top w:val="single" w:sz="4" w:space="0" w:color="auto"/>
              <w:left w:val="single" w:sz="4" w:space="0" w:color="auto"/>
              <w:bottom w:val="single" w:sz="4" w:space="0" w:color="auto"/>
              <w:right w:val="single" w:sz="4" w:space="0" w:color="auto"/>
            </w:tcBorders>
            <w:hideMark/>
          </w:tcPr>
          <w:p w14:paraId="70FB6B5A" w14:textId="77777777" w:rsidR="009F2DC6" w:rsidRPr="00885F53" w:rsidRDefault="009F2DC6" w:rsidP="008B25C8">
            <w:pPr>
              <w:pStyle w:val="TAC"/>
              <w:rPr>
                <w:snapToGrid w:val="0"/>
              </w:rPr>
            </w:pPr>
            <w:r w:rsidRPr="00885F53">
              <w:t>7.68</w:t>
            </w:r>
            <w:r w:rsidRPr="00F52E47">
              <w:rPr>
                <w:lang w:val="sv-SE" w:eastAsia="zh-CN"/>
              </w:rPr>
              <w:t xml:space="preserve"> x </w:t>
            </w:r>
            <w:r w:rsidRPr="00F52E47">
              <w:rPr>
                <w:snapToGrid w:val="0"/>
                <w:lang w:val="sv-SE" w:eastAsia="zh-CN"/>
              </w:rPr>
              <w:t>K1</w:t>
            </w:r>
            <w:r w:rsidRPr="00885F53">
              <w:t xml:space="preserve"> (3</w:t>
            </w:r>
            <w:r w:rsidRPr="00F52E47">
              <w:rPr>
                <w:lang w:val="sv-SE" w:eastAsia="zh-CN"/>
              </w:rPr>
              <w:t xml:space="preserve"> x </w:t>
            </w:r>
            <w:r w:rsidRPr="00F52E47">
              <w:rPr>
                <w:snapToGrid w:val="0"/>
                <w:lang w:val="sv-SE" w:eastAsia="zh-CN"/>
              </w:rPr>
              <w:t>K1</w:t>
            </w:r>
            <w:r w:rsidRPr="00885F53">
              <w:t>)</w:t>
            </w:r>
          </w:p>
        </w:tc>
      </w:tr>
      <w:tr w:rsidR="009F2DC6" w:rsidRPr="00885F53" w14:paraId="70704B34" w14:textId="77777777" w:rsidTr="008B25C8">
        <w:trPr>
          <w:cantSplit/>
          <w:jc w:val="center"/>
        </w:trPr>
        <w:tc>
          <w:tcPr>
            <w:tcW w:w="5000" w:type="pct"/>
            <w:gridSpan w:val="4"/>
            <w:tcBorders>
              <w:top w:val="single" w:sz="4" w:space="0" w:color="auto"/>
              <w:left w:val="single" w:sz="4" w:space="0" w:color="auto"/>
              <w:bottom w:val="single" w:sz="4" w:space="0" w:color="auto"/>
              <w:right w:val="single" w:sz="4" w:space="0" w:color="auto"/>
            </w:tcBorders>
          </w:tcPr>
          <w:p w14:paraId="073DFF1A" w14:textId="77777777" w:rsidR="009F2DC6" w:rsidRPr="000D108A" w:rsidRDefault="009F2DC6" w:rsidP="008B25C8">
            <w:pPr>
              <w:pStyle w:val="TAN"/>
              <w:rPr>
                <w:rFonts w:cs="Arial"/>
              </w:rPr>
            </w:pPr>
            <w:r w:rsidRPr="00FA1949">
              <w:t>Note 1:</w:t>
            </w:r>
            <w:r w:rsidRPr="00FA1949">
              <w:rPr>
                <w:lang w:val="en-US"/>
              </w:rPr>
              <w:tab/>
            </w:r>
            <w:r w:rsidRPr="00FA1949">
              <w:t xml:space="preserve">K1 = 3 is the measurement relaxation factor applicable for UE fulfilling the </w:t>
            </w:r>
            <w:r w:rsidRPr="00FA1949">
              <w:rPr>
                <w:i/>
                <w:iCs/>
              </w:rPr>
              <w:t>lowMobilityEvalutation</w:t>
            </w:r>
            <w:r w:rsidRPr="00FA1949">
              <w:t xml:space="preserve"> [2] criterion</w:t>
            </w:r>
            <w:r w:rsidRPr="000D108A">
              <w:rPr>
                <w:snapToGrid w:val="0"/>
                <w:lang w:eastAsia="zh-CN"/>
              </w:rPr>
              <w:t>.</w:t>
            </w:r>
          </w:p>
        </w:tc>
      </w:tr>
    </w:tbl>
    <w:p w14:paraId="1F020407" w14:textId="77777777" w:rsidR="009F2DC6" w:rsidRDefault="009F2DC6" w:rsidP="009F2DC6">
      <w:pPr>
        <w:rPr>
          <w:lang w:val="en-US"/>
        </w:rPr>
      </w:pPr>
    </w:p>
    <w:p w14:paraId="2B613704" w14:textId="77777777" w:rsidR="009F2DC6" w:rsidRPr="00327784" w:rsidRDefault="009F2DC6" w:rsidP="009F2DC6">
      <w:pPr>
        <w:pStyle w:val="TH"/>
        <w:rPr>
          <w:lang w:val="en-US"/>
        </w:rPr>
      </w:pPr>
      <w:r w:rsidRPr="00327784">
        <w:rPr>
          <w:lang w:val="en-US"/>
        </w:rPr>
        <w:t>Table 4.2B.2.</w:t>
      </w:r>
      <w:r>
        <w:rPr>
          <w:lang w:val="en-US"/>
        </w:rPr>
        <w:t>11</w:t>
      </w:r>
      <w:r w:rsidRPr="00327784">
        <w:rPr>
          <w:lang w:val="en-US"/>
        </w:rPr>
        <w:t>.9-</w:t>
      </w:r>
      <w:r>
        <w:rPr>
          <w:lang w:val="en-US"/>
        </w:rPr>
        <w:t>2</w:t>
      </w:r>
      <w:r w:rsidRPr="00327784">
        <w:rPr>
          <w:lang w:val="en-US"/>
        </w:rPr>
        <w:t>: T</w:t>
      </w:r>
      <w:r w:rsidRPr="00327784">
        <w:rPr>
          <w:vertAlign w:val="subscript"/>
          <w:lang w:val="en-US"/>
        </w:rPr>
        <w:t>detect,</w:t>
      </w:r>
      <w:r w:rsidRPr="00AC0A62">
        <w:rPr>
          <w:vertAlign w:val="subscript"/>
        </w:rPr>
        <w:t>EUTRAN</w:t>
      </w:r>
      <w:r w:rsidRPr="00327784">
        <w:rPr>
          <w:vertAlign w:val="subscript"/>
          <w:lang w:val="en-US"/>
        </w:rPr>
        <w:t>_Relax</w:t>
      </w:r>
      <w:r w:rsidRPr="00327784">
        <w:rPr>
          <w:lang w:val="en-US"/>
        </w:rPr>
        <w:t>, T</w:t>
      </w:r>
      <w:r w:rsidRPr="00327784">
        <w:rPr>
          <w:vertAlign w:val="subscript"/>
          <w:lang w:val="en-US"/>
        </w:rPr>
        <w:t>measure,</w:t>
      </w:r>
      <w:r w:rsidRPr="00AC0A62">
        <w:rPr>
          <w:rFonts w:ascii="Times New Roman" w:hAnsi="Times New Roman"/>
          <w:color w:val="000000"/>
          <w:sz w:val="24"/>
          <w:szCs w:val="24"/>
        </w:rPr>
        <w:t xml:space="preserve"> </w:t>
      </w:r>
      <w:r w:rsidRPr="00AC0A62">
        <w:rPr>
          <w:vertAlign w:val="subscript"/>
        </w:rPr>
        <w:t>EUTRAN</w:t>
      </w:r>
      <w:r w:rsidRPr="00327784">
        <w:rPr>
          <w:vertAlign w:val="subscript"/>
          <w:lang w:val="en-US"/>
        </w:rPr>
        <w:t>_RedCap_Relax</w:t>
      </w:r>
      <w:r w:rsidRPr="00327784">
        <w:rPr>
          <w:lang w:val="en-US"/>
        </w:rPr>
        <w:t xml:space="preserve"> and T</w:t>
      </w:r>
      <w:r w:rsidRPr="00327784">
        <w:rPr>
          <w:vertAlign w:val="subscript"/>
          <w:lang w:val="en-US"/>
        </w:rPr>
        <w:t>evaluate,</w:t>
      </w:r>
      <w:r w:rsidRPr="00AC0A62">
        <w:rPr>
          <w:vertAlign w:val="subscript"/>
        </w:rPr>
        <w:t xml:space="preserve"> EUTRAN</w:t>
      </w:r>
      <w:r w:rsidRPr="00327784">
        <w:rPr>
          <w:vertAlign w:val="subscript"/>
          <w:lang w:val="en-US"/>
        </w:rPr>
        <w:t>_RedCap_Relax</w:t>
      </w:r>
      <w:r w:rsidRPr="00327784">
        <w:rPr>
          <w:lang w:val="en-US"/>
        </w:rPr>
        <w:t xml:space="preserve"> for UE configured with eDRX_IDLE cycle</w:t>
      </w:r>
      <w:r>
        <w:rPr>
          <w:lang w:val="en-US"/>
        </w:rPr>
        <w:t xml:space="preserve"> </w:t>
      </w:r>
      <w:r w:rsidRPr="00327784">
        <w:rPr>
          <w:lang w:val="en-US"/>
        </w:rPr>
        <w:t xml:space="preserve">(Frequency range FR1) 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2653"/>
        <w:gridCol w:w="2694"/>
        <w:gridCol w:w="2685"/>
      </w:tblGrid>
      <w:tr w:rsidR="009F2DC6" w:rsidRPr="00885F53" w14:paraId="58ED3DE4"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4B887051" w14:textId="77777777" w:rsidR="009F2DC6" w:rsidRPr="00885F53" w:rsidRDefault="009F2DC6" w:rsidP="008B25C8">
            <w:pPr>
              <w:pStyle w:val="TAH"/>
            </w:pPr>
            <w:r>
              <w:rPr>
                <w:rFonts w:cs="Arial"/>
              </w:rPr>
              <w:t>e</w:t>
            </w:r>
            <w:r w:rsidRPr="0082197E">
              <w:rPr>
                <w:rFonts w:cs="Arial"/>
              </w:rPr>
              <w:t>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4C49A16D" w14:textId="77777777" w:rsidR="009F2DC6" w:rsidRPr="00885F53" w:rsidRDefault="009F2DC6" w:rsidP="008B25C8">
            <w:pPr>
              <w:pStyle w:val="TAH"/>
            </w:pPr>
            <w:r w:rsidRPr="0082197E">
              <w:rPr>
                <w:rFonts w:cs="Arial"/>
                <w:szCs w:val="18"/>
                <w:lang w:val="en-US"/>
              </w:rPr>
              <w:t>T</w:t>
            </w:r>
            <w:r w:rsidRPr="0082197E">
              <w:rPr>
                <w:rFonts w:cs="Arial"/>
                <w:szCs w:val="18"/>
                <w:vertAlign w:val="subscript"/>
                <w:lang w:val="en-US"/>
              </w:rPr>
              <w:t>detect,</w:t>
            </w:r>
            <w:r w:rsidRPr="00AC0A62">
              <w:rPr>
                <w:sz w:val="20"/>
                <w:vertAlign w:val="subscript"/>
              </w:rPr>
              <w:t xml:space="preserve"> EUTRAN</w:t>
            </w:r>
            <w:r w:rsidRPr="0082197E">
              <w:rPr>
                <w:rFonts w:cs="Arial"/>
                <w:szCs w:val="18"/>
                <w:vertAlign w:val="subscript"/>
                <w:lang w:val="en-US"/>
              </w:rPr>
              <w:t>_RedCap</w:t>
            </w:r>
            <w:r>
              <w:rPr>
                <w:rFonts w:cs="Arial"/>
                <w:szCs w:val="18"/>
                <w:vertAlign w:val="subscript"/>
                <w:lang w:val="en-US"/>
              </w:rPr>
              <w:t>_Relax</w:t>
            </w:r>
            <w:r w:rsidRPr="0082197E">
              <w:rPr>
                <w:rFonts w:cs="Arial"/>
                <w:szCs w:val="18"/>
              </w:rPr>
              <w:t xml:space="preserve"> [s]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3FC2AFCF" w14:textId="77777777" w:rsidR="009F2DC6" w:rsidRPr="00885F53" w:rsidRDefault="009F2DC6" w:rsidP="008B25C8">
            <w:pPr>
              <w:pStyle w:val="TAH"/>
            </w:pPr>
            <w:r w:rsidRPr="0082197E">
              <w:rPr>
                <w:rFonts w:cs="Arial"/>
                <w:szCs w:val="18"/>
                <w:lang w:val="en-US"/>
              </w:rPr>
              <w:t>T</w:t>
            </w:r>
            <w:r w:rsidRPr="0082197E">
              <w:rPr>
                <w:rFonts w:cs="Arial"/>
                <w:szCs w:val="18"/>
                <w:vertAlign w:val="subscript"/>
                <w:lang w:val="en-US"/>
              </w:rPr>
              <w:t>measure,</w:t>
            </w:r>
            <w:r w:rsidRPr="00AC0A62">
              <w:rPr>
                <w:sz w:val="20"/>
                <w:vertAlign w:val="subscript"/>
              </w:rPr>
              <w:t xml:space="preserve"> EUTRAN</w:t>
            </w:r>
            <w:r w:rsidRPr="0082197E">
              <w:rPr>
                <w:rFonts w:cs="Arial"/>
                <w:szCs w:val="18"/>
                <w:vertAlign w:val="subscript"/>
                <w:lang w:val="en-US"/>
              </w:rPr>
              <w:t>_RedCap</w:t>
            </w:r>
            <w:r>
              <w:rPr>
                <w:rFonts w:cs="Arial"/>
                <w:szCs w:val="18"/>
                <w:vertAlign w:val="subscript"/>
                <w:lang w:val="en-US"/>
              </w:rPr>
              <w:t>_Relax</w:t>
            </w:r>
            <w:r w:rsidRPr="0082197E">
              <w:rPr>
                <w:rFonts w:cs="Arial"/>
                <w:szCs w:val="18"/>
                <w:lang w:val="en-US"/>
              </w:rPr>
              <w:t xml:space="preserve"> </w:t>
            </w:r>
            <w:r w:rsidRPr="0082197E">
              <w:rPr>
                <w:rFonts w:cs="Arial"/>
                <w:szCs w:val="18"/>
              </w:rPr>
              <w:t xml:space="preserve">[s]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2ADF708B" w14:textId="77777777" w:rsidR="009F2DC6" w:rsidRPr="00885F53" w:rsidRDefault="009F2DC6" w:rsidP="008B25C8">
            <w:pPr>
              <w:pStyle w:val="TAH"/>
            </w:pPr>
            <w:r w:rsidRPr="00AD5C2C">
              <w:rPr>
                <w:rFonts w:cs="Arial"/>
                <w:szCs w:val="18"/>
                <w:lang w:val="en-US"/>
              </w:rPr>
              <w:t>T</w:t>
            </w:r>
            <w:r w:rsidRPr="00AD5C2C">
              <w:rPr>
                <w:rFonts w:cs="Arial"/>
                <w:szCs w:val="18"/>
                <w:vertAlign w:val="subscript"/>
                <w:lang w:val="en-US"/>
              </w:rPr>
              <w:t>evaluate,</w:t>
            </w:r>
            <w:r w:rsidRPr="00AC0A62">
              <w:rPr>
                <w:sz w:val="20"/>
                <w:vertAlign w:val="subscript"/>
              </w:rPr>
              <w:t xml:space="preserve"> EUTRAN</w:t>
            </w:r>
            <w:r w:rsidRPr="00AD5C2C">
              <w:rPr>
                <w:rFonts w:cs="Arial"/>
                <w:szCs w:val="18"/>
                <w:vertAlign w:val="subscript"/>
                <w:lang w:val="en-US"/>
              </w:rPr>
              <w:t>_RedCap</w:t>
            </w:r>
            <w:r>
              <w:rPr>
                <w:rFonts w:cs="Arial"/>
                <w:szCs w:val="18"/>
                <w:vertAlign w:val="subscript"/>
                <w:lang w:val="en-US"/>
              </w:rPr>
              <w:t>_Relax</w:t>
            </w:r>
            <w:r w:rsidRPr="00AD5C2C">
              <w:rPr>
                <w:rFonts w:cs="Arial"/>
                <w:szCs w:val="18"/>
                <w:vertAlign w:val="subscript"/>
                <w:lang w:val="en-US"/>
              </w:rPr>
              <w:t xml:space="preserve"> </w:t>
            </w:r>
            <w:r w:rsidRPr="00AD5C2C">
              <w:rPr>
                <w:rFonts w:cs="Arial"/>
                <w:szCs w:val="18"/>
              </w:rPr>
              <w:t xml:space="preserve">[s] (number of </w:t>
            </w:r>
            <w:r>
              <w:rPr>
                <w:rFonts w:cs="Arial"/>
                <w:szCs w:val="18"/>
              </w:rPr>
              <w:t>e</w:t>
            </w:r>
            <w:r w:rsidRPr="00AD5C2C">
              <w:rPr>
                <w:rFonts w:cs="Arial"/>
                <w:szCs w:val="18"/>
              </w:rPr>
              <w:t xml:space="preserve">DRX </w:t>
            </w:r>
            <w:r>
              <w:rPr>
                <w:rFonts w:cs="Arial"/>
                <w:szCs w:val="18"/>
              </w:rPr>
              <w:t xml:space="preserve">IDLE </w:t>
            </w:r>
            <w:r w:rsidRPr="00AD5C2C">
              <w:rPr>
                <w:rFonts w:cs="Arial"/>
                <w:szCs w:val="18"/>
              </w:rPr>
              <w:t>cycles)</w:t>
            </w:r>
          </w:p>
        </w:tc>
      </w:tr>
      <w:tr w:rsidR="009F2DC6" w:rsidRPr="00885F53" w14:paraId="01E32802" w14:textId="77777777" w:rsidTr="008B25C8">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6C32EA" w14:textId="77777777" w:rsidR="009F2DC6" w:rsidRPr="00885F53" w:rsidRDefault="009F2DC6"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EA01BD" w14:textId="77777777" w:rsidR="009F2DC6" w:rsidRPr="00885F53" w:rsidRDefault="009F2DC6"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519B7C" w14:textId="77777777" w:rsidR="009F2DC6" w:rsidRPr="00885F53" w:rsidRDefault="009F2DC6"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C6A636" w14:textId="77777777" w:rsidR="009F2DC6" w:rsidRPr="00885F53" w:rsidRDefault="009F2DC6" w:rsidP="008B25C8">
            <w:pPr>
              <w:pStyle w:val="TAH"/>
            </w:pPr>
          </w:p>
        </w:tc>
      </w:tr>
      <w:tr w:rsidR="009F2DC6" w:rsidRPr="00885F53" w14:paraId="0861DE73"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28285A9" w14:textId="77777777" w:rsidR="009F2DC6" w:rsidRPr="00885F53" w:rsidRDefault="009F2DC6" w:rsidP="008B25C8">
            <w:pPr>
              <w:pStyle w:val="TAC"/>
            </w:pPr>
            <w:r w:rsidRPr="00C23796">
              <w:rPr>
                <w:rFonts w:cs="Arial"/>
                <w:szCs w:val="18"/>
              </w:rPr>
              <w:t>5.12</w:t>
            </w:r>
          </w:p>
        </w:tc>
        <w:tc>
          <w:tcPr>
            <w:tcW w:w="0" w:type="auto"/>
            <w:tcBorders>
              <w:top w:val="single" w:sz="4" w:space="0" w:color="auto"/>
              <w:left w:val="single" w:sz="4" w:space="0" w:color="auto"/>
              <w:bottom w:val="single" w:sz="4" w:space="0" w:color="auto"/>
              <w:right w:val="single" w:sz="4" w:space="0" w:color="auto"/>
            </w:tcBorders>
            <w:hideMark/>
          </w:tcPr>
          <w:p w14:paraId="644E48F6" w14:textId="77777777" w:rsidR="009F2DC6" w:rsidRPr="00885F53" w:rsidRDefault="009F2DC6" w:rsidP="008B25C8">
            <w:pPr>
              <w:pStyle w:val="TAC"/>
            </w:pPr>
            <w:r w:rsidRPr="006F2E0A">
              <w:rPr>
                <w:rFonts w:cs="Arial"/>
                <w:szCs w:val="18"/>
              </w:rPr>
              <w:t>117.76</w:t>
            </w:r>
            <w:r w:rsidRPr="00806346">
              <w:rPr>
                <w:rFonts w:cs="Arial"/>
                <w:szCs w:val="18"/>
                <w:lang w:val="sv-SE"/>
              </w:rPr>
              <w:t xml:space="preserve"> x </w:t>
            </w:r>
            <w:r>
              <w:rPr>
                <w:rFonts w:cs="Arial"/>
                <w:szCs w:val="18"/>
              </w:rPr>
              <w:t>K1</w:t>
            </w:r>
            <w:r w:rsidRPr="00C23796">
              <w:rPr>
                <w:rFonts w:cs="Arial"/>
                <w:szCs w:val="18"/>
              </w:rPr>
              <w:t xml:space="preserve"> (23</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2A51E86B" w14:textId="77777777" w:rsidR="009F2DC6" w:rsidRPr="00885F53" w:rsidRDefault="009F2DC6" w:rsidP="008B25C8">
            <w:pPr>
              <w:pStyle w:val="TAC"/>
            </w:pPr>
            <w:r w:rsidRPr="006F2E0A">
              <w:rPr>
                <w:rFonts w:cs="Arial"/>
                <w:szCs w:val="18"/>
              </w:rPr>
              <w:t>5.12</w:t>
            </w:r>
            <w:r w:rsidRPr="00806346">
              <w:rPr>
                <w:rFonts w:cs="Arial"/>
                <w:szCs w:val="18"/>
                <w:lang w:val="sv-SE"/>
              </w:rPr>
              <w:t xml:space="preserve"> x </w:t>
            </w:r>
            <w:r>
              <w:rPr>
                <w:rFonts w:cs="Arial"/>
                <w:szCs w:val="18"/>
              </w:rPr>
              <w:t>K1</w:t>
            </w:r>
            <w:r w:rsidRPr="00C23796">
              <w:rPr>
                <w:rFonts w:cs="Arial"/>
                <w:szCs w:val="18"/>
              </w:rPr>
              <w:t xml:space="preserve"> (1</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234E2804" w14:textId="77777777" w:rsidR="009F2DC6" w:rsidRPr="00885F53" w:rsidRDefault="009F2DC6" w:rsidP="008B25C8">
            <w:pPr>
              <w:pStyle w:val="TAC"/>
            </w:pPr>
            <w:r w:rsidRPr="006F2E0A">
              <w:rPr>
                <w:rFonts w:cs="Arial"/>
                <w:szCs w:val="18"/>
              </w:rPr>
              <w:t>10.24</w:t>
            </w:r>
            <w:r w:rsidRPr="00806346">
              <w:rPr>
                <w:rFonts w:cs="Arial"/>
                <w:szCs w:val="18"/>
                <w:lang w:val="sv-SE"/>
              </w:rPr>
              <w:t xml:space="preserve"> x </w:t>
            </w:r>
            <w:r>
              <w:rPr>
                <w:rFonts w:cs="Arial"/>
                <w:szCs w:val="18"/>
              </w:rPr>
              <w:t>K1</w:t>
            </w:r>
            <w:r w:rsidRPr="00C23796">
              <w:rPr>
                <w:rFonts w:cs="Arial"/>
                <w:szCs w:val="18"/>
              </w:rPr>
              <w:t xml:space="preserve"> (2</w:t>
            </w:r>
            <w:r w:rsidRPr="00806346">
              <w:rPr>
                <w:rFonts w:cs="Arial"/>
                <w:szCs w:val="18"/>
                <w:lang w:val="sv-SE"/>
              </w:rPr>
              <w:t xml:space="preserve"> x </w:t>
            </w:r>
            <w:r>
              <w:rPr>
                <w:rFonts w:cs="Arial"/>
                <w:szCs w:val="18"/>
              </w:rPr>
              <w:t>K1</w:t>
            </w:r>
            <w:r w:rsidRPr="00C23796">
              <w:rPr>
                <w:rFonts w:cs="Arial"/>
                <w:szCs w:val="18"/>
              </w:rPr>
              <w:t>)</w:t>
            </w:r>
          </w:p>
        </w:tc>
      </w:tr>
      <w:tr w:rsidR="009F2DC6" w:rsidRPr="00885F53" w14:paraId="0ACC0E76"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tcPr>
          <w:p w14:paraId="2D9F8FB6" w14:textId="77777777" w:rsidR="009F2DC6" w:rsidRPr="00C23796" w:rsidRDefault="009F2DC6" w:rsidP="008B25C8">
            <w:pPr>
              <w:pStyle w:val="TAC"/>
              <w:rPr>
                <w:rFonts w:cs="Arial"/>
                <w:szCs w:val="18"/>
              </w:rPr>
            </w:pPr>
            <w:r>
              <w:rPr>
                <w:rFonts w:cs="Arial"/>
                <w:szCs w:val="18"/>
              </w:rPr>
              <w:t>10.24</w:t>
            </w:r>
          </w:p>
        </w:tc>
        <w:tc>
          <w:tcPr>
            <w:tcW w:w="0" w:type="auto"/>
            <w:tcBorders>
              <w:top w:val="single" w:sz="4" w:space="0" w:color="auto"/>
              <w:left w:val="single" w:sz="4" w:space="0" w:color="auto"/>
              <w:bottom w:val="single" w:sz="4" w:space="0" w:color="auto"/>
              <w:right w:val="single" w:sz="4" w:space="0" w:color="auto"/>
            </w:tcBorders>
          </w:tcPr>
          <w:p w14:paraId="5D58F9DB" w14:textId="77777777" w:rsidR="009F2DC6" w:rsidRPr="006F2E0A" w:rsidRDefault="009F2DC6" w:rsidP="008B25C8">
            <w:pPr>
              <w:pStyle w:val="TAC"/>
              <w:rPr>
                <w:rFonts w:cs="Arial"/>
                <w:szCs w:val="18"/>
              </w:rPr>
            </w:pPr>
            <w:r>
              <w:rPr>
                <w:rFonts w:cs="Arial"/>
                <w:szCs w:val="18"/>
              </w:rPr>
              <w:t>235.52</w:t>
            </w:r>
            <w:r w:rsidRPr="00806346">
              <w:rPr>
                <w:rFonts w:cs="Arial"/>
                <w:szCs w:val="18"/>
              </w:rPr>
              <w:t xml:space="preserve"> x K</w:t>
            </w:r>
            <w:r>
              <w:rPr>
                <w:rFonts w:cs="Arial"/>
                <w:szCs w:val="18"/>
              </w:rPr>
              <w:t>1</w:t>
            </w:r>
            <w:r w:rsidRPr="006F2E0A">
              <w:rPr>
                <w:rFonts w:cs="Arial"/>
                <w:szCs w:val="18"/>
              </w:rPr>
              <w:t xml:space="preserve"> (23</w:t>
            </w:r>
            <w:r w:rsidRPr="00806346">
              <w:rPr>
                <w:rFonts w:cs="Arial"/>
                <w:szCs w:val="18"/>
              </w:rPr>
              <w:t xml:space="preserve"> x K</w:t>
            </w:r>
            <w:r>
              <w:rPr>
                <w:rFonts w:cs="Arial"/>
                <w:szCs w:val="18"/>
              </w:rPr>
              <w:t>1</w:t>
            </w:r>
            <w:r w:rsidRPr="006F2E0A">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39761E00" w14:textId="77777777" w:rsidR="009F2DC6" w:rsidRPr="006F2E0A" w:rsidRDefault="009F2DC6" w:rsidP="008B25C8">
            <w:pPr>
              <w:pStyle w:val="TAC"/>
              <w:rPr>
                <w:rFonts w:cs="Arial"/>
                <w:szCs w:val="18"/>
              </w:rPr>
            </w:pPr>
            <w:r>
              <w:rPr>
                <w:rFonts w:cs="Arial"/>
                <w:szCs w:val="18"/>
              </w:rPr>
              <w:t>10.24</w:t>
            </w:r>
            <w:r w:rsidRPr="00806346">
              <w:rPr>
                <w:rFonts w:cs="Arial"/>
                <w:szCs w:val="18"/>
              </w:rPr>
              <w:t xml:space="preserve"> x K</w:t>
            </w:r>
            <w:r>
              <w:rPr>
                <w:rFonts w:cs="Arial"/>
                <w:szCs w:val="18"/>
              </w:rPr>
              <w:t>1</w:t>
            </w:r>
            <w:r w:rsidRPr="006F2E0A">
              <w:rPr>
                <w:rFonts w:cs="Arial"/>
                <w:szCs w:val="18"/>
              </w:rPr>
              <w:t xml:space="preserve"> (1</w:t>
            </w:r>
            <w:r w:rsidRPr="00806346">
              <w:rPr>
                <w:rFonts w:cs="Arial"/>
                <w:szCs w:val="18"/>
              </w:rPr>
              <w:t xml:space="preserve"> x K</w:t>
            </w:r>
            <w:r>
              <w:rPr>
                <w:rFonts w:cs="Arial"/>
                <w:szCs w:val="18"/>
              </w:rPr>
              <w:t>1</w:t>
            </w:r>
            <w:r w:rsidRPr="006F2E0A">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0369BEDE" w14:textId="77777777" w:rsidR="009F2DC6" w:rsidRPr="006F2E0A" w:rsidRDefault="009F2DC6" w:rsidP="008B25C8">
            <w:pPr>
              <w:pStyle w:val="TAC"/>
              <w:rPr>
                <w:rFonts w:cs="Arial"/>
                <w:szCs w:val="18"/>
              </w:rPr>
            </w:pPr>
            <w:r>
              <w:rPr>
                <w:rFonts w:cs="Arial"/>
                <w:szCs w:val="18"/>
              </w:rPr>
              <w:t>20.48</w:t>
            </w:r>
            <w:r w:rsidRPr="00806346">
              <w:rPr>
                <w:rFonts w:cs="Arial"/>
                <w:szCs w:val="18"/>
              </w:rPr>
              <w:t xml:space="preserve"> x K</w:t>
            </w:r>
            <w:r>
              <w:rPr>
                <w:rFonts w:cs="Arial"/>
                <w:szCs w:val="18"/>
              </w:rPr>
              <w:t>1</w:t>
            </w:r>
            <w:r w:rsidRPr="006F2E0A">
              <w:rPr>
                <w:rFonts w:cs="Arial"/>
                <w:szCs w:val="18"/>
              </w:rPr>
              <w:t xml:space="preserve"> (2</w:t>
            </w:r>
            <w:r w:rsidRPr="00806346">
              <w:rPr>
                <w:rFonts w:cs="Arial"/>
                <w:szCs w:val="18"/>
              </w:rPr>
              <w:t xml:space="preserve"> x K</w:t>
            </w:r>
            <w:r>
              <w:rPr>
                <w:rFonts w:cs="Arial"/>
                <w:szCs w:val="18"/>
              </w:rPr>
              <w:t>1</w:t>
            </w:r>
            <w:r w:rsidRPr="006F2E0A">
              <w:rPr>
                <w:rFonts w:cs="Arial"/>
                <w:szCs w:val="18"/>
              </w:rPr>
              <w:t>)</w:t>
            </w:r>
          </w:p>
        </w:tc>
      </w:tr>
      <w:tr w:rsidR="009F2DC6" w:rsidRPr="00885F53" w14:paraId="0C72E02B" w14:textId="77777777" w:rsidTr="008B25C8">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5153871A" w14:textId="77777777" w:rsidR="009F2DC6" w:rsidRPr="00885F53" w:rsidRDefault="009F2DC6" w:rsidP="008B25C8">
            <w:pPr>
              <w:pStyle w:val="TAN"/>
            </w:pPr>
            <w:r w:rsidRPr="00C23796">
              <w:rPr>
                <w:rFonts w:cs="Arial"/>
                <w:snapToGrid w:val="0"/>
                <w:szCs w:val="18"/>
              </w:rPr>
              <w:t xml:space="preserve">Note </w:t>
            </w:r>
            <w:r>
              <w:rPr>
                <w:rFonts w:cs="Arial"/>
                <w:snapToGrid w:val="0"/>
                <w:szCs w:val="18"/>
              </w:rPr>
              <w:t>1</w:t>
            </w:r>
            <w:r w:rsidRPr="00C23796">
              <w:rPr>
                <w:rFonts w:cs="Arial"/>
                <w:snapToGrid w:val="0"/>
                <w:szCs w:val="18"/>
              </w:rPr>
              <w:t>:</w:t>
            </w:r>
            <w:r w:rsidRPr="00C23796">
              <w:rPr>
                <w:rFonts w:cs="Arial"/>
                <w:snapToGrid w:val="0"/>
                <w:szCs w:val="18"/>
              </w:rPr>
              <w:tab/>
            </w:r>
            <w:r>
              <w:rPr>
                <w:rFonts w:cs="Arial"/>
                <w:snapToGrid w:val="0"/>
                <w:szCs w:val="18"/>
              </w:rPr>
              <w:t>K1</w:t>
            </w:r>
            <w:r w:rsidRPr="00C23796">
              <w:rPr>
                <w:rFonts w:cs="Arial"/>
                <w:snapToGrid w:val="0"/>
                <w:szCs w:val="18"/>
              </w:rPr>
              <w:t xml:space="preserve"> = </w:t>
            </w:r>
            <w:r>
              <w:rPr>
                <w:rFonts w:cs="Arial"/>
                <w:snapToGrid w:val="0"/>
                <w:szCs w:val="18"/>
              </w:rPr>
              <w:t>3</w:t>
            </w:r>
            <w:r w:rsidRPr="00C23796">
              <w:rPr>
                <w:rFonts w:cs="Arial"/>
                <w:snapToGrid w:val="0"/>
                <w:szCs w:val="18"/>
              </w:rPr>
              <w:t xml:space="preserve"> is the measurement relaxation factor applicable for UE fulfilling the </w:t>
            </w:r>
            <w:r w:rsidRPr="001C6668">
              <w:rPr>
                <w:i/>
                <w:iCs/>
              </w:rPr>
              <w:t>lowMobilityEvaluation</w:t>
            </w:r>
            <w:r w:rsidRPr="00C23796">
              <w:rPr>
                <w:rFonts w:cs="Arial"/>
                <w:snapToGrid w:val="0"/>
                <w:szCs w:val="18"/>
              </w:rPr>
              <w:t xml:space="preserve"> [2] criterion.</w:t>
            </w:r>
          </w:p>
        </w:tc>
      </w:tr>
    </w:tbl>
    <w:p w14:paraId="2E0E7E6E" w14:textId="77777777" w:rsidR="009F2DC6" w:rsidRDefault="009F2DC6" w:rsidP="009F2DC6">
      <w:pPr>
        <w:rPr>
          <w:noProof/>
        </w:rPr>
      </w:pPr>
    </w:p>
    <w:p w14:paraId="7D150D43" w14:textId="78A3FCC6" w:rsidR="009F2DC6" w:rsidRPr="00327784" w:rsidRDefault="009F2DC6" w:rsidP="009F2DC6">
      <w:pPr>
        <w:pStyle w:val="TH"/>
        <w:rPr>
          <w:lang w:val="en-US"/>
        </w:rPr>
      </w:pPr>
      <w:r w:rsidRPr="0063257B">
        <w:rPr>
          <w:lang w:val="en-US"/>
        </w:rPr>
        <w:t>Table 4.2B.2.</w:t>
      </w:r>
      <w:r>
        <w:rPr>
          <w:lang w:val="en-US"/>
        </w:rPr>
        <w:t>11</w:t>
      </w:r>
      <w:r w:rsidRPr="0063257B">
        <w:rPr>
          <w:lang w:val="en-US"/>
        </w:rPr>
        <w:t>.9-</w:t>
      </w:r>
      <w:r>
        <w:rPr>
          <w:lang w:val="en-US"/>
        </w:rPr>
        <w:t>3</w:t>
      </w:r>
      <w:r w:rsidRPr="00327784">
        <w:rPr>
          <w:lang w:val="en-US"/>
        </w:rPr>
        <w:t xml:space="preserve">: </w:t>
      </w:r>
      <w:r w:rsidR="00836029" w:rsidRPr="00327784">
        <w:rPr>
          <w:lang w:val="en-US"/>
        </w:rPr>
        <w:t>T</w:t>
      </w:r>
      <w:r w:rsidR="00836029" w:rsidRPr="00327784">
        <w:rPr>
          <w:vertAlign w:val="subscript"/>
          <w:lang w:val="en-US"/>
        </w:rPr>
        <w:t>detect,</w:t>
      </w:r>
      <w:r w:rsidR="00836029" w:rsidRPr="004A4879">
        <w:rPr>
          <w:vertAlign w:val="subscript"/>
        </w:rPr>
        <w:t xml:space="preserve"> </w:t>
      </w:r>
      <w:r w:rsidR="00836029" w:rsidRPr="00AC0A62">
        <w:rPr>
          <w:vertAlign w:val="subscript"/>
        </w:rPr>
        <w:t>EUTRAN</w:t>
      </w:r>
      <w:r w:rsidR="00836029" w:rsidRPr="00327784">
        <w:rPr>
          <w:vertAlign w:val="subscript"/>
          <w:lang w:val="en-US"/>
        </w:rPr>
        <w:t>_RedCap_Relax</w:t>
      </w:r>
      <w:r w:rsidR="00836029" w:rsidRPr="00327784">
        <w:rPr>
          <w:lang w:val="en-US"/>
        </w:rPr>
        <w:t>, T</w:t>
      </w:r>
      <w:r w:rsidR="00836029" w:rsidRPr="00327784">
        <w:rPr>
          <w:vertAlign w:val="subscript"/>
          <w:lang w:val="en-US"/>
        </w:rPr>
        <w:t>measure,</w:t>
      </w:r>
      <w:r w:rsidR="00836029" w:rsidRPr="004A4879">
        <w:rPr>
          <w:vertAlign w:val="subscript"/>
        </w:rPr>
        <w:t xml:space="preserve"> </w:t>
      </w:r>
      <w:r w:rsidR="00836029" w:rsidRPr="00AC0A62">
        <w:rPr>
          <w:vertAlign w:val="subscript"/>
        </w:rPr>
        <w:t>EUTRAN</w:t>
      </w:r>
      <w:r w:rsidR="00836029" w:rsidRPr="00327784">
        <w:rPr>
          <w:vertAlign w:val="subscript"/>
          <w:lang w:val="en-US"/>
        </w:rPr>
        <w:t>_RedCap_</w:t>
      </w:r>
      <w:r w:rsidR="00836029">
        <w:rPr>
          <w:vertAlign w:val="subscript"/>
          <w:lang w:val="en-US"/>
        </w:rPr>
        <w:t>R</w:t>
      </w:r>
      <w:r w:rsidR="00836029" w:rsidRPr="00327784">
        <w:rPr>
          <w:vertAlign w:val="subscript"/>
          <w:lang w:val="en-US"/>
        </w:rPr>
        <w:t>elax</w:t>
      </w:r>
      <w:r w:rsidR="00836029" w:rsidRPr="00327784">
        <w:rPr>
          <w:lang w:val="en-US"/>
        </w:rPr>
        <w:t xml:space="preserve"> and T</w:t>
      </w:r>
      <w:r w:rsidR="00836029" w:rsidRPr="00327784">
        <w:rPr>
          <w:vertAlign w:val="subscript"/>
          <w:lang w:val="en-US"/>
        </w:rPr>
        <w:t>evaluate,</w:t>
      </w:r>
      <w:r w:rsidR="00836029" w:rsidRPr="004A4879">
        <w:rPr>
          <w:vertAlign w:val="subscript"/>
        </w:rPr>
        <w:t xml:space="preserve"> </w:t>
      </w:r>
      <w:r w:rsidR="00836029" w:rsidRPr="00AC0A62">
        <w:rPr>
          <w:vertAlign w:val="subscript"/>
        </w:rPr>
        <w:t>EUTRAN</w:t>
      </w:r>
      <w:r w:rsidR="00836029" w:rsidRPr="00327784">
        <w:rPr>
          <w:vertAlign w:val="subscript"/>
          <w:lang w:val="en-US"/>
        </w:rPr>
        <w:t>_RedCap_Relax</w:t>
      </w:r>
      <w:r w:rsidR="00836029" w:rsidRPr="00327784">
        <w:rPr>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718"/>
        <w:gridCol w:w="885"/>
        <w:gridCol w:w="2670"/>
        <w:gridCol w:w="2116"/>
        <w:gridCol w:w="2103"/>
      </w:tblGrid>
      <w:tr w:rsidR="009F2DC6" w:rsidRPr="00B85562" w14:paraId="79DEAD23" w14:textId="77777777" w:rsidTr="008B25C8">
        <w:trPr>
          <w:trHeight w:val="1692"/>
        </w:trPr>
        <w:tc>
          <w:tcPr>
            <w:tcW w:w="1198" w:type="dxa"/>
            <w:hideMark/>
          </w:tcPr>
          <w:p w14:paraId="2BAAB23C" w14:textId="77777777" w:rsidR="009F2DC6" w:rsidRPr="00B11B68" w:rsidRDefault="009F2DC6" w:rsidP="008B25C8">
            <w:pPr>
              <w:rPr>
                <w:rFonts w:ascii="Arial" w:hAnsi="Arial" w:cs="Arial"/>
                <w:sz w:val="18"/>
                <w:lang w:val="en-US"/>
              </w:rPr>
            </w:pPr>
            <w:r w:rsidRPr="00B11B68">
              <w:rPr>
                <w:rFonts w:ascii="Arial" w:hAnsi="Arial" w:cs="Arial"/>
                <w:b/>
                <w:sz w:val="18"/>
              </w:rPr>
              <w:t>eDRX_IDLE cycle length [s]</w:t>
            </w:r>
          </w:p>
        </w:tc>
        <w:tc>
          <w:tcPr>
            <w:tcW w:w="751" w:type="dxa"/>
            <w:hideMark/>
          </w:tcPr>
          <w:p w14:paraId="4E847B0B" w14:textId="77777777" w:rsidR="009F2DC6" w:rsidRPr="00B11B68" w:rsidRDefault="009F2DC6" w:rsidP="008B25C8">
            <w:pPr>
              <w:rPr>
                <w:rFonts w:ascii="Arial" w:hAnsi="Arial" w:cs="Arial"/>
                <w:sz w:val="18"/>
                <w:lang w:val="en-US"/>
              </w:rPr>
            </w:pPr>
            <w:r w:rsidRPr="00B11B68">
              <w:rPr>
                <w:rFonts w:ascii="Arial" w:hAnsi="Arial" w:cs="Arial"/>
                <w:b/>
                <w:sz w:val="18"/>
              </w:rPr>
              <w:t>DRX cycle length [s]</w:t>
            </w:r>
          </w:p>
        </w:tc>
        <w:tc>
          <w:tcPr>
            <w:tcW w:w="930" w:type="dxa"/>
            <w:hideMark/>
          </w:tcPr>
          <w:p w14:paraId="4B712744" w14:textId="77777777" w:rsidR="009F2DC6" w:rsidRPr="00B11B68" w:rsidRDefault="009F2DC6" w:rsidP="008B25C8">
            <w:pPr>
              <w:rPr>
                <w:rFonts w:ascii="Arial" w:hAnsi="Arial" w:cs="Arial"/>
                <w:sz w:val="18"/>
                <w:lang w:val="en-US"/>
              </w:rPr>
            </w:pPr>
            <w:r w:rsidRPr="00B11B68">
              <w:rPr>
                <w:rFonts w:ascii="Arial" w:hAnsi="Arial" w:cs="Arial"/>
                <w:b/>
                <w:sz w:val="18"/>
              </w:rPr>
              <w:t>PTW length [s] (number of 1.28s periods)</w:t>
            </w:r>
          </w:p>
        </w:tc>
        <w:tc>
          <w:tcPr>
            <w:tcW w:w="2431" w:type="dxa"/>
            <w:hideMark/>
          </w:tcPr>
          <w:p w14:paraId="4EFC467A" w14:textId="77777777" w:rsidR="009F2DC6" w:rsidRPr="00B11B68" w:rsidRDefault="009F2DC6" w:rsidP="008B25C8">
            <w:pPr>
              <w:rPr>
                <w:rFonts w:ascii="Arial" w:hAnsi="Arial" w:cs="Arial"/>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detect,</w:t>
            </w:r>
            <w:r w:rsidRPr="004A4879">
              <w:rPr>
                <w:vertAlign w:val="subscript"/>
              </w:rPr>
              <w:t xml:space="preserve"> </w:t>
            </w:r>
            <w:r w:rsidRPr="004A4879">
              <w:rPr>
                <w:rFonts w:ascii="Arial" w:hAnsi="Arial" w:cs="Arial"/>
                <w:b/>
                <w:sz w:val="18"/>
                <w:szCs w:val="18"/>
                <w:vertAlign w:val="subscript"/>
              </w:rPr>
              <w:t>EUTRAN</w:t>
            </w:r>
            <w:r w:rsidRPr="00B11B68">
              <w:rPr>
                <w:rFonts w:ascii="Arial" w:hAnsi="Arial" w:cs="Arial"/>
                <w:b/>
                <w:sz w:val="18"/>
                <w:szCs w:val="18"/>
                <w:vertAlign w:val="subscript"/>
                <w:lang w:val="en-US"/>
              </w:rPr>
              <w:t>_RedCap</w:t>
            </w:r>
            <w:r>
              <w:rPr>
                <w:rFonts w:ascii="Arial" w:hAnsi="Arial" w:cs="Arial"/>
                <w:b/>
                <w:sz w:val="18"/>
                <w:szCs w:val="18"/>
                <w:vertAlign w:val="subscript"/>
                <w:lang w:val="en-US"/>
              </w:rPr>
              <w:t>_Relax</w:t>
            </w:r>
            <w:r w:rsidRPr="00963536">
              <w:rPr>
                <w:rFonts w:ascii="Arial" w:hAnsi="Arial" w:cs="Arial"/>
                <w:b/>
                <w:sz w:val="18"/>
                <w:szCs w:val="18"/>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c>
          <w:tcPr>
            <w:tcW w:w="1860" w:type="dxa"/>
            <w:hideMark/>
          </w:tcPr>
          <w:p w14:paraId="3F2889F1" w14:textId="77777777" w:rsidR="009F2DC6" w:rsidRPr="00B11B68" w:rsidRDefault="009F2DC6" w:rsidP="008B25C8">
            <w:pPr>
              <w:rPr>
                <w:rFonts w:ascii="Arial" w:hAnsi="Arial" w:cs="Arial"/>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measure,</w:t>
            </w:r>
            <w:r w:rsidRPr="004A4879">
              <w:rPr>
                <w:rFonts w:ascii="Arial" w:hAnsi="Arial" w:cs="Arial"/>
                <w:b/>
                <w:sz w:val="18"/>
                <w:szCs w:val="18"/>
                <w:vertAlign w:val="subscript"/>
              </w:rPr>
              <w:t>EUTRAN</w:t>
            </w:r>
            <w:r w:rsidRPr="004A4879">
              <w:rPr>
                <w:rFonts w:ascii="Arial" w:hAnsi="Arial" w:cs="Arial"/>
                <w:b/>
                <w:sz w:val="18"/>
                <w:szCs w:val="18"/>
                <w:vertAlign w:val="subscript"/>
                <w:lang w:val="en-US"/>
              </w:rPr>
              <w:t>_</w:t>
            </w:r>
            <w:r w:rsidRPr="00B11B68">
              <w:rPr>
                <w:rFonts w:ascii="Arial" w:hAnsi="Arial" w:cs="Arial"/>
                <w:b/>
                <w:sz w:val="18"/>
                <w:szCs w:val="18"/>
                <w:vertAlign w:val="subscript"/>
                <w:lang w:val="en-US"/>
              </w:rPr>
              <w:t>RedCap</w:t>
            </w:r>
            <w:r>
              <w:rPr>
                <w:rFonts w:ascii="Arial" w:hAnsi="Arial" w:cs="Arial"/>
                <w:b/>
                <w:sz w:val="18"/>
                <w:szCs w:val="18"/>
                <w:vertAlign w:val="subscript"/>
                <w:lang w:val="en-US"/>
              </w:rPr>
              <w:t>_Relax</w:t>
            </w:r>
            <w:r w:rsidRPr="00B11B68">
              <w:rPr>
                <w:rFonts w:ascii="Arial" w:hAnsi="Arial" w:cs="Arial"/>
                <w:b/>
                <w:sz w:val="18"/>
                <w:szCs w:val="18"/>
                <w:lang w:val="en-US"/>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c>
          <w:tcPr>
            <w:tcW w:w="1846" w:type="dxa"/>
          </w:tcPr>
          <w:p w14:paraId="1140B14E" w14:textId="77777777" w:rsidR="009F2DC6" w:rsidRPr="00B11B68" w:rsidRDefault="009F2DC6" w:rsidP="008B25C8">
            <w:pPr>
              <w:rPr>
                <w:rFonts w:ascii="Arial" w:hAnsi="Arial" w:cs="Arial"/>
                <w:b/>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evaluate,</w:t>
            </w:r>
            <w:r w:rsidRPr="004A4879">
              <w:rPr>
                <w:rFonts w:ascii="Arial" w:hAnsi="Arial" w:cs="Arial"/>
                <w:b/>
                <w:sz w:val="18"/>
                <w:szCs w:val="18"/>
                <w:vertAlign w:val="subscript"/>
              </w:rPr>
              <w:t>EUTRAN</w:t>
            </w:r>
            <w:r w:rsidRPr="00B11B68">
              <w:rPr>
                <w:rFonts w:ascii="Arial" w:hAnsi="Arial" w:cs="Arial"/>
                <w:b/>
                <w:sz w:val="18"/>
                <w:szCs w:val="18"/>
                <w:vertAlign w:val="subscript"/>
                <w:lang w:val="en-US"/>
              </w:rPr>
              <w:t>_RedCap</w:t>
            </w:r>
            <w:r>
              <w:rPr>
                <w:rFonts w:ascii="Arial" w:hAnsi="Arial" w:cs="Arial"/>
                <w:b/>
                <w:sz w:val="18"/>
                <w:szCs w:val="18"/>
                <w:vertAlign w:val="subscript"/>
                <w:lang w:val="en-US"/>
              </w:rPr>
              <w:t>_Relax</w:t>
            </w:r>
            <w:r w:rsidRPr="00B11B68">
              <w:rPr>
                <w:rFonts w:ascii="Arial" w:hAnsi="Arial" w:cs="Arial"/>
                <w:b/>
                <w:sz w:val="18"/>
                <w:szCs w:val="18"/>
                <w:vertAlign w:val="subscript"/>
                <w:lang w:val="en-US"/>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r>
      <w:tr w:rsidR="009F2DC6" w:rsidRPr="00B85562" w14:paraId="3A4A7E34" w14:textId="77777777" w:rsidTr="008B25C8">
        <w:trPr>
          <w:trHeight w:val="673"/>
        </w:trPr>
        <w:tc>
          <w:tcPr>
            <w:tcW w:w="1198" w:type="dxa"/>
            <w:vMerge w:val="restart"/>
            <w:hideMark/>
          </w:tcPr>
          <w:p w14:paraId="6EA51392" w14:textId="77777777" w:rsidR="009F2DC6" w:rsidRPr="00B11B68" w:rsidRDefault="009F2DC6" w:rsidP="008B25C8">
            <w:pPr>
              <w:rPr>
                <w:rFonts w:ascii="Arial" w:hAnsi="Arial" w:cs="Arial"/>
                <w:sz w:val="18"/>
                <w:lang w:val="en-US"/>
              </w:rPr>
            </w:pPr>
            <w:r w:rsidRPr="00B11B68">
              <w:rPr>
                <w:rFonts w:ascii="Arial" w:hAnsi="Arial" w:cs="Arial"/>
                <w:sz w:val="18"/>
              </w:rPr>
              <w:t>20.48 ≤</w:t>
            </w:r>
            <w:r w:rsidRPr="00CA7017">
              <w:rPr>
                <w:rFonts w:cs="Arial"/>
              </w:rPr>
              <w:t xml:space="preserve"> </w:t>
            </w:r>
            <w:r w:rsidRPr="00B11B68">
              <w:rPr>
                <w:rFonts w:ascii="Arial" w:hAnsi="Arial" w:cs="Arial"/>
                <w:sz w:val="18"/>
              </w:rPr>
              <w:t xml:space="preserve"> eDRX_IDLE cycle length ≤</w:t>
            </w:r>
            <w:r>
              <w:rPr>
                <w:rFonts w:ascii="Arial" w:hAnsi="Arial" w:cs="Arial"/>
                <w:sz w:val="18"/>
              </w:rPr>
              <w:t>[163.84]</w:t>
            </w:r>
          </w:p>
        </w:tc>
        <w:tc>
          <w:tcPr>
            <w:tcW w:w="751" w:type="dxa"/>
            <w:hideMark/>
          </w:tcPr>
          <w:p w14:paraId="4DECAB9E" w14:textId="77777777" w:rsidR="009F2DC6" w:rsidRPr="00B11B68" w:rsidRDefault="009F2DC6" w:rsidP="008B25C8">
            <w:pPr>
              <w:rPr>
                <w:rFonts w:ascii="Arial" w:hAnsi="Arial" w:cs="Arial"/>
                <w:sz w:val="18"/>
                <w:lang w:val="en-US"/>
              </w:rPr>
            </w:pPr>
            <w:r w:rsidRPr="00B11B68">
              <w:rPr>
                <w:rFonts w:ascii="Arial" w:hAnsi="Arial" w:cs="Arial"/>
                <w:sz w:val="18"/>
              </w:rPr>
              <w:t>0.32</w:t>
            </w:r>
          </w:p>
        </w:tc>
        <w:tc>
          <w:tcPr>
            <w:tcW w:w="930" w:type="dxa"/>
            <w:hideMark/>
          </w:tcPr>
          <w:p w14:paraId="0B80B5AD" w14:textId="77777777" w:rsidR="009F2DC6" w:rsidRPr="00B11B68" w:rsidRDefault="009F2DC6" w:rsidP="008B25C8">
            <w:pPr>
              <w:rPr>
                <w:rFonts w:ascii="Arial" w:hAnsi="Arial" w:cs="Arial"/>
                <w:sz w:val="18"/>
                <w:lang w:val="en-US"/>
              </w:rPr>
            </w:pPr>
            <w:r w:rsidRPr="00B11B68">
              <w:rPr>
                <w:rFonts w:ascii="Arial" w:hAnsi="Arial" w:cs="Arial"/>
                <w:sz w:val="18"/>
              </w:rPr>
              <w:t>≥</w:t>
            </w:r>
            <w:r>
              <w:rPr>
                <w:rFonts w:ascii="Arial" w:hAnsi="Arial" w:cs="Arial"/>
                <w:sz w:val="18"/>
                <w:lang w:val="en-US"/>
              </w:rPr>
              <w:t>[</w:t>
            </w:r>
            <w:r>
              <w:rPr>
                <w:rFonts w:ascii="Arial" w:hAnsi="Arial" w:cs="Arial"/>
                <w:sz w:val="18"/>
              </w:rPr>
              <w:t>3.84]</w:t>
            </w:r>
            <w:r w:rsidRPr="00B11B68">
              <w:rPr>
                <w:rFonts w:ascii="Arial" w:hAnsi="Arial" w:cs="Arial"/>
                <w:sz w:val="18"/>
              </w:rPr>
              <w:t xml:space="preserve"> (</w:t>
            </w:r>
            <w:r>
              <w:rPr>
                <w:rFonts w:ascii="Arial" w:hAnsi="Arial" w:cs="Arial"/>
                <w:sz w:val="18"/>
              </w:rPr>
              <w:t>[3]</w:t>
            </w:r>
            <w:r w:rsidRPr="00B11B68">
              <w:rPr>
                <w:rFonts w:ascii="Arial" w:hAnsi="Arial" w:cs="Arial"/>
                <w:sz w:val="18"/>
              </w:rPr>
              <w:t>)</w:t>
            </w:r>
          </w:p>
        </w:tc>
        <w:tc>
          <w:tcPr>
            <w:tcW w:w="2431" w:type="dxa"/>
            <w:vMerge w:val="restart"/>
            <w:hideMark/>
          </w:tcPr>
          <w:p w14:paraId="63C66930" w14:textId="77777777" w:rsidR="009F2DC6" w:rsidRPr="00B11B68" w:rsidRDefault="009F2DC6" w:rsidP="008B25C8">
            <w:pPr>
              <w:rPr>
                <w:rFonts w:ascii="Arial" w:hAnsi="Arial" w:cs="Arial"/>
                <w:sz w:val="18"/>
                <w:lang w:val="en-US"/>
              </w:rPr>
            </w:pPr>
            <m:oMathPara>
              <m:oMathParaPr>
                <m:jc m:val="centerGroup"/>
              </m:oMathParaPr>
              <m:oMath>
                <m:r>
                  <w:rPr>
                    <w:rFonts w:ascii="Cambria Math" w:hAnsi="Cambria Math" w:cs="Arial"/>
                    <w:sz w:val="18"/>
                    <w:lang w:val="en-US"/>
                  </w:rPr>
                  <m:t>eDRX</m:t>
                </m:r>
                <m:r>
                  <m:rPr>
                    <m:sty m:val="p"/>
                  </m:rPr>
                  <w:rPr>
                    <w:rFonts w:ascii="Cambria Math" w:hAnsi="Cambria Math" w:cs="Arial"/>
                    <w:sz w:val="18"/>
                    <w:lang w:val="en-US"/>
                  </w:rPr>
                  <m:t>_</m:t>
                </m:r>
                <m:r>
                  <w:rPr>
                    <w:rFonts w:ascii="Cambria Math" w:hAnsi="Cambria Math" w:cs="Arial"/>
                    <w:sz w:val="18"/>
                    <w:lang w:val="en-US"/>
                  </w:rPr>
                  <m:t>cycl</m:t>
                </m:r>
                <m:r>
                  <m:rPr>
                    <m:sty m:val="p"/>
                  </m:rPr>
                  <w:rPr>
                    <w:rFonts w:ascii="Cambria Math" w:hAnsi="Cambria Math" w:cs="Arial"/>
                    <w:sz w:val="18"/>
                    <w:lang w:val="en-US"/>
                  </w:rPr>
                  <m:t>e_</m:t>
                </m:r>
                <m:r>
                  <w:rPr>
                    <w:rFonts w:ascii="Cambria Math" w:hAnsi="Cambria Math" w:cs="Arial"/>
                    <w:sz w:val="18"/>
                    <w:lang w:val="en-US"/>
                  </w:rPr>
                  <m:t>length×</m:t>
                </m:r>
                <m:d>
                  <m:dPr>
                    <m:begChr m:val="⌈"/>
                    <m:endChr m:val="⌉"/>
                    <m:ctrlPr>
                      <w:rPr>
                        <w:rFonts w:ascii="Cambria Math" w:hAnsi="Cambria Math" w:cs="Arial"/>
                        <w:i/>
                        <w:sz w:val="18"/>
                        <w:lang w:val="en-US"/>
                      </w:rPr>
                    </m:ctrlPr>
                  </m:dPr>
                  <m:e>
                    <m:f>
                      <m:fPr>
                        <m:ctrlPr>
                          <w:rPr>
                            <w:rFonts w:ascii="Cambria Math" w:hAnsi="Cambria Math" w:cs="Arial"/>
                            <w:i/>
                            <w:sz w:val="18"/>
                            <w:lang w:val="en-US"/>
                          </w:rPr>
                        </m:ctrlPr>
                      </m:fPr>
                      <m:num>
                        <m:r>
                          <w:rPr>
                            <w:rFonts w:ascii="Cambria Math" w:hAnsi="Cambria Math" w:cs="Arial"/>
                            <w:sz w:val="18"/>
                            <w:lang w:val="en-US"/>
                          </w:rPr>
                          <m:t>23</m:t>
                        </m:r>
                      </m:num>
                      <m:den>
                        <m:r>
                          <w:rPr>
                            <w:rFonts w:ascii="Cambria Math" w:hAnsi="Cambria Math" w:cs="Arial"/>
                            <w:sz w:val="18"/>
                            <w:lang w:val="en-US"/>
                          </w:rPr>
                          <m:t>PTW/DRX_cycle_length</m:t>
                        </m:r>
                      </m:den>
                    </m:f>
                  </m:e>
                </m:d>
                <m:r>
                  <m:rPr>
                    <m:sty m:val="p"/>
                  </m:rPr>
                  <w:rPr>
                    <w:rFonts w:ascii="Cambria Math" w:hAnsi="Cambria Math"/>
                    <w:lang w:val="sv-SE"/>
                  </w:rPr>
                  <m:t xml:space="preserve">x </m:t>
                </m:r>
                <m:r>
                  <m:rPr>
                    <m:sty m:val="p"/>
                  </m:rPr>
                  <w:rPr>
                    <w:rFonts w:ascii="Cambria Math" w:hAnsi="Cambria Math" w:cs="Arial"/>
                    <w:lang w:val="sv-SE"/>
                  </w:rPr>
                  <m:t>K1</m:t>
                </m:r>
              </m:oMath>
            </m:oMathPara>
          </w:p>
          <w:p w14:paraId="4DBE513F" w14:textId="77777777" w:rsidR="009F2DC6" w:rsidRPr="00B11B68" w:rsidRDefault="009F2DC6" w:rsidP="008B25C8">
            <w:pPr>
              <w:rPr>
                <w:rFonts w:ascii="Arial" w:hAnsi="Arial" w:cs="Arial"/>
                <w:sz w:val="18"/>
                <w:lang w:val="en-US"/>
              </w:rPr>
            </w:pPr>
            <w:r w:rsidRPr="00B11B68">
              <w:rPr>
                <w:rFonts w:ascii="Arial" w:hAnsi="Arial" w:cs="Arial"/>
                <w:sz w:val="18"/>
                <w:lang w:val="en-US"/>
              </w:rPr>
              <w:t>(23</w:t>
            </w:r>
            <w:r w:rsidRPr="0082197E">
              <w:rPr>
                <w:lang w:val="sv-SE"/>
              </w:rPr>
              <w:t xml:space="preserve"> x </w:t>
            </w:r>
            <w:r>
              <w:rPr>
                <w:rFonts w:cs="Arial"/>
                <w:lang w:val="sv-SE"/>
              </w:rPr>
              <w:t>K1</w:t>
            </w:r>
            <w:r w:rsidRPr="00B11B68">
              <w:rPr>
                <w:rFonts w:ascii="Arial" w:hAnsi="Arial" w:cs="Arial"/>
                <w:sz w:val="18"/>
                <w:lang w:val="en-US"/>
              </w:rPr>
              <w:t>)</w:t>
            </w:r>
          </w:p>
        </w:tc>
        <w:tc>
          <w:tcPr>
            <w:tcW w:w="1860" w:type="dxa"/>
            <w:hideMark/>
          </w:tcPr>
          <w:p w14:paraId="193FAC90" w14:textId="77777777" w:rsidR="009F2DC6" w:rsidRPr="00896DB0" w:rsidRDefault="009F2DC6" w:rsidP="008B25C8">
            <w:pPr>
              <w:rPr>
                <w:rFonts w:ascii="Arial" w:hAnsi="Arial" w:cs="Arial"/>
                <w:sz w:val="18"/>
              </w:rPr>
            </w:pPr>
            <w:r w:rsidRPr="00B11B68">
              <w:rPr>
                <w:rFonts w:ascii="Arial" w:hAnsi="Arial" w:cs="Arial"/>
                <w:sz w:val="18"/>
              </w:rPr>
              <w:t>0.32</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3ACBDF83" w14:textId="77777777" w:rsidR="009F2DC6" w:rsidRDefault="009F2DC6" w:rsidP="008B25C8">
            <w:pPr>
              <w:rPr>
                <w:rFonts w:ascii="Arial" w:hAnsi="Arial" w:cs="Arial"/>
                <w:sz w:val="18"/>
              </w:rPr>
            </w:pPr>
            <w:r w:rsidRPr="00896DB0">
              <w:rPr>
                <w:rFonts w:ascii="Arial" w:hAnsi="Arial" w:cs="Arial"/>
                <w:sz w:val="18"/>
              </w:rPr>
              <w:t>0.64 x K1 (2 x K1)</w:t>
            </w:r>
          </w:p>
        </w:tc>
      </w:tr>
      <w:tr w:rsidR="009F2DC6" w:rsidRPr="00B85562" w14:paraId="12E45789" w14:textId="77777777" w:rsidTr="008B25C8">
        <w:trPr>
          <w:trHeight w:val="336"/>
        </w:trPr>
        <w:tc>
          <w:tcPr>
            <w:tcW w:w="1198" w:type="dxa"/>
            <w:vMerge/>
            <w:hideMark/>
          </w:tcPr>
          <w:p w14:paraId="56D87405" w14:textId="77777777" w:rsidR="009F2DC6" w:rsidRPr="00B11B68" w:rsidRDefault="009F2DC6" w:rsidP="008B25C8">
            <w:pPr>
              <w:rPr>
                <w:rFonts w:ascii="Arial" w:hAnsi="Arial" w:cs="Arial"/>
                <w:sz w:val="18"/>
                <w:lang w:val="en-US"/>
              </w:rPr>
            </w:pPr>
          </w:p>
        </w:tc>
        <w:tc>
          <w:tcPr>
            <w:tcW w:w="751" w:type="dxa"/>
            <w:hideMark/>
          </w:tcPr>
          <w:p w14:paraId="48E7C992" w14:textId="77777777" w:rsidR="009F2DC6" w:rsidRPr="00B11B68" w:rsidRDefault="009F2DC6" w:rsidP="008B25C8">
            <w:pPr>
              <w:rPr>
                <w:rFonts w:ascii="Arial" w:hAnsi="Arial" w:cs="Arial"/>
                <w:sz w:val="18"/>
                <w:lang w:val="en-US"/>
              </w:rPr>
            </w:pPr>
            <w:r w:rsidRPr="00B11B68">
              <w:rPr>
                <w:rFonts w:ascii="Arial" w:hAnsi="Arial" w:cs="Arial"/>
                <w:sz w:val="18"/>
              </w:rPr>
              <w:t>0.64</w:t>
            </w:r>
          </w:p>
        </w:tc>
        <w:tc>
          <w:tcPr>
            <w:tcW w:w="930" w:type="dxa"/>
            <w:hideMark/>
          </w:tcPr>
          <w:p w14:paraId="7F2CB323" w14:textId="77777777" w:rsidR="009F2DC6" w:rsidRPr="00B11B68" w:rsidRDefault="009F2DC6" w:rsidP="008B25C8">
            <w:pPr>
              <w:rPr>
                <w:rFonts w:ascii="Arial" w:hAnsi="Arial" w:cs="Arial"/>
                <w:sz w:val="18"/>
                <w:lang w:val="en-US"/>
              </w:rPr>
            </w:pPr>
            <w:r w:rsidRPr="00B11B68">
              <w:rPr>
                <w:rFonts w:ascii="Arial" w:hAnsi="Arial" w:cs="Arial"/>
                <w:sz w:val="18"/>
              </w:rPr>
              <w:t>≥</w:t>
            </w:r>
            <w:r>
              <w:rPr>
                <w:rFonts w:ascii="Arial" w:hAnsi="Arial" w:cs="Arial"/>
                <w:sz w:val="18"/>
                <w:lang w:val="en-US"/>
              </w:rPr>
              <w:t>[</w:t>
            </w:r>
            <w:r>
              <w:rPr>
                <w:rFonts w:ascii="Arial" w:hAnsi="Arial" w:cs="Arial"/>
                <w:sz w:val="18"/>
              </w:rPr>
              <w:t>3.84]</w:t>
            </w:r>
            <w:r w:rsidRPr="00B11B68">
              <w:rPr>
                <w:rFonts w:ascii="Arial" w:hAnsi="Arial" w:cs="Arial"/>
                <w:sz w:val="18"/>
              </w:rPr>
              <w:t xml:space="preserve"> (</w:t>
            </w:r>
            <w:r>
              <w:rPr>
                <w:rFonts w:ascii="Arial" w:hAnsi="Arial" w:cs="Arial"/>
                <w:sz w:val="18"/>
              </w:rPr>
              <w:t>[3]</w:t>
            </w:r>
            <w:r w:rsidRPr="00B11B68">
              <w:rPr>
                <w:rFonts w:ascii="Arial" w:hAnsi="Arial" w:cs="Arial"/>
                <w:sz w:val="18"/>
              </w:rPr>
              <w:t>)</w:t>
            </w:r>
          </w:p>
        </w:tc>
        <w:tc>
          <w:tcPr>
            <w:tcW w:w="2431" w:type="dxa"/>
            <w:vMerge/>
            <w:hideMark/>
          </w:tcPr>
          <w:p w14:paraId="70E14265" w14:textId="77777777" w:rsidR="009F2DC6" w:rsidRPr="00B11B68" w:rsidRDefault="009F2DC6" w:rsidP="008B25C8">
            <w:pPr>
              <w:rPr>
                <w:rFonts w:ascii="Arial" w:hAnsi="Arial" w:cs="Arial"/>
                <w:sz w:val="18"/>
                <w:lang w:val="en-US"/>
              </w:rPr>
            </w:pPr>
          </w:p>
        </w:tc>
        <w:tc>
          <w:tcPr>
            <w:tcW w:w="1860" w:type="dxa"/>
            <w:hideMark/>
          </w:tcPr>
          <w:p w14:paraId="0CBD0020" w14:textId="77777777" w:rsidR="009F2DC6" w:rsidRPr="00896DB0" w:rsidRDefault="009F2DC6" w:rsidP="008B25C8">
            <w:pPr>
              <w:rPr>
                <w:rFonts w:ascii="Arial" w:hAnsi="Arial" w:cs="Arial"/>
                <w:sz w:val="18"/>
              </w:rPr>
            </w:pPr>
            <w:r w:rsidRPr="00B11B68">
              <w:rPr>
                <w:rFonts w:ascii="Arial" w:hAnsi="Arial" w:cs="Arial"/>
                <w:sz w:val="18"/>
              </w:rPr>
              <w:t>0.64</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49BA8099" w14:textId="77777777" w:rsidR="009F2DC6" w:rsidRPr="00B11B68" w:rsidRDefault="009F2DC6" w:rsidP="008B25C8">
            <w:pPr>
              <w:rPr>
                <w:rFonts w:ascii="Arial" w:hAnsi="Arial" w:cs="Arial"/>
                <w:sz w:val="18"/>
              </w:rPr>
            </w:pPr>
            <w:r w:rsidRPr="00B11B68">
              <w:rPr>
                <w:rFonts w:ascii="Arial" w:hAnsi="Arial" w:cs="Arial"/>
                <w:sz w:val="18"/>
              </w:rPr>
              <w:t>1.28</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9F2DC6" w:rsidRPr="00B85562" w14:paraId="64DE97BB" w14:textId="77777777" w:rsidTr="008B25C8">
        <w:trPr>
          <w:trHeight w:val="336"/>
        </w:trPr>
        <w:tc>
          <w:tcPr>
            <w:tcW w:w="1198" w:type="dxa"/>
            <w:vMerge/>
            <w:hideMark/>
          </w:tcPr>
          <w:p w14:paraId="5CFED01A" w14:textId="77777777" w:rsidR="009F2DC6" w:rsidRPr="00B11B68" w:rsidRDefault="009F2DC6" w:rsidP="008B25C8">
            <w:pPr>
              <w:rPr>
                <w:rFonts w:ascii="Arial" w:hAnsi="Arial" w:cs="Arial"/>
                <w:sz w:val="18"/>
                <w:lang w:val="en-US"/>
              </w:rPr>
            </w:pPr>
          </w:p>
        </w:tc>
        <w:tc>
          <w:tcPr>
            <w:tcW w:w="751" w:type="dxa"/>
            <w:hideMark/>
          </w:tcPr>
          <w:p w14:paraId="36824B2A" w14:textId="77777777" w:rsidR="009F2DC6" w:rsidRPr="00B11B68" w:rsidRDefault="009F2DC6" w:rsidP="008B25C8">
            <w:pPr>
              <w:rPr>
                <w:rFonts w:ascii="Arial" w:hAnsi="Arial" w:cs="Arial"/>
                <w:sz w:val="18"/>
                <w:lang w:val="en-US"/>
              </w:rPr>
            </w:pPr>
            <w:r w:rsidRPr="00B11B68">
              <w:rPr>
                <w:rFonts w:ascii="Arial" w:hAnsi="Arial" w:cs="Arial"/>
                <w:sz w:val="18"/>
              </w:rPr>
              <w:t>1.28</w:t>
            </w:r>
          </w:p>
        </w:tc>
        <w:tc>
          <w:tcPr>
            <w:tcW w:w="930" w:type="dxa"/>
            <w:hideMark/>
          </w:tcPr>
          <w:p w14:paraId="3F8A5C4E" w14:textId="77777777" w:rsidR="009F2DC6" w:rsidRPr="00B11B68" w:rsidRDefault="009F2DC6" w:rsidP="008B25C8">
            <w:pPr>
              <w:rPr>
                <w:rFonts w:ascii="Arial" w:hAnsi="Arial" w:cs="Arial"/>
                <w:sz w:val="18"/>
                <w:lang w:val="en-US"/>
              </w:rPr>
            </w:pPr>
            <w:r w:rsidRPr="00B11B68">
              <w:rPr>
                <w:rFonts w:ascii="Arial" w:hAnsi="Arial" w:cs="Arial"/>
                <w:sz w:val="18"/>
              </w:rPr>
              <w:t>≥</w:t>
            </w:r>
            <w:r>
              <w:rPr>
                <w:rFonts w:ascii="Arial" w:hAnsi="Arial" w:cs="Arial"/>
                <w:sz w:val="18"/>
              </w:rPr>
              <w:t>[7.68]</w:t>
            </w:r>
            <w:r w:rsidRPr="00B11B68">
              <w:rPr>
                <w:rFonts w:ascii="Arial" w:hAnsi="Arial" w:cs="Arial"/>
                <w:sz w:val="18"/>
              </w:rPr>
              <w:t xml:space="preserve"> (</w:t>
            </w:r>
            <w:r>
              <w:rPr>
                <w:rFonts w:ascii="Arial" w:hAnsi="Arial" w:cs="Arial"/>
                <w:sz w:val="18"/>
              </w:rPr>
              <w:t>[6]</w:t>
            </w:r>
            <w:r w:rsidRPr="00B11B68">
              <w:rPr>
                <w:rFonts w:ascii="Arial" w:hAnsi="Arial" w:cs="Arial"/>
                <w:sz w:val="18"/>
              </w:rPr>
              <w:t>)</w:t>
            </w:r>
          </w:p>
        </w:tc>
        <w:tc>
          <w:tcPr>
            <w:tcW w:w="2431" w:type="dxa"/>
            <w:vMerge/>
            <w:hideMark/>
          </w:tcPr>
          <w:p w14:paraId="3A03F234" w14:textId="77777777" w:rsidR="009F2DC6" w:rsidRPr="00B11B68" w:rsidRDefault="009F2DC6" w:rsidP="008B25C8">
            <w:pPr>
              <w:rPr>
                <w:rFonts w:ascii="Arial" w:hAnsi="Arial" w:cs="Arial"/>
                <w:sz w:val="18"/>
                <w:lang w:val="en-US"/>
              </w:rPr>
            </w:pPr>
          </w:p>
        </w:tc>
        <w:tc>
          <w:tcPr>
            <w:tcW w:w="1860" w:type="dxa"/>
            <w:hideMark/>
          </w:tcPr>
          <w:p w14:paraId="446F94E0" w14:textId="77777777" w:rsidR="009F2DC6" w:rsidRPr="00896DB0" w:rsidRDefault="009F2DC6" w:rsidP="008B25C8">
            <w:pPr>
              <w:rPr>
                <w:rFonts w:ascii="Arial" w:hAnsi="Arial" w:cs="Arial"/>
                <w:sz w:val="18"/>
              </w:rPr>
            </w:pPr>
            <w:r w:rsidRPr="00B11B68">
              <w:rPr>
                <w:rFonts w:ascii="Arial" w:hAnsi="Arial" w:cs="Arial"/>
                <w:sz w:val="18"/>
              </w:rPr>
              <w:t>1.28</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07AF2301" w14:textId="77777777" w:rsidR="009F2DC6" w:rsidRPr="00B11B68" w:rsidRDefault="009F2DC6" w:rsidP="008B25C8">
            <w:pPr>
              <w:rPr>
                <w:rFonts w:ascii="Arial" w:hAnsi="Arial" w:cs="Arial"/>
                <w:sz w:val="18"/>
              </w:rPr>
            </w:pPr>
            <w:r w:rsidRPr="00B11B68">
              <w:rPr>
                <w:rFonts w:ascii="Arial" w:hAnsi="Arial" w:cs="Arial"/>
                <w:sz w:val="18"/>
              </w:rPr>
              <w:t>2.56</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9F2DC6" w:rsidRPr="00B85562" w14:paraId="23068CF8" w14:textId="77777777" w:rsidTr="008B25C8">
        <w:trPr>
          <w:trHeight w:val="336"/>
        </w:trPr>
        <w:tc>
          <w:tcPr>
            <w:tcW w:w="1198" w:type="dxa"/>
            <w:vMerge/>
            <w:hideMark/>
          </w:tcPr>
          <w:p w14:paraId="4A6FCDE1" w14:textId="77777777" w:rsidR="009F2DC6" w:rsidRPr="00B11B68" w:rsidRDefault="009F2DC6" w:rsidP="008B25C8">
            <w:pPr>
              <w:rPr>
                <w:rFonts w:ascii="Arial" w:hAnsi="Arial" w:cs="Arial"/>
                <w:sz w:val="18"/>
                <w:lang w:val="en-US"/>
              </w:rPr>
            </w:pPr>
          </w:p>
        </w:tc>
        <w:tc>
          <w:tcPr>
            <w:tcW w:w="751" w:type="dxa"/>
            <w:hideMark/>
          </w:tcPr>
          <w:p w14:paraId="3E3A0EA0" w14:textId="77777777" w:rsidR="009F2DC6" w:rsidRPr="00B11B68" w:rsidRDefault="009F2DC6" w:rsidP="008B25C8">
            <w:pPr>
              <w:rPr>
                <w:rFonts w:ascii="Arial" w:hAnsi="Arial" w:cs="Arial"/>
                <w:sz w:val="18"/>
                <w:lang w:val="en-US"/>
              </w:rPr>
            </w:pPr>
            <w:r w:rsidRPr="00B11B68">
              <w:rPr>
                <w:rFonts w:ascii="Arial" w:hAnsi="Arial" w:cs="Arial"/>
                <w:sz w:val="18"/>
              </w:rPr>
              <w:t>2.56</w:t>
            </w:r>
          </w:p>
        </w:tc>
        <w:tc>
          <w:tcPr>
            <w:tcW w:w="930" w:type="dxa"/>
            <w:hideMark/>
          </w:tcPr>
          <w:p w14:paraId="544FDA74" w14:textId="77777777" w:rsidR="009F2DC6" w:rsidRPr="00B11B68" w:rsidRDefault="009F2DC6" w:rsidP="008B25C8">
            <w:pPr>
              <w:rPr>
                <w:rFonts w:ascii="Arial" w:hAnsi="Arial" w:cs="Arial"/>
                <w:sz w:val="18"/>
                <w:lang w:val="en-US"/>
              </w:rPr>
            </w:pPr>
            <w:r w:rsidRPr="00B11B68">
              <w:rPr>
                <w:rFonts w:ascii="Arial" w:hAnsi="Arial" w:cs="Arial"/>
                <w:sz w:val="18"/>
              </w:rPr>
              <w:t>≥</w:t>
            </w:r>
            <w:r>
              <w:rPr>
                <w:rFonts w:ascii="Arial" w:hAnsi="Arial" w:cs="Arial"/>
                <w:sz w:val="18"/>
              </w:rPr>
              <w:t>[15.36]</w:t>
            </w:r>
            <w:r w:rsidRPr="00B11B68">
              <w:rPr>
                <w:rFonts w:ascii="Arial" w:hAnsi="Arial" w:cs="Arial"/>
                <w:sz w:val="18"/>
              </w:rPr>
              <w:t xml:space="preserve"> (</w:t>
            </w:r>
            <w:r>
              <w:rPr>
                <w:rFonts w:ascii="Arial" w:hAnsi="Arial" w:cs="Arial"/>
                <w:sz w:val="18"/>
              </w:rPr>
              <w:t>[12]</w:t>
            </w:r>
            <w:r w:rsidRPr="00B11B68">
              <w:rPr>
                <w:rFonts w:ascii="Arial" w:hAnsi="Arial" w:cs="Arial"/>
                <w:sz w:val="18"/>
              </w:rPr>
              <w:t>)</w:t>
            </w:r>
          </w:p>
        </w:tc>
        <w:tc>
          <w:tcPr>
            <w:tcW w:w="2431" w:type="dxa"/>
            <w:vMerge/>
            <w:hideMark/>
          </w:tcPr>
          <w:p w14:paraId="167C752D" w14:textId="77777777" w:rsidR="009F2DC6" w:rsidRPr="00B11B68" w:rsidRDefault="009F2DC6" w:rsidP="008B25C8">
            <w:pPr>
              <w:rPr>
                <w:rFonts w:ascii="Arial" w:hAnsi="Arial" w:cs="Arial"/>
                <w:sz w:val="18"/>
                <w:lang w:val="en-US"/>
              </w:rPr>
            </w:pPr>
          </w:p>
        </w:tc>
        <w:tc>
          <w:tcPr>
            <w:tcW w:w="1860" w:type="dxa"/>
            <w:hideMark/>
          </w:tcPr>
          <w:p w14:paraId="3FA7FB71" w14:textId="77777777" w:rsidR="009F2DC6" w:rsidRPr="00896DB0" w:rsidRDefault="009F2DC6" w:rsidP="008B25C8">
            <w:pPr>
              <w:rPr>
                <w:rFonts w:ascii="Arial" w:hAnsi="Arial" w:cs="Arial"/>
                <w:sz w:val="18"/>
              </w:rPr>
            </w:pPr>
            <w:r w:rsidRPr="00B11B68">
              <w:rPr>
                <w:rFonts w:ascii="Arial" w:hAnsi="Arial" w:cs="Arial"/>
                <w:sz w:val="18"/>
              </w:rPr>
              <w:t>2.56</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2A65EB74" w14:textId="77777777" w:rsidR="009F2DC6" w:rsidRPr="00B11B68" w:rsidRDefault="009F2DC6" w:rsidP="008B25C8">
            <w:pPr>
              <w:rPr>
                <w:rFonts w:ascii="Arial" w:hAnsi="Arial" w:cs="Arial"/>
                <w:sz w:val="18"/>
              </w:rPr>
            </w:pPr>
            <w:r w:rsidRPr="00B11B68">
              <w:rPr>
                <w:rFonts w:ascii="Arial" w:hAnsi="Arial" w:cs="Arial"/>
                <w:sz w:val="18"/>
              </w:rPr>
              <w:t>5.12</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9F2DC6" w:rsidRPr="00B85562" w14:paraId="5330E3DF" w14:textId="77777777" w:rsidTr="008B25C8">
        <w:trPr>
          <w:trHeight w:val="336"/>
        </w:trPr>
        <w:tc>
          <w:tcPr>
            <w:tcW w:w="9016" w:type="dxa"/>
            <w:gridSpan w:val="6"/>
          </w:tcPr>
          <w:p w14:paraId="4D5AD90A" w14:textId="77777777" w:rsidR="009F2DC6" w:rsidRPr="0075428D" w:rsidRDefault="009F2DC6" w:rsidP="008B25C8">
            <w:pPr>
              <w:pStyle w:val="TAN"/>
              <w:rPr>
                <w:snapToGrid w:val="0"/>
              </w:rPr>
            </w:pPr>
            <w:r w:rsidRPr="0075428D">
              <w:rPr>
                <w:snapToGrid w:val="0"/>
              </w:rPr>
              <w:t>Note 1</w:t>
            </w:r>
            <w:r w:rsidRPr="0075428D">
              <w:t>:</w:t>
            </w:r>
            <w:r w:rsidRPr="0075428D">
              <w:rPr>
                <w:lang w:val="en-US"/>
              </w:rPr>
              <w:tab/>
            </w:r>
            <w:r w:rsidRPr="0075428D">
              <w:rPr>
                <w:snapToGrid w:val="0"/>
              </w:rPr>
              <w:t>The number of DRX cycles in this table is given for the DRX cycles within PTWs.</w:t>
            </w:r>
          </w:p>
          <w:p w14:paraId="137DEDAA" w14:textId="77777777" w:rsidR="00836029" w:rsidRPr="0075428D" w:rsidRDefault="00836029" w:rsidP="00836029">
            <w:pPr>
              <w:pStyle w:val="TAN"/>
              <w:rPr>
                <w:snapToGrid w:val="0"/>
              </w:rPr>
            </w:pPr>
            <w:r w:rsidRPr="0075428D">
              <w:rPr>
                <w:snapToGrid w:val="0"/>
              </w:rPr>
              <w:t>Note 2</w:t>
            </w:r>
            <w:r w:rsidRPr="0075428D">
              <w:t>:</w:t>
            </w:r>
            <w:r w:rsidRPr="0075428D">
              <w:rPr>
                <w:lang w:val="en-US"/>
              </w:rPr>
              <w:tab/>
            </w:r>
            <w:r w:rsidRPr="0075428D">
              <w:rPr>
                <w:snapToGrid w:val="0"/>
              </w:rPr>
              <w:t>The eDRX_IDLE cycle lengths are as specified in Section 10.5.5.32 of TS 24.008 [34].</w:t>
            </w:r>
          </w:p>
          <w:p w14:paraId="4684C496" w14:textId="61135657" w:rsidR="009F2DC6" w:rsidRPr="0075428D" w:rsidRDefault="00836029" w:rsidP="00836029">
            <w:pPr>
              <w:pStyle w:val="TAN"/>
              <w:rPr>
                <w:rFonts w:cs="Arial"/>
                <w:iCs/>
              </w:rPr>
            </w:pPr>
            <w:r w:rsidRPr="0075428D">
              <w:rPr>
                <w:snapToGrid w:val="0"/>
              </w:rPr>
              <w:t>Note</w:t>
            </w:r>
            <w:r w:rsidRPr="0075428D">
              <w:rPr>
                <w:rFonts w:cs="Arial"/>
              </w:rPr>
              <w:t xml:space="preserve"> 3:</w:t>
            </w:r>
            <w:r w:rsidRPr="0075428D">
              <w:rPr>
                <w:lang w:val="en-US"/>
              </w:rPr>
              <w:t xml:space="preserve"> </w:t>
            </w:r>
            <w:r w:rsidRPr="0075428D">
              <w:rPr>
                <w:lang w:val="en-US"/>
              </w:rPr>
              <w:tab/>
            </w:r>
            <w:r w:rsidRPr="0075428D">
              <w:rPr>
                <w:rFonts w:cs="Arial"/>
              </w:rPr>
              <w:t xml:space="preserve">The lower bound of </w:t>
            </w:r>
            <w:r w:rsidRPr="0075428D">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evaluate,NR_Intra_RedCap_Relax</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sidRPr="0075428D">
              <w:rPr>
                <w:rFonts w:cs="Arial"/>
                <w:iCs/>
              </w:rPr>
              <w:t>.</w:t>
            </w:r>
          </w:p>
          <w:p w14:paraId="6E76809C" w14:textId="77777777" w:rsidR="009F2DC6" w:rsidRPr="0082197E" w:rsidRDefault="009F2DC6" w:rsidP="008B25C8">
            <w:pPr>
              <w:pStyle w:val="TAN"/>
              <w:rPr>
                <w:snapToGrid w:val="0"/>
              </w:rPr>
            </w:pPr>
            <w:r w:rsidRPr="0075428D">
              <w:rPr>
                <w:snapToGrid w:val="0"/>
              </w:rPr>
              <w:t>Note 4:</w:t>
            </w:r>
            <w:r w:rsidRPr="0075428D">
              <w:rPr>
                <w:snapToGrid w:val="0"/>
              </w:rPr>
              <w:tab/>
              <w:t xml:space="preserve">K1 = 3 is the measurement relaxation factor applicable for UE fulfilling the </w:t>
            </w:r>
            <w:r w:rsidRPr="0075428D">
              <w:rPr>
                <w:i/>
                <w:iCs/>
              </w:rPr>
              <w:t>lowMobilityEvaluation</w:t>
            </w:r>
            <w:r w:rsidRPr="0075428D">
              <w:rPr>
                <w:snapToGrid w:val="0"/>
              </w:rPr>
              <w:t xml:space="preserve"> [2] criterion.</w:t>
            </w:r>
          </w:p>
        </w:tc>
      </w:tr>
    </w:tbl>
    <w:p w14:paraId="15A2BDF4" w14:textId="77777777" w:rsidR="009F2DC6" w:rsidRPr="00F52E47" w:rsidRDefault="009F2DC6" w:rsidP="009F2DC6">
      <w:pPr>
        <w:rPr>
          <w:lang w:eastAsia="zh-CN"/>
        </w:rPr>
      </w:pPr>
    </w:p>
    <w:p w14:paraId="1F5DE840" w14:textId="77777777" w:rsidR="009F2DC6" w:rsidRDefault="009F2DC6" w:rsidP="009F2DC6">
      <w:pPr>
        <w:pStyle w:val="Heading5"/>
        <w:rPr>
          <w:lang w:val="en-US" w:eastAsia="zh-CN"/>
        </w:rPr>
      </w:pPr>
      <w:r>
        <w:rPr>
          <w:lang w:val="en-US" w:eastAsia="zh-CN"/>
        </w:rPr>
        <w:t>4.2B.2.11.10</w:t>
      </w:r>
      <w:r w:rsidRPr="00885F53">
        <w:rPr>
          <w:lang w:val="en-US" w:eastAsia="zh-CN"/>
        </w:rPr>
        <w:tab/>
      </w:r>
      <w:r>
        <w:rPr>
          <w:lang w:val="en-US" w:eastAsia="zh-CN"/>
        </w:rPr>
        <w:t>Measurements for UE fulfilling with not-at-cell edge criterion</w:t>
      </w:r>
    </w:p>
    <w:p w14:paraId="70A391F9" w14:textId="77777777" w:rsidR="009F2DC6" w:rsidRDefault="009F2DC6" w:rsidP="009F2DC6">
      <w:pPr>
        <w:rPr>
          <w:rFonts w:eastAsiaTheme="minorEastAsia"/>
          <w:lang w:eastAsia="zh-CN"/>
        </w:rPr>
      </w:pPr>
      <w:r w:rsidRPr="00885F53">
        <w:rPr>
          <w:lang w:val="en-US" w:eastAsia="zh-CN"/>
        </w:rPr>
        <w:t xml:space="preserve">This clause contains requirements </w:t>
      </w:r>
      <w:r>
        <w:rPr>
          <w:rFonts w:eastAsiaTheme="minorEastAsia"/>
          <w:lang w:eastAsia="zh-CN"/>
        </w:rPr>
        <w:t xml:space="preserve">for measurements on </w:t>
      </w:r>
      <w:r>
        <w:rPr>
          <w:noProof/>
        </w:rPr>
        <w:t>inter-RAT E-UTRAN cells</w:t>
      </w:r>
      <w:r>
        <w:rPr>
          <w:rFonts w:eastAsiaTheme="minorEastAsia"/>
          <w:lang w:eastAsia="zh-CN"/>
        </w:rPr>
        <w:t xml:space="preserve"> provided that:</w:t>
      </w:r>
    </w:p>
    <w:p w14:paraId="4E23FC89" w14:textId="77777777" w:rsidR="009F2DC6" w:rsidRPr="00AD77EE" w:rsidRDefault="009F2DC6" w:rsidP="009F2DC6">
      <w:pPr>
        <w:pStyle w:val="B10"/>
        <w:rPr>
          <w:lang w:eastAsia="zh-CN"/>
        </w:rPr>
      </w:pPr>
      <w:r>
        <w:rPr>
          <w:lang w:eastAsia="zh-CN"/>
        </w:rPr>
        <w:t>-</w:t>
      </w:r>
      <w:r>
        <w:rPr>
          <w:lang w:eastAsia="zh-CN"/>
        </w:rPr>
        <w:tab/>
      </w:r>
      <w:r w:rsidRPr="000D542C">
        <w:rPr>
          <w:lang w:eastAsia="zh-CN"/>
        </w:rPr>
        <w:t xml:space="preserve">UE is </w:t>
      </w:r>
      <w:r w:rsidRPr="00AD77EE">
        <w:rPr>
          <w:lang w:eastAsia="zh-CN"/>
        </w:rPr>
        <w:t xml:space="preserve">configured with </w:t>
      </w:r>
      <w:r w:rsidRPr="00485479">
        <w:rPr>
          <w:i/>
          <w:iCs/>
          <w:lang w:eastAsia="zh-CN"/>
        </w:rPr>
        <w:t>cellEdgeEvaluation</w:t>
      </w:r>
      <w:r>
        <w:rPr>
          <w:i/>
          <w:iCs/>
          <w:lang w:eastAsia="zh-CN"/>
        </w:rPr>
        <w:t xml:space="preserve"> </w:t>
      </w:r>
      <w:r>
        <w:rPr>
          <w:lang w:eastAsia="zh-CN"/>
        </w:rPr>
        <w:t>[2] criterion and UE has fulfilled</w:t>
      </w:r>
      <w:r w:rsidRPr="000D542C">
        <w:rPr>
          <w:lang w:eastAsia="zh-CN"/>
        </w:rPr>
        <w:t>,</w:t>
      </w:r>
      <w:r w:rsidRPr="00AD77EE">
        <w:rPr>
          <w:lang w:eastAsia="zh-CN"/>
        </w:rPr>
        <w:t xml:space="preserve"> or </w:t>
      </w:r>
    </w:p>
    <w:p w14:paraId="559BF001" w14:textId="77777777" w:rsidR="009F2DC6" w:rsidRPr="00AD77EE" w:rsidRDefault="009F2DC6" w:rsidP="009F2DC6">
      <w:pPr>
        <w:pStyle w:val="B10"/>
        <w:rPr>
          <w:lang w:eastAsia="zh-CN"/>
        </w:rPr>
      </w:pPr>
      <w:r>
        <w:rPr>
          <w:lang w:eastAsia="zh-CN"/>
        </w:rPr>
        <w:t>-</w:t>
      </w:r>
      <w:r>
        <w:rPr>
          <w:lang w:eastAsia="zh-CN"/>
        </w:rPr>
        <w:tab/>
      </w:r>
      <w:r w:rsidRPr="000A4CE3">
        <w:rPr>
          <w:lang w:eastAsia="zh-CN"/>
        </w:rPr>
        <w:t xml:space="preserve">UE is configured with </w:t>
      </w:r>
      <w:r w:rsidRPr="00AD77EE">
        <w:rPr>
          <w:lang w:eastAsia="zh-CN"/>
        </w:rPr>
        <w:t xml:space="preserve">both </w:t>
      </w:r>
      <w:r w:rsidRPr="00485479">
        <w:rPr>
          <w:i/>
          <w:iCs/>
          <w:lang w:eastAsia="zh-CN"/>
        </w:rPr>
        <w:t>lowMobilityEvalutation</w:t>
      </w:r>
      <w:r>
        <w:rPr>
          <w:lang w:eastAsia="zh-CN"/>
        </w:rPr>
        <w:t xml:space="preserve"> [2]</w:t>
      </w:r>
      <w:r w:rsidRPr="00AD77EE">
        <w:rPr>
          <w:lang w:eastAsia="zh-CN"/>
        </w:rPr>
        <w:t xml:space="preserve"> criterion and </w:t>
      </w:r>
      <w:r w:rsidRPr="00485479">
        <w:rPr>
          <w:i/>
          <w:iCs/>
          <w:lang w:eastAsia="zh-CN"/>
        </w:rPr>
        <w:t>cellEdgeEvaluation</w:t>
      </w:r>
      <w:r>
        <w:rPr>
          <w:i/>
          <w:iCs/>
          <w:lang w:eastAsia="zh-CN"/>
        </w:rPr>
        <w:t xml:space="preserve"> </w:t>
      </w:r>
      <w:r>
        <w:rPr>
          <w:lang w:eastAsia="zh-CN"/>
        </w:rPr>
        <w:t>[2]</w:t>
      </w:r>
      <w:r w:rsidRPr="00AD77EE">
        <w:rPr>
          <w:lang w:eastAsia="zh-CN"/>
        </w:rPr>
        <w:t xml:space="preserve"> criterion</w:t>
      </w:r>
      <w:r w:rsidRPr="00D36387">
        <w:rPr>
          <w:lang w:eastAsia="zh-CN"/>
        </w:rPr>
        <w:t xml:space="preserve"> </w:t>
      </w:r>
      <w:r>
        <w:rPr>
          <w:lang w:eastAsia="zh-CN"/>
        </w:rPr>
        <w:t xml:space="preserve">and </w:t>
      </w:r>
      <w:r w:rsidRPr="0061045D">
        <w:rPr>
          <w:i/>
          <w:lang w:eastAsia="zh-CN"/>
        </w:rPr>
        <w:t>combineRelaxedMeasCondition</w:t>
      </w:r>
      <w:r>
        <w:rPr>
          <w:rFonts w:hint="eastAsia"/>
          <w:lang w:eastAsia="zh-CN"/>
        </w:rPr>
        <w:t xml:space="preserve"> </w:t>
      </w:r>
      <w:r>
        <w:rPr>
          <w:lang w:eastAsia="zh-CN"/>
        </w:rPr>
        <w:t>[2] not configured</w:t>
      </w:r>
      <w:r w:rsidRPr="00AD77EE">
        <w:rPr>
          <w:lang w:eastAsia="zh-CN"/>
        </w:rPr>
        <w:t xml:space="preserve">, </w:t>
      </w:r>
      <w:r>
        <w:rPr>
          <w:lang w:eastAsia="zh-CN"/>
        </w:rPr>
        <w:t>and</w:t>
      </w:r>
    </w:p>
    <w:p w14:paraId="5A534734" w14:textId="77777777" w:rsidR="009F2DC6" w:rsidRPr="00AD77EE" w:rsidRDefault="009F2DC6" w:rsidP="009F2DC6">
      <w:pPr>
        <w:pStyle w:val="B10"/>
        <w:rPr>
          <w:lang w:eastAsia="zh-CN"/>
        </w:rPr>
      </w:pPr>
      <w:r>
        <w:rPr>
          <w:lang w:eastAsia="zh-CN"/>
        </w:rPr>
        <w:t>-</w:t>
      </w:r>
      <w:r>
        <w:rPr>
          <w:lang w:eastAsia="zh-CN"/>
        </w:rPr>
        <w:tab/>
      </w:r>
      <w:r w:rsidRPr="00683333">
        <w:rPr>
          <w:lang w:eastAsia="zh-CN"/>
        </w:rPr>
        <w:t xml:space="preserve">UE </w:t>
      </w:r>
      <w:r w:rsidRPr="00AD77EE">
        <w:rPr>
          <w:lang w:eastAsia="zh-CN"/>
        </w:rPr>
        <w:t>has fulfilled only th</w:t>
      </w:r>
      <w:r>
        <w:rPr>
          <w:lang w:eastAsia="zh-CN"/>
        </w:rPr>
        <w:t xml:space="preserve">e </w:t>
      </w:r>
      <w:r w:rsidRPr="00485479">
        <w:rPr>
          <w:i/>
          <w:iCs/>
          <w:lang w:eastAsia="zh-CN"/>
        </w:rPr>
        <w:t>cellEdgeEvaluation</w:t>
      </w:r>
      <w:r>
        <w:rPr>
          <w:i/>
          <w:iCs/>
          <w:lang w:eastAsia="zh-CN"/>
        </w:rPr>
        <w:t xml:space="preserve"> </w:t>
      </w:r>
      <w:r>
        <w:rPr>
          <w:lang w:eastAsia="zh-CN"/>
        </w:rPr>
        <w:t>[2] criterion.</w:t>
      </w:r>
    </w:p>
    <w:p w14:paraId="47DF84DC" w14:textId="77777777" w:rsidR="009F2DC6" w:rsidRDefault="009F2DC6" w:rsidP="009F2DC6">
      <w:pPr>
        <w:rPr>
          <w:noProof/>
        </w:rPr>
      </w:pPr>
      <w:r>
        <w:rPr>
          <w:rFonts w:hint="eastAsia"/>
          <w:noProof/>
          <w:lang w:eastAsia="zh-CN"/>
        </w:rPr>
        <w:t>W</w:t>
      </w:r>
      <w:r w:rsidRPr="00D56527">
        <w:rPr>
          <w:noProof/>
        </w:rPr>
        <w:t xml:space="preserve">hen </w:t>
      </w:r>
      <w:r w:rsidRPr="00734785">
        <w:rPr>
          <w:rFonts w:eastAsiaTheme="minorEastAsia"/>
          <w:lang w:eastAsia="zh-CN"/>
        </w:rPr>
        <w:t xml:space="preserve">Srxlev </w:t>
      </w:r>
      <w:r w:rsidRPr="00691C10">
        <w:t>≤</w:t>
      </w:r>
      <w:r w:rsidRPr="00734785">
        <w:rPr>
          <w:rFonts w:eastAsiaTheme="minorEastAsia"/>
          <w:lang w:eastAsia="zh-CN"/>
        </w:rPr>
        <w:t xml:space="preserve"> S</w:t>
      </w:r>
      <w:r w:rsidRPr="00C15974">
        <w:rPr>
          <w:rFonts w:eastAsiaTheme="minorEastAsia"/>
          <w:vertAlign w:val="subscript"/>
          <w:lang w:eastAsia="zh-CN"/>
        </w:rPr>
        <w:t>nonIntraSearchP</w:t>
      </w:r>
      <w:r w:rsidRPr="00734785">
        <w:rPr>
          <w:rFonts w:eastAsiaTheme="minorEastAsia"/>
          <w:lang w:eastAsia="zh-CN"/>
        </w:rPr>
        <w:t xml:space="preserve"> and Squal </w:t>
      </w:r>
      <w:r w:rsidRPr="00691C10">
        <w:t>≤</w:t>
      </w:r>
      <w:r w:rsidRPr="00734785">
        <w:rPr>
          <w:rFonts w:eastAsiaTheme="minorEastAsia"/>
          <w:lang w:eastAsia="zh-CN"/>
        </w:rPr>
        <w:t xml:space="preserve"> S</w:t>
      </w:r>
      <w:r w:rsidRPr="00C15974">
        <w:rPr>
          <w:rFonts w:eastAsiaTheme="minorEastAsia"/>
          <w:vertAlign w:val="subscript"/>
          <w:lang w:eastAsia="zh-CN"/>
        </w:rPr>
        <w:t>nonIntraSearchQ</w:t>
      </w:r>
      <w:r w:rsidRPr="00D56527">
        <w:rPr>
          <w:noProof/>
        </w:rPr>
        <w:t xml:space="preserve"> </w:t>
      </w:r>
      <w:r>
        <w:rPr>
          <w:rFonts w:hint="eastAsia"/>
          <w:noProof/>
          <w:lang w:eastAsia="zh-CN"/>
        </w:rPr>
        <w:t>then</w:t>
      </w:r>
      <w:r w:rsidRPr="0089796C">
        <w:rPr>
          <w:noProof/>
        </w:rPr>
        <w:t xml:space="preserve"> </w:t>
      </w:r>
      <w:r>
        <w:rPr>
          <w:noProof/>
        </w:rPr>
        <w:t>t</w:t>
      </w:r>
      <w:r w:rsidRPr="0089796C">
        <w:rPr>
          <w:noProof/>
        </w:rPr>
        <w:t xml:space="preserve">he requirements defined in clause </w:t>
      </w:r>
      <w:r>
        <w:t>4.2B.2.5</w:t>
      </w:r>
      <w:r w:rsidRPr="0089796C">
        <w:t xml:space="preserve"> </w:t>
      </w:r>
      <w:r w:rsidRPr="0089796C">
        <w:rPr>
          <w:noProof/>
        </w:rPr>
        <w:t xml:space="preserve">apply for this </w:t>
      </w:r>
      <w:r>
        <w:rPr>
          <w:noProof/>
        </w:rPr>
        <w:t>clause</w:t>
      </w:r>
      <w:r w:rsidRPr="0089796C">
        <w:rPr>
          <w:noProof/>
        </w:rPr>
        <w:t xml:space="preserve"> </w:t>
      </w:r>
      <w:r>
        <w:rPr>
          <w:noProof/>
        </w:rPr>
        <w:t>except that</w:t>
      </w:r>
      <w:r w:rsidRPr="0089796C">
        <w:rPr>
          <w:noProof/>
        </w:rPr>
        <w:t>:</w:t>
      </w:r>
    </w:p>
    <w:p w14:paraId="64F8C622" w14:textId="77777777" w:rsidR="009F2DC6" w:rsidRDefault="009F2DC6" w:rsidP="009F2DC6">
      <w:pPr>
        <w:pStyle w:val="B10"/>
      </w:pPr>
      <w:r w:rsidRPr="0089796C">
        <w:t>-</w:t>
      </w:r>
      <w:r w:rsidRPr="0089796C">
        <w:tab/>
      </w:r>
      <w:r w:rsidRPr="00885F53">
        <w:t>T</w:t>
      </w:r>
      <w:r w:rsidRPr="00885F53">
        <w:rPr>
          <w:vertAlign w:val="subscript"/>
        </w:rPr>
        <w:t>detect,</w:t>
      </w:r>
      <w:r>
        <w:rPr>
          <w:vertAlign w:val="subscript"/>
        </w:rPr>
        <w:t>EUTRAN_RedCap_Relax</w:t>
      </w:r>
      <w:r w:rsidRPr="00885F53">
        <w:rPr>
          <w:i/>
          <w:vertAlign w:val="subscript"/>
        </w:rPr>
        <w:t xml:space="preserve"> </w:t>
      </w:r>
      <w:r>
        <w:t xml:space="preserve">as specified in </w:t>
      </w:r>
      <w:r w:rsidRPr="00AD77EE">
        <w:t xml:space="preserve">Table </w:t>
      </w:r>
      <w:r>
        <w:t>4.2B.2.11.10</w:t>
      </w:r>
      <w:r w:rsidRPr="00AD77EE">
        <w:t>-1.</w:t>
      </w:r>
    </w:p>
    <w:p w14:paraId="36D5FADE" w14:textId="77777777" w:rsidR="009F2DC6" w:rsidRDefault="009F2DC6" w:rsidP="009F2DC6">
      <w:pPr>
        <w:pStyle w:val="B10"/>
      </w:pPr>
      <w:r w:rsidRPr="0089796C">
        <w:t>-</w:t>
      </w:r>
      <w:r w:rsidRPr="0089796C">
        <w:tab/>
      </w:r>
      <w:r w:rsidRPr="00885F53">
        <w:rPr>
          <w:rFonts w:cs="v4.2.0"/>
        </w:rPr>
        <w:t>T</w:t>
      </w:r>
      <w:r w:rsidRPr="00885F53">
        <w:rPr>
          <w:rFonts w:cs="v4.2.0"/>
          <w:vertAlign w:val="subscript"/>
        </w:rPr>
        <w:t>measure,</w:t>
      </w:r>
      <w:r>
        <w:rPr>
          <w:rFonts w:cs="v4.2.0"/>
          <w:vertAlign w:val="subscript"/>
        </w:rPr>
        <w:t>EUTRAN</w:t>
      </w:r>
      <w:r>
        <w:rPr>
          <w:vertAlign w:val="subscript"/>
        </w:rPr>
        <w:t>_RedCap_Relax</w:t>
      </w:r>
      <w:r w:rsidRPr="00885F53">
        <w:rPr>
          <w:rFonts w:cs="v4.2.0"/>
        </w:rPr>
        <w:t xml:space="preserve"> </w:t>
      </w:r>
      <w:r>
        <w:t xml:space="preserve">as specified in </w:t>
      </w:r>
      <w:r w:rsidRPr="00AD77EE">
        <w:t xml:space="preserve">Table </w:t>
      </w:r>
      <w:r>
        <w:t>4.2B.2.11.10</w:t>
      </w:r>
      <w:r w:rsidRPr="00AD77EE">
        <w:t>-1.</w:t>
      </w:r>
    </w:p>
    <w:p w14:paraId="4A05DB6F" w14:textId="77777777" w:rsidR="009F2DC6" w:rsidRDefault="009F2DC6" w:rsidP="009F2DC6">
      <w:pPr>
        <w:pStyle w:val="B10"/>
      </w:pPr>
      <w:r w:rsidRPr="00D56527">
        <w:t>-</w:t>
      </w:r>
      <w:r w:rsidRPr="00D56527">
        <w:tab/>
      </w:r>
      <w:r w:rsidRPr="000D108A">
        <w:rPr>
          <w:rFonts w:cs="v4.2.0"/>
        </w:rPr>
        <w:t>T</w:t>
      </w:r>
      <w:r w:rsidRPr="000D108A">
        <w:rPr>
          <w:rFonts w:cs="v4.2.0"/>
          <w:vertAlign w:val="subscript"/>
        </w:rPr>
        <w:t>evaluate,EUTRAN</w:t>
      </w:r>
      <w:r>
        <w:rPr>
          <w:vertAlign w:val="subscript"/>
        </w:rPr>
        <w:t>_RedCap_Relax</w:t>
      </w:r>
      <w:r w:rsidRPr="000D108A">
        <w:rPr>
          <w:rFonts w:cs="v4.2.0"/>
          <w:vertAlign w:val="subscript"/>
        </w:rPr>
        <w:t xml:space="preserve"> </w:t>
      </w:r>
      <w:r w:rsidRPr="000D108A">
        <w:t xml:space="preserve">as specified in Table </w:t>
      </w:r>
      <w:r>
        <w:t>4.2B.2.11</w:t>
      </w:r>
      <w:r w:rsidRPr="000D108A">
        <w:t>.</w:t>
      </w:r>
      <w:r>
        <w:t>10</w:t>
      </w:r>
      <w:r w:rsidRPr="009449C0">
        <w:t>-1.</w:t>
      </w:r>
    </w:p>
    <w:p w14:paraId="5DC0016C" w14:textId="77777777" w:rsidR="009F2DC6" w:rsidRDefault="009F2DC6" w:rsidP="009F2DC6">
      <w:pPr>
        <w:spacing w:after="0"/>
        <w:rPr>
          <w:color w:val="000000"/>
          <w:lang w:eastAsia="fr-FR"/>
        </w:rPr>
      </w:pPr>
      <w:r w:rsidRPr="00020954">
        <w:rPr>
          <w:color w:val="000000"/>
          <w:lang w:eastAsia="fr-FR"/>
        </w:rPr>
        <w:t>If the UE is configured with eDRX_IDLE cycle then the requirements in Table 4.2B.2.11.</w:t>
      </w:r>
      <w:r>
        <w:rPr>
          <w:color w:val="000000"/>
          <w:lang w:eastAsia="fr-FR"/>
        </w:rPr>
        <w:t>10</w:t>
      </w:r>
      <w:r w:rsidRPr="00020954">
        <w:rPr>
          <w:color w:val="000000"/>
          <w:lang w:eastAsia="fr-FR"/>
        </w:rPr>
        <w:t>-</w:t>
      </w:r>
      <w:r>
        <w:rPr>
          <w:color w:val="000000"/>
          <w:lang w:eastAsia="fr-FR"/>
        </w:rPr>
        <w:t>2</w:t>
      </w:r>
      <w:r w:rsidRPr="00020954">
        <w:rPr>
          <w:color w:val="000000"/>
          <w:lang w:eastAsia="fr-FR"/>
        </w:rPr>
        <w:t xml:space="preserve"> are applicable for eDRX cycle &lt; 10.24 s</w:t>
      </w:r>
      <w:r>
        <w:rPr>
          <w:color w:val="000000"/>
          <w:lang w:eastAsia="fr-FR"/>
        </w:rPr>
        <w:t xml:space="preserve"> </w:t>
      </w:r>
      <w:r>
        <w:rPr>
          <w:snapToGrid w:val="0"/>
        </w:rPr>
        <w:t>for 1 Rx and 2 Rx RedCap UE</w:t>
      </w:r>
      <w:r w:rsidRPr="00020954">
        <w:rPr>
          <w:color w:val="000000"/>
          <w:lang w:eastAsia="fr-FR"/>
        </w:rPr>
        <w:t xml:space="preserve">. </w:t>
      </w:r>
    </w:p>
    <w:p w14:paraId="2A036CBE" w14:textId="77777777" w:rsidR="009F2DC6" w:rsidRDefault="009F2DC6" w:rsidP="009F2DC6">
      <w:pPr>
        <w:spacing w:after="0"/>
        <w:rPr>
          <w:color w:val="000000"/>
          <w:lang w:eastAsia="fr-FR"/>
        </w:rPr>
      </w:pPr>
      <w:r w:rsidRPr="00020954">
        <w:rPr>
          <w:color w:val="000000"/>
          <w:lang w:eastAsia="fr-FR"/>
        </w:rPr>
        <w:t>If the UE is configured with eDRX_IDLE cycle ≥ 10.24 s, then the requirements in Table 4.2B.2.11.</w:t>
      </w:r>
      <w:r>
        <w:rPr>
          <w:color w:val="000000"/>
          <w:lang w:eastAsia="fr-FR"/>
        </w:rPr>
        <w:t>10</w:t>
      </w:r>
      <w:r w:rsidRPr="00020954">
        <w:rPr>
          <w:color w:val="000000"/>
          <w:lang w:eastAsia="fr-FR"/>
        </w:rPr>
        <w:t>-</w:t>
      </w:r>
      <w:r>
        <w:rPr>
          <w:color w:val="000000"/>
          <w:lang w:eastAsia="fr-FR"/>
        </w:rPr>
        <w:t>3,</w:t>
      </w:r>
      <w:r w:rsidRPr="00020954">
        <w:rPr>
          <w:color w:val="000000"/>
          <w:lang w:eastAsia="fr-FR"/>
        </w:rPr>
        <w:t xml:space="preserve"> </w:t>
      </w:r>
      <w:r>
        <w:rPr>
          <w:snapToGrid w:val="0"/>
        </w:rPr>
        <w:t>for 1 Rx and 2 Rx RedCap UE,</w:t>
      </w:r>
      <w:r w:rsidRPr="00020954">
        <w:rPr>
          <w:color w:val="000000"/>
          <w:lang w:eastAsia="fr-FR"/>
        </w:rPr>
        <w:t xml:space="preserve"> apply provided that filtering of a measurement is done within a single PTW and provided that the eDRX cycle is ≤ [163.84] sec and evaluation/measurement time with relaxation on one carrier is not greater than single PTW window length.</w:t>
      </w:r>
    </w:p>
    <w:p w14:paraId="606F8D10" w14:textId="77777777" w:rsidR="009F2DC6" w:rsidRDefault="009F2DC6" w:rsidP="009F2DC6">
      <w:pPr>
        <w:pStyle w:val="B10"/>
      </w:pPr>
    </w:p>
    <w:p w14:paraId="32838910" w14:textId="77777777" w:rsidR="009F2DC6" w:rsidRPr="009449C0" w:rsidRDefault="009F2DC6" w:rsidP="009F2DC6">
      <w:pPr>
        <w:rPr>
          <w:noProof/>
        </w:rPr>
      </w:pPr>
      <w:r w:rsidRPr="00EC47A7">
        <w:rPr>
          <w:noProof/>
        </w:rPr>
        <w:t>When Srxlev &gt; S</w:t>
      </w:r>
      <w:r w:rsidRPr="00030CB4">
        <w:rPr>
          <w:noProof/>
          <w:vertAlign w:val="subscript"/>
        </w:rPr>
        <w:t>nonIntraSearchP</w:t>
      </w:r>
      <w:r w:rsidRPr="00EC47A7">
        <w:rPr>
          <w:noProof/>
        </w:rPr>
        <w:t xml:space="preserve"> and Squal &gt; S</w:t>
      </w:r>
      <w:r w:rsidRPr="00030CB4">
        <w:rPr>
          <w:noProof/>
          <w:vertAlign w:val="subscript"/>
        </w:rPr>
        <w:t>nonIntraSearchQ</w:t>
      </w:r>
      <w:r w:rsidRPr="00EC47A7">
        <w:rPr>
          <w:noProof/>
        </w:rPr>
        <w:t xml:space="preserve"> and regardless of whether the UE is configured with</w:t>
      </w:r>
      <w:r w:rsidRPr="00734785">
        <w:rPr>
          <w:noProof/>
        </w:rPr>
        <w:t xml:space="preserve"> </w:t>
      </w:r>
      <w:r w:rsidRPr="00734785">
        <w:rPr>
          <w:i/>
          <w:iCs/>
          <w:noProof/>
        </w:rPr>
        <w:t>highPriorityMeasRelax</w:t>
      </w:r>
      <w:r w:rsidRPr="00734785">
        <w:rPr>
          <w:noProof/>
        </w:rPr>
        <w:t xml:space="preserve"> [2]</w:t>
      </w:r>
      <w:r w:rsidRPr="00EC47A7">
        <w:rPr>
          <w:noProof/>
        </w:rPr>
        <w:t xml:space="preserve"> or not, the UE shall search for inter-</w:t>
      </w:r>
      <w:r>
        <w:rPr>
          <w:rFonts w:hint="eastAsia"/>
          <w:noProof/>
          <w:lang w:eastAsia="zh-CN"/>
        </w:rPr>
        <w:t xml:space="preserve">RAT E-UTRAN </w:t>
      </w:r>
      <w:r w:rsidRPr="00EC47A7">
        <w:rPr>
          <w:noProof/>
        </w:rPr>
        <w:t>frequency layers of higher priority at least every T</w:t>
      </w:r>
      <w:r w:rsidRPr="00734785">
        <w:rPr>
          <w:noProof/>
          <w:vertAlign w:val="subscript"/>
        </w:rPr>
        <w:t>higher_priority</w:t>
      </w:r>
      <w:r w:rsidRPr="00734785">
        <w:rPr>
          <w:noProof/>
        </w:rPr>
        <w:t xml:space="preserve">_search </w:t>
      </w:r>
      <w:r w:rsidRPr="00EC47A7">
        <w:rPr>
          <w:noProof/>
        </w:rPr>
        <w:t>where T</w:t>
      </w:r>
      <w:r w:rsidRPr="00734785">
        <w:rPr>
          <w:noProof/>
          <w:vertAlign w:val="subscript"/>
        </w:rPr>
        <w:t>higher_priority_search</w:t>
      </w:r>
      <w:r w:rsidRPr="00EC47A7">
        <w:rPr>
          <w:noProof/>
        </w:rPr>
        <w:t xml:space="preserve"> is described in clause </w:t>
      </w:r>
      <w:r>
        <w:rPr>
          <w:noProof/>
        </w:rPr>
        <w:t>4.2B.</w:t>
      </w:r>
      <w:r w:rsidRPr="00EC47A7">
        <w:rPr>
          <w:noProof/>
        </w:rPr>
        <w:t>2.7</w:t>
      </w:r>
      <w:r>
        <w:rPr>
          <w:noProof/>
        </w:rPr>
        <w:t>.</w:t>
      </w:r>
    </w:p>
    <w:p w14:paraId="7B2DF404" w14:textId="77777777" w:rsidR="009F2DC6" w:rsidRPr="00D56527" w:rsidRDefault="009F2DC6" w:rsidP="009F2DC6">
      <w:pPr>
        <w:pStyle w:val="TH"/>
        <w:rPr>
          <w:rFonts w:cs="v4.2.0"/>
          <w:vertAlign w:val="subscript"/>
          <w:lang w:eastAsia="zh-CN"/>
        </w:rPr>
      </w:pPr>
      <w:r w:rsidRPr="009449C0">
        <w:rPr>
          <w:snapToGrid w:val="0"/>
        </w:rPr>
        <w:t xml:space="preserve">Table </w:t>
      </w:r>
      <w:r>
        <w:rPr>
          <w:snapToGrid w:val="0"/>
        </w:rPr>
        <w:t>4.2B.2.11</w:t>
      </w:r>
      <w:r w:rsidRPr="00CF075A">
        <w:rPr>
          <w:snapToGrid w:val="0"/>
        </w:rPr>
        <w:t>.</w:t>
      </w:r>
      <w:r>
        <w:rPr>
          <w:snapToGrid w:val="0"/>
        </w:rPr>
        <w:t>10</w:t>
      </w:r>
      <w:r w:rsidRPr="00CF075A">
        <w:rPr>
          <w:snapToGrid w:val="0"/>
        </w:rPr>
        <w:t xml:space="preserve">-1: </w:t>
      </w:r>
      <w:r w:rsidRPr="00CF075A">
        <w:t>T</w:t>
      </w:r>
      <w:r w:rsidRPr="002A0573">
        <w:rPr>
          <w:vertAlign w:val="subscript"/>
        </w:rPr>
        <w:t>detect,</w:t>
      </w:r>
      <w:r w:rsidRPr="002A0573">
        <w:rPr>
          <w:vertAlign w:val="subscript"/>
          <w:lang w:eastAsia="zh-CN"/>
        </w:rPr>
        <w:t>E</w:t>
      </w:r>
      <w:r w:rsidRPr="00D56527">
        <w:rPr>
          <w:vertAlign w:val="subscript"/>
        </w:rPr>
        <w:t>UTRAN</w:t>
      </w:r>
      <w:r>
        <w:rPr>
          <w:vertAlign w:val="subscript"/>
        </w:rPr>
        <w:t>_RedCap_Relax</w:t>
      </w:r>
      <w:r w:rsidRPr="00D56527">
        <w:rPr>
          <w:snapToGrid w:val="0"/>
        </w:rPr>
        <w:t xml:space="preserve">, </w:t>
      </w:r>
      <w:r w:rsidRPr="00D56527">
        <w:t>T</w:t>
      </w:r>
      <w:r w:rsidRPr="00D56527">
        <w:rPr>
          <w:vertAlign w:val="subscript"/>
        </w:rPr>
        <w:t>measure,</w:t>
      </w:r>
      <w:r w:rsidRPr="00D56527">
        <w:rPr>
          <w:vertAlign w:val="subscript"/>
          <w:lang w:eastAsia="zh-CN"/>
        </w:rPr>
        <w:t>E</w:t>
      </w:r>
      <w:r w:rsidRPr="00D56527">
        <w:rPr>
          <w:vertAlign w:val="subscript"/>
        </w:rPr>
        <w:t>UTRAN</w:t>
      </w:r>
      <w:r>
        <w:rPr>
          <w:vertAlign w:val="subscript"/>
        </w:rPr>
        <w:t>_RedCap_Relax</w:t>
      </w:r>
      <w:r w:rsidRPr="00D56527">
        <w:rPr>
          <w:vertAlign w:val="subscript"/>
        </w:rPr>
        <w:t>,</w:t>
      </w:r>
      <w:r w:rsidRPr="00D56527">
        <w:t xml:space="preserve"> and </w:t>
      </w:r>
      <w:r w:rsidRPr="00D56527">
        <w:rPr>
          <w:rFonts w:cs="v4.2.0"/>
        </w:rPr>
        <w:t>T</w:t>
      </w:r>
      <w:r w:rsidRPr="00D56527">
        <w:rPr>
          <w:rFonts w:cs="v4.2.0"/>
          <w:vertAlign w:val="subscript"/>
        </w:rPr>
        <w:t>evaluate,</w:t>
      </w:r>
      <w:r w:rsidRPr="00D56527">
        <w:rPr>
          <w:rFonts w:cs="v4.2.0"/>
          <w:vertAlign w:val="subscript"/>
          <w:lang w:eastAsia="zh-CN"/>
        </w:rPr>
        <w:t>E</w:t>
      </w:r>
      <w:r w:rsidRPr="00D56527">
        <w:rPr>
          <w:rFonts w:cs="v4.2.0"/>
          <w:vertAlign w:val="subscript"/>
        </w:rPr>
        <w:t>UTRAN</w:t>
      </w:r>
      <w:r>
        <w:rPr>
          <w:vertAlign w:val="subscript"/>
        </w:rPr>
        <w:t xml:space="preserve">_RedCap_Relax </w:t>
      </w:r>
      <w:r>
        <w:rPr>
          <w:snapToGrid w:val="0"/>
        </w:rPr>
        <w:t>for 1 Rx and 2 Rx RedCap UE</w:t>
      </w:r>
    </w:p>
    <w:tbl>
      <w:tblPr>
        <w:tblW w:w="43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2120"/>
        <w:gridCol w:w="2261"/>
        <w:gridCol w:w="2247"/>
      </w:tblGrid>
      <w:tr w:rsidR="009F2DC6" w:rsidRPr="00D56527" w14:paraId="59E06A22" w14:textId="77777777" w:rsidTr="00034E52">
        <w:trPr>
          <w:cantSplit/>
          <w:jc w:val="center"/>
        </w:trPr>
        <w:tc>
          <w:tcPr>
            <w:tcW w:w="1036" w:type="pct"/>
            <w:tcBorders>
              <w:top w:val="single" w:sz="4" w:space="0" w:color="auto"/>
              <w:left w:val="single" w:sz="4" w:space="0" w:color="auto"/>
              <w:bottom w:val="single" w:sz="4" w:space="0" w:color="auto"/>
              <w:right w:val="single" w:sz="4" w:space="0" w:color="auto"/>
            </w:tcBorders>
            <w:hideMark/>
          </w:tcPr>
          <w:p w14:paraId="2CF7290D" w14:textId="77777777" w:rsidR="009F2DC6" w:rsidRPr="00D56527" w:rsidRDefault="009F2DC6" w:rsidP="008B25C8">
            <w:pPr>
              <w:pStyle w:val="TAH"/>
              <w:rPr>
                <w:rFonts w:cs="Arial"/>
                <w:snapToGrid w:val="0"/>
              </w:rPr>
            </w:pPr>
            <w:r w:rsidRPr="00D56527">
              <w:t>DRX cycle length [s]</w:t>
            </w:r>
          </w:p>
        </w:tc>
        <w:tc>
          <w:tcPr>
            <w:tcW w:w="1268" w:type="pct"/>
            <w:tcBorders>
              <w:top w:val="single" w:sz="4" w:space="0" w:color="auto"/>
              <w:left w:val="single" w:sz="4" w:space="0" w:color="auto"/>
              <w:bottom w:val="single" w:sz="4" w:space="0" w:color="auto"/>
              <w:right w:val="single" w:sz="4" w:space="0" w:color="auto"/>
            </w:tcBorders>
            <w:hideMark/>
          </w:tcPr>
          <w:p w14:paraId="20EEAB45" w14:textId="77777777" w:rsidR="009F2DC6" w:rsidRPr="00D56527" w:rsidRDefault="009F2DC6" w:rsidP="008B25C8">
            <w:pPr>
              <w:pStyle w:val="TAH"/>
              <w:rPr>
                <w:rFonts w:cs="Arial"/>
              </w:rPr>
            </w:pPr>
            <w:r w:rsidRPr="00D56527">
              <w:t>T</w:t>
            </w:r>
            <w:r w:rsidRPr="00D56527">
              <w:rPr>
                <w:vertAlign w:val="subscript"/>
              </w:rPr>
              <w:t>detect,EUTRAN</w:t>
            </w:r>
            <w:r>
              <w:rPr>
                <w:vertAlign w:val="subscript"/>
              </w:rPr>
              <w:t>_RedCap_Relax</w:t>
            </w:r>
            <w:r w:rsidRPr="00D56527">
              <w:t xml:space="preserve"> [s] (number of DRX cycles)</w:t>
            </w:r>
          </w:p>
        </w:tc>
        <w:tc>
          <w:tcPr>
            <w:tcW w:w="1352" w:type="pct"/>
            <w:tcBorders>
              <w:top w:val="single" w:sz="4" w:space="0" w:color="auto"/>
              <w:left w:val="single" w:sz="4" w:space="0" w:color="auto"/>
              <w:bottom w:val="single" w:sz="4" w:space="0" w:color="auto"/>
              <w:right w:val="single" w:sz="4" w:space="0" w:color="auto"/>
            </w:tcBorders>
            <w:hideMark/>
          </w:tcPr>
          <w:p w14:paraId="7F2D3DD8" w14:textId="77777777" w:rsidR="009F2DC6" w:rsidRPr="00D56527" w:rsidRDefault="009F2DC6" w:rsidP="008B25C8">
            <w:pPr>
              <w:pStyle w:val="TAH"/>
              <w:rPr>
                <w:rFonts w:cs="Arial"/>
                <w:snapToGrid w:val="0"/>
              </w:rPr>
            </w:pPr>
            <w:r w:rsidRPr="00D56527">
              <w:t>T</w:t>
            </w:r>
            <w:r w:rsidRPr="00D56527">
              <w:rPr>
                <w:vertAlign w:val="subscript"/>
              </w:rPr>
              <w:t>measure,EUTRAN</w:t>
            </w:r>
            <w:r>
              <w:rPr>
                <w:vertAlign w:val="subscript"/>
              </w:rPr>
              <w:t>_RedCap_Relax</w:t>
            </w:r>
            <w:r w:rsidRPr="00D56527">
              <w:t xml:space="preserve"> [s] (number of DRX cycles)</w:t>
            </w:r>
          </w:p>
        </w:tc>
        <w:tc>
          <w:tcPr>
            <w:tcW w:w="1344" w:type="pct"/>
            <w:tcBorders>
              <w:top w:val="single" w:sz="4" w:space="0" w:color="auto"/>
              <w:left w:val="single" w:sz="4" w:space="0" w:color="auto"/>
              <w:bottom w:val="single" w:sz="4" w:space="0" w:color="auto"/>
              <w:right w:val="single" w:sz="4" w:space="0" w:color="auto"/>
            </w:tcBorders>
            <w:hideMark/>
          </w:tcPr>
          <w:p w14:paraId="05AA8820" w14:textId="77777777" w:rsidR="009F2DC6" w:rsidRPr="00D56527" w:rsidRDefault="009F2DC6" w:rsidP="008B25C8">
            <w:pPr>
              <w:pStyle w:val="TAH"/>
              <w:rPr>
                <w:rFonts w:cs="Arial"/>
                <w:vertAlign w:val="subscript"/>
                <w:lang w:eastAsia="zh-CN"/>
              </w:rPr>
            </w:pPr>
            <w:r w:rsidRPr="00D56527">
              <w:t>T</w:t>
            </w:r>
            <w:r w:rsidRPr="00D56527">
              <w:rPr>
                <w:vertAlign w:val="subscript"/>
              </w:rPr>
              <w:t>evaluate,EUTRAN</w:t>
            </w:r>
            <w:r>
              <w:rPr>
                <w:vertAlign w:val="subscript"/>
              </w:rPr>
              <w:t>_RedCap_Relax</w:t>
            </w:r>
          </w:p>
          <w:p w14:paraId="7A34E274" w14:textId="77777777" w:rsidR="009F2DC6" w:rsidRPr="00D56527" w:rsidRDefault="009F2DC6" w:rsidP="008B25C8">
            <w:pPr>
              <w:pStyle w:val="TAH"/>
              <w:rPr>
                <w:rFonts w:cs="Arial"/>
              </w:rPr>
            </w:pPr>
            <w:r w:rsidRPr="00D56527">
              <w:rPr>
                <w:rFonts w:cs="Arial"/>
              </w:rPr>
              <w:t>[s] (number of DRX cycles)</w:t>
            </w:r>
          </w:p>
        </w:tc>
      </w:tr>
      <w:tr w:rsidR="009F2DC6" w:rsidRPr="00D56527" w14:paraId="10411028" w14:textId="77777777" w:rsidTr="00034E52">
        <w:trPr>
          <w:cantSplit/>
          <w:jc w:val="center"/>
        </w:trPr>
        <w:tc>
          <w:tcPr>
            <w:tcW w:w="1036" w:type="pct"/>
            <w:tcBorders>
              <w:top w:val="single" w:sz="4" w:space="0" w:color="auto"/>
              <w:left w:val="single" w:sz="4" w:space="0" w:color="auto"/>
              <w:bottom w:val="single" w:sz="4" w:space="0" w:color="auto"/>
              <w:right w:val="single" w:sz="4" w:space="0" w:color="auto"/>
            </w:tcBorders>
            <w:hideMark/>
          </w:tcPr>
          <w:p w14:paraId="11548D12" w14:textId="77777777" w:rsidR="009F2DC6" w:rsidRPr="00D56527" w:rsidRDefault="009F2DC6" w:rsidP="008B25C8">
            <w:pPr>
              <w:pStyle w:val="TAC"/>
              <w:rPr>
                <w:snapToGrid w:val="0"/>
              </w:rPr>
            </w:pPr>
            <w:r w:rsidRPr="00D56527">
              <w:t>0.32</w:t>
            </w:r>
          </w:p>
        </w:tc>
        <w:tc>
          <w:tcPr>
            <w:tcW w:w="1268" w:type="pct"/>
            <w:tcBorders>
              <w:top w:val="single" w:sz="4" w:space="0" w:color="auto"/>
              <w:left w:val="single" w:sz="4" w:space="0" w:color="auto"/>
              <w:bottom w:val="single" w:sz="4" w:space="0" w:color="auto"/>
              <w:right w:val="single" w:sz="4" w:space="0" w:color="auto"/>
            </w:tcBorders>
            <w:hideMark/>
          </w:tcPr>
          <w:p w14:paraId="73B4A289" w14:textId="77777777" w:rsidR="009F2DC6" w:rsidRPr="000D108A" w:rsidRDefault="009F2DC6" w:rsidP="008B25C8">
            <w:pPr>
              <w:pStyle w:val="TAC"/>
              <w:rPr>
                <w:snapToGrid w:val="0"/>
              </w:rPr>
            </w:pPr>
            <w:r w:rsidRPr="00D56527">
              <w:t>11.52</w:t>
            </w:r>
            <w:r w:rsidRPr="00D56527">
              <w:rPr>
                <w:lang w:val="sv-SE" w:eastAsia="zh-CN"/>
              </w:rPr>
              <w:t xml:space="preserve"> x </w:t>
            </w:r>
            <w:r w:rsidRPr="00D56527">
              <w:rPr>
                <w:snapToGrid w:val="0"/>
                <w:lang w:val="sv-SE" w:eastAsia="zh-CN"/>
              </w:rPr>
              <w:t>K1</w:t>
            </w:r>
            <w:r w:rsidRPr="00D56527">
              <w:t xml:space="preserve"> (36</w:t>
            </w:r>
            <w:r w:rsidRPr="00D56527">
              <w:rPr>
                <w:lang w:val="sv-SE" w:eastAsia="zh-CN"/>
              </w:rPr>
              <w:t xml:space="preserve"> x </w:t>
            </w:r>
            <w:r w:rsidRPr="00734785">
              <w:rPr>
                <w:snapToGrid w:val="0"/>
                <w:lang w:val="sv-SE" w:eastAsia="zh-CN"/>
              </w:rPr>
              <w:t>K1</w:t>
            </w:r>
            <w:r w:rsidRPr="00D56527">
              <w:t>)</w:t>
            </w:r>
          </w:p>
        </w:tc>
        <w:tc>
          <w:tcPr>
            <w:tcW w:w="1352" w:type="pct"/>
            <w:tcBorders>
              <w:top w:val="single" w:sz="4" w:space="0" w:color="auto"/>
              <w:left w:val="single" w:sz="4" w:space="0" w:color="auto"/>
              <w:bottom w:val="single" w:sz="4" w:space="0" w:color="auto"/>
              <w:right w:val="single" w:sz="4" w:space="0" w:color="auto"/>
            </w:tcBorders>
            <w:hideMark/>
          </w:tcPr>
          <w:p w14:paraId="73CC480B" w14:textId="77777777" w:rsidR="009F2DC6" w:rsidRPr="000D108A" w:rsidRDefault="009F2DC6" w:rsidP="008B25C8">
            <w:pPr>
              <w:pStyle w:val="TAC"/>
              <w:rPr>
                <w:snapToGrid w:val="0"/>
              </w:rPr>
            </w:pPr>
            <w:r w:rsidRPr="000D108A">
              <w:rPr>
                <w:snapToGrid w:val="0"/>
              </w:rPr>
              <w:t>1.28</w:t>
            </w:r>
            <w:r w:rsidRPr="000D108A">
              <w:rPr>
                <w:lang w:val="sv-SE" w:eastAsia="zh-CN"/>
              </w:rPr>
              <w:t xml:space="preserve"> x </w:t>
            </w:r>
            <w:r w:rsidRPr="00734785">
              <w:rPr>
                <w:snapToGrid w:val="0"/>
                <w:lang w:val="sv-SE" w:eastAsia="zh-CN"/>
              </w:rPr>
              <w:t>K1</w:t>
            </w:r>
            <w:r w:rsidRPr="00D56527">
              <w:rPr>
                <w:snapToGrid w:val="0"/>
              </w:rPr>
              <w:t xml:space="preserve"> (4</w:t>
            </w:r>
            <w:r w:rsidRPr="000D108A">
              <w:rPr>
                <w:lang w:val="sv-SE" w:eastAsia="zh-CN"/>
              </w:rPr>
              <w:t xml:space="preserve"> x </w:t>
            </w:r>
            <w:r w:rsidRPr="00734785">
              <w:rPr>
                <w:snapToGrid w:val="0"/>
                <w:lang w:val="sv-SE" w:eastAsia="zh-CN"/>
              </w:rPr>
              <w:t>K1</w:t>
            </w:r>
            <w:r w:rsidRPr="00D56527">
              <w:rPr>
                <w:snapToGrid w:val="0"/>
              </w:rPr>
              <w:t>)</w:t>
            </w:r>
          </w:p>
        </w:tc>
        <w:tc>
          <w:tcPr>
            <w:tcW w:w="1344" w:type="pct"/>
            <w:tcBorders>
              <w:top w:val="single" w:sz="4" w:space="0" w:color="auto"/>
              <w:left w:val="single" w:sz="4" w:space="0" w:color="auto"/>
              <w:bottom w:val="single" w:sz="4" w:space="0" w:color="auto"/>
              <w:right w:val="single" w:sz="4" w:space="0" w:color="auto"/>
            </w:tcBorders>
            <w:hideMark/>
          </w:tcPr>
          <w:p w14:paraId="7EF4CBF2" w14:textId="77777777" w:rsidR="009F2DC6" w:rsidRPr="000D108A" w:rsidRDefault="009F2DC6" w:rsidP="008B25C8">
            <w:pPr>
              <w:pStyle w:val="TAC"/>
              <w:rPr>
                <w:snapToGrid w:val="0"/>
              </w:rPr>
            </w:pPr>
            <w:r w:rsidRPr="000D108A">
              <w:t>5.12</w:t>
            </w:r>
            <w:r w:rsidRPr="000D108A">
              <w:rPr>
                <w:lang w:val="sv-SE" w:eastAsia="zh-CN"/>
              </w:rPr>
              <w:t xml:space="preserve"> x </w:t>
            </w:r>
            <w:r w:rsidRPr="00734785">
              <w:rPr>
                <w:snapToGrid w:val="0"/>
                <w:lang w:val="sv-SE" w:eastAsia="zh-CN"/>
              </w:rPr>
              <w:t>K1</w:t>
            </w:r>
            <w:r w:rsidRPr="00D56527">
              <w:t xml:space="preserve"> (16</w:t>
            </w:r>
            <w:r w:rsidRPr="000D108A">
              <w:rPr>
                <w:lang w:val="sv-SE" w:eastAsia="zh-CN"/>
              </w:rPr>
              <w:t xml:space="preserve"> x </w:t>
            </w:r>
            <w:r w:rsidRPr="00734785">
              <w:rPr>
                <w:snapToGrid w:val="0"/>
                <w:lang w:val="sv-SE" w:eastAsia="zh-CN"/>
              </w:rPr>
              <w:t>K1</w:t>
            </w:r>
            <w:r w:rsidRPr="00D56527">
              <w:t>)</w:t>
            </w:r>
          </w:p>
        </w:tc>
      </w:tr>
      <w:tr w:rsidR="009F2DC6" w:rsidRPr="00D56527" w14:paraId="205F10BE" w14:textId="77777777" w:rsidTr="00034E52">
        <w:trPr>
          <w:cantSplit/>
          <w:jc w:val="center"/>
        </w:trPr>
        <w:tc>
          <w:tcPr>
            <w:tcW w:w="1036" w:type="pct"/>
            <w:tcBorders>
              <w:top w:val="single" w:sz="4" w:space="0" w:color="auto"/>
              <w:left w:val="single" w:sz="4" w:space="0" w:color="auto"/>
              <w:bottom w:val="single" w:sz="4" w:space="0" w:color="auto"/>
              <w:right w:val="single" w:sz="4" w:space="0" w:color="auto"/>
            </w:tcBorders>
            <w:hideMark/>
          </w:tcPr>
          <w:p w14:paraId="2B159125" w14:textId="77777777" w:rsidR="009F2DC6" w:rsidRPr="00D56527" w:rsidRDefault="009F2DC6" w:rsidP="008B25C8">
            <w:pPr>
              <w:pStyle w:val="TAC"/>
              <w:rPr>
                <w:snapToGrid w:val="0"/>
              </w:rPr>
            </w:pPr>
            <w:r w:rsidRPr="00D56527">
              <w:t>0.64</w:t>
            </w:r>
          </w:p>
        </w:tc>
        <w:tc>
          <w:tcPr>
            <w:tcW w:w="1268" w:type="pct"/>
            <w:tcBorders>
              <w:top w:val="single" w:sz="4" w:space="0" w:color="auto"/>
              <w:left w:val="single" w:sz="4" w:space="0" w:color="auto"/>
              <w:bottom w:val="single" w:sz="4" w:space="0" w:color="auto"/>
              <w:right w:val="single" w:sz="4" w:space="0" w:color="auto"/>
            </w:tcBorders>
            <w:hideMark/>
          </w:tcPr>
          <w:p w14:paraId="756DFE46" w14:textId="77777777" w:rsidR="009F2DC6" w:rsidRPr="000D108A" w:rsidRDefault="009F2DC6" w:rsidP="008B25C8">
            <w:pPr>
              <w:pStyle w:val="TAC"/>
              <w:rPr>
                <w:snapToGrid w:val="0"/>
              </w:rPr>
            </w:pPr>
            <w:r w:rsidRPr="00D56527">
              <w:t>17.92</w:t>
            </w:r>
            <w:r w:rsidRPr="00D56527">
              <w:rPr>
                <w:lang w:val="sv-SE" w:eastAsia="zh-CN"/>
              </w:rPr>
              <w:t xml:space="preserve"> x </w:t>
            </w:r>
            <w:r w:rsidRPr="00734785">
              <w:rPr>
                <w:snapToGrid w:val="0"/>
                <w:lang w:val="sv-SE" w:eastAsia="zh-CN"/>
              </w:rPr>
              <w:t>K1</w:t>
            </w:r>
            <w:r w:rsidRPr="00D56527">
              <w:t xml:space="preserve"> (28</w:t>
            </w:r>
            <w:r w:rsidRPr="000D108A">
              <w:rPr>
                <w:lang w:val="sv-SE" w:eastAsia="zh-CN"/>
              </w:rPr>
              <w:t xml:space="preserve"> x </w:t>
            </w:r>
            <w:r w:rsidRPr="00734785">
              <w:rPr>
                <w:snapToGrid w:val="0"/>
                <w:lang w:val="sv-SE" w:eastAsia="zh-CN"/>
              </w:rPr>
              <w:t>K1</w:t>
            </w:r>
            <w:r w:rsidRPr="00D56527">
              <w:t>)</w:t>
            </w:r>
          </w:p>
        </w:tc>
        <w:tc>
          <w:tcPr>
            <w:tcW w:w="1352" w:type="pct"/>
            <w:tcBorders>
              <w:top w:val="single" w:sz="4" w:space="0" w:color="auto"/>
              <w:left w:val="single" w:sz="4" w:space="0" w:color="auto"/>
              <w:bottom w:val="single" w:sz="4" w:space="0" w:color="auto"/>
              <w:right w:val="single" w:sz="4" w:space="0" w:color="auto"/>
            </w:tcBorders>
            <w:hideMark/>
          </w:tcPr>
          <w:p w14:paraId="17C0A85C" w14:textId="77777777" w:rsidR="009F2DC6" w:rsidRPr="000D108A" w:rsidRDefault="009F2DC6" w:rsidP="008B25C8">
            <w:pPr>
              <w:pStyle w:val="TAC"/>
              <w:rPr>
                <w:snapToGrid w:val="0"/>
              </w:rPr>
            </w:pPr>
            <w:r w:rsidRPr="000D108A">
              <w:rPr>
                <w:snapToGrid w:val="0"/>
              </w:rPr>
              <w:t>1.28</w:t>
            </w:r>
            <w:r w:rsidRPr="000D108A">
              <w:rPr>
                <w:lang w:val="sv-SE" w:eastAsia="zh-CN"/>
              </w:rPr>
              <w:t xml:space="preserve"> x </w:t>
            </w:r>
            <w:r w:rsidRPr="00734785">
              <w:rPr>
                <w:snapToGrid w:val="0"/>
                <w:lang w:val="sv-SE" w:eastAsia="zh-CN"/>
              </w:rPr>
              <w:t>K1</w:t>
            </w:r>
            <w:r w:rsidRPr="00D56527">
              <w:rPr>
                <w:snapToGrid w:val="0"/>
              </w:rPr>
              <w:t xml:space="preserve"> (2</w:t>
            </w:r>
            <w:r w:rsidRPr="000D108A">
              <w:rPr>
                <w:lang w:val="sv-SE" w:eastAsia="zh-CN"/>
              </w:rPr>
              <w:t xml:space="preserve"> x </w:t>
            </w:r>
            <w:r w:rsidRPr="00734785">
              <w:rPr>
                <w:snapToGrid w:val="0"/>
                <w:lang w:val="sv-SE" w:eastAsia="zh-CN"/>
              </w:rPr>
              <w:t>K1</w:t>
            </w:r>
            <w:r w:rsidRPr="00D56527">
              <w:rPr>
                <w:snapToGrid w:val="0"/>
              </w:rPr>
              <w:t>)</w:t>
            </w:r>
          </w:p>
        </w:tc>
        <w:tc>
          <w:tcPr>
            <w:tcW w:w="1344" w:type="pct"/>
            <w:tcBorders>
              <w:top w:val="single" w:sz="4" w:space="0" w:color="auto"/>
              <w:left w:val="single" w:sz="4" w:space="0" w:color="auto"/>
              <w:bottom w:val="single" w:sz="4" w:space="0" w:color="auto"/>
              <w:right w:val="single" w:sz="4" w:space="0" w:color="auto"/>
            </w:tcBorders>
            <w:hideMark/>
          </w:tcPr>
          <w:p w14:paraId="55079EAC" w14:textId="77777777" w:rsidR="009F2DC6" w:rsidRPr="000D108A" w:rsidRDefault="009F2DC6" w:rsidP="008B25C8">
            <w:pPr>
              <w:pStyle w:val="TAC"/>
              <w:rPr>
                <w:snapToGrid w:val="0"/>
              </w:rPr>
            </w:pPr>
            <w:r w:rsidRPr="000D108A">
              <w:t>5.12</w:t>
            </w:r>
            <w:r w:rsidRPr="000D108A">
              <w:rPr>
                <w:lang w:val="sv-SE" w:eastAsia="zh-CN"/>
              </w:rPr>
              <w:t xml:space="preserve"> x </w:t>
            </w:r>
            <w:r w:rsidRPr="00734785">
              <w:rPr>
                <w:snapToGrid w:val="0"/>
                <w:lang w:val="sv-SE" w:eastAsia="zh-CN"/>
              </w:rPr>
              <w:t>K1</w:t>
            </w:r>
            <w:r w:rsidRPr="00D56527">
              <w:t xml:space="preserve"> (8</w:t>
            </w:r>
            <w:r w:rsidRPr="000D108A">
              <w:rPr>
                <w:lang w:val="sv-SE" w:eastAsia="zh-CN"/>
              </w:rPr>
              <w:t xml:space="preserve"> x </w:t>
            </w:r>
            <w:r w:rsidRPr="00734785">
              <w:rPr>
                <w:snapToGrid w:val="0"/>
                <w:lang w:val="sv-SE" w:eastAsia="zh-CN"/>
              </w:rPr>
              <w:t>K1</w:t>
            </w:r>
            <w:r w:rsidRPr="00D56527">
              <w:t>)</w:t>
            </w:r>
          </w:p>
        </w:tc>
      </w:tr>
      <w:tr w:rsidR="009F2DC6" w:rsidRPr="00D56527" w14:paraId="4CEA17D7" w14:textId="77777777" w:rsidTr="00034E52">
        <w:trPr>
          <w:cantSplit/>
          <w:jc w:val="center"/>
        </w:trPr>
        <w:tc>
          <w:tcPr>
            <w:tcW w:w="1036" w:type="pct"/>
            <w:tcBorders>
              <w:top w:val="single" w:sz="4" w:space="0" w:color="auto"/>
              <w:left w:val="single" w:sz="4" w:space="0" w:color="auto"/>
              <w:bottom w:val="single" w:sz="4" w:space="0" w:color="auto"/>
              <w:right w:val="single" w:sz="4" w:space="0" w:color="auto"/>
            </w:tcBorders>
            <w:hideMark/>
          </w:tcPr>
          <w:p w14:paraId="7A11FDD8" w14:textId="77777777" w:rsidR="009F2DC6" w:rsidRPr="00D56527" w:rsidRDefault="009F2DC6" w:rsidP="008B25C8">
            <w:pPr>
              <w:pStyle w:val="TAC"/>
              <w:rPr>
                <w:snapToGrid w:val="0"/>
              </w:rPr>
            </w:pPr>
            <w:r w:rsidRPr="00D56527">
              <w:t>1.28</w:t>
            </w:r>
          </w:p>
        </w:tc>
        <w:tc>
          <w:tcPr>
            <w:tcW w:w="1268" w:type="pct"/>
            <w:tcBorders>
              <w:top w:val="single" w:sz="4" w:space="0" w:color="auto"/>
              <w:left w:val="single" w:sz="4" w:space="0" w:color="auto"/>
              <w:bottom w:val="single" w:sz="4" w:space="0" w:color="auto"/>
              <w:right w:val="single" w:sz="4" w:space="0" w:color="auto"/>
            </w:tcBorders>
            <w:hideMark/>
          </w:tcPr>
          <w:p w14:paraId="1F4449D9" w14:textId="77777777" w:rsidR="009F2DC6" w:rsidRPr="000D108A" w:rsidRDefault="009F2DC6" w:rsidP="008B25C8">
            <w:pPr>
              <w:pStyle w:val="TAC"/>
              <w:rPr>
                <w:snapToGrid w:val="0"/>
              </w:rPr>
            </w:pPr>
            <w:r w:rsidRPr="00D56527">
              <w:t>32</w:t>
            </w:r>
            <w:r w:rsidRPr="00D56527">
              <w:rPr>
                <w:lang w:val="sv-SE" w:eastAsia="zh-CN"/>
              </w:rPr>
              <w:t xml:space="preserve"> x </w:t>
            </w:r>
            <w:r w:rsidRPr="00734785">
              <w:rPr>
                <w:snapToGrid w:val="0"/>
                <w:lang w:val="sv-SE" w:eastAsia="zh-CN"/>
              </w:rPr>
              <w:t>K1</w:t>
            </w:r>
            <w:r w:rsidRPr="00D56527">
              <w:t xml:space="preserve"> (25</w:t>
            </w:r>
            <w:r w:rsidRPr="000D108A">
              <w:rPr>
                <w:lang w:val="sv-SE" w:eastAsia="zh-CN"/>
              </w:rPr>
              <w:t xml:space="preserve"> x </w:t>
            </w:r>
            <w:r w:rsidRPr="00734785">
              <w:rPr>
                <w:snapToGrid w:val="0"/>
                <w:lang w:val="sv-SE" w:eastAsia="zh-CN"/>
              </w:rPr>
              <w:t>K1</w:t>
            </w:r>
            <w:r w:rsidRPr="00D56527">
              <w:t>)</w:t>
            </w:r>
          </w:p>
        </w:tc>
        <w:tc>
          <w:tcPr>
            <w:tcW w:w="1352" w:type="pct"/>
            <w:tcBorders>
              <w:top w:val="single" w:sz="4" w:space="0" w:color="auto"/>
              <w:left w:val="single" w:sz="4" w:space="0" w:color="auto"/>
              <w:bottom w:val="single" w:sz="4" w:space="0" w:color="auto"/>
              <w:right w:val="single" w:sz="4" w:space="0" w:color="auto"/>
            </w:tcBorders>
            <w:hideMark/>
          </w:tcPr>
          <w:p w14:paraId="19D1BF69" w14:textId="77777777" w:rsidR="009F2DC6" w:rsidRPr="000D108A" w:rsidRDefault="009F2DC6" w:rsidP="008B25C8">
            <w:pPr>
              <w:pStyle w:val="TAC"/>
              <w:rPr>
                <w:snapToGrid w:val="0"/>
              </w:rPr>
            </w:pPr>
            <w:r w:rsidRPr="000D108A">
              <w:rPr>
                <w:snapToGrid w:val="0"/>
              </w:rPr>
              <w:t>1.28</w:t>
            </w:r>
            <w:r w:rsidRPr="000D108A">
              <w:rPr>
                <w:lang w:val="sv-SE" w:eastAsia="zh-CN"/>
              </w:rPr>
              <w:t xml:space="preserve"> x </w:t>
            </w:r>
            <w:r w:rsidRPr="00734785">
              <w:rPr>
                <w:snapToGrid w:val="0"/>
                <w:lang w:val="sv-SE" w:eastAsia="zh-CN"/>
              </w:rPr>
              <w:t>K1</w:t>
            </w:r>
            <w:r w:rsidRPr="00D56527">
              <w:rPr>
                <w:snapToGrid w:val="0"/>
              </w:rPr>
              <w:t xml:space="preserve"> (1</w:t>
            </w:r>
            <w:r w:rsidRPr="000D108A">
              <w:rPr>
                <w:lang w:val="sv-SE" w:eastAsia="zh-CN"/>
              </w:rPr>
              <w:t xml:space="preserve"> x </w:t>
            </w:r>
            <w:r w:rsidRPr="00734785">
              <w:rPr>
                <w:snapToGrid w:val="0"/>
                <w:lang w:val="sv-SE" w:eastAsia="zh-CN"/>
              </w:rPr>
              <w:t>K1</w:t>
            </w:r>
            <w:r w:rsidRPr="00D56527">
              <w:rPr>
                <w:snapToGrid w:val="0"/>
              </w:rPr>
              <w:t>)</w:t>
            </w:r>
          </w:p>
        </w:tc>
        <w:tc>
          <w:tcPr>
            <w:tcW w:w="1344" w:type="pct"/>
            <w:tcBorders>
              <w:top w:val="single" w:sz="4" w:space="0" w:color="auto"/>
              <w:left w:val="single" w:sz="4" w:space="0" w:color="auto"/>
              <w:bottom w:val="single" w:sz="4" w:space="0" w:color="auto"/>
              <w:right w:val="single" w:sz="4" w:space="0" w:color="auto"/>
            </w:tcBorders>
            <w:hideMark/>
          </w:tcPr>
          <w:p w14:paraId="1EA8CDC1" w14:textId="77777777" w:rsidR="009F2DC6" w:rsidRPr="000D108A" w:rsidRDefault="009F2DC6" w:rsidP="008B25C8">
            <w:pPr>
              <w:pStyle w:val="TAC"/>
              <w:rPr>
                <w:snapToGrid w:val="0"/>
              </w:rPr>
            </w:pPr>
            <w:r w:rsidRPr="000D108A">
              <w:t>6.4</w:t>
            </w:r>
            <w:r w:rsidRPr="000D108A">
              <w:rPr>
                <w:lang w:val="sv-SE" w:eastAsia="zh-CN"/>
              </w:rPr>
              <w:t xml:space="preserve"> x </w:t>
            </w:r>
            <w:r w:rsidRPr="00734785">
              <w:rPr>
                <w:snapToGrid w:val="0"/>
                <w:lang w:val="sv-SE" w:eastAsia="zh-CN"/>
              </w:rPr>
              <w:t>K1</w:t>
            </w:r>
            <w:r w:rsidRPr="00D56527">
              <w:t xml:space="preserve"> (5</w:t>
            </w:r>
            <w:r w:rsidRPr="000D108A">
              <w:rPr>
                <w:lang w:val="sv-SE" w:eastAsia="zh-CN"/>
              </w:rPr>
              <w:t xml:space="preserve"> x </w:t>
            </w:r>
            <w:r w:rsidRPr="00734785">
              <w:rPr>
                <w:snapToGrid w:val="0"/>
                <w:lang w:val="sv-SE" w:eastAsia="zh-CN"/>
              </w:rPr>
              <w:t>K1</w:t>
            </w:r>
            <w:r w:rsidRPr="00D56527">
              <w:t>)</w:t>
            </w:r>
          </w:p>
        </w:tc>
      </w:tr>
      <w:tr w:rsidR="009F2DC6" w:rsidRPr="00D56527" w14:paraId="35C6FFCF" w14:textId="77777777" w:rsidTr="00034E52">
        <w:trPr>
          <w:cantSplit/>
          <w:jc w:val="center"/>
        </w:trPr>
        <w:tc>
          <w:tcPr>
            <w:tcW w:w="1036" w:type="pct"/>
            <w:tcBorders>
              <w:top w:val="single" w:sz="4" w:space="0" w:color="auto"/>
              <w:left w:val="single" w:sz="4" w:space="0" w:color="auto"/>
              <w:bottom w:val="single" w:sz="4" w:space="0" w:color="auto"/>
              <w:right w:val="single" w:sz="4" w:space="0" w:color="auto"/>
            </w:tcBorders>
            <w:hideMark/>
          </w:tcPr>
          <w:p w14:paraId="4BA16BD2" w14:textId="77777777" w:rsidR="009F2DC6" w:rsidRPr="00D56527" w:rsidRDefault="009F2DC6" w:rsidP="008B25C8">
            <w:pPr>
              <w:pStyle w:val="TAC"/>
              <w:rPr>
                <w:snapToGrid w:val="0"/>
              </w:rPr>
            </w:pPr>
            <w:r w:rsidRPr="00D56527">
              <w:t>2.56</w:t>
            </w:r>
          </w:p>
        </w:tc>
        <w:tc>
          <w:tcPr>
            <w:tcW w:w="1268" w:type="pct"/>
            <w:tcBorders>
              <w:top w:val="single" w:sz="4" w:space="0" w:color="auto"/>
              <w:left w:val="single" w:sz="4" w:space="0" w:color="auto"/>
              <w:bottom w:val="single" w:sz="4" w:space="0" w:color="auto"/>
              <w:right w:val="single" w:sz="4" w:space="0" w:color="auto"/>
            </w:tcBorders>
            <w:hideMark/>
          </w:tcPr>
          <w:p w14:paraId="0AB23388" w14:textId="77777777" w:rsidR="009F2DC6" w:rsidRPr="000D108A" w:rsidRDefault="009F2DC6" w:rsidP="008B25C8">
            <w:pPr>
              <w:pStyle w:val="TAC"/>
              <w:rPr>
                <w:snapToGrid w:val="0"/>
              </w:rPr>
            </w:pPr>
            <w:r w:rsidRPr="00D56527">
              <w:t>58.88</w:t>
            </w:r>
            <w:r w:rsidRPr="00D56527">
              <w:rPr>
                <w:lang w:val="sv-SE" w:eastAsia="zh-CN"/>
              </w:rPr>
              <w:t xml:space="preserve"> x </w:t>
            </w:r>
            <w:r w:rsidRPr="00734785">
              <w:rPr>
                <w:snapToGrid w:val="0"/>
                <w:lang w:val="sv-SE" w:eastAsia="zh-CN"/>
              </w:rPr>
              <w:t>K1</w:t>
            </w:r>
            <w:r w:rsidRPr="00D56527">
              <w:t xml:space="preserve"> (23</w:t>
            </w:r>
            <w:r w:rsidRPr="000D108A">
              <w:rPr>
                <w:lang w:val="sv-SE" w:eastAsia="zh-CN"/>
              </w:rPr>
              <w:t xml:space="preserve"> x </w:t>
            </w:r>
            <w:r w:rsidRPr="00734785">
              <w:rPr>
                <w:snapToGrid w:val="0"/>
                <w:lang w:val="sv-SE" w:eastAsia="zh-CN"/>
              </w:rPr>
              <w:t>K1</w:t>
            </w:r>
            <w:r w:rsidRPr="00D56527">
              <w:t>)</w:t>
            </w:r>
          </w:p>
        </w:tc>
        <w:tc>
          <w:tcPr>
            <w:tcW w:w="1352" w:type="pct"/>
            <w:tcBorders>
              <w:top w:val="single" w:sz="4" w:space="0" w:color="auto"/>
              <w:left w:val="single" w:sz="4" w:space="0" w:color="auto"/>
              <w:bottom w:val="single" w:sz="4" w:space="0" w:color="auto"/>
              <w:right w:val="single" w:sz="4" w:space="0" w:color="auto"/>
            </w:tcBorders>
            <w:hideMark/>
          </w:tcPr>
          <w:p w14:paraId="716F8C85" w14:textId="77777777" w:rsidR="009F2DC6" w:rsidRPr="000D108A" w:rsidRDefault="009F2DC6" w:rsidP="008B25C8">
            <w:pPr>
              <w:pStyle w:val="TAC"/>
              <w:rPr>
                <w:snapToGrid w:val="0"/>
              </w:rPr>
            </w:pPr>
            <w:r w:rsidRPr="000D108A">
              <w:rPr>
                <w:snapToGrid w:val="0"/>
              </w:rPr>
              <w:t>2.56</w:t>
            </w:r>
            <w:r w:rsidRPr="000D108A">
              <w:rPr>
                <w:lang w:val="sv-SE" w:eastAsia="zh-CN"/>
              </w:rPr>
              <w:t xml:space="preserve"> x </w:t>
            </w:r>
            <w:r w:rsidRPr="00734785">
              <w:rPr>
                <w:snapToGrid w:val="0"/>
                <w:lang w:val="sv-SE" w:eastAsia="zh-CN"/>
              </w:rPr>
              <w:t>K1</w:t>
            </w:r>
            <w:r w:rsidRPr="00D56527">
              <w:rPr>
                <w:snapToGrid w:val="0"/>
              </w:rPr>
              <w:t xml:space="preserve"> (1</w:t>
            </w:r>
            <w:r w:rsidRPr="000D108A">
              <w:rPr>
                <w:lang w:val="sv-SE" w:eastAsia="zh-CN"/>
              </w:rPr>
              <w:t xml:space="preserve"> x </w:t>
            </w:r>
            <w:r w:rsidRPr="00734785">
              <w:rPr>
                <w:snapToGrid w:val="0"/>
                <w:lang w:val="sv-SE" w:eastAsia="zh-CN"/>
              </w:rPr>
              <w:t>K1</w:t>
            </w:r>
            <w:r w:rsidRPr="00D56527">
              <w:rPr>
                <w:snapToGrid w:val="0"/>
              </w:rPr>
              <w:t>)</w:t>
            </w:r>
          </w:p>
        </w:tc>
        <w:tc>
          <w:tcPr>
            <w:tcW w:w="1344" w:type="pct"/>
            <w:tcBorders>
              <w:top w:val="single" w:sz="4" w:space="0" w:color="auto"/>
              <w:left w:val="single" w:sz="4" w:space="0" w:color="auto"/>
              <w:bottom w:val="single" w:sz="4" w:space="0" w:color="auto"/>
              <w:right w:val="single" w:sz="4" w:space="0" w:color="auto"/>
            </w:tcBorders>
            <w:hideMark/>
          </w:tcPr>
          <w:p w14:paraId="5F6EB949" w14:textId="77777777" w:rsidR="009F2DC6" w:rsidRPr="000D108A" w:rsidRDefault="009F2DC6" w:rsidP="008B25C8">
            <w:pPr>
              <w:pStyle w:val="TAC"/>
              <w:rPr>
                <w:snapToGrid w:val="0"/>
              </w:rPr>
            </w:pPr>
            <w:r w:rsidRPr="000D108A">
              <w:t>7.68</w:t>
            </w:r>
            <w:r w:rsidRPr="000D108A">
              <w:rPr>
                <w:lang w:val="sv-SE" w:eastAsia="zh-CN"/>
              </w:rPr>
              <w:t xml:space="preserve"> x </w:t>
            </w:r>
            <w:r w:rsidRPr="00734785">
              <w:rPr>
                <w:snapToGrid w:val="0"/>
                <w:lang w:val="sv-SE" w:eastAsia="zh-CN"/>
              </w:rPr>
              <w:t>K1</w:t>
            </w:r>
            <w:r w:rsidRPr="00D56527">
              <w:t xml:space="preserve"> (3</w:t>
            </w:r>
            <w:r w:rsidRPr="000D108A">
              <w:rPr>
                <w:lang w:val="sv-SE" w:eastAsia="zh-CN"/>
              </w:rPr>
              <w:t xml:space="preserve"> x </w:t>
            </w:r>
            <w:r w:rsidRPr="00734785">
              <w:rPr>
                <w:snapToGrid w:val="0"/>
                <w:lang w:val="sv-SE" w:eastAsia="zh-CN"/>
              </w:rPr>
              <w:t>K1</w:t>
            </w:r>
            <w:r w:rsidRPr="00D56527">
              <w:t>)</w:t>
            </w:r>
          </w:p>
        </w:tc>
      </w:tr>
      <w:tr w:rsidR="009F2DC6" w:rsidRPr="00885F53" w14:paraId="60E47373" w14:textId="77777777" w:rsidTr="00034E52">
        <w:trPr>
          <w:cantSplit/>
          <w:jc w:val="center"/>
        </w:trPr>
        <w:tc>
          <w:tcPr>
            <w:tcW w:w="5000" w:type="pct"/>
            <w:gridSpan w:val="4"/>
            <w:tcBorders>
              <w:top w:val="single" w:sz="4" w:space="0" w:color="auto"/>
              <w:left w:val="single" w:sz="4" w:space="0" w:color="auto"/>
              <w:bottom w:val="single" w:sz="4" w:space="0" w:color="auto"/>
              <w:right w:val="single" w:sz="4" w:space="0" w:color="auto"/>
            </w:tcBorders>
          </w:tcPr>
          <w:p w14:paraId="2E507D52" w14:textId="77777777" w:rsidR="009F2DC6" w:rsidRPr="00885F53" w:rsidRDefault="009F2DC6" w:rsidP="008B25C8">
            <w:pPr>
              <w:pStyle w:val="TAN"/>
              <w:rPr>
                <w:rFonts w:cs="Arial"/>
              </w:rPr>
            </w:pPr>
            <w:r w:rsidRPr="00D56527">
              <w:rPr>
                <w:snapToGrid w:val="0"/>
                <w:lang w:eastAsia="zh-CN"/>
              </w:rPr>
              <w:t>Note 1:</w:t>
            </w:r>
            <w:r w:rsidRPr="00EC47A7">
              <w:rPr>
                <w:lang w:val="en-US"/>
              </w:rPr>
              <w:tab/>
            </w:r>
            <w:r w:rsidRPr="00D56527">
              <w:rPr>
                <w:snapToGrid w:val="0"/>
                <w:lang w:eastAsia="zh-CN"/>
              </w:rPr>
              <w:t xml:space="preserve">K1 = 3 is the measurement relaxation factor applicable for UE fulfilling the </w:t>
            </w:r>
            <w:r w:rsidRPr="00485479">
              <w:rPr>
                <w:i/>
                <w:iCs/>
                <w:lang w:eastAsia="zh-CN"/>
              </w:rPr>
              <w:t>cellEdgeEvaluation</w:t>
            </w:r>
            <w:r>
              <w:rPr>
                <w:i/>
                <w:iCs/>
                <w:lang w:eastAsia="zh-CN"/>
              </w:rPr>
              <w:t xml:space="preserve"> </w:t>
            </w:r>
            <w:r>
              <w:rPr>
                <w:lang w:eastAsia="zh-CN"/>
              </w:rPr>
              <w:t>[2]</w:t>
            </w:r>
            <w:r>
              <w:rPr>
                <w:snapToGrid w:val="0"/>
                <w:lang w:eastAsia="zh-CN"/>
              </w:rPr>
              <w:t xml:space="preserve"> criterion</w:t>
            </w:r>
            <w:r w:rsidRPr="00D56527">
              <w:rPr>
                <w:snapToGrid w:val="0"/>
                <w:lang w:eastAsia="zh-CN"/>
              </w:rPr>
              <w:t>.</w:t>
            </w:r>
          </w:p>
        </w:tc>
      </w:tr>
    </w:tbl>
    <w:p w14:paraId="372DF99D" w14:textId="77777777" w:rsidR="009F2DC6" w:rsidRDefault="009F2DC6" w:rsidP="009F2DC6">
      <w:pPr>
        <w:rPr>
          <w:lang w:val="en-US"/>
        </w:rPr>
      </w:pPr>
    </w:p>
    <w:p w14:paraId="79CDD905" w14:textId="77777777" w:rsidR="009F2DC6" w:rsidRPr="00327784" w:rsidRDefault="009F2DC6" w:rsidP="009F2DC6">
      <w:pPr>
        <w:pStyle w:val="TH"/>
        <w:rPr>
          <w:lang w:val="en-US"/>
        </w:rPr>
      </w:pPr>
      <w:r w:rsidRPr="00327784">
        <w:rPr>
          <w:lang w:val="en-US"/>
        </w:rPr>
        <w:t>Table 4.2B.2.</w:t>
      </w:r>
      <w:r>
        <w:rPr>
          <w:lang w:val="en-US"/>
        </w:rPr>
        <w:t>11</w:t>
      </w:r>
      <w:r w:rsidRPr="00327784">
        <w:rPr>
          <w:lang w:val="en-US"/>
        </w:rPr>
        <w:t>.</w:t>
      </w:r>
      <w:r>
        <w:rPr>
          <w:lang w:val="en-US"/>
        </w:rPr>
        <w:t>10</w:t>
      </w:r>
      <w:r w:rsidRPr="00327784">
        <w:rPr>
          <w:lang w:val="en-US"/>
        </w:rPr>
        <w:t>-</w:t>
      </w:r>
      <w:r>
        <w:rPr>
          <w:lang w:val="en-US"/>
        </w:rPr>
        <w:t>2</w:t>
      </w:r>
      <w:r w:rsidRPr="00327784">
        <w:rPr>
          <w:lang w:val="en-US"/>
        </w:rPr>
        <w:t>: T</w:t>
      </w:r>
      <w:r w:rsidRPr="00327784">
        <w:rPr>
          <w:vertAlign w:val="subscript"/>
          <w:lang w:val="en-US"/>
        </w:rPr>
        <w:t>detect,</w:t>
      </w:r>
      <w:r w:rsidRPr="004A4879">
        <w:rPr>
          <w:rFonts w:cs="Arial"/>
          <w:sz w:val="18"/>
          <w:szCs w:val="18"/>
          <w:vertAlign w:val="subscript"/>
        </w:rPr>
        <w:t xml:space="preserve"> </w:t>
      </w:r>
      <w:r w:rsidRPr="004A4879">
        <w:rPr>
          <w:vertAlign w:val="subscript"/>
          <w:lang w:val="en-US"/>
        </w:rPr>
        <w:t>EUTRAN_</w:t>
      </w:r>
      <w:r w:rsidRPr="00327784">
        <w:rPr>
          <w:vertAlign w:val="subscript"/>
          <w:lang w:val="en-US"/>
        </w:rPr>
        <w:t>RedCap_Relax</w:t>
      </w:r>
      <w:r w:rsidRPr="00327784">
        <w:rPr>
          <w:lang w:val="en-US"/>
        </w:rPr>
        <w:t>, T</w:t>
      </w:r>
      <w:r w:rsidRPr="00327784">
        <w:rPr>
          <w:vertAlign w:val="subscript"/>
          <w:lang w:val="en-US"/>
        </w:rPr>
        <w:t>measure,</w:t>
      </w:r>
      <w:r w:rsidRPr="004A4879">
        <w:rPr>
          <w:rFonts w:cs="Arial"/>
          <w:sz w:val="18"/>
          <w:szCs w:val="18"/>
          <w:vertAlign w:val="subscript"/>
        </w:rPr>
        <w:t xml:space="preserve"> </w:t>
      </w:r>
      <w:r w:rsidRPr="004A4879">
        <w:rPr>
          <w:vertAlign w:val="subscript"/>
        </w:rPr>
        <w:t>EUTRAN</w:t>
      </w:r>
      <w:r w:rsidRPr="004A4879">
        <w:rPr>
          <w:vertAlign w:val="subscript"/>
          <w:lang w:val="en-US"/>
        </w:rPr>
        <w:t>_</w:t>
      </w:r>
      <w:r w:rsidRPr="00327784">
        <w:rPr>
          <w:vertAlign w:val="subscript"/>
          <w:lang w:val="en-US"/>
        </w:rPr>
        <w:t>RedCap_Relax</w:t>
      </w:r>
      <w:r w:rsidRPr="00327784">
        <w:rPr>
          <w:lang w:val="en-US"/>
        </w:rPr>
        <w:t xml:space="preserve"> and T</w:t>
      </w:r>
      <w:r w:rsidRPr="00327784">
        <w:rPr>
          <w:vertAlign w:val="subscript"/>
          <w:lang w:val="en-US"/>
        </w:rPr>
        <w:t>evaluate,</w:t>
      </w:r>
      <w:r w:rsidRPr="004A4879">
        <w:rPr>
          <w:rFonts w:cs="Arial"/>
          <w:sz w:val="18"/>
          <w:szCs w:val="18"/>
          <w:vertAlign w:val="subscript"/>
        </w:rPr>
        <w:t xml:space="preserve"> </w:t>
      </w:r>
      <w:r w:rsidRPr="004A4879">
        <w:rPr>
          <w:vertAlign w:val="subscript"/>
        </w:rPr>
        <w:t>EUTRAN</w:t>
      </w:r>
      <w:r w:rsidRPr="004A4879">
        <w:rPr>
          <w:vertAlign w:val="subscript"/>
          <w:lang w:val="en-US"/>
        </w:rPr>
        <w:t>_</w:t>
      </w:r>
      <w:r w:rsidRPr="00327784">
        <w:rPr>
          <w:vertAlign w:val="subscript"/>
          <w:lang w:val="en-US"/>
        </w:rPr>
        <w:t>RedCap_Relax</w:t>
      </w:r>
      <w:r w:rsidRPr="00327784">
        <w:rPr>
          <w:lang w:val="en-US"/>
        </w:rPr>
        <w:t xml:space="preserve"> for UE configured with eDRX_IDLE cycle (Frequency range FR1)</w:t>
      </w:r>
      <w:r>
        <w:rPr>
          <w:lang w:val="en-US"/>
        </w:rPr>
        <w:t xml:space="preserve"> </w:t>
      </w:r>
      <w:r w:rsidRPr="00327784">
        <w:rPr>
          <w:lang w:val="en-US"/>
        </w:rPr>
        <w:t xml:space="preserve">for eDRX_IDLE cycle upto 10.24 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2676"/>
        <w:gridCol w:w="2719"/>
        <w:gridCol w:w="2710"/>
      </w:tblGrid>
      <w:tr w:rsidR="009F2DC6" w:rsidRPr="00885F53" w14:paraId="69082F30" w14:textId="77777777" w:rsidTr="008B25C8">
        <w:trPr>
          <w:cantSplit/>
          <w:trHeight w:val="308"/>
          <w:jc w:val="center"/>
        </w:trPr>
        <w:tc>
          <w:tcPr>
            <w:tcW w:w="0" w:type="auto"/>
            <w:tcBorders>
              <w:top w:val="single" w:sz="4" w:space="0" w:color="auto"/>
              <w:left w:val="single" w:sz="4" w:space="0" w:color="auto"/>
              <w:bottom w:val="nil"/>
              <w:right w:val="single" w:sz="4" w:space="0" w:color="auto"/>
            </w:tcBorders>
            <w:shd w:val="clear" w:color="auto" w:fill="auto"/>
            <w:hideMark/>
          </w:tcPr>
          <w:p w14:paraId="690B7E9D" w14:textId="77777777" w:rsidR="009F2DC6" w:rsidRPr="00885F53" w:rsidRDefault="009F2DC6" w:rsidP="008B25C8">
            <w:pPr>
              <w:pStyle w:val="TAH"/>
            </w:pPr>
            <w:r w:rsidRPr="0082197E">
              <w:rPr>
                <w:rFonts w:cs="Arial"/>
              </w:rPr>
              <w:t>DRX_IDLE cycle length [s]</w:t>
            </w:r>
          </w:p>
        </w:tc>
        <w:tc>
          <w:tcPr>
            <w:tcW w:w="0" w:type="auto"/>
            <w:vMerge w:val="restart"/>
            <w:tcBorders>
              <w:top w:val="single" w:sz="4" w:space="0" w:color="auto"/>
              <w:left w:val="single" w:sz="4" w:space="0" w:color="auto"/>
              <w:bottom w:val="single" w:sz="4" w:space="0" w:color="auto"/>
              <w:right w:val="single" w:sz="4" w:space="0" w:color="auto"/>
            </w:tcBorders>
            <w:hideMark/>
          </w:tcPr>
          <w:p w14:paraId="79053927" w14:textId="77777777" w:rsidR="009F2DC6" w:rsidRPr="00885F53" w:rsidRDefault="009F2DC6" w:rsidP="008B25C8">
            <w:pPr>
              <w:pStyle w:val="TAH"/>
            </w:pPr>
            <w:r w:rsidRPr="0082197E">
              <w:rPr>
                <w:rFonts w:cs="Arial"/>
                <w:szCs w:val="18"/>
                <w:lang w:val="en-US"/>
              </w:rPr>
              <w:t>T</w:t>
            </w:r>
            <w:r w:rsidRPr="0082197E">
              <w:rPr>
                <w:rFonts w:cs="Arial"/>
                <w:szCs w:val="18"/>
                <w:vertAlign w:val="subscript"/>
                <w:lang w:val="en-US"/>
              </w:rPr>
              <w:t>detect,</w:t>
            </w:r>
            <w:r w:rsidRPr="004A4879">
              <w:rPr>
                <w:rFonts w:cs="Arial"/>
                <w:szCs w:val="18"/>
                <w:vertAlign w:val="subscript"/>
              </w:rPr>
              <w:t xml:space="preserve"> EUTRAN</w:t>
            </w:r>
            <w:r w:rsidRPr="004A4879">
              <w:rPr>
                <w:rFonts w:cs="Arial"/>
                <w:szCs w:val="18"/>
                <w:vertAlign w:val="subscript"/>
                <w:lang w:val="en-US"/>
              </w:rPr>
              <w:t>_</w:t>
            </w:r>
            <w:r w:rsidRPr="0082197E">
              <w:rPr>
                <w:rFonts w:cs="Arial"/>
                <w:szCs w:val="18"/>
                <w:vertAlign w:val="subscript"/>
                <w:lang w:val="en-US"/>
              </w:rPr>
              <w:t>RedCap</w:t>
            </w:r>
            <w:r>
              <w:rPr>
                <w:rFonts w:cs="Arial"/>
                <w:szCs w:val="18"/>
                <w:vertAlign w:val="subscript"/>
                <w:lang w:val="en-US"/>
              </w:rPr>
              <w:t>_Relax</w:t>
            </w:r>
            <w:r w:rsidRPr="0082197E">
              <w:rPr>
                <w:rFonts w:cs="Arial"/>
                <w:szCs w:val="18"/>
              </w:rPr>
              <w:t xml:space="preserve"> [s]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586E917D" w14:textId="77777777" w:rsidR="009F2DC6" w:rsidRPr="00885F53" w:rsidRDefault="009F2DC6" w:rsidP="008B25C8">
            <w:pPr>
              <w:pStyle w:val="TAH"/>
            </w:pPr>
            <w:r w:rsidRPr="0082197E">
              <w:rPr>
                <w:rFonts w:cs="Arial"/>
                <w:szCs w:val="18"/>
                <w:lang w:val="en-US"/>
              </w:rPr>
              <w:t>T</w:t>
            </w:r>
            <w:r w:rsidRPr="0082197E">
              <w:rPr>
                <w:rFonts w:cs="Arial"/>
                <w:szCs w:val="18"/>
                <w:vertAlign w:val="subscript"/>
                <w:lang w:val="en-US"/>
              </w:rPr>
              <w:t>measure,</w:t>
            </w:r>
            <w:r w:rsidRPr="004A4879">
              <w:rPr>
                <w:rFonts w:cs="Arial"/>
                <w:szCs w:val="18"/>
                <w:vertAlign w:val="subscript"/>
              </w:rPr>
              <w:t xml:space="preserve"> EUTRAN</w:t>
            </w:r>
            <w:r w:rsidRPr="004A4879">
              <w:rPr>
                <w:rFonts w:cs="Arial"/>
                <w:szCs w:val="18"/>
                <w:vertAlign w:val="subscript"/>
                <w:lang w:val="en-US"/>
              </w:rPr>
              <w:t>_</w:t>
            </w:r>
            <w:r w:rsidRPr="0082197E">
              <w:rPr>
                <w:rFonts w:cs="Arial"/>
                <w:szCs w:val="18"/>
                <w:vertAlign w:val="subscript"/>
                <w:lang w:val="en-US"/>
              </w:rPr>
              <w:t>RedCap</w:t>
            </w:r>
            <w:r>
              <w:rPr>
                <w:rFonts w:cs="Arial"/>
                <w:szCs w:val="18"/>
                <w:vertAlign w:val="subscript"/>
                <w:lang w:val="en-US"/>
              </w:rPr>
              <w:t>_Relax</w:t>
            </w:r>
            <w:r w:rsidRPr="0082197E">
              <w:rPr>
                <w:rFonts w:cs="Arial"/>
                <w:szCs w:val="18"/>
                <w:lang w:val="en-US"/>
              </w:rPr>
              <w:t xml:space="preserve"> </w:t>
            </w:r>
            <w:r w:rsidRPr="0082197E">
              <w:rPr>
                <w:rFonts w:cs="Arial"/>
                <w:szCs w:val="18"/>
              </w:rPr>
              <w:t xml:space="preserve">[s] (number of </w:t>
            </w:r>
            <w:r>
              <w:rPr>
                <w:rFonts w:cs="Arial"/>
                <w:szCs w:val="18"/>
              </w:rPr>
              <w:t>e</w:t>
            </w:r>
            <w:r w:rsidRPr="0082197E">
              <w:rPr>
                <w:rFonts w:cs="Arial"/>
                <w:szCs w:val="18"/>
              </w:rPr>
              <w:t xml:space="preserve">DRX </w:t>
            </w:r>
            <w:r>
              <w:rPr>
                <w:rFonts w:cs="Arial"/>
                <w:szCs w:val="18"/>
              </w:rPr>
              <w:t xml:space="preserve">IDLE </w:t>
            </w:r>
            <w:r w:rsidRPr="0082197E">
              <w:rPr>
                <w:rFonts w:cs="Arial"/>
                <w:szCs w:val="18"/>
              </w:rPr>
              <w:t>cycles)</w:t>
            </w:r>
          </w:p>
        </w:tc>
        <w:tc>
          <w:tcPr>
            <w:tcW w:w="0" w:type="auto"/>
            <w:vMerge w:val="restart"/>
            <w:tcBorders>
              <w:top w:val="single" w:sz="4" w:space="0" w:color="auto"/>
              <w:left w:val="single" w:sz="4" w:space="0" w:color="auto"/>
              <w:bottom w:val="single" w:sz="4" w:space="0" w:color="auto"/>
              <w:right w:val="single" w:sz="4" w:space="0" w:color="auto"/>
            </w:tcBorders>
            <w:hideMark/>
          </w:tcPr>
          <w:p w14:paraId="24D06039" w14:textId="77777777" w:rsidR="009F2DC6" w:rsidRPr="00885F53" w:rsidRDefault="009F2DC6" w:rsidP="008B25C8">
            <w:pPr>
              <w:pStyle w:val="TAH"/>
            </w:pPr>
            <w:r w:rsidRPr="00AD5C2C">
              <w:rPr>
                <w:rFonts w:cs="Arial"/>
                <w:szCs w:val="18"/>
                <w:lang w:val="en-US"/>
              </w:rPr>
              <w:t>T</w:t>
            </w:r>
            <w:r w:rsidRPr="00AD5C2C">
              <w:rPr>
                <w:rFonts w:cs="Arial"/>
                <w:szCs w:val="18"/>
                <w:vertAlign w:val="subscript"/>
                <w:lang w:val="en-US"/>
              </w:rPr>
              <w:t>evaluate,</w:t>
            </w:r>
            <w:r w:rsidRPr="004A4879">
              <w:rPr>
                <w:rFonts w:cs="Arial"/>
                <w:szCs w:val="18"/>
                <w:vertAlign w:val="subscript"/>
              </w:rPr>
              <w:t xml:space="preserve"> EUTRAN</w:t>
            </w:r>
            <w:r w:rsidRPr="004A4879">
              <w:rPr>
                <w:rFonts w:cs="Arial"/>
                <w:szCs w:val="18"/>
                <w:vertAlign w:val="subscript"/>
                <w:lang w:val="en-US"/>
              </w:rPr>
              <w:t>_</w:t>
            </w:r>
            <w:r w:rsidRPr="00AD5C2C">
              <w:rPr>
                <w:rFonts w:cs="Arial"/>
                <w:szCs w:val="18"/>
                <w:vertAlign w:val="subscript"/>
                <w:lang w:val="en-US"/>
              </w:rPr>
              <w:t>RedCap</w:t>
            </w:r>
            <w:r>
              <w:rPr>
                <w:rFonts w:cs="Arial"/>
                <w:szCs w:val="18"/>
                <w:vertAlign w:val="subscript"/>
                <w:lang w:val="en-US"/>
              </w:rPr>
              <w:t>_Relax</w:t>
            </w:r>
            <w:r w:rsidRPr="00AD5C2C">
              <w:rPr>
                <w:rFonts w:cs="Arial"/>
                <w:szCs w:val="18"/>
                <w:vertAlign w:val="subscript"/>
                <w:lang w:val="en-US"/>
              </w:rPr>
              <w:t xml:space="preserve"> </w:t>
            </w:r>
            <w:r w:rsidRPr="00AD5C2C">
              <w:rPr>
                <w:rFonts w:cs="Arial"/>
                <w:szCs w:val="18"/>
              </w:rPr>
              <w:t xml:space="preserve">[s] (number of </w:t>
            </w:r>
            <w:r>
              <w:rPr>
                <w:rFonts w:cs="Arial"/>
                <w:szCs w:val="18"/>
              </w:rPr>
              <w:t>e</w:t>
            </w:r>
            <w:r w:rsidRPr="00AD5C2C">
              <w:rPr>
                <w:rFonts w:cs="Arial"/>
                <w:szCs w:val="18"/>
              </w:rPr>
              <w:t xml:space="preserve">DRX </w:t>
            </w:r>
            <w:r>
              <w:rPr>
                <w:rFonts w:cs="Arial"/>
                <w:szCs w:val="18"/>
              </w:rPr>
              <w:t xml:space="preserve">IDLE </w:t>
            </w:r>
            <w:r w:rsidRPr="00AD5C2C">
              <w:rPr>
                <w:rFonts w:cs="Arial"/>
                <w:szCs w:val="18"/>
              </w:rPr>
              <w:t>cycles)</w:t>
            </w:r>
          </w:p>
        </w:tc>
      </w:tr>
      <w:tr w:rsidR="009F2DC6" w:rsidRPr="00885F53" w14:paraId="35A9BE48" w14:textId="77777777" w:rsidTr="008B25C8">
        <w:trPr>
          <w:cantSplit/>
          <w:trHeight w:val="30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A074563" w14:textId="77777777" w:rsidR="009F2DC6" w:rsidRPr="00885F53" w:rsidRDefault="009F2DC6"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FDD7F6" w14:textId="77777777" w:rsidR="009F2DC6" w:rsidRPr="00885F53" w:rsidRDefault="009F2DC6"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52A88C" w14:textId="77777777" w:rsidR="009F2DC6" w:rsidRPr="00885F53" w:rsidRDefault="009F2DC6" w:rsidP="008B25C8">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18D4D5" w14:textId="77777777" w:rsidR="009F2DC6" w:rsidRPr="00885F53" w:rsidRDefault="009F2DC6" w:rsidP="008B25C8">
            <w:pPr>
              <w:pStyle w:val="TAH"/>
            </w:pPr>
          </w:p>
        </w:tc>
      </w:tr>
      <w:tr w:rsidR="009F2DC6" w:rsidRPr="00885F53" w14:paraId="6D0E3581"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BF58DE6" w14:textId="77777777" w:rsidR="009F2DC6" w:rsidRPr="00885F53" w:rsidRDefault="009F2DC6" w:rsidP="008B25C8">
            <w:pPr>
              <w:pStyle w:val="TAC"/>
            </w:pPr>
            <w:r w:rsidRPr="00C23796">
              <w:rPr>
                <w:rFonts w:cs="Arial"/>
                <w:szCs w:val="18"/>
              </w:rPr>
              <w:t>5.12</w:t>
            </w:r>
          </w:p>
        </w:tc>
        <w:tc>
          <w:tcPr>
            <w:tcW w:w="0" w:type="auto"/>
            <w:tcBorders>
              <w:top w:val="single" w:sz="4" w:space="0" w:color="auto"/>
              <w:left w:val="single" w:sz="4" w:space="0" w:color="auto"/>
              <w:bottom w:val="single" w:sz="4" w:space="0" w:color="auto"/>
              <w:right w:val="single" w:sz="4" w:space="0" w:color="auto"/>
            </w:tcBorders>
            <w:hideMark/>
          </w:tcPr>
          <w:p w14:paraId="26517DCF" w14:textId="77777777" w:rsidR="009F2DC6" w:rsidRPr="00885F53" w:rsidRDefault="009F2DC6" w:rsidP="008B25C8">
            <w:pPr>
              <w:pStyle w:val="TAC"/>
            </w:pPr>
            <w:r w:rsidRPr="006F2E0A">
              <w:rPr>
                <w:rFonts w:cs="Arial"/>
                <w:szCs w:val="18"/>
              </w:rPr>
              <w:t>117.76</w:t>
            </w:r>
            <w:r w:rsidRPr="00806346">
              <w:rPr>
                <w:rFonts w:cs="Arial"/>
                <w:szCs w:val="18"/>
                <w:lang w:val="sv-SE"/>
              </w:rPr>
              <w:t xml:space="preserve"> x </w:t>
            </w:r>
            <w:r>
              <w:rPr>
                <w:rFonts w:cs="Arial"/>
                <w:szCs w:val="18"/>
              </w:rPr>
              <w:t>K1</w:t>
            </w:r>
            <w:r w:rsidRPr="00C23796">
              <w:rPr>
                <w:rFonts w:cs="Arial"/>
                <w:szCs w:val="18"/>
              </w:rPr>
              <w:t xml:space="preserve"> (23</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1F542C18" w14:textId="77777777" w:rsidR="009F2DC6" w:rsidRPr="00885F53" w:rsidRDefault="009F2DC6" w:rsidP="008B25C8">
            <w:pPr>
              <w:pStyle w:val="TAC"/>
            </w:pPr>
            <w:r w:rsidRPr="006F2E0A">
              <w:rPr>
                <w:rFonts w:cs="Arial"/>
                <w:szCs w:val="18"/>
              </w:rPr>
              <w:t>5.12</w:t>
            </w:r>
            <w:r w:rsidRPr="00806346">
              <w:rPr>
                <w:rFonts w:cs="Arial"/>
                <w:szCs w:val="18"/>
                <w:lang w:val="sv-SE"/>
              </w:rPr>
              <w:t xml:space="preserve"> x </w:t>
            </w:r>
            <w:r>
              <w:rPr>
                <w:rFonts w:cs="Arial"/>
                <w:szCs w:val="18"/>
              </w:rPr>
              <w:t>K1</w:t>
            </w:r>
            <w:r w:rsidRPr="00C23796">
              <w:rPr>
                <w:rFonts w:cs="Arial"/>
                <w:szCs w:val="18"/>
              </w:rPr>
              <w:t xml:space="preserve"> (1</w:t>
            </w:r>
            <w:r w:rsidRPr="00806346">
              <w:rPr>
                <w:rFonts w:cs="Arial"/>
                <w:szCs w:val="18"/>
                <w:lang w:val="sv-SE"/>
              </w:rPr>
              <w:t xml:space="preserve"> x </w:t>
            </w:r>
            <w:r>
              <w:rPr>
                <w:rFonts w:cs="Arial"/>
                <w:szCs w:val="18"/>
              </w:rPr>
              <w:t>K1</w:t>
            </w:r>
            <w:r w:rsidRPr="00C23796">
              <w:rPr>
                <w:rFonts w:cs="Arial"/>
                <w:szCs w:val="18"/>
              </w:rPr>
              <w:t>)</w:t>
            </w:r>
          </w:p>
        </w:tc>
        <w:tc>
          <w:tcPr>
            <w:tcW w:w="0" w:type="auto"/>
            <w:tcBorders>
              <w:top w:val="single" w:sz="4" w:space="0" w:color="auto"/>
              <w:left w:val="single" w:sz="4" w:space="0" w:color="auto"/>
              <w:bottom w:val="single" w:sz="4" w:space="0" w:color="auto"/>
              <w:right w:val="single" w:sz="4" w:space="0" w:color="auto"/>
            </w:tcBorders>
            <w:hideMark/>
          </w:tcPr>
          <w:p w14:paraId="7B2C498A" w14:textId="77777777" w:rsidR="009F2DC6" w:rsidRPr="00885F53" w:rsidRDefault="009F2DC6" w:rsidP="008B25C8">
            <w:pPr>
              <w:pStyle w:val="TAC"/>
            </w:pPr>
            <w:r w:rsidRPr="006F2E0A">
              <w:rPr>
                <w:rFonts w:cs="Arial"/>
                <w:szCs w:val="18"/>
              </w:rPr>
              <w:t>10.24</w:t>
            </w:r>
            <w:r w:rsidRPr="00806346">
              <w:rPr>
                <w:rFonts w:cs="Arial"/>
                <w:szCs w:val="18"/>
                <w:lang w:val="sv-SE"/>
              </w:rPr>
              <w:t xml:space="preserve"> x </w:t>
            </w:r>
            <w:r>
              <w:rPr>
                <w:rFonts w:cs="Arial"/>
                <w:szCs w:val="18"/>
              </w:rPr>
              <w:t>K1</w:t>
            </w:r>
            <w:r w:rsidRPr="00C23796">
              <w:rPr>
                <w:rFonts w:cs="Arial"/>
                <w:szCs w:val="18"/>
              </w:rPr>
              <w:t xml:space="preserve"> (2</w:t>
            </w:r>
            <w:r w:rsidRPr="00806346">
              <w:rPr>
                <w:rFonts w:cs="Arial"/>
                <w:szCs w:val="18"/>
                <w:lang w:val="sv-SE"/>
              </w:rPr>
              <w:t xml:space="preserve"> x </w:t>
            </w:r>
            <w:r>
              <w:rPr>
                <w:rFonts w:cs="Arial"/>
                <w:szCs w:val="18"/>
              </w:rPr>
              <w:t>K1</w:t>
            </w:r>
            <w:r w:rsidRPr="00C23796">
              <w:rPr>
                <w:rFonts w:cs="Arial"/>
                <w:szCs w:val="18"/>
              </w:rPr>
              <w:t>)</w:t>
            </w:r>
          </w:p>
        </w:tc>
      </w:tr>
      <w:tr w:rsidR="009F2DC6" w:rsidRPr="00885F53" w14:paraId="329047DB" w14:textId="77777777" w:rsidTr="008B25C8">
        <w:trPr>
          <w:cantSplit/>
          <w:jc w:val="center"/>
        </w:trPr>
        <w:tc>
          <w:tcPr>
            <w:tcW w:w="0" w:type="auto"/>
            <w:tcBorders>
              <w:top w:val="single" w:sz="4" w:space="0" w:color="auto"/>
              <w:left w:val="single" w:sz="4" w:space="0" w:color="auto"/>
              <w:bottom w:val="single" w:sz="4" w:space="0" w:color="auto"/>
              <w:right w:val="single" w:sz="4" w:space="0" w:color="auto"/>
            </w:tcBorders>
          </w:tcPr>
          <w:p w14:paraId="5527982A" w14:textId="77777777" w:rsidR="009F2DC6" w:rsidRPr="00C23796" w:rsidRDefault="009F2DC6" w:rsidP="008B25C8">
            <w:pPr>
              <w:pStyle w:val="TAC"/>
              <w:rPr>
                <w:rFonts w:cs="Arial"/>
                <w:szCs w:val="18"/>
              </w:rPr>
            </w:pPr>
            <w:r>
              <w:rPr>
                <w:rFonts w:cs="Arial"/>
                <w:szCs w:val="18"/>
              </w:rPr>
              <w:t>10.24</w:t>
            </w:r>
          </w:p>
        </w:tc>
        <w:tc>
          <w:tcPr>
            <w:tcW w:w="0" w:type="auto"/>
            <w:tcBorders>
              <w:top w:val="single" w:sz="4" w:space="0" w:color="auto"/>
              <w:left w:val="single" w:sz="4" w:space="0" w:color="auto"/>
              <w:bottom w:val="single" w:sz="4" w:space="0" w:color="auto"/>
              <w:right w:val="single" w:sz="4" w:space="0" w:color="auto"/>
            </w:tcBorders>
          </w:tcPr>
          <w:p w14:paraId="6B05584D" w14:textId="77777777" w:rsidR="009F2DC6" w:rsidRPr="006F2E0A" w:rsidRDefault="009F2DC6" w:rsidP="008B25C8">
            <w:pPr>
              <w:pStyle w:val="TAC"/>
              <w:rPr>
                <w:rFonts w:cs="Arial"/>
                <w:szCs w:val="18"/>
              </w:rPr>
            </w:pPr>
            <w:r>
              <w:rPr>
                <w:rFonts w:cs="Arial"/>
                <w:szCs w:val="18"/>
              </w:rPr>
              <w:t>235.52</w:t>
            </w:r>
            <w:r w:rsidRPr="00806346">
              <w:rPr>
                <w:rFonts w:cs="Arial"/>
                <w:szCs w:val="18"/>
              </w:rPr>
              <w:t xml:space="preserve"> x K</w:t>
            </w:r>
            <w:r>
              <w:rPr>
                <w:rFonts w:cs="Arial"/>
                <w:szCs w:val="18"/>
              </w:rPr>
              <w:t>1</w:t>
            </w:r>
            <w:r w:rsidRPr="006F2E0A">
              <w:rPr>
                <w:rFonts w:cs="Arial"/>
                <w:szCs w:val="18"/>
              </w:rPr>
              <w:t xml:space="preserve"> (23</w:t>
            </w:r>
            <w:r w:rsidRPr="00806346">
              <w:rPr>
                <w:rFonts w:cs="Arial"/>
                <w:szCs w:val="18"/>
              </w:rPr>
              <w:t xml:space="preserve"> x K</w:t>
            </w:r>
            <w:r>
              <w:rPr>
                <w:rFonts w:cs="Arial"/>
                <w:szCs w:val="18"/>
              </w:rPr>
              <w:t>1</w:t>
            </w:r>
            <w:r w:rsidRPr="006F2E0A">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47196208" w14:textId="77777777" w:rsidR="009F2DC6" w:rsidRPr="006F2E0A" w:rsidRDefault="009F2DC6" w:rsidP="008B25C8">
            <w:pPr>
              <w:pStyle w:val="TAC"/>
              <w:rPr>
                <w:rFonts w:cs="Arial"/>
                <w:szCs w:val="18"/>
              </w:rPr>
            </w:pPr>
            <w:r>
              <w:rPr>
                <w:rFonts w:cs="Arial"/>
                <w:szCs w:val="18"/>
              </w:rPr>
              <w:t>10.24</w:t>
            </w:r>
            <w:r w:rsidRPr="00806346">
              <w:rPr>
                <w:rFonts w:cs="Arial"/>
                <w:szCs w:val="18"/>
              </w:rPr>
              <w:t xml:space="preserve"> x K</w:t>
            </w:r>
            <w:r>
              <w:rPr>
                <w:rFonts w:cs="Arial"/>
                <w:szCs w:val="18"/>
              </w:rPr>
              <w:t>1</w:t>
            </w:r>
            <w:r w:rsidRPr="006F2E0A">
              <w:rPr>
                <w:rFonts w:cs="Arial"/>
                <w:szCs w:val="18"/>
              </w:rPr>
              <w:t xml:space="preserve"> (1</w:t>
            </w:r>
            <w:r w:rsidRPr="00806346">
              <w:rPr>
                <w:rFonts w:cs="Arial"/>
                <w:szCs w:val="18"/>
              </w:rPr>
              <w:t xml:space="preserve"> x K</w:t>
            </w:r>
            <w:r>
              <w:rPr>
                <w:rFonts w:cs="Arial"/>
                <w:szCs w:val="18"/>
              </w:rPr>
              <w:t>1</w:t>
            </w:r>
            <w:r w:rsidRPr="006F2E0A">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33D2A1A7" w14:textId="77777777" w:rsidR="009F2DC6" w:rsidRPr="006F2E0A" w:rsidRDefault="009F2DC6" w:rsidP="008B25C8">
            <w:pPr>
              <w:pStyle w:val="TAC"/>
              <w:rPr>
                <w:rFonts w:cs="Arial"/>
                <w:szCs w:val="18"/>
              </w:rPr>
            </w:pPr>
            <w:r>
              <w:rPr>
                <w:rFonts w:cs="Arial"/>
                <w:szCs w:val="18"/>
              </w:rPr>
              <w:t>20.48</w:t>
            </w:r>
            <w:r w:rsidRPr="00806346">
              <w:rPr>
                <w:rFonts w:cs="Arial"/>
                <w:szCs w:val="18"/>
              </w:rPr>
              <w:t xml:space="preserve"> x K</w:t>
            </w:r>
            <w:r>
              <w:rPr>
                <w:rFonts w:cs="Arial"/>
                <w:szCs w:val="18"/>
              </w:rPr>
              <w:t>1</w:t>
            </w:r>
            <w:r w:rsidRPr="006F2E0A">
              <w:rPr>
                <w:rFonts w:cs="Arial"/>
                <w:szCs w:val="18"/>
              </w:rPr>
              <w:t xml:space="preserve"> (2</w:t>
            </w:r>
            <w:r w:rsidRPr="00806346">
              <w:rPr>
                <w:rFonts w:cs="Arial"/>
                <w:szCs w:val="18"/>
              </w:rPr>
              <w:t xml:space="preserve"> x K</w:t>
            </w:r>
            <w:r>
              <w:rPr>
                <w:rFonts w:cs="Arial"/>
                <w:szCs w:val="18"/>
              </w:rPr>
              <w:t>1</w:t>
            </w:r>
            <w:r w:rsidRPr="006F2E0A">
              <w:rPr>
                <w:rFonts w:cs="Arial"/>
                <w:szCs w:val="18"/>
              </w:rPr>
              <w:t>)</w:t>
            </w:r>
          </w:p>
        </w:tc>
      </w:tr>
      <w:tr w:rsidR="009F2DC6" w:rsidRPr="00885F53" w14:paraId="6EB7678A" w14:textId="77777777" w:rsidTr="008B25C8">
        <w:trPr>
          <w:cantSplit/>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64215B46" w14:textId="77777777" w:rsidR="009F2DC6" w:rsidRPr="00885F53" w:rsidRDefault="009F2DC6" w:rsidP="008B25C8">
            <w:pPr>
              <w:pStyle w:val="TAN"/>
            </w:pPr>
            <w:r w:rsidRPr="00C23796">
              <w:rPr>
                <w:rFonts w:cs="Arial"/>
                <w:snapToGrid w:val="0"/>
                <w:szCs w:val="18"/>
              </w:rPr>
              <w:t xml:space="preserve">Note </w:t>
            </w:r>
            <w:r>
              <w:rPr>
                <w:rFonts w:cs="Arial"/>
                <w:snapToGrid w:val="0"/>
                <w:szCs w:val="18"/>
              </w:rPr>
              <w:t>1</w:t>
            </w:r>
            <w:r w:rsidRPr="00C23796">
              <w:rPr>
                <w:rFonts w:cs="Arial"/>
                <w:snapToGrid w:val="0"/>
                <w:szCs w:val="18"/>
              </w:rPr>
              <w:t>:</w:t>
            </w:r>
            <w:r w:rsidRPr="00C23796">
              <w:rPr>
                <w:rFonts w:cs="Arial"/>
                <w:snapToGrid w:val="0"/>
                <w:szCs w:val="18"/>
              </w:rPr>
              <w:tab/>
            </w:r>
            <w:r>
              <w:rPr>
                <w:rFonts w:cs="Arial"/>
                <w:snapToGrid w:val="0"/>
                <w:szCs w:val="18"/>
              </w:rPr>
              <w:t>K1</w:t>
            </w:r>
            <w:r w:rsidRPr="00C23796">
              <w:rPr>
                <w:rFonts w:cs="Arial"/>
                <w:snapToGrid w:val="0"/>
                <w:szCs w:val="18"/>
              </w:rPr>
              <w:t xml:space="preserve"> = </w:t>
            </w:r>
            <w:r>
              <w:rPr>
                <w:rFonts w:cs="Arial"/>
                <w:snapToGrid w:val="0"/>
                <w:szCs w:val="18"/>
              </w:rPr>
              <w:t>3</w:t>
            </w:r>
            <w:r w:rsidRPr="00C23796">
              <w:rPr>
                <w:rFonts w:cs="Arial"/>
                <w:snapToGrid w:val="0"/>
                <w:szCs w:val="18"/>
              </w:rPr>
              <w:t xml:space="preserve"> is the measurement relaxation factor applicable for UE fulfilling the </w:t>
            </w:r>
            <w:r w:rsidRPr="00485479">
              <w:rPr>
                <w:i/>
                <w:iCs/>
              </w:rPr>
              <w:t>cellEdgeEvaluation</w:t>
            </w:r>
            <w:r>
              <w:rPr>
                <w:i/>
                <w:iCs/>
              </w:rPr>
              <w:t xml:space="preserve"> </w:t>
            </w:r>
            <w:r w:rsidRPr="00C23796">
              <w:rPr>
                <w:rFonts w:cs="Arial"/>
                <w:snapToGrid w:val="0"/>
                <w:szCs w:val="18"/>
              </w:rPr>
              <w:t>[2] criterion.</w:t>
            </w:r>
          </w:p>
        </w:tc>
      </w:tr>
    </w:tbl>
    <w:p w14:paraId="0D0C148B" w14:textId="77777777" w:rsidR="009F2DC6" w:rsidRDefault="009F2DC6" w:rsidP="009F2DC6">
      <w:pPr>
        <w:rPr>
          <w:noProof/>
        </w:rPr>
      </w:pPr>
    </w:p>
    <w:p w14:paraId="237CD245" w14:textId="3955E1F0" w:rsidR="009F2DC6" w:rsidRPr="00327784" w:rsidRDefault="009F2DC6" w:rsidP="009F2DC6">
      <w:pPr>
        <w:pStyle w:val="TH"/>
        <w:rPr>
          <w:lang w:val="en-US"/>
        </w:rPr>
      </w:pPr>
      <w:r w:rsidRPr="00296365">
        <w:rPr>
          <w:lang w:val="en-US"/>
        </w:rPr>
        <w:t>Table 4.2B.2.</w:t>
      </w:r>
      <w:r>
        <w:rPr>
          <w:lang w:val="en-US"/>
        </w:rPr>
        <w:t>11</w:t>
      </w:r>
      <w:r w:rsidRPr="00296365">
        <w:rPr>
          <w:lang w:val="en-US"/>
        </w:rPr>
        <w:t>.10-</w:t>
      </w:r>
      <w:r>
        <w:rPr>
          <w:lang w:val="en-US"/>
        </w:rPr>
        <w:t>3</w:t>
      </w:r>
      <w:r w:rsidRPr="00327784">
        <w:rPr>
          <w:lang w:val="en-US"/>
        </w:rPr>
        <w:t xml:space="preserve">: </w:t>
      </w:r>
      <w:r w:rsidR="00A553D6" w:rsidRPr="00327784">
        <w:rPr>
          <w:lang w:val="en-US"/>
        </w:rPr>
        <w:t>T</w:t>
      </w:r>
      <w:r w:rsidR="00A553D6" w:rsidRPr="00327784">
        <w:rPr>
          <w:vertAlign w:val="subscript"/>
          <w:lang w:val="en-US"/>
        </w:rPr>
        <w:t>detect,</w:t>
      </w:r>
      <w:r w:rsidR="00A553D6" w:rsidRPr="00A82F5E">
        <w:rPr>
          <w:rFonts w:cs="Arial"/>
          <w:sz w:val="18"/>
          <w:szCs w:val="18"/>
          <w:vertAlign w:val="subscript"/>
        </w:rPr>
        <w:t xml:space="preserve"> </w:t>
      </w:r>
      <w:r w:rsidR="00A553D6" w:rsidRPr="00A82F5E">
        <w:rPr>
          <w:vertAlign w:val="subscript"/>
        </w:rPr>
        <w:t>EUTRAN</w:t>
      </w:r>
      <w:r w:rsidR="00A553D6" w:rsidRPr="00A82F5E">
        <w:rPr>
          <w:vertAlign w:val="subscript"/>
          <w:lang w:val="en-US"/>
        </w:rPr>
        <w:t>_</w:t>
      </w:r>
      <w:r w:rsidR="00A553D6" w:rsidRPr="00327784">
        <w:rPr>
          <w:vertAlign w:val="subscript"/>
          <w:lang w:val="en-US"/>
        </w:rPr>
        <w:t>RedCap_Relax</w:t>
      </w:r>
      <w:r w:rsidR="00A553D6" w:rsidRPr="00327784">
        <w:rPr>
          <w:lang w:val="en-US"/>
        </w:rPr>
        <w:t>, T</w:t>
      </w:r>
      <w:r w:rsidR="00A553D6" w:rsidRPr="00327784">
        <w:rPr>
          <w:vertAlign w:val="subscript"/>
          <w:lang w:val="en-US"/>
        </w:rPr>
        <w:t>measure,</w:t>
      </w:r>
      <w:r w:rsidR="00A553D6" w:rsidRPr="00A82F5E">
        <w:rPr>
          <w:rFonts w:cs="Arial"/>
          <w:sz w:val="18"/>
          <w:szCs w:val="18"/>
          <w:vertAlign w:val="subscript"/>
        </w:rPr>
        <w:t xml:space="preserve"> </w:t>
      </w:r>
      <w:r w:rsidR="00A553D6" w:rsidRPr="00A82F5E">
        <w:rPr>
          <w:vertAlign w:val="subscript"/>
        </w:rPr>
        <w:t>EUTRAN</w:t>
      </w:r>
      <w:r w:rsidR="00A553D6" w:rsidRPr="00A82F5E">
        <w:rPr>
          <w:vertAlign w:val="subscript"/>
          <w:lang w:val="en-US"/>
        </w:rPr>
        <w:t>_</w:t>
      </w:r>
      <w:r w:rsidR="00A553D6" w:rsidRPr="00327784">
        <w:rPr>
          <w:vertAlign w:val="subscript"/>
          <w:lang w:val="en-US"/>
        </w:rPr>
        <w:t>RedCap_</w:t>
      </w:r>
      <w:r w:rsidR="00A553D6">
        <w:rPr>
          <w:vertAlign w:val="subscript"/>
          <w:lang w:val="en-US"/>
        </w:rPr>
        <w:t>R</w:t>
      </w:r>
      <w:r w:rsidR="00A553D6" w:rsidRPr="00327784">
        <w:rPr>
          <w:vertAlign w:val="subscript"/>
          <w:lang w:val="en-US"/>
        </w:rPr>
        <w:t>elax</w:t>
      </w:r>
      <w:r w:rsidR="00A553D6" w:rsidRPr="00327784">
        <w:rPr>
          <w:lang w:val="en-US"/>
        </w:rPr>
        <w:t xml:space="preserve"> and T</w:t>
      </w:r>
      <w:r w:rsidR="00A553D6" w:rsidRPr="00327784">
        <w:rPr>
          <w:vertAlign w:val="subscript"/>
          <w:lang w:val="en-US"/>
        </w:rPr>
        <w:t>evaluate,</w:t>
      </w:r>
      <w:r w:rsidR="00A553D6" w:rsidRPr="00A82F5E">
        <w:rPr>
          <w:rFonts w:cs="Arial"/>
          <w:sz w:val="18"/>
          <w:szCs w:val="18"/>
          <w:vertAlign w:val="subscript"/>
        </w:rPr>
        <w:t xml:space="preserve"> </w:t>
      </w:r>
      <w:r w:rsidR="00A553D6" w:rsidRPr="00A82F5E">
        <w:rPr>
          <w:vertAlign w:val="subscript"/>
        </w:rPr>
        <w:t>EUTRAN</w:t>
      </w:r>
      <w:r w:rsidR="00A553D6" w:rsidRPr="00A82F5E">
        <w:rPr>
          <w:vertAlign w:val="subscript"/>
          <w:lang w:val="en-US"/>
        </w:rPr>
        <w:t>_</w:t>
      </w:r>
      <w:r w:rsidR="00A553D6" w:rsidRPr="00327784">
        <w:rPr>
          <w:vertAlign w:val="subscript"/>
          <w:lang w:val="en-US"/>
        </w:rPr>
        <w:t>RedCap_Relax</w:t>
      </w:r>
      <w:r w:rsidR="00A553D6" w:rsidRPr="00327784">
        <w:rPr>
          <w:lang w:val="en-US"/>
        </w:rPr>
        <w:t xml:space="preserve"> for UE configured with eDRX_IDLE cycle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718"/>
        <w:gridCol w:w="885"/>
        <w:gridCol w:w="2670"/>
        <w:gridCol w:w="2116"/>
        <w:gridCol w:w="2103"/>
      </w:tblGrid>
      <w:tr w:rsidR="009F2DC6" w:rsidRPr="00B85562" w14:paraId="44C37D72" w14:textId="77777777" w:rsidTr="008B25C8">
        <w:trPr>
          <w:trHeight w:val="1692"/>
        </w:trPr>
        <w:tc>
          <w:tcPr>
            <w:tcW w:w="1198" w:type="dxa"/>
            <w:hideMark/>
          </w:tcPr>
          <w:p w14:paraId="069B5645" w14:textId="77777777" w:rsidR="009F2DC6" w:rsidRPr="00B11B68" w:rsidRDefault="009F2DC6" w:rsidP="008B25C8">
            <w:pPr>
              <w:rPr>
                <w:rFonts w:ascii="Arial" w:hAnsi="Arial" w:cs="Arial"/>
                <w:sz w:val="18"/>
                <w:lang w:val="en-US"/>
              </w:rPr>
            </w:pPr>
            <w:r w:rsidRPr="00B11B68">
              <w:rPr>
                <w:rFonts w:ascii="Arial" w:hAnsi="Arial" w:cs="Arial"/>
                <w:b/>
                <w:sz w:val="18"/>
              </w:rPr>
              <w:t>eDRX_IDLE cycle length [s]</w:t>
            </w:r>
          </w:p>
        </w:tc>
        <w:tc>
          <w:tcPr>
            <w:tcW w:w="751" w:type="dxa"/>
            <w:hideMark/>
          </w:tcPr>
          <w:p w14:paraId="10494732" w14:textId="77777777" w:rsidR="009F2DC6" w:rsidRPr="00B11B68" w:rsidRDefault="009F2DC6" w:rsidP="008B25C8">
            <w:pPr>
              <w:rPr>
                <w:rFonts w:ascii="Arial" w:hAnsi="Arial" w:cs="Arial"/>
                <w:sz w:val="18"/>
                <w:lang w:val="en-US"/>
              </w:rPr>
            </w:pPr>
            <w:r w:rsidRPr="00B11B68">
              <w:rPr>
                <w:rFonts w:ascii="Arial" w:hAnsi="Arial" w:cs="Arial"/>
                <w:b/>
                <w:sz w:val="18"/>
              </w:rPr>
              <w:t>DRX cycle length [s]</w:t>
            </w:r>
          </w:p>
        </w:tc>
        <w:tc>
          <w:tcPr>
            <w:tcW w:w="930" w:type="dxa"/>
            <w:hideMark/>
          </w:tcPr>
          <w:p w14:paraId="663D107E" w14:textId="77777777" w:rsidR="009F2DC6" w:rsidRPr="00B11B68" w:rsidRDefault="009F2DC6" w:rsidP="008B25C8">
            <w:pPr>
              <w:rPr>
                <w:rFonts w:ascii="Arial" w:hAnsi="Arial" w:cs="Arial"/>
                <w:sz w:val="18"/>
                <w:lang w:val="en-US"/>
              </w:rPr>
            </w:pPr>
            <w:r w:rsidRPr="00B11B68">
              <w:rPr>
                <w:rFonts w:ascii="Arial" w:hAnsi="Arial" w:cs="Arial"/>
                <w:b/>
                <w:sz w:val="18"/>
              </w:rPr>
              <w:t>PTW length [s] (number of 1.28s periods)</w:t>
            </w:r>
          </w:p>
        </w:tc>
        <w:tc>
          <w:tcPr>
            <w:tcW w:w="2431" w:type="dxa"/>
            <w:hideMark/>
          </w:tcPr>
          <w:p w14:paraId="4FAEAEFA" w14:textId="77777777" w:rsidR="009F2DC6" w:rsidRPr="00B11B68" w:rsidRDefault="009F2DC6" w:rsidP="008B25C8">
            <w:pPr>
              <w:rPr>
                <w:rFonts w:ascii="Arial" w:hAnsi="Arial" w:cs="Arial"/>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detect,</w:t>
            </w:r>
            <w:r w:rsidRPr="001F54CC">
              <w:rPr>
                <w:rFonts w:ascii="Arial" w:hAnsi="Arial" w:cs="Arial"/>
                <w:b/>
                <w:sz w:val="18"/>
                <w:szCs w:val="18"/>
                <w:vertAlign w:val="subscript"/>
              </w:rPr>
              <w:t xml:space="preserve"> EUTRAN</w:t>
            </w:r>
            <w:r w:rsidRPr="001F54CC">
              <w:rPr>
                <w:rFonts w:ascii="Arial" w:hAnsi="Arial" w:cs="Arial"/>
                <w:b/>
                <w:sz w:val="18"/>
                <w:szCs w:val="18"/>
                <w:vertAlign w:val="subscript"/>
                <w:lang w:val="en-US"/>
              </w:rPr>
              <w:t>_</w:t>
            </w:r>
            <w:r w:rsidRPr="00B11B68">
              <w:rPr>
                <w:rFonts w:ascii="Arial" w:hAnsi="Arial" w:cs="Arial"/>
                <w:b/>
                <w:sz w:val="18"/>
                <w:szCs w:val="18"/>
                <w:vertAlign w:val="subscript"/>
                <w:lang w:val="en-US"/>
              </w:rPr>
              <w:t>RedCap</w:t>
            </w:r>
            <w:r>
              <w:rPr>
                <w:rFonts w:ascii="Arial" w:hAnsi="Arial" w:cs="Arial"/>
                <w:b/>
                <w:sz w:val="18"/>
                <w:szCs w:val="18"/>
                <w:vertAlign w:val="subscript"/>
                <w:lang w:val="en-US"/>
              </w:rPr>
              <w:t>_Relax</w:t>
            </w:r>
            <w:r w:rsidRPr="00963536">
              <w:rPr>
                <w:rFonts w:ascii="Arial" w:hAnsi="Arial" w:cs="Arial"/>
                <w:b/>
                <w:sz w:val="18"/>
                <w:szCs w:val="18"/>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c>
          <w:tcPr>
            <w:tcW w:w="1860" w:type="dxa"/>
            <w:hideMark/>
          </w:tcPr>
          <w:p w14:paraId="7B7B9AA9" w14:textId="77777777" w:rsidR="009F2DC6" w:rsidRPr="00B11B68" w:rsidRDefault="009F2DC6" w:rsidP="008B25C8">
            <w:pPr>
              <w:rPr>
                <w:rFonts w:ascii="Arial" w:hAnsi="Arial" w:cs="Arial"/>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measure,</w:t>
            </w:r>
            <w:r w:rsidRPr="001F54CC">
              <w:rPr>
                <w:rFonts w:ascii="Arial" w:hAnsi="Arial" w:cs="Arial"/>
                <w:b/>
                <w:sz w:val="18"/>
                <w:szCs w:val="18"/>
                <w:vertAlign w:val="subscript"/>
              </w:rPr>
              <w:t>EUTRAN</w:t>
            </w:r>
            <w:r w:rsidRPr="001F54CC">
              <w:rPr>
                <w:rFonts w:ascii="Arial" w:hAnsi="Arial" w:cs="Arial"/>
                <w:b/>
                <w:sz w:val="18"/>
                <w:szCs w:val="18"/>
                <w:vertAlign w:val="subscript"/>
                <w:lang w:val="en-US"/>
              </w:rPr>
              <w:t>_</w:t>
            </w:r>
            <w:r w:rsidRPr="00B11B68">
              <w:rPr>
                <w:rFonts w:ascii="Arial" w:hAnsi="Arial" w:cs="Arial"/>
                <w:b/>
                <w:sz w:val="18"/>
                <w:szCs w:val="18"/>
                <w:vertAlign w:val="subscript"/>
                <w:lang w:val="en-US"/>
              </w:rPr>
              <w:t>RedCap</w:t>
            </w:r>
            <w:r>
              <w:rPr>
                <w:rFonts w:ascii="Arial" w:hAnsi="Arial" w:cs="Arial"/>
                <w:b/>
                <w:sz w:val="18"/>
                <w:szCs w:val="18"/>
                <w:vertAlign w:val="subscript"/>
                <w:lang w:val="en-US"/>
              </w:rPr>
              <w:t>_Relax</w:t>
            </w:r>
            <w:r w:rsidRPr="00B11B68">
              <w:rPr>
                <w:rFonts w:ascii="Arial" w:hAnsi="Arial" w:cs="Arial"/>
                <w:b/>
                <w:sz w:val="18"/>
                <w:szCs w:val="18"/>
                <w:lang w:val="en-US"/>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c>
          <w:tcPr>
            <w:tcW w:w="1846" w:type="dxa"/>
          </w:tcPr>
          <w:p w14:paraId="4FE95089" w14:textId="77777777" w:rsidR="009F2DC6" w:rsidRPr="00B11B68" w:rsidRDefault="009F2DC6" w:rsidP="008B25C8">
            <w:pPr>
              <w:rPr>
                <w:rFonts w:ascii="Arial" w:hAnsi="Arial" w:cs="Arial"/>
                <w:b/>
                <w:sz w:val="18"/>
                <w:szCs w:val="18"/>
                <w:lang w:val="en-US"/>
              </w:rPr>
            </w:pPr>
            <w:r w:rsidRPr="00B11B68">
              <w:rPr>
                <w:rFonts w:ascii="Arial" w:hAnsi="Arial" w:cs="Arial"/>
                <w:b/>
                <w:sz w:val="18"/>
                <w:szCs w:val="18"/>
                <w:lang w:val="en-US"/>
              </w:rPr>
              <w:t>T</w:t>
            </w:r>
            <w:r w:rsidRPr="00B11B68">
              <w:rPr>
                <w:rFonts w:ascii="Arial" w:hAnsi="Arial" w:cs="Arial"/>
                <w:b/>
                <w:sz w:val="18"/>
                <w:szCs w:val="18"/>
                <w:vertAlign w:val="subscript"/>
                <w:lang w:val="en-US"/>
              </w:rPr>
              <w:t>evaluate,</w:t>
            </w:r>
            <w:r w:rsidRPr="001F54CC">
              <w:rPr>
                <w:rFonts w:ascii="Arial" w:hAnsi="Arial" w:cs="Arial"/>
                <w:b/>
                <w:sz w:val="18"/>
                <w:szCs w:val="18"/>
                <w:vertAlign w:val="subscript"/>
              </w:rPr>
              <w:t>EUTRAN</w:t>
            </w:r>
            <w:r w:rsidRPr="001F54CC">
              <w:rPr>
                <w:rFonts w:ascii="Arial" w:hAnsi="Arial" w:cs="Arial"/>
                <w:b/>
                <w:sz w:val="18"/>
                <w:szCs w:val="18"/>
                <w:vertAlign w:val="subscript"/>
                <w:lang w:val="en-US"/>
              </w:rPr>
              <w:t>_</w:t>
            </w:r>
            <w:r w:rsidRPr="00B11B68">
              <w:rPr>
                <w:rFonts w:ascii="Arial" w:hAnsi="Arial" w:cs="Arial"/>
                <w:b/>
                <w:sz w:val="18"/>
                <w:szCs w:val="18"/>
                <w:vertAlign w:val="subscript"/>
                <w:lang w:val="en-US"/>
              </w:rPr>
              <w:t>RedCap</w:t>
            </w:r>
            <w:r>
              <w:rPr>
                <w:rFonts w:ascii="Arial" w:hAnsi="Arial" w:cs="Arial"/>
                <w:b/>
                <w:sz w:val="18"/>
                <w:szCs w:val="18"/>
                <w:vertAlign w:val="subscript"/>
                <w:lang w:val="en-US"/>
              </w:rPr>
              <w:t>_Relax</w:t>
            </w:r>
            <w:r w:rsidRPr="00B11B68">
              <w:rPr>
                <w:rFonts w:ascii="Arial" w:hAnsi="Arial" w:cs="Arial"/>
                <w:b/>
                <w:sz w:val="18"/>
                <w:szCs w:val="18"/>
                <w:vertAlign w:val="subscript"/>
                <w:lang w:val="en-US"/>
              </w:rPr>
              <w:t xml:space="preserve"> </w:t>
            </w:r>
            <w:r w:rsidRPr="00B11B68">
              <w:rPr>
                <w:rFonts w:ascii="Arial" w:hAnsi="Arial" w:cs="Arial"/>
                <w:b/>
                <w:sz w:val="18"/>
                <w:szCs w:val="18"/>
              </w:rPr>
              <w:t>[s] (number of DRX cycles</w:t>
            </w:r>
            <w:r>
              <w:rPr>
                <w:rFonts w:ascii="Arial" w:hAnsi="Arial" w:cs="Arial"/>
                <w:b/>
                <w:sz w:val="18"/>
                <w:szCs w:val="18"/>
              </w:rPr>
              <w:t xml:space="preserve"> or eDRX cycles </w:t>
            </w:r>
            <w:r w:rsidRPr="00340961">
              <w:rPr>
                <w:rFonts w:ascii="Arial" w:hAnsi="Arial" w:cs="Arial"/>
                <w:b/>
                <w:sz w:val="18"/>
                <w:szCs w:val="18"/>
                <w:vertAlign w:val="superscript"/>
              </w:rPr>
              <w:t>Note 3</w:t>
            </w:r>
            <w:r w:rsidRPr="00B11B68">
              <w:rPr>
                <w:rFonts w:ascii="Arial" w:hAnsi="Arial" w:cs="Arial"/>
                <w:b/>
                <w:sz w:val="18"/>
                <w:szCs w:val="18"/>
              </w:rPr>
              <w:t>)</w:t>
            </w:r>
          </w:p>
        </w:tc>
      </w:tr>
      <w:tr w:rsidR="009F2DC6" w:rsidRPr="00B85562" w14:paraId="0EA45A55" w14:textId="77777777" w:rsidTr="008B25C8">
        <w:trPr>
          <w:trHeight w:val="673"/>
        </w:trPr>
        <w:tc>
          <w:tcPr>
            <w:tcW w:w="1198" w:type="dxa"/>
            <w:vMerge w:val="restart"/>
            <w:hideMark/>
          </w:tcPr>
          <w:p w14:paraId="1AB06AEA" w14:textId="77777777" w:rsidR="009F2DC6" w:rsidRPr="00B11B68" w:rsidRDefault="009F2DC6" w:rsidP="008B25C8">
            <w:pPr>
              <w:rPr>
                <w:rFonts w:ascii="Arial" w:hAnsi="Arial" w:cs="Arial"/>
                <w:sz w:val="18"/>
                <w:lang w:val="en-US"/>
              </w:rPr>
            </w:pPr>
            <w:r w:rsidRPr="00B11B68">
              <w:rPr>
                <w:rFonts w:ascii="Arial" w:hAnsi="Arial" w:cs="Arial"/>
                <w:sz w:val="18"/>
              </w:rPr>
              <w:t>20.48 ≤</w:t>
            </w:r>
            <w:r w:rsidRPr="00CA7017">
              <w:rPr>
                <w:rFonts w:cs="Arial"/>
              </w:rPr>
              <w:t xml:space="preserve"> </w:t>
            </w:r>
            <w:r w:rsidRPr="00B11B68">
              <w:rPr>
                <w:rFonts w:ascii="Arial" w:hAnsi="Arial" w:cs="Arial"/>
                <w:sz w:val="18"/>
              </w:rPr>
              <w:t xml:space="preserve"> eDRX_IDLE cycle length ≤</w:t>
            </w:r>
            <w:r>
              <w:rPr>
                <w:rFonts w:ascii="Arial" w:hAnsi="Arial" w:cs="Arial"/>
                <w:sz w:val="18"/>
              </w:rPr>
              <w:t>[163.84]</w:t>
            </w:r>
          </w:p>
        </w:tc>
        <w:tc>
          <w:tcPr>
            <w:tcW w:w="751" w:type="dxa"/>
            <w:hideMark/>
          </w:tcPr>
          <w:p w14:paraId="7D024714" w14:textId="77777777" w:rsidR="009F2DC6" w:rsidRPr="00B11B68" w:rsidRDefault="009F2DC6" w:rsidP="008B25C8">
            <w:pPr>
              <w:rPr>
                <w:rFonts w:ascii="Arial" w:hAnsi="Arial" w:cs="Arial"/>
                <w:sz w:val="18"/>
                <w:lang w:val="en-US"/>
              </w:rPr>
            </w:pPr>
            <w:r w:rsidRPr="00B11B68">
              <w:rPr>
                <w:rFonts w:ascii="Arial" w:hAnsi="Arial" w:cs="Arial"/>
                <w:sz w:val="18"/>
              </w:rPr>
              <w:t>0.32</w:t>
            </w:r>
          </w:p>
        </w:tc>
        <w:tc>
          <w:tcPr>
            <w:tcW w:w="930" w:type="dxa"/>
            <w:hideMark/>
          </w:tcPr>
          <w:p w14:paraId="5B6DD3AF" w14:textId="77777777" w:rsidR="009F2DC6" w:rsidRPr="00B11B68" w:rsidRDefault="009F2DC6" w:rsidP="008B25C8">
            <w:pPr>
              <w:rPr>
                <w:rFonts w:ascii="Arial" w:hAnsi="Arial" w:cs="Arial"/>
                <w:sz w:val="18"/>
                <w:lang w:val="en-US"/>
              </w:rPr>
            </w:pPr>
            <w:r w:rsidRPr="00B11B68">
              <w:rPr>
                <w:rFonts w:ascii="Arial" w:hAnsi="Arial" w:cs="Arial"/>
                <w:sz w:val="18"/>
              </w:rPr>
              <w:t>≥</w:t>
            </w:r>
            <w:r>
              <w:rPr>
                <w:rFonts w:ascii="Arial" w:hAnsi="Arial" w:cs="Arial"/>
                <w:sz w:val="18"/>
                <w:lang w:val="en-US"/>
              </w:rPr>
              <w:t>[</w:t>
            </w:r>
            <w:r>
              <w:rPr>
                <w:rFonts w:ascii="Arial" w:hAnsi="Arial" w:cs="Arial"/>
                <w:sz w:val="18"/>
              </w:rPr>
              <w:t>3.84]</w:t>
            </w:r>
            <w:r w:rsidRPr="00B11B68">
              <w:rPr>
                <w:rFonts w:ascii="Arial" w:hAnsi="Arial" w:cs="Arial"/>
                <w:sz w:val="18"/>
              </w:rPr>
              <w:t xml:space="preserve"> (</w:t>
            </w:r>
            <w:r>
              <w:rPr>
                <w:rFonts w:ascii="Arial" w:hAnsi="Arial" w:cs="Arial"/>
                <w:sz w:val="18"/>
              </w:rPr>
              <w:t>[3]</w:t>
            </w:r>
            <w:r w:rsidRPr="00B11B68">
              <w:rPr>
                <w:rFonts w:ascii="Arial" w:hAnsi="Arial" w:cs="Arial"/>
                <w:sz w:val="18"/>
              </w:rPr>
              <w:t>)</w:t>
            </w:r>
          </w:p>
        </w:tc>
        <w:tc>
          <w:tcPr>
            <w:tcW w:w="2431" w:type="dxa"/>
            <w:vMerge w:val="restart"/>
            <w:hideMark/>
          </w:tcPr>
          <w:p w14:paraId="1F5EBF83" w14:textId="77777777" w:rsidR="009F2DC6" w:rsidRPr="00B11B68" w:rsidRDefault="009F2DC6" w:rsidP="008B25C8">
            <w:pPr>
              <w:rPr>
                <w:rFonts w:ascii="Arial" w:hAnsi="Arial" w:cs="Arial"/>
                <w:sz w:val="18"/>
                <w:lang w:val="en-US"/>
              </w:rPr>
            </w:pPr>
            <m:oMathPara>
              <m:oMathParaPr>
                <m:jc m:val="centerGroup"/>
              </m:oMathParaPr>
              <m:oMath>
                <m:r>
                  <w:rPr>
                    <w:rFonts w:ascii="Cambria Math" w:hAnsi="Cambria Math" w:cs="Arial"/>
                    <w:sz w:val="18"/>
                    <w:lang w:val="en-US"/>
                  </w:rPr>
                  <m:t>eDRX</m:t>
                </m:r>
                <m:r>
                  <m:rPr>
                    <m:sty m:val="p"/>
                  </m:rPr>
                  <w:rPr>
                    <w:rFonts w:ascii="Cambria Math" w:hAnsi="Cambria Math" w:cs="Arial"/>
                    <w:sz w:val="18"/>
                    <w:lang w:val="en-US"/>
                  </w:rPr>
                  <m:t>_</m:t>
                </m:r>
                <m:r>
                  <w:rPr>
                    <w:rFonts w:ascii="Cambria Math" w:hAnsi="Cambria Math" w:cs="Arial"/>
                    <w:sz w:val="18"/>
                    <w:lang w:val="en-US"/>
                  </w:rPr>
                  <m:t>cycl</m:t>
                </m:r>
                <m:r>
                  <m:rPr>
                    <m:sty m:val="p"/>
                  </m:rPr>
                  <w:rPr>
                    <w:rFonts w:ascii="Cambria Math" w:hAnsi="Cambria Math" w:cs="Arial"/>
                    <w:sz w:val="18"/>
                    <w:lang w:val="en-US"/>
                  </w:rPr>
                  <m:t>e_</m:t>
                </m:r>
                <m:r>
                  <w:rPr>
                    <w:rFonts w:ascii="Cambria Math" w:hAnsi="Cambria Math" w:cs="Arial"/>
                    <w:sz w:val="18"/>
                    <w:lang w:val="en-US"/>
                  </w:rPr>
                  <m:t>length×</m:t>
                </m:r>
                <m:d>
                  <m:dPr>
                    <m:begChr m:val="⌈"/>
                    <m:endChr m:val="⌉"/>
                    <m:ctrlPr>
                      <w:rPr>
                        <w:rFonts w:ascii="Cambria Math" w:hAnsi="Cambria Math" w:cs="Arial"/>
                        <w:i/>
                        <w:sz w:val="18"/>
                        <w:lang w:val="en-US"/>
                      </w:rPr>
                    </m:ctrlPr>
                  </m:dPr>
                  <m:e>
                    <m:f>
                      <m:fPr>
                        <m:ctrlPr>
                          <w:rPr>
                            <w:rFonts w:ascii="Cambria Math" w:hAnsi="Cambria Math" w:cs="Arial"/>
                            <w:i/>
                            <w:sz w:val="18"/>
                            <w:lang w:val="en-US"/>
                          </w:rPr>
                        </m:ctrlPr>
                      </m:fPr>
                      <m:num>
                        <m:r>
                          <w:rPr>
                            <w:rFonts w:ascii="Cambria Math" w:hAnsi="Cambria Math" w:cs="Arial"/>
                            <w:sz w:val="18"/>
                            <w:lang w:val="en-US"/>
                          </w:rPr>
                          <m:t>23</m:t>
                        </m:r>
                      </m:num>
                      <m:den>
                        <m:r>
                          <w:rPr>
                            <w:rFonts w:ascii="Cambria Math" w:hAnsi="Cambria Math" w:cs="Arial"/>
                            <w:sz w:val="18"/>
                            <w:lang w:val="en-US"/>
                          </w:rPr>
                          <m:t>PTW/DRX_cycle_length</m:t>
                        </m:r>
                      </m:den>
                    </m:f>
                  </m:e>
                </m:d>
                <m:r>
                  <m:rPr>
                    <m:sty m:val="p"/>
                  </m:rPr>
                  <w:rPr>
                    <w:rFonts w:ascii="Cambria Math" w:hAnsi="Cambria Math"/>
                    <w:lang w:val="sv-SE"/>
                  </w:rPr>
                  <m:t xml:space="preserve">x </m:t>
                </m:r>
                <m:r>
                  <m:rPr>
                    <m:sty m:val="p"/>
                  </m:rPr>
                  <w:rPr>
                    <w:rFonts w:ascii="Cambria Math" w:hAnsi="Cambria Math" w:cs="Arial"/>
                    <w:lang w:val="sv-SE"/>
                  </w:rPr>
                  <m:t>K1</m:t>
                </m:r>
              </m:oMath>
            </m:oMathPara>
          </w:p>
          <w:p w14:paraId="10E5BD64" w14:textId="77777777" w:rsidR="009F2DC6" w:rsidRPr="00B11B68" w:rsidRDefault="009F2DC6" w:rsidP="008B25C8">
            <w:pPr>
              <w:rPr>
                <w:rFonts w:ascii="Arial" w:hAnsi="Arial" w:cs="Arial"/>
                <w:sz w:val="18"/>
                <w:lang w:val="en-US"/>
              </w:rPr>
            </w:pPr>
            <w:r w:rsidRPr="00B11B68">
              <w:rPr>
                <w:rFonts w:ascii="Arial" w:hAnsi="Arial" w:cs="Arial"/>
                <w:sz w:val="18"/>
                <w:lang w:val="en-US"/>
              </w:rPr>
              <w:t>(23</w:t>
            </w:r>
            <w:r w:rsidRPr="0082197E">
              <w:rPr>
                <w:lang w:val="sv-SE"/>
              </w:rPr>
              <w:t xml:space="preserve"> x </w:t>
            </w:r>
            <w:r>
              <w:rPr>
                <w:rFonts w:cs="Arial"/>
                <w:lang w:val="sv-SE"/>
              </w:rPr>
              <w:t>K1</w:t>
            </w:r>
            <w:r w:rsidRPr="00B11B68">
              <w:rPr>
                <w:rFonts w:ascii="Arial" w:hAnsi="Arial" w:cs="Arial"/>
                <w:sz w:val="18"/>
                <w:lang w:val="en-US"/>
              </w:rPr>
              <w:t>)</w:t>
            </w:r>
          </w:p>
        </w:tc>
        <w:tc>
          <w:tcPr>
            <w:tcW w:w="1860" w:type="dxa"/>
            <w:hideMark/>
          </w:tcPr>
          <w:p w14:paraId="589F4CAA" w14:textId="77777777" w:rsidR="009F2DC6" w:rsidRPr="00896DB0" w:rsidRDefault="009F2DC6" w:rsidP="008B25C8">
            <w:pPr>
              <w:rPr>
                <w:rFonts w:ascii="Arial" w:hAnsi="Arial" w:cs="Arial"/>
                <w:sz w:val="18"/>
              </w:rPr>
            </w:pPr>
            <w:r w:rsidRPr="00B11B68">
              <w:rPr>
                <w:rFonts w:ascii="Arial" w:hAnsi="Arial" w:cs="Arial"/>
                <w:sz w:val="18"/>
              </w:rPr>
              <w:t>0.32</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M2 x K1</w:t>
            </w:r>
            <w:r w:rsidRPr="00B11B68">
              <w:rPr>
                <w:rFonts w:ascii="Arial" w:hAnsi="Arial" w:cs="Arial"/>
                <w:sz w:val="18"/>
              </w:rPr>
              <w:t>)</w:t>
            </w:r>
          </w:p>
        </w:tc>
        <w:tc>
          <w:tcPr>
            <w:tcW w:w="1846" w:type="dxa"/>
          </w:tcPr>
          <w:p w14:paraId="724CFD75" w14:textId="77777777" w:rsidR="009F2DC6" w:rsidRDefault="009F2DC6" w:rsidP="008B25C8">
            <w:pPr>
              <w:rPr>
                <w:rFonts w:ascii="Arial" w:hAnsi="Arial" w:cs="Arial"/>
                <w:sz w:val="18"/>
              </w:rPr>
            </w:pPr>
            <w:r w:rsidRPr="00896DB0">
              <w:rPr>
                <w:rFonts w:ascii="Arial" w:hAnsi="Arial" w:cs="Arial"/>
                <w:sz w:val="18"/>
              </w:rPr>
              <w:t>0.64 x K1 (2 x M2 x K1)</w:t>
            </w:r>
          </w:p>
        </w:tc>
      </w:tr>
      <w:tr w:rsidR="009F2DC6" w:rsidRPr="00B85562" w14:paraId="23FE5C67" w14:textId="77777777" w:rsidTr="008B25C8">
        <w:trPr>
          <w:trHeight w:val="336"/>
        </w:trPr>
        <w:tc>
          <w:tcPr>
            <w:tcW w:w="1198" w:type="dxa"/>
            <w:vMerge/>
            <w:hideMark/>
          </w:tcPr>
          <w:p w14:paraId="522A26D9" w14:textId="77777777" w:rsidR="009F2DC6" w:rsidRPr="00B11B68" w:rsidRDefault="009F2DC6" w:rsidP="008B25C8">
            <w:pPr>
              <w:rPr>
                <w:rFonts w:ascii="Arial" w:hAnsi="Arial" w:cs="Arial"/>
                <w:sz w:val="18"/>
                <w:lang w:val="en-US"/>
              </w:rPr>
            </w:pPr>
          </w:p>
        </w:tc>
        <w:tc>
          <w:tcPr>
            <w:tcW w:w="751" w:type="dxa"/>
            <w:hideMark/>
          </w:tcPr>
          <w:p w14:paraId="362146F9" w14:textId="77777777" w:rsidR="009F2DC6" w:rsidRPr="00B11B68" w:rsidRDefault="009F2DC6" w:rsidP="008B25C8">
            <w:pPr>
              <w:rPr>
                <w:rFonts w:ascii="Arial" w:hAnsi="Arial" w:cs="Arial"/>
                <w:sz w:val="18"/>
                <w:lang w:val="en-US"/>
              </w:rPr>
            </w:pPr>
            <w:r w:rsidRPr="00B11B68">
              <w:rPr>
                <w:rFonts w:ascii="Arial" w:hAnsi="Arial" w:cs="Arial"/>
                <w:sz w:val="18"/>
              </w:rPr>
              <w:t>0.64</w:t>
            </w:r>
          </w:p>
        </w:tc>
        <w:tc>
          <w:tcPr>
            <w:tcW w:w="930" w:type="dxa"/>
            <w:hideMark/>
          </w:tcPr>
          <w:p w14:paraId="35AC86C4" w14:textId="77777777" w:rsidR="009F2DC6" w:rsidRPr="00B11B68" w:rsidRDefault="009F2DC6" w:rsidP="008B25C8">
            <w:pPr>
              <w:rPr>
                <w:rFonts w:ascii="Arial" w:hAnsi="Arial" w:cs="Arial"/>
                <w:sz w:val="18"/>
                <w:lang w:val="en-US"/>
              </w:rPr>
            </w:pPr>
            <w:r w:rsidRPr="00B11B68">
              <w:rPr>
                <w:rFonts w:ascii="Arial" w:hAnsi="Arial" w:cs="Arial"/>
                <w:sz w:val="18"/>
              </w:rPr>
              <w:t>≥</w:t>
            </w:r>
            <w:r>
              <w:rPr>
                <w:rFonts w:ascii="Arial" w:hAnsi="Arial" w:cs="Arial"/>
                <w:sz w:val="18"/>
                <w:lang w:val="en-US"/>
              </w:rPr>
              <w:t>[</w:t>
            </w:r>
            <w:r>
              <w:rPr>
                <w:rFonts w:ascii="Arial" w:hAnsi="Arial" w:cs="Arial"/>
                <w:sz w:val="18"/>
              </w:rPr>
              <w:t>3.84]</w:t>
            </w:r>
            <w:r w:rsidRPr="00B11B68">
              <w:rPr>
                <w:rFonts w:ascii="Arial" w:hAnsi="Arial" w:cs="Arial"/>
                <w:sz w:val="18"/>
              </w:rPr>
              <w:t xml:space="preserve"> (</w:t>
            </w:r>
            <w:r>
              <w:rPr>
                <w:rFonts w:ascii="Arial" w:hAnsi="Arial" w:cs="Arial"/>
                <w:sz w:val="18"/>
              </w:rPr>
              <w:t>[3]</w:t>
            </w:r>
            <w:r w:rsidRPr="00B11B68">
              <w:rPr>
                <w:rFonts w:ascii="Arial" w:hAnsi="Arial" w:cs="Arial"/>
                <w:sz w:val="18"/>
              </w:rPr>
              <w:t>)</w:t>
            </w:r>
          </w:p>
        </w:tc>
        <w:tc>
          <w:tcPr>
            <w:tcW w:w="2431" w:type="dxa"/>
            <w:vMerge/>
            <w:hideMark/>
          </w:tcPr>
          <w:p w14:paraId="36BACB8B" w14:textId="77777777" w:rsidR="009F2DC6" w:rsidRPr="00B11B68" w:rsidRDefault="009F2DC6" w:rsidP="008B25C8">
            <w:pPr>
              <w:rPr>
                <w:rFonts w:ascii="Arial" w:hAnsi="Arial" w:cs="Arial"/>
                <w:sz w:val="18"/>
                <w:lang w:val="en-US"/>
              </w:rPr>
            </w:pPr>
          </w:p>
        </w:tc>
        <w:tc>
          <w:tcPr>
            <w:tcW w:w="1860" w:type="dxa"/>
            <w:hideMark/>
          </w:tcPr>
          <w:p w14:paraId="371F7222" w14:textId="77777777" w:rsidR="009F2DC6" w:rsidRPr="00896DB0" w:rsidRDefault="009F2DC6" w:rsidP="008B25C8">
            <w:pPr>
              <w:rPr>
                <w:rFonts w:ascii="Arial" w:hAnsi="Arial" w:cs="Arial"/>
                <w:sz w:val="18"/>
              </w:rPr>
            </w:pPr>
            <w:r w:rsidRPr="00B11B68">
              <w:rPr>
                <w:rFonts w:ascii="Arial" w:hAnsi="Arial" w:cs="Arial"/>
                <w:sz w:val="18"/>
              </w:rPr>
              <w:t>0.64</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4C6A45A3" w14:textId="77777777" w:rsidR="009F2DC6" w:rsidRPr="00B11B68" w:rsidRDefault="009F2DC6" w:rsidP="008B25C8">
            <w:pPr>
              <w:rPr>
                <w:rFonts w:ascii="Arial" w:hAnsi="Arial" w:cs="Arial"/>
                <w:sz w:val="18"/>
              </w:rPr>
            </w:pPr>
            <w:r w:rsidRPr="00B11B68">
              <w:rPr>
                <w:rFonts w:ascii="Arial" w:hAnsi="Arial" w:cs="Arial"/>
                <w:sz w:val="18"/>
              </w:rPr>
              <w:t>1.28</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9F2DC6" w:rsidRPr="00B85562" w14:paraId="1827BD77" w14:textId="77777777" w:rsidTr="008B25C8">
        <w:trPr>
          <w:trHeight w:val="336"/>
        </w:trPr>
        <w:tc>
          <w:tcPr>
            <w:tcW w:w="1198" w:type="dxa"/>
            <w:vMerge/>
            <w:hideMark/>
          </w:tcPr>
          <w:p w14:paraId="702B9B41" w14:textId="77777777" w:rsidR="009F2DC6" w:rsidRPr="00B11B68" w:rsidRDefault="009F2DC6" w:rsidP="008B25C8">
            <w:pPr>
              <w:rPr>
                <w:rFonts w:ascii="Arial" w:hAnsi="Arial" w:cs="Arial"/>
                <w:sz w:val="18"/>
                <w:lang w:val="en-US"/>
              </w:rPr>
            </w:pPr>
          </w:p>
        </w:tc>
        <w:tc>
          <w:tcPr>
            <w:tcW w:w="751" w:type="dxa"/>
            <w:hideMark/>
          </w:tcPr>
          <w:p w14:paraId="53F00386" w14:textId="77777777" w:rsidR="009F2DC6" w:rsidRPr="00B11B68" w:rsidRDefault="009F2DC6" w:rsidP="008B25C8">
            <w:pPr>
              <w:rPr>
                <w:rFonts w:ascii="Arial" w:hAnsi="Arial" w:cs="Arial"/>
                <w:sz w:val="18"/>
                <w:lang w:val="en-US"/>
              </w:rPr>
            </w:pPr>
            <w:r w:rsidRPr="00B11B68">
              <w:rPr>
                <w:rFonts w:ascii="Arial" w:hAnsi="Arial" w:cs="Arial"/>
                <w:sz w:val="18"/>
              </w:rPr>
              <w:t>1.28</w:t>
            </w:r>
          </w:p>
        </w:tc>
        <w:tc>
          <w:tcPr>
            <w:tcW w:w="930" w:type="dxa"/>
            <w:hideMark/>
          </w:tcPr>
          <w:p w14:paraId="39C40FB6" w14:textId="77777777" w:rsidR="009F2DC6" w:rsidRPr="00B11B68" w:rsidRDefault="009F2DC6" w:rsidP="008B25C8">
            <w:pPr>
              <w:rPr>
                <w:rFonts w:ascii="Arial" w:hAnsi="Arial" w:cs="Arial"/>
                <w:sz w:val="18"/>
                <w:lang w:val="en-US"/>
              </w:rPr>
            </w:pPr>
            <w:r w:rsidRPr="00B11B68">
              <w:rPr>
                <w:rFonts w:ascii="Arial" w:hAnsi="Arial" w:cs="Arial"/>
                <w:sz w:val="18"/>
              </w:rPr>
              <w:t>≥</w:t>
            </w:r>
            <w:r>
              <w:rPr>
                <w:rFonts w:ascii="Arial" w:hAnsi="Arial" w:cs="Arial"/>
                <w:sz w:val="18"/>
              </w:rPr>
              <w:t>[7.68]</w:t>
            </w:r>
            <w:r w:rsidRPr="00B11B68">
              <w:rPr>
                <w:rFonts w:ascii="Arial" w:hAnsi="Arial" w:cs="Arial"/>
                <w:sz w:val="18"/>
              </w:rPr>
              <w:t xml:space="preserve"> (</w:t>
            </w:r>
            <w:r>
              <w:rPr>
                <w:rFonts w:ascii="Arial" w:hAnsi="Arial" w:cs="Arial"/>
                <w:sz w:val="18"/>
              </w:rPr>
              <w:t>[6]</w:t>
            </w:r>
            <w:r w:rsidRPr="00B11B68">
              <w:rPr>
                <w:rFonts w:ascii="Arial" w:hAnsi="Arial" w:cs="Arial"/>
                <w:sz w:val="18"/>
              </w:rPr>
              <w:t>)</w:t>
            </w:r>
          </w:p>
        </w:tc>
        <w:tc>
          <w:tcPr>
            <w:tcW w:w="2431" w:type="dxa"/>
            <w:vMerge/>
            <w:hideMark/>
          </w:tcPr>
          <w:p w14:paraId="319B7F67" w14:textId="77777777" w:rsidR="009F2DC6" w:rsidRPr="00B11B68" w:rsidRDefault="009F2DC6" w:rsidP="008B25C8">
            <w:pPr>
              <w:rPr>
                <w:rFonts w:ascii="Arial" w:hAnsi="Arial" w:cs="Arial"/>
                <w:sz w:val="18"/>
                <w:lang w:val="en-US"/>
              </w:rPr>
            </w:pPr>
          </w:p>
        </w:tc>
        <w:tc>
          <w:tcPr>
            <w:tcW w:w="1860" w:type="dxa"/>
            <w:hideMark/>
          </w:tcPr>
          <w:p w14:paraId="3573546E" w14:textId="77777777" w:rsidR="009F2DC6" w:rsidRPr="00896DB0" w:rsidRDefault="009F2DC6" w:rsidP="008B25C8">
            <w:pPr>
              <w:rPr>
                <w:rFonts w:ascii="Arial" w:hAnsi="Arial" w:cs="Arial"/>
                <w:sz w:val="18"/>
              </w:rPr>
            </w:pPr>
            <w:r w:rsidRPr="00B11B68">
              <w:rPr>
                <w:rFonts w:ascii="Arial" w:hAnsi="Arial" w:cs="Arial"/>
                <w:sz w:val="18"/>
              </w:rPr>
              <w:t>1.28</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247ADAC7" w14:textId="77777777" w:rsidR="009F2DC6" w:rsidRPr="00B11B68" w:rsidRDefault="009F2DC6" w:rsidP="008B25C8">
            <w:pPr>
              <w:rPr>
                <w:rFonts w:ascii="Arial" w:hAnsi="Arial" w:cs="Arial"/>
                <w:sz w:val="18"/>
              </w:rPr>
            </w:pPr>
            <w:r w:rsidRPr="00B11B68">
              <w:rPr>
                <w:rFonts w:ascii="Arial" w:hAnsi="Arial" w:cs="Arial"/>
                <w:sz w:val="18"/>
              </w:rPr>
              <w:t>2.56</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9F2DC6" w:rsidRPr="00B85562" w14:paraId="4F0F61B9" w14:textId="77777777" w:rsidTr="008B25C8">
        <w:trPr>
          <w:trHeight w:val="336"/>
        </w:trPr>
        <w:tc>
          <w:tcPr>
            <w:tcW w:w="1198" w:type="dxa"/>
            <w:vMerge/>
            <w:hideMark/>
          </w:tcPr>
          <w:p w14:paraId="479C4869" w14:textId="77777777" w:rsidR="009F2DC6" w:rsidRPr="00B11B68" w:rsidRDefault="009F2DC6" w:rsidP="008B25C8">
            <w:pPr>
              <w:rPr>
                <w:rFonts w:ascii="Arial" w:hAnsi="Arial" w:cs="Arial"/>
                <w:sz w:val="18"/>
                <w:lang w:val="en-US"/>
              </w:rPr>
            </w:pPr>
          </w:p>
        </w:tc>
        <w:tc>
          <w:tcPr>
            <w:tcW w:w="751" w:type="dxa"/>
            <w:hideMark/>
          </w:tcPr>
          <w:p w14:paraId="5192B73D" w14:textId="77777777" w:rsidR="009F2DC6" w:rsidRPr="00B11B68" w:rsidRDefault="009F2DC6" w:rsidP="008B25C8">
            <w:pPr>
              <w:rPr>
                <w:rFonts w:ascii="Arial" w:hAnsi="Arial" w:cs="Arial"/>
                <w:sz w:val="18"/>
                <w:lang w:val="en-US"/>
              </w:rPr>
            </w:pPr>
            <w:r w:rsidRPr="00B11B68">
              <w:rPr>
                <w:rFonts w:ascii="Arial" w:hAnsi="Arial" w:cs="Arial"/>
                <w:sz w:val="18"/>
              </w:rPr>
              <w:t>2.56</w:t>
            </w:r>
          </w:p>
        </w:tc>
        <w:tc>
          <w:tcPr>
            <w:tcW w:w="930" w:type="dxa"/>
            <w:hideMark/>
          </w:tcPr>
          <w:p w14:paraId="048C89DD" w14:textId="77777777" w:rsidR="009F2DC6" w:rsidRPr="00B11B68" w:rsidRDefault="009F2DC6" w:rsidP="008B25C8">
            <w:pPr>
              <w:rPr>
                <w:rFonts w:ascii="Arial" w:hAnsi="Arial" w:cs="Arial"/>
                <w:sz w:val="18"/>
                <w:lang w:val="en-US"/>
              </w:rPr>
            </w:pPr>
            <w:r w:rsidRPr="00B11B68">
              <w:rPr>
                <w:rFonts w:ascii="Arial" w:hAnsi="Arial" w:cs="Arial"/>
                <w:sz w:val="18"/>
              </w:rPr>
              <w:t>≥</w:t>
            </w:r>
            <w:r>
              <w:rPr>
                <w:rFonts w:ascii="Arial" w:hAnsi="Arial" w:cs="Arial"/>
                <w:sz w:val="18"/>
              </w:rPr>
              <w:t>[15.36]</w:t>
            </w:r>
            <w:r w:rsidRPr="00B11B68">
              <w:rPr>
                <w:rFonts w:ascii="Arial" w:hAnsi="Arial" w:cs="Arial"/>
                <w:sz w:val="18"/>
              </w:rPr>
              <w:t xml:space="preserve"> (</w:t>
            </w:r>
            <w:r>
              <w:rPr>
                <w:rFonts w:ascii="Arial" w:hAnsi="Arial" w:cs="Arial"/>
                <w:sz w:val="18"/>
              </w:rPr>
              <w:t>[12]</w:t>
            </w:r>
            <w:r w:rsidRPr="00B11B68">
              <w:rPr>
                <w:rFonts w:ascii="Arial" w:hAnsi="Arial" w:cs="Arial"/>
                <w:sz w:val="18"/>
              </w:rPr>
              <w:t>)</w:t>
            </w:r>
          </w:p>
        </w:tc>
        <w:tc>
          <w:tcPr>
            <w:tcW w:w="2431" w:type="dxa"/>
            <w:vMerge/>
            <w:hideMark/>
          </w:tcPr>
          <w:p w14:paraId="1E918993" w14:textId="77777777" w:rsidR="009F2DC6" w:rsidRPr="00B11B68" w:rsidRDefault="009F2DC6" w:rsidP="008B25C8">
            <w:pPr>
              <w:rPr>
                <w:rFonts w:ascii="Arial" w:hAnsi="Arial" w:cs="Arial"/>
                <w:sz w:val="18"/>
                <w:lang w:val="en-US"/>
              </w:rPr>
            </w:pPr>
          </w:p>
        </w:tc>
        <w:tc>
          <w:tcPr>
            <w:tcW w:w="1860" w:type="dxa"/>
            <w:hideMark/>
          </w:tcPr>
          <w:p w14:paraId="50579F46" w14:textId="77777777" w:rsidR="009F2DC6" w:rsidRPr="00896DB0" w:rsidRDefault="009F2DC6" w:rsidP="008B25C8">
            <w:pPr>
              <w:rPr>
                <w:rFonts w:ascii="Arial" w:hAnsi="Arial" w:cs="Arial"/>
                <w:sz w:val="18"/>
              </w:rPr>
            </w:pPr>
            <w:r w:rsidRPr="00B11B68">
              <w:rPr>
                <w:rFonts w:ascii="Arial" w:hAnsi="Arial" w:cs="Arial"/>
                <w:sz w:val="18"/>
              </w:rPr>
              <w:t>2.56</w:t>
            </w:r>
            <w:r w:rsidRPr="00896DB0">
              <w:rPr>
                <w:rFonts w:ascii="Arial" w:hAnsi="Arial" w:cs="Arial"/>
                <w:sz w:val="18"/>
              </w:rPr>
              <w:t xml:space="preserve"> x K1</w:t>
            </w:r>
            <w:r w:rsidRPr="00B11B68">
              <w:rPr>
                <w:rFonts w:ascii="Arial" w:hAnsi="Arial" w:cs="Arial"/>
                <w:sz w:val="18"/>
              </w:rPr>
              <w:t xml:space="preserve"> (1</w:t>
            </w:r>
            <w:r w:rsidRPr="00896DB0">
              <w:rPr>
                <w:rFonts w:ascii="Arial" w:hAnsi="Arial" w:cs="Arial"/>
                <w:sz w:val="18"/>
              </w:rPr>
              <w:t xml:space="preserve"> x K1</w:t>
            </w:r>
            <w:r w:rsidRPr="00B11B68">
              <w:rPr>
                <w:rFonts w:ascii="Arial" w:hAnsi="Arial" w:cs="Arial"/>
                <w:sz w:val="18"/>
              </w:rPr>
              <w:t>)</w:t>
            </w:r>
          </w:p>
        </w:tc>
        <w:tc>
          <w:tcPr>
            <w:tcW w:w="1846" w:type="dxa"/>
          </w:tcPr>
          <w:p w14:paraId="4C861639" w14:textId="77777777" w:rsidR="009F2DC6" w:rsidRPr="00B11B68" w:rsidRDefault="009F2DC6" w:rsidP="008B25C8">
            <w:pPr>
              <w:rPr>
                <w:rFonts w:ascii="Arial" w:hAnsi="Arial" w:cs="Arial"/>
                <w:sz w:val="18"/>
              </w:rPr>
            </w:pPr>
            <w:r w:rsidRPr="00B11B68">
              <w:rPr>
                <w:rFonts w:ascii="Arial" w:hAnsi="Arial" w:cs="Arial"/>
                <w:sz w:val="18"/>
              </w:rPr>
              <w:t>5.12</w:t>
            </w:r>
            <w:r w:rsidRPr="00896DB0">
              <w:rPr>
                <w:rFonts w:ascii="Arial" w:hAnsi="Arial" w:cs="Arial"/>
                <w:sz w:val="18"/>
              </w:rPr>
              <w:t xml:space="preserve"> x K1</w:t>
            </w:r>
            <w:r w:rsidRPr="00B11B68">
              <w:rPr>
                <w:rFonts w:ascii="Arial" w:hAnsi="Arial" w:cs="Arial"/>
                <w:sz w:val="18"/>
              </w:rPr>
              <w:t xml:space="preserve"> (2</w:t>
            </w:r>
            <w:r w:rsidRPr="00896DB0">
              <w:rPr>
                <w:rFonts w:ascii="Arial" w:hAnsi="Arial" w:cs="Arial"/>
                <w:sz w:val="18"/>
              </w:rPr>
              <w:t xml:space="preserve"> x K1</w:t>
            </w:r>
            <w:r w:rsidRPr="00B11B68">
              <w:rPr>
                <w:rFonts w:ascii="Arial" w:hAnsi="Arial" w:cs="Arial"/>
                <w:sz w:val="18"/>
              </w:rPr>
              <w:t>)</w:t>
            </w:r>
          </w:p>
        </w:tc>
      </w:tr>
      <w:tr w:rsidR="009F2DC6" w:rsidRPr="00B85562" w14:paraId="45BC20A5" w14:textId="77777777" w:rsidTr="008B25C8">
        <w:trPr>
          <w:trHeight w:val="336"/>
        </w:trPr>
        <w:tc>
          <w:tcPr>
            <w:tcW w:w="9016" w:type="dxa"/>
            <w:gridSpan w:val="6"/>
          </w:tcPr>
          <w:p w14:paraId="1C24C7F5" w14:textId="77777777" w:rsidR="009F2DC6" w:rsidRPr="0075428D" w:rsidRDefault="009F2DC6" w:rsidP="008B25C8">
            <w:pPr>
              <w:pStyle w:val="TAN"/>
              <w:rPr>
                <w:snapToGrid w:val="0"/>
              </w:rPr>
            </w:pPr>
            <w:r w:rsidRPr="009C5807">
              <w:rPr>
                <w:snapToGrid w:val="0"/>
              </w:rPr>
              <w:t>Note 1</w:t>
            </w:r>
            <w:r w:rsidRPr="009C5807">
              <w:t>:</w:t>
            </w:r>
            <w:r w:rsidRPr="009C5807">
              <w:rPr>
                <w:lang w:val="en-US"/>
              </w:rPr>
              <w:tab/>
            </w:r>
            <w:r w:rsidRPr="0075428D">
              <w:rPr>
                <w:snapToGrid w:val="0"/>
              </w:rPr>
              <w:t>The number of DRX cycles in this table is given for the DRX cycles within PTWs.</w:t>
            </w:r>
          </w:p>
          <w:p w14:paraId="0807987A" w14:textId="77777777" w:rsidR="00A553D6" w:rsidRPr="0075428D" w:rsidRDefault="00A553D6" w:rsidP="00A553D6">
            <w:pPr>
              <w:pStyle w:val="TAN"/>
              <w:rPr>
                <w:snapToGrid w:val="0"/>
              </w:rPr>
            </w:pPr>
            <w:r w:rsidRPr="0075428D">
              <w:rPr>
                <w:snapToGrid w:val="0"/>
              </w:rPr>
              <w:t>Note 2</w:t>
            </w:r>
            <w:r w:rsidRPr="0075428D">
              <w:t>:</w:t>
            </w:r>
            <w:r w:rsidRPr="0075428D">
              <w:rPr>
                <w:lang w:val="en-US"/>
              </w:rPr>
              <w:tab/>
            </w:r>
            <w:r w:rsidRPr="0075428D">
              <w:rPr>
                <w:snapToGrid w:val="0"/>
              </w:rPr>
              <w:t>The eDRX_IDLE cycle lengths are as specified in Section 10.5.5.32 of TS 24.008 [34].</w:t>
            </w:r>
          </w:p>
          <w:p w14:paraId="0B94161C" w14:textId="26714721" w:rsidR="009F2DC6" w:rsidRPr="0075428D" w:rsidRDefault="00A553D6" w:rsidP="00A553D6">
            <w:pPr>
              <w:pStyle w:val="TAN"/>
              <w:rPr>
                <w:rFonts w:cs="Arial"/>
                <w:iCs/>
              </w:rPr>
            </w:pPr>
            <w:r w:rsidRPr="0075428D">
              <w:rPr>
                <w:snapToGrid w:val="0"/>
              </w:rPr>
              <w:t>Note</w:t>
            </w:r>
            <w:r w:rsidRPr="0075428D">
              <w:rPr>
                <w:rFonts w:cs="Arial"/>
              </w:rPr>
              <w:t xml:space="preserve"> 3:</w:t>
            </w:r>
            <w:r w:rsidRPr="0075428D">
              <w:rPr>
                <w:lang w:val="en-US"/>
              </w:rPr>
              <w:t xml:space="preserve"> </w:t>
            </w:r>
            <w:r w:rsidRPr="0075428D">
              <w:rPr>
                <w:lang w:val="en-US"/>
              </w:rPr>
              <w:tab/>
            </w:r>
            <w:r w:rsidRPr="0075428D">
              <w:rPr>
                <w:rFonts w:cs="Arial"/>
              </w:rPr>
              <w:t xml:space="preserve">The lower bound of </w:t>
            </w:r>
            <w:r w:rsidRPr="0075428D">
              <w:rPr>
                <w:rFonts w:cs="Arial"/>
                <w:iCs/>
                <w:color w:val="000000" w:themeColor="text1"/>
              </w:rPr>
              <w:t xml:space="preserve">PTW length is derived based on </w:t>
            </w:r>
            <m:oMath>
              <m:d>
                <m:dPr>
                  <m:begChr m:val="⌈"/>
                  <m:endChr m:val="⌉"/>
                  <m:ctrlPr>
                    <w:rPr>
                      <w:rFonts w:ascii="Cambria Math" w:hAnsi="Cambria Math" w:cs="Arial"/>
                      <w:iCs/>
                    </w:rPr>
                  </m:ctrlPr>
                </m:dPr>
                <m:e>
                  <m:f>
                    <m:fPr>
                      <m:ctrlPr>
                        <w:rPr>
                          <w:rFonts w:ascii="Cambria Math" w:hAnsi="Cambria Math" w:cs="Arial"/>
                          <w:iCs/>
                        </w:rPr>
                      </m:ctrlPr>
                    </m:fPr>
                    <m:num>
                      <m:r>
                        <m:rPr>
                          <m:sty m:val="p"/>
                        </m:rPr>
                        <w:rPr>
                          <w:rFonts w:ascii="Cambria Math" w:hAnsi="Cambria Math" w:cs="Arial"/>
                          <w:szCs w:val="18"/>
                          <w:lang w:val="en-US"/>
                        </w:rPr>
                        <m:t>T</m:t>
                      </m:r>
                      <m:r>
                        <m:rPr>
                          <m:sty m:val="p"/>
                        </m:rPr>
                        <w:rPr>
                          <w:rFonts w:ascii="Cambria Math" w:hAnsi="Cambria Math" w:cs="Arial"/>
                          <w:szCs w:val="18"/>
                          <w:vertAlign w:val="subscript"/>
                          <w:lang w:val="en-US"/>
                        </w:rPr>
                        <m:t>evaluate,NR_Intra_RedCap_Relax</m:t>
                      </m:r>
                      <m:r>
                        <m:rPr>
                          <m:sty m:val="p"/>
                        </m:rPr>
                        <w:rPr>
                          <w:rFonts w:ascii="Cambria Math" w:hAnsi="Cambria Math" w:cs="Arial"/>
                        </w:rPr>
                        <m:t>*DRX_cycle</m:t>
                      </m:r>
                    </m:num>
                    <m:den>
                      <m:r>
                        <m:rPr>
                          <m:sty m:val="p"/>
                        </m:rPr>
                        <w:rPr>
                          <w:rFonts w:ascii="Cambria Math" w:hAnsi="Cambria Math" w:cs="Arial"/>
                        </w:rPr>
                        <m:t>1.28</m:t>
                      </m:r>
                    </m:den>
                  </m:f>
                </m:e>
              </m:d>
              <m:r>
                <m:rPr>
                  <m:sty m:val="p"/>
                </m:rPr>
                <w:rPr>
                  <w:rFonts w:ascii="Cambria Math" w:hAnsi="Cambria Math" w:cs="Arial"/>
                </w:rPr>
                <m:t>*1.28</m:t>
              </m:r>
            </m:oMath>
            <w:r w:rsidRPr="0075428D">
              <w:rPr>
                <w:rFonts w:cs="Arial"/>
                <w:iCs/>
              </w:rPr>
              <w:t>.</w:t>
            </w:r>
          </w:p>
          <w:p w14:paraId="4B20D5EF" w14:textId="77777777" w:rsidR="009F2DC6" w:rsidRPr="0082197E" w:rsidRDefault="009F2DC6" w:rsidP="008B25C8">
            <w:pPr>
              <w:pStyle w:val="TAN"/>
              <w:rPr>
                <w:snapToGrid w:val="0"/>
              </w:rPr>
            </w:pPr>
            <w:r>
              <w:rPr>
                <w:snapToGrid w:val="0"/>
              </w:rPr>
              <w:t>Note 4:</w:t>
            </w:r>
            <w:r>
              <w:rPr>
                <w:snapToGrid w:val="0"/>
              </w:rPr>
              <w:tab/>
              <w:t>K1</w:t>
            </w:r>
            <w:r w:rsidRPr="002C65ED">
              <w:rPr>
                <w:snapToGrid w:val="0"/>
              </w:rPr>
              <w:t xml:space="preserve"> = </w:t>
            </w:r>
            <w:r>
              <w:rPr>
                <w:snapToGrid w:val="0"/>
              </w:rPr>
              <w:t>3</w:t>
            </w:r>
            <w:r w:rsidRPr="002C65ED">
              <w:rPr>
                <w:snapToGrid w:val="0"/>
              </w:rPr>
              <w:t xml:space="preserve"> is the measurement relaxation factor applicable for UE fulfilling the </w:t>
            </w:r>
            <w:r w:rsidRPr="00485479">
              <w:rPr>
                <w:i/>
                <w:iCs/>
              </w:rPr>
              <w:t>cellEdgeEvaluation</w:t>
            </w:r>
            <w:r>
              <w:rPr>
                <w:i/>
                <w:iCs/>
              </w:rPr>
              <w:t xml:space="preserve"> </w:t>
            </w:r>
            <w:r w:rsidRPr="002C65ED">
              <w:rPr>
                <w:snapToGrid w:val="0"/>
              </w:rPr>
              <w:t>[2] criterion.</w:t>
            </w:r>
          </w:p>
        </w:tc>
      </w:tr>
    </w:tbl>
    <w:p w14:paraId="5D3D2638" w14:textId="77777777" w:rsidR="009F2DC6" w:rsidRPr="00034E52" w:rsidRDefault="009F2DC6" w:rsidP="009F2DC6">
      <w:pPr>
        <w:rPr>
          <w:lang w:eastAsia="zh-CN"/>
        </w:rPr>
      </w:pPr>
    </w:p>
    <w:p w14:paraId="0DF008BD" w14:textId="77777777" w:rsidR="009F2DC6" w:rsidRDefault="009F2DC6" w:rsidP="009F2DC6">
      <w:pPr>
        <w:pStyle w:val="Heading5"/>
        <w:rPr>
          <w:lang w:val="en-US" w:eastAsia="zh-CN"/>
        </w:rPr>
      </w:pPr>
      <w:r>
        <w:rPr>
          <w:lang w:val="en-US" w:eastAsia="zh-CN"/>
        </w:rPr>
        <w:t>4.2B.2.11.11</w:t>
      </w:r>
      <w:r>
        <w:rPr>
          <w:lang w:val="en-US" w:eastAsia="zh-CN"/>
        </w:rPr>
        <w:tab/>
        <w:t>Measurements for UE fulfilling low mobility and not-at-cell edge criterion</w:t>
      </w:r>
    </w:p>
    <w:p w14:paraId="4C8BFEB2" w14:textId="77777777" w:rsidR="009F2DC6" w:rsidRDefault="009F2DC6" w:rsidP="009F2DC6">
      <w:pPr>
        <w:rPr>
          <w:rFonts w:eastAsiaTheme="minorEastAsia"/>
          <w:lang w:eastAsia="zh-CN"/>
        </w:rPr>
      </w:pPr>
      <w:r w:rsidRPr="00885F53">
        <w:rPr>
          <w:lang w:val="en-US" w:eastAsia="zh-CN"/>
        </w:rPr>
        <w:t xml:space="preserve">This clause contains requirements </w:t>
      </w:r>
      <w:r>
        <w:rPr>
          <w:rFonts w:eastAsiaTheme="minorEastAsia"/>
          <w:lang w:eastAsia="zh-CN"/>
        </w:rPr>
        <w:t xml:space="preserve">for measurements on </w:t>
      </w:r>
      <w:r>
        <w:rPr>
          <w:noProof/>
        </w:rPr>
        <w:t>inter-RAT E-UTRAN cells</w:t>
      </w:r>
      <w:r>
        <w:rPr>
          <w:rFonts w:eastAsiaTheme="minorEastAsia"/>
          <w:lang w:eastAsia="zh-CN"/>
        </w:rPr>
        <w:t xml:space="preserve"> provided that:</w:t>
      </w:r>
    </w:p>
    <w:p w14:paraId="31B6C9CF" w14:textId="77777777" w:rsidR="009F2DC6" w:rsidRPr="00AD77EE" w:rsidRDefault="009F2DC6" w:rsidP="009F2DC6">
      <w:pPr>
        <w:pStyle w:val="B10"/>
        <w:rPr>
          <w:lang w:eastAsia="zh-CN"/>
        </w:rPr>
      </w:pPr>
      <w:r>
        <w:rPr>
          <w:lang w:eastAsia="zh-CN"/>
        </w:rPr>
        <w:t>-</w:t>
      </w:r>
      <w:r>
        <w:rPr>
          <w:lang w:eastAsia="zh-CN"/>
        </w:rPr>
        <w:tab/>
      </w:r>
      <w:r w:rsidRPr="000A4CE3">
        <w:rPr>
          <w:lang w:eastAsia="zh-CN"/>
        </w:rPr>
        <w:t xml:space="preserve">UE is configured with </w:t>
      </w:r>
      <w:r w:rsidRPr="00AD77EE">
        <w:rPr>
          <w:lang w:eastAsia="zh-CN"/>
        </w:rPr>
        <w:t xml:space="preserve">both </w:t>
      </w:r>
      <w:r w:rsidRPr="00485479">
        <w:rPr>
          <w:i/>
          <w:iCs/>
          <w:lang w:eastAsia="zh-CN"/>
        </w:rPr>
        <w:t>lowMobilityEvalutation</w:t>
      </w:r>
      <w:r>
        <w:rPr>
          <w:lang w:eastAsia="zh-CN"/>
        </w:rPr>
        <w:t xml:space="preserve"> [2]</w:t>
      </w:r>
      <w:r w:rsidRPr="00AD77EE">
        <w:rPr>
          <w:lang w:eastAsia="zh-CN"/>
        </w:rPr>
        <w:t xml:space="preserve"> criterion and </w:t>
      </w:r>
      <w:r w:rsidRPr="00485479">
        <w:rPr>
          <w:i/>
          <w:iCs/>
          <w:lang w:eastAsia="zh-CN"/>
        </w:rPr>
        <w:t>cellEdgeEvaluation</w:t>
      </w:r>
      <w:r>
        <w:rPr>
          <w:i/>
          <w:iCs/>
          <w:lang w:eastAsia="zh-CN"/>
        </w:rPr>
        <w:t xml:space="preserve"> </w:t>
      </w:r>
      <w:r>
        <w:rPr>
          <w:lang w:eastAsia="zh-CN"/>
        </w:rPr>
        <w:t>[2]</w:t>
      </w:r>
      <w:r w:rsidRPr="00AD77EE">
        <w:rPr>
          <w:lang w:eastAsia="zh-CN"/>
        </w:rPr>
        <w:t xml:space="preserve"> criterion, </w:t>
      </w:r>
      <w:r>
        <w:rPr>
          <w:lang w:eastAsia="zh-CN"/>
        </w:rPr>
        <w:t xml:space="preserve">and </w:t>
      </w:r>
    </w:p>
    <w:p w14:paraId="4C68C731" w14:textId="77777777" w:rsidR="009F2DC6" w:rsidRDefault="009F2DC6" w:rsidP="009F2DC6">
      <w:pPr>
        <w:pStyle w:val="B10"/>
        <w:rPr>
          <w:lang w:eastAsia="zh-CN"/>
        </w:rPr>
      </w:pPr>
      <w:r>
        <w:rPr>
          <w:lang w:eastAsia="zh-CN"/>
        </w:rPr>
        <w:t>-</w:t>
      </w:r>
      <w:r>
        <w:rPr>
          <w:lang w:eastAsia="zh-CN"/>
        </w:rPr>
        <w:tab/>
      </w:r>
      <w:r w:rsidRPr="00AD77EE">
        <w:rPr>
          <w:lang w:eastAsia="zh-CN"/>
        </w:rPr>
        <w:t xml:space="preserve">has </w:t>
      </w:r>
      <w:r>
        <w:rPr>
          <w:lang w:eastAsia="zh-CN"/>
        </w:rPr>
        <w:t xml:space="preserve">also </w:t>
      </w:r>
      <w:r w:rsidRPr="00AD77EE">
        <w:rPr>
          <w:lang w:eastAsia="zh-CN"/>
        </w:rPr>
        <w:t xml:space="preserve">fulfilled </w:t>
      </w:r>
      <w:r>
        <w:rPr>
          <w:lang w:eastAsia="zh-CN"/>
        </w:rPr>
        <w:t>both criteria, and</w:t>
      </w:r>
    </w:p>
    <w:p w14:paraId="6AAE7718" w14:textId="77777777" w:rsidR="009F2DC6" w:rsidRDefault="009F2DC6" w:rsidP="009F2DC6">
      <w:pPr>
        <w:pStyle w:val="B10"/>
        <w:rPr>
          <w:rFonts w:eastAsiaTheme="minorEastAsia"/>
          <w:lang w:eastAsia="zh-CN"/>
        </w:rPr>
      </w:pPr>
      <w:r>
        <w:rPr>
          <w:rFonts w:eastAsiaTheme="minorEastAsia"/>
          <w:lang w:eastAsia="zh-CN"/>
        </w:rPr>
        <w:t>-</w:t>
      </w:r>
      <w:r>
        <w:rPr>
          <w:rFonts w:eastAsiaTheme="minorEastAsia"/>
          <w:lang w:eastAsia="zh-CN"/>
        </w:rPr>
        <w:tab/>
        <w:t>less than 1 hour have passed since measurements for cell reselection were last performed,</w:t>
      </w:r>
    </w:p>
    <w:p w14:paraId="1ADBC1E4" w14:textId="46AED59C" w:rsidR="000913C2" w:rsidRPr="007E1BBF" w:rsidRDefault="000913C2" w:rsidP="000913C2">
      <w:pPr>
        <w:rPr>
          <w:lang w:eastAsia="zh-CN"/>
        </w:rPr>
      </w:pPr>
      <w:r>
        <w:rPr>
          <w:lang w:eastAsia="zh-CN"/>
        </w:rPr>
        <w:t>In this case th</w:t>
      </w:r>
      <w:r w:rsidRPr="00F15959">
        <w:rPr>
          <w:lang w:eastAsia="zh-CN"/>
        </w:rPr>
        <w:t>e UE</w:t>
      </w:r>
      <w:r>
        <w:rPr>
          <w:lang w:eastAsia="zh-CN"/>
        </w:rPr>
        <w:t xml:space="preserve"> is not </w:t>
      </w:r>
      <w:r w:rsidRPr="000D108A">
        <w:rPr>
          <w:lang w:eastAsia="zh-CN"/>
        </w:rPr>
        <w:t xml:space="preserve">required to meet </w:t>
      </w:r>
      <w:r w:rsidRPr="009449C0">
        <w:rPr>
          <w:rFonts w:cs="v4.2.0"/>
        </w:rPr>
        <w:t>T</w:t>
      </w:r>
      <w:r w:rsidRPr="009449C0">
        <w:rPr>
          <w:rFonts w:cs="v4.2.0"/>
          <w:vertAlign w:val="subscript"/>
        </w:rPr>
        <w:t>detect,EUTRAN</w:t>
      </w:r>
      <w:r>
        <w:rPr>
          <w:vertAlign w:val="subscript"/>
        </w:rPr>
        <w:t>_RedCap</w:t>
      </w:r>
      <w:r w:rsidRPr="00CF075A">
        <w:rPr>
          <w:rFonts w:ascii="Arial" w:hAnsi="Arial"/>
          <w:sz w:val="18"/>
        </w:rPr>
        <w:t xml:space="preserve">, </w:t>
      </w:r>
      <w:r w:rsidRPr="00CF075A">
        <w:rPr>
          <w:rFonts w:cs="v4.2.0"/>
        </w:rPr>
        <w:t>T</w:t>
      </w:r>
      <w:r w:rsidRPr="00CF075A">
        <w:rPr>
          <w:rFonts w:cs="v4.2.0"/>
          <w:vertAlign w:val="subscript"/>
        </w:rPr>
        <w:t>measure,EUTRAN</w:t>
      </w:r>
      <w:r>
        <w:rPr>
          <w:vertAlign w:val="subscript"/>
        </w:rPr>
        <w:t>_RedCap</w:t>
      </w:r>
      <w:r w:rsidRPr="002A0573">
        <w:rPr>
          <w:rFonts w:ascii="Arial" w:hAnsi="Arial"/>
          <w:sz w:val="18"/>
        </w:rPr>
        <w:t xml:space="preserve">  </w:t>
      </w:r>
      <w:r w:rsidRPr="000D108A">
        <w:t xml:space="preserve">and </w:t>
      </w:r>
      <w:r w:rsidRPr="000D108A">
        <w:rPr>
          <w:rFonts w:cs="v4.2.0"/>
        </w:rPr>
        <w:t>T</w:t>
      </w:r>
      <w:r w:rsidRPr="000D108A">
        <w:rPr>
          <w:rFonts w:cs="v4.2.0"/>
          <w:vertAlign w:val="subscript"/>
        </w:rPr>
        <w:t>evaluate,EUTRAN</w:t>
      </w:r>
      <w:r>
        <w:rPr>
          <w:vertAlign w:val="subscript"/>
        </w:rPr>
        <w:t>_RedCap</w:t>
      </w:r>
      <w:r w:rsidRPr="000D108A">
        <w:rPr>
          <w:lang w:eastAsia="zh-CN"/>
        </w:rPr>
        <w:t xml:space="preserve"> as defined in </w:t>
      </w:r>
      <w:r>
        <w:rPr>
          <w:snapToGrid w:val="0"/>
        </w:rPr>
        <w:t>clause</w:t>
      </w:r>
      <w:r w:rsidRPr="000D108A">
        <w:rPr>
          <w:snapToGrid w:val="0"/>
        </w:rPr>
        <w:t xml:space="preserve"> </w:t>
      </w:r>
      <w:r>
        <w:rPr>
          <w:snapToGrid w:val="0"/>
        </w:rPr>
        <w:t>4.2B.</w:t>
      </w:r>
      <w:r w:rsidRPr="000D108A">
        <w:rPr>
          <w:snapToGrid w:val="0"/>
        </w:rPr>
        <w:t>2.5</w:t>
      </w:r>
      <w:r w:rsidRPr="000D108A">
        <w:rPr>
          <w:lang w:eastAsia="zh-CN"/>
        </w:rPr>
        <w:t>.</w:t>
      </w:r>
      <w:r w:rsidRPr="007E1BBF">
        <w:rPr>
          <w:rFonts w:hint="eastAsia"/>
          <w:noProof/>
          <w:lang w:eastAsia="zh-CN"/>
        </w:rPr>
        <w:t>W</w:t>
      </w:r>
      <w:r w:rsidRPr="007E1BBF">
        <w:rPr>
          <w:noProof/>
        </w:rPr>
        <w:t xml:space="preserve">hen </w:t>
      </w:r>
      <w:r w:rsidRPr="007E1BBF">
        <w:rPr>
          <w:lang w:eastAsia="zh-CN"/>
        </w:rPr>
        <w:t xml:space="preserve">Srxlev </w:t>
      </w:r>
      <w:r w:rsidRPr="007E1BBF">
        <w:t>≤</w:t>
      </w:r>
      <w:r w:rsidRPr="007E1BBF">
        <w:rPr>
          <w:lang w:eastAsia="zh-CN"/>
        </w:rPr>
        <w:t xml:space="preserve"> S</w:t>
      </w:r>
      <w:r w:rsidRPr="007E1BBF">
        <w:rPr>
          <w:vertAlign w:val="subscript"/>
          <w:lang w:eastAsia="zh-CN"/>
        </w:rPr>
        <w:t>nonIntraSearchP</w:t>
      </w:r>
      <w:r w:rsidRPr="007E1BBF">
        <w:rPr>
          <w:lang w:eastAsia="zh-CN"/>
        </w:rPr>
        <w:t xml:space="preserve"> or Squal </w:t>
      </w:r>
      <w:r w:rsidRPr="007E1BBF">
        <w:t>≤</w:t>
      </w:r>
      <w:r w:rsidRPr="007E1BBF">
        <w:rPr>
          <w:lang w:eastAsia="zh-CN"/>
        </w:rPr>
        <w:t xml:space="preserve"> S</w:t>
      </w:r>
      <w:r w:rsidRPr="007E1BBF">
        <w:rPr>
          <w:vertAlign w:val="subscript"/>
          <w:lang w:eastAsia="zh-CN"/>
        </w:rPr>
        <w:t>nonIntraSearchQ</w:t>
      </w:r>
      <w:r w:rsidRPr="007E1BBF">
        <w:rPr>
          <w:noProof/>
        </w:rPr>
        <w:t xml:space="preserve">, the UE shall search for, measure and evaluate </w:t>
      </w:r>
      <w:r w:rsidRPr="00D56527">
        <w:rPr>
          <w:noProof/>
        </w:rPr>
        <w:t>inter-RAT E-UTRAN</w:t>
      </w:r>
      <w:r w:rsidRPr="007E1BBF">
        <w:rPr>
          <w:noProof/>
        </w:rPr>
        <w:t xml:space="preserve"> layers of </w:t>
      </w:r>
      <w:r w:rsidRPr="007E1BBF">
        <w:t>higher, equal or lower priori</w:t>
      </w:r>
      <w:r>
        <w:t>v</w:t>
      </w:r>
      <w:r w:rsidRPr="007E1BBF">
        <w:t>ty</w:t>
      </w:r>
      <w:r w:rsidRPr="007E1BBF">
        <w:rPr>
          <w:noProof/>
        </w:rPr>
        <w:t xml:space="preserve"> at least every 1 hour.</w:t>
      </w:r>
    </w:p>
    <w:p w14:paraId="7BAA0BB6" w14:textId="77777777" w:rsidR="000913C2" w:rsidRPr="002A0573" w:rsidRDefault="000913C2" w:rsidP="000913C2">
      <w:pPr>
        <w:rPr>
          <w:lang w:eastAsia="zh-CN"/>
        </w:rPr>
      </w:pPr>
      <w:r w:rsidRPr="007E1BBF">
        <w:rPr>
          <w:noProof/>
        </w:rPr>
        <w:t>When Srxlev &gt; S</w:t>
      </w:r>
      <w:r w:rsidRPr="007E1BBF">
        <w:rPr>
          <w:noProof/>
          <w:vertAlign w:val="subscript"/>
        </w:rPr>
        <w:t>nonIntraSearchP</w:t>
      </w:r>
      <w:r w:rsidRPr="007E1BBF">
        <w:rPr>
          <w:noProof/>
        </w:rPr>
        <w:t xml:space="preserve"> and Squal &gt; S</w:t>
      </w:r>
      <w:r w:rsidRPr="007E1BBF">
        <w:rPr>
          <w:noProof/>
          <w:vertAlign w:val="subscript"/>
        </w:rPr>
        <w:t>nonIntraSearchQ</w:t>
      </w:r>
      <w:r w:rsidRPr="007E1BBF">
        <w:rPr>
          <w:noProof/>
        </w:rPr>
        <w:t xml:space="preserve">, the UE shall search for </w:t>
      </w:r>
      <w:r w:rsidRPr="00D56527">
        <w:rPr>
          <w:noProof/>
        </w:rPr>
        <w:t>inter-RAT E-UTRAN</w:t>
      </w:r>
      <w:r w:rsidRPr="007E1BBF">
        <w:rPr>
          <w:noProof/>
        </w:rPr>
        <w:t xml:space="preserve"> layers of higher priority at least every </w:t>
      </w:r>
      <w:r>
        <w:rPr>
          <w:noProof/>
        </w:rPr>
        <w:t>K2</w:t>
      </w:r>
      <w:r w:rsidRPr="007E1BBF">
        <w:rPr>
          <w:noProof/>
        </w:rPr>
        <w:t>*T</w:t>
      </w:r>
      <w:r w:rsidRPr="007E1BBF">
        <w:rPr>
          <w:noProof/>
          <w:vertAlign w:val="subscript"/>
        </w:rPr>
        <w:t xml:space="preserve">higher_priority_search </w:t>
      </w:r>
      <w:r w:rsidRPr="007E1BBF">
        <w:rPr>
          <w:noProof/>
        </w:rPr>
        <w:t>where T</w:t>
      </w:r>
      <w:r w:rsidRPr="007E1BBF">
        <w:rPr>
          <w:noProof/>
          <w:vertAlign w:val="subscript"/>
        </w:rPr>
        <w:t>higher_priority_search</w:t>
      </w:r>
      <w:r w:rsidRPr="007E1BBF">
        <w:rPr>
          <w:noProof/>
        </w:rPr>
        <w:t xml:space="preserve"> is described in clause 4.2.2.7</w:t>
      </w:r>
      <w:r>
        <w:rPr>
          <w:noProof/>
        </w:rPr>
        <w:t xml:space="preserve"> and K2=60</w:t>
      </w:r>
      <w:r w:rsidRPr="007E1BBF">
        <w:rPr>
          <w:noProof/>
        </w:rPr>
        <w:t>.</w:t>
      </w:r>
    </w:p>
    <w:p w14:paraId="421BBAD2" w14:textId="459034AF" w:rsidR="009F2DC6" w:rsidRDefault="000913C2" w:rsidP="000913C2">
      <w:r>
        <w:rPr>
          <w:rFonts w:hint="eastAsia"/>
          <w:lang w:eastAsia="zh-CN"/>
        </w:rPr>
        <w:t>T</w:t>
      </w:r>
      <w:r>
        <w:rPr>
          <w:lang w:eastAsia="zh-CN"/>
        </w:rPr>
        <w:t xml:space="preserve">he requirments defined in this clause apply regardless of </w:t>
      </w:r>
      <w:r w:rsidRPr="00691C10">
        <w:rPr>
          <w:rFonts w:cs="v4.2.0"/>
        </w:rPr>
        <w:t>eDRX_IDLE</w:t>
      </w:r>
      <w:r>
        <w:rPr>
          <w:rFonts w:cs="v4.2.0"/>
        </w:rPr>
        <w:t xml:space="preserve"> configurations.</w:t>
      </w:r>
    </w:p>
    <w:p w14:paraId="3CDAE1BB" w14:textId="77777777" w:rsidR="009F2DC6" w:rsidRPr="00566B67" w:rsidRDefault="009F2DC6" w:rsidP="009F2DC6">
      <w:pPr>
        <w:rPr>
          <w:rFonts w:cs="v4.2.0"/>
        </w:rPr>
      </w:pPr>
    </w:p>
    <w:p w14:paraId="37376242" w14:textId="77777777" w:rsidR="008B5183" w:rsidRPr="00947A48" w:rsidRDefault="008B5183" w:rsidP="008B5183">
      <w:pPr>
        <w:pStyle w:val="Heading2"/>
      </w:pPr>
      <w:r>
        <w:t>4.2C</w:t>
      </w:r>
      <w:r w:rsidRPr="00947A48">
        <w:tab/>
        <w:t>Cell Re-selection</w:t>
      </w:r>
      <w:r>
        <w:t xml:space="preserve"> for NR UE for Satellite Access</w:t>
      </w:r>
    </w:p>
    <w:p w14:paraId="23A735B2" w14:textId="77777777" w:rsidR="008B5183" w:rsidRPr="00947A48" w:rsidRDefault="008B5183" w:rsidP="00FE097D">
      <w:pPr>
        <w:pStyle w:val="Heading3"/>
        <w:rPr>
          <w:lang w:val="en-US" w:eastAsia="ko-KR"/>
        </w:rPr>
      </w:pPr>
      <w:r>
        <w:rPr>
          <w:lang w:val="en-US" w:eastAsia="ko-KR"/>
        </w:rPr>
        <w:t>4.2C</w:t>
      </w:r>
      <w:r w:rsidRPr="00947A48">
        <w:rPr>
          <w:lang w:val="en-US" w:eastAsia="ko-KR"/>
        </w:rPr>
        <w:t>.1</w:t>
      </w:r>
      <w:r w:rsidRPr="00947A48">
        <w:rPr>
          <w:lang w:val="en-US" w:eastAsia="ko-KR"/>
        </w:rPr>
        <w:tab/>
        <w:t>Introduction</w:t>
      </w:r>
    </w:p>
    <w:p w14:paraId="60C3A0C3" w14:textId="77777777" w:rsidR="008B5183" w:rsidRPr="0099673A" w:rsidRDefault="008B5183" w:rsidP="008B5183">
      <w:pPr>
        <w:rPr>
          <w:rFonts w:cs="v4.2.0"/>
        </w:rPr>
      </w:pPr>
      <w:r w:rsidRPr="0099673A">
        <w:rPr>
          <w:rFonts w:cs="v4.2.0"/>
        </w:rPr>
        <w:t>The cell reselection procedure allows the UE to select a more suitable cell and camp on it.</w:t>
      </w:r>
    </w:p>
    <w:p w14:paraId="4BFB5465" w14:textId="2E3808A9" w:rsidR="008B5183" w:rsidRPr="0099673A" w:rsidRDefault="004C5AE6" w:rsidP="008B5183">
      <w:r w:rsidRPr="0099673A">
        <w:rPr>
          <w:rFonts w:cs="v4.2.0"/>
        </w:rPr>
        <w:t xml:space="preserve">When the UE is in either </w:t>
      </w:r>
      <w:r w:rsidRPr="0099673A">
        <w:rPr>
          <w:rFonts w:cs="v4.2.0"/>
          <w:i/>
        </w:rPr>
        <w:t>Camped</w:t>
      </w:r>
      <w:r w:rsidRPr="0099673A">
        <w:rPr>
          <w:rFonts w:cs="v4.2.0"/>
        </w:rPr>
        <w:t xml:space="preserve"> </w:t>
      </w:r>
      <w:r w:rsidRPr="0099673A">
        <w:rPr>
          <w:rFonts w:cs="v4.2.0"/>
          <w:i/>
        </w:rPr>
        <w:t xml:space="preserve">Normally </w:t>
      </w:r>
      <w:r w:rsidRPr="0099673A">
        <w:rPr>
          <w:rFonts w:cs="v4.2.0"/>
        </w:rPr>
        <w:t xml:space="preserve">state or </w:t>
      </w:r>
      <w:r w:rsidRPr="0099673A">
        <w:rPr>
          <w:rFonts w:cs="v4.2.0"/>
          <w:i/>
          <w:iCs/>
        </w:rPr>
        <w:t>Camped on Any Cell</w:t>
      </w:r>
      <w:r w:rsidRPr="0099673A">
        <w:rPr>
          <w:rFonts w:cs="v4.2.0"/>
        </w:rPr>
        <w:t xml:space="preserve"> state on a cell, the UE shall attempt to detect, synchronise, and monitor intra-frequency</w:t>
      </w:r>
      <w:r>
        <w:rPr>
          <w:rFonts w:cs="v4.2.0"/>
        </w:rPr>
        <w:t xml:space="preserve"> and</w:t>
      </w:r>
      <w:r w:rsidRPr="0099673A">
        <w:rPr>
          <w:rFonts w:cs="v4.2.0"/>
        </w:rPr>
        <w:t xml:space="preserve"> inter-frequency cells indicated by the serving cell. For intra-frequency and inter-frequency cells the serving cell may not provide explicit neighbour list but carrier frequency information and bandwidth information only. UE measurement activity is also controlled by measurement rules defined in </w:t>
      </w:r>
      <w:r w:rsidRPr="009C5807">
        <w:rPr>
          <w:rFonts w:cs="v4.2.0"/>
        </w:rPr>
        <w:t>TS</w:t>
      </w:r>
      <w:r w:rsidRPr="009C5807">
        <w:t> </w:t>
      </w:r>
      <w:r w:rsidRPr="009C5807">
        <w:rPr>
          <w:rFonts w:cs="v4.2.0"/>
        </w:rPr>
        <w:t>38.304</w:t>
      </w:r>
      <w:r w:rsidRPr="009C5807">
        <w:rPr>
          <w:rFonts w:hint="eastAsia"/>
          <w:lang w:val="en-US" w:eastAsia="zh-CN"/>
        </w:rPr>
        <w:t xml:space="preserve"> [1]</w:t>
      </w:r>
      <w:r w:rsidRPr="0099673A">
        <w:rPr>
          <w:rFonts w:cs="v4.2.0"/>
        </w:rPr>
        <w:t>, allowing the UE to limit its measurement activity</w:t>
      </w:r>
      <w:r>
        <w:rPr>
          <w:rFonts w:cs="v4.2.0"/>
        </w:rPr>
        <w:t>.</w:t>
      </w:r>
    </w:p>
    <w:p w14:paraId="03E194B1" w14:textId="77777777" w:rsidR="008B5183" w:rsidRPr="009C5807" w:rsidRDefault="008B5183" w:rsidP="008B5183">
      <w:pPr>
        <w:pStyle w:val="Heading3"/>
        <w:rPr>
          <w:lang w:val="en-US" w:eastAsia="ko-KR"/>
        </w:rPr>
      </w:pPr>
      <w:r>
        <w:rPr>
          <w:lang w:val="en-US" w:eastAsia="ko-KR"/>
        </w:rPr>
        <w:t>4.2C</w:t>
      </w:r>
      <w:r w:rsidRPr="009C5807">
        <w:rPr>
          <w:lang w:val="en-US" w:eastAsia="ko-KR"/>
        </w:rPr>
        <w:t>.2</w:t>
      </w:r>
      <w:r w:rsidRPr="009C5807">
        <w:rPr>
          <w:lang w:val="en-US" w:eastAsia="ko-KR"/>
        </w:rPr>
        <w:tab/>
        <w:t>Requirements</w:t>
      </w:r>
    </w:p>
    <w:p w14:paraId="0011F04B" w14:textId="77777777" w:rsidR="008B5183" w:rsidRPr="009C5807" w:rsidRDefault="008B5183" w:rsidP="008B5183">
      <w:pPr>
        <w:pStyle w:val="Heading4"/>
        <w:rPr>
          <w:lang w:val="en-US" w:eastAsia="zh-CN"/>
        </w:rPr>
      </w:pPr>
      <w:r>
        <w:rPr>
          <w:lang w:val="en-US" w:eastAsia="zh-CN"/>
        </w:rPr>
        <w:t>4.2C</w:t>
      </w:r>
      <w:r w:rsidRPr="009C5807">
        <w:rPr>
          <w:lang w:val="en-US" w:eastAsia="zh-CN"/>
        </w:rPr>
        <w:t>.2.1</w:t>
      </w:r>
      <w:r w:rsidRPr="009C5807">
        <w:rPr>
          <w:lang w:val="en-US" w:eastAsia="zh-CN"/>
        </w:rPr>
        <w:tab/>
        <w:t>UE measurement capability</w:t>
      </w:r>
    </w:p>
    <w:p w14:paraId="4B3C243E" w14:textId="77777777" w:rsidR="008B5183" w:rsidRPr="005735B1" w:rsidRDefault="008B5183" w:rsidP="008B5183">
      <w:r w:rsidRPr="005735B1">
        <w:t>For idle mode cell re-selection purposes,</w:t>
      </w:r>
      <w:r w:rsidRPr="005735B1">
        <w:rPr>
          <w:rFonts w:hint="eastAsia"/>
        </w:rPr>
        <w:t xml:space="preserve"> </w:t>
      </w:r>
      <w:r w:rsidRPr="005735B1">
        <w:t>the UE shall be capable of monitoring at least:</w:t>
      </w:r>
    </w:p>
    <w:p w14:paraId="5D4744CD" w14:textId="77777777" w:rsidR="008B5183" w:rsidRPr="009C5807" w:rsidRDefault="008B5183" w:rsidP="008B5183">
      <w:pPr>
        <w:pStyle w:val="B10"/>
      </w:pPr>
      <w:r w:rsidRPr="009C5807">
        <w:rPr>
          <w:rFonts w:cs="v4.2.0"/>
        </w:rPr>
        <w:t>-</w:t>
      </w:r>
      <w:r w:rsidRPr="009C5807">
        <w:rPr>
          <w:rFonts w:cs="v4.2.0"/>
        </w:rPr>
        <w:tab/>
        <w:t>Intra-frequency carrier, and</w:t>
      </w:r>
    </w:p>
    <w:p w14:paraId="122751A1" w14:textId="414C3EB2" w:rsidR="008B5183" w:rsidRDefault="004C5AE6" w:rsidP="008B5183">
      <w:pPr>
        <w:pStyle w:val="B10"/>
      </w:pPr>
      <w:r>
        <w:t>-</w:t>
      </w:r>
      <w:r>
        <w:tab/>
        <w:t xml:space="preserve">Depending on UE capability, 7 </w:t>
      </w:r>
      <w:r w:rsidRPr="009C5807">
        <w:t>NR inter-frequency carriers, and</w:t>
      </w:r>
    </w:p>
    <w:p w14:paraId="09734936" w14:textId="77777777" w:rsidR="008B5183" w:rsidRDefault="008B5183" w:rsidP="008B5183"/>
    <w:p w14:paraId="26CC472E" w14:textId="77777777" w:rsidR="008B5183" w:rsidRDefault="008B5183" w:rsidP="008B5183">
      <w:pPr>
        <w:pStyle w:val="Heading4"/>
        <w:rPr>
          <w:lang w:val="en-US"/>
        </w:rPr>
      </w:pPr>
      <w:r>
        <w:rPr>
          <w:lang w:val="en-US"/>
        </w:rPr>
        <w:t>4.2C.2.2</w:t>
      </w:r>
      <w:r>
        <w:rPr>
          <w:lang w:val="en-US"/>
        </w:rPr>
        <w:tab/>
        <w:t>Measurement and evaluation of serving cell</w:t>
      </w:r>
    </w:p>
    <w:p w14:paraId="05D369C9" w14:textId="250E0503" w:rsidR="008B5183" w:rsidRDefault="004C5AE6" w:rsidP="008B5183">
      <w:pPr>
        <w:rPr>
          <w:rFonts w:cs="v4.2.0"/>
        </w:rPr>
      </w:pPr>
      <w:r>
        <w:rPr>
          <w:rFonts w:cs="v4.2.0"/>
        </w:rPr>
        <w:t xml:space="preserve">The UE shall measure the </w:t>
      </w:r>
      <w:r>
        <w:rPr>
          <w:rFonts w:cs="v4.2.0"/>
          <w:lang w:eastAsia="zh-CN"/>
        </w:rPr>
        <w:t>SS-</w:t>
      </w:r>
      <w:r>
        <w:rPr>
          <w:rFonts w:cs="v4.2.0"/>
        </w:rPr>
        <w:t xml:space="preserve">RSRP and </w:t>
      </w:r>
      <w:r>
        <w:rPr>
          <w:rFonts w:cs="v4.2.0"/>
          <w:lang w:eastAsia="zh-CN"/>
        </w:rPr>
        <w:t>SS-</w:t>
      </w:r>
      <w:r>
        <w:rPr>
          <w:rFonts w:cs="v4.2.0"/>
        </w:rPr>
        <w:t xml:space="preserve">RSRQ level of the serving cell and evaluate the cell selection criterion S defined in </w:t>
      </w:r>
      <w:r w:rsidRPr="009C5807">
        <w:rPr>
          <w:rFonts w:cs="v4.2.0"/>
        </w:rPr>
        <w:t>TS</w:t>
      </w:r>
      <w:r w:rsidRPr="009C5807">
        <w:t> </w:t>
      </w:r>
      <w:r w:rsidRPr="009C5807">
        <w:rPr>
          <w:rFonts w:cs="v4.2.0"/>
        </w:rPr>
        <w:t>38.304</w:t>
      </w:r>
      <w:r w:rsidRPr="009C5807">
        <w:rPr>
          <w:rFonts w:hint="eastAsia"/>
          <w:lang w:val="en-US" w:eastAsia="zh-CN"/>
        </w:rPr>
        <w:t xml:space="preserve"> [1]</w:t>
      </w:r>
      <w:r>
        <w:rPr>
          <w:rFonts w:cs="v4.2.0"/>
        </w:rPr>
        <w:t xml:space="preserve"> for the serving cell at least once every M1*N1 DRX cycle; where:</w:t>
      </w:r>
    </w:p>
    <w:p w14:paraId="2DACB1E2" w14:textId="62989F97" w:rsidR="001B50F0" w:rsidRDefault="001B50F0" w:rsidP="001B50F0">
      <w:pPr>
        <w:pStyle w:val="B10"/>
      </w:pPr>
      <w:r>
        <w:t>-</w:t>
      </w:r>
      <w:r>
        <w:tab/>
        <w:t>M1=2 if SMTC periodicity (T</w:t>
      </w:r>
      <w:r>
        <w:rPr>
          <w:vertAlign w:val="subscript"/>
        </w:rPr>
        <w:t>SMTC</w:t>
      </w:r>
      <w:r>
        <w:t xml:space="preserve">) &gt; 20 ms and DRX cycle </w:t>
      </w:r>
      <w:r>
        <w:rPr>
          <w:rFonts w:hint="eastAsia"/>
        </w:rPr>
        <w:t>≤</w:t>
      </w:r>
      <w:r>
        <w:t xml:space="preserve"> 0.64 second</w:t>
      </w:r>
      <w:r w:rsidR="00E37BBB" w:rsidRPr="00E37BBB">
        <w:t xml:space="preserve"> </w:t>
      </w:r>
      <w:r w:rsidR="00E37BBB">
        <w:t xml:space="preserve">and </w:t>
      </w:r>
      <w:r w:rsidR="00E37BBB" w:rsidRPr="000D3FA4">
        <w:t>N</w:t>
      </w:r>
      <w:r w:rsidR="00E37BBB" w:rsidRPr="000D3FA4">
        <w:rPr>
          <w:vertAlign w:val="subscript"/>
        </w:rPr>
        <w:t>SMTC</w:t>
      </w:r>
      <w:r w:rsidR="00E37BBB" w:rsidRPr="000D3FA4">
        <w:t xml:space="preserve"> =1</w:t>
      </w:r>
      <w:r>
        <w:t xml:space="preserve">, </w:t>
      </w:r>
      <w:r w:rsidRPr="00CC2AE0">
        <w:t>upon one SMTC</w:t>
      </w:r>
      <w:r w:rsidRPr="0028350C">
        <w:t xml:space="preserve"> </w:t>
      </w:r>
      <w:r>
        <w:t>configured at the UE</w:t>
      </w:r>
      <w:r>
        <w:rPr>
          <w:rFonts w:hint="eastAsia"/>
          <w:lang w:eastAsia="zh-CN"/>
        </w:rPr>
        <w:t>,</w:t>
      </w:r>
    </w:p>
    <w:p w14:paraId="1A8DEEBB" w14:textId="1510DCDE" w:rsidR="008B5183" w:rsidRDefault="001B50F0" w:rsidP="001B50F0">
      <w:pPr>
        <w:pStyle w:val="B10"/>
      </w:pPr>
      <w:r>
        <w:t>-</w:t>
      </w:r>
      <w:r>
        <w:tab/>
        <w:t>M1=2.5 if SMTC periodicity (T</w:t>
      </w:r>
      <w:r>
        <w:rPr>
          <w:vertAlign w:val="subscript"/>
        </w:rPr>
        <w:t>SMTC</w:t>
      </w:r>
      <w:r>
        <w:t xml:space="preserve">) &gt; 20 ms and DRX cycle </w:t>
      </w:r>
      <w:r>
        <w:rPr>
          <w:rFonts w:hint="eastAsia"/>
        </w:rPr>
        <w:t>≤</w:t>
      </w:r>
      <w:r>
        <w:t xml:space="preserve"> 0.64 second</w:t>
      </w:r>
      <w:r w:rsidR="00E37BBB" w:rsidRPr="000D3FA4">
        <w:t>and 1&lt;N</w:t>
      </w:r>
      <w:r w:rsidR="00E37BBB" w:rsidRPr="000D3FA4">
        <w:rPr>
          <w:vertAlign w:val="subscript"/>
        </w:rPr>
        <w:t xml:space="preserve">SMTC </w:t>
      </w:r>
      <w:r w:rsidR="00E37BBB" w:rsidRPr="000D3FA4">
        <w:sym w:font="Symbol" w:char="F0A3"/>
      </w:r>
      <w:r w:rsidR="00E37BBB" w:rsidRPr="000D3FA4">
        <w:t xml:space="preserve"> 4</w:t>
      </w:r>
      <w:r w:rsidR="00E37BBB">
        <w:t>,</w:t>
      </w:r>
    </w:p>
    <w:p w14:paraId="520C43F0" w14:textId="1CA07E86" w:rsidR="008B5183" w:rsidRDefault="008B5183" w:rsidP="008B5183">
      <w:pPr>
        <w:pStyle w:val="B10"/>
      </w:pPr>
      <w:r>
        <w:t>-</w:t>
      </w:r>
      <w:r>
        <w:tab/>
        <w:t>otherwise M1=1.</w:t>
      </w:r>
    </w:p>
    <w:p w14:paraId="54229E0A" w14:textId="4F15CAC9" w:rsidR="00E37BBB" w:rsidRDefault="00E37BBB" w:rsidP="00E37BBB">
      <w:r w:rsidRPr="0096295A">
        <w:t xml:space="preserve">Where, </w:t>
      </w:r>
      <w:r w:rsidRPr="000D3FA4">
        <w:t>N</w:t>
      </w:r>
      <w:r w:rsidRPr="000D3FA4">
        <w:rPr>
          <w:vertAlign w:val="subscript"/>
        </w:rPr>
        <w:t>SMTC</w:t>
      </w:r>
      <w:r w:rsidRPr="0096295A">
        <w:t xml:space="preserve"> is the number of SMTCs configured by SAN.</w:t>
      </w:r>
    </w:p>
    <w:p w14:paraId="3B973D62" w14:textId="77777777" w:rsidR="008B5183" w:rsidRDefault="008B5183" w:rsidP="008B5183">
      <w:pPr>
        <w:rPr>
          <w:rFonts w:cs="v4.2.0"/>
        </w:rPr>
      </w:pPr>
      <w:r>
        <w:rPr>
          <w:rFonts w:cs="v4.2.0"/>
        </w:rPr>
        <w:t xml:space="preserve">The UE shall filter the </w:t>
      </w:r>
      <w:r>
        <w:rPr>
          <w:rFonts w:cs="v4.2.0"/>
          <w:lang w:eastAsia="zh-CN"/>
        </w:rPr>
        <w:t>SS-</w:t>
      </w:r>
      <w:r>
        <w:rPr>
          <w:rFonts w:cs="v4.2.0"/>
        </w:rPr>
        <w:t xml:space="preserve">RSRP and </w:t>
      </w:r>
      <w:r>
        <w:rPr>
          <w:rFonts w:cs="v4.2.0"/>
          <w:lang w:eastAsia="zh-CN"/>
        </w:rPr>
        <w:t>SS-</w:t>
      </w:r>
      <w:r>
        <w:rPr>
          <w:rFonts w:cs="v4.2.0"/>
        </w:rPr>
        <w:t>RSRQ measurements of the serving cell using at least 2 measurements. Within the set of measurements used for the filtering, at least two measurements shall be spaced by, at least DRX cycle/2.</w:t>
      </w:r>
    </w:p>
    <w:p w14:paraId="341AA15C" w14:textId="4CBD1012" w:rsidR="008B5183" w:rsidRDefault="006D361E" w:rsidP="008B5183">
      <w:pPr>
        <w:rPr>
          <w:rFonts w:cs="v4.2.0"/>
        </w:rPr>
      </w:pPr>
      <w:r>
        <w:rPr>
          <w:rFonts w:cs="v4.2.0"/>
        </w:rPr>
        <w:t>If the UE has evaluated according to Table</w:t>
      </w:r>
      <w:r>
        <w:rPr>
          <w:rFonts w:cs="v4.2.0"/>
          <w:lang w:eastAsia="zh-CN"/>
        </w:rPr>
        <w:t xml:space="preserve"> </w:t>
      </w:r>
      <w:r>
        <w:rPr>
          <w:rFonts w:cs="v4.2.0"/>
          <w:snapToGrid w:val="0"/>
        </w:rPr>
        <w:t>4.2C.2.2-1</w:t>
      </w:r>
      <w:r>
        <w:rPr>
          <w:rFonts w:cs="v4.2.0"/>
        </w:rPr>
        <w:t xml:space="preserve"> in N</w:t>
      </w:r>
      <w:r>
        <w:rPr>
          <w:rFonts w:cs="v4.2.0"/>
          <w:vertAlign w:val="subscript"/>
        </w:rPr>
        <w:t>serv</w:t>
      </w:r>
      <w:r>
        <w:rPr>
          <w:rFonts w:cs="v4.2.0"/>
        </w:rPr>
        <w:t xml:space="preserve"> consecutive DRX cycles that the serving cell does not fulfil the cell selection criterion S</w:t>
      </w:r>
      <w:r w:rsidRPr="00CB0021">
        <w:rPr>
          <w:rFonts w:cs="v4.2.0"/>
        </w:rPr>
        <w:t xml:space="preserve">, </w:t>
      </w:r>
      <w:r>
        <w:rPr>
          <w:rFonts w:cs="v4.2.0"/>
        </w:rPr>
        <w:t xml:space="preserve">the UE shall initiate the measurements of all neighbour cells indicated by the serving cell, regardless of the measurement rules currently limiting UE measurement activities. </w:t>
      </w:r>
      <w:r w:rsidRPr="00AA000F">
        <w:rPr>
          <w:rFonts w:cs="v4.2.0"/>
        </w:rPr>
        <w:t>Additionally, if the UE is configured with ‘</w:t>
      </w:r>
      <w:r w:rsidRPr="00AA000F">
        <w:rPr>
          <w:rFonts w:cs="v4.2.0"/>
          <w:i/>
          <w:iCs/>
        </w:rPr>
        <w:t>t-service</w:t>
      </w:r>
      <w:r w:rsidRPr="00AA000F">
        <w:rPr>
          <w:rFonts w:cs="v4.2.0"/>
        </w:rPr>
        <w:t>’ [2], the UE should start measurements of the neighbour cells indicated by the serving cell before ‘</w:t>
      </w:r>
      <w:r w:rsidRPr="00AA000F">
        <w:rPr>
          <w:rFonts w:cs="v4.2.0"/>
          <w:i/>
          <w:iCs/>
        </w:rPr>
        <w:t>t-service</w:t>
      </w:r>
      <w:r w:rsidRPr="00AA000F">
        <w:rPr>
          <w:rFonts w:cs="v4.2.0"/>
        </w:rPr>
        <w:t>’ is reached according to the requirements provided in clause 4.2C.2.3 and 4.2C.2.4.</w:t>
      </w:r>
    </w:p>
    <w:p w14:paraId="7CAD0835" w14:textId="19BBEDD8" w:rsidR="008B5183" w:rsidRDefault="004C5AE6" w:rsidP="008B5183">
      <w:pPr>
        <w:rPr>
          <w:rFonts w:cs="v4.2.0"/>
        </w:rPr>
      </w:pPr>
      <w:r>
        <w:rPr>
          <w:rFonts w:cs="v4.2.0"/>
        </w:rPr>
        <w:t>If the UE is not configured with</w:t>
      </w:r>
      <w:r w:rsidRPr="00DE4958">
        <w:rPr>
          <w:rFonts w:cs="v4.2.0"/>
          <w:i/>
          <w:iCs/>
        </w:rPr>
        <w:t>‘t-Service</w:t>
      </w:r>
      <w:r>
        <w:rPr>
          <w:rFonts w:cs="v4.2.0"/>
        </w:rPr>
        <w:t>’ [2] in the serving cell</w:t>
      </w:r>
      <w:r w:rsidRPr="00E941D7">
        <w:rPr>
          <w:rFonts w:cs="v4.2.0"/>
        </w:rPr>
        <w:t xml:space="preserve"> </w:t>
      </w:r>
      <w:r>
        <w:rPr>
          <w:rFonts w:cs="v4.2.0" w:hint="eastAsia"/>
          <w:lang w:eastAsia="zh-CN"/>
        </w:rPr>
        <w:t>and</w:t>
      </w:r>
      <w:r>
        <w:rPr>
          <w:rFonts w:cs="v4.2.0"/>
        </w:rPr>
        <w:t xml:space="preserve"> i</w:t>
      </w:r>
      <w:r w:rsidRPr="00947A48">
        <w:rPr>
          <w:rFonts w:cs="v4.2.0"/>
        </w:rPr>
        <w:t xml:space="preserve">f </w:t>
      </w:r>
      <w:r>
        <w:rPr>
          <w:rFonts w:cs="v4.2.0"/>
        </w:rPr>
        <w:t xml:space="preserve">the UE in RRC_IDLE has not found any new suitable cell based on searches and measurements using the intra-frequency, inter-frequency and inter-RAT information indicated in the system information for 10 s, the UE shall initiate cell selection procedures for the selected PLMN as defined in </w:t>
      </w:r>
      <w:r w:rsidRPr="009C5807">
        <w:rPr>
          <w:rFonts w:cs="v4.2.0"/>
        </w:rPr>
        <w:t>TS</w:t>
      </w:r>
      <w:r w:rsidRPr="009C5807">
        <w:t> </w:t>
      </w:r>
      <w:r w:rsidRPr="009C5807">
        <w:rPr>
          <w:rFonts w:cs="v4.2.0"/>
        </w:rPr>
        <w:t>38.304</w:t>
      </w:r>
      <w:r w:rsidRPr="009C5807">
        <w:rPr>
          <w:rFonts w:hint="eastAsia"/>
          <w:lang w:val="en-US" w:eastAsia="zh-CN"/>
        </w:rPr>
        <w:t xml:space="preserve"> [1]</w:t>
      </w:r>
      <w:r>
        <w:rPr>
          <w:rFonts w:cs="v4.2.0"/>
        </w:rPr>
        <w:t>.</w:t>
      </w:r>
    </w:p>
    <w:p w14:paraId="1520C587" w14:textId="77777777" w:rsidR="008B5183" w:rsidRPr="00B42A38" w:rsidRDefault="008B5183" w:rsidP="008B5183">
      <w:pPr>
        <w:spacing w:line="276" w:lineRule="auto"/>
        <w:rPr>
          <w:szCs w:val="24"/>
          <w:lang w:eastAsia="zh-CN"/>
        </w:rPr>
      </w:pPr>
      <w:r w:rsidRPr="00B42A38">
        <w:rPr>
          <w:lang w:val="en-US"/>
        </w:rPr>
        <w:t>If the UE is configured with ‘</w:t>
      </w:r>
      <w:r w:rsidRPr="00B42A38">
        <w:rPr>
          <w:i/>
          <w:iCs/>
          <w:lang w:val="en-US"/>
        </w:rPr>
        <w:t>t-Service</w:t>
      </w:r>
      <w:r w:rsidRPr="00B42A38">
        <w:rPr>
          <w:lang w:val="en-US"/>
        </w:rPr>
        <w:t>’ in the serving cell then the UE shall initiate cell selection procedures for the selected PLMN as defined in TS 38.304 when any of the following conditions is fulfilled:</w:t>
      </w:r>
    </w:p>
    <w:p w14:paraId="254691A7" w14:textId="77777777" w:rsidR="008B5183" w:rsidRPr="00B42A38" w:rsidRDefault="008B5183" w:rsidP="008B5183">
      <w:pPr>
        <w:pStyle w:val="B10"/>
        <w:rPr>
          <w:szCs w:val="24"/>
          <w:lang w:eastAsia="zh-CN"/>
        </w:rPr>
      </w:pPr>
      <w:r>
        <w:rPr>
          <w:lang w:val="en-US"/>
        </w:rPr>
        <w:t>-</w:t>
      </w:r>
      <w:r>
        <w:rPr>
          <w:lang w:val="en-US"/>
        </w:rPr>
        <w:tab/>
      </w:r>
      <w:r w:rsidRPr="00B42A38">
        <w:rPr>
          <w:lang w:val="en-US"/>
        </w:rPr>
        <w:t>If the UE in RRC_IDLE has not found any new suitable cell based on searches and measurements using the intra-frequency, inter-frequency and inter-RAT information indicated in the system information within 10 s since time instance T1 provided that ‘</w:t>
      </w:r>
      <w:r w:rsidRPr="00B42A38">
        <w:rPr>
          <w:i/>
          <w:iCs/>
          <w:lang w:val="en-US"/>
        </w:rPr>
        <w:t>t-Service</w:t>
      </w:r>
      <w:r w:rsidRPr="00B42A38">
        <w:rPr>
          <w:lang w:val="en-US"/>
        </w:rPr>
        <w:t>’ &gt; T1 or</w:t>
      </w:r>
    </w:p>
    <w:p w14:paraId="1F4E83B2" w14:textId="77777777" w:rsidR="008B5183" w:rsidRPr="00B42A38" w:rsidRDefault="008B5183" w:rsidP="008B5183">
      <w:pPr>
        <w:pStyle w:val="B10"/>
        <w:rPr>
          <w:szCs w:val="24"/>
          <w:lang w:eastAsia="zh-CN"/>
        </w:rPr>
      </w:pPr>
      <w:r>
        <w:rPr>
          <w:lang w:val="en-US"/>
        </w:rPr>
        <w:t>-</w:t>
      </w:r>
      <w:r>
        <w:rPr>
          <w:lang w:val="en-US"/>
        </w:rPr>
        <w:tab/>
      </w:r>
      <w:r w:rsidRPr="00B42A38">
        <w:rPr>
          <w:lang w:val="en-US"/>
        </w:rPr>
        <w:t>If the UE in RRC_IDLE has not found any new suitable cell based on searches and measurements using the intra-frequency, inter-frequency and inter-RAT information indicated in the system information within 10 s since the time instance ‘</w:t>
      </w:r>
      <w:r w:rsidRPr="00B42A38">
        <w:rPr>
          <w:i/>
          <w:iCs/>
          <w:lang w:val="en-US"/>
        </w:rPr>
        <w:t>t-Service</w:t>
      </w:r>
      <w:r w:rsidRPr="00B42A38">
        <w:rPr>
          <w:lang w:val="en-US"/>
        </w:rPr>
        <w:t>’.</w:t>
      </w:r>
    </w:p>
    <w:p w14:paraId="221EF6D8" w14:textId="77777777" w:rsidR="008B5183" w:rsidRPr="00B42A38" w:rsidRDefault="008B5183" w:rsidP="008B5183">
      <w:pPr>
        <w:pStyle w:val="B10"/>
        <w:rPr>
          <w:szCs w:val="24"/>
          <w:lang w:eastAsia="zh-CN"/>
        </w:rPr>
      </w:pPr>
      <w:r>
        <w:rPr>
          <w:szCs w:val="24"/>
          <w:lang w:eastAsia="zh-CN"/>
        </w:rPr>
        <w:t>-</w:t>
      </w:r>
      <w:r>
        <w:rPr>
          <w:szCs w:val="24"/>
          <w:lang w:eastAsia="zh-CN"/>
        </w:rPr>
        <w:tab/>
      </w:r>
      <w:r w:rsidRPr="00B42A38">
        <w:rPr>
          <w:szCs w:val="24"/>
          <w:lang w:eastAsia="zh-CN"/>
        </w:rPr>
        <w:t>Where, T1 is the time instance in seconds when the UE has determined that the serving cell does not fulfil the cell selection criterion S.</w:t>
      </w:r>
    </w:p>
    <w:p w14:paraId="18F07245" w14:textId="77777777" w:rsidR="008B5183" w:rsidRDefault="008B5183" w:rsidP="008B5183">
      <w:pPr>
        <w:pStyle w:val="TH"/>
        <w:rPr>
          <w:vertAlign w:val="subscript"/>
        </w:rPr>
      </w:pPr>
      <w:r>
        <w:t>Table 4.2C.2.2-1: N</w:t>
      </w:r>
      <w:r>
        <w:rPr>
          <w:vertAlign w:val="subscript"/>
        </w:rPr>
        <w:t>serv</w:t>
      </w:r>
    </w:p>
    <w:tbl>
      <w:tblPr>
        <w:tblW w:w="37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6"/>
        <w:gridCol w:w="2191"/>
        <w:gridCol w:w="2918"/>
      </w:tblGrid>
      <w:tr w:rsidR="008B5183" w14:paraId="2E6425B5" w14:textId="77777777" w:rsidTr="001313A6">
        <w:trPr>
          <w:cantSplit/>
          <w:trHeight w:val="207"/>
          <w:jc w:val="center"/>
        </w:trPr>
        <w:tc>
          <w:tcPr>
            <w:tcW w:w="1498" w:type="pct"/>
            <w:tcBorders>
              <w:top w:val="single" w:sz="4" w:space="0" w:color="auto"/>
              <w:left w:val="single" w:sz="4" w:space="0" w:color="auto"/>
              <w:bottom w:val="nil"/>
              <w:right w:val="single" w:sz="4" w:space="0" w:color="auto"/>
            </w:tcBorders>
            <w:hideMark/>
          </w:tcPr>
          <w:p w14:paraId="5B5C8493" w14:textId="77777777" w:rsidR="008B5183" w:rsidRDefault="008B5183" w:rsidP="001313A6">
            <w:pPr>
              <w:keepNext/>
              <w:keepLines/>
              <w:spacing w:after="0"/>
              <w:jc w:val="center"/>
              <w:rPr>
                <w:rFonts w:ascii="Arial" w:hAnsi="Arial"/>
                <w:b/>
                <w:sz w:val="18"/>
              </w:rPr>
            </w:pPr>
            <w:r>
              <w:rPr>
                <w:rFonts w:ascii="Arial" w:hAnsi="Arial"/>
                <w:b/>
                <w:sz w:val="18"/>
              </w:rPr>
              <w:t>DRX cycle length [s]</w:t>
            </w:r>
          </w:p>
        </w:tc>
        <w:tc>
          <w:tcPr>
            <w:tcW w:w="1502" w:type="pct"/>
            <w:tcBorders>
              <w:top w:val="single" w:sz="4" w:space="0" w:color="auto"/>
              <w:left w:val="single" w:sz="4" w:space="0" w:color="auto"/>
              <w:bottom w:val="single" w:sz="4" w:space="0" w:color="auto"/>
              <w:right w:val="single" w:sz="4" w:space="0" w:color="auto"/>
            </w:tcBorders>
            <w:hideMark/>
          </w:tcPr>
          <w:p w14:paraId="0756EE7F" w14:textId="77777777" w:rsidR="008B5183" w:rsidRDefault="008B5183" w:rsidP="001313A6">
            <w:pPr>
              <w:keepNext/>
              <w:keepLines/>
              <w:spacing w:after="0"/>
              <w:jc w:val="center"/>
              <w:rPr>
                <w:rFonts w:ascii="Arial" w:hAnsi="Arial"/>
                <w:b/>
                <w:sz w:val="18"/>
              </w:rPr>
            </w:pPr>
            <w:r>
              <w:rPr>
                <w:rFonts w:ascii="Arial" w:hAnsi="Arial"/>
                <w:b/>
                <w:sz w:val="18"/>
              </w:rPr>
              <w:t>Scaling Factor (N1)</w:t>
            </w:r>
          </w:p>
        </w:tc>
        <w:tc>
          <w:tcPr>
            <w:tcW w:w="2000" w:type="pct"/>
            <w:tcBorders>
              <w:top w:val="single" w:sz="4" w:space="0" w:color="auto"/>
              <w:left w:val="single" w:sz="4" w:space="0" w:color="auto"/>
              <w:bottom w:val="nil"/>
              <w:right w:val="single" w:sz="4" w:space="0" w:color="auto"/>
            </w:tcBorders>
            <w:hideMark/>
          </w:tcPr>
          <w:p w14:paraId="2D08319D" w14:textId="77777777" w:rsidR="008B5183" w:rsidRDefault="008B5183" w:rsidP="001313A6">
            <w:pPr>
              <w:keepNext/>
              <w:keepLines/>
              <w:spacing w:after="0"/>
              <w:jc w:val="center"/>
              <w:rPr>
                <w:rFonts w:ascii="Arial" w:hAnsi="Arial"/>
                <w:b/>
                <w:sz w:val="18"/>
              </w:rPr>
            </w:pPr>
            <w:r>
              <w:rPr>
                <w:rFonts w:ascii="Arial" w:hAnsi="Arial"/>
                <w:b/>
                <w:sz w:val="18"/>
              </w:rPr>
              <w:t>N</w:t>
            </w:r>
            <w:r>
              <w:rPr>
                <w:rFonts w:ascii="Arial" w:hAnsi="Arial"/>
                <w:b/>
                <w:sz w:val="18"/>
                <w:vertAlign w:val="subscript"/>
              </w:rPr>
              <w:t xml:space="preserve">serv </w:t>
            </w:r>
            <w:r>
              <w:rPr>
                <w:rFonts w:ascii="Arial" w:hAnsi="Arial"/>
                <w:b/>
                <w:sz w:val="18"/>
              </w:rPr>
              <w:t>[number of DRX cycles]</w:t>
            </w:r>
          </w:p>
        </w:tc>
      </w:tr>
      <w:tr w:rsidR="008B5183" w14:paraId="28172F5B" w14:textId="77777777" w:rsidTr="001313A6">
        <w:trPr>
          <w:cantSplit/>
          <w:trHeight w:val="207"/>
          <w:jc w:val="center"/>
        </w:trPr>
        <w:tc>
          <w:tcPr>
            <w:tcW w:w="1498" w:type="pct"/>
            <w:tcBorders>
              <w:top w:val="nil"/>
              <w:left w:val="single" w:sz="4" w:space="0" w:color="auto"/>
              <w:bottom w:val="single" w:sz="4" w:space="0" w:color="auto"/>
              <w:right w:val="single" w:sz="4" w:space="0" w:color="auto"/>
            </w:tcBorders>
          </w:tcPr>
          <w:p w14:paraId="53076A24" w14:textId="77777777" w:rsidR="008B5183" w:rsidRDefault="008B5183" w:rsidP="001313A6">
            <w:pPr>
              <w:keepNext/>
              <w:keepLines/>
              <w:spacing w:after="0"/>
              <w:jc w:val="center"/>
              <w:rPr>
                <w:rFonts w:ascii="Arial" w:hAnsi="Arial"/>
                <w:b/>
                <w:sz w:val="18"/>
              </w:rPr>
            </w:pPr>
          </w:p>
        </w:tc>
        <w:tc>
          <w:tcPr>
            <w:tcW w:w="1502" w:type="pct"/>
            <w:tcBorders>
              <w:top w:val="single" w:sz="4" w:space="0" w:color="auto"/>
              <w:left w:val="single" w:sz="4" w:space="0" w:color="auto"/>
              <w:bottom w:val="single" w:sz="4" w:space="0" w:color="auto"/>
              <w:right w:val="single" w:sz="4" w:space="0" w:color="auto"/>
            </w:tcBorders>
            <w:hideMark/>
          </w:tcPr>
          <w:p w14:paraId="5E7FDBAA" w14:textId="77777777" w:rsidR="008B5183" w:rsidRDefault="008B5183" w:rsidP="001313A6">
            <w:pPr>
              <w:keepNext/>
              <w:keepLines/>
              <w:spacing w:after="0"/>
              <w:jc w:val="center"/>
              <w:rPr>
                <w:rFonts w:ascii="Arial" w:hAnsi="Arial"/>
                <w:b/>
                <w:sz w:val="18"/>
                <w:vertAlign w:val="superscript"/>
              </w:rPr>
            </w:pPr>
            <w:r>
              <w:rPr>
                <w:rFonts w:ascii="Arial" w:hAnsi="Arial"/>
                <w:b/>
                <w:sz w:val="18"/>
              </w:rPr>
              <w:t>FR1</w:t>
            </w:r>
          </w:p>
        </w:tc>
        <w:tc>
          <w:tcPr>
            <w:tcW w:w="2000" w:type="pct"/>
            <w:tcBorders>
              <w:top w:val="nil"/>
              <w:left w:val="single" w:sz="4" w:space="0" w:color="auto"/>
              <w:bottom w:val="single" w:sz="4" w:space="0" w:color="auto"/>
              <w:right w:val="single" w:sz="4" w:space="0" w:color="auto"/>
            </w:tcBorders>
          </w:tcPr>
          <w:p w14:paraId="6A1AFADF" w14:textId="77777777" w:rsidR="008B5183" w:rsidRDefault="008B5183" w:rsidP="001313A6">
            <w:pPr>
              <w:keepNext/>
              <w:keepLines/>
              <w:spacing w:after="0"/>
              <w:jc w:val="center"/>
              <w:rPr>
                <w:rFonts w:ascii="Arial" w:hAnsi="Arial"/>
                <w:b/>
                <w:sz w:val="18"/>
              </w:rPr>
            </w:pPr>
          </w:p>
        </w:tc>
      </w:tr>
      <w:tr w:rsidR="008B5183" w14:paraId="4C4FAB61" w14:textId="77777777" w:rsidTr="001313A6">
        <w:trPr>
          <w:cantSplit/>
          <w:jc w:val="center"/>
        </w:trPr>
        <w:tc>
          <w:tcPr>
            <w:tcW w:w="1498" w:type="pct"/>
            <w:tcBorders>
              <w:top w:val="single" w:sz="4" w:space="0" w:color="auto"/>
              <w:left w:val="single" w:sz="4" w:space="0" w:color="auto"/>
              <w:bottom w:val="single" w:sz="4" w:space="0" w:color="auto"/>
              <w:right w:val="single" w:sz="4" w:space="0" w:color="auto"/>
            </w:tcBorders>
            <w:hideMark/>
          </w:tcPr>
          <w:p w14:paraId="1C807095" w14:textId="77777777" w:rsidR="008B5183" w:rsidRDefault="008B5183" w:rsidP="001313A6">
            <w:pPr>
              <w:keepNext/>
              <w:keepLines/>
              <w:spacing w:after="0"/>
              <w:jc w:val="center"/>
              <w:rPr>
                <w:rFonts w:ascii="Arial" w:hAnsi="Arial"/>
                <w:sz w:val="18"/>
              </w:rPr>
            </w:pPr>
            <w:r>
              <w:rPr>
                <w:rFonts w:ascii="Arial" w:hAnsi="Arial"/>
                <w:sz w:val="18"/>
              </w:rPr>
              <w:t>0.32</w:t>
            </w:r>
          </w:p>
        </w:tc>
        <w:tc>
          <w:tcPr>
            <w:tcW w:w="1502" w:type="pct"/>
            <w:vMerge w:val="restart"/>
            <w:tcBorders>
              <w:top w:val="single" w:sz="4" w:space="0" w:color="auto"/>
              <w:left w:val="single" w:sz="4" w:space="0" w:color="auto"/>
              <w:bottom w:val="single" w:sz="4" w:space="0" w:color="auto"/>
              <w:right w:val="single" w:sz="4" w:space="0" w:color="auto"/>
            </w:tcBorders>
            <w:vAlign w:val="center"/>
          </w:tcPr>
          <w:p w14:paraId="066BB24A" w14:textId="77777777" w:rsidR="008B5183" w:rsidRDefault="008B5183" w:rsidP="001313A6">
            <w:pPr>
              <w:keepNext/>
              <w:keepLines/>
              <w:spacing w:after="0"/>
              <w:jc w:val="center"/>
              <w:rPr>
                <w:rFonts w:ascii="Arial" w:hAnsi="Arial" w:cs="Arial"/>
                <w:sz w:val="16"/>
                <w:lang w:eastAsia="zh-CN"/>
              </w:rPr>
            </w:pPr>
            <w:r>
              <w:rPr>
                <w:rFonts w:ascii="Arial" w:hAnsi="Arial" w:cs="Arial"/>
                <w:sz w:val="16"/>
                <w:lang w:eastAsia="zh-CN"/>
              </w:rPr>
              <w:t>1</w:t>
            </w:r>
          </w:p>
          <w:p w14:paraId="6CA37029" w14:textId="77777777" w:rsidR="008B5183" w:rsidRDefault="008B5183" w:rsidP="001313A6">
            <w:pPr>
              <w:keepNext/>
              <w:keepLines/>
              <w:spacing w:after="0"/>
              <w:jc w:val="center"/>
              <w:rPr>
                <w:rFonts w:ascii="Arial" w:hAnsi="Arial" w:cs="Arial"/>
                <w:sz w:val="16"/>
                <w:lang w:eastAsia="zh-CN"/>
              </w:rPr>
            </w:pPr>
          </w:p>
        </w:tc>
        <w:tc>
          <w:tcPr>
            <w:tcW w:w="2000" w:type="pct"/>
            <w:tcBorders>
              <w:top w:val="single" w:sz="4" w:space="0" w:color="auto"/>
              <w:left w:val="single" w:sz="4" w:space="0" w:color="auto"/>
              <w:bottom w:val="single" w:sz="4" w:space="0" w:color="auto"/>
              <w:right w:val="single" w:sz="4" w:space="0" w:color="auto"/>
            </w:tcBorders>
            <w:hideMark/>
          </w:tcPr>
          <w:p w14:paraId="5512C656" w14:textId="77777777" w:rsidR="008B5183" w:rsidRDefault="008B5183" w:rsidP="001313A6">
            <w:pPr>
              <w:keepNext/>
              <w:keepLines/>
              <w:spacing w:after="0"/>
              <w:jc w:val="center"/>
              <w:rPr>
                <w:rFonts w:ascii="Arial" w:hAnsi="Arial"/>
                <w:sz w:val="18"/>
              </w:rPr>
            </w:pPr>
            <w:r>
              <w:rPr>
                <w:rFonts w:ascii="Arial" w:hAnsi="Arial" w:cs="Arial"/>
                <w:sz w:val="16"/>
                <w:lang w:eastAsia="zh-CN"/>
              </w:rPr>
              <w:t>M1*N1*</w:t>
            </w:r>
            <w:r>
              <w:rPr>
                <w:rFonts w:ascii="Arial" w:hAnsi="Arial"/>
                <w:sz w:val="18"/>
              </w:rPr>
              <w:t>4</w:t>
            </w:r>
          </w:p>
        </w:tc>
      </w:tr>
      <w:tr w:rsidR="008B5183" w14:paraId="7AD7CB51" w14:textId="77777777" w:rsidTr="001313A6">
        <w:trPr>
          <w:cantSplit/>
          <w:jc w:val="center"/>
        </w:trPr>
        <w:tc>
          <w:tcPr>
            <w:tcW w:w="1498" w:type="pct"/>
            <w:tcBorders>
              <w:top w:val="single" w:sz="4" w:space="0" w:color="auto"/>
              <w:left w:val="single" w:sz="4" w:space="0" w:color="auto"/>
              <w:bottom w:val="single" w:sz="4" w:space="0" w:color="auto"/>
              <w:right w:val="single" w:sz="4" w:space="0" w:color="auto"/>
            </w:tcBorders>
            <w:hideMark/>
          </w:tcPr>
          <w:p w14:paraId="276E95C9" w14:textId="77777777" w:rsidR="008B5183" w:rsidRDefault="008B5183" w:rsidP="001313A6">
            <w:pPr>
              <w:keepNext/>
              <w:keepLines/>
              <w:spacing w:after="0"/>
              <w:jc w:val="center"/>
              <w:rPr>
                <w:rFonts w:ascii="Arial" w:hAnsi="Arial"/>
                <w:sz w:val="18"/>
              </w:rPr>
            </w:pPr>
            <w:r>
              <w:rPr>
                <w:rFonts w:ascii="Arial" w:hAnsi="Arial"/>
                <w:sz w:val="18"/>
              </w:rPr>
              <w:t>0.64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7508EC" w14:textId="77777777" w:rsidR="008B5183" w:rsidRDefault="008B5183" w:rsidP="001313A6">
            <w:pPr>
              <w:spacing w:after="0"/>
              <w:rPr>
                <w:rFonts w:ascii="Arial" w:hAnsi="Arial" w:cs="Arial"/>
                <w:sz w:val="16"/>
                <w:lang w:eastAsia="zh-CN"/>
              </w:rPr>
            </w:pPr>
          </w:p>
        </w:tc>
        <w:tc>
          <w:tcPr>
            <w:tcW w:w="2000" w:type="pct"/>
            <w:tcBorders>
              <w:top w:val="single" w:sz="4" w:space="0" w:color="auto"/>
              <w:left w:val="single" w:sz="4" w:space="0" w:color="auto"/>
              <w:bottom w:val="single" w:sz="4" w:space="0" w:color="auto"/>
              <w:right w:val="single" w:sz="4" w:space="0" w:color="auto"/>
            </w:tcBorders>
            <w:hideMark/>
          </w:tcPr>
          <w:p w14:paraId="1CE43BD3" w14:textId="77777777" w:rsidR="008B5183" w:rsidRDefault="008B5183" w:rsidP="001313A6">
            <w:pPr>
              <w:keepNext/>
              <w:keepLines/>
              <w:spacing w:after="0"/>
              <w:jc w:val="center"/>
              <w:rPr>
                <w:rFonts w:ascii="Arial" w:hAnsi="Arial"/>
                <w:sz w:val="18"/>
              </w:rPr>
            </w:pPr>
            <w:r>
              <w:rPr>
                <w:rFonts w:ascii="Arial" w:hAnsi="Arial" w:cs="Arial"/>
                <w:sz w:val="16"/>
                <w:lang w:eastAsia="zh-CN"/>
              </w:rPr>
              <w:t>M1*N1*</w:t>
            </w:r>
            <w:r>
              <w:rPr>
                <w:rFonts w:ascii="Arial" w:hAnsi="Arial"/>
                <w:sz w:val="18"/>
              </w:rPr>
              <w:t>4</w:t>
            </w:r>
          </w:p>
        </w:tc>
      </w:tr>
      <w:tr w:rsidR="008B5183" w14:paraId="67CC7F9A" w14:textId="77777777" w:rsidTr="001313A6">
        <w:trPr>
          <w:cantSplit/>
          <w:jc w:val="center"/>
        </w:trPr>
        <w:tc>
          <w:tcPr>
            <w:tcW w:w="1498" w:type="pct"/>
            <w:tcBorders>
              <w:top w:val="single" w:sz="4" w:space="0" w:color="auto"/>
              <w:left w:val="single" w:sz="4" w:space="0" w:color="auto"/>
              <w:bottom w:val="single" w:sz="4" w:space="0" w:color="auto"/>
              <w:right w:val="single" w:sz="4" w:space="0" w:color="auto"/>
            </w:tcBorders>
            <w:hideMark/>
          </w:tcPr>
          <w:p w14:paraId="439FCF12" w14:textId="77777777" w:rsidR="008B5183" w:rsidRDefault="008B5183" w:rsidP="001313A6">
            <w:pPr>
              <w:keepNext/>
              <w:keepLines/>
              <w:spacing w:after="0"/>
              <w:jc w:val="center"/>
              <w:rPr>
                <w:rFonts w:ascii="Arial" w:hAnsi="Arial"/>
                <w:sz w:val="18"/>
              </w:rPr>
            </w:pPr>
            <w:r>
              <w:rPr>
                <w:rFonts w:ascii="Arial" w:hAnsi="Arial"/>
                <w:sz w:val="18"/>
              </w:rPr>
              <w:t>1.28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D7CE10" w14:textId="77777777" w:rsidR="008B5183" w:rsidRDefault="008B5183" w:rsidP="001313A6">
            <w:pPr>
              <w:spacing w:after="0"/>
              <w:rPr>
                <w:rFonts w:ascii="Arial" w:hAnsi="Arial" w:cs="Arial"/>
                <w:sz w:val="16"/>
                <w:lang w:eastAsia="zh-CN"/>
              </w:rPr>
            </w:pPr>
          </w:p>
        </w:tc>
        <w:tc>
          <w:tcPr>
            <w:tcW w:w="2000" w:type="pct"/>
            <w:tcBorders>
              <w:top w:val="single" w:sz="4" w:space="0" w:color="auto"/>
              <w:left w:val="single" w:sz="4" w:space="0" w:color="auto"/>
              <w:bottom w:val="single" w:sz="4" w:space="0" w:color="auto"/>
              <w:right w:val="single" w:sz="4" w:space="0" w:color="auto"/>
            </w:tcBorders>
            <w:hideMark/>
          </w:tcPr>
          <w:p w14:paraId="46092490" w14:textId="77777777" w:rsidR="008B5183" w:rsidRDefault="008B5183" w:rsidP="001313A6">
            <w:pPr>
              <w:keepNext/>
              <w:keepLines/>
              <w:spacing w:after="0"/>
              <w:jc w:val="center"/>
              <w:rPr>
                <w:rFonts w:ascii="Arial" w:hAnsi="Arial"/>
                <w:sz w:val="18"/>
              </w:rPr>
            </w:pPr>
            <w:r>
              <w:rPr>
                <w:rFonts w:ascii="Arial" w:hAnsi="Arial" w:cs="Arial"/>
                <w:sz w:val="16"/>
                <w:lang w:eastAsia="zh-CN"/>
              </w:rPr>
              <w:t>N1*</w:t>
            </w:r>
            <w:r>
              <w:rPr>
                <w:rFonts w:ascii="Arial" w:hAnsi="Arial"/>
                <w:sz w:val="18"/>
              </w:rPr>
              <w:t>2</w:t>
            </w:r>
          </w:p>
        </w:tc>
      </w:tr>
      <w:tr w:rsidR="008B5183" w14:paraId="45ABA6FE" w14:textId="77777777" w:rsidTr="001313A6">
        <w:trPr>
          <w:cantSplit/>
          <w:jc w:val="center"/>
        </w:trPr>
        <w:tc>
          <w:tcPr>
            <w:tcW w:w="1498" w:type="pct"/>
            <w:tcBorders>
              <w:top w:val="single" w:sz="4" w:space="0" w:color="auto"/>
              <w:left w:val="single" w:sz="4" w:space="0" w:color="auto"/>
              <w:bottom w:val="single" w:sz="4" w:space="0" w:color="auto"/>
              <w:right w:val="single" w:sz="4" w:space="0" w:color="auto"/>
            </w:tcBorders>
            <w:hideMark/>
          </w:tcPr>
          <w:p w14:paraId="2B48283D" w14:textId="77777777" w:rsidR="008B5183" w:rsidRDefault="008B5183" w:rsidP="001313A6">
            <w:pPr>
              <w:keepNext/>
              <w:keepLines/>
              <w:spacing w:after="0"/>
              <w:jc w:val="center"/>
              <w:rPr>
                <w:rFonts w:ascii="Arial" w:hAnsi="Arial"/>
                <w:sz w:val="18"/>
              </w:rPr>
            </w:pPr>
            <w:r>
              <w:rPr>
                <w:rFonts w:ascii="Arial" w:hAnsi="Arial"/>
                <w:sz w:val="18"/>
              </w:rPr>
              <w:t>2.56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3C7837" w14:textId="77777777" w:rsidR="008B5183" w:rsidRDefault="008B5183" w:rsidP="001313A6">
            <w:pPr>
              <w:spacing w:after="0"/>
              <w:rPr>
                <w:rFonts w:ascii="Arial" w:hAnsi="Arial" w:cs="Arial"/>
                <w:sz w:val="16"/>
                <w:lang w:eastAsia="zh-CN"/>
              </w:rPr>
            </w:pPr>
          </w:p>
        </w:tc>
        <w:tc>
          <w:tcPr>
            <w:tcW w:w="2000" w:type="pct"/>
            <w:tcBorders>
              <w:top w:val="single" w:sz="4" w:space="0" w:color="auto"/>
              <w:left w:val="single" w:sz="4" w:space="0" w:color="auto"/>
              <w:bottom w:val="single" w:sz="4" w:space="0" w:color="auto"/>
              <w:right w:val="single" w:sz="4" w:space="0" w:color="auto"/>
            </w:tcBorders>
            <w:hideMark/>
          </w:tcPr>
          <w:p w14:paraId="4CDC9778" w14:textId="77777777" w:rsidR="008B5183" w:rsidRDefault="008B5183" w:rsidP="001313A6">
            <w:pPr>
              <w:keepNext/>
              <w:keepLines/>
              <w:spacing w:after="0"/>
              <w:jc w:val="center"/>
              <w:rPr>
                <w:rFonts w:ascii="Arial" w:hAnsi="Arial"/>
                <w:sz w:val="18"/>
              </w:rPr>
            </w:pPr>
            <w:r>
              <w:rPr>
                <w:rFonts w:ascii="Arial" w:hAnsi="Arial" w:cs="Arial"/>
                <w:sz w:val="16"/>
                <w:lang w:eastAsia="zh-CN"/>
              </w:rPr>
              <w:t>N1*</w:t>
            </w:r>
            <w:r>
              <w:rPr>
                <w:rFonts w:ascii="Arial" w:hAnsi="Arial"/>
                <w:sz w:val="18"/>
              </w:rPr>
              <w:t>2</w:t>
            </w:r>
          </w:p>
        </w:tc>
      </w:tr>
      <w:tr w:rsidR="008B5183" w14:paraId="520CE8CD" w14:textId="77777777" w:rsidTr="001313A6">
        <w:trPr>
          <w:cantSplit/>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6532344A" w14:textId="473E1576" w:rsidR="008B5183" w:rsidRDefault="008B5183" w:rsidP="001313A6">
            <w:pPr>
              <w:keepNext/>
              <w:keepLines/>
              <w:spacing w:after="0"/>
              <w:ind w:left="851" w:hanging="851"/>
              <w:rPr>
                <w:rFonts w:ascii="Arial" w:hAnsi="Arial"/>
                <w:sz w:val="18"/>
                <w:lang w:eastAsia="zh-CN"/>
              </w:rPr>
            </w:pPr>
            <w:r>
              <w:rPr>
                <w:rFonts w:ascii="Arial" w:hAnsi="Arial"/>
                <w:sz w:val="18"/>
                <w:lang w:eastAsia="zh-CN"/>
              </w:rPr>
              <w:t>Note 1:</w:t>
            </w:r>
            <w:r>
              <w:rPr>
                <w:rFonts w:ascii="Arial" w:hAnsi="Arial"/>
                <w:sz w:val="18"/>
                <w:lang w:eastAsia="zh-CN"/>
              </w:rPr>
              <w:tab/>
              <w:t>The UE is not required to meet the requirements for 2.56s DRX cycle length for earth-moving LEO deployment.</w:t>
            </w:r>
          </w:p>
        </w:tc>
      </w:tr>
    </w:tbl>
    <w:p w14:paraId="544BEC38" w14:textId="77777777" w:rsidR="008B5183" w:rsidRDefault="008B5183" w:rsidP="008B5183"/>
    <w:p w14:paraId="7FB201D2" w14:textId="77777777" w:rsidR="008B5183" w:rsidRDefault="008B5183" w:rsidP="00DD071D">
      <w:pPr>
        <w:pStyle w:val="Heading4"/>
        <w:rPr>
          <w:lang w:val="en-US" w:eastAsia="zh-CN"/>
        </w:rPr>
      </w:pPr>
      <w:r>
        <w:rPr>
          <w:lang w:val="en-US" w:eastAsia="zh-CN"/>
        </w:rPr>
        <w:t>4.2C.2.3</w:t>
      </w:r>
      <w:r>
        <w:rPr>
          <w:lang w:val="en-US" w:eastAsia="zh-CN"/>
        </w:rPr>
        <w:tab/>
        <w:t>Measurements of intra-frequency NR cells</w:t>
      </w:r>
    </w:p>
    <w:p w14:paraId="6AFCE18D" w14:textId="77777777" w:rsidR="008B5183" w:rsidRDefault="008B5183" w:rsidP="008B5183">
      <w:r>
        <w:t xml:space="preserve">The UE shall be able to identify new intra-frequency cells and perform </w:t>
      </w:r>
      <w:r>
        <w:rPr>
          <w:lang w:eastAsia="zh-CN"/>
        </w:rPr>
        <w:t>SS</w:t>
      </w:r>
      <w:r>
        <w:t xml:space="preserve">-RSRP and </w:t>
      </w:r>
      <w:r>
        <w:rPr>
          <w:lang w:eastAsia="zh-CN"/>
        </w:rPr>
        <w:t>SS-</w:t>
      </w:r>
      <w:r>
        <w:t xml:space="preserve">RSRQ measurements of </w:t>
      </w:r>
      <w:r>
        <w:rPr>
          <w:lang w:eastAsia="zh-CN"/>
        </w:rPr>
        <w:t xml:space="preserve">the </w:t>
      </w:r>
      <w:r>
        <w:t>identified intra-frequency cells without an explicit intra-frequency neighbour list containing physical layer cell identities.</w:t>
      </w:r>
    </w:p>
    <w:p w14:paraId="0265DFA1" w14:textId="3C4592AC" w:rsidR="008B5183" w:rsidRPr="00715303" w:rsidRDefault="00A0123D" w:rsidP="008B5183">
      <w:r w:rsidRPr="00715303">
        <w:t xml:space="preserve">If Srxlev &gt; SnonIntraSearchP and Squal &gt; SnonIntraSearchQ, and the distance between UE and serving cell reference location is smaller than </w:t>
      </w:r>
      <w:r w:rsidRPr="00F155BF">
        <w:rPr>
          <w:rFonts w:eastAsia="Yu Mincho"/>
          <w:i/>
        </w:rPr>
        <w:t>distanceThresh</w:t>
      </w:r>
      <w:r w:rsidRPr="00715303">
        <w:t xml:space="preserve"> if the </w:t>
      </w:r>
      <w:r w:rsidRPr="00F155BF">
        <w:rPr>
          <w:rFonts w:eastAsia="Yu Mincho"/>
          <w:i/>
        </w:rPr>
        <w:t>distanceThresh</w:t>
      </w:r>
      <w:r w:rsidRPr="00715303">
        <w:t xml:space="preserve"> is configured </w:t>
      </w:r>
      <w:r>
        <w:t xml:space="preserve"> (see TS 38.304[1])</w:t>
      </w:r>
      <w:r w:rsidRPr="00715303">
        <w:t xml:space="preserve"> and UE has location information, then the UE may not perform measurement of intra-frequency.</w:t>
      </w:r>
    </w:p>
    <w:p w14:paraId="31CC1094" w14:textId="12A4807E" w:rsidR="00CB7408" w:rsidRDefault="004C5AE6" w:rsidP="00CB7408">
      <w:r>
        <w:t xml:space="preserve">The UE shall be able to evaluate whether a newly detectable intra-frequency cell meets the reselection criteria defined in </w:t>
      </w:r>
      <w:r w:rsidRPr="009C5807">
        <w:t>TS3</w:t>
      </w:r>
      <w:r w:rsidRPr="009C5807">
        <w:rPr>
          <w:lang w:eastAsia="zh-CN"/>
        </w:rPr>
        <w:t>8</w:t>
      </w:r>
      <w:r w:rsidRPr="009C5807">
        <w:t>.304 [1]</w:t>
      </w:r>
      <w:r>
        <w:t xml:space="preserve"> within </w:t>
      </w:r>
      <w:r>
        <w:rPr>
          <w:rFonts w:cs="v4.2.0"/>
        </w:rPr>
        <w:t>K</w:t>
      </w:r>
      <w:r>
        <w:rPr>
          <w:rFonts w:cs="v4.2.0"/>
          <w:vertAlign w:val="subscript"/>
        </w:rPr>
        <w:t>multi_SMTC</w:t>
      </w:r>
      <w:r>
        <w:rPr>
          <w:rFonts w:cs="v4.2.0"/>
        </w:rPr>
        <w:t xml:space="preserve"> * </w:t>
      </w:r>
      <w:r>
        <w:t>T</w:t>
      </w:r>
      <w:r>
        <w:rPr>
          <w:vertAlign w:val="subscript"/>
        </w:rPr>
        <w:t>detect,</w:t>
      </w:r>
      <w:r>
        <w:rPr>
          <w:vertAlign w:val="subscript"/>
          <w:lang w:eastAsia="zh-CN"/>
        </w:rPr>
        <w:t>NR</w:t>
      </w:r>
      <w:r>
        <w:rPr>
          <w:vertAlign w:val="subscript"/>
        </w:rPr>
        <w:t>_Intra</w:t>
      </w:r>
      <w:r>
        <w:rPr>
          <w:i/>
          <w:vertAlign w:val="subscript"/>
        </w:rPr>
        <w:t xml:space="preserve"> </w:t>
      </w:r>
      <w:r>
        <w:t>when that T</w:t>
      </w:r>
      <w:r>
        <w:rPr>
          <w:vertAlign w:val="subscript"/>
        </w:rPr>
        <w:t>reselection</w:t>
      </w:r>
      <w:r>
        <w:t xml:space="preserve">= 0 </w:t>
      </w:r>
      <w:r>
        <w:rPr>
          <w:rFonts w:cs="v4.2.0"/>
        </w:rPr>
        <w:t>if the UE does not support the feature for e</w:t>
      </w:r>
      <w:r w:rsidRPr="006674EF">
        <w:rPr>
          <w:rFonts w:cs="v4.2.0"/>
        </w:rPr>
        <w:t xml:space="preserve">nhanced RRM requirements </w:t>
      </w:r>
      <w:r>
        <w:rPr>
          <w:rFonts w:cs="v4.2.0"/>
        </w:rPr>
        <w:t xml:space="preserve">defined in </w:t>
      </w:r>
      <w:r w:rsidRPr="009C5807">
        <w:t>TS3</w:t>
      </w:r>
      <w:r w:rsidRPr="009C5807">
        <w:rPr>
          <w:lang w:eastAsia="zh-CN"/>
        </w:rPr>
        <w:t>8</w:t>
      </w:r>
      <w:r w:rsidRPr="009C5807">
        <w:t>.30</w:t>
      </w:r>
      <w:r>
        <w:t>6</w:t>
      </w:r>
      <w:r w:rsidRPr="009C5807">
        <w:t xml:space="preserve"> [1</w:t>
      </w:r>
      <w:r>
        <w:t>4</w:t>
      </w:r>
      <w:r w:rsidRPr="009C5807">
        <w:t>]</w:t>
      </w:r>
      <w:r>
        <w:t xml:space="preserve"> </w:t>
      </w:r>
      <w:r>
        <w:rPr>
          <w:rFonts w:cs="v4.2.0"/>
        </w:rPr>
        <w:t xml:space="preserve">or if the </w:t>
      </w:r>
      <w:r w:rsidRPr="00FA3B11">
        <w:rPr>
          <w:i/>
        </w:rPr>
        <w:t>enhancedMeasurementLEO-r17</w:t>
      </w:r>
      <w:r>
        <w:rPr>
          <w:rFonts w:cs="v4.2.0"/>
        </w:rPr>
        <w:t xml:space="preserve"> is not enabled, or</w:t>
      </w:r>
      <w:r w:rsidRPr="00624935">
        <w:rPr>
          <w:rFonts w:cs="v4.2.0"/>
        </w:rPr>
        <w:t xml:space="preserve"> </w:t>
      </w:r>
      <w:r w:rsidRPr="009C5807">
        <w:rPr>
          <w:rFonts w:cs="v4.2.0"/>
        </w:rPr>
        <w:t xml:space="preserve">within </w:t>
      </w:r>
      <w:r w:rsidR="000417B5" w:rsidRPr="009C5807">
        <w:rPr>
          <w:rFonts w:cs="v4.2.0"/>
        </w:rPr>
        <w:t>K</w:t>
      </w:r>
      <w:r w:rsidR="000417B5">
        <w:rPr>
          <w:rFonts w:cs="v4.2.0"/>
          <w:vertAlign w:val="subscript"/>
        </w:rPr>
        <w:t>multi_SMTC</w:t>
      </w:r>
      <w:r w:rsidR="000417B5" w:rsidRPr="009C5807">
        <w:rPr>
          <w:rFonts w:cs="v4.2.0"/>
        </w:rPr>
        <w:t xml:space="preserve"> *</w:t>
      </w:r>
      <w:r w:rsidR="000417B5">
        <w:rPr>
          <w:rFonts w:cs="v4.2.0"/>
        </w:rPr>
        <w:t xml:space="preserve"> </w:t>
      </w:r>
      <w:r w:rsidR="000417B5" w:rsidRPr="009C5807">
        <w:rPr>
          <w:rFonts w:cs="v4.2.0"/>
        </w:rPr>
        <w:t xml:space="preserve"> </w:t>
      </w:r>
      <w:r w:rsidR="000417B5">
        <w:t>T</w:t>
      </w:r>
      <w:r w:rsidR="000417B5">
        <w:rPr>
          <w:vertAlign w:val="subscript"/>
        </w:rPr>
        <w:t>detect,</w:t>
      </w:r>
      <w:r w:rsidR="000417B5">
        <w:rPr>
          <w:vertAlign w:val="subscript"/>
          <w:lang w:eastAsia="zh-CN"/>
        </w:rPr>
        <w:t>NR</w:t>
      </w:r>
      <w:r w:rsidR="000417B5">
        <w:rPr>
          <w:vertAlign w:val="subscript"/>
        </w:rPr>
        <w:t>_Intra_enh</w:t>
      </w:r>
      <w:r>
        <w:rPr>
          <w:i/>
          <w:vertAlign w:val="subscript"/>
        </w:rPr>
        <w:t xml:space="preserve"> </w:t>
      </w:r>
      <w:r>
        <w:rPr>
          <w:rFonts w:cs="v4.2.0"/>
        </w:rPr>
        <w:t>if the UE supports the feature for e</w:t>
      </w:r>
      <w:r w:rsidRPr="006674EF">
        <w:rPr>
          <w:rFonts w:cs="v4.2.0"/>
        </w:rPr>
        <w:t xml:space="preserve">nhanced RRM requirements </w:t>
      </w:r>
      <w:r>
        <w:rPr>
          <w:rFonts w:cs="v4.2.0"/>
        </w:rPr>
        <w:t xml:space="preserve">defined in </w:t>
      </w:r>
      <w:r w:rsidRPr="009C5807">
        <w:t>TS3</w:t>
      </w:r>
      <w:r w:rsidRPr="009C5807">
        <w:rPr>
          <w:lang w:eastAsia="zh-CN"/>
        </w:rPr>
        <w:t>8</w:t>
      </w:r>
      <w:r w:rsidRPr="009C5807">
        <w:t>.30</w:t>
      </w:r>
      <w:r>
        <w:t>6</w:t>
      </w:r>
      <w:r w:rsidRPr="009C5807">
        <w:t xml:space="preserve"> [1</w:t>
      </w:r>
      <w:r>
        <w:t>4</w:t>
      </w:r>
      <w:r w:rsidRPr="009C5807">
        <w:t>]</w:t>
      </w:r>
      <w:r w:rsidDel="00FA3B11">
        <w:rPr>
          <w:rFonts w:cs="v4.2.0"/>
        </w:rPr>
        <w:t xml:space="preserve"> </w:t>
      </w:r>
      <w:r>
        <w:rPr>
          <w:rFonts w:cs="v4.2.0"/>
        </w:rPr>
        <w:t xml:space="preserve">and the </w:t>
      </w:r>
      <w:r w:rsidRPr="00FA3B11">
        <w:rPr>
          <w:i/>
        </w:rPr>
        <w:t>enhancedMeasurementLEO-r17</w:t>
      </w:r>
      <w:r>
        <w:rPr>
          <w:rFonts w:cs="v4.2.0"/>
        </w:rPr>
        <w:t xml:space="preserve"> is enabled</w:t>
      </w:r>
      <w:r>
        <w:t xml:space="preserve">. An intra frequency cell is considered to be detectable according to the conditions defined in </w:t>
      </w:r>
      <w:r w:rsidRPr="009C5807">
        <w:t xml:space="preserve">Annex </w:t>
      </w:r>
      <w:r>
        <w:rPr>
          <w:lang w:eastAsia="zh-CN"/>
        </w:rPr>
        <w:t>B.1.6</w:t>
      </w:r>
      <w:r>
        <w:t xml:space="preserve"> for a corresponding Band.</w:t>
      </w:r>
    </w:p>
    <w:p w14:paraId="7CA4CF5C" w14:textId="57053B54" w:rsidR="00CB7408" w:rsidRDefault="004C5AE6" w:rsidP="00CB7408">
      <w:pPr>
        <w:rPr>
          <w:rFonts w:cs="v4.2.0"/>
        </w:rPr>
      </w:pPr>
      <w:r>
        <w:rPr>
          <w:rFonts w:cs="v4.2.0"/>
        </w:rPr>
        <w:t xml:space="preserve">The UE shall measure </w:t>
      </w:r>
      <w:r>
        <w:rPr>
          <w:rFonts w:cs="v4.2.0"/>
          <w:lang w:eastAsia="zh-CN"/>
        </w:rPr>
        <w:t>SS-</w:t>
      </w:r>
      <w:r>
        <w:rPr>
          <w:rFonts w:cs="v4.2.0"/>
        </w:rPr>
        <w:t xml:space="preserve">RSRP and </w:t>
      </w:r>
      <w:r>
        <w:rPr>
          <w:rFonts w:cs="v4.2.0"/>
          <w:lang w:eastAsia="zh-CN"/>
        </w:rPr>
        <w:t>SS-</w:t>
      </w:r>
      <w:r>
        <w:rPr>
          <w:rFonts w:cs="v4.2.0"/>
        </w:rPr>
        <w:t>RSRQ at least every K</w:t>
      </w:r>
      <w:r>
        <w:rPr>
          <w:rFonts w:cs="v4.2.0"/>
          <w:vertAlign w:val="subscript"/>
        </w:rPr>
        <w:t>multi_SMTC</w:t>
      </w:r>
      <w:r>
        <w:rPr>
          <w:rFonts w:cs="v4.2.0"/>
        </w:rPr>
        <w:t xml:space="preserve"> * T</w:t>
      </w:r>
      <w:r>
        <w:rPr>
          <w:rFonts w:cs="v4.2.0"/>
          <w:vertAlign w:val="subscript"/>
        </w:rPr>
        <w:t>measure,NR_Intra</w:t>
      </w:r>
      <w:r>
        <w:rPr>
          <w:rFonts w:cs="v4.2.0"/>
        </w:rPr>
        <w:t xml:space="preserve"> (see table 4.2C.2.3-1) if the UE does not support the feature for e</w:t>
      </w:r>
      <w:r w:rsidRPr="006674EF">
        <w:rPr>
          <w:rFonts w:cs="v4.2.0"/>
        </w:rPr>
        <w:t xml:space="preserve">nhanced RRM requirements </w:t>
      </w:r>
      <w:r>
        <w:rPr>
          <w:rFonts w:cs="v4.2.0"/>
        </w:rPr>
        <w:t xml:space="preserve">defined in </w:t>
      </w:r>
      <w:r w:rsidRPr="009C5807">
        <w:t>TS3</w:t>
      </w:r>
      <w:r w:rsidRPr="009C5807">
        <w:rPr>
          <w:lang w:eastAsia="zh-CN"/>
        </w:rPr>
        <w:t>8</w:t>
      </w:r>
      <w:r w:rsidRPr="009C5807">
        <w:t>.30</w:t>
      </w:r>
      <w:r>
        <w:t>6</w:t>
      </w:r>
      <w:r w:rsidRPr="009C5807">
        <w:t xml:space="preserve"> [1</w:t>
      </w:r>
      <w:r>
        <w:t>4</w:t>
      </w:r>
      <w:r w:rsidRPr="009C5807">
        <w:t>]</w:t>
      </w:r>
      <w:r w:rsidDel="00FA3B11">
        <w:rPr>
          <w:rFonts w:cs="v4.2.0"/>
        </w:rPr>
        <w:t xml:space="preserve"> </w:t>
      </w:r>
      <w:r>
        <w:rPr>
          <w:rFonts w:cs="v4.2.0"/>
        </w:rPr>
        <w:t xml:space="preserve">or if the </w:t>
      </w:r>
      <w:r w:rsidRPr="00FA3B11">
        <w:rPr>
          <w:i/>
        </w:rPr>
        <w:t>enhancedMeasurementLEO-r17</w:t>
      </w:r>
      <w:r>
        <w:rPr>
          <w:rFonts w:cs="v4.2.0"/>
        </w:rPr>
        <w:t xml:space="preserve"> is not enabled, or every</w:t>
      </w:r>
      <w:r w:rsidRPr="006D5FB9">
        <w:rPr>
          <w:rFonts w:cs="v4.2.0"/>
        </w:rPr>
        <w:t xml:space="preserve"> </w:t>
      </w:r>
      <w:r>
        <w:rPr>
          <w:rFonts w:cs="v4.2.0"/>
        </w:rPr>
        <w:t>K</w:t>
      </w:r>
      <w:r>
        <w:rPr>
          <w:rFonts w:cs="v4.2.0"/>
          <w:vertAlign w:val="subscript"/>
        </w:rPr>
        <w:t>multi_SMTC</w:t>
      </w:r>
      <w:r>
        <w:rPr>
          <w:rFonts w:cs="v4.2.0"/>
        </w:rPr>
        <w:t xml:space="preserve"> * T</w:t>
      </w:r>
      <w:r>
        <w:rPr>
          <w:rFonts w:cs="v4.2.0"/>
          <w:vertAlign w:val="subscript"/>
        </w:rPr>
        <w:t>measure,NR_Intra_enh</w:t>
      </w:r>
      <w:r>
        <w:rPr>
          <w:rFonts w:cs="v4.2.0"/>
        </w:rPr>
        <w:t xml:space="preserve"> (see table 4.2C.2.3-2) if the UE supports the feature for e</w:t>
      </w:r>
      <w:r w:rsidRPr="006674EF">
        <w:rPr>
          <w:rFonts w:cs="v4.2.0"/>
        </w:rPr>
        <w:t xml:space="preserve">nhanced RRM requirements </w:t>
      </w:r>
      <w:r>
        <w:rPr>
          <w:rFonts w:cs="v4.2.0"/>
        </w:rPr>
        <w:t xml:space="preserve">defined in </w:t>
      </w:r>
      <w:r w:rsidRPr="009C5807">
        <w:t>TS3</w:t>
      </w:r>
      <w:r w:rsidRPr="009C5807">
        <w:rPr>
          <w:lang w:eastAsia="zh-CN"/>
        </w:rPr>
        <w:t>8</w:t>
      </w:r>
      <w:r w:rsidRPr="009C5807">
        <w:t>.30</w:t>
      </w:r>
      <w:r>
        <w:t>6</w:t>
      </w:r>
      <w:r w:rsidRPr="009C5807">
        <w:t xml:space="preserve"> [1</w:t>
      </w:r>
      <w:r>
        <w:t>4</w:t>
      </w:r>
      <w:r w:rsidRPr="009C5807">
        <w:t>]</w:t>
      </w:r>
      <w:r w:rsidDel="00FA3B11">
        <w:rPr>
          <w:rFonts w:cs="v4.2.0"/>
        </w:rPr>
        <w:t xml:space="preserve"> </w:t>
      </w:r>
      <w:r>
        <w:rPr>
          <w:rFonts w:cs="v4.2.0"/>
        </w:rPr>
        <w:t xml:space="preserve"> and the </w:t>
      </w:r>
      <w:r w:rsidRPr="00FA3B11">
        <w:rPr>
          <w:i/>
        </w:rPr>
        <w:t>enhancedMeasurementLEO-r17</w:t>
      </w:r>
      <w:r>
        <w:rPr>
          <w:rFonts w:cs="v4.2.0"/>
        </w:rPr>
        <w:t xml:space="preserve"> is enabled, for intra-frequency cells that are identified and measured according to the measurement rules.</w:t>
      </w:r>
    </w:p>
    <w:p w14:paraId="59B3F534" w14:textId="15442E32" w:rsidR="00CB7408" w:rsidRDefault="00CB7408" w:rsidP="00CB7408">
      <w:pPr>
        <w:rPr>
          <w:rFonts w:cs="v4.2.0"/>
          <w:lang w:eastAsia="zh-CN"/>
        </w:rPr>
      </w:pPr>
      <w:r>
        <w:rPr>
          <w:rFonts w:cs="v4.2.0"/>
        </w:rPr>
        <w:t xml:space="preserve">The UE shall filter </w:t>
      </w:r>
      <w:r>
        <w:rPr>
          <w:rFonts w:cs="v4.2.0"/>
          <w:lang w:eastAsia="zh-CN"/>
        </w:rPr>
        <w:t>SS-</w:t>
      </w:r>
      <w:r>
        <w:rPr>
          <w:rFonts w:cs="v4.2.0"/>
        </w:rPr>
        <w:t xml:space="preserve">RSRP and </w:t>
      </w:r>
      <w:r>
        <w:rPr>
          <w:rFonts w:cs="v4.2.0"/>
          <w:lang w:eastAsia="zh-CN"/>
        </w:rPr>
        <w:t>SS-</w:t>
      </w:r>
      <w:r>
        <w:rPr>
          <w:rFonts w:cs="v4.2.0"/>
        </w:rPr>
        <w:t xml:space="preserve">RSRQ measurements of each measured intra-frequency cell using at least 2 measurements. Within the set of measurements used for the filtering, at least two measurements shall be spaced by at least </w:t>
      </w:r>
      <w:r w:rsidR="000417B5">
        <w:rPr>
          <w:rFonts w:cs="v4.2.0"/>
        </w:rPr>
        <w:t>T</w:t>
      </w:r>
      <w:r w:rsidR="000417B5">
        <w:rPr>
          <w:rFonts w:cs="v4.2.0"/>
          <w:vertAlign w:val="subscript"/>
        </w:rPr>
        <w:t>measure,NR_Intra</w:t>
      </w:r>
      <w:r w:rsidR="000417B5">
        <w:rPr>
          <w:rFonts w:cs="v4.2.0"/>
        </w:rPr>
        <w:t>/2</w:t>
      </w:r>
      <w:r w:rsidR="000417B5">
        <w:rPr>
          <w:rFonts w:cs="v4.2.0"/>
          <w:lang w:eastAsia="zh-CN"/>
        </w:rPr>
        <w:t>.</w:t>
      </w:r>
    </w:p>
    <w:p w14:paraId="738D0CD9" w14:textId="77777777" w:rsidR="000417B5" w:rsidRDefault="000417B5" w:rsidP="000417B5">
      <w:pPr>
        <w:pStyle w:val="B10"/>
      </w:pPr>
      <w:r w:rsidRPr="009C5807">
        <w:tab/>
      </w:r>
      <w:r w:rsidRPr="00110AC8">
        <w:t>If smtcs do not overlap with each other</w:t>
      </w:r>
      <w:r>
        <w:t>,</w:t>
      </w:r>
    </w:p>
    <w:p w14:paraId="0532CE9B" w14:textId="77777777" w:rsidR="000417B5" w:rsidRPr="00110AC8" w:rsidRDefault="000417B5" w:rsidP="000417B5">
      <w:pPr>
        <w:pStyle w:val="B20"/>
      </w:pPr>
      <w:r w:rsidRPr="009C5807">
        <w:t>-</w:t>
      </w:r>
      <w:r w:rsidRPr="009C5807">
        <w:tab/>
      </w:r>
      <m:oMath>
        <m:sSub>
          <m:sSubPr>
            <m:ctrlPr>
              <w:rPr>
                <w:rFonts w:ascii="Cambria Math" w:hAnsi="Cambria Math"/>
              </w:rPr>
            </m:ctrlPr>
          </m:sSubPr>
          <m:e>
            <m:r>
              <w:rPr>
                <w:rFonts w:ascii="Cambria Math" w:hAnsi="Cambria Math"/>
              </w:rPr>
              <m:t>K</m:t>
            </m:r>
          </m:e>
          <m:sub>
            <m:r>
              <w:rPr>
                <w:rFonts w:ascii="Cambria Math" w:hAnsi="Cambria Math"/>
              </w:rPr>
              <m:t>multi_SMTC</m:t>
            </m:r>
          </m:sub>
        </m:sSub>
        <m:r>
          <w:rPr>
            <w:rFonts w:ascii="Cambria Math" w:hAnsi="Cambria Math"/>
          </w:rPr>
          <m:t>=1</m:t>
        </m:r>
      </m:oMath>
      <w:r>
        <w:t xml:space="preserve">, </w:t>
      </w:r>
      <w:r w:rsidRPr="00110AC8">
        <w:t>if GEO satellites are measured on the carrier</w:t>
      </w:r>
      <w:r>
        <w:t>;</w:t>
      </w:r>
    </w:p>
    <w:p w14:paraId="092CC7D6" w14:textId="77777777" w:rsidR="000417B5" w:rsidRPr="00110AC8" w:rsidRDefault="000417B5" w:rsidP="000417B5">
      <w:pPr>
        <w:pStyle w:val="B20"/>
      </w:pPr>
      <w:r w:rsidRPr="009C5807">
        <w:t>-</w:t>
      </w:r>
      <w:r w:rsidRPr="009C5807">
        <w:tab/>
      </w:r>
      <m:oMath>
        <m:sSub>
          <m:sSubPr>
            <m:ctrlPr>
              <w:rPr>
                <w:rFonts w:ascii="Cambria Math" w:hAnsi="Cambria Math"/>
              </w:rPr>
            </m:ctrlPr>
          </m:sSubPr>
          <m:e>
            <m:r>
              <w:rPr>
                <w:rFonts w:ascii="Cambria Math" w:hAnsi="Cambria Math"/>
              </w:rPr>
              <m:t>K</m:t>
            </m:r>
          </m:e>
          <m:sub>
            <m:r>
              <w:rPr>
                <w:rFonts w:ascii="Cambria Math" w:hAnsi="Cambria Math"/>
              </w:rPr>
              <m:t>multi_SMTC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LEO,i</m:t>
                    </m:r>
                  </m:sub>
                </m:sSub>
              </m:num>
              <m:den>
                <m:sSub>
                  <m:sSubPr>
                    <m:ctrlPr>
                      <w:rPr>
                        <w:rFonts w:ascii="Cambria Math" w:hAnsi="Cambria Math"/>
                        <w:i/>
                      </w:rPr>
                    </m:ctrlPr>
                  </m:sSubPr>
                  <m:e>
                    <m:r>
                      <w:rPr>
                        <w:rFonts w:ascii="Cambria Math" w:hAnsi="Cambria Math"/>
                      </w:rPr>
                      <m:t>N</m:t>
                    </m:r>
                  </m:e>
                  <m:sub>
                    <m:r>
                      <w:rPr>
                        <w:rFonts w:ascii="Cambria Math" w:hAnsi="Cambria Math"/>
                      </w:rPr>
                      <m:t>LEO,simul</m:t>
                    </m:r>
                  </m:sub>
                </m:sSub>
              </m:den>
            </m:f>
          </m:e>
        </m:d>
      </m:oMath>
      <w:r>
        <w:t xml:space="preserve">, </w:t>
      </w:r>
      <w:r w:rsidRPr="00110AC8">
        <w:t xml:space="preserve">if </w:t>
      </w:r>
      <w:r>
        <w:t>L</w:t>
      </w:r>
      <w:r w:rsidRPr="00110AC8">
        <w:t>EO satellites are measured on the carrier</w:t>
      </w:r>
      <w:r>
        <w:t>;</w:t>
      </w:r>
    </w:p>
    <w:p w14:paraId="15FB00B6" w14:textId="77777777" w:rsidR="000417B5" w:rsidRDefault="000417B5" w:rsidP="000417B5">
      <w:pPr>
        <w:pStyle w:val="B10"/>
      </w:pPr>
      <w:r w:rsidRPr="009C5807">
        <w:t>-</w:t>
      </w:r>
      <w:r w:rsidRPr="009C5807">
        <w:tab/>
      </w:r>
      <w:r w:rsidRPr="00110AC8">
        <w:t>If smtcs partially overlap with each othe</w:t>
      </w:r>
      <w:r>
        <w:t>r,</w:t>
      </w:r>
    </w:p>
    <w:p w14:paraId="595700C9" w14:textId="77777777" w:rsidR="000417B5" w:rsidRPr="00110AC8" w:rsidRDefault="000417B5" w:rsidP="000417B5">
      <w:pPr>
        <w:pStyle w:val="B20"/>
      </w:pPr>
      <w:r w:rsidRPr="009C5807">
        <w:t>-</w:t>
      </w:r>
      <w:r w:rsidRPr="009C5807">
        <w:tab/>
      </w:r>
      <m:oMath>
        <m:sSub>
          <m:sSubPr>
            <m:ctrlPr>
              <w:rPr>
                <w:rFonts w:ascii="Cambria Math" w:hAnsi="Cambria Math"/>
              </w:rPr>
            </m:ctrlPr>
          </m:sSubPr>
          <m:e>
            <m:r>
              <w:rPr>
                <w:rFonts w:ascii="Cambria Math" w:hAnsi="Cambria Math"/>
              </w:rPr>
              <m:t>K</m:t>
            </m:r>
          </m:e>
          <m:sub>
            <m:r>
              <w:rPr>
                <w:rFonts w:ascii="Cambria Math" w:hAnsi="Cambria Math"/>
              </w:rPr>
              <m:t>multi_SMTC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SMTC,overlap</m:t>
            </m:r>
          </m:sub>
        </m:sSub>
      </m:oMath>
      <w:r>
        <w:t xml:space="preserve">, </w:t>
      </w:r>
      <w:r w:rsidRPr="00110AC8">
        <w:t xml:space="preserve">if </w:t>
      </w:r>
      <w:r>
        <w:t xml:space="preserve">only </w:t>
      </w:r>
      <w:r w:rsidRPr="00110AC8">
        <w:t>GEO satellites are measured on the carrier</w:t>
      </w:r>
      <w:r>
        <w:t>;</w:t>
      </w:r>
    </w:p>
    <w:p w14:paraId="79C60179" w14:textId="77777777" w:rsidR="000417B5" w:rsidRPr="00110AC8" w:rsidRDefault="000417B5" w:rsidP="000417B5">
      <w:pPr>
        <w:pStyle w:val="B20"/>
      </w:pPr>
      <w:r w:rsidRPr="009C5807">
        <w:t>-</w:t>
      </w:r>
      <w:r w:rsidRPr="009C5807">
        <w:tab/>
      </w:r>
      <m:oMath>
        <m:sSub>
          <m:sSubPr>
            <m:ctrlPr>
              <w:rPr>
                <w:rFonts w:ascii="Cambria Math" w:hAnsi="Cambria Math"/>
              </w:rPr>
            </m:ctrlPr>
          </m:sSubPr>
          <m:e>
            <m:r>
              <w:rPr>
                <w:rFonts w:ascii="Cambria Math" w:hAnsi="Cambria Math"/>
              </w:rPr>
              <m:t>K</m:t>
            </m:r>
          </m:e>
          <m:sub>
            <m:r>
              <w:rPr>
                <w:rFonts w:ascii="Cambria Math" w:hAnsi="Cambria Math"/>
              </w:rPr>
              <m:t>multi_SMTC</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SMTC,overlap</m:t>
                </m:r>
              </m:sub>
            </m:sSub>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LEO,i</m:t>
                        </m:r>
                      </m:sub>
                    </m:sSub>
                  </m:num>
                  <m:den>
                    <m:sSub>
                      <m:sSubPr>
                        <m:ctrlPr>
                          <w:rPr>
                            <w:rFonts w:ascii="Cambria Math" w:hAnsi="Cambria Math"/>
                            <w:i/>
                          </w:rPr>
                        </m:ctrlPr>
                      </m:sSubPr>
                      <m:e>
                        <m:r>
                          <w:rPr>
                            <w:rFonts w:ascii="Cambria Math" w:hAnsi="Cambria Math"/>
                          </w:rPr>
                          <m:t>N</m:t>
                        </m:r>
                      </m:e>
                      <m:sub>
                        <m:r>
                          <w:rPr>
                            <w:rFonts w:ascii="Cambria Math" w:hAnsi="Cambria Math"/>
                          </w:rPr>
                          <m:t>LEO,simul</m:t>
                        </m:r>
                      </m:sub>
                    </m:sSub>
                  </m:den>
                </m:f>
              </m:e>
            </m:d>
          </m:e>
        </m:nary>
      </m:oMath>
      <w:r>
        <w:t xml:space="preserve">, </w:t>
      </w:r>
      <w:r w:rsidRPr="00110AC8">
        <w:t xml:space="preserve">if </w:t>
      </w:r>
      <w:r>
        <w:t>only L</w:t>
      </w:r>
      <w:r w:rsidRPr="00110AC8">
        <w:t>EO satellites are measured on the carrier</w:t>
      </w:r>
      <w:r>
        <w:t>;</w:t>
      </w:r>
    </w:p>
    <w:p w14:paraId="3C3372B9" w14:textId="77777777" w:rsidR="000417B5" w:rsidRDefault="000417B5" w:rsidP="000417B5">
      <w:pPr>
        <w:pStyle w:val="B10"/>
        <w:rPr>
          <w:lang w:eastAsia="zh-CN"/>
        </w:rPr>
      </w:pPr>
      <w:r>
        <w:rPr>
          <w:lang w:eastAsia="zh-CN"/>
        </w:rPr>
        <w:t>Where</w:t>
      </w:r>
    </w:p>
    <w:p w14:paraId="1CC4EF1D" w14:textId="60124280" w:rsidR="000417B5" w:rsidRDefault="000417B5" w:rsidP="000417B5">
      <w:pPr>
        <w:pStyle w:val="B10"/>
        <w:rPr>
          <w:lang w:eastAsia="zh-CN"/>
        </w:rPr>
      </w:pPr>
      <w:r>
        <w:t>-</w:t>
      </w:r>
      <w:r>
        <w:tab/>
      </w:r>
      <m:oMath>
        <m:sSub>
          <m:sSubPr>
            <m:ctrlPr>
              <w:rPr>
                <w:rFonts w:ascii="Cambria Math" w:hAnsi="Cambria Math"/>
                <w:i/>
              </w:rPr>
            </m:ctrlPr>
          </m:sSubPr>
          <m:e>
            <m:r>
              <w:rPr>
                <w:rFonts w:ascii="Cambria Math" w:hAnsi="Cambria Math"/>
              </w:rPr>
              <m:t>N</m:t>
            </m:r>
          </m:e>
          <m:sub>
            <m:r>
              <w:rPr>
                <w:rFonts w:ascii="Cambria Math" w:hAnsi="Cambria Math"/>
              </w:rPr>
              <m:t>LEO,i</m:t>
            </m:r>
          </m:sub>
        </m:sSub>
      </m:oMath>
      <w:r>
        <w:rPr>
          <w:rFonts w:hint="eastAsia"/>
          <w:lang w:eastAsia="zh-CN"/>
        </w:rPr>
        <w:t xml:space="preserve"> </w:t>
      </w:r>
      <w:r>
        <w:rPr>
          <w:lang w:eastAsia="zh-CN"/>
        </w:rPr>
        <w:t xml:space="preserve">Is the number of LEO satellites to be measured within i-th SMTC, </w:t>
      </w:r>
    </w:p>
    <w:p w14:paraId="4A15DF16" w14:textId="5406556D" w:rsidR="000417B5" w:rsidRDefault="000417B5" w:rsidP="000417B5">
      <w:pPr>
        <w:pStyle w:val="B10"/>
        <w:rPr>
          <w:lang w:eastAsia="zh-CN"/>
        </w:rPr>
      </w:pPr>
      <w:r>
        <w:t>-</w:t>
      </w:r>
      <w:r>
        <w:tab/>
      </w:r>
      <m:oMath>
        <m:sSub>
          <m:sSubPr>
            <m:ctrlPr>
              <w:rPr>
                <w:rFonts w:ascii="Cambria Math" w:hAnsi="Cambria Math"/>
                <w:i/>
              </w:rPr>
            </m:ctrlPr>
          </m:sSubPr>
          <m:e>
            <m:r>
              <w:rPr>
                <w:rFonts w:ascii="Cambria Math" w:hAnsi="Cambria Math"/>
              </w:rPr>
              <m:t>N</m:t>
            </m:r>
          </m:e>
          <m:sub>
            <m:r>
              <w:rPr>
                <w:rFonts w:ascii="Cambria Math" w:hAnsi="Cambria Math"/>
              </w:rPr>
              <m:t>LEO,simul</m:t>
            </m:r>
          </m:sub>
        </m:sSub>
      </m:oMath>
      <w:r>
        <w:rPr>
          <w:rFonts w:hint="eastAsia"/>
          <w:lang w:eastAsia="zh-CN"/>
        </w:rPr>
        <w:t xml:space="preserve"> </w:t>
      </w:r>
      <w:r>
        <w:rPr>
          <w:lang w:eastAsia="zh-CN"/>
        </w:rPr>
        <w:t>Is the number of LEO satellites that UE can measure in parallel within an SMTC,</w:t>
      </w:r>
    </w:p>
    <w:p w14:paraId="11208650" w14:textId="7B0970FE" w:rsidR="000417B5" w:rsidRDefault="000417B5" w:rsidP="000417B5">
      <w:pPr>
        <w:pStyle w:val="B10"/>
        <w:rPr>
          <w:lang w:eastAsia="zh-CN"/>
        </w:rPr>
      </w:pPr>
      <w:r>
        <w:t>-</w:t>
      </w:r>
      <w:r>
        <w:tab/>
      </w:r>
      <m:oMath>
        <m:sSub>
          <m:sSubPr>
            <m:ctrlPr>
              <w:rPr>
                <w:rFonts w:ascii="Cambria Math" w:hAnsi="Cambria Math"/>
                <w:i/>
              </w:rPr>
            </m:ctrlPr>
          </m:sSubPr>
          <m:e>
            <m:r>
              <w:rPr>
                <w:rFonts w:ascii="Cambria Math" w:hAnsi="Cambria Math"/>
              </w:rPr>
              <m:t>N</m:t>
            </m:r>
          </m:e>
          <m:sub>
            <m:r>
              <w:rPr>
                <w:rFonts w:ascii="Cambria Math" w:hAnsi="Cambria Math"/>
              </w:rPr>
              <m:t>SMTC,overlap</m:t>
            </m:r>
          </m:sub>
        </m:sSub>
      </m:oMath>
      <w:r>
        <w:rPr>
          <w:rFonts w:hint="eastAsia"/>
          <w:lang w:eastAsia="zh-CN"/>
        </w:rPr>
        <w:t xml:space="preserve"> </w:t>
      </w:r>
      <w:r>
        <w:rPr>
          <w:lang w:eastAsia="zh-CN"/>
        </w:rPr>
        <w:t>Is the number of smtcs that partially overlap with each other.</w:t>
      </w:r>
    </w:p>
    <w:p w14:paraId="3421CEB0" w14:textId="77777777" w:rsidR="007E4889" w:rsidRPr="00374637" w:rsidRDefault="007E4889" w:rsidP="007E4889">
      <w:pPr>
        <w:pStyle w:val="NO"/>
        <w:rPr>
          <w:lang w:eastAsia="zh-CN"/>
        </w:rPr>
      </w:pPr>
      <w:r>
        <w:rPr>
          <w:rFonts w:hint="eastAsia"/>
          <w:lang w:eastAsia="zh-CN"/>
        </w:rPr>
        <w:t>N</w:t>
      </w:r>
      <w:r>
        <w:rPr>
          <w:lang w:eastAsia="zh-CN"/>
        </w:rPr>
        <w:t xml:space="preserve">ote: for deriving </w:t>
      </w:r>
      <w:r w:rsidRPr="00E048BE">
        <w:t>K</w:t>
      </w:r>
      <w:r w:rsidRPr="00E048BE">
        <w:rPr>
          <w:vertAlign w:val="subscript"/>
        </w:rPr>
        <w:t>multi_SMTC</w:t>
      </w:r>
      <w:r w:rsidRPr="00374637">
        <w:rPr>
          <w:lang w:eastAsia="zh-CN"/>
        </w:rPr>
        <w:t xml:space="preserve"> </w:t>
      </w:r>
      <w:r>
        <w:rPr>
          <w:lang w:eastAsia="zh-CN"/>
        </w:rPr>
        <w:t xml:space="preserve">for </w:t>
      </w:r>
      <w:r w:rsidRPr="00E048BE">
        <w:t>T</w:t>
      </w:r>
      <w:r w:rsidRPr="00E048BE">
        <w:rPr>
          <w:vertAlign w:val="subscript"/>
        </w:rPr>
        <w:t>detect,</w:t>
      </w:r>
      <w:r w:rsidRPr="00E048BE">
        <w:rPr>
          <w:vertAlign w:val="subscript"/>
          <w:lang w:eastAsia="zh-CN"/>
        </w:rPr>
        <w:t>NR</w:t>
      </w:r>
      <w:r w:rsidRPr="00E048BE">
        <w:rPr>
          <w:vertAlign w:val="subscript"/>
        </w:rPr>
        <w:t>_Intra</w:t>
      </w:r>
      <w:r>
        <w:rPr>
          <w:lang w:eastAsia="zh-CN"/>
        </w:rPr>
        <w:t xml:space="preserve">, </w:t>
      </w:r>
      <w:r w:rsidRPr="00E048BE">
        <w:t>T</w:t>
      </w:r>
      <w:r w:rsidRPr="00E048BE">
        <w:rPr>
          <w:vertAlign w:val="subscript"/>
        </w:rPr>
        <w:t>measure,NR_Intra</w:t>
      </w:r>
      <w:r>
        <w:rPr>
          <w:lang w:eastAsia="zh-CN"/>
        </w:rPr>
        <w:t xml:space="preserve"> and </w:t>
      </w:r>
      <w:r w:rsidRPr="00E048BE">
        <w:t>T</w:t>
      </w:r>
      <w:r w:rsidRPr="00E048BE">
        <w:rPr>
          <w:vertAlign w:val="subscript"/>
        </w:rPr>
        <w:t>evaluate,</w:t>
      </w:r>
      <w:r w:rsidRPr="00E048BE">
        <w:rPr>
          <w:vertAlign w:val="subscript"/>
          <w:lang w:eastAsia="zh-CN"/>
        </w:rPr>
        <w:t>NR</w:t>
      </w:r>
      <w:r w:rsidRPr="00E048BE">
        <w:rPr>
          <w:vertAlign w:val="subscript"/>
        </w:rPr>
        <w:t>_Intra</w:t>
      </w:r>
      <w:r>
        <w:rPr>
          <w:lang w:eastAsia="zh-CN"/>
        </w:rPr>
        <w:t xml:space="preserve">, </w:t>
      </w:r>
      <w:r w:rsidRPr="00374637">
        <w:rPr>
          <w:lang w:eastAsia="zh-CN"/>
        </w:rPr>
        <w:t xml:space="preserve">two SMTCs are considered as overlapping if they overlap in one or more occasions during </w:t>
      </w:r>
      <w:r>
        <w:rPr>
          <w:lang w:eastAsia="zh-CN"/>
        </w:rPr>
        <w:t xml:space="preserve">a single </w:t>
      </w:r>
      <w:r w:rsidRPr="00E048BE">
        <w:t>T</w:t>
      </w:r>
      <w:r w:rsidRPr="00E048BE">
        <w:rPr>
          <w:vertAlign w:val="subscript"/>
        </w:rPr>
        <w:t>detect,</w:t>
      </w:r>
      <w:r w:rsidRPr="00E048BE">
        <w:rPr>
          <w:vertAlign w:val="subscript"/>
          <w:lang w:eastAsia="zh-CN"/>
        </w:rPr>
        <w:t>NR</w:t>
      </w:r>
      <w:r w:rsidRPr="00E048BE">
        <w:rPr>
          <w:vertAlign w:val="subscript"/>
        </w:rPr>
        <w:t>_Intra</w:t>
      </w:r>
      <w:r>
        <w:rPr>
          <w:lang w:eastAsia="zh-CN"/>
        </w:rPr>
        <w:t xml:space="preserve">, </w:t>
      </w:r>
      <w:r w:rsidRPr="00E048BE">
        <w:t>T</w:t>
      </w:r>
      <w:r w:rsidRPr="00E048BE">
        <w:rPr>
          <w:vertAlign w:val="subscript"/>
        </w:rPr>
        <w:t>measure,NR_Intra</w:t>
      </w:r>
      <w:r>
        <w:rPr>
          <w:lang w:eastAsia="zh-CN"/>
        </w:rPr>
        <w:t xml:space="preserve"> or </w:t>
      </w:r>
      <w:r w:rsidRPr="00E048BE">
        <w:t>T</w:t>
      </w:r>
      <w:r w:rsidRPr="00E048BE">
        <w:rPr>
          <w:vertAlign w:val="subscript"/>
        </w:rPr>
        <w:t>evaluate,</w:t>
      </w:r>
      <w:r w:rsidRPr="00E048BE">
        <w:rPr>
          <w:vertAlign w:val="subscript"/>
          <w:lang w:eastAsia="zh-CN"/>
        </w:rPr>
        <w:t>NR</w:t>
      </w:r>
      <w:r w:rsidRPr="00E048BE">
        <w:rPr>
          <w:vertAlign w:val="subscript"/>
        </w:rPr>
        <w:t>_Intra</w:t>
      </w:r>
      <w:r>
        <w:rPr>
          <w:lang w:eastAsia="zh-CN"/>
        </w:rPr>
        <w:t>.</w:t>
      </w:r>
    </w:p>
    <w:p w14:paraId="34D5EAFD" w14:textId="73ACF593" w:rsidR="004C5AE6" w:rsidRDefault="004C5AE6" w:rsidP="004C5AE6">
      <w:pPr>
        <w:rPr>
          <w:rFonts w:cs="v4.2.0"/>
        </w:rPr>
      </w:pPr>
      <w:r>
        <w:rPr>
          <w:rFonts w:cs="v4.2.0"/>
        </w:rPr>
        <w:t>The parameter K</w:t>
      </w:r>
      <w:r>
        <w:rPr>
          <w:rFonts w:cs="v4.2.0"/>
          <w:vertAlign w:val="subscript"/>
        </w:rPr>
        <w:t>multi_SMTC</w:t>
      </w:r>
      <w:r>
        <w:rPr>
          <w:rFonts w:cs="v4.2.0"/>
        </w:rPr>
        <w:t xml:space="preserve"> is the scaling factor for measurements of multiple SMTCs which correspond to different satellites.</w:t>
      </w:r>
    </w:p>
    <w:p w14:paraId="1BCD1353" w14:textId="77777777" w:rsidR="00CB7408" w:rsidRDefault="00CB7408" w:rsidP="00CB7408">
      <w:pPr>
        <w:rPr>
          <w:lang w:eastAsia="zh-CN"/>
        </w:rPr>
      </w:pPr>
      <w:r>
        <w:t xml:space="preserve">The UE shall not consider a </w:t>
      </w:r>
      <w:r>
        <w:rPr>
          <w:lang w:eastAsia="zh-CN"/>
        </w:rPr>
        <w:t>NR</w:t>
      </w:r>
      <w:r>
        <w:t xml:space="preserve"> neighbour cell in cell reselection, if it is indicated as not allowed in the measurement control system information of the serving cell.</w:t>
      </w:r>
    </w:p>
    <w:p w14:paraId="256B26A7" w14:textId="1E55342D" w:rsidR="00CB7408" w:rsidRDefault="004C5AE6" w:rsidP="00CB7408">
      <w:pPr>
        <w:rPr>
          <w:rFonts w:cs="v4.2.0"/>
        </w:rPr>
      </w:pPr>
      <w:r>
        <w:rPr>
          <w:rFonts w:cs="v4.2.0"/>
        </w:rPr>
        <w:t xml:space="preserve">For an intra-frequency cell that has been already detected, but that has not been reselected to, the filtering shall be such that the UE shall be capable of evaluating that the intra-frequency cell has met reselection criterion defined </w:t>
      </w:r>
      <w:r>
        <w:t xml:space="preserve">in </w:t>
      </w:r>
      <w:r w:rsidRPr="009C5807">
        <w:t>TS3</w:t>
      </w:r>
      <w:r w:rsidRPr="009C5807">
        <w:rPr>
          <w:lang w:eastAsia="zh-CN"/>
        </w:rPr>
        <w:t>8</w:t>
      </w:r>
      <w:r w:rsidRPr="009C5807">
        <w:t>.304 [1]</w:t>
      </w:r>
      <w:r>
        <w:rPr>
          <w:rFonts w:cs="v4.2.0"/>
        </w:rPr>
        <w:t xml:space="preserve"> within </w:t>
      </w:r>
      <w:r w:rsidR="00B64AB3" w:rsidRPr="009C5807">
        <w:rPr>
          <w:rFonts w:cs="v4.2.0"/>
        </w:rPr>
        <w:t>K</w:t>
      </w:r>
      <w:r w:rsidR="00B64AB3">
        <w:rPr>
          <w:rFonts w:cs="v4.2.0"/>
          <w:vertAlign w:val="subscript"/>
        </w:rPr>
        <w:t>multi_SMTC</w:t>
      </w:r>
      <w:r w:rsidR="00B64AB3" w:rsidRPr="009C5807">
        <w:rPr>
          <w:rFonts w:cs="v4.2.0"/>
        </w:rPr>
        <w:t xml:space="preserve"> *</w:t>
      </w:r>
      <w:r w:rsidR="00B64AB3">
        <w:rPr>
          <w:rFonts w:cs="v4.2.0"/>
        </w:rPr>
        <w:t xml:space="preserve"> T</w:t>
      </w:r>
      <w:r w:rsidR="00B64AB3">
        <w:rPr>
          <w:rFonts w:cs="v4.2.0"/>
          <w:vertAlign w:val="subscript"/>
        </w:rPr>
        <w:t>evaluate,</w:t>
      </w:r>
      <w:r w:rsidR="00B64AB3">
        <w:rPr>
          <w:rFonts w:cs="v4.2.0"/>
          <w:vertAlign w:val="subscript"/>
          <w:lang w:eastAsia="zh-CN"/>
        </w:rPr>
        <w:t>NR</w:t>
      </w:r>
      <w:r w:rsidR="00B64AB3">
        <w:rPr>
          <w:rFonts w:cs="v4.2.0"/>
          <w:vertAlign w:val="subscript"/>
        </w:rPr>
        <w:t>_Intra</w:t>
      </w:r>
      <w:r>
        <w:rPr>
          <w:rFonts w:cs="v4.2.0"/>
        </w:rPr>
        <w:t xml:space="preserve"> if the UE does not support the feature for e</w:t>
      </w:r>
      <w:r w:rsidRPr="006674EF">
        <w:rPr>
          <w:rFonts w:cs="v4.2.0"/>
        </w:rPr>
        <w:t xml:space="preserve">nhanced RRM requirements </w:t>
      </w:r>
      <w:r>
        <w:rPr>
          <w:rFonts w:cs="v4.2.0"/>
        </w:rPr>
        <w:t xml:space="preserve">defined in </w:t>
      </w:r>
      <w:r w:rsidRPr="009C5807">
        <w:t>TS3</w:t>
      </w:r>
      <w:r w:rsidRPr="009C5807">
        <w:rPr>
          <w:lang w:eastAsia="zh-CN"/>
        </w:rPr>
        <w:t>8</w:t>
      </w:r>
      <w:r w:rsidRPr="009C5807">
        <w:t>.30</w:t>
      </w:r>
      <w:r>
        <w:t>6</w:t>
      </w:r>
      <w:r w:rsidRPr="009C5807">
        <w:t xml:space="preserve"> [1</w:t>
      </w:r>
      <w:r>
        <w:t>4</w:t>
      </w:r>
      <w:r w:rsidRPr="009C5807">
        <w:t>]</w:t>
      </w:r>
      <w:r w:rsidDel="00955394">
        <w:rPr>
          <w:rFonts w:cs="v4.2.0"/>
        </w:rPr>
        <w:t xml:space="preserve"> </w:t>
      </w:r>
      <w:r>
        <w:rPr>
          <w:rFonts w:cs="v4.2.0"/>
        </w:rPr>
        <w:t xml:space="preserve"> or if the </w:t>
      </w:r>
      <w:r w:rsidRPr="00FA3B11">
        <w:rPr>
          <w:i/>
        </w:rPr>
        <w:t>enhancedMeasurementLEO-r17</w:t>
      </w:r>
      <w:r>
        <w:rPr>
          <w:rFonts w:cs="v4.2.0"/>
        </w:rPr>
        <w:t xml:space="preserve"> is not enabled, or</w:t>
      </w:r>
      <w:r w:rsidRPr="00624935">
        <w:rPr>
          <w:rFonts w:cs="v4.2.0"/>
        </w:rPr>
        <w:t xml:space="preserve"> </w:t>
      </w:r>
      <w:r>
        <w:rPr>
          <w:rFonts w:cs="v4.2.0"/>
        </w:rPr>
        <w:t xml:space="preserve">within </w:t>
      </w:r>
      <w:r w:rsidR="00B64AB3" w:rsidRPr="009C5807">
        <w:rPr>
          <w:rFonts w:cs="v4.2.0"/>
        </w:rPr>
        <w:t>K</w:t>
      </w:r>
      <w:r w:rsidR="00B64AB3">
        <w:rPr>
          <w:rFonts w:cs="v4.2.0"/>
          <w:vertAlign w:val="subscript"/>
        </w:rPr>
        <w:t>multi_SMTC</w:t>
      </w:r>
      <w:r w:rsidR="00B64AB3" w:rsidRPr="009C5807">
        <w:rPr>
          <w:rFonts w:cs="v4.2.0"/>
        </w:rPr>
        <w:t xml:space="preserve"> *</w:t>
      </w:r>
      <w:r w:rsidR="00B64AB3">
        <w:rPr>
          <w:rFonts w:cs="v4.2.0"/>
        </w:rPr>
        <w:t xml:space="preserve"> T</w:t>
      </w:r>
      <w:r w:rsidR="00B64AB3">
        <w:rPr>
          <w:rFonts w:cs="v4.2.0"/>
          <w:vertAlign w:val="subscript"/>
        </w:rPr>
        <w:t>evaluate,</w:t>
      </w:r>
      <w:r w:rsidR="00B64AB3">
        <w:rPr>
          <w:rFonts w:cs="v4.2.0"/>
          <w:vertAlign w:val="subscript"/>
          <w:lang w:eastAsia="zh-CN"/>
        </w:rPr>
        <w:t>NR</w:t>
      </w:r>
      <w:r w:rsidR="00B64AB3">
        <w:rPr>
          <w:rFonts w:cs="v4.2.0"/>
          <w:vertAlign w:val="subscript"/>
        </w:rPr>
        <w:t>_Intra_enh</w:t>
      </w:r>
      <w:r>
        <w:rPr>
          <w:rFonts w:cs="v4.2.0"/>
        </w:rPr>
        <w:t xml:space="preserve"> if the UE supports the feature for e</w:t>
      </w:r>
      <w:r w:rsidRPr="006674EF">
        <w:rPr>
          <w:rFonts w:cs="v4.2.0"/>
        </w:rPr>
        <w:t xml:space="preserve">nhanced RRM requirements </w:t>
      </w:r>
      <w:r>
        <w:rPr>
          <w:rFonts w:cs="v4.2.0"/>
        </w:rPr>
        <w:t xml:space="preserve">defined in </w:t>
      </w:r>
      <w:r w:rsidRPr="009C5807">
        <w:t>TS3</w:t>
      </w:r>
      <w:r w:rsidRPr="009C5807">
        <w:rPr>
          <w:lang w:eastAsia="zh-CN"/>
        </w:rPr>
        <w:t>8</w:t>
      </w:r>
      <w:r w:rsidRPr="009C5807">
        <w:t>.30</w:t>
      </w:r>
      <w:r>
        <w:t>6</w:t>
      </w:r>
      <w:r w:rsidRPr="009C5807">
        <w:t xml:space="preserve"> [1</w:t>
      </w:r>
      <w:r>
        <w:t>4</w:t>
      </w:r>
      <w:r w:rsidRPr="009C5807">
        <w:t>]</w:t>
      </w:r>
      <w:r w:rsidDel="00955394">
        <w:rPr>
          <w:rFonts w:cs="v4.2.0"/>
        </w:rPr>
        <w:t xml:space="preserve"> </w:t>
      </w:r>
      <w:r>
        <w:rPr>
          <w:rFonts w:cs="v4.2.0"/>
        </w:rPr>
        <w:t xml:space="preserve"> and the </w:t>
      </w:r>
      <w:r w:rsidRPr="00FA3B11">
        <w:rPr>
          <w:i/>
        </w:rPr>
        <w:t>enhancedMeasurementLEO-r17</w:t>
      </w:r>
      <w:r>
        <w:rPr>
          <w:rFonts w:cs="v4.2.0"/>
        </w:rPr>
        <w:t xml:space="preserve"> is enabled, when T</w:t>
      </w:r>
      <w:r>
        <w:rPr>
          <w:rFonts w:cs="v4.2.0"/>
          <w:vertAlign w:val="subscript"/>
        </w:rPr>
        <w:t>reselection</w:t>
      </w:r>
      <w:r>
        <w:rPr>
          <w:rFonts w:cs="v4.2.0"/>
        </w:rPr>
        <w:t xml:space="preserve"> = 0</w:t>
      </w:r>
      <w:r>
        <w:rPr>
          <w:rFonts w:cs="v4.2.0"/>
          <w:i/>
          <w:vertAlign w:val="subscript"/>
        </w:rPr>
        <w:t xml:space="preserve"> </w:t>
      </w:r>
      <w:r>
        <w:rPr>
          <w:rFonts w:cs="v4.2.0"/>
        </w:rPr>
        <w:t>as specified in table 4.2C.2.3-1 or table 4.2C.2.3-2 provided that:</w:t>
      </w:r>
    </w:p>
    <w:p w14:paraId="1AB6A3CB" w14:textId="77777777" w:rsidR="00CB7408" w:rsidRDefault="00CB7408" w:rsidP="00CB7408">
      <w:pPr>
        <w:pStyle w:val="B10"/>
      </w:pPr>
      <w:r>
        <w:t>-</w:t>
      </w:r>
      <w:r>
        <w:tab/>
        <w:t xml:space="preserve">when </w:t>
      </w:r>
      <w:r>
        <w:rPr>
          <w:i/>
        </w:rPr>
        <w:t>rangeToBestCell</w:t>
      </w:r>
      <w:r>
        <w:t xml:space="preserve"> is not configured:</w:t>
      </w:r>
    </w:p>
    <w:p w14:paraId="6BB67564" w14:textId="77777777" w:rsidR="00CB7408" w:rsidRDefault="00CB7408" w:rsidP="00CB7408">
      <w:pPr>
        <w:pStyle w:val="B10"/>
      </w:pPr>
      <w:r>
        <w:t>-</w:t>
      </w:r>
      <w:r>
        <w:tab/>
        <w:t xml:space="preserve">the cell is at least </w:t>
      </w:r>
      <w:r>
        <w:rPr>
          <w:lang w:eastAsia="zh-CN"/>
        </w:rPr>
        <w:t>3</w:t>
      </w:r>
      <w:r>
        <w:t>dB better ranked in FR1 or 4.5dB better ranked in FR2.</w:t>
      </w:r>
    </w:p>
    <w:p w14:paraId="51C26494" w14:textId="77777777" w:rsidR="00CB7408" w:rsidRDefault="00CB7408" w:rsidP="00CB7408">
      <w:pPr>
        <w:pStyle w:val="B10"/>
      </w:pPr>
      <w:r>
        <w:rPr>
          <w:lang w:eastAsia="zh-CN"/>
        </w:rPr>
        <w:t>-</w:t>
      </w:r>
      <w:r>
        <w:rPr>
          <w:lang w:eastAsia="zh-CN"/>
        </w:rPr>
        <w:tab/>
        <w:t xml:space="preserve">when </w:t>
      </w:r>
      <w:r>
        <w:rPr>
          <w:i/>
        </w:rPr>
        <w:t>rangeToBestCell</w:t>
      </w:r>
      <w:r>
        <w:t xml:space="preserve"> is configured:</w:t>
      </w:r>
    </w:p>
    <w:p w14:paraId="2999674C" w14:textId="45BF57C6" w:rsidR="00CB7408" w:rsidRDefault="004C5AE6" w:rsidP="00CB7408">
      <w:pPr>
        <w:pStyle w:val="B10"/>
      </w:pPr>
      <w:r>
        <w:t>-</w:t>
      </w:r>
      <w:r>
        <w:tab/>
        <w:t xml:space="preserve">the cell has the highest number of beams above the threshold </w:t>
      </w:r>
      <w:r>
        <w:rPr>
          <w:i/>
        </w:rPr>
        <w:t>absThreshSS-BlocksConsolidation</w:t>
      </w:r>
      <w:r>
        <w:t xml:space="preserve"> among all detected cells whose cell-ranking criterion R value in </w:t>
      </w:r>
      <w:r w:rsidRPr="009C5807">
        <w:t>TS3</w:t>
      </w:r>
      <w:r w:rsidRPr="009C5807">
        <w:rPr>
          <w:lang w:eastAsia="zh-CN"/>
        </w:rPr>
        <w:t>8</w:t>
      </w:r>
      <w:r w:rsidRPr="009C5807">
        <w:t>.304 [1]</w:t>
      </w:r>
      <w:r>
        <w:t xml:space="preserve"> is within </w:t>
      </w:r>
      <w:r>
        <w:rPr>
          <w:i/>
        </w:rPr>
        <w:t>rangeToBestCell</w:t>
      </w:r>
      <w:r>
        <w:t xml:space="preserve"> of the cell-ranking criterion </w:t>
      </w:r>
      <w:r>
        <w:rPr>
          <w:rFonts w:cs="v4.2.0"/>
        </w:rPr>
        <w:t xml:space="preserve">R value </w:t>
      </w:r>
      <w:r>
        <w:t>of the highest ranked cell.</w:t>
      </w:r>
    </w:p>
    <w:p w14:paraId="7D1C86CD" w14:textId="77777777" w:rsidR="00CB7408" w:rsidRDefault="00CB7408" w:rsidP="00CB7408">
      <w:pPr>
        <w:pStyle w:val="B20"/>
      </w:pPr>
      <w:r>
        <w:t>-</w:t>
      </w:r>
      <w:r>
        <w:tab/>
        <w:t xml:space="preserve">if there are multiple such cells, the cell has the highest rank among them. </w:t>
      </w:r>
    </w:p>
    <w:p w14:paraId="4A6C6F84" w14:textId="77777777" w:rsidR="00CB7408" w:rsidRDefault="00CB7408" w:rsidP="00CB7408">
      <w:pPr>
        <w:pStyle w:val="B30"/>
      </w:pPr>
      <w:r>
        <w:t>-</w:t>
      </w:r>
      <w:r>
        <w:tab/>
        <w:t>the cell is at least 3dB better ranked in FR1 or 4.5dB better ranked in FR2 if the current serving cell is among them.</w:t>
      </w:r>
    </w:p>
    <w:p w14:paraId="3CFEFD56" w14:textId="77777777" w:rsidR="00CB7408" w:rsidRDefault="00CB7408" w:rsidP="00CB7408">
      <w:pPr>
        <w:rPr>
          <w:rFonts w:cs="v4.2.0"/>
        </w:rPr>
      </w:pPr>
      <w:r>
        <w:rPr>
          <w:rFonts w:cs="v4.2.0"/>
        </w:rPr>
        <w:t>When evaluating cells for reselection, the SSB side conditions apply to both serving and non-serving intra-frequency cells.</w:t>
      </w:r>
    </w:p>
    <w:p w14:paraId="30B7BE1D" w14:textId="58970DF6" w:rsidR="008B5183" w:rsidRDefault="004C5AE6" w:rsidP="008B5183">
      <w:pPr>
        <w:rPr>
          <w:rFonts w:cs="v4.2.0"/>
          <w:lang w:eastAsia="zh-CN"/>
        </w:rPr>
      </w:pPr>
      <w:r>
        <w:rPr>
          <w:rFonts w:cs="v4.2.0"/>
          <w:lang w:eastAsia="zh-CN"/>
        </w:rPr>
        <w:t>If T</w:t>
      </w:r>
      <w:r>
        <w:rPr>
          <w:rFonts w:cs="v4.2.0"/>
          <w:vertAlign w:val="subscript"/>
          <w:lang w:eastAsia="zh-CN"/>
        </w:rPr>
        <w:t>reselection</w:t>
      </w:r>
      <w:r>
        <w:rPr>
          <w:rFonts w:cs="v4.2.0"/>
          <w:lang w:eastAsia="zh-CN"/>
        </w:rPr>
        <w:t xml:space="preserve"> timer has a nonzero value and the intra-frequency</w:t>
      </w:r>
      <w:r>
        <w:rPr>
          <w:rFonts w:cs="v3.7.0"/>
        </w:rPr>
        <w:t xml:space="preserve"> cell is satisfied with the reselection criteria which are defined in </w:t>
      </w:r>
      <w:r w:rsidRPr="009C5807">
        <w:t>TS3</w:t>
      </w:r>
      <w:r w:rsidRPr="009C5807">
        <w:rPr>
          <w:lang w:eastAsia="zh-CN"/>
        </w:rPr>
        <w:t>8</w:t>
      </w:r>
      <w:r w:rsidRPr="009C5807">
        <w:t>.304 [1]</w:t>
      </w:r>
      <w:r>
        <w:rPr>
          <w:rFonts w:cs="v3.7.0"/>
        </w:rPr>
        <w:t xml:space="preserve">, </w:t>
      </w:r>
      <w:r>
        <w:rPr>
          <w:rFonts w:cs="v4.2.0"/>
          <w:lang w:eastAsia="zh-CN"/>
        </w:rPr>
        <w:t>the UE shall evaluate this intra-frequency cell for the T</w:t>
      </w:r>
      <w:r>
        <w:rPr>
          <w:rFonts w:cs="v4.2.0"/>
          <w:vertAlign w:val="subscript"/>
          <w:lang w:eastAsia="zh-CN"/>
        </w:rPr>
        <w:t>reselection</w:t>
      </w:r>
      <w:r>
        <w:rPr>
          <w:rFonts w:cs="v4.2.0"/>
          <w:lang w:eastAsia="zh-CN"/>
        </w:rPr>
        <w:t xml:space="preserve"> time. If this cell remains satisfied with the reselection criteria within this duration, then the UE shall reselect that cell.</w:t>
      </w:r>
    </w:p>
    <w:p w14:paraId="14052EA3" w14:textId="77777777" w:rsidR="008B5183" w:rsidRDefault="008B5183" w:rsidP="008B5183">
      <w:pPr>
        <w:pStyle w:val="TH"/>
        <w:rPr>
          <w:lang w:val="en-US"/>
        </w:rPr>
      </w:pPr>
      <w:r>
        <w:rPr>
          <w:lang w:val="en-US"/>
        </w:rPr>
        <w:t>Table 4.2C.2.3-1: T</w:t>
      </w:r>
      <w:r>
        <w:rPr>
          <w:vertAlign w:val="subscript"/>
          <w:lang w:val="en-US"/>
        </w:rPr>
        <w:t>detect,NR_Intra,</w:t>
      </w:r>
      <w:r>
        <w:rPr>
          <w:lang w:val="en-US"/>
        </w:rPr>
        <w:t xml:space="preserve"> T</w:t>
      </w:r>
      <w:r>
        <w:rPr>
          <w:vertAlign w:val="subscript"/>
          <w:lang w:val="en-US"/>
        </w:rPr>
        <w:t>measure,NR_Intra</w:t>
      </w:r>
      <w:r>
        <w:rPr>
          <w:lang w:val="en-US"/>
        </w:rPr>
        <w:t xml:space="preserve"> and T</w:t>
      </w:r>
      <w:r>
        <w:rPr>
          <w:vertAlign w:val="subscript"/>
          <w:lang w:val="en-US"/>
        </w:rPr>
        <w:t>evaluate,NR_Intra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2043"/>
        <w:gridCol w:w="2140"/>
        <w:gridCol w:w="2141"/>
        <w:gridCol w:w="2141"/>
      </w:tblGrid>
      <w:tr w:rsidR="008B5183" w14:paraId="0CCD9D48" w14:textId="77777777" w:rsidTr="001313A6">
        <w:trPr>
          <w:cantSplit/>
          <w:trHeight w:val="308"/>
          <w:jc w:val="center"/>
        </w:trPr>
        <w:tc>
          <w:tcPr>
            <w:tcW w:w="604" w:type="pct"/>
            <w:tcBorders>
              <w:top w:val="single" w:sz="4" w:space="0" w:color="auto"/>
              <w:left w:val="single" w:sz="4" w:space="0" w:color="auto"/>
              <w:bottom w:val="nil"/>
              <w:right w:val="single" w:sz="4" w:space="0" w:color="auto"/>
            </w:tcBorders>
            <w:hideMark/>
          </w:tcPr>
          <w:p w14:paraId="25DADD5C" w14:textId="77777777" w:rsidR="008B5183" w:rsidRDefault="008B5183" w:rsidP="001313A6">
            <w:pPr>
              <w:keepNext/>
              <w:keepLines/>
              <w:spacing w:after="0"/>
              <w:jc w:val="center"/>
              <w:rPr>
                <w:rFonts w:ascii="Arial" w:hAnsi="Arial"/>
                <w:b/>
                <w:sz w:val="18"/>
              </w:rPr>
            </w:pPr>
            <w:r>
              <w:rPr>
                <w:rFonts w:ascii="Arial" w:hAnsi="Arial"/>
                <w:b/>
                <w:sz w:val="18"/>
              </w:rPr>
              <w:t>DRX cycle length [s]</w:t>
            </w:r>
          </w:p>
        </w:tc>
        <w:tc>
          <w:tcPr>
            <w:tcW w:w="1061" w:type="pct"/>
            <w:tcBorders>
              <w:top w:val="single" w:sz="4" w:space="0" w:color="auto"/>
              <w:left w:val="single" w:sz="4" w:space="0" w:color="auto"/>
              <w:bottom w:val="single" w:sz="4" w:space="0" w:color="auto"/>
              <w:right w:val="single" w:sz="4" w:space="0" w:color="auto"/>
            </w:tcBorders>
            <w:hideMark/>
          </w:tcPr>
          <w:p w14:paraId="586AEA76" w14:textId="77777777" w:rsidR="008B5183" w:rsidRDefault="008B5183" w:rsidP="001313A6">
            <w:pPr>
              <w:keepNext/>
              <w:keepLines/>
              <w:spacing w:after="0"/>
              <w:jc w:val="center"/>
              <w:rPr>
                <w:rFonts w:ascii="Arial" w:hAnsi="Arial"/>
                <w:b/>
                <w:sz w:val="18"/>
              </w:rPr>
            </w:pPr>
            <w:r>
              <w:rPr>
                <w:rFonts w:ascii="Arial" w:hAnsi="Arial"/>
                <w:b/>
                <w:sz w:val="18"/>
              </w:rPr>
              <w:t>Scaling Factor (N1)</w:t>
            </w:r>
          </w:p>
        </w:tc>
        <w:tc>
          <w:tcPr>
            <w:tcW w:w="1111" w:type="pct"/>
            <w:tcBorders>
              <w:top w:val="single" w:sz="4" w:space="0" w:color="auto"/>
              <w:left w:val="single" w:sz="4" w:space="0" w:color="auto"/>
              <w:bottom w:val="nil"/>
              <w:right w:val="single" w:sz="4" w:space="0" w:color="auto"/>
            </w:tcBorders>
            <w:hideMark/>
          </w:tcPr>
          <w:p w14:paraId="18B19B1E" w14:textId="77777777" w:rsidR="008B5183" w:rsidRDefault="008B5183" w:rsidP="001313A6">
            <w:pPr>
              <w:keepNext/>
              <w:keepLines/>
              <w:spacing w:after="0"/>
              <w:jc w:val="center"/>
              <w:rPr>
                <w:rFonts w:ascii="Arial" w:hAnsi="Arial"/>
                <w:b/>
                <w:sz w:val="18"/>
              </w:rPr>
            </w:pPr>
            <w:r>
              <w:rPr>
                <w:rFonts w:ascii="Arial" w:hAnsi="Arial"/>
                <w:b/>
                <w:sz w:val="18"/>
              </w:rPr>
              <w:t>T</w:t>
            </w:r>
            <w:r>
              <w:rPr>
                <w:rFonts w:ascii="Arial" w:hAnsi="Arial"/>
                <w:b/>
                <w:sz w:val="18"/>
                <w:vertAlign w:val="subscript"/>
              </w:rPr>
              <w:t>detect,NR_Intra</w:t>
            </w:r>
            <w:r>
              <w:rPr>
                <w:rFonts w:ascii="Arial" w:hAnsi="Arial"/>
                <w:b/>
                <w:sz w:val="18"/>
              </w:rPr>
              <w:t xml:space="preserve"> [s] (number of DRX cycles)</w:t>
            </w:r>
          </w:p>
        </w:tc>
        <w:tc>
          <w:tcPr>
            <w:tcW w:w="1112" w:type="pct"/>
            <w:tcBorders>
              <w:top w:val="single" w:sz="4" w:space="0" w:color="auto"/>
              <w:left w:val="single" w:sz="4" w:space="0" w:color="auto"/>
              <w:bottom w:val="nil"/>
              <w:right w:val="single" w:sz="4" w:space="0" w:color="auto"/>
            </w:tcBorders>
            <w:hideMark/>
          </w:tcPr>
          <w:p w14:paraId="7098971A" w14:textId="77777777" w:rsidR="008B5183" w:rsidRDefault="008B5183" w:rsidP="001313A6">
            <w:pPr>
              <w:keepNext/>
              <w:keepLines/>
              <w:spacing w:after="0"/>
              <w:jc w:val="center"/>
              <w:rPr>
                <w:rFonts w:ascii="Arial" w:hAnsi="Arial"/>
                <w:b/>
                <w:sz w:val="18"/>
              </w:rPr>
            </w:pPr>
            <w:r>
              <w:rPr>
                <w:rFonts w:ascii="Arial" w:hAnsi="Arial"/>
                <w:b/>
                <w:sz w:val="18"/>
              </w:rPr>
              <w:t>T</w:t>
            </w:r>
            <w:r>
              <w:rPr>
                <w:rFonts w:ascii="Arial" w:hAnsi="Arial"/>
                <w:b/>
                <w:sz w:val="18"/>
                <w:vertAlign w:val="subscript"/>
              </w:rPr>
              <w:t>measure,NR_Intra</w:t>
            </w:r>
            <w:r>
              <w:rPr>
                <w:rFonts w:ascii="Arial" w:hAnsi="Arial"/>
                <w:b/>
                <w:sz w:val="18"/>
              </w:rPr>
              <w:t xml:space="preserve"> [s] (number of DRX cycles)</w:t>
            </w:r>
          </w:p>
        </w:tc>
        <w:tc>
          <w:tcPr>
            <w:tcW w:w="1112" w:type="pct"/>
            <w:tcBorders>
              <w:top w:val="single" w:sz="4" w:space="0" w:color="auto"/>
              <w:left w:val="single" w:sz="4" w:space="0" w:color="auto"/>
              <w:bottom w:val="nil"/>
              <w:right w:val="single" w:sz="4" w:space="0" w:color="auto"/>
            </w:tcBorders>
            <w:hideMark/>
          </w:tcPr>
          <w:p w14:paraId="28E9AC0B" w14:textId="77777777" w:rsidR="008B5183" w:rsidRDefault="008B5183" w:rsidP="001313A6">
            <w:pPr>
              <w:keepNext/>
              <w:keepLines/>
              <w:spacing w:after="0"/>
              <w:jc w:val="center"/>
              <w:rPr>
                <w:rFonts w:ascii="Arial" w:hAnsi="Arial"/>
                <w:b/>
                <w:sz w:val="18"/>
                <w:vertAlign w:val="subscript"/>
              </w:rPr>
            </w:pPr>
            <w:r>
              <w:rPr>
                <w:rFonts w:ascii="Arial" w:hAnsi="Arial"/>
                <w:b/>
                <w:sz w:val="18"/>
              </w:rPr>
              <w:t>T</w:t>
            </w:r>
            <w:r>
              <w:rPr>
                <w:rFonts w:ascii="Arial" w:hAnsi="Arial"/>
                <w:b/>
                <w:sz w:val="18"/>
                <w:vertAlign w:val="subscript"/>
              </w:rPr>
              <w:t>evaluate,NR_</w:t>
            </w:r>
            <w:r>
              <w:rPr>
                <w:rFonts w:ascii="Arial" w:hAnsi="Arial" w:cs="v4.2.0"/>
                <w:b/>
                <w:sz w:val="18"/>
                <w:vertAlign w:val="subscript"/>
              </w:rPr>
              <w:t>Intra</w:t>
            </w:r>
          </w:p>
          <w:p w14:paraId="2779F58B" w14:textId="77777777" w:rsidR="008B5183" w:rsidRDefault="008B5183" w:rsidP="001313A6">
            <w:pPr>
              <w:keepNext/>
              <w:keepLines/>
              <w:spacing w:after="0"/>
              <w:jc w:val="center"/>
              <w:rPr>
                <w:rFonts w:ascii="Arial" w:hAnsi="Arial"/>
                <w:b/>
                <w:sz w:val="18"/>
              </w:rPr>
            </w:pPr>
            <w:r>
              <w:rPr>
                <w:rFonts w:ascii="Arial" w:hAnsi="Arial"/>
                <w:b/>
                <w:sz w:val="18"/>
              </w:rPr>
              <w:t>[s] (number of DRX cycles)</w:t>
            </w:r>
          </w:p>
        </w:tc>
      </w:tr>
      <w:tr w:rsidR="008B5183" w14:paraId="39CA8C50" w14:textId="77777777" w:rsidTr="001313A6">
        <w:trPr>
          <w:cantSplit/>
          <w:trHeight w:val="308"/>
          <w:jc w:val="center"/>
        </w:trPr>
        <w:tc>
          <w:tcPr>
            <w:tcW w:w="0" w:type="auto"/>
            <w:tcBorders>
              <w:top w:val="nil"/>
              <w:left w:val="single" w:sz="4" w:space="0" w:color="auto"/>
              <w:bottom w:val="single" w:sz="4" w:space="0" w:color="auto"/>
              <w:right w:val="single" w:sz="4" w:space="0" w:color="auto"/>
            </w:tcBorders>
            <w:vAlign w:val="center"/>
            <w:hideMark/>
          </w:tcPr>
          <w:p w14:paraId="47178715" w14:textId="77777777" w:rsidR="008B5183" w:rsidRDefault="008B5183" w:rsidP="001313A6">
            <w:pPr>
              <w:rPr>
                <w:rFonts w:ascii="Arial" w:hAnsi="Arial"/>
                <w:b/>
                <w:sz w:val="18"/>
              </w:rPr>
            </w:pPr>
          </w:p>
        </w:tc>
        <w:tc>
          <w:tcPr>
            <w:tcW w:w="1061" w:type="pct"/>
            <w:tcBorders>
              <w:top w:val="single" w:sz="4" w:space="0" w:color="auto"/>
              <w:left w:val="single" w:sz="4" w:space="0" w:color="auto"/>
              <w:bottom w:val="single" w:sz="4" w:space="0" w:color="auto"/>
              <w:right w:val="single" w:sz="4" w:space="0" w:color="auto"/>
            </w:tcBorders>
            <w:hideMark/>
          </w:tcPr>
          <w:p w14:paraId="6CA605BF" w14:textId="77777777" w:rsidR="008B5183" w:rsidRDefault="008B5183" w:rsidP="001313A6">
            <w:pPr>
              <w:keepNext/>
              <w:keepLines/>
              <w:spacing w:after="0"/>
              <w:jc w:val="center"/>
              <w:rPr>
                <w:rFonts w:ascii="Arial" w:hAnsi="Arial"/>
                <w:b/>
                <w:sz w:val="18"/>
                <w:vertAlign w:val="superscript"/>
              </w:rPr>
            </w:pPr>
            <w:r>
              <w:rPr>
                <w:rFonts w:ascii="Arial" w:hAnsi="Arial"/>
                <w:b/>
                <w:sz w:val="18"/>
              </w:rPr>
              <w:t>FR1</w:t>
            </w:r>
          </w:p>
        </w:tc>
        <w:tc>
          <w:tcPr>
            <w:tcW w:w="0" w:type="auto"/>
            <w:tcBorders>
              <w:top w:val="nil"/>
              <w:left w:val="single" w:sz="4" w:space="0" w:color="auto"/>
              <w:bottom w:val="single" w:sz="4" w:space="0" w:color="auto"/>
              <w:right w:val="single" w:sz="4" w:space="0" w:color="auto"/>
            </w:tcBorders>
            <w:vAlign w:val="center"/>
            <w:hideMark/>
          </w:tcPr>
          <w:p w14:paraId="3837576A" w14:textId="77777777" w:rsidR="008B5183" w:rsidRDefault="008B5183" w:rsidP="001313A6">
            <w:pPr>
              <w:rPr>
                <w:rFonts w:ascii="Arial" w:hAnsi="Arial"/>
                <w:b/>
                <w:sz w:val="18"/>
                <w:vertAlign w:val="superscript"/>
              </w:rPr>
            </w:pPr>
          </w:p>
        </w:tc>
        <w:tc>
          <w:tcPr>
            <w:tcW w:w="0" w:type="auto"/>
            <w:tcBorders>
              <w:top w:val="nil"/>
              <w:left w:val="single" w:sz="4" w:space="0" w:color="auto"/>
              <w:bottom w:val="single" w:sz="4" w:space="0" w:color="auto"/>
              <w:right w:val="single" w:sz="4" w:space="0" w:color="auto"/>
            </w:tcBorders>
            <w:vAlign w:val="center"/>
            <w:hideMark/>
          </w:tcPr>
          <w:p w14:paraId="3E214E0E" w14:textId="77777777" w:rsidR="008B5183" w:rsidRDefault="008B5183" w:rsidP="001313A6">
            <w:pPr>
              <w:spacing w:after="0"/>
              <w:rPr>
                <w:rFonts w:ascii="CG Times (WN)" w:hAnsi="CG Times (WN)"/>
                <w:lang w:val="en-US" w:eastAsia="zh-CN"/>
              </w:rPr>
            </w:pPr>
          </w:p>
        </w:tc>
        <w:tc>
          <w:tcPr>
            <w:tcW w:w="0" w:type="auto"/>
            <w:tcBorders>
              <w:top w:val="nil"/>
              <w:left w:val="single" w:sz="4" w:space="0" w:color="auto"/>
              <w:bottom w:val="single" w:sz="4" w:space="0" w:color="auto"/>
              <w:right w:val="single" w:sz="4" w:space="0" w:color="auto"/>
            </w:tcBorders>
            <w:vAlign w:val="center"/>
            <w:hideMark/>
          </w:tcPr>
          <w:p w14:paraId="1EBC530B" w14:textId="77777777" w:rsidR="008B5183" w:rsidRDefault="008B5183" w:rsidP="001313A6">
            <w:pPr>
              <w:spacing w:after="0"/>
              <w:rPr>
                <w:rFonts w:ascii="CG Times (WN)" w:hAnsi="CG Times (WN)"/>
                <w:lang w:val="en-US" w:eastAsia="zh-CN"/>
              </w:rPr>
            </w:pPr>
          </w:p>
        </w:tc>
      </w:tr>
      <w:tr w:rsidR="008B5183" w14:paraId="57345040"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2A759F32" w14:textId="77777777" w:rsidR="008B5183" w:rsidRDefault="008B5183" w:rsidP="001313A6">
            <w:pPr>
              <w:keepNext/>
              <w:keepLines/>
              <w:spacing w:after="0"/>
              <w:jc w:val="center"/>
              <w:rPr>
                <w:rFonts w:ascii="Arial" w:hAnsi="Arial"/>
                <w:sz w:val="18"/>
              </w:rPr>
            </w:pPr>
            <w:r>
              <w:rPr>
                <w:rFonts w:ascii="Arial" w:hAnsi="Arial"/>
                <w:sz w:val="18"/>
              </w:rPr>
              <w:t>0.32</w:t>
            </w:r>
          </w:p>
        </w:tc>
        <w:tc>
          <w:tcPr>
            <w:tcW w:w="1061" w:type="pct"/>
            <w:vMerge w:val="restart"/>
            <w:tcBorders>
              <w:top w:val="single" w:sz="4" w:space="0" w:color="auto"/>
              <w:left w:val="single" w:sz="4" w:space="0" w:color="auto"/>
              <w:bottom w:val="single" w:sz="4" w:space="0" w:color="auto"/>
              <w:right w:val="single" w:sz="4" w:space="0" w:color="auto"/>
            </w:tcBorders>
            <w:vAlign w:val="center"/>
            <w:hideMark/>
          </w:tcPr>
          <w:p w14:paraId="7D691B99" w14:textId="77777777" w:rsidR="008B5183" w:rsidRDefault="008B5183" w:rsidP="001313A6">
            <w:pPr>
              <w:keepNext/>
              <w:keepLines/>
              <w:spacing w:after="0"/>
              <w:jc w:val="center"/>
              <w:rPr>
                <w:rFonts w:ascii="Arial" w:hAnsi="Arial"/>
                <w:sz w:val="18"/>
              </w:rPr>
            </w:pPr>
            <w:r>
              <w:rPr>
                <w:rFonts w:ascii="Arial" w:hAnsi="Arial"/>
                <w:sz w:val="18"/>
              </w:rPr>
              <w:t>1</w:t>
            </w:r>
          </w:p>
        </w:tc>
        <w:tc>
          <w:tcPr>
            <w:tcW w:w="1111" w:type="pct"/>
            <w:tcBorders>
              <w:top w:val="single" w:sz="4" w:space="0" w:color="auto"/>
              <w:left w:val="single" w:sz="4" w:space="0" w:color="auto"/>
              <w:bottom w:val="single" w:sz="4" w:space="0" w:color="auto"/>
              <w:right w:val="single" w:sz="4" w:space="0" w:color="auto"/>
            </w:tcBorders>
            <w:hideMark/>
          </w:tcPr>
          <w:p w14:paraId="4454C600" w14:textId="77777777" w:rsidR="008B5183" w:rsidRDefault="008B5183" w:rsidP="001313A6">
            <w:pPr>
              <w:keepNext/>
              <w:keepLines/>
              <w:spacing w:after="0"/>
              <w:jc w:val="center"/>
              <w:rPr>
                <w:rFonts w:ascii="Arial" w:hAnsi="Arial"/>
                <w:sz w:val="18"/>
              </w:rPr>
            </w:pPr>
            <w:r>
              <w:rPr>
                <w:rFonts w:ascii="Arial" w:hAnsi="Arial"/>
                <w:sz w:val="18"/>
              </w:rPr>
              <w:t xml:space="preserve">11.52 x N1 </w:t>
            </w:r>
            <w:r>
              <w:rPr>
                <w:rFonts w:ascii="Arial" w:hAnsi="Arial" w:cs="Arial"/>
                <w:sz w:val="18"/>
                <w:lang w:eastAsia="zh-CN"/>
              </w:rPr>
              <w:t xml:space="preserve">x M2 </w:t>
            </w:r>
            <w:r>
              <w:rPr>
                <w:rFonts w:ascii="Arial" w:hAnsi="Arial"/>
                <w:sz w:val="18"/>
              </w:rPr>
              <w:t>(36 x N1</w:t>
            </w:r>
            <w:r>
              <w:rPr>
                <w:rFonts w:ascii="Arial" w:hAnsi="Arial" w:cs="Arial"/>
                <w:sz w:val="18"/>
                <w:lang w:eastAsia="zh-CN"/>
              </w:rPr>
              <w:t xml:space="preserve"> x M2</w:t>
            </w:r>
            <w:r>
              <w:rPr>
                <w:rFonts w:ascii="Arial" w:hAnsi="Arial"/>
                <w:sz w:val="18"/>
              </w:rPr>
              <w:t>)</w:t>
            </w:r>
          </w:p>
        </w:tc>
        <w:tc>
          <w:tcPr>
            <w:tcW w:w="1112" w:type="pct"/>
            <w:tcBorders>
              <w:top w:val="single" w:sz="4" w:space="0" w:color="auto"/>
              <w:left w:val="single" w:sz="4" w:space="0" w:color="auto"/>
              <w:bottom w:val="single" w:sz="4" w:space="0" w:color="auto"/>
              <w:right w:val="single" w:sz="4" w:space="0" w:color="auto"/>
            </w:tcBorders>
            <w:hideMark/>
          </w:tcPr>
          <w:p w14:paraId="033CCCF0" w14:textId="77777777" w:rsidR="008B5183" w:rsidRDefault="008B5183" w:rsidP="001313A6">
            <w:pPr>
              <w:keepNext/>
              <w:keepLines/>
              <w:spacing w:after="0"/>
              <w:jc w:val="center"/>
              <w:rPr>
                <w:rFonts w:ascii="Arial" w:hAnsi="Arial"/>
                <w:sz w:val="18"/>
              </w:rPr>
            </w:pPr>
            <w:r>
              <w:rPr>
                <w:rFonts w:ascii="Arial" w:hAnsi="Arial"/>
                <w:sz w:val="18"/>
              </w:rPr>
              <w:t xml:space="preserve">1.28 x N1 </w:t>
            </w:r>
            <w:r>
              <w:rPr>
                <w:rFonts w:ascii="Arial" w:hAnsi="Arial" w:cs="Arial"/>
                <w:sz w:val="18"/>
                <w:lang w:eastAsia="zh-CN"/>
              </w:rPr>
              <w:t>x M2</w:t>
            </w:r>
            <w:r>
              <w:rPr>
                <w:rFonts w:ascii="Arial" w:hAnsi="Arial" w:cs="Arial"/>
                <w:snapToGrid w:val="0"/>
                <w:sz w:val="18"/>
              </w:rPr>
              <w:t xml:space="preserve"> </w:t>
            </w:r>
            <w:r>
              <w:rPr>
                <w:rFonts w:ascii="Arial" w:hAnsi="Arial"/>
                <w:sz w:val="18"/>
              </w:rPr>
              <w:t>(4 x N1</w:t>
            </w:r>
            <w:r>
              <w:rPr>
                <w:rFonts w:ascii="Arial" w:hAnsi="Arial" w:cs="Arial"/>
                <w:sz w:val="18"/>
                <w:lang w:eastAsia="zh-CN"/>
              </w:rPr>
              <w:t xml:space="preserve"> x M2</w:t>
            </w:r>
            <w:r>
              <w:rPr>
                <w:rFonts w:ascii="Arial" w:hAnsi="Arial"/>
                <w:sz w:val="18"/>
              </w:rPr>
              <w:t>)</w:t>
            </w:r>
          </w:p>
        </w:tc>
        <w:tc>
          <w:tcPr>
            <w:tcW w:w="1112" w:type="pct"/>
            <w:tcBorders>
              <w:top w:val="single" w:sz="4" w:space="0" w:color="auto"/>
              <w:left w:val="single" w:sz="4" w:space="0" w:color="auto"/>
              <w:bottom w:val="single" w:sz="4" w:space="0" w:color="auto"/>
              <w:right w:val="single" w:sz="4" w:space="0" w:color="auto"/>
            </w:tcBorders>
            <w:hideMark/>
          </w:tcPr>
          <w:p w14:paraId="4E8ECBFC" w14:textId="77777777" w:rsidR="008B5183" w:rsidRDefault="008B5183" w:rsidP="001313A6">
            <w:pPr>
              <w:keepNext/>
              <w:keepLines/>
              <w:spacing w:after="0"/>
              <w:jc w:val="center"/>
              <w:rPr>
                <w:rFonts w:ascii="Arial" w:hAnsi="Arial"/>
                <w:sz w:val="18"/>
              </w:rPr>
            </w:pPr>
            <w:r>
              <w:rPr>
                <w:rFonts w:ascii="Arial" w:hAnsi="Arial"/>
                <w:sz w:val="18"/>
              </w:rPr>
              <w:t xml:space="preserve">5.12 x N1 </w:t>
            </w:r>
            <w:r>
              <w:rPr>
                <w:rFonts w:ascii="Arial" w:hAnsi="Arial" w:cs="Arial"/>
                <w:sz w:val="18"/>
                <w:lang w:eastAsia="zh-CN"/>
              </w:rPr>
              <w:t>x M2</w:t>
            </w:r>
            <w:r>
              <w:rPr>
                <w:rFonts w:ascii="Arial" w:hAnsi="Arial" w:cs="Arial"/>
                <w:snapToGrid w:val="0"/>
                <w:sz w:val="18"/>
              </w:rPr>
              <w:t xml:space="preserve"> </w:t>
            </w:r>
            <w:r>
              <w:rPr>
                <w:rFonts w:ascii="Arial" w:hAnsi="Arial"/>
                <w:sz w:val="18"/>
              </w:rPr>
              <w:t>(16 x N1</w:t>
            </w:r>
            <w:r>
              <w:rPr>
                <w:rFonts w:ascii="Arial" w:hAnsi="Arial" w:cs="Arial"/>
                <w:sz w:val="18"/>
                <w:lang w:eastAsia="zh-CN"/>
              </w:rPr>
              <w:t xml:space="preserve"> x M2</w:t>
            </w:r>
            <w:r>
              <w:rPr>
                <w:rFonts w:ascii="Arial" w:hAnsi="Arial"/>
                <w:sz w:val="18"/>
              </w:rPr>
              <w:t>)</w:t>
            </w:r>
          </w:p>
        </w:tc>
      </w:tr>
      <w:tr w:rsidR="008B5183" w14:paraId="0DF0212C"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0CF77F98" w14:textId="77777777" w:rsidR="008B5183" w:rsidRDefault="008B5183" w:rsidP="001313A6">
            <w:pPr>
              <w:keepNext/>
              <w:keepLines/>
              <w:spacing w:after="0"/>
              <w:jc w:val="center"/>
              <w:rPr>
                <w:rFonts w:ascii="Arial" w:hAnsi="Arial"/>
                <w:sz w:val="18"/>
              </w:rPr>
            </w:pPr>
            <w:r>
              <w:rPr>
                <w:rFonts w:ascii="Arial" w:hAnsi="Arial"/>
                <w:sz w:val="18"/>
              </w:rPr>
              <w:t>0.64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E6A39E" w14:textId="77777777" w:rsidR="008B5183" w:rsidRDefault="008B5183" w:rsidP="001313A6">
            <w:pPr>
              <w:spacing w:after="0"/>
              <w:rPr>
                <w:rFonts w:ascii="Arial" w:hAnsi="Arial"/>
                <w:sz w:val="18"/>
              </w:rPr>
            </w:pPr>
          </w:p>
        </w:tc>
        <w:tc>
          <w:tcPr>
            <w:tcW w:w="1111" w:type="pct"/>
            <w:tcBorders>
              <w:top w:val="single" w:sz="4" w:space="0" w:color="auto"/>
              <w:left w:val="single" w:sz="4" w:space="0" w:color="auto"/>
              <w:bottom w:val="single" w:sz="4" w:space="0" w:color="auto"/>
              <w:right w:val="single" w:sz="4" w:space="0" w:color="auto"/>
            </w:tcBorders>
            <w:hideMark/>
          </w:tcPr>
          <w:p w14:paraId="641F9D1E" w14:textId="77777777" w:rsidR="008B5183" w:rsidRDefault="008B5183" w:rsidP="001313A6">
            <w:pPr>
              <w:keepNext/>
              <w:keepLines/>
              <w:spacing w:after="0"/>
              <w:jc w:val="center"/>
              <w:rPr>
                <w:rFonts w:ascii="Arial" w:hAnsi="Arial"/>
                <w:sz w:val="18"/>
              </w:rPr>
            </w:pPr>
            <w:r>
              <w:rPr>
                <w:rFonts w:ascii="Arial" w:hAnsi="Arial"/>
                <w:sz w:val="18"/>
              </w:rPr>
              <w:t>17.92 x N1 (28 x N1)</w:t>
            </w:r>
          </w:p>
        </w:tc>
        <w:tc>
          <w:tcPr>
            <w:tcW w:w="1112" w:type="pct"/>
            <w:tcBorders>
              <w:top w:val="single" w:sz="4" w:space="0" w:color="auto"/>
              <w:left w:val="single" w:sz="4" w:space="0" w:color="auto"/>
              <w:bottom w:val="single" w:sz="4" w:space="0" w:color="auto"/>
              <w:right w:val="single" w:sz="4" w:space="0" w:color="auto"/>
            </w:tcBorders>
            <w:hideMark/>
          </w:tcPr>
          <w:p w14:paraId="2BDB74FF" w14:textId="77777777" w:rsidR="008B5183" w:rsidRDefault="008B5183" w:rsidP="001313A6">
            <w:pPr>
              <w:keepNext/>
              <w:keepLines/>
              <w:spacing w:after="0"/>
              <w:jc w:val="center"/>
              <w:rPr>
                <w:rFonts w:ascii="Arial" w:hAnsi="Arial"/>
                <w:sz w:val="18"/>
              </w:rPr>
            </w:pPr>
            <w:r>
              <w:rPr>
                <w:rFonts w:ascii="Arial" w:hAnsi="Arial"/>
                <w:sz w:val="18"/>
              </w:rPr>
              <w:t>1.28 x N1 (2 x N1)</w:t>
            </w:r>
          </w:p>
        </w:tc>
        <w:tc>
          <w:tcPr>
            <w:tcW w:w="1112" w:type="pct"/>
            <w:tcBorders>
              <w:top w:val="single" w:sz="4" w:space="0" w:color="auto"/>
              <w:left w:val="single" w:sz="4" w:space="0" w:color="auto"/>
              <w:bottom w:val="single" w:sz="4" w:space="0" w:color="auto"/>
              <w:right w:val="single" w:sz="4" w:space="0" w:color="auto"/>
            </w:tcBorders>
            <w:hideMark/>
          </w:tcPr>
          <w:p w14:paraId="1D242019" w14:textId="77777777" w:rsidR="008B5183" w:rsidRDefault="008B5183" w:rsidP="001313A6">
            <w:pPr>
              <w:keepNext/>
              <w:keepLines/>
              <w:spacing w:after="0"/>
              <w:jc w:val="center"/>
              <w:rPr>
                <w:rFonts w:ascii="Arial" w:hAnsi="Arial"/>
                <w:sz w:val="18"/>
              </w:rPr>
            </w:pPr>
            <w:r>
              <w:rPr>
                <w:rFonts w:ascii="Arial" w:hAnsi="Arial"/>
                <w:sz w:val="18"/>
              </w:rPr>
              <w:t>5.12 x N1 (8 x N1)</w:t>
            </w:r>
          </w:p>
        </w:tc>
      </w:tr>
      <w:tr w:rsidR="008B5183" w14:paraId="70726654"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50355067" w14:textId="77777777" w:rsidR="008B5183" w:rsidRDefault="008B5183" w:rsidP="001313A6">
            <w:pPr>
              <w:keepNext/>
              <w:keepLines/>
              <w:spacing w:after="0"/>
              <w:jc w:val="center"/>
              <w:rPr>
                <w:rFonts w:ascii="Arial" w:hAnsi="Arial"/>
                <w:sz w:val="18"/>
              </w:rPr>
            </w:pPr>
            <w:r>
              <w:rPr>
                <w:rFonts w:ascii="Arial" w:hAnsi="Arial"/>
                <w:sz w:val="18"/>
              </w:rPr>
              <w:t>1.28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5A5AD5" w14:textId="77777777" w:rsidR="008B5183" w:rsidRDefault="008B5183" w:rsidP="001313A6">
            <w:pPr>
              <w:spacing w:after="0"/>
              <w:rPr>
                <w:rFonts w:ascii="Arial" w:hAnsi="Arial"/>
                <w:sz w:val="18"/>
              </w:rPr>
            </w:pPr>
          </w:p>
        </w:tc>
        <w:tc>
          <w:tcPr>
            <w:tcW w:w="1111" w:type="pct"/>
            <w:tcBorders>
              <w:top w:val="single" w:sz="4" w:space="0" w:color="auto"/>
              <w:left w:val="single" w:sz="4" w:space="0" w:color="auto"/>
              <w:bottom w:val="single" w:sz="4" w:space="0" w:color="auto"/>
              <w:right w:val="single" w:sz="4" w:space="0" w:color="auto"/>
            </w:tcBorders>
            <w:hideMark/>
          </w:tcPr>
          <w:p w14:paraId="2D5B67EF" w14:textId="77777777" w:rsidR="008B5183" w:rsidRDefault="008B5183" w:rsidP="001313A6">
            <w:pPr>
              <w:keepNext/>
              <w:keepLines/>
              <w:spacing w:after="0"/>
              <w:jc w:val="center"/>
              <w:rPr>
                <w:rFonts w:ascii="Arial" w:hAnsi="Arial"/>
                <w:sz w:val="18"/>
              </w:rPr>
            </w:pPr>
            <w:r>
              <w:rPr>
                <w:rFonts w:ascii="Arial" w:hAnsi="Arial"/>
                <w:sz w:val="18"/>
              </w:rPr>
              <w:t>32 x N1 (25 x N1)</w:t>
            </w:r>
          </w:p>
        </w:tc>
        <w:tc>
          <w:tcPr>
            <w:tcW w:w="1112" w:type="pct"/>
            <w:tcBorders>
              <w:top w:val="single" w:sz="4" w:space="0" w:color="auto"/>
              <w:left w:val="single" w:sz="4" w:space="0" w:color="auto"/>
              <w:bottom w:val="single" w:sz="4" w:space="0" w:color="auto"/>
              <w:right w:val="single" w:sz="4" w:space="0" w:color="auto"/>
            </w:tcBorders>
            <w:hideMark/>
          </w:tcPr>
          <w:p w14:paraId="26AF0B66" w14:textId="77777777" w:rsidR="008B5183" w:rsidRDefault="008B5183" w:rsidP="001313A6">
            <w:pPr>
              <w:keepNext/>
              <w:keepLines/>
              <w:spacing w:after="0"/>
              <w:jc w:val="center"/>
              <w:rPr>
                <w:rFonts w:ascii="Arial" w:hAnsi="Arial"/>
                <w:sz w:val="18"/>
              </w:rPr>
            </w:pPr>
            <w:r>
              <w:rPr>
                <w:rFonts w:ascii="Arial" w:hAnsi="Arial"/>
                <w:sz w:val="18"/>
              </w:rPr>
              <w:t>1.28 x N1 (1 x N1)</w:t>
            </w:r>
          </w:p>
        </w:tc>
        <w:tc>
          <w:tcPr>
            <w:tcW w:w="1112" w:type="pct"/>
            <w:tcBorders>
              <w:top w:val="single" w:sz="4" w:space="0" w:color="auto"/>
              <w:left w:val="single" w:sz="4" w:space="0" w:color="auto"/>
              <w:bottom w:val="single" w:sz="4" w:space="0" w:color="auto"/>
              <w:right w:val="single" w:sz="4" w:space="0" w:color="auto"/>
            </w:tcBorders>
            <w:hideMark/>
          </w:tcPr>
          <w:p w14:paraId="24551E26" w14:textId="77777777" w:rsidR="008B5183" w:rsidRDefault="008B5183" w:rsidP="001313A6">
            <w:pPr>
              <w:keepNext/>
              <w:keepLines/>
              <w:spacing w:after="0"/>
              <w:jc w:val="center"/>
              <w:rPr>
                <w:rFonts w:ascii="Arial" w:hAnsi="Arial"/>
                <w:sz w:val="18"/>
              </w:rPr>
            </w:pPr>
            <w:r>
              <w:rPr>
                <w:rFonts w:ascii="Arial" w:hAnsi="Arial"/>
                <w:sz w:val="18"/>
              </w:rPr>
              <w:t>6.4 x N1 (5 x N1)</w:t>
            </w:r>
          </w:p>
        </w:tc>
      </w:tr>
      <w:tr w:rsidR="008B5183" w14:paraId="1ABF01AF"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6FCC8C24" w14:textId="77777777" w:rsidR="008B5183" w:rsidRDefault="008B5183" w:rsidP="001313A6">
            <w:pPr>
              <w:keepNext/>
              <w:keepLines/>
              <w:spacing w:after="0"/>
              <w:jc w:val="center"/>
              <w:rPr>
                <w:rFonts w:ascii="Arial" w:hAnsi="Arial"/>
                <w:sz w:val="18"/>
              </w:rPr>
            </w:pPr>
            <w:r>
              <w:rPr>
                <w:rFonts w:ascii="Arial" w:hAnsi="Arial"/>
                <w:sz w:val="18"/>
              </w:rPr>
              <w:t>2.56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292303" w14:textId="77777777" w:rsidR="008B5183" w:rsidRDefault="008B5183" w:rsidP="001313A6">
            <w:pPr>
              <w:spacing w:after="0"/>
              <w:rPr>
                <w:rFonts w:ascii="Arial" w:hAnsi="Arial"/>
                <w:sz w:val="18"/>
              </w:rPr>
            </w:pPr>
          </w:p>
        </w:tc>
        <w:tc>
          <w:tcPr>
            <w:tcW w:w="1111" w:type="pct"/>
            <w:tcBorders>
              <w:top w:val="single" w:sz="4" w:space="0" w:color="auto"/>
              <w:left w:val="single" w:sz="4" w:space="0" w:color="auto"/>
              <w:bottom w:val="single" w:sz="4" w:space="0" w:color="auto"/>
              <w:right w:val="single" w:sz="4" w:space="0" w:color="auto"/>
            </w:tcBorders>
            <w:hideMark/>
          </w:tcPr>
          <w:p w14:paraId="6630ED26" w14:textId="77777777" w:rsidR="008B5183" w:rsidRDefault="008B5183" w:rsidP="001313A6">
            <w:pPr>
              <w:keepNext/>
              <w:keepLines/>
              <w:spacing w:after="0"/>
              <w:jc w:val="center"/>
              <w:rPr>
                <w:rFonts w:ascii="Arial" w:hAnsi="Arial"/>
                <w:sz w:val="18"/>
              </w:rPr>
            </w:pPr>
            <w:r>
              <w:rPr>
                <w:rFonts w:ascii="Arial" w:hAnsi="Arial" w:cs="Arial"/>
                <w:sz w:val="18"/>
                <w:lang w:eastAsia="zh-CN"/>
              </w:rPr>
              <w:t>58.88</w:t>
            </w:r>
            <w:r>
              <w:rPr>
                <w:rFonts w:ascii="Arial" w:hAnsi="Arial"/>
                <w:sz w:val="18"/>
              </w:rPr>
              <w:t xml:space="preserve"> x N1 (23 x N1)</w:t>
            </w:r>
          </w:p>
        </w:tc>
        <w:tc>
          <w:tcPr>
            <w:tcW w:w="1112" w:type="pct"/>
            <w:tcBorders>
              <w:top w:val="single" w:sz="4" w:space="0" w:color="auto"/>
              <w:left w:val="single" w:sz="4" w:space="0" w:color="auto"/>
              <w:bottom w:val="single" w:sz="4" w:space="0" w:color="auto"/>
              <w:right w:val="single" w:sz="4" w:space="0" w:color="auto"/>
            </w:tcBorders>
            <w:hideMark/>
          </w:tcPr>
          <w:p w14:paraId="7E06BA72" w14:textId="77777777" w:rsidR="008B5183" w:rsidRDefault="008B5183" w:rsidP="001313A6">
            <w:pPr>
              <w:keepNext/>
              <w:keepLines/>
              <w:spacing w:after="0"/>
              <w:jc w:val="center"/>
              <w:rPr>
                <w:rFonts w:ascii="Arial" w:hAnsi="Arial"/>
                <w:sz w:val="18"/>
              </w:rPr>
            </w:pPr>
            <w:r>
              <w:rPr>
                <w:rFonts w:ascii="Arial" w:hAnsi="Arial"/>
                <w:sz w:val="18"/>
              </w:rPr>
              <w:t>2.56 x N1 (1 x N1)</w:t>
            </w:r>
          </w:p>
        </w:tc>
        <w:tc>
          <w:tcPr>
            <w:tcW w:w="1112" w:type="pct"/>
            <w:tcBorders>
              <w:top w:val="single" w:sz="4" w:space="0" w:color="auto"/>
              <w:left w:val="single" w:sz="4" w:space="0" w:color="auto"/>
              <w:bottom w:val="single" w:sz="4" w:space="0" w:color="auto"/>
              <w:right w:val="single" w:sz="4" w:space="0" w:color="auto"/>
            </w:tcBorders>
            <w:hideMark/>
          </w:tcPr>
          <w:p w14:paraId="632B99FA" w14:textId="77777777" w:rsidR="008B5183" w:rsidRDefault="008B5183" w:rsidP="001313A6">
            <w:pPr>
              <w:keepNext/>
              <w:keepLines/>
              <w:spacing w:after="0"/>
              <w:jc w:val="center"/>
              <w:rPr>
                <w:rFonts w:ascii="Arial" w:hAnsi="Arial"/>
                <w:sz w:val="18"/>
              </w:rPr>
            </w:pPr>
            <w:r>
              <w:rPr>
                <w:rFonts w:ascii="Arial" w:hAnsi="Arial"/>
                <w:sz w:val="18"/>
              </w:rPr>
              <w:t>7.68 x N1 (3 x N1)</w:t>
            </w:r>
          </w:p>
        </w:tc>
      </w:tr>
      <w:tr w:rsidR="008B5183" w14:paraId="071BEBBD" w14:textId="77777777" w:rsidTr="001313A6">
        <w:trPr>
          <w:cantSplit/>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68361F4E" w14:textId="2CC897D2" w:rsidR="001B50F0" w:rsidRDefault="001B50F0" w:rsidP="001B50F0">
            <w:pPr>
              <w:pStyle w:val="TAN"/>
              <w:rPr>
                <w:snapToGrid w:val="0"/>
                <w:lang w:eastAsia="zh-CN"/>
              </w:rPr>
            </w:pPr>
            <w:r>
              <w:rPr>
                <w:snapToGrid w:val="0"/>
                <w:lang w:eastAsia="zh-CN"/>
              </w:rPr>
              <w:t>Note 1</w:t>
            </w:r>
            <w:r>
              <w:t>:</w:t>
            </w:r>
            <w:r>
              <w:rPr>
                <w:lang w:val="en-US"/>
              </w:rPr>
              <w:tab/>
              <w:t xml:space="preserve">M2 = 2 </w:t>
            </w:r>
            <w:r>
              <w:rPr>
                <w:snapToGrid w:val="0"/>
                <w:lang w:eastAsia="zh-CN"/>
              </w:rPr>
              <w:t>if SMTC periodicity</w:t>
            </w:r>
            <w:r>
              <w:t xml:space="preserve"> </w:t>
            </w:r>
            <w:r>
              <w:rPr>
                <w:snapToGrid w:val="0"/>
                <w:lang w:eastAsia="zh-CN"/>
              </w:rPr>
              <w:t xml:space="preserve">of measured intra-frequency cell &gt; 20 ms </w:t>
            </w:r>
            <w:r w:rsidR="005F785A" w:rsidRPr="000D3FA4">
              <w:rPr>
                <w:snapToGrid w:val="0"/>
                <w:lang w:eastAsia="zh-CN"/>
              </w:rPr>
              <w:t>and 1&lt;N</w:t>
            </w:r>
            <w:r w:rsidR="005F785A" w:rsidRPr="000D3FA4">
              <w:rPr>
                <w:snapToGrid w:val="0"/>
                <w:vertAlign w:val="subscript"/>
                <w:lang w:eastAsia="zh-CN"/>
              </w:rPr>
              <w:t>SMTC</w:t>
            </w:r>
            <w:r w:rsidR="005F785A" w:rsidRPr="000D3FA4">
              <w:rPr>
                <w:snapToGrid w:val="0"/>
                <w:lang w:eastAsia="zh-CN"/>
              </w:rPr>
              <w:t xml:space="preserve"> </w:t>
            </w:r>
            <w:r w:rsidR="005F785A" w:rsidRPr="000D3FA4">
              <w:rPr>
                <w:snapToGrid w:val="0"/>
                <w:lang w:eastAsia="zh-CN"/>
              </w:rPr>
              <w:sym w:font="Symbol" w:char="F0A3"/>
            </w:r>
            <w:r w:rsidR="005F785A" w:rsidRPr="000D3FA4">
              <w:rPr>
                <w:snapToGrid w:val="0"/>
                <w:lang w:eastAsia="zh-CN"/>
              </w:rPr>
              <w:t xml:space="preserve"> 4</w:t>
            </w:r>
            <w:r w:rsidR="005F785A">
              <w:rPr>
                <w:snapToGrid w:val="0"/>
                <w:lang w:eastAsia="zh-CN"/>
              </w:rPr>
              <w:t xml:space="preserve"> </w:t>
            </w:r>
            <w:r>
              <w:rPr>
                <w:snapToGrid w:val="0"/>
                <w:lang w:eastAsia="zh-CN"/>
              </w:rPr>
              <w:t>upon more than 1 SMTC configured at the UE; M2 = 1.5 if SMTC periodicity</w:t>
            </w:r>
            <w:r>
              <w:t xml:space="preserve"> </w:t>
            </w:r>
            <w:r>
              <w:rPr>
                <w:snapToGrid w:val="0"/>
                <w:lang w:eastAsia="zh-CN"/>
              </w:rPr>
              <w:t>of measured intra-frequency cell &gt; 20 ms</w:t>
            </w:r>
            <w:r w:rsidR="005F785A">
              <w:rPr>
                <w:snapToGrid w:val="0"/>
                <w:lang w:eastAsia="zh-CN"/>
              </w:rPr>
              <w:t xml:space="preserve"> </w:t>
            </w:r>
            <w:r w:rsidR="005F785A" w:rsidRPr="000D3FA4">
              <w:rPr>
                <w:snapToGrid w:val="0"/>
                <w:lang w:eastAsia="zh-CN"/>
              </w:rPr>
              <w:t>and N</w:t>
            </w:r>
            <w:r w:rsidR="005F785A" w:rsidRPr="000D3FA4">
              <w:rPr>
                <w:snapToGrid w:val="0"/>
                <w:vertAlign w:val="subscript"/>
                <w:lang w:eastAsia="zh-CN"/>
              </w:rPr>
              <w:t>SMTC</w:t>
            </w:r>
            <w:r w:rsidR="005F785A" w:rsidRPr="000D3FA4">
              <w:rPr>
                <w:snapToGrid w:val="0"/>
                <w:lang w:eastAsia="zh-CN"/>
              </w:rPr>
              <w:t>=1</w:t>
            </w:r>
            <w:r>
              <w:rPr>
                <w:snapToGrid w:val="0"/>
                <w:lang w:eastAsia="zh-CN"/>
              </w:rPr>
              <w:t xml:space="preserve"> upon 1 SMTC configured at the UE; otherwise M2=1.</w:t>
            </w:r>
            <w:r>
              <w:t xml:space="preserve"> </w:t>
            </w:r>
            <w:r w:rsidR="005F785A" w:rsidRPr="00EF391B">
              <w:rPr>
                <w:snapToGrid w:val="0"/>
                <w:lang w:eastAsia="zh-CN"/>
              </w:rPr>
              <w:t>Where, N</w:t>
            </w:r>
            <w:r w:rsidR="005F785A" w:rsidRPr="00EF391B">
              <w:rPr>
                <w:snapToGrid w:val="0"/>
                <w:vertAlign w:val="subscript"/>
                <w:lang w:eastAsia="zh-CN"/>
              </w:rPr>
              <w:t>SMTC</w:t>
            </w:r>
            <w:r w:rsidR="005F785A" w:rsidRPr="00EF391B">
              <w:rPr>
                <w:snapToGrid w:val="0"/>
                <w:lang w:eastAsia="zh-CN"/>
              </w:rPr>
              <w:t xml:space="preserve"> is the number of SMTCs configured by SAN</w:t>
            </w:r>
            <w:r w:rsidR="005F785A">
              <w:rPr>
                <w:snapToGrid w:val="0"/>
                <w:lang w:eastAsia="zh-CN"/>
              </w:rPr>
              <w:t xml:space="preserve"> </w:t>
            </w:r>
            <w:r>
              <w:rPr>
                <w:snapToGrid w:val="0"/>
                <w:lang w:eastAsia="zh-CN"/>
              </w:rPr>
              <w:t>If different SMTC periodicities are configured for different cells, the SMTC periodicity in this note is the one used by the cell being identified. During PSS/SSS detection, the periodicity of the SMTC configured for the intra-frequency carrier is assumed, and if the actual SSB transmission periodicity is greater than the SMTC configured for the intra-frequency carrier, longer T</w:t>
            </w:r>
            <w:r>
              <w:rPr>
                <w:snapToGrid w:val="0"/>
                <w:vertAlign w:val="subscript"/>
                <w:lang w:eastAsia="zh-CN"/>
              </w:rPr>
              <w:t xml:space="preserve">detect, NR_intra </w:t>
            </w:r>
            <w:r>
              <w:rPr>
                <w:snapToGrid w:val="0"/>
                <w:lang w:eastAsia="zh-CN"/>
              </w:rPr>
              <w:t>is expected.</w:t>
            </w:r>
          </w:p>
          <w:p w14:paraId="063A56AD" w14:textId="7F5BF269" w:rsidR="008B5183" w:rsidRDefault="001B50F0" w:rsidP="001B50F0">
            <w:pPr>
              <w:pStyle w:val="TAN"/>
            </w:pPr>
            <w:r>
              <w:rPr>
                <w:snapToGrid w:val="0"/>
                <w:lang w:eastAsia="zh-CN"/>
              </w:rPr>
              <w:t>Note 2:</w:t>
            </w:r>
            <w:r>
              <w:rPr>
                <w:lang w:eastAsia="zh-CN"/>
              </w:rPr>
              <w:t xml:space="preserve"> </w:t>
            </w:r>
            <w:r>
              <w:rPr>
                <w:lang w:eastAsia="zh-CN"/>
              </w:rPr>
              <w:tab/>
              <w:t>The UE is not required to meet the requirements for 2.56s DRX cycle length for earth-moving LEO deployment.</w:t>
            </w:r>
          </w:p>
        </w:tc>
      </w:tr>
    </w:tbl>
    <w:p w14:paraId="552F70AD" w14:textId="77777777" w:rsidR="008B5183" w:rsidRDefault="008B5183" w:rsidP="008B5183"/>
    <w:p w14:paraId="18026D79" w14:textId="77777777" w:rsidR="008B5183" w:rsidRPr="006D5FB9" w:rsidRDefault="008B5183" w:rsidP="008B5183">
      <w:pPr>
        <w:pStyle w:val="TH"/>
        <w:rPr>
          <w:vertAlign w:val="subscript"/>
        </w:rPr>
      </w:pPr>
      <w:r w:rsidRPr="006D5FB9">
        <w:t>Table 4.2C.2.</w:t>
      </w:r>
      <w:r>
        <w:t>3</w:t>
      </w:r>
      <w:r w:rsidRPr="006D5FB9">
        <w:t>-2: T</w:t>
      </w:r>
      <w:r w:rsidRPr="006D5FB9">
        <w:rPr>
          <w:vertAlign w:val="subscript"/>
        </w:rPr>
        <w:t>detect,NR_Int</w:t>
      </w:r>
      <w:r>
        <w:rPr>
          <w:vertAlign w:val="subscript"/>
        </w:rPr>
        <w:t>ra</w:t>
      </w:r>
      <w:r w:rsidRPr="006D5FB9">
        <w:rPr>
          <w:vertAlign w:val="subscript"/>
        </w:rPr>
        <w:t>_</w:t>
      </w:r>
      <w:r>
        <w:rPr>
          <w:vertAlign w:val="subscript"/>
        </w:rPr>
        <w:t>enh</w:t>
      </w:r>
      <w:r w:rsidRPr="006D5FB9">
        <w:rPr>
          <w:vertAlign w:val="subscript"/>
        </w:rPr>
        <w:t>,</w:t>
      </w:r>
      <w:r w:rsidRPr="006D5FB9">
        <w:t xml:space="preserve"> T</w:t>
      </w:r>
      <w:r w:rsidRPr="006D5FB9">
        <w:rPr>
          <w:vertAlign w:val="subscript"/>
        </w:rPr>
        <w:t>measure,NR_Int</w:t>
      </w:r>
      <w:r>
        <w:rPr>
          <w:vertAlign w:val="subscript"/>
        </w:rPr>
        <w:t>ra</w:t>
      </w:r>
      <w:r w:rsidRPr="006D5FB9">
        <w:rPr>
          <w:vertAlign w:val="subscript"/>
        </w:rPr>
        <w:t>_</w:t>
      </w:r>
      <w:r>
        <w:rPr>
          <w:vertAlign w:val="subscript"/>
        </w:rPr>
        <w:t>enh</w:t>
      </w:r>
      <w:r w:rsidRPr="006D5FB9">
        <w:t xml:space="preserve"> and T</w:t>
      </w:r>
      <w:r w:rsidRPr="006D5FB9">
        <w:rPr>
          <w:vertAlign w:val="subscript"/>
        </w:rPr>
        <w:t>evaluate,NR_Int</w:t>
      </w:r>
      <w:r>
        <w:rPr>
          <w:vertAlign w:val="subscript"/>
        </w:rPr>
        <w:t>ra</w:t>
      </w:r>
      <w:r w:rsidRPr="006D5FB9">
        <w:rPr>
          <w:vertAlign w:val="subscript"/>
        </w:rPr>
        <w:t>_</w:t>
      </w:r>
      <w:r>
        <w:rPr>
          <w:vertAlign w:val="subscript"/>
        </w:rPr>
        <w:t>enh</w:t>
      </w:r>
    </w:p>
    <w:tbl>
      <w:tblPr>
        <w:tblW w:w="41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2232"/>
        <w:gridCol w:w="2410"/>
        <w:gridCol w:w="2126"/>
      </w:tblGrid>
      <w:tr w:rsidR="008B5183" w:rsidRPr="006D5FB9" w14:paraId="794B0773" w14:textId="77777777" w:rsidTr="001313A6">
        <w:trPr>
          <w:cantSplit/>
          <w:trHeight w:val="310"/>
          <w:jc w:val="center"/>
        </w:trPr>
        <w:tc>
          <w:tcPr>
            <w:tcW w:w="734" w:type="pct"/>
            <w:vMerge w:val="restart"/>
            <w:tcBorders>
              <w:top w:val="single" w:sz="4" w:space="0" w:color="auto"/>
              <w:left w:val="single" w:sz="4" w:space="0" w:color="auto"/>
              <w:bottom w:val="single" w:sz="4" w:space="0" w:color="auto"/>
              <w:right w:val="single" w:sz="4" w:space="0" w:color="auto"/>
            </w:tcBorders>
            <w:hideMark/>
          </w:tcPr>
          <w:p w14:paraId="302E7F85" w14:textId="77777777" w:rsidR="008B5183" w:rsidRPr="006D5FB9" w:rsidRDefault="008B5183" w:rsidP="001313A6">
            <w:pPr>
              <w:keepNext/>
              <w:keepLines/>
              <w:spacing w:after="0"/>
              <w:jc w:val="center"/>
              <w:rPr>
                <w:rFonts w:ascii="Arial" w:hAnsi="Arial"/>
                <w:b/>
                <w:sz w:val="18"/>
              </w:rPr>
            </w:pPr>
            <w:r w:rsidRPr="006D5FB9">
              <w:rPr>
                <w:rFonts w:ascii="Arial" w:hAnsi="Arial"/>
                <w:b/>
                <w:sz w:val="18"/>
              </w:rPr>
              <w:t>DRX cycle length [s]</w:t>
            </w:r>
          </w:p>
        </w:tc>
        <w:tc>
          <w:tcPr>
            <w:tcW w:w="1407" w:type="pct"/>
            <w:vMerge w:val="restart"/>
            <w:tcBorders>
              <w:top w:val="single" w:sz="4" w:space="0" w:color="auto"/>
              <w:left w:val="single" w:sz="4" w:space="0" w:color="auto"/>
              <w:bottom w:val="single" w:sz="4" w:space="0" w:color="auto"/>
              <w:right w:val="single" w:sz="4" w:space="0" w:color="auto"/>
            </w:tcBorders>
            <w:hideMark/>
          </w:tcPr>
          <w:p w14:paraId="02DECC84" w14:textId="77777777" w:rsidR="008B5183" w:rsidRPr="006D5FB9" w:rsidRDefault="008B5183" w:rsidP="001313A6">
            <w:pPr>
              <w:keepNext/>
              <w:keepLines/>
              <w:spacing w:after="0"/>
              <w:jc w:val="center"/>
              <w:rPr>
                <w:rFonts w:ascii="Arial" w:hAnsi="Arial"/>
                <w:b/>
                <w:sz w:val="18"/>
              </w:rPr>
            </w:pPr>
            <w:r w:rsidRPr="006D5FB9">
              <w:rPr>
                <w:rFonts w:ascii="Arial" w:hAnsi="Arial"/>
                <w:b/>
                <w:sz w:val="18"/>
              </w:rPr>
              <w:t>T</w:t>
            </w:r>
            <w:r w:rsidRPr="006D5FB9">
              <w:rPr>
                <w:rFonts w:ascii="Arial" w:hAnsi="Arial"/>
                <w:b/>
                <w:sz w:val="18"/>
                <w:vertAlign w:val="subscript"/>
              </w:rPr>
              <w:t>detect,NR_</w:t>
            </w:r>
            <w:r w:rsidRPr="006D5FB9">
              <w:rPr>
                <w:rFonts w:ascii="Arial" w:hAnsi="Arial" w:cs="v4.2.0"/>
                <w:b/>
                <w:sz w:val="18"/>
                <w:vertAlign w:val="subscript"/>
              </w:rPr>
              <w:t>Int</w:t>
            </w:r>
            <w:r>
              <w:rPr>
                <w:rFonts w:ascii="Arial" w:hAnsi="Arial" w:cs="v4.2.0"/>
                <w:b/>
                <w:sz w:val="18"/>
                <w:vertAlign w:val="subscript"/>
              </w:rPr>
              <w:t>ra</w:t>
            </w:r>
            <w:r w:rsidRPr="006D5FB9">
              <w:rPr>
                <w:rFonts w:ascii="Arial" w:hAnsi="Arial" w:cs="v4.2.0"/>
                <w:b/>
                <w:sz w:val="18"/>
                <w:vertAlign w:val="subscript"/>
              </w:rPr>
              <w:t>_</w:t>
            </w:r>
            <w:r>
              <w:rPr>
                <w:rFonts w:ascii="Arial" w:hAnsi="Arial" w:cs="v4.2.0"/>
                <w:b/>
                <w:sz w:val="18"/>
                <w:vertAlign w:val="subscript"/>
              </w:rPr>
              <w:t>enh</w:t>
            </w:r>
            <w:r w:rsidRPr="006D5FB9">
              <w:rPr>
                <w:rFonts w:ascii="Arial" w:hAnsi="Arial"/>
                <w:b/>
                <w:sz w:val="18"/>
              </w:rPr>
              <w:t xml:space="preserve"> [s] (number of DRX cycles)</w:t>
            </w:r>
          </w:p>
        </w:tc>
        <w:tc>
          <w:tcPr>
            <w:tcW w:w="1519" w:type="pct"/>
            <w:vMerge w:val="restart"/>
            <w:tcBorders>
              <w:top w:val="single" w:sz="4" w:space="0" w:color="auto"/>
              <w:left w:val="single" w:sz="4" w:space="0" w:color="auto"/>
              <w:bottom w:val="single" w:sz="4" w:space="0" w:color="auto"/>
              <w:right w:val="single" w:sz="4" w:space="0" w:color="auto"/>
            </w:tcBorders>
            <w:hideMark/>
          </w:tcPr>
          <w:p w14:paraId="38588419" w14:textId="77777777" w:rsidR="008B5183" w:rsidRPr="006D5FB9" w:rsidRDefault="008B5183" w:rsidP="001313A6">
            <w:pPr>
              <w:keepNext/>
              <w:keepLines/>
              <w:spacing w:after="0"/>
              <w:jc w:val="center"/>
              <w:rPr>
                <w:rFonts w:ascii="Arial" w:hAnsi="Arial"/>
                <w:b/>
                <w:sz w:val="18"/>
              </w:rPr>
            </w:pPr>
            <w:r w:rsidRPr="006D5FB9">
              <w:rPr>
                <w:rFonts w:ascii="Arial" w:hAnsi="Arial"/>
                <w:b/>
                <w:sz w:val="18"/>
              </w:rPr>
              <w:t>T</w:t>
            </w:r>
            <w:r w:rsidRPr="006D5FB9">
              <w:rPr>
                <w:rFonts w:ascii="Arial" w:hAnsi="Arial"/>
                <w:b/>
                <w:sz w:val="18"/>
                <w:vertAlign w:val="subscript"/>
              </w:rPr>
              <w:t>measure,NR_</w:t>
            </w:r>
            <w:r w:rsidRPr="006D5FB9">
              <w:rPr>
                <w:rFonts w:ascii="Arial" w:hAnsi="Arial" w:cs="v4.2.0"/>
                <w:b/>
                <w:sz w:val="18"/>
                <w:vertAlign w:val="subscript"/>
              </w:rPr>
              <w:t>Int</w:t>
            </w:r>
            <w:r>
              <w:rPr>
                <w:rFonts w:ascii="Arial" w:hAnsi="Arial" w:cs="v4.2.0"/>
                <w:b/>
                <w:sz w:val="18"/>
                <w:vertAlign w:val="subscript"/>
              </w:rPr>
              <w:t>ra</w:t>
            </w:r>
            <w:r w:rsidRPr="006D5FB9">
              <w:rPr>
                <w:rFonts w:ascii="Arial" w:hAnsi="Arial" w:cs="v4.2.0"/>
                <w:b/>
                <w:sz w:val="18"/>
                <w:vertAlign w:val="subscript"/>
              </w:rPr>
              <w:t>_</w:t>
            </w:r>
            <w:r>
              <w:rPr>
                <w:rFonts w:ascii="Arial" w:hAnsi="Arial" w:cs="v4.2.0"/>
                <w:b/>
                <w:sz w:val="18"/>
                <w:vertAlign w:val="subscript"/>
              </w:rPr>
              <w:t>enh</w:t>
            </w:r>
            <w:r w:rsidRPr="006D5FB9">
              <w:rPr>
                <w:rFonts w:ascii="Arial" w:hAnsi="Arial"/>
                <w:b/>
                <w:sz w:val="18"/>
              </w:rPr>
              <w:t xml:space="preserve"> [s] (number of DRX cycles)</w:t>
            </w:r>
          </w:p>
        </w:tc>
        <w:tc>
          <w:tcPr>
            <w:tcW w:w="1340" w:type="pct"/>
            <w:vMerge w:val="restart"/>
            <w:tcBorders>
              <w:top w:val="single" w:sz="4" w:space="0" w:color="auto"/>
              <w:left w:val="single" w:sz="4" w:space="0" w:color="auto"/>
              <w:bottom w:val="single" w:sz="4" w:space="0" w:color="auto"/>
              <w:right w:val="single" w:sz="4" w:space="0" w:color="auto"/>
            </w:tcBorders>
            <w:hideMark/>
          </w:tcPr>
          <w:p w14:paraId="36D08A01" w14:textId="77777777" w:rsidR="008B5183" w:rsidRPr="006D5FB9" w:rsidRDefault="008B5183" w:rsidP="001313A6">
            <w:pPr>
              <w:keepNext/>
              <w:keepLines/>
              <w:spacing w:after="0"/>
              <w:jc w:val="center"/>
              <w:rPr>
                <w:rFonts w:ascii="Arial" w:hAnsi="Arial"/>
                <w:b/>
                <w:sz w:val="18"/>
              </w:rPr>
            </w:pPr>
            <w:r w:rsidRPr="006D5FB9">
              <w:rPr>
                <w:rFonts w:ascii="Arial" w:hAnsi="Arial"/>
                <w:b/>
                <w:sz w:val="18"/>
              </w:rPr>
              <w:t>T</w:t>
            </w:r>
            <w:r w:rsidRPr="006D5FB9">
              <w:rPr>
                <w:rFonts w:ascii="Arial" w:hAnsi="Arial"/>
                <w:b/>
                <w:sz w:val="18"/>
                <w:vertAlign w:val="subscript"/>
              </w:rPr>
              <w:t>evaluate,NR_</w:t>
            </w:r>
            <w:r w:rsidRPr="006D5FB9">
              <w:rPr>
                <w:rFonts w:ascii="Arial" w:hAnsi="Arial" w:cs="v4.2.0"/>
                <w:b/>
                <w:sz w:val="18"/>
                <w:vertAlign w:val="subscript"/>
              </w:rPr>
              <w:t>Int</w:t>
            </w:r>
            <w:r>
              <w:rPr>
                <w:rFonts w:ascii="Arial" w:hAnsi="Arial" w:cs="v4.2.0"/>
                <w:b/>
                <w:sz w:val="18"/>
                <w:vertAlign w:val="subscript"/>
              </w:rPr>
              <w:t>ra</w:t>
            </w:r>
            <w:r w:rsidRPr="006D5FB9">
              <w:rPr>
                <w:rFonts w:ascii="Arial" w:hAnsi="Arial" w:cs="v4.2.0"/>
                <w:b/>
                <w:sz w:val="18"/>
                <w:vertAlign w:val="subscript"/>
              </w:rPr>
              <w:t>_</w:t>
            </w:r>
            <w:r>
              <w:rPr>
                <w:rFonts w:ascii="Arial" w:hAnsi="Arial" w:cs="v4.2.0"/>
                <w:b/>
                <w:sz w:val="18"/>
                <w:vertAlign w:val="subscript"/>
              </w:rPr>
              <w:t>enh</w:t>
            </w:r>
            <w:r w:rsidRPr="006D5FB9">
              <w:rPr>
                <w:rFonts w:ascii="Arial" w:hAnsi="Arial" w:cs="Arial"/>
                <w:b/>
                <w:sz w:val="18"/>
              </w:rPr>
              <w:t xml:space="preserve"> </w:t>
            </w:r>
            <w:r w:rsidRPr="006D5FB9">
              <w:rPr>
                <w:rFonts w:ascii="Arial" w:hAnsi="Arial"/>
                <w:b/>
                <w:sz w:val="18"/>
              </w:rPr>
              <w:t>[s] (number of DRX cycles)</w:t>
            </w:r>
          </w:p>
        </w:tc>
      </w:tr>
      <w:tr w:rsidR="008B5183" w:rsidRPr="006D5FB9" w14:paraId="5511D1D3" w14:textId="77777777" w:rsidTr="001313A6">
        <w:trPr>
          <w:cantSplit/>
          <w:trHeight w:val="3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69C4BB" w14:textId="77777777" w:rsidR="008B5183" w:rsidRPr="006D5FB9" w:rsidRDefault="008B5183" w:rsidP="001313A6">
            <w:pPr>
              <w:keepNext/>
              <w:keepLines/>
              <w:spacing w:after="0"/>
              <w:jc w:val="center"/>
              <w:rPr>
                <w:rFonts w:ascii="Arial" w:eastAsia="Malgun Gothic" w:hAnsi="Arial"/>
                <w:b/>
                <w:sz w:val="18"/>
              </w:rPr>
            </w:pPr>
          </w:p>
        </w:tc>
        <w:tc>
          <w:tcPr>
            <w:tcW w:w="1407" w:type="pct"/>
            <w:vMerge/>
            <w:tcBorders>
              <w:top w:val="single" w:sz="4" w:space="0" w:color="auto"/>
              <w:left w:val="single" w:sz="4" w:space="0" w:color="auto"/>
              <w:bottom w:val="single" w:sz="4" w:space="0" w:color="auto"/>
              <w:right w:val="single" w:sz="4" w:space="0" w:color="auto"/>
            </w:tcBorders>
            <w:vAlign w:val="center"/>
            <w:hideMark/>
          </w:tcPr>
          <w:p w14:paraId="4AAD20CF" w14:textId="77777777" w:rsidR="008B5183" w:rsidRPr="006D5FB9" w:rsidRDefault="008B5183" w:rsidP="001313A6">
            <w:pPr>
              <w:keepNext/>
              <w:keepLines/>
              <w:spacing w:after="0"/>
              <w:jc w:val="center"/>
              <w:rPr>
                <w:rFonts w:ascii="Arial" w:eastAsia="Malgun Gothic" w:hAnsi="Arial"/>
                <w:b/>
                <w:sz w:val="18"/>
              </w:rPr>
            </w:pPr>
          </w:p>
        </w:tc>
        <w:tc>
          <w:tcPr>
            <w:tcW w:w="1519" w:type="pct"/>
            <w:vMerge/>
            <w:tcBorders>
              <w:top w:val="single" w:sz="4" w:space="0" w:color="auto"/>
              <w:left w:val="single" w:sz="4" w:space="0" w:color="auto"/>
              <w:bottom w:val="single" w:sz="4" w:space="0" w:color="auto"/>
              <w:right w:val="single" w:sz="4" w:space="0" w:color="auto"/>
            </w:tcBorders>
            <w:vAlign w:val="center"/>
            <w:hideMark/>
          </w:tcPr>
          <w:p w14:paraId="6ED08E19" w14:textId="77777777" w:rsidR="008B5183" w:rsidRPr="006D5FB9" w:rsidRDefault="008B5183" w:rsidP="001313A6">
            <w:pPr>
              <w:keepNext/>
              <w:keepLines/>
              <w:spacing w:after="0"/>
              <w:jc w:val="center"/>
              <w:rPr>
                <w:rFonts w:ascii="Arial" w:eastAsia="Malgun Gothic" w:hAnsi="Arial"/>
                <w:b/>
                <w:sz w:val="18"/>
              </w:rPr>
            </w:pPr>
          </w:p>
        </w:tc>
        <w:tc>
          <w:tcPr>
            <w:tcW w:w="1340" w:type="pct"/>
            <w:vMerge/>
            <w:tcBorders>
              <w:top w:val="single" w:sz="4" w:space="0" w:color="auto"/>
              <w:left w:val="single" w:sz="4" w:space="0" w:color="auto"/>
              <w:bottom w:val="single" w:sz="4" w:space="0" w:color="auto"/>
              <w:right w:val="single" w:sz="4" w:space="0" w:color="auto"/>
            </w:tcBorders>
            <w:vAlign w:val="center"/>
            <w:hideMark/>
          </w:tcPr>
          <w:p w14:paraId="51E83A4F" w14:textId="77777777" w:rsidR="008B5183" w:rsidRPr="006D5FB9" w:rsidRDefault="008B5183" w:rsidP="001313A6">
            <w:pPr>
              <w:keepNext/>
              <w:keepLines/>
              <w:spacing w:after="0"/>
              <w:jc w:val="center"/>
              <w:rPr>
                <w:rFonts w:ascii="Arial" w:eastAsia="Malgun Gothic" w:hAnsi="Arial"/>
                <w:b/>
                <w:sz w:val="18"/>
              </w:rPr>
            </w:pPr>
          </w:p>
        </w:tc>
      </w:tr>
      <w:tr w:rsidR="003777C9" w:rsidRPr="006D5FB9" w14:paraId="1EF3B7AE" w14:textId="77777777" w:rsidTr="001313A6">
        <w:trPr>
          <w:cantSplit/>
          <w:jc w:val="center"/>
        </w:trPr>
        <w:tc>
          <w:tcPr>
            <w:tcW w:w="734" w:type="pct"/>
            <w:tcBorders>
              <w:top w:val="single" w:sz="4" w:space="0" w:color="auto"/>
              <w:left w:val="single" w:sz="4" w:space="0" w:color="auto"/>
              <w:bottom w:val="single" w:sz="4" w:space="0" w:color="auto"/>
              <w:right w:val="single" w:sz="4" w:space="0" w:color="auto"/>
            </w:tcBorders>
            <w:hideMark/>
          </w:tcPr>
          <w:p w14:paraId="27AB5F6D" w14:textId="77777777" w:rsidR="003777C9" w:rsidRPr="006D5FB9" w:rsidRDefault="003777C9" w:rsidP="003777C9">
            <w:pPr>
              <w:pStyle w:val="TAC"/>
              <w:rPr>
                <w:rFonts w:eastAsia="Malgun Gothic"/>
              </w:rPr>
            </w:pPr>
            <w:r w:rsidRPr="006D5FB9">
              <w:t>0.32</w:t>
            </w:r>
          </w:p>
        </w:tc>
        <w:tc>
          <w:tcPr>
            <w:tcW w:w="1407" w:type="pct"/>
            <w:tcBorders>
              <w:top w:val="single" w:sz="4" w:space="0" w:color="auto"/>
              <w:left w:val="single" w:sz="4" w:space="0" w:color="auto"/>
              <w:bottom w:val="single" w:sz="4" w:space="0" w:color="auto"/>
              <w:right w:val="single" w:sz="4" w:space="0" w:color="auto"/>
            </w:tcBorders>
            <w:hideMark/>
          </w:tcPr>
          <w:p w14:paraId="74788EEB" w14:textId="6DE7352D" w:rsidR="003777C9" w:rsidRPr="006D5FB9" w:rsidRDefault="003777C9" w:rsidP="003777C9">
            <w:pPr>
              <w:pStyle w:val="TAC"/>
              <w:rPr>
                <w:rFonts w:eastAsia="Malgun Gothic"/>
              </w:rPr>
            </w:pPr>
            <w:r w:rsidRPr="00BC005E">
              <w:t xml:space="preserve"> 2.56 x M2 (8 x M2)</w:t>
            </w:r>
            <w:r w:rsidRPr="00BC005E">
              <w:rPr>
                <w:vertAlign w:val="superscript"/>
              </w:rPr>
              <w:t>Note 1</w:t>
            </w:r>
          </w:p>
        </w:tc>
        <w:tc>
          <w:tcPr>
            <w:tcW w:w="1519" w:type="pct"/>
            <w:tcBorders>
              <w:top w:val="single" w:sz="4" w:space="0" w:color="auto"/>
              <w:left w:val="single" w:sz="4" w:space="0" w:color="auto"/>
              <w:bottom w:val="single" w:sz="4" w:space="0" w:color="auto"/>
              <w:right w:val="single" w:sz="4" w:space="0" w:color="auto"/>
            </w:tcBorders>
            <w:hideMark/>
          </w:tcPr>
          <w:p w14:paraId="500FC1A9" w14:textId="59EFE147" w:rsidR="003777C9" w:rsidRPr="006D5FB9" w:rsidRDefault="003777C9" w:rsidP="003777C9">
            <w:pPr>
              <w:pStyle w:val="TAC"/>
              <w:rPr>
                <w:rFonts w:eastAsia="Malgun Gothic"/>
              </w:rPr>
            </w:pPr>
            <w:r w:rsidRPr="00BC005E">
              <w:t>0.32 x M3 (1 x M3)</w:t>
            </w:r>
            <w:r w:rsidRPr="00BC005E">
              <w:rPr>
                <w:vertAlign w:val="superscript"/>
              </w:rPr>
              <w:t xml:space="preserve"> Note 1</w:t>
            </w:r>
          </w:p>
        </w:tc>
        <w:tc>
          <w:tcPr>
            <w:tcW w:w="1340" w:type="pct"/>
            <w:tcBorders>
              <w:top w:val="single" w:sz="4" w:space="0" w:color="auto"/>
              <w:left w:val="single" w:sz="4" w:space="0" w:color="auto"/>
              <w:bottom w:val="single" w:sz="4" w:space="0" w:color="auto"/>
              <w:right w:val="single" w:sz="4" w:space="0" w:color="auto"/>
            </w:tcBorders>
            <w:hideMark/>
          </w:tcPr>
          <w:p w14:paraId="078546A4" w14:textId="77777777" w:rsidR="003777C9" w:rsidRPr="006D5FB9" w:rsidRDefault="003777C9" w:rsidP="003777C9">
            <w:pPr>
              <w:pStyle w:val="TAC"/>
              <w:rPr>
                <w:rFonts w:eastAsia="Malgun Gothic"/>
              </w:rPr>
            </w:pPr>
            <w:r w:rsidRPr="006D5FB9">
              <w:t>0.96 x M4 (3 x M4)</w:t>
            </w:r>
            <w:r w:rsidRPr="006D5FB9">
              <w:rPr>
                <w:vertAlign w:val="superscript"/>
              </w:rPr>
              <w:t xml:space="preserve"> Note 1</w:t>
            </w:r>
          </w:p>
        </w:tc>
      </w:tr>
      <w:tr w:rsidR="003777C9" w:rsidRPr="006D5FB9" w14:paraId="0172E091" w14:textId="77777777" w:rsidTr="001313A6">
        <w:trPr>
          <w:cantSplit/>
          <w:jc w:val="center"/>
        </w:trPr>
        <w:tc>
          <w:tcPr>
            <w:tcW w:w="734" w:type="pct"/>
            <w:tcBorders>
              <w:top w:val="single" w:sz="4" w:space="0" w:color="auto"/>
              <w:left w:val="single" w:sz="4" w:space="0" w:color="auto"/>
              <w:bottom w:val="single" w:sz="4" w:space="0" w:color="auto"/>
              <w:right w:val="single" w:sz="4" w:space="0" w:color="auto"/>
            </w:tcBorders>
            <w:hideMark/>
          </w:tcPr>
          <w:p w14:paraId="06DA473C" w14:textId="77777777" w:rsidR="003777C9" w:rsidRPr="006D5FB9" w:rsidRDefault="003777C9" w:rsidP="003777C9">
            <w:pPr>
              <w:pStyle w:val="TAC"/>
              <w:rPr>
                <w:rFonts w:eastAsia="Malgun Gothic"/>
              </w:rPr>
            </w:pPr>
            <w:r w:rsidRPr="006D5FB9">
              <w:t>0.64</w:t>
            </w:r>
          </w:p>
        </w:tc>
        <w:tc>
          <w:tcPr>
            <w:tcW w:w="1407" w:type="pct"/>
            <w:tcBorders>
              <w:top w:val="single" w:sz="4" w:space="0" w:color="auto"/>
              <w:left w:val="single" w:sz="4" w:space="0" w:color="auto"/>
              <w:bottom w:val="single" w:sz="4" w:space="0" w:color="auto"/>
              <w:right w:val="single" w:sz="4" w:space="0" w:color="auto"/>
            </w:tcBorders>
            <w:hideMark/>
          </w:tcPr>
          <w:p w14:paraId="7EEB8509" w14:textId="62A24A37" w:rsidR="003777C9" w:rsidRPr="006D5FB9" w:rsidRDefault="003777C9" w:rsidP="003777C9">
            <w:pPr>
              <w:pStyle w:val="TAC"/>
              <w:rPr>
                <w:rFonts w:eastAsia="Malgun Gothic"/>
              </w:rPr>
            </w:pPr>
            <w:r w:rsidRPr="00BC005E">
              <w:t>5.12 (8)</w:t>
            </w:r>
          </w:p>
        </w:tc>
        <w:tc>
          <w:tcPr>
            <w:tcW w:w="1519" w:type="pct"/>
            <w:tcBorders>
              <w:top w:val="single" w:sz="4" w:space="0" w:color="auto"/>
              <w:left w:val="single" w:sz="4" w:space="0" w:color="auto"/>
              <w:bottom w:val="single" w:sz="4" w:space="0" w:color="auto"/>
              <w:right w:val="single" w:sz="4" w:space="0" w:color="auto"/>
            </w:tcBorders>
            <w:hideMark/>
          </w:tcPr>
          <w:p w14:paraId="2C5BABF9" w14:textId="07060FA1" w:rsidR="003777C9" w:rsidRPr="006D5FB9" w:rsidRDefault="003777C9" w:rsidP="003777C9">
            <w:pPr>
              <w:pStyle w:val="TAC"/>
              <w:rPr>
                <w:rFonts w:eastAsia="Malgun Gothic"/>
              </w:rPr>
            </w:pPr>
            <w:r w:rsidRPr="00BC005E">
              <w:t>0.64 (1)</w:t>
            </w:r>
          </w:p>
        </w:tc>
        <w:tc>
          <w:tcPr>
            <w:tcW w:w="1340" w:type="pct"/>
            <w:tcBorders>
              <w:top w:val="single" w:sz="4" w:space="0" w:color="auto"/>
              <w:left w:val="single" w:sz="4" w:space="0" w:color="auto"/>
              <w:bottom w:val="single" w:sz="4" w:space="0" w:color="auto"/>
              <w:right w:val="single" w:sz="4" w:space="0" w:color="auto"/>
            </w:tcBorders>
            <w:hideMark/>
          </w:tcPr>
          <w:p w14:paraId="53E1331E" w14:textId="77777777" w:rsidR="003777C9" w:rsidRPr="006D5FB9" w:rsidRDefault="003777C9" w:rsidP="003777C9">
            <w:pPr>
              <w:pStyle w:val="TAC"/>
              <w:rPr>
                <w:rFonts w:eastAsia="Malgun Gothic"/>
              </w:rPr>
            </w:pPr>
            <w:r w:rsidRPr="006D5FB9">
              <w:t>1.92 (3)</w:t>
            </w:r>
          </w:p>
        </w:tc>
      </w:tr>
      <w:tr w:rsidR="003777C9" w:rsidRPr="006D5FB9" w14:paraId="5C17412A" w14:textId="77777777" w:rsidTr="001313A6">
        <w:trPr>
          <w:cantSplit/>
          <w:jc w:val="center"/>
        </w:trPr>
        <w:tc>
          <w:tcPr>
            <w:tcW w:w="734" w:type="pct"/>
            <w:tcBorders>
              <w:top w:val="single" w:sz="4" w:space="0" w:color="auto"/>
              <w:left w:val="single" w:sz="4" w:space="0" w:color="auto"/>
              <w:bottom w:val="single" w:sz="4" w:space="0" w:color="auto"/>
              <w:right w:val="single" w:sz="4" w:space="0" w:color="auto"/>
            </w:tcBorders>
            <w:hideMark/>
          </w:tcPr>
          <w:p w14:paraId="2F1DC5E9" w14:textId="77777777" w:rsidR="003777C9" w:rsidRPr="006D5FB9" w:rsidRDefault="003777C9" w:rsidP="003777C9">
            <w:pPr>
              <w:pStyle w:val="TAC"/>
              <w:rPr>
                <w:rFonts w:eastAsia="Malgun Gothic"/>
              </w:rPr>
            </w:pPr>
            <w:r w:rsidRPr="006D5FB9">
              <w:t>1.28</w:t>
            </w:r>
          </w:p>
        </w:tc>
        <w:tc>
          <w:tcPr>
            <w:tcW w:w="1407" w:type="pct"/>
            <w:tcBorders>
              <w:top w:val="single" w:sz="4" w:space="0" w:color="auto"/>
              <w:left w:val="single" w:sz="4" w:space="0" w:color="auto"/>
              <w:bottom w:val="single" w:sz="4" w:space="0" w:color="auto"/>
              <w:right w:val="single" w:sz="4" w:space="0" w:color="auto"/>
            </w:tcBorders>
            <w:hideMark/>
          </w:tcPr>
          <w:p w14:paraId="243E4E12" w14:textId="0E923955" w:rsidR="003777C9" w:rsidRPr="006D5FB9" w:rsidRDefault="003777C9" w:rsidP="003777C9">
            <w:pPr>
              <w:pStyle w:val="TAC"/>
              <w:rPr>
                <w:rFonts w:eastAsia="Malgun Gothic"/>
              </w:rPr>
            </w:pPr>
            <w:r w:rsidRPr="00BC005E">
              <w:t>8.96 (7)</w:t>
            </w:r>
          </w:p>
        </w:tc>
        <w:tc>
          <w:tcPr>
            <w:tcW w:w="1519" w:type="pct"/>
            <w:tcBorders>
              <w:top w:val="single" w:sz="4" w:space="0" w:color="auto"/>
              <w:left w:val="single" w:sz="4" w:space="0" w:color="auto"/>
              <w:bottom w:val="single" w:sz="4" w:space="0" w:color="auto"/>
              <w:right w:val="single" w:sz="4" w:space="0" w:color="auto"/>
            </w:tcBorders>
            <w:hideMark/>
          </w:tcPr>
          <w:p w14:paraId="0545C007" w14:textId="77777777" w:rsidR="003777C9" w:rsidRPr="006D5FB9" w:rsidRDefault="003777C9" w:rsidP="003777C9">
            <w:pPr>
              <w:pStyle w:val="TAC"/>
              <w:rPr>
                <w:rFonts w:eastAsia="Malgun Gothic"/>
              </w:rPr>
            </w:pPr>
            <w:r w:rsidRPr="006D5FB9">
              <w:rPr>
                <w:rFonts w:eastAsia="Malgun Gothic"/>
                <w:szCs w:val="24"/>
                <w:lang w:eastAsia="zh-CN"/>
              </w:rPr>
              <w:t>1.28 (1)</w:t>
            </w:r>
          </w:p>
        </w:tc>
        <w:tc>
          <w:tcPr>
            <w:tcW w:w="1340" w:type="pct"/>
            <w:tcBorders>
              <w:top w:val="single" w:sz="4" w:space="0" w:color="auto"/>
              <w:left w:val="single" w:sz="4" w:space="0" w:color="auto"/>
              <w:bottom w:val="single" w:sz="4" w:space="0" w:color="auto"/>
              <w:right w:val="single" w:sz="4" w:space="0" w:color="auto"/>
            </w:tcBorders>
            <w:hideMark/>
          </w:tcPr>
          <w:p w14:paraId="5FE48034" w14:textId="77777777" w:rsidR="003777C9" w:rsidRPr="006D5FB9" w:rsidRDefault="003777C9" w:rsidP="003777C9">
            <w:pPr>
              <w:pStyle w:val="TAC"/>
              <w:rPr>
                <w:rFonts w:eastAsia="Malgun Gothic"/>
              </w:rPr>
            </w:pPr>
            <w:r w:rsidRPr="006D5FB9">
              <w:t>3.84 (3)</w:t>
            </w:r>
          </w:p>
        </w:tc>
      </w:tr>
      <w:tr w:rsidR="008B5183" w:rsidRPr="006D5FB9" w14:paraId="6A375D19" w14:textId="77777777" w:rsidTr="001313A6">
        <w:trPr>
          <w:cantSplit/>
          <w:jc w:val="center"/>
        </w:trPr>
        <w:tc>
          <w:tcPr>
            <w:tcW w:w="734" w:type="pct"/>
            <w:tcBorders>
              <w:top w:val="single" w:sz="4" w:space="0" w:color="auto"/>
              <w:left w:val="single" w:sz="4" w:space="0" w:color="auto"/>
              <w:bottom w:val="single" w:sz="4" w:space="0" w:color="auto"/>
              <w:right w:val="single" w:sz="4" w:space="0" w:color="auto"/>
            </w:tcBorders>
            <w:hideMark/>
          </w:tcPr>
          <w:p w14:paraId="032BCA91" w14:textId="77777777" w:rsidR="008B5183" w:rsidRPr="006D5FB9" w:rsidRDefault="008B5183" w:rsidP="003777C9">
            <w:pPr>
              <w:pStyle w:val="TAC"/>
              <w:rPr>
                <w:rFonts w:eastAsia="Malgun Gothic"/>
              </w:rPr>
            </w:pPr>
            <w:r w:rsidRPr="006D5FB9">
              <w:t>2.56</w:t>
            </w:r>
          </w:p>
        </w:tc>
        <w:tc>
          <w:tcPr>
            <w:tcW w:w="1407" w:type="pct"/>
            <w:tcBorders>
              <w:top w:val="single" w:sz="4" w:space="0" w:color="auto"/>
              <w:left w:val="single" w:sz="4" w:space="0" w:color="auto"/>
              <w:bottom w:val="single" w:sz="4" w:space="0" w:color="auto"/>
              <w:right w:val="single" w:sz="4" w:space="0" w:color="auto"/>
            </w:tcBorders>
            <w:hideMark/>
          </w:tcPr>
          <w:p w14:paraId="4206DC24" w14:textId="77777777" w:rsidR="008B5183" w:rsidRPr="006D5FB9" w:rsidRDefault="008B5183" w:rsidP="003777C9">
            <w:pPr>
              <w:pStyle w:val="TAC"/>
              <w:rPr>
                <w:rFonts w:eastAsia="Malgun Gothic"/>
              </w:rPr>
            </w:pPr>
            <w:r w:rsidRPr="006D5FB9">
              <w:t>58.88 (23)</w:t>
            </w:r>
          </w:p>
        </w:tc>
        <w:tc>
          <w:tcPr>
            <w:tcW w:w="1519" w:type="pct"/>
            <w:tcBorders>
              <w:top w:val="single" w:sz="4" w:space="0" w:color="auto"/>
              <w:left w:val="single" w:sz="4" w:space="0" w:color="auto"/>
              <w:bottom w:val="single" w:sz="4" w:space="0" w:color="auto"/>
              <w:right w:val="single" w:sz="4" w:space="0" w:color="auto"/>
            </w:tcBorders>
            <w:hideMark/>
          </w:tcPr>
          <w:p w14:paraId="1C382527" w14:textId="77777777" w:rsidR="008B5183" w:rsidRPr="006D5FB9" w:rsidRDefault="008B5183" w:rsidP="003777C9">
            <w:pPr>
              <w:pStyle w:val="TAC"/>
              <w:rPr>
                <w:rFonts w:eastAsia="Malgun Gothic"/>
              </w:rPr>
            </w:pPr>
            <w:r w:rsidRPr="006D5FB9">
              <w:t>2.56 (1)</w:t>
            </w:r>
          </w:p>
        </w:tc>
        <w:tc>
          <w:tcPr>
            <w:tcW w:w="1340" w:type="pct"/>
            <w:tcBorders>
              <w:top w:val="single" w:sz="4" w:space="0" w:color="auto"/>
              <w:left w:val="single" w:sz="4" w:space="0" w:color="auto"/>
              <w:bottom w:val="single" w:sz="4" w:space="0" w:color="auto"/>
              <w:right w:val="single" w:sz="4" w:space="0" w:color="auto"/>
            </w:tcBorders>
            <w:hideMark/>
          </w:tcPr>
          <w:p w14:paraId="30F60C01" w14:textId="77777777" w:rsidR="008B5183" w:rsidRPr="006D5FB9" w:rsidRDefault="008B5183" w:rsidP="003777C9">
            <w:pPr>
              <w:pStyle w:val="TAC"/>
              <w:rPr>
                <w:rFonts w:eastAsia="Malgun Gothic"/>
              </w:rPr>
            </w:pPr>
            <w:r w:rsidRPr="006D5FB9">
              <w:t>7.68 (3)</w:t>
            </w:r>
          </w:p>
        </w:tc>
      </w:tr>
      <w:tr w:rsidR="001B50F0" w:rsidRPr="006D5FB9" w14:paraId="14774C65" w14:textId="77777777" w:rsidTr="001313A6">
        <w:trPr>
          <w:cantSplit/>
          <w:jc w:val="center"/>
        </w:trPr>
        <w:tc>
          <w:tcPr>
            <w:tcW w:w="5000" w:type="pct"/>
            <w:gridSpan w:val="4"/>
            <w:tcBorders>
              <w:top w:val="single" w:sz="4" w:space="0" w:color="auto"/>
              <w:left w:val="single" w:sz="4" w:space="0" w:color="auto"/>
              <w:bottom w:val="single" w:sz="4" w:space="0" w:color="auto"/>
              <w:right w:val="single" w:sz="4" w:space="0" w:color="auto"/>
            </w:tcBorders>
          </w:tcPr>
          <w:p w14:paraId="68FB8702" w14:textId="1AAE1AF1" w:rsidR="001B50F0" w:rsidRPr="006D5FB9" w:rsidRDefault="001B50F0" w:rsidP="001B50F0">
            <w:pPr>
              <w:pStyle w:val="TAN"/>
              <w:rPr>
                <w:rFonts w:eastAsia="Malgun Gothic"/>
              </w:rPr>
            </w:pPr>
            <w:r w:rsidRPr="006D5FB9">
              <w:rPr>
                <w:lang w:eastAsia="zh-CN"/>
              </w:rPr>
              <w:t>Note 1:</w:t>
            </w:r>
            <w:r w:rsidRPr="006D5FB9">
              <w:rPr>
                <w:rFonts w:eastAsia="CG Times (WN)"/>
                <w:lang w:val="en-US"/>
              </w:rPr>
              <w:tab/>
            </w:r>
            <w:r w:rsidRPr="006D5FB9">
              <w:t>W</w:t>
            </w:r>
            <w:r w:rsidRPr="006D5FB9">
              <w:rPr>
                <w:lang w:eastAsia="zh-CN"/>
              </w:rPr>
              <w:t xml:space="preserve">hen SMTC &lt; = 40 ms, M2 = M3 = M4 = 1; and when SMTC &gt; 40 ms, M2 = </w:t>
            </w:r>
            <w:r>
              <w:rPr>
                <w:lang w:eastAsia="zh-CN"/>
              </w:rPr>
              <w:t>2</w:t>
            </w:r>
            <w:r w:rsidRPr="006D5FB9">
              <w:rPr>
                <w:lang w:eastAsia="zh-CN"/>
              </w:rPr>
              <w:t>, M3 = M4 = 2</w:t>
            </w:r>
            <w:r>
              <w:rPr>
                <w:lang w:eastAsia="zh-CN"/>
              </w:rPr>
              <w:t>.5</w:t>
            </w:r>
          </w:p>
        </w:tc>
      </w:tr>
    </w:tbl>
    <w:p w14:paraId="3FBA6B0D" w14:textId="77777777" w:rsidR="008B5183" w:rsidRPr="006D5FB9" w:rsidRDefault="008B5183" w:rsidP="008B5183">
      <w:pPr>
        <w:rPr>
          <w:lang w:eastAsia="zh-CN"/>
        </w:rPr>
      </w:pPr>
    </w:p>
    <w:p w14:paraId="6DA99994" w14:textId="355228EA" w:rsidR="008B5183" w:rsidRDefault="004C5AE6" w:rsidP="008B5183">
      <w:pPr>
        <w:rPr>
          <w:szCs w:val="24"/>
          <w:lang w:eastAsia="zh-CN"/>
        </w:rPr>
      </w:pPr>
      <w:r>
        <w:rPr>
          <w:noProof/>
        </w:rPr>
        <w:t xml:space="preserve">If </w:t>
      </w:r>
      <w:r w:rsidRPr="00B42A38">
        <w:rPr>
          <w:lang w:val="en-US"/>
        </w:rPr>
        <w:t>‘</w:t>
      </w:r>
      <w:r w:rsidRPr="00B42A38">
        <w:rPr>
          <w:i/>
          <w:iCs/>
          <w:lang w:val="en-US"/>
        </w:rPr>
        <w:t>t-Service</w:t>
      </w:r>
      <w:r w:rsidRPr="00B42A38">
        <w:rPr>
          <w:lang w:val="en-US"/>
        </w:rPr>
        <w:t>’</w:t>
      </w:r>
      <w:r>
        <w:rPr>
          <w:noProof/>
        </w:rPr>
        <w:t xml:space="preserve"> is broadcasted and applicable, UE shall be able to detect, measure, and evaluate neighbour cells before the serving cell stops serving the area</w:t>
      </w:r>
      <w:r>
        <w:t xml:space="preserve"> </w:t>
      </w:r>
      <w:r>
        <w:rPr>
          <w:noProof/>
        </w:rPr>
        <w:t>regardless of whether the distance condition based on serving cell reference location is met or the legacy Srxlev/Squal condition are met, and when to start the detection, measurement and evaluation on neighbour cells is up to UE implementation.</w:t>
      </w:r>
      <w:r>
        <w:rPr>
          <w:noProof/>
          <w:lang w:eastAsia="zh-CN"/>
        </w:rPr>
        <w:t xml:space="preserve"> This requirement </w:t>
      </w:r>
      <w:r>
        <w:rPr>
          <w:noProof/>
        </w:rPr>
        <w:t xml:space="preserve">does not apply when the time span from the last slot of SI transmission within SI modification period </w:t>
      </w:r>
      <w:r>
        <w:rPr>
          <w:rFonts w:eastAsia="SimSun"/>
          <w:szCs w:val="24"/>
          <w:lang w:eastAsia="zh-CN"/>
        </w:rPr>
        <w:t xml:space="preserve">where the broadcasting of the last updated value for t-Service is acquired by the UE for the first time </w:t>
      </w:r>
      <w:r>
        <w:rPr>
          <w:noProof/>
        </w:rPr>
        <w:t xml:space="preserve">to the first slot when the cell is scheduled to stop serving the area according to the broadcasted information is less than </w:t>
      </w:r>
      <w:r>
        <w:rPr>
          <w:szCs w:val="24"/>
          <w:lang w:eastAsia="zh-CN"/>
        </w:rPr>
        <w:t>T</w:t>
      </w:r>
      <w:r w:rsidRPr="00B42A38">
        <w:rPr>
          <w:szCs w:val="24"/>
          <w:vertAlign w:val="subscript"/>
          <w:lang w:eastAsia="zh-CN"/>
        </w:rPr>
        <w:t>trigger</w:t>
      </w:r>
      <w:r>
        <w:rPr>
          <w:noProof/>
        </w:rPr>
        <w:t>.</w:t>
      </w:r>
    </w:p>
    <w:p w14:paraId="1E75A406" w14:textId="77777777" w:rsidR="008B5183" w:rsidRDefault="008B5183" w:rsidP="008B5183">
      <w:pPr>
        <w:pStyle w:val="EQ"/>
        <w:rPr>
          <w:lang w:eastAsia="zh-CN"/>
        </w:rPr>
      </w:pPr>
      <w:r>
        <w:rPr>
          <w:lang w:eastAsia="zh-CN"/>
        </w:rPr>
        <w:tab/>
        <w:t>T</w:t>
      </w:r>
      <w:r>
        <w:rPr>
          <w:vertAlign w:val="subscript"/>
          <w:lang w:eastAsia="zh-CN"/>
        </w:rPr>
        <w:t>trigger</w:t>
      </w:r>
      <w:r>
        <w:rPr>
          <w:lang w:eastAsia="zh-CN"/>
        </w:rPr>
        <w:t xml:space="preserve"> = max(T</w:t>
      </w:r>
      <w:r>
        <w:rPr>
          <w:vertAlign w:val="subscript"/>
          <w:lang w:eastAsia="zh-CN"/>
        </w:rPr>
        <w:t>detect,NR_Intra</w:t>
      </w:r>
      <w:r>
        <w:rPr>
          <w:lang w:eastAsia="zh-CN"/>
        </w:rPr>
        <w:t>, K</w:t>
      </w:r>
      <w:r>
        <w:rPr>
          <w:vertAlign w:val="subscript"/>
          <w:lang w:eastAsia="zh-CN"/>
        </w:rPr>
        <w:t>carrier</w:t>
      </w:r>
      <w:r>
        <w:rPr>
          <w:lang w:eastAsia="zh-CN"/>
        </w:rPr>
        <w:t>* T</w:t>
      </w:r>
      <w:r>
        <w:rPr>
          <w:vertAlign w:val="subscript"/>
          <w:lang w:eastAsia="zh-CN"/>
        </w:rPr>
        <w:t>detect,NR_Inter</w:t>
      </w:r>
      <w:r>
        <w:rPr>
          <w:lang w:eastAsia="zh-CN"/>
        </w:rPr>
        <w:t>),</w:t>
      </w:r>
    </w:p>
    <w:p w14:paraId="22224B54" w14:textId="77777777" w:rsidR="008B5183" w:rsidRPr="005D1FD4" w:rsidRDefault="008B5183" w:rsidP="008B5183">
      <w:pPr>
        <w:rPr>
          <w:noProof/>
        </w:rPr>
      </w:pPr>
      <w:r w:rsidRPr="005D1FD4">
        <w:rPr>
          <w:szCs w:val="24"/>
          <w:lang w:eastAsia="zh-CN"/>
        </w:rPr>
        <w:t>where</w:t>
      </w:r>
    </w:p>
    <w:p w14:paraId="3653E6BF" w14:textId="77777777" w:rsidR="00FE097D" w:rsidRPr="005D1FD4" w:rsidRDefault="00FE097D" w:rsidP="00FE097D">
      <w:pPr>
        <w:pStyle w:val="B10"/>
        <w:rPr>
          <w:lang w:eastAsia="zh-CN"/>
        </w:rPr>
      </w:pPr>
      <w:r>
        <w:rPr>
          <w:lang w:eastAsia="zh-CN"/>
        </w:rPr>
        <w:t>-</w:t>
      </w:r>
      <w:r>
        <w:rPr>
          <w:lang w:eastAsia="zh-CN"/>
        </w:rPr>
        <w:tab/>
      </w:r>
      <w:r w:rsidRPr="005D1FD4">
        <w:rPr>
          <w:lang w:eastAsia="zh-CN"/>
        </w:rPr>
        <w:t>K</w:t>
      </w:r>
      <w:r w:rsidRPr="005D1FD4">
        <w:rPr>
          <w:vertAlign w:val="subscript"/>
          <w:lang w:eastAsia="zh-CN"/>
        </w:rPr>
        <w:t>carrier</w:t>
      </w:r>
      <w:r w:rsidRPr="005D1FD4">
        <w:rPr>
          <w:lang w:eastAsia="zh-CN"/>
        </w:rPr>
        <w:t xml:space="preserve"> is the number of NR inter-frequency carriers indicated by the serving cell,</w:t>
      </w:r>
    </w:p>
    <w:p w14:paraId="3966F01F" w14:textId="2BF85DDE" w:rsidR="004C5AE6" w:rsidRPr="005D1FD4" w:rsidRDefault="004C5AE6" w:rsidP="004C5AE6">
      <w:pPr>
        <w:pStyle w:val="B10"/>
        <w:rPr>
          <w:lang w:eastAsia="zh-CN"/>
        </w:rPr>
      </w:pPr>
      <w:r>
        <w:rPr>
          <w:lang w:eastAsia="zh-CN"/>
        </w:rPr>
        <w:t>-</w:t>
      </w:r>
      <w:r>
        <w:rPr>
          <w:lang w:eastAsia="zh-CN"/>
        </w:rPr>
        <w:tab/>
      </w:r>
      <w:r w:rsidRPr="005D1FD4">
        <w:rPr>
          <w:lang w:eastAsia="zh-CN"/>
        </w:rPr>
        <w:t>T</w:t>
      </w:r>
      <w:r w:rsidRPr="005D1FD4">
        <w:rPr>
          <w:vertAlign w:val="subscript"/>
          <w:lang w:eastAsia="zh-CN"/>
        </w:rPr>
        <w:t>detect,NR_Intra</w:t>
      </w:r>
      <w:r w:rsidRPr="005D1FD4">
        <w:rPr>
          <w:lang w:eastAsia="zh-CN"/>
        </w:rPr>
        <w:t xml:space="preserve"> </w:t>
      </w:r>
      <w:r>
        <w:rPr>
          <w:rFonts w:hint="eastAsia"/>
          <w:lang w:eastAsia="zh-CN"/>
        </w:rPr>
        <w:t>refers to</w:t>
      </w:r>
      <w:r w:rsidRPr="005D1FD4">
        <w:rPr>
          <w:lang w:eastAsia="zh-CN"/>
        </w:rPr>
        <w:t xml:space="preserve"> intra-frequency cell detection delay in IDLE/INACTIVE mode defined Table Table 4.2</w:t>
      </w:r>
      <w:r>
        <w:rPr>
          <w:lang w:eastAsia="zh-CN"/>
        </w:rPr>
        <w:t>C</w:t>
      </w:r>
      <w:r w:rsidRPr="005D1FD4">
        <w:rPr>
          <w:lang w:eastAsia="zh-CN"/>
        </w:rPr>
        <w:t>.2.3-2,</w:t>
      </w:r>
    </w:p>
    <w:p w14:paraId="5007702D" w14:textId="7235E4B6" w:rsidR="008B5183" w:rsidRPr="005D1FD4" w:rsidRDefault="004C5AE6" w:rsidP="004C5AE6">
      <w:pPr>
        <w:pStyle w:val="B10"/>
        <w:rPr>
          <w:noProof/>
        </w:rPr>
      </w:pPr>
      <w:r>
        <w:rPr>
          <w:lang w:eastAsia="zh-CN"/>
        </w:rPr>
        <w:t>-</w:t>
      </w:r>
      <w:r>
        <w:rPr>
          <w:lang w:eastAsia="zh-CN"/>
        </w:rPr>
        <w:tab/>
      </w:r>
      <w:r w:rsidRPr="005D1FD4">
        <w:rPr>
          <w:lang w:eastAsia="zh-CN"/>
        </w:rPr>
        <w:t>T</w:t>
      </w:r>
      <w:r w:rsidRPr="005D1FD4">
        <w:rPr>
          <w:vertAlign w:val="subscript"/>
          <w:lang w:eastAsia="zh-CN"/>
        </w:rPr>
        <w:t>detect,NR_Inter</w:t>
      </w:r>
      <w:r w:rsidRPr="005D1FD4">
        <w:rPr>
          <w:lang w:eastAsia="zh-CN"/>
        </w:rPr>
        <w:t xml:space="preserve"> </w:t>
      </w:r>
      <w:r>
        <w:rPr>
          <w:rFonts w:hint="eastAsia"/>
          <w:lang w:eastAsia="zh-CN"/>
        </w:rPr>
        <w:t>refers to</w:t>
      </w:r>
      <w:r w:rsidRPr="005D1FD4">
        <w:rPr>
          <w:lang w:eastAsia="zh-CN"/>
        </w:rPr>
        <w:t xml:space="preserve"> inter-frequency cell detection delay in IDLE/INACTIVE mode defined Table 4.2</w:t>
      </w:r>
      <w:r>
        <w:rPr>
          <w:lang w:eastAsia="zh-CN"/>
        </w:rPr>
        <w:t>C</w:t>
      </w:r>
      <w:r w:rsidRPr="005D1FD4">
        <w:rPr>
          <w:lang w:eastAsia="zh-CN"/>
        </w:rPr>
        <w:t>.2.4-2.</w:t>
      </w:r>
    </w:p>
    <w:p w14:paraId="486752FA" w14:textId="18941CDF" w:rsidR="008B5183" w:rsidRDefault="004C5AE6" w:rsidP="008B5183">
      <w:pPr>
        <w:rPr>
          <w:noProof/>
        </w:rPr>
      </w:pPr>
      <w:r w:rsidRPr="0095062A">
        <w:rPr>
          <w:noProof/>
        </w:rPr>
        <w:t xml:space="preserve">The </w:t>
      </w:r>
      <w:r w:rsidR="00B64AB3">
        <w:rPr>
          <w:noProof/>
        </w:rPr>
        <w:t>requirements</w:t>
      </w:r>
      <w:r w:rsidRPr="0095062A">
        <w:rPr>
          <w:noProof/>
        </w:rPr>
        <w:t xml:space="preserve"> in this clause apply provided that the number of SMTCs for any inter-frequency carrier does not exceed the </w:t>
      </w:r>
      <w:r w:rsidRPr="00563D6C">
        <w:rPr>
          <w:i/>
        </w:rPr>
        <w:t>parallelSMTC-r17</w:t>
      </w:r>
      <w:r w:rsidRPr="0095062A">
        <w:rPr>
          <w:noProof/>
        </w:rPr>
        <w:t xml:space="preserve">, otherwise UE </w:t>
      </w:r>
      <w:r>
        <w:rPr>
          <w:noProof/>
        </w:rPr>
        <w:t xml:space="preserve">may </w:t>
      </w:r>
      <w:r w:rsidRPr="0095062A">
        <w:rPr>
          <w:noProof/>
        </w:rPr>
        <w:t xml:space="preserve">select </w:t>
      </w:r>
      <w:r>
        <w:rPr>
          <w:noProof/>
        </w:rPr>
        <w:t xml:space="preserve">one or subset of all the configured </w:t>
      </w:r>
      <w:r w:rsidRPr="0095062A">
        <w:rPr>
          <w:noProof/>
        </w:rPr>
        <w:t xml:space="preserve">SMTCs sequentially </w:t>
      </w:r>
      <w:r>
        <w:rPr>
          <w:noProof/>
        </w:rPr>
        <w:t xml:space="preserve">for performing the measurements </w:t>
      </w:r>
      <w:r w:rsidRPr="0095062A">
        <w:rPr>
          <w:noProof/>
        </w:rPr>
        <w:t>until all of the SMTCs can be measured</w:t>
      </w:r>
      <w:r>
        <w:rPr>
          <w:noProof/>
        </w:rPr>
        <w:t>. T</w:t>
      </w:r>
      <w:r w:rsidRPr="0095062A">
        <w:rPr>
          <w:noProof/>
        </w:rPr>
        <w:t xml:space="preserve">he selection of SMTCs to be used is up to UE implementation, and </w:t>
      </w:r>
      <w:r>
        <w:rPr>
          <w:lang w:val="en-US"/>
        </w:rPr>
        <w:t xml:space="preserve">in this case, measurement period longer </w:t>
      </w:r>
      <w:r w:rsidRPr="00B42A38">
        <w:rPr>
          <w:lang w:val="en-US"/>
        </w:rPr>
        <w:t>than the corresponding measurement period specified in Table 4.2C.2.3-1</w:t>
      </w:r>
      <w:r>
        <w:rPr>
          <w:lang w:val="en-US"/>
        </w:rPr>
        <w:t xml:space="preserve"> and </w:t>
      </w:r>
      <w:r w:rsidRPr="006A7452">
        <w:rPr>
          <w:lang w:val="en-US"/>
        </w:rPr>
        <w:t>Table 4.2C.2.3-</w:t>
      </w:r>
      <w:r>
        <w:rPr>
          <w:lang w:val="en-US"/>
        </w:rPr>
        <w:t>2</w:t>
      </w:r>
      <w:r w:rsidRPr="00C23511">
        <w:rPr>
          <w:lang w:val="en-US"/>
        </w:rPr>
        <w:t xml:space="preserve"> </w:t>
      </w:r>
      <w:r w:rsidRPr="00C23511">
        <w:rPr>
          <w:noProof/>
        </w:rPr>
        <w:t>is expected</w:t>
      </w:r>
      <w:r w:rsidRPr="0095062A">
        <w:rPr>
          <w:noProof/>
        </w:rPr>
        <w:t>.</w:t>
      </w:r>
    </w:p>
    <w:p w14:paraId="0B1441BD" w14:textId="77777777" w:rsidR="008B5183" w:rsidRPr="009C5807" w:rsidRDefault="008B5183" w:rsidP="008B5183"/>
    <w:p w14:paraId="232AB306" w14:textId="77777777" w:rsidR="008B5183" w:rsidRPr="009C5807" w:rsidRDefault="008B5183" w:rsidP="008B5183">
      <w:pPr>
        <w:pStyle w:val="Heading4"/>
        <w:rPr>
          <w:lang w:val="en-US" w:eastAsia="zh-CN"/>
        </w:rPr>
      </w:pPr>
      <w:r>
        <w:rPr>
          <w:lang w:val="en-US" w:eastAsia="zh-CN"/>
        </w:rPr>
        <w:t>4.2C</w:t>
      </w:r>
      <w:r w:rsidRPr="009C5807">
        <w:rPr>
          <w:lang w:val="en-US" w:eastAsia="zh-CN"/>
        </w:rPr>
        <w:t>.2.</w:t>
      </w:r>
      <w:r>
        <w:rPr>
          <w:lang w:val="en-US" w:eastAsia="zh-CN"/>
        </w:rPr>
        <w:t>4</w:t>
      </w:r>
      <w:r w:rsidRPr="009C5807">
        <w:rPr>
          <w:lang w:val="en-US" w:eastAsia="zh-CN"/>
        </w:rPr>
        <w:tab/>
        <w:t>Measurements of inter-frequency NR cells</w:t>
      </w:r>
    </w:p>
    <w:p w14:paraId="252C2B2D" w14:textId="77777777" w:rsidR="008B5183" w:rsidRPr="009C5807" w:rsidRDefault="008B5183" w:rsidP="008B5183">
      <w:r w:rsidRPr="009C5807">
        <w:t>The UE shall be able to identify new inter-frequency cells and perform SS-RSRP or SS-RSRQ measurements of identified inter-frequency cells if carrier frequency information is provided by the serving cell, even if no explicit neighbour list with physical layer cell identities is provided.</w:t>
      </w:r>
    </w:p>
    <w:p w14:paraId="025EDBC1" w14:textId="4FBDB464" w:rsidR="00E70A36" w:rsidRPr="00812367" w:rsidRDefault="004C5AE6" w:rsidP="00E70A36">
      <w:r w:rsidRPr="00812367">
        <w:t>If Srxlev &gt; S</w:t>
      </w:r>
      <w:r w:rsidRPr="00812367">
        <w:rPr>
          <w:vertAlign w:val="subscript"/>
        </w:rPr>
        <w:t>nonIntraSearchP</w:t>
      </w:r>
      <w:r w:rsidRPr="00812367">
        <w:t xml:space="preserve"> and Squal &gt; S</w:t>
      </w:r>
      <w:r w:rsidRPr="00812367">
        <w:rPr>
          <w:vertAlign w:val="subscript"/>
        </w:rPr>
        <w:t>nonIntraSearchQ</w:t>
      </w:r>
      <w:r w:rsidRPr="00812367">
        <w:t xml:space="preserve">, and the distance between UE and serving cell reference location is smaller than </w:t>
      </w:r>
      <w:r w:rsidRPr="00F92DE6">
        <w:rPr>
          <w:i/>
        </w:rPr>
        <w:t>distanceThresh</w:t>
      </w:r>
      <w:r w:rsidRPr="00812367">
        <w:t xml:space="preserve"> if </w:t>
      </w:r>
      <w:r w:rsidRPr="00F92DE6">
        <w:rPr>
          <w:i/>
        </w:rPr>
        <w:t>distanceThresh</w:t>
      </w:r>
      <w:r w:rsidRPr="00812367">
        <w:t xml:space="preserve"> is configured and UE has location information, then the UE shall search for inter-frequency layers of higher priority at least every T</w:t>
      </w:r>
      <w:r w:rsidRPr="00812367">
        <w:rPr>
          <w:vertAlign w:val="subscript"/>
        </w:rPr>
        <w:t xml:space="preserve">higher_priority_search </w:t>
      </w:r>
      <w:r w:rsidRPr="00812367">
        <w:t>where T</w:t>
      </w:r>
      <w:r w:rsidRPr="00812367">
        <w:rPr>
          <w:vertAlign w:val="subscript"/>
        </w:rPr>
        <w:t>higher_priority_search</w:t>
      </w:r>
      <w:r w:rsidRPr="00812367">
        <w:t xml:space="preserve"> is described in clause </w:t>
      </w:r>
      <w:r>
        <w:t>4.2C.2.9</w:t>
      </w:r>
      <w:r w:rsidRPr="00812367">
        <w:t>.</w:t>
      </w:r>
    </w:p>
    <w:p w14:paraId="0C21235A" w14:textId="41137AB3" w:rsidR="00E70A36" w:rsidRPr="009C5807" w:rsidRDefault="003D151D" w:rsidP="00E70A36">
      <w:pPr>
        <w:rPr>
          <w:rFonts w:cs="v4.2.0"/>
        </w:rPr>
      </w:pPr>
      <w:r>
        <w:t xml:space="preserve">If Srxlev </w:t>
      </w:r>
      <w:r>
        <w:rPr>
          <w:lang w:val="en-US"/>
        </w:rPr>
        <w:t>≤</w:t>
      </w:r>
      <w:r>
        <w:t xml:space="preserve"> S</w:t>
      </w:r>
      <w:r>
        <w:rPr>
          <w:vertAlign w:val="subscript"/>
        </w:rPr>
        <w:t>nonIntraSearchP</w:t>
      </w:r>
      <w:r>
        <w:t xml:space="preserve"> or Squal </w:t>
      </w:r>
      <w:r>
        <w:rPr>
          <w:lang w:val="en-US"/>
        </w:rPr>
        <w:t>≤</w:t>
      </w:r>
      <w:r>
        <w:t xml:space="preserve"> S</w:t>
      </w:r>
      <w:r>
        <w:rPr>
          <w:vertAlign w:val="subscript"/>
        </w:rPr>
        <w:t>nonIntraSearchQ</w:t>
      </w:r>
      <w:r>
        <w:t xml:space="preserve">, or the distance between UE and serving cell reference location is larger than </w:t>
      </w:r>
      <w:r>
        <w:rPr>
          <w:i/>
        </w:rPr>
        <w:t>distanceThresh</w:t>
      </w:r>
      <w:r>
        <w:t xml:space="preserve"> if </w:t>
      </w:r>
      <w:r>
        <w:rPr>
          <w:i/>
        </w:rPr>
        <w:t>distanceThresh</w:t>
      </w:r>
      <w:r>
        <w:t xml:space="preserve"> is configured and UE has location information, then the UE shall search for and measure inter-frequency layers of higher, equal or lower priority in preparation for possible reselection. The requirements apply provided that the distance exceeds the </w:t>
      </w:r>
      <w:r>
        <w:rPr>
          <w:i/>
        </w:rPr>
        <w:t>distanceThresh</w:t>
      </w:r>
      <w:r>
        <w:t xml:space="preserve"> by a margin of 50 m. In this scenario, the minimum rate at which the UE is required to search for and measure higher priority layers shall be the same as that defined below in this clause.</w:t>
      </w:r>
    </w:p>
    <w:p w14:paraId="51E78768" w14:textId="5BAE4CA8" w:rsidR="008B5183" w:rsidRDefault="00D6005C" w:rsidP="008B5183">
      <w:pPr>
        <w:rPr>
          <w:rFonts w:cs="v4.2.0"/>
        </w:rPr>
      </w:pPr>
      <w:r w:rsidRPr="00E048BE">
        <w:rPr>
          <w:rFonts w:cs="v4.2.0"/>
        </w:rPr>
        <w:t>The UE shall be able to evaluate whether a newly detectable inter-frequency cell meets the reselection criteria defined in TS3</w:t>
      </w:r>
      <w:r w:rsidRPr="00E048BE">
        <w:rPr>
          <w:rFonts w:cs="v4.2.0"/>
          <w:lang w:eastAsia="zh-CN"/>
        </w:rPr>
        <w:t>8</w:t>
      </w:r>
      <w:r w:rsidRPr="00E048BE">
        <w:rPr>
          <w:rFonts w:cs="v4.2.0"/>
        </w:rPr>
        <w:t xml:space="preserve">.304 [1] within </w:t>
      </w:r>
      <m:oMath>
        <m:nary>
          <m:naryPr>
            <m:chr m:val="∑"/>
            <m:limLoc m:val="subSup"/>
            <m:ctrlPr>
              <w:rPr>
                <w:rFonts w:ascii="Cambria Math" w:hAnsi="Cambria Math" w:cs="v4.2.0"/>
              </w:rPr>
            </m:ctrlPr>
          </m:naryPr>
          <m:sub>
            <m:r>
              <w:rPr>
                <w:rFonts w:ascii="Cambria Math" w:hAnsi="Cambria Math" w:cs="v4.2.0"/>
              </w:rPr>
              <m:t>i=1</m:t>
            </m:r>
          </m:sub>
          <m:sup>
            <m:sSub>
              <m:sSubPr>
                <m:ctrlPr>
                  <w:rPr>
                    <w:rFonts w:ascii="Cambria Math" w:hAnsi="Cambria Math" w:cs="v4.2.0"/>
                    <w:i/>
                  </w:rPr>
                </m:ctrlPr>
              </m:sSubPr>
              <m:e>
                <m:r>
                  <w:rPr>
                    <w:rFonts w:ascii="Cambria Math" w:hAnsi="Cambria Math" w:cs="v4.2.0"/>
                  </w:rPr>
                  <m:t>K</m:t>
                </m:r>
              </m:e>
              <m:sub>
                <m:r>
                  <w:rPr>
                    <w:rFonts w:ascii="Cambria Math" w:hAnsi="Cambria Math" w:cs="v4.2.0"/>
                  </w:rPr>
                  <m:t>carrier</m:t>
                </m:r>
              </m:sub>
            </m:sSub>
          </m:sup>
          <m:e>
            <m:sSub>
              <m:sSubPr>
                <m:ctrlPr>
                  <w:rPr>
                    <w:rFonts w:ascii="Cambria Math" w:hAnsi="Cambria Math" w:cs="v4.2.0"/>
                    <w:i/>
                  </w:rPr>
                </m:ctrlPr>
              </m:sSubPr>
              <m:e>
                <m:r>
                  <w:rPr>
                    <w:rFonts w:ascii="Cambria Math" w:hAnsi="Cambria Math" w:cs="v4.2.0"/>
                  </w:rPr>
                  <m:t>K</m:t>
                </m:r>
              </m:e>
              <m:sub>
                <m:r>
                  <w:rPr>
                    <w:rFonts w:ascii="Cambria Math" w:hAnsi="Cambria Math" w:cs="v4.2.0"/>
                  </w:rPr>
                  <m:t>multi_SMTC,i</m:t>
                </m:r>
              </m:sub>
            </m:sSub>
            <m:r>
              <w:rPr>
                <w:rFonts w:ascii="Cambria Math" w:hAnsi="Cambria Math" w:cs="v4.2.0"/>
              </w:rPr>
              <m:t>*</m:t>
            </m:r>
            <m:sSub>
              <m:sSubPr>
                <m:ctrlPr>
                  <w:rPr>
                    <w:rFonts w:ascii="Cambria Math" w:hAnsi="Cambria Math" w:cs="v4.2.0"/>
                    <w:i/>
                  </w:rPr>
                </m:ctrlPr>
              </m:sSubPr>
              <m:e>
                <m:r>
                  <w:rPr>
                    <w:rFonts w:ascii="Cambria Math" w:hAnsi="Cambria Math" w:cs="v4.2.0"/>
                  </w:rPr>
                  <m:t>T</m:t>
                </m:r>
              </m:e>
              <m:sub>
                <m:r>
                  <w:rPr>
                    <w:rFonts w:ascii="Cambria Math" w:hAnsi="Cambria Math" w:cs="v4.2.0"/>
                  </w:rPr>
                  <m:t>detect,NR_Inter</m:t>
                </m:r>
              </m:sub>
            </m:sSub>
          </m:e>
        </m:nary>
      </m:oMath>
      <w:r>
        <w:rPr>
          <w:rFonts w:cs="v4.2.0" w:hint="eastAsia"/>
          <w:lang w:eastAsia="zh-CN"/>
        </w:rPr>
        <w:t xml:space="preserve"> </w:t>
      </w:r>
      <w:r w:rsidRPr="00E048BE">
        <w:rPr>
          <w:rFonts w:cs="v4.2.0"/>
        </w:rPr>
        <w:t xml:space="preserve">if the UE does not support the feature for enhanced RRM requirements defined in </w:t>
      </w:r>
      <w:r w:rsidRPr="00E048BE">
        <w:t>TS3</w:t>
      </w:r>
      <w:r w:rsidRPr="00E048BE">
        <w:rPr>
          <w:lang w:eastAsia="zh-CN"/>
        </w:rPr>
        <w:t>8</w:t>
      </w:r>
      <w:r w:rsidRPr="00E048BE">
        <w:t>.306 [14]</w:t>
      </w:r>
      <w:r w:rsidRPr="00E048BE" w:rsidDel="00563D6C">
        <w:rPr>
          <w:rFonts w:cs="v4.2.0"/>
        </w:rPr>
        <w:t xml:space="preserve"> </w:t>
      </w:r>
      <w:r w:rsidRPr="00E048BE">
        <w:rPr>
          <w:rFonts w:cs="v4.2.0"/>
        </w:rPr>
        <w:t xml:space="preserve"> or if the </w:t>
      </w:r>
      <w:r w:rsidRPr="00E048BE">
        <w:rPr>
          <w:i/>
        </w:rPr>
        <w:t>enhancedMeasurementLEO-r17</w:t>
      </w:r>
      <w:r w:rsidRPr="00E048BE">
        <w:rPr>
          <w:rFonts w:cs="v4.2.0"/>
        </w:rPr>
        <w:t xml:space="preserve"> is not enabled, or within </w:t>
      </w:r>
      <m:oMath>
        <m:nary>
          <m:naryPr>
            <m:chr m:val="∑"/>
            <m:limLoc m:val="subSup"/>
            <m:ctrlPr>
              <w:rPr>
                <w:rFonts w:ascii="Cambria Math" w:hAnsi="Cambria Math" w:cs="v4.2.0"/>
              </w:rPr>
            </m:ctrlPr>
          </m:naryPr>
          <m:sub>
            <m:r>
              <w:rPr>
                <w:rFonts w:ascii="Cambria Math" w:hAnsi="Cambria Math" w:cs="v4.2.0"/>
              </w:rPr>
              <m:t>i=1</m:t>
            </m:r>
          </m:sub>
          <m:sup>
            <m:sSub>
              <m:sSubPr>
                <m:ctrlPr>
                  <w:rPr>
                    <w:rFonts w:ascii="Cambria Math" w:hAnsi="Cambria Math" w:cs="v4.2.0"/>
                    <w:i/>
                  </w:rPr>
                </m:ctrlPr>
              </m:sSubPr>
              <m:e>
                <m:r>
                  <w:rPr>
                    <w:rFonts w:ascii="Cambria Math" w:hAnsi="Cambria Math" w:cs="v4.2.0"/>
                  </w:rPr>
                  <m:t>K</m:t>
                </m:r>
              </m:e>
              <m:sub>
                <m:r>
                  <w:rPr>
                    <w:rFonts w:ascii="Cambria Math" w:hAnsi="Cambria Math" w:cs="v4.2.0"/>
                  </w:rPr>
                  <m:t>carrier</m:t>
                </m:r>
              </m:sub>
            </m:sSub>
          </m:sup>
          <m:e>
            <m:sSub>
              <m:sSubPr>
                <m:ctrlPr>
                  <w:rPr>
                    <w:rFonts w:ascii="Cambria Math" w:hAnsi="Cambria Math" w:cs="v4.2.0"/>
                    <w:i/>
                  </w:rPr>
                </m:ctrlPr>
              </m:sSubPr>
              <m:e>
                <m:r>
                  <w:rPr>
                    <w:rFonts w:ascii="Cambria Math" w:hAnsi="Cambria Math" w:cs="v4.2.0"/>
                  </w:rPr>
                  <m:t>K</m:t>
                </m:r>
              </m:e>
              <m:sub>
                <m:r>
                  <w:rPr>
                    <w:rFonts w:ascii="Cambria Math" w:hAnsi="Cambria Math" w:cs="v4.2.0"/>
                  </w:rPr>
                  <m:t>multi_SMTC,i</m:t>
                </m:r>
              </m:sub>
            </m:sSub>
            <m:r>
              <w:rPr>
                <w:rFonts w:ascii="Cambria Math" w:hAnsi="Cambria Math" w:cs="v4.2.0"/>
              </w:rPr>
              <m:t>*</m:t>
            </m:r>
            <m:sSub>
              <m:sSubPr>
                <m:ctrlPr>
                  <w:rPr>
                    <w:rFonts w:ascii="Cambria Math" w:hAnsi="Cambria Math" w:cs="v4.2.0"/>
                    <w:i/>
                  </w:rPr>
                </m:ctrlPr>
              </m:sSubPr>
              <m:e>
                <m:r>
                  <w:rPr>
                    <w:rFonts w:ascii="Cambria Math" w:hAnsi="Cambria Math" w:cs="v4.2.0"/>
                  </w:rPr>
                  <m:t>T</m:t>
                </m:r>
              </m:e>
              <m:sub>
                <m:r>
                  <w:rPr>
                    <w:rFonts w:ascii="Cambria Math" w:hAnsi="Cambria Math" w:cs="v4.2.0"/>
                  </w:rPr>
                  <m:t>detect,NR_Inter_enh</m:t>
                </m:r>
              </m:sub>
            </m:sSub>
          </m:e>
        </m:nary>
      </m:oMath>
      <w:r>
        <w:rPr>
          <w:rFonts w:cs="v4.2.0" w:hint="eastAsia"/>
          <w:lang w:eastAsia="zh-CN"/>
        </w:rPr>
        <w:t xml:space="preserve"> </w:t>
      </w:r>
      <w:r w:rsidRPr="00E048BE">
        <w:rPr>
          <w:rFonts w:cs="v4.2.0"/>
        </w:rPr>
        <w:t xml:space="preserve">if the UE supports the feature for enhanced RRM requirements defined in </w:t>
      </w:r>
      <w:r w:rsidRPr="00E048BE">
        <w:t>TS3</w:t>
      </w:r>
      <w:r w:rsidRPr="00E048BE">
        <w:rPr>
          <w:lang w:eastAsia="zh-CN"/>
        </w:rPr>
        <w:t>8</w:t>
      </w:r>
      <w:r w:rsidRPr="00E048BE">
        <w:t>.306 [14]</w:t>
      </w:r>
      <w:r w:rsidRPr="00E048BE" w:rsidDel="00563D6C">
        <w:rPr>
          <w:rFonts w:cs="v4.2.0"/>
        </w:rPr>
        <w:t xml:space="preserve"> </w:t>
      </w:r>
      <w:r w:rsidRPr="00E048BE">
        <w:rPr>
          <w:rFonts w:cs="v4.2.0"/>
        </w:rPr>
        <w:t xml:space="preserve"> and the </w:t>
      </w:r>
      <w:r w:rsidRPr="00E048BE">
        <w:rPr>
          <w:i/>
        </w:rPr>
        <w:t>enhancedMeasurementLEO-r17</w:t>
      </w:r>
      <w:r w:rsidRPr="00E048BE">
        <w:rPr>
          <w:rFonts w:cs="v4.2.0"/>
        </w:rPr>
        <w:t xml:space="preserve"> is enabled, if at least carrier frequency information is provided for inter-frequency neighbour cells by the serving cells when T</w:t>
      </w:r>
      <w:r w:rsidRPr="00E048BE">
        <w:rPr>
          <w:rFonts w:cs="v4.2.0"/>
          <w:vertAlign w:val="subscript"/>
        </w:rPr>
        <w:t>reselection</w:t>
      </w:r>
      <w:r w:rsidRPr="00E048BE">
        <w:rPr>
          <w:rFonts w:cs="v4.2.0"/>
        </w:rPr>
        <w:t xml:space="preserve"> = 0 provided that the reselection criteria is met by a margin of</w:t>
      </w:r>
      <w:r w:rsidRPr="00E048BE">
        <w:rPr>
          <w:rFonts w:cs="v4.2.0"/>
          <w:lang w:eastAsia="zh-CN"/>
        </w:rPr>
        <w:t xml:space="preserve"> at least [5]dB </w:t>
      </w:r>
      <w:r w:rsidRPr="00E048BE">
        <w:rPr>
          <w:rFonts w:cs="v4.2.0"/>
        </w:rPr>
        <w:t xml:space="preserve">in FR1 </w:t>
      </w:r>
      <w:r w:rsidRPr="00E048BE">
        <w:rPr>
          <w:rFonts w:cs="v4.2.0"/>
          <w:lang w:eastAsia="zh-CN"/>
        </w:rPr>
        <w:t xml:space="preserve">for reselections based on ranking or [6]dB </w:t>
      </w:r>
      <w:r w:rsidRPr="00E048BE">
        <w:rPr>
          <w:rFonts w:cs="v4.2.0"/>
        </w:rPr>
        <w:t xml:space="preserve">in FR1 </w:t>
      </w:r>
      <w:r w:rsidRPr="00E048BE">
        <w:rPr>
          <w:rFonts w:cs="v4.2.0"/>
          <w:lang w:eastAsia="zh-CN"/>
        </w:rPr>
        <w:t>for SS-RSRP reselections based on absolute priorities or [4]dB in FR1 for SS-RSRQ reselections based on absolute priorities</w:t>
      </w:r>
      <w:r w:rsidRPr="00E048BE">
        <w:rPr>
          <w:rFonts w:cs="v4.2.0"/>
        </w:rPr>
        <w:t>. The parameter K</w:t>
      </w:r>
      <w:r w:rsidRPr="00E048BE">
        <w:rPr>
          <w:rFonts w:cs="v4.2.0"/>
          <w:vertAlign w:val="subscript"/>
        </w:rPr>
        <w:t>carrier</w:t>
      </w:r>
      <w:r w:rsidRPr="00E048BE">
        <w:rPr>
          <w:rFonts w:cs="v4.2.0"/>
        </w:rPr>
        <w:t xml:space="preserve"> is the number of NR inter-frequency carriers indicated by the serving cell.</w:t>
      </w:r>
    </w:p>
    <w:p w14:paraId="400BBF4F" w14:textId="77777777" w:rsidR="00FF4705" w:rsidRPr="00E048BE" w:rsidRDefault="00FF4705" w:rsidP="00FF4705">
      <w:pPr>
        <w:rPr>
          <w:rFonts w:cs="v4.2.0"/>
        </w:rPr>
      </w:pPr>
      <w:r w:rsidRPr="00E048BE">
        <w:rPr>
          <w:rFonts w:cs="v4.2.0"/>
        </w:rPr>
        <w:t>The parameter K</w:t>
      </w:r>
      <w:r w:rsidRPr="00E048BE">
        <w:rPr>
          <w:rFonts w:cs="v4.2.0"/>
          <w:vertAlign w:val="subscript"/>
        </w:rPr>
        <w:t>multi_SMTC</w:t>
      </w:r>
      <w:r>
        <w:rPr>
          <w:rFonts w:cs="v4.2.0"/>
          <w:vertAlign w:val="subscript"/>
        </w:rPr>
        <w:t>,i</w:t>
      </w:r>
      <w:r w:rsidRPr="00E048BE">
        <w:rPr>
          <w:rFonts w:cs="v4.2.0"/>
        </w:rPr>
        <w:t xml:space="preserve"> is the scaling factor for measurement of multiple SMTCs or multiple satellites</w:t>
      </w:r>
    </w:p>
    <w:p w14:paraId="1DB71ABC" w14:textId="77777777" w:rsidR="00FF4705" w:rsidRPr="00E048BE" w:rsidRDefault="00FF4705" w:rsidP="00FF4705">
      <w:pPr>
        <w:ind w:left="568" w:hanging="284"/>
      </w:pPr>
      <w:r w:rsidRPr="00E048BE">
        <w:t>-</w:t>
      </w:r>
      <w:r w:rsidRPr="00E048BE">
        <w:tab/>
        <w:t>If SMTCs do not overlap with each other,</w:t>
      </w:r>
    </w:p>
    <w:p w14:paraId="14895A64" w14:textId="77777777" w:rsidR="00FF4705" w:rsidRPr="00E048BE" w:rsidRDefault="00FF4705" w:rsidP="00FF4705">
      <w:pPr>
        <w:ind w:left="851" w:hanging="284"/>
      </w:pPr>
      <w:r w:rsidRPr="00E048BE">
        <w:t>-</w:t>
      </w:r>
      <w:r w:rsidRPr="00E048BE">
        <w:tab/>
      </w:r>
      <m:oMath>
        <m:sSub>
          <m:sSubPr>
            <m:ctrlPr>
              <w:rPr>
                <w:rFonts w:ascii="Cambria Math" w:hAnsi="Cambria Math"/>
              </w:rPr>
            </m:ctrlPr>
          </m:sSubPr>
          <m:e>
            <m:r>
              <w:rPr>
                <w:rFonts w:ascii="Cambria Math" w:hAnsi="Cambria Math"/>
              </w:rPr>
              <m:t>K</m:t>
            </m:r>
          </m:e>
          <m:sub>
            <m:r>
              <w:rPr>
                <w:rFonts w:ascii="Cambria Math" w:hAnsi="Cambria Math"/>
              </w:rPr>
              <m:t>mult</m:t>
            </m:r>
            <m:sSub>
              <m:sSubPr>
                <m:ctrlPr>
                  <w:rPr>
                    <w:rFonts w:ascii="Cambria Math" w:hAnsi="Cambria Math"/>
                    <w:i/>
                  </w:rPr>
                </m:ctrlPr>
              </m:sSubPr>
              <m:e>
                <m:r>
                  <w:rPr>
                    <w:rFonts w:ascii="Cambria Math" w:hAnsi="Cambria Math"/>
                  </w:rPr>
                  <m:t>i</m:t>
                </m:r>
              </m:e>
              <m:sub>
                <m:r>
                  <w:rPr>
                    <w:rFonts w:ascii="Cambria Math" w:hAnsi="Cambria Math"/>
                  </w:rPr>
                  <m:t>SMTC</m:t>
                </m:r>
              </m:sub>
            </m:sSub>
            <m:r>
              <w:rPr>
                <w:rFonts w:ascii="Cambria Math" w:hAnsi="Cambria Math"/>
              </w:rPr>
              <m:t>,i</m:t>
            </m:r>
          </m:sub>
        </m:sSub>
        <m:r>
          <w:rPr>
            <w:rFonts w:ascii="Cambria Math" w:hAnsi="Cambria Math"/>
          </w:rPr>
          <m:t>=1</m:t>
        </m:r>
      </m:oMath>
      <w:r w:rsidRPr="00E048BE">
        <w:t>, if GEO satellites are measured on the carrier;</w:t>
      </w:r>
    </w:p>
    <w:p w14:paraId="745D7BBA" w14:textId="77777777" w:rsidR="00FF4705" w:rsidRPr="00E048BE" w:rsidRDefault="00FF4705" w:rsidP="00FF4705">
      <w:pPr>
        <w:ind w:left="851" w:hanging="284"/>
      </w:pPr>
      <w:r w:rsidRPr="00E048BE">
        <w:t>-</w:t>
      </w:r>
      <w:r w:rsidRPr="00E048BE">
        <w:tab/>
      </w:r>
      <m:oMath>
        <m:sSub>
          <m:sSubPr>
            <m:ctrlPr>
              <w:rPr>
                <w:rFonts w:ascii="Cambria Math" w:hAnsi="Cambria Math"/>
              </w:rPr>
            </m:ctrlPr>
          </m:sSubPr>
          <m:e>
            <m:r>
              <w:rPr>
                <w:rFonts w:ascii="Cambria Math" w:hAnsi="Cambria Math"/>
              </w:rPr>
              <m:t>K</m:t>
            </m:r>
          </m:e>
          <m:sub>
            <m:r>
              <w:rPr>
                <w:rFonts w:ascii="Cambria Math" w:hAnsi="Cambria Math"/>
              </w:rPr>
              <m:t>mult</m:t>
            </m:r>
            <m:sSub>
              <m:sSubPr>
                <m:ctrlPr>
                  <w:rPr>
                    <w:rFonts w:ascii="Cambria Math" w:hAnsi="Cambria Math"/>
                    <w:i/>
                  </w:rPr>
                </m:ctrlPr>
              </m:sSubPr>
              <m:e>
                <m:r>
                  <w:rPr>
                    <w:rFonts w:ascii="Cambria Math" w:hAnsi="Cambria Math"/>
                  </w:rPr>
                  <m:t>i</m:t>
                </m:r>
              </m:e>
              <m:sub>
                <m:r>
                  <w:rPr>
                    <w:rFonts w:ascii="Cambria Math" w:hAnsi="Cambria Math"/>
                  </w:rPr>
                  <m:t>SMTC</m:t>
                </m:r>
              </m:sub>
            </m:s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LEO,i</m:t>
                    </m:r>
                  </m:sub>
                </m:sSub>
              </m:num>
              <m:den>
                <m:sSub>
                  <m:sSubPr>
                    <m:ctrlPr>
                      <w:rPr>
                        <w:rFonts w:ascii="Cambria Math" w:hAnsi="Cambria Math"/>
                        <w:i/>
                      </w:rPr>
                    </m:ctrlPr>
                  </m:sSubPr>
                  <m:e>
                    <m:r>
                      <w:rPr>
                        <w:rFonts w:ascii="Cambria Math" w:hAnsi="Cambria Math"/>
                      </w:rPr>
                      <m:t>N</m:t>
                    </m:r>
                  </m:e>
                  <m:sub>
                    <m:r>
                      <w:rPr>
                        <w:rFonts w:ascii="Cambria Math" w:hAnsi="Cambria Math"/>
                      </w:rPr>
                      <m:t>LEO,simul</m:t>
                    </m:r>
                  </m:sub>
                </m:sSub>
              </m:den>
            </m:f>
          </m:e>
        </m:d>
      </m:oMath>
      <w:r w:rsidRPr="00E048BE">
        <w:t>, if LEO satellites are measured on the carrier;</w:t>
      </w:r>
    </w:p>
    <w:p w14:paraId="416080C3" w14:textId="77777777" w:rsidR="00FF4705" w:rsidRPr="00E048BE" w:rsidRDefault="00FF4705" w:rsidP="00FF4705">
      <w:pPr>
        <w:ind w:left="568" w:hanging="284"/>
      </w:pPr>
      <w:r w:rsidRPr="00E048BE">
        <w:t>-</w:t>
      </w:r>
      <w:r w:rsidRPr="00E048BE">
        <w:tab/>
        <w:t>If SMTCs partially overlap with each other,</w:t>
      </w:r>
    </w:p>
    <w:p w14:paraId="2E388BC9" w14:textId="77777777" w:rsidR="00FF4705" w:rsidRPr="00E048BE" w:rsidRDefault="00FF4705" w:rsidP="00FF4705">
      <w:pPr>
        <w:ind w:left="851" w:hanging="284"/>
      </w:pPr>
      <w:r w:rsidRPr="00E048BE">
        <w:t>-</w:t>
      </w:r>
      <w:r w:rsidRPr="00E048BE">
        <w:tab/>
      </w:r>
      <m:oMath>
        <m:sSub>
          <m:sSubPr>
            <m:ctrlPr>
              <w:rPr>
                <w:rFonts w:ascii="Cambria Math" w:hAnsi="Cambria Math"/>
              </w:rPr>
            </m:ctrlPr>
          </m:sSubPr>
          <m:e>
            <m:r>
              <w:rPr>
                <w:rFonts w:ascii="Cambria Math" w:hAnsi="Cambria Math"/>
              </w:rPr>
              <m:t>K</m:t>
            </m:r>
          </m:e>
          <m:sub>
            <m:r>
              <w:rPr>
                <w:rFonts w:ascii="Cambria Math" w:hAnsi="Cambria Math"/>
              </w:rPr>
              <m:t>mult</m:t>
            </m:r>
            <m:sSub>
              <m:sSubPr>
                <m:ctrlPr>
                  <w:rPr>
                    <w:rFonts w:ascii="Cambria Math" w:hAnsi="Cambria Math"/>
                    <w:i/>
                  </w:rPr>
                </m:ctrlPr>
              </m:sSubPr>
              <m:e>
                <m:r>
                  <w:rPr>
                    <w:rFonts w:ascii="Cambria Math" w:hAnsi="Cambria Math"/>
                  </w:rPr>
                  <m:t>i</m:t>
                </m:r>
              </m:e>
              <m:sub>
                <m:r>
                  <w:rPr>
                    <w:rFonts w:ascii="Cambria Math" w:hAnsi="Cambria Math"/>
                  </w:rPr>
                  <m:t>SMTC</m:t>
                </m:r>
              </m:sub>
            </m:s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SMTC,overlap</m:t>
            </m:r>
          </m:sub>
        </m:sSub>
      </m:oMath>
      <w:r w:rsidRPr="00E048BE">
        <w:t>, if only GEO satellites are measured on the carrier;</w:t>
      </w:r>
    </w:p>
    <w:p w14:paraId="4A577AC8" w14:textId="77777777" w:rsidR="00FF4705" w:rsidRPr="00E048BE" w:rsidRDefault="00FF4705" w:rsidP="00FF4705">
      <w:pPr>
        <w:ind w:left="851" w:hanging="284"/>
      </w:pPr>
      <w:r w:rsidRPr="00E048BE">
        <w:t>-</w:t>
      </w:r>
      <w:r w:rsidRPr="00E048BE">
        <w:tab/>
      </w:r>
      <m:oMath>
        <m:sSub>
          <m:sSubPr>
            <m:ctrlPr>
              <w:rPr>
                <w:rFonts w:ascii="Cambria Math" w:hAnsi="Cambria Math"/>
              </w:rPr>
            </m:ctrlPr>
          </m:sSubPr>
          <m:e>
            <m:r>
              <w:rPr>
                <w:rFonts w:ascii="Cambria Math" w:hAnsi="Cambria Math"/>
              </w:rPr>
              <m:t>K</m:t>
            </m:r>
          </m:e>
          <m:sub>
            <m:r>
              <w:rPr>
                <w:rFonts w:ascii="Cambria Math" w:hAnsi="Cambria Math"/>
              </w:rPr>
              <m:t>mult</m:t>
            </m:r>
            <m:sSub>
              <m:sSubPr>
                <m:ctrlPr>
                  <w:rPr>
                    <w:rFonts w:ascii="Cambria Math" w:hAnsi="Cambria Math"/>
                    <w:i/>
                  </w:rPr>
                </m:ctrlPr>
              </m:sSubPr>
              <m:e>
                <m:r>
                  <w:rPr>
                    <w:rFonts w:ascii="Cambria Math" w:hAnsi="Cambria Math"/>
                  </w:rPr>
                  <m:t>i</m:t>
                </m:r>
              </m:e>
              <m:sub>
                <m:r>
                  <w:rPr>
                    <w:rFonts w:ascii="Cambria Math" w:hAnsi="Cambria Math"/>
                  </w:rPr>
                  <m:t>SMTC</m:t>
                </m:r>
              </m:sub>
            </m:s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SMTC,overlap</m:t>
                </m:r>
              </m:sub>
            </m:sSub>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LEO,i</m:t>
                        </m:r>
                      </m:sub>
                    </m:sSub>
                  </m:num>
                  <m:den>
                    <m:sSub>
                      <m:sSubPr>
                        <m:ctrlPr>
                          <w:rPr>
                            <w:rFonts w:ascii="Cambria Math" w:hAnsi="Cambria Math"/>
                            <w:i/>
                          </w:rPr>
                        </m:ctrlPr>
                      </m:sSubPr>
                      <m:e>
                        <m:r>
                          <w:rPr>
                            <w:rFonts w:ascii="Cambria Math" w:hAnsi="Cambria Math"/>
                          </w:rPr>
                          <m:t>N</m:t>
                        </m:r>
                      </m:e>
                      <m:sub>
                        <m:r>
                          <w:rPr>
                            <w:rFonts w:ascii="Cambria Math" w:hAnsi="Cambria Math"/>
                          </w:rPr>
                          <m:t>LEO,simul</m:t>
                        </m:r>
                      </m:sub>
                    </m:sSub>
                  </m:den>
                </m:f>
              </m:e>
            </m:d>
          </m:e>
        </m:nary>
      </m:oMath>
      <w:r w:rsidRPr="00E048BE">
        <w:t>, if only LEO satellites are measured on the carrier;</w:t>
      </w:r>
    </w:p>
    <w:p w14:paraId="190E1F8D" w14:textId="77777777" w:rsidR="00FF4705" w:rsidRPr="00E048BE" w:rsidRDefault="00FF4705" w:rsidP="00FF4705">
      <w:pPr>
        <w:ind w:left="568" w:hanging="284"/>
        <w:rPr>
          <w:lang w:eastAsia="zh-CN"/>
        </w:rPr>
      </w:pPr>
      <w:r w:rsidRPr="00E048BE">
        <w:rPr>
          <w:rFonts w:hint="eastAsia"/>
          <w:lang w:eastAsia="zh-CN"/>
        </w:rPr>
        <w:t>w</w:t>
      </w:r>
      <w:r w:rsidRPr="00E048BE">
        <w:rPr>
          <w:lang w:eastAsia="zh-CN"/>
        </w:rPr>
        <w:t>here</w:t>
      </w:r>
    </w:p>
    <w:p w14:paraId="4DDD3658" w14:textId="77777777" w:rsidR="00FF4705" w:rsidRPr="00E048BE" w:rsidRDefault="00000000" w:rsidP="00FF4705">
      <w:pPr>
        <w:ind w:left="568" w:hanging="284"/>
        <w:rPr>
          <w:lang w:eastAsia="zh-CN"/>
        </w:rPr>
      </w:pPr>
      <m:oMath>
        <m:sSub>
          <m:sSubPr>
            <m:ctrlPr>
              <w:rPr>
                <w:rFonts w:ascii="Cambria Math" w:hAnsi="Cambria Math"/>
                <w:i/>
              </w:rPr>
            </m:ctrlPr>
          </m:sSubPr>
          <m:e>
            <m:r>
              <w:rPr>
                <w:rFonts w:ascii="Cambria Math" w:hAnsi="Cambria Math"/>
              </w:rPr>
              <m:t>N</m:t>
            </m:r>
          </m:e>
          <m:sub>
            <m:r>
              <w:rPr>
                <w:rFonts w:ascii="Cambria Math" w:hAnsi="Cambria Math"/>
              </w:rPr>
              <m:t>LEO,i</m:t>
            </m:r>
          </m:sub>
        </m:sSub>
      </m:oMath>
      <w:r w:rsidR="00FF4705" w:rsidRPr="00E048BE">
        <w:rPr>
          <w:rFonts w:hint="eastAsia"/>
          <w:lang w:eastAsia="zh-CN"/>
        </w:rPr>
        <w:t xml:space="preserve"> i</w:t>
      </w:r>
      <w:r w:rsidR="00FF4705" w:rsidRPr="00E048BE">
        <w:rPr>
          <w:lang w:eastAsia="zh-CN"/>
        </w:rPr>
        <w:t xml:space="preserve">s the number of LEO satellites to be measured within i-th SMTC, </w:t>
      </w:r>
    </w:p>
    <w:p w14:paraId="4777AD07" w14:textId="48BFA5F2" w:rsidR="00FF4705" w:rsidRDefault="00000000" w:rsidP="00D60521">
      <w:pPr>
        <w:ind w:left="568" w:hanging="284"/>
        <w:rPr>
          <w:lang w:eastAsia="zh-CN"/>
        </w:rPr>
      </w:pPr>
      <m:oMath>
        <m:sSub>
          <m:sSubPr>
            <m:ctrlPr>
              <w:rPr>
                <w:rFonts w:ascii="Cambria Math" w:hAnsi="Cambria Math"/>
                <w:i/>
              </w:rPr>
            </m:ctrlPr>
          </m:sSubPr>
          <m:e>
            <m:r>
              <w:rPr>
                <w:rFonts w:ascii="Cambria Math" w:hAnsi="Cambria Math"/>
              </w:rPr>
              <m:t>N</m:t>
            </m:r>
          </m:e>
          <m:sub>
            <m:r>
              <w:rPr>
                <w:rFonts w:ascii="Cambria Math" w:hAnsi="Cambria Math"/>
              </w:rPr>
              <m:t>LEO,simul</m:t>
            </m:r>
          </m:sub>
        </m:sSub>
      </m:oMath>
      <w:r w:rsidR="00FF4705" w:rsidRPr="00E048BE">
        <w:rPr>
          <w:rFonts w:hint="eastAsia"/>
          <w:lang w:eastAsia="zh-CN"/>
        </w:rPr>
        <w:t xml:space="preserve"> i</w:t>
      </w:r>
      <w:r w:rsidR="00FF4705" w:rsidRPr="00E048BE">
        <w:rPr>
          <w:lang w:eastAsia="zh-CN"/>
        </w:rPr>
        <w:t>s the number of LEO satellites that UE can measure in parallel within an SMTC,</w:t>
      </w:r>
      <m:oMath>
        <m:sSub>
          <m:sSubPr>
            <m:ctrlPr>
              <w:rPr>
                <w:rFonts w:ascii="Cambria Math" w:hAnsi="Cambria Math"/>
                <w:i/>
              </w:rPr>
            </m:ctrlPr>
          </m:sSubPr>
          <m:e>
            <m:r>
              <w:rPr>
                <w:rFonts w:ascii="Cambria Math" w:hAnsi="Cambria Math"/>
              </w:rPr>
              <m:t>N</m:t>
            </m:r>
          </m:e>
          <m:sub>
            <m:r>
              <w:rPr>
                <w:rFonts w:ascii="Cambria Math" w:hAnsi="Cambria Math"/>
              </w:rPr>
              <m:t>SMTC,overlap</m:t>
            </m:r>
          </m:sub>
        </m:sSub>
      </m:oMath>
      <w:r w:rsidR="00FF4705" w:rsidRPr="00E048BE">
        <w:rPr>
          <w:rFonts w:hint="eastAsia"/>
          <w:lang w:eastAsia="zh-CN"/>
        </w:rPr>
        <w:t xml:space="preserve"> i</w:t>
      </w:r>
      <w:r w:rsidR="00FF4705" w:rsidRPr="00E048BE">
        <w:rPr>
          <w:lang w:eastAsia="zh-CN"/>
        </w:rPr>
        <w:t xml:space="preserve">s the number of SMTCs that partially overlap with each other. </w:t>
      </w:r>
    </w:p>
    <w:p w14:paraId="5535C2C1" w14:textId="45C25910" w:rsidR="00FF4705" w:rsidRPr="00374637" w:rsidRDefault="00FF4705" w:rsidP="00FF4705">
      <w:pPr>
        <w:pStyle w:val="NO"/>
        <w:rPr>
          <w:lang w:eastAsia="zh-CN"/>
        </w:rPr>
      </w:pPr>
      <w:r>
        <w:rPr>
          <w:rFonts w:hint="eastAsia"/>
          <w:lang w:eastAsia="zh-CN"/>
        </w:rPr>
        <w:t>N</w:t>
      </w:r>
      <w:r>
        <w:rPr>
          <w:lang w:eastAsia="zh-CN"/>
        </w:rPr>
        <w:t xml:space="preserve">ote: </w:t>
      </w:r>
      <w:r w:rsidR="000E7989">
        <w:rPr>
          <w:lang w:eastAsia="zh-CN"/>
        </w:rPr>
        <w:tab/>
      </w:r>
      <w:r>
        <w:rPr>
          <w:lang w:eastAsia="zh-CN"/>
        </w:rPr>
        <w:t xml:space="preserve">for deriving </w:t>
      </w:r>
      <w:r w:rsidRPr="00E048BE">
        <w:t>K</w:t>
      </w:r>
      <w:r w:rsidRPr="00E048BE">
        <w:rPr>
          <w:vertAlign w:val="subscript"/>
        </w:rPr>
        <w:t>multi_SMTC</w:t>
      </w:r>
      <w:r>
        <w:rPr>
          <w:vertAlign w:val="subscript"/>
        </w:rPr>
        <w:t>,i</w:t>
      </w:r>
      <w:r w:rsidRPr="00374637">
        <w:rPr>
          <w:lang w:eastAsia="zh-CN"/>
        </w:rPr>
        <w:t xml:space="preserve"> </w:t>
      </w:r>
      <w:r>
        <w:rPr>
          <w:lang w:eastAsia="zh-CN"/>
        </w:rPr>
        <w:t xml:space="preserve">for </w:t>
      </w:r>
      <w:r w:rsidRPr="00E048BE">
        <w:t>T</w:t>
      </w:r>
      <w:r w:rsidRPr="00E048BE">
        <w:rPr>
          <w:vertAlign w:val="subscript"/>
        </w:rPr>
        <w:t>detect,</w:t>
      </w:r>
      <w:r w:rsidRPr="00E048BE">
        <w:rPr>
          <w:vertAlign w:val="subscript"/>
          <w:lang w:eastAsia="zh-CN"/>
        </w:rPr>
        <w:t>NR</w:t>
      </w:r>
      <w:r w:rsidRPr="00E048BE">
        <w:rPr>
          <w:vertAlign w:val="subscript"/>
        </w:rPr>
        <w:t>_Int</w:t>
      </w:r>
      <w:r>
        <w:rPr>
          <w:vertAlign w:val="subscript"/>
        </w:rPr>
        <w:t>er</w:t>
      </w:r>
      <w:r>
        <w:rPr>
          <w:lang w:eastAsia="zh-CN"/>
        </w:rPr>
        <w:t xml:space="preserve">, </w:t>
      </w:r>
      <w:r w:rsidRPr="00E048BE">
        <w:t>T</w:t>
      </w:r>
      <w:r w:rsidRPr="00E048BE">
        <w:rPr>
          <w:vertAlign w:val="subscript"/>
        </w:rPr>
        <w:t>measure,NR_Int</w:t>
      </w:r>
      <w:r>
        <w:rPr>
          <w:vertAlign w:val="subscript"/>
        </w:rPr>
        <w:t>er</w:t>
      </w:r>
      <w:r>
        <w:rPr>
          <w:lang w:eastAsia="zh-CN"/>
        </w:rPr>
        <w:t xml:space="preserve"> and </w:t>
      </w:r>
      <w:r w:rsidRPr="00E048BE">
        <w:t>T</w:t>
      </w:r>
      <w:r w:rsidRPr="00E048BE">
        <w:rPr>
          <w:vertAlign w:val="subscript"/>
        </w:rPr>
        <w:t>evaluate,</w:t>
      </w:r>
      <w:r w:rsidRPr="00E048BE">
        <w:rPr>
          <w:vertAlign w:val="subscript"/>
          <w:lang w:eastAsia="zh-CN"/>
        </w:rPr>
        <w:t>NR</w:t>
      </w:r>
      <w:r w:rsidRPr="00E048BE">
        <w:rPr>
          <w:vertAlign w:val="subscript"/>
        </w:rPr>
        <w:t>_Int</w:t>
      </w:r>
      <w:r>
        <w:rPr>
          <w:vertAlign w:val="subscript"/>
        </w:rPr>
        <w:t>er</w:t>
      </w:r>
      <w:r>
        <w:rPr>
          <w:lang w:eastAsia="zh-CN"/>
        </w:rPr>
        <w:t xml:space="preserve"> of frequency layer </w:t>
      </w:r>
      <w:r w:rsidRPr="00374637">
        <w:rPr>
          <w:i/>
          <w:lang w:eastAsia="zh-CN"/>
        </w:rPr>
        <w:t>i</w:t>
      </w:r>
      <w:r>
        <w:rPr>
          <w:lang w:eastAsia="zh-CN"/>
        </w:rPr>
        <w:t xml:space="preserve">, </w:t>
      </w:r>
      <w:r w:rsidRPr="00374637">
        <w:rPr>
          <w:lang w:eastAsia="zh-CN"/>
        </w:rPr>
        <w:t>two SMTCs are considered as overlapping if they overlap in one or more occasions during</w:t>
      </w:r>
      <w:r>
        <w:rPr>
          <w:lang w:eastAsia="zh-CN"/>
        </w:rPr>
        <w:t xml:space="preserve"> a single</w:t>
      </w:r>
      <w:r w:rsidRPr="00374637">
        <w:rPr>
          <w:lang w:eastAsia="zh-CN"/>
        </w:rPr>
        <w:t xml:space="preserve"> </w:t>
      </w:r>
      <w:r w:rsidRPr="00E048BE">
        <w:t>T</w:t>
      </w:r>
      <w:r w:rsidRPr="00E048BE">
        <w:rPr>
          <w:vertAlign w:val="subscript"/>
        </w:rPr>
        <w:t>detect,</w:t>
      </w:r>
      <w:r w:rsidRPr="00E048BE">
        <w:rPr>
          <w:vertAlign w:val="subscript"/>
          <w:lang w:eastAsia="zh-CN"/>
        </w:rPr>
        <w:t>NR</w:t>
      </w:r>
      <w:r w:rsidRPr="00E048BE">
        <w:rPr>
          <w:vertAlign w:val="subscript"/>
        </w:rPr>
        <w:t>_Int</w:t>
      </w:r>
      <w:r>
        <w:rPr>
          <w:vertAlign w:val="subscript"/>
        </w:rPr>
        <w:t>er</w:t>
      </w:r>
      <w:r>
        <w:rPr>
          <w:lang w:eastAsia="zh-CN"/>
        </w:rPr>
        <w:t xml:space="preserve">, </w:t>
      </w:r>
      <w:r w:rsidRPr="00E048BE">
        <w:t>T</w:t>
      </w:r>
      <w:r w:rsidRPr="00E048BE">
        <w:rPr>
          <w:vertAlign w:val="subscript"/>
        </w:rPr>
        <w:t>measure,NR_Int</w:t>
      </w:r>
      <w:r>
        <w:rPr>
          <w:vertAlign w:val="subscript"/>
        </w:rPr>
        <w:t>er</w:t>
      </w:r>
      <w:r>
        <w:rPr>
          <w:lang w:eastAsia="zh-CN"/>
        </w:rPr>
        <w:t xml:space="preserve"> or </w:t>
      </w:r>
      <w:r w:rsidRPr="00E048BE">
        <w:t>T</w:t>
      </w:r>
      <w:r w:rsidRPr="00E048BE">
        <w:rPr>
          <w:vertAlign w:val="subscript"/>
        </w:rPr>
        <w:t>evaluate,</w:t>
      </w:r>
      <w:r w:rsidRPr="00E048BE">
        <w:rPr>
          <w:vertAlign w:val="subscript"/>
          <w:lang w:eastAsia="zh-CN"/>
        </w:rPr>
        <w:t>NR</w:t>
      </w:r>
      <w:r w:rsidRPr="00E048BE">
        <w:rPr>
          <w:vertAlign w:val="subscript"/>
        </w:rPr>
        <w:t>_Int</w:t>
      </w:r>
      <w:r>
        <w:rPr>
          <w:vertAlign w:val="subscript"/>
        </w:rPr>
        <w:t>er</w:t>
      </w:r>
      <w:r>
        <w:rPr>
          <w:lang w:eastAsia="zh-CN"/>
        </w:rPr>
        <w:t>.</w:t>
      </w:r>
    </w:p>
    <w:p w14:paraId="0A7D3E75" w14:textId="77777777" w:rsidR="00FF4705" w:rsidRPr="00E048BE" w:rsidRDefault="00FF4705" w:rsidP="00FF4705">
      <w:pPr>
        <w:rPr>
          <w:rFonts w:cs="v4.2.0"/>
        </w:rPr>
      </w:pPr>
      <w:r w:rsidRPr="00E048BE">
        <w:rPr>
          <w:rFonts w:cs="v4.2.0"/>
        </w:rPr>
        <w:t xml:space="preserve">An inter-frequency cell is considered to be detectable </w:t>
      </w:r>
      <w:r w:rsidRPr="00E048BE">
        <w:t xml:space="preserve">according to the conditions defined in Annex </w:t>
      </w:r>
      <w:r w:rsidRPr="00E048BE">
        <w:rPr>
          <w:lang w:eastAsia="zh-CN"/>
        </w:rPr>
        <w:t xml:space="preserve">B.1.7 </w:t>
      </w:r>
      <w:r w:rsidRPr="00E048BE">
        <w:t>for a corresponding Band.</w:t>
      </w:r>
    </w:p>
    <w:p w14:paraId="01D1C7E7" w14:textId="77777777" w:rsidR="00FF4705" w:rsidRPr="00E048BE" w:rsidRDefault="00FF4705" w:rsidP="00FF4705">
      <w:r w:rsidRPr="00E048BE">
        <w:t xml:space="preserve">When higher priority cells are found by the higher priority search, they shall be measured at least every </w:t>
      </w:r>
      <w:r w:rsidRPr="00E048BE">
        <w:rPr>
          <w:rFonts w:cs="v4.2.0"/>
        </w:rPr>
        <w:t>T</w:t>
      </w:r>
      <w:r w:rsidRPr="00E048BE">
        <w:rPr>
          <w:rFonts w:cs="v4.2.0"/>
          <w:vertAlign w:val="subscript"/>
        </w:rPr>
        <w:t>measure,NR_Inter</w:t>
      </w:r>
      <w:r w:rsidRPr="00E048BE">
        <w:t xml:space="preserve">. If, after detecting a cell in a higher priority search, it is determined that reselection has not occurred then the UE is not required to continuously measure the detected cell to evaluate the ongoing possibility of reselection. However, the minimum measurement filtering requirements specified later in this clause shall still be met by the UE before it makes any determination that it may stop measuring the cell. If the UE detects on a </w:t>
      </w:r>
      <w:r w:rsidRPr="00E048BE">
        <w:rPr>
          <w:lang w:eastAsia="zh-CN"/>
        </w:rPr>
        <w:t>NR</w:t>
      </w:r>
      <w:r w:rsidRPr="00E048BE">
        <w:t xml:space="preserve"> carrier a cell whose physical identity is indicated as not allowed for that carrier in the measurement control system information of the serving cell, the UE is not required to perform measurements on that cell.</w:t>
      </w:r>
    </w:p>
    <w:p w14:paraId="67EEA1A3" w14:textId="6F267C93" w:rsidR="00FF4705" w:rsidRPr="00E048BE" w:rsidRDefault="00FF4705" w:rsidP="00FF4705">
      <w:bookmarkStart w:id="46" w:name="_Hlk131188513"/>
      <w:r w:rsidRPr="00E048BE">
        <w:t xml:space="preserve">The UE shall measure SS-RSRP or SS-RSRQ at least every </w:t>
      </w:r>
      <m:oMath>
        <m:nary>
          <m:naryPr>
            <m:chr m:val="∑"/>
            <m:limLoc m:val="subSup"/>
            <m:ctrlPr>
              <w:rPr>
                <w:rFonts w:ascii="Cambria Math" w:hAnsi="Cambria Math" w:cs="v4.2.0"/>
              </w:rPr>
            </m:ctrlPr>
          </m:naryPr>
          <m:sub>
            <m:r>
              <w:rPr>
                <w:rFonts w:ascii="Cambria Math" w:hAnsi="Cambria Math" w:cs="v4.2.0"/>
              </w:rPr>
              <m:t>i=1</m:t>
            </m:r>
          </m:sub>
          <m:sup>
            <m:sSub>
              <m:sSubPr>
                <m:ctrlPr>
                  <w:rPr>
                    <w:rFonts w:ascii="Cambria Math" w:hAnsi="Cambria Math" w:cs="v4.2.0"/>
                    <w:i/>
                  </w:rPr>
                </m:ctrlPr>
              </m:sSubPr>
              <m:e>
                <m:r>
                  <w:rPr>
                    <w:rFonts w:ascii="Cambria Math" w:hAnsi="Cambria Math" w:cs="v4.2.0"/>
                  </w:rPr>
                  <m:t>K</m:t>
                </m:r>
              </m:e>
              <m:sub>
                <m:r>
                  <w:rPr>
                    <w:rFonts w:ascii="Cambria Math" w:hAnsi="Cambria Math" w:cs="v4.2.0"/>
                  </w:rPr>
                  <m:t>carrier</m:t>
                </m:r>
              </m:sub>
            </m:sSub>
          </m:sup>
          <m:e>
            <m:sSub>
              <m:sSubPr>
                <m:ctrlPr>
                  <w:rPr>
                    <w:rFonts w:ascii="Cambria Math" w:hAnsi="Cambria Math" w:cs="v4.2.0"/>
                    <w:i/>
                  </w:rPr>
                </m:ctrlPr>
              </m:sSubPr>
              <m:e>
                <m:r>
                  <w:rPr>
                    <w:rFonts w:ascii="Cambria Math" w:hAnsi="Cambria Math" w:cs="v4.2.0"/>
                  </w:rPr>
                  <m:t>K</m:t>
                </m:r>
              </m:e>
              <m:sub>
                <m:r>
                  <w:rPr>
                    <w:rFonts w:ascii="Cambria Math" w:hAnsi="Cambria Math" w:cs="v4.2.0"/>
                  </w:rPr>
                  <m:t>multi_SMTC,i</m:t>
                </m:r>
              </m:sub>
            </m:sSub>
            <m:r>
              <w:rPr>
                <w:rFonts w:ascii="Cambria Math" w:hAnsi="Cambria Math" w:cs="v4.2.0"/>
              </w:rPr>
              <m:t>*</m:t>
            </m:r>
            <m:sSub>
              <m:sSubPr>
                <m:ctrlPr>
                  <w:rPr>
                    <w:rFonts w:ascii="Cambria Math" w:hAnsi="Cambria Math" w:cs="v4.2.0"/>
                    <w:i/>
                  </w:rPr>
                </m:ctrlPr>
              </m:sSubPr>
              <m:e>
                <m:r>
                  <w:rPr>
                    <w:rFonts w:ascii="Cambria Math" w:hAnsi="Cambria Math" w:cs="v4.2.0"/>
                  </w:rPr>
                  <m:t>T</m:t>
                </m:r>
              </m:e>
              <m:sub>
                <m:r>
                  <w:rPr>
                    <w:rFonts w:ascii="Cambria Math" w:hAnsi="Cambria Math" w:cs="v4.2.0"/>
                  </w:rPr>
                  <m:t>measure,NR_Inter</m:t>
                </m:r>
              </m:sub>
            </m:sSub>
          </m:e>
        </m:nary>
      </m:oMath>
      <w:r w:rsidRPr="00E048BE">
        <w:t xml:space="preserve"> (see table 4.2C.2.4-1) </w:t>
      </w:r>
      <w:r w:rsidRPr="00E048BE">
        <w:rPr>
          <w:rFonts w:cs="v4.2.0"/>
        </w:rPr>
        <w:t xml:space="preserve">if the UE does not support the feature for enhanced RRM requirements defined in </w:t>
      </w:r>
      <w:r w:rsidRPr="00E048BE">
        <w:t>TS3</w:t>
      </w:r>
      <w:r w:rsidRPr="00E048BE">
        <w:rPr>
          <w:lang w:eastAsia="zh-CN"/>
        </w:rPr>
        <w:t>8</w:t>
      </w:r>
      <w:r w:rsidRPr="00E048BE">
        <w:t>.306 [14]</w:t>
      </w:r>
      <w:r w:rsidRPr="00E048BE" w:rsidDel="00563D6C">
        <w:rPr>
          <w:rFonts w:cs="v4.2.0"/>
        </w:rPr>
        <w:t xml:space="preserve"> </w:t>
      </w:r>
      <w:r w:rsidRPr="00E048BE">
        <w:rPr>
          <w:rFonts w:cs="v4.2.0"/>
        </w:rPr>
        <w:t xml:space="preserve"> or if the </w:t>
      </w:r>
      <w:r w:rsidRPr="00E048BE">
        <w:rPr>
          <w:i/>
        </w:rPr>
        <w:t>enhancedMeasurementLEO-r17</w:t>
      </w:r>
      <w:r w:rsidRPr="00E048BE">
        <w:rPr>
          <w:rFonts w:cs="v4.2.0"/>
        </w:rPr>
        <w:t xml:space="preserve"> is not enabled, or every </w:t>
      </w:r>
      <m:oMath>
        <m:nary>
          <m:naryPr>
            <m:chr m:val="∑"/>
            <m:limLoc m:val="subSup"/>
            <m:ctrlPr>
              <w:rPr>
                <w:rFonts w:ascii="Cambria Math" w:hAnsi="Cambria Math" w:cs="v4.2.0"/>
              </w:rPr>
            </m:ctrlPr>
          </m:naryPr>
          <m:sub>
            <m:r>
              <w:rPr>
                <w:rFonts w:ascii="Cambria Math" w:hAnsi="Cambria Math" w:cs="v4.2.0"/>
              </w:rPr>
              <m:t>i=1</m:t>
            </m:r>
          </m:sub>
          <m:sup>
            <m:sSub>
              <m:sSubPr>
                <m:ctrlPr>
                  <w:rPr>
                    <w:rFonts w:ascii="Cambria Math" w:hAnsi="Cambria Math" w:cs="v4.2.0"/>
                    <w:i/>
                  </w:rPr>
                </m:ctrlPr>
              </m:sSubPr>
              <m:e>
                <m:r>
                  <w:rPr>
                    <w:rFonts w:ascii="Cambria Math" w:hAnsi="Cambria Math" w:cs="v4.2.0"/>
                  </w:rPr>
                  <m:t>K</m:t>
                </m:r>
              </m:e>
              <m:sub>
                <m:r>
                  <w:rPr>
                    <w:rFonts w:ascii="Cambria Math" w:hAnsi="Cambria Math" w:cs="v4.2.0"/>
                  </w:rPr>
                  <m:t>carrier</m:t>
                </m:r>
              </m:sub>
            </m:sSub>
          </m:sup>
          <m:e>
            <m:sSub>
              <m:sSubPr>
                <m:ctrlPr>
                  <w:rPr>
                    <w:rFonts w:ascii="Cambria Math" w:hAnsi="Cambria Math" w:cs="v4.2.0"/>
                    <w:i/>
                  </w:rPr>
                </m:ctrlPr>
              </m:sSubPr>
              <m:e>
                <m:r>
                  <w:rPr>
                    <w:rFonts w:ascii="Cambria Math" w:hAnsi="Cambria Math" w:cs="v4.2.0"/>
                  </w:rPr>
                  <m:t>K</m:t>
                </m:r>
              </m:e>
              <m:sub>
                <m:r>
                  <w:rPr>
                    <w:rFonts w:ascii="Cambria Math" w:hAnsi="Cambria Math" w:cs="v4.2.0"/>
                  </w:rPr>
                  <m:t>multi_SMTC,i</m:t>
                </m:r>
              </m:sub>
            </m:sSub>
            <m:r>
              <w:rPr>
                <w:rFonts w:ascii="Cambria Math" w:hAnsi="Cambria Math" w:cs="v4.2.0"/>
              </w:rPr>
              <m:t>*</m:t>
            </m:r>
            <m:sSub>
              <m:sSubPr>
                <m:ctrlPr>
                  <w:rPr>
                    <w:rFonts w:ascii="Cambria Math" w:hAnsi="Cambria Math" w:cs="v4.2.0"/>
                    <w:i/>
                  </w:rPr>
                </m:ctrlPr>
              </m:sSubPr>
              <m:e>
                <m:r>
                  <w:rPr>
                    <w:rFonts w:ascii="Cambria Math" w:hAnsi="Cambria Math" w:cs="v4.2.0"/>
                  </w:rPr>
                  <m:t>T</m:t>
                </m:r>
              </m:e>
              <m:sub>
                <m:r>
                  <w:rPr>
                    <w:rFonts w:ascii="Cambria Math" w:hAnsi="Cambria Math" w:cs="v4.2.0"/>
                  </w:rPr>
                  <m:t>measure,NR_Inter_enh</m:t>
                </m:r>
              </m:sub>
            </m:sSub>
          </m:e>
        </m:nary>
      </m:oMath>
      <w:r>
        <w:t xml:space="preserve"> </w:t>
      </w:r>
      <w:r w:rsidRPr="00E048BE">
        <w:t>(see table 4.2C.2.4-2)</w:t>
      </w:r>
      <w:r w:rsidRPr="00E048BE">
        <w:rPr>
          <w:rFonts w:cs="v4.2.0"/>
        </w:rPr>
        <w:t xml:space="preserve"> if the UE supports the feature for enhanced RRM requirements defined in </w:t>
      </w:r>
      <w:r w:rsidRPr="00E048BE">
        <w:t>TS3</w:t>
      </w:r>
      <w:r w:rsidRPr="00E048BE">
        <w:rPr>
          <w:lang w:eastAsia="zh-CN"/>
        </w:rPr>
        <w:t>8</w:t>
      </w:r>
      <w:r w:rsidRPr="00E048BE">
        <w:t>.306 [14]</w:t>
      </w:r>
      <w:r w:rsidRPr="00E048BE" w:rsidDel="00563D6C">
        <w:rPr>
          <w:rFonts w:cs="v4.2.0"/>
        </w:rPr>
        <w:t xml:space="preserve"> </w:t>
      </w:r>
      <w:r w:rsidRPr="00E048BE">
        <w:rPr>
          <w:rFonts w:cs="v4.2.0"/>
        </w:rPr>
        <w:t xml:space="preserve"> and the </w:t>
      </w:r>
      <w:r w:rsidRPr="00E048BE">
        <w:rPr>
          <w:i/>
        </w:rPr>
        <w:t>enhancedMeasurementLEO-r17</w:t>
      </w:r>
      <w:r w:rsidRPr="00E048BE">
        <w:rPr>
          <w:rFonts w:cs="v4.2.0"/>
        </w:rPr>
        <w:t xml:space="preserve">is enabled, </w:t>
      </w:r>
      <w:r w:rsidRPr="00E048BE">
        <w:t xml:space="preserve">for identified lower or equal priority inter-frequency cells. If the UE detects on a </w:t>
      </w:r>
      <w:r w:rsidRPr="00E048BE">
        <w:rPr>
          <w:lang w:eastAsia="zh-CN"/>
        </w:rPr>
        <w:t xml:space="preserve">NR </w:t>
      </w:r>
      <w:r w:rsidRPr="00E048BE">
        <w:t>carrier a cell whose physical identity is indicated as not allowed for that carrier in the measurement control system information of the serving cell, the UE is not required to perform measurements on that cell.</w:t>
      </w:r>
      <w:bookmarkEnd w:id="46"/>
    </w:p>
    <w:p w14:paraId="48BBD750" w14:textId="77777777" w:rsidR="00FF4705" w:rsidRPr="00E048BE" w:rsidRDefault="00FF4705" w:rsidP="00FF4705">
      <w:pPr>
        <w:rPr>
          <w:rFonts w:cs="v4.2.0"/>
          <w:lang w:eastAsia="zh-CN"/>
        </w:rPr>
      </w:pPr>
      <w:r w:rsidRPr="00E048BE">
        <w:rPr>
          <w:rFonts w:cs="v4.2.0"/>
        </w:rPr>
        <w:t>The UE shall filter SS-RSRP or SS-RSRQ measurements of each measured higher, lower and equal priority inter-frequency cell using at least 2 measurements. Within the set of measurements used for the filtering, at least two measurements shall be spaced by at least T</w:t>
      </w:r>
      <w:r w:rsidRPr="00E048BE">
        <w:rPr>
          <w:rFonts w:cs="v4.2.0"/>
          <w:vertAlign w:val="subscript"/>
        </w:rPr>
        <w:t>measure,NR_Int</w:t>
      </w:r>
      <w:r w:rsidRPr="00E048BE">
        <w:rPr>
          <w:rFonts w:cs="v4.2.0"/>
          <w:vertAlign w:val="subscript"/>
          <w:lang w:eastAsia="zh-CN"/>
        </w:rPr>
        <w:t>er</w:t>
      </w:r>
      <w:r w:rsidRPr="00E048BE">
        <w:rPr>
          <w:rFonts w:cs="v4.2.0"/>
        </w:rPr>
        <w:t>/2</w:t>
      </w:r>
      <w:r w:rsidRPr="00E048BE">
        <w:rPr>
          <w:rFonts w:cs="v4.2.0"/>
          <w:lang w:eastAsia="zh-CN"/>
        </w:rPr>
        <w:t>.</w:t>
      </w:r>
    </w:p>
    <w:p w14:paraId="693FF486" w14:textId="77777777" w:rsidR="00FF4705" w:rsidRPr="00E048BE" w:rsidRDefault="00FF4705" w:rsidP="00FF4705">
      <w:r w:rsidRPr="00E048BE">
        <w:t xml:space="preserve">The UE shall not consider a </w:t>
      </w:r>
      <w:r w:rsidRPr="00E048BE">
        <w:rPr>
          <w:lang w:eastAsia="zh-CN"/>
        </w:rPr>
        <w:t>NR</w:t>
      </w:r>
      <w:r w:rsidRPr="00E048BE">
        <w:t xml:space="preserve"> neighbour cell in cell reselection, if it is indicated as not allowed in the measurement control system information of the serving cell.</w:t>
      </w:r>
    </w:p>
    <w:p w14:paraId="55949810" w14:textId="399D2EF3" w:rsidR="00FF4705" w:rsidRPr="00E048BE" w:rsidRDefault="00FF4705" w:rsidP="00FF4705">
      <w:pPr>
        <w:rPr>
          <w:rFonts w:cs="v4.2.0"/>
        </w:rPr>
      </w:pPr>
      <w:r w:rsidRPr="00E048BE">
        <w:rPr>
          <w:rFonts w:cs="v4.2.0"/>
        </w:rPr>
        <w:t>For an inter-frequency cell that has been already detected, but that has not been reselected to, the filtering shall be such that the UE shall be capable of evaluating that the inter-frequency cell has met reselection criterion defined TS 3</w:t>
      </w:r>
      <w:r w:rsidRPr="00E048BE">
        <w:rPr>
          <w:rFonts w:cs="v4.2.0"/>
          <w:lang w:eastAsia="zh-CN"/>
        </w:rPr>
        <w:t>8</w:t>
      </w:r>
      <w:r w:rsidRPr="00E048BE">
        <w:rPr>
          <w:rFonts w:cs="v4.2.0"/>
        </w:rPr>
        <w:t xml:space="preserve">.304 [1] within </w:t>
      </w:r>
      <m:oMath>
        <m:nary>
          <m:naryPr>
            <m:chr m:val="∑"/>
            <m:limLoc m:val="subSup"/>
            <m:ctrlPr>
              <w:rPr>
                <w:rFonts w:ascii="Cambria Math" w:hAnsi="Cambria Math" w:cs="v4.2.0"/>
              </w:rPr>
            </m:ctrlPr>
          </m:naryPr>
          <m:sub>
            <m:r>
              <w:rPr>
                <w:rFonts w:ascii="Cambria Math" w:hAnsi="Cambria Math" w:cs="v4.2.0"/>
              </w:rPr>
              <m:t>i=1</m:t>
            </m:r>
          </m:sub>
          <m:sup>
            <m:sSub>
              <m:sSubPr>
                <m:ctrlPr>
                  <w:rPr>
                    <w:rFonts w:ascii="Cambria Math" w:hAnsi="Cambria Math" w:cs="v4.2.0"/>
                    <w:i/>
                  </w:rPr>
                </m:ctrlPr>
              </m:sSubPr>
              <m:e>
                <m:r>
                  <w:rPr>
                    <w:rFonts w:ascii="Cambria Math" w:hAnsi="Cambria Math" w:cs="v4.2.0"/>
                  </w:rPr>
                  <m:t>K</m:t>
                </m:r>
              </m:e>
              <m:sub>
                <m:r>
                  <w:rPr>
                    <w:rFonts w:ascii="Cambria Math" w:hAnsi="Cambria Math" w:cs="v4.2.0"/>
                  </w:rPr>
                  <m:t>carrier</m:t>
                </m:r>
              </m:sub>
            </m:sSub>
          </m:sup>
          <m:e>
            <m:sSub>
              <m:sSubPr>
                <m:ctrlPr>
                  <w:rPr>
                    <w:rFonts w:ascii="Cambria Math" w:hAnsi="Cambria Math" w:cs="v4.2.0"/>
                    <w:i/>
                  </w:rPr>
                </m:ctrlPr>
              </m:sSubPr>
              <m:e>
                <m:r>
                  <w:rPr>
                    <w:rFonts w:ascii="Cambria Math" w:hAnsi="Cambria Math" w:cs="v4.2.0"/>
                  </w:rPr>
                  <m:t>K</m:t>
                </m:r>
              </m:e>
              <m:sub>
                <m:r>
                  <w:rPr>
                    <w:rFonts w:ascii="Cambria Math" w:hAnsi="Cambria Math" w:cs="v4.2.0"/>
                  </w:rPr>
                  <m:t>multi_SMTC,i</m:t>
                </m:r>
              </m:sub>
            </m:sSub>
            <m:r>
              <w:rPr>
                <w:rFonts w:ascii="Cambria Math" w:hAnsi="Cambria Math" w:cs="v4.2.0"/>
              </w:rPr>
              <m:t>*</m:t>
            </m:r>
            <m:sSub>
              <m:sSubPr>
                <m:ctrlPr>
                  <w:rPr>
                    <w:rFonts w:ascii="Cambria Math" w:hAnsi="Cambria Math" w:cs="v4.2.0"/>
                    <w:i/>
                  </w:rPr>
                </m:ctrlPr>
              </m:sSubPr>
              <m:e>
                <m:r>
                  <w:rPr>
                    <w:rFonts w:ascii="Cambria Math" w:hAnsi="Cambria Math" w:cs="v4.2.0"/>
                  </w:rPr>
                  <m:t>T</m:t>
                </m:r>
              </m:e>
              <m:sub>
                <m:r>
                  <w:rPr>
                    <w:rFonts w:ascii="Cambria Math" w:hAnsi="Cambria Math" w:cs="v4.2.0"/>
                  </w:rPr>
                  <m:t>evaluate,NR_Inter</m:t>
                </m:r>
              </m:sub>
            </m:sSub>
          </m:e>
        </m:nary>
      </m:oMath>
      <w:r>
        <w:rPr>
          <w:rFonts w:cs="v4.2.0"/>
        </w:rPr>
        <w:t xml:space="preserve"> </w:t>
      </w:r>
      <w:r w:rsidRPr="00E048BE">
        <w:rPr>
          <w:rFonts w:cs="v4.2.0"/>
        </w:rPr>
        <w:t xml:space="preserve">if the UE does not support [capability for enhanced requriements] or if the [NW configuration for enhanced requirements] is not enabled, or within </w:t>
      </w:r>
      <m:oMath>
        <m:nary>
          <m:naryPr>
            <m:chr m:val="∑"/>
            <m:limLoc m:val="subSup"/>
            <m:ctrlPr>
              <w:rPr>
                <w:rFonts w:ascii="Cambria Math" w:hAnsi="Cambria Math" w:cs="v4.2.0"/>
              </w:rPr>
            </m:ctrlPr>
          </m:naryPr>
          <m:sub>
            <m:r>
              <w:rPr>
                <w:rFonts w:ascii="Cambria Math" w:hAnsi="Cambria Math" w:cs="v4.2.0"/>
              </w:rPr>
              <m:t>i=1</m:t>
            </m:r>
          </m:sub>
          <m:sup>
            <m:sSub>
              <m:sSubPr>
                <m:ctrlPr>
                  <w:rPr>
                    <w:rFonts w:ascii="Cambria Math" w:hAnsi="Cambria Math" w:cs="v4.2.0"/>
                    <w:i/>
                  </w:rPr>
                </m:ctrlPr>
              </m:sSubPr>
              <m:e>
                <m:r>
                  <w:rPr>
                    <w:rFonts w:ascii="Cambria Math" w:hAnsi="Cambria Math" w:cs="v4.2.0"/>
                  </w:rPr>
                  <m:t>K</m:t>
                </m:r>
              </m:e>
              <m:sub>
                <m:r>
                  <w:rPr>
                    <w:rFonts w:ascii="Cambria Math" w:hAnsi="Cambria Math" w:cs="v4.2.0"/>
                  </w:rPr>
                  <m:t>carrier</m:t>
                </m:r>
              </m:sub>
            </m:sSub>
          </m:sup>
          <m:e>
            <m:sSub>
              <m:sSubPr>
                <m:ctrlPr>
                  <w:rPr>
                    <w:rFonts w:ascii="Cambria Math" w:hAnsi="Cambria Math" w:cs="v4.2.0"/>
                    <w:i/>
                  </w:rPr>
                </m:ctrlPr>
              </m:sSubPr>
              <m:e>
                <m:r>
                  <w:rPr>
                    <w:rFonts w:ascii="Cambria Math" w:hAnsi="Cambria Math" w:cs="v4.2.0"/>
                  </w:rPr>
                  <m:t>K</m:t>
                </m:r>
              </m:e>
              <m:sub>
                <m:r>
                  <w:rPr>
                    <w:rFonts w:ascii="Cambria Math" w:hAnsi="Cambria Math" w:cs="v4.2.0"/>
                  </w:rPr>
                  <m:t>multi_SMTC,i</m:t>
                </m:r>
              </m:sub>
            </m:sSub>
            <m:r>
              <w:rPr>
                <w:rFonts w:ascii="Cambria Math" w:hAnsi="Cambria Math" w:cs="v4.2.0"/>
              </w:rPr>
              <m:t>*</m:t>
            </m:r>
            <m:sSub>
              <m:sSubPr>
                <m:ctrlPr>
                  <w:rPr>
                    <w:rFonts w:ascii="Cambria Math" w:hAnsi="Cambria Math" w:cs="v4.2.0"/>
                    <w:i/>
                  </w:rPr>
                </m:ctrlPr>
              </m:sSubPr>
              <m:e>
                <m:r>
                  <w:rPr>
                    <w:rFonts w:ascii="Cambria Math" w:hAnsi="Cambria Math" w:cs="v4.2.0"/>
                  </w:rPr>
                  <m:t>T</m:t>
                </m:r>
              </m:e>
              <m:sub>
                <m:r>
                  <w:rPr>
                    <w:rFonts w:ascii="Cambria Math" w:hAnsi="Cambria Math" w:cs="v4.2.0"/>
                  </w:rPr>
                  <m:t>evaluate,NR_Inter_enh</m:t>
                </m:r>
              </m:sub>
            </m:sSub>
          </m:e>
        </m:nary>
      </m:oMath>
      <w:r>
        <w:t xml:space="preserve"> </w:t>
      </w:r>
      <w:r w:rsidRPr="00E048BE">
        <w:rPr>
          <w:rFonts w:cs="v4.2.0"/>
        </w:rPr>
        <w:t xml:space="preserve">if the UE supports the feature for enhanced RRM requirements defined in </w:t>
      </w:r>
      <w:r w:rsidRPr="00E048BE">
        <w:t>TS3</w:t>
      </w:r>
      <w:r w:rsidRPr="00E048BE">
        <w:rPr>
          <w:lang w:eastAsia="zh-CN"/>
        </w:rPr>
        <w:t>8</w:t>
      </w:r>
      <w:r w:rsidRPr="00E048BE">
        <w:t>.306 [14]</w:t>
      </w:r>
      <w:r w:rsidRPr="00E048BE" w:rsidDel="004E3429">
        <w:rPr>
          <w:rFonts w:cs="v4.2.0"/>
        </w:rPr>
        <w:t xml:space="preserve"> </w:t>
      </w:r>
      <w:r w:rsidRPr="00E048BE">
        <w:rPr>
          <w:rFonts w:cs="v4.2.0"/>
        </w:rPr>
        <w:t xml:space="preserve"> and the </w:t>
      </w:r>
      <w:r w:rsidRPr="00E048BE">
        <w:rPr>
          <w:i/>
        </w:rPr>
        <w:t>enhancedMeasurementLEO-r17</w:t>
      </w:r>
      <w:r w:rsidRPr="00E048BE">
        <w:rPr>
          <w:rFonts w:cs="v4.2.0"/>
        </w:rPr>
        <w:t xml:space="preserve"> is enabled, when T</w:t>
      </w:r>
      <w:r w:rsidRPr="00E048BE">
        <w:rPr>
          <w:rFonts w:cs="v4.2.0"/>
          <w:vertAlign w:val="subscript"/>
        </w:rPr>
        <w:t>reselection</w:t>
      </w:r>
      <w:r w:rsidRPr="00E048BE">
        <w:rPr>
          <w:rFonts w:cs="v4.2.0"/>
        </w:rPr>
        <w:t xml:space="preserve"> = 0</w:t>
      </w:r>
      <w:r w:rsidRPr="00E048BE">
        <w:rPr>
          <w:rFonts w:cs="v4.2.0"/>
          <w:i/>
          <w:vertAlign w:val="subscript"/>
        </w:rPr>
        <w:t xml:space="preserve"> </w:t>
      </w:r>
      <w:r w:rsidRPr="00E048BE">
        <w:rPr>
          <w:rFonts w:cs="v4.2.0"/>
        </w:rPr>
        <w:t>as specified in table 4.2C.2.4-1 provided that the reselection criteria is met by</w:t>
      </w:r>
    </w:p>
    <w:p w14:paraId="409A806B" w14:textId="77777777" w:rsidR="00FF4705" w:rsidRPr="00E048BE" w:rsidRDefault="00FF4705" w:rsidP="00FF4705">
      <w:pPr>
        <w:ind w:left="568" w:hanging="284"/>
      </w:pPr>
      <w:r w:rsidRPr="00E048BE">
        <w:t>-</w:t>
      </w:r>
      <w:r w:rsidRPr="00E048BE">
        <w:tab/>
        <w:t>the condition when performing equal priority reselection and</w:t>
      </w:r>
    </w:p>
    <w:p w14:paraId="023D6436" w14:textId="77777777" w:rsidR="00FF4705" w:rsidRPr="00E048BE" w:rsidRDefault="00FF4705" w:rsidP="00FF4705">
      <w:pPr>
        <w:ind w:left="568" w:hanging="284"/>
      </w:pPr>
      <w:r w:rsidRPr="00E048BE">
        <w:rPr>
          <w:rFonts w:cs="v4.2.0"/>
          <w:lang w:eastAsia="zh-CN"/>
        </w:rPr>
        <w:tab/>
        <w:t xml:space="preserve">when </w:t>
      </w:r>
      <w:r w:rsidRPr="00E048BE">
        <w:rPr>
          <w:i/>
        </w:rPr>
        <w:t>rangeToBestCell</w:t>
      </w:r>
      <w:r w:rsidRPr="00E048BE">
        <w:t xml:space="preserve"> is not configured:</w:t>
      </w:r>
    </w:p>
    <w:p w14:paraId="083A2F35" w14:textId="77777777" w:rsidR="00FF4705" w:rsidRPr="00E048BE" w:rsidRDefault="00FF4705" w:rsidP="00FF4705">
      <w:pPr>
        <w:ind w:left="851" w:hanging="284"/>
      </w:pPr>
      <w:r w:rsidRPr="00E048BE">
        <w:t>-</w:t>
      </w:r>
      <w:r w:rsidRPr="00E048BE">
        <w:tab/>
        <w:t xml:space="preserve">the cell is at least </w:t>
      </w:r>
      <w:r w:rsidRPr="00E048BE">
        <w:rPr>
          <w:lang w:eastAsia="zh-CN"/>
        </w:rPr>
        <w:t>[5]</w:t>
      </w:r>
      <w:r w:rsidRPr="00E048BE">
        <w:t>dB better ranked in FR1 or.</w:t>
      </w:r>
    </w:p>
    <w:p w14:paraId="3B31B197" w14:textId="77777777" w:rsidR="00FF4705" w:rsidRPr="00E048BE" w:rsidRDefault="00FF4705" w:rsidP="00FF4705">
      <w:pPr>
        <w:ind w:left="851" w:hanging="284"/>
      </w:pPr>
      <w:r w:rsidRPr="00E048BE">
        <w:rPr>
          <w:rFonts w:cs="v4.2.0"/>
          <w:lang w:eastAsia="zh-CN"/>
        </w:rPr>
        <w:t xml:space="preserve">when </w:t>
      </w:r>
      <w:r w:rsidRPr="00E048BE">
        <w:rPr>
          <w:i/>
        </w:rPr>
        <w:t>rangeToBestCell</w:t>
      </w:r>
      <w:r w:rsidRPr="00E048BE">
        <w:t xml:space="preserve"> is configured:</w:t>
      </w:r>
    </w:p>
    <w:p w14:paraId="7C76B433" w14:textId="77777777" w:rsidR="00FF4705" w:rsidRPr="00E048BE" w:rsidRDefault="00FF4705" w:rsidP="00FF4705">
      <w:pPr>
        <w:ind w:left="1135" w:hanging="284"/>
      </w:pPr>
      <w:r w:rsidRPr="00E048BE">
        <w:t>-</w:t>
      </w:r>
      <w:r w:rsidRPr="00E048BE">
        <w:tab/>
        <w:t xml:space="preserve">the cell has the highest number of beams above the threshold </w:t>
      </w:r>
      <w:r w:rsidRPr="00E048BE">
        <w:rPr>
          <w:i/>
        </w:rPr>
        <w:t>absThreshSS-BlocksConsolidation</w:t>
      </w:r>
      <w:r w:rsidRPr="00E048BE">
        <w:t xml:space="preserve"> among all detected cells whose cell-ranking criterion R value in TS3</w:t>
      </w:r>
      <w:r w:rsidRPr="00E048BE">
        <w:rPr>
          <w:lang w:eastAsia="zh-CN"/>
        </w:rPr>
        <w:t>8</w:t>
      </w:r>
      <w:r w:rsidRPr="00E048BE">
        <w:t xml:space="preserve">.304 [1] is within </w:t>
      </w:r>
      <w:r w:rsidRPr="00E048BE">
        <w:rPr>
          <w:i/>
        </w:rPr>
        <w:t>rangeToBestCell</w:t>
      </w:r>
      <w:r w:rsidRPr="00E048BE">
        <w:t xml:space="preserve"> of the cell-ranking criterion R value of the highest ranked cell. </w:t>
      </w:r>
    </w:p>
    <w:p w14:paraId="70EC0EF2" w14:textId="77777777" w:rsidR="00FF4705" w:rsidRPr="00E048BE" w:rsidRDefault="00FF4705" w:rsidP="00FF4705">
      <w:pPr>
        <w:ind w:left="1418" w:hanging="284"/>
      </w:pPr>
      <w:r w:rsidRPr="00E048BE">
        <w:t>-</w:t>
      </w:r>
      <w:r w:rsidRPr="00E048BE">
        <w:tab/>
        <w:t xml:space="preserve">if there are multiple such cells, the cell has the highest rank among them </w:t>
      </w:r>
    </w:p>
    <w:p w14:paraId="2B065506" w14:textId="77777777" w:rsidR="00FF4705" w:rsidRPr="00E048BE" w:rsidRDefault="00FF4705" w:rsidP="00FF4705">
      <w:pPr>
        <w:ind w:left="1418" w:hanging="284"/>
      </w:pPr>
      <w:r w:rsidRPr="00E048BE">
        <w:t>-</w:t>
      </w:r>
      <w:r w:rsidRPr="00E048BE">
        <w:tab/>
        <w:t xml:space="preserve">the cell is at least </w:t>
      </w:r>
      <w:r w:rsidRPr="00E048BE">
        <w:rPr>
          <w:lang w:eastAsia="zh-CN"/>
        </w:rPr>
        <w:t>[5]</w:t>
      </w:r>
      <w:r w:rsidRPr="00E048BE">
        <w:t>dB better ranked in FR1 if the current serving cell is among them. or</w:t>
      </w:r>
    </w:p>
    <w:p w14:paraId="2CF88B71" w14:textId="77777777" w:rsidR="00FF4705" w:rsidRPr="00E048BE" w:rsidRDefault="00FF4705" w:rsidP="00FF4705">
      <w:pPr>
        <w:ind w:left="568" w:hanging="284"/>
        <w:rPr>
          <w:lang w:eastAsia="zh-CN"/>
        </w:rPr>
      </w:pPr>
      <w:r w:rsidRPr="00E048BE">
        <w:t>-</w:t>
      </w:r>
      <w:r w:rsidRPr="00E048BE">
        <w:tab/>
      </w:r>
      <w:r w:rsidRPr="00E048BE">
        <w:rPr>
          <w:lang w:eastAsia="zh-CN"/>
        </w:rPr>
        <w:t>[6]dB in FR1 for SS-RSRP reselections based on absolute priorities or</w:t>
      </w:r>
    </w:p>
    <w:p w14:paraId="560A33BC" w14:textId="77777777" w:rsidR="00FF4705" w:rsidRPr="00E048BE" w:rsidRDefault="00FF4705" w:rsidP="00FF4705">
      <w:pPr>
        <w:ind w:left="568" w:hanging="284"/>
      </w:pPr>
      <w:r w:rsidRPr="00E048BE">
        <w:t>-</w:t>
      </w:r>
      <w:r w:rsidRPr="00E048BE">
        <w:tab/>
      </w:r>
      <w:r w:rsidRPr="00E048BE">
        <w:rPr>
          <w:lang w:eastAsia="zh-CN"/>
        </w:rPr>
        <w:t>4]dB in FR1 for SS-RSRQ reselections based on absolute priorities</w:t>
      </w:r>
      <w:r w:rsidRPr="00E048BE">
        <w:t>.</w:t>
      </w:r>
    </w:p>
    <w:p w14:paraId="606F8A49" w14:textId="77777777" w:rsidR="00FF4705" w:rsidRPr="00E048BE" w:rsidRDefault="00FF4705" w:rsidP="00FF4705">
      <w:r w:rsidRPr="00E048BE">
        <w:t>When evaluating cells for reselection, the SSB side conditions apply to both serving and inter-frequency cells.</w:t>
      </w:r>
    </w:p>
    <w:p w14:paraId="32190E4D" w14:textId="77777777" w:rsidR="00FF4705" w:rsidRPr="00E048BE" w:rsidRDefault="00FF4705" w:rsidP="00FF4705">
      <w:pPr>
        <w:rPr>
          <w:lang w:eastAsia="zh-CN"/>
        </w:rPr>
      </w:pPr>
      <w:r w:rsidRPr="00E048BE">
        <w:rPr>
          <w:lang w:eastAsia="zh-CN"/>
        </w:rPr>
        <w:t>If T</w:t>
      </w:r>
      <w:r w:rsidRPr="00E048BE">
        <w:rPr>
          <w:vertAlign w:val="subscript"/>
          <w:lang w:eastAsia="zh-CN"/>
        </w:rPr>
        <w:t>reselection</w:t>
      </w:r>
      <w:r w:rsidRPr="00E048BE">
        <w:rPr>
          <w:lang w:eastAsia="zh-CN"/>
        </w:rPr>
        <w:t xml:space="preserve"> timer has a non zero value and the inter-frequency cell is satisfied with the reselection criteria, the UE shall evaluate this inter-frequency cell for the T</w:t>
      </w:r>
      <w:r w:rsidRPr="00E048BE">
        <w:rPr>
          <w:vertAlign w:val="subscript"/>
          <w:lang w:eastAsia="zh-CN"/>
        </w:rPr>
        <w:t>reselection</w:t>
      </w:r>
      <w:r w:rsidRPr="00E048BE">
        <w:rPr>
          <w:lang w:eastAsia="zh-CN"/>
        </w:rPr>
        <w:t xml:space="preserve"> time. If this cell remains satisfied with the reselection criteria within this duration, then the UE shall reselect that cell.</w:t>
      </w:r>
    </w:p>
    <w:p w14:paraId="06467C83" w14:textId="77777777" w:rsidR="00FF4705" w:rsidRPr="00E048BE" w:rsidRDefault="00FF4705" w:rsidP="00FF4705">
      <w:pPr>
        <w:rPr>
          <w:noProof/>
        </w:rPr>
      </w:pPr>
      <w:r w:rsidRPr="00E048BE">
        <w:rPr>
          <w:noProof/>
        </w:rPr>
        <w:t>The UE is not expected to meet the measurement requirements for an inter-frequency carrier under DRX cycle=320 ms defined in Table 4.2C.2.4-1 under the following conditions:</w:t>
      </w:r>
    </w:p>
    <w:p w14:paraId="59236D94" w14:textId="77777777" w:rsidR="00FF4705" w:rsidRPr="00E048BE" w:rsidRDefault="00FF4705" w:rsidP="00FF4705">
      <w:pPr>
        <w:ind w:left="568" w:hanging="284"/>
      </w:pPr>
      <w:r w:rsidRPr="00E048BE">
        <w:rPr>
          <w:noProof/>
        </w:rPr>
        <w:t>-</w:t>
      </w:r>
      <w:r w:rsidRPr="00E048BE">
        <w:rPr>
          <w:noProof/>
        </w:rPr>
        <w:tab/>
        <w:t>T</w:t>
      </w:r>
      <w:r w:rsidRPr="00E048BE">
        <w:rPr>
          <w:noProof/>
          <w:vertAlign w:val="subscript"/>
        </w:rPr>
        <w:t>SMTC_intra</w:t>
      </w:r>
      <w:r w:rsidRPr="00E048BE">
        <w:rPr>
          <w:noProof/>
        </w:rPr>
        <w:t xml:space="preserve"> = T</w:t>
      </w:r>
      <w:r w:rsidRPr="00E048BE">
        <w:rPr>
          <w:noProof/>
          <w:vertAlign w:val="subscript"/>
        </w:rPr>
        <w:t>SMTC_inter</w:t>
      </w:r>
      <w:r w:rsidRPr="00E048BE">
        <w:rPr>
          <w:noProof/>
        </w:rPr>
        <w:t xml:space="preserve"> = 160 ms; </w:t>
      </w:r>
      <w:r w:rsidRPr="00E048BE">
        <w:t xml:space="preserve">where </w:t>
      </w:r>
    </w:p>
    <w:p w14:paraId="3F2FA540" w14:textId="77777777" w:rsidR="00FF4705" w:rsidRPr="00E048BE" w:rsidRDefault="00FF4705" w:rsidP="00FF4705">
      <w:pPr>
        <w:pStyle w:val="B30"/>
      </w:pPr>
      <w:r w:rsidRPr="00E048BE">
        <w:t>-</w:t>
      </w:r>
      <w:r w:rsidRPr="00E048BE">
        <w:tab/>
        <w:t>TSMTC_intra is the periodicity of the SMTC configured for the intra-frequency carrier if no identified intra-frequency cell is in the PCI list of smtc2-LP on this intra-frequency carrier; TSMTC_intra is the periodicity of the smtc2-LP configured for the intra-frequency carrier if at least one identified intra-frequency cell is in the PCI list of smtc2-LP on this intra-frequency carrier. During PSS/SSS detection, the periodicity of the SMTC configured for the intra-frequency carrier is assumed for TSMTC_intra. If the actual SSB transmission periodicity is greater than the SMTC configured for the intra-frequency carrier, longer Tdetect, NR_intra is expected.</w:t>
      </w:r>
    </w:p>
    <w:p w14:paraId="21E363F7" w14:textId="77777777" w:rsidR="00FF4705" w:rsidRPr="00E048BE" w:rsidRDefault="00FF4705" w:rsidP="00FF4705">
      <w:pPr>
        <w:pStyle w:val="B30"/>
      </w:pPr>
      <w:r w:rsidRPr="00E048BE">
        <w:t>-</w:t>
      </w:r>
      <w:r w:rsidRPr="00E048BE">
        <w:tab/>
        <w:t>TSMTC_inter is the actual SMTC periodicity used by the inter-frequency cell being identified. During PSS/SSS detection, the periodicity of the SMTC configured for the inter-frequency carrier is assumed for TSMTC_inter. If the actual SSB transmission periodicity is greater than the SMTC configured for the inter-frequency carrier, longer Tdetect, NR_inter is expected.</w:t>
      </w:r>
    </w:p>
    <w:p w14:paraId="2B7EBACC" w14:textId="77777777" w:rsidR="00FF4705" w:rsidRPr="00E048BE" w:rsidRDefault="00FF4705" w:rsidP="00FF4705">
      <w:pPr>
        <w:pStyle w:val="B30"/>
        <w:rPr>
          <w:noProof/>
        </w:rPr>
      </w:pPr>
      <w:r w:rsidRPr="00E048BE">
        <w:rPr>
          <w:noProof/>
        </w:rPr>
        <w:t>-</w:t>
      </w:r>
      <w:r w:rsidRPr="00E048BE">
        <w:rPr>
          <w:noProof/>
        </w:rPr>
        <w:tab/>
        <w:t>SMTC occasions configured for the inter-frequency carrier occur up to 1 ms before the start or up to 1 ms after the end of the SMTC occasions configured for the intra-frequency carrier, and</w:t>
      </w:r>
    </w:p>
    <w:p w14:paraId="37D0E333" w14:textId="31A2B2D7" w:rsidR="00FF4705" w:rsidRDefault="00FF4705" w:rsidP="00FF4705">
      <w:pPr>
        <w:pStyle w:val="B30"/>
        <w:rPr>
          <w:noProof/>
        </w:rPr>
      </w:pPr>
      <w:r w:rsidRPr="00E048BE">
        <w:rPr>
          <w:noProof/>
        </w:rPr>
        <w:t>-</w:t>
      </w:r>
      <w:r w:rsidRPr="00E048BE">
        <w:rPr>
          <w:noProof/>
        </w:rPr>
        <w:tab/>
        <w:t xml:space="preserve">SMTC occasions configured for the intra-frequency carrier and for the inter-frequency carrier occur up to 1 ms before the start or up to 1 ms after the end of the paging occasion </w:t>
      </w:r>
      <w:r w:rsidRPr="00E048BE">
        <w:t>in TS3</w:t>
      </w:r>
      <w:r w:rsidRPr="00E048BE">
        <w:rPr>
          <w:lang w:eastAsia="zh-CN"/>
        </w:rPr>
        <w:t>8</w:t>
      </w:r>
      <w:r w:rsidRPr="00E048BE">
        <w:t xml:space="preserve">.304 </w:t>
      </w:r>
      <w:r w:rsidRPr="00E048BE">
        <w:rPr>
          <w:noProof/>
        </w:rPr>
        <w:t>[1].</w:t>
      </w:r>
    </w:p>
    <w:p w14:paraId="49B3A744" w14:textId="77777777" w:rsidR="00FF4705" w:rsidRPr="00E048BE" w:rsidRDefault="00FF4705" w:rsidP="00FF4705">
      <w:pPr>
        <w:rPr>
          <w:noProof/>
        </w:rPr>
      </w:pPr>
    </w:p>
    <w:p w14:paraId="33A35D7D" w14:textId="77777777" w:rsidR="008B5183" w:rsidRPr="009C5807" w:rsidRDefault="008B5183" w:rsidP="008B5183">
      <w:pPr>
        <w:pStyle w:val="TH"/>
        <w:rPr>
          <w:vertAlign w:val="subscript"/>
        </w:rPr>
      </w:pPr>
      <w:r w:rsidRPr="009C5807">
        <w:t xml:space="preserve">Table </w:t>
      </w:r>
      <w:r>
        <w:t>4.2C.</w:t>
      </w:r>
      <w:r w:rsidRPr="009C5807">
        <w:t>2.4-1: T</w:t>
      </w:r>
      <w:r w:rsidRPr="009C5807">
        <w:rPr>
          <w:vertAlign w:val="subscript"/>
        </w:rPr>
        <w:t>detect,NR_Inter,</w:t>
      </w:r>
      <w:r w:rsidRPr="009C5807">
        <w:t xml:space="preserve"> T</w:t>
      </w:r>
      <w:r w:rsidRPr="009C5807">
        <w:rPr>
          <w:vertAlign w:val="subscript"/>
        </w:rPr>
        <w:t>measure,NR_Inter</w:t>
      </w:r>
      <w:r w:rsidRPr="009C5807">
        <w:t xml:space="preserve"> and T</w:t>
      </w:r>
      <w:r w:rsidRPr="009C5807">
        <w:rPr>
          <w:vertAlign w:val="subscript"/>
        </w:rPr>
        <w:t>evaluate,NR_Inter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2043"/>
        <w:gridCol w:w="2140"/>
        <w:gridCol w:w="2141"/>
        <w:gridCol w:w="2141"/>
      </w:tblGrid>
      <w:tr w:rsidR="008B5183" w:rsidRPr="009C5807" w14:paraId="79E0822B" w14:textId="77777777" w:rsidTr="001313A6">
        <w:trPr>
          <w:cantSplit/>
          <w:trHeight w:val="310"/>
          <w:jc w:val="center"/>
        </w:trPr>
        <w:tc>
          <w:tcPr>
            <w:tcW w:w="604" w:type="pct"/>
            <w:vMerge w:val="restart"/>
            <w:tcBorders>
              <w:top w:val="single" w:sz="4" w:space="0" w:color="auto"/>
              <w:left w:val="single" w:sz="4" w:space="0" w:color="auto"/>
              <w:bottom w:val="single" w:sz="4" w:space="0" w:color="auto"/>
              <w:right w:val="single" w:sz="4" w:space="0" w:color="auto"/>
            </w:tcBorders>
            <w:hideMark/>
          </w:tcPr>
          <w:p w14:paraId="1D46564F" w14:textId="77777777" w:rsidR="008B5183" w:rsidRPr="009C5807" w:rsidRDefault="008B5183" w:rsidP="001313A6">
            <w:pPr>
              <w:pStyle w:val="TAH"/>
            </w:pPr>
            <w:r w:rsidRPr="009C5807">
              <w:t>DRX cycle length [s]</w:t>
            </w:r>
          </w:p>
        </w:tc>
        <w:tc>
          <w:tcPr>
            <w:tcW w:w="1061" w:type="pct"/>
            <w:tcBorders>
              <w:top w:val="single" w:sz="4" w:space="0" w:color="auto"/>
              <w:left w:val="single" w:sz="4" w:space="0" w:color="auto"/>
              <w:bottom w:val="single" w:sz="4" w:space="0" w:color="auto"/>
              <w:right w:val="single" w:sz="4" w:space="0" w:color="auto"/>
            </w:tcBorders>
            <w:hideMark/>
          </w:tcPr>
          <w:p w14:paraId="2E69DCA2" w14:textId="77777777" w:rsidR="008B5183" w:rsidRPr="009C5807" w:rsidRDefault="008B5183" w:rsidP="001313A6">
            <w:pPr>
              <w:pStyle w:val="TAH"/>
            </w:pPr>
            <w:r w:rsidRPr="009C5807">
              <w:t>Scaling Factor (N1)</w:t>
            </w:r>
          </w:p>
        </w:tc>
        <w:tc>
          <w:tcPr>
            <w:tcW w:w="1111" w:type="pct"/>
            <w:vMerge w:val="restart"/>
            <w:tcBorders>
              <w:top w:val="single" w:sz="4" w:space="0" w:color="auto"/>
              <w:left w:val="single" w:sz="4" w:space="0" w:color="auto"/>
              <w:bottom w:val="single" w:sz="4" w:space="0" w:color="auto"/>
              <w:right w:val="single" w:sz="4" w:space="0" w:color="auto"/>
            </w:tcBorders>
            <w:hideMark/>
          </w:tcPr>
          <w:p w14:paraId="2E41F4B7" w14:textId="77777777" w:rsidR="008B5183" w:rsidRPr="009C5807" w:rsidRDefault="008B5183" w:rsidP="001313A6">
            <w:pPr>
              <w:pStyle w:val="TAH"/>
            </w:pPr>
            <w:r w:rsidRPr="009C5807">
              <w:t>T</w:t>
            </w:r>
            <w:r w:rsidRPr="009C5807">
              <w:rPr>
                <w:vertAlign w:val="subscript"/>
              </w:rPr>
              <w:t>detect,NR_</w:t>
            </w:r>
            <w:r w:rsidRPr="009C5807">
              <w:rPr>
                <w:rFonts w:cs="v4.2.0"/>
                <w:vertAlign w:val="subscript"/>
              </w:rPr>
              <w:t>Inter</w:t>
            </w:r>
            <w:r w:rsidRPr="009C5807">
              <w:t xml:space="preserve"> [s] (number of DRX cycles)</w:t>
            </w:r>
          </w:p>
        </w:tc>
        <w:tc>
          <w:tcPr>
            <w:tcW w:w="1112" w:type="pct"/>
            <w:vMerge w:val="restart"/>
            <w:tcBorders>
              <w:top w:val="single" w:sz="4" w:space="0" w:color="auto"/>
              <w:left w:val="single" w:sz="4" w:space="0" w:color="auto"/>
              <w:bottom w:val="single" w:sz="4" w:space="0" w:color="auto"/>
              <w:right w:val="single" w:sz="4" w:space="0" w:color="auto"/>
            </w:tcBorders>
            <w:hideMark/>
          </w:tcPr>
          <w:p w14:paraId="3355DD5C" w14:textId="77777777" w:rsidR="008B5183" w:rsidRPr="009C5807" w:rsidRDefault="008B5183" w:rsidP="001313A6">
            <w:pPr>
              <w:pStyle w:val="TAH"/>
            </w:pPr>
            <w:r w:rsidRPr="009C5807">
              <w:t>T</w:t>
            </w:r>
            <w:r w:rsidRPr="009C5807">
              <w:rPr>
                <w:vertAlign w:val="subscript"/>
              </w:rPr>
              <w:t>measure,NR_</w:t>
            </w:r>
            <w:r w:rsidRPr="009C5807">
              <w:rPr>
                <w:rFonts w:cs="v4.2.0"/>
                <w:vertAlign w:val="subscript"/>
              </w:rPr>
              <w:t>Inter</w:t>
            </w:r>
            <w:r w:rsidRPr="009C5807">
              <w:t xml:space="preserve"> [s] (number of DRX cycles)</w:t>
            </w:r>
          </w:p>
        </w:tc>
        <w:tc>
          <w:tcPr>
            <w:tcW w:w="1112" w:type="pct"/>
            <w:vMerge w:val="restart"/>
            <w:tcBorders>
              <w:top w:val="single" w:sz="4" w:space="0" w:color="auto"/>
              <w:left w:val="single" w:sz="4" w:space="0" w:color="auto"/>
              <w:bottom w:val="single" w:sz="4" w:space="0" w:color="auto"/>
              <w:right w:val="single" w:sz="4" w:space="0" w:color="auto"/>
            </w:tcBorders>
            <w:hideMark/>
          </w:tcPr>
          <w:p w14:paraId="0019D3D7" w14:textId="77777777" w:rsidR="008B5183" w:rsidRPr="009C5807" w:rsidRDefault="008B5183" w:rsidP="001313A6">
            <w:pPr>
              <w:pStyle w:val="TAH"/>
            </w:pPr>
            <w:r w:rsidRPr="009C5807">
              <w:t>T</w:t>
            </w:r>
            <w:r w:rsidRPr="009C5807">
              <w:rPr>
                <w:vertAlign w:val="subscript"/>
              </w:rPr>
              <w:t>evaluate,NR_</w:t>
            </w:r>
            <w:r w:rsidRPr="009C5807">
              <w:rPr>
                <w:rFonts w:cs="v4.2.0"/>
                <w:vertAlign w:val="subscript"/>
              </w:rPr>
              <w:t>Inter</w:t>
            </w:r>
            <w:r w:rsidRPr="009C5807">
              <w:rPr>
                <w:rFonts w:cs="Arial"/>
              </w:rPr>
              <w:t xml:space="preserve"> </w:t>
            </w:r>
            <w:r w:rsidRPr="009C5807">
              <w:t>[s] (number of DRX cycles)</w:t>
            </w:r>
          </w:p>
        </w:tc>
      </w:tr>
      <w:tr w:rsidR="008B5183" w:rsidRPr="009C5807" w14:paraId="5F7CFB7F" w14:textId="77777777" w:rsidTr="001313A6">
        <w:trPr>
          <w:cantSplit/>
          <w:trHeight w:val="3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EEAC20" w14:textId="77777777" w:rsidR="008B5183" w:rsidRPr="009C5807" w:rsidRDefault="008B5183" w:rsidP="001313A6">
            <w:pPr>
              <w:pStyle w:val="TAH"/>
            </w:pPr>
          </w:p>
        </w:tc>
        <w:tc>
          <w:tcPr>
            <w:tcW w:w="1061" w:type="pct"/>
            <w:tcBorders>
              <w:top w:val="single" w:sz="4" w:space="0" w:color="auto"/>
              <w:left w:val="single" w:sz="4" w:space="0" w:color="auto"/>
              <w:bottom w:val="single" w:sz="4" w:space="0" w:color="auto"/>
              <w:right w:val="single" w:sz="4" w:space="0" w:color="auto"/>
            </w:tcBorders>
            <w:hideMark/>
          </w:tcPr>
          <w:p w14:paraId="434E1C85" w14:textId="77777777" w:rsidR="008B5183" w:rsidRPr="009C5807" w:rsidRDefault="008B5183" w:rsidP="001313A6">
            <w:pPr>
              <w:pStyle w:val="TAH"/>
              <w:rPr>
                <w:vertAlign w:val="superscript"/>
              </w:rPr>
            </w:pPr>
            <w:r w:rsidRPr="009C5807">
              <w:t>FR1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A8EC71" w14:textId="77777777" w:rsidR="008B5183" w:rsidRPr="009C5807" w:rsidRDefault="008B5183" w:rsidP="001313A6">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836186" w14:textId="77777777" w:rsidR="008B5183" w:rsidRPr="009C5807" w:rsidRDefault="008B5183" w:rsidP="001313A6">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412D8C" w14:textId="77777777" w:rsidR="008B5183" w:rsidRPr="009C5807" w:rsidRDefault="008B5183" w:rsidP="001313A6">
            <w:pPr>
              <w:pStyle w:val="TAH"/>
            </w:pPr>
          </w:p>
        </w:tc>
      </w:tr>
      <w:tr w:rsidR="008B5183" w:rsidRPr="009C5807" w14:paraId="6E826DF5"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58C91459" w14:textId="77777777" w:rsidR="008B5183" w:rsidRPr="009C5807" w:rsidRDefault="008B5183" w:rsidP="001313A6">
            <w:pPr>
              <w:pStyle w:val="TAC"/>
            </w:pPr>
            <w:r w:rsidRPr="009C5807">
              <w:t>0.32</w:t>
            </w:r>
          </w:p>
        </w:tc>
        <w:tc>
          <w:tcPr>
            <w:tcW w:w="1" w:type="pct"/>
            <w:vMerge w:val="restart"/>
            <w:tcBorders>
              <w:top w:val="single" w:sz="4" w:space="0" w:color="auto"/>
              <w:left w:val="single" w:sz="4" w:space="0" w:color="auto"/>
              <w:right w:val="single" w:sz="4" w:space="0" w:color="auto"/>
            </w:tcBorders>
            <w:hideMark/>
          </w:tcPr>
          <w:p w14:paraId="351E810F" w14:textId="77777777" w:rsidR="008B5183" w:rsidRPr="009C5807" w:rsidRDefault="008B5183" w:rsidP="001313A6">
            <w:pPr>
              <w:pStyle w:val="TAC"/>
            </w:pPr>
            <w:r w:rsidRPr="009C5807">
              <w:t>1</w:t>
            </w:r>
          </w:p>
        </w:tc>
        <w:tc>
          <w:tcPr>
            <w:tcW w:w="1111" w:type="pct"/>
            <w:tcBorders>
              <w:top w:val="single" w:sz="4" w:space="0" w:color="auto"/>
              <w:left w:val="single" w:sz="4" w:space="0" w:color="auto"/>
              <w:bottom w:val="single" w:sz="4" w:space="0" w:color="auto"/>
              <w:right w:val="single" w:sz="4" w:space="0" w:color="auto"/>
            </w:tcBorders>
            <w:hideMark/>
          </w:tcPr>
          <w:p w14:paraId="6E49F769" w14:textId="77777777" w:rsidR="008B5183" w:rsidRPr="009C5807" w:rsidRDefault="008B5183" w:rsidP="001313A6">
            <w:pPr>
              <w:pStyle w:val="TAC"/>
            </w:pPr>
            <w:r w:rsidRPr="009C5807">
              <w:t xml:space="preserve">11.52 x N1 </w:t>
            </w:r>
            <w:r w:rsidRPr="009C5807">
              <w:rPr>
                <w:rFonts w:cs="Arial"/>
                <w:lang w:eastAsia="zh-CN"/>
              </w:rPr>
              <w:t xml:space="preserve">x 1.5 </w:t>
            </w:r>
            <w:r w:rsidRPr="009C5807">
              <w:t>(36 x N1</w:t>
            </w:r>
            <w:r w:rsidRPr="009C5807">
              <w:rPr>
                <w:rFonts w:cs="Arial"/>
                <w:lang w:eastAsia="zh-CN"/>
              </w:rPr>
              <w:t xml:space="preserve"> x 1.5</w:t>
            </w:r>
            <w:r w:rsidRPr="009C5807">
              <w:t>)</w:t>
            </w:r>
          </w:p>
        </w:tc>
        <w:tc>
          <w:tcPr>
            <w:tcW w:w="1112" w:type="pct"/>
            <w:tcBorders>
              <w:top w:val="single" w:sz="4" w:space="0" w:color="auto"/>
              <w:left w:val="single" w:sz="4" w:space="0" w:color="auto"/>
              <w:bottom w:val="single" w:sz="4" w:space="0" w:color="auto"/>
              <w:right w:val="single" w:sz="4" w:space="0" w:color="auto"/>
            </w:tcBorders>
            <w:hideMark/>
          </w:tcPr>
          <w:p w14:paraId="26A5649E" w14:textId="77777777" w:rsidR="008B5183" w:rsidRPr="009C5807" w:rsidRDefault="008B5183" w:rsidP="001313A6">
            <w:pPr>
              <w:pStyle w:val="TAC"/>
            </w:pPr>
            <w:r w:rsidRPr="009C5807">
              <w:t xml:space="preserve">1.28 x N1 </w:t>
            </w:r>
            <w:r w:rsidRPr="009C5807">
              <w:rPr>
                <w:rFonts w:cs="Arial"/>
                <w:lang w:eastAsia="zh-CN"/>
              </w:rPr>
              <w:t xml:space="preserve">x 1.5 </w:t>
            </w:r>
            <w:r w:rsidRPr="009C5807">
              <w:t>(4 x N1</w:t>
            </w:r>
            <w:r w:rsidRPr="009C5807">
              <w:rPr>
                <w:rFonts w:cs="Arial"/>
                <w:lang w:eastAsia="zh-CN"/>
              </w:rPr>
              <w:t xml:space="preserve"> x 1.5</w:t>
            </w:r>
            <w:r w:rsidRPr="009C5807">
              <w:t>)</w:t>
            </w:r>
          </w:p>
        </w:tc>
        <w:tc>
          <w:tcPr>
            <w:tcW w:w="1112" w:type="pct"/>
            <w:tcBorders>
              <w:top w:val="single" w:sz="4" w:space="0" w:color="auto"/>
              <w:left w:val="single" w:sz="4" w:space="0" w:color="auto"/>
              <w:bottom w:val="single" w:sz="4" w:space="0" w:color="auto"/>
              <w:right w:val="single" w:sz="4" w:space="0" w:color="auto"/>
            </w:tcBorders>
            <w:hideMark/>
          </w:tcPr>
          <w:p w14:paraId="3211C369" w14:textId="77777777" w:rsidR="008B5183" w:rsidRPr="009C5807" w:rsidRDefault="008B5183" w:rsidP="001313A6">
            <w:pPr>
              <w:pStyle w:val="TAC"/>
            </w:pPr>
            <w:r w:rsidRPr="009C5807">
              <w:t xml:space="preserve">5.12 x N1 </w:t>
            </w:r>
            <w:r w:rsidRPr="009C5807">
              <w:rPr>
                <w:rFonts w:cs="Arial"/>
                <w:lang w:eastAsia="zh-CN"/>
              </w:rPr>
              <w:t xml:space="preserve">x 1.5 </w:t>
            </w:r>
            <w:r w:rsidRPr="009C5807">
              <w:t>(16 x N1</w:t>
            </w:r>
            <w:r w:rsidRPr="009C5807">
              <w:rPr>
                <w:rFonts w:cs="Arial"/>
                <w:lang w:eastAsia="zh-CN"/>
              </w:rPr>
              <w:t xml:space="preserve"> x 1.5</w:t>
            </w:r>
            <w:r w:rsidRPr="009C5807">
              <w:t>)</w:t>
            </w:r>
          </w:p>
        </w:tc>
      </w:tr>
      <w:tr w:rsidR="008B5183" w:rsidRPr="009C5807" w14:paraId="24B7063C"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1CC12F8A" w14:textId="77777777" w:rsidR="008B5183" w:rsidRPr="009C5807" w:rsidRDefault="008B5183" w:rsidP="001313A6">
            <w:pPr>
              <w:pStyle w:val="TAC"/>
            </w:pPr>
            <w:r w:rsidRPr="009C5807">
              <w:t>0.64</w:t>
            </w:r>
          </w:p>
        </w:tc>
        <w:tc>
          <w:tcPr>
            <w:tcW w:w="1061" w:type="pct"/>
            <w:vMerge/>
            <w:tcBorders>
              <w:left w:val="single" w:sz="4" w:space="0" w:color="auto"/>
              <w:right w:val="single" w:sz="4" w:space="0" w:color="auto"/>
            </w:tcBorders>
            <w:hideMark/>
          </w:tcPr>
          <w:p w14:paraId="3A498B63" w14:textId="77777777" w:rsidR="008B5183" w:rsidRPr="009C5807" w:rsidRDefault="008B5183" w:rsidP="001313A6">
            <w:pPr>
              <w:pStyle w:val="TAC"/>
            </w:pPr>
          </w:p>
        </w:tc>
        <w:tc>
          <w:tcPr>
            <w:tcW w:w="1111" w:type="pct"/>
            <w:tcBorders>
              <w:top w:val="single" w:sz="4" w:space="0" w:color="auto"/>
              <w:left w:val="single" w:sz="4" w:space="0" w:color="auto"/>
              <w:bottom w:val="single" w:sz="4" w:space="0" w:color="auto"/>
              <w:right w:val="single" w:sz="4" w:space="0" w:color="auto"/>
            </w:tcBorders>
            <w:hideMark/>
          </w:tcPr>
          <w:p w14:paraId="32752F08" w14:textId="77777777" w:rsidR="008B5183" w:rsidRPr="009C5807" w:rsidRDefault="008B5183" w:rsidP="001313A6">
            <w:pPr>
              <w:pStyle w:val="TAC"/>
            </w:pPr>
            <w:r w:rsidRPr="009C5807">
              <w:t>17.92x N1 (28 x N1)</w:t>
            </w:r>
          </w:p>
        </w:tc>
        <w:tc>
          <w:tcPr>
            <w:tcW w:w="1112" w:type="pct"/>
            <w:tcBorders>
              <w:top w:val="single" w:sz="4" w:space="0" w:color="auto"/>
              <w:left w:val="single" w:sz="4" w:space="0" w:color="auto"/>
              <w:bottom w:val="single" w:sz="4" w:space="0" w:color="auto"/>
              <w:right w:val="single" w:sz="4" w:space="0" w:color="auto"/>
            </w:tcBorders>
            <w:hideMark/>
          </w:tcPr>
          <w:p w14:paraId="549A061E" w14:textId="77777777" w:rsidR="008B5183" w:rsidRPr="009C5807" w:rsidRDefault="008B5183" w:rsidP="001313A6">
            <w:pPr>
              <w:pStyle w:val="TAC"/>
            </w:pPr>
            <w:r w:rsidRPr="009C5807">
              <w:t>1.28 x N1 (2 x N1)</w:t>
            </w:r>
          </w:p>
        </w:tc>
        <w:tc>
          <w:tcPr>
            <w:tcW w:w="1112" w:type="pct"/>
            <w:tcBorders>
              <w:top w:val="single" w:sz="4" w:space="0" w:color="auto"/>
              <w:left w:val="single" w:sz="4" w:space="0" w:color="auto"/>
              <w:bottom w:val="single" w:sz="4" w:space="0" w:color="auto"/>
              <w:right w:val="single" w:sz="4" w:space="0" w:color="auto"/>
            </w:tcBorders>
            <w:hideMark/>
          </w:tcPr>
          <w:p w14:paraId="33E9A04A" w14:textId="77777777" w:rsidR="008B5183" w:rsidRPr="009C5807" w:rsidRDefault="008B5183" w:rsidP="001313A6">
            <w:pPr>
              <w:pStyle w:val="TAC"/>
            </w:pPr>
            <w:r w:rsidRPr="009C5807">
              <w:t>5.12 x N1 (8 x N1)</w:t>
            </w:r>
          </w:p>
        </w:tc>
      </w:tr>
      <w:tr w:rsidR="008B5183" w:rsidRPr="009C5807" w14:paraId="4C0DE4D6"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1C76ECFD" w14:textId="77777777" w:rsidR="008B5183" w:rsidRPr="009C5807" w:rsidRDefault="008B5183" w:rsidP="001313A6">
            <w:pPr>
              <w:pStyle w:val="TAC"/>
            </w:pPr>
            <w:r w:rsidRPr="009C5807">
              <w:t>1.28</w:t>
            </w:r>
          </w:p>
        </w:tc>
        <w:tc>
          <w:tcPr>
            <w:tcW w:w="1061" w:type="pct"/>
            <w:vMerge/>
            <w:tcBorders>
              <w:left w:val="single" w:sz="4" w:space="0" w:color="auto"/>
              <w:right w:val="single" w:sz="4" w:space="0" w:color="auto"/>
            </w:tcBorders>
            <w:hideMark/>
          </w:tcPr>
          <w:p w14:paraId="196E5A70" w14:textId="77777777" w:rsidR="008B5183" w:rsidRPr="009C5807" w:rsidRDefault="008B5183" w:rsidP="001313A6">
            <w:pPr>
              <w:pStyle w:val="TAC"/>
            </w:pPr>
          </w:p>
        </w:tc>
        <w:tc>
          <w:tcPr>
            <w:tcW w:w="1111" w:type="pct"/>
            <w:tcBorders>
              <w:top w:val="single" w:sz="4" w:space="0" w:color="auto"/>
              <w:left w:val="single" w:sz="4" w:space="0" w:color="auto"/>
              <w:bottom w:val="single" w:sz="4" w:space="0" w:color="auto"/>
              <w:right w:val="single" w:sz="4" w:space="0" w:color="auto"/>
            </w:tcBorders>
            <w:hideMark/>
          </w:tcPr>
          <w:p w14:paraId="39903AD4" w14:textId="77777777" w:rsidR="008B5183" w:rsidRPr="009C5807" w:rsidRDefault="008B5183" w:rsidP="001313A6">
            <w:pPr>
              <w:pStyle w:val="TAC"/>
            </w:pPr>
            <w:r w:rsidRPr="009C5807">
              <w:t>32 x N1 (25 x N1)</w:t>
            </w:r>
          </w:p>
        </w:tc>
        <w:tc>
          <w:tcPr>
            <w:tcW w:w="1112" w:type="pct"/>
            <w:tcBorders>
              <w:top w:val="single" w:sz="4" w:space="0" w:color="auto"/>
              <w:left w:val="single" w:sz="4" w:space="0" w:color="auto"/>
              <w:bottom w:val="single" w:sz="4" w:space="0" w:color="auto"/>
              <w:right w:val="single" w:sz="4" w:space="0" w:color="auto"/>
            </w:tcBorders>
            <w:hideMark/>
          </w:tcPr>
          <w:p w14:paraId="6D2D9D12" w14:textId="77777777" w:rsidR="008B5183" w:rsidRPr="009C5807" w:rsidRDefault="008B5183" w:rsidP="001313A6">
            <w:pPr>
              <w:pStyle w:val="TAC"/>
            </w:pPr>
            <w:r w:rsidRPr="009C5807">
              <w:t>1.28 x N1 (1 x N1)</w:t>
            </w:r>
          </w:p>
        </w:tc>
        <w:tc>
          <w:tcPr>
            <w:tcW w:w="1112" w:type="pct"/>
            <w:tcBorders>
              <w:top w:val="single" w:sz="4" w:space="0" w:color="auto"/>
              <w:left w:val="single" w:sz="4" w:space="0" w:color="auto"/>
              <w:bottom w:val="single" w:sz="4" w:space="0" w:color="auto"/>
              <w:right w:val="single" w:sz="4" w:space="0" w:color="auto"/>
            </w:tcBorders>
            <w:hideMark/>
          </w:tcPr>
          <w:p w14:paraId="09EFB560" w14:textId="77777777" w:rsidR="008B5183" w:rsidRPr="009C5807" w:rsidRDefault="008B5183" w:rsidP="001313A6">
            <w:pPr>
              <w:pStyle w:val="TAC"/>
            </w:pPr>
            <w:r w:rsidRPr="009C5807">
              <w:t>6.4 x N1 (5 x N1)</w:t>
            </w:r>
          </w:p>
        </w:tc>
      </w:tr>
      <w:tr w:rsidR="008B5183" w:rsidRPr="009C5807" w14:paraId="7C7F4BFC" w14:textId="77777777" w:rsidTr="001313A6">
        <w:trPr>
          <w:cantSplit/>
          <w:jc w:val="center"/>
        </w:trPr>
        <w:tc>
          <w:tcPr>
            <w:tcW w:w="604" w:type="pct"/>
            <w:tcBorders>
              <w:top w:val="single" w:sz="4" w:space="0" w:color="auto"/>
              <w:left w:val="single" w:sz="4" w:space="0" w:color="auto"/>
              <w:bottom w:val="single" w:sz="4" w:space="0" w:color="auto"/>
              <w:right w:val="single" w:sz="4" w:space="0" w:color="auto"/>
            </w:tcBorders>
            <w:hideMark/>
          </w:tcPr>
          <w:p w14:paraId="4C10D217" w14:textId="77777777" w:rsidR="008B5183" w:rsidRPr="009C5807" w:rsidRDefault="008B5183" w:rsidP="001313A6">
            <w:pPr>
              <w:pStyle w:val="TAC"/>
            </w:pPr>
            <w:r w:rsidRPr="009C5807">
              <w:t>2.56</w:t>
            </w:r>
          </w:p>
        </w:tc>
        <w:tc>
          <w:tcPr>
            <w:tcW w:w="1061" w:type="pct"/>
            <w:vMerge/>
            <w:tcBorders>
              <w:left w:val="single" w:sz="4" w:space="0" w:color="auto"/>
              <w:bottom w:val="single" w:sz="4" w:space="0" w:color="auto"/>
              <w:right w:val="single" w:sz="4" w:space="0" w:color="auto"/>
            </w:tcBorders>
            <w:hideMark/>
          </w:tcPr>
          <w:p w14:paraId="3C5888DC" w14:textId="77777777" w:rsidR="008B5183" w:rsidRPr="009C5807" w:rsidRDefault="008B5183" w:rsidP="001313A6">
            <w:pPr>
              <w:pStyle w:val="TAC"/>
            </w:pPr>
          </w:p>
        </w:tc>
        <w:tc>
          <w:tcPr>
            <w:tcW w:w="1111" w:type="pct"/>
            <w:tcBorders>
              <w:top w:val="single" w:sz="4" w:space="0" w:color="auto"/>
              <w:left w:val="single" w:sz="4" w:space="0" w:color="auto"/>
              <w:bottom w:val="single" w:sz="4" w:space="0" w:color="auto"/>
              <w:right w:val="single" w:sz="4" w:space="0" w:color="auto"/>
            </w:tcBorders>
            <w:hideMark/>
          </w:tcPr>
          <w:p w14:paraId="2B8724DC" w14:textId="77777777" w:rsidR="008B5183" w:rsidRPr="009C5807" w:rsidRDefault="008B5183" w:rsidP="001313A6">
            <w:pPr>
              <w:pStyle w:val="TAC"/>
            </w:pPr>
            <w:r w:rsidRPr="009C5807">
              <w:t>58.88 x N1 (23 x N1)</w:t>
            </w:r>
          </w:p>
        </w:tc>
        <w:tc>
          <w:tcPr>
            <w:tcW w:w="1112" w:type="pct"/>
            <w:tcBorders>
              <w:top w:val="single" w:sz="4" w:space="0" w:color="auto"/>
              <w:left w:val="single" w:sz="4" w:space="0" w:color="auto"/>
              <w:bottom w:val="single" w:sz="4" w:space="0" w:color="auto"/>
              <w:right w:val="single" w:sz="4" w:space="0" w:color="auto"/>
            </w:tcBorders>
            <w:hideMark/>
          </w:tcPr>
          <w:p w14:paraId="7A9DC397" w14:textId="77777777" w:rsidR="008B5183" w:rsidRPr="009C5807" w:rsidRDefault="008B5183" w:rsidP="001313A6">
            <w:pPr>
              <w:pStyle w:val="TAC"/>
            </w:pPr>
            <w:r w:rsidRPr="009C5807">
              <w:t>2.56 x N1 (1 x N1)</w:t>
            </w:r>
          </w:p>
        </w:tc>
        <w:tc>
          <w:tcPr>
            <w:tcW w:w="1112" w:type="pct"/>
            <w:tcBorders>
              <w:top w:val="single" w:sz="4" w:space="0" w:color="auto"/>
              <w:left w:val="single" w:sz="4" w:space="0" w:color="auto"/>
              <w:bottom w:val="single" w:sz="4" w:space="0" w:color="auto"/>
              <w:right w:val="single" w:sz="4" w:space="0" w:color="auto"/>
            </w:tcBorders>
            <w:hideMark/>
          </w:tcPr>
          <w:p w14:paraId="1165767D" w14:textId="77777777" w:rsidR="008B5183" w:rsidRPr="009C5807" w:rsidRDefault="008B5183" w:rsidP="001313A6">
            <w:pPr>
              <w:pStyle w:val="TAC"/>
            </w:pPr>
            <w:r w:rsidRPr="009C5807">
              <w:t>7.68 x N1 (3 x N1)</w:t>
            </w:r>
          </w:p>
        </w:tc>
      </w:tr>
      <w:tr w:rsidR="008B5183" w:rsidRPr="00812367" w14:paraId="14461158" w14:textId="77777777" w:rsidTr="001313A6">
        <w:trPr>
          <w:cantSplit/>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3A92F3B0" w14:textId="77777777" w:rsidR="008B5183" w:rsidRPr="00812367" w:rsidRDefault="008B5183" w:rsidP="001313A6">
            <w:pPr>
              <w:pStyle w:val="TAN"/>
            </w:pPr>
            <w:r w:rsidRPr="00812367">
              <w:rPr>
                <w:snapToGrid w:val="0"/>
                <w:lang w:eastAsia="zh-CN"/>
              </w:rPr>
              <w:t>Note 1</w:t>
            </w:r>
            <w:r w:rsidRPr="00812367">
              <w:t>:</w:t>
            </w:r>
            <w:r w:rsidRPr="00812367">
              <w:rPr>
                <w:lang w:val="en-US"/>
              </w:rPr>
              <w:tab/>
            </w:r>
            <w:r w:rsidRPr="00812367">
              <w:rPr>
                <w:szCs w:val="24"/>
                <w:lang w:eastAsia="zh-CN"/>
              </w:rPr>
              <w:t>UE is not required to fulfil the requirements for 2.56s DRX cycle length for earth-moving LEO deployment</w:t>
            </w:r>
            <w:r w:rsidRPr="00812367">
              <w:t>.</w:t>
            </w:r>
          </w:p>
          <w:p w14:paraId="329B8B91" w14:textId="77777777" w:rsidR="008B5183" w:rsidRPr="00812367" w:rsidRDefault="008B5183" w:rsidP="001313A6">
            <w:pPr>
              <w:pStyle w:val="TAN"/>
            </w:pPr>
          </w:p>
        </w:tc>
      </w:tr>
    </w:tbl>
    <w:p w14:paraId="5F142460" w14:textId="77777777" w:rsidR="008B5183" w:rsidRDefault="008B5183" w:rsidP="008B5183">
      <w:pPr>
        <w:rPr>
          <w:lang w:eastAsia="zh-CN"/>
        </w:rPr>
      </w:pPr>
    </w:p>
    <w:p w14:paraId="22C454B0" w14:textId="77777777" w:rsidR="008B5183" w:rsidRDefault="008B5183" w:rsidP="008B5183">
      <w:pPr>
        <w:pStyle w:val="TH"/>
        <w:rPr>
          <w:vertAlign w:val="subscript"/>
        </w:rPr>
      </w:pPr>
      <w:r w:rsidRPr="009C5807">
        <w:t xml:space="preserve">Table </w:t>
      </w:r>
      <w:r>
        <w:t>4.2C.</w:t>
      </w:r>
      <w:r w:rsidRPr="009C5807">
        <w:t>2.4-</w:t>
      </w:r>
      <w:r>
        <w:t>2</w:t>
      </w:r>
      <w:r w:rsidRPr="009C5807">
        <w:t>: T</w:t>
      </w:r>
      <w:r w:rsidRPr="009C5807">
        <w:rPr>
          <w:vertAlign w:val="subscript"/>
        </w:rPr>
        <w:t>detect,NR_Inter</w:t>
      </w:r>
      <w:r>
        <w:rPr>
          <w:vertAlign w:val="subscript"/>
        </w:rPr>
        <w:t>_</w:t>
      </w:r>
      <w:r>
        <w:rPr>
          <w:rFonts w:cs="v4.2.0"/>
          <w:vertAlign w:val="subscript"/>
        </w:rPr>
        <w:t>enh</w:t>
      </w:r>
      <w:r w:rsidRPr="009C5807">
        <w:rPr>
          <w:vertAlign w:val="subscript"/>
        </w:rPr>
        <w:t>,</w:t>
      </w:r>
      <w:r w:rsidRPr="009C5807">
        <w:t xml:space="preserve"> T</w:t>
      </w:r>
      <w:r w:rsidRPr="009C5807">
        <w:rPr>
          <w:vertAlign w:val="subscript"/>
        </w:rPr>
        <w:t>measure,NR_Inter</w:t>
      </w:r>
      <w:r>
        <w:rPr>
          <w:vertAlign w:val="subscript"/>
        </w:rPr>
        <w:t>_</w:t>
      </w:r>
      <w:r>
        <w:rPr>
          <w:rFonts w:cs="v4.2.0"/>
          <w:vertAlign w:val="subscript"/>
        </w:rPr>
        <w:t>enh</w:t>
      </w:r>
      <w:r w:rsidRPr="009C5807">
        <w:t xml:space="preserve"> and T</w:t>
      </w:r>
      <w:r w:rsidRPr="009C5807">
        <w:rPr>
          <w:vertAlign w:val="subscript"/>
        </w:rPr>
        <w:t>evaluate,NR_Inter</w:t>
      </w:r>
      <w:r>
        <w:rPr>
          <w:vertAlign w:val="subscript"/>
        </w:rPr>
        <w:t>_</w:t>
      </w:r>
      <w:r w:rsidRPr="00F110D3">
        <w:rPr>
          <w:vertAlign w:val="subscript"/>
        </w:rPr>
        <w:t>enh</w:t>
      </w:r>
    </w:p>
    <w:tbl>
      <w:tblPr>
        <w:tblW w:w="41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2232"/>
        <w:gridCol w:w="2410"/>
        <w:gridCol w:w="2126"/>
      </w:tblGrid>
      <w:tr w:rsidR="008B5183" w:rsidRPr="00542EC9" w14:paraId="08EEEC78" w14:textId="77777777" w:rsidTr="001313A6">
        <w:trPr>
          <w:cantSplit/>
          <w:trHeight w:val="310"/>
          <w:jc w:val="center"/>
        </w:trPr>
        <w:tc>
          <w:tcPr>
            <w:tcW w:w="734" w:type="pct"/>
            <w:vMerge w:val="restart"/>
            <w:tcBorders>
              <w:top w:val="single" w:sz="4" w:space="0" w:color="auto"/>
              <w:left w:val="single" w:sz="4" w:space="0" w:color="auto"/>
              <w:bottom w:val="single" w:sz="4" w:space="0" w:color="auto"/>
              <w:right w:val="single" w:sz="4" w:space="0" w:color="auto"/>
            </w:tcBorders>
            <w:hideMark/>
          </w:tcPr>
          <w:p w14:paraId="60F1A74C" w14:textId="77777777" w:rsidR="008B5183" w:rsidRPr="00542EC9" w:rsidRDefault="008B5183" w:rsidP="001313A6">
            <w:pPr>
              <w:pStyle w:val="TAH"/>
            </w:pPr>
            <w:r w:rsidRPr="00542EC9">
              <w:t>DRX cycle length [s]</w:t>
            </w:r>
          </w:p>
        </w:tc>
        <w:tc>
          <w:tcPr>
            <w:tcW w:w="1407" w:type="pct"/>
            <w:vMerge w:val="restart"/>
            <w:tcBorders>
              <w:top w:val="single" w:sz="4" w:space="0" w:color="auto"/>
              <w:left w:val="single" w:sz="4" w:space="0" w:color="auto"/>
              <w:bottom w:val="single" w:sz="4" w:space="0" w:color="auto"/>
              <w:right w:val="single" w:sz="4" w:space="0" w:color="auto"/>
            </w:tcBorders>
            <w:hideMark/>
          </w:tcPr>
          <w:p w14:paraId="31ABF3C4" w14:textId="77777777" w:rsidR="008B5183" w:rsidRPr="00542EC9" w:rsidRDefault="008B5183" w:rsidP="001313A6">
            <w:pPr>
              <w:pStyle w:val="TAH"/>
            </w:pPr>
            <w:r w:rsidRPr="00542EC9">
              <w:t>T</w:t>
            </w:r>
            <w:r w:rsidRPr="00542EC9">
              <w:rPr>
                <w:vertAlign w:val="subscript"/>
              </w:rPr>
              <w:t>detect,NR_</w:t>
            </w:r>
            <w:r w:rsidRPr="00542EC9">
              <w:rPr>
                <w:rFonts w:cs="v4.2.0"/>
                <w:vertAlign w:val="subscript"/>
              </w:rPr>
              <w:t>Inter_</w:t>
            </w:r>
            <w:r w:rsidRPr="00F110D3">
              <w:rPr>
                <w:rFonts w:cs="v4.2.0"/>
                <w:vertAlign w:val="subscript"/>
              </w:rPr>
              <w:t>enh</w:t>
            </w:r>
            <w:r w:rsidRPr="00542EC9">
              <w:t xml:space="preserve"> [s] (number of DRX cycles)</w:t>
            </w:r>
          </w:p>
        </w:tc>
        <w:tc>
          <w:tcPr>
            <w:tcW w:w="1519" w:type="pct"/>
            <w:vMerge w:val="restart"/>
            <w:tcBorders>
              <w:top w:val="single" w:sz="4" w:space="0" w:color="auto"/>
              <w:left w:val="single" w:sz="4" w:space="0" w:color="auto"/>
              <w:bottom w:val="single" w:sz="4" w:space="0" w:color="auto"/>
              <w:right w:val="single" w:sz="4" w:space="0" w:color="auto"/>
            </w:tcBorders>
            <w:hideMark/>
          </w:tcPr>
          <w:p w14:paraId="2CB361EC" w14:textId="77777777" w:rsidR="008B5183" w:rsidRPr="00542EC9" w:rsidRDefault="008B5183" w:rsidP="001313A6">
            <w:pPr>
              <w:pStyle w:val="TAH"/>
            </w:pPr>
            <w:r w:rsidRPr="00542EC9">
              <w:t>T</w:t>
            </w:r>
            <w:r w:rsidRPr="00542EC9">
              <w:rPr>
                <w:vertAlign w:val="subscript"/>
              </w:rPr>
              <w:t>measure,NR_</w:t>
            </w:r>
            <w:r w:rsidRPr="00542EC9">
              <w:rPr>
                <w:rFonts w:cs="v4.2.0"/>
                <w:vertAlign w:val="subscript"/>
              </w:rPr>
              <w:t>Inter_</w:t>
            </w:r>
            <w:r w:rsidRPr="00F110D3">
              <w:rPr>
                <w:rFonts w:cs="v4.2.0"/>
                <w:vertAlign w:val="subscript"/>
              </w:rPr>
              <w:t>enh</w:t>
            </w:r>
            <w:r w:rsidRPr="00542EC9">
              <w:t xml:space="preserve"> [s] (number of DRX cycles)</w:t>
            </w:r>
          </w:p>
        </w:tc>
        <w:tc>
          <w:tcPr>
            <w:tcW w:w="1340" w:type="pct"/>
            <w:vMerge w:val="restart"/>
            <w:tcBorders>
              <w:top w:val="single" w:sz="4" w:space="0" w:color="auto"/>
              <w:left w:val="single" w:sz="4" w:space="0" w:color="auto"/>
              <w:bottom w:val="single" w:sz="4" w:space="0" w:color="auto"/>
              <w:right w:val="single" w:sz="4" w:space="0" w:color="auto"/>
            </w:tcBorders>
            <w:hideMark/>
          </w:tcPr>
          <w:p w14:paraId="78C06BA7" w14:textId="77777777" w:rsidR="008B5183" w:rsidRPr="00542EC9" w:rsidRDefault="008B5183" w:rsidP="001313A6">
            <w:pPr>
              <w:pStyle w:val="TAH"/>
            </w:pPr>
            <w:r w:rsidRPr="00542EC9">
              <w:t>T</w:t>
            </w:r>
            <w:r w:rsidRPr="00542EC9">
              <w:rPr>
                <w:vertAlign w:val="subscript"/>
              </w:rPr>
              <w:t>evaluate,NR_</w:t>
            </w:r>
            <w:r w:rsidRPr="00542EC9">
              <w:rPr>
                <w:rFonts w:cs="v4.2.0"/>
                <w:vertAlign w:val="subscript"/>
              </w:rPr>
              <w:t>Inter_</w:t>
            </w:r>
            <w:r w:rsidRPr="00F110D3">
              <w:rPr>
                <w:rFonts w:cs="v4.2.0"/>
                <w:vertAlign w:val="subscript"/>
              </w:rPr>
              <w:t>enh</w:t>
            </w:r>
            <w:r w:rsidRPr="00542EC9">
              <w:rPr>
                <w:rFonts w:cs="Arial"/>
              </w:rPr>
              <w:t xml:space="preserve"> </w:t>
            </w:r>
            <w:r w:rsidRPr="00542EC9">
              <w:t>[s] (number of DRX cycles)</w:t>
            </w:r>
          </w:p>
        </w:tc>
      </w:tr>
      <w:tr w:rsidR="008B5183" w:rsidRPr="00542EC9" w14:paraId="59B33F76" w14:textId="77777777" w:rsidTr="001313A6">
        <w:trPr>
          <w:cantSplit/>
          <w:trHeight w:val="3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F26261" w14:textId="77777777" w:rsidR="008B5183" w:rsidRPr="00542EC9" w:rsidRDefault="008B5183" w:rsidP="001313A6">
            <w:pPr>
              <w:keepNext/>
              <w:keepLines/>
              <w:spacing w:after="0"/>
              <w:jc w:val="center"/>
              <w:rPr>
                <w:rFonts w:ascii="Arial" w:eastAsia="Malgun Gothic" w:hAnsi="Arial"/>
                <w:b/>
                <w:sz w:val="18"/>
              </w:rPr>
            </w:pPr>
          </w:p>
        </w:tc>
        <w:tc>
          <w:tcPr>
            <w:tcW w:w="1407" w:type="pct"/>
            <w:vMerge/>
            <w:tcBorders>
              <w:top w:val="single" w:sz="4" w:space="0" w:color="auto"/>
              <w:left w:val="single" w:sz="4" w:space="0" w:color="auto"/>
              <w:bottom w:val="single" w:sz="4" w:space="0" w:color="auto"/>
              <w:right w:val="single" w:sz="4" w:space="0" w:color="auto"/>
            </w:tcBorders>
            <w:vAlign w:val="center"/>
            <w:hideMark/>
          </w:tcPr>
          <w:p w14:paraId="7DB4F236" w14:textId="77777777" w:rsidR="008B5183" w:rsidRPr="00542EC9" w:rsidRDefault="008B5183" w:rsidP="001313A6">
            <w:pPr>
              <w:keepNext/>
              <w:keepLines/>
              <w:spacing w:after="0"/>
              <w:jc w:val="center"/>
              <w:rPr>
                <w:rFonts w:ascii="Arial" w:eastAsia="Malgun Gothic" w:hAnsi="Arial"/>
                <w:b/>
                <w:sz w:val="18"/>
              </w:rPr>
            </w:pPr>
          </w:p>
        </w:tc>
        <w:tc>
          <w:tcPr>
            <w:tcW w:w="1519" w:type="pct"/>
            <w:vMerge/>
            <w:tcBorders>
              <w:top w:val="single" w:sz="4" w:space="0" w:color="auto"/>
              <w:left w:val="single" w:sz="4" w:space="0" w:color="auto"/>
              <w:bottom w:val="single" w:sz="4" w:space="0" w:color="auto"/>
              <w:right w:val="single" w:sz="4" w:space="0" w:color="auto"/>
            </w:tcBorders>
            <w:vAlign w:val="center"/>
            <w:hideMark/>
          </w:tcPr>
          <w:p w14:paraId="21BCECB1" w14:textId="77777777" w:rsidR="008B5183" w:rsidRPr="00542EC9" w:rsidRDefault="008B5183" w:rsidP="001313A6">
            <w:pPr>
              <w:keepNext/>
              <w:keepLines/>
              <w:spacing w:after="0"/>
              <w:jc w:val="center"/>
              <w:rPr>
                <w:rFonts w:ascii="Arial" w:eastAsia="Malgun Gothic" w:hAnsi="Arial"/>
                <w:b/>
                <w:sz w:val="18"/>
              </w:rPr>
            </w:pPr>
          </w:p>
        </w:tc>
        <w:tc>
          <w:tcPr>
            <w:tcW w:w="1340" w:type="pct"/>
            <w:vMerge/>
            <w:tcBorders>
              <w:top w:val="single" w:sz="4" w:space="0" w:color="auto"/>
              <w:left w:val="single" w:sz="4" w:space="0" w:color="auto"/>
              <w:bottom w:val="single" w:sz="4" w:space="0" w:color="auto"/>
              <w:right w:val="single" w:sz="4" w:space="0" w:color="auto"/>
            </w:tcBorders>
            <w:vAlign w:val="center"/>
            <w:hideMark/>
          </w:tcPr>
          <w:p w14:paraId="67D10B81" w14:textId="77777777" w:rsidR="008B5183" w:rsidRPr="00542EC9" w:rsidRDefault="008B5183" w:rsidP="001313A6">
            <w:pPr>
              <w:keepNext/>
              <w:keepLines/>
              <w:spacing w:after="0"/>
              <w:jc w:val="center"/>
              <w:rPr>
                <w:rFonts w:ascii="Arial" w:eastAsia="Malgun Gothic" w:hAnsi="Arial"/>
                <w:b/>
                <w:sz w:val="18"/>
              </w:rPr>
            </w:pPr>
          </w:p>
        </w:tc>
      </w:tr>
      <w:tr w:rsidR="008B5183" w:rsidRPr="00542EC9" w14:paraId="48D16579" w14:textId="77777777" w:rsidTr="001313A6">
        <w:trPr>
          <w:cantSplit/>
          <w:jc w:val="center"/>
        </w:trPr>
        <w:tc>
          <w:tcPr>
            <w:tcW w:w="734" w:type="pct"/>
            <w:tcBorders>
              <w:top w:val="single" w:sz="4" w:space="0" w:color="auto"/>
              <w:left w:val="single" w:sz="4" w:space="0" w:color="auto"/>
              <w:bottom w:val="single" w:sz="4" w:space="0" w:color="auto"/>
              <w:right w:val="single" w:sz="4" w:space="0" w:color="auto"/>
            </w:tcBorders>
            <w:hideMark/>
          </w:tcPr>
          <w:p w14:paraId="4C966569" w14:textId="77777777" w:rsidR="008B5183" w:rsidRPr="00542EC9" w:rsidRDefault="008B5183" w:rsidP="001313A6">
            <w:pPr>
              <w:pStyle w:val="TAC"/>
              <w:rPr>
                <w:rFonts w:eastAsia="Malgun Gothic"/>
              </w:rPr>
            </w:pPr>
            <w:r w:rsidRPr="00542EC9">
              <w:t>0.32</w:t>
            </w:r>
          </w:p>
        </w:tc>
        <w:tc>
          <w:tcPr>
            <w:tcW w:w="1407" w:type="pct"/>
            <w:tcBorders>
              <w:top w:val="single" w:sz="4" w:space="0" w:color="auto"/>
              <w:left w:val="single" w:sz="4" w:space="0" w:color="auto"/>
              <w:bottom w:val="single" w:sz="4" w:space="0" w:color="auto"/>
              <w:right w:val="single" w:sz="4" w:space="0" w:color="auto"/>
            </w:tcBorders>
            <w:hideMark/>
          </w:tcPr>
          <w:p w14:paraId="40BD5B4A" w14:textId="77777777" w:rsidR="008B5183" w:rsidRPr="00542EC9" w:rsidRDefault="008B5183" w:rsidP="001313A6">
            <w:pPr>
              <w:pStyle w:val="TAC"/>
              <w:rPr>
                <w:rFonts w:eastAsia="Malgun Gothic"/>
              </w:rPr>
            </w:pPr>
            <w:r w:rsidRPr="00542EC9">
              <w:rPr>
                <w:rFonts w:eastAsia="Malgun Gothic"/>
              </w:rPr>
              <w:t>[3.2 x M2 (10 x M2)]</w:t>
            </w:r>
            <w:r w:rsidRPr="00542EC9">
              <w:rPr>
                <w:vertAlign w:val="superscript"/>
              </w:rPr>
              <w:t xml:space="preserve"> Note 1</w:t>
            </w:r>
          </w:p>
        </w:tc>
        <w:tc>
          <w:tcPr>
            <w:tcW w:w="1519" w:type="pct"/>
            <w:tcBorders>
              <w:top w:val="single" w:sz="4" w:space="0" w:color="auto"/>
              <w:left w:val="single" w:sz="4" w:space="0" w:color="auto"/>
              <w:bottom w:val="single" w:sz="4" w:space="0" w:color="auto"/>
              <w:right w:val="single" w:sz="4" w:space="0" w:color="auto"/>
            </w:tcBorders>
            <w:hideMark/>
          </w:tcPr>
          <w:p w14:paraId="3B64002C" w14:textId="77777777" w:rsidR="008B5183" w:rsidRPr="00542EC9" w:rsidRDefault="008B5183" w:rsidP="001313A6">
            <w:pPr>
              <w:pStyle w:val="TAC"/>
              <w:rPr>
                <w:rFonts w:eastAsia="Malgun Gothic"/>
              </w:rPr>
            </w:pPr>
            <w:r w:rsidRPr="00542EC9">
              <w:rPr>
                <w:rFonts w:eastAsia="Malgun Gothic"/>
              </w:rPr>
              <w:t>[0.32 x M3 ([1] x M3)]</w:t>
            </w:r>
            <w:r w:rsidRPr="00542EC9">
              <w:rPr>
                <w:vertAlign w:val="superscript"/>
              </w:rPr>
              <w:t xml:space="preserve"> Note 1</w:t>
            </w:r>
          </w:p>
        </w:tc>
        <w:tc>
          <w:tcPr>
            <w:tcW w:w="1340" w:type="pct"/>
            <w:tcBorders>
              <w:top w:val="single" w:sz="4" w:space="0" w:color="auto"/>
              <w:left w:val="single" w:sz="4" w:space="0" w:color="auto"/>
              <w:bottom w:val="single" w:sz="4" w:space="0" w:color="auto"/>
              <w:right w:val="single" w:sz="4" w:space="0" w:color="auto"/>
            </w:tcBorders>
            <w:hideMark/>
          </w:tcPr>
          <w:p w14:paraId="06676D1B" w14:textId="77777777" w:rsidR="008B5183" w:rsidRPr="00542EC9" w:rsidRDefault="008B5183" w:rsidP="001313A6">
            <w:pPr>
              <w:pStyle w:val="TAC"/>
              <w:rPr>
                <w:rFonts w:eastAsia="Malgun Gothic"/>
              </w:rPr>
            </w:pPr>
            <w:r w:rsidRPr="00542EC9">
              <w:t>0.96 x M4 (3 x M4)</w:t>
            </w:r>
            <w:r w:rsidRPr="00542EC9">
              <w:rPr>
                <w:vertAlign w:val="superscript"/>
              </w:rPr>
              <w:t xml:space="preserve"> Note 1</w:t>
            </w:r>
          </w:p>
        </w:tc>
      </w:tr>
      <w:tr w:rsidR="008B5183" w:rsidRPr="00542EC9" w14:paraId="54EC4C1F" w14:textId="77777777" w:rsidTr="001313A6">
        <w:trPr>
          <w:cantSplit/>
          <w:jc w:val="center"/>
        </w:trPr>
        <w:tc>
          <w:tcPr>
            <w:tcW w:w="734" w:type="pct"/>
            <w:tcBorders>
              <w:top w:val="single" w:sz="4" w:space="0" w:color="auto"/>
              <w:left w:val="single" w:sz="4" w:space="0" w:color="auto"/>
              <w:bottom w:val="single" w:sz="4" w:space="0" w:color="auto"/>
              <w:right w:val="single" w:sz="4" w:space="0" w:color="auto"/>
            </w:tcBorders>
            <w:hideMark/>
          </w:tcPr>
          <w:p w14:paraId="242EA36F" w14:textId="77777777" w:rsidR="008B5183" w:rsidRPr="00542EC9" w:rsidRDefault="008B5183" w:rsidP="001313A6">
            <w:pPr>
              <w:pStyle w:val="TAC"/>
              <w:rPr>
                <w:rFonts w:eastAsia="Malgun Gothic"/>
              </w:rPr>
            </w:pPr>
            <w:r w:rsidRPr="00542EC9">
              <w:t>0.64</w:t>
            </w:r>
          </w:p>
        </w:tc>
        <w:tc>
          <w:tcPr>
            <w:tcW w:w="1407" w:type="pct"/>
            <w:tcBorders>
              <w:top w:val="single" w:sz="4" w:space="0" w:color="auto"/>
              <w:left w:val="single" w:sz="4" w:space="0" w:color="auto"/>
              <w:bottom w:val="single" w:sz="4" w:space="0" w:color="auto"/>
              <w:right w:val="single" w:sz="4" w:space="0" w:color="auto"/>
            </w:tcBorders>
            <w:hideMark/>
          </w:tcPr>
          <w:p w14:paraId="2C408FF3" w14:textId="77777777" w:rsidR="008B5183" w:rsidRPr="00542EC9" w:rsidRDefault="008B5183" w:rsidP="001313A6">
            <w:pPr>
              <w:pStyle w:val="TAC"/>
              <w:rPr>
                <w:rFonts w:eastAsia="Malgun Gothic"/>
              </w:rPr>
            </w:pPr>
            <w:r w:rsidRPr="00542EC9">
              <w:rPr>
                <w:rFonts w:eastAsia="Malgun Gothic"/>
              </w:rPr>
              <w:t>[6.4 (10)]</w:t>
            </w:r>
          </w:p>
        </w:tc>
        <w:tc>
          <w:tcPr>
            <w:tcW w:w="1519" w:type="pct"/>
            <w:tcBorders>
              <w:top w:val="single" w:sz="4" w:space="0" w:color="auto"/>
              <w:left w:val="single" w:sz="4" w:space="0" w:color="auto"/>
              <w:bottom w:val="single" w:sz="4" w:space="0" w:color="auto"/>
              <w:right w:val="single" w:sz="4" w:space="0" w:color="auto"/>
            </w:tcBorders>
            <w:hideMark/>
          </w:tcPr>
          <w:p w14:paraId="43DF20B7" w14:textId="77777777" w:rsidR="008B5183" w:rsidRPr="00542EC9" w:rsidRDefault="008B5183" w:rsidP="001313A6">
            <w:pPr>
              <w:pStyle w:val="TAC"/>
              <w:rPr>
                <w:rFonts w:eastAsia="Malgun Gothic"/>
              </w:rPr>
            </w:pPr>
            <w:r w:rsidRPr="00542EC9">
              <w:rPr>
                <w:rFonts w:eastAsia="Malgun Gothic"/>
              </w:rPr>
              <w:t>[0.64 (1)]</w:t>
            </w:r>
          </w:p>
        </w:tc>
        <w:tc>
          <w:tcPr>
            <w:tcW w:w="1340" w:type="pct"/>
            <w:tcBorders>
              <w:top w:val="single" w:sz="4" w:space="0" w:color="auto"/>
              <w:left w:val="single" w:sz="4" w:space="0" w:color="auto"/>
              <w:bottom w:val="single" w:sz="4" w:space="0" w:color="auto"/>
              <w:right w:val="single" w:sz="4" w:space="0" w:color="auto"/>
            </w:tcBorders>
            <w:hideMark/>
          </w:tcPr>
          <w:p w14:paraId="61F6D23D" w14:textId="77777777" w:rsidR="008B5183" w:rsidRPr="00542EC9" w:rsidRDefault="008B5183" w:rsidP="001313A6">
            <w:pPr>
              <w:pStyle w:val="TAC"/>
              <w:rPr>
                <w:rFonts w:eastAsia="Malgun Gothic"/>
              </w:rPr>
            </w:pPr>
            <w:r w:rsidRPr="00542EC9">
              <w:t>1.92 (3)</w:t>
            </w:r>
          </w:p>
        </w:tc>
      </w:tr>
      <w:tr w:rsidR="008B5183" w:rsidRPr="00542EC9" w14:paraId="7EF2FCDB" w14:textId="77777777" w:rsidTr="001313A6">
        <w:trPr>
          <w:cantSplit/>
          <w:jc w:val="center"/>
        </w:trPr>
        <w:tc>
          <w:tcPr>
            <w:tcW w:w="734" w:type="pct"/>
            <w:tcBorders>
              <w:top w:val="single" w:sz="4" w:space="0" w:color="auto"/>
              <w:left w:val="single" w:sz="4" w:space="0" w:color="auto"/>
              <w:bottom w:val="single" w:sz="4" w:space="0" w:color="auto"/>
              <w:right w:val="single" w:sz="4" w:space="0" w:color="auto"/>
            </w:tcBorders>
            <w:hideMark/>
          </w:tcPr>
          <w:p w14:paraId="08311290" w14:textId="77777777" w:rsidR="008B5183" w:rsidRPr="00542EC9" w:rsidRDefault="008B5183" w:rsidP="001313A6">
            <w:pPr>
              <w:pStyle w:val="TAC"/>
              <w:rPr>
                <w:rFonts w:eastAsia="Malgun Gothic"/>
              </w:rPr>
            </w:pPr>
            <w:r w:rsidRPr="00542EC9">
              <w:t>1.28</w:t>
            </w:r>
          </w:p>
        </w:tc>
        <w:tc>
          <w:tcPr>
            <w:tcW w:w="1407" w:type="pct"/>
            <w:tcBorders>
              <w:top w:val="single" w:sz="4" w:space="0" w:color="auto"/>
              <w:left w:val="single" w:sz="4" w:space="0" w:color="auto"/>
              <w:bottom w:val="single" w:sz="4" w:space="0" w:color="auto"/>
              <w:right w:val="single" w:sz="4" w:space="0" w:color="auto"/>
            </w:tcBorders>
            <w:hideMark/>
          </w:tcPr>
          <w:p w14:paraId="5DA1D4DC" w14:textId="77777777" w:rsidR="008B5183" w:rsidRPr="00542EC9" w:rsidRDefault="008B5183" w:rsidP="001313A6">
            <w:pPr>
              <w:pStyle w:val="TAC"/>
              <w:rPr>
                <w:rFonts w:eastAsia="Malgun Gothic"/>
              </w:rPr>
            </w:pPr>
            <w:r w:rsidRPr="00542EC9">
              <w:rPr>
                <w:rFonts w:eastAsia="Malgun Gothic"/>
              </w:rPr>
              <w:t>[10.24 (8)]</w:t>
            </w:r>
          </w:p>
        </w:tc>
        <w:tc>
          <w:tcPr>
            <w:tcW w:w="1519" w:type="pct"/>
            <w:tcBorders>
              <w:top w:val="single" w:sz="4" w:space="0" w:color="auto"/>
              <w:left w:val="single" w:sz="4" w:space="0" w:color="auto"/>
              <w:bottom w:val="single" w:sz="4" w:space="0" w:color="auto"/>
              <w:right w:val="single" w:sz="4" w:space="0" w:color="auto"/>
            </w:tcBorders>
            <w:hideMark/>
          </w:tcPr>
          <w:p w14:paraId="246FDEC1" w14:textId="77777777" w:rsidR="008B5183" w:rsidRPr="00542EC9" w:rsidRDefault="008B5183" w:rsidP="001313A6">
            <w:pPr>
              <w:pStyle w:val="TAC"/>
              <w:rPr>
                <w:rFonts w:eastAsia="Malgun Gothic"/>
              </w:rPr>
            </w:pPr>
            <w:r w:rsidRPr="00542EC9">
              <w:rPr>
                <w:rFonts w:eastAsia="Malgun Gothic"/>
                <w:szCs w:val="24"/>
                <w:lang w:eastAsia="zh-CN"/>
              </w:rPr>
              <w:t>1.28 (1)</w:t>
            </w:r>
          </w:p>
        </w:tc>
        <w:tc>
          <w:tcPr>
            <w:tcW w:w="1340" w:type="pct"/>
            <w:tcBorders>
              <w:top w:val="single" w:sz="4" w:space="0" w:color="auto"/>
              <w:left w:val="single" w:sz="4" w:space="0" w:color="auto"/>
              <w:bottom w:val="single" w:sz="4" w:space="0" w:color="auto"/>
              <w:right w:val="single" w:sz="4" w:space="0" w:color="auto"/>
            </w:tcBorders>
            <w:hideMark/>
          </w:tcPr>
          <w:p w14:paraId="72C15BFD" w14:textId="77777777" w:rsidR="008B5183" w:rsidRPr="00542EC9" w:rsidRDefault="008B5183" w:rsidP="001313A6">
            <w:pPr>
              <w:pStyle w:val="TAC"/>
              <w:rPr>
                <w:rFonts w:eastAsia="Malgun Gothic"/>
              </w:rPr>
            </w:pPr>
            <w:r w:rsidRPr="00542EC9">
              <w:t>3.84 (3)</w:t>
            </w:r>
          </w:p>
        </w:tc>
      </w:tr>
      <w:tr w:rsidR="008B5183" w:rsidRPr="00542EC9" w14:paraId="2FDA19BF" w14:textId="77777777" w:rsidTr="001313A6">
        <w:trPr>
          <w:cantSplit/>
          <w:jc w:val="center"/>
        </w:trPr>
        <w:tc>
          <w:tcPr>
            <w:tcW w:w="734" w:type="pct"/>
            <w:tcBorders>
              <w:top w:val="single" w:sz="4" w:space="0" w:color="auto"/>
              <w:left w:val="single" w:sz="4" w:space="0" w:color="auto"/>
              <w:bottom w:val="single" w:sz="4" w:space="0" w:color="auto"/>
              <w:right w:val="single" w:sz="4" w:space="0" w:color="auto"/>
            </w:tcBorders>
            <w:hideMark/>
          </w:tcPr>
          <w:p w14:paraId="4ADB58D1" w14:textId="77777777" w:rsidR="008B5183" w:rsidRPr="00542EC9" w:rsidRDefault="008B5183" w:rsidP="001313A6">
            <w:pPr>
              <w:pStyle w:val="TAC"/>
              <w:rPr>
                <w:rFonts w:eastAsia="Malgun Gothic"/>
              </w:rPr>
            </w:pPr>
            <w:r w:rsidRPr="00542EC9">
              <w:t>2.56</w:t>
            </w:r>
          </w:p>
        </w:tc>
        <w:tc>
          <w:tcPr>
            <w:tcW w:w="1407" w:type="pct"/>
            <w:tcBorders>
              <w:top w:val="single" w:sz="4" w:space="0" w:color="auto"/>
              <w:left w:val="single" w:sz="4" w:space="0" w:color="auto"/>
              <w:bottom w:val="single" w:sz="4" w:space="0" w:color="auto"/>
              <w:right w:val="single" w:sz="4" w:space="0" w:color="auto"/>
            </w:tcBorders>
            <w:hideMark/>
          </w:tcPr>
          <w:p w14:paraId="5BEB1C1F" w14:textId="77777777" w:rsidR="008B5183" w:rsidRPr="00542EC9" w:rsidRDefault="008B5183" w:rsidP="001313A6">
            <w:pPr>
              <w:pStyle w:val="TAC"/>
              <w:rPr>
                <w:rFonts w:eastAsia="Malgun Gothic"/>
              </w:rPr>
            </w:pPr>
            <w:r w:rsidRPr="00542EC9">
              <w:t>58.88 (23)</w:t>
            </w:r>
          </w:p>
        </w:tc>
        <w:tc>
          <w:tcPr>
            <w:tcW w:w="1519" w:type="pct"/>
            <w:tcBorders>
              <w:top w:val="single" w:sz="4" w:space="0" w:color="auto"/>
              <w:left w:val="single" w:sz="4" w:space="0" w:color="auto"/>
              <w:bottom w:val="single" w:sz="4" w:space="0" w:color="auto"/>
              <w:right w:val="single" w:sz="4" w:space="0" w:color="auto"/>
            </w:tcBorders>
            <w:hideMark/>
          </w:tcPr>
          <w:p w14:paraId="65A2B510" w14:textId="77777777" w:rsidR="008B5183" w:rsidRPr="00542EC9" w:rsidRDefault="008B5183" w:rsidP="001313A6">
            <w:pPr>
              <w:pStyle w:val="TAC"/>
              <w:rPr>
                <w:rFonts w:eastAsia="Malgun Gothic"/>
              </w:rPr>
            </w:pPr>
            <w:r w:rsidRPr="00542EC9">
              <w:t>2.56 (1)</w:t>
            </w:r>
          </w:p>
        </w:tc>
        <w:tc>
          <w:tcPr>
            <w:tcW w:w="1340" w:type="pct"/>
            <w:tcBorders>
              <w:top w:val="single" w:sz="4" w:space="0" w:color="auto"/>
              <w:left w:val="single" w:sz="4" w:space="0" w:color="auto"/>
              <w:bottom w:val="single" w:sz="4" w:space="0" w:color="auto"/>
              <w:right w:val="single" w:sz="4" w:space="0" w:color="auto"/>
            </w:tcBorders>
            <w:hideMark/>
          </w:tcPr>
          <w:p w14:paraId="2E0924EB" w14:textId="77777777" w:rsidR="008B5183" w:rsidRPr="00542EC9" w:rsidRDefault="008B5183" w:rsidP="001313A6">
            <w:pPr>
              <w:pStyle w:val="TAC"/>
              <w:rPr>
                <w:rFonts w:eastAsia="Malgun Gothic"/>
              </w:rPr>
            </w:pPr>
            <w:r w:rsidRPr="00542EC9">
              <w:t>7.68 (3)</w:t>
            </w:r>
          </w:p>
        </w:tc>
      </w:tr>
      <w:tr w:rsidR="008B5183" w:rsidRPr="00542EC9" w14:paraId="5EC95900" w14:textId="77777777" w:rsidTr="001313A6">
        <w:trPr>
          <w:cantSplit/>
          <w:jc w:val="center"/>
        </w:trPr>
        <w:tc>
          <w:tcPr>
            <w:tcW w:w="5000" w:type="pct"/>
            <w:gridSpan w:val="4"/>
            <w:tcBorders>
              <w:top w:val="single" w:sz="4" w:space="0" w:color="auto"/>
              <w:left w:val="single" w:sz="4" w:space="0" w:color="auto"/>
              <w:bottom w:val="single" w:sz="4" w:space="0" w:color="auto"/>
              <w:right w:val="single" w:sz="4" w:space="0" w:color="auto"/>
            </w:tcBorders>
          </w:tcPr>
          <w:p w14:paraId="5D1A8E13" w14:textId="77777777" w:rsidR="008B5183" w:rsidRPr="00542EC9" w:rsidRDefault="008B5183" w:rsidP="001313A6">
            <w:pPr>
              <w:pStyle w:val="TAN"/>
              <w:rPr>
                <w:rFonts w:eastAsia="Malgun Gothic"/>
              </w:rPr>
            </w:pPr>
            <w:r w:rsidRPr="00542EC9">
              <w:rPr>
                <w:lang w:eastAsia="zh-CN"/>
              </w:rPr>
              <w:t>Note 1:</w:t>
            </w:r>
            <w:r w:rsidRPr="00542EC9">
              <w:rPr>
                <w:rFonts w:eastAsia="CG Times (WN)"/>
                <w:lang w:val="en-US" w:eastAsia="x-none"/>
              </w:rPr>
              <w:tab/>
            </w:r>
            <w:r w:rsidRPr="00542EC9">
              <w:t>W</w:t>
            </w:r>
            <w:r w:rsidRPr="00542EC9">
              <w:rPr>
                <w:lang w:eastAsia="zh-CN"/>
              </w:rPr>
              <w:t>hen SMTC &lt; = 40 ms, M2 = M3 = M4 = 1; and when SMTC &gt; 40 ms, M2 = 1.5, M3 = M4 = 2</w:t>
            </w:r>
          </w:p>
        </w:tc>
      </w:tr>
    </w:tbl>
    <w:p w14:paraId="6D6836A1" w14:textId="77777777" w:rsidR="008B5183" w:rsidRPr="00DF0BF5" w:rsidRDefault="008B5183" w:rsidP="008B5183">
      <w:pPr>
        <w:rPr>
          <w:lang w:eastAsia="zh-CN"/>
        </w:rPr>
      </w:pPr>
    </w:p>
    <w:p w14:paraId="5204B254" w14:textId="46BD6E8F" w:rsidR="008B5183" w:rsidRPr="00C124D4" w:rsidRDefault="00B22B9E" w:rsidP="008B5183">
      <w:r w:rsidRPr="00812367">
        <w:rPr>
          <w:noProof/>
        </w:rPr>
        <w:t xml:space="preserve">If </w:t>
      </w:r>
      <w:r w:rsidRPr="006252E6">
        <w:rPr>
          <w:i/>
        </w:rPr>
        <w:t>t-Service</w:t>
      </w:r>
      <w:r w:rsidRPr="00812367">
        <w:rPr>
          <w:noProof/>
        </w:rPr>
        <w:t xml:space="preserve"> is broadcasted and applicable, UE shall be able to detect, measure, and evaluate neighbour cells before the serving cell stops serving the area </w:t>
      </w:r>
      <w:r w:rsidRPr="00812367">
        <w:rPr>
          <w:rFonts w:hint="eastAsia"/>
          <w:noProof/>
        </w:rPr>
        <w:t>regardless of whether the distance condition based on serving cell reference location or the legacy Srxlev/Squal condition are met</w:t>
      </w:r>
      <w:r w:rsidRPr="00812367">
        <w:rPr>
          <w:noProof/>
        </w:rPr>
        <w:t>, and when to start detection, measurement, and evaluation is up to UE implementation.</w:t>
      </w:r>
      <w:r w:rsidRPr="00812367">
        <w:rPr>
          <w:rFonts w:hint="eastAsia"/>
          <w:noProof/>
          <w:lang w:eastAsia="zh-CN"/>
        </w:rPr>
        <w:t xml:space="preserve"> </w:t>
      </w:r>
      <w:r w:rsidRPr="00812367">
        <w:rPr>
          <w:noProof/>
          <w:lang w:eastAsia="zh-CN"/>
        </w:rPr>
        <w:t xml:space="preserve">This requirement </w:t>
      </w:r>
      <w:r w:rsidRPr="00812367">
        <w:rPr>
          <w:noProof/>
        </w:rPr>
        <w:t xml:space="preserve">does not apply when the time span from the last slot of SI transmission within SI modification period </w:t>
      </w:r>
      <w:r>
        <w:rPr>
          <w:rFonts w:eastAsia="SimSun"/>
          <w:szCs w:val="24"/>
          <w:lang w:eastAsia="zh-CN"/>
        </w:rPr>
        <w:t xml:space="preserve">where the broadcasting of the last updated value for t-Service is acquired by the UE for the first time </w:t>
      </w:r>
      <w:r w:rsidRPr="00812367">
        <w:rPr>
          <w:noProof/>
        </w:rPr>
        <w:t>to the first slot when the cell is scheduled to stop serving the area according to the broadcasted information is less than</w:t>
      </w:r>
      <w:r w:rsidRPr="00C124D4">
        <w:rPr>
          <w:szCs w:val="24"/>
          <w:lang w:eastAsia="zh-CN"/>
        </w:rPr>
        <w:t xml:space="preserve"> </w:t>
      </w:r>
      <w:r w:rsidRPr="00D04575">
        <w:rPr>
          <w:szCs w:val="24"/>
          <w:lang w:eastAsia="zh-CN"/>
        </w:rPr>
        <w:t>T</w:t>
      </w:r>
      <w:r w:rsidRPr="00C124D4">
        <w:rPr>
          <w:szCs w:val="24"/>
          <w:vertAlign w:val="subscript"/>
          <w:lang w:eastAsia="zh-CN"/>
        </w:rPr>
        <w:t>trigger</w:t>
      </w:r>
      <w:r>
        <w:rPr>
          <w:szCs w:val="24"/>
          <w:lang w:eastAsia="zh-CN"/>
        </w:rPr>
        <w:t>, and</w:t>
      </w:r>
      <w:r w:rsidRPr="00C124D4">
        <w:t xml:space="preserve"> </w:t>
      </w:r>
      <w:r w:rsidRPr="00D04575">
        <w:rPr>
          <w:szCs w:val="24"/>
          <w:lang w:eastAsia="zh-CN"/>
        </w:rPr>
        <w:t>T</w:t>
      </w:r>
      <w:r w:rsidRPr="00C124D4">
        <w:rPr>
          <w:szCs w:val="24"/>
          <w:vertAlign w:val="subscript"/>
          <w:lang w:eastAsia="zh-CN"/>
        </w:rPr>
        <w:t>trigger</w:t>
      </w:r>
      <w:r>
        <w:rPr>
          <w:szCs w:val="24"/>
          <w:lang w:eastAsia="zh-CN"/>
        </w:rPr>
        <w:t xml:space="preserve"> = </w:t>
      </w:r>
      <w:r w:rsidRPr="00C124D4">
        <w:rPr>
          <w:szCs w:val="24"/>
          <w:lang w:eastAsia="zh-CN"/>
        </w:rPr>
        <w:t>max(T</w:t>
      </w:r>
      <w:r w:rsidRPr="00C124D4">
        <w:rPr>
          <w:szCs w:val="24"/>
          <w:vertAlign w:val="subscript"/>
          <w:lang w:eastAsia="zh-CN"/>
        </w:rPr>
        <w:t>detect,NR_Intra</w:t>
      </w:r>
      <w:r w:rsidRPr="00C124D4">
        <w:rPr>
          <w:szCs w:val="24"/>
          <w:lang w:eastAsia="zh-CN"/>
        </w:rPr>
        <w:t>, K</w:t>
      </w:r>
      <w:r w:rsidRPr="00C124D4">
        <w:rPr>
          <w:szCs w:val="24"/>
          <w:vertAlign w:val="subscript"/>
          <w:lang w:eastAsia="zh-CN"/>
        </w:rPr>
        <w:t>carrier</w:t>
      </w:r>
      <w:r w:rsidRPr="00C124D4">
        <w:rPr>
          <w:szCs w:val="24"/>
          <w:lang w:eastAsia="zh-CN"/>
        </w:rPr>
        <w:t>* T</w:t>
      </w:r>
      <w:r w:rsidRPr="00C124D4">
        <w:rPr>
          <w:szCs w:val="24"/>
          <w:vertAlign w:val="subscript"/>
          <w:lang w:eastAsia="zh-CN"/>
        </w:rPr>
        <w:t>detect,NR_Inter</w:t>
      </w:r>
      <w:r w:rsidRPr="00C124D4">
        <w:rPr>
          <w:szCs w:val="24"/>
          <w:lang w:eastAsia="zh-CN"/>
        </w:rPr>
        <w:t>)</w:t>
      </w:r>
      <w:r w:rsidRPr="00120DE9">
        <w:rPr>
          <w:szCs w:val="24"/>
          <w:lang w:eastAsia="zh-CN"/>
        </w:rPr>
        <w:t xml:space="preserve"> </w:t>
      </w:r>
      <w:r w:rsidRPr="00D04575">
        <w:rPr>
          <w:szCs w:val="24"/>
          <w:lang w:eastAsia="zh-CN"/>
        </w:rPr>
        <w:t>when serving cell is below the search threshold</w:t>
      </w:r>
      <w:r w:rsidRPr="00C124D4">
        <w:rPr>
          <w:szCs w:val="24"/>
          <w:lang w:eastAsia="zh-CN"/>
        </w:rPr>
        <w:t>,</w:t>
      </w:r>
      <w:r>
        <w:rPr>
          <w:szCs w:val="24"/>
          <w:lang w:eastAsia="zh-CN"/>
        </w:rPr>
        <w:t xml:space="preserve"> and</w:t>
      </w:r>
      <w:r w:rsidRPr="00120DE9">
        <w:rPr>
          <w:szCs w:val="24"/>
          <w:lang w:eastAsia="zh-CN"/>
        </w:rPr>
        <w:t xml:space="preserve"> </w:t>
      </w:r>
      <w:r w:rsidRPr="00D04575">
        <w:rPr>
          <w:szCs w:val="24"/>
          <w:lang w:eastAsia="zh-CN"/>
        </w:rPr>
        <w:t>T</w:t>
      </w:r>
      <w:r w:rsidRPr="00C124D4">
        <w:rPr>
          <w:szCs w:val="24"/>
          <w:vertAlign w:val="subscript"/>
          <w:lang w:eastAsia="zh-CN"/>
        </w:rPr>
        <w:t>trigger</w:t>
      </w:r>
      <w:r>
        <w:rPr>
          <w:szCs w:val="24"/>
          <w:lang w:eastAsia="zh-CN"/>
        </w:rPr>
        <w:t xml:space="preserve"> = </w:t>
      </w:r>
      <w:r w:rsidRPr="00C124D4">
        <w:rPr>
          <w:szCs w:val="24"/>
          <w:lang w:eastAsia="zh-CN"/>
        </w:rPr>
        <w:t>max(T</w:t>
      </w:r>
      <w:r w:rsidRPr="00C124D4">
        <w:rPr>
          <w:szCs w:val="24"/>
          <w:vertAlign w:val="subscript"/>
          <w:lang w:eastAsia="zh-CN"/>
        </w:rPr>
        <w:t>detect,NR_Intra</w:t>
      </w:r>
      <w:r>
        <w:rPr>
          <w:szCs w:val="24"/>
          <w:lang w:eastAsia="zh-CN"/>
        </w:rPr>
        <w:t>, N</w:t>
      </w:r>
      <w:r>
        <w:rPr>
          <w:szCs w:val="24"/>
          <w:vertAlign w:val="subscript"/>
          <w:lang w:eastAsia="zh-CN"/>
        </w:rPr>
        <w:t>layer</w:t>
      </w:r>
      <w:r w:rsidRPr="00C124D4">
        <w:rPr>
          <w:szCs w:val="24"/>
          <w:lang w:eastAsia="zh-CN"/>
        </w:rPr>
        <w:t>*</w:t>
      </w:r>
      <w:r>
        <w:rPr>
          <w:szCs w:val="24"/>
          <w:lang w:eastAsia="zh-CN"/>
        </w:rPr>
        <w:t xml:space="preserve"> [60s]</w:t>
      </w:r>
      <w:r w:rsidRPr="00C124D4">
        <w:rPr>
          <w:szCs w:val="24"/>
          <w:lang w:eastAsia="zh-CN"/>
        </w:rPr>
        <w:t>)</w:t>
      </w:r>
      <w:r>
        <w:rPr>
          <w:szCs w:val="24"/>
          <w:lang w:eastAsia="zh-CN"/>
        </w:rPr>
        <w:t xml:space="preserve"> </w:t>
      </w:r>
      <w:r w:rsidRPr="00D04575">
        <w:rPr>
          <w:szCs w:val="24"/>
          <w:lang w:eastAsia="zh-CN"/>
        </w:rPr>
        <w:t>when serving cell is above the search threshold</w:t>
      </w:r>
      <w:r>
        <w:rPr>
          <w:szCs w:val="24"/>
          <w:lang w:eastAsia="zh-CN"/>
        </w:rPr>
        <w:t>, where</w:t>
      </w:r>
    </w:p>
    <w:p w14:paraId="193A1377" w14:textId="6B4BBAE4" w:rsidR="008B5183" w:rsidRDefault="00FE097D" w:rsidP="00FE097D">
      <w:pPr>
        <w:pStyle w:val="B10"/>
        <w:rPr>
          <w:lang w:eastAsia="zh-CN"/>
        </w:rPr>
      </w:pPr>
      <w:r>
        <w:rPr>
          <w:lang w:eastAsia="zh-CN"/>
        </w:rPr>
        <w:t>-</w:t>
      </w:r>
      <w:r>
        <w:rPr>
          <w:lang w:eastAsia="zh-CN"/>
        </w:rPr>
        <w:tab/>
      </w:r>
      <w:r w:rsidR="008B5183" w:rsidRPr="00C124D4">
        <w:rPr>
          <w:lang w:eastAsia="zh-CN"/>
        </w:rPr>
        <w:t>K</w:t>
      </w:r>
      <w:r w:rsidR="008B5183" w:rsidRPr="00C124D4">
        <w:rPr>
          <w:vertAlign w:val="subscript"/>
          <w:lang w:eastAsia="zh-CN"/>
        </w:rPr>
        <w:t>carrier</w:t>
      </w:r>
      <w:r w:rsidR="008B5183" w:rsidRPr="00C124D4">
        <w:rPr>
          <w:lang w:eastAsia="zh-CN"/>
        </w:rPr>
        <w:t xml:space="preserve"> is the number of NR inter-frequency carriers indicated by the serving cell</w:t>
      </w:r>
      <w:r w:rsidR="008B5183">
        <w:rPr>
          <w:lang w:eastAsia="zh-CN"/>
        </w:rPr>
        <w:t>,</w:t>
      </w:r>
    </w:p>
    <w:p w14:paraId="640972A0" w14:textId="666B43E5" w:rsidR="008B5183" w:rsidRPr="00C124D4" w:rsidRDefault="00FE097D" w:rsidP="00FE097D">
      <w:pPr>
        <w:pStyle w:val="B10"/>
        <w:rPr>
          <w:lang w:eastAsia="zh-CN"/>
        </w:rPr>
      </w:pPr>
      <w:r>
        <w:rPr>
          <w:lang w:eastAsia="zh-CN"/>
        </w:rPr>
        <w:t>-</w:t>
      </w:r>
      <w:r>
        <w:rPr>
          <w:lang w:eastAsia="zh-CN"/>
        </w:rPr>
        <w:tab/>
      </w:r>
      <w:r w:rsidR="008B5183">
        <w:rPr>
          <w:lang w:eastAsia="zh-CN"/>
        </w:rPr>
        <w:t>N</w:t>
      </w:r>
      <w:r w:rsidR="008B5183">
        <w:rPr>
          <w:vertAlign w:val="subscript"/>
          <w:lang w:eastAsia="zh-CN"/>
        </w:rPr>
        <w:t>layer</w:t>
      </w:r>
      <w:r w:rsidR="008B5183" w:rsidRPr="00120DE9">
        <w:rPr>
          <w:lang w:eastAsia="zh-CN"/>
        </w:rPr>
        <w:t xml:space="preserve"> is the total number of higher priority NR carrier frequencies broadcasted in system information</w:t>
      </w:r>
      <w:r w:rsidR="008B5183">
        <w:rPr>
          <w:lang w:eastAsia="zh-CN"/>
        </w:rPr>
        <w:t>,</w:t>
      </w:r>
    </w:p>
    <w:p w14:paraId="597F5F61" w14:textId="6C4744C1" w:rsidR="008B5183" w:rsidRPr="00C124D4" w:rsidRDefault="00FE097D" w:rsidP="00FE097D">
      <w:pPr>
        <w:pStyle w:val="B10"/>
        <w:rPr>
          <w:lang w:eastAsia="zh-CN"/>
        </w:rPr>
      </w:pPr>
      <w:r>
        <w:rPr>
          <w:lang w:eastAsia="zh-CN"/>
        </w:rPr>
        <w:t>-</w:t>
      </w:r>
      <w:r>
        <w:rPr>
          <w:lang w:eastAsia="zh-CN"/>
        </w:rPr>
        <w:tab/>
      </w:r>
      <w:r w:rsidR="008B5183" w:rsidRPr="00C124D4">
        <w:rPr>
          <w:lang w:eastAsia="zh-CN"/>
        </w:rPr>
        <w:t>T</w:t>
      </w:r>
      <w:r w:rsidR="008B5183" w:rsidRPr="00C124D4">
        <w:rPr>
          <w:vertAlign w:val="subscript"/>
          <w:lang w:eastAsia="zh-CN"/>
        </w:rPr>
        <w:t>detect,NR_Intra</w:t>
      </w:r>
      <w:r w:rsidRPr="00C124D4">
        <w:rPr>
          <w:lang w:eastAsia="zh-CN"/>
        </w:rPr>
        <w:t xml:space="preserve"> </w:t>
      </w:r>
      <w:r>
        <w:rPr>
          <w:rFonts w:hint="eastAsia"/>
          <w:lang w:eastAsia="zh-CN"/>
        </w:rPr>
        <w:t>refers to</w:t>
      </w:r>
      <w:r w:rsidRPr="00C124D4">
        <w:rPr>
          <w:lang w:eastAsia="zh-CN"/>
        </w:rPr>
        <w:t xml:space="preserve"> HST intra-frequency cell detection delay in IDLE/</w:t>
      </w:r>
      <w:r>
        <w:rPr>
          <w:lang w:eastAsia="zh-CN"/>
        </w:rPr>
        <w:t>INACTIVE</w:t>
      </w:r>
      <w:r w:rsidRPr="00C124D4">
        <w:rPr>
          <w:lang w:eastAsia="zh-CN"/>
        </w:rPr>
        <w:t xml:space="preserve"> mode defined</w:t>
      </w:r>
      <w:r w:rsidR="008B5183" w:rsidRPr="00C124D4">
        <w:rPr>
          <w:lang w:eastAsia="zh-CN"/>
        </w:rPr>
        <w:t xml:space="preserve"> Table 4.2.2.3-2</w:t>
      </w:r>
      <w:r w:rsidR="008B5183">
        <w:rPr>
          <w:lang w:eastAsia="zh-CN"/>
        </w:rPr>
        <w:t>,</w:t>
      </w:r>
    </w:p>
    <w:p w14:paraId="067B04BA" w14:textId="05259408" w:rsidR="008B5183" w:rsidRDefault="00FE097D" w:rsidP="00FE097D">
      <w:pPr>
        <w:pStyle w:val="B10"/>
        <w:rPr>
          <w:noProof/>
        </w:rPr>
      </w:pPr>
      <w:r>
        <w:rPr>
          <w:lang w:eastAsia="zh-CN"/>
        </w:rPr>
        <w:t>-</w:t>
      </w:r>
      <w:r>
        <w:rPr>
          <w:lang w:eastAsia="zh-CN"/>
        </w:rPr>
        <w:tab/>
      </w:r>
      <w:r w:rsidR="008B5183" w:rsidRPr="00C124D4">
        <w:rPr>
          <w:lang w:eastAsia="zh-CN"/>
        </w:rPr>
        <w:t>T</w:t>
      </w:r>
      <w:r w:rsidR="008B5183" w:rsidRPr="00C124D4">
        <w:rPr>
          <w:vertAlign w:val="subscript"/>
          <w:lang w:eastAsia="zh-CN"/>
        </w:rPr>
        <w:t>detect,NR_Inter</w:t>
      </w:r>
      <w:r w:rsidR="008B5183" w:rsidRPr="00C124D4">
        <w:rPr>
          <w:lang w:eastAsia="zh-CN"/>
        </w:rPr>
        <w:t xml:space="preserve"> </w:t>
      </w:r>
      <w:r>
        <w:rPr>
          <w:rFonts w:hint="eastAsia"/>
          <w:lang w:eastAsia="zh-CN"/>
        </w:rPr>
        <w:t>refers to</w:t>
      </w:r>
      <w:r w:rsidRPr="00C124D4">
        <w:rPr>
          <w:lang w:eastAsia="zh-CN"/>
        </w:rPr>
        <w:t xml:space="preserve"> HST int</w:t>
      </w:r>
      <w:r>
        <w:rPr>
          <w:lang w:eastAsia="zh-CN"/>
        </w:rPr>
        <w:t>er</w:t>
      </w:r>
      <w:r w:rsidRPr="00C124D4">
        <w:rPr>
          <w:lang w:eastAsia="zh-CN"/>
        </w:rPr>
        <w:t>-frequency cell detection delay in IDLE/</w:t>
      </w:r>
      <w:r>
        <w:rPr>
          <w:lang w:eastAsia="zh-CN"/>
        </w:rPr>
        <w:t>INACTIVE</w:t>
      </w:r>
      <w:r w:rsidRPr="00C124D4">
        <w:rPr>
          <w:lang w:eastAsia="zh-CN"/>
        </w:rPr>
        <w:t xml:space="preserve"> mode defined</w:t>
      </w:r>
      <w:r w:rsidR="008B5183" w:rsidRPr="00C124D4">
        <w:rPr>
          <w:lang w:eastAsia="zh-CN"/>
        </w:rPr>
        <w:t xml:space="preserve"> Table 4.2.2.</w:t>
      </w:r>
      <w:r w:rsidR="008B5183">
        <w:rPr>
          <w:lang w:eastAsia="zh-CN"/>
        </w:rPr>
        <w:t>4</w:t>
      </w:r>
      <w:r w:rsidR="008B5183" w:rsidRPr="00C124D4">
        <w:rPr>
          <w:lang w:eastAsia="zh-CN"/>
        </w:rPr>
        <w:t>-2</w:t>
      </w:r>
      <w:r w:rsidR="008B5183">
        <w:rPr>
          <w:lang w:eastAsia="zh-CN"/>
        </w:rPr>
        <w:t>.</w:t>
      </w:r>
    </w:p>
    <w:p w14:paraId="38710A0B" w14:textId="77777777" w:rsidR="008B5183" w:rsidRPr="00DF0BF5" w:rsidRDefault="008B5183" w:rsidP="008B5183">
      <w:pPr>
        <w:rPr>
          <w:noProof/>
        </w:rPr>
      </w:pPr>
      <w:r w:rsidRPr="00DF0BF5">
        <w:rPr>
          <w:rFonts w:hint="eastAsia"/>
          <w:noProof/>
        </w:rPr>
        <w:t>The</w:t>
      </w:r>
      <w:r w:rsidRPr="00DF0BF5">
        <w:rPr>
          <w:noProof/>
        </w:rPr>
        <w:t xml:space="preserve"> requriements in this clause apply provided that the number of SMTCs for any inter-frequency carrier does not exceed the [UE capability], otherwise UE may select</w:t>
      </w:r>
      <w:r w:rsidRPr="006D7E07">
        <w:t xml:space="preserve"> </w:t>
      </w:r>
      <w:r w:rsidRPr="006D7E07">
        <w:rPr>
          <w:noProof/>
        </w:rPr>
        <w:t xml:space="preserve">one </w:t>
      </w:r>
      <w:r>
        <w:rPr>
          <w:noProof/>
        </w:rPr>
        <w:t>or subset of all the configured</w:t>
      </w:r>
      <w:r w:rsidRPr="00DF0BF5">
        <w:rPr>
          <w:noProof/>
        </w:rPr>
        <w:t xml:space="preserve"> SMTCs sequentially until all of the SMTCs can be measured, the selection of SMTCs to be used is up to UE implementation, and longer measurement delay</w:t>
      </w:r>
      <w:r>
        <w:rPr>
          <w:noProof/>
        </w:rPr>
        <w:t xml:space="preserve"> than </w:t>
      </w:r>
      <w:r w:rsidRPr="00952CAC">
        <w:rPr>
          <w:lang w:val="en-US"/>
        </w:rPr>
        <w:t xml:space="preserve">the corresponding measurement period specified in Table </w:t>
      </w:r>
      <w:r>
        <w:t>4.2C.</w:t>
      </w:r>
      <w:r w:rsidRPr="009C5807">
        <w:t>2.4-</w:t>
      </w:r>
      <w:r>
        <w:t>1</w:t>
      </w:r>
      <w:r>
        <w:rPr>
          <w:lang w:val="en-US"/>
        </w:rPr>
        <w:t xml:space="preserve"> and </w:t>
      </w:r>
      <w:r w:rsidRPr="006A7452">
        <w:rPr>
          <w:lang w:val="en-US"/>
        </w:rPr>
        <w:t xml:space="preserve">Table </w:t>
      </w:r>
      <w:r>
        <w:t>4.2C.</w:t>
      </w:r>
      <w:r w:rsidRPr="009C5807">
        <w:t>2.4-</w:t>
      </w:r>
      <w:r>
        <w:t>2</w:t>
      </w:r>
      <w:r w:rsidRPr="00DF0BF5">
        <w:rPr>
          <w:noProof/>
        </w:rPr>
        <w:t xml:space="preserve"> is expected</w:t>
      </w:r>
      <w:r>
        <w:rPr>
          <w:noProof/>
        </w:rPr>
        <w:t>.</w:t>
      </w:r>
    </w:p>
    <w:p w14:paraId="282420FC" w14:textId="77777777" w:rsidR="00E70A36" w:rsidRDefault="00E70A36" w:rsidP="00E70A36">
      <w:pPr>
        <w:rPr>
          <w:rFonts w:eastAsia="SimSun"/>
          <w:noProof/>
          <w:lang w:eastAsia="zh-CN"/>
        </w:rPr>
      </w:pPr>
      <w:r w:rsidRPr="00F92DE6">
        <w:rPr>
          <w:rFonts w:eastAsia="SimSun" w:hint="eastAsia"/>
          <w:noProof/>
          <w:lang w:eastAsia="zh-CN"/>
        </w:rPr>
        <w:t>T</w:t>
      </w:r>
      <w:r w:rsidRPr="00F92DE6">
        <w:rPr>
          <w:rFonts w:eastAsia="SimSun"/>
          <w:noProof/>
          <w:lang w:eastAsia="zh-CN"/>
        </w:rPr>
        <w:t xml:space="preserve">he requirements in this clause apply provided that the </w:t>
      </w:r>
      <w:r>
        <w:rPr>
          <w:rFonts w:eastAsia="SimSun"/>
          <w:noProof/>
          <w:lang w:eastAsia="zh-CN"/>
        </w:rPr>
        <w:t>v</w:t>
      </w:r>
      <w:r w:rsidRPr="006252E6">
        <w:rPr>
          <w:rFonts w:eastAsia="SimSun"/>
          <w:noProof/>
          <w:lang w:eastAsia="zh-CN"/>
        </w:rPr>
        <w:t>alid information for the satellite serving the target cell has been provided</w:t>
      </w:r>
      <w:r>
        <w:rPr>
          <w:rFonts w:eastAsia="SimSun"/>
          <w:noProof/>
          <w:lang w:eastAsia="zh-CN"/>
        </w:rPr>
        <w:t xml:space="preserve"> by the serving cell.</w:t>
      </w:r>
    </w:p>
    <w:p w14:paraId="51BB7CEC" w14:textId="0D123CB7" w:rsidR="008B5183" w:rsidRPr="00701C50" w:rsidRDefault="00E70A36" w:rsidP="00E70A36">
      <w:pPr>
        <w:rPr>
          <w:i/>
          <w:iCs/>
          <w:lang w:val="en-US" w:eastAsia="zh-CN"/>
        </w:rPr>
      </w:pPr>
      <w:r>
        <w:t>The requirements in this clause apply provided that SSB of neighbour cells are within the time shifted SMTC.</w:t>
      </w:r>
    </w:p>
    <w:p w14:paraId="20B446F3" w14:textId="77777777" w:rsidR="008B5183" w:rsidRDefault="008B5183" w:rsidP="008B5183">
      <w:pPr>
        <w:rPr>
          <w:lang w:val="en-US" w:eastAsia="zh-CN"/>
        </w:rPr>
      </w:pPr>
    </w:p>
    <w:p w14:paraId="3F128A41" w14:textId="77777777" w:rsidR="008B5183" w:rsidRPr="009C5807" w:rsidRDefault="008B5183" w:rsidP="008B5183">
      <w:pPr>
        <w:pStyle w:val="Heading4"/>
      </w:pPr>
      <w:r w:rsidRPr="009C5807">
        <w:t>4.2</w:t>
      </w:r>
      <w:r>
        <w:t>C</w:t>
      </w:r>
      <w:r w:rsidRPr="009C5807">
        <w:t>.2.</w:t>
      </w:r>
      <w:r>
        <w:t>5</w:t>
      </w:r>
      <w:r w:rsidRPr="009C5807">
        <w:tab/>
        <w:t>Maximum interruption in paging reception</w:t>
      </w:r>
    </w:p>
    <w:p w14:paraId="3EAE1AF0" w14:textId="77777777" w:rsidR="00FE097D" w:rsidRDefault="00FE097D" w:rsidP="00887846">
      <w:pPr>
        <w:rPr>
          <w:lang w:eastAsia="ko-KR"/>
        </w:rPr>
      </w:pPr>
      <w:r w:rsidRPr="009C5807">
        <w:rPr>
          <w:lang w:eastAsia="ko-KR"/>
        </w:rPr>
        <w:t>UE shall perform the cell re-selection with minimum interruption in monitoring downlink channels for paging reception.</w:t>
      </w:r>
    </w:p>
    <w:p w14:paraId="010F2794" w14:textId="0CF8C519" w:rsidR="00887846" w:rsidRDefault="00887846" w:rsidP="00887846">
      <w:pPr>
        <w:rPr>
          <w:lang w:eastAsia="ko-KR"/>
        </w:rPr>
      </w:pPr>
      <w:r w:rsidRPr="009C5807">
        <w:rPr>
          <w:lang w:eastAsia="ko-KR"/>
        </w:rPr>
        <w:t>At intra-frequency and inter-frequency cell re-selection, the UE shall monitor the downlink of serving cell for paging reception until the UE is capable to start monitoring downlink channels of the target intra-frequency and inter-frequency cell for paging reception. The interruption time shall not exceed T</w:t>
      </w:r>
      <w:r w:rsidRPr="009C5807">
        <w:rPr>
          <w:vertAlign w:val="subscript"/>
          <w:lang w:eastAsia="ko-KR"/>
        </w:rPr>
        <w:t xml:space="preserve">SI-NR </w:t>
      </w:r>
      <w:r w:rsidRPr="009C5807">
        <w:rPr>
          <w:lang w:eastAsia="ko-KR"/>
        </w:rPr>
        <w:t xml:space="preserve">+ </w:t>
      </w:r>
      <w:r>
        <w:rPr>
          <w:lang w:eastAsia="ko-KR"/>
        </w:rPr>
        <w:t>K</w:t>
      </w:r>
      <w:r w:rsidRPr="009C5807">
        <w:rPr>
          <w:lang w:eastAsia="ko-KR"/>
        </w:rPr>
        <w:t>*</w:t>
      </w:r>
      <w:r w:rsidRPr="009C5807">
        <w:t>T</w:t>
      </w:r>
      <w:r w:rsidRPr="009C5807">
        <w:rPr>
          <w:vertAlign w:val="subscript"/>
        </w:rPr>
        <w:t xml:space="preserve">target_cell_SMTC_period </w:t>
      </w:r>
      <w:r w:rsidRPr="009C5807">
        <w:rPr>
          <w:lang w:eastAsia="ko-KR"/>
        </w:rPr>
        <w:t>ms.</w:t>
      </w:r>
      <w:r w:rsidRPr="00250E36">
        <w:rPr>
          <w:lang w:eastAsia="ko-KR"/>
        </w:rPr>
        <w:t xml:space="preserve"> </w:t>
      </w:r>
    </w:p>
    <w:p w14:paraId="3D6E1456" w14:textId="77777777" w:rsidR="00887846" w:rsidRDefault="00887846" w:rsidP="00887846">
      <w:pPr>
        <w:rPr>
          <w:lang w:eastAsia="ko-KR"/>
        </w:rPr>
      </w:pPr>
      <w:r>
        <w:rPr>
          <w:lang w:eastAsia="ko-KR"/>
        </w:rPr>
        <w:t>Where,</w:t>
      </w:r>
    </w:p>
    <w:p w14:paraId="430EEA3B" w14:textId="25C92263" w:rsidR="00887846" w:rsidRDefault="00887846" w:rsidP="00887846">
      <w:pPr>
        <w:rPr>
          <w:lang w:eastAsia="ko-KR"/>
        </w:rPr>
      </w:pPr>
      <w:r>
        <w:rPr>
          <w:lang w:eastAsia="ko-KR"/>
        </w:rPr>
        <w:t xml:space="preserve">If the target cell belongs to the same satellite as the current one, and </w:t>
      </w:r>
      <w:r w:rsidRPr="00D53154">
        <w:rPr>
          <w:lang w:eastAsia="ko-KR"/>
        </w:rPr>
        <w:t>if the target cell is known, then K = 2.</w:t>
      </w:r>
      <w:r>
        <w:rPr>
          <w:lang w:eastAsia="ko-KR"/>
        </w:rPr>
        <w:t xml:space="preserve"> </w:t>
      </w:r>
    </w:p>
    <w:p w14:paraId="2E3CA736" w14:textId="39C6E8A9" w:rsidR="00887846" w:rsidRDefault="00887846" w:rsidP="00887846">
      <w:pPr>
        <w:rPr>
          <w:lang w:eastAsia="ko-KR"/>
        </w:rPr>
      </w:pPr>
      <w:r>
        <w:rPr>
          <w:lang w:eastAsia="ko-KR"/>
        </w:rPr>
        <w:t xml:space="preserve">If the target cell belongs to a different satellite than the current one and the target cell’s satellite is GEO, and if the target cell is known, then </w:t>
      </w:r>
      <w:r w:rsidRPr="00D53154">
        <w:rPr>
          <w:lang w:eastAsia="ko-KR"/>
        </w:rPr>
        <w:t>K = 2.</w:t>
      </w:r>
    </w:p>
    <w:p w14:paraId="67E78AEC" w14:textId="77777777" w:rsidR="00887846" w:rsidRPr="003D1200" w:rsidRDefault="00887846" w:rsidP="00887846">
      <w:pPr>
        <w:rPr>
          <w:rFonts w:eastAsia="Malgun Gothic"/>
          <w:lang w:eastAsia="ko-KR"/>
        </w:rPr>
      </w:pPr>
      <w:r>
        <w:rPr>
          <w:lang w:eastAsia="ko-KR"/>
        </w:rPr>
        <w:t xml:space="preserve">If the target cell belongs to a different satellite than the current one and the target cell’s satellite is non-GEO, </w:t>
      </w:r>
      <w:r w:rsidRPr="00D53154">
        <w:rPr>
          <w:lang w:eastAsia="ko-KR"/>
        </w:rPr>
        <w:t>then K = 5</w:t>
      </w:r>
      <w:r w:rsidRPr="003C0ABF">
        <w:rPr>
          <w:lang w:eastAsia="ko-KR"/>
        </w:rPr>
        <w:t xml:space="preserve"> </w:t>
      </w:r>
      <w:r>
        <w:rPr>
          <w:lang w:eastAsia="ko-KR"/>
        </w:rPr>
        <w:t>if the target cell is known</w:t>
      </w:r>
      <w:r w:rsidRPr="00D53154">
        <w:rPr>
          <w:lang w:eastAsia="ko-KR"/>
        </w:rPr>
        <w:t>.</w:t>
      </w:r>
    </w:p>
    <w:p w14:paraId="38C96470" w14:textId="77777777" w:rsidR="00887846" w:rsidRPr="009C5807" w:rsidRDefault="00887846" w:rsidP="00887846">
      <w:pPr>
        <w:rPr>
          <w:lang w:eastAsia="ko-KR"/>
        </w:rPr>
      </w:pPr>
      <w:r w:rsidRPr="00250E36">
        <w:rPr>
          <w:lang w:eastAsia="ko-KR"/>
        </w:rPr>
        <w:t>T</w:t>
      </w:r>
      <w:r w:rsidRPr="00250E36">
        <w:rPr>
          <w:vertAlign w:val="subscript"/>
          <w:lang w:eastAsia="ko-KR"/>
        </w:rPr>
        <w:t xml:space="preserve">target_cell_SMTC_period </w:t>
      </w:r>
      <w:r w:rsidRPr="00250E36">
        <w:rPr>
          <w:lang w:eastAsia="ko-KR"/>
        </w:rPr>
        <w:t>is the periodicity of the SMTC occasions configured for the target NR cell.</w:t>
      </w:r>
      <w:r w:rsidRPr="00250E36">
        <w:t xml:space="preserve"> If the target cell is in the PCI list of </w:t>
      </w:r>
      <w:r w:rsidRPr="00250E36">
        <w:rPr>
          <w:i/>
          <w:iCs/>
        </w:rPr>
        <w:t>smtc2-LP</w:t>
      </w:r>
      <w:r w:rsidRPr="00250E36">
        <w:t>, the SMTC periodicity</w:t>
      </w:r>
      <w:r w:rsidRPr="00250E36">
        <w:rPr>
          <w:vertAlign w:val="subscript"/>
        </w:rPr>
        <w:t xml:space="preserve"> </w:t>
      </w:r>
      <w:r w:rsidRPr="00250E36">
        <w:t xml:space="preserve">follows </w:t>
      </w:r>
      <w:r w:rsidRPr="00250E36">
        <w:rPr>
          <w:i/>
          <w:iCs/>
        </w:rPr>
        <w:t>smtc2-LP</w:t>
      </w:r>
      <w:r w:rsidRPr="00250E36">
        <w:t>; otherwise</w:t>
      </w:r>
      <w:r>
        <w:t>,</w:t>
      </w:r>
      <w:r w:rsidRPr="00250E36">
        <w:t xml:space="preserve"> the SMTC periodicity follows </w:t>
      </w:r>
      <w:r w:rsidRPr="00250E36">
        <w:rPr>
          <w:i/>
          <w:iCs/>
        </w:rPr>
        <w:t>smtc</w:t>
      </w:r>
      <w:r w:rsidRPr="00250E36">
        <w:t>.</w:t>
      </w:r>
    </w:p>
    <w:p w14:paraId="211EFB53" w14:textId="77777777" w:rsidR="00887846" w:rsidRDefault="00887846" w:rsidP="00887846">
      <w:pPr>
        <w:rPr>
          <w:lang w:eastAsia="ko-KR"/>
        </w:rPr>
      </w:pPr>
      <w:r w:rsidRPr="009C5807">
        <w:rPr>
          <w:lang w:eastAsia="ko-KR"/>
        </w:rPr>
        <w:t>T</w:t>
      </w:r>
      <w:r w:rsidRPr="009C5807">
        <w:rPr>
          <w:vertAlign w:val="subscript"/>
          <w:lang w:eastAsia="ko-KR"/>
        </w:rPr>
        <w:t xml:space="preserve">SI-NR </w:t>
      </w:r>
      <w:r w:rsidRPr="009C5807">
        <w:rPr>
          <w:lang w:eastAsia="ko-KR"/>
        </w:rPr>
        <w:t>is the time required for receiving all the relevant system information data according to the reception procedure and the RRC procedure delay of system information blocks defined in TS 38.331 [2] for an NR cell.</w:t>
      </w:r>
    </w:p>
    <w:p w14:paraId="3C9C6270" w14:textId="77777777" w:rsidR="00887846" w:rsidRPr="007610E7" w:rsidRDefault="00887846" w:rsidP="00887846">
      <w:pPr>
        <w:rPr>
          <w:rFonts w:eastAsia="Malgun Gothic"/>
          <w:lang w:eastAsia="ko-KR"/>
        </w:rPr>
      </w:pPr>
      <w:r w:rsidRPr="007610E7">
        <w:rPr>
          <w:lang w:eastAsia="ko-KR"/>
        </w:rPr>
        <w:t xml:space="preserve">The target cell is </w:t>
      </w:r>
      <w:r w:rsidRPr="007610E7">
        <w:rPr>
          <w:szCs w:val="24"/>
          <w:lang w:eastAsia="zh-CN"/>
        </w:rPr>
        <w:t xml:space="preserve">considered as known if it has been detectable during </w:t>
      </w:r>
      <w:r w:rsidRPr="007610E7">
        <w:t>T</w:t>
      </w:r>
      <w:r w:rsidRPr="007610E7">
        <w:rPr>
          <w:vertAlign w:val="subscript"/>
        </w:rPr>
        <w:t>detect,NR_Intra</w:t>
      </w:r>
      <w:r w:rsidRPr="007610E7">
        <w:t xml:space="preserve"> or T</w:t>
      </w:r>
      <w:r w:rsidRPr="007610E7">
        <w:rPr>
          <w:vertAlign w:val="subscript"/>
        </w:rPr>
        <w:t>detect,NR_Inter</w:t>
      </w:r>
      <w:r w:rsidRPr="007610E7">
        <w:rPr>
          <w:lang w:eastAsia="zh-CN"/>
        </w:rPr>
        <w:t>,</w:t>
      </w:r>
      <w:r w:rsidRPr="007610E7">
        <w:rPr>
          <w:szCs w:val="24"/>
          <w:lang w:eastAsia="zh-CN"/>
        </w:rPr>
        <w:t xml:space="preserve"> and the time span between SIB broadcasting cell stop time and the cell stop time is not less than Ttrigger. Otherwise, the target cell is considered as unknown, where </w:t>
      </w:r>
      <w:r w:rsidRPr="007610E7">
        <w:t>T</w:t>
      </w:r>
      <w:r w:rsidRPr="007610E7">
        <w:rPr>
          <w:vertAlign w:val="subscript"/>
        </w:rPr>
        <w:t>detect,NR_Intra</w:t>
      </w:r>
      <w:r w:rsidRPr="007610E7">
        <w:t>, T</w:t>
      </w:r>
      <w:r w:rsidRPr="007610E7">
        <w:rPr>
          <w:vertAlign w:val="subscript"/>
        </w:rPr>
        <w:t>detect,NR_Inter</w:t>
      </w:r>
      <w:r w:rsidRPr="007610E7">
        <w:rPr>
          <w:lang w:eastAsia="zh-CN"/>
        </w:rPr>
        <w:t xml:space="preserve"> and </w:t>
      </w:r>
      <w:r w:rsidRPr="007610E7">
        <w:rPr>
          <w:szCs w:val="24"/>
          <w:lang w:eastAsia="zh-CN"/>
        </w:rPr>
        <w:t>Ttrigger are defined in 4.2C.2.3 and 4.2C.2.4.</w:t>
      </w:r>
      <w:r>
        <w:rPr>
          <w:szCs w:val="24"/>
          <w:lang w:eastAsia="zh-CN"/>
        </w:rPr>
        <w:t xml:space="preserve"> A</w:t>
      </w:r>
      <w:r w:rsidRPr="00B307A0">
        <w:rPr>
          <w:szCs w:val="24"/>
          <w:lang w:eastAsia="zh-CN"/>
        </w:rPr>
        <w:t xml:space="preserve"> longer interruption can be expected</w:t>
      </w:r>
      <w:r>
        <w:rPr>
          <w:szCs w:val="24"/>
          <w:lang w:eastAsia="zh-CN"/>
        </w:rPr>
        <w:t xml:space="preserve"> if the target cell is unknown.</w:t>
      </w:r>
    </w:p>
    <w:p w14:paraId="567940DF" w14:textId="77777777" w:rsidR="00887846" w:rsidRPr="003C0ABF" w:rsidRDefault="00887846" w:rsidP="00887846">
      <w:pPr>
        <w:rPr>
          <w:rFonts w:eastAsia="Malgun Gothic"/>
          <w:lang w:eastAsia="ko-KR"/>
        </w:rPr>
      </w:pPr>
      <w:r w:rsidRPr="009C5807">
        <w:rPr>
          <w:lang w:eastAsia="ko-KR"/>
        </w:rPr>
        <w:t>These requirements assume sufficient radio conditions, so that decoding of system information can be made without errors and does not take into account cell re-selection failure.</w:t>
      </w:r>
    </w:p>
    <w:p w14:paraId="1BCFA65C" w14:textId="77777777" w:rsidR="008B5183" w:rsidRDefault="008B5183" w:rsidP="008B5183">
      <w:pPr>
        <w:pStyle w:val="Heading4"/>
      </w:pPr>
      <w:r w:rsidRPr="009C5807">
        <w:t>4.2</w:t>
      </w:r>
      <w:r>
        <w:t>C</w:t>
      </w:r>
      <w:r w:rsidRPr="009C5807">
        <w:t>.2.</w:t>
      </w:r>
      <w:r>
        <w:t>6</w:t>
      </w:r>
      <w:r w:rsidRPr="009C5807">
        <w:tab/>
        <w:t>Minimum requirement at transitions</w:t>
      </w:r>
    </w:p>
    <w:p w14:paraId="082DD1DF" w14:textId="066F1F85" w:rsidR="008B5183" w:rsidRDefault="00FE097D" w:rsidP="008B5183">
      <w:pPr>
        <w:rPr>
          <w:noProof/>
        </w:rPr>
      </w:pPr>
      <w:r w:rsidRPr="00DF0BF5">
        <w:rPr>
          <w:rFonts w:hint="eastAsia"/>
          <w:noProof/>
        </w:rPr>
        <w:t>The</w:t>
      </w:r>
      <w:r w:rsidRPr="00DF0BF5">
        <w:rPr>
          <w:noProof/>
        </w:rPr>
        <w:t xml:space="preserve"> requriements in clause </w:t>
      </w:r>
      <w:r>
        <w:rPr>
          <w:noProof/>
        </w:rPr>
        <w:t>4.2.2.</w:t>
      </w:r>
      <w:r>
        <w:rPr>
          <w:rFonts w:hint="eastAsia"/>
          <w:noProof/>
          <w:lang w:eastAsia="zh-CN"/>
        </w:rPr>
        <w:t>8</w:t>
      </w:r>
      <w:r>
        <w:rPr>
          <w:noProof/>
        </w:rPr>
        <w:t xml:space="preserve"> apply provided that </w:t>
      </w:r>
      <w:r>
        <w:t>target cell’s satellite</w:t>
      </w:r>
      <w:r>
        <w:rPr>
          <w:noProof/>
        </w:rPr>
        <w:t xml:space="preserve"> is GEO.</w:t>
      </w:r>
    </w:p>
    <w:p w14:paraId="60D8FF33" w14:textId="77777777" w:rsidR="008B5183" w:rsidRDefault="008B5183" w:rsidP="008B5183">
      <w:pPr>
        <w:rPr>
          <w:lang w:val="en-US" w:eastAsia="ko-KR"/>
        </w:rPr>
      </w:pPr>
    </w:p>
    <w:p w14:paraId="7FC3214A" w14:textId="77777777" w:rsidR="008B5183" w:rsidRPr="00885F53" w:rsidRDefault="008B5183" w:rsidP="008B5183">
      <w:pPr>
        <w:pStyle w:val="Heading4"/>
        <w:rPr>
          <w:lang w:val="en-US" w:eastAsia="zh-CN"/>
        </w:rPr>
      </w:pPr>
      <w:r>
        <w:rPr>
          <w:lang w:val="en-US" w:eastAsia="zh-CN"/>
        </w:rPr>
        <w:t>4.2C.2.7</w:t>
      </w:r>
      <w:r>
        <w:rPr>
          <w:lang w:val="en-US" w:eastAsia="zh-CN"/>
        </w:rPr>
        <w:tab/>
      </w:r>
      <w:r w:rsidRPr="00885F53">
        <w:rPr>
          <w:lang w:val="en-US" w:eastAsia="zh-CN"/>
        </w:rPr>
        <w:t>Measurements of intra-frequency NR cells</w:t>
      </w:r>
      <w:r>
        <w:rPr>
          <w:lang w:val="en-US" w:eastAsia="zh-CN"/>
        </w:rPr>
        <w:t xml:space="preserve"> for UE configured with relaxed measurement criterion</w:t>
      </w:r>
    </w:p>
    <w:p w14:paraId="7BE104F2" w14:textId="69094BF7" w:rsidR="008B5183" w:rsidRDefault="00FE097D" w:rsidP="008B5183">
      <w:pPr>
        <w:rPr>
          <w:noProof/>
        </w:rPr>
      </w:pPr>
      <w:r w:rsidRPr="00DF0BF5">
        <w:rPr>
          <w:rFonts w:hint="eastAsia"/>
          <w:noProof/>
        </w:rPr>
        <w:t>The</w:t>
      </w:r>
      <w:r w:rsidRPr="00DF0BF5">
        <w:rPr>
          <w:noProof/>
        </w:rPr>
        <w:t xml:space="preserve"> requriements in clause </w:t>
      </w:r>
      <w:r>
        <w:rPr>
          <w:noProof/>
        </w:rPr>
        <w:t>4.2.2.</w:t>
      </w:r>
      <w:r>
        <w:rPr>
          <w:rFonts w:hint="eastAsia"/>
          <w:noProof/>
          <w:lang w:eastAsia="zh-CN"/>
        </w:rPr>
        <w:t>9</w:t>
      </w:r>
      <w:r>
        <w:rPr>
          <w:noProof/>
        </w:rPr>
        <w:t xml:space="preserve"> apply provided that </w:t>
      </w:r>
      <w:r>
        <w:t>target cell’s satellite</w:t>
      </w:r>
      <w:r>
        <w:rPr>
          <w:noProof/>
        </w:rPr>
        <w:t xml:space="preserve"> is GEO.</w:t>
      </w:r>
    </w:p>
    <w:p w14:paraId="69D0BE91" w14:textId="77777777" w:rsidR="00FE097D" w:rsidRDefault="00FE097D" w:rsidP="008B5183">
      <w:pPr>
        <w:rPr>
          <w:noProof/>
        </w:rPr>
      </w:pPr>
    </w:p>
    <w:p w14:paraId="22AE6BE6" w14:textId="77777777" w:rsidR="00FE097D" w:rsidRPr="00885F53" w:rsidRDefault="00FE097D" w:rsidP="00FE097D">
      <w:pPr>
        <w:pStyle w:val="Heading4"/>
        <w:rPr>
          <w:lang w:val="en-US" w:eastAsia="zh-CN"/>
        </w:rPr>
      </w:pPr>
      <w:r>
        <w:rPr>
          <w:lang w:val="en-US" w:eastAsia="zh-CN"/>
        </w:rPr>
        <w:t>4.2C.2.</w:t>
      </w:r>
      <w:r>
        <w:rPr>
          <w:rFonts w:eastAsia="DengXian" w:hint="eastAsia"/>
          <w:lang w:val="en-US" w:eastAsia="zh-CN"/>
        </w:rPr>
        <w:t>8</w:t>
      </w:r>
      <w:r>
        <w:rPr>
          <w:lang w:val="en-US" w:eastAsia="zh-CN"/>
        </w:rPr>
        <w:tab/>
      </w:r>
      <w:r w:rsidRPr="00885F53">
        <w:rPr>
          <w:lang w:val="en-US" w:eastAsia="zh-CN"/>
        </w:rPr>
        <w:t>Measurements of int</w:t>
      </w:r>
      <w:r>
        <w:rPr>
          <w:rFonts w:eastAsia="DengXian" w:hint="eastAsia"/>
          <w:lang w:val="en-US" w:eastAsia="zh-CN"/>
        </w:rPr>
        <w:t>er</w:t>
      </w:r>
      <w:r w:rsidRPr="00885F53">
        <w:rPr>
          <w:lang w:val="en-US" w:eastAsia="zh-CN"/>
        </w:rPr>
        <w:t>-frequency NR cells</w:t>
      </w:r>
      <w:r>
        <w:rPr>
          <w:lang w:val="en-US" w:eastAsia="zh-CN"/>
        </w:rPr>
        <w:t xml:space="preserve"> for UE configured with relaxed measurement criterion</w:t>
      </w:r>
    </w:p>
    <w:p w14:paraId="186E2814" w14:textId="77777777" w:rsidR="00FE097D" w:rsidRDefault="00FE097D" w:rsidP="00FE097D">
      <w:pPr>
        <w:rPr>
          <w:noProof/>
        </w:rPr>
      </w:pPr>
      <w:r w:rsidRPr="00082331">
        <w:rPr>
          <w:noProof/>
        </w:rPr>
        <w:t>The requriements in clause 4.2.2.</w:t>
      </w:r>
      <w:r w:rsidRPr="00082331">
        <w:rPr>
          <w:rFonts w:eastAsia="DengXian"/>
          <w:noProof/>
          <w:lang w:eastAsia="zh-CN"/>
        </w:rPr>
        <w:t xml:space="preserve">10 </w:t>
      </w:r>
      <w:r w:rsidRPr="00082331">
        <w:rPr>
          <w:noProof/>
        </w:rPr>
        <w:t xml:space="preserve">apply provided that </w:t>
      </w:r>
      <w:r>
        <w:t>target cell’s satellite</w:t>
      </w:r>
      <w:r w:rsidRPr="00082331">
        <w:rPr>
          <w:noProof/>
        </w:rPr>
        <w:t xml:space="preserve"> is GEO.</w:t>
      </w:r>
    </w:p>
    <w:p w14:paraId="550452B8" w14:textId="77777777" w:rsidR="00FE097D" w:rsidRPr="00082331" w:rsidRDefault="00FE097D" w:rsidP="00FE097D">
      <w:pPr>
        <w:rPr>
          <w:lang w:eastAsia="zh-CN"/>
        </w:rPr>
      </w:pPr>
    </w:p>
    <w:p w14:paraId="43960CEB" w14:textId="24B42530" w:rsidR="00E70A36" w:rsidRPr="009C5807" w:rsidRDefault="00E70A36" w:rsidP="00E70A36">
      <w:pPr>
        <w:pStyle w:val="Heading4"/>
      </w:pPr>
      <w:r w:rsidRPr="009C5807">
        <w:t>4.2</w:t>
      </w:r>
      <w:r>
        <w:t>C.2.</w:t>
      </w:r>
      <w:r w:rsidR="00FE097D">
        <w:t>9</w:t>
      </w:r>
      <w:r w:rsidRPr="009C5807">
        <w:tab/>
        <w:t>General requirements</w:t>
      </w:r>
    </w:p>
    <w:p w14:paraId="4F5323ED" w14:textId="40CC6575" w:rsidR="00E70A36" w:rsidRDefault="00E70A36" w:rsidP="00E70A36">
      <w:r w:rsidRPr="009C5807">
        <w:t>The UE shall search every layer of higher priority at least every T</w:t>
      </w:r>
      <w:r w:rsidRPr="009C5807">
        <w:rPr>
          <w:vertAlign w:val="subscript"/>
        </w:rPr>
        <w:t>higher_priority_search</w:t>
      </w:r>
      <w:r w:rsidRPr="009C5807">
        <w:t xml:space="preserve"> = (</w:t>
      </w:r>
      <w:r w:rsidRPr="009C5807">
        <w:rPr>
          <w:lang w:eastAsia="zh-CN"/>
        </w:rPr>
        <w:t>60</w:t>
      </w:r>
      <w:r w:rsidRPr="009C5807">
        <w:t xml:space="preserve"> * N</w:t>
      </w:r>
      <w:r w:rsidRPr="009C5807">
        <w:rPr>
          <w:vertAlign w:val="subscript"/>
        </w:rPr>
        <w:t>layers</w:t>
      </w:r>
      <w:r w:rsidRPr="009C5807">
        <w:t>) seconds, where N</w:t>
      </w:r>
      <w:r w:rsidRPr="009C5807">
        <w:rPr>
          <w:vertAlign w:val="subscript"/>
        </w:rPr>
        <w:t>layers</w:t>
      </w:r>
      <w:r w:rsidRPr="009C5807">
        <w:t xml:space="preserve"> is the total number of higher priority NR carrier frequencies</w:t>
      </w:r>
      <w:r w:rsidRPr="009C5807">
        <w:rPr>
          <w:lang w:eastAsia="zh-CN"/>
        </w:rPr>
        <w:t xml:space="preserve"> broadcasted in system information</w:t>
      </w:r>
      <w:r w:rsidRPr="009C5807">
        <w:t>.</w:t>
      </w:r>
    </w:p>
    <w:p w14:paraId="7C5D0721" w14:textId="77777777" w:rsidR="00FE097D" w:rsidRPr="00DD3199" w:rsidRDefault="00FE097D" w:rsidP="00E70A36"/>
    <w:p w14:paraId="76DB48F9" w14:textId="7B40A918" w:rsidR="000B4F9B" w:rsidRPr="009C5807" w:rsidRDefault="000B4F9B" w:rsidP="000B4F9B">
      <w:pPr>
        <w:pStyle w:val="Heading2"/>
      </w:pPr>
      <w:r w:rsidRPr="009C5807">
        <w:t>4.3</w:t>
      </w:r>
      <w:r w:rsidRPr="009C5807">
        <w:tab/>
        <w:t>Minimization of Drive Tests (MDT)</w:t>
      </w:r>
    </w:p>
    <w:p w14:paraId="558B5EA9" w14:textId="77777777" w:rsidR="000B4F9B" w:rsidRPr="009C5807" w:rsidRDefault="000B4F9B" w:rsidP="000B4F9B">
      <w:pPr>
        <w:pStyle w:val="Heading3"/>
      </w:pPr>
      <w:bookmarkStart w:id="47" w:name="_Toc383690664"/>
      <w:r w:rsidRPr="009C5807">
        <w:t>4.3.1</w:t>
      </w:r>
      <w:r w:rsidRPr="009C5807">
        <w:tab/>
        <w:t>Introduction</w:t>
      </w:r>
      <w:bookmarkEnd w:id="47"/>
    </w:p>
    <w:p w14:paraId="5EBB49F1" w14:textId="77777777" w:rsidR="000B4F9B" w:rsidRPr="009C5807" w:rsidRDefault="000B4F9B" w:rsidP="000B4F9B">
      <w:r w:rsidRPr="009C5807">
        <w:t>UE supporting minimisation of drive tests in RRC_IDLE shall be capable of:</w:t>
      </w:r>
    </w:p>
    <w:p w14:paraId="52108681" w14:textId="2FD4FAE9" w:rsidR="000B4F9B" w:rsidRPr="009C5807" w:rsidRDefault="000B4F9B" w:rsidP="00A1174D">
      <w:pPr>
        <w:pStyle w:val="B10"/>
      </w:pPr>
      <w:r w:rsidRPr="009C5807">
        <w:t>-</w:t>
      </w:r>
      <w:r w:rsidRPr="009C5807">
        <w:tab/>
        <w:t>logging measurements in RRC_IDLE, reporting the logged measurements and meeting requirements in clause 4.3;</w:t>
      </w:r>
    </w:p>
    <w:p w14:paraId="5F04E88A" w14:textId="4AC6A22F" w:rsidR="000B4F9B" w:rsidRPr="009C5807" w:rsidRDefault="000B4F9B" w:rsidP="00A1174D">
      <w:pPr>
        <w:pStyle w:val="B10"/>
      </w:pPr>
      <w:r w:rsidRPr="009C5807">
        <w:t>-</w:t>
      </w:r>
      <w:r w:rsidRPr="009C5807">
        <w:tab/>
        <w:t>logging of RRC connection establishment failure, reporting the logged failure and meeting requirements in clause 4.3;</w:t>
      </w:r>
    </w:p>
    <w:p w14:paraId="5A59E2A1" w14:textId="772BA9E2" w:rsidR="000B4F9B" w:rsidRPr="009C5807" w:rsidRDefault="000B4F9B" w:rsidP="00A1174D">
      <w:pPr>
        <w:pStyle w:val="B10"/>
      </w:pPr>
      <w:r w:rsidRPr="009C5807">
        <w:t>-</w:t>
      </w:r>
      <w:r w:rsidRPr="009C5807">
        <w:tab/>
        <w:t>logging of radio link failure and handover failure, reporting the logged failure and meeting requirements in clause 4.3.</w:t>
      </w:r>
    </w:p>
    <w:p w14:paraId="455814ED" w14:textId="18B74C07" w:rsidR="000B4F9B" w:rsidRPr="009C5807" w:rsidRDefault="000B4F9B" w:rsidP="000B4F9B">
      <w:r w:rsidRPr="009C5807">
        <w:t xml:space="preserve">The logged MDT requirements consist of measurement requirements as specified in clause 4.3.2 and relative time stamp accuracy requirements as specified in clause 4.3.3. Both sets of requirements are applicable for intra-frequency, inter-frequency and inter-RAT cases in RRC_IDLE state. The MDT procedures are described in </w:t>
      </w:r>
      <w:r w:rsidRPr="009C5807">
        <w:rPr>
          <w:rFonts w:hint="eastAsia"/>
        </w:rPr>
        <w:t xml:space="preserve">TS 37.320 </w:t>
      </w:r>
      <w:r w:rsidRPr="009C5807">
        <w:t>[31]</w:t>
      </w:r>
      <w:r w:rsidRPr="009C5807">
        <w:rPr>
          <w:rFonts w:hint="eastAsia"/>
        </w:rPr>
        <w:t>.</w:t>
      </w:r>
    </w:p>
    <w:p w14:paraId="5F27AB27" w14:textId="77777777" w:rsidR="000B4F9B" w:rsidRPr="009C5807" w:rsidRDefault="000B4F9B" w:rsidP="000B4F9B">
      <w:r w:rsidRPr="009C5807">
        <w:t>For RRC connection establishment failure logging and reporting, the MDT requirements consist of requirements for measurements performed and logged in RRC_IDLE state specified in clause 4.3.2 and relative time stamp accuracy requirement for RRC connection establishment failure log reporting as specified in clause 4.3.4.</w:t>
      </w:r>
    </w:p>
    <w:p w14:paraId="0FDDD5F5" w14:textId="77777777" w:rsidR="000B4F9B" w:rsidRPr="009C5807" w:rsidRDefault="000B4F9B" w:rsidP="00A1174D">
      <w:pPr>
        <w:pStyle w:val="Heading3"/>
      </w:pPr>
      <w:bookmarkStart w:id="48" w:name="_Toc383690665"/>
      <w:r w:rsidRPr="009C5807">
        <w:t>4.3.2</w:t>
      </w:r>
      <w:r w:rsidRPr="009C5807">
        <w:tab/>
        <w:t>Measurement Requirements</w:t>
      </w:r>
      <w:bookmarkEnd w:id="48"/>
    </w:p>
    <w:p w14:paraId="4C65C2DD" w14:textId="77777777" w:rsidR="000B4F9B" w:rsidRPr="009C5807" w:rsidRDefault="000B4F9B" w:rsidP="000B4F9B">
      <w:r w:rsidRPr="009C5807">
        <w:t>The requirements specified in this clause apply for the following measurements performed and logged by the UE for MDT in RRC_IDLE:</w:t>
      </w:r>
    </w:p>
    <w:p w14:paraId="76F16E3A" w14:textId="7ACE670E" w:rsidR="000B4F9B" w:rsidRPr="009C5807" w:rsidRDefault="000B4F9B" w:rsidP="00A1174D">
      <w:pPr>
        <w:pStyle w:val="B10"/>
        <w:rPr>
          <w:lang w:val="sv-SE"/>
        </w:rPr>
      </w:pPr>
      <w:r w:rsidRPr="009C5807">
        <w:rPr>
          <w:lang w:val="sv-SE"/>
        </w:rPr>
        <w:t>-</w:t>
      </w:r>
      <w:r w:rsidRPr="009C5807">
        <w:rPr>
          <w:lang w:val="sv-FI"/>
        </w:rPr>
        <w:tab/>
      </w:r>
      <w:r w:rsidRPr="009C5807">
        <w:rPr>
          <w:lang w:val="sv-SE"/>
        </w:rPr>
        <w:t xml:space="preserve">inter-RAT E-UTRA FDD and TDD RSRP, </w:t>
      </w:r>
    </w:p>
    <w:p w14:paraId="271E8E06" w14:textId="52449525" w:rsidR="000B4F9B" w:rsidRPr="009C5807" w:rsidRDefault="000B4F9B" w:rsidP="00A1174D">
      <w:pPr>
        <w:pStyle w:val="B10"/>
        <w:rPr>
          <w:lang w:val="sv-SE"/>
        </w:rPr>
      </w:pPr>
      <w:r w:rsidRPr="009C5807">
        <w:rPr>
          <w:lang w:val="sv-SE"/>
        </w:rPr>
        <w:t>-</w:t>
      </w:r>
      <w:r w:rsidRPr="009C5807">
        <w:rPr>
          <w:lang w:val="sv-FI"/>
        </w:rPr>
        <w:tab/>
      </w:r>
      <w:r w:rsidRPr="009C5807">
        <w:rPr>
          <w:lang w:val="sv-SE"/>
        </w:rPr>
        <w:t>inter-RAT E-UTRA FDD and TDD RSRQ</w:t>
      </w:r>
      <w:r w:rsidRPr="009C5807">
        <w:rPr>
          <w:rFonts w:hint="eastAsia"/>
          <w:lang w:val="sv-SE"/>
        </w:rPr>
        <w:t xml:space="preserve">, </w:t>
      </w:r>
    </w:p>
    <w:p w14:paraId="5A3B45D5" w14:textId="14613E82" w:rsidR="000B4F9B" w:rsidRPr="009C5807" w:rsidRDefault="000B4F9B" w:rsidP="00A1174D">
      <w:pPr>
        <w:pStyle w:val="B10"/>
      </w:pPr>
      <w:r w:rsidRPr="009C5807">
        <w:t>-</w:t>
      </w:r>
      <w:r w:rsidRPr="009C5807">
        <w:tab/>
        <w:t>SS-</w:t>
      </w:r>
      <w:r w:rsidRPr="009C5807">
        <w:rPr>
          <w:rFonts w:hint="eastAsia"/>
        </w:rPr>
        <w:t>RSRP</w:t>
      </w:r>
      <w:r w:rsidRPr="009C5807">
        <w:t xml:space="preserve"> per cell,</w:t>
      </w:r>
      <w:r w:rsidRPr="009C5807">
        <w:rPr>
          <w:rFonts w:hint="eastAsia"/>
        </w:rPr>
        <w:t xml:space="preserve"> </w:t>
      </w:r>
    </w:p>
    <w:p w14:paraId="2EF2EB6D" w14:textId="49CF0EEF" w:rsidR="000B4F9B" w:rsidRPr="009C5807" w:rsidRDefault="000B4F9B" w:rsidP="00A1174D">
      <w:pPr>
        <w:pStyle w:val="B10"/>
      </w:pPr>
      <w:r w:rsidRPr="009C5807">
        <w:t>-</w:t>
      </w:r>
      <w:r w:rsidRPr="009C5807">
        <w:tab/>
        <w:t>SS-</w:t>
      </w:r>
      <w:r w:rsidRPr="009C5807">
        <w:rPr>
          <w:rFonts w:hint="eastAsia"/>
        </w:rPr>
        <w:t>RSRQ</w:t>
      </w:r>
      <w:r w:rsidRPr="009C5807">
        <w:t xml:space="preserve"> per cell, </w:t>
      </w:r>
    </w:p>
    <w:p w14:paraId="383E6F6B" w14:textId="774B9330" w:rsidR="000B4F9B" w:rsidRPr="009C5807" w:rsidRDefault="000B4F9B" w:rsidP="00A1174D">
      <w:pPr>
        <w:pStyle w:val="B10"/>
      </w:pPr>
      <w:r w:rsidRPr="009C5807">
        <w:t>-</w:t>
      </w:r>
      <w:r w:rsidRPr="009C5807">
        <w:tab/>
        <w:t>SS-RSRP per SSB index</w:t>
      </w:r>
      <w:r w:rsidRPr="009C5807">
        <w:rPr>
          <w:rFonts w:hint="eastAsia"/>
        </w:rPr>
        <w:t xml:space="preserve"> of the serving cell</w:t>
      </w:r>
      <w:r w:rsidRPr="009C5807">
        <w:t>,</w:t>
      </w:r>
    </w:p>
    <w:p w14:paraId="4E4525E6" w14:textId="105D02D5" w:rsidR="000B4F9B" w:rsidRPr="009C5807" w:rsidRDefault="000B4F9B" w:rsidP="00A1174D">
      <w:pPr>
        <w:pStyle w:val="B10"/>
      </w:pPr>
      <w:r w:rsidRPr="009C5807">
        <w:t>-</w:t>
      </w:r>
      <w:r w:rsidRPr="009C5807">
        <w:tab/>
        <w:t>SS-RSRQ per SSB index</w:t>
      </w:r>
      <w:r w:rsidRPr="009C5807">
        <w:rPr>
          <w:rFonts w:hint="eastAsia"/>
        </w:rPr>
        <w:t xml:space="preserve"> of the serving cell</w:t>
      </w:r>
      <w:r w:rsidRPr="009C5807">
        <w:t>,</w:t>
      </w:r>
    </w:p>
    <w:p w14:paraId="4DCBD414" w14:textId="1D31E5E5" w:rsidR="000B4F9B" w:rsidRPr="009C5807" w:rsidRDefault="000B4F9B" w:rsidP="00A1174D">
      <w:pPr>
        <w:pStyle w:val="B10"/>
      </w:pPr>
      <w:r w:rsidRPr="009C5807">
        <w:t>-</w:t>
      </w:r>
      <w:r w:rsidRPr="009C5807">
        <w:tab/>
        <w:t>best SSB index of the serving cell,</w:t>
      </w:r>
    </w:p>
    <w:p w14:paraId="1F93CFD8" w14:textId="1494C156" w:rsidR="000B4F9B" w:rsidRPr="009C5807" w:rsidRDefault="000B4F9B" w:rsidP="000B4F9B">
      <w:pPr>
        <w:pStyle w:val="B10"/>
      </w:pPr>
      <w:r w:rsidRPr="009C5807">
        <w:t>-</w:t>
      </w:r>
      <w:r w:rsidRPr="009C5807">
        <w:tab/>
        <w:t xml:space="preserve">the number of SSBs with different SSB index which are above the threshold </w:t>
      </w:r>
      <w:r w:rsidRPr="009C5807">
        <w:rPr>
          <w:i/>
        </w:rPr>
        <w:t>absThreshSS-BlocksConsolidation</w:t>
      </w:r>
      <w:r w:rsidRPr="009C5807">
        <w:t xml:space="preserve"> for all detected cells whose cell-ranking criterion R value is within </w:t>
      </w:r>
      <w:r w:rsidRPr="009C5807">
        <w:rPr>
          <w:i/>
        </w:rPr>
        <w:t>rangeToBestCell</w:t>
      </w:r>
      <w:r w:rsidRPr="009C5807">
        <w:t xml:space="preserve"> of the cell-ranking criterion R value of the highest ranked cell. </w:t>
      </w:r>
    </w:p>
    <w:p w14:paraId="04995D60" w14:textId="77777777" w:rsidR="000B4F9B" w:rsidRPr="009C5807" w:rsidRDefault="000B4F9B" w:rsidP="000B4F9B">
      <w:r w:rsidRPr="009C5807">
        <w:t>The requirements apply for the measurements included in logged MDT reports and RRC connection establishment failure reports.</w:t>
      </w:r>
    </w:p>
    <w:p w14:paraId="0A9FDF6E" w14:textId="77777777" w:rsidR="000B4F9B" w:rsidRPr="009C5807" w:rsidRDefault="000B4F9B" w:rsidP="000B4F9B">
      <w:r w:rsidRPr="009C5807">
        <w:t>The measurement values that are used to meet</w:t>
      </w:r>
    </w:p>
    <w:p w14:paraId="324B313D" w14:textId="5F0EC4E4" w:rsidR="000B4F9B" w:rsidRPr="009C5807" w:rsidRDefault="000B4F9B" w:rsidP="00EC505B">
      <w:pPr>
        <w:pStyle w:val="B10"/>
      </w:pPr>
      <w:r w:rsidRPr="009C5807">
        <w:t>-</w:t>
      </w:r>
      <w:r w:rsidR="00EC505B">
        <w:tab/>
      </w:r>
      <w:r w:rsidRPr="009C5807">
        <w:t>serving cell and reselection requirements as specified in clauses 4.2.2.</w:t>
      </w:r>
      <w:r w:rsidRPr="009C5807">
        <w:rPr>
          <w:rFonts w:hint="eastAsia"/>
        </w:rPr>
        <w:t>2</w:t>
      </w:r>
      <w:r w:rsidRPr="009C5807">
        <w:sym w:font="Symbol" w:char="F02D"/>
      </w:r>
      <w:r w:rsidRPr="009C5807">
        <w:t>4.2.2.7</w:t>
      </w:r>
    </w:p>
    <w:p w14:paraId="3F74FA11" w14:textId="22BF8816" w:rsidR="00EC505B" w:rsidRPr="009C5807" w:rsidRDefault="00EC505B" w:rsidP="00EC505B">
      <w:pPr>
        <w:pStyle w:val="B10"/>
      </w:pPr>
      <w:r>
        <w:t>-</w:t>
      </w:r>
      <w:r>
        <w:tab/>
      </w:r>
      <w:r w:rsidR="000B4F9B" w:rsidRPr="009C5807">
        <w:t xml:space="preserve">shall also </w:t>
      </w:r>
      <w:r w:rsidR="000B4F9B" w:rsidRPr="009C5807" w:rsidDel="005A3D12">
        <w:t xml:space="preserve">apply </w:t>
      </w:r>
      <w:r w:rsidR="000B4F9B" w:rsidRPr="009C5807">
        <w:t>to values</w:t>
      </w:r>
      <w:r w:rsidR="000B4F9B" w:rsidRPr="009C5807" w:rsidDel="005A3D12">
        <w:t xml:space="preserve"> </w:t>
      </w:r>
      <w:r w:rsidR="000B4F9B" w:rsidRPr="009C5807">
        <w:t>logged for MDT measurements in RRC_IDLE state.</w:t>
      </w:r>
    </w:p>
    <w:p w14:paraId="44453890" w14:textId="77777777" w:rsidR="000B4F9B" w:rsidRPr="009C5807" w:rsidRDefault="000B4F9B" w:rsidP="000B4F9B">
      <w:pPr>
        <w:pStyle w:val="Heading3"/>
      </w:pPr>
      <w:bookmarkStart w:id="49" w:name="_Toc383690667"/>
      <w:r w:rsidRPr="009C5807">
        <w:t>4.3.3</w:t>
      </w:r>
      <w:r w:rsidRPr="009C5807">
        <w:tab/>
        <w:t>Requirements for Relative Time Stamp Accuracy</w:t>
      </w:r>
      <w:bookmarkEnd w:id="49"/>
    </w:p>
    <w:p w14:paraId="2E97B48B" w14:textId="77777777" w:rsidR="000B4F9B" w:rsidRPr="009C5807" w:rsidRDefault="000B4F9B" w:rsidP="000B4F9B">
      <w:r w:rsidRPr="009C5807">
        <w:t>The relative time stamp for a logged measurement is defined as the time from the moment the MDT configuration was received at the UE until the measurement was logged, see TS 3</w:t>
      </w:r>
      <w:r w:rsidRPr="009C5807">
        <w:rPr>
          <w:rFonts w:hint="eastAsia"/>
        </w:rPr>
        <w:t>8</w:t>
      </w:r>
      <w:r w:rsidRPr="009C5807">
        <w:t>.331 [2].</w:t>
      </w:r>
    </w:p>
    <w:p w14:paraId="0CF6163C" w14:textId="77777777" w:rsidR="000B4F9B" w:rsidRPr="009C5807" w:rsidRDefault="000B4F9B" w:rsidP="000B4F9B">
      <w:r w:rsidRPr="009C5807">
        <w:t>The accuracy of the relative time stamping is such that the drift of the time stamping shall be not more than ± 2 seconds per hour.</w:t>
      </w:r>
    </w:p>
    <w:p w14:paraId="57BFB830" w14:textId="77777777" w:rsidR="000B4F9B" w:rsidRPr="009C5807" w:rsidRDefault="000B4F9B" w:rsidP="000B4F9B">
      <w:pPr>
        <w:pStyle w:val="Heading3"/>
      </w:pPr>
      <w:bookmarkStart w:id="50" w:name="_Toc383690669"/>
      <w:r w:rsidRPr="009C5807">
        <w:t>4.3.4</w:t>
      </w:r>
      <w:r w:rsidRPr="009C5807">
        <w:tab/>
        <w:t>Requirements for Relative Time Stamp Accuracy for RRC Connection Establishment Failure Log Reporting</w:t>
      </w:r>
      <w:bookmarkEnd w:id="50"/>
    </w:p>
    <w:p w14:paraId="7109F2B6" w14:textId="73F94B59" w:rsidR="000B4F9B" w:rsidRPr="009C5807" w:rsidRDefault="000B4F9B" w:rsidP="000B4F9B">
      <w:r w:rsidRPr="009C5807">
        <w:t>Relative time stamp for RRC connection establishment failure log reporting is defined as the time elapsed from the last RRC connection establishment failure to the time when the log is included in the report TS 3</w:t>
      </w:r>
      <w:r w:rsidRPr="009C5807">
        <w:rPr>
          <w:rFonts w:hint="eastAsia"/>
        </w:rPr>
        <w:t>8</w:t>
      </w:r>
      <w:r w:rsidRPr="009C5807">
        <w:t xml:space="preserve">.331 [2]. The UE shall report the RRC connection establishment failure log, while meeting the accuracy requirement specified in this </w:t>
      </w:r>
      <w:r w:rsidR="0063092D">
        <w:t>clause</w:t>
      </w:r>
      <w:r w:rsidRPr="009C5807">
        <w:t>.</w:t>
      </w:r>
    </w:p>
    <w:p w14:paraId="25B111D3" w14:textId="77777777" w:rsidR="000B4F9B" w:rsidRPr="009C5807" w:rsidRDefault="000B4F9B" w:rsidP="000B4F9B">
      <w:r w:rsidRPr="009C5807">
        <w:t>The accuracy of the relative time stamping for RRC connection establishment failure log reporting is such that the drift of the time stamping shall not be larger than ± 0.72 seconds per hour and ± 10 seconds over 48 hours. The relative time stamp accuracy requirements shall apply provided that:</w:t>
      </w:r>
    </w:p>
    <w:p w14:paraId="1505A019" w14:textId="77777777" w:rsidR="000B4F9B" w:rsidRPr="009C5807" w:rsidRDefault="000B4F9B" w:rsidP="000B4F9B">
      <w:pPr>
        <w:pStyle w:val="B10"/>
      </w:pPr>
      <w:r w:rsidRPr="009C5807">
        <w:t>-</w:t>
      </w:r>
      <w:r w:rsidRPr="009C5807">
        <w:tab/>
        <w:t>no power off or detach occurs after the RRC connection establishment failure had been detected and until the log is time-stamped.</w:t>
      </w:r>
    </w:p>
    <w:p w14:paraId="13DBADC2" w14:textId="77777777" w:rsidR="000B4F9B" w:rsidRPr="009C5807" w:rsidRDefault="000B4F9B" w:rsidP="000B4F9B">
      <w:pPr>
        <w:pStyle w:val="Heading3"/>
      </w:pPr>
      <w:bookmarkStart w:id="51" w:name="_Toc383690671"/>
      <w:r w:rsidRPr="009C5807">
        <w:t>4.3.5</w:t>
      </w:r>
      <w:r w:rsidRPr="009C5807">
        <w:tab/>
        <w:t>Requirements for Relative Time Stamp Accuracy for Radio Link Failure and Handover Failure Log Reporting</w:t>
      </w:r>
      <w:bookmarkEnd w:id="51"/>
    </w:p>
    <w:p w14:paraId="6DA5BAAC" w14:textId="4AB2142B" w:rsidR="000B4F9B" w:rsidRPr="009C5807" w:rsidRDefault="000B4F9B" w:rsidP="00125AB5">
      <w:r w:rsidRPr="009C5807">
        <w:t>The UE shall report the radio link and handover failure log, while meeting the accuracy requirements specified in this clause.</w:t>
      </w:r>
    </w:p>
    <w:p w14:paraId="09F75877" w14:textId="77777777" w:rsidR="000B4F9B" w:rsidRPr="009C5807" w:rsidRDefault="000B4F9B" w:rsidP="00125AB5">
      <w:r w:rsidRPr="009C5807">
        <w:t xml:space="preserve">Relative time stamp accuracy requirements for </w:t>
      </w:r>
      <w:r w:rsidRPr="009C5807">
        <w:rPr>
          <w:i/>
        </w:rPr>
        <w:t>timeSinceFailure</w:t>
      </w:r>
      <w:r w:rsidRPr="009C5807">
        <w:t xml:space="preserve"> reported for MDT in a radio link failure or handover failure log are specified in this clause. </w:t>
      </w:r>
      <w:r w:rsidRPr="009C5807">
        <w:rPr>
          <w:i/>
        </w:rPr>
        <w:t>timeSinceFailure</w:t>
      </w:r>
      <w:r w:rsidRPr="009C5807">
        <w:t xml:space="preserve"> determines the time elapsed from the last radio link failure or handover failure in </w:t>
      </w:r>
      <w:r w:rsidRPr="009C5807">
        <w:rPr>
          <w:rFonts w:hint="eastAsia"/>
        </w:rPr>
        <w:t>NR</w:t>
      </w:r>
      <w:r w:rsidRPr="009C5807">
        <w:t xml:space="preserve"> to the time when the log is included in the report TS 3</w:t>
      </w:r>
      <w:r w:rsidRPr="009C5807">
        <w:rPr>
          <w:rFonts w:hint="eastAsia"/>
        </w:rPr>
        <w:t>8</w:t>
      </w:r>
      <w:r w:rsidRPr="009C5807">
        <w:t>.331 [2].</w:t>
      </w:r>
    </w:p>
    <w:p w14:paraId="710989FF" w14:textId="77777777" w:rsidR="000B4F9B" w:rsidRPr="009C5807" w:rsidRDefault="000B4F9B" w:rsidP="00125AB5">
      <w:r w:rsidRPr="009C5807">
        <w:t xml:space="preserve">The accuracy of the relative time stamping for </w:t>
      </w:r>
      <w:r w:rsidRPr="009C5807">
        <w:rPr>
          <w:i/>
        </w:rPr>
        <w:t>timeSinceFailure</w:t>
      </w:r>
      <w:r w:rsidRPr="009C5807">
        <w:t xml:space="preserve"> is such that the drift of the time stamping shall not be larger than ± 0.72 seconds per hour and ± 10 seconds over 48 hours. These relative time stamp accuracy requirements shall apply provided that:</w:t>
      </w:r>
    </w:p>
    <w:p w14:paraId="15FFE164" w14:textId="4D2E06C3" w:rsidR="000B4F9B" w:rsidRDefault="000B4F9B" w:rsidP="00125AB5">
      <w:pPr>
        <w:pStyle w:val="B10"/>
      </w:pPr>
      <w:r w:rsidRPr="009C5807">
        <w:t>-</w:t>
      </w:r>
      <w:r w:rsidRPr="009C5807">
        <w:tab/>
        <w:t>no power off or detach occurs after the RLF or handover failure had been detected and until the log is time-stamped.</w:t>
      </w:r>
    </w:p>
    <w:p w14:paraId="5FA8F1D4" w14:textId="77777777" w:rsidR="004812CD" w:rsidRPr="00474A77" w:rsidRDefault="004812CD" w:rsidP="004812CD">
      <w:pPr>
        <w:pStyle w:val="Heading2"/>
      </w:pPr>
      <w:r w:rsidRPr="00474A77">
        <w:t>4.3</w:t>
      </w:r>
      <w:r>
        <w:t>C</w:t>
      </w:r>
      <w:r w:rsidRPr="00474A77">
        <w:tab/>
        <w:t xml:space="preserve">Minimization of Drive Tests (MDT) for </w:t>
      </w:r>
      <w:r>
        <w:t>Satellite Access</w:t>
      </w:r>
    </w:p>
    <w:p w14:paraId="6EBA3B3A" w14:textId="77777777" w:rsidR="004812CD" w:rsidRPr="00474A77" w:rsidRDefault="004812CD" w:rsidP="004812CD">
      <w:pPr>
        <w:rPr>
          <w:rFonts w:eastAsia="SimSun"/>
          <w:i/>
          <w:iCs/>
        </w:rPr>
      </w:pPr>
      <w:r w:rsidRPr="00474A77">
        <w:rPr>
          <w:rFonts w:eastAsia="SimSun"/>
          <w:i/>
          <w:iCs/>
        </w:rPr>
        <w:t>Editor’s note: the exact signalling names in the clause and values are subject to confirmation by RAN2 and change during performance requirement phase, respectively. And the brackets shall be removed by further agreements.</w:t>
      </w:r>
    </w:p>
    <w:p w14:paraId="797F0BD0" w14:textId="77777777" w:rsidR="004812CD" w:rsidRPr="00474A77" w:rsidRDefault="004812CD" w:rsidP="004812CD">
      <w:pPr>
        <w:pStyle w:val="Heading3"/>
      </w:pPr>
      <w:r w:rsidRPr="00474A77">
        <w:t>4.3</w:t>
      </w:r>
      <w:r>
        <w:t>C</w:t>
      </w:r>
      <w:r w:rsidRPr="00474A77">
        <w:t>.1</w:t>
      </w:r>
      <w:r w:rsidRPr="00474A77">
        <w:tab/>
        <w:t>Introduction</w:t>
      </w:r>
    </w:p>
    <w:p w14:paraId="19F5328F" w14:textId="77777777" w:rsidR="004812CD" w:rsidRPr="00474A77" w:rsidRDefault="004812CD" w:rsidP="004812CD">
      <w:pPr>
        <w:rPr>
          <w:rFonts w:eastAsia="SimSun"/>
        </w:rPr>
      </w:pPr>
      <w:r w:rsidRPr="00474A77">
        <w:rPr>
          <w:rFonts w:eastAsia="SimSun"/>
        </w:rPr>
        <w:t>UE supporting minimisation of drive tests in RRC_IDLE shall be capable of:</w:t>
      </w:r>
    </w:p>
    <w:p w14:paraId="4401F604" w14:textId="2041AE69" w:rsidR="00FE097D" w:rsidRPr="00474A77" w:rsidRDefault="00FE097D" w:rsidP="00FE097D">
      <w:pPr>
        <w:pStyle w:val="B10"/>
        <w:rPr>
          <w:lang w:val="en-US"/>
        </w:rPr>
      </w:pPr>
      <w:r w:rsidRPr="00474A77">
        <w:t>-</w:t>
      </w:r>
      <w:r w:rsidRPr="00474A77">
        <w:tab/>
        <w:t>logging measurements in RRC_IDLE, reporting the logged measurements and meeting requirements in clause 4.3</w:t>
      </w:r>
      <w:r>
        <w:t>C</w:t>
      </w:r>
      <w:r w:rsidRPr="00474A77">
        <w:t>;</w:t>
      </w:r>
    </w:p>
    <w:p w14:paraId="1A47DEEF" w14:textId="5492418A" w:rsidR="00FE097D" w:rsidRPr="00474A77" w:rsidRDefault="00FE097D" w:rsidP="00FE097D">
      <w:pPr>
        <w:pStyle w:val="B10"/>
      </w:pPr>
      <w:r w:rsidRPr="00474A77">
        <w:t>-</w:t>
      </w:r>
      <w:r w:rsidRPr="00474A77">
        <w:tab/>
        <w:t>logging of RRC connection establishment failure, reporting the logged failure and meeting requirements in clause 4.3</w:t>
      </w:r>
      <w:r>
        <w:t>C</w:t>
      </w:r>
      <w:r w:rsidRPr="00474A77">
        <w:t>;</w:t>
      </w:r>
    </w:p>
    <w:p w14:paraId="1633308F" w14:textId="5089D2A3" w:rsidR="004812CD" w:rsidRPr="00474A77" w:rsidRDefault="00FE097D" w:rsidP="00FE097D">
      <w:pPr>
        <w:pStyle w:val="B10"/>
      </w:pPr>
      <w:r w:rsidRPr="00474A77">
        <w:t>-</w:t>
      </w:r>
      <w:r w:rsidRPr="00474A77">
        <w:tab/>
        <w:t>logging of radio link failure and handover failure, reporting the logged failure and meeting requirements in clause 4.3</w:t>
      </w:r>
      <w:r>
        <w:t>C</w:t>
      </w:r>
      <w:r w:rsidRPr="00474A77">
        <w:t>.</w:t>
      </w:r>
    </w:p>
    <w:p w14:paraId="006E8699" w14:textId="3E611A00" w:rsidR="00FE097D" w:rsidRPr="00474A77" w:rsidRDefault="00FE097D" w:rsidP="00FE097D">
      <w:pPr>
        <w:rPr>
          <w:rFonts w:eastAsia="SimSun"/>
        </w:rPr>
      </w:pPr>
      <w:r w:rsidRPr="00474A77">
        <w:rPr>
          <w:rFonts w:eastAsia="SimSun"/>
        </w:rPr>
        <w:t>The logged MDT requirements consist of measurement requirements as specified in clause </w:t>
      </w:r>
      <w:r>
        <w:rPr>
          <w:rFonts w:eastAsia="SimSun"/>
        </w:rPr>
        <w:t>4.3C.2</w:t>
      </w:r>
      <w:r w:rsidRPr="00474A77">
        <w:rPr>
          <w:rFonts w:eastAsia="SimSun"/>
        </w:rPr>
        <w:t xml:space="preserve"> and relative time stamp accuracy requirements as specified in clause </w:t>
      </w:r>
      <w:r>
        <w:rPr>
          <w:rFonts w:eastAsia="SimSun"/>
        </w:rPr>
        <w:t>4.3C</w:t>
      </w:r>
      <w:r w:rsidRPr="00474A77">
        <w:rPr>
          <w:rFonts w:eastAsia="SimSun"/>
        </w:rPr>
        <w:t xml:space="preserve">.3. Both sets of requirements are applicable for intra-frequency, inter-frequency and inter-RAT cases in RRC_IDLE state. The MDT procedures are described in </w:t>
      </w:r>
      <w:r w:rsidRPr="00474A77">
        <w:rPr>
          <w:rFonts w:eastAsia="SimSun" w:hint="eastAsia"/>
        </w:rPr>
        <w:t xml:space="preserve">TS 37.320 </w:t>
      </w:r>
      <w:r w:rsidRPr="00474A77">
        <w:rPr>
          <w:rFonts w:eastAsia="SimSun"/>
        </w:rPr>
        <w:t>[31]</w:t>
      </w:r>
      <w:r w:rsidRPr="00474A77">
        <w:rPr>
          <w:rFonts w:eastAsia="SimSun" w:hint="eastAsia"/>
        </w:rPr>
        <w:t>.</w:t>
      </w:r>
    </w:p>
    <w:p w14:paraId="12AD55E2" w14:textId="7D8ACB17" w:rsidR="004812CD" w:rsidRDefault="00FE097D" w:rsidP="00FE097D">
      <w:pPr>
        <w:rPr>
          <w:rFonts w:eastAsia="SimSun"/>
        </w:rPr>
      </w:pPr>
      <w:r w:rsidRPr="00474A77">
        <w:rPr>
          <w:rFonts w:eastAsia="SimSun"/>
        </w:rPr>
        <w:t>For RRC connection establishment failure logging and reporting, the MDT requirements consist of requirements for measurements performed and logged in RRC_IDLE state specified in clause </w:t>
      </w:r>
      <w:r>
        <w:rPr>
          <w:rFonts w:eastAsia="SimSun"/>
        </w:rPr>
        <w:t>4.3C.2</w:t>
      </w:r>
      <w:r w:rsidRPr="00474A77">
        <w:rPr>
          <w:rFonts w:eastAsia="SimSun"/>
        </w:rPr>
        <w:t xml:space="preserve"> and relative time stamp accuracy requirement for RRC connection establishment failure log reporting as specified in clause </w:t>
      </w:r>
      <w:r>
        <w:rPr>
          <w:rFonts w:eastAsia="SimSun"/>
        </w:rPr>
        <w:t>4.3C</w:t>
      </w:r>
      <w:r w:rsidRPr="00474A77">
        <w:rPr>
          <w:rFonts w:eastAsia="SimSun"/>
        </w:rPr>
        <w:t>.4.</w:t>
      </w:r>
    </w:p>
    <w:p w14:paraId="1EC468C4" w14:textId="77777777" w:rsidR="004812CD" w:rsidRPr="00474A77" w:rsidRDefault="004812CD" w:rsidP="004812CD">
      <w:pPr>
        <w:rPr>
          <w:rFonts w:eastAsia="SimSun"/>
        </w:rPr>
      </w:pPr>
    </w:p>
    <w:p w14:paraId="6FF3DA60" w14:textId="77777777" w:rsidR="004812CD" w:rsidRPr="00474A77" w:rsidRDefault="004812CD" w:rsidP="004812CD">
      <w:pPr>
        <w:pStyle w:val="Heading3"/>
      </w:pPr>
      <w:r>
        <w:t>4.3C.2</w:t>
      </w:r>
      <w:r w:rsidRPr="00474A77">
        <w:tab/>
        <w:t>Measurement Requirements</w:t>
      </w:r>
    </w:p>
    <w:p w14:paraId="790D9766" w14:textId="77777777" w:rsidR="004812CD" w:rsidRPr="00474A77" w:rsidRDefault="004812CD" w:rsidP="004812CD">
      <w:pPr>
        <w:rPr>
          <w:rFonts w:eastAsia="SimSun"/>
        </w:rPr>
      </w:pPr>
      <w:r w:rsidRPr="00474A77">
        <w:rPr>
          <w:rFonts w:eastAsia="SimSun"/>
        </w:rPr>
        <w:t>The requirements specified in this clause apply for the following measurements performed and logged by the UE for MDT in RRC_IDLE:</w:t>
      </w:r>
    </w:p>
    <w:p w14:paraId="19760E15" w14:textId="77777777" w:rsidR="004812CD" w:rsidRPr="00474A77" w:rsidRDefault="004812CD" w:rsidP="004812CD">
      <w:pPr>
        <w:pStyle w:val="B10"/>
      </w:pPr>
      <w:r w:rsidRPr="00474A77">
        <w:t>-</w:t>
      </w:r>
      <w:r w:rsidRPr="00474A77">
        <w:tab/>
        <w:t>SS-</w:t>
      </w:r>
      <w:r w:rsidRPr="00474A77">
        <w:rPr>
          <w:rFonts w:hint="eastAsia"/>
        </w:rPr>
        <w:t>RSRP</w:t>
      </w:r>
      <w:r w:rsidRPr="00474A77">
        <w:t xml:space="preserve"> per cell,</w:t>
      </w:r>
      <w:r w:rsidRPr="00474A77">
        <w:rPr>
          <w:rFonts w:hint="eastAsia"/>
        </w:rPr>
        <w:t xml:space="preserve"> </w:t>
      </w:r>
    </w:p>
    <w:p w14:paraId="6106F001" w14:textId="77777777" w:rsidR="004812CD" w:rsidRPr="00474A77" w:rsidRDefault="004812CD" w:rsidP="004812CD">
      <w:pPr>
        <w:pStyle w:val="B10"/>
      </w:pPr>
      <w:r w:rsidRPr="00474A77">
        <w:t>-</w:t>
      </w:r>
      <w:r w:rsidRPr="00474A77">
        <w:tab/>
        <w:t>SS-</w:t>
      </w:r>
      <w:r w:rsidRPr="00474A77">
        <w:rPr>
          <w:rFonts w:hint="eastAsia"/>
        </w:rPr>
        <w:t>RSRQ</w:t>
      </w:r>
      <w:r w:rsidRPr="00474A77">
        <w:t xml:space="preserve"> per cell, </w:t>
      </w:r>
    </w:p>
    <w:p w14:paraId="62322EED" w14:textId="77777777" w:rsidR="004812CD" w:rsidRPr="00474A77" w:rsidRDefault="004812CD" w:rsidP="004812CD">
      <w:pPr>
        <w:pStyle w:val="B10"/>
      </w:pPr>
      <w:r w:rsidRPr="00474A77">
        <w:t>-</w:t>
      </w:r>
      <w:r w:rsidRPr="00474A77">
        <w:tab/>
        <w:t>SS-RSRP per SSB index</w:t>
      </w:r>
      <w:r w:rsidRPr="00474A77">
        <w:rPr>
          <w:rFonts w:hint="eastAsia"/>
        </w:rPr>
        <w:t xml:space="preserve"> of the serving cell</w:t>
      </w:r>
      <w:r w:rsidRPr="00474A77">
        <w:t>,</w:t>
      </w:r>
    </w:p>
    <w:p w14:paraId="3A3F2EC3" w14:textId="77777777" w:rsidR="004812CD" w:rsidRPr="00474A77" w:rsidRDefault="004812CD" w:rsidP="004812CD">
      <w:pPr>
        <w:pStyle w:val="B10"/>
      </w:pPr>
      <w:r w:rsidRPr="00474A77">
        <w:t>-</w:t>
      </w:r>
      <w:r w:rsidRPr="00474A77">
        <w:tab/>
        <w:t>SS-RSRQ per SSB index</w:t>
      </w:r>
      <w:r w:rsidRPr="00474A77">
        <w:rPr>
          <w:rFonts w:hint="eastAsia"/>
        </w:rPr>
        <w:t xml:space="preserve"> of the serving cell</w:t>
      </w:r>
      <w:r w:rsidRPr="00474A77">
        <w:t>,</w:t>
      </w:r>
    </w:p>
    <w:p w14:paraId="24F1C190" w14:textId="77777777" w:rsidR="004812CD" w:rsidRPr="00474A77" w:rsidRDefault="004812CD" w:rsidP="004812CD">
      <w:pPr>
        <w:pStyle w:val="B10"/>
      </w:pPr>
      <w:r w:rsidRPr="00474A77">
        <w:t>-</w:t>
      </w:r>
      <w:r w:rsidRPr="00474A77">
        <w:tab/>
        <w:t>best SSB index of the serving cell,</w:t>
      </w:r>
    </w:p>
    <w:p w14:paraId="699B792B" w14:textId="77777777" w:rsidR="004812CD" w:rsidRPr="00474A77" w:rsidRDefault="004812CD" w:rsidP="004812CD">
      <w:pPr>
        <w:pStyle w:val="B10"/>
      </w:pPr>
      <w:r w:rsidRPr="00474A77">
        <w:t>-</w:t>
      </w:r>
      <w:r w:rsidRPr="00474A77">
        <w:tab/>
        <w:t xml:space="preserve">the number of SSBs with different SSB index which are above the threshold </w:t>
      </w:r>
      <w:r w:rsidRPr="00474A77">
        <w:rPr>
          <w:i/>
        </w:rPr>
        <w:t>absThreshSS-BlocksConsolidation</w:t>
      </w:r>
      <w:r w:rsidRPr="00474A77">
        <w:t xml:space="preserve"> for all detected cells whose cell-ranking criterion R value is within </w:t>
      </w:r>
      <w:r w:rsidRPr="00474A77">
        <w:rPr>
          <w:i/>
        </w:rPr>
        <w:t>rangeToBestCell</w:t>
      </w:r>
      <w:r w:rsidRPr="00474A77">
        <w:t xml:space="preserve"> of the cell-ranking criterion R value of the highest ranked cell. </w:t>
      </w:r>
    </w:p>
    <w:p w14:paraId="0C8447E2" w14:textId="77777777" w:rsidR="004812CD" w:rsidRPr="00474A77" w:rsidRDefault="004812CD" w:rsidP="004812CD">
      <w:pPr>
        <w:rPr>
          <w:rFonts w:eastAsia="SimSun"/>
        </w:rPr>
      </w:pPr>
      <w:r w:rsidRPr="00474A77">
        <w:rPr>
          <w:rFonts w:eastAsia="SimSun"/>
        </w:rPr>
        <w:t>The requirements apply for the measurements included in logged MDT reports and RRC connection establishment failure reports.</w:t>
      </w:r>
    </w:p>
    <w:p w14:paraId="49C653BC" w14:textId="77777777" w:rsidR="004812CD" w:rsidRPr="00474A77" w:rsidRDefault="004812CD" w:rsidP="004812CD">
      <w:pPr>
        <w:rPr>
          <w:rFonts w:eastAsia="SimSun"/>
        </w:rPr>
      </w:pPr>
      <w:r w:rsidRPr="00474A77">
        <w:rPr>
          <w:rFonts w:eastAsia="SimSun"/>
        </w:rPr>
        <w:t>The measurement values that are used to meet</w:t>
      </w:r>
    </w:p>
    <w:p w14:paraId="58873AB2" w14:textId="43AE39BF" w:rsidR="004812CD" w:rsidRPr="00474A77" w:rsidRDefault="004812CD">
      <w:pPr>
        <w:pStyle w:val="B10"/>
        <w:numPr>
          <w:ilvl w:val="0"/>
          <w:numId w:val="14"/>
        </w:numPr>
        <w:overflowPunct/>
        <w:autoSpaceDE/>
        <w:autoSpaceDN/>
        <w:adjustRightInd/>
        <w:textAlignment w:val="auto"/>
      </w:pPr>
      <w:r w:rsidRPr="00474A77">
        <w:t xml:space="preserve">serving cell and reselection requirements as specified in </w:t>
      </w:r>
      <w:r w:rsidR="00FE097D" w:rsidRPr="00474A77">
        <w:t xml:space="preserve">clauses </w:t>
      </w:r>
      <w:r w:rsidR="00FE097D">
        <w:t>4.2C</w:t>
      </w:r>
      <w:r w:rsidR="00FE097D" w:rsidRPr="00474A77">
        <w:t>.2.</w:t>
      </w:r>
      <w:r w:rsidR="00FE097D" w:rsidRPr="00474A77">
        <w:rPr>
          <w:rFonts w:hint="eastAsia"/>
        </w:rPr>
        <w:t>2</w:t>
      </w:r>
      <w:r w:rsidR="00FE097D" w:rsidRPr="00474A77">
        <w:sym w:font="Symbol" w:char="F02D"/>
      </w:r>
      <w:r w:rsidR="00FE097D">
        <w:t>4.2C</w:t>
      </w:r>
      <w:r w:rsidR="00FE097D" w:rsidRPr="00474A77">
        <w:t>.2.</w:t>
      </w:r>
      <w:r w:rsidR="00FE097D">
        <w:rPr>
          <w:rFonts w:hint="eastAsia"/>
          <w:lang w:eastAsia="zh-CN"/>
        </w:rPr>
        <w:t>9</w:t>
      </w:r>
    </w:p>
    <w:p w14:paraId="56E3B1FA" w14:textId="77777777" w:rsidR="004812CD" w:rsidRDefault="004812CD" w:rsidP="004812CD">
      <w:pPr>
        <w:rPr>
          <w:rFonts w:eastAsia="SimSun"/>
        </w:rPr>
      </w:pPr>
      <w:r w:rsidRPr="00474A77">
        <w:rPr>
          <w:rFonts w:eastAsia="SimSun"/>
        </w:rPr>
        <w:t xml:space="preserve">shall also </w:t>
      </w:r>
      <w:r w:rsidRPr="00474A77" w:rsidDel="005A3D12">
        <w:rPr>
          <w:rFonts w:eastAsia="SimSun"/>
        </w:rPr>
        <w:t xml:space="preserve">apply </w:t>
      </w:r>
      <w:r w:rsidRPr="00474A77">
        <w:rPr>
          <w:rFonts w:eastAsia="SimSun"/>
        </w:rPr>
        <w:t>to values</w:t>
      </w:r>
      <w:r w:rsidRPr="00474A77" w:rsidDel="005A3D12">
        <w:rPr>
          <w:rFonts w:eastAsia="SimSun"/>
        </w:rPr>
        <w:t xml:space="preserve"> </w:t>
      </w:r>
      <w:r w:rsidRPr="00474A77">
        <w:rPr>
          <w:rFonts w:eastAsia="SimSun"/>
        </w:rPr>
        <w:t>logged for MDT measurements in RRC_IDLE state.</w:t>
      </w:r>
    </w:p>
    <w:p w14:paraId="782FB290" w14:textId="77777777" w:rsidR="004812CD" w:rsidRPr="00474A77" w:rsidRDefault="004812CD" w:rsidP="004812CD">
      <w:pPr>
        <w:rPr>
          <w:rFonts w:eastAsia="SimSun"/>
        </w:rPr>
      </w:pPr>
    </w:p>
    <w:p w14:paraId="58E229FC" w14:textId="77777777" w:rsidR="004812CD" w:rsidRPr="00474A77" w:rsidRDefault="004812CD" w:rsidP="004812CD">
      <w:pPr>
        <w:pStyle w:val="Heading3"/>
      </w:pPr>
      <w:r>
        <w:t>4.3C</w:t>
      </w:r>
      <w:r w:rsidRPr="00474A77">
        <w:t>.3</w:t>
      </w:r>
      <w:r w:rsidRPr="00474A77">
        <w:tab/>
        <w:t>Requirements for Relative Time Stamp Accuracy</w:t>
      </w:r>
    </w:p>
    <w:p w14:paraId="77718322" w14:textId="77777777" w:rsidR="004812CD" w:rsidRPr="00474A77" w:rsidRDefault="004812CD" w:rsidP="004812CD">
      <w:pPr>
        <w:rPr>
          <w:rFonts w:eastAsia="SimSun"/>
        </w:rPr>
      </w:pPr>
      <w:r w:rsidRPr="00474A77">
        <w:rPr>
          <w:rFonts w:eastAsia="SimSun"/>
        </w:rPr>
        <w:t>The relative time stamp for a logged measurement is defined as the time from the moment the MDT configuration was received at the UE until the measurement was logged, see TS 3</w:t>
      </w:r>
      <w:r w:rsidRPr="00474A77">
        <w:rPr>
          <w:rFonts w:eastAsia="SimSun" w:hint="eastAsia"/>
        </w:rPr>
        <w:t>8</w:t>
      </w:r>
      <w:r w:rsidRPr="00474A77">
        <w:rPr>
          <w:rFonts w:eastAsia="SimSun"/>
        </w:rPr>
        <w:t>.331 [2].</w:t>
      </w:r>
    </w:p>
    <w:p w14:paraId="58C0A058" w14:textId="77777777" w:rsidR="004812CD" w:rsidRDefault="004812CD" w:rsidP="004812CD">
      <w:pPr>
        <w:rPr>
          <w:rFonts w:eastAsia="SimSun"/>
        </w:rPr>
      </w:pPr>
      <w:r w:rsidRPr="00474A77">
        <w:rPr>
          <w:rFonts w:eastAsia="SimSun"/>
        </w:rPr>
        <w:t>The accuracy of the relative time stamping is such that the drift of the time stamping shall be not more than ± 2 seconds per hour.</w:t>
      </w:r>
    </w:p>
    <w:p w14:paraId="70D42682" w14:textId="77777777" w:rsidR="004812CD" w:rsidRPr="00474A77" w:rsidRDefault="004812CD" w:rsidP="004812CD">
      <w:pPr>
        <w:rPr>
          <w:rFonts w:eastAsia="SimSun"/>
        </w:rPr>
      </w:pPr>
    </w:p>
    <w:p w14:paraId="15D64190" w14:textId="77777777" w:rsidR="004812CD" w:rsidRPr="00474A77" w:rsidRDefault="004812CD" w:rsidP="004812CD">
      <w:pPr>
        <w:pStyle w:val="Heading3"/>
      </w:pPr>
      <w:r>
        <w:t>4.3C</w:t>
      </w:r>
      <w:r w:rsidRPr="00474A77">
        <w:t>.4</w:t>
      </w:r>
      <w:r w:rsidRPr="00474A77">
        <w:tab/>
        <w:t>Requirements for Relative Time Stamp Accuracy for RRC Connection Establishment Failure Log Reporting</w:t>
      </w:r>
    </w:p>
    <w:p w14:paraId="579E005C" w14:textId="77777777" w:rsidR="004812CD" w:rsidRPr="00474A77" w:rsidRDefault="004812CD" w:rsidP="004812CD">
      <w:pPr>
        <w:rPr>
          <w:rFonts w:eastAsia="SimSun"/>
        </w:rPr>
      </w:pPr>
      <w:r w:rsidRPr="00474A77">
        <w:rPr>
          <w:rFonts w:eastAsia="SimSun"/>
        </w:rPr>
        <w:t>Relative time stamp for RRC connection establishment failure log reporting is defined as the time elapsed from the last RRC connection establishment failure to the time when the log is included in the report TS 3</w:t>
      </w:r>
      <w:r w:rsidRPr="00474A77">
        <w:rPr>
          <w:rFonts w:eastAsia="SimSun" w:hint="eastAsia"/>
        </w:rPr>
        <w:t>8</w:t>
      </w:r>
      <w:r w:rsidRPr="00474A77">
        <w:rPr>
          <w:rFonts w:eastAsia="SimSun"/>
        </w:rPr>
        <w:t>.331 [2]. The UE shall report the RRC connection establishment failure log, while meeting the accuracy requirement specified in this clause.</w:t>
      </w:r>
    </w:p>
    <w:p w14:paraId="6380BB76" w14:textId="77777777" w:rsidR="004812CD" w:rsidRPr="00474A77" w:rsidRDefault="004812CD" w:rsidP="004812CD">
      <w:pPr>
        <w:rPr>
          <w:rFonts w:eastAsia="SimSun"/>
        </w:rPr>
      </w:pPr>
      <w:r w:rsidRPr="00474A77">
        <w:rPr>
          <w:rFonts w:eastAsia="SimSun"/>
        </w:rPr>
        <w:t>The accuracy of the relative time stamping for RRC connection establishment failure log reporting is such that the drift of the time stamping shall not be larger than ± 0.72 seconds per hour and ± 10 seconds over 48 hours. The relative time stamp accuracy requirements shall apply provided that:</w:t>
      </w:r>
    </w:p>
    <w:p w14:paraId="5CA4893D" w14:textId="77777777" w:rsidR="004812CD" w:rsidRDefault="004812CD" w:rsidP="004812CD">
      <w:pPr>
        <w:pStyle w:val="B10"/>
      </w:pPr>
      <w:r w:rsidRPr="00474A77">
        <w:t>-</w:t>
      </w:r>
      <w:r w:rsidRPr="00474A77">
        <w:tab/>
        <w:t>no power off or detach occurs after the RRC connection establishment failure had been detected and until the log is time-stamped.</w:t>
      </w:r>
    </w:p>
    <w:p w14:paraId="2F31CE2A" w14:textId="77777777" w:rsidR="004812CD" w:rsidRPr="00474A77" w:rsidRDefault="004812CD" w:rsidP="004812CD"/>
    <w:p w14:paraId="24BEF567" w14:textId="77777777" w:rsidR="004812CD" w:rsidRPr="00474A77" w:rsidRDefault="004812CD" w:rsidP="004812CD">
      <w:pPr>
        <w:pStyle w:val="Heading3"/>
      </w:pPr>
      <w:r>
        <w:t>4.3C</w:t>
      </w:r>
      <w:r w:rsidRPr="00474A77">
        <w:t>.5</w:t>
      </w:r>
      <w:r w:rsidRPr="00474A77">
        <w:tab/>
        <w:t>Requirements for Relative Time Stamp Accuracy for Radio Link Failure and Handover Failure Log Reporting</w:t>
      </w:r>
    </w:p>
    <w:p w14:paraId="4CD94995" w14:textId="77777777" w:rsidR="004812CD" w:rsidRPr="00474A77" w:rsidRDefault="004812CD" w:rsidP="004812CD">
      <w:pPr>
        <w:rPr>
          <w:rFonts w:eastAsia="SimSun"/>
        </w:rPr>
      </w:pPr>
      <w:r w:rsidRPr="00474A77">
        <w:rPr>
          <w:rFonts w:eastAsia="SimSun"/>
        </w:rPr>
        <w:t>The UE shall report the radio link and handover failure log, while meeting the accuracy requirements specified in this clause.</w:t>
      </w:r>
    </w:p>
    <w:p w14:paraId="46E8B8D0" w14:textId="77777777" w:rsidR="004812CD" w:rsidRPr="00474A77" w:rsidRDefault="004812CD" w:rsidP="004812CD">
      <w:pPr>
        <w:rPr>
          <w:rFonts w:eastAsia="SimSun"/>
        </w:rPr>
      </w:pPr>
      <w:r w:rsidRPr="00474A77">
        <w:rPr>
          <w:rFonts w:eastAsia="SimSun"/>
        </w:rPr>
        <w:t xml:space="preserve">Relative time stamp accuracy requirements for </w:t>
      </w:r>
      <w:r w:rsidRPr="00474A77">
        <w:rPr>
          <w:rFonts w:eastAsia="SimSun"/>
          <w:i/>
        </w:rPr>
        <w:t>timeSinceFailure</w:t>
      </w:r>
      <w:r w:rsidRPr="00474A77">
        <w:rPr>
          <w:rFonts w:eastAsia="SimSun"/>
        </w:rPr>
        <w:t xml:space="preserve"> reported for MDT in a radio link failure or handover failure log are specified in this clause. </w:t>
      </w:r>
      <w:r w:rsidRPr="00474A77">
        <w:rPr>
          <w:rFonts w:eastAsia="SimSun"/>
          <w:i/>
        </w:rPr>
        <w:t>timeSinceFailure</w:t>
      </w:r>
      <w:r w:rsidRPr="00474A77">
        <w:rPr>
          <w:rFonts w:eastAsia="SimSun"/>
        </w:rPr>
        <w:t xml:space="preserve"> determines the time elapsed from the last radio link failure or handover failure in </w:t>
      </w:r>
      <w:r w:rsidRPr="00474A77">
        <w:rPr>
          <w:rFonts w:eastAsia="SimSun" w:hint="eastAsia"/>
        </w:rPr>
        <w:t>NR</w:t>
      </w:r>
      <w:r w:rsidRPr="00474A77">
        <w:rPr>
          <w:rFonts w:eastAsia="SimSun"/>
        </w:rPr>
        <w:t xml:space="preserve"> to the time when the log is included in the report TS 3</w:t>
      </w:r>
      <w:r w:rsidRPr="00474A77">
        <w:rPr>
          <w:rFonts w:eastAsia="SimSun" w:hint="eastAsia"/>
        </w:rPr>
        <w:t>8</w:t>
      </w:r>
      <w:r w:rsidRPr="00474A77">
        <w:rPr>
          <w:rFonts w:eastAsia="SimSun"/>
        </w:rPr>
        <w:t>.331 [2].</w:t>
      </w:r>
    </w:p>
    <w:p w14:paraId="6906DBAD" w14:textId="77777777" w:rsidR="004812CD" w:rsidRPr="00474A77" w:rsidRDefault="004812CD" w:rsidP="004812CD">
      <w:pPr>
        <w:rPr>
          <w:rFonts w:eastAsia="SimSun"/>
        </w:rPr>
      </w:pPr>
      <w:r w:rsidRPr="00474A77">
        <w:rPr>
          <w:rFonts w:eastAsia="SimSun"/>
        </w:rPr>
        <w:t xml:space="preserve">The accuracy of the relative time stamping for </w:t>
      </w:r>
      <w:r w:rsidRPr="00474A77">
        <w:rPr>
          <w:rFonts w:eastAsia="SimSun"/>
          <w:i/>
        </w:rPr>
        <w:t>timeSinceFailure</w:t>
      </w:r>
      <w:r w:rsidRPr="00474A77">
        <w:rPr>
          <w:rFonts w:eastAsia="SimSun"/>
        </w:rPr>
        <w:t xml:space="preserve"> is such that the drift of the time stamping shall not be larger than ± 0.72 seconds per hour and ± 10 seconds over 48 hours. These relative time stamp accuracy requirements shall apply provided that:</w:t>
      </w:r>
    </w:p>
    <w:p w14:paraId="47266D10" w14:textId="77777777" w:rsidR="004812CD" w:rsidRDefault="004812CD" w:rsidP="004812CD">
      <w:pPr>
        <w:pStyle w:val="B10"/>
      </w:pPr>
      <w:r w:rsidRPr="00474A77">
        <w:t>-</w:t>
      </w:r>
      <w:r w:rsidRPr="00474A77">
        <w:tab/>
        <w:t>no power off or detach occurs after the RLF or handover failure had been detected and until the log is time-stamped.</w:t>
      </w:r>
    </w:p>
    <w:p w14:paraId="2832EA43" w14:textId="77777777" w:rsidR="004812CD" w:rsidRDefault="004812CD" w:rsidP="004812CD"/>
    <w:p w14:paraId="12B4909D" w14:textId="0D4FB8E8" w:rsidR="000C77DD" w:rsidRPr="00100952" w:rsidRDefault="000C77DD" w:rsidP="000C77DD">
      <w:pPr>
        <w:pStyle w:val="Heading2"/>
      </w:pPr>
      <w:bookmarkStart w:id="52" w:name="_Hlk45615291"/>
      <w:r>
        <w:t>4.4</w:t>
      </w:r>
      <w:r w:rsidRPr="00100952">
        <w:tab/>
        <w:t>Idle Mode CA/DC Me</w:t>
      </w:r>
      <w:r w:rsidRPr="00AE5395">
        <w:t>a</w:t>
      </w:r>
      <w:r w:rsidRPr="00100952">
        <w:t>s</w:t>
      </w:r>
      <w:r w:rsidRPr="00AE5395">
        <w:t>urements</w:t>
      </w:r>
    </w:p>
    <w:p w14:paraId="341C94B4" w14:textId="1D311AC6" w:rsidR="000C77DD" w:rsidRPr="00100952" w:rsidRDefault="000C77DD" w:rsidP="000C77DD">
      <w:pPr>
        <w:pStyle w:val="Heading3"/>
        <w:rPr>
          <w:lang w:eastAsia="ko-KR"/>
        </w:rPr>
      </w:pPr>
      <w:r>
        <w:rPr>
          <w:lang w:eastAsia="ko-KR"/>
        </w:rPr>
        <w:t>4.4</w:t>
      </w:r>
      <w:r w:rsidRPr="00100952">
        <w:rPr>
          <w:lang w:eastAsia="ko-KR"/>
        </w:rPr>
        <w:t>.1</w:t>
      </w:r>
      <w:r w:rsidRPr="00100952">
        <w:rPr>
          <w:lang w:eastAsia="ko-KR"/>
        </w:rPr>
        <w:tab/>
        <w:t>Introduction</w:t>
      </w:r>
    </w:p>
    <w:p w14:paraId="28855CA9" w14:textId="5B048828" w:rsidR="009E3292" w:rsidRDefault="009E3292" w:rsidP="009E3292">
      <w:pPr>
        <w:rPr>
          <w:rFonts w:eastAsia="Calibri"/>
        </w:rPr>
      </w:pPr>
      <w:r>
        <w:t xml:space="preserve">A UE supporting </w:t>
      </w:r>
      <w:r>
        <w:rPr>
          <w:i/>
          <w:iCs/>
        </w:rPr>
        <w:t>idleInactiveNR-MeasReport-r16</w:t>
      </w:r>
      <w:r>
        <w:t xml:space="preserve"> or </w:t>
      </w:r>
      <w:r w:rsidRPr="00FF3EFB">
        <w:rPr>
          <w:i/>
        </w:rPr>
        <w:t>idleInactiveEUTRA-MeasReport-r16</w:t>
      </w:r>
      <w:r>
        <w:rPr>
          <w:i/>
          <w:iCs/>
        </w:rPr>
        <w:t xml:space="preserve"> </w:t>
      </w:r>
      <w:r>
        <w:t>shall perform the idle mode measurement on the inter-frequency CA and DC candidate frequencies/cells and E-UTRAN inter-RAT DC candidate frequencies/cells indicated by higher layers and meet the requirement specified in this clause. The UE shall perform idle mode measurements provided that the serving cell support early measurement and is within the validity area. The idle mode measurement requirements apply to a configured carrier frequency and the serving cell are among the supported band combination of the UE.</w:t>
      </w:r>
    </w:p>
    <w:p w14:paraId="3575E3BC" w14:textId="555494B6" w:rsidR="000C77DD" w:rsidRPr="00100952" w:rsidRDefault="000C77DD" w:rsidP="000C77DD">
      <w:pPr>
        <w:pStyle w:val="Heading3"/>
        <w:rPr>
          <w:lang w:eastAsia="ko-KR"/>
        </w:rPr>
      </w:pPr>
      <w:r>
        <w:rPr>
          <w:lang w:eastAsia="ko-KR"/>
        </w:rPr>
        <w:t>4.4</w:t>
      </w:r>
      <w:r w:rsidRPr="00100952">
        <w:rPr>
          <w:lang w:eastAsia="ko-KR"/>
        </w:rPr>
        <w:t>.</w:t>
      </w:r>
      <w:r>
        <w:rPr>
          <w:lang w:eastAsia="ko-KR"/>
        </w:rPr>
        <w:t>2</w:t>
      </w:r>
      <w:r w:rsidRPr="00100952">
        <w:rPr>
          <w:lang w:eastAsia="ko-KR"/>
        </w:rPr>
        <w:tab/>
      </w:r>
      <w:r>
        <w:rPr>
          <w:lang w:eastAsia="ko-KR"/>
        </w:rPr>
        <w:t>Measurement Requirements</w:t>
      </w:r>
    </w:p>
    <w:p w14:paraId="08DCB40B" w14:textId="7B02E487" w:rsidR="00D10036" w:rsidRPr="00100952" w:rsidRDefault="00D10036" w:rsidP="00D10036">
      <w:r>
        <w:t xml:space="preserve">For a UE which supports </w:t>
      </w:r>
      <w:r w:rsidR="00DB0AB6">
        <w:rPr>
          <w:i/>
          <w:iCs/>
        </w:rPr>
        <w:t>idleInactiveNR-MeasReport-r16</w:t>
      </w:r>
      <w:r w:rsidRPr="00983F24">
        <w:t xml:space="preserve"> </w:t>
      </w:r>
      <w:r>
        <w:t xml:space="preserve">or </w:t>
      </w:r>
      <w:r w:rsidRPr="00FF3EFB">
        <w:rPr>
          <w:i/>
        </w:rPr>
        <w:t>idleInactiveEUTRA-MeasReport-r16</w:t>
      </w:r>
      <w:r>
        <w:rPr>
          <w:i/>
          <w:iCs/>
        </w:rPr>
        <w:t xml:space="preserve"> </w:t>
      </w:r>
      <w:r>
        <w:t xml:space="preserve">the UE shall </w:t>
      </w:r>
      <w:bookmarkStart w:id="53" w:name="_Hlk53748675"/>
      <w:r>
        <w:t xml:space="preserve">support the idle mode CA measurements on the serving cell, </w:t>
      </w:r>
      <w:r w:rsidRPr="00077CB0">
        <w:t>and carriers</w:t>
      </w:r>
      <w:bookmarkStart w:id="54" w:name="_Hlk53323474"/>
      <w:r w:rsidRPr="00077CB0">
        <w:t xml:space="preserve"> configured for idle mode CA/DC measurement reporting provided T331 has not expired, the serving cell is supporting idle mode CA/DC measurement reporting and the serving cell is in the validity area</w:t>
      </w:r>
      <w:bookmarkEnd w:id="54"/>
      <w:r w:rsidRPr="002B6FAF">
        <w:t>.</w:t>
      </w:r>
      <w:bookmarkEnd w:id="53"/>
    </w:p>
    <w:p w14:paraId="303C140C" w14:textId="4B35F23A" w:rsidR="000C77DD" w:rsidRPr="00FF5DCC" w:rsidRDefault="000C77DD" w:rsidP="000C77DD">
      <w:pPr>
        <w:pStyle w:val="Heading4"/>
      </w:pPr>
      <w:r>
        <w:t>4.4.2</w:t>
      </w:r>
      <w:r w:rsidRPr="00FF5DCC">
        <w:t>.</w:t>
      </w:r>
      <w:r>
        <w:t>1</w:t>
      </w:r>
      <w:r w:rsidRPr="00FF5DCC">
        <w:tab/>
        <w:t>Detected cell requirement during state transition and Idle mode</w:t>
      </w:r>
    </w:p>
    <w:p w14:paraId="0BD9D4C6" w14:textId="395E2BCE" w:rsidR="000C77DD" w:rsidRDefault="000C77DD" w:rsidP="000C77DD">
      <w:r>
        <w:t xml:space="preserve">This subclause defines the requirements for the detected cell status for the idle mode CA/DC measurement when UE transitions from RRC Connected mode to Idle mode and after UE has entered Idle mode. The requirements are applicable to an NE-DC and NR carrier aggregation capable UE which has been configured with one or more of following, one or more SCells, one E-UTRAN PSCell or one or more downlink E-UTRAN SCells during the Connected mode and which supports </w:t>
      </w:r>
      <w:r w:rsidR="00DB0AB6">
        <w:rPr>
          <w:i/>
          <w:iCs/>
        </w:rPr>
        <w:t>idleInactiveNR-MeasReport-r16</w:t>
      </w:r>
      <w:r>
        <w:t xml:space="preserve"> or </w:t>
      </w:r>
      <w:r w:rsidRPr="00FF3EFB">
        <w:rPr>
          <w:i/>
        </w:rPr>
        <w:t>idleInactiveEUTRA-MeasReport-r16</w:t>
      </w:r>
      <w:r>
        <w:rPr>
          <w:i/>
          <w:iCs/>
        </w:rPr>
        <w:t xml:space="preserve">. </w:t>
      </w:r>
      <w:r>
        <w:t>The requirements are applicable for SCell(s) and E-UTRAN FDD and TDD PSCell and SCells.</w:t>
      </w:r>
    </w:p>
    <w:p w14:paraId="3EC45D30" w14:textId="77777777" w:rsidR="000C77DD" w:rsidRDefault="000C77DD" w:rsidP="000C77DD">
      <w:r w:rsidRPr="00C07ACD">
        <w:t xml:space="preserve">Upon releasing the connection and if the UE has been configured with idle mode CA measurement reporting, following requirements apply concerning the detected cells in Connected mode upon state transitioning to Idle mode and during Idle mode: </w:t>
      </w:r>
    </w:p>
    <w:p w14:paraId="54DB6173" w14:textId="77777777" w:rsidR="000C77DD" w:rsidRDefault="000C77DD" w:rsidP="000C77DD">
      <w:pPr>
        <w:pStyle w:val="B10"/>
      </w:pPr>
      <w:r>
        <w:t>-</w:t>
      </w:r>
      <w:r>
        <w:tab/>
        <w:t>A cell which is detected cell in Connected mode prior to connection release, shall remain detected after UE has entered Idle mode and during Idle mode, provided that the following conditions are met:</w:t>
      </w:r>
    </w:p>
    <w:p w14:paraId="471E6257" w14:textId="77777777" w:rsidR="000C77DD" w:rsidRDefault="000C77DD" w:rsidP="000C77DD">
      <w:pPr>
        <w:pStyle w:val="B20"/>
      </w:pPr>
      <w:r>
        <w:t>-</w:t>
      </w:r>
      <w:r>
        <w:tab/>
        <w:t>The UE has been provided with a list of cells and/or carrier frequencies for early measurement reporting by dedicated RRC signaling and</w:t>
      </w:r>
    </w:p>
    <w:p w14:paraId="609EE772" w14:textId="77777777" w:rsidR="000C77DD" w:rsidRDefault="000C77DD" w:rsidP="000C77DD">
      <w:pPr>
        <w:pStyle w:val="B20"/>
      </w:pPr>
      <w:r>
        <w:t>-</w:t>
      </w:r>
      <w:r>
        <w:tab/>
        <w:t>The detected cell is among the list of cells or on a carrier frequency provided for early measurement reporting, and</w:t>
      </w:r>
    </w:p>
    <w:p w14:paraId="50D4F3A0" w14:textId="77777777" w:rsidR="000C77DD" w:rsidRDefault="000C77DD" w:rsidP="000C77DD">
      <w:pPr>
        <w:pStyle w:val="B20"/>
      </w:pPr>
      <w:r>
        <w:t>-</w:t>
      </w:r>
      <w:r>
        <w:tab/>
        <w:t>The UE is provided with a valid timer T331 by dedicated RRC signaling, and</w:t>
      </w:r>
    </w:p>
    <w:p w14:paraId="6DECB20E" w14:textId="77777777" w:rsidR="000C77DD" w:rsidRDefault="000C77DD" w:rsidP="000C77DD">
      <w:pPr>
        <w:pStyle w:val="B20"/>
      </w:pPr>
      <w:r>
        <w:t>-</w:t>
      </w:r>
      <w:r>
        <w:tab/>
        <w:t xml:space="preserve">The detected cell </w:t>
      </w:r>
      <w:r w:rsidRPr="0019104E">
        <w:t>and SSBs</w:t>
      </w:r>
      <w:r>
        <w:t xml:space="preserve"> remains detectable until UE reconnect to the network and transmits the early measurement report, and</w:t>
      </w:r>
    </w:p>
    <w:p w14:paraId="7B12F094" w14:textId="6AAC4555" w:rsidR="000C77DD" w:rsidRPr="00251031" w:rsidRDefault="000C77DD" w:rsidP="000C77DD">
      <w:pPr>
        <w:pStyle w:val="B20"/>
      </w:pPr>
      <w:r>
        <w:t>-</w:t>
      </w:r>
      <w:r>
        <w:tab/>
      </w:r>
      <w:r w:rsidRPr="00251031">
        <w:t xml:space="preserve">The carrier frequency of the detected cell and the carrier frequency of the serving cell are among the supported band combination of the UE. </w:t>
      </w:r>
    </w:p>
    <w:p w14:paraId="35E79B84" w14:textId="45559F68" w:rsidR="00B83137" w:rsidRDefault="00B83137" w:rsidP="00B83137">
      <w:r w:rsidRPr="00C07ACD">
        <w:t xml:space="preserve">An </w:t>
      </w:r>
      <w:r>
        <w:t xml:space="preserve">inter-RAT E-UTRAN </w:t>
      </w:r>
      <w:r w:rsidRPr="00C07ACD">
        <w:t xml:space="preserve">cell is considered detectable according to RSRP, RSRP Ês/Iot, SCH_RP and SCH Ês/Iot defined in Annex B.1.1 and Annex B.1.2 </w:t>
      </w:r>
      <w:r>
        <w:t xml:space="preserve">in [15] </w:t>
      </w:r>
      <w:r w:rsidRPr="00C07ACD">
        <w:t>for a corresponding Band.</w:t>
      </w:r>
      <w:r>
        <w:t xml:space="preserve"> An inter-frequency cell is considered detectable according to the conditions in Annex B.1.2 and B.1.3 for a corresponding band. </w:t>
      </w:r>
      <w:r>
        <w:rPr>
          <w:rFonts w:cs="v4.2.0"/>
        </w:rPr>
        <w:t xml:space="preserve">An SSB of an inter-frequency cell is considered detectable </w:t>
      </w:r>
      <w:r>
        <w:t xml:space="preserve">according to SSB_RP and SSB </w:t>
      </w:r>
      <w:r>
        <w:rPr>
          <w:lang w:val="en-US"/>
        </w:rPr>
        <w:t>Ês/Iot</w:t>
      </w:r>
      <w:r>
        <w:t xml:space="preserve"> defined in Annex B.1.2 and B.1.3 for a corresponding Band.</w:t>
      </w:r>
    </w:p>
    <w:p w14:paraId="1BEC56E0" w14:textId="1275AC7A" w:rsidR="000C77DD" w:rsidRPr="00FF5DCC" w:rsidRDefault="000C77DD" w:rsidP="000C77DD">
      <w:pPr>
        <w:pStyle w:val="Heading4"/>
      </w:pPr>
      <w:r>
        <w:t>4.4.2</w:t>
      </w:r>
      <w:r w:rsidRPr="00FF5DCC">
        <w:t>.</w:t>
      </w:r>
      <w:r>
        <w:t>2</w:t>
      </w:r>
      <w:r w:rsidRPr="00FF5DCC">
        <w:tab/>
      </w:r>
      <w:r w:rsidRPr="00251031">
        <w:t>Measurements of inter-frequency CA</w:t>
      </w:r>
      <w:r>
        <w:t>/DC</w:t>
      </w:r>
      <w:r w:rsidRPr="00251031">
        <w:t xml:space="preserve"> candidate cells</w:t>
      </w:r>
    </w:p>
    <w:p w14:paraId="44BE9369" w14:textId="77777777" w:rsidR="0041081A" w:rsidRPr="00251031" w:rsidRDefault="0041081A" w:rsidP="0041081A">
      <w:r w:rsidRPr="00251031">
        <w:t xml:space="preserve">While T331 is running, the UE shall perform measurement on the configured inter-frequency carriers for idle mode </w:t>
      </w:r>
      <w:r w:rsidRPr="008B6643">
        <w:t>CA</w:t>
      </w:r>
      <w:r>
        <w:t xml:space="preserve">/DC </w:t>
      </w:r>
      <w:r w:rsidRPr="00251031">
        <w:t>measurement reporting</w:t>
      </w:r>
      <w:r>
        <w:t xml:space="preserve"> according to the UE measurement capability</w:t>
      </w:r>
      <w:r w:rsidRPr="00251031">
        <w:t xml:space="preserve">. </w:t>
      </w:r>
    </w:p>
    <w:p w14:paraId="5E2A0D17" w14:textId="77777777" w:rsidR="0041081A" w:rsidRDefault="0041081A" w:rsidP="0041081A">
      <w:r w:rsidRPr="00251031">
        <w:t xml:space="preserve">A UE which supports </w:t>
      </w:r>
      <w:r>
        <w:rPr>
          <w:i/>
          <w:iCs/>
        </w:rPr>
        <w:t>idleInactiveNR-MeasReport-r16</w:t>
      </w:r>
      <w:r w:rsidRPr="00983F24">
        <w:t xml:space="preserve"> </w:t>
      </w:r>
      <w:r w:rsidRPr="00251031">
        <w:t>shall support idle mode CA</w:t>
      </w:r>
      <w:r>
        <w:t>/DC</w:t>
      </w:r>
      <w:r w:rsidRPr="00251031">
        <w:t xml:space="preserve"> measurements of</w:t>
      </w:r>
      <w:r>
        <w:t>:</w:t>
      </w:r>
      <w:r w:rsidRPr="00251031">
        <w:t xml:space="preserve"> </w:t>
      </w:r>
    </w:p>
    <w:p w14:paraId="0E45256B" w14:textId="77777777" w:rsidR="0041081A" w:rsidRPr="008B6643" w:rsidRDefault="0041081A" w:rsidP="0041081A">
      <w:pPr>
        <w:pStyle w:val="B10"/>
      </w:pPr>
      <w:r>
        <w:t>-</w:t>
      </w:r>
      <w:r>
        <w:tab/>
      </w:r>
      <w:r w:rsidRPr="008B6643">
        <w:t xml:space="preserve">at least 7 inter-frequency carriers which are also configured for inter-frequency mobility measurements, and </w:t>
      </w:r>
    </w:p>
    <w:p w14:paraId="0DB9293B" w14:textId="77777777" w:rsidR="0041081A" w:rsidRPr="008B6643" w:rsidRDefault="0041081A" w:rsidP="0041081A">
      <w:pPr>
        <w:pStyle w:val="B10"/>
      </w:pPr>
      <w:r>
        <w:t>-</w:t>
      </w:r>
      <w:r>
        <w:tab/>
      </w:r>
      <w:r w:rsidRPr="008B6643">
        <w:t xml:space="preserve">at least 7 inter-frequency carriers which are not configured for inter-frequency mobility measurements. </w:t>
      </w:r>
    </w:p>
    <w:p w14:paraId="136F681F" w14:textId="77777777" w:rsidR="0041081A" w:rsidRDefault="0041081A" w:rsidP="0041081A">
      <w:r w:rsidRPr="008B6643">
        <w:t>The UE shall be capable of monitoring a total of at least 7 inter-frequency carriers</w:t>
      </w:r>
      <w:r w:rsidRPr="008B6643">
        <w:rPr>
          <w:rFonts w:eastAsiaTheme="minorEastAsia"/>
        </w:rPr>
        <w:t xml:space="preserve"> </w:t>
      </w:r>
      <w:r w:rsidRPr="008B6643">
        <w:t>for idle mode CA/DC measurements comprising of carriers configured for inter-frequency mobility measurements and carriers not configured for inter-frequency mobility measurements.</w:t>
      </w:r>
      <w:r w:rsidRPr="008B6643" w:rsidDel="004130DC">
        <w:t xml:space="preserve"> </w:t>
      </w:r>
    </w:p>
    <w:p w14:paraId="33FA1CC4" w14:textId="57E852F4" w:rsidR="0041081A" w:rsidRPr="0058328E" w:rsidRDefault="0041081A" w:rsidP="0041081A">
      <w:r>
        <w:t xml:space="preserve">For inter-frequency carriers </w:t>
      </w:r>
      <w:r w:rsidRPr="008B6643">
        <w:t>configured for idle mode CA/DC measurements</w:t>
      </w:r>
      <w:r>
        <w:t xml:space="preserve">, </w:t>
      </w:r>
      <w:r w:rsidRPr="006308CE">
        <w:t xml:space="preserve">if Srxlev </w:t>
      </w:r>
      <w:r w:rsidRPr="006308CE">
        <w:rPr>
          <w:rFonts w:hint="eastAsia"/>
          <w:lang w:val="en-US"/>
        </w:rPr>
        <w:t>≤</w:t>
      </w:r>
      <w:r w:rsidRPr="006308CE">
        <w:t xml:space="preserve"> S</w:t>
      </w:r>
      <w:r w:rsidRPr="006308CE">
        <w:rPr>
          <w:vertAlign w:val="subscript"/>
        </w:rPr>
        <w:t>nonIntraSearchP</w:t>
      </w:r>
      <w:r w:rsidRPr="006308CE">
        <w:t xml:space="preserve"> </w:t>
      </w:r>
      <w:r>
        <w:t>or</w:t>
      </w:r>
      <w:r w:rsidRPr="006308CE">
        <w:t xml:space="preserve"> Squal </w:t>
      </w:r>
      <w:r w:rsidRPr="006308CE">
        <w:rPr>
          <w:rFonts w:hint="eastAsia"/>
          <w:lang w:val="en-US"/>
        </w:rPr>
        <w:t xml:space="preserve">≤ </w:t>
      </w:r>
      <w:r w:rsidRPr="006308CE">
        <w:t>S</w:t>
      </w:r>
      <w:r w:rsidRPr="006308CE">
        <w:rPr>
          <w:vertAlign w:val="subscript"/>
        </w:rPr>
        <w:t>nonIntraSearchQ</w:t>
      </w:r>
      <w:r w:rsidRPr="006308CE">
        <w:t xml:space="preserve"> </w:t>
      </w:r>
      <w:r>
        <w:t xml:space="preserve">the inter-frequency measurement requirements in clause 4.2.2.4 shall apply, where </w:t>
      </w:r>
      <w:r w:rsidRPr="004F5A82">
        <w:t xml:space="preserve">UE shall search for and measure inter-frequency layers </w:t>
      </w:r>
      <w:r>
        <w:t>configured for idle mode CA/DC measurements</w:t>
      </w:r>
      <w:r w:rsidRPr="004F5A82">
        <w:t xml:space="preserve"> in preparation for possible </w:t>
      </w:r>
      <w:r>
        <w:t>reporting.</w:t>
      </w:r>
      <w:r w:rsidRPr="006308CE">
        <w:t xml:space="preserve"> If Srxlev &gt; S</w:t>
      </w:r>
      <w:r w:rsidRPr="006308CE">
        <w:rPr>
          <w:vertAlign w:val="subscript"/>
        </w:rPr>
        <w:t>nonIntraSearchP</w:t>
      </w:r>
      <w:r w:rsidRPr="006308CE">
        <w:t xml:space="preserve"> and Squal &gt; S</w:t>
      </w:r>
      <w:r w:rsidRPr="006308CE">
        <w:rPr>
          <w:vertAlign w:val="subscript"/>
        </w:rPr>
        <w:t>nonIntraSearchQ</w:t>
      </w:r>
      <w:r w:rsidRPr="006308CE">
        <w:t xml:space="preserve"> the UE shall search for inter-frequency layers configured for idle mode CA/DC measurements at least every T</w:t>
      </w:r>
      <w:r w:rsidRPr="006308CE">
        <w:rPr>
          <w:vertAlign w:val="subscript"/>
        </w:rPr>
        <w:t xml:space="preserve">higher_priority_search </w:t>
      </w:r>
      <w:r w:rsidRPr="006308CE">
        <w:t>where T</w:t>
      </w:r>
      <w:r w:rsidRPr="006308CE">
        <w:rPr>
          <w:vertAlign w:val="subscript"/>
        </w:rPr>
        <w:t>higher_priority_search</w:t>
      </w:r>
      <w:r w:rsidRPr="006308CE">
        <w:t xml:space="preserve"> is described in clause 4.2.2.7, </w:t>
      </w:r>
      <w:r w:rsidRPr="006308CE">
        <w:rPr>
          <w:lang w:val="en-US"/>
        </w:rPr>
        <w:t>where UE shall search for and measure inter-frequency layers configured for idle mode CA/DC measurements in preparation for possible reporting</w:t>
      </w:r>
      <w:r w:rsidRPr="006308CE">
        <w:t>.</w:t>
      </w:r>
    </w:p>
    <w:p w14:paraId="6633EED8" w14:textId="77777777" w:rsidR="00B83137" w:rsidRPr="00D3343F" w:rsidRDefault="00B83137" w:rsidP="00B83137">
      <w:pPr>
        <w:rPr>
          <w:rFonts w:eastAsiaTheme="minorEastAsia"/>
        </w:rPr>
      </w:pPr>
      <w:r w:rsidRPr="00D3343F">
        <w:rPr>
          <w:rFonts w:eastAsiaTheme="minorEastAsia" w:hint="eastAsia"/>
          <w:lang w:eastAsia="zh-CN"/>
        </w:rPr>
        <w:t>F</w:t>
      </w:r>
      <w:r w:rsidRPr="00D3343F">
        <w:rPr>
          <w:rFonts w:eastAsiaTheme="minorEastAsia"/>
          <w:lang w:eastAsia="zh-CN"/>
        </w:rPr>
        <w:t xml:space="preserve">or UE supporting </w:t>
      </w:r>
      <w:bookmarkStart w:id="55" w:name="_Hlk56168922"/>
      <w:r w:rsidRPr="008B6643">
        <w:rPr>
          <w:rFonts w:eastAsiaTheme="minorEastAsia"/>
          <w:i/>
          <w:iCs/>
          <w:lang w:eastAsia="zh-CN"/>
        </w:rPr>
        <w:t>idleInactiveNR-MeasBeamReport-r16</w:t>
      </w:r>
      <w:bookmarkEnd w:id="55"/>
      <w:r w:rsidRPr="00D3343F">
        <w:rPr>
          <w:rFonts w:eastAsiaTheme="minorEastAsia"/>
          <w:lang w:eastAsia="zh-CN"/>
        </w:rPr>
        <w:t xml:space="preserve">, if the UE is configured with </w:t>
      </w:r>
      <w:r w:rsidRPr="00D3343F">
        <w:rPr>
          <w:rFonts w:eastAsiaTheme="minorEastAsia"/>
          <w:i/>
        </w:rPr>
        <w:t>beamMeasConfigIdle-r16</w:t>
      </w:r>
      <w:r w:rsidRPr="00D3343F">
        <w:rPr>
          <w:rFonts w:eastAsiaTheme="minorEastAsia"/>
          <w:lang w:eastAsia="zh-CN"/>
        </w:rPr>
        <w:t xml:space="preserve"> for idle mode </w:t>
      </w:r>
      <w:r>
        <w:rPr>
          <w:rFonts w:eastAsiaTheme="minorEastAsia"/>
          <w:lang w:eastAsia="zh-CN"/>
        </w:rPr>
        <w:t>CA/</w:t>
      </w:r>
      <w:r w:rsidRPr="00D3343F">
        <w:rPr>
          <w:rFonts w:eastAsiaTheme="minorEastAsia"/>
          <w:lang w:eastAsia="zh-CN"/>
        </w:rPr>
        <w:t xml:space="preserve">DC measurement, the UE shall be </w:t>
      </w:r>
      <w:r w:rsidRPr="00D3343F">
        <w:rPr>
          <w:rFonts w:eastAsiaTheme="minorEastAsia"/>
        </w:rPr>
        <w:t xml:space="preserve">capable of performing </w:t>
      </w:r>
      <w:r w:rsidRPr="00D3343F">
        <w:rPr>
          <w:rFonts w:eastAsiaTheme="minorEastAsia" w:cs="v4.2.0"/>
        </w:rPr>
        <w:t>SS-RSRP, SS-RSRQ for</w:t>
      </w:r>
      <w:r w:rsidRPr="00D3343F">
        <w:rPr>
          <w:rFonts w:eastAsiaTheme="minorEastAsia"/>
        </w:rPr>
        <w:t xml:space="preserve"> at least </w:t>
      </w:r>
    </w:p>
    <w:p w14:paraId="715EB4AD" w14:textId="4DD3DE07" w:rsidR="00B83137" w:rsidRPr="00D3343F" w:rsidRDefault="00B83137" w:rsidP="00B83137">
      <w:pPr>
        <w:pStyle w:val="B10"/>
      </w:pPr>
      <w:r w:rsidRPr="00D3343F">
        <w:t>-</w:t>
      </w:r>
      <w:r>
        <w:tab/>
      </w:r>
      <w:r w:rsidRPr="00D3343F">
        <w:t xml:space="preserve">7 SSBs with different SSB index and/or PCI on an inter-frequency layer in FR1, </w:t>
      </w:r>
    </w:p>
    <w:p w14:paraId="59463361" w14:textId="53F9A3E9" w:rsidR="00B83137" w:rsidRPr="00D3343F" w:rsidRDefault="00B83137" w:rsidP="00B83137">
      <w:pPr>
        <w:pStyle w:val="B10"/>
      </w:pPr>
      <w:r w:rsidRPr="00D3343F">
        <w:t>-</w:t>
      </w:r>
      <w:r>
        <w:tab/>
      </w:r>
      <w:r w:rsidRPr="00D3343F">
        <w:t>10 SSBs with different SSB index and/or PCI on an inter-frequency layer in FR2.</w:t>
      </w:r>
    </w:p>
    <w:p w14:paraId="29C975D1" w14:textId="77777777" w:rsidR="00C33A6D" w:rsidRPr="00D52D50" w:rsidRDefault="00C33A6D" w:rsidP="00C33A6D">
      <w:pPr>
        <w:spacing w:after="160" w:line="259" w:lineRule="auto"/>
        <w:ind w:right="-22"/>
        <w:rPr>
          <w:rFonts w:cs="v4.2.0"/>
        </w:rPr>
      </w:pPr>
      <w:r w:rsidRPr="00D52D50">
        <w:rPr>
          <w:rFonts w:hint="eastAsia"/>
          <w:lang w:eastAsia="zh-CN"/>
        </w:rPr>
        <w:t>F</w:t>
      </w:r>
      <w:r w:rsidRPr="00D52D50">
        <w:rPr>
          <w:lang w:eastAsia="zh-CN"/>
        </w:rPr>
        <w:t xml:space="preserve">or UE supporting </w:t>
      </w:r>
      <w:r w:rsidRPr="00D52D50">
        <w:rPr>
          <w:i/>
          <w:iCs/>
          <w:lang w:eastAsia="zh-CN"/>
        </w:rPr>
        <w:t>idleInactiveNR-MeasBeamReport-r16</w:t>
      </w:r>
      <w:r w:rsidRPr="00D52D50">
        <w:rPr>
          <w:lang w:eastAsia="zh-CN"/>
        </w:rPr>
        <w:t xml:space="preserve">, if the UE is configured with </w:t>
      </w:r>
      <w:r w:rsidRPr="00D52D50">
        <w:rPr>
          <w:i/>
        </w:rPr>
        <w:t>beamMeasConfigIdle-r16</w:t>
      </w:r>
      <w:r w:rsidRPr="00D52D50">
        <w:rPr>
          <w:lang w:eastAsia="zh-CN"/>
        </w:rPr>
        <w:t xml:space="preserve"> </w:t>
      </w:r>
      <w:r w:rsidRPr="00D52D50">
        <w:rPr>
          <w:rFonts w:eastAsiaTheme="minorEastAsia"/>
          <w:lang w:eastAsia="zh-CN"/>
        </w:rPr>
        <w:t>on one or more carrier</w:t>
      </w:r>
      <w:r w:rsidRPr="00D52D50">
        <w:rPr>
          <w:lang w:eastAsia="zh-CN"/>
        </w:rPr>
        <w:t xml:space="preserve"> for idle mode </w:t>
      </w:r>
      <w:r w:rsidRPr="00D52D50">
        <w:rPr>
          <w:lang w:val="en-US"/>
        </w:rPr>
        <w:t>CA/</w:t>
      </w:r>
      <w:r w:rsidRPr="00D52D50">
        <w:rPr>
          <w:lang w:eastAsia="zh-CN"/>
        </w:rPr>
        <w:t>DC measurement, the UE</w:t>
      </w:r>
      <w:r w:rsidRPr="00D52D50">
        <w:rPr>
          <w:rFonts w:eastAsiaTheme="minorEastAsia"/>
          <w:lang w:eastAsia="zh-CN"/>
        </w:rPr>
        <w:t>, on each carrier,</w:t>
      </w:r>
      <w:r w:rsidRPr="00D52D50">
        <w:rPr>
          <w:lang w:eastAsia="zh-CN"/>
        </w:rPr>
        <w:t xml:space="preserve"> shall be</w:t>
      </w:r>
      <w:r w:rsidRPr="00D52D50">
        <w:rPr>
          <w:rFonts w:cs="v4.2.0"/>
        </w:rPr>
        <w:t xml:space="preserve"> able to: </w:t>
      </w:r>
    </w:p>
    <w:p w14:paraId="30B99850" w14:textId="77777777" w:rsidR="00C33A6D" w:rsidRPr="00D52D50" w:rsidRDefault="00C33A6D" w:rsidP="00C33A6D">
      <w:pPr>
        <w:pStyle w:val="B10"/>
        <w:rPr>
          <w:rFonts w:eastAsiaTheme="minorEastAsia"/>
        </w:rPr>
      </w:pPr>
      <w:r w:rsidRPr="00D52D50">
        <w:rPr>
          <w:rFonts w:eastAsiaTheme="minorEastAsia"/>
        </w:rPr>
        <w:t>-</w:t>
      </w:r>
      <w:r w:rsidRPr="00D52D50">
        <w:rPr>
          <w:rFonts w:eastAsiaTheme="minorEastAsia"/>
        </w:rPr>
        <w:tab/>
        <w:t>detect a newly detectable inter-</w:t>
      </w:r>
      <w:r w:rsidRPr="00D52D50">
        <w:rPr>
          <w:rFonts w:eastAsiaTheme="minorEastAsia" w:hint="eastAsia"/>
          <w:lang w:eastAsia="zh-CN"/>
        </w:rPr>
        <w:t>frequen</w:t>
      </w:r>
      <w:r w:rsidRPr="00D52D50">
        <w:rPr>
          <w:rFonts w:eastAsiaTheme="minorEastAsia"/>
          <w:lang w:eastAsia="zh-CN"/>
        </w:rPr>
        <w:t>cy</w:t>
      </w:r>
      <w:r w:rsidRPr="00D52D50">
        <w:rPr>
          <w:rFonts w:eastAsiaTheme="minorEastAsia"/>
        </w:rPr>
        <w:t xml:space="preserve"> NR cell and perform RSRP/RSRQ measurement in preparation for reporting, and</w:t>
      </w:r>
    </w:p>
    <w:p w14:paraId="5B14F02E" w14:textId="77777777" w:rsidR="00C33A6D" w:rsidRPr="00D52D50" w:rsidRDefault="00C33A6D" w:rsidP="00C33A6D">
      <w:pPr>
        <w:pStyle w:val="B10"/>
        <w:rPr>
          <w:rFonts w:eastAsiaTheme="minorEastAsia"/>
        </w:rPr>
      </w:pPr>
      <w:r w:rsidRPr="00D52D50">
        <w:rPr>
          <w:rFonts w:eastAsiaTheme="minorEastAsia"/>
        </w:rPr>
        <w:t>-</w:t>
      </w:r>
      <w:r w:rsidRPr="00D52D50">
        <w:rPr>
          <w:rFonts w:eastAsiaTheme="minorEastAsia"/>
        </w:rPr>
        <w:tab/>
      </w:r>
      <w:r w:rsidRPr="00D52D50">
        <w:rPr>
          <w:rFonts w:cs="v4.2.0"/>
        </w:rPr>
        <w:t xml:space="preserve">acquire the SSB index for a newly detectable inter-frequency NR cell </w:t>
      </w:r>
      <w:r w:rsidRPr="00D52D50">
        <w:rPr>
          <w:rFonts w:eastAsiaTheme="minorEastAsia" w:cs="v4.2.0"/>
          <w:lang w:eastAsia="zh-CN"/>
        </w:rPr>
        <w:t xml:space="preserve">if </w:t>
      </w:r>
      <w:r w:rsidRPr="00D52D50">
        <w:rPr>
          <w:rFonts w:eastAsiaTheme="minorEastAsia"/>
          <w:i/>
        </w:rPr>
        <w:t>beamMeasConfigIdle-r16</w:t>
      </w:r>
      <w:r w:rsidRPr="00D52D50">
        <w:rPr>
          <w:rFonts w:eastAsiaTheme="minorEastAsia"/>
          <w:lang w:eastAsia="zh-CN"/>
        </w:rPr>
        <w:t xml:space="preserve"> if configured on this carrier </w:t>
      </w:r>
      <w:r w:rsidRPr="00D52D50">
        <w:rPr>
          <w:rFonts w:cs="v4.2.0"/>
        </w:rPr>
        <w:t xml:space="preserve">and perform RSRP/RSRQ measurement </w:t>
      </w:r>
      <w:r w:rsidRPr="00D52D50">
        <w:rPr>
          <w:rFonts w:eastAsiaTheme="minorEastAsia"/>
        </w:rPr>
        <w:t>in preparation for reporting,</w:t>
      </w:r>
    </w:p>
    <w:p w14:paraId="4D4EFA9D" w14:textId="77777777" w:rsidR="00C33A6D" w:rsidRPr="00D52D50" w:rsidRDefault="00C33A6D" w:rsidP="00C33A6D">
      <w:pPr>
        <w:spacing w:after="160" w:line="259" w:lineRule="auto"/>
        <w:ind w:right="-22"/>
      </w:pPr>
      <w:r w:rsidRPr="00D52D50">
        <w:rPr>
          <w:rFonts w:cs="v4.2.0"/>
        </w:rPr>
        <w:t xml:space="preserve">within the requirements defined in </w:t>
      </w:r>
      <w:r w:rsidRPr="00D52D50">
        <w:rPr>
          <w:snapToGrid w:val="0"/>
        </w:rPr>
        <w:t xml:space="preserve">clause 4.2.2.4 plus </w:t>
      </w:r>
      <w:r w:rsidRPr="00D52D50">
        <w:rPr>
          <w:rFonts w:eastAsiaTheme="minorEastAsia"/>
          <w:snapToGrid w:val="0"/>
        </w:rPr>
        <w:t>k*</w:t>
      </w:r>
      <w:r w:rsidRPr="00D52D50">
        <w:t>T</w:t>
      </w:r>
      <w:r w:rsidRPr="00D52D50">
        <w:rPr>
          <w:vertAlign w:val="subscript"/>
        </w:rPr>
        <w:t>SSB_index,</w:t>
      </w:r>
      <w:r w:rsidRPr="00D52D50">
        <w:rPr>
          <w:vertAlign w:val="subscript"/>
          <w:lang w:eastAsia="zh-CN"/>
        </w:rPr>
        <w:t>NR</w:t>
      </w:r>
      <w:r w:rsidRPr="00D52D50">
        <w:rPr>
          <w:rFonts w:cs="v4.2.0"/>
        </w:rPr>
        <w:t xml:space="preserve">, where </w:t>
      </w:r>
      <w:r w:rsidRPr="00D52D50">
        <w:rPr>
          <w:rFonts w:eastAsiaTheme="minorEastAsia" w:cs="v4.2.0"/>
        </w:rPr>
        <w:t xml:space="preserve">k is the number of </w:t>
      </w:r>
      <w:r w:rsidRPr="00D52D50">
        <w:rPr>
          <w:rFonts w:eastAsiaTheme="minorEastAsia"/>
          <w:lang w:eastAsia="zh-CN"/>
        </w:rPr>
        <w:t xml:space="preserve">carriers configured for idle mode CA measurement with </w:t>
      </w:r>
      <w:r w:rsidRPr="00D52D50">
        <w:rPr>
          <w:rFonts w:eastAsiaTheme="minorEastAsia"/>
          <w:i/>
        </w:rPr>
        <w:t>beamMeasConfigIdle-r16</w:t>
      </w:r>
      <w:r w:rsidRPr="00D52D50">
        <w:rPr>
          <w:rFonts w:eastAsiaTheme="minorEastAsia"/>
          <w:lang w:eastAsia="zh-CN"/>
        </w:rPr>
        <w:t xml:space="preserve">, </w:t>
      </w:r>
      <w:r w:rsidRPr="00D52D50">
        <w:rPr>
          <w:rFonts w:eastAsiaTheme="minorEastAsia"/>
        </w:rPr>
        <w:t xml:space="preserve"> and </w:t>
      </w:r>
      <w:r w:rsidRPr="00D52D50">
        <w:t>T</w:t>
      </w:r>
      <w:r w:rsidRPr="00D52D50">
        <w:rPr>
          <w:vertAlign w:val="subscript"/>
        </w:rPr>
        <w:t>SSB_index,</w:t>
      </w:r>
      <w:r w:rsidRPr="00D52D50">
        <w:rPr>
          <w:vertAlign w:val="subscript"/>
          <w:lang w:eastAsia="zh-CN"/>
        </w:rPr>
        <w:t>NR</w:t>
      </w:r>
      <w:r w:rsidRPr="00D52D50">
        <w:rPr>
          <w:rFonts w:cs="v4.2.0"/>
        </w:rPr>
        <w:t xml:space="preserve"> is the additional </w:t>
      </w:r>
      <w:r w:rsidRPr="00D52D50">
        <w:t xml:space="preserve">time period used to acquire the index of the SSB being measured </w:t>
      </w:r>
      <w:r w:rsidRPr="00D52D50">
        <w:rPr>
          <w:rFonts w:eastAsia="Calibri" w:cs="v4.2.0"/>
          <w:szCs w:val="22"/>
          <w:lang w:val="en-US"/>
        </w:rPr>
        <w:t>as defined</w:t>
      </w:r>
      <w:r w:rsidRPr="00D52D50">
        <w:rPr>
          <w:rFonts w:eastAsia="Calibri" w:cs="v4.2.0"/>
          <w:lang w:val="en-US"/>
        </w:rPr>
        <w:t xml:space="preserve"> in table 4.4.2.2-1. </w:t>
      </w:r>
    </w:p>
    <w:p w14:paraId="7CAADC3F" w14:textId="77777777" w:rsidR="00B83137" w:rsidRPr="004D1E59" w:rsidRDefault="00B83137" w:rsidP="00B83137">
      <w:pPr>
        <w:pStyle w:val="TH"/>
        <w:rPr>
          <w:vertAlign w:val="subscript"/>
          <w:lang w:val="en-US"/>
        </w:rPr>
      </w:pPr>
      <w:r w:rsidRPr="004D1E59">
        <w:rPr>
          <w:lang w:val="en-US"/>
        </w:rPr>
        <w:t>Table 4.4</w:t>
      </w:r>
      <w:r>
        <w:rPr>
          <w:lang w:val="en-US"/>
        </w:rPr>
        <w:t>.2.2</w:t>
      </w:r>
      <w:r w:rsidRPr="004D1E59">
        <w:rPr>
          <w:lang w:val="en-US"/>
        </w:rPr>
        <w:t>-1: T</w:t>
      </w:r>
      <w:r>
        <w:rPr>
          <w:vertAlign w:val="subscript"/>
          <w:lang w:val="en-US"/>
        </w:rPr>
        <w:t>SSB_i</w:t>
      </w:r>
      <w:r w:rsidRPr="004D1E59">
        <w:rPr>
          <w:vertAlign w:val="subscript"/>
          <w:lang w:val="en-US"/>
        </w:rPr>
        <w:t>ndex,NR_Inter</w:t>
      </w:r>
      <w:r w:rsidRPr="004D1E59">
        <w:rPr>
          <w:lang w:val="en-US"/>
        </w:rPr>
        <w:t xml:space="preserve"> </w:t>
      </w:r>
    </w:p>
    <w:tbl>
      <w:tblPr>
        <w:tblW w:w="27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020"/>
        <w:gridCol w:w="1024"/>
        <w:gridCol w:w="2139"/>
      </w:tblGrid>
      <w:tr w:rsidR="00B83137" w:rsidRPr="007B639A" w14:paraId="567892B4" w14:textId="77777777" w:rsidTr="00B83137">
        <w:trPr>
          <w:cantSplit/>
          <w:trHeight w:val="187"/>
          <w:jc w:val="center"/>
        </w:trPr>
        <w:tc>
          <w:tcPr>
            <w:tcW w:w="1089" w:type="pct"/>
            <w:tcBorders>
              <w:top w:val="single" w:sz="4" w:space="0" w:color="auto"/>
              <w:left w:val="single" w:sz="4" w:space="0" w:color="auto"/>
              <w:bottom w:val="nil"/>
              <w:right w:val="single" w:sz="4" w:space="0" w:color="auto"/>
            </w:tcBorders>
            <w:shd w:val="clear" w:color="auto" w:fill="auto"/>
            <w:hideMark/>
          </w:tcPr>
          <w:p w14:paraId="41D05299" w14:textId="77777777" w:rsidR="00B83137" w:rsidRPr="004D1E59" w:rsidRDefault="00B83137" w:rsidP="00B83137">
            <w:pPr>
              <w:pStyle w:val="TAH"/>
              <w:rPr>
                <w:lang w:val="en-US"/>
              </w:rPr>
            </w:pPr>
            <w:r w:rsidRPr="004D1E59">
              <w:rPr>
                <w:lang w:val="en-US"/>
              </w:rPr>
              <w:t>DRX cycle length [s]</w:t>
            </w:r>
          </w:p>
        </w:tc>
        <w:tc>
          <w:tcPr>
            <w:tcW w:w="1911" w:type="pct"/>
            <w:gridSpan w:val="2"/>
            <w:tcBorders>
              <w:top w:val="single" w:sz="4" w:space="0" w:color="auto"/>
              <w:left w:val="single" w:sz="4" w:space="0" w:color="auto"/>
              <w:bottom w:val="single" w:sz="4" w:space="0" w:color="auto"/>
              <w:right w:val="single" w:sz="4" w:space="0" w:color="auto"/>
            </w:tcBorders>
            <w:hideMark/>
          </w:tcPr>
          <w:p w14:paraId="6FFD9F35" w14:textId="77777777" w:rsidR="00B83137" w:rsidRPr="004D1E59" w:rsidRDefault="00B83137" w:rsidP="00B83137">
            <w:pPr>
              <w:pStyle w:val="TAH"/>
              <w:rPr>
                <w:lang w:val="en-US"/>
              </w:rPr>
            </w:pPr>
            <w:r w:rsidRPr="004D1E59">
              <w:rPr>
                <w:lang w:val="en-US"/>
              </w:rPr>
              <w:t>Scaling Factor (N1)</w:t>
            </w:r>
          </w:p>
        </w:tc>
        <w:tc>
          <w:tcPr>
            <w:tcW w:w="2000" w:type="pct"/>
            <w:tcBorders>
              <w:top w:val="single" w:sz="4" w:space="0" w:color="auto"/>
              <w:left w:val="single" w:sz="4" w:space="0" w:color="auto"/>
              <w:bottom w:val="nil"/>
              <w:right w:val="single" w:sz="4" w:space="0" w:color="auto"/>
            </w:tcBorders>
            <w:shd w:val="clear" w:color="auto" w:fill="auto"/>
            <w:hideMark/>
          </w:tcPr>
          <w:p w14:paraId="6FD1961C" w14:textId="77777777" w:rsidR="00B83137" w:rsidRPr="004D1E59" w:rsidRDefault="00B83137" w:rsidP="00B83137">
            <w:pPr>
              <w:pStyle w:val="TAH"/>
              <w:rPr>
                <w:lang w:val="en-US"/>
              </w:rPr>
            </w:pPr>
            <w:r w:rsidRPr="004D1E59">
              <w:rPr>
                <w:lang w:val="en-US"/>
              </w:rPr>
              <w:t>T</w:t>
            </w:r>
            <w:r>
              <w:rPr>
                <w:vertAlign w:val="subscript"/>
                <w:lang w:val="en-US"/>
              </w:rPr>
              <w:t>SSB_i</w:t>
            </w:r>
            <w:r w:rsidRPr="004D1E59">
              <w:rPr>
                <w:vertAlign w:val="subscript"/>
                <w:lang w:val="en-US"/>
              </w:rPr>
              <w:t>ndex,NR_</w:t>
            </w:r>
            <w:r w:rsidRPr="004D1E59">
              <w:rPr>
                <w:rFonts w:cs="v4.2.0"/>
                <w:vertAlign w:val="subscript"/>
                <w:lang w:val="en-US"/>
              </w:rPr>
              <w:t>Inter</w:t>
            </w:r>
            <w:r w:rsidRPr="004D1E59">
              <w:rPr>
                <w:lang w:val="en-US"/>
              </w:rPr>
              <w:t xml:space="preserve"> [s] (number of DRX cycles)</w:t>
            </w:r>
          </w:p>
        </w:tc>
      </w:tr>
      <w:tr w:rsidR="00B83137" w:rsidRPr="007B639A" w14:paraId="564F164C" w14:textId="77777777" w:rsidTr="00B83137">
        <w:trPr>
          <w:cantSplit/>
          <w:trHeight w:val="187"/>
          <w:jc w:val="center"/>
        </w:trPr>
        <w:tc>
          <w:tcPr>
            <w:tcW w:w="0" w:type="auto"/>
            <w:tcBorders>
              <w:top w:val="nil"/>
              <w:left w:val="single" w:sz="4" w:space="0" w:color="auto"/>
              <w:bottom w:val="single" w:sz="4" w:space="0" w:color="auto"/>
              <w:right w:val="single" w:sz="4" w:space="0" w:color="auto"/>
            </w:tcBorders>
            <w:shd w:val="clear" w:color="auto" w:fill="auto"/>
            <w:hideMark/>
          </w:tcPr>
          <w:p w14:paraId="6AA0D7D5" w14:textId="77777777" w:rsidR="00B83137" w:rsidRPr="00401468" w:rsidRDefault="00B83137" w:rsidP="00B83137">
            <w:pPr>
              <w:pStyle w:val="TAH"/>
              <w:rPr>
                <w:lang w:val="en-US"/>
              </w:rPr>
            </w:pPr>
          </w:p>
        </w:tc>
        <w:tc>
          <w:tcPr>
            <w:tcW w:w="954" w:type="pct"/>
            <w:tcBorders>
              <w:top w:val="single" w:sz="4" w:space="0" w:color="auto"/>
              <w:left w:val="single" w:sz="4" w:space="0" w:color="auto"/>
              <w:bottom w:val="single" w:sz="4" w:space="0" w:color="auto"/>
              <w:right w:val="single" w:sz="4" w:space="0" w:color="auto"/>
            </w:tcBorders>
            <w:hideMark/>
          </w:tcPr>
          <w:p w14:paraId="3784FB6B" w14:textId="77777777" w:rsidR="00B83137" w:rsidRPr="00401468" w:rsidRDefault="00B83137" w:rsidP="00B83137">
            <w:pPr>
              <w:pStyle w:val="TAH"/>
              <w:rPr>
                <w:lang w:val="en-US"/>
              </w:rPr>
            </w:pPr>
            <w:r w:rsidRPr="00401468">
              <w:rPr>
                <w:lang w:val="en-US"/>
              </w:rPr>
              <w:t>FR1</w:t>
            </w:r>
          </w:p>
        </w:tc>
        <w:tc>
          <w:tcPr>
            <w:tcW w:w="957" w:type="pct"/>
            <w:tcBorders>
              <w:top w:val="single" w:sz="4" w:space="0" w:color="auto"/>
              <w:left w:val="single" w:sz="4" w:space="0" w:color="auto"/>
              <w:bottom w:val="single" w:sz="4" w:space="0" w:color="auto"/>
              <w:right w:val="single" w:sz="4" w:space="0" w:color="auto"/>
            </w:tcBorders>
            <w:hideMark/>
          </w:tcPr>
          <w:p w14:paraId="03AE0713" w14:textId="77777777" w:rsidR="00B83137" w:rsidRPr="00401468" w:rsidRDefault="00B83137" w:rsidP="00B83137">
            <w:pPr>
              <w:pStyle w:val="TAH"/>
              <w:rPr>
                <w:vertAlign w:val="superscript"/>
                <w:lang w:val="en-US"/>
              </w:rPr>
            </w:pPr>
            <w:r w:rsidRPr="00401468">
              <w:rPr>
                <w:lang w:val="en-US"/>
              </w:rPr>
              <w:t>FR2</w:t>
            </w:r>
            <w:r w:rsidRPr="00401468">
              <w:rPr>
                <w:vertAlign w:val="superscript"/>
                <w:lang w:val="en-US"/>
              </w:rPr>
              <w:t>Note1</w:t>
            </w:r>
          </w:p>
        </w:tc>
        <w:tc>
          <w:tcPr>
            <w:tcW w:w="0" w:type="auto"/>
            <w:tcBorders>
              <w:top w:val="nil"/>
              <w:left w:val="single" w:sz="4" w:space="0" w:color="auto"/>
              <w:bottom w:val="single" w:sz="4" w:space="0" w:color="auto"/>
              <w:right w:val="single" w:sz="4" w:space="0" w:color="auto"/>
            </w:tcBorders>
            <w:shd w:val="clear" w:color="auto" w:fill="auto"/>
            <w:hideMark/>
          </w:tcPr>
          <w:p w14:paraId="46521727" w14:textId="77777777" w:rsidR="00B83137" w:rsidRPr="00401468" w:rsidRDefault="00B83137" w:rsidP="00B83137">
            <w:pPr>
              <w:pStyle w:val="TAH"/>
              <w:rPr>
                <w:lang w:val="en-US"/>
              </w:rPr>
            </w:pPr>
          </w:p>
        </w:tc>
      </w:tr>
      <w:tr w:rsidR="00B83137" w:rsidRPr="004310B9" w14:paraId="3CFCE041" w14:textId="77777777" w:rsidTr="00B83137">
        <w:trPr>
          <w:cantSplit/>
          <w:trHeight w:val="187"/>
          <w:jc w:val="center"/>
        </w:trPr>
        <w:tc>
          <w:tcPr>
            <w:tcW w:w="1089" w:type="pct"/>
            <w:tcBorders>
              <w:top w:val="single" w:sz="4" w:space="0" w:color="auto"/>
              <w:left w:val="single" w:sz="4" w:space="0" w:color="auto"/>
              <w:bottom w:val="single" w:sz="4" w:space="0" w:color="auto"/>
              <w:right w:val="single" w:sz="4" w:space="0" w:color="auto"/>
            </w:tcBorders>
            <w:hideMark/>
          </w:tcPr>
          <w:p w14:paraId="3317475D" w14:textId="77777777" w:rsidR="00B83137" w:rsidRPr="004D1E59" w:rsidRDefault="00B83137" w:rsidP="00B83137">
            <w:pPr>
              <w:pStyle w:val="TAC"/>
              <w:rPr>
                <w:lang w:val="en-US"/>
              </w:rPr>
            </w:pPr>
            <w:r w:rsidRPr="004D1E59">
              <w:rPr>
                <w:lang w:val="en-US"/>
              </w:rPr>
              <w:t>0.32</w:t>
            </w:r>
          </w:p>
        </w:tc>
        <w:tc>
          <w:tcPr>
            <w:tcW w:w="954" w:type="pct"/>
            <w:tcBorders>
              <w:top w:val="single" w:sz="4" w:space="0" w:color="auto"/>
              <w:left w:val="single" w:sz="4" w:space="0" w:color="auto"/>
              <w:bottom w:val="nil"/>
              <w:right w:val="single" w:sz="4" w:space="0" w:color="auto"/>
            </w:tcBorders>
            <w:shd w:val="clear" w:color="auto" w:fill="auto"/>
            <w:hideMark/>
          </w:tcPr>
          <w:p w14:paraId="1F1987E4" w14:textId="77777777" w:rsidR="00B83137" w:rsidRPr="004D1E59" w:rsidRDefault="00B83137" w:rsidP="00B83137">
            <w:pPr>
              <w:pStyle w:val="TAC"/>
              <w:rPr>
                <w:lang w:val="en-US"/>
              </w:rPr>
            </w:pPr>
            <w:r w:rsidRPr="004D1E59">
              <w:rPr>
                <w:lang w:val="en-US"/>
              </w:rPr>
              <w:t>1</w:t>
            </w:r>
          </w:p>
        </w:tc>
        <w:tc>
          <w:tcPr>
            <w:tcW w:w="957" w:type="pct"/>
            <w:tcBorders>
              <w:top w:val="single" w:sz="4" w:space="0" w:color="auto"/>
              <w:left w:val="single" w:sz="4" w:space="0" w:color="auto"/>
              <w:bottom w:val="single" w:sz="4" w:space="0" w:color="auto"/>
              <w:right w:val="single" w:sz="4" w:space="0" w:color="auto"/>
            </w:tcBorders>
            <w:hideMark/>
          </w:tcPr>
          <w:p w14:paraId="317EE5C9" w14:textId="77777777" w:rsidR="00B83137" w:rsidRPr="004D1E59" w:rsidRDefault="00B83137" w:rsidP="00B83137">
            <w:pPr>
              <w:pStyle w:val="TAC"/>
              <w:rPr>
                <w:lang w:val="en-US"/>
              </w:rPr>
            </w:pPr>
            <w:r w:rsidRPr="004D1E59">
              <w:rPr>
                <w:lang w:val="en-US"/>
              </w:rPr>
              <w:t>8</w:t>
            </w:r>
          </w:p>
        </w:tc>
        <w:tc>
          <w:tcPr>
            <w:tcW w:w="2000" w:type="pct"/>
            <w:tcBorders>
              <w:top w:val="single" w:sz="4" w:space="0" w:color="auto"/>
              <w:left w:val="single" w:sz="4" w:space="0" w:color="auto"/>
              <w:bottom w:val="single" w:sz="4" w:space="0" w:color="auto"/>
              <w:right w:val="single" w:sz="4" w:space="0" w:color="auto"/>
            </w:tcBorders>
            <w:hideMark/>
          </w:tcPr>
          <w:p w14:paraId="6C420D15" w14:textId="77777777" w:rsidR="00B83137" w:rsidRPr="006308CE" w:rsidRDefault="00B83137" w:rsidP="00B83137">
            <w:pPr>
              <w:pStyle w:val="TAC"/>
              <w:rPr>
                <w:lang w:val="fi-FI"/>
              </w:rPr>
            </w:pPr>
            <w:r w:rsidRPr="006308CE">
              <w:rPr>
                <w:lang w:val="fi-FI"/>
              </w:rPr>
              <w:t xml:space="preserve">N2 x 1.28 x N1 </w:t>
            </w:r>
            <w:r w:rsidRPr="006308CE">
              <w:rPr>
                <w:lang w:val="fi-FI" w:eastAsia="zh-CN"/>
              </w:rPr>
              <w:t xml:space="preserve">x 1.5 </w:t>
            </w:r>
            <w:r w:rsidRPr="006308CE">
              <w:rPr>
                <w:lang w:val="fi-FI"/>
              </w:rPr>
              <w:t>(N2</w:t>
            </w:r>
            <w:r>
              <w:rPr>
                <w:lang w:val="fi-FI"/>
              </w:rPr>
              <w:t xml:space="preserve"> </w:t>
            </w:r>
            <w:r w:rsidRPr="006308CE">
              <w:rPr>
                <w:lang w:val="fi-FI"/>
              </w:rPr>
              <w:t>x</w:t>
            </w:r>
            <w:r>
              <w:rPr>
                <w:lang w:val="fi-FI"/>
              </w:rPr>
              <w:t xml:space="preserve"> </w:t>
            </w:r>
            <w:r w:rsidRPr="006308CE">
              <w:rPr>
                <w:lang w:val="fi-FI"/>
              </w:rPr>
              <w:t>4 x N1</w:t>
            </w:r>
            <w:r w:rsidRPr="006308CE">
              <w:rPr>
                <w:lang w:val="fi-FI" w:eastAsia="zh-CN"/>
              </w:rPr>
              <w:t xml:space="preserve"> x 1.5</w:t>
            </w:r>
            <w:r w:rsidRPr="006308CE">
              <w:rPr>
                <w:lang w:val="fi-FI"/>
              </w:rPr>
              <w:t>)</w:t>
            </w:r>
          </w:p>
        </w:tc>
      </w:tr>
      <w:tr w:rsidR="00B83137" w:rsidRPr="007B639A" w14:paraId="7DB96928" w14:textId="77777777" w:rsidTr="00B83137">
        <w:trPr>
          <w:cantSplit/>
          <w:trHeight w:val="187"/>
          <w:jc w:val="center"/>
        </w:trPr>
        <w:tc>
          <w:tcPr>
            <w:tcW w:w="1089" w:type="pct"/>
            <w:tcBorders>
              <w:top w:val="single" w:sz="4" w:space="0" w:color="auto"/>
              <w:left w:val="single" w:sz="4" w:space="0" w:color="auto"/>
              <w:bottom w:val="single" w:sz="4" w:space="0" w:color="auto"/>
              <w:right w:val="single" w:sz="4" w:space="0" w:color="auto"/>
            </w:tcBorders>
            <w:hideMark/>
          </w:tcPr>
          <w:p w14:paraId="4C3400BE" w14:textId="77777777" w:rsidR="00B83137" w:rsidRPr="004D1E59" w:rsidRDefault="00B83137" w:rsidP="00B83137">
            <w:pPr>
              <w:pStyle w:val="TAC"/>
              <w:rPr>
                <w:lang w:val="en-US"/>
              </w:rPr>
            </w:pPr>
            <w:r w:rsidRPr="004D1E59">
              <w:rPr>
                <w:lang w:val="en-US"/>
              </w:rPr>
              <w:t>0.64</w:t>
            </w:r>
          </w:p>
        </w:tc>
        <w:tc>
          <w:tcPr>
            <w:tcW w:w="0" w:type="auto"/>
            <w:tcBorders>
              <w:top w:val="nil"/>
              <w:left w:val="single" w:sz="4" w:space="0" w:color="auto"/>
              <w:bottom w:val="nil"/>
              <w:right w:val="single" w:sz="4" w:space="0" w:color="auto"/>
            </w:tcBorders>
            <w:shd w:val="clear" w:color="auto" w:fill="auto"/>
            <w:hideMark/>
          </w:tcPr>
          <w:p w14:paraId="020D5EC8" w14:textId="77777777" w:rsidR="00B83137" w:rsidRPr="004D1E59" w:rsidRDefault="00B83137" w:rsidP="00B83137">
            <w:pPr>
              <w:pStyle w:val="TAC"/>
              <w:rPr>
                <w:lang w:val="en-US"/>
              </w:rPr>
            </w:pPr>
          </w:p>
        </w:tc>
        <w:tc>
          <w:tcPr>
            <w:tcW w:w="957" w:type="pct"/>
            <w:tcBorders>
              <w:top w:val="single" w:sz="4" w:space="0" w:color="auto"/>
              <w:left w:val="single" w:sz="4" w:space="0" w:color="auto"/>
              <w:bottom w:val="single" w:sz="4" w:space="0" w:color="auto"/>
              <w:right w:val="single" w:sz="4" w:space="0" w:color="auto"/>
            </w:tcBorders>
            <w:hideMark/>
          </w:tcPr>
          <w:p w14:paraId="55F9C565" w14:textId="77777777" w:rsidR="00B83137" w:rsidRPr="004D1E59" w:rsidRDefault="00B83137" w:rsidP="00B83137">
            <w:pPr>
              <w:pStyle w:val="TAC"/>
              <w:rPr>
                <w:lang w:val="en-US"/>
              </w:rPr>
            </w:pPr>
            <w:r w:rsidRPr="004D1E59">
              <w:rPr>
                <w:lang w:val="en-US"/>
              </w:rPr>
              <w:t>5</w:t>
            </w:r>
          </w:p>
        </w:tc>
        <w:tc>
          <w:tcPr>
            <w:tcW w:w="2000" w:type="pct"/>
            <w:tcBorders>
              <w:top w:val="single" w:sz="4" w:space="0" w:color="auto"/>
              <w:left w:val="single" w:sz="4" w:space="0" w:color="auto"/>
              <w:bottom w:val="single" w:sz="4" w:space="0" w:color="auto"/>
              <w:right w:val="single" w:sz="4" w:space="0" w:color="auto"/>
            </w:tcBorders>
            <w:hideMark/>
          </w:tcPr>
          <w:p w14:paraId="6A168A02" w14:textId="77777777" w:rsidR="00B83137" w:rsidRPr="004D1E59" w:rsidRDefault="00B83137" w:rsidP="00B83137">
            <w:pPr>
              <w:pStyle w:val="TAC"/>
              <w:rPr>
                <w:lang w:val="en-US"/>
              </w:rPr>
            </w:pPr>
            <w:r>
              <w:rPr>
                <w:lang w:val="en-US"/>
              </w:rPr>
              <w:t>N2</w:t>
            </w:r>
            <w:r w:rsidRPr="004D1E59">
              <w:rPr>
                <w:lang w:val="en-US"/>
              </w:rPr>
              <w:t xml:space="preserve"> x 1.28 x N1 (</w:t>
            </w:r>
            <w:r>
              <w:rPr>
                <w:lang w:val="en-US"/>
              </w:rPr>
              <w:t xml:space="preserve">N2 x </w:t>
            </w:r>
            <w:r w:rsidRPr="004D1E59">
              <w:rPr>
                <w:lang w:val="en-US"/>
              </w:rPr>
              <w:t>2 x N1)</w:t>
            </w:r>
          </w:p>
        </w:tc>
      </w:tr>
      <w:tr w:rsidR="00B83137" w:rsidRPr="007B639A" w14:paraId="7FCC9FBE" w14:textId="77777777" w:rsidTr="00B83137">
        <w:trPr>
          <w:cantSplit/>
          <w:trHeight w:val="187"/>
          <w:jc w:val="center"/>
        </w:trPr>
        <w:tc>
          <w:tcPr>
            <w:tcW w:w="1089" w:type="pct"/>
            <w:tcBorders>
              <w:top w:val="single" w:sz="4" w:space="0" w:color="auto"/>
              <w:left w:val="single" w:sz="4" w:space="0" w:color="auto"/>
              <w:bottom w:val="single" w:sz="4" w:space="0" w:color="auto"/>
              <w:right w:val="single" w:sz="4" w:space="0" w:color="auto"/>
            </w:tcBorders>
            <w:hideMark/>
          </w:tcPr>
          <w:p w14:paraId="4D041C17" w14:textId="77777777" w:rsidR="00B83137" w:rsidRPr="004D1E59" w:rsidRDefault="00B83137" w:rsidP="00B83137">
            <w:pPr>
              <w:pStyle w:val="TAC"/>
              <w:rPr>
                <w:lang w:val="en-US"/>
              </w:rPr>
            </w:pPr>
            <w:r w:rsidRPr="004D1E59">
              <w:rPr>
                <w:lang w:val="en-US"/>
              </w:rPr>
              <w:t>1.28</w:t>
            </w:r>
          </w:p>
        </w:tc>
        <w:tc>
          <w:tcPr>
            <w:tcW w:w="0" w:type="auto"/>
            <w:tcBorders>
              <w:top w:val="nil"/>
              <w:left w:val="single" w:sz="4" w:space="0" w:color="auto"/>
              <w:bottom w:val="nil"/>
              <w:right w:val="single" w:sz="4" w:space="0" w:color="auto"/>
            </w:tcBorders>
            <w:shd w:val="clear" w:color="auto" w:fill="auto"/>
            <w:hideMark/>
          </w:tcPr>
          <w:p w14:paraId="31B6823C" w14:textId="77777777" w:rsidR="00B83137" w:rsidRPr="004D1E59" w:rsidRDefault="00B83137" w:rsidP="00B83137">
            <w:pPr>
              <w:pStyle w:val="TAC"/>
              <w:rPr>
                <w:lang w:val="en-US"/>
              </w:rPr>
            </w:pPr>
          </w:p>
        </w:tc>
        <w:tc>
          <w:tcPr>
            <w:tcW w:w="957" w:type="pct"/>
            <w:tcBorders>
              <w:top w:val="single" w:sz="4" w:space="0" w:color="auto"/>
              <w:left w:val="single" w:sz="4" w:space="0" w:color="auto"/>
              <w:bottom w:val="single" w:sz="4" w:space="0" w:color="auto"/>
              <w:right w:val="single" w:sz="4" w:space="0" w:color="auto"/>
            </w:tcBorders>
            <w:hideMark/>
          </w:tcPr>
          <w:p w14:paraId="41AF1682" w14:textId="77777777" w:rsidR="00B83137" w:rsidRPr="004D1E59" w:rsidRDefault="00B83137" w:rsidP="00B83137">
            <w:pPr>
              <w:pStyle w:val="TAC"/>
              <w:rPr>
                <w:lang w:val="en-US"/>
              </w:rPr>
            </w:pPr>
            <w:r w:rsidRPr="004D1E59">
              <w:rPr>
                <w:lang w:val="en-US"/>
              </w:rPr>
              <w:t>4</w:t>
            </w:r>
          </w:p>
        </w:tc>
        <w:tc>
          <w:tcPr>
            <w:tcW w:w="2000" w:type="pct"/>
            <w:tcBorders>
              <w:top w:val="single" w:sz="4" w:space="0" w:color="auto"/>
              <w:left w:val="single" w:sz="4" w:space="0" w:color="auto"/>
              <w:bottom w:val="single" w:sz="4" w:space="0" w:color="auto"/>
              <w:right w:val="single" w:sz="4" w:space="0" w:color="auto"/>
            </w:tcBorders>
            <w:hideMark/>
          </w:tcPr>
          <w:p w14:paraId="74FF437A" w14:textId="77777777" w:rsidR="00B83137" w:rsidRPr="004D1E59" w:rsidRDefault="00B83137" w:rsidP="00B83137">
            <w:pPr>
              <w:pStyle w:val="TAC"/>
              <w:rPr>
                <w:lang w:val="en-US"/>
              </w:rPr>
            </w:pPr>
            <w:r>
              <w:rPr>
                <w:lang w:val="en-US"/>
              </w:rPr>
              <w:t>N2</w:t>
            </w:r>
            <w:r w:rsidRPr="004D1E59">
              <w:rPr>
                <w:lang w:val="en-US"/>
              </w:rPr>
              <w:t xml:space="preserve"> x 1.28 x N1 (</w:t>
            </w:r>
            <w:r>
              <w:rPr>
                <w:lang w:val="en-US"/>
              </w:rPr>
              <w:t xml:space="preserve">N2 x </w:t>
            </w:r>
            <w:r w:rsidRPr="004D1E59">
              <w:rPr>
                <w:lang w:val="en-US"/>
              </w:rPr>
              <w:t>1 x N1)</w:t>
            </w:r>
          </w:p>
        </w:tc>
      </w:tr>
      <w:tr w:rsidR="00B83137" w:rsidRPr="007B639A" w14:paraId="4FC6D3B8" w14:textId="77777777" w:rsidTr="00B83137">
        <w:trPr>
          <w:cantSplit/>
          <w:trHeight w:val="187"/>
          <w:jc w:val="center"/>
        </w:trPr>
        <w:tc>
          <w:tcPr>
            <w:tcW w:w="1089" w:type="pct"/>
            <w:tcBorders>
              <w:top w:val="single" w:sz="4" w:space="0" w:color="auto"/>
              <w:left w:val="single" w:sz="4" w:space="0" w:color="auto"/>
              <w:bottom w:val="single" w:sz="4" w:space="0" w:color="auto"/>
              <w:right w:val="single" w:sz="4" w:space="0" w:color="auto"/>
            </w:tcBorders>
            <w:hideMark/>
          </w:tcPr>
          <w:p w14:paraId="6819491C" w14:textId="77777777" w:rsidR="00B83137" w:rsidRPr="004D1E59" w:rsidRDefault="00B83137" w:rsidP="00B83137">
            <w:pPr>
              <w:pStyle w:val="TAC"/>
              <w:rPr>
                <w:lang w:val="en-US"/>
              </w:rPr>
            </w:pPr>
            <w:r w:rsidRPr="004D1E59">
              <w:rPr>
                <w:lang w:val="en-US"/>
              </w:rPr>
              <w:t>2.56</w:t>
            </w:r>
          </w:p>
        </w:tc>
        <w:tc>
          <w:tcPr>
            <w:tcW w:w="0" w:type="auto"/>
            <w:tcBorders>
              <w:top w:val="nil"/>
              <w:left w:val="single" w:sz="4" w:space="0" w:color="auto"/>
              <w:bottom w:val="single" w:sz="4" w:space="0" w:color="auto"/>
              <w:right w:val="single" w:sz="4" w:space="0" w:color="auto"/>
            </w:tcBorders>
            <w:shd w:val="clear" w:color="auto" w:fill="auto"/>
            <w:hideMark/>
          </w:tcPr>
          <w:p w14:paraId="2D16B893" w14:textId="77777777" w:rsidR="00B83137" w:rsidRPr="004D1E59" w:rsidRDefault="00B83137" w:rsidP="00B83137">
            <w:pPr>
              <w:pStyle w:val="TAC"/>
              <w:rPr>
                <w:lang w:val="en-US"/>
              </w:rPr>
            </w:pPr>
          </w:p>
        </w:tc>
        <w:tc>
          <w:tcPr>
            <w:tcW w:w="957" w:type="pct"/>
            <w:tcBorders>
              <w:top w:val="single" w:sz="4" w:space="0" w:color="auto"/>
              <w:left w:val="single" w:sz="4" w:space="0" w:color="auto"/>
              <w:bottom w:val="single" w:sz="4" w:space="0" w:color="auto"/>
              <w:right w:val="single" w:sz="4" w:space="0" w:color="auto"/>
            </w:tcBorders>
            <w:hideMark/>
          </w:tcPr>
          <w:p w14:paraId="5BB3AD7A" w14:textId="77777777" w:rsidR="00B83137" w:rsidRPr="004D1E59" w:rsidRDefault="00B83137" w:rsidP="00B83137">
            <w:pPr>
              <w:pStyle w:val="TAC"/>
              <w:rPr>
                <w:lang w:val="en-US"/>
              </w:rPr>
            </w:pPr>
            <w:r w:rsidRPr="004D1E59">
              <w:rPr>
                <w:lang w:val="en-US"/>
              </w:rPr>
              <w:t>3</w:t>
            </w:r>
          </w:p>
        </w:tc>
        <w:tc>
          <w:tcPr>
            <w:tcW w:w="2000" w:type="pct"/>
            <w:tcBorders>
              <w:top w:val="single" w:sz="4" w:space="0" w:color="auto"/>
              <w:left w:val="single" w:sz="4" w:space="0" w:color="auto"/>
              <w:bottom w:val="single" w:sz="4" w:space="0" w:color="auto"/>
              <w:right w:val="single" w:sz="4" w:space="0" w:color="auto"/>
            </w:tcBorders>
            <w:hideMark/>
          </w:tcPr>
          <w:p w14:paraId="17130581" w14:textId="77777777" w:rsidR="00B83137" w:rsidRPr="004D1E59" w:rsidRDefault="00B83137" w:rsidP="00B83137">
            <w:pPr>
              <w:pStyle w:val="TAC"/>
              <w:rPr>
                <w:lang w:val="en-US"/>
              </w:rPr>
            </w:pPr>
            <w:r>
              <w:rPr>
                <w:lang w:val="en-US"/>
              </w:rPr>
              <w:t>N2</w:t>
            </w:r>
            <w:r w:rsidRPr="004D1E59">
              <w:rPr>
                <w:lang w:val="en-US"/>
              </w:rPr>
              <w:t xml:space="preserve"> x 2.56 x N1 (</w:t>
            </w:r>
            <w:r>
              <w:rPr>
                <w:lang w:val="en-US"/>
              </w:rPr>
              <w:t xml:space="preserve">N2 x </w:t>
            </w:r>
            <w:r w:rsidRPr="004D1E59">
              <w:rPr>
                <w:lang w:val="en-US"/>
              </w:rPr>
              <w:t>1 x N1)</w:t>
            </w:r>
          </w:p>
        </w:tc>
      </w:tr>
      <w:tr w:rsidR="00B83137" w:rsidRPr="007B639A" w14:paraId="7E34F317" w14:textId="77777777" w:rsidTr="00B83137">
        <w:trPr>
          <w:cantSplit/>
          <w:trHeight w:val="187"/>
          <w:jc w:val="center"/>
        </w:trPr>
        <w:tc>
          <w:tcPr>
            <w:tcW w:w="5000" w:type="pct"/>
            <w:gridSpan w:val="4"/>
            <w:tcBorders>
              <w:top w:val="single" w:sz="4" w:space="0" w:color="auto"/>
              <w:left w:val="single" w:sz="4" w:space="0" w:color="auto"/>
              <w:bottom w:val="single" w:sz="4" w:space="0" w:color="auto"/>
              <w:right w:val="single" w:sz="4" w:space="0" w:color="auto"/>
            </w:tcBorders>
          </w:tcPr>
          <w:p w14:paraId="19B519FB" w14:textId="77777777" w:rsidR="00B83137" w:rsidRDefault="00B83137" w:rsidP="00B83137">
            <w:pPr>
              <w:pStyle w:val="TAN"/>
              <w:rPr>
                <w:lang w:val="en-US"/>
              </w:rPr>
            </w:pPr>
            <w:r w:rsidRPr="004D1E59">
              <w:rPr>
                <w:snapToGrid w:val="0"/>
                <w:lang w:val="en-US" w:eastAsia="zh-CN"/>
              </w:rPr>
              <w:t>Note 1</w:t>
            </w:r>
            <w:r w:rsidRPr="004D1E59">
              <w:rPr>
                <w:lang w:val="en-US"/>
              </w:rPr>
              <w:t>:</w:t>
            </w:r>
            <w:r w:rsidRPr="004D1E59">
              <w:rPr>
                <w:lang w:val="en-US"/>
              </w:rPr>
              <w:tab/>
              <w:t xml:space="preserve">Applies for UE supporting power class </w:t>
            </w:r>
            <w:r w:rsidRPr="004D1E59">
              <w:rPr>
                <w:lang w:val="en-US" w:eastAsia="zh-CN"/>
              </w:rPr>
              <w:t>2&amp;3&amp;4</w:t>
            </w:r>
            <w:r w:rsidRPr="004D1E59">
              <w:rPr>
                <w:lang w:val="en-US"/>
              </w:rPr>
              <w:t>. For UE supporting power class 1, N1 = 8 for all DRX cycle length.</w:t>
            </w:r>
          </w:p>
          <w:p w14:paraId="53B26762" w14:textId="1C729D2D" w:rsidR="00B83137" w:rsidRPr="004D1E59" w:rsidRDefault="00B83137" w:rsidP="00B83137">
            <w:pPr>
              <w:pStyle w:val="TAN"/>
              <w:rPr>
                <w:lang w:val="en-US"/>
              </w:rPr>
            </w:pPr>
            <w:r w:rsidRPr="00691C10">
              <w:rPr>
                <w:snapToGrid w:val="0"/>
                <w:lang w:eastAsia="zh-CN"/>
              </w:rPr>
              <w:t>N</w:t>
            </w:r>
            <w:r w:rsidRPr="00691C10">
              <w:rPr>
                <w:rFonts w:hint="eastAsia"/>
                <w:snapToGrid w:val="0"/>
                <w:lang w:eastAsia="zh-CN"/>
              </w:rPr>
              <w:t xml:space="preserve">OTE </w:t>
            </w:r>
            <w:r>
              <w:rPr>
                <w:snapToGrid w:val="0"/>
                <w:lang w:eastAsia="zh-CN"/>
              </w:rPr>
              <w:t>2</w:t>
            </w:r>
            <w:r w:rsidRPr="00691C10">
              <w:rPr>
                <w:snapToGrid w:val="0"/>
                <w:lang w:eastAsia="zh-CN"/>
              </w:rPr>
              <w:t>:</w:t>
            </w:r>
            <w:r w:rsidRPr="00691C10">
              <w:rPr>
                <w:lang w:val="en-US" w:eastAsia="zh-CN"/>
              </w:rPr>
              <w:tab/>
            </w:r>
            <w:r>
              <w:t>N2 = 3 if the NR inter-frequency carrier for idle mode CA/DC measurement reporting is in FR1, and N2</w:t>
            </w:r>
            <w:r w:rsidR="006776FC">
              <w:t xml:space="preserve"> </w:t>
            </w:r>
            <w:r>
              <w:t>=</w:t>
            </w:r>
            <w:r w:rsidR="00BF72A0">
              <w:t xml:space="preserve"> </w:t>
            </w:r>
            <w:r>
              <w:t>3, 5 if the NR inter-frequency carrier for idle mode CA/DC measurement reporting is in FR2.</w:t>
            </w:r>
          </w:p>
        </w:tc>
      </w:tr>
    </w:tbl>
    <w:p w14:paraId="505EA70D" w14:textId="77777777" w:rsidR="00B83137" w:rsidRPr="008B6643" w:rsidRDefault="00B83137" w:rsidP="00B83137">
      <w:pPr>
        <w:tabs>
          <w:tab w:val="num" w:pos="2880"/>
        </w:tabs>
        <w:rPr>
          <w:rFonts w:eastAsiaTheme="minorEastAsia"/>
        </w:rPr>
      </w:pPr>
    </w:p>
    <w:p w14:paraId="36E71E49" w14:textId="77777777" w:rsidR="0041081A" w:rsidRPr="00D3343F" w:rsidRDefault="0041081A" w:rsidP="0041081A">
      <w:pPr>
        <w:tabs>
          <w:tab w:val="num" w:pos="2880"/>
        </w:tabs>
        <w:rPr>
          <w:rFonts w:eastAsiaTheme="minorEastAsia"/>
          <w:lang w:val="en-US"/>
        </w:rPr>
      </w:pPr>
      <w:r w:rsidRPr="00D3343F">
        <w:rPr>
          <w:rFonts w:eastAsiaTheme="minorEastAsia"/>
        </w:rPr>
        <w:t>I</w:t>
      </w:r>
      <w:r w:rsidRPr="00D3343F">
        <w:rPr>
          <w:rFonts w:eastAsiaTheme="minorEastAsia"/>
          <w:lang w:val="en-US"/>
        </w:rPr>
        <w:t>n the absence or expiration of T331, i</w:t>
      </w:r>
      <w:r w:rsidRPr="00D3343F">
        <w:rPr>
          <w:rFonts w:eastAsiaTheme="minorEastAsia"/>
        </w:rPr>
        <w:t xml:space="preserve">t is up to UE implementation to perform the idle mode </w:t>
      </w:r>
      <w:r>
        <w:rPr>
          <w:rFonts w:eastAsiaTheme="minorEastAsia"/>
        </w:rPr>
        <w:t>CA/</w:t>
      </w:r>
      <w:r w:rsidRPr="00D3343F">
        <w:rPr>
          <w:rFonts w:eastAsiaTheme="minorEastAsia"/>
        </w:rPr>
        <w:t>DC measurement</w:t>
      </w:r>
      <w:r w:rsidRPr="00D3343F">
        <w:rPr>
          <w:rFonts w:eastAsiaTheme="minorEastAsia"/>
          <w:lang w:val="en-US"/>
        </w:rPr>
        <w:t>.</w:t>
      </w:r>
    </w:p>
    <w:p w14:paraId="5B81B17B" w14:textId="08CCCF5A" w:rsidR="0041081A" w:rsidRDefault="0041081A" w:rsidP="0041081A">
      <w:r w:rsidRPr="00251031">
        <w:t xml:space="preserve">For </w:t>
      </w:r>
      <w:r>
        <w:t xml:space="preserve">inter-frequency </w:t>
      </w:r>
      <w:r w:rsidRPr="00251031">
        <w:t>carriers</w:t>
      </w:r>
      <w:r>
        <w:t xml:space="preserve"> configured for idle mode CA/DC measurements</w:t>
      </w:r>
      <w:r w:rsidRPr="00251031">
        <w:t xml:space="preserve">, the UE shall be capable of performing </w:t>
      </w:r>
      <w:r>
        <w:t>SS-</w:t>
      </w:r>
      <w:r w:rsidRPr="00251031">
        <w:t xml:space="preserve">RSRP and </w:t>
      </w:r>
      <w:r>
        <w:t>SS-</w:t>
      </w:r>
      <w:r w:rsidRPr="00251031">
        <w:t xml:space="preserve">RSRQ measurements of the carriers, and the UE physical layer shall be capable of reporting </w:t>
      </w:r>
      <w:r>
        <w:t>SS-</w:t>
      </w:r>
      <w:r w:rsidRPr="00251031">
        <w:t xml:space="preserve">RSRP and </w:t>
      </w:r>
      <w:r>
        <w:t>SS-</w:t>
      </w:r>
      <w:r w:rsidRPr="00251031">
        <w:t xml:space="preserve">RSRQ measurements of the carriers </w:t>
      </w:r>
      <w:r>
        <w:t>configured for idle mode CA/DC measurements</w:t>
      </w:r>
      <w:r w:rsidRPr="00251031">
        <w:t xml:space="preserve"> to higher layers, with measurement accuracy as specified in </w:t>
      </w:r>
      <w:r>
        <w:t>clause</w:t>
      </w:r>
      <w:r w:rsidRPr="00251031">
        <w:t xml:space="preserve">s </w:t>
      </w:r>
      <w:r>
        <w:t>10.1.4B and 10.1.5B</w:t>
      </w:r>
      <w:r w:rsidRPr="00251031">
        <w:t xml:space="preserve"> and </w:t>
      </w:r>
      <w:r>
        <w:t>10.1.9B and 10.1.10B</w:t>
      </w:r>
      <w:r w:rsidRPr="00251031">
        <w:t xml:space="preserve">, respectively. </w:t>
      </w:r>
    </w:p>
    <w:p w14:paraId="1982A928" w14:textId="77777777" w:rsidR="0041081A" w:rsidRDefault="0041081A" w:rsidP="0041081A">
      <w:r w:rsidRPr="00251031">
        <w:t>The UE shall be able to report idle mode CA</w:t>
      </w:r>
      <w:r>
        <w:t>/DC</w:t>
      </w:r>
      <w:r w:rsidRPr="00251031">
        <w:t xml:space="preserve"> measurements when idle mode CA</w:t>
      </w:r>
      <w:r>
        <w:t>/DC</w:t>
      </w:r>
      <w:r w:rsidRPr="00251031">
        <w:t xml:space="preserve"> measurement reporting is requested by the network.</w:t>
      </w:r>
    </w:p>
    <w:p w14:paraId="537C0027" w14:textId="418D1917" w:rsidR="000C77DD" w:rsidRPr="00FF5DCC" w:rsidRDefault="000C77DD" w:rsidP="000C77DD">
      <w:pPr>
        <w:pStyle w:val="Heading4"/>
      </w:pPr>
      <w:r>
        <w:t>4.4.2</w:t>
      </w:r>
      <w:r w:rsidRPr="00FF5DCC">
        <w:t>.</w:t>
      </w:r>
      <w:r>
        <w:t>3</w:t>
      </w:r>
      <w:r w:rsidRPr="00FF5DCC">
        <w:tab/>
      </w:r>
      <w:r w:rsidRPr="009F238D">
        <w:t>Measurements on serving cell</w:t>
      </w:r>
    </w:p>
    <w:bookmarkEnd w:id="52"/>
    <w:p w14:paraId="30EB2ACD" w14:textId="514821C0" w:rsidR="0041081A" w:rsidRDefault="0041081A" w:rsidP="0041081A">
      <w:r>
        <w:t>The UE shall measure the RSRP and RSRQ level of the serving cell and evaluate the cell selection criterion S defined in clause 4.2.2.2 and the UE physical layer shall be capable of reporting RSRP and RSRQ measurements of the serving cell to higher layers, with measurement accuracy as specified in 10.1.2B, 10.1.3B, 10.1.7B and 10.1.8B.</w:t>
      </w:r>
    </w:p>
    <w:p w14:paraId="28071AF2" w14:textId="77777777" w:rsidR="00B83137" w:rsidRPr="00FF5DCC" w:rsidRDefault="00B83137" w:rsidP="00B83137">
      <w:pPr>
        <w:pStyle w:val="Heading4"/>
      </w:pPr>
      <w:r>
        <w:t>4.4.2</w:t>
      </w:r>
      <w:r w:rsidRPr="00FF5DCC">
        <w:t>.</w:t>
      </w:r>
      <w:r>
        <w:t>4</w:t>
      </w:r>
      <w:r w:rsidRPr="00FF5DCC">
        <w:tab/>
      </w:r>
      <w:r w:rsidRPr="00251031">
        <w:t xml:space="preserve">Measurements of </w:t>
      </w:r>
      <w:r>
        <w:t xml:space="preserve">E-UTRAN </w:t>
      </w:r>
      <w:r w:rsidRPr="00251031">
        <w:t>inter-</w:t>
      </w:r>
      <w:r>
        <w:t>RAT</w:t>
      </w:r>
      <w:r w:rsidRPr="00251031">
        <w:t xml:space="preserve"> </w:t>
      </w:r>
      <w:r>
        <w:t>DC</w:t>
      </w:r>
      <w:r w:rsidRPr="00251031">
        <w:t xml:space="preserve"> candidate cells</w:t>
      </w:r>
    </w:p>
    <w:p w14:paraId="1CDD5BD4" w14:textId="77777777" w:rsidR="0041081A" w:rsidRPr="00251031" w:rsidRDefault="0041081A" w:rsidP="0041081A">
      <w:r w:rsidRPr="00251031">
        <w:t xml:space="preserve">While T331 is running, the UE shall perform measurement on the configured </w:t>
      </w:r>
      <w:r>
        <w:t xml:space="preserve">inter-RAT </w:t>
      </w:r>
      <w:r w:rsidRPr="00251031">
        <w:t xml:space="preserve">carriers for idle mode </w:t>
      </w:r>
      <w:r>
        <w:t xml:space="preserve">CA/DC </w:t>
      </w:r>
      <w:r w:rsidRPr="00251031">
        <w:t>measurement reporting</w:t>
      </w:r>
      <w:r>
        <w:t xml:space="preserve"> according to the UE measurement capability</w:t>
      </w:r>
      <w:r w:rsidRPr="00251031">
        <w:t xml:space="preserve">. </w:t>
      </w:r>
    </w:p>
    <w:p w14:paraId="73188338" w14:textId="77777777" w:rsidR="0041081A" w:rsidRDefault="0041081A" w:rsidP="0041081A">
      <w:r>
        <w:t>A</w:t>
      </w:r>
      <w:r w:rsidRPr="00251031">
        <w:t xml:space="preserve"> UE which supports</w:t>
      </w:r>
      <w:r>
        <w:t xml:space="preserve"> </w:t>
      </w:r>
      <w:r w:rsidRPr="00D05CCE">
        <w:rPr>
          <w:i/>
        </w:rPr>
        <w:t>idleInactiveEUTRA-MeasReport-r16</w:t>
      </w:r>
      <w:r w:rsidDel="004130DC">
        <w:t xml:space="preserve"> </w:t>
      </w:r>
      <w:r>
        <w:t>shall support idle mode DC measurements of:</w:t>
      </w:r>
    </w:p>
    <w:p w14:paraId="79B503B4" w14:textId="5743A7D4" w:rsidR="0009382D" w:rsidRDefault="0009382D" w:rsidP="0009382D">
      <w:pPr>
        <w:pStyle w:val="B10"/>
      </w:pPr>
      <w:r>
        <w:t>-</w:t>
      </w:r>
      <w:r>
        <w:tab/>
        <w:t xml:space="preserve">at least 7 E-UTRAN inter-RAT </w:t>
      </w:r>
      <w:r w:rsidRPr="00497226">
        <w:t>carriers</w:t>
      </w:r>
      <w:r w:rsidRPr="008B6643">
        <w:t xml:space="preserve"> </w:t>
      </w:r>
      <w:r w:rsidRPr="00497226">
        <w:t xml:space="preserve">which are also configured for </w:t>
      </w:r>
      <w:r>
        <w:t>E-UTRAN inter-RAT</w:t>
      </w:r>
      <w:r w:rsidRPr="00497226">
        <w:t xml:space="preserve"> mobility measurements</w:t>
      </w:r>
      <w:r>
        <w:t>, and</w:t>
      </w:r>
    </w:p>
    <w:p w14:paraId="305C092D" w14:textId="598A4B21" w:rsidR="0009382D" w:rsidRDefault="0009382D" w:rsidP="0009382D">
      <w:pPr>
        <w:pStyle w:val="B10"/>
      </w:pPr>
      <w:r>
        <w:t>-</w:t>
      </w:r>
      <w:r>
        <w:tab/>
      </w:r>
      <w:r w:rsidRPr="00045384">
        <w:t xml:space="preserve">at least 1 </w:t>
      </w:r>
      <w:r>
        <w:t>E-UTRAN i</w:t>
      </w:r>
      <w:r w:rsidRPr="00045384">
        <w:t xml:space="preserve">nter-RAT </w:t>
      </w:r>
      <w:r w:rsidRPr="00497226">
        <w:t>carrier</w:t>
      </w:r>
      <w:r w:rsidRPr="008B6643">
        <w:t xml:space="preserve"> </w:t>
      </w:r>
      <w:r w:rsidRPr="00497226">
        <w:t xml:space="preserve">which </w:t>
      </w:r>
      <w:r>
        <w:t>is not</w:t>
      </w:r>
      <w:r w:rsidRPr="00497226">
        <w:t xml:space="preserve"> configured for </w:t>
      </w:r>
      <w:r>
        <w:t>E-UTRAN inter-RAT</w:t>
      </w:r>
      <w:r w:rsidRPr="00497226">
        <w:t xml:space="preserve"> mobility measurements</w:t>
      </w:r>
      <w:r>
        <w:t>.</w:t>
      </w:r>
    </w:p>
    <w:p w14:paraId="18615560" w14:textId="700140F6" w:rsidR="0041081A" w:rsidRDefault="0041081A" w:rsidP="0041081A">
      <w:r>
        <w:t xml:space="preserve">The UE shall be capable of monitoring a total of at least 7 </w:t>
      </w:r>
      <w:r w:rsidRPr="00251031">
        <w:t>inter-</w:t>
      </w:r>
      <w:r>
        <w:t>RAT</w:t>
      </w:r>
      <w:r w:rsidRPr="00251031">
        <w:t xml:space="preserve"> car</w:t>
      </w:r>
      <w:r w:rsidRPr="00497226">
        <w:t>riers</w:t>
      </w:r>
      <w:r w:rsidRPr="008B6643">
        <w:t xml:space="preserve"> </w:t>
      </w:r>
      <w:r w:rsidRPr="00497226">
        <w:t>for idle mode CA/DC measurements comprising of carriers configured for inter-</w:t>
      </w:r>
      <w:r>
        <w:t>RAT</w:t>
      </w:r>
      <w:r w:rsidRPr="00497226">
        <w:t xml:space="preserve"> mobility measurements and carriers not configured for inter-</w:t>
      </w:r>
      <w:r>
        <w:t>RAT</w:t>
      </w:r>
      <w:r w:rsidRPr="00497226">
        <w:t xml:space="preserve"> mobility measurements</w:t>
      </w:r>
      <w:r>
        <w:t>.</w:t>
      </w:r>
    </w:p>
    <w:p w14:paraId="6915146C" w14:textId="7B261852" w:rsidR="0041081A" w:rsidRDefault="0041081A" w:rsidP="0041081A">
      <w:r>
        <w:t xml:space="preserve">For inter-RAT </w:t>
      </w:r>
      <w:r w:rsidRPr="00497226">
        <w:t>carriers</w:t>
      </w:r>
      <w:r w:rsidRPr="008B6643">
        <w:t xml:space="preserve"> </w:t>
      </w:r>
      <w:r w:rsidRPr="00497226">
        <w:t>configured for idle mode CA/DC measurements</w:t>
      </w:r>
      <w:r>
        <w:t xml:space="preserve">, </w:t>
      </w:r>
      <w:r w:rsidRPr="006308CE">
        <w:t xml:space="preserve">if Srxlev </w:t>
      </w:r>
      <w:r w:rsidRPr="006308CE">
        <w:rPr>
          <w:rFonts w:hint="eastAsia"/>
          <w:lang w:val="en-US"/>
        </w:rPr>
        <w:t>≤</w:t>
      </w:r>
      <w:r w:rsidRPr="006308CE">
        <w:t xml:space="preserve"> S</w:t>
      </w:r>
      <w:r w:rsidRPr="006308CE">
        <w:rPr>
          <w:vertAlign w:val="subscript"/>
        </w:rPr>
        <w:t>nonIntraSearchP</w:t>
      </w:r>
      <w:r w:rsidRPr="006308CE">
        <w:t xml:space="preserve"> </w:t>
      </w:r>
      <w:r>
        <w:t>or</w:t>
      </w:r>
      <w:r w:rsidRPr="006308CE">
        <w:t xml:space="preserve"> Squal </w:t>
      </w:r>
      <w:r w:rsidRPr="006308CE">
        <w:rPr>
          <w:rFonts w:hint="eastAsia"/>
          <w:lang w:val="en-US"/>
        </w:rPr>
        <w:t xml:space="preserve">≤ </w:t>
      </w:r>
      <w:r w:rsidRPr="006308CE">
        <w:t>S</w:t>
      </w:r>
      <w:r w:rsidRPr="006308CE">
        <w:rPr>
          <w:vertAlign w:val="subscript"/>
        </w:rPr>
        <w:t>nonIntraSearchQ</w:t>
      </w:r>
      <w:r w:rsidRPr="006308CE">
        <w:t xml:space="preserve"> </w:t>
      </w:r>
      <w:r>
        <w:t>the inter-RAT measurement requirements in clause 4.2.2.5 shall apply,</w:t>
      </w:r>
      <w:r w:rsidRPr="0058328E">
        <w:t xml:space="preserve"> </w:t>
      </w:r>
      <w:r>
        <w:t xml:space="preserve">where </w:t>
      </w:r>
      <w:r w:rsidRPr="004F5A82">
        <w:t>UE shall search for and measure inter-</w:t>
      </w:r>
      <w:r>
        <w:t>RAT</w:t>
      </w:r>
      <w:r w:rsidRPr="004F5A82">
        <w:t xml:space="preserve"> layers </w:t>
      </w:r>
      <w:r>
        <w:t>configured for idle mode CA/DC measurements</w:t>
      </w:r>
      <w:r w:rsidRPr="004F5A82">
        <w:t xml:space="preserve"> in preparation for possible </w:t>
      </w:r>
      <w:r>
        <w:t xml:space="preserve">reporting. </w:t>
      </w:r>
      <w:r w:rsidRPr="006308CE">
        <w:t>If Srxlev &gt; S</w:t>
      </w:r>
      <w:r w:rsidRPr="006308CE">
        <w:rPr>
          <w:vertAlign w:val="subscript"/>
        </w:rPr>
        <w:t>nonIntraSearchP</w:t>
      </w:r>
      <w:r w:rsidRPr="006308CE">
        <w:t xml:space="preserve"> and Squal &gt; S</w:t>
      </w:r>
      <w:r w:rsidRPr="006308CE">
        <w:rPr>
          <w:vertAlign w:val="subscript"/>
        </w:rPr>
        <w:t>nonIntraSearchQ</w:t>
      </w:r>
      <w:r w:rsidRPr="006308CE">
        <w:t xml:space="preserve"> the UE shall search for inter-</w:t>
      </w:r>
      <w:r>
        <w:t>RAT</w:t>
      </w:r>
      <w:r w:rsidRPr="006308CE">
        <w:t xml:space="preserve"> layers configured for idle mode CA/DC measurements at least every T</w:t>
      </w:r>
      <w:r w:rsidRPr="006308CE">
        <w:rPr>
          <w:vertAlign w:val="subscript"/>
        </w:rPr>
        <w:t xml:space="preserve">higher_priority_search </w:t>
      </w:r>
      <w:r w:rsidRPr="006308CE">
        <w:t>where T</w:t>
      </w:r>
      <w:r w:rsidRPr="006308CE">
        <w:rPr>
          <w:vertAlign w:val="subscript"/>
        </w:rPr>
        <w:t>higher_priority_search</w:t>
      </w:r>
      <w:r w:rsidRPr="006308CE">
        <w:t xml:space="preserve"> is described in clause 4.2.2, </w:t>
      </w:r>
      <w:r w:rsidRPr="006308CE">
        <w:rPr>
          <w:lang w:val="en-US"/>
        </w:rPr>
        <w:t>where UE shall search for and measure inter-</w:t>
      </w:r>
      <w:r>
        <w:rPr>
          <w:lang w:val="en-US"/>
        </w:rPr>
        <w:t>RAT</w:t>
      </w:r>
      <w:r w:rsidRPr="006308CE">
        <w:rPr>
          <w:lang w:val="en-US"/>
        </w:rPr>
        <w:t xml:space="preserve"> layers configured for idle mode CA/DC measurements in preparation for possible reporting</w:t>
      </w:r>
      <w:r w:rsidRPr="006308CE">
        <w:t>.</w:t>
      </w:r>
    </w:p>
    <w:p w14:paraId="68BD5730" w14:textId="6D467A1A" w:rsidR="0041081A" w:rsidRDefault="0041081A" w:rsidP="0041081A">
      <w:r w:rsidRPr="00251031">
        <w:t xml:space="preserve">For overlapping </w:t>
      </w:r>
      <w:r>
        <w:t xml:space="preserve">inter-RAT </w:t>
      </w:r>
      <w:r w:rsidRPr="00251031">
        <w:t>carriers</w:t>
      </w:r>
      <w:r w:rsidRPr="00497226">
        <w:t xml:space="preserve"> configured for idle mode CA/DC measurements</w:t>
      </w:r>
      <w:r w:rsidRPr="00251031">
        <w:t>, the UE shall be capable of performing RSRP and RSRQ measurements of the carriers, and the UE physical layer shall be capable of reporting RSRP and RSRQ measurements of the carriers</w:t>
      </w:r>
      <w:r w:rsidRPr="00D4077E">
        <w:t xml:space="preserve"> </w:t>
      </w:r>
      <w:r w:rsidRPr="00497226">
        <w:t>configured for idle mode CA/DC measurements</w:t>
      </w:r>
      <w:r w:rsidRPr="00251031">
        <w:t xml:space="preserve"> to higher layers, with measurement accuracy as specified in </w:t>
      </w:r>
      <w:r>
        <w:t>clause</w:t>
      </w:r>
      <w:r w:rsidRPr="00251031">
        <w:t>s</w:t>
      </w:r>
      <w:r>
        <w:t xml:space="preserve"> in</w:t>
      </w:r>
      <w:r w:rsidRPr="00251031">
        <w:t xml:space="preserve"> </w:t>
      </w:r>
      <w:r>
        <w:t>9.1.3B.3</w:t>
      </w:r>
      <w:r w:rsidRPr="00251031">
        <w:t xml:space="preserve"> and </w:t>
      </w:r>
      <w:r>
        <w:t>9.1.6B.2</w:t>
      </w:r>
      <w:r w:rsidRPr="00251031">
        <w:t>, respectively.</w:t>
      </w:r>
    </w:p>
    <w:p w14:paraId="42C6B21E" w14:textId="77777777" w:rsidR="0041081A" w:rsidRDefault="0041081A" w:rsidP="0041081A">
      <w:pPr>
        <w:rPr>
          <w:noProof/>
        </w:rPr>
      </w:pPr>
      <w:r w:rsidRPr="00251031">
        <w:t>The UE shall be able to report idle mode CA measurements when idle mode CA measurement reporting is requested by the network.</w:t>
      </w:r>
    </w:p>
    <w:p w14:paraId="633A3062" w14:textId="77777777" w:rsidR="00AF5E3B" w:rsidRPr="009C5807" w:rsidRDefault="00AF5E3B">
      <w:pPr>
        <w:spacing w:after="0"/>
      </w:pPr>
      <w:r w:rsidRPr="009C5807">
        <w:br w:type="page"/>
      </w:r>
    </w:p>
    <w:p w14:paraId="28B63A71" w14:textId="70EE605C" w:rsidR="00D27AAF" w:rsidRPr="009C5807" w:rsidRDefault="008C19BE" w:rsidP="008C19BE">
      <w:pPr>
        <w:pStyle w:val="Heading1"/>
      </w:pPr>
      <w:bookmarkStart w:id="56" w:name="_Toc5952542"/>
      <w:bookmarkStart w:id="57" w:name="_Toc5952554"/>
      <w:r w:rsidRPr="009C5807">
        <w:rPr>
          <w:rStyle w:val="Heading1Char"/>
        </w:rPr>
        <w:t>5</w:t>
      </w:r>
      <w:r w:rsidR="00D27AAF" w:rsidRPr="009C5807">
        <w:tab/>
        <w:t>SA: RRC_INACTIVE state mobility</w:t>
      </w:r>
      <w:bookmarkEnd w:id="56"/>
    </w:p>
    <w:p w14:paraId="71ECBF9D" w14:textId="29C34253" w:rsidR="00D27AAF" w:rsidRPr="009C5807" w:rsidRDefault="008C19BE" w:rsidP="008C19BE">
      <w:pPr>
        <w:pStyle w:val="Heading2"/>
      </w:pPr>
      <w:bookmarkStart w:id="58" w:name="_Toc5952543"/>
      <w:r w:rsidRPr="009C5807">
        <w:t>5.1</w:t>
      </w:r>
      <w:r w:rsidR="00D27AAF" w:rsidRPr="009C5807">
        <w:tab/>
        <w:t>Cell Re-selection</w:t>
      </w:r>
      <w:bookmarkEnd w:id="58"/>
    </w:p>
    <w:p w14:paraId="227FDD94" w14:textId="77777777" w:rsidR="00D27AAF" w:rsidRPr="009C5807" w:rsidRDefault="00D27AAF" w:rsidP="00967CF8">
      <w:pPr>
        <w:pStyle w:val="Heading3"/>
      </w:pPr>
      <w:bookmarkStart w:id="59" w:name="_Toc5952544"/>
      <w:r w:rsidRPr="009C5807">
        <w:t>5.1.1</w:t>
      </w:r>
      <w:r w:rsidRPr="009C5807">
        <w:tab/>
        <w:t>Introduction</w:t>
      </w:r>
      <w:bookmarkEnd w:id="59"/>
    </w:p>
    <w:p w14:paraId="1E642DD7" w14:textId="77777777" w:rsidR="00D27AAF" w:rsidRPr="009C5807" w:rsidRDefault="00D27AAF" w:rsidP="00D27AAF">
      <w:r w:rsidRPr="009C5807">
        <w:t>The cell reselection procedure allows the UE to select a more suitable cell and camp on it.</w:t>
      </w:r>
    </w:p>
    <w:p w14:paraId="4D140949" w14:textId="77777777" w:rsidR="00D139B0" w:rsidRPr="009C5807" w:rsidRDefault="00D139B0" w:rsidP="00D139B0">
      <w:bookmarkStart w:id="60" w:name="_Toc5952545"/>
      <w:r w:rsidRPr="009C5807">
        <w:t xml:space="preserve">When the UE is in </w:t>
      </w:r>
      <w:r w:rsidRPr="009C5807">
        <w:rPr>
          <w:i/>
        </w:rPr>
        <w:t>Camped Normally</w:t>
      </w:r>
      <w:r w:rsidRPr="009C5807">
        <w:t xml:space="preserve"> state on a cell, the UE shall attempt to detect, synchronise, and monitor intra-frequency, inter-frequency and inter-RAT cells indicated by the serving cell. For intra-frequency and inter-frequency cells the serving cell may not provide explicit neighbour list but carrier frequency information and bandwidth information only. UE measurement activity is also controlled by measurement rules defined in TS38.304 [1], allowing the UE to limit its measurement activity.</w:t>
      </w:r>
    </w:p>
    <w:p w14:paraId="0D1F584F" w14:textId="77777777" w:rsidR="00D27AAF" w:rsidRPr="009C5807" w:rsidRDefault="00D27AAF" w:rsidP="00967CF8">
      <w:pPr>
        <w:pStyle w:val="Heading3"/>
      </w:pPr>
      <w:r w:rsidRPr="009C5807">
        <w:t>5.1.2</w:t>
      </w:r>
      <w:r w:rsidRPr="009C5807">
        <w:tab/>
        <w:t>Requirements</w:t>
      </w:r>
      <w:bookmarkEnd w:id="60"/>
    </w:p>
    <w:p w14:paraId="068B888C" w14:textId="41947A65" w:rsidR="00D27AAF" w:rsidRPr="009C5807" w:rsidRDefault="00967CF8" w:rsidP="00967CF8">
      <w:pPr>
        <w:pStyle w:val="Heading4"/>
      </w:pPr>
      <w:bookmarkStart w:id="61" w:name="_Toc5952546"/>
      <w:r w:rsidRPr="009C5807">
        <w:t>5.1.2.1</w:t>
      </w:r>
      <w:r w:rsidR="00D27AAF" w:rsidRPr="009C5807">
        <w:tab/>
        <w:t>UE measurement capability</w:t>
      </w:r>
      <w:bookmarkEnd w:id="61"/>
    </w:p>
    <w:p w14:paraId="32021F07" w14:textId="56C0B4BA" w:rsidR="00D27AAF" w:rsidRPr="009C5807" w:rsidRDefault="00D27AAF" w:rsidP="00D27AAF">
      <w:r w:rsidRPr="009C5807">
        <w:t>The requirements in clause 4.2.2.1 shall apply.</w:t>
      </w:r>
    </w:p>
    <w:p w14:paraId="166D23EA" w14:textId="758BAED0" w:rsidR="00D27AAF" w:rsidRPr="009C5807" w:rsidRDefault="00967CF8" w:rsidP="00967CF8">
      <w:pPr>
        <w:pStyle w:val="Heading4"/>
      </w:pPr>
      <w:bookmarkStart w:id="62" w:name="_Toc5952547"/>
      <w:r w:rsidRPr="009C5807">
        <w:t>5.1.2.2</w:t>
      </w:r>
      <w:r w:rsidR="00D27AAF" w:rsidRPr="009C5807">
        <w:tab/>
        <w:t>Measurement and evaluation of serving cell</w:t>
      </w:r>
      <w:bookmarkEnd w:id="62"/>
    </w:p>
    <w:p w14:paraId="74078FB6" w14:textId="39E22E45" w:rsidR="00D27AAF" w:rsidRPr="009C5807" w:rsidRDefault="00D27AAF" w:rsidP="00D27AAF">
      <w:r w:rsidRPr="009C5807">
        <w:t>The requirements in clause 4.2.2.2 shall apply.</w:t>
      </w:r>
    </w:p>
    <w:p w14:paraId="612132CD" w14:textId="7CACF688" w:rsidR="00D27AAF" w:rsidRPr="009C5807" w:rsidRDefault="00967CF8" w:rsidP="00967CF8">
      <w:pPr>
        <w:pStyle w:val="Heading4"/>
      </w:pPr>
      <w:bookmarkStart w:id="63" w:name="_Toc5952548"/>
      <w:r w:rsidRPr="009C5807">
        <w:t>5.1.2.3</w:t>
      </w:r>
      <w:r w:rsidR="00D27AAF" w:rsidRPr="009C5807">
        <w:tab/>
        <w:t>Measurements of intra-frequency NR cells</w:t>
      </w:r>
      <w:bookmarkEnd w:id="63"/>
    </w:p>
    <w:p w14:paraId="7AED1AE0" w14:textId="224E3AB7" w:rsidR="00A750BE" w:rsidRPr="009C5807" w:rsidRDefault="00A750BE" w:rsidP="00A750BE">
      <w:bookmarkStart w:id="64" w:name="_Toc5952549"/>
      <w:r w:rsidRPr="009C5807">
        <w:t>The requirements in clause 4.2.2.3 shall apply.</w:t>
      </w:r>
      <w:r>
        <w:t xml:space="preserve"> The requirements in clause 4.2.2.9 apply for UE configured with relaxed measurement criterion.</w:t>
      </w:r>
    </w:p>
    <w:p w14:paraId="047C1BC6" w14:textId="11FA4157" w:rsidR="00D27AAF" w:rsidRPr="009C5807" w:rsidRDefault="00967CF8" w:rsidP="00967CF8">
      <w:pPr>
        <w:pStyle w:val="Heading4"/>
      </w:pPr>
      <w:r w:rsidRPr="009C5807">
        <w:t>5.1.2.4</w:t>
      </w:r>
      <w:r w:rsidR="00D27AAF" w:rsidRPr="009C5807">
        <w:tab/>
        <w:t>Measurements of inter-frequency NR cells</w:t>
      </w:r>
      <w:bookmarkEnd w:id="64"/>
    </w:p>
    <w:p w14:paraId="265716A4" w14:textId="65BBBF14" w:rsidR="00B404F5" w:rsidRDefault="00B404F5" w:rsidP="00B404F5">
      <w:bookmarkStart w:id="65" w:name="_Toc5952550"/>
      <w:r>
        <w:t>If UE is not configured to perform PRS measurement, or if UE is configured to perform PRS measurement and supports</w:t>
      </w:r>
      <w:r w:rsidRPr="00E661C7">
        <w:rPr>
          <w:i/>
        </w:rPr>
        <w:t xml:space="preserve"> </w:t>
      </w:r>
      <w:r w:rsidRPr="008A7648">
        <w:rPr>
          <w:i/>
        </w:rPr>
        <w:t>parallelPRS-MeasRRC-Inactive-r17</w:t>
      </w:r>
      <w:r>
        <w:t xml:space="preserve">, the </w:t>
      </w:r>
      <w:r w:rsidRPr="00ED2F00">
        <w:t>requirements in clause 4.2.2.4 shall apply regardless of whether the serving cell is subject to CCA or not.</w:t>
      </w:r>
      <w:r>
        <w:t xml:space="preserve"> </w:t>
      </w:r>
    </w:p>
    <w:p w14:paraId="760C4AF8" w14:textId="47F603A9" w:rsidR="00B404F5" w:rsidRPr="001072B6" w:rsidRDefault="00B404F5" w:rsidP="00B404F5">
      <w:r>
        <w:t>If UE is configured to perform PRS measurement but does not support</w:t>
      </w:r>
      <w:r w:rsidRPr="00E661C7">
        <w:rPr>
          <w:i/>
        </w:rPr>
        <w:t xml:space="preserve"> </w:t>
      </w:r>
      <w:r w:rsidRPr="008A7648">
        <w:rPr>
          <w:i/>
        </w:rPr>
        <w:t>parallelPRS-MeasRRC-Inactive-r17</w:t>
      </w:r>
      <w:r>
        <w:t xml:space="preserve">, the </w:t>
      </w:r>
      <w:r w:rsidRPr="00ED2F00">
        <w:t>requirements in clause 4.2.2.</w:t>
      </w:r>
      <w:r>
        <w:t xml:space="preserve">4 </w:t>
      </w:r>
      <w:r w:rsidRPr="00ED2F00">
        <w:t xml:space="preserve">shall apply </w:t>
      </w:r>
      <w:r>
        <w:t xml:space="preserve">with </w:t>
      </w:r>
      <w:r w:rsidRPr="00542EC9">
        <w:rPr>
          <w:rFonts w:eastAsia="Malgun Gothic" w:cs="v4.2.0"/>
        </w:rPr>
        <w:t>K</w:t>
      </w:r>
      <w:r w:rsidRPr="00542EC9">
        <w:rPr>
          <w:rFonts w:eastAsia="Malgun Gothic" w:cs="v4.2.0"/>
          <w:vertAlign w:val="subscript"/>
        </w:rPr>
        <w:t>carrier</w:t>
      </w:r>
      <w:r w:rsidRPr="00542EC9">
        <w:rPr>
          <w:rFonts w:eastAsia="Malgun Gothic" w:cs="v4.2.0"/>
        </w:rPr>
        <w:t xml:space="preserve"> </w:t>
      </w:r>
      <w:r>
        <w:rPr>
          <w:rFonts w:eastAsia="Malgun Gothic" w:cs="v4.2.0"/>
        </w:rPr>
        <w:t xml:space="preserve">being replaced with </w:t>
      </w:r>
      <w:r w:rsidRPr="00542EC9">
        <w:rPr>
          <w:rFonts w:eastAsia="Malgun Gothic" w:cs="v4.2.0"/>
        </w:rPr>
        <w:t>K</w:t>
      </w:r>
      <w:r w:rsidRPr="00542EC9">
        <w:rPr>
          <w:rFonts w:eastAsia="Malgun Gothic" w:cs="v4.2.0"/>
          <w:vertAlign w:val="subscript"/>
        </w:rPr>
        <w:t>carrier</w:t>
      </w:r>
      <w:r w:rsidRPr="00542EC9">
        <w:rPr>
          <w:rFonts w:eastAsia="Malgun Gothic" w:cs="v4.2.0"/>
        </w:rPr>
        <w:t xml:space="preserve"> </w:t>
      </w:r>
      <w:r>
        <w:rPr>
          <w:rFonts w:eastAsia="Malgun Gothic" w:cs="v4.2.0"/>
        </w:rPr>
        <w:t xml:space="preserve">+ 1, </w:t>
      </w:r>
      <w:r w:rsidRPr="00ED2F00">
        <w:t>regardless of whether the serving cell is subject to CCA or not.</w:t>
      </w:r>
    </w:p>
    <w:p w14:paraId="50A5118A" w14:textId="00E77920" w:rsidR="00B404F5" w:rsidRDefault="00B404F5" w:rsidP="00B404F5">
      <w:r>
        <w:t>If UE is not configured to perform PRS measurement, or if UE is configured to perform PRS measurement and supports</w:t>
      </w:r>
      <w:r w:rsidRPr="00E661C7">
        <w:rPr>
          <w:i/>
        </w:rPr>
        <w:t xml:space="preserve"> </w:t>
      </w:r>
      <w:r w:rsidRPr="008A7648">
        <w:rPr>
          <w:i/>
        </w:rPr>
        <w:t>parallelPRS-MeasRRC-Inactive-r17</w:t>
      </w:r>
      <w:r>
        <w:t>, the</w:t>
      </w:r>
      <w:r w:rsidRPr="00ED2F00">
        <w:t xml:space="preserve"> requirements in clause 4.2.2.</w:t>
      </w:r>
      <w:r>
        <w:t>10</w:t>
      </w:r>
      <w:r w:rsidRPr="00ED2F00">
        <w:t xml:space="preserve"> shall apply regardless of whether the serving cell is subject to CCA or not</w:t>
      </w:r>
      <w:r>
        <w:t xml:space="preserve"> for UE configured with relaxed measurement criterion</w:t>
      </w:r>
      <w:r w:rsidRPr="00ED2F00">
        <w:t>.</w:t>
      </w:r>
    </w:p>
    <w:p w14:paraId="679EC84D" w14:textId="716A80AA" w:rsidR="00B404F5" w:rsidRPr="00E661C7" w:rsidRDefault="00B404F5" w:rsidP="00B404F5">
      <w:r>
        <w:t>If UE is configured to perform PRS measurement but does not support</w:t>
      </w:r>
      <w:r w:rsidRPr="00E661C7">
        <w:rPr>
          <w:i/>
        </w:rPr>
        <w:t xml:space="preserve"> </w:t>
      </w:r>
      <w:r w:rsidRPr="008A7648">
        <w:rPr>
          <w:i/>
        </w:rPr>
        <w:t>parallelPRS-MeasRRC-Inactive-r17</w:t>
      </w:r>
      <w:r>
        <w:t xml:space="preserve">, the </w:t>
      </w:r>
      <w:r w:rsidRPr="00ED2F00">
        <w:t>requirements in clause 4.2.2.</w:t>
      </w:r>
      <w:r>
        <w:t xml:space="preserve">10 </w:t>
      </w:r>
      <w:r w:rsidRPr="00ED2F00">
        <w:t xml:space="preserve">shall apply </w:t>
      </w:r>
      <w:r>
        <w:t xml:space="preserve">with </w:t>
      </w:r>
      <w:r w:rsidRPr="00542EC9">
        <w:rPr>
          <w:rFonts w:eastAsia="Malgun Gothic" w:cs="v4.2.0"/>
        </w:rPr>
        <w:t>K</w:t>
      </w:r>
      <w:r w:rsidRPr="00542EC9">
        <w:rPr>
          <w:rFonts w:eastAsia="Malgun Gothic" w:cs="v4.2.0"/>
          <w:vertAlign w:val="subscript"/>
        </w:rPr>
        <w:t>carrier</w:t>
      </w:r>
      <w:r w:rsidRPr="00542EC9">
        <w:rPr>
          <w:rFonts w:eastAsia="Malgun Gothic" w:cs="v4.2.0"/>
        </w:rPr>
        <w:t xml:space="preserve"> </w:t>
      </w:r>
      <w:r>
        <w:rPr>
          <w:rFonts w:eastAsia="Malgun Gothic" w:cs="v4.2.0"/>
        </w:rPr>
        <w:t xml:space="preserve">being replaced with </w:t>
      </w:r>
      <w:r w:rsidRPr="00542EC9">
        <w:rPr>
          <w:rFonts w:eastAsia="Malgun Gothic" w:cs="v4.2.0"/>
        </w:rPr>
        <w:t>K</w:t>
      </w:r>
      <w:r w:rsidRPr="00542EC9">
        <w:rPr>
          <w:rFonts w:eastAsia="Malgun Gothic" w:cs="v4.2.0"/>
          <w:vertAlign w:val="subscript"/>
        </w:rPr>
        <w:t>carrier</w:t>
      </w:r>
      <w:r w:rsidRPr="00542EC9">
        <w:rPr>
          <w:rFonts w:eastAsia="Malgun Gothic" w:cs="v4.2.0"/>
        </w:rPr>
        <w:t xml:space="preserve"> </w:t>
      </w:r>
      <w:r>
        <w:rPr>
          <w:rFonts w:eastAsia="Malgun Gothic" w:cs="v4.2.0"/>
        </w:rPr>
        <w:t xml:space="preserve">+ 1, </w:t>
      </w:r>
      <w:r w:rsidRPr="00ED2F00">
        <w:t>regardless of whether the serving cell is subject to CCA or not</w:t>
      </w:r>
      <w:r>
        <w:t xml:space="preserve"> for UE configured with relaxed measurement criterion</w:t>
      </w:r>
      <w:r w:rsidRPr="00ED2F00">
        <w:t>.</w:t>
      </w:r>
    </w:p>
    <w:p w14:paraId="517724C3" w14:textId="2430E358" w:rsidR="00B404F5" w:rsidRPr="00EA13E4" w:rsidRDefault="00B404F5" w:rsidP="00191FDA">
      <w:pPr>
        <w:rPr>
          <w:rFonts w:cs="v4.2.0"/>
        </w:rPr>
      </w:pPr>
    </w:p>
    <w:p w14:paraId="0D1AE78B" w14:textId="3FD63096" w:rsidR="00D27AAF" w:rsidRPr="009C5807" w:rsidRDefault="00967CF8" w:rsidP="00967CF8">
      <w:pPr>
        <w:pStyle w:val="Heading4"/>
      </w:pPr>
      <w:r w:rsidRPr="009C5807">
        <w:t>5.1.2.5</w:t>
      </w:r>
      <w:r w:rsidR="00D27AAF" w:rsidRPr="009C5807">
        <w:tab/>
        <w:t>Measurements of inter-RAT E-UTRAN cells</w:t>
      </w:r>
      <w:bookmarkEnd w:id="65"/>
    </w:p>
    <w:p w14:paraId="4C1C83B2" w14:textId="5ED6F9B7" w:rsidR="00A750BE" w:rsidRPr="009C5807" w:rsidRDefault="00A750BE" w:rsidP="00A750BE">
      <w:bookmarkStart w:id="66" w:name="_Toc5952551"/>
      <w:r w:rsidRPr="009C5807">
        <w:t>The requirements in clause 4.2.2.5 shall apply.</w:t>
      </w:r>
      <w:r>
        <w:t xml:space="preserve"> </w:t>
      </w:r>
      <w:r w:rsidRPr="009C5807">
        <w:t>The requirements in clause 4.2.2.</w:t>
      </w:r>
      <w:r>
        <w:t>11</w:t>
      </w:r>
      <w:r w:rsidRPr="009C5807">
        <w:t xml:space="preserve"> shall apply</w:t>
      </w:r>
      <w:r>
        <w:t xml:space="preserve"> for UE configured with relaxed measurement criterion.</w:t>
      </w:r>
    </w:p>
    <w:p w14:paraId="7230F3D0" w14:textId="44FD3636" w:rsidR="00D27AAF" w:rsidRPr="009C5807" w:rsidRDefault="00967CF8" w:rsidP="00967CF8">
      <w:pPr>
        <w:pStyle w:val="Heading4"/>
      </w:pPr>
      <w:r w:rsidRPr="009C5807">
        <w:t>5.1.2.6</w:t>
      </w:r>
      <w:r w:rsidR="00D27AAF" w:rsidRPr="009C5807">
        <w:tab/>
        <w:t>Maximum interruption in paging reception</w:t>
      </w:r>
      <w:bookmarkEnd w:id="66"/>
    </w:p>
    <w:p w14:paraId="5B066AD2" w14:textId="7836D3F8" w:rsidR="00D27AAF" w:rsidRPr="009C5807" w:rsidRDefault="00D27AAF" w:rsidP="00D27AAF">
      <w:r w:rsidRPr="009C5807">
        <w:t>The requirements in clause 4.2.2.6 shall apply.</w:t>
      </w:r>
    </w:p>
    <w:p w14:paraId="203CE8A9" w14:textId="6D9B1AFB" w:rsidR="00D27AAF" w:rsidRPr="009C5807" w:rsidRDefault="00967CF8" w:rsidP="00967CF8">
      <w:pPr>
        <w:pStyle w:val="Heading4"/>
      </w:pPr>
      <w:bookmarkStart w:id="67" w:name="_Toc5952552"/>
      <w:r w:rsidRPr="009C5807">
        <w:t>5.1.2.7</w:t>
      </w:r>
      <w:r w:rsidR="00D27AAF" w:rsidRPr="009C5807">
        <w:tab/>
        <w:t>General requirements</w:t>
      </w:r>
      <w:bookmarkEnd w:id="67"/>
    </w:p>
    <w:p w14:paraId="206FF095" w14:textId="5826C7CF" w:rsidR="00191FDA" w:rsidRDefault="00191FDA" w:rsidP="00191FDA">
      <w:bookmarkStart w:id="68" w:name="_Toc5952553"/>
      <w:r>
        <w:t>If UE is not configured to perform PRS measurement, or if UE is configured to perform PRS measurement and supports</w:t>
      </w:r>
      <w:r w:rsidRPr="00E661C7">
        <w:rPr>
          <w:i/>
        </w:rPr>
        <w:t xml:space="preserve"> </w:t>
      </w:r>
      <w:r w:rsidRPr="008A7648">
        <w:rPr>
          <w:i/>
        </w:rPr>
        <w:t>parallelPRS-MeasRRC-Inactive-r17</w:t>
      </w:r>
      <w:r>
        <w:t xml:space="preserve">, the </w:t>
      </w:r>
      <w:r w:rsidRPr="009C5807">
        <w:t>requirements in clause 4.2.2.7 shall apply.</w:t>
      </w:r>
    </w:p>
    <w:p w14:paraId="016D53EF" w14:textId="4C6A3F55" w:rsidR="00191FDA" w:rsidRPr="00E661C7" w:rsidRDefault="00191FDA" w:rsidP="00191FDA">
      <w:r>
        <w:t>If UE is configured to perform PRS measurement but does not support</w:t>
      </w:r>
      <w:r w:rsidRPr="00E661C7">
        <w:rPr>
          <w:i/>
        </w:rPr>
        <w:t xml:space="preserve"> </w:t>
      </w:r>
      <w:r w:rsidRPr="008A7648">
        <w:rPr>
          <w:i/>
        </w:rPr>
        <w:t>parallelPRS-MeasRRC-Inactive-r17</w:t>
      </w:r>
      <w:r>
        <w:t xml:space="preserve">, the </w:t>
      </w:r>
      <w:r w:rsidRPr="00ED2F00">
        <w:t>requirements in clause 4.2.2.</w:t>
      </w:r>
      <w:r>
        <w:t xml:space="preserve">7 </w:t>
      </w:r>
      <w:r w:rsidRPr="00ED2F00">
        <w:t xml:space="preserve">shall apply </w:t>
      </w:r>
      <w:r>
        <w:t xml:space="preserve">with </w:t>
      </w:r>
      <w:r w:rsidRPr="00BA74F9">
        <w:t>N</w:t>
      </w:r>
      <w:r w:rsidRPr="00BA74F9">
        <w:rPr>
          <w:sz w:val="13"/>
          <w:szCs w:val="13"/>
        </w:rPr>
        <w:t xml:space="preserve">layers </w:t>
      </w:r>
      <w:r>
        <w:rPr>
          <w:rFonts w:eastAsia="Malgun Gothic" w:cs="v4.2.0"/>
        </w:rPr>
        <w:t xml:space="preserve">being replaced with </w:t>
      </w:r>
      <w:r w:rsidRPr="00BA74F9">
        <w:t>N</w:t>
      </w:r>
      <w:r w:rsidRPr="00BA74F9">
        <w:rPr>
          <w:sz w:val="13"/>
          <w:szCs w:val="13"/>
        </w:rPr>
        <w:t xml:space="preserve">layers </w:t>
      </w:r>
      <w:r>
        <w:t>+ 1</w:t>
      </w:r>
      <w:r>
        <w:rPr>
          <w:rFonts w:eastAsia="Malgun Gothic" w:cs="v4.2.0"/>
        </w:rPr>
        <w:t>.</w:t>
      </w:r>
    </w:p>
    <w:p w14:paraId="43068980" w14:textId="5A5C427F" w:rsidR="00261410" w:rsidRPr="001072B6" w:rsidRDefault="00261410" w:rsidP="00261410"/>
    <w:p w14:paraId="16B41FBD" w14:textId="77777777" w:rsidR="00877A71" w:rsidRPr="00ED2F00" w:rsidRDefault="00877A71" w:rsidP="00877A71">
      <w:pPr>
        <w:pStyle w:val="Heading2"/>
      </w:pPr>
      <w:r w:rsidRPr="00ED2F00">
        <w:t>5.1A</w:t>
      </w:r>
      <w:r w:rsidRPr="00ED2F00">
        <w:tab/>
        <w:t>Cell Re-selection with CCA</w:t>
      </w:r>
    </w:p>
    <w:p w14:paraId="17326037" w14:textId="77777777" w:rsidR="00877A71" w:rsidRPr="00ED2F00" w:rsidRDefault="00877A71" w:rsidP="00877A71">
      <w:pPr>
        <w:pStyle w:val="Heading3"/>
      </w:pPr>
      <w:r w:rsidRPr="00ED2F00">
        <w:t>5.1A.1</w:t>
      </w:r>
      <w:r w:rsidRPr="00ED2F00">
        <w:tab/>
        <w:t>Introduction</w:t>
      </w:r>
    </w:p>
    <w:p w14:paraId="02A1ED8F" w14:textId="6B42E6C8" w:rsidR="00877A71" w:rsidRPr="00ED2F00" w:rsidRDefault="00877A71" w:rsidP="000E322F">
      <w:r w:rsidRPr="00ED2F00">
        <w:t xml:space="preserve">The cell reselection procedure allows the UE to select a more suitable cell and camp on it. The </w:t>
      </w:r>
      <w:r w:rsidRPr="00ED2F00">
        <w:rPr>
          <w:lang w:eastAsia="sv-SE"/>
        </w:rPr>
        <w:t>requirements in sub</w:t>
      </w:r>
      <w:r w:rsidR="0063092D">
        <w:rPr>
          <w:lang w:eastAsia="sv-SE"/>
        </w:rPr>
        <w:t>clause</w:t>
      </w:r>
      <w:r w:rsidRPr="00ED2F00">
        <w:rPr>
          <w:lang w:eastAsia="sv-SE"/>
        </w:rPr>
        <w:t>s 5.1A.2.3, 5.1A.2.4, and 5.1A.2.6 apply when at least the target cell is on a carrier frequency with CCA, and the requirements in sub</w:t>
      </w:r>
      <w:r w:rsidR="0063092D">
        <w:rPr>
          <w:lang w:eastAsia="sv-SE"/>
        </w:rPr>
        <w:t>clause</w:t>
      </w:r>
      <w:r w:rsidRPr="00ED2F00">
        <w:rPr>
          <w:lang w:eastAsia="sv-SE"/>
        </w:rPr>
        <w:t>s 5.1A.2.2 and 5.1A.2.5 apply when at least the camping cell is on a carrier frequency with CCA.</w:t>
      </w:r>
    </w:p>
    <w:p w14:paraId="192336AE" w14:textId="77777777" w:rsidR="00877A71" w:rsidRPr="00ED2F00" w:rsidRDefault="00877A71" w:rsidP="000E322F">
      <w:r w:rsidRPr="00ED2F00">
        <w:t xml:space="preserve">When the UE is in </w:t>
      </w:r>
      <w:r w:rsidRPr="00ED2F00">
        <w:rPr>
          <w:i/>
        </w:rPr>
        <w:t>Camped Normally</w:t>
      </w:r>
      <w:r w:rsidRPr="00ED2F00">
        <w:t xml:space="preserve"> state on a cell, the UE shall attempt to detect, synchronise, and monitor intra-frequency, inter-frequency and inter-RAT cells indicated by the serving cell. For intra-frequency and inter-frequency cells the serving cell may not provide explicit neighbour list but carrier frequency information and bandwidth information only. UE measurement activity is also controlled by measurement rules defined in TS38.304, allowing the UE to limit its measurement activity.</w:t>
      </w:r>
    </w:p>
    <w:p w14:paraId="76F57FBC" w14:textId="77777777" w:rsidR="00877A71" w:rsidRPr="00ED2F00" w:rsidRDefault="00877A71" w:rsidP="00877A71">
      <w:pPr>
        <w:pStyle w:val="Heading3"/>
      </w:pPr>
      <w:r w:rsidRPr="00ED2F00">
        <w:t>5.1A.2</w:t>
      </w:r>
      <w:r w:rsidRPr="00ED2F00">
        <w:tab/>
        <w:t>Requirements</w:t>
      </w:r>
    </w:p>
    <w:p w14:paraId="43324DED" w14:textId="77777777" w:rsidR="00877A71" w:rsidRPr="00ED2F00" w:rsidRDefault="00877A71" w:rsidP="00877A71">
      <w:pPr>
        <w:pStyle w:val="Heading4"/>
      </w:pPr>
      <w:r w:rsidRPr="00ED2F00">
        <w:t>5.1A.2.1</w:t>
      </w:r>
      <w:r w:rsidRPr="00ED2F00">
        <w:tab/>
        <w:t>UE measurement capability</w:t>
      </w:r>
    </w:p>
    <w:p w14:paraId="7BE45609" w14:textId="009C6CF0" w:rsidR="00877A71" w:rsidRPr="00ED2F00" w:rsidRDefault="00877A71" w:rsidP="00877A71">
      <w:r w:rsidRPr="00ED2F00">
        <w:t xml:space="preserve">The requirements in </w:t>
      </w:r>
      <w:r w:rsidR="00A750BE">
        <w:t>clause</w:t>
      </w:r>
      <w:r w:rsidRPr="00ED2F00">
        <w:t xml:space="preserve"> 4.2A.2.1 shall apply.</w:t>
      </w:r>
    </w:p>
    <w:p w14:paraId="01C5886A" w14:textId="77777777" w:rsidR="00877A71" w:rsidRPr="00ED2F00" w:rsidRDefault="00877A71" w:rsidP="00877A71">
      <w:pPr>
        <w:pStyle w:val="Heading4"/>
      </w:pPr>
      <w:r w:rsidRPr="00ED2F00">
        <w:t>5.1A.2.2</w:t>
      </w:r>
      <w:r w:rsidRPr="00ED2F00">
        <w:tab/>
        <w:t>Measurement and evaluation when CCA is used on the serving cell</w:t>
      </w:r>
    </w:p>
    <w:p w14:paraId="120F08C7" w14:textId="0C0BE46B" w:rsidR="00877A71" w:rsidRPr="00ED2F00" w:rsidRDefault="00877A71" w:rsidP="00877A71">
      <w:r w:rsidRPr="00ED2F00">
        <w:t xml:space="preserve">The requirements in </w:t>
      </w:r>
      <w:r w:rsidR="00A750BE">
        <w:t>clause</w:t>
      </w:r>
      <w:r w:rsidRPr="00ED2F00">
        <w:t xml:space="preserve"> 4.2A.2.2 shall apply.</w:t>
      </w:r>
    </w:p>
    <w:p w14:paraId="65D06B99" w14:textId="77777777" w:rsidR="00877A71" w:rsidRPr="00ED2F00" w:rsidRDefault="00877A71" w:rsidP="00877A71">
      <w:pPr>
        <w:pStyle w:val="Heading4"/>
      </w:pPr>
      <w:r w:rsidRPr="00ED2F00">
        <w:t>5.1A.2.3</w:t>
      </w:r>
      <w:r w:rsidRPr="00ED2F00">
        <w:tab/>
        <w:t>Measurements of intra-frequency NR cells when CCA is used on the serving cell and target cell</w:t>
      </w:r>
    </w:p>
    <w:p w14:paraId="07BCAAFF" w14:textId="3F469D50" w:rsidR="00877A71" w:rsidRPr="00ED2F00" w:rsidRDefault="00877A71" w:rsidP="00877A71">
      <w:r w:rsidRPr="00ED2F00">
        <w:t xml:space="preserve">The requirements in </w:t>
      </w:r>
      <w:r w:rsidR="00A750BE">
        <w:t>clause</w:t>
      </w:r>
      <w:r w:rsidRPr="00ED2F00">
        <w:t xml:space="preserve"> 4.2A.2.3 shall apply.</w:t>
      </w:r>
    </w:p>
    <w:p w14:paraId="6BF8A704" w14:textId="77777777" w:rsidR="00877A71" w:rsidRPr="00ED2F00" w:rsidRDefault="00877A71" w:rsidP="00877A71">
      <w:pPr>
        <w:pStyle w:val="Heading4"/>
      </w:pPr>
      <w:r w:rsidRPr="00ED2F00">
        <w:t>5.1A.2.4</w:t>
      </w:r>
      <w:r w:rsidRPr="00ED2F00">
        <w:tab/>
        <w:t>Measurements of inter-frequency NR cells when CCA is used on the target cell</w:t>
      </w:r>
    </w:p>
    <w:p w14:paraId="3D2C2F00" w14:textId="130DCD23" w:rsidR="00877A71" w:rsidRPr="00ED2F00" w:rsidRDefault="00877A71" w:rsidP="00877A71">
      <w:r w:rsidRPr="00ED2F00">
        <w:t xml:space="preserve">The requirements in </w:t>
      </w:r>
      <w:r w:rsidR="00A750BE">
        <w:t>clause</w:t>
      </w:r>
      <w:r w:rsidRPr="00ED2F00">
        <w:t xml:space="preserve"> 4.2A.2.4 shall apply.</w:t>
      </w:r>
    </w:p>
    <w:p w14:paraId="6313F83A" w14:textId="77777777" w:rsidR="00877A71" w:rsidRPr="00ED2F00" w:rsidRDefault="00877A71" w:rsidP="00877A71">
      <w:pPr>
        <w:pStyle w:val="Heading4"/>
      </w:pPr>
      <w:r w:rsidRPr="00ED2F00">
        <w:t>5.1A.2.5</w:t>
      </w:r>
      <w:r w:rsidRPr="00ED2F00">
        <w:tab/>
        <w:t>Measurements of inter-RAT E-UTRAN cells when CCA is used on the serving cell</w:t>
      </w:r>
    </w:p>
    <w:p w14:paraId="1026B21F" w14:textId="13836307" w:rsidR="00877A71" w:rsidRPr="00ED2F00" w:rsidRDefault="00877A71" w:rsidP="00877A71">
      <w:r w:rsidRPr="00ED2F00">
        <w:t xml:space="preserve">The requirements in </w:t>
      </w:r>
      <w:r w:rsidR="00A750BE">
        <w:t>clause</w:t>
      </w:r>
      <w:r w:rsidRPr="00ED2F00">
        <w:t xml:space="preserve"> 4.2.2.5 shall apply.</w:t>
      </w:r>
    </w:p>
    <w:p w14:paraId="378C1C10" w14:textId="77777777" w:rsidR="00877A71" w:rsidRPr="00ED2F00" w:rsidRDefault="00877A71" w:rsidP="00877A71">
      <w:pPr>
        <w:pStyle w:val="Heading4"/>
      </w:pPr>
      <w:r w:rsidRPr="00ED2F00">
        <w:t>5.1A.2.6</w:t>
      </w:r>
      <w:r w:rsidRPr="00ED2F00">
        <w:tab/>
        <w:t>Maximum interruption in paging reception when CCA is used on the target cell</w:t>
      </w:r>
    </w:p>
    <w:p w14:paraId="151D729F" w14:textId="327AB692" w:rsidR="00877A71" w:rsidRPr="00ED2F00" w:rsidRDefault="00877A71" w:rsidP="00877A71">
      <w:r w:rsidRPr="00ED2F00">
        <w:t xml:space="preserve">The requirements in </w:t>
      </w:r>
      <w:r w:rsidR="00A750BE">
        <w:t>clause</w:t>
      </w:r>
      <w:r w:rsidRPr="00ED2F00">
        <w:t xml:space="preserve"> 4.2A.2.6 shall apply.</w:t>
      </w:r>
    </w:p>
    <w:p w14:paraId="25C30B50" w14:textId="77777777" w:rsidR="00877A71" w:rsidRPr="00ED2F00" w:rsidRDefault="00877A71" w:rsidP="00877A71">
      <w:pPr>
        <w:pStyle w:val="Heading4"/>
      </w:pPr>
      <w:r w:rsidRPr="00ED2F00">
        <w:t>5.1A.2.7</w:t>
      </w:r>
      <w:r w:rsidRPr="00ED2F00">
        <w:tab/>
        <w:t>General requirements</w:t>
      </w:r>
    </w:p>
    <w:p w14:paraId="4695D5D4" w14:textId="76901BAB" w:rsidR="00877A71" w:rsidRDefault="00877A71" w:rsidP="00877A71">
      <w:r w:rsidRPr="00ED2F00">
        <w:t xml:space="preserve">The requirements in </w:t>
      </w:r>
      <w:r w:rsidR="00A750BE">
        <w:t>clause</w:t>
      </w:r>
      <w:r w:rsidRPr="00ED2F00">
        <w:t xml:space="preserve"> 4.2.2.7 shall apply.</w:t>
      </w:r>
    </w:p>
    <w:p w14:paraId="192EF9CC" w14:textId="77777777" w:rsidR="007C37DF" w:rsidRPr="00885F53" w:rsidRDefault="007C37DF" w:rsidP="007C37DF">
      <w:pPr>
        <w:pStyle w:val="Heading2"/>
      </w:pPr>
      <w:r>
        <w:t>5</w:t>
      </w:r>
      <w:r w:rsidRPr="00885F53">
        <w:t>.</w:t>
      </w:r>
      <w:r>
        <w:t>1B</w:t>
      </w:r>
      <w:r w:rsidRPr="00885F53">
        <w:tab/>
        <w:t>Cell Re-selection</w:t>
      </w:r>
      <w:r>
        <w:t xml:space="preserve"> for RedCap</w:t>
      </w:r>
    </w:p>
    <w:p w14:paraId="3A31CE4B" w14:textId="77777777" w:rsidR="007C37DF" w:rsidRDefault="007C37DF" w:rsidP="007C37DF">
      <w:pPr>
        <w:pStyle w:val="Heading3"/>
      </w:pPr>
      <w:r w:rsidRPr="009C5807">
        <w:t>5.1</w:t>
      </w:r>
      <w:r>
        <w:t>B</w:t>
      </w:r>
      <w:r w:rsidRPr="009C5807">
        <w:t>.1</w:t>
      </w:r>
      <w:r w:rsidRPr="009C5807">
        <w:tab/>
        <w:t>Introduction</w:t>
      </w:r>
    </w:p>
    <w:p w14:paraId="23C3DC27" w14:textId="77777777" w:rsidR="007C37DF" w:rsidRPr="00AF5628" w:rsidRDefault="007C37DF" w:rsidP="00AF5628">
      <w:pPr>
        <w:pStyle w:val="Heading3"/>
      </w:pPr>
      <w:r w:rsidRPr="009C5807">
        <w:t>5.1</w:t>
      </w:r>
      <w:r>
        <w:t>B</w:t>
      </w:r>
      <w:r w:rsidRPr="009C5807">
        <w:t>.2</w:t>
      </w:r>
      <w:r w:rsidRPr="009C5807">
        <w:tab/>
      </w:r>
      <w:r w:rsidRPr="00011686">
        <w:t>Requirements</w:t>
      </w:r>
    </w:p>
    <w:p w14:paraId="2BE193E5" w14:textId="77777777" w:rsidR="007C37DF" w:rsidRDefault="007C37DF" w:rsidP="007C37DF">
      <w:pPr>
        <w:pStyle w:val="Heading4"/>
      </w:pPr>
      <w:r w:rsidRPr="00011686">
        <w:t>5.1B.2.1</w:t>
      </w:r>
      <w:r>
        <w:tab/>
      </w:r>
      <w:r w:rsidRPr="00011686">
        <w:t>UE measurement capability</w:t>
      </w:r>
    </w:p>
    <w:p w14:paraId="07F375DC" w14:textId="77777777" w:rsidR="007C37DF" w:rsidRPr="00AF5628" w:rsidRDefault="007C37DF" w:rsidP="007C37DF">
      <w:r w:rsidRPr="00ED2F00">
        <w:t xml:space="preserve">The requirements in </w:t>
      </w:r>
      <w:r>
        <w:t>clause</w:t>
      </w:r>
      <w:r w:rsidRPr="00ED2F00">
        <w:t xml:space="preserve"> 4.2</w:t>
      </w:r>
      <w:r>
        <w:t>B</w:t>
      </w:r>
      <w:r w:rsidRPr="00ED2F00">
        <w:t>.2.1 shall apply.</w:t>
      </w:r>
    </w:p>
    <w:p w14:paraId="21FD3F35" w14:textId="77777777" w:rsidR="007C37DF" w:rsidRDefault="007C37DF" w:rsidP="007C37DF">
      <w:pPr>
        <w:pStyle w:val="Heading4"/>
      </w:pPr>
      <w:r w:rsidRPr="000B38D1">
        <w:t>5.1B.2.2</w:t>
      </w:r>
      <w:r>
        <w:tab/>
      </w:r>
      <w:r w:rsidRPr="000B38D1">
        <w:t>Measurement and evaluation of serving cell</w:t>
      </w:r>
    </w:p>
    <w:p w14:paraId="794997A0" w14:textId="77777777" w:rsidR="0035173A" w:rsidRDefault="0035173A" w:rsidP="0035173A">
      <w:pPr>
        <w:rPr>
          <w:rFonts w:cs="v4.2.0"/>
        </w:rPr>
      </w:pPr>
      <w:r w:rsidRPr="00C972E7">
        <w:t xml:space="preserve">The requirements in clause </w:t>
      </w:r>
      <w:r w:rsidRPr="00C972E7">
        <w:rPr>
          <w:lang w:val="en-US"/>
        </w:rPr>
        <w:t>4.2B.2.2</w:t>
      </w:r>
      <w:r w:rsidRPr="00C972E7">
        <w:t xml:space="preserve"> shall apply</w:t>
      </w:r>
      <w:r w:rsidRPr="00C972E7">
        <w:rPr>
          <w:rFonts w:cs="v4.2.0"/>
        </w:rPr>
        <w:t xml:space="preserve"> when UE is not configured with eDRX_IDLE. </w:t>
      </w:r>
    </w:p>
    <w:p w14:paraId="174AD8ED" w14:textId="7E2A815E" w:rsidR="0035173A" w:rsidRPr="002A2B6C" w:rsidRDefault="0035173A" w:rsidP="0035173A">
      <w:pPr>
        <w:rPr>
          <w:rFonts w:cs="v4.2.0"/>
        </w:rPr>
      </w:pPr>
      <w:r w:rsidRPr="00C972E7">
        <w:rPr>
          <w:rFonts w:cs="v4.2.0"/>
        </w:rPr>
        <w:t>When UE is configured with eDRX_IDLE,</w:t>
      </w:r>
      <w:r>
        <w:rPr>
          <w:rFonts w:cs="v4.2.0"/>
        </w:rPr>
        <w:t xml:space="preserve"> the UE shall measure the SS-RSRP and SS-RSRQ level of the serving cell and evaluate the cell selection criterion S defined in TS 38.304 [1] for the serving cell at least once every </w:t>
      </w:r>
      <w:r w:rsidRPr="002748CF">
        <w:rPr>
          <w:rFonts w:cs="v4.2.0"/>
        </w:rPr>
        <w:t>M1* T for FR1 and N1*T for FR2; where:</w:t>
      </w:r>
    </w:p>
    <w:p w14:paraId="2D70C30E" w14:textId="77777777" w:rsidR="0035173A" w:rsidRPr="002A2B6C" w:rsidRDefault="0035173A" w:rsidP="0035173A">
      <w:pPr>
        <w:pStyle w:val="B10"/>
      </w:pPr>
      <w:r w:rsidRPr="002A2B6C">
        <w:t>-</w:t>
      </w:r>
      <w:r w:rsidRPr="002A2B6C">
        <w:tab/>
        <w:t>T is dertermined according to clause 7.1 in [1],</w:t>
      </w:r>
    </w:p>
    <w:p w14:paraId="59F7CA73" w14:textId="77777777" w:rsidR="0035173A" w:rsidRPr="00865AFC" w:rsidRDefault="0035173A" w:rsidP="0035173A">
      <w:pPr>
        <w:pStyle w:val="B10"/>
      </w:pPr>
      <w:r w:rsidRPr="002A2B6C">
        <w:t>-</w:t>
      </w:r>
      <w:r w:rsidRPr="002A2B6C">
        <w:tab/>
        <w:t>M1=2 if SMTC periodicity (T</w:t>
      </w:r>
      <w:r w:rsidRPr="002A2B6C">
        <w:rPr>
          <w:vertAlign w:val="subscript"/>
        </w:rPr>
        <w:t>SMTC</w:t>
      </w:r>
      <w:r w:rsidRPr="002A2B6C">
        <w:t>) &gt; 20 ms and T ≤ 0.64 second,</w:t>
      </w:r>
      <w:r w:rsidRPr="002A2B6C">
        <w:rPr>
          <w:rFonts w:hint="eastAsia"/>
          <w:lang w:eastAsia="zh-CN"/>
        </w:rPr>
        <w:t xml:space="preserve"> </w:t>
      </w:r>
      <w:r w:rsidRPr="002A2B6C">
        <w:t>otherwise M1=1.</w:t>
      </w:r>
    </w:p>
    <w:p w14:paraId="121E79DE" w14:textId="77777777" w:rsidR="0035173A" w:rsidRPr="002A2B6C" w:rsidRDefault="0035173A" w:rsidP="0035173A">
      <w:pPr>
        <w:rPr>
          <w:rFonts w:cs="v4.2.0"/>
        </w:rPr>
      </w:pPr>
      <w:r w:rsidRPr="002A2B6C">
        <w:rPr>
          <w:rFonts w:cs="v4.2.0"/>
        </w:rPr>
        <w:t xml:space="preserve">The UE shall filter the </w:t>
      </w:r>
      <w:r w:rsidRPr="002A2B6C">
        <w:rPr>
          <w:rFonts w:cs="v4.2.0"/>
          <w:lang w:eastAsia="zh-CN"/>
        </w:rPr>
        <w:t>SS-</w:t>
      </w:r>
      <w:r w:rsidRPr="002A2B6C">
        <w:rPr>
          <w:rFonts w:cs="v4.2.0"/>
        </w:rPr>
        <w:t xml:space="preserve">RSRP and </w:t>
      </w:r>
      <w:r w:rsidRPr="002A2B6C">
        <w:rPr>
          <w:rFonts w:cs="v4.2.0"/>
          <w:lang w:eastAsia="zh-CN"/>
        </w:rPr>
        <w:t>SS-</w:t>
      </w:r>
      <w:r w:rsidRPr="002A2B6C">
        <w:rPr>
          <w:rFonts w:cs="v4.2.0"/>
        </w:rPr>
        <w:t>RSRQ measurements of the serving cell using at least 2 measurements. Within the set of measurements used for the filtering, at least two measurements shall be spaced by, at least T/2.</w:t>
      </w:r>
    </w:p>
    <w:p w14:paraId="0B6E9645" w14:textId="3635F631" w:rsidR="007C37DF" w:rsidRPr="00C972E7" w:rsidRDefault="0035173A" w:rsidP="0035173A">
      <w:pPr>
        <w:rPr>
          <w:rFonts w:cs="v4.2.0"/>
        </w:rPr>
      </w:pPr>
      <w:r w:rsidRPr="002A2B6C">
        <w:rPr>
          <w:rFonts w:cs="v4.2.0"/>
        </w:rPr>
        <w:t>If the UE has evaluated according to Table</w:t>
      </w:r>
      <w:r w:rsidRPr="002A2B6C">
        <w:rPr>
          <w:rFonts w:cs="v4.2.0"/>
          <w:lang w:eastAsia="zh-CN"/>
        </w:rPr>
        <w:t xml:space="preserve"> </w:t>
      </w:r>
      <w:r w:rsidRPr="002A2B6C">
        <w:t>5.1B.2.2</w:t>
      </w:r>
      <w:r w:rsidRPr="002A2B6C">
        <w:rPr>
          <w:rFonts w:cs="v4.2.0"/>
          <w:snapToGrid w:val="0"/>
        </w:rPr>
        <w:t xml:space="preserve">-1or and Table </w:t>
      </w:r>
      <w:r w:rsidRPr="002A2B6C">
        <w:t>5.1B.2.2</w:t>
      </w:r>
      <w:r w:rsidRPr="002A2B6C">
        <w:rPr>
          <w:rFonts w:cs="v4.2.0"/>
          <w:snapToGrid w:val="0"/>
        </w:rPr>
        <w:t>-2</w:t>
      </w:r>
      <w:r w:rsidRPr="002A2B6C">
        <w:rPr>
          <w:rFonts w:cs="v4.2.0"/>
        </w:rPr>
        <w:t xml:space="preserve"> in N</w:t>
      </w:r>
      <w:r w:rsidRPr="002A2B6C">
        <w:rPr>
          <w:rFonts w:cs="v4.2.0"/>
          <w:vertAlign w:val="subscript"/>
        </w:rPr>
        <w:t>serv_RedCap</w:t>
      </w:r>
      <w:r w:rsidRPr="002A2B6C">
        <w:rPr>
          <w:rFonts w:cs="v4.2.0"/>
        </w:rPr>
        <w:t xml:space="preserve"> consecutive T that the serving cell does not fulfil the cell selection criterion S, the UE shall initiate the measurements of all neighbour cells indicated by the serving cell, regardless of the measurement rules currently limiting UE measurement activities.</w:t>
      </w:r>
    </w:p>
    <w:p w14:paraId="2C878985" w14:textId="77777777" w:rsidR="007C37DF" w:rsidRPr="00C972E7" w:rsidRDefault="007C37DF" w:rsidP="007C37DF">
      <w:pPr>
        <w:pStyle w:val="TH"/>
        <w:rPr>
          <w:rFonts w:cs="v4.2.0"/>
        </w:rPr>
      </w:pPr>
      <w:r w:rsidRPr="00C972E7">
        <w:rPr>
          <w:rFonts w:cs="v4.2.0"/>
          <w:snapToGrid w:val="0"/>
        </w:rPr>
        <w:t xml:space="preserve">Table </w:t>
      </w:r>
      <w:r w:rsidRPr="00C972E7">
        <w:t>5.1B.2.2</w:t>
      </w:r>
      <w:r w:rsidRPr="00C972E7">
        <w:rPr>
          <w:rFonts w:cs="v4.2.0"/>
          <w:snapToGrid w:val="0"/>
        </w:rPr>
        <w:t xml:space="preserve">-1: </w:t>
      </w:r>
      <w:r w:rsidRPr="00C972E7">
        <w:rPr>
          <w:rFonts w:cs="v4.2.0"/>
        </w:rPr>
        <w:t>N</w:t>
      </w:r>
      <w:r w:rsidRPr="00C972E7">
        <w:rPr>
          <w:rFonts w:cs="v4.2.0"/>
          <w:vertAlign w:val="subscript"/>
        </w:rPr>
        <w:t>serv_RedCap</w:t>
      </w:r>
      <w:r w:rsidRPr="00C972E7">
        <w:rPr>
          <w:rFonts w:cs="v4.2.0"/>
          <w:vertAlign w:val="superscript"/>
        </w:rPr>
        <w:t xml:space="preserve"> </w:t>
      </w:r>
      <w:r w:rsidRPr="00C972E7">
        <w:rPr>
          <w:rFonts w:cs="v4.2.0"/>
        </w:rPr>
        <w:t xml:space="preserve">for inactive Redcap UE configured with eDRX_IDLE cycle, </w:t>
      </w:r>
      <w:r w:rsidRPr="00C972E7">
        <w:t>(Frequency range FR1)</w:t>
      </w:r>
    </w:p>
    <w:tbl>
      <w:tblPr>
        <w:tblW w:w="35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2724"/>
        <w:gridCol w:w="1058"/>
        <w:gridCol w:w="968"/>
      </w:tblGrid>
      <w:tr w:rsidR="007C37DF" w:rsidRPr="00C972E7" w14:paraId="65C6D778" w14:textId="77777777" w:rsidTr="00162D0B">
        <w:trPr>
          <w:cantSplit/>
          <w:jc w:val="center"/>
        </w:trPr>
        <w:tc>
          <w:tcPr>
            <w:tcW w:w="1544" w:type="pct"/>
            <w:tcBorders>
              <w:top w:val="single" w:sz="4" w:space="0" w:color="auto"/>
              <w:left w:val="single" w:sz="4" w:space="0" w:color="auto"/>
              <w:bottom w:val="single" w:sz="4" w:space="0" w:color="auto"/>
              <w:right w:val="single" w:sz="4" w:space="0" w:color="auto"/>
            </w:tcBorders>
            <w:hideMark/>
          </w:tcPr>
          <w:p w14:paraId="66B36C7C" w14:textId="77777777" w:rsidR="007C37DF" w:rsidRPr="00C972E7" w:rsidRDefault="007C37DF" w:rsidP="00162D0B">
            <w:pPr>
              <w:pStyle w:val="TAH"/>
              <w:rPr>
                <w:rFonts w:cs="v4.2.0"/>
              </w:rPr>
            </w:pPr>
            <w:r w:rsidRPr="00C972E7">
              <w:rPr>
                <w:rFonts w:cs="v4.2.0"/>
              </w:rPr>
              <w:t>eDRX_IDLE cycle length [s]</w:t>
            </w:r>
          </w:p>
        </w:tc>
        <w:tc>
          <w:tcPr>
            <w:tcW w:w="1982" w:type="pct"/>
            <w:tcBorders>
              <w:top w:val="single" w:sz="4" w:space="0" w:color="auto"/>
              <w:left w:val="single" w:sz="4" w:space="0" w:color="auto"/>
              <w:bottom w:val="single" w:sz="4" w:space="0" w:color="auto"/>
              <w:right w:val="single" w:sz="4" w:space="0" w:color="auto"/>
            </w:tcBorders>
            <w:hideMark/>
          </w:tcPr>
          <w:p w14:paraId="0C55C198" w14:textId="77777777" w:rsidR="007C37DF" w:rsidRPr="00C972E7" w:rsidRDefault="007C37DF" w:rsidP="00162D0B">
            <w:pPr>
              <w:pStyle w:val="TAH"/>
              <w:rPr>
                <w:rFonts w:cs="Arial"/>
                <w:snapToGrid w:val="0"/>
              </w:rPr>
            </w:pPr>
            <w:r w:rsidRPr="00C972E7">
              <w:rPr>
                <w:rFonts w:cs="v4.2.0"/>
              </w:rPr>
              <w:t>DRX or eDRX INACTIVE cycle length[s]</w:t>
            </w:r>
          </w:p>
        </w:tc>
        <w:tc>
          <w:tcPr>
            <w:tcW w:w="770" w:type="pct"/>
            <w:tcBorders>
              <w:top w:val="single" w:sz="4" w:space="0" w:color="auto"/>
              <w:left w:val="single" w:sz="4" w:space="0" w:color="auto"/>
              <w:bottom w:val="single" w:sz="4" w:space="0" w:color="auto"/>
              <w:right w:val="single" w:sz="4" w:space="0" w:color="auto"/>
            </w:tcBorders>
          </w:tcPr>
          <w:p w14:paraId="50F090F3" w14:textId="77777777" w:rsidR="007C37DF" w:rsidRPr="00C972E7" w:rsidRDefault="007C37DF" w:rsidP="00162D0B">
            <w:pPr>
              <w:pStyle w:val="TAH"/>
              <w:rPr>
                <w:rFonts w:cs="Arial"/>
                <w:snapToGrid w:val="0"/>
              </w:rPr>
            </w:pPr>
            <w:r w:rsidRPr="00C972E7">
              <w:rPr>
                <w:rFonts w:cs="v4.2.0"/>
              </w:rPr>
              <w:t>T [s]</w:t>
            </w:r>
          </w:p>
        </w:tc>
        <w:tc>
          <w:tcPr>
            <w:tcW w:w="705" w:type="pct"/>
            <w:tcBorders>
              <w:top w:val="single" w:sz="4" w:space="0" w:color="auto"/>
              <w:left w:val="single" w:sz="4" w:space="0" w:color="auto"/>
              <w:bottom w:val="single" w:sz="4" w:space="0" w:color="auto"/>
              <w:right w:val="single" w:sz="4" w:space="0" w:color="auto"/>
            </w:tcBorders>
          </w:tcPr>
          <w:p w14:paraId="37F5A4FA" w14:textId="77777777" w:rsidR="007C37DF" w:rsidRPr="00C972E7" w:rsidRDefault="007C37DF" w:rsidP="00162D0B">
            <w:pPr>
              <w:pStyle w:val="TAH"/>
              <w:rPr>
                <w:rFonts w:cs="v4.2.0"/>
              </w:rPr>
            </w:pPr>
            <w:r w:rsidRPr="00C972E7">
              <w:rPr>
                <w:rFonts w:cs="v4.2.0"/>
              </w:rPr>
              <w:t>N</w:t>
            </w:r>
            <w:r w:rsidRPr="00C972E7">
              <w:rPr>
                <w:rFonts w:cs="v4.2.0"/>
                <w:vertAlign w:val="subscript"/>
              </w:rPr>
              <w:t>serv _RedCap</w:t>
            </w:r>
            <w:r w:rsidRPr="00C972E7">
              <w:rPr>
                <w:rFonts w:cs="v4.2.0"/>
              </w:rPr>
              <w:t xml:space="preserve"> [number of T ]</w:t>
            </w:r>
          </w:p>
        </w:tc>
      </w:tr>
      <w:tr w:rsidR="007C37DF" w:rsidRPr="00C972E7" w14:paraId="5E8FF38B" w14:textId="77777777" w:rsidTr="00162D0B">
        <w:trPr>
          <w:cantSplit/>
          <w:jc w:val="center"/>
        </w:trPr>
        <w:tc>
          <w:tcPr>
            <w:tcW w:w="1544" w:type="pct"/>
            <w:vMerge w:val="restart"/>
            <w:tcBorders>
              <w:top w:val="single" w:sz="4" w:space="0" w:color="auto"/>
              <w:left w:val="single" w:sz="4" w:space="0" w:color="auto"/>
              <w:bottom w:val="single" w:sz="4" w:space="0" w:color="auto"/>
              <w:right w:val="single" w:sz="4" w:space="0" w:color="auto"/>
            </w:tcBorders>
            <w:hideMark/>
          </w:tcPr>
          <w:p w14:paraId="18450FD5" w14:textId="77777777" w:rsidR="007C37DF" w:rsidRPr="00C972E7" w:rsidRDefault="007C37DF" w:rsidP="00162D0B">
            <w:pPr>
              <w:pStyle w:val="TAC"/>
              <w:rPr>
                <w:rFonts w:cs="Arial"/>
              </w:rPr>
            </w:pPr>
            <w:r w:rsidRPr="00C972E7">
              <w:rPr>
                <w:rFonts w:cs="Arial"/>
              </w:rPr>
              <w:t>2.56 ≤eDRX_IDLE cycle length ≤</w:t>
            </w:r>
            <w:r w:rsidRPr="00C972E7">
              <w:rPr>
                <w:lang w:eastAsia="zh-CN"/>
              </w:rPr>
              <w:t>10485.76</w:t>
            </w:r>
          </w:p>
        </w:tc>
        <w:tc>
          <w:tcPr>
            <w:tcW w:w="1982" w:type="pct"/>
            <w:vMerge w:val="restart"/>
            <w:tcBorders>
              <w:top w:val="single" w:sz="4" w:space="0" w:color="auto"/>
              <w:left w:val="single" w:sz="4" w:space="0" w:color="auto"/>
              <w:right w:val="single" w:sz="4" w:space="0" w:color="auto"/>
            </w:tcBorders>
            <w:hideMark/>
          </w:tcPr>
          <w:p w14:paraId="2C7D0DCF" w14:textId="77777777" w:rsidR="007C37DF" w:rsidRPr="00C972E7" w:rsidRDefault="007C37DF" w:rsidP="00162D0B">
            <w:pPr>
              <w:pStyle w:val="TAC"/>
              <w:rPr>
                <w:rFonts w:cs="Arial"/>
              </w:rPr>
            </w:pPr>
            <w:r w:rsidRPr="00C972E7">
              <w:rPr>
                <w:rFonts w:cs="Arial"/>
              </w:rPr>
              <w:t>0.32 ≤DRX_Inactive cycle length ≤</w:t>
            </w:r>
            <w:r w:rsidRPr="00C972E7">
              <w:rPr>
                <w:lang w:eastAsia="zh-CN"/>
              </w:rPr>
              <w:t>2.56; or</w:t>
            </w:r>
          </w:p>
          <w:p w14:paraId="54879737" w14:textId="77777777" w:rsidR="007C37DF" w:rsidRPr="00C972E7" w:rsidRDefault="007C37DF" w:rsidP="00162D0B">
            <w:pPr>
              <w:pStyle w:val="TAC"/>
              <w:rPr>
                <w:rFonts w:cs="Arial"/>
              </w:rPr>
            </w:pPr>
            <w:r w:rsidRPr="00C972E7">
              <w:rPr>
                <w:rFonts w:cs="Arial"/>
              </w:rPr>
              <w:t>2.56 ≤eDRX_Inactive cycle length ≤</w:t>
            </w:r>
            <w:r w:rsidRPr="00C972E7">
              <w:rPr>
                <w:lang w:eastAsia="zh-CN"/>
              </w:rPr>
              <w:t>10.24 if inactive eDRX is configured</w:t>
            </w:r>
          </w:p>
          <w:p w14:paraId="70C0EAB9" w14:textId="77777777" w:rsidR="007C37DF" w:rsidRPr="00C972E7" w:rsidRDefault="007C37DF" w:rsidP="00162D0B">
            <w:pPr>
              <w:pStyle w:val="TAC"/>
              <w:rPr>
                <w:rFonts w:cs="Arial"/>
                <w:snapToGrid w:val="0"/>
              </w:rPr>
            </w:pPr>
            <w:r w:rsidRPr="00C972E7">
              <w:rPr>
                <w:rFonts w:cs="Arial"/>
                <w:lang w:eastAsia="zh-CN"/>
              </w:rPr>
              <w:t xml:space="preserve">  </w:t>
            </w:r>
          </w:p>
        </w:tc>
        <w:tc>
          <w:tcPr>
            <w:tcW w:w="770" w:type="pct"/>
            <w:tcBorders>
              <w:top w:val="single" w:sz="4" w:space="0" w:color="auto"/>
              <w:left w:val="single" w:sz="4" w:space="0" w:color="auto"/>
              <w:bottom w:val="single" w:sz="4" w:space="0" w:color="auto"/>
              <w:right w:val="single" w:sz="4" w:space="0" w:color="auto"/>
            </w:tcBorders>
          </w:tcPr>
          <w:p w14:paraId="33F9C1EE" w14:textId="77777777" w:rsidR="007C37DF" w:rsidRPr="00C972E7" w:rsidRDefault="007C37DF" w:rsidP="00162D0B">
            <w:pPr>
              <w:pStyle w:val="TAC"/>
              <w:rPr>
                <w:rFonts w:cs="Arial"/>
                <w:snapToGrid w:val="0"/>
              </w:rPr>
            </w:pPr>
            <w:r w:rsidRPr="00C972E7">
              <w:rPr>
                <w:rFonts w:cs="Arial"/>
              </w:rPr>
              <w:t>0.32</w:t>
            </w:r>
          </w:p>
        </w:tc>
        <w:tc>
          <w:tcPr>
            <w:tcW w:w="705" w:type="pct"/>
            <w:tcBorders>
              <w:top w:val="single" w:sz="4" w:space="0" w:color="auto"/>
              <w:left w:val="single" w:sz="4" w:space="0" w:color="auto"/>
              <w:bottom w:val="single" w:sz="4" w:space="0" w:color="auto"/>
              <w:right w:val="single" w:sz="4" w:space="0" w:color="auto"/>
            </w:tcBorders>
          </w:tcPr>
          <w:p w14:paraId="0F9191B8" w14:textId="77777777" w:rsidR="007C37DF" w:rsidRPr="00C972E7" w:rsidRDefault="007C37DF" w:rsidP="00162D0B">
            <w:pPr>
              <w:pStyle w:val="TAC"/>
              <w:rPr>
                <w:rFonts w:cs="Arial"/>
              </w:rPr>
            </w:pPr>
            <w:r w:rsidRPr="00C972E7">
              <w:rPr>
                <w:rFonts w:cs="Arial"/>
              </w:rPr>
              <w:t>4*M1</w:t>
            </w:r>
          </w:p>
        </w:tc>
      </w:tr>
      <w:tr w:rsidR="007C37DF" w:rsidRPr="00C972E7" w14:paraId="2C3F38A4" w14:textId="77777777" w:rsidTr="00162D0B">
        <w:trPr>
          <w:cantSplit/>
          <w:jc w:val="center"/>
        </w:trPr>
        <w:tc>
          <w:tcPr>
            <w:tcW w:w="1544" w:type="pct"/>
            <w:vMerge/>
            <w:tcBorders>
              <w:top w:val="single" w:sz="4" w:space="0" w:color="auto"/>
              <w:left w:val="single" w:sz="4" w:space="0" w:color="auto"/>
              <w:bottom w:val="single" w:sz="4" w:space="0" w:color="auto"/>
              <w:right w:val="single" w:sz="4" w:space="0" w:color="auto"/>
            </w:tcBorders>
            <w:vAlign w:val="center"/>
            <w:hideMark/>
          </w:tcPr>
          <w:p w14:paraId="537F0212" w14:textId="77777777" w:rsidR="007C37DF" w:rsidRPr="00C972E7" w:rsidRDefault="007C37DF" w:rsidP="00162D0B">
            <w:pPr>
              <w:spacing w:after="0"/>
              <w:rPr>
                <w:rFonts w:ascii="Arial" w:hAnsi="Arial" w:cs="Arial"/>
                <w:sz w:val="18"/>
              </w:rPr>
            </w:pPr>
          </w:p>
        </w:tc>
        <w:tc>
          <w:tcPr>
            <w:tcW w:w="1982" w:type="pct"/>
            <w:vMerge/>
            <w:tcBorders>
              <w:left w:val="single" w:sz="4" w:space="0" w:color="auto"/>
              <w:right w:val="single" w:sz="4" w:space="0" w:color="auto"/>
            </w:tcBorders>
            <w:hideMark/>
          </w:tcPr>
          <w:p w14:paraId="4A7F5FEE" w14:textId="77777777" w:rsidR="007C37DF" w:rsidRPr="00C972E7" w:rsidRDefault="007C37DF" w:rsidP="00162D0B">
            <w:pPr>
              <w:pStyle w:val="TAC"/>
              <w:rPr>
                <w:rFonts w:cs="Arial"/>
                <w:snapToGrid w:val="0"/>
              </w:rPr>
            </w:pPr>
          </w:p>
        </w:tc>
        <w:tc>
          <w:tcPr>
            <w:tcW w:w="770" w:type="pct"/>
            <w:tcBorders>
              <w:top w:val="single" w:sz="4" w:space="0" w:color="auto"/>
              <w:left w:val="single" w:sz="4" w:space="0" w:color="auto"/>
              <w:bottom w:val="single" w:sz="4" w:space="0" w:color="auto"/>
              <w:right w:val="single" w:sz="4" w:space="0" w:color="auto"/>
            </w:tcBorders>
          </w:tcPr>
          <w:p w14:paraId="138FFCD0" w14:textId="77777777" w:rsidR="007C37DF" w:rsidRPr="00C972E7" w:rsidRDefault="007C37DF" w:rsidP="00162D0B">
            <w:pPr>
              <w:pStyle w:val="TAC"/>
              <w:rPr>
                <w:rFonts w:cs="Arial"/>
                <w:snapToGrid w:val="0"/>
              </w:rPr>
            </w:pPr>
            <w:r w:rsidRPr="00C972E7">
              <w:rPr>
                <w:rFonts w:cs="Arial"/>
              </w:rPr>
              <w:t>0.64</w:t>
            </w:r>
          </w:p>
        </w:tc>
        <w:tc>
          <w:tcPr>
            <w:tcW w:w="705" w:type="pct"/>
            <w:tcBorders>
              <w:top w:val="single" w:sz="4" w:space="0" w:color="auto"/>
              <w:left w:val="single" w:sz="4" w:space="0" w:color="auto"/>
              <w:bottom w:val="single" w:sz="4" w:space="0" w:color="auto"/>
              <w:right w:val="single" w:sz="4" w:space="0" w:color="auto"/>
            </w:tcBorders>
          </w:tcPr>
          <w:p w14:paraId="15E278C1" w14:textId="77777777" w:rsidR="007C37DF" w:rsidRPr="00C972E7" w:rsidRDefault="007C37DF" w:rsidP="00162D0B">
            <w:pPr>
              <w:pStyle w:val="TAC"/>
              <w:rPr>
                <w:rFonts w:cs="Arial"/>
              </w:rPr>
            </w:pPr>
            <w:r w:rsidRPr="00C972E7">
              <w:rPr>
                <w:rFonts w:cs="Arial"/>
              </w:rPr>
              <w:t>4*M1</w:t>
            </w:r>
          </w:p>
        </w:tc>
      </w:tr>
      <w:tr w:rsidR="007C37DF" w:rsidRPr="00C972E7" w14:paraId="55EEF87D" w14:textId="77777777" w:rsidTr="00162D0B">
        <w:trPr>
          <w:cantSplit/>
          <w:jc w:val="center"/>
        </w:trPr>
        <w:tc>
          <w:tcPr>
            <w:tcW w:w="1544" w:type="pct"/>
            <w:vMerge/>
            <w:tcBorders>
              <w:top w:val="single" w:sz="4" w:space="0" w:color="auto"/>
              <w:left w:val="single" w:sz="4" w:space="0" w:color="auto"/>
              <w:bottom w:val="single" w:sz="4" w:space="0" w:color="auto"/>
              <w:right w:val="single" w:sz="4" w:space="0" w:color="auto"/>
            </w:tcBorders>
            <w:vAlign w:val="center"/>
            <w:hideMark/>
          </w:tcPr>
          <w:p w14:paraId="106CABB8" w14:textId="77777777" w:rsidR="007C37DF" w:rsidRPr="00C972E7" w:rsidRDefault="007C37DF" w:rsidP="00162D0B">
            <w:pPr>
              <w:spacing w:after="0"/>
              <w:rPr>
                <w:rFonts w:ascii="Arial" w:hAnsi="Arial" w:cs="Arial"/>
                <w:sz w:val="18"/>
              </w:rPr>
            </w:pPr>
          </w:p>
        </w:tc>
        <w:tc>
          <w:tcPr>
            <w:tcW w:w="1982" w:type="pct"/>
            <w:vMerge/>
            <w:tcBorders>
              <w:left w:val="single" w:sz="4" w:space="0" w:color="auto"/>
              <w:right w:val="single" w:sz="4" w:space="0" w:color="auto"/>
            </w:tcBorders>
            <w:hideMark/>
          </w:tcPr>
          <w:p w14:paraId="340477E7" w14:textId="77777777" w:rsidR="007C37DF" w:rsidRPr="00C972E7" w:rsidRDefault="007C37DF" w:rsidP="00162D0B">
            <w:pPr>
              <w:pStyle w:val="TAC"/>
              <w:rPr>
                <w:rFonts w:cs="Arial"/>
                <w:snapToGrid w:val="0"/>
              </w:rPr>
            </w:pPr>
          </w:p>
        </w:tc>
        <w:tc>
          <w:tcPr>
            <w:tcW w:w="770" w:type="pct"/>
            <w:tcBorders>
              <w:top w:val="single" w:sz="4" w:space="0" w:color="auto"/>
              <w:left w:val="single" w:sz="4" w:space="0" w:color="auto"/>
              <w:bottom w:val="single" w:sz="4" w:space="0" w:color="auto"/>
              <w:right w:val="single" w:sz="4" w:space="0" w:color="auto"/>
            </w:tcBorders>
          </w:tcPr>
          <w:p w14:paraId="2A78AC64" w14:textId="77777777" w:rsidR="007C37DF" w:rsidRPr="00C972E7" w:rsidRDefault="007C37DF" w:rsidP="00162D0B">
            <w:pPr>
              <w:pStyle w:val="TAC"/>
              <w:rPr>
                <w:rFonts w:cs="Arial"/>
                <w:snapToGrid w:val="0"/>
              </w:rPr>
            </w:pPr>
            <w:r w:rsidRPr="00C972E7">
              <w:rPr>
                <w:rFonts w:cs="Arial"/>
              </w:rPr>
              <w:t>1.28</w:t>
            </w:r>
          </w:p>
        </w:tc>
        <w:tc>
          <w:tcPr>
            <w:tcW w:w="705" w:type="pct"/>
            <w:tcBorders>
              <w:top w:val="single" w:sz="4" w:space="0" w:color="auto"/>
              <w:left w:val="single" w:sz="4" w:space="0" w:color="auto"/>
              <w:bottom w:val="single" w:sz="4" w:space="0" w:color="auto"/>
              <w:right w:val="single" w:sz="4" w:space="0" w:color="auto"/>
            </w:tcBorders>
          </w:tcPr>
          <w:p w14:paraId="727A3923" w14:textId="77777777" w:rsidR="007C37DF" w:rsidRPr="00C972E7" w:rsidRDefault="007C37DF" w:rsidP="00162D0B">
            <w:pPr>
              <w:pStyle w:val="TAC"/>
              <w:rPr>
                <w:rFonts w:cs="Arial"/>
              </w:rPr>
            </w:pPr>
            <w:r w:rsidRPr="00C972E7">
              <w:rPr>
                <w:rFonts w:cs="Arial"/>
              </w:rPr>
              <w:t>2</w:t>
            </w:r>
          </w:p>
        </w:tc>
      </w:tr>
      <w:tr w:rsidR="007C37DF" w:rsidRPr="00C972E7" w14:paraId="1BCC4ADC" w14:textId="77777777" w:rsidTr="00162D0B">
        <w:trPr>
          <w:cantSplit/>
          <w:jc w:val="center"/>
        </w:trPr>
        <w:tc>
          <w:tcPr>
            <w:tcW w:w="1544" w:type="pct"/>
            <w:vMerge/>
            <w:tcBorders>
              <w:top w:val="single" w:sz="4" w:space="0" w:color="auto"/>
              <w:left w:val="single" w:sz="4" w:space="0" w:color="auto"/>
              <w:bottom w:val="single" w:sz="4" w:space="0" w:color="auto"/>
              <w:right w:val="single" w:sz="4" w:space="0" w:color="auto"/>
            </w:tcBorders>
            <w:vAlign w:val="center"/>
            <w:hideMark/>
          </w:tcPr>
          <w:p w14:paraId="4BBFA827" w14:textId="77777777" w:rsidR="007C37DF" w:rsidRPr="00C972E7" w:rsidRDefault="007C37DF" w:rsidP="00162D0B">
            <w:pPr>
              <w:spacing w:after="0"/>
              <w:rPr>
                <w:rFonts w:ascii="Arial" w:hAnsi="Arial" w:cs="Arial"/>
                <w:sz w:val="18"/>
              </w:rPr>
            </w:pPr>
          </w:p>
        </w:tc>
        <w:tc>
          <w:tcPr>
            <w:tcW w:w="1982" w:type="pct"/>
            <w:vMerge/>
            <w:tcBorders>
              <w:left w:val="single" w:sz="4" w:space="0" w:color="auto"/>
              <w:right w:val="single" w:sz="4" w:space="0" w:color="auto"/>
            </w:tcBorders>
            <w:hideMark/>
          </w:tcPr>
          <w:p w14:paraId="12A2CAB8" w14:textId="77777777" w:rsidR="007C37DF" w:rsidRPr="00C972E7" w:rsidRDefault="007C37DF" w:rsidP="00162D0B">
            <w:pPr>
              <w:pStyle w:val="TAC"/>
              <w:rPr>
                <w:rFonts w:cs="Arial"/>
                <w:snapToGrid w:val="0"/>
              </w:rPr>
            </w:pPr>
          </w:p>
        </w:tc>
        <w:tc>
          <w:tcPr>
            <w:tcW w:w="770" w:type="pct"/>
            <w:tcBorders>
              <w:top w:val="single" w:sz="4" w:space="0" w:color="auto"/>
              <w:left w:val="single" w:sz="4" w:space="0" w:color="auto"/>
              <w:bottom w:val="single" w:sz="4" w:space="0" w:color="auto"/>
              <w:right w:val="single" w:sz="4" w:space="0" w:color="auto"/>
            </w:tcBorders>
          </w:tcPr>
          <w:p w14:paraId="0A47B390" w14:textId="77777777" w:rsidR="007C37DF" w:rsidRPr="00C972E7" w:rsidRDefault="007C37DF" w:rsidP="00162D0B">
            <w:pPr>
              <w:pStyle w:val="TAC"/>
              <w:rPr>
                <w:rFonts w:cs="Arial"/>
                <w:snapToGrid w:val="0"/>
              </w:rPr>
            </w:pPr>
            <w:r w:rsidRPr="00C972E7">
              <w:rPr>
                <w:rFonts w:cs="Arial"/>
              </w:rPr>
              <w:t>2.56</w:t>
            </w:r>
          </w:p>
        </w:tc>
        <w:tc>
          <w:tcPr>
            <w:tcW w:w="705" w:type="pct"/>
            <w:tcBorders>
              <w:top w:val="single" w:sz="4" w:space="0" w:color="auto"/>
              <w:left w:val="single" w:sz="4" w:space="0" w:color="auto"/>
              <w:bottom w:val="single" w:sz="4" w:space="0" w:color="auto"/>
              <w:right w:val="single" w:sz="4" w:space="0" w:color="auto"/>
            </w:tcBorders>
          </w:tcPr>
          <w:p w14:paraId="7BC0500F" w14:textId="77777777" w:rsidR="007C37DF" w:rsidRPr="00C972E7" w:rsidRDefault="007C37DF" w:rsidP="00162D0B">
            <w:pPr>
              <w:pStyle w:val="TAC"/>
              <w:rPr>
                <w:rFonts w:cs="Arial"/>
              </w:rPr>
            </w:pPr>
            <w:r w:rsidRPr="00C972E7">
              <w:rPr>
                <w:rFonts w:cs="Arial"/>
              </w:rPr>
              <w:t>2</w:t>
            </w:r>
          </w:p>
        </w:tc>
      </w:tr>
      <w:tr w:rsidR="007C37DF" w:rsidRPr="00C972E7" w14:paraId="1B9273F8" w14:textId="77777777" w:rsidTr="00162D0B">
        <w:trPr>
          <w:cantSplit/>
          <w:jc w:val="center"/>
        </w:trPr>
        <w:tc>
          <w:tcPr>
            <w:tcW w:w="1544" w:type="pct"/>
            <w:vMerge/>
            <w:tcBorders>
              <w:top w:val="single" w:sz="4" w:space="0" w:color="auto"/>
              <w:left w:val="single" w:sz="4" w:space="0" w:color="auto"/>
              <w:bottom w:val="single" w:sz="4" w:space="0" w:color="auto"/>
              <w:right w:val="single" w:sz="4" w:space="0" w:color="auto"/>
            </w:tcBorders>
            <w:vAlign w:val="center"/>
            <w:hideMark/>
          </w:tcPr>
          <w:p w14:paraId="076093B2" w14:textId="77777777" w:rsidR="007C37DF" w:rsidRPr="00C972E7" w:rsidRDefault="007C37DF" w:rsidP="00162D0B">
            <w:pPr>
              <w:spacing w:after="0"/>
              <w:rPr>
                <w:rFonts w:ascii="Arial" w:hAnsi="Arial" w:cs="Arial"/>
                <w:sz w:val="18"/>
              </w:rPr>
            </w:pPr>
          </w:p>
        </w:tc>
        <w:tc>
          <w:tcPr>
            <w:tcW w:w="1982" w:type="pct"/>
            <w:vMerge/>
            <w:tcBorders>
              <w:left w:val="single" w:sz="4" w:space="0" w:color="auto"/>
              <w:right w:val="single" w:sz="4" w:space="0" w:color="auto"/>
            </w:tcBorders>
            <w:hideMark/>
          </w:tcPr>
          <w:p w14:paraId="1F0EC8DE" w14:textId="77777777" w:rsidR="007C37DF" w:rsidRPr="00C972E7" w:rsidRDefault="007C37DF" w:rsidP="00162D0B">
            <w:pPr>
              <w:pStyle w:val="TAC"/>
              <w:rPr>
                <w:rFonts w:cs="Arial"/>
                <w:lang w:eastAsia="zh-CN"/>
              </w:rPr>
            </w:pPr>
          </w:p>
        </w:tc>
        <w:tc>
          <w:tcPr>
            <w:tcW w:w="770" w:type="pct"/>
            <w:tcBorders>
              <w:top w:val="single" w:sz="4" w:space="0" w:color="auto"/>
              <w:left w:val="single" w:sz="4" w:space="0" w:color="auto"/>
              <w:bottom w:val="single" w:sz="4" w:space="0" w:color="auto"/>
              <w:right w:val="single" w:sz="4" w:space="0" w:color="auto"/>
            </w:tcBorders>
          </w:tcPr>
          <w:p w14:paraId="153C9EC7" w14:textId="77777777" w:rsidR="007C37DF" w:rsidRPr="00C972E7" w:rsidRDefault="007C37DF" w:rsidP="00162D0B">
            <w:pPr>
              <w:pStyle w:val="TAC"/>
              <w:rPr>
                <w:rFonts w:cs="Arial"/>
                <w:lang w:eastAsia="zh-CN"/>
              </w:rPr>
            </w:pPr>
            <w:r w:rsidRPr="00C972E7">
              <w:rPr>
                <w:rFonts w:cs="Arial"/>
                <w:lang w:eastAsia="zh-CN"/>
              </w:rPr>
              <w:t>5.12</w:t>
            </w:r>
          </w:p>
        </w:tc>
        <w:tc>
          <w:tcPr>
            <w:tcW w:w="705" w:type="pct"/>
            <w:tcBorders>
              <w:top w:val="single" w:sz="4" w:space="0" w:color="auto"/>
              <w:left w:val="single" w:sz="4" w:space="0" w:color="auto"/>
              <w:bottom w:val="single" w:sz="4" w:space="0" w:color="auto"/>
              <w:right w:val="single" w:sz="4" w:space="0" w:color="auto"/>
            </w:tcBorders>
          </w:tcPr>
          <w:p w14:paraId="51A3FFA0" w14:textId="77777777" w:rsidR="007C37DF" w:rsidRPr="00C972E7" w:rsidRDefault="007C37DF" w:rsidP="00162D0B">
            <w:pPr>
              <w:pStyle w:val="TAC"/>
              <w:rPr>
                <w:rFonts w:cs="Arial"/>
                <w:lang w:eastAsia="zh-CN"/>
              </w:rPr>
            </w:pPr>
            <w:r w:rsidRPr="00C972E7">
              <w:rPr>
                <w:rFonts w:cs="Arial"/>
                <w:lang w:eastAsia="zh-CN"/>
              </w:rPr>
              <w:t>2</w:t>
            </w:r>
          </w:p>
        </w:tc>
      </w:tr>
      <w:tr w:rsidR="007C37DF" w:rsidRPr="00C972E7" w14:paraId="3639076A" w14:textId="77777777" w:rsidTr="00162D0B">
        <w:trPr>
          <w:cantSplit/>
          <w:jc w:val="center"/>
        </w:trPr>
        <w:tc>
          <w:tcPr>
            <w:tcW w:w="1544" w:type="pct"/>
            <w:vMerge/>
            <w:tcBorders>
              <w:top w:val="single" w:sz="4" w:space="0" w:color="auto"/>
              <w:left w:val="single" w:sz="4" w:space="0" w:color="auto"/>
              <w:bottom w:val="single" w:sz="4" w:space="0" w:color="auto"/>
              <w:right w:val="single" w:sz="4" w:space="0" w:color="auto"/>
            </w:tcBorders>
            <w:vAlign w:val="center"/>
            <w:hideMark/>
          </w:tcPr>
          <w:p w14:paraId="5C77B893" w14:textId="77777777" w:rsidR="007C37DF" w:rsidRPr="00C972E7" w:rsidRDefault="007C37DF" w:rsidP="00162D0B">
            <w:pPr>
              <w:spacing w:after="0"/>
              <w:rPr>
                <w:rFonts w:ascii="Arial" w:hAnsi="Arial" w:cs="Arial"/>
                <w:sz w:val="18"/>
              </w:rPr>
            </w:pPr>
          </w:p>
        </w:tc>
        <w:tc>
          <w:tcPr>
            <w:tcW w:w="1982" w:type="pct"/>
            <w:vMerge/>
            <w:tcBorders>
              <w:left w:val="single" w:sz="4" w:space="0" w:color="auto"/>
              <w:bottom w:val="single" w:sz="4" w:space="0" w:color="auto"/>
              <w:right w:val="single" w:sz="4" w:space="0" w:color="auto"/>
            </w:tcBorders>
            <w:hideMark/>
          </w:tcPr>
          <w:p w14:paraId="77F0C42E" w14:textId="77777777" w:rsidR="007C37DF" w:rsidRPr="00C972E7" w:rsidRDefault="007C37DF" w:rsidP="00162D0B">
            <w:pPr>
              <w:pStyle w:val="TAC"/>
              <w:rPr>
                <w:rFonts w:cs="Arial"/>
                <w:lang w:eastAsia="zh-CN"/>
              </w:rPr>
            </w:pPr>
          </w:p>
        </w:tc>
        <w:tc>
          <w:tcPr>
            <w:tcW w:w="770" w:type="pct"/>
            <w:tcBorders>
              <w:top w:val="single" w:sz="4" w:space="0" w:color="auto"/>
              <w:left w:val="single" w:sz="4" w:space="0" w:color="auto"/>
              <w:bottom w:val="single" w:sz="4" w:space="0" w:color="auto"/>
              <w:right w:val="single" w:sz="4" w:space="0" w:color="auto"/>
            </w:tcBorders>
          </w:tcPr>
          <w:p w14:paraId="6AA2FE50" w14:textId="77777777" w:rsidR="007C37DF" w:rsidRPr="00C972E7" w:rsidRDefault="007C37DF" w:rsidP="00162D0B">
            <w:pPr>
              <w:pStyle w:val="TAC"/>
              <w:rPr>
                <w:rFonts w:cs="Arial"/>
                <w:lang w:eastAsia="zh-CN"/>
              </w:rPr>
            </w:pPr>
            <w:r w:rsidRPr="00C972E7">
              <w:rPr>
                <w:rFonts w:cs="Arial"/>
                <w:lang w:eastAsia="zh-CN"/>
              </w:rPr>
              <w:t xml:space="preserve">10.24 </w:t>
            </w:r>
          </w:p>
        </w:tc>
        <w:tc>
          <w:tcPr>
            <w:tcW w:w="705" w:type="pct"/>
            <w:tcBorders>
              <w:top w:val="single" w:sz="4" w:space="0" w:color="auto"/>
              <w:left w:val="single" w:sz="4" w:space="0" w:color="auto"/>
              <w:bottom w:val="single" w:sz="4" w:space="0" w:color="auto"/>
              <w:right w:val="single" w:sz="4" w:space="0" w:color="auto"/>
            </w:tcBorders>
          </w:tcPr>
          <w:p w14:paraId="0A032898" w14:textId="77777777" w:rsidR="007C37DF" w:rsidRPr="00C972E7" w:rsidRDefault="007C37DF" w:rsidP="00162D0B">
            <w:pPr>
              <w:pStyle w:val="TAC"/>
              <w:rPr>
                <w:rFonts w:cs="Arial"/>
                <w:lang w:eastAsia="zh-CN"/>
              </w:rPr>
            </w:pPr>
            <w:r w:rsidRPr="00C972E7">
              <w:rPr>
                <w:rFonts w:cs="Arial"/>
                <w:lang w:eastAsia="zh-CN"/>
              </w:rPr>
              <w:t>2</w:t>
            </w:r>
          </w:p>
        </w:tc>
      </w:tr>
      <w:tr w:rsidR="007C37DF" w:rsidRPr="00C972E7" w14:paraId="4FE315DA" w14:textId="77777777" w:rsidTr="00162D0B">
        <w:trPr>
          <w:cantSplit/>
          <w:jc w:val="center"/>
        </w:trPr>
        <w:tc>
          <w:tcPr>
            <w:tcW w:w="5000" w:type="pct"/>
            <w:gridSpan w:val="4"/>
            <w:tcBorders>
              <w:top w:val="single" w:sz="4" w:space="0" w:color="auto"/>
              <w:left w:val="single" w:sz="4" w:space="0" w:color="auto"/>
              <w:bottom w:val="single" w:sz="4" w:space="0" w:color="auto"/>
              <w:right w:val="single" w:sz="4" w:space="0" w:color="auto"/>
            </w:tcBorders>
            <w:vAlign w:val="center"/>
          </w:tcPr>
          <w:p w14:paraId="44DE5030" w14:textId="77777777" w:rsidR="007C37DF" w:rsidRPr="00C972E7" w:rsidRDefault="007C37DF" w:rsidP="0035173A">
            <w:pPr>
              <w:pStyle w:val="TAN"/>
            </w:pPr>
            <w:r w:rsidRPr="00C972E7">
              <w:rPr>
                <w:snapToGrid w:val="0"/>
                <w:lang w:eastAsia="zh-CN"/>
              </w:rPr>
              <w:t xml:space="preserve">Note1: </w:t>
            </w:r>
            <w:r w:rsidRPr="00C972E7">
              <w:t>T is dertermined according to clause 7.1 in [1].</w:t>
            </w:r>
          </w:p>
          <w:p w14:paraId="1FB723BF" w14:textId="3FB1F60C" w:rsidR="007C37DF" w:rsidRPr="00C972E7" w:rsidRDefault="0035173A" w:rsidP="0035173A">
            <w:pPr>
              <w:pStyle w:val="TAN"/>
              <w:rPr>
                <w:snapToGrid w:val="0"/>
                <w:lang w:eastAsia="zh-CN"/>
              </w:rPr>
            </w:pPr>
            <w:r w:rsidRPr="002A2B6C">
              <w:rPr>
                <w:snapToGrid w:val="0"/>
                <w:lang w:eastAsia="zh-CN"/>
              </w:rPr>
              <w:t xml:space="preserve">Note2: </w:t>
            </w:r>
            <w:r w:rsidRPr="002A2B6C">
              <w:t>M1=2 if SMTC periodicity (T</w:t>
            </w:r>
            <w:r w:rsidRPr="002A2B6C">
              <w:rPr>
                <w:vertAlign w:val="subscript"/>
              </w:rPr>
              <w:t>SMTC</w:t>
            </w:r>
            <w:r w:rsidRPr="002A2B6C">
              <w:t>) &gt; 20 ms and T</w:t>
            </w:r>
            <w:r w:rsidRPr="002A2B6C">
              <w:rPr>
                <w:rFonts w:hint="eastAsia"/>
              </w:rPr>
              <w:t>≤</w:t>
            </w:r>
            <w:r w:rsidRPr="002A2B6C">
              <w:t xml:space="preserve"> 0.64 second,</w:t>
            </w:r>
            <w:r w:rsidRPr="002A2B6C">
              <w:rPr>
                <w:rFonts w:hint="eastAsia"/>
                <w:lang w:eastAsia="zh-CN"/>
              </w:rPr>
              <w:t xml:space="preserve"> </w:t>
            </w:r>
            <w:r w:rsidRPr="002A2B6C">
              <w:t>otherwise M1=1.</w:t>
            </w:r>
          </w:p>
        </w:tc>
      </w:tr>
    </w:tbl>
    <w:p w14:paraId="55CA2044" w14:textId="77777777" w:rsidR="007C37DF" w:rsidRPr="00C972E7" w:rsidRDefault="007C37DF" w:rsidP="007C37DF"/>
    <w:p w14:paraId="4644A2E6" w14:textId="77777777" w:rsidR="007C37DF" w:rsidRPr="00C972E7" w:rsidRDefault="007C37DF" w:rsidP="007C37DF">
      <w:pPr>
        <w:pStyle w:val="TH"/>
        <w:rPr>
          <w:rFonts w:cs="v4.2.0"/>
        </w:rPr>
      </w:pPr>
      <w:r w:rsidRPr="00C972E7">
        <w:rPr>
          <w:rFonts w:cs="v4.2.0"/>
          <w:snapToGrid w:val="0"/>
        </w:rPr>
        <w:t xml:space="preserve">Table </w:t>
      </w:r>
      <w:r w:rsidRPr="00C972E7">
        <w:t>5.1B.2.2</w:t>
      </w:r>
      <w:r w:rsidRPr="00C972E7">
        <w:rPr>
          <w:rFonts w:cs="v4.2.0"/>
          <w:snapToGrid w:val="0"/>
        </w:rPr>
        <w:t xml:space="preserve">-2: </w:t>
      </w:r>
      <w:r w:rsidRPr="00C972E7">
        <w:rPr>
          <w:rFonts w:cs="v4.2.0"/>
        </w:rPr>
        <w:t>N</w:t>
      </w:r>
      <w:r w:rsidRPr="00C972E7">
        <w:rPr>
          <w:rFonts w:cs="v4.2.0"/>
          <w:vertAlign w:val="subscript"/>
        </w:rPr>
        <w:t>serv_RedCap</w:t>
      </w:r>
      <w:r w:rsidRPr="00C972E7">
        <w:rPr>
          <w:rFonts w:cs="v4.2.0"/>
          <w:vertAlign w:val="superscript"/>
        </w:rPr>
        <w:t xml:space="preserve"> </w:t>
      </w:r>
      <w:r w:rsidRPr="00C972E7">
        <w:rPr>
          <w:rFonts w:cs="v4.2.0"/>
        </w:rPr>
        <w:t xml:space="preserve">for inactive Redcap UE configured with eDRX_IDLE cycle, </w:t>
      </w:r>
      <w:r w:rsidRPr="00C972E7">
        <w:t>(Frequency range FR2)</w:t>
      </w:r>
    </w:p>
    <w:tbl>
      <w:tblPr>
        <w:tblW w:w="34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947"/>
        <w:gridCol w:w="953"/>
        <w:gridCol w:w="953"/>
        <w:gridCol w:w="1507"/>
      </w:tblGrid>
      <w:tr w:rsidR="007C37DF" w:rsidRPr="00C972E7" w14:paraId="270B1011" w14:textId="77777777" w:rsidTr="00162D0B">
        <w:trPr>
          <w:cantSplit/>
          <w:jc w:val="center"/>
        </w:trPr>
        <w:tc>
          <w:tcPr>
            <w:tcW w:w="974" w:type="pct"/>
            <w:tcBorders>
              <w:top w:val="single" w:sz="4" w:space="0" w:color="auto"/>
              <w:left w:val="single" w:sz="4" w:space="0" w:color="auto"/>
              <w:bottom w:val="single" w:sz="4" w:space="0" w:color="auto"/>
              <w:right w:val="single" w:sz="4" w:space="0" w:color="auto"/>
            </w:tcBorders>
            <w:hideMark/>
          </w:tcPr>
          <w:p w14:paraId="522A355C" w14:textId="77777777" w:rsidR="007C37DF" w:rsidRPr="00C972E7" w:rsidRDefault="007C37DF" w:rsidP="00162D0B">
            <w:pPr>
              <w:pStyle w:val="TAH"/>
              <w:rPr>
                <w:rFonts w:cs="v4.2.0"/>
              </w:rPr>
            </w:pPr>
            <w:r w:rsidRPr="00C972E7">
              <w:rPr>
                <w:rFonts w:cs="v4.2.0"/>
              </w:rPr>
              <w:t>eDRX_IDLE cycle length [s]</w:t>
            </w:r>
          </w:p>
        </w:tc>
        <w:tc>
          <w:tcPr>
            <w:tcW w:w="1462" w:type="pct"/>
            <w:tcBorders>
              <w:top w:val="single" w:sz="4" w:space="0" w:color="auto"/>
              <w:left w:val="single" w:sz="4" w:space="0" w:color="auto"/>
              <w:bottom w:val="single" w:sz="4" w:space="0" w:color="auto"/>
              <w:right w:val="single" w:sz="4" w:space="0" w:color="auto"/>
            </w:tcBorders>
            <w:hideMark/>
          </w:tcPr>
          <w:p w14:paraId="384DE22A" w14:textId="77777777" w:rsidR="007C37DF" w:rsidRPr="00C972E7" w:rsidRDefault="007C37DF" w:rsidP="00162D0B">
            <w:pPr>
              <w:pStyle w:val="TAH"/>
              <w:rPr>
                <w:rFonts w:cs="Arial"/>
                <w:snapToGrid w:val="0"/>
              </w:rPr>
            </w:pPr>
            <w:r w:rsidRPr="00C972E7">
              <w:rPr>
                <w:rFonts w:cs="v4.2.0"/>
              </w:rPr>
              <w:t>DRX or eDRX INACTIVE cycle length[s]</w:t>
            </w:r>
          </w:p>
        </w:tc>
        <w:tc>
          <w:tcPr>
            <w:tcW w:w="716" w:type="pct"/>
            <w:tcBorders>
              <w:top w:val="single" w:sz="4" w:space="0" w:color="auto"/>
              <w:left w:val="single" w:sz="4" w:space="0" w:color="auto"/>
              <w:bottom w:val="single" w:sz="4" w:space="0" w:color="auto"/>
              <w:right w:val="single" w:sz="4" w:space="0" w:color="auto"/>
            </w:tcBorders>
          </w:tcPr>
          <w:p w14:paraId="1EEA33A3" w14:textId="77777777" w:rsidR="007C37DF" w:rsidRPr="00C972E7" w:rsidRDefault="007C37DF" w:rsidP="00162D0B">
            <w:pPr>
              <w:pStyle w:val="TAH"/>
            </w:pPr>
            <w:r w:rsidRPr="00C972E7">
              <w:rPr>
                <w:rFonts w:cs="v4.2.0"/>
              </w:rPr>
              <w:t>T [s]</w:t>
            </w:r>
          </w:p>
        </w:tc>
        <w:tc>
          <w:tcPr>
            <w:tcW w:w="716" w:type="pct"/>
            <w:tcBorders>
              <w:top w:val="single" w:sz="4" w:space="0" w:color="auto"/>
              <w:left w:val="single" w:sz="4" w:space="0" w:color="auto"/>
              <w:bottom w:val="single" w:sz="4" w:space="0" w:color="auto"/>
              <w:right w:val="single" w:sz="4" w:space="0" w:color="auto"/>
            </w:tcBorders>
          </w:tcPr>
          <w:p w14:paraId="19CBA78B" w14:textId="77777777" w:rsidR="007C37DF" w:rsidRPr="00C972E7" w:rsidRDefault="007C37DF" w:rsidP="00162D0B">
            <w:pPr>
              <w:pStyle w:val="TAH"/>
              <w:rPr>
                <w:rFonts w:cs="v4.2.0"/>
              </w:rPr>
            </w:pPr>
            <w:r w:rsidRPr="00C972E7">
              <w:t>Scaling Factor (N1)</w:t>
            </w:r>
          </w:p>
        </w:tc>
        <w:tc>
          <w:tcPr>
            <w:tcW w:w="1132" w:type="pct"/>
            <w:tcBorders>
              <w:top w:val="single" w:sz="4" w:space="0" w:color="auto"/>
              <w:left w:val="single" w:sz="4" w:space="0" w:color="auto"/>
              <w:bottom w:val="single" w:sz="4" w:space="0" w:color="auto"/>
              <w:right w:val="single" w:sz="4" w:space="0" w:color="auto"/>
            </w:tcBorders>
            <w:hideMark/>
          </w:tcPr>
          <w:p w14:paraId="34E7433B" w14:textId="77777777" w:rsidR="007C37DF" w:rsidRPr="00C972E7" w:rsidRDefault="007C37DF" w:rsidP="00162D0B">
            <w:pPr>
              <w:pStyle w:val="TAH"/>
              <w:rPr>
                <w:rFonts w:cs="Arial"/>
                <w:snapToGrid w:val="0"/>
              </w:rPr>
            </w:pPr>
            <w:r w:rsidRPr="00C972E7">
              <w:rPr>
                <w:rFonts w:cs="v4.2.0"/>
              </w:rPr>
              <w:t>N</w:t>
            </w:r>
            <w:r w:rsidRPr="00C972E7">
              <w:rPr>
                <w:rFonts w:cs="v4.2.0"/>
                <w:vertAlign w:val="subscript"/>
              </w:rPr>
              <w:t xml:space="preserve">serv_RedCap </w:t>
            </w:r>
            <w:r w:rsidRPr="00C972E7">
              <w:rPr>
                <w:rFonts w:cs="v4.2.0"/>
              </w:rPr>
              <w:t>[number of T]</w:t>
            </w:r>
          </w:p>
        </w:tc>
      </w:tr>
      <w:tr w:rsidR="007C37DF" w:rsidRPr="00C972E7" w14:paraId="5A107DD9" w14:textId="77777777" w:rsidTr="00162D0B">
        <w:trPr>
          <w:cantSplit/>
          <w:jc w:val="center"/>
        </w:trPr>
        <w:tc>
          <w:tcPr>
            <w:tcW w:w="973" w:type="pct"/>
            <w:vMerge w:val="restart"/>
            <w:tcBorders>
              <w:top w:val="single" w:sz="4" w:space="0" w:color="auto"/>
              <w:left w:val="single" w:sz="4" w:space="0" w:color="auto"/>
              <w:bottom w:val="single" w:sz="4" w:space="0" w:color="auto"/>
              <w:right w:val="single" w:sz="4" w:space="0" w:color="auto"/>
            </w:tcBorders>
            <w:hideMark/>
          </w:tcPr>
          <w:p w14:paraId="6E7429A6" w14:textId="77777777" w:rsidR="007C37DF" w:rsidRPr="00C972E7" w:rsidRDefault="007C37DF" w:rsidP="00162D0B">
            <w:pPr>
              <w:pStyle w:val="TAC"/>
              <w:rPr>
                <w:rFonts w:cs="Arial"/>
              </w:rPr>
            </w:pPr>
            <w:r w:rsidRPr="00C972E7">
              <w:rPr>
                <w:rFonts w:cs="Arial"/>
              </w:rPr>
              <w:t>2.56 ≤eDRX_IDLE cycle length ≤</w:t>
            </w:r>
            <w:r w:rsidRPr="00C972E7">
              <w:rPr>
                <w:lang w:eastAsia="zh-CN"/>
              </w:rPr>
              <w:t>10485.76</w:t>
            </w:r>
          </w:p>
        </w:tc>
        <w:tc>
          <w:tcPr>
            <w:tcW w:w="1462" w:type="pct"/>
            <w:vMerge w:val="restart"/>
            <w:tcBorders>
              <w:top w:val="single" w:sz="4" w:space="0" w:color="auto"/>
              <w:left w:val="single" w:sz="4" w:space="0" w:color="auto"/>
              <w:right w:val="single" w:sz="4" w:space="0" w:color="auto"/>
            </w:tcBorders>
          </w:tcPr>
          <w:p w14:paraId="796EBE76" w14:textId="77777777" w:rsidR="007C37DF" w:rsidRPr="00C972E7" w:rsidRDefault="007C37DF" w:rsidP="00162D0B">
            <w:pPr>
              <w:pStyle w:val="TAC"/>
              <w:rPr>
                <w:rFonts w:cs="Arial"/>
              </w:rPr>
            </w:pPr>
            <w:r w:rsidRPr="00C972E7">
              <w:rPr>
                <w:rFonts w:cs="Arial"/>
              </w:rPr>
              <w:t>0.32 ≤DRX_Inactive cycle length ≤</w:t>
            </w:r>
            <w:r w:rsidRPr="00C972E7">
              <w:rPr>
                <w:lang w:eastAsia="zh-CN"/>
              </w:rPr>
              <w:t>2.56; or</w:t>
            </w:r>
          </w:p>
          <w:p w14:paraId="288DAA22" w14:textId="77777777" w:rsidR="007C37DF" w:rsidRPr="00C972E7" w:rsidRDefault="007C37DF" w:rsidP="00162D0B">
            <w:pPr>
              <w:pStyle w:val="TAC"/>
              <w:rPr>
                <w:rFonts w:cs="Arial"/>
              </w:rPr>
            </w:pPr>
            <w:r w:rsidRPr="00C972E7">
              <w:rPr>
                <w:rFonts w:cs="Arial"/>
              </w:rPr>
              <w:t>2.56 ≤eDRX_Inactive cycle length ≤</w:t>
            </w:r>
            <w:r w:rsidRPr="00C972E7">
              <w:rPr>
                <w:lang w:eastAsia="zh-CN"/>
              </w:rPr>
              <w:t>10.24 if inactive eDRX is configured</w:t>
            </w:r>
          </w:p>
          <w:p w14:paraId="5DC4982A" w14:textId="77777777" w:rsidR="007C37DF" w:rsidRPr="00C972E7" w:rsidRDefault="007C37DF" w:rsidP="00162D0B">
            <w:pPr>
              <w:pStyle w:val="TAC"/>
              <w:rPr>
                <w:rFonts w:cs="Arial"/>
                <w:snapToGrid w:val="0"/>
              </w:rPr>
            </w:pPr>
          </w:p>
        </w:tc>
        <w:tc>
          <w:tcPr>
            <w:tcW w:w="716" w:type="pct"/>
            <w:tcBorders>
              <w:top w:val="single" w:sz="4" w:space="0" w:color="auto"/>
              <w:left w:val="single" w:sz="4" w:space="0" w:color="auto"/>
              <w:bottom w:val="single" w:sz="4" w:space="0" w:color="auto"/>
              <w:right w:val="single" w:sz="4" w:space="0" w:color="auto"/>
            </w:tcBorders>
          </w:tcPr>
          <w:p w14:paraId="5A0E7DD7" w14:textId="77777777" w:rsidR="007C37DF" w:rsidRPr="00C972E7" w:rsidRDefault="007C37DF" w:rsidP="00162D0B">
            <w:pPr>
              <w:pStyle w:val="TAC"/>
              <w:rPr>
                <w:rFonts w:cs="Arial"/>
                <w:lang w:eastAsia="zh-CN"/>
              </w:rPr>
            </w:pPr>
            <w:r w:rsidRPr="00C972E7">
              <w:rPr>
                <w:rFonts w:cs="Arial"/>
              </w:rPr>
              <w:t>0.32</w:t>
            </w:r>
          </w:p>
        </w:tc>
        <w:tc>
          <w:tcPr>
            <w:tcW w:w="716" w:type="pct"/>
            <w:tcBorders>
              <w:top w:val="single" w:sz="4" w:space="0" w:color="auto"/>
              <w:left w:val="single" w:sz="4" w:space="0" w:color="auto"/>
              <w:bottom w:val="single" w:sz="4" w:space="0" w:color="auto"/>
              <w:right w:val="single" w:sz="4" w:space="0" w:color="auto"/>
            </w:tcBorders>
          </w:tcPr>
          <w:p w14:paraId="78FE813C" w14:textId="77777777" w:rsidR="007C37DF" w:rsidRPr="00C972E7" w:rsidRDefault="007C37DF" w:rsidP="00162D0B">
            <w:pPr>
              <w:pStyle w:val="TAC"/>
              <w:rPr>
                <w:rFonts w:cs="Arial"/>
                <w:lang w:eastAsia="zh-CN"/>
              </w:rPr>
            </w:pPr>
            <w:r w:rsidRPr="00C972E7">
              <w:rPr>
                <w:rFonts w:cs="Arial" w:hint="eastAsia"/>
                <w:lang w:eastAsia="zh-CN"/>
              </w:rPr>
              <w:t>8</w:t>
            </w:r>
          </w:p>
        </w:tc>
        <w:tc>
          <w:tcPr>
            <w:tcW w:w="1132" w:type="pct"/>
            <w:tcBorders>
              <w:top w:val="single" w:sz="4" w:space="0" w:color="auto"/>
              <w:left w:val="single" w:sz="4" w:space="0" w:color="auto"/>
              <w:bottom w:val="single" w:sz="4" w:space="0" w:color="auto"/>
              <w:right w:val="single" w:sz="4" w:space="0" w:color="auto"/>
            </w:tcBorders>
            <w:hideMark/>
          </w:tcPr>
          <w:p w14:paraId="56B0DCB9" w14:textId="77777777" w:rsidR="007C37DF" w:rsidRPr="00C972E7" w:rsidRDefault="007C37DF" w:rsidP="00162D0B">
            <w:pPr>
              <w:pStyle w:val="TAC"/>
              <w:rPr>
                <w:rFonts w:cs="Arial"/>
                <w:snapToGrid w:val="0"/>
              </w:rPr>
            </w:pPr>
            <w:r w:rsidRPr="00C972E7">
              <w:rPr>
                <w:rFonts w:cs="Arial"/>
              </w:rPr>
              <w:t>4*</w:t>
            </w:r>
            <w:r w:rsidRPr="00C972E7">
              <w:t xml:space="preserve"> N1</w:t>
            </w:r>
          </w:p>
        </w:tc>
      </w:tr>
      <w:tr w:rsidR="007C37DF" w:rsidRPr="00C972E7" w14:paraId="3E992DF2" w14:textId="77777777" w:rsidTr="00162D0B">
        <w:trPr>
          <w:cantSplit/>
          <w:jc w:val="center"/>
        </w:trPr>
        <w:tc>
          <w:tcPr>
            <w:tcW w:w="973" w:type="pct"/>
            <w:vMerge/>
            <w:tcBorders>
              <w:top w:val="single" w:sz="4" w:space="0" w:color="auto"/>
              <w:left w:val="single" w:sz="4" w:space="0" w:color="auto"/>
              <w:bottom w:val="single" w:sz="4" w:space="0" w:color="auto"/>
              <w:right w:val="single" w:sz="4" w:space="0" w:color="auto"/>
            </w:tcBorders>
            <w:vAlign w:val="center"/>
            <w:hideMark/>
          </w:tcPr>
          <w:p w14:paraId="45B8C31A" w14:textId="77777777" w:rsidR="007C37DF" w:rsidRPr="00C972E7" w:rsidRDefault="007C37DF" w:rsidP="00162D0B">
            <w:pPr>
              <w:spacing w:after="0"/>
              <w:rPr>
                <w:rFonts w:ascii="Arial" w:hAnsi="Arial" w:cs="Arial"/>
                <w:sz w:val="18"/>
              </w:rPr>
            </w:pPr>
          </w:p>
        </w:tc>
        <w:tc>
          <w:tcPr>
            <w:tcW w:w="1462" w:type="pct"/>
            <w:vMerge/>
            <w:tcBorders>
              <w:left w:val="single" w:sz="4" w:space="0" w:color="auto"/>
              <w:right w:val="single" w:sz="4" w:space="0" w:color="auto"/>
            </w:tcBorders>
          </w:tcPr>
          <w:p w14:paraId="5C218B0B" w14:textId="77777777" w:rsidR="007C37DF" w:rsidRPr="00C972E7" w:rsidRDefault="007C37DF" w:rsidP="00162D0B">
            <w:pPr>
              <w:pStyle w:val="TAC"/>
              <w:rPr>
                <w:rFonts w:cs="Arial"/>
                <w:snapToGrid w:val="0"/>
              </w:rPr>
            </w:pPr>
          </w:p>
        </w:tc>
        <w:tc>
          <w:tcPr>
            <w:tcW w:w="716" w:type="pct"/>
            <w:tcBorders>
              <w:top w:val="single" w:sz="4" w:space="0" w:color="auto"/>
              <w:left w:val="single" w:sz="4" w:space="0" w:color="auto"/>
              <w:bottom w:val="single" w:sz="4" w:space="0" w:color="auto"/>
              <w:right w:val="single" w:sz="4" w:space="0" w:color="auto"/>
            </w:tcBorders>
          </w:tcPr>
          <w:p w14:paraId="0DE01398" w14:textId="77777777" w:rsidR="007C37DF" w:rsidRPr="00C972E7" w:rsidRDefault="007C37DF" w:rsidP="00162D0B">
            <w:pPr>
              <w:pStyle w:val="TAC"/>
              <w:rPr>
                <w:rFonts w:cs="Arial"/>
                <w:lang w:eastAsia="zh-CN"/>
              </w:rPr>
            </w:pPr>
            <w:r w:rsidRPr="00C972E7">
              <w:rPr>
                <w:rFonts w:cs="Arial"/>
              </w:rPr>
              <w:t>0.64</w:t>
            </w:r>
          </w:p>
        </w:tc>
        <w:tc>
          <w:tcPr>
            <w:tcW w:w="716" w:type="pct"/>
            <w:tcBorders>
              <w:top w:val="single" w:sz="4" w:space="0" w:color="auto"/>
              <w:left w:val="single" w:sz="4" w:space="0" w:color="auto"/>
              <w:bottom w:val="single" w:sz="4" w:space="0" w:color="auto"/>
              <w:right w:val="single" w:sz="4" w:space="0" w:color="auto"/>
            </w:tcBorders>
          </w:tcPr>
          <w:p w14:paraId="685C6597" w14:textId="77777777" w:rsidR="007C37DF" w:rsidRPr="00C972E7" w:rsidRDefault="007C37DF" w:rsidP="00162D0B">
            <w:pPr>
              <w:pStyle w:val="TAC"/>
              <w:rPr>
                <w:rFonts w:cs="Arial"/>
                <w:lang w:eastAsia="zh-CN"/>
              </w:rPr>
            </w:pPr>
            <w:r w:rsidRPr="00C972E7">
              <w:rPr>
                <w:rFonts w:cs="Arial" w:hint="eastAsia"/>
                <w:lang w:eastAsia="zh-CN"/>
              </w:rPr>
              <w:t>5</w:t>
            </w:r>
          </w:p>
        </w:tc>
        <w:tc>
          <w:tcPr>
            <w:tcW w:w="1132" w:type="pct"/>
            <w:tcBorders>
              <w:top w:val="single" w:sz="4" w:space="0" w:color="auto"/>
              <w:left w:val="single" w:sz="4" w:space="0" w:color="auto"/>
              <w:bottom w:val="single" w:sz="4" w:space="0" w:color="auto"/>
              <w:right w:val="single" w:sz="4" w:space="0" w:color="auto"/>
            </w:tcBorders>
            <w:hideMark/>
          </w:tcPr>
          <w:p w14:paraId="3BB2349D" w14:textId="77777777" w:rsidR="007C37DF" w:rsidRPr="00C972E7" w:rsidRDefault="007C37DF" w:rsidP="00162D0B">
            <w:pPr>
              <w:pStyle w:val="TAC"/>
              <w:rPr>
                <w:rFonts w:cs="Arial"/>
                <w:snapToGrid w:val="0"/>
              </w:rPr>
            </w:pPr>
            <w:r w:rsidRPr="00C972E7">
              <w:rPr>
                <w:rFonts w:cs="Arial"/>
              </w:rPr>
              <w:t>4*</w:t>
            </w:r>
            <w:r w:rsidRPr="00C972E7">
              <w:t xml:space="preserve"> N1</w:t>
            </w:r>
          </w:p>
        </w:tc>
      </w:tr>
      <w:tr w:rsidR="007C37DF" w:rsidRPr="00C972E7" w14:paraId="7A5312DA" w14:textId="77777777" w:rsidTr="00162D0B">
        <w:trPr>
          <w:cantSplit/>
          <w:jc w:val="center"/>
        </w:trPr>
        <w:tc>
          <w:tcPr>
            <w:tcW w:w="973" w:type="pct"/>
            <w:vMerge/>
            <w:tcBorders>
              <w:top w:val="single" w:sz="4" w:space="0" w:color="auto"/>
              <w:left w:val="single" w:sz="4" w:space="0" w:color="auto"/>
              <w:bottom w:val="single" w:sz="4" w:space="0" w:color="auto"/>
              <w:right w:val="single" w:sz="4" w:space="0" w:color="auto"/>
            </w:tcBorders>
            <w:vAlign w:val="center"/>
            <w:hideMark/>
          </w:tcPr>
          <w:p w14:paraId="15847EA0" w14:textId="77777777" w:rsidR="007C37DF" w:rsidRPr="00C972E7" w:rsidRDefault="007C37DF" w:rsidP="00162D0B">
            <w:pPr>
              <w:spacing w:after="0"/>
              <w:rPr>
                <w:rFonts w:ascii="Arial" w:hAnsi="Arial" w:cs="Arial"/>
                <w:sz w:val="18"/>
              </w:rPr>
            </w:pPr>
          </w:p>
        </w:tc>
        <w:tc>
          <w:tcPr>
            <w:tcW w:w="1462" w:type="pct"/>
            <w:vMerge/>
            <w:tcBorders>
              <w:left w:val="single" w:sz="4" w:space="0" w:color="auto"/>
              <w:right w:val="single" w:sz="4" w:space="0" w:color="auto"/>
            </w:tcBorders>
          </w:tcPr>
          <w:p w14:paraId="16FA6E35" w14:textId="77777777" w:rsidR="007C37DF" w:rsidRPr="00C972E7" w:rsidRDefault="007C37DF" w:rsidP="00162D0B">
            <w:pPr>
              <w:pStyle w:val="TAC"/>
              <w:rPr>
                <w:rFonts w:cs="Arial"/>
                <w:snapToGrid w:val="0"/>
              </w:rPr>
            </w:pPr>
          </w:p>
        </w:tc>
        <w:tc>
          <w:tcPr>
            <w:tcW w:w="716" w:type="pct"/>
            <w:tcBorders>
              <w:top w:val="single" w:sz="4" w:space="0" w:color="auto"/>
              <w:left w:val="single" w:sz="4" w:space="0" w:color="auto"/>
              <w:bottom w:val="single" w:sz="4" w:space="0" w:color="auto"/>
              <w:right w:val="single" w:sz="4" w:space="0" w:color="auto"/>
            </w:tcBorders>
          </w:tcPr>
          <w:p w14:paraId="2062B5EE" w14:textId="77777777" w:rsidR="007C37DF" w:rsidRPr="00C972E7" w:rsidRDefault="007C37DF" w:rsidP="00162D0B">
            <w:pPr>
              <w:pStyle w:val="TAC"/>
              <w:rPr>
                <w:rFonts w:cs="Arial"/>
                <w:lang w:eastAsia="zh-CN"/>
              </w:rPr>
            </w:pPr>
            <w:r w:rsidRPr="00C972E7">
              <w:rPr>
                <w:rFonts w:cs="Arial"/>
              </w:rPr>
              <w:t>1.28</w:t>
            </w:r>
          </w:p>
        </w:tc>
        <w:tc>
          <w:tcPr>
            <w:tcW w:w="716" w:type="pct"/>
            <w:tcBorders>
              <w:top w:val="single" w:sz="4" w:space="0" w:color="auto"/>
              <w:left w:val="single" w:sz="4" w:space="0" w:color="auto"/>
              <w:bottom w:val="single" w:sz="4" w:space="0" w:color="auto"/>
              <w:right w:val="single" w:sz="4" w:space="0" w:color="auto"/>
            </w:tcBorders>
          </w:tcPr>
          <w:p w14:paraId="05EA3AAA" w14:textId="77777777" w:rsidR="007C37DF" w:rsidRPr="00C972E7" w:rsidRDefault="007C37DF" w:rsidP="00162D0B">
            <w:pPr>
              <w:pStyle w:val="TAC"/>
              <w:rPr>
                <w:rFonts w:cs="Arial"/>
                <w:lang w:eastAsia="zh-CN"/>
              </w:rPr>
            </w:pPr>
            <w:r w:rsidRPr="00C972E7">
              <w:rPr>
                <w:rFonts w:cs="Arial" w:hint="eastAsia"/>
                <w:lang w:eastAsia="zh-CN"/>
              </w:rPr>
              <w:t>4</w:t>
            </w:r>
          </w:p>
        </w:tc>
        <w:tc>
          <w:tcPr>
            <w:tcW w:w="1132" w:type="pct"/>
            <w:tcBorders>
              <w:top w:val="single" w:sz="4" w:space="0" w:color="auto"/>
              <w:left w:val="single" w:sz="4" w:space="0" w:color="auto"/>
              <w:bottom w:val="single" w:sz="4" w:space="0" w:color="auto"/>
              <w:right w:val="single" w:sz="4" w:space="0" w:color="auto"/>
            </w:tcBorders>
            <w:hideMark/>
          </w:tcPr>
          <w:p w14:paraId="05D93F03" w14:textId="77777777" w:rsidR="007C37DF" w:rsidRPr="00C972E7" w:rsidRDefault="007C37DF" w:rsidP="00162D0B">
            <w:pPr>
              <w:pStyle w:val="TAC"/>
              <w:rPr>
                <w:rFonts w:cs="Arial"/>
                <w:snapToGrid w:val="0"/>
              </w:rPr>
            </w:pPr>
            <w:r w:rsidRPr="00C972E7">
              <w:rPr>
                <w:rFonts w:cs="Arial"/>
              </w:rPr>
              <w:t>2*</w:t>
            </w:r>
            <w:r w:rsidRPr="00C972E7">
              <w:t xml:space="preserve"> N1</w:t>
            </w:r>
          </w:p>
        </w:tc>
      </w:tr>
      <w:tr w:rsidR="007C37DF" w:rsidRPr="00C972E7" w14:paraId="4558894C" w14:textId="77777777" w:rsidTr="00162D0B">
        <w:trPr>
          <w:cantSplit/>
          <w:jc w:val="center"/>
        </w:trPr>
        <w:tc>
          <w:tcPr>
            <w:tcW w:w="973" w:type="pct"/>
            <w:vMerge/>
            <w:tcBorders>
              <w:top w:val="single" w:sz="4" w:space="0" w:color="auto"/>
              <w:left w:val="single" w:sz="4" w:space="0" w:color="auto"/>
              <w:bottom w:val="single" w:sz="4" w:space="0" w:color="auto"/>
              <w:right w:val="single" w:sz="4" w:space="0" w:color="auto"/>
            </w:tcBorders>
            <w:vAlign w:val="center"/>
            <w:hideMark/>
          </w:tcPr>
          <w:p w14:paraId="6007414F" w14:textId="77777777" w:rsidR="007C37DF" w:rsidRPr="00C972E7" w:rsidRDefault="007C37DF" w:rsidP="00162D0B">
            <w:pPr>
              <w:spacing w:after="0"/>
              <w:rPr>
                <w:rFonts w:ascii="Arial" w:hAnsi="Arial" w:cs="Arial"/>
                <w:sz w:val="18"/>
              </w:rPr>
            </w:pPr>
          </w:p>
        </w:tc>
        <w:tc>
          <w:tcPr>
            <w:tcW w:w="1462" w:type="pct"/>
            <w:vMerge/>
            <w:tcBorders>
              <w:left w:val="single" w:sz="4" w:space="0" w:color="auto"/>
              <w:right w:val="single" w:sz="4" w:space="0" w:color="auto"/>
            </w:tcBorders>
          </w:tcPr>
          <w:p w14:paraId="11616751" w14:textId="77777777" w:rsidR="007C37DF" w:rsidRPr="00C972E7" w:rsidRDefault="007C37DF" w:rsidP="00162D0B">
            <w:pPr>
              <w:pStyle w:val="TAC"/>
              <w:rPr>
                <w:rFonts w:cs="Arial"/>
                <w:snapToGrid w:val="0"/>
              </w:rPr>
            </w:pPr>
          </w:p>
        </w:tc>
        <w:tc>
          <w:tcPr>
            <w:tcW w:w="716" w:type="pct"/>
            <w:tcBorders>
              <w:top w:val="single" w:sz="4" w:space="0" w:color="auto"/>
              <w:left w:val="single" w:sz="4" w:space="0" w:color="auto"/>
              <w:bottom w:val="single" w:sz="4" w:space="0" w:color="auto"/>
              <w:right w:val="single" w:sz="4" w:space="0" w:color="auto"/>
            </w:tcBorders>
          </w:tcPr>
          <w:p w14:paraId="60C54C51" w14:textId="77777777" w:rsidR="007C37DF" w:rsidRPr="00C972E7" w:rsidRDefault="007C37DF" w:rsidP="00162D0B">
            <w:pPr>
              <w:pStyle w:val="TAC"/>
              <w:rPr>
                <w:rFonts w:cs="Arial"/>
                <w:lang w:eastAsia="zh-CN"/>
              </w:rPr>
            </w:pPr>
            <w:r w:rsidRPr="00C972E7">
              <w:rPr>
                <w:rFonts w:cs="Arial"/>
              </w:rPr>
              <w:t>2.56</w:t>
            </w:r>
          </w:p>
        </w:tc>
        <w:tc>
          <w:tcPr>
            <w:tcW w:w="716" w:type="pct"/>
            <w:tcBorders>
              <w:top w:val="single" w:sz="4" w:space="0" w:color="auto"/>
              <w:left w:val="single" w:sz="4" w:space="0" w:color="auto"/>
              <w:bottom w:val="single" w:sz="4" w:space="0" w:color="auto"/>
              <w:right w:val="single" w:sz="4" w:space="0" w:color="auto"/>
            </w:tcBorders>
          </w:tcPr>
          <w:p w14:paraId="0C0D9A9E" w14:textId="77777777" w:rsidR="007C37DF" w:rsidRPr="00C972E7" w:rsidRDefault="007C37DF" w:rsidP="00162D0B">
            <w:pPr>
              <w:pStyle w:val="TAC"/>
              <w:rPr>
                <w:rFonts w:cs="Arial"/>
                <w:lang w:eastAsia="zh-CN"/>
              </w:rPr>
            </w:pPr>
            <w:r w:rsidRPr="00C972E7">
              <w:rPr>
                <w:rFonts w:cs="Arial" w:hint="eastAsia"/>
                <w:lang w:eastAsia="zh-CN"/>
              </w:rPr>
              <w:t>3</w:t>
            </w:r>
          </w:p>
        </w:tc>
        <w:tc>
          <w:tcPr>
            <w:tcW w:w="1132" w:type="pct"/>
            <w:tcBorders>
              <w:top w:val="single" w:sz="4" w:space="0" w:color="auto"/>
              <w:left w:val="single" w:sz="4" w:space="0" w:color="auto"/>
              <w:bottom w:val="single" w:sz="4" w:space="0" w:color="auto"/>
              <w:right w:val="single" w:sz="4" w:space="0" w:color="auto"/>
            </w:tcBorders>
            <w:hideMark/>
          </w:tcPr>
          <w:p w14:paraId="00F1550D" w14:textId="77777777" w:rsidR="007C37DF" w:rsidRPr="00C972E7" w:rsidRDefault="007C37DF" w:rsidP="00162D0B">
            <w:pPr>
              <w:pStyle w:val="TAC"/>
              <w:rPr>
                <w:rFonts w:cs="Arial"/>
                <w:b/>
                <w:snapToGrid w:val="0"/>
              </w:rPr>
            </w:pPr>
            <w:r w:rsidRPr="00C972E7">
              <w:rPr>
                <w:rFonts w:cs="Arial"/>
              </w:rPr>
              <w:t>2*</w:t>
            </w:r>
            <w:r w:rsidRPr="00C972E7">
              <w:t xml:space="preserve"> N1</w:t>
            </w:r>
          </w:p>
        </w:tc>
      </w:tr>
      <w:tr w:rsidR="007C37DF" w:rsidRPr="00C972E7" w14:paraId="33CF086A" w14:textId="77777777" w:rsidTr="00162D0B">
        <w:trPr>
          <w:cantSplit/>
          <w:jc w:val="center"/>
        </w:trPr>
        <w:tc>
          <w:tcPr>
            <w:tcW w:w="973" w:type="pct"/>
            <w:vMerge/>
            <w:tcBorders>
              <w:top w:val="single" w:sz="4" w:space="0" w:color="auto"/>
              <w:left w:val="single" w:sz="4" w:space="0" w:color="auto"/>
              <w:bottom w:val="single" w:sz="4" w:space="0" w:color="auto"/>
              <w:right w:val="single" w:sz="4" w:space="0" w:color="auto"/>
            </w:tcBorders>
            <w:vAlign w:val="center"/>
            <w:hideMark/>
          </w:tcPr>
          <w:p w14:paraId="7097FD94" w14:textId="77777777" w:rsidR="007C37DF" w:rsidRPr="00C972E7" w:rsidRDefault="007C37DF" w:rsidP="00162D0B">
            <w:pPr>
              <w:spacing w:after="0"/>
              <w:rPr>
                <w:rFonts w:ascii="Arial" w:hAnsi="Arial" w:cs="Arial"/>
                <w:sz w:val="18"/>
              </w:rPr>
            </w:pPr>
          </w:p>
        </w:tc>
        <w:tc>
          <w:tcPr>
            <w:tcW w:w="1462" w:type="pct"/>
            <w:vMerge/>
            <w:tcBorders>
              <w:left w:val="single" w:sz="4" w:space="0" w:color="auto"/>
              <w:right w:val="single" w:sz="4" w:space="0" w:color="auto"/>
            </w:tcBorders>
          </w:tcPr>
          <w:p w14:paraId="11E7FB53" w14:textId="77777777" w:rsidR="007C37DF" w:rsidRPr="00C972E7" w:rsidRDefault="007C37DF" w:rsidP="00162D0B">
            <w:pPr>
              <w:pStyle w:val="TAC"/>
              <w:rPr>
                <w:rFonts w:cs="Arial"/>
                <w:lang w:eastAsia="zh-CN"/>
              </w:rPr>
            </w:pPr>
          </w:p>
        </w:tc>
        <w:tc>
          <w:tcPr>
            <w:tcW w:w="716" w:type="pct"/>
            <w:tcBorders>
              <w:top w:val="single" w:sz="4" w:space="0" w:color="auto"/>
              <w:left w:val="single" w:sz="4" w:space="0" w:color="auto"/>
              <w:bottom w:val="single" w:sz="4" w:space="0" w:color="auto"/>
              <w:right w:val="single" w:sz="4" w:space="0" w:color="auto"/>
            </w:tcBorders>
          </w:tcPr>
          <w:p w14:paraId="0BA149A4" w14:textId="77777777" w:rsidR="007C37DF" w:rsidRPr="00C972E7" w:rsidRDefault="007C37DF" w:rsidP="00162D0B">
            <w:pPr>
              <w:pStyle w:val="TAC"/>
              <w:rPr>
                <w:rFonts w:cs="Arial"/>
                <w:lang w:eastAsia="zh-CN"/>
              </w:rPr>
            </w:pPr>
            <w:r w:rsidRPr="00C972E7">
              <w:rPr>
                <w:rFonts w:cs="Arial"/>
                <w:lang w:eastAsia="zh-CN"/>
              </w:rPr>
              <w:t>5.12</w:t>
            </w:r>
          </w:p>
        </w:tc>
        <w:tc>
          <w:tcPr>
            <w:tcW w:w="716" w:type="pct"/>
            <w:tcBorders>
              <w:top w:val="single" w:sz="4" w:space="0" w:color="auto"/>
              <w:left w:val="single" w:sz="4" w:space="0" w:color="auto"/>
              <w:bottom w:val="single" w:sz="4" w:space="0" w:color="auto"/>
              <w:right w:val="single" w:sz="4" w:space="0" w:color="auto"/>
            </w:tcBorders>
          </w:tcPr>
          <w:p w14:paraId="4592CBAE" w14:textId="77777777" w:rsidR="007C37DF" w:rsidRPr="00C972E7" w:rsidRDefault="007C37DF" w:rsidP="00162D0B">
            <w:pPr>
              <w:pStyle w:val="TAC"/>
              <w:rPr>
                <w:rFonts w:cs="Arial"/>
                <w:lang w:eastAsia="zh-CN"/>
              </w:rPr>
            </w:pPr>
            <w:r w:rsidRPr="00C972E7">
              <w:rPr>
                <w:rFonts w:cs="Arial" w:hint="eastAsia"/>
                <w:lang w:eastAsia="zh-CN"/>
              </w:rPr>
              <w:t>3</w:t>
            </w:r>
          </w:p>
        </w:tc>
        <w:tc>
          <w:tcPr>
            <w:tcW w:w="1132" w:type="pct"/>
            <w:tcBorders>
              <w:top w:val="single" w:sz="4" w:space="0" w:color="auto"/>
              <w:left w:val="single" w:sz="4" w:space="0" w:color="auto"/>
              <w:bottom w:val="single" w:sz="4" w:space="0" w:color="auto"/>
              <w:right w:val="single" w:sz="4" w:space="0" w:color="auto"/>
            </w:tcBorders>
            <w:hideMark/>
          </w:tcPr>
          <w:p w14:paraId="2B9CA768" w14:textId="77777777" w:rsidR="007C37DF" w:rsidRPr="00C972E7" w:rsidRDefault="007C37DF" w:rsidP="00162D0B">
            <w:pPr>
              <w:pStyle w:val="TAC"/>
              <w:rPr>
                <w:rFonts w:cs="Arial"/>
                <w:lang w:eastAsia="zh-CN"/>
              </w:rPr>
            </w:pPr>
            <w:r w:rsidRPr="00C972E7">
              <w:rPr>
                <w:rFonts w:cs="Arial"/>
                <w:lang w:eastAsia="zh-CN"/>
              </w:rPr>
              <w:t>2</w:t>
            </w:r>
            <w:r w:rsidRPr="00C972E7">
              <w:rPr>
                <w:rFonts w:cs="Arial"/>
              </w:rPr>
              <w:t>*</w:t>
            </w:r>
            <w:r w:rsidRPr="00C972E7">
              <w:t xml:space="preserve"> N1</w:t>
            </w:r>
          </w:p>
        </w:tc>
      </w:tr>
      <w:tr w:rsidR="007C37DF" w:rsidRPr="00C972E7" w14:paraId="34966C3E" w14:textId="77777777" w:rsidTr="00162D0B">
        <w:trPr>
          <w:cantSplit/>
          <w:jc w:val="center"/>
        </w:trPr>
        <w:tc>
          <w:tcPr>
            <w:tcW w:w="973" w:type="pct"/>
            <w:vMerge/>
            <w:tcBorders>
              <w:top w:val="single" w:sz="4" w:space="0" w:color="auto"/>
              <w:left w:val="single" w:sz="4" w:space="0" w:color="auto"/>
              <w:bottom w:val="single" w:sz="4" w:space="0" w:color="auto"/>
              <w:right w:val="single" w:sz="4" w:space="0" w:color="auto"/>
            </w:tcBorders>
            <w:vAlign w:val="center"/>
            <w:hideMark/>
          </w:tcPr>
          <w:p w14:paraId="288296DD" w14:textId="77777777" w:rsidR="007C37DF" w:rsidRPr="00C972E7" w:rsidRDefault="007C37DF" w:rsidP="00162D0B">
            <w:pPr>
              <w:spacing w:after="0"/>
              <w:rPr>
                <w:rFonts w:ascii="Arial" w:hAnsi="Arial" w:cs="Arial"/>
                <w:sz w:val="18"/>
              </w:rPr>
            </w:pPr>
          </w:p>
        </w:tc>
        <w:tc>
          <w:tcPr>
            <w:tcW w:w="1462" w:type="pct"/>
            <w:vMerge/>
            <w:tcBorders>
              <w:left w:val="single" w:sz="4" w:space="0" w:color="auto"/>
              <w:right w:val="single" w:sz="4" w:space="0" w:color="auto"/>
            </w:tcBorders>
          </w:tcPr>
          <w:p w14:paraId="34E25349" w14:textId="77777777" w:rsidR="007C37DF" w:rsidRPr="00C972E7" w:rsidRDefault="007C37DF" w:rsidP="00162D0B">
            <w:pPr>
              <w:pStyle w:val="TAC"/>
              <w:rPr>
                <w:rFonts w:cs="Arial"/>
                <w:lang w:eastAsia="zh-CN"/>
              </w:rPr>
            </w:pPr>
          </w:p>
        </w:tc>
        <w:tc>
          <w:tcPr>
            <w:tcW w:w="716" w:type="pct"/>
            <w:tcBorders>
              <w:top w:val="single" w:sz="4" w:space="0" w:color="auto"/>
              <w:left w:val="single" w:sz="4" w:space="0" w:color="auto"/>
              <w:bottom w:val="single" w:sz="4" w:space="0" w:color="auto"/>
              <w:right w:val="single" w:sz="4" w:space="0" w:color="auto"/>
            </w:tcBorders>
          </w:tcPr>
          <w:p w14:paraId="69A1D76E" w14:textId="77777777" w:rsidR="007C37DF" w:rsidRPr="00C972E7" w:rsidRDefault="007C37DF" w:rsidP="00162D0B">
            <w:pPr>
              <w:pStyle w:val="TAC"/>
              <w:rPr>
                <w:rFonts w:cs="Arial"/>
                <w:lang w:eastAsia="zh-CN"/>
              </w:rPr>
            </w:pPr>
            <w:r w:rsidRPr="00C972E7">
              <w:rPr>
                <w:rFonts w:cs="Arial"/>
                <w:lang w:eastAsia="zh-CN"/>
              </w:rPr>
              <w:t xml:space="preserve">10.24 </w:t>
            </w:r>
          </w:p>
        </w:tc>
        <w:tc>
          <w:tcPr>
            <w:tcW w:w="716" w:type="pct"/>
            <w:tcBorders>
              <w:top w:val="single" w:sz="4" w:space="0" w:color="auto"/>
              <w:left w:val="single" w:sz="4" w:space="0" w:color="auto"/>
              <w:bottom w:val="single" w:sz="4" w:space="0" w:color="auto"/>
              <w:right w:val="single" w:sz="4" w:space="0" w:color="auto"/>
            </w:tcBorders>
          </w:tcPr>
          <w:p w14:paraId="00D294D8" w14:textId="77777777" w:rsidR="007C37DF" w:rsidRPr="00C972E7" w:rsidRDefault="007C37DF" w:rsidP="00162D0B">
            <w:pPr>
              <w:pStyle w:val="TAC"/>
              <w:rPr>
                <w:rFonts w:cs="Arial"/>
                <w:lang w:eastAsia="zh-CN"/>
              </w:rPr>
            </w:pPr>
            <w:r w:rsidRPr="00C972E7">
              <w:rPr>
                <w:rFonts w:cs="Arial" w:hint="eastAsia"/>
                <w:lang w:eastAsia="zh-CN"/>
              </w:rPr>
              <w:t>3</w:t>
            </w:r>
          </w:p>
        </w:tc>
        <w:tc>
          <w:tcPr>
            <w:tcW w:w="1132" w:type="pct"/>
            <w:tcBorders>
              <w:top w:val="single" w:sz="4" w:space="0" w:color="auto"/>
              <w:left w:val="single" w:sz="4" w:space="0" w:color="auto"/>
              <w:bottom w:val="single" w:sz="4" w:space="0" w:color="auto"/>
              <w:right w:val="single" w:sz="4" w:space="0" w:color="auto"/>
            </w:tcBorders>
            <w:hideMark/>
          </w:tcPr>
          <w:p w14:paraId="29A4DBF1" w14:textId="77777777" w:rsidR="007C37DF" w:rsidRPr="00C972E7" w:rsidRDefault="007C37DF" w:rsidP="00162D0B">
            <w:pPr>
              <w:pStyle w:val="TAC"/>
              <w:rPr>
                <w:rFonts w:cs="Arial"/>
                <w:b/>
                <w:lang w:eastAsia="zh-CN"/>
              </w:rPr>
            </w:pPr>
            <w:r w:rsidRPr="00C972E7">
              <w:rPr>
                <w:rFonts w:cs="Arial"/>
                <w:lang w:eastAsia="zh-CN"/>
              </w:rPr>
              <w:t>2</w:t>
            </w:r>
            <w:r w:rsidRPr="00C972E7">
              <w:rPr>
                <w:rFonts w:cs="Arial"/>
              </w:rPr>
              <w:t>*</w:t>
            </w:r>
            <w:r w:rsidRPr="00C972E7">
              <w:t xml:space="preserve"> N1</w:t>
            </w:r>
          </w:p>
        </w:tc>
      </w:tr>
      <w:tr w:rsidR="007C37DF" w:rsidRPr="00C972E7" w14:paraId="2592C5B3" w14:textId="77777777" w:rsidTr="00162D0B">
        <w:trPr>
          <w:cantSplit/>
          <w:jc w:val="center"/>
        </w:trPr>
        <w:tc>
          <w:tcPr>
            <w:tcW w:w="1" w:type="pct"/>
            <w:gridSpan w:val="5"/>
            <w:tcBorders>
              <w:top w:val="single" w:sz="4" w:space="0" w:color="auto"/>
              <w:left w:val="single" w:sz="4" w:space="0" w:color="auto"/>
              <w:bottom w:val="single" w:sz="4" w:space="0" w:color="auto"/>
              <w:right w:val="single" w:sz="4" w:space="0" w:color="auto"/>
            </w:tcBorders>
            <w:vAlign w:val="center"/>
          </w:tcPr>
          <w:p w14:paraId="09C354A4" w14:textId="77777777" w:rsidR="007C37DF" w:rsidRPr="00C972E7" w:rsidRDefault="007C37DF" w:rsidP="00162D0B">
            <w:pPr>
              <w:pStyle w:val="TAC"/>
              <w:jc w:val="left"/>
              <w:rPr>
                <w:rFonts w:cs="v4.2.0"/>
              </w:rPr>
            </w:pPr>
            <w:r w:rsidRPr="00C972E7">
              <w:rPr>
                <w:snapToGrid w:val="0"/>
                <w:lang w:eastAsia="zh-CN"/>
              </w:rPr>
              <w:t xml:space="preserve">Note1: </w:t>
            </w:r>
            <w:r w:rsidRPr="00C972E7">
              <w:rPr>
                <w:rFonts w:cs="v4.2.0"/>
              </w:rPr>
              <w:t>T is dertermined according to clause 7.1 in [1].</w:t>
            </w:r>
          </w:p>
        </w:tc>
      </w:tr>
    </w:tbl>
    <w:p w14:paraId="0AB72302" w14:textId="3C8E3785" w:rsidR="007C37DF" w:rsidRDefault="007C37DF" w:rsidP="007C37DF"/>
    <w:p w14:paraId="36F4BDC3" w14:textId="6620B083" w:rsidR="0035173A" w:rsidRDefault="0035173A" w:rsidP="007C37DF">
      <w:r w:rsidRPr="002A2B6C">
        <w:rPr>
          <w:rFonts w:hint="eastAsia"/>
          <w:lang w:eastAsia="zh-CN"/>
        </w:rPr>
        <w:t>W</w:t>
      </w:r>
      <w:r w:rsidRPr="002A2B6C">
        <w:rPr>
          <w:lang w:eastAsia="zh-CN"/>
        </w:rPr>
        <w:t xml:space="preserve">hen UE transitions from measurements within PTW and to measurements outside PTW </w:t>
      </w:r>
      <w:r w:rsidRPr="002A2B6C">
        <w:rPr>
          <w:lang w:eastAsia="ko-KR"/>
        </w:rPr>
        <w:t>or vice versa during one measurement p</w:t>
      </w:r>
      <w:r w:rsidRPr="002748CF">
        <w:rPr>
          <w:lang w:eastAsia="ko-KR"/>
        </w:rPr>
        <w:t>eriod, the UE measurement requirements apply based on the longer measurement period requirements before or after the transition.</w:t>
      </w:r>
    </w:p>
    <w:p w14:paraId="5BC77A3A" w14:textId="77777777" w:rsidR="00B873FB" w:rsidRDefault="00B873FB" w:rsidP="00B873FB">
      <w:r w:rsidRPr="009C5807">
        <w:t>If the UE in RRC_</w:t>
      </w:r>
      <w:r>
        <w:t>INACTIVE</w:t>
      </w:r>
      <w:r w:rsidRPr="009C5807">
        <w:t xml:space="preserve"> has not found any new suitable cell based on searches and measurements using the intra-frequency, inter-frequency and inter-RAT information indicated in the system information </w:t>
      </w:r>
      <w:r>
        <w:t>during the time T’</w:t>
      </w:r>
      <w:r w:rsidRPr="009C5807">
        <w:t>, the UE shall initiate cell selection procedures for the selected PLMN as defined in TS 38.304 [1]</w:t>
      </w:r>
      <w:r>
        <w:t xml:space="preserve">, where </w:t>
      </w:r>
    </w:p>
    <w:p w14:paraId="0EA8ECCC" w14:textId="77777777" w:rsidR="00B873FB" w:rsidRPr="00104C6F" w:rsidRDefault="00B873FB" w:rsidP="00B873FB">
      <w:pPr>
        <w:pStyle w:val="B10"/>
      </w:pPr>
      <w:r w:rsidRPr="00104C6F">
        <w:t>-</w:t>
      </w:r>
      <w:r w:rsidRPr="00104C6F">
        <w:tab/>
        <w:t>T’= 10 s, if the UE is not configured with eDRX_inactive cycle, or</w:t>
      </w:r>
    </w:p>
    <w:p w14:paraId="01910CE7" w14:textId="77777777" w:rsidR="00B873FB" w:rsidRPr="00104C6F" w:rsidRDefault="00B873FB" w:rsidP="00B873FB">
      <w:pPr>
        <w:pStyle w:val="B10"/>
        <w:rPr>
          <w:lang w:eastAsia="zh-CN"/>
        </w:rPr>
      </w:pPr>
      <w:r w:rsidRPr="00104C6F">
        <w:t>-</w:t>
      </w:r>
      <w:r w:rsidRPr="00104C6F">
        <w:tab/>
        <w:t xml:space="preserve">T’= </w:t>
      </w:r>
      <w:r w:rsidRPr="00104C6F">
        <w:rPr>
          <w:lang w:eastAsia="zh-CN"/>
        </w:rPr>
        <w:t>MAX (10 s, one eDRX_inactive cycle) if the UE is configured with eDRX_inactive cycle for FR1, or</w:t>
      </w:r>
    </w:p>
    <w:p w14:paraId="36AB1167" w14:textId="15DB16F3" w:rsidR="00B873FB" w:rsidRDefault="00B873FB" w:rsidP="00B873FB">
      <w:pPr>
        <w:pStyle w:val="B10"/>
        <w:rPr>
          <w:lang w:eastAsia="zh-CN"/>
        </w:rPr>
      </w:pPr>
      <w:r w:rsidRPr="00104C6F">
        <w:t>-</w:t>
      </w:r>
      <w:r w:rsidRPr="00104C6F">
        <w:tab/>
        <w:t xml:space="preserve">T’= </w:t>
      </w:r>
      <w:r w:rsidRPr="00104C6F">
        <w:rPr>
          <w:lang w:eastAsia="zh-CN"/>
        </w:rPr>
        <w:t>MAX (10 s, N1* eDRX_inactive cycle) if the UE is configured with eDRX_inactive cycle for FR2.</w:t>
      </w:r>
    </w:p>
    <w:p w14:paraId="110C21FA" w14:textId="77777777" w:rsidR="00B873FB" w:rsidRPr="000B38D1" w:rsidRDefault="00B873FB" w:rsidP="00B873FB"/>
    <w:p w14:paraId="2EC6BDAF" w14:textId="77777777" w:rsidR="007C37DF" w:rsidRDefault="007C37DF" w:rsidP="007C37DF">
      <w:pPr>
        <w:pStyle w:val="Heading4"/>
      </w:pPr>
      <w:r w:rsidRPr="000B38D1">
        <w:t>5.1B.2.3</w:t>
      </w:r>
      <w:r>
        <w:tab/>
      </w:r>
      <w:r w:rsidRPr="000B38D1">
        <w:t>Measurements of intra-frequency NR cells</w:t>
      </w:r>
    </w:p>
    <w:p w14:paraId="1967BC61" w14:textId="77777777" w:rsidR="007C37DF" w:rsidRPr="00C972E7" w:rsidRDefault="007C37DF" w:rsidP="007C37DF">
      <w:pPr>
        <w:rPr>
          <w:rFonts w:cs="v4.2.0"/>
        </w:rPr>
      </w:pPr>
      <w:r w:rsidRPr="00C972E7">
        <w:t xml:space="preserve">The requirements in clause </w:t>
      </w:r>
      <w:r w:rsidRPr="00C972E7">
        <w:rPr>
          <w:lang w:val="en-US"/>
        </w:rPr>
        <w:t>4.2.2.3</w:t>
      </w:r>
      <w:r w:rsidRPr="00C972E7">
        <w:t xml:space="preserve"> shall apply</w:t>
      </w:r>
      <w:r w:rsidRPr="00C972E7">
        <w:rPr>
          <w:rFonts w:cs="v4.2.0"/>
        </w:rPr>
        <w:t xml:space="preserve"> when UE is not configured with eDRX_IDLE. When UE is configured with eDRX_IDLE, the requirements defined in section </w:t>
      </w:r>
      <w:r w:rsidRPr="00C972E7">
        <w:rPr>
          <w:lang w:val="en-US"/>
        </w:rPr>
        <w:t>4.2.2.3</w:t>
      </w:r>
      <w:r w:rsidRPr="00C972E7">
        <w:t xml:space="preserve"> </w:t>
      </w:r>
      <w:r w:rsidRPr="00C972E7">
        <w:rPr>
          <w:rFonts w:cs="v4.2.0"/>
        </w:rPr>
        <w:t xml:space="preserve">shall apply with </w:t>
      </w:r>
      <w:r w:rsidRPr="00C972E7">
        <w:t>T</w:t>
      </w:r>
      <w:r w:rsidRPr="00C972E7">
        <w:rPr>
          <w:vertAlign w:val="subscript"/>
        </w:rPr>
        <w:t>detect,NR_</w:t>
      </w:r>
      <w:r w:rsidRPr="00C972E7">
        <w:rPr>
          <w:rFonts w:cs="v4.2.0"/>
          <w:vertAlign w:val="subscript"/>
        </w:rPr>
        <w:t>Intra_RedCap,</w:t>
      </w:r>
      <w:r w:rsidRPr="00C972E7">
        <w:rPr>
          <w:rFonts w:cs="v4.2.0"/>
        </w:rPr>
        <w:t xml:space="preserve"> </w:t>
      </w:r>
      <w:r w:rsidRPr="00C972E7">
        <w:t>T</w:t>
      </w:r>
      <w:r w:rsidRPr="00C972E7">
        <w:rPr>
          <w:vertAlign w:val="subscript"/>
        </w:rPr>
        <w:t>measure,NR_</w:t>
      </w:r>
      <w:r w:rsidRPr="00C972E7">
        <w:rPr>
          <w:rFonts w:cs="v4.2.0"/>
          <w:vertAlign w:val="subscript"/>
        </w:rPr>
        <w:t>Intra_RedCap</w:t>
      </w:r>
      <w:r w:rsidRPr="00C972E7">
        <w:rPr>
          <w:rFonts w:cs="v4.2.0"/>
        </w:rPr>
        <w:t xml:space="preserve"> and </w:t>
      </w:r>
      <w:r w:rsidRPr="00C972E7">
        <w:t>T</w:t>
      </w:r>
      <w:r w:rsidRPr="00C972E7">
        <w:rPr>
          <w:vertAlign w:val="subscript"/>
        </w:rPr>
        <w:t>evaluate,NR_</w:t>
      </w:r>
      <w:r w:rsidRPr="00C972E7">
        <w:rPr>
          <w:rFonts w:cs="v4.2.0"/>
          <w:vertAlign w:val="subscript"/>
        </w:rPr>
        <w:t>Intra_RedCap</w:t>
      </w:r>
      <w:r w:rsidRPr="00C972E7">
        <w:rPr>
          <w:rFonts w:cs="v4.2.0"/>
        </w:rPr>
        <w:t xml:space="preserve"> defined in Table 5.1B.2.3-1 and Table 5.1B.2.3-2.</w:t>
      </w:r>
    </w:p>
    <w:p w14:paraId="3BB2903F" w14:textId="77777777" w:rsidR="007C37DF" w:rsidRPr="00C972E7" w:rsidRDefault="007C37DF" w:rsidP="007C37DF">
      <w:pPr>
        <w:pStyle w:val="TH"/>
      </w:pPr>
      <w:r w:rsidRPr="00C972E7">
        <w:rPr>
          <w:lang w:eastAsia="zh-CN"/>
        </w:rPr>
        <w:t>Table 5.1B.2.3-1: Tdetect, Tmeas and Tevaluate for inactive Redcap UE configured with eDRX_IDLE cycle, (Frequency range FR1)</w:t>
      </w:r>
    </w:p>
    <w:tbl>
      <w:tblPr>
        <w:tblW w:w="41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2"/>
        <w:gridCol w:w="1057"/>
        <w:gridCol w:w="1733"/>
        <w:gridCol w:w="1875"/>
        <w:gridCol w:w="1860"/>
      </w:tblGrid>
      <w:tr w:rsidR="007C37DF" w:rsidRPr="00C972E7" w14:paraId="3F5FED53" w14:textId="77777777" w:rsidTr="00162D0B">
        <w:trPr>
          <w:cantSplit/>
          <w:trHeight w:val="310"/>
          <w:jc w:val="center"/>
        </w:trPr>
        <w:tc>
          <w:tcPr>
            <w:tcW w:w="880" w:type="pct"/>
            <w:vMerge w:val="restart"/>
            <w:tcBorders>
              <w:top w:val="single" w:sz="4" w:space="0" w:color="auto"/>
              <w:left w:val="single" w:sz="4" w:space="0" w:color="auto"/>
              <w:right w:val="single" w:sz="4" w:space="0" w:color="auto"/>
            </w:tcBorders>
          </w:tcPr>
          <w:p w14:paraId="4C548928" w14:textId="77777777" w:rsidR="007C37DF" w:rsidRPr="00C972E7" w:rsidRDefault="007C37DF" w:rsidP="00162D0B">
            <w:pPr>
              <w:pStyle w:val="TAH"/>
            </w:pPr>
            <w:r w:rsidRPr="00C972E7">
              <w:rPr>
                <w:rFonts w:cs="v4.2.0"/>
              </w:rPr>
              <w:t>eDRX_IDLE cycle length [s]</w:t>
            </w:r>
          </w:p>
        </w:tc>
        <w:tc>
          <w:tcPr>
            <w:tcW w:w="668" w:type="pct"/>
            <w:vMerge w:val="restart"/>
            <w:tcBorders>
              <w:top w:val="single" w:sz="4" w:space="0" w:color="auto"/>
              <w:left w:val="single" w:sz="4" w:space="0" w:color="auto"/>
              <w:bottom w:val="single" w:sz="4" w:space="0" w:color="auto"/>
              <w:right w:val="single" w:sz="4" w:space="0" w:color="auto"/>
            </w:tcBorders>
            <w:hideMark/>
          </w:tcPr>
          <w:p w14:paraId="621E919B" w14:textId="77777777" w:rsidR="007C37DF" w:rsidRPr="00C972E7" w:rsidRDefault="007C37DF" w:rsidP="00162D0B">
            <w:pPr>
              <w:pStyle w:val="TAH"/>
            </w:pPr>
            <w:r w:rsidRPr="00C972E7">
              <w:t>DRX</w:t>
            </w:r>
            <w:r w:rsidRPr="00C972E7">
              <w:rPr>
                <w:rFonts w:cs="v4.2.0"/>
              </w:rPr>
              <w:t xml:space="preserve"> or eDRX</w:t>
            </w:r>
            <w:r w:rsidRPr="00C972E7">
              <w:t xml:space="preserve"> INACTIVE cycle length [s]</w:t>
            </w:r>
          </w:p>
        </w:tc>
        <w:tc>
          <w:tcPr>
            <w:tcW w:w="1094" w:type="pct"/>
            <w:vMerge w:val="restart"/>
            <w:tcBorders>
              <w:top w:val="single" w:sz="4" w:space="0" w:color="auto"/>
              <w:left w:val="single" w:sz="4" w:space="0" w:color="auto"/>
              <w:bottom w:val="single" w:sz="4" w:space="0" w:color="auto"/>
              <w:right w:val="single" w:sz="4" w:space="0" w:color="auto"/>
            </w:tcBorders>
            <w:hideMark/>
          </w:tcPr>
          <w:p w14:paraId="49C4CB7D" w14:textId="77777777" w:rsidR="007C37DF" w:rsidRPr="00C972E7" w:rsidRDefault="007C37DF" w:rsidP="00162D0B">
            <w:pPr>
              <w:pStyle w:val="TAH"/>
            </w:pPr>
            <w:r w:rsidRPr="00C972E7">
              <w:t>T</w:t>
            </w:r>
            <w:r w:rsidRPr="00C972E7">
              <w:rPr>
                <w:vertAlign w:val="subscript"/>
              </w:rPr>
              <w:t>detect,NR_</w:t>
            </w:r>
            <w:r w:rsidRPr="00C972E7">
              <w:rPr>
                <w:rFonts w:cs="v4.2.0"/>
                <w:vertAlign w:val="subscript"/>
              </w:rPr>
              <w:t>Intra_RedCap</w:t>
            </w:r>
            <w:r w:rsidRPr="00C972E7">
              <w:t xml:space="preserve"> [s] (number of DRX</w:t>
            </w:r>
            <w:r w:rsidRPr="00C972E7">
              <w:rPr>
                <w:rFonts w:cs="v4.2.0"/>
              </w:rPr>
              <w:t xml:space="preserve"> or eDRX</w:t>
            </w:r>
            <w:r w:rsidRPr="00C972E7">
              <w:t xml:space="preserve"> INACTIVE cycles)</w:t>
            </w:r>
          </w:p>
        </w:tc>
        <w:tc>
          <w:tcPr>
            <w:tcW w:w="1184" w:type="pct"/>
            <w:vMerge w:val="restart"/>
            <w:tcBorders>
              <w:top w:val="single" w:sz="4" w:space="0" w:color="auto"/>
              <w:left w:val="single" w:sz="4" w:space="0" w:color="auto"/>
              <w:bottom w:val="single" w:sz="4" w:space="0" w:color="auto"/>
              <w:right w:val="single" w:sz="4" w:space="0" w:color="auto"/>
            </w:tcBorders>
            <w:hideMark/>
          </w:tcPr>
          <w:p w14:paraId="1DBF4EA2" w14:textId="77777777" w:rsidR="007C37DF" w:rsidRPr="00C972E7" w:rsidRDefault="007C37DF" w:rsidP="00162D0B">
            <w:pPr>
              <w:pStyle w:val="TAH"/>
            </w:pPr>
            <w:r w:rsidRPr="00C972E7">
              <w:t>T</w:t>
            </w:r>
            <w:r w:rsidRPr="00C972E7">
              <w:rPr>
                <w:vertAlign w:val="subscript"/>
              </w:rPr>
              <w:t>measure,NR_</w:t>
            </w:r>
            <w:r w:rsidRPr="00C972E7">
              <w:rPr>
                <w:rFonts w:cs="v4.2.0"/>
                <w:vertAlign w:val="subscript"/>
              </w:rPr>
              <w:t>Intra_RedCap</w:t>
            </w:r>
            <w:r w:rsidRPr="00C972E7">
              <w:t xml:space="preserve"> [s] (number of DRX</w:t>
            </w:r>
            <w:r w:rsidRPr="00C972E7">
              <w:rPr>
                <w:rFonts w:cs="v4.2.0"/>
              </w:rPr>
              <w:t xml:space="preserve"> or eDRX</w:t>
            </w:r>
            <w:r w:rsidRPr="00C972E7">
              <w:t xml:space="preserve"> INACTIVE cycles)</w:t>
            </w:r>
          </w:p>
        </w:tc>
        <w:tc>
          <w:tcPr>
            <w:tcW w:w="1175" w:type="pct"/>
            <w:vMerge w:val="restart"/>
            <w:tcBorders>
              <w:top w:val="single" w:sz="4" w:space="0" w:color="auto"/>
              <w:left w:val="single" w:sz="4" w:space="0" w:color="auto"/>
              <w:bottom w:val="single" w:sz="4" w:space="0" w:color="auto"/>
              <w:right w:val="single" w:sz="4" w:space="0" w:color="auto"/>
            </w:tcBorders>
            <w:hideMark/>
          </w:tcPr>
          <w:p w14:paraId="4F38569F" w14:textId="77777777" w:rsidR="007C37DF" w:rsidRPr="00C972E7" w:rsidRDefault="007C37DF" w:rsidP="00162D0B">
            <w:pPr>
              <w:pStyle w:val="TAH"/>
            </w:pPr>
            <w:r w:rsidRPr="00C972E7">
              <w:t>T</w:t>
            </w:r>
            <w:r w:rsidRPr="00C972E7">
              <w:rPr>
                <w:vertAlign w:val="subscript"/>
              </w:rPr>
              <w:t>evaluate,NR_</w:t>
            </w:r>
            <w:r w:rsidRPr="00C972E7">
              <w:rPr>
                <w:rFonts w:cs="v4.2.0"/>
                <w:vertAlign w:val="subscript"/>
              </w:rPr>
              <w:t>Intra_RedCap</w:t>
            </w:r>
            <w:r w:rsidRPr="00C972E7">
              <w:rPr>
                <w:rFonts w:cs="Arial"/>
              </w:rPr>
              <w:t xml:space="preserve"> </w:t>
            </w:r>
            <w:r w:rsidRPr="00C972E7">
              <w:t xml:space="preserve">[s] (number of DRX </w:t>
            </w:r>
            <w:r w:rsidRPr="00C972E7">
              <w:rPr>
                <w:rFonts w:cs="v4.2.0"/>
              </w:rPr>
              <w:t xml:space="preserve">or </w:t>
            </w:r>
            <w:r w:rsidRPr="00C972E7">
              <w:t>INACTIVE</w:t>
            </w:r>
            <w:r w:rsidRPr="00C972E7">
              <w:rPr>
                <w:rFonts w:cs="v4.2.0"/>
              </w:rPr>
              <w:t xml:space="preserve"> eDRX</w:t>
            </w:r>
            <w:r w:rsidRPr="00C972E7">
              <w:t xml:space="preserve"> cycles)</w:t>
            </w:r>
          </w:p>
        </w:tc>
      </w:tr>
      <w:tr w:rsidR="007C37DF" w:rsidRPr="00C972E7" w14:paraId="797D6DD5" w14:textId="77777777" w:rsidTr="00162D0B">
        <w:trPr>
          <w:cantSplit/>
          <w:trHeight w:val="310"/>
          <w:jc w:val="center"/>
        </w:trPr>
        <w:tc>
          <w:tcPr>
            <w:tcW w:w="880" w:type="pct"/>
            <w:vMerge/>
            <w:tcBorders>
              <w:left w:val="single" w:sz="4" w:space="0" w:color="auto"/>
              <w:bottom w:val="single" w:sz="4" w:space="0" w:color="auto"/>
              <w:right w:val="single" w:sz="4" w:space="0" w:color="auto"/>
            </w:tcBorders>
          </w:tcPr>
          <w:p w14:paraId="5E2061A4" w14:textId="77777777" w:rsidR="007C37DF" w:rsidRPr="00C972E7" w:rsidRDefault="007C37DF" w:rsidP="00162D0B">
            <w:pPr>
              <w:pStyle w:val="TAH"/>
            </w:pPr>
          </w:p>
        </w:tc>
        <w:tc>
          <w:tcPr>
            <w:tcW w:w="668" w:type="pct"/>
            <w:vMerge/>
            <w:tcBorders>
              <w:top w:val="single" w:sz="4" w:space="0" w:color="auto"/>
              <w:left w:val="single" w:sz="4" w:space="0" w:color="auto"/>
              <w:bottom w:val="single" w:sz="4" w:space="0" w:color="auto"/>
              <w:right w:val="single" w:sz="4" w:space="0" w:color="auto"/>
            </w:tcBorders>
            <w:vAlign w:val="center"/>
            <w:hideMark/>
          </w:tcPr>
          <w:p w14:paraId="1B4EBE47" w14:textId="77777777" w:rsidR="007C37DF" w:rsidRPr="00C972E7" w:rsidRDefault="007C37DF" w:rsidP="00162D0B">
            <w:pPr>
              <w:pStyle w:val="TAH"/>
            </w:pPr>
          </w:p>
        </w:tc>
        <w:tc>
          <w:tcPr>
            <w:tcW w:w="1094" w:type="pct"/>
            <w:vMerge/>
            <w:tcBorders>
              <w:top w:val="single" w:sz="4" w:space="0" w:color="auto"/>
              <w:left w:val="single" w:sz="4" w:space="0" w:color="auto"/>
              <w:bottom w:val="single" w:sz="4" w:space="0" w:color="auto"/>
              <w:right w:val="single" w:sz="4" w:space="0" w:color="auto"/>
            </w:tcBorders>
            <w:vAlign w:val="center"/>
            <w:hideMark/>
          </w:tcPr>
          <w:p w14:paraId="36E65A46" w14:textId="77777777" w:rsidR="007C37DF" w:rsidRPr="00C972E7" w:rsidRDefault="007C37DF" w:rsidP="00162D0B">
            <w:pPr>
              <w:pStyle w:val="TAH"/>
            </w:pPr>
          </w:p>
        </w:tc>
        <w:tc>
          <w:tcPr>
            <w:tcW w:w="1184" w:type="pct"/>
            <w:vMerge/>
            <w:tcBorders>
              <w:top w:val="single" w:sz="4" w:space="0" w:color="auto"/>
              <w:left w:val="single" w:sz="4" w:space="0" w:color="auto"/>
              <w:bottom w:val="single" w:sz="4" w:space="0" w:color="auto"/>
              <w:right w:val="single" w:sz="4" w:space="0" w:color="auto"/>
            </w:tcBorders>
            <w:vAlign w:val="center"/>
            <w:hideMark/>
          </w:tcPr>
          <w:p w14:paraId="3E21F6E9" w14:textId="77777777" w:rsidR="007C37DF" w:rsidRPr="00C972E7" w:rsidRDefault="007C37DF" w:rsidP="00162D0B">
            <w:pPr>
              <w:pStyle w:val="TAH"/>
            </w:pPr>
          </w:p>
        </w:tc>
        <w:tc>
          <w:tcPr>
            <w:tcW w:w="1175" w:type="pct"/>
            <w:vMerge/>
            <w:tcBorders>
              <w:top w:val="single" w:sz="4" w:space="0" w:color="auto"/>
              <w:left w:val="single" w:sz="4" w:space="0" w:color="auto"/>
              <w:bottom w:val="single" w:sz="4" w:space="0" w:color="auto"/>
              <w:right w:val="single" w:sz="4" w:space="0" w:color="auto"/>
            </w:tcBorders>
            <w:vAlign w:val="center"/>
            <w:hideMark/>
          </w:tcPr>
          <w:p w14:paraId="380A2D6D" w14:textId="77777777" w:rsidR="007C37DF" w:rsidRPr="00C972E7" w:rsidRDefault="007C37DF" w:rsidP="00162D0B">
            <w:pPr>
              <w:pStyle w:val="TAH"/>
            </w:pPr>
          </w:p>
        </w:tc>
      </w:tr>
      <w:tr w:rsidR="007C37DF" w:rsidRPr="00C972E7" w14:paraId="6E990633" w14:textId="77777777" w:rsidTr="00162D0B">
        <w:trPr>
          <w:cantSplit/>
          <w:jc w:val="center"/>
        </w:trPr>
        <w:tc>
          <w:tcPr>
            <w:tcW w:w="880" w:type="pct"/>
            <w:vMerge w:val="restart"/>
            <w:tcBorders>
              <w:top w:val="single" w:sz="4" w:space="0" w:color="auto"/>
              <w:left w:val="single" w:sz="4" w:space="0" w:color="auto"/>
              <w:right w:val="single" w:sz="4" w:space="0" w:color="auto"/>
            </w:tcBorders>
          </w:tcPr>
          <w:p w14:paraId="5BEB9045" w14:textId="77777777" w:rsidR="007C37DF" w:rsidRPr="00C972E7" w:rsidRDefault="007C37DF" w:rsidP="00162D0B">
            <w:pPr>
              <w:pStyle w:val="TAC"/>
            </w:pPr>
            <w:r w:rsidRPr="00C972E7">
              <w:t>2.56 ≤eDRX_IDLE cycle length ≤ 10485.76</w:t>
            </w:r>
          </w:p>
          <w:p w14:paraId="770A85B3" w14:textId="77777777" w:rsidR="007C37DF" w:rsidRPr="00C972E7" w:rsidRDefault="007C37DF" w:rsidP="00162D0B">
            <w:pPr>
              <w:pStyle w:val="TAC"/>
            </w:pPr>
          </w:p>
        </w:tc>
        <w:tc>
          <w:tcPr>
            <w:tcW w:w="668" w:type="pct"/>
            <w:tcBorders>
              <w:top w:val="single" w:sz="4" w:space="0" w:color="auto"/>
              <w:left w:val="single" w:sz="4" w:space="0" w:color="auto"/>
              <w:bottom w:val="single" w:sz="4" w:space="0" w:color="auto"/>
              <w:right w:val="single" w:sz="4" w:space="0" w:color="auto"/>
            </w:tcBorders>
            <w:hideMark/>
          </w:tcPr>
          <w:p w14:paraId="69B80DAD" w14:textId="77777777" w:rsidR="007C37DF" w:rsidRPr="00C972E7" w:rsidRDefault="007C37DF" w:rsidP="00162D0B">
            <w:pPr>
              <w:pStyle w:val="TAC"/>
            </w:pPr>
            <w:r w:rsidRPr="00C972E7">
              <w:t>0.32</w:t>
            </w:r>
          </w:p>
        </w:tc>
        <w:tc>
          <w:tcPr>
            <w:tcW w:w="1094" w:type="pct"/>
            <w:tcBorders>
              <w:top w:val="single" w:sz="4" w:space="0" w:color="auto"/>
              <w:left w:val="single" w:sz="4" w:space="0" w:color="auto"/>
              <w:bottom w:val="single" w:sz="4" w:space="0" w:color="auto"/>
              <w:right w:val="single" w:sz="4" w:space="0" w:color="auto"/>
            </w:tcBorders>
            <w:hideMark/>
          </w:tcPr>
          <w:p w14:paraId="54F1842E" w14:textId="77777777" w:rsidR="007C37DF" w:rsidRPr="00C972E7" w:rsidRDefault="007C37DF" w:rsidP="00162D0B">
            <w:pPr>
              <w:pStyle w:val="TAC"/>
            </w:pPr>
            <w:r w:rsidRPr="00C972E7">
              <w:t xml:space="preserve">11.52 x </w:t>
            </w:r>
            <w:r w:rsidRPr="00C972E7">
              <w:rPr>
                <w:rFonts w:cs="Arial"/>
                <w:lang w:eastAsia="zh-CN"/>
              </w:rPr>
              <w:t xml:space="preserve">M2 </w:t>
            </w:r>
            <w:r w:rsidRPr="00C972E7">
              <w:t xml:space="preserve">(36 x </w:t>
            </w:r>
            <w:r w:rsidRPr="00C972E7">
              <w:rPr>
                <w:rFonts w:cs="Arial"/>
                <w:lang w:eastAsia="zh-CN"/>
              </w:rPr>
              <w:t>M2</w:t>
            </w:r>
            <w:r w:rsidRPr="00C972E7">
              <w:t>)</w:t>
            </w:r>
          </w:p>
        </w:tc>
        <w:tc>
          <w:tcPr>
            <w:tcW w:w="1184" w:type="pct"/>
            <w:tcBorders>
              <w:top w:val="single" w:sz="4" w:space="0" w:color="auto"/>
              <w:left w:val="single" w:sz="4" w:space="0" w:color="auto"/>
              <w:bottom w:val="single" w:sz="4" w:space="0" w:color="auto"/>
              <w:right w:val="single" w:sz="4" w:space="0" w:color="auto"/>
            </w:tcBorders>
            <w:hideMark/>
          </w:tcPr>
          <w:p w14:paraId="5068CCD9" w14:textId="77777777" w:rsidR="007C37DF" w:rsidRPr="00C972E7" w:rsidRDefault="007C37DF" w:rsidP="00162D0B">
            <w:pPr>
              <w:pStyle w:val="TAC"/>
            </w:pPr>
            <w:r w:rsidRPr="00C972E7">
              <w:t xml:space="preserve">1.28 x </w:t>
            </w:r>
            <w:r w:rsidRPr="00C972E7">
              <w:rPr>
                <w:rFonts w:cs="Arial"/>
                <w:lang w:eastAsia="zh-CN"/>
              </w:rPr>
              <w:t xml:space="preserve">M2 </w:t>
            </w:r>
            <w:r w:rsidRPr="00C972E7">
              <w:t xml:space="preserve">(4 x </w:t>
            </w:r>
            <w:r w:rsidRPr="00C972E7">
              <w:rPr>
                <w:rFonts w:cs="Arial"/>
                <w:lang w:eastAsia="zh-CN"/>
              </w:rPr>
              <w:t>M2</w:t>
            </w:r>
            <w:r w:rsidRPr="00C972E7">
              <w:t>)</w:t>
            </w:r>
          </w:p>
        </w:tc>
        <w:tc>
          <w:tcPr>
            <w:tcW w:w="1175" w:type="pct"/>
            <w:tcBorders>
              <w:top w:val="single" w:sz="4" w:space="0" w:color="auto"/>
              <w:left w:val="single" w:sz="4" w:space="0" w:color="auto"/>
              <w:bottom w:val="single" w:sz="4" w:space="0" w:color="auto"/>
              <w:right w:val="single" w:sz="4" w:space="0" w:color="auto"/>
            </w:tcBorders>
            <w:hideMark/>
          </w:tcPr>
          <w:p w14:paraId="5F878F80" w14:textId="77777777" w:rsidR="007C37DF" w:rsidRPr="00C972E7" w:rsidRDefault="007C37DF" w:rsidP="00162D0B">
            <w:pPr>
              <w:pStyle w:val="TAC"/>
            </w:pPr>
            <w:r w:rsidRPr="00C972E7">
              <w:t xml:space="preserve">5.12 x </w:t>
            </w:r>
            <w:r w:rsidRPr="00C972E7">
              <w:rPr>
                <w:rFonts w:cs="Arial"/>
                <w:lang w:eastAsia="zh-CN"/>
              </w:rPr>
              <w:t>M2</w:t>
            </w:r>
            <w:r w:rsidRPr="00C972E7">
              <w:t xml:space="preserve"> (16 x </w:t>
            </w:r>
            <w:r w:rsidRPr="00C972E7">
              <w:rPr>
                <w:rFonts w:cs="Arial"/>
                <w:lang w:eastAsia="zh-CN"/>
              </w:rPr>
              <w:t>M2</w:t>
            </w:r>
            <w:r w:rsidRPr="00C972E7">
              <w:t>)</w:t>
            </w:r>
          </w:p>
        </w:tc>
      </w:tr>
      <w:tr w:rsidR="007C37DF" w:rsidRPr="00C972E7" w14:paraId="6DDB41B5" w14:textId="77777777" w:rsidTr="00162D0B">
        <w:trPr>
          <w:cantSplit/>
          <w:jc w:val="center"/>
        </w:trPr>
        <w:tc>
          <w:tcPr>
            <w:tcW w:w="880" w:type="pct"/>
            <w:vMerge/>
            <w:tcBorders>
              <w:left w:val="single" w:sz="4" w:space="0" w:color="auto"/>
              <w:right w:val="single" w:sz="4" w:space="0" w:color="auto"/>
            </w:tcBorders>
          </w:tcPr>
          <w:p w14:paraId="7F8FD786" w14:textId="77777777" w:rsidR="007C37DF" w:rsidRPr="00C972E7" w:rsidRDefault="007C37DF" w:rsidP="00162D0B">
            <w:pPr>
              <w:pStyle w:val="TAC"/>
            </w:pPr>
          </w:p>
        </w:tc>
        <w:tc>
          <w:tcPr>
            <w:tcW w:w="668" w:type="pct"/>
            <w:tcBorders>
              <w:top w:val="single" w:sz="4" w:space="0" w:color="auto"/>
              <w:left w:val="single" w:sz="4" w:space="0" w:color="auto"/>
              <w:bottom w:val="single" w:sz="4" w:space="0" w:color="auto"/>
              <w:right w:val="single" w:sz="4" w:space="0" w:color="auto"/>
            </w:tcBorders>
            <w:hideMark/>
          </w:tcPr>
          <w:p w14:paraId="4C4C1967" w14:textId="77777777" w:rsidR="007C37DF" w:rsidRPr="00C972E7" w:rsidRDefault="007C37DF" w:rsidP="00162D0B">
            <w:pPr>
              <w:pStyle w:val="TAC"/>
            </w:pPr>
            <w:r w:rsidRPr="00C972E7">
              <w:t>0.64</w:t>
            </w:r>
          </w:p>
        </w:tc>
        <w:tc>
          <w:tcPr>
            <w:tcW w:w="1094" w:type="pct"/>
            <w:tcBorders>
              <w:top w:val="single" w:sz="4" w:space="0" w:color="auto"/>
              <w:left w:val="single" w:sz="4" w:space="0" w:color="auto"/>
              <w:bottom w:val="single" w:sz="4" w:space="0" w:color="auto"/>
              <w:right w:val="single" w:sz="4" w:space="0" w:color="auto"/>
            </w:tcBorders>
            <w:hideMark/>
          </w:tcPr>
          <w:p w14:paraId="1E7769A6" w14:textId="77777777" w:rsidR="007C37DF" w:rsidRPr="00C972E7" w:rsidRDefault="007C37DF" w:rsidP="00162D0B">
            <w:pPr>
              <w:pStyle w:val="TAC"/>
            </w:pPr>
            <w:r w:rsidRPr="00C972E7">
              <w:t>17.92 (28)</w:t>
            </w:r>
          </w:p>
        </w:tc>
        <w:tc>
          <w:tcPr>
            <w:tcW w:w="1184" w:type="pct"/>
            <w:tcBorders>
              <w:top w:val="single" w:sz="4" w:space="0" w:color="auto"/>
              <w:left w:val="single" w:sz="4" w:space="0" w:color="auto"/>
              <w:bottom w:val="single" w:sz="4" w:space="0" w:color="auto"/>
              <w:right w:val="single" w:sz="4" w:space="0" w:color="auto"/>
            </w:tcBorders>
            <w:hideMark/>
          </w:tcPr>
          <w:p w14:paraId="661CC7FD" w14:textId="77777777" w:rsidR="007C37DF" w:rsidRPr="00C972E7" w:rsidRDefault="007C37DF" w:rsidP="00162D0B">
            <w:pPr>
              <w:pStyle w:val="TAC"/>
            </w:pPr>
            <w:r w:rsidRPr="00C972E7">
              <w:t>1.28 (2)</w:t>
            </w:r>
          </w:p>
        </w:tc>
        <w:tc>
          <w:tcPr>
            <w:tcW w:w="1175" w:type="pct"/>
            <w:tcBorders>
              <w:top w:val="single" w:sz="4" w:space="0" w:color="auto"/>
              <w:left w:val="single" w:sz="4" w:space="0" w:color="auto"/>
              <w:bottom w:val="single" w:sz="4" w:space="0" w:color="auto"/>
              <w:right w:val="single" w:sz="4" w:space="0" w:color="auto"/>
            </w:tcBorders>
            <w:hideMark/>
          </w:tcPr>
          <w:p w14:paraId="79312812" w14:textId="77777777" w:rsidR="007C37DF" w:rsidRPr="00C972E7" w:rsidRDefault="007C37DF" w:rsidP="00162D0B">
            <w:pPr>
              <w:pStyle w:val="TAC"/>
            </w:pPr>
            <w:r w:rsidRPr="00C972E7">
              <w:t>5.12 (8)</w:t>
            </w:r>
          </w:p>
        </w:tc>
      </w:tr>
      <w:tr w:rsidR="007C37DF" w:rsidRPr="00C972E7" w14:paraId="2FD6CA89" w14:textId="77777777" w:rsidTr="00162D0B">
        <w:trPr>
          <w:cantSplit/>
          <w:jc w:val="center"/>
        </w:trPr>
        <w:tc>
          <w:tcPr>
            <w:tcW w:w="880" w:type="pct"/>
            <w:vMerge/>
            <w:tcBorders>
              <w:left w:val="single" w:sz="4" w:space="0" w:color="auto"/>
              <w:right w:val="single" w:sz="4" w:space="0" w:color="auto"/>
            </w:tcBorders>
          </w:tcPr>
          <w:p w14:paraId="0F74B0AC" w14:textId="77777777" w:rsidR="007C37DF" w:rsidRPr="00C972E7" w:rsidRDefault="007C37DF" w:rsidP="00162D0B">
            <w:pPr>
              <w:pStyle w:val="TAC"/>
            </w:pPr>
          </w:p>
        </w:tc>
        <w:tc>
          <w:tcPr>
            <w:tcW w:w="668" w:type="pct"/>
            <w:tcBorders>
              <w:top w:val="single" w:sz="4" w:space="0" w:color="auto"/>
              <w:left w:val="single" w:sz="4" w:space="0" w:color="auto"/>
              <w:bottom w:val="single" w:sz="4" w:space="0" w:color="auto"/>
              <w:right w:val="single" w:sz="4" w:space="0" w:color="auto"/>
            </w:tcBorders>
            <w:hideMark/>
          </w:tcPr>
          <w:p w14:paraId="0AAA69F7" w14:textId="77777777" w:rsidR="007C37DF" w:rsidRPr="00C972E7" w:rsidRDefault="007C37DF" w:rsidP="00162D0B">
            <w:pPr>
              <w:pStyle w:val="TAC"/>
            </w:pPr>
            <w:r w:rsidRPr="00C972E7">
              <w:t>1.28</w:t>
            </w:r>
          </w:p>
        </w:tc>
        <w:tc>
          <w:tcPr>
            <w:tcW w:w="1094" w:type="pct"/>
            <w:tcBorders>
              <w:top w:val="single" w:sz="4" w:space="0" w:color="auto"/>
              <w:left w:val="single" w:sz="4" w:space="0" w:color="auto"/>
              <w:bottom w:val="single" w:sz="4" w:space="0" w:color="auto"/>
              <w:right w:val="single" w:sz="4" w:space="0" w:color="auto"/>
            </w:tcBorders>
            <w:hideMark/>
          </w:tcPr>
          <w:p w14:paraId="46AFD40A" w14:textId="77777777" w:rsidR="007C37DF" w:rsidRPr="00C972E7" w:rsidRDefault="007C37DF" w:rsidP="00162D0B">
            <w:pPr>
              <w:pStyle w:val="TAC"/>
            </w:pPr>
            <w:r w:rsidRPr="00C972E7">
              <w:t>32 (25)</w:t>
            </w:r>
          </w:p>
        </w:tc>
        <w:tc>
          <w:tcPr>
            <w:tcW w:w="1184" w:type="pct"/>
            <w:tcBorders>
              <w:top w:val="single" w:sz="4" w:space="0" w:color="auto"/>
              <w:left w:val="single" w:sz="4" w:space="0" w:color="auto"/>
              <w:bottom w:val="single" w:sz="4" w:space="0" w:color="auto"/>
              <w:right w:val="single" w:sz="4" w:space="0" w:color="auto"/>
            </w:tcBorders>
            <w:hideMark/>
          </w:tcPr>
          <w:p w14:paraId="62665D05" w14:textId="77777777" w:rsidR="007C37DF" w:rsidRPr="00C972E7" w:rsidRDefault="007C37DF" w:rsidP="00162D0B">
            <w:pPr>
              <w:pStyle w:val="TAC"/>
            </w:pPr>
            <w:r w:rsidRPr="00C972E7">
              <w:t>1.28 (1)</w:t>
            </w:r>
          </w:p>
        </w:tc>
        <w:tc>
          <w:tcPr>
            <w:tcW w:w="1175" w:type="pct"/>
            <w:tcBorders>
              <w:top w:val="single" w:sz="4" w:space="0" w:color="auto"/>
              <w:left w:val="single" w:sz="4" w:space="0" w:color="auto"/>
              <w:bottom w:val="single" w:sz="4" w:space="0" w:color="auto"/>
              <w:right w:val="single" w:sz="4" w:space="0" w:color="auto"/>
            </w:tcBorders>
            <w:hideMark/>
          </w:tcPr>
          <w:p w14:paraId="0C0B7D69" w14:textId="77777777" w:rsidR="007C37DF" w:rsidRPr="00C972E7" w:rsidRDefault="007C37DF" w:rsidP="00162D0B">
            <w:pPr>
              <w:pStyle w:val="TAC"/>
            </w:pPr>
            <w:r w:rsidRPr="00C972E7">
              <w:t>6.4 (5)</w:t>
            </w:r>
          </w:p>
        </w:tc>
      </w:tr>
      <w:tr w:rsidR="007C37DF" w:rsidRPr="00C972E7" w14:paraId="432D42BC" w14:textId="77777777" w:rsidTr="00162D0B">
        <w:trPr>
          <w:cantSplit/>
          <w:jc w:val="center"/>
        </w:trPr>
        <w:tc>
          <w:tcPr>
            <w:tcW w:w="880" w:type="pct"/>
            <w:vMerge/>
            <w:tcBorders>
              <w:left w:val="single" w:sz="4" w:space="0" w:color="auto"/>
              <w:right w:val="single" w:sz="4" w:space="0" w:color="auto"/>
            </w:tcBorders>
          </w:tcPr>
          <w:p w14:paraId="5E24B5BF" w14:textId="77777777" w:rsidR="007C37DF" w:rsidRPr="00C972E7" w:rsidRDefault="007C37DF" w:rsidP="00162D0B">
            <w:pPr>
              <w:pStyle w:val="TAC"/>
            </w:pPr>
          </w:p>
        </w:tc>
        <w:tc>
          <w:tcPr>
            <w:tcW w:w="668" w:type="pct"/>
            <w:tcBorders>
              <w:top w:val="single" w:sz="4" w:space="0" w:color="auto"/>
              <w:left w:val="single" w:sz="4" w:space="0" w:color="auto"/>
              <w:bottom w:val="single" w:sz="4" w:space="0" w:color="auto"/>
              <w:right w:val="single" w:sz="4" w:space="0" w:color="auto"/>
            </w:tcBorders>
            <w:hideMark/>
          </w:tcPr>
          <w:p w14:paraId="415D4145" w14:textId="77777777" w:rsidR="007C37DF" w:rsidRPr="00C972E7" w:rsidRDefault="007C37DF" w:rsidP="00162D0B">
            <w:pPr>
              <w:pStyle w:val="TAC"/>
            </w:pPr>
            <w:r w:rsidRPr="00C972E7">
              <w:t>2.56</w:t>
            </w:r>
          </w:p>
        </w:tc>
        <w:tc>
          <w:tcPr>
            <w:tcW w:w="1094" w:type="pct"/>
            <w:tcBorders>
              <w:top w:val="single" w:sz="4" w:space="0" w:color="auto"/>
              <w:left w:val="single" w:sz="4" w:space="0" w:color="auto"/>
              <w:bottom w:val="single" w:sz="4" w:space="0" w:color="auto"/>
              <w:right w:val="single" w:sz="4" w:space="0" w:color="auto"/>
            </w:tcBorders>
            <w:hideMark/>
          </w:tcPr>
          <w:p w14:paraId="319DC896" w14:textId="77777777" w:rsidR="007C37DF" w:rsidRPr="00C972E7" w:rsidRDefault="007C37DF" w:rsidP="00162D0B">
            <w:pPr>
              <w:pStyle w:val="TAC"/>
            </w:pPr>
            <w:r w:rsidRPr="00C972E7">
              <w:t>58.88 (23)</w:t>
            </w:r>
          </w:p>
        </w:tc>
        <w:tc>
          <w:tcPr>
            <w:tcW w:w="1184" w:type="pct"/>
            <w:tcBorders>
              <w:top w:val="single" w:sz="4" w:space="0" w:color="auto"/>
              <w:left w:val="single" w:sz="4" w:space="0" w:color="auto"/>
              <w:bottom w:val="single" w:sz="4" w:space="0" w:color="auto"/>
              <w:right w:val="single" w:sz="4" w:space="0" w:color="auto"/>
            </w:tcBorders>
            <w:hideMark/>
          </w:tcPr>
          <w:p w14:paraId="0D24F823" w14:textId="77777777" w:rsidR="007C37DF" w:rsidRPr="00C972E7" w:rsidRDefault="007C37DF" w:rsidP="00162D0B">
            <w:pPr>
              <w:pStyle w:val="TAC"/>
            </w:pPr>
            <w:r w:rsidRPr="00C972E7">
              <w:t>2.56 (1)</w:t>
            </w:r>
          </w:p>
        </w:tc>
        <w:tc>
          <w:tcPr>
            <w:tcW w:w="1175" w:type="pct"/>
            <w:tcBorders>
              <w:top w:val="single" w:sz="4" w:space="0" w:color="auto"/>
              <w:left w:val="single" w:sz="4" w:space="0" w:color="auto"/>
              <w:bottom w:val="single" w:sz="4" w:space="0" w:color="auto"/>
              <w:right w:val="single" w:sz="4" w:space="0" w:color="auto"/>
            </w:tcBorders>
            <w:hideMark/>
          </w:tcPr>
          <w:p w14:paraId="5E5021CB" w14:textId="77777777" w:rsidR="007C37DF" w:rsidRPr="00C972E7" w:rsidRDefault="007C37DF" w:rsidP="00162D0B">
            <w:pPr>
              <w:pStyle w:val="TAC"/>
            </w:pPr>
            <w:r w:rsidRPr="00C972E7">
              <w:t>7.68 (3)</w:t>
            </w:r>
          </w:p>
        </w:tc>
      </w:tr>
      <w:tr w:rsidR="007C37DF" w:rsidRPr="00C972E7" w14:paraId="73FF9CDA" w14:textId="77777777" w:rsidTr="00162D0B">
        <w:trPr>
          <w:cantSplit/>
          <w:jc w:val="center"/>
        </w:trPr>
        <w:tc>
          <w:tcPr>
            <w:tcW w:w="880" w:type="pct"/>
            <w:vMerge/>
            <w:tcBorders>
              <w:left w:val="single" w:sz="4" w:space="0" w:color="auto"/>
              <w:right w:val="single" w:sz="4" w:space="0" w:color="auto"/>
            </w:tcBorders>
          </w:tcPr>
          <w:p w14:paraId="3A6605E8" w14:textId="77777777" w:rsidR="007C37DF" w:rsidRPr="00C972E7" w:rsidRDefault="007C37DF" w:rsidP="00162D0B">
            <w:pPr>
              <w:pStyle w:val="TAC"/>
            </w:pPr>
          </w:p>
        </w:tc>
        <w:tc>
          <w:tcPr>
            <w:tcW w:w="668" w:type="pct"/>
            <w:tcBorders>
              <w:top w:val="single" w:sz="4" w:space="0" w:color="auto"/>
              <w:left w:val="single" w:sz="4" w:space="0" w:color="auto"/>
              <w:bottom w:val="single" w:sz="4" w:space="0" w:color="auto"/>
              <w:right w:val="single" w:sz="4" w:space="0" w:color="auto"/>
            </w:tcBorders>
          </w:tcPr>
          <w:p w14:paraId="76FD666D" w14:textId="77777777" w:rsidR="007C37DF" w:rsidRPr="00C972E7" w:rsidRDefault="007C37DF" w:rsidP="00162D0B">
            <w:pPr>
              <w:pStyle w:val="TAC"/>
              <w:rPr>
                <w:lang w:eastAsia="zh-CN"/>
              </w:rPr>
            </w:pPr>
            <w:r w:rsidRPr="00C972E7">
              <w:rPr>
                <w:rFonts w:hint="eastAsia"/>
                <w:lang w:eastAsia="zh-CN"/>
              </w:rPr>
              <w:t>5</w:t>
            </w:r>
            <w:r w:rsidRPr="00C972E7">
              <w:rPr>
                <w:lang w:eastAsia="zh-CN"/>
              </w:rPr>
              <w:t>.12</w:t>
            </w:r>
          </w:p>
        </w:tc>
        <w:tc>
          <w:tcPr>
            <w:tcW w:w="1094" w:type="pct"/>
            <w:tcBorders>
              <w:top w:val="single" w:sz="4" w:space="0" w:color="auto"/>
              <w:left w:val="single" w:sz="4" w:space="0" w:color="auto"/>
              <w:bottom w:val="single" w:sz="4" w:space="0" w:color="auto"/>
              <w:right w:val="single" w:sz="4" w:space="0" w:color="auto"/>
            </w:tcBorders>
          </w:tcPr>
          <w:p w14:paraId="724F58EF" w14:textId="77777777" w:rsidR="007C37DF" w:rsidRPr="00C972E7" w:rsidRDefault="007C37DF" w:rsidP="00162D0B">
            <w:pPr>
              <w:pStyle w:val="TAC"/>
            </w:pPr>
            <w:r w:rsidRPr="00C972E7">
              <w:rPr>
                <w:lang w:eastAsia="zh-CN"/>
              </w:rPr>
              <w:t>117.76</w:t>
            </w:r>
            <w:r w:rsidRPr="00C972E7">
              <w:t xml:space="preserve"> (23)</w:t>
            </w:r>
          </w:p>
        </w:tc>
        <w:tc>
          <w:tcPr>
            <w:tcW w:w="1184" w:type="pct"/>
            <w:tcBorders>
              <w:top w:val="single" w:sz="4" w:space="0" w:color="auto"/>
              <w:left w:val="single" w:sz="4" w:space="0" w:color="auto"/>
              <w:bottom w:val="single" w:sz="4" w:space="0" w:color="auto"/>
              <w:right w:val="single" w:sz="4" w:space="0" w:color="auto"/>
            </w:tcBorders>
          </w:tcPr>
          <w:p w14:paraId="6913B40B" w14:textId="77777777" w:rsidR="007C37DF" w:rsidRPr="00C972E7" w:rsidRDefault="007C37DF" w:rsidP="00162D0B">
            <w:pPr>
              <w:pStyle w:val="TAC"/>
            </w:pPr>
            <w:r w:rsidRPr="00C972E7">
              <w:t>5.12 (1)</w:t>
            </w:r>
          </w:p>
        </w:tc>
        <w:tc>
          <w:tcPr>
            <w:tcW w:w="1175" w:type="pct"/>
            <w:tcBorders>
              <w:top w:val="single" w:sz="4" w:space="0" w:color="auto"/>
              <w:left w:val="single" w:sz="4" w:space="0" w:color="auto"/>
              <w:bottom w:val="single" w:sz="4" w:space="0" w:color="auto"/>
              <w:right w:val="single" w:sz="4" w:space="0" w:color="auto"/>
            </w:tcBorders>
          </w:tcPr>
          <w:p w14:paraId="33EF0781" w14:textId="77777777" w:rsidR="007C37DF" w:rsidRPr="00C972E7" w:rsidRDefault="007C37DF" w:rsidP="00162D0B">
            <w:pPr>
              <w:pStyle w:val="TAC"/>
            </w:pPr>
            <w:r w:rsidRPr="00C972E7">
              <w:t>15.36 (3)</w:t>
            </w:r>
          </w:p>
        </w:tc>
      </w:tr>
      <w:tr w:rsidR="007C37DF" w:rsidRPr="00C972E7" w14:paraId="1DA1269A" w14:textId="77777777" w:rsidTr="00162D0B">
        <w:trPr>
          <w:cantSplit/>
          <w:jc w:val="center"/>
        </w:trPr>
        <w:tc>
          <w:tcPr>
            <w:tcW w:w="880" w:type="pct"/>
            <w:vMerge/>
            <w:tcBorders>
              <w:left w:val="single" w:sz="4" w:space="0" w:color="auto"/>
              <w:right w:val="single" w:sz="4" w:space="0" w:color="auto"/>
            </w:tcBorders>
          </w:tcPr>
          <w:p w14:paraId="303151DB" w14:textId="77777777" w:rsidR="007C37DF" w:rsidRPr="00C972E7" w:rsidRDefault="007C37DF" w:rsidP="00162D0B">
            <w:pPr>
              <w:pStyle w:val="TAC"/>
            </w:pPr>
          </w:p>
        </w:tc>
        <w:tc>
          <w:tcPr>
            <w:tcW w:w="668" w:type="pct"/>
            <w:tcBorders>
              <w:top w:val="single" w:sz="4" w:space="0" w:color="auto"/>
              <w:left w:val="single" w:sz="4" w:space="0" w:color="auto"/>
              <w:bottom w:val="single" w:sz="4" w:space="0" w:color="auto"/>
              <w:right w:val="single" w:sz="4" w:space="0" w:color="auto"/>
            </w:tcBorders>
          </w:tcPr>
          <w:p w14:paraId="6F1DFF5E" w14:textId="77777777" w:rsidR="007C37DF" w:rsidRPr="00C972E7" w:rsidRDefault="007C37DF" w:rsidP="00162D0B">
            <w:pPr>
              <w:pStyle w:val="TAC"/>
              <w:rPr>
                <w:lang w:eastAsia="zh-CN"/>
              </w:rPr>
            </w:pPr>
            <w:r w:rsidRPr="00C972E7">
              <w:rPr>
                <w:rFonts w:hint="eastAsia"/>
                <w:lang w:eastAsia="zh-CN"/>
              </w:rPr>
              <w:t>1</w:t>
            </w:r>
            <w:r w:rsidRPr="00C972E7">
              <w:rPr>
                <w:lang w:eastAsia="zh-CN"/>
              </w:rPr>
              <w:t>0.24</w:t>
            </w:r>
          </w:p>
        </w:tc>
        <w:tc>
          <w:tcPr>
            <w:tcW w:w="1094" w:type="pct"/>
            <w:tcBorders>
              <w:top w:val="single" w:sz="4" w:space="0" w:color="auto"/>
              <w:left w:val="single" w:sz="4" w:space="0" w:color="auto"/>
              <w:bottom w:val="single" w:sz="4" w:space="0" w:color="auto"/>
              <w:right w:val="single" w:sz="4" w:space="0" w:color="auto"/>
            </w:tcBorders>
          </w:tcPr>
          <w:p w14:paraId="6CDABDEB" w14:textId="77777777" w:rsidR="007C37DF" w:rsidRPr="00C972E7" w:rsidRDefault="007C37DF" w:rsidP="00162D0B">
            <w:pPr>
              <w:pStyle w:val="TAC"/>
            </w:pPr>
            <w:r w:rsidRPr="00C972E7">
              <w:rPr>
                <w:lang w:eastAsia="zh-CN"/>
              </w:rPr>
              <w:t>235.52</w:t>
            </w:r>
            <w:r w:rsidRPr="00C972E7">
              <w:t xml:space="preserve"> (23)</w:t>
            </w:r>
          </w:p>
        </w:tc>
        <w:tc>
          <w:tcPr>
            <w:tcW w:w="1184" w:type="pct"/>
            <w:tcBorders>
              <w:top w:val="single" w:sz="4" w:space="0" w:color="auto"/>
              <w:left w:val="single" w:sz="4" w:space="0" w:color="auto"/>
              <w:bottom w:val="single" w:sz="4" w:space="0" w:color="auto"/>
              <w:right w:val="single" w:sz="4" w:space="0" w:color="auto"/>
            </w:tcBorders>
          </w:tcPr>
          <w:p w14:paraId="1EB4DB7B" w14:textId="77777777" w:rsidR="007C37DF" w:rsidRPr="00C972E7" w:rsidRDefault="007C37DF" w:rsidP="00162D0B">
            <w:pPr>
              <w:pStyle w:val="TAC"/>
            </w:pPr>
            <w:r w:rsidRPr="00C972E7">
              <w:t>10.24 (1)</w:t>
            </w:r>
          </w:p>
        </w:tc>
        <w:tc>
          <w:tcPr>
            <w:tcW w:w="1175" w:type="pct"/>
            <w:tcBorders>
              <w:top w:val="single" w:sz="4" w:space="0" w:color="auto"/>
              <w:left w:val="single" w:sz="4" w:space="0" w:color="auto"/>
              <w:bottom w:val="single" w:sz="4" w:space="0" w:color="auto"/>
              <w:right w:val="single" w:sz="4" w:space="0" w:color="auto"/>
            </w:tcBorders>
          </w:tcPr>
          <w:p w14:paraId="1B54C1F2" w14:textId="77777777" w:rsidR="007C37DF" w:rsidRPr="00C972E7" w:rsidRDefault="007C37DF" w:rsidP="00162D0B">
            <w:pPr>
              <w:pStyle w:val="TAC"/>
            </w:pPr>
            <w:r w:rsidRPr="00C972E7">
              <w:t>30.72 (3)</w:t>
            </w:r>
          </w:p>
        </w:tc>
      </w:tr>
      <w:tr w:rsidR="007C37DF" w:rsidRPr="00C972E7" w14:paraId="5CCDE6D2" w14:textId="77777777" w:rsidTr="00162D0B">
        <w:trPr>
          <w:cantSplit/>
          <w:jc w:val="center"/>
        </w:trPr>
        <w:tc>
          <w:tcPr>
            <w:tcW w:w="5000" w:type="pct"/>
            <w:gridSpan w:val="5"/>
            <w:tcBorders>
              <w:left w:val="single" w:sz="4" w:space="0" w:color="auto"/>
              <w:right w:val="single" w:sz="4" w:space="0" w:color="auto"/>
            </w:tcBorders>
          </w:tcPr>
          <w:p w14:paraId="4A529293" w14:textId="77777777" w:rsidR="007C37DF" w:rsidRPr="00C972E7" w:rsidRDefault="007C37DF" w:rsidP="00162D0B">
            <w:pPr>
              <w:pStyle w:val="TAC"/>
              <w:jc w:val="left"/>
              <w:rPr>
                <w:snapToGrid w:val="0"/>
                <w:lang w:eastAsia="zh-CN"/>
              </w:rPr>
            </w:pPr>
            <w:r w:rsidRPr="00C972E7">
              <w:rPr>
                <w:snapToGrid w:val="0"/>
                <w:lang w:eastAsia="zh-CN"/>
              </w:rPr>
              <w:t>Note1: M2 = 1.5 if SMTC periodicity</w:t>
            </w:r>
            <w:r w:rsidRPr="00C972E7">
              <w:t xml:space="preserve"> </w:t>
            </w:r>
            <w:r w:rsidRPr="00C972E7">
              <w:rPr>
                <w:snapToGrid w:val="0"/>
                <w:lang w:eastAsia="zh-CN"/>
              </w:rPr>
              <w:t>of measured intra-frequency cell &gt; 20 ms; otherwise M2=1.</w:t>
            </w:r>
          </w:p>
        </w:tc>
      </w:tr>
    </w:tbl>
    <w:p w14:paraId="621CE2D3" w14:textId="77777777" w:rsidR="007C37DF" w:rsidRPr="00C972E7" w:rsidRDefault="007C37DF" w:rsidP="007C37DF">
      <w:pPr>
        <w:rPr>
          <w:rFonts w:cs="v4.2.0"/>
        </w:rPr>
      </w:pPr>
    </w:p>
    <w:p w14:paraId="09369F02" w14:textId="77777777" w:rsidR="007C37DF" w:rsidRPr="00C972E7" w:rsidRDefault="007C37DF" w:rsidP="007C37DF">
      <w:pPr>
        <w:pStyle w:val="TH"/>
      </w:pPr>
      <w:r w:rsidRPr="00C972E7">
        <w:rPr>
          <w:lang w:eastAsia="zh-CN"/>
        </w:rPr>
        <w:t>Table 5.1B.2.3-2: Tdetect, Tmeas and Tevaluate for inactive Redcap UE configured with eDRX_IDLE cycle, (Frequency range FR2)</w:t>
      </w:r>
    </w:p>
    <w:tbl>
      <w:tblPr>
        <w:tblW w:w="45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175"/>
        <w:gridCol w:w="857"/>
        <w:gridCol w:w="1733"/>
        <w:gridCol w:w="1874"/>
        <w:gridCol w:w="1860"/>
      </w:tblGrid>
      <w:tr w:rsidR="007C37DF" w:rsidRPr="00C972E7" w14:paraId="3365B5AF" w14:textId="77777777" w:rsidTr="00162D0B">
        <w:trPr>
          <w:cantSplit/>
          <w:trHeight w:val="310"/>
          <w:jc w:val="center"/>
        </w:trPr>
        <w:tc>
          <w:tcPr>
            <w:tcW w:w="792" w:type="pct"/>
            <w:vMerge w:val="restart"/>
            <w:tcBorders>
              <w:top w:val="single" w:sz="4" w:space="0" w:color="auto"/>
              <w:left w:val="single" w:sz="4" w:space="0" w:color="auto"/>
              <w:right w:val="single" w:sz="4" w:space="0" w:color="auto"/>
            </w:tcBorders>
          </w:tcPr>
          <w:p w14:paraId="0F7EC7DA" w14:textId="77777777" w:rsidR="007C37DF" w:rsidRPr="00C972E7" w:rsidRDefault="007C37DF" w:rsidP="00162D0B">
            <w:pPr>
              <w:pStyle w:val="TAH"/>
            </w:pPr>
            <w:r w:rsidRPr="00C972E7">
              <w:rPr>
                <w:rFonts w:cs="v4.2.0"/>
              </w:rPr>
              <w:t>eDRX_IDLE cycle length [s]</w:t>
            </w:r>
          </w:p>
        </w:tc>
        <w:tc>
          <w:tcPr>
            <w:tcW w:w="613" w:type="pct"/>
            <w:vMerge w:val="restart"/>
            <w:tcBorders>
              <w:top w:val="single" w:sz="4" w:space="0" w:color="auto"/>
              <w:left w:val="single" w:sz="4" w:space="0" w:color="auto"/>
              <w:bottom w:val="single" w:sz="4" w:space="0" w:color="auto"/>
              <w:right w:val="single" w:sz="4" w:space="0" w:color="auto"/>
            </w:tcBorders>
            <w:hideMark/>
          </w:tcPr>
          <w:p w14:paraId="0DC5AB8C" w14:textId="77777777" w:rsidR="007C37DF" w:rsidRPr="00C972E7" w:rsidRDefault="007C37DF" w:rsidP="00162D0B">
            <w:pPr>
              <w:pStyle w:val="TAH"/>
            </w:pPr>
            <w:r w:rsidRPr="00C972E7">
              <w:t>DRX</w:t>
            </w:r>
            <w:r w:rsidRPr="00C972E7">
              <w:rPr>
                <w:rFonts w:cs="v4.2.0"/>
              </w:rPr>
              <w:t xml:space="preserve"> or eDRX</w:t>
            </w:r>
            <w:r w:rsidRPr="00C972E7">
              <w:t xml:space="preserve"> INACTIVE cycle length [s]</w:t>
            </w:r>
          </w:p>
        </w:tc>
        <w:tc>
          <w:tcPr>
            <w:tcW w:w="487" w:type="pct"/>
            <w:vMerge w:val="restart"/>
            <w:tcBorders>
              <w:top w:val="single" w:sz="4" w:space="0" w:color="auto"/>
              <w:left w:val="single" w:sz="4" w:space="0" w:color="auto"/>
              <w:right w:val="single" w:sz="4" w:space="0" w:color="auto"/>
            </w:tcBorders>
          </w:tcPr>
          <w:p w14:paraId="7352D9EC" w14:textId="77777777" w:rsidR="007C37DF" w:rsidRPr="00C972E7" w:rsidRDefault="007C37DF" w:rsidP="00162D0B">
            <w:pPr>
              <w:pStyle w:val="TAH"/>
            </w:pPr>
            <w:r w:rsidRPr="00C972E7">
              <w:t>Scaling Factor (N1)</w:t>
            </w:r>
          </w:p>
        </w:tc>
        <w:tc>
          <w:tcPr>
            <w:tcW w:w="985" w:type="pct"/>
            <w:vMerge w:val="restart"/>
            <w:tcBorders>
              <w:top w:val="single" w:sz="4" w:space="0" w:color="auto"/>
              <w:left w:val="single" w:sz="4" w:space="0" w:color="auto"/>
              <w:bottom w:val="single" w:sz="4" w:space="0" w:color="auto"/>
              <w:right w:val="single" w:sz="4" w:space="0" w:color="auto"/>
            </w:tcBorders>
            <w:hideMark/>
          </w:tcPr>
          <w:p w14:paraId="4C7F1830" w14:textId="77777777" w:rsidR="007C37DF" w:rsidRPr="00C972E7" w:rsidRDefault="007C37DF" w:rsidP="00162D0B">
            <w:pPr>
              <w:pStyle w:val="TAH"/>
            </w:pPr>
            <w:r w:rsidRPr="00C972E7">
              <w:t>T</w:t>
            </w:r>
            <w:r w:rsidRPr="00C972E7">
              <w:rPr>
                <w:vertAlign w:val="subscript"/>
              </w:rPr>
              <w:t>detect,NR_</w:t>
            </w:r>
            <w:r w:rsidRPr="00C972E7">
              <w:rPr>
                <w:rFonts w:cs="v4.2.0"/>
                <w:vertAlign w:val="subscript"/>
              </w:rPr>
              <w:t>Intra_RedCap</w:t>
            </w:r>
            <w:r w:rsidRPr="00C972E7">
              <w:t xml:space="preserve"> [s] (number of DRX</w:t>
            </w:r>
            <w:r w:rsidRPr="00C972E7">
              <w:rPr>
                <w:rFonts w:cs="v4.2.0"/>
              </w:rPr>
              <w:t xml:space="preserve"> or eDRX</w:t>
            </w:r>
            <w:r w:rsidRPr="00C972E7">
              <w:t xml:space="preserve"> INACTIVE cycles)</w:t>
            </w:r>
          </w:p>
        </w:tc>
        <w:tc>
          <w:tcPr>
            <w:tcW w:w="1065" w:type="pct"/>
            <w:vMerge w:val="restart"/>
            <w:tcBorders>
              <w:top w:val="single" w:sz="4" w:space="0" w:color="auto"/>
              <w:left w:val="single" w:sz="4" w:space="0" w:color="auto"/>
              <w:bottom w:val="single" w:sz="4" w:space="0" w:color="auto"/>
              <w:right w:val="single" w:sz="4" w:space="0" w:color="auto"/>
            </w:tcBorders>
            <w:hideMark/>
          </w:tcPr>
          <w:p w14:paraId="42CFC12E" w14:textId="77777777" w:rsidR="007C37DF" w:rsidRPr="00C972E7" w:rsidRDefault="007C37DF" w:rsidP="00162D0B">
            <w:pPr>
              <w:pStyle w:val="TAH"/>
            </w:pPr>
            <w:r w:rsidRPr="00C972E7">
              <w:t>T</w:t>
            </w:r>
            <w:r w:rsidRPr="00C972E7">
              <w:rPr>
                <w:vertAlign w:val="subscript"/>
              </w:rPr>
              <w:t>measure,NR_</w:t>
            </w:r>
            <w:r w:rsidRPr="00C972E7">
              <w:rPr>
                <w:rFonts w:cs="v4.2.0"/>
                <w:vertAlign w:val="subscript"/>
              </w:rPr>
              <w:t>Intra_RedCap</w:t>
            </w:r>
            <w:r w:rsidRPr="00C972E7">
              <w:t xml:space="preserve"> [s] (number of DRX</w:t>
            </w:r>
            <w:r w:rsidRPr="00C972E7">
              <w:rPr>
                <w:rFonts w:cs="v4.2.0"/>
              </w:rPr>
              <w:t xml:space="preserve"> or eDRX</w:t>
            </w:r>
            <w:r w:rsidRPr="00C972E7">
              <w:t xml:space="preserve"> INACTIVE cycles)</w:t>
            </w:r>
          </w:p>
        </w:tc>
        <w:tc>
          <w:tcPr>
            <w:tcW w:w="1057" w:type="pct"/>
            <w:vMerge w:val="restart"/>
            <w:tcBorders>
              <w:top w:val="single" w:sz="4" w:space="0" w:color="auto"/>
              <w:left w:val="single" w:sz="4" w:space="0" w:color="auto"/>
              <w:bottom w:val="single" w:sz="4" w:space="0" w:color="auto"/>
              <w:right w:val="single" w:sz="4" w:space="0" w:color="auto"/>
            </w:tcBorders>
            <w:hideMark/>
          </w:tcPr>
          <w:p w14:paraId="3732D016" w14:textId="77777777" w:rsidR="007C37DF" w:rsidRPr="00C972E7" w:rsidRDefault="007C37DF" w:rsidP="00162D0B">
            <w:pPr>
              <w:pStyle w:val="TAH"/>
            </w:pPr>
            <w:r w:rsidRPr="00C972E7">
              <w:t>T</w:t>
            </w:r>
            <w:r w:rsidRPr="00C972E7">
              <w:rPr>
                <w:vertAlign w:val="subscript"/>
              </w:rPr>
              <w:t>evaluate,NR_</w:t>
            </w:r>
            <w:r w:rsidRPr="00C972E7">
              <w:rPr>
                <w:rFonts w:cs="v4.2.0"/>
                <w:vertAlign w:val="subscript"/>
              </w:rPr>
              <w:t>Intra_RedCap</w:t>
            </w:r>
            <w:r w:rsidRPr="00C972E7">
              <w:rPr>
                <w:rFonts w:cs="Arial"/>
              </w:rPr>
              <w:t xml:space="preserve"> </w:t>
            </w:r>
            <w:r w:rsidRPr="00C972E7">
              <w:t xml:space="preserve">[s] (number of DRX </w:t>
            </w:r>
            <w:r w:rsidRPr="00C972E7">
              <w:rPr>
                <w:rFonts w:cs="v4.2.0"/>
              </w:rPr>
              <w:t>or eDRX</w:t>
            </w:r>
            <w:r w:rsidRPr="00C972E7">
              <w:t xml:space="preserve"> INACTIVE cycles)</w:t>
            </w:r>
          </w:p>
        </w:tc>
      </w:tr>
      <w:tr w:rsidR="007C37DF" w:rsidRPr="00C972E7" w14:paraId="65C57908" w14:textId="77777777" w:rsidTr="00162D0B">
        <w:trPr>
          <w:cantSplit/>
          <w:trHeight w:val="310"/>
          <w:jc w:val="center"/>
        </w:trPr>
        <w:tc>
          <w:tcPr>
            <w:tcW w:w="792" w:type="pct"/>
            <w:vMerge/>
            <w:tcBorders>
              <w:left w:val="single" w:sz="4" w:space="0" w:color="auto"/>
              <w:bottom w:val="single" w:sz="4" w:space="0" w:color="auto"/>
              <w:right w:val="single" w:sz="4" w:space="0" w:color="auto"/>
            </w:tcBorders>
          </w:tcPr>
          <w:p w14:paraId="5FF7BE4F" w14:textId="77777777" w:rsidR="007C37DF" w:rsidRPr="00C972E7" w:rsidRDefault="007C37DF" w:rsidP="00162D0B">
            <w:pPr>
              <w:pStyle w:val="TAH"/>
            </w:pPr>
          </w:p>
        </w:tc>
        <w:tc>
          <w:tcPr>
            <w:tcW w:w="875" w:type="pct"/>
            <w:vMerge/>
            <w:tcBorders>
              <w:top w:val="single" w:sz="4" w:space="0" w:color="auto"/>
              <w:left w:val="single" w:sz="4" w:space="0" w:color="auto"/>
              <w:bottom w:val="single" w:sz="4" w:space="0" w:color="auto"/>
              <w:right w:val="single" w:sz="4" w:space="0" w:color="auto"/>
            </w:tcBorders>
            <w:vAlign w:val="center"/>
            <w:hideMark/>
          </w:tcPr>
          <w:p w14:paraId="3E4CBE55" w14:textId="77777777" w:rsidR="007C37DF" w:rsidRPr="00C972E7" w:rsidRDefault="007C37DF" w:rsidP="00162D0B">
            <w:pPr>
              <w:pStyle w:val="TAH"/>
            </w:pPr>
          </w:p>
        </w:tc>
        <w:tc>
          <w:tcPr>
            <w:tcW w:w="487" w:type="pct"/>
            <w:vMerge/>
            <w:tcBorders>
              <w:left w:val="single" w:sz="4" w:space="0" w:color="auto"/>
              <w:bottom w:val="single" w:sz="4" w:space="0" w:color="auto"/>
              <w:right w:val="single" w:sz="4" w:space="0" w:color="auto"/>
            </w:tcBorders>
            <w:hideMark/>
          </w:tcPr>
          <w:p w14:paraId="212E905B" w14:textId="77777777" w:rsidR="007C37DF" w:rsidRPr="00C972E7" w:rsidRDefault="007C37DF" w:rsidP="00162D0B">
            <w:pPr>
              <w:pStyle w:val="TAH"/>
              <w:rPr>
                <w:vertAlign w:val="superscript"/>
              </w:rPr>
            </w:pPr>
          </w:p>
        </w:tc>
        <w:tc>
          <w:tcPr>
            <w:tcW w:w="1040" w:type="pct"/>
            <w:vMerge/>
            <w:tcBorders>
              <w:top w:val="single" w:sz="4" w:space="0" w:color="auto"/>
              <w:left w:val="single" w:sz="4" w:space="0" w:color="auto"/>
              <w:bottom w:val="single" w:sz="4" w:space="0" w:color="auto"/>
              <w:right w:val="single" w:sz="4" w:space="0" w:color="auto"/>
            </w:tcBorders>
            <w:vAlign w:val="center"/>
            <w:hideMark/>
          </w:tcPr>
          <w:p w14:paraId="1264C5DC" w14:textId="77777777" w:rsidR="007C37DF" w:rsidRPr="00C972E7" w:rsidRDefault="007C37DF" w:rsidP="00162D0B">
            <w:pPr>
              <w:pStyle w:val="TAH"/>
            </w:pPr>
          </w:p>
        </w:tc>
        <w:tc>
          <w:tcPr>
            <w:tcW w:w="1043" w:type="pct"/>
            <w:vMerge/>
            <w:tcBorders>
              <w:top w:val="single" w:sz="4" w:space="0" w:color="auto"/>
              <w:left w:val="single" w:sz="4" w:space="0" w:color="auto"/>
              <w:bottom w:val="single" w:sz="4" w:space="0" w:color="auto"/>
              <w:right w:val="single" w:sz="4" w:space="0" w:color="auto"/>
            </w:tcBorders>
            <w:vAlign w:val="center"/>
            <w:hideMark/>
          </w:tcPr>
          <w:p w14:paraId="3F073162" w14:textId="77777777" w:rsidR="007C37DF" w:rsidRPr="00C972E7" w:rsidRDefault="007C37DF" w:rsidP="00162D0B">
            <w:pPr>
              <w:pStyle w:val="TAH"/>
            </w:pPr>
          </w:p>
        </w:tc>
        <w:tc>
          <w:tcPr>
            <w:tcW w:w="762" w:type="pct"/>
            <w:vMerge/>
            <w:tcBorders>
              <w:top w:val="single" w:sz="4" w:space="0" w:color="auto"/>
              <w:left w:val="single" w:sz="4" w:space="0" w:color="auto"/>
              <w:bottom w:val="single" w:sz="4" w:space="0" w:color="auto"/>
              <w:right w:val="single" w:sz="4" w:space="0" w:color="auto"/>
            </w:tcBorders>
            <w:vAlign w:val="center"/>
            <w:hideMark/>
          </w:tcPr>
          <w:p w14:paraId="11FE59BE" w14:textId="77777777" w:rsidR="007C37DF" w:rsidRPr="00C972E7" w:rsidRDefault="007C37DF" w:rsidP="00162D0B">
            <w:pPr>
              <w:pStyle w:val="TAH"/>
            </w:pPr>
          </w:p>
        </w:tc>
      </w:tr>
      <w:tr w:rsidR="007C37DF" w:rsidRPr="00C972E7" w14:paraId="5FA49E23" w14:textId="77777777" w:rsidTr="00162D0B">
        <w:trPr>
          <w:cantSplit/>
          <w:jc w:val="center"/>
        </w:trPr>
        <w:tc>
          <w:tcPr>
            <w:tcW w:w="792" w:type="pct"/>
            <w:vMerge w:val="restart"/>
            <w:tcBorders>
              <w:top w:val="single" w:sz="4" w:space="0" w:color="auto"/>
              <w:left w:val="single" w:sz="4" w:space="0" w:color="auto"/>
              <w:right w:val="single" w:sz="4" w:space="0" w:color="auto"/>
            </w:tcBorders>
          </w:tcPr>
          <w:p w14:paraId="63C10BC9" w14:textId="77777777" w:rsidR="007C37DF" w:rsidRPr="00C972E7" w:rsidRDefault="007C37DF" w:rsidP="00162D0B">
            <w:pPr>
              <w:pStyle w:val="TAC"/>
            </w:pPr>
            <w:r w:rsidRPr="00C972E7">
              <w:t>2.56 ≤eDRX_IDLE cycle length ≤ 10485.76</w:t>
            </w:r>
          </w:p>
          <w:p w14:paraId="7FEDFCBA" w14:textId="77777777" w:rsidR="007C37DF" w:rsidRPr="00C972E7" w:rsidRDefault="007C37DF" w:rsidP="00162D0B">
            <w:pPr>
              <w:pStyle w:val="TAC"/>
            </w:pPr>
          </w:p>
        </w:tc>
        <w:tc>
          <w:tcPr>
            <w:tcW w:w="875" w:type="pct"/>
            <w:tcBorders>
              <w:top w:val="single" w:sz="4" w:space="0" w:color="auto"/>
              <w:left w:val="single" w:sz="4" w:space="0" w:color="auto"/>
              <w:bottom w:val="single" w:sz="4" w:space="0" w:color="auto"/>
              <w:right w:val="single" w:sz="4" w:space="0" w:color="auto"/>
            </w:tcBorders>
            <w:hideMark/>
          </w:tcPr>
          <w:p w14:paraId="68055C2F" w14:textId="77777777" w:rsidR="007C37DF" w:rsidRPr="00C972E7" w:rsidRDefault="007C37DF" w:rsidP="00162D0B">
            <w:pPr>
              <w:pStyle w:val="TAC"/>
            </w:pPr>
            <w:r w:rsidRPr="00C972E7">
              <w:t>0.32</w:t>
            </w:r>
          </w:p>
        </w:tc>
        <w:tc>
          <w:tcPr>
            <w:tcW w:w="487" w:type="pct"/>
            <w:tcBorders>
              <w:top w:val="single" w:sz="4" w:space="0" w:color="auto"/>
              <w:left w:val="single" w:sz="4" w:space="0" w:color="auto"/>
              <w:bottom w:val="single" w:sz="4" w:space="0" w:color="auto"/>
              <w:right w:val="single" w:sz="4" w:space="0" w:color="auto"/>
            </w:tcBorders>
            <w:hideMark/>
          </w:tcPr>
          <w:p w14:paraId="30AE7794" w14:textId="77777777" w:rsidR="007C37DF" w:rsidRPr="00C972E7" w:rsidRDefault="007C37DF" w:rsidP="00162D0B">
            <w:pPr>
              <w:pStyle w:val="TAC"/>
            </w:pPr>
            <w:r w:rsidRPr="00C972E7">
              <w:t>8</w:t>
            </w:r>
          </w:p>
        </w:tc>
        <w:tc>
          <w:tcPr>
            <w:tcW w:w="1040" w:type="pct"/>
            <w:tcBorders>
              <w:top w:val="single" w:sz="4" w:space="0" w:color="auto"/>
              <w:left w:val="single" w:sz="4" w:space="0" w:color="auto"/>
              <w:bottom w:val="single" w:sz="4" w:space="0" w:color="auto"/>
              <w:right w:val="single" w:sz="4" w:space="0" w:color="auto"/>
            </w:tcBorders>
            <w:hideMark/>
          </w:tcPr>
          <w:p w14:paraId="302E2FF3" w14:textId="77777777" w:rsidR="007C37DF" w:rsidRPr="00C972E7" w:rsidRDefault="007C37DF" w:rsidP="00162D0B">
            <w:pPr>
              <w:pStyle w:val="TAC"/>
            </w:pPr>
            <w:r w:rsidRPr="00C972E7">
              <w:t xml:space="preserve">11.52 x N1 </w:t>
            </w:r>
            <w:r w:rsidRPr="00C972E7">
              <w:rPr>
                <w:rFonts w:cs="Arial"/>
                <w:lang w:eastAsia="zh-CN"/>
              </w:rPr>
              <w:t xml:space="preserve">x M2  </w:t>
            </w:r>
            <w:r w:rsidRPr="00C972E7">
              <w:t>(36 x N1</w:t>
            </w:r>
            <w:r w:rsidRPr="00C972E7">
              <w:rPr>
                <w:rFonts w:cs="Arial"/>
                <w:lang w:eastAsia="zh-CN"/>
              </w:rPr>
              <w:t xml:space="preserve"> x M2</w:t>
            </w:r>
            <w:r w:rsidRPr="00C972E7">
              <w:t>)</w:t>
            </w:r>
          </w:p>
        </w:tc>
        <w:tc>
          <w:tcPr>
            <w:tcW w:w="1043" w:type="pct"/>
            <w:tcBorders>
              <w:top w:val="single" w:sz="4" w:space="0" w:color="auto"/>
              <w:left w:val="single" w:sz="4" w:space="0" w:color="auto"/>
              <w:bottom w:val="single" w:sz="4" w:space="0" w:color="auto"/>
              <w:right w:val="single" w:sz="4" w:space="0" w:color="auto"/>
            </w:tcBorders>
            <w:hideMark/>
          </w:tcPr>
          <w:p w14:paraId="76F2462E" w14:textId="77777777" w:rsidR="007C37DF" w:rsidRPr="00C972E7" w:rsidRDefault="007C37DF" w:rsidP="00162D0B">
            <w:pPr>
              <w:pStyle w:val="TAC"/>
            </w:pPr>
            <w:r w:rsidRPr="00C972E7">
              <w:t xml:space="preserve">1.28 x N1 </w:t>
            </w:r>
            <w:r w:rsidRPr="00C972E7">
              <w:rPr>
                <w:rFonts w:cs="Arial"/>
                <w:lang w:eastAsia="zh-CN"/>
              </w:rPr>
              <w:t xml:space="preserve">x M2 </w:t>
            </w:r>
            <w:r w:rsidRPr="00C972E7">
              <w:t>(4 x N1</w:t>
            </w:r>
            <w:r w:rsidRPr="00C972E7">
              <w:rPr>
                <w:rFonts w:cs="Arial"/>
                <w:lang w:eastAsia="zh-CN"/>
              </w:rPr>
              <w:t xml:space="preserve"> x M2</w:t>
            </w:r>
            <w:r w:rsidRPr="00C972E7">
              <w:t>)</w:t>
            </w:r>
          </w:p>
        </w:tc>
        <w:tc>
          <w:tcPr>
            <w:tcW w:w="762" w:type="pct"/>
            <w:tcBorders>
              <w:top w:val="single" w:sz="4" w:space="0" w:color="auto"/>
              <w:left w:val="single" w:sz="4" w:space="0" w:color="auto"/>
              <w:bottom w:val="single" w:sz="4" w:space="0" w:color="auto"/>
              <w:right w:val="single" w:sz="4" w:space="0" w:color="auto"/>
            </w:tcBorders>
            <w:hideMark/>
          </w:tcPr>
          <w:p w14:paraId="477B48CC" w14:textId="77777777" w:rsidR="007C37DF" w:rsidRPr="00C972E7" w:rsidRDefault="007C37DF" w:rsidP="00162D0B">
            <w:pPr>
              <w:pStyle w:val="TAC"/>
            </w:pPr>
            <w:r w:rsidRPr="00C972E7">
              <w:t xml:space="preserve">5.12 x N1 </w:t>
            </w:r>
            <w:r w:rsidRPr="00C972E7">
              <w:rPr>
                <w:rFonts w:cs="Arial"/>
                <w:lang w:eastAsia="zh-CN"/>
              </w:rPr>
              <w:t xml:space="preserve">x M2 </w:t>
            </w:r>
            <w:r w:rsidRPr="00C972E7">
              <w:t>(16 x N1</w:t>
            </w:r>
            <w:r w:rsidRPr="00C972E7">
              <w:rPr>
                <w:rFonts w:cs="Arial"/>
                <w:lang w:eastAsia="zh-CN"/>
              </w:rPr>
              <w:t xml:space="preserve"> x M2</w:t>
            </w:r>
            <w:r w:rsidRPr="00C972E7">
              <w:t>)</w:t>
            </w:r>
          </w:p>
        </w:tc>
      </w:tr>
      <w:tr w:rsidR="007C37DF" w:rsidRPr="00C972E7" w14:paraId="40EC2AF5" w14:textId="77777777" w:rsidTr="00162D0B">
        <w:trPr>
          <w:cantSplit/>
          <w:jc w:val="center"/>
        </w:trPr>
        <w:tc>
          <w:tcPr>
            <w:tcW w:w="792" w:type="pct"/>
            <w:vMerge/>
            <w:tcBorders>
              <w:left w:val="single" w:sz="4" w:space="0" w:color="auto"/>
              <w:right w:val="single" w:sz="4" w:space="0" w:color="auto"/>
            </w:tcBorders>
          </w:tcPr>
          <w:p w14:paraId="4953915C" w14:textId="77777777" w:rsidR="007C37DF" w:rsidRPr="00C972E7" w:rsidRDefault="007C37DF" w:rsidP="00162D0B">
            <w:pPr>
              <w:pStyle w:val="TAC"/>
            </w:pPr>
          </w:p>
        </w:tc>
        <w:tc>
          <w:tcPr>
            <w:tcW w:w="875" w:type="pct"/>
            <w:tcBorders>
              <w:top w:val="single" w:sz="4" w:space="0" w:color="auto"/>
              <w:left w:val="single" w:sz="4" w:space="0" w:color="auto"/>
              <w:bottom w:val="single" w:sz="4" w:space="0" w:color="auto"/>
              <w:right w:val="single" w:sz="4" w:space="0" w:color="auto"/>
            </w:tcBorders>
            <w:hideMark/>
          </w:tcPr>
          <w:p w14:paraId="25FC5ECD" w14:textId="77777777" w:rsidR="007C37DF" w:rsidRPr="00C972E7" w:rsidRDefault="007C37DF" w:rsidP="00162D0B">
            <w:pPr>
              <w:pStyle w:val="TAC"/>
            </w:pPr>
            <w:r w:rsidRPr="00C972E7">
              <w:t>0.64</w:t>
            </w:r>
          </w:p>
        </w:tc>
        <w:tc>
          <w:tcPr>
            <w:tcW w:w="487" w:type="pct"/>
            <w:tcBorders>
              <w:top w:val="single" w:sz="4" w:space="0" w:color="auto"/>
              <w:left w:val="single" w:sz="4" w:space="0" w:color="auto"/>
              <w:bottom w:val="single" w:sz="4" w:space="0" w:color="auto"/>
              <w:right w:val="single" w:sz="4" w:space="0" w:color="auto"/>
            </w:tcBorders>
            <w:hideMark/>
          </w:tcPr>
          <w:p w14:paraId="5DCD92EC" w14:textId="77777777" w:rsidR="007C37DF" w:rsidRPr="00C972E7" w:rsidRDefault="007C37DF" w:rsidP="00162D0B">
            <w:pPr>
              <w:pStyle w:val="TAC"/>
            </w:pPr>
            <w:r w:rsidRPr="00C972E7">
              <w:t>5</w:t>
            </w:r>
          </w:p>
        </w:tc>
        <w:tc>
          <w:tcPr>
            <w:tcW w:w="1040" w:type="pct"/>
            <w:tcBorders>
              <w:top w:val="single" w:sz="4" w:space="0" w:color="auto"/>
              <w:left w:val="single" w:sz="4" w:space="0" w:color="auto"/>
              <w:bottom w:val="single" w:sz="4" w:space="0" w:color="auto"/>
              <w:right w:val="single" w:sz="4" w:space="0" w:color="auto"/>
            </w:tcBorders>
            <w:hideMark/>
          </w:tcPr>
          <w:p w14:paraId="328A4745" w14:textId="77777777" w:rsidR="007C37DF" w:rsidRPr="00C972E7" w:rsidRDefault="007C37DF" w:rsidP="00162D0B">
            <w:pPr>
              <w:pStyle w:val="TAC"/>
            </w:pPr>
            <w:r w:rsidRPr="00C972E7">
              <w:t>17.92x N1 (28 x N1)</w:t>
            </w:r>
          </w:p>
        </w:tc>
        <w:tc>
          <w:tcPr>
            <w:tcW w:w="1043" w:type="pct"/>
            <w:tcBorders>
              <w:top w:val="single" w:sz="4" w:space="0" w:color="auto"/>
              <w:left w:val="single" w:sz="4" w:space="0" w:color="auto"/>
              <w:bottom w:val="single" w:sz="4" w:space="0" w:color="auto"/>
              <w:right w:val="single" w:sz="4" w:space="0" w:color="auto"/>
            </w:tcBorders>
            <w:hideMark/>
          </w:tcPr>
          <w:p w14:paraId="7DDCEC3E" w14:textId="77777777" w:rsidR="007C37DF" w:rsidRPr="00C972E7" w:rsidRDefault="007C37DF" w:rsidP="00162D0B">
            <w:pPr>
              <w:pStyle w:val="TAC"/>
            </w:pPr>
            <w:r w:rsidRPr="00C972E7">
              <w:t>1.28 x N1 (2 x N1)</w:t>
            </w:r>
          </w:p>
        </w:tc>
        <w:tc>
          <w:tcPr>
            <w:tcW w:w="762" w:type="pct"/>
            <w:tcBorders>
              <w:top w:val="single" w:sz="4" w:space="0" w:color="auto"/>
              <w:left w:val="single" w:sz="4" w:space="0" w:color="auto"/>
              <w:bottom w:val="single" w:sz="4" w:space="0" w:color="auto"/>
              <w:right w:val="single" w:sz="4" w:space="0" w:color="auto"/>
            </w:tcBorders>
            <w:hideMark/>
          </w:tcPr>
          <w:p w14:paraId="1F5FFFFC" w14:textId="77777777" w:rsidR="007C37DF" w:rsidRPr="00C972E7" w:rsidRDefault="007C37DF" w:rsidP="00162D0B">
            <w:pPr>
              <w:pStyle w:val="TAC"/>
            </w:pPr>
            <w:r w:rsidRPr="00C972E7">
              <w:t>5.12 x N1 (8 x N1)</w:t>
            </w:r>
          </w:p>
        </w:tc>
      </w:tr>
      <w:tr w:rsidR="007C37DF" w:rsidRPr="00C972E7" w14:paraId="6563E0F3" w14:textId="77777777" w:rsidTr="00162D0B">
        <w:trPr>
          <w:cantSplit/>
          <w:jc w:val="center"/>
        </w:trPr>
        <w:tc>
          <w:tcPr>
            <w:tcW w:w="792" w:type="pct"/>
            <w:vMerge/>
            <w:tcBorders>
              <w:left w:val="single" w:sz="4" w:space="0" w:color="auto"/>
              <w:right w:val="single" w:sz="4" w:space="0" w:color="auto"/>
            </w:tcBorders>
          </w:tcPr>
          <w:p w14:paraId="3F38CCA0" w14:textId="77777777" w:rsidR="007C37DF" w:rsidRPr="00C972E7" w:rsidRDefault="007C37DF" w:rsidP="00162D0B">
            <w:pPr>
              <w:pStyle w:val="TAC"/>
            </w:pPr>
          </w:p>
        </w:tc>
        <w:tc>
          <w:tcPr>
            <w:tcW w:w="875" w:type="pct"/>
            <w:tcBorders>
              <w:top w:val="single" w:sz="4" w:space="0" w:color="auto"/>
              <w:left w:val="single" w:sz="4" w:space="0" w:color="auto"/>
              <w:bottom w:val="single" w:sz="4" w:space="0" w:color="auto"/>
              <w:right w:val="single" w:sz="4" w:space="0" w:color="auto"/>
            </w:tcBorders>
            <w:hideMark/>
          </w:tcPr>
          <w:p w14:paraId="010EE4E1" w14:textId="77777777" w:rsidR="007C37DF" w:rsidRPr="00C972E7" w:rsidRDefault="007C37DF" w:rsidP="00162D0B">
            <w:pPr>
              <w:pStyle w:val="TAC"/>
            </w:pPr>
            <w:r w:rsidRPr="00C972E7">
              <w:t>1.28</w:t>
            </w:r>
          </w:p>
        </w:tc>
        <w:tc>
          <w:tcPr>
            <w:tcW w:w="487" w:type="pct"/>
            <w:tcBorders>
              <w:top w:val="single" w:sz="4" w:space="0" w:color="auto"/>
              <w:left w:val="single" w:sz="4" w:space="0" w:color="auto"/>
              <w:bottom w:val="single" w:sz="4" w:space="0" w:color="auto"/>
              <w:right w:val="single" w:sz="4" w:space="0" w:color="auto"/>
            </w:tcBorders>
            <w:hideMark/>
          </w:tcPr>
          <w:p w14:paraId="336F3B8B" w14:textId="77777777" w:rsidR="007C37DF" w:rsidRPr="00C972E7" w:rsidRDefault="007C37DF" w:rsidP="00162D0B">
            <w:pPr>
              <w:pStyle w:val="TAC"/>
            </w:pPr>
            <w:r w:rsidRPr="00C972E7">
              <w:t>4</w:t>
            </w:r>
          </w:p>
        </w:tc>
        <w:tc>
          <w:tcPr>
            <w:tcW w:w="1040" w:type="pct"/>
            <w:tcBorders>
              <w:top w:val="single" w:sz="4" w:space="0" w:color="auto"/>
              <w:left w:val="single" w:sz="4" w:space="0" w:color="auto"/>
              <w:bottom w:val="single" w:sz="4" w:space="0" w:color="auto"/>
              <w:right w:val="single" w:sz="4" w:space="0" w:color="auto"/>
            </w:tcBorders>
            <w:hideMark/>
          </w:tcPr>
          <w:p w14:paraId="4D4C18FD" w14:textId="77777777" w:rsidR="007C37DF" w:rsidRPr="00C972E7" w:rsidRDefault="007C37DF" w:rsidP="00162D0B">
            <w:pPr>
              <w:pStyle w:val="TAC"/>
            </w:pPr>
            <w:r w:rsidRPr="00C972E7">
              <w:t>32 x N1 (25 x N1)</w:t>
            </w:r>
          </w:p>
        </w:tc>
        <w:tc>
          <w:tcPr>
            <w:tcW w:w="1043" w:type="pct"/>
            <w:tcBorders>
              <w:top w:val="single" w:sz="4" w:space="0" w:color="auto"/>
              <w:left w:val="single" w:sz="4" w:space="0" w:color="auto"/>
              <w:bottom w:val="single" w:sz="4" w:space="0" w:color="auto"/>
              <w:right w:val="single" w:sz="4" w:space="0" w:color="auto"/>
            </w:tcBorders>
            <w:hideMark/>
          </w:tcPr>
          <w:p w14:paraId="7B6790EA" w14:textId="77777777" w:rsidR="007C37DF" w:rsidRPr="00C972E7" w:rsidRDefault="007C37DF" w:rsidP="00162D0B">
            <w:pPr>
              <w:pStyle w:val="TAC"/>
            </w:pPr>
            <w:r w:rsidRPr="00C972E7">
              <w:t>1.28 x N1 (1 x N1)</w:t>
            </w:r>
          </w:p>
        </w:tc>
        <w:tc>
          <w:tcPr>
            <w:tcW w:w="762" w:type="pct"/>
            <w:tcBorders>
              <w:top w:val="single" w:sz="4" w:space="0" w:color="auto"/>
              <w:left w:val="single" w:sz="4" w:space="0" w:color="auto"/>
              <w:bottom w:val="single" w:sz="4" w:space="0" w:color="auto"/>
              <w:right w:val="single" w:sz="4" w:space="0" w:color="auto"/>
            </w:tcBorders>
            <w:hideMark/>
          </w:tcPr>
          <w:p w14:paraId="4F2F51D9" w14:textId="77777777" w:rsidR="007C37DF" w:rsidRPr="00C972E7" w:rsidRDefault="007C37DF" w:rsidP="00162D0B">
            <w:pPr>
              <w:pStyle w:val="TAC"/>
            </w:pPr>
            <w:r w:rsidRPr="00C972E7">
              <w:t>6.4 x N1 (5 x N1)</w:t>
            </w:r>
          </w:p>
        </w:tc>
      </w:tr>
      <w:tr w:rsidR="007C37DF" w:rsidRPr="00C972E7" w14:paraId="1E5DCCC1" w14:textId="77777777" w:rsidTr="00162D0B">
        <w:trPr>
          <w:cantSplit/>
          <w:jc w:val="center"/>
        </w:trPr>
        <w:tc>
          <w:tcPr>
            <w:tcW w:w="792" w:type="pct"/>
            <w:vMerge/>
            <w:tcBorders>
              <w:left w:val="single" w:sz="4" w:space="0" w:color="auto"/>
              <w:right w:val="single" w:sz="4" w:space="0" w:color="auto"/>
            </w:tcBorders>
          </w:tcPr>
          <w:p w14:paraId="43B9B26E" w14:textId="77777777" w:rsidR="007C37DF" w:rsidRPr="00C972E7" w:rsidRDefault="007C37DF" w:rsidP="00162D0B">
            <w:pPr>
              <w:pStyle w:val="TAC"/>
            </w:pPr>
          </w:p>
        </w:tc>
        <w:tc>
          <w:tcPr>
            <w:tcW w:w="875" w:type="pct"/>
            <w:tcBorders>
              <w:top w:val="single" w:sz="4" w:space="0" w:color="auto"/>
              <w:left w:val="single" w:sz="4" w:space="0" w:color="auto"/>
              <w:bottom w:val="single" w:sz="4" w:space="0" w:color="auto"/>
              <w:right w:val="single" w:sz="4" w:space="0" w:color="auto"/>
            </w:tcBorders>
            <w:hideMark/>
          </w:tcPr>
          <w:p w14:paraId="45FEEBDE" w14:textId="77777777" w:rsidR="007C37DF" w:rsidRPr="00C972E7" w:rsidRDefault="007C37DF" w:rsidP="00162D0B">
            <w:pPr>
              <w:pStyle w:val="TAC"/>
            </w:pPr>
            <w:r w:rsidRPr="00C972E7">
              <w:t>2.56</w:t>
            </w:r>
          </w:p>
        </w:tc>
        <w:tc>
          <w:tcPr>
            <w:tcW w:w="487" w:type="pct"/>
            <w:tcBorders>
              <w:top w:val="single" w:sz="4" w:space="0" w:color="auto"/>
              <w:left w:val="single" w:sz="4" w:space="0" w:color="auto"/>
              <w:bottom w:val="single" w:sz="4" w:space="0" w:color="auto"/>
              <w:right w:val="single" w:sz="4" w:space="0" w:color="auto"/>
            </w:tcBorders>
            <w:hideMark/>
          </w:tcPr>
          <w:p w14:paraId="5FAB8F8B" w14:textId="77777777" w:rsidR="007C37DF" w:rsidRPr="00C972E7" w:rsidRDefault="007C37DF" w:rsidP="00162D0B">
            <w:pPr>
              <w:pStyle w:val="TAC"/>
            </w:pPr>
            <w:r w:rsidRPr="00C972E7">
              <w:t>3</w:t>
            </w:r>
          </w:p>
        </w:tc>
        <w:tc>
          <w:tcPr>
            <w:tcW w:w="1040" w:type="pct"/>
            <w:tcBorders>
              <w:top w:val="single" w:sz="4" w:space="0" w:color="auto"/>
              <w:left w:val="single" w:sz="4" w:space="0" w:color="auto"/>
              <w:bottom w:val="single" w:sz="4" w:space="0" w:color="auto"/>
              <w:right w:val="single" w:sz="4" w:space="0" w:color="auto"/>
            </w:tcBorders>
            <w:hideMark/>
          </w:tcPr>
          <w:p w14:paraId="53AEB6EA" w14:textId="77777777" w:rsidR="007C37DF" w:rsidRPr="00C972E7" w:rsidRDefault="007C37DF" w:rsidP="00162D0B">
            <w:pPr>
              <w:pStyle w:val="TAC"/>
            </w:pPr>
            <w:r w:rsidRPr="00C972E7">
              <w:t>58.88 x N1 (23 x N1)</w:t>
            </w:r>
          </w:p>
        </w:tc>
        <w:tc>
          <w:tcPr>
            <w:tcW w:w="1043" w:type="pct"/>
            <w:tcBorders>
              <w:top w:val="single" w:sz="4" w:space="0" w:color="auto"/>
              <w:left w:val="single" w:sz="4" w:space="0" w:color="auto"/>
              <w:bottom w:val="single" w:sz="4" w:space="0" w:color="auto"/>
              <w:right w:val="single" w:sz="4" w:space="0" w:color="auto"/>
            </w:tcBorders>
            <w:hideMark/>
          </w:tcPr>
          <w:p w14:paraId="70AC0CAA" w14:textId="77777777" w:rsidR="007C37DF" w:rsidRPr="00C972E7" w:rsidRDefault="007C37DF" w:rsidP="00162D0B">
            <w:pPr>
              <w:pStyle w:val="TAC"/>
            </w:pPr>
            <w:r w:rsidRPr="00C972E7">
              <w:t>2.56 x N1 (1 x N1)</w:t>
            </w:r>
          </w:p>
        </w:tc>
        <w:tc>
          <w:tcPr>
            <w:tcW w:w="762" w:type="pct"/>
            <w:tcBorders>
              <w:top w:val="single" w:sz="4" w:space="0" w:color="auto"/>
              <w:left w:val="single" w:sz="4" w:space="0" w:color="auto"/>
              <w:bottom w:val="single" w:sz="4" w:space="0" w:color="auto"/>
              <w:right w:val="single" w:sz="4" w:space="0" w:color="auto"/>
            </w:tcBorders>
            <w:hideMark/>
          </w:tcPr>
          <w:p w14:paraId="136ED7E9" w14:textId="77777777" w:rsidR="007C37DF" w:rsidRPr="00C972E7" w:rsidRDefault="007C37DF" w:rsidP="00162D0B">
            <w:pPr>
              <w:pStyle w:val="TAC"/>
            </w:pPr>
            <w:r w:rsidRPr="00C972E7">
              <w:t>7.68 x N1 (3 x N1)</w:t>
            </w:r>
          </w:p>
        </w:tc>
      </w:tr>
      <w:tr w:rsidR="007C37DF" w:rsidRPr="00C972E7" w14:paraId="22E48836" w14:textId="77777777" w:rsidTr="00162D0B">
        <w:trPr>
          <w:cantSplit/>
          <w:jc w:val="center"/>
        </w:trPr>
        <w:tc>
          <w:tcPr>
            <w:tcW w:w="792" w:type="pct"/>
            <w:vMerge/>
            <w:tcBorders>
              <w:left w:val="single" w:sz="4" w:space="0" w:color="auto"/>
              <w:right w:val="single" w:sz="4" w:space="0" w:color="auto"/>
            </w:tcBorders>
          </w:tcPr>
          <w:p w14:paraId="0F84CA0E" w14:textId="77777777" w:rsidR="007C37DF" w:rsidRPr="00C972E7" w:rsidRDefault="007C37DF" w:rsidP="00162D0B">
            <w:pPr>
              <w:pStyle w:val="TAC"/>
            </w:pPr>
          </w:p>
        </w:tc>
        <w:tc>
          <w:tcPr>
            <w:tcW w:w="875" w:type="pct"/>
            <w:tcBorders>
              <w:top w:val="single" w:sz="4" w:space="0" w:color="auto"/>
              <w:left w:val="single" w:sz="4" w:space="0" w:color="auto"/>
              <w:bottom w:val="single" w:sz="4" w:space="0" w:color="auto"/>
              <w:right w:val="single" w:sz="4" w:space="0" w:color="auto"/>
            </w:tcBorders>
          </w:tcPr>
          <w:p w14:paraId="74482891" w14:textId="77777777" w:rsidR="007C37DF" w:rsidRPr="00C972E7" w:rsidRDefault="007C37DF" w:rsidP="00162D0B">
            <w:pPr>
              <w:pStyle w:val="TAC"/>
              <w:rPr>
                <w:lang w:eastAsia="zh-CN"/>
              </w:rPr>
            </w:pPr>
            <w:r w:rsidRPr="00C972E7">
              <w:rPr>
                <w:rFonts w:hint="eastAsia"/>
                <w:lang w:eastAsia="zh-CN"/>
              </w:rPr>
              <w:t>5</w:t>
            </w:r>
            <w:r w:rsidRPr="00C972E7">
              <w:rPr>
                <w:lang w:eastAsia="zh-CN"/>
              </w:rPr>
              <w:t>.12</w:t>
            </w:r>
          </w:p>
        </w:tc>
        <w:tc>
          <w:tcPr>
            <w:tcW w:w="487" w:type="pct"/>
            <w:tcBorders>
              <w:top w:val="single" w:sz="4" w:space="0" w:color="auto"/>
              <w:left w:val="single" w:sz="4" w:space="0" w:color="auto"/>
              <w:bottom w:val="single" w:sz="4" w:space="0" w:color="auto"/>
              <w:right w:val="single" w:sz="4" w:space="0" w:color="auto"/>
            </w:tcBorders>
          </w:tcPr>
          <w:p w14:paraId="0F492655" w14:textId="77777777" w:rsidR="007C37DF" w:rsidRPr="00C972E7" w:rsidRDefault="007C37DF" w:rsidP="00162D0B">
            <w:pPr>
              <w:pStyle w:val="TAC"/>
              <w:rPr>
                <w:lang w:eastAsia="zh-CN"/>
              </w:rPr>
            </w:pPr>
            <w:r w:rsidRPr="00C972E7">
              <w:rPr>
                <w:rFonts w:hint="eastAsia"/>
                <w:lang w:eastAsia="zh-CN"/>
              </w:rPr>
              <w:t>3</w:t>
            </w:r>
          </w:p>
        </w:tc>
        <w:tc>
          <w:tcPr>
            <w:tcW w:w="1040" w:type="pct"/>
            <w:tcBorders>
              <w:top w:val="single" w:sz="4" w:space="0" w:color="auto"/>
              <w:left w:val="single" w:sz="4" w:space="0" w:color="auto"/>
              <w:bottom w:val="single" w:sz="4" w:space="0" w:color="auto"/>
              <w:right w:val="single" w:sz="4" w:space="0" w:color="auto"/>
            </w:tcBorders>
          </w:tcPr>
          <w:p w14:paraId="045054D6" w14:textId="77777777" w:rsidR="007C37DF" w:rsidRPr="00C972E7" w:rsidRDefault="007C37DF" w:rsidP="00162D0B">
            <w:pPr>
              <w:pStyle w:val="TAC"/>
            </w:pPr>
            <w:r w:rsidRPr="00C972E7">
              <w:rPr>
                <w:lang w:eastAsia="zh-CN"/>
              </w:rPr>
              <w:t>117.76</w:t>
            </w:r>
            <w:r w:rsidRPr="00C972E7">
              <w:t xml:space="preserve"> x N1 (23 x N1)</w:t>
            </w:r>
          </w:p>
        </w:tc>
        <w:tc>
          <w:tcPr>
            <w:tcW w:w="1043" w:type="pct"/>
            <w:tcBorders>
              <w:top w:val="single" w:sz="4" w:space="0" w:color="auto"/>
              <w:left w:val="single" w:sz="4" w:space="0" w:color="auto"/>
              <w:bottom w:val="single" w:sz="4" w:space="0" w:color="auto"/>
              <w:right w:val="single" w:sz="4" w:space="0" w:color="auto"/>
            </w:tcBorders>
          </w:tcPr>
          <w:p w14:paraId="18D353EF" w14:textId="77777777" w:rsidR="007C37DF" w:rsidRPr="00C972E7" w:rsidRDefault="007C37DF" w:rsidP="00162D0B">
            <w:pPr>
              <w:pStyle w:val="TAC"/>
            </w:pPr>
            <w:r w:rsidRPr="00C972E7">
              <w:t>5.12 x N1 (1 x N1)</w:t>
            </w:r>
          </w:p>
        </w:tc>
        <w:tc>
          <w:tcPr>
            <w:tcW w:w="762" w:type="pct"/>
            <w:tcBorders>
              <w:top w:val="single" w:sz="4" w:space="0" w:color="auto"/>
              <w:left w:val="single" w:sz="4" w:space="0" w:color="auto"/>
              <w:bottom w:val="single" w:sz="4" w:space="0" w:color="auto"/>
              <w:right w:val="single" w:sz="4" w:space="0" w:color="auto"/>
            </w:tcBorders>
          </w:tcPr>
          <w:p w14:paraId="7E47C885" w14:textId="77777777" w:rsidR="007C37DF" w:rsidRPr="00C972E7" w:rsidRDefault="007C37DF" w:rsidP="00162D0B">
            <w:pPr>
              <w:pStyle w:val="TAC"/>
            </w:pPr>
            <w:r w:rsidRPr="00C972E7">
              <w:t>15.36 x N1 (3 x N1)</w:t>
            </w:r>
          </w:p>
        </w:tc>
      </w:tr>
      <w:tr w:rsidR="007C37DF" w:rsidRPr="00C972E7" w14:paraId="4FF18D01" w14:textId="77777777" w:rsidTr="00162D0B">
        <w:trPr>
          <w:cantSplit/>
          <w:jc w:val="center"/>
        </w:trPr>
        <w:tc>
          <w:tcPr>
            <w:tcW w:w="792" w:type="pct"/>
            <w:vMerge/>
            <w:tcBorders>
              <w:left w:val="single" w:sz="4" w:space="0" w:color="auto"/>
              <w:right w:val="single" w:sz="4" w:space="0" w:color="auto"/>
            </w:tcBorders>
          </w:tcPr>
          <w:p w14:paraId="344A36B1" w14:textId="77777777" w:rsidR="007C37DF" w:rsidRPr="00C972E7" w:rsidRDefault="007C37DF" w:rsidP="00162D0B">
            <w:pPr>
              <w:pStyle w:val="TAC"/>
            </w:pPr>
          </w:p>
        </w:tc>
        <w:tc>
          <w:tcPr>
            <w:tcW w:w="875" w:type="pct"/>
            <w:tcBorders>
              <w:top w:val="single" w:sz="4" w:space="0" w:color="auto"/>
              <w:left w:val="single" w:sz="4" w:space="0" w:color="auto"/>
              <w:bottom w:val="single" w:sz="4" w:space="0" w:color="auto"/>
              <w:right w:val="single" w:sz="4" w:space="0" w:color="auto"/>
            </w:tcBorders>
          </w:tcPr>
          <w:p w14:paraId="1E20EB2F" w14:textId="77777777" w:rsidR="007C37DF" w:rsidRPr="00C972E7" w:rsidRDefault="007C37DF" w:rsidP="00162D0B">
            <w:pPr>
              <w:pStyle w:val="TAC"/>
              <w:rPr>
                <w:lang w:eastAsia="zh-CN"/>
              </w:rPr>
            </w:pPr>
            <w:r w:rsidRPr="00C972E7">
              <w:rPr>
                <w:rFonts w:hint="eastAsia"/>
                <w:lang w:eastAsia="zh-CN"/>
              </w:rPr>
              <w:t>1</w:t>
            </w:r>
            <w:r w:rsidRPr="00C972E7">
              <w:rPr>
                <w:lang w:eastAsia="zh-CN"/>
              </w:rPr>
              <w:t>0.24</w:t>
            </w:r>
          </w:p>
        </w:tc>
        <w:tc>
          <w:tcPr>
            <w:tcW w:w="487" w:type="pct"/>
            <w:tcBorders>
              <w:top w:val="single" w:sz="4" w:space="0" w:color="auto"/>
              <w:left w:val="single" w:sz="4" w:space="0" w:color="auto"/>
              <w:bottom w:val="single" w:sz="4" w:space="0" w:color="auto"/>
              <w:right w:val="single" w:sz="4" w:space="0" w:color="auto"/>
            </w:tcBorders>
          </w:tcPr>
          <w:p w14:paraId="6FEB3D78" w14:textId="77777777" w:rsidR="007C37DF" w:rsidRPr="00C972E7" w:rsidRDefault="007C37DF" w:rsidP="00162D0B">
            <w:pPr>
              <w:pStyle w:val="TAC"/>
              <w:rPr>
                <w:lang w:eastAsia="zh-CN"/>
              </w:rPr>
            </w:pPr>
            <w:r w:rsidRPr="00C972E7">
              <w:rPr>
                <w:rFonts w:hint="eastAsia"/>
                <w:lang w:eastAsia="zh-CN"/>
              </w:rPr>
              <w:t>3</w:t>
            </w:r>
          </w:p>
        </w:tc>
        <w:tc>
          <w:tcPr>
            <w:tcW w:w="1040" w:type="pct"/>
            <w:tcBorders>
              <w:top w:val="single" w:sz="4" w:space="0" w:color="auto"/>
              <w:left w:val="single" w:sz="4" w:space="0" w:color="auto"/>
              <w:bottom w:val="single" w:sz="4" w:space="0" w:color="auto"/>
              <w:right w:val="single" w:sz="4" w:space="0" w:color="auto"/>
            </w:tcBorders>
          </w:tcPr>
          <w:p w14:paraId="2EA204CE" w14:textId="77777777" w:rsidR="007C37DF" w:rsidRPr="00C972E7" w:rsidRDefault="007C37DF" w:rsidP="00162D0B">
            <w:pPr>
              <w:pStyle w:val="TAC"/>
            </w:pPr>
            <w:r w:rsidRPr="00C972E7">
              <w:rPr>
                <w:lang w:eastAsia="zh-CN"/>
              </w:rPr>
              <w:t>235.52</w:t>
            </w:r>
            <w:r w:rsidRPr="00C972E7">
              <w:t xml:space="preserve"> x N1 (23 x N1)</w:t>
            </w:r>
          </w:p>
        </w:tc>
        <w:tc>
          <w:tcPr>
            <w:tcW w:w="1043" w:type="pct"/>
            <w:tcBorders>
              <w:top w:val="single" w:sz="4" w:space="0" w:color="auto"/>
              <w:left w:val="single" w:sz="4" w:space="0" w:color="auto"/>
              <w:bottom w:val="single" w:sz="4" w:space="0" w:color="auto"/>
              <w:right w:val="single" w:sz="4" w:space="0" w:color="auto"/>
            </w:tcBorders>
          </w:tcPr>
          <w:p w14:paraId="189F0F02" w14:textId="77777777" w:rsidR="007C37DF" w:rsidRPr="00C972E7" w:rsidRDefault="007C37DF" w:rsidP="00162D0B">
            <w:pPr>
              <w:pStyle w:val="TAC"/>
            </w:pPr>
            <w:r w:rsidRPr="00C972E7">
              <w:t>10.24 x N1 (1 x N1)</w:t>
            </w:r>
          </w:p>
        </w:tc>
        <w:tc>
          <w:tcPr>
            <w:tcW w:w="762" w:type="pct"/>
            <w:tcBorders>
              <w:top w:val="single" w:sz="4" w:space="0" w:color="auto"/>
              <w:left w:val="single" w:sz="4" w:space="0" w:color="auto"/>
              <w:bottom w:val="single" w:sz="4" w:space="0" w:color="auto"/>
              <w:right w:val="single" w:sz="4" w:space="0" w:color="auto"/>
            </w:tcBorders>
          </w:tcPr>
          <w:p w14:paraId="290F6DBC" w14:textId="77777777" w:rsidR="007C37DF" w:rsidRPr="00C972E7" w:rsidRDefault="007C37DF" w:rsidP="00162D0B">
            <w:pPr>
              <w:pStyle w:val="TAC"/>
            </w:pPr>
            <w:r w:rsidRPr="00C972E7">
              <w:t>30.72 x N1 (3 x N1)</w:t>
            </w:r>
          </w:p>
        </w:tc>
      </w:tr>
      <w:tr w:rsidR="007C37DF" w:rsidRPr="00C972E7" w14:paraId="59EDDE37" w14:textId="77777777" w:rsidTr="00162D0B">
        <w:trPr>
          <w:cantSplit/>
          <w:jc w:val="center"/>
        </w:trPr>
        <w:tc>
          <w:tcPr>
            <w:tcW w:w="1" w:type="pct"/>
            <w:gridSpan w:val="6"/>
            <w:tcBorders>
              <w:left w:val="single" w:sz="4" w:space="0" w:color="auto"/>
              <w:right w:val="single" w:sz="4" w:space="0" w:color="auto"/>
            </w:tcBorders>
          </w:tcPr>
          <w:p w14:paraId="00BB32B0" w14:textId="77777777" w:rsidR="007C37DF" w:rsidRPr="00C972E7" w:rsidRDefault="007C37DF" w:rsidP="00162D0B">
            <w:pPr>
              <w:pStyle w:val="TAC"/>
              <w:jc w:val="left"/>
              <w:rPr>
                <w:snapToGrid w:val="0"/>
                <w:lang w:eastAsia="zh-CN"/>
              </w:rPr>
            </w:pPr>
            <w:r w:rsidRPr="00C972E7">
              <w:rPr>
                <w:snapToGrid w:val="0"/>
                <w:lang w:eastAsia="zh-CN"/>
              </w:rPr>
              <w:t>Note1: M2 = 1.5 if SMTC periodicity</w:t>
            </w:r>
            <w:r w:rsidRPr="00C972E7">
              <w:t xml:space="preserve"> </w:t>
            </w:r>
            <w:r w:rsidRPr="00C972E7">
              <w:rPr>
                <w:snapToGrid w:val="0"/>
                <w:lang w:eastAsia="zh-CN"/>
              </w:rPr>
              <w:t>of measured intra-frequency cell &gt; 20 ms; otherwise M2=1.</w:t>
            </w:r>
          </w:p>
          <w:p w14:paraId="28943CD1" w14:textId="77777777" w:rsidR="007C37DF" w:rsidRPr="00C972E7" w:rsidRDefault="007C37DF" w:rsidP="00162D0B">
            <w:pPr>
              <w:pStyle w:val="TAC"/>
              <w:jc w:val="left"/>
            </w:pPr>
          </w:p>
        </w:tc>
      </w:tr>
    </w:tbl>
    <w:p w14:paraId="1572C37B" w14:textId="77777777" w:rsidR="007C37DF" w:rsidRPr="000B38D1" w:rsidRDefault="007C37DF" w:rsidP="007C37DF"/>
    <w:p w14:paraId="6EC1F93B" w14:textId="77777777" w:rsidR="007C37DF" w:rsidRDefault="007C37DF" w:rsidP="007C37DF">
      <w:pPr>
        <w:pStyle w:val="Heading4"/>
      </w:pPr>
      <w:r w:rsidRPr="000B38D1">
        <w:t>5.1B.2.4</w:t>
      </w:r>
      <w:r>
        <w:tab/>
      </w:r>
      <w:r w:rsidRPr="000B38D1">
        <w:t>Measurements of inter-frequency NR cells</w:t>
      </w:r>
    </w:p>
    <w:p w14:paraId="22834B70" w14:textId="77777777" w:rsidR="007C37DF" w:rsidRPr="00C972E7" w:rsidRDefault="007C37DF" w:rsidP="007C37DF">
      <w:pPr>
        <w:rPr>
          <w:rFonts w:cs="v4.2.0"/>
        </w:rPr>
      </w:pPr>
      <w:r w:rsidRPr="00C972E7">
        <w:t xml:space="preserve">The requirements in clause </w:t>
      </w:r>
      <w:r w:rsidRPr="00C972E7">
        <w:rPr>
          <w:lang w:val="en-US"/>
        </w:rPr>
        <w:t>4.2.2.4</w:t>
      </w:r>
      <w:r w:rsidRPr="00C972E7">
        <w:t xml:space="preserve"> shall apply</w:t>
      </w:r>
      <w:r w:rsidRPr="00C972E7">
        <w:rPr>
          <w:rFonts w:cs="v4.2.0"/>
        </w:rPr>
        <w:t xml:space="preserve"> when UE is not configured with eDRX_IDLE. When UE is configured with eDRX_IDLE, the requirements defined in section </w:t>
      </w:r>
      <w:r w:rsidRPr="00C972E7">
        <w:rPr>
          <w:lang w:val="en-US"/>
        </w:rPr>
        <w:t>4.2.2.4</w:t>
      </w:r>
      <w:r w:rsidRPr="00C972E7">
        <w:t xml:space="preserve"> </w:t>
      </w:r>
      <w:r w:rsidRPr="00C972E7">
        <w:rPr>
          <w:rFonts w:cs="v4.2.0"/>
        </w:rPr>
        <w:t xml:space="preserve">shall apply with </w:t>
      </w:r>
      <w:r w:rsidRPr="00C972E7">
        <w:t>T</w:t>
      </w:r>
      <w:r w:rsidRPr="00C972E7">
        <w:rPr>
          <w:vertAlign w:val="subscript"/>
        </w:rPr>
        <w:t>detect,NR_</w:t>
      </w:r>
      <w:r w:rsidRPr="00C972E7">
        <w:rPr>
          <w:rFonts w:cs="v4.2.0"/>
          <w:vertAlign w:val="subscript"/>
        </w:rPr>
        <w:t>Inter_RedCap,</w:t>
      </w:r>
      <w:r w:rsidRPr="00C972E7">
        <w:rPr>
          <w:rFonts w:cs="v4.2.0"/>
        </w:rPr>
        <w:t xml:space="preserve"> </w:t>
      </w:r>
      <w:r w:rsidRPr="00C972E7">
        <w:t>T</w:t>
      </w:r>
      <w:r w:rsidRPr="00C972E7">
        <w:rPr>
          <w:vertAlign w:val="subscript"/>
        </w:rPr>
        <w:t>measure,NR_</w:t>
      </w:r>
      <w:r w:rsidRPr="00C972E7">
        <w:rPr>
          <w:rFonts w:cs="v4.2.0"/>
          <w:vertAlign w:val="subscript"/>
        </w:rPr>
        <w:t>Inter_RedCap</w:t>
      </w:r>
      <w:r w:rsidRPr="00C972E7">
        <w:rPr>
          <w:rFonts w:cs="v4.2.0"/>
        </w:rPr>
        <w:t xml:space="preserve"> and </w:t>
      </w:r>
      <w:r w:rsidRPr="00C972E7">
        <w:t>T</w:t>
      </w:r>
      <w:r w:rsidRPr="00C972E7">
        <w:rPr>
          <w:vertAlign w:val="subscript"/>
        </w:rPr>
        <w:t>evaluate,NR_</w:t>
      </w:r>
      <w:r w:rsidRPr="00C972E7">
        <w:rPr>
          <w:rFonts w:cs="v4.2.0"/>
          <w:vertAlign w:val="subscript"/>
        </w:rPr>
        <w:t>Inter_RedCap</w:t>
      </w:r>
      <w:r w:rsidRPr="00C972E7">
        <w:rPr>
          <w:rFonts w:cs="v4.2.0"/>
        </w:rPr>
        <w:t xml:space="preserve"> defined in Table 5.1B.2.4-1 and Table 5.1B.2.4-2.</w:t>
      </w:r>
    </w:p>
    <w:p w14:paraId="21F1DD08" w14:textId="77777777" w:rsidR="007C37DF" w:rsidRPr="00C972E7" w:rsidRDefault="007C37DF" w:rsidP="007C37DF">
      <w:pPr>
        <w:pStyle w:val="TH"/>
      </w:pPr>
      <w:r w:rsidRPr="00C972E7">
        <w:rPr>
          <w:lang w:eastAsia="zh-CN"/>
        </w:rPr>
        <w:t>Table 5.1B.2.4-1: Tdetect, Tmeas and Tevaluate for inactive Redcap UE configured with eDRX_IDLE cycle, (Frequency range FR1)</w:t>
      </w:r>
    </w:p>
    <w:tbl>
      <w:tblPr>
        <w:tblW w:w="41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058"/>
        <w:gridCol w:w="1733"/>
        <w:gridCol w:w="1875"/>
        <w:gridCol w:w="1860"/>
      </w:tblGrid>
      <w:tr w:rsidR="007C37DF" w:rsidRPr="00C972E7" w14:paraId="69F5B529" w14:textId="77777777" w:rsidTr="00162D0B">
        <w:trPr>
          <w:cantSplit/>
          <w:trHeight w:val="310"/>
          <w:jc w:val="center"/>
        </w:trPr>
        <w:tc>
          <w:tcPr>
            <w:tcW w:w="879" w:type="pct"/>
            <w:vMerge w:val="restart"/>
            <w:tcBorders>
              <w:top w:val="single" w:sz="4" w:space="0" w:color="auto"/>
              <w:left w:val="single" w:sz="4" w:space="0" w:color="auto"/>
              <w:right w:val="single" w:sz="4" w:space="0" w:color="auto"/>
            </w:tcBorders>
          </w:tcPr>
          <w:p w14:paraId="56B95179" w14:textId="77777777" w:rsidR="007C37DF" w:rsidRPr="00C972E7" w:rsidRDefault="007C37DF" w:rsidP="00162D0B">
            <w:pPr>
              <w:pStyle w:val="TAH"/>
            </w:pPr>
            <w:r w:rsidRPr="00C972E7">
              <w:rPr>
                <w:rFonts w:cs="v4.2.0"/>
              </w:rPr>
              <w:t>eDRX_IDLE cycle length [s]</w:t>
            </w:r>
          </w:p>
        </w:tc>
        <w:tc>
          <w:tcPr>
            <w:tcW w:w="668" w:type="pct"/>
            <w:vMerge w:val="restart"/>
            <w:tcBorders>
              <w:top w:val="single" w:sz="4" w:space="0" w:color="auto"/>
              <w:left w:val="single" w:sz="4" w:space="0" w:color="auto"/>
              <w:bottom w:val="single" w:sz="4" w:space="0" w:color="auto"/>
              <w:right w:val="single" w:sz="4" w:space="0" w:color="auto"/>
            </w:tcBorders>
            <w:hideMark/>
          </w:tcPr>
          <w:p w14:paraId="1E77796F" w14:textId="77777777" w:rsidR="007C37DF" w:rsidRPr="00C972E7" w:rsidRDefault="007C37DF" w:rsidP="00162D0B">
            <w:pPr>
              <w:pStyle w:val="TAH"/>
            </w:pPr>
            <w:r w:rsidRPr="00C972E7">
              <w:t>DRX</w:t>
            </w:r>
            <w:r w:rsidRPr="00C972E7">
              <w:rPr>
                <w:rFonts w:cs="v4.2.0"/>
              </w:rPr>
              <w:t xml:space="preserve"> or eDRX</w:t>
            </w:r>
            <w:r w:rsidRPr="00C972E7">
              <w:t xml:space="preserve"> INACTIVE cycle length [s]</w:t>
            </w:r>
          </w:p>
        </w:tc>
        <w:tc>
          <w:tcPr>
            <w:tcW w:w="1094" w:type="pct"/>
            <w:vMerge w:val="restart"/>
            <w:tcBorders>
              <w:top w:val="single" w:sz="4" w:space="0" w:color="auto"/>
              <w:left w:val="single" w:sz="4" w:space="0" w:color="auto"/>
              <w:bottom w:val="single" w:sz="4" w:space="0" w:color="auto"/>
              <w:right w:val="single" w:sz="4" w:space="0" w:color="auto"/>
            </w:tcBorders>
            <w:hideMark/>
          </w:tcPr>
          <w:p w14:paraId="687A4F12" w14:textId="77777777" w:rsidR="007C37DF" w:rsidRPr="00C972E7" w:rsidRDefault="007C37DF" w:rsidP="00162D0B">
            <w:pPr>
              <w:pStyle w:val="TAH"/>
            </w:pPr>
            <w:r w:rsidRPr="00C972E7">
              <w:t>T</w:t>
            </w:r>
            <w:r w:rsidRPr="00C972E7">
              <w:rPr>
                <w:vertAlign w:val="subscript"/>
              </w:rPr>
              <w:t>detect,NR_</w:t>
            </w:r>
            <w:r w:rsidRPr="00C972E7">
              <w:rPr>
                <w:rFonts w:cs="v4.2.0"/>
                <w:vertAlign w:val="subscript"/>
              </w:rPr>
              <w:t>Inter_RedCap</w:t>
            </w:r>
            <w:r w:rsidRPr="00C972E7">
              <w:t xml:space="preserve"> [s] (number of DRX</w:t>
            </w:r>
            <w:r w:rsidRPr="00C972E7">
              <w:rPr>
                <w:rFonts w:cs="v4.2.0"/>
              </w:rPr>
              <w:t xml:space="preserve"> or eDRX</w:t>
            </w:r>
            <w:r w:rsidRPr="00C972E7">
              <w:t xml:space="preserve"> INACTIVE cycles)</w:t>
            </w:r>
          </w:p>
        </w:tc>
        <w:tc>
          <w:tcPr>
            <w:tcW w:w="1184" w:type="pct"/>
            <w:vMerge w:val="restart"/>
            <w:tcBorders>
              <w:top w:val="single" w:sz="4" w:space="0" w:color="auto"/>
              <w:left w:val="single" w:sz="4" w:space="0" w:color="auto"/>
              <w:bottom w:val="single" w:sz="4" w:space="0" w:color="auto"/>
              <w:right w:val="single" w:sz="4" w:space="0" w:color="auto"/>
            </w:tcBorders>
            <w:hideMark/>
          </w:tcPr>
          <w:p w14:paraId="373844C6" w14:textId="77777777" w:rsidR="007C37DF" w:rsidRPr="00C972E7" w:rsidRDefault="007C37DF" w:rsidP="00162D0B">
            <w:pPr>
              <w:pStyle w:val="TAH"/>
            </w:pPr>
            <w:r w:rsidRPr="00C972E7">
              <w:t>T</w:t>
            </w:r>
            <w:r w:rsidRPr="00C972E7">
              <w:rPr>
                <w:vertAlign w:val="subscript"/>
              </w:rPr>
              <w:t>measure,NR_</w:t>
            </w:r>
            <w:r w:rsidRPr="00C972E7">
              <w:rPr>
                <w:rFonts w:cs="v4.2.0"/>
                <w:vertAlign w:val="subscript"/>
              </w:rPr>
              <w:t>Inter_RedCap</w:t>
            </w:r>
            <w:r w:rsidRPr="00C972E7">
              <w:t xml:space="preserve"> [s] (number of DRX</w:t>
            </w:r>
            <w:r w:rsidRPr="00C972E7">
              <w:rPr>
                <w:rFonts w:cs="v4.2.0"/>
              </w:rPr>
              <w:t xml:space="preserve"> or eDRX</w:t>
            </w:r>
            <w:r w:rsidRPr="00C972E7">
              <w:t xml:space="preserve"> INACTIVE cycles)</w:t>
            </w:r>
          </w:p>
        </w:tc>
        <w:tc>
          <w:tcPr>
            <w:tcW w:w="1175" w:type="pct"/>
            <w:vMerge w:val="restart"/>
            <w:tcBorders>
              <w:top w:val="single" w:sz="4" w:space="0" w:color="auto"/>
              <w:left w:val="single" w:sz="4" w:space="0" w:color="auto"/>
              <w:bottom w:val="single" w:sz="4" w:space="0" w:color="auto"/>
              <w:right w:val="single" w:sz="4" w:space="0" w:color="auto"/>
            </w:tcBorders>
            <w:hideMark/>
          </w:tcPr>
          <w:p w14:paraId="04B3349A" w14:textId="77777777" w:rsidR="007C37DF" w:rsidRPr="00C972E7" w:rsidRDefault="007C37DF" w:rsidP="00162D0B">
            <w:pPr>
              <w:pStyle w:val="TAH"/>
            </w:pPr>
            <w:r w:rsidRPr="00C972E7">
              <w:t>T</w:t>
            </w:r>
            <w:r w:rsidRPr="00C972E7">
              <w:rPr>
                <w:vertAlign w:val="subscript"/>
              </w:rPr>
              <w:t>evaluate,NR_</w:t>
            </w:r>
            <w:r w:rsidRPr="00C972E7">
              <w:rPr>
                <w:rFonts w:cs="v4.2.0"/>
                <w:vertAlign w:val="subscript"/>
              </w:rPr>
              <w:t>Inter_RedCap</w:t>
            </w:r>
            <w:r w:rsidRPr="00C972E7">
              <w:rPr>
                <w:rFonts w:cs="Arial"/>
              </w:rPr>
              <w:t xml:space="preserve"> </w:t>
            </w:r>
            <w:r w:rsidRPr="00C972E7">
              <w:t xml:space="preserve">[s] (number of DRX </w:t>
            </w:r>
            <w:r w:rsidRPr="00C972E7">
              <w:rPr>
                <w:rFonts w:cs="v4.2.0"/>
              </w:rPr>
              <w:t>or eDRX</w:t>
            </w:r>
            <w:r w:rsidRPr="00C972E7">
              <w:t xml:space="preserve"> INACTIVE cycles)</w:t>
            </w:r>
          </w:p>
        </w:tc>
      </w:tr>
      <w:tr w:rsidR="007C37DF" w:rsidRPr="00C972E7" w14:paraId="3FBE19DF" w14:textId="77777777" w:rsidTr="00162D0B">
        <w:trPr>
          <w:cantSplit/>
          <w:trHeight w:val="310"/>
          <w:jc w:val="center"/>
        </w:trPr>
        <w:tc>
          <w:tcPr>
            <w:tcW w:w="879" w:type="pct"/>
            <w:vMerge/>
            <w:tcBorders>
              <w:left w:val="single" w:sz="4" w:space="0" w:color="auto"/>
              <w:bottom w:val="single" w:sz="4" w:space="0" w:color="auto"/>
              <w:right w:val="single" w:sz="4" w:space="0" w:color="auto"/>
            </w:tcBorders>
          </w:tcPr>
          <w:p w14:paraId="1233CF19" w14:textId="77777777" w:rsidR="007C37DF" w:rsidRPr="00C972E7" w:rsidRDefault="007C37DF" w:rsidP="00162D0B">
            <w:pPr>
              <w:pStyle w:val="TAH"/>
            </w:pPr>
          </w:p>
        </w:tc>
        <w:tc>
          <w:tcPr>
            <w:tcW w:w="668" w:type="pct"/>
            <w:vMerge/>
            <w:tcBorders>
              <w:top w:val="single" w:sz="4" w:space="0" w:color="auto"/>
              <w:left w:val="single" w:sz="4" w:space="0" w:color="auto"/>
              <w:bottom w:val="single" w:sz="4" w:space="0" w:color="auto"/>
              <w:right w:val="single" w:sz="4" w:space="0" w:color="auto"/>
            </w:tcBorders>
            <w:vAlign w:val="center"/>
            <w:hideMark/>
          </w:tcPr>
          <w:p w14:paraId="689CA674" w14:textId="77777777" w:rsidR="007C37DF" w:rsidRPr="00C972E7" w:rsidRDefault="007C37DF" w:rsidP="00162D0B">
            <w:pPr>
              <w:pStyle w:val="TAH"/>
            </w:pPr>
          </w:p>
        </w:tc>
        <w:tc>
          <w:tcPr>
            <w:tcW w:w="1094" w:type="pct"/>
            <w:vMerge/>
            <w:tcBorders>
              <w:top w:val="single" w:sz="4" w:space="0" w:color="auto"/>
              <w:left w:val="single" w:sz="4" w:space="0" w:color="auto"/>
              <w:bottom w:val="single" w:sz="4" w:space="0" w:color="auto"/>
              <w:right w:val="single" w:sz="4" w:space="0" w:color="auto"/>
            </w:tcBorders>
            <w:vAlign w:val="center"/>
            <w:hideMark/>
          </w:tcPr>
          <w:p w14:paraId="5CAAAF11" w14:textId="77777777" w:rsidR="007C37DF" w:rsidRPr="00C972E7" w:rsidRDefault="007C37DF" w:rsidP="00162D0B">
            <w:pPr>
              <w:pStyle w:val="TAH"/>
            </w:pPr>
          </w:p>
        </w:tc>
        <w:tc>
          <w:tcPr>
            <w:tcW w:w="1184" w:type="pct"/>
            <w:vMerge/>
            <w:tcBorders>
              <w:top w:val="single" w:sz="4" w:space="0" w:color="auto"/>
              <w:left w:val="single" w:sz="4" w:space="0" w:color="auto"/>
              <w:bottom w:val="single" w:sz="4" w:space="0" w:color="auto"/>
              <w:right w:val="single" w:sz="4" w:space="0" w:color="auto"/>
            </w:tcBorders>
            <w:vAlign w:val="center"/>
            <w:hideMark/>
          </w:tcPr>
          <w:p w14:paraId="1B0B13D7" w14:textId="77777777" w:rsidR="007C37DF" w:rsidRPr="00C972E7" w:rsidRDefault="007C37DF" w:rsidP="00162D0B">
            <w:pPr>
              <w:pStyle w:val="TAH"/>
            </w:pPr>
          </w:p>
        </w:tc>
        <w:tc>
          <w:tcPr>
            <w:tcW w:w="1175" w:type="pct"/>
            <w:vMerge/>
            <w:tcBorders>
              <w:top w:val="single" w:sz="4" w:space="0" w:color="auto"/>
              <w:left w:val="single" w:sz="4" w:space="0" w:color="auto"/>
              <w:bottom w:val="single" w:sz="4" w:space="0" w:color="auto"/>
              <w:right w:val="single" w:sz="4" w:space="0" w:color="auto"/>
            </w:tcBorders>
            <w:vAlign w:val="center"/>
            <w:hideMark/>
          </w:tcPr>
          <w:p w14:paraId="1304F1D4" w14:textId="77777777" w:rsidR="007C37DF" w:rsidRPr="00C972E7" w:rsidRDefault="007C37DF" w:rsidP="00162D0B">
            <w:pPr>
              <w:pStyle w:val="TAH"/>
            </w:pPr>
          </w:p>
        </w:tc>
      </w:tr>
      <w:tr w:rsidR="007C37DF" w:rsidRPr="00C972E7" w14:paraId="6C811532" w14:textId="77777777" w:rsidTr="00162D0B">
        <w:trPr>
          <w:cantSplit/>
          <w:jc w:val="center"/>
        </w:trPr>
        <w:tc>
          <w:tcPr>
            <w:tcW w:w="879" w:type="pct"/>
            <w:vMerge w:val="restart"/>
            <w:tcBorders>
              <w:top w:val="single" w:sz="4" w:space="0" w:color="auto"/>
              <w:left w:val="single" w:sz="4" w:space="0" w:color="auto"/>
              <w:right w:val="single" w:sz="4" w:space="0" w:color="auto"/>
            </w:tcBorders>
          </w:tcPr>
          <w:p w14:paraId="7AF36144" w14:textId="77777777" w:rsidR="007C37DF" w:rsidRPr="00C972E7" w:rsidRDefault="007C37DF" w:rsidP="00162D0B">
            <w:pPr>
              <w:pStyle w:val="TAC"/>
            </w:pPr>
            <w:r w:rsidRPr="00C972E7">
              <w:t>2.56 ≤</w:t>
            </w:r>
            <w:r w:rsidRPr="00C972E7">
              <w:rPr>
                <w:rFonts w:hint="eastAsia"/>
              </w:rPr>
              <w:t xml:space="preserve">eDRX_IDLE cycle length ≤ </w:t>
            </w:r>
            <w:r w:rsidRPr="00C972E7">
              <w:t>10485.76</w:t>
            </w:r>
          </w:p>
          <w:p w14:paraId="65E76510" w14:textId="77777777" w:rsidR="007C37DF" w:rsidRPr="00C972E7" w:rsidRDefault="007C37DF" w:rsidP="00162D0B">
            <w:pPr>
              <w:pStyle w:val="TAC"/>
            </w:pPr>
          </w:p>
        </w:tc>
        <w:tc>
          <w:tcPr>
            <w:tcW w:w="668" w:type="pct"/>
            <w:tcBorders>
              <w:top w:val="single" w:sz="4" w:space="0" w:color="auto"/>
              <w:left w:val="single" w:sz="4" w:space="0" w:color="auto"/>
              <w:bottom w:val="single" w:sz="4" w:space="0" w:color="auto"/>
              <w:right w:val="single" w:sz="4" w:space="0" w:color="auto"/>
            </w:tcBorders>
            <w:hideMark/>
          </w:tcPr>
          <w:p w14:paraId="791CFE49" w14:textId="77777777" w:rsidR="007C37DF" w:rsidRPr="00C972E7" w:rsidRDefault="007C37DF" w:rsidP="00162D0B">
            <w:pPr>
              <w:pStyle w:val="TAC"/>
            </w:pPr>
            <w:r w:rsidRPr="00C972E7">
              <w:t>0.32</w:t>
            </w:r>
          </w:p>
        </w:tc>
        <w:tc>
          <w:tcPr>
            <w:tcW w:w="1094" w:type="pct"/>
            <w:tcBorders>
              <w:top w:val="single" w:sz="4" w:space="0" w:color="auto"/>
              <w:left w:val="single" w:sz="4" w:space="0" w:color="auto"/>
              <w:bottom w:val="single" w:sz="4" w:space="0" w:color="auto"/>
              <w:right w:val="single" w:sz="4" w:space="0" w:color="auto"/>
            </w:tcBorders>
            <w:hideMark/>
          </w:tcPr>
          <w:p w14:paraId="685430CD" w14:textId="77777777" w:rsidR="007C37DF" w:rsidRPr="00C972E7" w:rsidRDefault="007C37DF" w:rsidP="00162D0B">
            <w:pPr>
              <w:pStyle w:val="TAC"/>
            </w:pPr>
            <w:r w:rsidRPr="00C972E7">
              <w:t xml:space="preserve">11.52 </w:t>
            </w:r>
            <w:r w:rsidRPr="00C972E7">
              <w:rPr>
                <w:rFonts w:cs="Arial"/>
                <w:lang w:eastAsia="zh-CN"/>
              </w:rPr>
              <w:t xml:space="preserve">x 1.5 </w:t>
            </w:r>
            <w:r w:rsidRPr="00C972E7">
              <w:t xml:space="preserve">(36 </w:t>
            </w:r>
            <w:r w:rsidRPr="00C972E7">
              <w:rPr>
                <w:rFonts w:cs="Arial"/>
                <w:lang w:eastAsia="zh-CN"/>
              </w:rPr>
              <w:t>x 1.5</w:t>
            </w:r>
            <w:r w:rsidRPr="00C972E7">
              <w:t>)</w:t>
            </w:r>
          </w:p>
        </w:tc>
        <w:tc>
          <w:tcPr>
            <w:tcW w:w="1184" w:type="pct"/>
            <w:tcBorders>
              <w:top w:val="single" w:sz="4" w:space="0" w:color="auto"/>
              <w:left w:val="single" w:sz="4" w:space="0" w:color="auto"/>
              <w:bottom w:val="single" w:sz="4" w:space="0" w:color="auto"/>
              <w:right w:val="single" w:sz="4" w:space="0" w:color="auto"/>
            </w:tcBorders>
            <w:hideMark/>
          </w:tcPr>
          <w:p w14:paraId="00E1131A" w14:textId="77777777" w:rsidR="007C37DF" w:rsidRPr="00C972E7" w:rsidRDefault="007C37DF" w:rsidP="00162D0B">
            <w:pPr>
              <w:pStyle w:val="TAC"/>
            </w:pPr>
            <w:r w:rsidRPr="00C972E7">
              <w:t xml:space="preserve">1.28 x </w:t>
            </w:r>
            <w:r w:rsidRPr="00C972E7">
              <w:rPr>
                <w:rFonts w:cs="Arial"/>
                <w:lang w:eastAsia="zh-CN"/>
              </w:rPr>
              <w:t xml:space="preserve">1.5 </w:t>
            </w:r>
            <w:r w:rsidRPr="00C972E7">
              <w:t xml:space="preserve">(4 </w:t>
            </w:r>
            <w:r w:rsidRPr="00C972E7">
              <w:rPr>
                <w:rFonts w:cs="Arial"/>
                <w:lang w:eastAsia="zh-CN"/>
              </w:rPr>
              <w:t>x 1.5</w:t>
            </w:r>
            <w:r w:rsidRPr="00C972E7">
              <w:t>)</w:t>
            </w:r>
          </w:p>
        </w:tc>
        <w:tc>
          <w:tcPr>
            <w:tcW w:w="1175" w:type="pct"/>
            <w:tcBorders>
              <w:top w:val="single" w:sz="4" w:space="0" w:color="auto"/>
              <w:left w:val="single" w:sz="4" w:space="0" w:color="auto"/>
              <w:bottom w:val="single" w:sz="4" w:space="0" w:color="auto"/>
              <w:right w:val="single" w:sz="4" w:space="0" w:color="auto"/>
            </w:tcBorders>
            <w:hideMark/>
          </w:tcPr>
          <w:p w14:paraId="55A66BC4" w14:textId="77777777" w:rsidR="007C37DF" w:rsidRPr="00C972E7" w:rsidRDefault="007C37DF" w:rsidP="00162D0B">
            <w:pPr>
              <w:pStyle w:val="TAC"/>
            </w:pPr>
            <w:r w:rsidRPr="00C972E7">
              <w:t xml:space="preserve">5.12 </w:t>
            </w:r>
            <w:r w:rsidRPr="00C972E7">
              <w:rPr>
                <w:rFonts w:cs="Arial"/>
                <w:lang w:eastAsia="zh-CN"/>
              </w:rPr>
              <w:t xml:space="preserve">x 1.5 </w:t>
            </w:r>
            <w:r w:rsidRPr="00C972E7">
              <w:t xml:space="preserve">(16 </w:t>
            </w:r>
            <w:r w:rsidRPr="00C972E7">
              <w:rPr>
                <w:rFonts w:cs="Arial"/>
                <w:lang w:eastAsia="zh-CN"/>
              </w:rPr>
              <w:t>x 1.5</w:t>
            </w:r>
            <w:r w:rsidRPr="00C972E7">
              <w:t>)</w:t>
            </w:r>
          </w:p>
        </w:tc>
      </w:tr>
      <w:tr w:rsidR="007C37DF" w:rsidRPr="00C972E7" w14:paraId="70589F81" w14:textId="77777777" w:rsidTr="00162D0B">
        <w:trPr>
          <w:cantSplit/>
          <w:jc w:val="center"/>
        </w:trPr>
        <w:tc>
          <w:tcPr>
            <w:tcW w:w="879" w:type="pct"/>
            <w:vMerge/>
            <w:tcBorders>
              <w:left w:val="single" w:sz="4" w:space="0" w:color="auto"/>
              <w:right w:val="single" w:sz="4" w:space="0" w:color="auto"/>
            </w:tcBorders>
          </w:tcPr>
          <w:p w14:paraId="2F17000C" w14:textId="77777777" w:rsidR="007C37DF" w:rsidRPr="00C972E7" w:rsidRDefault="007C37DF" w:rsidP="00162D0B">
            <w:pPr>
              <w:pStyle w:val="TAC"/>
            </w:pPr>
          </w:p>
        </w:tc>
        <w:tc>
          <w:tcPr>
            <w:tcW w:w="668" w:type="pct"/>
            <w:tcBorders>
              <w:top w:val="single" w:sz="4" w:space="0" w:color="auto"/>
              <w:left w:val="single" w:sz="4" w:space="0" w:color="auto"/>
              <w:bottom w:val="single" w:sz="4" w:space="0" w:color="auto"/>
              <w:right w:val="single" w:sz="4" w:space="0" w:color="auto"/>
            </w:tcBorders>
            <w:hideMark/>
          </w:tcPr>
          <w:p w14:paraId="2069A0F5" w14:textId="77777777" w:rsidR="007C37DF" w:rsidRPr="00C972E7" w:rsidRDefault="007C37DF" w:rsidP="00162D0B">
            <w:pPr>
              <w:pStyle w:val="TAC"/>
            </w:pPr>
            <w:r w:rsidRPr="00C972E7">
              <w:t>0.64</w:t>
            </w:r>
          </w:p>
        </w:tc>
        <w:tc>
          <w:tcPr>
            <w:tcW w:w="1094" w:type="pct"/>
            <w:tcBorders>
              <w:top w:val="single" w:sz="4" w:space="0" w:color="auto"/>
              <w:left w:val="single" w:sz="4" w:space="0" w:color="auto"/>
              <w:bottom w:val="single" w:sz="4" w:space="0" w:color="auto"/>
              <w:right w:val="single" w:sz="4" w:space="0" w:color="auto"/>
            </w:tcBorders>
            <w:hideMark/>
          </w:tcPr>
          <w:p w14:paraId="0F508D41" w14:textId="77777777" w:rsidR="007C37DF" w:rsidRPr="00C972E7" w:rsidRDefault="007C37DF" w:rsidP="00162D0B">
            <w:pPr>
              <w:pStyle w:val="TAC"/>
            </w:pPr>
            <w:r w:rsidRPr="00C972E7">
              <w:t>17.92 (28)</w:t>
            </w:r>
          </w:p>
        </w:tc>
        <w:tc>
          <w:tcPr>
            <w:tcW w:w="1184" w:type="pct"/>
            <w:tcBorders>
              <w:top w:val="single" w:sz="4" w:space="0" w:color="auto"/>
              <w:left w:val="single" w:sz="4" w:space="0" w:color="auto"/>
              <w:bottom w:val="single" w:sz="4" w:space="0" w:color="auto"/>
              <w:right w:val="single" w:sz="4" w:space="0" w:color="auto"/>
            </w:tcBorders>
            <w:hideMark/>
          </w:tcPr>
          <w:p w14:paraId="2047BD93" w14:textId="77777777" w:rsidR="007C37DF" w:rsidRPr="00C972E7" w:rsidRDefault="007C37DF" w:rsidP="00162D0B">
            <w:pPr>
              <w:pStyle w:val="TAC"/>
            </w:pPr>
            <w:r w:rsidRPr="00C972E7">
              <w:t>1.28 (2)</w:t>
            </w:r>
          </w:p>
        </w:tc>
        <w:tc>
          <w:tcPr>
            <w:tcW w:w="1175" w:type="pct"/>
            <w:tcBorders>
              <w:top w:val="single" w:sz="4" w:space="0" w:color="auto"/>
              <w:left w:val="single" w:sz="4" w:space="0" w:color="auto"/>
              <w:bottom w:val="single" w:sz="4" w:space="0" w:color="auto"/>
              <w:right w:val="single" w:sz="4" w:space="0" w:color="auto"/>
            </w:tcBorders>
            <w:hideMark/>
          </w:tcPr>
          <w:p w14:paraId="7B406466" w14:textId="77777777" w:rsidR="007C37DF" w:rsidRPr="00C972E7" w:rsidRDefault="007C37DF" w:rsidP="00162D0B">
            <w:pPr>
              <w:pStyle w:val="TAC"/>
            </w:pPr>
            <w:r w:rsidRPr="00C972E7">
              <w:t>5.12 (8)</w:t>
            </w:r>
          </w:p>
        </w:tc>
      </w:tr>
      <w:tr w:rsidR="007C37DF" w:rsidRPr="00C972E7" w14:paraId="2E721AE6" w14:textId="77777777" w:rsidTr="00162D0B">
        <w:trPr>
          <w:cantSplit/>
          <w:jc w:val="center"/>
        </w:trPr>
        <w:tc>
          <w:tcPr>
            <w:tcW w:w="879" w:type="pct"/>
            <w:vMerge/>
            <w:tcBorders>
              <w:left w:val="single" w:sz="4" w:space="0" w:color="auto"/>
              <w:right w:val="single" w:sz="4" w:space="0" w:color="auto"/>
            </w:tcBorders>
          </w:tcPr>
          <w:p w14:paraId="12EBFAD9" w14:textId="77777777" w:rsidR="007C37DF" w:rsidRPr="00C972E7" w:rsidRDefault="007C37DF" w:rsidP="00162D0B">
            <w:pPr>
              <w:pStyle w:val="TAC"/>
            </w:pPr>
          </w:p>
        </w:tc>
        <w:tc>
          <w:tcPr>
            <w:tcW w:w="668" w:type="pct"/>
            <w:tcBorders>
              <w:top w:val="single" w:sz="4" w:space="0" w:color="auto"/>
              <w:left w:val="single" w:sz="4" w:space="0" w:color="auto"/>
              <w:bottom w:val="single" w:sz="4" w:space="0" w:color="auto"/>
              <w:right w:val="single" w:sz="4" w:space="0" w:color="auto"/>
            </w:tcBorders>
            <w:hideMark/>
          </w:tcPr>
          <w:p w14:paraId="0203085D" w14:textId="77777777" w:rsidR="007C37DF" w:rsidRPr="00C972E7" w:rsidRDefault="007C37DF" w:rsidP="00162D0B">
            <w:pPr>
              <w:pStyle w:val="TAC"/>
            </w:pPr>
            <w:r w:rsidRPr="00C972E7">
              <w:t>1.28</w:t>
            </w:r>
          </w:p>
        </w:tc>
        <w:tc>
          <w:tcPr>
            <w:tcW w:w="1094" w:type="pct"/>
            <w:tcBorders>
              <w:top w:val="single" w:sz="4" w:space="0" w:color="auto"/>
              <w:left w:val="single" w:sz="4" w:space="0" w:color="auto"/>
              <w:bottom w:val="single" w:sz="4" w:space="0" w:color="auto"/>
              <w:right w:val="single" w:sz="4" w:space="0" w:color="auto"/>
            </w:tcBorders>
            <w:hideMark/>
          </w:tcPr>
          <w:p w14:paraId="49648DBC" w14:textId="77777777" w:rsidR="007C37DF" w:rsidRPr="00C972E7" w:rsidRDefault="007C37DF" w:rsidP="00162D0B">
            <w:pPr>
              <w:pStyle w:val="TAC"/>
            </w:pPr>
            <w:r w:rsidRPr="00C972E7">
              <w:t>32 (25)</w:t>
            </w:r>
          </w:p>
        </w:tc>
        <w:tc>
          <w:tcPr>
            <w:tcW w:w="1184" w:type="pct"/>
            <w:tcBorders>
              <w:top w:val="single" w:sz="4" w:space="0" w:color="auto"/>
              <w:left w:val="single" w:sz="4" w:space="0" w:color="auto"/>
              <w:bottom w:val="single" w:sz="4" w:space="0" w:color="auto"/>
              <w:right w:val="single" w:sz="4" w:space="0" w:color="auto"/>
            </w:tcBorders>
            <w:hideMark/>
          </w:tcPr>
          <w:p w14:paraId="319E36BF" w14:textId="77777777" w:rsidR="007C37DF" w:rsidRPr="00C972E7" w:rsidRDefault="007C37DF" w:rsidP="00162D0B">
            <w:pPr>
              <w:pStyle w:val="TAC"/>
            </w:pPr>
            <w:r w:rsidRPr="00C972E7">
              <w:t>1.28 (1)</w:t>
            </w:r>
          </w:p>
        </w:tc>
        <w:tc>
          <w:tcPr>
            <w:tcW w:w="1175" w:type="pct"/>
            <w:tcBorders>
              <w:top w:val="single" w:sz="4" w:space="0" w:color="auto"/>
              <w:left w:val="single" w:sz="4" w:space="0" w:color="auto"/>
              <w:bottom w:val="single" w:sz="4" w:space="0" w:color="auto"/>
              <w:right w:val="single" w:sz="4" w:space="0" w:color="auto"/>
            </w:tcBorders>
            <w:hideMark/>
          </w:tcPr>
          <w:p w14:paraId="1DA718E0" w14:textId="77777777" w:rsidR="007C37DF" w:rsidRPr="00C972E7" w:rsidRDefault="007C37DF" w:rsidP="00162D0B">
            <w:pPr>
              <w:pStyle w:val="TAC"/>
            </w:pPr>
            <w:r w:rsidRPr="00C972E7">
              <w:t>6.4 (5)</w:t>
            </w:r>
          </w:p>
        </w:tc>
      </w:tr>
      <w:tr w:rsidR="007C37DF" w:rsidRPr="00C972E7" w14:paraId="3328D779" w14:textId="77777777" w:rsidTr="00162D0B">
        <w:trPr>
          <w:cantSplit/>
          <w:jc w:val="center"/>
        </w:trPr>
        <w:tc>
          <w:tcPr>
            <w:tcW w:w="879" w:type="pct"/>
            <w:vMerge/>
            <w:tcBorders>
              <w:left w:val="single" w:sz="4" w:space="0" w:color="auto"/>
              <w:right w:val="single" w:sz="4" w:space="0" w:color="auto"/>
            </w:tcBorders>
          </w:tcPr>
          <w:p w14:paraId="6A7EB501" w14:textId="77777777" w:rsidR="007C37DF" w:rsidRPr="00C972E7" w:rsidRDefault="007C37DF" w:rsidP="00162D0B">
            <w:pPr>
              <w:pStyle w:val="TAC"/>
            </w:pPr>
          </w:p>
        </w:tc>
        <w:tc>
          <w:tcPr>
            <w:tcW w:w="668" w:type="pct"/>
            <w:tcBorders>
              <w:top w:val="single" w:sz="4" w:space="0" w:color="auto"/>
              <w:left w:val="single" w:sz="4" w:space="0" w:color="auto"/>
              <w:bottom w:val="single" w:sz="4" w:space="0" w:color="auto"/>
              <w:right w:val="single" w:sz="4" w:space="0" w:color="auto"/>
            </w:tcBorders>
            <w:hideMark/>
          </w:tcPr>
          <w:p w14:paraId="19F2E432" w14:textId="77777777" w:rsidR="007C37DF" w:rsidRPr="00C972E7" w:rsidRDefault="007C37DF" w:rsidP="00162D0B">
            <w:pPr>
              <w:pStyle w:val="TAC"/>
            </w:pPr>
            <w:r w:rsidRPr="00C972E7">
              <w:t>2.56</w:t>
            </w:r>
          </w:p>
        </w:tc>
        <w:tc>
          <w:tcPr>
            <w:tcW w:w="1094" w:type="pct"/>
            <w:tcBorders>
              <w:top w:val="single" w:sz="4" w:space="0" w:color="auto"/>
              <w:left w:val="single" w:sz="4" w:space="0" w:color="auto"/>
              <w:bottom w:val="single" w:sz="4" w:space="0" w:color="auto"/>
              <w:right w:val="single" w:sz="4" w:space="0" w:color="auto"/>
            </w:tcBorders>
            <w:hideMark/>
          </w:tcPr>
          <w:p w14:paraId="16291D2C" w14:textId="77777777" w:rsidR="007C37DF" w:rsidRPr="00C972E7" w:rsidRDefault="007C37DF" w:rsidP="00162D0B">
            <w:pPr>
              <w:pStyle w:val="TAC"/>
            </w:pPr>
            <w:r w:rsidRPr="00C972E7">
              <w:t>58.88 (23)</w:t>
            </w:r>
          </w:p>
        </w:tc>
        <w:tc>
          <w:tcPr>
            <w:tcW w:w="1184" w:type="pct"/>
            <w:tcBorders>
              <w:top w:val="single" w:sz="4" w:space="0" w:color="auto"/>
              <w:left w:val="single" w:sz="4" w:space="0" w:color="auto"/>
              <w:bottom w:val="single" w:sz="4" w:space="0" w:color="auto"/>
              <w:right w:val="single" w:sz="4" w:space="0" w:color="auto"/>
            </w:tcBorders>
            <w:hideMark/>
          </w:tcPr>
          <w:p w14:paraId="4250CDA4" w14:textId="77777777" w:rsidR="007C37DF" w:rsidRPr="00C972E7" w:rsidRDefault="007C37DF" w:rsidP="00162D0B">
            <w:pPr>
              <w:pStyle w:val="TAC"/>
            </w:pPr>
            <w:r w:rsidRPr="00C972E7">
              <w:t>2.56 (1)</w:t>
            </w:r>
          </w:p>
        </w:tc>
        <w:tc>
          <w:tcPr>
            <w:tcW w:w="1175" w:type="pct"/>
            <w:tcBorders>
              <w:top w:val="single" w:sz="4" w:space="0" w:color="auto"/>
              <w:left w:val="single" w:sz="4" w:space="0" w:color="auto"/>
              <w:bottom w:val="single" w:sz="4" w:space="0" w:color="auto"/>
              <w:right w:val="single" w:sz="4" w:space="0" w:color="auto"/>
            </w:tcBorders>
            <w:hideMark/>
          </w:tcPr>
          <w:p w14:paraId="30EDF04F" w14:textId="77777777" w:rsidR="007C37DF" w:rsidRPr="00C972E7" w:rsidRDefault="007C37DF" w:rsidP="00162D0B">
            <w:pPr>
              <w:pStyle w:val="TAC"/>
            </w:pPr>
            <w:r w:rsidRPr="00C972E7">
              <w:t>7.68 (3)</w:t>
            </w:r>
          </w:p>
        </w:tc>
      </w:tr>
      <w:tr w:rsidR="007C37DF" w:rsidRPr="00C972E7" w14:paraId="5424431B" w14:textId="77777777" w:rsidTr="00162D0B">
        <w:trPr>
          <w:cantSplit/>
          <w:jc w:val="center"/>
        </w:trPr>
        <w:tc>
          <w:tcPr>
            <w:tcW w:w="879" w:type="pct"/>
            <w:vMerge/>
            <w:tcBorders>
              <w:left w:val="single" w:sz="4" w:space="0" w:color="auto"/>
              <w:right w:val="single" w:sz="4" w:space="0" w:color="auto"/>
            </w:tcBorders>
          </w:tcPr>
          <w:p w14:paraId="40DF0F74" w14:textId="77777777" w:rsidR="007C37DF" w:rsidRPr="00C972E7" w:rsidRDefault="007C37DF" w:rsidP="00162D0B">
            <w:pPr>
              <w:pStyle w:val="TAC"/>
            </w:pPr>
          </w:p>
        </w:tc>
        <w:tc>
          <w:tcPr>
            <w:tcW w:w="668" w:type="pct"/>
            <w:tcBorders>
              <w:top w:val="single" w:sz="4" w:space="0" w:color="auto"/>
              <w:left w:val="single" w:sz="4" w:space="0" w:color="auto"/>
              <w:bottom w:val="single" w:sz="4" w:space="0" w:color="auto"/>
              <w:right w:val="single" w:sz="4" w:space="0" w:color="auto"/>
            </w:tcBorders>
          </w:tcPr>
          <w:p w14:paraId="4860AE74" w14:textId="77777777" w:rsidR="007C37DF" w:rsidRPr="00C972E7" w:rsidRDefault="007C37DF" w:rsidP="00162D0B">
            <w:pPr>
              <w:pStyle w:val="TAC"/>
              <w:rPr>
                <w:lang w:eastAsia="zh-CN"/>
              </w:rPr>
            </w:pPr>
            <w:r w:rsidRPr="00C972E7">
              <w:rPr>
                <w:rFonts w:hint="eastAsia"/>
                <w:lang w:eastAsia="zh-CN"/>
              </w:rPr>
              <w:t>5</w:t>
            </w:r>
            <w:r w:rsidRPr="00C972E7">
              <w:rPr>
                <w:lang w:eastAsia="zh-CN"/>
              </w:rPr>
              <w:t>.12</w:t>
            </w:r>
          </w:p>
        </w:tc>
        <w:tc>
          <w:tcPr>
            <w:tcW w:w="1094" w:type="pct"/>
            <w:tcBorders>
              <w:top w:val="single" w:sz="4" w:space="0" w:color="auto"/>
              <w:left w:val="single" w:sz="4" w:space="0" w:color="auto"/>
              <w:bottom w:val="single" w:sz="4" w:space="0" w:color="auto"/>
              <w:right w:val="single" w:sz="4" w:space="0" w:color="auto"/>
            </w:tcBorders>
          </w:tcPr>
          <w:p w14:paraId="401185C3" w14:textId="77777777" w:rsidR="007C37DF" w:rsidRPr="00C972E7" w:rsidRDefault="007C37DF" w:rsidP="00162D0B">
            <w:pPr>
              <w:pStyle w:val="TAC"/>
            </w:pPr>
            <w:r w:rsidRPr="00C972E7">
              <w:rPr>
                <w:lang w:eastAsia="zh-CN"/>
              </w:rPr>
              <w:t>117.76</w:t>
            </w:r>
            <w:r w:rsidRPr="00C972E7">
              <w:t xml:space="preserve"> (23)</w:t>
            </w:r>
          </w:p>
        </w:tc>
        <w:tc>
          <w:tcPr>
            <w:tcW w:w="1184" w:type="pct"/>
            <w:tcBorders>
              <w:top w:val="single" w:sz="4" w:space="0" w:color="auto"/>
              <w:left w:val="single" w:sz="4" w:space="0" w:color="auto"/>
              <w:bottom w:val="single" w:sz="4" w:space="0" w:color="auto"/>
              <w:right w:val="single" w:sz="4" w:space="0" w:color="auto"/>
            </w:tcBorders>
          </w:tcPr>
          <w:p w14:paraId="7B4559B6" w14:textId="77777777" w:rsidR="007C37DF" w:rsidRPr="00C972E7" w:rsidRDefault="007C37DF" w:rsidP="00162D0B">
            <w:pPr>
              <w:pStyle w:val="TAC"/>
            </w:pPr>
            <w:r w:rsidRPr="00C972E7">
              <w:t>5.12 (1)</w:t>
            </w:r>
          </w:p>
        </w:tc>
        <w:tc>
          <w:tcPr>
            <w:tcW w:w="1175" w:type="pct"/>
            <w:tcBorders>
              <w:top w:val="single" w:sz="4" w:space="0" w:color="auto"/>
              <w:left w:val="single" w:sz="4" w:space="0" w:color="auto"/>
              <w:bottom w:val="single" w:sz="4" w:space="0" w:color="auto"/>
              <w:right w:val="single" w:sz="4" w:space="0" w:color="auto"/>
            </w:tcBorders>
          </w:tcPr>
          <w:p w14:paraId="2E8F8D16" w14:textId="77777777" w:rsidR="007C37DF" w:rsidRPr="00C972E7" w:rsidRDefault="007C37DF" w:rsidP="00162D0B">
            <w:pPr>
              <w:pStyle w:val="TAC"/>
            </w:pPr>
            <w:r w:rsidRPr="00C972E7">
              <w:t>15.36 (3)</w:t>
            </w:r>
          </w:p>
        </w:tc>
      </w:tr>
      <w:tr w:rsidR="007C37DF" w:rsidRPr="00C972E7" w14:paraId="0D18A1E7" w14:textId="77777777" w:rsidTr="00162D0B">
        <w:trPr>
          <w:cantSplit/>
          <w:jc w:val="center"/>
        </w:trPr>
        <w:tc>
          <w:tcPr>
            <w:tcW w:w="879" w:type="pct"/>
            <w:vMerge/>
            <w:tcBorders>
              <w:left w:val="single" w:sz="4" w:space="0" w:color="auto"/>
              <w:right w:val="single" w:sz="4" w:space="0" w:color="auto"/>
            </w:tcBorders>
          </w:tcPr>
          <w:p w14:paraId="0E2F52E8" w14:textId="77777777" w:rsidR="007C37DF" w:rsidRPr="00C972E7" w:rsidRDefault="007C37DF" w:rsidP="00162D0B">
            <w:pPr>
              <w:pStyle w:val="TAC"/>
            </w:pPr>
          </w:p>
        </w:tc>
        <w:tc>
          <w:tcPr>
            <w:tcW w:w="668" w:type="pct"/>
            <w:tcBorders>
              <w:top w:val="single" w:sz="4" w:space="0" w:color="auto"/>
              <w:left w:val="single" w:sz="4" w:space="0" w:color="auto"/>
              <w:bottom w:val="single" w:sz="4" w:space="0" w:color="auto"/>
              <w:right w:val="single" w:sz="4" w:space="0" w:color="auto"/>
            </w:tcBorders>
          </w:tcPr>
          <w:p w14:paraId="488C3791" w14:textId="77777777" w:rsidR="007C37DF" w:rsidRPr="00C972E7" w:rsidRDefault="007C37DF" w:rsidP="00162D0B">
            <w:pPr>
              <w:pStyle w:val="TAC"/>
              <w:rPr>
                <w:lang w:eastAsia="zh-CN"/>
              </w:rPr>
            </w:pPr>
            <w:r w:rsidRPr="00C972E7">
              <w:rPr>
                <w:rFonts w:hint="eastAsia"/>
                <w:lang w:eastAsia="zh-CN"/>
              </w:rPr>
              <w:t>1</w:t>
            </w:r>
            <w:r w:rsidRPr="00C972E7">
              <w:rPr>
                <w:lang w:eastAsia="zh-CN"/>
              </w:rPr>
              <w:t>0.24</w:t>
            </w:r>
          </w:p>
        </w:tc>
        <w:tc>
          <w:tcPr>
            <w:tcW w:w="1094" w:type="pct"/>
            <w:tcBorders>
              <w:top w:val="single" w:sz="4" w:space="0" w:color="auto"/>
              <w:left w:val="single" w:sz="4" w:space="0" w:color="auto"/>
              <w:bottom w:val="single" w:sz="4" w:space="0" w:color="auto"/>
              <w:right w:val="single" w:sz="4" w:space="0" w:color="auto"/>
            </w:tcBorders>
          </w:tcPr>
          <w:p w14:paraId="463C92BD" w14:textId="77777777" w:rsidR="007C37DF" w:rsidRPr="00C972E7" w:rsidRDefault="007C37DF" w:rsidP="00162D0B">
            <w:pPr>
              <w:pStyle w:val="TAC"/>
            </w:pPr>
            <w:r w:rsidRPr="00C972E7">
              <w:rPr>
                <w:lang w:eastAsia="zh-CN"/>
              </w:rPr>
              <w:t>235.52</w:t>
            </w:r>
            <w:r w:rsidRPr="00C972E7">
              <w:t>(23)</w:t>
            </w:r>
          </w:p>
        </w:tc>
        <w:tc>
          <w:tcPr>
            <w:tcW w:w="1184" w:type="pct"/>
            <w:tcBorders>
              <w:top w:val="single" w:sz="4" w:space="0" w:color="auto"/>
              <w:left w:val="single" w:sz="4" w:space="0" w:color="auto"/>
              <w:bottom w:val="single" w:sz="4" w:space="0" w:color="auto"/>
              <w:right w:val="single" w:sz="4" w:space="0" w:color="auto"/>
            </w:tcBorders>
          </w:tcPr>
          <w:p w14:paraId="1CD62711" w14:textId="77777777" w:rsidR="007C37DF" w:rsidRPr="00C972E7" w:rsidRDefault="007C37DF" w:rsidP="00162D0B">
            <w:pPr>
              <w:pStyle w:val="TAC"/>
            </w:pPr>
            <w:r w:rsidRPr="00C972E7">
              <w:t>10.24 (1)</w:t>
            </w:r>
          </w:p>
        </w:tc>
        <w:tc>
          <w:tcPr>
            <w:tcW w:w="1175" w:type="pct"/>
            <w:tcBorders>
              <w:top w:val="single" w:sz="4" w:space="0" w:color="auto"/>
              <w:left w:val="single" w:sz="4" w:space="0" w:color="auto"/>
              <w:bottom w:val="single" w:sz="4" w:space="0" w:color="auto"/>
              <w:right w:val="single" w:sz="4" w:space="0" w:color="auto"/>
            </w:tcBorders>
          </w:tcPr>
          <w:p w14:paraId="5EA578D0" w14:textId="77777777" w:rsidR="007C37DF" w:rsidRPr="00C972E7" w:rsidRDefault="007C37DF" w:rsidP="00162D0B">
            <w:pPr>
              <w:pStyle w:val="TAC"/>
            </w:pPr>
            <w:r w:rsidRPr="00C972E7">
              <w:t>30.72 (3)</w:t>
            </w:r>
          </w:p>
        </w:tc>
      </w:tr>
    </w:tbl>
    <w:p w14:paraId="0507C256" w14:textId="77777777" w:rsidR="007C37DF" w:rsidRPr="00C972E7" w:rsidRDefault="007C37DF" w:rsidP="007C37DF">
      <w:pPr>
        <w:rPr>
          <w:rFonts w:cs="v4.2.0"/>
        </w:rPr>
      </w:pPr>
    </w:p>
    <w:p w14:paraId="15B6FF30" w14:textId="77777777" w:rsidR="007C37DF" w:rsidRPr="00C972E7" w:rsidRDefault="007C37DF" w:rsidP="007C37DF">
      <w:pPr>
        <w:pStyle w:val="TH"/>
      </w:pPr>
      <w:r w:rsidRPr="00C972E7">
        <w:rPr>
          <w:lang w:eastAsia="zh-CN"/>
        </w:rPr>
        <w:t>Table 5.1B.2.4-2: Tdetect, Tmeas and Tevaluate for inactive Redcap UE configured with eDRX_IDLE cycle, (Frequency range FR2)</w:t>
      </w:r>
    </w:p>
    <w:tbl>
      <w:tblPr>
        <w:tblW w:w="45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2"/>
        <w:gridCol w:w="1078"/>
        <w:gridCol w:w="857"/>
        <w:gridCol w:w="1733"/>
        <w:gridCol w:w="1874"/>
        <w:gridCol w:w="1861"/>
      </w:tblGrid>
      <w:tr w:rsidR="007C37DF" w:rsidRPr="00C972E7" w14:paraId="57C9447E" w14:textId="77777777" w:rsidTr="00162D0B">
        <w:trPr>
          <w:cantSplit/>
          <w:trHeight w:val="310"/>
          <w:jc w:val="center"/>
        </w:trPr>
        <w:tc>
          <w:tcPr>
            <w:tcW w:w="791" w:type="pct"/>
            <w:vMerge w:val="restart"/>
            <w:tcBorders>
              <w:top w:val="single" w:sz="4" w:space="0" w:color="auto"/>
              <w:left w:val="single" w:sz="4" w:space="0" w:color="auto"/>
              <w:right w:val="single" w:sz="4" w:space="0" w:color="auto"/>
            </w:tcBorders>
          </w:tcPr>
          <w:p w14:paraId="286892C8" w14:textId="77777777" w:rsidR="007C37DF" w:rsidRPr="00C972E7" w:rsidRDefault="007C37DF" w:rsidP="00162D0B">
            <w:pPr>
              <w:pStyle w:val="TAH"/>
            </w:pPr>
            <w:r w:rsidRPr="00C972E7">
              <w:rPr>
                <w:rFonts w:cs="v4.2.0"/>
              </w:rPr>
              <w:t>eDRX_IDLE cycle length [s]</w:t>
            </w:r>
          </w:p>
        </w:tc>
        <w:tc>
          <w:tcPr>
            <w:tcW w:w="613" w:type="pct"/>
            <w:vMerge w:val="restart"/>
            <w:tcBorders>
              <w:top w:val="single" w:sz="4" w:space="0" w:color="auto"/>
              <w:left w:val="single" w:sz="4" w:space="0" w:color="auto"/>
              <w:bottom w:val="single" w:sz="4" w:space="0" w:color="auto"/>
              <w:right w:val="single" w:sz="4" w:space="0" w:color="auto"/>
            </w:tcBorders>
            <w:hideMark/>
          </w:tcPr>
          <w:p w14:paraId="4ED3BAED" w14:textId="77777777" w:rsidR="007C37DF" w:rsidRPr="00C972E7" w:rsidRDefault="007C37DF" w:rsidP="00162D0B">
            <w:pPr>
              <w:pStyle w:val="TAH"/>
            </w:pPr>
            <w:r w:rsidRPr="00C972E7">
              <w:t>DRX</w:t>
            </w:r>
            <w:r w:rsidRPr="00C972E7">
              <w:rPr>
                <w:rFonts w:cs="v4.2.0"/>
              </w:rPr>
              <w:t xml:space="preserve"> or eDRX</w:t>
            </w:r>
            <w:r w:rsidRPr="00C972E7">
              <w:t xml:space="preserve"> INACTIVE cycle length [s]</w:t>
            </w:r>
          </w:p>
        </w:tc>
        <w:tc>
          <w:tcPr>
            <w:tcW w:w="487" w:type="pct"/>
            <w:vMerge w:val="restart"/>
            <w:tcBorders>
              <w:top w:val="single" w:sz="4" w:space="0" w:color="auto"/>
              <w:left w:val="single" w:sz="4" w:space="0" w:color="auto"/>
              <w:right w:val="single" w:sz="4" w:space="0" w:color="auto"/>
            </w:tcBorders>
          </w:tcPr>
          <w:p w14:paraId="2BB6FFC0" w14:textId="77777777" w:rsidR="007C37DF" w:rsidRPr="00C972E7" w:rsidRDefault="007C37DF" w:rsidP="00162D0B">
            <w:pPr>
              <w:pStyle w:val="TAH"/>
            </w:pPr>
            <w:r w:rsidRPr="00C972E7">
              <w:t>Scaling Factor (N1)</w:t>
            </w:r>
          </w:p>
        </w:tc>
        <w:tc>
          <w:tcPr>
            <w:tcW w:w="985" w:type="pct"/>
            <w:vMerge w:val="restart"/>
            <w:tcBorders>
              <w:top w:val="single" w:sz="4" w:space="0" w:color="auto"/>
              <w:left w:val="single" w:sz="4" w:space="0" w:color="auto"/>
              <w:bottom w:val="single" w:sz="4" w:space="0" w:color="auto"/>
              <w:right w:val="single" w:sz="4" w:space="0" w:color="auto"/>
            </w:tcBorders>
            <w:hideMark/>
          </w:tcPr>
          <w:p w14:paraId="267E2093" w14:textId="77777777" w:rsidR="007C37DF" w:rsidRPr="00C972E7" w:rsidRDefault="007C37DF" w:rsidP="00162D0B">
            <w:pPr>
              <w:pStyle w:val="TAH"/>
            </w:pPr>
            <w:r w:rsidRPr="00C972E7">
              <w:t>T</w:t>
            </w:r>
            <w:r w:rsidRPr="00C972E7">
              <w:rPr>
                <w:vertAlign w:val="subscript"/>
              </w:rPr>
              <w:t>detect,NR_</w:t>
            </w:r>
            <w:r w:rsidRPr="00C972E7">
              <w:rPr>
                <w:rFonts w:cs="v4.2.0"/>
                <w:vertAlign w:val="subscript"/>
              </w:rPr>
              <w:t>Inter_RedCap</w:t>
            </w:r>
            <w:r w:rsidRPr="00C972E7">
              <w:t xml:space="preserve"> [s] (number of DRX</w:t>
            </w:r>
            <w:r w:rsidRPr="00C972E7">
              <w:rPr>
                <w:rFonts w:cs="v4.2.0"/>
              </w:rPr>
              <w:t xml:space="preserve"> or eDRX</w:t>
            </w:r>
            <w:r w:rsidRPr="00C972E7">
              <w:t xml:space="preserve"> INACTIVE cycles)</w:t>
            </w:r>
          </w:p>
        </w:tc>
        <w:tc>
          <w:tcPr>
            <w:tcW w:w="1065" w:type="pct"/>
            <w:vMerge w:val="restart"/>
            <w:tcBorders>
              <w:top w:val="single" w:sz="4" w:space="0" w:color="auto"/>
              <w:left w:val="single" w:sz="4" w:space="0" w:color="auto"/>
              <w:bottom w:val="single" w:sz="4" w:space="0" w:color="auto"/>
              <w:right w:val="single" w:sz="4" w:space="0" w:color="auto"/>
            </w:tcBorders>
            <w:hideMark/>
          </w:tcPr>
          <w:p w14:paraId="4FB4673E" w14:textId="77777777" w:rsidR="007C37DF" w:rsidRPr="00C972E7" w:rsidRDefault="007C37DF" w:rsidP="00162D0B">
            <w:pPr>
              <w:pStyle w:val="TAH"/>
            </w:pPr>
            <w:r w:rsidRPr="00C972E7">
              <w:t>T</w:t>
            </w:r>
            <w:r w:rsidRPr="00C972E7">
              <w:rPr>
                <w:vertAlign w:val="subscript"/>
              </w:rPr>
              <w:t>measure,NR_</w:t>
            </w:r>
            <w:r w:rsidRPr="00C972E7">
              <w:rPr>
                <w:rFonts w:cs="v4.2.0"/>
                <w:vertAlign w:val="subscript"/>
              </w:rPr>
              <w:t>Inter_RedCap</w:t>
            </w:r>
            <w:r w:rsidRPr="00C972E7">
              <w:t xml:space="preserve"> [s] (number of DRX</w:t>
            </w:r>
            <w:r w:rsidRPr="00C972E7">
              <w:rPr>
                <w:rFonts w:cs="v4.2.0"/>
              </w:rPr>
              <w:t xml:space="preserve"> or eDRX</w:t>
            </w:r>
            <w:r w:rsidRPr="00C972E7">
              <w:t xml:space="preserve"> INACTIVE cycles)</w:t>
            </w:r>
          </w:p>
        </w:tc>
        <w:tc>
          <w:tcPr>
            <w:tcW w:w="1058" w:type="pct"/>
            <w:vMerge w:val="restart"/>
            <w:tcBorders>
              <w:top w:val="single" w:sz="4" w:space="0" w:color="auto"/>
              <w:left w:val="single" w:sz="4" w:space="0" w:color="auto"/>
              <w:bottom w:val="single" w:sz="4" w:space="0" w:color="auto"/>
              <w:right w:val="single" w:sz="4" w:space="0" w:color="auto"/>
            </w:tcBorders>
            <w:hideMark/>
          </w:tcPr>
          <w:p w14:paraId="56E98612" w14:textId="77777777" w:rsidR="007C37DF" w:rsidRPr="00C972E7" w:rsidRDefault="007C37DF" w:rsidP="00162D0B">
            <w:pPr>
              <w:pStyle w:val="TAH"/>
            </w:pPr>
            <w:r w:rsidRPr="00C972E7">
              <w:t>T</w:t>
            </w:r>
            <w:r w:rsidRPr="00C972E7">
              <w:rPr>
                <w:vertAlign w:val="subscript"/>
              </w:rPr>
              <w:t>evaluate,NR_</w:t>
            </w:r>
            <w:r w:rsidRPr="00C972E7">
              <w:rPr>
                <w:rFonts w:cs="v4.2.0"/>
                <w:vertAlign w:val="subscript"/>
              </w:rPr>
              <w:t>Inter_RedCap</w:t>
            </w:r>
            <w:r w:rsidRPr="00C972E7">
              <w:rPr>
                <w:rFonts w:cs="Arial"/>
              </w:rPr>
              <w:t xml:space="preserve"> </w:t>
            </w:r>
            <w:r w:rsidRPr="00C972E7">
              <w:t xml:space="preserve">[s] (number of DRX </w:t>
            </w:r>
            <w:r w:rsidRPr="00C972E7">
              <w:rPr>
                <w:rFonts w:cs="v4.2.0"/>
              </w:rPr>
              <w:t>or eDRX</w:t>
            </w:r>
            <w:r w:rsidRPr="00C972E7">
              <w:t xml:space="preserve"> INACTIVE cycles)</w:t>
            </w:r>
          </w:p>
        </w:tc>
      </w:tr>
      <w:tr w:rsidR="007C37DF" w:rsidRPr="00C972E7" w14:paraId="7886672E" w14:textId="77777777" w:rsidTr="00162D0B">
        <w:trPr>
          <w:cantSplit/>
          <w:trHeight w:val="310"/>
          <w:jc w:val="center"/>
        </w:trPr>
        <w:tc>
          <w:tcPr>
            <w:tcW w:w="791" w:type="pct"/>
            <w:vMerge/>
            <w:tcBorders>
              <w:left w:val="single" w:sz="4" w:space="0" w:color="auto"/>
              <w:bottom w:val="single" w:sz="4" w:space="0" w:color="auto"/>
              <w:right w:val="single" w:sz="4" w:space="0" w:color="auto"/>
            </w:tcBorders>
          </w:tcPr>
          <w:p w14:paraId="5F557B73" w14:textId="77777777" w:rsidR="007C37DF" w:rsidRPr="00C972E7" w:rsidRDefault="007C37DF" w:rsidP="00162D0B">
            <w:pPr>
              <w:pStyle w:val="TAH"/>
            </w:pPr>
          </w:p>
        </w:tc>
        <w:tc>
          <w:tcPr>
            <w:tcW w:w="613" w:type="pct"/>
            <w:vMerge/>
            <w:tcBorders>
              <w:top w:val="single" w:sz="4" w:space="0" w:color="auto"/>
              <w:left w:val="single" w:sz="4" w:space="0" w:color="auto"/>
              <w:bottom w:val="single" w:sz="4" w:space="0" w:color="auto"/>
              <w:right w:val="single" w:sz="4" w:space="0" w:color="auto"/>
            </w:tcBorders>
            <w:vAlign w:val="center"/>
            <w:hideMark/>
          </w:tcPr>
          <w:p w14:paraId="6D6DD745" w14:textId="77777777" w:rsidR="007C37DF" w:rsidRPr="00C972E7" w:rsidRDefault="007C37DF" w:rsidP="00162D0B">
            <w:pPr>
              <w:pStyle w:val="TAH"/>
            </w:pPr>
          </w:p>
        </w:tc>
        <w:tc>
          <w:tcPr>
            <w:tcW w:w="487" w:type="pct"/>
            <w:vMerge/>
            <w:tcBorders>
              <w:left w:val="single" w:sz="4" w:space="0" w:color="auto"/>
              <w:bottom w:val="single" w:sz="4" w:space="0" w:color="auto"/>
              <w:right w:val="single" w:sz="4" w:space="0" w:color="auto"/>
            </w:tcBorders>
            <w:hideMark/>
          </w:tcPr>
          <w:p w14:paraId="29E872DF" w14:textId="77777777" w:rsidR="007C37DF" w:rsidRPr="00C972E7" w:rsidRDefault="007C37DF" w:rsidP="00162D0B">
            <w:pPr>
              <w:pStyle w:val="TAH"/>
              <w:rPr>
                <w:vertAlign w:val="superscript"/>
              </w:rPr>
            </w:pPr>
          </w:p>
        </w:tc>
        <w:tc>
          <w:tcPr>
            <w:tcW w:w="985" w:type="pct"/>
            <w:vMerge/>
            <w:tcBorders>
              <w:top w:val="single" w:sz="4" w:space="0" w:color="auto"/>
              <w:left w:val="single" w:sz="4" w:space="0" w:color="auto"/>
              <w:bottom w:val="single" w:sz="4" w:space="0" w:color="auto"/>
              <w:right w:val="single" w:sz="4" w:space="0" w:color="auto"/>
            </w:tcBorders>
            <w:vAlign w:val="center"/>
            <w:hideMark/>
          </w:tcPr>
          <w:p w14:paraId="558B91C7" w14:textId="77777777" w:rsidR="007C37DF" w:rsidRPr="00C972E7" w:rsidRDefault="007C37DF" w:rsidP="00162D0B">
            <w:pPr>
              <w:pStyle w:val="TAH"/>
            </w:pPr>
          </w:p>
        </w:tc>
        <w:tc>
          <w:tcPr>
            <w:tcW w:w="1065" w:type="pct"/>
            <w:vMerge/>
            <w:tcBorders>
              <w:top w:val="single" w:sz="4" w:space="0" w:color="auto"/>
              <w:left w:val="single" w:sz="4" w:space="0" w:color="auto"/>
              <w:bottom w:val="single" w:sz="4" w:space="0" w:color="auto"/>
              <w:right w:val="single" w:sz="4" w:space="0" w:color="auto"/>
            </w:tcBorders>
            <w:vAlign w:val="center"/>
            <w:hideMark/>
          </w:tcPr>
          <w:p w14:paraId="6664650B" w14:textId="77777777" w:rsidR="007C37DF" w:rsidRPr="00C972E7" w:rsidRDefault="007C37DF" w:rsidP="00162D0B">
            <w:pPr>
              <w:pStyle w:val="TAH"/>
            </w:pPr>
          </w:p>
        </w:tc>
        <w:tc>
          <w:tcPr>
            <w:tcW w:w="1058" w:type="pct"/>
            <w:vMerge/>
            <w:tcBorders>
              <w:top w:val="single" w:sz="4" w:space="0" w:color="auto"/>
              <w:left w:val="single" w:sz="4" w:space="0" w:color="auto"/>
              <w:bottom w:val="single" w:sz="4" w:space="0" w:color="auto"/>
              <w:right w:val="single" w:sz="4" w:space="0" w:color="auto"/>
            </w:tcBorders>
            <w:vAlign w:val="center"/>
            <w:hideMark/>
          </w:tcPr>
          <w:p w14:paraId="34854A76" w14:textId="77777777" w:rsidR="007C37DF" w:rsidRPr="00C972E7" w:rsidRDefault="007C37DF" w:rsidP="00162D0B">
            <w:pPr>
              <w:pStyle w:val="TAH"/>
            </w:pPr>
          </w:p>
        </w:tc>
      </w:tr>
      <w:tr w:rsidR="007C37DF" w:rsidRPr="00C972E7" w14:paraId="2A9027EA" w14:textId="77777777" w:rsidTr="00162D0B">
        <w:trPr>
          <w:cantSplit/>
          <w:jc w:val="center"/>
        </w:trPr>
        <w:tc>
          <w:tcPr>
            <w:tcW w:w="791" w:type="pct"/>
            <w:vMerge w:val="restart"/>
            <w:tcBorders>
              <w:top w:val="single" w:sz="4" w:space="0" w:color="auto"/>
              <w:left w:val="single" w:sz="4" w:space="0" w:color="auto"/>
              <w:right w:val="single" w:sz="4" w:space="0" w:color="auto"/>
            </w:tcBorders>
          </w:tcPr>
          <w:p w14:paraId="57315981" w14:textId="77777777" w:rsidR="007C37DF" w:rsidRPr="00C972E7" w:rsidRDefault="007C37DF" w:rsidP="00162D0B">
            <w:pPr>
              <w:pStyle w:val="TAC"/>
            </w:pPr>
            <w:r w:rsidRPr="00C972E7">
              <w:t>2.56 ≤eDRX_IDLE cycle length ≤ 10485.76</w:t>
            </w:r>
          </w:p>
          <w:p w14:paraId="1B438534" w14:textId="77777777" w:rsidR="007C37DF" w:rsidRPr="00C972E7" w:rsidRDefault="007C37DF" w:rsidP="00162D0B">
            <w:pPr>
              <w:pStyle w:val="TAC"/>
            </w:pPr>
          </w:p>
        </w:tc>
        <w:tc>
          <w:tcPr>
            <w:tcW w:w="613" w:type="pct"/>
            <w:tcBorders>
              <w:top w:val="single" w:sz="4" w:space="0" w:color="auto"/>
              <w:left w:val="single" w:sz="4" w:space="0" w:color="auto"/>
              <w:bottom w:val="single" w:sz="4" w:space="0" w:color="auto"/>
              <w:right w:val="single" w:sz="4" w:space="0" w:color="auto"/>
            </w:tcBorders>
            <w:hideMark/>
          </w:tcPr>
          <w:p w14:paraId="0859DF7B" w14:textId="77777777" w:rsidR="007C37DF" w:rsidRPr="00C972E7" w:rsidRDefault="007C37DF" w:rsidP="00162D0B">
            <w:pPr>
              <w:pStyle w:val="TAC"/>
            </w:pPr>
            <w:r w:rsidRPr="00C972E7">
              <w:t>0.32</w:t>
            </w:r>
          </w:p>
        </w:tc>
        <w:tc>
          <w:tcPr>
            <w:tcW w:w="487" w:type="pct"/>
            <w:tcBorders>
              <w:top w:val="single" w:sz="4" w:space="0" w:color="auto"/>
              <w:left w:val="single" w:sz="4" w:space="0" w:color="auto"/>
              <w:bottom w:val="single" w:sz="4" w:space="0" w:color="auto"/>
              <w:right w:val="single" w:sz="4" w:space="0" w:color="auto"/>
            </w:tcBorders>
            <w:hideMark/>
          </w:tcPr>
          <w:p w14:paraId="7ADF1F03" w14:textId="77777777" w:rsidR="007C37DF" w:rsidRPr="00C972E7" w:rsidRDefault="007C37DF" w:rsidP="00162D0B">
            <w:pPr>
              <w:pStyle w:val="TAC"/>
            </w:pPr>
            <w:r w:rsidRPr="00C972E7">
              <w:t>8</w:t>
            </w:r>
          </w:p>
        </w:tc>
        <w:tc>
          <w:tcPr>
            <w:tcW w:w="985" w:type="pct"/>
            <w:tcBorders>
              <w:top w:val="single" w:sz="4" w:space="0" w:color="auto"/>
              <w:left w:val="single" w:sz="4" w:space="0" w:color="auto"/>
              <w:bottom w:val="single" w:sz="4" w:space="0" w:color="auto"/>
              <w:right w:val="single" w:sz="4" w:space="0" w:color="auto"/>
            </w:tcBorders>
            <w:hideMark/>
          </w:tcPr>
          <w:p w14:paraId="5CB5B22B" w14:textId="77777777" w:rsidR="007C37DF" w:rsidRPr="00C972E7" w:rsidRDefault="007C37DF" w:rsidP="00162D0B">
            <w:pPr>
              <w:pStyle w:val="TAC"/>
            </w:pPr>
            <w:r w:rsidRPr="00C972E7">
              <w:t xml:space="preserve">11.52 x N1 </w:t>
            </w:r>
            <w:r w:rsidRPr="00C972E7">
              <w:rPr>
                <w:rFonts w:cs="Arial"/>
                <w:lang w:eastAsia="zh-CN"/>
              </w:rPr>
              <w:t xml:space="preserve">x 1.5 </w:t>
            </w:r>
            <w:r w:rsidRPr="00C972E7">
              <w:t>(36 x N1</w:t>
            </w:r>
            <w:r w:rsidRPr="00C972E7">
              <w:rPr>
                <w:rFonts w:cs="Arial"/>
                <w:lang w:eastAsia="zh-CN"/>
              </w:rPr>
              <w:t xml:space="preserve"> x 1.5</w:t>
            </w:r>
            <w:r w:rsidRPr="00C972E7">
              <w:t>)</w:t>
            </w:r>
          </w:p>
        </w:tc>
        <w:tc>
          <w:tcPr>
            <w:tcW w:w="1065" w:type="pct"/>
            <w:tcBorders>
              <w:top w:val="single" w:sz="4" w:space="0" w:color="auto"/>
              <w:left w:val="single" w:sz="4" w:space="0" w:color="auto"/>
              <w:bottom w:val="single" w:sz="4" w:space="0" w:color="auto"/>
              <w:right w:val="single" w:sz="4" w:space="0" w:color="auto"/>
            </w:tcBorders>
            <w:hideMark/>
          </w:tcPr>
          <w:p w14:paraId="41811408" w14:textId="77777777" w:rsidR="007C37DF" w:rsidRPr="00C972E7" w:rsidRDefault="007C37DF" w:rsidP="00162D0B">
            <w:pPr>
              <w:pStyle w:val="TAC"/>
            </w:pPr>
            <w:r w:rsidRPr="00C972E7">
              <w:t xml:space="preserve">1.28 x N1 </w:t>
            </w:r>
            <w:r w:rsidRPr="00C972E7">
              <w:rPr>
                <w:rFonts w:cs="Arial"/>
                <w:lang w:eastAsia="zh-CN"/>
              </w:rPr>
              <w:t xml:space="preserve">x 1.5 </w:t>
            </w:r>
            <w:r w:rsidRPr="00C972E7">
              <w:t>(4 x N1</w:t>
            </w:r>
            <w:r w:rsidRPr="00C972E7">
              <w:rPr>
                <w:rFonts w:cs="Arial"/>
                <w:lang w:eastAsia="zh-CN"/>
              </w:rPr>
              <w:t xml:space="preserve"> x 1.5</w:t>
            </w:r>
            <w:r w:rsidRPr="00C972E7">
              <w:t>)</w:t>
            </w:r>
          </w:p>
        </w:tc>
        <w:tc>
          <w:tcPr>
            <w:tcW w:w="1058" w:type="pct"/>
            <w:tcBorders>
              <w:top w:val="single" w:sz="4" w:space="0" w:color="auto"/>
              <w:left w:val="single" w:sz="4" w:space="0" w:color="auto"/>
              <w:bottom w:val="single" w:sz="4" w:space="0" w:color="auto"/>
              <w:right w:val="single" w:sz="4" w:space="0" w:color="auto"/>
            </w:tcBorders>
            <w:hideMark/>
          </w:tcPr>
          <w:p w14:paraId="0FEA4CC7" w14:textId="77777777" w:rsidR="007C37DF" w:rsidRPr="00C972E7" w:rsidRDefault="007C37DF" w:rsidP="00162D0B">
            <w:pPr>
              <w:pStyle w:val="TAC"/>
            </w:pPr>
            <w:r w:rsidRPr="00C972E7">
              <w:t xml:space="preserve">5.12 x N1 </w:t>
            </w:r>
            <w:r w:rsidRPr="00C972E7">
              <w:rPr>
                <w:rFonts w:cs="Arial"/>
                <w:lang w:eastAsia="zh-CN"/>
              </w:rPr>
              <w:t xml:space="preserve">x 1.5 </w:t>
            </w:r>
            <w:r w:rsidRPr="00C972E7">
              <w:t>(16 x N1</w:t>
            </w:r>
            <w:r w:rsidRPr="00C972E7">
              <w:rPr>
                <w:rFonts w:cs="Arial"/>
                <w:lang w:eastAsia="zh-CN"/>
              </w:rPr>
              <w:t xml:space="preserve"> x 1.5</w:t>
            </w:r>
            <w:r w:rsidRPr="00C972E7">
              <w:t>)</w:t>
            </w:r>
          </w:p>
        </w:tc>
      </w:tr>
      <w:tr w:rsidR="007C37DF" w:rsidRPr="00C972E7" w14:paraId="5354F8A1" w14:textId="77777777" w:rsidTr="00162D0B">
        <w:trPr>
          <w:cantSplit/>
          <w:jc w:val="center"/>
        </w:trPr>
        <w:tc>
          <w:tcPr>
            <w:tcW w:w="791" w:type="pct"/>
            <w:vMerge/>
            <w:tcBorders>
              <w:left w:val="single" w:sz="4" w:space="0" w:color="auto"/>
              <w:right w:val="single" w:sz="4" w:space="0" w:color="auto"/>
            </w:tcBorders>
          </w:tcPr>
          <w:p w14:paraId="775809A1" w14:textId="77777777" w:rsidR="007C37DF" w:rsidRPr="00C972E7" w:rsidRDefault="007C37DF" w:rsidP="00162D0B">
            <w:pPr>
              <w:pStyle w:val="TAC"/>
            </w:pPr>
          </w:p>
        </w:tc>
        <w:tc>
          <w:tcPr>
            <w:tcW w:w="613" w:type="pct"/>
            <w:tcBorders>
              <w:top w:val="single" w:sz="4" w:space="0" w:color="auto"/>
              <w:left w:val="single" w:sz="4" w:space="0" w:color="auto"/>
              <w:bottom w:val="single" w:sz="4" w:space="0" w:color="auto"/>
              <w:right w:val="single" w:sz="4" w:space="0" w:color="auto"/>
            </w:tcBorders>
            <w:hideMark/>
          </w:tcPr>
          <w:p w14:paraId="07766C96" w14:textId="77777777" w:rsidR="007C37DF" w:rsidRPr="00C972E7" w:rsidRDefault="007C37DF" w:rsidP="00162D0B">
            <w:pPr>
              <w:pStyle w:val="TAC"/>
            </w:pPr>
            <w:r w:rsidRPr="00C972E7">
              <w:t>0.64</w:t>
            </w:r>
          </w:p>
        </w:tc>
        <w:tc>
          <w:tcPr>
            <w:tcW w:w="487" w:type="pct"/>
            <w:tcBorders>
              <w:top w:val="single" w:sz="4" w:space="0" w:color="auto"/>
              <w:left w:val="single" w:sz="4" w:space="0" w:color="auto"/>
              <w:bottom w:val="single" w:sz="4" w:space="0" w:color="auto"/>
              <w:right w:val="single" w:sz="4" w:space="0" w:color="auto"/>
            </w:tcBorders>
            <w:hideMark/>
          </w:tcPr>
          <w:p w14:paraId="65307D26" w14:textId="77777777" w:rsidR="007C37DF" w:rsidRPr="00C972E7" w:rsidRDefault="007C37DF" w:rsidP="00162D0B">
            <w:pPr>
              <w:pStyle w:val="TAC"/>
            </w:pPr>
            <w:r w:rsidRPr="00C972E7">
              <w:t>5</w:t>
            </w:r>
          </w:p>
        </w:tc>
        <w:tc>
          <w:tcPr>
            <w:tcW w:w="985" w:type="pct"/>
            <w:tcBorders>
              <w:top w:val="single" w:sz="4" w:space="0" w:color="auto"/>
              <w:left w:val="single" w:sz="4" w:space="0" w:color="auto"/>
              <w:bottom w:val="single" w:sz="4" w:space="0" w:color="auto"/>
              <w:right w:val="single" w:sz="4" w:space="0" w:color="auto"/>
            </w:tcBorders>
            <w:hideMark/>
          </w:tcPr>
          <w:p w14:paraId="103DFFA9" w14:textId="77777777" w:rsidR="007C37DF" w:rsidRPr="00C972E7" w:rsidRDefault="007C37DF" w:rsidP="00162D0B">
            <w:pPr>
              <w:pStyle w:val="TAC"/>
            </w:pPr>
            <w:r w:rsidRPr="00C972E7">
              <w:t>17.92x N1 (28 x N1)</w:t>
            </w:r>
          </w:p>
        </w:tc>
        <w:tc>
          <w:tcPr>
            <w:tcW w:w="1065" w:type="pct"/>
            <w:tcBorders>
              <w:top w:val="single" w:sz="4" w:space="0" w:color="auto"/>
              <w:left w:val="single" w:sz="4" w:space="0" w:color="auto"/>
              <w:bottom w:val="single" w:sz="4" w:space="0" w:color="auto"/>
              <w:right w:val="single" w:sz="4" w:space="0" w:color="auto"/>
            </w:tcBorders>
            <w:hideMark/>
          </w:tcPr>
          <w:p w14:paraId="3585BC9A" w14:textId="77777777" w:rsidR="007C37DF" w:rsidRPr="00C972E7" w:rsidRDefault="007C37DF" w:rsidP="00162D0B">
            <w:pPr>
              <w:pStyle w:val="TAC"/>
            </w:pPr>
            <w:r w:rsidRPr="00C972E7">
              <w:t>1.28 x N1 (2 x N1)</w:t>
            </w:r>
          </w:p>
        </w:tc>
        <w:tc>
          <w:tcPr>
            <w:tcW w:w="1058" w:type="pct"/>
            <w:tcBorders>
              <w:top w:val="single" w:sz="4" w:space="0" w:color="auto"/>
              <w:left w:val="single" w:sz="4" w:space="0" w:color="auto"/>
              <w:bottom w:val="single" w:sz="4" w:space="0" w:color="auto"/>
              <w:right w:val="single" w:sz="4" w:space="0" w:color="auto"/>
            </w:tcBorders>
            <w:hideMark/>
          </w:tcPr>
          <w:p w14:paraId="66A1415A" w14:textId="77777777" w:rsidR="007C37DF" w:rsidRPr="00C972E7" w:rsidRDefault="007C37DF" w:rsidP="00162D0B">
            <w:pPr>
              <w:pStyle w:val="TAC"/>
            </w:pPr>
            <w:r w:rsidRPr="00C972E7">
              <w:t>5.12 x N1 (8 x N1)</w:t>
            </w:r>
          </w:p>
        </w:tc>
      </w:tr>
      <w:tr w:rsidR="007C37DF" w:rsidRPr="00C972E7" w14:paraId="135A34CA" w14:textId="77777777" w:rsidTr="00162D0B">
        <w:trPr>
          <w:cantSplit/>
          <w:jc w:val="center"/>
        </w:trPr>
        <w:tc>
          <w:tcPr>
            <w:tcW w:w="791" w:type="pct"/>
            <w:vMerge/>
            <w:tcBorders>
              <w:left w:val="single" w:sz="4" w:space="0" w:color="auto"/>
              <w:right w:val="single" w:sz="4" w:space="0" w:color="auto"/>
            </w:tcBorders>
          </w:tcPr>
          <w:p w14:paraId="7DD317A5" w14:textId="77777777" w:rsidR="007C37DF" w:rsidRPr="00C972E7" w:rsidRDefault="007C37DF" w:rsidP="00162D0B">
            <w:pPr>
              <w:pStyle w:val="TAC"/>
            </w:pPr>
          </w:p>
        </w:tc>
        <w:tc>
          <w:tcPr>
            <w:tcW w:w="613" w:type="pct"/>
            <w:tcBorders>
              <w:top w:val="single" w:sz="4" w:space="0" w:color="auto"/>
              <w:left w:val="single" w:sz="4" w:space="0" w:color="auto"/>
              <w:bottom w:val="single" w:sz="4" w:space="0" w:color="auto"/>
              <w:right w:val="single" w:sz="4" w:space="0" w:color="auto"/>
            </w:tcBorders>
            <w:hideMark/>
          </w:tcPr>
          <w:p w14:paraId="263F0902" w14:textId="77777777" w:rsidR="007C37DF" w:rsidRPr="00C972E7" w:rsidRDefault="007C37DF" w:rsidP="00162D0B">
            <w:pPr>
              <w:pStyle w:val="TAC"/>
            </w:pPr>
            <w:r w:rsidRPr="00C972E7">
              <w:t>1.28</w:t>
            </w:r>
          </w:p>
        </w:tc>
        <w:tc>
          <w:tcPr>
            <w:tcW w:w="487" w:type="pct"/>
            <w:tcBorders>
              <w:top w:val="single" w:sz="4" w:space="0" w:color="auto"/>
              <w:left w:val="single" w:sz="4" w:space="0" w:color="auto"/>
              <w:bottom w:val="single" w:sz="4" w:space="0" w:color="auto"/>
              <w:right w:val="single" w:sz="4" w:space="0" w:color="auto"/>
            </w:tcBorders>
            <w:hideMark/>
          </w:tcPr>
          <w:p w14:paraId="5B495323" w14:textId="77777777" w:rsidR="007C37DF" w:rsidRPr="00C972E7" w:rsidRDefault="007C37DF" w:rsidP="00162D0B">
            <w:pPr>
              <w:pStyle w:val="TAC"/>
            </w:pPr>
            <w:r w:rsidRPr="00C972E7">
              <w:t>4</w:t>
            </w:r>
          </w:p>
        </w:tc>
        <w:tc>
          <w:tcPr>
            <w:tcW w:w="985" w:type="pct"/>
            <w:tcBorders>
              <w:top w:val="single" w:sz="4" w:space="0" w:color="auto"/>
              <w:left w:val="single" w:sz="4" w:space="0" w:color="auto"/>
              <w:bottom w:val="single" w:sz="4" w:space="0" w:color="auto"/>
              <w:right w:val="single" w:sz="4" w:space="0" w:color="auto"/>
            </w:tcBorders>
            <w:hideMark/>
          </w:tcPr>
          <w:p w14:paraId="27075582" w14:textId="77777777" w:rsidR="007C37DF" w:rsidRPr="00C972E7" w:rsidRDefault="007C37DF" w:rsidP="00162D0B">
            <w:pPr>
              <w:pStyle w:val="TAC"/>
            </w:pPr>
            <w:r w:rsidRPr="00C972E7">
              <w:t>32 x N1 (25 x N1)</w:t>
            </w:r>
          </w:p>
        </w:tc>
        <w:tc>
          <w:tcPr>
            <w:tcW w:w="1065" w:type="pct"/>
            <w:tcBorders>
              <w:top w:val="single" w:sz="4" w:space="0" w:color="auto"/>
              <w:left w:val="single" w:sz="4" w:space="0" w:color="auto"/>
              <w:bottom w:val="single" w:sz="4" w:space="0" w:color="auto"/>
              <w:right w:val="single" w:sz="4" w:space="0" w:color="auto"/>
            </w:tcBorders>
            <w:hideMark/>
          </w:tcPr>
          <w:p w14:paraId="5F68365D" w14:textId="77777777" w:rsidR="007C37DF" w:rsidRPr="00C972E7" w:rsidRDefault="007C37DF" w:rsidP="00162D0B">
            <w:pPr>
              <w:pStyle w:val="TAC"/>
            </w:pPr>
            <w:r w:rsidRPr="00C972E7">
              <w:t>1.28 x N1 (1 x N1)</w:t>
            </w:r>
          </w:p>
        </w:tc>
        <w:tc>
          <w:tcPr>
            <w:tcW w:w="1058" w:type="pct"/>
            <w:tcBorders>
              <w:top w:val="single" w:sz="4" w:space="0" w:color="auto"/>
              <w:left w:val="single" w:sz="4" w:space="0" w:color="auto"/>
              <w:bottom w:val="single" w:sz="4" w:space="0" w:color="auto"/>
              <w:right w:val="single" w:sz="4" w:space="0" w:color="auto"/>
            </w:tcBorders>
            <w:hideMark/>
          </w:tcPr>
          <w:p w14:paraId="3BFA7B55" w14:textId="77777777" w:rsidR="007C37DF" w:rsidRPr="00C972E7" w:rsidRDefault="007C37DF" w:rsidP="00162D0B">
            <w:pPr>
              <w:pStyle w:val="TAC"/>
            </w:pPr>
            <w:r w:rsidRPr="00C972E7">
              <w:t>6.4 x N1 (5 x N1)</w:t>
            </w:r>
          </w:p>
        </w:tc>
      </w:tr>
      <w:tr w:rsidR="007C37DF" w:rsidRPr="00C972E7" w14:paraId="629DA548" w14:textId="77777777" w:rsidTr="00162D0B">
        <w:trPr>
          <w:cantSplit/>
          <w:jc w:val="center"/>
        </w:trPr>
        <w:tc>
          <w:tcPr>
            <w:tcW w:w="791" w:type="pct"/>
            <w:vMerge/>
            <w:tcBorders>
              <w:left w:val="single" w:sz="4" w:space="0" w:color="auto"/>
              <w:right w:val="single" w:sz="4" w:space="0" w:color="auto"/>
            </w:tcBorders>
          </w:tcPr>
          <w:p w14:paraId="06A7D2BF" w14:textId="77777777" w:rsidR="007C37DF" w:rsidRPr="00C972E7" w:rsidRDefault="007C37DF" w:rsidP="00162D0B">
            <w:pPr>
              <w:pStyle w:val="TAC"/>
            </w:pPr>
          </w:p>
        </w:tc>
        <w:tc>
          <w:tcPr>
            <w:tcW w:w="613" w:type="pct"/>
            <w:tcBorders>
              <w:top w:val="single" w:sz="4" w:space="0" w:color="auto"/>
              <w:left w:val="single" w:sz="4" w:space="0" w:color="auto"/>
              <w:bottom w:val="single" w:sz="4" w:space="0" w:color="auto"/>
              <w:right w:val="single" w:sz="4" w:space="0" w:color="auto"/>
            </w:tcBorders>
            <w:hideMark/>
          </w:tcPr>
          <w:p w14:paraId="6F4CA70D" w14:textId="77777777" w:rsidR="007C37DF" w:rsidRPr="00C972E7" w:rsidRDefault="007C37DF" w:rsidP="00162D0B">
            <w:pPr>
              <w:pStyle w:val="TAC"/>
            </w:pPr>
            <w:r w:rsidRPr="00C972E7">
              <w:t>2.56</w:t>
            </w:r>
          </w:p>
        </w:tc>
        <w:tc>
          <w:tcPr>
            <w:tcW w:w="487" w:type="pct"/>
            <w:tcBorders>
              <w:top w:val="single" w:sz="4" w:space="0" w:color="auto"/>
              <w:left w:val="single" w:sz="4" w:space="0" w:color="auto"/>
              <w:bottom w:val="single" w:sz="4" w:space="0" w:color="auto"/>
              <w:right w:val="single" w:sz="4" w:space="0" w:color="auto"/>
            </w:tcBorders>
            <w:hideMark/>
          </w:tcPr>
          <w:p w14:paraId="6AB18A5E" w14:textId="77777777" w:rsidR="007C37DF" w:rsidRPr="00C972E7" w:rsidRDefault="007C37DF" w:rsidP="00162D0B">
            <w:pPr>
              <w:pStyle w:val="TAC"/>
            </w:pPr>
            <w:r w:rsidRPr="00C972E7">
              <w:t>3</w:t>
            </w:r>
          </w:p>
        </w:tc>
        <w:tc>
          <w:tcPr>
            <w:tcW w:w="985" w:type="pct"/>
            <w:tcBorders>
              <w:top w:val="single" w:sz="4" w:space="0" w:color="auto"/>
              <w:left w:val="single" w:sz="4" w:space="0" w:color="auto"/>
              <w:bottom w:val="single" w:sz="4" w:space="0" w:color="auto"/>
              <w:right w:val="single" w:sz="4" w:space="0" w:color="auto"/>
            </w:tcBorders>
            <w:hideMark/>
          </w:tcPr>
          <w:p w14:paraId="381620AD" w14:textId="77777777" w:rsidR="007C37DF" w:rsidRPr="00C972E7" w:rsidRDefault="007C37DF" w:rsidP="00162D0B">
            <w:pPr>
              <w:pStyle w:val="TAC"/>
            </w:pPr>
            <w:r w:rsidRPr="00C972E7">
              <w:t>58.88 x N1 (23 x N1)</w:t>
            </w:r>
          </w:p>
        </w:tc>
        <w:tc>
          <w:tcPr>
            <w:tcW w:w="1065" w:type="pct"/>
            <w:tcBorders>
              <w:top w:val="single" w:sz="4" w:space="0" w:color="auto"/>
              <w:left w:val="single" w:sz="4" w:space="0" w:color="auto"/>
              <w:bottom w:val="single" w:sz="4" w:space="0" w:color="auto"/>
              <w:right w:val="single" w:sz="4" w:space="0" w:color="auto"/>
            </w:tcBorders>
            <w:hideMark/>
          </w:tcPr>
          <w:p w14:paraId="43F04F3C" w14:textId="77777777" w:rsidR="007C37DF" w:rsidRPr="00C972E7" w:rsidRDefault="007C37DF" w:rsidP="00162D0B">
            <w:pPr>
              <w:pStyle w:val="TAC"/>
            </w:pPr>
            <w:r w:rsidRPr="00C972E7">
              <w:t>2.56 x N1 (1 x N1)</w:t>
            </w:r>
          </w:p>
        </w:tc>
        <w:tc>
          <w:tcPr>
            <w:tcW w:w="1058" w:type="pct"/>
            <w:tcBorders>
              <w:top w:val="single" w:sz="4" w:space="0" w:color="auto"/>
              <w:left w:val="single" w:sz="4" w:space="0" w:color="auto"/>
              <w:bottom w:val="single" w:sz="4" w:space="0" w:color="auto"/>
              <w:right w:val="single" w:sz="4" w:space="0" w:color="auto"/>
            </w:tcBorders>
            <w:hideMark/>
          </w:tcPr>
          <w:p w14:paraId="751C8816" w14:textId="77777777" w:rsidR="007C37DF" w:rsidRPr="00C972E7" w:rsidRDefault="007C37DF" w:rsidP="00162D0B">
            <w:pPr>
              <w:pStyle w:val="TAC"/>
            </w:pPr>
            <w:r w:rsidRPr="00C972E7">
              <w:t>7.68 x N1 (3 x N1)</w:t>
            </w:r>
          </w:p>
        </w:tc>
      </w:tr>
      <w:tr w:rsidR="007C37DF" w:rsidRPr="00C972E7" w14:paraId="5D4BF7CF" w14:textId="77777777" w:rsidTr="00162D0B">
        <w:trPr>
          <w:cantSplit/>
          <w:jc w:val="center"/>
        </w:trPr>
        <w:tc>
          <w:tcPr>
            <w:tcW w:w="791" w:type="pct"/>
            <w:vMerge/>
            <w:tcBorders>
              <w:left w:val="single" w:sz="4" w:space="0" w:color="auto"/>
              <w:right w:val="single" w:sz="4" w:space="0" w:color="auto"/>
            </w:tcBorders>
          </w:tcPr>
          <w:p w14:paraId="54DAAD92" w14:textId="77777777" w:rsidR="007C37DF" w:rsidRPr="00C972E7" w:rsidRDefault="007C37DF" w:rsidP="00162D0B">
            <w:pPr>
              <w:pStyle w:val="TAC"/>
            </w:pPr>
          </w:p>
        </w:tc>
        <w:tc>
          <w:tcPr>
            <w:tcW w:w="613" w:type="pct"/>
            <w:tcBorders>
              <w:top w:val="single" w:sz="4" w:space="0" w:color="auto"/>
              <w:left w:val="single" w:sz="4" w:space="0" w:color="auto"/>
              <w:bottom w:val="single" w:sz="4" w:space="0" w:color="auto"/>
              <w:right w:val="single" w:sz="4" w:space="0" w:color="auto"/>
            </w:tcBorders>
          </w:tcPr>
          <w:p w14:paraId="6441A1E3" w14:textId="77777777" w:rsidR="007C37DF" w:rsidRPr="00C972E7" w:rsidRDefault="007C37DF" w:rsidP="00162D0B">
            <w:pPr>
              <w:pStyle w:val="TAC"/>
              <w:rPr>
                <w:lang w:eastAsia="zh-CN"/>
              </w:rPr>
            </w:pPr>
            <w:r w:rsidRPr="00C972E7">
              <w:rPr>
                <w:rFonts w:hint="eastAsia"/>
                <w:lang w:eastAsia="zh-CN"/>
              </w:rPr>
              <w:t>5</w:t>
            </w:r>
            <w:r w:rsidRPr="00C972E7">
              <w:rPr>
                <w:lang w:eastAsia="zh-CN"/>
              </w:rPr>
              <w:t>.12</w:t>
            </w:r>
          </w:p>
        </w:tc>
        <w:tc>
          <w:tcPr>
            <w:tcW w:w="487" w:type="pct"/>
            <w:tcBorders>
              <w:top w:val="single" w:sz="4" w:space="0" w:color="auto"/>
              <w:left w:val="single" w:sz="4" w:space="0" w:color="auto"/>
              <w:bottom w:val="single" w:sz="4" w:space="0" w:color="auto"/>
              <w:right w:val="single" w:sz="4" w:space="0" w:color="auto"/>
            </w:tcBorders>
          </w:tcPr>
          <w:p w14:paraId="44EC783A" w14:textId="77777777" w:rsidR="007C37DF" w:rsidRPr="00C972E7" w:rsidRDefault="007C37DF" w:rsidP="00162D0B">
            <w:pPr>
              <w:pStyle w:val="TAC"/>
              <w:rPr>
                <w:lang w:eastAsia="zh-CN"/>
              </w:rPr>
            </w:pPr>
            <w:r w:rsidRPr="00C972E7">
              <w:rPr>
                <w:rFonts w:hint="eastAsia"/>
                <w:lang w:eastAsia="zh-CN"/>
              </w:rPr>
              <w:t>3</w:t>
            </w:r>
          </w:p>
        </w:tc>
        <w:tc>
          <w:tcPr>
            <w:tcW w:w="985" w:type="pct"/>
            <w:tcBorders>
              <w:top w:val="single" w:sz="4" w:space="0" w:color="auto"/>
              <w:left w:val="single" w:sz="4" w:space="0" w:color="auto"/>
              <w:bottom w:val="single" w:sz="4" w:space="0" w:color="auto"/>
              <w:right w:val="single" w:sz="4" w:space="0" w:color="auto"/>
            </w:tcBorders>
          </w:tcPr>
          <w:p w14:paraId="3ECD1F17" w14:textId="77777777" w:rsidR="007C37DF" w:rsidRPr="00C972E7" w:rsidRDefault="007C37DF" w:rsidP="00162D0B">
            <w:pPr>
              <w:pStyle w:val="TAC"/>
            </w:pPr>
            <w:r w:rsidRPr="00C972E7">
              <w:rPr>
                <w:lang w:eastAsia="zh-CN"/>
              </w:rPr>
              <w:t>117.76</w:t>
            </w:r>
            <w:r w:rsidRPr="00C972E7">
              <w:t xml:space="preserve"> x N1 (23 x N1)</w:t>
            </w:r>
          </w:p>
        </w:tc>
        <w:tc>
          <w:tcPr>
            <w:tcW w:w="1065" w:type="pct"/>
            <w:tcBorders>
              <w:top w:val="single" w:sz="4" w:space="0" w:color="auto"/>
              <w:left w:val="single" w:sz="4" w:space="0" w:color="auto"/>
              <w:bottom w:val="single" w:sz="4" w:space="0" w:color="auto"/>
              <w:right w:val="single" w:sz="4" w:space="0" w:color="auto"/>
            </w:tcBorders>
          </w:tcPr>
          <w:p w14:paraId="5E2E7CE9" w14:textId="77777777" w:rsidR="007C37DF" w:rsidRPr="00C972E7" w:rsidRDefault="007C37DF" w:rsidP="00162D0B">
            <w:pPr>
              <w:pStyle w:val="TAC"/>
            </w:pPr>
            <w:r w:rsidRPr="00C972E7">
              <w:t>5.12 x N1 (1 x N1)</w:t>
            </w:r>
          </w:p>
        </w:tc>
        <w:tc>
          <w:tcPr>
            <w:tcW w:w="1058" w:type="pct"/>
            <w:tcBorders>
              <w:top w:val="single" w:sz="4" w:space="0" w:color="auto"/>
              <w:left w:val="single" w:sz="4" w:space="0" w:color="auto"/>
              <w:bottom w:val="single" w:sz="4" w:space="0" w:color="auto"/>
              <w:right w:val="single" w:sz="4" w:space="0" w:color="auto"/>
            </w:tcBorders>
          </w:tcPr>
          <w:p w14:paraId="387AE264" w14:textId="77777777" w:rsidR="007C37DF" w:rsidRPr="00C972E7" w:rsidRDefault="007C37DF" w:rsidP="00162D0B">
            <w:pPr>
              <w:pStyle w:val="TAC"/>
            </w:pPr>
            <w:r w:rsidRPr="00C972E7">
              <w:t>15.36 x N1 (3 x N1)</w:t>
            </w:r>
          </w:p>
        </w:tc>
      </w:tr>
      <w:tr w:rsidR="007C37DF" w:rsidRPr="005708EB" w14:paraId="51070C17" w14:textId="77777777" w:rsidTr="00162D0B">
        <w:trPr>
          <w:cantSplit/>
          <w:jc w:val="center"/>
        </w:trPr>
        <w:tc>
          <w:tcPr>
            <w:tcW w:w="791" w:type="pct"/>
            <w:vMerge/>
            <w:tcBorders>
              <w:left w:val="single" w:sz="4" w:space="0" w:color="auto"/>
              <w:right w:val="single" w:sz="4" w:space="0" w:color="auto"/>
            </w:tcBorders>
          </w:tcPr>
          <w:p w14:paraId="466EA61A" w14:textId="77777777" w:rsidR="007C37DF" w:rsidRPr="00C972E7" w:rsidRDefault="007C37DF" w:rsidP="00162D0B">
            <w:pPr>
              <w:pStyle w:val="TAC"/>
            </w:pPr>
          </w:p>
        </w:tc>
        <w:tc>
          <w:tcPr>
            <w:tcW w:w="613" w:type="pct"/>
            <w:tcBorders>
              <w:top w:val="single" w:sz="4" w:space="0" w:color="auto"/>
              <w:left w:val="single" w:sz="4" w:space="0" w:color="auto"/>
              <w:bottom w:val="single" w:sz="4" w:space="0" w:color="auto"/>
              <w:right w:val="single" w:sz="4" w:space="0" w:color="auto"/>
            </w:tcBorders>
          </w:tcPr>
          <w:p w14:paraId="1DE70E7C" w14:textId="77777777" w:rsidR="007C37DF" w:rsidRPr="00C972E7" w:rsidRDefault="007C37DF" w:rsidP="00162D0B">
            <w:pPr>
              <w:pStyle w:val="TAC"/>
              <w:rPr>
                <w:lang w:eastAsia="zh-CN"/>
              </w:rPr>
            </w:pPr>
            <w:r w:rsidRPr="00C972E7">
              <w:rPr>
                <w:rFonts w:hint="eastAsia"/>
                <w:lang w:eastAsia="zh-CN"/>
              </w:rPr>
              <w:t>1</w:t>
            </w:r>
            <w:r w:rsidRPr="00C972E7">
              <w:rPr>
                <w:lang w:eastAsia="zh-CN"/>
              </w:rPr>
              <w:t>0.24</w:t>
            </w:r>
          </w:p>
        </w:tc>
        <w:tc>
          <w:tcPr>
            <w:tcW w:w="487" w:type="pct"/>
            <w:tcBorders>
              <w:top w:val="single" w:sz="4" w:space="0" w:color="auto"/>
              <w:left w:val="single" w:sz="4" w:space="0" w:color="auto"/>
              <w:bottom w:val="single" w:sz="4" w:space="0" w:color="auto"/>
              <w:right w:val="single" w:sz="4" w:space="0" w:color="auto"/>
            </w:tcBorders>
          </w:tcPr>
          <w:p w14:paraId="4423791F" w14:textId="77777777" w:rsidR="007C37DF" w:rsidRPr="00C972E7" w:rsidRDefault="007C37DF" w:rsidP="00162D0B">
            <w:pPr>
              <w:pStyle w:val="TAC"/>
              <w:rPr>
                <w:lang w:eastAsia="zh-CN"/>
              </w:rPr>
            </w:pPr>
            <w:r w:rsidRPr="00C972E7">
              <w:rPr>
                <w:rFonts w:hint="eastAsia"/>
                <w:lang w:eastAsia="zh-CN"/>
              </w:rPr>
              <w:t>3</w:t>
            </w:r>
          </w:p>
        </w:tc>
        <w:tc>
          <w:tcPr>
            <w:tcW w:w="985" w:type="pct"/>
            <w:tcBorders>
              <w:top w:val="single" w:sz="4" w:space="0" w:color="auto"/>
              <w:left w:val="single" w:sz="4" w:space="0" w:color="auto"/>
              <w:bottom w:val="single" w:sz="4" w:space="0" w:color="auto"/>
              <w:right w:val="single" w:sz="4" w:space="0" w:color="auto"/>
            </w:tcBorders>
          </w:tcPr>
          <w:p w14:paraId="1FEA7E71" w14:textId="77777777" w:rsidR="007C37DF" w:rsidRPr="00C972E7" w:rsidRDefault="007C37DF" w:rsidP="00162D0B">
            <w:pPr>
              <w:pStyle w:val="TAC"/>
            </w:pPr>
            <w:r w:rsidRPr="00C972E7">
              <w:rPr>
                <w:lang w:eastAsia="zh-CN"/>
              </w:rPr>
              <w:t>235.52</w:t>
            </w:r>
            <w:r w:rsidRPr="00C972E7">
              <w:t xml:space="preserve"> x N1 (23 x N1)</w:t>
            </w:r>
          </w:p>
        </w:tc>
        <w:tc>
          <w:tcPr>
            <w:tcW w:w="1065" w:type="pct"/>
            <w:tcBorders>
              <w:top w:val="single" w:sz="4" w:space="0" w:color="auto"/>
              <w:left w:val="single" w:sz="4" w:space="0" w:color="auto"/>
              <w:bottom w:val="single" w:sz="4" w:space="0" w:color="auto"/>
              <w:right w:val="single" w:sz="4" w:space="0" w:color="auto"/>
            </w:tcBorders>
          </w:tcPr>
          <w:p w14:paraId="02018946" w14:textId="77777777" w:rsidR="007C37DF" w:rsidRPr="00C972E7" w:rsidRDefault="007C37DF" w:rsidP="00162D0B">
            <w:pPr>
              <w:pStyle w:val="TAC"/>
            </w:pPr>
            <w:r w:rsidRPr="00C972E7">
              <w:t>10.24 x N1 (1 x N1)</w:t>
            </w:r>
          </w:p>
        </w:tc>
        <w:tc>
          <w:tcPr>
            <w:tcW w:w="1058" w:type="pct"/>
            <w:tcBorders>
              <w:top w:val="single" w:sz="4" w:space="0" w:color="auto"/>
              <w:left w:val="single" w:sz="4" w:space="0" w:color="auto"/>
              <w:bottom w:val="single" w:sz="4" w:space="0" w:color="auto"/>
              <w:right w:val="single" w:sz="4" w:space="0" w:color="auto"/>
            </w:tcBorders>
          </w:tcPr>
          <w:p w14:paraId="0FFBFC34" w14:textId="77777777" w:rsidR="007C37DF" w:rsidRPr="005708EB" w:rsidRDefault="007C37DF" w:rsidP="00162D0B">
            <w:pPr>
              <w:pStyle w:val="TAC"/>
            </w:pPr>
            <w:r w:rsidRPr="00C972E7">
              <w:t>30.72 x N1 (3 x N1)</w:t>
            </w:r>
          </w:p>
        </w:tc>
      </w:tr>
    </w:tbl>
    <w:p w14:paraId="1667BDDA" w14:textId="77777777" w:rsidR="007C37DF" w:rsidRPr="000B38D1" w:rsidRDefault="007C37DF" w:rsidP="007C37DF"/>
    <w:p w14:paraId="24EB1276" w14:textId="77777777" w:rsidR="007C37DF" w:rsidRDefault="007C37DF" w:rsidP="007C37DF">
      <w:pPr>
        <w:pStyle w:val="Heading4"/>
      </w:pPr>
      <w:r w:rsidRPr="000B38D1">
        <w:t>5.1B.2.5</w:t>
      </w:r>
      <w:r>
        <w:tab/>
      </w:r>
      <w:r w:rsidRPr="000B38D1">
        <w:t>Measurements of inter-RAT E-UTRAN cells</w:t>
      </w:r>
    </w:p>
    <w:p w14:paraId="6BC05C56" w14:textId="77777777" w:rsidR="00AB0056" w:rsidRPr="00F21C54" w:rsidRDefault="00AB0056" w:rsidP="00AB0056">
      <w:pPr>
        <w:rPr>
          <w:rFonts w:cs="v4.2.0"/>
        </w:rPr>
      </w:pPr>
      <w:r w:rsidRPr="00ED2F00">
        <w:t xml:space="preserve">The requirements in </w:t>
      </w:r>
      <w:r>
        <w:t>clause</w:t>
      </w:r>
      <w:r w:rsidRPr="00ED2F00">
        <w:t xml:space="preserve"> 4.2</w:t>
      </w:r>
      <w:r>
        <w:rPr>
          <w:rFonts w:hint="eastAsia"/>
          <w:lang w:eastAsia="zh-CN"/>
        </w:rPr>
        <w:t>B</w:t>
      </w:r>
      <w:r w:rsidRPr="00ED2F00">
        <w:t>.2.5 shall apply</w:t>
      </w:r>
      <w:r w:rsidRPr="00BC128F">
        <w:rPr>
          <w:rFonts w:cs="v4.2.0"/>
        </w:rPr>
        <w:t xml:space="preserve"> </w:t>
      </w:r>
      <w:r w:rsidRPr="00C972E7">
        <w:rPr>
          <w:rFonts w:cs="v4.2.0"/>
        </w:rPr>
        <w:t xml:space="preserve">when UE is not configured with eDRX_IDLE. When UE is configured with eDRX_IDLE, the requirements defined in section </w:t>
      </w:r>
      <w:r w:rsidRPr="00C972E7">
        <w:rPr>
          <w:lang w:val="en-US"/>
        </w:rPr>
        <w:t>4.2</w:t>
      </w:r>
      <w:r>
        <w:rPr>
          <w:lang w:val="en-US"/>
        </w:rPr>
        <w:t>B</w:t>
      </w:r>
      <w:r w:rsidRPr="00C972E7">
        <w:rPr>
          <w:lang w:val="en-US"/>
        </w:rPr>
        <w:t>.2.</w:t>
      </w:r>
      <w:r>
        <w:rPr>
          <w:lang w:val="en-US"/>
        </w:rPr>
        <w:t>5</w:t>
      </w:r>
      <w:r w:rsidRPr="00C972E7">
        <w:t xml:space="preserve"> </w:t>
      </w:r>
      <w:r w:rsidRPr="00C972E7">
        <w:rPr>
          <w:rFonts w:cs="v4.2.0"/>
        </w:rPr>
        <w:t xml:space="preserve">shall apply with </w:t>
      </w:r>
      <w:r w:rsidRPr="00C972E7">
        <w:t>T</w:t>
      </w:r>
      <w:r w:rsidRPr="00C972E7">
        <w:rPr>
          <w:vertAlign w:val="subscript"/>
        </w:rPr>
        <w:t>detect,</w:t>
      </w:r>
      <w:r w:rsidRPr="008854F4">
        <w:rPr>
          <w:vertAlign w:val="subscript"/>
        </w:rPr>
        <w:t xml:space="preserve"> </w:t>
      </w:r>
      <w:r>
        <w:rPr>
          <w:vertAlign w:val="subscript"/>
        </w:rPr>
        <w:t>EUTRAN</w:t>
      </w:r>
      <w:r w:rsidRPr="00C972E7">
        <w:rPr>
          <w:rFonts w:cs="v4.2.0"/>
          <w:vertAlign w:val="subscript"/>
        </w:rPr>
        <w:t>_RedCap,</w:t>
      </w:r>
      <w:r w:rsidRPr="00C972E7">
        <w:rPr>
          <w:rFonts w:cs="v4.2.0"/>
        </w:rPr>
        <w:t xml:space="preserve"> </w:t>
      </w:r>
      <w:r w:rsidRPr="00C972E7">
        <w:t>T</w:t>
      </w:r>
      <w:r w:rsidRPr="00C972E7">
        <w:rPr>
          <w:vertAlign w:val="subscript"/>
        </w:rPr>
        <w:t>measure,</w:t>
      </w:r>
      <w:r w:rsidRPr="008854F4">
        <w:rPr>
          <w:vertAlign w:val="subscript"/>
        </w:rPr>
        <w:t xml:space="preserve"> </w:t>
      </w:r>
      <w:r>
        <w:rPr>
          <w:vertAlign w:val="subscript"/>
        </w:rPr>
        <w:t>EUTRAN</w:t>
      </w:r>
      <w:r w:rsidRPr="00C972E7">
        <w:rPr>
          <w:rFonts w:cs="v4.2.0"/>
          <w:vertAlign w:val="subscript"/>
        </w:rPr>
        <w:t xml:space="preserve"> _RedCap</w:t>
      </w:r>
      <w:r w:rsidRPr="00C972E7">
        <w:rPr>
          <w:rFonts w:cs="v4.2.0"/>
        </w:rPr>
        <w:t xml:space="preserve"> and </w:t>
      </w:r>
      <w:r w:rsidRPr="00C972E7">
        <w:t>T</w:t>
      </w:r>
      <w:r w:rsidRPr="00C972E7">
        <w:rPr>
          <w:vertAlign w:val="subscript"/>
        </w:rPr>
        <w:t>evaluate,</w:t>
      </w:r>
      <w:r w:rsidRPr="008854F4">
        <w:rPr>
          <w:vertAlign w:val="subscript"/>
        </w:rPr>
        <w:t xml:space="preserve"> </w:t>
      </w:r>
      <w:r>
        <w:rPr>
          <w:vertAlign w:val="subscript"/>
        </w:rPr>
        <w:t>EUTRAN</w:t>
      </w:r>
      <w:r w:rsidRPr="00C972E7">
        <w:rPr>
          <w:rFonts w:cs="v4.2.0"/>
          <w:vertAlign w:val="subscript"/>
        </w:rPr>
        <w:t xml:space="preserve"> _RedCap</w:t>
      </w:r>
      <w:r w:rsidRPr="00C972E7">
        <w:rPr>
          <w:rFonts w:cs="v4.2.0"/>
        </w:rPr>
        <w:t xml:space="preserve"> defined in Table 5.1B.2.</w:t>
      </w:r>
      <w:r>
        <w:rPr>
          <w:rFonts w:cs="v4.2.0"/>
        </w:rPr>
        <w:t>5</w:t>
      </w:r>
      <w:r w:rsidRPr="00C972E7">
        <w:rPr>
          <w:rFonts w:cs="v4.2.0"/>
        </w:rPr>
        <w:t>-1</w:t>
      </w:r>
      <w:r w:rsidRPr="00ED2F00">
        <w:t>.</w:t>
      </w:r>
    </w:p>
    <w:p w14:paraId="4DA334B2" w14:textId="77777777" w:rsidR="00AB0056" w:rsidRPr="00C972E7" w:rsidRDefault="00AB0056" w:rsidP="00AB0056">
      <w:pPr>
        <w:pStyle w:val="TH"/>
      </w:pPr>
      <w:r w:rsidRPr="00C972E7">
        <w:rPr>
          <w:lang w:eastAsia="zh-CN"/>
        </w:rPr>
        <w:t>Table 5.1B.2.</w:t>
      </w:r>
      <w:r>
        <w:rPr>
          <w:lang w:eastAsia="zh-CN"/>
        </w:rPr>
        <w:t>5</w:t>
      </w:r>
      <w:r w:rsidRPr="00C972E7">
        <w:rPr>
          <w:lang w:eastAsia="zh-CN"/>
        </w:rPr>
        <w:t xml:space="preserve">-1: </w:t>
      </w:r>
      <w:r w:rsidRPr="00C972E7">
        <w:t>T</w:t>
      </w:r>
      <w:r w:rsidRPr="00C972E7">
        <w:rPr>
          <w:vertAlign w:val="subscript"/>
        </w:rPr>
        <w:t>detect,</w:t>
      </w:r>
      <w:r w:rsidRPr="008854F4">
        <w:rPr>
          <w:vertAlign w:val="subscript"/>
        </w:rPr>
        <w:t xml:space="preserve"> </w:t>
      </w:r>
      <w:r>
        <w:rPr>
          <w:vertAlign w:val="subscript"/>
        </w:rPr>
        <w:t>EUTRAN</w:t>
      </w:r>
      <w:r w:rsidRPr="00C972E7">
        <w:rPr>
          <w:rFonts w:cs="v4.2.0"/>
          <w:vertAlign w:val="subscript"/>
        </w:rPr>
        <w:t>_RedCap</w:t>
      </w:r>
      <w:r w:rsidRPr="00C972E7">
        <w:rPr>
          <w:lang w:eastAsia="zh-CN"/>
        </w:rPr>
        <w:t xml:space="preserve">, </w:t>
      </w:r>
      <w:r w:rsidRPr="00C972E7">
        <w:t>T</w:t>
      </w:r>
      <w:r w:rsidRPr="00C972E7">
        <w:rPr>
          <w:vertAlign w:val="subscript"/>
        </w:rPr>
        <w:t>measure,</w:t>
      </w:r>
      <w:r w:rsidRPr="008854F4">
        <w:rPr>
          <w:vertAlign w:val="subscript"/>
        </w:rPr>
        <w:t xml:space="preserve"> </w:t>
      </w:r>
      <w:r>
        <w:rPr>
          <w:vertAlign w:val="subscript"/>
        </w:rPr>
        <w:t>EUTRAN</w:t>
      </w:r>
      <w:r w:rsidRPr="00C972E7">
        <w:rPr>
          <w:rFonts w:cs="v4.2.0"/>
          <w:vertAlign w:val="subscript"/>
        </w:rPr>
        <w:t xml:space="preserve"> _RedCap</w:t>
      </w:r>
      <w:r w:rsidRPr="00C972E7">
        <w:rPr>
          <w:lang w:eastAsia="zh-CN"/>
        </w:rPr>
        <w:t xml:space="preserve"> and </w:t>
      </w:r>
      <w:r w:rsidRPr="00C972E7">
        <w:t>T</w:t>
      </w:r>
      <w:r w:rsidRPr="00C972E7">
        <w:rPr>
          <w:vertAlign w:val="subscript"/>
        </w:rPr>
        <w:t>evaluate,</w:t>
      </w:r>
      <w:r w:rsidRPr="008854F4">
        <w:rPr>
          <w:vertAlign w:val="subscript"/>
        </w:rPr>
        <w:t xml:space="preserve"> </w:t>
      </w:r>
      <w:r>
        <w:rPr>
          <w:vertAlign w:val="subscript"/>
        </w:rPr>
        <w:t>EUTRAN</w:t>
      </w:r>
      <w:r w:rsidRPr="00C972E7">
        <w:rPr>
          <w:rFonts w:cs="v4.2.0"/>
          <w:vertAlign w:val="subscript"/>
        </w:rPr>
        <w:t xml:space="preserve"> _RedCap</w:t>
      </w:r>
      <w:r w:rsidRPr="00C972E7">
        <w:rPr>
          <w:lang w:eastAsia="zh-CN"/>
        </w:rPr>
        <w:t xml:space="preserve"> for inactive Redcap UE configured with eDRX_IDLE cycle, (Frequency range FR1)</w:t>
      </w:r>
    </w:p>
    <w:tbl>
      <w:tblPr>
        <w:tblW w:w="41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2"/>
        <w:gridCol w:w="1058"/>
        <w:gridCol w:w="1732"/>
        <w:gridCol w:w="1875"/>
        <w:gridCol w:w="1860"/>
      </w:tblGrid>
      <w:tr w:rsidR="00AB0056" w:rsidRPr="00C972E7" w14:paraId="7C68F90C" w14:textId="77777777" w:rsidTr="00985E6F">
        <w:trPr>
          <w:cantSplit/>
          <w:trHeight w:val="310"/>
          <w:jc w:val="center"/>
        </w:trPr>
        <w:tc>
          <w:tcPr>
            <w:tcW w:w="879" w:type="pct"/>
            <w:vMerge w:val="restart"/>
            <w:tcBorders>
              <w:top w:val="single" w:sz="4" w:space="0" w:color="auto"/>
              <w:left w:val="single" w:sz="4" w:space="0" w:color="auto"/>
              <w:right w:val="single" w:sz="4" w:space="0" w:color="auto"/>
            </w:tcBorders>
          </w:tcPr>
          <w:p w14:paraId="09296869" w14:textId="77777777" w:rsidR="00AB0056" w:rsidRPr="00C972E7" w:rsidRDefault="00AB0056" w:rsidP="00985E6F">
            <w:pPr>
              <w:pStyle w:val="TAH"/>
            </w:pPr>
            <w:r w:rsidRPr="00C972E7">
              <w:rPr>
                <w:rFonts w:cs="v4.2.0"/>
              </w:rPr>
              <w:t>eDRX_IDLE cycle length [s]</w:t>
            </w:r>
          </w:p>
        </w:tc>
        <w:tc>
          <w:tcPr>
            <w:tcW w:w="668" w:type="pct"/>
            <w:vMerge w:val="restart"/>
            <w:tcBorders>
              <w:top w:val="single" w:sz="4" w:space="0" w:color="auto"/>
              <w:left w:val="single" w:sz="4" w:space="0" w:color="auto"/>
              <w:bottom w:val="single" w:sz="4" w:space="0" w:color="auto"/>
              <w:right w:val="single" w:sz="4" w:space="0" w:color="auto"/>
            </w:tcBorders>
            <w:hideMark/>
          </w:tcPr>
          <w:p w14:paraId="14972C29" w14:textId="77777777" w:rsidR="00AB0056" w:rsidRPr="00C972E7" w:rsidRDefault="00AB0056" w:rsidP="00985E6F">
            <w:pPr>
              <w:pStyle w:val="TAH"/>
            </w:pPr>
            <w:r w:rsidRPr="00C972E7">
              <w:t>DRX</w:t>
            </w:r>
            <w:r w:rsidRPr="00C972E7">
              <w:rPr>
                <w:rFonts w:cs="v4.2.0"/>
              </w:rPr>
              <w:t xml:space="preserve"> or eDRX</w:t>
            </w:r>
            <w:r w:rsidRPr="00C972E7">
              <w:t xml:space="preserve"> INACTIVE cycle length [s]</w:t>
            </w:r>
          </w:p>
        </w:tc>
        <w:tc>
          <w:tcPr>
            <w:tcW w:w="1094" w:type="pct"/>
            <w:vMerge w:val="restart"/>
            <w:tcBorders>
              <w:top w:val="single" w:sz="4" w:space="0" w:color="auto"/>
              <w:left w:val="single" w:sz="4" w:space="0" w:color="auto"/>
              <w:bottom w:val="single" w:sz="4" w:space="0" w:color="auto"/>
              <w:right w:val="single" w:sz="4" w:space="0" w:color="auto"/>
            </w:tcBorders>
            <w:hideMark/>
          </w:tcPr>
          <w:p w14:paraId="0685D439" w14:textId="77777777" w:rsidR="00AB0056" w:rsidRPr="00C972E7" w:rsidRDefault="00AB0056" w:rsidP="00985E6F">
            <w:pPr>
              <w:pStyle w:val="TAH"/>
            </w:pPr>
            <w:r w:rsidRPr="00C972E7">
              <w:t>T</w:t>
            </w:r>
            <w:r w:rsidRPr="00C972E7">
              <w:rPr>
                <w:vertAlign w:val="subscript"/>
              </w:rPr>
              <w:t>detect,</w:t>
            </w:r>
            <w:r>
              <w:rPr>
                <w:vertAlign w:val="subscript"/>
              </w:rPr>
              <w:t xml:space="preserve"> EUTRAN</w:t>
            </w:r>
            <w:r w:rsidRPr="00C972E7">
              <w:rPr>
                <w:rFonts w:cs="v4.2.0"/>
                <w:vertAlign w:val="subscript"/>
              </w:rPr>
              <w:t>_RedCap</w:t>
            </w:r>
            <w:r w:rsidRPr="00C972E7">
              <w:t xml:space="preserve"> [s] (number of DRX</w:t>
            </w:r>
            <w:r w:rsidRPr="00C972E7">
              <w:rPr>
                <w:rFonts w:cs="v4.2.0"/>
              </w:rPr>
              <w:t xml:space="preserve"> or eDRX</w:t>
            </w:r>
            <w:r w:rsidRPr="00C972E7">
              <w:t xml:space="preserve"> INACTIVE cycles)</w:t>
            </w:r>
          </w:p>
        </w:tc>
        <w:tc>
          <w:tcPr>
            <w:tcW w:w="1184" w:type="pct"/>
            <w:vMerge w:val="restart"/>
            <w:tcBorders>
              <w:top w:val="single" w:sz="4" w:space="0" w:color="auto"/>
              <w:left w:val="single" w:sz="4" w:space="0" w:color="auto"/>
              <w:bottom w:val="single" w:sz="4" w:space="0" w:color="auto"/>
              <w:right w:val="single" w:sz="4" w:space="0" w:color="auto"/>
            </w:tcBorders>
            <w:hideMark/>
          </w:tcPr>
          <w:p w14:paraId="572B5271" w14:textId="77777777" w:rsidR="00AB0056" w:rsidRPr="00C972E7" w:rsidRDefault="00AB0056" w:rsidP="00985E6F">
            <w:pPr>
              <w:pStyle w:val="TAH"/>
            </w:pPr>
            <w:r w:rsidRPr="00C972E7">
              <w:t>T</w:t>
            </w:r>
            <w:r w:rsidRPr="00C972E7">
              <w:rPr>
                <w:vertAlign w:val="subscript"/>
              </w:rPr>
              <w:t>measure,</w:t>
            </w:r>
            <w:r>
              <w:rPr>
                <w:vertAlign w:val="subscript"/>
              </w:rPr>
              <w:t xml:space="preserve"> EUTRAN</w:t>
            </w:r>
            <w:r w:rsidRPr="00C972E7">
              <w:rPr>
                <w:rFonts w:cs="v4.2.0"/>
                <w:vertAlign w:val="subscript"/>
              </w:rPr>
              <w:t xml:space="preserve"> _RedCap</w:t>
            </w:r>
            <w:r w:rsidRPr="00C972E7">
              <w:t xml:space="preserve"> [s] (number of DRX</w:t>
            </w:r>
            <w:r w:rsidRPr="00C972E7">
              <w:rPr>
                <w:rFonts w:cs="v4.2.0"/>
              </w:rPr>
              <w:t xml:space="preserve"> or eDRX</w:t>
            </w:r>
            <w:r w:rsidRPr="00C972E7">
              <w:t xml:space="preserve"> INACTIVE cycles)</w:t>
            </w:r>
          </w:p>
        </w:tc>
        <w:tc>
          <w:tcPr>
            <w:tcW w:w="1175" w:type="pct"/>
            <w:vMerge w:val="restart"/>
            <w:tcBorders>
              <w:top w:val="single" w:sz="4" w:space="0" w:color="auto"/>
              <w:left w:val="single" w:sz="4" w:space="0" w:color="auto"/>
              <w:bottom w:val="single" w:sz="4" w:space="0" w:color="auto"/>
              <w:right w:val="single" w:sz="4" w:space="0" w:color="auto"/>
            </w:tcBorders>
            <w:hideMark/>
          </w:tcPr>
          <w:p w14:paraId="34069AAF" w14:textId="77777777" w:rsidR="00AB0056" w:rsidRPr="00C972E7" w:rsidRDefault="00AB0056" w:rsidP="00985E6F">
            <w:pPr>
              <w:pStyle w:val="TAH"/>
            </w:pPr>
            <w:r w:rsidRPr="00C972E7">
              <w:t>T</w:t>
            </w:r>
            <w:r w:rsidRPr="00C972E7">
              <w:rPr>
                <w:vertAlign w:val="subscript"/>
              </w:rPr>
              <w:t>evaluate,</w:t>
            </w:r>
            <w:r>
              <w:rPr>
                <w:vertAlign w:val="subscript"/>
              </w:rPr>
              <w:t xml:space="preserve"> EUTRAN</w:t>
            </w:r>
            <w:r w:rsidRPr="00C972E7">
              <w:rPr>
                <w:rFonts w:cs="v4.2.0"/>
                <w:vertAlign w:val="subscript"/>
              </w:rPr>
              <w:t xml:space="preserve"> _RedCap</w:t>
            </w:r>
            <w:r w:rsidRPr="00C972E7">
              <w:rPr>
                <w:rFonts w:cs="Arial"/>
              </w:rPr>
              <w:t xml:space="preserve"> </w:t>
            </w:r>
            <w:r w:rsidRPr="00C972E7">
              <w:t xml:space="preserve">[s] (number of DRX </w:t>
            </w:r>
            <w:r w:rsidRPr="00C972E7">
              <w:rPr>
                <w:rFonts w:cs="v4.2.0"/>
              </w:rPr>
              <w:t>or eDRX</w:t>
            </w:r>
            <w:r w:rsidRPr="00C972E7">
              <w:t xml:space="preserve"> INACTIVE cycles)</w:t>
            </w:r>
          </w:p>
        </w:tc>
      </w:tr>
      <w:tr w:rsidR="00AB0056" w:rsidRPr="00C972E7" w14:paraId="20CDADA2" w14:textId="77777777" w:rsidTr="00985E6F">
        <w:trPr>
          <w:cantSplit/>
          <w:trHeight w:val="310"/>
          <w:jc w:val="center"/>
        </w:trPr>
        <w:tc>
          <w:tcPr>
            <w:tcW w:w="879" w:type="pct"/>
            <w:vMerge/>
            <w:tcBorders>
              <w:left w:val="single" w:sz="4" w:space="0" w:color="auto"/>
              <w:bottom w:val="single" w:sz="4" w:space="0" w:color="auto"/>
              <w:right w:val="single" w:sz="4" w:space="0" w:color="auto"/>
            </w:tcBorders>
          </w:tcPr>
          <w:p w14:paraId="62273A84" w14:textId="77777777" w:rsidR="00AB0056" w:rsidRPr="00C972E7" w:rsidRDefault="00AB0056" w:rsidP="00985E6F">
            <w:pPr>
              <w:pStyle w:val="TAH"/>
            </w:pPr>
          </w:p>
        </w:tc>
        <w:tc>
          <w:tcPr>
            <w:tcW w:w="668" w:type="pct"/>
            <w:vMerge/>
            <w:tcBorders>
              <w:top w:val="single" w:sz="4" w:space="0" w:color="auto"/>
              <w:left w:val="single" w:sz="4" w:space="0" w:color="auto"/>
              <w:bottom w:val="single" w:sz="4" w:space="0" w:color="auto"/>
              <w:right w:val="single" w:sz="4" w:space="0" w:color="auto"/>
            </w:tcBorders>
            <w:vAlign w:val="center"/>
            <w:hideMark/>
          </w:tcPr>
          <w:p w14:paraId="15FCCF38" w14:textId="77777777" w:rsidR="00AB0056" w:rsidRPr="00C972E7" w:rsidRDefault="00AB0056" w:rsidP="00985E6F">
            <w:pPr>
              <w:pStyle w:val="TAH"/>
            </w:pPr>
          </w:p>
        </w:tc>
        <w:tc>
          <w:tcPr>
            <w:tcW w:w="1094" w:type="pct"/>
            <w:vMerge/>
            <w:tcBorders>
              <w:top w:val="single" w:sz="4" w:space="0" w:color="auto"/>
              <w:left w:val="single" w:sz="4" w:space="0" w:color="auto"/>
              <w:bottom w:val="single" w:sz="4" w:space="0" w:color="auto"/>
              <w:right w:val="single" w:sz="4" w:space="0" w:color="auto"/>
            </w:tcBorders>
            <w:vAlign w:val="center"/>
            <w:hideMark/>
          </w:tcPr>
          <w:p w14:paraId="1EA65516" w14:textId="77777777" w:rsidR="00AB0056" w:rsidRPr="00C972E7" w:rsidRDefault="00AB0056" w:rsidP="00985E6F">
            <w:pPr>
              <w:pStyle w:val="TAH"/>
            </w:pPr>
          </w:p>
        </w:tc>
        <w:tc>
          <w:tcPr>
            <w:tcW w:w="1184" w:type="pct"/>
            <w:vMerge/>
            <w:tcBorders>
              <w:top w:val="single" w:sz="4" w:space="0" w:color="auto"/>
              <w:left w:val="single" w:sz="4" w:space="0" w:color="auto"/>
              <w:bottom w:val="single" w:sz="4" w:space="0" w:color="auto"/>
              <w:right w:val="single" w:sz="4" w:space="0" w:color="auto"/>
            </w:tcBorders>
            <w:vAlign w:val="center"/>
            <w:hideMark/>
          </w:tcPr>
          <w:p w14:paraId="6E1AFA3E" w14:textId="77777777" w:rsidR="00AB0056" w:rsidRPr="00C972E7" w:rsidRDefault="00AB0056" w:rsidP="00985E6F">
            <w:pPr>
              <w:pStyle w:val="TAH"/>
            </w:pPr>
          </w:p>
        </w:tc>
        <w:tc>
          <w:tcPr>
            <w:tcW w:w="1175" w:type="pct"/>
            <w:vMerge/>
            <w:tcBorders>
              <w:top w:val="single" w:sz="4" w:space="0" w:color="auto"/>
              <w:left w:val="single" w:sz="4" w:space="0" w:color="auto"/>
              <w:bottom w:val="single" w:sz="4" w:space="0" w:color="auto"/>
              <w:right w:val="single" w:sz="4" w:space="0" w:color="auto"/>
            </w:tcBorders>
            <w:vAlign w:val="center"/>
            <w:hideMark/>
          </w:tcPr>
          <w:p w14:paraId="1BFF00C8" w14:textId="77777777" w:rsidR="00AB0056" w:rsidRPr="00C972E7" w:rsidRDefault="00AB0056" w:rsidP="00985E6F">
            <w:pPr>
              <w:pStyle w:val="TAH"/>
            </w:pPr>
          </w:p>
        </w:tc>
      </w:tr>
      <w:tr w:rsidR="00AB0056" w:rsidRPr="00C972E7" w14:paraId="632D0C66" w14:textId="77777777" w:rsidTr="00985E6F">
        <w:trPr>
          <w:cantSplit/>
          <w:jc w:val="center"/>
        </w:trPr>
        <w:tc>
          <w:tcPr>
            <w:tcW w:w="879" w:type="pct"/>
            <w:vMerge w:val="restart"/>
            <w:tcBorders>
              <w:top w:val="single" w:sz="4" w:space="0" w:color="auto"/>
              <w:left w:val="single" w:sz="4" w:space="0" w:color="auto"/>
              <w:right w:val="single" w:sz="4" w:space="0" w:color="auto"/>
            </w:tcBorders>
          </w:tcPr>
          <w:p w14:paraId="0D8AE371" w14:textId="77777777" w:rsidR="00AB0056" w:rsidRPr="00C972E7" w:rsidRDefault="00AB0056" w:rsidP="00985E6F">
            <w:pPr>
              <w:pStyle w:val="TAC"/>
            </w:pPr>
            <w:r w:rsidRPr="00C972E7">
              <w:t>2.56 ≤</w:t>
            </w:r>
            <w:r w:rsidRPr="00C972E7">
              <w:rPr>
                <w:rFonts w:hint="eastAsia"/>
              </w:rPr>
              <w:t xml:space="preserve">eDRX_IDLE cycle length ≤ </w:t>
            </w:r>
            <w:r w:rsidRPr="00C972E7">
              <w:t>10485.76</w:t>
            </w:r>
          </w:p>
          <w:p w14:paraId="24441362" w14:textId="77777777" w:rsidR="00AB0056" w:rsidRPr="00C972E7" w:rsidRDefault="00AB0056" w:rsidP="00985E6F">
            <w:pPr>
              <w:pStyle w:val="TAC"/>
            </w:pPr>
          </w:p>
        </w:tc>
        <w:tc>
          <w:tcPr>
            <w:tcW w:w="668" w:type="pct"/>
            <w:tcBorders>
              <w:top w:val="single" w:sz="4" w:space="0" w:color="auto"/>
              <w:left w:val="single" w:sz="4" w:space="0" w:color="auto"/>
              <w:bottom w:val="single" w:sz="4" w:space="0" w:color="auto"/>
              <w:right w:val="single" w:sz="4" w:space="0" w:color="auto"/>
            </w:tcBorders>
            <w:hideMark/>
          </w:tcPr>
          <w:p w14:paraId="62A86C51" w14:textId="77777777" w:rsidR="00AB0056" w:rsidRPr="00C972E7" w:rsidRDefault="00AB0056" w:rsidP="00985E6F">
            <w:pPr>
              <w:pStyle w:val="TAC"/>
            </w:pPr>
            <w:r w:rsidRPr="00C972E7">
              <w:t>0.32</w:t>
            </w:r>
          </w:p>
        </w:tc>
        <w:tc>
          <w:tcPr>
            <w:tcW w:w="1094" w:type="pct"/>
            <w:tcBorders>
              <w:top w:val="single" w:sz="4" w:space="0" w:color="auto"/>
              <w:left w:val="single" w:sz="4" w:space="0" w:color="auto"/>
              <w:bottom w:val="single" w:sz="4" w:space="0" w:color="auto"/>
              <w:right w:val="single" w:sz="4" w:space="0" w:color="auto"/>
            </w:tcBorders>
            <w:hideMark/>
          </w:tcPr>
          <w:p w14:paraId="725057D5" w14:textId="77777777" w:rsidR="00AB0056" w:rsidRPr="00C972E7" w:rsidRDefault="00AB0056" w:rsidP="00985E6F">
            <w:pPr>
              <w:pStyle w:val="TAC"/>
            </w:pPr>
            <w:r w:rsidRPr="00C972E7">
              <w:t xml:space="preserve">11.52 </w:t>
            </w:r>
            <w:r w:rsidRPr="00C972E7">
              <w:rPr>
                <w:rFonts w:cs="Arial"/>
                <w:lang w:eastAsia="zh-CN"/>
              </w:rPr>
              <w:t xml:space="preserve">x 1.5 </w:t>
            </w:r>
            <w:r w:rsidRPr="00C972E7">
              <w:t xml:space="preserve">(36 </w:t>
            </w:r>
            <w:r w:rsidRPr="00C972E7">
              <w:rPr>
                <w:rFonts w:cs="Arial"/>
                <w:lang w:eastAsia="zh-CN"/>
              </w:rPr>
              <w:t>x 1.5</w:t>
            </w:r>
            <w:r w:rsidRPr="00C972E7">
              <w:t>)</w:t>
            </w:r>
          </w:p>
        </w:tc>
        <w:tc>
          <w:tcPr>
            <w:tcW w:w="1184" w:type="pct"/>
            <w:tcBorders>
              <w:top w:val="single" w:sz="4" w:space="0" w:color="auto"/>
              <w:left w:val="single" w:sz="4" w:space="0" w:color="auto"/>
              <w:bottom w:val="single" w:sz="4" w:space="0" w:color="auto"/>
              <w:right w:val="single" w:sz="4" w:space="0" w:color="auto"/>
            </w:tcBorders>
            <w:hideMark/>
          </w:tcPr>
          <w:p w14:paraId="0F46829D" w14:textId="77777777" w:rsidR="00AB0056" w:rsidRPr="00C972E7" w:rsidRDefault="00AB0056" w:rsidP="00985E6F">
            <w:pPr>
              <w:pStyle w:val="TAC"/>
            </w:pPr>
            <w:r w:rsidRPr="00C972E7">
              <w:t xml:space="preserve">1.28 x </w:t>
            </w:r>
            <w:r w:rsidRPr="00C972E7">
              <w:rPr>
                <w:rFonts w:cs="Arial"/>
                <w:lang w:eastAsia="zh-CN"/>
              </w:rPr>
              <w:t xml:space="preserve">1.5 </w:t>
            </w:r>
            <w:r w:rsidRPr="00C972E7">
              <w:t xml:space="preserve">(4 </w:t>
            </w:r>
            <w:r w:rsidRPr="00C972E7">
              <w:rPr>
                <w:rFonts w:cs="Arial"/>
                <w:lang w:eastAsia="zh-CN"/>
              </w:rPr>
              <w:t>x 1.5</w:t>
            </w:r>
            <w:r w:rsidRPr="00C972E7">
              <w:t>)</w:t>
            </w:r>
          </w:p>
        </w:tc>
        <w:tc>
          <w:tcPr>
            <w:tcW w:w="1175" w:type="pct"/>
            <w:tcBorders>
              <w:top w:val="single" w:sz="4" w:space="0" w:color="auto"/>
              <w:left w:val="single" w:sz="4" w:space="0" w:color="auto"/>
              <w:bottom w:val="single" w:sz="4" w:space="0" w:color="auto"/>
              <w:right w:val="single" w:sz="4" w:space="0" w:color="auto"/>
            </w:tcBorders>
            <w:hideMark/>
          </w:tcPr>
          <w:p w14:paraId="1F0D7ACF" w14:textId="77777777" w:rsidR="00AB0056" w:rsidRPr="00C972E7" w:rsidRDefault="00AB0056" w:rsidP="00985E6F">
            <w:pPr>
              <w:pStyle w:val="TAC"/>
            </w:pPr>
            <w:r w:rsidRPr="00C972E7">
              <w:t xml:space="preserve">5.12 </w:t>
            </w:r>
            <w:r w:rsidRPr="00C972E7">
              <w:rPr>
                <w:rFonts w:cs="Arial"/>
                <w:lang w:eastAsia="zh-CN"/>
              </w:rPr>
              <w:t xml:space="preserve">x 1.5 </w:t>
            </w:r>
            <w:r w:rsidRPr="00C972E7">
              <w:t xml:space="preserve">(16 </w:t>
            </w:r>
            <w:r w:rsidRPr="00C972E7">
              <w:rPr>
                <w:rFonts w:cs="Arial"/>
                <w:lang w:eastAsia="zh-CN"/>
              </w:rPr>
              <w:t>x 1.5</w:t>
            </w:r>
            <w:r w:rsidRPr="00C972E7">
              <w:t>)</w:t>
            </w:r>
          </w:p>
        </w:tc>
      </w:tr>
      <w:tr w:rsidR="00AB0056" w:rsidRPr="00C972E7" w14:paraId="6AA3E6B1" w14:textId="77777777" w:rsidTr="00985E6F">
        <w:trPr>
          <w:cantSplit/>
          <w:jc w:val="center"/>
        </w:trPr>
        <w:tc>
          <w:tcPr>
            <w:tcW w:w="879" w:type="pct"/>
            <w:vMerge/>
            <w:tcBorders>
              <w:left w:val="single" w:sz="4" w:space="0" w:color="auto"/>
              <w:right w:val="single" w:sz="4" w:space="0" w:color="auto"/>
            </w:tcBorders>
          </w:tcPr>
          <w:p w14:paraId="52417D8B" w14:textId="77777777" w:rsidR="00AB0056" w:rsidRPr="00C972E7" w:rsidRDefault="00AB0056" w:rsidP="00985E6F">
            <w:pPr>
              <w:pStyle w:val="TAC"/>
            </w:pPr>
          </w:p>
        </w:tc>
        <w:tc>
          <w:tcPr>
            <w:tcW w:w="668" w:type="pct"/>
            <w:tcBorders>
              <w:top w:val="single" w:sz="4" w:space="0" w:color="auto"/>
              <w:left w:val="single" w:sz="4" w:space="0" w:color="auto"/>
              <w:bottom w:val="single" w:sz="4" w:space="0" w:color="auto"/>
              <w:right w:val="single" w:sz="4" w:space="0" w:color="auto"/>
            </w:tcBorders>
            <w:hideMark/>
          </w:tcPr>
          <w:p w14:paraId="357A2B31" w14:textId="77777777" w:rsidR="00AB0056" w:rsidRPr="00C972E7" w:rsidRDefault="00AB0056" w:rsidP="00985E6F">
            <w:pPr>
              <w:pStyle w:val="TAC"/>
            </w:pPr>
            <w:r w:rsidRPr="00C972E7">
              <w:t>0.64</w:t>
            </w:r>
          </w:p>
        </w:tc>
        <w:tc>
          <w:tcPr>
            <w:tcW w:w="1094" w:type="pct"/>
            <w:tcBorders>
              <w:top w:val="single" w:sz="4" w:space="0" w:color="auto"/>
              <w:left w:val="single" w:sz="4" w:space="0" w:color="auto"/>
              <w:bottom w:val="single" w:sz="4" w:space="0" w:color="auto"/>
              <w:right w:val="single" w:sz="4" w:space="0" w:color="auto"/>
            </w:tcBorders>
            <w:hideMark/>
          </w:tcPr>
          <w:p w14:paraId="2AD7CDA5" w14:textId="77777777" w:rsidR="00AB0056" w:rsidRPr="00C972E7" w:rsidRDefault="00AB0056" w:rsidP="00985E6F">
            <w:pPr>
              <w:pStyle w:val="TAC"/>
            </w:pPr>
            <w:r w:rsidRPr="00C972E7">
              <w:t>17.92 (28)</w:t>
            </w:r>
          </w:p>
        </w:tc>
        <w:tc>
          <w:tcPr>
            <w:tcW w:w="1184" w:type="pct"/>
            <w:tcBorders>
              <w:top w:val="single" w:sz="4" w:space="0" w:color="auto"/>
              <w:left w:val="single" w:sz="4" w:space="0" w:color="auto"/>
              <w:bottom w:val="single" w:sz="4" w:space="0" w:color="auto"/>
              <w:right w:val="single" w:sz="4" w:space="0" w:color="auto"/>
            </w:tcBorders>
            <w:hideMark/>
          </w:tcPr>
          <w:p w14:paraId="33F8FA6D" w14:textId="77777777" w:rsidR="00AB0056" w:rsidRPr="00C972E7" w:rsidRDefault="00AB0056" w:rsidP="00985E6F">
            <w:pPr>
              <w:pStyle w:val="TAC"/>
            </w:pPr>
            <w:r w:rsidRPr="00C972E7">
              <w:t>1.28 (2)</w:t>
            </w:r>
          </w:p>
        </w:tc>
        <w:tc>
          <w:tcPr>
            <w:tcW w:w="1175" w:type="pct"/>
            <w:tcBorders>
              <w:top w:val="single" w:sz="4" w:space="0" w:color="auto"/>
              <w:left w:val="single" w:sz="4" w:space="0" w:color="auto"/>
              <w:bottom w:val="single" w:sz="4" w:space="0" w:color="auto"/>
              <w:right w:val="single" w:sz="4" w:space="0" w:color="auto"/>
            </w:tcBorders>
            <w:hideMark/>
          </w:tcPr>
          <w:p w14:paraId="71ABE603" w14:textId="77777777" w:rsidR="00AB0056" w:rsidRPr="00C972E7" w:rsidRDefault="00AB0056" w:rsidP="00985E6F">
            <w:pPr>
              <w:pStyle w:val="TAC"/>
            </w:pPr>
            <w:r w:rsidRPr="00C972E7">
              <w:t>5.12 (8)</w:t>
            </w:r>
          </w:p>
        </w:tc>
      </w:tr>
      <w:tr w:rsidR="00AB0056" w:rsidRPr="00C972E7" w14:paraId="1914A1BD" w14:textId="77777777" w:rsidTr="00985E6F">
        <w:trPr>
          <w:cantSplit/>
          <w:jc w:val="center"/>
        </w:trPr>
        <w:tc>
          <w:tcPr>
            <w:tcW w:w="879" w:type="pct"/>
            <w:vMerge/>
            <w:tcBorders>
              <w:left w:val="single" w:sz="4" w:space="0" w:color="auto"/>
              <w:right w:val="single" w:sz="4" w:space="0" w:color="auto"/>
            </w:tcBorders>
          </w:tcPr>
          <w:p w14:paraId="2CD5F9D5" w14:textId="77777777" w:rsidR="00AB0056" w:rsidRPr="00C972E7" w:rsidRDefault="00AB0056" w:rsidP="00985E6F">
            <w:pPr>
              <w:pStyle w:val="TAC"/>
            </w:pPr>
          </w:p>
        </w:tc>
        <w:tc>
          <w:tcPr>
            <w:tcW w:w="668" w:type="pct"/>
            <w:tcBorders>
              <w:top w:val="single" w:sz="4" w:space="0" w:color="auto"/>
              <w:left w:val="single" w:sz="4" w:space="0" w:color="auto"/>
              <w:bottom w:val="single" w:sz="4" w:space="0" w:color="auto"/>
              <w:right w:val="single" w:sz="4" w:space="0" w:color="auto"/>
            </w:tcBorders>
            <w:hideMark/>
          </w:tcPr>
          <w:p w14:paraId="27DE1894" w14:textId="77777777" w:rsidR="00AB0056" w:rsidRPr="00C972E7" w:rsidRDefault="00AB0056" w:rsidP="00985E6F">
            <w:pPr>
              <w:pStyle w:val="TAC"/>
            </w:pPr>
            <w:r w:rsidRPr="00C972E7">
              <w:t>1.28</w:t>
            </w:r>
          </w:p>
        </w:tc>
        <w:tc>
          <w:tcPr>
            <w:tcW w:w="1094" w:type="pct"/>
            <w:tcBorders>
              <w:top w:val="single" w:sz="4" w:space="0" w:color="auto"/>
              <w:left w:val="single" w:sz="4" w:space="0" w:color="auto"/>
              <w:bottom w:val="single" w:sz="4" w:space="0" w:color="auto"/>
              <w:right w:val="single" w:sz="4" w:space="0" w:color="auto"/>
            </w:tcBorders>
            <w:hideMark/>
          </w:tcPr>
          <w:p w14:paraId="0E61A216" w14:textId="77777777" w:rsidR="00AB0056" w:rsidRPr="00C972E7" w:rsidRDefault="00AB0056" w:rsidP="00985E6F">
            <w:pPr>
              <w:pStyle w:val="TAC"/>
            </w:pPr>
            <w:r w:rsidRPr="00C972E7">
              <w:t>32 (25)</w:t>
            </w:r>
          </w:p>
        </w:tc>
        <w:tc>
          <w:tcPr>
            <w:tcW w:w="1184" w:type="pct"/>
            <w:tcBorders>
              <w:top w:val="single" w:sz="4" w:space="0" w:color="auto"/>
              <w:left w:val="single" w:sz="4" w:space="0" w:color="auto"/>
              <w:bottom w:val="single" w:sz="4" w:space="0" w:color="auto"/>
              <w:right w:val="single" w:sz="4" w:space="0" w:color="auto"/>
            </w:tcBorders>
            <w:hideMark/>
          </w:tcPr>
          <w:p w14:paraId="5293E1EF" w14:textId="77777777" w:rsidR="00AB0056" w:rsidRPr="00C972E7" w:rsidRDefault="00AB0056" w:rsidP="00985E6F">
            <w:pPr>
              <w:pStyle w:val="TAC"/>
            </w:pPr>
            <w:r w:rsidRPr="00C972E7">
              <w:t>1.28 (1)</w:t>
            </w:r>
          </w:p>
        </w:tc>
        <w:tc>
          <w:tcPr>
            <w:tcW w:w="1175" w:type="pct"/>
            <w:tcBorders>
              <w:top w:val="single" w:sz="4" w:space="0" w:color="auto"/>
              <w:left w:val="single" w:sz="4" w:space="0" w:color="auto"/>
              <w:bottom w:val="single" w:sz="4" w:space="0" w:color="auto"/>
              <w:right w:val="single" w:sz="4" w:space="0" w:color="auto"/>
            </w:tcBorders>
            <w:hideMark/>
          </w:tcPr>
          <w:p w14:paraId="0E4F73A8" w14:textId="77777777" w:rsidR="00AB0056" w:rsidRPr="00C972E7" w:rsidRDefault="00AB0056" w:rsidP="00985E6F">
            <w:pPr>
              <w:pStyle w:val="TAC"/>
            </w:pPr>
            <w:r w:rsidRPr="00C972E7">
              <w:t>6.4 (5)</w:t>
            </w:r>
          </w:p>
        </w:tc>
      </w:tr>
      <w:tr w:rsidR="00AB0056" w:rsidRPr="00C972E7" w14:paraId="003D380D" w14:textId="77777777" w:rsidTr="00985E6F">
        <w:trPr>
          <w:cantSplit/>
          <w:jc w:val="center"/>
        </w:trPr>
        <w:tc>
          <w:tcPr>
            <w:tcW w:w="879" w:type="pct"/>
            <w:vMerge/>
            <w:tcBorders>
              <w:left w:val="single" w:sz="4" w:space="0" w:color="auto"/>
              <w:right w:val="single" w:sz="4" w:space="0" w:color="auto"/>
            </w:tcBorders>
          </w:tcPr>
          <w:p w14:paraId="478DA1DB" w14:textId="77777777" w:rsidR="00AB0056" w:rsidRPr="00C972E7" w:rsidRDefault="00AB0056" w:rsidP="00985E6F">
            <w:pPr>
              <w:pStyle w:val="TAC"/>
            </w:pPr>
          </w:p>
        </w:tc>
        <w:tc>
          <w:tcPr>
            <w:tcW w:w="668" w:type="pct"/>
            <w:tcBorders>
              <w:top w:val="single" w:sz="4" w:space="0" w:color="auto"/>
              <w:left w:val="single" w:sz="4" w:space="0" w:color="auto"/>
              <w:bottom w:val="single" w:sz="4" w:space="0" w:color="auto"/>
              <w:right w:val="single" w:sz="4" w:space="0" w:color="auto"/>
            </w:tcBorders>
            <w:hideMark/>
          </w:tcPr>
          <w:p w14:paraId="1F87325E" w14:textId="77777777" w:rsidR="00AB0056" w:rsidRPr="00C972E7" w:rsidRDefault="00AB0056" w:rsidP="00985E6F">
            <w:pPr>
              <w:pStyle w:val="TAC"/>
            </w:pPr>
            <w:r w:rsidRPr="00C972E7">
              <w:t>2.56</w:t>
            </w:r>
          </w:p>
        </w:tc>
        <w:tc>
          <w:tcPr>
            <w:tcW w:w="1094" w:type="pct"/>
            <w:tcBorders>
              <w:top w:val="single" w:sz="4" w:space="0" w:color="auto"/>
              <w:left w:val="single" w:sz="4" w:space="0" w:color="auto"/>
              <w:bottom w:val="single" w:sz="4" w:space="0" w:color="auto"/>
              <w:right w:val="single" w:sz="4" w:space="0" w:color="auto"/>
            </w:tcBorders>
            <w:hideMark/>
          </w:tcPr>
          <w:p w14:paraId="20A3F187" w14:textId="77777777" w:rsidR="00AB0056" w:rsidRPr="00C972E7" w:rsidRDefault="00AB0056" w:rsidP="00985E6F">
            <w:pPr>
              <w:pStyle w:val="TAC"/>
            </w:pPr>
            <w:r w:rsidRPr="00C972E7">
              <w:t>58.88 (23)</w:t>
            </w:r>
          </w:p>
        </w:tc>
        <w:tc>
          <w:tcPr>
            <w:tcW w:w="1184" w:type="pct"/>
            <w:tcBorders>
              <w:top w:val="single" w:sz="4" w:space="0" w:color="auto"/>
              <w:left w:val="single" w:sz="4" w:space="0" w:color="auto"/>
              <w:bottom w:val="single" w:sz="4" w:space="0" w:color="auto"/>
              <w:right w:val="single" w:sz="4" w:space="0" w:color="auto"/>
            </w:tcBorders>
            <w:hideMark/>
          </w:tcPr>
          <w:p w14:paraId="4C75966B" w14:textId="77777777" w:rsidR="00AB0056" w:rsidRPr="00C972E7" w:rsidRDefault="00AB0056" w:rsidP="00985E6F">
            <w:pPr>
              <w:pStyle w:val="TAC"/>
            </w:pPr>
            <w:r w:rsidRPr="00C972E7">
              <w:t>2.56 (1)</w:t>
            </w:r>
          </w:p>
        </w:tc>
        <w:tc>
          <w:tcPr>
            <w:tcW w:w="1175" w:type="pct"/>
            <w:tcBorders>
              <w:top w:val="single" w:sz="4" w:space="0" w:color="auto"/>
              <w:left w:val="single" w:sz="4" w:space="0" w:color="auto"/>
              <w:bottom w:val="single" w:sz="4" w:space="0" w:color="auto"/>
              <w:right w:val="single" w:sz="4" w:space="0" w:color="auto"/>
            </w:tcBorders>
            <w:hideMark/>
          </w:tcPr>
          <w:p w14:paraId="5618608F" w14:textId="77777777" w:rsidR="00AB0056" w:rsidRPr="00C972E7" w:rsidRDefault="00AB0056" w:rsidP="00985E6F">
            <w:pPr>
              <w:pStyle w:val="TAC"/>
            </w:pPr>
            <w:r w:rsidRPr="00C972E7">
              <w:t>7.68 (3)</w:t>
            </w:r>
          </w:p>
        </w:tc>
      </w:tr>
      <w:tr w:rsidR="00AB0056" w:rsidRPr="00C972E7" w14:paraId="53E5136B" w14:textId="77777777" w:rsidTr="00985E6F">
        <w:trPr>
          <w:cantSplit/>
          <w:jc w:val="center"/>
        </w:trPr>
        <w:tc>
          <w:tcPr>
            <w:tcW w:w="879" w:type="pct"/>
            <w:vMerge/>
            <w:tcBorders>
              <w:left w:val="single" w:sz="4" w:space="0" w:color="auto"/>
              <w:right w:val="single" w:sz="4" w:space="0" w:color="auto"/>
            </w:tcBorders>
          </w:tcPr>
          <w:p w14:paraId="479C05FE" w14:textId="77777777" w:rsidR="00AB0056" w:rsidRPr="00C972E7" w:rsidRDefault="00AB0056" w:rsidP="00985E6F">
            <w:pPr>
              <w:pStyle w:val="TAC"/>
            </w:pPr>
          </w:p>
        </w:tc>
        <w:tc>
          <w:tcPr>
            <w:tcW w:w="668" w:type="pct"/>
            <w:tcBorders>
              <w:top w:val="single" w:sz="4" w:space="0" w:color="auto"/>
              <w:left w:val="single" w:sz="4" w:space="0" w:color="auto"/>
              <w:bottom w:val="single" w:sz="4" w:space="0" w:color="auto"/>
              <w:right w:val="single" w:sz="4" w:space="0" w:color="auto"/>
            </w:tcBorders>
          </w:tcPr>
          <w:p w14:paraId="479EAEC0" w14:textId="77777777" w:rsidR="00AB0056" w:rsidRPr="00C972E7" w:rsidRDefault="00AB0056" w:rsidP="00985E6F">
            <w:pPr>
              <w:pStyle w:val="TAC"/>
              <w:rPr>
                <w:lang w:eastAsia="zh-CN"/>
              </w:rPr>
            </w:pPr>
            <w:r w:rsidRPr="00C972E7">
              <w:rPr>
                <w:rFonts w:hint="eastAsia"/>
                <w:lang w:eastAsia="zh-CN"/>
              </w:rPr>
              <w:t>5</w:t>
            </w:r>
            <w:r w:rsidRPr="00C972E7">
              <w:rPr>
                <w:lang w:eastAsia="zh-CN"/>
              </w:rPr>
              <w:t>.12</w:t>
            </w:r>
          </w:p>
        </w:tc>
        <w:tc>
          <w:tcPr>
            <w:tcW w:w="1094" w:type="pct"/>
            <w:tcBorders>
              <w:top w:val="single" w:sz="4" w:space="0" w:color="auto"/>
              <w:left w:val="single" w:sz="4" w:space="0" w:color="auto"/>
              <w:bottom w:val="single" w:sz="4" w:space="0" w:color="auto"/>
              <w:right w:val="single" w:sz="4" w:space="0" w:color="auto"/>
            </w:tcBorders>
          </w:tcPr>
          <w:p w14:paraId="2DA2DCEF" w14:textId="77777777" w:rsidR="00AB0056" w:rsidRPr="00C972E7" w:rsidRDefault="00AB0056" w:rsidP="00985E6F">
            <w:pPr>
              <w:pStyle w:val="TAC"/>
            </w:pPr>
            <w:r w:rsidRPr="00C972E7">
              <w:rPr>
                <w:lang w:eastAsia="zh-CN"/>
              </w:rPr>
              <w:t>117.76</w:t>
            </w:r>
            <w:r w:rsidRPr="00C972E7">
              <w:t xml:space="preserve"> (23)</w:t>
            </w:r>
          </w:p>
        </w:tc>
        <w:tc>
          <w:tcPr>
            <w:tcW w:w="1184" w:type="pct"/>
            <w:tcBorders>
              <w:top w:val="single" w:sz="4" w:space="0" w:color="auto"/>
              <w:left w:val="single" w:sz="4" w:space="0" w:color="auto"/>
              <w:bottom w:val="single" w:sz="4" w:space="0" w:color="auto"/>
              <w:right w:val="single" w:sz="4" w:space="0" w:color="auto"/>
            </w:tcBorders>
          </w:tcPr>
          <w:p w14:paraId="5C0286DA" w14:textId="77777777" w:rsidR="00AB0056" w:rsidRPr="00C972E7" w:rsidRDefault="00AB0056" w:rsidP="00985E6F">
            <w:pPr>
              <w:pStyle w:val="TAC"/>
            </w:pPr>
            <w:r w:rsidRPr="00C972E7">
              <w:t>5.12 (1)</w:t>
            </w:r>
          </w:p>
        </w:tc>
        <w:tc>
          <w:tcPr>
            <w:tcW w:w="1175" w:type="pct"/>
            <w:tcBorders>
              <w:top w:val="single" w:sz="4" w:space="0" w:color="auto"/>
              <w:left w:val="single" w:sz="4" w:space="0" w:color="auto"/>
              <w:bottom w:val="single" w:sz="4" w:space="0" w:color="auto"/>
              <w:right w:val="single" w:sz="4" w:space="0" w:color="auto"/>
            </w:tcBorders>
          </w:tcPr>
          <w:p w14:paraId="67FC44B7" w14:textId="77777777" w:rsidR="00AB0056" w:rsidRPr="00C972E7" w:rsidRDefault="00AB0056" w:rsidP="00985E6F">
            <w:pPr>
              <w:pStyle w:val="TAC"/>
            </w:pPr>
            <w:r w:rsidRPr="00C972E7">
              <w:t>15.36 (3)</w:t>
            </w:r>
          </w:p>
        </w:tc>
      </w:tr>
      <w:tr w:rsidR="00AB0056" w:rsidRPr="00C972E7" w14:paraId="4B99F7E3" w14:textId="77777777" w:rsidTr="00985E6F">
        <w:trPr>
          <w:cantSplit/>
          <w:jc w:val="center"/>
        </w:trPr>
        <w:tc>
          <w:tcPr>
            <w:tcW w:w="879" w:type="pct"/>
            <w:vMerge/>
            <w:tcBorders>
              <w:left w:val="single" w:sz="4" w:space="0" w:color="auto"/>
              <w:right w:val="single" w:sz="4" w:space="0" w:color="auto"/>
            </w:tcBorders>
          </w:tcPr>
          <w:p w14:paraId="1626E224" w14:textId="77777777" w:rsidR="00AB0056" w:rsidRPr="00C972E7" w:rsidRDefault="00AB0056" w:rsidP="00985E6F">
            <w:pPr>
              <w:pStyle w:val="TAC"/>
            </w:pPr>
          </w:p>
        </w:tc>
        <w:tc>
          <w:tcPr>
            <w:tcW w:w="668" w:type="pct"/>
            <w:tcBorders>
              <w:top w:val="single" w:sz="4" w:space="0" w:color="auto"/>
              <w:left w:val="single" w:sz="4" w:space="0" w:color="auto"/>
              <w:bottom w:val="single" w:sz="4" w:space="0" w:color="auto"/>
              <w:right w:val="single" w:sz="4" w:space="0" w:color="auto"/>
            </w:tcBorders>
          </w:tcPr>
          <w:p w14:paraId="6CBE32A0" w14:textId="77777777" w:rsidR="00AB0056" w:rsidRPr="00C972E7" w:rsidRDefault="00AB0056" w:rsidP="00985E6F">
            <w:pPr>
              <w:pStyle w:val="TAC"/>
              <w:rPr>
                <w:lang w:eastAsia="zh-CN"/>
              </w:rPr>
            </w:pPr>
            <w:r w:rsidRPr="00C972E7">
              <w:rPr>
                <w:rFonts w:hint="eastAsia"/>
                <w:lang w:eastAsia="zh-CN"/>
              </w:rPr>
              <w:t>1</w:t>
            </w:r>
            <w:r w:rsidRPr="00C972E7">
              <w:rPr>
                <w:lang w:eastAsia="zh-CN"/>
              </w:rPr>
              <w:t>0.24</w:t>
            </w:r>
          </w:p>
        </w:tc>
        <w:tc>
          <w:tcPr>
            <w:tcW w:w="1094" w:type="pct"/>
            <w:tcBorders>
              <w:top w:val="single" w:sz="4" w:space="0" w:color="auto"/>
              <w:left w:val="single" w:sz="4" w:space="0" w:color="auto"/>
              <w:bottom w:val="single" w:sz="4" w:space="0" w:color="auto"/>
              <w:right w:val="single" w:sz="4" w:space="0" w:color="auto"/>
            </w:tcBorders>
          </w:tcPr>
          <w:p w14:paraId="57A92321" w14:textId="77777777" w:rsidR="00AB0056" w:rsidRPr="00C972E7" w:rsidRDefault="00AB0056" w:rsidP="00985E6F">
            <w:pPr>
              <w:pStyle w:val="TAC"/>
            </w:pPr>
            <w:r w:rsidRPr="00C972E7">
              <w:rPr>
                <w:lang w:eastAsia="zh-CN"/>
              </w:rPr>
              <w:t>235.52</w:t>
            </w:r>
            <w:r w:rsidRPr="00C972E7">
              <w:t>(23)</w:t>
            </w:r>
          </w:p>
        </w:tc>
        <w:tc>
          <w:tcPr>
            <w:tcW w:w="1184" w:type="pct"/>
            <w:tcBorders>
              <w:top w:val="single" w:sz="4" w:space="0" w:color="auto"/>
              <w:left w:val="single" w:sz="4" w:space="0" w:color="auto"/>
              <w:bottom w:val="single" w:sz="4" w:space="0" w:color="auto"/>
              <w:right w:val="single" w:sz="4" w:space="0" w:color="auto"/>
            </w:tcBorders>
          </w:tcPr>
          <w:p w14:paraId="0EB57E56" w14:textId="77777777" w:rsidR="00AB0056" w:rsidRPr="00C972E7" w:rsidRDefault="00AB0056" w:rsidP="00985E6F">
            <w:pPr>
              <w:pStyle w:val="TAC"/>
            </w:pPr>
            <w:r w:rsidRPr="00C972E7">
              <w:t>10.24 (1)</w:t>
            </w:r>
          </w:p>
        </w:tc>
        <w:tc>
          <w:tcPr>
            <w:tcW w:w="1175" w:type="pct"/>
            <w:tcBorders>
              <w:top w:val="single" w:sz="4" w:space="0" w:color="auto"/>
              <w:left w:val="single" w:sz="4" w:space="0" w:color="auto"/>
              <w:bottom w:val="single" w:sz="4" w:space="0" w:color="auto"/>
              <w:right w:val="single" w:sz="4" w:space="0" w:color="auto"/>
            </w:tcBorders>
          </w:tcPr>
          <w:p w14:paraId="63BC5872" w14:textId="77777777" w:rsidR="00AB0056" w:rsidRPr="00C972E7" w:rsidRDefault="00AB0056" w:rsidP="00985E6F">
            <w:pPr>
              <w:pStyle w:val="TAC"/>
            </w:pPr>
            <w:r w:rsidRPr="00C972E7">
              <w:t>30.72 (3)</w:t>
            </w:r>
          </w:p>
        </w:tc>
      </w:tr>
    </w:tbl>
    <w:p w14:paraId="6CC79D93" w14:textId="77777777" w:rsidR="00AB0056" w:rsidRPr="00C972E7" w:rsidRDefault="00AB0056" w:rsidP="00AB0056">
      <w:pPr>
        <w:rPr>
          <w:rFonts w:cs="v4.2.0"/>
        </w:rPr>
      </w:pPr>
    </w:p>
    <w:p w14:paraId="73F71F2C" w14:textId="77777777" w:rsidR="007C37DF" w:rsidRPr="009C5807" w:rsidRDefault="007C37DF" w:rsidP="007C37DF">
      <w:pPr>
        <w:pStyle w:val="Heading4"/>
      </w:pPr>
      <w:r w:rsidRPr="009C5807">
        <w:t>5.1</w:t>
      </w:r>
      <w:r>
        <w:t>B</w:t>
      </w:r>
      <w:r w:rsidRPr="009C5807">
        <w:t>.2.6</w:t>
      </w:r>
      <w:r w:rsidRPr="009C5807">
        <w:tab/>
        <w:t>Maximum interruption in paging reception</w:t>
      </w:r>
    </w:p>
    <w:p w14:paraId="6A73DF28" w14:textId="77777777" w:rsidR="007C37DF" w:rsidRDefault="007C37DF" w:rsidP="007C37DF">
      <w:r w:rsidRPr="009C5807">
        <w:t>The requirements in clause 4.2</w:t>
      </w:r>
      <w:r>
        <w:t>B</w:t>
      </w:r>
      <w:r w:rsidRPr="009C5807">
        <w:t>.2.6 shall apply</w:t>
      </w:r>
      <w:r>
        <w:t xml:space="preserve"> for RedCap UEs</w:t>
      </w:r>
      <w:r w:rsidRPr="009C5807">
        <w:t>.</w:t>
      </w:r>
      <w:r>
        <w:t xml:space="preserve"> </w:t>
      </w:r>
    </w:p>
    <w:p w14:paraId="7A44EB40" w14:textId="77777777" w:rsidR="007C37DF" w:rsidRPr="009C5807" w:rsidRDefault="007C37DF" w:rsidP="007C37DF">
      <w:pPr>
        <w:rPr>
          <w:lang w:eastAsia="zh-CN"/>
        </w:rPr>
      </w:pPr>
      <w:r>
        <w:rPr>
          <w:lang w:eastAsia="zh-CN"/>
        </w:rPr>
        <w:t>For RedCap UE in HD-FDD mode, if a paging occasion overlaps with CG-SDT transmission then the UE shall monitor the paging during the paging occasion. In this case the UE is allowed to drop the CG-SDT transmission.</w:t>
      </w:r>
    </w:p>
    <w:p w14:paraId="736F47DD" w14:textId="77777777" w:rsidR="00FC747B" w:rsidRDefault="00FC747B" w:rsidP="00FC747B">
      <w:pPr>
        <w:pStyle w:val="Heading4"/>
      </w:pPr>
      <w:r>
        <w:t>5.1B.2.7</w:t>
      </w:r>
      <w:r>
        <w:tab/>
        <w:t>General requirements</w:t>
      </w:r>
    </w:p>
    <w:p w14:paraId="0F24CE24" w14:textId="77777777" w:rsidR="00FC747B" w:rsidRPr="008C6DE4" w:rsidRDefault="00FC747B" w:rsidP="00FC747B">
      <w:r w:rsidRPr="008C6DE4">
        <w:t>The requirements in sub-clause 4.2</w:t>
      </w:r>
      <w:r>
        <w:t>B</w:t>
      </w:r>
      <w:r w:rsidRPr="008C6DE4">
        <w:t>.2.7 shall apply.</w:t>
      </w:r>
    </w:p>
    <w:p w14:paraId="12050170" w14:textId="77777777" w:rsidR="00FC747B" w:rsidRDefault="00FC747B" w:rsidP="00FC747B">
      <w:pPr>
        <w:pStyle w:val="Heading4"/>
      </w:pPr>
      <w:r>
        <w:t>5.1B.2.8</w:t>
      </w:r>
      <w:r>
        <w:tab/>
        <w:t>Minimum requirement at transitions</w:t>
      </w:r>
    </w:p>
    <w:p w14:paraId="6514EEAA" w14:textId="77777777" w:rsidR="00FC747B" w:rsidRPr="008C6DE4" w:rsidRDefault="00FC747B" w:rsidP="00FC747B">
      <w:r w:rsidRPr="008C6DE4">
        <w:t>The requirements in sub-clause 4.2</w:t>
      </w:r>
      <w:r>
        <w:t>B</w:t>
      </w:r>
      <w:r w:rsidRPr="008C6DE4">
        <w:t>.2.</w:t>
      </w:r>
      <w:r>
        <w:t>8</w:t>
      </w:r>
      <w:r w:rsidRPr="008C6DE4">
        <w:t xml:space="preserve"> shall apply.</w:t>
      </w:r>
    </w:p>
    <w:p w14:paraId="6F14ECD0" w14:textId="34C20F4D" w:rsidR="00FC747B" w:rsidRDefault="00FC747B" w:rsidP="00FC747B">
      <w:pPr>
        <w:pStyle w:val="Heading4"/>
      </w:pPr>
      <w:r>
        <w:t>5.1B.2.9</w:t>
      </w:r>
      <w:r>
        <w:tab/>
        <w:t>Measurements of intra-frequency NR cells for UE configured with relaxed measurement criterion</w:t>
      </w:r>
    </w:p>
    <w:p w14:paraId="10CDC779" w14:textId="77777777" w:rsidR="00FC747B" w:rsidRPr="009C5807" w:rsidRDefault="00FC747B" w:rsidP="00FC747B">
      <w:r>
        <w:t>The requirements in clause 4.2B.2.9 apply for UE configured with relaxed measurement criterion.</w:t>
      </w:r>
    </w:p>
    <w:p w14:paraId="416A339D" w14:textId="77777777" w:rsidR="00FC747B" w:rsidRDefault="00FC747B" w:rsidP="00FC747B">
      <w:pPr>
        <w:pStyle w:val="Heading4"/>
      </w:pPr>
      <w:r>
        <w:t>5.1B.2.10</w:t>
      </w:r>
      <w:r>
        <w:tab/>
        <w:t>Measurements of inter-frequency NR cells for UE configured with relaxed measurement criterion</w:t>
      </w:r>
    </w:p>
    <w:p w14:paraId="224AF2E4" w14:textId="77777777" w:rsidR="00FC747B" w:rsidRPr="009C5807" w:rsidRDefault="00FC747B" w:rsidP="00FC747B">
      <w:r>
        <w:t>The requirements in clause 4.2B.2.10 apply for UE configured with relaxed measurement criterion.</w:t>
      </w:r>
    </w:p>
    <w:p w14:paraId="3054DB0A" w14:textId="77777777" w:rsidR="00FC747B" w:rsidRDefault="00FC747B" w:rsidP="00FC747B">
      <w:pPr>
        <w:pStyle w:val="Heading4"/>
      </w:pPr>
      <w:r>
        <w:t>5.1B.2.11</w:t>
      </w:r>
      <w:r>
        <w:tab/>
        <w:t>Measurements of inter-RAT E-UTRAN cells for UE configured with relaxed measurement criterion</w:t>
      </w:r>
    </w:p>
    <w:p w14:paraId="4263C9AD" w14:textId="77777777" w:rsidR="00FC747B" w:rsidRPr="009C5807" w:rsidRDefault="00FC747B" w:rsidP="00FC747B">
      <w:r>
        <w:t>The requirements in clause 4.2B.2.11 apply for UE configured with relaxed measurement criterion.</w:t>
      </w:r>
    </w:p>
    <w:p w14:paraId="11826985" w14:textId="1497DEDD" w:rsidR="007C37DF" w:rsidRDefault="007C37DF" w:rsidP="00877A71"/>
    <w:p w14:paraId="7E8BA0D9" w14:textId="77777777" w:rsidR="00A75503" w:rsidRDefault="00A75503" w:rsidP="00A75503">
      <w:pPr>
        <w:pStyle w:val="Heading2"/>
      </w:pPr>
      <w:r>
        <w:t>5.1C</w:t>
      </w:r>
      <w:r>
        <w:tab/>
        <w:t>Cell Re-selection</w:t>
      </w:r>
    </w:p>
    <w:p w14:paraId="4DA6AD20" w14:textId="77777777" w:rsidR="00A75503" w:rsidRPr="00407CAF" w:rsidRDefault="00A75503" w:rsidP="00A75503">
      <w:pPr>
        <w:pStyle w:val="Heading3"/>
        <w:rPr>
          <w:lang w:eastAsia="ko-KR"/>
        </w:rPr>
      </w:pPr>
      <w:r w:rsidRPr="00962E3C">
        <w:rPr>
          <w:lang w:eastAsia="ko-KR"/>
        </w:rPr>
        <w:t>5.1C.1</w:t>
      </w:r>
      <w:r>
        <w:tab/>
      </w:r>
      <w:r w:rsidRPr="006218A0">
        <w:rPr>
          <w:lang w:eastAsia="ko-KR"/>
        </w:rPr>
        <w:t>Introduction</w:t>
      </w:r>
    </w:p>
    <w:p w14:paraId="0E4C8E0D" w14:textId="77777777" w:rsidR="00A75503" w:rsidRDefault="00A75503" w:rsidP="00A75503">
      <w:r>
        <w:t>The cell reselection procedure allows the UE to select a more suitable cell and camp on it.</w:t>
      </w:r>
    </w:p>
    <w:p w14:paraId="29F25201" w14:textId="77777777" w:rsidR="00A75503" w:rsidRDefault="00A75503" w:rsidP="00A75503">
      <w:r>
        <w:t xml:space="preserve">When the UE is in </w:t>
      </w:r>
      <w:r>
        <w:rPr>
          <w:i/>
        </w:rPr>
        <w:t>Camped Normally</w:t>
      </w:r>
      <w:r>
        <w:t xml:space="preserve"> state on a cell, the UE shall attempt to detect, synchronise, and monitor intra-frequency, inter-frequency cells indicated by the serving cell. For intra-frequency and inter-frequency cells the serving cell may not provide explicit neighbour list but carrier frequency information and bandwidth information only. UE measurement activity is also controlled by measurement rules defined in TS38.304 [1], allowing the UE to limit its measurement activity.</w:t>
      </w:r>
    </w:p>
    <w:p w14:paraId="5040BC91" w14:textId="77777777" w:rsidR="00A75503" w:rsidRDefault="00A75503" w:rsidP="00A75503"/>
    <w:p w14:paraId="5E8ED619" w14:textId="77777777" w:rsidR="00A75503" w:rsidRPr="0088674F" w:rsidRDefault="00A75503" w:rsidP="00A75503">
      <w:pPr>
        <w:pStyle w:val="Heading3"/>
        <w:rPr>
          <w:lang w:eastAsia="ko-KR"/>
        </w:rPr>
      </w:pPr>
      <w:r w:rsidRPr="0088674F">
        <w:rPr>
          <w:lang w:eastAsia="ko-KR"/>
        </w:rPr>
        <w:t>5.1C.2</w:t>
      </w:r>
      <w:r w:rsidRPr="0088674F">
        <w:rPr>
          <w:lang w:eastAsia="ko-KR"/>
        </w:rPr>
        <w:tab/>
        <w:t>Requirements</w:t>
      </w:r>
    </w:p>
    <w:p w14:paraId="28B86B9A" w14:textId="77777777" w:rsidR="00A75503" w:rsidRPr="00990782" w:rsidRDefault="00A75503" w:rsidP="00A75503">
      <w:pPr>
        <w:pStyle w:val="Heading4"/>
        <w:rPr>
          <w:i/>
          <w:iCs/>
          <w:lang w:eastAsia="zh-CN"/>
        </w:rPr>
      </w:pPr>
      <w:r w:rsidRPr="00990782">
        <w:rPr>
          <w:lang w:eastAsia="zh-CN"/>
        </w:rPr>
        <w:t>5.1C.2.1</w:t>
      </w:r>
      <w:r w:rsidRPr="00990782">
        <w:rPr>
          <w:lang w:eastAsia="zh-CN"/>
        </w:rPr>
        <w:tab/>
        <w:t>UE measurement capability</w:t>
      </w:r>
    </w:p>
    <w:p w14:paraId="4604C9B6" w14:textId="77777777" w:rsidR="00A75503" w:rsidRDefault="00A75503" w:rsidP="00A75503">
      <w:r>
        <w:t>The requirements in clause 4.2C.2.1 shall apply.</w:t>
      </w:r>
    </w:p>
    <w:p w14:paraId="40BB31FE" w14:textId="77777777" w:rsidR="00A75503" w:rsidRPr="00990782" w:rsidRDefault="00A75503" w:rsidP="00A75503">
      <w:pPr>
        <w:pStyle w:val="Heading4"/>
        <w:rPr>
          <w:i/>
          <w:iCs/>
          <w:lang w:eastAsia="zh-CN"/>
        </w:rPr>
      </w:pPr>
      <w:r w:rsidRPr="00990782">
        <w:rPr>
          <w:lang w:eastAsia="zh-CN"/>
        </w:rPr>
        <w:t>5.1C.2.2</w:t>
      </w:r>
      <w:r w:rsidRPr="00990782">
        <w:rPr>
          <w:lang w:eastAsia="zh-CN"/>
        </w:rPr>
        <w:tab/>
        <w:t>Measurement and evaluation of serving cell</w:t>
      </w:r>
    </w:p>
    <w:p w14:paraId="6879C62C" w14:textId="77777777" w:rsidR="00A75503" w:rsidRDefault="00A75503" w:rsidP="00A75503">
      <w:r>
        <w:t>The requirements in clause 4.2C.2.2 shall apply.</w:t>
      </w:r>
    </w:p>
    <w:p w14:paraId="22B46B37" w14:textId="77777777" w:rsidR="00A75503" w:rsidRPr="00990782" w:rsidRDefault="00A75503" w:rsidP="00A75503">
      <w:pPr>
        <w:pStyle w:val="Heading4"/>
        <w:rPr>
          <w:i/>
          <w:iCs/>
          <w:lang w:eastAsia="zh-CN"/>
        </w:rPr>
      </w:pPr>
      <w:r w:rsidRPr="00990782">
        <w:rPr>
          <w:lang w:eastAsia="zh-CN"/>
        </w:rPr>
        <w:t>5.1C.2.3</w:t>
      </w:r>
      <w:r w:rsidRPr="00990782">
        <w:rPr>
          <w:lang w:eastAsia="zh-CN"/>
        </w:rPr>
        <w:tab/>
        <w:t>Measurements of intra-frequency NR cells</w:t>
      </w:r>
    </w:p>
    <w:p w14:paraId="7E81DFAA" w14:textId="77777777" w:rsidR="00A75503" w:rsidRDefault="00A75503" w:rsidP="00A75503">
      <w:r>
        <w:t xml:space="preserve">The requirements in clause 4.2C.2.3 shall apply. The requirements in clause </w:t>
      </w:r>
      <w:r>
        <w:rPr>
          <w:lang w:eastAsia="zh-CN"/>
        </w:rPr>
        <w:t xml:space="preserve">4.2C.2.7 </w:t>
      </w:r>
      <w:r>
        <w:t>apply for UE configured with relaxed measurement criterion.</w:t>
      </w:r>
    </w:p>
    <w:p w14:paraId="576E6FEC" w14:textId="77777777" w:rsidR="00A75503" w:rsidRPr="00990782" w:rsidRDefault="00A75503" w:rsidP="00A75503">
      <w:pPr>
        <w:pStyle w:val="Heading4"/>
        <w:rPr>
          <w:i/>
          <w:iCs/>
          <w:lang w:eastAsia="zh-CN"/>
        </w:rPr>
      </w:pPr>
      <w:r w:rsidRPr="00990782">
        <w:rPr>
          <w:lang w:eastAsia="zh-CN"/>
        </w:rPr>
        <w:t>5.1C.2.4</w:t>
      </w:r>
      <w:r w:rsidRPr="00990782">
        <w:rPr>
          <w:lang w:eastAsia="zh-CN"/>
        </w:rPr>
        <w:tab/>
        <w:t>Measurements of inter-frequency NR cells</w:t>
      </w:r>
    </w:p>
    <w:p w14:paraId="42C8919E" w14:textId="77777777" w:rsidR="00A75503" w:rsidRDefault="00A75503" w:rsidP="00A75503">
      <w:r>
        <w:t xml:space="preserve">The requirements in clause 4.2C.2.4 shall apply. The requirements in clause </w:t>
      </w:r>
      <w:r>
        <w:rPr>
          <w:lang w:eastAsia="zh-CN"/>
        </w:rPr>
        <w:t xml:space="preserve">4.2C.2.8 </w:t>
      </w:r>
      <w:r>
        <w:t>apply for UE configured with relaxed measurement criterion.</w:t>
      </w:r>
    </w:p>
    <w:p w14:paraId="23872EEB" w14:textId="77777777" w:rsidR="00A75503" w:rsidRPr="00990782" w:rsidRDefault="00A75503" w:rsidP="00A75503">
      <w:pPr>
        <w:pStyle w:val="Heading4"/>
        <w:rPr>
          <w:i/>
          <w:iCs/>
          <w:lang w:eastAsia="zh-CN"/>
        </w:rPr>
      </w:pPr>
      <w:r w:rsidRPr="00990782">
        <w:rPr>
          <w:lang w:eastAsia="zh-CN"/>
        </w:rPr>
        <w:t>5.1C.2.5</w:t>
      </w:r>
      <w:r w:rsidRPr="00990782">
        <w:rPr>
          <w:lang w:eastAsia="zh-CN"/>
        </w:rPr>
        <w:tab/>
        <w:t>Maximum interruption in paging reception</w:t>
      </w:r>
    </w:p>
    <w:p w14:paraId="141FC304" w14:textId="77777777" w:rsidR="00A75503" w:rsidRDefault="00A75503" w:rsidP="00A75503">
      <w:r>
        <w:t>The requirements in clause 4.2C.2.5 shall apply.</w:t>
      </w:r>
    </w:p>
    <w:p w14:paraId="21893B89" w14:textId="77777777" w:rsidR="00A75503" w:rsidRPr="00990782" w:rsidRDefault="00A75503" w:rsidP="00A75503">
      <w:pPr>
        <w:pStyle w:val="Heading4"/>
        <w:rPr>
          <w:i/>
          <w:iCs/>
          <w:lang w:eastAsia="zh-CN"/>
        </w:rPr>
      </w:pPr>
      <w:r w:rsidRPr="00990782">
        <w:rPr>
          <w:lang w:eastAsia="zh-CN"/>
        </w:rPr>
        <w:t>5.1C.2.6</w:t>
      </w:r>
      <w:r w:rsidRPr="00990782">
        <w:rPr>
          <w:lang w:eastAsia="zh-CN"/>
        </w:rPr>
        <w:tab/>
        <w:t>General requirements</w:t>
      </w:r>
    </w:p>
    <w:p w14:paraId="28BDAA66" w14:textId="77777777" w:rsidR="00A75503" w:rsidRDefault="00A75503" w:rsidP="00A75503">
      <w:r>
        <w:t>The requirements in clause 4.2C.2.9 shall apply.</w:t>
      </w:r>
    </w:p>
    <w:p w14:paraId="214D7870" w14:textId="77777777" w:rsidR="00A75503" w:rsidRPr="00ED2F00" w:rsidRDefault="00A75503" w:rsidP="00877A71"/>
    <w:p w14:paraId="7F2FCDD2" w14:textId="3D598B0F" w:rsidR="00D27AAF" w:rsidRDefault="00967CF8" w:rsidP="00967CF8">
      <w:pPr>
        <w:pStyle w:val="Heading2"/>
      </w:pPr>
      <w:r w:rsidRPr="009C5807">
        <w:t>5.2</w:t>
      </w:r>
      <w:r w:rsidR="00D27AAF" w:rsidRPr="009C5807">
        <w:tab/>
      </w:r>
      <w:bookmarkEnd w:id="68"/>
      <w:r w:rsidR="00D27AAF" w:rsidRPr="009C5807">
        <w:t>Void</w:t>
      </w:r>
    </w:p>
    <w:p w14:paraId="3AA5ED35" w14:textId="77777777" w:rsidR="00E51F6C" w:rsidRPr="00596C4E" w:rsidRDefault="00E51F6C" w:rsidP="00E51F6C">
      <w:pPr>
        <w:pStyle w:val="Heading2"/>
        <w:rPr>
          <w:noProof/>
        </w:rPr>
      </w:pPr>
      <w:r w:rsidRPr="00596C4E">
        <w:rPr>
          <w:noProof/>
        </w:rPr>
        <w:t>5.</w:t>
      </w:r>
      <w:r>
        <w:rPr>
          <w:noProof/>
        </w:rPr>
        <w:t>2</w:t>
      </w:r>
      <w:r w:rsidRPr="00596C4E">
        <w:rPr>
          <w:noProof/>
        </w:rPr>
        <w:t>B</w:t>
      </w:r>
      <w:bookmarkStart w:id="69" w:name="_Hlk104279591"/>
      <w:r>
        <w:rPr>
          <w:noProof/>
        </w:rPr>
        <w:tab/>
      </w:r>
      <w:r w:rsidRPr="00596C4E">
        <w:rPr>
          <w:noProof/>
        </w:rPr>
        <w:t>Configured Grant based Small Data Transmissions (CG-SDT) for RedCap</w:t>
      </w:r>
      <w:bookmarkEnd w:id="69"/>
    </w:p>
    <w:p w14:paraId="0A89D9C2" w14:textId="77777777" w:rsidR="00E51F6C" w:rsidRPr="00596C4E" w:rsidRDefault="00E51F6C" w:rsidP="00E51F6C">
      <w:pPr>
        <w:pStyle w:val="Heading3"/>
      </w:pPr>
      <w:bookmarkStart w:id="70" w:name="_Hlk104279635"/>
      <w:r w:rsidRPr="00596C4E">
        <w:t>5.</w:t>
      </w:r>
      <w:r>
        <w:t>2</w:t>
      </w:r>
      <w:r w:rsidRPr="00596C4E">
        <w:t>B.1</w:t>
      </w:r>
      <w:r>
        <w:tab/>
      </w:r>
      <w:r w:rsidRPr="00596C4E">
        <w:t>Introduction</w:t>
      </w:r>
    </w:p>
    <w:p w14:paraId="6573903C" w14:textId="632BE21A" w:rsidR="00E51F6C" w:rsidRDefault="00E51F6C" w:rsidP="00701C50">
      <w:r>
        <w:t>This section contains the requirements for Small Data Transmissions (SDT) for 1 Rx RedCap and 2 Rx RedCap.</w:t>
      </w:r>
    </w:p>
    <w:p w14:paraId="4DB5F89D" w14:textId="77777777" w:rsidR="000558CD" w:rsidRDefault="000558CD" w:rsidP="000558CD">
      <w:pPr>
        <w:rPr>
          <w:lang w:eastAsia="sv-SE"/>
        </w:rPr>
      </w:pPr>
      <w:r>
        <w:rPr>
          <w:lang w:eastAsia="sv-SE"/>
        </w:rPr>
        <w:t>T</w:t>
      </w:r>
      <w:r w:rsidRPr="006857A3">
        <w:rPr>
          <w:lang w:eastAsia="sv-SE"/>
        </w:rPr>
        <w:t xml:space="preserve">he 1 Rx RedCap </w:t>
      </w:r>
      <w:r>
        <w:rPr>
          <w:lang w:eastAsia="sv-SE"/>
        </w:rPr>
        <w:t xml:space="preserve">UE for </w:t>
      </w:r>
      <w:r w:rsidRPr="00B76C8E">
        <w:rPr>
          <w:lang w:eastAsia="sv-SE"/>
        </w:rPr>
        <w:t>determin</w:t>
      </w:r>
      <w:r>
        <w:rPr>
          <w:lang w:eastAsia="sv-SE"/>
        </w:rPr>
        <w:t xml:space="preserve">ing </w:t>
      </w:r>
      <w:r w:rsidRPr="00B76C8E">
        <w:rPr>
          <w:lang w:eastAsia="sv-SE"/>
        </w:rPr>
        <w:t xml:space="preserve">whether to perform SDT procedure </w:t>
      </w:r>
      <w:r w:rsidRPr="009A2B20">
        <w:rPr>
          <w:lang w:eastAsia="sv-SE"/>
        </w:rPr>
        <w:t>defined in clause 5.2</w:t>
      </w:r>
      <w:r>
        <w:rPr>
          <w:lang w:eastAsia="sv-SE"/>
        </w:rPr>
        <w:t xml:space="preserve">7 [7] </w:t>
      </w:r>
      <w:r w:rsidRPr="006857A3">
        <w:rPr>
          <w:lang w:eastAsia="sv-SE"/>
        </w:rPr>
        <w:t>applies</w:t>
      </w:r>
      <w:r>
        <w:rPr>
          <w:lang w:eastAsia="sv-SE"/>
        </w:rPr>
        <w:t>:</w:t>
      </w:r>
    </w:p>
    <w:p w14:paraId="258DD876" w14:textId="590F7F64" w:rsidR="000558CD" w:rsidRPr="0004208A" w:rsidRDefault="000558CD" w:rsidP="000558CD">
      <w:pPr>
        <w:pStyle w:val="B10"/>
      </w:pPr>
      <w:r>
        <w:t>-</w:t>
      </w:r>
      <w:r>
        <w:tab/>
      </w:r>
      <w:r w:rsidRPr="00352581">
        <w:t xml:space="preserve">sdt-RSRP-Threshold-r17 </w:t>
      </w:r>
      <w:r w:rsidRPr="006857A3">
        <w:rPr>
          <w:lang w:eastAsia="sv-SE"/>
        </w:rPr>
        <w:t xml:space="preserve">as the signaled value of </w:t>
      </w:r>
      <w:r w:rsidRPr="00352581">
        <w:t>sdt-RSRP-Threshold-r17</w:t>
      </w:r>
      <w:r w:rsidRPr="005F511B">
        <w:t xml:space="preserve"> </w:t>
      </w:r>
      <w:r>
        <w:rPr>
          <w:lang w:eastAsia="sv-SE"/>
        </w:rPr>
        <w:t xml:space="preserve">[2] + </w:t>
      </w:r>
      <w:r w:rsidRPr="006857A3">
        <w:rPr>
          <w:lang w:eastAsia="sv-SE"/>
        </w:rPr>
        <w:t>1 dB.</w:t>
      </w:r>
    </w:p>
    <w:p w14:paraId="1D7146CF" w14:textId="77777777" w:rsidR="00E51F6C" w:rsidRPr="00B63C7C" w:rsidRDefault="00E51F6C" w:rsidP="00E51F6C">
      <w:pPr>
        <w:pStyle w:val="Heading3"/>
      </w:pPr>
      <w:r w:rsidRPr="00B63C7C">
        <w:t>5.</w:t>
      </w:r>
      <w:r>
        <w:t>2</w:t>
      </w:r>
      <w:r w:rsidRPr="00B63C7C">
        <w:t>B.2</w:t>
      </w:r>
      <w:r>
        <w:tab/>
      </w:r>
      <w:r w:rsidRPr="00B63C7C">
        <w:t>Requirements on UE synchronization for small data transmissions</w:t>
      </w:r>
      <w:r>
        <w:t xml:space="preserve"> for RedCap</w:t>
      </w:r>
    </w:p>
    <w:p w14:paraId="71F9155E" w14:textId="230C78E5" w:rsidR="00E51F6C" w:rsidRDefault="00B31672" w:rsidP="00E4523B">
      <w:r w:rsidRPr="009C5807">
        <w:t xml:space="preserve">The requirements in clause </w:t>
      </w:r>
      <w:r>
        <w:t>5.5.2</w:t>
      </w:r>
      <w:r w:rsidRPr="009C5807">
        <w:t xml:space="preserve"> shall apply</w:t>
      </w:r>
      <w:r>
        <w:t xml:space="preserve"> for RedCap UEs</w:t>
      </w:r>
      <w:r w:rsidRPr="009C5807">
        <w:t>.</w:t>
      </w:r>
    </w:p>
    <w:p w14:paraId="3E71C149" w14:textId="12E3E9F7" w:rsidR="00F46050" w:rsidRPr="00D60521" w:rsidRDefault="00F46050" w:rsidP="00F3126E">
      <w:pPr>
        <w:pStyle w:val="Heading3"/>
        <w:rPr>
          <w:sz w:val="24"/>
        </w:rPr>
      </w:pPr>
      <w:r w:rsidRPr="00B63C7C">
        <w:rPr>
          <w:sz w:val="24"/>
        </w:rPr>
        <w:t>5.</w:t>
      </w:r>
      <w:r>
        <w:rPr>
          <w:sz w:val="24"/>
        </w:rPr>
        <w:t>2</w:t>
      </w:r>
      <w:r w:rsidRPr="00B63C7C">
        <w:rPr>
          <w:sz w:val="24"/>
        </w:rPr>
        <w:t>B.2.</w:t>
      </w:r>
      <w:r>
        <w:rPr>
          <w:sz w:val="24"/>
        </w:rPr>
        <w:t>1</w:t>
      </w:r>
      <w:r>
        <w:rPr>
          <w:sz w:val="24"/>
        </w:rPr>
        <w:tab/>
        <w:t>Void</w:t>
      </w:r>
      <w:r w:rsidRPr="00B63C7C">
        <w:t>5.</w:t>
      </w:r>
      <w:r>
        <w:t>2</w:t>
      </w:r>
      <w:r w:rsidRPr="00B63C7C">
        <w:t>B.</w:t>
      </w:r>
      <w:r>
        <w:t>3</w:t>
      </w:r>
      <w:r>
        <w:tab/>
      </w:r>
      <w:r w:rsidRPr="00232A15">
        <w:t>TA validation requirements for RedCap</w:t>
      </w:r>
    </w:p>
    <w:p w14:paraId="03E63947" w14:textId="2D10F3F3" w:rsidR="00E51F6C" w:rsidRPr="00691C10" w:rsidRDefault="00F46050" w:rsidP="00F46050">
      <w:pPr>
        <w:rPr>
          <w:iCs/>
        </w:rPr>
      </w:pPr>
      <w:r w:rsidRPr="00691C10">
        <w:rPr>
          <w:iCs/>
        </w:rPr>
        <w:t xml:space="preserve">When </w:t>
      </w:r>
      <w:r w:rsidRPr="00987A5E">
        <w:rPr>
          <w:i/>
          <w:iCs/>
        </w:rPr>
        <w:t>cg-SDT-RSRP-ChangeThreshold</w:t>
      </w:r>
      <w:r w:rsidRPr="00691C10">
        <w:rPr>
          <w:iCs/>
        </w:rPr>
        <w:t xml:space="preserve"> [TS 3</w:t>
      </w:r>
      <w:r>
        <w:rPr>
          <w:iCs/>
        </w:rPr>
        <w:t>8</w:t>
      </w:r>
      <w:r w:rsidRPr="00691C10">
        <w:rPr>
          <w:iCs/>
        </w:rPr>
        <w:t>.331] is configured</w:t>
      </w:r>
      <w:r w:rsidRPr="009B27E9">
        <w:rPr>
          <w:iCs/>
        </w:rPr>
        <w:t xml:space="preserve"> </w:t>
      </w:r>
      <w:r>
        <w:rPr>
          <w:iCs/>
        </w:rPr>
        <w:t xml:space="preserve">for TA validation based on the RSRP change criterion according to clause </w:t>
      </w:r>
      <w:r w:rsidRPr="00D60521">
        <w:t>5.</w:t>
      </w:r>
      <w:r>
        <w:rPr>
          <w:iCs/>
        </w:rPr>
        <w:t>8</w:t>
      </w:r>
      <w:r w:rsidRPr="00D60521">
        <w:t xml:space="preserve">.2 </w:t>
      </w:r>
      <w:r>
        <w:rPr>
          <w:iCs/>
        </w:rPr>
        <w:t>in</w:t>
      </w:r>
      <w:r>
        <w:rPr>
          <w:iCs/>
          <w:lang w:eastAsia="zh-CN"/>
        </w:rPr>
        <w:t xml:space="preserve"> [</w:t>
      </w:r>
      <w:r>
        <w:rPr>
          <w:iCs/>
        </w:rPr>
        <w:t xml:space="preserve">TS 38.321], </w:t>
      </w:r>
      <w:r w:rsidRPr="00691C10">
        <w:rPr>
          <w:iCs/>
        </w:rPr>
        <w:t xml:space="preserve">the UE is allowed to transmit using </w:t>
      </w:r>
      <w:r>
        <w:rPr>
          <w:iCs/>
        </w:rPr>
        <w:t>CG-SDT</w:t>
      </w:r>
      <w:r w:rsidRPr="00691C10">
        <w:rPr>
          <w:iCs/>
        </w:rPr>
        <w:t xml:space="preserve"> using the timing derived using the latest available </w:t>
      </w:r>
      <m:oMath>
        <m:sSub>
          <m:sSubPr>
            <m:ctrlPr>
              <w:rPr>
                <w:rFonts w:ascii="Cambria Math" w:hAnsi="Cambria Math"/>
                <w:i/>
              </w:rPr>
            </m:ctrlPr>
          </m:sSubPr>
          <m:e>
            <m:r>
              <w:rPr>
                <w:rFonts w:ascii="Cambria Math"/>
              </w:rPr>
              <m:t>N</m:t>
            </m:r>
          </m:e>
          <m:sub>
            <m:r>
              <m:rPr>
                <m:nor/>
              </m:rPr>
              <w:rPr>
                <w:rFonts w:ascii="Cambria Math"/>
              </w:rPr>
              <m:t>TA</m:t>
            </m:r>
            <m:ctrlPr>
              <w:rPr>
                <w:rFonts w:ascii="Cambria Math" w:hAnsi="Cambria Math"/>
              </w:rPr>
            </m:ctrlPr>
          </m:sub>
        </m:sSub>
      </m:oMath>
      <w:r w:rsidRPr="00691C10">
        <w:rPr>
          <w:iCs/>
        </w:rPr>
        <w:t xml:space="preserve"> value as specified in subclause </w:t>
      </w:r>
      <w:r>
        <w:rPr>
          <w:iCs/>
        </w:rPr>
        <w:t>7.1</w:t>
      </w:r>
      <w:r w:rsidRPr="00691C10">
        <w:rPr>
          <w:iCs/>
        </w:rPr>
        <w:t xml:space="preserve"> provided that</w:t>
      </w:r>
    </w:p>
    <w:p w14:paraId="32301410" w14:textId="77777777" w:rsidR="00E51F6C" w:rsidRPr="00691C10" w:rsidRDefault="00E51F6C" w:rsidP="00E51F6C">
      <w:pPr>
        <w:pStyle w:val="B10"/>
        <w:rPr>
          <w:lang w:val="en-US"/>
        </w:rPr>
      </w:pPr>
      <w:r>
        <w:rPr>
          <w:lang w:val="en-US"/>
        </w:rPr>
        <w:t>-</w:t>
      </w:r>
      <w:r>
        <w:rPr>
          <w:lang w:val="en-US"/>
        </w:rPr>
        <w:tab/>
      </w:r>
      <w:r w:rsidRPr="00691C10">
        <w:rPr>
          <w:lang w:val="en-US"/>
        </w:rPr>
        <w:t>the first RSRP (RSRP</w:t>
      </w:r>
      <w:r w:rsidRPr="00691C10">
        <w:rPr>
          <w:vertAlign w:val="subscript"/>
          <w:lang w:val="en-US"/>
        </w:rPr>
        <w:t>1</w:t>
      </w:r>
      <w:r w:rsidRPr="00691C10">
        <w:rPr>
          <w:lang w:val="en-US"/>
        </w:rPr>
        <w:t>) measurement and the second RSRP (RSRP</w:t>
      </w:r>
      <w:r w:rsidRPr="00691C10">
        <w:rPr>
          <w:vertAlign w:val="subscript"/>
          <w:lang w:val="en-US"/>
        </w:rPr>
        <w:t>2</w:t>
      </w:r>
      <w:r w:rsidRPr="00691C10">
        <w:rPr>
          <w:lang w:val="en-US"/>
        </w:rPr>
        <w:t xml:space="preserve">) measurements used in the TA validation are valid measurements and, </w:t>
      </w:r>
    </w:p>
    <w:p w14:paraId="797E7749" w14:textId="77777777" w:rsidR="00E51F6C" w:rsidRPr="00691C10" w:rsidRDefault="00E51F6C" w:rsidP="00E51F6C">
      <w:pPr>
        <w:pStyle w:val="B10"/>
        <w:rPr>
          <w:i/>
        </w:rPr>
      </w:pPr>
      <w:r>
        <w:rPr>
          <w:lang w:val="en-US"/>
        </w:rPr>
        <w:t>-</w:t>
      </w:r>
      <w:r>
        <w:rPr>
          <w:lang w:val="en-US"/>
        </w:rPr>
        <w:tab/>
      </w:r>
      <w:r w:rsidRPr="00691C10">
        <w:rPr>
          <w:lang w:val="en-US"/>
        </w:rPr>
        <w:t xml:space="preserve">timing alignment validation for transmission using </w:t>
      </w:r>
      <w:r>
        <w:rPr>
          <w:lang w:val="en-US"/>
        </w:rPr>
        <w:t>CG-SDT</w:t>
      </w:r>
      <w:r w:rsidRPr="00691C10">
        <w:rPr>
          <w:lang w:val="en-US"/>
        </w:rPr>
        <w:t xml:space="preserve"> is valid according to the val</w:t>
      </w:r>
      <w:r>
        <w:rPr>
          <w:lang w:val="en-US"/>
        </w:rPr>
        <w:t>i</w:t>
      </w:r>
      <w:r w:rsidRPr="00691C10">
        <w:rPr>
          <w:lang w:val="en-US"/>
        </w:rPr>
        <w:t xml:space="preserve">dation criteria in </w:t>
      </w:r>
      <w:r>
        <w:rPr>
          <w:lang w:val="en-US"/>
        </w:rPr>
        <w:t>clause</w:t>
      </w:r>
      <w:r w:rsidRPr="00691C10">
        <w:rPr>
          <w:lang w:val="en-US"/>
        </w:rPr>
        <w:t xml:space="preserve"> </w:t>
      </w:r>
      <w:r>
        <w:rPr>
          <w:lang w:val="en-US"/>
        </w:rPr>
        <w:t>5.8.2</w:t>
      </w:r>
      <w:r w:rsidRPr="00691C10">
        <w:rPr>
          <w:lang w:val="en-US"/>
        </w:rPr>
        <w:t xml:space="preserve"> in [TS 3</w:t>
      </w:r>
      <w:r>
        <w:rPr>
          <w:lang w:val="en-US"/>
        </w:rPr>
        <w:t>8</w:t>
      </w:r>
      <w:r w:rsidRPr="00691C10">
        <w:rPr>
          <w:lang w:val="en-US"/>
        </w:rPr>
        <w:t>.3</w:t>
      </w:r>
      <w:r>
        <w:rPr>
          <w:lang w:val="en-US"/>
        </w:rPr>
        <w:t>21</w:t>
      </w:r>
      <w:r w:rsidRPr="00691C10">
        <w:rPr>
          <w:lang w:val="en-US"/>
        </w:rPr>
        <w:t>]</w:t>
      </w:r>
      <w:r>
        <w:rPr>
          <w:lang w:val="en-US"/>
        </w:rPr>
        <w:t>.</w:t>
      </w:r>
    </w:p>
    <w:p w14:paraId="15D56981" w14:textId="77777777" w:rsidR="008F2CC8" w:rsidRDefault="008F2CC8" w:rsidP="008F2CC8">
      <w:r w:rsidRPr="00691C10">
        <w:rPr>
          <w:iCs/>
        </w:rPr>
        <w:t>RSRP</w:t>
      </w:r>
      <w:r w:rsidRPr="00691C10">
        <w:rPr>
          <w:iCs/>
          <w:vertAlign w:val="subscript"/>
        </w:rPr>
        <w:t>1</w:t>
      </w:r>
      <w:r w:rsidRPr="00691C10">
        <w:rPr>
          <w:iCs/>
        </w:rPr>
        <w:t xml:space="preserve"> </w:t>
      </w:r>
      <w:r>
        <w:rPr>
          <w:iCs/>
        </w:rPr>
        <w:t>and RSRP</w:t>
      </w:r>
      <w:r w:rsidRPr="008A7648">
        <w:rPr>
          <w:iCs/>
          <w:vertAlign w:val="subscript"/>
        </w:rPr>
        <w:t>2</w:t>
      </w:r>
      <w:r>
        <w:rPr>
          <w:iCs/>
        </w:rPr>
        <w:t xml:space="preserve"> are </w:t>
      </w:r>
      <w:r w:rsidRPr="00691C10">
        <w:t>considered valid provided that the condition</w:t>
      </w:r>
      <w:r>
        <w:t>s in Table 5.2B.2-1 are met for FR1 when UE is not configured with any eDRX cycle by serving gNB or core network.</w:t>
      </w:r>
    </w:p>
    <w:p w14:paraId="373D301D" w14:textId="4C9374DB" w:rsidR="008F2CC8" w:rsidRDefault="00F3126E" w:rsidP="008F2CC8">
      <w:r w:rsidRPr="00691C10">
        <w:rPr>
          <w:iCs/>
        </w:rPr>
        <w:t>RSRP</w:t>
      </w:r>
      <w:r w:rsidRPr="00691C10">
        <w:rPr>
          <w:iCs/>
          <w:vertAlign w:val="subscript"/>
        </w:rPr>
        <w:t>1</w:t>
      </w:r>
      <w:r w:rsidRPr="00691C10">
        <w:rPr>
          <w:iCs/>
        </w:rPr>
        <w:t xml:space="preserve"> </w:t>
      </w:r>
      <w:r>
        <w:rPr>
          <w:iCs/>
        </w:rPr>
        <w:t>and RSRP</w:t>
      </w:r>
      <w:r w:rsidRPr="008A7648">
        <w:rPr>
          <w:iCs/>
          <w:vertAlign w:val="subscript"/>
        </w:rPr>
        <w:t>2</w:t>
      </w:r>
      <w:r>
        <w:rPr>
          <w:iCs/>
        </w:rPr>
        <w:t xml:space="preserve"> are </w:t>
      </w:r>
      <w:r w:rsidRPr="00691C10">
        <w:t>considered valid provided that the condition</w:t>
      </w:r>
      <w:r>
        <w:t>s in Table 5.2B.2-2 are met for FR2 regardless of whether the UE is configured with eDRX cycle by serving gNB or core network (AMF).</w:t>
      </w:r>
    </w:p>
    <w:p w14:paraId="416B8F7E" w14:textId="77777777" w:rsidR="008F2CC8" w:rsidRDefault="008F2CC8" w:rsidP="008F2CC8">
      <w:r w:rsidRPr="00691C10">
        <w:rPr>
          <w:iCs/>
        </w:rPr>
        <w:t>RSRP</w:t>
      </w:r>
      <w:r w:rsidRPr="00691C10">
        <w:rPr>
          <w:iCs/>
          <w:vertAlign w:val="subscript"/>
        </w:rPr>
        <w:t>1</w:t>
      </w:r>
      <w:r w:rsidRPr="00691C10">
        <w:rPr>
          <w:iCs/>
        </w:rPr>
        <w:t xml:space="preserve"> </w:t>
      </w:r>
      <w:r>
        <w:rPr>
          <w:iCs/>
        </w:rPr>
        <w:t>and RSRP</w:t>
      </w:r>
      <w:r w:rsidRPr="008A7648">
        <w:rPr>
          <w:iCs/>
          <w:vertAlign w:val="subscript"/>
        </w:rPr>
        <w:t>2</w:t>
      </w:r>
      <w:r>
        <w:rPr>
          <w:iCs/>
        </w:rPr>
        <w:t xml:space="preserve"> are </w:t>
      </w:r>
      <w:r w:rsidRPr="00691C10">
        <w:t>considered valid provided that the condition</w:t>
      </w:r>
      <w:r>
        <w:t>s in Table 5.2B.2-3 are met for FR1 when UE is configured:</w:t>
      </w:r>
    </w:p>
    <w:p w14:paraId="566CAF23" w14:textId="50F5B304" w:rsidR="008F2CC8" w:rsidRPr="006D5BFD" w:rsidRDefault="008F2CC8" w:rsidP="008F2CC8">
      <w:pPr>
        <w:pStyle w:val="B10"/>
      </w:pPr>
      <w:r>
        <w:t>-</w:t>
      </w:r>
      <w:r>
        <w:tab/>
      </w:r>
      <w:r w:rsidRPr="006D5BFD">
        <w:t>only with RAN eDRX cycle (</w:t>
      </w:r>
      <w:r w:rsidRPr="006D5BFD">
        <w:rPr>
          <w:lang w:val="fr-FR"/>
        </w:rPr>
        <w:t>T</w:t>
      </w:r>
      <w:r w:rsidRPr="006D5BFD">
        <w:rPr>
          <w:vertAlign w:val="subscript"/>
          <w:lang w:val="fr-FR"/>
        </w:rPr>
        <w:t>eDRX-RAN</w:t>
      </w:r>
      <w:r w:rsidRPr="006D5BFD">
        <w:t>) by the serving gNB, or</w:t>
      </w:r>
    </w:p>
    <w:p w14:paraId="42F87447" w14:textId="74A3F84F" w:rsidR="00E51F6C" w:rsidRDefault="008F2CC8" w:rsidP="008F2CC8">
      <w:pPr>
        <w:pStyle w:val="B10"/>
        <w:rPr>
          <w:i/>
          <w:iCs/>
          <w:lang w:val="fr-FR"/>
        </w:rPr>
      </w:pPr>
      <w:r>
        <w:t>-</w:t>
      </w:r>
      <w:r>
        <w:tab/>
      </w:r>
      <w:r w:rsidRPr="006D5BFD">
        <w:t xml:space="preserve">with both </w:t>
      </w:r>
      <w:r w:rsidRPr="006D5BFD">
        <w:rPr>
          <w:lang w:val="fr-FR"/>
        </w:rPr>
        <w:t>T</w:t>
      </w:r>
      <w:r w:rsidRPr="006D5BFD">
        <w:rPr>
          <w:vertAlign w:val="subscript"/>
          <w:lang w:val="fr-FR"/>
        </w:rPr>
        <w:t xml:space="preserve">eDRX-RAN </w:t>
      </w:r>
      <w:r w:rsidRPr="006D5BFD">
        <w:rPr>
          <w:lang w:val="fr-FR"/>
        </w:rPr>
        <w:t xml:space="preserve">by </w:t>
      </w:r>
      <w:r w:rsidRPr="006D5BFD">
        <w:t>serving gNB and CN eDRX cycle (</w:t>
      </w:r>
      <w:r w:rsidRPr="006D5BFD">
        <w:rPr>
          <w:lang w:val="fr-FR"/>
        </w:rPr>
        <w:t>T</w:t>
      </w:r>
      <w:r w:rsidRPr="006D5BFD">
        <w:rPr>
          <w:vertAlign w:val="subscript"/>
          <w:lang w:val="fr-FR"/>
        </w:rPr>
        <w:t>eDRX-CN</w:t>
      </w:r>
      <w:r w:rsidRPr="006D5BFD">
        <w:t>) by the core network (AMF)</w:t>
      </w:r>
    </w:p>
    <w:p w14:paraId="689B1D29" w14:textId="4FF6E460" w:rsidR="00F3126E" w:rsidRDefault="00F3126E" w:rsidP="00F3126E">
      <w:pPr>
        <w:pStyle w:val="TH"/>
        <w:rPr>
          <w:lang w:val="fr-FR"/>
        </w:rPr>
      </w:pPr>
      <w:r>
        <w:rPr>
          <w:lang w:val="fr-FR"/>
        </w:rPr>
        <w:t xml:space="preserve">Table 5.2B.3-1 Valid measurement for </w:t>
      </w:r>
      <w:r w:rsidRPr="00337987">
        <w:rPr>
          <w:lang w:val="fr-FR"/>
        </w:rPr>
        <w:t>FR1</w:t>
      </w:r>
      <w:r w:rsidRPr="00DC79B3">
        <w:rPr>
          <w:lang w:val="fr-FR"/>
        </w:rPr>
        <w:t xml:space="preserve"> </w:t>
      </w:r>
      <w:r w:rsidRPr="001A7EBB">
        <w:rPr>
          <w:lang w:val="fr-FR"/>
        </w:rPr>
        <w:t>wit</w:t>
      </w:r>
      <w:r w:rsidRPr="008F1E7F">
        <w:rPr>
          <w:lang w:val="fr-FR"/>
        </w:rPr>
        <w:t>h</w:t>
      </w:r>
      <w:r w:rsidRPr="00337987">
        <w:rPr>
          <w:lang w:val="fr-FR"/>
        </w:rPr>
        <w:t>out e</w:t>
      </w:r>
      <w:r w:rsidRPr="00DC79B3">
        <w:rPr>
          <w:lang w:val="fr-FR"/>
        </w:rPr>
        <w:t>DRX</w:t>
      </w:r>
      <w:r w:rsidRPr="00AE2C70">
        <w:rPr>
          <w:lang w:val="fr-FR"/>
        </w:rPr>
        <w:t xml:space="preserve"> cycle</w:t>
      </w:r>
    </w:p>
    <w:tbl>
      <w:tblPr>
        <w:tblStyle w:val="TableGrid"/>
        <w:tblW w:w="0" w:type="auto"/>
        <w:tblLook w:val="04A0" w:firstRow="1" w:lastRow="0" w:firstColumn="1" w:lastColumn="0" w:noHBand="0" w:noVBand="1"/>
      </w:tblPr>
      <w:tblGrid>
        <w:gridCol w:w="1838"/>
        <w:gridCol w:w="7791"/>
      </w:tblGrid>
      <w:tr w:rsidR="00F3126E" w14:paraId="64C519FD" w14:textId="77777777" w:rsidTr="00B474D0">
        <w:tc>
          <w:tcPr>
            <w:tcW w:w="1838" w:type="dxa"/>
          </w:tcPr>
          <w:p w14:paraId="21BA93B9" w14:textId="77777777" w:rsidR="00F3126E" w:rsidRDefault="00F3126E" w:rsidP="00B474D0">
            <w:pPr>
              <w:pStyle w:val="TAH"/>
              <w:rPr>
                <w:i/>
                <w:iCs/>
                <w:lang w:val="fr-FR"/>
              </w:rPr>
            </w:pPr>
            <w:r>
              <w:rPr>
                <w:lang w:val="fr-FR"/>
              </w:rPr>
              <w:t>Measurement</w:t>
            </w:r>
          </w:p>
        </w:tc>
        <w:tc>
          <w:tcPr>
            <w:tcW w:w="7791" w:type="dxa"/>
          </w:tcPr>
          <w:p w14:paraId="0DC1F448" w14:textId="77777777" w:rsidR="00F3126E" w:rsidRDefault="00F3126E" w:rsidP="00B474D0">
            <w:pPr>
              <w:pStyle w:val="TAH"/>
              <w:rPr>
                <w:i/>
                <w:iCs/>
                <w:lang w:val="fr-FR"/>
              </w:rPr>
            </w:pPr>
            <w:r>
              <w:rPr>
                <w:lang w:val="fr-FR"/>
              </w:rPr>
              <w:t>FR1</w:t>
            </w:r>
          </w:p>
        </w:tc>
      </w:tr>
      <w:tr w:rsidR="00F3126E" w:rsidRPr="00722DAF" w14:paraId="506B7F28" w14:textId="77777777" w:rsidTr="00B474D0">
        <w:tc>
          <w:tcPr>
            <w:tcW w:w="1838" w:type="dxa"/>
          </w:tcPr>
          <w:p w14:paraId="7882E2B6" w14:textId="77777777" w:rsidR="00F3126E" w:rsidRDefault="00F3126E" w:rsidP="00B474D0">
            <w:pPr>
              <w:pStyle w:val="TAC"/>
              <w:rPr>
                <w:i/>
                <w:iCs/>
                <w:lang w:val="fr-FR"/>
              </w:rPr>
            </w:pPr>
            <w:r>
              <w:rPr>
                <w:lang w:val="fr-FR"/>
              </w:rPr>
              <w:t>RSRP</w:t>
            </w:r>
            <w:r w:rsidRPr="00E5544B">
              <w:rPr>
                <w:vertAlign w:val="subscript"/>
                <w:lang w:val="fr-FR"/>
              </w:rPr>
              <w:t>1</w:t>
            </w:r>
          </w:p>
        </w:tc>
        <w:tc>
          <w:tcPr>
            <w:tcW w:w="7791" w:type="dxa"/>
          </w:tcPr>
          <w:p w14:paraId="50405E39" w14:textId="77777777" w:rsidR="00F3126E" w:rsidRDefault="00F3126E" w:rsidP="00B474D0">
            <w:pPr>
              <w:pStyle w:val="TAC"/>
              <w:rPr>
                <w:i/>
                <w:iCs/>
                <w:lang w:val="fr-FR"/>
              </w:rPr>
            </w:pPr>
            <w:r>
              <w:rPr>
                <w:lang w:val="fr-FR"/>
              </w:rPr>
              <w:t>(T1 – min(6</w:t>
            </w:r>
            <w:r w:rsidRPr="00B51E0F">
              <w:rPr>
                <w:lang w:val="fr-FR"/>
              </w:rPr>
              <w:t>40</w:t>
            </w:r>
            <w:r w:rsidRPr="00FB1F9F">
              <w:rPr>
                <w:lang w:val="fr-FR"/>
              </w:rPr>
              <w:t>ms</w:t>
            </w:r>
            <w:r>
              <w:rPr>
                <w:lang w:val="fr-FR"/>
              </w:rPr>
              <w:t>, M1*T</w:t>
            </w:r>
            <w:r w:rsidRPr="00E93CB8">
              <w:rPr>
                <w:vertAlign w:val="subscript"/>
                <w:lang w:val="fr-FR"/>
              </w:rPr>
              <w:t>DRX</w:t>
            </w:r>
            <w:r>
              <w:rPr>
                <w:lang w:val="fr-FR"/>
              </w:rPr>
              <w:t xml:space="preserve">)) </w:t>
            </w:r>
            <w:r>
              <w:rPr>
                <w:rFonts w:cs="Arial"/>
                <w:lang w:val="fr-FR"/>
              </w:rPr>
              <w:t>≤</w:t>
            </w:r>
            <w:r>
              <w:rPr>
                <w:lang w:val="fr-FR"/>
              </w:rPr>
              <w:t xml:space="preserve"> T1’ </w:t>
            </w:r>
            <w:r>
              <w:rPr>
                <w:rFonts w:cs="Arial"/>
                <w:lang w:val="fr-FR"/>
              </w:rPr>
              <w:t xml:space="preserve">≤ </w:t>
            </w:r>
            <w:r>
              <w:rPr>
                <w:lang w:val="fr-FR"/>
              </w:rPr>
              <w:t>(T1 + min(640ms, M1*T</w:t>
            </w:r>
            <w:r w:rsidRPr="00E5544B">
              <w:rPr>
                <w:vertAlign w:val="subscript"/>
                <w:lang w:val="fr-FR"/>
              </w:rPr>
              <w:t>DRX</w:t>
            </w:r>
            <w:r>
              <w:rPr>
                <w:lang w:val="fr-FR"/>
              </w:rPr>
              <w:t>))</w:t>
            </w:r>
          </w:p>
        </w:tc>
      </w:tr>
      <w:tr w:rsidR="00F3126E" w:rsidRPr="00722DAF" w14:paraId="3898B184" w14:textId="77777777" w:rsidTr="00B474D0">
        <w:tc>
          <w:tcPr>
            <w:tcW w:w="1838" w:type="dxa"/>
          </w:tcPr>
          <w:p w14:paraId="46FA0230" w14:textId="77777777" w:rsidR="00F3126E" w:rsidRDefault="00F3126E" w:rsidP="00B474D0">
            <w:pPr>
              <w:pStyle w:val="TAC"/>
              <w:rPr>
                <w:i/>
                <w:iCs/>
                <w:lang w:val="fr-FR"/>
              </w:rPr>
            </w:pPr>
            <w:r>
              <w:rPr>
                <w:lang w:val="fr-FR"/>
              </w:rPr>
              <w:t>RSRP</w:t>
            </w:r>
            <w:r w:rsidRPr="00E5544B">
              <w:rPr>
                <w:vertAlign w:val="subscript"/>
                <w:lang w:val="fr-FR"/>
              </w:rPr>
              <w:t>2</w:t>
            </w:r>
          </w:p>
        </w:tc>
        <w:tc>
          <w:tcPr>
            <w:tcW w:w="7791" w:type="dxa"/>
          </w:tcPr>
          <w:p w14:paraId="0032D16B" w14:textId="77777777" w:rsidR="00F3126E" w:rsidRDefault="00F3126E" w:rsidP="00B474D0">
            <w:pPr>
              <w:pStyle w:val="TAC"/>
              <w:rPr>
                <w:i/>
                <w:iCs/>
                <w:lang w:val="fr-FR"/>
              </w:rPr>
            </w:pPr>
            <w:r>
              <w:rPr>
                <w:lang w:val="fr-FR"/>
              </w:rPr>
              <w:t>(T2 – min(640ms, M1*T</w:t>
            </w:r>
            <w:r w:rsidRPr="00E5544B">
              <w:rPr>
                <w:vertAlign w:val="subscript"/>
                <w:lang w:val="fr-FR"/>
              </w:rPr>
              <w:t>DRX</w:t>
            </w:r>
            <w:r>
              <w:rPr>
                <w:lang w:val="fr-FR"/>
              </w:rPr>
              <w:t xml:space="preserve">)) </w:t>
            </w:r>
            <w:r>
              <w:rPr>
                <w:rFonts w:cs="Arial"/>
                <w:lang w:val="fr-FR"/>
              </w:rPr>
              <w:t>≤</w:t>
            </w:r>
            <w:r>
              <w:rPr>
                <w:lang w:val="fr-FR"/>
              </w:rPr>
              <w:t xml:space="preserve"> T2’ </w:t>
            </w:r>
            <w:r>
              <w:rPr>
                <w:rFonts w:cs="Arial"/>
                <w:lang w:val="fr-FR"/>
              </w:rPr>
              <w:t>≤ T2</w:t>
            </w:r>
          </w:p>
        </w:tc>
      </w:tr>
    </w:tbl>
    <w:p w14:paraId="54DEDEE8" w14:textId="77777777" w:rsidR="00F3126E" w:rsidRPr="00E93CB8" w:rsidRDefault="00F3126E" w:rsidP="00F3126E">
      <w:pPr>
        <w:rPr>
          <w:lang w:val="sv-SE"/>
        </w:rPr>
      </w:pPr>
    </w:p>
    <w:p w14:paraId="051A5D3A" w14:textId="2DD98359" w:rsidR="00F3126E" w:rsidRDefault="00F3126E" w:rsidP="00F3126E">
      <w:pPr>
        <w:pStyle w:val="TH"/>
        <w:rPr>
          <w:lang w:val="fr-FR"/>
        </w:rPr>
      </w:pPr>
      <w:r>
        <w:rPr>
          <w:lang w:val="fr-FR"/>
        </w:rPr>
        <w:t xml:space="preserve">Table 5.2B.3-2 Valid measurement for FR2 </w:t>
      </w:r>
    </w:p>
    <w:tbl>
      <w:tblPr>
        <w:tblStyle w:val="TableGrid"/>
        <w:tblW w:w="0" w:type="auto"/>
        <w:tblLook w:val="04A0" w:firstRow="1" w:lastRow="0" w:firstColumn="1" w:lastColumn="0" w:noHBand="0" w:noVBand="1"/>
      </w:tblPr>
      <w:tblGrid>
        <w:gridCol w:w="1838"/>
        <w:gridCol w:w="7791"/>
      </w:tblGrid>
      <w:tr w:rsidR="00F3126E" w14:paraId="5F52BC21" w14:textId="77777777" w:rsidTr="00B474D0">
        <w:tc>
          <w:tcPr>
            <w:tcW w:w="1838" w:type="dxa"/>
          </w:tcPr>
          <w:p w14:paraId="5F771F9C" w14:textId="77777777" w:rsidR="00F3126E" w:rsidRDefault="00F3126E" w:rsidP="00B474D0">
            <w:pPr>
              <w:pStyle w:val="TAH"/>
              <w:rPr>
                <w:i/>
                <w:iCs/>
                <w:lang w:val="fr-FR"/>
              </w:rPr>
            </w:pPr>
            <w:r>
              <w:rPr>
                <w:lang w:val="fr-FR"/>
              </w:rPr>
              <w:t>Measurement</w:t>
            </w:r>
          </w:p>
        </w:tc>
        <w:tc>
          <w:tcPr>
            <w:tcW w:w="7791" w:type="dxa"/>
          </w:tcPr>
          <w:p w14:paraId="78047D95" w14:textId="0C90B15F" w:rsidR="00F3126E" w:rsidRDefault="00F3126E" w:rsidP="00B474D0">
            <w:pPr>
              <w:pStyle w:val="TAH"/>
              <w:rPr>
                <w:i/>
                <w:iCs/>
                <w:lang w:val="fr-FR"/>
              </w:rPr>
            </w:pPr>
            <w:r>
              <w:rPr>
                <w:lang w:val="fr-FR"/>
              </w:rPr>
              <w:t>FR2</w:t>
            </w:r>
          </w:p>
        </w:tc>
      </w:tr>
      <w:tr w:rsidR="00F3126E" w:rsidRPr="00047311" w14:paraId="1945BCE9" w14:textId="77777777" w:rsidTr="00B474D0">
        <w:tc>
          <w:tcPr>
            <w:tcW w:w="1838" w:type="dxa"/>
          </w:tcPr>
          <w:p w14:paraId="040839B3" w14:textId="77777777" w:rsidR="00F3126E" w:rsidRDefault="00F3126E" w:rsidP="00B474D0">
            <w:pPr>
              <w:pStyle w:val="TAC"/>
              <w:rPr>
                <w:i/>
                <w:iCs/>
                <w:lang w:val="fr-FR"/>
              </w:rPr>
            </w:pPr>
            <w:r>
              <w:rPr>
                <w:lang w:val="fr-FR"/>
              </w:rPr>
              <w:t>RSRP</w:t>
            </w:r>
            <w:r w:rsidRPr="00E5544B">
              <w:rPr>
                <w:vertAlign w:val="subscript"/>
                <w:lang w:val="fr-FR"/>
              </w:rPr>
              <w:t>1</w:t>
            </w:r>
          </w:p>
        </w:tc>
        <w:tc>
          <w:tcPr>
            <w:tcW w:w="7791" w:type="dxa"/>
          </w:tcPr>
          <w:p w14:paraId="4A9A373B" w14:textId="77777777" w:rsidR="00F3126E" w:rsidRDefault="00F3126E" w:rsidP="00B474D0">
            <w:pPr>
              <w:pStyle w:val="TAC"/>
              <w:rPr>
                <w:i/>
                <w:iCs/>
                <w:lang w:val="fr-FR"/>
              </w:rPr>
            </w:pPr>
            <w:r>
              <w:rPr>
                <w:lang w:val="fr-FR"/>
              </w:rPr>
              <w:t xml:space="preserve">(T1 – </w:t>
            </w:r>
            <w:r w:rsidRPr="006F6A23">
              <w:rPr>
                <w:lang w:val="fr-FR"/>
              </w:rPr>
              <w:t>max{480ms, 8*</w:t>
            </w:r>
            <w:r>
              <w:rPr>
                <w:lang w:val="fr-FR"/>
              </w:rPr>
              <w:t>SMTC</w:t>
            </w:r>
            <w:r w:rsidRPr="006F6A23">
              <w:rPr>
                <w:lang w:val="fr-FR"/>
              </w:rPr>
              <w:t xml:space="preserve"> periodicity}</w:t>
            </w:r>
            <w:r>
              <w:rPr>
                <w:lang w:val="fr-FR"/>
              </w:rPr>
              <w:t xml:space="preserve">) </w:t>
            </w:r>
            <w:r>
              <w:rPr>
                <w:rFonts w:cs="Arial"/>
                <w:lang w:val="fr-FR"/>
              </w:rPr>
              <w:t>≤</w:t>
            </w:r>
            <w:r>
              <w:rPr>
                <w:lang w:val="fr-FR"/>
              </w:rPr>
              <w:t xml:space="preserve"> T1’ </w:t>
            </w:r>
            <w:r>
              <w:rPr>
                <w:rFonts w:cs="Arial"/>
                <w:lang w:val="fr-FR"/>
              </w:rPr>
              <w:t xml:space="preserve">≤ </w:t>
            </w:r>
            <w:r>
              <w:rPr>
                <w:lang w:val="fr-FR"/>
              </w:rPr>
              <w:t xml:space="preserve">(T1 + </w:t>
            </w:r>
            <w:r w:rsidRPr="006F6A23">
              <w:rPr>
                <w:lang w:val="fr-FR"/>
              </w:rPr>
              <w:t>max{480ms, 8*</w:t>
            </w:r>
            <w:r>
              <w:rPr>
                <w:lang w:val="fr-FR"/>
              </w:rPr>
              <w:t>SMTC</w:t>
            </w:r>
            <w:r w:rsidRPr="006F6A23">
              <w:rPr>
                <w:lang w:val="fr-FR"/>
              </w:rPr>
              <w:t xml:space="preserve"> periodicity}</w:t>
            </w:r>
            <w:r>
              <w:rPr>
                <w:lang w:val="fr-FR"/>
              </w:rPr>
              <w:t>)</w:t>
            </w:r>
          </w:p>
        </w:tc>
      </w:tr>
      <w:tr w:rsidR="00F3126E" w14:paraId="64FFD5FB" w14:textId="77777777" w:rsidTr="00B474D0">
        <w:tc>
          <w:tcPr>
            <w:tcW w:w="1838" w:type="dxa"/>
          </w:tcPr>
          <w:p w14:paraId="236CEE65" w14:textId="77777777" w:rsidR="00F3126E" w:rsidRDefault="00F3126E" w:rsidP="00B474D0">
            <w:pPr>
              <w:pStyle w:val="TAC"/>
              <w:rPr>
                <w:i/>
                <w:iCs/>
                <w:lang w:val="fr-FR"/>
              </w:rPr>
            </w:pPr>
            <w:r>
              <w:rPr>
                <w:lang w:val="fr-FR"/>
              </w:rPr>
              <w:t>RSRP</w:t>
            </w:r>
            <w:r w:rsidRPr="00E5544B">
              <w:rPr>
                <w:vertAlign w:val="subscript"/>
                <w:lang w:val="fr-FR"/>
              </w:rPr>
              <w:t>2</w:t>
            </w:r>
          </w:p>
        </w:tc>
        <w:tc>
          <w:tcPr>
            <w:tcW w:w="7791" w:type="dxa"/>
          </w:tcPr>
          <w:p w14:paraId="25025190" w14:textId="77777777" w:rsidR="00F3126E" w:rsidRDefault="00F3126E" w:rsidP="00B474D0">
            <w:pPr>
              <w:pStyle w:val="TAC"/>
              <w:rPr>
                <w:i/>
                <w:iCs/>
                <w:lang w:val="fr-FR"/>
              </w:rPr>
            </w:pPr>
            <w:r>
              <w:rPr>
                <w:lang w:val="fr-FR"/>
              </w:rPr>
              <w:t xml:space="preserve">(T2 – </w:t>
            </w:r>
            <w:r w:rsidRPr="006F6A23">
              <w:rPr>
                <w:lang w:val="fr-FR"/>
              </w:rPr>
              <w:t>max{480ms, 8*</w:t>
            </w:r>
            <w:r>
              <w:rPr>
                <w:lang w:val="fr-FR"/>
              </w:rPr>
              <w:t>SMTC</w:t>
            </w:r>
            <w:r w:rsidRPr="006F6A23">
              <w:rPr>
                <w:lang w:val="fr-FR"/>
              </w:rPr>
              <w:t xml:space="preserve"> periodicity}</w:t>
            </w:r>
            <w:r>
              <w:rPr>
                <w:lang w:val="fr-FR"/>
              </w:rPr>
              <w:t xml:space="preserve">) </w:t>
            </w:r>
            <w:r>
              <w:rPr>
                <w:rFonts w:cs="Arial"/>
                <w:lang w:val="fr-FR"/>
              </w:rPr>
              <w:t>≤</w:t>
            </w:r>
            <w:r>
              <w:rPr>
                <w:lang w:val="fr-FR"/>
              </w:rPr>
              <w:t xml:space="preserve"> T2’ </w:t>
            </w:r>
            <w:r>
              <w:rPr>
                <w:rFonts w:cs="Arial"/>
                <w:lang w:val="fr-FR"/>
              </w:rPr>
              <w:t>≤ T2</w:t>
            </w:r>
          </w:p>
        </w:tc>
      </w:tr>
    </w:tbl>
    <w:p w14:paraId="45C0E1C3" w14:textId="77777777" w:rsidR="00F3126E" w:rsidRDefault="00F3126E" w:rsidP="00F3126E">
      <w:pPr>
        <w:rPr>
          <w:lang w:val="fr-FR"/>
        </w:rPr>
      </w:pPr>
    </w:p>
    <w:p w14:paraId="13A1DF0B" w14:textId="25F13A4B" w:rsidR="00F3126E" w:rsidRDefault="00F3126E" w:rsidP="00F3126E">
      <w:pPr>
        <w:pStyle w:val="TH"/>
        <w:rPr>
          <w:lang w:val="fr-FR"/>
        </w:rPr>
      </w:pPr>
      <w:r>
        <w:rPr>
          <w:lang w:val="fr-FR"/>
        </w:rPr>
        <w:t xml:space="preserve">Table 5.2B.3-3 Valid measurement for </w:t>
      </w:r>
      <w:r w:rsidRPr="00337987">
        <w:rPr>
          <w:lang w:val="fr-FR"/>
        </w:rPr>
        <w:t>FR1</w:t>
      </w:r>
      <w:r w:rsidRPr="00DC79B3">
        <w:rPr>
          <w:lang w:val="fr-FR"/>
        </w:rPr>
        <w:t xml:space="preserve"> </w:t>
      </w:r>
      <w:r>
        <w:rPr>
          <w:lang w:val="fr-FR"/>
        </w:rPr>
        <w:t>with</w:t>
      </w:r>
      <w:r w:rsidRPr="00337987">
        <w:rPr>
          <w:lang w:val="fr-FR"/>
        </w:rPr>
        <w:t xml:space="preserve"> e</w:t>
      </w:r>
      <w:r w:rsidRPr="00DC79B3">
        <w:rPr>
          <w:lang w:val="fr-FR"/>
        </w:rPr>
        <w:t>DRX</w:t>
      </w:r>
      <w:r w:rsidRPr="00AE2C70">
        <w:rPr>
          <w:lang w:val="fr-FR"/>
        </w:rPr>
        <w:t xml:space="preserve"> cycle</w:t>
      </w:r>
    </w:p>
    <w:tbl>
      <w:tblPr>
        <w:tblStyle w:val="TableGrid"/>
        <w:tblW w:w="0" w:type="auto"/>
        <w:tblLook w:val="04A0" w:firstRow="1" w:lastRow="0" w:firstColumn="1" w:lastColumn="0" w:noHBand="0" w:noVBand="1"/>
      </w:tblPr>
      <w:tblGrid>
        <w:gridCol w:w="1838"/>
        <w:gridCol w:w="7791"/>
      </w:tblGrid>
      <w:tr w:rsidR="00F3126E" w14:paraId="1B1C7391" w14:textId="77777777" w:rsidTr="00B474D0">
        <w:tc>
          <w:tcPr>
            <w:tcW w:w="1838" w:type="dxa"/>
          </w:tcPr>
          <w:p w14:paraId="43F65D5F" w14:textId="77777777" w:rsidR="00F3126E" w:rsidRDefault="00F3126E" w:rsidP="00B474D0">
            <w:pPr>
              <w:pStyle w:val="TAH"/>
              <w:rPr>
                <w:i/>
                <w:iCs/>
                <w:lang w:val="fr-FR"/>
              </w:rPr>
            </w:pPr>
            <w:r>
              <w:rPr>
                <w:lang w:val="fr-FR"/>
              </w:rPr>
              <w:t>Measurement</w:t>
            </w:r>
          </w:p>
        </w:tc>
        <w:tc>
          <w:tcPr>
            <w:tcW w:w="7791" w:type="dxa"/>
          </w:tcPr>
          <w:p w14:paraId="5D68DE13" w14:textId="77777777" w:rsidR="00F3126E" w:rsidRDefault="00F3126E" w:rsidP="00B474D0">
            <w:pPr>
              <w:pStyle w:val="TAH"/>
              <w:rPr>
                <w:i/>
                <w:iCs/>
                <w:lang w:val="fr-FR"/>
              </w:rPr>
            </w:pPr>
            <w:r>
              <w:rPr>
                <w:lang w:val="fr-FR"/>
              </w:rPr>
              <w:t>FR1</w:t>
            </w:r>
          </w:p>
        </w:tc>
      </w:tr>
      <w:tr w:rsidR="00F3126E" w:rsidRPr="00722DAF" w14:paraId="2C618FE7" w14:textId="77777777" w:rsidTr="00B474D0">
        <w:tc>
          <w:tcPr>
            <w:tcW w:w="1838" w:type="dxa"/>
          </w:tcPr>
          <w:p w14:paraId="2D8A5466" w14:textId="77777777" w:rsidR="00F3126E" w:rsidRDefault="00F3126E" w:rsidP="00B474D0">
            <w:pPr>
              <w:pStyle w:val="TAC"/>
              <w:rPr>
                <w:i/>
                <w:iCs/>
                <w:lang w:val="fr-FR"/>
              </w:rPr>
            </w:pPr>
            <w:r>
              <w:rPr>
                <w:lang w:val="fr-FR"/>
              </w:rPr>
              <w:t>RSRP</w:t>
            </w:r>
            <w:r w:rsidRPr="00E5544B">
              <w:rPr>
                <w:vertAlign w:val="subscript"/>
                <w:lang w:val="fr-FR"/>
              </w:rPr>
              <w:t>1</w:t>
            </w:r>
          </w:p>
        </w:tc>
        <w:tc>
          <w:tcPr>
            <w:tcW w:w="7791" w:type="dxa"/>
          </w:tcPr>
          <w:p w14:paraId="2ED494EA" w14:textId="77777777" w:rsidR="00F3126E" w:rsidRDefault="00F3126E" w:rsidP="00B474D0">
            <w:pPr>
              <w:pStyle w:val="TAC"/>
              <w:rPr>
                <w:i/>
                <w:iCs/>
                <w:lang w:val="fr-FR"/>
              </w:rPr>
            </w:pPr>
            <w:r w:rsidRPr="00E411FE">
              <w:rPr>
                <w:lang w:val="fr-FR"/>
              </w:rPr>
              <w:t xml:space="preserve">(T1 – min(640ms, M1* </w:t>
            </w:r>
            <w:r>
              <w:rPr>
                <w:rFonts w:hint="eastAsia"/>
                <w:lang w:val="fr-FR"/>
              </w:rPr>
              <w:t>T</w:t>
            </w:r>
            <w:r w:rsidRPr="00E411FE">
              <w:rPr>
                <w:lang w:val="fr-FR"/>
              </w:rPr>
              <w:t xml:space="preserve">)) </w:t>
            </w:r>
            <w:r w:rsidRPr="00E411FE">
              <w:rPr>
                <w:rFonts w:cs="Arial"/>
                <w:lang w:val="fr-FR"/>
              </w:rPr>
              <w:t>≤</w:t>
            </w:r>
            <w:r w:rsidRPr="00E411FE">
              <w:rPr>
                <w:lang w:val="fr-FR"/>
              </w:rPr>
              <w:t xml:space="preserve"> T1’ </w:t>
            </w:r>
            <w:r w:rsidRPr="00E411FE">
              <w:rPr>
                <w:rFonts w:cs="Arial"/>
                <w:lang w:val="fr-FR"/>
              </w:rPr>
              <w:t xml:space="preserve">≤ </w:t>
            </w:r>
            <w:r w:rsidRPr="00E411FE">
              <w:rPr>
                <w:lang w:val="fr-FR"/>
              </w:rPr>
              <w:t xml:space="preserve">(T1 + min(640ms, M1* </w:t>
            </w:r>
            <w:r>
              <w:rPr>
                <w:rFonts w:hint="eastAsia"/>
                <w:lang w:val="fr-FR"/>
              </w:rPr>
              <w:t>T</w:t>
            </w:r>
            <w:r w:rsidRPr="00E411FE">
              <w:rPr>
                <w:lang w:val="fr-FR"/>
              </w:rPr>
              <w:t>))</w:t>
            </w:r>
          </w:p>
        </w:tc>
      </w:tr>
      <w:tr w:rsidR="00F3126E" w:rsidRPr="00722DAF" w14:paraId="7B6CCA18" w14:textId="77777777" w:rsidTr="00B474D0">
        <w:tc>
          <w:tcPr>
            <w:tcW w:w="1838" w:type="dxa"/>
          </w:tcPr>
          <w:p w14:paraId="35DA61EB" w14:textId="77777777" w:rsidR="00F3126E" w:rsidRDefault="00F3126E" w:rsidP="00B474D0">
            <w:pPr>
              <w:pStyle w:val="TAC"/>
              <w:rPr>
                <w:i/>
                <w:iCs/>
                <w:lang w:val="fr-FR"/>
              </w:rPr>
            </w:pPr>
            <w:r>
              <w:rPr>
                <w:lang w:val="fr-FR"/>
              </w:rPr>
              <w:t>RSRP</w:t>
            </w:r>
            <w:r w:rsidRPr="00E5544B">
              <w:rPr>
                <w:vertAlign w:val="subscript"/>
                <w:lang w:val="fr-FR"/>
              </w:rPr>
              <w:t>2</w:t>
            </w:r>
          </w:p>
        </w:tc>
        <w:tc>
          <w:tcPr>
            <w:tcW w:w="7791" w:type="dxa"/>
          </w:tcPr>
          <w:p w14:paraId="15EB3569" w14:textId="77777777" w:rsidR="00F3126E" w:rsidRDefault="00F3126E" w:rsidP="00B474D0">
            <w:pPr>
              <w:pStyle w:val="TAC"/>
              <w:rPr>
                <w:i/>
                <w:iCs/>
                <w:lang w:val="fr-FR"/>
              </w:rPr>
            </w:pPr>
            <w:r>
              <w:rPr>
                <w:lang w:val="fr-FR"/>
              </w:rPr>
              <w:t>(T2 – min(640ms, M1* T</w:t>
            </w:r>
            <w:r>
              <w:rPr>
                <w:vertAlign w:val="subscript"/>
                <w:lang w:val="fr-FR"/>
              </w:rPr>
              <w:t>eD</w:t>
            </w:r>
            <w:r w:rsidRPr="00E93CB8">
              <w:rPr>
                <w:vertAlign w:val="subscript"/>
                <w:lang w:val="fr-FR"/>
              </w:rPr>
              <w:t>RX</w:t>
            </w:r>
            <w:r>
              <w:rPr>
                <w:vertAlign w:val="subscript"/>
                <w:lang w:val="fr-FR"/>
              </w:rPr>
              <w:t>-RAN</w:t>
            </w:r>
            <w:r>
              <w:rPr>
                <w:lang w:val="fr-FR"/>
              </w:rPr>
              <w:t xml:space="preserve">)) </w:t>
            </w:r>
            <w:r>
              <w:rPr>
                <w:rFonts w:cs="Arial"/>
                <w:lang w:val="fr-FR"/>
              </w:rPr>
              <w:t>≤</w:t>
            </w:r>
            <w:r>
              <w:rPr>
                <w:lang w:val="fr-FR"/>
              </w:rPr>
              <w:t xml:space="preserve"> T2’ </w:t>
            </w:r>
            <w:r>
              <w:rPr>
                <w:rFonts w:cs="Arial"/>
                <w:lang w:val="fr-FR"/>
              </w:rPr>
              <w:t>≤ T2</w:t>
            </w:r>
          </w:p>
        </w:tc>
      </w:tr>
      <w:tr w:rsidR="00F3126E" w:rsidRPr="00722DAF" w14:paraId="53B63FB0" w14:textId="77777777" w:rsidTr="00B474D0">
        <w:tc>
          <w:tcPr>
            <w:tcW w:w="9629" w:type="dxa"/>
            <w:gridSpan w:val="2"/>
          </w:tcPr>
          <w:p w14:paraId="1791E977" w14:textId="2A205475" w:rsidR="00F3126E" w:rsidRDefault="00F3126E" w:rsidP="00B474D0">
            <w:pPr>
              <w:pStyle w:val="TAN"/>
              <w:rPr>
                <w:lang w:val="fr-FR"/>
              </w:rPr>
            </w:pPr>
            <w:r>
              <w:t>Note1:</w:t>
            </w:r>
            <w:r w:rsidRPr="00691C10">
              <w:rPr>
                <w:lang w:val="en-US"/>
              </w:rPr>
              <w:tab/>
            </w:r>
            <w:r>
              <w:rPr>
                <w:rFonts w:cs="v4.2.0"/>
              </w:rPr>
              <w:t>T is dertermined according to clause 7.1 in [1].</w:t>
            </w:r>
          </w:p>
        </w:tc>
      </w:tr>
    </w:tbl>
    <w:p w14:paraId="11B62B64" w14:textId="77777777" w:rsidR="00F3126E" w:rsidRDefault="00F3126E" w:rsidP="00F3126E">
      <w:pPr>
        <w:rPr>
          <w:lang w:val="fr-FR"/>
        </w:rPr>
      </w:pPr>
    </w:p>
    <w:p w14:paraId="14AB56C0" w14:textId="3554CD3E" w:rsidR="00F3126E" w:rsidRPr="00691C10" w:rsidRDefault="00F3126E" w:rsidP="00F3126E">
      <w:r w:rsidRPr="00691C10">
        <w:t xml:space="preserve">If at least one of </w:t>
      </w:r>
      <w:r w:rsidRPr="00691C10">
        <w:rPr>
          <w:iCs/>
        </w:rPr>
        <w:t>RSRP</w:t>
      </w:r>
      <w:r w:rsidRPr="00691C10">
        <w:rPr>
          <w:iCs/>
          <w:vertAlign w:val="subscript"/>
        </w:rPr>
        <w:t>1</w:t>
      </w:r>
      <w:r w:rsidRPr="00691C10">
        <w:rPr>
          <w:iCs/>
        </w:rPr>
        <w:t xml:space="preserve"> and RSRP</w:t>
      </w:r>
      <w:r w:rsidRPr="00691C10">
        <w:rPr>
          <w:iCs/>
          <w:vertAlign w:val="subscript"/>
        </w:rPr>
        <w:t>2</w:t>
      </w:r>
      <w:r w:rsidRPr="00691C10">
        <w:rPr>
          <w:iCs/>
        </w:rPr>
        <w:t xml:space="preserve"> </w:t>
      </w:r>
      <w:r w:rsidRPr="00691C10">
        <w:t>is considered to be invalid based on the above conditions</w:t>
      </w:r>
      <w:r>
        <w:t>,</w:t>
      </w:r>
      <w:r w:rsidRPr="00691C10">
        <w:t xml:space="preserve"> then the UE shall not validate the </w:t>
      </w:r>
      <w:r>
        <w:t>CG-SDT</w:t>
      </w:r>
      <w:r w:rsidRPr="00691C10">
        <w:t xml:space="preserve"> using </w:t>
      </w:r>
      <w:r w:rsidRPr="00691C10">
        <w:rPr>
          <w:iCs/>
        </w:rPr>
        <w:t>RSRP</w:t>
      </w:r>
      <w:r w:rsidRPr="00691C10">
        <w:rPr>
          <w:iCs/>
          <w:vertAlign w:val="subscript"/>
        </w:rPr>
        <w:t>1</w:t>
      </w:r>
      <w:r w:rsidRPr="00691C10">
        <w:rPr>
          <w:iCs/>
        </w:rPr>
        <w:t xml:space="preserve"> and RSRP</w:t>
      </w:r>
      <w:r w:rsidRPr="00691C10">
        <w:rPr>
          <w:iCs/>
          <w:vertAlign w:val="subscript"/>
        </w:rPr>
        <w:t>2</w:t>
      </w:r>
      <w:r w:rsidRPr="00691C10">
        <w:rPr>
          <w:iCs/>
        </w:rPr>
        <w:t xml:space="preserve"> </w:t>
      </w:r>
      <w:r w:rsidRPr="00691C10">
        <w:t xml:space="preserve">and shall not transmit using </w:t>
      </w:r>
      <w:r>
        <w:t>CG-SDT</w:t>
      </w:r>
      <w:r w:rsidRPr="00691C10">
        <w:t xml:space="preserve">. </w:t>
      </w:r>
      <w:r>
        <w:t>Additionally</w:t>
      </w:r>
      <w:r w:rsidRPr="002D3955">
        <w:t xml:space="preserve"> </w:t>
      </w:r>
      <w:r>
        <w:t xml:space="preserve">for the initial CG-SDT transmission, the UE shall not transmit in an CG-SDT occasion that occurs more than </w:t>
      </w:r>
      <w:r w:rsidRPr="00B51E0F">
        <w:t>[</w:t>
      </w:r>
      <w:r>
        <w:t>640</w:t>
      </w:r>
      <w:r w:rsidRPr="00B51E0F">
        <w:t xml:space="preserve"> ms]</w:t>
      </w:r>
      <w:r>
        <w:t xml:space="preserve"> after T2.</w:t>
      </w:r>
    </w:p>
    <w:p w14:paraId="0C2BB8CD" w14:textId="77777777" w:rsidR="00F3126E" w:rsidRPr="00691C10" w:rsidRDefault="00F3126E" w:rsidP="00F3126E">
      <w:pPr>
        <w:rPr>
          <w:iCs/>
        </w:rPr>
      </w:pPr>
      <w:r w:rsidRPr="00691C10">
        <w:rPr>
          <w:iCs/>
        </w:rPr>
        <w:t>Where</w:t>
      </w:r>
      <w:r>
        <w:rPr>
          <w:iCs/>
        </w:rPr>
        <w:t>:</w:t>
      </w:r>
      <w:r w:rsidRPr="00691C10">
        <w:rPr>
          <w:iCs/>
        </w:rPr>
        <w:t xml:space="preserve"> </w:t>
      </w:r>
    </w:p>
    <w:p w14:paraId="045D5B08" w14:textId="17D59319" w:rsidR="00F3126E" w:rsidRPr="00691C10" w:rsidRDefault="00F3126E" w:rsidP="00F3126E">
      <w:pPr>
        <w:pStyle w:val="B10"/>
        <w:rPr>
          <w:lang w:val="en-US"/>
        </w:rPr>
      </w:pPr>
      <w:r w:rsidRPr="00691C10">
        <w:rPr>
          <w:lang w:val="en-US"/>
        </w:rPr>
        <w:t>-</w:t>
      </w:r>
      <w:r w:rsidRPr="00691C10">
        <w:rPr>
          <w:lang w:val="en-US"/>
        </w:rPr>
        <w:tab/>
        <w:t xml:space="preserve">T1 is the time when the latest </w:t>
      </w:r>
      <m:oMath>
        <m:sSub>
          <m:sSubPr>
            <m:ctrlPr>
              <w:rPr>
                <w:rFonts w:ascii="Cambria Math" w:hAnsi="Cambria Math"/>
                <w:i/>
              </w:rPr>
            </m:ctrlPr>
          </m:sSubPr>
          <m:e>
            <m:r>
              <w:rPr>
                <w:rFonts w:ascii="Cambria Math"/>
              </w:rPr>
              <m:t>N</m:t>
            </m:r>
          </m:e>
          <m:sub>
            <m:r>
              <m:rPr>
                <m:nor/>
              </m:rPr>
              <w:rPr>
                <w:rFonts w:ascii="Cambria Math"/>
              </w:rPr>
              <m:t>TA</m:t>
            </m:r>
            <m:ctrlPr>
              <w:rPr>
                <w:rFonts w:ascii="Cambria Math" w:hAnsi="Cambria Math"/>
              </w:rPr>
            </m:ctrlPr>
          </m:sub>
        </m:sSub>
      </m:oMath>
      <w:r w:rsidRPr="00691C10">
        <w:rPr>
          <w:lang w:val="en-US"/>
        </w:rPr>
        <w:t>was obtained by the UE via</w:t>
      </w:r>
      <w:r>
        <w:rPr>
          <w:lang w:val="en-US"/>
        </w:rPr>
        <w:t>:</w:t>
      </w:r>
      <w:r w:rsidRPr="00691C10">
        <w:rPr>
          <w:lang w:val="en-US"/>
        </w:rPr>
        <w:t xml:space="preserve"> </w:t>
      </w:r>
      <w:r w:rsidRPr="000D13F6">
        <w:rPr>
          <w:noProof/>
        </w:rPr>
        <w:t xml:space="preserve"> </w:t>
      </w:r>
    </w:p>
    <w:p w14:paraId="0C79EB1F" w14:textId="77777777" w:rsidR="00F3126E" w:rsidRDefault="00F3126E" w:rsidP="00F3126E">
      <w:pPr>
        <w:pStyle w:val="B20"/>
        <w:rPr>
          <w:lang w:val="en-US" w:eastAsia="ko-KR"/>
        </w:rPr>
      </w:pPr>
      <w:r>
        <w:rPr>
          <w:lang w:val="en-US"/>
        </w:rPr>
        <w:t>-</w:t>
      </w:r>
      <w:r w:rsidRPr="00691C10">
        <w:rPr>
          <w:lang w:val="en-US"/>
        </w:rPr>
        <w:tab/>
      </w:r>
      <w:r w:rsidRPr="003C66AE">
        <w:rPr>
          <w:rFonts w:hint="eastAsia"/>
          <w:i/>
          <w:lang w:val="en-US" w:eastAsia="ko-KR"/>
        </w:rPr>
        <w:t>RRCRelease</w:t>
      </w:r>
      <w:r>
        <w:rPr>
          <w:rFonts w:hint="eastAsia"/>
          <w:lang w:val="en-US" w:eastAsia="ko-KR"/>
        </w:rPr>
        <w:t xml:space="preserve"> with CG-SDT configuration</w:t>
      </w:r>
      <w:r>
        <w:rPr>
          <w:lang w:val="en-US" w:eastAsia="ko-KR"/>
        </w:rPr>
        <w:t xml:space="preserve"> (TS 38.331 [2]) is received, or </w:t>
      </w:r>
    </w:p>
    <w:p w14:paraId="262EE5CD" w14:textId="7778F162" w:rsidR="00F3126E" w:rsidRPr="00691C10" w:rsidRDefault="00F3126E" w:rsidP="00F3126E">
      <w:pPr>
        <w:pStyle w:val="B10"/>
        <w:rPr>
          <w:lang w:val="en-US"/>
        </w:rPr>
      </w:pPr>
      <w:r>
        <w:rPr>
          <w:lang w:val="en-US" w:eastAsia="ko-KR"/>
        </w:rPr>
        <w:t>-</w:t>
      </w:r>
      <w:r w:rsidRPr="00691C10">
        <w:rPr>
          <w:lang w:val="en-US"/>
        </w:rPr>
        <w:tab/>
      </w:r>
      <w:r>
        <w:rPr>
          <w:lang w:val="en-US"/>
        </w:rPr>
        <w:t>the latest TA is received if TA is received while in RRC_INACITVE state.</w:t>
      </w:r>
      <w:r w:rsidRPr="00691C10">
        <w:rPr>
          <w:lang w:val="en-US"/>
        </w:rPr>
        <w:t>-</w:t>
      </w:r>
      <w:r w:rsidRPr="00691C10">
        <w:rPr>
          <w:lang w:val="en-US"/>
        </w:rPr>
        <w:tab/>
        <w:t>T1’ is the time when the UE has completed RSRP</w:t>
      </w:r>
      <w:r w:rsidRPr="00691C10">
        <w:rPr>
          <w:vertAlign w:val="subscript"/>
          <w:lang w:val="en-US"/>
        </w:rPr>
        <w:t>1</w:t>
      </w:r>
      <w:r>
        <w:rPr>
          <w:lang w:val="en-US"/>
        </w:rPr>
        <w:t>.</w:t>
      </w:r>
    </w:p>
    <w:p w14:paraId="7032AABC" w14:textId="77777777" w:rsidR="00F3126E" w:rsidRPr="00691C10" w:rsidRDefault="00F3126E" w:rsidP="00F3126E">
      <w:pPr>
        <w:pStyle w:val="B10"/>
        <w:rPr>
          <w:lang w:val="en-US"/>
        </w:rPr>
      </w:pPr>
      <w:r w:rsidRPr="00691C10">
        <w:rPr>
          <w:lang w:val="en-US"/>
        </w:rPr>
        <w:t>-</w:t>
      </w:r>
      <w:r w:rsidRPr="00691C10">
        <w:rPr>
          <w:lang w:val="en-US"/>
        </w:rPr>
        <w:tab/>
        <w:t xml:space="preserve">T2 is the time when the UE </w:t>
      </w:r>
      <w:r>
        <w:rPr>
          <w:lang w:val="en-US"/>
        </w:rPr>
        <w:t>performs</w:t>
      </w:r>
      <w:r w:rsidRPr="00691C10">
        <w:rPr>
          <w:lang w:val="en-US"/>
        </w:rPr>
        <w:t xml:space="preserve"> TA validation </w:t>
      </w:r>
      <w:r>
        <w:rPr>
          <w:lang w:val="en-US"/>
        </w:rPr>
        <w:t xml:space="preserve">as </w:t>
      </w:r>
      <w:r w:rsidRPr="00691C10">
        <w:rPr>
          <w:lang w:val="en-US"/>
        </w:rPr>
        <w:t xml:space="preserve">defined in </w:t>
      </w:r>
      <w:r>
        <w:rPr>
          <w:lang w:val="en-US"/>
        </w:rPr>
        <w:t>clause 5.8.2.x</w:t>
      </w:r>
      <w:r w:rsidRPr="00691C10">
        <w:rPr>
          <w:lang w:val="en-US"/>
        </w:rPr>
        <w:t xml:space="preserve"> in [TS 3</w:t>
      </w:r>
      <w:r>
        <w:rPr>
          <w:lang w:val="en-US"/>
        </w:rPr>
        <w:t>8</w:t>
      </w:r>
      <w:r w:rsidRPr="00691C10">
        <w:rPr>
          <w:lang w:val="en-US"/>
        </w:rPr>
        <w:t>.3</w:t>
      </w:r>
      <w:r>
        <w:rPr>
          <w:lang w:val="en-US"/>
        </w:rPr>
        <w:t>21</w:t>
      </w:r>
      <w:r w:rsidRPr="00691C10">
        <w:rPr>
          <w:lang w:val="en-US"/>
        </w:rPr>
        <w:t xml:space="preserve">] for transmission using </w:t>
      </w:r>
      <w:r>
        <w:rPr>
          <w:lang w:val="en-US"/>
        </w:rPr>
        <w:t>CG-SDT.</w:t>
      </w:r>
    </w:p>
    <w:p w14:paraId="62CCD027" w14:textId="77777777" w:rsidR="00F3126E" w:rsidRDefault="00F3126E" w:rsidP="00F3126E">
      <w:pPr>
        <w:pStyle w:val="B10"/>
        <w:rPr>
          <w:lang w:val="en-US"/>
        </w:rPr>
      </w:pPr>
      <w:r w:rsidRPr="00691C10">
        <w:rPr>
          <w:lang w:val="en-US"/>
        </w:rPr>
        <w:t>-</w:t>
      </w:r>
      <w:r w:rsidRPr="00691C10">
        <w:rPr>
          <w:lang w:val="en-US"/>
        </w:rPr>
        <w:tab/>
        <w:t>T2’ is the time when the UE has completed RSRP</w:t>
      </w:r>
      <w:r w:rsidRPr="00691C10">
        <w:rPr>
          <w:vertAlign w:val="subscript"/>
          <w:lang w:val="en-US"/>
        </w:rPr>
        <w:t>2</w:t>
      </w:r>
      <w:r>
        <w:rPr>
          <w:lang w:val="en-US"/>
        </w:rPr>
        <w:t>.</w:t>
      </w:r>
    </w:p>
    <w:p w14:paraId="665A4AB2" w14:textId="77777777" w:rsidR="00F3126E" w:rsidRPr="00FE606C" w:rsidRDefault="00F3126E" w:rsidP="00F3126E">
      <w:pPr>
        <w:pStyle w:val="B10"/>
        <w:rPr>
          <w:lang w:val="en-US"/>
        </w:rPr>
      </w:pPr>
      <w:r w:rsidRPr="00FE606C">
        <w:rPr>
          <w:lang w:val="en-US"/>
        </w:rPr>
        <w:t>-</w:t>
      </w:r>
      <w:r w:rsidRPr="00FE606C">
        <w:rPr>
          <w:lang w:val="en-US"/>
        </w:rPr>
        <w:tab/>
        <w:t>T</w:t>
      </w:r>
      <w:r w:rsidRPr="00FE606C">
        <w:rPr>
          <w:vertAlign w:val="subscript"/>
          <w:lang w:val="en-US"/>
        </w:rPr>
        <w:t>DRX</w:t>
      </w:r>
      <w:r w:rsidRPr="00FE606C">
        <w:rPr>
          <w:lang w:val="en-US"/>
        </w:rPr>
        <w:t xml:space="preserve"> is the DRX cycle length in ms. </w:t>
      </w:r>
    </w:p>
    <w:p w14:paraId="30F08966" w14:textId="77777777" w:rsidR="00F3126E" w:rsidRPr="00AB1233" w:rsidRDefault="00F3126E" w:rsidP="00F3126E">
      <w:pPr>
        <w:pStyle w:val="B10"/>
      </w:pPr>
      <w:r w:rsidRPr="00FE606C">
        <w:rPr>
          <w:lang w:val="en-US"/>
        </w:rPr>
        <w:t>-</w:t>
      </w:r>
      <w:r w:rsidRPr="00FE606C">
        <w:rPr>
          <w:lang w:val="en-US"/>
        </w:rPr>
        <w:tab/>
        <w:t>M1 the scaling factor as defined in clause 4.2.2.2.</w:t>
      </w:r>
    </w:p>
    <w:p w14:paraId="2E7C8CA7" w14:textId="77777777" w:rsidR="00E51F6C" w:rsidRPr="00B63C7C" w:rsidRDefault="00E51F6C" w:rsidP="00E51F6C"/>
    <w:bookmarkEnd w:id="70"/>
    <w:p w14:paraId="37CBACC1" w14:textId="75D12B7E" w:rsidR="00E37EF6" w:rsidRPr="00B63C7C" w:rsidRDefault="00E37EF6" w:rsidP="00E37EF6">
      <w:pPr>
        <w:pStyle w:val="Heading4"/>
      </w:pPr>
      <w:r w:rsidRPr="00B63C7C">
        <w:t>5.</w:t>
      </w:r>
      <w:r>
        <w:t>2</w:t>
      </w:r>
      <w:r w:rsidRPr="00B63C7C">
        <w:t>B.2.</w:t>
      </w:r>
      <w:r>
        <w:t>2</w:t>
      </w:r>
      <w:r>
        <w:tab/>
        <w:t>Void</w:t>
      </w:r>
    </w:p>
    <w:p w14:paraId="1BAF475A" w14:textId="67E31C41" w:rsidR="00E37EF6" w:rsidRDefault="00E37EF6" w:rsidP="00E37EF6">
      <w:r>
        <w:t xml:space="preserve"> </w:t>
      </w:r>
    </w:p>
    <w:p w14:paraId="57A60528" w14:textId="654FE34D" w:rsidR="00E37EF6" w:rsidRDefault="00E37EF6" w:rsidP="00E37EF6">
      <w:r>
        <w:t>Void</w:t>
      </w:r>
    </w:p>
    <w:p w14:paraId="7314D3DC" w14:textId="77777777" w:rsidR="00BC3037" w:rsidRDefault="00BC3037" w:rsidP="00E37EF6"/>
    <w:p w14:paraId="612A02E7" w14:textId="77777777" w:rsidR="00BC3037" w:rsidRDefault="00BC3037" w:rsidP="00BC3037">
      <w:pPr>
        <w:pStyle w:val="Heading3"/>
      </w:pPr>
      <w:r w:rsidRPr="00B63C7C">
        <w:t>5.</w:t>
      </w:r>
      <w:r>
        <w:t>2</w:t>
      </w:r>
      <w:r w:rsidRPr="00B63C7C">
        <w:t>B.</w:t>
      </w:r>
      <w:r>
        <w:t>4</w:t>
      </w:r>
      <w:r>
        <w:tab/>
      </w:r>
      <w:r w:rsidRPr="00232A15">
        <w:t>Scheduling restriction</w:t>
      </w:r>
    </w:p>
    <w:p w14:paraId="23BE44F1" w14:textId="77777777" w:rsidR="00BC3037" w:rsidRDefault="00BC3037" w:rsidP="00BC3037">
      <w:r w:rsidRPr="009C5807">
        <w:t xml:space="preserve">The requirements in </w:t>
      </w:r>
      <w:r w:rsidRPr="00793B1F">
        <w:t>clause 5.</w:t>
      </w:r>
      <w:r>
        <w:t>5</w:t>
      </w:r>
      <w:r w:rsidRPr="00793B1F">
        <w:t>.4 shall apply for RedCap</w:t>
      </w:r>
      <w:r>
        <w:t xml:space="preserve"> UEs</w:t>
      </w:r>
      <w:r w:rsidRPr="009C5807">
        <w:t>.</w:t>
      </w:r>
      <w:r>
        <w:t xml:space="preserve"> </w:t>
      </w:r>
    </w:p>
    <w:p w14:paraId="5567900A" w14:textId="77777777" w:rsidR="00BC3037" w:rsidRDefault="00BC3037" w:rsidP="00BC3037">
      <w:pPr>
        <w:pStyle w:val="Heading3"/>
      </w:pPr>
      <w:r w:rsidRPr="00B63C7C">
        <w:t>5.</w:t>
      </w:r>
      <w:r>
        <w:t>2</w:t>
      </w:r>
      <w:r w:rsidRPr="00B63C7C">
        <w:t>B.</w:t>
      </w:r>
      <w:r>
        <w:t>5</w:t>
      </w:r>
      <w:r>
        <w:tab/>
        <w:t>Applicability conditions for CG-SDT for RedCap</w:t>
      </w:r>
    </w:p>
    <w:p w14:paraId="010DBC35" w14:textId="77777777" w:rsidR="00BC3037" w:rsidRDefault="00BC3037" w:rsidP="00BC3037">
      <w:r>
        <w:t>The UE is not required to meet the following measurement requirements during subsequent SDT transmissions:</w:t>
      </w:r>
    </w:p>
    <w:p w14:paraId="06F9F84D" w14:textId="77777777" w:rsidR="00BC3037" w:rsidRPr="00AD223C" w:rsidRDefault="00BC3037" w:rsidP="00BC3037">
      <w:pPr>
        <w:pStyle w:val="B10"/>
      </w:pPr>
      <w:r>
        <w:t>-</w:t>
      </w:r>
      <w:r>
        <w:tab/>
      </w:r>
      <w:r w:rsidRPr="00AD223C">
        <w:t>Measurements of inter-frequency NR cells in clause 5.1</w:t>
      </w:r>
      <w:r>
        <w:t>B</w:t>
      </w:r>
      <w:r w:rsidRPr="00AD223C">
        <w:t xml:space="preserve">.2.4 </w:t>
      </w:r>
    </w:p>
    <w:p w14:paraId="3EB75A8C" w14:textId="77777777" w:rsidR="00BC3037" w:rsidRDefault="00BC3037" w:rsidP="00BC3037">
      <w:pPr>
        <w:pStyle w:val="B10"/>
      </w:pPr>
      <w:r>
        <w:t>-</w:t>
      </w:r>
      <w:r>
        <w:tab/>
      </w:r>
      <w:r w:rsidRPr="00603F12">
        <w:t>Measurements of inter-RAT E-UTRAN cells in clause 5.1</w:t>
      </w:r>
      <w:r>
        <w:t>B</w:t>
      </w:r>
      <w:r w:rsidRPr="00603F12">
        <w:t>.2.5</w:t>
      </w:r>
    </w:p>
    <w:p w14:paraId="369D3911" w14:textId="77777777" w:rsidR="000B4F9B" w:rsidRPr="009C5807" w:rsidRDefault="000B4F9B" w:rsidP="000B4F9B">
      <w:pPr>
        <w:pStyle w:val="Heading2"/>
      </w:pPr>
      <w:r w:rsidRPr="009C5807">
        <w:rPr>
          <w:rFonts w:hint="eastAsia"/>
        </w:rPr>
        <w:t>5.</w:t>
      </w:r>
      <w:r w:rsidRPr="009C5807">
        <w:t>3</w:t>
      </w:r>
      <w:r w:rsidRPr="009C5807">
        <w:tab/>
        <w:t>Minimization of Drive Tests (MDT)</w:t>
      </w:r>
    </w:p>
    <w:p w14:paraId="48A30D01" w14:textId="77777777" w:rsidR="000B4F9B" w:rsidRPr="009C5807" w:rsidRDefault="000B4F9B" w:rsidP="000B4F9B">
      <w:pPr>
        <w:pStyle w:val="Heading3"/>
      </w:pPr>
      <w:r w:rsidRPr="009C5807">
        <w:rPr>
          <w:rFonts w:hint="eastAsia"/>
        </w:rPr>
        <w:t>5.</w:t>
      </w:r>
      <w:r w:rsidRPr="009C5807">
        <w:t>3.1</w:t>
      </w:r>
      <w:r w:rsidRPr="009C5807">
        <w:tab/>
        <w:t>Introduction</w:t>
      </w:r>
    </w:p>
    <w:p w14:paraId="3236B24F" w14:textId="77777777" w:rsidR="000B4F9B" w:rsidRPr="009C5807" w:rsidRDefault="000B4F9B" w:rsidP="000B4F9B">
      <w:r w:rsidRPr="009C5807">
        <w:t>UE supporting minimisation of drive tests in RRC_</w:t>
      </w:r>
      <w:r w:rsidRPr="009C5807">
        <w:rPr>
          <w:rFonts w:hint="eastAsia"/>
        </w:rPr>
        <w:t>INACTIVE</w:t>
      </w:r>
      <w:r w:rsidRPr="009C5807">
        <w:t xml:space="preserve"> shall be capable of:</w:t>
      </w:r>
    </w:p>
    <w:p w14:paraId="77635D75" w14:textId="77777777" w:rsidR="000B4F9B" w:rsidRPr="009C5807" w:rsidRDefault="000B4F9B" w:rsidP="000B4F9B">
      <w:pPr>
        <w:pStyle w:val="B10"/>
      </w:pPr>
      <w:r w:rsidRPr="009C5807">
        <w:t>-</w:t>
      </w:r>
      <w:r w:rsidRPr="009C5807">
        <w:tab/>
        <w:t>logging measurements in RRC_</w:t>
      </w:r>
      <w:r w:rsidRPr="009C5807">
        <w:rPr>
          <w:rFonts w:hint="eastAsia"/>
        </w:rPr>
        <w:t>INACTIVE</w:t>
      </w:r>
      <w:r w:rsidRPr="009C5807">
        <w:t>, reporting the logged measurements and meeting requirements in clause 5.3.1;</w:t>
      </w:r>
    </w:p>
    <w:p w14:paraId="3A054CC3" w14:textId="77777777" w:rsidR="000B4F9B" w:rsidRPr="009C5807" w:rsidRDefault="000B4F9B" w:rsidP="000B4F9B">
      <w:pPr>
        <w:pStyle w:val="B10"/>
      </w:pPr>
      <w:r w:rsidRPr="009C5807">
        <w:t>-</w:t>
      </w:r>
      <w:r w:rsidRPr="009C5807">
        <w:tab/>
        <w:t>logging of RRC connection establishment failure, reporting the logged failure and meeting requirements in clause 5.3.1;</w:t>
      </w:r>
    </w:p>
    <w:p w14:paraId="785EA708" w14:textId="77777777" w:rsidR="000B4F9B" w:rsidRPr="009C5807" w:rsidRDefault="000B4F9B" w:rsidP="000B4F9B">
      <w:pPr>
        <w:pStyle w:val="B10"/>
      </w:pPr>
      <w:r w:rsidRPr="009C5807">
        <w:t>-</w:t>
      </w:r>
      <w:r w:rsidRPr="009C5807">
        <w:tab/>
        <w:t>logging of radio link failure and handover failure, reporting the logged failure and meeting requirements in clause 5.3.1.</w:t>
      </w:r>
    </w:p>
    <w:p w14:paraId="623AE812" w14:textId="2A7CB8D3" w:rsidR="000B4F9B" w:rsidRPr="009C5807" w:rsidRDefault="000B4F9B" w:rsidP="000B4F9B">
      <w:r w:rsidRPr="009C5807">
        <w:t>The logged MDT requirements consist of measurement requirements as specified in clause 5.3.2 and relative time stamp accuracy requirements as specified in clause 5.3.3. Both sets of requirements are applicable for intra-frequency, inter-frequency and inter-RAT cases in RRC_</w:t>
      </w:r>
      <w:r w:rsidRPr="009C5807">
        <w:rPr>
          <w:rFonts w:hint="eastAsia"/>
        </w:rPr>
        <w:t>INACTIVE</w:t>
      </w:r>
      <w:r w:rsidRPr="009C5807">
        <w:t xml:space="preserve"> state. The MDT procedures are described in </w:t>
      </w:r>
      <w:r w:rsidRPr="009C5807">
        <w:rPr>
          <w:rFonts w:hint="eastAsia"/>
        </w:rPr>
        <w:t xml:space="preserve">TS 37.320 </w:t>
      </w:r>
      <w:r w:rsidRPr="009C5807">
        <w:t>[31]</w:t>
      </w:r>
      <w:r w:rsidRPr="009C5807">
        <w:rPr>
          <w:rFonts w:hint="eastAsia"/>
        </w:rPr>
        <w:t>.</w:t>
      </w:r>
    </w:p>
    <w:p w14:paraId="08E5F8A6" w14:textId="77777777" w:rsidR="000B4F9B" w:rsidRPr="009C5807" w:rsidRDefault="000B4F9B" w:rsidP="000B4F9B">
      <w:r w:rsidRPr="009C5807">
        <w:t>For RRC connection establishment failure logging and reporting, the MDT requirements consist of requirements for measurements performed and logged in RRC_</w:t>
      </w:r>
      <w:r w:rsidRPr="009C5807">
        <w:rPr>
          <w:rFonts w:hint="eastAsia"/>
        </w:rPr>
        <w:t>INACTIVE</w:t>
      </w:r>
      <w:r w:rsidRPr="009C5807">
        <w:t xml:space="preserve"> state specified in clause </w:t>
      </w:r>
      <w:r w:rsidRPr="009C5807">
        <w:rPr>
          <w:rFonts w:hint="eastAsia"/>
        </w:rPr>
        <w:t>5.</w:t>
      </w:r>
      <w:r w:rsidRPr="009C5807">
        <w:t>3</w:t>
      </w:r>
      <w:r w:rsidRPr="009C5807">
        <w:rPr>
          <w:rFonts w:hint="eastAsia"/>
        </w:rPr>
        <w:t>.2</w:t>
      </w:r>
      <w:r w:rsidRPr="009C5807">
        <w:t xml:space="preserve"> and relative time stamp accuracy requirement for RRC connection establishment failure log reporting as specified in clause </w:t>
      </w:r>
      <w:r w:rsidRPr="009C5807">
        <w:rPr>
          <w:rFonts w:hint="eastAsia"/>
        </w:rPr>
        <w:t>5.</w:t>
      </w:r>
      <w:r w:rsidRPr="009C5807">
        <w:t>3</w:t>
      </w:r>
      <w:r w:rsidRPr="009C5807">
        <w:rPr>
          <w:rFonts w:hint="eastAsia"/>
        </w:rPr>
        <w:t>.4</w:t>
      </w:r>
      <w:r w:rsidRPr="009C5807">
        <w:t>.</w:t>
      </w:r>
    </w:p>
    <w:p w14:paraId="7980A050" w14:textId="77777777" w:rsidR="000B4F9B" w:rsidRPr="009C5807" w:rsidRDefault="000B4F9B" w:rsidP="000B4F9B">
      <w:pPr>
        <w:pStyle w:val="Heading3"/>
      </w:pPr>
      <w:r w:rsidRPr="009C5807">
        <w:rPr>
          <w:rFonts w:hint="eastAsia"/>
        </w:rPr>
        <w:t>5.</w:t>
      </w:r>
      <w:r w:rsidRPr="009C5807">
        <w:t>3</w:t>
      </w:r>
      <w:r w:rsidRPr="009C5807">
        <w:rPr>
          <w:rFonts w:hint="eastAsia"/>
        </w:rPr>
        <w:t>.2</w:t>
      </w:r>
      <w:r w:rsidRPr="009C5807">
        <w:tab/>
        <w:t>Measurement Requirements</w:t>
      </w:r>
    </w:p>
    <w:p w14:paraId="56931D1D" w14:textId="4C861C45" w:rsidR="000B4F9B" w:rsidRPr="009C5807" w:rsidRDefault="000B4F9B" w:rsidP="000B4F9B">
      <w:r w:rsidRPr="009C5807">
        <w:t>The measurements and measurement requirements applicable for MDT in RRC_INACTIVE are the same as specified for MDT in RRC_IDLE in clause 4.3.2.</w:t>
      </w:r>
    </w:p>
    <w:p w14:paraId="64D0CBB5" w14:textId="77777777" w:rsidR="000B4F9B" w:rsidRPr="009C5807" w:rsidRDefault="000B4F9B" w:rsidP="000B4F9B">
      <w:pPr>
        <w:pStyle w:val="Heading3"/>
      </w:pPr>
      <w:r w:rsidRPr="009C5807">
        <w:rPr>
          <w:rFonts w:hint="eastAsia"/>
        </w:rPr>
        <w:t>5.</w:t>
      </w:r>
      <w:r w:rsidRPr="009C5807">
        <w:t>3</w:t>
      </w:r>
      <w:r w:rsidRPr="009C5807">
        <w:rPr>
          <w:rFonts w:hint="eastAsia"/>
        </w:rPr>
        <w:t>.3</w:t>
      </w:r>
      <w:r w:rsidRPr="009C5807">
        <w:tab/>
        <w:t>Requirements for Relative Time Stamp Accuracy</w:t>
      </w:r>
    </w:p>
    <w:p w14:paraId="3923C75B" w14:textId="0C8D3CDD" w:rsidR="000B4F9B" w:rsidRPr="009C5807" w:rsidRDefault="000B4F9B" w:rsidP="000B4F9B">
      <w:r w:rsidRPr="009C5807">
        <w:t>The requirements for relative time stamp accuracy applicable for MDT in RRC_INACTIVE are the same as specified for MDT in RRC_IDLE in clause 4.3.3.</w:t>
      </w:r>
    </w:p>
    <w:p w14:paraId="2CA3B76A" w14:textId="77777777" w:rsidR="000B4F9B" w:rsidRPr="009C5807" w:rsidRDefault="000B4F9B" w:rsidP="000B4F9B">
      <w:pPr>
        <w:pStyle w:val="Heading3"/>
      </w:pPr>
      <w:r w:rsidRPr="009C5807">
        <w:rPr>
          <w:rFonts w:hint="eastAsia"/>
        </w:rPr>
        <w:t>5.</w:t>
      </w:r>
      <w:r w:rsidRPr="009C5807">
        <w:t>3</w:t>
      </w:r>
      <w:r w:rsidRPr="009C5807">
        <w:rPr>
          <w:rFonts w:hint="eastAsia"/>
        </w:rPr>
        <w:t>.4</w:t>
      </w:r>
      <w:r w:rsidRPr="009C5807">
        <w:tab/>
        <w:t>Requirements for Relative Time Stamp Accuracy for RRC Connection Establishment Failure Log Reporting</w:t>
      </w:r>
    </w:p>
    <w:p w14:paraId="1FC030AE" w14:textId="610B2707" w:rsidR="000B4F9B" w:rsidRPr="009C5807" w:rsidRDefault="000B4F9B" w:rsidP="000B4F9B">
      <w:r w:rsidRPr="009C5807">
        <w:t>The requirements for relative time stamp accuracy for RRC connection establishment failure applicable for MDT in RRC_INACTIVE are the same as specified for MDT in RRC_IDLE in clause 4.3.4.</w:t>
      </w:r>
    </w:p>
    <w:p w14:paraId="2B184E84" w14:textId="77777777" w:rsidR="000B4F9B" w:rsidRPr="009C5807" w:rsidRDefault="000B4F9B" w:rsidP="000B4F9B">
      <w:pPr>
        <w:pStyle w:val="Heading3"/>
      </w:pPr>
      <w:r w:rsidRPr="009C5807">
        <w:rPr>
          <w:rFonts w:hint="eastAsia"/>
        </w:rPr>
        <w:t>5.</w:t>
      </w:r>
      <w:r w:rsidRPr="009C5807">
        <w:t>3</w:t>
      </w:r>
      <w:r w:rsidRPr="009C5807">
        <w:rPr>
          <w:rFonts w:hint="eastAsia"/>
        </w:rPr>
        <w:t>.5</w:t>
      </w:r>
      <w:r w:rsidRPr="009C5807">
        <w:tab/>
        <w:t>Requirements for Relative Time Stamp Accuracy for Radio Link Failure and Handover Failure Log Reporting</w:t>
      </w:r>
    </w:p>
    <w:p w14:paraId="5E88E67B" w14:textId="0741686B" w:rsidR="000B4F9B" w:rsidRPr="009C5807" w:rsidRDefault="000B4F9B" w:rsidP="000B4F9B">
      <w:r w:rsidRPr="009C5807">
        <w:t>The requirements for relative time stamp accuracy for RRC link failure and handover failure applicable for MDT in RRC_INACTIVE are the same as specified for MDT in RRC_IDLE in clause 4.3.5.</w:t>
      </w:r>
    </w:p>
    <w:p w14:paraId="44FEF64B" w14:textId="77777777" w:rsidR="000B4F9B" w:rsidRPr="009C5807" w:rsidRDefault="000B4F9B" w:rsidP="000B4F9B">
      <w:pPr>
        <w:pStyle w:val="Heading3"/>
      </w:pPr>
      <w:r w:rsidRPr="009C5807">
        <w:t>5.3.6</w:t>
      </w:r>
      <w:r w:rsidRPr="009C5807">
        <w:tab/>
        <w:t>Requirements for Relative Time Stamp Accuracy for RRC Resume Failure Log Reporting</w:t>
      </w:r>
    </w:p>
    <w:p w14:paraId="5A7AB0C2" w14:textId="2DDA5582" w:rsidR="000B4F9B" w:rsidRDefault="000B4F9B" w:rsidP="000B4F9B">
      <w:r w:rsidRPr="009C5807">
        <w:t xml:space="preserve">The requirements for relative time stamp accuracy for </w:t>
      </w:r>
      <w:r w:rsidRPr="009C5807">
        <w:rPr>
          <w:rFonts w:hint="eastAsia"/>
        </w:rPr>
        <w:t xml:space="preserve">RRC resume failure applicable for MDT in RRC_INACTIVE are the same as specified for MDT in RRC_IDLE in </w:t>
      </w:r>
      <w:r w:rsidRPr="009C5807">
        <w:t>clause</w:t>
      </w:r>
      <w:r w:rsidRPr="009C5807">
        <w:rPr>
          <w:rFonts w:hint="eastAsia"/>
        </w:rPr>
        <w:t xml:space="preserve"> 4.3.4.</w:t>
      </w:r>
    </w:p>
    <w:p w14:paraId="5D18CD2D" w14:textId="77777777" w:rsidR="0013106C" w:rsidRPr="00E3652A" w:rsidRDefault="0013106C" w:rsidP="0013106C">
      <w:pPr>
        <w:pStyle w:val="Heading2"/>
      </w:pPr>
      <w:r>
        <w:rPr>
          <w:rFonts w:hint="eastAsia"/>
        </w:rPr>
        <w:t>5.3C</w:t>
      </w:r>
      <w:r w:rsidRPr="00E3652A">
        <w:tab/>
        <w:t>Minimization of Drive Tests (MDT)</w:t>
      </w:r>
      <w:r>
        <w:t xml:space="preserve"> for Satellite Access</w:t>
      </w:r>
    </w:p>
    <w:p w14:paraId="21EF8E22" w14:textId="07F69513" w:rsidR="0013106C" w:rsidRDefault="0013106C" w:rsidP="00F566A5">
      <w:pPr>
        <w:pStyle w:val="NO"/>
        <w:rPr>
          <w:rFonts w:eastAsia="SimSun"/>
          <w:i/>
          <w:iCs/>
        </w:rPr>
      </w:pPr>
      <w:r w:rsidRPr="00F566A5">
        <w:rPr>
          <w:rFonts w:eastAsia="SimSun"/>
          <w:i/>
          <w:iCs/>
        </w:rPr>
        <w:t>Editor’s note: the exact signalling names in the clause and values are subject to confirmation by RAN2 and change during performance requirement phase, respectively. And the brackets shall be removed by further agreements.</w:t>
      </w:r>
    </w:p>
    <w:p w14:paraId="19C1B9BE" w14:textId="77777777" w:rsidR="00F566A5" w:rsidRPr="00F566A5" w:rsidRDefault="00F566A5" w:rsidP="00F566A5">
      <w:pPr>
        <w:rPr>
          <w:rFonts w:eastAsia="SimSun"/>
        </w:rPr>
      </w:pPr>
    </w:p>
    <w:p w14:paraId="7E2C7947" w14:textId="77777777" w:rsidR="0013106C" w:rsidRPr="00E3652A" w:rsidRDefault="0013106C" w:rsidP="0013106C">
      <w:pPr>
        <w:pStyle w:val="Heading3"/>
      </w:pPr>
      <w:r>
        <w:rPr>
          <w:rFonts w:hint="eastAsia"/>
        </w:rPr>
        <w:t>5.3C</w:t>
      </w:r>
      <w:r w:rsidRPr="00E3652A">
        <w:t>.1</w:t>
      </w:r>
      <w:r w:rsidRPr="00E3652A">
        <w:tab/>
        <w:t>Introduction</w:t>
      </w:r>
    </w:p>
    <w:p w14:paraId="0B358B36" w14:textId="77777777" w:rsidR="0013106C" w:rsidRPr="00E3652A" w:rsidRDefault="0013106C" w:rsidP="0013106C">
      <w:pPr>
        <w:rPr>
          <w:rFonts w:eastAsia="SimSun"/>
        </w:rPr>
      </w:pPr>
      <w:r w:rsidRPr="00E3652A">
        <w:rPr>
          <w:rFonts w:eastAsia="SimSun"/>
        </w:rPr>
        <w:t>UE supporting minimisation of drive tests in RRC_</w:t>
      </w:r>
      <w:r w:rsidRPr="00E3652A">
        <w:rPr>
          <w:rFonts w:eastAsia="SimSun" w:hint="eastAsia"/>
        </w:rPr>
        <w:t>INACTIVE</w:t>
      </w:r>
      <w:r w:rsidRPr="00E3652A">
        <w:rPr>
          <w:rFonts w:eastAsia="SimSun"/>
        </w:rPr>
        <w:t xml:space="preserve"> shall be capable of:</w:t>
      </w:r>
    </w:p>
    <w:p w14:paraId="1A3D5295" w14:textId="67BB79DA" w:rsidR="00D16992" w:rsidRPr="00E3652A" w:rsidRDefault="00D16992" w:rsidP="00D16992">
      <w:pPr>
        <w:pStyle w:val="B10"/>
      </w:pPr>
      <w:r w:rsidRPr="00E3652A">
        <w:t>-</w:t>
      </w:r>
      <w:r w:rsidRPr="00E3652A">
        <w:tab/>
        <w:t>logging measurements in RRC_</w:t>
      </w:r>
      <w:r w:rsidRPr="00E3652A">
        <w:rPr>
          <w:rFonts w:hint="eastAsia"/>
        </w:rPr>
        <w:t>INACTIVE</w:t>
      </w:r>
      <w:r w:rsidRPr="00E3652A">
        <w:t xml:space="preserve">, reporting the logged measurements and meeting requirements in clause </w:t>
      </w:r>
      <w:r>
        <w:t>5.3C</w:t>
      </w:r>
      <w:r w:rsidRPr="00E3652A">
        <w:t>;</w:t>
      </w:r>
    </w:p>
    <w:p w14:paraId="3D95CE29" w14:textId="3D33EBA2" w:rsidR="00D16992" w:rsidRPr="00E3652A" w:rsidRDefault="00D16992" w:rsidP="00D16992">
      <w:pPr>
        <w:pStyle w:val="B10"/>
      </w:pPr>
      <w:r w:rsidRPr="00E3652A">
        <w:t>-</w:t>
      </w:r>
      <w:r w:rsidRPr="00E3652A">
        <w:tab/>
        <w:t xml:space="preserve">logging of RRC connection establishment failure, reporting the logged failure and meeting requirements in clause </w:t>
      </w:r>
      <w:r>
        <w:t>5.3C</w:t>
      </w:r>
      <w:r w:rsidRPr="00E3652A">
        <w:t>;</w:t>
      </w:r>
    </w:p>
    <w:p w14:paraId="0B5A352A" w14:textId="11DC223E" w:rsidR="0013106C" w:rsidRPr="00E3652A" w:rsidRDefault="00D16992" w:rsidP="00D16992">
      <w:pPr>
        <w:pStyle w:val="B10"/>
      </w:pPr>
      <w:r w:rsidRPr="00E3652A">
        <w:t>-</w:t>
      </w:r>
      <w:r w:rsidRPr="00E3652A">
        <w:tab/>
        <w:t xml:space="preserve">logging of radio link failure and handover failure, reporting the logged failure and meeting requirements in clause </w:t>
      </w:r>
      <w:r>
        <w:t>5.3C</w:t>
      </w:r>
      <w:r w:rsidRPr="00E3652A">
        <w:t>.</w:t>
      </w:r>
    </w:p>
    <w:p w14:paraId="2F294AFD" w14:textId="6D6C15A0" w:rsidR="00D16992" w:rsidRPr="00E3652A" w:rsidRDefault="00D16992" w:rsidP="00D16992">
      <w:pPr>
        <w:rPr>
          <w:rFonts w:eastAsia="SimSun"/>
        </w:rPr>
      </w:pPr>
      <w:r w:rsidRPr="00E3652A">
        <w:rPr>
          <w:rFonts w:eastAsia="SimSun"/>
        </w:rPr>
        <w:t>The logged MDT requirements consist of measurement requirements as specified in clause </w:t>
      </w:r>
      <w:r>
        <w:rPr>
          <w:rFonts w:eastAsia="SimSun"/>
        </w:rPr>
        <w:t>5.3C</w:t>
      </w:r>
      <w:r w:rsidRPr="00E3652A">
        <w:rPr>
          <w:rFonts w:eastAsia="SimSun"/>
        </w:rPr>
        <w:t>.2 and relative time stamp accuracy requirements as specified in clause </w:t>
      </w:r>
      <w:r>
        <w:rPr>
          <w:rFonts w:eastAsia="SimSun"/>
        </w:rPr>
        <w:t>5.3C</w:t>
      </w:r>
      <w:r w:rsidRPr="00E3652A">
        <w:rPr>
          <w:rFonts w:eastAsia="SimSun"/>
        </w:rPr>
        <w:t>.3. Both sets of requirements are applicable for intra-frequency</w:t>
      </w:r>
      <w:r>
        <w:rPr>
          <w:rFonts w:eastAsia="SimSun"/>
        </w:rPr>
        <w:t xml:space="preserve"> and </w:t>
      </w:r>
      <w:r w:rsidRPr="00E3652A">
        <w:rPr>
          <w:rFonts w:eastAsia="SimSun"/>
        </w:rPr>
        <w:t>inter-frequency cases in RRC_</w:t>
      </w:r>
      <w:r w:rsidRPr="00E3652A">
        <w:rPr>
          <w:rFonts w:eastAsia="SimSun" w:hint="eastAsia"/>
        </w:rPr>
        <w:t>INACTIVE</w:t>
      </w:r>
      <w:r w:rsidRPr="00E3652A">
        <w:rPr>
          <w:rFonts w:eastAsia="SimSun"/>
        </w:rPr>
        <w:t xml:space="preserve"> state. The MDT procedures are described in </w:t>
      </w:r>
      <w:r w:rsidRPr="00E3652A">
        <w:rPr>
          <w:rFonts w:eastAsia="SimSun" w:hint="eastAsia"/>
        </w:rPr>
        <w:t xml:space="preserve">TS 37.320 </w:t>
      </w:r>
      <w:r w:rsidRPr="00E3652A">
        <w:rPr>
          <w:rFonts w:eastAsia="SimSun"/>
        </w:rPr>
        <w:t>[31]</w:t>
      </w:r>
      <w:r w:rsidRPr="00E3652A">
        <w:rPr>
          <w:rFonts w:eastAsia="SimSun" w:hint="eastAsia"/>
        </w:rPr>
        <w:t>.</w:t>
      </w:r>
    </w:p>
    <w:p w14:paraId="53C89DA9" w14:textId="598043B0" w:rsidR="0013106C" w:rsidRPr="00E3652A" w:rsidRDefault="00D16992" w:rsidP="00D16992">
      <w:pPr>
        <w:rPr>
          <w:rFonts w:eastAsia="SimSun"/>
        </w:rPr>
      </w:pPr>
      <w:r w:rsidRPr="00E3652A">
        <w:rPr>
          <w:rFonts w:eastAsia="SimSun"/>
        </w:rPr>
        <w:t>For RRC connection establishment failure logging and reporting, the MDT requirements consist of requirements for measurements performed and logged in RRC_</w:t>
      </w:r>
      <w:r w:rsidRPr="00E3652A">
        <w:rPr>
          <w:rFonts w:eastAsia="SimSun" w:hint="eastAsia"/>
        </w:rPr>
        <w:t>INACTIVE</w:t>
      </w:r>
      <w:r w:rsidRPr="00E3652A">
        <w:rPr>
          <w:rFonts w:eastAsia="SimSun"/>
        </w:rPr>
        <w:t xml:space="preserve"> state specified in clause </w:t>
      </w:r>
      <w:r>
        <w:rPr>
          <w:rFonts w:eastAsia="SimSun" w:hint="eastAsia"/>
        </w:rPr>
        <w:t>5.3C</w:t>
      </w:r>
      <w:r w:rsidRPr="00E3652A">
        <w:rPr>
          <w:rFonts w:eastAsia="SimSun" w:hint="eastAsia"/>
        </w:rPr>
        <w:t>.2</w:t>
      </w:r>
      <w:r w:rsidRPr="00E3652A">
        <w:rPr>
          <w:rFonts w:eastAsia="SimSun"/>
        </w:rPr>
        <w:t xml:space="preserve"> and relative time stamp accuracy requirement for RRC connection establishment failure log reporting as specified in clause </w:t>
      </w:r>
      <w:r>
        <w:rPr>
          <w:rFonts w:eastAsia="SimSun" w:hint="eastAsia"/>
        </w:rPr>
        <w:t>5.3C</w:t>
      </w:r>
      <w:r w:rsidRPr="00E3652A">
        <w:rPr>
          <w:rFonts w:eastAsia="SimSun" w:hint="eastAsia"/>
        </w:rPr>
        <w:t>.4</w:t>
      </w:r>
      <w:r w:rsidRPr="00E3652A">
        <w:rPr>
          <w:rFonts w:eastAsia="SimSun"/>
        </w:rPr>
        <w:t>.</w:t>
      </w:r>
    </w:p>
    <w:p w14:paraId="52554FA2" w14:textId="77777777" w:rsidR="0013106C" w:rsidRPr="00E3652A" w:rsidRDefault="0013106C" w:rsidP="0013106C">
      <w:pPr>
        <w:pStyle w:val="Heading3"/>
      </w:pPr>
      <w:r>
        <w:rPr>
          <w:rFonts w:hint="eastAsia"/>
        </w:rPr>
        <w:t>5.3C</w:t>
      </w:r>
      <w:r w:rsidRPr="00E3652A">
        <w:rPr>
          <w:rFonts w:hint="eastAsia"/>
        </w:rPr>
        <w:t>.2</w:t>
      </w:r>
      <w:r w:rsidRPr="00E3652A">
        <w:tab/>
        <w:t>Measurement Requirements</w:t>
      </w:r>
    </w:p>
    <w:p w14:paraId="2DDCE1A1" w14:textId="4233AFA0" w:rsidR="0013106C" w:rsidRPr="00E3652A" w:rsidRDefault="00D16992" w:rsidP="0013106C">
      <w:pPr>
        <w:rPr>
          <w:rFonts w:eastAsia="SimSun"/>
        </w:rPr>
      </w:pPr>
      <w:r w:rsidRPr="00E3652A">
        <w:rPr>
          <w:rFonts w:eastAsia="SimSun"/>
        </w:rPr>
        <w:t xml:space="preserve">The measurements and measurement requirements applicable for MDT in RRC_INACTIVE are the same as specified for MDT in RRC_IDLE in clause </w:t>
      </w:r>
      <w:r>
        <w:rPr>
          <w:rFonts w:eastAsia="SimSun"/>
        </w:rPr>
        <w:t>4.3C.2</w:t>
      </w:r>
      <w:r w:rsidRPr="00E3652A">
        <w:rPr>
          <w:rFonts w:eastAsia="SimSun"/>
        </w:rPr>
        <w:t>.</w:t>
      </w:r>
    </w:p>
    <w:p w14:paraId="0DC8A6EC" w14:textId="77777777" w:rsidR="0013106C" w:rsidRPr="00E3652A" w:rsidRDefault="0013106C" w:rsidP="0013106C">
      <w:pPr>
        <w:pStyle w:val="Heading3"/>
      </w:pPr>
      <w:r>
        <w:rPr>
          <w:rFonts w:hint="eastAsia"/>
        </w:rPr>
        <w:t>5.3C</w:t>
      </w:r>
      <w:r w:rsidRPr="00E3652A">
        <w:rPr>
          <w:rFonts w:hint="eastAsia"/>
        </w:rPr>
        <w:t>.3</w:t>
      </w:r>
      <w:r w:rsidRPr="00E3652A">
        <w:tab/>
        <w:t>Requirements for Relative Time Stamp Accuracy</w:t>
      </w:r>
    </w:p>
    <w:p w14:paraId="65B85F82" w14:textId="21899077" w:rsidR="0013106C" w:rsidRPr="00E3652A" w:rsidRDefault="00D16992" w:rsidP="0013106C">
      <w:pPr>
        <w:rPr>
          <w:rFonts w:eastAsia="SimSun"/>
        </w:rPr>
      </w:pPr>
      <w:r w:rsidRPr="00E3652A">
        <w:rPr>
          <w:rFonts w:eastAsia="SimSun"/>
        </w:rPr>
        <w:t xml:space="preserve">The requirements for relative time stamp accuracy applicable for MDT in RRC_INACTIVE are the same as specified for MDT in RRC_IDLE in clause </w:t>
      </w:r>
      <w:r>
        <w:rPr>
          <w:rFonts w:eastAsia="SimSun"/>
        </w:rPr>
        <w:t>4.3C</w:t>
      </w:r>
      <w:r w:rsidRPr="00E3652A">
        <w:rPr>
          <w:rFonts w:eastAsia="SimSun"/>
        </w:rPr>
        <w:t>.3.</w:t>
      </w:r>
    </w:p>
    <w:p w14:paraId="6D34EBC5" w14:textId="77777777" w:rsidR="0013106C" w:rsidRPr="00E3652A" w:rsidRDefault="0013106C" w:rsidP="0013106C">
      <w:pPr>
        <w:pStyle w:val="Heading3"/>
      </w:pPr>
      <w:r>
        <w:rPr>
          <w:rFonts w:hint="eastAsia"/>
        </w:rPr>
        <w:t>5.3C</w:t>
      </w:r>
      <w:r w:rsidRPr="00E3652A">
        <w:rPr>
          <w:rFonts w:hint="eastAsia"/>
        </w:rPr>
        <w:t>.4</w:t>
      </w:r>
      <w:r w:rsidRPr="00E3652A">
        <w:tab/>
        <w:t>Requirements for Relative Time Stamp Accuracy for RRC Connection Establishment Failure Log Reporting</w:t>
      </w:r>
    </w:p>
    <w:p w14:paraId="2245D3D6" w14:textId="569291F2" w:rsidR="0013106C" w:rsidRPr="00E3652A" w:rsidRDefault="00D16992" w:rsidP="0013106C">
      <w:pPr>
        <w:rPr>
          <w:rFonts w:eastAsia="SimSun"/>
        </w:rPr>
      </w:pPr>
      <w:bookmarkStart w:id="71" w:name="_Hlk123557496"/>
      <w:r w:rsidRPr="00E3652A">
        <w:rPr>
          <w:rFonts w:eastAsia="SimSun"/>
        </w:rPr>
        <w:t xml:space="preserve">The requirements for relative time stamp accuracy for RRC connection establishment failure applicable for MDT in RRC_INACTIVE are the same as specified for MDT in RRC_IDLE in clause </w:t>
      </w:r>
      <w:r>
        <w:rPr>
          <w:rFonts w:eastAsia="SimSun"/>
        </w:rPr>
        <w:t>4.3C</w:t>
      </w:r>
      <w:r w:rsidRPr="00E3652A">
        <w:rPr>
          <w:rFonts w:eastAsia="SimSun"/>
        </w:rPr>
        <w:t>.4.</w:t>
      </w:r>
      <w:bookmarkEnd w:id="71"/>
    </w:p>
    <w:p w14:paraId="6BDC888A" w14:textId="77777777" w:rsidR="0013106C" w:rsidRPr="00E3652A" w:rsidRDefault="0013106C" w:rsidP="0013106C">
      <w:pPr>
        <w:pStyle w:val="Heading3"/>
      </w:pPr>
      <w:r>
        <w:rPr>
          <w:rFonts w:hint="eastAsia"/>
        </w:rPr>
        <w:t>5.3C</w:t>
      </w:r>
      <w:r w:rsidRPr="00E3652A">
        <w:rPr>
          <w:rFonts w:hint="eastAsia"/>
        </w:rPr>
        <w:t>.5</w:t>
      </w:r>
      <w:r w:rsidRPr="00E3652A">
        <w:tab/>
        <w:t>Requirements for Relative Time Stamp Accuracy for Radio Link Failure and Handover Failure Log Reporting</w:t>
      </w:r>
    </w:p>
    <w:p w14:paraId="066F0122" w14:textId="22E34620" w:rsidR="0013106C" w:rsidRPr="00E3652A" w:rsidRDefault="00D16992" w:rsidP="0013106C">
      <w:pPr>
        <w:rPr>
          <w:rFonts w:eastAsia="SimSun"/>
        </w:rPr>
      </w:pPr>
      <w:r w:rsidRPr="00E3652A">
        <w:rPr>
          <w:rFonts w:eastAsia="SimSun"/>
        </w:rPr>
        <w:t xml:space="preserve">The requirements for relative time stamp accuracy for RRC link failure and handover failure applicable for MDT in RRC_INACTIVE are the same as specified for MDT in RRC_IDLE in clause </w:t>
      </w:r>
      <w:r>
        <w:rPr>
          <w:rFonts w:eastAsia="SimSun"/>
        </w:rPr>
        <w:t>4.3C</w:t>
      </w:r>
      <w:r w:rsidRPr="00E3652A">
        <w:rPr>
          <w:rFonts w:eastAsia="SimSun"/>
        </w:rPr>
        <w:t>.5.</w:t>
      </w:r>
    </w:p>
    <w:p w14:paraId="6B8B3783" w14:textId="77777777" w:rsidR="0013106C" w:rsidRPr="00E3652A" w:rsidRDefault="0013106C" w:rsidP="0013106C">
      <w:pPr>
        <w:pStyle w:val="Heading3"/>
      </w:pPr>
      <w:r>
        <w:t>5.3C</w:t>
      </w:r>
      <w:r w:rsidRPr="00E3652A">
        <w:t>.6</w:t>
      </w:r>
      <w:r w:rsidRPr="00E3652A">
        <w:tab/>
        <w:t>Requirements for Relative Time Stamp Accuracy for RRC Resume Failure Log Reporting</w:t>
      </w:r>
    </w:p>
    <w:p w14:paraId="56DD8557" w14:textId="73D89F6E" w:rsidR="0013106C" w:rsidRPr="00E3652A" w:rsidRDefault="00D16992" w:rsidP="0013106C">
      <w:pPr>
        <w:rPr>
          <w:rFonts w:eastAsia="SimSun"/>
        </w:rPr>
      </w:pPr>
      <w:r w:rsidRPr="00E3652A">
        <w:rPr>
          <w:rFonts w:eastAsia="SimSun"/>
        </w:rPr>
        <w:t xml:space="preserve">The requirements for relative time stamp accuracy for </w:t>
      </w:r>
      <w:r w:rsidRPr="00E3652A">
        <w:rPr>
          <w:rFonts w:eastAsia="SimSun" w:hint="eastAsia"/>
        </w:rPr>
        <w:t xml:space="preserve">RRC resume failure applicable for MDT in RRC_INACTIVE are the same as specified for MDT in RRC_IDLE in </w:t>
      </w:r>
      <w:r w:rsidRPr="00E3652A">
        <w:rPr>
          <w:rFonts w:eastAsia="SimSun"/>
        </w:rPr>
        <w:t>clause</w:t>
      </w:r>
      <w:r w:rsidRPr="00E3652A">
        <w:rPr>
          <w:rFonts w:eastAsia="SimSun" w:hint="eastAsia"/>
        </w:rPr>
        <w:t xml:space="preserve"> </w:t>
      </w:r>
      <w:r>
        <w:rPr>
          <w:rFonts w:eastAsia="SimSun" w:hint="eastAsia"/>
        </w:rPr>
        <w:t>4.3C</w:t>
      </w:r>
      <w:r w:rsidRPr="00E3652A">
        <w:rPr>
          <w:rFonts w:eastAsia="SimSun" w:hint="eastAsia"/>
        </w:rPr>
        <w:t>.4.</w:t>
      </w:r>
    </w:p>
    <w:p w14:paraId="0B51320D" w14:textId="77777777" w:rsidR="0013106C" w:rsidRPr="00474A77" w:rsidRDefault="0013106C" w:rsidP="0013106C"/>
    <w:p w14:paraId="40BE9DD7" w14:textId="4D01ADC2" w:rsidR="000C77DD" w:rsidRPr="00100952" w:rsidRDefault="000C77DD" w:rsidP="000C77DD">
      <w:pPr>
        <w:pStyle w:val="Heading2"/>
      </w:pPr>
      <w:r>
        <w:t>5.4</w:t>
      </w:r>
      <w:r w:rsidRPr="00100952">
        <w:tab/>
        <w:t>Idle Mode CA/DC Me</w:t>
      </w:r>
      <w:r w:rsidRPr="00AE5395">
        <w:t>a</w:t>
      </w:r>
      <w:r w:rsidRPr="00100952">
        <w:t>s</w:t>
      </w:r>
      <w:r w:rsidRPr="00AE5395">
        <w:t>urements</w:t>
      </w:r>
    </w:p>
    <w:p w14:paraId="6BBA0CC8" w14:textId="1B545DC8" w:rsidR="000C77DD" w:rsidRPr="00100952" w:rsidRDefault="000C77DD" w:rsidP="000C77DD">
      <w:pPr>
        <w:pStyle w:val="Heading3"/>
        <w:rPr>
          <w:lang w:eastAsia="ko-KR"/>
        </w:rPr>
      </w:pPr>
      <w:r>
        <w:rPr>
          <w:lang w:eastAsia="ko-KR"/>
        </w:rPr>
        <w:t>5.4</w:t>
      </w:r>
      <w:r w:rsidRPr="00100952">
        <w:rPr>
          <w:lang w:eastAsia="ko-KR"/>
        </w:rPr>
        <w:t>.1</w:t>
      </w:r>
      <w:r w:rsidRPr="00100952">
        <w:rPr>
          <w:lang w:eastAsia="ko-KR"/>
        </w:rPr>
        <w:tab/>
        <w:t>Introduction</w:t>
      </w:r>
    </w:p>
    <w:p w14:paraId="5B894007" w14:textId="55D97E15" w:rsidR="000C77DD" w:rsidRDefault="000C77DD" w:rsidP="000C77DD">
      <w:pPr>
        <w:rPr>
          <w:rFonts w:eastAsia="Calibri"/>
        </w:rPr>
      </w:pPr>
      <w:r>
        <w:t xml:space="preserve">A UE supporting </w:t>
      </w:r>
      <w:r w:rsidRPr="00242E70">
        <w:rPr>
          <w:i/>
          <w:iCs/>
        </w:rPr>
        <w:t>IdleInactiveMeasurements-r16</w:t>
      </w:r>
      <w:r w:rsidRPr="00983F24">
        <w:t xml:space="preserve"> </w:t>
      </w:r>
      <w:r>
        <w:t xml:space="preserve">or </w:t>
      </w:r>
      <w:r w:rsidRPr="00FF3EFB">
        <w:rPr>
          <w:i/>
        </w:rPr>
        <w:t>idleInactiveEUTRA-MeasReport-r16</w:t>
      </w:r>
      <w:r>
        <w:rPr>
          <w:i/>
          <w:iCs/>
        </w:rPr>
        <w:t xml:space="preserve"> </w:t>
      </w:r>
      <w:r>
        <w:t xml:space="preserve">shall perform the idle mode measurement on the inter-frequency CA and DC candidate frequencies/cells and </w:t>
      </w:r>
      <w:r w:rsidR="00371627">
        <w:t xml:space="preserve">E-UTRAN </w:t>
      </w:r>
      <w:r>
        <w:t xml:space="preserve">inter-RAT DC candidate frequencies/cells indicated by higher layers and meet the requirement specified in this </w:t>
      </w:r>
      <w:r w:rsidR="0063092D">
        <w:t>clause</w:t>
      </w:r>
      <w:r>
        <w:t xml:space="preserve">. </w:t>
      </w:r>
      <w:r w:rsidRPr="0019104E">
        <w:t>The UE shall perform idle mode measurements provided that the serving cell support early measurement and is within the validity area. The idle mode measurement requirements apply to a configured carrier frequency and the serving cell are among the supported band combination of the UE.</w:t>
      </w:r>
    </w:p>
    <w:p w14:paraId="3B6A319F" w14:textId="15D8EFFC" w:rsidR="000C77DD" w:rsidRDefault="000C77DD" w:rsidP="000C77DD">
      <w:pPr>
        <w:pStyle w:val="Heading3"/>
        <w:rPr>
          <w:lang w:eastAsia="ko-KR"/>
        </w:rPr>
      </w:pPr>
      <w:r>
        <w:rPr>
          <w:lang w:eastAsia="ko-KR"/>
        </w:rPr>
        <w:t>5.4</w:t>
      </w:r>
      <w:r w:rsidRPr="00100952">
        <w:rPr>
          <w:lang w:eastAsia="ko-KR"/>
        </w:rPr>
        <w:t>.</w:t>
      </w:r>
      <w:r>
        <w:rPr>
          <w:lang w:eastAsia="ko-KR"/>
        </w:rPr>
        <w:t>2</w:t>
      </w:r>
      <w:r w:rsidRPr="00100952">
        <w:rPr>
          <w:lang w:eastAsia="ko-KR"/>
        </w:rPr>
        <w:tab/>
      </w:r>
      <w:r>
        <w:rPr>
          <w:lang w:eastAsia="ko-KR"/>
        </w:rPr>
        <w:t>Measurement Requirements</w:t>
      </w:r>
    </w:p>
    <w:p w14:paraId="4D7D6D67" w14:textId="43C73B18" w:rsidR="0009382D" w:rsidRPr="00100952" w:rsidRDefault="0009382D" w:rsidP="0009382D">
      <w:pPr>
        <w:rPr>
          <w:lang w:eastAsia="ko-KR"/>
        </w:rPr>
      </w:pPr>
      <w:r>
        <w:rPr>
          <w:lang w:eastAsia="ko-KR"/>
        </w:rPr>
        <w:t xml:space="preserve">The </w:t>
      </w:r>
      <w:r>
        <w:t>requirements</w:t>
      </w:r>
      <w:r>
        <w:rPr>
          <w:lang w:eastAsia="ko-KR"/>
        </w:rPr>
        <w:t xml:space="preserve"> in clause 4.4.2 shall apply.</w:t>
      </w:r>
    </w:p>
    <w:p w14:paraId="04E3156C" w14:textId="0A360308" w:rsidR="000C77DD" w:rsidRDefault="000C77DD" w:rsidP="000C77DD">
      <w:pPr>
        <w:pStyle w:val="Heading4"/>
      </w:pPr>
      <w:r>
        <w:t>5.4.2</w:t>
      </w:r>
      <w:r w:rsidRPr="00FF5DCC">
        <w:t>.</w:t>
      </w:r>
      <w:r>
        <w:t>1</w:t>
      </w:r>
      <w:r w:rsidRPr="00FF5DCC">
        <w:tab/>
        <w:t>Detected cell requirement during state transition and Idle mode</w:t>
      </w:r>
    </w:p>
    <w:p w14:paraId="193D9B82" w14:textId="4D32E71A" w:rsidR="0009382D" w:rsidRPr="00100952" w:rsidRDefault="0009382D" w:rsidP="0009382D">
      <w:pPr>
        <w:rPr>
          <w:lang w:eastAsia="ko-KR"/>
        </w:rPr>
      </w:pPr>
      <w:r>
        <w:rPr>
          <w:lang w:eastAsia="ko-KR"/>
        </w:rPr>
        <w:t xml:space="preserve">The </w:t>
      </w:r>
      <w:r>
        <w:t>requirements</w:t>
      </w:r>
      <w:r>
        <w:rPr>
          <w:lang w:eastAsia="ko-KR"/>
        </w:rPr>
        <w:t xml:space="preserve"> in clause 4.4.2.1 shall apply.</w:t>
      </w:r>
    </w:p>
    <w:p w14:paraId="259F1397" w14:textId="722963BF" w:rsidR="000C77DD" w:rsidRDefault="000C77DD" w:rsidP="000C77DD">
      <w:pPr>
        <w:pStyle w:val="Heading4"/>
      </w:pPr>
      <w:r>
        <w:t>5.4.2</w:t>
      </w:r>
      <w:r w:rsidRPr="00FF5DCC">
        <w:t>.</w:t>
      </w:r>
      <w:r>
        <w:t>2</w:t>
      </w:r>
      <w:r w:rsidRPr="00FF5DCC">
        <w:tab/>
      </w:r>
      <w:r w:rsidRPr="00251031">
        <w:t>Measurements of inter-frequency CA</w:t>
      </w:r>
      <w:r>
        <w:t>/DC</w:t>
      </w:r>
      <w:r w:rsidRPr="00251031">
        <w:t xml:space="preserve"> candidate cells</w:t>
      </w:r>
    </w:p>
    <w:p w14:paraId="7F46EF41" w14:textId="34D8B30D" w:rsidR="0009382D" w:rsidRPr="00100952" w:rsidRDefault="0009382D" w:rsidP="0009382D">
      <w:pPr>
        <w:rPr>
          <w:lang w:eastAsia="ko-KR"/>
        </w:rPr>
      </w:pPr>
      <w:r>
        <w:rPr>
          <w:lang w:eastAsia="ko-KR"/>
        </w:rPr>
        <w:t xml:space="preserve">The </w:t>
      </w:r>
      <w:r>
        <w:t>requirements</w:t>
      </w:r>
      <w:r>
        <w:rPr>
          <w:lang w:eastAsia="ko-KR"/>
        </w:rPr>
        <w:t xml:space="preserve"> in clause 4.4.2.2 shall apply.</w:t>
      </w:r>
    </w:p>
    <w:p w14:paraId="604DBB47" w14:textId="02DD747D" w:rsidR="000C77DD" w:rsidRPr="00FF5DCC" w:rsidRDefault="000C77DD" w:rsidP="000C77DD">
      <w:pPr>
        <w:pStyle w:val="Heading4"/>
      </w:pPr>
      <w:r>
        <w:t>5.4.2</w:t>
      </w:r>
      <w:r w:rsidRPr="00FF5DCC">
        <w:t>.</w:t>
      </w:r>
      <w:r>
        <w:t>3</w:t>
      </w:r>
      <w:r w:rsidRPr="00FF5DCC">
        <w:tab/>
      </w:r>
      <w:r w:rsidRPr="009F238D">
        <w:t>Measurements on serving cell</w:t>
      </w:r>
    </w:p>
    <w:p w14:paraId="0E86CE6F" w14:textId="7859D50F" w:rsidR="0009382D" w:rsidRPr="00100952" w:rsidRDefault="0009382D" w:rsidP="0009382D">
      <w:pPr>
        <w:rPr>
          <w:lang w:eastAsia="ko-KR"/>
        </w:rPr>
      </w:pPr>
      <w:r>
        <w:rPr>
          <w:lang w:eastAsia="ko-KR"/>
        </w:rPr>
        <w:t xml:space="preserve">The </w:t>
      </w:r>
      <w:r>
        <w:t>requirements</w:t>
      </w:r>
      <w:r>
        <w:rPr>
          <w:lang w:eastAsia="ko-KR"/>
        </w:rPr>
        <w:t xml:space="preserve"> in clause 4.4.2.3 shall apply.</w:t>
      </w:r>
    </w:p>
    <w:p w14:paraId="466D78DE" w14:textId="77777777" w:rsidR="007554A0" w:rsidRPr="00FF5DCC" w:rsidRDefault="007554A0" w:rsidP="007554A0">
      <w:pPr>
        <w:pStyle w:val="Heading4"/>
      </w:pPr>
      <w:r>
        <w:t>5.4.2</w:t>
      </w:r>
      <w:r w:rsidRPr="00FF5DCC">
        <w:t>.</w:t>
      </w:r>
      <w:r>
        <w:t>4</w:t>
      </w:r>
      <w:r w:rsidRPr="00FF5DCC">
        <w:tab/>
      </w:r>
      <w:r w:rsidRPr="009F238D">
        <w:t xml:space="preserve">Measurements on </w:t>
      </w:r>
      <w:r>
        <w:t>E-UTRAN inter-RAT DC candidate cells</w:t>
      </w:r>
    </w:p>
    <w:p w14:paraId="6CA55E4A" w14:textId="46F65A40" w:rsidR="0009382D" w:rsidRDefault="0009382D" w:rsidP="0009382D">
      <w:pPr>
        <w:rPr>
          <w:lang w:eastAsia="ko-KR"/>
        </w:rPr>
      </w:pPr>
      <w:r>
        <w:rPr>
          <w:lang w:eastAsia="ko-KR"/>
        </w:rPr>
        <w:t xml:space="preserve">The </w:t>
      </w:r>
      <w:r>
        <w:t>requirements</w:t>
      </w:r>
      <w:r>
        <w:rPr>
          <w:lang w:eastAsia="ko-KR"/>
        </w:rPr>
        <w:t xml:space="preserve"> in clause 4.4.2.4 shall apply.</w:t>
      </w:r>
    </w:p>
    <w:p w14:paraId="064ECA59" w14:textId="77777777" w:rsidR="0020479F" w:rsidRDefault="0020479F" w:rsidP="0020479F">
      <w:pPr>
        <w:pStyle w:val="Heading2"/>
        <w:rPr>
          <w:noProof/>
        </w:rPr>
      </w:pPr>
      <w:r>
        <w:rPr>
          <w:noProof/>
        </w:rPr>
        <w:t>5.5</w:t>
      </w:r>
      <w:r>
        <w:rPr>
          <w:noProof/>
        </w:rPr>
        <w:tab/>
      </w:r>
      <w:r w:rsidRPr="004A3F31">
        <w:rPr>
          <w:noProof/>
        </w:rPr>
        <w:t>Configured Grant based Small Data Transmissions (CG-SDT)</w:t>
      </w:r>
    </w:p>
    <w:p w14:paraId="17B570E8" w14:textId="4D3FB2B3" w:rsidR="0020479F" w:rsidRDefault="0020479F" w:rsidP="0020479F">
      <w:pPr>
        <w:pStyle w:val="Heading3"/>
      </w:pPr>
      <w:r>
        <w:t>5.5.1</w:t>
      </w:r>
      <w:r w:rsidR="00A35229">
        <w:tab/>
      </w:r>
      <w:r>
        <w:t>Introduction</w:t>
      </w:r>
    </w:p>
    <w:p w14:paraId="2488F4F7" w14:textId="35F33614" w:rsidR="003B5728" w:rsidRPr="00372FE8" w:rsidRDefault="003B5728" w:rsidP="003B5728">
      <w:r w:rsidRPr="00691C10">
        <w:t>The requirements in this clause are applicable when the UE is configured with timing alignment (TA) validation using</w:t>
      </w:r>
      <w:r w:rsidRPr="000D13F6">
        <w:rPr>
          <w:i/>
          <w:iCs/>
        </w:rPr>
        <w:t xml:space="preserve"> </w:t>
      </w:r>
      <w:r w:rsidRPr="00372FE8">
        <w:rPr>
          <w:i/>
          <w:iCs/>
        </w:rPr>
        <w:t>cg-SDT-RSRP-ChangeThreshold</w:t>
      </w:r>
      <w:r w:rsidRPr="00691C10">
        <w:t xml:space="preserve"> for transmitting in uplink using</w:t>
      </w:r>
      <w:r>
        <w:t xml:space="preserve"> CG-SDT as specified in [</w:t>
      </w:r>
      <w:r w:rsidRPr="00691C10">
        <w:t>TS 3</w:t>
      </w:r>
      <w:r>
        <w:t>8</w:t>
      </w:r>
      <w:r w:rsidRPr="00691C10">
        <w:t>.331</w:t>
      </w:r>
      <w:r>
        <w:t>]</w:t>
      </w:r>
      <w:r w:rsidRPr="00691C10">
        <w:t>.</w:t>
      </w:r>
    </w:p>
    <w:p w14:paraId="290325F8" w14:textId="77777777" w:rsidR="0020479F" w:rsidRPr="00F90FF1" w:rsidRDefault="0020479F" w:rsidP="0020479F"/>
    <w:p w14:paraId="78D45C6E" w14:textId="77777777" w:rsidR="0020479F" w:rsidRDefault="0020479F" w:rsidP="0020479F">
      <w:pPr>
        <w:pStyle w:val="Heading3"/>
      </w:pPr>
      <w:r>
        <w:t>5.5.2</w:t>
      </w:r>
      <w:r>
        <w:tab/>
      </w:r>
      <w:r w:rsidRPr="00514351">
        <w:t>Requirements on UE synchronization for small data transmissions</w:t>
      </w:r>
    </w:p>
    <w:p w14:paraId="05EAD0CA" w14:textId="77777777" w:rsidR="0020479F" w:rsidRPr="00C4452F" w:rsidRDefault="0020479F" w:rsidP="0020479F">
      <w:r>
        <w:t xml:space="preserve">The requirements in this clause are applicable for the UE performing small data tranmissions using configured </w:t>
      </w:r>
      <w:r w:rsidRPr="00C4452F">
        <w:t>resources as [TS 38.331].</w:t>
      </w:r>
    </w:p>
    <w:p w14:paraId="1C588D5B" w14:textId="77777777" w:rsidR="0020479F" w:rsidRPr="00CA2E42" w:rsidRDefault="0020479F" w:rsidP="0020479F">
      <w:r w:rsidRPr="00585335">
        <w:t>The UE is allowed to transmit using the configured uplink resources provided that the UE is synchronized towards (</w:t>
      </w:r>
      <w:r>
        <w:t xml:space="preserve">i.e. </w:t>
      </w:r>
      <w:r w:rsidRPr="00C4452F">
        <w:rPr>
          <w:iCs/>
          <w:lang w:val="en-US"/>
        </w:rPr>
        <w:t xml:space="preserve">using the timing derived using the latest available </w:t>
      </w:r>
      <m:oMath>
        <m:sSub>
          <m:sSubPr>
            <m:ctrlPr>
              <w:rPr>
                <w:rFonts w:ascii="Cambria Math" w:hAnsi="Cambria Math"/>
                <w:i/>
                <w:sz w:val="24"/>
                <w:szCs w:val="24"/>
              </w:rPr>
            </m:ctrlPr>
          </m:sSubPr>
          <m:e>
            <m:r>
              <w:rPr>
                <w:rFonts w:ascii="Cambria Math"/>
              </w:rPr>
              <m:t>N</m:t>
            </m:r>
          </m:e>
          <m:sub>
            <m:r>
              <m:rPr>
                <m:nor/>
              </m:rPr>
              <w:rPr>
                <w:rFonts w:ascii="Cambria Math"/>
                <w:lang w:val="en-US"/>
              </w:rPr>
              <m:t>TA</m:t>
            </m:r>
            <m:ctrlPr>
              <w:rPr>
                <w:rFonts w:ascii="Cambria Math" w:hAnsi="Cambria Math"/>
                <w:sz w:val="24"/>
                <w:szCs w:val="24"/>
              </w:rPr>
            </m:ctrlPr>
          </m:sub>
        </m:sSub>
      </m:oMath>
      <w:r w:rsidRPr="00C4452F">
        <w:rPr>
          <w:iCs/>
          <w:lang w:val="en-US"/>
        </w:rPr>
        <w:t xml:space="preserve"> value as specified in subclause 7.1.2</w:t>
      </w:r>
      <w:r w:rsidRPr="00585335">
        <w:t>) the serving cell prior to transmission. I</w:t>
      </w:r>
      <w:r w:rsidRPr="00C4452F">
        <w:t>f the UE is not able to obtain the synchronization towards the serving cell then the UE shall drop the small data transmission. The UE determines the small data transmission occasion according to the received CG-SDT configuration [TS 38.331].</w:t>
      </w:r>
      <w:r>
        <w:t xml:space="preserve"> </w:t>
      </w:r>
    </w:p>
    <w:p w14:paraId="0C33A9D6" w14:textId="77777777" w:rsidR="0020479F" w:rsidRDefault="0020479F" w:rsidP="00C0494E"/>
    <w:p w14:paraId="35073F0D" w14:textId="77777777" w:rsidR="0020479F" w:rsidRDefault="0020479F" w:rsidP="0020479F">
      <w:pPr>
        <w:pStyle w:val="Heading3"/>
      </w:pPr>
      <w:r>
        <w:t>5.5.3</w:t>
      </w:r>
      <w:r>
        <w:tab/>
        <w:t>TA validation requirements</w:t>
      </w:r>
    </w:p>
    <w:p w14:paraId="720A940F" w14:textId="44CFEFB7" w:rsidR="0020479F" w:rsidRPr="00691C10" w:rsidRDefault="00D25507" w:rsidP="0020479F">
      <w:pPr>
        <w:rPr>
          <w:iCs/>
        </w:rPr>
      </w:pPr>
      <w:r>
        <w:rPr>
          <w:iCs/>
        </w:rPr>
        <w:t xml:space="preserve">When </w:t>
      </w:r>
      <w:r>
        <w:rPr>
          <w:i/>
          <w:iCs/>
        </w:rPr>
        <w:t>cg-SDT-RSRP-ChangeThreshold</w:t>
      </w:r>
      <w:r>
        <w:rPr>
          <w:iCs/>
        </w:rPr>
        <w:t xml:space="preserve"> [TS 38.331] is configured for TA validation based on the RSRP change criterion according to clause 5.8.2 in</w:t>
      </w:r>
      <w:r>
        <w:rPr>
          <w:iCs/>
          <w:lang w:eastAsia="zh-CN"/>
        </w:rPr>
        <w:t xml:space="preserve"> [</w:t>
      </w:r>
      <w:r>
        <w:rPr>
          <w:iCs/>
        </w:rPr>
        <w:t xml:space="preserve">TS 38.321], the UE is allowed to transmit using CG-SDT using the timing derived using the latest available </w:t>
      </w:r>
      <m:oMath>
        <m:sSub>
          <m:sSubPr>
            <m:ctrlPr>
              <w:rPr>
                <w:rFonts w:ascii="Cambria Math" w:eastAsiaTheme="minorHAnsi" w:hAnsi="Cambria Math" w:cstheme="minorBidi"/>
                <w:i/>
                <w:sz w:val="22"/>
                <w:szCs w:val="22"/>
              </w:rPr>
            </m:ctrlPr>
          </m:sSubPr>
          <m:e>
            <m:r>
              <w:rPr>
                <w:rFonts w:ascii="Cambria Math"/>
              </w:rPr>
              <m:t>N</m:t>
            </m:r>
          </m:e>
          <m:sub>
            <m:r>
              <m:rPr>
                <m:nor/>
              </m:rPr>
              <w:rPr>
                <w:rFonts w:ascii="Cambria Math"/>
              </w:rPr>
              <m:t>TA</m:t>
            </m:r>
            <m:ctrlPr>
              <w:rPr>
                <w:rFonts w:ascii="Cambria Math" w:eastAsiaTheme="minorHAnsi" w:hAnsi="Cambria Math" w:cstheme="minorBidi"/>
                <w:sz w:val="22"/>
                <w:szCs w:val="22"/>
              </w:rPr>
            </m:ctrlPr>
          </m:sub>
        </m:sSub>
      </m:oMath>
      <w:r>
        <w:rPr>
          <w:iCs/>
        </w:rPr>
        <w:t xml:space="preserve"> value as specified in subclause 7.1 provided that</w:t>
      </w:r>
    </w:p>
    <w:p w14:paraId="1ADF0873" w14:textId="77777777" w:rsidR="0020479F" w:rsidRPr="00691C10" w:rsidRDefault="0020479F" w:rsidP="0020479F">
      <w:pPr>
        <w:pStyle w:val="B10"/>
        <w:rPr>
          <w:lang w:val="en-US"/>
        </w:rPr>
      </w:pPr>
      <w:r>
        <w:rPr>
          <w:lang w:val="en-US"/>
        </w:rPr>
        <w:t>-</w:t>
      </w:r>
      <w:r>
        <w:rPr>
          <w:lang w:val="en-US"/>
        </w:rPr>
        <w:tab/>
      </w:r>
      <w:r w:rsidRPr="00691C10">
        <w:rPr>
          <w:lang w:val="en-US"/>
        </w:rPr>
        <w:t>the first RSRP (RSRP</w:t>
      </w:r>
      <w:r w:rsidRPr="00691C10">
        <w:rPr>
          <w:vertAlign w:val="subscript"/>
          <w:lang w:val="en-US"/>
        </w:rPr>
        <w:t>1</w:t>
      </w:r>
      <w:r w:rsidRPr="00691C10">
        <w:rPr>
          <w:lang w:val="en-US"/>
        </w:rPr>
        <w:t>) measurement and the second RSRP (RSRP</w:t>
      </w:r>
      <w:r w:rsidRPr="00691C10">
        <w:rPr>
          <w:vertAlign w:val="subscript"/>
          <w:lang w:val="en-US"/>
        </w:rPr>
        <w:t>2</w:t>
      </w:r>
      <w:r w:rsidRPr="00691C10">
        <w:rPr>
          <w:lang w:val="en-US"/>
        </w:rPr>
        <w:t xml:space="preserve">) measurements used in the TA validation are valid measurements and, </w:t>
      </w:r>
    </w:p>
    <w:p w14:paraId="047D28C4" w14:textId="4E6E7588" w:rsidR="00AD748B" w:rsidRPr="00691C10" w:rsidRDefault="00AD748B" w:rsidP="00AD748B">
      <w:pPr>
        <w:pStyle w:val="B10"/>
        <w:rPr>
          <w:i/>
        </w:rPr>
      </w:pPr>
      <w:r>
        <w:rPr>
          <w:lang w:val="en-US"/>
        </w:rPr>
        <w:t>-</w:t>
      </w:r>
      <w:r>
        <w:rPr>
          <w:lang w:val="en-US"/>
        </w:rPr>
        <w:tab/>
      </w:r>
      <w:r w:rsidRPr="00691C10">
        <w:rPr>
          <w:lang w:val="en-US"/>
        </w:rPr>
        <w:t xml:space="preserve">timing alignment validation for transmission using </w:t>
      </w:r>
      <w:r>
        <w:rPr>
          <w:lang w:val="en-US"/>
        </w:rPr>
        <w:t>CG-SDT</w:t>
      </w:r>
      <w:r w:rsidRPr="00691C10">
        <w:rPr>
          <w:lang w:val="en-US"/>
        </w:rPr>
        <w:t xml:space="preserve"> is valid according to the val</w:t>
      </w:r>
      <w:r>
        <w:rPr>
          <w:lang w:val="en-US"/>
        </w:rPr>
        <w:t>i</w:t>
      </w:r>
      <w:r w:rsidRPr="00691C10">
        <w:rPr>
          <w:lang w:val="en-US"/>
        </w:rPr>
        <w:t xml:space="preserve">dation criteria in </w:t>
      </w:r>
      <w:r>
        <w:rPr>
          <w:lang w:val="en-US"/>
        </w:rPr>
        <w:t>clause</w:t>
      </w:r>
      <w:r w:rsidRPr="00691C10">
        <w:rPr>
          <w:lang w:val="en-US"/>
        </w:rPr>
        <w:t xml:space="preserve"> </w:t>
      </w:r>
      <w:r>
        <w:rPr>
          <w:lang w:val="en-US"/>
        </w:rPr>
        <w:t>5.8.2</w:t>
      </w:r>
      <w:r w:rsidRPr="00691C10">
        <w:rPr>
          <w:lang w:val="en-US"/>
        </w:rPr>
        <w:t xml:space="preserve"> in [TS 3</w:t>
      </w:r>
      <w:r>
        <w:rPr>
          <w:lang w:val="en-US"/>
        </w:rPr>
        <w:t>8</w:t>
      </w:r>
      <w:r w:rsidRPr="00691C10">
        <w:rPr>
          <w:lang w:val="en-US"/>
        </w:rPr>
        <w:t>.3</w:t>
      </w:r>
      <w:r>
        <w:rPr>
          <w:lang w:val="en-US"/>
        </w:rPr>
        <w:t>21</w:t>
      </w:r>
      <w:r w:rsidRPr="00691C10">
        <w:rPr>
          <w:lang w:val="en-US"/>
        </w:rPr>
        <w:t>]</w:t>
      </w:r>
      <w:r>
        <w:rPr>
          <w:lang w:val="en-US"/>
        </w:rPr>
        <w:t>.</w:t>
      </w:r>
    </w:p>
    <w:p w14:paraId="50919FC6" w14:textId="77777777" w:rsidR="00AD748B" w:rsidRDefault="00AD748B" w:rsidP="00AD748B">
      <w:pPr>
        <w:rPr>
          <w:i/>
          <w:iCs/>
          <w:lang w:val="fr-FR"/>
        </w:rPr>
      </w:pPr>
      <w:r w:rsidRPr="00691C10">
        <w:rPr>
          <w:iCs/>
        </w:rPr>
        <w:t>RSRP</w:t>
      </w:r>
      <w:r w:rsidRPr="00691C10">
        <w:rPr>
          <w:iCs/>
          <w:vertAlign w:val="subscript"/>
        </w:rPr>
        <w:t>1</w:t>
      </w:r>
      <w:r w:rsidRPr="00691C10">
        <w:rPr>
          <w:iCs/>
        </w:rPr>
        <w:t xml:space="preserve"> </w:t>
      </w:r>
      <w:r>
        <w:rPr>
          <w:iCs/>
        </w:rPr>
        <w:t>and RSRP</w:t>
      </w:r>
      <w:r w:rsidRPr="00AF5628">
        <w:rPr>
          <w:iCs/>
          <w:vertAlign w:val="subscript"/>
        </w:rPr>
        <w:t>2</w:t>
      </w:r>
      <w:r>
        <w:rPr>
          <w:iCs/>
        </w:rPr>
        <w:t xml:space="preserve"> are </w:t>
      </w:r>
      <w:r w:rsidRPr="00691C10">
        <w:t>considered valid provided that the condition</w:t>
      </w:r>
      <w:r>
        <w:t>s in Table 5.5.3-1 and Table 5.5.3-2 are met for FR1 and FR2-1.</w:t>
      </w:r>
    </w:p>
    <w:p w14:paraId="15F4B60F" w14:textId="77777777" w:rsidR="00B44E1D" w:rsidRDefault="00B44E1D" w:rsidP="00B44E1D">
      <w:pPr>
        <w:pStyle w:val="TH"/>
        <w:rPr>
          <w:lang w:val="fr-FR"/>
        </w:rPr>
      </w:pPr>
      <w:r>
        <w:rPr>
          <w:lang w:val="fr-FR"/>
        </w:rPr>
        <w:t>Table 5.5.3-1 Valid measurement for FR1</w:t>
      </w:r>
    </w:p>
    <w:tbl>
      <w:tblPr>
        <w:tblStyle w:val="TableGrid"/>
        <w:tblW w:w="0" w:type="auto"/>
        <w:tblLook w:val="04A0" w:firstRow="1" w:lastRow="0" w:firstColumn="1" w:lastColumn="0" w:noHBand="0" w:noVBand="1"/>
      </w:tblPr>
      <w:tblGrid>
        <w:gridCol w:w="1838"/>
        <w:gridCol w:w="7791"/>
      </w:tblGrid>
      <w:tr w:rsidR="00B44E1D" w14:paraId="0F528EB9" w14:textId="77777777" w:rsidTr="00224E82">
        <w:tc>
          <w:tcPr>
            <w:tcW w:w="1838" w:type="dxa"/>
          </w:tcPr>
          <w:p w14:paraId="67F927B3" w14:textId="77777777" w:rsidR="00B44E1D" w:rsidRDefault="00B44E1D" w:rsidP="00224E82">
            <w:pPr>
              <w:pStyle w:val="TAH"/>
              <w:rPr>
                <w:i/>
                <w:iCs/>
                <w:lang w:val="fr-FR"/>
              </w:rPr>
            </w:pPr>
            <w:r>
              <w:rPr>
                <w:lang w:val="fr-FR"/>
              </w:rPr>
              <w:t>Measurement</w:t>
            </w:r>
          </w:p>
        </w:tc>
        <w:tc>
          <w:tcPr>
            <w:tcW w:w="7791" w:type="dxa"/>
          </w:tcPr>
          <w:p w14:paraId="5C74FE74" w14:textId="77777777" w:rsidR="00B44E1D" w:rsidRDefault="00B44E1D" w:rsidP="00224E82">
            <w:pPr>
              <w:pStyle w:val="TAH"/>
              <w:rPr>
                <w:i/>
                <w:iCs/>
                <w:lang w:val="fr-FR"/>
              </w:rPr>
            </w:pPr>
            <w:r>
              <w:rPr>
                <w:lang w:val="fr-FR"/>
              </w:rPr>
              <w:t>FR1</w:t>
            </w:r>
          </w:p>
        </w:tc>
      </w:tr>
      <w:tr w:rsidR="00B44E1D" w:rsidRPr="00B845AC" w14:paraId="2EE4200D" w14:textId="77777777" w:rsidTr="00224E82">
        <w:tc>
          <w:tcPr>
            <w:tcW w:w="1838" w:type="dxa"/>
          </w:tcPr>
          <w:p w14:paraId="6D39F5DE" w14:textId="77777777" w:rsidR="00B44E1D" w:rsidRDefault="00B44E1D" w:rsidP="00224E82">
            <w:pPr>
              <w:pStyle w:val="TAC"/>
              <w:rPr>
                <w:i/>
                <w:iCs/>
                <w:lang w:val="fr-FR"/>
              </w:rPr>
            </w:pPr>
            <w:r>
              <w:rPr>
                <w:lang w:val="fr-FR"/>
              </w:rPr>
              <w:t>RSRP</w:t>
            </w:r>
            <w:r w:rsidRPr="00E5544B">
              <w:rPr>
                <w:vertAlign w:val="subscript"/>
                <w:lang w:val="fr-FR"/>
              </w:rPr>
              <w:t>1</w:t>
            </w:r>
          </w:p>
        </w:tc>
        <w:tc>
          <w:tcPr>
            <w:tcW w:w="7791" w:type="dxa"/>
          </w:tcPr>
          <w:p w14:paraId="639A3B5C" w14:textId="77777777" w:rsidR="00B44E1D" w:rsidRDefault="00B44E1D" w:rsidP="00224E82">
            <w:pPr>
              <w:pStyle w:val="TAC"/>
              <w:rPr>
                <w:i/>
                <w:iCs/>
                <w:lang w:val="fr-FR"/>
              </w:rPr>
            </w:pPr>
            <w:r>
              <w:rPr>
                <w:lang w:val="fr-FR"/>
              </w:rPr>
              <w:t>(T1 – min(6</w:t>
            </w:r>
            <w:r w:rsidRPr="00B51E0F">
              <w:rPr>
                <w:lang w:val="fr-FR"/>
              </w:rPr>
              <w:t>40</w:t>
            </w:r>
            <w:r w:rsidRPr="00FB1F9F">
              <w:rPr>
                <w:lang w:val="fr-FR"/>
              </w:rPr>
              <w:t>ms</w:t>
            </w:r>
            <w:r>
              <w:rPr>
                <w:lang w:val="fr-FR"/>
              </w:rPr>
              <w:t>, M1*T</w:t>
            </w:r>
            <w:r w:rsidRPr="00E93CB8">
              <w:rPr>
                <w:vertAlign w:val="subscript"/>
                <w:lang w:val="fr-FR"/>
              </w:rPr>
              <w:t>DRX</w:t>
            </w:r>
            <w:r>
              <w:rPr>
                <w:lang w:val="fr-FR"/>
              </w:rPr>
              <w:t xml:space="preserve">)) </w:t>
            </w:r>
            <w:r>
              <w:rPr>
                <w:rFonts w:cs="Arial"/>
                <w:lang w:val="fr-FR"/>
              </w:rPr>
              <w:t>≤</w:t>
            </w:r>
            <w:r>
              <w:rPr>
                <w:lang w:val="fr-FR"/>
              </w:rPr>
              <w:t xml:space="preserve"> T1’ </w:t>
            </w:r>
            <w:r>
              <w:rPr>
                <w:rFonts w:cs="Arial"/>
                <w:lang w:val="fr-FR"/>
              </w:rPr>
              <w:t xml:space="preserve">≤ </w:t>
            </w:r>
            <w:r>
              <w:rPr>
                <w:lang w:val="fr-FR"/>
              </w:rPr>
              <w:t>(T1 + min(640ms, M1*T</w:t>
            </w:r>
            <w:r w:rsidRPr="00E5544B">
              <w:rPr>
                <w:vertAlign w:val="subscript"/>
                <w:lang w:val="fr-FR"/>
              </w:rPr>
              <w:t>DRX</w:t>
            </w:r>
            <w:r>
              <w:rPr>
                <w:lang w:val="fr-FR"/>
              </w:rPr>
              <w:t>))</w:t>
            </w:r>
          </w:p>
        </w:tc>
      </w:tr>
      <w:tr w:rsidR="00B44E1D" w:rsidRPr="00B845AC" w14:paraId="7EF89437" w14:textId="77777777" w:rsidTr="00224E82">
        <w:tc>
          <w:tcPr>
            <w:tcW w:w="1838" w:type="dxa"/>
          </w:tcPr>
          <w:p w14:paraId="00AE4E38" w14:textId="77777777" w:rsidR="00B44E1D" w:rsidRDefault="00B44E1D" w:rsidP="00224E82">
            <w:pPr>
              <w:pStyle w:val="TAC"/>
              <w:rPr>
                <w:i/>
                <w:iCs/>
                <w:lang w:val="fr-FR"/>
              </w:rPr>
            </w:pPr>
            <w:r>
              <w:rPr>
                <w:lang w:val="fr-FR"/>
              </w:rPr>
              <w:t>RSRP</w:t>
            </w:r>
            <w:r w:rsidRPr="00E5544B">
              <w:rPr>
                <w:vertAlign w:val="subscript"/>
                <w:lang w:val="fr-FR"/>
              </w:rPr>
              <w:t>2</w:t>
            </w:r>
          </w:p>
        </w:tc>
        <w:tc>
          <w:tcPr>
            <w:tcW w:w="7791" w:type="dxa"/>
          </w:tcPr>
          <w:p w14:paraId="39FB765D" w14:textId="77777777" w:rsidR="00B44E1D" w:rsidRDefault="00B44E1D" w:rsidP="00224E82">
            <w:pPr>
              <w:pStyle w:val="TAC"/>
              <w:rPr>
                <w:i/>
                <w:iCs/>
                <w:lang w:val="fr-FR"/>
              </w:rPr>
            </w:pPr>
            <w:r>
              <w:rPr>
                <w:lang w:val="fr-FR"/>
              </w:rPr>
              <w:t>(T2 – min(640ms, M1*T</w:t>
            </w:r>
            <w:r w:rsidRPr="00E5544B">
              <w:rPr>
                <w:vertAlign w:val="subscript"/>
                <w:lang w:val="fr-FR"/>
              </w:rPr>
              <w:t>DRX</w:t>
            </w:r>
            <w:r>
              <w:rPr>
                <w:lang w:val="fr-FR"/>
              </w:rPr>
              <w:t xml:space="preserve">)) </w:t>
            </w:r>
            <w:r>
              <w:rPr>
                <w:rFonts w:cs="Arial"/>
                <w:lang w:val="fr-FR"/>
              </w:rPr>
              <w:t>≤</w:t>
            </w:r>
            <w:r>
              <w:rPr>
                <w:lang w:val="fr-FR"/>
              </w:rPr>
              <w:t xml:space="preserve"> T2’ </w:t>
            </w:r>
            <w:r>
              <w:rPr>
                <w:rFonts w:cs="Arial"/>
                <w:lang w:val="fr-FR"/>
              </w:rPr>
              <w:t>≤ T2</w:t>
            </w:r>
          </w:p>
        </w:tc>
      </w:tr>
    </w:tbl>
    <w:p w14:paraId="215B03C2" w14:textId="77777777" w:rsidR="00B44E1D" w:rsidRPr="00E93CB8" w:rsidRDefault="00B44E1D" w:rsidP="00B44E1D">
      <w:pPr>
        <w:jc w:val="center"/>
        <w:rPr>
          <w:i/>
          <w:iCs/>
          <w:lang w:val="sv-SE"/>
        </w:rPr>
      </w:pPr>
    </w:p>
    <w:p w14:paraId="3BABF408" w14:textId="77777777" w:rsidR="00B44E1D" w:rsidRDefault="00B44E1D" w:rsidP="00B44E1D">
      <w:pPr>
        <w:pStyle w:val="TH"/>
        <w:rPr>
          <w:lang w:val="fr-FR"/>
        </w:rPr>
      </w:pPr>
      <w:r>
        <w:rPr>
          <w:lang w:val="fr-FR"/>
        </w:rPr>
        <w:t>Table 5.5.3-2 Valid measurement for FR2-1</w:t>
      </w:r>
    </w:p>
    <w:tbl>
      <w:tblPr>
        <w:tblStyle w:val="TableGrid"/>
        <w:tblW w:w="0" w:type="auto"/>
        <w:tblLook w:val="04A0" w:firstRow="1" w:lastRow="0" w:firstColumn="1" w:lastColumn="0" w:noHBand="0" w:noVBand="1"/>
      </w:tblPr>
      <w:tblGrid>
        <w:gridCol w:w="1838"/>
        <w:gridCol w:w="7791"/>
      </w:tblGrid>
      <w:tr w:rsidR="00B44E1D" w14:paraId="4A13AAD1" w14:textId="77777777" w:rsidTr="00224E82">
        <w:tc>
          <w:tcPr>
            <w:tcW w:w="1838" w:type="dxa"/>
          </w:tcPr>
          <w:p w14:paraId="4EBDA67B" w14:textId="77777777" w:rsidR="00B44E1D" w:rsidRDefault="00B44E1D" w:rsidP="00224E82">
            <w:pPr>
              <w:pStyle w:val="TAH"/>
              <w:rPr>
                <w:i/>
                <w:iCs/>
                <w:lang w:val="fr-FR"/>
              </w:rPr>
            </w:pPr>
            <w:r>
              <w:rPr>
                <w:lang w:val="fr-FR"/>
              </w:rPr>
              <w:t>Measurement</w:t>
            </w:r>
          </w:p>
        </w:tc>
        <w:tc>
          <w:tcPr>
            <w:tcW w:w="7791" w:type="dxa"/>
          </w:tcPr>
          <w:p w14:paraId="5CA892C6" w14:textId="77777777" w:rsidR="00B44E1D" w:rsidRDefault="00B44E1D" w:rsidP="00224E82">
            <w:pPr>
              <w:pStyle w:val="TAH"/>
              <w:rPr>
                <w:i/>
                <w:iCs/>
                <w:lang w:val="fr-FR"/>
              </w:rPr>
            </w:pPr>
            <w:r>
              <w:rPr>
                <w:lang w:val="fr-FR"/>
              </w:rPr>
              <w:t>FR2-1</w:t>
            </w:r>
          </w:p>
        </w:tc>
      </w:tr>
      <w:tr w:rsidR="00B44E1D" w:rsidRPr="00047311" w14:paraId="72DD0BCB" w14:textId="77777777" w:rsidTr="00224E82">
        <w:tc>
          <w:tcPr>
            <w:tcW w:w="1838" w:type="dxa"/>
          </w:tcPr>
          <w:p w14:paraId="6F8CFB8D" w14:textId="77777777" w:rsidR="00B44E1D" w:rsidRDefault="00B44E1D" w:rsidP="00224E82">
            <w:pPr>
              <w:pStyle w:val="TAC"/>
              <w:rPr>
                <w:i/>
                <w:iCs/>
                <w:lang w:val="fr-FR"/>
              </w:rPr>
            </w:pPr>
            <w:r>
              <w:rPr>
                <w:lang w:val="fr-FR"/>
              </w:rPr>
              <w:t>RSRP</w:t>
            </w:r>
            <w:r w:rsidRPr="00E5544B">
              <w:rPr>
                <w:vertAlign w:val="subscript"/>
                <w:lang w:val="fr-FR"/>
              </w:rPr>
              <w:t>1</w:t>
            </w:r>
          </w:p>
        </w:tc>
        <w:tc>
          <w:tcPr>
            <w:tcW w:w="7791" w:type="dxa"/>
          </w:tcPr>
          <w:p w14:paraId="0E9B3215" w14:textId="2C3840EE" w:rsidR="00B44E1D" w:rsidRDefault="00B44E1D" w:rsidP="00224E82">
            <w:pPr>
              <w:pStyle w:val="TAC"/>
              <w:rPr>
                <w:i/>
                <w:iCs/>
                <w:lang w:val="fr-FR"/>
              </w:rPr>
            </w:pPr>
            <w:r>
              <w:rPr>
                <w:lang w:val="fr-FR"/>
              </w:rPr>
              <w:t xml:space="preserve">(T1 – </w:t>
            </w:r>
            <w:r w:rsidRPr="006F6A23">
              <w:rPr>
                <w:lang w:val="fr-FR"/>
              </w:rPr>
              <w:t>max</w:t>
            </w:r>
            <w:r>
              <w:rPr>
                <w:lang w:val="fr-FR"/>
              </w:rPr>
              <w:t>(</w:t>
            </w:r>
            <w:r w:rsidRPr="006F6A23">
              <w:rPr>
                <w:lang w:val="fr-FR"/>
              </w:rPr>
              <w:t>480ms, 8*</w:t>
            </w:r>
            <w:r>
              <w:rPr>
                <w:lang w:val="fr-FR"/>
              </w:rPr>
              <w:t>SMTC</w:t>
            </w:r>
            <w:r w:rsidRPr="006F6A23">
              <w:rPr>
                <w:lang w:val="fr-FR"/>
              </w:rPr>
              <w:t xml:space="preserve"> periodicity</w:t>
            </w:r>
            <w:r>
              <w:rPr>
                <w:lang w:val="fr-FR"/>
              </w:rPr>
              <w:t xml:space="preserve">)) </w:t>
            </w:r>
            <w:r>
              <w:rPr>
                <w:rFonts w:cs="Arial"/>
                <w:lang w:val="fr-FR"/>
              </w:rPr>
              <w:t>≤</w:t>
            </w:r>
            <w:r>
              <w:rPr>
                <w:lang w:val="fr-FR"/>
              </w:rPr>
              <w:t xml:space="preserve"> T1’ </w:t>
            </w:r>
            <w:r>
              <w:rPr>
                <w:rFonts w:cs="Arial"/>
                <w:lang w:val="fr-FR"/>
              </w:rPr>
              <w:t xml:space="preserve">≤ </w:t>
            </w:r>
            <w:r>
              <w:rPr>
                <w:lang w:val="fr-FR"/>
              </w:rPr>
              <w:t xml:space="preserve">(T1 + </w:t>
            </w:r>
            <w:r w:rsidRPr="006F6A23">
              <w:rPr>
                <w:lang w:val="fr-FR"/>
              </w:rPr>
              <w:t>max</w:t>
            </w:r>
            <w:r>
              <w:rPr>
                <w:lang w:val="fr-FR"/>
              </w:rPr>
              <w:t>(</w:t>
            </w:r>
            <w:r w:rsidRPr="006F6A23">
              <w:rPr>
                <w:lang w:val="fr-FR"/>
              </w:rPr>
              <w:t>480ms, 8*</w:t>
            </w:r>
            <w:r>
              <w:rPr>
                <w:lang w:val="fr-FR"/>
              </w:rPr>
              <w:t>SMTC</w:t>
            </w:r>
            <w:r w:rsidRPr="006F6A23">
              <w:rPr>
                <w:lang w:val="fr-FR"/>
              </w:rPr>
              <w:t xml:space="preserve"> periodicity</w:t>
            </w:r>
            <w:r>
              <w:rPr>
                <w:lang w:val="fr-FR"/>
              </w:rPr>
              <w:t>))</w:t>
            </w:r>
          </w:p>
        </w:tc>
      </w:tr>
      <w:tr w:rsidR="00B44E1D" w14:paraId="10C67A65" w14:textId="77777777" w:rsidTr="00224E82">
        <w:tc>
          <w:tcPr>
            <w:tcW w:w="1838" w:type="dxa"/>
          </w:tcPr>
          <w:p w14:paraId="251A657B" w14:textId="77777777" w:rsidR="00B44E1D" w:rsidRDefault="00B44E1D" w:rsidP="00224E82">
            <w:pPr>
              <w:pStyle w:val="TAC"/>
              <w:rPr>
                <w:i/>
                <w:iCs/>
                <w:lang w:val="fr-FR"/>
              </w:rPr>
            </w:pPr>
            <w:r>
              <w:rPr>
                <w:lang w:val="fr-FR"/>
              </w:rPr>
              <w:t>RSRP</w:t>
            </w:r>
            <w:r w:rsidRPr="00E5544B">
              <w:rPr>
                <w:vertAlign w:val="subscript"/>
                <w:lang w:val="fr-FR"/>
              </w:rPr>
              <w:t>2</w:t>
            </w:r>
          </w:p>
        </w:tc>
        <w:tc>
          <w:tcPr>
            <w:tcW w:w="7791" w:type="dxa"/>
          </w:tcPr>
          <w:p w14:paraId="00B3E78B" w14:textId="648F55E7" w:rsidR="00B44E1D" w:rsidRDefault="00B44E1D" w:rsidP="00224E82">
            <w:pPr>
              <w:pStyle w:val="TAC"/>
              <w:rPr>
                <w:i/>
                <w:iCs/>
                <w:lang w:val="fr-FR"/>
              </w:rPr>
            </w:pPr>
            <w:r>
              <w:rPr>
                <w:lang w:val="fr-FR"/>
              </w:rPr>
              <w:t xml:space="preserve">(T2 – </w:t>
            </w:r>
            <w:r w:rsidRPr="006F6A23">
              <w:rPr>
                <w:lang w:val="fr-FR"/>
              </w:rPr>
              <w:t>max</w:t>
            </w:r>
            <w:r>
              <w:rPr>
                <w:lang w:val="fr-FR"/>
              </w:rPr>
              <w:t>(</w:t>
            </w:r>
            <w:r w:rsidRPr="006F6A23">
              <w:rPr>
                <w:lang w:val="fr-FR"/>
              </w:rPr>
              <w:t>480ms, 8*</w:t>
            </w:r>
            <w:r>
              <w:rPr>
                <w:lang w:val="fr-FR"/>
              </w:rPr>
              <w:t>SMTC</w:t>
            </w:r>
            <w:r w:rsidRPr="006F6A23">
              <w:rPr>
                <w:lang w:val="fr-FR"/>
              </w:rPr>
              <w:t xml:space="preserve"> periodicity</w:t>
            </w:r>
            <w:r>
              <w:rPr>
                <w:lang w:val="fr-FR"/>
              </w:rPr>
              <w:t xml:space="preserve">)) </w:t>
            </w:r>
            <w:r>
              <w:rPr>
                <w:rFonts w:cs="Arial"/>
                <w:lang w:val="fr-FR"/>
              </w:rPr>
              <w:t>≤</w:t>
            </w:r>
            <w:r>
              <w:rPr>
                <w:lang w:val="fr-FR"/>
              </w:rPr>
              <w:t xml:space="preserve"> T2’ </w:t>
            </w:r>
            <w:r>
              <w:rPr>
                <w:rFonts w:cs="Arial"/>
                <w:lang w:val="fr-FR"/>
              </w:rPr>
              <w:t>≤ T2</w:t>
            </w:r>
          </w:p>
        </w:tc>
      </w:tr>
    </w:tbl>
    <w:p w14:paraId="29521F54" w14:textId="77777777" w:rsidR="00B44E1D" w:rsidRPr="000D13F6" w:rsidRDefault="00B44E1D" w:rsidP="00B44E1D">
      <w:pPr>
        <w:rPr>
          <w:lang w:val="fr-FR"/>
        </w:rPr>
      </w:pPr>
    </w:p>
    <w:p w14:paraId="4E88A60E" w14:textId="14251215" w:rsidR="00B44E1D" w:rsidRPr="00691C10" w:rsidRDefault="00B62092" w:rsidP="00B44E1D">
      <w:r w:rsidRPr="00691C10">
        <w:t xml:space="preserve">If at least one of </w:t>
      </w:r>
      <w:r w:rsidRPr="00691C10">
        <w:rPr>
          <w:iCs/>
        </w:rPr>
        <w:t>RSRP</w:t>
      </w:r>
      <w:r w:rsidRPr="00691C10">
        <w:rPr>
          <w:iCs/>
          <w:vertAlign w:val="subscript"/>
        </w:rPr>
        <w:t>1</w:t>
      </w:r>
      <w:r w:rsidRPr="00691C10">
        <w:rPr>
          <w:iCs/>
        </w:rPr>
        <w:t xml:space="preserve"> and RSRP</w:t>
      </w:r>
      <w:r w:rsidRPr="00691C10">
        <w:rPr>
          <w:iCs/>
          <w:vertAlign w:val="subscript"/>
        </w:rPr>
        <w:t>2</w:t>
      </w:r>
      <w:r w:rsidRPr="00691C10">
        <w:rPr>
          <w:iCs/>
        </w:rPr>
        <w:t xml:space="preserve"> </w:t>
      </w:r>
      <w:r w:rsidRPr="00691C10">
        <w:t>is considered to be invalid based on the above conditions</w:t>
      </w:r>
      <w:r>
        <w:t>,</w:t>
      </w:r>
      <w:r w:rsidRPr="00691C10">
        <w:t xml:space="preserve"> then the UE shall not validate the </w:t>
      </w:r>
      <w:r>
        <w:t>CG-SDT</w:t>
      </w:r>
      <w:r w:rsidRPr="00691C10">
        <w:t xml:space="preserve"> using </w:t>
      </w:r>
      <w:r w:rsidRPr="00691C10">
        <w:rPr>
          <w:iCs/>
        </w:rPr>
        <w:t>RSRP</w:t>
      </w:r>
      <w:r w:rsidRPr="00691C10">
        <w:rPr>
          <w:iCs/>
          <w:vertAlign w:val="subscript"/>
        </w:rPr>
        <w:t>1</w:t>
      </w:r>
      <w:r w:rsidRPr="00691C10">
        <w:rPr>
          <w:iCs/>
        </w:rPr>
        <w:t xml:space="preserve"> and RSRP</w:t>
      </w:r>
      <w:r w:rsidRPr="00691C10">
        <w:rPr>
          <w:iCs/>
          <w:vertAlign w:val="subscript"/>
        </w:rPr>
        <w:t>2</w:t>
      </w:r>
      <w:r w:rsidRPr="00691C10">
        <w:rPr>
          <w:iCs/>
        </w:rPr>
        <w:t xml:space="preserve"> </w:t>
      </w:r>
      <w:r w:rsidRPr="00691C10">
        <w:t xml:space="preserve">and shall not transmit using </w:t>
      </w:r>
      <w:r>
        <w:t>CG-SDT</w:t>
      </w:r>
      <w:r w:rsidRPr="00691C10">
        <w:t xml:space="preserve">. </w:t>
      </w:r>
      <w:r>
        <w:t>Additionally, for the initial CG-SDT transmission, the UE shall not transmit in an CG-SDT occasion that occurs more than 640</w:t>
      </w:r>
      <w:r w:rsidRPr="00B51E0F">
        <w:t xml:space="preserve"> ms</w:t>
      </w:r>
      <w:r>
        <w:t xml:space="preserve"> after T2.</w:t>
      </w:r>
    </w:p>
    <w:p w14:paraId="4FF164E7" w14:textId="22102BB4" w:rsidR="0020479F" w:rsidRPr="00691C10" w:rsidRDefault="0020479F" w:rsidP="0020479F">
      <w:pPr>
        <w:rPr>
          <w:iCs/>
        </w:rPr>
      </w:pPr>
      <w:r w:rsidRPr="00691C10">
        <w:rPr>
          <w:iCs/>
        </w:rPr>
        <w:t>Where</w:t>
      </w:r>
      <w:r>
        <w:rPr>
          <w:iCs/>
        </w:rPr>
        <w:t>:</w:t>
      </w:r>
    </w:p>
    <w:p w14:paraId="64BC9A38" w14:textId="77777777" w:rsidR="00046A8C" w:rsidRDefault="00046A8C" w:rsidP="00046A8C">
      <w:pPr>
        <w:pStyle w:val="B10"/>
        <w:rPr>
          <w:lang w:val="en-US"/>
        </w:rPr>
      </w:pPr>
      <w:r w:rsidRPr="00691C10">
        <w:rPr>
          <w:lang w:val="en-US"/>
        </w:rPr>
        <w:t>-</w:t>
      </w:r>
      <w:r w:rsidRPr="00691C10">
        <w:rPr>
          <w:lang w:val="en-US"/>
        </w:rPr>
        <w:tab/>
        <w:t xml:space="preserve">T1 is the time </w:t>
      </w:r>
      <w:r>
        <w:rPr>
          <w:lang w:val="en-US"/>
        </w:rPr>
        <w:t>when</w:t>
      </w:r>
    </w:p>
    <w:p w14:paraId="32754264" w14:textId="67CF909A" w:rsidR="00046A8C" w:rsidRDefault="00D25507" w:rsidP="00046A8C">
      <w:pPr>
        <w:pStyle w:val="B20"/>
        <w:rPr>
          <w:lang w:val="en-US" w:eastAsia="ko-KR"/>
        </w:rPr>
      </w:pPr>
      <w:r>
        <w:rPr>
          <w:lang w:val="en-US"/>
        </w:rPr>
        <w:t>-</w:t>
      </w:r>
      <w:r>
        <w:rPr>
          <w:lang w:val="en-US"/>
        </w:rPr>
        <w:tab/>
      </w:r>
      <w:r>
        <w:rPr>
          <w:i/>
          <w:lang w:val="en-US" w:eastAsia="ko-KR"/>
        </w:rPr>
        <w:t>RRCRelease</w:t>
      </w:r>
      <w:r>
        <w:rPr>
          <w:lang w:val="en-US" w:eastAsia="ko-KR"/>
        </w:rPr>
        <w:t xml:space="preserve"> with CG-SDT configuration (TS 38.331 [2]) is received, or</w:t>
      </w:r>
    </w:p>
    <w:p w14:paraId="369D3955" w14:textId="40748A37" w:rsidR="00615D13" w:rsidRPr="00691C10" w:rsidRDefault="00046A8C" w:rsidP="00046A8C">
      <w:pPr>
        <w:pStyle w:val="B20"/>
        <w:rPr>
          <w:lang w:val="en-US"/>
        </w:rPr>
      </w:pPr>
      <w:r>
        <w:rPr>
          <w:lang w:val="en-US" w:eastAsia="ko-KR"/>
        </w:rPr>
        <w:t>-</w:t>
      </w:r>
      <w:r w:rsidRPr="00691C10">
        <w:rPr>
          <w:lang w:val="en-US"/>
        </w:rPr>
        <w:tab/>
      </w:r>
      <w:r>
        <w:rPr>
          <w:lang w:val="en-US"/>
        </w:rPr>
        <w:t>the latest TA is received if TA is received while in RRC_INACITVE state.</w:t>
      </w:r>
    </w:p>
    <w:p w14:paraId="1EF1DD34" w14:textId="77777777" w:rsidR="0020479F" w:rsidRPr="00691C10" w:rsidRDefault="0020479F" w:rsidP="0020479F">
      <w:pPr>
        <w:pStyle w:val="B10"/>
        <w:rPr>
          <w:lang w:val="en-US"/>
        </w:rPr>
      </w:pPr>
      <w:r w:rsidRPr="00691C10">
        <w:rPr>
          <w:lang w:val="en-US"/>
        </w:rPr>
        <w:t>-</w:t>
      </w:r>
      <w:r w:rsidRPr="00691C10">
        <w:rPr>
          <w:lang w:val="en-US"/>
        </w:rPr>
        <w:tab/>
        <w:t>T1’ is the time when the UE has completed RSRP</w:t>
      </w:r>
      <w:r w:rsidRPr="00691C10">
        <w:rPr>
          <w:vertAlign w:val="subscript"/>
          <w:lang w:val="en-US"/>
        </w:rPr>
        <w:t>1</w:t>
      </w:r>
      <w:r>
        <w:rPr>
          <w:lang w:val="en-US"/>
        </w:rPr>
        <w:t>.</w:t>
      </w:r>
    </w:p>
    <w:p w14:paraId="0A360C2D" w14:textId="1575D304" w:rsidR="00615D13" w:rsidRPr="00691C10" w:rsidRDefault="00615D13" w:rsidP="00615D13">
      <w:pPr>
        <w:pStyle w:val="B10"/>
        <w:rPr>
          <w:lang w:val="en-US"/>
        </w:rPr>
      </w:pPr>
      <w:r w:rsidRPr="00691C10">
        <w:rPr>
          <w:lang w:val="en-US"/>
        </w:rPr>
        <w:t>-</w:t>
      </w:r>
      <w:r w:rsidRPr="00691C10">
        <w:rPr>
          <w:lang w:val="en-US"/>
        </w:rPr>
        <w:tab/>
        <w:t xml:space="preserve">T2 is the time when the UE </w:t>
      </w:r>
      <w:r>
        <w:rPr>
          <w:lang w:val="en-US"/>
        </w:rPr>
        <w:t>performs</w:t>
      </w:r>
      <w:r w:rsidRPr="00691C10">
        <w:rPr>
          <w:lang w:val="en-US"/>
        </w:rPr>
        <w:t xml:space="preserve"> TA validation </w:t>
      </w:r>
      <w:r>
        <w:rPr>
          <w:lang w:val="en-US"/>
        </w:rPr>
        <w:t xml:space="preserve">as </w:t>
      </w:r>
      <w:r w:rsidRPr="00691C10">
        <w:rPr>
          <w:lang w:val="en-US"/>
        </w:rPr>
        <w:t xml:space="preserve">defined in </w:t>
      </w:r>
      <w:r>
        <w:rPr>
          <w:lang w:val="en-US"/>
        </w:rPr>
        <w:t>clause 5.27.2</w:t>
      </w:r>
      <w:r w:rsidRPr="00691C10">
        <w:rPr>
          <w:lang w:val="en-US"/>
        </w:rPr>
        <w:t xml:space="preserve"> in </w:t>
      </w:r>
      <w:r>
        <w:rPr>
          <w:lang w:val="en-US"/>
        </w:rPr>
        <w:t>(</w:t>
      </w:r>
      <w:r w:rsidRPr="00691C10">
        <w:rPr>
          <w:lang w:val="en-US"/>
        </w:rPr>
        <w:t>TS 3</w:t>
      </w:r>
      <w:r>
        <w:rPr>
          <w:lang w:val="en-US"/>
        </w:rPr>
        <w:t>8</w:t>
      </w:r>
      <w:r w:rsidRPr="00691C10">
        <w:rPr>
          <w:lang w:val="en-US"/>
        </w:rPr>
        <w:t>.3</w:t>
      </w:r>
      <w:r>
        <w:rPr>
          <w:lang w:val="en-US"/>
        </w:rPr>
        <w:t>21 [7])</w:t>
      </w:r>
      <w:r w:rsidRPr="00691C10">
        <w:rPr>
          <w:lang w:val="en-US"/>
        </w:rPr>
        <w:t xml:space="preserve"> for transmission using </w:t>
      </w:r>
      <w:r>
        <w:rPr>
          <w:lang w:val="en-US"/>
        </w:rPr>
        <w:t>CG-SDT.</w:t>
      </w:r>
    </w:p>
    <w:p w14:paraId="3B952FB8" w14:textId="77777777" w:rsidR="0020479F" w:rsidRDefault="0020479F" w:rsidP="0020479F">
      <w:pPr>
        <w:pStyle w:val="B10"/>
        <w:rPr>
          <w:lang w:val="en-US"/>
        </w:rPr>
      </w:pPr>
      <w:r w:rsidRPr="00691C10">
        <w:rPr>
          <w:lang w:val="en-US"/>
        </w:rPr>
        <w:t>-</w:t>
      </w:r>
      <w:r w:rsidRPr="00691C10">
        <w:rPr>
          <w:lang w:val="en-US"/>
        </w:rPr>
        <w:tab/>
        <w:t>T2’ is the time when the UE has completed RSRP</w:t>
      </w:r>
      <w:r w:rsidRPr="00691C10">
        <w:rPr>
          <w:vertAlign w:val="subscript"/>
          <w:lang w:val="en-US"/>
        </w:rPr>
        <w:t>2</w:t>
      </w:r>
      <w:r>
        <w:rPr>
          <w:lang w:val="en-US"/>
        </w:rPr>
        <w:t>.</w:t>
      </w:r>
    </w:p>
    <w:p w14:paraId="6554690D" w14:textId="77777777" w:rsidR="0020479F" w:rsidRPr="00FE606C" w:rsidRDefault="0020479F" w:rsidP="0020479F">
      <w:pPr>
        <w:pStyle w:val="B10"/>
        <w:rPr>
          <w:lang w:val="en-US"/>
        </w:rPr>
      </w:pPr>
      <w:r w:rsidRPr="00FE606C">
        <w:rPr>
          <w:lang w:val="en-US"/>
        </w:rPr>
        <w:t>-</w:t>
      </w:r>
      <w:r w:rsidRPr="00FE606C">
        <w:rPr>
          <w:lang w:val="en-US"/>
        </w:rPr>
        <w:tab/>
        <w:t>T</w:t>
      </w:r>
      <w:r w:rsidRPr="00FE606C">
        <w:rPr>
          <w:vertAlign w:val="subscript"/>
          <w:lang w:val="en-US"/>
        </w:rPr>
        <w:t>DRX</w:t>
      </w:r>
      <w:r w:rsidRPr="00FE606C">
        <w:rPr>
          <w:lang w:val="en-US"/>
        </w:rPr>
        <w:t xml:space="preserve"> is the DRX cycle length in ms. </w:t>
      </w:r>
    </w:p>
    <w:p w14:paraId="724F154D" w14:textId="1698349B" w:rsidR="0020479F" w:rsidRDefault="0020479F" w:rsidP="0020479F">
      <w:pPr>
        <w:pStyle w:val="B10"/>
        <w:rPr>
          <w:lang w:val="en-US"/>
        </w:rPr>
      </w:pPr>
      <w:r w:rsidRPr="00FE606C">
        <w:rPr>
          <w:lang w:val="en-US"/>
        </w:rPr>
        <w:t>-</w:t>
      </w:r>
      <w:r w:rsidRPr="00FE606C">
        <w:rPr>
          <w:lang w:val="en-US"/>
        </w:rPr>
        <w:tab/>
        <w:t>M1 the scaling factor as defined in clause 4.2.2.2.</w:t>
      </w:r>
    </w:p>
    <w:p w14:paraId="61CAD4DB" w14:textId="16D696A0" w:rsidR="0020479F" w:rsidRDefault="0020479F" w:rsidP="0020479F">
      <w:pPr>
        <w:pStyle w:val="Heading3"/>
      </w:pPr>
      <w:r>
        <w:t>5.5.4</w:t>
      </w:r>
      <w:r w:rsidR="00340EC7">
        <w:tab/>
      </w:r>
      <w:r>
        <w:t>Scheduling restriction</w:t>
      </w:r>
    </w:p>
    <w:p w14:paraId="77F02A29" w14:textId="77777777" w:rsidR="0020479F" w:rsidRPr="00D72055" w:rsidRDefault="0020479F" w:rsidP="0020479F">
      <w:pPr>
        <w:pStyle w:val="Heading4"/>
      </w:pPr>
      <w:r w:rsidRPr="00D72055">
        <w:t>5.</w:t>
      </w:r>
      <w:r>
        <w:t>5</w:t>
      </w:r>
      <w:r w:rsidRPr="00D72055">
        <w:t>.4.1</w:t>
      </w:r>
      <w:r w:rsidRPr="00D72055">
        <w:tab/>
        <w:t>Scheduling availability of UE performing measurements in TDD bands on FR1</w:t>
      </w:r>
    </w:p>
    <w:p w14:paraId="538E51E4" w14:textId="77777777" w:rsidR="0020479F" w:rsidRPr="009C5807" w:rsidRDefault="0020479F" w:rsidP="0020479F">
      <w:r w:rsidRPr="009C5807">
        <w:t xml:space="preserve">When the UE performs intra-frequency measurements in a TDD band, the following restrictions apply due to SS-RSRP measurement </w:t>
      </w:r>
    </w:p>
    <w:p w14:paraId="15E8805B" w14:textId="77777777" w:rsidR="0020479F" w:rsidRPr="009C5807" w:rsidRDefault="0020479F" w:rsidP="0020479F">
      <w:pPr>
        <w:pStyle w:val="B10"/>
      </w:pPr>
      <w:r w:rsidRPr="009C5807">
        <w:rPr>
          <w:lang w:val="en-US"/>
        </w:rPr>
        <w:t>-</w:t>
      </w:r>
      <w:r w:rsidRPr="009C5807">
        <w:rPr>
          <w:lang w:val="en-US"/>
        </w:rPr>
        <w:tab/>
        <w:t xml:space="preserve">The UE is not expected to transmit PUCCH/PUSCH/SRS on SSB symbols to be measured, and on 1 data symbol before each consecutive SSB symbols </w:t>
      </w:r>
      <w:r w:rsidRPr="009C5807">
        <w:rPr>
          <w:lang w:val="en-US" w:eastAsia="zh-CN"/>
        </w:rPr>
        <w:t xml:space="preserve">to be measured </w:t>
      </w:r>
      <w:r w:rsidRPr="009C5807">
        <w:rPr>
          <w:lang w:val="en-US"/>
        </w:rPr>
        <w:t xml:space="preserve">and 1 data symbol after each consecutive SSB symbols </w:t>
      </w:r>
      <w:r w:rsidRPr="009C5807">
        <w:rPr>
          <w:lang w:val="en-US" w:eastAsia="zh-CN"/>
        </w:rPr>
        <w:t xml:space="preserve">to be measured </w:t>
      </w:r>
      <w:r w:rsidRPr="009C5807">
        <w:rPr>
          <w:lang w:val="en-US"/>
        </w:rPr>
        <w:t xml:space="preserve">within SMTC window duration. </w:t>
      </w:r>
    </w:p>
    <w:p w14:paraId="1390E573" w14:textId="77777777" w:rsidR="0020479F" w:rsidRPr="009C5807" w:rsidRDefault="0020479F" w:rsidP="0020479F">
      <w:r w:rsidRPr="009C5807">
        <w:t xml:space="preserve">When the UE performs intra-frequency measurements in a TDD band, the following restrictions apply due to </w:t>
      </w:r>
      <w:r w:rsidRPr="009C5807">
        <w:rPr>
          <w:lang w:val="en-US"/>
        </w:rPr>
        <w:t>SS-RSRQ</w:t>
      </w:r>
      <w:r w:rsidRPr="009C5807">
        <w:t xml:space="preserve"> measurement </w:t>
      </w:r>
    </w:p>
    <w:p w14:paraId="38BF1DB5" w14:textId="77777777" w:rsidR="0020479F" w:rsidRPr="009C5807" w:rsidRDefault="0020479F" w:rsidP="0020479F">
      <w:pPr>
        <w:pStyle w:val="B10"/>
      </w:pPr>
      <w:r w:rsidRPr="009C5807">
        <w:rPr>
          <w:lang w:val="en-US"/>
        </w:rPr>
        <w:t>-</w:t>
      </w:r>
      <w:r w:rsidRPr="009C5807">
        <w:rPr>
          <w:lang w:val="en-US"/>
        </w:rPr>
        <w:tab/>
        <w:t>The UE is not expected to transmit PUCCH/PUSCH/SRS on SSB symbols to be measured, RSSI measurement symbols, and on 1 data symbol before each consecutive SSB to be measured/RSSI symbols and 1 data symbol after each consecutive SSB to be measured/RSSI symbols within SMTC window duration.</w:t>
      </w:r>
    </w:p>
    <w:p w14:paraId="16E373AF" w14:textId="77777777" w:rsidR="0020479F" w:rsidRPr="00D72055" w:rsidRDefault="0020479F" w:rsidP="0020479F">
      <w:pPr>
        <w:pStyle w:val="Heading4"/>
      </w:pPr>
      <w:r w:rsidRPr="00D72055">
        <w:t>5.</w:t>
      </w:r>
      <w:r>
        <w:t>5</w:t>
      </w:r>
      <w:r w:rsidRPr="00D72055">
        <w:t>.4.</w:t>
      </w:r>
      <w:r>
        <w:t>2</w:t>
      </w:r>
      <w:r w:rsidRPr="00D72055">
        <w:tab/>
      </w:r>
      <w:r w:rsidRPr="009C5807">
        <w:t>Scheduling availability of UE performing measurements with a different subcarrier spacing than PDSCH/PDCCH on FR1</w:t>
      </w:r>
    </w:p>
    <w:p w14:paraId="2ED9CCA1" w14:textId="77777777" w:rsidR="0020479F" w:rsidRPr="009C5807" w:rsidRDefault="0020479F" w:rsidP="0020479F">
      <w:r w:rsidRPr="009C5807">
        <w:t xml:space="preserve">For UE which do not support </w:t>
      </w:r>
      <w:r w:rsidRPr="009C5807">
        <w:rPr>
          <w:i/>
        </w:rPr>
        <w:t xml:space="preserve">simultaneousRxDataSSB-DiffNumerology </w:t>
      </w:r>
      <w:r w:rsidRPr="009C5807">
        <w:t>[14] the following restrictions apply due to SS-RSRP/RSRQ measurement</w:t>
      </w:r>
    </w:p>
    <w:p w14:paraId="748BFDF9" w14:textId="77777777" w:rsidR="0020479F" w:rsidRPr="009C5807" w:rsidRDefault="0020479F" w:rsidP="0020479F">
      <w:pPr>
        <w:pStyle w:val="B10"/>
        <w:rPr>
          <w:lang w:eastAsia="zh-CN"/>
        </w:rPr>
      </w:pPr>
      <w:r w:rsidRPr="009C5807">
        <w:rPr>
          <w:lang w:val="en-US" w:eastAsia="zh-CN"/>
        </w:rPr>
        <w:t>-</w:t>
      </w:r>
      <w:r w:rsidRPr="009C5807">
        <w:rPr>
          <w:lang w:val="en-US" w:eastAsia="zh-CN"/>
        </w:rPr>
        <w:tab/>
        <w:t xml:space="preserve">If </w:t>
      </w:r>
      <w:r w:rsidRPr="009C5807">
        <w:rPr>
          <w:rFonts w:eastAsia="MS Mincho"/>
          <w:i/>
          <w:noProof/>
          <w:lang w:val="en-US" w:eastAsia="ja-JP"/>
        </w:rPr>
        <w:t>deriveSSB_IndexFromCell</w:t>
      </w:r>
      <w:r w:rsidRPr="009C5807">
        <w:rPr>
          <w:lang w:val="en-US" w:eastAsia="zh-CN"/>
        </w:rPr>
        <w:t xml:space="preserve"> is enabled the UE is not expected to transmit PUCCH/PUSCH/SRS or receive PDCCH/PDSCH on SSB symbols to be measured, and on 1 data symbol before each consecutive SSB symbols to be measured and 1 data symbol after each consecutive SSB symbols to be measured within SMTC window duration. </w:t>
      </w:r>
    </w:p>
    <w:p w14:paraId="399B3038" w14:textId="77777777" w:rsidR="0020479F" w:rsidRPr="009C5807" w:rsidRDefault="0020479F" w:rsidP="0020479F">
      <w:pPr>
        <w:pStyle w:val="B10"/>
        <w:rPr>
          <w:lang w:eastAsia="zh-CN"/>
        </w:rPr>
      </w:pPr>
      <w:r w:rsidRPr="009C5807">
        <w:rPr>
          <w:lang w:val="en-US" w:eastAsia="zh-CN"/>
        </w:rPr>
        <w:t>-</w:t>
      </w:r>
      <w:r w:rsidRPr="009C5807">
        <w:rPr>
          <w:lang w:val="en-US" w:eastAsia="zh-CN"/>
        </w:rPr>
        <w:tab/>
        <w:t xml:space="preserve">If </w:t>
      </w:r>
      <w:r w:rsidRPr="009C5807">
        <w:rPr>
          <w:rFonts w:eastAsia="MS Mincho"/>
          <w:i/>
          <w:noProof/>
          <w:lang w:val="en-US" w:eastAsia="ja-JP"/>
        </w:rPr>
        <w:t>deriveSSB_IndexFromCell</w:t>
      </w:r>
      <w:r w:rsidRPr="009C5807">
        <w:rPr>
          <w:lang w:val="en-US" w:eastAsia="zh-CN"/>
        </w:rPr>
        <w:t xml:space="preserve"> is </w:t>
      </w:r>
      <w:r w:rsidRPr="009C5807">
        <w:rPr>
          <w:lang w:val="en-US" w:eastAsia="ko-KR"/>
        </w:rPr>
        <w:t xml:space="preserve">not </w:t>
      </w:r>
      <w:r w:rsidRPr="009C5807">
        <w:rPr>
          <w:lang w:val="en-US" w:eastAsia="zh-CN"/>
        </w:rPr>
        <w:t xml:space="preserve">enabled the UE is not expected to transmit PUCCH/PUSCH/SRS or receive PDCCH/PDSCH on all symbols within SMTC window duration. </w:t>
      </w:r>
    </w:p>
    <w:p w14:paraId="1195AA71" w14:textId="77777777" w:rsidR="0020479F" w:rsidRPr="009C5807" w:rsidRDefault="0020479F" w:rsidP="0020479F">
      <w:pPr>
        <w:rPr>
          <w:rFonts w:eastAsia="MS Mincho"/>
          <w:lang w:eastAsia="ja-JP"/>
        </w:rPr>
      </w:pPr>
      <w:r w:rsidRPr="009C5807">
        <w:t xml:space="preserve">For UEs which do not support </w:t>
      </w:r>
      <w:r w:rsidRPr="009C5807">
        <w:rPr>
          <w:i/>
        </w:rPr>
        <w:t xml:space="preserve">simultaneousRxDataSSB-DiffNumerology </w:t>
      </w:r>
      <w:r w:rsidRPr="009C5807">
        <w:t xml:space="preserve">[14] the following restrictions apply due to </w:t>
      </w:r>
      <w:r>
        <w:t xml:space="preserve">measurement of </w:t>
      </w:r>
      <w:r>
        <w:rPr>
          <w:rFonts w:eastAsia="MS Mincho"/>
          <w:lang w:eastAsia="ja-JP"/>
        </w:rPr>
        <w:t>serving cell</w:t>
      </w:r>
      <w:r w:rsidRPr="009C5807">
        <w:rPr>
          <w:rFonts w:eastAsia="MS Mincho"/>
          <w:lang w:eastAsia="ja-JP"/>
        </w:rPr>
        <w:t>.</w:t>
      </w:r>
    </w:p>
    <w:p w14:paraId="35B85937" w14:textId="77777777" w:rsidR="0020479F" w:rsidRPr="008C6DE4" w:rsidRDefault="0020479F" w:rsidP="0020479F">
      <w:pPr>
        <w:pStyle w:val="B10"/>
        <w:rPr>
          <w:rFonts w:eastAsia="MS Mincho"/>
          <w:lang w:eastAsia="ja-JP"/>
        </w:rPr>
      </w:pPr>
      <w:r w:rsidRPr="008C6DE4">
        <w:rPr>
          <w:lang w:eastAsia="zh-CN"/>
        </w:rPr>
        <w:t>-</w:t>
      </w:r>
      <w:r w:rsidRPr="008C6DE4">
        <w:rPr>
          <w:lang w:eastAsia="zh-CN"/>
        </w:rPr>
        <w:tab/>
      </w:r>
      <w:r w:rsidRPr="008C6DE4">
        <w:rPr>
          <w:rFonts w:eastAsia="MS Mincho"/>
          <w:lang w:eastAsia="ja-JP"/>
        </w:rPr>
        <w:t>T</w:t>
      </w:r>
      <w:r w:rsidRPr="008C6DE4">
        <w:rPr>
          <w:lang w:eastAsia="zh-CN"/>
        </w:rPr>
        <w:t xml:space="preserve">he UE is not expected to transmit PUCCH/PUSCH/SRS or receive PDCCH/PDSCH/ on </w:t>
      </w:r>
      <w:r>
        <w:rPr>
          <w:lang w:eastAsia="zh-CN"/>
        </w:rPr>
        <w:t>SSB symbols of the serving cell</w:t>
      </w:r>
      <w:r w:rsidRPr="008C6DE4">
        <w:rPr>
          <w:rFonts w:eastAsia="MS Mincho"/>
          <w:lang w:eastAsia="ja-JP"/>
        </w:rPr>
        <w:t>.</w:t>
      </w:r>
    </w:p>
    <w:p w14:paraId="7C43543D" w14:textId="77777777" w:rsidR="0020479F" w:rsidRPr="00D72055" w:rsidRDefault="0020479F" w:rsidP="0020479F">
      <w:pPr>
        <w:pStyle w:val="Heading4"/>
      </w:pPr>
      <w:r w:rsidRPr="00D72055">
        <w:t>5.</w:t>
      </w:r>
      <w:r>
        <w:t>5</w:t>
      </w:r>
      <w:r w:rsidRPr="00D72055">
        <w:t>.4.</w:t>
      </w:r>
      <w:r>
        <w:t>3</w:t>
      </w:r>
      <w:r w:rsidRPr="00D72055">
        <w:tab/>
      </w:r>
      <w:r w:rsidRPr="009C5807">
        <w:t>Scheduling availability of UE performing measurements on FR</w:t>
      </w:r>
      <w:r>
        <w:t>2</w:t>
      </w:r>
    </w:p>
    <w:p w14:paraId="3E03B061" w14:textId="77777777" w:rsidR="0020479F" w:rsidRPr="009C5807" w:rsidRDefault="0020479F" w:rsidP="0020479F">
      <w:r w:rsidRPr="009C5807">
        <w:t>The following scheduling restriction applies due to SS-RSRP measurement on an FR2 intra-frequency cell</w:t>
      </w:r>
    </w:p>
    <w:p w14:paraId="2E925BC5" w14:textId="415D3E55" w:rsidR="0020479F" w:rsidRPr="009C5807" w:rsidRDefault="00340EC7" w:rsidP="0020479F">
      <w:pPr>
        <w:pStyle w:val="B10"/>
      </w:pPr>
      <w:r>
        <w:rPr>
          <w:lang w:val="en-US"/>
        </w:rPr>
        <w:t>-</w:t>
      </w:r>
      <w:r w:rsidR="0020479F" w:rsidRPr="009C5807">
        <w:rPr>
          <w:lang w:val="en-US"/>
        </w:rPr>
        <w:tab/>
        <w:t xml:space="preserve">The UE is not expected to transmit PUCCH/PUSCH/SRS or receive PDCCH/PDSCH on SSB symbols to be measured, and on 1 data symbol before each consecutive SSB symbols to be measured and 1 data symbol after each consecutive SSB symbols to be measured within SMTC window duration (The signaling </w:t>
      </w:r>
      <w:r w:rsidR="0020479F" w:rsidRPr="009C5807">
        <w:rPr>
          <w:rFonts w:eastAsia="MS Mincho"/>
          <w:i/>
          <w:noProof/>
          <w:lang w:val="en-US" w:eastAsia="ja-JP"/>
        </w:rPr>
        <w:t>deriveSSB_IndexFromCell</w:t>
      </w:r>
      <w:r w:rsidR="0020479F" w:rsidRPr="009C5807">
        <w:rPr>
          <w:lang w:val="en-US"/>
        </w:rPr>
        <w:t xml:space="preserve"> is always enabled for FR2). </w:t>
      </w:r>
    </w:p>
    <w:p w14:paraId="3FD768F0" w14:textId="77777777" w:rsidR="0020479F" w:rsidRPr="009C5807" w:rsidRDefault="0020479F" w:rsidP="0020479F">
      <w:pPr>
        <w:rPr>
          <w:lang w:val="en-US"/>
        </w:rPr>
      </w:pPr>
      <w:r w:rsidRPr="009C5807">
        <w:rPr>
          <w:lang w:val="en-US"/>
        </w:rPr>
        <w:t>The following scheduling restriction applies to SS-RSRQ measurement on an FR2 intra-frequency cell</w:t>
      </w:r>
    </w:p>
    <w:p w14:paraId="45E186E5" w14:textId="77777777" w:rsidR="0020479F" w:rsidRDefault="0020479F" w:rsidP="0020479F">
      <w:pPr>
        <w:pStyle w:val="B10"/>
        <w:rPr>
          <w:lang w:val="en-US"/>
        </w:rPr>
      </w:pPr>
      <w:r w:rsidRPr="009C5807">
        <w:rPr>
          <w:lang w:val="en-US"/>
        </w:rPr>
        <w:t>-</w:t>
      </w:r>
      <w:r w:rsidRPr="009C5807">
        <w:rPr>
          <w:lang w:val="en-US"/>
        </w:rPr>
        <w:tab/>
        <w:t>The UE is not expected to transmit PUCCH/PUSCH/SRS or receive PDCCH/PDSCH</w:t>
      </w:r>
      <w:r w:rsidRPr="009C5807">
        <w:rPr>
          <w:lang w:val="en-US" w:eastAsia="zh-CN"/>
        </w:rPr>
        <w:t>/</w:t>
      </w:r>
      <w:r w:rsidRPr="009C5807">
        <w:rPr>
          <w:lang w:val="en-US"/>
        </w:rPr>
        <w:t xml:space="preserve"> on SSB symbols to be measured, RSSI measurement symbols, and on 1 data symbol before each consecutive SSB to be measured/RSSI symbols and 1 data symbol after each consecutive SSB to be measured/RSSI symbols within SMTC window duration (The signaling </w:t>
      </w:r>
      <w:r w:rsidRPr="009C5807">
        <w:rPr>
          <w:rFonts w:eastAsia="MS Mincho"/>
          <w:i/>
          <w:noProof/>
          <w:lang w:val="en-US" w:eastAsia="ja-JP"/>
        </w:rPr>
        <w:t>deriveSSB_IndexFromCell</w:t>
      </w:r>
      <w:r w:rsidRPr="009C5807">
        <w:rPr>
          <w:i/>
          <w:iCs/>
          <w:lang w:val="en-US"/>
        </w:rPr>
        <w:t>c</w:t>
      </w:r>
      <w:r w:rsidRPr="009C5807">
        <w:rPr>
          <w:lang w:val="en-US"/>
        </w:rPr>
        <w:t xml:space="preserve"> is always enabled for FR2).</w:t>
      </w:r>
    </w:p>
    <w:p w14:paraId="7800D282" w14:textId="77777777" w:rsidR="0020479F" w:rsidRPr="009C5807" w:rsidRDefault="0020479F" w:rsidP="0020479F">
      <w:pPr>
        <w:rPr>
          <w:lang w:val="en-US"/>
        </w:rPr>
      </w:pPr>
      <w:r w:rsidRPr="009C5807">
        <w:rPr>
          <w:lang w:val="en-US"/>
        </w:rPr>
        <w:t xml:space="preserve">The following scheduling restriction applies to measurement on an FR2 </w:t>
      </w:r>
      <w:r>
        <w:rPr>
          <w:lang w:val="en-US"/>
        </w:rPr>
        <w:t>serving</w:t>
      </w:r>
      <w:r w:rsidRPr="009C5807">
        <w:rPr>
          <w:lang w:val="en-US"/>
        </w:rPr>
        <w:t xml:space="preserve"> cell</w:t>
      </w:r>
    </w:p>
    <w:p w14:paraId="5298C4D4" w14:textId="6C8A9368" w:rsidR="0020479F" w:rsidRDefault="0020479F" w:rsidP="0020479F">
      <w:pPr>
        <w:pStyle w:val="B10"/>
        <w:rPr>
          <w:rFonts w:eastAsia="MS Mincho"/>
          <w:lang w:eastAsia="ja-JP"/>
        </w:rPr>
      </w:pPr>
      <w:r w:rsidRPr="009C5807">
        <w:rPr>
          <w:lang w:val="en-US"/>
        </w:rPr>
        <w:t>-</w:t>
      </w:r>
      <w:r w:rsidRPr="009C5807">
        <w:rPr>
          <w:lang w:val="en-US"/>
        </w:rPr>
        <w:tab/>
      </w:r>
      <w:r w:rsidRPr="007B0BFB">
        <w:rPr>
          <w:lang w:val="en-US"/>
        </w:rPr>
        <w:t xml:space="preserve">The UE is not expected to transmit PUCCH/PUSCH/SRS or receive PDCCH/PDSCH/ on </w:t>
      </w:r>
      <w:r>
        <w:rPr>
          <w:lang w:eastAsia="zh-CN"/>
        </w:rPr>
        <w:t>SSB symbols of the serving cell</w:t>
      </w:r>
      <w:r w:rsidRPr="008C6DE4">
        <w:rPr>
          <w:rFonts w:eastAsia="MS Mincho"/>
          <w:lang w:eastAsia="ja-JP"/>
        </w:rPr>
        <w:t>.</w:t>
      </w:r>
    </w:p>
    <w:p w14:paraId="2436C9C8" w14:textId="77777777" w:rsidR="007867D4" w:rsidRPr="00355FED" w:rsidRDefault="007867D4" w:rsidP="007867D4">
      <w:pPr>
        <w:pStyle w:val="Heading3"/>
      </w:pPr>
      <w:r>
        <w:t>5.5.5</w:t>
      </w:r>
      <w:r>
        <w:tab/>
        <w:t>Applicability conditions for SDT</w:t>
      </w:r>
    </w:p>
    <w:p w14:paraId="18148270" w14:textId="16E4CC0E" w:rsidR="00B44E1D" w:rsidRDefault="00B44E1D" w:rsidP="00B44E1D">
      <w:r>
        <w:t>The UE is not required to meet the following measurement requirements during subsequent SDT transmissions:</w:t>
      </w:r>
    </w:p>
    <w:p w14:paraId="65DCD45B" w14:textId="4D0ADC31" w:rsidR="00B44E1D" w:rsidRPr="00AD223C" w:rsidRDefault="00B44E1D" w:rsidP="00B44E1D">
      <w:pPr>
        <w:pStyle w:val="B10"/>
      </w:pPr>
      <w:r>
        <w:t>-</w:t>
      </w:r>
      <w:r>
        <w:tab/>
      </w:r>
      <w:r w:rsidRPr="00AD223C">
        <w:t xml:space="preserve">Measurements of inter-frequency NR cells in clause 5.1.2.4 </w:t>
      </w:r>
    </w:p>
    <w:p w14:paraId="7207ADFD" w14:textId="77777777" w:rsidR="008C5C10" w:rsidRDefault="008C5C10" w:rsidP="008C5C10">
      <w:pPr>
        <w:pStyle w:val="B10"/>
      </w:pPr>
      <w:r>
        <w:t>-</w:t>
      </w:r>
      <w:r>
        <w:tab/>
      </w:r>
      <w:r w:rsidRPr="00603F12">
        <w:t>Measurements of inter-RAT E-UTRAN cells in clause 5.1.2.5</w:t>
      </w:r>
    </w:p>
    <w:p w14:paraId="2BAAC8F5" w14:textId="7AFE88B5" w:rsidR="008C5C10" w:rsidRPr="00BD7ADC" w:rsidRDefault="008C5C10" w:rsidP="008C5C10">
      <w:pPr>
        <w:pStyle w:val="B10"/>
      </w:pPr>
      <w:r>
        <w:t>-</w:t>
      </w:r>
      <w:r>
        <w:tab/>
      </w:r>
      <w:r w:rsidRPr="00BD7ADC">
        <w:t>Idle Mode CA/DC Measurements</w:t>
      </w:r>
      <w:r w:rsidRPr="00603F12">
        <w:t xml:space="preserve"> in clause 5.</w:t>
      </w:r>
      <w:r>
        <w:t>4</w:t>
      </w:r>
    </w:p>
    <w:p w14:paraId="7454482E" w14:textId="0F8DDC23" w:rsidR="007867D4" w:rsidRPr="00603F12" w:rsidRDefault="00B44E1D" w:rsidP="00B44E1D">
      <w:r w:rsidRPr="00C56ABF">
        <w:t>The UE is allowed to delay the reception of PRS resources on the positioning frequency layer until the SDT session is completed if the measurement using PRS resource overlaps with the SDT resources.</w:t>
      </w:r>
    </w:p>
    <w:p w14:paraId="1B45F0B3" w14:textId="77777777" w:rsidR="007867D4" w:rsidRPr="000D3EF8" w:rsidRDefault="007867D4" w:rsidP="007867D4">
      <w:pPr>
        <w:rPr>
          <w:lang w:eastAsia="ja-JP"/>
        </w:rPr>
      </w:pPr>
    </w:p>
    <w:p w14:paraId="6473F283" w14:textId="77777777" w:rsidR="00CD7933" w:rsidRPr="007222AA" w:rsidRDefault="00CD7933" w:rsidP="00CD7933">
      <w:pPr>
        <w:pStyle w:val="Heading2"/>
      </w:pPr>
      <w:r>
        <w:t>5</w:t>
      </w:r>
      <w:r w:rsidRPr="007222AA">
        <w:t>.</w:t>
      </w:r>
      <w:r>
        <w:t>6</w:t>
      </w:r>
      <w:r w:rsidRPr="007222AA">
        <w:tab/>
        <w:t>NR measurements for positioning</w:t>
      </w:r>
    </w:p>
    <w:p w14:paraId="4F2B68F3" w14:textId="77777777" w:rsidR="00CD7933" w:rsidRDefault="00CD7933" w:rsidP="00CD7933">
      <w:pPr>
        <w:pStyle w:val="Heading3"/>
      </w:pPr>
      <w:r>
        <w:t>5</w:t>
      </w:r>
      <w:r w:rsidRPr="007222AA">
        <w:t>.</w:t>
      </w:r>
      <w:r>
        <w:t>6</w:t>
      </w:r>
      <w:r w:rsidRPr="007222AA">
        <w:t>.1</w:t>
      </w:r>
      <w:r w:rsidRPr="007222AA">
        <w:tab/>
        <w:t>Introduction</w:t>
      </w:r>
    </w:p>
    <w:p w14:paraId="0A63CAFD" w14:textId="2F84D5DF" w:rsidR="00BC4BA9" w:rsidRDefault="00BC4BA9" w:rsidP="00BC4BA9">
      <w:pPr>
        <w:rPr>
          <w:lang w:eastAsia="zh-CN"/>
        </w:rPr>
      </w:pPr>
      <w:r>
        <w:t xml:space="preserve">This clause contains requirements for UE capable of performing NR positioning measurements </w:t>
      </w:r>
      <w:r>
        <w:rPr>
          <w:rFonts w:cs="v4.2.0"/>
          <w:lang w:eastAsia="ko-KR"/>
        </w:rPr>
        <w:t>defined in TS 38.215 [4]</w:t>
      </w:r>
      <w:r>
        <w:t>, including RSTD, PRS-RSRP, UE Rx-Tx time difference and PRS-RSRPP, in RRC_INACTIVE state</w:t>
      </w:r>
      <w:r>
        <w:rPr>
          <w:lang w:eastAsia="zh-CN"/>
        </w:rPr>
        <w:t>.</w:t>
      </w:r>
    </w:p>
    <w:p w14:paraId="43C322CE" w14:textId="4140DBA5" w:rsidR="00BC4BA9" w:rsidRDefault="00EF4F41" w:rsidP="001C335C">
      <w:r w:rsidRPr="00625CDA">
        <w:t xml:space="preserve">The requirements in clauses 5.6.2, 5.6.3, 5.6.4 and 5.6.5 are applicable to PRS resources that </w:t>
      </w:r>
      <w:r w:rsidRPr="00625CDA">
        <w:rPr>
          <w:rFonts w:hint="eastAsia"/>
          <w:lang w:eastAsia="zh-CN"/>
        </w:rPr>
        <w:t>do</w:t>
      </w:r>
      <w:r w:rsidRPr="00625CDA">
        <w:t xml:space="preserve"> not </w:t>
      </w:r>
      <w:r w:rsidRPr="00625CDA">
        <w:rPr>
          <w:rFonts w:hint="eastAsia"/>
          <w:lang w:eastAsia="zh-CN"/>
        </w:rPr>
        <w:t>collide</w:t>
      </w:r>
      <w:r w:rsidRPr="00625CDA">
        <w:t xml:space="preserve"> with other DL signals/channels which include SSB, SIB1, CORESET0, MSG2/MSGB, paging and DL SDT</w:t>
      </w:r>
      <w:r>
        <w:t xml:space="preserve">. In addition, a UE is not expected to receive PRS resources that collide with a time interval starting at symbol </w:t>
      </w:r>
      <w:r w:rsidRPr="00852705">
        <w:rPr>
          <w:i/>
        </w:rPr>
        <w:t>m</w:t>
      </w:r>
      <w:r>
        <w:t xml:space="preserve"> and ending at symbol </w:t>
      </w:r>
      <w:r w:rsidRPr="00852705">
        <w:rPr>
          <w:i/>
        </w:rPr>
        <w:t>m</w:t>
      </w:r>
      <w:r>
        <w:rPr>
          <w:i/>
        </w:rPr>
        <w:t xml:space="preserve"> </w:t>
      </w:r>
      <w:r w:rsidRPr="00852705">
        <w:rPr>
          <w:i/>
        </w:rPr>
        <w:t>+</w:t>
      </w:r>
      <w:r>
        <w:rPr>
          <w:i/>
        </w:rPr>
        <w:t xml:space="preserve"> </w:t>
      </w:r>
      <w:r w:rsidRPr="00317509">
        <w:rPr>
          <w:i/>
        </w:rPr>
        <w:t>N</w:t>
      </w:r>
      <w:r w:rsidRPr="00317509">
        <w:rPr>
          <w:i/>
          <w:vertAlign w:val="subscript"/>
        </w:rPr>
        <w:t>2</w:t>
      </w:r>
      <w:r>
        <w:t xml:space="preserve">, where symbol </w:t>
      </w:r>
      <w:r w:rsidRPr="00317509">
        <w:rPr>
          <w:i/>
        </w:rPr>
        <w:t>m</w:t>
      </w:r>
      <w:r>
        <w:t xml:space="preserve"> is the last symbol in which the UE is configured to receive PDCCH and </w:t>
      </w:r>
      <w:r w:rsidRPr="00317509">
        <w:rPr>
          <w:i/>
        </w:rPr>
        <w:t>N</w:t>
      </w:r>
      <w:r w:rsidRPr="00317509">
        <w:rPr>
          <w:i/>
          <w:vertAlign w:val="subscript"/>
        </w:rPr>
        <w:t>2</w:t>
      </w:r>
      <w:r>
        <w:t xml:space="preserve"> is</w:t>
      </w:r>
      <w:r w:rsidRPr="00625CDA">
        <w:t xml:space="preserve"> defined in clause 6.4 </w:t>
      </w:r>
      <w:r>
        <w:t xml:space="preserve">of [26, TS 38.214] </w:t>
      </w:r>
      <w:r w:rsidRPr="00625CDA">
        <w:t>for the subcarrier spacing μ of the DL PRS.</w:t>
      </w:r>
    </w:p>
    <w:p w14:paraId="37C3044C" w14:textId="7CE10AA3" w:rsidR="00BC4BA9" w:rsidRDefault="00BC4BA9" w:rsidP="001C335C">
      <w:pPr>
        <w:rPr>
          <w:lang w:eastAsia="zh-CN"/>
        </w:rPr>
      </w:pPr>
      <w:r>
        <w:t xml:space="preserve">If a PRS resource is outside the intitial DL BWP, a PRS resource </w:t>
      </w:r>
      <w:r w:rsidRPr="007754A4">
        <w:t>instance</w:t>
      </w:r>
      <w:r>
        <w:t xml:space="preserve"> collides with </w:t>
      </w:r>
      <w:r w:rsidRPr="007754A4">
        <w:t>an</w:t>
      </w:r>
      <w:r>
        <w:t>other DL signals/channel</w:t>
      </w:r>
      <w:r w:rsidRPr="00B22707">
        <w:rPr>
          <w:strike/>
        </w:rPr>
        <w:t>s</w:t>
      </w:r>
      <w:r>
        <w:t xml:space="preserve"> if any portion of the other DL signal/channel overlaps with the time interval starting X symbols before the PRS instance and ending X symbols after the PRS instance, taking into account </w:t>
      </w:r>
      <w:r>
        <w:rPr>
          <w:rFonts w:ascii="TimesNewRomanPS" w:hAnsi="TimesNewRomanPS"/>
          <w:i/>
          <w:iCs/>
        </w:rPr>
        <w:t xml:space="preserve">nr-DL- PRS-ExpectedRSTD-Uncertainty </w:t>
      </w:r>
      <w:r>
        <w:t xml:space="preserve">and </w:t>
      </w:r>
      <w:r>
        <w:rPr>
          <w:rFonts w:ascii="TimesNewRomanPS" w:hAnsi="TimesNewRomanPS"/>
          <w:i/>
          <w:iCs/>
        </w:rPr>
        <w:t>nr-DL-PRS-ExpectedRSTD.</w:t>
      </w:r>
      <w:r>
        <w:rPr>
          <w:lang w:val="en-US" w:eastAsia="zh-CN"/>
        </w:rPr>
        <w:t xml:space="preserve"> </w:t>
      </w:r>
      <w:r>
        <w:rPr>
          <w:lang w:eastAsia="zh-CN"/>
        </w:rPr>
        <w:t xml:space="preserve">Where X is defined in Table </w:t>
      </w:r>
      <w:bookmarkStart w:id="72" w:name="_Hlk97312717"/>
      <w:r>
        <w:rPr>
          <w:lang w:eastAsia="zh-CN"/>
        </w:rPr>
        <w:t>5.6.1-</w:t>
      </w:r>
      <w:bookmarkEnd w:id="72"/>
      <w:r>
        <w:rPr>
          <w:lang w:eastAsia="zh-CN"/>
        </w:rPr>
        <w:t>1.</w:t>
      </w:r>
    </w:p>
    <w:p w14:paraId="1C1CB5BC" w14:textId="77777777" w:rsidR="00CD7933" w:rsidRPr="00D12EA3" w:rsidRDefault="00CD7933" w:rsidP="00CD7933">
      <w:pPr>
        <w:pStyle w:val="TH"/>
        <w:rPr>
          <w:lang w:eastAsia="zh-CN"/>
        </w:rPr>
      </w:pPr>
      <w:r w:rsidRPr="00D12EA3">
        <w:t xml:space="preserve">Table </w:t>
      </w:r>
      <w:r w:rsidRPr="00D12EA3">
        <w:rPr>
          <w:lang w:eastAsia="zh-CN"/>
        </w:rPr>
        <w:t>5</w:t>
      </w:r>
      <w:r>
        <w:rPr>
          <w:lang w:eastAsia="zh-CN"/>
        </w:rPr>
        <w:t>.6</w:t>
      </w:r>
      <w:r w:rsidRPr="00D12EA3">
        <w:rPr>
          <w:lang w:eastAsia="zh-CN"/>
        </w:rPr>
        <w:t>.1</w:t>
      </w:r>
      <w:r w:rsidRPr="00D12EA3">
        <w:t>-1:</w:t>
      </w:r>
      <w:r>
        <w:t xml:space="preserve"> Value of X number of symbols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852"/>
        <w:gridCol w:w="2686"/>
        <w:gridCol w:w="1277"/>
      </w:tblGrid>
      <w:tr w:rsidR="00CD7933" w14:paraId="2523487B" w14:textId="77777777" w:rsidTr="003305AC">
        <w:trPr>
          <w:trHeight w:val="140"/>
          <w:jc w:val="center"/>
        </w:trPr>
        <w:tc>
          <w:tcPr>
            <w:tcW w:w="852" w:type="dxa"/>
            <w:tcBorders>
              <w:top w:val="single" w:sz="4" w:space="0" w:color="auto"/>
              <w:left w:val="single" w:sz="4" w:space="0" w:color="auto"/>
              <w:bottom w:val="nil"/>
              <w:right w:val="single" w:sz="4" w:space="0" w:color="auto"/>
            </w:tcBorders>
            <w:hideMark/>
          </w:tcPr>
          <w:p w14:paraId="1474A63F" w14:textId="77777777" w:rsidR="00CD7933" w:rsidRDefault="00CD7933" w:rsidP="00340EC7">
            <w:pPr>
              <w:pStyle w:val="TAH"/>
              <w:rPr>
                <w:noProof/>
                <w:lang w:val="en-US" w:eastAsia="zh-CN"/>
              </w:rPr>
            </w:pPr>
            <w:r>
              <w:rPr>
                <w:noProof/>
                <w:lang w:val="en-US" w:eastAsia="zh-CN"/>
              </w:rPr>
              <w:t>FR</w:t>
            </w:r>
          </w:p>
        </w:tc>
        <w:tc>
          <w:tcPr>
            <w:tcW w:w="852" w:type="dxa"/>
            <w:tcBorders>
              <w:top w:val="single" w:sz="4" w:space="0" w:color="auto"/>
              <w:left w:val="single" w:sz="4" w:space="0" w:color="auto"/>
              <w:bottom w:val="nil"/>
              <w:right w:val="single" w:sz="4" w:space="0" w:color="auto"/>
            </w:tcBorders>
            <w:vAlign w:val="center"/>
            <w:hideMark/>
          </w:tcPr>
          <w:p w14:paraId="5A1A7429" w14:textId="77777777" w:rsidR="00CD7933" w:rsidRDefault="00CD7933" w:rsidP="00340EC7">
            <w:pPr>
              <w:pStyle w:val="TAH"/>
            </w:pPr>
            <w:r>
              <w:rPr>
                <w:noProof/>
                <w:lang w:val="en-US" w:eastAsia="zh-CN"/>
              </w:rPr>
              <w:drawing>
                <wp:inline distT="0" distB="0" distL="0" distR="0" wp14:anchorId="5BE5940A" wp14:editId="116D31C8">
                  <wp:extent cx="149860" cy="149860"/>
                  <wp:effectExtent l="0" t="0" r="2540" b="2540"/>
                  <wp:docPr id="2753" name="Picture 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tc>
        <w:tc>
          <w:tcPr>
            <w:tcW w:w="2686" w:type="dxa"/>
            <w:vMerge w:val="restart"/>
            <w:tcBorders>
              <w:top w:val="single" w:sz="4" w:space="0" w:color="auto"/>
              <w:left w:val="single" w:sz="4" w:space="0" w:color="auto"/>
              <w:bottom w:val="single" w:sz="4" w:space="0" w:color="auto"/>
              <w:right w:val="single" w:sz="4" w:space="0" w:color="auto"/>
            </w:tcBorders>
            <w:hideMark/>
          </w:tcPr>
          <w:p w14:paraId="43E7285A" w14:textId="77777777" w:rsidR="00CD7933" w:rsidRDefault="00CD7933" w:rsidP="00340EC7">
            <w:pPr>
              <w:pStyle w:val="TAH"/>
            </w:pPr>
            <w:r>
              <w:t xml:space="preserve">NR Slot </w:t>
            </w:r>
          </w:p>
          <w:p w14:paraId="1603EE46" w14:textId="77777777" w:rsidR="00CD7933" w:rsidRDefault="00CD7933" w:rsidP="00340EC7">
            <w:pPr>
              <w:pStyle w:val="TAH"/>
            </w:pPr>
            <w:r>
              <w:t>length (ms)</w:t>
            </w:r>
          </w:p>
        </w:tc>
        <w:tc>
          <w:tcPr>
            <w:tcW w:w="1277" w:type="dxa"/>
            <w:vMerge w:val="restart"/>
            <w:tcBorders>
              <w:top w:val="single" w:sz="4" w:space="0" w:color="auto"/>
              <w:left w:val="single" w:sz="4" w:space="0" w:color="auto"/>
              <w:bottom w:val="single" w:sz="4" w:space="0" w:color="auto"/>
              <w:right w:val="single" w:sz="4" w:space="0" w:color="auto"/>
            </w:tcBorders>
            <w:hideMark/>
          </w:tcPr>
          <w:p w14:paraId="2FD8A449" w14:textId="77777777" w:rsidR="00CD7933" w:rsidRDefault="00CD7933" w:rsidP="00340EC7">
            <w:pPr>
              <w:pStyle w:val="TAH"/>
            </w:pPr>
            <w:r>
              <w:t>X symbols</w:t>
            </w:r>
          </w:p>
        </w:tc>
      </w:tr>
      <w:tr w:rsidR="00CD7933" w14:paraId="22498F7F" w14:textId="77777777" w:rsidTr="003305AC">
        <w:trPr>
          <w:trHeight w:val="140"/>
          <w:jc w:val="center"/>
        </w:trPr>
        <w:tc>
          <w:tcPr>
            <w:tcW w:w="0" w:type="auto"/>
            <w:tcBorders>
              <w:top w:val="nil"/>
              <w:left w:val="single" w:sz="4" w:space="0" w:color="auto"/>
              <w:bottom w:val="single" w:sz="4" w:space="0" w:color="auto"/>
              <w:right w:val="single" w:sz="4" w:space="0" w:color="auto"/>
            </w:tcBorders>
          </w:tcPr>
          <w:p w14:paraId="55A066DB" w14:textId="77777777" w:rsidR="00CD7933" w:rsidRDefault="00CD7933" w:rsidP="00340EC7">
            <w:pPr>
              <w:pStyle w:val="TAH"/>
            </w:pPr>
          </w:p>
        </w:tc>
        <w:tc>
          <w:tcPr>
            <w:tcW w:w="0" w:type="auto"/>
            <w:tcBorders>
              <w:top w:val="nil"/>
              <w:left w:val="single" w:sz="4" w:space="0" w:color="auto"/>
              <w:bottom w:val="single" w:sz="4" w:space="0" w:color="auto"/>
              <w:right w:val="single" w:sz="4" w:space="0" w:color="auto"/>
            </w:tcBorders>
            <w:vAlign w:val="center"/>
            <w:hideMark/>
          </w:tcPr>
          <w:p w14:paraId="0596C70A" w14:textId="77777777" w:rsidR="00CD7933" w:rsidRDefault="00CD7933" w:rsidP="00340EC7">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5E7831" w14:textId="77777777" w:rsidR="00CD7933" w:rsidRDefault="00CD7933" w:rsidP="003305AC">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35B410" w14:textId="77777777" w:rsidR="00CD7933" w:rsidRDefault="00CD7933" w:rsidP="003305AC">
            <w:pPr>
              <w:spacing w:after="0"/>
              <w:rPr>
                <w:rFonts w:ascii="Arial" w:hAnsi="Arial"/>
                <w:b/>
                <w:sz w:val="18"/>
              </w:rPr>
            </w:pPr>
          </w:p>
        </w:tc>
      </w:tr>
      <w:tr w:rsidR="00CD7933" w14:paraId="3EC4CCC7" w14:textId="77777777" w:rsidTr="003305AC">
        <w:trPr>
          <w:jc w:val="center"/>
        </w:trPr>
        <w:tc>
          <w:tcPr>
            <w:tcW w:w="852" w:type="dxa"/>
            <w:vMerge w:val="restart"/>
            <w:tcBorders>
              <w:top w:val="single" w:sz="4" w:space="0" w:color="auto"/>
              <w:left w:val="single" w:sz="4" w:space="0" w:color="auto"/>
              <w:bottom w:val="single" w:sz="4" w:space="0" w:color="auto"/>
              <w:right w:val="single" w:sz="4" w:space="0" w:color="auto"/>
            </w:tcBorders>
            <w:hideMark/>
          </w:tcPr>
          <w:p w14:paraId="7B12D220" w14:textId="77777777" w:rsidR="00CD7933" w:rsidRDefault="00CD7933" w:rsidP="00340EC7">
            <w:pPr>
              <w:pStyle w:val="TAC"/>
              <w:rPr>
                <w:lang w:eastAsia="zh-CN"/>
              </w:rPr>
            </w:pPr>
            <w:r>
              <w:rPr>
                <w:lang w:eastAsia="zh-CN"/>
              </w:rPr>
              <w:t>FR1</w:t>
            </w:r>
          </w:p>
        </w:tc>
        <w:tc>
          <w:tcPr>
            <w:tcW w:w="852" w:type="dxa"/>
            <w:tcBorders>
              <w:top w:val="single" w:sz="4" w:space="0" w:color="auto"/>
              <w:left w:val="single" w:sz="4" w:space="0" w:color="auto"/>
              <w:bottom w:val="single" w:sz="4" w:space="0" w:color="auto"/>
              <w:right w:val="single" w:sz="4" w:space="0" w:color="auto"/>
            </w:tcBorders>
            <w:hideMark/>
          </w:tcPr>
          <w:p w14:paraId="1C141169" w14:textId="77777777" w:rsidR="00CD7933" w:rsidRDefault="00CD7933" w:rsidP="00340EC7">
            <w:pPr>
              <w:pStyle w:val="TAC"/>
            </w:pPr>
            <w:r>
              <w:t>0</w:t>
            </w:r>
          </w:p>
        </w:tc>
        <w:tc>
          <w:tcPr>
            <w:tcW w:w="2686" w:type="dxa"/>
            <w:tcBorders>
              <w:top w:val="single" w:sz="4" w:space="0" w:color="auto"/>
              <w:left w:val="single" w:sz="4" w:space="0" w:color="auto"/>
              <w:bottom w:val="single" w:sz="4" w:space="0" w:color="auto"/>
              <w:right w:val="single" w:sz="4" w:space="0" w:color="auto"/>
            </w:tcBorders>
            <w:hideMark/>
          </w:tcPr>
          <w:p w14:paraId="48EC9F51" w14:textId="77777777" w:rsidR="00CD7933" w:rsidRDefault="00CD7933" w:rsidP="00340EC7">
            <w:pPr>
              <w:pStyle w:val="TAC"/>
            </w:pPr>
            <w:r>
              <w:t>1</w:t>
            </w:r>
          </w:p>
        </w:tc>
        <w:tc>
          <w:tcPr>
            <w:tcW w:w="1277" w:type="dxa"/>
            <w:tcBorders>
              <w:top w:val="single" w:sz="4" w:space="0" w:color="auto"/>
              <w:left w:val="single" w:sz="4" w:space="0" w:color="auto"/>
              <w:bottom w:val="single" w:sz="4" w:space="0" w:color="auto"/>
              <w:right w:val="single" w:sz="4" w:space="0" w:color="auto"/>
            </w:tcBorders>
            <w:hideMark/>
          </w:tcPr>
          <w:p w14:paraId="38A8CCC7" w14:textId="77777777" w:rsidR="00CD7933" w:rsidRDefault="00CD7933" w:rsidP="00340EC7">
            <w:pPr>
              <w:pStyle w:val="TAC"/>
              <w:rPr>
                <w:lang w:eastAsia="zh-CN"/>
              </w:rPr>
            </w:pPr>
            <w:r>
              <w:rPr>
                <w:lang w:eastAsia="zh-CN"/>
              </w:rPr>
              <w:t>7</w:t>
            </w:r>
          </w:p>
        </w:tc>
      </w:tr>
      <w:tr w:rsidR="00CD7933" w14:paraId="2E6268AF" w14:textId="77777777" w:rsidTr="003305AC">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F0CA02" w14:textId="77777777" w:rsidR="00CD7933" w:rsidRDefault="00CD7933" w:rsidP="00340EC7">
            <w:pPr>
              <w:pStyle w:val="TAC"/>
              <w:rPr>
                <w:lang w:eastAsia="zh-CN"/>
              </w:rPr>
            </w:pPr>
          </w:p>
        </w:tc>
        <w:tc>
          <w:tcPr>
            <w:tcW w:w="852" w:type="dxa"/>
            <w:tcBorders>
              <w:top w:val="single" w:sz="4" w:space="0" w:color="auto"/>
              <w:left w:val="single" w:sz="4" w:space="0" w:color="auto"/>
              <w:bottom w:val="single" w:sz="4" w:space="0" w:color="auto"/>
              <w:right w:val="single" w:sz="4" w:space="0" w:color="auto"/>
            </w:tcBorders>
            <w:hideMark/>
          </w:tcPr>
          <w:p w14:paraId="16826ECB" w14:textId="77777777" w:rsidR="00CD7933" w:rsidRDefault="00CD7933" w:rsidP="00340EC7">
            <w:pPr>
              <w:pStyle w:val="TAC"/>
            </w:pPr>
            <w:r>
              <w:t>1</w:t>
            </w:r>
          </w:p>
        </w:tc>
        <w:tc>
          <w:tcPr>
            <w:tcW w:w="2686" w:type="dxa"/>
            <w:tcBorders>
              <w:top w:val="single" w:sz="4" w:space="0" w:color="auto"/>
              <w:left w:val="single" w:sz="4" w:space="0" w:color="auto"/>
              <w:bottom w:val="single" w:sz="4" w:space="0" w:color="auto"/>
              <w:right w:val="single" w:sz="4" w:space="0" w:color="auto"/>
            </w:tcBorders>
            <w:hideMark/>
          </w:tcPr>
          <w:p w14:paraId="24E120D6" w14:textId="77777777" w:rsidR="00CD7933" w:rsidRDefault="00CD7933" w:rsidP="00340EC7">
            <w:pPr>
              <w:pStyle w:val="TAC"/>
            </w:pPr>
            <w:r>
              <w:t>0.5</w:t>
            </w:r>
          </w:p>
        </w:tc>
        <w:tc>
          <w:tcPr>
            <w:tcW w:w="1277" w:type="dxa"/>
            <w:tcBorders>
              <w:top w:val="single" w:sz="4" w:space="0" w:color="auto"/>
              <w:left w:val="single" w:sz="4" w:space="0" w:color="auto"/>
              <w:bottom w:val="single" w:sz="4" w:space="0" w:color="auto"/>
              <w:right w:val="single" w:sz="4" w:space="0" w:color="auto"/>
            </w:tcBorders>
            <w:hideMark/>
          </w:tcPr>
          <w:p w14:paraId="6BB58955" w14:textId="77777777" w:rsidR="00CD7933" w:rsidRDefault="00CD7933" w:rsidP="00340EC7">
            <w:pPr>
              <w:pStyle w:val="TAC"/>
              <w:rPr>
                <w:lang w:eastAsia="zh-CN"/>
              </w:rPr>
            </w:pPr>
            <w:r>
              <w:rPr>
                <w:lang w:eastAsia="zh-CN"/>
              </w:rPr>
              <w:t>14</w:t>
            </w:r>
          </w:p>
        </w:tc>
      </w:tr>
      <w:tr w:rsidR="00CD7933" w14:paraId="05F1352B" w14:textId="77777777" w:rsidTr="003305AC">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56BD25" w14:textId="77777777" w:rsidR="00CD7933" w:rsidRDefault="00CD7933" w:rsidP="00340EC7">
            <w:pPr>
              <w:pStyle w:val="TAC"/>
              <w:rPr>
                <w:lang w:eastAsia="zh-CN"/>
              </w:rPr>
            </w:pPr>
          </w:p>
        </w:tc>
        <w:tc>
          <w:tcPr>
            <w:tcW w:w="852" w:type="dxa"/>
            <w:tcBorders>
              <w:top w:val="single" w:sz="4" w:space="0" w:color="auto"/>
              <w:left w:val="single" w:sz="4" w:space="0" w:color="auto"/>
              <w:bottom w:val="single" w:sz="4" w:space="0" w:color="auto"/>
              <w:right w:val="single" w:sz="4" w:space="0" w:color="auto"/>
            </w:tcBorders>
            <w:hideMark/>
          </w:tcPr>
          <w:p w14:paraId="6AA2F76D" w14:textId="77777777" w:rsidR="00CD7933" w:rsidRDefault="00CD7933" w:rsidP="00340EC7">
            <w:pPr>
              <w:pStyle w:val="TAC"/>
            </w:pPr>
            <w:r>
              <w:t>2</w:t>
            </w:r>
          </w:p>
        </w:tc>
        <w:tc>
          <w:tcPr>
            <w:tcW w:w="2686" w:type="dxa"/>
            <w:tcBorders>
              <w:top w:val="single" w:sz="4" w:space="0" w:color="auto"/>
              <w:left w:val="single" w:sz="4" w:space="0" w:color="auto"/>
              <w:bottom w:val="single" w:sz="4" w:space="0" w:color="auto"/>
              <w:right w:val="single" w:sz="4" w:space="0" w:color="auto"/>
            </w:tcBorders>
            <w:hideMark/>
          </w:tcPr>
          <w:p w14:paraId="08FAF947" w14:textId="77777777" w:rsidR="00CD7933" w:rsidRDefault="00CD7933" w:rsidP="00340EC7">
            <w:pPr>
              <w:pStyle w:val="TAC"/>
            </w:pPr>
            <w:r>
              <w:t>0.25</w:t>
            </w:r>
          </w:p>
        </w:tc>
        <w:tc>
          <w:tcPr>
            <w:tcW w:w="1277" w:type="dxa"/>
            <w:tcBorders>
              <w:top w:val="single" w:sz="4" w:space="0" w:color="auto"/>
              <w:left w:val="single" w:sz="4" w:space="0" w:color="auto"/>
              <w:bottom w:val="single" w:sz="4" w:space="0" w:color="auto"/>
              <w:right w:val="single" w:sz="4" w:space="0" w:color="auto"/>
            </w:tcBorders>
            <w:hideMark/>
          </w:tcPr>
          <w:p w14:paraId="1F39C2C1" w14:textId="77777777" w:rsidR="00CD7933" w:rsidRDefault="00CD7933" w:rsidP="00340EC7">
            <w:pPr>
              <w:pStyle w:val="TAC"/>
              <w:rPr>
                <w:lang w:eastAsia="zh-CN"/>
              </w:rPr>
            </w:pPr>
            <w:r>
              <w:rPr>
                <w:lang w:eastAsia="zh-CN"/>
              </w:rPr>
              <w:t>28</w:t>
            </w:r>
          </w:p>
        </w:tc>
      </w:tr>
      <w:tr w:rsidR="00CD7933" w14:paraId="3AFDB75E" w14:textId="77777777" w:rsidTr="003305AC">
        <w:trPr>
          <w:jc w:val="center"/>
        </w:trPr>
        <w:tc>
          <w:tcPr>
            <w:tcW w:w="852" w:type="dxa"/>
            <w:vMerge w:val="restart"/>
            <w:tcBorders>
              <w:top w:val="single" w:sz="4" w:space="0" w:color="auto"/>
              <w:left w:val="single" w:sz="4" w:space="0" w:color="auto"/>
              <w:bottom w:val="single" w:sz="4" w:space="0" w:color="auto"/>
              <w:right w:val="single" w:sz="4" w:space="0" w:color="auto"/>
            </w:tcBorders>
            <w:hideMark/>
          </w:tcPr>
          <w:p w14:paraId="119157F0" w14:textId="77777777" w:rsidR="00CD7933" w:rsidRDefault="00CD7933" w:rsidP="003E0D5F">
            <w:pPr>
              <w:pStyle w:val="TAC"/>
              <w:rPr>
                <w:lang w:eastAsia="zh-CN"/>
              </w:rPr>
            </w:pPr>
            <w:r>
              <w:rPr>
                <w:lang w:eastAsia="zh-CN"/>
              </w:rPr>
              <w:t>FR2</w:t>
            </w:r>
          </w:p>
        </w:tc>
        <w:tc>
          <w:tcPr>
            <w:tcW w:w="852" w:type="dxa"/>
            <w:tcBorders>
              <w:top w:val="single" w:sz="4" w:space="0" w:color="auto"/>
              <w:left w:val="single" w:sz="4" w:space="0" w:color="auto"/>
              <w:bottom w:val="single" w:sz="4" w:space="0" w:color="auto"/>
              <w:right w:val="single" w:sz="4" w:space="0" w:color="auto"/>
            </w:tcBorders>
            <w:hideMark/>
          </w:tcPr>
          <w:p w14:paraId="0FE75733" w14:textId="77777777" w:rsidR="00CD7933" w:rsidRDefault="00CD7933" w:rsidP="003E0D5F">
            <w:pPr>
              <w:pStyle w:val="TAC"/>
            </w:pPr>
            <w:r>
              <w:t>2</w:t>
            </w:r>
          </w:p>
        </w:tc>
        <w:tc>
          <w:tcPr>
            <w:tcW w:w="2686" w:type="dxa"/>
            <w:tcBorders>
              <w:top w:val="single" w:sz="4" w:space="0" w:color="auto"/>
              <w:left w:val="single" w:sz="4" w:space="0" w:color="auto"/>
              <w:bottom w:val="single" w:sz="4" w:space="0" w:color="auto"/>
              <w:right w:val="single" w:sz="4" w:space="0" w:color="auto"/>
            </w:tcBorders>
            <w:hideMark/>
          </w:tcPr>
          <w:p w14:paraId="3908FE2B" w14:textId="77777777" w:rsidR="00CD7933" w:rsidRDefault="00CD7933" w:rsidP="003E0D5F">
            <w:pPr>
              <w:pStyle w:val="TAC"/>
            </w:pPr>
            <w:r>
              <w:t>0.25</w:t>
            </w:r>
          </w:p>
        </w:tc>
        <w:tc>
          <w:tcPr>
            <w:tcW w:w="1277" w:type="dxa"/>
            <w:tcBorders>
              <w:top w:val="single" w:sz="4" w:space="0" w:color="auto"/>
              <w:left w:val="single" w:sz="4" w:space="0" w:color="auto"/>
              <w:bottom w:val="single" w:sz="4" w:space="0" w:color="auto"/>
              <w:right w:val="single" w:sz="4" w:space="0" w:color="auto"/>
            </w:tcBorders>
            <w:hideMark/>
          </w:tcPr>
          <w:p w14:paraId="290B8BC4" w14:textId="77777777" w:rsidR="00CD7933" w:rsidRDefault="00CD7933" w:rsidP="003E0D5F">
            <w:pPr>
              <w:pStyle w:val="TAC"/>
              <w:rPr>
                <w:lang w:eastAsia="zh-CN"/>
              </w:rPr>
            </w:pPr>
            <w:r>
              <w:rPr>
                <w:lang w:eastAsia="zh-CN"/>
              </w:rPr>
              <w:t>14</w:t>
            </w:r>
          </w:p>
        </w:tc>
      </w:tr>
      <w:tr w:rsidR="00CD7933" w14:paraId="24491108" w14:textId="77777777" w:rsidTr="003305AC">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7070D5" w14:textId="77777777" w:rsidR="00CD7933" w:rsidRDefault="00CD7933" w:rsidP="003E0D5F">
            <w:pPr>
              <w:pStyle w:val="TAC"/>
              <w:rPr>
                <w:lang w:eastAsia="zh-CN"/>
              </w:rPr>
            </w:pPr>
          </w:p>
        </w:tc>
        <w:tc>
          <w:tcPr>
            <w:tcW w:w="852" w:type="dxa"/>
            <w:tcBorders>
              <w:top w:val="single" w:sz="4" w:space="0" w:color="auto"/>
              <w:left w:val="single" w:sz="4" w:space="0" w:color="auto"/>
              <w:bottom w:val="single" w:sz="4" w:space="0" w:color="auto"/>
              <w:right w:val="single" w:sz="4" w:space="0" w:color="auto"/>
            </w:tcBorders>
            <w:hideMark/>
          </w:tcPr>
          <w:p w14:paraId="1EA5737F" w14:textId="77777777" w:rsidR="00CD7933" w:rsidRDefault="00CD7933" w:rsidP="003E0D5F">
            <w:pPr>
              <w:pStyle w:val="TAC"/>
              <w:rPr>
                <w:lang w:eastAsia="zh-CN"/>
              </w:rPr>
            </w:pPr>
            <w:r>
              <w:rPr>
                <w:lang w:eastAsia="zh-CN"/>
              </w:rPr>
              <w:t>3</w:t>
            </w:r>
          </w:p>
        </w:tc>
        <w:tc>
          <w:tcPr>
            <w:tcW w:w="2686" w:type="dxa"/>
            <w:tcBorders>
              <w:top w:val="single" w:sz="4" w:space="0" w:color="auto"/>
              <w:left w:val="single" w:sz="4" w:space="0" w:color="auto"/>
              <w:bottom w:val="single" w:sz="4" w:space="0" w:color="auto"/>
              <w:right w:val="single" w:sz="4" w:space="0" w:color="auto"/>
            </w:tcBorders>
            <w:hideMark/>
          </w:tcPr>
          <w:p w14:paraId="4C4C99FD" w14:textId="77777777" w:rsidR="00CD7933" w:rsidRDefault="00CD7933" w:rsidP="003E0D5F">
            <w:pPr>
              <w:pStyle w:val="TAC"/>
            </w:pPr>
            <w:r>
              <w:t>0.125</w:t>
            </w:r>
          </w:p>
        </w:tc>
        <w:tc>
          <w:tcPr>
            <w:tcW w:w="1277" w:type="dxa"/>
            <w:tcBorders>
              <w:top w:val="single" w:sz="4" w:space="0" w:color="auto"/>
              <w:left w:val="single" w:sz="4" w:space="0" w:color="auto"/>
              <w:bottom w:val="single" w:sz="4" w:space="0" w:color="auto"/>
              <w:right w:val="single" w:sz="4" w:space="0" w:color="auto"/>
            </w:tcBorders>
            <w:hideMark/>
          </w:tcPr>
          <w:p w14:paraId="31BC6A5C" w14:textId="77777777" w:rsidR="00CD7933" w:rsidRDefault="00CD7933" w:rsidP="003E0D5F">
            <w:pPr>
              <w:pStyle w:val="TAC"/>
              <w:rPr>
                <w:lang w:eastAsia="zh-CN"/>
              </w:rPr>
            </w:pPr>
            <w:r>
              <w:rPr>
                <w:lang w:eastAsia="zh-CN"/>
              </w:rPr>
              <w:t>28</w:t>
            </w:r>
          </w:p>
        </w:tc>
      </w:tr>
      <w:tr w:rsidR="00CD7933" w:rsidRPr="007C40A5" w14:paraId="217E9701" w14:textId="77777777" w:rsidTr="003305AC">
        <w:trPr>
          <w:jc w:val="center"/>
        </w:trPr>
        <w:tc>
          <w:tcPr>
            <w:tcW w:w="5667" w:type="dxa"/>
            <w:gridSpan w:val="4"/>
            <w:tcBorders>
              <w:top w:val="single" w:sz="4" w:space="0" w:color="auto"/>
              <w:left w:val="single" w:sz="4" w:space="0" w:color="auto"/>
              <w:bottom w:val="single" w:sz="4" w:space="0" w:color="auto"/>
              <w:right w:val="single" w:sz="4" w:space="0" w:color="auto"/>
            </w:tcBorders>
            <w:hideMark/>
          </w:tcPr>
          <w:p w14:paraId="221F2FEF" w14:textId="77777777" w:rsidR="00CD7933" w:rsidRDefault="00CD7933" w:rsidP="003305AC">
            <w:pPr>
              <w:pStyle w:val="TAN"/>
              <w:rPr>
                <w:lang w:eastAsia="zh-CN"/>
              </w:rPr>
            </w:pPr>
            <w:r>
              <w:t>Note 1:</w:t>
            </w:r>
            <w:r>
              <w:tab/>
              <w:t>The FR1 value applies if one or both of the serving cell and the positioning frequency layer are in FR1. FR2 value applies both of the serving cell and the positioning frequency layer are in FR2.</w:t>
            </w:r>
          </w:p>
        </w:tc>
      </w:tr>
    </w:tbl>
    <w:p w14:paraId="1073B72A" w14:textId="77777777" w:rsidR="00CD7933" w:rsidRDefault="00CD7933" w:rsidP="00CD7933">
      <w:pPr>
        <w:rPr>
          <w:rFonts w:eastAsiaTheme="minorEastAsia"/>
          <w:lang w:eastAsia="zh-CN"/>
        </w:rPr>
      </w:pPr>
    </w:p>
    <w:p w14:paraId="424689C5" w14:textId="77777777" w:rsidR="00CD7933" w:rsidRDefault="00CD7933" w:rsidP="00CD7933">
      <w:r>
        <w:t>All measurement requirements specified in clauses 5.6.2, 5.6.3, 5.6.4 and 5.6.5 shall apply for any DRX configuration specified in TS 38.331 [2].</w:t>
      </w:r>
    </w:p>
    <w:p w14:paraId="2720174B" w14:textId="77777777" w:rsidR="00CD7933" w:rsidRDefault="00CD7933" w:rsidP="00CD7933">
      <w:r>
        <w:t xml:space="preserve">The requirements in clauses 5.6.2, 5.6.3, 5.6.4 and 5.6.5 are applicable provided that the cell selection procedure for the selected PLMN </w:t>
      </w:r>
      <w:r>
        <w:rPr>
          <w:rFonts w:cs="v4.2.0"/>
        </w:rPr>
        <w:t xml:space="preserve">defined in </w:t>
      </w:r>
      <w:r>
        <w:t>TS 38.304 </w:t>
      </w:r>
      <w:r>
        <w:rPr>
          <w:rFonts w:cs="v4.2.0"/>
        </w:rPr>
        <w:t xml:space="preserve">[1] </w:t>
      </w:r>
      <w:r>
        <w:t>is not triggered during PRS measurement period.</w:t>
      </w:r>
    </w:p>
    <w:p w14:paraId="18CDD93A" w14:textId="7CFFBACD" w:rsidR="006A56A5" w:rsidRDefault="00EF4F41" w:rsidP="00CD7933">
      <w:pPr>
        <w:rPr>
          <w:lang w:eastAsia="zh-CN"/>
        </w:rPr>
      </w:pPr>
      <w:r w:rsidRPr="00625CDA">
        <w:t>The requirements in clauses 5.6.2, 5.6.3, 5.6.4 and 5.6.5 apply provided that all PRS resources within a PFL are within up to 2 separate windows within</w:t>
      </w:r>
      <w:r>
        <w:rPr>
          <w:vertAlign w:val="subscript"/>
        </w:rPr>
        <w:t xml:space="preserve"> </w:t>
      </w:r>
      <w:r w:rsidRPr="00625CDA">
        <w:t>T</w:t>
      </w:r>
      <w:r>
        <w:rPr>
          <w:vertAlign w:val="subscript"/>
        </w:rPr>
        <w:t xml:space="preserve">PRS,i </w:t>
      </w:r>
      <w:r>
        <w:t xml:space="preserve">for each </w:t>
      </w:r>
      <w:r w:rsidRPr="00AB4257">
        <w:rPr>
          <w:lang w:eastAsia="zh-CN"/>
        </w:rPr>
        <w:t xml:space="preserve">positioning </w:t>
      </w:r>
      <w:r w:rsidRPr="00AB4257">
        <w:t xml:space="preserve">frequency layer </w:t>
      </w:r>
      <w:r w:rsidRPr="00AB4257">
        <w:rPr>
          <w:i/>
          <w:iCs/>
        </w:rPr>
        <w:t>i</w:t>
      </w:r>
      <w:r>
        <w:t xml:space="preserve"> as defined in </w:t>
      </w:r>
      <w:r w:rsidRPr="00625CDA">
        <w:t>clauses 5.6.2, 5.6.3, 5.6.4 and 5.6.5, where each window is up to 10ms.</w:t>
      </w:r>
    </w:p>
    <w:p w14:paraId="152A7217" w14:textId="67E6B580" w:rsidR="00CD7933" w:rsidRDefault="00CD7933" w:rsidP="00CD7933">
      <w:pPr>
        <w:rPr>
          <w:rFonts w:cs="v4.2.0"/>
          <w:lang w:eastAsia="ko-KR"/>
        </w:rPr>
      </w:pPr>
      <w:r>
        <w:rPr>
          <w:rFonts w:cs="v4.2.0"/>
          <w:lang w:eastAsia="ko-KR"/>
        </w:rPr>
        <w:t>The UE is not required to perform additional SSB measurement for the SSB configured as QCL source of PRS resources.</w:t>
      </w:r>
    </w:p>
    <w:p w14:paraId="186787AB" w14:textId="77777777" w:rsidR="00CD7933" w:rsidRDefault="00CD7933" w:rsidP="00CD7933">
      <w:pPr>
        <w:rPr>
          <w:noProof/>
          <w:lang w:eastAsia="zh-CN"/>
        </w:rPr>
      </w:pPr>
      <w:r>
        <w:rPr>
          <w:noProof/>
          <w:lang w:eastAsia="zh-CN"/>
        </w:rPr>
        <w:t>When the UE is configured with measurement for more than one positioning requests, the measurement period for each request may be longer than measurement period when UE is configured with measurement for single positioning request.</w:t>
      </w:r>
    </w:p>
    <w:p w14:paraId="7944A607" w14:textId="77777777" w:rsidR="00CD7933" w:rsidRDefault="00CD7933" w:rsidP="00CD7933">
      <w:pPr>
        <w:pStyle w:val="Heading3"/>
      </w:pPr>
      <w:r>
        <w:t>5.6</w:t>
      </w:r>
      <w:r w:rsidRPr="0059058A">
        <w:t>.2</w:t>
      </w:r>
      <w:r w:rsidRPr="0059058A">
        <w:tab/>
        <w:t>RSTD measurements</w:t>
      </w:r>
    </w:p>
    <w:p w14:paraId="59A24CA8" w14:textId="77777777" w:rsidR="00CD7933" w:rsidRPr="00EF620B" w:rsidRDefault="00CD7933" w:rsidP="00CD7933">
      <w:pPr>
        <w:pStyle w:val="Heading4"/>
      </w:pPr>
      <w:r>
        <w:rPr>
          <w:lang w:eastAsia="zh-CN"/>
        </w:rPr>
        <w:t>5.6</w:t>
      </w:r>
      <w:r w:rsidRPr="00EF620B">
        <w:rPr>
          <w:lang w:eastAsia="zh-CN"/>
        </w:rPr>
        <w:t>.2.1</w:t>
      </w:r>
      <w:r w:rsidRPr="00EF620B">
        <w:tab/>
        <w:t>Introduction</w:t>
      </w:r>
    </w:p>
    <w:p w14:paraId="4263BB72" w14:textId="77777777" w:rsidR="00CD7933" w:rsidRPr="00EF620B" w:rsidRDefault="00CD7933" w:rsidP="00CD7933">
      <w:pPr>
        <w:rPr>
          <w:lang w:eastAsia="zh-CN"/>
        </w:rPr>
      </w:pPr>
      <w:r w:rsidRPr="00EF620B">
        <w:t>The requirements in clause</w:t>
      </w:r>
      <w:r w:rsidRPr="00EF620B">
        <w:rPr>
          <w:lang w:eastAsia="zh-CN"/>
        </w:rPr>
        <w:t xml:space="preserve"> </w:t>
      </w:r>
      <w:r>
        <w:rPr>
          <w:lang w:eastAsia="zh-CN"/>
        </w:rPr>
        <w:t>5.6</w:t>
      </w:r>
      <w:r w:rsidRPr="00EF620B">
        <w:rPr>
          <w:lang w:eastAsia="zh-CN"/>
        </w:rPr>
        <w:t xml:space="preserve">.2 </w:t>
      </w:r>
      <w:r w:rsidRPr="00EF620B">
        <w:t xml:space="preserve">shall apply provided the UE has received </w:t>
      </w:r>
      <w:r w:rsidRPr="00EF620B">
        <w:rPr>
          <w:i/>
        </w:rPr>
        <w:t>NR-DL-TDOA-Request</w:t>
      </w:r>
      <w:r w:rsidRPr="00EF620B">
        <w:rPr>
          <w:i/>
          <w:noProof/>
        </w:rPr>
        <w:t>LocationInformation</w:t>
      </w:r>
      <w:r w:rsidRPr="00EF620B">
        <w:rPr>
          <w:noProof/>
        </w:rPr>
        <w:t xml:space="preserve"> </w:t>
      </w:r>
      <w:r w:rsidRPr="00EF620B">
        <w:t xml:space="preserve">message from the LMF via LPP [34] requesting the UE to measure and report </w:t>
      </w:r>
      <w:r w:rsidRPr="00EF620B">
        <w:rPr>
          <w:lang w:eastAsia="zh-CN"/>
        </w:rPr>
        <w:t>DL RSTD measurements defined in TS 38.215 [4].</w:t>
      </w:r>
    </w:p>
    <w:p w14:paraId="071AEC45" w14:textId="77777777" w:rsidR="00CD7933" w:rsidRPr="00B8119C" w:rsidRDefault="00CD7933" w:rsidP="00CD7933">
      <w:pPr>
        <w:pStyle w:val="Heading4"/>
        <w:rPr>
          <w:lang w:eastAsia="zh-CN"/>
        </w:rPr>
      </w:pPr>
      <w:r>
        <w:rPr>
          <w:lang w:eastAsia="zh-CN"/>
        </w:rPr>
        <w:t>5.6</w:t>
      </w:r>
      <w:r w:rsidRPr="00B8119C">
        <w:rPr>
          <w:lang w:eastAsia="zh-CN"/>
        </w:rPr>
        <w:t>.2.2</w:t>
      </w:r>
      <w:r w:rsidRPr="00B8119C">
        <w:rPr>
          <w:lang w:eastAsia="zh-CN"/>
        </w:rPr>
        <w:tab/>
        <w:t>Requirements Applicability</w:t>
      </w:r>
      <w:r w:rsidRPr="00B8119C">
        <w:rPr>
          <w:rFonts w:hint="eastAsia"/>
          <w:lang w:eastAsia="zh-CN"/>
        </w:rPr>
        <w:t xml:space="preserve"> </w:t>
      </w:r>
    </w:p>
    <w:p w14:paraId="2EE6BD1A" w14:textId="77777777" w:rsidR="00CD7933" w:rsidRPr="00B8119C" w:rsidRDefault="00CD7933" w:rsidP="00CD7933">
      <w:r w:rsidRPr="00B8119C">
        <w:t xml:space="preserve">The requirements in clause </w:t>
      </w:r>
      <w:r>
        <w:t>5.6</w:t>
      </w:r>
      <w:r w:rsidRPr="00B8119C">
        <w:t>.2 apply for periodic and triggered RSTD measurements, provided:</w:t>
      </w:r>
    </w:p>
    <w:p w14:paraId="64F16476" w14:textId="2569E7F3" w:rsidR="00CD7933" w:rsidRPr="00B8119C" w:rsidRDefault="006A56A5" w:rsidP="00D528D8">
      <w:pPr>
        <w:pStyle w:val="B10"/>
      </w:pPr>
      <w:r w:rsidRPr="00B8119C">
        <w:t>-</w:t>
      </w:r>
      <w:r w:rsidRPr="00B8119C">
        <w:tab/>
        <w:t>PRS-RSTD related side conditions given in clause 10.1.</w:t>
      </w:r>
      <w:r>
        <w:rPr>
          <w:rFonts w:hint="eastAsia"/>
          <w:lang w:eastAsia="zh-CN"/>
        </w:rPr>
        <w:t>23</w:t>
      </w:r>
      <w:r w:rsidRPr="00B8119C">
        <w:t xml:space="preserve"> for FR1 and FR2 are fulfilled, for a corresponding Band.</w:t>
      </w:r>
    </w:p>
    <w:p w14:paraId="1BA7F0CA" w14:textId="77777777" w:rsidR="00CD7933" w:rsidRPr="00B8119C" w:rsidRDefault="00CD7933" w:rsidP="00CD7933">
      <w:pPr>
        <w:pStyle w:val="Heading4"/>
        <w:rPr>
          <w:lang w:eastAsia="zh-CN"/>
        </w:rPr>
      </w:pPr>
      <w:r>
        <w:rPr>
          <w:lang w:eastAsia="zh-CN"/>
        </w:rPr>
        <w:t>5.6</w:t>
      </w:r>
      <w:r w:rsidRPr="00B8119C">
        <w:rPr>
          <w:lang w:eastAsia="zh-CN"/>
        </w:rPr>
        <w:t>.2.3</w:t>
      </w:r>
      <w:r w:rsidRPr="00B8119C">
        <w:rPr>
          <w:lang w:eastAsia="zh-CN"/>
        </w:rPr>
        <w:tab/>
        <w:t>Measurement Capability</w:t>
      </w:r>
    </w:p>
    <w:p w14:paraId="14CD3AC5" w14:textId="77777777" w:rsidR="00CD7933" w:rsidRPr="00B8119C" w:rsidRDefault="00CD7933" w:rsidP="00CD7933">
      <w:pPr>
        <w:rPr>
          <w:rFonts w:cs="v4.2.0"/>
        </w:rPr>
      </w:pPr>
      <w:r>
        <w:rPr>
          <w:rFonts w:cs="v4.2.0"/>
        </w:rPr>
        <w:t xml:space="preserve">The </w:t>
      </w:r>
      <w:r w:rsidRPr="00B8119C">
        <w:rPr>
          <w:rFonts w:cs="v4.2.0"/>
        </w:rPr>
        <w:t xml:space="preserve">UE PRS RSTD measurement capability in RRC_INACTIVE state is as indicated by the UE </w:t>
      </w:r>
      <w:r w:rsidRPr="00B8119C">
        <w:rPr>
          <w:lang w:eastAsia="zh-CN"/>
        </w:rPr>
        <w:t xml:space="preserve">in </w:t>
      </w:r>
      <w:r w:rsidRPr="00B8119C">
        <w:rPr>
          <w:i/>
          <w:iCs/>
          <w:lang w:eastAsia="zh-CN"/>
        </w:rPr>
        <w:t>NR-DL-TDOA-ProvideCapabilities</w:t>
      </w:r>
      <w:r w:rsidRPr="00B8119C">
        <w:rPr>
          <w:lang w:eastAsia="zh-CN"/>
        </w:rPr>
        <w:t xml:space="preserve">, </w:t>
      </w:r>
      <w:r w:rsidRPr="00B8119C">
        <w:rPr>
          <w:rFonts w:cs="v4.2.0"/>
        </w:rPr>
        <w:t>according to TS 37.355</w:t>
      </w:r>
      <w:r>
        <w:rPr>
          <w:rFonts w:cs="v4.2.0"/>
        </w:rPr>
        <w:t xml:space="preserve"> </w:t>
      </w:r>
      <w:r w:rsidRPr="00B8119C">
        <w:rPr>
          <w:rFonts w:cs="v4.2.0"/>
        </w:rPr>
        <w:t>[34].</w:t>
      </w:r>
    </w:p>
    <w:p w14:paraId="205452B0" w14:textId="77777777" w:rsidR="00CD7933" w:rsidRPr="00AB4257" w:rsidRDefault="00CD7933" w:rsidP="00CD7933">
      <w:pPr>
        <w:keepNext/>
        <w:keepLines/>
        <w:spacing w:before="120"/>
        <w:ind w:left="1418" w:hanging="1418"/>
        <w:outlineLvl w:val="3"/>
        <w:rPr>
          <w:rFonts w:ascii="Arial" w:hAnsi="Arial"/>
          <w:sz w:val="24"/>
          <w:lang w:eastAsia="zh-CN"/>
        </w:rPr>
      </w:pPr>
      <w:r>
        <w:rPr>
          <w:rFonts w:ascii="Arial" w:hAnsi="Arial"/>
          <w:sz w:val="24"/>
          <w:lang w:eastAsia="zh-CN"/>
        </w:rPr>
        <w:t>5.6</w:t>
      </w:r>
      <w:r w:rsidRPr="00AB4257">
        <w:rPr>
          <w:rFonts w:ascii="Arial" w:hAnsi="Arial"/>
          <w:sz w:val="24"/>
          <w:lang w:eastAsia="zh-CN"/>
        </w:rPr>
        <w:t>.2.4</w:t>
      </w:r>
      <w:r w:rsidRPr="00AB4257">
        <w:rPr>
          <w:rFonts w:ascii="Arial" w:hAnsi="Arial"/>
          <w:sz w:val="24"/>
          <w:lang w:eastAsia="zh-CN"/>
        </w:rPr>
        <w:tab/>
        <w:t>Measurement Reporting Requirements</w:t>
      </w:r>
    </w:p>
    <w:p w14:paraId="5DF4E97A" w14:textId="77777777" w:rsidR="00CD7933" w:rsidRPr="00AB4257" w:rsidRDefault="00CD7933" w:rsidP="00CD7933">
      <w:r w:rsidRPr="00AB4257">
        <w:t>The measurement reporting delay is defined as the time between the moment when the periodic measurement report is triggered and the moment when the UE is ready to transmit the measurement report over the air interface. If the UE supports reporting of NR positioning measurements via SDT, the UE may be able to report the measurements while it remains in RRC_INACTIVE state; otherwise, the UE will transition to RRC_CONNECTED state prior to transmitting the measurement report.</w:t>
      </w:r>
    </w:p>
    <w:p w14:paraId="17ADC85C" w14:textId="77777777" w:rsidR="00CD7933" w:rsidRPr="00AB4257" w:rsidRDefault="00CD7933" w:rsidP="00CD7933">
      <w:r w:rsidRPr="00AB4257">
        <w:t>For RSTD measurements performed by the UE in RRC_INACTIVE state, The measurement reporting delay excludes all of the following:</w:t>
      </w:r>
    </w:p>
    <w:p w14:paraId="00EC3F80" w14:textId="77777777" w:rsidR="00CD7933" w:rsidRPr="00AB4257" w:rsidRDefault="00CD7933" w:rsidP="00CD7933">
      <w:pPr>
        <w:pStyle w:val="B10"/>
      </w:pPr>
      <w:r>
        <w:t>-</w:t>
      </w:r>
      <w:r>
        <w:tab/>
      </w:r>
      <w:r w:rsidRPr="00AB4257">
        <w:t>additional delay caused other LPP signalling on the DCCH,</w:t>
      </w:r>
    </w:p>
    <w:p w14:paraId="024CCF52" w14:textId="087648EC" w:rsidR="00CD7933" w:rsidRPr="00AB4257" w:rsidRDefault="00CD7933" w:rsidP="00CD7933">
      <w:pPr>
        <w:pStyle w:val="B10"/>
      </w:pPr>
      <w:r>
        <w:t>-</w:t>
      </w:r>
      <w:r>
        <w:tab/>
      </w:r>
      <w:r w:rsidRPr="00AB4257">
        <w:t>delay uncertainty introduced when inserting the measurement report in the TTI of the uplink DCCH, equal to 2 x TTI</w:t>
      </w:r>
      <w:r w:rsidRPr="00AB4257">
        <w:rPr>
          <w:vertAlign w:val="subscript"/>
        </w:rPr>
        <w:t>DCCH</w:t>
      </w:r>
      <w:r w:rsidRPr="00AB4257">
        <w:t xml:space="preserve"> where TTI</w:t>
      </w:r>
      <w:r w:rsidRPr="00AB4257">
        <w:rPr>
          <w:vertAlign w:val="subscript"/>
        </w:rPr>
        <w:t>DCCH</w:t>
      </w:r>
      <w:r w:rsidRPr="00AB4257">
        <w:t xml:space="preserve"> is the duration of subframe or slot or subslot when the measurement report is transmitted on the PUSCH with subframe or slot or subslot duration</w:t>
      </w:r>
      <w:r w:rsidRPr="00AB4257">
        <w:rPr>
          <w:lang w:eastAsia="zh-CN"/>
        </w:rPr>
        <w:t>,</w:t>
      </w:r>
    </w:p>
    <w:p w14:paraId="57BA2AA5" w14:textId="77777777" w:rsidR="00CD7933" w:rsidRPr="00AB4257" w:rsidRDefault="00CD7933" w:rsidP="00CD7933">
      <w:pPr>
        <w:pStyle w:val="B10"/>
      </w:pPr>
      <w:r>
        <w:rPr>
          <w:lang w:eastAsia="zh-CN"/>
        </w:rPr>
        <w:t>-</w:t>
      </w:r>
      <w:r>
        <w:rPr>
          <w:lang w:eastAsia="zh-CN"/>
        </w:rPr>
        <w:tab/>
      </w:r>
      <w:r w:rsidRPr="00AB4257">
        <w:rPr>
          <w:lang w:eastAsia="zh-CN"/>
        </w:rPr>
        <w:t>any delay caused by unavailability of UL resources to transmit the measurement report,</w:t>
      </w:r>
    </w:p>
    <w:p w14:paraId="1C02E793" w14:textId="77777777" w:rsidR="00CD7933" w:rsidRPr="00AB4257" w:rsidRDefault="00CD7933" w:rsidP="00CD7933">
      <w:pPr>
        <w:pStyle w:val="B10"/>
      </w:pPr>
      <w:r>
        <w:rPr>
          <w:lang w:eastAsia="zh-CN"/>
        </w:rPr>
        <w:t>-</w:t>
      </w:r>
      <w:r>
        <w:rPr>
          <w:lang w:eastAsia="zh-CN"/>
        </w:rPr>
        <w:tab/>
      </w:r>
      <w:r w:rsidRPr="00AB4257">
        <w:rPr>
          <w:lang w:eastAsia="zh-CN"/>
        </w:rPr>
        <w:t>any transmission delay needed by SDT,</w:t>
      </w:r>
    </w:p>
    <w:p w14:paraId="367AC5A6" w14:textId="77777777" w:rsidR="00CD7933" w:rsidRPr="00AB4257" w:rsidRDefault="00CD7933" w:rsidP="00CD7933">
      <w:pPr>
        <w:pStyle w:val="B10"/>
      </w:pPr>
      <w:r>
        <w:rPr>
          <w:lang w:eastAsia="zh-CN"/>
        </w:rPr>
        <w:t>-</w:t>
      </w:r>
      <w:r>
        <w:rPr>
          <w:lang w:eastAsia="zh-CN"/>
        </w:rPr>
        <w:tab/>
      </w:r>
      <w:r w:rsidRPr="00AB4257">
        <w:rPr>
          <w:lang w:eastAsia="zh-CN"/>
        </w:rPr>
        <w:t>the time needed to transition to RRC_CONNECTED state to report the measurements.</w:t>
      </w:r>
    </w:p>
    <w:p w14:paraId="1EFD4394" w14:textId="77777777" w:rsidR="00CD7933" w:rsidRPr="00AB4257" w:rsidRDefault="00CD7933" w:rsidP="00CD7933">
      <w:pPr>
        <w:rPr>
          <w:lang w:eastAsia="zh-CN"/>
        </w:rPr>
      </w:pPr>
      <w:r w:rsidRPr="00AB4257">
        <w:rPr>
          <w:lang w:eastAsia="zh-CN"/>
        </w:rPr>
        <w:t>The reported RSTD measurement values contained in measurement reports shall be based on the measurement report mapping requirements specified in clauses 10.1.23.3.</w:t>
      </w:r>
    </w:p>
    <w:p w14:paraId="7516492C" w14:textId="6AF41A22" w:rsidR="00CD7933" w:rsidRPr="00AB4257" w:rsidRDefault="006A56A5" w:rsidP="00CD7933">
      <w:r w:rsidRPr="00AB4257">
        <w:t>The RSTD measurements performed and reported according to this section shall meet the RSTD measurement accuracy requirements in clause 10.1.</w:t>
      </w:r>
      <w:r>
        <w:rPr>
          <w:rFonts w:hint="eastAsia"/>
          <w:lang w:eastAsia="zh-CN"/>
        </w:rPr>
        <w:t>23</w:t>
      </w:r>
      <w:r w:rsidRPr="00AB4257">
        <w:t>, for each measured DL PRS resource.</w:t>
      </w:r>
    </w:p>
    <w:p w14:paraId="730216F7" w14:textId="77777777" w:rsidR="00CD7933" w:rsidRPr="00AB4257" w:rsidRDefault="00CD7933" w:rsidP="00CD7933">
      <w:pPr>
        <w:pStyle w:val="Heading4"/>
        <w:rPr>
          <w:lang w:eastAsia="zh-CN"/>
        </w:rPr>
      </w:pPr>
      <w:r>
        <w:t>5.6</w:t>
      </w:r>
      <w:r w:rsidRPr="00AB4257">
        <w:t>.2.5</w:t>
      </w:r>
      <w:r w:rsidRPr="00AB4257">
        <w:tab/>
        <w:t>Measurements Period Requireme</w:t>
      </w:r>
      <w:r w:rsidRPr="00AB4257">
        <w:rPr>
          <w:lang w:eastAsia="zh-CN"/>
        </w:rPr>
        <w:t>nts</w:t>
      </w:r>
    </w:p>
    <w:p w14:paraId="3237F6D8" w14:textId="77777777" w:rsidR="00CD7933" w:rsidRPr="00AB4257" w:rsidRDefault="00CD7933" w:rsidP="00CD7933">
      <w:r w:rsidRPr="00AB4257">
        <w:rPr>
          <w:lang w:eastAsia="zh-CN"/>
        </w:rPr>
        <w:t xml:space="preserve">After receiving both </w:t>
      </w:r>
      <w:r w:rsidRPr="00AB4257">
        <w:rPr>
          <w:i/>
        </w:rPr>
        <w:t>NR-TDOA-Provide</w:t>
      </w:r>
      <w:r w:rsidRPr="00AB4257">
        <w:rPr>
          <w:i/>
          <w:noProof/>
        </w:rPr>
        <w:t>AssistanceData</w:t>
      </w:r>
      <w:r w:rsidRPr="00AB4257">
        <w:t xml:space="preserve"> message and </w:t>
      </w:r>
      <w:r w:rsidRPr="00AB4257">
        <w:rPr>
          <w:i/>
        </w:rPr>
        <w:t>NR-TDOA-Request</w:t>
      </w:r>
      <w:r w:rsidRPr="00AB4257">
        <w:rPr>
          <w:i/>
          <w:noProof/>
        </w:rPr>
        <w:t>LocationInformation</w:t>
      </w:r>
      <w:r w:rsidRPr="00AB4257">
        <w:rPr>
          <w:i/>
        </w:rPr>
        <w:t xml:space="preserve"> </w:t>
      </w:r>
      <w:r w:rsidRPr="00AB4257">
        <w:rPr>
          <w:iCs/>
        </w:rPr>
        <w:t>message from the LMF via LPP [34]</w:t>
      </w:r>
      <w:r w:rsidRPr="00AB4257">
        <w:rPr>
          <w:i/>
        </w:rPr>
        <w:t xml:space="preserve">, </w:t>
      </w:r>
      <w:r w:rsidRPr="00AB4257">
        <w:rPr>
          <w:iCs/>
        </w:rPr>
        <w:t>the UE shall be able to measure multiple (</w:t>
      </w:r>
      <w:r w:rsidRPr="00AB4257">
        <w:rPr>
          <w:rFonts w:cs="Arial"/>
        </w:rPr>
        <w:t xml:space="preserve">up to the UE capability specified in Clause </w:t>
      </w:r>
      <w:r>
        <w:rPr>
          <w:rFonts w:cs="Arial"/>
        </w:rPr>
        <w:t>5.6</w:t>
      </w:r>
      <w:r w:rsidRPr="00AB4257">
        <w:rPr>
          <w:rFonts w:cs="Arial"/>
        </w:rPr>
        <w:t>.2.3</w:t>
      </w:r>
      <w:r w:rsidRPr="00AB4257">
        <w:rPr>
          <w:iCs/>
        </w:rPr>
        <w:t xml:space="preserve">) DL RSTD measurements, defined </w:t>
      </w:r>
      <w:r w:rsidRPr="00AB4257">
        <w:t xml:space="preserve">in TS 38.215 [4], </w:t>
      </w:r>
      <w:r w:rsidRPr="00AB4257">
        <w:rPr>
          <w:lang w:eastAsia="zh-CN"/>
        </w:rPr>
        <w:t>during</w:t>
      </w:r>
      <w:r w:rsidRPr="00AB4257">
        <w:t xml:space="preserve"> the measurement period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RSTD,Total</m:t>
            </m:r>
          </m:sub>
        </m:sSub>
      </m:oMath>
      <w:r w:rsidRPr="00AB4257">
        <w:t xml:space="preserve"> defined as:</w:t>
      </w:r>
    </w:p>
    <w:p w14:paraId="280592B7" w14:textId="77777777" w:rsidR="00CD7933" w:rsidRPr="00AB4257" w:rsidRDefault="00CD7933" w:rsidP="003E0D5F">
      <w:pPr>
        <w:pStyle w:val="EQ"/>
        <w:rPr>
          <w:iCs/>
        </w:rPr>
      </w:pPr>
      <w:r w:rsidRPr="00AB4257">
        <w:rPr>
          <w:iCs/>
        </w:rPr>
        <w:tab/>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RSTD,Total</m:t>
            </m:r>
          </m:sub>
        </m:sSub>
        <m:r>
          <m:rPr>
            <m:sty m:val="p"/>
          </m:rPr>
          <w:rPr>
            <w:rFonts w:ascii="Cambria Math" w:hAnsi="Cambria Math"/>
          </w:rPr>
          <m:t>=</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L</m:t>
            </m:r>
          </m:sup>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RSTD,i</m:t>
                </m:r>
              </m:sub>
            </m:sSub>
            <m:r>
              <m:rPr>
                <m:sty m:val="p"/>
              </m:rPr>
              <w:rPr>
                <w:rFonts w:ascii="Cambria Math" w:hAnsi="Cambria Math"/>
              </w:rPr>
              <m:t xml:space="preserve">+ </m:t>
            </m:r>
            <m:d>
              <m:dPr>
                <m:ctrlPr>
                  <w:rPr>
                    <w:rFonts w:ascii="Cambria Math" w:hAnsi="Cambria Math"/>
                    <w:bCs/>
                    <w:iCs/>
                  </w:rPr>
                </m:ctrlPr>
              </m:dPr>
              <m:e>
                <m:r>
                  <m:rPr>
                    <m:sty m:val="p"/>
                  </m:rPr>
                  <w:rPr>
                    <w:rFonts w:ascii="Cambria Math" w:hAnsi="Cambria Math"/>
                    <w:lang w:eastAsia="zh-CN"/>
                  </w:rPr>
                  <m:t>L-1</m:t>
                </m:r>
              </m:e>
            </m:d>
            <m:r>
              <m:rPr>
                <m:sty m:val="p"/>
              </m:rPr>
              <w:rPr>
                <w:rFonts w:ascii="Cambria Math" w:hAnsi="Cambria Math"/>
                <w:lang w:eastAsia="zh-CN"/>
              </w:rPr>
              <m:t>*</m:t>
            </m:r>
            <m:func>
              <m:funcPr>
                <m:ctrlPr>
                  <w:rPr>
                    <w:rFonts w:ascii="Cambria Math" w:hAnsi="Cambria Math"/>
                    <w:bCs/>
                    <w:iCs/>
                  </w:rPr>
                </m:ctrlPr>
              </m:funcPr>
              <m:fName>
                <m:r>
                  <m:rPr>
                    <m:sty m:val="p"/>
                  </m:rPr>
                  <w:rPr>
                    <w:rFonts w:ascii="Cambria Math" w:hAnsi="Cambria Math"/>
                    <w:lang w:eastAsia="zh-CN"/>
                  </w:rPr>
                  <m:t>max</m:t>
                </m:r>
              </m:fName>
              <m:e>
                <m:d>
                  <m:dPr>
                    <m:ctrlPr>
                      <w:rPr>
                        <w:rFonts w:ascii="Cambria Math" w:hAnsi="Cambria Math"/>
                        <w:bCs/>
                        <w:iCs/>
                      </w:rPr>
                    </m:ctrlPr>
                  </m:dPr>
                  <m:e>
                    <m:sSub>
                      <m:sSubPr>
                        <m:ctrlPr>
                          <w:rPr>
                            <w:rFonts w:ascii="Cambria Math" w:hAnsi="Cambria Math"/>
                            <w:bCs/>
                            <w:iCs/>
                          </w:rPr>
                        </m:ctrlPr>
                      </m:sSubPr>
                      <m:e>
                        <m:r>
                          <m:rPr>
                            <m:sty m:val="p"/>
                          </m:rPr>
                          <w:rPr>
                            <w:rFonts w:ascii="Cambria Math" w:hAnsi="Cambria Math"/>
                            <w:lang w:eastAsia="zh-CN"/>
                          </w:rPr>
                          <m:t>T</m:t>
                        </m:r>
                      </m:e>
                      <m:sub>
                        <m:r>
                          <m:rPr>
                            <m:sty m:val="p"/>
                          </m:rPr>
                          <w:rPr>
                            <w:rFonts w:ascii="Cambria Math" w:hAnsi="Cambria Math"/>
                            <w:lang w:eastAsia="zh-CN"/>
                          </w:rPr>
                          <m:t>effect,i</m:t>
                        </m:r>
                      </m:sub>
                    </m:sSub>
                  </m:e>
                </m:d>
              </m:e>
            </m:func>
            <m:r>
              <m:rPr>
                <m:sty m:val="p"/>
              </m:rPr>
              <w:rPr>
                <w:rFonts w:ascii="Cambria Math" w:hAnsi="Cambria Math"/>
                <w:color w:val="0070C0"/>
                <w:lang w:eastAsia="zh-CN"/>
              </w:rPr>
              <m:t xml:space="preserve"> </m:t>
            </m:r>
          </m:e>
        </m:nary>
      </m:oMath>
    </w:p>
    <w:p w14:paraId="78DA2C93" w14:textId="77507BCD" w:rsidR="00CD7933" w:rsidRPr="00AB4257" w:rsidRDefault="00CD7933" w:rsidP="00CD7933">
      <w:pPr>
        <w:rPr>
          <w:lang w:eastAsia="zh-CN"/>
        </w:rPr>
      </w:pPr>
      <w:r w:rsidRPr="00AB4257">
        <w:rPr>
          <w:lang w:eastAsia="zh-CN"/>
        </w:rPr>
        <w:t>Where</w:t>
      </w:r>
      <w:r w:rsidR="004A31B7">
        <w:rPr>
          <w:lang w:eastAsia="zh-CN"/>
        </w:rPr>
        <w:t>:</w:t>
      </w:r>
    </w:p>
    <w:p w14:paraId="64ED0926" w14:textId="233DD251" w:rsidR="00CD7933" w:rsidRPr="00AB4257" w:rsidRDefault="003E0D5F" w:rsidP="003E0D5F">
      <w:pPr>
        <w:pStyle w:val="B10"/>
        <w:rPr>
          <w:lang w:eastAsia="zh-CN"/>
        </w:rPr>
      </w:pPr>
      <w:r>
        <w:rPr>
          <w:lang w:eastAsia="zh-CN"/>
        </w:rPr>
        <w:t>-</w:t>
      </w:r>
      <w:r w:rsidR="00CD7933" w:rsidRPr="00AB4257">
        <w:rPr>
          <w:lang w:eastAsia="zh-CN"/>
        </w:rPr>
        <w:tab/>
      </w:r>
      <m:oMath>
        <m:r>
          <w:rPr>
            <w:rFonts w:ascii="Cambria Math" w:hAnsi="Cambria Math"/>
            <w:lang w:eastAsia="zh-CN"/>
          </w:rPr>
          <m:t>i</m:t>
        </m:r>
      </m:oMath>
      <w:r w:rsidR="00CD7933" w:rsidRPr="00AB4257">
        <w:rPr>
          <w:lang w:eastAsia="zh-CN"/>
        </w:rPr>
        <w:t xml:space="preserve"> is the index of positioning frequency layer,</w:t>
      </w:r>
    </w:p>
    <w:p w14:paraId="7484D97B" w14:textId="39B18FB1" w:rsidR="00CD7933" w:rsidRPr="00AB4257" w:rsidRDefault="003E0D5F" w:rsidP="003E0D5F">
      <w:pPr>
        <w:pStyle w:val="B10"/>
        <w:rPr>
          <w:lang w:eastAsia="zh-CN"/>
        </w:rPr>
      </w:pPr>
      <w:r>
        <w:t>-</w:t>
      </w:r>
      <w:r w:rsidR="00CD7933" w:rsidRPr="00AB4257">
        <w:tab/>
      </w:r>
      <m:oMath>
        <m:r>
          <w:rPr>
            <w:rFonts w:ascii="Cambria Math" w:hAnsi="Cambria Math"/>
          </w:rPr>
          <m:t>L</m:t>
        </m:r>
      </m:oMath>
      <w:r w:rsidR="00CD7933" w:rsidRPr="00AB4257">
        <w:t xml:space="preserve"> is total number of </w:t>
      </w:r>
      <w:r w:rsidR="00CD7933" w:rsidRPr="00AB4257">
        <w:rPr>
          <w:lang w:eastAsia="zh-CN"/>
        </w:rPr>
        <w:t xml:space="preserve">positioning </w:t>
      </w:r>
      <w:r w:rsidR="00CD7933" w:rsidRPr="00AB4257">
        <w:t>frequency layers, and</w:t>
      </w:r>
    </w:p>
    <w:p w14:paraId="27984C5B" w14:textId="52248D52" w:rsidR="00CD7933" w:rsidRPr="00AB4257" w:rsidRDefault="003E0D5F" w:rsidP="003E0D5F">
      <w:pPr>
        <w:pStyle w:val="B10"/>
        <w:rPr>
          <w:i/>
          <w:iCs/>
          <w:sz w:val="18"/>
          <w:szCs w:val="18"/>
          <w:lang w:eastAsia="zh-CN"/>
        </w:rPr>
      </w:pPr>
      <w:r>
        <w:t>-</w:t>
      </w:r>
      <w:r w:rsidR="00CD7933" w:rsidRPr="00AB4257">
        <w:tab/>
      </w:r>
      <m:oMath>
        <m:sSub>
          <m:sSubPr>
            <m:ctrlPr>
              <w:rPr>
                <w:rFonts w:ascii="Cambria Math" w:hAnsi="Cambria Math"/>
                <w:bCs/>
                <w:i/>
                <w:iCs/>
              </w:rPr>
            </m:ctrlPr>
          </m:sSubPr>
          <m:e>
            <m:r>
              <m:rPr>
                <m:sty m:val="p"/>
              </m:rPr>
              <w:rPr>
                <w:rFonts w:ascii="Cambria Math" w:hAnsi="Cambria Math"/>
                <w:lang w:eastAsia="zh-CN"/>
              </w:rPr>
              <m:t>T</m:t>
            </m:r>
          </m:e>
          <m:sub>
            <m:r>
              <m:rPr>
                <m:sty m:val="p"/>
              </m:rPr>
              <w:rPr>
                <w:rFonts w:ascii="Cambria Math" w:hAnsi="Cambria Math"/>
                <w:lang w:eastAsia="zh-CN"/>
              </w:rPr>
              <m:t>effect,</m:t>
            </m:r>
            <m:r>
              <w:rPr>
                <w:rFonts w:ascii="Cambria Math" w:hAnsi="Cambria Math"/>
                <w:lang w:eastAsia="zh-CN"/>
              </w:rPr>
              <m:t>i</m:t>
            </m:r>
          </m:sub>
        </m:sSub>
      </m:oMath>
      <w:r w:rsidR="00CD7933" w:rsidRPr="00AB4257">
        <w:rPr>
          <w:bCs/>
          <w:iCs/>
          <w:lang w:eastAsia="zh-CN"/>
        </w:rPr>
        <w:t xml:space="preserve"> </w:t>
      </w:r>
      <w:r w:rsidR="00CD7933" w:rsidRPr="00AB4257">
        <w:t xml:space="preserve">is the periodicity of the </w:t>
      </w:r>
      <w:r w:rsidR="00CD7933" w:rsidRPr="00AB4257">
        <w:rPr>
          <w:lang w:eastAsia="zh-CN"/>
        </w:rPr>
        <w:t>PRS RSTD</w:t>
      </w:r>
      <w:r w:rsidR="00CD7933" w:rsidRPr="00AB4257">
        <w:t xml:space="preserve"> measurement in </w:t>
      </w:r>
      <w:r w:rsidR="00CD7933" w:rsidRPr="00AB4257">
        <w:rPr>
          <w:lang w:eastAsia="zh-CN"/>
        </w:rPr>
        <w:t xml:space="preserve">positioning frequency layer i </w:t>
      </w:r>
    </w:p>
    <w:p w14:paraId="18B5FE87" w14:textId="77777777" w:rsidR="00CD7933" w:rsidRPr="00AB4257" w:rsidRDefault="00000000" w:rsidP="00CD7933">
      <m:oMath>
        <m:sSub>
          <m:sSubPr>
            <m:ctrlPr>
              <w:rPr>
                <w:rFonts w:ascii="Cambria Math" w:hAnsi="Cambria Math"/>
              </w:rPr>
            </m:ctrlPr>
          </m:sSubPr>
          <m:e>
            <m:r>
              <m:rPr>
                <m:sty m:val="p"/>
              </m:rPr>
              <w:rPr>
                <w:rFonts w:ascii="Cambria Math" w:hAnsi="Cambria Math"/>
                <w:lang w:eastAsia="zh-CN"/>
              </w:rPr>
              <m:t>T</m:t>
            </m:r>
            <m:ctrlPr>
              <w:rPr>
                <w:rFonts w:ascii="Cambria Math" w:hAnsi="Cambria Math"/>
                <w:i/>
              </w:rPr>
            </m:ctrlPr>
          </m:e>
          <m:sub>
            <m:r>
              <m:rPr>
                <m:sty m:val="p"/>
              </m:rPr>
              <w:rPr>
                <w:rFonts w:ascii="Cambria Math" w:hAnsi="Cambria Math"/>
                <w:lang w:eastAsia="zh-CN"/>
              </w:rPr>
              <m:t>RSTD,i</m:t>
            </m:r>
          </m:sub>
        </m:sSub>
      </m:oMath>
      <w:r w:rsidR="00CD7933" w:rsidRPr="00AB4257">
        <w:t xml:space="preserve"> is the measurement period for PRS RSTD measurement in </w:t>
      </w:r>
      <w:r w:rsidR="00CD7933" w:rsidRPr="00AB4257">
        <w:rPr>
          <w:lang w:eastAsia="zh-CN"/>
        </w:rPr>
        <w:t>positioning frequency layer</w:t>
      </w:r>
      <w:r w:rsidR="00CD7933" w:rsidRPr="00AB4257">
        <w:t xml:space="preserve"> </w:t>
      </w:r>
      <w:r w:rsidR="00CD7933" w:rsidRPr="00AB4257">
        <w:rPr>
          <w:i/>
          <w:iCs/>
        </w:rPr>
        <w:t>i</w:t>
      </w:r>
      <w:r w:rsidR="00CD7933" w:rsidRPr="00AB4257">
        <w:t xml:space="preserve"> as specified below:</w:t>
      </w:r>
    </w:p>
    <w:p w14:paraId="6B5DA60C" w14:textId="36B4E032" w:rsidR="006A56A5" w:rsidRPr="00AB4257" w:rsidRDefault="006A56A5" w:rsidP="006A56A5">
      <w:pPr>
        <w:pStyle w:val="EQ"/>
        <w:rPr>
          <w:lang w:eastAsia="zh-CN"/>
        </w:rPr>
      </w:pPr>
      <w:bookmarkStart w:id="73" w:name="_Hlk114852157"/>
      <w:bookmarkStart w:id="74" w:name="_Hlk106695180"/>
      <w:r w:rsidRPr="00AB4257">
        <w:tab/>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RSTD,i</m:t>
            </m:r>
          </m:sub>
        </m:sSub>
        <m:r>
          <m:rPr>
            <m:sty m:val="p"/>
          </m:rPr>
          <w:rPr>
            <w:rFonts w:ascii="Cambria Math" w:hAnsi="Cambria Math"/>
            <w:lang w:eastAsia="zh-CN"/>
          </w:rPr>
          <m:t xml:space="preserve">= </m:t>
        </m:r>
        <m:sSub>
          <m:sSubPr>
            <m:ctrlPr>
              <w:rPr>
                <w:rFonts w:ascii="Cambria Math" w:hAnsi="Cambria Math"/>
              </w:rPr>
            </m:ctrlPr>
          </m:sSubPr>
          <m:e>
            <m:d>
              <m:dPr>
                <m:ctrlPr>
                  <w:rPr>
                    <w:rFonts w:ascii="Cambria Math" w:hAnsi="Cambria Math"/>
                  </w:rPr>
                </m:ctrlPr>
              </m:dPr>
              <m:e>
                <m:sSub>
                  <m:sSubPr>
                    <m:ctrlPr>
                      <w:rPr>
                        <w:rFonts w:ascii="Cambria Math" w:hAnsi="Cambria Math"/>
                        <w:bCs/>
                      </w:rPr>
                    </m:ctrlPr>
                  </m:sSubPr>
                  <m:e>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carrier_PRS</m:t>
                        </m:r>
                      </m:sub>
                    </m:sSub>
                    <m:r>
                      <m:rPr>
                        <m:sty m:val="p"/>
                      </m:rPr>
                      <w:rPr>
                        <w:rFonts w:ascii="Cambria Math" w:hAnsi="Cambria Math"/>
                      </w:rPr>
                      <m:t xml:space="preserve">* </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Rx,TEG,i</m:t>
                        </m:r>
                      </m:sub>
                    </m:sSub>
                    <m:r>
                      <m:rPr>
                        <m:sty m:val="p"/>
                      </m:rPr>
                      <w:rPr>
                        <w:rFonts w:ascii="Cambria Math" w:hAnsi="Cambria Math"/>
                      </w:rPr>
                      <m:t>*</m:t>
                    </m:r>
                    <m:r>
                      <w:rPr>
                        <w:rFonts w:ascii="Cambria Math" w:hAnsi="Cambria Math"/>
                      </w:rPr>
                      <m:t>N</m:t>
                    </m:r>
                  </m:e>
                  <m:sub>
                    <m:r>
                      <w:rPr>
                        <w:rFonts w:ascii="Cambria Math" w:hAnsi="Cambria Math"/>
                      </w:rPr>
                      <m:t>RxBeam</m:t>
                    </m:r>
                    <m:r>
                      <m:rPr>
                        <m:sty m:val="p"/>
                      </m:rPr>
                      <w:rPr>
                        <w:rFonts w:ascii="Cambria Math" w:hAnsi="Cambria Math"/>
                      </w:rPr>
                      <m:t>,</m:t>
                    </m:r>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PRS</m:t>
                            </m:r>
                            <m:r>
                              <m:rPr>
                                <m:nor/>
                              </m:rPr>
                              <m:t>,i</m:t>
                            </m:r>
                          </m:sub>
                          <m:sup>
                            <m:r>
                              <w:rPr>
                                <w:rFonts w:ascii="Cambria Math" w:hAnsi="Cambria Math"/>
                              </w:rPr>
                              <m:t>slot</m:t>
                            </m:r>
                          </m:sup>
                        </m:sSubSup>
                      </m:num>
                      <m:den>
                        <m:sSup>
                          <m:sSupPr>
                            <m:ctrlPr>
                              <w:rPr>
                                <w:rFonts w:ascii="Cambria Math" w:hAnsi="Cambria Math"/>
                              </w:rPr>
                            </m:ctrlPr>
                          </m:sSupPr>
                          <m:e>
                            <m:r>
                              <w:rPr>
                                <w:rFonts w:ascii="Cambria Math" w:hAnsi="Cambria Math"/>
                              </w:rPr>
                              <m:t>N</m:t>
                            </m:r>
                          </m:e>
                          <m:sup>
                            <m:r>
                              <m:rPr>
                                <m:sty m:val="p"/>
                              </m:rPr>
                              <w:rPr>
                                <w:rFonts w:ascii="Cambria Math" w:hAnsi="Cambria Math" w:hint="eastAsia"/>
                              </w:rPr>
                              <m:t>'</m:t>
                            </m:r>
                          </m:sup>
                        </m:sSup>
                      </m:den>
                    </m:f>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i/>
                                <w:iCs/>
                                <w:lang w:eastAsia="zh-CN"/>
                              </w:rPr>
                            </m:ctrlPr>
                          </m:sSubPr>
                          <m:e>
                            <m:r>
                              <w:rPr>
                                <w:rFonts w:ascii="Cambria Math" w:hAnsi="Cambria Math"/>
                                <w:lang w:eastAsia="zh-CN"/>
                              </w:rPr>
                              <m:t>L</m:t>
                            </m:r>
                          </m:e>
                          <m:sub>
                            <m:r>
                              <w:rPr>
                                <w:rFonts w:ascii="Cambria Math" w:hAnsi="Cambria Math"/>
                                <w:lang w:eastAsia="zh-CN"/>
                              </w:rPr>
                              <m:t>available_PRS</m:t>
                            </m:r>
                            <m:r>
                              <m:rPr>
                                <m:sty m:val="p"/>
                              </m:rPr>
                              <w:rPr>
                                <w:rFonts w:ascii="Cambria Math" w:hAnsi="Cambria Math"/>
                                <w:lang w:eastAsia="zh-CN"/>
                              </w:rPr>
                              <m:t>,i</m:t>
                            </m:r>
                          </m:sub>
                        </m:sSub>
                      </m:num>
                      <m:den>
                        <m:r>
                          <w:rPr>
                            <w:rFonts w:ascii="Cambria Math" w:hAnsi="Cambria Math"/>
                          </w:rPr>
                          <m:t>N</m:t>
                        </m:r>
                      </m:den>
                    </m:f>
                  </m:e>
                </m:d>
                <m:r>
                  <m:rPr>
                    <m:sty m:val="p"/>
                  </m:rPr>
                  <w:rPr>
                    <w:rFonts w:ascii="Cambria Math" w:hAnsi="Cambria Math"/>
                    <w:lang w:eastAsia="zh-CN"/>
                  </w:rPr>
                  <m:t>*</m:t>
                </m:r>
                <m:sSub>
                  <m:sSubPr>
                    <m:ctrlPr>
                      <w:rPr>
                        <w:rFonts w:ascii="Cambria Math" w:hAnsi="Cambria Math"/>
                      </w:rPr>
                    </m:ctrlPr>
                  </m:sSubPr>
                  <m:e>
                    <m:r>
                      <w:rPr>
                        <w:rFonts w:ascii="Cambria Math" w:hAnsi="Cambria Math"/>
                      </w:rPr>
                      <m:t>N</m:t>
                    </m:r>
                  </m:e>
                  <m:sub>
                    <m:r>
                      <w:rPr>
                        <w:rFonts w:ascii="Cambria Math" w:hAnsi="Cambria Math"/>
                      </w:rPr>
                      <m:t>sample</m:t>
                    </m:r>
                  </m:sub>
                </m:sSub>
                <m:r>
                  <m:rPr>
                    <m:sty m:val="p"/>
                  </m:rPr>
                  <w:rPr>
                    <w:rFonts w:ascii="Cambria Math" w:hAnsi="Cambria Math"/>
                  </w:rPr>
                  <m:t>-1</m:t>
                </m:r>
              </m:e>
            </m:d>
            <m:r>
              <m:rPr>
                <m:sty m:val="p"/>
              </m:rPr>
              <w:rPr>
                <w:rFonts w:ascii="Cambria Math" w:hAnsi="Cambria Math"/>
                <w:lang w:eastAsia="zh-CN"/>
              </w:rPr>
              <m:t>*T</m:t>
            </m:r>
          </m:e>
          <m:sub>
            <m:r>
              <m:rPr>
                <m:sty m:val="p"/>
              </m:rPr>
              <w:rPr>
                <w:rFonts w:ascii="Cambria Math" w:hAnsi="Cambria Math"/>
                <w:lang w:eastAsia="zh-CN"/>
              </w:rPr>
              <m:t>effect,i</m:t>
            </m:r>
          </m:sub>
        </m:sSub>
        <m:r>
          <m:rPr>
            <m:sty m:val="p"/>
          </m:rPr>
          <w:rPr>
            <w:rFonts w:ascii="Cambria Math" w:hAnsi="Cambria Math"/>
            <w:lang w:eastAsia="zh-CN"/>
          </w:rPr>
          <m:t>+</m:t>
        </m:r>
        <m:sSub>
          <m:sSubPr>
            <m:ctrlPr>
              <w:rPr>
                <w:rFonts w:ascii="Cambria Math" w:hAnsi="Cambria Math"/>
              </w:rPr>
            </m:ctrlPr>
          </m:sSubPr>
          <m:e>
            <m:r>
              <m:rPr>
                <m:nor/>
              </m:rPr>
              <m:t>T</m:t>
            </m:r>
          </m:e>
          <m:sub>
            <m:r>
              <m:rPr>
                <m:nor/>
              </m:rPr>
              <m:t>last</m:t>
            </m:r>
            <m:r>
              <m:rPr>
                <m:sty m:val="p"/>
              </m:rPr>
              <w:rPr>
                <w:rFonts w:ascii="Cambria Math" w:hAnsi="Cambria Math"/>
              </w:rPr>
              <m:t>,i</m:t>
            </m:r>
          </m:sub>
        </m:sSub>
      </m:oMath>
      <w:r w:rsidRPr="00AB4257">
        <w:t xml:space="preserve"> ,</w:t>
      </w:r>
    </w:p>
    <w:p w14:paraId="02B81792" w14:textId="77777777" w:rsidR="006A56A5" w:rsidRPr="00AB4257" w:rsidRDefault="006A56A5" w:rsidP="006A56A5">
      <w:pPr>
        <w:rPr>
          <w:rFonts w:cs="v4.2.0"/>
          <w:lang w:eastAsia="zh-CN"/>
        </w:rPr>
      </w:pPr>
      <w:r w:rsidRPr="00AB4257">
        <w:rPr>
          <w:rFonts w:eastAsia="MS Mincho" w:cs="v4.2.0"/>
        </w:rPr>
        <w:t>Where</w:t>
      </w:r>
      <w:r>
        <w:rPr>
          <w:rFonts w:eastAsia="MS Mincho" w:cs="v4.2.0"/>
        </w:rPr>
        <w:t>:</w:t>
      </w:r>
      <w:bookmarkEnd w:id="73"/>
    </w:p>
    <w:bookmarkEnd w:id="74"/>
    <w:p w14:paraId="5FBDA79E" w14:textId="77777777" w:rsidR="00567F6E" w:rsidRDefault="00567F6E" w:rsidP="00567F6E">
      <w:pPr>
        <w:pStyle w:val="B10"/>
      </w:pPr>
      <w:r>
        <w:rPr>
          <w:rFonts w:eastAsia="MS Mincho" w:cs="v4.2.0"/>
        </w:rPr>
        <w:t>-</w:t>
      </w:r>
      <w:r w:rsidRPr="00AB4257">
        <w:rPr>
          <w:rFonts w:eastAsia="MS Mincho" w:cs="v4.2.0"/>
        </w:rPr>
        <w:tab/>
      </w:r>
      <m:oMath>
        <m:sSub>
          <m:sSubPr>
            <m:ctrlPr>
              <w:rPr>
                <w:rFonts w:ascii="Cambria Math" w:hAnsi="Cambria Math"/>
                <w:i/>
              </w:rPr>
            </m:ctrlPr>
          </m:sSubPr>
          <m:e>
            <m:r>
              <w:rPr>
                <w:rFonts w:ascii="Cambria Math" w:hAnsi="Cambria Math"/>
              </w:rPr>
              <m:t>N</m:t>
            </m:r>
          </m:e>
          <m:sub>
            <m:r>
              <w:rPr>
                <w:rFonts w:ascii="Cambria Math" w:hAnsi="Cambria Math"/>
              </w:rPr>
              <m:t>RxBeam,i</m:t>
            </m:r>
          </m:sub>
        </m:sSub>
      </m:oMath>
      <w:r w:rsidRPr="00AB4257">
        <w:t xml:space="preserve"> is the UE Rx beam sweeping factor</w:t>
      </w:r>
      <w:r>
        <w:t>:</w:t>
      </w:r>
    </w:p>
    <w:p w14:paraId="09D43B3C" w14:textId="77777777" w:rsidR="00567F6E" w:rsidRPr="00AF5628" w:rsidRDefault="00567F6E" w:rsidP="00567F6E">
      <w:pPr>
        <w:pStyle w:val="B20"/>
      </w:pPr>
      <w:r>
        <w:t>-</w:t>
      </w:r>
      <w:r>
        <w:tab/>
      </w:r>
      <m:oMath>
        <m:sSub>
          <m:sSubPr>
            <m:ctrlPr>
              <w:rPr>
                <w:rFonts w:ascii="Cambria Math" w:hAnsi="Cambria Math"/>
                <w:i/>
              </w:rPr>
            </m:ctrlPr>
          </m:sSubPr>
          <m:e>
            <m:r>
              <w:rPr>
                <w:rFonts w:ascii="Cambria Math" w:hAnsi="Cambria Math"/>
              </w:rPr>
              <m:t>N</m:t>
            </m:r>
          </m:e>
          <m:sub>
            <m:r>
              <w:rPr>
                <w:rFonts w:ascii="Cambria Math" w:hAnsi="Cambria Math"/>
              </w:rPr>
              <m:t>RxBeam,i</m:t>
            </m:r>
          </m:sub>
        </m:sSub>
      </m:oMath>
      <w:r w:rsidRPr="00AB4257">
        <w:t xml:space="preserve"> = 1 </w:t>
      </w:r>
      <w:r w:rsidRPr="000506D8">
        <w:rPr>
          <w:lang w:eastAsia="zh-CN"/>
        </w:rPr>
        <w:t xml:space="preserve">if positioning frequency layer </w:t>
      </w:r>
      <w:r w:rsidRPr="000506D8">
        <w:rPr>
          <w:i/>
          <w:lang w:eastAsia="zh-CN"/>
        </w:rPr>
        <w:t>i</w:t>
      </w:r>
      <w:r w:rsidRPr="000506D8">
        <w:rPr>
          <w:lang w:eastAsia="zh-CN"/>
        </w:rPr>
        <w:t xml:space="preserve"> is </w:t>
      </w:r>
      <w:r w:rsidRPr="00AB4257">
        <w:t>in FR1</w:t>
      </w:r>
      <w:r>
        <w:t xml:space="preserve">, and </w:t>
      </w:r>
      <w:r w:rsidRPr="000506D8">
        <w:rPr>
          <w:lang w:eastAsia="zh-CN"/>
        </w:rPr>
        <w:t xml:space="preserve">if positioning frequency layer </w:t>
      </w:r>
      <w:r w:rsidRPr="000506D8">
        <w:rPr>
          <w:i/>
          <w:lang w:eastAsia="zh-CN"/>
        </w:rPr>
        <w:t>i</w:t>
      </w:r>
      <w:r w:rsidRPr="000506D8">
        <w:rPr>
          <w:lang w:eastAsia="zh-CN"/>
        </w:rPr>
        <w:t xml:space="preserve"> is </w:t>
      </w:r>
      <w:r w:rsidRPr="00AB4257">
        <w:t>in FR</w:t>
      </w:r>
      <w:r>
        <w:t>2</w:t>
      </w:r>
    </w:p>
    <w:p w14:paraId="1E9E7720" w14:textId="11196D37" w:rsidR="00567F6E" w:rsidRPr="00E41CDD" w:rsidRDefault="00941150" w:rsidP="008A7648">
      <w:pPr>
        <w:pStyle w:val="B30"/>
        <w:rPr>
          <w:lang w:eastAsia="zh-CN"/>
        </w:rPr>
      </w:pPr>
      <w:r>
        <w:t>-</w:t>
      </w:r>
      <w:r>
        <w:tab/>
      </w:r>
      <w:r w:rsidRPr="00C66141">
        <w:rPr>
          <w:rFonts w:eastAsia="SimSun"/>
          <w:bCs/>
          <w:lang w:eastAsia="zh-CN"/>
        </w:rPr>
        <w:tab/>
      </w:r>
      <m:oMath>
        <m:sSub>
          <m:sSubPr>
            <m:ctrlPr>
              <w:rPr>
                <w:rFonts w:ascii="Cambria Math" w:hAnsi="Cambria Math"/>
                <w:i/>
              </w:rPr>
            </m:ctrlPr>
          </m:sSubPr>
          <m:e>
            <m:r>
              <w:rPr>
                <w:rFonts w:ascii="Cambria Math" w:hAnsi="Cambria Math"/>
              </w:rPr>
              <m:t>N</m:t>
            </m:r>
          </m:e>
          <m:sub>
            <m:r>
              <w:rPr>
                <w:rFonts w:ascii="Cambria Math" w:hAnsi="Cambria Math"/>
              </w:rPr>
              <m:t>RxBeam,i</m:t>
            </m:r>
          </m:sub>
        </m:sSub>
      </m:oMath>
      <w:r>
        <w:rPr>
          <w:rFonts w:eastAsia="SimSun" w:hint="eastAsia"/>
          <w:lang w:eastAsia="zh-CN"/>
        </w:rPr>
        <w:t xml:space="preserve"> </w:t>
      </w:r>
      <w:r w:rsidRPr="00E41CDD">
        <w:rPr>
          <w:lang w:eastAsia="zh-CN"/>
        </w:rPr>
        <w:t xml:space="preserve">equals to the value as UE reported in </w:t>
      </w:r>
      <w:r>
        <w:rPr>
          <w:i/>
          <w:lang w:eastAsia="zh-CN"/>
        </w:rPr>
        <w:t>supportedL</w:t>
      </w:r>
      <w:r w:rsidRPr="00A57D0B">
        <w:rPr>
          <w:i/>
          <w:lang w:eastAsia="zh-CN"/>
        </w:rPr>
        <w:t>owerRxBeamSweeping</w:t>
      </w:r>
      <w:r>
        <w:rPr>
          <w:i/>
          <w:lang w:eastAsia="zh-CN"/>
        </w:rPr>
        <w:t>Factor</w:t>
      </w:r>
      <w:r w:rsidRPr="00A57D0B">
        <w:rPr>
          <w:i/>
          <w:lang w:eastAsia="zh-CN"/>
        </w:rPr>
        <w:t>-FR2</w:t>
      </w:r>
      <w:r w:rsidRPr="003825BB">
        <w:rPr>
          <w:lang w:eastAsia="zh-CN"/>
        </w:rPr>
        <w:t xml:space="preserve"> </w:t>
      </w:r>
      <w:r w:rsidRPr="00E41CDD">
        <w:rPr>
          <w:lang w:eastAsia="zh-CN"/>
        </w:rPr>
        <w:t xml:space="preserve">if the capability is reported by the UE for the band containing positioning frequency layer i, and LMF indicates </w:t>
      </w:r>
      <w:r w:rsidRPr="004C2409">
        <w:rPr>
          <w:i/>
          <w:lang w:eastAsia="zh-CN"/>
        </w:rPr>
        <w:t xml:space="preserve">lowerRxBeamSweepingFactor-FR2 </w:t>
      </w:r>
      <w:r w:rsidRPr="00E41CDD">
        <w:rPr>
          <w:lang w:eastAsia="zh-CN"/>
        </w:rPr>
        <w:t xml:space="preserve">in </w:t>
      </w:r>
      <w:r w:rsidRPr="00D5249B">
        <w:rPr>
          <w:i/>
        </w:rPr>
        <w:t>NR-</w:t>
      </w:r>
      <w:r>
        <w:rPr>
          <w:i/>
        </w:rPr>
        <w:t>TDOA</w:t>
      </w:r>
      <w:r w:rsidRPr="00D5249B">
        <w:rPr>
          <w:i/>
        </w:rPr>
        <w:t>-Request</w:t>
      </w:r>
      <w:r w:rsidRPr="00D5249B">
        <w:rPr>
          <w:i/>
          <w:noProof/>
        </w:rPr>
        <w:t>LocationInformation</w:t>
      </w:r>
      <w:r w:rsidRPr="00E41CDD">
        <w:rPr>
          <w:lang w:eastAsia="zh-CN"/>
        </w:rPr>
        <w:t>.</w:t>
      </w:r>
    </w:p>
    <w:p w14:paraId="309132FF" w14:textId="404CD1C7" w:rsidR="00053AF5" w:rsidRPr="00AB4257" w:rsidRDefault="00567F6E" w:rsidP="00567F6E">
      <w:pPr>
        <w:pStyle w:val="B20"/>
        <w:rPr>
          <w:lang w:eastAsia="zh-CN"/>
        </w:rPr>
      </w:pPr>
      <w:r>
        <w:t>-</w:t>
      </w:r>
      <w:r>
        <w:tab/>
      </w:r>
      <w:r w:rsidRPr="00C66141">
        <w:rPr>
          <w:rFonts w:eastAsia="SimSun"/>
          <w:bCs/>
          <w:lang w:eastAsia="zh-CN"/>
        </w:rPr>
        <w:tab/>
      </w:r>
      <m:oMath>
        <m:sSub>
          <m:sSubPr>
            <m:ctrlPr>
              <w:rPr>
                <w:rFonts w:ascii="Cambria Math" w:hAnsi="Cambria Math"/>
                <w:i/>
              </w:rPr>
            </m:ctrlPr>
          </m:sSubPr>
          <m:e>
            <m:r>
              <w:rPr>
                <w:rFonts w:ascii="Cambria Math" w:hAnsi="Cambria Math"/>
              </w:rPr>
              <m:t>N</m:t>
            </m:r>
          </m:e>
          <m:sub>
            <m:r>
              <w:rPr>
                <w:rFonts w:ascii="Cambria Math" w:hAnsi="Cambria Math"/>
              </w:rPr>
              <m:t>RxBeam,i</m:t>
            </m:r>
          </m:sub>
        </m:sSub>
      </m:oMath>
      <w:r>
        <w:rPr>
          <w:rFonts w:eastAsia="SimSun"/>
          <w:bCs/>
          <w:lang w:eastAsia="zh-CN"/>
        </w:rPr>
        <w:t xml:space="preserve"> </w:t>
      </w:r>
      <w:r w:rsidRPr="00E41CDD">
        <w:rPr>
          <w:lang w:eastAsia="zh-CN"/>
        </w:rPr>
        <w:t>equals to 8, otherwise.</w:t>
      </w:r>
    </w:p>
    <w:p w14:paraId="0B354487" w14:textId="54099E27" w:rsidR="006A56A5" w:rsidRPr="00AB4257" w:rsidRDefault="006A56A5" w:rsidP="006A56A5">
      <w:pPr>
        <w:ind w:left="568" w:hanging="284"/>
        <w:rPr>
          <w:lang w:eastAsia="zh-CN"/>
        </w:rPr>
      </w:pPr>
      <w:r>
        <w:rPr>
          <w:rFonts w:eastAsia="MS Mincho" w:cs="v4.2.0"/>
        </w:rPr>
        <w:t>-</w:t>
      </w:r>
      <w:r w:rsidRPr="00AB4257">
        <w:rPr>
          <w:rFonts w:eastAsia="MS Mincho" w:cs="v4.2.0"/>
        </w:rPr>
        <w:tab/>
      </w:r>
      <m:oMath>
        <m:sSub>
          <m:sSubPr>
            <m:ctrlPr>
              <w:rPr>
                <w:rFonts w:ascii="Cambria Math" w:hAnsi="Cambria Math"/>
                <w:bCs/>
                <w:i/>
                <w:iCs/>
              </w:rPr>
            </m:ctrlPr>
          </m:sSubPr>
          <m:e>
            <m:r>
              <w:rPr>
                <w:rFonts w:ascii="Cambria Math" w:hAnsi="Cambria Math"/>
              </w:rPr>
              <m:t>K</m:t>
            </m:r>
          </m:e>
          <m:sub>
            <m:r>
              <m:rPr>
                <m:sty m:val="p"/>
              </m:rPr>
              <w:rPr>
                <w:rFonts w:ascii="Cambria Math" w:hAnsi="Cambria Math"/>
              </w:rPr>
              <m:t>carrier_PRS</m:t>
            </m:r>
          </m:sub>
        </m:sSub>
      </m:oMath>
      <w:r w:rsidRPr="00AB4257">
        <w:t xml:space="preserve"> is a scaling factor for PRS-based NR positioning measurements in </w:t>
      </w:r>
      <w:r w:rsidRPr="00AB4257">
        <w:rPr>
          <w:lang w:eastAsia="zh-CN"/>
        </w:rPr>
        <w:t>RRC_INACTIVE</w:t>
      </w:r>
      <w:r w:rsidRPr="00AB4257">
        <w:t>. If the UE support</w:t>
      </w:r>
      <w:r w:rsidRPr="00AB4257">
        <w:rPr>
          <w:lang w:eastAsia="zh-CN"/>
        </w:rPr>
        <w:t>s</w:t>
      </w:r>
      <w:r w:rsidRPr="00AB4257">
        <w:t xml:space="preserve"> </w:t>
      </w:r>
      <w:r w:rsidRPr="008A7648">
        <w:rPr>
          <w:i/>
        </w:rPr>
        <w:t>parallelPRS-MeasRRC-Inactive-r17</w:t>
      </w:r>
      <w:r w:rsidRPr="00AB4257">
        <w:t xml:space="preserve">, </w:t>
      </w:r>
      <w:r w:rsidRPr="00AB4257">
        <w:rPr>
          <w:lang w:eastAsia="zh-CN"/>
        </w:rPr>
        <w:t>K</w:t>
      </w:r>
      <w:r w:rsidRPr="00AB4257">
        <w:rPr>
          <w:vertAlign w:val="subscript"/>
          <w:lang w:eastAsia="zh-CN"/>
        </w:rPr>
        <w:t>carrier_PRS</w:t>
      </w:r>
      <w:r w:rsidRPr="00AB4257">
        <w:rPr>
          <w:lang w:eastAsia="zh-CN"/>
        </w:rPr>
        <w:t xml:space="preserve"> = 1; otherwise, </w:t>
      </w:r>
    </w:p>
    <w:p w14:paraId="15929782" w14:textId="77777777" w:rsidR="006A56A5" w:rsidRPr="00AB4257" w:rsidRDefault="006A56A5" w:rsidP="006A56A5">
      <w:pPr>
        <w:pStyle w:val="B10"/>
        <w:rPr>
          <w:lang w:eastAsia="zh-CN"/>
        </w:rPr>
      </w:pPr>
      <w:r>
        <w:t>-</w:t>
      </w:r>
      <w:r>
        <w:tab/>
      </w:r>
      <w:r w:rsidRPr="00AB4257">
        <w:t>If Srxlev ≤ S</w:t>
      </w:r>
      <w:r w:rsidRPr="00AB4257">
        <w:rPr>
          <w:vertAlign w:val="subscript"/>
        </w:rPr>
        <w:t>nonIntraSearchP</w:t>
      </w:r>
      <w:r w:rsidRPr="00AB4257">
        <w:t xml:space="preserve"> or Squal ≤ S</w:t>
      </w:r>
      <w:r w:rsidRPr="00AB4257">
        <w:rPr>
          <w:vertAlign w:val="subscript"/>
        </w:rPr>
        <w:t>nonIntraSearchQ</w:t>
      </w:r>
      <w:r w:rsidRPr="00AB4257">
        <w:t xml:space="preserve">, </w:t>
      </w:r>
      <m:oMath>
        <m:sSub>
          <m:sSubPr>
            <m:ctrlPr>
              <w:rPr>
                <w:rFonts w:ascii="Cambria Math" w:hAnsi="Cambria Math"/>
                <w:bCs/>
                <w:i/>
              </w:rPr>
            </m:ctrlPr>
          </m:sSubPr>
          <m:e>
            <m:r>
              <w:rPr>
                <w:rFonts w:ascii="Cambria Math" w:hAnsi="Cambria Math"/>
              </w:rPr>
              <m:t>K</m:t>
            </m:r>
          </m:e>
          <m:sub>
            <m:r>
              <m:rPr>
                <m:sty m:val="p"/>
              </m:rPr>
              <w:rPr>
                <w:rFonts w:ascii="Cambria Math" w:hAnsi="Cambria Math"/>
              </w:rPr>
              <m:t>carrier_PRS</m:t>
            </m:r>
          </m:sub>
        </m:sSub>
        <m:r>
          <w:rPr>
            <w:rFonts w:ascii="Cambria Math" w:hAnsi="Cambria Math"/>
          </w:rPr>
          <m:t>=</m:t>
        </m:r>
        <m:sSub>
          <m:sSubPr>
            <m:ctrlPr>
              <w:rPr>
                <w:rFonts w:ascii="Cambria Math" w:hAnsi="Cambria Math"/>
                <w:bCs/>
                <w:i/>
              </w:rPr>
            </m:ctrlPr>
          </m:sSubPr>
          <m:e>
            <m:r>
              <w:rPr>
                <w:rFonts w:ascii="Cambria Math" w:hAnsi="Cambria Math"/>
              </w:rPr>
              <m:t>K</m:t>
            </m:r>
          </m:e>
          <m:sub>
            <m:r>
              <m:rPr>
                <m:sty m:val="p"/>
              </m:rPr>
              <w:rPr>
                <w:rFonts w:ascii="Cambria Math" w:hAnsi="Cambria Math"/>
              </w:rPr>
              <m:t>carrier</m:t>
            </m:r>
          </m:sub>
        </m:sSub>
        <m:r>
          <w:rPr>
            <w:rFonts w:ascii="Cambria Math" w:hAnsi="Cambria Math"/>
          </w:rPr>
          <m:t>+1</m:t>
        </m:r>
      </m:oMath>
      <w:r w:rsidRPr="00AB4257">
        <w:rPr>
          <w:color w:val="000000"/>
          <w:lang w:eastAsia="zh-CN"/>
        </w:rPr>
        <w:t xml:space="preserve">, where </w:t>
      </w:r>
      <m:oMath>
        <m:sSub>
          <m:sSubPr>
            <m:ctrlPr>
              <w:rPr>
                <w:rFonts w:ascii="Cambria Math" w:hAnsi="Cambria Math"/>
                <w:bCs/>
                <w:i/>
              </w:rPr>
            </m:ctrlPr>
          </m:sSubPr>
          <m:e>
            <m:r>
              <w:rPr>
                <w:rFonts w:ascii="Cambria Math" w:hAnsi="Cambria Math"/>
              </w:rPr>
              <m:t>K</m:t>
            </m:r>
          </m:e>
          <m:sub>
            <m:r>
              <m:rPr>
                <m:sty m:val="p"/>
              </m:rPr>
              <w:rPr>
                <w:rFonts w:ascii="Cambria Math" w:hAnsi="Cambria Math"/>
              </w:rPr>
              <m:t>carrier</m:t>
            </m:r>
          </m:sub>
        </m:sSub>
      </m:oMath>
      <w:r w:rsidRPr="00AB4257">
        <w:rPr>
          <w:bCs/>
        </w:rPr>
        <w:t xml:space="preserve"> is </w:t>
      </w:r>
      <w:r w:rsidRPr="00AB4257">
        <w:t>defined in clause 4.2.2.4</w:t>
      </w:r>
    </w:p>
    <w:p w14:paraId="33CB0D00" w14:textId="10051CA8" w:rsidR="006A56A5" w:rsidRPr="00AB4257" w:rsidRDefault="006A56A5" w:rsidP="006A56A5">
      <w:pPr>
        <w:pStyle w:val="B10"/>
        <w:rPr>
          <w:lang w:eastAsia="zh-CN"/>
        </w:rPr>
      </w:pPr>
      <w:r>
        <w:rPr>
          <w:color w:val="000000"/>
          <w:lang w:eastAsia="zh-CN"/>
        </w:rPr>
        <w:t>-</w:t>
      </w:r>
      <w:r>
        <w:rPr>
          <w:color w:val="000000"/>
          <w:lang w:eastAsia="zh-CN"/>
        </w:rPr>
        <w:tab/>
      </w:r>
      <w:r w:rsidRPr="00AB4257">
        <w:rPr>
          <w:color w:val="000000"/>
          <w:lang w:eastAsia="zh-CN"/>
        </w:rPr>
        <w:t xml:space="preserve">If Srxlev &gt; </w:t>
      </w:r>
      <w:r w:rsidRPr="00AB4257">
        <w:t>S</w:t>
      </w:r>
      <w:r w:rsidRPr="00AB4257">
        <w:rPr>
          <w:vertAlign w:val="subscript"/>
        </w:rPr>
        <w:t>nonIntraSearchP</w:t>
      </w:r>
      <w:r w:rsidRPr="00AB4257">
        <w:rPr>
          <w:color w:val="000000"/>
          <w:lang w:eastAsia="zh-CN"/>
        </w:rPr>
        <w:t xml:space="preserve"> and Squal &gt; </w:t>
      </w:r>
      <w:r w:rsidRPr="00AB4257">
        <w:t>S</w:t>
      </w:r>
      <w:r w:rsidRPr="00AB4257">
        <w:rPr>
          <w:vertAlign w:val="subscript"/>
        </w:rPr>
        <w:t>nonIntraSearchQ</w:t>
      </w:r>
      <w:r w:rsidRPr="00AB4257">
        <w:rPr>
          <w:color w:val="000000"/>
          <w:lang w:eastAsia="zh-CN"/>
        </w:rPr>
        <w:t xml:space="preserve">, </w:t>
      </w:r>
      <m:oMath>
        <m:sSub>
          <m:sSubPr>
            <m:ctrlPr>
              <w:rPr>
                <w:rFonts w:ascii="Cambria Math" w:hAnsi="Cambria Math"/>
                <w:bCs/>
                <w:i/>
              </w:rPr>
            </m:ctrlPr>
          </m:sSubPr>
          <m:e>
            <m:r>
              <w:rPr>
                <w:rFonts w:ascii="Cambria Math" w:hAnsi="Cambria Math"/>
              </w:rPr>
              <m:t>K</m:t>
            </m:r>
          </m:e>
          <m:sub>
            <m:r>
              <m:rPr>
                <m:sty m:val="p"/>
              </m:rPr>
              <w:rPr>
                <w:rFonts w:ascii="Cambria Math" w:hAnsi="Cambria Math"/>
              </w:rPr>
              <m:t>carrier_PRS</m:t>
            </m:r>
          </m:sub>
        </m:sSub>
        <m:r>
          <w:rPr>
            <w:rFonts w:ascii="Cambria Math" w:hAnsi="Cambria Math"/>
          </w:rPr>
          <m:t>=</m:t>
        </m:r>
        <m:sSub>
          <m:sSubPr>
            <m:ctrlPr>
              <w:rPr>
                <w:rFonts w:ascii="Cambria Math" w:hAnsi="Cambria Math"/>
                <w:bCs/>
                <w:i/>
              </w:rPr>
            </m:ctrlPr>
          </m:sSubPr>
          <m:e>
            <m:r>
              <w:rPr>
                <w:rFonts w:ascii="Cambria Math" w:hAnsi="Cambria Math"/>
              </w:rPr>
              <m:t>N</m:t>
            </m:r>
          </m:e>
          <m:sub>
            <m:r>
              <m:rPr>
                <m:sty m:val="p"/>
              </m:rPr>
              <w:rPr>
                <w:rFonts w:ascii="Cambria Math" w:hAnsi="Cambria Math"/>
              </w:rPr>
              <m:t>layers</m:t>
            </m:r>
          </m:sub>
        </m:sSub>
        <m:r>
          <w:rPr>
            <w:rFonts w:ascii="Cambria Math" w:hAnsi="Cambria Math"/>
          </w:rPr>
          <m:t>+1</m:t>
        </m:r>
      </m:oMath>
      <w:r w:rsidRPr="00AB4257">
        <w:t xml:space="preserve">, where </w:t>
      </w:r>
      <m:oMath>
        <m:sSub>
          <m:sSubPr>
            <m:ctrlPr>
              <w:rPr>
                <w:rFonts w:ascii="Cambria Math" w:hAnsi="Cambria Math"/>
                <w:bCs/>
                <w:i/>
              </w:rPr>
            </m:ctrlPr>
          </m:sSubPr>
          <m:e>
            <m:r>
              <w:rPr>
                <w:rFonts w:ascii="Cambria Math" w:hAnsi="Cambria Math"/>
              </w:rPr>
              <m:t>N</m:t>
            </m:r>
          </m:e>
          <m:sub>
            <m:r>
              <m:rPr>
                <m:sty m:val="p"/>
              </m:rPr>
              <w:rPr>
                <w:rFonts w:ascii="Cambria Math" w:hAnsi="Cambria Math"/>
              </w:rPr>
              <m:t>layers</m:t>
            </m:r>
          </m:sub>
        </m:sSub>
      </m:oMath>
      <w:r w:rsidRPr="00AB4257">
        <w:rPr>
          <w:bCs/>
        </w:rPr>
        <w:t xml:space="preserve"> is </w:t>
      </w:r>
      <w:r w:rsidRPr="00AB4257">
        <w:t xml:space="preserve">defined in clause 4.2.2.7. </w:t>
      </w:r>
    </w:p>
    <w:p w14:paraId="0FBE8A60" w14:textId="77777777" w:rsidR="006A56A5" w:rsidRPr="00AF5628" w:rsidRDefault="006A56A5" w:rsidP="006A56A5">
      <w:pPr>
        <w:pStyle w:val="B10"/>
      </w:pPr>
      <w:r>
        <w:t>-</w:t>
      </w:r>
      <w:r>
        <w:tab/>
      </w:r>
      <m:oMath>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Rx,TEG,i</m:t>
            </m:r>
          </m:sub>
        </m:sSub>
      </m:oMath>
      <w:r w:rsidRPr="00AF5628">
        <w:t xml:space="preserve"> is the Rx TEG specific scaling factor:</w:t>
      </w:r>
    </w:p>
    <w:p w14:paraId="1BCF4265" w14:textId="03A9D807" w:rsidR="006A56A5" w:rsidRPr="000921D6" w:rsidRDefault="006A56A5" w:rsidP="006A56A5">
      <w:pPr>
        <w:pStyle w:val="B20"/>
        <w:rPr>
          <w:rFonts w:cs="v4.2.0"/>
        </w:rPr>
      </w:pPr>
      <w:r>
        <w:t>-</w:t>
      </w:r>
      <w:r>
        <w:tab/>
      </w:r>
      <m:oMath>
        <m:sSub>
          <m:sSubPr>
            <m:ctrlPr>
              <w:rPr>
                <w:rFonts w:ascii="Cambria Math" w:eastAsia="MS Mincho" w:hAnsi="Cambria Math"/>
              </w:rPr>
            </m:ctrlPr>
          </m:sSubPr>
          <m:e>
            <m:r>
              <w:rPr>
                <w:rFonts w:ascii="Cambria Math" w:eastAsia="MS Mincho" w:hAnsi="Cambria Math"/>
              </w:rPr>
              <m:t>N</m:t>
            </m:r>
          </m:e>
          <m:sub>
            <m:r>
              <w:rPr>
                <w:rFonts w:ascii="Cambria Math" w:eastAsia="MS Mincho" w:hAnsi="Cambria Math"/>
              </w:rPr>
              <m:t>Rx</m:t>
            </m:r>
            <m:r>
              <m:rPr>
                <m:sty m:val="p"/>
              </m:rPr>
              <w:rPr>
                <w:rFonts w:ascii="Cambria Math" w:eastAsia="MS Mincho" w:hAnsi="Cambria Math"/>
              </w:rPr>
              <m:t>,</m:t>
            </m:r>
            <m:r>
              <w:rPr>
                <w:rFonts w:ascii="Cambria Math" w:eastAsia="MS Mincho" w:hAnsi="Cambria Math"/>
              </w:rPr>
              <m:t>TEG</m:t>
            </m:r>
            <m:r>
              <m:rPr>
                <m:sty m:val="p"/>
              </m:rPr>
              <w:rPr>
                <w:rFonts w:ascii="Cambria Math" w:eastAsia="MS Mincho" w:hAnsi="Cambria Math"/>
              </w:rPr>
              <m:t>,</m:t>
            </m:r>
            <m:r>
              <w:rPr>
                <w:rFonts w:ascii="Cambria Math" w:eastAsia="MS Mincho" w:hAnsi="Cambria Math"/>
              </w:rPr>
              <m:t>i</m:t>
            </m:r>
          </m:sub>
        </m:sSub>
      </m:oMath>
      <w:r w:rsidRPr="000921D6">
        <w:rPr>
          <w:rFonts w:cs="v4.2.0"/>
        </w:rPr>
        <w:t xml:space="preserve"> =1 if the UE is not configured </w:t>
      </w:r>
      <w:r w:rsidRPr="00717668">
        <w:rPr>
          <w:rFonts w:cs="v4.2.0"/>
        </w:rPr>
        <w:t xml:space="preserve">by the LMF </w:t>
      </w:r>
      <w:r w:rsidRPr="00C66141">
        <w:rPr>
          <w:rFonts w:eastAsia="SimSun"/>
          <w:lang w:eastAsia="zh-CN"/>
        </w:rPr>
        <w:t>to measure a PRS resource with multiple Rx TEGs</w:t>
      </w:r>
      <w:r w:rsidRPr="00717668">
        <w:rPr>
          <w:rFonts w:cs="v4.2.0"/>
        </w:rPr>
        <w:t xml:space="preserve"> </w:t>
      </w:r>
      <w:r>
        <w:rPr>
          <w:rFonts w:cs="v4.2.0" w:hint="eastAsia"/>
          <w:lang w:eastAsia="zh-CN"/>
        </w:rPr>
        <w:t>via</w:t>
      </w:r>
      <w:r w:rsidRPr="00717668">
        <w:rPr>
          <w:rFonts w:cs="v4.2.0"/>
        </w:rPr>
        <w:t xml:space="preserve"> </w:t>
      </w:r>
      <w:r w:rsidRPr="008A7648">
        <w:rPr>
          <w:i/>
          <w:iCs/>
          <w:snapToGrid w:val="0"/>
        </w:rPr>
        <w:t>measureSameDL-PRS-ResourceWithDifferentRxTEGs-r17</w:t>
      </w:r>
      <w:r w:rsidRPr="000921D6">
        <w:rPr>
          <w:snapToGrid w:val="0"/>
        </w:rPr>
        <w:t xml:space="preserve"> [34].</w:t>
      </w:r>
    </w:p>
    <w:p w14:paraId="7932D509" w14:textId="77777777" w:rsidR="006A56A5" w:rsidRDefault="006A56A5" w:rsidP="006A56A5">
      <w:pPr>
        <w:pStyle w:val="B20"/>
        <w:rPr>
          <w:snapToGrid w:val="0"/>
        </w:rPr>
      </w:pPr>
      <w:r>
        <w:rPr>
          <w:rFonts w:cs="v4.2.0"/>
        </w:rPr>
        <w:t>-</w:t>
      </w:r>
      <w:r>
        <w:rPr>
          <w:rFonts w:cs="v4.2.0"/>
        </w:rPr>
        <w:tab/>
      </w:r>
      <m:oMath>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Rx,TEG,i</m:t>
            </m:r>
          </m:sub>
        </m:sSub>
      </m:oMath>
      <w:r w:rsidRPr="000921D6">
        <w:rPr>
          <w:rFonts w:cs="v4.2.0"/>
        </w:rPr>
        <w:t xml:space="preserve"> is defined a</w:t>
      </w:r>
      <w:r w:rsidRPr="00717668">
        <w:rPr>
          <w:rFonts w:cs="v4.2.0"/>
        </w:rPr>
        <w:t xml:space="preserve">s follows if the UE is configured by the LMF with </w:t>
      </w:r>
      <w:r w:rsidRPr="00717668">
        <w:rPr>
          <w:i/>
          <w:iCs/>
          <w:snapToGrid w:val="0"/>
        </w:rPr>
        <w:t>measureSameDL-PRS-ResourceWithDifferentRxTEGs-r17</w:t>
      </w:r>
      <w:r w:rsidRPr="00717668">
        <w:rPr>
          <w:snapToGrid w:val="0"/>
        </w:rPr>
        <w:t xml:space="preserve"> [34] to perform measurement on same DL PRS resource of a TRP using dif</w:t>
      </w:r>
      <w:r w:rsidRPr="000921D6">
        <w:rPr>
          <w:snapToGrid w:val="0"/>
        </w:rPr>
        <w:t xml:space="preserve">ferent Rx TEGs in </w:t>
      </w:r>
      <w:r w:rsidRPr="000921D6">
        <w:rPr>
          <w:i/>
          <w:iCs/>
          <w:snapToGrid w:val="0"/>
        </w:rPr>
        <w:t>NR-DL-TDOA-RequestLocationInformation</w:t>
      </w:r>
      <w:r w:rsidRPr="000921D6">
        <w:rPr>
          <w:snapToGrid w:val="0"/>
        </w:rPr>
        <w:t xml:space="preserve"> [34]:</w:t>
      </w:r>
    </w:p>
    <w:p w14:paraId="2E23AAE3" w14:textId="686D8CC5" w:rsidR="006A56A5" w:rsidRDefault="00FD2683" w:rsidP="006A56A5">
      <w:pPr>
        <w:pStyle w:val="B30"/>
        <w:rPr>
          <w:rFonts w:cs="v4.2.0"/>
        </w:rPr>
      </w:pPr>
      <w:r w:rsidRPr="00EB4354">
        <w:rPr>
          <w:rFonts w:ascii="Cambria Math" w:hAnsi="Cambria Math" w:cs="Cambria Math"/>
        </w:rPr>
        <w:t>-</w:t>
      </w:r>
      <w:r w:rsidRPr="00EB4354">
        <w:rPr>
          <w:rFonts w:ascii="Cambria Math" w:hAnsi="Cambria Math" w:cs="Cambria Math"/>
        </w:rPr>
        <w:tab/>
      </w:r>
      <m:oMath>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Rx,TEG,i</m:t>
            </m:r>
          </m:sub>
        </m:sSub>
        <m:r>
          <w:rPr>
            <w:rFonts w:ascii="Cambria Math" w:eastAsia="MS Mincho" w:hAnsi="Cambria Math"/>
          </w:rPr>
          <m:t xml:space="preserve"> = P</m:t>
        </m:r>
      </m:oMath>
      <w:r w:rsidRPr="00EB4354">
        <w:t>, if the UE is not capable of receiving same DL PRS resource simultaneously from multiple Rx TEGs</w:t>
      </w:r>
      <w:r w:rsidRPr="00EB4354">
        <w:rPr>
          <w:rFonts w:hint="eastAsia"/>
          <w:lang w:eastAsia="zh-CN"/>
        </w:rPr>
        <w:t>,</w:t>
      </w:r>
      <w:r w:rsidRPr="00EB4354">
        <w:t xml:space="preserve"> </w:t>
      </w:r>
      <w:r w:rsidRPr="00EB4354">
        <w:rPr>
          <w:rFonts w:hint="eastAsia"/>
          <w:lang w:eastAsia="zh-CN"/>
        </w:rPr>
        <w:t>w</w:t>
      </w:r>
      <w:r w:rsidRPr="00EB4354">
        <w:t xml:space="preserve">here P is the number of </w:t>
      </w:r>
      <w:r w:rsidRPr="00EB4354">
        <w:rPr>
          <w:rFonts w:eastAsia="DengXian"/>
          <w:lang w:eastAsia="zh-CN"/>
        </w:rPr>
        <w:t>UE</w:t>
      </w:r>
      <w:r w:rsidRPr="00EB4354">
        <w:rPr>
          <w:rFonts w:eastAsia="DengXian" w:hint="eastAsia"/>
          <w:lang w:eastAsia="zh-CN"/>
        </w:rPr>
        <w:t xml:space="preserve"> </w:t>
      </w:r>
      <w:r w:rsidRPr="00EB4354">
        <w:rPr>
          <w:rFonts w:eastAsia="DengXian"/>
          <w:lang w:eastAsia="zh-CN"/>
        </w:rPr>
        <w:t>Rx</w:t>
      </w:r>
      <w:r w:rsidRPr="00EB4354">
        <w:rPr>
          <w:rFonts w:eastAsia="DengXian" w:hint="eastAsia"/>
          <w:lang w:eastAsia="zh-CN"/>
        </w:rPr>
        <w:t xml:space="preserve"> </w:t>
      </w:r>
      <w:r w:rsidRPr="00EB4354">
        <w:rPr>
          <w:rFonts w:eastAsia="DengXian"/>
          <w:lang w:eastAsia="zh-CN"/>
        </w:rPr>
        <w:t xml:space="preserve">TEGs that the UE is requested by LMF to measure the same DL-PRS Resource of a TRP indicated by </w:t>
      </w:r>
      <w:r w:rsidRPr="00EB4354">
        <w:rPr>
          <w:rFonts w:eastAsia="MS Mincho"/>
          <w:i/>
        </w:rPr>
        <w:t>measureSameDL-PRS-ResourceWithDifferentRxTEGs-r17</w:t>
      </w:r>
      <w:r w:rsidRPr="00EB4354">
        <w:rPr>
          <w:rFonts w:eastAsia="MS Mincho"/>
          <w:lang w:val="en-US"/>
        </w:rPr>
        <w:t xml:space="preserve"> in [34]</w:t>
      </w:r>
      <w:r>
        <w:rPr>
          <w:rFonts w:eastAsia="MS Mincho"/>
          <w:lang w:val="en-US"/>
        </w:rPr>
        <w:t>,</w:t>
      </w:r>
      <w:r w:rsidRPr="00C66141">
        <w:rPr>
          <w:rFonts w:eastAsia="MS Mincho"/>
        </w:rPr>
        <w:t xml:space="preserve"> </w:t>
      </w:r>
      <w:r w:rsidRPr="007E7027">
        <w:rPr>
          <w:rFonts w:eastAsia="MS Mincho"/>
        </w:rPr>
        <w:t xml:space="preserve">and in case ‘n0’ is indicated, </w:t>
      </w:r>
      <w:r>
        <w:rPr>
          <w:rFonts w:eastAsia="MS Mincho"/>
        </w:rPr>
        <w:t xml:space="preserve">P </w:t>
      </w:r>
      <w:r w:rsidRPr="007E7027">
        <w:rPr>
          <w:rFonts w:eastAsia="MS Mincho"/>
        </w:rPr>
        <w:t>is the maximum number of Rx TEGs with which UE can support to measure the same PRS resource</w:t>
      </w:r>
      <w:r w:rsidRPr="00F15CF6">
        <w:rPr>
          <w:rFonts w:eastAsia="MS Mincho"/>
        </w:rPr>
        <w:t xml:space="preserve"> </w:t>
      </w:r>
      <w:r>
        <w:rPr>
          <w:rFonts w:eastAsia="MS Mincho"/>
        </w:rPr>
        <w:t xml:space="preserve">as </w:t>
      </w:r>
      <w:r w:rsidRPr="00F15CF6">
        <w:rPr>
          <w:rFonts w:eastAsia="MS Mincho"/>
        </w:rPr>
        <w:t xml:space="preserve">reported in </w:t>
      </w:r>
      <w:r w:rsidRPr="00F15CF6">
        <w:rPr>
          <w:rFonts w:eastAsia="MS Mincho"/>
          <w:i/>
        </w:rPr>
        <w:t>NR-UE-TEG-Capability</w:t>
      </w:r>
      <w:r w:rsidRPr="00EB4354">
        <w:rPr>
          <w:rFonts w:eastAsia="MS Mincho"/>
          <w:lang w:val="en-US"/>
        </w:rPr>
        <w:t>.</w:t>
      </w:r>
    </w:p>
    <w:p w14:paraId="295FA09B" w14:textId="34DD41F1" w:rsidR="006A56A5" w:rsidRPr="00AF5628" w:rsidRDefault="006A56A5" w:rsidP="006A56A5">
      <w:pPr>
        <w:pStyle w:val="B30"/>
        <w:rPr>
          <w:rFonts w:eastAsia="SimSun"/>
          <w:lang w:eastAsia="zh-CN"/>
        </w:rPr>
      </w:pPr>
      <w:r>
        <w:rPr>
          <w:rFonts w:cs="v4.2.0"/>
        </w:rPr>
        <w:t>-</w:t>
      </w:r>
      <w:r>
        <w:rPr>
          <w:rFonts w:cs="v4.2.0"/>
        </w:rPr>
        <w:tab/>
      </w:r>
      <m:oMath>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Rx,TEG,i</m:t>
            </m:r>
          </m:sub>
        </m:sSub>
        <m:r>
          <w:rPr>
            <w:rFonts w:ascii="Cambria Math" w:eastAsia="MS Mincho" w:hAnsi="Cambria Math"/>
          </w:rPr>
          <m:t xml:space="preserve"> = </m:t>
        </m:r>
        <m:d>
          <m:dPr>
            <m:begChr m:val="⌈"/>
            <m:endChr m:val="⌉"/>
            <m:ctrlPr>
              <w:rPr>
                <w:rFonts w:ascii="Cambria Math" w:eastAsia="MS Mincho" w:hAnsi="Cambria Math"/>
                <w:i/>
              </w:rPr>
            </m:ctrlPr>
          </m:dPr>
          <m:e>
            <m:f>
              <m:fPr>
                <m:ctrlPr>
                  <w:rPr>
                    <w:rFonts w:ascii="Cambria Math" w:eastAsia="MS Mincho" w:hAnsi="Cambria Math"/>
                    <w:i/>
                  </w:rPr>
                </m:ctrlPr>
              </m:fPr>
              <m:num>
                <m:r>
                  <w:rPr>
                    <w:rFonts w:ascii="Cambria Math" w:eastAsia="MS Mincho" w:hAnsi="Cambria Math"/>
                  </w:rPr>
                  <m:t>P</m:t>
                </m:r>
              </m:num>
              <m:den>
                <m:r>
                  <w:rPr>
                    <w:rFonts w:ascii="Cambria Math" w:eastAsia="MS Mincho" w:hAnsi="Cambria Math"/>
                  </w:rPr>
                  <m:t>Q</m:t>
                </m:r>
              </m:den>
            </m:f>
          </m:e>
        </m:d>
        <m:r>
          <w:rPr>
            <w:rFonts w:ascii="Cambria Math" w:eastAsia="MS Mincho" w:hAnsi="Cambria Math"/>
          </w:rPr>
          <m:t xml:space="preserve"> </m:t>
        </m:r>
      </m:oMath>
      <w:r w:rsidRPr="00717668">
        <w:rPr>
          <w:rFonts w:eastAsia="MS Mincho"/>
        </w:rPr>
        <w:t xml:space="preserve">, </w:t>
      </w:r>
      <w:r w:rsidRPr="00717668">
        <w:rPr>
          <w:rFonts w:eastAsia="MS Mincho"/>
          <w:lang w:val="en-US"/>
        </w:rPr>
        <w:t xml:space="preserve">if the UE is </w:t>
      </w:r>
      <w:r w:rsidRPr="00717668">
        <w:rPr>
          <w:rFonts w:cs="v4.2.0"/>
        </w:rPr>
        <w:t xml:space="preserve">capable of receiving the </w:t>
      </w:r>
      <w:r w:rsidRPr="008C3C7B">
        <w:rPr>
          <w:rFonts w:cs="v4.2.0"/>
        </w:rPr>
        <w:t>same DL PRS resource simultaneously from multiple Rx TEGs</w:t>
      </w:r>
      <w:r>
        <w:rPr>
          <w:rFonts w:cs="v4.2.0" w:hint="eastAsia"/>
          <w:lang w:eastAsia="zh-CN"/>
        </w:rPr>
        <w:t>,</w:t>
      </w:r>
      <w:r w:rsidRPr="008C3C7B">
        <w:rPr>
          <w:rFonts w:cs="v4.2.0"/>
        </w:rPr>
        <w:t xml:space="preserve"> </w:t>
      </w:r>
      <w:r>
        <w:rPr>
          <w:rFonts w:hint="eastAsia"/>
          <w:lang w:eastAsia="zh-CN"/>
        </w:rPr>
        <w:t>w</w:t>
      </w:r>
      <w:r w:rsidRPr="005578D4">
        <w:rPr>
          <w:rFonts w:eastAsia="MS Mincho"/>
        </w:rPr>
        <w:t>h</w:t>
      </w:r>
      <w:r w:rsidRPr="00E63576">
        <w:rPr>
          <w:rFonts w:eastAsia="MS Mincho"/>
        </w:rPr>
        <w:t xml:space="preserve">ere </w:t>
      </w:r>
      <m:oMath>
        <m:r>
          <w:rPr>
            <w:rFonts w:ascii="Cambria Math" w:eastAsia="MS Mincho" w:hAnsi="Cambria Math"/>
          </w:rPr>
          <m:t>Q</m:t>
        </m:r>
      </m:oMath>
      <w:r w:rsidRPr="000921D6">
        <w:rPr>
          <w:rFonts w:eastAsia="MS Mincho"/>
        </w:rPr>
        <w:t xml:space="preserve"> is the </w:t>
      </w:r>
      <w:r w:rsidRPr="000921D6">
        <w:rPr>
          <w:rFonts w:eastAsia="DengXian"/>
          <w:lang w:eastAsia="zh-CN"/>
        </w:rPr>
        <w:t xml:space="preserve">number of UE Rx TEGs for measuring the same DL-PRS Resource simultaneously indicated by </w:t>
      </w:r>
      <w:r w:rsidRPr="000921D6">
        <w:rPr>
          <w:rFonts w:eastAsia="MS Mincho"/>
          <w:i/>
        </w:rPr>
        <w:t>measureSameDL-PRS-ResourceWithDifferentRxTEGsSimul-r17</w:t>
      </w:r>
      <w:r w:rsidRPr="000921D6">
        <w:rPr>
          <w:rFonts w:eastAsia="MS Mincho"/>
          <w:i/>
          <w:lang w:val="en-US"/>
        </w:rPr>
        <w:t xml:space="preserve"> </w:t>
      </w:r>
      <w:r w:rsidRPr="000921D6">
        <w:rPr>
          <w:rFonts w:eastAsia="MS Mincho"/>
          <w:lang w:val="en-US"/>
        </w:rPr>
        <w:t>in [34].</w:t>
      </w:r>
    </w:p>
    <w:p w14:paraId="54A1217D" w14:textId="77777777" w:rsidR="006A56A5" w:rsidRPr="00AB4257" w:rsidRDefault="006A56A5" w:rsidP="006A56A5">
      <w:pPr>
        <w:pStyle w:val="B10"/>
      </w:pPr>
      <w:r>
        <w:rPr>
          <w:color w:val="000000"/>
          <w:lang w:eastAsia="zh-CN"/>
        </w:rPr>
        <w:t>-</w:t>
      </w:r>
      <w:r>
        <w:rPr>
          <w:color w:val="000000"/>
          <w:lang w:eastAsia="zh-CN"/>
        </w:rPr>
        <w:tab/>
      </w:r>
      <m:oMath>
        <m:sSubSup>
          <m:sSubSupPr>
            <m:ctrlPr>
              <w:rPr>
                <w:rFonts w:ascii="Cambria Math" w:hAnsi="Cambria Math"/>
                <w:i/>
              </w:rPr>
            </m:ctrlPr>
          </m:sSubSupPr>
          <m:e>
            <m:r>
              <w:rPr>
                <w:rFonts w:ascii="Cambria Math" w:hAnsi="Cambria Math"/>
              </w:rPr>
              <m:t>N</m:t>
            </m:r>
          </m:e>
          <m:sub>
            <m:r>
              <w:rPr>
                <w:rFonts w:ascii="Cambria Math" w:hAnsi="Cambria Math"/>
              </w:rPr>
              <m:t>PRS,i</m:t>
            </m:r>
          </m:sub>
          <m:sup>
            <m:r>
              <w:rPr>
                <w:rFonts w:ascii="Cambria Math" w:hAnsi="Cambria Math"/>
              </w:rPr>
              <m:t>slot</m:t>
            </m:r>
          </m:sup>
        </m:sSubSup>
      </m:oMath>
      <w:r w:rsidRPr="00AB4257">
        <w:t xml:space="preserve"> is the maximum number of DL PRS resources in positioning frequency layer</w:t>
      </w:r>
      <w:r w:rsidRPr="00AB4257">
        <w:rPr>
          <w:i/>
          <w:iCs/>
        </w:rPr>
        <w:t xml:space="preserve"> i</w:t>
      </w:r>
      <w:r w:rsidRPr="00AB4257">
        <w:t xml:space="preserve"> configured in a slot. </w:t>
      </w:r>
    </w:p>
    <w:p w14:paraId="448EA7AE" w14:textId="19BF785C" w:rsidR="006A56A5" w:rsidRPr="00AB4257" w:rsidRDefault="006A56A5" w:rsidP="006A56A5">
      <w:pPr>
        <w:pStyle w:val="B10"/>
        <w:rPr>
          <w:lang w:eastAsia="zh-CN"/>
        </w:rPr>
      </w:pPr>
      <w:r>
        <w:rPr>
          <w:rFonts w:eastAsia="MS Mincho" w:cs="v4.2.0"/>
        </w:rPr>
        <w:t>-</w:t>
      </w:r>
      <w:r w:rsidRPr="00AB4257">
        <w:rPr>
          <w:rFonts w:eastAsia="MS Mincho" w:cs="v4.2.0"/>
        </w:rPr>
        <w:tab/>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available_PRS</m:t>
            </m:r>
            <m:r>
              <m:rPr>
                <m:sty m:val="p"/>
              </m:rPr>
              <w:rPr>
                <w:rFonts w:ascii="Cambria Math" w:hAnsi="Cambria Math"/>
                <w:lang w:eastAsia="zh-CN"/>
              </w:rPr>
              <m:t>,i</m:t>
            </m:r>
          </m:sub>
        </m:sSub>
      </m:oMath>
      <w:r w:rsidRPr="00AB4257">
        <w:rPr>
          <w:lang w:eastAsia="zh-CN"/>
        </w:rPr>
        <w:t xml:space="preserve"> is the time duration of available PRS in positioning frequency layer </w:t>
      </w:r>
      <w:r w:rsidRPr="00AB4257">
        <w:rPr>
          <w:i/>
          <w:lang w:eastAsia="zh-CN"/>
        </w:rPr>
        <w:t>i</w:t>
      </w:r>
      <w:r w:rsidRPr="00AB4257">
        <w:rPr>
          <w:lang w:eastAsia="zh-CN"/>
        </w:rPr>
        <w:t xml:space="preserve"> to be measured</w:t>
      </w:r>
      <w:r w:rsidR="007C4940" w:rsidRPr="00371B85">
        <w:rPr>
          <w:lang w:val="en-US" w:eastAsia="zh-CN"/>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PRS,i</m:t>
            </m:r>
          </m:sub>
        </m:sSub>
      </m:oMath>
      <w:r w:rsidR="007C4940" w:rsidRPr="00371B85">
        <w:rPr>
          <w:lang w:val="en-US" w:eastAsia="zh-CN"/>
        </w:rPr>
        <w:t>,</w:t>
      </w:r>
      <w:r w:rsidRPr="00AB4257">
        <w:rPr>
          <w:lang w:eastAsia="zh-CN"/>
        </w:rPr>
        <w:t xml:space="preserve"> and is calculated in the same way as PRS duration K defined in clause 5.1.6.5 of TS 38.214 [26]. For calculation of </w:t>
      </w:r>
      <m:oMath>
        <m:sSub>
          <m:sSubPr>
            <m:ctrlPr>
              <w:rPr>
                <w:rFonts w:ascii="Cambria Math" w:hAnsi="Cambria Math"/>
                <w:i/>
              </w:rPr>
            </m:ctrlPr>
          </m:sSubPr>
          <m:e>
            <m:r>
              <w:rPr>
                <w:rFonts w:ascii="Cambria Math" w:hAnsi="Cambria Math"/>
                <w:lang w:eastAsia="zh-CN"/>
              </w:rPr>
              <m:t>L</m:t>
            </m:r>
          </m:e>
          <m:sub>
            <m:r>
              <w:rPr>
                <w:rFonts w:ascii="Cambria Math" w:hAnsi="Cambria Math"/>
                <w:lang w:eastAsia="zh-CN"/>
              </w:rPr>
              <m:t>available_PRS</m:t>
            </m:r>
            <m:r>
              <m:rPr>
                <m:sty m:val="p"/>
              </m:rPr>
              <w:rPr>
                <w:rFonts w:ascii="Cambria Math" w:hAnsi="Cambria Math"/>
                <w:lang w:eastAsia="zh-CN"/>
              </w:rPr>
              <m:t>,i</m:t>
            </m:r>
          </m:sub>
        </m:sSub>
      </m:oMath>
      <w:r w:rsidRPr="00AB4257">
        <w:rPr>
          <w:lang w:eastAsia="zh-CN"/>
        </w:rPr>
        <w:t>, only unmuted PRS resources that are not fully overlapped with other higher-priority DL signals/channels are considered.</w:t>
      </w:r>
    </w:p>
    <w:p w14:paraId="2FC38DF0" w14:textId="77777777" w:rsidR="006A56A5" w:rsidRPr="00AB4257" w:rsidRDefault="006A56A5" w:rsidP="006A56A5">
      <w:pPr>
        <w:pStyle w:val="B10"/>
      </w:pPr>
      <w:r>
        <w:rPr>
          <w:rFonts w:eastAsia="MS Mincho" w:cs="v4.2.0"/>
        </w:rPr>
        <w:t>-</w:t>
      </w:r>
      <w:r w:rsidRPr="00AB4257">
        <w:rPr>
          <w:rFonts w:eastAsia="MS Mincho" w:cs="v4.2.0"/>
        </w:rPr>
        <w:tab/>
      </w:r>
      <m:oMath>
        <m:sSub>
          <m:sSubPr>
            <m:ctrlPr>
              <w:rPr>
                <w:rFonts w:ascii="Cambria Math" w:hAnsi="Cambria Math"/>
                <w:i/>
              </w:rPr>
            </m:ctrlPr>
          </m:sSubPr>
          <m:e>
            <m:r>
              <w:rPr>
                <w:rFonts w:ascii="Cambria Math" w:hAnsi="Cambria Math"/>
              </w:rPr>
              <m:t>N</m:t>
            </m:r>
          </m:e>
          <m:sub>
            <m:r>
              <w:rPr>
                <w:rFonts w:ascii="Cambria Math" w:hAnsi="Cambria Math"/>
              </w:rPr>
              <m:t>sample</m:t>
            </m:r>
          </m:sub>
        </m:sSub>
      </m:oMath>
      <w:r w:rsidRPr="00AB4257">
        <w:t xml:space="preserve"> is the number of PRS RSTD samples, where</w:t>
      </w:r>
    </w:p>
    <w:p w14:paraId="7C28EDDA" w14:textId="4596BDF2" w:rsidR="006A56A5" w:rsidRPr="000506D8" w:rsidRDefault="006A56A5" w:rsidP="006A56A5">
      <w:pPr>
        <w:pStyle w:val="B20"/>
      </w:pPr>
      <w:bookmarkStart w:id="75" w:name="_Hlk99535641"/>
      <w:r>
        <w:rPr>
          <w:rFonts w:eastAsia="MS Mincho" w:cs="v4.2.0"/>
        </w:rPr>
        <w:t>-</w:t>
      </w:r>
      <w:r w:rsidRPr="00AB4257">
        <w:rPr>
          <w:rFonts w:eastAsia="MS Mincho" w:cs="v4.2.0"/>
        </w:rPr>
        <w:tab/>
      </w:r>
      <w:bookmarkEnd w:id="75"/>
      <m:oMath>
        <m:sSub>
          <m:sSubPr>
            <m:ctrlPr>
              <w:rPr>
                <w:rFonts w:ascii="Cambria Math" w:hAnsi="Cambria Math"/>
              </w:rPr>
            </m:ctrlPr>
          </m:sSubPr>
          <m:e>
            <m:r>
              <w:rPr>
                <w:rFonts w:ascii="Cambria Math" w:hAnsi="Cambria Math"/>
              </w:rPr>
              <m:t>N</m:t>
            </m:r>
          </m:e>
          <m:sub>
            <m:r>
              <w:rPr>
                <w:rFonts w:ascii="Cambria Math" w:hAnsi="Cambria Math"/>
              </w:rPr>
              <m:t>sample</m:t>
            </m:r>
          </m:sub>
        </m:sSub>
      </m:oMath>
      <w:r w:rsidRPr="00AB4257">
        <w:t xml:space="preserve">= 1 if the UE supports </w:t>
      </w:r>
      <w:r w:rsidRPr="008A7648">
        <w:rPr>
          <w:i/>
        </w:rPr>
        <w:t>supportedDL-PRS-ProcessingSamples-RRC-Inactive</w:t>
      </w:r>
      <w:r w:rsidRPr="00DA2552">
        <w:t xml:space="preserve"> </w:t>
      </w:r>
      <w:r w:rsidRPr="00AB4257">
        <w:t>[</w:t>
      </w:r>
      <w:r>
        <w:t>34</w:t>
      </w:r>
      <w:r w:rsidRPr="00AB4257">
        <w:t>], and the LMF requests the UE to perform positioning measurements with reduced number of samples, and</w:t>
      </w:r>
      <w:r>
        <w:rPr>
          <w:lang w:eastAsia="zh-CN"/>
        </w:rPr>
        <w:t xml:space="preserve"> </w:t>
      </w:r>
      <w:r w:rsidRPr="000506D8">
        <w:t>meets the following conditions:</w:t>
      </w:r>
    </w:p>
    <w:p w14:paraId="4939B0D7" w14:textId="355BB5A9" w:rsidR="006A56A5" w:rsidRPr="000506D8" w:rsidRDefault="006A56A5" w:rsidP="006A56A5">
      <w:pPr>
        <w:pStyle w:val="B30"/>
      </w:pPr>
      <w:r>
        <w:t>-</w:t>
      </w:r>
      <w:r>
        <w:tab/>
      </w:r>
      <w:r w:rsidRPr="000506D8">
        <w:t xml:space="preserve">PRS bandwidth is within the </w:t>
      </w:r>
      <w:r>
        <w:rPr>
          <w:rFonts w:hint="eastAsia"/>
          <w:lang w:eastAsia="zh-CN"/>
        </w:rPr>
        <w:t>initial</w:t>
      </w:r>
      <w:r w:rsidRPr="000506D8">
        <w:t xml:space="preserve"> BWP and </w:t>
      </w:r>
    </w:p>
    <w:p w14:paraId="454210A1" w14:textId="0D59DF36" w:rsidR="006A56A5" w:rsidRPr="00AB4257" w:rsidRDefault="006A56A5" w:rsidP="006A56A5">
      <w:pPr>
        <w:pStyle w:val="B30"/>
        <w:rPr>
          <w:rFonts w:eastAsia="Calibri"/>
          <w:sz w:val="18"/>
          <w:szCs w:val="18"/>
        </w:rPr>
      </w:pPr>
      <w:r>
        <w:t>-</w:t>
      </w:r>
      <w:r>
        <w:tab/>
      </w:r>
      <w:r w:rsidRPr="000506D8">
        <w:t>Magnitude of difference between the serving cell’s SS-RSRP and the neighbor cell’s PRS-RSRP is within 6 dB.</w:t>
      </w:r>
    </w:p>
    <w:p w14:paraId="1284D93E" w14:textId="3FE48A04" w:rsidR="006A56A5" w:rsidRPr="000506D8" w:rsidRDefault="006A56A5" w:rsidP="006A56A5">
      <w:pPr>
        <w:pStyle w:val="B20"/>
      </w:pPr>
      <w:r>
        <w:rPr>
          <w:rFonts w:eastAsia="MS Mincho" w:cs="v4.2.0"/>
        </w:rPr>
        <w:t>-</w:t>
      </w:r>
      <w:r w:rsidRPr="00AB4257">
        <w:rPr>
          <w:rFonts w:eastAsia="MS Mincho" w:cs="v4.2.0"/>
        </w:rPr>
        <w:tab/>
      </w:r>
      <m:oMath>
        <m:sSub>
          <m:sSubPr>
            <m:ctrlPr>
              <w:rPr>
                <w:rFonts w:ascii="Cambria Math" w:hAnsi="Cambria Math"/>
              </w:rPr>
            </m:ctrlPr>
          </m:sSubPr>
          <m:e>
            <m:r>
              <w:rPr>
                <w:rFonts w:ascii="Cambria Math" w:hAnsi="Cambria Math"/>
              </w:rPr>
              <m:t>N</m:t>
            </m:r>
          </m:e>
          <m:sub>
            <m:r>
              <w:rPr>
                <w:rFonts w:ascii="Cambria Math" w:hAnsi="Cambria Math"/>
              </w:rPr>
              <m:t>sample</m:t>
            </m:r>
          </m:sub>
        </m:sSub>
      </m:oMath>
      <w:r w:rsidRPr="00AB4257">
        <w:t xml:space="preserve">= 2 if the UE supports </w:t>
      </w:r>
      <w:r w:rsidRPr="008A7648">
        <w:rPr>
          <w:i/>
        </w:rPr>
        <w:t>supportedDL-PRS-ProcessingSamples-RRC-Inactive</w:t>
      </w:r>
      <w:r w:rsidRPr="00DA2552">
        <w:t xml:space="preserve"> </w:t>
      </w:r>
      <w:r w:rsidRPr="00AB4257">
        <w:t>[</w:t>
      </w:r>
      <w:r>
        <w:t>34</w:t>
      </w:r>
      <w:r w:rsidRPr="00AB4257">
        <w:t xml:space="preserve">], and the LMF requests the UE to perform positioning measurements with reduced number of samples, and </w:t>
      </w:r>
      <w:r w:rsidRPr="000506D8">
        <w:t>does not meet the following conditions</w:t>
      </w:r>
      <w:r>
        <w:t>:</w:t>
      </w:r>
    </w:p>
    <w:p w14:paraId="0D8ED074" w14:textId="3660A9B8" w:rsidR="006A56A5" w:rsidRPr="000506D8" w:rsidRDefault="006A56A5" w:rsidP="006A56A5">
      <w:pPr>
        <w:pStyle w:val="B30"/>
      </w:pPr>
      <w:r>
        <w:t>-</w:t>
      </w:r>
      <w:r>
        <w:tab/>
      </w:r>
      <w:r w:rsidRPr="000506D8">
        <w:t xml:space="preserve">PRS bandwidth is within the </w:t>
      </w:r>
      <w:r>
        <w:rPr>
          <w:rFonts w:hint="eastAsia"/>
          <w:lang w:eastAsia="zh-CN"/>
        </w:rPr>
        <w:t>initial</w:t>
      </w:r>
      <w:r w:rsidRPr="000506D8">
        <w:t xml:space="preserve"> BWP and</w:t>
      </w:r>
    </w:p>
    <w:p w14:paraId="3ADFBD12" w14:textId="4AB23526" w:rsidR="006A56A5" w:rsidRPr="00AB4257" w:rsidRDefault="006A56A5" w:rsidP="006A56A5">
      <w:pPr>
        <w:pStyle w:val="B30"/>
        <w:rPr>
          <w:rFonts w:eastAsia="Calibri"/>
          <w:sz w:val="18"/>
          <w:szCs w:val="18"/>
        </w:rPr>
      </w:pPr>
      <w:r>
        <w:t>-</w:t>
      </w:r>
      <w:r>
        <w:tab/>
      </w:r>
      <w:r w:rsidRPr="000506D8">
        <w:t>Magnitude of difference between the serving cell’s SS-RSRP and the neighbor cell’s PRS-RSRP is within 6 dB.</w:t>
      </w:r>
    </w:p>
    <w:p w14:paraId="34652798" w14:textId="77777777" w:rsidR="006A56A5" w:rsidRPr="00AB4257" w:rsidRDefault="006A56A5" w:rsidP="006A56A5">
      <w:pPr>
        <w:pStyle w:val="B20"/>
        <w:rPr>
          <w:rFonts w:eastAsia="Calibri"/>
          <w:sz w:val="18"/>
          <w:szCs w:val="18"/>
        </w:rPr>
      </w:pPr>
      <w:r>
        <w:rPr>
          <w:rFonts w:eastAsia="MS Mincho" w:cs="v4.2.0"/>
        </w:rPr>
        <w:t>-</w:t>
      </w:r>
      <w:r w:rsidRPr="00AB4257">
        <w:rPr>
          <w:rFonts w:eastAsia="MS Mincho" w:cs="v4.2.0"/>
        </w:rPr>
        <w:tab/>
      </w:r>
      <m:oMath>
        <m:sSub>
          <m:sSubPr>
            <m:ctrlPr>
              <w:rPr>
                <w:rFonts w:ascii="Cambria Math" w:hAnsi="Cambria Math"/>
              </w:rPr>
            </m:ctrlPr>
          </m:sSubPr>
          <m:e>
            <m:r>
              <w:rPr>
                <w:rFonts w:ascii="Cambria Math" w:hAnsi="Cambria Math"/>
              </w:rPr>
              <m:t>N</m:t>
            </m:r>
          </m:e>
          <m:sub>
            <m:r>
              <w:rPr>
                <w:rFonts w:ascii="Cambria Math" w:hAnsi="Cambria Math"/>
              </w:rPr>
              <m:t>sample</m:t>
            </m:r>
          </m:sub>
        </m:sSub>
      </m:oMath>
      <w:r w:rsidRPr="00AB4257">
        <w:t>= 4 otherwise.</w:t>
      </w:r>
    </w:p>
    <w:p w14:paraId="27ACB3B5" w14:textId="77777777" w:rsidR="006A56A5" w:rsidRPr="00AB4257" w:rsidRDefault="006A56A5" w:rsidP="006A56A5">
      <w:pPr>
        <w:pStyle w:val="B10"/>
        <w:rPr>
          <w:lang w:eastAsia="zh-CN"/>
        </w:rPr>
      </w:pPr>
      <w:r>
        <w:rPr>
          <w:rFonts w:eastAsia="MS Mincho" w:cs="v4.2.0"/>
        </w:rPr>
        <w:t>-</w:t>
      </w:r>
      <w:r w:rsidRPr="00AB4257">
        <w:rPr>
          <w:rFonts w:eastAsia="MS Mincho" w:cs="v4.2.0"/>
        </w:rPr>
        <w:tab/>
      </w:r>
      <m:oMath>
        <m:sSub>
          <m:sSubPr>
            <m:ctrlPr>
              <w:rPr>
                <w:rFonts w:ascii="Cambria Math" w:hAnsi="Cambria Math"/>
                <w:i/>
              </w:rPr>
            </m:ctrlPr>
          </m:sSubPr>
          <m:e>
            <m:r>
              <m:rPr>
                <m:nor/>
              </m:rPr>
              <w:rPr>
                <w:rFonts w:ascii="Cambria Math" w:hAnsi="Cambria Math"/>
                <w:i/>
              </w:rPr>
              <m:t>T</m:t>
            </m:r>
          </m:e>
          <m:sub>
            <m:r>
              <m:rPr>
                <m:nor/>
              </m:rPr>
              <w:rPr>
                <w:rFonts w:ascii="Cambria Math" w:hAnsi="Cambria Math"/>
                <w:i/>
              </w:rPr>
              <m:t>last,i</m:t>
            </m:r>
          </m:sub>
        </m:sSub>
      </m:oMath>
      <w:r w:rsidRPr="00AB4257">
        <w:rPr>
          <w:rFonts w:ascii="Cambria Math" w:hAnsi="Cambria Math"/>
          <w:i/>
        </w:rPr>
        <w:t xml:space="preserve"> </w:t>
      </w:r>
      <w:r w:rsidRPr="00AB4257">
        <w:t>is the measurement duration for the last PRS RSTD sample in positioning frequency layer</w:t>
      </w:r>
      <w:r w:rsidRPr="00AB4257">
        <w:rPr>
          <w:i/>
          <w:iCs/>
        </w:rPr>
        <w:t xml:space="preserve"> i</w:t>
      </w:r>
      <w:r w:rsidRPr="00AB4257">
        <w:t xml:space="preserve">, including the sampling time and processing time, </w:t>
      </w:r>
      <m:oMath>
        <m:sSub>
          <m:sSubPr>
            <m:ctrlPr>
              <w:rPr>
                <w:rFonts w:ascii="Cambria Math" w:hAnsi="Cambria Math"/>
                <w:bCs/>
              </w:rPr>
            </m:ctrlPr>
          </m:sSubPr>
          <m:e>
            <m:r>
              <m:rPr>
                <m:nor/>
              </m:rPr>
              <w:rPr>
                <w:bCs/>
              </w:rPr>
              <m:t>T</m:t>
            </m:r>
          </m:e>
          <m:sub>
            <m:r>
              <m:rPr>
                <m:nor/>
              </m:rPr>
              <w:rPr>
                <w:bCs/>
              </w:rPr>
              <m:t>last</m:t>
            </m:r>
            <m:r>
              <m:rPr>
                <m:sty m:val="p"/>
              </m:rPr>
              <w:rPr>
                <w:rFonts w:ascii="Cambria Math"/>
              </w:rPr>
              <m:t>,i</m:t>
            </m:r>
          </m:sub>
        </m:sSub>
      </m:oMath>
      <w:r w:rsidRPr="00AB4257">
        <w:rPr>
          <w:bCs/>
        </w:rPr>
        <w:t xml:space="preserve"> = </w:t>
      </w:r>
      <m:oMath>
        <m:sSub>
          <m:sSubPr>
            <m:ctrlPr>
              <w:rPr>
                <w:rFonts w:ascii="Cambria Math" w:hAnsi="Cambria Math"/>
                <w:bCs/>
              </w:rPr>
            </m:ctrlPr>
          </m:sSubPr>
          <m:e>
            <m:r>
              <w:rPr>
                <w:rFonts w:ascii="Cambria Math" w:hAnsi="Cambria Math"/>
              </w:rPr>
              <m:t>T</m:t>
            </m:r>
          </m:e>
          <m:sub>
            <m:r>
              <m:rPr>
                <m:nor/>
              </m:rPr>
              <w:rPr>
                <w:bCs/>
              </w:rPr>
              <m:t>i</m:t>
            </m:r>
          </m:sub>
        </m:sSub>
      </m:oMath>
      <w:r w:rsidRPr="00AB4257">
        <w:rPr>
          <w:bCs/>
        </w:rPr>
        <w:t xml:space="preserve"> + </w:t>
      </w:r>
      <m:oMath>
        <m:sSub>
          <m:sSubPr>
            <m:ctrlPr>
              <w:rPr>
                <w:rFonts w:ascii="Cambria Math" w:hAnsi="Cambria Math"/>
                <w:bCs/>
              </w:rPr>
            </m:ctrlPr>
          </m:sSubPr>
          <m:e>
            <m:r>
              <w:rPr>
                <w:rFonts w:ascii="Cambria Math" w:hAnsi="Cambria Math"/>
              </w:rPr>
              <m:t>T</m:t>
            </m:r>
          </m:e>
          <m:sub>
            <m:r>
              <w:rPr>
                <w:rFonts w:ascii="Cambria Math" w:hAnsi="Cambria Math"/>
              </w:rPr>
              <m:t>available</m:t>
            </m:r>
            <m:r>
              <m:rPr>
                <m:sty m:val="p"/>
              </m:rPr>
              <w:rPr>
                <w:rFonts w:ascii="Cambria Math" w:hAnsi="Cambria Math"/>
              </w:rPr>
              <m:t>_</m:t>
            </m:r>
            <m:r>
              <w:rPr>
                <w:rFonts w:ascii="Cambria Math" w:hAnsi="Cambria Math"/>
              </w:rPr>
              <m:t>PRS</m:t>
            </m:r>
            <m:r>
              <m:rPr>
                <m:nor/>
              </m:rPr>
              <w:rPr>
                <w:bCs/>
              </w:rPr>
              <m:t>,i</m:t>
            </m:r>
          </m:sub>
        </m:sSub>
      </m:oMath>
      <w:r w:rsidRPr="00AB4257">
        <w:t xml:space="preserve"> ,</w:t>
      </w:r>
    </w:p>
    <w:p w14:paraId="2776F727" w14:textId="77777777" w:rsidR="006A56A5" w:rsidRPr="00AB4257" w:rsidRDefault="006A56A5" w:rsidP="006A56A5">
      <w:pPr>
        <w:pStyle w:val="B10"/>
        <w:rPr>
          <w:i/>
          <w:iCs/>
          <w:sz w:val="18"/>
          <w:szCs w:val="18"/>
          <w:lang w:eastAsia="zh-CN"/>
        </w:rPr>
      </w:pPr>
      <w:r>
        <w:t>-</w:t>
      </w:r>
      <w:r w:rsidRPr="00AB4257">
        <w:tab/>
      </w:r>
      <m:oMath>
        <m:sSub>
          <m:sSubPr>
            <m:ctrlPr>
              <w:rPr>
                <w:rFonts w:ascii="Cambria Math" w:hAnsi="Cambria Math"/>
                <w:bCs/>
                <w:i/>
                <w:iCs/>
              </w:rPr>
            </m:ctrlPr>
          </m:sSubPr>
          <m:e>
            <m:r>
              <m:rPr>
                <m:sty m:val="p"/>
              </m:rPr>
              <w:rPr>
                <w:rFonts w:ascii="Cambria Math" w:hAnsi="Cambria Math"/>
                <w:lang w:eastAsia="zh-CN"/>
              </w:rPr>
              <m:t>T</m:t>
            </m:r>
          </m:e>
          <m:sub>
            <m:r>
              <m:rPr>
                <m:sty m:val="p"/>
              </m:rPr>
              <w:rPr>
                <w:rFonts w:ascii="Cambria Math" w:hAnsi="Cambria Math"/>
                <w:lang w:eastAsia="zh-CN"/>
              </w:rPr>
              <m:t>effect,</m:t>
            </m:r>
            <m:r>
              <w:rPr>
                <w:rFonts w:ascii="Cambria Math" w:hAnsi="Cambria Math"/>
                <w:lang w:eastAsia="zh-CN"/>
              </w:rPr>
              <m:t>i</m:t>
            </m:r>
          </m:sub>
        </m:sSub>
      </m:oMath>
      <w:r w:rsidRPr="00AB4257">
        <w:rPr>
          <w:bCs/>
          <w:iCs/>
          <w:lang w:eastAsia="zh-CN"/>
        </w:rPr>
        <w:t xml:space="preserve"> </w:t>
      </w:r>
      <w:r w:rsidRPr="00AB4257">
        <w:t xml:space="preserve">is the periodicity of the </w:t>
      </w:r>
      <w:r w:rsidRPr="00AB4257">
        <w:rPr>
          <w:lang w:eastAsia="zh-CN"/>
        </w:rPr>
        <w:t>PRS RSTD</w:t>
      </w:r>
      <w:r w:rsidRPr="00AB4257">
        <w:t xml:space="preserve"> measurement in </w:t>
      </w:r>
      <w:r w:rsidRPr="00AB4257">
        <w:rPr>
          <w:lang w:eastAsia="zh-CN"/>
        </w:rPr>
        <w:t xml:space="preserve">positioning frequency layer i </w:t>
      </w:r>
      <w:r w:rsidRPr="00AB4257">
        <w:rPr>
          <w:iCs/>
          <w:sz w:val="18"/>
          <w:szCs w:val="18"/>
          <w:lang w:eastAsia="zh-CN"/>
        </w:rPr>
        <w:t xml:space="preserve">defined as: </w:t>
      </w:r>
    </w:p>
    <w:p w14:paraId="19F46930" w14:textId="77777777" w:rsidR="006A56A5" w:rsidRPr="00AB4257" w:rsidRDefault="006A56A5" w:rsidP="006A56A5">
      <w:pPr>
        <w:pStyle w:val="EQ"/>
        <w:rPr>
          <w:lang w:eastAsia="zh-CN"/>
        </w:rPr>
      </w:pPr>
      <w:r w:rsidRPr="00AB4257">
        <w:rPr>
          <w:iCs/>
        </w:rPr>
        <w:tab/>
      </w:r>
      <m:oMath>
        <m:sSub>
          <m:sSubPr>
            <m:ctrlPr>
              <w:rPr>
                <w:rFonts w:ascii="Cambria Math" w:hAnsi="Cambria Math"/>
              </w:rPr>
            </m:ctrlPr>
          </m:sSubPr>
          <m:e>
            <m:r>
              <w:rPr>
                <w:rFonts w:ascii="Cambria Math" w:hAnsi="Cambria Math"/>
              </w:rPr>
              <m:t>T</m:t>
            </m:r>
          </m:e>
          <m:sub>
            <m:r>
              <m:rPr>
                <m:nor/>
              </m:rPr>
              <m:t>effect,i</m:t>
            </m:r>
          </m:sub>
        </m:sSub>
      </m:oMath>
      <w:r w:rsidRPr="00AB4257">
        <w:t xml:space="preserve"> = </w:t>
      </w:r>
      <m:oMath>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m:rPr>
                        <m:nor/>
                      </m:rPr>
                      <m:t>i</m:t>
                    </m:r>
                  </m:sub>
                </m:sSub>
              </m:num>
              <m:den>
                <m:sSub>
                  <m:sSubPr>
                    <m:ctrlPr>
                      <w:rPr>
                        <w:rFonts w:ascii="Cambria Math" w:hAnsi="Cambria Math"/>
                      </w:rPr>
                    </m:ctrlPr>
                  </m:sSubPr>
                  <m:e>
                    <m:r>
                      <w:rPr>
                        <w:rFonts w:ascii="Cambria Math" w:hAnsi="Cambria Math"/>
                      </w:rPr>
                      <m:t>T</m:t>
                    </m:r>
                  </m:e>
                  <m:sub>
                    <m:r>
                      <w:rPr>
                        <w:rFonts w:ascii="Cambria Math" w:hAnsi="Cambria Math"/>
                      </w:rPr>
                      <m:t>available</m:t>
                    </m:r>
                    <m:r>
                      <m:rPr>
                        <m:sty m:val="p"/>
                      </m:rPr>
                      <w:rPr>
                        <w:rFonts w:ascii="Cambria Math" w:hAnsi="Cambria Math"/>
                      </w:rPr>
                      <m:t>_</m:t>
                    </m:r>
                    <m:r>
                      <w:rPr>
                        <w:rFonts w:ascii="Cambria Math" w:hAnsi="Cambria Math"/>
                      </w:rPr>
                      <m:t>PRS</m:t>
                    </m:r>
                    <m:r>
                      <m:rPr>
                        <m:nor/>
                      </m:rPr>
                      <m:t>,i</m:t>
                    </m:r>
                  </m:sub>
                </m:sSub>
              </m:den>
            </m:f>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available</m:t>
            </m:r>
            <m:r>
              <m:rPr>
                <m:sty m:val="p"/>
              </m:rPr>
              <w:rPr>
                <w:rFonts w:ascii="Cambria Math" w:hAnsi="Cambria Math"/>
              </w:rPr>
              <m:t>_</m:t>
            </m:r>
            <m:r>
              <w:rPr>
                <w:rFonts w:ascii="Cambria Math" w:hAnsi="Cambria Math"/>
              </w:rPr>
              <m:t>PRS</m:t>
            </m:r>
            <m:r>
              <m:rPr>
                <m:nor/>
              </m:rPr>
              <m:t>,i</m:t>
            </m:r>
          </m:sub>
        </m:sSub>
      </m:oMath>
      <w:r w:rsidRPr="00AB4257">
        <w:rPr>
          <w:lang w:eastAsia="zh-CN"/>
        </w:rPr>
        <w:t xml:space="preserve"> </w:t>
      </w:r>
    </w:p>
    <w:p w14:paraId="50741DFE" w14:textId="77777777" w:rsidR="006A56A5" w:rsidRPr="00AB4257" w:rsidRDefault="006A56A5" w:rsidP="006A56A5">
      <w:pPr>
        <w:ind w:left="568" w:hanging="284"/>
        <w:rPr>
          <w:lang w:eastAsia="zh-CN"/>
        </w:rPr>
      </w:pPr>
      <w:r w:rsidRPr="00AB4257">
        <w:rPr>
          <w:lang w:eastAsia="zh-CN"/>
        </w:rPr>
        <w:t>Where</w:t>
      </w:r>
      <w:r>
        <w:rPr>
          <w:lang w:eastAsia="zh-CN"/>
        </w:rPr>
        <w:t>:</w:t>
      </w:r>
    </w:p>
    <w:p w14:paraId="11AF8506" w14:textId="5288E02F" w:rsidR="006A56A5" w:rsidRPr="00AB4257" w:rsidRDefault="006A56A5" w:rsidP="006A56A5">
      <w:pPr>
        <w:pStyle w:val="B10"/>
        <w:rPr>
          <w:lang w:eastAsia="zh-CN"/>
        </w:rPr>
      </w:pPr>
      <w:r>
        <w:rPr>
          <w:rFonts w:eastAsia="MS Mincho" w:cs="v4.2.0"/>
        </w:rPr>
        <w:t>-</w:t>
      </w:r>
      <w:r w:rsidRPr="00AB4257">
        <w:rPr>
          <w:rFonts w:eastAsia="MS Mincho" w:cs="v4.2.0"/>
        </w:rPr>
        <w:tab/>
      </w:r>
      <m:oMath>
        <m:sSub>
          <m:sSubPr>
            <m:ctrlPr>
              <w:rPr>
                <w:rFonts w:ascii="Cambria Math" w:hAnsi="Cambria Math"/>
                <w:iCs/>
              </w:rPr>
            </m:ctrlPr>
          </m:sSubPr>
          <m:e>
            <m:r>
              <w:rPr>
                <w:rFonts w:ascii="Cambria Math" w:hAnsi="Cambria Math"/>
                <w:lang w:eastAsia="zh-CN"/>
              </w:rPr>
              <m:t>T</m:t>
            </m:r>
          </m:e>
          <m:sub>
            <m:r>
              <w:rPr>
                <w:rFonts w:ascii="Cambria Math" w:hAnsi="Cambria Math"/>
                <w:lang w:eastAsia="zh-CN"/>
              </w:rPr>
              <m:t>i</m:t>
            </m:r>
          </m:sub>
        </m:sSub>
      </m:oMath>
      <w:r w:rsidRPr="00AB4257">
        <w:tab/>
      </w:r>
      <w:r w:rsidRPr="00AB4257">
        <w:rPr>
          <w:lang w:eastAsia="zh-CN"/>
        </w:rPr>
        <w:t xml:space="preserve">corresponds to </w:t>
      </w:r>
      <w:r w:rsidRPr="008A7648">
        <w:rPr>
          <w:i/>
        </w:rPr>
        <w:t>durationOfPRS-ProcessingSymbolsInEveryTms-r17</w:t>
      </w:r>
      <w:r w:rsidRPr="00AB4257">
        <w:t xml:space="preserve"> </w:t>
      </w:r>
      <w:r w:rsidRPr="00AB4257">
        <w:rPr>
          <w:lang w:eastAsia="zh-CN"/>
        </w:rPr>
        <w:t>in TS 37.355 [34],</w:t>
      </w:r>
    </w:p>
    <w:p w14:paraId="158EF24D" w14:textId="77777777" w:rsidR="006A56A5" w:rsidRPr="00AB4257" w:rsidRDefault="006A56A5" w:rsidP="006A56A5">
      <w:pPr>
        <w:pStyle w:val="B10"/>
      </w:pPr>
      <w:r>
        <w:rPr>
          <w:rFonts w:eastAsia="MS Mincho" w:cs="v4.2.0"/>
        </w:rPr>
        <w:t>-</w:t>
      </w:r>
      <w:r w:rsidRPr="00AB4257">
        <w:rPr>
          <w:rFonts w:eastAsia="MS Mincho" w:cs="v4.2.0"/>
        </w:rPr>
        <w:tab/>
      </w:r>
      <m:oMath>
        <m:sSub>
          <m:sSubPr>
            <m:ctrlPr>
              <w:rPr>
                <w:rFonts w:ascii="Cambria Math" w:hAnsi="Cambria Math"/>
              </w:rPr>
            </m:ctrlPr>
          </m:sSubPr>
          <m:e>
            <m:r>
              <w:rPr>
                <w:rFonts w:ascii="Cambria Math" w:hAnsi="Cambria Math"/>
              </w:rPr>
              <m:t>T</m:t>
            </m:r>
          </m:e>
          <m:sub>
            <m:r>
              <w:rPr>
                <w:rFonts w:ascii="Cambria Math" w:hAnsi="Cambria Math"/>
              </w:rPr>
              <m:t>available</m:t>
            </m:r>
            <m:r>
              <m:rPr>
                <m:sty m:val="p"/>
              </m:rPr>
              <w:rPr>
                <w:rFonts w:ascii="Cambria Math" w:hAnsi="Cambria Math"/>
              </w:rPr>
              <m:t>_</m:t>
            </m:r>
            <m:r>
              <w:rPr>
                <w:rFonts w:ascii="Cambria Math" w:hAnsi="Cambria Math"/>
              </w:rPr>
              <m:t>PRS</m:t>
            </m:r>
            <m:r>
              <m:rPr>
                <m:nor/>
              </m:rPr>
              <m:t>,i</m:t>
            </m:r>
          </m:sub>
        </m:sSub>
        <m:r>
          <m:rPr>
            <m:sty m:val="p"/>
          </m:rPr>
          <w:rPr>
            <w:rFonts w:ascii="Cambria Math" w:hAnsi="Cambria Math"/>
          </w:rPr>
          <m:t>=</m:t>
        </m:r>
        <m:r>
          <w:rPr>
            <w:rFonts w:ascii="Cambria Math" w:hAnsi="Cambria Math"/>
          </w:rPr>
          <m:t>LCM</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PRS</m:t>
                </m:r>
                <m:r>
                  <m:rPr>
                    <m:nor/>
                  </m: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DRX</m:t>
                </m:r>
              </m:sub>
            </m:sSub>
          </m:e>
        </m:d>
      </m:oMath>
      <w:r w:rsidRPr="00AB4257">
        <w:t xml:space="preserve">, the least common multiple between </w:t>
      </w:r>
      <m:oMath>
        <m:sSub>
          <m:sSubPr>
            <m:ctrlPr>
              <w:rPr>
                <w:rFonts w:ascii="Cambria Math" w:hAnsi="Cambria Math"/>
              </w:rPr>
            </m:ctrlPr>
          </m:sSubPr>
          <m:e>
            <m:r>
              <w:rPr>
                <w:rFonts w:ascii="Cambria Math" w:hAnsi="Cambria Math"/>
              </w:rPr>
              <m:t>T</m:t>
            </m:r>
          </m:e>
          <m:sub>
            <m:r>
              <w:rPr>
                <w:rFonts w:ascii="Cambria Math" w:hAnsi="Cambria Math"/>
              </w:rPr>
              <m:t>PRS</m:t>
            </m:r>
            <m:r>
              <m:rPr>
                <m:nor/>
              </m:rPr>
              <m:t>,i</m:t>
            </m:r>
          </m:sub>
        </m:sSub>
      </m:oMath>
      <w:r w:rsidRPr="00AB4257">
        <w:t xml:space="preserve"> and the DRX cycle length </w:t>
      </w:r>
      <m:oMath>
        <m:sSub>
          <m:sSubPr>
            <m:ctrlPr>
              <w:rPr>
                <w:rFonts w:ascii="Cambria Math" w:hAnsi="Cambria Math"/>
              </w:rPr>
            </m:ctrlPr>
          </m:sSubPr>
          <m:e>
            <m:r>
              <w:rPr>
                <w:rFonts w:ascii="Cambria Math" w:hAnsi="Cambria Math"/>
              </w:rPr>
              <m:t>T</m:t>
            </m:r>
          </m:e>
          <m:sub>
            <m:r>
              <w:rPr>
                <w:rFonts w:ascii="Cambria Math" w:hAnsi="Cambria Math"/>
              </w:rPr>
              <m:t>DRX</m:t>
            </m:r>
          </m:sub>
        </m:sSub>
      </m:oMath>
    </w:p>
    <w:p w14:paraId="27F23383" w14:textId="77777777" w:rsidR="006A56A5" w:rsidRPr="00AB4257" w:rsidRDefault="006A56A5" w:rsidP="006A56A5">
      <w:pPr>
        <w:pStyle w:val="B10"/>
        <w:rPr>
          <w:lang w:eastAsia="zh-CN"/>
        </w:rPr>
      </w:pPr>
      <w:r>
        <w:rPr>
          <w:rFonts w:eastAsia="MS Mincho" w:cs="v4.2.0"/>
        </w:rPr>
        <w:t>-</w:t>
      </w:r>
      <w:r w:rsidRPr="00AB4257">
        <w:rPr>
          <w:rFonts w:eastAsia="MS Mincho" w:cs="v4.2.0"/>
        </w:rPr>
        <w:tab/>
      </w:r>
      <m:oMath>
        <m:sSub>
          <m:sSubPr>
            <m:ctrlPr>
              <w:rPr>
                <w:rFonts w:ascii="Cambria Math" w:hAnsi="Cambria Math"/>
              </w:rPr>
            </m:ctrlPr>
          </m:sSubPr>
          <m:e>
            <m:r>
              <w:rPr>
                <w:rFonts w:ascii="Cambria Math" w:hAnsi="Cambria Math"/>
              </w:rPr>
              <m:t>T</m:t>
            </m:r>
          </m:e>
          <m:sub>
            <m:r>
              <w:rPr>
                <w:rFonts w:ascii="Cambria Math" w:hAnsi="Cambria Math"/>
              </w:rPr>
              <m:t>PRS</m:t>
            </m:r>
            <m:r>
              <m:rPr>
                <m:nor/>
              </m:rPr>
              <m:t>,i</m:t>
            </m:r>
          </m:sub>
        </m:sSub>
      </m:oMath>
      <w:r w:rsidRPr="00AB4257">
        <w:t xml:space="preserve"> is the periodicity of DL PRS resource </w:t>
      </w:r>
      <w:r w:rsidRPr="00AB4257">
        <w:rPr>
          <w:lang w:eastAsia="zh-CN"/>
        </w:rPr>
        <w:t xml:space="preserve">with muting </w:t>
      </w:r>
      <w:r w:rsidRPr="00AB4257">
        <w:t xml:space="preserve">on </w:t>
      </w:r>
      <w:r w:rsidRPr="00AB4257">
        <w:rPr>
          <w:lang w:eastAsia="zh-CN"/>
        </w:rPr>
        <w:t xml:space="preserve">positioning </w:t>
      </w:r>
      <w:r w:rsidRPr="00AB4257">
        <w:t xml:space="preserve">frequency layer </w:t>
      </w:r>
      <w:r w:rsidRPr="00AB4257">
        <w:rPr>
          <w:i/>
          <w:iCs/>
        </w:rPr>
        <w:t>i</w:t>
      </w:r>
      <w:r w:rsidRPr="00AB4257">
        <w:t>.</w:t>
      </w:r>
      <w:r w:rsidRPr="00AB4257">
        <w:rPr>
          <w:lang w:eastAsia="zh-CN"/>
        </w:rPr>
        <w:t xml:space="preserve"> </w:t>
      </w:r>
    </w:p>
    <w:p w14:paraId="11AF03A2" w14:textId="77777777" w:rsidR="006A56A5" w:rsidRPr="00AB4257" w:rsidRDefault="006A56A5" w:rsidP="006A56A5">
      <w:pPr>
        <w:rPr>
          <w:lang w:eastAsia="zh-CN"/>
        </w:rPr>
      </w:pPr>
      <w:r w:rsidRPr="00AB4257">
        <w:t>If more than one PRS periodicities</w:t>
      </w:r>
      <w:r w:rsidRPr="00AB4257">
        <w:rPr>
          <w:lang w:eastAsia="zh-CN"/>
        </w:rPr>
        <w:t xml:space="preserve"> are configured in positioning </w:t>
      </w:r>
      <w:r w:rsidRPr="00AB4257">
        <w:t xml:space="preserve">frequency layer </w:t>
      </w:r>
      <w:r w:rsidRPr="00AB4257">
        <w:rPr>
          <w:i/>
          <w:iCs/>
        </w:rPr>
        <w:t>i</w:t>
      </w:r>
      <w:r w:rsidRPr="00AB4257">
        <w:t>, the least common multiple of PRS periodicities</w:t>
      </w:r>
      <w:r w:rsidRPr="00AB4257">
        <w:rPr>
          <w:lang w:eastAsia="zh-CN"/>
        </w:rPr>
        <w:t xml:space="preserve"> </w:t>
      </w:r>
      <m:oMath>
        <m:sSubSup>
          <m:sSubSupPr>
            <m:ctrlPr>
              <w:rPr>
                <w:rFonts w:ascii="Cambria Math" w:hAnsi="Cambria Math"/>
              </w:rPr>
            </m:ctrlPr>
          </m:sSubSupPr>
          <m:e>
            <m:r>
              <w:rPr>
                <w:rFonts w:ascii="Cambria Math" w:hAnsi="Cambria Math"/>
              </w:rPr>
              <m:t>T</m:t>
            </m:r>
          </m:e>
          <m:sub>
            <m:r>
              <w:rPr>
                <w:rFonts w:ascii="Cambria Math" w:hAnsi="Cambria Math"/>
              </w:rPr>
              <m:t>per</m:t>
            </m:r>
          </m:sub>
          <m:sup>
            <m:r>
              <w:rPr>
                <w:rFonts w:ascii="Cambria Math" w:hAnsi="Cambria Math"/>
              </w:rPr>
              <m:t>PRS with muting</m:t>
            </m:r>
          </m:sup>
        </m:sSubSup>
      </m:oMath>
      <w:r w:rsidRPr="00AB4257">
        <w:t xml:space="preserve"> among </w:t>
      </w:r>
      <w:r w:rsidRPr="00AB4257">
        <w:rPr>
          <w:lang w:eastAsia="zh-CN"/>
        </w:rPr>
        <w:t xml:space="preserve">all </w:t>
      </w:r>
      <w:r w:rsidRPr="00AB4257">
        <w:t xml:space="preserve">DL PRS </w:t>
      </w:r>
      <w:r w:rsidRPr="00AB4257">
        <w:rPr>
          <w:lang w:eastAsia="zh-CN"/>
        </w:rPr>
        <w:t xml:space="preserve">resource sets in the positioning frequency layer </w:t>
      </w:r>
      <w:r w:rsidRPr="00AB4257">
        <w:t xml:space="preserve">is used to derive </w:t>
      </w:r>
      <m:oMath>
        <m:sSub>
          <m:sSubPr>
            <m:ctrlPr>
              <w:rPr>
                <w:rFonts w:ascii="Cambria Math" w:hAnsi="Cambria Math"/>
              </w:rPr>
            </m:ctrlPr>
          </m:sSubPr>
          <m:e>
            <m:r>
              <w:rPr>
                <w:rFonts w:ascii="Cambria Math" w:hAnsi="Cambria Math"/>
              </w:rPr>
              <m:t>T</m:t>
            </m:r>
          </m:e>
          <m:sub>
            <m:r>
              <w:rPr>
                <w:rFonts w:ascii="Cambria Math" w:hAnsi="Cambria Math"/>
              </w:rPr>
              <m:t>PRS</m:t>
            </m:r>
            <m:r>
              <m:rPr>
                <m:sty m:val="p"/>
              </m:rPr>
              <w:rPr>
                <w:rFonts w:ascii="Cambria Math" w:hAnsi="Cambria Math"/>
              </w:rPr>
              <m:t>,i</m:t>
            </m:r>
          </m:sub>
        </m:sSub>
      </m:oMath>
      <w:r w:rsidRPr="00AB4257">
        <w:t>,</w:t>
      </w:r>
      <w:r w:rsidRPr="00AB4257">
        <w:rPr>
          <w:lang w:eastAsia="zh-CN"/>
        </w:rPr>
        <w:t xml:space="preserve"> where, </w:t>
      </w:r>
    </w:p>
    <w:p w14:paraId="022B0591" w14:textId="77777777" w:rsidR="006A56A5" w:rsidRPr="00AB4257" w:rsidRDefault="006A56A5" w:rsidP="006A56A5">
      <w:pPr>
        <w:pStyle w:val="B10"/>
        <w:rPr>
          <w:lang w:eastAsia="zh-CN"/>
        </w:rPr>
      </w:pPr>
      <w:r>
        <w:rPr>
          <w:rFonts w:eastAsia="MS Mincho" w:cs="v4.2.0"/>
        </w:rPr>
        <w:t>-</w:t>
      </w:r>
      <w:r w:rsidRPr="00AB4257">
        <w:rPr>
          <w:rFonts w:eastAsia="MS Mincho" w:cs="v4.2.0"/>
        </w:rPr>
        <w:tab/>
      </w:r>
      <m:oMath>
        <m:sSub>
          <m:sSubPr>
            <m:ctrlPr>
              <w:rPr>
                <w:rFonts w:ascii="Cambria Math" w:hAnsi="Cambria Math"/>
              </w:rPr>
            </m:ctrlPr>
          </m:sSubPr>
          <m:e>
            <m:sSubSup>
              <m:sSubSupPr>
                <m:ctrlPr>
                  <w:rPr>
                    <w:rFonts w:ascii="Cambria Math" w:hAnsi="Cambria Math"/>
                  </w:rPr>
                </m:ctrlPr>
              </m:sSubSupPr>
              <m:e>
                <m:r>
                  <w:rPr>
                    <w:rFonts w:ascii="Cambria Math" w:hAnsi="Cambria Math"/>
                  </w:rPr>
                  <m:t>T</m:t>
                </m:r>
              </m:e>
              <m:sub>
                <m:r>
                  <w:rPr>
                    <w:rFonts w:ascii="Cambria Math" w:hAnsi="Cambria Math"/>
                  </w:rPr>
                  <m:t>per</m:t>
                </m:r>
              </m:sub>
              <m:sup>
                <m:r>
                  <w:rPr>
                    <w:rFonts w:ascii="Cambria Math" w:hAnsi="Cambria Math"/>
                  </w:rPr>
                  <m:t>PRS with muting</m:t>
                </m:r>
              </m:sup>
            </m:sSubSup>
            <m:r>
              <m:rPr>
                <m:sty m:val="p"/>
              </m:rPr>
              <w:rPr>
                <w:rFonts w:ascii="Cambria Math" w:hAnsi="Cambria Math"/>
              </w:rPr>
              <m:t>=</m:t>
            </m:r>
            <m:r>
              <w:rPr>
                <w:rFonts w:ascii="Cambria Math" w:hAnsi="Cambria Math"/>
              </w:rPr>
              <m:t>N</m:t>
            </m:r>
          </m:e>
          <m:sub>
            <m:r>
              <w:rPr>
                <w:rFonts w:ascii="Cambria Math" w:hAnsi="Cambria Math"/>
              </w:rPr>
              <m:t>muting</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per</m:t>
            </m:r>
          </m:sub>
          <m:sup>
            <m:r>
              <w:rPr>
                <w:rFonts w:ascii="Cambria Math" w:hAnsi="Cambria Math"/>
              </w:rPr>
              <m:t>PRS</m:t>
            </m:r>
          </m:sup>
        </m:sSubSup>
      </m:oMath>
      <w:r w:rsidRPr="00AB4257">
        <w:rPr>
          <w:lang w:eastAsia="zh-CN"/>
        </w:rPr>
        <w:t xml:space="preserve">, is the PRS periodicity with muting per PRS resource, </w:t>
      </w:r>
    </w:p>
    <w:p w14:paraId="4781497E" w14:textId="77777777" w:rsidR="006A56A5" w:rsidRPr="00AB4257" w:rsidRDefault="006A56A5" w:rsidP="006A56A5">
      <w:pPr>
        <w:pStyle w:val="B10"/>
        <w:rPr>
          <w:lang w:eastAsia="zh-CN"/>
        </w:rPr>
      </w:pPr>
      <w:r>
        <w:rPr>
          <w:rFonts w:eastAsia="MS Mincho" w:cs="v4.2.0"/>
        </w:rPr>
        <w:t>-</w:t>
      </w:r>
      <w:r w:rsidRPr="00AB4257">
        <w:rPr>
          <w:rFonts w:eastAsia="MS Mincho" w:cs="v4.2.0"/>
        </w:rPr>
        <w:tab/>
      </w:r>
      <m:oMath>
        <m:sSubSup>
          <m:sSubSupPr>
            <m:ctrlPr>
              <w:rPr>
                <w:rFonts w:ascii="Cambria Math" w:hAnsi="Cambria Math"/>
              </w:rPr>
            </m:ctrlPr>
          </m:sSubSupPr>
          <m:e>
            <m:r>
              <w:rPr>
                <w:rFonts w:ascii="Cambria Math" w:hAnsi="Cambria Math"/>
              </w:rPr>
              <m:t>T</m:t>
            </m:r>
          </m:e>
          <m:sub>
            <m:r>
              <w:rPr>
                <w:rFonts w:ascii="Cambria Math" w:hAnsi="Cambria Math"/>
              </w:rPr>
              <m:t>per</m:t>
            </m:r>
          </m:sub>
          <m:sup>
            <m:r>
              <w:rPr>
                <w:rFonts w:ascii="Cambria Math" w:hAnsi="Cambria Math"/>
              </w:rPr>
              <m:t>PRS</m:t>
            </m:r>
          </m:sup>
        </m:sSubSup>
      </m:oMath>
      <w:r w:rsidRPr="00AB4257">
        <w:rPr>
          <w:lang w:eastAsia="zh-CN"/>
        </w:rPr>
        <w:t xml:space="preserve"> is the periodicity of PRS resource sets given by the higher-layer parameter </w:t>
      </w:r>
      <w:r w:rsidRPr="00AB4257">
        <w:rPr>
          <w:i/>
          <w:lang w:eastAsia="zh-CN"/>
        </w:rPr>
        <w:t>DL-PRS-Periodicity</w:t>
      </w:r>
      <w:r w:rsidRPr="00AB4257">
        <w:rPr>
          <w:lang w:eastAsia="zh-CN"/>
        </w:rPr>
        <w:t>.</w:t>
      </w:r>
    </w:p>
    <w:p w14:paraId="45ED3AFF" w14:textId="77777777" w:rsidR="006A56A5" w:rsidRPr="00AB4257" w:rsidRDefault="006A56A5" w:rsidP="006A56A5">
      <w:pPr>
        <w:pStyle w:val="B10"/>
        <w:rPr>
          <w:lang w:eastAsia="zh-CN"/>
        </w:rPr>
      </w:pPr>
      <w:r>
        <w:rPr>
          <w:rFonts w:eastAsia="MS Mincho" w:cs="v4.2.0"/>
        </w:rPr>
        <w:t>-</w:t>
      </w:r>
      <w:r w:rsidRPr="00AB4257">
        <w:rPr>
          <w:rFonts w:eastAsia="MS Mincho" w:cs="v4.2.0"/>
        </w:rPr>
        <w:tab/>
      </w:r>
      <m:oMath>
        <m:sSub>
          <m:sSubPr>
            <m:ctrlPr>
              <w:rPr>
                <w:rFonts w:ascii="Cambria Math" w:hAnsi="Cambria Math"/>
              </w:rPr>
            </m:ctrlPr>
          </m:sSubPr>
          <m:e>
            <m:r>
              <w:rPr>
                <w:rFonts w:ascii="Cambria Math" w:hAnsi="Cambria Math"/>
              </w:rPr>
              <m:t>N</m:t>
            </m:r>
          </m:e>
          <m:sub>
            <m:r>
              <w:rPr>
                <w:rFonts w:ascii="Cambria Math" w:hAnsi="Cambria Math"/>
              </w:rPr>
              <m:t>muting</m:t>
            </m:r>
          </m:sub>
        </m:sSub>
      </m:oMath>
      <w:r w:rsidRPr="00AB4257">
        <w:t xml:space="preserve"> is the scaling factor considering PRS resource muting. </w:t>
      </w:r>
      <m:oMath>
        <m:sSub>
          <m:sSubPr>
            <m:ctrlPr>
              <w:rPr>
                <w:rFonts w:ascii="Cambria Math" w:hAnsi="Cambria Math"/>
              </w:rPr>
            </m:ctrlPr>
          </m:sSubPr>
          <m:e>
            <m:r>
              <w:rPr>
                <w:rFonts w:ascii="Cambria Math" w:hAnsi="Cambria Math"/>
              </w:rPr>
              <m:t>N</m:t>
            </m:r>
          </m:e>
          <m:sub>
            <m:r>
              <w:rPr>
                <w:rFonts w:ascii="Cambria Math" w:hAnsi="Cambria Math"/>
              </w:rPr>
              <m:t>muting</m:t>
            </m:r>
          </m:sub>
        </m:sSub>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muting</m:t>
            </m:r>
          </m:sub>
          <m:sup>
            <m:r>
              <w:rPr>
                <w:rFonts w:ascii="Cambria Math" w:hAnsi="Cambria Math"/>
              </w:rPr>
              <m:t>PRS</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muting</m:t>
            </m:r>
          </m:sub>
        </m:sSub>
      </m:oMath>
      <w:r w:rsidRPr="00AB4257">
        <w:rPr>
          <w:lang w:eastAsia="zh-CN"/>
        </w:rPr>
        <w:t xml:space="preserve">, where </w:t>
      </w:r>
    </w:p>
    <w:p w14:paraId="38FD1969" w14:textId="77777777" w:rsidR="006A56A5" w:rsidRPr="00AB4257" w:rsidRDefault="006A56A5" w:rsidP="006A56A5">
      <w:pPr>
        <w:pStyle w:val="B10"/>
        <w:rPr>
          <w:lang w:eastAsia="zh-CN"/>
        </w:rPr>
      </w:pPr>
      <w:r>
        <w:rPr>
          <w:rFonts w:eastAsia="MS Mincho" w:cs="v4.2.0"/>
        </w:rPr>
        <w:t>-</w:t>
      </w:r>
      <w:r w:rsidRPr="00AB4257">
        <w:rPr>
          <w:rFonts w:eastAsia="MS Mincho" w:cs="v4.2.0"/>
        </w:rPr>
        <w:tab/>
      </w:r>
      <m:oMath>
        <m:sSubSup>
          <m:sSubSupPr>
            <m:ctrlPr>
              <w:rPr>
                <w:rFonts w:ascii="Cambria Math" w:hAnsi="Cambria Math"/>
              </w:rPr>
            </m:ctrlPr>
          </m:sSubSupPr>
          <m:e>
            <m:r>
              <w:rPr>
                <w:rFonts w:ascii="Cambria Math" w:hAnsi="Cambria Math"/>
              </w:rPr>
              <m:t>T</m:t>
            </m:r>
          </m:e>
          <m:sub>
            <m:r>
              <w:rPr>
                <w:rFonts w:ascii="Cambria Math" w:hAnsi="Cambria Math"/>
              </w:rPr>
              <m:t>muting</m:t>
            </m:r>
          </m:sub>
          <m:sup>
            <m:r>
              <w:rPr>
                <w:rFonts w:ascii="Cambria Math" w:hAnsi="Cambria Math"/>
              </w:rPr>
              <m:t>PRS</m:t>
            </m:r>
          </m:sup>
        </m:sSubSup>
      </m:oMath>
      <w:r w:rsidRPr="00AB4257">
        <w:rPr>
          <w:lang w:eastAsia="zh-CN"/>
        </w:rPr>
        <w:t xml:space="preserve"> is the muting repetition factor given by the higher-layer parameter </w:t>
      </w:r>
      <w:r w:rsidRPr="00AB4257">
        <w:rPr>
          <w:i/>
          <w:lang w:eastAsia="zh-CN"/>
        </w:rPr>
        <w:t>DL-PRS-MutingBitRepetitionFactor</w:t>
      </w:r>
      <w:r w:rsidRPr="00AB4257">
        <w:rPr>
          <w:lang w:eastAsia="zh-CN"/>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muting</m:t>
            </m:r>
          </m:sub>
        </m:sSub>
      </m:oMath>
      <w:r w:rsidRPr="00AB4257">
        <w:rPr>
          <w:lang w:eastAsia="zh-CN"/>
        </w:rPr>
        <w:t xml:space="preserve"> is the size of the bitmap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1</m:t>
                </m:r>
              </m:sup>
            </m:sSup>
          </m:e>
        </m:d>
      </m:oMath>
      <w:r w:rsidRPr="00AB4257">
        <w:rPr>
          <w:lang w:eastAsia="zh-CN"/>
        </w:rPr>
        <w:t>.</w:t>
      </w:r>
    </w:p>
    <w:p w14:paraId="60C4A3A4" w14:textId="72239809" w:rsidR="006A56A5" w:rsidRPr="00AB4257" w:rsidRDefault="006A56A5" w:rsidP="006A56A5">
      <w:pPr>
        <w:pStyle w:val="B10"/>
        <w:rPr>
          <w:sz w:val="18"/>
          <w:szCs w:val="18"/>
        </w:rPr>
      </w:pPr>
      <w:r>
        <w:rPr>
          <w:rFonts w:eastAsia="MS Mincho" w:cs="v4.2.0"/>
        </w:rPr>
        <w:t>-</w:t>
      </w:r>
      <w:r w:rsidRPr="00AB4257">
        <w:rPr>
          <w:rFonts w:eastAsia="MS Mincho" w:cs="v4.2.0"/>
        </w:rPr>
        <w:tab/>
      </w:r>
      <m:oMath>
        <m:r>
          <w:rPr>
            <w:rFonts w:ascii="Cambria Math" w:hAnsi="Cambria Math"/>
          </w:rPr>
          <m:t>{N,T}</m:t>
        </m:r>
      </m:oMath>
      <w:r w:rsidRPr="00AB4257">
        <w:t xml:space="preserve"> is the UE capability combination per band for RRC_INACTIVE state where N is a duration of DL PRS symbols in ms </w:t>
      </w:r>
      <w:r w:rsidRPr="00AB4257">
        <w:rPr>
          <w:lang w:eastAsia="zh-CN"/>
        </w:rPr>
        <w:t xml:space="preserve">corresponding to </w:t>
      </w:r>
      <w:r w:rsidRPr="008A7648">
        <w:rPr>
          <w:i/>
        </w:rPr>
        <w:t>durationOfPRS-ProcessingSymbols-r17</w:t>
      </w:r>
      <w:r w:rsidRPr="00AB4257">
        <w:rPr>
          <w:lang w:eastAsia="zh-CN"/>
        </w:rPr>
        <w:t xml:space="preserve"> in TS 37.355 [34],  </w:t>
      </w:r>
      <w:r w:rsidRPr="00AB4257">
        <w:t xml:space="preserve">T (ms) </w:t>
      </w:r>
      <w:r w:rsidRPr="00AB4257">
        <w:rPr>
          <w:lang w:eastAsia="zh-CN"/>
        </w:rPr>
        <w:t xml:space="preserve">corresponds to </w:t>
      </w:r>
      <w:r w:rsidRPr="006E4D96">
        <w:rPr>
          <w:i/>
        </w:rPr>
        <w:t>durationOfPRS-ProcessingSymbolsInEveryTms-r17</w:t>
      </w:r>
      <w:r w:rsidRPr="00AB4257">
        <w:t xml:space="preserve"> </w:t>
      </w:r>
      <w:r w:rsidRPr="00AB4257">
        <w:rPr>
          <w:lang w:eastAsia="zh-CN"/>
        </w:rPr>
        <w:t xml:space="preserve">in TS 37.355 [34], </w:t>
      </w:r>
      <w:r w:rsidRPr="00AB4257">
        <w:t>[ and T-N (&gt;0) is the time required to process duration N of DL PRS symbols already buffered in memory],</w:t>
      </w:r>
      <w:r w:rsidRPr="00AB4257">
        <w:rPr>
          <w:lang w:eastAsia="zh-CN"/>
        </w:rPr>
        <w:t xml:space="preserve"> </w:t>
      </w:r>
      <w:r w:rsidRPr="00AB4257">
        <w:t xml:space="preserve">for a given maximum bandwidth supported by UE </w:t>
      </w:r>
      <w:r w:rsidRPr="00AB4257">
        <w:rPr>
          <w:lang w:eastAsia="zh-CN"/>
        </w:rPr>
        <w:t xml:space="preserve">corresponding to </w:t>
      </w:r>
      <w:r w:rsidRPr="00AB4257">
        <w:rPr>
          <w:i/>
          <w:iCs/>
          <w:lang w:eastAsia="zh-CN"/>
        </w:rPr>
        <w:t>supportedBandwidthPRS</w:t>
      </w:r>
      <w:r w:rsidRPr="00AB4257">
        <w:rPr>
          <w:lang w:eastAsia="zh-CN"/>
        </w:rPr>
        <w:t xml:space="preserve"> in TS 37.355 [34]</w:t>
      </w:r>
      <w:r w:rsidRPr="00AB4257">
        <w:t xml:space="preserve">, </w:t>
      </w:r>
    </w:p>
    <w:p w14:paraId="72C6A3E4" w14:textId="255A633B" w:rsidR="006A56A5" w:rsidRPr="00AB4257" w:rsidRDefault="006A56A5" w:rsidP="006A56A5">
      <w:pPr>
        <w:pStyle w:val="B10"/>
        <w:rPr>
          <w:lang w:eastAsia="zh-CN"/>
        </w:rPr>
      </w:pPr>
      <w:r>
        <w:rPr>
          <w:rFonts w:eastAsia="MS Mincho" w:cs="v4.2.0"/>
        </w:rPr>
        <w:t>-</w:t>
      </w:r>
      <w:r w:rsidRPr="00AB4257">
        <w:rPr>
          <w:rFonts w:eastAsia="MS Mincho" w:cs="v4.2.0"/>
        </w:rPr>
        <w:tab/>
      </w:r>
      <m:oMath>
        <m:r>
          <w:rPr>
            <w:rFonts w:ascii="Cambria Math" w:hAnsi="Cambria Math"/>
          </w:rPr>
          <m:t>N’</m:t>
        </m:r>
      </m:oMath>
      <w:r w:rsidRPr="00AB4257">
        <w:t xml:space="preserve"> is UE capability for number of DL PRS resources that it can process in a slot [in RRC_INACTIVE state as </w:t>
      </w:r>
      <w:r w:rsidRPr="00AB4257">
        <w:rPr>
          <w:lang w:eastAsia="zh-CN"/>
        </w:rPr>
        <w:t xml:space="preserve">indicated by </w:t>
      </w:r>
      <w:r w:rsidRPr="006E4D96">
        <w:rPr>
          <w:i/>
        </w:rPr>
        <w:t>maxNumOfDL-PRS-ResProcessedPerSlot-RRC-Inactive-r17</w:t>
      </w:r>
      <w:r w:rsidRPr="00AB4257">
        <w:rPr>
          <w:lang w:eastAsia="zh-CN"/>
        </w:rPr>
        <w:t xml:space="preserve"> </w:t>
      </w:r>
      <w:r w:rsidRPr="00AB4257">
        <w:t>specified in TS 37.355 [34].</w:t>
      </w:r>
    </w:p>
    <w:p w14:paraId="498A4F73" w14:textId="31E9AC49" w:rsidR="006A56A5" w:rsidRPr="00AB4257" w:rsidRDefault="006A56A5" w:rsidP="006A56A5">
      <w:pPr>
        <w:rPr>
          <w:iCs/>
          <w:noProof/>
          <w:lang w:eastAsia="zh-CN"/>
        </w:rPr>
      </w:pPr>
      <w:r w:rsidRPr="00AB4257">
        <w:t>The time</w:t>
      </w:r>
      <m:oMath>
        <m:r>
          <m:rPr>
            <m:sty m:val="p"/>
          </m:rPr>
          <w:rPr>
            <w:rFonts w:ascii="Cambria Math" w:hAnsi="Cambria Math"/>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RSTD,Total</m:t>
            </m:r>
          </m:sub>
        </m:sSub>
      </m:oMath>
      <w:r w:rsidRPr="00AB4257">
        <w:rPr>
          <w:i/>
        </w:rPr>
        <w:t xml:space="preserve"> s</w:t>
      </w:r>
      <w:r w:rsidRPr="00AB4257">
        <w:t xml:space="preserve">tarts from the first DRX cycle containing </w:t>
      </w:r>
      <w:r>
        <w:rPr>
          <w:rFonts w:hint="eastAsia"/>
          <w:lang w:eastAsia="zh-CN"/>
        </w:rPr>
        <w:t>the</w:t>
      </w:r>
      <w:r w:rsidRPr="00AB4257">
        <w:t xml:space="preserve"> DL PRS resource(s) in the assistance data after both the </w:t>
      </w:r>
      <w:r w:rsidRPr="00AB4257">
        <w:rPr>
          <w:i/>
        </w:rPr>
        <w:t>NR-TDOA-Provide</w:t>
      </w:r>
      <w:r w:rsidRPr="00AB4257">
        <w:rPr>
          <w:i/>
          <w:noProof/>
        </w:rPr>
        <w:t>AssistanceData</w:t>
      </w:r>
      <w:r w:rsidRPr="00AB4257">
        <w:t xml:space="preserve"> message and </w:t>
      </w:r>
      <w:r w:rsidRPr="00AB4257">
        <w:rPr>
          <w:i/>
        </w:rPr>
        <w:t>NR-TDOA-Request</w:t>
      </w:r>
      <w:r w:rsidRPr="00AB4257">
        <w:rPr>
          <w:i/>
          <w:noProof/>
        </w:rPr>
        <w:t>LocationInformation</w:t>
      </w:r>
      <w:r w:rsidRPr="00AB4257">
        <w:rPr>
          <w:i/>
        </w:rPr>
        <w:t xml:space="preserve"> </w:t>
      </w:r>
      <w:r w:rsidRPr="00AB4257">
        <w:rPr>
          <w:iCs/>
        </w:rPr>
        <w:t>message</w:t>
      </w:r>
      <w:r w:rsidRPr="00AB4257">
        <w:rPr>
          <w:iCs/>
          <w:noProof/>
        </w:rPr>
        <w:t xml:space="preserve"> are delivered </w:t>
      </w:r>
      <w:r w:rsidRPr="00AB4257">
        <w:rPr>
          <w:iCs/>
        </w:rPr>
        <w:t xml:space="preserve">from LMF </w:t>
      </w:r>
      <w:r w:rsidRPr="00AB4257">
        <w:rPr>
          <w:iCs/>
          <w:noProof/>
        </w:rPr>
        <w:t xml:space="preserve">to the UE </w:t>
      </w:r>
      <w:r w:rsidRPr="00AB4257">
        <w:rPr>
          <w:iCs/>
        </w:rPr>
        <w:t>via LPP [34]</w:t>
      </w:r>
      <w:r w:rsidRPr="00AB4257">
        <w:rPr>
          <w:iCs/>
          <w:noProof/>
        </w:rPr>
        <w:t>.</w:t>
      </w:r>
    </w:p>
    <w:p w14:paraId="5A16BEB9" w14:textId="77777777" w:rsidR="006A56A5" w:rsidRPr="00AB4257" w:rsidRDefault="006A56A5" w:rsidP="006A56A5">
      <w:pPr>
        <w:pStyle w:val="NO"/>
        <w:rPr>
          <w:noProof/>
          <w:lang w:eastAsia="zh-CN"/>
        </w:rPr>
      </w:pPr>
      <w:r w:rsidRPr="00AB4257">
        <w:rPr>
          <w:noProof/>
          <w:lang w:eastAsia="zh-CN"/>
        </w:rPr>
        <w:t>Note:</w:t>
      </w:r>
      <w:r w:rsidRPr="00AB4257">
        <w:rPr>
          <w:noProof/>
          <w:lang w:eastAsia="zh-CN"/>
        </w:rPr>
        <w:tab/>
        <w:t>No per-positioning frequency layer requirement is applied in scenarios when multiple positioning frequency layers are configured.</w:t>
      </w:r>
    </w:p>
    <w:p w14:paraId="359FB824" w14:textId="77777777" w:rsidR="006A56A5" w:rsidRPr="00AB4257" w:rsidRDefault="006A56A5" w:rsidP="006A56A5">
      <w:pPr>
        <w:rPr>
          <w:lang w:val="en-US" w:eastAsia="zh-CN"/>
        </w:rPr>
      </w:pPr>
      <w:r w:rsidRPr="00AB4257">
        <w:rPr>
          <w:lang w:eastAsia="zh-CN"/>
        </w:rPr>
        <w:t>If the DRX cycle is reconfigured during the RSTD measurement period, then the measurement period can be longer.</w:t>
      </w:r>
    </w:p>
    <w:p w14:paraId="4B681D5C" w14:textId="77777777" w:rsidR="006A56A5" w:rsidRPr="00AB4257" w:rsidRDefault="006A56A5" w:rsidP="006A56A5">
      <w:pPr>
        <w:rPr>
          <w:lang w:val="en-US" w:eastAsia="zh-CN"/>
        </w:rPr>
      </w:pPr>
      <w:r w:rsidRPr="00AB4257">
        <w:rPr>
          <w:lang w:val="en-US" w:eastAsia="zh-CN"/>
        </w:rPr>
        <w:t>When PRS-RSRP is configured for DL-TDOA, RSTD and PRS-RSRP are performed over the same measurement period.</w:t>
      </w:r>
    </w:p>
    <w:p w14:paraId="1F769CFC" w14:textId="6C83386B" w:rsidR="006A56A5" w:rsidRPr="00AB4257" w:rsidRDefault="006A56A5" w:rsidP="006A56A5">
      <w:r w:rsidRPr="00AB4257">
        <w:t xml:space="preserve">The measurement requirements do not apply to any PRS resource that always collides with other higher-priority DL signals/channels, as specified in clause </w:t>
      </w:r>
      <w:r>
        <w:t>5.</w:t>
      </w:r>
      <w:r>
        <w:rPr>
          <w:rFonts w:hint="eastAsia"/>
          <w:lang w:eastAsia="zh-CN"/>
        </w:rPr>
        <w:t>6</w:t>
      </w:r>
      <w:r w:rsidRPr="00AB4257">
        <w:t>.1.</w:t>
      </w:r>
    </w:p>
    <w:p w14:paraId="247137B4" w14:textId="77777777" w:rsidR="006A56A5" w:rsidRPr="00AB4257" w:rsidRDefault="006A56A5" w:rsidP="006A56A5">
      <w:r w:rsidRPr="00AB4257">
        <w:rPr>
          <w:rFonts w:hint="eastAsia"/>
          <w:lang w:val="en-US" w:eastAsia="zh-CN"/>
        </w:rPr>
        <w:t>Longer RS</w:t>
      </w:r>
      <w:r>
        <w:rPr>
          <w:lang w:val="en-US" w:eastAsia="zh-CN"/>
        </w:rPr>
        <w:t xml:space="preserve">TD </w:t>
      </w:r>
      <w:r w:rsidRPr="00AB4257">
        <w:rPr>
          <w:lang w:val="en-US" w:eastAsia="zh-CN"/>
        </w:rPr>
        <w:t xml:space="preserve">measurement period </w:t>
      </w:r>
      <w:r w:rsidRPr="00AB4257">
        <w:rPr>
          <w:rFonts w:hint="eastAsia"/>
          <w:lang w:val="en-US" w:eastAsia="zh-CN"/>
        </w:rPr>
        <w:t>is expected when</w:t>
      </w:r>
      <w:r w:rsidRPr="00AB4257">
        <w:rPr>
          <w:lang w:val="en-US" w:eastAsia="zh-CN"/>
        </w:rPr>
        <w:t xml:space="preserve"> there are collisions between PRS resources and other higher-priority DL signals/channels.</w:t>
      </w:r>
    </w:p>
    <w:p w14:paraId="2672CB29" w14:textId="1F53C772" w:rsidR="006A56A5" w:rsidRPr="00AB4257" w:rsidRDefault="006A56A5" w:rsidP="006A56A5">
      <w:pPr>
        <w:rPr>
          <w:lang w:val="en-US" w:eastAsia="zh-CN"/>
        </w:rPr>
      </w:pPr>
      <w:r w:rsidRPr="00AB4257">
        <w:rPr>
          <w:lang w:val="en-US" w:eastAsia="zh-CN"/>
        </w:rPr>
        <w:t xml:space="preserve">If </w:t>
      </w:r>
      <m:oMath>
        <m:sSub>
          <m:sSubPr>
            <m:ctrlPr>
              <w:rPr>
                <w:rFonts w:ascii="Cambria Math" w:hAnsi="Cambria Math"/>
                <w:noProof/>
              </w:rPr>
            </m:ctrlPr>
          </m:sSubPr>
          <m:e>
            <m:r>
              <w:rPr>
                <w:rFonts w:ascii="Cambria Math" w:hAnsi="Cambria Math"/>
                <w:lang w:eastAsia="zh-CN"/>
              </w:rPr>
              <m:t>K</m:t>
            </m:r>
          </m:e>
          <m:sub>
            <m:r>
              <m:rPr>
                <m:sty m:val="p"/>
              </m:rPr>
              <w:rPr>
                <w:rFonts w:ascii="Cambria Math" w:hAnsi="Cambria Math"/>
                <w:lang w:eastAsia="zh-CN"/>
              </w:rPr>
              <m:t>carrier_PRS</m:t>
            </m:r>
          </m:sub>
        </m:sSub>
      </m:oMath>
      <w:r w:rsidRPr="00AB4257">
        <w:rPr>
          <w:lang w:val="en-US" w:eastAsia="zh-CN"/>
        </w:rPr>
        <w:t xml:space="preserve"> changes for any PFL during the measurement period, the measurement period could be longer.</w:t>
      </w:r>
    </w:p>
    <w:p w14:paraId="1CE8A469" w14:textId="77777777" w:rsidR="006A56A5" w:rsidRPr="00AB4257" w:rsidRDefault="006A56A5" w:rsidP="006A56A5">
      <w:pPr>
        <w:rPr>
          <w:lang w:val="en-US" w:eastAsia="zh-CN"/>
        </w:rPr>
      </w:pPr>
      <w:r w:rsidRPr="00AB4257">
        <w:rPr>
          <w:lang w:val="en-US" w:eastAsia="zh-CN"/>
        </w:rPr>
        <w:t xml:space="preserve">The measurement requirements do not apply for a PRS resource, if the PRS resource is across two sampling duration of N within duration </w:t>
      </w:r>
      <m:oMath>
        <m:sSub>
          <m:sSubPr>
            <m:ctrlPr>
              <w:rPr>
                <w:rFonts w:ascii="Cambria Math" w:eastAsia="Calibri" w:hAnsi="Cambria Math"/>
                <w:i/>
                <w:iCs/>
              </w:rPr>
            </m:ctrlPr>
          </m:sSubPr>
          <m:e>
            <m:r>
              <w:rPr>
                <w:rFonts w:ascii="Cambria Math" w:hAnsi="Cambria Math"/>
                <w:lang w:eastAsia="zh-CN"/>
              </w:rPr>
              <m:t>L</m:t>
            </m:r>
          </m:e>
          <m:sub>
            <m:r>
              <w:rPr>
                <w:rFonts w:ascii="Cambria Math" w:hAnsi="Cambria Math"/>
                <w:lang w:eastAsia="zh-CN"/>
              </w:rPr>
              <m:t>available_PRS</m:t>
            </m:r>
            <m:r>
              <m:rPr>
                <m:sty m:val="p"/>
              </m:rPr>
              <w:rPr>
                <w:rFonts w:ascii="Cambria Math" w:hAnsi="Cambria Math"/>
                <w:lang w:eastAsia="zh-CN"/>
              </w:rPr>
              <m:t>,i</m:t>
            </m:r>
          </m:sub>
        </m:sSub>
      </m:oMath>
      <w:r w:rsidRPr="00AB4257">
        <w:rPr>
          <w:lang w:val="en-US" w:eastAsia="zh-CN"/>
        </w:rPr>
        <w:t>.</w:t>
      </w:r>
    </w:p>
    <w:p w14:paraId="23F812AF" w14:textId="77777777" w:rsidR="006A56A5" w:rsidRPr="00AB4257" w:rsidRDefault="006A56A5" w:rsidP="006A56A5">
      <w:pPr>
        <w:rPr>
          <w:lang w:val="en-US" w:eastAsia="zh-CN"/>
        </w:rPr>
      </w:pPr>
      <w:r w:rsidRPr="00AB4257">
        <w:rPr>
          <w:lang w:val="en-US" w:eastAsia="zh-CN"/>
        </w:rPr>
        <w:t>The measurement requirements do not apply for a PRS resource, if time span of the PRS resource instance (including at least the minimum number of repetitions specified in the accuracy requirements) is greater than UE reported capability N.</w:t>
      </w:r>
    </w:p>
    <w:p w14:paraId="7EF1826F" w14:textId="6C1735AE" w:rsidR="006A56A5" w:rsidRPr="00AB4257" w:rsidRDefault="006A56A5" w:rsidP="006A56A5">
      <w:pPr>
        <w:rPr>
          <w:lang w:val="en-US" w:eastAsia="zh-CN"/>
        </w:rPr>
      </w:pPr>
      <w:r w:rsidRPr="00AB4257">
        <w:rPr>
          <w:rFonts w:cs="v4.2.0"/>
        </w:rPr>
        <w:t>The requirements in clause 5.</w:t>
      </w:r>
      <w:r>
        <w:rPr>
          <w:rFonts w:cs="v4.2.0" w:hint="eastAsia"/>
          <w:lang w:eastAsia="zh-CN"/>
        </w:rPr>
        <w:t>6</w:t>
      </w:r>
      <w:r w:rsidRPr="00AB4257">
        <w:rPr>
          <w:rFonts w:cs="v4.2.0"/>
        </w:rPr>
        <w:t xml:space="preserve">.2 do not apply if the PRS configuration given by higher layer paramters </w:t>
      </w:r>
      <w:r w:rsidRPr="00AB4257">
        <w:rPr>
          <w:i/>
          <w:snapToGrid w:val="0"/>
        </w:rPr>
        <w:t>NR-DL-PRS-AssistanceData</w:t>
      </w:r>
      <w:r w:rsidRPr="00AB4257">
        <w:rPr>
          <w:snapToGrid w:val="0"/>
        </w:rPr>
        <w:t xml:space="preserve"> </w:t>
      </w:r>
      <w:r w:rsidRPr="00AB4257">
        <w:rPr>
          <w:rFonts w:cs="v4.2.0"/>
        </w:rPr>
        <w:t xml:space="preserve">exceeds any of the UE measurement capabilities given by </w:t>
      </w:r>
      <w:r w:rsidRPr="00AB4257">
        <w:rPr>
          <w:rFonts w:cs="v4.2.0"/>
          <w:i/>
        </w:rPr>
        <w:t>NR-DL-PRS-ResourcesCapability</w:t>
      </w:r>
      <w:r w:rsidRPr="00AB4257">
        <w:rPr>
          <w:lang w:eastAsia="zh-CN"/>
        </w:rPr>
        <w:t xml:space="preserve"> in </w:t>
      </w:r>
      <w:r w:rsidRPr="00AB4257">
        <w:rPr>
          <w:i/>
          <w:iCs/>
          <w:lang w:eastAsia="zh-CN"/>
        </w:rPr>
        <w:t>NR-DL-TDOA-ProvideCapabilities</w:t>
      </w:r>
      <w:r w:rsidRPr="00AB4257">
        <w:rPr>
          <w:iCs/>
          <w:lang w:eastAsia="zh-CN"/>
        </w:rPr>
        <w:t xml:space="preserve">, and it is up to UE implementation which PRS resources are measured, subject to </w:t>
      </w:r>
      <w:r w:rsidRPr="00AB4257">
        <w:rPr>
          <w:rFonts w:cs="v4.2.0"/>
        </w:rPr>
        <w:t>UE measurement capabilities</w:t>
      </w:r>
      <w:r w:rsidRPr="00AB4257">
        <w:rPr>
          <w:i/>
          <w:iCs/>
          <w:lang w:eastAsia="zh-CN"/>
        </w:rPr>
        <w:t>.</w:t>
      </w:r>
    </w:p>
    <w:p w14:paraId="1225EBBD" w14:textId="77777777" w:rsidR="006A56A5" w:rsidRDefault="006A56A5" w:rsidP="006A56A5">
      <w:r w:rsidRPr="00AB4257">
        <w:t xml:space="preserve">If cell re-selection occurs while RSTD measurements are being performed, then the UE shall continue and complete the on-going RSTD measurements after </w:t>
      </w:r>
      <w:r>
        <w:t xml:space="preserve">the </w:t>
      </w:r>
      <w:r w:rsidRPr="00AB4257">
        <w:t>cell select</w:t>
      </w:r>
      <w:r>
        <w:t>ion is completed</w:t>
      </w:r>
      <w:r w:rsidRPr="00AB4257">
        <w:t>. The RSTD measurement period can be longer.</w:t>
      </w:r>
    </w:p>
    <w:p w14:paraId="53D17E9C" w14:textId="77777777" w:rsidR="006A56A5" w:rsidRPr="00AB4257" w:rsidRDefault="006A56A5" w:rsidP="006A56A5">
      <w:pPr>
        <w:rPr>
          <w:lang w:eastAsia="zh-CN"/>
        </w:rPr>
      </w:pPr>
      <w:r w:rsidRPr="004B0A06">
        <w:t xml:space="preserve">If the RRC state transition occurs from RRC_INACTIVE to RRC_CONNECTED state during the </w:t>
      </w:r>
      <w:r w:rsidRPr="004B0A06">
        <w:rPr>
          <w:lang w:val="en-US" w:eastAsia="zh-CN"/>
        </w:rPr>
        <w:t>RS</w:t>
      </w:r>
      <w:r>
        <w:rPr>
          <w:lang w:val="en-US" w:eastAsia="zh-CN"/>
        </w:rPr>
        <w:t>TD</w:t>
      </w:r>
      <w:r w:rsidRPr="004B0A06">
        <w:t xml:space="preserve"> measurement period then the UE shall continue the </w:t>
      </w:r>
      <w:r w:rsidRPr="004B0A06">
        <w:rPr>
          <w:lang w:val="en-US" w:eastAsia="zh-CN"/>
        </w:rPr>
        <w:t>RS</w:t>
      </w:r>
      <w:r>
        <w:rPr>
          <w:lang w:val="en-US" w:eastAsia="zh-CN"/>
        </w:rPr>
        <w:t>TD</w:t>
      </w:r>
      <w:r w:rsidRPr="004B0A06">
        <w:t xml:space="preserve"> measurement</w:t>
      </w:r>
      <w:r>
        <w:t xml:space="preserve"> in the </w:t>
      </w:r>
      <w:r w:rsidRPr="004B0A06">
        <w:t xml:space="preserve">RRC_CONNECTED state. The </w:t>
      </w:r>
      <w:r w:rsidRPr="004B0A06">
        <w:rPr>
          <w:lang w:val="en-US" w:eastAsia="zh-CN"/>
        </w:rPr>
        <w:t>RS</w:t>
      </w:r>
      <w:r>
        <w:rPr>
          <w:lang w:val="en-US" w:eastAsia="zh-CN"/>
        </w:rPr>
        <w:t>TD</w:t>
      </w:r>
      <w:r w:rsidRPr="004B0A06">
        <w:t xml:space="preserve"> measurement period can be longer.</w:t>
      </w:r>
    </w:p>
    <w:p w14:paraId="26F3156B" w14:textId="517354AD" w:rsidR="006A56A5" w:rsidRDefault="006A56A5" w:rsidP="006A56A5">
      <w:pPr>
        <w:rPr>
          <w:lang w:eastAsia="zh-CN"/>
        </w:rPr>
      </w:pPr>
      <w:r w:rsidRPr="00AB4257">
        <w:t>The UE shall meet the RSTD measurement accuracy requirements in clause 10.1.</w:t>
      </w:r>
      <w:r>
        <w:rPr>
          <w:rFonts w:hint="eastAsia"/>
          <w:lang w:eastAsia="zh-CN"/>
        </w:rPr>
        <w:t>23</w:t>
      </w:r>
      <w:r w:rsidRPr="00AB4257">
        <w:t>.</w:t>
      </w:r>
    </w:p>
    <w:p w14:paraId="32EF34A3" w14:textId="77777777" w:rsidR="00CD7933" w:rsidRDefault="00CD7933" w:rsidP="00CD7933">
      <w:pPr>
        <w:pStyle w:val="Heading3"/>
      </w:pPr>
      <w:r>
        <w:t>5.6</w:t>
      </w:r>
      <w:r w:rsidRPr="0059058A">
        <w:t>.</w:t>
      </w:r>
      <w:r>
        <w:t>3</w:t>
      </w:r>
      <w:r w:rsidRPr="0059058A">
        <w:tab/>
      </w:r>
      <w:r>
        <w:t xml:space="preserve">PRS-RSRP </w:t>
      </w:r>
      <w:r w:rsidRPr="0059058A">
        <w:t>measurements</w:t>
      </w:r>
    </w:p>
    <w:p w14:paraId="1DC31F11" w14:textId="77777777" w:rsidR="00CD7933" w:rsidRPr="006360F4" w:rsidRDefault="00CD7933" w:rsidP="00CD7933">
      <w:pPr>
        <w:pStyle w:val="Heading4"/>
        <w:rPr>
          <w:lang w:eastAsia="zh-CN"/>
        </w:rPr>
      </w:pPr>
      <w:r>
        <w:rPr>
          <w:lang w:eastAsia="zh-CN"/>
        </w:rPr>
        <w:t>5.6</w:t>
      </w:r>
      <w:r w:rsidRPr="006360F4">
        <w:rPr>
          <w:lang w:eastAsia="zh-CN"/>
        </w:rPr>
        <w:t>.3.1</w:t>
      </w:r>
      <w:r w:rsidRPr="006360F4">
        <w:rPr>
          <w:lang w:eastAsia="zh-CN"/>
        </w:rPr>
        <w:tab/>
        <w:t>Introduction</w:t>
      </w:r>
    </w:p>
    <w:p w14:paraId="618B9E73" w14:textId="77777777" w:rsidR="00CD7933" w:rsidRPr="006360F4" w:rsidRDefault="00CD7933" w:rsidP="00CD7933">
      <w:pPr>
        <w:rPr>
          <w:rFonts w:eastAsiaTheme="minorEastAsia"/>
          <w:lang w:eastAsia="zh-CN"/>
        </w:rPr>
      </w:pPr>
      <w:r w:rsidRPr="006360F4">
        <w:rPr>
          <w:rFonts w:eastAsiaTheme="minorEastAsia"/>
        </w:rPr>
        <w:t>The requirements in clause</w:t>
      </w:r>
      <w:r w:rsidRPr="006360F4">
        <w:rPr>
          <w:rFonts w:eastAsiaTheme="minorEastAsia"/>
          <w:lang w:eastAsia="zh-CN"/>
        </w:rPr>
        <w:t xml:space="preserve"> </w:t>
      </w:r>
      <w:r>
        <w:rPr>
          <w:rFonts w:eastAsiaTheme="minorEastAsia"/>
          <w:lang w:eastAsia="zh-CN"/>
        </w:rPr>
        <w:t>5.6</w:t>
      </w:r>
      <w:r w:rsidRPr="006360F4">
        <w:rPr>
          <w:rFonts w:eastAsiaTheme="minorEastAsia"/>
          <w:lang w:eastAsia="zh-CN"/>
        </w:rPr>
        <w:t xml:space="preserve">.3 </w:t>
      </w:r>
      <w:r w:rsidRPr="006360F4">
        <w:rPr>
          <w:rFonts w:eastAsiaTheme="minorEastAsia"/>
        </w:rPr>
        <w:t xml:space="preserve">shall apply provided the UE has received </w:t>
      </w:r>
      <w:r w:rsidRPr="006360F4">
        <w:rPr>
          <w:rFonts w:eastAsiaTheme="minorEastAsia"/>
          <w:iCs/>
        </w:rPr>
        <w:t>a</w:t>
      </w:r>
      <w:r w:rsidRPr="006360F4">
        <w:rPr>
          <w:rFonts w:eastAsiaTheme="minorEastAsia"/>
        </w:rPr>
        <w:t xml:space="preserve"> message from LMF via LPP [34] requesting the UE to measure and report </w:t>
      </w:r>
      <w:r w:rsidRPr="006360F4">
        <w:rPr>
          <w:rFonts w:eastAsiaTheme="minorEastAsia"/>
          <w:lang w:eastAsia="zh-CN"/>
        </w:rPr>
        <w:t>PRS-RSRP measurements defined in TS 38.215 [4]. And the UE is capable of supporting the PRS-RSR</w:t>
      </w:r>
      <w:r w:rsidRPr="006360F4">
        <w:rPr>
          <w:rFonts w:eastAsiaTheme="minorEastAsia" w:hint="eastAsia"/>
          <w:lang w:eastAsia="zh-CN"/>
        </w:rPr>
        <w:t>P</w:t>
      </w:r>
      <w:r w:rsidRPr="006360F4">
        <w:rPr>
          <w:rFonts w:eastAsiaTheme="minorEastAsia"/>
          <w:lang w:eastAsia="zh-CN"/>
        </w:rPr>
        <w:t xml:space="preserve"> </w:t>
      </w:r>
      <w:r w:rsidRPr="006360F4">
        <w:rPr>
          <w:rFonts w:eastAsiaTheme="minorEastAsia" w:hint="eastAsia"/>
          <w:lang w:eastAsia="zh-CN"/>
        </w:rPr>
        <w:t>measurement</w:t>
      </w:r>
      <w:r w:rsidRPr="006360F4">
        <w:rPr>
          <w:rFonts w:eastAsiaTheme="minorEastAsia"/>
          <w:lang w:eastAsia="zh-CN"/>
        </w:rPr>
        <w:t xml:space="preserve"> </w:t>
      </w:r>
      <w:r w:rsidRPr="006360F4">
        <w:rPr>
          <w:rFonts w:eastAsiaTheme="minorEastAsia" w:hint="eastAsia"/>
          <w:lang w:eastAsia="zh-CN"/>
        </w:rPr>
        <w:t>in</w:t>
      </w:r>
      <w:r w:rsidRPr="006360F4">
        <w:rPr>
          <w:rFonts w:eastAsiaTheme="minorEastAsia"/>
          <w:lang w:eastAsia="zh-CN"/>
        </w:rPr>
        <w:t xml:space="preserve"> RRC INACTIVE </w:t>
      </w:r>
      <w:r w:rsidRPr="006360F4">
        <w:rPr>
          <w:rFonts w:eastAsiaTheme="minorEastAsia" w:hint="eastAsia"/>
          <w:lang w:eastAsia="zh-CN"/>
        </w:rPr>
        <w:t>state.</w:t>
      </w:r>
    </w:p>
    <w:p w14:paraId="444A825C" w14:textId="77777777" w:rsidR="00CD7933" w:rsidRPr="006360F4" w:rsidRDefault="00CD7933" w:rsidP="00CD7933">
      <w:pPr>
        <w:pStyle w:val="Heading4"/>
        <w:rPr>
          <w:lang w:eastAsia="zh-CN"/>
        </w:rPr>
      </w:pPr>
      <w:r>
        <w:rPr>
          <w:lang w:eastAsia="zh-CN"/>
        </w:rPr>
        <w:t>5.6</w:t>
      </w:r>
      <w:r w:rsidRPr="006360F4">
        <w:rPr>
          <w:lang w:eastAsia="zh-CN"/>
        </w:rPr>
        <w:t>.3.2</w:t>
      </w:r>
      <w:r w:rsidRPr="006360F4">
        <w:rPr>
          <w:lang w:eastAsia="zh-CN"/>
        </w:rPr>
        <w:tab/>
        <w:t>Requirements applicability</w:t>
      </w:r>
    </w:p>
    <w:p w14:paraId="7977E26E" w14:textId="77777777" w:rsidR="00CD7933" w:rsidRPr="006360F4" w:rsidRDefault="00CD7933" w:rsidP="00CD7933">
      <w:pPr>
        <w:rPr>
          <w:rFonts w:eastAsiaTheme="minorEastAsia"/>
        </w:rPr>
      </w:pPr>
      <w:r w:rsidRPr="006360F4">
        <w:rPr>
          <w:rFonts w:eastAsiaTheme="minorEastAsia"/>
        </w:rPr>
        <w:t xml:space="preserve">The requirements in clause </w:t>
      </w:r>
      <w:r>
        <w:rPr>
          <w:rFonts w:eastAsiaTheme="minorEastAsia"/>
        </w:rPr>
        <w:t>5.6</w:t>
      </w:r>
      <w:r w:rsidRPr="006360F4">
        <w:rPr>
          <w:rFonts w:eastAsiaTheme="minorEastAsia"/>
        </w:rPr>
        <w:t>.3 apply for periodic and triggered PRS-RSRP measurements, provided:</w:t>
      </w:r>
    </w:p>
    <w:p w14:paraId="07367C18" w14:textId="508447D7" w:rsidR="00CD7933" w:rsidRPr="006360F4" w:rsidRDefault="006426C7" w:rsidP="004A31B7">
      <w:pPr>
        <w:pStyle w:val="B10"/>
      </w:pPr>
      <w:r w:rsidRPr="006360F4">
        <w:t>-</w:t>
      </w:r>
      <w:r w:rsidRPr="006360F4">
        <w:tab/>
        <w:t>PRS-RSRP related side conditions given in clause 10.1.</w:t>
      </w:r>
      <w:r>
        <w:rPr>
          <w:rFonts w:hint="eastAsia"/>
          <w:lang w:eastAsia="zh-CN"/>
        </w:rPr>
        <w:t>24</w:t>
      </w:r>
      <w:r w:rsidRPr="006360F4">
        <w:t xml:space="preserve"> are met for a corresponding Band.</w:t>
      </w:r>
    </w:p>
    <w:p w14:paraId="50434802" w14:textId="77777777" w:rsidR="00CD7933" w:rsidRPr="006360F4" w:rsidRDefault="00CD7933" w:rsidP="00CD7933">
      <w:pPr>
        <w:pStyle w:val="Heading4"/>
        <w:rPr>
          <w:lang w:eastAsia="zh-CN"/>
        </w:rPr>
      </w:pPr>
      <w:r>
        <w:rPr>
          <w:lang w:eastAsia="zh-CN"/>
        </w:rPr>
        <w:t>5.6</w:t>
      </w:r>
      <w:r w:rsidRPr="006360F4">
        <w:rPr>
          <w:lang w:eastAsia="zh-CN"/>
        </w:rPr>
        <w:t>.3.3</w:t>
      </w:r>
      <w:r w:rsidRPr="006360F4">
        <w:rPr>
          <w:lang w:eastAsia="zh-CN"/>
        </w:rPr>
        <w:tab/>
        <w:t>Measurement Capability</w:t>
      </w:r>
    </w:p>
    <w:p w14:paraId="402E63C5" w14:textId="77777777" w:rsidR="00CD7933" w:rsidRPr="006360F4" w:rsidRDefault="00CD7933" w:rsidP="00CD7933">
      <w:pPr>
        <w:rPr>
          <w:rFonts w:eastAsiaTheme="minorEastAsia" w:cs="v4.2.0"/>
        </w:rPr>
      </w:pPr>
      <w:r w:rsidRPr="006360F4">
        <w:rPr>
          <w:rFonts w:eastAsiaTheme="minorEastAsia" w:cs="v4.2.0"/>
        </w:rPr>
        <w:t xml:space="preserve">UE PRS-RSRP measurement capability is as indicated by the UE in </w:t>
      </w:r>
      <w:r w:rsidRPr="006360F4">
        <w:rPr>
          <w:rFonts w:eastAsiaTheme="minorEastAsia"/>
          <w:i/>
        </w:rPr>
        <w:t>NR-DL-AoD-Provide</w:t>
      </w:r>
      <w:r w:rsidRPr="006360F4">
        <w:rPr>
          <w:rFonts w:eastAsiaTheme="minorEastAsia"/>
          <w:i/>
          <w:noProof/>
        </w:rPr>
        <w:t xml:space="preserve">Capabilities </w:t>
      </w:r>
      <w:r w:rsidRPr="006360F4">
        <w:rPr>
          <w:rFonts w:eastAsiaTheme="minorEastAsia" w:cs="v4.2.0"/>
        </w:rPr>
        <w:t>according to TS 37.355 [34].</w:t>
      </w:r>
    </w:p>
    <w:p w14:paraId="4EB65DBF" w14:textId="77777777" w:rsidR="00CD7933" w:rsidRPr="006360F4" w:rsidRDefault="00CD7933" w:rsidP="00CD7933">
      <w:pPr>
        <w:pStyle w:val="Heading4"/>
        <w:rPr>
          <w:lang w:eastAsia="zh-CN"/>
        </w:rPr>
      </w:pPr>
      <w:r>
        <w:rPr>
          <w:lang w:eastAsia="zh-CN"/>
        </w:rPr>
        <w:t>5.6</w:t>
      </w:r>
      <w:r w:rsidRPr="006360F4">
        <w:rPr>
          <w:lang w:eastAsia="zh-CN"/>
        </w:rPr>
        <w:t>.3.4</w:t>
      </w:r>
      <w:r w:rsidRPr="006360F4">
        <w:rPr>
          <w:lang w:eastAsia="zh-CN"/>
        </w:rPr>
        <w:tab/>
        <w:t>Measurement Reporting Requirements</w:t>
      </w:r>
    </w:p>
    <w:p w14:paraId="453758C7" w14:textId="77777777" w:rsidR="00CD7933" w:rsidRPr="006360F4" w:rsidRDefault="00CD7933" w:rsidP="00CD7933">
      <w:r w:rsidRPr="006360F4">
        <w:t>The measurement reporting delay is defined as the time between the moment when the periodic measurement report is triggered and the moment when the UE is ready to transmit the measurement report over the air interface. If the UE supports reporting of NR positioning measurements via SDT, the UE may be able to report the measurements while it remains in RRC_INACTIVE state; otherwise, the UE will transition to RRC_CONNECTED state prior to transmitting the measurement report.</w:t>
      </w:r>
    </w:p>
    <w:p w14:paraId="7755B5D0" w14:textId="77777777" w:rsidR="00CD7933" w:rsidRPr="006360F4" w:rsidRDefault="00CD7933" w:rsidP="00CD7933">
      <w:r w:rsidRPr="006360F4">
        <w:t xml:space="preserve">For PRS-RSRP measurements performed by the UE in RRC_INACTIVE state, </w:t>
      </w:r>
      <w:r>
        <w:t>t</w:t>
      </w:r>
      <w:r w:rsidRPr="006360F4">
        <w:t>he measurement reporting delay excludes all of the following:</w:t>
      </w:r>
    </w:p>
    <w:p w14:paraId="2E2CDF81" w14:textId="77777777" w:rsidR="00CD7933" w:rsidRPr="006360F4" w:rsidRDefault="00CD7933" w:rsidP="00CD7933">
      <w:pPr>
        <w:pStyle w:val="B10"/>
      </w:pPr>
      <w:r>
        <w:rPr>
          <w:lang w:eastAsia="zh-CN"/>
        </w:rPr>
        <w:t>-</w:t>
      </w:r>
      <w:r>
        <w:rPr>
          <w:lang w:eastAsia="zh-CN"/>
        </w:rPr>
        <w:tab/>
      </w:r>
      <w:r w:rsidRPr="006360F4">
        <w:rPr>
          <w:rFonts w:hint="eastAsia"/>
          <w:lang w:eastAsia="zh-CN"/>
        </w:rPr>
        <w:t>any</w:t>
      </w:r>
      <w:r w:rsidRPr="006360F4">
        <w:rPr>
          <w:lang w:eastAsia="zh-CN"/>
        </w:rPr>
        <w:t xml:space="preserve"> </w:t>
      </w:r>
      <w:r w:rsidRPr="006360F4">
        <w:t>delay caused other LPP signalling on the DCCH,</w:t>
      </w:r>
    </w:p>
    <w:p w14:paraId="0A8723EB" w14:textId="77777777" w:rsidR="00CD7933" w:rsidRPr="006360F4" w:rsidRDefault="00CD7933" w:rsidP="00CD7933">
      <w:pPr>
        <w:pStyle w:val="B10"/>
      </w:pPr>
      <w:r>
        <w:t>-</w:t>
      </w:r>
      <w:r>
        <w:tab/>
      </w:r>
      <w:r w:rsidRPr="006360F4">
        <w:t xml:space="preserve">delay uncertainty introduced when inserting the measurement report in the TTI of the uplink DCCH </w:t>
      </w:r>
      <w:r w:rsidRPr="006360F4">
        <w:rPr>
          <w:rFonts w:hint="eastAsia"/>
          <w:lang w:eastAsia="zh-CN"/>
        </w:rPr>
        <w:t>which</w:t>
      </w:r>
      <w:r w:rsidRPr="006360F4">
        <w:t xml:space="preserve"> </w:t>
      </w:r>
      <w:r w:rsidRPr="006360F4">
        <w:rPr>
          <w:rFonts w:hint="eastAsia"/>
          <w:lang w:eastAsia="zh-CN"/>
        </w:rPr>
        <w:t>is</w:t>
      </w:r>
      <w:r w:rsidRPr="006360F4">
        <w:t xml:space="preserve"> equal to 2 x TTI</w:t>
      </w:r>
      <w:r w:rsidRPr="006360F4">
        <w:rPr>
          <w:vertAlign w:val="subscript"/>
        </w:rPr>
        <w:t>DCCH</w:t>
      </w:r>
      <w:r w:rsidRPr="006360F4">
        <w:t xml:space="preserve"> where TTI</w:t>
      </w:r>
      <w:r w:rsidRPr="006360F4">
        <w:rPr>
          <w:vertAlign w:val="subscript"/>
        </w:rPr>
        <w:t>DCCH</w:t>
      </w:r>
      <w:r w:rsidRPr="006360F4">
        <w:t xml:space="preserve"> is the duration of subframe or slot or subslot when the measurement report is transmitted on the PUSCH with subframe or slot or subslot duration</w:t>
      </w:r>
      <w:r w:rsidRPr="006360F4">
        <w:rPr>
          <w:lang w:eastAsia="zh-CN"/>
        </w:rPr>
        <w:t>,</w:t>
      </w:r>
    </w:p>
    <w:p w14:paraId="7D79AFDB" w14:textId="77777777" w:rsidR="00CD7933" w:rsidRPr="006360F4" w:rsidRDefault="00CD7933" w:rsidP="00CD7933">
      <w:pPr>
        <w:pStyle w:val="B10"/>
      </w:pPr>
      <w:r>
        <w:rPr>
          <w:lang w:eastAsia="zh-CN"/>
        </w:rPr>
        <w:t>-</w:t>
      </w:r>
      <w:r>
        <w:rPr>
          <w:lang w:eastAsia="zh-CN"/>
        </w:rPr>
        <w:tab/>
      </w:r>
      <w:r w:rsidRPr="006360F4">
        <w:rPr>
          <w:lang w:eastAsia="zh-CN"/>
        </w:rPr>
        <w:t xml:space="preserve">any delay </w:t>
      </w:r>
      <w:r w:rsidRPr="006360F4">
        <w:rPr>
          <w:rFonts w:hint="eastAsia"/>
          <w:lang w:eastAsia="zh-CN"/>
        </w:rPr>
        <w:t>caused</w:t>
      </w:r>
      <w:r w:rsidRPr="006360F4">
        <w:rPr>
          <w:lang w:eastAsia="zh-CN"/>
        </w:rPr>
        <w:t xml:space="preserve"> </w:t>
      </w:r>
      <w:r w:rsidRPr="006360F4">
        <w:t>by no UL resources for UE to send the measurement report</w:t>
      </w:r>
      <w:r w:rsidRPr="006360F4">
        <w:rPr>
          <w:lang w:eastAsia="zh-CN"/>
        </w:rPr>
        <w:t>,</w:t>
      </w:r>
    </w:p>
    <w:p w14:paraId="405C5B52" w14:textId="77777777" w:rsidR="00CD7933" w:rsidRPr="006360F4" w:rsidRDefault="00CD7933" w:rsidP="00CD7933">
      <w:pPr>
        <w:pStyle w:val="B10"/>
      </w:pPr>
      <w:r>
        <w:rPr>
          <w:lang w:eastAsia="zh-CN"/>
        </w:rPr>
        <w:t>-</w:t>
      </w:r>
      <w:r>
        <w:rPr>
          <w:lang w:eastAsia="zh-CN"/>
        </w:rPr>
        <w:tab/>
      </w:r>
      <w:r w:rsidRPr="006360F4">
        <w:rPr>
          <w:lang w:eastAsia="zh-CN"/>
        </w:rPr>
        <w:t>any transmission delay needed by SDT,</w:t>
      </w:r>
    </w:p>
    <w:p w14:paraId="32282EE2" w14:textId="77777777" w:rsidR="00CD7933" w:rsidRPr="006360F4" w:rsidRDefault="00CD7933" w:rsidP="00CD7933">
      <w:pPr>
        <w:pStyle w:val="B10"/>
      </w:pPr>
      <w:r>
        <w:rPr>
          <w:lang w:eastAsia="zh-CN"/>
        </w:rPr>
        <w:t>-</w:t>
      </w:r>
      <w:r>
        <w:rPr>
          <w:lang w:eastAsia="zh-CN"/>
        </w:rPr>
        <w:tab/>
      </w:r>
      <w:r w:rsidRPr="006360F4">
        <w:rPr>
          <w:lang w:eastAsia="zh-CN"/>
        </w:rPr>
        <w:t>the time needed to transition to RRC_CONNECTED state to report the measurements.</w:t>
      </w:r>
    </w:p>
    <w:p w14:paraId="7C07E5D6" w14:textId="7DC4D885" w:rsidR="006426C7" w:rsidRPr="006360F4" w:rsidRDefault="006426C7" w:rsidP="006426C7">
      <w:pPr>
        <w:rPr>
          <w:lang w:eastAsia="zh-CN"/>
        </w:rPr>
      </w:pPr>
      <w:r w:rsidRPr="006360F4">
        <w:rPr>
          <w:lang w:eastAsia="zh-CN"/>
        </w:rPr>
        <w:t>The reported PRS-RSRP measurement values contained in measurement reports shall be based on the measurement report mapping requirements specified in clauses 10.1.</w:t>
      </w:r>
      <w:r>
        <w:rPr>
          <w:rFonts w:hint="eastAsia"/>
          <w:lang w:eastAsia="zh-CN"/>
        </w:rPr>
        <w:t>24</w:t>
      </w:r>
      <w:r w:rsidRPr="006360F4">
        <w:rPr>
          <w:lang w:eastAsia="zh-CN"/>
        </w:rPr>
        <w:t>.</w:t>
      </w:r>
    </w:p>
    <w:p w14:paraId="46237BC0" w14:textId="03B36938" w:rsidR="00CD7933" w:rsidRPr="006360F4" w:rsidRDefault="006426C7" w:rsidP="006426C7">
      <w:pPr>
        <w:rPr>
          <w:rFonts w:eastAsiaTheme="minorEastAsia"/>
        </w:rPr>
      </w:pPr>
      <w:r w:rsidRPr="006360F4">
        <w:t>The PRS-RSRP measurement accuracy for all measured PRS resources shall be fulfilled according to the accuracy requriements specified in the clauses 10.1.</w:t>
      </w:r>
      <w:r>
        <w:rPr>
          <w:rFonts w:hint="eastAsia"/>
          <w:lang w:eastAsia="zh-CN"/>
        </w:rPr>
        <w:t>24</w:t>
      </w:r>
      <w:r w:rsidRPr="006360F4">
        <w:t>.</w:t>
      </w:r>
    </w:p>
    <w:p w14:paraId="5A4F569B" w14:textId="77777777" w:rsidR="00CD7933" w:rsidRPr="006360F4" w:rsidRDefault="00CD7933" w:rsidP="00CD7933">
      <w:pPr>
        <w:pStyle w:val="Heading4"/>
        <w:rPr>
          <w:lang w:eastAsia="zh-CN"/>
        </w:rPr>
      </w:pPr>
      <w:r w:rsidRPr="006360F4">
        <w:rPr>
          <w:lang w:eastAsia="zh-CN"/>
        </w:rPr>
        <w:t>5.</w:t>
      </w:r>
      <w:r>
        <w:rPr>
          <w:lang w:eastAsia="zh-CN"/>
        </w:rPr>
        <w:t>6</w:t>
      </w:r>
      <w:r w:rsidRPr="006360F4">
        <w:rPr>
          <w:lang w:eastAsia="zh-CN"/>
        </w:rPr>
        <w:t>.3.5</w:t>
      </w:r>
      <w:r w:rsidRPr="006360F4">
        <w:rPr>
          <w:lang w:eastAsia="zh-CN"/>
        </w:rPr>
        <w:tab/>
        <w:t>Measurement Period Requirements</w:t>
      </w:r>
    </w:p>
    <w:p w14:paraId="30BA5AB1" w14:textId="514EB66C" w:rsidR="00CD7933" w:rsidRDefault="00CD7933" w:rsidP="00CD7933">
      <w:pPr>
        <w:rPr>
          <w:rFonts w:eastAsia="MS Mincho" w:cs="v4.2.0"/>
        </w:rPr>
      </w:pPr>
      <w:r w:rsidRPr="006360F4">
        <w:rPr>
          <w:rFonts w:eastAsiaTheme="minorEastAsia"/>
        </w:rPr>
        <w:t xml:space="preserve">When the physical layer receives </w:t>
      </w:r>
      <w:r w:rsidRPr="006360F4">
        <w:rPr>
          <w:rFonts w:eastAsiaTheme="minorEastAsia"/>
          <w:i/>
        </w:rPr>
        <w:t>NR-DL-AoD-Provide</w:t>
      </w:r>
      <w:r w:rsidRPr="006360F4">
        <w:rPr>
          <w:rFonts w:eastAsiaTheme="minorEastAsia"/>
          <w:i/>
          <w:noProof/>
        </w:rPr>
        <w:t>AssistanceData</w:t>
      </w:r>
      <w:r w:rsidRPr="006360F4">
        <w:rPr>
          <w:rFonts w:eastAsiaTheme="minorEastAsia"/>
        </w:rPr>
        <w:t xml:space="preserve"> message and </w:t>
      </w:r>
      <w:r w:rsidRPr="006360F4">
        <w:rPr>
          <w:rFonts w:eastAsiaTheme="minorEastAsia"/>
          <w:i/>
        </w:rPr>
        <w:t>NR-DL-AoD-Request</w:t>
      </w:r>
      <w:r w:rsidRPr="006360F4">
        <w:rPr>
          <w:rFonts w:eastAsiaTheme="minorEastAsia"/>
          <w:i/>
          <w:noProof/>
        </w:rPr>
        <w:t>LocationInformation</w:t>
      </w:r>
      <w:r w:rsidRPr="006360F4">
        <w:rPr>
          <w:rFonts w:eastAsiaTheme="minorEastAsia"/>
          <w:i/>
        </w:rPr>
        <w:t xml:space="preserve"> </w:t>
      </w:r>
      <w:r w:rsidRPr="006360F4">
        <w:rPr>
          <w:rFonts w:eastAsiaTheme="minorEastAsia"/>
          <w:iCs/>
        </w:rPr>
        <w:t>message from LMF</w:t>
      </w:r>
      <w:r w:rsidRPr="006360F4">
        <w:rPr>
          <w:rFonts w:eastAsiaTheme="minorEastAsia"/>
        </w:rPr>
        <w:t xml:space="preserve"> via LPP [34], the UE shall be able to measure multiple (up to the UE capability specified in Clause </w:t>
      </w:r>
      <w:r>
        <w:rPr>
          <w:rFonts w:eastAsiaTheme="minorEastAsia"/>
        </w:rPr>
        <w:t>5.6</w:t>
      </w:r>
      <w:r w:rsidRPr="006360F4">
        <w:rPr>
          <w:rFonts w:eastAsiaTheme="minorEastAsia"/>
        </w:rPr>
        <w:t xml:space="preserve">.3.3) PRS-RSRP measurements, defined in TS 38.215 [4], from configured PRS resources for configured TRPs on configured positioning frequency layers, within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PRS-RSRP</m:t>
            </m:r>
            <m:r>
              <m:rPr>
                <m:nor/>
              </m:rPr>
              <w:rPr>
                <w:rFonts w:ascii="Cambria Math" w:eastAsiaTheme="minorEastAsia" w:hAnsi="Cambria Math"/>
              </w:rPr>
              <m:t>,total</m:t>
            </m:r>
          </m:sub>
        </m:sSub>
      </m:oMath>
      <w:r w:rsidRPr="006360F4">
        <w:rPr>
          <w:rFonts w:eastAsia="MS Mincho" w:cs="v4.2.0"/>
        </w:rPr>
        <w:t xml:space="preserve"> ms.</w:t>
      </w:r>
    </w:p>
    <w:p w14:paraId="07E03C9A" w14:textId="77777777" w:rsidR="00681704" w:rsidRPr="006360F4" w:rsidRDefault="00681704" w:rsidP="00681704">
      <w:pPr>
        <w:rPr>
          <w:lang w:eastAsia="zh-CN"/>
        </w:rPr>
      </w:pPr>
    </w:p>
    <w:p w14:paraId="408199A2" w14:textId="77777777" w:rsidR="00681704" w:rsidRPr="006360F4" w:rsidRDefault="00681704" w:rsidP="00681704">
      <w:pPr>
        <w:pStyle w:val="EQ"/>
        <w:rPr>
          <w:lang w:eastAsia="zh-CN"/>
        </w:rPr>
      </w:pPr>
      <w:r w:rsidRPr="006360F4">
        <w:tab/>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PRS-RSRP,i</m:t>
            </m:r>
          </m:sub>
        </m:sSub>
        <m:r>
          <m:rPr>
            <m:sty m:val="p"/>
          </m:rPr>
          <w:rPr>
            <w:rFonts w:ascii="Cambria Math" w:hAnsi="Cambria Math"/>
            <w:lang w:eastAsia="zh-CN"/>
          </w:rPr>
          <m:t>=</m:t>
        </m:r>
        <m:sSub>
          <m:sSubPr>
            <m:ctrlPr>
              <w:rPr>
                <w:rFonts w:ascii="Cambria Math" w:hAnsi="Cambria Math"/>
              </w:rPr>
            </m:ctrlPr>
          </m:sSubPr>
          <m:e>
            <m:d>
              <m:dPr>
                <m:ctrlPr>
                  <w:rPr>
                    <w:rFonts w:ascii="Cambria Math" w:hAnsi="Cambria Math"/>
                  </w:rPr>
                </m:ctrlPr>
              </m:dPr>
              <m:e>
                <m:sSub>
                  <m:sSubPr>
                    <m:ctrlPr>
                      <w:rPr>
                        <w:rFonts w:ascii="Cambria Math" w:hAnsi="Cambria Math"/>
                        <w:bCs/>
                      </w:rPr>
                    </m:ctrlPr>
                  </m:sSubPr>
                  <m:e>
                    <m:sSub>
                      <m:sSubPr>
                        <m:ctrlPr>
                          <w:rPr>
                            <w:rFonts w:ascii="Cambria Math" w:hAnsi="Cambria Math"/>
                          </w:rPr>
                        </m:ctrlPr>
                      </m:sSubPr>
                      <m:e>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hint="eastAsia"/>
                                <w:lang w:eastAsia="zh-CN"/>
                              </w:rPr>
                              <m:t>carrier</m:t>
                            </m:r>
                            <m:r>
                              <m:rPr>
                                <m:sty m:val="p"/>
                              </m:rPr>
                              <w:rPr>
                                <w:rFonts w:ascii="Cambria Math" w:hAnsi="Cambria Math"/>
                                <w:lang w:eastAsia="zh-CN"/>
                              </w:rPr>
                              <m:t>_PRS</m:t>
                            </m:r>
                          </m:sub>
                        </m:sSub>
                      </m:e>
                      <m:sub>
                        <m:r>
                          <m:rPr>
                            <m:sty m:val="p"/>
                          </m:rPr>
                          <w:rPr>
                            <w:rFonts w:ascii="Cambria Math" w:hAnsi="Cambria Math"/>
                            <w:lang w:eastAsia="zh-CN"/>
                          </w:rPr>
                          <m:t>i</m:t>
                        </m:r>
                      </m:sub>
                    </m:sSub>
                    <m:r>
                      <m:rPr>
                        <m:sty m:val="p"/>
                      </m:rPr>
                      <w:rPr>
                        <w:rFonts w:ascii="Cambria Math" w:hAnsi="Cambria Math"/>
                      </w:rPr>
                      <m:t>*</m:t>
                    </m:r>
                    <m:r>
                      <w:rPr>
                        <w:rFonts w:ascii="Cambria Math" w:hAnsi="Cambria Math"/>
                      </w:rPr>
                      <m:t>N</m:t>
                    </m:r>
                  </m:e>
                  <m:sub>
                    <m:r>
                      <w:rPr>
                        <w:rFonts w:ascii="Cambria Math" w:hAnsi="Cambria Math"/>
                      </w:rPr>
                      <m:t>RxBeam</m:t>
                    </m:r>
                    <m:r>
                      <m:rPr>
                        <m:sty m:val="p"/>
                      </m:rPr>
                      <w:rPr>
                        <w:rFonts w:ascii="Cambria Math" w:hAnsi="Cambria Math"/>
                      </w:rPr>
                      <m:t>,</m:t>
                    </m:r>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PRS</m:t>
                            </m:r>
                            <m:r>
                              <m:rPr>
                                <m:nor/>
                              </m:rPr>
                              <m:t>,i</m:t>
                            </m:r>
                          </m:sub>
                          <m:sup>
                            <m:r>
                              <w:rPr>
                                <w:rFonts w:ascii="Cambria Math" w:hAnsi="Cambria Math"/>
                              </w:rPr>
                              <m:t>slot</m:t>
                            </m:r>
                          </m:sup>
                        </m:sSubSup>
                      </m:num>
                      <m:den>
                        <m:sSup>
                          <m:sSupPr>
                            <m:ctrlPr>
                              <w:rPr>
                                <w:rFonts w:ascii="Cambria Math" w:hAnsi="Cambria Math"/>
                              </w:rPr>
                            </m:ctrlPr>
                          </m:sSupPr>
                          <m:e>
                            <m:r>
                              <w:rPr>
                                <w:rFonts w:ascii="Cambria Math" w:hAnsi="Cambria Math"/>
                              </w:rPr>
                              <m:t>N</m:t>
                            </m:r>
                          </m:e>
                          <m:sup>
                            <m:r>
                              <m:rPr>
                                <m:sty m:val="p"/>
                              </m:rPr>
                              <w:rPr>
                                <w:rFonts w:ascii="Cambria Math" w:hAnsi="Cambria Math" w:hint="eastAsia"/>
                              </w:rPr>
                              <m:t>'</m:t>
                            </m:r>
                          </m:sup>
                        </m:sSup>
                      </m:den>
                    </m:f>
                  </m:e>
                </m:d>
                <m:d>
                  <m:dPr>
                    <m:begChr m:val="⌈"/>
                    <m:endChr m:val="⌉"/>
                    <m:ctrlPr>
                      <w:rPr>
                        <w:rFonts w:ascii="Cambria Math" w:hAnsi="Cambria Math"/>
                      </w:rPr>
                    </m:ctrlPr>
                  </m:dPr>
                  <m:e>
                    <m:f>
                      <m:fPr>
                        <m:ctrlPr>
                          <w:rPr>
                            <w:rFonts w:ascii="Cambria Math" w:hAnsi="Cambria Math"/>
                          </w:rPr>
                        </m:ctrlPr>
                      </m:fPr>
                      <m:num>
                        <m:sSub>
                          <m:sSubPr>
                            <m:ctrlPr>
                              <w:rPr>
                                <w:rFonts w:ascii="Cambria Math" w:hAnsi="Cambria Math"/>
                                <w:i/>
                                <w:iCs/>
                                <w:lang w:eastAsia="zh-CN"/>
                              </w:rPr>
                            </m:ctrlPr>
                          </m:sSubPr>
                          <m:e>
                            <m:r>
                              <w:rPr>
                                <w:rFonts w:ascii="Cambria Math" w:hAnsi="Cambria Math"/>
                                <w:lang w:eastAsia="zh-CN"/>
                              </w:rPr>
                              <m:t>L</m:t>
                            </m:r>
                          </m:e>
                          <m:sub>
                            <m:r>
                              <w:rPr>
                                <w:rFonts w:ascii="Cambria Math" w:hAnsi="Cambria Math"/>
                                <w:lang w:eastAsia="zh-CN"/>
                              </w:rPr>
                              <m:t>available_PRS</m:t>
                            </m:r>
                            <m:r>
                              <m:rPr>
                                <m:sty m:val="p"/>
                              </m:rPr>
                              <w:rPr>
                                <w:rFonts w:ascii="Cambria Math" w:hAnsi="Cambria Math"/>
                                <w:lang w:eastAsia="zh-CN"/>
                              </w:rPr>
                              <m:t>,i</m:t>
                            </m:r>
                          </m:sub>
                        </m:sSub>
                      </m:num>
                      <m:den>
                        <m:r>
                          <w:rPr>
                            <w:rFonts w:ascii="Cambria Math" w:hAnsi="Cambria Math"/>
                          </w:rPr>
                          <m:t>N</m:t>
                        </m:r>
                      </m:den>
                    </m:f>
                  </m:e>
                </m:d>
                <m:r>
                  <m:rPr>
                    <m:sty m:val="p"/>
                  </m:rPr>
                  <w:rPr>
                    <w:rFonts w:ascii="Cambria Math" w:hAnsi="Cambria Math"/>
                    <w:lang w:eastAsia="zh-CN"/>
                  </w:rPr>
                  <m:t>*</m:t>
                </m:r>
                <m:sSub>
                  <m:sSubPr>
                    <m:ctrlPr>
                      <w:rPr>
                        <w:rFonts w:ascii="Cambria Math" w:hAnsi="Cambria Math"/>
                      </w:rPr>
                    </m:ctrlPr>
                  </m:sSubPr>
                  <m:e>
                    <m:r>
                      <w:rPr>
                        <w:rFonts w:ascii="Cambria Math" w:hAnsi="Cambria Math"/>
                      </w:rPr>
                      <m:t>N</m:t>
                    </m:r>
                  </m:e>
                  <m:sub>
                    <m:r>
                      <w:rPr>
                        <w:rFonts w:ascii="Cambria Math" w:hAnsi="Cambria Math"/>
                      </w:rPr>
                      <m:t>sample</m:t>
                    </m:r>
                  </m:sub>
                </m:sSub>
                <m:r>
                  <m:rPr>
                    <m:sty m:val="p"/>
                  </m:rPr>
                  <w:rPr>
                    <w:rFonts w:ascii="Cambria Math" w:hAnsi="Cambria Math"/>
                  </w:rPr>
                  <m:t>-1</m:t>
                </m:r>
              </m:e>
            </m:d>
            <m:r>
              <m:rPr>
                <m:sty m:val="p"/>
              </m:rPr>
              <w:rPr>
                <w:rFonts w:ascii="Cambria Math" w:hAnsi="Cambria Math"/>
                <w:lang w:eastAsia="zh-CN"/>
              </w:rPr>
              <m:t>*T</m:t>
            </m:r>
          </m:e>
          <m:sub>
            <m:r>
              <m:rPr>
                <m:sty m:val="p"/>
              </m:rPr>
              <w:rPr>
                <w:rFonts w:ascii="Cambria Math" w:hAnsi="Cambria Math"/>
                <w:lang w:eastAsia="zh-CN"/>
              </w:rPr>
              <m:t>effect,i</m:t>
            </m:r>
          </m:sub>
        </m:sSub>
        <m:r>
          <m:rPr>
            <m:sty m:val="p"/>
          </m:rPr>
          <w:rPr>
            <w:rFonts w:ascii="Cambria Math" w:hAnsi="Cambria Math"/>
            <w:lang w:eastAsia="zh-CN"/>
          </w:rPr>
          <m:t>+</m:t>
        </m:r>
        <m:sSub>
          <m:sSubPr>
            <m:ctrlPr>
              <w:rPr>
                <w:rFonts w:ascii="Cambria Math" w:hAnsi="Cambria Math"/>
              </w:rPr>
            </m:ctrlPr>
          </m:sSubPr>
          <m:e>
            <m:r>
              <m:rPr>
                <m:nor/>
              </m:rPr>
              <m:t>T</m:t>
            </m:r>
          </m:e>
          <m:sub>
            <m:r>
              <m:rPr>
                <m:nor/>
              </m:rPr>
              <m:t>last</m:t>
            </m:r>
            <m:r>
              <m:rPr>
                <m:nor/>
              </m:rPr>
              <w:rPr>
                <w:rFonts w:ascii="Cambria Math"/>
              </w:rPr>
              <m:t>,i</m:t>
            </m:r>
          </m:sub>
        </m:sSub>
      </m:oMath>
    </w:p>
    <w:p w14:paraId="4A7A423F" w14:textId="0C76A1A9" w:rsidR="00CD7933" w:rsidRPr="006360F4" w:rsidRDefault="004A31B7" w:rsidP="004A31B7">
      <w:pPr>
        <w:rPr>
          <w:lang w:eastAsia="zh-CN"/>
        </w:rPr>
      </w:pPr>
      <w:r w:rsidRPr="006360F4">
        <w:rPr>
          <w:lang w:eastAsia="zh-CN"/>
        </w:rPr>
        <w:t>W</w:t>
      </w:r>
      <w:r w:rsidR="00CD7933" w:rsidRPr="006360F4">
        <w:rPr>
          <w:lang w:eastAsia="zh-CN"/>
        </w:rPr>
        <w:t>here</w:t>
      </w:r>
      <w:r>
        <w:rPr>
          <w:lang w:eastAsia="zh-CN"/>
        </w:rPr>
        <w:t>:</w:t>
      </w:r>
    </w:p>
    <w:p w14:paraId="4F4C3D88" w14:textId="73EE1074" w:rsidR="00CD7933" w:rsidRPr="006360F4" w:rsidRDefault="004A31B7" w:rsidP="004A31B7">
      <w:pPr>
        <w:pStyle w:val="B10"/>
        <w:rPr>
          <w:lang w:eastAsia="zh-CN"/>
        </w:rPr>
      </w:pPr>
      <w:r>
        <w:rPr>
          <w:i/>
          <w:iCs/>
          <w:lang w:eastAsia="zh-CN"/>
        </w:rPr>
        <w:t>-</w:t>
      </w:r>
      <w:r>
        <w:rPr>
          <w:i/>
          <w:iCs/>
          <w:lang w:eastAsia="zh-CN"/>
        </w:rPr>
        <w:tab/>
      </w:r>
      <w:r w:rsidR="00CD7933" w:rsidRPr="006360F4">
        <w:rPr>
          <w:i/>
          <w:iCs/>
          <w:lang w:eastAsia="zh-CN"/>
        </w:rPr>
        <w:t>i</w:t>
      </w:r>
      <w:r w:rsidR="00CD7933" w:rsidRPr="006360F4">
        <w:rPr>
          <w:lang w:eastAsia="zh-CN"/>
        </w:rPr>
        <w:t xml:space="preserve"> is the index of </w:t>
      </w:r>
      <w:r w:rsidR="00CD7933" w:rsidRPr="006360F4">
        <w:t>positioning</w:t>
      </w:r>
      <w:r w:rsidR="00CD7933" w:rsidRPr="006360F4">
        <w:rPr>
          <w:lang w:eastAsia="zh-CN"/>
        </w:rPr>
        <w:t xml:space="preserve"> frequency layer, </w:t>
      </w:r>
    </w:p>
    <w:p w14:paraId="3AE171A8" w14:textId="46C74FF0" w:rsidR="00CD7933" w:rsidRPr="006360F4" w:rsidRDefault="004A31B7" w:rsidP="004A31B7">
      <w:pPr>
        <w:pStyle w:val="B10"/>
      </w:pPr>
      <w:r>
        <w:t>-</w:t>
      </w:r>
      <w:r>
        <w:tab/>
      </w:r>
      <w:r w:rsidR="00CD7933" w:rsidRPr="006360F4">
        <w:t xml:space="preserve">L is total number of positioning frequency layers, </w:t>
      </w:r>
    </w:p>
    <w:p w14:paraId="75D21F68" w14:textId="0884FB19" w:rsidR="00CD7933" w:rsidRPr="006360F4" w:rsidRDefault="004A31B7" w:rsidP="004A31B7">
      <w:pPr>
        <w:pStyle w:val="B10"/>
        <w:rPr>
          <w:i/>
          <w:iCs/>
          <w:sz w:val="18"/>
          <w:szCs w:val="18"/>
          <w:lang w:eastAsia="zh-CN"/>
        </w:rPr>
      </w:pPr>
      <w:r>
        <w:t>-</w:t>
      </w:r>
      <w:r>
        <w:tab/>
      </w:r>
      <m:oMath>
        <m:sSub>
          <m:sSubPr>
            <m:ctrlPr>
              <w:rPr>
                <w:rFonts w:ascii="Cambria Math" w:hAnsi="Cambria Math"/>
                <w:bCs/>
                <w:i/>
                <w:iCs/>
              </w:rPr>
            </m:ctrlPr>
          </m:sSubPr>
          <m:e>
            <m:r>
              <m:rPr>
                <m:sty m:val="p"/>
              </m:rPr>
              <w:rPr>
                <w:rFonts w:ascii="Cambria Math" w:hAnsi="Cambria Math"/>
                <w:lang w:eastAsia="zh-CN"/>
              </w:rPr>
              <m:t>T</m:t>
            </m:r>
          </m:e>
          <m:sub>
            <m:r>
              <m:rPr>
                <m:sty m:val="p"/>
              </m:rPr>
              <w:rPr>
                <w:rFonts w:ascii="Cambria Math" w:hAnsi="Cambria Math"/>
                <w:lang w:eastAsia="zh-CN"/>
              </w:rPr>
              <m:t>effect,</m:t>
            </m:r>
            <m:r>
              <w:rPr>
                <w:rFonts w:ascii="Cambria Math" w:hAnsi="Cambria Math"/>
                <w:lang w:eastAsia="zh-CN"/>
              </w:rPr>
              <m:t>i</m:t>
            </m:r>
          </m:sub>
        </m:sSub>
      </m:oMath>
      <w:r w:rsidR="00CD7933" w:rsidRPr="006360F4">
        <w:rPr>
          <w:bCs/>
          <w:iCs/>
          <w:lang w:eastAsia="zh-CN"/>
        </w:rPr>
        <w:t xml:space="preserve"> </w:t>
      </w:r>
      <w:r w:rsidR="00CD7933" w:rsidRPr="006360F4">
        <w:t xml:space="preserve">is the periodicity of the </w:t>
      </w:r>
      <w:r w:rsidR="00CD7933" w:rsidRPr="006360F4">
        <w:rPr>
          <w:rFonts w:hint="eastAsia"/>
          <w:lang w:eastAsia="zh-CN"/>
        </w:rPr>
        <w:t>PRS</w:t>
      </w:r>
      <w:r w:rsidR="00CD7933" w:rsidRPr="006360F4">
        <w:rPr>
          <w:lang w:eastAsia="zh-CN"/>
        </w:rPr>
        <w:t>-RSRP</w:t>
      </w:r>
      <w:r w:rsidR="00CD7933" w:rsidRPr="006360F4">
        <w:t xml:space="preserve"> measurement in </w:t>
      </w:r>
      <w:r w:rsidR="00CD7933" w:rsidRPr="006360F4">
        <w:rPr>
          <w:lang w:eastAsia="zh-CN"/>
        </w:rPr>
        <w:t xml:space="preserve">positioning frequency layer </w:t>
      </w:r>
      <w:r w:rsidR="00CD7933" w:rsidRPr="006360F4">
        <w:rPr>
          <w:i/>
          <w:iCs/>
          <w:lang w:eastAsia="zh-CN"/>
        </w:rPr>
        <w:t>i</w:t>
      </w:r>
      <w:r w:rsidR="00CD7933" w:rsidRPr="006360F4">
        <w:rPr>
          <w:lang w:eastAsia="zh-CN"/>
        </w:rPr>
        <w:t>.</w:t>
      </w:r>
    </w:p>
    <w:p w14:paraId="190BCFC5" w14:textId="77777777" w:rsidR="00CD7933" w:rsidRPr="006360F4" w:rsidRDefault="00CD7933" w:rsidP="004A31B7">
      <w:pPr>
        <w:rPr>
          <w:lang w:eastAsia="zh-CN"/>
        </w:rPr>
      </w:pPr>
    </w:p>
    <w:p w14:paraId="752E7D1F" w14:textId="77777777" w:rsidR="00CD7933" w:rsidRPr="006360F4" w:rsidRDefault="00CD7933" w:rsidP="004A31B7">
      <w:pPr>
        <w:pStyle w:val="EQ"/>
        <w:rPr>
          <w:lang w:eastAsia="zh-CN"/>
        </w:rPr>
      </w:pPr>
      <w:r w:rsidRPr="006360F4">
        <w:tab/>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PRS-RSRP,i</m:t>
            </m:r>
          </m:sub>
        </m:sSub>
        <m:r>
          <m:rPr>
            <m:sty m:val="p"/>
          </m:rPr>
          <w:rPr>
            <w:rFonts w:ascii="Cambria Math" w:hAnsi="Cambria Math"/>
            <w:lang w:eastAsia="zh-CN"/>
          </w:rPr>
          <m:t>=</m:t>
        </m:r>
        <m:sSub>
          <m:sSubPr>
            <m:ctrlPr>
              <w:rPr>
                <w:rFonts w:ascii="Cambria Math" w:hAnsi="Cambria Math"/>
              </w:rPr>
            </m:ctrlPr>
          </m:sSubPr>
          <m:e>
            <m:d>
              <m:dPr>
                <m:ctrlPr>
                  <w:rPr>
                    <w:rFonts w:ascii="Cambria Math" w:hAnsi="Cambria Math"/>
                  </w:rPr>
                </m:ctrlPr>
              </m:dPr>
              <m:e>
                <m:sSub>
                  <m:sSubPr>
                    <m:ctrlPr>
                      <w:rPr>
                        <w:rFonts w:ascii="Cambria Math" w:hAnsi="Cambria Math"/>
                        <w:bCs/>
                      </w:rPr>
                    </m:ctrlPr>
                  </m:sSubPr>
                  <m:e>
                    <m:sSub>
                      <m:sSubPr>
                        <m:ctrlPr>
                          <w:rPr>
                            <w:rFonts w:ascii="Cambria Math" w:hAnsi="Cambria Math"/>
                          </w:rPr>
                        </m:ctrlPr>
                      </m:sSubPr>
                      <m:e>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hint="eastAsia"/>
                                <w:lang w:eastAsia="zh-CN"/>
                              </w:rPr>
                              <m:t>carrier</m:t>
                            </m:r>
                            <m:r>
                              <m:rPr>
                                <m:sty m:val="p"/>
                              </m:rPr>
                              <w:rPr>
                                <w:rFonts w:ascii="Cambria Math" w:hAnsi="Cambria Math"/>
                                <w:lang w:eastAsia="zh-CN"/>
                              </w:rPr>
                              <m:t>_PRS</m:t>
                            </m:r>
                          </m:sub>
                        </m:sSub>
                      </m:e>
                      <m:sub>
                        <m:r>
                          <m:rPr>
                            <m:sty m:val="p"/>
                          </m:rPr>
                          <w:rPr>
                            <w:rFonts w:ascii="Cambria Math" w:hAnsi="Cambria Math"/>
                            <w:lang w:eastAsia="zh-CN"/>
                          </w:rPr>
                          <m:t>i</m:t>
                        </m:r>
                      </m:sub>
                    </m:sSub>
                    <m:r>
                      <m:rPr>
                        <m:sty m:val="p"/>
                      </m:rPr>
                      <w:rPr>
                        <w:rFonts w:ascii="Cambria Math" w:hAnsi="Cambria Math"/>
                      </w:rPr>
                      <m:t>*</m:t>
                    </m:r>
                    <m:r>
                      <w:rPr>
                        <w:rFonts w:ascii="Cambria Math" w:hAnsi="Cambria Math"/>
                      </w:rPr>
                      <m:t>N</m:t>
                    </m:r>
                  </m:e>
                  <m:sub>
                    <m:r>
                      <w:rPr>
                        <w:rFonts w:ascii="Cambria Math" w:hAnsi="Cambria Math"/>
                      </w:rPr>
                      <m:t>RxBeam</m:t>
                    </m:r>
                    <m:r>
                      <m:rPr>
                        <m:sty m:val="p"/>
                      </m:rPr>
                      <w:rPr>
                        <w:rFonts w:ascii="Cambria Math" w:hAnsi="Cambria Math"/>
                      </w:rPr>
                      <m:t>,</m:t>
                    </m:r>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PRS</m:t>
                            </m:r>
                            <m:r>
                              <m:rPr>
                                <m:nor/>
                              </m:rPr>
                              <m:t>,i</m:t>
                            </m:r>
                          </m:sub>
                          <m:sup>
                            <m:r>
                              <w:rPr>
                                <w:rFonts w:ascii="Cambria Math" w:hAnsi="Cambria Math"/>
                              </w:rPr>
                              <m:t>slot</m:t>
                            </m:r>
                          </m:sup>
                        </m:sSubSup>
                      </m:num>
                      <m:den>
                        <m:sSup>
                          <m:sSupPr>
                            <m:ctrlPr>
                              <w:rPr>
                                <w:rFonts w:ascii="Cambria Math" w:hAnsi="Cambria Math"/>
                              </w:rPr>
                            </m:ctrlPr>
                          </m:sSupPr>
                          <m:e>
                            <m:r>
                              <w:rPr>
                                <w:rFonts w:ascii="Cambria Math" w:hAnsi="Cambria Math"/>
                              </w:rPr>
                              <m:t>N</m:t>
                            </m:r>
                          </m:e>
                          <m:sup>
                            <m:r>
                              <m:rPr>
                                <m:sty m:val="p"/>
                              </m:rPr>
                              <w:rPr>
                                <w:rFonts w:ascii="Cambria Math" w:hAnsi="Cambria Math" w:hint="eastAsia"/>
                              </w:rPr>
                              <m:t>'</m:t>
                            </m:r>
                          </m:sup>
                        </m:sSup>
                      </m:den>
                    </m:f>
                  </m:e>
                </m:d>
                <m:d>
                  <m:dPr>
                    <m:begChr m:val="⌈"/>
                    <m:endChr m:val="⌉"/>
                    <m:ctrlPr>
                      <w:rPr>
                        <w:rFonts w:ascii="Cambria Math" w:hAnsi="Cambria Math"/>
                      </w:rPr>
                    </m:ctrlPr>
                  </m:dPr>
                  <m:e>
                    <m:f>
                      <m:fPr>
                        <m:ctrlPr>
                          <w:rPr>
                            <w:rFonts w:ascii="Cambria Math" w:hAnsi="Cambria Math"/>
                          </w:rPr>
                        </m:ctrlPr>
                      </m:fPr>
                      <m:num>
                        <m:sSub>
                          <m:sSubPr>
                            <m:ctrlPr>
                              <w:rPr>
                                <w:rFonts w:ascii="Cambria Math" w:hAnsi="Cambria Math"/>
                                <w:i/>
                                <w:iCs/>
                                <w:lang w:eastAsia="zh-CN"/>
                              </w:rPr>
                            </m:ctrlPr>
                          </m:sSubPr>
                          <m:e>
                            <m:r>
                              <w:rPr>
                                <w:rFonts w:ascii="Cambria Math" w:hAnsi="Cambria Math"/>
                                <w:lang w:eastAsia="zh-CN"/>
                              </w:rPr>
                              <m:t>L</m:t>
                            </m:r>
                          </m:e>
                          <m:sub>
                            <m:r>
                              <w:rPr>
                                <w:rFonts w:ascii="Cambria Math" w:hAnsi="Cambria Math"/>
                                <w:lang w:eastAsia="zh-CN"/>
                              </w:rPr>
                              <m:t>available_PRS</m:t>
                            </m:r>
                            <m:r>
                              <m:rPr>
                                <m:sty m:val="p"/>
                              </m:rPr>
                              <w:rPr>
                                <w:rFonts w:ascii="Cambria Math" w:hAnsi="Cambria Math"/>
                                <w:lang w:eastAsia="zh-CN"/>
                              </w:rPr>
                              <m:t>,i</m:t>
                            </m:r>
                          </m:sub>
                        </m:sSub>
                      </m:num>
                      <m:den>
                        <m:r>
                          <w:rPr>
                            <w:rFonts w:ascii="Cambria Math" w:hAnsi="Cambria Math"/>
                          </w:rPr>
                          <m:t>N</m:t>
                        </m:r>
                      </m:den>
                    </m:f>
                  </m:e>
                </m:d>
                <m:r>
                  <m:rPr>
                    <m:sty m:val="p"/>
                  </m:rPr>
                  <w:rPr>
                    <w:rFonts w:ascii="Cambria Math" w:hAnsi="Cambria Math"/>
                    <w:lang w:eastAsia="zh-CN"/>
                  </w:rPr>
                  <m:t>*</m:t>
                </m:r>
                <m:sSub>
                  <m:sSubPr>
                    <m:ctrlPr>
                      <w:rPr>
                        <w:rFonts w:ascii="Cambria Math" w:hAnsi="Cambria Math"/>
                      </w:rPr>
                    </m:ctrlPr>
                  </m:sSubPr>
                  <m:e>
                    <m:r>
                      <w:rPr>
                        <w:rFonts w:ascii="Cambria Math" w:hAnsi="Cambria Math"/>
                      </w:rPr>
                      <m:t>N</m:t>
                    </m:r>
                  </m:e>
                  <m:sub>
                    <m:r>
                      <w:rPr>
                        <w:rFonts w:ascii="Cambria Math" w:hAnsi="Cambria Math"/>
                      </w:rPr>
                      <m:t>sample</m:t>
                    </m:r>
                  </m:sub>
                </m:sSub>
                <m:r>
                  <m:rPr>
                    <m:sty m:val="p"/>
                  </m:rPr>
                  <w:rPr>
                    <w:rFonts w:ascii="Cambria Math" w:hAnsi="Cambria Math"/>
                  </w:rPr>
                  <m:t>-1</m:t>
                </m:r>
              </m:e>
            </m:d>
            <m:r>
              <m:rPr>
                <m:sty m:val="p"/>
              </m:rPr>
              <w:rPr>
                <w:rFonts w:ascii="Cambria Math" w:hAnsi="Cambria Math"/>
                <w:lang w:eastAsia="zh-CN"/>
              </w:rPr>
              <m:t>*T</m:t>
            </m:r>
          </m:e>
          <m:sub>
            <m:r>
              <m:rPr>
                <m:sty m:val="p"/>
              </m:rPr>
              <w:rPr>
                <w:rFonts w:ascii="Cambria Math" w:hAnsi="Cambria Math"/>
                <w:lang w:eastAsia="zh-CN"/>
              </w:rPr>
              <m:t>effect,i</m:t>
            </m:r>
          </m:sub>
        </m:sSub>
        <m:r>
          <m:rPr>
            <m:sty m:val="p"/>
          </m:rPr>
          <w:rPr>
            <w:rFonts w:ascii="Cambria Math" w:hAnsi="Cambria Math"/>
            <w:lang w:eastAsia="zh-CN"/>
          </w:rPr>
          <m:t>+</m:t>
        </m:r>
        <m:sSub>
          <m:sSubPr>
            <m:ctrlPr>
              <w:rPr>
                <w:rFonts w:ascii="Cambria Math" w:hAnsi="Cambria Math"/>
              </w:rPr>
            </m:ctrlPr>
          </m:sSubPr>
          <m:e>
            <m:r>
              <m:rPr>
                <m:nor/>
              </m:rPr>
              <m:t>T</m:t>
            </m:r>
          </m:e>
          <m:sub>
            <m:r>
              <m:rPr>
                <m:nor/>
              </m:rPr>
              <m:t>last</m:t>
            </m:r>
          </m:sub>
        </m:sSub>
      </m:oMath>
    </w:p>
    <w:p w14:paraId="1383162F" w14:textId="6FFFF42E" w:rsidR="00CD7933" w:rsidRPr="006360F4" w:rsidRDefault="004A31B7" w:rsidP="004A31B7">
      <w:pPr>
        <w:rPr>
          <w:lang w:eastAsia="zh-CN"/>
        </w:rPr>
      </w:pPr>
      <w:r w:rsidRPr="006360F4">
        <w:rPr>
          <w:lang w:eastAsia="zh-CN"/>
        </w:rPr>
        <w:t>W</w:t>
      </w:r>
      <w:r w:rsidR="00CD7933" w:rsidRPr="006360F4">
        <w:rPr>
          <w:lang w:eastAsia="zh-CN"/>
        </w:rPr>
        <w:t>here</w:t>
      </w:r>
      <w:r>
        <w:rPr>
          <w:lang w:eastAsia="zh-CN"/>
        </w:rPr>
        <w:t>:</w:t>
      </w:r>
    </w:p>
    <w:p w14:paraId="2378A069" w14:textId="11D26AB5" w:rsidR="006426C7" w:rsidRPr="006360F4" w:rsidRDefault="006426C7" w:rsidP="006426C7">
      <w:pPr>
        <w:pStyle w:val="B10"/>
        <w:rPr>
          <w:lang w:eastAsia="zh-CN"/>
        </w:rPr>
      </w:pPr>
      <w:r>
        <w:t>-</w:t>
      </w:r>
      <w:r w:rsidRPr="006360F4">
        <w:tab/>
      </w:r>
      <m:oMath>
        <m:sSub>
          <m:sSubPr>
            <m:ctrlPr>
              <w:rPr>
                <w:rFonts w:ascii="Cambria Math" w:hAnsi="Cambria Math"/>
                <w:bCs/>
                <w:i/>
                <w:iCs/>
              </w:rPr>
            </m:ctrlPr>
          </m:sSubPr>
          <m:e>
            <m:r>
              <w:rPr>
                <w:rFonts w:ascii="Cambria Math" w:hAnsi="Cambria Math"/>
              </w:rPr>
              <m:t>K</m:t>
            </m:r>
          </m:e>
          <m:sub>
            <m:r>
              <m:rPr>
                <m:sty m:val="p"/>
              </m:rPr>
              <w:rPr>
                <w:rFonts w:ascii="Cambria Math" w:hAnsi="Cambria Math"/>
              </w:rPr>
              <m:t>carrier_PRS</m:t>
            </m:r>
          </m:sub>
        </m:sSub>
      </m:oMath>
      <w:r w:rsidRPr="006360F4">
        <w:t xml:space="preserve"> is a scaling factor for PRS-based NR positioning measurements in </w:t>
      </w:r>
      <w:r w:rsidRPr="006360F4">
        <w:rPr>
          <w:lang w:eastAsia="zh-CN"/>
        </w:rPr>
        <w:t>RRC_INACTIVE</w:t>
      </w:r>
      <w:r w:rsidRPr="006360F4">
        <w:t>. If the UE support</w:t>
      </w:r>
      <w:r w:rsidRPr="006360F4">
        <w:rPr>
          <w:rFonts w:hint="eastAsia"/>
          <w:lang w:eastAsia="zh-CN"/>
        </w:rPr>
        <w:t>s</w:t>
      </w:r>
      <w:r w:rsidRPr="006360F4">
        <w:t xml:space="preserve"> </w:t>
      </w:r>
      <w:r w:rsidRPr="006E4D96">
        <w:rPr>
          <w:i/>
        </w:rPr>
        <w:t>parallelPRS-MeasRRC-Inactive-r17</w:t>
      </w:r>
      <w:r w:rsidRPr="006360F4">
        <w:t xml:space="preserve">, </w:t>
      </w:r>
      <m:oMath>
        <m:sSub>
          <m:sSubPr>
            <m:ctrlPr>
              <w:rPr>
                <w:rFonts w:ascii="Cambria Math" w:hAnsi="Cambria Math"/>
                <w:bCs/>
                <w:i/>
                <w:iCs/>
              </w:rPr>
            </m:ctrlPr>
          </m:sSubPr>
          <m:e>
            <m:r>
              <w:rPr>
                <w:rFonts w:ascii="Cambria Math" w:hAnsi="Cambria Math"/>
              </w:rPr>
              <m:t>K</m:t>
            </m:r>
          </m:e>
          <m:sub>
            <m:r>
              <m:rPr>
                <m:sty m:val="p"/>
              </m:rPr>
              <w:rPr>
                <w:rFonts w:ascii="Cambria Math" w:hAnsi="Cambria Math"/>
              </w:rPr>
              <m:t>carrier_PRS</m:t>
            </m:r>
          </m:sub>
        </m:sSub>
      </m:oMath>
      <w:r w:rsidRPr="006360F4">
        <w:rPr>
          <w:lang w:eastAsia="zh-CN"/>
        </w:rPr>
        <w:t xml:space="preserve">= 1. Otherwise, </w:t>
      </w:r>
    </w:p>
    <w:p w14:paraId="65AE9AEF" w14:textId="77777777" w:rsidR="006426C7" w:rsidRPr="006360F4" w:rsidRDefault="006426C7" w:rsidP="006426C7">
      <w:pPr>
        <w:pStyle w:val="B10"/>
        <w:rPr>
          <w:color w:val="000000" w:themeColor="text1"/>
          <w:lang w:eastAsia="zh-CN"/>
        </w:rPr>
      </w:pPr>
      <w:r w:rsidRPr="006360F4">
        <w:rPr>
          <w:lang w:eastAsia="zh-CN"/>
        </w:rPr>
        <w:t>-</w:t>
      </w:r>
      <w:r>
        <w:rPr>
          <w:lang w:eastAsia="zh-CN"/>
        </w:rPr>
        <w:tab/>
      </w:r>
      <w:r w:rsidRPr="006360F4">
        <w:t xml:space="preserve">If Srxlev </w:t>
      </w:r>
      <w:r w:rsidRPr="006360F4">
        <w:rPr>
          <w:rFonts w:hint="eastAsia"/>
        </w:rPr>
        <w:t>≤</w:t>
      </w:r>
      <w:r w:rsidRPr="006360F4">
        <w:t xml:space="preserve"> S</w:t>
      </w:r>
      <w:r w:rsidRPr="006360F4">
        <w:rPr>
          <w:vertAlign w:val="subscript"/>
        </w:rPr>
        <w:t>nonIntraSearchP</w:t>
      </w:r>
      <w:r w:rsidRPr="006360F4">
        <w:t xml:space="preserve"> or Squal </w:t>
      </w:r>
      <w:r w:rsidRPr="006360F4">
        <w:rPr>
          <w:rFonts w:hint="eastAsia"/>
        </w:rPr>
        <w:t>≤</w:t>
      </w:r>
      <w:r w:rsidRPr="006360F4">
        <w:t xml:space="preserve"> S</w:t>
      </w:r>
      <w:r w:rsidRPr="006360F4">
        <w:rPr>
          <w:vertAlign w:val="subscript"/>
        </w:rPr>
        <w:t>nonIntraSearchQ</w:t>
      </w:r>
      <w:r w:rsidRPr="006360F4">
        <w:rPr>
          <w:rFonts w:hint="eastAsia"/>
        </w:rPr>
        <w:t xml:space="preserve">, </w:t>
      </w:r>
      <m:oMath>
        <m:sSub>
          <m:sSubPr>
            <m:ctrlPr>
              <w:rPr>
                <w:rFonts w:ascii="Cambria Math" w:hAnsi="Cambria Math"/>
                <w:bCs/>
                <w:i/>
              </w:rPr>
            </m:ctrlPr>
          </m:sSubPr>
          <m:e>
            <m:r>
              <w:rPr>
                <w:rFonts w:ascii="Cambria Math" w:hAnsi="Cambria Math"/>
              </w:rPr>
              <m:t>K</m:t>
            </m:r>
          </m:e>
          <m:sub>
            <m:r>
              <m:rPr>
                <m:sty m:val="p"/>
              </m:rPr>
              <w:rPr>
                <w:rFonts w:ascii="Cambria Math" w:hAnsi="Cambria Math"/>
              </w:rPr>
              <m:t>carrier_PRS</m:t>
            </m:r>
          </m:sub>
        </m:sSub>
      </m:oMath>
      <w:r w:rsidRPr="006360F4">
        <w:rPr>
          <w:rFonts w:hint="eastAsia"/>
        </w:rPr>
        <w:t xml:space="preserve">equals </w:t>
      </w:r>
      <w:r w:rsidRPr="006360F4">
        <w:rPr>
          <w:rFonts w:hint="eastAsia"/>
          <w:lang w:eastAsia="zh-CN"/>
        </w:rPr>
        <w:t>to</w:t>
      </w:r>
      <w:r w:rsidRPr="006360F4">
        <w:t xml:space="preserve"> </w:t>
      </w:r>
      <w:r w:rsidRPr="006360F4">
        <w:rPr>
          <w:rFonts w:hint="eastAsia"/>
          <w:lang w:eastAsia="zh-CN"/>
        </w:rPr>
        <w:t>the</w:t>
      </w:r>
      <w:r w:rsidRPr="006360F4">
        <w:t xml:space="preserve"> </w:t>
      </w:r>
      <w:r w:rsidRPr="006360F4">
        <w:rPr>
          <w:rFonts w:hint="eastAsia"/>
          <w:lang w:eastAsia="zh-CN"/>
        </w:rPr>
        <w:t>sum</w:t>
      </w:r>
      <w:r w:rsidRPr="006360F4">
        <w:rPr>
          <w:lang w:eastAsia="zh-CN"/>
        </w:rPr>
        <w:t xml:space="preserve"> </w:t>
      </w:r>
      <w:r w:rsidRPr="006360F4">
        <w:rPr>
          <w:rFonts w:hint="eastAsia"/>
          <w:lang w:eastAsia="zh-CN"/>
        </w:rPr>
        <w:t>of</w:t>
      </w:r>
      <w:r w:rsidRPr="006360F4">
        <w:rPr>
          <w:color w:val="000000" w:themeColor="text1"/>
          <w:lang w:eastAsia="zh-CN"/>
        </w:rPr>
        <w:t xml:space="preserve"> </w:t>
      </w:r>
      <w:r w:rsidRPr="006360F4">
        <w:rPr>
          <w:rFonts w:hint="eastAsia"/>
          <w:color w:val="000000" w:themeColor="text1"/>
        </w:rPr>
        <w:t>K</w:t>
      </w:r>
      <w:r w:rsidRPr="006360F4">
        <w:rPr>
          <w:rFonts w:hint="eastAsia"/>
          <w:color w:val="000000" w:themeColor="text1"/>
          <w:vertAlign w:val="subscript"/>
        </w:rPr>
        <w:t>carrier</w:t>
      </w:r>
      <w:r w:rsidRPr="006360F4">
        <w:rPr>
          <w:rFonts w:hint="eastAsia"/>
          <w:color w:val="000000" w:themeColor="text1"/>
        </w:rPr>
        <w:t xml:space="preserve"> </w:t>
      </w:r>
      <w:r w:rsidRPr="006360F4">
        <w:rPr>
          <w:rFonts w:hint="eastAsia"/>
          <w:color w:val="000000" w:themeColor="text1"/>
          <w:lang w:eastAsia="zh-CN"/>
        </w:rPr>
        <w:t>in</w:t>
      </w:r>
      <w:r w:rsidRPr="006360F4">
        <w:rPr>
          <w:color w:val="000000" w:themeColor="text1"/>
        </w:rPr>
        <w:t xml:space="preserve"> 4.2.2.4</w:t>
      </w:r>
      <w:r w:rsidRPr="006360F4">
        <w:rPr>
          <w:color w:val="000000" w:themeColor="text1"/>
          <w:lang w:eastAsia="zh-CN"/>
        </w:rPr>
        <w:t xml:space="preserve"> </w:t>
      </w:r>
      <w:r w:rsidRPr="006360F4">
        <w:rPr>
          <w:rFonts w:hint="eastAsia"/>
          <w:color w:val="000000" w:themeColor="text1"/>
          <w:lang w:eastAsia="zh-CN"/>
        </w:rPr>
        <w:t>and</w:t>
      </w:r>
      <w:r w:rsidRPr="006360F4">
        <w:rPr>
          <w:color w:val="000000" w:themeColor="text1"/>
          <w:lang w:eastAsia="zh-CN"/>
        </w:rPr>
        <w:t xml:space="preserve"> </w:t>
      </w:r>
      <w:r w:rsidRPr="006360F4">
        <w:rPr>
          <w:rFonts w:hint="eastAsia"/>
          <w:color w:val="000000" w:themeColor="text1"/>
          <w:lang w:eastAsia="zh-CN"/>
        </w:rPr>
        <w:t>one</w:t>
      </w:r>
      <w:r w:rsidRPr="006360F4">
        <w:rPr>
          <w:color w:val="000000" w:themeColor="text1"/>
          <w:lang w:eastAsia="zh-CN"/>
        </w:rPr>
        <w:t xml:space="preserve"> </w:t>
      </w:r>
      <w:r w:rsidRPr="006360F4">
        <w:rPr>
          <w:rFonts w:hint="eastAsia"/>
          <w:color w:val="000000" w:themeColor="text1"/>
          <w:lang w:eastAsia="zh-CN"/>
        </w:rPr>
        <w:t>positioning</w:t>
      </w:r>
      <w:r w:rsidRPr="006360F4">
        <w:rPr>
          <w:color w:val="000000" w:themeColor="text1"/>
          <w:lang w:eastAsia="zh-CN"/>
        </w:rPr>
        <w:t xml:space="preserve"> </w:t>
      </w:r>
      <w:r w:rsidRPr="006360F4">
        <w:rPr>
          <w:rFonts w:hint="eastAsia"/>
          <w:color w:val="000000" w:themeColor="text1"/>
          <w:lang w:eastAsia="zh-CN"/>
        </w:rPr>
        <w:t>layer</w:t>
      </w:r>
      <w:r w:rsidRPr="006360F4">
        <w:rPr>
          <w:color w:val="000000" w:themeColor="text1"/>
          <w:lang w:eastAsia="zh-CN"/>
        </w:rPr>
        <w:t xml:space="preserve">. </w:t>
      </w:r>
    </w:p>
    <w:p w14:paraId="767AA4E7" w14:textId="574F6A86" w:rsidR="006426C7" w:rsidRPr="006360F4" w:rsidRDefault="006426C7" w:rsidP="006426C7">
      <w:pPr>
        <w:pStyle w:val="B10"/>
        <w:rPr>
          <w:sz w:val="22"/>
          <w:szCs w:val="22"/>
          <w:lang w:eastAsia="zh-CN"/>
        </w:rPr>
      </w:pPr>
      <w:r w:rsidRPr="006360F4">
        <w:rPr>
          <w:lang w:eastAsia="zh-CN"/>
        </w:rPr>
        <w:t>-</w:t>
      </w:r>
      <w:r>
        <w:rPr>
          <w:lang w:eastAsia="zh-CN"/>
        </w:rPr>
        <w:tab/>
      </w:r>
      <w:r w:rsidRPr="006360F4">
        <w:rPr>
          <w:lang w:eastAsia="zh-CN"/>
        </w:rPr>
        <w:t xml:space="preserve">If Srxlev &gt; </w:t>
      </w:r>
      <w:r w:rsidRPr="006360F4">
        <w:t>S</w:t>
      </w:r>
      <w:r w:rsidRPr="006360F4">
        <w:rPr>
          <w:vertAlign w:val="subscript"/>
        </w:rPr>
        <w:t>nonIntraSearchP</w:t>
      </w:r>
      <w:r w:rsidRPr="006360F4">
        <w:rPr>
          <w:lang w:eastAsia="zh-CN"/>
        </w:rPr>
        <w:t xml:space="preserve"> and Squal &gt; </w:t>
      </w:r>
      <w:r w:rsidRPr="006360F4">
        <w:t>S</w:t>
      </w:r>
      <w:r w:rsidRPr="006360F4">
        <w:rPr>
          <w:vertAlign w:val="subscript"/>
        </w:rPr>
        <w:t>nonIntraSearchQ</w:t>
      </w:r>
      <w:r w:rsidRPr="006360F4">
        <w:rPr>
          <w:lang w:eastAsia="zh-CN"/>
        </w:rPr>
        <w:t xml:space="preserve">, </w:t>
      </w:r>
      <m:oMath>
        <m:sSub>
          <m:sSubPr>
            <m:ctrlPr>
              <w:rPr>
                <w:rFonts w:ascii="Cambria Math" w:hAnsi="Cambria Math"/>
                <w:bCs/>
                <w:i/>
              </w:rPr>
            </m:ctrlPr>
          </m:sSubPr>
          <m:e>
            <m:r>
              <w:rPr>
                <w:rFonts w:ascii="Cambria Math" w:hAnsi="Cambria Math"/>
              </w:rPr>
              <m:t>K</m:t>
            </m:r>
          </m:e>
          <m:sub>
            <m:r>
              <m:rPr>
                <m:sty m:val="p"/>
              </m:rPr>
              <w:rPr>
                <w:rFonts w:ascii="Cambria Math" w:hAnsi="Cambria Math"/>
              </w:rPr>
              <m:t>carrier_PRS</m:t>
            </m:r>
          </m:sub>
        </m:sSub>
      </m:oMath>
      <w:r w:rsidRPr="006360F4">
        <w:rPr>
          <w:lang w:eastAsia="zh-CN"/>
        </w:rPr>
        <w:t xml:space="preserve"> </w:t>
      </w:r>
      <w:r w:rsidRPr="006360F4">
        <w:rPr>
          <w:rFonts w:hint="eastAsia"/>
        </w:rPr>
        <w:t xml:space="preserve">equals </w:t>
      </w:r>
      <w:r w:rsidRPr="006360F4">
        <w:rPr>
          <w:rFonts w:hint="eastAsia"/>
          <w:lang w:eastAsia="zh-CN"/>
        </w:rPr>
        <w:t>to</w:t>
      </w:r>
      <w:r w:rsidRPr="006360F4">
        <w:t xml:space="preserve"> </w:t>
      </w:r>
      <w:r w:rsidRPr="006360F4">
        <w:rPr>
          <w:rFonts w:hint="eastAsia"/>
          <w:lang w:eastAsia="zh-CN"/>
        </w:rPr>
        <w:t>the</w:t>
      </w:r>
      <w:r w:rsidRPr="006360F4">
        <w:t xml:space="preserve"> </w:t>
      </w:r>
      <w:r w:rsidRPr="006360F4">
        <w:rPr>
          <w:rFonts w:hint="eastAsia"/>
          <w:lang w:eastAsia="zh-CN"/>
        </w:rPr>
        <w:t>sum</w:t>
      </w:r>
      <w:r w:rsidRPr="006360F4">
        <w:rPr>
          <w:lang w:eastAsia="zh-CN"/>
        </w:rPr>
        <w:t xml:space="preserve"> </w:t>
      </w:r>
      <w:r w:rsidRPr="006360F4">
        <w:rPr>
          <w:rFonts w:hint="eastAsia"/>
          <w:lang w:eastAsia="zh-CN"/>
        </w:rPr>
        <w:t>of</w:t>
      </w:r>
      <w:r w:rsidRPr="006360F4">
        <w:rPr>
          <w:lang w:eastAsia="zh-CN"/>
        </w:rPr>
        <w:t xml:space="preserve"> N</w:t>
      </w:r>
      <w:r w:rsidRPr="006360F4">
        <w:rPr>
          <w:vertAlign w:val="subscript"/>
          <w:lang w:eastAsia="zh-CN"/>
        </w:rPr>
        <w:t xml:space="preserve">layer </w:t>
      </w:r>
      <w:r w:rsidRPr="006360F4">
        <w:rPr>
          <w:rFonts w:hint="eastAsia"/>
          <w:lang w:eastAsia="zh-CN"/>
        </w:rPr>
        <w:t>in</w:t>
      </w:r>
      <w:r w:rsidRPr="006360F4">
        <w:rPr>
          <w:lang w:eastAsia="zh-CN"/>
        </w:rPr>
        <w:t xml:space="preserve"> 4.2.2.7 </w:t>
      </w:r>
      <w:r w:rsidRPr="006360F4">
        <w:rPr>
          <w:rFonts w:hint="eastAsia"/>
          <w:lang w:eastAsia="zh-CN"/>
        </w:rPr>
        <w:t>and</w:t>
      </w:r>
      <w:r w:rsidRPr="006360F4">
        <w:rPr>
          <w:lang w:eastAsia="zh-CN"/>
        </w:rPr>
        <w:t xml:space="preserve"> </w:t>
      </w:r>
      <w:r w:rsidRPr="006360F4">
        <w:rPr>
          <w:rFonts w:hint="eastAsia"/>
          <w:lang w:eastAsia="zh-CN"/>
        </w:rPr>
        <w:t>one</w:t>
      </w:r>
      <w:r w:rsidRPr="006360F4">
        <w:rPr>
          <w:lang w:eastAsia="zh-CN"/>
        </w:rPr>
        <w:t xml:space="preserve"> </w:t>
      </w:r>
      <w:r w:rsidRPr="006360F4">
        <w:rPr>
          <w:rFonts w:hint="eastAsia"/>
          <w:lang w:eastAsia="zh-CN"/>
        </w:rPr>
        <w:t>positioning</w:t>
      </w:r>
      <w:r w:rsidRPr="006360F4">
        <w:rPr>
          <w:lang w:eastAsia="zh-CN"/>
        </w:rPr>
        <w:t xml:space="preserve"> </w:t>
      </w:r>
      <w:r w:rsidRPr="006360F4">
        <w:rPr>
          <w:rFonts w:hint="eastAsia"/>
          <w:lang w:eastAsia="zh-CN"/>
        </w:rPr>
        <w:t>layer</w:t>
      </w:r>
      <w:r w:rsidRPr="006360F4">
        <w:rPr>
          <w:lang w:eastAsia="zh-CN"/>
        </w:rPr>
        <w:t>.</w:t>
      </w:r>
    </w:p>
    <w:p w14:paraId="5A152934" w14:textId="77777777" w:rsidR="006426C7" w:rsidRDefault="006426C7" w:rsidP="006426C7">
      <w:pPr>
        <w:pStyle w:val="B10"/>
        <w:rPr>
          <w:lang w:eastAsia="zh-CN"/>
        </w:rPr>
      </w:pPr>
      <w:r>
        <w:t>-</w:t>
      </w:r>
      <w:r w:rsidRPr="006360F4">
        <w:tab/>
      </w:r>
      <m:oMath>
        <m:sSub>
          <m:sSubPr>
            <m:ctrlPr>
              <w:rPr>
                <w:rFonts w:ascii="Cambria Math" w:hAnsi="Cambria Math"/>
                <w:i/>
              </w:rPr>
            </m:ctrlPr>
          </m:sSubPr>
          <m:e>
            <m:r>
              <w:rPr>
                <w:rFonts w:ascii="Cambria Math" w:hAnsi="Cambria Math"/>
              </w:rPr>
              <m:t>N</m:t>
            </m:r>
          </m:e>
          <m:sub>
            <m:r>
              <w:rPr>
                <w:rFonts w:ascii="Cambria Math" w:hAnsi="Cambria Math"/>
              </w:rPr>
              <m:t>RxBeam,i</m:t>
            </m:r>
          </m:sub>
        </m:sSub>
        <m:r>
          <w:rPr>
            <w:rFonts w:ascii="Cambria Math" w:hAnsi="Cambria Math"/>
            <w:lang w:eastAsia="zh-CN"/>
          </w:rPr>
          <m:t xml:space="preserve"> </m:t>
        </m:r>
      </m:oMath>
      <w:r w:rsidRPr="006360F4">
        <w:rPr>
          <w:lang w:eastAsia="zh-CN"/>
        </w:rPr>
        <w:t>is the scaling factor for Rx beam sweeping</w:t>
      </w:r>
      <w:r>
        <w:rPr>
          <w:lang w:eastAsia="zh-CN"/>
        </w:rPr>
        <w:t>:</w:t>
      </w:r>
    </w:p>
    <w:p w14:paraId="3CD8D2BF" w14:textId="14D84969" w:rsidR="00567F6E" w:rsidRDefault="00000000">
      <w:pPr>
        <w:pStyle w:val="B10"/>
        <w:numPr>
          <w:ilvl w:val="0"/>
          <w:numId w:val="17"/>
        </w:numPr>
        <w:overflowPunct/>
        <w:autoSpaceDE/>
        <w:autoSpaceDN/>
        <w:adjustRightInd/>
        <w:textAlignment w:val="auto"/>
        <w:rPr>
          <w:lang w:eastAsia="zh-CN"/>
        </w:rPr>
      </w:pPr>
      <m:oMath>
        <m:sSub>
          <m:sSubPr>
            <m:ctrlPr>
              <w:rPr>
                <w:rFonts w:ascii="Cambria Math" w:hAnsi="Cambria Math"/>
                <w:i/>
              </w:rPr>
            </m:ctrlPr>
          </m:sSubPr>
          <m:e>
            <m:r>
              <w:rPr>
                <w:rFonts w:ascii="Cambria Math" w:hAnsi="Cambria Math"/>
              </w:rPr>
              <m:t>N</m:t>
            </m:r>
          </m:e>
          <m:sub>
            <m:r>
              <w:rPr>
                <w:rFonts w:ascii="Cambria Math" w:hAnsi="Cambria Math"/>
              </w:rPr>
              <m:t>RxBeam,i</m:t>
            </m:r>
          </m:sub>
        </m:sSub>
      </m:oMath>
      <w:r w:rsidR="006426C7" w:rsidRPr="006360F4">
        <w:rPr>
          <w:lang w:eastAsia="zh-CN"/>
        </w:rPr>
        <w:t xml:space="preserve">=1 if </w:t>
      </w:r>
      <w:r w:rsidR="006426C7" w:rsidRPr="006360F4">
        <w:t>positioning</w:t>
      </w:r>
      <w:r w:rsidR="006426C7" w:rsidRPr="006360F4" w:rsidDel="00474272">
        <w:rPr>
          <w:lang w:eastAsia="zh-CN"/>
        </w:rPr>
        <w:t xml:space="preserve"> </w:t>
      </w:r>
      <w:r w:rsidR="006426C7" w:rsidRPr="006360F4">
        <w:rPr>
          <w:lang w:eastAsia="zh-CN"/>
        </w:rPr>
        <w:t xml:space="preserve">frequency layer </w:t>
      </w:r>
      <w:r w:rsidR="006426C7" w:rsidRPr="006360F4">
        <w:rPr>
          <w:i/>
          <w:iCs/>
          <w:lang w:eastAsia="zh-CN"/>
        </w:rPr>
        <w:t>i</w:t>
      </w:r>
      <w:r w:rsidR="006426C7" w:rsidRPr="006360F4">
        <w:rPr>
          <w:lang w:eastAsia="zh-CN"/>
        </w:rPr>
        <w:t xml:space="preserve"> is in FR1</w:t>
      </w:r>
      <w:r w:rsidR="00567F6E">
        <w:t xml:space="preserve">, and </w:t>
      </w:r>
      <w:r w:rsidR="00567F6E" w:rsidRPr="000506D8">
        <w:rPr>
          <w:lang w:eastAsia="zh-CN"/>
        </w:rPr>
        <w:t xml:space="preserve">if positioning frequency layer </w:t>
      </w:r>
      <w:r w:rsidR="00567F6E" w:rsidRPr="000506D8">
        <w:rPr>
          <w:i/>
          <w:lang w:eastAsia="zh-CN"/>
        </w:rPr>
        <w:t>i</w:t>
      </w:r>
      <w:r w:rsidR="00567F6E" w:rsidRPr="000506D8">
        <w:rPr>
          <w:lang w:eastAsia="zh-CN"/>
        </w:rPr>
        <w:t xml:space="preserve"> is </w:t>
      </w:r>
      <w:r w:rsidR="00567F6E" w:rsidRPr="00AB4257">
        <w:t>in FR</w:t>
      </w:r>
      <w:r w:rsidR="00567F6E">
        <w:t>2</w:t>
      </w:r>
      <w:r w:rsidR="00567F6E" w:rsidRPr="006360F4">
        <w:rPr>
          <w:lang w:eastAsia="zh-CN"/>
        </w:rPr>
        <w:t xml:space="preserve"> </w:t>
      </w:r>
    </w:p>
    <w:p w14:paraId="78DA9052" w14:textId="0BB1005E" w:rsidR="006426C7" w:rsidRDefault="00941150" w:rsidP="00567F6E">
      <w:pPr>
        <w:pStyle w:val="B30"/>
        <w:rPr>
          <w:lang w:eastAsia="zh-CN"/>
        </w:rPr>
      </w:pPr>
      <w:r>
        <w:t>-</w:t>
      </w:r>
      <w:r>
        <w:tab/>
      </w:r>
      <w:r w:rsidRPr="00C66141">
        <w:rPr>
          <w:rFonts w:eastAsia="SimSun"/>
          <w:bCs/>
          <w:lang w:eastAsia="zh-CN"/>
        </w:rPr>
        <w:tab/>
      </w:r>
      <m:oMath>
        <m:sSub>
          <m:sSubPr>
            <m:ctrlPr>
              <w:rPr>
                <w:rFonts w:ascii="Cambria Math" w:hAnsi="Cambria Math"/>
                <w:i/>
              </w:rPr>
            </m:ctrlPr>
          </m:sSubPr>
          <m:e>
            <m:r>
              <w:rPr>
                <w:rFonts w:ascii="Cambria Math" w:hAnsi="Cambria Math"/>
              </w:rPr>
              <m:t>N</m:t>
            </m:r>
          </m:e>
          <m:sub>
            <m:r>
              <w:rPr>
                <w:rFonts w:ascii="Cambria Math" w:hAnsi="Cambria Math"/>
              </w:rPr>
              <m:t>RxBeam,i</m:t>
            </m:r>
          </m:sub>
        </m:sSub>
      </m:oMath>
      <w:r>
        <w:rPr>
          <w:rFonts w:eastAsia="SimSun" w:hint="eastAsia"/>
          <w:lang w:eastAsia="zh-CN"/>
        </w:rPr>
        <w:t xml:space="preserve"> </w:t>
      </w:r>
      <w:r w:rsidRPr="00E41CDD">
        <w:rPr>
          <w:lang w:eastAsia="zh-CN"/>
        </w:rPr>
        <w:t xml:space="preserve">equals to the value as UE reported in </w:t>
      </w:r>
      <w:r w:rsidRPr="00AB738A">
        <w:rPr>
          <w:i/>
          <w:lang w:eastAsia="zh-CN"/>
        </w:rPr>
        <w:t xml:space="preserve">supportedLowerRxBeamSweepingFactor-FR2 </w:t>
      </w:r>
      <w:r w:rsidRPr="00E41CDD">
        <w:rPr>
          <w:lang w:eastAsia="zh-CN"/>
        </w:rPr>
        <w:t xml:space="preserve">if the capability is reported by the UE for the band containing positioning frequency layer i, and LMF indicates </w:t>
      </w:r>
      <w:r w:rsidRPr="00C70968">
        <w:rPr>
          <w:i/>
          <w:lang w:eastAsia="zh-CN"/>
        </w:rPr>
        <w:t xml:space="preserve">lowerRxBeamSweepingFactor-FR2 </w:t>
      </w:r>
      <w:r w:rsidRPr="00E41CDD">
        <w:rPr>
          <w:lang w:eastAsia="zh-CN"/>
        </w:rPr>
        <w:t xml:space="preserve">in </w:t>
      </w:r>
      <w:r w:rsidRPr="00D5249B">
        <w:rPr>
          <w:i/>
        </w:rPr>
        <w:t>NR-</w:t>
      </w:r>
      <w:r>
        <w:rPr>
          <w:i/>
        </w:rPr>
        <w:t>TDOA</w:t>
      </w:r>
      <w:r w:rsidRPr="00D5249B">
        <w:rPr>
          <w:i/>
        </w:rPr>
        <w:t>-Request</w:t>
      </w:r>
      <w:r w:rsidRPr="00D5249B">
        <w:rPr>
          <w:i/>
          <w:noProof/>
        </w:rPr>
        <w:t>LocationInformation</w:t>
      </w:r>
      <w:r w:rsidRPr="00E50E8A">
        <w:rPr>
          <w:rFonts w:ascii="Calibri" w:eastAsia="Calibri" w:hAnsi="Calibri"/>
          <w:sz w:val="22"/>
          <w:szCs w:val="22"/>
          <w:lang w:val="en-US" w:eastAsia="zh-CN"/>
        </w:rPr>
        <w:t>.</w:t>
      </w:r>
    </w:p>
    <w:p w14:paraId="62D32639" w14:textId="7A932735" w:rsidR="006426C7" w:rsidRPr="006360F4" w:rsidRDefault="00567F6E" w:rsidP="00D77C68">
      <w:pPr>
        <w:pStyle w:val="B30"/>
        <w:rPr>
          <w:lang w:eastAsia="zh-CN"/>
        </w:rPr>
      </w:pPr>
      <w:r>
        <w:t>-</w:t>
      </w:r>
      <w:r>
        <w:tab/>
      </w:r>
      <w:r w:rsidRPr="00C66141">
        <w:rPr>
          <w:rFonts w:eastAsia="SimSun"/>
          <w:bCs/>
          <w:lang w:eastAsia="zh-CN"/>
        </w:rPr>
        <w:tab/>
      </w:r>
      <m:oMath>
        <m:sSub>
          <m:sSubPr>
            <m:ctrlPr>
              <w:rPr>
                <w:rFonts w:ascii="Cambria Math" w:hAnsi="Cambria Math"/>
                <w:i/>
              </w:rPr>
            </m:ctrlPr>
          </m:sSubPr>
          <m:e>
            <m:r>
              <w:rPr>
                <w:rFonts w:ascii="Cambria Math" w:hAnsi="Cambria Math"/>
              </w:rPr>
              <m:t>N</m:t>
            </m:r>
          </m:e>
          <m:sub>
            <m:r>
              <w:rPr>
                <w:rFonts w:ascii="Cambria Math" w:hAnsi="Cambria Math"/>
              </w:rPr>
              <m:t>RxBeam,i</m:t>
            </m:r>
          </m:sub>
        </m:sSub>
      </m:oMath>
      <w:r>
        <w:rPr>
          <w:rFonts w:eastAsia="SimSun"/>
          <w:bCs/>
          <w:lang w:eastAsia="zh-CN"/>
        </w:rPr>
        <w:t xml:space="preserve"> </w:t>
      </w:r>
      <w:r w:rsidRPr="00E41CDD">
        <w:rPr>
          <w:lang w:eastAsia="zh-CN"/>
        </w:rPr>
        <w:t>equals to 8, otherwise.</w:t>
      </w:r>
    </w:p>
    <w:p w14:paraId="596E55E9" w14:textId="5A916BA1" w:rsidR="006426C7" w:rsidRPr="006360F4" w:rsidRDefault="00EE1CE1" w:rsidP="006426C7">
      <w:pPr>
        <w:pStyle w:val="B10"/>
        <w:rPr>
          <w:lang w:val="en-US" w:eastAsia="zh-CN"/>
        </w:rPr>
      </w:pPr>
      <w:r w:rsidRPr="00E50E8A">
        <w:rPr>
          <w:lang w:val="en-US"/>
        </w:rPr>
        <w:t>-</w:t>
      </w:r>
      <w:r w:rsidRPr="00E50E8A">
        <w:rPr>
          <w:lang w:val="en-US"/>
        </w:rPr>
        <w:tab/>
      </w:r>
      <m:oMath>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available_PRS</m:t>
            </m:r>
            <m:r>
              <m:rPr>
                <m:sty m:val="p"/>
              </m:rPr>
              <w:rPr>
                <w:rFonts w:ascii="Cambria Math" w:hAnsi="Cambria Math"/>
                <w:lang w:val="en-US" w:eastAsia="zh-CN"/>
              </w:rPr>
              <m:t>,i</m:t>
            </m:r>
          </m:sub>
        </m:sSub>
      </m:oMath>
      <w:r w:rsidRPr="00E50E8A">
        <w:rPr>
          <w:lang w:val="en-US" w:eastAsia="zh-CN"/>
        </w:rPr>
        <w:t xml:space="preserve"> is the time duration of available PRS to be measured in the positioning frequency layer i to be measured during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PRS,i</m:t>
            </m:r>
          </m:sub>
        </m:sSub>
      </m:oMath>
      <w:r w:rsidRPr="00E50E8A">
        <w:rPr>
          <w:lang w:val="en-US" w:eastAsia="zh-CN"/>
        </w:rPr>
        <w:t xml:space="preserve">, and is calculated in the same way as PRS duration K defined in clause 5.1.6.5 of TS 38.214 [26]. For calculation of </w:t>
      </w:r>
      <m:oMath>
        <m:sSub>
          <m:sSubPr>
            <m:ctrlPr>
              <w:rPr>
                <w:rFonts w:ascii="Cambria Math" w:hAnsi="Cambria Math"/>
                <w:i/>
                <w:lang w:val="en-US"/>
              </w:rPr>
            </m:ctrlPr>
          </m:sSubPr>
          <m:e>
            <m:r>
              <w:rPr>
                <w:rFonts w:ascii="Cambria Math" w:hAnsi="Cambria Math"/>
                <w:lang w:val="en-US" w:eastAsia="zh-CN"/>
              </w:rPr>
              <m:t>L</m:t>
            </m:r>
          </m:e>
          <m:sub>
            <m:r>
              <w:rPr>
                <w:rFonts w:ascii="Cambria Math" w:hAnsi="Cambria Math"/>
                <w:lang w:val="en-US" w:eastAsia="zh-CN"/>
              </w:rPr>
              <m:t>available_PRS</m:t>
            </m:r>
            <m:r>
              <m:rPr>
                <m:sty m:val="p"/>
              </m:rPr>
              <w:rPr>
                <w:rFonts w:ascii="Cambria Math" w:hAnsi="Cambria Math"/>
                <w:lang w:val="en-US" w:eastAsia="zh-CN"/>
              </w:rPr>
              <m:t>,i</m:t>
            </m:r>
          </m:sub>
        </m:sSub>
      </m:oMath>
      <w:r w:rsidRPr="00E50E8A">
        <w:rPr>
          <w:lang w:val="en-US" w:eastAsia="zh-CN"/>
        </w:rPr>
        <w:t xml:space="preserve">, only </w:t>
      </w:r>
      <w:r>
        <w:rPr>
          <w:lang w:val="en-US" w:eastAsia="zh-CN"/>
        </w:rPr>
        <w:t>unmuted</w:t>
      </w:r>
      <w:r w:rsidRPr="00E50E8A">
        <w:rPr>
          <w:lang w:val="en-US" w:eastAsia="zh-CN"/>
        </w:rPr>
        <w:t xml:space="preserve"> PRS resources </w:t>
      </w:r>
      <w:r w:rsidRPr="009A4F0A">
        <w:rPr>
          <w:lang w:val="en-US" w:eastAsia="zh-CN"/>
        </w:rPr>
        <w:t>that are not fully overlapped with other higher-priority DL signals/channels</w:t>
      </w:r>
      <w:r w:rsidRPr="00E50E8A">
        <w:rPr>
          <w:lang w:val="en-US" w:eastAsia="zh-CN"/>
        </w:rPr>
        <w:t xml:space="preserve"> are considered.</w:t>
      </w:r>
    </w:p>
    <w:p w14:paraId="78E2B97C" w14:textId="77777777" w:rsidR="006426C7" w:rsidRPr="006360F4" w:rsidRDefault="006426C7" w:rsidP="006426C7">
      <w:pPr>
        <w:pStyle w:val="B10"/>
        <w:rPr>
          <w:lang w:val="en-US" w:eastAsia="zh-CN"/>
        </w:rPr>
      </w:pPr>
      <w:r>
        <w:t>-</w:t>
      </w:r>
      <w:r w:rsidRPr="006360F4">
        <w:tab/>
      </w:r>
      <m:oMath>
        <m:sSubSup>
          <m:sSubSupPr>
            <m:ctrlPr>
              <w:rPr>
                <w:rFonts w:ascii="Cambria Math" w:hAnsi="Cambria Math"/>
                <w:lang w:val="en-US" w:eastAsia="zh-CN"/>
              </w:rPr>
            </m:ctrlPr>
          </m:sSubSupPr>
          <m:e>
            <m:r>
              <m:rPr>
                <m:sty m:val="p"/>
              </m:rPr>
              <w:rPr>
                <w:rFonts w:ascii="Cambria Math" w:hAnsi="Cambria Math"/>
                <w:lang w:val="en-US" w:eastAsia="zh-CN"/>
              </w:rPr>
              <m:t>N</m:t>
            </m:r>
          </m:e>
          <m:sub>
            <m:r>
              <m:rPr>
                <m:sty m:val="p"/>
              </m:rPr>
              <w:rPr>
                <w:rFonts w:ascii="Cambria Math" w:hAnsi="Cambria Math"/>
                <w:lang w:val="en-US" w:eastAsia="zh-CN"/>
              </w:rPr>
              <m:t>PRS,i</m:t>
            </m:r>
          </m:sub>
          <m:sup>
            <m:r>
              <m:rPr>
                <m:sty m:val="p"/>
              </m:rPr>
              <w:rPr>
                <w:rFonts w:ascii="Cambria Math" w:hAnsi="Cambria Math"/>
                <w:lang w:val="en-US" w:eastAsia="zh-CN"/>
              </w:rPr>
              <m:t>slot</m:t>
            </m:r>
          </m:sup>
        </m:sSubSup>
      </m:oMath>
      <w:r w:rsidRPr="006360F4">
        <w:rPr>
          <w:lang w:val="en-US" w:eastAsia="zh-CN"/>
        </w:rPr>
        <w:t xml:space="preserve"> is the maximum number of DL PRS resources of </w:t>
      </w:r>
      <w:r w:rsidRPr="006360F4">
        <w:t>positioning</w:t>
      </w:r>
      <w:r w:rsidRPr="006360F4" w:rsidDel="00474272">
        <w:rPr>
          <w:lang w:eastAsia="zh-CN"/>
        </w:rPr>
        <w:t xml:space="preserve"> </w:t>
      </w:r>
      <w:r w:rsidRPr="006360F4">
        <w:rPr>
          <w:lang w:val="en-US" w:eastAsia="zh-CN"/>
        </w:rPr>
        <w:t>frequency layer i configured in a slot,</w:t>
      </w:r>
    </w:p>
    <w:p w14:paraId="2CF2D531" w14:textId="49CC2A18" w:rsidR="006426C7" w:rsidRPr="006360F4" w:rsidRDefault="006426C7" w:rsidP="006426C7">
      <w:pPr>
        <w:pStyle w:val="B10"/>
        <w:rPr>
          <w:lang w:val="en-US" w:eastAsia="zh-CN"/>
        </w:rPr>
      </w:pPr>
      <w:r>
        <w:t>-</w:t>
      </w:r>
      <w:r w:rsidRPr="006360F4">
        <w:tab/>
      </w:r>
      <m:oMath>
        <m:r>
          <m:rPr>
            <m:sty m:val="p"/>
          </m:rPr>
          <w:rPr>
            <w:rFonts w:ascii="Cambria Math" w:hAnsi="Cambria Math"/>
            <w:lang w:val="en-US" w:eastAsia="zh-CN"/>
          </w:rPr>
          <m:t>{N,T}</m:t>
        </m:r>
      </m:oMath>
      <w:r w:rsidRPr="006360F4">
        <w:rPr>
          <w:lang w:val="en-US" w:eastAsia="zh-CN"/>
        </w:rPr>
        <w:t xml:space="preserve"> is UE capability combination per band where N is a duration of DL PRS symbols in ms </w:t>
      </w:r>
      <w:r w:rsidRPr="006360F4">
        <w:rPr>
          <w:lang w:eastAsia="zh-CN"/>
        </w:rPr>
        <w:t xml:space="preserve">corresponding to </w:t>
      </w:r>
      <w:r w:rsidRPr="00D912A9">
        <w:rPr>
          <w:i/>
        </w:rPr>
        <w:t>durationOfPRS-ProcessingSymbols-r17</w:t>
      </w:r>
      <w:r w:rsidRPr="006360F4">
        <w:rPr>
          <w:lang w:eastAsia="zh-CN"/>
        </w:rPr>
        <w:t xml:space="preserve"> in TS 37.355 [34] </w:t>
      </w:r>
      <w:r w:rsidRPr="006360F4">
        <w:rPr>
          <w:lang w:val="en-US" w:eastAsia="zh-CN"/>
        </w:rPr>
        <w:t xml:space="preserve">processed every T ms </w:t>
      </w:r>
      <w:r w:rsidRPr="006360F4">
        <w:rPr>
          <w:lang w:eastAsia="zh-CN"/>
        </w:rPr>
        <w:t xml:space="preserve">corresponding to </w:t>
      </w:r>
      <w:r w:rsidRPr="006E4D96">
        <w:rPr>
          <w:i/>
        </w:rPr>
        <w:t>durationOfPRS-ProcessingSymbolsInEveryTms-r17</w:t>
      </w:r>
      <w:r w:rsidRPr="006360F4">
        <w:rPr>
          <w:lang w:eastAsia="zh-CN"/>
        </w:rPr>
        <w:t xml:space="preserve">in TS 37.355 [34] </w:t>
      </w:r>
      <w:r w:rsidRPr="006360F4">
        <w:rPr>
          <w:lang w:val="en-US" w:eastAsia="zh-CN"/>
        </w:rPr>
        <w:t xml:space="preserve">for a given maximum bandwidth supported by UE </w:t>
      </w:r>
      <w:r w:rsidRPr="006360F4">
        <w:rPr>
          <w:lang w:eastAsia="zh-CN"/>
        </w:rPr>
        <w:t xml:space="preserve">corresponding to </w:t>
      </w:r>
      <w:r w:rsidRPr="006360F4">
        <w:rPr>
          <w:i/>
          <w:iCs/>
          <w:lang w:eastAsia="zh-CN"/>
        </w:rPr>
        <w:t>supportedBandwidthPRS</w:t>
      </w:r>
      <w:r w:rsidRPr="006360F4">
        <w:rPr>
          <w:lang w:eastAsia="zh-CN"/>
        </w:rPr>
        <w:t xml:space="preserve"> in TS 37.355 [34]</w:t>
      </w:r>
      <w:r w:rsidRPr="006360F4">
        <w:rPr>
          <w:lang w:val="en-US" w:eastAsia="zh-CN"/>
        </w:rPr>
        <w:t>,</w:t>
      </w:r>
    </w:p>
    <w:p w14:paraId="7AE9781D" w14:textId="645F17B9" w:rsidR="006426C7" w:rsidRPr="006360F4" w:rsidRDefault="006426C7" w:rsidP="006426C7">
      <w:pPr>
        <w:pStyle w:val="B10"/>
        <w:rPr>
          <w:lang w:val="en-US" w:eastAsia="zh-CN"/>
        </w:rPr>
      </w:pPr>
      <w:r>
        <w:t>-</w:t>
      </w:r>
      <w:r w:rsidRPr="006360F4">
        <w:tab/>
      </w:r>
      <m:oMath>
        <m:r>
          <m:rPr>
            <m:sty m:val="p"/>
          </m:rPr>
          <w:rPr>
            <w:rFonts w:ascii="Cambria Math" w:hAnsi="Cambria Math"/>
            <w:lang w:val="en-US" w:eastAsia="zh-CN"/>
          </w:rPr>
          <m:t>N’</m:t>
        </m:r>
      </m:oMath>
      <w:r w:rsidRPr="006360F4">
        <w:rPr>
          <w:lang w:val="en-US" w:eastAsia="zh-CN"/>
        </w:rPr>
        <w:t xml:space="preserve"> is UE capability for number of DL PRS resources that it can process in a slot as </w:t>
      </w:r>
      <w:r w:rsidRPr="006360F4">
        <w:rPr>
          <w:lang w:eastAsia="zh-CN"/>
        </w:rPr>
        <w:t xml:space="preserve">indicated by </w:t>
      </w:r>
      <w:r w:rsidRPr="006E4D96">
        <w:rPr>
          <w:i/>
        </w:rPr>
        <w:t>maxNumOfDL-PRS-ResProcessedPerSlot-RRC-Inactive-r17</w:t>
      </w:r>
      <w:r w:rsidRPr="006360F4">
        <w:rPr>
          <w:lang w:val="en-US" w:eastAsia="zh-CN"/>
        </w:rPr>
        <w:t xml:space="preserve"> in clause 6.4.3 of TS 37.355 [34],</w:t>
      </w:r>
    </w:p>
    <w:p w14:paraId="69B1DD07" w14:textId="77777777" w:rsidR="006426C7" w:rsidRPr="006360F4" w:rsidRDefault="006426C7" w:rsidP="006426C7">
      <w:pPr>
        <w:pStyle w:val="B10"/>
      </w:pPr>
      <w:r>
        <w:t>-</w:t>
      </w:r>
      <w:r w:rsidRPr="006360F4">
        <w:tab/>
      </w:r>
      <m:oMath>
        <m:sSub>
          <m:sSubPr>
            <m:ctrlPr>
              <w:rPr>
                <w:rFonts w:ascii="Cambria Math" w:hAnsi="Cambria Math"/>
                <w:i/>
              </w:rPr>
            </m:ctrlPr>
          </m:sSubPr>
          <m:e>
            <m:r>
              <w:rPr>
                <w:rFonts w:ascii="Cambria Math" w:hAnsi="Cambria Math"/>
              </w:rPr>
              <m:t>N</m:t>
            </m:r>
          </m:e>
          <m:sub>
            <m:r>
              <w:rPr>
                <w:rFonts w:ascii="Cambria Math" w:hAnsi="Cambria Math"/>
              </w:rPr>
              <m:t>sample</m:t>
            </m:r>
          </m:sub>
        </m:sSub>
      </m:oMath>
      <w:r w:rsidRPr="006360F4">
        <w:t xml:space="preserve"> is the number of PRS-RSRP measurement samples and </w:t>
      </w:r>
    </w:p>
    <w:p w14:paraId="67795658" w14:textId="2F1DF218" w:rsidR="006426C7" w:rsidRDefault="006426C7" w:rsidP="006426C7">
      <w:pPr>
        <w:pStyle w:val="B20"/>
      </w:pPr>
      <w:r>
        <w:t>-</w:t>
      </w:r>
      <w:r w:rsidRPr="006360F4">
        <w:tab/>
      </w:r>
      <m:oMath>
        <m:sSub>
          <m:sSubPr>
            <m:ctrlPr>
              <w:rPr>
                <w:rFonts w:ascii="Cambria Math" w:hAnsi="Cambria Math"/>
              </w:rPr>
            </m:ctrlPr>
          </m:sSubPr>
          <m:e>
            <m:r>
              <w:rPr>
                <w:rFonts w:ascii="Cambria Math" w:hAnsi="Cambria Math"/>
              </w:rPr>
              <m:t>N</m:t>
            </m:r>
          </m:e>
          <m:sub>
            <m:r>
              <w:rPr>
                <w:rFonts w:ascii="Cambria Math" w:hAnsi="Cambria Math"/>
              </w:rPr>
              <m:t>sample</m:t>
            </m:r>
          </m:sub>
        </m:sSub>
      </m:oMath>
      <w:r w:rsidRPr="006360F4">
        <w:t xml:space="preserve">= 1, if UE supports </w:t>
      </w:r>
      <w:r w:rsidRPr="006E4D96">
        <w:rPr>
          <w:i/>
        </w:rPr>
        <w:t>supportedDL-PRS-ProcessingSamples-RRC-Inactive</w:t>
      </w:r>
      <w:r w:rsidRPr="006360F4">
        <w:t xml:space="preserve"> [</w:t>
      </w:r>
      <w:r>
        <w:t>34</w:t>
      </w:r>
      <w:r w:rsidRPr="006360F4">
        <w:t>], and the LMF indicates the UE to perform positioning measurements with reduced number of samples</w:t>
      </w:r>
      <w:r>
        <w:t xml:space="preserve"> by </w:t>
      </w:r>
      <w:r w:rsidRPr="00C91A05">
        <w:rPr>
          <w:i/>
          <w:iCs/>
        </w:rPr>
        <w:t>requestedDL-PRS-ProcessingSamples</w:t>
      </w:r>
      <w:r w:rsidRPr="00542716">
        <w:t xml:space="preserve"> </w:t>
      </w:r>
      <w:r>
        <w:t>[34]</w:t>
      </w:r>
      <w:r w:rsidRPr="006360F4">
        <w:t xml:space="preserve">, and </w:t>
      </w:r>
      <w:r w:rsidRPr="006360F4">
        <w:rPr>
          <w:rFonts w:hint="eastAsia"/>
          <w:lang w:eastAsia="zh-CN"/>
        </w:rPr>
        <w:t>the</w:t>
      </w:r>
      <w:r w:rsidRPr="006360F4">
        <w:t xml:space="preserve"> </w:t>
      </w:r>
      <w:r>
        <w:t xml:space="preserve">following </w:t>
      </w:r>
      <w:r w:rsidRPr="006360F4">
        <w:rPr>
          <w:rFonts w:hint="eastAsia"/>
          <w:lang w:eastAsia="zh-CN"/>
        </w:rPr>
        <w:t>condition</w:t>
      </w:r>
      <w:r>
        <w:rPr>
          <w:lang w:eastAsia="zh-CN"/>
        </w:rPr>
        <w:t>s</w:t>
      </w:r>
      <w:r w:rsidRPr="006360F4">
        <w:t xml:space="preserve"> </w:t>
      </w:r>
      <w:r w:rsidRPr="006360F4">
        <w:rPr>
          <w:rFonts w:hint="eastAsia"/>
          <w:lang w:eastAsia="zh-CN"/>
        </w:rPr>
        <w:t>are</w:t>
      </w:r>
      <w:r w:rsidRPr="006360F4">
        <w:t xml:space="preserve"> </w:t>
      </w:r>
      <w:r w:rsidRPr="006360F4">
        <w:rPr>
          <w:rFonts w:hint="eastAsia"/>
          <w:lang w:eastAsia="zh-CN"/>
        </w:rPr>
        <w:t>met</w:t>
      </w:r>
      <w:r>
        <w:t>:</w:t>
      </w:r>
    </w:p>
    <w:p w14:paraId="34F25106" w14:textId="4885003C" w:rsidR="006426C7" w:rsidRPr="000506D8" w:rsidRDefault="006426C7" w:rsidP="006426C7">
      <w:pPr>
        <w:pStyle w:val="B30"/>
      </w:pPr>
      <w:r>
        <w:t>-</w:t>
      </w:r>
      <w:r>
        <w:tab/>
      </w:r>
      <w:r w:rsidRPr="000506D8">
        <w:t xml:space="preserve">PRS bandwidth is within the </w:t>
      </w:r>
      <w:r>
        <w:rPr>
          <w:rFonts w:hint="eastAsia"/>
          <w:lang w:eastAsia="zh-CN"/>
        </w:rPr>
        <w:t>initial</w:t>
      </w:r>
      <w:r w:rsidRPr="000506D8">
        <w:t xml:space="preserve"> BWP and </w:t>
      </w:r>
    </w:p>
    <w:p w14:paraId="4F1B31F7" w14:textId="51151DC4" w:rsidR="006426C7" w:rsidRPr="006360F4" w:rsidRDefault="006426C7" w:rsidP="006426C7">
      <w:pPr>
        <w:pStyle w:val="B30"/>
      </w:pPr>
      <w:r>
        <w:t>-</w:t>
      </w:r>
      <w:r>
        <w:tab/>
      </w:r>
      <w:r w:rsidRPr="000506D8">
        <w:t>Magnitude of difference between the serving cell’s SS-RSRP and the neighbor cell’s PRS-RSRP is within 6 dB.</w:t>
      </w:r>
    </w:p>
    <w:p w14:paraId="6158A1F3" w14:textId="220E63B4" w:rsidR="006426C7" w:rsidRDefault="006426C7" w:rsidP="006426C7">
      <w:pPr>
        <w:pStyle w:val="B20"/>
      </w:pPr>
      <w:r>
        <w:t>-</w:t>
      </w:r>
      <w:r w:rsidRPr="006360F4">
        <w:tab/>
      </w:r>
      <m:oMath>
        <m:sSub>
          <m:sSubPr>
            <m:ctrlPr>
              <w:rPr>
                <w:rFonts w:ascii="Cambria Math" w:hAnsi="Cambria Math"/>
              </w:rPr>
            </m:ctrlPr>
          </m:sSubPr>
          <m:e>
            <m:r>
              <w:rPr>
                <w:rFonts w:ascii="Cambria Math" w:hAnsi="Cambria Math"/>
              </w:rPr>
              <m:t>N</m:t>
            </m:r>
          </m:e>
          <m:sub>
            <m:r>
              <w:rPr>
                <w:rFonts w:ascii="Cambria Math" w:hAnsi="Cambria Math"/>
              </w:rPr>
              <m:t>sample</m:t>
            </m:r>
          </m:sub>
        </m:sSub>
      </m:oMath>
      <w:r w:rsidRPr="006360F4">
        <w:t xml:space="preserve">= 2, if UE supports </w:t>
      </w:r>
      <w:r w:rsidRPr="006E4D96">
        <w:rPr>
          <w:i/>
        </w:rPr>
        <w:t>supportedDL-PRS-ProcessingSamples-RRC-Inactive</w:t>
      </w:r>
      <w:r w:rsidRPr="006360F4">
        <w:t xml:space="preserve"> [</w:t>
      </w:r>
      <w:r>
        <w:t>34</w:t>
      </w:r>
      <w:r w:rsidRPr="006360F4">
        <w:t>], and the LMF indicates the UE to perform positioning measurements with reduced number of samples</w:t>
      </w:r>
      <w:r>
        <w:t xml:space="preserve"> by </w:t>
      </w:r>
      <w:r w:rsidRPr="00C91A05">
        <w:rPr>
          <w:i/>
          <w:iCs/>
        </w:rPr>
        <w:t>requestedDL-PRS-ProcessingSamples</w:t>
      </w:r>
      <w:r w:rsidRPr="00542716">
        <w:t xml:space="preserve"> </w:t>
      </w:r>
      <w:r>
        <w:t>[34]</w:t>
      </w:r>
      <w:r w:rsidRPr="006360F4">
        <w:t xml:space="preserve">, and </w:t>
      </w:r>
      <w:r w:rsidRPr="006360F4">
        <w:rPr>
          <w:rFonts w:hint="eastAsia"/>
          <w:lang w:eastAsia="zh-CN"/>
        </w:rPr>
        <w:t>the</w:t>
      </w:r>
      <w:r w:rsidRPr="006360F4">
        <w:t xml:space="preserve"> </w:t>
      </w:r>
      <w:r>
        <w:t xml:space="preserve">following </w:t>
      </w:r>
      <w:r w:rsidRPr="006360F4">
        <w:rPr>
          <w:rFonts w:hint="eastAsia"/>
          <w:lang w:eastAsia="zh-CN"/>
        </w:rPr>
        <w:t>condition</w:t>
      </w:r>
      <w:r>
        <w:rPr>
          <w:lang w:eastAsia="zh-CN"/>
        </w:rPr>
        <w:t>s</w:t>
      </w:r>
      <w:r w:rsidRPr="006360F4">
        <w:t xml:space="preserve"> </w:t>
      </w:r>
      <w:r w:rsidRPr="006360F4">
        <w:rPr>
          <w:rFonts w:hint="eastAsia"/>
          <w:lang w:eastAsia="zh-CN"/>
        </w:rPr>
        <w:t>are</w:t>
      </w:r>
      <w:r w:rsidRPr="006360F4">
        <w:t xml:space="preserve"> </w:t>
      </w:r>
      <w:r w:rsidRPr="006360F4">
        <w:rPr>
          <w:rFonts w:hint="eastAsia"/>
          <w:lang w:eastAsia="zh-CN"/>
        </w:rPr>
        <w:t>not</w:t>
      </w:r>
      <w:r w:rsidRPr="006360F4">
        <w:t xml:space="preserve"> </w:t>
      </w:r>
      <w:r w:rsidRPr="006360F4">
        <w:rPr>
          <w:rFonts w:hint="eastAsia"/>
          <w:lang w:eastAsia="zh-CN"/>
        </w:rPr>
        <w:t>met</w:t>
      </w:r>
      <m:oMath>
        <m:r>
          <m:rPr>
            <m:sty m:val="p"/>
          </m:rPr>
          <w:rPr>
            <w:rFonts w:ascii="Cambria Math" w:hAnsi="Cambria Math"/>
          </w:rPr>
          <m:t>:</m:t>
        </m:r>
      </m:oMath>
    </w:p>
    <w:p w14:paraId="2049E396" w14:textId="1D13B2B4" w:rsidR="006426C7" w:rsidRPr="000506D8" w:rsidRDefault="006426C7" w:rsidP="006426C7">
      <w:pPr>
        <w:pStyle w:val="B30"/>
      </w:pPr>
      <w:r>
        <w:t>-</w:t>
      </w:r>
      <w:r>
        <w:tab/>
      </w:r>
      <w:r w:rsidRPr="000506D8">
        <w:t xml:space="preserve">PRS bandwidth is within the </w:t>
      </w:r>
      <w:r>
        <w:rPr>
          <w:rFonts w:hint="eastAsia"/>
          <w:lang w:eastAsia="zh-CN"/>
        </w:rPr>
        <w:t>initial</w:t>
      </w:r>
      <w:r w:rsidRPr="000506D8">
        <w:t xml:space="preserve"> BWP and </w:t>
      </w:r>
    </w:p>
    <w:p w14:paraId="4DACB214" w14:textId="0D530289" w:rsidR="006426C7" w:rsidRDefault="006426C7" w:rsidP="006426C7">
      <w:pPr>
        <w:pStyle w:val="B30"/>
      </w:pPr>
      <w:r>
        <w:t>-</w:t>
      </w:r>
      <w:r>
        <w:tab/>
      </w:r>
      <w:r w:rsidRPr="000506D8">
        <w:t>Magnitude of difference between the serving cell’s SS-RSRP and the neighbor cell’s PRS-RSRP is within 6 dB.</w:t>
      </w:r>
    </w:p>
    <w:p w14:paraId="75389921" w14:textId="5EADC8BA" w:rsidR="006426C7" w:rsidRDefault="006426C7" w:rsidP="006426C7">
      <w:pPr>
        <w:pStyle w:val="B20"/>
      </w:pPr>
      <w:r>
        <w:t>-</w:t>
      </w:r>
      <w:r w:rsidRPr="006360F4">
        <w:tab/>
      </w:r>
      <m:oMath>
        <m:sSub>
          <m:sSubPr>
            <m:ctrlPr>
              <w:rPr>
                <w:rFonts w:ascii="Cambria Math" w:hAnsi="Cambria Math"/>
              </w:rPr>
            </m:ctrlPr>
          </m:sSubPr>
          <m:e>
            <m:r>
              <w:rPr>
                <w:rFonts w:ascii="Cambria Math" w:hAnsi="Cambria Math"/>
              </w:rPr>
              <m:t>N</m:t>
            </m:r>
          </m:e>
          <m:sub>
            <m:r>
              <w:rPr>
                <w:rFonts w:ascii="Cambria Math" w:hAnsi="Cambria Math"/>
              </w:rPr>
              <m:t>sample</m:t>
            </m:r>
          </m:sub>
        </m:sSub>
      </m:oMath>
      <w:r w:rsidRPr="006360F4">
        <w:t>= 4</w:t>
      </w:r>
      <w:r>
        <w:t xml:space="preserve"> otherwise</w:t>
      </w:r>
    </w:p>
    <w:p w14:paraId="0CB11802" w14:textId="77777777" w:rsidR="00681704" w:rsidRPr="006360F4" w:rsidRDefault="00681704" w:rsidP="00681704">
      <w:pPr>
        <w:pStyle w:val="B10"/>
        <w:rPr>
          <w:i/>
        </w:rPr>
      </w:pPr>
      <w:r w:rsidRPr="006360F4">
        <w:tab/>
      </w:r>
      <m:oMath>
        <m:sSub>
          <m:sSubPr>
            <m:ctrlPr>
              <w:rPr>
                <w:rFonts w:ascii="Cambria Math" w:hAnsi="Cambria Math"/>
                <w:i/>
                <w:lang w:val="en-US" w:eastAsia="zh-CN"/>
              </w:rPr>
            </m:ctrlPr>
          </m:sSubPr>
          <m:e>
            <m:r>
              <m:rPr>
                <m:nor/>
              </m:rPr>
              <w:rPr>
                <w:i/>
                <w:lang w:val="en-US" w:eastAsia="zh-CN"/>
              </w:rPr>
              <m:t>T</m:t>
            </m:r>
          </m:e>
          <m:sub>
            <m:r>
              <m:rPr>
                <m:nor/>
              </m:rPr>
              <w:rPr>
                <w:i/>
                <w:lang w:val="en-US" w:eastAsia="zh-CN"/>
              </w:rPr>
              <m:t>last</m:t>
            </m:r>
            <m:r>
              <m:rPr>
                <m:nor/>
              </m:rPr>
              <w:rPr>
                <w:rFonts w:ascii="Cambria Math"/>
                <w:i/>
                <w:lang w:val="en-US" w:eastAsia="zh-CN"/>
              </w:rPr>
              <m:t>,i</m:t>
            </m:r>
          </m:sub>
        </m:sSub>
      </m:oMath>
      <w:r w:rsidRPr="006360F4">
        <w:rPr>
          <w:i/>
          <w:lang w:val="en-US" w:eastAsia="zh-CN"/>
        </w:rPr>
        <w:t xml:space="preserve"> = </w:t>
      </w:r>
      <m:oMath>
        <m:sSub>
          <m:sSubPr>
            <m:ctrlPr>
              <w:rPr>
                <w:rFonts w:ascii="Cambria Math" w:hAnsi="Cambria Math"/>
                <w:i/>
                <w:lang w:val="en-US" w:eastAsia="zh-CN"/>
              </w:rPr>
            </m:ctrlPr>
          </m:sSubPr>
          <m:e>
            <m:r>
              <w:rPr>
                <w:rFonts w:ascii="Cambria Math" w:hAnsi="Cambria Math"/>
                <w:lang w:val="en-US" w:eastAsia="zh-CN"/>
              </w:rPr>
              <m:t>T</m:t>
            </m:r>
          </m:e>
          <m:sub>
            <m:r>
              <m:rPr>
                <m:nor/>
              </m:rPr>
              <w:rPr>
                <w:i/>
                <w:lang w:val="en-US" w:eastAsia="zh-CN"/>
              </w:rPr>
              <m:t>i</m:t>
            </m:r>
          </m:sub>
        </m:sSub>
      </m:oMath>
      <w:r w:rsidRPr="006360F4">
        <w:rPr>
          <w:i/>
          <w:lang w:val="en-US" w:eastAsia="zh-CN"/>
        </w:rPr>
        <w:t xml:space="preserve"> +</w:t>
      </w:r>
      <m:oMath>
        <m:sSub>
          <m:sSubPr>
            <m:ctrlPr>
              <w:rPr>
                <w:rFonts w:ascii="Cambria Math" w:hAnsi="Cambria Math"/>
                <w:i/>
              </w:rPr>
            </m:ctrlPr>
          </m:sSubPr>
          <m:e>
            <m:r>
              <w:rPr>
                <w:rFonts w:ascii="Cambria Math" w:hAnsi="Cambria Math"/>
              </w:rPr>
              <m:t>T</m:t>
            </m:r>
          </m:e>
          <m:sub>
            <m:r>
              <w:rPr>
                <w:rFonts w:ascii="Cambria Math" w:hAnsi="Cambria Math"/>
              </w:rPr>
              <m:t>available_PRS</m:t>
            </m:r>
            <m:r>
              <m:rPr>
                <m:nor/>
              </m:rPr>
              <w:rPr>
                <w:rFonts w:ascii="Cambria Math" w:hAnsi="Cambria Math"/>
                <w:i/>
              </w:rPr>
              <m:t>,i</m:t>
            </m:r>
          </m:sub>
        </m:sSub>
      </m:oMath>
      <w:r w:rsidRPr="006360F4">
        <w:rPr>
          <w:i/>
          <w:lang w:val="en-US" w:eastAsia="zh-CN"/>
        </w:rPr>
        <w:t xml:space="preserve"> </w:t>
      </w:r>
      <w:r w:rsidRPr="006360F4">
        <w:rPr>
          <w:lang w:val="en-US" w:eastAsia="zh-CN"/>
        </w:rPr>
        <w:t>is the measurement duration for the last PRS-RSRP sample, including the sampling time and processing time,</w:t>
      </w:r>
    </w:p>
    <w:p w14:paraId="150107EE" w14:textId="77777777" w:rsidR="006426C7" w:rsidRPr="006360F4" w:rsidRDefault="006426C7" w:rsidP="006426C7">
      <w:pPr>
        <w:pStyle w:val="B20"/>
        <w:rPr>
          <w:lang w:eastAsia="zh-CN"/>
        </w:rPr>
      </w:pPr>
      <w:bookmarkStart w:id="76" w:name="_Hlk99536260"/>
      <w:r>
        <w:t>-</w:t>
      </w:r>
      <w:r w:rsidRPr="006360F4">
        <w:tab/>
      </w:r>
      <w:bookmarkEnd w:id="76"/>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effect,i</m:t>
            </m:r>
          </m:sub>
        </m:sSub>
        <m:r>
          <m:rPr>
            <m:sty m:val="p"/>
          </m:rPr>
          <w:rPr>
            <w:rFonts w:ascii="Cambria Math" w:hAnsi="Cambria Math"/>
            <w:lang w:eastAsia="zh-CN"/>
          </w:rPr>
          <m:t>=</m:t>
        </m:r>
        <m:r>
          <m:rPr>
            <m:sty m:val="p"/>
          </m:rPr>
          <w:rPr>
            <w:rFonts w:ascii="Cambria Math" w:hAnsi="Cambria Math"/>
          </w:rPr>
          <m:t xml:space="preserve"> </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T</m:t>
                    </m:r>
                  </m:e>
                  <m:sub>
                    <m:r>
                      <w:rPr>
                        <w:rFonts w:ascii="Cambria Math" w:hAnsi="Cambria Math"/>
                      </w:rPr>
                      <m:t>available</m:t>
                    </m:r>
                    <m:r>
                      <m:rPr>
                        <m:sty m:val="p"/>
                      </m:rPr>
                      <w:rPr>
                        <w:rFonts w:ascii="Cambria Math" w:hAnsi="Cambria Math"/>
                      </w:rPr>
                      <m:t>_</m:t>
                    </m:r>
                    <m:r>
                      <w:rPr>
                        <w:rFonts w:ascii="Cambria Math" w:hAnsi="Cambria Math"/>
                      </w:rPr>
                      <m:t>PRS</m:t>
                    </m:r>
                    <m:r>
                      <m:rPr>
                        <m:sty m:val="p"/>
                      </m:rPr>
                      <w:rPr>
                        <w:rFonts w:ascii="Cambria Math" w:hAnsi="Cambria Math"/>
                      </w:rPr>
                      <m:t>,</m:t>
                    </m:r>
                    <m:r>
                      <w:rPr>
                        <w:rFonts w:ascii="Cambria Math" w:hAnsi="Cambria Math"/>
                      </w:rPr>
                      <m:t>i</m:t>
                    </m:r>
                  </m:sub>
                </m:sSub>
              </m:den>
            </m:f>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available</m:t>
            </m:r>
            <m:r>
              <m:rPr>
                <m:sty m:val="p"/>
              </m:rPr>
              <w:rPr>
                <w:rFonts w:ascii="Cambria Math" w:hAnsi="Cambria Math"/>
              </w:rPr>
              <m:t>_</m:t>
            </m:r>
            <m:r>
              <w:rPr>
                <w:rFonts w:ascii="Cambria Math" w:hAnsi="Cambria Math"/>
              </w:rPr>
              <m:t>PRS</m:t>
            </m:r>
            <m:r>
              <m:rPr>
                <m:sty m:val="p"/>
              </m:rPr>
              <w:rPr>
                <w:rFonts w:ascii="Cambria Math" w:hAnsi="Cambria Math"/>
              </w:rPr>
              <m:t>,</m:t>
            </m:r>
            <m:r>
              <w:rPr>
                <w:rFonts w:ascii="Cambria Math" w:hAnsi="Cambria Math"/>
              </w:rPr>
              <m:t>i</m:t>
            </m:r>
          </m:sub>
        </m:sSub>
      </m:oMath>
      <w:r w:rsidRPr="006360F4">
        <w:rPr>
          <w:lang w:eastAsia="zh-CN"/>
        </w:rPr>
        <w:t xml:space="preserve"> is the </w:t>
      </w:r>
      <w:r w:rsidRPr="006360F4">
        <w:t>periodicity of PRS-RSRP measurement in positioning</w:t>
      </w:r>
      <w:r w:rsidRPr="006360F4" w:rsidDel="00474272">
        <w:rPr>
          <w:lang w:eastAsia="zh-CN"/>
        </w:rPr>
        <w:t xml:space="preserve"> </w:t>
      </w:r>
      <w:r w:rsidRPr="006360F4">
        <w:rPr>
          <w:lang w:eastAsia="zh-CN"/>
        </w:rPr>
        <w:t xml:space="preserve">frequency layer </w:t>
      </w:r>
      <w:r w:rsidRPr="006360F4">
        <w:rPr>
          <w:i/>
          <w:iCs/>
          <w:lang w:eastAsia="zh-CN"/>
        </w:rPr>
        <w:t>i</w:t>
      </w:r>
      <w:r w:rsidRPr="006360F4">
        <w:rPr>
          <w:lang w:eastAsia="zh-CN"/>
        </w:rPr>
        <w:t xml:space="preserve">, </w:t>
      </w:r>
    </w:p>
    <w:p w14:paraId="6399FEBD" w14:textId="50C5B131" w:rsidR="006426C7" w:rsidRPr="006360F4" w:rsidRDefault="006426C7" w:rsidP="006426C7">
      <w:pPr>
        <w:pStyle w:val="B20"/>
      </w:pPr>
      <w:r>
        <w:t>-</w:t>
      </w:r>
      <w:r w:rsidRPr="006360F4">
        <w:tab/>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sidRPr="006360F4">
        <w:tab/>
        <w:t xml:space="preserve">corresponds to </w:t>
      </w:r>
      <w:r w:rsidRPr="006E4D96">
        <w:rPr>
          <w:i/>
        </w:rPr>
        <w:t>durationOfPRS-ProcessingSymbolsInEveryTms-r17</w:t>
      </w:r>
      <w:r w:rsidRPr="006360F4">
        <w:t xml:space="preserve"> in TS 37.355 [34],</w:t>
      </w:r>
    </w:p>
    <w:p w14:paraId="25CE8B3A" w14:textId="77777777" w:rsidR="006426C7" w:rsidRPr="006360F4" w:rsidRDefault="006426C7" w:rsidP="006426C7">
      <w:pPr>
        <w:pStyle w:val="B20"/>
        <w:rPr>
          <w:lang w:eastAsia="zh-CN"/>
        </w:rPr>
      </w:pPr>
      <w:r>
        <w:t>-</w:t>
      </w:r>
      <w:r w:rsidRPr="006360F4">
        <w:tab/>
      </w:r>
      <m:oMath>
        <m:sSub>
          <m:sSubPr>
            <m:ctrlPr>
              <w:rPr>
                <w:rFonts w:ascii="Cambria Math" w:hAnsi="Cambria Math"/>
              </w:rPr>
            </m:ctrlPr>
          </m:sSubPr>
          <m:e>
            <m:r>
              <w:rPr>
                <w:rFonts w:ascii="Cambria Math" w:hAnsi="Cambria Math"/>
              </w:rPr>
              <m:t>T</m:t>
            </m:r>
          </m:e>
          <m:sub>
            <m:r>
              <w:rPr>
                <w:rFonts w:ascii="Cambria Math" w:hAnsi="Cambria Math"/>
              </w:rPr>
              <m:t>available</m:t>
            </m:r>
            <m:r>
              <m:rPr>
                <m:sty m:val="p"/>
              </m:rPr>
              <w:rPr>
                <w:rFonts w:ascii="Cambria Math" w:hAnsi="Cambria Math"/>
              </w:rPr>
              <m:t>_</m:t>
            </m:r>
            <m:r>
              <w:rPr>
                <w:rFonts w:ascii="Cambria Math" w:hAnsi="Cambria Math"/>
              </w:rPr>
              <m:t>PRS</m:t>
            </m:r>
            <m:r>
              <m:rPr>
                <m:nor/>
              </m:rPr>
              <m:t>,i</m:t>
            </m:r>
          </m:sub>
        </m:sSub>
        <m:r>
          <m:rPr>
            <m:sty m:val="p"/>
          </m:rPr>
          <w:rPr>
            <w:rFonts w:ascii="Cambria Math" w:hAnsi="Cambria Math"/>
          </w:rPr>
          <m:t>=</m:t>
        </m:r>
        <m:r>
          <w:rPr>
            <w:rFonts w:ascii="Cambria Math" w:hAnsi="Cambria Math"/>
          </w:rPr>
          <m:t>LCM</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PRS</m:t>
                </m:r>
                <m:r>
                  <m:rPr>
                    <m:nor/>
                  </m: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DRX</m:t>
                </m:r>
              </m:sub>
            </m:sSub>
          </m:e>
        </m:d>
        <m:r>
          <m:rPr>
            <m:sty m:val="p"/>
          </m:rPr>
          <w:rPr>
            <w:rFonts w:ascii="Cambria Math" w:hAnsi="Cambria Math"/>
            <w:lang w:eastAsia="zh-CN"/>
          </w:rPr>
          <m:t xml:space="preserve"> is</m:t>
        </m:r>
      </m:oMath>
      <w:r w:rsidRPr="006360F4">
        <w:rPr>
          <w:lang w:eastAsia="zh-CN"/>
        </w:rPr>
        <w:t xml:space="preserve"> </w:t>
      </w:r>
      <w:r w:rsidRPr="006360F4">
        <w:rPr>
          <w:lang w:val="en-US"/>
        </w:rPr>
        <w:t>the le</w:t>
      </w:r>
      <w:r w:rsidRPr="006360F4">
        <w:t xml:space="preserve">ast common multiple between </w:t>
      </w:r>
      <m:oMath>
        <m:sSub>
          <m:sSubPr>
            <m:ctrlPr>
              <w:rPr>
                <w:rFonts w:ascii="Cambria Math" w:hAnsi="Cambria Math"/>
              </w:rPr>
            </m:ctrlPr>
          </m:sSubPr>
          <m:e>
            <m:r>
              <w:rPr>
                <w:rFonts w:ascii="Cambria Math" w:hAnsi="Cambria Math"/>
              </w:rPr>
              <m:t>T</m:t>
            </m:r>
          </m:e>
          <m:sub>
            <m:r>
              <w:rPr>
                <w:rFonts w:ascii="Cambria Math" w:hAnsi="Cambria Math"/>
              </w:rPr>
              <m:t>PRS</m:t>
            </m:r>
            <m:r>
              <m:rPr>
                <m:nor/>
              </m:rPr>
              <w:rPr>
                <w:lang w:val="en-US"/>
              </w:rPr>
              <m:t>,i</m:t>
            </m:r>
          </m:sub>
        </m:sSub>
      </m:oMath>
      <w:r w:rsidRPr="006360F4">
        <w:t xml:space="preserve"> and </w:t>
      </w:r>
      <m:oMath>
        <m:sSub>
          <m:sSubPr>
            <m:ctrlPr>
              <w:rPr>
                <w:rFonts w:ascii="Cambria Math" w:hAnsi="Cambria Math"/>
              </w:rPr>
            </m:ctrlPr>
          </m:sSubPr>
          <m:e>
            <m:r>
              <w:rPr>
                <w:rFonts w:ascii="Cambria Math" w:hAnsi="Cambria Math"/>
              </w:rPr>
              <m:t>T</m:t>
            </m:r>
          </m:e>
          <m:sub>
            <m:r>
              <w:rPr>
                <w:rFonts w:ascii="Cambria Math" w:hAnsi="Cambria Math"/>
              </w:rPr>
              <m:t>DRX</m:t>
            </m:r>
          </m:sub>
        </m:sSub>
      </m:oMath>
      <w:r w:rsidRPr="006360F4">
        <w:rPr>
          <w:lang w:eastAsia="zh-CN"/>
        </w:rPr>
        <w:t>,</w:t>
      </w:r>
    </w:p>
    <w:p w14:paraId="7FBFFF7E" w14:textId="77777777" w:rsidR="006426C7" w:rsidRPr="006360F4" w:rsidRDefault="006426C7" w:rsidP="006426C7">
      <w:pPr>
        <w:pStyle w:val="B20"/>
        <w:rPr>
          <w:lang w:eastAsia="zh-CN"/>
        </w:rPr>
      </w:pPr>
      <w:r>
        <w:t>-</w:t>
      </w:r>
      <w:r w:rsidRPr="006360F4">
        <w:tab/>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PRS,i</m:t>
            </m:r>
          </m:sub>
        </m:sSub>
      </m:oMath>
      <w:r w:rsidRPr="006360F4">
        <w:rPr>
          <w:lang w:eastAsia="zh-CN"/>
        </w:rPr>
        <w:t xml:space="preserve"> is the maximum PRS resource periodicity among all PRS resources in </w:t>
      </w:r>
      <w:r w:rsidRPr="006360F4">
        <w:t>positioning</w:t>
      </w:r>
      <w:r w:rsidRPr="006360F4" w:rsidDel="00474272">
        <w:rPr>
          <w:lang w:eastAsia="zh-CN"/>
        </w:rPr>
        <w:t xml:space="preserve"> </w:t>
      </w:r>
      <w:r w:rsidRPr="006360F4">
        <w:rPr>
          <w:lang w:eastAsia="zh-CN"/>
        </w:rPr>
        <w:t xml:space="preserve">frequency layer i, </w:t>
      </w:r>
    </w:p>
    <w:p w14:paraId="03B9734C" w14:textId="77777777" w:rsidR="006426C7" w:rsidRPr="006360F4" w:rsidRDefault="006426C7" w:rsidP="006426C7">
      <w:pPr>
        <w:pStyle w:val="B20"/>
        <w:rPr>
          <w:lang w:eastAsia="zh-CN"/>
        </w:rPr>
      </w:pPr>
      <w:r>
        <w:t>-</w:t>
      </w:r>
      <w:r w:rsidRPr="006360F4">
        <w:tab/>
      </w:r>
      <m:oMath>
        <m:sSub>
          <m:sSubPr>
            <m:ctrlPr>
              <w:rPr>
                <w:rFonts w:ascii="Cambria Math" w:hAnsi="Cambria Math"/>
              </w:rPr>
            </m:ctrlPr>
          </m:sSubPr>
          <m:e>
            <m:r>
              <w:rPr>
                <w:rFonts w:ascii="Cambria Math" w:hAnsi="Cambria Math"/>
              </w:rPr>
              <m:t>T</m:t>
            </m:r>
          </m:e>
          <m:sub>
            <m:r>
              <w:rPr>
                <w:rFonts w:ascii="Cambria Math" w:hAnsi="Cambria Math"/>
              </w:rPr>
              <m:t>DRX</m:t>
            </m:r>
          </m:sub>
        </m:sSub>
      </m:oMath>
      <w:r w:rsidRPr="006360F4">
        <w:rPr>
          <w:lang w:eastAsia="zh-CN"/>
        </w:rPr>
        <w:t xml:space="preserve"> is the DRX cycle length.</w:t>
      </w:r>
    </w:p>
    <w:p w14:paraId="7C88DB16" w14:textId="77777777" w:rsidR="006426C7" w:rsidRPr="006360F4" w:rsidRDefault="006426C7" w:rsidP="006426C7">
      <w:r w:rsidRPr="006360F4">
        <w:t xml:space="preserve">If positioning frequency layer </w:t>
      </w:r>
      <w:r w:rsidRPr="006360F4">
        <w:rPr>
          <w:i/>
          <w:iCs/>
        </w:rPr>
        <w:t>i</w:t>
      </w:r>
      <w:r w:rsidRPr="006360F4">
        <w:t xml:space="preserve"> has more than one DL PRS resource set with different PRS periodicities with muting,  </w:t>
      </w:r>
      <m:oMath>
        <m:sSub>
          <m:sSubPr>
            <m:ctrlPr>
              <w:rPr>
                <w:rFonts w:ascii="Cambria Math" w:hAnsi="Cambria Math"/>
              </w:rPr>
            </m:ctrlPr>
          </m:sSubPr>
          <m:e>
            <m:sSubSup>
              <m:sSubSupPr>
                <m:ctrlPr>
                  <w:rPr>
                    <w:rFonts w:ascii="Cambria Math" w:hAnsi="Cambria Math"/>
                  </w:rPr>
                </m:ctrlPr>
              </m:sSubSupPr>
              <m:e>
                <m:r>
                  <w:rPr>
                    <w:rFonts w:ascii="Cambria Math" w:hAnsi="Cambria Math"/>
                  </w:rPr>
                  <m:t>T</m:t>
                </m:r>
              </m:e>
              <m:sub>
                <m:r>
                  <w:rPr>
                    <w:rFonts w:ascii="Cambria Math" w:hAnsi="Cambria Math"/>
                  </w:rPr>
                  <m:t>per</m:t>
                </m:r>
              </m:sub>
              <m:sup>
                <m:r>
                  <w:rPr>
                    <w:rFonts w:ascii="Cambria Math" w:hAnsi="Cambria Math"/>
                  </w:rPr>
                  <m:t>PRS with muting</m:t>
                </m:r>
              </m:sup>
            </m:sSubSup>
            <m:r>
              <m:rPr>
                <m:sty m:val="p"/>
              </m:rPr>
              <w:rPr>
                <w:rFonts w:ascii="Cambria Math" w:hAnsi="Cambria Math"/>
              </w:rPr>
              <m:t>=</m:t>
            </m:r>
            <m:r>
              <w:rPr>
                <w:rFonts w:ascii="Cambria Math" w:hAnsi="Cambria Math"/>
              </w:rPr>
              <m:t>N</m:t>
            </m:r>
          </m:e>
          <m:sub>
            <m:r>
              <w:rPr>
                <w:rFonts w:ascii="Cambria Math" w:hAnsi="Cambria Math"/>
              </w:rPr>
              <m:t>muting</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per</m:t>
            </m:r>
          </m:sub>
          <m:sup>
            <m:r>
              <w:rPr>
                <w:rFonts w:ascii="Cambria Math" w:hAnsi="Cambria Math"/>
              </w:rPr>
              <m:t>PRS</m:t>
            </m:r>
          </m:sup>
        </m:sSubSup>
      </m:oMath>
      <w:r w:rsidRPr="006360F4">
        <w:t xml:space="preserve">, the least common multiple of  </w:t>
      </w:r>
      <m:oMath>
        <m:sSubSup>
          <m:sSubSupPr>
            <m:ctrlPr>
              <w:rPr>
                <w:rFonts w:ascii="Cambria Math" w:hAnsi="Cambria Math"/>
              </w:rPr>
            </m:ctrlPr>
          </m:sSubSupPr>
          <m:e>
            <m:r>
              <w:rPr>
                <w:rFonts w:ascii="Cambria Math" w:hAnsi="Cambria Math"/>
              </w:rPr>
              <m:t>T</m:t>
            </m:r>
          </m:e>
          <m:sub>
            <m:r>
              <w:rPr>
                <w:rFonts w:ascii="Cambria Math" w:hAnsi="Cambria Math"/>
              </w:rPr>
              <m:t>per</m:t>
            </m:r>
          </m:sub>
          <m:sup>
            <m:r>
              <w:rPr>
                <w:rFonts w:ascii="Cambria Math" w:hAnsi="Cambria Math"/>
              </w:rPr>
              <m:t>PRS with muting</m:t>
            </m:r>
          </m:sup>
        </m:sSubSup>
      </m:oMath>
      <w:r w:rsidRPr="006360F4">
        <w:t xml:space="preserve"> among the DL PRS resource sets is used to derive </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PRS,i</m:t>
            </m:r>
          </m:sub>
        </m:sSub>
      </m:oMath>
      <w:r w:rsidRPr="006360F4">
        <w:t>, where:</w:t>
      </w:r>
    </w:p>
    <w:p w14:paraId="2949C8D7" w14:textId="77777777" w:rsidR="006426C7" w:rsidRPr="006360F4" w:rsidRDefault="006426C7" w:rsidP="006426C7">
      <w:pPr>
        <w:pStyle w:val="B10"/>
        <w:rPr>
          <w:lang w:eastAsia="zh-CN"/>
        </w:rPr>
      </w:pPr>
      <w:r>
        <w:t>-</w:t>
      </w:r>
      <w:r w:rsidRPr="006360F4">
        <w:tab/>
      </w:r>
      <m:oMath>
        <m:sSubSup>
          <m:sSubSupPr>
            <m:ctrlPr>
              <w:rPr>
                <w:rFonts w:ascii="Cambria Math" w:hAnsi="Cambria Math"/>
              </w:rPr>
            </m:ctrlPr>
          </m:sSubSupPr>
          <m:e>
            <m:r>
              <w:rPr>
                <w:rFonts w:ascii="Cambria Math" w:hAnsi="Cambria Math"/>
              </w:rPr>
              <m:t>T</m:t>
            </m:r>
          </m:e>
          <m:sub>
            <m:r>
              <w:rPr>
                <w:rFonts w:ascii="Cambria Math" w:hAnsi="Cambria Math"/>
              </w:rPr>
              <m:t>per</m:t>
            </m:r>
          </m:sub>
          <m:sup>
            <m:r>
              <w:rPr>
                <w:rFonts w:ascii="Cambria Math" w:hAnsi="Cambria Math"/>
              </w:rPr>
              <m:t>PRS</m:t>
            </m:r>
          </m:sup>
        </m:sSubSup>
      </m:oMath>
      <w:r w:rsidRPr="006360F4">
        <w:rPr>
          <w:lang w:eastAsia="zh-CN"/>
        </w:rPr>
        <w:t xml:space="preserve"> is the periodicity of PRS resource sets given by the higher-layer parameter </w:t>
      </w:r>
      <w:r w:rsidRPr="006360F4">
        <w:rPr>
          <w:i/>
          <w:lang w:eastAsia="zh-CN"/>
        </w:rPr>
        <w:t>DL-PRS-Periodicity</w:t>
      </w:r>
      <w:r w:rsidRPr="006360F4">
        <w:rPr>
          <w:lang w:eastAsia="zh-CN"/>
        </w:rPr>
        <w:t>.</w:t>
      </w:r>
    </w:p>
    <w:p w14:paraId="0EAA9EAD" w14:textId="77777777" w:rsidR="006426C7" w:rsidRPr="006360F4" w:rsidRDefault="006426C7" w:rsidP="006426C7">
      <w:pPr>
        <w:pStyle w:val="B10"/>
        <w:rPr>
          <w:lang w:eastAsia="zh-CN"/>
        </w:rPr>
      </w:pPr>
      <w:r>
        <w:t>-</w:t>
      </w:r>
      <w:r w:rsidRPr="006360F4">
        <w:tab/>
      </w:r>
      <m:oMath>
        <m:sSub>
          <m:sSubPr>
            <m:ctrlPr>
              <w:rPr>
                <w:rFonts w:ascii="Cambria Math" w:hAnsi="Cambria Math"/>
              </w:rPr>
            </m:ctrlPr>
          </m:sSubPr>
          <m:e>
            <m:r>
              <w:rPr>
                <w:rFonts w:ascii="Cambria Math" w:hAnsi="Cambria Math"/>
              </w:rPr>
              <m:t>N</m:t>
            </m:r>
          </m:e>
          <m:sub>
            <m:r>
              <w:rPr>
                <w:rFonts w:ascii="Cambria Math" w:hAnsi="Cambria Math"/>
              </w:rPr>
              <m:t>muting</m:t>
            </m:r>
          </m:sub>
        </m:sSub>
      </m:oMath>
      <w:r w:rsidRPr="006360F4">
        <w:t xml:space="preserve"> is the scaling factor considering PRS resource muting. </w:t>
      </w:r>
      <m:oMath>
        <m:sSub>
          <m:sSubPr>
            <m:ctrlPr>
              <w:rPr>
                <w:rFonts w:ascii="Cambria Math" w:hAnsi="Cambria Math"/>
              </w:rPr>
            </m:ctrlPr>
          </m:sSubPr>
          <m:e>
            <m:r>
              <w:rPr>
                <w:rFonts w:ascii="Cambria Math" w:hAnsi="Cambria Math"/>
              </w:rPr>
              <m:t>N</m:t>
            </m:r>
          </m:e>
          <m:sub>
            <m:r>
              <w:rPr>
                <w:rFonts w:ascii="Cambria Math" w:hAnsi="Cambria Math"/>
              </w:rPr>
              <m:t>muting</m:t>
            </m:r>
          </m:sub>
        </m:sSub>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muting</m:t>
            </m:r>
          </m:sub>
          <m:sup>
            <m:r>
              <w:rPr>
                <w:rFonts w:ascii="Cambria Math" w:hAnsi="Cambria Math"/>
              </w:rPr>
              <m:t>PRS</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muting</m:t>
            </m:r>
          </m:sub>
        </m:sSub>
      </m:oMath>
      <w:r w:rsidRPr="006360F4">
        <w:t xml:space="preserve">, where </w:t>
      </w:r>
      <m:oMath>
        <m:sSubSup>
          <m:sSubSupPr>
            <m:ctrlPr>
              <w:rPr>
                <w:rFonts w:ascii="Cambria Math" w:hAnsi="Cambria Math"/>
              </w:rPr>
            </m:ctrlPr>
          </m:sSubSupPr>
          <m:e>
            <m:r>
              <w:rPr>
                <w:rFonts w:ascii="Cambria Math" w:hAnsi="Cambria Math"/>
              </w:rPr>
              <m:t>T</m:t>
            </m:r>
          </m:e>
          <m:sub>
            <m:r>
              <w:rPr>
                <w:rFonts w:ascii="Cambria Math" w:hAnsi="Cambria Math"/>
              </w:rPr>
              <m:t>muting</m:t>
            </m:r>
          </m:sub>
          <m:sup>
            <m:r>
              <w:rPr>
                <w:rFonts w:ascii="Cambria Math" w:hAnsi="Cambria Math"/>
              </w:rPr>
              <m:t>PRS</m:t>
            </m:r>
          </m:sup>
        </m:sSubSup>
      </m:oMath>
      <w:r w:rsidRPr="006360F4">
        <w:rPr>
          <w:lang w:eastAsia="zh-CN"/>
        </w:rPr>
        <w:t xml:space="preserve"> is the muting repetition factor given by the higher-layer parameter </w:t>
      </w:r>
      <w:r w:rsidRPr="006360F4">
        <w:rPr>
          <w:i/>
          <w:lang w:eastAsia="zh-CN"/>
        </w:rPr>
        <w:t>DL-PRS-MutingBitRepetitionFactor</w:t>
      </w:r>
      <w:r w:rsidRPr="006360F4">
        <w:rPr>
          <w:lang w:eastAsia="zh-CN"/>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muting</m:t>
            </m:r>
          </m:sub>
        </m:sSub>
      </m:oMath>
      <w:r w:rsidRPr="006360F4">
        <w:rPr>
          <w:lang w:eastAsia="zh-CN"/>
        </w:rPr>
        <w:t xml:space="preserve"> is the size of the bitmap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1</m:t>
                </m:r>
              </m:sup>
            </m:sSup>
          </m:e>
        </m:d>
      </m:oMath>
      <w:r w:rsidRPr="006360F4">
        <w:rPr>
          <w:lang w:eastAsia="zh-CN"/>
        </w:rPr>
        <w:t>.</w:t>
      </w:r>
    </w:p>
    <w:p w14:paraId="4295F9A9" w14:textId="34450782" w:rsidR="006426C7" w:rsidRPr="006360F4" w:rsidRDefault="006426C7" w:rsidP="006426C7">
      <w:pPr>
        <w:rPr>
          <w:iCs/>
          <w:noProof/>
        </w:rPr>
      </w:pPr>
      <w:r w:rsidRPr="006360F4">
        <w:t xml:space="preserve">When PRS-RSRP measurements are configured for DL-AoD, the time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PRS-RSRP</m:t>
            </m:r>
            <m:r>
              <m:rPr>
                <m:nor/>
              </m:rPr>
              <m:t>,total</m:t>
            </m:r>
          </m:sub>
        </m:sSub>
      </m:oMath>
      <w:r w:rsidRPr="006360F4">
        <w:t xml:space="preserve"> starts from the first DRX </w:t>
      </w:r>
      <w:r>
        <w:rPr>
          <w:rFonts w:hint="eastAsia"/>
          <w:lang w:eastAsia="zh-CN"/>
        </w:rPr>
        <w:t>cycle containing the</w:t>
      </w:r>
      <w:r w:rsidRPr="006360F4">
        <w:t xml:space="preserve"> DL PRS resources in the assistance data after both the </w:t>
      </w:r>
      <w:r w:rsidRPr="006360F4">
        <w:rPr>
          <w:i/>
        </w:rPr>
        <w:t>NR-DL-AoD-Request</w:t>
      </w:r>
      <w:r w:rsidRPr="006360F4">
        <w:rPr>
          <w:i/>
          <w:noProof/>
        </w:rPr>
        <w:t xml:space="preserve">LocationInformation </w:t>
      </w:r>
      <w:r w:rsidRPr="006360F4">
        <w:rPr>
          <w:iCs/>
          <w:noProof/>
        </w:rPr>
        <w:t xml:space="preserve">message and </w:t>
      </w:r>
      <w:r w:rsidRPr="006360F4">
        <w:rPr>
          <w:i/>
        </w:rPr>
        <w:t>NR-DL-AoD-Provide</w:t>
      </w:r>
      <w:r w:rsidRPr="006360F4">
        <w:rPr>
          <w:i/>
          <w:noProof/>
        </w:rPr>
        <w:t xml:space="preserve">AssistanceData </w:t>
      </w:r>
      <w:r w:rsidRPr="006360F4">
        <w:rPr>
          <w:iCs/>
          <w:noProof/>
        </w:rPr>
        <w:t xml:space="preserve">message </w:t>
      </w:r>
      <w:r w:rsidRPr="006360F4">
        <w:rPr>
          <w:iCs/>
        </w:rPr>
        <w:t>from LMF via LPP [34]</w:t>
      </w:r>
      <w:r w:rsidRPr="006360F4">
        <w:rPr>
          <w:iCs/>
          <w:noProof/>
        </w:rPr>
        <w:t xml:space="preserve"> are delivered to the physical layer of UE.</w:t>
      </w:r>
    </w:p>
    <w:p w14:paraId="0E97A5AF" w14:textId="77777777" w:rsidR="006426C7" w:rsidRPr="006360F4" w:rsidRDefault="006426C7" w:rsidP="006426C7">
      <w:pPr>
        <w:pStyle w:val="NO"/>
        <w:rPr>
          <w:iCs/>
          <w:noProof/>
        </w:rPr>
      </w:pPr>
      <w:r w:rsidRPr="006360F4">
        <w:rPr>
          <w:lang w:eastAsia="zh-CN"/>
        </w:rPr>
        <w:t>Note:</w:t>
      </w:r>
      <w:r w:rsidRPr="006360F4">
        <w:rPr>
          <w:lang w:eastAsia="zh-CN"/>
        </w:rPr>
        <w:tab/>
        <w:t>No per-positioning frequency layer requirement is applied in scenarios when multiple positioning frequency layers are configured.</w:t>
      </w:r>
    </w:p>
    <w:p w14:paraId="6ABBE384" w14:textId="573DDF77" w:rsidR="006426C7" w:rsidRPr="006360F4" w:rsidRDefault="006426C7" w:rsidP="006426C7">
      <w:r w:rsidRPr="006360F4">
        <w:rPr>
          <w:iCs/>
          <w:noProof/>
        </w:rPr>
        <w:t xml:space="preserve">When the PRS-RSRP measurement is configured together with RSTD measurement then the PRS-RSRP measurement shall meet the </w:t>
      </w:r>
      <w:r w:rsidRPr="006360F4">
        <w:t>RSTD measurement requirements defined in clause 5.</w:t>
      </w:r>
      <w:r>
        <w:rPr>
          <w:rFonts w:hint="eastAsia"/>
          <w:lang w:eastAsia="zh-CN"/>
        </w:rPr>
        <w:t>6</w:t>
      </w:r>
      <w:r w:rsidRPr="006360F4">
        <w:t xml:space="preserve">.2. </w:t>
      </w:r>
    </w:p>
    <w:p w14:paraId="451440F4" w14:textId="7BB2BEE1" w:rsidR="006426C7" w:rsidRPr="006360F4" w:rsidRDefault="006426C7" w:rsidP="006426C7">
      <w:r w:rsidRPr="006360F4">
        <w:rPr>
          <w:iCs/>
          <w:noProof/>
        </w:rPr>
        <w:t xml:space="preserve">When the PRS-RSRP measurement is configured together with UE Rx-Tx time difference measurement then the PRS-RSRP measurement shall meet the UE Rx-Tx time difference </w:t>
      </w:r>
      <w:r w:rsidRPr="006360F4">
        <w:t xml:space="preserve">measurement requirements defined in clause </w:t>
      </w:r>
      <w:r>
        <w:t>5.</w:t>
      </w:r>
      <w:r>
        <w:rPr>
          <w:rFonts w:hint="eastAsia"/>
          <w:lang w:eastAsia="zh-CN"/>
        </w:rPr>
        <w:t>6</w:t>
      </w:r>
      <w:r w:rsidRPr="006360F4">
        <w:t xml:space="preserve">.4. </w:t>
      </w:r>
    </w:p>
    <w:p w14:paraId="350CB01A" w14:textId="77777777" w:rsidR="006426C7" w:rsidRPr="006360F4" w:rsidRDefault="006426C7" w:rsidP="006426C7">
      <w:pPr>
        <w:rPr>
          <w:lang w:val="en-US" w:eastAsia="zh-CN"/>
        </w:rPr>
      </w:pPr>
      <w:r w:rsidRPr="006360F4">
        <w:rPr>
          <w:lang w:val="en-US" w:eastAsia="zh-CN"/>
        </w:rPr>
        <w:t>The measurement requirements do not apply for a PRS resource:</w:t>
      </w:r>
    </w:p>
    <w:p w14:paraId="42CC98A8" w14:textId="77777777" w:rsidR="006426C7" w:rsidRPr="006360F4" w:rsidRDefault="006426C7" w:rsidP="006426C7">
      <w:pPr>
        <w:pStyle w:val="B10"/>
        <w:rPr>
          <w:lang w:val="en-US" w:eastAsia="zh-CN"/>
        </w:rPr>
      </w:pPr>
      <w:r>
        <w:rPr>
          <w:lang w:val="en-US" w:eastAsia="zh-CN"/>
        </w:rPr>
        <w:t>-</w:t>
      </w:r>
      <w:r>
        <w:rPr>
          <w:lang w:val="en-US" w:eastAsia="zh-CN"/>
        </w:rPr>
        <w:tab/>
      </w:r>
      <w:r w:rsidRPr="006360F4">
        <w:rPr>
          <w:lang w:val="en-US" w:eastAsia="zh-CN"/>
        </w:rPr>
        <w:t xml:space="preserve">if the PRS resource is across two sampling duration of N within duration </w:t>
      </w:r>
      <m:oMath>
        <m:sSub>
          <m:sSubPr>
            <m:ctrlPr>
              <w:rPr>
                <w:rFonts w:ascii="Cambria Math" w:eastAsiaTheme="minorHAnsi" w:hAnsi="Cambria Math"/>
                <w:i/>
                <w:iCs/>
              </w:rPr>
            </m:ctrlPr>
          </m:sSubPr>
          <m:e>
            <m:r>
              <w:rPr>
                <w:rFonts w:ascii="Cambria Math" w:hAnsi="Cambria Math"/>
                <w:lang w:eastAsia="zh-CN"/>
              </w:rPr>
              <m:t>L</m:t>
            </m:r>
          </m:e>
          <m:sub>
            <m:r>
              <w:rPr>
                <w:rFonts w:ascii="Cambria Math" w:hAnsi="Cambria Math"/>
                <w:lang w:eastAsia="zh-CN"/>
              </w:rPr>
              <m:t>available_PRS</m:t>
            </m:r>
            <m:r>
              <m:rPr>
                <m:sty m:val="p"/>
              </m:rPr>
              <w:rPr>
                <w:rFonts w:ascii="Cambria Math" w:hAnsi="Cambria Math"/>
                <w:lang w:eastAsia="zh-CN"/>
              </w:rPr>
              <m:t>,i</m:t>
            </m:r>
          </m:sub>
        </m:sSub>
      </m:oMath>
      <w:r w:rsidRPr="006360F4">
        <w:rPr>
          <w:lang w:val="en-US" w:eastAsia="zh-CN"/>
        </w:rPr>
        <w:t xml:space="preserve"> or </w:t>
      </w:r>
    </w:p>
    <w:p w14:paraId="3E093C40" w14:textId="77777777" w:rsidR="006426C7" w:rsidRPr="006360F4" w:rsidRDefault="006426C7" w:rsidP="006426C7">
      <w:pPr>
        <w:pStyle w:val="B10"/>
        <w:rPr>
          <w:lang w:val="en-US" w:eastAsia="zh-CN"/>
        </w:rPr>
      </w:pPr>
      <w:r>
        <w:t>-</w:t>
      </w:r>
      <w:r>
        <w:tab/>
      </w:r>
      <w:r w:rsidRPr="006360F4">
        <w:t>if time span of the PRS resource instance (including at least the minimum number of repetitions specified in the accuracy requirements) is greater than UE reported capability N.</w:t>
      </w:r>
    </w:p>
    <w:p w14:paraId="03592737" w14:textId="77777777" w:rsidR="006426C7" w:rsidRPr="006360F4" w:rsidRDefault="006426C7" w:rsidP="006426C7">
      <w:pPr>
        <w:rPr>
          <w:lang w:val="en-US" w:eastAsia="zh-CN"/>
        </w:rPr>
      </w:pPr>
      <w:r w:rsidRPr="006360F4">
        <w:t>Longer PRS</w:t>
      </w:r>
      <w:r>
        <w:t>-RSRP</w:t>
      </w:r>
      <w:r w:rsidRPr="006360F4">
        <w:t xml:space="preserve"> measurement period is expected when there is collision/overlap between other DL signals/channels and PRS resources in RRC_INACTIVE state.</w:t>
      </w:r>
    </w:p>
    <w:p w14:paraId="0E4212CB" w14:textId="1351B819" w:rsidR="006426C7" w:rsidRPr="006360F4" w:rsidRDefault="006426C7" w:rsidP="006426C7">
      <w:pPr>
        <w:rPr>
          <w:i/>
          <w:iCs/>
          <w:lang w:eastAsia="zh-CN"/>
        </w:rPr>
      </w:pPr>
      <w:r w:rsidRPr="006360F4">
        <w:rPr>
          <w:rFonts w:cs="v4.2.0"/>
        </w:rPr>
        <w:t xml:space="preserve">The requirements in clause </w:t>
      </w:r>
      <w:r>
        <w:rPr>
          <w:rFonts w:cs="v4.2.0"/>
        </w:rPr>
        <w:t>5.</w:t>
      </w:r>
      <w:r>
        <w:rPr>
          <w:rFonts w:cs="v4.2.0" w:hint="eastAsia"/>
          <w:lang w:eastAsia="zh-CN"/>
        </w:rPr>
        <w:t>6</w:t>
      </w:r>
      <w:r w:rsidRPr="006360F4">
        <w:rPr>
          <w:rFonts w:cs="v4.2.0"/>
        </w:rPr>
        <w:t xml:space="preserve">.3 do not apply if the PRS configuration given by higher layer paramters </w:t>
      </w:r>
      <w:r w:rsidRPr="006360F4">
        <w:rPr>
          <w:i/>
          <w:snapToGrid w:val="0"/>
        </w:rPr>
        <w:t>NR-DL-PRS-AssistanceData</w:t>
      </w:r>
      <w:r w:rsidRPr="006360F4">
        <w:rPr>
          <w:snapToGrid w:val="0"/>
        </w:rPr>
        <w:t xml:space="preserve"> </w:t>
      </w:r>
      <w:r w:rsidRPr="006360F4">
        <w:rPr>
          <w:rFonts w:cs="v4.2.0"/>
        </w:rPr>
        <w:t xml:space="preserve">exceeds any of the UE measurement capabilities given by </w:t>
      </w:r>
      <w:r w:rsidRPr="006360F4">
        <w:rPr>
          <w:rFonts w:cs="v4.2.0"/>
          <w:i/>
        </w:rPr>
        <w:t>NR-DL-PRS-ResourcesCapability</w:t>
      </w:r>
      <w:r w:rsidRPr="006360F4">
        <w:rPr>
          <w:lang w:eastAsia="zh-CN"/>
        </w:rPr>
        <w:t xml:space="preserve"> in </w:t>
      </w:r>
      <w:r w:rsidRPr="006360F4">
        <w:rPr>
          <w:i/>
          <w:iCs/>
          <w:lang w:eastAsia="zh-CN"/>
        </w:rPr>
        <w:t>NR-DL-AoD-ProvideCapabilities</w:t>
      </w:r>
      <w:r w:rsidRPr="006360F4">
        <w:rPr>
          <w:iCs/>
          <w:lang w:eastAsia="zh-CN"/>
        </w:rPr>
        <w:t xml:space="preserve">, and it is up to UE implementation which PRS resources are measured, subject to </w:t>
      </w:r>
      <w:r w:rsidRPr="006360F4">
        <w:rPr>
          <w:rFonts w:cs="v4.2.0"/>
        </w:rPr>
        <w:t>UE measurement capabilities</w:t>
      </w:r>
      <w:r w:rsidRPr="006360F4">
        <w:rPr>
          <w:i/>
          <w:iCs/>
          <w:lang w:eastAsia="zh-CN"/>
        </w:rPr>
        <w:t>.</w:t>
      </w:r>
    </w:p>
    <w:p w14:paraId="17D7B6DD" w14:textId="77777777" w:rsidR="006426C7" w:rsidRPr="006360F4" w:rsidRDefault="006426C7" w:rsidP="006426C7">
      <w:pPr>
        <w:rPr>
          <w:lang w:eastAsia="zh-CN"/>
        </w:rPr>
      </w:pPr>
      <w:r w:rsidRPr="006360F4">
        <w:rPr>
          <w:lang w:eastAsia="zh-CN"/>
        </w:rPr>
        <w:t>If the DRX cycle is reconfigured during the PRS-RSRP measurement period then the PRS-RSRP measurement period can be longer.</w:t>
      </w:r>
    </w:p>
    <w:p w14:paraId="498EE9D7" w14:textId="4B2B842F" w:rsidR="006426C7" w:rsidRPr="006360F4" w:rsidRDefault="006426C7" w:rsidP="006426C7">
      <w:pPr>
        <w:rPr>
          <w:lang w:eastAsia="zh-CN"/>
        </w:rPr>
      </w:pPr>
      <w:r w:rsidRPr="0021212B">
        <w:rPr>
          <w:lang w:eastAsia="zh-CN"/>
        </w:rPr>
        <w:t xml:space="preserve">If cell reselection occurs while PRS-RSRPP measurement is being performed, then </w:t>
      </w:r>
      <w:r>
        <w:rPr>
          <w:lang w:eastAsia="zh-CN"/>
        </w:rPr>
        <w:t>t</w:t>
      </w:r>
      <w:r w:rsidRPr="006360F4">
        <w:rPr>
          <w:lang w:eastAsia="zh-CN"/>
        </w:rPr>
        <w:t xml:space="preserve">he UE shall continue </w:t>
      </w:r>
      <w:r>
        <w:rPr>
          <w:lang w:eastAsia="zh-CN"/>
        </w:rPr>
        <w:t xml:space="preserve">and </w:t>
      </w:r>
      <w:r>
        <w:rPr>
          <w:rFonts w:hint="eastAsia"/>
          <w:lang w:eastAsia="zh-CN"/>
        </w:rPr>
        <w:t>complete</w:t>
      </w:r>
      <w:r>
        <w:rPr>
          <w:lang w:eastAsia="zh-CN"/>
        </w:rPr>
        <w:t xml:space="preserve"> </w:t>
      </w:r>
      <w:r w:rsidRPr="006360F4">
        <w:rPr>
          <w:lang w:eastAsia="zh-CN"/>
        </w:rPr>
        <w:t xml:space="preserve">the </w:t>
      </w:r>
      <w:r>
        <w:rPr>
          <w:lang w:eastAsia="zh-CN"/>
        </w:rPr>
        <w:t xml:space="preserve">on-going </w:t>
      </w:r>
      <w:r w:rsidRPr="006360F4">
        <w:rPr>
          <w:lang w:eastAsia="zh-CN"/>
        </w:rPr>
        <w:t>PRS-RSRP measurement after the cell select</w:t>
      </w:r>
      <w:r>
        <w:rPr>
          <w:lang w:eastAsia="zh-CN"/>
        </w:rPr>
        <w:t>ion is completed. T</w:t>
      </w:r>
      <w:r w:rsidRPr="006360F4">
        <w:rPr>
          <w:lang w:eastAsia="zh-CN"/>
        </w:rPr>
        <w:t>he PRS-RSRP measurement period can be longer.</w:t>
      </w:r>
    </w:p>
    <w:p w14:paraId="4C59BDF3" w14:textId="3E02AE38" w:rsidR="00F67F85" w:rsidRPr="006360F4" w:rsidRDefault="00F118A5" w:rsidP="00F67F85">
      <w:pPr>
        <w:rPr>
          <w:rFonts w:eastAsiaTheme="minorEastAsia"/>
          <w:lang w:eastAsia="zh-CN"/>
        </w:rPr>
      </w:pPr>
      <w:r w:rsidRPr="002A267E">
        <w:rPr>
          <w:rFonts w:eastAsia="Malgun Gothic"/>
          <w:lang w:eastAsia="zh-CN"/>
        </w:rPr>
        <w:t xml:space="preserve">If the UE’s RRC state changes from the RRC_INACTIVE to RRC_CONNECTED during the PRS-RSRP measurement period, </w:t>
      </w:r>
      <w:r w:rsidRPr="002A267E">
        <w:rPr>
          <w:rFonts w:eastAsia="Malgun Gothic" w:hint="eastAsia"/>
          <w:lang w:eastAsia="zh-CN"/>
        </w:rPr>
        <w:t>then</w:t>
      </w:r>
      <w:r w:rsidRPr="002A267E">
        <w:rPr>
          <w:rFonts w:eastAsia="Malgun Gothic"/>
          <w:lang w:eastAsia="zh-CN"/>
        </w:rPr>
        <w:t xml:space="preserve"> </w:t>
      </w:r>
      <w:r w:rsidRPr="002A267E">
        <w:rPr>
          <w:rFonts w:eastAsia="Malgun Gothic" w:hint="eastAsia"/>
          <w:lang w:eastAsia="zh-CN"/>
        </w:rPr>
        <w:t>the</w:t>
      </w:r>
      <w:r w:rsidRPr="002A267E">
        <w:rPr>
          <w:rFonts w:eastAsia="Malgun Gothic"/>
          <w:lang w:eastAsia="zh-CN"/>
        </w:rPr>
        <w:t xml:space="preserve"> UE </w:t>
      </w:r>
      <w:r>
        <w:rPr>
          <w:rFonts w:eastAsia="Malgun Gothic"/>
          <w:lang w:eastAsia="zh-CN"/>
        </w:rPr>
        <w:t xml:space="preserve">shall </w:t>
      </w:r>
      <w:r w:rsidRPr="002A267E">
        <w:rPr>
          <w:rFonts w:eastAsia="Malgun Gothic"/>
          <w:lang w:eastAsia="zh-CN"/>
        </w:rPr>
        <w:t>continue the PRS-RSRP measurement in the RRC_CONNECTED state</w:t>
      </w:r>
      <w:r w:rsidRPr="002A267E">
        <w:rPr>
          <w:rFonts w:eastAsia="Malgun Gothic" w:hint="eastAsia"/>
          <w:lang w:eastAsia="zh-CN"/>
        </w:rPr>
        <w:t>.</w:t>
      </w:r>
      <w:r w:rsidRPr="002A267E">
        <w:rPr>
          <w:rFonts w:eastAsia="Malgun Gothic"/>
          <w:lang w:eastAsia="zh-CN"/>
        </w:rPr>
        <w:t xml:space="preserve"> The PRS-RSRP measurement period can be longer.</w:t>
      </w:r>
    </w:p>
    <w:p w14:paraId="16392463" w14:textId="2067D46B" w:rsidR="00CD7933" w:rsidRPr="0059058A" w:rsidRDefault="00941150" w:rsidP="004A31B7">
      <w:r w:rsidRPr="006360F4">
        <w:t>The UE shall meet the PRS-RSRP measurement accuracy requirements in clause 10.1.</w:t>
      </w:r>
      <w:r>
        <w:t>24</w:t>
      </w:r>
      <w:r w:rsidRPr="006360F4">
        <w:t>.</w:t>
      </w:r>
    </w:p>
    <w:p w14:paraId="2935BA71" w14:textId="77777777" w:rsidR="00CD7933" w:rsidRDefault="00CD7933" w:rsidP="00CD7933">
      <w:pPr>
        <w:pStyle w:val="Heading3"/>
      </w:pPr>
      <w:r>
        <w:t>5.6</w:t>
      </w:r>
      <w:r w:rsidRPr="0059058A">
        <w:t>.</w:t>
      </w:r>
      <w:r>
        <w:t>4</w:t>
      </w:r>
      <w:r w:rsidRPr="0059058A">
        <w:tab/>
      </w:r>
      <w:r>
        <w:t xml:space="preserve">UE Rx-Tx time difference </w:t>
      </w:r>
      <w:r w:rsidRPr="0059058A">
        <w:t>measurements</w:t>
      </w:r>
    </w:p>
    <w:p w14:paraId="0D3E37AD" w14:textId="77777777" w:rsidR="00CD7933" w:rsidRPr="000506D8" w:rsidRDefault="00CD7933" w:rsidP="00CD7933">
      <w:pPr>
        <w:pStyle w:val="Heading4"/>
        <w:rPr>
          <w:lang w:eastAsia="zh-CN"/>
        </w:rPr>
      </w:pPr>
      <w:r>
        <w:rPr>
          <w:lang w:eastAsia="zh-CN"/>
        </w:rPr>
        <w:t>5.6</w:t>
      </w:r>
      <w:r w:rsidRPr="000506D8">
        <w:rPr>
          <w:lang w:eastAsia="zh-CN"/>
        </w:rPr>
        <w:t>.4.1</w:t>
      </w:r>
      <w:r>
        <w:rPr>
          <w:lang w:eastAsia="zh-CN"/>
        </w:rPr>
        <w:tab/>
      </w:r>
      <w:r w:rsidRPr="000506D8">
        <w:rPr>
          <w:lang w:eastAsia="zh-CN"/>
        </w:rPr>
        <w:t>Introduction</w:t>
      </w:r>
    </w:p>
    <w:p w14:paraId="26EAAB49" w14:textId="77777777" w:rsidR="00CD7933" w:rsidRPr="000506D8" w:rsidRDefault="00CD7933" w:rsidP="00CD7933">
      <w:r w:rsidRPr="000506D8">
        <w:t xml:space="preserve">The requirements in this clause shall apply, provided the UE has received </w:t>
      </w:r>
      <w:r w:rsidRPr="000506D8">
        <w:rPr>
          <w:i/>
          <w:iCs/>
        </w:rPr>
        <w:t xml:space="preserve">nr-Multi-RTT-RequestLocationInformation </w:t>
      </w:r>
      <w:r w:rsidRPr="000506D8">
        <w:t xml:space="preserve">message from LMF via LPP [34] requesting the UE to measure </w:t>
      </w:r>
      <w:r w:rsidRPr="000506D8">
        <w:rPr>
          <w:rFonts w:hint="eastAsia"/>
          <w:lang w:eastAsia="zh-CN"/>
        </w:rPr>
        <w:t>and</w:t>
      </w:r>
      <w:r w:rsidRPr="000506D8">
        <w:t xml:space="preserve"> </w:t>
      </w:r>
      <w:r w:rsidRPr="000506D8">
        <w:rPr>
          <w:rFonts w:hint="eastAsia"/>
          <w:lang w:eastAsia="zh-CN"/>
        </w:rPr>
        <w:t>report</w:t>
      </w:r>
      <w:r w:rsidRPr="000506D8">
        <w:t xml:space="preserve"> one or more UE Rx-Tx time difference measurements defined in TS 38.215 [4].</w:t>
      </w:r>
    </w:p>
    <w:p w14:paraId="13B9D548" w14:textId="77777777" w:rsidR="00CD7933" w:rsidRPr="000506D8" w:rsidRDefault="00CD7933" w:rsidP="00CD7933">
      <w:pPr>
        <w:pStyle w:val="Heading4"/>
        <w:rPr>
          <w:lang w:eastAsia="zh-CN"/>
        </w:rPr>
      </w:pPr>
      <w:r>
        <w:rPr>
          <w:lang w:eastAsia="zh-CN"/>
        </w:rPr>
        <w:t>5.6</w:t>
      </w:r>
      <w:r w:rsidRPr="000506D8">
        <w:rPr>
          <w:lang w:eastAsia="zh-CN"/>
        </w:rPr>
        <w:t>.4.2</w:t>
      </w:r>
      <w:r>
        <w:rPr>
          <w:lang w:eastAsia="zh-CN"/>
        </w:rPr>
        <w:tab/>
      </w:r>
      <w:r w:rsidRPr="000506D8">
        <w:rPr>
          <w:lang w:eastAsia="zh-CN"/>
        </w:rPr>
        <w:t>Requirements Applicability</w:t>
      </w:r>
    </w:p>
    <w:p w14:paraId="5B37E2C0" w14:textId="77777777" w:rsidR="00CD7933" w:rsidRPr="000506D8" w:rsidRDefault="00CD7933" w:rsidP="00CD7933">
      <w:pPr>
        <w:rPr>
          <w:lang w:eastAsia="zh-CN"/>
        </w:rPr>
      </w:pPr>
      <w:r w:rsidRPr="000506D8">
        <w:rPr>
          <w:lang w:eastAsia="zh-CN"/>
        </w:rPr>
        <w:t>The requirements in clause 5.</w:t>
      </w:r>
      <w:r>
        <w:rPr>
          <w:lang w:eastAsia="zh-CN"/>
        </w:rPr>
        <w:t>6</w:t>
      </w:r>
      <w:r w:rsidRPr="000506D8">
        <w:rPr>
          <w:lang w:eastAsia="zh-CN"/>
        </w:rPr>
        <w:t>.4 apply for periodic and triggered UE Rx-Tx time difference measurements, provided:</w:t>
      </w:r>
    </w:p>
    <w:p w14:paraId="0A02D76A" w14:textId="41106263" w:rsidR="00CD7933" w:rsidRPr="000506D8" w:rsidRDefault="006426C7" w:rsidP="00CD7933">
      <w:pPr>
        <w:pStyle w:val="B10"/>
        <w:rPr>
          <w:lang w:eastAsia="zh-CN"/>
        </w:rPr>
      </w:pPr>
      <w:r w:rsidRPr="000506D8">
        <w:rPr>
          <w:lang w:eastAsia="zh-CN"/>
        </w:rPr>
        <w:t>-</w:t>
      </w:r>
      <w:r w:rsidRPr="000506D8">
        <w:rPr>
          <w:lang w:eastAsia="zh-CN"/>
        </w:rPr>
        <w:tab/>
        <w:t>UE Rx-Tx time difference measurement related side conditions given in clause 10.1.</w:t>
      </w:r>
      <w:r>
        <w:rPr>
          <w:rFonts w:hint="eastAsia"/>
          <w:lang w:eastAsia="zh-CN"/>
        </w:rPr>
        <w:t>25</w:t>
      </w:r>
      <w:r w:rsidRPr="000506D8">
        <w:rPr>
          <w:lang w:eastAsia="zh-CN"/>
        </w:rPr>
        <w:t xml:space="preserve"> are met for a corresponding band.</w:t>
      </w:r>
    </w:p>
    <w:p w14:paraId="2A0EB40F" w14:textId="77777777" w:rsidR="00CD7933" w:rsidRPr="000506D8" w:rsidRDefault="00CD7933" w:rsidP="00CD7933">
      <w:pPr>
        <w:pStyle w:val="B10"/>
        <w:rPr>
          <w:lang w:eastAsia="zh-CN"/>
        </w:rPr>
      </w:pPr>
      <w:r w:rsidRPr="000506D8">
        <w:rPr>
          <w:lang w:eastAsia="zh-CN"/>
        </w:rPr>
        <w:t>-</w:t>
      </w:r>
      <w:r w:rsidRPr="000506D8">
        <w:rPr>
          <w:lang w:eastAsia="zh-CN"/>
        </w:rPr>
        <w:tab/>
        <w:t xml:space="preserve">SRS is configured on the PCell. </w:t>
      </w:r>
    </w:p>
    <w:p w14:paraId="111E5FEB" w14:textId="77777777" w:rsidR="00CD7933" w:rsidRPr="000506D8" w:rsidRDefault="00CD7933" w:rsidP="00CD7933">
      <w:pPr>
        <w:pStyle w:val="Heading4"/>
        <w:rPr>
          <w:lang w:eastAsia="zh-CN"/>
        </w:rPr>
      </w:pPr>
      <w:r>
        <w:rPr>
          <w:lang w:eastAsia="zh-CN"/>
        </w:rPr>
        <w:t>5.6</w:t>
      </w:r>
      <w:r w:rsidRPr="000506D8">
        <w:rPr>
          <w:lang w:eastAsia="zh-CN"/>
        </w:rPr>
        <w:t>.4.3</w:t>
      </w:r>
      <w:r>
        <w:rPr>
          <w:lang w:eastAsia="zh-CN"/>
        </w:rPr>
        <w:tab/>
      </w:r>
      <w:r w:rsidRPr="000506D8">
        <w:rPr>
          <w:lang w:eastAsia="zh-CN"/>
        </w:rPr>
        <w:t>Measurement Capability</w:t>
      </w:r>
    </w:p>
    <w:p w14:paraId="55528440" w14:textId="77777777" w:rsidR="00CD7933" w:rsidRPr="000506D8" w:rsidRDefault="00CD7933" w:rsidP="00CD7933">
      <w:pPr>
        <w:rPr>
          <w:rFonts w:eastAsia="Calibri"/>
          <w:lang w:val="en-US" w:eastAsia="zh-CN"/>
        </w:rPr>
      </w:pPr>
      <w:r w:rsidRPr="000506D8">
        <w:rPr>
          <w:lang w:eastAsia="zh-CN"/>
        </w:rPr>
        <w:t xml:space="preserve">UE Rx-Tx time difference measurement capability is as indicated by the UE in </w:t>
      </w:r>
      <w:r w:rsidRPr="000506D8">
        <w:rPr>
          <w:i/>
        </w:rPr>
        <w:t>NR-Multi-RTT-Provide</w:t>
      </w:r>
      <w:r w:rsidRPr="000506D8">
        <w:rPr>
          <w:i/>
          <w:noProof/>
        </w:rPr>
        <w:t>Capabilities,</w:t>
      </w:r>
      <w:r w:rsidRPr="000506D8">
        <w:rPr>
          <w:lang w:eastAsia="zh-CN"/>
        </w:rPr>
        <w:t xml:space="preserve"> according to TS 37.355 [34].</w:t>
      </w:r>
    </w:p>
    <w:p w14:paraId="59A868D6" w14:textId="77777777" w:rsidR="00CD7933" w:rsidRPr="000506D8" w:rsidRDefault="00CD7933" w:rsidP="00CD7933">
      <w:pPr>
        <w:pStyle w:val="Heading4"/>
        <w:rPr>
          <w:lang w:eastAsia="zh-CN"/>
        </w:rPr>
      </w:pPr>
      <w:r>
        <w:rPr>
          <w:lang w:eastAsia="zh-CN"/>
        </w:rPr>
        <w:t>5.6</w:t>
      </w:r>
      <w:r w:rsidRPr="000506D8">
        <w:rPr>
          <w:lang w:eastAsia="zh-CN"/>
        </w:rPr>
        <w:t>.4.4</w:t>
      </w:r>
      <w:r>
        <w:rPr>
          <w:lang w:eastAsia="zh-CN"/>
        </w:rPr>
        <w:tab/>
      </w:r>
      <w:r w:rsidRPr="000506D8">
        <w:rPr>
          <w:lang w:eastAsia="zh-CN"/>
        </w:rPr>
        <w:t>Measurement Reporting Requirements</w:t>
      </w:r>
    </w:p>
    <w:p w14:paraId="2CCAAE90" w14:textId="77777777" w:rsidR="00CD7933" w:rsidRPr="000506D8" w:rsidRDefault="00CD7933" w:rsidP="00CD7933">
      <w:r w:rsidRPr="000506D8">
        <w:t>The measurement reporting delay is defined as the time between the moment the measurement report is triggered and the moment when the UE starts to transmit the measurement report over the air interface.</w:t>
      </w:r>
    </w:p>
    <w:p w14:paraId="76979576" w14:textId="77777777" w:rsidR="00CD7933" w:rsidRPr="000506D8" w:rsidRDefault="00CD7933" w:rsidP="00CD7933">
      <w:r w:rsidRPr="000506D8">
        <w:t>This measurement reporting delay excludes the delay caused by any of the following:</w:t>
      </w:r>
    </w:p>
    <w:p w14:paraId="304DD730" w14:textId="77777777" w:rsidR="00CD7933" w:rsidRPr="000506D8" w:rsidRDefault="00CD7933" w:rsidP="00CD7933">
      <w:pPr>
        <w:pStyle w:val="B10"/>
      </w:pPr>
      <w:r>
        <w:t>-</w:t>
      </w:r>
      <w:r>
        <w:tab/>
      </w:r>
      <w:r w:rsidRPr="000506D8">
        <w:t xml:space="preserve">delay caused by other LPP signalling on the DCCH. </w:t>
      </w:r>
    </w:p>
    <w:p w14:paraId="35452813" w14:textId="77777777" w:rsidR="00CD7933" w:rsidRPr="000506D8" w:rsidRDefault="00CD7933" w:rsidP="00CD7933">
      <w:pPr>
        <w:pStyle w:val="B10"/>
      </w:pPr>
      <w:r>
        <w:t>-</w:t>
      </w:r>
      <w:r>
        <w:tab/>
      </w:r>
      <w:r w:rsidRPr="000506D8">
        <w:t>delay uncertainty resulted when inserting the measurement report to the TTI of the uplink DCCH. The delay uncertainty is: 2 x TTI</w:t>
      </w:r>
      <w:r w:rsidRPr="000506D8">
        <w:rPr>
          <w:vertAlign w:val="subscript"/>
        </w:rPr>
        <w:t>DCCH</w:t>
      </w:r>
      <w:r w:rsidRPr="000506D8">
        <w:t xml:space="preserve"> where TTI</w:t>
      </w:r>
      <w:r w:rsidRPr="000506D8">
        <w:rPr>
          <w:vertAlign w:val="subscript"/>
        </w:rPr>
        <w:t>DCCH</w:t>
      </w:r>
      <w:r w:rsidRPr="000506D8">
        <w:t xml:space="preserve"> is the duration of subframe or slot or subslot when the measurement report is transmitted on the PUSCH with subframe or slot or subslot duration. </w:t>
      </w:r>
    </w:p>
    <w:p w14:paraId="391F405D" w14:textId="77777777" w:rsidR="00CD7933" w:rsidRPr="000506D8" w:rsidRDefault="00CD7933" w:rsidP="00CD7933">
      <w:pPr>
        <w:pStyle w:val="B10"/>
      </w:pPr>
      <w:r>
        <w:t>-</w:t>
      </w:r>
      <w:r>
        <w:tab/>
      </w:r>
      <w:r w:rsidRPr="000506D8">
        <w:t>delay caused due to lack of UL resources for UE to send the measurement report.</w:t>
      </w:r>
    </w:p>
    <w:p w14:paraId="7EF4F2FE" w14:textId="77777777" w:rsidR="00CD7933" w:rsidRPr="000506D8" w:rsidRDefault="00CD7933" w:rsidP="00CD7933">
      <w:pPr>
        <w:pStyle w:val="B10"/>
      </w:pPr>
      <w:r>
        <w:t>-</w:t>
      </w:r>
      <w:r>
        <w:tab/>
      </w:r>
      <w:r w:rsidRPr="000506D8">
        <w:t xml:space="preserve">delay required by SDT for reporting the measurement using SDT resouces. </w:t>
      </w:r>
    </w:p>
    <w:p w14:paraId="161AF7DB" w14:textId="77777777" w:rsidR="00CD7933" w:rsidRPr="000506D8" w:rsidRDefault="00CD7933" w:rsidP="00CD7933">
      <w:pPr>
        <w:pStyle w:val="B10"/>
      </w:pPr>
      <w:r>
        <w:t>-</w:t>
      </w:r>
      <w:r>
        <w:tab/>
      </w:r>
      <w:r w:rsidRPr="000506D8">
        <w:t>delay required for transition to RRC_CONNECTED state for report the measurement in RRC_CONNECTED.</w:t>
      </w:r>
    </w:p>
    <w:p w14:paraId="23A35085" w14:textId="77777777" w:rsidR="00CD7933" w:rsidRPr="000506D8" w:rsidRDefault="00CD7933" w:rsidP="008462AA">
      <w:r w:rsidRPr="000506D8">
        <w:t>The UE Rx-Tx time difference measurement values contained in measurement reports shall be based on the measurement report mapping requirements specified in clause 10.1.X.</w:t>
      </w:r>
    </w:p>
    <w:p w14:paraId="4B54CE7D" w14:textId="77777777" w:rsidR="00CD7933" w:rsidRPr="000506D8" w:rsidRDefault="00CD7933" w:rsidP="008462AA">
      <w:r w:rsidRPr="000506D8">
        <w:t>The UE Rx-Tx time difference measurement accuracy for all measured DL PRS resources</w:t>
      </w:r>
      <w:r w:rsidRPr="000506D8">
        <w:rPr>
          <w:i/>
          <w:iCs/>
        </w:rPr>
        <w:t xml:space="preserve"> </w:t>
      </w:r>
      <w:r w:rsidRPr="000506D8">
        <w:t>shall be fulfilled according to the accuracy requirements specified in clause 10.1.X.</w:t>
      </w:r>
    </w:p>
    <w:p w14:paraId="0F8278E4" w14:textId="77777777" w:rsidR="00CD7933" w:rsidRPr="000506D8" w:rsidRDefault="00CD7933" w:rsidP="00CD7933">
      <w:pPr>
        <w:pStyle w:val="Heading4"/>
        <w:rPr>
          <w:lang w:eastAsia="zh-CN"/>
        </w:rPr>
      </w:pPr>
      <w:r>
        <w:rPr>
          <w:lang w:eastAsia="zh-CN"/>
        </w:rPr>
        <w:t>5.6</w:t>
      </w:r>
      <w:r w:rsidRPr="000506D8">
        <w:rPr>
          <w:lang w:eastAsia="zh-CN"/>
        </w:rPr>
        <w:t>.4.5</w:t>
      </w:r>
      <w:r w:rsidRPr="000506D8">
        <w:rPr>
          <w:lang w:eastAsia="zh-CN"/>
        </w:rPr>
        <w:tab/>
        <w:t>Measurement Period Requirements</w:t>
      </w:r>
    </w:p>
    <w:p w14:paraId="1B647063" w14:textId="2C9B387F" w:rsidR="00CD7933" w:rsidRPr="000506D8" w:rsidRDefault="006426C7" w:rsidP="00CD7933">
      <w:r w:rsidRPr="000506D8">
        <w:rPr>
          <w:lang w:eastAsia="zh-CN"/>
        </w:rPr>
        <w:t xml:space="preserve">When physical layer receives last of </w:t>
      </w:r>
      <w:r w:rsidRPr="000506D8">
        <w:rPr>
          <w:i/>
        </w:rPr>
        <w:t>NR-Multi-RTT-Provide</w:t>
      </w:r>
      <w:r w:rsidRPr="000506D8">
        <w:rPr>
          <w:i/>
          <w:noProof/>
        </w:rPr>
        <w:t>AssistanceData</w:t>
      </w:r>
      <w:r w:rsidRPr="000506D8">
        <w:t xml:space="preserve"> message and </w:t>
      </w:r>
      <w:r w:rsidRPr="000506D8">
        <w:rPr>
          <w:i/>
        </w:rPr>
        <w:t>NR-Multi-RTT-Request</w:t>
      </w:r>
      <w:r w:rsidRPr="000506D8">
        <w:rPr>
          <w:i/>
          <w:noProof/>
        </w:rPr>
        <w:t>LocationInformation</w:t>
      </w:r>
      <w:r w:rsidRPr="000506D8">
        <w:rPr>
          <w:i/>
        </w:rPr>
        <w:t xml:space="preserve"> </w:t>
      </w:r>
      <w:r w:rsidRPr="000506D8">
        <w:rPr>
          <w:iCs/>
        </w:rPr>
        <w:t>message from LMF via LPP [34]</w:t>
      </w:r>
      <w:r w:rsidRPr="000506D8">
        <w:rPr>
          <w:i/>
        </w:rPr>
        <w:t xml:space="preserve">, </w:t>
      </w:r>
      <w:r w:rsidRPr="000506D8">
        <w:rPr>
          <w:iCs/>
        </w:rPr>
        <w:t xml:space="preserve">UE shall be able to measure multiple </w:t>
      </w:r>
      <w:r w:rsidRPr="000506D8">
        <w:t xml:space="preserve">(up to the UE capability specified in clause </w:t>
      </w:r>
      <w:r>
        <w:t>5.</w:t>
      </w:r>
      <w:r>
        <w:rPr>
          <w:rFonts w:hint="eastAsia"/>
          <w:lang w:eastAsia="zh-CN"/>
        </w:rPr>
        <w:t>6</w:t>
      </w:r>
      <w:r w:rsidRPr="000506D8">
        <w:t xml:space="preserve">.4.3) </w:t>
      </w:r>
      <w:r w:rsidRPr="000506D8">
        <w:rPr>
          <w:iCs/>
        </w:rPr>
        <w:t xml:space="preserve">UE Rx-Tx time difference measurements as defined </w:t>
      </w:r>
      <w:r w:rsidRPr="000506D8">
        <w:t xml:space="preserve">in TS 38.215 [4] in configured positioning frequency layers within the measurement period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UERxTx,Total</m:t>
            </m:r>
          </m:sub>
        </m:sSub>
      </m:oMath>
      <w:r w:rsidRPr="000506D8">
        <w:t xml:space="preserve"> ms.</w:t>
      </w:r>
    </w:p>
    <w:p w14:paraId="77384A39" w14:textId="77777777" w:rsidR="00CD7933" w:rsidRPr="000506D8" w:rsidRDefault="00CD7933" w:rsidP="00D039CF">
      <w:pPr>
        <w:pStyle w:val="EQ"/>
        <w:rPr>
          <w:i/>
        </w:rPr>
      </w:pPr>
      <w:r w:rsidRPr="000506D8">
        <w:tab/>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UERxTx</m:t>
            </m:r>
            <m:r>
              <m:rPr>
                <m:nor/>
              </m:rPr>
              <m:t>, Total</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UERxTx</m:t>
                </m:r>
                <m:r>
                  <m:rPr>
                    <m:nor/>
                  </m:rPr>
                  <m:t>,i</m:t>
                </m:r>
              </m:sub>
            </m:sSub>
            <m:r>
              <w:rPr>
                <w:rFonts w:ascii="Cambria Math" w:hAnsi="Cambria Math"/>
              </w:rPr>
              <m:t>+</m:t>
            </m:r>
            <m:d>
              <m:dPr>
                <m:ctrlPr>
                  <w:rPr>
                    <w:rFonts w:ascii="Cambria Math" w:hAnsi="Cambria Math"/>
                    <w:bCs/>
                    <w:i/>
                    <w:iCs/>
                  </w:rPr>
                </m:ctrlPr>
              </m:dPr>
              <m:e>
                <m:r>
                  <w:rPr>
                    <w:rFonts w:ascii="Cambria Math" w:hAnsi="Cambria Math"/>
                    <w:lang w:eastAsia="zh-CN"/>
                  </w:rPr>
                  <m:t>L-1</m:t>
                </m:r>
              </m:e>
            </m:d>
            <m:r>
              <w:rPr>
                <w:rFonts w:ascii="Cambria Math" w:hAnsi="Cambria Math"/>
                <w:lang w:eastAsia="zh-CN"/>
              </w:rPr>
              <m:t>*</m:t>
            </m:r>
            <m:func>
              <m:funcPr>
                <m:ctrlPr>
                  <w:rPr>
                    <w:rFonts w:ascii="Cambria Math" w:hAnsi="Cambria Math"/>
                    <w:bCs/>
                    <w:i/>
                    <w:iCs/>
                  </w:rPr>
                </m:ctrlPr>
              </m:funcPr>
              <m:fName>
                <m:r>
                  <m:rPr>
                    <m:sty m:val="p"/>
                  </m:rPr>
                  <w:rPr>
                    <w:rFonts w:ascii="Cambria Math" w:hAnsi="Cambria Math"/>
                    <w:lang w:eastAsia="zh-CN"/>
                  </w:rPr>
                  <m:t>max</m:t>
                </m:r>
              </m:fName>
              <m:e>
                <m:d>
                  <m:dPr>
                    <m:ctrlPr>
                      <w:rPr>
                        <w:rFonts w:ascii="Cambria Math" w:hAnsi="Cambria Math"/>
                        <w:bCs/>
                        <w:i/>
                        <w:iCs/>
                      </w:rPr>
                    </m:ctrlPr>
                  </m:dPr>
                  <m:e>
                    <m:sSub>
                      <m:sSubPr>
                        <m:ctrlPr>
                          <w:rPr>
                            <w:rFonts w:ascii="Cambria Math" w:hAnsi="Cambria Math"/>
                            <w:bCs/>
                            <w:i/>
                            <w:iCs/>
                          </w:rPr>
                        </m:ctrlPr>
                      </m:sSubPr>
                      <m:e>
                        <m:r>
                          <m:rPr>
                            <m:sty m:val="p"/>
                          </m:rPr>
                          <w:rPr>
                            <w:rFonts w:ascii="Cambria Math" w:hAnsi="Cambria Math"/>
                            <w:lang w:eastAsia="zh-CN"/>
                          </w:rPr>
                          <m:t>T</m:t>
                        </m:r>
                      </m:e>
                      <m:sub>
                        <m:r>
                          <m:rPr>
                            <m:sty m:val="p"/>
                          </m:rPr>
                          <w:rPr>
                            <w:rFonts w:ascii="Cambria Math" w:hAnsi="Cambria Math"/>
                            <w:lang w:eastAsia="zh-CN"/>
                          </w:rPr>
                          <m:t>effect,</m:t>
                        </m:r>
                        <m:r>
                          <w:rPr>
                            <w:rFonts w:ascii="Cambria Math" w:hAnsi="Cambria Math"/>
                            <w:lang w:eastAsia="zh-CN"/>
                          </w:rPr>
                          <m:t>i</m:t>
                        </m:r>
                      </m:sub>
                    </m:sSub>
                  </m:e>
                </m:d>
              </m:e>
            </m:func>
          </m:e>
        </m:nary>
      </m:oMath>
    </w:p>
    <w:p w14:paraId="458458C1" w14:textId="75B75009" w:rsidR="00CD7933" w:rsidRPr="000506D8" w:rsidRDefault="00CD7933" w:rsidP="00CD7933">
      <w:pPr>
        <w:rPr>
          <w:lang w:eastAsia="zh-CN"/>
        </w:rPr>
      </w:pPr>
      <w:r w:rsidRPr="000506D8">
        <w:rPr>
          <w:lang w:eastAsia="zh-CN"/>
        </w:rPr>
        <w:t>Where:</w:t>
      </w:r>
    </w:p>
    <w:p w14:paraId="014DBB42" w14:textId="6C9B0267" w:rsidR="00CD7933" w:rsidRPr="000506D8" w:rsidRDefault="00D039CF" w:rsidP="00D039CF">
      <w:pPr>
        <w:pStyle w:val="B10"/>
        <w:rPr>
          <w:lang w:eastAsia="zh-CN"/>
        </w:rPr>
      </w:pPr>
      <w:r>
        <w:t>-</w:t>
      </w:r>
      <w:r w:rsidRPr="006360F4">
        <w:tab/>
      </w:r>
      <m:oMath>
        <m:r>
          <w:rPr>
            <w:rFonts w:ascii="Cambria Math" w:hAnsi="Cambria Math"/>
            <w:lang w:eastAsia="zh-CN"/>
          </w:rPr>
          <m:t>i</m:t>
        </m:r>
      </m:oMath>
      <w:r w:rsidR="00CD7933" w:rsidRPr="000506D8">
        <w:rPr>
          <w:lang w:eastAsia="zh-CN"/>
        </w:rPr>
        <w:t xml:space="preserve"> is the index of positioning frequency layer,</w:t>
      </w:r>
    </w:p>
    <w:p w14:paraId="1E158FF8" w14:textId="5622BE06" w:rsidR="00CD7933" w:rsidRPr="000506D8" w:rsidRDefault="00D039CF" w:rsidP="00CD7933">
      <w:pPr>
        <w:pStyle w:val="B10"/>
        <w:rPr>
          <w:lang w:eastAsia="zh-CN"/>
        </w:rPr>
      </w:pPr>
      <w:r>
        <w:t>-</w:t>
      </w:r>
      <w:r w:rsidRPr="006360F4">
        <w:tab/>
      </w:r>
      <m:oMath>
        <m:sSub>
          <m:sSubPr>
            <m:ctrlPr>
              <w:rPr>
                <w:rFonts w:ascii="Cambria Math" w:hAnsi="Cambria Math"/>
              </w:rPr>
            </m:ctrlPr>
          </m:sSubPr>
          <m:e>
            <m:r>
              <m:rPr>
                <m:sty m:val="p"/>
              </m:rPr>
              <w:rPr>
                <w:rFonts w:ascii="Cambria Math" w:hAnsi="Cambria Math"/>
                <w:lang w:eastAsia="zh-CN"/>
              </w:rPr>
              <m:t>T</m:t>
            </m:r>
            <m:ctrlPr>
              <w:rPr>
                <w:rFonts w:ascii="Cambria Math" w:hAnsi="Cambria Math"/>
                <w:i/>
              </w:rPr>
            </m:ctrlPr>
          </m:e>
          <m:sub>
            <m:r>
              <m:rPr>
                <m:sty m:val="p"/>
              </m:rPr>
              <w:rPr>
                <w:rFonts w:ascii="Cambria Math" w:hAnsi="Cambria Math"/>
                <w:lang w:eastAsia="zh-CN"/>
              </w:rPr>
              <m:t>UERxTx</m:t>
            </m:r>
            <m:r>
              <m:rPr>
                <m:nor/>
              </m:rPr>
              <w:rPr>
                <w:lang w:eastAsia="zh-CN"/>
              </w:rPr>
              <m:t>,i</m:t>
            </m:r>
          </m:sub>
        </m:sSub>
      </m:oMath>
      <w:r w:rsidR="00CD7933" w:rsidRPr="000506D8">
        <w:rPr>
          <w:lang w:eastAsia="zh-CN"/>
        </w:rPr>
        <w:t xml:space="preserve"> is the measurement period for UE Rx-Tx time difference measurements in positioning frequency layer </w:t>
      </w:r>
      <w:r w:rsidR="00CD7933" w:rsidRPr="000506D8">
        <w:rPr>
          <w:i/>
          <w:lang w:eastAsia="zh-CN"/>
        </w:rPr>
        <w:t xml:space="preserve">i </w:t>
      </w:r>
      <w:r w:rsidR="00CD7933" w:rsidRPr="000506D8">
        <w:rPr>
          <w:lang w:eastAsia="zh-CN"/>
        </w:rPr>
        <w:t xml:space="preserve">as further defined in this clause, </w:t>
      </w:r>
    </w:p>
    <w:p w14:paraId="3C40F164" w14:textId="7BE0C0ED" w:rsidR="00CD7933" w:rsidRPr="000506D8" w:rsidRDefault="00D039CF" w:rsidP="00D039CF">
      <w:pPr>
        <w:pStyle w:val="B10"/>
        <w:rPr>
          <w:lang w:eastAsia="zh-CN"/>
        </w:rPr>
      </w:pPr>
      <w:r>
        <w:t>-</w:t>
      </w:r>
      <w:r w:rsidRPr="006360F4">
        <w:tab/>
      </w:r>
      <w:r w:rsidR="00CD7933" w:rsidRPr="000506D8">
        <w:t>L is total number of positioning frequency layers,</w:t>
      </w:r>
    </w:p>
    <w:p w14:paraId="22795592" w14:textId="4B2CEBB6" w:rsidR="00CD7933" w:rsidRPr="000506D8" w:rsidRDefault="00D039CF" w:rsidP="00D039CF">
      <w:pPr>
        <w:pStyle w:val="B10"/>
        <w:rPr>
          <w:i/>
          <w:iCs/>
        </w:rPr>
      </w:pPr>
      <w:r>
        <w:t>-</w:t>
      </w:r>
      <w:r w:rsidRPr="006360F4">
        <w:tab/>
      </w:r>
      <m:oMath>
        <m:sSub>
          <m:sSubPr>
            <m:ctrlPr>
              <w:rPr>
                <w:rFonts w:ascii="Cambria Math" w:hAnsi="Cambria Math"/>
                <w:bCs/>
                <w:i/>
                <w:iCs/>
              </w:rPr>
            </m:ctrlPr>
          </m:sSubPr>
          <m:e>
            <m:r>
              <m:rPr>
                <m:sty m:val="p"/>
              </m:rPr>
              <w:rPr>
                <w:rFonts w:ascii="Cambria Math" w:hAnsi="Cambria Math"/>
                <w:lang w:eastAsia="zh-CN"/>
              </w:rPr>
              <m:t>T</m:t>
            </m:r>
          </m:e>
          <m:sub>
            <m:r>
              <m:rPr>
                <m:sty m:val="p"/>
              </m:rPr>
              <w:rPr>
                <w:rFonts w:ascii="Cambria Math" w:hAnsi="Cambria Math"/>
                <w:lang w:eastAsia="zh-CN"/>
              </w:rPr>
              <m:t>effect,</m:t>
            </m:r>
            <m:r>
              <w:rPr>
                <w:rFonts w:ascii="Cambria Math" w:hAnsi="Cambria Math"/>
                <w:lang w:eastAsia="zh-CN"/>
              </w:rPr>
              <m:t>i</m:t>
            </m:r>
          </m:sub>
        </m:sSub>
      </m:oMath>
      <w:r w:rsidR="00CD7933" w:rsidRPr="000506D8">
        <w:rPr>
          <w:bCs/>
          <w:iCs/>
          <w:lang w:eastAsia="zh-CN"/>
        </w:rPr>
        <w:t xml:space="preserve"> </w:t>
      </w:r>
      <w:r w:rsidR="00CD7933" w:rsidRPr="000506D8">
        <w:t xml:space="preserve">is the periodicity of the UE Rx-Tx time difference measurement in </w:t>
      </w:r>
      <w:r w:rsidR="00CD7933" w:rsidRPr="000506D8">
        <w:rPr>
          <w:lang w:eastAsia="zh-CN"/>
        </w:rPr>
        <w:t xml:space="preserve">positioning frequency layer </w:t>
      </w:r>
      <w:r w:rsidR="00CD7933" w:rsidRPr="000506D8">
        <w:rPr>
          <w:i/>
          <w:lang w:eastAsia="zh-CN"/>
        </w:rPr>
        <w:t>i</w:t>
      </w:r>
      <w:r w:rsidR="00CD7933" w:rsidRPr="000506D8">
        <w:rPr>
          <w:lang w:eastAsia="zh-CN"/>
        </w:rPr>
        <w:t xml:space="preserve"> as defined further in this clause.</w:t>
      </w:r>
    </w:p>
    <w:p w14:paraId="75197D92" w14:textId="77777777" w:rsidR="00803F9D" w:rsidRPr="000506D8" w:rsidRDefault="00000000" w:rsidP="00803F9D">
      <w:pPr>
        <w:keepLines/>
        <w:tabs>
          <w:tab w:val="center" w:pos="4536"/>
          <w:tab w:val="right" w:pos="9072"/>
        </w:tabs>
        <w:spacing w:before="180"/>
        <w:rPr>
          <w:noProof/>
          <w:lang w:eastAsia="zh-CN"/>
        </w:rPr>
      </w:pPr>
      <m:oMathPara>
        <m:oMathParaPr>
          <m:jc m:val="center"/>
        </m:oMathParaPr>
        <m:oMath>
          <m:sSub>
            <m:sSubPr>
              <m:ctrlPr>
                <w:rPr>
                  <w:rFonts w:ascii="Cambria Math" w:hAnsi="Cambria Math"/>
                  <w:noProof/>
                </w:rPr>
              </m:ctrlPr>
            </m:sSubPr>
            <m:e>
              <m:r>
                <m:rPr>
                  <m:sty m:val="p"/>
                </m:rPr>
                <w:rPr>
                  <w:rFonts w:ascii="Cambria Math" w:hAnsi="Cambria Math"/>
                  <w:noProof/>
                  <w:lang w:eastAsia="zh-CN"/>
                </w:rPr>
                <m:t>T</m:t>
              </m:r>
            </m:e>
            <m:sub>
              <m:r>
                <m:rPr>
                  <m:sty m:val="p"/>
                </m:rPr>
                <w:rPr>
                  <w:rFonts w:ascii="Cambria Math" w:hAnsi="Cambria Math"/>
                  <w:noProof/>
                  <w:lang w:eastAsia="zh-CN"/>
                </w:rPr>
                <m:t>UERxTx,i</m:t>
              </m:r>
            </m:sub>
          </m:sSub>
          <m:r>
            <m:rPr>
              <m:sty m:val="p"/>
            </m:rPr>
            <w:rPr>
              <w:rFonts w:ascii="Cambria Math" w:hAnsi="Cambria Math"/>
              <w:noProof/>
              <w:lang w:eastAsia="zh-CN"/>
            </w:rPr>
            <m:t>=</m:t>
          </m:r>
          <m:sSub>
            <m:sSubPr>
              <m:ctrlPr>
                <w:rPr>
                  <w:rFonts w:ascii="Cambria Math" w:hAnsi="Cambria Math"/>
                  <w:noProof/>
                </w:rPr>
              </m:ctrlPr>
            </m:sSubPr>
            <m:e>
              <m:d>
                <m:dPr>
                  <m:ctrlPr>
                    <w:rPr>
                      <w:rFonts w:ascii="Cambria Math" w:hAnsi="Cambria Math"/>
                      <w:noProof/>
                    </w:rPr>
                  </m:ctrlPr>
                </m:dPr>
                <m:e>
                  <m:sSub>
                    <m:sSubPr>
                      <m:ctrlPr>
                        <w:rPr>
                          <w:rFonts w:ascii="Cambria Math" w:hAnsi="Cambria Math"/>
                          <w:bCs/>
                          <w:noProof/>
                        </w:rPr>
                      </m:ctrlPr>
                    </m:sSubPr>
                    <m:e>
                      <m:sSub>
                        <m:sSubPr>
                          <m:ctrlPr>
                            <w:rPr>
                              <w:rFonts w:ascii="Cambria Math" w:hAnsi="Cambria Math"/>
                              <w:noProof/>
                            </w:rPr>
                          </m:ctrlPr>
                        </m:sSubPr>
                        <m:e>
                          <m:r>
                            <m:rPr>
                              <m:sty m:val="p"/>
                            </m:rPr>
                            <w:rPr>
                              <w:rFonts w:ascii="Cambria Math" w:hAnsi="Cambria Math"/>
                              <w:noProof/>
                              <w:lang w:eastAsia="zh-CN"/>
                            </w:rPr>
                            <m:t>K</m:t>
                          </m:r>
                        </m:e>
                        <m:sub>
                          <m:r>
                            <m:rPr>
                              <m:sty m:val="p"/>
                            </m:rPr>
                            <w:rPr>
                              <w:rFonts w:ascii="Cambria Math" w:hAnsi="Cambria Math"/>
                              <w:noProof/>
                              <w:lang w:eastAsia="zh-CN"/>
                            </w:rPr>
                            <m:t>carrier_PRS</m:t>
                          </m:r>
                        </m:sub>
                      </m:sSub>
                      <m:r>
                        <m:rPr>
                          <m:sty m:val="p"/>
                        </m:rPr>
                        <w:rPr>
                          <w:rFonts w:ascii="Cambria Math" w:hAnsi="Cambria Math"/>
                          <w:noProof/>
                        </w:rPr>
                        <m:t>*</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RxTx,TEG,i</m:t>
                          </m:r>
                        </m:sub>
                      </m:sSub>
                      <m:r>
                        <m:rPr>
                          <m:sty m:val="p"/>
                        </m:rPr>
                        <w:rPr>
                          <w:rFonts w:ascii="Cambria Math" w:hAnsi="Cambria Math"/>
                          <w:noProof/>
                        </w:rPr>
                        <m:t>*</m:t>
                      </m:r>
                      <m:r>
                        <w:rPr>
                          <w:rFonts w:ascii="Cambria Math" w:hAnsi="Cambria Math"/>
                          <w:noProof/>
                        </w:rPr>
                        <m:t>N</m:t>
                      </m:r>
                    </m:e>
                    <m:sub>
                      <m:r>
                        <w:rPr>
                          <w:rFonts w:ascii="Cambria Math" w:hAnsi="Cambria Math"/>
                          <w:noProof/>
                        </w:rPr>
                        <m:t>RxBeam</m:t>
                      </m:r>
                      <m:r>
                        <m:rPr>
                          <m:sty m:val="p"/>
                        </m:rPr>
                        <w:rPr>
                          <w:rFonts w:ascii="Cambria Math" w:hAnsi="Cambria Math"/>
                          <w:noProof/>
                        </w:rPr>
                        <m:t>,</m:t>
                      </m:r>
                      <m:r>
                        <w:rPr>
                          <w:rFonts w:ascii="Cambria Math" w:hAnsi="Cambria Math"/>
                          <w:noProof/>
                        </w:rPr>
                        <m:t>i</m:t>
                      </m:r>
                    </m:sub>
                  </m:sSub>
                  <m:r>
                    <m:rPr>
                      <m:sty m:val="p"/>
                    </m:rPr>
                    <w:rPr>
                      <w:rFonts w:ascii="Cambria Math" w:hAnsi="Cambria Math"/>
                      <w:noProof/>
                    </w:rPr>
                    <m:t>*</m:t>
                  </m:r>
                  <m:d>
                    <m:dPr>
                      <m:begChr m:val="⌈"/>
                      <m:endChr m:val="⌉"/>
                      <m:ctrlPr>
                        <w:rPr>
                          <w:rFonts w:ascii="Cambria Math" w:hAnsi="Cambria Math"/>
                          <w:noProof/>
                        </w:rPr>
                      </m:ctrlPr>
                    </m:dPr>
                    <m:e>
                      <m:f>
                        <m:fPr>
                          <m:ctrlPr>
                            <w:rPr>
                              <w:rFonts w:ascii="Cambria Math" w:hAnsi="Cambria Math"/>
                              <w:noProof/>
                            </w:rPr>
                          </m:ctrlPr>
                        </m:fPr>
                        <m:num>
                          <m:sSubSup>
                            <m:sSubSupPr>
                              <m:ctrlPr>
                                <w:rPr>
                                  <w:rFonts w:ascii="Cambria Math" w:hAnsi="Cambria Math"/>
                                  <w:noProof/>
                                </w:rPr>
                              </m:ctrlPr>
                            </m:sSubSupPr>
                            <m:e>
                              <m:r>
                                <w:rPr>
                                  <w:rFonts w:ascii="Cambria Math" w:hAnsi="Cambria Math"/>
                                  <w:noProof/>
                                </w:rPr>
                                <m:t>N</m:t>
                              </m:r>
                            </m:e>
                            <m:sub>
                              <m:r>
                                <w:rPr>
                                  <w:rFonts w:ascii="Cambria Math" w:hAnsi="Cambria Math"/>
                                  <w:noProof/>
                                </w:rPr>
                                <m:t>PRS</m:t>
                              </m:r>
                              <m:r>
                                <m:rPr>
                                  <m:nor/>
                                </m:rPr>
                                <w:rPr>
                                  <w:noProof/>
                                </w:rPr>
                                <m:t>,i</m:t>
                              </m:r>
                            </m:sub>
                            <m:sup>
                              <m:r>
                                <w:rPr>
                                  <w:rFonts w:ascii="Cambria Math" w:hAnsi="Cambria Math"/>
                                  <w:noProof/>
                                </w:rPr>
                                <m:t>slot</m:t>
                              </m:r>
                            </m:sup>
                          </m:sSubSup>
                        </m:num>
                        <m:den>
                          <m:sSup>
                            <m:sSupPr>
                              <m:ctrlPr>
                                <w:rPr>
                                  <w:rFonts w:ascii="Cambria Math" w:hAnsi="Cambria Math"/>
                                  <w:noProof/>
                                </w:rPr>
                              </m:ctrlPr>
                            </m:sSupPr>
                            <m:e>
                              <m:r>
                                <w:rPr>
                                  <w:rFonts w:ascii="Cambria Math" w:hAnsi="Cambria Math"/>
                                  <w:noProof/>
                                </w:rPr>
                                <m:t>N</m:t>
                              </m:r>
                            </m:e>
                            <m:sup>
                              <m:r>
                                <m:rPr>
                                  <m:sty m:val="p"/>
                                </m:rPr>
                                <w:rPr>
                                  <w:rFonts w:ascii="Cambria Math" w:hAnsi="Cambria Math" w:hint="eastAsia"/>
                                  <w:noProof/>
                                </w:rPr>
                                <m:t>'</m:t>
                              </m:r>
                            </m:sup>
                          </m:sSup>
                        </m:den>
                      </m:f>
                    </m:e>
                  </m:d>
                  <m:d>
                    <m:dPr>
                      <m:begChr m:val="⌈"/>
                      <m:endChr m:val="⌉"/>
                      <m:ctrlPr>
                        <w:rPr>
                          <w:rFonts w:ascii="Cambria Math" w:hAnsi="Cambria Math"/>
                          <w:noProof/>
                        </w:rPr>
                      </m:ctrlPr>
                    </m:dPr>
                    <m:e>
                      <m:f>
                        <m:fPr>
                          <m:ctrlPr>
                            <w:rPr>
                              <w:rFonts w:ascii="Cambria Math" w:hAnsi="Cambria Math"/>
                              <w:noProof/>
                            </w:rPr>
                          </m:ctrlPr>
                        </m:fPr>
                        <m:num>
                          <m:sSub>
                            <m:sSubPr>
                              <m:ctrlPr>
                                <w:rPr>
                                  <w:rFonts w:ascii="Cambria Math" w:hAnsi="Cambria Math"/>
                                  <w:noProof/>
                                </w:rPr>
                              </m:ctrlPr>
                            </m:sSubPr>
                            <m:e>
                              <m:r>
                                <w:rPr>
                                  <w:rFonts w:ascii="Cambria Math" w:hAnsi="Cambria Math"/>
                                  <w:noProof/>
                                </w:rPr>
                                <m:t>L</m:t>
                              </m:r>
                            </m:e>
                            <m:sub>
                              <m:r>
                                <w:rPr>
                                  <w:rFonts w:ascii="Cambria Math" w:hAnsi="Cambria Math"/>
                                  <w:noProof/>
                                </w:rPr>
                                <m:t>available_PRS</m:t>
                              </m:r>
                              <m:r>
                                <m:rPr>
                                  <m:nor/>
                                </m:rPr>
                                <w:rPr>
                                  <w:noProof/>
                                </w:rPr>
                                <m:t>,i</m:t>
                              </m:r>
                            </m:sub>
                          </m:sSub>
                        </m:num>
                        <m:den>
                          <m:r>
                            <w:rPr>
                              <w:rFonts w:ascii="Cambria Math" w:hAnsi="Cambria Math"/>
                              <w:noProof/>
                            </w:rPr>
                            <m:t>N</m:t>
                          </m:r>
                        </m:den>
                      </m:f>
                    </m:e>
                  </m:d>
                  <m:r>
                    <m:rPr>
                      <m:sty m:val="p"/>
                    </m:rPr>
                    <w:rPr>
                      <w:rFonts w:ascii="Cambria Math" w:hAnsi="Cambria Math"/>
                      <w:noProof/>
                      <w:lang w:eastAsia="zh-CN"/>
                    </w:rPr>
                    <m:t>*</m:t>
                  </m:r>
                  <m:sSub>
                    <m:sSubPr>
                      <m:ctrlPr>
                        <w:rPr>
                          <w:rFonts w:ascii="Cambria Math" w:hAnsi="Cambria Math"/>
                          <w:noProof/>
                        </w:rPr>
                      </m:ctrlPr>
                    </m:sSubPr>
                    <m:e>
                      <m:r>
                        <w:rPr>
                          <w:rFonts w:ascii="Cambria Math" w:hAnsi="Cambria Math"/>
                          <w:noProof/>
                        </w:rPr>
                        <m:t>N</m:t>
                      </m:r>
                    </m:e>
                    <m:sub>
                      <m:r>
                        <w:rPr>
                          <w:rFonts w:ascii="Cambria Math" w:hAnsi="Cambria Math"/>
                          <w:noProof/>
                        </w:rPr>
                        <m:t>sample</m:t>
                      </m:r>
                    </m:sub>
                  </m:sSub>
                  <m:r>
                    <m:rPr>
                      <m:sty m:val="p"/>
                    </m:rPr>
                    <w:rPr>
                      <w:rFonts w:ascii="Cambria Math" w:hAnsi="Cambria Math"/>
                      <w:noProof/>
                    </w:rPr>
                    <m:t>-1</m:t>
                  </m:r>
                </m:e>
              </m:d>
              <m:r>
                <m:rPr>
                  <m:sty m:val="p"/>
                </m:rPr>
                <w:rPr>
                  <w:rFonts w:ascii="Cambria Math" w:hAnsi="Cambria Math"/>
                  <w:noProof/>
                  <w:lang w:eastAsia="zh-CN"/>
                </w:rPr>
                <m:t>*T</m:t>
              </m:r>
            </m:e>
            <m:sub>
              <m:r>
                <m:rPr>
                  <m:sty m:val="p"/>
                </m:rPr>
                <w:rPr>
                  <w:rFonts w:ascii="Cambria Math" w:hAnsi="Cambria Math"/>
                  <w:noProof/>
                  <w:lang w:eastAsia="zh-CN"/>
                </w:rPr>
                <m:t>effect,i</m:t>
              </m:r>
            </m:sub>
          </m:sSub>
          <m:r>
            <m:rPr>
              <m:sty m:val="p"/>
            </m:rPr>
            <w:rPr>
              <w:rFonts w:ascii="Cambria Math" w:hAnsi="Cambria Math"/>
              <w:noProof/>
              <w:lang w:eastAsia="zh-CN"/>
            </w:rPr>
            <m:t>+</m:t>
          </m:r>
          <m:sSub>
            <m:sSubPr>
              <m:ctrlPr>
                <w:rPr>
                  <w:rFonts w:ascii="Cambria Math" w:hAnsi="Cambria Math"/>
                  <w:noProof/>
                </w:rPr>
              </m:ctrlPr>
            </m:sSubPr>
            <m:e>
              <m:r>
                <m:rPr>
                  <m:nor/>
                </m:rPr>
                <w:rPr>
                  <w:noProof/>
                </w:rPr>
                <m:t>T</m:t>
              </m:r>
            </m:e>
            <m:sub>
              <m:r>
                <m:rPr>
                  <m:nor/>
                </m:rPr>
                <w:rPr>
                  <w:noProof/>
                </w:rPr>
                <m:t>last</m:t>
              </m:r>
              <m:r>
                <m:rPr>
                  <m:sty m:val="p"/>
                </m:rPr>
                <w:rPr>
                  <w:rFonts w:ascii="Cambria Math"/>
                  <w:noProof/>
                </w:rPr>
                <m:t>,i</m:t>
              </m:r>
            </m:sub>
          </m:sSub>
        </m:oMath>
      </m:oMathPara>
    </w:p>
    <w:p w14:paraId="2A81A58C" w14:textId="77777777" w:rsidR="00CD7933" w:rsidRPr="000506D8" w:rsidRDefault="00CD7933" w:rsidP="00CD7933">
      <w:pPr>
        <w:spacing w:after="0"/>
      </w:pPr>
      <w:r w:rsidRPr="000506D8">
        <w:t>Where:</w:t>
      </w:r>
    </w:p>
    <w:p w14:paraId="0F31459B" w14:textId="4E3203CF" w:rsidR="006426C7" w:rsidRPr="000506D8" w:rsidRDefault="006426C7" w:rsidP="006426C7">
      <w:pPr>
        <w:pStyle w:val="B10"/>
        <w:rPr>
          <w:lang w:eastAsia="zh-CN"/>
        </w:rPr>
      </w:pPr>
      <w:r>
        <w:t>-</w:t>
      </w:r>
      <w:r w:rsidRPr="006360F4">
        <w:tab/>
      </w:r>
      <m:oMath>
        <m:sSub>
          <m:sSubPr>
            <m:ctrlPr>
              <w:rPr>
                <w:rFonts w:ascii="Cambria Math" w:hAnsi="Cambria Math"/>
                <w:i/>
              </w:rPr>
            </m:ctrlPr>
          </m:sSubPr>
          <m:e>
            <m:r>
              <m:rPr>
                <m:sty m:val="p"/>
              </m:rPr>
              <w:rPr>
                <w:rFonts w:ascii="Cambria Math" w:hAnsi="Cambria Math"/>
                <w:lang w:eastAsia="zh-CN"/>
              </w:rPr>
              <m:t>K</m:t>
            </m:r>
            <m:ctrlPr>
              <w:rPr>
                <w:rFonts w:ascii="Cambria Math" w:hAnsi="Cambria Math"/>
              </w:rPr>
            </m:ctrlPr>
          </m:e>
          <m:sub>
            <m:sSub>
              <m:sSubPr>
                <m:ctrlPr>
                  <w:rPr>
                    <w:rFonts w:ascii="Cambria Math" w:hAnsi="Cambria Math"/>
                    <w:lang w:eastAsia="zh-CN"/>
                  </w:rPr>
                </m:ctrlPr>
              </m:sSubPr>
              <m:e>
                <m:r>
                  <m:rPr>
                    <m:sty m:val="p"/>
                  </m:rPr>
                  <w:rPr>
                    <w:rFonts w:ascii="Cambria Math" w:hAnsi="Cambria Math"/>
                    <w:lang w:eastAsia="zh-CN"/>
                  </w:rPr>
                  <m:t>carrier</m:t>
                </m:r>
              </m:e>
              <m:sub>
                <m:r>
                  <m:rPr>
                    <m:sty m:val="p"/>
                  </m:rPr>
                  <w:rPr>
                    <w:rFonts w:ascii="Cambria Math" w:hAnsi="Cambria Math"/>
                    <w:lang w:eastAsia="zh-CN"/>
                  </w:rPr>
                  <m:t>PRS</m:t>
                </m:r>
              </m:sub>
            </m:sSub>
          </m:sub>
        </m:sSub>
      </m:oMath>
      <w:r w:rsidRPr="000506D8">
        <w:rPr>
          <w:lang w:eastAsia="zh-CN"/>
        </w:rPr>
        <w:t xml:space="preserve"> =1 </w:t>
      </w:r>
      <w:r w:rsidRPr="000506D8">
        <w:t xml:space="preserve">if the UE is capable of </w:t>
      </w:r>
      <w:r w:rsidRPr="006E4D96">
        <w:rPr>
          <w:i/>
        </w:rPr>
        <w:t>parallelPRS-MeasRRC-Inactive-r17</w:t>
      </w:r>
      <w:r w:rsidRPr="000506D8">
        <w:t xml:space="preserve"> defined in [34].</w:t>
      </w:r>
    </w:p>
    <w:p w14:paraId="70480560" w14:textId="692B31B0" w:rsidR="006426C7" w:rsidRPr="000506D8" w:rsidRDefault="006426C7" w:rsidP="006426C7">
      <w:pPr>
        <w:pStyle w:val="B10"/>
        <w:rPr>
          <w:lang w:eastAsia="zh-CN"/>
        </w:rPr>
      </w:pPr>
      <w:r>
        <w:t>-</w:t>
      </w:r>
      <w:r w:rsidRPr="006360F4">
        <w:tab/>
      </w:r>
      <m:oMath>
        <m:sSub>
          <m:sSubPr>
            <m:ctrlPr>
              <w:rPr>
                <w:rFonts w:ascii="Cambria Math" w:hAnsi="Cambria Math"/>
                <w:i/>
              </w:rPr>
            </m:ctrlPr>
          </m:sSubPr>
          <m:e>
            <m:r>
              <m:rPr>
                <m:sty m:val="p"/>
              </m:rPr>
              <w:rPr>
                <w:rFonts w:ascii="Cambria Math" w:hAnsi="Cambria Math"/>
                <w:lang w:eastAsia="zh-CN"/>
              </w:rPr>
              <m:t>K</m:t>
            </m:r>
            <m:ctrlPr>
              <w:rPr>
                <w:rFonts w:ascii="Cambria Math" w:hAnsi="Cambria Math"/>
              </w:rPr>
            </m:ctrlPr>
          </m:e>
          <m:sub>
            <m:r>
              <m:rPr>
                <m:sty m:val="p"/>
              </m:rPr>
              <w:rPr>
                <w:rFonts w:ascii="Cambria Math" w:hAnsi="Cambria Math"/>
                <w:lang w:eastAsia="zh-CN"/>
              </w:rPr>
              <m:t>carrier_PRS</m:t>
            </m:r>
          </m:sub>
        </m:sSub>
        <m:r>
          <w:rPr>
            <w:rFonts w:ascii="Cambria Math" w:hAnsi="Cambria Math"/>
          </w:rPr>
          <m:t>=</m:t>
        </m:r>
        <m:sSub>
          <m:sSubPr>
            <m:ctrlPr>
              <w:rPr>
                <w:rFonts w:ascii="Cambria Math" w:hAnsi="Cambria Math"/>
                <w:i/>
              </w:rPr>
            </m:ctrlPr>
          </m:sSubPr>
          <m:e>
            <m:r>
              <m:rPr>
                <m:sty m:val="p"/>
              </m:rPr>
              <w:rPr>
                <w:rFonts w:ascii="Cambria Math" w:hAnsi="Cambria Math"/>
                <w:lang w:eastAsia="zh-CN"/>
              </w:rPr>
              <m:t>N</m:t>
            </m:r>
            <m:ctrlPr>
              <w:rPr>
                <w:rFonts w:ascii="Cambria Math" w:hAnsi="Cambria Math"/>
              </w:rPr>
            </m:ctrlPr>
          </m:e>
          <m:sub>
            <m:r>
              <m:rPr>
                <m:sty m:val="p"/>
              </m:rPr>
              <w:rPr>
                <w:rFonts w:ascii="Cambria Math" w:hAnsi="Cambria Math"/>
                <w:lang w:eastAsia="zh-CN"/>
              </w:rPr>
              <m:t>layer</m:t>
            </m:r>
          </m:sub>
        </m:sSub>
        <m:r>
          <w:rPr>
            <w:rFonts w:ascii="Cambria Math" w:hAnsi="Cambria Math"/>
          </w:rPr>
          <m:t>+</m:t>
        </m:r>
        <m:r>
          <w:rPr>
            <w:rFonts w:ascii="Cambria Math" w:hAnsi="Cambria Math"/>
            <w:lang w:eastAsia="zh-CN"/>
          </w:rPr>
          <m:t>1</m:t>
        </m:r>
      </m:oMath>
      <w:r w:rsidRPr="000506D8">
        <w:rPr>
          <w:lang w:eastAsia="zh-CN"/>
        </w:rPr>
        <w:t xml:space="preserve"> </w:t>
      </w:r>
      <w:r w:rsidRPr="000506D8">
        <w:t xml:space="preserve">if the UE is not capable of </w:t>
      </w:r>
      <w:r w:rsidRPr="006E4D96">
        <w:rPr>
          <w:i/>
        </w:rPr>
        <w:t>parallelPRS-MeasRRC-Inactive-r17</w:t>
      </w:r>
      <w:r w:rsidRPr="000506D8">
        <w:t xml:space="preserve"> defined in [34] and </w:t>
      </w:r>
      <w:r w:rsidRPr="000506D8">
        <w:rPr>
          <w:iCs/>
        </w:rPr>
        <w:t>if Srxlev &gt; S</w:t>
      </w:r>
      <w:r w:rsidRPr="000506D8">
        <w:rPr>
          <w:iCs/>
          <w:vertAlign w:val="subscript"/>
        </w:rPr>
        <w:t>nonIntraSearchP</w:t>
      </w:r>
      <w:r w:rsidRPr="000506D8">
        <w:rPr>
          <w:iCs/>
        </w:rPr>
        <w:t xml:space="preserve"> and Squal &gt; S</w:t>
      </w:r>
      <w:r w:rsidRPr="000506D8">
        <w:rPr>
          <w:iCs/>
          <w:vertAlign w:val="subscript"/>
        </w:rPr>
        <w:t>nonIntraSearchQ</w:t>
      </w:r>
      <w:r w:rsidRPr="000506D8">
        <w:t xml:space="preserve">; where </w:t>
      </w:r>
      <m:oMath>
        <m:sSub>
          <m:sSubPr>
            <m:ctrlPr>
              <w:rPr>
                <w:rFonts w:ascii="Cambria Math" w:hAnsi="Cambria Math"/>
                <w:i/>
              </w:rPr>
            </m:ctrlPr>
          </m:sSubPr>
          <m:e>
            <m:r>
              <m:rPr>
                <m:sty m:val="p"/>
              </m:rPr>
              <w:rPr>
                <w:rFonts w:ascii="Cambria Math" w:hAnsi="Cambria Math"/>
                <w:lang w:eastAsia="zh-CN"/>
              </w:rPr>
              <m:t>N</m:t>
            </m:r>
            <m:ctrlPr>
              <w:rPr>
                <w:rFonts w:ascii="Cambria Math" w:hAnsi="Cambria Math"/>
              </w:rPr>
            </m:ctrlPr>
          </m:e>
          <m:sub>
            <m:r>
              <m:rPr>
                <m:sty m:val="p"/>
              </m:rPr>
              <w:rPr>
                <w:rFonts w:ascii="Cambria Math" w:hAnsi="Cambria Math"/>
                <w:lang w:eastAsia="zh-CN"/>
              </w:rPr>
              <m:t>layer</m:t>
            </m:r>
          </m:sub>
        </m:sSub>
      </m:oMath>
      <w:r w:rsidRPr="000506D8">
        <w:t>is defined in clause 4.2.2.7.</w:t>
      </w:r>
    </w:p>
    <w:p w14:paraId="16032B50" w14:textId="59D33361" w:rsidR="006426C7" w:rsidRPr="000506D8" w:rsidRDefault="006426C7" w:rsidP="006426C7">
      <w:pPr>
        <w:pStyle w:val="B10"/>
        <w:rPr>
          <w:lang w:eastAsia="zh-CN"/>
        </w:rPr>
      </w:pPr>
      <w:r>
        <w:t>-</w:t>
      </w:r>
      <w:r w:rsidRPr="006360F4">
        <w:tab/>
      </w:r>
      <m:oMath>
        <m:sSub>
          <m:sSubPr>
            <m:ctrlPr>
              <w:rPr>
                <w:rFonts w:ascii="Cambria Math" w:hAnsi="Cambria Math"/>
                <w:i/>
              </w:rPr>
            </m:ctrlPr>
          </m:sSubPr>
          <m:e>
            <m:r>
              <m:rPr>
                <m:sty m:val="p"/>
              </m:rPr>
              <w:rPr>
                <w:rFonts w:ascii="Cambria Math" w:hAnsi="Cambria Math"/>
                <w:lang w:eastAsia="zh-CN"/>
              </w:rPr>
              <m:t>K</m:t>
            </m:r>
            <m:ctrlPr>
              <w:rPr>
                <w:rFonts w:ascii="Cambria Math" w:hAnsi="Cambria Math"/>
              </w:rPr>
            </m:ctrlPr>
          </m:e>
          <m:sub>
            <m:r>
              <m:rPr>
                <m:sty m:val="p"/>
              </m:rPr>
              <w:rPr>
                <w:rFonts w:ascii="Cambria Math" w:hAnsi="Cambria Math"/>
                <w:lang w:eastAsia="zh-CN"/>
              </w:rPr>
              <m:t>carrier_PRS</m:t>
            </m:r>
          </m:sub>
        </m:sSub>
        <m:r>
          <w:rPr>
            <w:rFonts w:ascii="Cambria Math" w:hAnsi="Cambria Math"/>
          </w:rPr>
          <m:t>=</m:t>
        </m:r>
        <m:sSub>
          <m:sSubPr>
            <m:ctrlPr>
              <w:rPr>
                <w:rFonts w:ascii="Cambria Math" w:hAnsi="Cambria Math"/>
                <w:i/>
              </w:rPr>
            </m:ctrlPr>
          </m:sSubPr>
          <m:e>
            <m:r>
              <m:rPr>
                <m:sty m:val="p"/>
              </m:rPr>
              <w:rPr>
                <w:rFonts w:ascii="Cambria Math" w:hAnsi="Cambria Math"/>
                <w:lang w:eastAsia="zh-CN"/>
              </w:rPr>
              <m:t>K</m:t>
            </m:r>
            <m:ctrlPr>
              <w:rPr>
                <w:rFonts w:ascii="Cambria Math" w:hAnsi="Cambria Math"/>
              </w:rPr>
            </m:ctrlPr>
          </m:e>
          <m:sub>
            <m:r>
              <m:rPr>
                <m:sty m:val="p"/>
              </m:rPr>
              <w:rPr>
                <w:rFonts w:ascii="Cambria Math" w:hAnsi="Cambria Math"/>
                <w:lang w:eastAsia="zh-CN"/>
              </w:rPr>
              <m:t>carrier</m:t>
            </m:r>
          </m:sub>
        </m:sSub>
        <m:r>
          <w:rPr>
            <w:rFonts w:ascii="Cambria Math" w:hAnsi="Cambria Math"/>
          </w:rPr>
          <m:t>+</m:t>
        </m:r>
        <m:r>
          <w:rPr>
            <w:rFonts w:ascii="Cambria Math" w:hAnsi="Cambria Math"/>
            <w:lang w:eastAsia="zh-CN"/>
          </w:rPr>
          <m:t>1</m:t>
        </m:r>
      </m:oMath>
      <w:r w:rsidRPr="000506D8">
        <w:rPr>
          <w:lang w:eastAsia="zh-CN"/>
        </w:rPr>
        <w:t xml:space="preserve"> </w:t>
      </w:r>
      <w:r w:rsidRPr="000506D8">
        <w:t xml:space="preserve">if the UE is not capable of </w:t>
      </w:r>
      <w:r w:rsidRPr="006E4D96">
        <w:rPr>
          <w:i/>
        </w:rPr>
        <w:t>parallelPRS-MeasRRC-Inactive-r17</w:t>
      </w:r>
      <w:r w:rsidRPr="000506D8">
        <w:t xml:space="preserve"> defined in [34] and </w:t>
      </w:r>
      <w:r w:rsidRPr="000506D8">
        <w:rPr>
          <w:iCs/>
        </w:rPr>
        <w:t xml:space="preserve">if Srxlev </w:t>
      </w:r>
      <w:r w:rsidRPr="000506D8">
        <w:rPr>
          <w:rFonts w:hint="eastAsia"/>
          <w:iCs/>
        </w:rPr>
        <w:t>≤</w:t>
      </w:r>
      <w:r w:rsidRPr="000506D8">
        <w:rPr>
          <w:iCs/>
        </w:rPr>
        <w:t xml:space="preserve"> S</w:t>
      </w:r>
      <w:r w:rsidRPr="000506D8">
        <w:rPr>
          <w:iCs/>
          <w:vertAlign w:val="subscript"/>
        </w:rPr>
        <w:t>nonIntraSearchP</w:t>
      </w:r>
      <w:r w:rsidRPr="000506D8">
        <w:rPr>
          <w:iCs/>
        </w:rPr>
        <w:t xml:space="preserve"> or Squal </w:t>
      </w:r>
      <w:r w:rsidRPr="000506D8">
        <w:rPr>
          <w:rFonts w:hint="eastAsia"/>
          <w:iCs/>
        </w:rPr>
        <w:t>≤</w:t>
      </w:r>
      <w:r w:rsidRPr="000506D8">
        <w:rPr>
          <w:iCs/>
        </w:rPr>
        <w:t xml:space="preserve"> S</w:t>
      </w:r>
      <w:r w:rsidRPr="000506D8">
        <w:rPr>
          <w:iCs/>
          <w:vertAlign w:val="subscript"/>
        </w:rPr>
        <w:t>nonIntraSearchQ</w:t>
      </w:r>
      <w:r w:rsidRPr="000506D8">
        <w:t xml:space="preserve">; where </w:t>
      </w:r>
      <m:oMath>
        <m:sSub>
          <m:sSubPr>
            <m:ctrlPr>
              <w:rPr>
                <w:rFonts w:ascii="Cambria Math" w:hAnsi="Cambria Math"/>
                <w:i/>
              </w:rPr>
            </m:ctrlPr>
          </m:sSubPr>
          <m:e>
            <m:r>
              <m:rPr>
                <m:sty m:val="p"/>
              </m:rPr>
              <w:rPr>
                <w:rFonts w:ascii="Cambria Math" w:hAnsi="Cambria Math"/>
                <w:lang w:eastAsia="zh-CN"/>
              </w:rPr>
              <m:t>K</m:t>
            </m:r>
            <m:ctrlPr>
              <w:rPr>
                <w:rFonts w:ascii="Cambria Math" w:hAnsi="Cambria Math"/>
              </w:rPr>
            </m:ctrlPr>
          </m:e>
          <m:sub>
            <m:r>
              <m:rPr>
                <m:sty m:val="p"/>
              </m:rPr>
              <w:rPr>
                <w:rFonts w:ascii="Cambria Math" w:hAnsi="Cambria Math"/>
                <w:lang w:eastAsia="zh-CN"/>
              </w:rPr>
              <m:t>carrier</m:t>
            </m:r>
          </m:sub>
        </m:sSub>
      </m:oMath>
      <w:r w:rsidRPr="000506D8">
        <w:t>is defined in clause 4.2.2.</w:t>
      </w:r>
      <w:r>
        <w:rPr>
          <w:rFonts w:hint="eastAsia"/>
          <w:lang w:eastAsia="zh-CN"/>
        </w:rPr>
        <w:t>4</w:t>
      </w:r>
      <w:r w:rsidRPr="000506D8">
        <w:t>.</w:t>
      </w:r>
    </w:p>
    <w:p w14:paraId="12A16439" w14:textId="77777777" w:rsidR="006426C7" w:rsidRPr="000506D8" w:rsidRDefault="006426C7" w:rsidP="006426C7">
      <w:pPr>
        <w:pStyle w:val="B10"/>
        <w:rPr>
          <w:lang w:eastAsia="zh-CN"/>
        </w:rPr>
      </w:pPr>
      <w:r>
        <w:t>-</w:t>
      </w:r>
      <w:r w:rsidRPr="006360F4">
        <w:tab/>
      </w:r>
      <m:oMath>
        <m:sSub>
          <m:sSubPr>
            <m:ctrlPr>
              <w:rPr>
                <w:rFonts w:ascii="Cambria Math" w:hAnsi="Cambria Math"/>
                <w:i/>
              </w:rPr>
            </m:ctrlPr>
          </m:sSubPr>
          <m:e>
            <m:r>
              <w:rPr>
                <w:rFonts w:ascii="Cambria Math" w:hAnsi="Cambria Math"/>
              </w:rPr>
              <m:t>N</m:t>
            </m:r>
          </m:e>
          <m:sub>
            <m:r>
              <w:rPr>
                <w:rFonts w:ascii="Cambria Math" w:hAnsi="Cambria Math"/>
              </w:rPr>
              <m:t>RxBeam,i</m:t>
            </m:r>
          </m:sub>
        </m:sSub>
        <m:r>
          <w:rPr>
            <w:rFonts w:ascii="Cambria Math" w:hAnsi="Cambria Math"/>
            <w:lang w:eastAsia="zh-CN"/>
          </w:rPr>
          <m:t xml:space="preserve"> </m:t>
        </m:r>
      </m:oMath>
      <w:r w:rsidRPr="000506D8">
        <w:rPr>
          <w:lang w:eastAsia="zh-CN"/>
        </w:rPr>
        <w:t>is the scaling factor for UE Rx beam sweeping:</w:t>
      </w:r>
    </w:p>
    <w:p w14:paraId="548E8F1C" w14:textId="166708E0" w:rsidR="006426C7" w:rsidRDefault="006426C7" w:rsidP="006426C7">
      <w:pPr>
        <w:pStyle w:val="B20"/>
        <w:rPr>
          <w:lang w:eastAsia="zh-CN"/>
        </w:rPr>
      </w:pPr>
      <w:r>
        <w:t>-</w:t>
      </w:r>
      <w:r w:rsidRPr="006360F4">
        <w:tab/>
      </w:r>
      <m:oMath>
        <m:sSub>
          <m:sSubPr>
            <m:ctrlPr>
              <w:rPr>
                <w:rFonts w:ascii="Cambria Math" w:hAnsi="Cambria Math"/>
                <w:i/>
              </w:rPr>
            </m:ctrlPr>
          </m:sSubPr>
          <m:e>
            <m:r>
              <w:rPr>
                <w:rFonts w:ascii="Cambria Math" w:hAnsi="Cambria Math"/>
              </w:rPr>
              <m:t>N</m:t>
            </m:r>
          </m:e>
          <m:sub>
            <m:r>
              <w:rPr>
                <w:rFonts w:ascii="Cambria Math" w:hAnsi="Cambria Math"/>
              </w:rPr>
              <m:t>RxBeam,i</m:t>
            </m:r>
          </m:sub>
        </m:sSub>
      </m:oMath>
      <w:r w:rsidRPr="000506D8">
        <w:rPr>
          <w:lang w:eastAsia="zh-CN"/>
        </w:rPr>
        <w:t xml:space="preserve">=1 if positioning frequency layer </w:t>
      </w:r>
      <w:r w:rsidRPr="000506D8">
        <w:rPr>
          <w:i/>
          <w:lang w:eastAsia="zh-CN"/>
        </w:rPr>
        <w:t>i</w:t>
      </w:r>
      <w:r w:rsidRPr="000506D8">
        <w:rPr>
          <w:lang w:eastAsia="zh-CN"/>
        </w:rPr>
        <w:t xml:space="preserve"> is in FR1</w:t>
      </w:r>
      <w:r w:rsidR="00567F6E">
        <w:t xml:space="preserve">, and </w:t>
      </w:r>
      <w:r w:rsidR="00567F6E" w:rsidRPr="000506D8">
        <w:rPr>
          <w:lang w:eastAsia="zh-CN"/>
        </w:rPr>
        <w:t xml:space="preserve">if positioning frequency layer </w:t>
      </w:r>
      <w:r w:rsidR="00567F6E" w:rsidRPr="000506D8">
        <w:rPr>
          <w:i/>
          <w:lang w:eastAsia="zh-CN"/>
        </w:rPr>
        <w:t>i</w:t>
      </w:r>
      <w:r w:rsidR="00567F6E" w:rsidRPr="000506D8">
        <w:rPr>
          <w:lang w:eastAsia="zh-CN"/>
        </w:rPr>
        <w:t xml:space="preserve"> is </w:t>
      </w:r>
      <w:r w:rsidR="00567F6E" w:rsidRPr="00AB4257">
        <w:t>in FR</w:t>
      </w:r>
      <w:r w:rsidR="00567F6E">
        <w:t>2</w:t>
      </w:r>
      <w:r>
        <w:rPr>
          <w:lang w:eastAsia="zh-CN"/>
        </w:rPr>
        <w:t>.</w:t>
      </w:r>
    </w:p>
    <w:p w14:paraId="6ABB1812" w14:textId="178648ED" w:rsidR="00567F6E" w:rsidRPr="00E41CDD" w:rsidRDefault="00941150" w:rsidP="00567F6E">
      <w:pPr>
        <w:pStyle w:val="B30"/>
        <w:rPr>
          <w:lang w:eastAsia="zh-CN"/>
        </w:rPr>
      </w:pPr>
      <w:r>
        <w:t>-</w:t>
      </w:r>
      <w:r>
        <w:tab/>
      </w:r>
      <w:r w:rsidRPr="00C66141">
        <w:rPr>
          <w:rFonts w:eastAsia="SimSun"/>
          <w:bCs/>
          <w:lang w:eastAsia="zh-CN"/>
        </w:rPr>
        <w:tab/>
      </w:r>
      <m:oMath>
        <m:sSub>
          <m:sSubPr>
            <m:ctrlPr>
              <w:rPr>
                <w:rFonts w:ascii="Cambria Math" w:hAnsi="Cambria Math"/>
                <w:i/>
              </w:rPr>
            </m:ctrlPr>
          </m:sSubPr>
          <m:e>
            <m:r>
              <w:rPr>
                <w:rFonts w:ascii="Cambria Math" w:hAnsi="Cambria Math"/>
              </w:rPr>
              <m:t>N</m:t>
            </m:r>
          </m:e>
          <m:sub>
            <m:r>
              <w:rPr>
                <w:rFonts w:ascii="Cambria Math" w:hAnsi="Cambria Math"/>
              </w:rPr>
              <m:t>RxBeam,i</m:t>
            </m:r>
          </m:sub>
        </m:sSub>
      </m:oMath>
      <w:r>
        <w:rPr>
          <w:rFonts w:eastAsia="SimSun" w:hint="eastAsia"/>
          <w:lang w:eastAsia="zh-CN"/>
        </w:rPr>
        <w:t xml:space="preserve"> </w:t>
      </w:r>
      <w:r w:rsidRPr="00E41CDD">
        <w:rPr>
          <w:lang w:eastAsia="zh-CN"/>
        </w:rPr>
        <w:t xml:space="preserve">equals to the value as UE reported in </w:t>
      </w:r>
      <w:r w:rsidRPr="00A147CD">
        <w:rPr>
          <w:i/>
          <w:lang w:eastAsia="zh-CN"/>
        </w:rPr>
        <w:t xml:space="preserve">supportedLowerRxBeamSweepingFactor-FR2 </w:t>
      </w:r>
      <w:r w:rsidRPr="00E41CDD">
        <w:rPr>
          <w:lang w:eastAsia="zh-CN"/>
        </w:rPr>
        <w:t xml:space="preserve">if the capability is reported by the UE for the band containing positioning frequency layer i, and LMF indicates </w:t>
      </w:r>
      <w:r w:rsidRPr="00CA5097">
        <w:rPr>
          <w:i/>
          <w:lang w:eastAsia="zh-CN"/>
        </w:rPr>
        <w:t>lowerRxBeamSweepingFactor-FR2</w:t>
      </w:r>
      <w:r w:rsidRPr="00E41CDD">
        <w:rPr>
          <w:lang w:eastAsia="zh-CN"/>
        </w:rPr>
        <w:t xml:space="preserve"> in </w:t>
      </w:r>
      <w:r w:rsidRPr="002E1F71">
        <w:rPr>
          <w:i/>
        </w:rPr>
        <w:t>NR-Multi-RTT</w:t>
      </w:r>
      <w:r w:rsidRPr="00D5249B">
        <w:rPr>
          <w:i/>
        </w:rPr>
        <w:t xml:space="preserve"> -Request</w:t>
      </w:r>
      <w:r w:rsidRPr="00D5249B">
        <w:rPr>
          <w:i/>
          <w:noProof/>
        </w:rPr>
        <w:t>LocationInformation</w:t>
      </w:r>
      <w:r w:rsidRPr="00E41CDD">
        <w:rPr>
          <w:lang w:eastAsia="zh-CN"/>
        </w:rPr>
        <w:t>.</w:t>
      </w:r>
    </w:p>
    <w:p w14:paraId="3F3BAB92" w14:textId="26976293" w:rsidR="00567F6E" w:rsidRPr="000506D8" w:rsidRDefault="00567F6E" w:rsidP="00567F6E">
      <w:pPr>
        <w:pStyle w:val="B30"/>
        <w:rPr>
          <w:lang w:eastAsia="zh-CN"/>
        </w:rPr>
      </w:pPr>
      <w:r>
        <w:t>-</w:t>
      </w:r>
      <w:r>
        <w:tab/>
      </w:r>
      <w:r w:rsidRPr="00C66141">
        <w:rPr>
          <w:rFonts w:eastAsia="SimSun"/>
          <w:bCs/>
          <w:lang w:eastAsia="zh-CN"/>
        </w:rPr>
        <w:tab/>
      </w:r>
      <m:oMath>
        <m:sSub>
          <m:sSubPr>
            <m:ctrlPr>
              <w:rPr>
                <w:rFonts w:ascii="Cambria Math" w:hAnsi="Cambria Math"/>
                <w:i/>
              </w:rPr>
            </m:ctrlPr>
          </m:sSubPr>
          <m:e>
            <m:r>
              <w:rPr>
                <w:rFonts w:ascii="Cambria Math" w:hAnsi="Cambria Math"/>
              </w:rPr>
              <m:t>N</m:t>
            </m:r>
          </m:e>
          <m:sub>
            <m:r>
              <w:rPr>
                <w:rFonts w:ascii="Cambria Math" w:hAnsi="Cambria Math"/>
              </w:rPr>
              <m:t>RxBeam,i</m:t>
            </m:r>
          </m:sub>
        </m:sSub>
      </m:oMath>
      <w:r>
        <w:rPr>
          <w:rFonts w:eastAsia="SimSun"/>
          <w:bCs/>
          <w:lang w:eastAsia="zh-CN"/>
        </w:rPr>
        <w:t xml:space="preserve"> </w:t>
      </w:r>
      <w:r w:rsidRPr="00E41CDD">
        <w:rPr>
          <w:lang w:eastAsia="zh-CN"/>
        </w:rPr>
        <w:t>equals to 8, otherwise.</w:t>
      </w:r>
    </w:p>
    <w:p w14:paraId="08AEF635" w14:textId="079E974E" w:rsidR="006426C7" w:rsidRPr="00AF5628" w:rsidRDefault="00000000" w:rsidP="00D77C68">
      <w:pPr>
        <w:pStyle w:val="B20"/>
        <w:rPr>
          <w:rFonts w:cs="v4.2.0"/>
        </w:rPr>
      </w:pPr>
      <m:oMath>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RxTx,TEG,i</m:t>
            </m:r>
          </m:sub>
        </m:sSub>
      </m:oMath>
      <w:r w:rsidR="006426C7" w:rsidRPr="005578D4">
        <w:rPr>
          <w:rFonts w:cs="v4.2.0"/>
        </w:rPr>
        <w:t xml:space="preserve"> is the Rx TEG specific scaling factor:</w:t>
      </w:r>
    </w:p>
    <w:p w14:paraId="19C97591" w14:textId="77777777" w:rsidR="00A27895" w:rsidRPr="00EB4354" w:rsidRDefault="00A27895" w:rsidP="00A27895">
      <w:pPr>
        <w:ind w:left="1135" w:hanging="284"/>
      </w:pPr>
      <w:r w:rsidRPr="00EB4354">
        <w:rPr>
          <w:rFonts w:cs="v4.2.0"/>
        </w:rPr>
        <w:t>-</w:t>
      </w:r>
      <w:r w:rsidRPr="00EB4354">
        <w:rPr>
          <w:rFonts w:cs="v4.2.0"/>
        </w:rPr>
        <w:tab/>
      </w:r>
      <m:oMath>
        <m:sSub>
          <m:sSubPr>
            <m:ctrlPr>
              <w:rPr>
                <w:rFonts w:ascii="Cambria Math" w:hAnsi="Cambria Math"/>
              </w:rPr>
            </m:ctrlPr>
          </m:sSubPr>
          <m:e>
            <m:r>
              <w:rPr>
                <w:rFonts w:ascii="Cambria Math" w:hAnsi="Cambria Math"/>
              </w:rPr>
              <m:t>N</m:t>
            </m:r>
          </m:e>
          <m:sub>
            <m:r>
              <w:rPr>
                <w:rFonts w:ascii="Cambria Math" w:hAnsi="Cambria Math"/>
              </w:rPr>
              <m:t>RxTx</m:t>
            </m:r>
            <m:r>
              <m:rPr>
                <m:sty m:val="p"/>
              </m:rPr>
              <w:rPr>
                <w:rFonts w:ascii="Cambria Math" w:hAnsi="Cambria Math"/>
              </w:rPr>
              <m:t>,</m:t>
            </m:r>
            <m:r>
              <w:rPr>
                <w:rFonts w:ascii="Cambria Math" w:hAnsi="Cambria Math"/>
              </w:rPr>
              <m:t>TEG</m:t>
            </m:r>
            <m:r>
              <m:rPr>
                <m:sty m:val="p"/>
              </m:rPr>
              <w:rPr>
                <w:rFonts w:ascii="Cambria Math" w:hAnsi="Cambria Math"/>
              </w:rPr>
              <m:t>,</m:t>
            </m:r>
            <m:r>
              <w:rPr>
                <w:rFonts w:ascii="Cambria Math" w:hAnsi="Cambria Math"/>
              </w:rPr>
              <m:t>i</m:t>
            </m:r>
          </m:sub>
        </m:sSub>
      </m:oMath>
      <w:r w:rsidRPr="00EB4354">
        <w:t xml:space="preserve"> = 1 if UE is not configured by LMF with </w:t>
      </w:r>
      <w:r w:rsidRPr="00EB4354">
        <w:rPr>
          <w:iCs/>
        </w:rPr>
        <w:t>measureSameDL-PRS-ResourceWithDifferentRxTxTEGs-r17</w:t>
      </w:r>
      <w:r>
        <w:rPr>
          <w:iCs/>
        </w:rPr>
        <w:t xml:space="preserve"> or </w:t>
      </w:r>
      <w:r w:rsidRPr="00E813AF">
        <w:rPr>
          <w:snapToGrid w:val="0"/>
        </w:rPr>
        <w:t>measureSameDL-PRS-ResourceWithDifferentRxTEGs</w:t>
      </w:r>
      <w:r w:rsidRPr="00EB4354">
        <w:rPr>
          <w:iCs/>
        </w:rPr>
        <w:t>-r17</w:t>
      </w:r>
      <w:r w:rsidRPr="00EB4354">
        <w:t xml:space="preserve"> [34]. </w:t>
      </w:r>
    </w:p>
    <w:p w14:paraId="0B45175B" w14:textId="60AFF080" w:rsidR="006426C7" w:rsidRPr="003512D5" w:rsidRDefault="00A27895" w:rsidP="00A27895">
      <w:pPr>
        <w:pStyle w:val="B30"/>
        <w:rPr>
          <w:lang w:eastAsia="zh-CN"/>
        </w:rPr>
      </w:pPr>
      <w:r w:rsidRPr="00EB4354">
        <w:t>-</w:t>
      </w:r>
      <w:r w:rsidRPr="00EB4354">
        <w:tab/>
      </w:r>
      <m:oMath>
        <m:sSub>
          <m:sSubPr>
            <m:ctrlPr>
              <w:rPr>
                <w:rFonts w:ascii="Cambria Math" w:hAnsi="Cambria Math"/>
              </w:rPr>
            </m:ctrlPr>
          </m:sSubPr>
          <m:e>
            <m:r>
              <w:rPr>
                <w:rFonts w:ascii="Cambria Math" w:hAnsi="Cambria Math"/>
              </w:rPr>
              <m:t>N</m:t>
            </m:r>
          </m:e>
          <m:sub>
            <m:r>
              <w:rPr>
                <w:rFonts w:ascii="Cambria Math" w:hAnsi="Cambria Math"/>
              </w:rPr>
              <m:t>RxTx</m:t>
            </m:r>
            <m:r>
              <m:rPr>
                <m:sty m:val="p"/>
              </m:rPr>
              <w:rPr>
                <w:rFonts w:ascii="Cambria Math" w:hAnsi="Cambria Math"/>
              </w:rPr>
              <m:t>,</m:t>
            </m:r>
            <m:r>
              <w:rPr>
                <w:rFonts w:ascii="Cambria Math" w:hAnsi="Cambria Math"/>
              </w:rPr>
              <m:t>TEG</m:t>
            </m:r>
            <m:r>
              <m:rPr>
                <m:sty m:val="p"/>
              </m:rPr>
              <w:rPr>
                <w:rFonts w:ascii="Cambria Math" w:hAnsi="Cambria Math"/>
              </w:rPr>
              <m:t>,</m:t>
            </m:r>
            <m:r>
              <w:rPr>
                <w:rFonts w:ascii="Cambria Math" w:hAnsi="Cambria Math"/>
              </w:rPr>
              <m:t>i</m:t>
            </m:r>
          </m:sub>
        </m:sSub>
      </m:oMath>
      <w:r w:rsidRPr="00EB4354">
        <w:t xml:space="preserve"> = </w:t>
      </w:r>
      <w:r w:rsidRPr="00EB4354">
        <w:rPr>
          <w:iCs/>
        </w:rPr>
        <w:t>measureSameDL-PRS-ResourceWithDifferentRxTxTEGs-r17</w:t>
      </w:r>
      <w:r>
        <w:rPr>
          <w:iCs/>
        </w:rPr>
        <w:t xml:space="preserve"> or </w:t>
      </w:r>
      <w:r w:rsidRPr="00E813AF">
        <w:rPr>
          <w:snapToGrid w:val="0"/>
        </w:rPr>
        <w:t>measureSameDL-PRS-ResourceWithDifferentRxTEGs</w:t>
      </w:r>
      <w:r w:rsidRPr="00EB4354">
        <w:rPr>
          <w:iCs/>
        </w:rPr>
        <w:t>-r17</w:t>
      </w:r>
      <w:r w:rsidRPr="00EB4354">
        <w:t xml:space="preserve"> if UE is configured by LMF to measurement same DL PRS with multiple UE RxTx TEGs</w:t>
      </w:r>
      <w:r>
        <w:t xml:space="preserve"> or multiple UE Rx TEGs</w:t>
      </w:r>
      <w:r w:rsidRPr="00EB4354">
        <w:t xml:space="preserve"> [34]</w:t>
      </w:r>
      <w:r>
        <w:t>,</w:t>
      </w:r>
      <w:r w:rsidRPr="00C66141">
        <w:rPr>
          <w:rFonts w:eastAsia="MS Mincho"/>
        </w:rPr>
        <w:t xml:space="preserve"> </w:t>
      </w:r>
      <w:r w:rsidRPr="007E7027">
        <w:rPr>
          <w:rFonts w:eastAsia="MS Mincho"/>
        </w:rPr>
        <w:t xml:space="preserve">and in case ‘n0’ is indicated, </w:t>
      </w:r>
      <m:oMath>
        <m:sSub>
          <m:sSubPr>
            <m:ctrlPr>
              <w:rPr>
                <w:rFonts w:ascii="Cambria Math" w:eastAsia="MS Mincho" w:hAnsi="Cambria Math" w:cs="Calibri"/>
                <w:i/>
              </w:rPr>
            </m:ctrlPr>
          </m:sSubPr>
          <m:e>
            <m:r>
              <w:rPr>
                <w:rFonts w:ascii="Cambria Math" w:eastAsia="MS Mincho" w:hAnsi="Cambria Math"/>
              </w:rPr>
              <m:t>N</m:t>
            </m:r>
          </m:e>
          <m:sub>
            <m:r>
              <w:rPr>
                <w:rFonts w:ascii="Cambria Math" w:eastAsia="MS Mincho" w:hAnsi="Cambria Math"/>
              </w:rPr>
              <m:t>TEG,i</m:t>
            </m:r>
          </m:sub>
        </m:sSub>
      </m:oMath>
      <w:r>
        <w:rPr>
          <w:rFonts w:eastAsia="MS Mincho"/>
        </w:rPr>
        <w:t xml:space="preserve"> </w:t>
      </w:r>
      <w:r w:rsidRPr="007E7027">
        <w:rPr>
          <w:rFonts w:eastAsia="MS Mincho"/>
        </w:rPr>
        <w:t>is the maximum number of Rx TEGs with which UE can support to measure the same PRS resource</w:t>
      </w:r>
      <w:r w:rsidRPr="00F15CF6">
        <w:rPr>
          <w:rFonts w:eastAsia="MS Mincho"/>
        </w:rPr>
        <w:t xml:space="preserve"> </w:t>
      </w:r>
      <w:r>
        <w:rPr>
          <w:rFonts w:eastAsia="MS Mincho"/>
        </w:rPr>
        <w:t xml:space="preserve">as </w:t>
      </w:r>
      <w:r w:rsidRPr="00F15CF6">
        <w:rPr>
          <w:rFonts w:eastAsia="MS Mincho"/>
        </w:rPr>
        <w:t xml:space="preserve">reported in </w:t>
      </w:r>
      <w:r w:rsidRPr="00F15CF6">
        <w:rPr>
          <w:rFonts w:eastAsia="MS Mincho"/>
          <w:i/>
        </w:rPr>
        <w:t>NR-UE-TEG-Capability</w:t>
      </w:r>
      <w:r w:rsidRPr="00EB4354">
        <w:t>.</w:t>
      </w:r>
    </w:p>
    <w:p w14:paraId="749DB880" w14:textId="17DAF56E" w:rsidR="006426C7" w:rsidRPr="000506D8" w:rsidRDefault="00EE1CE1" w:rsidP="006426C7">
      <w:pPr>
        <w:pStyle w:val="B10"/>
        <w:rPr>
          <w:lang w:eastAsia="zh-CN"/>
        </w:rPr>
      </w:pPr>
      <w:r w:rsidRPr="00CE4F54">
        <w:rPr>
          <w:lang w:val="en-US"/>
        </w:rPr>
        <w:t>-</w:t>
      </w:r>
      <w:r w:rsidRPr="00CE4F54">
        <w:rPr>
          <w:lang w:val="en-US"/>
        </w:rPr>
        <w:tab/>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available</m:t>
            </m:r>
            <m:r>
              <w:rPr>
                <w:rFonts w:ascii="Cambria Math" w:hAnsi="Cambria Math"/>
                <w:lang w:val="en-US" w:eastAsia="zh-CN"/>
              </w:rPr>
              <m:t>_</m:t>
            </m:r>
            <m:r>
              <w:rPr>
                <w:rFonts w:ascii="Cambria Math" w:hAnsi="Cambria Math"/>
                <w:lang w:val="en-US"/>
              </w:rPr>
              <m:t>PRS,i</m:t>
            </m:r>
          </m:sub>
        </m:sSub>
      </m:oMath>
      <w:r w:rsidRPr="00CE4F54">
        <w:rPr>
          <w:lang w:val="en-US"/>
        </w:rPr>
        <w:t xml:space="preserve"> is the time duration of available PRS resources in the positioning frequency layer </w:t>
      </w:r>
      <w:r w:rsidRPr="00CE4F54">
        <w:rPr>
          <w:i/>
          <w:lang w:val="en-US"/>
        </w:rPr>
        <w:t>i</w:t>
      </w:r>
      <w:r w:rsidRPr="00CE4F54">
        <w:rPr>
          <w:lang w:val="en-US"/>
        </w:rPr>
        <w:t xml:space="preserve">, to be measured during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PRS,i</m:t>
            </m:r>
          </m:sub>
        </m:sSub>
      </m:oMath>
      <w:r w:rsidRPr="00CE4F54">
        <w:rPr>
          <w:lang w:val="en-US"/>
        </w:rPr>
        <w:t xml:space="preserve">, and is calculated in the same way as PRS duration K defined in clause 5.1.6.5 of TS 38.214 [26]. </w:t>
      </w:r>
      <w:r w:rsidRPr="009A4F0A">
        <w:rPr>
          <w:lang w:val="en-US" w:eastAsia="zh-CN"/>
        </w:rPr>
        <w:t xml:space="preserve">For calculation of </w:t>
      </w:r>
      <m:oMath>
        <m:sSub>
          <m:sSubPr>
            <m:ctrlPr>
              <w:rPr>
                <w:rFonts w:ascii="Cambria Math" w:hAnsi="Cambria Math"/>
                <w:i/>
                <w:lang w:val="en-US"/>
              </w:rPr>
            </m:ctrlPr>
          </m:sSubPr>
          <m:e>
            <m:r>
              <w:rPr>
                <w:rFonts w:ascii="Cambria Math" w:hAnsi="Cambria Math"/>
                <w:lang w:val="en-US" w:eastAsia="zh-CN"/>
              </w:rPr>
              <m:t>L</m:t>
            </m:r>
          </m:e>
          <m:sub>
            <m:r>
              <w:rPr>
                <w:rFonts w:ascii="Cambria Math" w:hAnsi="Cambria Math"/>
                <w:lang w:val="en-US" w:eastAsia="zh-CN"/>
              </w:rPr>
              <m:t>available_PRS</m:t>
            </m:r>
            <m:r>
              <m:rPr>
                <m:sty m:val="p"/>
              </m:rPr>
              <w:rPr>
                <w:rFonts w:ascii="Cambria Math" w:hAnsi="Cambria Math"/>
                <w:lang w:val="en-US" w:eastAsia="zh-CN"/>
              </w:rPr>
              <m:t>,i</m:t>
            </m:r>
          </m:sub>
        </m:sSub>
      </m:oMath>
      <w:r w:rsidRPr="009A4F0A">
        <w:rPr>
          <w:lang w:val="en-US" w:eastAsia="zh-CN"/>
        </w:rPr>
        <w:t>, only unmuted PRS resources that are not fully overlapped with other higher-priority DL signals/channels are considered.</w:t>
      </w:r>
    </w:p>
    <w:p w14:paraId="61BBFA6A" w14:textId="77777777" w:rsidR="006426C7" w:rsidRPr="000506D8" w:rsidRDefault="006426C7" w:rsidP="006426C7">
      <w:pPr>
        <w:pStyle w:val="B10"/>
        <w:rPr>
          <w:lang w:eastAsia="zh-CN"/>
        </w:rPr>
      </w:pPr>
      <w:r>
        <w:t>-</w:t>
      </w:r>
      <w:r w:rsidRPr="006360F4">
        <w:tab/>
      </w:r>
      <m:oMath>
        <m:sSubSup>
          <m:sSubSupPr>
            <m:ctrlPr>
              <w:rPr>
                <w:rFonts w:ascii="Cambria Math" w:hAnsi="Cambria Math"/>
                <w:lang w:eastAsia="zh-CN"/>
              </w:rPr>
            </m:ctrlPr>
          </m:sSubSupPr>
          <m:e>
            <m:r>
              <m:rPr>
                <m:sty m:val="p"/>
              </m:rPr>
              <w:rPr>
                <w:rFonts w:ascii="Cambria Math" w:hAnsi="Cambria Math"/>
                <w:lang w:eastAsia="zh-CN"/>
              </w:rPr>
              <m:t>N</m:t>
            </m:r>
          </m:e>
          <m:sub>
            <m:r>
              <m:rPr>
                <m:sty m:val="p"/>
              </m:rPr>
              <w:rPr>
                <w:rFonts w:ascii="Cambria Math" w:hAnsi="Cambria Math"/>
                <w:lang w:eastAsia="zh-CN"/>
              </w:rPr>
              <m:t>PRS,i</m:t>
            </m:r>
          </m:sub>
          <m:sup>
            <m:r>
              <m:rPr>
                <m:sty m:val="p"/>
              </m:rPr>
              <w:rPr>
                <w:rFonts w:ascii="Cambria Math" w:hAnsi="Cambria Math"/>
                <w:lang w:eastAsia="zh-CN"/>
              </w:rPr>
              <m:t>slot</m:t>
            </m:r>
          </m:sup>
        </m:sSubSup>
      </m:oMath>
      <w:r w:rsidRPr="000506D8">
        <w:rPr>
          <w:lang w:eastAsia="zh-CN"/>
        </w:rPr>
        <w:t xml:space="preserve"> is the maximum number of DL PRS resources of positioning frequency layer i configured in a slot,</w:t>
      </w:r>
    </w:p>
    <w:p w14:paraId="03828E5A" w14:textId="0E1FD0A0" w:rsidR="006426C7" w:rsidRPr="000506D8" w:rsidRDefault="006426C7" w:rsidP="006426C7">
      <w:pPr>
        <w:pStyle w:val="B10"/>
        <w:rPr>
          <w:lang w:eastAsia="zh-CN"/>
        </w:rPr>
      </w:pPr>
      <w:r>
        <w:t>-</w:t>
      </w:r>
      <w:r w:rsidRPr="006360F4">
        <w:tab/>
      </w:r>
      <m:oMath>
        <m:r>
          <m:rPr>
            <m:sty m:val="p"/>
          </m:rPr>
          <w:rPr>
            <w:rFonts w:ascii="Cambria Math" w:hAnsi="Cambria Math"/>
            <w:lang w:eastAsia="zh-CN"/>
          </w:rPr>
          <m:t>{N,T}</m:t>
        </m:r>
      </m:oMath>
      <w:r w:rsidRPr="000506D8">
        <w:rPr>
          <w:lang w:eastAsia="zh-CN"/>
        </w:rPr>
        <w:t xml:space="preserve"> is UE capability combination per band where N is a duration of DL PRS symbols in ms corresponding to </w:t>
      </w:r>
      <w:r w:rsidRPr="00D912A9">
        <w:rPr>
          <w:i/>
        </w:rPr>
        <w:t>durationOfPRS-ProcessingSymbols-r17</w:t>
      </w:r>
      <w:r w:rsidRPr="000506D8">
        <w:rPr>
          <w:lang w:eastAsia="zh-CN"/>
        </w:rPr>
        <w:t xml:space="preserve"> in TS 37.355 [34] processed every T ms corresponding to </w:t>
      </w:r>
      <w:r w:rsidRPr="006E4D96">
        <w:rPr>
          <w:i/>
        </w:rPr>
        <w:t>durationOfPRS-ProcessingSymbolsInEveryTms-r17</w:t>
      </w:r>
      <w:r w:rsidRPr="000506D8">
        <w:rPr>
          <w:lang w:eastAsia="zh-CN"/>
        </w:rPr>
        <w:t xml:space="preserve"> in TS 37.355 [34] for a given maximum bandwidth supported by UE corresponding to </w:t>
      </w:r>
      <w:r w:rsidRPr="000506D8">
        <w:rPr>
          <w:i/>
          <w:iCs/>
          <w:lang w:eastAsia="zh-CN"/>
        </w:rPr>
        <w:t>supportedBandwidthPRS</w:t>
      </w:r>
      <w:r w:rsidRPr="000506D8">
        <w:rPr>
          <w:lang w:eastAsia="zh-CN"/>
        </w:rPr>
        <w:t xml:space="preserve"> in clause 4.2.7.2 of TS 37.355 [34],</w:t>
      </w:r>
    </w:p>
    <w:p w14:paraId="429BBE01" w14:textId="2EB47757" w:rsidR="006426C7" w:rsidRPr="000506D8" w:rsidRDefault="006426C7" w:rsidP="006426C7">
      <w:pPr>
        <w:pStyle w:val="B10"/>
        <w:rPr>
          <w:lang w:eastAsia="zh-CN"/>
        </w:rPr>
      </w:pPr>
      <w:r>
        <w:t>-</w:t>
      </w:r>
      <w:r w:rsidRPr="006360F4">
        <w:tab/>
      </w:r>
      <m:oMath>
        <m:r>
          <m:rPr>
            <m:sty m:val="p"/>
          </m:rPr>
          <w:rPr>
            <w:rFonts w:ascii="Cambria Math" w:hAnsi="Cambria Math"/>
            <w:lang w:eastAsia="zh-CN"/>
          </w:rPr>
          <m:t>N’</m:t>
        </m:r>
      </m:oMath>
      <w:r w:rsidRPr="000506D8">
        <w:rPr>
          <w:lang w:eastAsia="zh-CN"/>
        </w:rPr>
        <w:t xml:space="preserve"> is UE capability for number of DL PRS resources that it can process in a slot corresponding to </w:t>
      </w:r>
      <w:r w:rsidRPr="006E4D96">
        <w:rPr>
          <w:i/>
        </w:rPr>
        <w:t>maxNumOfDL-PRS-ResProcessedPerSlot-RRC-Inactive-r17</w:t>
      </w:r>
      <w:r w:rsidRPr="000506D8">
        <w:rPr>
          <w:lang w:eastAsia="zh-CN"/>
        </w:rPr>
        <w:t xml:space="preserve"> as specified in clause 6.4.3 of TS 37.355 [34],</w:t>
      </w:r>
    </w:p>
    <w:p w14:paraId="6BD505C0" w14:textId="77777777" w:rsidR="006426C7" w:rsidRPr="000506D8" w:rsidRDefault="006426C7" w:rsidP="006426C7">
      <w:pPr>
        <w:pStyle w:val="B10"/>
      </w:pPr>
      <w:r>
        <w:t>-</w:t>
      </w:r>
      <w:r w:rsidRPr="006360F4">
        <w:tab/>
      </w:r>
      <m:oMath>
        <m:sSub>
          <m:sSubPr>
            <m:ctrlPr>
              <w:rPr>
                <w:rFonts w:ascii="Cambria Math" w:hAnsi="Cambria Math"/>
                <w:i/>
              </w:rPr>
            </m:ctrlPr>
          </m:sSubPr>
          <m:e>
            <m:r>
              <w:rPr>
                <w:rFonts w:ascii="Cambria Math" w:hAnsi="Cambria Math"/>
              </w:rPr>
              <m:t>N</m:t>
            </m:r>
          </m:e>
          <m:sub>
            <m:r>
              <w:rPr>
                <w:rFonts w:ascii="Cambria Math" w:hAnsi="Cambria Math"/>
              </w:rPr>
              <m:t>sample</m:t>
            </m:r>
          </m:sub>
        </m:sSub>
      </m:oMath>
      <w:r w:rsidRPr="000506D8">
        <w:t xml:space="preserve"> is the number of UE Rx-Tx time difference measurement samples:</w:t>
      </w:r>
    </w:p>
    <w:p w14:paraId="664A8B56" w14:textId="75934B16" w:rsidR="006426C7" w:rsidRPr="000506D8" w:rsidRDefault="006426C7" w:rsidP="006426C7">
      <w:pPr>
        <w:pStyle w:val="B20"/>
      </w:pPr>
      <w:r>
        <w:t>-</w:t>
      </w:r>
      <w:r w:rsidRPr="006360F4">
        <w:tab/>
      </w:r>
      <m:oMath>
        <m:sSub>
          <m:sSubPr>
            <m:ctrlPr>
              <w:rPr>
                <w:rFonts w:ascii="Cambria Math" w:hAnsi="Cambria Math"/>
                <w:i/>
              </w:rPr>
            </m:ctrlPr>
          </m:sSubPr>
          <m:e>
            <m:r>
              <w:rPr>
                <w:rFonts w:ascii="Cambria Math" w:hAnsi="Cambria Math"/>
              </w:rPr>
              <m:t>N</m:t>
            </m:r>
          </m:e>
          <m:sub>
            <m:r>
              <w:rPr>
                <w:rFonts w:ascii="Cambria Math" w:hAnsi="Cambria Math"/>
              </w:rPr>
              <m:t>sample</m:t>
            </m:r>
          </m:sub>
        </m:sSub>
      </m:oMath>
      <w:r w:rsidRPr="000506D8">
        <w:t xml:space="preserve">= 4 if the UE is not capable of </w:t>
      </w:r>
      <w:r w:rsidRPr="006E4D96">
        <w:rPr>
          <w:i/>
        </w:rPr>
        <w:t>supportedDL-PRS-ProcessingSamples-RRC-Inactive</w:t>
      </w:r>
      <w:r w:rsidRPr="00DA2552">
        <w:t xml:space="preserve"> </w:t>
      </w:r>
      <w:r w:rsidRPr="000506D8">
        <w:t>defined in [34]</w:t>
      </w:r>
      <w:r w:rsidRPr="005215C4">
        <w:t xml:space="preserve"> </w:t>
      </w:r>
      <w:r>
        <w:rPr>
          <w:rFonts w:hint="eastAsia"/>
          <w:lang w:eastAsia="zh-CN"/>
        </w:rPr>
        <w:t xml:space="preserve">or not configured </w:t>
      </w:r>
      <w:r w:rsidRPr="006360F4">
        <w:t>to perform positioning measurements with reduced number of samples</w:t>
      </w:r>
      <w:r>
        <w:t xml:space="preserve"> by </w:t>
      </w:r>
      <w:r w:rsidRPr="00C91A05">
        <w:rPr>
          <w:i/>
          <w:iCs/>
        </w:rPr>
        <w:t>requestedDL-PRS-ProcessingSamples</w:t>
      </w:r>
      <w:r w:rsidRPr="00542716">
        <w:t xml:space="preserve"> </w:t>
      </w:r>
      <w:r>
        <w:t>[34]</w:t>
      </w:r>
      <w:r w:rsidRPr="000506D8">
        <w:t>.</w:t>
      </w:r>
    </w:p>
    <w:p w14:paraId="54D0545B" w14:textId="5C531141" w:rsidR="006426C7" w:rsidRPr="000506D8" w:rsidRDefault="006426C7" w:rsidP="006426C7">
      <w:pPr>
        <w:pStyle w:val="B20"/>
      </w:pPr>
      <w:r>
        <w:t>-</w:t>
      </w:r>
      <w:r w:rsidRPr="006360F4">
        <w:tab/>
      </w:r>
      <m:oMath>
        <m:sSub>
          <m:sSubPr>
            <m:ctrlPr>
              <w:rPr>
                <w:rFonts w:ascii="Cambria Math" w:hAnsi="Cambria Math"/>
                <w:i/>
              </w:rPr>
            </m:ctrlPr>
          </m:sSubPr>
          <m:e>
            <m:r>
              <w:rPr>
                <w:rFonts w:ascii="Cambria Math" w:hAnsi="Cambria Math"/>
              </w:rPr>
              <m:t>N</m:t>
            </m:r>
          </m:e>
          <m:sub>
            <m:r>
              <w:rPr>
                <w:rFonts w:ascii="Cambria Math" w:hAnsi="Cambria Math"/>
              </w:rPr>
              <m:t>sample</m:t>
            </m:r>
          </m:sub>
        </m:sSub>
      </m:oMath>
      <w:r w:rsidRPr="000506D8">
        <w:t xml:space="preserve">= </w:t>
      </w:r>
      <w:r>
        <w:t>1</w:t>
      </w:r>
      <w:r w:rsidRPr="000506D8">
        <w:t xml:space="preserve"> if the UE is capable of </w:t>
      </w:r>
      <w:r w:rsidRPr="006E4D96">
        <w:rPr>
          <w:i/>
        </w:rPr>
        <w:t>supportedDL-PRS-ProcessingSamples-RRC-Inactive</w:t>
      </w:r>
      <w:r w:rsidRPr="00DA2552">
        <w:t xml:space="preserve"> </w:t>
      </w:r>
      <w:r w:rsidRPr="000506D8">
        <w:t xml:space="preserve">defined in [34] </w:t>
      </w:r>
      <w:r>
        <w:t xml:space="preserve">and </w:t>
      </w:r>
      <w:r w:rsidRPr="00AB4257">
        <w:t>LMF requests the UE to perform positioning measurements with reduced number of samples</w:t>
      </w:r>
      <w:r w:rsidRPr="000506D8">
        <w:t xml:space="preserve"> </w:t>
      </w:r>
      <w:r>
        <w:t xml:space="preserve">by </w:t>
      </w:r>
      <w:r w:rsidRPr="00AF5628">
        <w:rPr>
          <w:i/>
          <w:iCs/>
        </w:rPr>
        <w:t>requestedDL-PRS-ProcessingSamples</w:t>
      </w:r>
      <w:r w:rsidRPr="00542716">
        <w:t xml:space="preserve"> </w:t>
      </w:r>
      <w:r>
        <w:t xml:space="preserve">[34] </w:t>
      </w:r>
      <w:r w:rsidRPr="000506D8">
        <w:t>and the following conditions</w:t>
      </w:r>
      <w:r>
        <w:t xml:space="preserve"> are met</w:t>
      </w:r>
      <w:r w:rsidRPr="000506D8">
        <w:t>:</w:t>
      </w:r>
    </w:p>
    <w:p w14:paraId="57411966" w14:textId="09CC3DCA" w:rsidR="006426C7" w:rsidRPr="000506D8" w:rsidRDefault="006426C7" w:rsidP="006426C7">
      <w:pPr>
        <w:pStyle w:val="B30"/>
      </w:pPr>
      <w:r>
        <w:t>-</w:t>
      </w:r>
      <w:r>
        <w:tab/>
      </w:r>
      <w:r w:rsidRPr="000506D8">
        <w:t xml:space="preserve">PRS bandwidth is within the </w:t>
      </w:r>
      <w:r>
        <w:rPr>
          <w:rFonts w:hint="eastAsia"/>
          <w:lang w:eastAsia="zh-CN"/>
        </w:rPr>
        <w:t>initial</w:t>
      </w:r>
      <w:r w:rsidRPr="000506D8">
        <w:t xml:space="preserve"> BWP and </w:t>
      </w:r>
    </w:p>
    <w:p w14:paraId="77783EEF" w14:textId="57103154" w:rsidR="006426C7" w:rsidRPr="000506D8" w:rsidRDefault="006426C7" w:rsidP="006426C7">
      <w:pPr>
        <w:pStyle w:val="B30"/>
      </w:pPr>
      <w:r>
        <w:t>-</w:t>
      </w:r>
      <w:r>
        <w:tab/>
      </w:r>
      <w:r w:rsidRPr="000506D8">
        <w:t>Magnitude of difference between the serving cell’s SS-RSRP and the neighbor cell’s PRS-RSRP is within 6 dB.</w:t>
      </w:r>
    </w:p>
    <w:p w14:paraId="5B1351B5" w14:textId="1851A3F1" w:rsidR="006426C7" w:rsidRPr="000506D8" w:rsidRDefault="006426C7" w:rsidP="006426C7">
      <w:pPr>
        <w:pStyle w:val="B10"/>
        <w:ind w:left="851"/>
      </w:pPr>
      <w:r>
        <w:t>-</w:t>
      </w:r>
      <w:r w:rsidRPr="006360F4">
        <w:tab/>
      </w:r>
      <m:oMath>
        <m:sSub>
          <m:sSubPr>
            <m:ctrlPr>
              <w:rPr>
                <w:rFonts w:ascii="Cambria Math" w:hAnsi="Cambria Math"/>
                <w:i/>
              </w:rPr>
            </m:ctrlPr>
          </m:sSubPr>
          <m:e>
            <m:r>
              <w:rPr>
                <w:rFonts w:ascii="Cambria Math" w:hAnsi="Cambria Math"/>
              </w:rPr>
              <m:t>N</m:t>
            </m:r>
          </m:e>
          <m:sub>
            <m:r>
              <w:rPr>
                <w:rFonts w:ascii="Cambria Math" w:hAnsi="Cambria Math"/>
              </w:rPr>
              <m:t>sample</m:t>
            </m:r>
          </m:sub>
        </m:sSub>
      </m:oMath>
      <w:r w:rsidRPr="000506D8">
        <w:t>=</w:t>
      </w:r>
      <w:r>
        <w:t xml:space="preserve">  2</w:t>
      </w:r>
      <w:r w:rsidRPr="000506D8">
        <w:t xml:space="preserve"> if the UE is capable of </w:t>
      </w:r>
      <w:r w:rsidRPr="006E4D96">
        <w:rPr>
          <w:i/>
        </w:rPr>
        <w:t>supportedDL-PRS-ProcessingSamples-RRC-Inactive</w:t>
      </w:r>
      <w:r w:rsidRPr="00DA2552">
        <w:t xml:space="preserve"> </w:t>
      </w:r>
      <w:r w:rsidRPr="000506D8">
        <w:t xml:space="preserve">defined in [34] </w:t>
      </w:r>
      <w:r>
        <w:t xml:space="preserve">and the </w:t>
      </w:r>
      <w:r w:rsidRPr="00AB4257">
        <w:t>LMF requests the UE to perform positioning measurements with reduced number of samples</w:t>
      </w:r>
      <w:r w:rsidRPr="000506D8">
        <w:t xml:space="preserve"> </w:t>
      </w:r>
      <w:r>
        <w:t xml:space="preserve">by </w:t>
      </w:r>
      <w:r w:rsidRPr="00C91A05">
        <w:rPr>
          <w:i/>
          <w:iCs/>
        </w:rPr>
        <w:t>requestedDL-PRS-ProcessingSamples</w:t>
      </w:r>
      <w:r w:rsidRPr="00542716">
        <w:t xml:space="preserve"> </w:t>
      </w:r>
      <w:r>
        <w:t xml:space="preserve">[34] </w:t>
      </w:r>
      <w:r w:rsidRPr="000506D8">
        <w:t>but the following conditions</w:t>
      </w:r>
      <w:r>
        <w:t xml:space="preserve"> are not met</w:t>
      </w:r>
      <w:r w:rsidRPr="000506D8">
        <w:t>:</w:t>
      </w:r>
    </w:p>
    <w:p w14:paraId="0F326266" w14:textId="0F0B0D93" w:rsidR="006426C7" w:rsidRPr="000506D8" w:rsidRDefault="006426C7" w:rsidP="006426C7">
      <w:pPr>
        <w:pStyle w:val="B20"/>
        <w:ind w:left="1135"/>
      </w:pPr>
      <w:r>
        <w:t>-</w:t>
      </w:r>
      <w:r>
        <w:tab/>
      </w:r>
      <w:r w:rsidRPr="000506D8">
        <w:t xml:space="preserve">PRS bandwidth is within the </w:t>
      </w:r>
      <w:r>
        <w:rPr>
          <w:rFonts w:hint="eastAsia"/>
          <w:lang w:eastAsia="zh-CN"/>
        </w:rPr>
        <w:t>initial</w:t>
      </w:r>
      <w:r w:rsidRPr="000506D8">
        <w:t xml:space="preserve"> BWP and</w:t>
      </w:r>
    </w:p>
    <w:p w14:paraId="1AF5AE23" w14:textId="4AFEA147" w:rsidR="006426C7" w:rsidRPr="000506D8" w:rsidRDefault="006426C7" w:rsidP="006426C7">
      <w:pPr>
        <w:pStyle w:val="B20"/>
        <w:ind w:left="1135"/>
      </w:pPr>
      <w:r>
        <w:t>-</w:t>
      </w:r>
      <w:r>
        <w:tab/>
      </w:r>
      <w:r w:rsidRPr="000506D8">
        <w:t>Magnitude of difference between the serving cell’s SS-RSRP and the neighbor cell’s PRS-RSRP is within 6 dB.</w:t>
      </w:r>
    </w:p>
    <w:p w14:paraId="5E262857" w14:textId="77777777" w:rsidR="006426C7" w:rsidRPr="000506D8" w:rsidRDefault="006426C7" w:rsidP="006426C7">
      <w:pPr>
        <w:pStyle w:val="B20"/>
        <w:rPr>
          <w:lang w:eastAsia="zh-CN"/>
        </w:rPr>
      </w:pPr>
      <w:r>
        <w:t>-</w:t>
      </w:r>
      <w:r w:rsidRPr="006360F4">
        <w:tab/>
      </w:r>
      <m:oMath>
        <m:sSub>
          <m:sSubPr>
            <m:ctrlPr>
              <w:rPr>
                <w:rFonts w:ascii="Cambria Math" w:hAnsi="Cambria Math"/>
                <w:i/>
              </w:rPr>
            </m:ctrlPr>
          </m:sSubPr>
          <m:e>
            <m:r>
              <m:rPr>
                <m:nor/>
              </m:rPr>
              <w:rPr>
                <w:i/>
              </w:rPr>
              <m:t>T</m:t>
            </m:r>
          </m:e>
          <m:sub>
            <m:r>
              <m:rPr>
                <m:nor/>
              </m:rPr>
              <w:rPr>
                <w:i/>
              </w:rPr>
              <m:t>last,i</m:t>
            </m:r>
          </m:sub>
        </m:sSub>
      </m:oMath>
      <w:r w:rsidRPr="000506D8">
        <w:rPr>
          <w:i/>
        </w:rPr>
        <w:t xml:space="preserve"> </w:t>
      </w:r>
      <w:r w:rsidRPr="000506D8">
        <w:t xml:space="preserve">is the measurement duration for the last UE Rx-Tx time difference measurement sample in the positioning layer i, including the sampling time and processing time, </w:t>
      </w:r>
      <m:oMath>
        <m:sSub>
          <m:sSubPr>
            <m:ctrlPr>
              <w:rPr>
                <w:rFonts w:ascii="Cambria Math" w:hAnsi="Cambria Math"/>
                <w:i/>
              </w:rPr>
            </m:ctrlPr>
          </m:sSubPr>
          <m:e>
            <m:r>
              <m:rPr>
                <m:nor/>
              </m:rPr>
              <w:rPr>
                <w:i/>
              </w:rPr>
              <m:t>T</m:t>
            </m:r>
          </m:e>
          <m:sub>
            <m:r>
              <m:rPr>
                <m:nor/>
              </m:rPr>
              <w:rPr>
                <w:i/>
              </w:rPr>
              <m:t>last,i</m:t>
            </m:r>
          </m:sub>
        </m:sSub>
      </m:oMath>
      <w:r w:rsidRPr="000506D8">
        <w:rPr>
          <w:i/>
        </w:rPr>
        <w:t xml:space="preserve"> = </w:t>
      </w:r>
      <m:oMath>
        <m:sSub>
          <m:sSubPr>
            <m:ctrlPr>
              <w:rPr>
                <w:rFonts w:ascii="Cambria Math" w:hAnsi="Cambria Math"/>
                <w:i/>
              </w:rPr>
            </m:ctrlPr>
          </m:sSubPr>
          <m:e>
            <m:r>
              <w:rPr>
                <w:rFonts w:ascii="Cambria Math" w:hAnsi="Cambria Math"/>
              </w:rPr>
              <m:t>T</m:t>
            </m:r>
          </m:e>
          <m:sub>
            <m:r>
              <m:rPr>
                <m:nor/>
              </m:rPr>
              <w:rPr>
                <w:i/>
              </w:rPr>
              <m:t>i</m:t>
            </m:r>
          </m:sub>
        </m:sSub>
      </m:oMath>
      <w:r w:rsidRPr="000506D8">
        <w:rPr>
          <w:i/>
        </w:rPr>
        <w:t xml:space="preserve"> + </w:t>
      </w:r>
      <m:oMath>
        <m:sSub>
          <m:sSubPr>
            <m:ctrlPr>
              <w:rPr>
                <w:rFonts w:ascii="Cambria Math" w:hAnsi="Cambria Math"/>
                <w:i/>
              </w:rPr>
            </m:ctrlPr>
          </m:sSubPr>
          <m:e>
            <m:r>
              <w:rPr>
                <w:rFonts w:ascii="Cambria Math" w:hAnsi="Cambria Math"/>
              </w:rPr>
              <m:t>T</m:t>
            </m:r>
          </m:e>
          <m:sub>
            <m:r>
              <w:rPr>
                <w:rFonts w:ascii="Cambria Math" w:hAnsi="Cambria Math"/>
              </w:rPr>
              <m:t>available_PRS</m:t>
            </m:r>
            <m:r>
              <m:rPr>
                <m:nor/>
              </m:rPr>
              <w:rPr>
                <w:i/>
              </w:rPr>
              <m:t>,i</m:t>
            </m:r>
          </m:sub>
        </m:sSub>
      </m:oMath>
      <w:r w:rsidRPr="000506D8">
        <w:t xml:space="preserve"> ,</w:t>
      </w:r>
    </w:p>
    <w:p w14:paraId="78E67136" w14:textId="77777777" w:rsidR="006426C7" w:rsidRPr="000506D8" w:rsidRDefault="006426C7" w:rsidP="006426C7">
      <w:pPr>
        <w:pStyle w:val="B10"/>
        <w:rPr>
          <w:lang w:eastAsia="zh-CN"/>
        </w:rPr>
      </w:pPr>
      <w:r>
        <w:t>-</w:t>
      </w:r>
      <w:r w:rsidRPr="006360F4">
        <w:tab/>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effect,i</m:t>
            </m:r>
          </m:sub>
        </m:sSub>
      </m:oMath>
      <w:r w:rsidRPr="000506D8">
        <w:rPr>
          <w:lang w:eastAsia="zh-CN"/>
        </w:rPr>
        <w:t xml:space="preserve"> is </w:t>
      </w:r>
      <w:r w:rsidRPr="000506D8">
        <w:t>periodicity of UE Rx-Tx time difference measurement in</w:t>
      </w:r>
      <w:r w:rsidRPr="000506D8">
        <w:rPr>
          <w:lang w:eastAsia="zh-CN"/>
        </w:rPr>
        <w:t xml:space="preserve"> positioning frequency layer </w:t>
      </w:r>
      <w:r w:rsidRPr="000506D8">
        <w:rPr>
          <w:i/>
          <w:lang w:eastAsia="zh-CN"/>
        </w:rPr>
        <w:t>i</w:t>
      </w:r>
      <w:r w:rsidRPr="000506D8">
        <w:rPr>
          <w:lang w:eastAsia="zh-CN"/>
        </w:rPr>
        <w:t xml:space="preserve">: </w:t>
      </w:r>
    </w:p>
    <w:p w14:paraId="3B921C21" w14:textId="77777777" w:rsidR="006426C7" w:rsidRPr="000506D8" w:rsidRDefault="006426C7" w:rsidP="006426C7">
      <w:pPr>
        <w:pStyle w:val="EQ"/>
        <w:rPr>
          <w:lang w:eastAsia="zh-CN"/>
        </w:rPr>
      </w:pPr>
      <w:r w:rsidRPr="000506D8">
        <w:tab/>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effect,i</m:t>
            </m:r>
          </m:sub>
        </m:sSub>
        <m:r>
          <m:rPr>
            <m:sty m:val="p"/>
          </m:rPr>
          <w:rPr>
            <w:rFonts w:ascii="Cambria Math" w:hAnsi="Cambria Math"/>
            <w:lang w:eastAsia="zh-CN"/>
          </w:rPr>
          <m:t>=</m:t>
        </m:r>
        <m:r>
          <m:rPr>
            <m:sty m:val="p"/>
          </m:rPr>
          <w:rPr>
            <w:rFonts w:ascii="Cambria Math" w:hAnsi="Cambria Math"/>
          </w:rPr>
          <m:t xml:space="preserve"> </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T</m:t>
                    </m:r>
                  </m:e>
                  <m:sub>
                    <m:r>
                      <w:rPr>
                        <w:rFonts w:ascii="Cambria Math" w:hAnsi="Cambria Math"/>
                      </w:rPr>
                      <m:t>available</m:t>
                    </m:r>
                    <m:r>
                      <m:rPr>
                        <m:sty m:val="p"/>
                      </m:rPr>
                      <w:rPr>
                        <w:rFonts w:ascii="Cambria Math" w:hAnsi="Cambria Math"/>
                      </w:rPr>
                      <m:t>_</m:t>
                    </m:r>
                    <m:r>
                      <w:rPr>
                        <w:rFonts w:ascii="Cambria Math" w:hAnsi="Cambria Math"/>
                      </w:rPr>
                      <m:t>PRS</m:t>
                    </m:r>
                    <m:r>
                      <m:rPr>
                        <m:sty m:val="p"/>
                      </m:rPr>
                      <w:rPr>
                        <w:rFonts w:ascii="Cambria Math" w:hAnsi="Cambria Math"/>
                      </w:rPr>
                      <m:t>,</m:t>
                    </m:r>
                    <m:r>
                      <w:rPr>
                        <w:rFonts w:ascii="Cambria Math" w:hAnsi="Cambria Math"/>
                      </w:rPr>
                      <m:t>i</m:t>
                    </m:r>
                  </m:sub>
                </m:sSub>
              </m:den>
            </m:f>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available</m:t>
            </m:r>
            <m:r>
              <m:rPr>
                <m:sty m:val="p"/>
              </m:rPr>
              <w:rPr>
                <w:rFonts w:ascii="Cambria Math" w:hAnsi="Cambria Math"/>
              </w:rPr>
              <m:t>_</m:t>
            </m:r>
            <m:r>
              <w:rPr>
                <w:rFonts w:ascii="Cambria Math" w:hAnsi="Cambria Math"/>
              </w:rPr>
              <m:t>PRS</m:t>
            </m:r>
            <m:r>
              <m:rPr>
                <m:sty m:val="p"/>
              </m:rPr>
              <w:rPr>
                <w:rFonts w:ascii="Cambria Math" w:hAnsi="Cambria Math"/>
              </w:rPr>
              <m:t>,</m:t>
            </m:r>
            <m:r>
              <w:rPr>
                <w:rFonts w:ascii="Cambria Math" w:hAnsi="Cambria Math"/>
              </w:rPr>
              <m:t>i</m:t>
            </m:r>
          </m:sub>
        </m:sSub>
      </m:oMath>
    </w:p>
    <w:p w14:paraId="6F4DED09" w14:textId="77777777" w:rsidR="006426C7" w:rsidRPr="000506D8" w:rsidRDefault="006426C7" w:rsidP="006426C7">
      <w:pPr>
        <w:spacing w:before="180"/>
      </w:pPr>
      <w:r w:rsidRPr="000506D8">
        <w:t>Where:</w:t>
      </w:r>
    </w:p>
    <w:p w14:paraId="1B8B6450" w14:textId="5136D1A0" w:rsidR="006426C7" w:rsidRPr="000506D8" w:rsidRDefault="006426C7" w:rsidP="006426C7">
      <w:pPr>
        <w:pStyle w:val="B10"/>
      </w:pPr>
      <w:r>
        <w:t>-</w:t>
      </w:r>
      <w:r w:rsidRPr="006360F4">
        <w:tab/>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sidRPr="000506D8">
        <w:t xml:space="preserve"> corresponds to </w:t>
      </w:r>
      <w:r w:rsidRPr="006E4D96">
        <w:rPr>
          <w:i/>
        </w:rPr>
        <w:t>durationOfPRS-ProcessingSymbolsInEveryTms-r17</w:t>
      </w:r>
      <w:r w:rsidRPr="000506D8">
        <w:t xml:space="preserve"> in TS 37.355 [34],</w:t>
      </w:r>
    </w:p>
    <w:p w14:paraId="4D941639" w14:textId="77777777" w:rsidR="006426C7" w:rsidRPr="000506D8" w:rsidRDefault="006426C7" w:rsidP="006426C7">
      <w:pPr>
        <w:pStyle w:val="B10"/>
        <w:rPr>
          <w:lang w:eastAsia="zh-CN"/>
        </w:rPr>
      </w:pPr>
      <w:r>
        <w:t>-</w:t>
      </w:r>
      <w:r w:rsidRPr="006360F4">
        <w:tab/>
      </w:r>
      <m:oMath>
        <m:sSub>
          <m:sSubPr>
            <m:ctrlPr>
              <w:rPr>
                <w:rFonts w:ascii="Cambria Math" w:hAnsi="Cambria Math"/>
              </w:rPr>
            </m:ctrlPr>
          </m:sSubPr>
          <m:e>
            <m:r>
              <w:rPr>
                <w:rFonts w:ascii="Cambria Math" w:hAnsi="Cambria Math"/>
              </w:rPr>
              <m:t>T</m:t>
            </m:r>
          </m:e>
          <m:sub>
            <m:r>
              <w:rPr>
                <w:rFonts w:ascii="Cambria Math" w:hAnsi="Cambria Math"/>
              </w:rPr>
              <m:t>available</m:t>
            </m:r>
            <m:r>
              <m:rPr>
                <m:sty m:val="p"/>
              </m:rPr>
              <w:rPr>
                <w:rFonts w:ascii="Cambria Math" w:hAnsi="Cambria Math"/>
              </w:rPr>
              <m:t>_</m:t>
            </m:r>
            <m:r>
              <w:rPr>
                <w:rFonts w:ascii="Cambria Math" w:hAnsi="Cambria Math"/>
              </w:rPr>
              <m:t>PRS</m:t>
            </m:r>
            <m:r>
              <m:rPr>
                <m:nor/>
              </m:rPr>
              <m:t>,i</m:t>
            </m:r>
          </m:sub>
        </m:sSub>
        <m:r>
          <m:rPr>
            <m:sty m:val="p"/>
          </m:rPr>
          <w:rPr>
            <w:rFonts w:ascii="Cambria Math" w:hAnsi="Cambria Math"/>
          </w:rPr>
          <m:t xml:space="preserve">= </m:t>
        </m:r>
        <m:r>
          <w:rPr>
            <w:rFonts w:ascii="Cambria Math" w:hAnsi="Cambria Math"/>
          </w:rPr>
          <m:t>LCM</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PRS</m:t>
                </m:r>
                <m:r>
                  <m:rPr>
                    <m:nor/>
                  </m: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DRX</m:t>
                </m:r>
              </m:sub>
            </m:sSub>
          </m:e>
        </m:d>
      </m:oMath>
      <w:r w:rsidRPr="000506D8">
        <w:t xml:space="preserve">, the least common multiple between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PRS,i</m:t>
            </m:r>
          </m:sub>
        </m:sSub>
      </m:oMath>
      <w:r w:rsidRPr="000506D8">
        <w:t xml:space="preserve"> and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DRX</m:t>
            </m:r>
          </m:sub>
        </m:sSub>
      </m:oMath>
      <w:r w:rsidRPr="000506D8">
        <w:rPr>
          <w:lang w:eastAsia="zh-CN"/>
        </w:rPr>
        <w:t>.</w:t>
      </w:r>
    </w:p>
    <w:p w14:paraId="45255549" w14:textId="77777777" w:rsidR="006426C7" w:rsidRPr="000506D8" w:rsidRDefault="006426C7" w:rsidP="006426C7">
      <w:pPr>
        <w:pStyle w:val="B10"/>
      </w:pPr>
      <w:r>
        <w:t>-</w:t>
      </w:r>
      <w:r w:rsidRPr="006360F4">
        <w:tab/>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DRX</m:t>
            </m:r>
          </m:sub>
        </m:sSub>
      </m:oMath>
      <w:r w:rsidRPr="000506D8">
        <w:rPr>
          <w:lang w:eastAsia="zh-CN"/>
        </w:rPr>
        <w:t xml:space="preserve"> is the DRX cycle of the UE in the serving cell.</w:t>
      </w:r>
    </w:p>
    <w:p w14:paraId="44459D6C" w14:textId="77777777" w:rsidR="006426C7" w:rsidRPr="000506D8" w:rsidRDefault="006426C7" w:rsidP="006426C7">
      <w:pPr>
        <w:pStyle w:val="B10"/>
      </w:pPr>
      <w:r>
        <w:t>-</w:t>
      </w:r>
      <w:r w:rsidRPr="006360F4">
        <w:tab/>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PRS,i</m:t>
            </m:r>
          </m:sub>
        </m:sSub>
      </m:oMath>
      <w:r w:rsidRPr="000506D8">
        <w:rPr>
          <w:lang w:eastAsia="zh-CN"/>
        </w:rPr>
        <w:t xml:space="preserve"> is the PRS resource periodicity in positioning frequency layer </w:t>
      </w:r>
      <w:r w:rsidRPr="000506D8">
        <w:rPr>
          <w:i/>
          <w:lang w:eastAsia="zh-CN"/>
        </w:rPr>
        <w:t>i</w:t>
      </w:r>
      <w:r w:rsidRPr="000506D8">
        <w:rPr>
          <w:lang w:eastAsia="zh-CN"/>
        </w:rPr>
        <w:t xml:space="preserve">. </w:t>
      </w:r>
      <w:r w:rsidRPr="000506D8">
        <w:t xml:space="preserve">If the positioning frequency layer </w:t>
      </w:r>
      <w:r w:rsidRPr="000506D8">
        <w:rPr>
          <w:i/>
          <w:iCs/>
        </w:rPr>
        <w:t>i</w:t>
      </w:r>
      <w:r w:rsidRPr="000506D8">
        <w:t xml:space="preserve"> has more than one DL PRS resource sets with different PRS periodicities with muting,  </w:t>
      </w:r>
      <m:oMath>
        <m:sSub>
          <m:sSubPr>
            <m:ctrlPr>
              <w:rPr>
                <w:rFonts w:ascii="Cambria Math" w:hAnsi="Cambria Math"/>
              </w:rPr>
            </m:ctrlPr>
          </m:sSubPr>
          <m:e>
            <m:sSubSup>
              <m:sSubSupPr>
                <m:ctrlPr>
                  <w:rPr>
                    <w:rFonts w:ascii="Cambria Math" w:hAnsi="Cambria Math"/>
                  </w:rPr>
                </m:ctrlPr>
              </m:sSubSupPr>
              <m:e>
                <m:r>
                  <w:rPr>
                    <w:rFonts w:ascii="Cambria Math" w:hAnsi="Cambria Math"/>
                  </w:rPr>
                  <m:t>T</m:t>
                </m:r>
              </m:e>
              <m:sub>
                <m:r>
                  <w:rPr>
                    <w:rFonts w:ascii="Cambria Math" w:hAnsi="Cambria Math"/>
                  </w:rPr>
                  <m:t>per</m:t>
                </m:r>
              </m:sub>
              <m:sup>
                <m:r>
                  <w:rPr>
                    <w:rFonts w:ascii="Cambria Math" w:hAnsi="Cambria Math"/>
                  </w:rPr>
                  <m:t>PRS with muting</m:t>
                </m:r>
              </m:sup>
            </m:sSubSup>
            <m:r>
              <m:rPr>
                <m:sty m:val="p"/>
              </m:rPr>
              <w:rPr>
                <w:rFonts w:ascii="Cambria Math" w:hAnsi="Cambria Math"/>
              </w:rPr>
              <m:t>=</m:t>
            </m:r>
            <m:r>
              <w:rPr>
                <w:rFonts w:ascii="Cambria Math" w:hAnsi="Cambria Math"/>
              </w:rPr>
              <m:t>N</m:t>
            </m:r>
          </m:e>
          <m:sub>
            <m:r>
              <w:rPr>
                <w:rFonts w:ascii="Cambria Math" w:hAnsi="Cambria Math"/>
              </w:rPr>
              <m:t>muting</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per</m:t>
            </m:r>
          </m:sub>
          <m:sup>
            <m:r>
              <w:rPr>
                <w:rFonts w:ascii="Cambria Math" w:hAnsi="Cambria Math"/>
              </w:rPr>
              <m:t>PRS</m:t>
            </m:r>
          </m:sup>
        </m:sSubSup>
      </m:oMath>
      <w:r w:rsidRPr="000506D8">
        <w:t xml:space="preserve">, the least common multiple of </w:t>
      </w:r>
      <m:oMath>
        <m:sSubSup>
          <m:sSubSupPr>
            <m:ctrlPr>
              <w:rPr>
                <w:rFonts w:ascii="Cambria Math" w:hAnsi="Cambria Math"/>
              </w:rPr>
            </m:ctrlPr>
          </m:sSubSupPr>
          <m:e>
            <m:r>
              <w:rPr>
                <w:rFonts w:ascii="Cambria Math" w:hAnsi="Cambria Math"/>
              </w:rPr>
              <m:t>T</m:t>
            </m:r>
          </m:e>
          <m:sub>
            <m:r>
              <w:rPr>
                <w:rFonts w:ascii="Cambria Math" w:hAnsi="Cambria Math"/>
              </w:rPr>
              <m:t>per</m:t>
            </m:r>
          </m:sub>
          <m:sup>
            <m:r>
              <w:rPr>
                <w:rFonts w:ascii="Cambria Math" w:hAnsi="Cambria Math"/>
              </w:rPr>
              <m:t>PRS with muting</m:t>
            </m:r>
          </m:sup>
        </m:sSubSup>
      </m:oMath>
      <w:r w:rsidRPr="000506D8">
        <w:t xml:space="preserve"> among DL PRS resource sets is used to derive </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PRS,i</m:t>
            </m:r>
          </m:sub>
        </m:sSub>
      </m:oMath>
      <w:r w:rsidRPr="000506D8">
        <w:t>, where</w:t>
      </w:r>
      <w:r>
        <w:t>:</w:t>
      </w:r>
    </w:p>
    <w:p w14:paraId="3DB51226" w14:textId="77777777" w:rsidR="006426C7" w:rsidRPr="000506D8" w:rsidRDefault="006426C7" w:rsidP="006426C7">
      <w:pPr>
        <w:pStyle w:val="B20"/>
        <w:rPr>
          <w:lang w:eastAsia="zh-CN"/>
        </w:rPr>
      </w:pPr>
      <w:r>
        <w:t>-</w:t>
      </w:r>
      <w:r w:rsidRPr="006360F4">
        <w:tab/>
      </w:r>
      <m:oMath>
        <m:sSubSup>
          <m:sSubSupPr>
            <m:ctrlPr>
              <w:rPr>
                <w:rFonts w:ascii="Cambria Math" w:hAnsi="Cambria Math"/>
              </w:rPr>
            </m:ctrlPr>
          </m:sSubSupPr>
          <m:e>
            <m:r>
              <w:rPr>
                <w:rFonts w:ascii="Cambria Math" w:hAnsi="Cambria Math"/>
              </w:rPr>
              <m:t>T</m:t>
            </m:r>
          </m:e>
          <m:sub>
            <m:r>
              <w:rPr>
                <w:rFonts w:ascii="Cambria Math" w:hAnsi="Cambria Math"/>
              </w:rPr>
              <m:t>per</m:t>
            </m:r>
          </m:sub>
          <m:sup>
            <m:r>
              <w:rPr>
                <w:rFonts w:ascii="Cambria Math" w:hAnsi="Cambria Math"/>
              </w:rPr>
              <m:t>PRS</m:t>
            </m:r>
          </m:sup>
        </m:sSubSup>
      </m:oMath>
      <w:r w:rsidRPr="000506D8">
        <w:rPr>
          <w:lang w:eastAsia="zh-CN"/>
        </w:rPr>
        <w:t xml:space="preserve"> is the periodicity of PRS resource sets given by the higher-layer parameter </w:t>
      </w:r>
      <w:r w:rsidRPr="000506D8">
        <w:rPr>
          <w:i/>
          <w:lang w:eastAsia="zh-CN"/>
        </w:rPr>
        <w:t>DL-PRS-Periodicity</w:t>
      </w:r>
      <w:r w:rsidRPr="000506D8">
        <w:rPr>
          <w:lang w:eastAsia="zh-CN"/>
        </w:rPr>
        <w:t>.</w:t>
      </w:r>
    </w:p>
    <w:p w14:paraId="66861471" w14:textId="257E0ABE" w:rsidR="006426C7" w:rsidRPr="000506D8" w:rsidRDefault="006426C7" w:rsidP="006426C7">
      <w:pPr>
        <w:pStyle w:val="B20"/>
      </w:pPr>
      <w:r>
        <w:t>-</w:t>
      </w:r>
      <w:r w:rsidRPr="006360F4">
        <w:tab/>
      </w:r>
      <m:oMath>
        <m:sSub>
          <m:sSubPr>
            <m:ctrlPr>
              <w:rPr>
                <w:rFonts w:ascii="Cambria Math" w:hAnsi="Cambria Math"/>
              </w:rPr>
            </m:ctrlPr>
          </m:sSubPr>
          <m:e>
            <m:r>
              <w:rPr>
                <w:rFonts w:ascii="Cambria Math" w:hAnsi="Cambria Math"/>
              </w:rPr>
              <m:t>N</m:t>
            </m:r>
          </m:e>
          <m:sub>
            <m:r>
              <w:rPr>
                <w:rFonts w:ascii="Cambria Math" w:hAnsi="Cambria Math"/>
              </w:rPr>
              <m:t>muting</m:t>
            </m:r>
          </m:sub>
        </m:sSub>
      </m:oMath>
      <w:r w:rsidRPr="000506D8">
        <w:t xml:space="preserve"> is the scaling factor considering PRS resource muting. </w:t>
      </w:r>
      <m:oMath>
        <m:sSub>
          <m:sSubPr>
            <m:ctrlPr>
              <w:rPr>
                <w:rFonts w:ascii="Cambria Math" w:hAnsi="Cambria Math"/>
              </w:rPr>
            </m:ctrlPr>
          </m:sSubPr>
          <m:e>
            <m:r>
              <w:rPr>
                <w:rFonts w:ascii="Cambria Math" w:hAnsi="Cambria Math"/>
              </w:rPr>
              <m:t>N</m:t>
            </m:r>
          </m:e>
          <m:sub>
            <m:r>
              <w:rPr>
                <w:rFonts w:ascii="Cambria Math" w:hAnsi="Cambria Math"/>
              </w:rPr>
              <m:t>muting</m:t>
            </m:r>
          </m:sub>
        </m:sSub>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muting</m:t>
            </m:r>
          </m:sub>
          <m:sup>
            <m:r>
              <w:rPr>
                <w:rFonts w:ascii="Cambria Math" w:hAnsi="Cambria Math"/>
              </w:rPr>
              <m:t>PRS</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muting</m:t>
            </m:r>
          </m:sub>
        </m:sSub>
      </m:oMath>
      <w:r w:rsidRPr="000506D8">
        <w:rPr>
          <w:lang w:eastAsia="zh-CN"/>
        </w:rPr>
        <w:t xml:space="preserve">, where </w:t>
      </w:r>
      <m:oMath>
        <m:sSubSup>
          <m:sSubSupPr>
            <m:ctrlPr>
              <w:rPr>
                <w:rFonts w:ascii="Cambria Math" w:hAnsi="Cambria Math"/>
              </w:rPr>
            </m:ctrlPr>
          </m:sSubSupPr>
          <m:e>
            <m:r>
              <w:rPr>
                <w:rFonts w:ascii="Cambria Math" w:hAnsi="Cambria Math"/>
              </w:rPr>
              <m:t>T</m:t>
            </m:r>
          </m:e>
          <m:sub>
            <m:r>
              <w:rPr>
                <w:rFonts w:ascii="Cambria Math" w:hAnsi="Cambria Math"/>
              </w:rPr>
              <m:t>muting</m:t>
            </m:r>
          </m:sub>
          <m:sup>
            <m:r>
              <w:rPr>
                <w:rFonts w:ascii="Cambria Math" w:hAnsi="Cambria Math"/>
              </w:rPr>
              <m:t>PRS</m:t>
            </m:r>
          </m:sup>
        </m:sSubSup>
      </m:oMath>
      <w:r w:rsidRPr="000506D8">
        <w:rPr>
          <w:lang w:eastAsia="zh-CN"/>
        </w:rPr>
        <w:t xml:space="preserve"> is the muting repetition factor given by the higher-layer parameter </w:t>
      </w:r>
      <w:r w:rsidRPr="000506D8">
        <w:rPr>
          <w:i/>
          <w:lang w:eastAsia="zh-CN"/>
        </w:rPr>
        <w:t>DL-PRS-MutingBitRepetitionFactor</w:t>
      </w:r>
      <w:r w:rsidRPr="000506D8">
        <w:rPr>
          <w:lang w:eastAsia="zh-CN"/>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muting</m:t>
            </m:r>
          </m:sub>
        </m:sSub>
      </m:oMath>
      <w:r w:rsidRPr="000506D8">
        <w:rPr>
          <w:lang w:eastAsia="zh-CN"/>
        </w:rPr>
        <w:t xml:space="preserve"> is the size of the bitmap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lang w:val="en-US"/>
                  </w:rPr>
                  <m:t>b</m:t>
                </m:r>
              </m:e>
              <m:sup>
                <m:r>
                  <w:rPr>
                    <w:rFonts w:ascii="Cambria Math" w:hAnsi="Cambria Math"/>
                    <w:lang w:val="en-US"/>
                  </w:rPr>
                  <m:t>1</m:t>
                </m:r>
              </m:sup>
            </m:sSup>
          </m:e>
        </m:d>
      </m:oMath>
    </w:p>
    <w:p w14:paraId="40CB2EAF" w14:textId="77777777" w:rsidR="006426C7" w:rsidRPr="000506D8" w:rsidRDefault="006426C7" w:rsidP="006426C7">
      <w:pPr>
        <w:rPr>
          <w:iCs/>
          <w:noProof/>
        </w:rPr>
      </w:pPr>
      <w:r w:rsidRPr="000506D8">
        <w:t xml:space="preserve">The time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UERxTx,Total</m:t>
            </m:r>
          </m:sub>
        </m:sSub>
      </m:oMath>
      <w:r w:rsidRPr="000506D8">
        <w:t xml:space="preserve"> starts from the first DRX cycle containing the DL PRS resources in the assistance data after both the </w:t>
      </w:r>
      <w:r w:rsidRPr="000506D8">
        <w:rPr>
          <w:i/>
        </w:rPr>
        <w:t>NR-Multi-RTT-Request</w:t>
      </w:r>
      <w:r w:rsidRPr="000506D8">
        <w:rPr>
          <w:i/>
          <w:noProof/>
        </w:rPr>
        <w:t xml:space="preserve">LocationInformation </w:t>
      </w:r>
      <w:r w:rsidRPr="000506D8">
        <w:rPr>
          <w:iCs/>
          <w:noProof/>
        </w:rPr>
        <w:t xml:space="preserve">message and </w:t>
      </w:r>
      <w:r w:rsidRPr="000506D8">
        <w:rPr>
          <w:i/>
        </w:rPr>
        <w:t>NR-Multi-RTT-Provide</w:t>
      </w:r>
      <w:r w:rsidRPr="000506D8">
        <w:rPr>
          <w:i/>
          <w:noProof/>
        </w:rPr>
        <w:t xml:space="preserve">AssistanceData </w:t>
      </w:r>
      <w:r w:rsidRPr="000506D8">
        <w:rPr>
          <w:iCs/>
          <w:noProof/>
        </w:rPr>
        <w:t xml:space="preserve">message </w:t>
      </w:r>
      <w:r w:rsidRPr="000506D8">
        <w:rPr>
          <w:iCs/>
        </w:rPr>
        <w:t>from LMF via LPP [34]</w:t>
      </w:r>
      <w:r w:rsidRPr="000506D8">
        <w:rPr>
          <w:iCs/>
          <w:noProof/>
        </w:rPr>
        <w:t xml:space="preserve"> are delivered to the physical layer of UE.</w:t>
      </w:r>
    </w:p>
    <w:p w14:paraId="4DCABE2C" w14:textId="77777777" w:rsidR="006426C7" w:rsidRPr="000506D8" w:rsidRDefault="006426C7" w:rsidP="006426C7">
      <w:pPr>
        <w:rPr>
          <w:iCs/>
          <w:lang w:eastAsia="zh-CN"/>
        </w:rPr>
      </w:pPr>
      <w:r w:rsidRPr="000506D8">
        <w:rPr>
          <w:rFonts w:hint="eastAsia"/>
          <w:iCs/>
          <w:lang w:eastAsia="zh-CN"/>
        </w:rPr>
        <w:t>N</w:t>
      </w:r>
      <w:r w:rsidRPr="000506D8">
        <w:rPr>
          <w:iCs/>
          <w:lang w:eastAsia="zh-CN"/>
        </w:rPr>
        <w:t>ote: No per-positioning frequency layer requirement is applied in scenarios when multiple positioning frequency layers are configured.</w:t>
      </w:r>
    </w:p>
    <w:p w14:paraId="75EE8C93" w14:textId="77777777" w:rsidR="006426C7" w:rsidRPr="000506D8" w:rsidRDefault="006426C7" w:rsidP="006426C7">
      <w:pPr>
        <w:rPr>
          <w:iCs/>
          <w:lang w:eastAsia="zh-CN"/>
        </w:rPr>
      </w:pPr>
      <w:r w:rsidRPr="000506D8">
        <w:t>If the RRC state transion occurs from RRC_INACTIVE to RRC_CONNECTED state during the UE Rx-Tx time difference measurement period then the UE shall restart the UE Rx-Tx time difference measurement after it obtains SRS configuration and Timing Advance command from the serving cell.</w:t>
      </w:r>
    </w:p>
    <w:p w14:paraId="5B93E780" w14:textId="77777777" w:rsidR="006426C7" w:rsidRPr="000506D8" w:rsidRDefault="006426C7" w:rsidP="006426C7">
      <w:r w:rsidRPr="000506D8">
        <w:t>If cell reselection occurs during the UE Rx-Tx time difference measurement period then the UE shall restart the UE Rx-Tx time difference measurement after it obtains SRS configuration and Timing Advance command from the new serving cell.</w:t>
      </w:r>
    </w:p>
    <w:p w14:paraId="5424FC54" w14:textId="77777777" w:rsidR="006426C7" w:rsidRPr="000506D8" w:rsidRDefault="006426C7" w:rsidP="006426C7">
      <w:pPr>
        <w:rPr>
          <w:lang w:val="en-US" w:eastAsia="zh-CN"/>
        </w:rPr>
      </w:pPr>
      <w:r w:rsidRPr="000506D8">
        <w:rPr>
          <w:lang w:val="en-US" w:eastAsia="zh-CN"/>
        </w:rPr>
        <w:t>The measurement requirements do not apply for a PRS resource:</w:t>
      </w:r>
    </w:p>
    <w:p w14:paraId="29F112C3" w14:textId="77777777" w:rsidR="006426C7" w:rsidRPr="000506D8" w:rsidRDefault="006426C7" w:rsidP="006426C7">
      <w:pPr>
        <w:pStyle w:val="B10"/>
        <w:rPr>
          <w:lang w:val="en-US" w:eastAsia="zh-CN"/>
        </w:rPr>
      </w:pPr>
      <w:r w:rsidRPr="000506D8">
        <w:rPr>
          <w:lang w:val="en-US" w:eastAsia="zh-CN"/>
        </w:rPr>
        <w:t>-</w:t>
      </w:r>
      <w:r w:rsidRPr="000506D8">
        <w:rPr>
          <w:lang w:val="en-US" w:eastAsia="zh-CN"/>
        </w:rPr>
        <w:tab/>
        <w:t xml:space="preserve">if the PRS resource is across two sampling duration of N within duration </w:t>
      </w:r>
      <m:oMath>
        <m:sSub>
          <m:sSubPr>
            <m:ctrlPr>
              <w:rPr>
                <w:rFonts w:ascii="Cambria Math" w:eastAsia="Calibri" w:hAnsi="Cambria Math"/>
                <w:i/>
                <w:iCs/>
              </w:rPr>
            </m:ctrlPr>
          </m:sSubPr>
          <m:e>
            <m:r>
              <w:rPr>
                <w:rFonts w:ascii="Cambria Math" w:hAnsi="Cambria Math"/>
                <w:lang w:eastAsia="zh-CN"/>
              </w:rPr>
              <m:t>L</m:t>
            </m:r>
          </m:e>
          <m:sub>
            <m:r>
              <w:rPr>
                <w:rFonts w:ascii="Cambria Math" w:hAnsi="Cambria Math"/>
                <w:lang w:eastAsia="zh-CN"/>
              </w:rPr>
              <m:t>available_PRS</m:t>
            </m:r>
            <m:r>
              <m:rPr>
                <m:sty m:val="p"/>
              </m:rPr>
              <w:rPr>
                <w:rFonts w:ascii="Cambria Math" w:hAnsi="Cambria Math"/>
                <w:lang w:eastAsia="zh-CN"/>
              </w:rPr>
              <m:t>,i</m:t>
            </m:r>
          </m:sub>
        </m:sSub>
      </m:oMath>
      <w:r w:rsidRPr="000506D8">
        <w:rPr>
          <w:lang w:val="en-US" w:eastAsia="zh-CN"/>
        </w:rPr>
        <w:t xml:space="preserve"> or </w:t>
      </w:r>
    </w:p>
    <w:p w14:paraId="20697A10" w14:textId="77777777" w:rsidR="006426C7" w:rsidRPr="000506D8" w:rsidRDefault="006426C7" w:rsidP="006426C7">
      <w:pPr>
        <w:pStyle w:val="B10"/>
        <w:rPr>
          <w:lang w:val="en-US" w:eastAsia="zh-CN"/>
        </w:rPr>
      </w:pPr>
      <w:r w:rsidRPr="000506D8">
        <w:t>-</w:t>
      </w:r>
      <w:r w:rsidRPr="000506D8">
        <w:tab/>
        <w:t>if time span of the PRS resource instance (including at least the minimum number of repetitions specified in the accuracy requirements) is greater than UE reported capability N.</w:t>
      </w:r>
    </w:p>
    <w:p w14:paraId="097C8CA3" w14:textId="77777777" w:rsidR="006426C7" w:rsidRPr="000506D8" w:rsidRDefault="006426C7" w:rsidP="006426C7">
      <w:pPr>
        <w:rPr>
          <w:lang w:eastAsia="zh-CN"/>
        </w:rPr>
      </w:pPr>
      <w:r w:rsidRPr="000506D8">
        <w:rPr>
          <w:lang w:eastAsia="zh-CN"/>
        </w:rPr>
        <w:t>If the DRX cycle is reconfigured during the UE Rx-Tx time difference measurement period then the UE Rx-Tx time difference measurement period can be longer.</w:t>
      </w:r>
    </w:p>
    <w:p w14:paraId="0A2BEE02" w14:textId="77777777" w:rsidR="006426C7" w:rsidRPr="000506D8" w:rsidRDefault="006426C7" w:rsidP="006426C7">
      <w:r w:rsidRPr="000506D8">
        <w:t xml:space="preserve">If during </w:t>
      </w:r>
      <w:r w:rsidRPr="000506D8">
        <w:rPr>
          <w:lang w:eastAsia="zh-CN"/>
        </w:rPr>
        <w:t>UE Rx-Tx time difference</w:t>
      </w:r>
      <w:r w:rsidRPr="000506D8">
        <w:t xml:space="preserve"> measurement period PRS resources overlap with other DL signals/channels then the </w:t>
      </w:r>
      <w:r w:rsidRPr="000506D8">
        <w:rPr>
          <w:lang w:eastAsia="zh-CN"/>
        </w:rPr>
        <w:t>UE Rx-Tx time difference measurement period can be longer</w:t>
      </w:r>
      <w:r w:rsidRPr="000506D8">
        <w:t>.</w:t>
      </w:r>
    </w:p>
    <w:p w14:paraId="52567D52" w14:textId="77777777" w:rsidR="006426C7" w:rsidRPr="000506D8" w:rsidRDefault="006426C7" w:rsidP="006426C7">
      <w:pPr>
        <w:rPr>
          <w:lang w:eastAsia="zh-CN"/>
        </w:rPr>
      </w:pPr>
      <w:r w:rsidRPr="000506D8">
        <w:rPr>
          <w:lang w:eastAsia="zh-CN"/>
        </w:rPr>
        <w:t xml:space="preserve">When PRS-RSRP is configured for multi-RTT, the UE Rx-Tx time difference measurements and PRS-RSRP measurements are performed over the same measurement period. </w:t>
      </w:r>
    </w:p>
    <w:p w14:paraId="5B128E46" w14:textId="6F6EEEB7" w:rsidR="006426C7" w:rsidRPr="000506D8" w:rsidRDefault="006426C7" w:rsidP="006426C7">
      <w:pPr>
        <w:rPr>
          <w:lang w:eastAsia="zh-CN"/>
        </w:rPr>
      </w:pPr>
      <w:r w:rsidRPr="000506D8">
        <w:rPr>
          <w:rFonts w:cs="v4.2.0"/>
        </w:rPr>
        <w:t xml:space="preserve">The requirements in clause </w:t>
      </w:r>
      <w:r>
        <w:rPr>
          <w:rFonts w:cs="v4.2.0"/>
        </w:rPr>
        <w:t>5.</w:t>
      </w:r>
      <w:r>
        <w:rPr>
          <w:rFonts w:cs="v4.2.0" w:hint="eastAsia"/>
          <w:lang w:eastAsia="zh-CN"/>
        </w:rPr>
        <w:t>6</w:t>
      </w:r>
      <w:r w:rsidRPr="000506D8">
        <w:rPr>
          <w:rFonts w:cs="v4.2.0"/>
        </w:rPr>
        <w:t xml:space="preserve">.4 do not apply if the PRS configuration given by higher layer paramters </w:t>
      </w:r>
      <w:r w:rsidRPr="000506D8">
        <w:rPr>
          <w:i/>
          <w:snapToGrid w:val="0"/>
        </w:rPr>
        <w:t>NR-DL-PRS-AssistanceData</w:t>
      </w:r>
      <w:r w:rsidRPr="000506D8">
        <w:rPr>
          <w:snapToGrid w:val="0"/>
        </w:rPr>
        <w:t xml:space="preserve"> </w:t>
      </w:r>
      <w:r w:rsidRPr="000506D8">
        <w:rPr>
          <w:rFonts w:cs="v4.2.0"/>
        </w:rPr>
        <w:t xml:space="preserve">exceeds any of the UE measurement capabilities given by </w:t>
      </w:r>
      <w:r w:rsidRPr="000506D8">
        <w:rPr>
          <w:rFonts w:cs="v4.2.0"/>
          <w:i/>
        </w:rPr>
        <w:t>NR-DL-PRS-ResourcesCapability</w:t>
      </w:r>
      <w:r w:rsidRPr="000506D8">
        <w:rPr>
          <w:lang w:eastAsia="zh-CN"/>
        </w:rPr>
        <w:t xml:space="preserve"> in </w:t>
      </w:r>
      <w:r w:rsidRPr="000506D8">
        <w:rPr>
          <w:i/>
        </w:rPr>
        <w:t>NR-Multi-RTT-Provide</w:t>
      </w:r>
      <w:r w:rsidRPr="000506D8">
        <w:rPr>
          <w:i/>
          <w:noProof/>
        </w:rPr>
        <w:t>Capabilities</w:t>
      </w:r>
      <w:r w:rsidRPr="000506D8">
        <w:rPr>
          <w:iCs/>
          <w:lang w:eastAsia="zh-CN"/>
        </w:rPr>
        <w:t xml:space="preserve">, and it is up to UE implementation which PRS resources are measured, subject to </w:t>
      </w:r>
      <w:r w:rsidRPr="000506D8">
        <w:rPr>
          <w:rFonts w:cs="v4.2.0"/>
        </w:rPr>
        <w:t>UE measurement capabilities</w:t>
      </w:r>
      <w:r w:rsidRPr="000506D8">
        <w:rPr>
          <w:i/>
          <w:iCs/>
          <w:lang w:eastAsia="zh-CN"/>
        </w:rPr>
        <w:t>.</w:t>
      </w:r>
    </w:p>
    <w:p w14:paraId="271BFCE3" w14:textId="77777777" w:rsidR="00CD7933" w:rsidRPr="000506D8" w:rsidRDefault="00CD7933" w:rsidP="00620ED6">
      <w:r w:rsidRPr="000506D8">
        <w:t xml:space="preserve">If UE uplink transmission timing changes due to the network-configured Timing Advance command during the UE Rx-Tx measurement period, then the UE Rx-Tx time difference measurement period is restarted </w:t>
      </w:r>
      <w:r w:rsidRPr="000506D8">
        <w:rPr>
          <w:lang w:eastAsia="zh-CN"/>
        </w:rPr>
        <w:t>after uplink transmission timing changes, and t</w:t>
      </w:r>
      <w:r w:rsidRPr="000506D8">
        <w:t>he UE Rx-Tx time difference measurement period requirements in this clause shall not apply.</w:t>
      </w:r>
    </w:p>
    <w:p w14:paraId="77C165A8" w14:textId="6E17176E" w:rsidR="00CD7933" w:rsidRDefault="00CD7933" w:rsidP="00620ED6">
      <w:r w:rsidRPr="000506D8">
        <w:t xml:space="preserve">If UE uplink transmission timing changes due to the change in the </w:t>
      </w:r>
      <w:r w:rsidRPr="000506D8">
        <w:rPr>
          <w:rFonts w:eastAsiaTheme="minorEastAsia"/>
        </w:rPr>
        <w:t>N</w:t>
      </w:r>
      <w:r w:rsidRPr="000506D8">
        <w:rPr>
          <w:rFonts w:eastAsiaTheme="minorEastAsia"/>
          <w:vertAlign w:val="subscript"/>
        </w:rPr>
        <w:t>TA_offset</w:t>
      </w:r>
      <w:r w:rsidRPr="000506D8">
        <w:rPr>
          <w:rFonts w:eastAsiaTheme="minorEastAsia"/>
        </w:rPr>
        <w:t xml:space="preserve"> defined in Table 7.1.2-2 </w:t>
      </w:r>
      <w:r w:rsidRPr="000506D8">
        <w:t xml:space="preserve">during the UE Rx-Tx measurement period, then the UE Rx-Tx time difference measurement period is restarted </w:t>
      </w:r>
      <w:r w:rsidRPr="000506D8">
        <w:rPr>
          <w:lang w:eastAsia="zh-CN"/>
        </w:rPr>
        <w:t>after uplink transmission timing changes, and t</w:t>
      </w:r>
      <w:r w:rsidRPr="000506D8">
        <w:t>he UE Rx-Tx time difference measurement period requirements in this clause shall not apply.</w:t>
      </w:r>
    </w:p>
    <w:p w14:paraId="06EAD957" w14:textId="7AA0942D" w:rsidR="00F118A5" w:rsidRPr="0059058A" w:rsidRDefault="00F118A5" w:rsidP="00620ED6">
      <w:r w:rsidRPr="002A267E">
        <w:t xml:space="preserve">The UE shall meet the </w:t>
      </w:r>
      <w:r w:rsidRPr="0041599E">
        <w:t>UE Rx-Tx time difference</w:t>
      </w:r>
      <w:r w:rsidRPr="002A267E">
        <w:t xml:space="preserve"> measurement accuracy requirements in clause 10.1.</w:t>
      </w:r>
      <w:r>
        <w:t>25</w:t>
      </w:r>
      <w:r w:rsidRPr="002A267E">
        <w:t>.</w:t>
      </w:r>
    </w:p>
    <w:p w14:paraId="5165CC06" w14:textId="77777777" w:rsidR="00CD7933" w:rsidRDefault="00CD7933" w:rsidP="00CD7933">
      <w:pPr>
        <w:pStyle w:val="Heading3"/>
      </w:pPr>
      <w:r>
        <w:t>5.6</w:t>
      </w:r>
      <w:r w:rsidRPr="0059058A">
        <w:t>.</w:t>
      </w:r>
      <w:r>
        <w:t>5</w:t>
      </w:r>
      <w:r w:rsidRPr="0059058A">
        <w:tab/>
      </w:r>
      <w:r>
        <w:t xml:space="preserve">PRS-RSRPP </w:t>
      </w:r>
      <w:r w:rsidRPr="0059058A">
        <w:t>measurements</w:t>
      </w:r>
    </w:p>
    <w:p w14:paraId="4950F4E5" w14:textId="77777777" w:rsidR="00CD7933" w:rsidRPr="004B0A06" w:rsidRDefault="00CD7933" w:rsidP="00CD7933">
      <w:pPr>
        <w:pStyle w:val="Heading4"/>
        <w:rPr>
          <w:lang w:eastAsia="zh-CN"/>
        </w:rPr>
      </w:pPr>
      <w:r>
        <w:rPr>
          <w:lang w:eastAsia="zh-CN"/>
        </w:rPr>
        <w:t>5.6.</w:t>
      </w:r>
      <w:r w:rsidRPr="004B0A06">
        <w:rPr>
          <w:lang w:eastAsia="zh-CN"/>
        </w:rPr>
        <w:t>5</w:t>
      </w:r>
      <w:r w:rsidRPr="004B0A06">
        <w:rPr>
          <w:rFonts w:hint="eastAsia"/>
          <w:lang w:eastAsia="zh-CN"/>
        </w:rPr>
        <w:t>.1</w:t>
      </w:r>
      <w:r w:rsidRPr="004B0A06">
        <w:rPr>
          <w:lang w:eastAsia="zh-CN"/>
        </w:rPr>
        <w:tab/>
        <w:t>Introduction</w:t>
      </w:r>
    </w:p>
    <w:p w14:paraId="41CFD28D" w14:textId="77777777" w:rsidR="00CD7933" w:rsidRPr="004B0A06" w:rsidRDefault="00CD7933" w:rsidP="00CD7933">
      <w:pPr>
        <w:rPr>
          <w:rFonts w:eastAsiaTheme="minorEastAsia"/>
          <w:lang w:eastAsia="zh-CN"/>
        </w:rPr>
      </w:pPr>
      <w:r w:rsidRPr="004B0A06">
        <w:rPr>
          <w:rFonts w:eastAsiaTheme="minorEastAsia"/>
          <w:lang w:eastAsia="zh-CN"/>
        </w:rPr>
        <w:t xml:space="preserve">The requirements in clause </w:t>
      </w:r>
      <w:r>
        <w:rPr>
          <w:rFonts w:eastAsiaTheme="minorEastAsia" w:hint="eastAsia"/>
          <w:lang w:eastAsia="zh-CN"/>
        </w:rPr>
        <w:t>5.</w:t>
      </w:r>
      <w:r>
        <w:rPr>
          <w:rFonts w:eastAsiaTheme="minorEastAsia"/>
          <w:lang w:eastAsia="zh-CN"/>
        </w:rPr>
        <w:t>6</w:t>
      </w:r>
      <w:r w:rsidRPr="004B0A06">
        <w:rPr>
          <w:rFonts w:eastAsiaTheme="minorEastAsia"/>
          <w:lang w:eastAsia="zh-CN"/>
        </w:rPr>
        <w:t>.5 shall apply provided the UE has received a message from LMF via LPP requesting the UE to measure and report PRS-RSRPP measurements defined in TS 38.215 [4]. And the UE is capable of supporting the PRS-RSR</w:t>
      </w:r>
      <w:r w:rsidRPr="004B0A06">
        <w:rPr>
          <w:rFonts w:eastAsiaTheme="minorEastAsia" w:hint="eastAsia"/>
          <w:lang w:eastAsia="zh-CN"/>
        </w:rPr>
        <w:t>PP</w:t>
      </w:r>
      <w:r w:rsidRPr="004B0A06">
        <w:rPr>
          <w:rFonts w:eastAsiaTheme="minorEastAsia"/>
          <w:lang w:eastAsia="zh-CN"/>
        </w:rPr>
        <w:t xml:space="preserve"> </w:t>
      </w:r>
      <w:r w:rsidRPr="004B0A06">
        <w:rPr>
          <w:rFonts w:eastAsiaTheme="minorEastAsia" w:hint="eastAsia"/>
          <w:lang w:eastAsia="zh-CN"/>
        </w:rPr>
        <w:t>measurement</w:t>
      </w:r>
      <w:r w:rsidRPr="004B0A06">
        <w:rPr>
          <w:rFonts w:eastAsiaTheme="minorEastAsia"/>
          <w:lang w:eastAsia="zh-CN"/>
        </w:rPr>
        <w:t xml:space="preserve"> </w:t>
      </w:r>
      <w:r w:rsidRPr="004B0A06">
        <w:rPr>
          <w:rFonts w:eastAsiaTheme="minorEastAsia" w:hint="eastAsia"/>
          <w:lang w:eastAsia="zh-CN"/>
        </w:rPr>
        <w:t>in</w:t>
      </w:r>
      <w:r w:rsidRPr="004B0A06">
        <w:rPr>
          <w:rFonts w:eastAsiaTheme="minorEastAsia"/>
          <w:lang w:eastAsia="zh-CN"/>
        </w:rPr>
        <w:t xml:space="preserve"> RRC INACTIVE </w:t>
      </w:r>
      <w:r w:rsidRPr="004B0A06">
        <w:rPr>
          <w:rFonts w:eastAsiaTheme="minorEastAsia" w:hint="eastAsia"/>
          <w:lang w:eastAsia="zh-CN"/>
        </w:rPr>
        <w:t>state.</w:t>
      </w:r>
    </w:p>
    <w:p w14:paraId="5CCD5180" w14:textId="77777777" w:rsidR="00CD7933" w:rsidRPr="004B0A06" w:rsidRDefault="00CD7933" w:rsidP="00CD7933">
      <w:pPr>
        <w:pStyle w:val="Heading4"/>
      </w:pPr>
      <w:r>
        <w:rPr>
          <w:lang w:eastAsia="zh-CN"/>
        </w:rPr>
        <w:t>5.6</w:t>
      </w:r>
      <w:r w:rsidRPr="004B0A06">
        <w:rPr>
          <w:lang w:eastAsia="zh-CN"/>
        </w:rPr>
        <w:t>.5</w:t>
      </w:r>
      <w:r w:rsidRPr="004B0A06">
        <w:rPr>
          <w:rFonts w:hint="eastAsia"/>
          <w:lang w:eastAsia="zh-CN"/>
        </w:rPr>
        <w:t>.2</w:t>
      </w:r>
      <w:r>
        <w:tab/>
      </w:r>
      <w:r w:rsidRPr="004B0A06">
        <w:t>Requirements applicability</w:t>
      </w:r>
    </w:p>
    <w:p w14:paraId="4BBC7304" w14:textId="77777777" w:rsidR="00CD7933" w:rsidRPr="004B0A06" w:rsidRDefault="00CD7933" w:rsidP="00CD7933">
      <w:pPr>
        <w:spacing w:before="100" w:beforeAutospacing="1" w:after="100" w:afterAutospacing="1"/>
        <w:rPr>
          <w:lang w:val="en-US"/>
        </w:rPr>
      </w:pPr>
      <w:r w:rsidRPr="004B0A06">
        <w:rPr>
          <w:lang w:val="en-US"/>
        </w:rPr>
        <w:t xml:space="preserve">The requirements in clause </w:t>
      </w:r>
      <w:r>
        <w:rPr>
          <w:rFonts w:hint="eastAsia"/>
          <w:lang w:val="en-US" w:eastAsia="zh-CN"/>
        </w:rPr>
        <w:t>5.</w:t>
      </w:r>
      <w:r>
        <w:rPr>
          <w:lang w:val="en-US" w:eastAsia="zh-CN"/>
        </w:rPr>
        <w:t>6.</w:t>
      </w:r>
      <w:r w:rsidRPr="004B0A06">
        <w:rPr>
          <w:rFonts w:hint="eastAsia"/>
          <w:lang w:val="en-US" w:eastAsia="zh-CN"/>
        </w:rPr>
        <w:t>5</w:t>
      </w:r>
      <w:r w:rsidRPr="004B0A06">
        <w:rPr>
          <w:lang w:val="en-US"/>
        </w:rPr>
        <w:t xml:space="preserve"> apply for periodic and triggered PRS-RSRPP measurements, provided: </w:t>
      </w:r>
    </w:p>
    <w:p w14:paraId="1795404A" w14:textId="77777777" w:rsidR="00CD7933" w:rsidRDefault="00CD7933" w:rsidP="00CD7933">
      <w:pPr>
        <w:pStyle w:val="B10"/>
        <w:rPr>
          <w:lang w:val="en-US"/>
        </w:rPr>
      </w:pPr>
      <w:r w:rsidRPr="004B0A06">
        <w:rPr>
          <w:lang w:val="en-US"/>
        </w:rPr>
        <w:t>-</w:t>
      </w:r>
      <w:r>
        <w:rPr>
          <w:lang w:val="en-US"/>
        </w:rPr>
        <w:tab/>
      </w:r>
      <w:r w:rsidRPr="004B0A06">
        <w:rPr>
          <w:lang w:val="en-US"/>
        </w:rPr>
        <w:t>PRS-RSRPP related side conditions given in clause 10.1.</w:t>
      </w:r>
      <w:r w:rsidRPr="004B0A06">
        <w:rPr>
          <w:rFonts w:hint="eastAsia"/>
          <w:lang w:val="en-US" w:eastAsia="zh-CN"/>
        </w:rPr>
        <w:t>x</w:t>
      </w:r>
      <w:r w:rsidRPr="004B0A06">
        <w:rPr>
          <w:lang w:val="en-US"/>
        </w:rPr>
        <w:t xml:space="preserve"> are met for a corresponding Band. </w:t>
      </w:r>
    </w:p>
    <w:p w14:paraId="53D01692" w14:textId="77777777" w:rsidR="00CD7933" w:rsidRPr="00045CDB" w:rsidRDefault="00CD7933" w:rsidP="00CD7933">
      <w:pPr>
        <w:pStyle w:val="Heading4"/>
        <w:rPr>
          <w:lang w:eastAsia="zh-CN"/>
        </w:rPr>
      </w:pPr>
      <w:r>
        <w:rPr>
          <w:lang w:eastAsia="zh-CN"/>
        </w:rPr>
        <w:t>5.6</w:t>
      </w:r>
      <w:r w:rsidRPr="00045CDB">
        <w:rPr>
          <w:lang w:eastAsia="zh-CN"/>
        </w:rPr>
        <w:t>.5.</w:t>
      </w:r>
      <w:bookmarkStart w:id="77" w:name="_Hlk97310521"/>
      <w:r w:rsidRPr="00045CDB">
        <w:rPr>
          <w:lang w:eastAsia="zh-CN"/>
        </w:rPr>
        <w:t>3</w:t>
      </w:r>
      <w:bookmarkEnd w:id="77"/>
      <w:r>
        <w:tab/>
      </w:r>
      <w:r w:rsidRPr="00045CDB">
        <w:rPr>
          <w:lang w:eastAsia="zh-CN"/>
        </w:rPr>
        <w:t>Measurement capability</w:t>
      </w:r>
    </w:p>
    <w:p w14:paraId="3FB56617" w14:textId="405973D6" w:rsidR="002D211A" w:rsidRPr="004B0A06" w:rsidRDefault="002D211A" w:rsidP="002D211A">
      <w:pPr>
        <w:spacing w:before="100" w:beforeAutospacing="1" w:after="100" w:afterAutospacing="1"/>
        <w:rPr>
          <w:lang w:val="en-US" w:eastAsia="zh-CN"/>
        </w:rPr>
      </w:pPr>
      <w:r>
        <w:rPr>
          <w:rFonts w:cs="v4.2.0"/>
        </w:rPr>
        <w:t>UE PRS-RSRP</w:t>
      </w:r>
      <w:r>
        <w:rPr>
          <w:rFonts w:cs="v4.2.0" w:hint="eastAsia"/>
          <w:lang w:eastAsia="zh-CN"/>
        </w:rPr>
        <w:t>P</w:t>
      </w:r>
      <w:r>
        <w:rPr>
          <w:rFonts w:cs="v4.2.0"/>
        </w:rPr>
        <w:t xml:space="preserve"> measurement capability is as indicated by the UE in </w:t>
      </w:r>
      <w:r>
        <w:rPr>
          <w:i/>
        </w:rPr>
        <w:t>NR-DL-AoD-Provide</w:t>
      </w:r>
      <w:r>
        <w:rPr>
          <w:i/>
          <w:noProof/>
        </w:rPr>
        <w:t xml:space="preserve">Capabilities </w:t>
      </w:r>
      <w:r>
        <w:rPr>
          <w:rFonts w:cs="v4.2.0"/>
        </w:rPr>
        <w:t>according to TS 37.355 [34].</w:t>
      </w:r>
    </w:p>
    <w:p w14:paraId="794C0748" w14:textId="27C9499C" w:rsidR="00CD7933" w:rsidRPr="004B0A06" w:rsidRDefault="00CD7933" w:rsidP="00CD7933">
      <w:pPr>
        <w:pStyle w:val="Heading4"/>
        <w:rPr>
          <w:lang w:eastAsia="zh-CN"/>
        </w:rPr>
      </w:pPr>
      <w:r>
        <w:rPr>
          <w:lang w:eastAsia="zh-CN"/>
        </w:rPr>
        <w:t>5.6</w:t>
      </w:r>
      <w:r w:rsidRPr="004B0A06">
        <w:rPr>
          <w:lang w:eastAsia="zh-CN"/>
        </w:rPr>
        <w:t>.5</w:t>
      </w:r>
      <w:r w:rsidRPr="004B0A06">
        <w:rPr>
          <w:rFonts w:hint="eastAsia"/>
          <w:lang w:eastAsia="zh-CN"/>
        </w:rPr>
        <w:t>.4</w:t>
      </w:r>
      <w:r w:rsidR="002D211A">
        <w:tab/>
      </w:r>
      <w:r w:rsidRPr="004B0A06">
        <w:rPr>
          <w:lang w:eastAsia="zh-CN"/>
        </w:rPr>
        <w:t>Measurement reporting requirements</w:t>
      </w:r>
    </w:p>
    <w:p w14:paraId="0A83AB1E" w14:textId="01CC5790" w:rsidR="002D211A" w:rsidRPr="006360F4" w:rsidRDefault="002D211A" w:rsidP="002D211A">
      <w:r w:rsidRPr="006360F4">
        <w:t>The measurement reporting delay is defined as the time between the moment when the periodic measurement report is triggered and the moment when the UE is ready to transmit the measurement report over the air interface. If the UE supports reporting of NR positioning measurements via SDT, the UE may be able to report the measurements while it remains in RRC_INACTIVE state; otherwise, the UE will transition to RRC_CONNECTED state prior to transmitting the measurement report.</w:t>
      </w:r>
    </w:p>
    <w:p w14:paraId="7848429C" w14:textId="77777777" w:rsidR="002D211A" w:rsidRPr="006360F4" w:rsidRDefault="002D211A" w:rsidP="002D211A">
      <w:r w:rsidRPr="006360F4">
        <w:t>For PRS-RSRP</w:t>
      </w:r>
      <w:r>
        <w:rPr>
          <w:rFonts w:hint="eastAsia"/>
          <w:lang w:eastAsia="zh-CN"/>
        </w:rPr>
        <w:t>P</w:t>
      </w:r>
      <w:r w:rsidRPr="006360F4">
        <w:t xml:space="preserve"> measurements performed by the UE in RRC_INACTIVE state, </w:t>
      </w:r>
      <w:r>
        <w:t>t</w:t>
      </w:r>
      <w:r w:rsidRPr="006360F4">
        <w:t>he measurement reporting delay excludes all of the following:</w:t>
      </w:r>
    </w:p>
    <w:p w14:paraId="07305B07" w14:textId="77777777" w:rsidR="002D211A" w:rsidRPr="006360F4" w:rsidRDefault="002D211A" w:rsidP="002D211A">
      <w:pPr>
        <w:pStyle w:val="B10"/>
      </w:pPr>
      <w:r>
        <w:rPr>
          <w:lang w:eastAsia="zh-CN"/>
        </w:rPr>
        <w:t>-</w:t>
      </w:r>
      <w:r>
        <w:rPr>
          <w:lang w:eastAsia="zh-CN"/>
        </w:rPr>
        <w:tab/>
      </w:r>
      <w:r w:rsidRPr="006360F4">
        <w:rPr>
          <w:rFonts w:hint="eastAsia"/>
          <w:lang w:eastAsia="zh-CN"/>
        </w:rPr>
        <w:t>any</w:t>
      </w:r>
      <w:r w:rsidRPr="006360F4">
        <w:rPr>
          <w:lang w:eastAsia="zh-CN"/>
        </w:rPr>
        <w:t xml:space="preserve"> </w:t>
      </w:r>
      <w:r w:rsidRPr="006360F4">
        <w:t>delay caused other LPP signalling on the DCCH,</w:t>
      </w:r>
    </w:p>
    <w:p w14:paraId="6520D4DC" w14:textId="77777777" w:rsidR="002D211A" w:rsidRPr="006360F4" w:rsidRDefault="002D211A" w:rsidP="002D211A">
      <w:pPr>
        <w:pStyle w:val="B10"/>
      </w:pPr>
      <w:r>
        <w:t>-</w:t>
      </w:r>
      <w:r>
        <w:tab/>
      </w:r>
      <w:r w:rsidRPr="006360F4">
        <w:t xml:space="preserve">delay uncertainty introduced when inserting the measurement report in the TTI of the uplink DCCH </w:t>
      </w:r>
      <w:r w:rsidRPr="006360F4">
        <w:rPr>
          <w:rFonts w:hint="eastAsia"/>
          <w:lang w:eastAsia="zh-CN"/>
        </w:rPr>
        <w:t>which</w:t>
      </w:r>
      <w:r w:rsidRPr="006360F4">
        <w:t xml:space="preserve"> </w:t>
      </w:r>
      <w:r w:rsidRPr="006360F4">
        <w:rPr>
          <w:rFonts w:hint="eastAsia"/>
          <w:lang w:eastAsia="zh-CN"/>
        </w:rPr>
        <w:t>is</w:t>
      </w:r>
      <w:r w:rsidRPr="006360F4">
        <w:t xml:space="preserve"> equal to 2 x TTI</w:t>
      </w:r>
      <w:r w:rsidRPr="006360F4">
        <w:rPr>
          <w:vertAlign w:val="subscript"/>
        </w:rPr>
        <w:t>DCCH</w:t>
      </w:r>
      <w:r w:rsidRPr="006360F4">
        <w:t xml:space="preserve"> where TTI</w:t>
      </w:r>
      <w:r w:rsidRPr="006360F4">
        <w:rPr>
          <w:vertAlign w:val="subscript"/>
        </w:rPr>
        <w:t>DCCH</w:t>
      </w:r>
      <w:r w:rsidRPr="006360F4">
        <w:t xml:space="preserve"> is the duration of subframe or slot or subslot when the measurement report is transmitted on the PUSCH with subframe or slot or subslot duration</w:t>
      </w:r>
      <w:r w:rsidRPr="006360F4">
        <w:rPr>
          <w:lang w:eastAsia="zh-CN"/>
        </w:rPr>
        <w:t>,</w:t>
      </w:r>
    </w:p>
    <w:p w14:paraId="3792FA67" w14:textId="77777777" w:rsidR="002D211A" w:rsidRPr="006360F4" w:rsidRDefault="002D211A" w:rsidP="002D211A">
      <w:pPr>
        <w:pStyle w:val="B10"/>
      </w:pPr>
      <w:r>
        <w:rPr>
          <w:lang w:eastAsia="zh-CN"/>
        </w:rPr>
        <w:t>-</w:t>
      </w:r>
      <w:r>
        <w:rPr>
          <w:lang w:eastAsia="zh-CN"/>
        </w:rPr>
        <w:tab/>
      </w:r>
      <w:r w:rsidRPr="006360F4">
        <w:rPr>
          <w:lang w:eastAsia="zh-CN"/>
        </w:rPr>
        <w:t xml:space="preserve">any delay </w:t>
      </w:r>
      <w:r w:rsidRPr="006360F4">
        <w:rPr>
          <w:rFonts w:hint="eastAsia"/>
          <w:lang w:eastAsia="zh-CN"/>
        </w:rPr>
        <w:t>caused</w:t>
      </w:r>
      <w:r w:rsidRPr="006360F4">
        <w:rPr>
          <w:lang w:eastAsia="zh-CN"/>
        </w:rPr>
        <w:t xml:space="preserve"> </w:t>
      </w:r>
      <w:r w:rsidRPr="006360F4">
        <w:t>by no UL resources for UE to send the measurement report</w:t>
      </w:r>
      <w:r w:rsidRPr="006360F4">
        <w:rPr>
          <w:lang w:eastAsia="zh-CN"/>
        </w:rPr>
        <w:t>,</w:t>
      </w:r>
    </w:p>
    <w:p w14:paraId="1C9D0C46" w14:textId="77777777" w:rsidR="002D211A" w:rsidRPr="006360F4" w:rsidRDefault="002D211A" w:rsidP="002D211A">
      <w:pPr>
        <w:pStyle w:val="B10"/>
      </w:pPr>
      <w:r>
        <w:rPr>
          <w:lang w:eastAsia="zh-CN"/>
        </w:rPr>
        <w:t>-</w:t>
      </w:r>
      <w:r>
        <w:rPr>
          <w:lang w:eastAsia="zh-CN"/>
        </w:rPr>
        <w:tab/>
      </w:r>
      <w:r w:rsidRPr="006360F4">
        <w:rPr>
          <w:lang w:eastAsia="zh-CN"/>
        </w:rPr>
        <w:t>any transmission delay needed by SDT,</w:t>
      </w:r>
    </w:p>
    <w:p w14:paraId="4FEC9E83" w14:textId="77777777" w:rsidR="002D211A" w:rsidRPr="00AF5628" w:rsidRDefault="002D211A" w:rsidP="00AF5628">
      <w:pPr>
        <w:pStyle w:val="B10"/>
        <w:rPr>
          <w:lang w:eastAsia="en-US"/>
        </w:rPr>
      </w:pPr>
      <w:r>
        <w:rPr>
          <w:lang w:eastAsia="zh-CN"/>
        </w:rPr>
        <w:t>-</w:t>
      </w:r>
      <w:r>
        <w:rPr>
          <w:lang w:eastAsia="zh-CN"/>
        </w:rPr>
        <w:tab/>
      </w:r>
      <w:r w:rsidRPr="006360F4">
        <w:rPr>
          <w:lang w:eastAsia="zh-CN"/>
        </w:rPr>
        <w:t>the time needed to transition to RRC_CONNECTED state to report the measurements.</w:t>
      </w:r>
    </w:p>
    <w:p w14:paraId="4389F390" w14:textId="0DC8DE91" w:rsidR="002D211A" w:rsidRPr="004B0A06" w:rsidRDefault="002D211A" w:rsidP="002D211A">
      <w:pPr>
        <w:rPr>
          <w:lang w:eastAsia="zh-CN"/>
        </w:rPr>
      </w:pPr>
      <w:r w:rsidRPr="004B0A06">
        <w:rPr>
          <w:lang w:eastAsia="zh-CN"/>
        </w:rPr>
        <w:t>T</w:t>
      </w:r>
      <w:r w:rsidR="006426C7" w:rsidRPr="006426C7">
        <w:rPr>
          <w:lang w:eastAsia="zh-CN"/>
        </w:rPr>
        <w:t xml:space="preserve"> </w:t>
      </w:r>
      <w:r w:rsidR="006426C7" w:rsidRPr="004B0A06">
        <w:rPr>
          <w:lang w:eastAsia="zh-CN"/>
        </w:rPr>
        <w:t>The reported PRS-RSRP</w:t>
      </w:r>
      <w:r w:rsidR="006426C7" w:rsidRPr="004B0A06">
        <w:rPr>
          <w:rFonts w:hint="eastAsia"/>
          <w:lang w:eastAsia="zh-CN"/>
        </w:rPr>
        <w:t>P</w:t>
      </w:r>
      <w:r w:rsidR="006426C7" w:rsidRPr="004B0A06">
        <w:rPr>
          <w:lang w:eastAsia="zh-CN"/>
        </w:rPr>
        <w:t xml:space="preserve"> measurement values contained in measurement reports shall be based on the measurement report mapping requirements specified in clauses 10.1.</w:t>
      </w:r>
      <w:r w:rsidR="006426C7">
        <w:rPr>
          <w:rFonts w:hint="eastAsia"/>
          <w:lang w:eastAsia="zh-CN"/>
        </w:rPr>
        <w:t>x</w:t>
      </w:r>
      <w:r w:rsidR="006426C7" w:rsidRPr="004B0A06">
        <w:rPr>
          <w:lang w:eastAsia="zh-CN"/>
        </w:rPr>
        <w:t>.</w:t>
      </w:r>
    </w:p>
    <w:p w14:paraId="1E51AB57" w14:textId="77777777" w:rsidR="002D211A" w:rsidRPr="004B0A06" w:rsidRDefault="002D211A" w:rsidP="002D211A">
      <w:pPr>
        <w:rPr>
          <w:lang w:eastAsia="zh-CN"/>
        </w:rPr>
      </w:pPr>
      <w:r w:rsidRPr="004B0A06">
        <w:t>The PRS-RSRP</w:t>
      </w:r>
      <w:r w:rsidRPr="004B0A06">
        <w:rPr>
          <w:rFonts w:hint="eastAsia"/>
          <w:lang w:eastAsia="zh-CN"/>
        </w:rPr>
        <w:t>P</w:t>
      </w:r>
      <w:r w:rsidRPr="004B0A06">
        <w:t xml:space="preserve"> measurement accuracy for all measured PRS resources shall be fulfilled according to the accuracy requriements specified in the clauses 10.1.</w:t>
      </w:r>
      <w:r w:rsidRPr="004B0A06">
        <w:rPr>
          <w:rFonts w:hint="eastAsia"/>
          <w:lang w:eastAsia="zh-CN"/>
        </w:rPr>
        <w:t>x</w:t>
      </w:r>
      <w:r w:rsidRPr="004B0A06">
        <w:t>.</w:t>
      </w:r>
    </w:p>
    <w:p w14:paraId="61DA6E2B" w14:textId="77777777" w:rsidR="00CD7933" w:rsidRPr="004B0A06" w:rsidRDefault="00CD7933" w:rsidP="00CD7933">
      <w:pPr>
        <w:pStyle w:val="Heading4"/>
        <w:rPr>
          <w:lang w:eastAsia="zh-CN"/>
        </w:rPr>
      </w:pPr>
      <w:r w:rsidRPr="004B0A06">
        <w:rPr>
          <w:lang w:eastAsia="zh-CN"/>
        </w:rPr>
        <w:t>5.</w:t>
      </w:r>
      <w:r>
        <w:rPr>
          <w:lang w:eastAsia="zh-CN"/>
        </w:rPr>
        <w:t>6</w:t>
      </w:r>
      <w:r w:rsidRPr="004B0A06">
        <w:rPr>
          <w:lang w:eastAsia="zh-CN"/>
        </w:rPr>
        <w:t>.5</w:t>
      </w:r>
      <w:r w:rsidRPr="004B0A06">
        <w:rPr>
          <w:rFonts w:hint="eastAsia"/>
          <w:lang w:eastAsia="zh-CN"/>
        </w:rPr>
        <w:t>.5</w:t>
      </w:r>
      <w:r>
        <w:tab/>
      </w:r>
      <w:r w:rsidRPr="004B0A06">
        <w:rPr>
          <w:lang w:eastAsia="zh-CN"/>
        </w:rPr>
        <w:t xml:space="preserve">Measurement </w:t>
      </w:r>
      <w:r w:rsidRPr="004B0A06">
        <w:rPr>
          <w:rFonts w:hint="eastAsia"/>
          <w:lang w:eastAsia="zh-CN"/>
        </w:rPr>
        <w:t>period</w:t>
      </w:r>
      <w:r w:rsidRPr="004B0A06">
        <w:rPr>
          <w:lang w:eastAsia="zh-CN"/>
        </w:rPr>
        <w:t xml:space="preserve"> requirements</w:t>
      </w:r>
    </w:p>
    <w:p w14:paraId="7D5A8948" w14:textId="77777777" w:rsidR="006426C7" w:rsidRPr="003512D5" w:rsidRDefault="006426C7" w:rsidP="008A7648">
      <w:pPr>
        <w:rPr>
          <w:lang w:eastAsia="zh-CN"/>
        </w:rPr>
      </w:pPr>
      <w:r w:rsidRPr="004B0A06">
        <w:t xml:space="preserve">When the physical layer receives </w:t>
      </w:r>
      <w:r w:rsidRPr="004B0A06">
        <w:rPr>
          <w:i/>
        </w:rPr>
        <w:t>NR-DL-AoD-Provide</w:t>
      </w:r>
      <w:r w:rsidRPr="004B0A06">
        <w:rPr>
          <w:i/>
          <w:noProof/>
        </w:rPr>
        <w:t>AssistanceData</w:t>
      </w:r>
      <w:r w:rsidRPr="004B0A06">
        <w:t xml:space="preserve"> message and </w:t>
      </w:r>
      <w:r w:rsidRPr="004B0A06">
        <w:rPr>
          <w:i/>
        </w:rPr>
        <w:t>NR-DL-AoD-Request</w:t>
      </w:r>
      <w:r w:rsidRPr="004B0A06">
        <w:rPr>
          <w:i/>
          <w:noProof/>
        </w:rPr>
        <w:t>LocationInformation</w:t>
      </w:r>
      <w:r w:rsidRPr="004B0A06">
        <w:rPr>
          <w:i/>
        </w:rPr>
        <w:t xml:space="preserve"> </w:t>
      </w:r>
      <w:r w:rsidRPr="004B0A06">
        <w:rPr>
          <w:iCs/>
        </w:rPr>
        <w:t>message</w:t>
      </w:r>
      <w:r w:rsidRPr="004B0A06">
        <w:rPr>
          <w:rFonts w:hint="eastAsia"/>
          <w:iCs/>
          <w:lang w:eastAsia="zh-CN"/>
        </w:rPr>
        <w:t xml:space="preserve"> in RRC_INACTIVE state</w:t>
      </w:r>
      <w:r>
        <w:rPr>
          <w:lang w:eastAsia="zh-CN"/>
        </w:rPr>
        <w:t>, m</w:t>
      </w:r>
      <w:r w:rsidRPr="00FD1E7D">
        <w:rPr>
          <w:lang w:eastAsia="zh-CN"/>
        </w:rPr>
        <w:t xml:space="preserve">easurement period requirements for PRS-RSRP </w:t>
      </w:r>
      <w:r>
        <w:rPr>
          <w:lang w:eastAsia="zh-CN"/>
        </w:rPr>
        <w:t xml:space="preserve">defined in </w:t>
      </w:r>
      <w:r>
        <w:rPr>
          <w:rFonts w:hint="eastAsia"/>
          <w:lang w:eastAsia="zh-CN"/>
        </w:rPr>
        <w:t>5.6.3</w:t>
      </w:r>
      <w:r>
        <w:rPr>
          <w:lang w:eastAsia="zh-CN"/>
        </w:rPr>
        <w:t xml:space="preserve"> is</w:t>
      </w:r>
      <w:r w:rsidRPr="00FD1E7D">
        <w:rPr>
          <w:lang w:eastAsia="zh-CN"/>
        </w:rPr>
        <w:t xml:space="preserve"> re-used for PRS-RSRPP</w:t>
      </w:r>
      <w:r>
        <w:rPr>
          <w:rFonts w:hint="eastAsia"/>
          <w:lang w:eastAsia="zh-CN"/>
        </w:rPr>
        <w:t xml:space="preserve"> measurement</w:t>
      </w:r>
      <w:r>
        <w:rPr>
          <w:lang w:eastAsia="zh-CN"/>
        </w:rPr>
        <w:t xml:space="preserve">. </w:t>
      </w:r>
    </w:p>
    <w:p w14:paraId="73F12CC0" w14:textId="107C3943" w:rsidR="0020479F" w:rsidRDefault="0020479F" w:rsidP="0009382D">
      <w:pPr>
        <w:rPr>
          <w:lang w:eastAsia="ko-KR"/>
        </w:rPr>
      </w:pPr>
    </w:p>
    <w:p w14:paraId="0073D51A" w14:textId="77777777" w:rsidR="00422E54" w:rsidRDefault="00422E54" w:rsidP="00422E54">
      <w:pPr>
        <w:pStyle w:val="Heading2"/>
        <w:rPr>
          <w:noProof/>
        </w:rPr>
      </w:pPr>
      <w:r>
        <w:rPr>
          <w:noProof/>
        </w:rPr>
        <w:t>5.7</w:t>
      </w:r>
      <w:r>
        <w:rPr>
          <w:noProof/>
        </w:rPr>
        <w:tab/>
        <w:t xml:space="preserve">Random access based </w:t>
      </w:r>
      <w:r w:rsidRPr="004A3F31">
        <w:rPr>
          <w:noProof/>
        </w:rPr>
        <w:t>Small Data Transmissions (</w:t>
      </w:r>
      <w:r>
        <w:rPr>
          <w:noProof/>
        </w:rPr>
        <w:t>RA</w:t>
      </w:r>
      <w:r w:rsidRPr="004A3F31">
        <w:rPr>
          <w:noProof/>
        </w:rPr>
        <w:t>-SDT)</w:t>
      </w:r>
    </w:p>
    <w:p w14:paraId="76C3024F" w14:textId="77777777" w:rsidR="00422E54" w:rsidRDefault="00422E54" w:rsidP="00422E54">
      <w:pPr>
        <w:pStyle w:val="Heading3"/>
      </w:pPr>
      <w:r>
        <w:t>5.7.1</w:t>
      </w:r>
      <w:r>
        <w:tab/>
        <w:t>Introduction</w:t>
      </w:r>
    </w:p>
    <w:p w14:paraId="323C95ED" w14:textId="77777777" w:rsidR="00422E54" w:rsidRDefault="00422E54" w:rsidP="00422E54">
      <w:pPr>
        <w:rPr>
          <w:lang w:eastAsia="zh-CN"/>
        </w:rPr>
      </w:pPr>
      <w:r>
        <w:t>The requirements in this clause are applicable for the UE performing small data transmissions using 2-step RA or 4-step RA procedures [3].</w:t>
      </w:r>
    </w:p>
    <w:p w14:paraId="59506276" w14:textId="77777777" w:rsidR="00422E54" w:rsidRPr="008F0B94" w:rsidRDefault="00422E54" w:rsidP="00422E54">
      <w:pPr>
        <w:pStyle w:val="Heading3"/>
      </w:pPr>
      <w:r w:rsidRPr="008F0B94">
        <w:t>5.</w:t>
      </w:r>
      <w:r>
        <w:t>7</w:t>
      </w:r>
      <w:r w:rsidRPr="008F0B94">
        <w:t>.2</w:t>
      </w:r>
      <w:r>
        <w:tab/>
      </w:r>
      <w:r w:rsidRPr="008F0B94">
        <w:t xml:space="preserve">Requirements </w:t>
      </w:r>
      <w:r>
        <w:t xml:space="preserve">for </w:t>
      </w:r>
      <w:r w:rsidRPr="008F0B94">
        <w:t>small data transmissions based on 2-step RA</w:t>
      </w:r>
    </w:p>
    <w:p w14:paraId="7BDE4000" w14:textId="77777777" w:rsidR="00422E54" w:rsidRPr="008F0B94" w:rsidRDefault="00422E54" w:rsidP="00422E54">
      <w:r w:rsidRPr="008F0B94">
        <w:t>The requirements in clause 6.2.2.3 shall apply.</w:t>
      </w:r>
    </w:p>
    <w:p w14:paraId="7274294F" w14:textId="77777777" w:rsidR="00422E54" w:rsidRPr="008F0B94" w:rsidRDefault="00422E54" w:rsidP="00422E54">
      <w:pPr>
        <w:pStyle w:val="Heading3"/>
      </w:pPr>
      <w:r w:rsidRPr="008F0B94">
        <w:t>5.</w:t>
      </w:r>
      <w:r>
        <w:t>7</w:t>
      </w:r>
      <w:r w:rsidRPr="008F0B94">
        <w:t>.3</w:t>
      </w:r>
      <w:r>
        <w:tab/>
      </w:r>
      <w:r w:rsidRPr="008F0B94">
        <w:t xml:space="preserve">Requirements </w:t>
      </w:r>
      <w:r>
        <w:t>for</w:t>
      </w:r>
      <w:r w:rsidRPr="008F0B94">
        <w:t xml:space="preserve"> small data transmissions based on 4-step RA</w:t>
      </w:r>
    </w:p>
    <w:p w14:paraId="6D61B049" w14:textId="77777777" w:rsidR="00422E54" w:rsidRPr="008C6DE4" w:rsidRDefault="00422E54" w:rsidP="00422E54">
      <w:r w:rsidRPr="008F0B94">
        <w:t>The requirements in clause 6.2.2.2 shall apply.</w:t>
      </w:r>
    </w:p>
    <w:p w14:paraId="08AD6E79" w14:textId="7BA3D925" w:rsidR="00422E54" w:rsidRDefault="00422E54" w:rsidP="0009382D">
      <w:pPr>
        <w:rPr>
          <w:lang w:eastAsia="ko-KR"/>
        </w:rPr>
      </w:pPr>
    </w:p>
    <w:p w14:paraId="2A0647F8" w14:textId="77777777" w:rsidR="00D25507" w:rsidRDefault="00D25507" w:rsidP="00D25507">
      <w:pPr>
        <w:pStyle w:val="Heading3"/>
      </w:pPr>
      <w:r>
        <w:t>5.7.4</w:t>
      </w:r>
      <w:r>
        <w:tab/>
        <w:t>Applicability conditions for SDT</w:t>
      </w:r>
    </w:p>
    <w:p w14:paraId="4E03BCE0" w14:textId="77777777" w:rsidR="00D25507" w:rsidRDefault="00D25507" w:rsidP="00D25507">
      <w:r>
        <w:t>The UE is not required to meet the following measurement requirements during subsequent SDT transmissions:</w:t>
      </w:r>
    </w:p>
    <w:p w14:paraId="0071B7AB" w14:textId="77777777" w:rsidR="00D25507" w:rsidRDefault="00D25507" w:rsidP="00D25507">
      <w:pPr>
        <w:pStyle w:val="B10"/>
      </w:pPr>
      <w:r>
        <w:t>-</w:t>
      </w:r>
      <w:r>
        <w:tab/>
        <w:t xml:space="preserve">Measurements of inter-frequency NR cells in clause 5.1.2.4 </w:t>
      </w:r>
    </w:p>
    <w:p w14:paraId="259FC9E1" w14:textId="77777777" w:rsidR="00D25507" w:rsidRDefault="00D25507" w:rsidP="00D25507">
      <w:pPr>
        <w:pStyle w:val="B10"/>
      </w:pPr>
      <w:r>
        <w:t>-</w:t>
      </w:r>
      <w:r>
        <w:tab/>
        <w:t>Measurements of inter-RAT E-UTRAN cells in clause 5.1.2.5</w:t>
      </w:r>
    </w:p>
    <w:p w14:paraId="7E107D66" w14:textId="77777777" w:rsidR="00D25507" w:rsidRDefault="00D25507" w:rsidP="00D25507">
      <w:pPr>
        <w:pStyle w:val="B10"/>
      </w:pPr>
      <w:r>
        <w:t>-</w:t>
      </w:r>
      <w:r>
        <w:tab/>
        <w:t>Idle Mode CA/DC Measurements in clause 5.4</w:t>
      </w:r>
    </w:p>
    <w:p w14:paraId="59A7B464" w14:textId="77777777" w:rsidR="00D25507" w:rsidRDefault="00D25507" w:rsidP="00D25507">
      <w:r>
        <w:t>The UE is allowed to delay the reception of PRS resources on the positioning frequency layer until the SDT session is completed if the measurement using PRS resource overlaps with the SDT resources.</w:t>
      </w:r>
    </w:p>
    <w:p w14:paraId="57CE5B53" w14:textId="229254CC" w:rsidR="00D25507" w:rsidRDefault="00D25507" w:rsidP="0009382D">
      <w:pPr>
        <w:rPr>
          <w:lang w:eastAsia="ko-KR"/>
        </w:rPr>
      </w:pPr>
    </w:p>
    <w:p w14:paraId="58254EA0" w14:textId="77777777" w:rsidR="00E537A7" w:rsidRDefault="00E537A7" w:rsidP="00E537A7">
      <w:pPr>
        <w:pStyle w:val="Heading2"/>
        <w:rPr>
          <w:noProof/>
        </w:rPr>
      </w:pPr>
      <w:r>
        <w:rPr>
          <w:noProof/>
        </w:rPr>
        <w:t>5.7B</w:t>
      </w:r>
      <w:r>
        <w:rPr>
          <w:noProof/>
        </w:rPr>
        <w:tab/>
        <w:t xml:space="preserve">Random access based </w:t>
      </w:r>
      <w:r w:rsidRPr="004A3F31">
        <w:rPr>
          <w:noProof/>
        </w:rPr>
        <w:t>Small Data Transmissions (</w:t>
      </w:r>
      <w:r>
        <w:rPr>
          <w:noProof/>
        </w:rPr>
        <w:t>RA</w:t>
      </w:r>
      <w:r w:rsidRPr="004A3F31">
        <w:rPr>
          <w:noProof/>
        </w:rPr>
        <w:t>-SDT)</w:t>
      </w:r>
      <w:r>
        <w:rPr>
          <w:noProof/>
        </w:rPr>
        <w:t xml:space="preserve"> for RedCap</w:t>
      </w:r>
    </w:p>
    <w:p w14:paraId="2A462279" w14:textId="77777777" w:rsidR="00E537A7" w:rsidRDefault="00E537A7" w:rsidP="00E537A7">
      <w:pPr>
        <w:pStyle w:val="Heading3"/>
      </w:pPr>
      <w:r>
        <w:t>5.7B.1</w:t>
      </w:r>
      <w:r>
        <w:tab/>
        <w:t>Introduction</w:t>
      </w:r>
    </w:p>
    <w:p w14:paraId="5FA54755" w14:textId="77777777" w:rsidR="00E537A7" w:rsidRDefault="00E537A7" w:rsidP="00E537A7">
      <w:r>
        <w:t>The requirements in this clause are applicable for the UE performing small data transmissions 1 Rx RedCap and 2 Rx RedCap UE using 2-step RA or 4-step RA procedures [3].</w:t>
      </w:r>
    </w:p>
    <w:p w14:paraId="62AE7DBD" w14:textId="77777777" w:rsidR="00E537A7" w:rsidRDefault="00E537A7" w:rsidP="00E537A7">
      <w:pPr>
        <w:rPr>
          <w:lang w:eastAsia="sv-SE"/>
        </w:rPr>
      </w:pPr>
      <w:r>
        <w:rPr>
          <w:lang w:eastAsia="sv-SE"/>
        </w:rPr>
        <w:t>T</w:t>
      </w:r>
      <w:r w:rsidRPr="006857A3">
        <w:rPr>
          <w:lang w:eastAsia="sv-SE"/>
        </w:rPr>
        <w:t xml:space="preserve">he 1 Rx RedCap </w:t>
      </w:r>
      <w:r>
        <w:rPr>
          <w:lang w:eastAsia="sv-SE"/>
        </w:rPr>
        <w:t xml:space="preserve">UE for </w:t>
      </w:r>
      <w:r w:rsidRPr="00B76C8E">
        <w:rPr>
          <w:lang w:eastAsia="sv-SE"/>
        </w:rPr>
        <w:t>determin</w:t>
      </w:r>
      <w:r>
        <w:rPr>
          <w:lang w:eastAsia="sv-SE"/>
        </w:rPr>
        <w:t xml:space="preserve">ing </w:t>
      </w:r>
      <w:r w:rsidRPr="00B76C8E">
        <w:rPr>
          <w:lang w:eastAsia="sv-SE"/>
        </w:rPr>
        <w:t xml:space="preserve">whether to perform SDT procedure </w:t>
      </w:r>
      <w:r w:rsidRPr="009A2B20">
        <w:rPr>
          <w:lang w:eastAsia="sv-SE"/>
        </w:rPr>
        <w:t>defined in clause 5.2</w:t>
      </w:r>
      <w:r>
        <w:rPr>
          <w:lang w:eastAsia="sv-SE"/>
        </w:rPr>
        <w:t xml:space="preserve">7 [7] </w:t>
      </w:r>
      <w:r w:rsidRPr="006857A3">
        <w:rPr>
          <w:lang w:eastAsia="sv-SE"/>
        </w:rPr>
        <w:t>applies</w:t>
      </w:r>
      <w:r>
        <w:rPr>
          <w:lang w:eastAsia="sv-SE"/>
        </w:rPr>
        <w:t>:</w:t>
      </w:r>
    </w:p>
    <w:p w14:paraId="5B1AB125" w14:textId="77777777" w:rsidR="00E537A7" w:rsidRDefault="00E537A7" w:rsidP="00E537A7">
      <w:pPr>
        <w:pStyle w:val="B10"/>
      </w:pPr>
      <w:r>
        <w:t>-</w:t>
      </w:r>
      <w:r>
        <w:tab/>
      </w:r>
      <w:r w:rsidRPr="00352581">
        <w:t xml:space="preserve">sdt-RSRP-Threshold-r17 </w:t>
      </w:r>
      <w:r w:rsidRPr="006857A3">
        <w:rPr>
          <w:lang w:eastAsia="sv-SE"/>
        </w:rPr>
        <w:t xml:space="preserve">as the signaled value of </w:t>
      </w:r>
      <w:r w:rsidRPr="00352581">
        <w:t>sdt-RSRP-Threshold-r17</w:t>
      </w:r>
      <w:r w:rsidRPr="005F511B">
        <w:t xml:space="preserve"> </w:t>
      </w:r>
      <w:r>
        <w:rPr>
          <w:lang w:eastAsia="sv-SE"/>
        </w:rPr>
        <w:t xml:space="preserve">[2] + </w:t>
      </w:r>
      <w:r w:rsidRPr="006857A3">
        <w:rPr>
          <w:lang w:eastAsia="sv-SE"/>
        </w:rPr>
        <w:t>1 dB.</w:t>
      </w:r>
    </w:p>
    <w:p w14:paraId="2A0AD174" w14:textId="77777777" w:rsidR="00E537A7" w:rsidRPr="008F0B94" w:rsidRDefault="00E537A7" w:rsidP="00E537A7">
      <w:pPr>
        <w:pStyle w:val="Heading3"/>
      </w:pPr>
      <w:r w:rsidRPr="008F0B94">
        <w:t>5.</w:t>
      </w:r>
      <w:r>
        <w:t>7B</w:t>
      </w:r>
      <w:r w:rsidRPr="008F0B94">
        <w:t>.2</w:t>
      </w:r>
      <w:r>
        <w:tab/>
      </w:r>
      <w:r w:rsidRPr="008F0B94">
        <w:t xml:space="preserve">Requirements </w:t>
      </w:r>
      <w:r>
        <w:t xml:space="preserve">for </w:t>
      </w:r>
      <w:r w:rsidRPr="008F0B94">
        <w:t>small data transmissions based on 2-step RA</w:t>
      </w:r>
    </w:p>
    <w:p w14:paraId="7C121006" w14:textId="77777777" w:rsidR="00E537A7" w:rsidRPr="008F0B94" w:rsidRDefault="00E537A7" w:rsidP="00E537A7">
      <w:r w:rsidRPr="008F0B94">
        <w:t>The requirements in clause 6.2.2.3 shall apply.</w:t>
      </w:r>
    </w:p>
    <w:p w14:paraId="5BFDC1EB" w14:textId="77777777" w:rsidR="00E537A7" w:rsidRPr="008F0B94" w:rsidRDefault="00E537A7" w:rsidP="00E537A7">
      <w:pPr>
        <w:pStyle w:val="Heading3"/>
      </w:pPr>
      <w:r w:rsidRPr="008F0B94">
        <w:t>5.</w:t>
      </w:r>
      <w:r>
        <w:t>7B</w:t>
      </w:r>
      <w:r w:rsidRPr="008F0B94">
        <w:t>.3</w:t>
      </w:r>
      <w:r>
        <w:tab/>
      </w:r>
      <w:r w:rsidRPr="008F0B94">
        <w:t xml:space="preserve">Requirements </w:t>
      </w:r>
      <w:r>
        <w:t>for</w:t>
      </w:r>
      <w:r w:rsidRPr="008F0B94">
        <w:t xml:space="preserve"> small data transmissions based on 4-step RA</w:t>
      </w:r>
    </w:p>
    <w:p w14:paraId="31054B6F" w14:textId="77777777" w:rsidR="00E537A7" w:rsidRPr="008C6DE4" w:rsidRDefault="00E537A7" w:rsidP="00E537A7">
      <w:r w:rsidRPr="008F0B94">
        <w:t>The requirements in clause 6.2.2.2 shall apply.</w:t>
      </w:r>
    </w:p>
    <w:p w14:paraId="332BACDA" w14:textId="77777777" w:rsidR="00E537A7" w:rsidRDefault="00E537A7" w:rsidP="00E537A7">
      <w:pPr>
        <w:pStyle w:val="Heading3"/>
      </w:pPr>
      <w:r w:rsidRPr="00B63C7C">
        <w:t>5.</w:t>
      </w:r>
      <w:r>
        <w:t>7</w:t>
      </w:r>
      <w:r w:rsidRPr="00B63C7C">
        <w:t>B.</w:t>
      </w:r>
      <w:r>
        <w:t>4</w:t>
      </w:r>
      <w:r>
        <w:tab/>
        <w:t>Applicability conditions for RA-SDT for RedCap</w:t>
      </w:r>
    </w:p>
    <w:p w14:paraId="2D9304A2" w14:textId="77777777" w:rsidR="00E537A7" w:rsidRDefault="00E537A7" w:rsidP="00E537A7">
      <w:r>
        <w:t>The UE is not required to meet the following measurement requirements during SDT transmissions:</w:t>
      </w:r>
    </w:p>
    <w:p w14:paraId="7C2581BB" w14:textId="77777777" w:rsidR="00E537A7" w:rsidRPr="00AD223C" w:rsidRDefault="00E537A7" w:rsidP="00E537A7">
      <w:pPr>
        <w:pStyle w:val="B10"/>
      </w:pPr>
      <w:r>
        <w:t>-</w:t>
      </w:r>
      <w:r>
        <w:tab/>
      </w:r>
      <w:r w:rsidRPr="00AD223C">
        <w:t>Measurements of inter-frequency NR cells in clause 5.1</w:t>
      </w:r>
      <w:r>
        <w:t>B</w:t>
      </w:r>
      <w:r w:rsidRPr="00AD223C">
        <w:t xml:space="preserve">.2.4 </w:t>
      </w:r>
    </w:p>
    <w:p w14:paraId="45EEDCB1" w14:textId="77777777" w:rsidR="00E537A7" w:rsidRDefault="00E537A7" w:rsidP="00E537A7">
      <w:pPr>
        <w:pStyle w:val="B10"/>
      </w:pPr>
      <w:r>
        <w:t>-</w:t>
      </w:r>
      <w:r>
        <w:tab/>
      </w:r>
      <w:r w:rsidRPr="00603F12">
        <w:t>Measurements of inter-RAT E-UTRAN cells in clause 5.1</w:t>
      </w:r>
      <w:r>
        <w:t>B</w:t>
      </w:r>
      <w:r w:rsidRPr="00603F12">
        <w:t>.2.5</w:t>
      </w:r>
    </w:p>
    <w:p w14:paraId="504AC2DC" w14:textId="77777777" w:rsidR="00E537A7" w:rsidRDefault="00E537A7" w:rsidP="0009382D">
      <w:pPr>
        <w:rPr>
          <w:lang w:eastAsia="ko-KR"/>
        </w:rPr>
      </w:pPr>
    </w:p>
    <w:p w14:paraId="0A5F4E18" w14:textId="77777777" w:rsidR="003A24E1" w:rsidRPr="009C5807" w:rsidRDefault="003A24E1" w:rsidP="003A24E1">
      <w:pPr>
        <w:pStyle w:val="Heading1"/>
      </w:pPr>
      <w:r w:rsidRPr="009C5807">
        <w:t>6</w:t>
      </w:r>
      <w:r w:rsidRPr="009C5807">
        <w:tab/>
        <w:t>RRC_CONNECTED state mobility</w:t>
      </w:r>
      <w:bookmarkEnd w:id="57"/>
    </w:p>
    <w:p w14:paraId="1C6D6AE5" w14:textId="77777777" w:rsidR="00CF0288" w:rsidRPr="009C5807" w:rsidRDefault="00CF0288" w:rsidP="00CF0288">
      <w:pPr>
        <w:pStyle w:val="Heading2"/>
      </w:pPr>
      <w:bookmarkStart w:id="78" w:name="_Toc5952575"/>
      <w:bookmarkStart w:id="79" w:name="_Toc5952591"/>
      <w:r w:rsidRPr="009C5807">
        <w:t>6.1</w:t>
      </w:r>
      <w:r w:rsidRPr="009C5807">
        <w:tab/>
        <w:t>Handover</w:t>
      </w:r>
    </w:p>
    <w:p w14:paraId="2CAA992D" w14:textId="77777777" w:rsidR="00CF0288" w:rsidRPr="009C5807" w:rsidRDefault="00CF0288" w:rsidP="00CF0288">
      <w:pPr>
        <w:pStyle w:val="Heading3"/>
        <w:rPr>
          <w:lang w:val="en-US" w:eastAsia="ko-KR"/>
        </w:rPr>
      </w:pPr>
      <w:r w:rsidRPr="009C5807">
        <w:rPr>
          <w:lang w:val="en-US" w:eastAsia="ko-KR"/>
        </w:rPr>
        <w:t>6.1.1</w:t>
      </w:r>
      <w:r w:rsidRPr="009C5807">
        <w:rPr>
          <w:lang w:val="en-US" w:eastAsia="ko-KR"/>
        </w:rPr>
        <w:tab/>
        <w:t>NR Handover</w:t>
      </w:r>
    </w:p>
    <w:p w14:paraId="27C31FDA" w14:textId="77777777" w:rsidR="00CF0288" w:rsidRPr="009C5807" w:rsidRDefault="00CF0288" w:rsidP="00CF0288">
      <w:pPr>
        <w:pStyle w:val="Heading4"/>
        <w:rPr>
          <w:lang w:val="en-US" w:eastAsia="zh-CN"/>
        </w:rPr>
      </w:pPr>
      <w:r w:rsidRPr="009C5807">
        <w:rPr>
          <w:lang w:val="en-US" w:eastAsia="zh-CN"/>
        </w:rPr>
        <w:t>6.1.1.1</w:t>
      </w:r>
      <w:r w:rsidRPr="009C5807">
        <w:rPr>
          <w:lang w:val="en-US" w:eastAsia="zh-CN"/>
        </w:rPr>
        <w:tab/>
        <w:t>Introduction</w:t>
      </w:r>
    </w:p>
    <w:p w14:paraId="03A9B322" w14:textId="77777777" w:rsidR="00CF0288" w:rsidRPr="009C5807" w:rsidRDefault="00CF0288" w:rsidP="00CF0288">
      <w:pPr>
        <w:tabs>
          <w:tab w:val="left" w:pos="7200"/>
        </w:tabs>
      </w:pPr>
      <w:r w:rsidRPr="009C5807">
        <w:t>The purpose of NR handover is to change the NR PCell to another NR cell. The requirements in this clause are applicable to SA NR, NE-DC and NR-DC.</w:t>
      </w:r>
    </w:p>
    <w:p w14:paraId="2049D707" w14:textId="77777777" w:rsidR="00CF0288" w:rsidRPr="009C5807" w:rsidRDefault="00CF0288" w:rsidP="00CF0288">
      <w:pPr>
        <w:pStyle w:val="Heading4"/>
        <w:rPr>
          <w:lang w:val="en-US" w:eastAsia="zh-CN"/>
        </w:rPr>
      </w:pPr>
      <w:bookmarkStart w:id="80" w:name="_Toc526331610"/>
      <w:r w:rsidRPr="009C5807">
        <w:rPr>
          <w:lang w:val="en-US" w:eastAsia="zh-CN"/>
        </w:rPr>
        <w:t>6.1.1.2</w:t>
      </w:r>
      <w:r w:rsidRPr="009C5807">
        <w:rPr>
          <w:lang w:val="en-US" w:eastAsia="zh-CN"/>
        </w:rPr>
        <w:tab/>
        <w:t>NR FR1 - NR FR1 Handover</w:t>
      </w:r>
      <w:bookmarkEnd w:id="80"/>
    </w:p>
    <w:p w14:paraId="4BCAD972" w14:textId="32E5E84C" w:rsidR="00CF0288" w:rsidRPr="009C5807" w:rsidRDefault="00CF0288" w:rsidP="00CF0288">
      <w:r w:rsidRPr="009C5807">
        <w:t>The requirements in this clause are applicable to both intra-frequency and inter-frequency handovers from NR FR1 cell to NR FR1 cell</w:t>
      </w:r>
      <w:r w:rsidR="00244B88">
        <w:t>, and to inter-frequency handover from NR FR1 cell in a carrier frequency with CCA to NR FR1 cell</w:t>
      </w:r>
      <w:r w:rsidRPr="009C5807">
        <w:t>.</w:t>
      </w:r>
    </w:p>
    <w:p w14:paraId="4004C334" w14:textId="77777777" w:rsidR="00CF0288" w:rsidRPr="009C5807" w:rsidRDefault="00CF0288" w:rsidP="00CF0288">
      <w:pPr>
        <w:pStyle w:val="Heading5"/>
      </w:pPr>
      <w:bookmarkStart w:id="81" w:name="_Toc526331611"/>
      <w:r w:rsidRPr="009C5807">
        <w:t>6.1.1.2.1</w:t>
      </w:r>
      <w:r w:rsidRPr="009C5807">
        <w:tab/>
        <w:t>Handover delay</w:t>
      </w:r>
      <w:bookmarkEnd w:id="81"/>
    </w:p>
    <w:p w14:paraId="5445F7D1" w14:textId="6D799563" w:rsidR="00C45EDF" w:rsidRPr="009C5807" w:rsidRDefault="00C45EDF" w:rsidP="00C45EDF">
      <w:pPr>
        <w:rPr>
          <w:rFonts w:cs="v4.2.0"/>
        </w:rPr>
      </w:pPr>
      <w:r w:rsidRPr="009C5807">
        <w:rPr>
          <w:rFonts w:cs="v4.2.0"/>
        </w:rPr>
        <w:t xml:space="preserve">When the UE receives a RRC message implying handover the UE shall be ready to </w:t>
      </w:r>
      <w:r w:rsidRPr="009C5807">
        <w:rPr>
          <w:rFonts w:cs="v4.2.0"/>
          <w:snapToGrid w:val="0"/>
        </w:rPr>
        <w:t>start the transmission of the new uplink PRACH channel</w:t>
      </w:r>
      <w:r w:rsidRPr="009C5807">
        <w:rPr>
          <w:rFonts w:cs="v4.2.0"/>
        </w:rPr>
        <w:t xml:space="preserve"> within D</w:t>
      </w:r>
      <w:r w:rsidRPr="009C5807">
        <w:rPr>
          <w:rFonts w:cs="v4.2.0"/>
          <w:vertAlign w:val="subscript"/>
        </w:rPr>
        <w:t>handover</w:t>
      </w:r>
      <w:r w:rsidRPr="009C5807">
        <w:rPr>
          <w:rFonts w:cs="v4.2.0"/>
        </w:rPr>
        <w:t xml:space="preserve"> </w:t>
      </w:r>
      <w:r w:rsidRPr="009C5807">
        <w:rPr>
          <w:rFonts w:cs="v4.2.0" w:hint="eastAsia"/>
          <w:lang w:val="en-US" w:eastAsia="zh-CN"/>
        </w:rPr>
        <w:t xml:space="preserve">msec </w:t>
      </w:r>
      <w:r w:rsidRPr="009C5807">
        <w:rPr>
          <w:rFonts w:cs="v4.2.0"/>
        </w:rPr>
        <w:t>from the end of the last TTI containing the RRC command.</w:t>
      </w:r>
    </w:p>
    <w:p w14:paraId="6EFE7607" w14:textId="77777777" w:rsidR="00CF0288" w:rsidRPr="009C5807" w:rsidRDefault="00CF0288" w:rsidP="00CF0288">
      <w:pPr>
        <w:rPr>
          <w:rFonts w:cs="v4.2.0"/>
        </w:rPr>
      </w:pPr>
      <w:r w:rsidRPr="009C5807">
        <w:rPr>
          <w:rFonts w:cs="v4.2.0"/>
        </w:rPr>
        <w:t>Where:</w:t>
      </w:r>
    </w:p>
    <w:p w14:paraId="1716C6CC" w14:textId="737FF703" w:rsidR="00C45EDF" w:rsidRPr="009C5807" w:rsidRDefault="00C45EDF" w:rsidP="00C45EDF">
      <w:pPr>
        <w:rPr>
          <w:rFonts w:cs="v4.2.0"/>
        </w:rPr>
      </w:pPr>
      <w:bookmarkStart w:id="82" w:name="_Toc526331612"/>
      <w:r w:rsidRPr="009C5807">
        <w:rPr>
          <w:rFonts w:cs="v4.2.0"/>
        </w:rPr>
        <w:t>D</w:t>
      </w:r>
      <w:r w:rsidRPr="009C5807">
        <w:rPr>
          <w:rFonts w:cs="v4.2.0"/>
          <w:vertAlign w:val="subscript"/>
        </w:rPr>
        <w:t>handover</w:t>
      </w:r>
      <w:r w:rsidRPr="009C5807">
        <w:rPr>
          <w:rFonts w:cs="v4.2.0"/>
        </w:rPr>
        <w:t xml:space="preserve"> equals the </w:t>
      </w:r>
      <w:r w:rsidRPr="009C5807">
        <w:rPr>
          <w:rFonts w:cs="v4.2.0" w:hint="eastAsia"/>
          <w:lang w:val="en-US" w:eastAsia="zh-CN"/>
        </w:rPr>
        <w:t>applicable</w:t>
      </w:r>
      <w:r w:rsidRPr="009C5807">
        <w:rPr>
          <w:rFonts w:cs="v4.2.0"/>
        </w:rPr>
        <w:t xml:space="preserve"> RRC procedure delay defined in clause</w:t>
      </w:r>
      <w:r w:rsidRPr="009C5807">
        <w:rPr>
          <w:rFonts w:cs="v4.2.0" w:hint="eastAsia"/>
          <w:lang w:val="en-US" w:eastAsia="zh-CN"/>
        </w:rPr>
        <w:t xml:space="preserve"> </w:t>
      </w:r>
      <w:r w:rsidRPr="009C5807">
        <w:rPr>
          <w:rFonts w:cs="v4.2.0"/>
          <w:lang w:eastAsia="zh-CN"/>
        </w:rPr>
        <w:t>12</w:t>
      </w:r>
      <w:r w:rsidRPr="009C5807">
        <w:rPr>
          <w:rFonts w:cs="v4.2.0"/>
        </w:rPr>
        <w:t xml:space="preserve"> in </w:t>
      </w:r>
      <w:r w:rsidRPr="009C5807">
        <w:t>TS 38.331 [2]</w:t>
      </w:r>
      <w:r w:rsidRPr="009C5807">
        <w:rPr>
          <w:rFonts w:cs="v4.2.0"/>
        </w:rPr>
        <w:t xml:space="preserve"> plus the interruption time stated in clause 6.1.1.2.2.</w:t>
      </w:r>
    </w:p>
    <w:p w14:paraId="117BB891" w14:textId="77777777" w:rsidR="00CF0288" w:rsidRPr="009C5807" w:rsidRDefault="00CF0288" w:rsidP="00CF0288">
      <w:pPr>
        <w:pStyle w:val="Heading5"/>
      </w:pPr>
      <w:r w:rsidRPr="009C5807">
        <w:t>6.1.1.2.2</w:t>
      </w:r>
      <w:r w:rsidRPr="009C5807">
        <w:tab/>
        <w:t>Interruption time</w:t>
      </w:r>
      <w:bookmarkEnd w:id="82"/>
    </w:p>
    <w:p w14:paraId="5264604D" w14:textId="77777777" w:rsidR="00CF0288" w:rsidRPr="009C5807" w:rsidRDefault="00CF0288" w:rsidP="00CF0288">
      <w:pPr>
        <w:rPr>
          <w:rFonts w:cs="v4.2.0"/>
        </w:rPr>
      </w:pPr>
      <w:r w:rsidRPr="009C5807">
        <w:rPr>
          <w:rFonts w:cs="v4.2.0"/>
        </w:rPr>
        <w:t>The interruption time is the time between end of the last TTI containing the RRC command on the old PDSCH and the time the UE starts transmission of the new PRACH</w:t>
      </w:r>
      <w:r w:rsidRPr="009C5807">
        <w:rPr>
          <w:rFonts w:eastAsia="MS Mincho" w:cs="v4.2.0"/>
        </w:rPr>
        <w:t>, excluding the RRC procedure delay</w:t>
      </w:r>
      <w:r w:rsidRPr="009C5807">
        <w:rPr>
          <w:rFonts w:cs="v4.2.0"/>
        </w:rPr>
        <w:t>.</w:t>
      </w:r>
    </w:p>
    <w:p w14:paraId="6FCF4AB4" w14:textId="77777777" w:rsidR="00CF0288" w:rsidRPr="009C5807" w:rsidRDefault="00CF0288" w:rsidP="00CF0288">
      <w:pPr>
        <w:rPr>
          <w:rFonts w:cs="v4.2.0"/>
          <w:position w:val="-6"/>
        </w:rPr>
      </w:pPr>
      <w:r w:rsidRPr="009C5807">
        <w:rPr>
          <w:rFonts w:cs="v4.2.0"/>
        </w:rPr>
        <w:t>When intra-frequency or inter-frequency handover is commanded, the interruption time shall be less than T</w:t>
      </w:r>
      <w:r w:rsidRPr="009C5807">
        <w:rPr>
          <w:rFonts w:cs="v4.2.0"/>
          <w:vertAlign w:val="subscript"/>
        </w:rPr>
        <w:t>interrupt</w:t>
      </w:r>
    </w:p>
    <w:p w14:paraId="25E14DB0" w14:textId="22DEE0A4" w:rsidR="001A1AC5" w:rsidRPr="009C5807" w:rsidRDefault="00CF0288" w:rsidP="001A1AC5">
      <w:pPr>
        <w:pStyle w:val="EQ"/>
      </w:pPr>
      <w:r w:rsidRPr="009C5807">
        <w:tab/>
      </w:r>
      <w:r w:rsidR="00D8318E" w:rsidRPr="009C5807">
        <w:rPr>
          <w:rFonts w:cs="v4.2.0"/>
        </w:rPr>
        <w:t>T</w:t>
      </w:r>
      <w:r w:rsidR="00D8318E" w:rsidRPr="009C5807">
        <w:rPr>
          <w:rFonts w:cs="v4.2.0"/>
          <w:vertAlign w:val="subscript"/>
        </w:rPr>
        <w:t>interrupt</w:t>
      </w:r>
      <w:r w:rsidR="00D8318E" w:rsidRPr="009C5807">
        <w:t xml:space="preserve"> = T</w:t>
      </w:r>
      <w:r w:rsidR="00D8318E" w:rsidRPr="009C5807">
        <w:rPr>
          <w:vertAlign w:val="subscript"/>
        </w:rPr>
        <w:t>search</w:t>
      </w:r>
      <w:r w:rsidR="00D8318E" w:rsidRPr="009C5807">
        <w:t xml:space="preserve"> + T</w:t>
      </w:r>
      <w:r w:rsidR="00D8318E" w:rsidRPr="009C5807">
        <w:rPr>
          <w:vertAlign w:val="subscript"/>
        </w:rPr>
        <w:t>IU</w:t>
      </w:r>
      <w:r w:rsidR="00D8318E" w:rsidRPr="009C5807">
        <w:t xml:space="preserve"> + T</w:t>
      </w:r>
      <w:r w:rsidR="00D8318E" w:rsidRPr="009C5807">
        <w:rPr>
          <w:vertAlign w:val="subscript"/>
          <w:lang w:eastAsia="zh-CN"/>
        </w:rPr>
        <w:t>processing</w:t>
      </w:r>
      <w:r w:rsidR="00D8318E" w:rsidRPr="009C5807" w:rsidDel="001D62E5">
        <w:rPr>
          <w:lang w:eastAsia="zh-CN"/>
        </w:rPr>
        <w:t xml:space="preserve"> </w:t>
      </w:r>
      <w:r w:rsidR="00D8318E" w:rsidRPr="009C5807">
        <w:rPr>
          <w:vertAlign w:val="subscript"/>
          <w:lang w:eastAsia="zh-CN"/>
        </w:rPr>
        <w:t xml:space="preserve"> </w:t>
      </w:r>
      <w:r w:rsidR="00D8318E" w:rsidRPr="009C5807">
        <w:rPr>
          <w:lang w:eastAsia="zh-CN"/>
        </w:rPr>
        <w:t>+ T</w:t>
      </w:r>
      <w:r w:rsidR="00D8318E" w:rsidRPr="009C5807">
        <w:rPr>
          <w:vertAlign w:val="subscript"/>
          <w:lang w:eastAsia="zh-CN"/>
        </w:rPr>
        <w:t>∆</w:t>
      </w:r>
      <w:r w:rsidR="00D8318E" w:rsidRPr="009C5807">
        <w:rPr>
          <w:lang w:eastAsia="zh-CN"/>
        </w:rPr>
        <w:t xml:space="preserve"> + T</w:t>
      </w:r>
      <w:r w:rsidR="00D8318E" w:rsidRPr="009C5807">
        <w:rPr>
          <w:vertAlign w:val="subscript"/>
          <w:lang w:eastAsia="zh-CN"/>
        </w:rPr>
        <w:t xml:space="preserve">margin </w:t>
      </w:r>
      <w:r w:rsidR="00D8318E" w:rsidRPr="009C5807">
        <w:t>ms</w:t>
      </w:r>
    </w:p>
    <w:p w14:paraId="6E1F6946" w14:textId="77777777" w:rsidR="00CF0288" w:rsidRPr="009C5807" w:rsidRDefault="00CF0288" w:rsidP="00CF0288">
      <w:pPr>
        <w:rPr>
          <w:rFonts w:cs="v4.2.0"/>
        </w:rPr>
      </w:pPr>
      <w:r w:rsidRPr="009C5807">
        <w:rPr>
          <w:rFonts w:cs="v4.2.0"/>
        </w:rPr>
        <w:t>Where:</w:t>
      </w:r>
    </w:p>
    <w:p w14:paraId="4616A122" w14:textId="3FA0E284" w:rsidR="00CF0288" w:rsidRPr="009C5807" w:rsidRDefault="000E322F" w:rsidP="000E322F">
      <w:pPr>
        <w:pStyle w:val="B10"/>
      </w:pPr>
      <w:r>
        <w:tab/>
      </w:r>
      <w:r w:rsidR="00CF0288" w:rsidRPr="009C5807">
        <w:t>T</w:t>
      </w:r>
      <w:r w:rsidR="00CF0288" w:rsidRPr="009C5807">
        <w:rPr>
          <w:vertAlign w:val="subscript"/>
        </w:rPr>
        <w:t>search</w:t>
      </w:r>
      <w:r w:rsidR="00CF0288" w:rsidRPr="009C5807">
        <w:t xml:space="preserve"> is the time required to search the target cell when the target cell is not already known when the handover command is received by the UE. If the target cell is known, then T</w:t>
      </w:r>
      <w:r w:rsidR="00CF0288" w:rsidRPr="009C5807">
        <w:rPr>
          <w:vertAlign w:val="subscript"/>
        </w:rPr>
        <w:t>search</w:t>
      </w:r>
      <w:r w:rsidR="00CF0288" w:rsidRPr="009C5807">
        <w:t xml:space="preserve"> = 0 ms. If the target cell is an unknown intra-frequency cell and the target cell Es/Iot</w:t>
      </w:r>
      <w:r w:rsidR="00CF0288" w:rsidRPr="009C5807">
        <w:rPr>
          <w:rFonts w:hint="eastAsia"/>
        </w:rPr>
        <w:t>≥</w:t>
      </w:r>
      <w:r w:rsidR="00CF0288" w:rsidRPr="009C5807">
        <w:t>-2 dB, then T</w:t>
      </w:r>
      <w:r w:rsidR="00CF0288" w:rsidRPr="009C5807">
        <w:rPr>
          <w:vertAlign w:val="subscript"/>
        </w:rPr>
        <w:t>search</w:t>
      </w:r>
      <w:r w:rsidR="00CF0288" w:rsidRPr="009C5807">
        <w:t xml:space="preserve"> = </w:t>
      </w:r>
      <w:r w:rsidR="00EF5AC7" w:rsidRPr="009C5807">
        <w:t>T</w:t>
      </w:r>
      <w:r w:rsidR="00EF5AC7" w:rsidRPr="009C5807">
        <w:rPr>
          <w:vertAlign w:val="subscript"/>
        </w:rPr>
        <w:t>rs</w:t>
      </w:r>
      <w:r w:rsidR="00EF5AC7" w:rsidRPr="009C5807" w:rsidDel="000446A6">
        <w:t xml:space="preserve"> </w:t>
      </w:r>
      <w:r w:rsidR="00EF5AC7" w:rsidRPr="009C5807">
        <w:t xml:space="preserve"> ms</w:t>
      </w:r>
      <w:r w:rsidR="00CF0288" w:rsidRPr="009C5807">
        <w:t>. If the target cell is an unknown inter-frequency cell and the target cell Es/Iot</w:t>
      </w:r>
      <w:r w:rsidR="00CF0288" w:rsidRPr="009C5807">
        <w:rPr>
          <w:rFonts w:hint="eastAsia"/>
        </w:rPr>
        <w:t>≥</w:t>
      </w:r>
      <w:r w:rsidR="00CF0288" w:rsidRPr="009C5807">
        <w:t>-2 dB, then T</w:t>
      </w:r>
      <w:r w:rsidR="00CF0288" w:rsidRPr="009C5807">
        <w:rPr>
          <w:vertAlign w:val="subscript"/>
        </w:rPr>
        <w:t>search</w:t>
      </w:r>
      <w:r w:rsidR="00CF0288" w:rsidRPr="009C5807">
        <w:t xml:space="preserve"> = 3* T</w:t>
      </w:r>
      <w:r w:rsidR="00CF0288" w:rsidRPr="009C5807">
        <w:rPr>
          <w:vertAlign w:val="subscript"/>
        </w:rPr>
        <w:t>rs</w:t>
      </w:r>
      <w:r w:rsidR="00CF0288" w:rsidRPr="009C5807">
        <w:t xml:space="preserve"> </w:t>
      </w:r>
      <w:r w:rsidR="00F45553" w:rsidRPr="009C5807">
        <w:t xml:space="preserve"> </w:t>
      </w:r>
      <w:r w:rsidR="00CF0288" w:rsidRPr="009C5807">
        <w:t>ms. Regardless of whether DRX is in use by the UE, T</w:t>
      </w:r>
      <w:r w:rsidR="00CF0288" w:rsidRPr="009C5807">
        <w:rPr>
          <w:vertAlign w:val="subscript"/>
        </w:rPr>
        <w:t>search</w:t>
      </w:r>
      <w:r w:rsidR="00CF0288" w:rsidRPr="009C5807">
        <w:t xml:space="preserve"> shall still be based on non-DRX target cell search times.</w:t>
      </w:r>
    </w:p>
    <w:p w14:paraId="6D30752F" w14:textId="1536BF2C" w:rsidR="00CF0288" w:rsidRPr="009C5807" w:rsidRDefault="00506B7A" w:rsidP="000E322F">
      <w:pPr>
        <w:pStyle w:val="B10"/>
      </w:pPr>
      <w:r>
        <w:tab/>
        <w:t>T</w:t>
      </w:r>
      <w:r>
        <w:rPr>
          <w:vertAlign w:val="subscript"/>
        </w:rPr>
        <w:t>∆</w:t>
      </w:r>
      <w:r>
        <w:t xml:space="preserve"> is time for fine time tracking and acquiring full timing information of the target cell. T</w:t>
      </w:r>
      <w:r>
        <w:rPr>
          <w:vertAlign w:val="subscript"/>
        </w:rPr>
        <w:t>∆</w:t>
      </w:r>
      <w:r>
        <w:t xml:space="preserve"> = T</w:t>
      </w:r>
      <w:r>
        <w:rPr>
          <w:vertAlign w:val="subscript"/>
        </w:rPr>
        <w:t xml:space="preserve">rs </w:t>
      </w:r>
      <w:r>
        <w:t>for both known and unknown target cell.</w:t>
      </w:r>
    </w:p>
    <w:p w14:paraId="653C936D" w14:textId="270BD872" w:rsidR="004368A9" w:rsidRPr="009C5807" w:rsidRDefault="000E322F" w:rsidP="000E322F">
      <w:pPr>
        <w:pStyle w:val="B10"/>
      </w:pPr>
      <w:r>
        <w:tab/>
      </w:r>
      <w:r w:rsidR="004368A9" w:rsidRPr="009C5807">
        <w:t>T</w:t>
      </w:r>
      <w:r w:rsidR="004368A9" w:rsidRPr="009C5807">
        <w:rPr>
          <w:vertAlign w:val="subscript"/>
          <w:lang w:eastAsia="zh-CN"/>
        </w:rPr>
        <w:t>processing</w:t>
      </w:r>
      <w:r w:rsidR="004368A9" w:rsidRPr="009C5807">
        <w:t xml:space="preserve"> is time for UE processing. T</w:t>
      </w:r>
      <w:r w:rsidR="004368A9" w:rsidRPr="009C5807">
        <w:rPr>
          <w:vertAlign w:val="subscript"/>
          <w:lang w:eastAsia="zh-CN"/>
        </w:rPr>
        <w:t>processing</w:t>
      </w:r>
      <w:r w:rsidR="004368A9" w:rsidRPr="009C5807">
        <w:t xml:space="preserve"> can be up to 20ms.</w:t>
      </w:r>
    </w:p>
    <w:p w14:paraId="173B9E82" w14:textId="0C7B666F" w:rsidR="004368A9" w:rsidRPr="009C5807" w:rsidRDefault="000E322F" w:rsidP="000E322F">
      <w:pPr>
        <w:pStyle w:val="B10"/>
      </w:pPr>
      <w:r>
        <w:rPr>
          <w:lang w:eastAsia="zh-CN"/>
        </w:rPr>
        <w:tab/>
      </w:r>
      <w:r w:rsidR="004368A9" w:rsidRPr="009C5807">
        <w:rPr>
          <w:lang w:eastAsia="zh-CN"/>
        </w:rPr>
        <w:t>T</w:t>
      </w:r>
      <w:r w:rsidR="004368A9" w:rsidRPr="009C5807">
        <w:rPr>
          <w:vertAlign w:val="subscript"/>
          <w:lang w:eastAsia="zh-CN"/>
        </w:rPr>
        <w:t xml:space="preserve">margin </w:t>
      </w:r>
      <w:r w:rsidR="004368A9" w:rsidRPr="009C5807">
        <w:rPr>
          <w:lang w:eastAsia="zh-CN"/>
        </w:rPr>
        <w:t>is time for SSB post-processing. T</w:t>
      </w:r>
      <w:r w:rsidR="004368A9" w:rsidRPr="009C5807">
        <w:rPr>
          <w:vertAlign w:val="subscript"/>
          <w:lang w:eastAsia="zh-CN"/>
        </w:rPr>
        <w:t xml:space="preserve">margin </w:t>
      </w:r>
      <w:r w:rsidR="004368A9" w:rsidRPr="009C5807">
        <w:rPr>
          <w:lang w:eastAsia="zh-CN"/>
        </w:rPr>
        <w:t>can be up to 2ms.</w:t>
      </w:r>
    </w:p>
    <w:p w14:paraId="770C7220" w14:textId="75155BB4" w:rsidR="00CF0288" w:rsidRPr="009C5807" w:rsidRDefault="000E322F" w:rsidP="000E322F">
      <w:pPr>
        <w:pStyle w:val="B10"/>
        <w:rPr>
          <w:lang w:eastAsia="zh-CN"/>
        </w:rPr>
      </w:pPr>
      <w:r>
        <w:tab/>
      </w:r>
      <w:r w:rsidR="00CF0288" w:rsidRPr="009C5807">
        <w:t>T</w:t>
      </w:r>
      <w:r w:rsidR="00CF0288" w:rsidRPr="009C5807">
        <w:rPr>
          <w:vertAlign w:val="subscript"/>
        </w:rPr>
        <w:t>IU</w:t>
      </w:r>
      <w:r w:rsidR="00CF0288" w:rsidRPr="009C5807">
        <w:t xml:space="preserve"> is the interruption uncertainty </w:t>
      </w:r>
      <w:r w:rsidR="00CF0288" w:rsidRPr="009C5807">
        <w:rPr>
          <w:lang w:eastAsia="zh-CN"/>
        </w:rPr>
        <w:t>in acquiring the first available PRACH occasion in the new cell</w:t>
      </w:r>
      <w:r w:rsidR="00CF0288" w:rsidRPr="009C5807">
        <w:t>. T</w:t>
      </w:r>
      <w:r w:rsidR="00CF0288" w:rsidRPr="009C5807">
        <w:rPr>
          <w:vertAlign w:val="subscript"/>
        </w:rPr>
        <w:t>IU</w:t>
      </w:r>
      <w:r w:rsidR="00CF0288" w:rsidRPr="009C5807">
        <w:t xml:space="preserve"> can be up to the summation of SSB to PRACH occasion association period and 10 ms. SSB to PRACH occasion associated period is defined in the table 8.1-1 of TS 38.213 [3].</w:t>
      </w:r>
    </w:p>
    <w:p w14:paraId="33831EC0" w14:textId="27151F99" w:rsidR="00CF0288" w:rsidRPr="009C5807" w:rsidRDefault="000E322F" w:rsidP="000E322F">
      <w:pPr>
        <w:pStyle w:val="B10"/>
      </w:pPr>
      <w:r>
        <w:tab/>
      </w:r>
      <w:r w:rsidR="00CF0288" w:rsidRPr="009C5807">
        <w:t>T</w:t>
      </w:r>
      <w:r w:rsidR="00CF0288" w:rsidRPr="009C5807">
        <w:rPr>
          <w:vertAlign w:val="subscript"/>
        </w:rPr>
        <w:t>rs</w:t>
      </w:r>
      <w:r w:rsidR="00CF0288" w:rsidRPr="009C5807">
        <w:t xml:space="preserve"> is the SMTC periodicity of the target NR cell if the UE has been provided with an SMTC configuration for the target cellin the handover command, otherwise Trs is the SMTC configured in the measObjectNR having the same SSB frequency and subcarrier spacing.</w:t>
      </w:r>
      <w:r w:rsidR="00800040" w:rsidRPr="00800040">
        <w:t xml:space="preserve"> </w:t>
      </w:r>
      <w:r w:rsidR="00800040">
        <w:t xml:space="preserve">If the </w:t>
      </w:r>
      <w:r w:rsidR="00800040" w:rsidRPr="008C6DE4">
        <w:t>measObjectNR</w:t>
      </w:r>
      <w:r w:rsidR="00800040">
        <w:t xml:space="preserve">s </w:t>
      </w:r>
      <w:r w:rsidR="00800040" w:rsidRPr="00B910B8">
        <w:t>having the same SSB frequency and subcarrier spacing</w:t>
      </w:r>
      <w:r w:rsidR="00800040">
        <w:t xml:space="preserve"> configured by MN and SN have different SMTC, </w:t>
      </w:r>
      <w:r w:rsidR="00800040" w:rsidRPr="008C6DE4">
        <w:t>Trs</w:t>
      </w:r>
      <w:r w:rsidR="00800040">
        <w:t xml:space="preserve"> is the periodicity of one of the SMTC which is up to UE implementation.</w:t>
      </w:r>
      <w:r w:rsidR="00CF0288" w:rsidRPr="009C5807">
        <w:t xml:space="preserve"> If the UE is not provided SMTC configuration or measurement object on this frequency, the requirement in this </w:t>
      </w:r>
      <w:r w:rsidR="0059755E" w:rsidRPr="009C5807">
        <w:t>clause</w:t>
      </w:r>
      <w:r w:rsidR="00CF0288" w:rsidRPr="009C5807">
        <w:t xml:space="preserve"> is applied with T</w:t>
      </w:r>
      <w:r w:rsidR="00CF0288" w:rsidRPr="009C5807">
        <w:rPr>
          <w:vertAlign w:val="subscript"/>
        </w:rPr>
        <w:t>rs</w:t>
      </w:r>
      <w:r w:rsidR="00CF0288" w:rsidRPr="009C5807">
        <w:t xml:space="preserve">=5ms assuming the SSB transmission periodicity is 5ms. There is no requirement if the SSB transmission periodicity is not 5ms. If the UE has been provided with higher layer in TS 38.331 [2] signaling of </w:t>
      </w:r>
      <w:r w:rsidR="00CF0288" w:rsidRPr="009C5807">
        <w:rPr>
          <w:i/>
        </w:rPr>
        <w:t>smtc2</w:t>
      </w:r>
      <w:r w:rsidR="00CF0288" w:rsidRPr="009C5807">
        <w:rPr>
          <w:b/>
        </w:rPr>
        <w:t xml:space="preserve"> </w:t>
      </w:r>
      <w:r w:rsidR="00CF0288" w:rsidRPr="009C5807">
        <w:t>prior to the handover command, T</w:t>
      </w:r>
      <w:r w:rsidR="00CF0288" w:rsidRPr="009C5807">
        <w:rPr>
          <w:vertAlign w:val="subscript"/>
        </w:rPr>
        <w:t>rs</w:t>
      </w:r>
      <w:r w:rsidR="00CF0288" w:rsidRPr="009C5807">
        <w:t xml:space="preserve"> follows </w:t>
      </w:r>
      <w:r w:rsidR="00CF0288" w:rsidRPr="009C5807">
        <w:rPr>
          <w:i/>
        </w:rPr>
        <w:t>smtc1</w:t>
      </w:r>
      <w:r w:rsidR="00CF0288" w:rsidRPr="009C5807">
        <w:t xml:space="preserve"> or </w:t>
      </w:r>
      <w:r w:rsidR="00CF0288" w:rsidRPr="009C5807">
        <w:rPr>
          <w:i/>
        </w:rPr>
        <w:t>smtc2</w:t>
      </w:r>
      <w:r w:rsidR="00CF0288" w:rsidRPr="009C5807">
        <w:t xml:space="preserve"> according to the physical cell ID of the target cell.</w:t>
      </w:r>
    </w:p>
    <w:p w14:paraId="470ECDE0" w14:textId="40141612" w:rsidR="00CF0288" w:rsidRPr="009C5807" w:rsidRDefault="00CF0288" w:rsidP="00CF0288">
      <w:r w:rsidRPr="009C5807">
        <w:t xml:space="preserve">In the interruption requirement a cell is known if it has been meeting the relevant cell identification requirement during the last 5 seconds otherwise it is unknown. Relevant cell identification requirements are described in Clause 9.2.5 for intra-frequency handover and </w:t>
      </w:r>
      <w:r w:rsidR="007D3137" w:rsidRPr="009C5807">
        <w:t xml:space="preserve">Clause 9.3.4 </w:t>
      </w:r>
      <w:r w:rsidRPr="009C5807">
        <w:t>for inter-frequency handover.</w:t>
      </w:r>
    </w:p>
    <w:p w14:paraId="1DFCD42F" w14:textId="77777777" w:rsidR="00CF0288" w:rsidRPr="009C5807" w:rsidRDefault="00CF0288" w:rsidP="00CF0288">
      <w:pPr>
        <w:pStyle w:val="Heading4"/>
        <w:rPr>
          <w:lang w:val="en-US" w:eastAsia="zh-CN"/>
        </w:rPr>
      </w:pPr>
      <w:bookmarkStart w:id="83" w:name="_Toc526331613"/>
      <w:r w:rsidRPr="009C5807">
        <w:rPr>
          <w:lang w:val="en-US" w:eastAsia="zh-CN"/>
        </w:rPr>
        <w:t>6.1.1.3</w:t>
      </w:r>
      <w:r w:rsidRPr="009C5807">
        <w:rPr>
          <w:lang w:val="en-US" w:eastAsia="zh-CN"/>
        </w:rPr>
        <w:tab/>
        <w:t>NR FR2- NR FR1 Handover</w:t>
      </w:r>
      <w:bookmarkEnd w:id="83"/>
    </w:p>
    <w:p w14:paraId="0764BF55" w14:textId="77777777" w:rsidR="00CF0288" w:rsidRPr="009C5807" w:rsidRDefault="00CF0288" w:rsidP="00CF0288">
      <w:r w:rsidRPr="009C5807">
        <w:t>The requirements in this clause are applicable to inter-frequency handovers from NR FR2 cell to NR FR1 cell.</w:t>
      </w:r>
    </w:p>
    <w:p w14:paraId="3F0CD275" w14:textId="77777777" w:rsidR="00CF0288" w:rsidRPr="009C5807" w:rsidRDefault="00CF0288" w:rsidP="00CF0288">
      <w:pPr>
        <w:pStyle w:val="Heading5"/>
      </w:pPr>
      <w:bookmarkStart w:id="84" w:name="_Toc526331614"/>
      <w:r w:rsidRPr="009C5807">
        <w:t>6.1.1.3.1</w:t>
      </w:r>
      <w:r w:rsidRPr="009C5807">
        <w:tab/>
        <w:t>Handover delay</w:t>
      </w:r>
      <w:bookmarkEnd w:id="84"/>
    </w:p>
    <w:p w14:paraId="7C23C927" w14:textId="020C808F" w:rsidR="00D139B0" w:rsidRPr="009C5807" w:rsidRDefault="00D139B0" w:rsidP="00D139B0">
      <w:pPr>
        <w:rPr>
          <w:rFonts w:cs="v4.2.0"/>
        </w:rPr>
      </w:pPr>
      <w:r w:rsidRPr="009C5807">
        <w:rPr>
          <w:rFonts w:cs="v4.2.0"/>
        </w:rPr>
        <w:t xml:space="preserve">When the UE receives a RRC message implying handover the UE shall be ready to </w:t>
      </w:r>
      <w:r w:rsidRPr="009C5807">
        <w:rPr>
          <w:rFonts w:cs="v4.2.0"/>
          <w:snapToGrid w:val="0"/>
        </w:rPr>
        <w:t>start the transmission of the new uplink PRACH channel</w:t>
      </w:r>
      <w:r w:rsidRPr="009C5807">
        <w:rPr>
          <w:rFonts w:cs="v4.2.0"/>
        </w:rPr>
        <w:t xml:space="preserve"> within D</w:t>
      </w:r>
      <w:r w:rsidRPr="009C5807">
        <w:rPr>
          <w:rFonts w:cs="v4.2.0"/>
          <w:vertAlign w:val="subscript"/>
        </w:rPr>
        <w:t>handover</w:t>
      </w:r>
      <w:r w:rsidRPr="009C5807">
        <w:rPr>
          <w:rFonts w:cs="v4.2.0" w:hint="eastAsia"/>
          <w:vertAlign w:val="subscript"/>
          <w:lang w:val="en-US" w:eastAsia="zh-CN"/>
        </w:rPr>
        <w:t xml:space="preserve"> </w:t>
      </w:r>
      <w:r w:rsidRPr="009C5807">
        <w:rPr>
          <w:rFonts w:cs="v4.2.0"/>
        </w:rPr>
        <w:t xml:space="preserve"> </w:t>
      </w:r>
      <w:r w:rsidRPr="009C5807">
        <w:rPr>
          <w:rFonts w:cs="v4.2.0" w:hint="eastAsia"/>
          <w:lang w:val="en-US" w:eastAsia="zh-CN"/>
        </w:rPr>
        <w:t xml:space="preserve">ms </w:t>
      </w:r>
      <w:r w:rsidRPr="009C5807">
        <w:rPr>
          <w:rFonts w:cs="v4.2.0"/>
        </w:rPr>
        <w:t>from the end of the last TTI containing the RRC command.</w:t>
      </w:r>
    </w:p>
    <w:p w14:paraId="66F9B1F1" w14:textId="77777777" w:rsidR="00CF0288" w:rsidRPr="009C5807" w:rsidRDefault="00CF0288" w:rsidP="00CF0288">
      <w:pPr>
        <w:rPr>
          <w:rFonts w:cs="v4.2.0"/>
        </w:rPr>
      </w:pPr>
      <w:r w:rsidRPr="009C5807">
        <w:rPr>
          <w:rFonts w:cs="v4.2.0"/>
        </w:rPr>
        <w:t>Where:</w:t>
      </w:r>
    </w:p>
    <w:p w14:paraId="6469F45F" w14:textId="6C8AE4A0" w:rsidR="00C45EDF" w:rsidRPr="009C5807" w:rsidRDefault="00C45EDF" w:rsidP="00C45EDF">
      <w:pPr>
        <w:rPr>
          <w:rFonts w:cs="v4.2.0"/>
        </w:rPr>
      </w:pPr>
      <w:bookmarkStart w:id="85" w:name="_Toc526331615"/>
      <w:r w:rsidRPr="009C5807">
        <w:rPr>
          <w:rFonts w:cs="v4.2.0"/>
        </w:rPr>
        <w:t>D</w:t>
      </w:r>
      <w:r w:rsidRPr="009C5807">
        <w:rPr>
          <w:rFonts w:cs="v4.2.0"/>
          <w:vertAlign w:val="subscript"/>
        </w:rPr>
        <w:t>handover</w:t>
      </w:r>
      <w:r w:rsidRPr="009C5807">
        <w:rPr>
          <w:rFonts w:cs="v4.2.0"/>
        </w:rPr>
        <w:t xml:space="preserve"> equals the </w:t>
      </w:r>
      <w:r w:rsidRPr="009C5807">
        <w:rPr>
          <w:rFonts w:cs="v4.2.0" w:hint="eastAsia"/>
          <w:lang w:val="en-US" w:eastAsia="zh-CN"/>
        </w:rPr>
        <w:t>applicable</w:t>
      </w:r>
      <w:r w:rsidRPr="009C5807">
        <w:rPr>
          <w:rFonts w:cs="v4.2.0"/>
        </w:rPr>
        <w:t xml:space="preserve"> RRC procedure delay defined in clause </w:t>
      </w:r>
      <w:r w:rsidRPr="009C5807">
        <w:rPr>
          <w:rFonts w:cs="v4.2.0"/>
          <w:lang w:eastAsia="zh-CN"/>
        </w:rPr>
        <w:t>12</w:t>
      </w:r>
      <w:r w:rsidRPr="009C5807">
        <w:rPr>
          <w:rFonts w:cs="v4.2.0"/>
        </w:rPr>
        <w:t xml:space="preserve"> in </w:t>
      </w:r>
      <w:r w:rsidRPr="009C5807">
        <w:t>TS 38.331 [2]</w:t>
      </w:r>
      <w:r w:rsidRPr="009C5807">
        <w:rPr>
          <w:rFonts w:cs="v4.2.0"/>
        </w:rPr>
        <w:t xml:space="preserve"> plus the interruption time stated in clause 6.1.1.3.2.</w:t>
      </w:r>
    </w:p>
    <w:p w14:paraId="05815161" w14:textId="77777777" w:rsidR="00CF0288" w:rsidRPr="009C5807" w:rsidRDefault="00CF0288" w:rsidP="00CF0288">
      <w:pPr>
        <w:pStyle w:val="Heading5"/>
      </w:pPr>
      <w:r w:rsidRPr="009C5807">
        <w:t>6.1.1.3.2</w:t>
      </w:r>
      <w:r w:rsidRPr="009C5807">
        <w:tab/>
        <w:t>Interruption time</w:t>
      </w:r>
      <w:bookmarkEnd w:id="85"/>
    </w:p>
    <w:p w14:paraId="397C5EF5" w14:textId="77777777" w:rsidR="00D139B0" w:rsidRPr="009C5807" w:rsidRDefault="00D139B0" w:rsidP="00D139B0">
      <w:pPr>
        <w:rPr>
          <w:rFonts w:cs="v4.2.0"/>
        </w:rPr>
      </w:pPr>
      <w:r w:rsidRPr="009C5807">
        <w:rPr>
          <w:rFonts w:cs="v4.2.0"/>
        </w:rPr>
        <w:t>The interruption time is the time between the end of the last TTI containing the RRC command on the old PDSCH and the time the UE starts transmission of the new PRACH</w:t>
      </w:r>
      <w:r w:rsidRPr="009C5807">
        <w:rPr>
          <w:rFonts w:eastAsia="MS Mincho" w:cs="v4.2.0"/>
        </w:rPr>
        <w:t>, excluding the RRC procedure delay</w:t>
      </w:r>
      <w:r w:rsidRPr="009C5807">
        <w:rPr>
          <w:rFonts w:cs="v4.2.0"/>
        </w:rPr>
        <w:t>.</w:t>
      </w:r>
    </w:p>
    <w:p w14:paraId="18F48870" w14:textId="543D8E93" w:rsidR="00DC3CFE" w:rsidRPr="009C5807" w:rsidRDefault="00DC3CFE" w:rsidP="00DC3CFE">
      <w:pPr>
        <w:rPr>
          <w:rFonts w:cs="v4.2.0"/>
          <w:position w:val="-6"/>
        </w:rPr>
      </w:pPr>
      <w:r w:rsidRPr="009C5807">
        <w:rPr>
          <w:rFonts w:cs="v4.2.0"/>
        </w:rPr>
        <w:t>When inter-frequency handover is commanded, the interruption time shall be less than T</w:t>
      </w:r>
      <w:r w:rsidRPr="009C5807">
        <w:rPr>
          <w:rFonts w:cs="v4.2.0"/>
          <w:vertAlign w:val="subscript"/>
        </w:rPr>
        <w:t>interrupt</w:t>
      </w:r>
    </w:p>
    <w:p w14:paraId="42B8B315" w14:textId="5D9F85A8" w:rsidR="00CF0288" w:rsidRPr="009C5807" w:rsidRDefault="00CF0288" w:rsidP="00CF0288">
      <w:pPr>
        <w:pStyle w:val="EQ"/>
      </w:pPr>
      <w:r w:rsidRPr="009C5807">
        <w:tab/>
      </w:r>
      <w:r w:rsidR="0031739B" w:rsidRPr="009C5807">
        <w:rPr>
          <w:rFonts w:cs="v4.2.0"/>
        </w:rPr>
        <w:t>T</w:t>
      </w:r>
      <w:r w:rsidR="0031739B" w:rsidRPr="009C5807">
        <w:rPr>
          <w:rFonts w:cs="v4.2.0"/>
          <w:vertAlign w:val="subscript"/>
        </w:rPr>
        <w:t>interrupt</w:t>
      </w:r>
      <w:r w:rsidR="0031739B" w:rsidRPr="009C5807">
        <w:t xml:space="preserve"> = T</w:t>
      </w:r>
      <w:r w:rsidR="0031739B" w:rsidRPr="009C5807">
        <w:rPr>
          <w:vertAlign w:val="subscript"/>
        </w:rPr>
        <w:t>search</w:t>
      </w:r>
      <w:r w:rsidR="0031739B" w:rsidRPr="009C5807">
        <w:t xml:space="preserve"> + T</w:t>
      </w:r>
      <w:r w:rsidR="0031739B" w:rsidRPr="009C5807">
        <w:rPr>
          <w:vertAlign w:val="subscript"/>
        </w:rPr>
        <w:t>IU</w:t>
      </w:r>
      <w:r w:rsidR="0031739B" w:rsidRPr="009C5807">
        <w:t xml:space="preserve"> + T</w:t>
      </w:r>
      <w:r w:rsidR="0031739B" w:rsidRPr="009C5807">
        <w:rPr>
          <w:vertAlign w:val="subscript"/>
          <w:lang w:eastAsia="zh-CN"/>
        </w:rPr>
        <w:t xml:space="preserve">processing </w:t>
      </w:r>
      <w:r w:rsidR="0031739B" w:rsidRPr="009C5807">
        <w:rPr>
          <w:lang w:eastAsia="zh-CN"/>
        </w:rPr>
        <w:t>+ T</w:t>
      </w:r>
      <w:r w:rsidR="0031739B" w:rsidRPr="009C5807">
        <w:rPr>
          <w:vertAlign w:val="subscript"/>
          <w:lang w:eastAsia="zh-CN"/>
        </w:rPr>
        <w:t xml:space="preserve">∆ </w:t>
      </w:r>
      <w:r w:rsidR="0031739B" w:rsidRPr="009C5807">
        <w:rPr>
          <w:lang w:eastAsia="zh-CN"/>
        </w:rPr>
        <w:t>+ T</w:t>
      </w:r>
      <w:r w:rsidR="0031739B" w:rsidRPr="009C5807">
        <w:rPr>
          <w:vertAlign w:val="subscript"/>
          <w:lang w:eastAsia="zh-CN"/>
        </w:rPr>
        <w:t>margin</w:t>
      </w:r>
      <w:r w:rsidR="0031739B" w:rsidRPr="009C5807">
        <w:rPr>
          <w:lang w:eastAsia="zh-CN"/>
        </w:rPr>
        <w:t xml:space="preserve"> </w:t>
      </w:r>
      <w:r w:rsidR="0031739B" w:rsidRPr="009C5807">
        <w:t>ms</w:t>
      </w:r>
    </w:p>
    <w:p w14:paraId="42BAFA68" w14:textId="77777777" w:rsidR="00CF0288" w:rsidRPr="009C5807" w:rsidRDefault="00CF0288" w:rsidP="00CF0288">
      <w:pPr>
        <w:rPr>
          <w:rFonts w:cs="v4.2.0"/>
        </w:rPr>
      </w:pPr>
      <w:r w:rsidRPr="009C5807">
        <w:rPr>
          <w:rFonts w:cs="v4.2.0"/>
        </w:rPr>
        <w:t>Where:</w:t>
      </w:r>
    </w:p>
    <w:p w14:paraId="1A253017" w14:textId="21E284C9" w:rsidR="00CF0288" w:rsidRPr="009C5807" w:rsidRDefault="000E322F" w:rsidP="000E322F">
      <w:pPr>
        <w:pStyle w:val="B10"/>
      </w:pPr>
      <w:r>
        <w:tab/>
      </w:r>
      <w:r w:rsidR="00CF0288" w:rsidRPr="009C5807">
        <w:t>T</w:t>
      </w:r>
      <w:r w:rsidR="00CF0288" w:rsidRPr="009C5807">
        <w:rPr>
          <w:vertAlign w:val="subscript"/>
        </w:rPr>
        <w:t>search</w:t>
      </w:r>
      <w:r w:rsidR="00CF0288" w:rsidRPr="009C5807">
        <w:t xml:space="preserve"> is the time required to search the target cell when the target cell is not already known when the handover command is received by the UE. If the target cell is known, then T</w:t>
      </w:r>
      <w:r w:rsidR="00CF0288" w:rsidRPr="009C5807">
        <w:rPr>
          <w:vertAlign w:val="subscript"/>
        </w:rPr>
        <w:t>search</w:t>
      </w:r>
      <w:r w:rsidR="00CF0288" w:rsidRPr="009C5807">
        <w:t xml:space="preserve"> = 0 ms. If the target cell is an unknown inter-frequency cell and the target cell </w:t>
      </w:r>
      <w:r w:rsidR="00DC3CFE" w:rsidRPr="009C5807">
        <w:t>Es/Iot</w:t>
      </w:r>
      <w:r w:rsidR="00DC3CFE">
        <w:rPr>
          <w:rFonts w:hint="eastAsia"/>
          <w:lang w:eastAsia="zh-CN"/>
        </w:rPr>
        <w:t xml:space="preserve"> </w:t>
      </w:r>
      <w:r w:rsidR="00DC3CFE" w:rsidRPr="009C5807">
        <w:rPr>
          <w:rFonts w:hint="eastAsia"/>
        </w:rPr>
        <w:t>≥</w:t>
      </w:r>
      <w:r w:rsidR="00DC3CFE">
        <w:rPr>
          <w:rFonts w:hint="eastAsia"/>
          <w:lang w:eastAsia="zh-CN"/>
        </w:rPr>
        <w:t xml:space="preserve"> </w:t>
      </w:r>
      <w:r w:rsidR="00DC3CFE" w:rsidRPr="009C5807">
        <w:t>-2 dB</w:t>
      </w:r>
      <w:r w:rsidR="00CF0288" w:rsidRPr="009C5807">
        <w:t>, then T</w:t>
      </w:r>
      <w:r w:rsidR="00CF0288" w:rsidRPr="009C5807">
        <w:rPr>
          <w:vertAlign w:val="subscript"/>
        </w:rPr>
        <w:t>search</w:t>
      </w:r>
      <w:r w:rsidR="00CF0288" w:rsidRPr="009C5807">
        <w:t xml:space="preserve"> = 3* T</w:t>
      </w:r>
      <w:r w:rsidR="00CF0288" w:rsidRPr="009C5807">
        <w:rPr>
          <w:vertAlign w:val="subscript"/>
        </w:rPr>
        <w:t>rs</w:t>
      </w:r>
      <w:r w:rsidR="00CF0288" w:rsidRPr="009C5807">
        <w:t xml:space="preserve"> ms. Regardless of whether DRX is in use by the UE, T</w:t>
      </w:r>
      <w:r w:rsidR="00CF0288" w:rsidRPr="009C5807">
        <w:rPr>
          <w:vertAlign w:val="subscript"/>
        </w:rPr>
        <w:t>search</w:t>
      </w:r>
      <w:r w:rsidR="00CF0288" w:rsidRPr="009C5807">
        <w:t xml:space="preserve"> shall still be based on non-DRX target cell search times.</w:t>
      </w:r>
    </w:p>
    <w:p w14:paraId="2FAEE9A7" w14:textId="5ECEBB38" w:rsidR="000F11E5" w:rsidRPr="009C5807" w:rsidRDefault="00FE22DE" w:rsidP="000E322F">
      <w:pPr>
        <w:pStyle w:val="B10"/>
      </w:pPr>
      <w:r>
        <w:tab/>
        <w:t>T</w:t>
      </w:r>
      <w:r>
        <w:rPr>
          <w:vertAlign w:val="subscript"/>
        </w:rPr>
        <w:t>∆</w:t>
      </w:r>
      <w:r>
        <w:t xml:space="preserve"> is time for fine time tracking and acquiring full timing information of the target cell. T</w:t>
      </w:r>
      <w:r>
        <w:rPr>
          <w:vertAlign w:val="subscript"/>
        </w:rPr>
        <w:t>∆</w:t>
      </w:r>
      <w:r>
        <w:t xml:space="preserve"> = T</w:t>
      </w:r>
      <w:r>
        <w:rPr>
          <w:vertAlign w:val="subscript"/>
        </w:rPr>
        <w:t xml:space="preserve">rs </w:t>
      </w:r>
      <w:r>
        <w:t>for both known and unknown target cell.</w:t>
      </w:r>
    </w:p>
    <w:p w14:paraId="64466BA8" w14:textId="2E8EC941" w:rsidR="000F11E5" w:rsidRPr="009C5807" w:rsidRDefault="000E322F" w:rsidP="000E322F">
      <w:pPr>
        <w:pStyle w:val="B10"/>
      </w:pPr>
      <w:r>
        <w:tab/>
      </w:r>
      <w:r w:rsidR="000F11E5" w:rsidRPr="009C5807">
        <w:t>T</w:t>
      </w:r>
      <w:r w:rsidR="000F11E5" w:rsidRPr="009C5807">
        <w:rPr>
          <w:vertAlign w:val="subscript"/>
          <w:lang w:eastAsia="zh-CN"/>
        </w:rPr>
        <w:t>processing</w:t>
      </w:r>
      <w:r w:rsidR="000F11E5" w:rsidRPr="009C5807">
        <w:t xml:space="preserve"> is time for UE processing. T</w:t>
      </w:r>
      <w:r w:rsidR="000F11E5" w:rsidRPr="009C5807">
        <w:rPr>
          <w:vertAlign w:val="subscript"/>
          <w:lang w:eastAsia="zh-CN"/>
        </w:rPr>
        <w:t>processing</w:t>
      </w:r>
      <w:r w:rsidR="000F11E5" w:rsidRPr="009C5807">
        <w:t xml:space="preserve"> can be up to 40ms.</w:t>
      </w:r>
    </w:p>
    <w:p w14:paraId="1FB2A0B3" w14:textId="36CB927D" w:rsidR="00CF0288" w:rsidRPr="009C5807" w:rsidRDefault="000E322F" w:rsidP="000E322F">
      <w:pPr>
        <w:pStyle w:val="B10"/>
      </w:pPr>
      <w:r>
        <w:rPr>
          <w:lang w:eastAsia="zh-CN"/>
        </w:rPr>
        <w:tab/>
      </w:r>
      <w:r w:rsidR="000F11E5" w:rsidRPr="009C5807">
        <w:rPr>
          <w:lang w:eastAsia="zh-CN"/>
        </w:rPr>
        <w:t>T</w:t>
      </w:r>
      <w:r w:rsidR="000F11E5" w:rsidRPr="009C5807">
        <w:rPr>
          <w:vertAlign w:val="subscript"/>
          <w:lang w:eastAsia="zh-CN"/>
        </w:rPr>
        <w:t xml:space="preserve">margin </w:t>
      </w:r>
      <w:r w:rsidR="000F11E5" w:rsidRPr="009C5807">
        <w:rPr>
          <w:lang w:eastAsia="zh-CN"/>
        </w:rPr>
        <w:t>is time for SSB post-processing. T</w:t>
      </w:r>
      <w:r w:rsidR="000F11E5" w:rsidRPr="009C5807">
        <w:rPr>
          <w:vertAlign w:val="subscript"/>
          <w:lang w:eastAsia="zh-CN"/>
        </w:rPr>
        <w:t xml:space="preserve">margin </w:t>
      </w:r>
      <w:r w:rsidR="000F11E5" w:rsidRPr="009C5807">
        <w:rPr>
          <w:lang w:eastAsia="zh-CN"/>
        </w:rPr>
        <w:t>can be up to 2ms.</w:t>
      </w:r>
    </w:p>
    <w:p w14:paraId="22CBAB4D" w14:textId="3ABF9103" w:rsidR="00CF0288" w:rsidRPr="009C5807" w:rsidRDefault="000E322F" w:rsidP="000E322F">
      <w:pPr>
        <w:pStyle w:val="B10"/>
        <w:rPr>
          <w:lang w:eastAsia="zh-CN"/>
        </w:rPr>
      </w:pPr>
      <w:r>
        <w:tab/>
      </w:r>
      <w:r w:rsidR="00CF0288" w:rsidRPr="009C5807">
        <w:t>T</w:t>
      </w:r>
      <w:r w:rsidR="00CF0288" w:rsidRPr="009C5807">
        <w:rPr>
          <w:vertAlign w:val="subscript"/>
        </w:rPr>
        <w:t>IU</w:t>
      </w:r>
      <w:r w:rsidR="00CF0288" w:rsidRPr="009C5807">
        <w:t xml:space="preserve"> is the interruption uncertainty </w:t>
      </w:r>
      <w:r w:rsidR="00CF0288" w:rsidRPr="009C5807">
        <w:rPr>
          <w:lang w:eastAsia="zh-CN"/>
        </w:rPr>
        <w:t>in acquiring the first available PRACH occasion in the new cell</w:t>
      </w:r>
      <w:r w:rsidR="00CF0288" w:rsidRPr="009C5807">
        <w:t>. T</w:t>
      </w:r>
      <w:r w:rsidR="00CF0288" w:rsidRPr="009C5807">
        <w:rPr>
          <w:vertAlign w:val="subscript"/>
        </w:rPr>
        <w:t>IU</w:t>
      </w:r>
      <w:r w:rsidR="00CF0288" w:rsidRPr="009C5807">
        <w:t xml:space="preserve"> can be up to the summation of SSB to PRACH occasion association period and 10 ms. SSB to PRACH occasion associated period is defined in the table 8.1-1 of TS 38.213 [3].</w:t>
      </w:r>
    </w:p>
    <w:p w14:paraId="7A776C41" w14:textId="0A33186B" w:rsidR="00CF0288" w:rsidRPr="009C5807" w:rsidRDefault="000E322F" w:rsidP="000E322F">
      <w:pPr>
        <w:pStyle w:val="B10"/>
      </w:pPr>
      <w:r>
        <w:tab/>
      </w:r>
      <w:r w:rsidR="00CF0288" w:rsidRPr="009C5807">
        <w:t>T</w:t>
      </w:r>
      <w:r w:rsidR="00CF0288" w:rsidRPr="009C5807">
        <w:rPr>
          <w:vertAlign w:val="subscript"/>
        </w:rPr>
        <w:t>rs</w:t>
      </w:r>
      <w:r w:rsidR="00CF0288" w:rsidRPr="009C5807">
        <w:t xml:space="preserve"> is the SMTC periodicity of the target NR cell if the UE has been provided with an SMTC configuration for the target cell in the handover command, otherwise </w:t>
      </w:r>
      <w:r w:rsidR="00DC3CFE" w:rsidRPr="009C5807">
        <w:t>T</w:t>
      </w:r>
      <w:r w:rsidR="00DC3CFE" w:rsidRPr="002F5786">
        <w:rPr>
          <w:vertAlign w:val="subscript"/>
        </w:rPr>
        <w:t>rs</w:t>
      </w:r>
      <w:r w:rsidR="00CF0288" w:rsidRPr="009C5807">
        <w:t xml:space="preserve"> is the SMTC configured in the measObjectNR having the same SSB frequency and subcarrier spacing. </w:t>
      </w:r>
      <w:r w:rsidR="00BE6C06" w:rsidRPr="006C4DD4">
        <w:t>If such measObjectNRs configured by MN and SN have different SMTC, T</w:t>
      </w:r>
      <w:r w:rsidR="00BE6C06" w:rsidRPr="00301B77">
        <w:rPr>
          <w:vertAlign w:val="subscript"/>
        </w:rPr>
        <w:t>rs</w:t>
      </w:r>
      <w:r w:rsidR="00BE6C06" w:rsidRPr="006C4DD4">
        <w:t xml:space="preserve"> is the periodicity of one of the SMTC which is up to UE implementation</w:t>
      </w:r>
      <w:r w:rsidR="00BE6C06">
        <w:t xml:space="preserve">. </w:t>
      </w:r>
      <w:r w:rsidR="00CF0288" w:rsidRPr="009C5807">
        <w:t xml:space="preserve">If the UE is not provided SMTC configuration or measurement object on this frequency, the requirement in this </w:t>
      </w:r>
      <w:r w:rsidR="0059755E" w:rsidRPr="009C5807">
        <w:t>clause</w:t>
      </w:r>
      <w:r w:rsidR="00CF0288" w:rsidRPr="009C5807">
        <w:t xml:space="preserve"> is applied with T</w:t>
      </w:r>
      <w:r w:rsidR="00CF0288" w:rsidRPr="009C5807">
        <w:rPr>
          <w:vertAlign w:val="subscript"/>
        </w:rPr>
        <w:t>rs</w:t>
      </w:r>
      <w:r w:rsidR="00CF0288" w:rsidRPr="009C5807">
        <w:t xml:space="preserve">=5ms assuming the SSB transmission periodicity is 5ms. There is no requirement if the SSB transmission periodicity is not 5ms. </w:t>
      </w:r>
    </w:p>
    <w:p w14:paraId="39A3512C" w14:textId="214CC0ED" w:rsidR="00CF0288" w:rsidRPr="009C5807" w:rsidRDefault="00CF0288" w:rsidP="00CF0288">
      <w:pPr>
        <w:rPr>
          <w:lang w:eastAsia="zh-CN"/>
        </w:rPr>
      </w:pPr>
      <w:r w:rsidRPr="009C5807">
        <w:t>In the interruption requirement a cell is known if it has been meeting the relevant cell identification requirement during the last 5 seconds otherwise it is unknown. Relevant cell identification requirements are described in Clause 9.2.5 for intra-frequency handover and Clause 9.3</w:t>
      </w:r>
      <w:r w:rsidR="00EA0849" w:rsidRPr="009C5807">
        <w:t xml:space="preserve">.4 </w:t>
      </w:r>
      <w:r w:rsidRPr="009C5807">
        <w:t>for inter-frequency handover.</w:t>
      </w:r>
    </w:p>
    <w:p w14:paraId="496DDC80" w14:textId="77777777" w:rsidR="00CF0288" w:rsidRPr="009C5807" w:rsidRDefault="00CF0288" w:rsidP="00CF0288">
      <w:pPr>
        <w:pStyle w:val="Heading4"/>
        <w:rPr>
          <w:lang w:val="en-US" w:eastAsia="zh-CN"/>
        </w:rPr>
      </w:pPr>
      <w:bookmarkStart w:id="86" w:name="_Toc526331616"/>
      <w:r w:rsidRPr="009C5807">
        <w:rPr>
          <w:lang w:val="en-US" w:eastAsia="zh-CN"/>
        </w:rPr>
        <w:t>6.1.1.4</w:t>
      </w:r>
      <w:r w:rsidRPr="009C5807">
        <w:rPr>
          <w:lang w:val="en-US" w:eastAsia="zh-CN"/>
        </w:rPr>
        <w:tab/>
        <w:t>NR FR2- NR FR2 Handover</w:t>
      </w:r>
      <w:bookmarkEnd w:id="86"/>
    </w:p>
    <w:p w14:paraId="16B0FA56" w14:textId="77777777" w:rsidR="00CF0288" w:rsidRPr="009C5807" w:rsidRDefault="00CF0288" w:rsidP="00CF0288">
      <w:r w:rsidRPr="009C5807">
        <w:t>The requirements in this clause are applicable to both intra-frequency and inter-frequency handovers from NR FR2 cell to NR FR2 cell.</w:t>
      </w:r>
    </w:p>
    <w:p w14:paraId="1E8074EF" w14:textId="77777777" w:rsidR="00CF0288" w:rsidRPr="009C5807" w:rsidRDefault="00CF0288" w:rsidP="00CF0288">
      <w:pPr>
        <w:pStyle w:val="Heading5"/>
      </w:pPr>
      <w:bookmarkStart w:id="87" w:name="_Toc526331617"/>
      <w:r w:rsidRPr="009C5807">
        <w:t>6.1.1.4.1</w:t>
      </w:r>
      <w:r w:rsidRPr="009C5807">
        <w:tab/>
        <w:t>Handover delay</w:t>
      </w:r>
      <w:bookmarkEnd w:id="87"/>
    </w:p>
    <w:p w14:paraId="2ABFE33E" w14:textId="34AC9D4E" w:rsidR="00D139B0" w:rsidRPr="009C5807" w:rsidRDefault="00D139B0" w:rsidP="00D139B0">
      <w:pPr>
        <w:rPr>
          <w:rFonts w:cs="v4.2.0"/>
        </w:rPr>
      </w:pPr>
      <w:bookmarkStart w:id="88" w:name="_Toc526331618"/>
      <w:r w:rsidRPr="009C5807">
        <w:rPr>
          <w:rFonts w:cs="v4.2.0"/>
        </w:rPr>
        <w:t xml:space="preserve">When the UE receives a RRC message implying handover the UE shall be ready to </w:t>
      </w:r>
      <w:r w:rsidRPr="009C5807">
        <w:rPr>
          <w:rFonts w:cs="v4.2.0"/>
          <w:snapToGrid w:val="0"/>
        </w:rPr>
        <w:t>start the transmission of the new uplink PRACH channel</w:t>
      </w:r>
      <w:r w:rsidRPr="009C5807">
        <w:rPr>
          <w:rFonts w:cs="v4.2.0"/>
        </w:rPr>
        <w:t xml:space="preserve"> within D</w:t>
      </w:r>
      <w:r w:rsidRPr="009C5807">
        <w:rPr>
          <w:rFonts w:cs="v4.2.0"/>
          <w:vertAlign w:val="subscript"/>
        </w:rPr>
        <w:t>handover</w:t>
      </w:r>
      <w:r w:rsidRPr="009C5807">
        <w:rPr>
          <w:rFonts w:cs="v4.2.0"/>
        </w:rPr>
        <w:t xml:space="preserve"> </w:t>
      </w:r>
      <w:r w:rsidRPr="009C5807">
        <w:rPr>
          <w:rFonts w:cs="v4.2.0" w:hint="eastAsia"/>
          <w:lang w:val="en-US" w:eastAsia="zh-CN"/>
        </w:rPr>
        <w:t xml:space="preserve">ms </w:t>
      </w:r>
      <w:r w:rsidRPr="009C5807">
        <w:rPr>
          <w:rFonts w:cs="v4.2.0"/>
        </w:rPr>
        <w:t>from the end of the last TTI containing the RRC command.</w:t>
      </w:r>
    </w:p>
    <w:p w14:paraId="4F66CA88" w14:textId="77777777" w:rsidR="00C45EDF" w:rsidRPr="009C5807" w:rsidRDefault="00C45EDF" w:rsidP="00C45EDF">
      <w:pPr>
        <w:rPr>
          <w:rFonts w:cs="v4.2.0"/>
        </w:rPr>
      </w:pPr>
      <w:r w:rsidRPr="009C5807">
        <w:rPr>
          <w:rFonts w:cs="v4.2.0"/>
        </w:rPr>
        <w:t>Where:</w:t>
      </w:r>
    </w:p>
    <w:p w14:paraId="3574A411" w14:textId="06632A8D" w:rsidR="00C45EDF" w:rsidRPr="009C5807" w:rsidRDefault="00C45EDF" w:rsidP="00C45EDF">
      <w:pPr>
        <w:rPr>
          <w:rFonts w:cs="v4.2.0"/>
        </w:rPr>
      </w:pPr>
      <w:r w:rsidRPr="009C5807">
        <w:rPr>
          <w:rFonts w:cs="v4.2.0"/>
        </w:rPr>
        <w:t>D</w:t>
      </w:r>
      <w:r w:rsidRPr="009C5807">
        <w:rPr>
          <w:rFonts w:cs="v4.2.0"/>
          <w:vertAlign w:val="subscript"/>
        </w:rPr>
        <w:t>handover</w:t>
      </w:r>
      <w:r w:rsidRPr="009C5807">
        <w:rPr>
          <w:rFonts w:cs="v4.2.0"/>
        </w:rPr>
        <w:t xml:space="preserve"> equals the </w:t>
      </w:r>
      <w:r w:rsidRPr="009C5807">
        <w:rPr>
          <w:rFonts w:cs="v4.2.0" w:hint="eastAsia"/>
          <w:lang w:val="en-US" w:eastAsia="zh-CN"/>
        </w:rPr>
        <w:t>applicable</w:t>
      </w:r>
      <w:r w:rsidRPr="009C5807">
        <w:rPr>
          <w:rFonts w:cs="v4.2.0"/>
        </w:rPr>
        <w:t xml:space="preserve"> RRC procedure delay defined in clause </w:t>
      </w:r>
      <w:r w:rsidRPr="009C5807">
        <w:rPr>
          <w:rFonts w:cs="v4.2.0"/>
          <w:lang w:eastAsia="zh-CN"/>
        </w:rPr>
        <w:t>12</w:t>
      </w:r>
      <w:r w:rsidRPr="009C5807">
        <w:rPr>
          <w:rFonts w:cs="v4.2.0"/>
        </w:rPr>
        <w:t xml:space="preserve"> in </w:t>
      </w:r>
      <w:r w:rsidRPr="009C5807">
        <w:t>TS 38.331 [2]</w:t>
      </w:r>
      <w:r w:rsidRPr="009C5807">
        <w:rPr>
          <w:rFonts w:cs="v4.2.0"/>
        </w:rPr>
        <w:t xml:space="preserve"> plus the interruption time stated in clause 6.1.1.4.2.</w:t>
      </w:r>
    </w:p>
    <w:p w14:paraId="6550A119" w14:textId="77777777" w:rsidR="00CF0288" w:rsidRPr="009C5807" w:rsidRDefault="00CF0288" w:rsidP="00CF0288">
      <w:pPr>
        <w:pStyle w:val="Heading5"/>
      </w:pPr>
      <w:r w:rsidRPr="009C5807">
        <w:t>6.1.1.4.2</w:t>
      </w:r>
      <w:r w:rsidRPr="009C5807">
        <w:tab/>
        <w:t>Interruption time</w:t>
      </w:r>
      <w:bookmarkEnd w:id="88"/>
    </w:p>
    <w:p w14:paraId="61411B64" w14:textId="77777777" w:rsidR="00CF0288" w:rsidRPr="009C5807" w:rsidRDefault="00CF0288" w:rsidP="00CF0288">
      <w:pPr>
        <w:rPr>
          <w:rFonts w:cs="v4.2.0"/>
        </w:rPr>
      </w:pPr>
      <w:r w:rsidRPr="009C5807">
        <w:rPr>
          <w:rFonts w:cs="v4.2.0"/>
        </w:rPr>
        <w:t>The interruption time is the time between end of the last TTI containing the RRC command on the old PDSCH and the time the UE starts transmission of the new PRACH</w:t>
      </w:r>
      <w:r w:rsidRPr="009C5807">
        <w:rPr>
          <w:rFonts w:eastAsia="MS Mincho" w:cs="v4.2.0"/>
        </w:rPr>
        <w:t>, excluding the RRC procedure delay</w:t>
      </w:r>
      <w:r w:rsidRPr="009C5807">
        <w:rPr>
          <w:rFonts w:cs="v4.2.0"/>
        </w:rPr>
        <w:t>.</w:t>
      </w:r>
    </w:p>
    <w:p w14:paraId="19C4A6F8" w14:textId="77777777" w:rsidR="00CF0288" w:rsidRPr="009C5807" w:rsidRDefault="00CF0288" w:rsidP="00CF0288">
      <w:pPr>
        <w:rPr>
          <w:rFonts w:cs="v4.2.0"/>
          <w:position w:val="-6"/>
        </w:rPr>
      </w:pPr>
      <w:r w:rsidRPr="009C5807">
        <w:rPr>
          <w:rFonts w:cs="v4.2.0"/>
        </w:rPr>
        <w:t>When intra-frequency or inter-frequency handover is commanded, the interruption time shall be less than T</w:t>
      </w:r>
      <w:r w:rsidRPr="009C5807">
        <w:rPr>
          <w:rFonts w:cs="v4.2.0"/>
          <w:vertAlign w:val="subscript"/>
        </w:rPr>
        <w:t>interrupt</w:t>
      </w:r>
    </w:p>
    <w:p w14:paraId="28463131" w14:textId="3720CC66" w:rsidR="00CF0288" w:rsidRPr="009C5807" w:rsidRDefault="00CF0288" w:rsidP="00CF0288">
      <w:pPr>
        <w:pStyle w:val="EQ"/>
      </w:pPr>
      <w:r w:rsidRPr="009C5807">
        <w:tab/>
      </w:r>
      <w:r w:rsidR="00DB396C" w:rsidRPr="009C5807">
        <w:rPr>
          <w:rFonts w:cs="v4.2.0"/>
        </w:rPr>
        <w:t>T</w:t>
      </w:r>
      <w:r w:rsidR="00DB396C" w:rsidRPr="009C5807">
        <w:rPr>
          <w:rFonts w:cs="v4.2.0"/>
          <w:vertAlign w:val="subscript"/>
        </w:rPr>
        <w:t>interrupt</w:t>
      </w:r>
      <w:r w:rsidR="00DB396C" w:rsidRPr="009C5807">
        <w:t xml:space="preserve"> = T</w:t>
      </w:r>
      <w:r w:rsidR="00DB396C" w:rsidRPr="009C5807">
        <w:rPr>
          <w:vertAlign w:val="subscript"/>
        </w:rPr>
        <w:t>search</w:t>
      </w:r>
      <w:r w:rsidR="00DB396C" w:rsidRPr="009C5807">
        <w:t xml:space="preserve"> + T</w:t>
      </w:r>
      <w:r w:rsidR="00DB396C" w:rsidRPr="009C5807">
        <w:rPr>
          <w:vertAlign w:val="subscript"/>
        </w:rPr>
        <w:t>IU</w:t>
      </w:r>
      <w:r w:rsidR="00DB396C" w:rsidRPr="009C5807">
        <w:t xml:space="preserve"> + </w:t>
      </w:r>
      <w:r w:rsidR="00DB396C" w:rsidRPr="009C5807">
        <w:rPr>
          <w:lang w:eastAsia="zh-CN"/>
        </w:rPr>
        <w:t>T</w:t>
      </w:r>
      <w:r w:rsidR="00DB396C" w:rsidRPr="009C5807">
        <w:rPr>
          <w:vertAlign w:val="subscript"/>
          <w:lang w:eastAsia="zh-CN"/>
        </w:rPr>
        <w:t xml:space="preserve">processing </w:t>
      </w:r>
      <w:r w:rsidR="00DB396C" w:rsidRPr="009C5807">
        <w:rPr>
          <w:lang w:eastAsia="zh-CN"/>
        </w:rPr>
        <w:t>+ T</w:t>
      </w:r>
      <w:r w:rsidR="00DB396C" w:rsidRPr="009C5807">
        <w:rPr>
          <w:vertAlign w:val="subscript"/>
          <w:lang w:eastAsia="zh-CN"/>
        </w:rPr>
        <w:t xml:space="preserve">∆ </w:t>
      </w:r>
      <w:r w:rsidR="00DB396C" w:rsidRPr="009C5807">
        <w:rPr>
          <w:lang w:eastAsia="zh-CN"/>
        </w:rPr>
        <w:t>+ T</w:t>
      </w:r>
      <w:r w:rsidR="00DB396C" w:rsidRPr="009C5807">
        <w:rPr>
          <w:vertAlign w:val="subscript"/>
          <w:lang w:eastAsia="zh-CN"/>
        </w:rPr>
        <w:t>margin</w:t>
      </w:r>
      <w:r w:rsidR="00DB396C" w:rsidRPr="009C5807">
        <w:rPr>
          <w:lang w:eastAsia="zh-CN"/>
        </w:rPr>
        <w:t xml:space="preserve"> </w:t>
      </w:r>
      <w:r w:rsidR="00DB396C" w:rsidRPr="009C5807">
        <w:t>ms</w:t>
      </w:r>
    </w:p>
    <w:p w14:paraId="27D9E803" w14:textId="77777777" w:rsidR="00CF0288" w:rsidRPr="009C5807" w:rsidRDefault="00CF0288" w:rsidP="00CF0288">
      <w:pPr>
        <w:rPr>
          <w:rFonts w:cs="v4.2.0"/>
        </w:rPr>
      </w:pPr>
      <w:r w:rsidRPr="009C5807">
        <w:rPr>
          <w:rFonts w:cs="v4.2.0"/>
        </w:rPr>
        <w:t>Where:</w:t>
      </w:r>
    </w:p>
    <w:p w14:paraId="0B4E605F" w14:textId="0AADB340" w:rsidR="000433CC" w:rsidRPr="009C5807" w:rsidRDefault="000433CC" w:rsidP="000433CC">
      <w:pPr>
        <w:pStyle w:val="B10"/>
      </w:pPr>
      <w:r>
        <w:tab/>
      </w:r>
      <w:r w:rsidRPr="009C5807">
        <w:t>T</w:t>
      </w:r>
      <w:r w:rsidRPr="009C5807">
        <w:rPr>
          <w:vertAlign w:val="subscript"/>
        </w:rPr>
        <w:t>search</w:t>
      </w:r>
      <w:r w:rsidRPr="009C5807">
        <w:t xml:space="preserve"> is the time required to search the target cell when the handover command is received by the UE. If the target cell is a known cell, then T</w:t>
      </w:r>
      <w:r w:rsidRPr="009C5807">
        <w:rPr>
          <w:vertAlign w:val="subscript"/>
        </w:rPr>
        <w:t>search</w:t>
      </w:r>
      <w:r w:rsidRPr="009C5807">
        <w:t xml:space="preserve"> = 0 ms. If the target cell is an unknown intra-frequency cell and the target cell Es/Iot</w:t>
      </w:r>
      <w:r w:rsidRPr="009C5807">
        <w:rPr>
          <w:rFonts w:hint="eastAsia"/>
        </w:rPr>
        <w:t>≥</w:t>
      </w:r>
      <w:r w:rsidRPr="009C5807">
        <w:t>-2 dB, then T</w:t>
      </w:r>
      <w:r w:rsidRPr="009C5807">
        <w:rPr>
          <w:vertAlign w:val="subscript"/>
        </w:rPr>
        <w:t>search</w:t>
      </w:r>
      <w:r w:rsidRPr="009C5807">
        <w:t xml:space="preserve"> = </w:t>
      </w:r>
      <w:r>
        <w:rPr>
          <w:lang w:eastAsia="zh-CN"/>
        </w:rPr>
        <w:t>N</w:t>
      </w:r>
      <w:r w:rsidRPr="009C5807">
        <w:t>* T</w:t>
      </w:r>
      <w:r w:rsidRPr="009C5807">
        <w:rPr>
          <w:vertAlign w:val="subscript"/>
        </w:rPr>
        <w:t>rs</w:t>
      </w:r>
      <w:r w:rsidRPr="009C5807">
        <w:t xml:space="preserve">  ms. If the target cell is an unknown inter-frequency cell and the target cell Es/Iot</w:t>
      </w:r>
      <w:r w:rsidRPr="009C5807">
        <w:rPr>
          <w:rFonts w:hint="eastAsia"/>
        </w:rPr>
        <w:t>≥</w:t>
      </w:r>
      <w:r w:rsidRPr="009C5807">
        <w:t>-2 dB, then T</w:t>
      </w:r>
      <w:r w:rsidRPr="009C5807">
        <w:rPr>
          <w:vertAlign w:val="subscript"/>
        </w:rPr>
        <w:t>search</w:t>
      </w:r>
      <w:r w:rsidRPr="009C5807">
        <w:t xml:space="preserve"> = </w:t>
      </w:r>
      <w:r>
        <w:rPr>
          <w:lang w:eastAsia="zh-CN"/>
        </w:rPr>
        <w:t>N</w:t>
      </w:r>
      <w:r w:rsidRPr="009C5807">
        <w:t>*</w:t>
      </w:r>
      <w:r w:rsidRPr="009C5807">
        <w:rPr>
          <w:lang w:eastAsia="zh-CN"/>
        </w:rPr>
        <w:t>3</w:t>
      </w:r>
      <w:r w:rsidRPr="009C5807">
        <w:t>* T</w:t>
      </w:r>
      <w:r w:rsidRPr="009C5807">
        <w:rPr>
          <w:vertAlign w:val="subscript"/>
        </w:rPr>
        <w:t>rs</w:t>
      </w:r>
      <w:r w:rsidRPr="009C5807">
        <w:t xml:space="preserve">  ms. </w:t>
      </w:r>
      <w:r>
        <w:t xml:space="preserve">N = 8 when the target cell is in FR2-1, and N = 12 when the target cell is in FR2-2. </w:t>
      </w:r>
      <w:r w:rsidRPr="009C5807">
        <w:t>Regardless of whether DRX is in use by the UE, T</w:t>
      </w:r>
      <w:r w:rsidRPr="009C5807">
        <w:rPr>
          <w:vertAlign w:val="subscript"/>
        </w:rPr>
        <w:t>search</w:t>
      </w:r>
      <w:r w:rsidRPr="009C5807">
        <w:t xml:space="preserve"> shall still be based on non-DRX target cell search times.</w:t>
      </w:r>
    </w:p>
    <w:p w14:paraId="0C11B53A" w14:textId="7F71D152" w:rsidR="00C06143" w:rsidRPr="009C5807" w:rsidRDefault="000E322F" w:rsidP="000E322F">
      <w:pPr>
        <w:pStyle w:val="B10"/>
      </w:pPr>
      <w:r>
        <w:tab/>
      </w:r>
      <w:r w:rsidR="00CF0288" w:rsidRPr="009C5807">
        <w:t>T</w:t>
      </w:r>
      <w:r w:rsidR="00CF0288" w:rsidRPr="009C5807">
        <w:rPr>
          <w:vertAlign w:val="subscript"/>
          <w:lang w:eastAsia="zh-CN"/>
        </w:rPr>
        <w:t>processing</w:t>
      </w:r>
      <w:r w:rsidR="00CF0288" w:rsidRPr="009C5807">
        <w:t xml:space="preserve"> is time for UE processing. T</w:t>
      </w:r>
      <w:r w:rsidR="00CF0288" w:rsidRPr="009C5807">
        <w:rPr>
          <w:vertAlign w:val="subscript"/>
          <w:lang w:eastAsia="zh-CN"/>
        </w:rPr>
        <w:t>processing</w:t>
      </w:r>
      <w:r w:rsidR="00CF0288" w:rsidRPr="009C5807">
        <w:t xml:space="preserve"> can be up to 20ms.</w:t>
      </w:r>
      <w:r w:rsidR="00C06143" w:rsidRPr="009C5807">
        <w:t xml:space="preserve"> </w:t>
      </w:r>
    </w:p>
    <w:p w14:paraId="2A47A4A9" w14:textId="4C7839D7" w:rsidR="00CF0288" w:rsidRPr="009C5807" w:rsidRDefault="000E322F" w:rsidP="000E322F">
      <w:pPr>
        <w:pStyle w:val="B10"/>
      </w:pPr>
      <w:r>
        <w:rPr>
          <w:lang w:eastAsia="zh-CN"/>
        </w:rPr>
        <w:tab/>
      </w:r>
      <w:r w:rsidR="00C06143" w:rsidRPr="009C5807">
        <w:rPr>
          <w:lang w:eastAsia="zh-CN"/>
        </w:rPr>
        <w:t>T</w:t>
      </w:r>
      <w:r w:rsidR="00C06143" w:rsidRPr="009C5807">
        <w:rPr>
          <w:vertAlign w:val="subscript"/>
          <w:lang w:eastAsia="zh-CN"/>
        </w:rPr>
        <w:t xml:space="preserve">margin </w:t>
      </w:r>
      <w:r w:rsidR="00C06143" w:rsidRPr="009C5807">
        <w:rPr>
          <w:lang w:eastAsia="zh-CN"/>
        </w:rPr>
        <w:t>is time for SSB post-processing. T</w:t>
      </w:r>
      <w:r w:rsidR="00C06143" w:rsidRPr="009C5807">
        <w:rPr>
          <w:vertAlign w:val="subscript"/>
          <w:lang w:eastAsia="zh-CN"/>
        </w:rPr>
        <w:t xml:space="preserve">margin </w:t>
      </w:r>
      <w:r w:rsidR="00C06143" w:rsidRPr="009C5807">
        <w:rPr>
          <w:lang w:eastAsia="zh-CN"/>
        </w:rPr>
        <w:t>can be up to 2ms.</w:t>
      </w:r>
    </w:p>
    <w:p w14:paraId="66357C86" w14:textId="04BF1B7A" w:rsidR="00D139B0" w:rsidRPr="009C5807" w:rsidRDefault="000E322F" w:rsidP="000E322F">
      <w:pPr>
        <w:pStyle w:val="B10"/>
      </w:pPr>
      <w:r>
        <w:tab/>
      </w:r>
      <w:r w:rsidR="00D139B0" w:rsidRPr="009C5807">
        <w:t>T</w:t>
      </w:r>
      <w:r w:rsidR="00D139B0" w:rsidRPr="009C5807">
        <w:rPr>
          <w:vertAlign w:val="subscript"/>
        </w:rPr>
        <w:t>∆</w:t>
      </w:r>
      <w:r w:rsidR="00D139B0" w:rsidRPr="009C5807">
        <w:t xml:space="preserve"> is time for fine time tracking and acquiring full timing information of the target cell. T</w:t>
      </w:r>
      <w:r w:rsidR="00D139B0" w:rsidRPr="009C5807">
        <w:rPr>
          <w:vertAlign w:val="subscript"/>
        </w:rPr>
        <w:t>∆</w:t>
      </w:r>
      <w:r w:rsidR="00D139B0" w:rsidRPr="009C5807">
        <w:t xml:space="preserve"> =  T</w:t>
      </w:r>
      <w:r w:rsidR="00D139B0" w:rsidRPr="009C5807">
        <w:rPr>
          <w:vertAlign w:val="subscript"/>
        </w:rPr>
        <w:t>rs</w:t>
      </w:r>
      <w:r w:rsidR="00D139B0" w:rsidRPr="009C5807">
        <w:t xml:space="preserve"> for both known and unknown target cell.</w:t>
      </w:r>
    </w:p>
    <w:p w14:paraId="1385FD07" w14:textId="7CC9D804" w:rsidR="00CF0288" w:rsidRPr="009C5807" w:rsidRDefault="000E322F" w:rsidP="000E322F">
      <w:pPr>
        <w:pStyle w:val="B10"/>
        <w:rPr>
          <w:lang w:eastAsia="zh-CN"/>
        </w:rPr>
      </w:pPr>
      <w:r>
        <w:tab/>
      </w:r>
      <w:r w:rsidR="00CF0288" w:rsidRPr="009C5807">
        <w:t>T</w:t>
      </w:r>
      <w:r w:rsidR="00CF0288" w:rsidRPr="009C5807">
        <w:rPr>
          <w:vertAlign w:val="subscript"/>
        </w:rPr>
        <w:t>IU</w:t>
      </w:r>
      <w:r w:rsidR="00CF0288" w:rsidRPr="009C5807">
        <w:t xml:space="preserve"> is the interruption uncertainty </w:t>
      </w:r>
      <w:r w:rsidR="00CF0288" w:rsidRPr="009C5807">
        <w:rPr>
          <w:lang w:eastAsia="zh-CN"/>
        </w:rPr>
        <w:t>in acquiring the first available PRACH occasion in the new cell</w:t>
      </w:r>
      <w:r w:rsidR="00CF0288" w:rsidRPr="009C5807">
        <w:t>. T</w:t>
      </w:r>
      <w:r w:rsidR="00CF0288" w:rsidRPr="009C5807">
        <w:rPr>
          <w:vertAlign w:val="subscript"/>
        </w:rPr>
        <w:t>IU</w:t>
      </w:r>
      <w:r w:rsidR="00CF0288" w:rsidRPr="009C5807">
        <w:t xml:space="preserve"> can be up to the summation of SSB to PRACH occasion association period and 10 ms. SSB to PRACH occasion associated period is defined in the table 8.1-1 of TS 38.213 [3].</w:t>
      </w:r>
    </w:p>
    <w:p w14:paraId="16489EFB" w14:textId="588CB08E" w:rsidR="00CF0288" w:rsidRPr="009C5807" w:rsidRDefault="00CF0288" w:rsidP="00CF0288">
      <w:r w:rsidRPr="009C5807">
        <w:t>T</w:t>
      </w:r>
      <w:r w:rsidRPr="009C5807">
        <w:rPr>
          <w:vertAlign w:val="subscript"/>
        </w:rPr>
        <w:t>rs</w:t>
      </w:r>
      <w:r w:rsidRPr="009C5807">
        <w:t xml:space="preserve"> is the SMTC periodicity of the target NR cell if the UE has been provided with an SMTC configuration for the target cell in the handover command, otherwise Trs is the SMTC configured in the measObjectNR having the same SSB frequency and subcarrier spacing. </w:t>
      </w:r>
      <w:r w:rsidR="00BE6C06" w:rsidRPr="006C4DD4">
        <w:t>If such measObjectNRs configured by MN and SN have different SMTC, Trs is the periodicity of one of the SMTC which is up to UE implementation</w:t>
      </w:r>
      <w:r w:rsidR="00BE6C06">
        <w:t xml:space="preserve">. </w:t>
      </w:r>
      <w:r w:rsidRPr="009C5807">
        <w:t xml:space="preserve">If the UE is not provided SMTC configuration or measurement object on this frequency, the requirement in this </w:t>
      </w:r>
      <w:r w:rsidR="0059755E" w:rsidRPr="009C5807">
        <w:t>clause</w:t>
      </w:r>
      <w:r w:rsidRPr="009C5807">
        <w:t xml:space="preserve"> is applied with T</w:t>
      </w:r>
      <w:r w:rsidRPr="009C5807">
        <w:rPr>
          <w:vertAlign w:val="subscript"/>
        </w:rPr>
        <w:t>rs</w:t>
      </w:r>
      <w:r w:rsidRPr="009C5807">
        <w:t xml:space="preserve">=5ms assuming the SSB transmission periodicity is 5ms. There is no requirement if the SSB transmission periodicity is not 5ms. If the UE has been provided with higher layer in TS 38.331 [2] signaling of </w:t>
      </w:r>
      <w:r w:rsidRPr="009C5807">
        <w:rPr>
          <w:i/>
        </w:rPr>
        <w:t>smtc2</w:t>
      </w:r>
      <w:r w:rsidRPr="009C5807">
        <w:rPr>
          <w:b/>
        </w:rPr>
        <w:t xml:space="preserve"> </w:t>
      </w:r>
      <w:r w:rsidRPr="009C5807">
        <w:t>prior to the handover command, T</w:t>
      </w:r>
      <w:r w:rsidRPr="009C5807">
        <w:rPr>
          <w:vertAlign w:val="subscript"/>
        </w:rPr>
        <w:t>rs</w:t>
      </w:r>
      <w:r w:rsidRPr="009C5807">
        <w:t xml:space="preserve"> follows </w:t>
      </w:r>
      <w:r w:rsidRPr="009C5807">
        <w:rPr>
          <w:i/>
        </w:rPr>
        <w:t>smtc1</w:t>
      </w:r>
      <w:r w:rsidRPr="009C5807">
        <w:t xml:space="preserve"> or </w:t>
      </w:r>
      <w:r w:rsidRPr="009C5807">
        <w:rPr>
          <w:i/>
        </w:rPr>
        <w:t>smtc2</w:t>
      </w:r>
      <w:r w:rsidRPr="009C5807">
        <w:t xml:space="preserve"> according to the physical cell ID of the target cell.</w:t>
      </w:r>
    </w:p>
    <w:p w14:paraId="7B07C7D1" w14:textId="77777777" w:rsidR="00CF0288" w:rsidRPr="009C5807" w:rsidRDefault="00CF0288" w:rsidP="00CF0288">
      <w:pPr>
        <w:rPr>
          <w:lang w:eastAsia="ko-KR"/>
        </w:rPr>
      </w:pPr>
      <w:r w:rsidRPr="009C5807">
        <w:rPr>
          <w:rFonts w:cs="v4.2.0"/>
          <w:lang w:eastAsia="zh-CN"/>
        </w:rPr>
        <w:t>In FR2, the target cell</w:t>
      </w:r>
      <w:r w:rsidRPr="009C5807">
        <w:rPr>
          <w:rFonts w:cs="v4.2.0"/>
          <w:lang w:eastAsia="ko-KR"/>
        </w:rPr>
        <w:t xml:space="preserve"> is known if it </w:t>
      </w:r>
      <w:r w:rsidRPr="009C5807">
        <w:rPr>
          <w:lang w:eastAsia="ko-KR"/>
        </w:rPr>
        <w:t>has been meeting the following conditions:</w:t>
      </w:r>
    </w:p>
    <w:p w14:paraId="74898573" w14:textId="1A85AE5E" w:rsidR="00CF0288" w:rsidRPr="009C5807" w:rsidRDefault="000E322F" w:rsidP="001741D7">
      <w:pPr>
        <w:pStyle w:val="B10"/>
        <w:rPr>
          <w:lang w:eastAsia="ko-KR"/>
        </w:rPr>
      </w:pPr>
      <w:r>
        <w:rPr>
          <w:lang w:eastAsia="ko-KR"/>
        </w:rPr>
        <w:t>-</w:t>
      </w:r>
      <w:r>
        <w:rPr>
          <w:lang w:eastAsia="ko-KR"/>
        </w:rPr>
        <w:tab/>
      </w:r>
      <w:r w:rsidR="00CF0288" w:rsidRPr="009C5807">
        <w:rPr>
          <w:lang w:eastAsia="ko-KR"/>
        </w:rPr>
        <w:t>During the last 5 seconds before the reception of the handover command:</w:t>
      </w:r>
    </w:p>
    <w:p w14:paraId="5AD1759A" w14:textId="77777777" w:rsidR="00CF0288" w:rsidRPr="009C5807" w:rsidRDefault="00CF0288" w:rsidP="00861D86">
      <w:pPr>
        <w:pStyle w:val="B20"/>
        <w:rPr>
          <w:lang w:eastAsia="ko-KR"/>
        </w:rPr>
      </w:pPr>
      <w:r w:rsidRPr="009C5807">
        <w:rPr>
          <w:lang w:eastAsia="ko-KR"/>
        </w:rPr>
        <w:t>-</w:t>
      </w:r>
      <w:r w:rsidRPr="009C5807">
        <w:rPr>
          <w:lang w:eastAsia="ko-KR"/>
        </w:rPr>
        <w:tab/>
        <w:t>the UE has sent a valid measurement report for the target cell and</w:t>
      </w:r>
    </w:p>
    <w:p w14:paraId="20437E51" w14:textId="77777777" w:rsidR="00135F19" w:rsidRPr="008C6DE4" w:rsidRDefault="00135F19" w:rsidP="00135F19">
      <w:pPr>
        <w:pStyle w:val="B20"/>
        <w:rPr>
          <w:lang w:eastAsia="ko-KR"/>
        </w:rPr>
      </w:pPr>
      <w:bookmarkStart w:id="89" w:name="_Toc526331619"/>
      <w:r w:rsidRPr="008C6DE4">
        <w:rPr>
          <w:lang w:eastAsia="ko-KR"/>
        </w:rPr>
        <w:t>-</w:t>
      </w:r>
      <w:r w:rsidRPr="008C6DE4">
        <w:rPr>
          <w:lang w:eastAsia="ko-KR"/>
        </w:rPr>
        <w:tab/>
        <w:t xml:space="preserve">One of the SSBs measured from the NR target cell being </w:t>
      </w:r>
      <w:r w:rsidRPr="008C6DE4">
        <w:rPr>
          <w:lang w:eastAsia="zh-CN"/>
        </w:rPr>
        <w:t>configured</w:t>
      </w:r>
      <w:r w:rsidRPr="008C6DE4">
        <w:rPr>
          <w:lang w:eastAsia="ko-KR"/>
        </w:rPr>
        <w:t xml:space="preserve"> remains detectable according to the cell identification conditions specified</w:t>
      </w:r>
      <w:r>
        <w:rPr>
          <w:lang w:eastAsia="ko-KR"/>
        </w:rPr>
        <w:t xml:space="preserve"> in clause 9.2 for intra-frequency cell and</w:t>
      </w:r>
      <w:r w:rsidRPr="008C6DE4">
        <w:rPr>
          <w:lang w:eastAsia="ko-KR"/>
        </w:rPr>
        <w:t xml:space="preserve"> in </w:t>
      </w:r>
      <w:r w:rsidRPr="008C6DE4">
        <w:rPr>
          <w:lang w:val="en-US" w:eastAsia="ko-KR"/>
        </w:rPr>
        <w:t>clause</w:t>
      </w:r>
      <w:r w:rsidRPr="008C6DE4">
        <w:rPr>
          <w:lang w:eastAsia="ko-KR"/>
        </w:rPr>
        <w:t xml:space="preserve"> </w:t>
      </w:r>
      <w:r w:rsidRPr="008C6DE4">
        <w:rPr>
          <w:rFonts w:eastAsia="Malgun Gothic"/>
          <w:lang w:eastAsia="zh-CN"/>
        </w:rPr>
        <w:t>9.3</w:t>
      </w:r>
      <w:r>
        <w:rPr>
          <w:rFonts w:eastAsia="Malgun Gothic"/>
          <w:lang w:eastAsia="zh-CN"/>
        </w:rPr>
        <w:t xml:space="preserve"> for inter-frequency cell</w:t>
      </w:r>
      <w:r w:rsidRPr="008C6DE4">
        <w:rPr>
          <w:lang w:eastAsia="ko-KR"/>
        </w:rPr>
        <w:t>,</w:t>
      </w:r>
    </w:p>
    <w:p w14:paraId="7C8333B2" w14:textId="5851B819" w:rsidR="00C45EDF" w:rsidRPr="009C5807" w:rsidRDefault="00135F19" w:rsidP="00135F19">
      <w:pPr>
        <w:pStyle w:val="B10"/>
        <w:rPr>
          <w:lang w:eastAsia="ko-KR"/>
        </w:rPr>
      </w:pPr>
      <w:r w:rsidRPr="008C6DE4">
        <w:rPr>
          <w:lang w:eastAsia="ko-KR"/>
        </w:rPr>
        <w:t>-</w:t>
      </w:r>
      <w:r w:rsidRPr="008C6DE4">
        <w:rPr>
          <w:lang w:eastAsia="ko-KR"/>
        </w:rPr>
        <w:tab/>
        <w:t xml:space="preserve">One of the SSBs measured from the target cell also remains detectable during the handover delay according to the cell identification conditions specified </w:t>
      </w:r>
      <w:r>
        <w:rPr>
          <w:lang w:eastAsia="ko-KR"/>
        </w:rPr>
        <w:t xml:space="preserve">in clause 9.2 for intra-frequency cell and </w:t>
      </w:r>
      <w:r w:rsidRPr="008C6DE4">
        <w:rPr>
          <w:lang w:eastAsia="ko-KR"/>
        </w:rPr>
        <w:t xml:space="preserve">in </w:t>
      </w:r>
      <w:r w:rsidRPr="008C6DE4">
        <w:rPr>
          <w:lang w:val="en-US" w:eastAsia="ko-KR"/>
        </w:rPr>
        <w:t>clause</w:t>
      </w:r>
      <w:r w:rsidRPr="008C6DE4">
        <w:rPr>
          <w:lang w:eastAsia="ko-KR"/>
        </w:rPr>
        <w:t xml:space="preserve"> 9.3</w:t>
      </w:r>
      <w:r>
        <w:rPr>
          <w:lang w:eastAsia="ko-KR"/>
        </w:rPr>
        <w:t xml:space="preserve"> for inter-frequency cell</w:t>
      </w:r>
      <w:r w:rsidRPr="008C6DE4">
        <w:rPr>
          <w:lang w:eastAsia="ko-KR"/>
        </w:rPr>
        <w:t>.</w:t>
      </w:r>
    </w:p>
    <w:p w14:paraId="50633A3C" w14:textId="77777777" w:rsidR="00C45EDF" w:rsidRPr="009C5807" w:rsidRDefault="00C45EDF" w:rsidP="00C45EDF">
      <w:pPr>
        <w:rPr>
          <w:lang w:eastAsia="ko-KR"/>
        </w:rPr>
      </w:pPr>
      <w:r w:rsidRPr="009C5807">
        <w:rPr>
          <w:lang w:eastAsia="ko-KR"/>
        </w:rPr>
        <w:t>otherwise it is unknown.</w:t>
      </w:r>
    </w:p>
    <w:p w14:paraId="5658CF79" w14:textId="77777777" w:rsidR="00CF0288" w:rsidRPr="009C5807" w:rsidRDefault="00CF0288" w:rsidP="00CF0288">
      <w:pPr>
        <w:pStyle w:val="Heading4"/>
        <w:rPr>
          <w:lang w:val="en-US" w:eastAsia="zh-CN"/>
        </w:rPr>
      </w:pPr>
      <w:r w:rsidRPr="009C5807">
        <w:rPr>
          <w:lang w:val="en-US" w:eastAsia="zh-CN"/>
        </w:rPr>
        <w:t>6.1.1.5</w:t>
      </w:r>
      <w:r w:rsidRPr="009C5807">
        <w:rPr>
          <w:lang w:val="en-US" w:eastAsia="zh-CN"/>
        </w:rPr>
        <w:tab/>
        <w:t>NR FR1- NR FR2 Handover</w:t>
      </w:r>
      <w:bookmarkEnd w:id="89"/>
    </w:p>
    <w:p w14:paraId="281C3325" w14:textId="77777777" w:rsidR="00CF0288" w:rsidRPr="009C5807" w:rsidRDefault="00CF0288" w:rsidP="00CF0288">
      <w:r w:rsidRPr="009C5807">
        <w:t>The requirements in this clause are applicable to inter-frequency handovers from NR FR1 cell to NR FR2 cell.</w:t>
      </w:r>
    </w:p>
    <w:p w14:paraId="5CE2D247" w14:textId="77777777" w:rsidR="00CF0288" w:rsidRPr="009C5807" w:rsidRDefault="00CF0288" w:rsidP="00CF0288">
      <w:pPr>
        <w:pStyle w:val="Heading5"/>
      </w:pPr>
      <w:bookmarkStart w:id="90" w:name="_Toc526331620"/>
      <w:r w:rsidRPr="009C5807">
        <w:t>6.1.1.5.1</w:t>
      </w:r>
      <w:r w:rsidRPr="009C5807">
        <w:tab/>
        <w:t>Handover delay</w:t>
      </w:r>
      <w:bookmarkEnd w:id="90"/>
    </w:p>
    <w:p w14:paraId="2A8F7B55" w14:textId="328DC7E0" w:rsidR="00D139B0" w:rsidRPr="009C5807" w:rsidRDefault="00D139B0" w:rsidP="00D139B0">
      <w:pPr>
        <w:rPr>
          <w:rFonts w:cs="v4.2.0"/>
        </w:rPr>
      </w:pPr>
      <w:bookmarkStart w:id="91" w:name="_Toc526331621"/>
      <w:r w:rsidRPr="009C5807">
        <w:rPr>
          <w:rFonts w:cs="v4.2.0"/>
        </w:rPr>
        <w:t xml:space="preserve">When the UE receives a RRC message implying handover the UE shall be ready to </w:t>
      </w:r>
      <w:r w:rsidRPr="009C5807">
        <w:rPr>
          <w:rFonts w:cs="v4.2.0"/>
          <w:snapToGrid w:val="0"/>
        </w:rPr>
        <w:t>start the transmission of the new uplink PRACH channel</w:t>
      </w:r>
      <w:r w:rsidRPr="009C5807">
        <w:rPr>
          <w:rFonts w:cs="v4.2.0"/>
        </w:rPr>
        <w:t xml:space="preserve"> within D</w:t>
      </w:r>
      <w:r w:rsidRPr="009C5807">
        <w:rPr>
          <w:rFonts w:cs="v4.2.0"/>
          <w:vertAlign w:val="subscript"/>
        </w:rPr>
        <w:t>handover</w:t>
      </w:r>
      <w:r w:rsidRPr="009C5807">
        <w:rPr>
          <w:rFonts w:cs="v4.2.0"/>
        </w:rPr>
        <w:t xml:space="preserve"> </w:t>
      </w:r>
      <w:r w:rsidRPr="009C5807">
        <w:rPr>
          <w:rFonts w:cs="v4.2.0" w:hint="eastAsia"/>
          <w:lang w:val="en-US" w:eastAsia="zh-CN"/>
        </w:rPr>
        <w:t xml:space="preserve">ms </w:t>
      </w:r>
      <w:r w:rsidRPr="009C5807">
        <w:rPr>
          <w:rFonts w:cs="v4.2.0"/>
        </w:rPr>
        <w:t>from the end of the last TTI containing the RRC command.</w:t>
      </w:r>
    </w:p>
    <w:p w14:paraId="016BD86B" w14:textId="77777777" w:rsidR="00C45EDF" w:rsidRPr="009C5807" w:rsidRDefault="00C45EDF" w:rsidP="00C45EDF">
      <w:pPr>
        <w:rPr>
          <w:rFonts w:cs="v4.2.0"/>
        </w:rPr>
      </w:pPr>
      <w:r w:rsidRPr="009C5807">
        <w:rPr>
          <w:rFonts w:cs="v4.2.0"/>
        </w:rPr>
        <w:t>Where:</w:t>
      </w:r>
    </w:p>
    <w:p w14:paraId="215A2C68" w14:textId="6C3753F0" w:rsidR="00C45EDF" w:rsidRPr="009C5807" w:rsidRDefault="00C45EDF" w:rsidP="00C45EDF">
      <w:pPr>
        <w:rPr>
          <w:rFonts w:cs="v4.2.0"/>
        </w:rPr>
      </w:pPr>
      <w:r w:rsidRPr="009C5807">
        <w:rPr>
          <w:rFonts w:cs="v4.2.0"/>
        </w:rPr>
        <w:t>D</w:t>
      </w:r>
      <w:r w:rsidRPr="009C5807">
        <w:rPr>
          <w:rFonts w:cs="v4.2.0"/>
          <w:vertAlign w:val="subscript"/>
        </w:rPr>
        <w:t>handover</w:t>
      </w:r>
      <w:r w:rsidRPr="009C5807">
        <w:rPr>
          <w:rFonts w:cs="v4.2.0"/>
        </w:rPr>
        <w:t xml:space="preserve"> equals the </w:t>
      </w:r>
      <w:r w:rsidRPr="009C5807">
        <w:rPr>
          <w:rFonts w:cs="v4.2.0" w:hint="eastAsia"/>
          <w:lang w:val="en-US" w:eastAsia="zh-CN"/>
        </w:rPr>
        <w:t>applicable</w:t>
      </w:r>
      <w:r w:rsidRPr="009C5807">
        <w:rPr>
          <w:rFonts w:cs="v4.2.0"/>
        </w:rPr>
        <w:t xml:space="preserve"> RRC procedure delay defined in clause </w:t>
      </w:r>
      <w:r w:rsidRPr="009C5807">
        <w:rPr>
          <w:rFonts w:cs="v4.2.0"/>
          <w:lang w:eastAsia="zh-CN"/>
        </w:rPr>
        <w:t>12</w:t>
      </w:r>
      <w:r w:rsidRPr="009C5807">
        <w:rPr>
          <w:rFonts w:cs="v4.2.0"/>
        </w:rPr>
        <w:t xml:space="preserve"> in </w:t>
      </w:r>
      <w:r w:rsidRPr="009C5807">
        <w:t>TS 38.331 [2]</w:t>
      </w:r>
      <w:r w:rsidRPr="009C5807">
        <w:rPr>
          <w:rFonts w:cs="v4.2.0"/>
        </w:rPr>
        <w:t xml:space="preserve"> plus the interruption time stated in clause 6.1.1.5.2.</w:t>
      </w:r>
    </w:p>
    <w:p w14:paraId="3F48E320" w14:textId="77777777" w:rsidR="00CF0288" w:rsidRPr="009C5807" w:rsidRDefault="00CF0288" w:rsidP="00CF0288">
      <w:pPr>
        <w:pStyle w:val="Heading5"/>
      </w:pPr>
      <w:r w:rsidRPr="009C5807">
        <w:t>6.1.1.5.2</w:t>
      </w:r>
      <w:r w:rsidRPr="009C5807">
        <w:tab/>
        <w:t>Interruption time</w:t>
      </w:r>
      <w:bookmarkEnd w:id="91"/>
    </w:p>
    <w:p w14:paraId="6A3E25AE" w14:textId="77777777" w:rsidR="00CF0288" w:rsidRPr="009C5807" w:rsidRDefault="00CF0288" w:rsidP="00CF0288">
      <w:pPr>
        <w:rPr>
          <w:rFonts w:cs="v4.2.0"/>
        </w:rPr>
      </w:pPr>
      <w:r w:rsidRPr="009C5807">
        <w:rPr>
          <w:rFonts w:cs="v4.2.0"/>
        </w:rPr>
        <w:t>The interruption time is the time between end of the last TTI containing the RRC command on the old PDSCH and the time the UE starts transmission of the new PRACH</w:t>
      </w:r>
      <w:r w:rsidRPr="009C5807">
        <w:rPr>
          <w:rFonts w:eastAsia="MS Mincho" w:cs="v4.2.0"/>
        </w:rPr>
        <w:t>, excluding the RRC procedure delay</w:t>
      </w:r>
      <w:r w:rsidRPr="009C5807">
        <w:rPr>
          <w:rFonts w:cs="v4.2.0"/>
        </w:rPr>
        <w:t>.</w:t>
      </w:r>
    </w:p>
    <w:p w14:paraId="6D3862FE" w14:textId="1171D5B4" w:rsidR="00CF0288" w:rsidRPr="009C5807" w:rsidRDefault="00CF0288" w:rsidP="00CF0288">
      <w:pPr>
        <w:rPr>
          <w:rFonts w:cs="v4.2.0"/>
          <w:position w:val="-6"/>
        </w:rPr>
      </w:pPr>
      <w:r w:rsidRPr="009C5807">
        <w:rPr>
          <w:rFonts w:cs="v4.2.0"/>
        </w:rPr>
        <w:t>When in</w:t>
      </w:r>
      <w:r w:rsidR="00FD2CDF" w:rsidRPr="009C5807" w:rsidDel="000F5CD8">
        <w:rPr>
          <w:rFonts w:cs="v4.2.0"/>
        </w:rPr>
        <w:t xml:space="preserve"> </w:t>
      </w:r>
      <w:r w:rsidRPr="009C5807">
        <w:rPr>
          <w:rFonts w:cs="v4.2.0"/>
        </w:rPr>
        <w:t>inter-frequency handover is commanded, the interruption time shall be less than T</w:t>
      </w:r>
      <w:r w:rsidRPr="009C5807">
        <w:rPr>
          <w:rFonts w:cs="v4.2.0"/>
          <w:vertAlign w:val="subscript"/>
        </w:rPr>
        <w:t>interrupt</w:t>
      </w:r>
    </w:p>
    <w:p w14:paraId="273AA1DC" w14:textId="436BE005" w:rsidR="00CF0288" w:rsidRPr="009C5807" w:rsidRDefault="00CF0288" w:rsidP="00CF0288">
      <w:pPr>
        <w:pStyle w:val="EQ"/>
      </w:pPr>
      <w:r w:rsidRPr="009C5807">
        <w:tab/>
      </w:r>
      <w:r w:rsidR="00FC046E" w:rsidRPr="009C5807">
        <w:rPr>
          <w:rFonts w:cs="v4.2.0"/>
        </w:rPr>
        <w:t>T</w:t>
      </w:r>
      <w:r w:rsidR="00FC046E" w:rsidRPr="009C5807">
        <w:rPr>
          <w:rFonts w:cs="v4.2.0"/>
          <w:vertAlign w:val="subscript"/>
        </w:rPr>
        <w:t>interrupt</w:t>
      </w:r>
      <w:r w:rsidR="00FC046E" w:rsidRPr="009C5807">
        <w:t xml:space="preserve"> = T</w:t>
      </w:r>
      <w:r w:rsidR="00FC046E" w:rsidRPr="009C5807">
        <w:rPr>
          <w:vertAlign w:val="subscript"/>
        </w:rPr>
        <w:t>search</w:t>
      </w:r>
      <w:r w:rsidR="00FC046E" w:rsidRPr="009C5807">
        <w:t xml:space="preserve"> + T</w:t>
      </w:r>
      <w:r w:rsidR="00FC046E" w:rsidRPr="009C5807">
        <w:rPr>
          <w:vertAlign w:val="subscript"/>
        </w:rPr>
        <w:t>IU</w:t>
      </w:r>
      <w:r w:rsidR="00FC046E" w:rsidRPr="009C5807">
        <w:t xml:space="preserve"> + </w:t>
      </w:r>
      <w:r w:rsidR="00FC046E" w:rsidRPr="009C5807">
        <w:rPr>
          <w:lang w:eastAsia="zh-CN"/>
        </w:rPr>
        <w:t>T</w:t>
      </w:r>
      <w:r w:rsidR="00FC046E" w:rsidRPr="009C5807">
        <w:rPr>
          <w:vertAlign w:val="subscript"/>
          <w:lang w:eastAsia="zh-CN"/>
        </w:rPr>
        <w:t xml:space="preserve">processing </w:t>
      </w:r>
      <w:r w:rsidR="00FC046E" w:rsidRPr="009C5807">
        <w:rPr>
          <w:lang w:eastAsia="zh-CN"/>
        </w:rPr>
        <w:t>+ T</w:t>
      </w:r>
      <w:r w:rsidR="00FC046E" w:rsidRPr="009C5807">
        <w:rPr>
          <w:vertAlign w:val="subscript"/>
          <w:lang w:eastAsia="zh-CN"/>
        </w:rPr>
        <w:t xml:space="preserve">∆ </w:t>
      </w:r>
      <w:r w:rsidR="00FC046E" w:rsidRPr="009C5807">
        <w:rPr>
          <w:lang w:eastAsia="zh-CN"/>
        </w:rPr>
        <w:t>+ T</w:t>
      </w:r>
      <w:r w:rsidR="00FC046E" w:rsidRPr="009C5807">
        <w:rPr>
          <w:vertAlign w:val="subscript"/>
          <w:lang w:eastAsia="zh-CN"/>
        </w:rPr>
        <w:t>margin</w:t>
      </w:r>
      <w:r w:rsidR="00FC046E" w:rsidRPr="009C5807">
        <w:rPr>
          <w:lang w:eastAsia="zh-CN"/>
        </w:rPr>
        <w:t xml:space="preserve"> </w:t>
      </w:r>
      <w:r w:rsidR="00FC046E" w:rsidRPr="009C5807">
        <w:t>ms</w:t>
      </w:r>
    </w:p>
    <w:p w14:paraId="0F604ADE" w14:textId="77777777" w:rsidR="00CF0288" w:rsidRPr="009C5807" w:rsidRDefault="00CF0288" w:rsidP="00CF0288">
      <w:pPr>
        <w:rPr>
          <w:rFonts w:cs="v4.2.0"/>
        </w:rPr>
      </w:pPr>
      <w:r w:rsidRPr="009C5807">
        <w:rPr>
          <w:rFonts w:cs="v4.2.0"/>
        </w:rPr>
        <w:t>Where:</w:t>
      </w:r>
    </w:p>
    <w:p w14:paraId="7E45C0C4" w14:textId="44C24EBB" w:rsidR="000433CC" w:rsidRPr="009C5807" w:rsidRDefault="000433CC" w:rsidP="000433CC">
      <w:pPr>
        <w:pStyle w:val="B10"/>
      </w:pPr>
      <w:r>
        <w:tab/>
      </w:r>
      <w:r w:rsidRPr="009C5807">
        <w:t>T</w:t>
      </w:r>
      <w:r w:rsidRPr="009C5807">
        <w:rPr>
          <w:vertAlign w:val="subscript"/>
        </w:rPr>
        <w:t>search</w:t>
      </w:r>
      <w:r w:rsidRPr="009C5807">
        <w:t xml:space="preserve"> is the time required to search the target cell when the handover command is received by the UE. If the target cell is a known cell, then T</w:t>
      </w:r>
      <w:r w:rsidRPr="009C5807">
        <w:rPr>
          <w:vertAlign w:val="subscript"/>
        </w:rPr>
        <w:t>search</w:t>
      </w:r>
      <w:r w:rsidRPr="009C5807">
        <w:t xml:space="preserve"> = 0 ms. If the target cell is an unknown inter-frequency cell and the target cell Es/Iot</w:t>
      </w:r>
      <w:r w:rsidRPr="009C5807">
        <w:rPr>
          <w:rFonts w:hint="eastAsia"/>
        </w:rPr>
        <w:t>≥</w:t>
      </w:r>
      <w:r w:rsidRPr="009C5807">
        <w:t>-2 dB, then T</w:t>
      </w:r>
      <w:r w:rsidRPr="009C5807">
        <w:rPr>
          <w:vertAlign w:val="subscript"/>
        </w:rPr>
        <w:t>search</w:t>
      </w:r>
      <w:r w:rsidRPr="009C5807">
        <w:t xml:space="preserve"> = </w:t>
      </w:r>
      <w:r>
        <w:rPr>
          <w:lang w:eastAsia="zh-CN"/>
        </w:rPr>
        <w:t>N</w:t>
      </w:r>
      <w:r w:rsidRPr="009C5807">
        <w:t>*</w:t>
      </w:r>
      <w:r w:rsidRPr="009C5807">
        <w:rPr>
          <w:lang w:eastAsia="zh-CN"/>
        </w:rPr>
        <w:t>3</w:t>
      </w:r>
      <w:r w:rsidRPr="009C5807">
        <w:t>* T</w:t>
      </w:r>
      <w:r w:rsidRPr="009C5807">
        <w:rPr>
          <w:vertAlign w:val="subscript"/>
        </w:rPr>
        <w:t>rs</w:t>
      </w:r>
      <w:r w:rsidRPr="009C5807">
        <w:t xml:space="preserve"> ms. </w:t>
      </w:r>
      <w:r>
        <w:t xml:space="preserve">N = 8 when the target cell is in FR2-1, and N = 12 when the target cell is in FR2-2. </w:t>
      </w:r>
      <w:r w:rsidRPr="009C5807">
        <w:t>Regardless of whether DRX is in use by the UE, T</w:t>
      </w:r>
      <w:r w:rsidRPr="009C5807">
        <w:rPr>
          <w:vertAlign w:val="subscript"/>
        </w:rPr>
        <w:t>search</w:t>
      </w:r>
      <w:r w:rsidRPr="009C5807">
        <w:t xml:space="preserve"> shall still be based on non-DRX target cell search times.</w:t>
      </w:r>
    </w:p>
    <w:p w14:paraId="4AE9256B" w14:textId="45F5F9B7" w:rsidR="004035AF" w:rsidRPr="009C5807" w:rsidRDefault="000E322F" w:rsidP="000E322F">
      <w:pPr>
        <w:pStyle w:val="B10"/>
      </w:pPr>
      <w:r>
        <w:tab/>
      </w:r>
      <w:r w:rsidR="00CF0288" w:rsidRPr="009C5807">
        <w:t>T</w:t>
      </w:r>
      <w:r w:rsidR="00CF0288" w:rsidRPr="009C5807">
        <w:rPr>
          <w:vertAlign w:val="subscript"/>
          <w:lang w:eastAsia="zh-CN"/>
        </w:rPr>
        <w:t>processing</w:t>
      </w:r>
      <w:r w:rsidR="00CF0288" w:rsidRPr="009C5807">
        <w:t xml:space="preserve"> is time for UE processing. T</w:t>
      </w:r>
      <w:r w:rsidR="00CF0288" w:rsidRPr="009C5807">
        <w:rPr>
          <w:vertAlign w:val="subscript"/>
          <w:lang w:eastAsia="zh-CN"/>
        </w:rPr>
        <w:t>processing</w:t>
      </w:r>
      <w:r w:rsidR="00CF0288" w:rsidRPr="009C5807">
        <w:t xml:space="preserve"> can be up 40ms.</w:t>
      </w:r>
      <w:r w:rsidR="004035AF" w:rsidRPr="009C5807">
        <w:t xml:space="preserve"> </w:t>
      </w:r>
    </w:p>
    <w:p w14:paraId="2EC7D8AB" w14:textId="0879CDAE" w:rsidR="00CF0288" w:rsidRPr="009C5807" w:rsidRDefault="000E322F" w:rsidP="000E322F">
      <w:pPr>
        <w:pStyle w:val="B10"/>
      </w:pPr>
      <w:r>
        <w:rPr>
          <w:lang w:eastAsia="zh-CN"/>
        </w:rPr>
        <w:tab/>
      </w:r>
      <w:r w:rsidR="004035AF" w:rsidRPr="009C5807">
        <w:rPr>
          <w:lang w:eastAsia="zh-CN"/>
        </w:rPr>
        <w:t>T</w:t>
      </w:r>
      <w:r w:rsidR="004035AF" w:rsidRPr="009C5807">
        <w:rPr>
          <w:vertAlign w:val="subscript"/>
          <w:lang w:eastAsia="zh-CN"/>
        </w:rPr>
        <w:t xml:space="preserve">margin </w:t>
      </w:r>
      <w:r w:rsidR="004035AF" w:rsidRPr="009C5807">
        <w:rPr>
          <w:lang w:eastAsia="zh-CN"/>
        </w:rPr>
        <w:t>is time for SSB post-processing. T</w:t>
      </w:r>
      <w:r w:rsidR="004035AF" w:rsidRPr="009C5807">
        <w:rPr>
          <w:vertAlign w:val="subscript"/>
          <w:lang w:eastAsia="zh-CN"/>
        </w:rPr>
        <w:t xml:space="preserve">margin </w:t>
      </w:r>
      <w:r w:rsidR="004035AF" w:rsidRPr="009C5807">
        <w:rPr>
          <w:lang w:eastAsia="zh-CN"/>
        </w:rPr>
        <w:t>can be up to 2ms.</w:t>
      </w:r>
    </w:p>
    <w:p w14:paraId="081CB7CB" w14:textId="335B4150" w:rsidR="00D139B0" w:rsidRPr="009C5807" w:rsidRDefault="000E322F" w:rsidP="000E322F">
      <w:pPr>
        <w:pStyle w:val="B10"/>
      </w:pPr>
      <w:r>
        <w:tab/>
      </w:r>
      <w:r w:rsidR="00D139B0" w:rsidRPr="009C5807">
        <w:t>T</w:t>
      </w:r>
      <w:r w:rsidR="00D139B0" w:rsidRPr="009C5807">
        <w:rPr>
          <w:vertAlign w:val="subscript"/>
        </w:rPr>
        <w:t>∆</w:t>
      </w:r>
      <w:r w:rsidR="00D139B0" w:rsidRPr="009C5807">
        <w:t xml:space="preserve"> is time for fine time tracking and acquiring full timing information of the target cell. T</w:t>
      </w:r>
      <w:r w:rsidR="00D139B0" w:rsidRPr="009C5807">
        <w:rPr>
          <w:vertAlign w:val="subscript"/>
        </w:rPr>
        <w:t>∆</w:t>
      </w:r>
      <w:r w:rsidR="00D139B0" w:rsidRPr="009C5807">
        <w:t xml:space="preserve"> =  T</w:t>
      </w:r>
      <w:r w:rsidR="00D139B0" w:rsidRPr="009C5807">
        <w:rPr>
          <w:vertAlign w:val="subscript"/>
        </w:rPr>
        <w:t>rs</w:t>
      </w:r>
      <w:r w:rsidR="00D139B0" w:rsidRPr="009C5807">
        <w:t xml:space="preserve"> for both known and unknown target cell.</w:t>
      </w:r>
    </w:p>
    <w:p w14:paraId="16DC3195" w14:textId="42458178" w:rsidR="00CF0288" w:rsidRPr="009C5807" w:rsidRDefault="000E322F" w:rsidP="000E322F">
      <w:pPr>
        <w:pStyle w:val="B10"/>
        <w:rPr>
          <w:lang w:eastAsia="zh-CN"/>
        </w:rPr>
      </w:pPr>
      <w:r>
        <w:tab/>
      </w:r>
      <w:r w:rsidR="00CF0288" w:rsidRPr="009C5807">
        <w:t>T</w:t>
      </w:r>
      <w:r w:rsidR="00CF0288" w:rsidRPr="009C5807">
        <w:rPr>
          <w:vertAlign w:val="subscript"/>
        </w:rPr>
        <w:t>IU</w:t>
      </w:r>
      <w:r w:rsidR="00CF0288" w:rsidRPr="009C5807">
        <w:t xml:space="preserve"> is the interruption uncertainty </w:t>
      </w:r>
      <w:r w:rsidR="00CF0288" w:rsidRPr="009C5807">
        <w:rPr>
          <w:lang w:eastAsia="zh-CN"/>
        </w:rPr>
        <w:t>in acquiring the first available PRACH occasion in the new cell</w:t>
      </w:r>
      <w:r w:rsidR="00CF0288" w:rsidRPr="009C5807">
        <w:t>. T</w:t>
      </w:r>
      <w:r w:rsidR="00CF0288" w:rsidRPr="009C5807">
        <w:rPr>
          <w:vertAlign w:val="subscript"/>
        </w:rPr>
        <w:t>IU</w:t>
      </w:r>
      <w:r w:rsidR="00CF0288" w:rsidRPr="009C5807">
        <w:t xml:space="preserve"> can be up to the summation of SSB to PRACH occasion association period and 10 ms. SSB to PRACH occasion associated period is defined in the table 8.1-1 of TS 38.213 [3].</w:t>
      </w:r>
    </w:p>
    <w:p w14:paraId="1866E64A" w14:textId="6E40B9D0" w:rsidR="00CF0288" w:rsidRPr="009C5807" w:rsidRDefault="00CF0288" w:rsidP="00125AB5">
      <w:r w:rsidRPr="009C5807">
        <w:t>T</w:t>
      </w:r>
      <w:r w:rsidRPr="009C5807">
        <w:rPr>
          <w:vertAlign w:val="subscript"/>
        </w:rPr>
        <w:t>rs</w:t>
      </w:r>
      <w:r w:rsidRPr="009C5807">
        <w:t xml:space="preserve"> is the SMTC periodicity of the target NR cell if the UE has been provided with an SMTC configuration for the target cell in the handover command, otherwise Trs is the SMTC configured in the measObjectNR having the same SSB frequency and subcarrier spacing. </w:t>
      </w:r>
      <w:r w:rsidR="00BE6C06" w:rsidRPr="006C4DD4">
        <w:t>If such measObjectNRs configured by MN and SN have different SMTC, Trs is the periodicity of one of the SMTC which is up to UE implementation</w:t>
      </w:r>
      <w:r w:rsidR="00BE6C06">
        <w:t xml:space="preserve">. </w:t>
      </w:r>
      <w:r w:rsidRPr="009C5807">
        <w:t xml:space="preserve">If the UE is not provided SMTC configuration or measurement object on this frequency, the requirement in this </w:t>
      </w:r>
      <w:r w:rsidR="0059755E" w:rsidRPr="009C5807">
        <w:t>clause</w:t>
      </w:r>
      <w:r w:rsidRPr="009C5807">
        <w:t xml:space="preserve"> is applied with T</w:t>
      </w:r>
      <w:r w:rsidRPr="009C5807">
        <w:rPr>
          <w:vertAlign w:val="subscript"/>
        </w:rPr>
        <w:t>rs</w:t>
      </w:r>
      <w:r w:rsidRPr="009C5807">
        <w:t xml:space="preserve">=5ms assuming the SSB transmission periodicity is 5ms. There is no requirement if the SSB transmission periodicity is not 5ms. </w:t>
      </w:r>
    </w:p>
    <w:p w14:paraId="3E9D7176" w14:textId="77777777" w:rsidR="00CF0288" w:rsidRPr="009C5807" w:rsidRDefault="00CF0288" w:rsidP="00CF0288">
      <w:pPr>
        <w:rPr>
          <w:lang w:eastAsia="ko-KR"/>
        </w:rPr>
      </w:pPr>
      <w:r w:rsidRPr="009C5807">
        <w:rPr>
          <w:rFonts w:cs="v4.2.0"/>
          <w:lang w:eastAsia="zh-CN"/>
        </w:rPr>
        <w:t>In FR2, the target cell</w:t>
      </w:r>
      <w:r w:rsidRPr="009C5807">
        <w:rPr>
          <w:rFonts w:cs="v4.2.0"/>
          <w:lang w:eastAsia="ko-KR"/>
        </w:rPr>
        <w:t xml:space="preserve"> is known if it </w:t>
      </w:r>
      <w:r w:rsidRPr="009C5807">
        <w:rPr>
          <w:lang w:eastAsia="ko-KR"/>
        </w:rPr>
        <w:t>has been meeting the following conditions:</w:t>
      </w:r>
    </w:p>
    <w:p w14:paraId="391687C5" w14:textId="23A0E3D6" w:rsidR="00CF0288" w:rsidRPr="009C5807" w:rsidRDefault="00D42E57" w:rsidP="001741D7">
      <w:pPr>
        <w:pStyle w:val="B10"/>
        <w:rPr>
          <w:lang w:eastAsia="ko-KR"/>
        </w:rPr>
      </w:pPr>
      <w:r>
        <w:rPr>
          <w:lang w:eastAsia="ko-KR"/>
        </w:rPr>
        <w:t>-</w:t>
      </w:r>
      <w:r>
        <w:rPr>
          <w:lang w:eastAsia="ko-KR"/>
        </w:rPr>
        <w:tab/>
      </w:r>
      <w:r w:rsidR="00CF0288" w:rsidRPr="009C5807">
        <w:rPr>
          <w:lang w:eastAsia="ko-KR"/>
        </w:rPr>
        <w:t>During the last 5 seconds before the reception of the handover command:</w:t>
      </w:r>
    </w:p>
    <w:p w14:paraId="30636A7B" w14:textId="77777777" w:rsidR="00CF0288" w:rsidRPr="009C5807" w:rsidRDefault="00CF0288" w:rsidP="001741D7">
      <w:pPr>
        <w:pStyle w:val="B20"/>
        <w:rPr>
          <w:lang w:eastAsia="ko-KR"/>
        </w:rPr>
      </w:pPr>
      <w:r w:rsidRPr="009C5807">
        <w:rPr>
          <w:lang w:eastAsia="ko-KR"/>
        </w:rPr>
        <w:t>-</w:t>
      </w:r>
      <w:r w:rsidRPr="009C5807">
        <w:rPr>
          <w:lang w:eastAsia="ko-KR"/>
        </w:rPr>
        <w:tab/>
        <w:t>the UE has sent a valid measurement report for the target cell and</w:t>
      </w:r>
    </w:p>
    <w:p w14:paraId="5D92975E" w14:textId="219C0BBC" w:rsidR="00C45EDF" w:rsidRPr="009C5807" w:rsidRDefault="00C45EDF" w:rsidP="001741D7">
      <w:pPr>
        <w:pStyle w:val="B20"/>
        <w:rPr>
          <w:lang w:eastAsia="ko-KR"/>
        </w:rPr>
      </w:pPr>
      <w:r w:rsidRPr="009C5807">
        <w:rPr>
          <w:lang w:eastAsia="ko-KR"/>
        </w:rPr>
        <w:t>-</w:t>
      </w:r>
      <w:r w:rsidRPr="009C5807">
        <w:rPr>
          <w:lang w:eastAsia="ko-KR"/>
        </w:rPr>
        <w:tab/>
        <w:t xml:space="preserve">One of the SSBs measured from the NR </w:t>
      </w:r>
      <w:r w:rsidRPr="009C5807">
        <w:rPr>
          <w:lang w:eastAsia="zh-CN"/>
        </w:rPr>
        <w:t>target cell</w:t>
      </w:r>
      <w:r w:rsidRPr="009C5807">
        <w:rPr>
          <w:lang w:eastAsia="ko-KR"/>
        </w:rPr>
        <w:t xml:space="preserve"> being </w:t>
      </w:r>
      <w:r w:rsidRPr="009C5807">
        <w:rPr>
          <w:lang w:eastAsia="zh-CN"/>
        </w:rPr>
        <w:t>configured</w:t>
      </w:r>
      <w:r w:rsidRPr="009C5807">
        <w:rPr>
          <w:lang w:eastAsia="ko-KR"/>
        </w:rPr>
        <w:t xml:space="preserve"> remains detectable according to the cell identification conditions specified in </w:t>
      </w:r>
      <w:r w:rsidRPr="009C5807">
        <w:rPr>
          <w:lang w:val="en-US" w:eastAsia="ko-KR"/>
        </w:rPr>
        <w:t>clause</w:t>
      </w:r>
      <w:r w:rsidRPr="009C5807">
        <w:rPr>
          <w:lang w:eastAsia="ko-KR"/>
        </w:rPr>
        <w:t xml:space="preserve"> </w:t>
      </w:r>
      <w:r w:rsidRPr="009C5807">
        <w:rPr>
          <w:rFonts w:eastAsia="Malgun Gothic"/>
          <w:lang w:eastAsia="zh-CN"/>
        </w:rPr>
        <w:t>9.3</w:t>
      </w:r>
      <w:r w:rsidRPr="009C5807">
        <w:rPr>
          <w:lang w:eastAsia="ko-KR"/>
        </w:rPr>
        <w:t>,</w:t>
      </w:r>
    </w:p>
    <w:p w14:paraId="5BC5E2AA" w14:textId="59FCFE5B" w:rsidR="00C45EDF" w:rsidRPr="009C5807" w:rsidRDefault="00C45EDF" w:rsidP="001741D7">
      <w:pPr>
        <w:pStyle w:val="B10"/>
        <w:rPr>
          <w:lang w:eastAsia="ko-KR"/>
        </w:rPr>
      </w:pPr>
      <w:r w:rsidRPr="009C5807">
        <w:rPr>
          <w:lang w:eastAsia="ko-KR"/>
        </w:rPr>
        <w:t>-</w:t>
      </w:r>
      <w:r w:rsidRPr="009C5807">
        <w:rPr>
          <w:lang w:eastAsia="ko-KR"/>
        </w:rPr>
        <w:tab/>
        <w:t xml:space="preserve">One of the SSBs measured from the target cell also remains detectable during the handover delay according to the cell identification conditions specified in </w:t>
      </w:r>
      <w:r w:rsidRPr="009C5807">
        <w:rPr>
          <w:lang w:val="en-US" w:eastAsia="ko-KR"/>
        </w:rPr>
        <w:t>clause</w:t>
      </w:r>
      <w:r w:rsidRPr="009C5807">
        <w:rPr>
          <w:lang w:eastAsia="ko-KR"/>
        </w:rPr>
        <w:t xml:space="preserve"> 9.3.</w:t>
      </w:r>
    </w:p>
    <w:p w14:paraId="519574B7" w14:textId="77777777" w:rsidR="00C45EDF" w:rsidRPr="009C5807" w:rsidRDefault="00C45EDF" w:rsidP="00C45EDF">
      <w:pPr>
        <w:rPr>
          <w:lang w:eastAsia="ko-KR"/>
        </w:rPr>
      </w:pPr>
      <w:r w:rsidRPr="009C5807">
        <w:rPr>
          <w:lang w:eastAsia="ko-KR"/>
        </w:rPr>
        <w:t>otherwise it is unknown.</w:t>
      </w:r>
    </w:p>
    <w:p w14:paraId="55B24CF6" w14:textId="7CB89BCF" w:rsidR="00CF0288" w:rsidRPr="009C5807" w:rsidRDefault="00CF0288" w:rsidP="00CF0288">
      <w:pPr>
        <w:pStyle w:val="Heading3"/>
        <w:rPr>
          <w:lang w:val="en-US" w:eastAsia="ko-KR"/>
        </w:rPr>
      </w:pPr>
      <w:r w:rsidRPr="009C5807">
        <w:rPr>
          <w:lang w:val="en-US" w:eastAsia="ko-KR"/>
        </w:rPr>
        <w:t>6.1.2</w:t>
      </w:r>
      <w:r w:rsidRPr="009C5807">
        <w:rPr>
          <w:lang w:val="en-US" w:eastAsia="ko-KR"/>
        </w:rPr>
        <w:tab/>
        <w:t>NR Handover to other RATs</w:t>
      </w:r>
    </w:p>
    <w:p w14:paraId="343F5B99" w14:textId="77777777" w:rsidR="00CF0288" w:rsidRPr="009C5807" w:rsidRDefault="00CF0288" w:rsidP="00CF0288">
      <w:pPr>
        <w:pStyle w:val="Heading4"/>
        <w:rPr>
          <w:lang w:val="en-US" w:eastAsia="zh-CN"/>
        </w:rPr>
      </w:pPr>
      <w:bookmarkStart w:id="92" w:name="_Toc5952571"/>
      <w:r w:rsidRPr="009C5807">
        <w:rPr>
          <w:lang w:val="en-US" w:eastAsia="zh-CN"/>
        </w:rPr>
        <w:t>6.1.2.1</w:t>
      </w:r>
      <w:r w:rsidRPr="009C5807">
        <w:rPr>
          <w:lang w:val="en-US" w:eastAsia="zh-CN"/>
        </w:rPr>
        <w:tab/>
        <w:t>NR – E-UTRAN Handover</w:t>
      </w:r>
      <w:bookmarkEnd w:id="92"/>
    </w:p>
    <w:p w14:paraId="7DA9DB70" w14:textId="77777777" w:rsidR="00CF0288" w:rsidRPr="009C5807" w:rsidRDefault="00CF0288" w:rsidP="00CF0288">
      <w:pPr>
        <w:pStyle w:val="Heading5"/>
        <w:rPr>
          <w:lang w:val="en-US" w:eastAsia="zh-CN"/>
        </w:rPr>
      </w:pPr>
      <w:bookmarkStart w:id="93" w:name="_Toc5952572"/>
      <w:r w:rsidRPr="009C5807">
        <w:rPr>
          <w:lang w:val="en-US" w:eastAsia="zh-CN"/>
        </w:rPr>
        <w:t>6.1.2.1.1</w:t>
      </w:r>
      <w:r w:rsidRPr="009C5807">
        <w:rPr>
          <w:lang w:val="en-US" w:eastAsia="zh-CN"/>
        </w:rPr>
        <w:tab/>
        <w:t>Introduction</w:t>
      </w:r>
      <w:bookmarkEnd w:id="93"/>
    </w:p>
    <w:p w14:paraId="7854563D" w14:textId="1C762D67" w:rsidR="00CF0288" w:rsidRPr="009C5807" w:rsidRDefault="00CF0288" w:rsidP="00125AB5">
      <w:r w:rsidRPr="009C5807">
        <w:t>The purpose of inter-RAT handover from NR to E-UTRAN is to change the radio access mode of PCell from NR to E-UTRAN. The handover procedure is initiated from NR with a RRC message that implies a handover</w:t>
      </w:r>
      <w:r w:rsidRPr="009C5807">
        <w:rPr>
          <w:rFonts w:cs="v3.7.0"/>
        </w:rPr>
        <w:t xml:space="preserve"> as described in </w:t>
      </w:r>
      <w:r w:rsidRPr="009C5807">
        <w:t>TS 38.331 [2]</w:t>
      </w:r>
      <w:r w:rsidRPr="009C5807">
        <w:rPr>
          <w:rFonts w:cs="v3.7.0"/>
        </w:rPr>
        <w:t>.</w:t>
      </w:r>
      <w:r w:rsidRPr="009C5807">
        <w:t xml:space="preserve"> The requirements in this clause are applicable to SA NR, NE-DC and NR-DC</w:t>
      </w:r>
      <w:r w:rsidR="00244B88">
        <w:t>, and to handover from SA NR cell in a carrier frequency with CCA to E-UTRAN</w:t>
      </w:r>
      <w:r w:rsidRPr="009C5807">
        <w:t>.</w:t>
      </w:r>
    </w:p>
    <w:p w14:paraId="567D5A6B" w14:textId="77777777" w:rsidR="00CF0288" w:rsidRPr="009C5807" w:rsidRDefault="00CF0288" w:rsidP="00CF0288">
      <w:pPr>
        <w:pStyle w:val="Heading5"/>
        <w:rPr>
          <w:lang w:val="en-US" w:eastAsia="zh-CN"/>
        </w:rPr>
      </w:pPr>
      <w:bookmarkStart w:id="94" w:name="_Toc5952573"/>
      <w:r w:rsidRPr="009C5807">
        <w:rPr>
          <w:lang w:val="en-US" w:eastAsia="zh-CN"/>
        </w:rPr>
        <w:t>6.1.2.1.2</w:t>
      </w:r>
      <w:r w:rsidRPr="009C5807">
        <w:rPr>
          <w:lang w:val="en-US" w:eastAsia="zh-CN"/>
        </w:rPr>
        <w:tab/>
        <w:t>Handover delay</w:t>
      </w:r>
      <w:bookmarkEnd w:id="94"/>
    </w:p>
    <w:p w14:paraId="5409F422" w14:textId="4EE559AD" w:rsidR="00D139B0" w:rsidRPr="009C5807" w:rsidRDefault="00D139B0" w:rsidP="00D139B0">
      <w:pPr>
        <w:rPr>
          <w:rFonts w:cs="v4.2.0"/>
        </w:rPr>
      </w:pPr>
      <w:r w:rsidRPr="009C5807">
        <w:rPr>
          <w:rFonts w:cs="v4.2.0"/>
        </w:rPr>
        <w:t xml:space="preserve">When the UE receives a RRC message implying handover to E-UTRAN the UE shall be ready to </w:t>
      </w:r>
      <w:r w:rsidRPr="009C5807">
        <w:rPr>
          <w:rFonts w:cs="v4.2.0"/>
          <w:snapToGrid w:val="0"/>
        </w:rPr>
        <w:t>start the transmission of the uplink PRACH channel in E-UTRA</w:t>
      </w:r>
      <w:r w:rsidRPr="009C5807">
        <w:rPr>
          <w:rFonts w:cs="v4.2.0"/>
        </w:rPr>
        <w:t xml:space="preserve"> within D</w:t>
      </w:r>
      <w:r w:rsidRPr="009C5807">
        <w:rPr>
          <w:rFonts w:cs="v4.2.0"/>
          <w:vertAlign w:val="subscript"/>
        </w:rPr>
        <w:t>handover</w:t>
      </w:r>
      <w:r w:rsidRPr="009C5807">
        <w:rPr>
          <w:rFonts w:cs="v4.2.0"/>
        </w:rPr>
        <w:t xml:space="preserve"> </w:t>
      </w:r>
      <w:r w:rsidRPr="009C5807">
        <w:rPr>
          <w:rFonts w:cs="v4.2.0" w:hint="eastAsia"/>
          <w:lang w:val="en-US" w:eastAsia="zh-CN"/>
        </w:rPr>
        <w:t xml:space="preserve">ms </w:t>
      </w:r>
      <w:r w:rsidRPr="009C5807">
        <w:rPr>
          <w:rFonts w:cs="v4.2.0"/>
        </w:rPr>
        <w:t>from the end of the last TTI containing the RRC command. D</w:t>
      </w:r>
      <w:r w:rsidRPr="009C5807">
        <w:rPr>
          <w:rFonts w:cs="v4.2.0"/>
          <w:vertAlign w:val="subscript"/>
        </w:rPr>
        <w:t>handover</w:t>
      </w:r>
      <w:r w:rsidRPr="009C5807">
        <w:rPr>
          <w:rFonts w:cs="v4.2.0"/>
        </w:rPr>
        <w:t xml:space="preserve"> is defined as</w:t>
      </w:r>
    </w:p>
    <w:p w14:paraId="5B23785A" w14:textId="12AA0624" w:rsidR="00CF0288" w:rsidRPr="009C5807" w:rsidRDefault="001741D7" w:rsidP="001741D7">
      <w:pPr>
        <w:pStyle w:val="EQ"/>
        <w:rPr>
          <w:vertAlign w:val="subscript"/>
          <w:lang w:eastAsia="zh-CN"/>
        </w:rPr>
      </w:pPr>
      <w:r>
        <w:tab/>
      </w:r>
      <w:r w:rsidR="00CF0288" w:rsidRPr="009C5807">
        <w:t>D</w:t>
      </w:r>
      <w:r w:rsidR="00CF0288" w:rsidRPr="009C5807">
        <w:rPr>
          <w:vertAlign w:val="subscript"/>
        </w:rPr>
        <w:t>handover</w:t>
      </w:r>
      <w:r w:rsidR="00CF0288" w:rsidRPr="009C5807">
        <w:t xml:space="preserve"> = T</w:t>
      </w:r>
      <w:r w:rsidR="00CF0288" w:rsidRPr="009C5807">
        <w:rPr>
          <w:vertAlign w:val="subscript"/>
        </w:rPr>
        <w:t>RRC_procedure_delay</w:t>
      </w:r>
      <w:r w:rsidR="00CF0288" w:rsidRPr="009C5807">
        <w:t xml:space="preserve"> + T</w:t>
      </w:r>
      <w:r w:rsidR="00CF0288" w:rsidRPr="009C5807">
        <w:rPr>
          <w:vertAlign w:val="subscript"/>
        </w:rPr>
        <w:t>interrupt</w:t>
      </w:r>
    </w:p>
    <w:p w14:paraId="7ACD03D0" w14:textId="77777777" w:rsidR="00CF0288" w:rsidRPr="009C5807" w:rsidRDefault="00CF0288" w:rsidP="00CF0288">
      <w:pPr>
        <w:rPr>
          <w:rFonts w:cs="v4.2.0"/>
        </w:rPr>
      </w:pPr>
      <w:r w:rsidRPr="009C5807">
        <w:rPr>
          <w:rFonts w:cs="v4.2.0"/>
        </w:rPr>
        <w:t>Where:</w:t>
      </w:r>
    </w:p>
    <w:p w14:paraId="26182AB7" w14:textId="77777777" w:rsidR="00CF0288" w:rsidRPr="009C5807" w:rsidRDefault="00CF0288" w:rsidP="00CF0288">
      <w:pPr>
        <w:rPr>
          <w:rFonts w:cs="v4.2.0"/>
        </w:rPr>
      </w:pPr>
      <w:r w:rsidRPr="009C5807">
        <w:rPr>
          <w:rFonts w:cs="v4.2.0"/>
        </w:rPr>
        <w:t>T</w:t>
      </w:r>
      <w:r w:rsidRPr="009C5807">
        <w:rPr>
          <w:rFonts w:cs="v4.2.0"/>
          <w:vertAlign w:val="subscript"/>
        </w:rPr>
        <w:t>RRC_procedure_delay</w:t>
      </w:r>
      <w:r w:rsidRPr="009C5807">
        <w:rPr>
          <w:rFonts w:cs="v4.2.0"/>
        </w:rPr>
        <w:t>: it is the RRC procedure delay</w:t>
      </w:r>
      <w:r w:rsidRPr="009C5807">
        <w:t>, which is 50ms</w:t>
      </w:r>
    </w:p>
    <w:p w14:paraId="082B748B" w14:textId="77777777" w:rsidR="00CF0288" w:rsidRPr="009C5807" w:rsidRDefault="00CF0288" w:rsidP="00CF0288">
      <w:pPr>
        <w:rPr>
          <w:lang w:eastAsia="zh-CN"/>
        </w:rPr>
      </w:pPr>
      <w:r w:rsidRPr="009C5807">
        <w:rPr>
          <w:rFonts w:cs="v4.2.0"/>
        </w:rPr>
        <w:t>T</w:t>
      </w:r>
      <w:r w:rsidRPr="009C5807">
        <w:rPr>
          <w:rFonts w:cs="v4.2.0"/>
          <w:vertAlign w:val="subscript"/>
        </w:rPr>
        <w:t>interrupt</w:t>
      </w:r>
      <w:r w:rsidRPr="009C5807">
        <w:rPr>
          <w:lang w:eastAsia="zh-CN"/>
        </w:rPr>
        <w:t xml:space="preserve">: it is </w:t>
      </w:r>
      <w:r w:rsidRPr="009C5807">
        <w:rPr>
          <w:rFonts w:cs="v4.2.0"/>
        </w:rPr>
        <w:t>the time between end of the last TTI containing the RRC command on the NR PDSCH and the time the UE starts transmission of the PRACH in E-UTRAN</w:t>
      </w:r>
      <w:r w:rsidRPr="009C5807">
        <w:rPr>
          <w:rFonts w:eastAsia="MS Mincho" w:cs="v4.2.0"/>
        </w:rPr>
        <w:t xml:space="preserve">, excluding </w:t>
      </w:r>
      <w:r w:rsidRPr="009C5807">
        <w:rPr>
          <w:rFonts w:cs="v4.2.0"/>
        </w:rPr>
        <w:t>T</w:t>
      </w:r>
      <w:r w:rsidRPr="009C5807">
        <w:rPr>
          <w:rFonts w:cs="v4.2.0"/>
          <w:vertAlign w:val="subscript"/>
        </w:rPr>
        <w:t>RRC_procedure_delay</w:t>
      </w:r>
      <w:r w:rsidRPr="009C5807">
        <w:rPr>
          <w:rFonts w:cs="v4.2.0"/>
        </w:rPr>
        <w:t>. T</w:t>
      </w:r>
      <w:r w:rsidRPr="009C5807">
        <w:rPr>
          <w:rFonts w:cs="v4.2.0"/>
          <w:vertAlign w:val="subscript"/>
        </w:rPr>
        <w:t>interrupt</w:t>
      </w:r>
      <w:r w:rsidRPr="009C5807">
        <w:rPr>
          <w:rFonts w:cs="v4.2.0"/>
        </w:rPr>
        <w:t xml:space="preserve"> is defined in clause </w:t>
      </w:r>
      <w:r w:rsidRPr="009C5807">
        <w:rPr>
          <w:lang w:val="en-US" w:eastAsia="zh-CN"/>
        </w:rPr>
        <w:t>6.1.2.1.3</w:t>
      </w:r>
      <w:r w:rsidRPr="009C5807">
        <w:rPr>
          <w:rFonts w:cs="v4.2.0"/>
        </w:rPr>
        <w:t>.</w:t>
      </w:r>
    </w:p>
    <w:p w14:paraId="0622A59B" w14:textId="77777777" w:rsidR="00CF0288" w:rsidRPr="009C5807" w:rsidRDefault="00CF0288" w:rsidP="00CF0288">
      <w:pPr>
        <w:pStyle w:val="Heading5"/>
        <w:rPr>
          <w:lang w:val="en-US" w:eastAsia="zh-CN"/>
        </w:rPr>
      </w:pPr>
      <w:bookmarkStart w:id="95" w:name="_Toc5952574"/>
      <w:r w:rsidRPr="009C5807">
        <w:rPr>
          <w:lang w:val="en-US" w:eastAsia="zh-CN"/>
        </w:rPr>
        <w:t>6.1.2.1.3</w:t>
      </w:r>
      <w:r w:rsidRPr="009C5807">
        <w:rPr>
          <w:lang w:val="en-US" w:eastAsia="zh-CN"/>
        </w:rPr>
        <w:tab/>
        <w:t>Interruption time</w:t>
      </w:r>
      <w:bookmarkEnd w:id="95"/>
    </w:p>
    <w:p w14:paraId="4F094785" w14:textId="66A25283" w:rsidR="00D139B0" w:rsidRPr="009C5807" w:rsidRDefault="00D139B0" w:rsidP="00D139B0">
      <w:pPr>
        <w:rPr>
          <w:rFonts w:cs="v4.2.0"/>
          <w:position w:val="-6"/>
        </w:rPr>
      </w:pPr>
      <w:r w:rsidRPr="009C5807">
        <w:rPr>
          <w:rFonts w:cs="v4.2.0"/>
        </w:rPr>
        <w:t xml:space="preserve">When the inter-RAT handover to E-UTRAN is commanded, the interruption time shall be less than </w:t>
      </w:r>
      <w:r w:rsidRPr="009C5807">
        <w:t>T</w:t>
      </w:r>
      <w:r w:rsidRPr="009C5807">
        <w:rPr>
          <w:vertAlign w:val="subscript"/>
        </w:rPr>
        <w:t>interrupt</w:t>
      </w:r>
    </w:p>
    <w:p w14:paraId="320992B5" w14:textId="5B186CAE" w:rsidR="00D139B0" w:rsidRPr="009C5807" w:rsidRDefault="00D139B0" w:rsidP="00D139B0">
      <w:pPr>
        <w:pStyle w:val="EQ"/>
      </w:pPr>
      <w:r w:rsidRPr="009C5807">
        <w:tab/>
        <w:t>T</w:t>
      </w:r>
      <w:r w:rsidRPr="009C5807">
        <w:rPr>
          <w:vertAlign w:val="subscript"/>
        </w:rPr>
        <w:t>interrupt</w:t>
      </w:r>
      <w:r w:rsidRPr="009C5807" w:rsidDel="0061060F">
        <w:t xml:space="preserve"> </w:t>
      </w:r>
      <w:r w:rsidRPr="009C5807">
        <w:rPr>
          <w:position w:val="-6"/>
        </w:rPr>
        <w:t>=</w:t>
      </w:r>
      <w:r w:rsidRPr="009C5807">
        <w:t xml:space="preserve"> T</w:t>
      </w:r>
      <w:r w:rsidRPr="009C5807">
        <w:rPr>
          <w:vertAlign w:val="subscript"/>
        </w:rPr>
        <w:t>search</w:t>
      </w:r>
      <w:r w:rsidRPr="009C5807">
        <w:t xml:space="preserve"> + T</w:t>
      </w:r>
      <w:r w:rsidRPr="009C5807">
        <w:rPr>
          <w:vertAlign w:val="subscript"/>
        </w:rPr>
        <w:t>IU</w:t>
      </w:r>
      <w:r w:rsidRPr="009C5807">
        <w:t xml:space="preserve"> + 20 ms</w:t>
      </w:r>
    </w:p>
    <w:p w14:paraId="5D197E3A" w14:textId="77777777" w:rsidR="00CF0288" w:rsidRPr="009C5807" w:rsidRDefault="00CF0288" w:rsidP="00CF0288">
      <w:pPr>
        <w:rPr>
          <w:rFonts w:cs="v4.2.0"/>
        </w:rPr>
      </w:pPr>
      <w:r w:rsidRPr="009C5807">
        <w:rPr>
          <w:rFonts w:cs="v4.2.0"/>
        </w:rPr>
        <w:t>Where:</w:t>
      </w:r>
    </w:p>
    <w:p w14:paraId="360C619F" w14:textId="038DD338" w:rsidR="00CF0288" w:rsidRPr="009C5807" w:rsidRDefault="001741D7" w:rsidP="00CF0288">
      <w:pPr>
        <w:pStyle w:val="B10"/>
      </w:pPr>
      <w:r>
        <w:rPr>
          <w:rFonts w:cs="v4.2.0"/>
        </w:rPr>
        <w:tab/>
      </w:r>
      <w:r w:rsidR="00CF0288" w:rsidRPr="009C5807">
        <w:rPr>
          <w:rFonts w:cs="v4.2.0"/>
        </w:rPr>
        <w:t>T</w:t>
      </w:r>
      <w:r w:rsidR="00CF0288" w:rsidRPr="009C5807">
        <w:rPr>
          <w:rFonts w:cs="v4.2.0"/>
          <w:vertAlign w:val="subscript"/>
        </w:rPr>
        <w:t>search</w:t>
      </w:r>
      <w:r w:rsidR="00CF0288" w:rsidRPr="009C5807">
        <w:rPr>
          <w:rFonts w:cs="v4.2.0"/>
        </w:rPr>
        <w:t xml:space="preserve"> is the time required to search the target cell when the target cell is not already known when the handover command is received by the UE. If the target cell is known, then T</w:t>
      </w:r>
      <w:r w:rsidR="00CF0288" w:rsidRPr="009C5807">
        <w:rPr>
          <w:rFonts w:cs="v4.2.0"/>
          <w:vertAlign w:val="subscript"/>
        </w:rPr>
        <w:t>search</w:t>
      </w:r>
      <w:r w:rsidR="00CF0288" w:rsidRPr="009C5807">
        <w:rPr>
          <w:rFonts w:cs="v4.2.0"/>
        </w:rPr>
        <w:t xml:space="preserve"> = 0 ms. If the target cell is unknown and signal quality is sufficient for successful cell detection on the first attempt, then T</w:t>
      </w:r>
      <w:r w:rsidR="00CF0288" w:rsidRPr="009C5807">
        <w:rPr>
          <w:rFonts w:cs="v4.2.0"/>
          <w:vertAlign w:val="subscript"/>
        </w:rPr>
        <w:t>search</w:t>
      </w:r>
      <w:r w:rsidR="00CF0288" w:rsidRPr="009C5807">
        <w:rPr>
          <w:rFonts w:cs="v4.2.0"/>
        </w:rPr>
        <w:t xml:space="preserve"> = 80 ms. Regardless of whether DRX is in use by the UE, T</w:t>
      </w:r>
      <w:r w:rsidR="00CF0288" w:rsidRPr="009C5807">
        <w:rPr>
          <w:rFonts w:cs="v4.2.0"/>
          <w:vertAlign w:val="subscript"/>
        </w:rPr>
        <w:t>search</w:t>
      </w:r>
      <w:r w:rsidR="00CF0288" w:rsidRPr="009C5807">
        <w:rPr>
          <w:rFonts w:cs="v4.2.0"/>
        </w:rPr>
        <w:t xml:space="preserve"> shall still be based on non-DRX target cell search times.</w:t>
      </w:r>
    </w:p>
    <w:p w14:paraId="1409CF7B" w14:textId="17321B0F" w:rsidR="00CF0288" w:rsidRPr="009C5807" w:rsidRDefault="001741D7" w:rsidP="00CF0288">
      <w:pPr>
        <w:pStyle w:val="B10"/>
        <w:rPr>
          <w:lang w:eastAsia="zh-CN"/>
        </w:rPr>
      </w:pPr>
      <w:r>
        <w:tab/>
      </w:r>
      <w:r w:rsidR="00CF0288" w:rsidRPr="009C5807">
        <w:t>T</w:t>
      </w:r>
      <w:r w:rsidR="00CF0288" w:rsidRPr="009C5807">
        <w:rPr>
          <w:vertAlign w:val="subscript"/>
        </w:rPr>
        <w:t>IU</w:t>
      </w:r>
      <w:r w:rsidR="00CF0288" w:rsidRPr="009C5807">
        <w:t xml:space="preserve"> is the interruption uncertainty </w:t>
      </w:r>
      <w:r w:rsidR="00CF0288" w:rsidRPr="009C5807">
        <w:rPr>
          <w:lang w:eastAsia="zh-CN"/>
        </w:rPr>
        <w:t>in acquiring the first available PRACH occasion in the new cell</w:t>
      </w:r>
      <w:r w:rsidR="00CF0288" w:rsidRPr="009C5807">
        <w:t>. T</w:t>
      </w:r>
      <w:r w:rsidR="00CF0288" w:rsidRPr="009C5807">
        <w:rPr>
          <w:vertAlign w:val="subscript"/>
        </w:rPr>
        <w:t>IU</w:t>
      </w:r>
      <w:r w:rsidR="00CF0288" w:rsidRPr="009C5807">
        <w:t xml:space="preserve"> can be up to 30 ms.</w:t>
      </w:r>
    </w:p>
    <w:p w14:paraId="5769566F" w14:textId="78F62D3B" w:rsidR="00CF0288" w:rsidRPr="009C5807" w:rsidRDefault="00CF0288" w:rsidP="001741D7">
      <w:pPr>
        <w:pStyle w:val="NO"/>
        <w:rPr>
          <w:lang w:eastAsia="zh-CN"/>
        </w:rPr>
      </w:pPr>
      <w:r w:rsidRPr="009C5807">
        <w:t>NOTE:</w:t>
      </w:r>
      <w:r w:rsidR="001741D7" w:rsidRPr="009C5807">
        <w:tab/>
      </w:r>
      <w:r w:rsidRPr="009C5807">
        <w:t>The actual value of T</w:t>
      </w:r>
      <w:r w:rsidRPr="009C5807">
        <w:rPr>
          <w:vertAlign w:val="subscript"/>
        </w:rPr>
        <w:t>IU</w:t>
      </w:r>
      <w:r w:rsidRPr="009C5807">
        <w:t xml:space="preserve"> shall depend upon the PRACH configuration used in the target cell.</w:t>
      </w:r>
    </w:p>
    <w:p w14:paraId="65957E23" w14:textId="62DEF728" w:rsidR="00D139B0" w:rsidRPr="009C5807" w:rsidRDefault="001741D7" w:rsidP="00D139B0">
      <w:pPr>
        <w:pStyle w:val="B10"/>
        <w:rPr>
          <w:rFonts w:ascii="Arial" w:hAnsi="Arial"/>
          <w:sz w:val="28"/>
        </w:rPr>
      </w:pPr>
      <w:r>
        <w:tab/>
      </w:r>
      <w:r w:rsidR="00D139B0" w:rsidRPr="009C5807">
        <w:t>In the interruption requirement a cell is known if it has been meeting the relevant cell identification requirement during the last 5 seconds otherwise it is unknown. Relevant E-UTRAN cell identification requirements are described in clause 9.4.1.</w:t>
      </w:r>
    </w:p>
    <w:p w14:paraId="11D2680D" w14:textId="77777777" w:rsidR="00E22655" w:rsidRPr="009C5807" w:rsidRDefault="00E22655" w:rsidP="00E22655">
      <w:pPr>
        <w:pStyle w:val="Heading4"/>
        <w:rPr>
          <w:lang w:val="en-US" w:eastAsia="zh-CN"/>
        </w:rPr>
      </w:pPr>
      <w:r w:rsidRPr="009C5807">
        <w:rPr>
          <w:lang w:val="en-US" w:eastAsia="zh-CN"/>
        </w:rPr>
        <w:t>6.1.2.2</w:t>
      </w:r>
      <w:r w:rsidRPr="009C5807">
        <w:rPr>
          <w:lang w:val="en-US" w:eastAsia="zh-CN"/>
        </w:rPr>
        <w:tab/>
        <w:t>NR – UTRAN Handover</w:t>
      </w:r>
    </w:p>
    <w:p w14:paraId="4FEE75C4" w14:textId="77777777" w:rsidR="00E22655" w:rsidRPr="009C5807" w:rsidRDefault="00E22655" w:rsidP="00E22655">
      <w:pPr>
        <w:pStyle w:val="Heading4"/>
      </w:pPr>
      <w:bookmarkStart w:id="96" w:name="_Toc383690691"/>
      <w:r w:rsidRPr="009C5807">
        <w:t>6.1.2.2.1</w:t>
      </w:r>
      <w:r w:rsidRPr="009C5807">
        <w:tab/>
        <w:t>Introduction</w:t>
      </w:r>
      <w:bookmarkEnd w:id="96"/>
    </w:p>
    <w:p w14:paraId="66478978" w14:textId="1EBCB3AB" w:rsidR="00070190" w:rsidRPr="009C5807" w:rsidRDefault="00070190" w:rsidP="00070190">
      <w:pPr>
        <w:rPr>
          <w:rFonts w:cs="v4.2.0"/>
        </w:rPr>
      </w:pPr>
      <w:bookmarkStart w:id="97" w:name="_Toc383690692"/>
      <w:r w:rsidRPr="009C5807">
        <w:rPr>
          <w:rFonts w:cs="v4.2.0"/>
        </w:rPr>
        <w:t>The purpose of inter-RAT handover from NR to UTRAN is to change the radio access mode from NR to UTRAN. The handover procedure is initiated from NR with a RRC message that implies a hard handover</w:t>
      </w:r>
      <w:r w:rsidRPr="009C5807">
        <w:rPr>
          <w:rFonts w:cs="v3.7.0"/>
        </w:rPr>
        <w:t xml:space="preserve"> as described in </w:t>
      </w:r>
      <w:r w:rsidRPr="009C5807">
        <w:t>TS 38.331 [</w:t>
      </w:r>
      <w:r w:rsidRPr="009C5807">
        <w:rPr>
          <w:rFonts w:hint="eastAsia"/>
          <w:lang w:val="en-US" w:eastAsia="zh-CN"/>
        </w:rPr>
        <w:t>2</w:t>
      </w:r>
      <w:r w:rsidRPr="009C5807">
        <w:t>]</w:t>
      </w:r>
      <w:r w:rsidRPr="009C5807">
        <w:rPr>
          <w:rFonts w:cs="v3.7.0"/>
        </w:rPr>
        <w:t>.</w:t>
      </w:r>
    </w:p>
    <w:p w14:paraId="583980DF" w14:textId="77777777" w:rsidR="00E22655" w:rsidRPr="009C5807" w:rsidRDefault="00E22655" w:rsidP="00E22655">
      <w:pPr>
        <w:pStyle w:val="Heading5"/>
      </w:pPr>
      <w:r w:rsidRPr="009C5807">
        <w:t>6.1.2.2.2</w:t>
      </w:r>
      <w:r w:rsidRPr="009C5807">
        <w:tab/>
        <w:t>Handover delay</w:t>
      </w:r>
      <w:bookmarkEnd w:id="97"/>
    </w:p>
    <w:p w14:paraId="02326757" w14:textId="48455D72" w:rsidR="00070190" w:rsidRPr="009C5807" w:rsidRDefault="00070190" w:rsidP="00070190">
      <w:pPr>
        <w:rPr>
          <w:rFonts w:cs="v4.2.0"/>
        </w:rPr>
      </w:pPr>
      <w:r w:rsidRPr="009C5807">
        <w:rPr>
          <w:rFonts w:cs="v4.2.0"/>
        </w:rPr>
        <w:t xml:space="preserve">When the UE receives a RRC message implying handover to UTRAN the UE shall be ready to </w:t>
      </w:r>
      <w:r w:rsidRPr="009C5807">
        <w:rPr>
          <w:rFonts w:cs="v4.2.0"/>
          <w:snapToGrid w:val="0"/>
        </w:rPr>
        <w:t>start the transmission of the new UTRA uplink DPCCH</w:t>
      </w:r>
      <w:r w:rsidRPr="009C5807">
        <w:rPr>
          <w:rFonts w:cs="v4.2.0"/>
        </w:rPr>
        <w:t xml:space="preserve"> within D</w:t>
      </w:r>
      <w:r w:rsidRPr="009C5807">
        <w:rPr>
          <w:rFonts w:cs="v4.2.0"/>
          <w:vertAlign w:val="subscript"/>
        </w:rPr>
        <w:t>handover</w:t>
      </w:r>
      <w:r w:rsidRPr="009C5807">
        <w:rPr>
          <w:rFonts w:cs="v4.2.0"/>
        </w:rPr>
        <w:t xml:space="preserve"> </w:t>
      </w:r>
      <w:r w:rsidR="00A16ED2" w:rsidRPr="009C5807">
        <w:rPr>
          <w:rFonts w:cs="v4.2.0"/>
        </w:rPr>
        <w:t>ms</w:t>
      </w:r>
      <w:r w:rsidRPr="009C5807">
        <w:rPr>
          <w:rFonts w:cs="v4.2.0"/>
        </w:rPr>
        <w:t xml:space="preserve">from the end of the last NR TTI containing the RRC </w:t>
      </w:r>
      <w:r w:rsidRPr="009C5807">
        <w:rPr>
          <w:rFonts w:eastAsia="Malgun Gothic"/>
          <w:i/>
          <w:lang w:eastAsia="zh-CN"/>
        </w:rPr>
        <w:t>MobilityfromNRCommand</w:t>
      </w:r>
      <w:r w:rsidRPr="009C5807">
        <w:rPr>
          <w:rFonts w:cs="v4.2.0"/>
        </w:rPr>
        <w:t xml:space="preserve"> command.</w:t>
      </w:r>
    </w:p>
    <w:p w14:paraId="15A7C39B" w14:textId="77777777" w:rsidR="00E22655" w:rsidRPr="009C5807" w:rsidRDefault="00E22655" w:rsidP="00E22655">
      <w:pPr>
        <w:rPr>
          <w:rFonts w:cs="v4.2.0"/>
        </w:rPr>
      </w:pPr>
      <w:r w:rsidRPr="009C5807">
        <w:rPr>
          <w:rFonts w:cs="v4.2.0"/>
        </w:rPr>
        <w:t>where:</w:t>
      </w:r>
    </w:p>
    <w:p w14:paraId="6007D3C5" w14:textId="77777777" w:rsidR="00E22655" w:rsidRPr="009C5807" w:rsidRDefault="00E22655" w:rsidP="00E22655">
      <w:pPr>
        <w:pStyle w:val="B10"/>
      </w:pPr>
      <w:r w:rsidRPr="009C5807">
        <w:t>-</w:t>
      </w:r>
      <w:r w:rsidRPr="009C5807">
        <w:tab/>
        <w:t>D</w:t>
      </w:r>
      <w:r w:rsidRPr="009C5807">
        <w:rPr>
          <w:vertAlign w:val="subscript"/>
        </w:rPr>
        <w:t>handover</w:t>
      </w:r>
      <w:r w:rsidRPr="009C5807">
        <w:t xml:space="preserve"> equals the RRC procedure delay, which is 50 ms plus the interruption time stated in clause 6.1.2.2.3.</w:t>
      </w:r>
    </w:p>
    <w:p w14:paraId="27540AD4" w14:textId="77777777" w:rsidR="00E22655" w:rsidRPr="009C5807" w:rsidRDefault="00E22655" w:rsidP="00E22655">
      <w:pPr>
        <w:pStyle w:val="Heading5"/>
      </w:pPr>
      <w:bookmarkStart w:id="98" w:name="_Toc383690693"/>
      <w:r w:rsidRPr="009C5807">
        <w:t>6.1.2.2.3</w:t>
      </w:r>
      <w:r w:rsidRPr="009C5807">
        <w:tab/>
        <w:t>Interruption time</w:t>
      </w:r>
      <w:bookmarkEnd w:id="98"/>
    </w:p>
    <w:p w14:paraId="5E302DD2" w14:textId="77777777" w:rsidR="00E22655" w:rsidRPr="009C5807" w:rsidRDefault="00E22655" w:rsidP="00E22655">
      <w:r w:rsidRPr="009C5807">
        <w:t xml:space="preserve">The interruption time is the time between the end of the last TTI containing the RRC command on the NR PDSCH and the time the UE starts transmission on the </w:t>
      </w:r>
      <w:r w:rsidRPr="009C5807">
        <w:rPr>
          <w:snapToGrid w:val="0"/>
        </w:rPr>
        <w:t>uplink DPCCH</w:t>
      </w:r>
      <w:r w:rsidRPr="009C5807">
        <w:t xml:space="preserve"> in UTRAN, excluding the RRC procedure delay. The interruption time depends on whether the target cell is known to the UE or not.</w:t>
      </w:r>
    </w:p>
    <w:p w14:paraId="795AC413" w14:textId="77777777" w:rsidR="00E22655" w:rsidRPr="009C5807" w:rsidRDefault="00E22655" w:rsidP="00E22655">
      <w:pPr>
        <w:rPr>
          <w:rFonts w:cs="v4.2.0"/>
        </w:rPr>
      </w:pPr>
      <w:r w:rsidRPr="009C5807">
        <w:rPr>
          <w:rFonts w:cs="v4.2.0"/>
        </w:rPr>
        <w:t>The target cell is known if it has been measured by the UE during the last 5 seconds otherwise it is unknown. The UE shall always perform a UTRA synchronisation procedure as part of the handover procedure.</w:t>
      </w:r>
    </w:p>
    <w:p w14:paraId="1447BC43" w14:textId="77777777" w:rsidR="00A16ED2" w:rsidRPr="009C5807" w:rsidRDefault="00A16ED2" w:rsidP="00A16ED2">
      <w:pPr>
        <w:rPr>
          <w:rFonts w:cs="v4.2.0"/>
        </w:rPr>
      </w:pPr>
      <w:r w:rsidRPr="009C5807">
        <w:rPr>
          <w:rFonts w:cs="v4.2.0"/>
        </w:rPr>
        <w:t>If the target cell is known the interruption time shall be less than T</w:t>
      </w:r>
      <w:r w:rsidRPr="00734785">
        <w:rPr>
          <w:noProof/>
          <w:vertAlign w:val="subscript"/>
        </w:rPr>
        <w:t>interrupt1</w:t>
      </w:r>
    </w:p>
    <w:p w14:paraId="1F0E1FEC" w14:textId="77777777" w:rsidR="00A16ED2" w:rsidRPr="009C5807" w:rsidRDefault="00A16ED2" w:rsidP="00A16ED2">
      <w:pPr>
        <w:pStyle w:val="EQ"/>
      </w:pPr>
      <w:r w:rsidRPr="009C5807">
        <w:tab/>
        <w:t>T</w:t>
      </w:r>
      <w:r w:rsidRPr="00734785">
        <w:rPr>
          <w:vertAlign w:val="subscript"/>
        </w:rPr>
        <w:t xml:space="preserve">interrupt1 </w:t>
      </w:r>
      <w:r w:rsidRPr="009C5807">
        <w:t>= T</w:t>
      </w:r>
      <w:r w:rsidRPr="009C5807">
        <w:rPr>
          <w:vertAlign w:val="subscript"/>
        </w:rPr>
        <w:t>IU</w:t>
      </w:r>
      <w:r w:rsidRPr="009C5807">
        <w:t>+T</w:t>
      </w:r>
      <w:r w:rsidRPr="009C5807">
        <w:rPr>
          <w:vertAlign w:val="subscript"/>
        </w:rPr>
        <w:t>sync</w:t>
      </w:r>
      <w:r w:rsidRPr="009C5807">
        <w:t>+50</w:t>
      </w:r>
      <w:r w:rsidRPr="009C5807">
        <w:rPr>
          <w:rFonts w:cs="v3.7.0"/>
        </w:rPr>
        <w:t>+ 10*</w:t>
      </w:r>
      <w:r w:rsidRPr="009C5807">
        <w:t>F</w:t>
      </w:r>
      <w:r w:rsidRPr="009C5807">
        <w:rPr>
          <w:vertAlign w:val="subscript"/>
        </w:rPr>
        <w:t>max</w:t>
      </w:r>
      <w:r w:rsidRPr="009C5807">
        <w:t xml:space="preserve"> + T</w:t>
      </w:r>
      <w:r w:rsidRPr="009C5807">
        <w:rPr>
          <w:vertAlign w:val="subscript"/>
        </w:rPr>
        <w:t>MC</w:t>
      </w:r>
      <w:r w:rsidRPr="009C5807">
        <w:t xml:space="preserve"> ms</w:t>
      </w:r>
    </w:p>
    <w:p w14:paraId="7BEB6271" w14:textId="77777777" w:rsidR="00A16ED2" w:rsidRPr="009C5807" w:rsidRDefault="00A16ED2" w:rsidP="00A16ED2">
      <w:pPr>
        <w:rPr>
          <w:rFonts w:cs="v4.2.0"/>
          <w:position w:val="-6"/>
        </w:rPr>
      </w:pPr>
      <w:r w:rsidRPr="009C5807">
        <w:t xml:space="preserve">If the target cell is unknown the interruption time shall be less than </w:t>
      </w:r>
      <w:r w:rsidRPr="009C5807">
        <w:rPr>
          <w:rFonts w:cs="v4.2.0"/>
        </w:rPr>
        <w:t>T</w:t>
      </w:r>
      <w:r w:rsidRPr="00734785">
        <w:rPr>
          <w:noProof/>
          <w:vertAlign w:val="subscript"/>
        </w:rPr>
        <w:t>interrupt2</w:t>
      </w:r>
    </w:p>
    <w:p w14:paraId="102C94B8" w14:textId="77777777" w:rsidR="00A16ED2" w:rsidRPr="009C5807" w:rsidRDefault="00A16ED2" w:rsidP="00A16ED2">
      <w:pPr>
        <w:pStyle w:val="EQ"/>
      </w:pPr>
      <w:r w:rsidRPr="009C5807">
        <w:tab/>
        <w:t>T</w:t>
      </w:r>
      <w:r w:rsidRPr="00734785">
        <w:rPr>
          <w:vertAlign w:val="subscript"/>
        </w:rPr>
        <w:t xml:space="preserve">interrupt2 </w:t>
      </w:r>
      <w:r w:rsidRPr="009C5807">
        <w:t>= T</w:t>
      </w:r>
      <w:r w:rsidRPr="009C5807">
        <w:rPr>
          <w:vertAlign w:val="subscript"/>
        </w:rPr>
        <w:t>IU</w:t>
      </w:r>
      <w:r w:rsidRPr="009C5807">
        <w:t>+T</w:t>
      </w:r>
      <w:r w:rsidRPr="009C5807">
        <w:rPr>
          <w:vertAlign w:val="subscript"/>
        </w:rPr>
        <w:t>sync</w:t>
      </w:r>
      <w:r w:rsidRPr="009C5807">
        <w:t xml:space="preserve">+150 </w:t>
      </w:r>
      <w:r w:rsidRPr="009C5807">
        <w:rPr>
          <w:rFonts w:cs="v3.7.0"/>
        </w:rPr>
        <w:t>+ 10*</w:t>
      </w:r>
      <w:r w:rsidRPr="009C5807">
        <w:t>F</w:t>
      </w:r>
      <w:r w:rsidRPr="009C5807">
        <w:rPr>
          <w:vertAlign w:val="subscript"/>
        </w:rPr>
        <w:t>max</w:t>
      </w:r>
      <w:r w:rsidRPr="009C5807">
        <w:t xml:space="preserve"> + T</w:t>
      </w:r>
      <w:r w:rsidRPr="009C5807">
        <w:rPr>
          <w:vertAlign w:val="subscript"/>
        </w:rPr>
        <w:t>MC</w:t>
      </w:r>
      <w:r w:rsidRPr="009C5807">
        <w:t xml:space="preserve"> ms</w:t>
      </w:r>
    </w:p>
    <w:p w14:paraId="2DB7F6AE" w14:textId="6C329D50" w:rsidR="00E22655" w:rsidRPr="009C5807" w:rsidRDefault="00E22655" w:rsidP="00125AB5">
      <w:pPr>
        <w:rPr>
          <w:rFonts w:cs="v4.2.0"/>
        </w:rPr>
      </w:pPr>
      <w:r w:rsidRPr="009C5807">
        <w:t xml:space="preserve">This requirement shall be met, provided that there is one target cell in the </w:t>
      </w:r>
      <w:r w:rsidR="00566CFE" w:rsidRPr="009C5807">
        <w:rPr>
          <w:rFonts w:eastAsia="Malgun Gothic"/>
          <w:i/>
          <w:lang w:eastAsia="zh-CN"/>
        </w:rPr>
        <w:t>MobilityfromNRCommand</w:t>
      </w:r>
      <w:r w:rsidRPr="009C5807">
        <w:t xml:space="preserve"> command. Performance requirements for E-UTRA to UTRA soft handover are not specified. When UE is connected to an NR cell, UTRA SFN timing measurements are not reported. This implies that the timing of the DPCH of the UTRA target cells in the active set cannot be configured by UTRAN to guarantee that all target cells fall within the UE reception window of </w:t>
      </w:r>
      <w:r w:rsidRPr="009C5807">
        <w:rPr>
          <w:rFonts w:cs="v3.7.0"/>
        </w:rPr>
        <w:t>T</w:t>
      </w:r>
      <w:r w:rsidRPr="009C5807">
        <w:rPr>
          <w:rFonts w:cs="v3.7.0"/>
          <w:vertAlign w:val="subscript"/>
        </w:rPr>
        <w:t xml:space="preserve">0 </w:t>
      </w:r>
      <w:r w:rsidRPr="009C5807">
        <w:rPr>
          <w:rFonts w:cs="v3.7.0"/>
        </w:rPr>
        <w:t>+/- 148 chips.</w:t>
      </w:r>
    </w:p>
    <w:p w14:paraId="057F3925" w14:textId="77777777" w:rsidR="00E22655" w:rsidRPr="009C5807" w:rsidRDefault="00E22655" w:rsidP="00E22655">
      <w:pPr>
        <w:rPr>
          <w:rFonts w:cs="v4.2.0"/>
        </w:rPr>
      </w:pPr>
      <w:r w:rsidRPr="009C5807">
        <w:rPr>
          <w:rFonts w:cs="v4.2.0"/>
        </w:rPr>
        <w:t>Where:</w:t>
      </w:r>
    </w:p>
    <w:p w14:paraId="7CC0024D" w14:textId="55DAC161" w:rsidR="00E22655" w:rsidRPr="009C5807" w:rsidRDefault="009915F6" w:rsidP="009915F6">
      <w:pPr>
        <w:pStyle w:val="B10"/>
      </w:pPr>
      <w:r w:rsidRPr="009C5807">
        <w:t>-</w:t>
      </w:r>
      <w:r w:rsidRPr="009C5807">
        <w:tab/>
      </w:r>
      <w:r w:rsidR="00E22655" w:rsidRPr="009C5807">
        <w:t>T</w:t>
      </w:r>
      <w:r w:rsidR="00E22655" w:rsidRPr="009C5807">
        <w:rPr>
          <w:vertAlign w:val="subscript"/>
        </w:rPr>
        <w:t>IU</w:t>
      </w:r>
      <w:r w:rsidRPr="009C5807">
        <w:t xml:space="preserve"> </w:t>
      </w:r>
      <w:r w:rsidR="00E22655" w:rsidRPr="009C5807">
        <w:t>is the interruption uncertainty when changing the timing from the NR to the new UTRAN cell. T</w:t>
      </w:r>
      <w:r w:rsidR="00E22655" w:rsidRPr="009C5807">
        <w:rPr>
          <w:vertAlign w:val="subscript"/>
        </w:rPr>
        <w:t>IU</w:t>
      </w:r>
      <w:r w:rsidR="00E22655" w:rsidRPr="009C5807">
        <w:t xml:space="preserve"> can be up to one UTRA frame (10 ms).</w:t>
      </w:r>
    </w:p>
    <w:p w14:paraId="6D253736" w14:textId="4439852C" w:rsidR="00E22655" w:rsidRPr="009C5807" w:rsidRDefault="009915F6" w:rsidP="009915F6">
      <w:pPr>
        <w:pStyle w:val="B10"/>
      </w:pPr>
      <w:r w:rsidRPr="009C5807">
        <w:t>-</w:t>
      </w:r>
      <w:r w:rsidRPr="009C5807">
        <w:tab/>
      </w:r>
      <w:r w:rsidR="00E22655" w:rsidRPr="009C5807">
        <w:t>F</w:t>
      </w:r>
      <w:r w:rsidR="00E22655" w:rsidRPr="009C5807">
        <w:rPr>
          <w:vertAlign w:val="subscript"/>
        </w:rPr>
        <w:t>max</w:t>
      </w:r>
      <w:r w:rsidR="00E22655" w:rsidRPr="009C5807">
        <w:t xml:space="preserve"> denotes the maximum number of radio frames within the transmission time intervals of all transport channels that are multiplexed into the same CCTrCH on the UTRA target cell. If HS-PDSCH is configured in the UTRA target cell, F</w:t>
      </w:r>
      <w:r w:rsidR="00E22655" w:rsidRPr="009C5807">
        <w:rPr>
          <w:vertAlign w:val="subscript"/>
        </w:rPr>
        <w:t>max</w:t>
      </w:r>
      <w:r w:rsidR="00E22655" w:rsidRPr="009C5807">
        <w:t xml:space="preserve"> is 4 radio frames.</w:t>
      </w:r>
    </w:p>
    <w:p w14:paraId="39D9F3B3" w14:textId="281EAC57" w:rsidR="00070190" w:rsidRPr="009C5807" w:rsidRDefault="00070190" w:rsidP="00070190">
      <w:pPr>
        <w:pStyle w:val="B10"/>
      </w:pPr>
      <w:r w:rsidRPr="009C5807">
        <w:t>-</w:t>
      </w:r>
      <w:r w:rsidRPr="009C5807">
        <w:tab/>
        <w:t>T</w:t>
      </w:r>
      <w:r w:rsidRPr="009C5807">
        <w:rPr>
          <w:vertAlign w:val="subscript"/>
        </w:rPr>
        <w:t>sync</w:t>
      </w:r>
      <w:r w:rsidRPr="009C5807">
        <w:t xml:space="preserve"> is the time required for measuring the downlink DPCCH channel as stated in TS 25.214 [</w:t>
      </w:r>
      <w:r w:rsidRPr="009C5807">
        <w:rPr>
          <w:rFonts w:hint="eastAsia"/>
          <w:lang w:val="en-US" w:eastAsia="zh-CN"/>
        </w:rPr>
        <w:t>32</w:t>
      </w:r>
      <w:r w:rsidRPr="009C5807">
        <w:t>], clause 4.3.1.2. In case higher layers indicate the usage of a post-verification period T</w:t>
      </w:r>
      <w:r w:rsidRPr="009C5807">
        <w:rPr>
          <w:vertAlign w:val="subscript"/>
        </w:rPr>
        <w:t>sync</w:t>
      </w:r>
      <w:r w:rsidRPr="009C5807">
        <w:t>=0 ms. Otherwise T</w:t>
      </w:r>
      <w:r w:rsidRPr="009C5807">
        <w:rPr>
          <w:vertAlign w:val="subscript"/>
        </w:rPr>
        <w:t>sync</w:t>
      </w:r>
      <w:r w:rsidRPr="009C5807">
        <w:t>=40 ms.</w:t>
      </w:r>
    </w:p>
    <w:p w14:paraId="446F7DF0" w14:textId="65F8A12F" w:rsidR="00E22655" w:rsidRPr="009C5807" w:rsidRDefault="009915F6" w:rsidP="009915F6">
      <w:pPr>
        <w:pStyle w:val="B10"/>
      </w:pPr>
      <w:r w:rsidRPr="009C5807">
        <w:t>-</w:t>
      </w:r>
      <w:r w:rsidRPr="009C5807">
        <w:tab/>
      </w:r>
      <w:r w:rsidR="00E22655" w:rsidRPr="009C5807">
        <w:t>T</w:t>
      </w:r>
      <w:r w:rsidR="00E22655" w:rsidRPr="009C5807">
        <w:rPr>
          <w:vertAlign w:val="subscript"/>
        </w:rPr>
        <w:t>MC</w:t>
      </w:r>
      <w:r w:rsidR="00E22655" w:rsidRPr="009C5807">
        <w:t xml:space="preserve"> is 0ms if a single UTRA cell is configured as the handover target, otherwise 20ms if handover to UTRA with 1, 2 or 3 UTRA carriers with secondary HS-PDSCH is configured.</w:t>
      </w:r>
    </w:p>
    <w:p w14:paraId="043F390E" w14:textId="77777777" w:rsidR="00E22655" w:rsidRPr="009C5807" w:rsidRDefault="00E22655" w:rsidP="00E22655">
      <w:pPr>
        <w:rPr>
          <w:rFonts w:cs="v4.2.0"/>
        </w:rPr>
      </w:pPr>
      <w:r w:rsidRPr="009C5807">
        <w:rPr>
          <w:rFonts w:cs="v4.2.0"/>
        </w:rPr>
        <w:t>The phase reference is the primary CPICH.</w:t>
      </w:r>
    </w:p>
    <w:p w14:paraId="087C91E6" w14:textId="77777777" w:rsidR="00E22655" w:rsidRPr="009C5807" w:rsidRDefault="00E22655" w:rsidP="00E22655">
      <w:pPr>
        <w:rPr>
          <w:rFonts w:cs="v4.2.0"/>
        </w:rPr>
      </w:pPr>
      <w:r w:rsidRPr="009C5807">
        <w:rPr>
          <w:rFonts w:cs="v4.2.0"/>
        </w:rPr>
        <w:t>The requirements in this clause assume that N312 has the smallest possible value i.e. only one insync is required.</w:t>
      </w:r>
    </w:p>
    <w:p w14:paraId="1D0B72B3" w14:textId="77777777" w:rsidR="00E72C7B" w:rsidRPr="009C5807" w:rsidRDefault="00E72C7B" w:rsidP="00E72C7B">
      <w:pPr>
        <w:pStyle w:val="Heading3"/>
        <w:rPr>
          <w:lang w:val="en-US" w:eastAsia="ko-KR"/>
        </w:rPr>
      </w:pPr>
      <w:bookmarkStart w:id="99" w:name="_Hlk36720815"/>
      <w:r w:rsidRPr="009C5807">
        <w:rPr>
          <w:lang w:val="en-US" w:eastAsia="ko-KR"/>
        </w:rPr>
        <w:t>6.1.3</w:t>
      </w:r>
      <w:r w:rsidRPr="009C5807">
        <w:rPr>
          <w:lang w:val="en-US" w:eastAsia="ko-KR"/>
        </w:rPr>
        <w:tab/>
        <w:t>NR DAPS Handover</w:t>
      </w:r>
    </w:p>
    <w:p w14:paraId="5B3BFD77" w14:textId="77777777" w:rsidR="00E72C7B" w:rsidRPr="009C5807" w:rsidRDefault="00E72C7B" w:rsidP="00E72C7B">
      <w:pPr>
        <w:pStyle w:val="Heading4"/>
        <w:rPr>
          <w:lang w:val="en-US" w:eastAsia="zh-CN"/>
        </w:rPr>
      </w:pPr>
      <w:r w:rsidRPr="009C5807">
        <w:rPr>
          <w:lang w:val="en-US" w:eastAsia="zh-CN"/>
        </w:rPr>
        <w:t>6.1.3.1</w:t>
      </w:r>
      <w:r w:rsidRPr="009C5807">
        <w:rPr>
          <w:lang w:val="en-US" w:eastAsia="zh-CN"/>
        </w:rPr>
        <w:tab/>
        <w:t>Introduction</w:t>
      </w:r>
    </w:p>
    <w:p w14:paraId="2777A02A" w14:textId="1446BD0C" w:rsidR="00E72C7B" w:rsidRDefault="00E72C7B" w:rsidP="00E72C7B">
      <w:pPr>
        <w:tabs>
          <w:tab w:val="left" w:pos="7200"/>
        </w:tabs>
      </w:pPr>
      <w:r w:rsidRPr="009C5807">
        <w:t>The requirements in this clause are applicable to DAPS handover to change the NR PCell to another NR cell.</w:t>
      </w:r>
    </w:p>
    <w:p w14:paraId="194CA856" w14:textId="77777777" w:rsidR="00C93BDA" w:rsidRDefault="00C93BDA" w:rsidP="00C93BDA">
      <w:pPr>
        <w:pStyle w:val="NO"/>
        <w:rPr>
          <w:lang w:eastAsia="zh-CN"/>
        </w:rPr>
      </w:pPr>
      <w:r w:rsidRPr="00A01642">
        <w:rPr>
          <w:lang w:eastAsia="zh-CN"/>
        </w:rPr>
        <w:t>Note:</w:t>
      </w:r>
      <w:r w:rsidRPr="009C5807">
        <w:rPr>
          <w:lang w:eastAsia="zh-CN"/>
        </w:rPr>
        <w:tab/>
      </w:r>
      <w:r w:rsidRPr="00A01642">
        <w:rPr>
          <w:lang w:eastAsia="zh-CN"/>
        </w:rPr>
        <w:t>requirement</w:t>
      </w:r>
      <w:r>
        <w:rPr>
          <w:lang w:eastAsia="zh-CN"/>
        </w:rPr>
        <w:t>s</w:t>
      </w:r>
      <w:r w:rsidRPr="00A01642">
        <w:rPr>
          <w:lang w:eastAsia="zh-CN"/>
        </w:rPr>
        <w:t xml:space="preserve"> </w:t>
      </w:r>
      <w:r>
        <w:rPr>
          <w:lang w:eastAsia="zh-CN"/>
        </w:rPr>
        <w:t xml:space="preserve">only </w:t>
      </w:r>
      <w:r w:rsidRPr="00A01642">
        <w:rPr>
          <w:lang w:eastAsia="zh-CN"/>
        </w:rPr>
        <w:t>appl</w:t>
      </w:r>
      <w:r>
        <w:rPr>
          <w:lang w:eastAsia="zh-CN"/>
        </w:rPr>
        <w:t>y</w:t>
      </w:r>
      <w:r w:rsidRPr="00A01642">
        <w:rPr>
          <w:lang w:eastAsia="zh-CN"/>
        </w:rPr>
        <w:t xml:space="preserve"> if </w:t>
      </w:r>
    </w:p>
    <w:p w14:paraId="2CE299ED" w14:textId="69248606" w:rsidR="00C93BDA" w:rsidRPr="00AF41C4" w:rsidRDefault="00C93BDA" w:rsidP="002F5786">
      <w:pPr>
        <w:pStyle w:val="B4"/>
        <w:rPr>
          <w:lang w:eastAsia="zh-CN"/>
        </w:rPr>
      </w:pPr>
      <w:r>
        <w:rPr>
          <w:lang w:val="en-US" w:eastAsia="zh-TW"/>
        </w:rPr>
        <w:t>-</w:t>
      </w:r>
      <w:r>
        <w:rPr>
          <w:lang w:val="en-US" w:eastAsia="zh-TW"/>
        </w:rPr>
        <w:tab/>
      </w:r>
      <w:r w:rsidRPr="00AF41C4">
        <w:rPr>
          <w:lang w:val="en-US" w:eastAsia="zh-TW"/>
        </w:rPr>
        <w:t xml:space="preserve">the UE indicates ‘no-gap’ via </w:t>
      </w:r>
      <w:r w:rsidRPr="00AF41C4">
        <w:rPr>
          <w:i/>
          <w:lang w:val="en-US" w:eastAsia="zh-TW"/>
        </w:rPr>
        <w:t>intraFreq-needForGap</w:t>
      </w:r>
      <w:r w:rsidRPr="00AF41C4">
        <w:rPr>
          <w:lang w:val="en-US" w:eastAsia="zh-TW"/>
        </w:rPr>
        <w:t xml:space="preserve"> for intra-frequency measurement of source cell and intra-frequency measurement of target cell, or </w:t>
      </w:r>
      <w:r w:rsidRPr="00AF41C4">
        <w:rPr>
          <w:lang w:eastAsia="zh-CN"/>
        </w:rPr>
        <w:t xml:space="preserve">   </w:t>
      </w:r>
    </w:p>
    <w:p w14:paraId="0C37D2CC" w14:textId="0D1D75F9" w:rsidR="00C93BDA" w:rsidRDefault="00C93BDA" w:rsidP="002F5786">
      <w:pPr>
        <w:pStyle w:val="B4"/>
        <w:rPr>
          <w:lang w:eastAsia="zh-CN"/>
        </w:rPr>
      </w:pPr>
      <w:r>
        <w:rPr>
          <w:lang w:eastAsia="zh-CN"/>
        </w:rPr>
        <w:t>-</w:t>
      </w:r>
      <w:r>
        <w:rPr>
          <w:lang w:eastAsia="zh-CN"/>
        </w:rPr>
        <w:tab/>
      </w:r>
      <w:r w:rsidRPr="00AF41C4">
        <w:rPr>
          <w:lang w:eastAsia="zh-CN"/>
        </w:rPr>
        <w:t xml:space="preserve">the SSB </w:t>
      </w:r>
      <w:r>
        <w:rPr>
          <w:lang w:eastAsia="zh-CN"/>
        </w:rPr>
        <w:t xml:space="preserve">of source cell </w:t>
      </w:r>
      <w:r w:rsidRPr="00AF41C4">
        <w:rPr>
          <w:lang w:eastAsia="zh-CN"/>
        </w:rPr>
        <w:t xml:space="preserve">is completely contained in the active DL BWP of the </w:t>
      </w:r>
      <w:r>
        <w:rPr>
          <w:lang w:eastAsia="zh-CN"/>
        </w:rPr>
        <w:t>source</w:t>
      </w:r>
      <w:r w:rsidRPr="00AF41C4">
        <w:rPr>
          <w:lang w:eastAsia="zh-CN"/>
        </w:rPr>
        <w:t xml:space="preserve"> cell</w:t>
      </w:r>
      <w:r>
        <w:rPr>
          <w:lang w:eastAsia="zh-CN"/>
        </w:rPr>
        <w:t xml:space="preserve">, and </w:t>
      </w:r>
      <w:r w:rsidRPr="00AF41C4">
        <w:rPr>
          <w:lang w:eastAsia="zh-CN"/>
        </w:rPr>
        <w:t xml:space="preserve">the SSB </w:t>
      </w:r>
      <w:r>
        <w:rPr>
          <w:lang w:eastAsia="zh-CN"/>
        </w:rPr>
        <w:t xml:space="preserve">of target cell </w:t>
      </w:r>
      <w:r w:rsidRPr="00AF41C4">
        <w:rPr>
          <w:lang w:eastAsia="zh-CN"/>
        </w:rPr>
        <w:t>is completely contained in the active DL BWP of the target cell</w:t>
      </w:r>
      <w:r>
        <w:rPr>
          <w:lang w:eastAsia="zh-CN"/>
        </w:rPr>
        <w:t>, or</w:t>
      </w:r>
    </w:p>
    <w:p w14:paraId="549E8A57" w14:textId="5725E9B3" w:rsidR="00C93BDA" w:rsidRDefault="00C93BDA" w:rsidP="002F5786">
      <w:pPr>
        <w:pStyle w:val="B4"/>
        <w:rPr>
          <w:lang w:eastAsia="zh-CN"/>
        </w:rPr>
      </w:pPr>
      <w:r>
        <w:rPr>
          <w:lang w:eastAsia="zh-CN"/>
        </w:rPr>
        <w:t>-</w:t>
      </w:r>
      <w:r>
        <w:rPr>
          <w:lang w:eastAsia="zh-CN"/>
        </w:rPr>
        <w:tab/>
      </w:r>
      <w:r w:rsidRPr="00AF41C4">
        <w:rPr>
          <w:lang w:eastAsia="zh-CN"/>
        </w:rPr>
        <w:t>the initial DL and UL BWP of source cell is confined within the active DL and UL BWP of the source cell</w:t>
      </w:r>
      <w:r>
        <w:rPr>
          <w:lang w:eastAsia="zh-CN"/>
        </w:rPr>
        <w:t xml:space="preserve"> </w:t>
      </w:r>
      <w:r w:rsidRPr="00A01642">
        <w:rPr>
          <w:lang w:eastAsia="zh-CN"/>
        </w:rPr>
        <w:t>respectively</w:t>
      </w:r>
      <w:r>
        <w:rPr>
          <w:lang w:eastAsia="zh-CN"/>
        </w:rPr>
        <w:t xml:space="preserve">, and </w:t>
      </w:r>
      <w:r w:rsidRPr="00AF41C4">
        <w:rPr>
          <w:lang w:eastAsia="zh-CN"/>
        </w:rPr>
        <w:t xml:space="preserve">the initial DL and UL BWP of </w:t>
      </w:r>
      <w:r>
        <w:rPr>
          <w:lang w:eastAsia="zh-CN"/>
        </w:rPr>
        <w:t>target</w:t>
      </w:r>
      <w:r w:rsidRPr="00AF41C4">
        <w:rPr>
          <w:lang w:eastAsia="zh-CN"/>
        </w:rPr>
        <w:t xml:space="preserve"> cell is confined within the active DL and UL BWP of the </w:t>
      </w:r>
      <w:r>
        <w:rPr>
          <w:lang w:eastAsia="zh-CN"/>
        </w:rPr>
        <w:t>target</w:t>
      </w:r>
      <w:r w:rsidRPr="00AF41C4">
        <w:rPr>
          <w:lang w:eastAsia="zh-CN"/>
        </w:rPr>
        <w:t xml:space="preserve"> cell</w:t>
      </w:r>
      <w:r>
        <w:rPr>
          <w:lang w:eastAsia="zh-CN"/>
        </w:rPr>
        <w:t xml:space="preserve"> </w:t>
      </w:r>
      <w:r w:rsidRPr="00A01642">
        <w:rPr>
          <w:lang w:eastAsia="zh-CN"/>
        </w:rPr>
        <w:t>respectively</w:t>
      </w:r>
      <w:r>
        <w:rPr>
          <w:lang w:eastAsia="zh-CN"/>
        </w:rPr>
        <w:t>.</w:t>
      </w:r>
    </w:p>
    <w:p w14:paraId="33482E3F" w14:textId="77777777" w:rsidR="00E72C7B" w:rsidRPr="009C5807" w:rsidRDefault="00E72C7B" w:rsidP="00E72C7B">
      <w:pPr>
        <w:pStyle w:val="Heading4"/>
        <w:rPr>
          <w:lang w:val="en-US" w:eastAsia="zh-CN"/>
        </w:rPr>
      </w:pPr>
      <w:r w:rsidRPr="009C5807">
        <w:rPr>
          <w:lang w:val="en-US" w:eastAsia="zh-CN"/>
        </w:rPr>
        <w:t>6.1.3.2</w:t>
      </w:r>
      <w:r w:rsidRPr="009C5807">
        <w:rPr>
          <w:lang w:val="en-US" w:eastAsia="zh-CN"/>
        </w:rPr>
        <w:tab/>
        <w:t>NR FR1 - NR FR1 DAPS Handover</w:t>
      </w:r>
    </w:p>
    <w:p w14:paraId="7322E932" w14:textId="64AADAF4" w:rsidR="00E72C7B" w:rsidRPr="009C5807" w:rsidRDefault="00E72C7B" w:rsidP="00E72C7B">
      <w:r w:rsidRPr="009C5807">
        <w:t xml:space="preserve">The requirements in this clause are applicable to both intra-frequency and inter-frequency handovers from NR FR1 cell to NR FR1 cell. </w:t>
      </w:r>
      <w:r w:rsidR="00F35410" w:rsidRPr="00A01642">
        <w:t>A DAPS handover is intra-frequency if the centre frequency of the SSB of the source cell and the centre frequency of the SSB of the target cell are the same, and</w:t>
      </w:r>
      <w:r w:rsidR="00A21E2B">
        <w:tab/>
      </w:r>
      <w:r w:rsidR="00F35410" w:rsidRPr="00A01642">
        <w:t>the subcarrier spacing of the two SSBs are also the same.</w:t>
      </w:r>
    </w:p>
    <w:p w14:paraId="1D5919DA" w14:textId="4C88A39E" w:rsidR="00E72C7B" w:rsidRPr="009C5807" w:rsidRDefault="00E72C7B" w:rsidP="00F35410">
      <w:pPr>
        <w:pStyle w:val="NO"/>
        <w:rPr>
          <w:lang w:eastAsia="zh-CN"/>
        </w:rPr>
      </w:pPr>
      <w:r w:rsidRPr="009C5807">
        <w:rPr>
          <w:lang w:eastAsia="zh-CN"/>
        </w:rPr>
        <w:t>Note:</w:t>
      </w:r>
      <w:r w:rsidR="00F35410" w:rsidRPr="009C5807">
        <w:rPr>
          <w:lang w:eastAsia="zh-CN"/>
        </w:rPr>
        <w:tab/>
      </w:r>
      <w:r w:rsidRPr="009C5807">
        <w:rPr>
          <w:lang w:eastAsia="zh-CN"/>
        </w:rPr>
        <w:t>For intra-frequency DAPS handover, no requirement applies if active DL and UL BWP of target cell is not confined within the active DL and UL BWP of the source cell respectively.</w:t>
      </w:r>
    </w:p>
    <w:p w14:paraId="0823811F" w14:textId="3BC65BD9" w:rsidR="00A16ED2" w:rsidRDefault="00A16ED2" w:rsidP="00A16ED2">
      <w:pPr>
        <w:pStyle w:val="NO"/>
        <w:rPr>
          <w:rFonts w:cs="v4.2.0"/>
        </w:rPr>
      </w:pPr>
      <w:r w:rsidRPr="009C5807">
        <w:rPr>
          <w:lang w:eastAsia="zh-CN"/>
        </w:rPr>
        <w:t>Note:</w:t>
      </w:r>
      <w:r w:rsidRPr="009C5807">
        <w:rPr>
          <w:lang w:eastAsia="zh-CN"/>
        </w:rPr>
        <w:tab/>
        <w:t xml:space="preserve">For inter-frequency DAPS handover, no requirement applies if </w:t>
      </w:r>
      <w:r w:rsidRPr="009C5807">
        <w:t>the BWP of target cell is overlaped with the BWP of source cell</w:t>
      </w:r>
      <w:r w:rsidRPr="009C5807">
        <w:rPr>
          <w:rFonts w:cs="v4.2.0"/>
        </w:rPr>
        <w:t xml:space="preserve"> in frequency domain.</w:t>
      </w:r>
    </w:p>
    <w:p w14:paraId="4765B668" w14:textId="6348EC6B" w:rsidR="00F35410" w:rsidRDefault="00F35410" w:rsidP="00F35410">
      <w:pPr>
        <w:rPr>
          <w:rFonts w:cs="v4.2.0"/>
        </w:rPr>
      </w:pPr>
      <w:r w:rsidRPr="00A01642">
        <w:rPr>
          <w:rFonts w:cs="v4.2.0"/>
        </w:rPr>
        <w:t>An FR1 DAPS handover is synchronous if it meets the conditions in table  6.1.3.2-1, otherwise it is asynchronous</w:t>
      </w:r>
    </w:p>
    <w:p w14:paraId="5485580C" w14:textId="3160752A" w:rsidR="00C93BDA" w:rsidRPr="00A01642" w:rsidRDefault="00BB3E1D" w:rsidP="00C93BDA">
      <w:pPr>
        <w:pStyle w:val="TH"/>
      </w:pPr>
      <w:r w:rsidRPr="00A01642">
        <w:t>Table 6.1.3.2-1: Sync condition</w:t>
      </w:r>
      <w:r>
        <w:t>s</w:t>
      </w:r>
      <w:r w:rsidRPr="00A01642">
        <w:t xml:space="preserve"> for FR1 DAPS handove</w:t>
      </w:r>
      <w:r w:rsidR="00C93BDA" w:rsidRPr="00A01642">
        <w:t>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2890"/>
        <w:gridCol w:w="2845"/>
      </w:tblGrid>
      <w:tr w:rsidR="00BB3E1D" w:rsidRPr="00A01642" w14:paraId="4F809EFE" w14:textId="77777777" w:rsidTr="00302E8F">
        <w:trPr>
          <w:trHeight w:val="187"/>
          <w:jc w:val="center"/>
        </w:trPr>
        <w:tc>
          <w:tcPr>
            <w:tcW w:w="2183" w:type="dxa"/>
            <w:shd w:val="clear" w:color="auto" w:fill="auto"/>
          </w:tcPr>
          <w:p w14:paraId="57801370" w14:textId="37AFC113" w:rsidR="00BB3E1D" w:rsidRPr="00A01642" w:rsidRDefault="00BB3E1D" w:rsidP="00BB3E1D">
            <w:pPr>
              <w:pStyle w:val="TAH"/>
            </w:pPr>
            <w:r w:rsidRPr="00A01642">
              <w:t>Type of handover</w:t>
            </w:r>
          </w:p>
        </w:tc>
        <w:tc>
          <w:tcPr>
            <w:tcW w:w="2890" w:type="dxa"/>
            <w:shd w:val="clear" w:color="auto" w:fill="auto"/>
          </w:tcPr>
          <w:p w14:paraId="6776A639" w14:textId="3AF2FE28" w:rsidR="00BB3E1D" w:rsidRPr="00A01642" w:rsidRDefault="00BB3E1D" w:rsidP="00BB3E1D">
            <w:pPr>
              <w:pStyle w:val="TAH"/>
            </w:pPr>
            <w:r w:rsidRPr="00A01642">
              <w:t>Maximum receive timing difference between source and ta</w:t>
            </w:r>
            <w:r>
              <w:t>r</w:t>
            </w:r>
            <w:r w:rsidRPr="00A01642">
              <w:t>get cell (µs) for sync DAPS handover</w:t>
            </w:r>
          </w:p>
        </w:tc>
        <w:tc>
          <w:tcPr>
            <w:tcW w:w="2845" w:type="dxa"/>
          </w:tcPr>
          <w:p w14:paraId="4DD3C02F" w14:textId="6D0DF749" w:rsidR="00BB3E1D" w:rsidRPr="00A01642" w:rsidRDefault="00BB3E1D" w:rsidP="00BB3E1D">
            <w:pPr>
              <w:pStyle w:val="TAH"/>
            </w:pPr>
            <w:r w:rsidRPr="00A01642">
              <w:t>Maximum transmit timing difference between source and ta</w:t>
            </w:r>
            <w:r>
              <w:t>r</w:t>
            </w:r>
            <w:r w:rsidRPr="00A01642">
              <w:t>get cell (µs)</w:t>
            </w:r>
            <w:r>
              <w:t xml:space="preserve"> for</w:t>
            </w:r>
            <w:r w:rsidRPr="00A01642">
              <w:t xml:space="preserve"> sync DAPS handover</w:t>
            </w:r>
          </w:p>
        </w:tc>
      </w:tr>
      <w:tr w:rsidR="00F35410" w:rsidRPr="00A01642" w14:paraId="4152A196" w14:textId="77777777" w:rsidTr="00302E8F">
        <w:trPr>
          <w:trHeight w:val="187"/>
          <w:jc w:val="center"/>
        </w:trPr>
        <w:tc>
          <w:tcPr>
            <w:tcW w:w="2183" w:type="dxa"/>
            <w:shd w:val="clear" w:color="auto" w:fill="auto"/>
          </w:tcPr>
          <w:p w14:paraId="146060E6" w14:textId="5267E5A9" w:rsidR="00F35410" w:rsidRPr="00A01642" w:rsidRDefault="00F35410" w:rsidP="00F35410">
            <w:pPr>
              <w:pStyle w:val="TAL"/>
            </w:pPr>
            <w:r w:rsidRPr="00A01642">
              <w:t>Intra-frequency</w:t>
            </w:r>
            <w:r w:rsidRPr="00734785">
              <w:rPr>
                <w:vertAlign w:val="superscript"/>
              </w:rPr>
              <w:t>Note 1</w:t>
            </w:r>
            <w:r w:rsidRPr="00A01642">
              <w:rPr>
                <w:vertAlign w:val="superscript"/>
              </w:rPr>
              <w:t>,2,3</w:t>
            </w:r>
          </w:p>
        </w:tc>
        <w:tc>
          <w:tcPr>
            <w:tcW w:w="2890" w:type="dxa"/>
            <w:shd w:val="clear" w:color="auto" w:fill="auto"/>
          </w:tcPr>
          <w:p w14:paraId="50721D3D" w14:textId="77777777" w:rsidR="00F35410" w:rsidRPr="00A01642" w:rsidRDefault="00F35410" w:rsidP="00C93BDA">
            <w:pPr>
              <w:pStyle w:val="TAC"/>
            </w:pPr>
            <w:r w:rsidRPr="00734785">
              <w:t>6</w:t>
            </w:r>
            <w:r w:rsidRPr="00734785">
              <w:rPr>
                <w:rFonts w:cs="Arial"/>
              </w:rPr>
              <w:t>µ</w:t>
            </w:r>
            <w:r w:rsidRPr="00734785">
              <w:t>s</w:t>
            </w:r>
          </w:p>
        </w:tc>
        <w:tc>
          <w:tcPr>
            <w:tcW w:w="2845" w:type="dxa"/>
          </w:tcPr>
          <w:p w14:paraId="44D88427" w14:textId="77777777" w:rsidR="00F35410" w:rsidRPr="00A01642" w:rsidRDefault="00F35410" w:rsidP="00C93BDA">
            <w:pPr>
              <w:pStyle w:val="TAC"/>
            </w:pPr>
            <w:r w:rsidRPr="00734785">
              <w:t>7.6</w:t>
            </w:r>
            <w:r w:rsidRPr="00734785">
              <w:rPr>
                <w:rFonts w:cs="Arial"/>
              </w:rPr>
              <w:t xml:space="preserve"> µ</w:t>
            </w:r>
            <w:r w:rsidRPr="00734785">
              <w:t>s</w:t>
            </w:r>
            <w:r w:rsidRPr="00734785" w:rsidDel="004C3269">
              <w:t xml:space="preserve"> </w:t>
            </w:r>
          </w:p>
        </w:tc>
      </w:tr>
      <w:tr w:rsidR="00F35410" w:rsidRPr="00A01642" w14:paraId="1FC70190" w14:textId="77777777" w:rsidTr="00302E8F">
        <w:trPr>
          <w:trHeight w:val="187"/>
          <w:jc w:val="center"/>
        </w:trPr>
        <w:tc>
          <w:tcPr>
            <w:tcW w:w="2183" w:type="dxa"/>
            <w:shd w:val="clear" w:color="auto" w:fill="auto"/>
          </w:tcPr>
          <w:p w14:paraId="1A0DD408" w14:textId="77777777" w:rsidR="00F35410" w:rsidRPr="00A01642" w:rsidRDefault="00F35410" w:rsidP="00F35410">
            <w:pPr>
              <w:pStyle w:val="TAL"/>
            </w:pPr>
            <w:r w:rsidRPr="00A01642">
              <w:t>Intra-band inter-frequency</w:t>
            </w:r>
            <w:r w:rsidRPr="00A01642">
              <w:rPr>
                <w:vertAlign w:val="superscript"/>
              </w:rPr>
              <w:t xml:space="preserve"> Note 1,2,3</w:t>
            </w:r>
          </w:p>
        </w:tc>
        <w:tc>
          <w:tcPr>
            <w:tcW w:w="2890" w:type="dxa"/>
            <w:shd w:val="clear" w:color="auto" w:fill="auto"/>
          </w:tcPr>
          <w:p w14:paraId="1F8BF6E6" w14:textId="77777777" w:rsidR="00F35410" w:rsidRPr="00A01642" w:rsidRDefault="00F35410" w:rsidP="00C93BDA">
            <w:pPr>
              <w:pStyle w:val="TAC"/>
            </w:pPr>
            <w:r w:rsidRPr="00734785">
              <w:t>6</w:t>
            </w:r>
            <w:r w:rsidRPr="00734785">
              <w:rPr>
                <w:rFonts w:cs="Arial"/>
              </w:rPr>
              <w:t>µ</w:t>
            </w:r>
            <w:r w:rsidRPr="00734785">
              <w:t>s</w:t>
            </w:r>
          </w:p>
        </w:tc>
        <w:tc>
          <w:tcPr>
            <w:tcW w:w="2845" w:type="dxa"/>
          </w:tcPr>
          <w:p w14:paraId="578B8DAD" w14:textId="77777777" w:rsidR="00F35410" w:rsidRPr="00A01642" w:rsidRDefault="00F35410" w:rsidP="00C93BDA">
            <w:pPr>
              <w:pStyle w:val="TAC"/>
            </w:pPr>
            <w:r w:rsidRPr="00734785">
              <w:t>7.6</w:t>
            </w:r>
            <w:r w:rsidRPr="00734785">
              <w:rPr>
                <w:rFonts w:cs="Arial"/>
              </w:rPr>
              <w:t xml:space="preserve"> µ</w:t>
            </w:r>
            <w:r w:rsidRPr="00734785">
              <w:t>s</w:t>
            </w:r>
          </w:p>
        </w:tc>
      </w:tr>
      <w:tr w:rsidR="00F35410" w:rsidRPr="00C93BDA" w14:paraId="165FE59D" w14:textId="77777777" w:rsidTr="00302E8F">
        <w:trPr>
          <w:trHeight w:val="187"/>
          <w:jc w:val="center"/>
        </w:trPr>
        <w:tc>
          <w:tcPr>
            <w:tcW w:w="2183" w:type="dxa"/>
            <w:shd w:val="clear" w:color="auto" w:fill="auto"/>
          </w:tcPr>
          <w:p w14:paraId="3093B161" w14:textId="77777777" w:rsidR="00F35410" w:rsidRPr="00A01642" w:rsidRDefault="00F35410" w:rsidP="00F35410">
            <w:pPr>
              <w:pStyle w:val="TAL"/>
            </w:pPr>
            <w:r w:rsidRPr="00A01642">
              <w:t>Inter-band inter-frequency</w:t>
            </w:r>
          </w:p>
        </w:tc>
        <w:tc>
          <w:tcPr>
            <w:tcW w:w="2890" w:type="dxa"/>
            <w:shd w:val="clear" w:color="auto" w:fill="auto"/>
          </w:tcPr>
          <w:p w14:paraId="2D089554" w14:textId="77777777" w:rsidR="00F35410" w:rsidRPr="00A01642" w:rsidRDefault="00F35410" w:rsidP="00C93BDA">
            <w:pPr>
              <w:pStyle w:val="TAC"/>
            </w:pPr>
            <w:r w:rsidRPr="00A01642">
              <w:t>33</w:t>
            </w:r>
            <w:r w:rsidRPr="00A01642">
              <w:rPr>
                <w:rFonts w:cs="Arial"/>
              </w:rPr>
              <w:t xml:space="preserve"> µ</w:t>
            </w:r>
            <w:r w:rsidRPr="00A01642">
              <w:t>s</w:t>
            </w:r>
          </w:p>
        </w:tc>
        <w:tc>
          <w:tcPr>
            <w:tcW w:w="2845" w:type="dxa"/>
          </w:tcPr>
          <w:p w14:paraId="3D558F1B" w14:textId="77777777" w:rsidR="00F35410" w:rsidRPr="00A01642" w:rsidRDefault="00F35410" w:rsidP="00C93BDA">
            <w:pPr>
              <w:pStyle w:val="TAC"/>
            </w:pPr>
            <w:r w:rsidRPr="00A01642">
              <w:t>34.6</w:t>
            </w:r>
            <w:r w:rsidRPr="00A01642">
              <w:rPr>
                <w:rFonts w:cs="Arial"/>
              </w:rPr>
              <w:t xml:space="preserve"> µ</w:t>
            </w:r>
            <w:r w:rsidRPr="00A01642">
              <w:t>s</w:t>
            </w:r>
          </w:p>
        </w:tc>
      </w:tr>
      <w:tr w:rsidR="00F35410" w:rsidRPr="00A01642" w14:paraId="673642CC" w14:textId="77777777" w:rsidTr="00302E8F">
        <w:trPr>
          <w:trHeight w:val="187"/>
          <w:jc w:val="center"/>
        </w:trPr>
        <w:tc>
          <w:tcPr>
            <w:tcW w:w="7918" w:type="dxa"/>
            <w:gridSpan w:val="3"/>
            <w:shd w:val="clear" w:color="auto" w:fill="auto"/>
          </w:tcPr>
          <w:p w14:paraId="251274D4" w14:textId="77777777" w:rsidR="00BB3E1D" w:rsidRPr="008944BB" w:rsidRDefault="00BB3E1D" w:rsidP="00BB3E1D">
            <w:pPr>
              <w:pStyle w:val="TAN"/>
              <w:rPr>
                <w:lang w:val="en-US"/>
              </w:rPr>
            </w:pPr>
            <w:r>
              <w:t>Note 1:</w:t>
            </w:r>
            <w:r>
              <w:rPr>
                <w:lang w:eastAsia="zh-CN"/>
              </w:rPr>
              <w:tab/>
              <w:t>For synchonous DAPS handover, i</w:t>
            </w:r>
            <w:r>
              <w:rPr>
                <w:lang w:val="en-US"/>
              </w:rPr>
              <w:t>f the receive time difference exceeds the cyclic prefix length of that SCS, demodulation performance degradation is expected for the first symbol of the slot.</w:t>
            </w:r>
            <w:bookmarkStart w:id="100" w:name="OLE_LINK194"/>
            <w:bookmarkStart w:id="101" w:name="OLE_LINK193"/>
            <w:r>
              <w:rPr>
                <w:lang w:val="en-US"/>
              </w:rPr>
              <w:t xml:space="preserve"> For asynchronous DAPS handover, if the receive time difference exceeds the cyclic prefix length of that SCS, interruptions may occur depending on UE implementation. The duration and frequency of occurrence of such interruptions is not specified.</w:t>
            </w:r>
            <w:bookmarkEnd w:id="100"/>
            <w:bookmarkEnd w:id="101"/>
            <w:r>
              <w:rPr>
                <w:lang w:val="en-US"/>
              </w:rPr>
              <w:t xml:space="preserve"> </w:t>
            </w:r>
          </w:p>
          <w:p w14:paraId="5018C028" w14:textId="18719E8C" w:rsidR="00BB3E1D" w:rsidRPr="00A01642" w:rsidRDefault="00BB3E1D" w:rsidP="00BB3E1D">
            <w:pPr>
              <w:pStyle w:val="TAN"/>
            </w:pPr>
            <w:r w:rsidRPr="00A01642">
              <w:rPr>
                <w:lang w:val="en-US"/>
              </w:rPr>
              <w:t>Note 2:</w:t>
            </w:r>
            <w:r w:rsidRPr="009C5807">
              <w:rPr>
                <w:lang w:eastAsia="zh-CN"/>
              </w:rPr>
              <w:tab/>
            </w:r>
            <w:r>
              <w:rPr>
                <w:lang w:eastAsia="zh-CN"/>
              </w:rPr>
              <w:t>For DAPS handover on a TDD band,</w:t>
            </w:r>
            <w:r w:rsidRPr="00A01642">
              <w:rPr>
                <w:lang w:val="en-US"/>
              </w:rPr>
              <w:t xml:space="preserve"> </w:t>
            </w:r>
            <w:r w:rsidR="00740A4E">
              <w:rPr>
                <w:lang w:val="en-US"/>
              </w:rPr>
              <w:t xml:space="preserve">after starting RACH procedure, </w:t>
            </w:r>
            <w:r>
              <w:rPr>
                <w:lang w:val="en-US"/>
              </w:rPr>
              <w:t>a</w:t>
            </w:r>
            <w:r w:rsidRPr="00A01642">
              <w:rPr>
                <w:lang w:val="en-US"/>
              </w:rPr>
              <w:t xml:space="preserve"> UE is not </w:t>
            </w:r>
            <w:r w:rsidR="00740A4E">
              <w:rPr>
                <w:rFonts w:hint="eastAsia"/>
                <w:lang w:val="en-US" w:eastAsia="zh-CN"/>
              </w:rPr>
              <w:t>required</w:t>
            </w:r>
            <w:r w:rsidRPr="00A01642">
              <w:rPr>
                <w:lang w:val="en-US"/>
              </w:rPr>
              <w:t xml:space="preserve"> to transmit in the uplink </w:t>
            </w:r>
            <w:r w:rsidR="00740A4E">
              <w:rPr>
                <w:lang w:val="en-US"/>
              </w:rPr>
              <w:t xml:space="preserve">to any of source and target cells </w:t>
            </w:r>
            <w:r w:rsidRPr="00A01642">
              <w:rPr>
                <w:lang w:val="en-US"/>
              </w:rPr>
              <w:t>earlier than N</w:t>
            </w:r>
            <w:r w:rsidRPr="00734785">
              <w:rPr>
                <w:vertAlign w:val="subscript"/>
                <w:lang w:val="en-US"/>
              </w:rPr>
              <w:t>RX-TX</w:t>
            </w:r>
            <w:r w:rsidRPr="00A01642">
              <w:rPr>
                <w:vertAlign w:val="subscript"/>
                <w:lang w:val="en-US"/>
              </w:rPr>
              <w:t xml:space="preserve"> </w:t>
            </w:r>
            <w:r w:rsidRPr="00A01642">
              <w:rPr>
                <w:lang w:val="en-US"/>
              </w:rPr>
              <w:t>after the end of the last received downlink symbol</w:t>
            </w:r>
            <w:r w:rsidR="00740A4E">
              <w:rPr>
                <w:lang w:val="en-US"/>
              </w:rPr>
              <w:t xml:space="preserve"> from any of source and target cells</w:t>
            </w:r>
            <w:r w:rsidRPr="00A01642">
              <w:rPr>
                <w:lang w:val="en-US"/>
              </w:rPr>
              <w:t xml:space="preserve"> in the same </w:t>
            </w:r>
            <w:r w:rsidR="00740A4E">
              <w:rPr>
                <w:lang w:val="en-US"/>
              </w:rPr>
              <w:t>TDD band</w:t>
            </w:r>
            <w:r w:rsidRPr="00A01642">
              <w:rPr>
                <w:lang w:val="en-US"/>
              </w:rPr>
              <w:t xml:space="preserve"> where N</w:t>
            </w:r>
            <w:r w:rsidRPr="00A01642">
              <w:rPr>
                <w:vertAlign w:val="subscript"/>
                <w:lang w:val="en-US"/>
              </w:rPr>
              <w:t>RX-TX</w:t>
            </w:r>
            <w:r w:rsidRPr="00A01642">
              <w:rPr>
                <w:lang w:val="en-US"/>
              </w:rPr>
              <w:t>=</w:t>
            </w:r>
            <w:r>
              <w:rPr>
                <w:lang w:val="en-US"/>
              </w:rPr>
              <w:t>25600</w:t>
            </w:r>
            <w:r w:rsidRPr="00A01642">
              <w:rPr>
                <w:lang w:val="en-US"/>
              </w:rPr>
              <w:t xml:space="preserve">Tc. </w:t>
            </w:r>
          </w:p>
          <w:p w14:paraId="3AB25A12" w14:textId="6C8067D7" w:rsidR="00F35410" w:rsidRPr="00A01642" w:rsidRDefault="00BB3E1D" w:rsidP="00BB3E1D">
            <w:pPr>
              <w:pStyle w:val="TAN"/>
            </w:pPr>
            <w:r w:rsidRPr="00A01642">
              <w:rPr>
                <w:lang w:val="en-US"/>
              </w:rPr>
              <w:t>Note 3:</w:t>
            </w:r>
            <w:r w:rsidRPr="009C5807">
              <w:rPr>
                <w:lang w:eastAsia="zh-CN"/>
              </w:rPr>
              <w:tab/>
            </w:r>
            <w:r>
              <w:rPr>
                <w:lang w:eastAsia="zh-CN"/>
              </w:rPr>
              <w:t>For DAPS handover on a TDD band,</w:t>
            </w:r>
            <w:r w:rsidRPr="00A01642">
              <w:rPr>
                <w:lang w:val="en-US"/>
              </w:rPr>
              <w:t xml:space="preserve"> </w:t>
            </w:r>
            <w:r w:rsidR="00740A4E">
              <w:rPr>
                <w:lang w:val="en-US"/>
              </w:rPr>
              <w:t xml:space="preserve">after starting RACH procedure, </w:t>
            </w:r>
            <w:r>
              <w:rPr>
                <w:lang w:val="en-US"/>
              </w:rPr>
              <w:t>a</w:t>
            </w:r>
            <w:r w:rsidRPr="00A01642">
              <w:rPr>
                <w:lang w:val="en-US"/>
              </w:rPr>
              <w:t xml:space="preserve"> UE is not </w:t>
            </w:r>
            <w:r w:rsidR="00740A4E">
              <w:rPr>
                <w:rFonts w:hint="eastAsia"/>
                <w:lang w:val="en-US" w:eastAsia="zh-CN"/>
              </w:rPr>
              <w:t>required</w:t>
            </w:r>
            <w:r w:rsidRPr="00A01642">
              <w:rPr>
                <w:lang w:val="en-US"/>
              </w:rPr>
              <w:t xml:space="preserve"> to receive in the downlink </w:t>
            </w:r>
            <w:r w:rsidR="00740A4E">
              <w:rPr>
                <w:lang w:val="en-US"/>
              </w:rPr>
              <w:t>from any of source and target cells</w:t>
            </w:r>
            <w:r w:rsidR="00740A4E" w:rsidRPr="00A01642">
              <w:rPr>
                <w:lang w:val="en-US"/>
              </w:rPr>
              <w:t xml:space="preserve"> </w:t>
            </w:r>
            <w:r w:rsidRPr="00A01642">
              <w:rPr>
                <w:lang w:val="en-US"/>
              </w:rPr>
              <w:t>earlier than N</w:t>
            </w:r>
            <w:r w:rsidRPr="00A01642">
              <w:rPr>
                <w:vertAlign w:val="subscript"/>
                <w:lang w:val="en-US"/>
              </w:rPr>
              <w:t>TX-RX</w:t>
            </w:r>
            <w:r w:rsidRPr="00A01642">
              <w:rPr>
                <w:lang w:val="en-US"/>
              </w:rPr>
              <w:t xml:space="preserve"> after the end of the last transmitted uplink symbol </w:t>
            </w:r>
            <w:r w:rsidR="00740A4E">
              <w:rPr>
                <w:lang w:val="en-US"/>
              </w:rPr>
              <w:t>to any of source and target cells</w:t>
            </w:r>
            <w:r w:rsidR="00740A4E" w:rsidRPr="00A01642">
              <w:rPr>
                <w:lang w:val="en-US"/>
              </w:rPr>
              <w:t xml:space="preserve"> </w:t>
            </w:r>
            <w:r w:rsidRPr="00A01642">
              <w:rPr>
                <w:lang w:val="en-US"/>
              </w:rPr>
              <w:t xml:space="preserve">in the same </w:t>
            </w:r>
            <w:r w:rsidR="00740A4E">
              <w:rPr>
                <w:lang w:val="en-US"/>
              </w:rPr>
              <w:t>TDD band</w:t>
            </w:r>
            <w:r w:rsidRPr="00A01642">
              <w:rPr>
                <w:lang w:val="en-US"/>
              </w:rPr>
              <w:t xml:space="preserve"> where N</w:t>
            </w:r>
            <w:r w:rsidRPr="00A01642">
              <w:rPr>
                <w:vertAlign w:val="subscript"/>
                <w:lang w:val="en-US"/>
              </w:rPr>
              <w:t>TX-RX</w:t>
            </w:r>
            <w:r w:rsidRPr="00A01642">
              <w:rPr>
                <w:lang w:val="en-US"/>
              </w:rPr>
              <w:t>=</w:t>
            </w:r>
            <w:r>
              <w:rPr>
                <w:lang w:val="en-US"/>
              </w:rPr>
              <w:t>25600</w:t>
            </w:r>
            <w:r w:rsidRPr="00A01642">
              <w:rPr>
                <w:lang w:val="en-US"/>
              </w:rPr>
              <w:t>Tc.</w:t>
            </w:r>
          </w:p>
        </w:tc>
      </w:tr>
    </w:tbl>
    <w:p w14:paraId="7FA2C2AC" w14:textId="77777777" w:rsidR="00F35410" w:rsidRPr="00F35410" w:rsidRDefault="00F35410" w:rsidP="00F35410">
      <w:pPr>
        <w:rPr>
          <w:rFonts w:cs="v4.2.0"/>
        </w:rPr>
      </w:pPr>
    </w:p>
    <w:p w14:paraId="34212F91" w14:textId="77777777" w:rsidR="00E72C7B" w:rsidRPr="009C5807" w:rsidRDefault="00E72C7B" w:rsidP="00E72C7B">
      <w:pPr>
        <w:pStyle w:val="Heading5"/>
      </w:pPr>
      <w:r w:rsidRPr="009C5807">
        <w:t>6.1.3.2.1</w:t>
      </w:r>
      <w:r w:rsidRPr="009C5807">
        <w:tab/>
        <w:t>DAPS handover delay</w:t>
      </w:r>
    </w:p>
    <w:p w14:paraId="782A92D5" w14:textId="77777777" w:rsidR="00E72C7B" w:rsidRPr="009C5807" w:rsidRDefault="00E72C7B" w:rsidP="00E72C7B">
      <w:pPr>
        <w:rPr>
          <w:rFonts w:cs="v4.2.0"/>
        </w:rPr>
      </w:pPr>
      <w:r w:rsidRPr="009C5807">
        <w:rPr>
          <w:rFonts w:cs="v4.2.0"/>
        </w:rPr>
        <w:t xml:space="preserve">Procedure delays for the procedure that can command a DAPS handover are specified in </w:t>
      </w:r>
      <w:r w:rsidRPr="009C5807">
        <w:t>TS 38.331 [2]</w:t>
      </w:r>
      <w:r w:rsidRPr="009C5807">
        <w:rPr>
          <w:rFonts w:cs="v4.2.0"/>
        </w:rPr>
        <w:t>.</w:t>
      </w:r>
    </w:p>
    <w:p w14:paraId="144FE852" w14:textId="77777777" w:rsidR="00E72C7B" w:rsidRPr="009C5807" w:rsidRDefault="00E72C7B" w:rsidP="00E72C7B">
      <w:pPr>
        <w:rPr>
          <w:rFonts w:cs="v4.2.0"/>
        </w:rPr>
      </w:pPr>
      <w:r w:rsidRPr="009C5807">
        <w:rPr>
          <w:rFonts w:cs="v4.2.0"/>
        </w:rPr>
        <w:t xml:space="preserve">When the UE receives a RRC message implying handover, the UE shall be ready to </w:t>
      </w:r>
      <w:r w:rsidRPr="009C5807">
        <w:rPr>
          <w:rFonts w:cs="v4.2.0"/>
          <w:snapToGrid w:val="0"/>
        </w:rPr>
        <w:t>start the transmission of the new uplink PRACH channel</w:t>
      </w:r>
      <w:r w:rsidRPr="009C5807">
        <w:rPr>
          <w:rFonts w:cs="v4.2.0"/>
        </w:rPr>
        <w:t xml:space="preserve"> within D</w:t>
      </w:r>
      <w:r w:rsidRPr="009C5807">
        <w:rPr>
          <w:rFonts w:cs="v4.2.0"/>
          <w:vertAlign w:val="subscript"/>
        </w:rPr>
        <w:t>handover1</w:t>
      </w:r>
      <w:r w:rsidRPr="009C5807">
        <w:rPr>
          <w:rFonts w:cs="v4.2.0"/>
        </w:rPr>
        <w:t xml:space="preserve"> seconds from the end of the last TTI containing the RRC command</w:t>
      </w:r>
      <w:r w:rsidRPr="009C5807">
        <w:rPr>
          <w:rFonts w:hint="eastAsia"/>
          <w:lang w:eastAsia="zh-CN"/>
        </w:rPr>
        <w:t xml:space="preserve"> when UE is configured with </w:t>
      </w:r>
      <w:r w:rsidRPr="009C5807">
        <w:rPr>
          <w:lang w:eastAsia="zh-CN"/>
        </w:rPr>
        <w:t>dual active protocol stack</w:t>
      </w:r>
      <w:r w:rsidRPr="009C5807">
        <w:rPr>
          <w:rFonts w:hint="eastAsia"/>
          <w:lang w:eastAsia="zh-CN"/>
        </w:rPr>
        <w:t xml:space="preserve"> handover</w:t>
      </w:r>
      <w:r w:rsidRPr="009C5807">
        <w:rPr>
          <w:rFonts w:cs="v4.2.0"/>
        </w:rPr>
        <w:t>.</w:t>
      </w:r>
    </w:p>
    <w:p w14:paraId="58905DD7" w14:textId="77777777" w:rsidR="00E72C7B" w:rsidRPr="009C5807" w:rsidRDefault="00E72C7B" w:rsidP="00E72C7B">
      <w:pPr>
        <w:pStyle w:val="EQ"/>
      </w:pPr>
      <w:r w:rsidRPr="009C5807">
        <w:tab/>
      </w:r>
      <w:r w:rsidRPr="009C5807">
        <w:rPr>
          <w:rFonts w:cs="v4.2.0"/>
        </w:rPr>
        <w:t>D</w:t>
      </w:r>
      <w:r w:rsidRPr="009C5807">
        <w:rPr>
          <w:rFonts w:cs="v4.2.0"/>
          <w:vertAlign w:val="subscript"/>
        </w:rPr>
        <w:t>handover1</w:t>
      </w:r>
      <w:r w:rsidRPr="009C5807">
        <w:t xml:space="preserve"> = </w:t>
      </w:r>
      <w:r w:rsidRPr="009C5807">
        <w:rPr>
          <w:rFonts w:cs="v4.2.0"/>
          <w:iCs/>
        </w:rPr>
        <w:t>T</w:t>
      </w:r>
      <w:r w:rsidRPr="009C5807">
        <w:rPr>
          <w:rFonts w:cs="v4.2.0"/>
          <w:iCs/>
          <w:vertAlign w:val="subscript"/>
        </w:rPr>
        <w:t>RRC_procedure</w:t>
      </w:r>
      <w:r w:rsidRPr="009C5807">
        <w:t xml:space="preserve"> + T</w:t>
      </w:r>
      <w:r w:rsidRPr="009C5807">
        <w:rPr>
          <w:vertAlign w:val="subscript"/>
        </w:rPr>
        <w:t>search</w:t>
      </w:r>
      <w:r w:rsidRPr="009C5807">
        <w:t xml:space="preserve"> + T</w:t>
      </w:r>
      <w:r w:rsidRPr="009C5807">
        <w:rPr>
          <w:vertAlign w:val="subscript"/>
        </w:rPr>
        <w:t>IU</w:t>
      </w:r>
      <w:r w:rsidRPr="009C5807">
        <w:t xml:space="preserve"> + T</w:t>
      </w:r>
      <w:r w:rsidRPr="009C5807">
        <w:rPr>
          <w:vertAlign w:val="subscript"/>
        </w:rPr>
        <w:t>processing</w:t>
      </w:r>
      <w:r w:rsidRPr="009C5807">
        <w:t xml:space="preserve"> </w:t>
      </w:r>
      <w:r w:rsidRPr="009C5807">
        <w:rPr>
          <w:lang w:eastAsia="zh-CN"/>
        </w:rPr>
        <w:t>+ T</w:t>
      </w:r>
      <w:r w:rsidRPr="009C5807">
        <w:rPr>
          <w:vertAlign w:val="subscript"/>
          <w:lang w:eastAsia="zh-CN"/>
        </w:rPr>
        <w:t>∆</w:t>
      </w:r>
      <w:r w:rsidRPr="009C5807">
        <w:rPr>
          <w:lang w:eastAsia="zh-CN"/>
        </w:rPr>
        <w:t xml:space="preserve"> + T</w:t>
      </w:r>
      <w:r w:rsidRPr="009C5807">
        <w:rPr>
          <w:vertAlign w:val="subscript"/>
          <w:lang w:eastAsia="zh-CN"/>
        </w:rPr>
        <w:t>margin</w:t>
      </w:r>
      <w:r w:rsidRPr="009C5807">
        <w:t xml:space="preserve"> ms</w:t>
      </w:r>
    </w:p>
    <w:p w14:paraId="356CE8F5" w14:textId="77777777" w:rsidR="00E72C7B" w:rsidRPr="009C5807" w:rsidRDefault="00E72C7B" w:rsidP="00E72C7B">
      <w:pPr>
        <w:rPr>
          <w:rFonts w:cs="v4.2.0"/>
        </w:rPr>
      </w:pPr>
      <w:r w:rsidRPr="009C5807">
        <w:rPr>
          <w:rFonts w:cs="v4.2.0"/>
        </w:rPr>
        <w:t>Where:</w:t>
      </w:r>
    </w:p>
    <w:p w14:paraId="2E31CF67" w14:textId="2E866CC9" w:rsidR="00E72C7B" w:rsidRPr="009C5807" w:rsidRDefault="00231BA1" w:rsidP="001741D7">
      <w:pPr>
        <w:pStyle w:val="B10"/>
      </w:pPr>
      <w:r>
        <w:rPr>
          <w:iCs/>
        </w:rPr>
        <w:tab/>
      </w:r>
      <w:r w:rsidR="00E72C7B" w:rsidRPr="009C5807">
        <w:rPr>
          <w:iCs/>
        </w:rPr>
        <w:t>T</w:t>
      </w:r>
      <w:r w:rsidR="00E72C7B" w:rsidRPr="009C5807">
        <w:rPr>
          <w:iCs/>
          <w:vertAlign w:val="subscript"/>
        </w:rPr>
        <w:t>RRC_procedure</w:t>
      </w:r>
      <w:r w:rsidR="00E72C7B" w:rsidRPr="009C5807">
        <w:t xml:space="preserve"> is the </w:t>
      </w:r>
      <w:r w:rsidR="00E72C7B" w:rsidRPr="009C5807">
        <w:rPr>
          <w:rFonts w:eastAsia="MS Mincho"/>
        </w:rPr>
        <w:t>maximum</w:t>
      </w:r>
      <w:r w:rsidR="00E72C7B" w:rsidRPr="009C5807">
        <w:t xml:space="preserve"> RRC procedure delay as </w:t>
      </w:r>
      <w:r w:rsidR="00E72C7B" w:rsidRPr="009C5807">
        <w:rPr>
          <w:rFonts w:ascii="Tms Rmn" w:eastAsia="MS Mincho" w:hAnsi="Tms Rmn"/>
        </w:rPr>
        <w:t xml:space="preserve">specified </w:t>
      </w:r>
      <w:r w:rsidR="00E72C7B" w:rsidRPr="009C5807">
        <w:t>in clause </w:t>
      </w:r>
      <w:r w:rsidR="00E72C7B" w:rsidRPr="009C5807">
        <w:rPr>
          <w:lang w:eastAsia="zh-CN"/>
        </w:rPr>
        <w:t>12</w:t>
      </w:r>
      <w:r w:rsidR="00E72C7B" w:rsidRPr="009C5807">
        <w:t xml:space="preserve"> in TS 38.331 [2].</w:t>
      </w:r>
    </w:p>
    <w:p w14:paraId="47EE786F" w14:textId="76081F0D" w:rsidR="00E72C7B" w:rsidRPr="009C5807" w:rsidRDefault="00231BA1" w:rsidP="001741D7">
      <w:pPr>
        <w:pStyle w:val="B10"/>
      </w:pPr>
      <w:r>
        <w:tab/>
      </w:r>
      <w:r w:rsidR="00E72C7B" w:rsidRPr="009C5807">
        <w:t>T</w:t>
      </w:r>
      <w:r w:rsidR="00E72C7B" w:rsidRPr="009C5807">
        <w:rPr>
          <w:vertAlign w:val="subscript"/>
        </w:rPr>
        <w:t>search</w:t>
      </w:r>
      <w:r w:rsidR="00E72C7B" w:rsidRPr="009C5807">
        <w:t>, T</w:t>
      </w:r>
      <w:r w:rsidR="00E72C7B" w:rsidRPr="009C5807">
        <w:rPr>
          <w:vertAlign w:val="subscript"/>
        </w:rPr>
        <w:t>IU</w:t>
      </w:r>
      <w:r w:rsidR="00E72C7B" w:rsidRPr="009C5807">
        <w:t>, T</w:t>
      </w:r>
      <w:r w:rsidR="00E72C7B" w:rsidRPr="009C5807">
        <w:rPr>
          <w:vertAlign w:val="subscript"/>
        </w:rPr>
        <w:t>processing</w:t>
      </w:r>
      <w:r w:rsidR="00E72C7B" w:rsidRPr="009C5807">
        <w:rPr>
          <w:lang w:eastAsia="zh-CN"/>
        </w:rPr>
        <w:t>, T</w:t>
      </w:r>
      <w:r w:rsidR="00E72C7B" w:rsidRPr="009C5807">
        <w:rPr>
          <w:vertAlign w:val="subscript"/>
          <w:lang w:eastAsia="zh-CN"/>
        </w:rPr>
        <w:t>∆</w:t>
      </w:r>
      <w:r w:rsidR="00E72C7B" w:rsidRPr="009C5807">
        <w:rPr>
          <w:lang w:eastAsia="zh-CN"/>
        </w:rPr>
        <w:t xml:space="preserve"> and T</w:t>
      </w:r>
      <w:r w:rsidR="00E72C7B" w:rsidRPr="009C5807">
        <w:rPr>
          <w:vertAlign w:val="subscript"/>
          <w:lang w:eastAsia="zh-CN"/>
        </w:rPr>
        <w:t>margin</w:t>
      </w:r>
      <w:r w:rsidR="00E72C7B" w:rsidRPr="009C5807">
        <w:t xml:space="preserve"> are defined in clause 6.1.1.2.2.</w:t>
      </w:r>
    </w:p>
    <w:p w14:paraId="228F283F" w14:textId="43BE704B" w:rsidR="00E72C7B" w:rsidRPr="009C5807" w:rsidRDefault="00E72C7B" w:rsidP="00E72C7B">
      <w:pPr>
        <w:rPr>
          <w:rFonts w:cs="v4.2.0"/>
        </w:rPr>
      </w:pPr>
      <w:r w:rsidRPr="009C5807">
        <w:rPr>
          <w:rFonts w:cs="v4.2.0"/>
        </w:rPr>
        <w:t>After successful RACH procedure of the target cell, when the UE receives a</w:t>
      </w:r>
      <w:r w:rsidR="00F35410" w:rsidRPr="00A01642">
        <w:rPr>
          <w:rFonts w:cs="v4.2.0"/>
        </w:rPr>
        <w:t xml:space="preserve">n RRC </w:t>
      </w:r>
      <w:r w:rsidRPr="009C5807">
        <w:rPr>
          <w:rFonts w:cs="v4.2.0"/>
        </w:rPr>
        <w:t xml:space="preserve">message implying source cell release command, </w:t>
      </w:r>
      <w:r w:rsidRPr="009C5807">
        <w:rPr>
          <w:lang w:eastAsia="ko-KR"/>
        </w:rPr>
        <w:t xml:space="preserve">the UE shall accomplish the release actions specified in </w:t>
      </w:r>
      <w:r w:rsidRPr="009C5807">
        <w:t>TS 38.331 </w:t>
      </w:r>
      <w:r w:rsidRPr="009C5807">
        <w:rPr>
          <w:lang w:eastAsia="ko-KR"/>
        </w:rPr>
        <w:t xml:space="preserve">[2] within </w:t>
      </w:r>
      <w:r w:rsidRPr="009C5807">
        <w:rPr>
          <w:rFonts w:cs="v4.2.0"/>
        </w:rPr>
        <w:t>D</w:t>
      </w:r>
      <w:r w:rsidRPr="009C5807">
        <w:rPr>
          <w:rFonts w:cs="v4.2.0"/>
          <w:vertAlign w:val="subscript"/>
        </w:rPr>
        <w:t>handover2</w:t>
      </w:r>
      <w:r w:rsidRPr="009C5807">
        <w:rPr>
          <w:rFonts w:cs="v4.2.0"/>
        </w:rPr>
        <w:t>.</w:t>
      </w:r>
    </w:p>
    <w:p w14:paraId="6907BE45" w14:textId="309C333B" w:rsidR="00E72C7B" w:rsidRPr="009C5807" w:rsidRDefault="00231BA1" w:rsidP="001741D7">
      <w:pPr>
        <w:pStyle w:val="B10"/>
      </w:pPr>
      <w:r>
        <w:tab/>
      </w:r>
      <w:r w:rsidR="00E72C7B" w:rsidRPr="009C5807">
        <w:t>D</w:t>
      </w:r>
      <w:r w:rsidR="00E72C7B" w:rsidRPr="009C5807">
        <w:rPr>
          <w:vertAlign w:val="subscript"/>
        </w:rPr>
        <w:t>handover2</w:t>
      </w:r>
      <w:r w:rsidR="00E72C7B" w:rsidRPr="009C5807">
        <w:t xml:space="preserve"> = </w:t>
      </w:r>
      <w:r w:rsidR="00E72C7B" w:rsidRPr="009C5807">
        <w:rPr>
          <w:iCs/>
        </w:rPr>
        <w:t>T</w:t>
      </w:r>
      <w:r w:rsidR="00E72C7B" w:rsidRPr="009C5807">
        <w:rPr>
          <w:iCs/>
          <w:vertAlign w:val="subscript"/>
        </w:rPr>
        <w:t>RRC_procedure</w:t>
      </w:r>
      <w:r w:rsidR="00E72C7B" w:rsidRPr="009C5807">
        <w:t>+ T</w:t>
      </w:r>
      <w:r w:rsidR="00E72C7B" w:rsidRPr="009C5807">
        <w:rPr>
          <w:vertAlign w:val="subscript"/>
        </w:rPr>
        <w:t>interrupt2</w:t>
      </w:r>
    </w:p>
    <w:p w14:paraId="691B3E8C" w14:textId="77777777" w:rsidR="00E72C7B" w:rsidRPr="009C5807" w:rsidRDefault="00E72C7B" w:rsidP="00E72C7B">
      <w:pPr>
        <w:rPr>
          <w:rFonts w:cs="v4.2.0"/>
        </w:rPr>
      </w:pPr>
      <w:r w:rsidRPr="009C5807">
        <w:rPr>
          <w:rFonts w:cs="v4.2.0"/>
        </w:rPr>
        <w:t>Where:</w:t>
      </w:r>
    </w:p>
    <w:p w14:paraId="36EECD45" w14:textId="60451F18" w:rsidR="00F35410" w:rsidRPr="00A01642" w:rsidRDefault="00231BA1" w:rsidP="00F35410">
      <w:pPr>
        <w:pStyle w:val="B10"/>
      </w:pPr>
      <w:r>
        <w:rPr>
          <w:iCs/>
        </w:rPr>
        <w:tab/>
      </w:r>
      <w:r w:rsidR="00F35410" w:rsidRPr="00A01642">
        <w:rPr>
          <w:iCs/>
        </w:rPr>
        <w:t>T</w:t>
      </w:r>
      <w:r w:rsidR="00F35410" w:rsidRPr="00A01642">
        <w:rPr>
          <w:iCs/>
          <w:vertAlign w:val="subscript"/>
        </w:rPr>
        <w:t>RRC_procedure</w:t>
      </w:r>
      <w:r w:rsidR="00F35410" w:rsidRPr="00A01642">
        <w:t xml:space="preserve"> is the RRC procedure delay as </w:t>
      </w:r>
      <w:r w:rsidR="00F35410" w:rsidRPr="00A01642">
        <w:rPr>
          <w:rFonts w:ascii="Tms Rmn" w:eastAsia="MS Mincho" w:hAnsi="Tms Rmn"/>
        </w:rPr>
        <w:t xml:space="preserve">specified </w:t>
      </w:r>
      <w:r w:rsidR="00F35410" w:rsidRPr="00A01642">
        <w:t>in clause </w:t>
      </w:r>
      <w:r w:rsidR="00F35410" w:rsidRPr="00A01642">
        <w:rPr>
          <w:lang w:eastAsia="zh-CN"/>
        </w:rPr>
        <w:t>12</w:t>
      </w:r>
      <w:r w:rsidR="00F35410" w:rsidRPr="00A01642">
        <w:t xml:space="preserve"> in TS 38.331 [2].</w:t>
      </w:r>
    </w:p>
    <w:p w14:paraId="62E221E0" w14:textId="2F39D8C4" w:rsidR="00E72C7B" w:rsidRPr="009C5807" w:rsidRDefault="00231BA1" w:rsidP="001741D7">
      <w:pPr>
        <w:pStyle w:val="B10"/>
      </w:pPr>
      <w:r>
        <w:rPr>
          <w:iCs/>
        </w:rPr>
        <w:tab/>
      </w:r>
      <w:r w:rsidR="00E72C7B" w:rsidRPr="009C5807">
        <w:rPr>
          <w:iCs/>
        </w:rPr>
        <w:t>T</w:t>
      </w:r>
      <w:r w:rsidR="00E72C7B" w:rsidRPr="009C5807">
        <w:rPr>
          <w:iCs/>
          <w:vertAlign w:val="subscript"/>
        </w:rPr>
        <w:t xml:space="preserve">interrupt2 </w:t>
      </w:r>
      <w:r w:rsidR="00E72C7B" w:rsidRPr="009C5807">
        <w:rPr>
          <w:iCs/>
        </w:rPr>
        <w:t>is</w:t>
      </w:r>
      <w:r w:rsidR="00E72C7B" w:rsidRPr="009C5807">
        <w:rPr>
          <w:rFonts w:hint="eastAsia"/>
          <w:lang w:eastAsia="zh-CN"/>
        </w:rPr>
        <w:t xml:space="preserve"> </w:t>
      </w:r>
      <w:r w:rsidR="00E72C7B" w:rsidRPr="009C5807">
        <w:t>defined in clause 6.1.3.2.2.</w:t>
      </w:r>
    </w:p>
    <w:p w14:paraId="183A82D1" w14:textId="77777777" w:rsidR="00E72C7B" w:rsidRPr="009C5807" w:rsidRDefault="00E72C7B" w:rsidP="00E72C7B">
      <w:pPr>
        <w:rPr>
          <w:rFonts w:cs="v4.2.0"/>
        </w:rPr>
      </w:pPr>
    </w:p>
    <w:p w14:paraId="17B949BF" w14:textId="77777777" w:rsidR="00E72C7B" w:rsidRPr="009C5807" w:rsidRDefault="00E72C7B" w:rsidP="00E72C7B">
      <w:pPr>
        <w:pStyle w:val="Heading5"/>
      </w:pPr>
      <w:r w:rsidRPr="009C5807">
        <w:t>6.1.3.2.2</w:t>
      </w:r>
      <w:r w:rsidRPr="009C5807">
        <w:tab/>
        <w:t>Interruption time</w:t>
      </w:r>
    </w:p>
    <w:p w14:paraId="3A4ED23E" w14:textId="77777777" w:rsidR="00E72C7B" w:rsidRPr="009C5807" w:rsidRDefault="00E72C7B" w:rsidP="00E72C7B">
      <w:pPr>
        <w:rPr>
          <w:rFonts w:cs="v4.2.0"/>
        </w:rPr>
      </w:pPr>
      <w:r w:rsidRPr="009C5807">
        <w:rPr>
          <w:rFonts w:cs="v4.2.0"/>
        </w:rPr>
        <w:t>During D</w:t>
      </w:r>
      <w:r w:rsidRPr="009C5807">
        <w:rPr>
          <w:rFonts w:cs="v4.2.0"/>
          <w:vertAlign w:val="subscript"/>
        </w:rPr>
        <w:t>handover1</w:t>
      </w:r>
      <w:r w:rsidRPr="009C5807">
        <w:rPr>
          <w:rFonts w:cs="v4.2.0"/>
          <w:lang w:eastAsia="zh-CN"/>
        </w:rPr>
        <w:t xml:space="preserve">, the UE is allowed an interruption </w:t>
      </w:r>
      <w:r w:rsidRPr="009C5807">
        <w:t>of up to</w:t>
      </w:r>
      <w:r w:rsidRPr="009C5807">
        <w:rPr>
          <w:rFonts w:cs="v4.2.0"/>
        </w:rPr>
        <w:t xml:space="preserve"> T</w:t>
      </w:r>
      <w:r w:rsidRPr="009C5807">
        <w:rPr>
          <w:rFonts w:cs="v4.2.0"/>
          <w:vertAlign w:val="subscript"/>
        </w:rPr>
        <w:t>interrupt1</w:t>
      </w:r>
      <w:r w:rsidRPr="009C5807">
        <w:t xml:space="preserve"> </w:t>
      </w:r>
      <w:r w:rsidRPr="009C5807">
        <w:rPr>
          <w:rFonts w:cs="v4.2.0"/>
          <w:lang w:eastAsia="zh-CN"/>
        </w:rPr>
        <w:t>on source cell</w:t>
      </w:r>
      <w:r w:rsidRPr="009C5807">
        <w:rPr>
          <w:rFonts w:cs="v4.2.0"/>
        </w:rPr>
        <w:t>.</w:t>
      </w:r>
    </w:p>
    <w:p w14:paraId="7CE474A7" w14:textId="77777777" w:rsidR="00E72C7B" w:rsidRPr="009C5807" w:rsidRDefault="00E72C7B" w:rsidP="00E72C7B">
      <w:pPr>
        <w:rPr>
          <w:rFonts w:cs="v4.2.0"/>
        </w:rPr>
      </w:pPr>
      <w:r w:rsidRPr="009C5807">
        <w:rPr>
          <w:rFonts w:cs="v4.2.0"/>
        </w:rPr>
        <w:t xml:space="preserve">For </w:t>
      </w:r>
      <w:r w:rsidRPr="009C5807">
        <w:t>FR1-to-FR1</w:t>
      </w:r>
      <w:r w:rsidRPr="009C5807">
        <w:rPr>
          <w:rFonts w:cs="v4.2.0"/>
        </w:rPr>
        <w:t xml:space="preserve"> intra-frequency handover, T</w:t>
      </w:r>
      <w:r w:rsidRPr="009C5807">
        <w:rPr>
          <w:rFonts w:cs="v4.2.0"/>
          <w:vertAlign w:val="subscript"/>
        </w:rPr>
        <w:t>interrupt1</w:t>
      </w:r>
      <w:r w:rsidRPr="009C5807">
        <w:rPr>
          <w:rFonts w:cs="v4.2.0"/>
        </w:rPr>
        <w:t xml:space="preserve"> is </w:t>
      </w:r>
      <w:r w:rsidRPr="009C5807">
        <w:rPr>
          <w:rFonts w:ascii="Tms Rmn" w:eastAsia="MS Mincho" w:hAnsi="Tms Rmn"/>
        </w:rPr>
        <w:t xml:space="preserve">specified </w:t>
      </w:r>
      <w:r w:rsidRPr="009C5807">
        <w:rPr>
          <w:rFonts w:cs="v4.2.0"/>
        </w:rPr>
        <w:t xml:space="preserve">in Table </w:t>
      </w:r>
      <w:r w:rsidRPr="009C5807">
        <w:t>6.1.3.2.2-1.</w:t>
      </w:r>
    </w:p>
    <w:p w14:paraId="635C2C98" w14:textId="705E0A7E" w:rsidR="00E72C7B" w:rsidRDefault="00E72C7B" w:rsidP="00E72C7B">
      <w:pPr>
        <w:pStyle w:val="TH"/>
      </w:pPr>
      <w:r w:rsidRPr="009C5807">
        <w:t>Table 6.1.3.2.2-1: T</w:t>
      </w:r>
      <w:r w:rsidRPr="009C5807">
        <w:rPr>
          <w:vertAlign w:val="subscript"/>
        </w:rPr>
        <w:t>interrupt1</w:t>
      </w:r>
      <w:r w:rsidRPr="009C5807">
        <w:t xml:space="preserve"> for FR1-to-FR1 intra-frequency DAPS HO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2552"/>
        <w:gridCol w:w="2552"/>
      </w:tblGrid>
      <w:tr w:rsidR="00F35410" w:rsidRPr="00A01642" w14:paraId="37E72437" w14:textId="77777777" w:rsidTr="003637C3">
        <w:trPr>
          <w:trHeight w:val="470"/>
          <w:jc w:val="center"/>
        </w:trPr>
        <w:tc>
          <w:tcPr>
            <w:tcW w:w="852" w:type="dxa"/>
            <w:tcBorders>
              <w:top w:val="single" w:sz="4" w:space="0" w:color="auto"/>
              <w:left w:val="single" w:sz="4" w:space="0" w:color="auto"/>
              <w:bottom w:val="single" w:sz="4" w:space="0" w:color="auto"/>
              <w:right w:val="single" w:sz="4" w:space="0" w:color="auto"/>
            </w:tcBorders>
            <w:vAlign w:val="center"/>
            <w:hideMark/>
          </w:tcPr>
          <w:p w14:paraId="4DAFC7A4" w14:textId="77777777" w:rsidR="00F35410" w:rsidRPr="00A01642" w:rsidRDefault="00F35410" w:rsidP="00F35410">
            <w:pPr>
              <w:pStyle w:val="TAH"/>
            </w:pPr>
            <w:r w:rsidRPr="00A01642">
              <w:rPr>
                <w:noProof/>
                <w:lang w:val="en-US" w:eastAsia="zh-CN"/>
              </w:rPr>
              <w:drawing>
                <wp:inline distT="0" distB="0" distL="0" distR="0" wp14:anchorId="6DA1CDD9" wp14:editId="7362F351">
                  <wp:extent cx="154305" cy="154305"/>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single" w:sz="4" w:space="0" w:color="auto"/>
              <w:right w:val="single" w:sz="4" w:space="0" w:color="auto"/>
            </w:tcBorders>
            <w:hideMark/>
          </w:tcPr>
          <w:p w14:paraId="6B8AAF0C" w14:textId="77777777" w:rsidR="00F35410" w:rsidRPr="00A01642" w:rsidRDefault="00F35410" w:rsidP="00F35410">
            <w:pPr>
              <w:pStyle w:val="TAH"/>
            </w:pPr>
            <w:r w:rsidRPr="00A01642">
              <w:t>NR Slot length (ms)</w:t>
            </w:r>
          </w:p>
        </w:tc>
        <w:tc>
          <w:tcPr>
            <w:tcW w:w="2552" w:type="dxa"/>
            <w:tcBorders>
              <w:top w:val="single" w:sz="4" w:space="0" w:color="auto"/>
              <w:left w:val="single" w:sz="4" w:space="0" w:color="auto"/>
              <w:bottom w:val="single" w:sz="4" w:space="0" w:color="auto"/>
              <w:right w:val="single" w:sz="4" w:space="0" w:color="auto"/>
            </w:tcBorders>
            <w:hideMark/>
          </w:tcPr>
          <w:p w14:paraId="426A62B5" w14:textId="56C6B70E" w:rsidR="00F35410" w:rsidRPr="00A01642" w:rsidRDefault="00F35410" w:rsidP="00F35410">
            <w:pPr>
              <w:pStyle w:val="TAH"/>
            </w:pPr>
            <w:r w:rsidRPr="00A01642">
              <w:t>Interruption length T</w:t>
            </w:r>
            <w:r w:rsidRPr="00A01642">
              <w:rPr>
                <w:vertAlign w:val="subscript"/>
              </w:rPr>
              <w:t>interrupt1</w:t>
            </w:r>
            <w:r w:rsidRPr="00A01642">
              <w:t xml:space="preserve"> (slots</w:t>
            </w:r>
            <w:r w:rsidRPr="00A01642">
              <w:rPr>
                <w:vertAlign w:val="superscript"/>
              </w:rPr>
              <w:t>Note 1</w:t>
            </w:r>
            <w:r w:rsidRPr="00A01642">
              <w:t>), synchronous DAPS HO</w:t>
            </w:r>
          </w:p>
        </w:tc>
        <w:tc>
          <w:tcPr>
            <w:tcW w:w="2552" w:type="dxa"/>
            <w:tcBorders>
              <w:top w:val="single" w:sz="4" w:space="0" w:color="auto"/>
              <w:left w:val="single" w:sz="4" w:space="0" w:color="auto"/>
              <w:right w:val="single" w:sz="4" w:space="0" w:color="auto"/>
            </w:tcBorders>
          </w:tcPr>
          <w:p w14:paraId="0659A3A2" w14:textId="20697E09" w:rsidR="00F35410" w:rsidRPr="00A01642" w:rsidRDefault="00F35410" w:rsidP="00F35410">
            <w:pPr>
              <w:pStyle w:val="TAH"/>
            </w:pPr>
            <w:r w:rsidRPr="00A01642">
              <w:t>Interruption length T</w:t>
            </w:r>
            <w:r w:rsidRPr="00A01642">
              <w:rPr>
                <w:vertAlign w:val="subscript"/>
              </w:rPr>
              <w:t>interrupt1</w:t>
            </w:r>
            <w:r w:rsidRPr="00A01642">
              <w:t xml:space="preserve"> (slots</w:t>
            </w:r>
            <w:r w:rsidRPr="00A01642">
              <w:rPr>
                <w:vertAlign w:val="superscript"/>
              </w:rPr>
              <w:t>Note 1</w:t>
            </w:r>
            <w:r w:rsidRPr="00A01642">
              <w:t>), asynchronous DAPS HO</w:t>
            </w:r>
          </w:p>
        </w:tc>
      </w:tr>
      <w:tr w:rsidR="00F35410" w:rsidRPr="00A01642" w14:paraId="43D17304" w14:textId="77777777" w:rsidTr="003637C3">
        <w:trPr>
          <w:jc w:val="center"/>
        </w:trPr>
        <w:tc>
          <w:tcPr>
            <w:tcW w:w="852" w:type="dxa"/>
            <w:tcBorders>
              <w:top w:val="single" w:sz="4" w:space="0" w:color="auto"/>
              <w:left w:val="single" w:sz="4" w:space="0" w:color="auto"/>
              <w:bottom w:val="single" w:sz="4" w:space="0" w:color="auto"/>
              <w:right w:val="single" w:sz="4" w:space="0" w:color="auto"/>
            </w:tcBorders>
            <w:hideMark/>
          </w:tcPr>
          <w:p w14:paraId="39652BD2" w14:textId="77777777" w:rsidR="00F35410" w:rsidRPr="00A01642" w:rsidRDefault="00F35410" w:rsidP="00F35410">
            <w:pPr>
              <w:pStyle w:val="TAC"/>
            </w:pPr>
            <w:r w:rsidRPr="00A01642">
              <w:t>0</w:t>
            </w:r>
          </w:p>
        </w:tc>
        <w:tc>
          <w:tcPr>
            <w:tcW w:w="1276" w:type="dxa"/>
            <w:tcBorders>
              <w:top w:val="single" w:sz="4" w:space="0" w:color="auto"/>
              <w:left w:val="single" w:sz="4" w:space="0" w:color="auto"/>
              <w:bottom w:val="single" w:sz="4" w:space="0" w:color="auto"/>
              <w:right w:val="single" w:sz="4" w:space="0" w:color="auto"/>
            </w:tcBorders>
            <w:hideMark/>
          </w:tcPr>
          <w:p w14:paraId="794EE8F5" w14:textId="77777777" w:rsidR="00F35410" w:rsidRPr="00A01642" w:rsidRDefault="00F35410" w:rsidP="00F35410">
            <w:pPr>
              <w:pStyle w:val="TAC"/>
            </w:pPr>
            <w:r w:rsidRPr="00A01642">
              <w:t>1</w:t>
            </w:r>
          </w:p>
        </w:tc>
        <w:tc>
          <w:tcPr>
            <w:tcW w:w="2552" w:type="dxa"/>
            <w:tcBorders>
              <w:top w:val="single" w:sz="4" w:space="0" w:color="auto"/>
              <w:left w:val="single" w:sz="4" w:space="0" w:color="auto"/>
              <w:bottom w:val="single" w:sz="4" w:space="0" w:color="auto"/>
              <w:right w:val="single" w:sz="4" w:space="0" w:color="auto"/>
            </w:tcBorders>
            <w:hideMark/>
          </w:tcPr>
          <w:p w14:paraId="634BFEC1" w14:textId="60B9C372" w:rsidR="00F35410" w:rsidRPr="00A01642" w:rsidRDefault="00F35410" w:rsidP="00F35410">
            <w:pPr>
              <w:pStyle w:val="TAC"/>
              <w:rPr>
                <w:lang w:eastAsia="zh-CN"/>
              </w:rPr>
            </w:pPr>
            <w:r w:rsidRPr="00A01642">
              <w:rPr>
                <w:lang w:eastAsia="zh-CN"/>
              </w:rPr>
              <w:t>1</w:t>
            </w:r>
          </w:p>
        </w:tc>
        <w:tc>
          <w:tcPr>
            <w:tcW w:w="2552" w:type="dxa"/>
            <w:tcBorders>
              <w:top w:val="single" w:sz="4" w:space="0" w:color="auto"/>
              <w:left w:val="single" w:sz="4" w:space="0" w:color="auto"/>
              <w:bottom w:val="single" w:sz="4" w:space="0" w:color="auto"/>
              <w:right w:val="single" w:sz="4" w:space="0" w:color="auto"/>
            </w:tcBorders>
          </w:tcPr>
          <w:p w14:paraId="757926C6" w14:textId="77777777" w:rsidR="00F35410" w:rsidRPr="00A01642" w:rsidRDefault="00F35410" w:rsidP="00F35410">
            <w:pPr>
              <w:pStyle w:val="TAC"/>
              <w:rPr>
                <w:lang w:eastAsia="zh-CN"/>
              </w:rPr>
            </w:pPr>
            <w:r w:rsidRPr="00A01642">
              <w:rPr>
                <w:lang w:eastAsia="zh-CN"/>
              </w:rPr>
              <w:t>2</w:t>
            </w:r>
          </w:p>
        </w:tc>
      </w:tr>
      <w:tr w:rsidR="00F35410" w:rsidRPr="00A01642" w14:paraId="43242A5F" w14:textId="77777777" w:rsidTr="003637C3">
        <w:trPr>
          <w:jc w:val="center"/>
        </w:trPr>
        <w:tc>
          <w:tcPr>
            <w:tcW w:w="852" w:type="dxa"/>
            <w:tcBorders>
              <w:top w:val="single" w:sz="4" w:space="0" w:color="auto"/>
              <w:left w:val="single" w:sz="4" w:space="0" w:color="auto"/>
              <w:bottom w:val="single" w:sz="4" w:space="0" w:color="auto"/>
              <w:right w:val="single" w:sz="4" w:space="0" w:color="auto"/>
            </w:tcBorders>
            <w:hideMark/>
          </w:tcPr>
          <w:p w14:paraId="5536284F" w14:textId="77777777" w:rsidR="00F35410" w:rsidRPr="00A01642" w:rsidRDefault="00F35410" w:rsidP="00F35410">
            <w:pPr>
              <w:pStyle w:val="TAC"/>
            </w:pPr>
            <w:r w:rsidRPr="00A01642">
              <w:t>1</w:t>
            </w:r>
          </w:p>
        </w:tc>
        <w:tc>
          <w:tcPr>
            <w:tcW w:w="1276" w:type="dxa"/>
            <w:tcBorders>
              <w:top w:val="single" w:sz="4" w:space="0" w:color="auto"/>
              <w:left w:val="single" w:sz="4" w:space="0" w:color="auto"/>
              <w:bottom w:val="single" w:sz="4" w:space="0" w:color="auto"/>
              <w:right w:val="single" w:sz="4" w:space="0" w:color="auto"/>
            </w:tcBorders>
            <w:hideMark/>
          </w:tcPr>
          <w:p w14:paraId="19B53FF5" w14:textId="77777777" w:rsidR="00F35410" w:rsidRPr="00A01642" w:rsidRDefault="00F35410" w:rsidP="00F35410">
            <w:pPr>
              <w:pStyle w:val="TAC"/>
            </w:pPr>
            <w:r w:rsidRPr="00A01642">
              <w:t>0.5</w:t>
            </w:r>
          </w:p>
        </w:tc>
        <w:tc>
          <w:tcPr>
            <w:tcW w:w="2552" w:type="dxa"/>
            <w:tcBorders>
              <w:top w:val="single" w:sz="4" w:space="0" w:color="auto"/>
              <w:left w:val="single" w:sz="4" w:space="0" w:color="auto"/>
              <w:bottom w:val="single" w:sz="4" w:space="0" w:color="auto"/>
              <w:right w:val="single" w:sz="4" w:space="0" w:color="auto"/>
            </w:tcBorders>
            <w:hideMark/>
          </w:tcPr>
          <w:p w14:paraId="59636B00" w14:textId="7ED64884" w:rsidR="00F35410" w:rsidRPr="00A01642" w:rsidRDefault="00F35410" w:rsidP="00F35410">
            <w:pPr>
              <w:pStyle w:val="TAC"/>
              <w:rPr>
                <w:lang w:eastAsia="zh-CN"/>
              </w:rPr>
            </w:pPr>
            <w:r w:rsidRPr="00A01642">
              <w:rPr>
                <w:lang w:eastAsia="zh-CN"/>
              </w:rPr>
              <w:t>2</w:t>
            </w:r>
          </w:p>
        </w:tc>
        <w:tc>
          <w:tcPr>
            <w:tcW w:w="2552" w:type="dxa"/>
            <w:tcBorders>
              <w:top w:val="single" w:sz="4" w:space="0" w:color="auto"/>
              <w:left w:val="single" w:sz="4" w:space="0" w:color="auto"/>
              <w:bottom w:val="single" w:sz="4" w:space="0" w:color="auto"/>
              <w:right w:val="single" w:sz="4" w:space="0" w:color="auto"/>
            </w:tcBorders>
          </w:tcPr>
          <w:p w14:paraId="560CC666" w14:textId="77777777" w:rsidR="00F35410" w:rsidRPr="00A01642" w:rsidRDefault="00F35410" w:rsidP="00F35410">
            <w:pPr>
              <w:pStyle w:val="TAC"/>
              <w:rPr>
                <w:lang w:eastAsia="zh-CN"/>
              </w:rPr>
            </w:pPr>
            <w:r w:rsidRPr="00A01642">
              <w:rPr>
                <w:lang w:eastAsia="zh-CN"/>
              </w:rPr>
              <w:t>3</w:t>
            </w:r>
          </w:p>
        </w:tc>
      </w:tr>
      <w:tr w:rsidR="00F35410" w:rsidRPr="00A01642" w14:paraId="4A9EA133" w14:textId="77777777" w:rsidTr="003637C3">
        <w:trPr>
          <w:jc w:val="center"/>
        </w:trPr>
        <w:tc>
          <w:tcPr>
            <w:tcW w:w="852" w:type="dxa"/>
            <w:tcBorders>
              <w:top w:val="single" w:sz="4" w:space="0" w:color="auto"/>
              <w:left w:val="single" w:sz="4" w:space="0" w:color="auto"/>
              <w:bottom w:val="single" w:sz="4" w:space="0" w:color="auto"/>
              <w:right w:val="single" w:sz="4" w:space="0" w:color="auto"/>
            </w:tcBorders>
            <w:hideMark/>
          </w:tcPr>
          <w:p w14:paraId="5D7A46E4" w14:textId="77777777" w:rsidR="00F35410" w:rsidRPr="00A01642" w:rsidRDefault="00F35410" w:rsidP="00F35410">
            <w:pPr>
              <w:pStyle w:val="TAC"/>
            </w:pPr>
            <w:r w:rsidRPr="00A01642">
              <w:t>2</w:t>
            </w:r>
          </w:p>
        </w:tc>
        <w:tc>
          <w:tcPr>
            <w:tcW w:w="1276" w:type="dxa"/>
            <w:tcBorders>
              <w:top w:val="single" w:sz="4" w:space="0" w:color="auto"/>
              <w:left w:val="single" w:sz="4" w:space="0" w:color="auto"/>
              <w:bottom w:val="single" w:sz="4" w:space="0" w:color="auto"/>
              <w:right w:val="single" w:sz="4" w:space="0" w:color="auto"/>
            </w:tcBorders>
            <w:hideMark/>
          </w:tcPr>
          <w:p w14:paraId="36FE8480" w14:textId="77777777" w:rsidR="00F35410" w:rsidRPr="00A01642" w:rsidRDefault="00F35410" w:rsidP="00F35410">
            <w:pPr>
              <w:pStyle w:val="TAC"/>
            </w:pPr>
            <w:r w:rsidRPr="00A01642">
              <w:t>0.25</w:t>
            </w:r>
          </w:p>
        </w:tc>
        <w:tc>
          <w:tcPr>
            <w:tcW w:w="2552" w:type="dxa"/>
            <w:tcBorders>
              <w:top w:val="single" w:sz="4" w:space="0" w:color="auto"/>
              <w:left w:val="single" w:sz="4" w:space="0" w:color="auto"/>
              <w:bottom w:val="single" w:sz="4" w:space="0" w:color="auto"/>
              <w:right w:val="single" w:sz="4" w:space="0" w:color="auto"/>
            </w:tcBorders>
            <w:hideMark/>
          </w:tcPr>
          <w:p w14:paraId="5D2DFD03" w14:textId="012F6F44" w:rsidR="00F35410" w:rsidRPr="00A01642" w:rsidRDefault="00F35410" w:rsidP="00F35410">
            <w:pPr>
              <w:pStyle w:val="TAC"/>
              <w:rPr>
                <w:lang w:eastAsia="zh-CN"/>
              </w:rPr>
            </w:pPr>
            <w:r w:rsidRPr="00A01642">
              <w:rPr>
                <w:lang w:eastAsia="zh-CN"/>
              </w:rPr>
              <w:t>4</w:t>
            </w:r>
          </w:p>
        </w:tc>
        <w:tc>
          <w:tcPr>
            <w:tcW w:w="2552" w:type="dxa"/>
            <w:tcBorders>
              <w:top w:val="single" w:sz="4" w:space="0" w:color="auto"/>
              <w:left w:val="single" w:sz="4" w:space="0" w:color="auto"/>
              <w:bottom w:val="single" w:sz="4" w:space="0" w:color="auto"/>
              <w:right w:val="single" w:sz="4" w:space="0" w:color="auto"/>
            </w:tcBorders>
          </w:tcPr>
          <w:p w14:paraId="4850461D" w14:textId="77777777" w:rsidR="00F35410" w:rsidRPr="00A01642" w:rsidRDefault="00F35410" w:rsidP="00F35410">
            <w:pPr>
              <w:pStyle w:val="TAC"/>
              <w:rPr>
                <w:lang w:eastAsia="zh-CN"/>
              </w:rPr>
            </w:pPr>
            <w:r w:rsidRPr="00A01642">
              <w:rPr>
                <w:lang w:eastAsia="zh-CN"/>
              </w:rPr>
              <w:t>5</w:t>
            </w:r>
          </w:p>
        </w:tc>
      </w:tr>
      <w:tr w:rsidR="00F35410" w:rsidRPr="00A01642" w14:paraId="63451E21" w14:textId="77777777" w:rsidTr="003637C3">
        <w:trPr>
          <w:jc w:val="center"/>
        </w:trPr>
        <w:tc>
          <w:tcPr>
            <w:tcW w:w="7232" w:type="dxa"/>
            <w:gridSpan w:val="4"/>
            <w:tcBorders>
              <w:top w:val="single" w:sz="4" w:space="0" w:color="auto"/>
              <w:left w:val="single" w:sz="4" w:space="0" w:color="auto"/>
              <w:bottom w:val="single" w:sz="4" w:space="0" w:color="auto"/>
              <w:right w:val="single" w:sz="4" w:space="0" w:color="auto"/>
            </w:tcBorders>
            <w:hideMark/>
          </w:tcPr>
          <w:p w14:paraId="429AF320" w14:textId="77777777" w:rsidR="00F35410" w:rsidRPr="00A01642" w:rsidRDefault="00F35410" w:rsidP="00F35410">
            <w:pPr>
              <w:pStyle w:val="TAN"/>
            </w:pPr>
            <w:r w:rsidRPr="00A01642">
              <w:t>Note 1:</w:t>
            </w:r>
            <w:r w:rsidRPr="00A01642">
              <w:tab/>
            </w:r>
            <w:r w:rsidRPr="00A01642">
              <w:rPr>
                <w:rFonts w:hint="eastAsia"/>
                <w:lang w:eastAsia="zh-CN"/>
              </w:rPr>
              <w:t xml:space="preserve">The same </w:t>
            </w:r>
            <w:r w:rsidRPr="00A01642">
              <w:t>SCS</w:t>
            </w:r>
            <w:r w:rsidRPr="00A01642">
              <w:rPr>
                <w:rFonts w:hint="eastAsia"/>
                <w:lang w:eastAsia="zh-CN"/>
              </w:rPr>
              <w:t xml:space="preserve"> of source cell and target cell is assumed</w:t>
            </w:r>
            <w:r w:rsidRPr="00A01642">
              <w:t>.</w:t>
            </w:r>
          </w:p>
          <w:p w14:paraId="4D6DE50C" w14:textId="77777777" w:rsidR="00F35410" w:rsidRPr="00A01642" w:rsidRDefault="00F35410" w:rsidP="00F35410">
            <w:pPr>
              <w:pStyle w:val="TAN"/>
            </w:pPr>
            <w:r w:rsidRPr="00A01642">
              <w:t>Note 2:</w:t>
            </w:r>
            <w:r w:rsidRPr="00A01642">
              <w:tab/>
              <w:t>It is assumed that the BWP of target cell is not larger than the BWP of source cell. It is assumed that the CBW of target cell is not larger than the CBW of source cell</w:t>
            </w:r>
          </w:p>
          <w:p w14:paraId="0BF8CFB6" w14:textId="19F82DB5" w:rsidR="00F35410" w:rsidRPr="00A01642" w:rsidRDefault="00F35410" w:rsidP="00F35410">
            <w:pPr>
              <w:pStyle w:val="TAN"/>
            </w:pPr>
            <w:r w:rsidRPr="00A01642">
              <w:t>Note 3:</w:t>
            </w:r>
            <w:r w:rsidRPr="00A01642">
              <w:tab/>
              <w:t>Void</w:t>
            </w:r>
          </w:p>
        </w:tc>
      </w:tr>
    </w:tbl>
    <w:p w14:paraId="00696F2D" w14:textId="77777777" w:rsidR="00F35410" w:rsidRDefault="00F35410" w:rsidP="00E72C7B">
      <w:pPr>
        <w:rPr>
          <w:rFonts w:cs="v4.2.0"/>
        </w:rPr>
      </w:pPr>
    </w:p>
    <w:p w14:paraId="17957849" w14:textId="63604CA6" w:rsidR="00E72C7B" w:rsidRPr="009C5807" w:rsidRDefault="00E72C7B" w:rsidP="00E72C7B">
      <w:r w:rsidRPr="009C5807">
        <w:rPr>
          <w:rFonts w:cs="v4.2.0"/>
        </w:rPr>
        <w:t xml:space="preserve">For </w:t>
      </w:r>
      <w:r w:rsidRPr="009C5807">
        <w:t>FR1-to-FR1</w:t>
      </w:r>
      <w:r w:rsidRPr="009C5807">
        <w:rPr>
          <w:rFonts w:cs="v4.2.0"/>
        </w:rPr>
        <w:t xml:space="preserve"> </w:t>
      </w:r>
      <w:r w:rsidRPr="009C5807">
        <w:rPr>
          <w:rFonts w:cs="v4.2.0" w:hint="eastAsia"/>
        </w:rPr>
        <w:t>intra-band</w:t>
      </w:r>
      <w:r w:rsidRPr="009C5807">
        <w:rPr>
          <w:rFonts w:cs="v4.2.0"/>
        </w:rPr>
        <w:t xml:space="preserve"> inter-frequency handover, T</w:t>
      </w:r>
      <w:r w:rsidRPr="009C5807">
        <w:rPr>
          <w:rFonts w:cs="v4.2.0"/>
          <w:vertAlign w:val="subscript"/>
        </w:rPr>
        <w:t>interrupt1</w:t>
      </w:r>
      <w:r w:rsidRPr="009C5807">
        <w:rPr>
          <w:rFonts w:cs="v4.2.0"/>
        </w:rPr>
        <w:t xml:space="preserve"> is </w:t>
      </w:r>
      <w:r w:rsidRPr="009C5807">
        <w:rPr>
          <w:rFonts w:ascii="Tms Rmn" w:eastAsia="MS Mincho" w:hAnsi="Tms Rmn"/>
        </w:rPr>
        <w:t xml:space="preserve">specified </w:t>
      </w:r>
      <w:r w:rsidRPr="009C5807">
        <w:rPr>
          <w:rFonts w:cs="v4.2.0"/>
        </w:rPr>
        <w:t xml:space="preserve">in Table </w:t>
      </w:r>
      <w:r w:rsidRPr="009C5807">
        <w:t>6.1.3.2.2-2.</w:t>
      </w:r>
    </w:p>
    <w:p w14:paraId="5C343E9E" w14:textId="77777777" w:rsidR="00E72C7B" w:rsidRPr="009C5807" w:rsidRDefault="00E72C7B" w:rsidP="00357256">
      <w:pPr>
        <w:pStyle w:val="TH"/>
      </w:pPr>
      <w:r w:rsidRPr="009C5807">
        <w:t>Table 6.1.3.2.2-2: T</w:t>
      </w:r>
      <w:r w:rsidRPr="009C5807">
        <w:rPr>
          <w:vertAlign w:val="subscript"/>
        </w:rPr>
        <w:t>interrupt1</w:t>
      </w:r>
      <w:r w:rsidRPr="009C5807">
        <w:t xml:space="preserve"> for FR1-to-FR1 intra-band inter-frequency DAPS HO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992"/>
        <w:gridCol w:w="2890"/>
        <w:gridCol w:w="2890"/>
      </w:tblGrid>
      <w:tr w:rsidR="00293E8D" w:rsidRPr="009C5807" w14:paraId="3A7A54CC" w14:textId="45EB051A" w:rsidTr="003637C3">
        <w:trPr>
          <w:trHeight w:val="631"/>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5B5312C8" w14:textId="77777777" w:rsidR="00293E8D" w:rsidRPr="009C5807" w:rsidRDefault="00293E8D" w:rsidP="00293E8D">
            <w:pPr>
              <w:pStyle w:val="TAH"/>
            </w:pPr>
            <w:r w:rsidRPr="009C5807">
              <w:rPr>
                <w:noProof/>
                <w:lang w:val="en-US" w:eastAsia="zh-CN"/>
              </w:rPr>
              <w:drawing>
                <wp:inline distT="0" distB="0" distL="0" distR="0" wp14:anchorId="48BCAEA3" wp14:editId="09846BF9">
                  <wp:extent cx="142240" cy="160020"/>
                  <wp:effectExtent l="0" t="0" r="0" b="0"/>
                  <wp:docPr id="2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992" w:type="dxa"/>
            <w:tcBorders>
              <w:top w:val="single" w:sz="4" w:space="0" w:color="auto"/>
              <w:left w:val="single" w:sz="4" w:space="0" w:color="auto"/>
              <w:bottom w:val="single" w:sz="4" w:space="0" w:color="auto"/>
              <w:right w:val="single" w:sz="4" w:space="0" w:color="auto"/>
            </w:tcBorders>
            <w:hideMark/>
          </w:tcPr>
          <w:p w14:paraId="1D046544" w14:textId="77777777" w:rsidR="00293E8D" w:rsidRPr="009C5807" w:rsidRDefault="00293E8D" w:rsidP="00293E8D">
            <w:pPr>
              <w:pStyle w:val="TAH"/>
            </w:pPr>
            <w:r w:rsidRPr="009C5807">
              <w:t>NR Slot length (ms)</w:t>
            </w:r>
          </w:p>
        </w:tc>
        <w:tc>
          <w:tcPr>
            <w:tcW w:w="2890" w:type="dxa"/>
            <w:tcBorders>
              <w:top w:val="single" w:sz="4" w:space="0" w:color="auto"/>
              <w:left w:val="single" w:sz="4" w:space="0" w:color="auto"/>
              <w:bottom w:val="single" w:sz="4" w:space="0" w:color="auto"/>
              <w:right w:val="single" w:sz="4" w:space="0" w:color="auto"/>
            </w:tcBorders>
            <w:hideMark/>
          </w:tcPr>
          <w:p w14:paraId="4CAD96AD" w14:textId="16A0DF3E" w:rsidR="00293E8D" w:rsidRPr="009C5807" w:rsidRDefault="00293E8D" w:rsidP="00293E8D">
            <w:pPr>
              <w:pStyle w:val="TAH"/>
            </w:pPr>
            <w:r w:rsidRPr="00A01642">
              <w:t>T</w:t>
            </w:r>
            <w:r w:rsidRPr="00A01642">
              <w:rPr>
                <w:vertAlign w:val="subscript"/>
              </w:rPr>
              <w:t>interrupt1</w:t>
            </w:r>
            <w:r w:rsidRPr="00A01642">
              <w:t xml:space="preserve"> (slots</w:t>
            </w:r>
            <w:r w:rsidRPr="00A01642">
              <w:rPr>
                <w:vertAlign w:val="superscript"/>
              </w:rPr>
              <w:t>Note 1</w:t>
            </w:r>
            <w:r w:rsidRPr="00A01642">
              <w:t xml:space="preserve">), </w:t>
            </w:r>
            <w:r w:rsidRPr="00734785">
              <w:t>synchronous DAPS HO</w:t>
            </w:r>
          </w:p>
        </w:tc>
        <w:tc>
          <w:tcPr>
            <w:tcW w:w="2890" w:type="dxa"/>
            <w:tcBorders>
              <w:top w:val="single" w:sz="4" w:space="0" w:color="auto"/>
              <w:left w:val="single" w:sz="4" w:space="0" w:color="auto"/>
              <w:bottom w:val="single" w:sz="4" w:space="0" w:color="auto"/>
              <w:right w:val="single" w:sz="4" w:space="0" w:color="auto"/>
            </w:tcBorders>
          </w:tcPr>
          <w:p w14:paraId="642F935B" w14:textId="6FE1B029" w:rsidR="00293E8D" w:rsidRPr="009C5807" w:rsidRDefault="00293E8D" w:rsidP="00293E8D">
            <w:pPr>
              <w:pStyle w:val="TAH"/>
            </w:pPr>
            <w:r w:rsidRPr="00A01642">
              <w:t>T</w:t>
            </w:r>
            <w:r w:rsidRPr="00A01642">
              <w:rPr>
                <w:vertAlign w:val="subscript"/>
              </w:rPr>
              <w:t>interrupt1</w:t>
            </w:r>
            <w:r w:rsidRPr="00734785">
              <w:t xml:space="preserve"> (slots</w:t>
            </w:r>
            <w:r w:rsidRPr="00734785">
              <w:rPr>
                <w:vertAlign w:val="superscript"/>
              </w:rPr>
              <w:t>Note 1</w:t>
            </w:r>
            <w:r w:rsidRPr="00734785">
              <w:t>), asynchronous DAPS HO</w:t>
            </w:r>
          </w:p>
        </w:tc>
      </w:tr>
      <w:tr w:rsidR="00B05B1A" w:rsidRPr="009C5807" w14:paraId="0EDE29BA" w14:textId="1034ECE4" w:rsidTr="003637C3">
        <w:trPr>
          <w:jc w:val="center"/>
        </w:trPr>
        <w:tc>
          <w:tcPr>
            <w:tcW w:w="649" w:type="dxa"/>
            <w:tcBorders>
              <w:top w:val="single" w:sz="4" w:space="0" w:color="auto"/>
              <w:left w:val="single" w:sz="4" w:space="0" w:color="auto"/>
              <w:bottom w:val="single" w:sz="4" w:space="0" w:color="auto"/>
              <w:right w:val="single" w:sz="4" w:space="0" w:color="auto"/>
            </w:tcBorders>
            <w:hideMark/>
          </w:tcPr>
          <w:p w14:paraId="0213E9CF" w14:textId="77777777" w:rsidR="00B05B1A" w:rsidRPr="009C5807" w:rsidRDefault="00B05B1A" w:rsidP="00B05B1A">
            <w:pPr>
              <w:pStyle w:val="TAC"/>
            </w:pPr>
            <w:r w:rsidRPr="009C5807">
              <w:t>0</w:t>
            </w:r>
          </w:p>
        </w:tc>
        <w:tc>
          <w:tcPr>
            <w:tcW w:w="992" w:type="dxa"/>
            <w:tcBorders>
              <w:top w:val="single" w:sz="4" w:space="0" w:color="auto"/>
              <w:left w:val="single" w:sz="4" w:space="0" w:color="auto"/>
              <w:bottom w:val="single" w:sz="4" w:space="0" w:color="auto"/>
              <w:right w:val="single" w:sz="4" w:space="0" w:color="auto"/>
            </w:tcBorders>
            <w:hideMark/>
          </w:tcPr>
          <w:p w14:paraId="50FD598E" w14:textId="77777777" w:rsidR="00B05B1A" w:rsidRPr="009C5807" w:rsidRDefault="00B05B1A" w:rsidP="00B05B1A">
            <w:pPr>
              <w:pStyle w:val="TAC"/>
            </w:pPr>
            <w:r w:rsidRPr="009C5807">
              <w:t>1</w:t>
            </w:r>
          </w:p>
        </w:tc>
        <w:tc>
          <w:tcPr>
            <w:tcW w:w="2890" w:type="dxa"/>
            <w:tcBorders>
              <w:top w:val="single" w:sz="4" w:space="0" w:color="auto"/>
              <w:left w:val="single" w:sz="4" w:space="0" w:color="auto"/>
              <w:bottom w:val="single" w:sz="4" w:space="0" w:color="auto"/>
              <w:right w:val="single" w:sz="4" w:space="0" w:color="auto"/>
            </w:tcBorders>
            <w:hideMark/>
          </w:tcPr>
          <w:p w14:paraId="22616EA3" w14:textId="7F8F7524" w:rsidR="00B05B1A" w:rsidRPr="009C5807" w:rsidRDefault="00B05B1A" w:rsidP="00B05B1A">
            <w:pPr>
              <w:pStyle w:val="TAC"/>
              <w:rPr>
                <w:rFonts w:cs="Arial"/>
                <w:szCs w:val="18"/>
              </w:rPr>
            </w:pPr>
            <w:r>
              <w:rPr>
                <w:rFonts w:cs="Arial"/>
                <w:szCs w:val="18"/>
              </w:rPr>
              <w:t xml:space="preserve">1 + </w:t>
            </w:r>
            <w:r>
              <w:rPr>
                <w:rFonts w:cs="Arial"/>
                <w:szCs w:val="18"/>
                <w:lang w:eastAsia="zh-CN"/>
              </w:rPr>
              <w:t>T</w:t>
            </w:r>
            <w:r>
              <w:rPr>
                <w:rFonts w:cs="Arial"/>
                <w:szCs w:val="18"/>
                <w:vertAlign w:val="subscript"/>
                <w:lang w:eastAsia="zh-CN"/>
              </w:rPr>
              <w:t>SMTC_duration</w:t>
            </w:r>
            <w:r>
              <w:rPr>
                <w:rFonts w:cs="Arial"/>
                <w:szCs w:val="18"/>
              </w:rPr>
              <w:t xml:space="preserve"> </w:t>
            </w:r>
            <w:r>
              <w:rPr>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c>
          <w:tcPr>
            <w:tcW w:w="2890" w:type="dxa"/>
            <w:tcBorders>
              <w:top w:val="single" w:sz="4" w:space="0" w:color="auto"/>
              <w:left w:val="single" w:sz="4" w:space="0" w:color="auto"/>
              <w:bottom w:val="single" w:sz="4" w:space="0" w:color="auto"/>
              <w:right w:val="single" w:sz="4" w:space="0" w:color="auto"/>
            </w:tcBorders>
          </w:tcPr>
          <w:p w14:paraId="5970B0B5" w14:textId="07DF28DF" w:rsidR="00B05B1A" w:rsidRPr="009C5807" w:rsidRDefault="00B05B1A" w:rsidP="00B05B1A">
            <w:pPr>
              <w:pStyle w:val="TAC"/>
              <w:rPr>
                <w:rFonts w:cs="Arial"/>
                <w:szCs w:val="18"/>
              </w:rPr>
            </w:pPr>
            <w:r>
              <w:rPr>
                <w:rFonts w:cs="Arial"/>
                <w:szCs w:val="18"/>
              </w:rPr>
              <w:t xml:space="preserve">2+ </w:t>
            </w:r>
            <w:r>
              <w:rPr>
                <w:rFonts w:cs="Arial"/>
                <w:szCs w:val="18"/>
                <w:lang w:eastAsia="zh-CN"/>
              </w:rPr>
              <w:t>T</w:t>
            </w:r>
            <w:r>
              <w:rPr>
                <w:rFonts w:cs="Arial"/>
                <w:szCs w:val="18"/>
                <w:vertAlign w:val="subscript"/>
                <w:lang w:eastAsia="zh-CN"/>
              </w:rPr>
              <w:t>SMTC_duration</w:t>
            </w:r>
            <w:r w:rsidRPr="002F5786">
              <w:rPr>
                <w:rFonts w:cs="Arial"/>
                <w:szCs w:val="18"/>
                <w:lang w:val="en-US" w:eastAsia="zh-CN"/>
              </w:rPr>
              <w:t xml:space="preserve"> </w:t>
            </w:r>
            <w:r>
              <w:rPr>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B05B1A" w:rsidRPr="009C5807" w14:paraId="78FE9BCB" w14:textId="5337ED57" w:rsidTr="003637C3">
        <w:trPr>
          <w:jc w:val="center"/>
        </w:trPr>
        <w:tc>
          <w:tcPr>
            <w:tcW w:w="649" w:type="dxa"/>
            <w:tcBorders>
              <w:top w:val="single" w:sz="4" w:space="0" w:color="auto"/>
              <w:left w:val="single" w:sz="4" w:space="0" w:color="auto"/>
              <w:bottom w:val="single" w:sz="4" w:space="0" w:color="auto"/>
              <w:right w:val="single" w:sz="4" w:space="0" w:color="auto"/>
            </w:tcBorders>
            <w:hideMark/>
          </w:tcPr>
          <w:p w14:paraId="7BF3751F" w14:textId="77777777" w:rsidR="00B05B1A" w:rsidRPr="009C5807" w:rsidRDefault="00B05B1A" w:rsidP="00B05B1A">
            <w:pPr>
              <w:pStyle w:val="TAC"/>
            </w:pPr>
            <w:r w:rsidRPr="009C5807">
              <w:t>1</w:t>
            </w:r>
          </w:p>
        </w:tc>
        <w:tc>
          <w:tcPr>
            <w:tcW w:w="992" w:type="dxa"/>
            <w:tcBorders>
              <w:top w:val="single" w:sz="4" w:space="0" w:color="auto"/>
              <w:left w:val="single" w:sz="4" w:space="0" w:color="auto"/>
              <w:bottom w:val="single" w:sz="4" w:space="0" w:color="auto"/>
              <w:right w:val="single" w:sz="4" w:space="0" w:color="auto"/>
            </w:tcBorders>
            <w:hideMark/>
          </w:tcPr>
          <w:p w14:paraId="45E11B13" w14:textId="77777777" w:rsidR="00B05B1A" w:rsidRPr="009C5807" w:rsidRDefault="00B05B1A" w:rsidP="00B05B1A">
            <w:pPr>
              <w:pStyle w:val="TAC"/>
            </w:pPr>
            <w:r w:rsidRPr="009C5807">
              <w:t>0.5</w:t>
            </w:r>
          </w:p>
        </w:tc>
        <w:tc>
          <w:tcPr>
            <w:tcW w:w="2890" w:type="dxa"/>
            <w:tcBorders>
              <w:top w:val="single" w:sz="4" w:space="0" w:color="auto"/>
              <w:left w:val="single" w:sz="4" w:space="0" w:color="auto"/>
              <w:bottom w:val="single" w:sz="4" w:space="0" w:color="auto"/>
              <w:right w:val="single" w:sz="4" w:space="0" w:color="auto"/>
            </w:tcBorders>
            <w:hideMark/>
          </w:tcPr>
          <w:p w14:paraId="67D888A2" w14:textId="1BDBE686" w:rsidR="00B05B1A" w:rsidRPr="009C5807" w:rsidRDefault="00B05B1A" w:rsidP="00B05B1A">
            <w:pPr>
              <w:pStyle w:val="TAC"/>
              <w:rPr>
                <w:rFonts w:cs="Arial"/>
                <w:szCs w:val="18"/>
              </w:rPr>
            </w:pPr>
            <w:r>
              <w:rPr>
                <w:rFonts w:cs="Arial"/>
                <w:szCs w:val="18"/>
              </w:rPr>
              <w:t xml:space="preserve">2 + </w:t>
            </w:r>
            <w:r>
              <w:rPr>
                <w:rFonts w:cs="Arial"/>
                <w:szCs w:val="18"/>
                <w:lang w:eastAsia="zh-CN"/>
              </w:rPr>
              <w:t>T</w:t>
            </w:r>
            <w:r>
              <w:rPr>
                <w:rFonts w:cs="Arial"/>
                <w:szCs w:val="18"/>
                <w:vertAlign w:val="subscript"/>
                <w:lang w:eastAsia="zh-CN"/>
              </w:rPr>
              <w:t>SMTC_duration</w:t>
            </w:r>
            <w:r>
              <w:rPr>
                <w:rFonts w:cs="Arial"/>
                <w:szCs w:val="18"/>
              </w:rPr>
              <w:t xml:space="preserve"> </w:t>
            </w:r>
            <w:r>
              <w:rPr>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c>
          <w:tcPr>
            <w:tcW w:w="2890" w:type="dxa"/>
            <w:tcBorders>
              <w:top w:val="single" w:sz="4" w:space="0" w:color="auto"/>
              <w:left w:val="single" w:sz="4" w:space="0" w:color="auto"/>
              <w:bottom w:val="single" w:sz="4" w:space="0" w:color="auto"/>
              <w:right w:val="single" w:sz="4" w:space="0" w:color="auto"/>
            </w:tcBorders>
          </w:tcPr>
          <w:p w14:paraId="2398F76D" w14:textId="2599F449" w:rsidR="00B05B1A" w:rsidRPr="009C5807" w:rsidRDefault="00B05B1A" w:rsidP="00B05B1A">
            <w:pPr>
              <w:pStyle w:val="TAC"/>
              <w:rPr>
                <w:rFonts w:cs="Arial"/>
                <w:szCs w:val="18"/>
              </w:rPr>
            </w:pPr>
            <w:r>
              <w:rPr>
                <w:rFonts w:cs="Arial"/>
                <w:szCs w:val="18"/>
              </w:rPr>
              <w:t xml:space="preserve">3+ </w:t>
            </w:r>
            <w:r>
              <w:rPr>
                <w:rFonts w:cs="Arial"/>
                <w:szCs w:val="18"/>
                <w:lang w:eastAsia="zh-CN"/>
              </w:rPr>
              <w:t>T</w:t>
            </w:r>
            <w:r>
              <w:rPr>
                <w:rFonts w:cs="Arial"/>
                <w:szCs w:val="18"/>
                <w:vertAlign w:val="subscript"/>
                <w:lang w:eastAsia="zh-CN"/>
              </w:rPr>
              <w:t>SMTC_duration</w:t>
            </w:r>
            <w:r>
              <w:rPr>
                <w:rFonts w:cs="Arial" w:hint="eastAsia"/>
                <w:szCs w:val="18"/>
                <w:lang w:val="en-US" w:eastAsia="zh-CN"/>
              </w:rPr>
              <w:t xml:space="preserve"> </w:t>
            </w:r>
            <w:r>
              <w:rPr>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B05B1A" w:rsidRPr="009C5807" w14:paraId="603E0F2F" w14:textId="3E58DBC0" w:rsidTr="003637C3">
        <w:trPr>
          <w:jc w:val="center"/>
        </w:trPr>
        <w:tc>
          <w:tcPr>
            <w:tcW w:w="649" w:type="dxa"/>
            <w:tcBorders>
              <w:top w:val="single" w:sz="4" w:space="0" w:color="auto"/>
              <w:left w:val="single" w:sz="4" w:space="0" w:color="auto"/>
              <w:bottom w:val="single" w:sz="4" w:space="0" w:color="auto"/>
              <w:right w:val="single" w:sz="4" w:space="0" w:color="auto"/>
            </w:tcBorders>
            <w:hideMark/>
          </w:tcPr>
          <w:p w14:paraId="5AABBEFE" w14:textId="77777777" w:rsidR="00B05B1A" w:rsidRPr="009C5807" w:rsidRDefault="00B05B1A" w:rsidP="00B05B1A">
            <w:pPr>
              <w:pStyle w:val="TAC"/>
            </w:pPr>
            <w:r w:rsidRPr="009C5807">
              <w:t>2</w:t>
            </w:r>
          </w:p>
        </w:tc>
        <w:tc>
          <w:tcPr>
            <w:tcW w:w="992" w:type="dxa"/>
            <w:tcBorders>
              <w:top w:val="single" w:sz="4" w:space="0" w:color="auto"/>
              <w:left w:val="single" w:sz="4" w:space="0" w:color="auto"/>
              <w:bottom w:val="single" w:sz="4" w:space="0" w:color="auto"/>
              <w:right w:val="single" w:sz="4" w:space="0" w:color="auto"/>
            </w:tcBorders>
            <w:hideMark/>
          </w:tcPr>
          <w:p w14:paraId="09CB070B" w14:textId="77777777" w:rsidR="00B05B1A" w:rsidRPr="009C5807" w:rsidRDefault="00B05B1A" w:rsidP="00B05B1A">
            <w:pPr>
              <w:pStyle w:val="TAC"/>
            </w:pPr>
            <w:r w:rsidRPr="009C5807">
              <w:t>0.25</w:t>
            </w:r>
          </w:p>
        </w:tc>
        <w:tc>
          <w:tcPr>
            <w:tcW w:w="2890" w:type="dxa"/>
            <w:tcBorders>
              <w:top w:val="single" w:sz="4" w:space="0" w:color="auto"/>
              <w:left w:val="single" w:sz="4" w:space="0" w:color="auto"/>
              <w:bottom w:val="single" w:sz="4" w:space="0" w:color="auto"/>
              <w:right w:val="single" w:sz="4" w:space="0" w:color="auto"/>
            </w:tcBorders>
            <w:hideMark/>
          </w:tcPr>
          <w:p w14:paraId="4CD9F2A2" w14:textId="303670DA" w:rsidR="00B05B1A" w:rsidRPr="009C5807" w:rsidRDefault="00B05B1A" w:rsidP="00B05B1A">
            <w:pPr>
              <w:pStyle w:val="TAC"/>
              <w:rPr>
                <w:rFonts w:cs="Arial"/>
                <w:szCs w:val="18"/>
              </w:rPr>
            </w:pPr>
            <w:r>
              <w:rPr>
                <w:rFonts w:cs="Arial"/>
                <w:szCs w:val="18"/>
              </w:rPr>
              <w:t xml:space="preserve">4 + </w:t>
            </w:r>
            <w:r>
              <w:rPr>
                <w:rFonts w:cs="Arial"/>
                <w:szCs w:val="18"/>
                <w:lang w:eastAsia="zh-CN"/>
              </w:rPr>
              <w:t>T</w:t>
            </w:r>
            <w:r>
              <w:rPr>
                <w:rFonts w:cs="Arial"/>
                <w:szCs w:val="18"/>
                <w:vertAlign w:val="subscript"/>
                <w:lang w:eastAsia="zh-CN"/>
              </w:rPr>
              <w:t>SMTC_duration</w:t>
            </w:r>
            <w:r>
              <w:rPr>
                <w:rFonts w:cs="Arial"/>
                <w:szCs w:val="18"/>
              </w:rPr>
              <w:t xml:space="preserve"> </w:t>
            </w:r>
            <w:r>
              <w:rPr>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c>
          <w:tcPr>
            <w:tcW w:w="2890" w:type="dxa"/>
            <w:tcBorders>
              <w:top w:val="single" w:sz="4" w:space="0" w:color="auto"/>
              <w:left w:val="single" w:sz="4" w:space="0" w:color="auto"/>
              <w:bottom w:val="single" w:sz="4" w:space="0" w:color="auto"/>
              <w:right w:val="single" w:sz="4" w:space="0" w:color="auto"/>
            </w:tcBorders>
          </w:tcPr>
          <w:p w14:paraId="71F335B4" w14:textId="5775CF6F" w:rsidR="00B05B1A" w:rsidRPr="009C5807" w:rsidRDefault="00B05B1A" w:rsidP="00B05B1A">
            <w:pPr>
              <w:pStyle w:val="TAC"/>
              <w:rPr>
                <w:rFonts w:cs="Arial"/>
                <w:szCs w:val="18"/>
              </w:rPr>
            </w:pPr>
            <w:r>
              <w:rPr>
                <w:rFonts w:cs="Arial"/>
                <w:szCs w:val="18"/>
              </w:rPr>
              <w:t xml:space="preserve">5+ </w:t>
            </w:r>
            <w:r>
              <w:rPr>
                <w:rFonts w:cs="Arial"/>
                <w:szCs w:val="18"/>
                <w:lang w:eastAsia="zh-CN"/>
              </w:rPr>
              <w:t>T</w:t>
            </w:r>
            <w:r>
              <w:rPr>
                <w:rFonts w:cs="Arial"/>
                <w:szCs w:val="18"/>
                <w:vertAlign w:val="subscript"/>
                <w:lang w:eastAsia="zh-CN"/>
              </w:rPr>
              <w:t>SMTC_duration</w:t>
            </w:r>
            <w:r>
              <w:rPr>
                <w:rFonts w:cs="Arial" w:hint="eastAsia"/>
                <w:szCs w:val="18"/>
                <w:lang w:val="en-US" w:eastAsia="zh-CN"/>
              </w:rPr>
              <w:t xml:space="preserve"> </w:t>
            </w:r>
            <w:r>
              <w:rPr>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293E8D" w:rsidRPr="009C5807" w14:paraId="7D9ABA57" w14:textId="1A603C3E" w:rsidTr="003637C3">
        <w:trPr>
          <w:jc w:val="center"/>
        </w:trPr>
        <w:tc>
          <w:tcPr>
            <w:tcW w:w="7421" w:type="dxa"/>
            <w:gridSpan w:val="4"/>
            <w:tcBorders>
              <w:top w:val="single" w:sz="4" w:space="0" w:color="auto"/>
              <w:left w:val="single" w:sz="4" w:space="0" w:color="auto"/>
              <w:bottom w:val="single" w:sz="4" w:space="0" w:color="auto"/>
              <w:right w:val="single" w:sz="4" w:space="0" w:color="auto"/>
            </w:tcBorders>
            <w:hideMark/>
          </w:tcPr>
          <w:p w14:paraId="5BFB0764" w14:textId="77777777" w:rsidR="00293E8D" w:rsidRPr="009C5807" w:rsidRDefault="00293E8D" w:rsidP="00293E8D">
            <w:pPr>
              <w:pStyle w:val="TAN"/>
              <w:rPr>
                <w:lang w:eastAsia="zh-CN"/>
              </w:rPr>
            </w:pPr>
            <w:r w:rsidRPr="009C5807">
              <w:t>Note 1:</w:t>
            </w:r>
            <w:r w:rsidRPr="009C5807">
              <w:tab/>
            </w:r>
            <w:r w:rsidRPr="009C5807">
              <w:rPr>
                <w:rFonts w:hint="eastAsia"/>
                <w:lang w:eastAsia="zh-CN"/>
              </w:rPr>
              <w:t xml:space="preserve">The same </w:t>
            </w:r>
            <w:r w:rsidRPr="009C5807">
              <w:t>SCS</w:t>
            </w:r>
            <w:r w:rsidRPr="009C5807">
              <w:rPr>
                <w:rFonts w:hint="eastAsia"/>
                <w:lang w:eastAsia="zh-CN"/>
              </w:rPr>
              <w:t xml:space="preserve"> of source cell and target cell is assumed</w:t>
            </w:r>
            <w:r w:rsidRPr="009C5807">
              <w:rPr>
                <w:lang w:eastAsia="zh-CN"/>
              </w:rPr>
              <w:t>.</w:t>
            </w:r>
          </w:p>
          <w:p w14:paraId="48578056" w14:textId="06D260F1" w:rsidR="00293E8D" w:rsidRPr="009C5807" w:rsidRDefault="00293E8D" w:rsidP="00293E8D">
            <w:pPr>
              <w:pStyle w:val="TAN"/>
              <w:rPr>
                <w:lang w:eastAsia="zh-CN"/>
              </w:rPr>
            </w:pPr>
            <w:r w:rsidRPr="009C5807">
              <w:t>Note 2:</w:t>
            </w:r>
            <w:r w:rsidRPr="009C5807">
              <w:tab/>
            </w:r>
            <w:r w:rsidRPr="009C5807">
              <w:rPr>
                <w:lang w:eastAsia="zh-CN"/>
              </w:rPr>
              <w:t>T</w:t>
            </w:r>
            <w:r w:rsidRPr="009C5807">
              <w:rPr>
                <w:vertAlign w:val="subscript"/>
                <w:lang w:eastAsia="zh-CN"/>
              </w:rPr>
              <w:t>SMTC_duration</w:t>
            </w:r>
            <w:r w:rsidRPr="009C5807">
              <w:rPr>
                <w:lang w:eastAsia="zh-CN"/>
              </w:rPr>
              <w:t xml:space="preserve"> </w:t>
            </w:r>
            <w:r w:rsidR="00B05B1A">
              <w:rPr>
                <w:lang w:eastAsia="zh-CN"/>
              </w:rPr>
              <w:t>measured in subframes</w:t>
            </w:r>
            <w:r w:rsidR="00B05B1A">
              <w:rPr>
                <w:rFonts w:hint="eastAsia"/>
                <w:lang w:val="en-US" w:eastAsia="zh-CN"/>
              </w:rPr>
              <w:t xml:space="preserve"> </w:t>
            </w:r>
            <w:r w:rsidRPr="009C5807">
              <w:rPr>
                <w:lang w:eastAsia="zh-CN"/>
              </w:rPr>
              <w:t>is</w:t>
            </w:r>
            <w:r w:rsidRPr="009C5807">
              <w:rPr>
                <w:rFonts w:hint="eastAsia"/>
                <w:lang w:eastAsia="zh-CN"/>
              </w:rPr>
              <w:t xml:space="preserve"> </w:t>
            </w:r>
            <w:r w:rsidRPr="009C5807">
              <w:t xml:space="preserve">the longest SMTC duration </w:t>
            </w:r>
            <w:r w:rsidRPr="009C5807">
              <w:rPr>
                <w:lang w:eastAsia="zh-CN"/>
              </w:rPr>
              <w:t>between source cell and target cell.</w:t>
            </w:r>
          </w:p>
          <w:p w14:paraId="5CC71E64" w14:textId="77777777" w:rsidR="00293E8D" w:rsidRDefault="00293E8D" w:rsidP="00293E8D">
            <w:pPr>
              <w:pStyle w:val="TAN"/>
            </w:pPr>
            <w:r w:rsidRPr="009C5807">
              <w:t>Note 3:</w:t>
            </w:r>
            <w:r w:rsidRPr="009C5807">
              <w:tab/>
            </w:r>
            <w:r w:rsidRPr="00A01642">
              <w:t>Void</w:t>
            </w:r>
          </w:p>
          <w:p w14:paraId="78F3E81E" w14:textId="250E2A8C" w:rsidR="00B05B1A" w:rsidRPr="009C5807" w:rsidRDefault="00B05B1A" w:rsidP="00293E8D">
            <w:pPr>
              <w:pStyle w:val="TAN"/>
            </w:pPr>
            <w:r>
              <w:t>Note 4:</w:t>
            </w:r>
            <w:r w:rsidR="00A21E2B">
              <w:tab/>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r>
              <w:t xml:space="preserve"> is as defined in TS 38.211 [6].</w:t>
            </w:r>
          </w:p>
        </w:tc>
      </w:tr>
    </w:tbl>
    <w:p w14:paraId="33EB8541" w14:textId="77777777" w:rsidR="00E72C7B" w:rsidRPr="009C5807" w:rsidRDefault="00E72C7B" w:rsidP="00E72C7B">
      <w:pPr>
        <w:rPr>
          <w:rFonts w:cs="v4.2.0"/>
        </w:rPr>
      </w:pPr>
    </w:p>
    <w:p w14:paraId="6D63ECF2" w14:textId="77777777" w:rsidR="00E72C7B" w:rsidRPr="009C5807" w:rsidRDefault="00E72C7B" w:rsidP="00E72C7B">
      <w:pPr>
        <w:rPr>
          <w:rFonts w:cs="v4.2.0"/>
        </w:rPr>
      </w:pPr>
      <w:r w:rsidRPr="009C5807">
        <w:rPr>
          <w:rFonts w:cs="v4.2.0"/>
        </w:rPr>
        <w:t xml:space="preserve">For </w:t>
      </w:r>
      <w:r w:rsidRPr="009C5807">
        <w:t>FR1-to-FR1</w:t>
      </w:r>
      <w:r w:rsidRPr="009C5807">
        <w:rPr>
          <w:rFonts w:cs="v4.2.0"/>
        </w:rPr>
        <w:t xml:space="preserve"> </w:t>
      </w:r>
      <w:r w:rsidRPr="009C5807">
        <w:rPr>
          <w:rFonts w:cs="v4.2.0" w:hint="eastAsia"/>
        </w:rPr>
        <w:t>int</w:t>
      </w:r>
      <w:r w:rsidRPr="009C5807">
        <w:rPr>
          <w:rFonts w:cs="v4.2.0"/>
        </w:rPr>
        <w:t>er</w:t>
      </w:r>
      <w:r w:rsidRPr="009C5807">
        <w:rPr>
          <w:rFonts w:cs="v4.2.0" w:hint="eastAsia"/>
        </w:rPr>
        <w:t>-band</w:t>
      </w:r>
      <w:r w:rsidRPr="009C5807">
        <w:rPr>
          <w:rFonts w:cs="v4.2.0"/>
        </w:rPr>
        <w:t xml:space="preserve"> handover, T</w:t>
      </w:r>
      <w:r w:rsidRPr="009C5807">
        <w:rPr>
          <w:rFonts w:cs="v4.2.0"/>
          <w:vertAlign w:val="subscript"/>
        </w:rPr>
        <w:t>interrupt1</w:t>
      </w:r>
      <w:r w:rsidRPr="009C5807">
        <w:rPr>
          <w:rFonts w:cs="v4.2.0"/>
        </w:rPr>
        <w:t xml:space="preserve"> is </w:t>
      </w:r>
      <w:r w:rsidRPr="009C5807">
        <w:rPr>
          <w:rFonts w:ascii="Tms Rmn" w:eastAsia="MS Mincho" w:hAnsi="Tms Rmn"/>
        </w:rPr>
        <w:t xml:space="preserve">specified </w:t>
      </w:r>
      <w:r w:rsidRPr="009C5807">
        <w:rPr>
          <w:rFonts w:cs="v4.2.0"/>
        </w:rPr>
        <w:t xml:space="preserve">in Table </w:t>
      </w:r>
      <w:r w:rsidRPr="009C5807">
        <w:t>6.1.3.2.2-3.</w:t>
      </w:r>
    </w:p>
    <w:p w14:paraId="2D85F40E" w14:textId="77777777" w:rsidR="00E72C7B" w:rsidRPr="009C5807" w:rsidRDefault="00E72C7B" w:rsidP="00E72C7B">
      <w:pPr>
        <w:pStyle w:val="TH"/>
      </w:pPr>
      <w:r w:rsidRPr="009C5807">
        <w:t>Table 6.1.3.2.2-3: T</w:t>
      </w:r>
      <w:r w:rsidRPr="009C5807">
        <w:rPr>
          <w:vertAlign w:val="subscript"/>
        </w:rPr>
        <w:t>interrupt1</w:t>
      </w:r>
      <w:r w:rsidRPr="009C5807">
        <w:t xml:space="preserve"> for FR1-to-FR1 inter-band DAPS HO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1898"/>
        <w:gridCol w:w="1984"/>
        <w:gridCol w:w="1843"/>
      </w:tblGrid>
      <w:tr w:rsidR="00E72C7B" w:rsidRPr="009C5807" w14:paraId="72F7A72F" w14:textId="77777777" w:rsidTr="00AB5131">
        <w:trPr>
          <w:trHeight w:val="201"/>
          <w:jc w:val="center"/>
        </w:trPr>
        <w:tc>
          <w:tcPr>
            <w:tcW w:w="649" w:type="dxa"/>
            <w:tcBorders>
              <w:top w:val="single" w:sz="4" w:space="0" w:color="auto"/>
              <w:left w:val="single" w:sz="4" w:space="0" w:color="auto"/>
              <w:bottom w:val="nil"/>
              <w:right w:val="single" w:sz="4" w:space="0" w:color="auto"/>
            </w:tcBorders>
            <w:vAlign w:val="center"/>
            <w:hideMark/>
          </w:tcPr>
          <w:p w14:paraId="06F0858C" w14:textId="77777777" w:rsidR="00E72C7B" w:rsidRPr="009C5807" w:rsidRDefault="00E72C7B" w:rsidP="00357256">
            <w:pPr>
              <w:pStyle w:val="TAH"/>
            </w:pPr>
            <w:r w:rsidRPr="009C5807">
              <w:rPr>
                <w:noProof/>
                <w:lang w:val="en-US" w:eastAsia="zh-CN"/>
              </w:rPr>
              <w:drawing>
                <wp:inline distT="0" distB="0" distL="0" distR="0" wp14:anchorId="382EF13F" wp14:editId="7BE9C3CB">
                  <wp:extent cx="142240" cy="160020"/>
                  <wp:effectExtent l="0" t="0" r="0" b="0"/>
                  <wp:docPr id="29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898" w:type="dxa"/>
            <w:tcBorders>
              <w:top w:val="single" w:sz="4" w:space="0" w:color="auto"/>
              <w:left w:val="single" w:sz="4" w:space="0" w:color="auto"/>
              <w:bottom w:val="nil"/>
              <w:right w:val="single" w:sz="4" w:space="0" w:color="auto"/>
            </w:tcBorders>
            <w:hideMark/>
          </w:tcPr>
          <w:p w14:paraId="543FF1C6" w14:textId="354A2045" w:rsidR="00E72C7B" w:rsidRPr="009C5807" w:rsidRDefault="00E72C7B" w:rsidP="00357256">
            <w:pPr>
              <w:pStyle w:val="TAH"/>
            </w:pPr>
            <w:r w:rsidRPr="009C5807">
              <w:t xml:space="preserve">NR Slot length (ms) </w:t>
            </w:r>
          </w:p>
        </w:tc>
        <w:tc>
          <w:tcPr>
            <w:tcW w:w="3827" w:type="dxa"/>
            <w:gridSpan w:val="2"/>
            <w:tcBorders>
              <w:top w:val="single" w:sz="4" w:space="0" w:color="auto"/>
              <w:left w:val="single" w:sz="4" w:space="0" w:color="auto"/>
              <w:bottom w:val="single" w:sz="4" w:space="0" w:color="auto"/>
              <w:right w:val="single" w:sz="4" w:space="0" w:color="auto"/>
            </w:tcBorders>
            <w:hideMark/>
          </w:tcPr>
          <w:p w14:paraId="342B0F53" w14:textId="77777777" w:rsidR="00E72C7B" w:rsidRPr="009C5807" w:rsidRDefault="00E72C7B" w:rsidP="00357256">
            <w:pPr>
              <w:pStyle w:val="TAH"/>
            </w:pPr>
            <w:r w:rsidRPr="009C5807">
              <w:t>T</w:t>
            </w:r>
            <w:r w:rsidRPr="009C5807">
              <w:rPr>
                <w:vertAlign w:val="subscript"/>
              </w:rPr>
              <w:t>interrupt1</w:t>
            </w:r>
            <w:r w:rsidRPr="009C5807">
              <w:t xml:space="preserve"> (slots)</w:t>
            </w:r>
          </w:p>
        </w:tc>
      </w:tr>
      <w:tr w:rsidR="00E72C7B" w:rsidRPr="009C5807" w14:paraId="6532B694" w14:textId="77777777" w:rsidTr="00AB5131">
        <w:trPr>
          <w:trHeight w:val="201"/>
          <w:jc w:val="center"/>
        </w:trPr>
        <w:tc>
          <w:tcPr>
            <w:tcW w:w="649" w:type="dxa"/>
            <w:tcBorders>
              <w:top w:val="nil"/>
              <w:left w:val="single" w:sz="4" w:space="0" w:color="auto"/>
              <w:bottom w:val="single" w:sz="4" w:space="0" w:color="auto"/>
              <w:right w:val="single" w:sz="4" w:space="0" w:color="auto"/>
            </w:tcBorders>
            <w:vAlign w:val="center"/>
          </w:tcPr>
          <w:p w14:paraId="21D5B395" w14:textId="77777777" w:rsidR="00E72C7B" w:rsidRPr="009C5807" w:rsidRDefault="00E72C7B" w:rsidP="00357256">
            <w:pPr>
              <w:pStyle w:val="TAH"/>
              <w:rPr>
                <w:noProof/>
                <w:lang w:val="en-US" w:eastAsia="zh-CN"/>
              </w:rPr>
            </w:pPr>
          </w:p>
        </w:tc>
        <w:tc>
          <w:tcPr>
            <w:tcW w:w="1898" w:type="dxa"/>
            <w:tcBorders>
              <w:top w:val="nil"/>
              <w:left w:val="single" w:sz="4" w:space="0" w:color="auto"/>
              <w:bottom w:val="single" w:sz="4" w:space="0" w:color="auto"/>
              <w:right w:val="single" w:sz="4" w:space="0" w:color="auto"/>
            </w:tcBorders>
          </w:tcPr>
          <w:p w14:paraId="1E571833" w14:textId="77C4D9D2" w:rsidR="00E72C7B" w:rsidRPr="009C5807" w:rsidRDefault="00AB5131" w:rsidP="00357256">
            <w:pPr>
              <w:pStyle w:val="TAH"/>
            </w:pPr>
            <w:r w:rsidRPr="009C5807">
              <w:t>of source cell</w:t>
            </w:r>
          </w:p>
        </w:tc>
        <w:tc>
          <w:tcPr>
            <w:tcW w:w="1984" w:type="dxa"/>
            <w:tcBorders>
              <w:top w:val="single" w:sz="4" w:space="0" w:color="auto"/>
              <w:left w:val="single" w:sz="4" w:space="0" w:color="auto"/>
              <w:bottom w:val="single" w:sz="4" w:space="0" w:color="auto"/>
              <w:right w:val="single" w:sz="4" w:space="0" w:color="auto"/>
            </w:tcBorders>
          </w:tcPr>
          <w:p w14:paraId="0E48116E" w14:textId="77777777" w:rsidR="00E72C7B" w:rsidRPr="009C5807" w:rsidRDefault="00E72C7B" w:rsidP="00357256">
            <w:pPr>
              <w:pStyle w:val="TAH"/>
              <w:rPr>
                <w:lang w:eastAsia="zh-CN"/>
              </w:rPr>
            </w:pPr>
            <w:r w:rsidRPr="009C5807">
              <w:rPr>
                <w:rFonts w:hint="eastAsia"/>
                <w:lang w:eastAsia="zh-CN"/>
              </w:rPr>
              <w:t>Sync</w:t>
            </w:r>
          </w:p>
        </w:tc>
        <w:tc>
          <w:tcPr>
            <w:tcW w:w="1843" w:type="dxa"/>
            <w:tcBorders>
              <w:top w:val="single" w:sz="4" w:space="0" w:color="auto"/>
              <w:left w:val="single" w:sz="4" w:space="0" w:color="auto"/>
              <w:bottom w:val="single" w:sz="4" w:space="0" w:color="auto"/>
              <w:right w:val="single" w:sz="4" w:space="0" w:color="auto"/>
            </w:tcBorders>
          </w:tcPr>
          <w:p w14:paraId="7DD16593" w14:textId="77777777" w:rsidR="00E72C7B" w:rsidRPr="009C5807" w:rsidRDefault="00E72C7B" w:rsidP="00357256">
            <w:pPr>
              <w:pStyle w:val="TAH"/>
              <w:rPr>
                <w:lang w:eastAsia="zh-CN"/>
              </w:rPr>
            </w:pPr>
            <w:r w:rsidRPr="009C5807">
              <w:rPr>
                <w:rFonts w:hint="eastAsia"/>
                <w:lang w:eastAsia="zh-CN"/>
              </w:rPr>
              <w:t>Async</w:t>
            </w:r>
          </w:p>
        </w:tc>
      </w:tr>
      <w:tr w:rsidR="00E72C7B" w:rsidRPr="009C5807" w14:paraId="7E73A207" w14:textId="77777777" w:rsidTr="00566CFE">
        <w:trPr>
          <w:jc w:val="center"/>
        </w:trPr>
        <w:tc>
          <w:tcPr>
            <w:tcW w:w="649" w:type="dxa"/>
            <w:tcBorders>
              <w:top w:val="single" w:sz="4" w:space="0" w:color="auto"/>
              <w:left w:val="single" w:sz="4" w:space="0" w:color="auto"/>
              <w:bottom w:val="single" w:sz="4" w:space="0" w:color="auto"/>
              <w:right w:val="single" w:sz="4" w:space="0" w:color="auto"/>
            </w:tcBorders>
            <w:hideMark/>
          </w:tcPr>
          <w:p w14:paraId="65934778" w14:textId="77777777" w:rsidR="00E72C7B" w:rsidRPr="009C5807" w:rsidRDefault="00E72C7B" w:rsidP="00357256">
            <w:pPr>
              <w:pStyle w:val="TAC"/>
            </w:pPr>
            <w:r w:rsidRPr="009C5807">
              <w:t>0</w:t>
            </w:r>
          </w:p>
        </w:tc>
        <w:tc>
          <w:tcPr>
            <w:tcW w:w="1898" w:type="dxa"/>
            <w:tcBorders>
              <w:top w:val="single" w:sz="4" w:space="0" w:color="auto"/>
              <w:left w:val="single" w:sz="4" w:space="0" w:color="auto"/>
              <w:bottom w:val="single" w:sz="4" w:space="0" w:color="auto"/>
              <w:right w:val="single" w:sz="4" w:space="0" w:color="auto"/>
            </w:tcBorders>
            <w:hideMark/>
          </w:tcPr>
          <w:p w14:paraId="5E29C286" w14:textId="77777777" w:rsidR="00E72C7B" w:rsidRPr="009C5807" w:rsidRDefault="00E72C7B" w:rsidP="00357256">
            <w:pPr>
              <w:pStyle w:val="TAC"/>
            </w:pPr>
            <w:r w:rsidRPr="009C5807">
              <w:t>1</w:t>
            </w:r>
          </w:p>
        </w:tc>
        <w:tc>
          <w:tcPr>
            <w:tcW w:w="1984" w:type="dxa"/>
            <w:tcBorders>
              <w:top w:val="single" w:sz="4" w:space="0" w:color="auto"/>
              <w:left w:val="single" w:sz="4" w:space="0" w:color="auto"/>
              <w:bottom w:val="single" w:sz="4" w:space="0" w:color="auto"/>
              <w:right w:val="single" w:sz="4" w:space="0" w:color="auto"/>
            </w:tcBorders>
            <w:hideMark/>
          </w:tcPr>
          <w:p w14:paraId="03187928" w14:textId="77777777" w:rsidR="00E72C7B" w:rsidRPr="009C5807" w:rsidRDefault="00E72C7B" w:rsidP="00357256">
            <w:pPr>
              <w:pStyle w:val="TAC"/>
              <w:rPr>
                <w:rFonts w:cs="Arial"/>
                <w:szCs w:val="18"/>
              </w:rPr>
            </w:pPr>
            <w:r w:rsidRPr="009C5807">
              <w:rPr>
                <w:rFonts w:cs="Arial"/>
                <w:szCs w:val="18"/>
              </w:rPr>
              <w:t>1</w:t>
            </w:r>
          </w:p>
        </w:tc>
        <w:tc>
          <w:tcPr>
            <w:tcW w:w="1843" w:type="dxa"/>
            <w:tcBorders>
              <w:top w:val="single" w:sz="4" w:space="0" w:color="auto"/>
              <w:left w:val="single" w:sz="4" w:space="0" w:color="auto"/>
              <w:bottom w:val="single" w:sz="4" w:space="0" w:color="auto"/>
              <w:right w:val="single" w:sz="4" w:space="0" w:color="auto"/>
            </w:tcBorders>
          </w:tcPr>
          <w:p w14:paraId="5CECAB47" w14:textId="77777777" w:rsidR="00E72C7B" w:rsidRPr="009C5807" w:rsidRDefault="00E72C7B" w:rsidP="00357256">
            <w:pPr>
              <w:pStyle w:val="TAC"/>
              <w:rPr>
                <w:rFonts w:cs="Arial"/>
                <w:szCs w:val="18"/>
              </w:rPr>
            </w:pPr>
            <w:r w:rsidRPr="009C5807">
              <w:rPr>
                <w:rFonts w:cs="Arial"/>
                <w:szCs w:val="18"/>
              </w:rPr>
              <w:t>2</w:t>
            </w:r>
          </w:p>
        </w:tc>
      </w:tr>
      <w:tr w:rsidR="00E72C7B" w:rsidRPr="009C5807" w14:paraId="407856CE" w14:textId="77777777" w:rsidTr="00566CFE">
        <w:trPr>
          <w:jc w:val="center"/>
        </w:trPr>
        <w:tc>
          <w:tcPr>
            <w:tcW w:w="649" w:type="dxa"/>
            <w:tcBorders>
              <w:top w:val="single" w:sz="4" w:space="0" w:color="auto"/>
              <w:left w:val="single" w:sz="4" w:space="0" w:color="auto"/>
              <w:bottom w:val="single" w:sz="4" w:space="0" w:color="auto"/>
              <w:right w:val="single" w:sz="4" w:space="0" w:color="auto"/>
            </w:tcBorders>
            <w:hideMark/>
          </w:tcPr>
          <w:p w14:paraId="351BD237" w14:textId="77777777" w:rsidR="00E72C7B" w:rsidRPr="009C5807" w:rsidRDefault="00E72C7B" w:rsidP="00357256">
            <w:pPr>
              <w:pStyle w:val="TAC"/>
            </w:pPr>
            <w:r w:rsidRPr="009C5807">
              <w:t>1</w:t>
            </w:r>
          </w:p>
        </w:tc>
        <w:tc>
          <w:tcPr>
            <w:tcW w:w="1898" w:type="dxa"/>
            <w:tcBorders>
              <w:top w:val="single" w:sz="4" w:space="0" w:color="auto"/>
              <w:left w:val="single" w:sz="4" w:space="0" w:color="auto"/>
              <w:bottom w:val="single" w:sz="4" w:space="0" w:color="auto"/>
              <w:right w:val="single" w:sz="4" w:space="0" w:color="auto"/>
            </w:tcBorders>
            <w:hideMark/>
          </w:tcPr>
          <w:p w14:paraId="075C6293" w14:textId="77777777" w:rsidR="00E72C7B" w:rsidRPr="009C5807" w:rsidRDefault="00E72C7B" w:rsidP="00357256">
            <w:pPr>
              <w:pStyle w:val="TAC"/>
            </w:pPr>
            <w:r w:rsidRPr="009C5807">
              <w:t>0.5</w:t>
            </w:r>
          </w:p>
        </w:tc>
        <w:tc>
          <w:tcPr>
            <w:tcW w:w="1984" w:type="dxa"/>
            <w:tcBorders>
              <w:top w:val="single" w:sz="4" w:space="0" w:color="auto"/>
              <w:left w:val="single" w:sz="4" w:space="0" w:color="auto"/>
              <w:bottom w:val="single" w:sz="4" w:space="0" w:color="auto"/>
              <w:right w:val="single" w:sz="4" w:space="0" w:color="auto"/>
            </w:tcBorders>
            <w:hideMark/>
          </w:tcPr>
          <w:p w14:paraId="7E3E45AA" w14:textId="77777777" w:rsidR="00E72C7B" w:rsidRPr="009C5807" w:rsidRDefault="00E72C7B" w:rsidP="00357256">
            <w:pPr>
              <w:pStyle w:val="TAC"/>
              <w:rPr>
                <w:rFonts w:cs="Arial"/>
                <w:szCs w:val="18"/>
              </w:rPr>
            </w:pPr>
            <w:r w:rsidRPr="009C5807">
              <w:rPr>
                <w:rFonts w:cs="Arial"/>
                <w:szCs w:val="18"/>
              </w:rPr>
              <w:t>2</w:t>
            </w:r>
          </w:p>
        </w:tc>
        <w:tc>
          <w:tcPr>
            <w:tcW w:w="1843" w:type="dxa"/>
            <w:tcBorders>
              <w:top w:val="single" w:sz="4" w:space="0" w:color="auto"/>
              <w:left w:val="single" w:sz="4" w:space="0" w:color="auto"/>
              <w:bottom w:val="single" w:sz="4" w:space="0" w:color="auto"/>
              <w:right w:val="single" w:sz="4" w:space="0" w:color="auto"/>
            </w:tcBorders>
          </w:tcPr>
          <w:p w14:paraId="360387AA" w14:textId="77777777" w:rsidR="00E72C7B" w:rsidRPr="009C5807" w:rsidRDefault="00E72C7B" w:rsidP="00357256">
            <w:pPr>
              <w:pStyle w:val="TAC"/>
              <w:rPr>
                <w:rFonts w:cs="Arial"/>
                <w:szCs w:val="18"/>
              </w:rPr>
            </w:pPr>
            <w:r w:rsidRPr="009C5807">
              <w:rPr>
                <w:rFonts w:cs="Arial"/>
                <w:szCs w:val="18"/>
              </w:rPr>
              <w:t>3</w:t>
            </w:r>
          </w:p>
        </w:tc>
      </w:tr>
      <w:tr w:rsidR="00E72C7B" w:rsidRPr="009C5807" w14:paraId="2DB6B675" w14:textId="77777777" w:rsidTr="00566CF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3A6F2B4" w14:textId="77777777" w:rsidR="00E72C7B" w:rsidRPr="009C5807" w:rsidRDefault="00E72C7B" w:rsidP="00357256">
            <w:pPr>
              <w:pStyle w:val="TAC"/>
              <w:rPr>
                <w:lang w:eastAsia="zh-CN"/>
              </w:rPr>
            </w:pPr>
            <w:r w:rsidRPr="009C5807">
              <w:rPr>
                <w:rFonts w:hint="eastAsia"/>
                <w:lang w:eastAsia="zh-CN"/>
              </w:rPr>
              <w:t>2</w:t>
            </w:r>
            <w:r w:rsidRPr="009C5807">
              <w:rPr>
                <w:lang w:eastAsia="zh-CN"/>
              </w:rPr>
              <w:t xml:space="preserve"> </w:t>
            </w:r>
          </w:p>
        </w:tc>
        <w:tc>
          <w:tcPr>
            <w:tcW w:w="1898" w:type="dxa"/>
            <w:tcBorders>
              <w:top w:val="single" w:sz="4" w:space="0" w:color="auto"/>
              <w:left w:val="single" w:sz="4" w:space="0" w:color="auto"/>
              <w:bottom w:val="single" w:sz="4" w:space="0" w:color="auto"/>
              <w:right w:val="single" w:sz="4" w:space="0" w:color="auto"/>
            </w:tcBorders>
            <w:vAlign w:val="center"/>
            <w:hideMark/>
          </w:tcPr>
          <w:p w14:paraId="16B9C360" w14:textId="77777777" w:rsidR="00E72C7B" w:rsidRPr="009C5807" w:rsidRDefault="00E72C7B" w:rsidP="00357256">
            <w:pPr>
              <w:pStyle w:val="TAC"/>
              <w:rPr>
                <w:lang w:eastAsia="zh-CN"/>
              </w:rPr>
            </w:pPr>
            <w:r w:rsidRPr="009C5807">
              <w:rPr>
                <w:rFonts w:hint="eastAsia"/>
                <w:lang w:eastAsia="zh-CN"/>
              </w:rPr>
              <w:t>0.25</w:t>
            </w:r>
          </w:p>
        </w:tc>
        <w:tc>
          <w:tcPr>
            <w:tcW w:w="1984" w:type="dxa"/>
            <w:tcBorders>
              <w:top w:val="single" w:sz="4" w:space="0" w:color="auto"/>
              <w:left w:val="single" w:sz="4" w:space="0" w:color="auto"/>
              <w:bottom w:val="single" w:sz="4" w:space="0" w:color="auto"/>
              <w:right w:val="single" w:sz="4" w:space="0" w:color="auto"/>
            </w:tcBorders>
            <w:hideMark/>
          </w:tcPr>
          <w:p w14:paraId="6F890780" w14:textId="77777777" w:rsidR="00E72C7B" w:rsidRPr="009C5807" w:rsidRDefault="00E72C7B" w:rsidP="00357256">
            <w:pPr>
              <w:pStyle w:val="TAC"/>
              <w:rPr>
                <w:rFonts w:cs="Arial"/>
                <w:szCs w:val="18"/>
              </w:rPr>
            </w:pPr>
            <w:r w:rsidRPr="009C5807">
              <w:rPr>
                <w:rFonts w:cs="Arial"/>
                <w:szCs w:val="18"/>
              </w:rPr>
              <w:t>5</w:t>
            </w:r>
          </w:p>
        </w:tc>
        <w:tc>
          <w:tcPr>
            <w:tcW w:w="1843" w:type="dxa"/>
            <w:tcBorders>
              <w:top w:val="single" w:sz="4" w:space="0" w:color="auto"/>
              <w:left w:val="single" w:sz="4" w:space="0" w:color="auto"/>
              <w:bottom w:val="single" w:sz="4" w:space="0" w:color="auto"/>
              <w:right w:val="single" w:sz="4" w:space="0" w:color="auto"/>
            </w:tcBorders>
          </w:tcPr>
          <w:p w14:paraId="76F19A3B" w14:textId="77777777" w:rsidR="00E72C7B" w:rsidRPr="009C5807" w:rsidRDefault="00E72C7B" w:rsidP="00357256">
            <w:pPr>
              <w:pStyle w:val="TAC"/>
              <w:rPr>
                <w:rFonts w:cs="Arial"/>
                <w:szCs w:val="18"/>
              </w:rPr>
            </w:pPr>
            <w:r w:rsidRPr="009C5807">
              <w:rPr>
                <w:rFonts w:cs="Arial"/>
                <w:szCs w:val="18"/>
              </w:rPr>
              <w:t>5</w:t>
            </w:r>
          </w:p>
        </w:tc>
      </w:tr>
    </w:tbl>
    <w:p w14:paraId="55826511" w14:textId="77777777" w:rsidR="00E72C7B" w:rsidRPr="009C5807" w:rsidRDefault="00E72C7B" w:rsidP="00E72C7B">
      <w:pPr>
        <w:rPr>
          <w:rFonts w:cs="v4.2.0"/>
        </w:rPr>
      </w:pPr>
    </w:p>
    <w:p w14:paraId="290293CF" w14:textId="1B90C6F0" w:rsidR="00F2752E" w:rsidRPr="009C5807" w:rsidRDefault="00F2752E" w:rsidP="00F2752E">
      <w:pPr>
        <w:rPr>
          <w:rFonts w:cs="v4.2.0"/>
        </w:rPr>
      </w:pPr>
      <w:r w:rsidRPr="009C5807">
        <w:rPr>
          <w:rFonts w:cs="v4.2.0"/>
        </w:rPr>
        <w:t xml:space="preserve">For </w:t>
      </w:r>
      <w:r w:rsidRPr="009C5807">
        <w:t>FR1-to-FR1</w:t>
      </w:r>
      <w:r w:rsidRPr="009C5807">
        <w:rPr>
          <w:rFonts w:cs="v4.2.0"/>
        </w:rPr>
        <w:t xml:space="preserve"> intra-frequency handover, T</w:t>
      </w:r>
      <w:r w:rsidRPr="009C5807">
        <w:rPr>
          <w:rFonts w:cs="v4.2.0"/>
          <w:vertAlign w:val="subscript"/>
        </w:rPr>
        <w:t>interrupt2</w:t>
      </w:r>
      <w:r w:rsidRPr="009C5807">
        <w:rPr>
          <w:rFonts w:cs="v4.2.0"/>
        </w:rPr>
        <w:t xml:space="preserve"> is </w:t>
      </w:r>
      <w:r w:rsidRPr="009C5807">
        <w:rPr>
          <w:rFonts w:ascii="Tms Rmn" w:eastAsia="MS Mincho" w:hAnsi="Tms Rmn"/>
        </w:rPr>
        <w:t xml:space="preserve">specified </w:t>
      </w:r>
      <w:r w:rsidRPr="009C5807">
        <w:rPr>
          <w:rFonts w:cs="v4.2.0"/>
        </w:rPr>
        <w:t xml:space="preserve">in Table </w:t>
      </w:r>
      <w:r w:rsidRPr="009C5807">
        <w:t>6.1.3.2.2-4</w:t>
      </w:r>
      <w:r w:rsidRPr="009C5807">
        <w:rPr>
          <w:rFonts w:cs="v4.2.0"/>
        </w:rPr>
        <w:t xml:space="preserve"> </w:t>
      </w:r>
      <w:bookmarkStart w:id="102" w:name="OLE_LINK343"/>
      <w:r w:rsidRPr="009C5807">
        <w:rPr>
          <w:rFonts w:cs="v4.2.0"/>
        </w:rPr>
        <w:t xml:space="preserve">when </w:t>
      </w:r>
      <w:r w:rsidRPr="009C5807">
        <w:t xml:space="preserve">the BWP of target cell is </w:t>
      </w:r>
      <w:bookmarkStart w:id="103" w:name="OLE_LINK341"/>
      <w:r w:rsidRPr="009C5807">
        <w:t xml:space="preserve">smaller than </w:t>
      </w:r>
      <w:bookmarkEnd w:id="103"/>
      <w:r w:rsidRPr="009C5807">
        <w:t>the BWP of source cell</w:t>
      </w:r>
      <w:bookmarkEnd w:id="102"/>
      <w:r w:rsidRPr="009C5807">
        <w:rPr>
          <w:rFonts w:cs="v4.2.0"/>
        </w:rPr>
        <w:t>, and T</w:t>
      </w:r>
      <w:r w:rsidRPr="009C5807">
        <w:rPr>
          <w:rFonts w:cs="v4.2.0"/>
          <w:vertAlign w:val="subscript"/>
        </w:rPr>
        <w:t>interrupt2</w:t>
      </w:r>
      <w:r w:rsidRPr="009C5807">
        <w:rPr>
          <w:rFonts w:cs="v4.2.0"/>
        </w:rPr>
        <w:t xml:space="preserve"> </w:t>
      </w:r>
      <w:bookmarkStart w:id="104" w:name="OLE_LINK340"/>
      <w:r w:rsidRPr="009C5807">
        <w:rPr>
          <w:rFonts w:cs="v4.2.0"/>
        </w:rPr>
        <w:t xml:space="preserve">is </w:t>
      </w:r>
      <w:r w:rsidRPr="009C5807">
        <w:rPr>
          <w:rFonts w:ascii="Tms Rmn" w:eastAsia="MS Mincho" w:hAnsi="Tms Rmn"/>
        </w:rPr>
        <w:t xml:space="preserve">specified </w:t>
      </w:r>
      <w:r w:rsidRPr="009C5807">
        <w:rPr>
          <w:rFonts w:cs="v4.2.0"/>
        </w:rPr>
        <w:t xml:space="preserve">in Table </w:t>
      </w:r>
      <w:r w:rsidRPr="009C5807">
        <w:t>6.1.3.2.2-</w:t>
      </w:r>
      <w:bookmarkEnd w:id="104"/>
      <w:r>
        <w:t>5</w:t>
      </w:r>
      <w:r w:rsidRPr="009C5807">
        <w:t xml:space="preserve"> when </w:t>
      </w:r>
      <w:r w:rsidRPr="009C5807">
        <w:rPr>
          <w:rFonts w:cs="v4.2.0"/>
        </w:rPr>
        <w:t xml:space="preserve">the same </w:t>
      </w:r>
      <w:r w:rsidRPr="009C5807">
        <w:t xml:space="preserve">BWP </w:t>
      </w:r>
      <w:r w:rsidRPr="009C5807">
        <w:rPr>
          <w:rFonts w:cs="v4.2.0"/>
        </w:rPr>
        <w:t>is used for target cell and source cell</w:t>
      </w:r>
      <w:r w:rsidRPr="009C5807">
        <w:t>.</w:t>
      </w:r>
    </w:p>
    <w:p w14:paraId="62ED3793" w14:textId="77777777" w:rsidR="00F2752E" w:rsidRPr="009C5807" w:rsidRDefault="00F2752E" w:rsidP="00F2752E">
      <w:pPr>
        <w:pStyle w:val="TH"/>
      </w:pPr>
      <w:r w:rsidRPr="009C5807">
        <w:t>Table 6.1.3.2.2-4: T</w:t>
      </w:r>
      <w:r w:rsidRPr="009C5807">
        <w:rPr>
          <w:vertAlign w:val="subscript"/>
        </w:rPr>
        <w:t>interrupt2</w:t>
      </w:r>
      <w:r w:rsidRPr="009C5807">
        <w:t xml:space="preserve"> for FR1-to-FR1 intra-frequency DAPS HO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2552"/>
        <w:gridCol w:w="3545"/>
      </w:tblGrid>
      <w:tr w:rsidR="00F2752E" w:rsidRPr="009C5807" w14:paraId="422B9331" w14:textId="77777777" w:rsidTr="00541BA5">
        <w:trPr>
          <w:trHeight w:val="470"/>
          <w:jc w:val="center"/>
        </w:trPr>
        <w:tc>
          <w:tcPr>
            <w:tcW w:w="852" w:type="dxa"/>
            <w:tcBorders>
              <w:top w:val="single" w:sz="4" w:space="0" w:color="auto"/>
              <w:left w:val="single" w:sz="4" w:space="0" w:color="auto"/>
              <w:bottom w:val="single" w:sz="4" w:space="0" w:color="auto"/>
              <w:right w:val="single" w:sz="4" w:space="0" w:color="auto"/>
            </w:tcBorders>
            <w:vAlign w:val="center"/>
            <w:hideMark/>
          </w:tcPr>
          <w:p w14:paraId="4179F844" w14:textId="77777777" w:rsidR="00F2752E" w:rsidRPr="009C5807" w:rsidRDefault="00F2752E" w:rsidP="00541BA5">
            <w:pPr>
              <w:pStyle w:val="TAH"/>
            </w:pPr>
            <w:r w:rsidRPr="009C5807">
              <w:rPr>
                <w:noProof/>
                <w:lang w:val="en-US" w:eastAsia="zh-CN"/>
              </w:rPr>
              <w:drawing>
                <wp:inline distT="0" distB="0" distL="0" distR="0" wp14:anchorId="06987FFF" wp14:editId="23730E3D">
                  <wp:extent cx="154305" cy="154305"/>
                  <wp:effectExtent l="0" t="0" r="0" b="0"/>
                  <wp:docPr id="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single" w:sz="4" w:space="0" w:color="auto"/>
              <w:right w:val="single" w:sz="4" w:space="0" w:color="auto"/>
            </w:tcBorders>
            <w:hideMark/>
          </w:tcPr>
          <w:p w14:paraId="7F3617D3" w14:textId="77777777" w:rsidR="00F2752E" w:rsidRPr="009C5807" w:rsidRDefault="00F2752E" w:rsidP="00541BA5">
            <w:pPr>
              <w:pStyle w:val="TAH"/>
            </w:pPr>
            <w:r w:rsidRPr="009C5807">
              <w:t>NR Slot length (ms)</w:t>
            </w:r>
          </w:p>
        </w:tc>
        <w:tc>
          <w:tcPr>
            <w:tcW w:w="2552" w:type="dxa"/>
            <w:tcBorders>
              <w:top w:val="single" w:sz="4" w:space="0" w:color="auto"/>
              <w:left w:val="single" w:sz="4" w:space="0" w:color="auto"/>
              <w:bottom w:val="single" w:sz="4" w:space="0" w:color="auto"/>
              <w:right w:val="single" w:sz="4" w:space="0" w:color="auto"/>
            </w:tcBorders>
            <w:hideMark/>
          </w:tcPr>
          <w:p w14:paraId="593CF2A9" w14:textId="77777777" w:rsidR="00F2752E" w:rsidRPr="009C5807" w:rsidRDefault="00F2752E" w:rsidP="00541BA5">
            <w:pPr>
              <w:pStyle w:val="TAH"/>
            </w:pPr>
            <w:r w:rsidRPr="009C5807">
              <w:t>Interruption length X (slots</w:t>
            </w:r>
            <w:r w:rsidRPr="009C5807">
              <w:rPr>
                <w:vertAlign w:val="superscript"/>
              </w:rPr>
              <w:t>Note 1</w:t>
            </w:r>
            <w:r w:rsidRPr="009C5807">
              <w:t>)</w:t>
            </w:r>
          </w:p>
        </w:tc>
        <w:tc>
          <w:tcPr>
            <w:tcW w:w="3545" w:type="dxa"/>
            <w:tcBorders>
              <w:top w:val="single" w:sz="4" w:space="0" w:color="auto"/>
              <w:left w:val="single" w:sz="4" w:space="0" w:color="auto"/>
              <w:right w:val="single" w:sz="4" w:space="0" w:color="auto"/>
            </w:tcBorders>
          </w:tcPr>
          <w:p w14:paraId="123624B9" w14:textId="77777777" w:rsidR="00F2752E" w:rsidRPr="009C5807" w:rsidRDefault="00F2752E" w:rsidP="00541BA5">
            <w:pPr>
              <w:pStyle w:val="TAH"/>
            </w:pPr>
            <w:r w:rsidRPr="00A01642">
              <w:t>T</w:t>
            </w:r>
            <w:r w:rsidRPr="00A01642">
              <w:rPr>
                <w:vertAlign w:val="subscript"/>
              </w:rPr>
              <w:t>interrupt2</w:t>
            </w:r>
            <w:r w:rsidRPr="00A01642">
              <w:t xml:space="preserve"> (slots</w:t>
            </w:r>
            <w:r w:rsidRPr="00A01642">
              <w:rPr>
                <w:vertAlign w:val="superscript"/>
              </w:rPr>
              <w:t>Note 1</w:t>
            </w:r>
            <w:r w:rsidRPr="00A01642">
              <w:t>) for asynchronous DAPS HO</w:t>
            </w:r>
          </w:p>
        </w:tc>
      </w:tr>
      <w:tr w:rsidR="00F2752E" w:rsidRPr="009C5807" w14:paraId="52BF28E8" w14:textId="77777777" w:rsidTr="00541BA5">
        <w:trPr>
          <w:jc w:val="center"/>
        </w:trPr>
        <w:tc>
          <w:tcPr>
            <w:tcW w:w="852" w:type="dxa"/>
            <w:tcBorders>
              <w:top w:val="single" w:sz="4" w:space="0" w:color="auto"/>
              <w:left w:val="single" w:sz="4" w:space="0" w:color="auto"/>
              <w:bottom w:val="single" w:sz="4" w:space="0" w:color="auto"/>
              <w:right w:val="single" w:sz="4" w:space="0" w:color="auto"/>
            </w:tcBorders>
            <w:hideMark/>
          </w:tcPr>
          <w:p w14:paraId="1CBA8B4E" w14:textId="77777777" w:rsidR="00F2752E" w:rsidRPr="009C5807" w:rsidRDefault="00F2752E" w:rsidP="00541BA5">
            <w:pPr>
              <w:pStyle w:val="TAC"/>
            </w:pPr>
            <w:r w:rsidRPr="009C5807">
              <w:t>0</w:t>
            </w:r>
          </w:p>
        </w:tc>
        <w:tc>
          <w:tcPr>
            <w:tcW w:w="1276" w:type="dxa"/>
            <w:tcBorders>
              <w:top w:val="single" w:sz="4" w:space="0" w:color="auto"/>
              <w:left w:val="single" w:sz="4" w:space="0" w:color="auto"/>
              <w:bottom w:val="single" w:sz="4" w:space="0" w:color="auto"/>
              <w:right w:val="single" w:sz="4" w:space="0" w:color="auto"/>
            </w:tcBorders>
            <w:hideMark/>
          </w:tcPr>
          <w:p w14:paraId="3B7EF445" w14:textId="77777777" w:rsidR="00F2752E" w:rsidRPr="009C5807" w:rsidRDefault="00F2752E" w:rsidP="00541BA5">
            <w:pPr>
              <w:pStyle w:val="TAC"/>
            </w:pPr>
            <w:r w:rsidRPr="009C5807">
              <w:t>1</w:t>
            </w:r>
          </w:p>
        </w:tc>
        <w:tc>
          <w:tcPr>
            <w:tcW w:w="2552" w:type="dxa"/>
            <w:tcBorders>
              <w:top w:val="single" w:sz="4" w:space="0" w:color="auto"/>
              <w:left w:val="single" w:sz="4" w:space="0" w:color="auto"/>
              <w:bottom w:val="single" w:sz="4" w:space="0" w:color="auto"/>
              <w:right w:val="single" w:sz="4" w:space="0" w:color="auto"/>
            </w:tcBorders>
            <w:hideMark/>
          </w:tcPr>
          <w:p w14:paraId="106DD91B" w14:textId="77777777" w:rsidR="00F2752E" w:rsidRPr="009C5807" w:rsidRDefault="00F2752E" w:rsidP="00541BA5">
            <w:pPr>
              <w:pStyle w:val="TAC"/>
              <w:rPr>
                <w:lang w:eastAsia="zh-CN"/>
              </w:rPr>
            </w:pPr>
            <w:r>
              <w:rPr>
                <w:lang w:eastAsia="zh-CN"/>
              </w:rPr>
              <w:t>2</w:t>
            </w:r>
          </w:p>
        </w:tc>
        <w:tc>
          <w:tcPr>
            <w:tcW w:w="3545" w:type="dxa"/>
            <w:tcBorders>
              <w:top w:val="single" w:sz="4" w:space="0" w:color="auto"/>
              <w:left w:val="single" w:sz="4" w:space="0" w:color="auto"/>
              <w:bottom w:val="single" w:sz="4" w:space="0" w:color="auto"/>
              <w:right w:val="single" w:sz="4" w:space="0" w:color="auto"/>
            </w:tcBorders>
          </w:tcPr>
          <w:p w14:paraId="612E92B6" w14:textId="77777777" w:rsidR="00F2752E" w:rsidRPr="009C5807" w:rsidDel="00042996" w:rsidRDefault="00F2752E" w:rsidP="00541BA5">
            <w:pPr>
              <w:pStyle w:val="TAC"/>
              <w:rPr>
                <w:lang w:eastAsia="zh-CN"/>
              </w:rPr>
            </w:pPr>
            <w:r>
              <w:rPr>
                <w:lang w:eastAsia="zh-CN"/>
              </w:rPr>
              <w:t>3</w:t>
            </w:r>
          </w:p>
        </w:tc>
      </w:tr>
      <w:tr w:rsidR="00F2752E" w:rsidRPr="009C5807" w14:paraId="1F19CFE0" w14:textId="77777777" w:rsidTr="00541BA5">
        <w:trPr>
          <w:jc w:val="center"/>
        </w:trPr>
        <w:tc>
          <w:tcPr>
            <w:tcW w:w="852" w:type="dxa"/>
            <w:tcBorders>
              <w:top w:val="single" w:sz="4" w:space="0" w:color="auto"/>
              <w:left w:val="single" w:sz="4" w:space="0" w:color="auto"/>
              <w:bottom w:val="single" w:sz="4" w:space="0" w:color="auto"/>
              <w:right w:val="single" w:sz="4" w:space="0" w:color="auto"/>
            </w:tcBorders>
            <w:hideMark/>
          </w:tcPr>
          <w:p w14:paraId="0A912F7D" w14:textId="77777777" w:rsidR="00F2752E" w:rsidRPr="009C5807" w:rsidRDefault="00F2752E" w:rsidP="00541BA5">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7ED794C4" w14:textId="77777777" w:rsidR="00F2752E" w:rsidRPr="009C5807" w:rsidRDefault="00F2752E" w:rsidP="00541BA5">
            <w:pPr>
              <w:pStyle w:val="TAC"/>
            </w:pPr>
            <w:r w:rsidRPr="009C5807">
              <w:t>0.5</w:t>
            </w:r>
          </w:p>
        </w:tc>
        <w:tc>
          <w:tcPr>
            <w:tcW w:w="2552" w:type="dxa"/>
            <w:tcBorders>
              <w:top w:val="single" w:sz="4" w:space="0" w:color="auto"/>
              <w:left w:val="single" w:sz="4" w:space="0" w:color="auto"/>
              <w:bottom w:val="single" w:sz="4" w:space="0" w:color="auto"/>
              <w:right w:val="single" w:sz="4" w:space="0" w:color="auto"/>
            </w:tcBorders>
            <w:hideMark/>
          </w:tcPr>
          <w:p w14:paraId="2F73128C" w14:textId="77777777" w:rsidR="00F2752E" w:rsidRPr="009C5807" w:rsidRDefault="00F2752E" w:rsidP="00541BA5">
            <w:pPr>
              <w:pStyle w:val="TAC"/>
              <w:rPr>
                <w:lang w:eastAsia="zh-CN"/>
              </w:rPr>
            </w:pPr>
            <w:r>
              <w:rPr>
                <w:lang w:eastAsia="zh-CN"/>
              </w:rPr>
              <w:t>4</w:t>
            </w:r>
          </w:p>
        </w:tc>
        <w:tc>
          <w:tcPr>
            <w:tcW w:w="3545" w:type="dxa"/>
            <w:tcBorders>
              <w:top w:val="single" w:sz="4" w:space="0" w:color="auto"/>
              <w:left w:val="single" w:sz="4" w:space="0" w:color="auto"/>
              <w:bottom w:val="single" w:sz="4" w:space="0" w:color="auto"/>
              <w:right w:val="single" w:sz="4" w:space="0" w:color="auto"/>
            </w:tcBorders>
          </w:tcPr>
          <w:p w14:paraId="6C9B5BB3" w14:textId="77777777" w:rsidR="00F2752E" w:rsidRPr="009C5807" w:rsidDel="00042996" w:rsidRDefault="00F2752E" w:rsidP="00541BA5">
            <w:pPr>
              <w:pStyle w:val="TAC"/>
              <w:rPr>
                <w:lang w:eastAsia="zh-CN"/>
              </w:rPr>
            </w:pPr>
            <w:r>
              <w:rPr>
                <w:lang w:eastAsia="zh-CN"/>
              </w:rPr>
              <w:t>5</w:t>
            </w:r>
          </w:p>
        </w:tc>
      </w:tr>
      <w:tr w:rsidR="00F2752E" w:rsidRPr="009C5807" w14:paraId="2CF3604A" w14:textId="77777777" w:rsidTr="00541BA5">
        <w:trPr>
          <w:jc w:val="center"/>
        </w:trPr>
        <w:tc>
          <w:tcPr>
            <w:tcW w:w="852" w:type="dxa"/>
            <w:tcBorders>
              <w:top w:val="single" w:sz="4" w:space="0" w:color="auto"/>
              <w:left w:val="single" w:sz="4" w:space="0" w:color="auto"/>
              <w:bottom w:val="single" w:sz="4" w:space="0" w:color="auto"/>
              <w:right w:val="single" w:sz="4" w:space="0" w:color="auto"/>
            </w:tcBorders>
            <w:hideMark/>
          </w:tcPr>
          <w:p w14:paraId="3C4882F1" w14:textId="77777777" w:rsidR="00F2752E" w:rsidRPr="009C5807" w:rsidRDefault="00F2752E" w:rsidP="00541BA5">
            <w:pPr>
              <w:pStyle w:val="TAC"/>
            </w:pPr>
            <w:r w:rsidRPr="009C5807">
              <w:t>2</w:t>
            </w:r>
          </w:p>
        </w:tc>
        <w:tc>
          <w:tcPr>
            <w:tcW w:w="1276" w:type="dxa"/>
            <w:tcBorders>
              <w:top w:val="single" w:sz="4" w:space="0" w:color="auto"/>
              <w:left w:val="single" w:sz="4" w:space="0" w:color="auto"/>
              <w:bottom w:val="single" w:sz="4" w:space="0" w:color="auto"/>
              <w:right w:val="single" w:sz="4" w:space="0" w:color="auto"/>
            </w:tcBorders>
            <w:hideMark/>
          </w:tcPr>
          <w:p w14:paraId="44D424BA" w14:textId="77777777" w:rsidR="00F2752E" w:rsidRPr="009C5807" w:rsidRDefault="00F2752E" w:rsidP="00541BA5">
            <w:pPr>
              <w:pStyle w:val="TAC"/>
            </w:pPr>
            <w:r w:rsidRPr="009C5807">
              <w:t>0.25</w:t>
            </w:r>
          </w:p>
        </w:tc>
        <w:tc>
          <w:tcPr>
            <w:tcW w:w="2552" w:type="dxa"/>
            <w:tcBorders>
              <w:top w:val="single" w:sz="4" w:space="0" w:color="auto"/>
              <w:left w:val="single" w:sz="4" w:space="0" w:color="auto"/>
              <w:bottom w:val="single" w:sz="4" w:space="0" w:color="auto"/>
              <w:right w:val="single" w:sz="4" w:space="0" w:color="auto"/>
            </w:tcBorders>
            <w:hideMark/>
          </w:tcPr>
          <w:p w14:paraId="1991D0DC" w14:textId="77777777" w:rsidR="00F2752E" w:rsidRPr="009C5807" w:rsidRDefault="00F2752E" w:rsidP="00541BA5">
            <w:pPr>
              <w:pStyle w:val="TAC"/>
              <w:rPr>
                <w:lang w:eastAsia="zh-CN"/>
              </w:rPr>
            </w:pPr>
            <w:r>
              <w:rPr>
                <w:lang w:eastAsia="zh-CN"/>
              </w:rPr>
              <w:t>8</w:t>
            </w:r>
          </w:p>
        </w:tc>
        <w:tc>
          <w:tcPr>
            <w:tcW w:w="3545" w:type="dxa"/>
            <w:tcBorders>
              <w:top w:val="single" w:sz="4" w:space="0" w:color="auto"/>
              <w:left w:val="single" w:sz="4" w:space="0" w:color="auto"/>
              <w:bottom w:val="single" w:sz="4" w:space="0" w:color="auto"/>
              <w:right w:val="single" w:sz="4" w:space="0" w:color="auto"/>
            </w:tcBorders>
          </w:tcPr>
          <w:p w14:paraId="0A0640DF" w14:textId="77777777" w:rsidR="00F2752E" w:rsidRPr="009C5807" w:rsidRDefault="00F2752E" w:rsidP="00541BA5">
            <w:pPr>
              <w:pStyle w:val="TAC"/>
              <w:rPr>
                <w:lang w:eastAsia="zh-CN"/>
              </w:rPr>
            </w:pPr>
            <w:r>
              <w:rPr>
                <w:lang w:eastAsia="zh-CN"/>
              </w:rPr>
              <w:t>9</w:t>
            </w:r>
          </w:p>
        </w:tc>
      </w:tr>
      <w:tr w:rsidR="00F2752E" w:rsidRPr="009C5807" w14:paraId="64EE40E8" w14:textId="77777777" w:rsidTr="00541BA5">
        <w:trPr>
          <w:jc w:val="center"/>
        </w:trPr>
        <w:tc>
          <w:tcPr>
            <w:tcW w:w="8225" w:type="dxa"/>
            <w:gridSpan w:val="4"/>
            <w:tcBorders>
              <w:top w:val="single" w:sz="4" w:space="0" w:color="auto"/>
              <w:left w:val="single" w:sz="4" w:space="0" w:color="auto"/>
              <w:bottom w:val="single" w:sz="4" w:space="0" w:color="auto"/>
              <w:right w:val="single" w:sz="4" w:space="0" w:color="auto"/>
            </w:tcBorders>
            <w:hideMark/>
          </w:tcPr>
          <w:p w14:paraId="0FC1AFFB" w14:textId="77777777" w:rsidR="00F2752E" w:rsidRPr="009C5807" w:rsidRDefault="00F2752E" w:rsidP="00541BA5">
            <w:pPr>
              <w:pStyle w:val="TAN"/>
            </w:pPr>
            <w:r w:rsidRPr="009C5807">
              <w:t>Note 1:</w:t>
            </w:r>
            <w:r w:rsidRPr="009C5807">
              <w:tab/>
            </w:r>
            <w:r w:rsidRPr="009C5807">
              <w:rPr>
                <w:rFonts w:hint="eastAsia"/>
                <w:lang w:eastAsia="zh-CN"/>
              </w:rPr>
              <w:t xml:space="preserve">The same </w:t>
            </w:r>
            <w:r w:rsidRPr="009C5807">
              <w:t>SCS</w:t>
            </w:r>
            <w:r w:rsidRPr="009C5807">
              <w:rPr>
                <w:rFonts w:hint="eastAsia"/>
                <w:lang w:eastAsia="zh-CN"/>
              </w:rPr>
              <w:t xml:space="preserve"> of source cell and target cell is assumed</w:t>
            </w:r>
            <w:r w:rsidRPr="009C5807">
              <w:t>.</w:t>
            </w:r>
          </w:p>
          <w:p w14:paraId="1488F366" w14:textId="77777777" w:rsidR="00F2752E" w:rsidRPr="009C5807" w:rsidRDefault="00F2752E" w:rsidP="00541BA5">
            <w:pPr>
              <w:pStyle w:val="TAN"/>
            </w:pPr>
            <w:r w:rsidRPr="009C5807">
              <w:t>Note 2:</w:t>
            </w:r>
            <w:r w:rsidRPr="009C5807">
              <w:tab/>
              <w:t xml:space="preserve">It is assumed that the BWP of target cell is </w:t>
            </w:r>
            <w:r>
              <w:t>smaller than</w:t>
            </w:r>
            <w:r w:rsidRPr="009C5807">
              <w:t xml:space="preserve"> the BWP of source cell.</w:t>
            </w:r>
          </w:p>
        </w:tc>
      </w:tr>
    </w:tbl>
    <w:p w14:paraId="233CEE9B" w14:textId="77777777" w:rsidR="00F2752E" w:rsidRPr="009C5807" w:rsidRDefault="00F2752E" w:rsidP="00F2752E">
      <w:pPr>
        <w:rPr>
          <w:rFonts w:cs="v4.2.0"/>
        </w:rPr>
      </w:pPr>
    </w:p>
    <w:p w14:paraId="739A807B" w14:textId="1C2CB2E4" w:rsidR="00F2752E" w:rsidRPr="009C5807" w:rsidRDefault="00F2752E" w:rsidP="00F2752E">
      <w:pPr>
        <w:pStyle w:val="TH"/>
      </w:pPr>
      <w:r w:rsidRPr="009C5807">
        <w:t>Table 6.1.3.2.2-</w:t>
      </w:r>
      <w:r>
        <w:t>5</w:t>
      </w:r>
      <w:r w:rsidRPr="009C5807">
        <w:t>: T</w:t>
      </w:r>
      <w:r w:rsidRPr="009C5807">
        <w:rPr>
          <w:vertAlign w:val="subscript"/>
        </w:rPr>
        <w:t>interrupt2</w:t>
      </w:r>
      <w:r w:rsidRPr="009C5807">
        <w:t xml:space="preserve"> for FR1-to-FR1 intra-frequency DAPS HO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2552"/>
        <w:gridCol w:w="3545"/>
      </w:tblGrid>
      <w:tr w:rsidR="00F2752E" w:rsidRPr="009C5807" w14:paraId="747A5B74" w14:textId="77777777" w:rsidTr="00541BA5">
        <w:trPr>
          <w:trHeight w:val="470"/>
          <w:jc w:val="center"/>
        </w:trPr>
        <w:tc>
          <w:tcPr>
            <w:tcW w:w="852" w:type="dxa"/>
            <w:tcBorders>
              <w:top w:val="single" w:sz="4" w:space="0" w:color="auto"/>
              <w:left w:val="single" w:sz="4" w:space="0" w:color="auto"/>
              <w:bottom w:val="single" w:sz="4" w:space="0" w:color="auto"/>
              <w:right w:val="single" w:sz="4" w:space="0" w:color="auto"/>
            </w:tcBorders>
            <w:vAlign w:val="center"/>
            <w:hideMark/>
          </w:tcPr>
          <w:p w14:paraId="093FD62A" w14:textId="77777777" w:rsidR="00F2752E" w:rsidRPr="009C5807" w:rsidRDefault="00F2752E" w:rsidP="00541BA5">
            <w:pPr>
              <w:pStyle w:val="TAH"/>
            </w:pPr>
            <w:r w:rsidRPr="009C5807">
              <w:rPr>
                <w:noProof/>
                <w:lang w:val="en-US" w:eastAsia="zh-CN"/>
              </w:rPr>
              <w:drawing>
                <wp:inline distT="0" distB="0" distL="0" distR="0" wp14:anchorId="0FF60145" wp14:editId="6B9B7600">
                  <wp:extent cx="154305" cy="154305"/>
                  <wp:effectExtent l="0" t="0" r="0" b="0"/>
                  <wp:docPr id="2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single" w:sz="4" w:space="0" w:color="auto"/>
              <w:right w:val="single" w:sz="4" w:space="0" w:color="auto"/>
            </w:tcBorders>
            <w:hideMark/>
          </w:tcPr>
          <w:p w14:paraId="7107B6E3" w14:textId="77777777" w:rsidR="00F2752E" w:rsidRPr="009C5807" w:rsidRDefault="00F2752E" w:rsidP="00541BA5">
            <w:pPr>
              <w:pStyle w:val="TAH"/>
            </w:pPr>
            <w:r w:rsidRPr="009C5807">
              <w:t>NR Slot length (ms)</w:t>
            </w:r>
          </w:p>
        </w:tc>
        <w:tc>
          <w:tcPr>
            <w:tcW w:w="2552" w:type="dxa"/>
            <w:tcBorders>
              <w:top w:val="single" w:sz="4" w:space="0" w:color="auto"/>
              <w:left w:val="single" w:sz="4" w:space="0" w:color="auto"/>
              <w:bottom w:val="single" w:sz="4" w:space="0" w:color="auto"/>
              <w:right w:val="single" w:sz="4" w:space="0" w:color="auto"/>
            </w:tcBorders>
            <w:hideMark/>
          </w:tcPr>
          <w:p w14:paraId="5000140E" w14:textId="77777777" w:rsidR="00F2752E" w:rsidRPr="009C5807" w:rsidRDefault="00F2752E" w:rsidP="00541BA5">
            <w:pPr>
              <w:pStyle w:val="TAH"/>
            </w:pPr>
            <w:r w:rsidRPr="009C5807">
              <w:t>Interruption length X (slots</w:t>
            </w:r>
            <w:r w:rsidRPr="009C5807">
              <w:rPr>
                <w:vertAlign w:val="superscript"/>
              </w:rPr>
              <w:t>Note 1</w:t>
            </w:r>
            <w:r w:rsidRPr="009C5807">
              <w:t>)</w:t>
            </w:r>
          </w:p>
        </w:tc>
        <w:tc>
          <w:tcPr>
            <w:tcW w:w="3545" w:type="dxa"/>
            <w:tcBorders>
              <w:top w:val="single" w:sz="4" w:space="0" w:color="auto"/>
              <w:left w:val="single" w:sz="4" w:space="0" w:color="auto"/>
              <w:right w:val="single" w:sz="4" w:space="0" w:color="auto"/>
            </w:tcBorders>
          </w:tcPr>
          <w:p w14:paraId="2E0E4503" w14:textId="77777777" w:rsidR="00F2752E" w:rsidRPr="009C5807" w:rsidRDefault="00F2752E" w:rsidP="00541BA5">
            <w:pPr>
              <w:pStyle w:val="TAH"/>
            </w:pPr>
            <w:r w:rsidRPr="00A01642">
              <w:t>T</w:t>
            </w:r>
            <w:r w:rsidRPr="00A01642">
              <w:rPr>
                <w:vertAlign w:val="subscript"/>
              </w:rPr>
              <w:t>interrupt2</w:t>
            </w:r>
            <w:r w:rsidRPr="00A01642">
              <w:t xml:space="preserve"> (slots</w:t>
            </w:r>
            <w:r w:rsidRPr="00A01642">
              <w:rPr>
                <w:vertAlign w:val="superscript"/>
              </w:rPr>
              <w:t>Note 1</w:t>
            </w:r>
            <w:r w:rsidRPr="00A01642">
              <w:t>) for asynchronous DAPS HO</w:t>
            </w:r>
          </w:p>
        </w:tc>
      </w:tr>
      <w:tr w:rsidR="00F2752E" w:rsidRPr="009C5807" w14:paraId="038162A3" w14:textId="77777777" w:rsidTr="00541BA5">
        <w:trPr>
          <w:jc w:val="center"/>
        </w:trPr>
        <w:tc>
          <w:tcPr>
            <w:tcW w:w="852" w:type="dxa"/>
            <w:tcBorders>
              <w:top w:val="single" w:sz="4" w:space="0" w:color="auto"/>
              <w:left w:val="single" w:sz="4" w:space="0" w:color="auto"/>
              <w:bottom w:val="single" w:sz="4" w:space="0" w:color="auto"/>
              <w:right w:val="single" w:sz="4" w:space="0" w:color="auto"/>
            </w:tcBorders>
            <w:hideMark/>
          </w:tcPr>
          <w:p w14:paraId="15136967" w14:textId="77777777" w:rsidR="00F2752E" w:rsidRPr="009C5807" w:rsidRDefault="00F2752E" w:rsidP="00541BA5">
            <w:pPr>
              <w:pStyle w:val="TAC"/>
            </w:pPr>
            <w:r w:rsidRPr="009C5807">
              <w:t>0</w:t>
            </w:r>
          </w:p>
        </w:tc>
        <w:tc>
          <w:tcPr>
            <w:tcW w:w="1276" w:type="dxa"/>
            <w:tcBorders>
              <w:top w:val="single" w:sz="4" w:space="0" w:color="auto"/>
              <w:left w:val="single" w:sz="4" w:space="0" w:color="auto"/>
              <w:bottom w:val="single" w:sz="4" w:space="0" w:color="auto"/>
              <w:right w:val="single" w:sz="4" w:space="0" w:color="auto"/>
            </w:tcBorders>
            <w:hideMark/>
          </w:tcPr>
          <w:p w14:paraId="24BF5C6D" w14:textId="77777777" w:rsidR="00F2752E" w:rsidRPr="009C5807" w:rsidRDefault="00F2752E" w:rsidP="00541BA5">
            <w:pPr>
              <w:pStyle w:val="TAC"/>
            </w:pPr>
            <w:r w:rsidRPr="009C5807">
              <w:t>1</w:t>
            </w:r>
          </w:p>
        </w:tc>
        <w:tc>
          <w:tcPr>
            <w:tcW w:w="2552" w:type="dxa"/>
            <w:tcBorders>
              <w:top w:val="single" w:sz="4" w:space="0" w:color="auto"/>
              <w:left w:val="single" w:sz="4" w:space="0" w:color="auto"/>
              <w:bottom w:val="single" w:sz="4" w:space="0" w:color="auto"/>
              <w:right w:val="single" w:sz="4" w:space="0" w:color="auto"/>
            </w:tcBorders>
            <w:hideMark/>
          </w:tcPr>
          <w:p w14:paraId="5C498A6D" w14:textId="77777777" w:rsidR="00F2752E" w:rsidRPr="009C5807" w:rsidRDefault="00F2752E" w:rsidP="00541BA5">
            <w:pPr>
              <w:pStyle w:val="TAC"/>
              <w:rPr>
                <w:lang w:eastAsia="zh-CN"/>
              </w:rPr>
            </w:pPr>
            <w:r w:rsidRPr="009C5807">
              <w:rPr>
                <w:lang w:eastAsia="zh-CN"/>
              </w:rPr>
              <w:t>1</w:t>
            </w:r>
          </w:p>
        </w:tc>
        <w:tc>
          <w:tcPr>
            <w:tcW w:w="3545" w:type="dxa"/>
            <w:tcBorders>
              <w:top w:val="single" w:sz="4" w:space="0" w:color="auto"/>
              <w:left w:val="single" w:sz="4" w:space="0" w:color="auto"/>
              <w:bottom w:val="single" w:sz="4" w:space="0" w:color="auto"/>
              <w:right w:val="single" w:sz="4" w:space="0" w:color="auto"/>
            </w:tcBorders>
          </w:tcPr>
          <w:p w14:paraId="0C5066B8" w14:textId="77777777" w:rsidR="00F2752E" w:rsidRPr="009C5807" w:rsidDel="00042996" w:rsidRDefault="00F2752E" w:rsidP="00541BA5">
            <w:pPr>
              <w:pStyle w:val="TAC"/>
              <w:rPr>
                <w:lang w:eastAsia="zh-CN"/>
              </w:rPr>
            </w:pPr>
            <w:r w:rsidRPr="00A01642">
              <w:rPr>
                <w:lang w:eastAsia="zh-CN"/>
              </w:rPr>
              <w:t>2</w:t>
            </w:r>
          </w:p>
        </w:tc>
      </w:tr>
      <w:tr w:rsidR="00F2752E" w:rsidRPr="009C5807" w14:paraId="3C0B280D" w14:textId="77777777" w:rsidTr="00541BA5">
        <w:trPr>
          <w:jc w:val="center"/>
        </w:trPr>
        <w:tc>
          <w:tcPr>
            <w:tcW w:w="852" w:type="dxa"/>
            <w:tcBorders>
              <w:top w:val="single" w:sz="4" w:space="0" w:color="auto"/>
              <w:left w:val="single" w:sz="4" w:space="0" w:color="auto"/>
              <w:bottom w:val="single" w:sz="4" w:space="0" w:color="auto"/>
              <w:right w:val="single" w:sz="4" w:space="0" w:color="auto"/>
            </w:tcBorders>
            <w:hideMark/>
          </w:tcPr>
          <w:p w14:paraId="15B1A6C3" w14:textId="77777777" w:rsidR="00F2752E" w:rsidRPr="009C5807" w:rsidRDefault="00F2752E" w:rsidP="00541BA5">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5B574C5F" w14:textId="77777777" w:rsidR="00F2752E" w:rsidRPr="009C5807" w:rsidRDefault="00F2752E" w:rsidP="00541BA5">
            <w:pPr>
              <w:pStyle w:val="TAC"/>
            </w:pPr>
            <w:r w:rsidRPr="009C5807">
              <w:t>0.5</w:t>
            </w:r>
          </w:p>
        </w:tc>
        <w:tc>
          <w:tcPr>
            <w:tcW w:w="2552" w:type="dxa"/>
            <w:tcBorders>
              <w:top w:val="single" w:sz="4" w:space="0" w:color="auto"/>
              <w:left w:val="single" w:sz="4" w:space="0" w:color="auto"/>
              <w:bottom w:val="single" w:sz="4" w:space="0" w:color="auto"/>
              <w:right w:val="single" w:sz="4" w:space="0" w:color="auto"/>
            </w:tcBorders>
            <w:hideMark/>
          </w:tcPr>
          <w:p w14:paraId="3F19C7EE" w14:textId="77777777" w:rsidR="00F2752E" w:rsidRPr="009C5807" w:rsidRDefault="00F2752E" w:rsidP="00541BA5">
            <w:pPr>
              <w:pStyle w:val="TAC"/>
              <w:rPr>
                <w:lang w:eastAsia="zh-CN"/>
              </w:rPr>
            </w:pPr>
            <w:r w:rsidRPr="009C5807">
              <w:rPr>
                <w:lang w:eastAsia="zh-CN"/>
              </w:rPr>
              <w:t>2</w:t>
            </w:r>
          </w:p>
        </w:tc>
        <w:tc>
          <w:tcPr>
            <w:tcW w:w="3545" w:type="dxa"/>
            <w:tcBorders>
              <w:top w:val="single" w:sz="4" w:space="0" w:color="auto"/>
              <w:left w:val="single" w:sz="4" w:space="0" w:color="auto"/>
              <w:bottom w:val="single" w:sz="4" w:space="0" w:color="auto"/>
              <w:right w:val="single" w:sz="4" w:space="0" w:color="auto"/>
            </w:tcBorders>
          </w:tcPr>
          <w:p w14:paraId="5B17D31F" w14:textId="77777777" w:rsidR="00F2752E" w:rsidRPr="009C5807" w:rsidDel="00042996" w:rsidRDefault="00F2752E" w:rsidP="00541BA5">
            <w:pPr>
              <w:pStyle w:val="TAC"/>
              <w:rPr>
                <w:lang w:eastAsia="zh-CN"/>
              </w:rPr>
            </w:pPr>
            <w:r w:rsidRPr="00A01642">
              <w:rPr>
                <w:lang w:eastAsia="zh-CN"/>
              </w:rPr>
              <w:t>3</w:t>
            </w:r>
          </w:p>
        </w:tc>
      </w:tr>
      <w:tr w:rsidR="00F2752E" w:rsidRPr="009C5807" w14:paraId="7DB81EA4" w14:textId="77777777" w:rsidTr="00541BA5">
        <w:trPr>
          <w:jc w:val="center"/>
        </w:trPr>
        <w:tc>
          <w:tcPr>
            <w:tcW w:w="852" w:type="dxa"/>
            <w:tcBorders>
              <w:top w:val="single" w:sz="4" w:space="0" w:color="auto"/>
              <w:left w:val="single" w:sz="4" w:space="0" w:color="auto"/>
              <w:bottom w:val="single" w:sz="4" w:space="0" w:color="auto"/>
              <w:right w:val="single" w:sz="4" w:space="0" w:color="auto"/>
            </w:tcBorders>
            <w:hideMark/>
          </w:tcPr>
          <w:p w14:paraId="130C41C2" w14:textId="77777777" w:rsidR="00F2752E" w:rsidRPr="009C5807" w:rsidRDefault="00F2752E" w:rsidP="00541BA5">
            <w:pPr>
              <w:pStyle w:val="TAC"/>
            </w:pPr>
            <w:r w:rsidRPr="009C5807">
              <w:t>2</w:t>
            </w:r>
          </w:p>
        </w:tc>
        <w:tc>
          <w:tcPr>
            <w:tcW w:w="1276" w:type="dxa"/>
            <w:tcBorders>
              <w:top w:val="single" w:sz="4" w:space="0" w:color="auto"/>
              <w:left w:val="single" w:sz="4" w:space="0" w:color="auto"/>
              <w:bottom w:val="single" w:sz="4" w:space="0" w:color="auto"/>
              <w:right w:val="single" w:sz="4" w:space="0" w:color="auto"/>
            </w:tcBorders>
            <w:hideMark/>
          </w:tcPr>
          <w:p w14:paraId="58436A72" w14:textId="77777777" w:rsidR="00F2752E" w:rsidRPr="009C5807" w:rsidRDefault="00F2752E" w:rsidP="00541BA5">
            <w:pPr>
              <w:pStyle w:val="TAC"/>
            </w:pPr>
            <w:r w:rsidRPr="009C5807">
              <w:t>0.25</w:t>
            </w:r>
          </w:p>
        </w:tc>
        <w:tc>
          <w:tcPr>
            <w:tcW w:w="2552" w:type="dxa"/>
            <w:tcBorders>
              <w:top w:val="single" w:sz="4" w:space="0" w:color="auto"/>
              <w:left w:val="single" w:sz="4" w:space="0" w:color="auto"/>
              <w:bottom w:val="single" w:sz="4" w:space="0" w:color="auto"/>
              <w:right w:val="single" w:sz="4" w:space="0" w:color="auto"/>
            </w:tcBorders>
            <w:hideMark/>
          </w:tcPr>
          <w:p w14:paraId="2D576F62" w14:textId="77777777" w:rsidR="00F2752E" w:rsidRPr="009C5807" w:rsidRDefault="00F2752E" w:rsidP="00541BA5">
            <w:pPr>
              <w:pStyle w:val="TAC"/>
              <w:rPr>
                <w:lang w:eastAsia="zh-CN"/>
              </w:rPr>
            </w:pPr>
            <w:r w:rsidRPr="00A01642">
              <w:rPr>
                <w:lang w:eastAsia="zh-CN"/>
              </w:rPr>
              <w:t>4</w:t>
            </w:r>
          </w:p>
        </w:tc>
        <w:tc>
          <w:tcPr>
            <w:tcW w:w="3545" w:type="dxa"/>
            <w:tcBorders>
              <w:top w:val="single" w:sz="4" w:space="0" w:color="auto"/>
              <w:left w:val="single" w:sz="4" w:space="0" w:color="auto"/>
              <w:bottom w:val="single" w:sz="4" w:space="0" w:color="auto"/>
              <w:right w:val="single" w:sz="4" w:space="0" w:color="auto"/>
            </w:tcBorders>
          </w:tcPr>
          <w:p w14:paraId="0E58BF86" w14:textId="77777777" w:rsidR="00F2752E" w:rsidRPr="009C5807" w:rsidRDefault="00F2752E" w:rsidP="00541BA5">
            <w:pPr>
              <w:pStyle w:val="TAC"/>
              <w:rPr>
                <w:lang w:eastAsia="zh-CN"/>
              </w:rPr>
            </w:pPr>
            <w:r w:rsidRPr="00A01642">
              <w:rPr>
                <w:lang w:eastAsia="zh-CN"/>
              </w:rPr>
              <w:t>5</w:t>
            </w:r>
          </w:p>
        </w:tc>
      </w:tr>
      <w:tr w:rsidR="00F2752E" w:rsidRPr="009C5807" w14:paraId="31668DA0" w14:textId="77777777" w:rsidTr="00541BA5">
        <w:trPr>
          <w:jc w:val="center"/>
        </w:trPr>
        <w:tc>
          <w:tcPr>
            <w:tcW w:w="8225" w:type="dxa"/>
            <w:gridSpan w:val="4"/>
            <w:tcBorders>
              <w:top w:val="single" w:sz="4" w:space="0" w:color="auto"/>
              <w:left w:val="single" w:sz="4" w:space="0" w:color="auto"/>
              <w:bottom w:val="single" w:sz="4" w:space="0" w:color="auto"/>
              <w:right w:val="single" w:sz="4" w:space="0" w:color="auto"/>
            </w:tcBorders>
            <w:hideMark/>
          </w:tcPr>
          <w:p w14:paraId="1B7C64CE" w14:textId="77777777" w:rsidR="00F2752E" w:rsidRPr="009C5807" w:rsidRDefault="00F2752E" w:rsidP="00541BA5">
            <w:pPr>
              <w:pStyle w:val="TAN"/>
            </w:pPr>
            <w:r w:rsidRPr="009C5807">
              <w:t>Note 1:</w:t>
            </w:r>
            <w:r w:rsidRPr="009C5807">
              <w:tab/>
            </w:r>
            <w:r w:rsidRPr="009C5807">
              <w:rPr>
                <w:rFonts w:hint="eastAsia"/>
                <w:lang w:eastAsia="zh-CN"/>
              </w:rPr>
              <w:t xml:space="preserve">The same </w:t>
            </w:r>
            <w:r w:rsidRPr="009C5807">
              <w:t>SCS</w:t>
            </w:r>
            <w:r w:rsidRPr="009C5807">
              <w:rPr>
                <w:rFonts w:hint="eastAsia"/>
                <w:lang w:eastAsia="zh-CN"/>
              </w:rPr>
              <w:t xml:space="preserve"> of source cell and target cell is assumed</w:t>
            </w:r>
            <w:r w:rsidRPr="009C5807">
              <w:t>.</w:t>
            </w:r>
          </w:p>
          <w:p w14:paraId="0E33E39E" w14:textId="77777777" w:rsidR="00F2752E" w:rsidRPr="009C5807" w:rsidRDefault="00F2752E" w:rsidP="00541BA5">
            <w:pPr>
              <w:pStyle w:val="TAN"/>
            </w:pPr>
            <w:r w:rsidRPr="009C5807">
              <w:t>Note 2:</w:t>
            </w:r>
            <w:r w:rsidRPr="009C5807">
              <w:tab/>
              <w:t>It is assumed that the BWP of target cell is the same as the BWP of source cell.</w:t>
            </w:r>
          </w:p>
          <w:p w14:paraId="77AFE163" w14:textId="77777777" w:rsidR="00F2752E" w:rsidRPr="009C5807" w:rsidRDefault="00F2752E" w:rsidP="00541BA5">
            <w:pPr>
              <w:pStyle w:val="TAN"/>
            </w:pPr>
            <w:r w:rsidRPr="009C5807">
              <w:t>Note 3:</w:t>
            </w:r>
            <w:r w:rsidRPr="009C5807">
              <w:tab/>
            </w:r>
            <w:r w:rsidRPr="00A01642">
              <w:t>Void</w:t>
            </w:r>
          </w:p>
        </w:tc>
      </w:tr>
    </w:tbl>
    <w:p w14:paraId="4653F3F0" w14:textId="77777777" w:rsidR="00F2752E" w:rsidRPr="009C5807" w:rsidRDefault="00F2752E" w:rsidP="00F2752E">
      <w:pPr>
        <w:rPr>
          <w:rFonts w:cs="v4.2.0"/>
        </w:rPr>
      </w:pPr>
    </w:p>
    <w:p w14:paraId="1DC21C99" w14:textId="79D7962A" w:rsidR="00F2752E" w:rsidRPr="009C5807" w:rsidRDefault="00F2752E" w:rsidP="00F2752E">
      <w:r w:rsidRPr="009C5807">
        <w:rPr>
          <w:rFonts w:cs="v4.2.0"/>
        </w:rPr>
        <w:t xml:space="preserve">For </w:t>
      </w:r>
      <w:r w:rsidRPr="009C5807">
        <w:t xml:space="preserve">FR1-to-FR1 </w:t>
      </w:r>
      <w:r w:rsidRPr="009C5807">
        <w:rPr>
          <w:rFonts w:cs="v4.2.0" w:hint="eastAsia"/>
        </w:rPr>
        <w:t>intra-band</w:t>
      </w:r>
      <w:r w:rsidRPr="009C5807">
        <w:rPr>
          <w:rFonts w:cs="v4.2.0"/>
        </w:rPr>
        <w:t xml:space="preserve"> inter-frequency handover, T</w:t>
      </w:r>
      <w:r w:rsidRPr="009C5807">
        <w:rPr>
          <w:rFonts w:cs="v4.2.0"/>
          <w:vertAlign w:val="subscript"/>
        </w:rPr>
        <w:t>interrupt2</w:t>
      </w:r>
      <w:r w:rsidRPr="009C5807">
        <w:rPr>
          <w:rFonts w:cs="v4.2.0"/>
        </w:rPr>
        <w:t xml:space="preserve"> is </w:t>
      </w:r>
      <w:r w:rsidRPr="009C5807">
        <w:rPr>
          <w:rFonts w:ascii="Tms Rmn" w:eastAsia="MS Mincho" w:hAnsi="Tms Rmn"/>
        </w:rPr>
        <w:t xml:space="preserve">specified </w:t>
      </w:r>
      <w:r w:rsidRPr="009C5807">
        <w:rPr>
          <w:rFonts w:cs="v4.2.0"/>
        </w:rPr>
        <w:t xml:space="preserve">in Table </w:t>
      </w:r>
      <w:r w:rsidRPr="009C5807">
        <w:t>6.1.3.2.2-</w:t>
      </w:r>
      <w:r>
        <w:t>6</w:t>
      </w:r>
      <w:r w:rsidRPr="009C5807">
        <w:t>.</w:t>
      </w:r>
    </w:p>
    <w:p w14:paraId="3ACFEE54" w14:textId="5EA8B215" w:rsidR="00F2752E" w:rsidRPr="009C5807" w:rsidRDefault="00F2752E" w:rsidP="00F2752E">
      <w:pPr>
        <w:pStyle w:val="TH"/>
      </w:pPr>
      <w:r w:rsidRPr="009C5807">
        <w:t>Table 6.1.3.2.2-</w:t>
      </w:r>
      <w:r>
        <w:t>6</w:t>
      </w:r>
      <w:r w:rsidRPr="009C5807">
        <w:t>: T</w:t>
      </w:r>
      <w:r w:rsidRPr="009C5807">
        <w:rPr>
          <w:vertAlign w:val="subscript"/>
        </w:rPr>
        <w:t>interrupt2</w:t>
      </w:r>
      <w:r w:rsidRPr="009C5807">
        <w:t xml:space="preserve"> for FR1-to-FR1 intra-band inter-frequency DAPS HO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992"/>
        <w:gridCol w:w="2890"/>
        <w:gridCol w:w="2890"/>
      </w:tblGrid>
      <w:tr w:rsidR="00F2752E" w:rsidRPr="009C5807" w14:paraId="2AE1DA5A" w14:textId="77777777" w:rsidTr="00541BA5">
        <w:trPr>
          <w:trHeight w:val="631"/>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55F6D0B3" w14:textId="77777777" w:rsidR="00F2752E" w:rsidRPr="009C5807" w:rsidRDefault="00F2752E" w:rsidP="00541BA5">
            <w:pPr>
              <w:pStyle w:val="TAH"/>
            </w:pPr>
            <w:r w:rsidRPr="009C5807">
              <w:rPr>
                <w:noProof/>
                <w:lang w:val="en-US" w:eastAsia="zh-CN"/>
              </w:rPr>
              <w:drawing>
                <wp:inline distT="0" distB="0" distL="0" distR="0" wp14:anchorId="460AD835" wp14:editId="29154CFC">
                  <wp:extent cx="142240" cy="160020"/>
                  <wp:effectExtent l="0" t="0" r="0" b="0"/>
                  <wp:docPr id="29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992" w:type="dxa"/>
            <w:tcBorders>
              <w:top w:val="single" w:sz="4" w:space="0" w:color="auto"/>
              <w:left w:val="single" w:sz="4" w:space="0" w:color="auto"/>
              <w:bottom w:val="single" w:sz="4" w:space="0" w:color="auto"/>
              <w:right w:val="single" w:sz="4" w:space="0" w:color="auto"/>
            </w:tcBorders>
            <w:hideMark/>
          </w:tcPr>
          <w:p w14:paraId="78B1481A" w14:textId="77777777" w:rsidR="00F2752E" w:rsidRPr="009C5807" w:rsidRDefault="00F2752E" w:rsidP="00541BA5">
            <w:pPr>
              <w:pStyle w:val="TAH"/>
            </w:pPr>
            <w:r w:rsidRPr="009C5807">
              <w:t>NR Slot length (ms)</w:t>
            </w:r>
          </w:p>
        </w:tc>
        <w:tc>
          <w:tcPr>
            <w:tcW w:w="2890" w:type="dxa"/>
            <w:tcBorders>
              <w:top w:val="single" w:sz="4" w:space="0" w:color="auto"/>
              <w:left w:val="single" w:sz="4" w:space="0" w:color="auto"/>
              <w:bottom w:val="single" w:sz="4" w:space="0" w:color="auto"/>
              <w:right w:val="single" w:sz="4" w:space="0" w:color="auto"/>
            </w:tcBorders>
            <w:hideMark/>
          </w:tcPr>
          <w:p w14:paraId="44280EEC" w14:textId="77777777" w:rsidR="00F2752E" w:rsidRPr="009C5807" w:rsidRDefault="00F2752E" w:rsidP="00541BA5">
            <w:pPr>
              <w:pStyle w:val="TAH"/>
            </w:pPr>
            <w:r w:rsidRPr="00A01642">
              <w:t>T</w:t>
            </w:r>
            <w:r w:rsidRPr="00A01642">
              <w:rPr>
                <w:vertAlign w:val="subscript"/>
              </w:rPr>
              <w:t>interrupt2</w:t>
            </w:r>
            <w:r w:rsidRPr="00A01642">
              <w:t xml:space="preserve"> (slots</w:t>
            </w:r>
            <w:r w:rsidRPr="00A01642">
              <w:rPr>
                <w:vertAlign w:val="superscript"/>
              </w:rPr>
              <w:t>Note 1</w:t>
            </w:r>
            <w:r w:rsidRPr="00A01642">
              <w:t>) for</w:t>
            </w:r>
            <w:r w:rsidRPr="00734785">
              <w:t xml:space="preserve"> synchronous DAPS HO</w:t>
            </w:r>
          </w:p>
        </w:tc>
        <w:tc>
          <w:tcPr>
            <w:tcW w:w="2890" w:type="dxa"/>
            <w:tcBorders>
              <w:top w:val="single" w:sz="4" w:space="0" w:color="auto"/>
              <w:left w:val="single" w:sz="4" w:space="0" w:color="auto"/>
              <w:bottom w:val="single" w:sz="4" w:space="0" w:color="auto"/>
              <w:right w:val="single" w:sz="4" w:space="0" w:color="auto"/>
            </w:tcBorders>
          </w:tcPr>
          <w:p w14:paraId="4FD148C7" w14:textId="77777777" w:rsidR="00F2752E" w:rsidRPr="009C5807" w:rsidRDefault="00F2752E" w:rsidP="00541BA5">
            <w:pPr>
              <w:pStyle w:val="TAH"/>
            </w:pPr>
            <w:r w:rsidRPr="00A01642">
              <w:t>T</w:t>
            </w:r>
            <w:r w:rsidRPr="00A01642">
              <w:rPr>
                <w:vertAlign w:val="subscript"/>
              </w:rPr>
              <w:t>interrupt2</w:t>
            </w:r>
            <w:r w:rsidRPr="00A01642">
              <w:t xml:space="preserve"> </w:t>
            </w:r>
            <w:r w:rsidRPr="00734785">
              <w:t>(slots</w:t>
            </w:r>
            <w:r w:rsidRPr="00734785">
              <w:rPr>
                <w:vertAlign w:val="superscript"/>
              </w:rPr>
              <w:t>Note 1</w:t>
            </w:r>
            <w:r w:rsidRPr="00734785">
              <w:t>)</w:t>
            </w:r>
            <w:r w:rsidRPr="00A01642">
              <w:t xml:space="preserve"> for</w:t>
            </w:r>
            <w:r w:rsidRPr="00734785">
              <w:t xml:space="preserve"> asynchronous DAPS HO</w:t>
            </w:r>
          </w:p>
        </w:tc>
      </w:tr>
      <w:tr w:rsidR="00F2752E" w:rsidRPr="009C5807" w14:paraId="327CE196" w14:textId="77777777" w:rsidTr="00541BA5">
        <w:trPr>
          <w:jc w:val="center"/>
        </w:trPr>
        <w:tc>
          <w:tcPr>
            <w:tcW w:w="649" w:type="dxa"/>
            <w:tcBorders>
              <w:top w:val="single" w:sz="4" w:space="0" w:color="auto"/>
              <w:left w:val="single" w:sz="4" w:space="0" w:color="auto"/>
              <w:bottom w:val="single" w:sz="4" w:space="0" w:color="auto"/>
              <w:right w:val="single" w:sz="4" w:space="0" w:color="auto"/>
            </w:tcBorders>
            <w:hideMark/>
          </w:tcPr>
          <w:p w14:paraId="3582834A" w14:textId="77777777" w:rsidR="00F2752E" w:rsidRPr="009C5807" w:rsidRDefault="00F2752E" w:rsidP="00541BA5">
            <w:pPr>
              <w:pStyle w:val="TAC"/>
            </w:pPr>
            <w:r w:rsidRPr="009C5807">
              <w:t>0</w:t>
            </w:r>
          </w:p>
        </w:tc>
        <w:tc>
          <w:tcPr>
            <w:tcW w:w="992" w:type="dxa"/>
            <w:tcBorders>
              <w:top w:val="single" w:sz="4" w:space="0" w:color="auto"/>
              <w:left w:val="single" w:sz="4" w:space="0" w:color="auto"/>
              <w:bottom w:val="single" w:sz="4" w:space="0" w:color="auto"/>
              <w:right w:val="single" w:sz="4" w:space="0" w:color="auto"/>
            </w:tcBorders>
            <w:hideMark/>
          </w:tcPr>
          <w:p w14:paraId="6AF38A7E" w14:textId="77777777" w:rsidR="00F2752E" w:rsidRPr="009C5807" w:rsidRDefault="00F2752E" w:rsidP="00541BA5">
            <w:pPr>
              <w:pStyle w:val="TAC"/>
            </w:pPr>
            <w:r w:rsidRPr="009C5807">
              <w:t>1</w:t>
            </w:r>
          </w:p>
        </w:tc>
        <w:tc>
          <w:tcPr>
            <w:tcW w:w="2890" w:type="dxa"/>
            <w:tcBorders>
              <w:top w:val="single" w:sz="4" w:space="0" w:color="auto"/>
              <w:left w:val="single" w:sz="4" w:space="0" w:color="auto"/>
              <w:bottom w:val="single" w:sz="4" w:space="0" w:color="auto"/>
              <w:right w:val="single" w:sz="4" w:space="0" w:color="auto"/>
            </w:tcBorders>
            <w:hideMark/>
          </w:tcPr>
          <w:p w14:paraId="1C14F119" w14:textId="77777777" w:rsidR="00F2752E" w:rsidRPr="009C5807" w:rsidRDefault="00F2752E" w:rsidP="00541BA5">
            <w:pPr>
              <w:pStyle w:val="TAC"/>
              <w:rPr>
                <w:rFonts w:cs="Arial"/>
                <w:szCs w:val="18"/>
              </w:rPr>
            </w:pPr>
            <w:r>
              <w:rPr>
                <w:rFonts w:cs="Arial"/>
                <w:szCs w:val="18"/>
              </w:rPr>
              <w:t xml:space="preserve">1 + </w:t>
            </w:r>
            <w:r>
              <w:rPr>
                <w:rFonts w:cs="Arial"/>
                <w:szCs w:val="18"/>
                <w:lang w:eastAsia="zh-CN"/>
              </w:rPr>
              <w:t>T</w:t>
            </w:r>
            <w:r>
              <w:rPr>
                <w:rFonts w:cs="Arial"/>
                <w:szCs w:val="18"/>
                <w:vertAlign w:val="subscript"/>
                <w:lang w:eastAsia="zh-CN"/>
              </w:rPr>
              <w:t>SMTC_duration</w:t>
            </w:r>
            <w:r>
              <w:rPr>
                <w:rFonts w:cs="Arial" w:hint="eastAsia"/>
                <w:szCs w:val="18"/>
                <w:lang w:val="en-US" w:eastAsia="zh-CN"/>
              </w:rPr>
              <w:t xml:space="preserve"> </w:t>
            </w:r>
            <w:r>
              <w:rPr>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r>
              <w:rPr>
                <w:rFonts w:cs="Arial"/>
                <w:szCs w:val="18"/>
              </w:rPr>
              <w:t xml:space="preserve"> </w:t>
            </w:r>
          </w:p>
        </w:tc>
        <w:tc>
          <w:tcPr>
            <w:tcW w:w="2890" w:type="dxa"/>
            <w:tcBorders>
              <w:top w:val="single" w:sz="4" w:space="0" w:color="auto"/>
              <w:left w:val="single" w:sz="4" w:space="0" w:color="auto"/>
              <w:bottom w:val="single" w:sz="4" w:space="0" w:color="auto"/>
              <w:right w:val="single" w:sz="4" w:space="0" w:color="auto"/>
            </w:tcBorders>
          </w:tcPr>
          <w:p w14:paraId="6A720028" w14:textId="77777777" w:rsidR="00F2752E" w:rsidRPr="009C5807" w:rsidRDefault="00F2752E" w:rsidP="00541BA5">
            <w:pPr>
              <w:pStyle w:val="TAC"/>
              <w:rPr>
                <w:rFonts w:cs="Arial"/>
                <w:szCs w:val="18"/>
              </w:rPr>
            </w:pPr>
            <w:r>
              <w:rPr>
                <w:rFonts w:cs="Arial"/>
                <w:szCs w:val="18"/>
              </w:rPr>
              <w:t xml:space="preserve">2+ </w:t>
            </w:r>
            <w:r>
              <w:rPr>
                <w:rFonts w:cs="Arial"/>
                <w:szCs w:val="18"/>
                <w:lang w:eastAsia="zh-CN"/>
              </w:rPr>
              <w:t>T</w:t>
            </w:r>
            <w:r>
              <w:rPr>
                <w:rFonts w:cs="Arial"/>
                <w:szCs w:val="18"/>
                <w:vertAlign w:val="subscript"/>
                <w:lang w:eastAsia="zh-CN"/>
              </w:rPr>
              <w:t>SMTC_duration</w:t>
            </w:r>
            <w:r>
              <w:rPr>
                <w:rFonts w:cs="Arial" w:hint="eastAsia"/>
                <w:szCs w:val="18"/>
                <w:lang w:val="en-US" w:eastAsia="zh-CN"/>
              </w:rPr>
              <w:t xml:space="preserve"> </w:t>
            </w:r>
            <w:r>
              <w:rPr>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F2752E" w:rsidRPr="009C5807" w14:paraId="428D0E51" w14:textId="77777777" w:rsidTr="00541BA5">
        <w:trPr>
          <w:jc w:val="center"/>
        </w:trPr>
        <w:tc>
          <w:tcPr>
            <w:tcW w:w="649" w:type="dxa"/>
            <w:tcBorders>
              <w:top w:val="single" w:sz="4" w:space="0" w:color="auto"/>
              <w:left w:val="single" w:sz="4" w:space="0" w:color="auto"/>
              <w:bottom w:val="single" w:sz="4" w:space="0" w:color="auto"/>
              <w:right w:val="single" w:sz="4" w:space="0" w:color="auto"/>
            </w:tcBorders>
            <w:hideMark/>
          </w:tcPr>
          <w:p w14:paraId="7BE71646" w14:textId="77777777" w:rsidR="00F2752E" w:rsidRPr="009C5807" w:rsidRDefault="00F2752E" w:rsidP="00541BA5">
            <w:pPr>
              <w:pStyle w:val="TAC"/>
            </w:pPr>
            <w:r w:rsidRPr="009C5807">
              <w:t>1</w:t>
            </w:r>
          </w:p>
        </w:tc>
        <w:tc>
          <w:tcPr>
            <w:tcW w:w="992" w:type="dxa"/>
            <w:tcBorders>
              <w:top w:val="single" w:sz="4" w:space="0" w:color="auto"/>
              <w:left w:val="single" w:sz="4" w:space="0" w:color="auto"/>
              <w:bottom w:val="single" w:sz="4" w:space="0" w:color="auto"/>
              <w:right w:val="single" w:sz="4" w:space="0" w:color="auto"/>
            </w:tcBorders>
            <w:hideMark/>
          </w:tcPr>
          <w:p w14:paraId="6B4E7303" w14:textId="77777777" w:rsidR="00F2752E" w:rsidRPr="009C5807" w:rsidRDefault="00F2752E" w:rsidP="00541BA5">
            <w:pPr>
              <w:pStyle w:val="TAC"/>
            </w:pPr>
            <w:r w:rsidRPr="009C5807">
              <w:t>0.5</w:t>
            </w:r>
          </w:p>
        </w:tc>
        <w:tc>
          <w:tcPr>
            <w:tcW w:w="2890" w:type="dxa"/>
            <w:tcBorders>
              <w:top w:val="single" w:sz="4" w:space="0" w:color="auto"/>
              <w:left w:val="single" w:sz="4" w:space="0" w:color="auto"/>
              <w:bottom w:val="single" w:sz="4" w:space="0" w:color="auto"/>
              <w:right w:val="single" w:sz="4" w:space="0" w:color="auto"/>
            </w:tcBorders>
            <w:hideMark/>
          </w:tcPr>
          <w:p w14:paraId="3B9F3665" w14:textId="77777777" w:rsidR="00F2752E" w:rsidRPr="009C5807" w:rsidRDefault="00F2752E" w:rsidP="00541BA5">
            <w:pPr>
              <w:pStyle w:val="TAC"/>
              <w:rPr>
                <w:rFonts w:cs="Arial"/>
                <w:szCs w:val="18"/>
              </w:rPr>
            </w:pPr>
            <w:r>
              <w:rPr>
                <w:rFonts w:cs="Arial"/>
                <w:szCs w:val="18"/>
              </w:rPr>
              <w:t xml:space="preserve">2 + </w:t>
            </w:r>
            <w:r>
              <w:rPr>
                <w:rFonts w:cs="Arial"/>
                <w:szCs w:val="18"/>
                <w:lang w:eastAsia="zh-CN"/>
              </w:rPr>
              <w:t>T</w:t>
            </w:r>
            <w:r>
              <w:rPr>
                <w:rFonts w:cs="Arial"/>
                <w:szCs w:val="18"/>
                <w:vertAlign w:val="subscript"/>
                <w:lang w:eastAsia="zh-CN"/>
              </w:rPr>
              <w:t>SMTC_duration</w:t>
            </w:r>
            <w:r>
              <w:rPr>
                <w:rFonts w:cs="Arial" w:hint="eastAsia"/>
                <w:szCs w:val="18"/>
                <w:lang w:val="en-US" w:eastAsia="zh-CN"/>
              </w:rPr>
              <w:t xml:space="preserve"> </w:t>
            </w:r>
            <w:r>
              <w:rPr>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r>
              <w:rPr>
                <w:rFonts w:cs="Arial"/>
                <w:szCs w:val="18"/>
              </w:rPr>
              <w:t xml:space="preserve"> </w:t>
            </w:r>
          </w:p>
        </w:tc>
        <w:tc>
          <w:tcPr>
            <w:tcW w:w="2890" w:type="dxa"/>
            <w:tcBorders>
              <w:top w:val="single" w:sz="4" w:space="0" w:color="auto"/>
              <w:left w:val="single" w:sz="4" w:space="0" w:color="auto"/>
              <w:bottom w:val="single" w:sz="4" w:space="0" w:color="auto"/>
              <w:right w:val="single" w:sz="4" w:space="0" w:color="auto"/>
            </w:tcBorders>
          </w:tcPr>
          <w:p w14:paraId="65F6A7B7" w14:textId="77777777" w:rsidR="00F2752E" w:rsidRPr="009C5807" w:rsidRDefault="00F2752E" w:rsidP="00541BA5">
            <w:pPr>
              <w:pStyle w:val="TAC"/>
              <w:rPr>
                <w:rFonts w:cs="Arial"/>
                <w:szCs w:val="18"/>
              </w:rPr>
            </w:pPr>
            <w:r>
              <w:rPr>
                <w:rFonts w:cs="Arial"/>
                <w:szCs w:val="18"/>
              </w:rPr>
              <w:t xml:space="preserve">3+ </w:t>
            </w:r>
            <w:r>
              <w:rPr>
                <w:rFonts w:cs="Arial"/>
                <w:szCs w:val="18"/>
                <w:lang w:eastAsia="zh-CN"/>
              </w:rPr>
              <w:t>T</w:t>
            </w:r>
            <w:r>
              <w:rPr>
                <w:rFonts w:cs="Arial"/>
                <w:szCs w:val="18"/>
                <w:vertAlign w:val="subscript"/>
                <w:lang w:eastAsia="zh-CN"/>
              </w:rPr>
              <w:t>SMTC_duration</w:t>
            </w:r>
            <w:r>
              <w:rPr>
                <w:rFonts w:cs="Arial" w:hint="eastAsia"/>
                <w:szCs w:val="18"/>
                <w:lang w:val="en-US" w:eastAsia="zh-CN"/>
              </w:rPr>
              <w:t xml:space="preserve"> </w:t>
            </w:r>
            <w:r>
              <w:rPr>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F2752E" w:rsidRPr="009C5807" w14:paraId="45659AA8" w14:textId="77777777" w:rsidTr="00541BA5">
        <w:trPr>
          <w:jc w:val="center"/>
        </w:trPr>
        <w:tc>
          <w:tcPr>
            <w:tcW w:w="649" w:type="dxa"/>
            <w:tcBorders>
              <w:top w:val="single" w:sz="4" w:space="0" w:color="auto"/>
              <w:left w:val="single" w:sz="4" w:space="0" w:color="auto"/>
              <w:bottom w:val="single" w:sz="4" w:space="0" w:color="auto"/>
              <w:right w:val="single" w:sz="4" w:space="0" w:color="auto"/>
            </w:tcBorders>
            <w:hideMark/>
          </w:tcPr>
          <w:p w14:paraId="386B166A" w14:textId="77777777" w:rsidR="00F2752E" w:rsidRPr="009C5807" w:rsidRDefault="00F2752E" w:rsidP="00541BA5">
            <w:pPr>
              <w:pStyle w:val="TAC"/>
            </w:pPr>
            <w:r w:rsidRPr="009C5807">
              <w:t>2</w:t>
            </w:r>
          </w:p>
        </w:tc>
        <w:tc>
          <w:tcPr>
            <w:tcW w:w="992" w:type="dxa"/>
            <w:tcBorders>
              <w:top w:val="single" w:sz="4" w:space="0" w:color="auto"/>
              <w:left w:val="single" w:sz="4" w:space="0" w:color="auto"/>
              <w:bottom w:val="single" w:sz="4" w:space="0" w:color="auto"/>
              <w:right w:val="single" w:sz="4" w:space="0" w:color="auto"/>
            </w:tcBorders>
            <w:hideMark/>
          </w:tcPr>
          <w:p w14:paraId="7F47A3F1" w14:textId="77777777" w:rsidR="00F2752E" w:rsidRPr="009C5807" w:rsidRDefault="00F2752E" w:rsidP="00541BA5">
            <w:pPr>
              <w:pStyle w:val="TAC"/>
            </w:pPr>
            <w:r w:rsidRPr="009C5807">
              <w:t>0.25</w:t>
            </w:r>
          </w:p>
        </w:tc>
        <w:tc>
          <w:tcPr>
            <w:tcW w:w="2890" w:type="dxa"/>
            <w:tcBorders>
              <w:top w:val="single" w:sz="4" w:space="0" w:color="auto"/>
              <w:left w:val="single" w:sz="4" w:space="0" w:color="auto"/>
              <w:bottom w:val="single" w:sz="4" w:space="0" w:color="auto"/>
              <w:right w:val="single" w:sz="4" w:space="0" w:color="auto"/>
            </w:tcBorders>
            <w:hideMark/>
          </w:tcPr>
          <w:p w14:paraId="7A6940AB" w14:textId="77777777" w:rsidR="00F2752E" w:rsidRPr="009C5807" w:rsidRDefault="00F2752E" w:rsidP="00541BA5">
            <w:pPr>
              <w:pStyle w:val="TAC"/>
              <w:rPr>
                <w:rFonts w:cs="Arial"/>
                <w:szCs w:val="18"/>
              </w:rPr>
            </w:pPr>
            <w:r>
              <w:rPr>
                <w:rFonts w:cs="Arial"/>
                <w:szCs w:val="18"/>
              </w:rPr>
              <w:t xml:space="preserve">4 + </w:t>
            </w:r>
            <w:r>
              <w:rPr>
                <w:rFonts w:cs="Arial"/>
                <w:szCs w:val="18"/>
                <w:lang w:eastAsia="zh-CN"/>
              </w:rPr>
              <w:t>T</w:t>
            </w:r>
            <w:r>
              <w:rPr>
                <w:rFonts w:cs="Arial"/>
                <w:szCs w:val="18"/>
                <w:vertAlign w:val="subscript"/>
                <w:lang w:eastAsia="zh-CN"/>
              </w:rPr>
              <w:t>SMTC_duration</w:t>
            </w:r>
            <w:r>
              <w:rPr>
                <w:rFonts w:cs="Arial" w:hint="eastAsia"/>
                <w:szCs w:val="18"/>
                <w:lang w:val="en-US" w:eastAsia="zh-CN"/>
              </w:rPr>
              <w:t xml:space="preserve"> </w:t>
            </w:r>
            <w:r>
              <w:rPr>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r>
              <w:rPr>
                <w:rFonts w:cs="Arial"/>
                <w:szCs w:val="18"/>
              </w:rPr>
              <w:t xml:space="preserve"> </w:t>
            </w:r>
          </w:p>
        </w:tc>
        <w:tc>
          <w:tcPr>
            <w:tcW w:w="2890" w:type="dxa"/>
            <w:tcBorders>
              <w:top w:val="single" w:sz="4" w:space="0" w:color="auto"/>
              <w:left w:val="single" w:sz="4" w:space="0" w:color="auto"/>
              <w:bottom w:val="single" w:sz="4" w:space="0" w:color="auto"/>
              <w:right w:val="single" w:sz="4" w:space="0" w:color="auto"/>
            </w:tcBorders>
          </w:tcPr>
          <w:p w14:paraId="32E2E485" w14:textId="77777777" w:rsidR="00F2752E" w:rsidRPr="009C5807" w:rsidRDefault="00F2752E" w:rsidP="00541BA5">
            <w:pPr>
              <w:pStyle w:val="TAC"/>
              <w:rPr>
                <w:rFonts w:cs="Arial"/>
                <w:szCs w:val="18"/>
              </w:rPr>
            </w:pPr>
            <w:r>
              <w:rPr>
                <w:rFonts w:cs="Arial"/>
                <w:szCs w:val="18"/>
              </w:rPr>
              <w:t xml:space="preserve">5+ </w:t>
            </w:r>
            <w:r>
              <w:rPr>
                <w:rFonts w:cs="Arial"/>
                <w:szCs w:val="18"/>
                <w:lang w:eastAsia="zh-CN"/>
              </w:rPr>
              <w:t>T</w:t>
            </w:r>
            <w:r>
              <w:rPr>
                <w:rFonts w:cs="Arial"/>
                <w:szCs w:val="18"/>
                <w:vertAlign w:val="subscript"/>
                <w:lang w:eastAsia="zh-CN"/>
              </w:rPr>
              <w:t>SMTC_duration</w:t>
            </w:r>
            <w:r>
              <w:rPr>
                <w:rFonts w:cs="Arial" w:hint="eastAsia"/>
                <w:szCs w:val="18"/>
                <w:lang w:val="en-US" w:eastAsia="zh-CN"/>
              </w:rPr>
              <w:t xml:space="preserve"> </w:t>
            </w:r>
            <w:r>
              <w:rPr>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F2752E" w:rsidRPr="009C5807" w14:paraId="5E4DC2E9" w14:textId="77777777" w:rsidTr="00541BA5">
        <w:trPr>
          <w:jc w:val="center"/>
        </w:trPr>
        <w:tc>
          <w:tcPr>
            <w:tcW w:w="7421" w:type="dxa"/>
            <w:gridSpan w:val="4"/>
            <w:tcBorders>
              <w:top w:val="single" w:sz="4" w:space="0" w:color="auto"/>
              <w:left w:val="single" w:sz="4" w:space="0" w:color="auto"/>
              <w:bottom w:val="single" w:sz="4" w:space="0" w:color="auto"/>
              <w:right w:val="single" w:sz="4" w:space="0" w:color="auto"/>
            </w:tcBorders>
            <w:hideMark/>
          </w:tcPr>
          <w:p w14:paraId="65EAFECA" w14:textId="77777777" w:rsidR="00F2752E" w:rsidRPr="009C5807" w:rsidRDefault="00F2752E" w:rsidP="00541BA5">
            <w:pPr>
              <w:pStyle w:val="TAN"/>
              <w:rPr>
                <w:lang w:eastAsia="zh-CN"/>
              </w:rPr>
            </w:pPr>
            <w:r w:rsidRPr="009C5807">
              <w:t>Note 1:</w:t>
            </w:r>
            <w:r w:rsidRPr="009C5807">
              <w:tab/>
            </w:r>
            <w:r w:rsidRPr="009C5807">
              <w:rPr>
                <w:rFonts w:hint="eastAsia"/>
                <w:lang w:eastAsia="zh-CN"/>
              </w:rPr>
              <w:t xml:space="preserve">The same </w:t>
            </w:r>
            <w:r w:rsidRPr="009C5807">
              <w:t>SCS</w:t>
            </w:r>
            <w:r w:rsidRPr="009C5807">
              <w:rPr>
                <w:rFonts w:hint="eastAsia"/>
                <w:lang w:eastAsia="zh-CN"/>
              </w:rPr>
              <w:t xml:space="preserve"> of source cell and target cell is assumed</w:t>
            </w:r>
            <w:r w:rsidRPr="009C5807">
              <w:t>.</w:t>
            </w:r>
          </w:p>
          <w:p w14:paraId="033D6A79" w14:textId="77777777" w:rsidR="00F2752E" w:rsidRPr="009C5807" w:rsidRDefault="00F2752E" w:rsidP="00541BA5">
            <w:pPr>
              <w:pStyle w:val="TAN"/>
              <w:rPr>
                <w:lang w:eastAsia="zh-CN"/>
              </w:rPr>
            </w:pPr>
            <w:r w:rsidRPr="009C5807">
              <w:t>Note 2:</w:t>
            </w:r>
            <w:r w:rsidRPr="009C5807">
              <w:tab/>
            </w:r>
            <w:r w:rsidRPr="009C5807">
              <w:rPr>
                <w:lang w:eastAsia="zh-CN"/>
              </w:rPr>
              <w:t>T</w:t>
            </w:r>
            <w:r w:rsidRPr="009C5807">
              <w:rPr>
                <w:vertAlign w:val="subscript"/>
                <w:lang w:eastAsia="zh-CN"/>
              </w:rPr>
              <w:t>SMTC_duration</w:t>
            </w:r>
            <w:r w:rsidRPr="009C5807">
              <w:rPr>
                <w:lang w:eastAsia="zh-CN"/>
              </w:rPr>
              <w:t xml:space="preserve"> </w:t>
            </w:r>
            <w:r>
              <w:rPr>
                <w:lang w:eastAsia="zh-CN"/>
              </w:rPr>
              <w:t>measured in subframes</w:t>
            </w:r>
            <w:r>
              <w:rPr>
                <w:rFonts w:hint="eastAsia"/>
                <w:lang w:val="en-US" w:eastAsia="zh-CN"/>
              </w:rPr>
              <w:t xml:space="preserve"> </w:t>
            </w:r>
            <w:r w:rsidRPr="009C5807">
              <w:rPr>
                <w:lang w:eastAsia="zh-CN"/>
              </w:rPr>
              <w:t>is</w:t>
            </w:r>
            <w:r w:rsidRPr="009C5807">
              <w:rPr>
                <w:rFonts w:hint="eastAsia"/>
                <w:lang w:eastAsia="zh-CN"/>
              </w:rPr>
              <w:t xml:space="preserve"> </w:t>
            </w:r>
            <w:r w:rsidRPr="009C5807">
              <w:t xml:space="preserve">the longest SMTC duration </w:t>
            </w:r>
            <w:r w:rsidRPr="009C5807">
              <w:rPr>
                <w:lang w:eastAsia="zh-CN"/>
              </w:rPr>
              <w:t>between source cell and target cell.</w:t>
            </w:r>
          </w:p>
          <w:p w14:paraId="662A4453" w14:textId="77777777" w:rsidR="00F2752E" w:rsidRDefault="00F2752E" w:rsidP="00541BA5">
            <w:pPr>
              <w:pStyle w:val="TAN"/>
              <w:rPr>
                <w:lang w:eastAsia="zh-CN"/>
              </w:rPr>
            </w:pPr>
            <w:r w:rsidRPr="009C5807">
              <w:t>Note 3:</w:t>
            </w:r>
            <w:r w:rsidRPr="009C5807">
              <w:tab/>
            </w:r>
            <w:r w:rsidRPr="00A01642">
              <w:t>Void</w:t>
            </w:r>
            <w:r w:rsidRPr="00A01642">
              <w:rPr>
                <w:lang w:eastAsia="zh-CN"/>
              </w:rPr>
              <w:t>.</w:t>
            </w:r>
          </w:p>
          <w:p w14:paraId="7E8C0FF9" w14:textId="77777777" w:rsidR="00F2752E" w:rsidRPr="009C5807" w:rsidRDefault="00F2752E" w:rsidP="00541BA5">
            <w:pPr>
              <w:pStyle w:val="TAN"/>
            </w:pPr>
            <w:r>
              <w:t>Note 4:</w:t>
            </w:r>
            <w:r w:rsidRPr="009C5807">
              <w:t xml:space="preserve"> </w:t>
            </w:r>
            <w:r w:rsidRPr="009C5807">
              <w:tab/>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r>
              <w:t xml:space="preserve"> is as defined in TS 38.211 [6].</w:t>
            </w:r>
          </w:p>
        </w:tc>
      </w:tr>
    </w:tbl>
    <w:p w14:paraId="683B3D6F" w14:textId="77777777" w:rsidR="00F2752E" w:rsidRPr="009C5807" w:rsidRDefault="00F2752E" w:rsidP="00F2752E">
      <w:pPr>
        <w:rPr>
          <w:rFonts w:cs="v4.2.0"/>
        </w:rPr>
      </w:pPr>
    </w:p>
    <w:p w14:paraId="43B0AE88" w14:textId="08C4ADF8" w:rsidR="00F2752E" w:rsidRPr="009C5807" w:rsidRDefault="00F2752E" w:rsidP="00F2752E">
      <w:pPr>
        <w:rPr>
          <w:rFonts w:cs="v4.2.0"/>
        </w:rPr>
      </w:pPr>
      <w:r w:rsidRPr="009C5807">
        <w:rPr>
          <w:rFonts w:cs="v4.2.0"/>
        </w:rPr>
        <w:t xml:space="preserve">For </w:t>
      </w:r>
      <w:r w:rsidRPr="009C5807">
        <w:t>FR1-to-FR1</w:t>
      </w:r>
      <w:r w:rsidRPr="009C5807">
        <w:rPr>
          <w:rFonts w:cs="v4.2.0"/>
        </w:rPr>
        <w:t xml:space="preserve"> </w:t>
      </w:r>
      <w:r w:rsidRPr="009C5807">
        <w:rPr>
          <w:rFonts w:cs="v4.2.0" w:hint="eastAsia"/>
        </w:rPr>
        <w:t>int</w:t>
      </w:r>
      <w:r w:rsidRPr="009C5807">
        <w:rPr>
          <w:rFonts w:cs="v4.2.0"/>
        </w:rPr>
        <w:t>er</w:t>
      </w:r>
      <w:r w:rsidRPr="009C5807">
        <w:rPr>
          <w:rFonts w:cs="v4.2.0" w:hint="eastAsia"/>
        </w:rPr>
        <w:t>-band</w:t>
      </w:r>
      <w:r w:rsidRPr="009C5807">
        <w:rPr>
          <w:rFonts w:cs="v4.2.0"/>
        </w:rPr>
        <w:t xml:space="preserve"> handover, T</w:t>
      </w:r>
      <w:r w:rsidRPr="009C5807">
        <w:rPr>
          <w:rFonts w:cs="v4.2.0"/>
          <w:vertAlign w:val="subscript"/>
        </w:rPr>
        <w:t>interrupt2</w:t>
      </w:r>
      <w:r w:rsidRPr="009C5807">
        <w:rPr>
          <w:rFonts w:cs="v4.2.0"/>
        </w:rPr>
        <w:t xml:space="preserve"> is </w:t>
      </w:r>
      <w:r w:rsidRPr="009C5807">
        <w:rPr>
          <w:rFonts w:ascii="Tms Rmn" w:eastAsia="MS Mincho" w:hAnsi="Tms Rmn"/>
        </w:rPr>
        <w:t xml:space="preserve">specified </w:t>
      </w:r>
      <w:r w:rsidRPr="009C5807">
        <w:rPr>
          <w:rFonts w:cs="v4.2.0"/>
        </w:rPr>
        <w:t xml:space="preserve">in Table </w:t>
      </w:r>
      <w:r w:rsidRPr="009C5807">
        <w:t>6.1.3.2.2-</w:t>
      </w:r>
      <w:r>
        <w:t>7</w:t>
      </w:r>
      <w:r w:rsidRPr="009C5807">
        <w:t>.</w:t>
      </w:r>
    </w:p>
    <w:p w14:paraId="6C245DC3" w14:textId="7C52AA81" w:rsidR="00F2752E" w:rsidRPr="009C5807" w:rsidRDefault="00F2752E" w:rsidP="00F2752E">
      <w:pPr>
        <w:pStyle w:val="TH"/>
      </w:pPr>
      <w:r w:rsidRPr="009C5807">
        <w:t>Table 6.1.3.2.2-</w:t>
      </w:r>
      <w:r>
        <w:t>7</w:t>
      </w:r>
      <w:r w:rsidRPr="009C5807">
        <w:t>: T</w:t>
      </w:r>
      <w:r w:rsidRPr="009C5807">
        <w:rPr>
          <w:vertAlign w:val="subscript"/>
        </w:rPr>
        <w:t>interrupt2</w:t>
      </w:r>
      <w:r w:rsidRPr="009C5807">
        <w:t xml:space="preserve"> for FR1-to-FR1 inter-band DAPS HO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1898"/>
        <w:gridCol w:w="1984"/>
        <w:gridCol w:w="1843"/>
      </w:tblGrid>
      <w:tr w:rsidR="00F2752E" w:rsidRPr="009C5807" w14:paraId="643733F9" w14:textId="77777777" w:rsidTr="00541BA5">
        <w:trPr>
          <w:trHeight w:val="201"/>
          <w:jc w:val="center"/>
        </w:trPr>
        <w:tc>
          <w:tcPr>
            <w:tcW w:w="649" w:type="dxa"/>
            <w:tcBorders>
              <w:top w:val="single" w:sz="4" w:space="0" w:color="auto"/>
              <w:left w:val="single" w:sz="4" w:space="0" w:color="auto"/>
              <w:bottom w:val="nil"/>
              <w:right w:val="single" w:sz="4" w:space="0" w:color="auto"/>
            </w:tcBorders>
            <w:vAlign w:val="center"/>
            <w:hideMark/>
          </w:tcPr>
          <w:p w14:paraId="4A2DF12F" w14:textId="77777777" w:rsidR="00F2752E" w:rsidRPr="009C5807" w:rsidRDefault="00F2752E" w:rsidP="00541BA5">
            <w:pPr>
              <w:pStyle w:val="TAH"/>
            </w:pPr>
            <w:r w:rsidRPr="009C5807">
              <w:rPr>
                <w:noProof/>
                <w:lang w:val="en-US" w:eastAsia="zh-CN"/>
              </w:rPr>
              <w:drawing>
                <wp:inline distT="0" distB="0" distL="0" distR="0" wp14:anchorId="31373052" wp14:editId="2D458C49">
                  <wp:extent cx="142240" cy="160020"/>
                  <wp:effectExtent l="0" t="0" r="0" b="0"/>
                  <wp:docPr id="2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898" w:type="dxa"/>
            <w:tcBorders>
              <w:top w:val="single" w:sz="4" w:space="0" w:color="auto"/>
              <w:left w:val="single" w:sz="4" w:space="0" w:color="auto"/>
              <w:bottom w:val="nil"/>
              <w:right w:val="single" w:sz="4" w:space="0" w:color="auto"/>
            </w:tcBorders>
            <w:hideMark/>
          </w:tcPr>
          <w:p w14:paraId="5F8A6EEA" w14:textId="77777777" w:rsidR="00F2752E" w:rsidRPr="009C5807" w:rsidRDefault="00F2752E" w:rsidP="00541BA5">
            <w:pPr>
              <w:pStyle w:val="TAH"/>
            </w:pPr>
            <w:r w:rsidRPr="009C5807">
              <w:t xml:space="preserve">NR slot length (ms) </w:t>
            </w:r>
          </w:p>
        </w:tc>
        <w:tc>
          <w:tcPr>
            <w:tcW w:w="3827" w:type="dxa"/>
            <w:gridSpan w:val="2"/>
            <w:tcBorders>
              <w:top w:val="single" w:sz="4" w:space="0" w:color="auto"/>
              <w:left w:val="single" w:sz="4" w:space="0" w:color="auto"/>
              <w:bottom w:val="single" w:sz="4" w:space="0" w:color="auto"/>
              <w:right w:val="single" w:sz="4" w:space="0" w:color="auto"/>
            </w:tcBorders>
            <w:hideMark/>
          </w:tcPr>
          <w:p w14:paraId="5CCDF4DA" w14:textId="77777777" w:rsidR="00F2752E" w:rsidRPr="009C5807" w:rsidRDefault="00F2752E" w:rsidP="00541BA5">
            <w:pPr>
              <w:pStyle w:val="TAH"/>
            </w:pPr>
            <w:r w:rsidRPr="009C5807">
              <w:t>T</w:t>
            </w:r>
            <w:r w:rsidRPr="009C5807">
              <w:rPr>
                <w:vertAlign w:val="subscript"/>
              </w:rPr>
              <w:t>interrupt2</w:t>
            </w:r>
            <w:r w:rsidRPr="009C5807">
              <w:t xml:space="preserve"> (slots)</w:t>
            </w:r>
          </w:p>
        </w:tc>
      </w:tr>
      <w:tr w:rsidR="00F2752E" w:rsidRPr="009C5807" w14:paraId="1E05766C" w14:textId="77777777" w:rsidTr="00541BA5">
        <w:trPr>
          <w:trHeight w:val="201"/>
          <w:jc w:val="center"/>
        </w:trPr>
        <w:tc>
          <w:tcPr>
            <w:tcW w:w="649" w:type="dxa"/>
            <w:tcBorders>
              <w:top w:val="nil"/>
              <w:left w:val="single" w:sz="4" w:space="0" w:color="auto"/>
              <w:bottom w:val="single" w:sz="4" w:space="0" w:color="auto"/>
              <w:right w:val="single" w:sz="4" w:space="0" w:color="auto"/>
            </w:tcBorders>
            <w:vAlign w:val="center"/>
          </w:tcPr>
          <w:p w14:paraId="34D1BD10" w14:textId="77777777" w:rsidR="00F2752E" w:rsidRPr="009C5807" w:rsidRDefault="00F2752E" w:rsidP="00541BA5">
            <w:pPr>
              <w:pStyle w:val="TAH"/>
              <w:rPr>
                <w:noProof/>
                <w:lang w:val="en-US" w:eastAsia="zh-CN"/>
              </w:rPr>
            </w:pPr>
          </w:p>
        </w:tc>
        <w:tc>
          <w:tcPr>
            <w:tcW w:w="1898" w:type="dxa"/>
            <w:tcBorders>
              <w:top w:val="nil"/>
              <w:left w:val="single" w:sz="4" w:space="0" w:color="auto"/>
              <w:bottom w:val="single" w:sz="4" w:space="0" w:color="auto"/>
              <w:right w:val="single" w:sz="4" w:space="0" w:color="auto"/>
            </w:tcBorders>
          </w:tcPr>
          <w:p w14:paraId="6D4ECDFA" w14:textId="77777777" w:rsidR="00F2752E" w:rsidRPr="009C5807" w:rsidRDefault="00F2752E" w:rsidP="00541BA5">
            <w:pPr>
              <w:pStyle w:val="TAH"/>
            </w:pPr>
            <w:r w:rsidRPr="009C5807">
              <w:t>of target cell</w:t>
            </w:r>
          </w:p>
        </w:tc>
        <w:tc>
          <w:tcPr>
            <w:tcW w:w="1984" w:type="dxa"/>
            <w:tcBorders>
              <w:top w:val="single" w:sz="4" w:space="0" w:color="auto"/>
              <w:left w:val="single" w:sz="4" w:space="0" w:color="auto"/>
              <w:bottom w:val="single" w:sz="4" w:space="0" w:color="auto"/>
              <w:right w:val="single" w:sz="4" w:space="0" w:color="auto"/>
            </w:tcBorders>
          </w:tcPr>
          <w:p w14:paraId="0340CE62" w14:textId="77777777" w:rsidR="00F2752E" w:rsidRPr="009C5807" w:rsidRDefault="00F2752E" w:rsidP="00541BA5">
            <w:pPr>
              <w:pStyle w:val="TAH"/>
              <w:rPr>
                <w:lang w:eastAsia="zh-CN"/>
              </w:rPr>
            </w:pPr>
            <w:r w:rsidRPr="009C5807">
              <w:rPr>
                <w:rFonts w:hint="eastAsia"/>
                <w:lang w:eastAsia="zh-CN"/>
              </w:rPr>
              <w:t>Sync</w:t>
            </w:r>
          </w:p>
        </w:tc>
        <w:tc>
          <w:tcPr>
            <w:tcW w:w="1843" w:type="dxa"/>
            <w:tcBorders>
              <w:top w:val="single" w:sz="4" w:space="0" w:color="auto"/>
              <w:left w:val="single" w:sz="4" w:space="0" w:color="auto"/>
              <w:bottom w:val="single" w:sz="4" w:space="0" w:color="auto"/>
              <w:right w:val="single" w:sz="4" w:space="0" w:color="auto"/>
            </w:tcBorders>
          </w:tcPr>
          <w:p w14:paraId="683A4211" w14:textId="77777777" w:rsidR="00F2752E" w:rsidRPr="009C5807" w:rsidRDefault="00F2752E" w:rsidP="00541BA5">
            <w:pPr>
              <w:pStyle w:val="TAH"/>
              <w:rPr>
                <w:lang w:eastAsia="zh-CN"/>
              </w:rPr>
            </w:pPr>
            <w:r w:rsidRPr="009C5807">
              <w:rPr>
                <w:rFonts w:hint="eastAsia"/>
                <w:lang w:eastAsia="zh-CN"/>
              </w:rPr>
              <w:t>Async</w:t>
            </w:r>
          </w:p>
        </w:tc>
      </w:tr>
      <w:tr w:rsidR="00F2752E" w:rsidRPr="009C5807" w14:paraId="63E33403" w14:textId="77777777" w:rsidTr="00541BA5">
        <w:trPr>
          <w:jc w:val="center"/>
        </w:trPr>
        <w:tc>
          <w:tcPr>
            <w:tcW w:w="649" w:type="dxa"/>
            <w:tcBorders>
              <w:top w:val="single" w:sz="4" w:space="0" w:color="auto"/>
              <w:left w:val="single" w:sz="4" w:space="0" w:color="auto"/>
              <w:bottom w:val="single" w:sz="4" w:space="0" w:color="auto"/>
              <w:right w:val="single" w:sz="4" w:space="0" w:color="auto"/>
            </w:tcBorders>
            <w:hideMark/>
          </w:tcPr>
          <w:p w14:paraId="529CDB75" w14:textId="77777777" w:rsidR="00F2752E" w:rsidRPr="009C5807" w:rsidRDefault="00F2752E" w:rsidP="00541BA5">
            <w:pPr>
              <w:pStyle w:val="TAC"/>
            </w:pPr>
            <w:r w:rsidRPr="009C5807">
              <w:t>0</w:t>
            </w:r>
          </w:p>
        </w:tc>
        <w:tc>
          <w:tcPr>
            <w:tcW w:w="1898" w:type="dxa"/>
            <w:tcBorders>
              <w:top w:val="single" w:sz="4" w:space="0" w:color="auto"/>
              <w:left w:val="single" w:sz="4" w:space="0" w:color="auto"/>
              <w:bottom w:val="single" w:sz="4" w:space="0" w:color="auto"/>
              <w:right w:val="single" w:sz="4" w:space="0" w:color="auto"/>
            </w:tcBorders>
            <w:hideMark/>
          </w:tcPr>
          <w:p w14:paraId="669C099E" w14:textId="77777777" w:rsidR="00F2752E" w:rsidRPr="009C5807" w:rsidRDefault="00F2752E" w:rsidP="00541BA5">
            <w:pPr>
              <w:pStyle w:val="TAC"/>
            </w:pPr>
            <w:r w:rsidRPr="009C5807">
              <w:t>1</w:t>
            </w:r>
          </w:p>
        </w:tc>
        <w:tc>
          <w:tcPr>
            <w:tcW w:w="1984" w:type="dxa"/>
            <w:tcBorders>
              <w:top w:val="single" w:sz="4" w:space="0" w:color="auto"/>
              <w:left w:val="single" w:sz="4" w:space="0" w:color="auto"/>
              <w:bottom w:val="single" w:sz="4" w:space="0" w:color="auto"/>
              <w:right w:val="single" w:sz="4" w:space="0" w:color="auto"/>
            </w:tcBorders>
            <w:hideMark/>
          </w:tcPr>
          <w:p w14:paraId="0B29E4BE" w14:textId="77777777" w:rsidR="00F2752E" w:rsidRPr="009C5807" w:rsidRDefault="00F2752E" w:rsidP="00541BA5">
            <w:pPr>
              <w:pStyle w:val="TAC"/>
              <w:rPr>
                <w:rFonts w:cs="Arial"/>
                <w:szCs w:val="18"/>
              </w:rPr>
            </w:pPr>
            <w:r w:rsidRPr="009C5807">
              <w:rPr>
                <w:rFonts w:cs="Arial"/>
                <w:szCs w:val="18"/>
              </w:rPr>
              <w:t>1</w:t>
            </w:r>
          </w:p>
        </w:tc>
        <w:tc>
          <w:tcPr>
            <w:tcW w:w="1843" w:type="dxa"/>
            <w:tcBorders>
              <w:top w:val="single" w:sz="4" w:space="0" w:color="auto"/>
              <w:left w:val="single" w:sz="4" w:space="0" w:color="auto"/>
              <w:bottom w:val="single" w:sz="4" w:space="0" w:color="auto"/>
              <w:right w:val="single" w:sz="4" w:space="0" w:color="auto"/>
            </w:tcBorders>
          </w:tcPr>
          <w:p w14:paraId="6139078A" w14:textId="77777777" w:rsidR="00F2752E" w:rsidRPr="009C5807" w:rsidRDefault="00F2752E" w:rsidP="00541BA5">
            <w:pPr>
              <w:pStyle w:val="TAC"/>
              <w:rPr>
                <w:rFonts w:cs="Arial"/>
                <w:szCs w:val="18"/>
              </w:rPr>
            </w:pPr>
            <w:r w:rsidRPr="009C5807">
              <w:rPr>
                <w:rFonts w:cs="Arial"/>
                <w:szCs w:val="18"/>
              </w:rPr>
              <w:t>2</w:t>
            </w:r>
          </w:p>
        </w:tc>
      </w:tr>
      <w:tr w:rsidR="00F2752E" w:rsidRPr="009C5807" w14:paraId="6EEAA343" w14:textId="77777777" w:rsidTr="00541BA5">
        <w:trPr>
          <w:jc w:val="center"/>
        </w:trPr>
        <w:tc>
          <w:tcPr>
            <w:tcW w:w="649" w:type="dxa"/>
            <w:tcBorders>
              <w:top w:val="single" w:sz="4" w:space="0" w:color="auto"/>
              <w:left w:val="single" w:sz="4" w:space="0" w:color="auto"/>
              <w:bottom w:val="single" w:sz="4" w:space="0" w:color="auto"/>
              <w:right w:val="single" w:sz="4" w:space="0" w:color="auto"/>
            </w:tcBorders>
            <w:hideMark/>
          </w:tcPr>
          <w:p w14:paraId="1E4F5319" w14:textId="77777777" w:rsidR="00F2752E" w:rsidRPr="009C5807" w:rsidRDefault="00F2752E" w:rsidP="00541BA5">
            <w:pPr>
              <w:pStyle w:val="TAC"/>
            </w:pPr>
            <w:r w:rsidRPr="009C5807">
              <w:t>1</w:t>
            </w:r>
          </w:p>
        </w:tc>
        <w:tc>
          <w:tcPr>
            <w:tcW w:w="1898" w:type="dxa"/>
            <w:tcBorders>
              <w:top w:val="single" w:sz="4" w:space="0" w:color="auto"/>
              <w:left w:val="single" w:sz="4" w:space="0" w:color="auto"/>
              <w:bottom w:val="single" w:sz="4" w:space="0" w:color="auto"/>
              <w:right w:val="single" w:sz="4" w:space="0" w:color="auto"/>
            </w:tcBorders>
            <w:hideMark/>
          </w:tcPr>
          <w:p w14:paraId="6433B129" w14:textId="77777777" w:rsidR="00F2752E" w:rsidRPr="009C5807" w:rsidRDefault="00F2752E" w:rsidP="00541BA5">
            <w:pPr>
              <w:pStyle w:val="TAC"/>
            </w:pPr>
            <w:r w:rsidRPr="009C5807">
              <w:t>0.5</w:t>
            </w:r>
          </w:p>
        </w:tc>
        <w:tc>
          <w:tcPr>
            <w:tcW w:w="1984" w:type="dxa"/>
            <w:tcBorders>
              <w:top w:val="single" w:sz="4" w:space="0" w:color="auto"/>
              <w:left w:val="single" w:sz="4" w:space="0" w:color="auto"/>
              <w:bottom w:val="single" w:sz="4" w:space="0" w:color="auto"/>
              <w:right w:val="single" w:sz="4" w:space="0" w:color="auto"/>
            </w:tcBorders>
            <w:hideMark/>
          </w:tcPr>
          <w:p w14:paraId="2E204BE3" w14:textId="77777777" w:rsidR="00F2752E" w:rsidRPr="009C5807" w:rsidRDefault="00F2752E" w:rsidP="00541BA5">
            <w:pPr>
              <w:pStyle w:val="TAC"/>
              <w:rPr>
                <w:rFonts w:cs="Arial"/>
                <w:szCs w:val="18"/>
              </w:rPr>
            </w:pPr>
            <w:r w:rsidRPr="009C5807">
              <w:rPr>
                <w:rFonts w:cs="Arial"/>
                <w:szCs w:val="18"/>
              </w:rPr>
              <w:t>2</w:t>
            </w:r>
          </w:p>
        </w:tc>
        <w:tc>
          <w:tcPr>
            <w:tcW w:w="1843" w:type="dxa"/>
            <w:tcBorders>
              <w:top w:val="single" w:sz="4" w:space="0" w:color="auto"/>
              <w:left w:val="single" w:sz="4" w:space="0" w:color="auto"/>
              <w:bottom w:val="single" w:sz="4" w:space="0" w:color="auto"/>
              <w:right w:val="single" w:sz="4" w:space="0" w:color="auto"/>
            </w:tcBorders>
          </w:tcPr>
          <w:p w14:paraId="280BFCB6" w14:textId="77777777" w:rsidR="00F2752E" w:rsidRPr="009C5807" w:rsidRDefault="00F2752E" w:rsidP="00541BA5">
            <w:pPr>
              <w:pStyle w:val="TAC"/>
              <w:rPr>
                <w:rFonts w:cs="Arial"/>
                <w:szCs w:val="18"/>
              </w:rPr>
            </w:pPr>
            <w:r w:rsidRPr="009C5807">
              <w:rPr>
                <w:rFonts w:cs="Arial"/>
                <w:szCs w:val="18"/>
              </w:rPr>
              <w:t>3</w:t>
            </w:r>
          </w:p>
        </w:tc>
      </w:tr>
      <w:tr w:rsidR="00F2752E" w:rsidRPr="009C5807" w14:paraId="30AD6215" w14:textId="77777777" w:rsidTr="00541BA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A8636AE" w14:textId="77777777" w:rsidR="00F2752E" w:rsidRPr="009C5807" w:rsidRDefault="00F2752E" w:rsidP="00541BA5">
            <w:pPr>
              <w:pStyle w:val="TAC"/>
              <w:rPr>
                <w:lang w:eastAsia="zh-CN"/>
              </w:rPr>
            </w:pPr>
            <w:r w:rsidRPr="009C5807">
              <w:rPr>
                <w:rFonts w:hint="eastAsia"/>
                <w:lang w:eastAsia="zh-CN"/>
              </w:rPr>
              <w:t>2</w:t>
            </w:r>
            <w:r w:rsidRPr="009C5807">
              <w:rPr>
                <w:lang w:eastAsia="zh-CN"/>
              </w:rPr>
              <w:t xml:space="preserve"> </w:t>
            </w:r>
          </w:p>
        </w:tc>
        <w:tc>
          <w:tcPr>
            <w:tcW w:w="1898" w:type="dxa"/>
            <w:tcBorders>
              <w:top w:val="single" w:sz="4" w:space="0" w:color="auto"/>
              <w:left w:val="single" w:sz="4" w:space="0" w:color="auto"/>
              <w:bottom w:val="single" w:sz="4" w:space="0" w:color="auto"/>
              <w:right w:val="single" w:sz="4" w:space="0" w:color="auto"/>
            </w:tcBorders>
            <w:vAlign w:val="center"/>
            <w:hideMark/>
          </w:tcPr>
          <w:p w14:paraId="49EC7612" w14:textId="77777777" w:rsidR="00F2752E" w:rsidRPr="009C5807" w:rsidRDefault="00F2752E" w:rsidP="00541BA5">
            <w:pPr>
              <w:pStyle w:val="TAC"/>
              <w:rPr>
                <w:lang w:eastAsia="zh-CN"/>
              </w:rPr>
            </w:pPr>
            <w:r w:rsidRPr="009C5807">
              <w:rPr>
                <w:rFonts w:hint="eastAsia"/>
                <w:lang w:eastAsia="zh-CN"/>
              </w:rPr>
              <w:t>0.25</w:t>
            </w:r>
          </w:p>
        </w:tc>
        <w:tc>
          <w:tcPr>
            <w:tcW w:w="1984" w:type="dxa"/>
            <w:tcBorders>
              <w:top w:val="single" w:sz="4" w:space="0" w:color="auto"/>
              <w:left w:val="single" w:sz="4" w:space="0" w:color="auto"/>
              <w:bottom w:val="single" w:sz="4" w:space="0" w:color="auto"/>
              <w:right w:val="single" w:sz="4" w:space="0" w:color="auto"/>
            </w:tcBorders>
            <w:hideMark/>
          </w:tcPr>
          <w:p w14:paraId="0F7A679C" w14:textId="77777777" w:rsidR="00F2752E" w:rsidRPr="009C5807" w:rsidRDefault="00F2752E" w:rsidP="00541BA5">
            <w:pPr>
              <w:pStyle w:val="TAC"/>
              <w:rPr>
                <w:rFonts w:cs="Arial"/>
                <w:szCs w:val="18"/>
              </w:rPr>
            </w:pPr>
            <w:r w:rsidRPr="009C5807">
              <w:rPr>
                <w:rFonts w:cs="Arial"/>
                <w:szCs w:val="18"/>
              </w:rPr>
              <w:t>5</w:t>
            </w:r>
          </w:p>
        </w:tc>
        <w:tc>
          <w:tcPr>
            <w:tcW w:w="1843" w:type="dxa"/>
            <w:tcBorders>
              <w:top w:val="single" w:sz="4" w:space="0" w:color="auto"/>
              <w:left w:val="single" w:sz="4" w:space="0" w:color="auto"/>
              <w:bottom w:val="single" w:sz="4" w:space="0" w:color="auto"/>
              <w:right w:val="single" w:sz="4" w:space="0" w:color="auto"/>
            </w:tcBorders>
          </w:tcPr>
          <w:p w14:paraId="65E581B1" w14:textId="77777777" w:rsidR="00F2752E" w:rsidRPr="009C5807" w:rsidRDefault="00F2752E" w:rsidP="00541BA5">
            <w:pPr>
              <w:pStyle w:val="TAC"/>
              <w:rPr>
                <w:rFonts w:cs="Arial"/>
                <w:szCs w:val="18"/>
              </w:rPr>
            </w:pPr>
            <w:r w:rsidRPr="009C5807">
              <w:rPr>
                <w:rFonts w:cs="Arial"/>
                <w:szCs w:val="18"/>
              </w:rPr>
              <w:t>5</w:t>
            </w:r>
          </w:p>
        </w:tc>
      </w:tr>
    </w:tbl>
    <w:p w14:paraId="03637C2C" w14:textId="77777777" w:rsidR="00E72C7B" w:rsidRPr="009C5807" w:rsidRDefault="00E72C7B" w:rsidP="00E72C7B">
      <w:pPr>
        <w:rPr>
          <w:rFonts w:cs="v4.2.0"/>
        </w:rPr>
      </w:pPr>
    </w:p>
    <w:p w14:paraId="1A9F6673" w14:textId="77777777" w:rsidR="00E72C7B" w:rsidRPr="009C5807" w:rsidRDefault="00E72C7B" w:rsidP="00E72C7B">
      <w:pPr>
        <w:pStyle w:val="Heading4"/>
        <w:rPr>
          <w:lang w:val="en-US" w:eastAsia="zh-CN"/>
        </w:rPr>
      </w:pPr>
      <w:r w:rsidRPr="009C5807">
        <w:rPr>
          <w:lang w:val="en-US" w:eastAsia="zh-CN"/>
        </w:rPr>
        <w:t>6.1.3.3</w:t>
      </w:r>
      <w:r w:rsidRPr="009C5807">
        <w:rPr>
          <w:lang w:val="en-US" w:eastAsia="zh-CN"/>
        </w:rPr>
        <w:tab/>
        <w:t>NR FR2- NR FR1 DAPS Handover</w:t>
      </w:r>
    </w:p>
    <w:p w14:paraId="769EAC3E" w14:textId="731BE06C" w:rsidR="00293E8D" w:rsidRPr="00A01642" w:rsidRDefault="00E72C7B" w:rsidP="00293E8D">
      <w:r w:rsidRPr="009C5807">
        <w:t>The requirements in this clause are applicable to inter-frequency handovers from NR FR2 cell to NR FR1 cell.</w:t>
      </w:r>
    </w:p>
    <w:p w14:paraId="4042AC20" w14:textId="77777777" w:rsidR="00293E8D" w:rsidRPr="00A01642" w:rsidRDefault="00293E8D" w:rsidP="00293E8D">
      <w:pPr>
        <w:rPr>
          <w:rFonts w:cs="v4.2.0"/>
        </w:rPr>
      </w:pPr>
      <w:r w:rsidRPr="00A01642">
        <w:rPr>
          <w:rFonts w:cs="v4.2.0"/>
        </w:rPr>
        <w:t>An FR2-FR1 DAPS handover is synchronous if it meets the conditions in table  6.1.3.3-1, otherwise it is asynchronous</w:t>
      </w:r>
    </w:p>
    <w:p w14:paraId="58D22D27" w14:textId="4FFD0D21" w:rsidR="00293E8D" w:rsidRPr="00A01642" w:rsidRDefault="00293E8D" w:rsidP="00293E8D">
      <w:pPr>
        <w:pStyle w:val="TH"/>
      </w:pPr>
      <w:r w:rsidRPr="00A01642">
        <w:t>Table  6.1.3.3-1: Sync condition for FR2-FR1 DAPS handover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2890"/>
        <w:gridCol w:w="2845"/>
      </w:tblGrid>
      <w:tr w:rsidR="00293E8D" w:rsidRPr="00A01642" w14:paraId="4BBBBF6A" w14:textId="77777777" w:rsidTr="003637C3">
        <w:trPr>
          <w:jc w:val="center"/>
        </w:trPr>
        <w:tc>
          <w:tcPr>
            <w:tcW w:w="2183" w:type="dxa"/>
            <w:shd w:val="clear" w:color="auto" w:fill="auto"/>
          </w:tcPr>
          <w:p w14:paraId="121B0FBB" w14:textId="77777777" w:rsidR="00293E8D" w:rsidRPr="00A01642" w:rsidRDefault="00293E8D" w:rsidP="00293E8D">
            <w:pPr>
              <w:pStyle w:val="TAH"/>
            </w:pPr>
            <w:r w:rsidRPr="00A01642">
              <w:t>Frequency Range of the pair of carriers</w:t>
            </w:r>
          </w:p>
        </w:tc>
        <w:tc>
          <w:tcPr>
            <w:tcW w:w="2890" w:type="dxa"/>
            <w:shd w:val="clear" w:color="auto" w:fill="auto"/>
          </w:tcPr>
          <w:p w14:paraId="33373541" w14:textId="77777777" w:rsidR="00293E8D" w:rsidRPr="00A01642" w:rsidRDefault="00293E8D" w:rsidP="00293E8D">
            <w:pPr>
              <w:pStyle w:val="TAH"/>
            </w:pPr>
            <w:r w:rsidRPr="00A01642">
              <w:t>Maximum receive timing difference between source and taget cell (µs) for sync DAPS handover</w:t>
            </w:r>
          </w:p>
        </w:tc>
        <w:tc>
          <w:tcPr>
            <w:tcW w:w="2845" w:type="dxa"/>
          </w:tcPr>
          <w:p w14:paraId="6802BA8E" w14:textId="713F30D8" w:rsidR="00293E8D" w:rsidRPr="00A01642" w:rsidRDefault="00293E8D" w:rsidP="00293E8D">
            <w:pPr>
              <w:pStyle w:val="TAH"/>
            </w:pPr>
            <w:r w:rsidRPr="00A01642">
              <w:t>Maximum transmit timing difference between source and taget cell (µs) for sync DAPS handover</w:t>
            </w:r>
          </w:p>
        </w:tc>
      </w:tr>
      <w:tr w:rsidR="00293E8D" w:rsidRPr="00A01642" w14:paraId="7A6C2098" w14:textId="77777777" w:rsidTr="003637C3">
        <w:trPr>
          <w:jc w:val="center"/>
        </w:trPr>
        <w:tc>
          <w:tcPr>
            <w:tcW w:w="2183" w:type="dxa"/>
            <w:shd w:val="clear" w:color="auto" w:fill="auto"/>
          </w:tcPr>
          <w:p w14:paraId="7CAB1993" w14:textId="77777777" w:rsidR="00293E8D" w:rsidRPr="00A01642" w:rsidRDefault="00293E8D" w:rsidP="00293E8D">
            <w:pPr>
              <w:pStyle w:val="TAL"/>
            </w:pPr>
            <w:r w:rsidRPr="00A01642">
              <w:t>Between FR1 and FR2</w:t>
            </w:r>
          </w:p>
        </w:tc>
        <w:tc>
          <w:tcPr>
            <w:tcW w:w="2890" w:type="dxa"/>
            <w:shd w:val="clear" w:color="auto" w:fill="auto"/>
          </w:tcPr>
          <w:p w14:paraId="4B0114F6" w14:textId="77777777" w:rsidR="00293E8D" w:rsidRPr="00A01642" w:rsidRDefault="00293E8D" w:rsidP="00293E8D">
            <w:pPr>
              <w:pStyle w:val="TAC"/>
            </w:pPr>
            <w:r w:rsidRPr="00A01642">
              <w:t xml:space="preserve">25 </w:t>
            </w:r>
          </w:p>
        </w:tc>
        <w:tc>
          <w:tcPr>
            <w:tcW w:w="2845" w:type="dxa"/>
          </w:tcPr>
          <w:p w14:paraId="038E0540" w14:textId="77777777" w:rsidR="00293E8D" w:rsidRPr="00A01642" w:rsidRDefault="00293E8D" w:rsidP="00293E8D">
            <w:pPr>
              <w:pStyle w:val="TAC"/>
            </w:pPr>
            <w:r w:rsidRPr="00A01642">
              <w:t xml:space="preserve">26.1 </w:t>
            </w:r>
          </w:p>
        </w:tc>
      </w:tr>
    </w:tbl>
    <w:p w14:paraId="5D707ED1" w14:textId="77777777" w:rsidR="00293E8D" w:rsidRDefault="00293E8D" w:rsidP="00293E8D"/>
    <w:p w14:paraId="168F10A8" w14:textId="0F7D8553" w:rsidR="00E72C7B" w:rsidRPr="009C5807" w:rsidRDefault="00E72C7B" w:rsidP="00293E8D">
      <w:pPr>
        <w:pStyle w:val="Heading5"/>
      </w:pPr>
      <w:r w:rsidRPr="009C5807">
        <w:t>6.1.3.3.1</w:t>
      </w:r>
      <w:r w:rsidRPr="009C5807">
        <w:tab/>
        <w:t>DAPS handover delay</w:t>
      </w:r>
    </w:p>
    <w:p w14:paraId="097EC989" w14:textId="77777777" w:rsidR="00E72C7B" w:rsidRPr="009C5807" w:rsidRDefault="00E72C7B" w:rsidP="00E72C7B">
      <w:pPr>
        <w:rPr>
          <w:rFonts w:cs="v4.2.0"/>
        </w:rPr>
      </w:pPr>
      <w:r w:rsidRPr="009C5807">
        <w:rPr>
          <w:rFonts w:cs="v4.2.0"/>
        </w:rPr>
        <w:t xml:space="preserve">Procedure delays for the procedure that can command a DAPS handover are specified in </w:t>
      </w:r>
      <w:r w:rsidRPr="009C5807">
        <w:t>TS 38.331 [2]</w:t>
      </w:r>
      <w:r w:rsidRPr="009C5807">
        <w:rPr>
          <w:rFonts w:cs="v4.2.0"/>
        </w:rPr>
        <w:t>.</w:t>
      </w:r>
    </w:p>
    <w:p w14:paraId="4FAFA0D2" w14:textId="39ED7B50" w:rsidR="00A16ED2" w:rsidRPr="009C5807" w:rsidRDefault="00A16ED2" w:rsidP="00125AB5">
      <w:r w:rsidRPr="009C5807">
        <w:t xml:space="preserve">When the UE receives a RRC message implying handover, the UE shall be ready to </w:t>
      </w:r>
      <w:r w:rsidRPr="009C5807">
        <w:rPr>
          <w:snapToGrid w:val="0"/>
        </w:rPr>
        <w:t>start the transmission of the new uplink PRACH channel</w:t>
      </w:r>
      <w:r w:rsidRPr="009C5807">
        <w:t xml:space="preserve"> within D</w:t>
      </w:r>
      <w:r w:rsidRPr="009C5807">
        <w:rPr>
          <w:vertAlign w:val="subscript"/>
        </w:rPr>
        <w:t>handover1</w:t>
      </w:r>
      <w:r w:rsidRPr="009C5807">
        <w:t xml:space="preserve"> ms from the end of the last TTI containing the RRC command</w:t>
      </w:r>
      <w:r w:rsidRPr="009C5807">
        <w:rPr>
          <w:rFonts w:hint="eastAsia"/>
          <w:lang w:eastAsia="zh-CN"/>
        </w:rPr>
        <w:t xml:space="preserve"> when UE is configured with </w:t>
      </w:r>
      <w:r w:rsidRPr="009C5807">
        <w:rPr>
          <w:lang w:eastAsia="zh-CN"/>
        </w:rPr>
        <w:t>dual active protocol stack</w:t>
      </w:r>
      <w:r w:rsidRPr="009C5807">
        <w:rPr>
          <w:rFonts w:hint="eastAsia"/>
          <w:lang w:eastAsia="zh-CN"/>
        </w:rPr>
        <w:t xml:space="preserve"> handover</w:t>
      </w:r>
      <w:r w:rsidRPr="009C5807">
        <w:t>.</w:t>
      </w:r>
    </w:p>
    <w:p w14:paraId="6D79446C" w14:textId="77777777" w:rsidR="00E72C7B" w:rsidRPr="009C5807" w:rsidRDefault="00E72C7B" w:rsidP="00E72C7B">
      <w:pPr>
        <w:pStyle w:val="EQ"/>
      </w:pPr>
      <w:r w:rsidRPr="009C5807">
        <w:tab/>
      </w:r>
      <w:r w:rsidRPr="009C5807">
        <w:rPr>
          <w:rFonts w:cs="v4.2.0"/>
        </w:rPr>
        <w:t>D</w:t>
      </w:r>
      <w:r w:rsidRPr="009C5807">
        <w:rPr>
          <w:rFonts w:cs="v4.2.0"/>
          <w:vertAlign w:val="subscript"/>
        </w:rPr>
        <w:t>handover1</w:t>
      </w:r>
      <w:r w:rsidRPr="009C5807">
        <w:t xml:space="preserve"> = </w:t>
      </w:r>
      <w:r w:rsidRPr="009C5807">
        <w:rPr>
          <w:rFonts w:cs="v4.2.0"/>
          <w:iCs/>
        </w:rPr>
        <w:t>T</w:t>
      </w:r>
      <w:r w:rsidRPr="009C5807">
        <w:rPr>
          <w:rFonts w:cs="v4.2.0"/>
          <w:iCs/>
          <w:vertAlign w:val="subscript"/>
        </w:rPr>
        <w:t>RRC_procedure</w:t>
      </w:r>
      <w:r w:rsidRPr="009C5807">
        <w:t xml:space="preserve"> + T</w:t>
      </w:r>
      <w:r w:rsidRPr="009C5807">
        <w:rPr>
          <w:vertAlign w:val="subscript"/>
        </w:rPr>
        <w:t>search</w:t>
      </w:r>
      <w:r w:rsidRPr="009C5807">
        <w:t xml:space="preserve"> + T</w:t>
      </w:r>
      <w:r w:rsidRPr="009C5807">
        <w:rPr>
          <w:vertAlign w:val="subscript"/>
        </w:rPr>
        <w:t>IU</w:t>
      </w:r>
      <w:r w:rsidRPr="009C5807">
        <w:t xml:space="preserve"> + T</w:t>
      </w:r>
      <w:r w:rsidRPr="009C5807">
        <w:rPr>
          <w:vertAlign w:val="subscript"/>
        </w:rPr>
        <w:t>processing</w:t>
      </w:r>
      <w:r w:rsidRPr="009C5807">
        <w:t xml:space="preserve"> </w:t>
      </w:r>
      <w:r w:rsidRPr="009C5807">
        <w:rPr>
          <w:lang w:eastAsia="zh-CN"/>
        </w:rPr>
        <w:t>+ T</w:t>
      </w:r>
      <w:r w:rsidRPr="009C5807">
        <w:rPr>
          <w:vertAlign w:val="subscript"/>
          <w:lang w:eastAsia="zh-CN"/>
        </w:rPr>
        <w:t>∆</w:t>
      </w:r>
      <w:r w:rsidRPr="009C5807">
        <w:rPr>
          <w:lang w:eastAsia="zh-CN"/>
        </w:rPr>
        <w:t xml:space="preserve"> + T</w:t>
      </w:r>
      <w:r w:rsidRPr="009C5807">
        <w:rPr>
          <w:vertAlign w:val="subscript"/>
          <w:lang w:eastAsia="zh-CN"/>
        </w:rPr>
        <w:t>margin</w:t>
      </w:r>
      <w:r w:rsidRPr="009C5807">
        <w:t xml:space="preserve"> ms</w:t>
      </w:r>
    </w:p>
    <w:p w14:paraId="6042E1DD" w14:textId="77777777" w:rsidR="00E72C7B" w:rsidRPr="009C5807" w:rsidRDefault="00E72C7B" w:rsidP="00E72C7B">
      <w:pPr>
        <w:rPr>
          <w:rFonts w:cs="v4.2.0"/>
        </w:rPr>
      </w:pPr>
      <w:r w:rsidRPr="009C5807">
        <w:rPr>
          <w:rFonts w:cs="v4.2.0"/>
        </w:rPr>
        <w:t>Where:</w:t>
      </w:r>
    </w:p>
    <w:p w14:paraId="00DFB43B" w14:textId="593D93F8" w:rsidR="00E72C7B" w:rsidRPr="009C5807" w:rsidRDefault="00231BA1" w:rsidP="001741D7">
      <w:pPr>
        <w:pStyle w:val="B10"/>
      </w:pPr>
      <w:r>
        <w:rPr>
          <w:iCs/>
        </w:rPr>
        <w:tab/>
      </w:r>
      <w:r w:rsidR="00E72C7B" w:rsidRPr="009C5807">
        <w:rPr>
          <w:iCs/>
        </w:rPr>
        <w:t>T</w:t>
      </w:r>
      <w:r w:rsidR="00E72C7B" w:rsidRPr="009C5807">
        <w:rPr>
          <w:iCs/>
          <w:vertAlign w:val="subscript"/>
        </w:rPr>
        <w:t>RRC_procedure</w:t>
      </w:r>
      <w:r w:rsidR="00E72C7B" w:rsidRPr="009C5807">
        <w:t xml:space="preserve"> is the </w:t>
      </w:r>
      <w:r w:rsidR="00E72C7B" w:rsidRPr="009C5807">
        <w:rPr>
          <w:rFonts w:eastAsia="MS Mincho"/>
        </w:rPr>
        <w:t>maximum</w:t>
      </w:r>
      <w:r w:rsidR="00E72C7B" w:rsidRPr="009C5807">
        <w:t xml:space="preserve"> RRC procedure delay as </w:t>
      </w:r>
      <w:r w:rsidR="00E72C7B" w:rsidRPr="009C5807">
        <w:rPr>
          <w:rFonts w:ascii="Tms Rmn" w:eastAsia="MS Mincho" w:hAnsi="Tms Rmn"/>
        </w:rPr>
        <w:t xml:space="preserve">specified </w:t>
      </w:r>
      <w:r w:rsidR="00E72C7B" w:rsidRPr="009C5807">
        <w:t>in clause </w:t>
      </w:r>
      <w:r w:rsidR="00E72C7B" w:rsidRPr="009C5807">
        <w:rPr>
          <w:lang w:eastAsia="zh-CN"/>
        </w:rPr>
        <w:t>12</w:t>
      </w:r>
      <w:r w:rsidR="00E72C7B" w:rsidRPr="009C5807">
        <w:t xml:space="preserve"> in TS 38.331 [2].</w:t>
      </w:r>
    </w:p>
    <w:p w14:paraId="2111DFDA" w14:textId="2A6276D9" w:rsidR="00E72C7B" w:rsidRPr="009C5807" w:rsidRDefault="00231BA1" w:rsidP="001741D7">
      <w:pPr>
        <w:pStyle w:val="B10"/>
      </w:pPr>
      <w:r>
        <w:tab/>
      </w:r>
      <w:r w:rsidR="00E72C7B" w:rsidRPr="009C5807">
        <w:t>T</w:t>
      </w:r>
      <w:r w:rsidR="00E72C7B" w:rsidRPr="009C5807">
        <w:rPr>
          <w:vertAlign w:val="subscript"/>
        </w:rPr>
        <w:t>search</w:t>
      </w:r>
      <w:r w:rsidR="00E72C7B" w:rsidRPr="009C5807">
        <w:t>, T</w:t>
      </w:r>
      <w:r w:rsidR="00E72C7B" w:rsidRPr="009C5807">
        <w:rPr>
          <w:vertAlign w:val="subscript"/>
        </w:rPr>
        <w:t>IU</w:t>
      </w:r>
      <w:r w:rsidR="00E72C7B" w:rsidRPr="009C5807">
        <w:t>, T</w:t>
      </w:r>
      <w:r w:rsidR="00E72C7B" w:rsidRPr="009C5807">
        <w:rPr>
          <w:vertAlign w:val="subscript"/>
        </w:rPr>
        <w:t>processing</w:t>
      </w:r>
      <w:r w:rsidR="00E72C7B" w:rsidRPr="009C5807">
        <w:rPr>
          <w:lang w:eastAsia="zh-CN"/>
        </w:rPr>
        <w:t>, T</w:t>
      </w:r>
      <w:r w:rsidR="00E72C7B" w:rsidRPr="009C5807">
        <w:rPr>
          <w:vertAlign w:val="subscript"/>
          <w:lang w:eastAsia="zh-CN"/>
        </w:rPr>
        <w:t>∆</w:t>
      </w:r>
      <w:r w:rsidR="00E72C7B" w:rsidRPr="009C5807">
        <w:rPr>
          <w:lang w:eastAsia="zh-CN"/>
        </w:rPr>
        <w:t xml:space="preserve"> and T</w:t>
      </w:r>
      <w:r w:rsidR="00E72C7B" w:rsidRPr="009C5807">
        <w:rPr>
          <w:vertAlign w:val="subscript"/>
          <w:lang w:eastAsia="zh-CN"/>
        </w:rPr>
        <w:t>margin</w:t>
      </w:r>
      <w:r w:rsidR="00E72C7B" w:rsidRPr="009C5807">
        <w:t xml:space="preserve"> are defined in clause 6.1.1.3.2.</w:t>
      </w:r>
    </w:p>
    <w:p w14:paraId="45C56C50" w14:textId="66A07B1C" w:rsidR="00E72C7B" w:rsidRPr="009C5807" w:rsidRDefault="00E72C7B" w:rsidP="00E72C7B">
      <w:pPr>
        <w:rPr>
          <w:rFonts w:cs="v4.2.0"/>
        </w:rPr>
      </w:pPr>
      <w:r w:rsidRPr="009C5807">
        <w:rPr>
          <w:rFonts w:cs="v4.2.0"/>
        </w:rPr>
        <w:t xml:space="preserve">After successful RACH procedure of the target cell, when the UE receives </w:t>
      </w:r>
      <w:r w:rsidR="00293E8D" w:rsidRPr="00A01642">
        <w:rPr>
          <w:rFonts w:cs="v4.2.0"/>
        </w:rPr>
        <w:t>an RRC</w:t>
      </w:r>
      <w:r w:rsidRPr="009C5807">
        <w:rPr>
          <w:rFonts w:cs="v4.2.0"/>
        </w:rPr>
        <w:t xml:space="preserve"> message implying source cell release command, </w:t>
      </w:r>
      <w:r w:rsidRPr="009C5807">
        <w:rPr>
          <w:lang w:eastAsia="ko-KR"/>
        </w:rPr>
        <w:t xml:space="preserve">the UE shall accomplish the release actions specified in </w:t>
      </w:r>
      <w:r w:rsidRPr="009C5807">
        <w:t>TS 38.331 </w:t>
      </w:r>
      <w:r w:rsidRPr="009C5807">
        <w:rPr>
          <w:lang w:eastAsia="ko-KR"/>
        </w:rPr>
        <w:t xml:space="preserve">[2] within </w:t>
      </w:r>
      <w:r w:rsidRPr="009C5807">
        <w:rPr>
          <w:rFonts w:cs="v4.2.0"/>
        </w:rPr>
        <w:t>D</w:t>
      </w:r>
      <w:r w:rsidRPr="009C5807">
        <w:rPr>
          <w:rFonts w:cs="v4.2.0"/>
          <w:vertAlign w:val="subscript"/>
        </w:rPr>
        <w:t>handover2</w:t>
      </w:r>
      <w:r w:rsidRPr="009C5807">
        <w:rPr>
          <w:rFonts w:cs="v4.2.0"/>
        </w:rPr>
        <w:t>.</w:t>
      </w:r>
    </w:p>
    <w:p w14:paraId="41D90E4B" w14:textId="1E762FF0" w:rsidR="00E72C7B" w:rsidRPr="009C5807" w:rsidRDefault="00231BA1" w:rsidP="001741D7">
      <w:pPr>
        <w:pStyle w:val="B10"/>
      </w:pPr>
      <w:r>
        <w:tab/>
      </w:r>
      <w:r w:rsidR="00E72C7B" w:rsidRPr="009C5807">
        <w:t>D</w:t>
      </w:r>
      <w:r w:rsidR="00E72C7B" w:rsidRPr="009C5807">
        <w:rPr>
          <w:vertAlign w:val="subscript"/>
        </w:rPr>
        <w:t>handover2</w:t>
      </w:r>
      <w:r w:rsidR="00E72C7B" w:rsidRPr="009C5807">
        <w:t xml:space="preserve"> = </w:t>
      </w:r>
      <w:r w:rsidR="00E72C7B" w:rsidRPr="009C5807">
        <w:rPr>
          <w:iCs/>
        </w:rPr>
        <w:t>T</w:t>
      </w:r>
      <w:r w:rsidR="00E72C7B" w:rsidRPr="009C5807">
        <w:rPr>
          <w:iCs/>
          <w:vertAlign w:val="subscript"/>
        </w:rPr>
        <w:t>RRC_procedure</w:t>
      </w:r>
      <w:r w:rsidR="00E72C7B" w:rsidRPr="009C5807">
        <w:t>+ T</w:t>
      </w:r>
      <w:r w:rsidR="00E72C7B" w:rsidRPr="009C5807">
        <w:rPr>
          <w:vertAlign w:val="subscript"/>
        </w:rPr>
        <w:t>interrupt2</w:t>
      </w:r>
    </w:p>
    <w:p w14:paraId="3F063182" w14:textId="77777777" w:rsidR="00E72C7B" w:rsidRPr="009C5807" w:rsidRDefault="00E72C7B" w:rsidP="00E72C7B">
      <w:pPr>
        <w:rPr>
          <w:rFonts w:cs="v4.2.0"/>
        </w:rPr>
      </w:pPr>
      <w:r w:rsidRPr="009C5807">
        <w:rPr>
          <w:rFonts w:cs="v4.2.0"/>
        </w:rPr>
        <w:t>Where:</w:t>
      </w:r>
    </w:p>
    <w:p w14:paraId="2A3381F5" w14:textId="4F76A9FD" w:rsidR="00293E8D" w:rsidRPr="00A01642" w:rsidRDefault="00231BA1" w:rsidP="00293E8D">
      <w:pPr>
        <w:pStyle w:val="B10"/>
      </w:pPr>
      <w:r>
        <w:rPr>
          <w:iCs/>
        </w:rPr>
        <w:tab/>
      </w:r>
      <w:r w:rsidR="00293E8D" w:rsidRPr="00A01642">
        <w:rPr>
          <w:iCs/>
        </w:rPr>
        <w:t>T</w:t>
      </w:r>
      <w:r w:rsidR="00293E8D" w:rsidRPr="00A01642">
        <w:rPr>
          <w:iCs/>
          <w:vertAlign w:val="subscript"/>
        </w:rPr>
        <w:t>RRC_procedure</w:t>
      </w:r>
      <w:r w:rsidR="00293E8D" w:rsidRPr="00A01642">
        <w:t xml:space="preserve"> is the RRC procedure delay as </w:t>
      </w:r>
      <w:r w:rsidR="00293E8D" w:rsidRPr="00A01642">
        <w:rPr>
          <w:rFonts w:ascii="Tms Rmn" w:eastAsia="MS Mincho" w:hAnsi="Tms Rmn"/>
        </w:rPr>
        <w:t xml:space="preserve">specified </w:t>
      </w:r>
      <w:r w:rsidR="00293E8D" w:rsidRPr="00A01642">
        <w:t>in clause </w:t>
      </w:r>
      <w:r w:rsidR="00293E8D" w:rsidRPr="00A01642">
        <w:rPr>
          <w:lang w:eastAsia="zh-CN"/>
        </w:rPr>
        <w:t>12</w:t>
      </w:r>
      <w:r w:rsidR="00293E8D" w:rsidRPr="00A01642">
        <w:t xml:space="preserve"> in TS 38.331 [2].</w:t>
      </w:r>
    </w:p>
    <w:p w14:paraId="5C9B98B2" w14:textId="7106DA81" w:rsidR="00E72C7B" w:rsidRPr="009C5807" w:rsidRDefault="00231BA1" w:rsidP="001741D7">
      <w:pPr>
        <w:pStyle w:val="B10"/>
      </w:pPr>
      <w:r>
        <w:rPr>
          <w:iCs/>
        </w:rPr>
        <w:tab/>
      </w:r>
      <w:r w:rsidR="00E72C7B" w:rsidRPr="009C5807">
        <w:rPr>
          <w:iCs/>
        </w:rPr>
        <w:t>T</w:t>
      </w:r>
      <w:r w:rsidR="00E72C7B" w:rsidRPr="009C5807">
        <w:rPr>
          <w:iCs/>
          <w:vertAlign w:val="subscript"/>
        </w:rPr>
        <w:t xml:space="preserve">interrupt2 </w:t>
      </w:r>
      <w:r w:rsidR="00E72C7B" w:rsidRPr="009C5807">
        <w:rPr>
          <w:iCs/>
        </w:rPr>
        <w:t>is</w:t>
      </w:r>
      <w:r w:rsidR="00E72C7B" w:rsidRPr="009C5807">
        <w:rPr>
          <w:rFonts w:hint="eastAsia"/>
          <w:lang w:eastAsia="zh-CN"/>
        </w:rPr>
        <w:t xml:space="preserve"> </w:t>
      </w:r>
      <w:r w:rsidR="00E72C7B" w:rsidRPr="009C5807">
        <w:t>defined in clause 6.1.3.3.2.</w:t>
      </w:r>
    </w:p>
    <w:p w14:paraId="583DC8FE" w14:textId="77777777" w:rsidR="00E72C7B" w:rsidRPr="009C5807" w:rsidRDefault="00E72C7B" w:rsidP="00E72C7B">
      <w:pPr>
        <w:rPr>
          <w:rFonts w:cs="v4.2.0"/>
        </w:rPr>
      </w:pPr>
    </w:p>
    <w:p w14:paraId="55549A6E" w14:textId="77777777" w:rsidR="00E72C7B" w:rsidRPr="009C5807" w:rsidRDefault="00E72C7B" w:rsidP="00E72C7B">
      <w:pPr>
        <w:pStyle w:val="Heading5"/>
      </w:pPr>
      <w:r w:rsidRPr="009C5807">
        <w:t>6.1.3.3.2</w:t>
      </w:r>
      <w:r w:rsidRPr="009C5807">
        <w:tab/>
        <w:t>Interruption time</w:t>
      </w:r>
    </w:p>
    <w:p w14:paraId="29B545DA" w14:textId="77777777" w:rsidR="00E72C7B" w:rsidRPr="009C5807" w:rsidRDefault="00E72C7B" w:rsidP="00E72C7B">
      <w:pPr>
        <w:rPr>
          <w:rFonts w:cs="v4.2.0"/>
        </w:rPr>
      </w:pPr>
      <w:r w:rsidRPr="009C5807">
        <w:rPr>
          <w:rFonts w:cs="v4.2.0"/>
        </w:rPr>
        <w:t>During D</w:t>
      </w:r>
      <w:r w:rsidRPr="009C5807">
        <w:rPr>
          <w:rFonts w:cs="v4.2.0"/>
          <w:vertAlign w:val="subscript"/>
        </w:rPr>
        <w:t>handover1</w:t>
      </w:r>
      <w:r w:rsidRPr="009C5807">
        <w:rPr>
          <w:rFonts w:cs="v4.2.0"/>
          <w:lang w:eastAsia="zh-CN"/>
        </w:rPr>
        <w:t xml:space="preserve">, the UE is allowed an interruption </w:t>
      </w:r>
      <w:r w:rsidRPr="009C5807">
        <w:t>of up to</w:t>
      </w:r>
      <w:r w:rsidRPr="009C5807">
        <w:rPr>
          <w:rFonts w:cs="v4.2.0"/>
        </w:rPr>
        <w:t xml:space="preserve"> T</w:t>
      </w:r>
      <w:r w:rsidRPr="009C5807">
        <w:rPr>
          <w:rFonts w:cs="v4.2.0"/>
          <w:vertAlign w:val="subscript"/>
        </w:rPr>
        <w:t>interrupt1</w:t>
      </w:r>
      <w:r w:rsidRPr="009C5807">
        <w:t xml:space="preserve"> </w:t>
      </w:r>
      <w:r w:rsidRPr="009C5807">
        <w:rPr>
          <w:rFonts w:cs="v4.2.0"/>
          <w:lang w:eastAsia="zh-CN"/>
        </w:rPr>
        <w:t>on source cell</w:t>
      </w:r>
      <w:r w:rsidRPr="009C5807">
        <w:rPr>
          <w:rFonts w:cs="v4.2.0"/>
        </w:rPr>
        <w:t>.</w:t>
      </w:r>
    </w:p>
    <w:p w14:paraId="2A459882" w14:textId="77777777" w:rsidR="00E72C7B" w:rsidRPr="009C5807" w:rsidRDefault="00E72C7B" w:rsidP="00E72C7B">
      <w:pPr>
        <w:rPr>
          <w:rFonts w:cs="v4.2.0"/>
        </w:rPr>
      </w:pPr>
      <w:r w:rsidRPr="009C5807">
        <w:rPr>
          <w:rFonts w:cs="v4.2.0"/>
        </w:rPr>
        <w:t xml:space="preserve">For </w:t>
      </w:r>
      <w:r w:rsidRPr="009C5807">
        <w:t>FR2-to-FR1</w:t>
      </w:r>
      <w:r w:rsidRPr="009C5807">
        <w:rPr>
          <w:rFonts w:cs="v4.2.0"/>
        </w:rPr>
        <w:t xml:space="preserve"> </w:t>
      </w:r>
      <w:r w:rsidRPr="009C5807">
        <w:rPr>
          <w:rFonts w:cs="v4.2.0" w:hint="eastAsia"/>
        </w:rPr>
        <w:t>int</w:t>
      </w:r>
      <w:r w:rsidRPr="009C5807">
        <w:rPr>
          <w:rFonts w:cs="v4.2.0"/>
        </w:rPr>
        <w:t>er</w:t>
      </w:r>
      <w:r w:rsidRPr="009C5807">
        <w:rPr>
          <w:rFonts w:cs="v4.2.0" w:hint="eastAsia"/>
        </w:rPr>
        <w:t>-band</w:t>
      </w:r>
      <w:r w:rsidRPr="009C5807">
        <w:rPr>
          <w:rFonts w:cs="v4.2.0"/>
        </w:rPr>
        <w:t xml:space="preserve"> handover, T</w:t>
      </w:r>
      <w:r w:rsidRPr="009C5807">
        <w:rPr>
          <w:rFonts w:cs="v4.2.0"/>
          <w:vertAlign w:val="subscript"/>
        </w:rPr>
        <w:t>interrupt1</w:t>
      </w:r>
      <w:r w:rsidRPr="009C5807">
        <w:rPr>
          <w:rFonts w:cs="v4.2.0"/>
        </w:rPr>
        <w:t xml:space="preserve"> is </w:t>
      </w:r>
      <w:r w:rsidRPr="009C5807">
        <w:rPr>
          <w:rFonts w:ascii="Tms Rmn" w:eastAsia="MS Mincho" w:hAnsi="Tms Rmn"/>
        </w:rPr>
        <w:t xml:space="preserve">specified </w:t>
      </w:r>
      <w:r w:rsidRPr="009C5807">
        <w:rPr>
          <w:rFonts w:cs="v4.2.0"/>
        </w:rPr>
        <w:t xml:space="preserve">in Table </w:t>
      </w:r>
      <w:r w:rsidRPr="009C5807">
        <w:t>6.1.3.3.2-1.</w:t>
      </w:r>
    </w:p>
    <w:p w14:paraId="4AF884AC" w14:textId="77777777" w:rsidR="00E72C7B" w:rsidRPr="009C5807" w:rsidRDefault="00E72C7B" w:rsidP="00E72C7B">
      <w:pPr>
        <w:pStyle w:val="TH"/>
      </w:pPr>
      <w:r w:rsidRPr="009C5807">
        <w:t>Table 6.1.3.3.2-1: T</w:t>
      </w:r>
      <w:r w:rsidRPr="009C5807">
        <w:rPr>
          <w:vertAlign w:val="subscript"/>
        </w:rPr>
        <w:t>interrupt1</w:t>
      </w:r>
      <w:r w:rsidRPr="009C5807">
        <w:t xml:space="preserve"> for FR2-to-FR1 inter-band DAPS HO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1898"/>
        <w:gridCol w:w="1984"/>
        <w:gridCol w:w="1843"/>
      </w:tblGrid>
      <w:tr w:rsidR="00E72C7B" w:rsidRPr="009C5807" w14:paraId="32431740" w14:textId="77777777" w:rsidTr="00406207">
        <w:trPr>
          <w:trHeight w:val="201"/>
          <w:jc w:val="center"/>
        </w:trPr>
        <w:tc>
          <w:tcPr>
            <w:tcW w:w="649" w:type="dxa"/>
            <w:tcBorders>
              <w:top w:val="single" w:sz="4" w:space="0" w:color="auto"/>
              <w:left w:val="single" w:sz="4" w:space="0" w:color="auto"/>
              <w:bottom w:val="nil"/>
              <w:right w:val="single" w:sz="4" w:space="0" w:color="auto"/>
            </w:tcBorders>
            <w:vAlign w:val="center"/>
            <w:hideMark/>
          </w:tcPr>
          <w:p w14:paraId="3B06A555" w14:textId="77777777" w:rsidR="00E72C7B" w:rsidRPr="009C5807" w:rsidRDefault="00E72C7B" w:rsidP="00406207">
            <w:pPr>
              <w:pStyle w:val="TAH"/>
            </w:pPr>
            <w:r w:rsidRPr="009C5807">
              <w:rPr>
                <w:noProof/>
                <w:lang w:val="en-US" w:eastAsia="zh-CN"/>
              </w:rPr>
              <w:drawing>
                <wp:inline distT="0" distB="0" distL="0" distR="0" wp14:anchorId="56679831" wp14:editId="5F467A0C">
                  <wp:extent cx="142240" cy="160020"/>
                  <wp:effectExtent l="0" t="0" r="0" b="0"/>
                  <wp:docPr id="2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898" w:type="dxa"/>
            <w:tcBorders>
              <w:top w:val="single" w:sz="4" w:space="0" w:color="auto"/>
              <w:left w:val="single" w:sz="4" w:space="0" w:color="auto"/>
              <w:bottom w:val="nil"/>
              <w:right w:val="single" w:sz="4" w:space="0" w:color="auto"/>
            </w:tcBorders>
            <w:hideMark/>
          </w:tcPr>
          <w:p w14:paraId="09018879" w14:textId="1A935DE6" w:rsidR="00E72C7B" w:rsidRPr="009C5807" w:rsidRDefault="00E72C7B" w:rsidP="00406207">
            <w:pPr>
              <w:pStyle w:val="TAH"/>
            </w:pPr>
            <w:r w:rsidRPr="009C5807">
              <w:t xml:space="preserve">NR slot length (ms) </w:t>
            </w:r>
          </w:p>
        </w:tc>
        <w:tc>
          <w:tcPr>
            <w:tcW w:w="3827" w:type="dxa"/>
            <w:gridSpan w:val="2"/>
            <w:tcBorders>
              <w:top w:val="single" w:sz="4" w:space="0" w:color="auto"/>
              <w:left w:val="single" w:sz="4" w:space="0" w:color="auto"/>
              <w:bottom w:val="single" w:sz="4" w:space="0" w:color="auto"/>
              <w:right w:val="single" w:sz="4" w:space="0" w:color="auto"/>
            </w:tcBorders>
            <w:hideMark/>
          </w:tcPr>
          <w:p w14:paraId="1ADD2E3A" w14:textId="77777777" w:rsidR="00E72C7B" w:rsidRPr="009C5807" w:rsidRDefault="00E72C7B" w:rsidP="00406207">
            <w:pPr>
              <w:pStyle w:val="TAH"/>
            </w:pPr>
            <w:r w:rsidRPr="009C5807">
              <w:t>T</w:t>
            </w:r>
            <w:r w:rsidRPr="009C5807">
              <w:rPr>
                <w:vertAlign w:val="subscript"/>
              </w:rPr>
              <w:t>interrupt1</w:t>
            </w:r>
            <w:r w:rsidRPr="009C5807">
              <w:t xml:space="preserve"> (slots)</w:t>
            </w:r>
          </w:p>
        </w:tc>
      </w:tr>
      <w:tr w:rsidR="00E72C7B" w:rsidRPr="009C5807" w14:paraId="528ED8BB" w14:textId="77777777" w:rsidTr="00406207">
        <w:trPr>
          <w:trHeight w:val="201"/>
          <w:jc w:val="center"/>
        </w:trPr>
        <w:tc>
          <w:tcPr>
            <w:tcW w:w="649" w:type="dxa"/>
            <w:tcBorders>
              <w:top w:val="nil"/>
              <w:left w:val="single" w:sz="4" w:space="0" w:color="auto"/>
              <w:bottom w:val="single" w:sz="4" w:space="0" w:color="auto"/>
              <w:right w:val="single" w:sz="4" w:space="0" w:color="auto"/>
            </w:tcBorders>
            <w:vAlign w:val="center"/>
          </w:tcPr>
          <w:p w14:paraId="52DFC439" w14:textId="77777777" w:rsidR="00E72C7B" w:rsidRPr="009C5807" w:rsidRDefault="00E72C7B" w:rsidP="00406207">
            <w:pPr>
              <w:pStyle w:val="TAH"/>
              <w:rPr>
                <w:noProof/>
                <w:lang w:val="en-US" w:eastAsia="zh-CN"/>
              </w:rPr>
            </w:pPr>
          </w:p>
        </w:tc>
        <w:tc>
          <w:tcPr>
            <w:tcW w:w="1898" w:type="dxa"/>
            <w:tcBorders>
              <w:top w:val="nil"/>
              <w:left w:val="single" w:sz="4" w:space="0" w:color="auto"/>
              <w:bottom w:val="single" w:sz="4" w:space="0" w:color="auto"/>
              <w:right w:val="single" w:sz="4" w:space="0" w:color="auto"/>
            </w:tcBorders>
          </w:tcPr>
          <w:p w14:paraId="6D778D9B" w14:textId="22860B7C" w:rsidR="00E72C7B" w:rsidRPr="009C5807" w:rsidRDefault="00406207" w:rsidP="00406207">
            <w:pPr>
              <w:pStyle w:val="TAH"/>
            </w:pPr>
            <w:r w:rsidRPr="009C5807">
              <w:t>of source cell</w:t>
            </w:r>
          </w:p>
        </w:tc>
        <w:tc>
          <w:tcPr>
            <w:tcW w:w="1984" w:type="dxa"/>
            <w:tcBorders>
              <w:top w:val="single" w:sz="4" w:space="0" w:color="auto"/>
              <w:left w:val="single" w:sz="4" w:space="0" w:color="auto"/>
              <w:bottom w:val="single" w:sz="4" w:space="0" w:color="auto"/>
              <w:right w:val="single" w:sz="4" w:space="0" w:color="auto"/>
            </w:tcBorders>
          </w:tcPr>
          <w:p w14:paraId="1E80576A" w14:textId="77777777" w:rsidR="00E72C7B" w:rsidRPr="009C5807" w:rsidRDefault="00E72C7B" w:rsidP="00406207">
            <w:pPr>
              <w:pStyle w:val="TAH"/>
              <w:rPr>
                <w:lang w:eastAsia="zh-CN"/>
              </w:rPr>
            </w:pPr>
            <w:r w:rsidRPr="009C5807">
              <w:rPr>
                <w:rFonts w:hint="eastAsia"/>
                <w:lang w:eastAsia="zh-CN"/>
              </w:rPr>
              <w:t>Sync</w:t>
            </w:r>
          </w:p>
        </w:tc>
        <w:tc>
          <w:tcPr>
            <w:tcW w:w="1843" w:type="dxa"/>
            <w:tcBorders>
              <w:top w:val="single" w:sz="4" w:space="0" w:color="auto"/>
              <w:left w:val="single" w:sz="4" w:space="0" w:color="auto"/>
              <w:bottom w:val="single" w:sz="4" w:space="0" w:color="auto"/>
              <w:right w:val="single" w:sz="4" w:space="0" w:color="auto"/>
            </w:tcBorders>
          </w:tcPr>
          <w:p w14:paraId="3CA64AC2" w14:textId="77777777" w:rsidR="00E72C7B" w:rsidRPr="009C5807" w:rsidRDefault="00E72C7B" w:rsidP="00406207">
            <w:pPr>
              <w:pStyle w:val="TAH"/>
              <w:rPr>
                <w:lang w:eastAsia="zh-CN"/>
              </w:rPr>
            </w:pPr>
            <w:r w:rsidRPr="009C5807">
              <w:rPr>
                <w:rFonts w:hint="eastAsia"/>
                <w:lang w:eastAsia="zh-CN"/>
              </w:rPr>
              <w:t>Async</w:t>
            </w:r>
          </w:p>
        </w:tc>
      </w:tr>
      <w:tr w:rsidR="00E72C7B" w:rsidRPr="009C5807" w14:paraId="46ABA5DC" w14:textId="77777777" w:rsidTr="00566CF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D1D591F" w14:textId="77777777" w:rsidR="00E72C7B" w:rsidRPr="009C5807" w:rsidRDefault="00E72C7B" w:rsidP="00566CFE">
            <w:pPr>
              <w:spacing w:after="0"/>
              <w:jc w:val="center"/>
              <w:rPr>
                <w:rFonts w:ascii="Arial" w:hAnsi="Arial"/>
                <w:sz w:val="18"/>
                <w:lang w:eastAsia="zh-CN"/>
              </w:rPr>
            </w:pPr>
            <w:r w:rsidRPr="009C5807">
              <w:rPr>
                <w:rFonts w:ascii="Arial" w:hAnsi="Arial" w:hint="eastAsia"/>
                <w:sz w:val="18"/>
                <w:lang w:eastAsia="zh-CN"/>
              </w:rPr>
              <w:t>2</w:t>
            </w:r>
            <w:r w:rsidRPr="009C5807">
              <w:rPr>
                <w:rFonts w:ascii="Arial" w:hAnsi="Arial"/>
                <w:sz w:val="18"/>
                <w:lang w:eastAsia="zh-CN"/>
              </w:rPr>
              <w:t xml:space="preserve"> </w:t>
            </w:r>
          </w:p>
        </w:tc>
        <w:tc>
          <w:tcPr>
            <w:tcW w:w="1898" w:type="dxa"/>
            <w:tcBorders>
              <w:top w:val="single" w:sz="4" w:space="0" w:color="auto"/>
              <w:left w:val="single" w:sz="4" w:space="0" w:color="auto"/>
              <w:bottom w:val="single" w:sz="4" w:space="0" w:color="auto"/>
              <w:right w:val="single" w:sz="4" w:space="0" w:color="auto"/>
            </w:tcBorders>
            <w:vAlign w:val="center"/>
            <w:hideMark/>
          </w:tcPr>
          <w:p w14:paraId="79F0D645" w14:textId="77777777" w:rsidR="00E72C7B" w:rsidRPr="009C5807" w:rsidRDefault="00E72C7B" w:rsidP="00566CFE">
            <w:pPr>
              <w:spacing w:after="0"/>
              <w:jc w:val="center"/>
              <w:rPr>
                <w:rFonts w:ascii="Arial" w:hAnsi="Arial"/>
                <w:sz w:val="18"/>
                <w:lang w:eastAsia="zh-CN"/>
              </w:rPr>
            </w:pPr>
            <w:r w:rsidRPr="009C5807">
              <w:rPr>
                <w:rFonts w:ascii="Arial" w:hAnsi="Arial" w:hint="eastAsia"/>
                <w:sz w:val="18"/>
                <w:lang w:eastAsia="zh-CN"/>
              </w:rPr>
              <w:t>0.25</w:t>
            </w:r>
          </w:p>
        </w:tc>
        <w:tc>
          <w:tcPr>
            <w:tcW w:w="1984" w:type="dxa"/>
            <w:tcBorders>
              <w:top w:val="single" w:sz="4" w:space="0" w:color="auto"/>
              <w:left w:val="single" w:sz="4" w:space="0" w:color="auto"/>
              <w:bottom w:val="single" w:sz="4" w:space="0" w:color="auto"/>
              <w:right w:val="single" w:sz="4" w:space="0" w:color="auto"/>
            </w:tcBorders>
            <w:hideMark/>
          </w:tcPr>
          <w:p w14:paraId="2759175E" w14:textId="77777777" w:rsidR="00E72C7B" w:rsidRPr="009C5807" w:rsidRDefault="00E72C7B" w:rsidP="00566CFE">
            <w:pPr>
              <w:pStyle w:val="TAC"/>
              <w:rPr>
                <w:rFonts w:cs="Arial"/>
                <w:szCs w:val="18"/>
              </w:rPr>
            </w:pPr>
            <w:r w:rsidRPr="009C5807">
              <w:rPr>
                <w:rFonts w:cs="Arial"/>
                <w:szCs w:val="18"/>
              </w:rPr>
              <w:t>5</w:t>
            </w:r>
          </w:p>
        </w:tc>
        <w:tc>
          <w:tcPr>
            <w:tcW w:w="1843" w:type="dxa"/>
            <w:tcBorders>
              <w:top w:val="single" w:sz="4" w:space="0" w:color="auto"/>
              <w:left w:val="single" w:sz="4" w:space="0" w:color="auto"/>
              <w:bottom w:val="single" w:sz="4" w:space="0" w:color="auto"/>
              <w:right w:val="single" w:sz="4" w:space="0" w:color="auto"/>
            </w:tcBorders>
          </w:tcPr>
          <w:p w14:paraId="1FE24632" w14:textId="77777777" w:rsidR="00E72C7B" w:rsidRPr="009C5807" w:rsidRDefault="00E72C7B" w:rsidP="00566CFE">
            <w:pPr>
              <w:pStyle w:val="TAC"/>
              <w:rPr>
                <w:rFonts w:cs="Arial"/>
                <w:szCs w:val="18"/>
              </w:rPr>
            </w:pPr>
            <w:r w:rsidRPr="009C5807">
              <w:rPr>
                <w:rFonts w:cs="Arial"/>
                <w:szCs w:val="18"/>
              </w:rPr>
              <w:t>5</w:t>
            </w:r>
          </w:p>
        </w:tc>
      </w:tr>
      <w:tr w:rsidR="00E72C7B" w:rsidRPr="009C5807" w14:paraId="721AE111" w14:textId="77777777" w:rsidTr="00566CF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206BD84" w14:textId="77777777" w:rsidR="00E72C7B" w:rsidRPr="009C5807" w:rsidRDefault="00E72C7B" w:rsidP="00566CFE">
            <w:pPr>
              <w:spacing w:after="0"/>
              <w:jc w:val="center"/>
              <w:rPr>
                <w:rFonts w:ascii="Arial" w:hAnsi="Arial"/>
                <w:sz w:val="18"/>
                <w:lang w:eastAsia="zh-CN"/>
              </w:rPr>
            </w:pPr>
            <w:r w:rsidRPr="009C5807">
              <w:rPr>
                <w:rFonts w:ascii="Arial" w:hAnsi="Arial" w:hint="eastAsia"/>
                <w:sz w:val="18"/>
                <w:lang w:eastAsia="zh-CN"/>
              </w:rPr>
              <w:t>3</w:t>
            </w:r>
          </w:p>
        </w:tc>
        <w:tc>
          <w:tcPr>
            <w:tcW w:w="1898" w:type="dxa"/>
            <w:tcBorders>
              <w:top w:val="single" w:sz="4" w:space="0" w:color="auto"/>
              <w:left w:val="single" w:sz="4" w:space="0" w:color="auto"/>
              <w:bottom w:val="single" w:sz="4" w:space="0" w:color="auto"/>
              <w:right w:val="single" w:sz="4" w:space="0" w:color="auto"/>
            </w:tcBorders>
            <w:vAlign w:val="center"/>
            <w:hideMark/>
          </w:tcPr>
          <w:p w14:paraId="17A14D91" w14:textId="77777777" w:rsidR="00E72C7B" w:rsidRPr="009C5807" w:rsidRDefault="00E72C7B" w:rsidP="00566CFE">
            <w:pPr>
              <w:spacing w:after="0"/>
              <w:jc w:val="center"/>
              <w:rPr>
                <w:rFonts w:ascii="Arial" w:hAnsi="Arial"/>
                <w:sz w:val="18"/>
                <w:lang w:eastAsia="zh-CN"/>
              </w:rPr>
            </w:pPr>
            <w:r w:rsidRPr="009C5807">
              <w:rPr>
                <w:rFonts w:ascii="Arial" w:hAnsi="Arial" w:hint="eastAsia"/>
                <w:sz w:val="18"/>
                <w:lang w:eastAsia="zh-CN"/>
              </w:rPr>
              <w:t>0.125</w:t>
            </w:r>
          </w:p>
        </w:tc>
        <w:tc>
          <w:tcPr>
            <w:tcW w:w="1984" w:type="dxa"/>
            <w:tcBorders>
              <w:top w:val="single" w:sz="4" w:space="0" w:color="auto"/>
              <w:left w:val="single" w:sz="4" w:space="0" w:color="auto"/>
              <w:bottom w:val="single" w:sz="4" w:space="0" w:color="auto"/>
              <w:right w:val="single" w:sz="4" w:space="0" w:color="auto"/>
            </w:tcBorders>
            <w:hideMark/>
          </w:tcPr>
          <w:p w14:paraId="22297AA3" w14:textId="77777777" w:rsidR="00E72C7B" w:rsidRPr="009C5807" w:rsidRDefault="00E72C7B" w:rsidP="00566CFE">
            <w:pPr>
              <w:pStyle w:val="TAC"/>
              <w:rPr>
                <w:rFonts w:cs="Arial"/>
                <w:szCs w:val="18"/>
              </w:rPr>
            </w:pPr>
            <w:r w:rsidRPr="009C5807">
              <w:rPr>
                <w:rFonts w:cs="Arial"/>
                <w:szCs w:val="18"/>
              </w:rPr>
              <w:t>9</w:t>
            </w:r>
          </w:p>
        </w:tc>
        <w:tc>
          <w:tcPr>
            <w:tcW w:w="1843" w:type="dxa"/>
            <w:tcBorders>
              <w:top w:val="single" w:sz="4" w:space="0" w:color="auto"/>
              <w:left w:val="single" w:sz="4" w:space="0" w:color="auto"/>
              <w:bottom w:val="single" w:sz="4" w:space="0" w:color="auto"/>
              <w:right w:val="single" w:sz="4" w:space="0" w:color="auto"/>
            </w:tcBorders>
          </w:tcPr>
          <w:p w14:paraId="2C527337" w14:textId="77777777" w:rsidR="00E72C7B" w:rsidRPr="009C5807" w:rsidRDefault="00E72C7B" w:rsidP="00566CFE">
            <w:pPr>
              <w:pStyle w:val="TAC"/>
              <w:rPr>
                <w:rFonts w:cs="Arial"/>
                <w:szCs w:val="18"/>
              </w:rPr>
            </w:pPr>
            <w:r w:rsidRPr="009C5807">
              <w:rPr>
                <w:rFonts w:cs="Arial"/>
                <w:szCs w:val="18"/>
              </w:rPr>
              <w:t>9</w:t>
            </w:r>
          </w:p>
        </w:tc>
      </w:tr>
    </w:tbl>
    <w:p w14:paraId="0C392C16" w14:textId="77777777" w:rsidR="00E72C7B" w:rsidRPr="009C5807" w:rsidRDefault="00E72C7B" w:rsidP="00E72C7B">
      <w:pPr>
        <w:rPr>
          <w:rFonts w:cs="v4.2.0"/>
        </w:rPr>
      </w:pPr>
    </w:p>
    <w:p w14:paraId="085CF27B" w14:textId="77777777" w:rsidR="00E72C7B" w:rsidRPr="009C5807" w:rsidRDefault="00E72C7B" w:rsidP="00E72C7B">
      <w:pPr>
        <w:rPr>
          <w:rFonts w:cs="v4.2.0"/>
        </w:rPr>
      </w:pPr>
      <w:r w:rsidRPr="009C5807">
        <w:rPr>
          <w:rFonts w:cs="v4.2.0"/>
        </w:rPr>
        <w:t>During D</w:t>
      </w:r>
      <w:r w:rsidRPr="009C5807">
        <w:rPr>
          <w:rFonts w:cs="v4.2.0"/>
          <w:vertAlign w:val="subscript"/>
        </w:rPr>
        <w:t>handover2</w:t>
      </w:r>
      <w:r w:rsidRPr="009C5807">
        <w:rPr>
          <w:rFonts w:cs="v4.2.0"/>
          <w:lang w:eastAsia="zh-CN"/>
        </w:rPr>
        <w:t>, the UE is allowed an interruption</w:t>
      </w:r>
      <w:r w:rsidRPr="009C5807">
        <w:t xml:space="preserve"> of up to</w:t>
      </w:r>
      <w:r w:rsidRPr="009C5807">
        <w:rPr>
          <w:rFonts w:cs="v4.2.0"/>
        </w:rPr>
        <w:t xml:space="preserve"> T</w:t>
      </w:r>
      <w:r w:rsidRPr="009C5807">
        <w:rPr>
          <w:rFonts w:cs="v4.2.0"/>
          <w:vertAlign w:val="subscript"/>
        </w:rPr>
        <w:t>interrupt2</w:t>
      </w:r>
      <w:r w:rsidRPr="009C5807">
        <w:rPr>
          <w:rFonts w:cs="v4.2.0"/>
          <w:lang w:eastAsia="zh-CN"/>
        </w:rPr>
        <w:t xml:space="preserve"> on target cell</w:t>
      </w:r>
      <w:r w:rsidRPr="009C5807">
        <w:rPr>
          <w:rFonts w:cs="v4.2.0"/>
        </w:rPr>
        <w:t xml:space="preserve">. </w:t>
      </w:r>
    </w:p>
    <w:p w14:paraId="70CF0BC8" w14:textId="77777777" w:rsidR="00E72C7B" w:rsidRPr="009C5807" w:rsidRDefault="00E72C7B" w:rsidP="00E72C7B">
      <w:pPr>
        <w:rPr>
          <w:rFonts w:cs="v4.2.0"/>
        </w:rPr>
      </w:pPr>
      <w:r w:rsidRPr="009C5807">
        <w:rPr>
          <w:rFonts w:cs="v4.2.0"/>
        </w:rPr>
        <w:t xml:space="preserve">For </w:t>
      </w:r>
      <w:r w:rsidRPr="009C5807">
        <w:t>FR2-to-FR1</w:t>
      </w:r>
      <w:r w:rsidRPr="009C5807">
        <w:rPr>
          <w:rFonts w:cs="v4.2.0"/>
        </w:rPr>
        <w:t xml:space="preserve"> </w:t>
      </w:r>
      <w:r w:rsidRPr="009C5807">
        <w:rPr>
          <w:rFonts w:cs="v4.2.0" w:hint="eastAsia"/>
        </w:rPr>
        <w:t>int</w:t>
      </w:r>
      <w:r w:rsidRPr="009C5807">
        <w:rPr>
          <w:rFonts w:cs="v4.2.0"/>
        </w:rPr>
        <w:t>er</w:t>
      </w:r>
      <w:r w:rsidRPr="009C5807">
        <w:rPr>
          <w:rFonts w:cs="v4.2.0" w:hint="eastAsia"/>
        </w:rPr>
        <w:t>-band</w:t>
      </w:r>
      <w:r w:rsidRPr="009C5807">
        <w:rPr>
          <w:rFonts w:cs="v4.2.0"/>
        </w:rPr>
        <w:t xml:space="preserve"> handover, T</w:t>
      </w:r>
      <w:r w:rsidRPr="009C5807">
        <w:rPr>
          <w:rFonts w:cs="v4.2.0"/>
          <w:vertAlign w:val="subscript"/>
        </w:rPr>
        <w:t>interrupt2</w:t>
      </w:r>
      <w:r w:rsidRPr="009C5807">
        <w:rPr>
          <w:rFonts w:cs="v4.2.0"/>
        </w:rPr>
        <w:t xml:space="preserve"> is </w:t>
      </w:r>
      <w:r w:rsidRPr="009C5807">
        <w:rPr>
          <w:rFonts w:ascii="Tms Rmn" w:eastAsia="MS Mincho" w:hAnsi="Tms Rmn"/>
        </w:rPr>
        <w:t xml:space="preserve">specified </w:t>
      </w:r>
      <w:r w:rsidRPr="009C5807">
        <w:rPr>
          <w:rFonts w:cs="v4.2.0"/>
        </w:rPr>
        <w:t xml:space="preserve">in Table </w:t>
      </w:r>
      <w:r w:rsidRPr="009C5807">
        <w:t>6.1.3.3.2-2.</w:t>
      </w:r>
    </w:p>
    <w:p w14:paraId="5203F336" w14:textId="77777777" w:rsidR="00E72C7B" w:rsidRPr="009C5807" w:rsidRDefault="00E72C7B" w:rsidP="00E72C7B">
      <w:pPr>
        <w:pStyle w:val="TH"/>
      </w:pPr>
      <w:r w:rsidRPr="009C5807">
        <w:t>Table 6.1.3.3.2-2: T</w:t>
      </w:r>
      <w:r w:rsidRPr="009C5807">
        <w:rPr>
          <w:vertAlign w:val="subscript"/>
        </w:rPr>
        <w:t>interrupt2</w:t>
      </w:r>
      <w:r w:rsidRPr="009C5807">
        <w:t xml:space="preserve"> for FR2-to-FR1 inter-band DAPS HO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1898"/>
        <w:gridCol w:w="1984"/>
        <w:gridCol w:w="1843"/>
      </w:tblGrid>
      <w:tr w:rsidR="00E72C7B" w:rsidRPr="009C5807" w14:paraId="202354A2" w14:textId="77777777" w:rsidTr="00406207">
        <w:trPr>
          <w:trHeight w:val="201"/>
          <w:jc w:val="center"/>
        </w:trPr>
        <w:tc>
          <w:tcPr>
            <w:tcW w:w="649" w:type="dxa"/>
            <w:tcBorders>
              <w:top w:val="single" w:sz="4" w:space="0" w:color="auto"/>
              <w:left w:val="single" w:sz="4" w:space="0" w:color="auto"/>
              <w:bottom w:val="nil"/>
              <w:right w:val="single" w:sz="4" w:space="0" w:color="auto"/>
            </w:tcBorders>
            <w:vAlign w:val="center"/>
            <w:hideMark/>
          </w:tcPr>
          <w:p w14:paraId="7C964CAF" w14:textId="77777777" w:rsidR="00E72C7B" w:rsidRPr="009C5807" w:rsidRDefault="00E72C7B" w:rsidP="00357256">
            <w:pPr>
              <w:pStyle w:val="TAH"/>
            </w:pPr>
            <w:r w:rsidRPr="009C5807">
              <w:rPr>
                <w:noProof/>
                <w:lang w:val="en-US" w:eastAsia="zh-CN"/>
              </w:rPr>
              <w:drawing>
                <wp:inline distT="0" distB="0" distL="0" distR="0" wp14:anchorId="2DC50DEE" wp14:editId="7BB428B1">
                  <wp:extent cx="142240" cy="160020"/>
                  <wp:effectExtent l="0" t="0" r="0" b="0"/>
                  <wp:docPr id="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898" w:type="dxa"/>
            <w:tcBorders>
              <w:top w:val="single" w:sz="4" w:space="0" w:color="auto"/>
              <w:left w:val="single" w:sz="4" w:space="0" w:color="auto"/>
              <w:bottom w:val="nil"/>
              <w:right w:val="single" w:sz="4" w:space="0" w:color="auto"/>
            </w:tcBorders>
            <w:hideMark/>
          </w:tcPr>
          <w:p w14:paraId="2D08CF42" w14:textId="428CF42D" w:rsidR="00E72C7B" w:rsidRPr="009C5807" w:rsidRDefault="00E72C7B" w:rsidP="00357256">
            <w:pPr>
              <w:pStyle w:val="TAH"/>
            </w:pPr>
            <w:r w:rsidRPr="009C5807">
              <w:t xml:space="preserve">NR slot length (ms) </w:t>
            </w:r>
          </w:p>
        </w:tc>
        <w:tc>
          <w:tcPr>
            <w:tcW w:w="3827" w:type="dxa"/>
            <w:gridSpan w:val="2"/>
            <w:tcBorders>
              <w:top w:val="single" w:sz="4" w:space="0" w:color="auto"/>
              <w:left w:val="single" w:sz="4" w:space="0" w:color="auto"/>
              <w:bottom w:val="single" w:sz="4" w:space="0" w:color="auto"/>
              <w:right w:val="single" w:sz="4" w:space="0" w:color="auto"/>
            </w:tcBorders>
            <w:hideMark/>
          </w:tcPr>
          <w:p w14:paraId="4603F037" w14:textId="77777777" w:rsidR="00E72C7B" w:rsidRPr="009C5807" w:rsidRDefault="00E72C7B" w:rsidP="00357256">
            <w:pPr>
              <w:pStyle w:val="TAH"/>
            </w:pPr>
            <w:r w:rsidRPr="009C5807">
              <w:t>T</w:t>
            </w:r>
            <w:r w:rsidRPr="009C5807">
              <w:rPr>
                <w:vertAlign w:val="subscript"/>
              </w:rPr>
              <w:t>interrupt2</w:t>
            </w:r>
            <w:r w:rsidRPr="009C5807">
              <w:t xml:space="preserve"> (slots)</w:t>
            </w:r>
          </w:p>
        </w:tc>
      </w:tr>
      <w:tr w:rsidR="00E72C7B" w:rsidRPr="009C5807" w14:paraId="05D13B4B" w14:textId="77777777" w:rsidTr="00406207">
        <w:trPr>
          <w:trHeight w:val="201"/>
          <w:jc w:val="center"/>
        </w:trPr>
        <w:tc>
          <w:tcPr>
            <w:tcW w:w="649" w:type="dxa"/>
            <w:tcBorders>
              <w:top w:val="nil"/>
              <w:left w:val="single" w:sz="4" w:space="0" w:color="auto"/>
              <w:bottom w:val="single" w:sz="4" w:space="0" w:color="auto"/>
              <w:right w:val="single" w:sz="4" w:space="0" w:color="auto"/>
            </w:tcBorders>
            <w:vAlign w:val="center"/>
          </w:tcPr>
          <w:p w14:paraId="06729EDA" w14:textId="77777777" w:rsidR="00E72C7B" w:rsidRPr="009C5807" w:rsidRDefault="00E72C7B" w:rsidP="00357256">
            <w:pPr>
              <w:pStyle w:val="TAH"/>
              <w:rPr>
                <w:noProof/>
                <w:lang w:val="en-US" w:eastAsia="zh-CN"/>
              </w:rPr>
            </w:pPr>
          </w:p>
        </w:tc>
        <w:tc>
          <w:tcPr>
            <w:tcW w:w="1898" w:type="dxa"/>
            <w:tcBorders>
              <w:top w:val="nil"/>
              <w:left w:val="single" w:sz="4" w:space="0" w:color="auto"/>
              <w:bottom w:val="single" w:sz="4" w:space="0" w:color="auto"/>
              <w:right w:val="single" w:sz="4" w:space="0" w:color="auto"/>
            </w:tcBorders>
          </w:tcPr>
          <w:p w14:paraId="7644B60F" w14:textId="34803D63" w:rsidR="00E72C7B" w:rsidRPr="009C5807" w:rsidRDefault="00406207" w:rsidP="00357256">
            <w:pPr>
              <w:pStyle w:val="TAH"/>
            </w:pPr>
            <w:r w:rsidRPr="009C5807">
              <w:t>of target cell</w:t>
            </w:r>
          </w:p>
        </w:tc>
        <w:tc>
          <w:tcPr>
            <w:tcW w:w="1984" w:type="dxa"/>
            <w:tcBorders>
              <w:top w:val="single" w:sz="4" w:space="0" w:color="auto"/>
              <w:left w:val="single" w:sz="4" w:space="0" w:color="auto"/>
              <w:bottom w:val="single" w:sz="4" w:space="0" w:color="auto"/>
              <w:right w:val="single" w:sz="4" w:space="0" w:color="auto"/>
            </w:tcBorders>
          </w:tcPr>
          <w:p w14:paraId="45094560" w14:textId="77777777" w:rsidR="00E72C7B" w:rsidRPr="009C5807" w:rsidRDefault="00E72C7B" w:rsidP="00357256">
            <w:pPr>
              <w:pStyle w:val="TAH"/>
              <w:rPr>
                <w:lang w:eastAsia="zh-CN"/>
              </w:rPr>
            </w:pPr>
            <w:r w:rsidRPr="009C5807">
              <w:rPr>
                <w:rFonts w:hint="eastAsia"/>
                <w:lang w:eastAsia="zh-CN"/>
              </w:rPr>
              <w:t>Sync</w:t>
            </w:r>
          </w:p>
        </w:tc>
        <w:tc>
          <w:tcPr>
            <w:tcW w:w="1843" w:type="dxa"/>
            <w:tcBorders>
              <w:top w:val="single" w:sz="4" w:space="0" w:color="auto"/>
              <w:left w:val="single" w:sz="4" w:space="0" w:color="auto"/>
              <w:bottom w:val="single" w:sz="4" w:space="0" w:color="auto"/>
              <w:right w:val="single" w:sz="4" w:space="0" w:color="auto"/>
            </w:tcBorders>
          </w:tcPr>
          <w:p w14:paraId="0FB74B52" w14:textId="77777777" w:rsidR="00E72C7B" w:rsidRPr="009C5807" w:rsidRDefault="00E72C7B" w:rsidP="00357256">
            <w:pPr>
              <w:pStyle w:val="TAH"/>
              <w:rPr>
                <w:lang w:eastAsia="zh-CN"/>
              </w:rPr>
            </w:pPr>
            <w:r w:rsidRPr="009C5807">
              <w:rPr>
                <w:rFonts w:hint="eastAsia"/>
                <w:lang w:eastAsia="zh-CN"/>
              </w:rPr>
              <w:t>Async</w:t>
            </w:r>
          </w:p>
        </w:tc>
      </w:tr>
      <w:tr w:rsidR="00E72C7B" w:rsidRPr="009C5807" w14:paraId="75594A2C" w14:textId="77777777" w:rsidTr="00566CFE">
        <w:trPr>
          <w:jc w:val="center"/>
        </w:trPr>
        <w:tc>
          <w:tcPr>
            <w:tcW w:w="649" w:type="dxa"/>
            <w:tcBorders>
              <w:top w:val="single" w:sz="4" w:space="0" w:color="auto"/>
              <w:left w:val="single" w:sz="4" w:space="0" w:color="auto"/>
              <w:bottom w:val="single" w:sz="4" w:space="0" w:color="auto"/>
              <w:right w:val="single" w:sz="4" w:space="0" w:color="auto"/>
            </w:tcBorders>
            <w:hideMark/>
          </w:tcPr>
          <w:p w14:paraId="46DC700E" w14:textId="77777777" w:rsidR="00E72C7B" w:rsidRPr="009C5807" w:rsidRDefault="00E72C7B" w:rsidP="00357256">
            <w:pPr>
              <w:pStyle w:val="TAC"/>
            </w:pPr>
            <w:r w:rsidRPr="009C5807">
              <w:t>0</w:t>
            </w:r>
          </w:p>
        </w:tc>
        <w:tc>
          <w:tcPr>
            <w:tcW w:w="1898" w:type="dxa"/>
            <w:tcBorders>
              <w:top w:val="single" w:sz="4" w:space="0" w:color="auto"/>
              <w:left w:val="single" w:sz="4" w:space="0" w:color="auto"/>
              <w:bottom w:val="single" w:sz="4" w:space="0" w:color="auto"/>
              <w:right w:val="single" w:sz="4" w:space="0" w:color="auto"/>
            </w:tcBorders>
            <w:hideMark/>
          </w:tcPr>
          <w:p w14:paraId="11C3B1B0" w14:textId="77777777" w:rsidR="00E72C7B" w:rsidRPr="009C5807" w:rsidRDefault="00E72C7B" w:rsidP="00357256">
            <w:pPr>
              <w:pStyle w:val="TAC"/>
            </w:pPr>
            <w:r w:rsidRPr="009C5807">
              <w:t>1</w:t>
            </w:r>
          </w:p>
        </w:tc>
        <w:tc>
          <w:tcPr>
            <w:tcW w:w="1984" w:type="dxa"/>
            <w:tcBorders>
              <w:top w:val="single" w:sz="4" w:space="0" w:color="auto"/>
              <w:left w:val="single" w:sz="4" w:space="0" w:color="auto"/>
              <w:bottom w:val="single" w:sz="4" w:space="0" w:color="auto"/>
              <w:right w:val="single" w:sz="4" w:space="0" w:color="auto"/>
            </w:tcBorders>
            <w:hideMark/>
          </w:tcPr>
          <w:p w14:paraId="1B84764B" w14:textId="77777777" w:rsidR="00E72C7B" w:rsidRPr="009C5807" w:rsidRDefault="00E72C7B" w:rsidP="00357256">
            <w:pPr>
              <w:pStyle w:val="TAC"/>
              <w:rPr>
                <w:rFonts w:cs="Arial"/>
                <w:szCs w:val="18"/>
              </w:rPr>
            </w:pPr>
            <w:r w:rsidRPr="009C5807">
              <w:rPr>
                <w:rFonts w:cs="Arial"/>
                <w:szCs w:val="18"/>
              </w:rPr>
              <w:t>1</w:t>
            </w:r>
          </w:p>
        </w:tc>
        <w:tc>
          <w:tcPr>
            <w:tcW w:w="1843" w:type="dxa"/>
            <w:tcBorders>
              <w:top w:val="single" w:sz="4" w:space="0" w:color="auto"/>
              <w:left w:val="single" w:sz="4" w:space="0" w:color="auto"/>
              <w:bottom w:val="single" w:sz="4" w:space="0" w:color="auto"/>
              <w:right w:val="single" w:sz="4" w:space="0" w:color="auto"/>
            </w:tcBorders>
          </w:tcPr>
          <w:p w14:paraId="43BAEE6B" w14:textId="77777777" w:rsidR="00E72C7B" w:rsidRPr="009C5807" w:rsidRDefault="00E72C7B" w:rsidP="00357256">
            <w:pPr>
              <w:pStyle w:val="TAC"/>
              <w:rPr>
                <w:rFonts w:cs="Arial"/>
                <w:szCs w:val="18"/>
              </w:rPr>
            </w:pPr>
            <w:r w:rsidRPr="009C5807">
              <w:rPr>
                <w:rFonts w:cs="Arial"/>
                <w:szCs w:val="18"/>
              </w:rPr>
              <w:t>2</w:t>
            </w:r>
          </w:p>
        </w:tc>
      </w:tr>
      <w:tr w:rsidR="00E72C7B" w:rsidRPr="009C5807" w14:paraId="30B4738A" w14:textId="77777777" w:rsidTr="00566CFE">
        <w:trPr>
          <w:jc w:val="center"/>
        </w:trPr>
        <w:tc>
          <w:tcPr>
            <w:tcW w:w="649" w:type="dxa"/>
            <w:tcBorders>
              <w:top w:val="single" w:sz="4" w:space="0" w:color="auto"/>
              <w:left w:val="single" w:sz="4" w:space="0" w:color="auto"/>
              <w:bottom w:val="single" w:sz="4" w:space="0" w:color="auto"/>
              <w:right w:val="single" w:sz="4" w:space="0" w:color="auto"/>
            </w:tcBorders>
            <w:hideMark/>
          </w:tcPr>
          <w:p w14:paraId="7D7F68E0" w14:textId="77777777" w:rsidR="00E72C7B" w:rsidRPr="009C5807" w:rsidRDefault="00E72C7B" w:rsidP="00357256">
            <w:pPr>
              <w:pStyle w:val="TAC"/>
            </w:pPr>
            <w:r w:rsidRPr="009C5807">
              <w:t>1</w:t>
            </w:r>
          </w:p>
        </w:tc>
        <w:tc>
          <w:tcPr>
            <w:tcW w:w="1898" w:type="dxa"/>
            <w:tcBorders>
              <w:top w:val="single" w:sz="4" w:space="0" w:color="auto"/>
              <w:left w:val="single" w:sz="4" w:space="0" w:color="auto"/>
              <w:bottom w:val="single" w:sz="4" w:space="0" w:color="auto"/>
              <w:right w:val="single" w:sz="4" w:space="0" w:color="auto"/>
            </w:tcBorders>
            <w:hideMark/>
          </w:tcPr>
          <w:p w14:paraId="1BE752FC" w14:textId="77777777" w:rsidR="00E72C7B" w:rsidRPr="009C5807" w:rsidRDefault="00E72C7B" w:rsidP="00357256">
            <w:pPr>
              <w:pStyle w:val="TAC"/>
            </w:pPr>
            <w:r w:rsidRPr="009C5807">
              <w:t>0.5</w:t>
            </w:r>
          </w:p>
        </w:tc>
        <w:tc>
          <w:tcPr>
            <w:tcW w:w="1984" w:type="dxa"/>
            <w:tcBorders>
              <w:top w:val="single" w:sz="4" w:space="0" w:color="auto"/>
              <w:left w:val="single" w:sz="4" w:space="0" w:color="auto"/>
              <w:bottom w:val="single" w:sz="4" w:space="0" w:color="auto"/>
              <w:right w:val="single" w:sz="4" w:space="0" w:color="auto"/>
            </w:tcBorders>
            <w:hideMark/>
          </w:tcPr>
          <w:p w14:paraId="14675FE5" w14:textId="77777777" w:rsidR="00E72C7B" w:rsidRPr="009C5807" w:rsidRDefault="00E72C7B" w:rsidP="00357256">
            <w:pPr>
              <w:pStyle w:val="TAC"/>
              <w:rPr>
                <w:rFonts w:cs="Arial"/>
                <w:szCs w:val="18"/>
              </w:rPr>
            </w:pPr>
            <w:r w:rsidRPr="009C5807">
              <w:rPr>
                <w:rFonts w:cs="Arial"/>
                <w:szCs w:val="18"/>
              </w:rPr>
              <w:t>2</w:t>
            </w:r>
          </w:p>
        </w:tc>
        <w:tc>
          <w:tcPr>
            <w:tcW w:w="1843" w:type="dxa"/>
            <w:tcBorders>
              <w:top w:val="single" w:sz="4" w:space="0" w:color="auto"/>
              <w:left w:val="single" w:sz="4" w:space="0" w:color="auto"/>
              <w:bottom w:val="single" w:sz="4" w:space="0" w:color="auto"/>
              <w:right w:val="single" w:sz="4" w:space="0" w:color="auto"/>
            </w:tcBorders>
          </w:tcPr>
          <w:p w14:paraId="5CD69F91" w14:textId="77777777" w:rsidR="00E72C7B" w:rsidRPr="009C5807" w:rsidRDefault="00E72C7B" w:rsidP="00357256">
            <w:pPr>
              <w:pStyle w:val="TAC"/>
              <w:rPr>
                <w:rFonts w:cs="Arial"/>
                <w:szCs w:val="18"/>
              </w:rPr>
            </w:pPr>
            <w:r w:rsidRPr="009C5807">
              <w:rPr>
                <w:rFonts w:cs="Arial"/>
                <w:szCs w:val="18"/>
              </w:rPr>
              <w:t>3</w:t>
            </w:r>
          </w:p>
        </w:tc>
      </w:tr>
      <w:tr w:rsidR="00E72C7B" w:rsidRPr="009C5807" w14:paraId="29B3A938" w14:textId="77777777" w:rsidTr="00566CF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5C14443" w14:textId="77777777" w:rsidR="00E72C7B" w:rsidRPr="009C5807" w:rsidRDefault="00E72C7B" w:rsidP="00357256">
            <w:pPr>
              <w:pStyle w:val="TAC"/>
              <w:rPr>
                <w:lang w:eastAsia="zh-CN"/>
              </w:rPr>
            </w:pPr>
            <w:r w:rsidRPr="009C5807">
              <w:rPr>
                <w:rFonts w:hint="eastAsia"/>
                <w:lang w:eastAsia="zh-CN"/>
              </w:rPr>
              <w:t>2</w:t>
            </w:r>
            <w:r w:rsidRPr="009C5807">
              <w:rPr>
                <w:lang w:eastAsia="zh-CN"/>
              </w:rPr>
              <w:t xml:space="preserve"> </w:t>
            </w:r>
          </w:p>
        </w:tc>
        <w:tc>
          <w:tcPr>
            <w:tcW w:w="1898" w:type="dxa"/>
            <w:tcBorders>
              <w:top w:val="single" w:sz="4" w:space="0" w:color="auto"/>
              <w:left w:val="single" w:sz="4" w:space="0" w:color="auto"/>
              <w:bottom w:val="single" w:sz="4" w:space="0" w:color="auto"/>
              <w:right w:val="single" w:sz="4" w:space="0" w:color="auto"/>
            </w:tcBorders>
            <w:vAlign w:val="center"/>
            <w:hideMark/>
          </w:tcPr>
          <w:p w14:paraId="32646AA0" w14:textId="77777777" w:rsidR="00E72C7B" w:rsidRPr="009C5807" w:rsidRDefault="00E72C7B" w:rsidP="00357256">
            <w:pPr>
              <w:pStyle w:val="TAC"/>
              <w:rPr>
                <w:lang w:eastAsia="zh-CN"/>
              </w:rPr>
            </w:pPr>
            <w:r w:rsidRPr="009C5807">
              <w:rPr>
                <w:rFonts w:hint="eastAsia"/>
                <w:lang w:eastAsia="zh-CN"/>
              </w:rPr>
              <w:t>0.25</w:t>
            </w:r>
          </w:p>
        </w:tc>
        <w:tc>
          <w:tcPr>
            <w:tcW w:w="1984" w:type="dxa"/>
            <w:tcBorders>
              <w:top w:val="single" w:sz="4" w:space="0" w:color="auto"/>
              <w:left w:val="single" w:sz="4" w:space="0" w:color="auto"/>
              <w:bottom w:val="single" w:sz="4" w:space="0" w:color="auto"/>
              <w:right w:val="single" w:sz="4" w:space="0" w:color="auto"/>
            </w:tcBorders>
            <w:hideMark/>
          </w:tcPr>
          <w:p w14:paraId="515B3D03" w14:textId="77777777" w:rsidR="00E72C7B" w:rsidRPr="009C5807" w:rsidRDefault="00E72C7B" w:rsidP="00357256">
            <w:pPr>
              <w:pStyle w:val="TAC"/>
              <w:rPr>
                <w:rFonts w:cs="Arial"/>
                <w:szCs w:val="18"/>
              </w:rPr>
            </w:pPr>
            <w:r w:rsidRPr="009C5807">
              <w:rPr>
                <w:rFonts w:cs="Arial"/>
                <w:szCs w:val="18"/>
              </w:rPr>
              <w:t>5</w:t>
            </w:r>
          </w:p>
        </w:tc>
        <w:tc>
          <w:tcPr>
            <w:tcW w:w="1843" w:type="dxa"/>
            <w:tcBorders>
              <w:top w:val="single" w:sz="4" w:space="0" w:color="auto"/>
              <w:left w:val="single" w:sz="4" w:space="0" w:color="auto"/>
              <w:bottom w:val="single" w:sz="4" w:space="0" w:color="auto"/>
              <w:right w:val="single" w:sz="4" w:space="0" w:color="auto"/>
            </w:tcBorders>
          </w:tcPr>
          <w:p w14:paraId="34408178" w14:textId="77777777" w:rsidR="00E72C7B" w:rsidRPr="009C5807" w:rsidRDefault="00E72C7B" w:rsidP="00357256">
            <w:pPr>
              <w:pStyle w:val="TAC"/>
              <w:rPr>
                <w:rFonts w:cs="Arial"/>
                <w:szCs w:val="18"/>
              </w:rPr>
            </w:pPr>
            <w:r w:rsidRPr="009C5807">
              <w:rPr>
                <w:rFonts w:cs="Arial"/>
                <w:szCs w:val="18"/>
              </w:rPr>
              <w:t>5</w:t>
            </w:r>
          </w:p>
        </w:tc>
      </w:tr>
    </w:tbl>
    <w:p w14:paraId="6C6F8DE7" w14:textId="77777777" w:rsidR="00E72C7B" w:rsidRPr="009C5807" w:rsidRDefault="00E72C7B" w:rsidP="00E72C7B">
      <w:pPr>
        <w:rPr>
          <w:rFonts w:cs="v4.2.0"/>
        </w:rPr>
      </w:pPr>
    </w:p>
    <w:p w14:paraId="0EA3B87A" w14:textId="77777777" w:rsidR="00E72C7B" w:rsidRPr="009C5807" w:rsidRDefault="00E72C7B" w:rsidP="00E72C7B">
      <w:pPr>
        <w:pStyle w:val="Heading4"/>
        <w:rPr>
          <w:lang w:val="en-US" w:eastAsia="zh-CN"/>
        </w:rPr>
      </w:pPr>
      <w:r w:rsidRPr="009C5807">
        <w:rPr>
          <w:lang w:val="en-US" w:eastAsia="zh-CN"/>
        </w:rPr>
        <w:t>6.1.3.4</w:t>
      </w:r>
      <w:r w:rsidRPr="009C5807">
        <w:rPr>
          <w:lang w:val="en-US" w:eastAsia="zh-CN"/>
        </w:rPr>
        <w:tab/>
        <w:t>NR FR1- NR FR2 DAPS Handover</w:t>
      </w:r>
    </w:p>
    <w:p w14:paraId="5A5C0B7A" w14:textId="7E1A5604" w:rsidR="00293E8D" w:rsidRPr="00A01642" w:rsidRDefault="00E72C7B" w:rsidP="00293E8D">
      <w:r w:rsidRPr="009C5807">
        <w:t>The requirements in this clause are applicable to inter-frequency handovers from NR FR1 cell to NR FR2 cell.</w:t>
      </w:r>
      <w:r w:rsidR="00293E8D" w:rsidRPr="00293E8D">
        <w:t xml:space="preserve"> </w:t>
      </w:r>
    </w:p>
    <w:p w14:paraId="18313AA3" w14:textId="77777777" w:rsidR="00293E8D" w:rsidRPr="00A01642" w:rsidRDefault="00293E8D" w:rsidP="00293E8D">
      <w:pPr>
        <w:rPr>
          <w:rFonts w:cs="v4.2.0"/>
        </w:rPr>
      </w:pPr>
      <w:r w:rsidRPr="00A01642">
        <w:rPr>
          <w:rFonts w:cs="v4.2.0"/>
        </w:rPr>
        <w:t>An FR1-FR2 DAPS handover is synchronous if it meets the conditions in table  6.1.3.4-1, otherwise it is asynchronous</w:t>
      </w:r>
    </w:p>
    <w:p w14:paraId="33A34799" w14:textId="77777777" w:rsidR="00293E8D" w:rsidRPr="00A01642" w:rsidRDefault="00293E8D" w:rsidP="00293E8D">
      <w:pPr>
        <w:pStyle w:val="TH"/>
      </w:pPr>
      <w:r w:rsidRPr="00A01642">
        <w:t>Table  6.1.3.4-1, : Sync condition for FR1-FR2  DAPS handover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2890"/>
        <w:gridCol w:w="2845"/>
      </w:tblGrid>
      <w:tr w:rsidR="00293E8D" w:rsidRPr="00A01642" w14:paraId="71E0A026" w14:textId="77777777" w:rsidTr="003637C3">
        <w:trPr>
          <w:jc w:val="center"/>
        </w:trPr>
        <w:tc>
          <w:tcPr>
            <w:tcW w:w="2183" w:type="dxa"/>
            <w:shd w:val="clear" w:color="auto" w:fill="auto"/>
          </w:tcPr>
          <w:p w14:paraId="19FE7DE5" w14:textId="77777777" w:rsidR="00293E8D" w:rsidRPr="00A01642" w:rsidRDefault="00293E8D" w:rsidP="00293E8D">
            <w:pPr>
              <w:pStyle w:val="TAH"/>
            </w:pPr>
            <w:r w:rsidRPr="00A01642">
              <w:t>Frequency Range of the pair of carriers</w:t>
            </w:r>
          </w:p>
        </w:tc>
        <w:tc>
          <w:tcPr>
            <w:tcW w:w="2890" w:type="dxa"/>
            <w:shd w:val="clear" w:color="auto" w:fill="auto"/>
          </w:tcPr>
          <w:p w14:paraId="53306E57" w14:textId="77777777" w:rsidR="00293E8D" w:rsidRPr="00A01642" w:rsidRDefault="00293E8D" w:rsidP="00293E8D">
            <w:pPr>
              <w:pStyle w:val="TAH"/>
            </w:pPr>
            <w:r w:rsidRPr="00A01642">
              <w:t>Maximum receive timing difference between source and taget cell (µs) for sync DAPS handover</w:t>
            </w:r>
          </w:p>
        </w:tc>
        <w:tc>
          <w:tcPr>
            <w:tcW w:w="2845" w:type="dxa"/>
          </w:tcPr>
          <w:p w14:paraId="0405E9A2" w14:textId="77777777" w:rsidR="00293E8D" w:rsidRPr="00A01642" w:rsidRDefault="00293E8D" w:rsidP="00293E8D">
            <w:pPr>
              <w:pStyle w:val="TAH"/>
            </w:pPr>
            <w:r w:rsidRPr="00A01642">
              <w:t>Maximum transmit timing difference between source and taget cell (µs)Note 1 sync DAPS handover</w:t>
            </w:r>
          </w:p>
        </w:tc>
      </w:tr>
      <w:tr w:rsidR="00293E8D" w:rsidRPr="00A01642" w14:paraId="2480D93A" w14:textId="77777777" w:rsidTr="003637C3">
        <w:trPr>
          <w:jc w:val="center"/>
        </w:trPr>
        <w:tc>
          <w:tcPr>
            <w:tcW w:w="2183" w:type="dxa"/>
            <w:shd w:val="clear" w:color="auto" w:fill="auto"/>
          </w:tcPr>
          <w:p w14:paraId="516CC9C4" w14:textId="77777777" w:rsidR="00293E8D" w:rsidRPr="00A01642" w:rsidRDefault="00293E8D" w:rsidP="00293E8D">
            <w:pPr>
              <w:pStyle w:val="TAL"/>
            </w:pPr>
            <w:r w:rsidRPr="00A01642">
              <w:t>Between FR1 and FR2</w:t>
            </w:r>
          </w:p>
        </w:tc>
        <w:tc>
          <w:tcPr>
            <w:tcW w:w="2890" w:type="dxa"/>
            <w:shd w:val="clear" w:color="auto" w:fill="auto"/>
          </w:tcPr>
          <w:p w14:paraId="558536B3" w14:textId="77777777" w:rsidR="00293E8D" w:rsidRPr="00A01642" w:rsidRDefault="00293E8D" w:rsidP="00293E8D">
            <w:pPr>
              <w:pStyle w:val="TAC"/>
            </w:pPr>
            <w:r w:rsidRPr="00A01642">
              <w:t xml:space="preserve">25 </w:t>
            </w:r>
          </w:p>
        </w:tc>
        <w:tc>
          <w:tcPr>
            <w:tcW w:w="2845" w:type="dxa"/>
          </w:tcPr>
          <w:p w14:paraId="72904A57" w14:textId="77777777" w:rsidR="00293E8D" w:rsidRPr="00A01642" w:rsidRDefault="00293E8D" w:rsidP="00293E8D">
            <w:pPr>
              <w:pStyle w:val="TAC"/>
            </w:pPr>
            <w:r w:rsidRPr="00A01642">
              <w:t xml:space="preserve">26.1 </w:t>
            </w:r>
          </w:p>
        </w:tc>
      </w:tr>
    </w:tbl>
    <w:p w14:paraId="39E8E6FA" w14:textId="77777777" w:rsidR="00E72C7B" w:rsidRPr="009C5807" w:rsidRDefault="00E72C7B" w:rsidP="00E72C7B"/>
    <w:p w14:paraId="36F1E9AD" w14:textId="77777777" w:rsidR="00E72C7B" w:rsidRPr="009C5807" w:rsidRDefault="00E72C7B" w:rsidP="00E72C7B">
      <w:pPr>
        <w:pStyle w:val="Heading5"/>
      </w:pPr>
      <w:r w:rsidRPr="009C5807">
        <w:t>6.1.3.4.1</w:t>
      </w:r>
      <w:r w:rsidRPr="009C5807">
        <w:tab/>
        <w:t>DAPS handover delay</w:t>
      </w:r>
    </w:p>
    <w:p w14:paraId="799E580D" w14:textId="77777777" w:rsidR="00E72C7B" w:rsidRPr="009C5807" w:rsidRDefault="00E72C7B" w:rsidP="00E72C7B">
      <w:pPr>
        <w:rPr>
          <w:rFonts w:cs="v4.2.0"/>
        </w:rPr>
      </w:pPr>
      <w:r w:rsidRPr="009C5807">
        <w:rPr>
          <w:rFonts w:cs="v4.2.0"/>
        </w:rPr>
        <w:t xml:space="preserve">Procedure delays for the procedure that can command a DAPS handover are specified in </w:t>
      </w:r>
      <w:r w:rsidRPr="009C5807">
        <w:t>TS 38.331 [2]</w:t>
      </w:r>
      <w:r w:rsidRPr="009C5807">
        <w:rPr>
          <w:rFonts w:cs="v4.2.0"/>
        </w:rPr>
        <w:t>.</w:t>
      </w:r>
    </w:p>
    <w:p w14:paraId="35AA9A59" w14:textId="166433EB" w:rsidR="00A16ED2" w:rsidRPr="009C5807" w:rsidRDefault="00A16ED2" w:rsidP="00A16ED2">
      <w:pPr>
        <w:rPr>
          <w:rFonts w:cs="v4.2.0"/>
        </w:rPr>
      </w:pPr>
      <w:r w:rsidRPr="009C5807">
        <w:rPr>
          <w:rFonts w:cs="v4.2.0"/>
        </w:rPr>
        <w:t xml:space="preserve">When the UE receives a RRC message implying handover, the UE shall be ready to </w:t>
      </w:r>
      <w:r w:rsidRPr="009C5807">
        <w:rPr>
          <w:rFonts w:cs="v4.2.0"/>
          <w:snapToGrid w:val="0"/>
        </w:rPr>
        <w:t>start the transmission of the new uplink PRACH channel</w:t>
      </w:r>
      <w:r w:rsidRPr="009C5807">
        <w:rPr>
          <w:rFonts w:cs="v4.2.0"/>
        </w:rPr>
        <w:t xml:space="preserve"> within D</w:t>
      </w:r>
      <w:r w:rsidRPr="009C5807">
        <w:rPr>
          <w:rFonts w:cs="v4.2.0"/>
          <w:vertAlign w:val="subscript"/>
        </w:rPr>
        <w:t>handover1</w:t>
      </w:r>
      <w:r w:rsidRPr="009C5807">
        <w:rPr>
          <w:rFonts w:cs="v4.2.0"/>
        </w:rPr>
        <w:t xml:space="preserve"> ms from the end of the last TTI containing the RRC command</w:t>
      </w:r>
      <w:r w:rsidRPr="009C5807">
        <w:rPr>
          <w:rFonts w:hint="eastAsia"/>
          <w:lang w:eastAsia="zh-CN"/>
        </w:rPr>
        <w:t xml:space="preserve"> when UE is configured with </w:t>
      </w:r>
      <w:r w:rsidRPr="009C5807">
        <w:rPr>
          <w:lang w:eastAsia="zh-CN"/>
        </w:rPr>
        <w:t>dual active protocol stack</w:t>
      </w:r>
      <w:r w:rsidRPr="009C5807">
        <w:rPr>
          <w:rFonts w:hint="eastAsia"/>
          <w:lang w:eastAsia="zh-CN"/>
        </w:rPr>
        <w:t xml:space="preserve"> handover</w:t>
      </w:r>
      <w:r w:rsidRPr="009C5807">
        <w:rPr>
          <w:rFonts w:cs="v4.2.0"/>
        </w:rPr>
        <w:t>.</w:t>
      </w:r>
    </w:p>
    <w:p w14:paraId="34F7AAB5" w14:textId="77777777" w:rsidR="00E72C7B" w:rsidRPr="009C5807" w:rsidRDefault="00E72C7B" w:rsidP="00E72C7B">
      <w:pPr>
        <w:pStyle w:val="EQ"/>
      </w:pPr>
      <w:r w:rsidRPr="009C5807">
        <w:tab/>
      </w:r>
      <w:r w:rsidRPr="009C5807">
        <w:rPr>
          <w:rFonts w:cs="v4.2.0"/>
        </w:rPr>
        <w:t>D</w:t>
      </w:r>
      <w:r w:rsidRPr="009C5807">
        <w:rPr>
          <w:rFonts w:cs="v4.2.0"/>
          <w:vertAlign w:val="subscript"/>
        </w:rPr>
        <w:t>handover1</w:t>
      </w:r>
      <w:r w:rsidRPr="009C5807">
        <w:t xml:space="preserve"> = </w:t>
      </w:r>
      <w:r w:rsidRPr="009C5807">
        <w:rPr>
          <w:rFonts w:cs="v4.2.0"/>
          <w:iCs/>
        </w:rPr>
        <w:t>T</w:t>
      </w:r>
      <w:r w:rsidRPr="009C5807">
        <w:rPr>
          <w:rFonts w:cs="v4.2.0"/>
          <w:iCs/>
          <w:vertAlign w:val="subscript"/>
        </w:rPr>
        <w:t>RRC_procedure</w:t>
      </w:r>
      <w:r w:rsidRPr="009C5807">
        <w:t xml:space="preserve"> + T</w:t>
      </w:r>
      <w:r w:rsidRPr="009C5807">
        <w:rPr>
          <w:vertAlign w:val="subscript"/>
        </w:rPr>
        <w:t>search</w:t>
      </w:r>
      <w:r w:rsidRPr="009C5807">
        <w:t xml:space="preserve"> + T</w:t>
      </w:r>
      <w:r w:rsidRPr="009C5807">
        <w:rPr>
          <w:vertAlign w:val="subscript"/>
        </w:rPr>
        <w:t>IU</w:t>
      </w:r>
      <w:r w:rsidRPr="009C5807">
        <w:t xml:space="preserve"> + T</w:t>
      </w:r>
      <w:r w:rsidRPr="009C5807">
        <w:rPr>
          <w:vertAlign w:val="subscript"/>
        </w:rPr>
        <w:t>processing</w:t>
      </w:r>
      <w:r w:rsidRPr="009C5807">
        <w:t xml:space="preserve"> </w:t>
      </w:r>
      <w:r w:rsidRPr="009C5807">
        <w:rPr>
          <w:lang w:eastAsia="zh-CN"/>
        </w:rPr>
        <w:t>+ T</w:t>
      </w:r>
      <w:r w:rsidRPr="009C5807">
        <w:rPr>
          <w:vertAlign w:val="subscript"/>
          <w:lang w:eastAsia="zh-CN"/>
        </w:rPr>
        <w:t>∆</w:t>
      </w:r>
      <w:r w:rsidRPr="009C5807">
        <w:rPr>
          <w:lang w:eastAsia="zh-CN"/>
        </w:rPr>
        <w:t xml:space="preserve"> + T</w:t>
      </w:r>
      <w:r w:rsidRPr="009C5807">
        <w:rPr>
          <w:vertAlign w:val="subscript"/>
          <w:lang w:eastAsia="zh-CN"/>
        </w:rPr>
        <w:t>margin</w:t>
      </w:r>
      <w:r w:rsidRPr="009C5807">
        <w:t xml:space="preserve"> ms</w:t>
      </w:r>
    </w:p>
    <w:p w14:paraId="1C5CC0EA" w14:textId="77777777" w:rsidR="00E72C7B" w:rsidRPr="009C5807" w:rsidRDefault="00E72C7B" w:rsidP="00E72C7B">
      <w:pPr>
        <w:rPr>
          <w:rFonts w:cs="v4.2.0"/>
        </w:rPr>
      </w:pPr>
      <w:r w:rsidRPr="009C5807">
        <w:rPr>
          <w:rFonts w:cs="v4.2.0"/>
        </w:rPr>
        <w:t>Where:</w:t>
      </w:r>
    </w:p>
    <w:p w14:paraId="2D619EB6" w14:textId="2EF9887E" w:rsidR="00E72C7B" w:rsidRPr="009C5807" w:rsidRDefault="00231BA1" w:rsidP="001741D7">
      <w:pPr>
        <w:pStyle w:val="B10"/>
      </w:pPr>
      <w:r>
        <w:rPr>
          <w:iCs/>
        </w:rPr>
        <w:tab/>
      </w:r>
      <w:r w:rsidR="00E72C7B" w:rsidRPr="009C5807">
        <w:rPr>
          <w:iCs/>
        </w:rPr>
        <w:t>T</w:t>
      </w:r>
      <w:r w:rsidR="00E72C7B" w:rsidRPr="009C5807">
        <w:rPr>
          <w:iCs/>
          <w:vertAlign w:val="subscript"/>
        </w:rPr>
        <w:t>RRC_procedure</w:t>
      </w:r>
      <w:r w:rsidR="00E72C7B" w:rsidRPr="009C5807">
        <w:t xml:space="preserve"> is the </w:t>
      </w:r>
      <w:r w:rsidR="00E72C7B" w:rsidRPr="009C5807">
        <w:rPr>
          <w:rFonts w:eastAsia="MS Mincho"/>
        </w:rPr>
        <w:t>maximum</w:t>
      </w:r>
      <w:r w:rsidR="00E72C7B" w:rsidRPr="009C5807">
        <w:t xml:space="preserve"> RRC procedure delay as </w:t>
      </w:r>
      <w:r w:rsidR="00E72C7B" w:rsidRPr="009C5807">
        <w:rPr>
          <w:rFonts w:ascii="Tms Rmn" w:eastAsia="MS Mincho" w:hAnsi="Tms Rmn"/>
        </w:rPr>
        <w:t xml:space="preserve">specified </w:t>
      </w:r>
      <w:r w:rsidR="00E72C7B" w:rsidRPr="009C5807">
        <w:t>in clause </w:t>
      </w:r>
      <w:r w:rsidR="00E72C7B" w:rsidRPr="009C5807">
        <w:rPr>
          <w:lang w:eastAsia="zh-CN"/>
        </w:rPr>
        <w:t>12</w:t>
      </w:r>
      <w:r w:rsidR="00E72C7B" w:rsidRPr="009C5807">
        <w:t xml:space="preserve"> in TS 38.331 [2].</w:t>
      </w:r>
    </w:p>
    <w:p w14:paraId="15126D75" w14:textId="35F6068B" w:rsidR="00E72C7B" w:rsidRPr="009C5807" w:rsidRDefault="00231BA1" w:rsidP="001741D7">
      <w:pPr>
        <w:pStyle w:val="B10"/>
      </w:pPr>
      <w:r>
        <w:tab/>
      </w:r>
      <w:r w:rsidR="00E72C7B" w:rsidRPr="009C5807">
        <w:t>T</w:t>
      </w:r>
      <w:r w:rsidR="00E72C7B" w:rsidRPr="009C5807">
        <w:rPr>
          <w:vertAlign w:val="subscript"/>
        </w:rPr>
        <w:t>search</w:t>
      </w:r>
      <w:r w:rsidR="00E72C7B" w:rsidRPr="009C5807">
        <w:t>, T</w:t>
      </w:r>
      <w:r w:rsidR="00E72C7B" w:rsidRPr="009C5807">
        <w:rPr>
          <w:vertAlign w:val="subscript"/>
        </w:rPr>
        <w:t>IU</w:t>
      </w:r>
      <w:r w:rsidR="00E72C7B" w:rsidRPr="009C5807">
        <w:t>, T</w:t>
      </w:r>
      <w:r w:rsidR="00E72C7B" w:rsidRPr="009C5807">
        <w:rPr>
          <w:vertAlign w:val="subscript"/>
        </w:rPr>
        <w:t>processing</w:t>
      </w:r>
      <w:r w:rsidR="00E72C7B" w:rsidRPr="009C5807">
        <w:rPr>
          <w:lang w:eastAsia="zh-CN"/>
        </w:rPr>
        <w:t>, T</w:t>
      </w:r>
      <w:r w:rsidR="00E72C7B" w:rsidRPr="009C5807">
        <w:rPr>
          <w:vertAlign w:val="subscript"/>
          <w:lang w:eastAsia="zh-CN"/>
        </w:rPr>
        <w:t>∆</w:t>
      </w:r>
      <w:r w:rsidR="00E72C7B" w:rsidRPr="009C5807">
        <w:rPr>
          <w:lang w:eastAsia="zh-CN"/>
        </w:rPr>
        <w:t xml:space="preserve"> and T</w:t>
      </w:r>
      <w:r w:rsidR="00E72C7B" w:rsidRPr="009C5807">
        <w:rPr>
          <w:vertAlign w:val="subscript"/>
          <w:lang w:eastAsia="zh-CN"/>
        </w:rPr>
        <w:t>margin</w:t>
      </w:r>
      <w:r w:rsidR="00E72C7B" w:rsidRPr="009C5807">
        <w:t xml:space="preserve"> are defined in clause 6.1.1.5.2.</w:t>
      </w:r>
    </w:p>
    <w:p w14:paraId="7EFDE3F6" w14:textId="1D286C28" w:rsidR="00E72C7B" w:rsidRPr="009C5807" w:rsidRDefault="00E72C7B" w:rsidP="00E72C7B">
      <w:pPr>
        <w:rPr>
          <w:rFonts w:cs="v4.2.0"/>
        </w:rPr>
      </w:pPr>
      <w:r w:rsidRPr="009C5807">
        <w:rPr>
          <w:rFonts w:cs="v4.2.0"/>
        </w:rPr>
        <w:t xml:space="preserve">After successful RACH procedure of the target cell, when the UE receives </w:t>
      </w:r>
      <w:r w:rsidR="00293E8D" w:rsidRPr="00A01642">
        <w:rPr>
          <w:rFonts w:cs="v4.2.0"/>
        </w:rPr>
        <w:t xml:space="preserve">an RRC </w:t>
      </w:r>
      <w:r w:rsidRPr="009C5807">
        <w:rPr>
          <w:rFonts w:cs="v4.2.0"/>
        </w:rPr>
        <w:t xml:space="preserve">message implying source cell release command, </w:t>
      </w:r>
      <w:r w:rsidRPr="009C5807">
        <w:rPr>
          <w:lang w:eastAsia="ko-KR"/>
        </w:rPr>
        <w:t xml:space="preserve">the UE shall accomplish the release actions specified in </w:t>
      </w:r>
      <w:r w:rsidRPr="009C5807">
        <w:t>TS 38.331 </w:t>
      </w:r>
      <w:r w:rsidRPr="009C5807">
        <w:rPr>
          <w:lang w:eastAsia="ko-KR"/>
        </w:rPr>
        <w:t xml:space="preserve">[2] within </w:t>
      </w:r>
      <w:r w:rsidRPr="009C5807">
        <w:rPr>
          <w:rFonts w:cs="v4.2.0"/>
        </w:rPr>
        <w:t>D</w:t>
      </w:r>
      <w:r w:rsidRPr="009C5807">
        <w:rPr>
          <w:rFonts w:cs="v4.2.0"/>
          <w:vertAlign w:val="subscript"/>
        </w:rPr>
        <w:t>handover2</w:t>
      </w:r>
      <w:r w:rsidRPr="009C5807">
        <w:rPr>
          <w:rFonts w:cs="v4.2.0"/>
        </w:rPr>
        <w:t>.</w:t>
      </w:r>
    </w:p>
    <w:p w14:paraId="6D1F58FD" w14:textId="3A65C1E3" w:rsidR="00E72C7B" w:rsidRPr="009C5807" w:rsidRDefault="00231BA1" w:rsidP="001741D7">
      <w:pPr>
        <w:pStyle w:val="B10"/>
      </w:pPr>
      <w:r>
        <w:tab/>
      </w:r>
      <w:r w:rsidR="00E72C7B" w:rsidRPr="009C5807">
        <w:t>D</w:t>
      </w:r>
      <w:r w:rsidR="00E72C7B" w:rsidRPr="009C5807">
        <w:rPr>
          <w:vertAlign w:val="subscript"/>
        </w:rPr>
        <w:t>handover2</w:t>
      </w:r>
      <w:r w:rsidR="00E72C7B" w:rsidRPr="009C5807">
        <w:t xml:space="preserve"> = </w:t>
      </w:r>
      <w:r w:rsidR="00E72C7B" w:rsidRPr="009C5807">
        <w:rPr>
          <w:iCs/>
        </w:rPr>
        <w:t>T</w:t>
      </w:r>
      <w:r w:rsidR="00E72C7B" w:rsidRPr="009C5807">
        <w:rPr>
          <w:iCs/>
          <w:vertAlign w:val="subscript"/>
        </w:rPr>
        <w:t>RRC_procedure</w:t>
      </w:r>
      <w:r w:rsidR="00E72C7B" w:rsidRPr="009C5807">
        <w:t>+ T</w:t>
      </w:r>
      <w:r w:rsidR="00E72C7B" w:rsidRPr="009C5807">
        <w:rPr>
          <w:vertAlign w:val="subscript"/>
        </w:rPr>
        <w:t>interrupt2</w:t>
      </w:r>
    </w:p>
    <w:p w14:paraId="66A5CF3A" w14:textId="77777777" w:rsidR="00E72C7B" w:rsidRPr="009C5807" w:rsidRDefault="00E72C7B" w:rsidP="00E72C7B">
      <w:pPr>
        <w:rPr>
          <w:rFonts w:cs="v4.2.0"/>
        </w:rPr>
      </w:pPr>
      <w:r w:rsidRPr="009C5807">
        <w:rPr>
          <w:rFonts w:cs="v4.2.0"/>
        </w:rPr>
        <w:t>Where:</w:t>
      </w:r>
    </w:p>
    <w:p w14:paraId="240B7210" w14:textId="07A2B591" w:rsidR="00293E8D" w:rsidRPr="00A01642" w:rsidRDefault="00231BA1" w:rsidP="00293E8D">
      <w:pPr>
        <w:pStyle w:val="B10"/>
      </w:pPr>
      <w:r>
        <w:rPr>
          <w:iCs/>
        </w:rPr>
        <w:tab/>
      </w:r>
      <w:r w:rsidR="00293E8D" w:rsidRPr="00A01642">
        <w:rPr>
          <w:iCs/>
        </w:rPr>
        <w:t>T</w:t>
      </w:r>
      <w:r w:rsidR="00293E8D" w:rsidRPr="00A01642">
        <w:rPr>
          <w:iCs/>
          <w:vertAlign w:val="subscript"/>
        </w:rPr>
        <w:t>RRC_procedure</w:t>
      </w:r>
      <w:r w:rsidR="00293E8D" w:rsidRPr="00A01642">
        <w:t xml:space="preserve"> is the RRC procedure delay as </w:t>
      </w:r>
      <w:r w:rsidR="00293E8D" w:rsidRPr="00A01642">
        <w:rPr>
          <w:rFonts w:ascii="Tms Rmn" w:eastAsia="MS Mincho" w:hAnsi="Tms Rmn"/>
        </w:rPr>
        <w:t xml:space="preserve">specified </w:t>
      </w:r>
      <w:r w:rsidR="00293E8D" w:rsidRPr="00A01642">
        <w:t>in clause </w:t>
      </w:r>
      <w:r w:rsidR="00293E8D" w:rsidRPr="00A01642">
        <w:rPr>
          <w:lang w:eastAsia="zh-CN"/>
        </w:rPr>
        <w:t>12</w:t>
      </w:r>
      <w:r w:rsidR="00293E8D" w:rsidRPr="00A01642">
        <w:t xml:space="preserve"> in TS 38.331 [2].</w:t>
      </w:r>
    </w:p>
    <w:p w14:paraId="1D582212" w14:textId="668C06FE" w:rsidR="00E72C7B" w:rsidRPr="009C5807" w:rsidRDefault="00231BA1" w:rsidP="001741D7">
      <w:pPr>
        <w:pStyle w:val="B10"/>
      </w:pPr>
      <w:r>
        <w:rPr>
          <w:iCs/>
        </w:rPr>
        <w:tab/>
      </w:r>
      <w:r w:rsidR="00E72C7B" w:rsidRPr="009C5807">
        <w:rPr>
          <w:iCs/>
        </w:rPr>
        <w:t>T</w:t>
      </w:r>
      <w:r w:rsidR="00E72C7B" w:rsidRPr="009C5807">
        <w:rPr>
          <w:iCs/>
          <w:vertAlign w:val="subscript"/>
        </w:rPr>
        <w:t xml:space="preserve">interrupt2 </w:t>
      </w:r>
      <w:r w:rsidR="00E72C7B" w:rsidRPr="009C5807">
        <w:rPr>
          <w:iCs/>
        </w:rPr>
        <w:t>is</w:t>
      </w:r>
      <w:r w:rsidR="00E72C7B" w:rsidRPr="009C5807">
        <w:rPr>
          <w:rFonts w:hint="eastAsia"/>
          <w:lang w:eastAsia="zh-CN"/>
        </w:rPr>
        <w:t xml:space="preserve"> </w:t>
      </w:r>
      <w:r w:rsidR="00E72C7B" w:rsidRPr="009C5807">
        <w:t>defined in clause 6.1.3.4.2.</w:t>
      </w:r>
    </w:p>
    <w:p w14:paraId="591FC4F6" w14:textId="77777777" w:rsidR="00E72C7B" w:rsidRPr="009C5807" w:rsidRDefault="00E72C7B" w:rsidP="00E72C7B">
      <w:pPr>
        <w:rPr>
          <w:rFonts w:cs="v4.2.0"/>
        </w:rPr>
      </w:pPr>
    </w:p>
    <w:p w14:paraId="32D3F998" w14:textId="77777777" w:rsidR="00E72C7B" w:rsidRPr="009C5807" w:rsidRDefault="00E72C7B" w:rsidP="00E72C7B">
      <w:pPr>
        <w:pStyle w:val="Heading5"/>
      </w:pPr>
      <w:r w:rsidRPr="009C5807">
        <w:t>6.1.3.4.2</w:t>
      </w:r>
      <w:r w:rsidRPr="009C5807">
        <w:tab/>
        <w:t>Interruption time</w:t>
      </w:r>
    </w:p>
    <w:p w14:paraId="091B0919" w14:textId="77777777" w:rsidR="00E72C7B" w:rsidRPr="009C5807" w:rsidRDefault="00E72C7B" w:rsidP="00E72C7B">
      <w:pPr>
        <w:rPr>
          <w:rFonts w:cs="v4.2.0"/>
        </w:rPr>
      </w:pPr>
      <w:r w:rsidRPr="009C5807">
        <w:rPr>
          <w:rFonts w:cs="v4.2.0"/>
        </w:rPr>
        <w:t>During D</w:t>
      </w:r>
      <w:r w:rsidRPr="009C5807">
        <w:rPr>
          <w:rFonts w:cs="v4.2.0"/>
          <w:vertAlign w:val="subscript"/>
        </w:rPr>
        <w:t>handover1</w:t>
      </w:r>
      <w:r w:rsidRPr="009C5807">
        <w:rPr>
          <w:rFonts w:cs="v4.2.0"/>
          <w:lang w:eastAsia="zh-CN"/>
        </w:rPr>
        <w:t xml:space="preserve">, the UE is allowed an interruption </w:t>
      </w:r>
      <w:r w:rsidRPr="009C5807">
        <w:t>of up to</w:t>
      </w:r>
      <w:r w:rsidRPr="009C5807">
        <w:rPr>
          <w:rFonts w:cs="v4.2.0"/>
        </w:rPr>
        <w:t xml:space="preserve"> T</w:t>
      </w:r>
      <w:r w:rsidRPr="009C5807">
        <w:rPr>
          <w:rFonts w:cs="v4.2.0"/>
          <w:vertAlign w:val="subscript"/>
        </w:rPr>
        <w:t>interrupt1</w:t>
      </w:r>
      <w:r w:rsidRPr="009C5807">
        <w:t xml:space="preserve"> </w:t>
      </w:r>
      <w:r w:rsidRPr="009C5807">
        <w:rPr>
          <w:rFonts w:cs="v4.2.0"/>
          <w:lang w:eastAsia="zh-CN"/>
        </w:rPr>
        <w:t>on source cell</w:t>
      </w:r>
      <w:r w:rsidRPr="009C5807">
        <w:rPr>
          <w:rFonts w:cs="v4.2.0"/>
        </w:rPr>
        <w:t>.</w:t>
      </w:r>
    </w:p>
    <w:p w14:paraId="6D38C57E" w14:textId="77777777" w:rsidR="00E72C7B" w:rsidRPr="009C5807" w:rsidRDefault="00E72C7B" w:rsidP="00E72C7B">
      <w:pPr>
        <w:rPr>
          <w:rFonts w:cs="v4.2.0"/>
        </w:rPr>
      </w:pPr>
      <w:r w:rsidRPr="009C5807">
        <w:rPr>
          <w:rFonts w:cs="v4.2.0"/>
        </w:rPr>
        <w:t xml:space="preserve">For </w:t>
      </w:r>
      <w:r w:rsidRPr="009C5807">
        <w:t>FR1-to-FR2</w:t>
      </w:r>
      <w:r w:rsidRPr="009C5807">
        <w:rPr>
          <w:rFonts w:cs="v4.2.0"/>
        </w:rPr>
        <w:t xml:space="preserve"> </w:t>
      </w:r>
      <w:r w:rsidRPr="009C5807">
        <w:rPr>
          <w:rFonts w:cs="v4.2.0" w:hint="eastAsia"/>
        </w:rPr>
        <w:t>int</w:t>
      </w:r>
      <w:r w:rsidRPr="009C5807">
        <w:rPr>
          <w:rFonts w:cs="v4.2.0"/>
        </w:rPr>
        <w:t>er</w:t>
      </w:r>
      <w:r w:rsidRPr="009C5807">
        <w:rPr>
          <w:rFonts w:cs="v4.2.0" w:hint="eastAsia"/>
        </w:rPr>
        <w:t>-band</w:t>
      </w:r>
      <w:r w:rsidRPr="009C5807">
        <w:rPr>
          <w:rFonts w:cs="v4.2.0"/>
        </w:rPr>
        <w:t xml:space="preserve"> handover, T</w:t>
      </w:r>
      <w:r w:rsidRPr="009C5807">
        <w:rPr>
          <w:rFonts w:cs="v4.2.0"/>
          <w:vertAlign w:val="subscript"/>
        </w:rPr>
        <w:t>interrupt1</w:t>
      </w:r>
      <w:r w:rsidRPr="009C5807">
        <w:rPr>
          <w:rFonts w:cs="v4.2.0"/>
        </w:rPr>
        <w:t xml:space="preserve"> is </w:t>
      </w:r>
      <w:r w:rsidRPr="009C5807">
        <w:rPr>
          <w:rFonts w:ascii="Tms Rmn" w:eastAsia="MS Mincho" w:hAnsi="Tms Rmn"/>
        </w:rPr>
        <w:t xml:space="preserve">specified </w:t>
      </w:r>
      <w:r w:rsidRPr="009C5807">
        <w:rPr>
          <w:rFonts w:cs="v4.2.0"/>
        </w:rPr>
        <w:t xml:space="preserve">in Table </w:t>
      </w:r>
      <w:r w:rsidRPr="009C5807">
        <w:t>6.1.3.4.2-1.</w:t>
      </w:r>
    </w:p>
    <w:p w14:paraId="35FD6291" w14:textId="77777777" w:rsidR="00E72C7B" w:rsidRPr="009C5807" w:rsidRDefault="00E72C7B" w:rsidP="00E72C7B">
      <w:pPr>
        <w:pStyle w:val="TH"/>
      </w:pPr>
      <w:r w:rsidRPr="009C5807">
        <w:t>Table 6.1.3.4.2-1: T</w:t>
      </w:r>
      <w:r w:rsidRPr="009C5807">
        <w:rPr>
          <w:vertAlign w:val="subscript"/>
        </w:rPr>
        <w:t>interrupt1</w:t>
      </w:r>
      <w:r w:rsidRPr="009C5807">
        <w:t xml:space="preserve"> for FR1-to-FR2 inter-band DAPS HO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1898"/>
        <w:gridCol w:w="1984"/>
        <w:gridCol w:w="1843"/>
      </w:tblGrid>
      <w:tr w:rsidR="00E72C7B" w:rsidRPr="009C5807" w14:paraId="4E2984FD" w14:textId="77777777" w:rsidTr="00406207">
        <w:trPr>
          <w:trHeight w:val="201"/>
          <w:jc w:val="center"/>
        </w:trPr>
        <w:tc>
          <w:tcPr>
            <w:tcW w:w="649" w:type="dxa"/>
            <w:tcBorders>
              <w:top w:val="single" w:sz="4" w:space="0" w:color="auto"/>
              <w:left w:val="single" w:sz="4" w:space="0" w:color="auto"/>
              <w:bottom w:val="nil"/>
              <w:right w:val="single" w:sz="4" w:space="0" w:color="auto"/>
            </w:tcBorders>
            <w:vAlign w:val="center"/>
            <w:hideMark/>
          </w:tcPr>
          <w:p w14:paraId="54BB2ED0" w14:textId="77777777" w:rsidR="00E72C7B" w:rsidRPr="009C5807" w:rsidRDefault="00E72C7B" w:rsidP="00357256">
            <w:pPr>
              <w:pStyle w:val="TAH"/>
            </w:pPr>
            <w:r w:rsidRPr="009C5807">
              <w:rPr>
                <w:noProof/>
                <w:lang w:val="en-US" w:eastAsia="zh-CN"/>
              </w:rPr>
              <w:drawing>
                <wp:inline distT="0" distB="0" distL="0" distR="0" wp14:anchorId="498A0835" wp14:editId="4F69C779">
                  <wp:extent cx="142240" cy="160020"/>
                  <wp:effectExtent l="0" t="0" r="0" b="0"/>
                  <wp:docPr id="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898" w:type="dxa"/>
            <w:tcBorders>
              <w:top w:val="single" w:sz="4" w:space="0" w:color="auto"/>
              <w:left w:val="single" w:sz="4" w:space="0" w:color="auto"/>
              <w:bottom w:val="nil"/>
              <w:right w:val="single" w:sz="4" w:space="0" w:color="auto"/>
            </w:tcBorders>
            <w:hideMark/>
          </w:tcPr>
          <w:p w14:paraId="2BFFCF1C" w14:textId="1C08EBC9" w:rsidR="00E72C7B" w:rsidRPr="009C5807" w:rsidRDefault="00E72C7B" w:rsidP="00357256">
            <w:pPr>
              <w:pStyle w:val="TAH"/>
            </w:pPr>
            <w:r w:rsidRPr="009C5807">
              <w:t xml:space="preserve">NR slot length (ms) </w:t>
            </w:r>
          </w:p>
        </w:tc>
        <w:tc>
          <w:tcPr>
            <w:tcW w:w="3827" w:type="dxa"/>
            <w:gridSpan w:val="2"/>
            <w:tcBorders>
              <w:top w:val="single" w:sz="4" w:space="0" w:color="auto"/>
              <w:left w:val="single" w:sz="4" w:space="0" w:color="auto"/>
              <w:bottom w:val="single" w:sz="4" w:space="0" w:color="auto"/>
              <w:right w:val="single" w:sz="4" w:space="0" w:color="auto"/>
            </w:tcBorders>
            <w:hideMark/>
          </w:tcPr>
          <w:p w14:paraId="0FB92E15" w14:textId="77777777" w:rsidR="00E72C7B" w:rsidRPr="009C5807" w:rsidRDefault="00E72C7B" w:rsidP="00357256">
            <w:pPr>
              <w:pStyle w:val="TAH"/>
            </w:pPr>
            <w:r w:rsidRPr="009C5807">
              <w:t>T</w:t>
            </w:r>
            <w:r w:rsidRPr="009C5807">
              <w:rPr>
                <w:vertAlign w:val="subscript"/>
              </w:rPr>
              <w:t>interrupt1</w:t>
            </w:r>
            <w:r w:rsidRPr="009C5807">
              <w:t xml:space="preserve"> (slots)</w:t>
            </w:r>
          </w:p>
        </w:tc>
      </w:tr>
      <w:tr w:rsidR="00E72C7B" w:rsidRPr="009C5807" w14:paraId="3059FCA2" w14:textId="77777777" w:rsidTr="00406207">
        <w:trPr>
          <w:trHeight w:val="201"/>
          <w:jc w:val="center"/>
        </w:trPr>
        <w:tc>
          <w:tcPr>
            <w:tcW w:w="649" w:type="dxa"/>
            <w:tcBorders>
              <w:top w:val="nil"/>
              <w:left w:val="single" w:sz="4" w:space="0" w:color="auto"/>
              <w:bottom w:val="single" w:sz="4" w:space="0" w:color="auto"/>
              <w:right w:val="single" w:sz="4" w:space="0" w:color="auto"/>
            </w:tcBorders>
            <w:vAlign w:val="center"/>
          </w:tcPr>
          <w:p w14:paraId="29DFC1F1" w14:textId="77777777" w:rsidR="00E72C7B" w:rsidRPr="009C5807" w:rsidRDefault="00E72C7B" w:rsidP="00357256">
            <w:pPr>
              <w:pStyle w:val="TAH"/>
              <w:rPr>
                <w:noProof/>
                <w:lang w:val="en-US" w:eastAsia="zh-CN"/>
              </w:rPr>
            </w:pPr>
          </w:p>
        </w:tc>
        <w:tc>
          <w:tcPr>
            <w:tcW w:w="1898" w:type="dxa"/>
            <w:tcBorders>
              <w:top w:val="nil"/>
              <w:left w:val="single" w:sz="4" w:space="0" w:color="auto"/>
              <w:bottom w:val="single" w:sz="4" w:space="0" w:color="auto"/>
              <w:right w:val="single" w:sz="4" w:space="0" w:color="auto"/>
            </w:tcBorders>
          </w:tcPr>
          <w:p w14:paraId="082000D6" w14:textId="1D4A37CB" w:rsidR="00E72C7B" w:rsidRPr="009C5807" w:rsidRDefault="00406207" w:rsidP="00357256">
            <w:pPr>
              <w:pStyle w:val="TAH"/>
            </w:pPr>
            <w:r w:rsidRPr="009C5807">
              <w:t>of source cell</w:t>
            </w:r>
          </w:p>
        </w:tc>
        <w:tc>
          <w:tcPr>
            <w:tcW w:w="1984" w:type="dxa"/>
            <w:tcBorders>
              <w:top w:val="single" w:sz="4" w:space="0" w:color="auto"/>
              <w:left w:val="single" w:sz="4" w:space="0" w:color="auto"/>
              <w:bottom w:val="single" w:sz="4" w:space="0" w:color="auto"/>
              <w:right w:val="single" w:sz="4" w:space="0" w:color="auto"/>
            </w:tcBorders>
          </w:tcPr>
          <w:p w14:paraId="4ECCD3C1" w14:textId="77777777" w:rsidR="00E72C7B" w:rsidRPr="009C5807" w:rsidRDefault="00E72C7B" w:rsidP="00357256">
            <w:pPr>
              <w:pStyle w:val="TAH"/>
              <w:rPr>
                <w:lang w:eastAsia="zh-CN"/>
              </w:rPr>
            </w:pPr>
            <w:r w:rsidRPr="009C5807">
              <w:rPr>
                <w:rFonts w:hint="eastAsia"/>
                <w:lang w:eastAsia="zh-CN"/>
              </w:rPr>
              <w:t>Sync</w:t>
            </w:r>
          </w:p>
        </w:tc>
        <w:tc>
          <w:tcPr>
            <w:tcW w:w="1843" w:type="dxa"/>
            <w:tcBorders>
              <w:top w:val="single" w:sz="4" w:space="0" w:color="auto"/>
              <w:left w:val="single" w:sz="4" w:space="0" w:color="auto"/>
              <w:bottom w:val="single" w:sz="4" w:space="0" w:color="auto"/>
              <w:right w:val="single" w:sz="4" w:space="0" w:color="auto"/>
            </w:tcBorders>
          </w:tcPr>
          <w:p w14:paraId="22E46DEE" w14:textId="77777777" w:rsidR="00E72C7B" w:rsidRPr="009C5807" w:rsidRDefault="00E72C7B" w:rsidP="00357256">
            <w:pPr>
              <w:pStyle w:val="TAH"/>
              <w:rPr>
                <w:lang w:eastAsia="zh-CN"/>
              </w:rPr>
            </w:pPr>
            <w:r w:rsidRPr="009C5807">
              <w:rPr>
                <w:rFonts w:hint="eastAsia"/>
                <w:lang w:eastAsia="zh-CN"/>
              </w:rPr>
              <w:t>Async</w:t>
            </w:r>
          </w:p>
        </w:tc>
      </w:tr>
      <w:tr w:rsidR="00E72C7B" w:rsidRPr="009C5807" w14:paraId="7779AE14" w14:textId="77777777" w:rsidTr="00566CFE">
        <w:trPr>
          <w:jc w:val="center"/>
        </w:trPr>
        <w:tc>
          <w:tcPr>
            <w:tcW w:w="649" w:type="dxa"/>
            <w:tcBorders>
              <w:top w:val="single" w:sz="4" w:space="0" w:color="auto"/>
              <w:left w:val="single" w:sz="4" w:space="0" w:color="auto"/>
              <w:bottom w:val="single" w:sz="4" w:space="0" w:color="auto"/>
              <w:right w:val="single" w:sz="4" w:space="0" w:color="auto"/>
            </w:tcBorders>
            <w:hideMark/>
          </w:tcPr>
          <w:p w14:paraId="073D9D09" w14:textId="77777777" w:rsidR="00E72C7B" w:rsidRPr="009C5807" w:rsidRDefault="00E72C7B" w:rsidP="00357256">
            <w:pPr>
              <w:pStyle w:val="TAC"/>
            </w:pPr>
            <w:r w:rsidRPr="009C5807">
              <w:t>0</w:t>
            </w:r>
          </w:p>
        </w:tc>
        <w:tc>
          <w:tcPr>
            <w:tcW w:w="1898" w:type="dxa"/>
            <w:tcBorders>
              <w:top w:val="single" w:sz="4" w:space="0" w:color="auto"/>
              <w:left w:val="single" w:sz="4" w:space="0" w:color="auto"/>
              <w:bottom w:val="single" w:sz="4" w:space="0" w:color="auto"/>
              <w:right w:val="single" w:sz="4" w:space="0" w:color="auto"/>
            </w:tcBorders>
            <w:hideMark/>
          </w:tcPr>
          <w:p w14:paraId="61BE0F00" w14:textId="77777777" w:rsidR="00E72C7B" w:rsidRPr="009C5807" w:rsidRDefault="00E72C7B" w:rsidP="00357256">
            <w:pPr>
              <w:pStyle w:val="TAC"/>
            </w:pPr>
            <w:r w:rsidRPr="009C5807">
              <w:t>1</w:t>
            </w:r>
          </w:p>
        </w:tc>
        <w:tc>
          <w:tcPr>
            <w:tcW w:w="1984" w:type="dxa"/>
            <w:tcBorders>
              <w:top w:val="single" w:sz="4" w:space="0" w:color="auto"/>
              <w:left w:val="single" w:sz="4" w:space="0" w:color="auto"/>
              <w:bottom w:val="single" w:sz="4" w:space="0" w:color="auto"/>
              <w:right w:val="single" w:sz="4" w:space="0" w:color="auto"/>
            </w:tcBorders>
            <w:hideMark/>
          </w:tcPr>
          <w:p w14:paraId="53525DB2" w14:textId="77777777" w:rsidR="00E72C7B" w:rsidRPr="009C5807" w:rsidRDefault="00E72C7B" w:rsidP="00357256">
            <w:pPr>
              <w:pStyle w:val="TAC"/>
              <w:rPr>
                <w:rFonts w:cs="Arial"/>
                <w:szCs w:val="18"/>
              </w:rPr>
            </w:pPr>
            <w:r w:rsidRPr="009C5807">
              <w:rPr>
                <w:rFonts w:cs="Arial"/>
                <w:szCs w:val="18"/>
              </w:rPr>
              <w:t>1</w:t>
            </w:r>
          </w:p>
        </w:tc>
        <w:tc>
          <w:tcPr>
            <w:tcW w:w="1843" w:type="dxa"/>
            <w:tcBorders>
              <w:top w:val="single" w:sz="4" w:space="0" w:color="auto"/>
              <w:left w:val="single" w:sz="4" w:space="0" w:color="auto"/>
              <w:bottom w:val="single" w:sz="4" w:space="0" w:color="auto"/>
              <w:right w:val="single" w:sz="4" w:space="0" w:color="auto"/>
            </w:tcBorders>
          </w:tcPr>
          <w:p w14:paraId="19E168AE" w14:textId="77777777" w:rsidR="00E72C7B" w:rsidRPr="009C5807" w:rsidRDefault="00E72C7B" w:rsidP="00357256">
            <w:pPr>
              <w:pStyle w:val="TAC"/>
              <w:rPr>
                <w:rFonts w:cs="Arial"/>
                <w:szCs w:val="18"/>
              </w:rPr>
            </w:pPr>
            <w:r w:rsidRPr="009C5807">
              <w:rPr>
                <w:rFonts w:cs="Arial"/>
                <w:szCs w:val="18"/>
              </w:rPr>
              <w:t>2</w:t>
            </w:r>
          </w:p>
        </w:tc>
      </w:tr>
      <w:tr w:rsidR="00E72C7B" w:rsidRPr="009C5807" w14:paraId="6BFA1FF1" w14:textId="77777777" w:rsidTr="00566CFE">
        <w:trPr>
          <w:jc w:val="center"/>
        </w:trPr>
        <w:tc>
          <w:tcPr>
            <w:tcW w:w="649" w:type="dxa"/>
            <w:tcBorders>
              <w:top w:val="single" w:sz="4" w:space="0" w:color="auto"/>
              <w:left w:val="single" w:sz="4" w:space="0" w:color="auto"/>
              <w:bottom w:val="single" w:sz="4" w:space="0" w:color="auto"/>
              <w:right w:val="single" w:sz="4" w:space="0" w:color="auto"/>
            </w:tcBorders>
            <w:hideMark/>
          </w:tcPr>
          <w:p w14:paraId="1218316D" w14:textId="77777777" w:rsidR="00E72C7B" w:rsidRPr="009C5807" w:rsidRDefault="00E72C7B" w:rsidP="00357256">
            <w:pPr>
              <w:pStyle w:val="TAC"/>
            </w:pPr>
            <w:r w:rsidRPr="009C5807">
              <w:t>1</w:t>
            </w:r>
          </w:p>
        </w:tc>
        <w:tc>
          <w:tcPr>
            <w:tcW w:w="1898" w:type="dxa"/>
            <w:tcBorders>
              <w:top w:val="single" w:sz="4" w:space="0" w:color="auto"/>
              <w:left w:val="single" w:sz="4" w:space="0" w:color="auto"/>
              <w:bottom w:val="single" w:sz="4" w:space="0" w:color="auto"/>
              <w:right w:val="single" w:sz="4" w:space="0" w:color="auto"/>
            </w:tcBorders>
            <w:hideMark/>
          </w:tcPr>
          <w:p w14:paraId="452CD553" w14:textId="77777777" w:rsidR="00E72C7B" w:rsidRPr="009C5807" w:rsidRDefault="00E72C7B" w:rsidP="00357256">
            <w:pPr>
              <w:pStyle w:val="TAC"/>
            </w:pPr>
            <w:r w:rsidRPr="009C5807">
              <w:t>0.5</w:t>
            </w:r>
          </w:p>
        </w:tc>
        <w:tc>
          <w:tcPr>
            <w:tcW w:w="1984" w:type="dxa"/>
            <w:tcBorders>
              <w:top w:val="single" w:sz="4" w:space="0" w:color="auto"/>
              <w:left w:val="single" w:sz="4" w:space="0" w:color="auto"/>
              <w:bottom w:val="single" w:sz="4" w:space="0" w:color="auto"/>
              <w:right w:val="single" w:sz="4" w:space="0" w:color="auto"/>
            </w:tcBorders>
            <w:hideMark/>
          </w:tcPr>
          <w:p w14:paraId="6400A9DE" w14:textId="77777777" w:rsidR="00E72C7B" w:rsidRPr="009C5807" w:rsidRDefault="00E72C7B" w:rsidP="00357256">
            <w:pPr>
              <w:pStyle w:val="TAC"/>
              <w:rPr>
                <w:rFonts w:cs="Arial"/>
                <w:szCs w:val="18"/>
              </w:rPr>
            </w:pPr>
            <w:r w:rsidRPr="009C5807">
              <w:rPr>
                <w:rFonts w:cs="Arial"/>
                <w:szCs w:val="18"/>
              </w:rPr>
              <w:t>2</w:t>
            </w:r>
          </w:p>
        </w:tc>
        <w:tc>
          <w:tcPr>
            <w:tcW w:w="1843" w:type="dxa"/>
            <w:tcBorders>
              <w:top w:val="single" w:sz="4" w:space="0" w:color="auto"/>
              <w:left w:val="single" w:sz="4" w:space="0" w:color="auto"/>
              <w:bottom w:val="single" w:sz="4" w:space="0" w:color="auto"/>
              <w:right w:val="single" w:sz="4" w:space="0" w:color="auto"/>
            </w:tcBorders>
          </w:tcPr>
          <w:p w14:paraId="088185E4" w14:textId="77777777" w:rsidR="00E72C7B" w:rsidRPr="009C5807" w:rsidRDefault="00E72C7B" w:rsidP="00357256">
            <w:pPr>
              <w:pStyle w:val="TAC"/>
              <w:rPr>
                <w:rFonts w:cs="Arial"/>
                <w:szCs w:val="18"/>
              </w:rPr>
            </w:pPr>
            <w:r w:rsidRPr="009C5807">
              <w:rPr>
                <w:rFonts w:cs="Arial"/>
                <w:szCs w:val="18"/>
              </w:rPr>
              <w:t>3</w:t>
            </w:r>
          </w:p>
        </w:tc>
      </w:tr>
      <w:tr w:rsidR="00E72C7B" w:rsidRPr="009C5807" w14:paraId="7B6A2E7C" w14:textId="77777777" w:rsidTr="00566CF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5A84F84" w14:textId="77777777" w:rsidR="00E72C7B" w:rsidRPr="009C5807" w:rsidRDefault="00E72C7B" w:rsidP="00357256">
            <w:pPr>
              <w:pStyle w:val="TAC"/>
              <w:rPr>
                <w:lang w:eastAsia="zh-CN"/>
              </w:rPr>
            </w:pPr>
            <w:r w:rsidRPr="009C5807">
              <w:rPr>
                <w:rFonts w:hint="eastAsia"/>
                <w:lang w:eastAsia="zh-CN"/>
              </w:rPr>
              <w:t>2</w:t>
            </w:r>
            <w:r w:rsidRPr="009C5807">
              <w:rPr>
                <w:lang w:eastAsia="zh-CN"/>
              </w:rPr>
              <w:t xml:space="preserve"> </w:t>
            </w:r>
          </w:p>
        </w:tc>
        <w:tc>
          <w:tcPr>
            <w:tcW w:w="1898" w:type="dxa"/>
            <w:tcBorders>
              <w:top w:val="single" w:sz="4" w:space="0" w:color="auto"/>
              <w:left w:val="single" w:sz="4" w:space="0" w:color="auto"/>
              <w:bottom w:val="single" w:sz="4" w:space="0" w:color="auto"/>
              <w:right w:val="single" w:sz="4" w:space="0" w:color="auto"/>
            </w:tcBorders>
            <w:vAlign w:val="center"/>
            <w:hideMark/>
          </w:tcPr>
          <w:p w14:paraId="54FF7B9B" w14:textId="77777777" w:rsidR="00E72C7B" w:rsidRPr="009C5807" w:rsidRDefault="00E72C7B" w:rsidP="00357256">
            <w:pPr>
              <w:pStyle w:val="TAC"/>
              <w:rPr>
                <w:lang w:eastAsia="zh-CN"/>
              </w:rPr>
            </w:pPr>
            <w:r w:rsidRPr="009C5807">
              <w:rPr>
                <w:rFonts w:hint="eastAsia"/>
                <w:lang w:eastAsia="zh-CN"/>
              </w:rPr>
              <w:t>0.25</w:t>
            </w:r>
          </w:p>
        </w:tc>
        <w:tc>
          <w:tcPr>
            <w:tcW w:w="1984" w:type="dxa"/>
            <w:tcBorders>
              <w:top w:val="single" w:sz="4" w:space="0" w:color="auto"/>
              <w:left w:val="single" w:sz="4" w:space="0" w:color="auto"/>
              <w:bottom w:val="single" w:sz="4" w:space="0" w:color="auto"/>
              <w:right w:val="single" w:sz="4" w:space="0" w:color="auto"/>
            </w:tcBorders>
            <w:hideMark/>
          </w:tcPr>
          <w:p w14:paraId="6835BE80" w14:textId="77777777" w:rsidR="00E72C7B" w:rsidRPr="009C5807" w:rsidRDefault="00E72C7B" w:rsidP="00357256">
            <w:pPr>
              <w:pStyle w:val="TAC"/>
              <w:rPr>
                <w:rFonts w:cs="Arial"/>
                <w:szCs w:val="18"/>
              </w:rPr>
            </w:pPr>
            <w:r w:rsidRPr="009C5807">
              <w:rPr>
                <w:rFonts w:cs="Arial"/>
                <w:szCs w:val="18"/>
              </w:rPr>
              <w:t>5</w:t>
            </w:r>
          </w:p>
        </w:tc>
        <w:tc>
          <w:tcPr>
            <w:tcW w:w="1843" w:type="dxa"/>
            <w:tcBorders>
              <w:top w:val="single" w:sz="4" w:space="0" w:color="auto"/>
              <w:left w:val="single" w:sz="4" w:space="0" w:color="auto"/>
              <w:bottom w:val="single" w:sz="4" w:space="0" w:color="auto"/>
              <w:right w:val="single" w:sz="4" w:space="0" w:color="auto"/>
            </w:tcBorders>
          </w:tcPr>
          <w:p w14:paraId="70DA227E" w14:textId="77777777" w:rsidR="00E72C7B" w:rsidRPr="009C5807" w:rsidRDefault="00E72C7B" w:rsidP="00357256">
            <w:pPr>
              <w:pStyle w:val="TAC"/>
              <w:rPr>
                <w:rFonts w:cs="Arial"/>
                <w:szCs w:val="18"/>
              </w:rPr>
            </w:pPr>
            <w:r w:rsidRPr="009C5807">
              <w:rPr>
                <w:rFonts w:cs="Arial"/>
                <w:szCs w:val="18"/>
              </w:rPr>
              <w:t>5</w:t>
            </w:r>
          </w:p>
        </w:tc>
      </w:tr>
    </w:tbl>
    <w:p w14:paraId="33864ED9" w14:textId="77777777" w:rsidR="00E72C7B" w:rsidRPr="009C5807" w:rsidRDefault="00E72C7B" w:rsidP="00E72C7B">
      <w:pPr>
        <w:rPr>
          <w:rFonts w:cs="v4.2.0"/>
        </w:rPr>
      </w:pPr>
    </w:p>
    <w:p w14:paraId="428BA1CA" w14:textId="77777777" w:rsidR="00E72C7B" w:rsidRPr="009C5807" w:rsidRDefault="00E72C7B" w:rsidP="00E72C7B">
      <w:pPr>
        <w:rPr>
          <w:rFonts w:cs="v4.2.0"/>
        </w:rPr>
      </w:pPr>
      <w:r w:rsidRPr="009C5807">
        <w:rPr>
          <w:rFonts w:cs="v4.2.0"/>
        </w:rPr>
        <w:t>During D</w:t>
      </w:r>
      <w:r w:rsidRPr="009C5807">
        <w:rPr>
          <w:rFonts w:cs="v4.2.0"/>
          <w:vertAlign w:val="subscript"/>
        </w:rPr>
        <w:t>handover2</w:t>
      </w:r>
      <w:r w:rsidRPr="009C5807">
        <w:rPr>
          <w:rFonts w:cs="v4.2.0"/>
          <w:lang w:eastAsia="zh-CN"/>
        </w:rPr>
        <w:t>, the UE is allowed an interruption</w:t>
      </w:r>
      <w:r w:rsidRPr="009C5807">
        <w:t xml:space="preserve"> of up to</w:t>
      </w:r>
      <w:r w:rsidRPr="009C5807">
        <w:rPr>
          <w:rFonts w:cs="v4.2.0"/>
        </w:rPr>
        <w:t xml:space="preserve"> T</w:t>
      </w:r>
      <w:r w:rsidRPr="009C5807">
        <w:rPr>
          <w:rFonts w:cs="v4.2.0"/>
          <w:vertAlign w:val="subscript"/>
        </w:rPr>
        <w:t>interrupt2</w:t>
      </w:r>
      <w:r w:rsidRPr="009C5807">
        <w:rPr>
          <w:rFonts w:cs="v4.2.0"/>
          <w:lang w:eastAsia="zh-CN"/>
        </w:rPr>
        <w:t xml:space="preserve"> on target cell</w:t>
      </w:r>
      <w:r w:rsidRPr="009C5807">
        <w:rPr>
          <w:rFonts w:cs="v4.2.0"/>
        </w:rPr>
        <w:t xml:space="preserve">. </w:t>
      </w:r>
    </w:p>
    <w:p w14:paraId="01CA9CC0" w14:textId="77777777" w:rsidR="00E72C7B" w:rsidRPr="009C5807" w:rsidRDefault="00E72C7B" w:rsidP="00E72C7B">
      <w:pPr>
        <w:rPr>
          <w:rFonts w:cs="v4.2.0"/>
        </w:rPr>
      </w:pPr>
      <w:r w:rsidRPr="009C5807">
        <w:rPr>
          <w:rFonts w:cs="v4.2.0"/>
        </w:rPr>
        <w:t xml:space="preserve">For </w:t>
      </w:r>
      <w:r w:rsidRPr="009C5807">
        <w:t>FR1-to-FR2</w:t>
      </w:r>
      <w:r w:rsidRPr="009C5807">
        <w:rPr>
          <w:rFonts w:cs="v4.2.0"/>
        </w:rPr>
        <w:t xml:space="preserve"> </w:t>
      </w:r>
      <w:r w:rsidRPr="009C5807">
        <w:rPr>
          <w:rFonts w:cs="v4.2.0" w:hint="eastAsia"/>
        </w:rPr>
        <w:t>int</w:t>
      </w:r>
      <w:r w:rsidRPr="009C5807">
        <w:rPr>
          <w:rFonts w:cs="v4.2.0"/>
        </w:rPr>
        <w:t>er</w:t>
      </w:r>
      <w:r w:rsidRPr="009C5807">
        <w:rPr>
          <w:rFonts w:cs="v4.2.0" w:hint="eastAsia"/>
        </w:rPr>
        <w:t>-band</w:t>
      </w:r>
      <w:r w:rsidRPr="009C5807">
        <w:rPr>
          <w:rFonts w:cs="v4.2.0"/>
        </w:rPr>
        <w:t xml:space="preserve"> handover, T</w:t>
      </w:r>
      <w:r w:rsidRPr="009C5807">
        <w:rPr>
          <w:rFonts w:cs="v4.2.0"/>
          <w:vertAlign w:val="subscript"/>
        </w:rPr>
        <w:t>interrupt2</w:t>
      </w:r>
      <w:r w:rsidRPr="009C5807">
        <w:rPr>
          <w:rFonts w:cs="v4.2.0"/>
        </w:rPr>
        <w:t xml:space="preserve"> is </w:t>
      </w:r>
      <w:r w:rsidRPr="009C5807">
        <w:rPr>
          <w:rFonts w:ascii="Tms Rmn" w:eastAsia="MS Mincho" w:hAnsi="Tms Rmn"/>
        </w:rPr>
        <w:t xml:space="preserve">specified </w:t>
      </w:r>
      <w:r w:rsidRPr="009C5807">
        <w:rPr>
          <w:rFonts w:cs="v4.2.0"/>
        </w:rPr>
        <w:t xml:space="preserve">in Table </w:t>
      </w:r>
      <w:r w:rsidRPr="009C5807">
        <w:t>6.1.3.4.2-2.</w:t>
      </w:r>
    </w:p>
    <w:p w14:paraId="54EC2779" w14:textId="77777777" w:rsidR="00E72C7B" w:rsidRPr="009C5807" w:rsidRDefault="00E72C7B" w:rsidP="00E72C7B">
      <w:pPr>
        <w:pStyle w:val="TH"/>
      </w:pPr>
      <w:r w:rsidRPr="009C5807">
        <w:t>Table 6.1.3.4.2-2: T</w:t>
      </w:r>
      <w:r w:rsidRPr="009C5807">
        <w:rPr>
          <w:vertAlign w:val="subscript"/>
        </w:rPr>
        <w:t>interrupt2</w:t>
      </w:r>
      <w:r w:rsidRPr="009C5807">
        <w:t xml:space="preserve"> for FR1-to-FR2 inter-band DAPS HO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1898"/>
        <w:gridCol w:w="1984"/>
        <w:gridCol w:w="1843"/>
      </w:tblGrid>
      <w:tr w:rsidR="00E72C7B" w:rsidRPr="009C5807" w14:paraId="31A3598F" w14:textId="77777777" w:rsidTr="00406207">
        <w:trPr>
          <w:trHeight w:val="201"/>
          <w:jc w:val="center"/>
        </w:trPr>
        <w:tc>
          <w:tcPr>
            <w:tcW w:w="649" w:type="dxa"/>
            <w:tcBorders>
              <w:top w:val="single" w:sz="4" w:space="0" w:color="auto"/>
              <w:left w:val="single" w:sz="4" w:space="0" w:color="auto"/>
              <w:bottom w:val="nil"/>
              <w:right w:val="single" w:sz="4" w:space="0" w:color="auto"/>
            </w:tcBorders>
            <w:vAlign w:val="center"/>
            <w:hideMark/>
          </w:tcPr>
          <w:p w14:paraId="02B32FDE" w14:textId="77777777" w:rsidR="00E72C7B" w:rsidRPr="009C5807" w:rsidRDefault="00E72C7B" w:rsidP="00357256">
            <w:pPr>
              <w:pStyle w:val="TAH"/>
            </w:pPr>
            <w:r w:rsidRPr="009C5807">
              <w:rPr>
                <w:noProof/>
                <w:lang w:val="en-US" w:eastAsia="zh-CN"/>
              </w:rPr>
              <w:drawing>
                <wp:inline distT="0" distB="0" distL="0" distR="0" wp14:anchorId="28164E37" wp14:editId="7AC364FA">
                  <wp:extent cx="142240" cy="160020"/>
                  <wp:effectExtent l="0" t="0" r="0" b="0"/>
                  <wp:docPr id="7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898" w:type="dxa"/>
            <w:tcBorders>
              <w:top w:val="single" w:sz="4" w:space="0" w:color="auto"/>
              <w:left w:val="single" w:sz="4" w:space="0" w:color="auto"/>
              <w:bottom w:val="nil"/>
              <w:right w:val="single" w:sz="4" w:space="0" w:color="auto"/>
            </w:tcBorders>
            <w:hideMark/>
          </w:tcPr>
          <w:p w14:paraId="2F401923" w14:textId="3402BC1D" w:rsidR="00E72C7B" w:rsidRPr="009C5807" w:rsidRDefault="00E72C7B" w:rsidP="00357256">
            <w:pPr>
              <w:pStyle w:val="TAH"/>
            </w:pPr>
            <w:r w:rsidRPr="009C5807">
              <w:t xml:space="preserve">NR slot length (ms) </w:t>
            </w:r>
          </w:p>
        </w:tc>
        <w:tc>
          <w:tcPr>
            <w:tcW w:w="3827" w:type="dxa"/>
            <w:gridSpan w:val="2"/>
            <w:tcBorders>
              <w:top w:val="single" w:sz="4" w:space="0" w:color="auto"/>
              <w:left w:val="single" w:sz="4" w:space="0" w:color="auto"/>
              <w:bottom w:val="single" w:sz="4" w:space="0" w:color="auto"/>
              <w:right w:val="single" w:sz="4" w:space="0" w:color="auto"/>
            </w:tcBorders>
            <w:hideMark/>
          </w:tcPr>
          <w:p w14:paraId="4911241D" w14:textId="77777777" w:rsidR="00E72C7B" w:rsidRPr="009C5807" w:rsidRDefault="00E72C7B" w:rsidP="00357256">
            <w:pPr>
              <w:pStyle w:val="TAH"/>
            </w:pPr>
            <w:r w:rsidRPr="009C5807">
              <w:t>T</w:t>
            </w:r>
            <w:r w:rsidRPr="009C5807">
              <w:rPr>
                <w:vertAlign w:val="subscript"/>
              </w:rPr>
              <w:t>interrupt2</w:t>
            </w:r>
            <w:r w:rsidRPr="009C5807">
              <w:t xml:space="preserve"> (slots)</w:t>
            </w:r>
          </w:p>
        </w:tc>
      </w:tr>
      <w:tr w:rsidR="00166F8C" w:rsidRPr="009C5807" w14:paraId="54B59AEE" w14:textId="77777777" w:rsidTr="00166F8C">
        <w:trPr>
          <w:trHeight w:val="105"/>
          <w:jc w:val="center"/>
        </w:trPr>
        <w:tc>
          <w:tcPr>
            <w:tcW w:w="649" w:type="dxa"/>
            <w:tcBorders>
              <w:top w:val="nil"/>
              <w:left w:val="single" w:sz="4" w:space="0" w:color="auto"/>
              <w:right w:val="single" w:sz="4" w:space="0" w:color="auto"/>
            </w:tcBorders>
            <w:vAlign w:val="center"/>
          </w:tcPr>
          <w:p w14:paraId="62AF8170" w14:textId="77777777" w:rsidR="00166F8C" w:rsidRPr="009C5807" w:rsidRDefault="00166F8C" w:rsidP="00357256">
            <w:pPr>
              <w:pStyle w:val="TAH"/>
              <w:rPr>
                <w:noProof/>
                <w:lang w:val="en-US" w:eastAsia="zh-CN"/>
              </w:rPr>
            </w:pPr>
          </w:p>
        </w:tc>
        <w:tc>
          <w:tcPr>
            <w:tcW w:w="1898" w:type="dxa"/>
            <w:tcBorders>
              <w:top w:val="nil"/>
              <w:left w:val="single" w:sz="4" w:space="0" w:color="auto"/>
              <w:bottom w:val="nil"/>
              <w:right w:val="single" w:sz="4" w:space="0" w:color="auto"/>
            </w:tcBorders>
          </w:tcPr>
          <w:p w14:paraId="02059243" w14:textId="623747D5" w:rsidR="00166F8C" w:rsidRPr="009C5807" w:rsidRDefault="00166F8C" w:rsidP="00357256">
            <w:pPr>
              <w:pStyle w:val="TAH"/>
            </w:pPr>
            <w:r w:rsidRPr="009C5807">
              <w:t>of target cell</w:t>
            </w:r>
          </w:p>
        </w:tc>
        <w:tc>
          <w:tcPr>
            <w:tcW w:w="1984" w:type="dxa"/>
            <w:tcBorders>
              <w:top w:val="single" w:sz="4" w:space="0" w:color="auto"/>
              <w:left w:val="single" w:sz="4" w:space="0" w:color="auto"/>
              <w:right w:val="single" w:sz="4" w:space="0" w:color="auto"/>
            </w:tcBorders>
          </w:tcPr>
          <w:p w14:paraId="2AC8CF63" w14:textId="77777777" w:rsidR="00166F8C" w:rsidRPr="009C5807" w:rsidRDefault="00166F8C" w:rsidP="00357256">
            <w:pPr>
              <w:pStyle w:val="TAH"/>
              <w:rPr>
                <w:lang w:eastAsia="zh-CN"/>
              </w:rPr>
            </w:pPr>
            <w:r w:rsidRPr="009C5807">
              <w:rPr>
                <w:rFonts w:hint="eastAsia"/>
                <w:lang w:eastAsia="zh-CN"/>
              </w:rPr>
              <w:t>Sync</w:t>
            </w:r>
          </w:p>
        </w:tc>
        <w:tc>
          <w:tcPr>
            <w:tcW w:w="1843" w:type="dxa"/>
            <w:tcBorders>
              <w:top w:val="single" w:sz="4" w:space="0" w:color="auto"/>
              <w:left w:val="single" w:sz="4" w:space="0" w:color="auto"/>
              <w:right w:val="single" w:sz="4" w:space="0" w:color="auto"/>
            </w:tcBorders>
          </w:tcPr>
          <w:p w14:paraId="74C8C189" w14:textId="77777777" w:rsidR="00166F8C" w:rsidRPr="009C5807" w:rsidRDefault="00166F8C" w:rsidP="00357256">
            <w:pPr>
              <w:pStyle w:val="TAH"/>
              <w:rPr>
                <w:lang w:eastAsia="zh-CN"/>
              </w:rPr>
            </w:pPr>
            <w:r w:rsidRPr="009C5807">
              <w:rPr>
                <w:rFonts w:hint="eastAsia"/>
                <w:lang w:eastAsia="zh-CN"/>
              </w:rPr>
              <w:t>Async</w:t>
            </w:r>
          </w:p>
        </w:tc>
      </w:tr>
      <w:tr w:rsidR="00E72C7B" w:rsidRPr="009C5807" w14:paraId="2A045D6F" w14:textId="77777777" w:rsidTr="00566CF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6058788" w14:textId="77777777" w:rsidR="00E72C7B" w:rsidRPr="009C5807" w:rsidRDefault="00E72C7B" w:rsidP="00357256">
            <w:pPr>
              <w:pStyle w:val="TAC"/>
              <w:rPr>
                <w:lang w:eastAsia="zh-CN"/>
              </w:rPr>
            </w:pPr>
            <w:r w:rsidRPr="009C5807">
              <w:rPr>
                <w:rFonts w:hint="eastAsia"/>
                <w:lang w:eastAsia="zh-CN"/>
              </w:rPr>
              <w:t>2</w:t>
            </w:r>
            <w:r w:rsidRPr="009C5807">
              <w:rPr>
                <w:lang w:eastAsia="zh-CN"/>
              </w:rPr>
              <w:t xml:space="preserve"> </w:t>
            </w:r>
          </w:p>
        </w:tc>
        <w:tc>
          <w:tcPr>
            <w:tcW w:w="1898" w:type="dxa"/>
            <w:tcBorders>
              <w:top w:val="single" w:sz="4" w:space="0" w:color="auto"/>
              <w:left w:val="single" w:sz="4" w:space="0" w:color="auto"/>
              <w:bottom w:val="single" w:sz="4" w:space="0" w:color="auto"/>
              <w:right w:val="single" w:sz="4" w:space="0" w:color="auto"/>
            </w:tcBorders>
            <w:vAlign w:val="center"/>
            <w:hideMark/>
          </w:tcPr>
          <w:p w14:paraId="2D2D5BE7" w14:textId="77777777" w:rsidR="00E72C7B" w:rsidRPr="009C5807" w:rsidRDefault="00E72C7B" w:rsidP="00357256">
            <w:pPr>
              <w:pStyle w:val="TAC"/>
              <w:rPr>
                <w:lang w:eastAsia="zh-CN"/>
              </w:rPr>
            </w:pPr>
            <w:r w:rsidRPr="009C5807">
              <w:rPr>
                <w:rFonts w:hint="eastAsia"/>
                <w:lang w:eastAsia="zh-CN"/>
              </w:rPr>
              <w:t>0.25</w:t>
            </w:r>
          </w:p>
        </w:tc>
        <w:tc>
          <w:tcPr>
            <w:tcW w:w="1984" w:type="dxa"/>
            <w:tcBorders>
              <w:top w:val="single" w:sz="4" w:space="0" w:color="auto"/>
              <w:left w:val="single" w:sz="4" w:space="0" w:color="auto"/>
              <w:bottom w:val="single" w:sz="4" w:space="0" w:color="auto"/>
              <w:right w:val="single" w:sz="4" w:space="0" w:color="auto"/>
            </w:tcBorders>
            <w:hideMark/>
          </w:tcPr>
          <w:p w14:paraId="402B6B2F" w14:textId="77777777" w:rsidR="00E72C7B" w:rsidRPr="009C5807" w:rsidRDefault="00E72C7B" w:rsidP="00357256">
            <w:pPr>
              <w:pStyle w:val="TAC"/>
              <w:rPr>
                <w:rFonts w:cs="Arial"/>
                <w:szCs w:val="18"/>
              </w:rPr>
            </w:pPr>
            <w:r w:rsidRPr="009C5807">
              <w:rPr>
                <w:rFonts w:cs="Arial"/>
                <w:szCs w:val="18"/>
              </w:rPr>
              <w:t>5</w:t>
            </w:r>
          </w:p>
        </w:tc>
        <w:tc>
          <w:tcPr>
            <w:tcW w:w="1843" w:type="dxa"/>
            <w:tcBorders>
              <w:top w:val="single" w:sz="4" w:space="0" w:color="auto"/>
              <w:left w:val="single" w:sz="4" w:space="0" w:color="auto"/>
              <w:bottom w:val="single" w:sz="4" w:space="0" w:color="auto"/>
              <w:right w:val="single" w:sz="4" w:space="0" w:color="auto"/>
            </w:tcBorders>
          </w:tcPr>
          <w:p w14:paraId="5CBBC1BD" w14:textId="77777777" w:rsidR="00E72C7B" w:rsidRPr="009C5807" w:rsidRDefault="00E72C7B" w:rsidP="00357256">
            <w:pPr>
              <w:pStyle w:val="TAC"/>
              <w:rPr>
                <w:rFonts w:cs="Arial"/>
                <w:szCs w:val="18"/>
              </w:rPr>
            </w:pPr>
            <w:r w:rsidRPr="009C5807">
              <w:rPr>
                <w:rFonts w:cs="Arial"/>
                <w:szCs w:val="18"/>
              </w:rPr>
              <w:t>5</w:t>
            </w:r>
          </w:p>
        </w:tc>
      </w:tr>
      <w:tr w:rsidR="00E72C7B" w:rsidRPr="009C5807" w14:paraId="188F859F" w14:textId="77777777" w:rsidTr="00566CF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48122C6" w14:textId="77777777" w:rsidR="00E72C7B" w:rsidRPr="009C5807" w:rsidRDefault="00E72C7B" w:rsidP="00357256">
            <w:pPr>
              <w:pStyle w:val="TAC"/>
              <w:rPr>
                <w:lang w:eastAsia="zh-CN"/>
              </w:rPr>
            </w:pPr>
            <w:r w:rsidRPr="009C5807">
              <w:rPr>
                <w:rFonts w:hint="eastAsia"/>
                <w:lang w:eastAsia="zh-CN"/>
              </w:rPr>
              <w:t>3</w:t>
            </w:r>
          </w:p>
        </w:tc>
        <w:tc>
          <w:tcPr>
            <w:tcW w:w="1898" w:type="dxa"/>
            <w:tcBorders>
              <w:top w:val="single" w:sz="4" w:space="0" w:color="auto"/>
              <w:left w:val="single" w:sz="4" w:space="0" w:color="auto"/>
              <w:bottom w:val="single" w:sz="4" w:space="0" w:color="auto"/>
              <w:right w:val="single" w:sz="4" w:space="0" w:color="auto"/>
            </w:tcBorders>
            <w:vAlign w:val="center"/>
            <w:hideMark/>
          </w:tcPr>
          <w:p w14:paraId="691FC94A" w14:textId="77777777" w:rsidR="00E72C7B" w:rsidRPr="009C5807" w:rsidRDefault="00E72C7B" w:rsidP="00357256">
            <w:pPr>
              <w:pStyle w:val="TAC"/>
              <w:rPr>
                <w:lang w:eastAsia="zh-CN"/>
              </w:rPr>
            </w:pPr>
            <w:r w:rsidRPr="009C5807">
              <w:rPr>
                <w:rFonts w:hint="eastAsia"/>
                <w:lang w:eastAsia="zh-CN"/>
              </w:rPr>
              <w:t>0.125</w:t>
            </w:r>
          </w:p>
        </w:tc>
        <w:tc>
          <w:tcPr>
            <w:tcW w:w="1984" w:type="dxa"/>
            <w:tcBorders>
              <w:top w:val="single" w:sz="4" w:space="0" w:color="auto"/>
              <w:left w:val="single" w:sz="4" w:space="0" w:color="auto"/>
              <w:bottom w:val="single" w:sz="4" w:space="0" w:color="auto"/>
              <w:right w:val="single" w:sz="4" w:space="0" w:color="auto"/>
            </w:tcBorders>
            <w:hideMark/>
          </w:tcPr>
          <w:p w14:paraId="037A010A" w14:textId="77777777" w:rsidR="00E72C7B" w:rsidRPr="009C5807" w:rsidRDefault="00E72C7B" w:rsidP="00357256">
            <w:pPr>
              <w:pStyle w:val="TAC"/>
              <w:rPr>
                <w:rFonts w:cs="Arial"/>
                <w:szCs w:val="18"/>
              </w:rPr>
            </w:pPr>
            <w:r w:rsidRPr="009C5807">
              <w:rPr>
                <w:rFonts w:cs="Arial"/>
                <w:szCs w:val="18"/>
              </w:rPr>
              <w:t>9</w:t>
            </w:r>
          </w:p>
        </w:tc>
        <w:tc>
          <w:tcPr>
            <w:tcW w:w="1843" w:type="dxa"/>
            <w:tcBorders>
              <w:top w:val="single" w:sz="4" w:space="0" w:color="auto"/>
              <w:left w:val="single" w:sz="4" w:space="0" w:color="auto"/>
              <w:bottom w:val="single" w:sz="4" w:space="0" w:color="auto"/>
              <w:right w:val="single" w:sz="4" w:space="0" w:color="auto"/>
            </w:tcBorders>
          </w:tcPr>
          <w:p w14:paraId="7A869859" w14:textId="77777777" w:rsidR="00E72C7B" w:rsidRPr="009C5807" w:rsidRDefault="00E72C7B" w:rsidP="00357256">
            <w:pPr>
              <w:pStyle w:val="TAC"/>
              <w:rPr>
                <w:rFonts w:cs="Arial"/>
                <w:szCs w:val="18"/>
              </w:rPr>
            </w:pPr>
            <w:r w:rsidRPr="009C5807">
              <w:rPr>
                <w:rFonts w:cs="Arial"/>
                <w:szCs w:val="18"/>
              </w:rPr>
              <w:t>9</w:t>
            </w:r>
          </w:p>
        </w:tc>
      </w:tr>
      <w:bookmarkEnd w:id="99"/>
    </w:tbl>
    <w:p w14:paraId="5BF4FCDC" w14:textId="60957A62" w:rsidR="00D2705D" w:rsidRPr="009C5807" w:rsidRDefault="00D2705D" w:rsidP="00D2705D"/>
    <w:p w14:paraId="63D329B1" w14:textId="77777777" w:rsidR="00D2705D" w:rsidRPr="009C5807" w:rsidRDefault="00D2705D" w:rsidP="00D2705D">
      <w:pPr>
        <w:pStyle w:val="Heading3"/>
        <w:rPr>
          <w:lang w:val="en-US" w:eastAsia="ko-KR"/>
        </w:rPr>
      </w:pPr>
      <w:r w:rsidRPr="009C5807">
        <w:rPr>
          <w:lang w:val="en-US" w:eastAsia="ko-KR"/>
        </w:rPr>
        <w:t>6.1.4</w:t>
      </w:r>
      <w:r w:rsidRPr="009C5807">
        <w:rPr>
          <w:lang w:val="en-US" w:eastAsia="ko-KR"/>
        </w:rPr>
        <w:tab/>
        <w:t>NR Conditional Handover</w:t>
      </w:r>
    </w:p>
    <w:p w14:paraId="36F34E6F" w14:textId="77777777" w:rsidR="00D2705D" w:rsidRPr="009C5807" w:rsidRDefault="00D2705D" w:rsidP="00D2705D">
      <w:pPr>
        <w:pStyle w:val="Heading4"/>
        <w:rPr>
          <w:lang w:val="en-US" w:eastAsia="zh-CN"/>
        </w:rPr>
      </w:pPr>
      <w:r w:rsidRPr="009C5807">
        <w:rPr>
          <w:lang w:val="en-US" w:eastAsia="zh-CN"/>
        </w:rPr>
        <w:t>6.1.4.1</w:t>
      </w:r>
      <w:r w:rsidRPr="009C5807">
        <w:rPr>
          <w:lang w:val="en-US" w:eastAsia="zh-CN"/>
        </w:rPr>
        <w:tab/>
        <w:t>Introduction</w:t>
      </w:r>
    </w:p>
    <w:p w14:paraId="2F14B7B7" w14:textId="77777777" w:rsidR="00D2705D" w:rsidRPr="009C5807" w:rsidRDefault="00D2705D" w:rsidP="00D2705D">
      <w:pPr>
        <w:rPr>
          <w:lang w:val="en-US" w:eastAsia="zh-CN"/>
        </w:rPr>
      </w:pPr>
      <w:r w:rsidRPr="009C5807">
        <w:t>The requirements in this clause are applicable to conditional handover to change the NR PCell to another NR cell.</w:t>
      </w:r>
    </w:p>
    <w:p w14:paraId="48D8B495" w14:textId="77777777" w:rsidR="00D2705D" w:rsidRPr="009C5807" w:rsidRDefault="00D2705D" w:rsidP="00D2705D">
      <w:pPr>
        <w:pStyle w:val="Heading4"/>
        <w:rPr>
          <w:lang w:val="en-US" w:eastAsia="zh-CN"/>
        </w:rPr>
      </w:pPr>
      <w:r w:rsidRPr="009C5807">
        <w:rPr>
          <w:lang w:val="en-US" w:eastAsia="zh-CN"/>
        </w:rPr>
        <w:t>6.1.4.2</w:t>
      </w:r>
      <w:r w:rsidRPr="009C5807">
        <w:rPr>
          <w:lang w:val="en-US" w:eastAsia="zh-CN"/>
        </w:rPr>
        <w:tab/>
        <w:t>NR FR1 – NR FR1 conditional handover</w:t>
      </w:r>
    </w:p>
    <w:p w14:paraId="3C948E72" w14:textId="77777777" w:rsidR="00D2705D" w:rsidRPr="009C5807" w:rsidRDefault="00D2705D" w:rsidP="00D2705D">
      <w:r w:rsidRPr="009C5807">
        <w:t>The requirements in this clause are applicable to both intra-frequency and inter-frequency conditional handover from NR FR1 cell to NR FR1 cell.</w:t>
      </w:r>
    </w:p>
    <w:p w14:paraId="2A298ED8" w14:textId="77777777" w:rsidR="00D2705D" w:rsidRPr="009C5807" w:rsidRDefault="00D2705D" w:rsidP="00D2705D">
      <w:pPr>
        <w:keepNext/>
        <w:keepLines/>
        <w:spacing w:before="120"/>
        <w:ind w:left="1701" w:hanging="1701"/>
        <w:outlineLvl w:val="4"/>
        <w:rPr>
          <w:rFonts w:ascii="Arial" w:hAnsi="Arial"/>
          <w:sz w:val="22"/>
        </w:rPr>
      </w:pPr>
      <w:r w:rsidRPr="009C5807">
        <w:rPr>
          <w:rFonts w:ascii="Arial" w:hAnsi="Arial"/>
          <w:sz w:val="22"/>
        </w:rPr>
        <w:t>6.1.4.2.1</w:t>
      </w:r>
      <w:r w:rsidRPr="009C5807">
        <w:rPr>
          <w:rFonts w:ascii="Arial" w:hAnsi="Arial"/>
          <w:sz w:val="22"/>
        </w:rPr>
        <w:tab/>
        <w:t>Handover delay</w:t>
      </w:r>
    </w:p>
    <w:p w14:paraId="1759CFBC" w14:textId="77777777" w:rsidR="00D2705D" w:rsidRPr="009C5807" w:rsidRDefault="00D2705D" w:rsidP="00D2705D">
      <w:pPr>
        <w:rPr>
          <w:rFonts w:cs="v4.2.0"/>
        </w:rPr>
      </w:pPr>
      <w:r w:rsidRPr="009C5807">
        <w:rPr>
          <w:rFonts w:cs="v4.2.0"/>
        </w:rPr>
        <w:t xml:space="preserve">Procedure delays for all procedures that can command a conditional handover are specified in </w:t>
      </w:r>
      <w:r w:rsidRPr="009C5807">
        <w:t>TS 38.331 [2]</w:t>
      </w:r>
      <w:r w:rsidRPr="009C5807">
        <w:rPr>
          <w:rFonts w:cs="v4.2.0"/>
        </w:rPr>
        <w:t>.</w:t>
      </w:r>
    </w:p>
    <w:p w14:paraId="6B831BE9" w14:textId="75ED50D3" w:rsidR="00D2705D" w:rsidRPr="009C5807" w:rsidRDefault="006D1B1B" w:rsidP="00D2705D">
      <w:pPr>
        <w:rPr>
          <w:rFonts w:cs="v4.2.0"/>
        </w:rPr>
      </w:pPr>
      <w:r w:rsidRPr="009C5807">
        <w:rPr>
          <w:rFonts w:cs="v4.2.0"/>
        </w:rPr>
        <w:t xml:space="preserve">When the UE receives a RRC message implying conditional handover the UE shall be ready to </w:t>
      </w:r>
      <w:r w:rsidRPr="009C5807">
        <w:rPr>
          <w:rFonts w:cs="v4.2.0"/>
          <w:snapToGrid w:val="0"/>
        </w:rPr>
        <w:t>start the transmission of the new uplink PRACH channel</w:t>
      </w:r>
      <w:r w:rsidRPr="009C5807">
        <w:rPr>
          <w:rFonts w:cs="v4.2.0"/>
        </w:rPr>
        <w:t xml:space="preserve"> within </w:t>
      </w:r>
      <w:r w:rsidRPr="000362D7">
        <w:rPr>
          <w:rFonts w:cs="v4.2.0"/>
        </w:rPr>
        <w:t>D</w:t>
      </w:r>
      <w:r w:rsidRPr="000362D7">
        <w:rPr>
          <w:rFonts w:cs="v4.2.0"/>
          <w:vertAlign w:val="subscript"/>
        </w:rPr>
        <w:t>CHO</w:t>
      </w:r>
      <w:r w:rsidRPr="009C5807">
        <w:rPr>
          <w:rFonts w:cs="v4.2.0"/>
        </w:rPr>
        <w:t xml:space="preserve"> seconds from the end of the last TTI containing the RRC command.</w:t>
      </w:r>
    </w:p>
    <w:p w14:paraId="1FD2B7D3" w14:textId="41706B6A" w:rsidR="00D2705D" w:rsidRPr="009C5807" w:rsidRDefault="00D2705D" w:rsidP="00D2705D">
      <w:pPr>
        <w:pStyle w:val="EQ"/>
        <w:rPr>
          <w:lang w:val="en-US" w:eastAsia="zh-CN"/>
        </w:rPr>
      </w:pPr>
      <w:r w:rsidRPr="009C5807">
        <w:rPr>
          <w:lang w:val="en-US" w:eastAsia="zh-CN"/>
        </w:rPr>
        <w:tab/>
        <w:t>D</w:t>
      </w:r>
      <w:r w:rsidRPr="009C5807">
        <w:rPr>
          <w:vertAlign w:val="subscript"/>
          <w:lang w:val="en-US" w:eastAsia="zh-CN"/>
        </w:rPr>
        <w:t>CHO</w:t>
      </w:r>
      <w:r w:rsidRPr="009C5807">
        <w:rPr>
          <w:lang w:val="en-US" w:eastAsia="zh-CN"/>
        </w:rPr>
        <w:t xml:space="preserve"> = T</w:t>
      </w:r>
      <w:r w:rsidRPr="009C5807">
        <w:rPr>
          <w:vertAlign w:val="subscript"/>
          <w:lang w:val="en-US" w:eastAsia="zh-CN"/>
        </w:rPr>
        <w:t>RRC</w:t>
      </w:r>
      <w:r w:rsidRPr="009C5807">
        <w:rPr>
          <w:lang w:val="en-US" w:eastAsia="zh-CN"/>
        </w:rPr>
        <w:t xml:space="preserve"> + </w:t>
      </w:r>
      <w:r w:rsidRPr="009C5807">
        <w:rPr>
          <w:iCs/>
        </w:rPr>
        <w:t>T</w:t>
      </w:r>
      <w:r w:rsidRPr="009C5807">
        <w:rPr>
          <w:iCs/>
          <w:vertAlign w:val="subscript"/>
        </w:rPr>
        <w:t>Event_DU</w:t>
      </w:r>
      <w:r w:rsidRPr="009C5807">
        <w:rPr>
          <w:iCs/>
        </w:rPr>
        <w:t xml:space="preserve"> + </w:t>
      </w:r>
      <w:r w:rsidRPr="009C5807">
        <w:rPr>
          <w:lang w:val="en-US" w:eastAsia="zh-CN"/>
        </w:rPr>
        <w:t>T</w:t>
      </w:r>
      <w:r w:rsidRPr="009C5807">
        <w:rPr>
          <w:vertAlign w:val="subscript"/>
          <w:lang w:val="en-US" w:eastAsia="zh-CN"/>
        </w:rPr>
        <w:t>measure</w:t>
      </w:r>
      <w:r w:rsidRPr="009C5807">
        <w:rPr>
          <w:lang w:val="en-US" w:eastAsia="zh-CN"/>
        </w:rPr>
        <w:t xml:space="preserve"> + </w:t>
      </w:r>
      <w:r w:rsidRPr="009C5807">
        <w:rPr>
          <w:lang w:eastAsia="zh-CN"/>
        </w:rPr>
        <w:t>T</w:t>
      </w:r>
      <w:r w:rsidRPr="009C5807">
        <w:rPr>
          <w:vertAlign w:val="subscript"/>
          <w:lang w:eastAsia="zh-CN"/>
        </w:rPr>
        <w:t>interrupt</w:t>
      </w:r>
      <w:r w:rsidRPr="009C5807">
        <w:rPr>
          <w:lang w:eastAsia="zh-CN"/>
        </w:rPr>
        <w:t xml:space="preserve"> </w:t>
      </w:r>
      <w:r w:rsidRPr="009C5807">
        <w:rPr>
          <w:lang w:val="en-US" w:eastAsia="zh-CN"/>
        </w:rPr>
        <w:t xml:space="preserve">+ </w:t>
      </w:r>
      <w:r w:rsidRPr="009C5807">
        <w:t>T</w:t>
      </w:r>
      <w:r w:rsidRPr="009C5807">
        <w:rPr>
          <w:vertAlign w:val="subscript"/>
        </w:rPr>
        <w:t>CHO_execution</w:t>
      </w:r>
    </w:p>
    <w:p w14:paraId="71E2EEFE" w14:textId="77777777" w:rsidR="00D2705D" w:rsidRPr="009C5807" w:rsidRDefault="00D2705D" w:rsidP="00D2705D">
      <w:pPr>
        <w:rPr>
          <w:rFonts w:cs="v4.2.0"/>
        </w:rPr>
      </w:pPr>
      <w:r w:rsidRPr="009C5807">
        <w:rPr>
          <w:rFonts w:cs="v4.2.0"/>
        </w:rPr>
        <w:t>Where:</w:t>
      </w:r>
    </w:p>
    <w:p w14:paraId="29F78235" w14:textId="3F9516DF" w:rsidR="00D2705D" w:rsidRPr="009C5807" w:rsidRDefault="00357256" w:rsidP="00D2705D">
      <w:pPr>
        <w:pStyle w:val="B10"/>
      </w:pPr>
      <w:r w:rsidRPr="009C5807">
        <w:rPr>
          <w:bCs/>
          <w:lang w:val="en-US" w:eastAsia="zh-CN"/>
        </w:rPr>
        <w:tab/>
      </w:r>
      <w:r w:rsidR="00D2705D" w:rsidRPr="009C5807">
        <w:rPr>
          <w:bCs/>
          <w:lang w:val="en-US" w:eastAsia="zh-CN"/>
        </w:rPr>
        <w:t>T</w:t>
      </w:r>
      <w:r w:rsidR="00D2705D" w:rsidRPr="009C5807">
        <w:rPr>
          <w:bCs/>
          <w:vertAlign w:val="subscript"/>
          <w:lang w:val="en-US" w:eastAsia="zh-CN"/>
        </w:rPr>
        <w:t>RRC</w:t>
      </w:r>
      <w:r w:rsidR="00D2705D" w:rsidRPr="009C5807" w:rsidDel="002D2E06">
        <w:t xml:space="preserve"> </w:t>
      </w:r>
      <w:r w:rsidR="00D2705D" w:rsidRPr="009C5807">
        <w:t xml:space="preserve">is the RRC procedure delay defined in clause </w:t>
      </w:r>
      <w:r w:rsidR="00D2705D" w:rsidRPr="009C5807">
        <w:rPr>
          <w:lang w:eastAsia="zh-CN"/>
        </w:rPr>
        <w:t>12</w:t>
      </w:r>
      <w:r w:rsidR="00D2705D" w:rsidRPr="009C5807">
        <w:t xml:space="preserve"> in TS 38.331 [2].</w:t>
      </w:r>
    </w:p>
    <w:p w14:paraId="174AEF84" w14:textId="725A5D9E" w:rsidR="00D2705D" w:rsidRPr="009C5807" w:rsidRDefault="00357256" w:rsidP="00D2705D">
      <w:pPr>
        <w:pStyle w:val="B10"/>
        <w:rPr>
          <w:lang w:val="en-US"/>
        </w:rPr>
      </w:pPr>
      <w:r w:rsidRPr="009C5807">
        <w:rPr>
          <w:iCs/>
        </w:rPr>
        <w:tab/>
      </w:r>
      <w:r w:rsidR="00D2705D" w:rsidRPr="009C5807">
        <w:rPr>
          <w:iCs/>
        </w:rPr>
        <w:t>T</w:t>
      </w:r>
      <w:r w:rsidR="00D2705D" w:rsidRPr="009C5807">
        <w:rPr>
          <w:iCs/>
          <w:vertAlign w:val="subscript"/>
        </w:rPr>
        <w:t>Event_DU</w:t>
      </w:r>
      <w:r w:rsidR="00D2705D" w:rsidRPr="009C5807">
        <w:t xml:space="preserve"> is the delay uncertainty which is the time from when the UE successfully decodes a conditional handover command until a condition exists at the measurement reference point which will trigger the conditional handover. </w:t>
      </w:r>
    </w:p>
    <w:p w14:paraId="30D360A3" w14:textId="0FC67422" w:rsidR="00D2705D" w:rsidRPr="009C5807" w:rsidRDefault="00357256" w:rsidP="00D2705D">
      <w:pPr>
        <w:pStyle w:val="B10"/>
      </w:pPr>
      <w:r w:rsidRPr="009C5807">
        <w:rPr>
          <w:bCs/>
          <w:lang w:val="en-US" w:eastAsia="zh-CN"/>
        </w:rPr>
        <w:tab/>
      </w:r>
      <w:r w:rsidR="00D2705D" w:rsidRPr="009C5807">
        <w:rPr>
          <w:bCs/>
          <w:lang w:val="en-US" w:eastAsia="zh-CN"/>
        </w:rPr>
        <w:t>T</w:t>
      </w:r>
      <w:r w:rsidR="00D2705D" w:rsidRPr="009C5807">
        <w:rPr>
          <w:bCs/>
          <w:vertAlign w:val="subscript"/>
          <w:lang w:val="en-US" w:eastAsia="zh-CN"/>
        </w:rPr>
        <w:t>measure</w:t>
      </w:r>
      <w:r w:rsidR="00D2705D" w:rsidRPr="009C5807">
        <w:t xml:space="preserve"> is the measurements time stated in clause 6.1.4.2.2.</w:t>
      </w:r>
    </w:p>
    <w:p w14:paraId="382F2435" w14:textId="4B61E809" w:rsidR="00D2705D" w:rsidRPr="009C5807" w:rsidRDefault="00357256" w:rsidP="00D2705D">
      <w:pPr>
        <w:pStyle w:val="B10"/>
      </w:pPr>
      <w:r w:rsidRPr="009C5807">
        <w:tab/>
      </w:r>
      <w:r w:rsidR="00D2705D" w:rsidRPr="009C5807">
        <w:t>T</w:t>
      </w:r>
      <w:r w:rsidR="00D2705D" w:rsidRPr="009C5807">
        <w:rPr>
          <w:vertAlign w:val="subscript"/>
        </w:rPr>
        <w:t>CHO_execution</w:t>
      </w:r>
      <w:r w:rsidR="00D2705D" w:rsidRPr="009C5807">
        <w:t xml:space="preserve"> is the conditional execution preparation time in clause 6.1.4.2.3. </w:t>
      </w:r>
    </w:p>
    <w:p w14:paraId="038CDAAD" w14:textId="060F7724" w:rsidR="00D2705D" w:rsidRPr="009C5807" w:rsidRDefault="00357256" w:rsidP="00D2705D">
      <w:pPr>
        <w:pStyle w:val="B10"/>
      </w:pPr>
      <w:r w:rsidRPr="009C5807">
        <w:rPr>
          <w:bCs/>
          <w:lang w:eastAsia="zh-CN"/>
        </w:rPr>
        <w:tab/>
      </w:r>
      <w:r w:rsidR="00D2705D" w:rsidRPr="009C5807">
        <w:rPr>
          <w:bCs/>
          <w:lang w:eastAsia="zh-CN"/>
        </w:rPr>
        <w:t>T</w:t>
      </w:r>
      <w:r w:rsidR="00D2705D" w:rsidRPr="009C5807">
        <w:rPr>
          <w:bCs/>
          <w:vertAlign w:val="subscript"/>
          <w:lang w:eastAsia="zh-CN"/>
        </w:rPr>
        <w:t>interrupt</w:t>
      </w:r>
      <w:r w:rsidR="00D2705D" w:rsidRPr="009C5807">
        <w:t xml:space="preserve"> is the interruption time stated in clause 6.1.4.2.4.</w:t>
      </w:r>
    </w:p>
    <w:p w14:paraId="4DADD505" w14:textId="77777777" w:rsidR="00D2705D" w:rsidRPr="009C5807" w:rsidRDefault="00D2705D" w:rsidP="00D2705D">
      <w:pPr>
        <w:keepNext/>
        <w:keepLines/>
        <w:spacing w:before="120"/>
        <w:ind w:left="1701" w:hanging="1701"/>
        <w:outlineLvl w:val="4"/>
        <w:rPr>
          <w:rFonts w:ascii="Arial" w:hAnsi="Arial"/>
          <w:sz w:val="22"/>
        </w:rPr>
      </w:pPr>
      <w:r w:rsidRPr="009C5807">
        <w:rPr>
          <w:rFonts w:ascii="Arial" w:hAnsi="Arial"/>
          <w:sz w:val="22"/>
        </w:rPr>
        <w:t>6.1.4.2.2</w:t>
      </w:r>
      <w:r w:rsidRPr="009C5807">
        <w:rPr>
          <w:rFonts w:ascii="Arial" w:hAnsi="Arial"/>
          <w:sz w:val="22"/>
        </w:rPr>
        <w:tab/>
        <w:t>Measurement time</w:t>
      </w:r>
    </w:p>
    <w:p w14:paraId="20D2072C" w14:textId="77777777" w:rsidR="00D2705D" w:rsidRPr="009C5807" w:rsidRDefault="00D2705D" w:rsidP="00D2705D">
      <w:r w:rsidRPr="009C5807">
        <w:rPr>
          <w:rFonts w:cs="v4.2.0"/>
        </w:rPr>
        <w:t xml:space="preserve">The measurement time </w:t>
      </w:r>
      <w:r w:rsidRPr="009C5807">
        <w:t xml:space="preserve">delay is defined from the end of </w:t>
      </w:r>
      <w:r w:rsidRPr="009C5807">
        <w:rPr>
          <w:iCs/>
        </w:rPr>
        <w:t>T</w:t>
      </w:r>
      <w:r w:rsidRPr="009C5807">
        <w:rPr>
          <w:iCs/>
          <w:vertAlign w:val="subscript"/>
        </w:rPr>
        <w:t>Event_DU</w:t>
      </w:r>
      <w:r w:rsidRPr="009C5807">
        <w:t xml:space="preserve"> until UE executes a handover to a target cell and interruption time starts.</w:t>
      </w:r>
    </w:p>
    <w:p w14:paraId="3469DB1B" w14:textId="77777777" w:rsidR="00D2705D" w:rsidRPr="009C5807" w:rsidRDefault="00D2705D" w:rsidP="00D2705D">
      <w:r w:rsidRPr="009C5807">
        <w:t>For intra-frequency handover, the measurement time delay measured without Time To Trigger (TTT) and L3 filtering shall be less than T</w:t>
      </w:r>
      <w:r w:rsidRPr="009C5807">
        <w:rPr>
          <w:sz w:val="13"/>
          <w:szCs w:val="13"/>
        </w:rPr>
        <w:t>identify intra with index</w:t>
      </w:r>
      <w:r w:rsidRPr="009C5807">
        <w:rPr>
          <w:szCs w:val="13"/>
        </w:rPr>
        <w:t xml:space="preserve"> </w:t>
      </w:r>
      <w:r w:rsidRPr="009C5807">
        <w:t>or T</w:t>
      </w:r>
      <w:r w:rsidRPr="009C5807">
        <w:rPr>
          <w:sz w:val="13"/>
          <w:szCs w:val="13"/>
        </w:rPr>
        <w:t xml:space="preserve">identify_intra_without_index </w:t>
      </w:r>
      <w:r w:rsidRPr="009C5807">
        <w:t xml:space="preserve">defined in clause 9.2.5.1 or clause 9.2.6.2. </w:t>
      </w:r>
    </w:p>
    <w:p w14:paraId="5C077685" w14:textId="77777777" w:rsidR="00D2705D" w:rsidRPr="009C5807" w:rsidRDefault="00D2705D" w:rsidP="00D2705D">
      <w:r w:rsidRPr="009C5807">
        <w:t>For inter-frequency handover, the measurement time delay measured without Time To Trigger (TTT) and L3 filtering shall be less than T</w:t>
      </w:r>
      <w:r w:rsidRPr="009C5807">
        <w:rPr>
          <w:sz w:val="13"/>
          <w:szCs w:val="13"/>
        </w:rPr>
        <w:t xml:space="preserve">identify_inter_with_index </w:t>
      </w:r>
      <w:r w:rsidRPr="009C5807">
        <w:t>or T</w:t>
      </w:r>
      <w:r w:rsidRPr="009C5807">
        <w:rPr>
          <w:sz w:val="13"/>
          <w:szCs w:val="13"/>
        </w:rPr>
        <w:t xml:space="preserve">identify_inter_without_index </w:t>
      </w:r>
      <w:r w:rsidRPr="009C5807">
        <w:t>defined in clause 9.3.4.</w:t>
      </w:r>
    </w:p>
    <w:p w14:paraId="255AB2BF" w14:textId="77777777" w:rsidR="00D2705D" w:rsidRPr="009C5807" w:rsidRDefault="00D2705D" w:rsidP="00D2705D">
      <w:pPr>
        <w:rPr>
          <w:rFonts w:cs="v4.2.0"/>
        </w:rPr>
      </w:pPr>
      <w:r w:rsidRPr="009C5807">
        <w:t>When TTT or L3 filtering is used an additional delay can be expected.</w:t>
      </w:r>
    </w:p>
    <w:p w14:paraId="581F6578" w14:textId="77777777" w:rsidR="006971F0" w:rsidRDefault="006971F0" w:rsidP="006971F0">
      <w:r w:rsidRPr="009C5807">
        <w:t>A cell is detectable only if at least one SSB measured from the cell being configured remains detectable during the time period T</w:t>
      </w:r>
      <w:r w:rsidRPr="009C5807">
        <w:rPr>
          <w:sz w:val="13"/>
          <w:szCs w:val="13"/>
        </w:rPr>
        <w:t xml:space="preserve">identify_intra_without_index </w:t>
      </w:r>
      <w:r w:rsidRPr="009C5807">
        <w:t>or T</w:t>
      </w:r>
      <w:r w:rsidRPr="009C5807">
        <w:rPr>
          <w:sz w:val="13"/>
          <w:szCs w:val="13"/>
        </w:rPr>
        <w:t xml:space="preserve">identify_intra_with_index </w:t>
      </w:r>
      <w:r w:rsidRPr="009C5807">
        <w:t>for intra-frequency handover or T</w:t>
      </w:r>
      <w:r w:rsidRPr="009C5807">
        <w:rPr>
          <w:sz w:val="13"/>
          <w:szCs w:val="13"/>
        </w:rPr>
        <w:t>identify_inter_without_index</w:t>
      </w:r>
      <w:r w:rsidRPr="009C5807">
        <w:t xml:space="preserve"> for inter-frequency handover. If a cell which has been detectable at least for the time period T</w:t>
      </w:r>
      <w:r w:rsidRPr="009C5807">
        <w:rPr>
          <w:sz w:val="13"/>
          <w:szCs w:val="13"/>
        </w:rPr>
        <w:t xml:space="preserve">identify_intra_without_index </w:t>
      </w:r>
      <w:r w:rsidRPr="009C5807">
        <w:t>or T</w:t>
      </w:r>
      <w:r w:rsidRPr="009C5807">
        <w:rPr>
          <w:sz w:val="13"/>
          <w:szCs w:val="13"/>
        </w:rPr>
        <w:t xml:space="preserve">identify_intra_with_index </w:t>
      </w:r>
      <w:r w:rsidRPr="009C5807">
        <w:t>for intra-frequency handover or T</w:t>
      </w:r>
      <w:r w:rsidRPr="009C5807">
        <w:rPr>
          <w:sz w:val="13"/>
          <w:szCs w:val="13"/>
        </w:rPr>
        <w:t>identify_inter_without_index</w:t>
      </w:r>
      <w:r w:rsidRPr="009C5807">
        <w:t xml:space="preserve"> for inter-frequency handover becomes undetectable for a period and then the cell becomes detectable again and triggers a handover, the measurement time delay shall be less than T</w:t>
      </w:r>
      <w:r w:rsidRPr="009C5807">
        <w:rPr>
          <w:sz w:val="13"/>
          <w:szCs w:val="13"/>
        </w:rPr>
        <w:t xml:space="preserve">SSB_measurement_period_intra </w:t>
      </w:r>
      <w:r w:rsidRPr="009C5807">
        <w:t>or T</w:t>
      </w:r>
      <w:r w:rsidRPr="009C5807">
        <w:rPr>
          <w:sz w:val="13"/>
          <w:szCs w:val="13"/>
        </w:rPr>
        <w:t xml:space="preserve">SSB_measurement_period_inter </w:t>
      </w:r>
      <w:r w:rsidRPr="009C5807">
        <w:t>provided the timing to that cell has not changed more than ± 3200</w:t>
      </w:r>
      <w:r>
        <w:t>/</w:t>
      </w:r>
      <m:oMath>
        <m:sSup>
          <m:sSupPr>
            <m:ctrlPr>
              <w:rPr>
                <w:rFonts w:ascii="Cambria Math" w:hAnsi="Cambria Math" w:cs="Calibri Light"/>
                <w:color w:val="000000"/>
                <w:lang w:val=""/>
              </w:rPr>
            </m:ctrlPr>
          </m:sSupPr>
          <m:e>
            <m:r>
              <m:rPr>
                <m:sty m:val="p"/>
              </m:rPr>
              <w:rPr>
                <w:rFonts w:ascii="Cambria Math" w:hAnsi="Cambria Math" w:cs="Calibri Light"/>
                <w:color w:val="000000"/>
                <w:lang w:val=""/>
              </w:rPr>
              <m:t>2</m:t>
            </m:r>
          </m:e>
          <m:sup>
            <m:r>
              <w:rPr>
                <w:rFonts w:ascii="Cambria Math" w:hAnsi="Cambria Math" w:cs="Calibri Light"/>
                <w:color w:val="000000"/>
                <w:lang w:val=""/>
              </w:rPr>
              <m:t>µ</m:t>
            </m:r>
          </m:sup>
        </m:sSup>
      </m:oMath>
      <w:r w:rsidRPr="009C5807">
        <w:t xml:space="preserve"> Tc while the measurement gap has not been available and the L3 filter has not been used</w:t>
      </w:r>
      <w:r w:rsidRPr="00505EC3">
        <w:t xml:space="preserve">, where </w:t>
      </w:r>
      <w:r w:rsidRPr="0087457A">
        <w:rPr>
          <w:i/>
        </w:rPr>
        <w:t>µ</w:t>
      </w:r>
      <w:r w:rsidRPr="00505EC3">
        <w:t xml:space="preserve"> is the SCS configuration as defined in clause 4</w:t>
      </w:r>
      <w:r>
        <w:t>.2</w:t>
      </w:r>
      <w:r>
        <w:rPr>
          <w:rFonts w:hint="eastAsia"/>
          <w:lang w:eastAsia="zh-TW"/>
        </w:rPr>
        <w:t xml:space="preserve"> </w:t>
      </w:r>
      <w:r>
        <w:t>of</w:t>
      </w:r>
      <w:r w:rsidRPr="00505EC3">
        <w:t xml:space="preserve"> TS 38.211 [3]</w:t>
      </w:r>
      <w:r w:rsidRPr="009C5807">
        <w:t>. When L3 filtering is used, an additional delay can be expected.</w:t>
      </w:r>
    </w:p>
    <w:p w14:paraId="34BA07EA" w14:textId="77777777" w:rsidR="00D2705D" w:rsidRPr="009C5807" w:rsidRDefault="00D2705D" w:rsidP="00D2705D">
      <w:pPr>
        <w:keepNext/>
        <w:keepLines/>
        <w:spacing w:before="120"/>
        <w:ind w:left="1701" w:hanging="1701"/>
        <w:outlineLvl w:val="4"/>
        <w:rPr>
          <w:rFonts w:ascii="Arial" w:hAnsi="Arial"/>
          <w:sz w:val="22"/>
        </w:rPr>
      </w:pPr>
      <w:r w:rsidRPr="009C5807">
        <w:rPr>
          <w:rFonts w:ascii="Arial" w:hAnsi="Arial"/>
          <w:sz w:val="22"/>
        </w:rPr>
        <w:t>6.1.4.2.3</w:t>
      </w:r>
      <w:r w:rsidRPr="009C5807">
        <w:rPr>
          <w:rFonts w:ascii="Arial" w:hAnsi="Arial"/>
          <w:sz w:val="22"/>
        </w:rPr>
        <w:tab/>
        <w:t>Preparation time</w:t>
      </w:r>
    </w:p>
    <w:p w14:paraId="5FCE5C72" w14:textId="77777777" w:rsidR="00D2705D" w:rsidRPr="009C5807" w:rsidRDefault="00D2705D" w:rsidP="00D2705D">
      <w:r w:rsidRPr="009C5807">
        <w:t>T</w:t>
      </w:r>
      <w:r w:rsidRPr="009C5807">
        <w:rPr>
          <w:vertAlign w:val="subscript"/>
        </w:rPr>
        <w:t>CHO_execution</w:t>
      </w:r>
      <w:r w:rsidRPr="009C5807">
        <w:t xml:space="preserve"> is the UE </w:t>
      </w:r>
      <w:r w:rsidRPr="009C5807">
        <w:rPr>
          <w:rFonts w:cs="v4.2.0"/>
        </w:rPr>
        <w:t xml:space="preserve">execution </w:t>
      </w:r>
      <w:r w:rsidRPr="009C5807">
        <w:t>preparation time for conditional handover, and starts after UE realizes the condition of CHO is met and identity of the target cell is determined. T</w:t>
      </w:r>
      <w:r w:rsidRPr="009C5807">
        <w:rPr>
          <w:vertAlign w:val="subscript"/>
        </w:rPr>
        <w:t>CHO_execution</w:t>
      </w:r>
      <w:r w:rsidRPr="009C5807">
        <w:t xml:space="preserve"> can be up to 10ms.</w:t>
      </w:r>
    </w:p>
    <w:p w14:paraId="0ABD6359" w14:textId="77777777" w:rsidR="00D2705D" w:rsidRPr="009C5807" w:rsidRDefault="00D2705D" w:rsidP="00D2705D">
      <w:pPr>
        <w:keepNext/>
        <w:keepLines/>
        <w:spacing w:before="120"/>
        <w:ind w:left="1701" w:hanging="1701"/>
        <w:outlineLvl w:val="4"/>
        <w:rPr>
          <w:rFonts w:ascii="Arial" w:hAnsi="Arial"/>
          <w:sz w:val="22"/>
        </w:rPr>
      </w:pPr>
      <w:r w:rsidRPr="009C5807">
        <w:rPr>
          <w:rFonts w:ascii="Arial" w:hAnsi="Arial"/>
          <w:sz w:val="22"/>
        </w:rPr>
        <w:t>6.1.4.2.4</w:t>
      </w:r>
      <w:r w:rsidRPr="009C5807">
        <w:rPr>
          <w:rFonts w:ascii="Arial" w:hAnsi="Arial"/>
          <w:sz w:val="22"/>
        </w:rPr>
        <w:tab/>
        <w:t>Interruption time</w:t>
      </w:r>
    </w:p>
    <w:p w14:paraId="1E991052" w14:textId="77777777" w:rsidR="00D2705D" w:rsidRPr="009C5807" w:rsidRDefault="00D2705D" w:rsidP="00D2705D">
      <w:pPr>
        <w:rPr>
          <w:rFonts w:cs="v4.2.0"/>
        </w:rPr>
      </w:pPr>
      <w:r w:rsidRPr="009C5807">
        <w:rPr>
          <w:rFonts w:cs="v4.2.0"/>
        </w:rPr>
        <w:t xml:space="preserve">The interruption time is the time between when the UE </w:t>
      </w:r>
      <w:r w:rsidRPr="009C5807">
        <w:t>starts to</w:t>
      </w:r>
      <w:r w:rsidRPr="009C5807">
        <w:rPr>
          <w:rFonts w:cs="v4.2.0"/>
        </w:rPr>
        <w:t xml:space="preserve"> execute the conditional handover to the target cell and the time the UE starts transmission of the new PRACH.</w:t>
      </w:r>
    </w:p>
    <w:p w14:paraId="7113DC19" w14:textId="2C429648" w:rsidR="00D2705D" w:rsidRPr="009C5807" w:rsidRDefault="006D1B1B" w:rsidP="00D2705D">
      <w:pPr>
        <w:rPr>
          <w:rFonts w:cs="v4.2.0"/>
        </w:rPr>
      </w:pPr>
      <w:r w:rsidRPr="009C5807">
        <w:rPr>
          <w:rFonts w:cs="v4.2.0"/>
        </w:rPr>
        <w:t xml:space="preserve">For intra-frequency or inter-frequency conditional conditional handover, the </w:t>
      </w:r>
      <w:r>
        <w:rPr>
          <w:rFonts w:cs="v4.2.0" w:hint="eastAsia"/>
          <w:lang w:eastAsia="zh-CN"/>
        </w:rPr>
        <w:t>interruption</w:t>
      </w:r>
      <w:r w:rsidRPr="009C5807">
        <w:rPr>
          <w:rFonts w:cs="v4.2.0"/>
        </w:rPr>
        <w:t xml:space="preserve"> time shall be less than</w:t>
      </w:r>
    </w:p>
    <w:p w14:paraId="21EFA1C5" w14:textId="0328E2F7" w:rsidR="00D2705D" w:rsidRPr="009C5807" w:rsidRDefault="00D2705D" w:rsidP="00D2705D">
      <w:pPr>
        <w:pStyle w:val="EQ"/>
      </w:pPr>
      <w:bookmarkStart w:id="105" w:name="_Hlk20338108"/>
      <w:r w:rsidRPr="009C5807">
        <w:tab/>
        <w:t>T</w:t>
      </w:r>
      <w:r w:rsidRPr="009C5807">
        <w:rPr>
          <w:vertAlign w:val="subscript"/>
        </w:rPr>
        <w:t>interrupt</w:t>
      </w:r>
      <w:r w:rsidRPr="009C5807">
        <w:t xml:space="preserve"> = T</w:t>
      </w:r>
      <w:r w:rsidRPr="009C5807">
        <w:rPr>
          <w:vertAlign w:val="subscript"/>
        </w:rPr>
        <w:t>processing</w:t>
      </w:r>
      <w:r w:rsidRPr="009C5807">
        <w:t xml:space="preserve"> + T</w:t>
      </w:r>
      <w:r w:rsidRPr="009C5807">
        <w:rPr>
          <w:vertAlign w:val="subscript"/>
        </w:rPr>
        <w:t>IU</w:t>
      </w:r>
      <w:r w:rsidRPr="009C5807">
        <w:t xml:space="preserve"> + T</w:t>
      </w:r>
      <w:r w:rsidRPr="009C5807">
        <w:rPr>
          <w:vertAlign w:val="subscript"/>
        </w:rPr>
        <w:t>∆</w:t>
      </w:r>
      <w:r w:rsidRPr="009C5807">
        <w:t xml:space="preserve"> </w:t>
      </w:r>
      <w:r w:rsidRPr="009C5807">
        <w:rPr>
          <w:lang w:eastAsia="zh-CN"/>
        </w:rPr>
        <w:t>+ T</w:t>
      </w:r>
      <w:r w:rsidRPr="009C5807">
        <w:rPr>
          <w:vertAlign w:val="subscript"/>
          <w:lang w:eastAsia="zh-CN"/>
        </w:rPr>
        <w:t>margin</w:t>
      </w:r>
      <w:r w:rsidRPr="009C5807">
        <w:t xml:space="preserve"> ms</w:t>
      </w:r>
      <w:bookmarkEnd w:id="105"/>
    </w:p>
    <w:p w14:paraId="011DD19F" w14:textId="77777777" w:rsidR="00D2705D" w:rsidRPr="009C5807" w:rsidRDefault="00D2705D" w:rsidP="00D2705D">
      <w:r w:rsidRPr="009C5807">
        <w:t>Where:</w:t>
      </w:r>
    </w:p>
    <w:p w14:paraId="6FFF6613" w14:textId="1A5A59B3" w:rsidR="00D2705D" w:rsidRPr="009C5807" w:rsidRDefault="00357256" w:rsidP="00D2705D">
      <w:pPr>
        <w:pStyle w:val="B10"/>
      </w:pPr>
      <w:r w:rsidRPr="009C5807">
        <w:tab/>
      </w:r>
      <w:r w:rsidR="00D2705D" w:rsidRPr="009C5807">
        <w:t>T</w:t>
      </w:r>
      <w:r w:rsidR="00D2705D" w:rsidRPr="009C5807">
        <w:rPr>
          <w:vertAlign w:val="subscript"/>
        </w:rPr>
        <w:t>processing</w:t>
      </w:r>
      <w:r w:rsidR="00D2705D" w:rsidRPr="009C5807">
        <w:t xml:space="preserve"> is time for UE processing. T</w:t>
      </w:r>
      <w:r w:rsidR="00D2705D" w:rsidRPr="009C5807">
        <w:rPr>
          <w:vertAlign w:val="subscript"/>
        </w:rPr>
        <w:t>processing</w:t>
      </w:r>
      <w:r w:rsidR="00D2705D" w:rsidRPr="009C5807">
        <w:t xml:space="preserve"> can be up to 20ms.</w:t>
      </w:r>
    </w:p>
    <w:p w14:paraId="33FBD247" w14:textId="172FF5A8" w:rsidR="00D2705D" w:rsidRPr="009C5807" w:rsidRDefault="00357256" w:rsidP="00D2705D">
      <w:pPr>
        <w:pStyle w:val="B10"/>
      </w:pPr>
      <w:r w:rsidRPr="009C5807">
        <w:tab/>
      </w:r>
      <w:r w:rsidR="00D2705D" w:rsidRPr="009C5807">
        <w:t>T</w:t>
      </w:r>
      <w:r w:rsidR="00D2705D" w:rsidRPr="009C5807">
        <w:rPr>
          <w:vertAlign w:val="subscript"/>
        </w:rPr>
        <w:t>IU</w:t>
      </w:r>
      <w:r w:rsidR="00D2705D" w:rsidRPr="009C5807">
        <w:t xml:space="preserve"> is the interruption uncertainty in acquiring the first available PRACH occasion in the new cell. T</w:t>
      </w:r>
      <w:r w:rsidR="00D2705D" w:rsidRPr="009C5807">
        <w:rPr>
          <w:vertAlign w:val="subscript"/>
        </w:rPr>
        <w:t>IU</w:t>
      </w:r>
      <w:r w:rsidR="00D2705D" w:rsidRPr="009C5807">
        <w:t xml:space="preserve"> can be up to the summation of SSB to PRACH occasion association period and 10 ms. SSB to PRACH occasion associated period is defined in the table 8.1-1 of TS 38.213 [3]</w:t>
      </w:r>
    </w:p>
    <w:p w14:paraId="5EBEB80C" w14:textId="25EFE867" w:rsidR="00D2705D" w:rsidRPr="009C5807" w:rsidRDefault="00357256" w:rsidP="00D2705D">
      <w:pPr>
        <w:pStyle w:val="B10"/>
      </w:pPr>
      <w:r w:rsidRPr="009C5807">
        <w:tab/>
      </w:r>
      <w:r w:rsidR="00D2705D" w:rsidRPr="009C5807">
        <w:t>T</w:t>
      </w:r>
      <w:r w:rsidR="00D2705D" w:rsidRPr="009C5807">
        <w:rPr>
          <w:vertAlign w:val="subscript"/>
        </w:rPr>
        <w:t>∆</w:t>
      </w:r>
      <w:r w:rsidR="00D2705D" w:rsidRPr="009C5807">
        <w:t xml:space="preserve"> is time for fine time tracking and acquiring full timing information of the target cell. T</w:t>
      </w:r>
      <w:r w:rsidR="00D2705D" w:rsidRPr="009C5807">
        <w:rPr>
          <w:vertAlign w:val="subscript"/>
        </w:rPr>
        <w:t>Δ</w:t>
      </w:r>
      <w:r w:rsidR="00D2705D" w:rsidRPr="009C5807">
        <w:t xml:space="preserve"> = T</w:t>
      </w:r>
      <w:r w:rsidR="00D2705D" w:rsidRPr="009C5807">
        <w:rPr>
          <w:vertAlign w:val="subscript"/>
        </w:rPr>
        <w:t>rs</w:t>
      </w:r>
      <w:r w:rsidR="00D2705D" w:rsidRPr="009C5807">
        <w:t>.</w:t>
      </w:r>
    </w:p>
    <w:p w14:paraId="55A77E6C" w14:textId="7FB37DFF" w:rsidR="00D2705D" w:rsidRPr="009C5807" w:rsidRDefault="00357256" w:rsidP="00D2705D">
      <w:pPr>
        <w:pStyle w:val="B10"/>
      </w:pPr>
      <w:r w:rsidRPr="009C5807">
        <w:rPr>
          <w:lang w:eastAsia="zh-CN"/>
        </w:rPr>
        <w:tab/>
      </w:r>
      <w:r w:rsidR="00D2705D" w:rsidRPr="009C5807">
        <w:rPr>
          <w:lang w:eastAsia="zh-CN"/>
        </w:rPr>
        <w:t>T</w:t>
      </w:r>
      <w:r w:rsidR="00D2705D" w:rsidRPr="009C5807">
        <w:rPr>
          <w:vertAlign w:val="subscript"/>
          <w:lang w:eastAsia="zh-CN"/>
        </w:rPr>
        <w:t xml:space="preserve">margin </w:t>
      </w:r>
      <w:r w:rsidR="00D2705D" w:rsidRPr="009C5807">
        <w:rPr>
          <w:lang w:eastAsia="zh-CN"/>
        </w:rPr>
        <w:t>is time for SSB post-processing. T</w:t>
      </w:r>
      <w:r w:rsidR="00D2705D" w:rsidRPr="009C5807">
        <w:rPr>
          <w:vertAlign w:val="subscript"/>
          <w:lang w:eastAsia="zh-CN"/>
        </w:rPr>
        <w:t xml:space="preserve">margin </w:t>
      </w:r>
      <w:r w:rsidR="00D2705D" w:rsidRPr="009C5807">
        <w:rPr>
          <w:lang w:eastAsia="zh-CN"/>
        </w:rPr>
        <w:t>can be up to 2ms.</w:t>
      </w:r>
    </w:p>
    <w:p w14:paraId="15A9DBD0" w14:textId="23F5A3E3" w:rsidR="00D2705D" w:rsidRPr="009C5807" w:rsidRDefault="00357256" w:rsidP="00D2705D">
      <w:pPr>
        <w:pStyle w:val="B10"/>
      </w:pPr>
      <w:r w:rsidRPr="009C5807">
        <w:tab/>
      </w:r>
      <w:r w:rsidR="00D2705D" w:rsidRPr="009C5807">
        <w:t>T</w:t>
      </w:r>
      <w:r w:rsidR="00D2705D" w:rsidRPr="009C5807">
        <w:rPr>
          <w:vertAlign w:val="subscript"/>
        </w:rPr>
        <w:t>rs</w:t>
      </w:r>
      <w:r w:rsidR="00D2705D" w:rsidRPr="009C5807">
        <w:t xml:space="preserve"> is the SMTC periodicity of the target NR cell if the UE has been provided with an SMTC configuration for the target cellin the handover command, otherwise Trs is the SMTC configured in the measObjectNR having the same SSB frequency and subcarrier spacing. If the UE is not provided SMTC configuration or measurement object on this frequency, the requirement in this clause is applied with T</w:t>
      </w:r>
      <w:r w:rsidR="00D2705D" w:rsidRPr="009C5807">
        <w:rPr>
          <w:vertAlign w:val="subscript"/>
        </w:rPr>
        <w:t>rs</w:t>
      </w:r>
      <w:r w:rsidR="00D2705D" w:rsidRPr="009C5807">
        <w:t xml:space="preserve">=5ms assuming the SSB transmission periodicity is 5ms. There is no requirement if the SSB transmission periodicity is not 5ms. If the UE has been provided with higher layer in TS 38.331 [2] signaling of </w:t>
      </w:r>
      <w:r w:rsidR="00D2705D" w:rsidRPr="009C5807">
        <w:rPr>
          <w:i/>
        </w:rPr>
        <w:t>smtc2</w:t>
      </w:r>
      <w:r w:rsidR="00D2705D" w:rsidRPr="009C5807">
        <w:rPr>
          <w:b/>
        </w:rPr>
        <w:t xml:space="preserve"> </w:t>
      </w:r>
      <w:r w:rsidR="00D2705D" w:rsidRPr="009C5807">
        <w:t>prior to the handover command, T</w:t>
      </w:r>
      <w:r w:rsidR="00D2705D" w:rsidRPr="009C5807">
        <w:rPr>
          <w:vertAlign w:val="subscript"/>
        </w:rPr>
        <w:t>rs</w:t>
      </w:r>
      <w:r w:rsidR="00D2705D" w:rsidRPr="009C5807">
        <w:t xml:space="preserve"> follows </w:t>
      </w:r>
      <w:r w:rsidR="00D2705D" w:rsidRPr="009C5807">
        <w:rPr>
          <w:i/>
        </w:rPr>
        <w:t>smtc1</w:t>
      </w:r>
      <w:r w:rsidR="00D2705D" w:rsidRPr="009C5807">
        <w:t xml:space="preserve"> or </w:t>
      </w:r>
      <w:r w:rsidR="00D2705D" w:rsidRPr="009C5807">
        <w:rPr>
          <w:i/>
        </w:rPr>
        <w:t>smtc2</w:t>
      </w:r>
      <w:r w:rsidR="00D2705D" w:rsidRPr="009C5807">
        <w:t xml:space="preserve"> according to the physical cell ID of the target cell.</w:t>
      </w:r>
    </w:p>
    <w:p w14:paraId="30628797" w14:textId="77777777" w:rsidR="00D2705D" w:rsidRPr="009C5807" w:rsidRDefault="00D2705D" w:rsidP="00D2705D">
      <w:pPr>
        <w:pStyle w:val="NO"/>
      </w:pPr>
      <w:r w:rsidRPr="009C5807">
        <w:t>NOTE 1:</w:t>
      </w:r>
      <w:r w:rsidRPr="009C5807">
        <w:tab/>
        <w:t>The actual value of T</w:t>
      </w:r>
      <w:r w:rsidRPr="009C5807">
        <w:rPr>
          <w:vertAlign w:val="subscript"/>
        </w:rPr>
        <w:t>IU</w:t>
      </w:r>
      <w:r w:rsidRPr="009C5807">
        <w:t xml:space="preserve"> shall depend upon the PRACH configuration used in the target cell.</w:t>
      </w:r>
    </w:p>
    <w:p w14:paraId="2D9B6171" w14:textId="77777777" w:rsidR="00D2705D" w:rsidRPr="009C5807" w:rsidRDefault="00D2705D" w:rsidP="00D2705D">
      <w:pPr>
        <w:pStyle w:val="Heading4"/>
        <w:rPr>
          <w:lang w:val="en-US" w:eastAsia="zh-CN"/>
        </w:rPr>
      </w:pPr>
      <w:r w:rsidRPr="009C5807">
        <w:rPr>
          <w:lang w:val="en-US" w:eastAsia="zh-CN"/>
        </w:rPr>
        <w:t>6.1.4.3</w:t>
      </w:r>
      <w:r w:rsidRPr="009C5807">
        <w:rPr>
          <w:lang w:val="en-US" w:eastAsia="zh-CN"/>
        </w:rPr>
        <w:tab/>
        <w:t>NR FR2 – NR FR1 conditional handover</w:t>
      </w:r>
    </w:p>
    <w:p w14:paraId="3CF606F0" w14:textId="77777777" w:rsidR="00D2705D" w:rsidRPr="009C5807" w:rsidRDefault="00D2705D" w:rsidP="00D2705D">
      <w:r w:rsidRPr="009C5807">
        <w:t>The requirements in this clause are applicable to inter-frequency conditional handover from NR FR2 cell to NR FR1 cell.</w:t>
      </w:r>
    </w:p>
    <w:p w14:paraId="45750BB0" w14:textId="5832D11D" w:rsidR="00D2705D" w:rsidRPr="009C5807" w:rsidRDefault="00D2705D" w:rsidP="00D2705D">
      <w:r w:rsidRPr="009C5807">
        <w:t xml:space="preserve">The requirements defined in </w:t>
      </w:r>
      <w:r w:rsidR="0063092D">
        <w:t>clause</w:t>
      </w:r>
      <w:r w:rsidRPr="009C5807">
        <w:t xml:space="preserve"> 6.1.4.2 applies assuming inter-frequency handover and:</w:t>
      </w:r>
    </w:p>
    <w:p w14:paraId="364E4B5C" w14:textId="77777777" w:rsidR="00D2705D" w:rsidRPr="009C5807" w:rsidRDefault="00D2705D" w:rsidP="00D2705D">
      <w:pPr>
        <w:pStyle w:val="B10"/>
      </w:pPr>
      <w:r w:rsidRPr="009C5807">
        <w:t>T</w:t>
      </w:r>
      <w:r w:rsidRPr="009C5807">
        <w:rPr>
          <w:vertAlign w:val="subscript"/>
        </w:rPr>
        <w:t>processing</w:t>
      </w:r>
      <w:r w:rsidRPr="009C5807">
        <w:t xml:space="preserve"> is time for UE processing. T</w:t>
      </w:r>
      <w:r w:rsidRPr="009C5807">
        <w:rPr>
          <w:vertAlign w:val="subscript"/>
        </w:rPr>
        <w:t>processing</w:t>
      </w:r>
      <w:r w:rsidRPr="009C5807">
        <w:t xml:space="preserve"> can be up to 40ms.</w:t>
      </w:r>
    </w:p>
    <w:p w14:paraId="74ADDBE4" w14:textId="77777777" w:rsidR="00D2705D" w:rsidRPr="009C5807" w:rsidRDefault="00D2705D" w:rsidP="00D2705D">
      <w:pPr>
        <w:keepLines/>
        <w:ind w:left="1135" w:hanging="851"/>
      </w:pPr>
    </w:p>
    <w:p w14:paraId="4CD9A101" w14:textId="77777777" w:rsidR="00D2705D" w:rsidRPr="009C5807" w:rsidRDefault="00D2705D" w:rsidP="00D2705D">
      <w:pPr>
        <w:pStyle w:val="Heading4"/>
        <w:rPr>
          <w:lang w:val="en-US" w:eastAsia="zh-CN"/>
        </w:rPr>
      </w:pPr>
      <w:r w:rsidRPr="009C5807">
        <w:rPr>
          <w:lang w:val="en-US" w:eastAsia="zh-CN"/>
        </w:rPr>
        <w:t>6.1.4.4</w:t>
      </w:r>
      <w:r w:rsidRPr="009C5807">
        <w:rPr>
          <w:lang w:val="en-US" w:eastAsia="zh-CN"/>
        </w:rPr>
        <w:tab/>
        <w:t>NR FR2 – NR FR2 conditional handover</w:t>
      </w:r>
    </w:p>
    <w:p w14:paraId="540281D9" w14:textId="77777777" w:rsidR="00D2705D" w:rsidRPr="009C5807" w:rsidRDefault="00D2705D" w:rsidP="00D2705D">
      <w:r w:rsidRPr="009C5807">
        <w:t>The requirements in this clause are applicable to both intra-frequency and inter-frequency conditional handover from NR FR2 cell to NR FR2 cell.</w:t>
      </w:r>
    </w:p>
    <w:p w14:paraId="7F3C3D8A" w14:textId="77777777" w:rsidR="00D2705D" w:rsidRPr="009C5807" w:rsidRDefault="00D2705D" w:rsidP="00D2705D">
      <w:pPr>
        <w:pStyle w:val="Heading5"/>
      </w:pPr>
      <w:r w:rsidRPr="009C5807">
        <w:t>6.1.4.4.1</w:t>
      </w:r>
      <w:r w:rsidRPr="009C5807">
        <w:tab/>
        <w:t>Handover delay</w:t>
      </w:r>
    </w:p>
    <w:p w14:paraId="4511E3EC" w14:textId="77777777" w:rsidR="00D2705D" w:rsidRPr="009C5807" w:rsidRDefault="00D2705D" w:rsidP="00D2705D">
      <w:pPr>
        <w:rPr>
          <w:rFonts w:cs="v4.2.0"/>
        </w:rPr>
      </w:pPr>
      <w:r w:rsidRPr="009C5807">
        <w:rPr>
          <w:rFonts w:cs="v4.2.0"/>
        </w:rPr>
        <w:t xml:space="preserve">Procedure delays for all procedures that can command a conditional handover are specified in </w:t>
      </w:r>
      <w:r w:rsidRPr="009C5807">
        <w:t>TS 38.331 [2]</w:t>
      </w:r>
      <w:r w:rsidRPr="009C5807">
        <w:rPr>
          <w:rFonts w:cs="v4.2.0"/>
        </w:rPr>
        <w:t>.</w:t>
      </w:r>
    </w:p>
    <w:p w14:paraId="5A61BA43" w14:textId="4377B98E" w:rsidR="00D2705D" w:rsidRPr="009C5807" w:rsidRDefault="006D1B1B" w:rsidP="00D2705D">
      <w:pPr>
        <w:rPr>
          <w:rFonts w:cs="v4.2.0"/>
        </w:rPr>
      </w:pPr>
      <w:r w:rsidRPr="009C5807">
        <w:rPr>
          <w:rFonts w:cs="v4.2.0"/>
        </w:rPr>
        <w:t xml:space="preserve">When the UE receives a RRC message implying conditional handover the UE shall be ready to </w:t>
      </w:r>
      <w:r w:rsidRPr="009C5807">
        <w:rPr>
          <w:rFonts w:cs="v4.2.0"/>
          <w:snapToGrid w:val="0"/>
        </w:rPr>
        <w:t>start the transmission of the new uplink PRACH channel</w:t>
      </w:r>
      <w:r w:rsidRPr="009C5807">
        <w:rPr>
          <w:rFonts w:cs="v4.2.0"/>
        </w:rPr>
        <w:t xml:space="preserve"> within </w:t>
      </w:r>
      <w:r w:rsidRPr="006351C6">
        <w:rPr>
          <w:rFonts w:cs="v4.2.0"/>
        </w:rPr>
        <w:t>D</w:t>
      </w:r>
      <w:r w:rsidRPr="006351C6">
        <w:rPr>
          <w:rFonts w:cs="v4.2.0"/>
          <w:vertAlign w:val="subscript"/>
        </w:rPr>
        <w:t>CHO</w:t>
      </w:r>
      <w:r w:rsidRPr="009C5807">
        <w:rPr>
          <w:rFonts w:cs="v4.2.0"/>
        </w:rPr>
        <w:t xml:space="preserve"> seconds from the end of the last TTI containing the RRC command.</w:t>
      </w:r>
    </w:p>
    <w:p w14:paraId="72337AE6" w14:textId="5297BFBF" w:rsidR="00D2705D" w:rsidRPr="009C5807" w:rsidRDefault="00D2705D" w:rsidP="00D2705D">
      <w:pPr>
        <w:pStyle w:val="EQ"/>
        <w:rPr>
          <w:lang w:val="en-US" w:eastAsia="zh-CN"/>
        </w:rPr>
      </w:pPr>
      <w:r w:rsidRPr="009C5807">
        <w:rPr>
          <w:lang w:val="en-US" w:eastAsia="zh-CN"/>
        </w:rPr>
        <w:tab/>
        <w:t>D</w:t>
      </w:r>
      <w:r w:rsidRPr="009C5807">
        <w:rPr>
          <w:vertAlign w:val="subscript"/>
          <w:lang w:val="en-US" w:eastAsia="zh-CN"/>
        </w:rPr>
        <w:t>CHO</w:t>
      </w:r>
      <w:r w:rsidRPr="009C5807">
        <w:rPr>
          <w:lang w:val="en-US" w:eastAsia="zh-CN"/>
        </w:rPr>
        <w:t xml:space="preserve"> = T</w:t>
      </w:r>
      <w:r w:rsidRPr="009C5807">
        <w:rPr>
          <w:vertAlign w:val="subscript"/>
          <w:lang w:val="en-US" w:eastAsia="zh-CN"/>
        </w:rPr>
        <w:t>RRC</w:t>
      </w:r>
      <w:r w:rsidRPr="009C5807">
        <w:rPr>
          <w:lang w:val="en-US" w:eastAsia="zh-CN"/>
        </w:rPr>
        <w:t xml:space="preserve"> + </w:t>
      </w:r>
      <w:r w:rsidRPr="009C5807">
        <w:rPr>
          <w:iCs/>
        </w:rPr>
        <w:t>T</w:t>
      </w:r>
      <w:r w:rsidRPr="009C5807">
        <w:rPr>
          <w:iCs/>
          <w:vertAlign w:val="subscript"/>
        </w:rPr>
        <w:t>Event_DU</w:t>
      </w:r>
      <w:r w:rsidRPr="009C5807">
        <w:rPr>
          <w:iCs/>
        </w:rPr>
        <w:t xml:space="preserve"> </w:t>
      </w:r>
      <w:r w:rsidRPr="009C5807">
        <w:rPr>
          <w:lang w:val="en-US" w:eastAsia="zh-CN"/>
        </w:rPr>
        <w:t>+ T</w:t>
      </w:r>
      <w:r w:rsidRPr="009C5807">
        <w:rPr>
          <w:vertAlign w:val="subscript"/>
          <w:lang w:val="en-US" w:eastAsia="zh-CN"/>
        </w:rPr>
        <w:t>measure</w:t>
      </w:r>
      <w:r w:rsidRPr="009C5807">
        <w:rPr>
          <w:lang w:val="en-US" w:eastAsia="zh-CN"/>
        </w:rPr>
        <w:t xml:space="preserve"> + </w:t>
      </w:r>
      <w:r w:rsidRPr="009C5807">
        <w:rPr>
          <w:lang w:eastAsia="zh-CN"/>
        </w:rPr>
        <w:t>T</w:t>
      </w:r>
      <w:r w:rsidRPr="009C5807">
        <w:rPr>
          <w:vertAlign w:val="subscript"/>
          <w:lang w:eastAsia="zh-CN"/>
        </w:rPr>
        <w:t>interrupt</w:t>
      </w:r>
      <w:r w:rsidRPr="009C5807">
        <w:rPr>
          <w:lang w:eastAsia="zh-CN"/>
        </w:rPr>
        <w:t xml:space="preserve"> </w:t>
      </w:r>
      <w:r w:rsidRPr="009C5807">
        <w:rPr>
          <w:lang w:val="en-US" w:eastAsia="zh-CN"/>
        </w:rPr>
        <w:t xml:space="preserve">+ </w:t>
      </w:r>
      <w:r w:rsidRPr="009C5807">
        <w:t>T</w:t>
      </w:r>
      <w:r w:rsidRPr="009C5807">
        <w:rPr>
          <w:vertAlign w:val="subscript"/>
        </w:rPr>
        <w:t>CHO_execution</w:t>
      </w:r>
    </w:p>
    <w:p w14:paraId="3BFEAC3C" w14:textId="77777777" w:rsidR="00D2705D" w:rsidRPr="009C5807" w:rsidRDefault="00D2705D" w:rsidP="00D2705D">
      <w:pPr>
        <w:rPr>
          <w:rFonts w:cs="v4.2.0"/>
        </w:rPr>
      </w:pPr>
      <w:r w:rsidRPr="009C5807">
        <w:rPr>
          <w:rFonts w:cs="v4.2.0"/>
        </w:rPr>
        <w:t>Where:</w:t>
      </w:r>
    </w:p>
    <w:p w14:paraId="34225C2E" w14:textId="6582947D" w:rsidR="00D2705D" w:rsidRPr="009C5807" w:rsidRDefault="00357256" w:rsidP="00D2705D">
      <w:pPr>
        <w:pStyle w:val="B10"/>
      </w:pPr>
      <w:r w:rsidRPr="009C5807">
        <w:rPr>
          <w:bCs/>
          <w:lang w:val="en-US" w:eastAsia="zh-CN"/>
        </w:rPr>
        <w:tab/>
      </w:r>
      <w:r w:rsidR="00D2705D" w:rsidRPr="009C5807">
        <w:rPr>
          <w:bCs/>
          <w:lang w:val="en-US" w:eastAsia="zh-CN"/>
        </w:rPr>
        <w:t>T</w:t>
      </w:r>
      <w:r w:rsidR="00D2705D" w:rsidRPr="009C5807">
        <w:rPr>
          <w:bCs/>
          <w:vertAlign w:val="subscript"/>
          <w:lang w:val="en-US" w:eastAsia="zh-CN"/>
        </w:rPr>
        <w:t>RRC</w:t>
      </w:r>
      <w:r w:rsidR="00D2705D" w:rsidRPr="009C5807" w:rsidDel="002D2E06">
        <w:t xml:space="preserve"> </w:t>
      </w:r>
      <w:r w:rsidR="00D2705D" w:rsidRPr="009C5807">
        <w:t xml:space="preserve">is the RRC procedure delay defined in clause </w:t>
      </w:r>
      <w:r w:rsidR="00D2705D" w:rsidRPr="009C5807">
        <w:rPr>
          <w:lang w:eastAsia="zh-CN"/>
        </w:rPr>
        <w:t>12</w:t>
      </w:r>
      <w:r w:rsidR="00D2705D" w:rsidRPr="009C5807">
        <w:t xml:space="preserve"> in TS 38.331 [2].</w:t>
      </w:r>
    </w:p>
    <w:p w14:paraId="25371725" w14:textId="1FF6FDA7" w:rsidR="00D2705D" w:rsidRPr="009C5807" w:rsidRDefault="00357256" w:rsidP="00D2705D">
      <w:pPr>
        <w:pStyle w:val="B10"/>
        <w:rPr>
          <w:lang w:val="en-US"/>
        </w:rPr>
      </w:pPr>
      <w:r w:rsidRPr="009C5807">
        <w:rPr>
          <w:iCs/>
        </w:rPr>
        <w:tab/>
      </w:r>
      <w:r w:rsidR="00D2705D" w:rsidRPr="009C5807">
        <w:rPr>
          <w:iCs/>
        </w:rPr>
        <w:t>T</w:t>
      </w:r>
      <w:r w:rsidR="00D2705D" w:rsidRPr="009C5807">
        <w:rPr>
          <w:iCs/>
          <w:vertAlign w:val="subscript"/>
        </w:rPr>
        <w:t>Event_DU</w:t>
      </w:r>
      <w:r w:rsidR="00D2705D" w:rsidRPr="009C5807">
        <w:t xml:space="preserve"> is the delay uncertainty which is the time from when the UE successfully decodes a conditional handover command until a condition exists at the measurement reference point which will trigger the conditional handover. </w:t>
      </w:r>
    </w:p>
    <w:p w14:paraId="4D7FB664" w14:textId="616DA7A3" w:rsidR="00D2705D" w:rsidRPr="009C5807" w:rsidRDefault="00357256" w:rsidP="00D2705D">
      <w:pPr>
        <w:pStyle w:val="B10"/>
      </w:pPr>
      <w:r w:rsidRPr="009C5807">
        <w:rPr>
          <w:bCs/>
          <w:lang w:val="en-US" w:eastAsia="zh-CN"/>
        </w:rPr>
        <w:tab/>
      </w:r>
      <w:r w:rsidR="00D2705D" w:rsidRPr="009C5807">
        <w:rPr>
          <w:bCs/>
          <w:lang w:val="en-US" w:eastAsia="zh-CN"/>
        </w:rPr>
        <w:t>T</w:t>
      </w:r>
      <w:r w:rsidR="00D2705D" w:rsidRPr="009C5807">
        <w:rPr>
          <w:bCs/>
          <w:vertAlign w:val="subscript"/>
          <w:lang w:val="en-US" w:eastAsia="zh-CN"/>
        </w:rPr>
        <w:t>measure</w:t>
      </w:r>
      <w:r w:rsidR="00D2705D" w:rsidRPr="009C5807">
        <w:t xml:space="preserve"> is the measurements time stated in clause 6.1.4.4.2.</w:t>
      </w:r>
    </w:p>
    <w:p w14:paraId="018113D7" w14:textId="4C4ECF91" w:rsidR="00D2705D" w:rsidRPr="009C5807" w:rsidRDefault="00357256" w:rsidP="00D2705D">
      <w:pPr>
        <w:pStyle w:val="B10"/>
      </w:pPr>
      <w:r w:rsidRPr="009C5807">
        <w:tab/>
      </w:r>
      <w:r w:rsidR="00D2705D" w:rsidRPr="009C5807">
        <w:t>T</w:t>
      </w:r>
      <w:r w:rsidR="00D2705D" w:rsidRPr="009C5807">
        <w:rPr>
          <w:vertAlign w:val="subscript"/>
        </w:rPr>
        <w:t>CHO_execution</w:t>
      </w:r>
      <w:r w:rsidR="00D2705D" w:rsidRPr="009C5807">
        <w:t xml:space="preserve"> is the conditional execution preparation time in clause 6.1.4.4.3.</w:t>
      </w:r>
      <w:r w:rsidR="00A21E2B">
        <w:tab/>
      </w:r>
      <w:r w:rsidR="00D2705D" w:rsidRPr="009C5807">
        <w:rPr>
          <w:bCs/>
          <w:lang w:eastAsia="zh-CN"/>
        </w:rPr>
        <w:t>T</w:t>
      </w:r>
      <w:r w:rsidR="00D2705D" w:rsidRPr="009C5807">
        <w:rPr>
          <w:bCs/>
          <w:vertAlign w:val="subscript"/>
          <w:lang w:eastAsia="zh-CN"/>
        </w:rPr>
        <w:t>interrupt</w:t>
      </w:r>
      <w:r w:rsidR="00D2705D" w:rsidRPr="009C5807">
        <w:t xml:space="preserve"> is the interruption time stated in clause 6.1.4.4.4.</w:t>
      </w:r>
    </w:p>
    <w:p w14:paraId="4FE2E23E" w14:textId="77777777" w:rsidR="00D2705D" w:rsidRPr="009C5807" w:rsidRDefault="00D2705D" w:rsidP="00D2705D">
      <w:pPr>
        <w:pStyle w:val="Heading5"/>
      </w:pPr>
      <w:r w:rsidRPr="009C5807">
        <w:t>6.1.4.4.2</w:t>
      </w:r>
      <w:r w:rsidRPr="009C5807">
        <w:tab/>
        <w:t>Measurement time</w:t>
      </w:r>
    </w:p>
    <w:p w14:paraId="4E0E34C6" w14:textId="77777777" w:rsidR="00D2705D" w:rsidRPr="009C5807" w:rsidRDefault="00D2705D" w:rsidP="00D2705D">
      <w:r w:rsidRPr="009C5807">
        <w:rPr>
          <w:rFonts w:cs="v4.2.0"/>
        </w:rPr>
        <w:t xml:space="preserve">The measurement time </w:t>
      </w:r>
      <w:r w:rsidRPr="009C5807">
        <w:t xml:space="preserve">delay is defined from the end of </w:t>
      </w:r>
      <w:r w:rsidRPr="009C5807">
        <w:rPr>
          <w:iCs/>
        </w:rPr>
        <w:t>T</w:t>
      </w:r>
      <w:r w:rsidRPr="009C5807">
        <w:rPr>
          <w:iCs/>
          <w:vertAlign w:val="subscript"/>
        </w:rPr>
        <w:t>Event_DU</w:t>
      </w:r>
      <w:r w:rsidRPr="009C5807">
        <w:t xml:space="preserve"> until UE executes a handover to a target cell and interruption time starts.</w:t>
      </w:r>
    </w:p>
    <w:p w14:paraId="120B637A" w14:textId="77777777" w:rsidR="00D2705D" w:rsidRPr="009C5807" w:rsidRDefault="00D2705D" w:rsidP="00D2705D">
      <w:r w:rsidRPr="009C5807">
        <w:t>For intra-frequency handover, the measurement time delay measured without Time To Trigger (TTT) and L3 filtering shall be less than T</w:t>
      </w:r>
      <w:r w:rsidRPr="009C5807">
        <w:rPr>
          <w:sz w:val="13"/>
          <w:szCs w:val="13"/>
        </w:rPr>
        <w:t>identify intra with index</w:t>
      </w:r>
      <w:r w:rsidRPr="009C5807">
        <w:rPr>
          <w:szCs w:val="13"/>
        </w:rPr>
        <w:t xml:space="preserve"> </w:t>
      </w:r>
      <w:r w:rsidRPr="009C5807">
        <w:t>or T</w:t>
      </w:r>
      <w:r w:rsidRPr="009C5807">
        <w:rPr>
          <w:sz w:val="13"/>
          <w:szCs w:val="13"/>
        </w:rPr>
        <w:t xml:space="preserve">identify_intra_without_index </w:t>
      </w:r>
      <w:r w:rsidRPr="009C5807">
        <w:t xml:space="preserve">defined in clause 9.2.5.1 or clause 9.2.6.2. </w:t>
      </w:r>
    </w:p>
    <w:p w14:paraId="59F4071A" w14:textId="77777777" w:rsidR="00D2705D" w:rsidRPr="009C5807" w:rsidRDefault="00D2705D" w:rsidP="00D2705D">
      <w:r w:rsidRPr="009C5807">
        <w:t>For inter-frequency handover, the measurement time delay measured without Time To Trigger (TTT) and L3 filtering shall be less than T</w:t>
      </w:r>
      <w:r w:rsidRPr="009C5807">
        <w:rPr>
          <w:sz w:val="13"/>
          <w:szCs w:val="13"/>
        </w:rPr>
        <w:t xml:space="preserve">identify_inter_with_index </w:t>
      </w:r>
      <w:r w:rsidRPr="009C5807">
        <w:t>or T</w:t>
      </w:r>
      <w:r w:rsidRPr="009C5807">
        <w:rPr>
          <w:sz w:val="13"/>
          <w:szCs w:val="13"/>
        </w:rPr>
        <w:t xml:space="preserve">identify_inter_without_index </w:t>
      </w:r>
      <w:r w:rsidRPr="009C5807">
        <w:t>defined in clause 9.3.4.</w:t>
      </w:r>
    </w:p>
    <w:p w14:paraId="01C14ABD" w14:textId="77777777" w:rsidR="00D2705D" w:rsidRPr="009C5807" w:rsidRDefault="00D2705D" w:rsidP="00D2705D">
      <w:pPr>
        <w:rPr>
          <w:rFonts w:cs="v4.2.0"/>
        </w:rPr>
      </w:pPr>
      <w:r w:rsidRPr="009C5807">
        <w:t>When TTT or L3 filtering is used an additional delay can be expected.</w:t>
      </w:r>
    </w:p>
    <w:p w14:paraId="0E7D03C3" w14:textId="77777777" w:rsidR="006971F0" w:rsidRPr="009C5807" w:rsidRDefault="006971F0" w:rsidP="006971F0">
      <w:r w:rsidRPr="009C5807">
        <w:t>A cell is detectable only if at least one SSB measured from the cell being configured remains detectable during the time period T</w:t>
      </w:r>
      <w:r w:rsidRPr="009C5807">
        <w:rPr>
          <w:sz w:val="13"/>
          <w:szCs w:val="13"/>
        </w:rPr>
        <w:t xml:space="preserve">identify_intra_without_index </w:t>
      </w:r>
      <w:r w:rsidRPr="009C5807">
        <w:t>or T</w:t>
      </w:r>
      <w:r w:rsidRPr="009C5807">
        <w:rPr>
          <w:sz w:val="13"/>
          <w:szCs w:val="13"/>
        </w:rPr>
        <w:t xml:space="preserve">identify_intra_with_index </w:t>
      </w:r>
      <w:r w:rsidRPr="009C5807">
        <w:t>for intra-frequency handover or T</w:t>
      </w:r>
      <w:r w:rsidRPr="009C5807">
        <w:rPr>
          <w:sz w:val="13"/>
          <w:szCs w:val="13"/>
        </w:rPr>
        <w:t>identify_inter_without_index</w:t>
      </w:r>
      <w:r w:rsidRPr="009C5807">
        <w:t xml:space="preserve"> for inter-frequency handover. If a cell which has been detectable at least for the time period T</w:t>
      </w:r>
      <w:r w:rsidRPr="009C5807">
        <w:rPr>
          <w:sz w:val="13"/>
          <w:szCs w:val="13"/>
        </w:rPr>
        <w:t xml:space="preserve">identify_intra_without_index </w:t>
      </w:r>
      <w:r w:rsidRPr="009C5807">
        <w:t>or T</w:t>
      </w:r>
      <w:r w:rsidRPr="009C5807">
        <w:rPr>
          <w:sz w:val="13"/>
          <w:szCs w:val="13"/>
        </w:rPr>
        <w:t xml:space="preserve">identify_intra_with_index </w:t>
      </w:r>
      <w:r w:rsidRPr="009C5807">
        <w:t>for intra-frequency handover or T</w:t>
      </w:r>
      <w:r w:rsidRPr="009C5807">
        <w:rPr>
          <w:sz w:val="13"/>
          <w:szCs w:val="13"/>
        </w:rPr>
        <w:t>identify_inter_without_index</w:t>
      </w:r>
      <w:r w:rsidRPr="009C5807">
        <w:t xml:space="preserve"> for inter-frequency handover becomes undetectable for a period and then the cell becomes detectable again and triggers a handover, the measurement time delay shall be less than T</w:t>
      </w:r>
      <w:r w:rsidRPr="009C5807">
        <w:rPr>
          <w:sz w:val="13"/>
          <w:szCs w:val="13"/>
        </w:rPr>
        <w:t xml:space="preserve">SSB_measurement_period_intra </w:t>
      </w:r>
      <w:r w:rsidRPr="009C5807">
        <w:t>or T</w:t>
      </w:r>
      <w:r w:rsidRPr="009C5807">
        <w:rPr>
          <w:sz w:val="13"/>
          <w:szCs w:val="13"/>
        </w:rPr>
        <w:t xml:space="preserve">SSB_measurement_period_inter </w:t>
      </w:r>
      <w:r w:rsidRPr="009C5807">
        <w:t>provided the timing to that cell has not changed more than ± 3200</w:t>
      </w:r>
      <w:r>
        <w:t>/</w:t>
      </w:r>
      <m:oMath>
        <m:sSup>
          <m:sSupPr>
            <m:ctrlPr>
              <w:rPr>
                <w:rFonts w:ascii="Cambria Math" w:hAnsi="Cambria Math" w:cs="Calibri Light"/>
                <w:color w:val="000000"/>
                <w:lang w:val=""/>
              </w:rPr>
            </m:ctrlPr>
          </m:sSupPr>
          <m:e>
            <m:r>
              <m:rPr>
                <m:sty m:val="p"/>
              </m:rPr>
              <w:rPr>
                <w:rFonts w:ascii="Cambria Math" w:hAnsi="Cambria Math" w:cs="Calibri Light"/>
                <w:color w:val="000000"/>
                <w:lang w:val=""/>
              </w:rPr>
              <m:t>2</m:t>
            </m:r>
          </m:e>
          <m:sup>
            <m:r>
              <w:rPr>
                <w:rFonts w:ascii="Cambria Math" w:hAnsi="Cambria Math" w:cs="Calibri Light"/>
                <w:color w:val="000000"/>
                <w:lang w:val=""/>
              </w:rPr>
              <m:t>µ</m:t>
            </m:r>
          </m:sup>
        </m:sSup>
      </m:oMath>
      <w:r w:rsidRPr="009C5807">
        <w:t xml:space="preserve"> Tc while the measurement gap has not been available and the L3 filter has not been used</w:t>
      </w:r>
      <w:r w:rsidRPr="00505EC3">
        <w:t xml:space="preserve">, where </w:t>
      </w:r>
      <w:r w:rsidRPr="0087457A">
        <w:rPr>
          <w:i/>
        </w:rPr>
        <w:t>µ</w:t>
      </w:r>
      <w:r w:rsidRPr="00505EC3">
        <w:t xml:space="preserve"> is the SCS configuration as defined in clause 4</w:t>
      </w:r>
      <w:r>
        <w:t>.2</w:t>
      </w:r>
      <w:r>
        <w:rPr>
          <w:rFonts w:hint="eastAsia"/>
          <w:lang w:eastAsia="zh-TW"/>
        </w:rPr>
        <w:t xml:space="preserve"> </w:t>
      </w:r>
      <w:r>
        <w:t>of</w:t>
      </w:r>
      <w:r w:rsidRPr="00505EC3">
        <w:t xml:space="preserve"> TS 38.211 [3]</w:t>
      </w:r>
      <w:r w:rsidRPr="009C5807">
        <w:t>. When L3 filtering is used, an additional delay can be expected.</w:t>
      </w:r>
    </w:p>
    <w:p w14:paraId="598D4089" w14:textId="77777777" w:rsidR="00D2705D" w:rsidRPr="009C5807" w:rsidRDefault="00D2705D" w:rsidP="00D2705D">
      <w:pPr>
        <w:pStyle w:val="Heading5"/>
      </w:pPr>
      <w:r w:rsidRPr="009C5807">
        <w:t>6.1.4.4.3</w:t>
      </w:r>
      <w:r w:rsidRPr="009C5807">
        <w:tab/>
        <w:t>Preparation time</w:t>
      </w:r>
    </w:p>
    <w:p w14:paraId="1AF1AF40" w14:textId="77777777" w:rsidR="00D2705D" w:rsidRPr="009C5807" w:rsidRDefault="00D2705D" w:rsidP="00D2705D">
      <w:r w:rsidRPr="009C5807">
        <w:t>T</w:t>
      </w:r>
      <w:r w:rsidRPr="009C5807">
        <w:rPr>
          <w:vertAlign w:val="subscript"/>
        </w:rPr>
        <w:t>CHO_execution</w:t>
      </w:r>
      <w:r w:rsidRPr="009C5807">
        <w:t xml:space="preserve"> is the UE </w:t>
      </w:r>
      <w:r w:rsidRPr="009C5807">
        <w:rPr>
          <w:rFonts w:cs="v4.2.0"/>
        </w:rPr>
        <w:t xml:space="preserve">execution </w:t>
      </w:r>
      <w:r w:rsidRPr="009C5807">
        <w:t>preparation time for conditional handover, and starts after UE realizes the condition of CHO is met and identity of the target cell is determined. T</w:t>
      </w:r>
      <w:r w:rsidRPr="009C5807">
        <w:rPr>
          <w:vertAlign w:val="subscript"/>
        </w:rPr>
        <w:t>CHO_execution</w:t>
      </w:r>
      <w:r w:rsidRPr="009C5807">
        <w:t xml:space="preserve"> can be up 10ms.</w:t>
      </w:r>
    </w:p>
    <w:p w14:paraId="44DCD7CE" w14:textId="77777777" w:rsidR="00D2705D" w:rsidRPr="009C5807" w:rsidRDefault="00D2705D" w:rsidP="00D2705D">
      <w:pPr>
        <w:pStyle w:val="Heading5"/>
      </w:pPr>
      <w:r w:rsidRPr="009C5807">
        <w:t>6.1.4.4.4</w:t>
      </w:r>
      <w:r w:rsidRPr="009C5807">
        <w:tab/>
        <w:t>Interruption time</w:t>
      </w:r>
    </w:p>
    <w:p w14:paraId="674FE475" w14:textId="77777777" w:rsidR="00D2705D" w:rsidRPr="009C5807" w:rsidRDefault="00D2705D" w:rsidP="00D2705D">
      <w:pPr>
        <w:rPr>
          <w:rFonts w:cs="v4.2.0"/>
        </w:rPr>
      </w:pPr>
      <w:r w:rsidRPr="009C5807">
        <w:rPr>
          <w:rFonts w:cs="v4.2.0"/>
        </w:rPr>
        <w:t>The interruption time is the time between when the UE starts to execute the conditional handover to the target cell and the time the UE starts transmission of the new PRACH.</w:t>
      </w:r>
    </w:p>
    <w:p w14:paraId="7EFC488C" w14:textId="63166542" w:rsidR="00D2705D" w:rsidRPr="009C5807" w:rsidRDefault="006D1B1B" w:rsidP="00D2705D">
      <w:pPr>
        <w:rPr>
          <w:rFonts w:cs="v4.2.0"/>
        </w:rPr>
      </w:pPr>
      <w:r w:rsidRPr="009C5807">
        <w:rPr>
          <w:rFonts w:cs="v4.2.0"/>
        </w:rPr>
        <w:t xml:space="preserve">For intra-frequency or inter-frequency conditional conditional handover, the </w:t>
      </w:r>
      <w:r>
        <w:rPr>
          <w:rFonts w:cs="v4.2.0" w:hint="eastAsia"/>
          <w:lang w:eastAsia="zh-CN"/>
        </w:rPr>
        <w:t>interruption</w:t>
      </w:r>
      <w:r w:rsidRPr="009C5807">
        <w:rPr>
          <w:rFonts w:cs="v4.2.0"/>
        </w:rPr>
        <w:t xml:space="preserve"> time shall be less than</w:t>
      </w:r>
    </w:p>
    <w:p w14:paraId="2F782037" w14:textId="702CC895" w:rsidR="00D2705D" w:rsidRPr="009C5807" w:rsidRDefault="00D2705D" w:rsidP="00D2705D">
      <w:pPr>
        <w:pStyle w:val="EQ"/>
      </w:pPr>
      <w:r w:rsidRPr="009C5807">
        <w:tab/>
        <w:t>T</w:t>
      </w:r>
      <w:r w:rsidRPr="009C5807">
        <w:rPr>
          <w:vertAlign w:val="subscript"/>
        </w:rPr>
        <w:t>interrupt</w:t>
      </w:r>
      <w:r w:rsidRPr="009C5807">
        <w:t xml:space="preserve"> = T</w:t>
      </w:r>
      <w:r w:rsidRPr="009C5807">
        <w:rPr>
          <w:vertAlign w:val="subscript"/>
        </w:rPr>
        <w:t>processing</w:t>
      </w:r>
      <w:r w:rsidRPr="009C5807">
        <w:t xml:space="preserve"> + T</w:t>
      </w:r>
      <w:r w:rsidRPr="009C5807">
        <w:rPr>
          <w:vertAlign w:val="subscript"/>
        </w:rPr>
        <w:t>IU</w:t>
      </w:r>
      <w:r w:rsidRPr="009C5807">
        <w:t xml:space="preserve"> + T</w:t>
      </w:r>
      <w:r w:rsidRPr="009C5807">
        <w:rPr>
          <w:vertAlign w:val="subscript"/>
        </w:rPr>
        <w:t>∆</w:t>
      </w:r>
      <w:r w:rsidRPr="009C5807">
        <w:t xml:space="preserve"> </w:t>
      </w:r>
      <w:r w:rsidRPr="009C5807">
        <w:rPr>
          <w:lang w:eastAsia="zh-CN"/>
        </w:rPr>
        <w:t>+ T</w:t>
      </w:r>
      <w:r w:rsidRPr="009C5807">
        <w:rPr>
          <w:vertAlign w:val="subscript"/>
          <w:lang w:eastAsia="zh-CN"/>
        </w:rPr>
        <w:t>margin</w:t>
      </w:r>
      <w:r w:rsidRPr="009C5807">
        <w:t xml:space="preserve"> ms</w:t>
      </w:r>
    </w:p>
    <w:p w14:paraId="2E78B37A" w14:textId="77777777" w:rsidR="00D2705D" w:rsidRPr="009C5807" w:rsidRDefault="00D2705D" w:rsidP="00D2705D">
      <w:r w:rsidRPr="009C5807">
        <w:t>Where:</w:t>
      </w:r>
    </w:p>
    <w:p w14:paraId="678A0C76" w14:textId="53C8D8A5" w:rsidR="00D2705D" w:rsidRPr="009C5807" w:rsidRDefault="00357256" w:rsidP="00D2705D">
      <w:pPr>
        <w:pStyle w:val="B10"/>
      </w:pPr>
      <w:r w:rsidRPr="009C5807">
        <w:tab/>
      </w:r>
      <w:r w:rsidR="00D2705D" w:rsidRPr="009C5807">
        <w:t>T</w:t>
      </w:r>
      <w:r w:rsidR="00D2705D" w:rsidRPr="009C5807">
        <w:rPr>
          <w:vertAlign w:val="subscript"/>
        </w:rPr>
        <w:t>processing</w:t>
      </w:r>
      <w:r w:rsidR="00D2705D" w:rsidRPr="009C5807">
        <w:t xml:space="preserve"> is time for UE processing. T</w:t>
      </w:r>
      <w:r w:rsidR="00D2705D" w:rsidRPr="009C5807">
        <w:rPr>
          <w:vertAlign w:val="subscript"/>
        </w:rPr>
        <w:t>processing</w:t>
      </w:r>
      <w:r w:rsidR="00D2705D" w:rsidRPr="009C5807">
        <w:t xml:space="preserve"> can be up to 20ms.</w:t>
      </w:r>
    </w:p>
    <w:p w14:paraId="360CED19" w14:textId="5B2C1020" w:rsidR="00D2705D" w:rsidRPr="009C5807" w:rsidRDefault="00357256" w:rsidP="00D2705D">
      <w:pPr>
        <w:pStyle w:val="B10"/>
      </w:pPr>
      <w:r w:rsidRPr="009C5807">
        <w:tab/>
      </w:r>
      <w:r w:rsidR="00D2705D" w:rsidRPr="009C5807">
        <w:t>T</w:t>
      </w:r>
      <w:r w:rsidR="00D2705D" w:rsidRPr="009C5807">
        <w:rPr>
          <w:vertAlign w:val="subscript"/>
        </w:rPr>
        <w:t>IU</w:t>
      </w:r>
      <w:r w:rsidR="00D2705D" w:rsidRPr="009C5807">
        <w:t xml:space="preserve"> is the interruption uncertainty in acquiring the first available PRACH occasion in the new cell. T</w:t>
      </w:r>
      <w:r w:rsidR="00D2705D" w:rsidRPr="009C5807">
        <w:rPr>
          <w:vertAlign w:val="subscript"/>
        </w:rPr>
        <w:t>IU</w:t>
      </w:r>
      <w:r w:rsidR="00D2705D" w:rsidRPr="009C5807">
        <w:t xml:space="preserve"> can be up to the summation of SSB to PRACH occasion association period and 10 ms. SSB to PRACH occasion associated period is defined in the table 8.1-1 of TS 38.213 [3]</w:t>
      </w:r>
    </w:p>
    <w:p w14:paraId="28F0B6F1" w14:textId="447381D4" w:rsidR="00D2705D" w:rsidRPr="009C5807" w:rsidRDefault="00357256" w:rsidP="00D2705D">
      <w:pPr>
        <w:pStyle w:val="B10"/>
      </w:pPr>
      <w:r w:rsidRPr="009C5807">
        <w:tab/>
      </w:r>
      <w:r w:rsidR="00D2705D" w:rsidRPr="009C5807">
        <w:t>T</w:t>
      </w:r>
      <w:r w:rsidR="00D2705D" w:rsidRPr="009C5807">
        <w:rPr>
          <w:vertAlign w:val="subscript"/>
        </w:rPr>
        <w:t>∆</w:t>
      </w:r>
      <w:r w:rsidR="00D2705D" w:rsidRPr="009C5807">
        <w:t xml:space="preserve"> is time for fine time tracking and acquiring full timing information of the target cell. T</w:t>
      </w:r>
      <w:r w:rsidR="00D2705D" w:rsidRPr="009C5807">
        <w:rPr>
          <w:vertAlign w:val="subscript"/>
        </w:rPr>
        <w:t>Δ</w:t>
      </w:r>
      <w:r w:rsidR="00D2705D" w:rsidRPr="009C5807">
        <w:t xml:space="preserve"> = T</w:t>
      </w:r>
      <w:r w:rsidR="00D2705D" w:rsidRPr="009C5807">
        <w:rPr>
          <w:vertAlign w:val="subscript"/>
        </w:rPr>
        <w:t>rs</w:t>
      </w:r>
      <w:r w:rsidR="00D2705D" w:rsidRPr="009C5807">
        <w:t>.</w:t>
      </w:r>
    </w:p>
    <w:p w14:paraId="35A713BE" w14:textId="1E487291" w:rsidR="00D2705D" w:rsidRPr="009C5807" w:rsidRDefault="00357256" w:rsidP="00D2705D">
      <w:pPr>
        <w:pStyle w:val="B10"/>
      </w:pPr>
      <w:r w:rsidRPr="009C5807">
        <w:rPr>
          <w:lang w:eastAsia="zh-CN"/>
        </w:rPr>
        <w:tab/>
      </w:r>
      <w:r w:rsidR="00D2705D" w:rsidRPr="009C5807">
        <w:rPr>
          <w:lang w:eastAsia="zh-CN"/>
        </w:rPr>
        <w:t>T</w:t>
      </w:r>
      <w:r w:rsidR="00D2705D" w:rsidRPr="009C5807">
        <w:rPr>
          <w:vertAlign w:val="subscript"/>
          <w:lang w:eastAsia="zh-CN"/>
        </w:rPr>
        <w:t xml:space="preserve">margin </w:t>
      </w:r>
      <w:r w:rsidR="00D2705D" w:rsidRPr="009C5807">
        <w:rPr>
          <w:lang w:eastAsia="zh-CN"/>
        </w:rPr>
        <w:t>is time for SSB post-processing. T</w:t>
      </w:r>
      <w:r w:rsidR="00D2705D" w:rsidRPr="009C5807">
        <w:rPr>
          <w:vertAlign w:val="subscript"/>
          <w:lang w:eastAsia="zh-CN"/>
        </w:rPr>
        <w:t xml:space="preserve">margin </w:t>
      </w:r>
      <w:r w:rsidR="00D2705D" w:rsidRPr="009C5807">
        <w:rPr>
          <w:lang w:eastAsia="zh-CN"/>
        </w:rPr>
        <w:t>can be up to 2ms.</w:t>
      </w:r>
    </w:p>
    <w:p w14:paraId="65AD31D8" w14:textId="5C5FE244" w:rsidR="00D2705D" w:rsidRPr="009C5807" w:rsidRDefault="00357256" w:rsidP="00D2705D">
      <w:pPr>
        <w:pStyle w:val="B10"/>
      </w:pPr>
      <w:r w:rsidRPr="009C5807">
        <w:tab/>
      </w:r>
      <w:r w:rsidR="00D2705D" w:rsidRPr="009C5807">
        <w:t>T</w:t>
      </w:r>
      <w:r w:rsidR="00D2705D" w:rsidRPr="009C5807">
        <w:rPr>
          <w:vertAlign w:val="subscript"/>
        </w:rPr>
        <w:t>rs</w:t>
      </w:r>
      <w:r w:rsidR="00D2705D" w:rsidRPr="009C5807">
        <w:t xml:space="preserve"> is the SMTC periodicity of the target NR cell if the UE has been provided with an SMTC configuration for the target cellin the handover command, otherwise Trs is the SMTC configured in the measObjectNR having the same SSB frequency and subcarrier spacing. If the UE is not provided SMTC configuration or measurement object on this frequency, the requirement in this clause is applied with T</w:t>
      </w:r>
      <w:r w:rsidR="00D2705D" w:rsidRPr="009C5807">
        <w:rPr>
          <w:vertAlign w:val="subscript"/>
        </w:rPr>
        <w:t>rs</w:t>
      </w:r>
      <w:r w:rsidR="00D2705D" w:rsidRPr="009C5807">
        <w:t xml:space="preserve">=5ms assuming the SSB transmission periodicity is 5ms. There is no requirement if the SSB transmission periodicity is not 5ms. If the UE has been provided with higher layer in TS 38.331 [2] signaling of </w:t>
      </w:r>
      <w:r w:rsidR="00D2705D" w:rsidRPr="009C5807">
        <w:rPr>
          <w:i/>
        </w:rPr>
        <w:t>smtc2</w:t>
      </w:r>
      <w:r w:rsidR="00D2705D" w:rsidRPr="009C5807">
        <w:rPr>
          <w:b/>
        </w:rPr>
        <w:t xml:space="preserve"> </w:t>
      </w:r>
      <w:r w:rsidR="00D2705D" w:rsidRPr="009C5807">
        <w:t>prior to the handover command, T</w:t>
      </w:r>
      <w:r w:rsidR="00D2705D" w:rsidRPr="009C5807">
        <w:rPr>
          <w:vertAlign w:val="subscript"/>
        </w:rPr>
        <w:t>rs</w:t>
      </w:r>
      <w:r w:rsidR="00D2705D" w:rsidRPr="009C5807">
        <w:t xml:space="preserve"> follows </w:t>
      </w:r>
      <w:r w:rsidR="00D2705D" w:rsidRPr="009C5807">
        <w:rPr>
          <w:i/>
        </w:rPr>
        <w:t>smtc1</w:t>
      </w:r>
      <w:r w:rsidR="00D2705D" w:rsidRPr="009C5807">
        <w:t xml:space="preserve"> or </w:t>
      </w:r>
      <w:r w:rsidR="00D2705D" w:rsidRPr="009C5807">
        <w:rPr>
          <w:i/>
        </w:rPr>
        <w:t>smtc2</w:t>
      </w:r>
      <w:r w:rsidR="00D2705D" w:rsidRPr="009C5807">
        <w:t xml:space="preserve"> according to the physical cell ID of the target cell.</w:t>
      </w:r>
    </w:p>
    <w:p w14:paraId="405E12CC" w14:textId="77777777" w:rsidR="00D2705D" w:rsidRPr="009C5807" w:rsidRDefault="00D2705D" w:rsidP="00D2705D">
      <w:pPr>
        <w:pStyle w:val="NO"/>
      </w:pPr>
      <w:r w:rsidRPr="009C5807">
        <w:t>NOTE 1:</w:t>
      </w:r>
      <w:r w:rsidRPr="009C5807">
        <w:tab/>
        <w:t>The actual value of T</w:t>
      </w:r>
      <w:r w:rsidRPr="009C5807">
        <w:rPr>
          <w:vertAlign w:val="subscript"/>
        </w:rPr>
        <w:t>IU</w:t>
      </w:r>
      <w:r w:rsidRPr="009C5807">
        <w:t xml:space="preserve"> shall depend upon the PRACH configuration used in the target cell.</w:t>
      </w:r>
    </w:p>
    <w:p w14:paraId="7403E217" w14:textId="77777777" w:rsidR="00D2705D" w:rsidRPr="009C5807" w:rsidRDefault="00D2705D" w:rsidP="00D2705D">
      <w:pPr>
        <w:pStyle w:val="Heading4"/>
        <w:rPr>
          <w:lang w:val="en-US" w:eastAsia="zh-CN"/>
        </w:rPr>
      </w:pPr>
      <w:r w:rsidRPr="009C5807">
        <w:rPr>
          <w:lang w:val="en-US" w:eastAsia="zh-CN"/>
        </w:rPr>
        <w:t>6.1.4.5</w:t>
      </w:r>
      <w:r w:rsidRPr="009C5807">
        <w:rPr>
          <w:lang w:val="en-US" w:eastAsia="zh-CN"/>
        </w:rPr>
        <w:tab/>
        <w:t>NR FR1 – NR FR2 conditional handover</w:t>
      </w:r>
    </w:p>
    <w:p w14:paraId="54057F38" w14:textId="77777777" w:rsidR="00D2705D" w:rsidRPr="009C5807" w:rsidRDefault="00D2705D" w:rsidP="00D2705D">
      <w:r w:rsidRPr="009C5807">
        <w:t>The requirements in this clause are applicable to inter-frequency conditional handover from NR FR1 cell to NR FR2 cell.</w:t>
      </w:r>
    </w:p>
    <w:p w14:paraId="71EE72B7" w14:textId="308D351B" w:rsidR="00D2705D" w:rsidRPr="009C5807" w:rsidRDefault="00D2705D" w:rsidP="00D2705D">
      <w:r w:rsidRPr="009C5807">
        <w:t xml:space="preserve">The requirements defined in </w:t>
      </w:r>
      <w:r w:rsidR="0063092D">
        <w:t>clause</w:t>
      </w:r>
      <w:r w:rsidRPr="009C5807">
        <w:t xml:space="preserve"> 6.1.4.4 applies assuming inter-frequency handover and:</w:t>
      </w:r>
    </w:p>
    <w:p w14:paraId="63B3BB7B" w14:textId="3FE8DEE5" w:rsidR="00D2705D" w:rsidRDefault="00231BA1" w:rsidP="00D2705D">
      <w:pPr>
        <w:pStyle w:val="B10"/>
      </w:pPr>
      <w:r>
        <w:tab/>
      </w:r>
      <w:r w:rsidR="00D2705D" w:rsidRPr="009C5807">
        <w:t>T</w:t>
      </w:r>
      <w:r w:rsidR="00D2705D" w:rsidRPr="009C5807">
        <w:rPr>
          <w:vertAlign w:val="subscript"/>
        </w:rPr>
        <w:t>processing</w:t>
      </w:r>
      <w:r w:rsidR="00D2705D" w:rsidRPr="009C5807">
        <w:t xml:space="preserve"> is time for UE processing. T</w:t>
      </w:r>
      <w:r w:rsidR="00D2705D" w:rsidRPr="009C5807">
        <w:rPr>
          <w:vertAlign w:val="subscript"/>
        </w:rPr>
        <w:t>processing</w:t>
      </w:r>
      <w:r w:rsidR="00D2705D" w:rsidRPr="009C5807">
        <w:t xml:space="preserve"> can be up to 40ms.</w:t>
      </w:r>
    </w:p>
    <w:p w14:paraId="36719B89" w14:textId="77777777" w:rsidR="008619CA" w:rsidRPr="009C5807" w:rsidRDefault="008619CA" w:rsidP="008619CA">
      <w:pPr>
        <w:pStyle w:val="Heading3"/>
        <w:rPr>
          <w:lang w:val="en-US" w:eastAsia="ko-KR"/>
        </w:rPr>
      </w:pPr>
      <w:r w:rsidRPr="009C5807">
        <w:rPr>
          <w:lang w:val="en-US" w:eastAsia="ko-KR"/>
        </w:rPr>
        <w:t>6.1.</w:t>
      </w:r>
      <w:r>
        <w:rPr>
          <w:lang w:val="en-US" w:eastAsia="ko-KR"/>
        </w:rPr>
        <w:t>5</w:t>
      </w:r>
      <w:r w:rsidRPr="009C5807">
        <w:rPr>
          <w:lang w:val="en-US" w:eastAsia="ko-KR"/>
        </w:rPr>
        <w:tab/>
        <w:t>NR Hando</w:t>
      </w:r>
      <w:r>
        <w:rPr>
          <w:lang w:val="en-US" w:eastAsia="ko-KR"/>
        </w:rPr>
        <w:t>ver with PSCell</w:t>
      </w:r>
    </w:p>
    <w:p w14:paraId="3F68BA93" w14:textId="77777777" w:rsidR="008619CA" w:rsidRPr="009C5807" w:rsidRDefault="008619CA" w:rsidP="008619CA">
      <w:pPr>
        <w:pStyle w:val="Heading4"/>
        <w:rPr>
          <w:lang w:val="en-US" w:eastAsia="zh-CN"/>
        </w:rPr>
      </w:pPr>
      <w:r w:rsidRPr="009C5807">
        <w:rPr>
          <w:lang w:val="en-US" w:eastAsia="zh-CN"/>
        </w:rPr>
        <w:t>6.1.</w:t>
      </w:r>
      <w:r>
        <w:rPr>
          <w:lang w:val="en-US" w:eastAsia="zh-CN"/>
        </w:rPr>
        <w:t>5</w:t>
      </w:r>
      <w:r w:rsidRPr="009C5807">
        <w:rPr>
          <w:lang w:val="en-US" w:eastAsia="zh-CN"/>
        </w:rPr>
        <w:t>.1</w:t>
      </w:r>
      <w:r w:rsidRPr="009C5807">
        <w:rPr>
          <w:lang w:val="en-US" w:eastAsia="zh-CN"/>
        </w:rPr>
        <w:tab/>
        <w:t>Introduction</w:t>
      </w:r>
    </w:p>
    <w:p w14:paraId="2FCA7125" w14:textId="77777777" w:rsidR="008619CA" w:rsidRDefault="008619CA" w:rsidP="008619CA">
      <w:r w:rsidRPr="009C5807">
        <w:t>The purpose of NR handover</w:t>
      </w:r>
      <w:r>
        <w:t xml:space="preserve"> with PSCell</w:t>
      </w:r>
      <w:r w:rsidRPr="009C5807">
        <w:t xml:space="preserve"> is to change the NR PCell to another NR cell</w:t>
      </w:r>
      <w:r>
        <w:t xml:space="preserve"> or E-UTRA cell and add or change the PSCell along with PCell handover</w:t>
      </w:r>
      <w:r w:rsidRPr="009C5807">
        <w:t>. The requirements in this clause are applicable t</w:t>
      </w:r>
      <w:r>
        <w:t>o:</w:t>
      </w:r>
    </w:p>
    <w:p w14:paraId="046366D2" w14:textId="54C46046" w:rsidR="008619CA" w:rsidRDefault="00CE427E" w:rsidP="008619CA">
      <w:pPr>
        <w:pStyle w:val="B10"/>
      </w:pPr>
      <w:r w:rsidRPr="000506D8">
        <w:rPr>
          <w:lang w:val="en-US" w:eastAsia="zh-CN"/>
        </w:rPr>
        <w:t>-</w:t>
      </w:r>
      <w:r w:rsidRPr="000506D8">
        <w:rPr>
          <w:lang w:val="en-US" w:eastAsia="zh-CN"/>
        </w:rPr>
        <w:tab/>
      </w:r>
      <w:r w:rsidR="008619CA">
        <w:rPr>
          <w:lang w:val="en-US"/>
        </w:rPr>
        <w:t xml:space="preserve">Handover with PSCell from </w:t>
      </w:r>
      <w:r w:rsidR="008619CA">
        <w:t>NR SA to EN-DC</w:t>
      </w:r>
    </w:p>
    <w:p w14:paraId="746C399D" w14:textId="0CAE5279" w:rsidR="008619CA" w:rsidRPr="00C363A9" w:rsidRDefault="00CE427E" w:rsidP="008619CA">
      <w:pPr>
        <w:pStyle w:val="B10"/>
      </w:pPr>
      <w:r w:rsidRPr="000506D8">
        <w:rPr>
          <w:lang w:val="en-US" w:eastAsia="zh-CN"/>
        </w:rPr>
        <w:t>-</w:t>
      </w:r>
      <w:r w:rsidRPr="000506D8">
        <w:rPr>
          <w:lang w:val="en-US" w:eastAsia="zh-CN"/>
        </w:rPr>
        <w:tab/>
      </w:r>
      <w:r w:rsidR="008619CA">
        <w:rPr>
          <w:lang w:val="en-US"/>
        </w:rPr>
        <w:t>Handover with PSCell from NR-DC to NR-DC</w:t>
      </w:r>
    </w:p>
    <w:p w14:paraId="76EB2621" w14:textId="4A22AAEC" w:rsidR="008619CA" w:rsidRPr="00C363A9" w:rsidRDefault="00CE427E" w:rsidP="008619CA">
      <w:pPr>
        <w:pStyle w:val="B20"/>
      </w:pPr>
      <w:r w:rsidRPr="000506D8">
        <w:rPr>
          <w:lang w:val="en-US" w:eastAsia="zh-CN"/>
        </w:rPr>
        <w:t>-</w:t>
      </w:r>
      <w:r w:rsidRPr="000506D8">
        <w:rPr>
          <w:lang w:val="en-US" w:eastAsia="zh-CN"/>
        </w:rPr>
        <w:tab/>
      </w:r>
      <w:r w:rsidR="008619CA">
        <w:t>Requirements in this clause only applies to FR1+FR2 NR-DC</w:t>
      </w:r>
    </w:p>
    <w:p w14:paraId="3622C7FC" w14:textId="2F03F621" w:rsidR="008619CA" w:rsidRPr="00C363A9" w:rsidRDefault="00CE427E" w:rsidP="008619CA">
      <w:pPr>
        <w:pStyle w:val="B10"/>
      </w:pPr>
      <w:r w:rsidRPr="000506D8">
        <w:rPr>
          <w:lang w:val="en-US" w:eastAsia="zh-CN"/>
        </w:rPr>
        <w:t>-</w:t>
      </w:r>
      <w:r w:rsidRPr="000506D8">
        <w:rPr>
          <w:lang w:val="en-US" w:eastAsia="zh-CN"/>
        </w:rPr>
        <w:tab/>
      </w:r>
      <w:r w:rsidR="008619CA">
        <w:rPr>
          <w:lang w:val="en-US"/>
        </w:rPr>
        <w:t>Handover with PSCell from NE-DC to NE-DC</w:t>
      </w:r>
    </w:p>
    <w:p w14:paraId="6F5EDC18" w14:textId="46061406" w:rsidR="008619CA" w:rsidRPr="005D4B0D" w:rsidRDefault="00CE427E" w:rsidP="008619CA">
      <w:pPr>
        <w:pStyle w:val="B20"/>
      </w:pPr>
      <w:r w:rsidRPr="000506D8">
        <w:rPr>
          <w:lang w:val="en-US" w:eastAsia="zh-CN"/>
        </w:rPr>
        <w:t>-</w:t>
      </w:r>
      <w:r w:rsidRPr="000506D8">
        <w:rPr>
          <w:lang w:val="en-US" w:eastAsia="zh-CN"/>
        </w:rPr>
        <w:tab/>
      </w:r>
      <w:r w:rsidR="008619CA">
        <w:t xml:space="preserve">Requirements in this clause only applies to </w:t>
      </w:r>
      <w:r w:rsidR="008619CA">
        <w:rPr>
          <w:lang w:val="en-US"/>
        </w:rPr>
        <w:t>NE</w:t>
      </w:r>
      <w:r w:rsidR="008619CA">
        <w:t>-DC</w:t>
      </w:r>
      <w:r w:rsidR="008619CA">
        <w:rPr>
          <w:lang w:val="en-US"/>
        </w:rPr>
        <w:t xml:space="preserve"> with FR1 PCell</w:t>
      </w:r>
    </w:p>
    <w:p w14:paraId="252E84D9" w14:textId="77777777" w:rsidR="008619CA" w:rsidRPr="009C5807" w:rsidRDefault="008619CA" w:rsidP="008619CA">
      <w:pPr>
        <w:pStyle w:val="Heading4"/>
        <w:rPr>
          <w:lang w:val="en-US" w:eastAsia="zh-CN"/>
        </w:rPr>
      </w:pPr>
      <w:r w:rsidRPr="009C5807">
        <w:rPr>
          <w:lang w:val="en-US" w:eastAsia="zh-CN"/>
        </w:rPr>
        <w:t>6.1.</w:t>
      </w:r>
      <w:r>
        <w:rPr>
          <w:lang w:val="en-US" w:eastAsia="zh-CN"/>
        </w:rPr>
        <w:t>5</w:t>
      </w:r>
      <w:r w:rsidRPr="009C5807">
        <w:rPr>
          <w:lang w:val="en-US" w:eastAsia="zh-CN"/>
        </w:rPr>
        <w:t>.</w:t>
      </w:r>
      <w:r>
        <w:rPr>
          <w:lang w:val="en-US" w:eastAsia="zh-CN"/>
        </w:rPr>
        <w:t>2</w:t>
      </w:r>
      <w:r w:rsidRPr="009C5807">
        <w:rPr>
          <w:lang w:val="en-US" w:eastAsia="zh-CN"/>
        </w:rPr>
        <w:tab/>
      </w:r>
      <w:r>
        <w:rPr>
          <w:lang w:val="en-US" w:eastAsia="zh-CN"/>
        </w:rPr>
        <w:t xml:space="preserve">Handover </w:t>
      </w:r>
      <w:r w:rsidRPr="00393884">
        <w:rPr>
          <w:lang w:val="en-US" w:eastAsia="zh-CN"/>
        </w:rPr>
        <w:t>with PSCell from NR SA to EN-DC</w:t>
      </w:r>
    </w:p>
    <w:p w14:paraId="04AB43B0" w14:textId="77777777" w:rsidR="008619CA" w:rsidRPr="009C5807" w:rsidRDefault="008619CA" w:rsidP="008619CA">
      <w:r w:rsidRPr="009C5807">
        <w:t xml:space="preserve">The requirements in this clause are applicable to </w:t>
      </w:r>
      <w:r>
        <w:t>inter-RAT handover</w:t>
      </w:r>
      <w:r w:rsidRPr="009C5807">
        <w:t xml:space="preserve"> from </w:t>
      </w:r>
      <w:r>
        <w:t>NR</w:t>
      </w:r>
      <w:r w:rsidRPr="009C5807">
        <w:t xml:space="preserve"> to </w:t>
      </w:r>
      <w:r>
        <w:t>E-UTRAN and FR1/FR2 PSCell addition</w:t>
      </w:r>
      <w:r w:rsidRPr="009C5807">
        <w:t>.</w:t>
      </w:r>
    </w:p>
    <w:p w14:paraId="39507C06" w14:textId="77777777" w:rsidR="008619CA" w:rsidRPr="009C5807" w:rsidRDefault="008619CA" w:rsidP="008619CA">
      <w:pPr>
        <w:rPr>
          <w:rFonts w:cs="v4.2.0"/>
        </w:rPr>
      </w:pPr>
      <w:r w:rsidRPr="009C5807">
        <w:rPr>
          <w:rFonts w:cs="v4.2.0"/>
        </w:rPr>
        <w:t>When the UE receives a RRC message implying handover</w:t>
      </w:r>
      <w:r>
        <w:rPr>
          <w:rFonts w:cs="v4.2.0"/>
        </w:rPr>
        <w:t xml:space="preserve"> with PSCell,</w:t>
      </w:r>
      <w:r w:rsidRPr="009C5807">
        <w:rPr>
          <w:rFonts w:cs="v4.2.0"/>
        </w:rPr>
        <w:t xml:space="preserve"> the UE shall be ready to </w:t>
      </w:r>
      <w:r w:rsidRPr="009C5807">
        <w:rPr>
          <w:rFonts w:cs="v4.2.0"/>
          <w:snapToGrid w:val="0"/>
        </w:rPr>
        <w:t>start the transmission of the new uplink PRACH channel</w:t>
      </w:r>
      <w:r w:rsidRPr="009C5807">
        <w:rPr>
          <w:rFonts w:cs="v4.2.0"/>
        </w:rPr>
        <w:t xml:space="preserve"> </w:t>
      </w:r>
      <w:r>
        <w:rPr>
          <w:rFonts w:cs="v4.2.0"/>
        </w:rPr>
        <w:t xml:space="preserve">on target E-UTRA PCell </w:t>
      </w:r>
      <w:r w:rsidRPr="009C5807">
        <w:rPr>
          <w:rFonts w:cs="v4.2.0"/>
        </w:rPr>
        <w:t>within D</w:t>
      </w:r>
      <w:r>
        <w:rPr>
          <w:rFonts w:cs="v4.2.0"/>
          <w:vertAlign w:val="subscript"/>
        </w:rPr>
        <w:t>HOwithPSCell_PCell</w:t>
      </w:r>
      <w:r w:rsidRPr="009C5807">
        <w:rPr>
          <w:rFonts w:cs="v4.2.0"/>
        </w:rPr>
        <w:t xml:space="preserve"> </w:t>
      </w:r>
      <w:r w:rsidRPr="009C5807">
        <w:rPr>
          <w:rFonts w:cs="v4.2.0" w:hint="eastAsia"/>
          <w:lang w:val="en-US" w:eastAsia="zh-CN"/>
        </w:rPr>
        <w:t xml:space="preserve">msec </w:t>
      </w:r>
      <w:r w:rsidRPr="009C5807">
        <w:rPr>
          <w:rFonts w:cs="v4.2.0"/>
        </w:rPr>
        <w:t>from the end of the last TTI containing the RRC command</w:t>
      </w:r>
      <w:r>
        <w:rPr>
          <w:rFonts w:cs="v4.2.0"/>
        </w:rPr>
        <w:t xml:space="preserve">, and </w:t>
      </w:r>
      <w:r w:rsidRPr="009C5807">
        <w:rPr>
          <w:rFonts w:cs="v4.2.0"/>
        </w:rPr>
        <w:t xml:space="preserve">the UE shall be ready to </w:t>
      </w:r>
      <w:r w:rsidRPr="009C5807">
        <w:rPr>
          <w:rFonts w:cs="v4.2.0"/>
          <w:snapToGrid w:val="0"/>
        </w:rPr>
        <w:t>start the transmission of the new uplink PRACH channel</w:t>
      </w:r>
      <w:r w:rsidRPr="009C5807">
        <w:rPr>
          <w:rFonts w:cs="v4.2.0"/>
        </w:rPr>
        <w:t xml:space="preserve"> </w:t>
      </w:r>
      <w:r>
        <w:rPr>
          <w:rFonts w:cs="v4.2.0"/>
        </w:rPr>
        <w:t xml:space="preserve">on target PSCell </w:t>
      </w:r>
      <w:r w:rsidRPr="009C5807">
        <w:rPr>
          <w:rFonts w:cs="v4.2.0"/>
        </w:rPr>
        <w:t>within D</w:t>
      </w:r>
      <w:r>
        <w:rPr>
          <w:rFonts w:cs="v4.2.0"/>
          <w:vertAlign w:val="subscript"/>
        </w:rPr>
        <w:t>HOwithPSCell_PSCell</w:t>
      </w:r>
      <w:r w:rsidRPr="009C5807">
        <w:rPr>
          <w:rFonts w:cs="v4.2.0"/>
        </w:rPr>
        <w:t xml:space="preserve"> </w:t>
      </w:r>
      <w:r w:rsidRPr="009C5807">
        <w:rPr>
          <w:rFonts w:cs="v4.2.0" w:hint="eastAsia"/>
          <w:lang w:val="en-US" w:eastAsia="zh-CN"/>
        </w:rPr>
        <w:t xml:space="preserve">msec </w:t>
      </w:r>
      <w:r w:rsidRPr="009C5807">
        <w:rPr>
          <w:rFonts w:cs="v4.2.0"/>
        </w:rPr>
        <w:t>from the end of the last TTI containing the RRC command</w:t>
      </w:r>
      <w:r>
        <w:rPr>
          <w:rFonts w:cs="v4.2.0"/>
        </w:rPr>
        <w:t>.</w:t>
      </w:r>
    </w:p>
    <w:p w14:paraId="5FB2B7C9" w14:textId="77777777" w:rsidR="008619CA" w:rsidRPr="009C5807" w:rsidRDefault="008619CA" w:rsidP="008619CA">
      <w:pPr>
        <w:rPr>
          <w:rFonts w:cs="v4.2.0"/>
        </w:rPr>
      </w:pPr>
      <w:r w:rsidRPr="009C5807">
        <w:rPr>
          <w:rFonts w:cs="v4.2.0"/>
        </w:rPr>
        <w:t>Where:</w:t>
      </w:r>
    </w:p>
    <w:p w14:paraId="66419067" w14:textId="4E7159EA" w:rsidR="008619CA" w:rsidRDefault="00CE427E" w:rsidP="00CE427E">
      <w:pPr>
        <w:pStyle w:val="B10"/>
      </w:pPr>
      <w:r w:rsidRPr="000506D8">
        <w:rPr>
          <w:lang w:val="en-US" w:eastAsia="zh-CN"/>
        </w:rPr>
        <w:t>-</w:t>
      </w:r>
      <w:r w:rsidRPr="000506D8">
        <w:rPr>
          <w:lang w:val="en-US" w:eastAsia="zh-CN"/>
        </w:rPr>
        <w:tab/>
      </w:r>
      <w:r w:rsidR="008619CA" w:rsidRPr="009C5807">
        <w:t>D</w:t>
      </w:r>
      <w:r w:rsidR="008619CA">
        <w:rPr>
          <w:vertAlign w:val="subscript"/>
        </w:rPr>
        <w:t>HOwithPSCell_PCell</w:t>
      </w:r>
      <w:r w:rsidR="008619CA" w:rsidRPr="009C5807">
        <w:t xml:space="preserve"> equals the </w:t>
      </w:r>
      <w:r w:rsidR="008619CA" w:rsidRPr="009C5807">
        <w:rPr>
          <w:rFonts w:hint="eastAsia"/>
          <w:lang w:val="en-US" w:eastAsia="zh-CN"/>
        </w:rPr>
        <w:t>applicable</w:t>
      </w:r>
      <w:r w:rsidR="008619CA" w:rsidRPr="009C5807">
        <w:t xml:space="preserve"> RRC procedure delay</w:t>
      </w:r>
      <w:r w:rsidR="008619CA">
        <w:t xml:space="preserve"> (i.e., 50ms)</w:t>
      </w:r>
      <w:r w:rsidR="008619CA" w:rsidRPr="009C5807">
        <w:t xml:space="preserve"> plus the interruption time stated in clause</w:t>
      </w:r>
      <w:r>
        <w:t xml:space="preserve"> </w:t>
      </w:r>
      <w:r w:rsidR="008619CA" w:rsidRPr="009C5807">
        <w:t>6.1.</w:t>
      </w:r>
      <w:r>
        <w:t>5</w:t>
      </w:r>
      <w:r w:rsidR="008619CA" w:rsidRPr="009C5807">
        <w:t>.2.</w:t>
      </w:r>
      <w:r w:rsidR="008619CA">
        <w:t>1</w:t>
      </w:r>
      <w:r w:rsidR="008619CA" w:rsidRPr="009C5807">
        <w:t>.</w:t>
      </w:r>
    </w:p>
    <w:p w14:paraId="7C4DBF51" w14:textId="1A62B329" w:rsidR="008619CA" w:rsidRDefault="00CE427E" w:rsidP="00CE427E">
      <w:pPr>
        <w:pStyle w:val="B10"/>
      </w:pPr>
      <w:r w:rsidRPr="000506D8">
        <w:rPr>
          <w:lang w:val="en-US" w:eastAsia="zh-CN"/>
        </w:rPr>
        <w:t>-</w:t>
      </w:r>
      <w:r w:rsidRPr="000506D8">
        <w:rPr>
          <w:lang w:val="en-US" w:eastAsia="zh-CN"/>
        </w:rPr>
        <w:tab/>
      </w:r>
      <w:r w:rsidR="008619CA" w:rsidRPr="009C5807">
        <w:t>D</w:t>
      </w:r>
      <w:r w:rsidR="008619CA">
        <w:rPr>
          <w:vertAlign w:val="subscript"/>
        </w:rPr>
        <w:t>HOwithPSCell_PSCell</w:t>
      </w:r>
      <w:r w:rsidR="008619CA" w:rsidRPr="009C5807">
        <w:t xml:space="preserve"> equals the </w:t>
      </w:r>
      <w:r w:rsidR="008619CA">
        <w:rPr>
          <w:lang w:val="en-US" w:eastAsia="zh-CN"/>
        </w:rPr>
        <w:t>PSCell addition delay</w:t>
      </w:r>
      <w:r w:rsidR="008619CA" w:rsidRPr="009C5807">
        <w:t xml:space="preserve"> stated in clause</w:t>
      </w:r>
      <w:r>
        <w:t xml:space="preserve"> </w:t>
      </w:r>
      <w:r w:rsidR="008619CA" w:rsidRPr="009C5807">
        <w:t>6.1.</w:t>
      </w:r>
      <w:r>
        <w:t>5</w:t>
      </w:r>
      <w:r w:rsidR="008619CA" w:rsidRPr="009C5807">
        <w:t>.2.</w:t>
      </w:r>
      <w:r w:rsidR="008619CA">
        <w:t>2</w:t>
      </w:r>
      <w:r w:rsidR="008619CA" w:rsidRPr="009C5807">
        <w:t>.</w:t>
      </w:r>
    </w:p>
    <w:p w14:paraId="4DB188F3" w14:textId="77777777" w:rsidR="008619CA" w:rsidRDefault="008619CA" w:rsidP="008619CA">
      <w:pPr>
        <w:pStyle w:val="Heading5"/>
      </w:pPr>
      <w:r w:rsidRPr="009C5807">
        <w:rPr>
          <w:lang w:val="en-US" w:eastAsia="zh-CN"/>
        </w:rPr>
        <w:t>6.</w:t>
      </w:r>
      <w:r>
        <w:rPr>
          <w:lang w:val="en-US" w:eastAsia="zh-CN"/>
        </w:rPr>
        <w:t>1</w:t>
      </w:r>
      <w:r w:rsidRPr="009C5807">
        <w:rPr>
          <w:lang w:val="en-US" w:eastAsia="zh-CN"/>
        </w:rPr>
        <w:t>.</w:t>
      </w:r>
      <w:r>
        <w:rPr>
          <w:lang w:val="en-US" w:eastAsia="zh-CN"/>
        </w:rPr>
        <w:t>5.2.1</w:t>
      </w:r>
      <w:r w:rsidRPr="009C5807">
        <w:rPr>
          <w:lang w:val="en-US" w:eastAsia="zh-CN"/>
        </w:rPr>
        <w:tab/>
        <w:t>Interruption time</w:t>
      </w:r>
      <w:r>
        <w:rPr>
          <w:lang w:val="en-US" w:eastAsia="zh-CN"/>
        </w:rPr>
        <w:t xml:space="preserve"> </w:t>
      </w:r>
      <w:r>
        <w:rPr>
          <w:rFonts w:hint="eastAsia"/>
          <w:lang w:val="en-US" w:eastAsia="zh-CN"/>
        </w:rPr>
        <w:t>for</w:t>
      </w:r>
      <w:r>
        <w:rPr>
          <w:lang w:val="en-US" w:eastAsia="zh-CN"/>
        </w:rPr>
        <w:t xml:space="preserve"> inter-RAT HO </w:t>
      </w:r>
      <w:r w:rsidRPr="009C5807">
        <w:t xml:space="preserve">from </w:t>
      </w:r>
      <w:r>
        <w:t>NR</w:t>
      </w:r>
      <w:r w:rsidRPr="009C5807">
        <w:t xml:space="preserve"> to </w:t>
      </w:r>
      <w:r>
        <w:t>E-UTRAN</w:t>
      </w:r>
    </w:p>
    <w:p w14:paraId="2EDFBC4D" w14:textId="77777777" w:rsidR="008619CA" w:rsidRPr="009C5807" w:rsidRDefault="008619CA" w:rsidP="008619CA">
      <w:pPr>
        <w:rPr>
          <w:rFonts w:cs="v4.2.0"/>
        </w:rPr>
      </w:pPr>
      <w:r w:rsidRPr="009C5807">
        <w:rPr>
          <w:rFonts w:cs="v4.2.0"/>
        </w:rPr>
        <w:t>The interruption time is the time between end of the last TTI containing the RRC command on the old PDSCH and the time the UE starts transmission of the new PRACH</w:t>
      </w:r>
      <w:r w:rsidRPr="009C5807">
        <w:rPr>
          <w:rFonts w:eastAsia="MS Mincho" w:cs="v4.2.0"/>
        </w:rPr>
        <w:t>, excluding the RRC procedure delay</w:t>
      </w:r>
    </w:p>
    <w:p w14:paraId="5847B0A2" w14:textId="77777777" w:rsidR="008619CA" w:rsidRPr="009C5807" w:rsidRDefault="008619CA" w:rsidP="008619CA">
      <w:pPr>
        <w:rPr>
          <w:rFonts w:cs="v4.2.0"/>
          <w:position w:val="-6"/>
        </w:rPr>
      </w:pPr>
      <w:r w:rsidRPr="009C5807">
        <w:rPr>
          <w:rFonts w:cs="v4.2.0"/>
        </w:rPr>
        <w:t>When handover</w:t>
      </w:r>
      <w:r>
        <w:rPr>
          <w:rFonts w:cs="v4.2.0"/>
        </w:rPr>
        <w:t xml:space="preserve"> with PSCell </w:t>
      </w:r>
      <w:r>
        <w:rPr>
          <w:lang w:val="en-US"/>
        </w:rPr>
        <w:t xml:space="preserve">from </w:t>
      </w:r>
      <w:r>
        <w:t>NR SA to EN-DC</w:t>
      </w:r>
      <w:r w:rsidRPr="009C5807">
        <w:rPr>
          <w:rFonts w:cs="v4.2.0"/>
        </w:rPr>
        <w:t xml:space="preserve"> is commanded, the interruption time shall be less than T</w:t>
      </w:r>
      <w:r w:rsidRPr="009C5807">
        <w:rPr>
          <w:rFonts w:cs="v4.2.0"/>
          <w:vertAlign w:val="subscript"/>
        </w:rPr>
        <w:t>interrupt</w:t>
      </w:r>
    </w:p>
    <w:p w14:paraId="51502ED0" w14:textId="77777777" w:rsidR="008619CA" w:rsidRPr="009C5807" w:rsidRDefault="008619CA" w:rsidP="008619CA">
      <w:pPr>
        <w:pStyle w:val="EQ"/>
      </w:pPr>
      <w:r w:rsidRPr="009C5807">
        <w:tab/>
      </w:r>
      <w:r w:rsidRPr="009C5807">
        <w:rPr>
          <w:rFonts w:cs="v4.2.0"/>
        </w:rPr>
        <w:t>T</w:t>
      </w:r>
      <w:r w:rsidRPr="009C5807">
        <w:rPr>
          <w:rFonts w:cs="v4.2.0"/>
          <w:vertAlign w:val="subscript"/>
        </w:rPr>
        <w:t>interrupt</w:t>
      </w:r>
      <w:r w:rsidRPr="009C5807">
        <w:t xml:space="preserve"> = T</w:t>
      </w:r>
      <w:r w:rsidRPr="009C5807">
        <w:rPr>
          <w:vertAlign w:val="subscript"/>
        </w:rPr>
        <w:t>search</w:t>
      </w:r>
      <w:r>
        <w:rPr>
          <w:vertAlign w:val="subscript"/>
        </w:rPr>
        <w:t>_HO</w:t>
      </w:r>
      <w:r w:rsidRPr="009C5807">
        <w:t xml:space="preserve"> + T</w:t>
      </w:r>
      <w:r w:rsidRPr="009C5807">
        <w:rPr>
          <w:vertAlign w:val="subscript"/>
        </w:rPr>
        <w:t>IU</w:t>
      </w:r>
      <w:r w:rsidRPr="009C5807">
        <w:t xml:space="preserve"> + T</w:t>
      </w:r>
      <w:r w:rsidRPr="009C5807">
        <w:rPr>
          <w:vertAlign w:val="subscript"/>
          <w:lang w:eastAsia="zh-CN"/>
        </w:rPr>
        <w:t>processing</w:t>
      </w:r>
      <w:r w:rsidRPr="009C5807" w:rsidDel="001D62E5">
        <w:rPr>
          <w:lang w:eastAsia="zh-CN"/>
        </w:rPr>
        <w:t xml:space="preserve"> </w:t>
      </w:r>
      <w:r w:rsidRPr="009C5807">
        <w:rPr>
          <w:vertAlign w:val="subscript"/>
          <w:lang w:eastAsia="zh-CN"/>
        </w:rPr>
        <w:t xml:space="preserve"> </w:t>
      </w:r>
    </w:p>
    <w:p w14:paraId="0C20B3FD" w14:textId="77777777" w:rsidR="008619CA" w:rsidRDefault="008619CA" w:rsidP="008619CA">
      <w:pPr>
        <w:rPr>
          <w:rFonts w:cs="v4.2.0"/>
        </w:rPr>
      </w:pPr>
      <w:r w:rsidRPr="009C5807">
        <w:rPr>
          <w:rFonts w:cs="v4.2.0"/>
        </w:rPr>
        <w:t>Where:</w:t>
      </w:r>
    </w:p>
    <w:p w14:paraId="5DA59CE4" w14:textId="6BABBC0E" w:rsidR="008619CA" w:rsidRPr="009C5807" w:rsidRDefault="00381894" w:rsidP="008619CA">
      <w:pPr>
        <w:pStyle w:val="B10"/>
        <w:ind w:left="274" w:firstLine="0"/>
      </w:pPr>
      <w:r>
        <w:rPr>
          <w:rFonts w:cs="v4.2.0"/>
        </w:rPr>
        <w:t>-</w:t>
      </w:r>
      <w:r>
        <w:rPr>
          <w:rFonts w:cs="v4.2.0"/>
        </w:rPr>
        <w:tab/>
      </w:r>
      <w:r w:rsidR="008619CA" w:rsidRPr="009C5807">
        <w:rPr>
          <w:rFonts w:cs="v4.2.0"/>
        </w:rPr>
        <w:t>T</w:t>
      </w:r>
      <w:r w:rsidR="008619CA" w:rsidRPr="009C5807">
        <w:rPr>
          <w:rFonts w:cs="v4.2.0"/>
          <w:vertAlign w:val="subscript"/>
        </w:rPr>
        <w:t>search</w:t>
      </w:r>
      <w:r w:rsidR="008619CA">
        <w:rPr>
          <w:rFonts w:cs="v4.2.0"/>
          <w:vertAlign w:val="subscript"/>
        </w:rPr>
        <w:t>_HO</w:t>
      </w:r>
      <w:r w:rsidR="008619CA" w:rsidRPr="009C5807">
        <w:rPr>
          <w:rFonts w:cs="v4.2.0"/>
        </w:rPr>
        <w:t xml:space="preserve"> </w:t>
      </w:r>
      <w:r w:rsidR="008619CA" w:rsidRPr="009C5807">
        <w:t xml:space="preserve">is </w:t>
      </w:r>
      <w:r w:rsidR="008619CA">
        <w:t xml:space="preserve">same as the </w:t>
      </w:r>
      <w:r w:rsidR="008619CA" w:rsidRPr="009C5807">
        <w:rPr>
          <w:rFonts w:cs="v4.2.0"/>
        </w:rPr>
        <w:t>T</w:t>
      </w:r>
      <w:r w:rsidR="008619CA" w:rsidRPr="009C5807">
        <w:rPr>
          <w:rFonts w:cs="v4.2.0"/>
          <w:vertAlign w:val="subscript"/>
        </w:rPr>
        <w:t>search</w:t>
      </w:r>
      <w:r w:rsidR="008619CA">
        <w:t xml:space="preserve"> defined in section 6.1.2.1.3.</w:t>
      </w:r>
    </w:p>
    <w:p w14:paraId="3580C892" w14:textId="365A4AC4" w:rsidR="008619CA" w:rsidRDefault="00381894" w:rsidP="008619CA">
      <w:pPr>
        <w:pStyle w:val="B10"/>
        <w:ind w:left="274" w:firstLine="0"/>
      </w:pPr>
      <w:r>
        <w:t>-</w:t>
      </w:r>
      <w:r>
        <w:tab/>
      </w:r>
      <w:r w:rsidR="008619CA" w:rsidRPr="009C5807">
        <w:t>T</w:t>
      </w:r>
      <w:r w:rsidR="008619CA" w:rsidRPr="009C5807">
        <w:rPr>
          <w:vertAlign w:val="subscript"/>
        </w:rPr>
        <w:t>IU</w:t>
      </w:r>
      <w:r w:rsidR="008619CA" w:rsidRPr="009C5807">
        <w:t xml:space="preserve"> is </w:t>
      </w:r>
      <w:r w:rsidR="008619CA">
        <w:t>same as the one defined in section 6.1.2.1.3.</w:t>
      </w:r>
    </w:p>
    <w:p w14:paraId="289B588A" w14:textId="40F30769" w:rsidR="008619CA" w:rsidRPr="00200158" w:rsidRDefault="00381894" w:rsidP="00381894">
      <w:pPr>
        <w:pStyle w:val="B10"/>
        <w:rPr>
          <w:lang w:val="en-US" w:eastAsia="zh-CN"/>
        </w:rPr>
      </w:pPr>
      <w:r>
        <w:rPr>
          <w:lang w:val="en-US" w:eastAsia="zh-CN"/>
        </w:rPr>
        <w:t>-</w:t>
      </w:r>
      <w:r>
        <w:rPr>
          <w:lang w:val="en-US" w:eastAsia="zh-CN"/>
        </w:rPr>
        <w:tab/>
      </w:r>
      <w:r w:rsidR="008619CA" w:rsidRPr="004E381B">
        <w:rPr>
          <w:lang w:val="en-US" w:eastAsia="zh-CN"/>
        </w:rPr>
        <w:t>T</w:t>
      </w:r>
      <w:r w:rsidR="008619CA" w:rsidRPr="004E381B">
        <w:rPr>
          <w:position w:val="-2"/>
          <w:sz w:val="12"/>
          <w:szCs w:val="12"/>
          <w:lang w:val="en-US" w:eastAsia="zh-CN"/>
        </w:rPr>
        <w:t xml:space="preserve">processing </w:t>
      </w:r>
      <w:r w:rsidR="008619CA" w:rsidRPr="004E381B">
        <w:rPr>
          <w:lang w:val="en-US" w:eastAsia="zh-CN"/>
        </w:rPr>
        <w:t xml:space="preserve">is the SW processing time needed by UE, including RF warm up period. </w:t>
      </w:r>
      <w:r w:rsidR="008619CA">
        <w:rPr>
          <w:lang w:val="en-US" w:eastAsia="zh-CN"/>
        </w:rPr>
        <w:t xml:space="preserve"> When target PSCell is unknown and </w:t>
      </w:r>
      <w:r w:rsidR="008619CA" w:rsidRPr="004E381B">
        <w:rPr>
          <w:lang w:val="en-US" w:eastAsia="zh-CN"/>
        </w:rPr>
        <w:t xml:space="preserve">SMTC configuration of target unknown PSCell is present in </w:t>
      </w:r>
      <w:r w:rsidR="008619CA" w:rsidRPr="00200158">
        <w:rPr>
          <w:i/>
          <w:iCs/>
          <w:lang w:val="en-US" w:eastAsia="zh-CN"/>
        </w:rPr>
        <w:t>RRCConnectionReconfiguration</w:t>
      </w:r>
      <w:r w:rsidR="008619CA">
        <w:rPr>
          <w:i/>
          <w:iCs/>
          <w:lang w:val="en-US" w:eastAsia="zh-CN"/>
        </w:rPr>
        <w:t xml:space="preserve"> </w:t>
      </w:r>
      <w:r w:rsidR="008619CA" w:rsidRPr="00200158">
        <w:rPr>
          <w:lang w:val="en-US" w:eastAsia="zh-CN"/>
        </w:rPr>
        <w:t>[</w:t>
      </w:r>
      <w:r w:rsidR="008619CA">
        <w:rPr>
          <w:lang w:val="en-US" w:eastAsia="zh-CN"/>
        </w:rPr>
        <w:t>2</w:t>
      </w:r>
      <w:r w:rsidR="008619CA" w:rsidRPr="00200158">
        <w:rPr>
          <w:lang w:val="en-US" w:eastAsia="zh-CN"/>
        </w:rPr>
        <w:t>]</w:t>
      </w:r>
      <w:r w:rsidR="008619CA">
        <w:rPr>
          <w:lang w:val="en-US" w:eastAsia="zh-CN"/>
        </w:rPr>
        <w:t>,</w:t>
      </w:r>
      <w:r w:rsidR="008619CA" w:rsidRPr="004E381B">
        <w:rPr>
          <w:lang w:val="en-US" w:eastAsia="zh-CN"/>
        </w:rPr>
        <w:t xml:space="preserve"> T</w:t>
      </w:r>
      <w:r w:rsidR="008619CA" w:rsidRPr="004E381B">
        <w:rPr>
          <w:position w:val="-2"/>
          <w:sz w:val="12"/>
          <w:szCs w:val="12"/>
          <w:lang w:val="en-US" w:eastAsia="zh-CN"/>
        </w:rPr>
        <w:t xml:space="preserve">processing </w:t>
      </w:r>
      <w:r w:rsidR="008619CA" w:rsidRPr="004E381B">
        <w:rPr>
          <w:lang w:val="en-US" w:eastAsia="zh-CN"/>
        </w:rPr>
        <w:t xml:space="preserve">= </w:t>
      </w:r>
      <w:r w:rsidR="008619CA">
        <w:rPr>
          <w:lang w:val="en-US" w:eastAsia="zh-CN"/>
        </w:rPr>
        <w:t>30</w:t>
      </w:r>
      <w:r w:rsidR="008619CA" w:rsidRPr="004E381B">
        <w:rPr>
          <w:lang w:val="en-US" w:eastAsia="zh-CN"/>
        </w:rPr>
        <w:t xml:space="preserve">ms if </w:t>
      </w:r>
      <w:r w:rsidR="008619CA">
        <w:rPr>
          <w:lang w:val="en-US" w:eastAsia="zh-CN"/>
        </w:rPr>
        <w:t xml:space="preserve">new </w:t>
      </w:r>
      <w:r w:rsidR="008619CA" w:rsidRPr="004E381B">
        <w:rPr>
          <w:lang w:val="en-US" w:eastAsia="zh-CN"/>
        </w:rPr>
        <w:t>PSCell is in FR1, T</w:t>
      </w:r>
      <w:r w:rsidR="008619CA" w:rsidRPr="004E381B">
        <w:rPr>
          <w:position w:val="-2"/>
          <w:sz w:val="12"/>
          <w:szCs w:val="12"/>
          <w:lang w:val="en-US" w:eastAsia="zh-CN"/>
        </w:rPr>
        <w:t xml:space="preserve">processing </w:t>
      </w:r>
      <w:r w:rsidR="008619CA" w:rsidRPr="004E381B">
        <w:rPr>
          <w:lang w:val="en-US" w:eastAsia="zh-CN"/>
        </w:rPr>
        <w:t xml:space="preserve">= </w:t>
      </w:r>
      <w:r w:rsidR="008619CA">
        <w:rPr>
          <w:lang w:val="en-US" w:eastAsia="zh-CN"/>
        </w:rPr>
        <w:t>50</w:t>
      </w:r>
      <w:r w:rsidR="008619CA" w:rsidRPr="004E381B">
        <w:rPr>
          <w:lang w:val="en-US" w:eastAsia="zh-CN"/>
        </w:rPr>
        <w:t xml:space="preserve">ms if </w:t>
      </w:r>
      <w:r w:rsidR="008619CA">
        <w:rPr>
          <w:lang w:val="en-US" w:eastAsia="zh-CN"/>
        </w:rPr>
        <w:t xml:space="preserve">new </w:t>
      </w:r>
      <w:r w:rsidR="008619CA" w:rsidRPr="004E381B">
        <w:rPr>
          <w:lang w:val="en-US" w:eastAsia="zh-CN"/>
        </w:rPr>
        <w:t>PSCell is in FR2</w:t>
      </w:r>
      <w:r w:rsidR="008619CA">
        <w:rPr>
          <w:lang w:val="en-US" w:eastAsia="zh-CN"/>
        </w:rPr>
        <w:t xml:space="preserve">; otherwise, </w:t>
      </w:r>
      <w:r w:rsidR="008619CA" w:rsidRPr="004E381B">
        <w:rPr>
          <w:lang w:val="en-US" w:eastAsia="zh-CN"/>
        </w:rPr>
        <w:t>T</w:t>
      </w:r>
      <w:r w:rsidR="008619CA" w:rsidRPr="004E381B">
        <w:rPr>
          <w:position w:val="-2"/>
          <w:sz w:val="12"/>
          <w:szCs w:val="12"/>
          <w:lang w:val="en-US" w:eastAsia="zh-CN"/>
        </w:rPr>
        <w:t xml:space="preserve">processing </w:t>
      </w:r>
      <w:r w:rsidR="008619CA" w:rsidRPr="004E381B">
        <w:rPr>
          <w:lang w:val="en-US" w:eastAsia="zh-CN"/>
        </w:rPr>
        <w:t xml:space="preserve">= </w:t>
      </w:r>
      <w:r w:rsidR="008619CA">
        <w:rPr>
          <w:lang w:val="en-US" w:eastAsia="zh-CN"/>
        </w:rPr>
        <w:t>25</w:t>
      </w:r>
      <w:r w:rsidR="008619CA" w:rsidRPr="004E381B">
        <w:rPr>
          <w:lang w:val="en-US" w:eastAsia="zh-CN"/>
        </w:rPr>
        <w:t xml:space="preserve">ms if </w:t>
      </w:r>
      <w:r w:rsidR="008619CA">
        <w:rPr>
          <w:lang w:val="en-US" w:eastAsia="zh-CN"/>
        </w:rPr>
        <w:t xml:space="preserve">new </w:t>
      </w:r>
      <w:r w:rsidR="008619CA" w:rsidRPr="004E381B">
        <w:rPr>
          <w:lang w:val="en-US" w:eastAsia="zh-CN"/>
        </w:rPr>
        <w:t>PSCell is in FR1, T</w:t>
      </w:r>
      <w:r w:rsidR="008619CA" w:rsidRPr="004E381B">
        <w:rPr>
          <w:position w:val="-2"/>
          <w:sz w:val="12"/>
          <w:szCs w:val="12"/>
          <w:lang w:val="en-US" w:eastAsia="zh-CN"/>
        </w:rPr>
        <w:t xml:space="preserve">processing </w:t>
      </w:r>
      <w:r w:rsidR="008619CA" w:rsidRPr="004E381B">
        <w:rPr>
          <w:lang w:val="en-US" w:eastAsia="zh-CN"/>
        </w:rPr>
        <w:t xml:space="preserve">= </w:t>
      </w:r>
      <w:r w:rsidR="008619CA">
        <w:rPr>
          <w:lang w:val="en-US" w:eastAsia="zh-CN"/>
        </w:rPr>
        <w:t>45</w:t>
      </w:r>
      <w:r w:rsidR="008619CA" w:rsidRPr="004E381B">
        <w:rPr>
          <w:lang w:val="en-US" w:eastAsia="zh-CN"/>
        </w:rPr>
        <w:t xml:space="preserve">ms if </w:t>
      </w:r>
      <w:r w:rsidR="008619CA">
        <w:rPr>
          <w:lang w:val="en-US" w:eastAsia="zh-CN"/>
        </w:rPr>
        <w:t xml:space="preserve">new </w:t>
      </w:r>
      <w:r w:rsidR="008619CA" w:rsidRPr="004E381B">
        <w:rPr>
          <w:lang w:val="en-US" w:eastAsia="zh-CN"/>
        </w:rPr>
        <w:t>PSCell is in FR2</w:t>
      </w:r>
      <w:r w:rsidR="008619CA">
        <w:rPr>
          <w:lang w:val="en-US" w:eastAsia="zh-CN"/>
        </w:rPr>
        <w:t>.</w:t>
      </w:r>
    </w:p>
    <w:p w14:paraId="6AA07541" w14:textId="77777777" w:rsidR="008619CA" w:rsidRPr="00C153D7" w:rsidRDefault="008619CA" w:rsidP="008619CA">
      <w:pPr>
        <w:rPr>
          <w:rFonts w:cs="v4.2.0"/>
        </w:rPr>
      </w:pPr>
      <w:r w:rsidRPr="00C153D7">
        <w:rPr>
          <w:rFonts w:cs="v4.2.0"/>
        </w:rPr>
        <w:t>In the interruption requirement a cell is known if it has been meeting the relevant cell identification requirement during the last 5 seconds otherwise it is unknown. Relevant E-UTRA cell identification requirements are described in clause 9.4.1.</w:t>
      </w:r>
    </w:p>
    <w:p w14:paraId="28BF37A0" w14:textId="77777777" w:rsidR="008619CA" w:rsidRPr="009C5807" w:rsidRDefault="008619CA" w:rsidP="008619CA">
      <w:pPr>
        <w:rPr>
          <w:rFonts w:cs="v4.2.0"/>
        </w:rPr>
      </w:pPr>
    </w:p>
    <w:p w14:paraId="4AC5B603" w14:textId="77777777" w:rsidR="008619CA" w:rsidRPr="009C5807" w:rsidRDefault="008619CA" w:rsidP="008619CA">
      <w:pPr>
        <w:pStyle w:val="Heading5"/>
        <w:rPr>
          <w:lang w:val="en-US" w:eastAsia="zh-CN"/>
        </w:rPr>
      </w:pPr>
      <w:r w:rsidRPr="009C5807">
        <w:rPr>
          <w:lang w:val="en-US" w:eastAsia="zh-CN"/>
        </w:rPr>
        <w:t>6.</w:t>
      </w:r>
      <w:r>
        <w:rPr>
          <w:lang w:val="en-US" w:eastAsia="zh-CN"/>
        </w:rPr>
        <w:t>1</w:t>
      </w:r>
      <w:r w:rsidRPr="009C5807">
        <w:rPr>
          <w:lang w:val="en-US" w:eastAsia="zh-CN"/>
        </w:rPr>
        <w:t>.</w:t>
      </w:r>
      <w:r>
        <w:rPr>
          <w:lang w:val="en-US" w:eastAsia="zh-CN"/>
        </w:rPr>
        <w:t>5.2.2</w:t>
      </w:r>
      <w:r w:rsidRPr="009C5807">
        <w:rPr>
          <w:lang w:val="en-US" w:eastAsia="zh-CN"/>
        </w:rPr>
        <w:tab/>
      </w:r>
      <w:r>
        <w:rPr>
          <w:lang w:val="en-US" w:eastAsia="zh-CN"/>
        </w:rPr>
        <w:t xml:space="preserve">PSCell addition in HO with PSCell </w:t>
      </w:r>
      <w:r>
        <w:t>for NR SA to EN-DC</w:t>
      </w:r>
    </w:p>
    <w:p w14:paraId="1DE47678" w14:textId="77777777" w:rsidR="008619CA" w:rsidRPr="00691C10" w:rsidRDefault="008619CA" w:rsidP="008619CA">
      <w:r w:rsidRPr="00691C10">
        <w:t xml:space="preserve">The requirements in this section shall apply for </w:t>
      </w:r>
      <w:r>
        <w:t xml:space="preserve">PSCell addition during </w:t>
      </w:r>
      <w:r>
        <w:rPr>
          <w:lang w:val="en-US"/>
        </w:rPr>
        <w:t xml:space="preserve">handover with PSCell from </w:t>
      </w:r>
      <w:r>
        <w:t>NR SA to EN-DC</w:t>
      </w:r>
      <w:r w:rsidRPr="00691C10">
        <w:t>.</w:t>
      </w:r>
    </w:p>
    <w:p w14:paraId="60A1AA37" w14:textId="77777777" w:rsidR="008619CA" w:rsidRDefault="008619CA" w:rsidP="008619CA">
      <w:pPr>
        <w:rPr>
          <w:lang w:eastAsia="ja-JP"/>
        </w:rPr>
      </w:pPr>
      <w:r w:rsidRPr="009C5807">
        <w:rPr>
          <w:rFonts w:cs="v4.2.0"/>
        </w:rPr>
        <w:t>When handover</w:t>
      </w:r>
      <w:r>
        <w:rPr>
          <w:rFonts w:cs="v4.2.0"/>
        </w:rPr>
        <w:t xml:space="preserve"> with PSCell </w:t>
      </w:r>
      <w:r>
        <w:rPr>
          <w:lang w:val="en-US"/>
        </w:rPr>
        <w:t xml:space="preserve">from </w:t>
      </w:r>
      <w:r>
        <w:t>NR SA to EN-DC</w:t>
      </w:r>
      <w:r w:rsidRPr="009C5807">
        <w:rPr>
          <w:rFonts w:cs="v4.2.0"/>
        </w:rPr>
        <w:t xml:space="preserve"> is commanded, the </w:t>
      </w:r>
      <w:r>
        <w:rPr>
          <w:rFonts w:cs="v4.2.0"/>
        </w:rPr>
        <w:t>PSCell addition</w:t>
      </w:r>
      <w:r w:rsidRPr="009C5807">
        <w:rPr>
          <w:rFonts w:cs="v4.2.0"/>
        </w:rPr>
        <w:t xml:space="preserve"> time shall be less than D</w:t>
      </w:r>
      <w:r>
        <w:rPr>
          <w:rFonts w:cs="v4.2.0"/>
          <w:vertAlign w:val="subscript"/>
        </w:rPr>
        <w:t>HOwithPSCell_PSCell</w:t>
      </w:r>
      <w:r w:rsidRPr="00691C10">
        <w:rPr>
          <w:lang w:eastAsia="ja-JP"/>
        </w:rPr>
        <w:t>:</w:t>
      </w:r>
    </w:p>
    <w:p w14:paraId="350BEAE7" w14:textId="3F03EDF3" w:rsidR="008619CA" w:rsidRPr="00691C10" w:rsidRDefault="00CE427E" w:rsidP="008619CA">
      <w:pPr>
        <w:pStyle w:val="B10"/>
        <w:rPr>
          <w:vertAlign w:val="subscript"/>
          <w:lang w:eastAsia="zh-CN"/>
        </w:rPr>
      </w:pPr>
      <w:r w:rsidRPr="000506D8">
        <w:rPr>
          <w:lang w:val="en-US" w:eastAsia="zh-CN"/>
        </w:rPr>
        <w:t>-</w:t>
      </w:r>
      <w:r w:rsidRPr="000506D8">
        <w:rPr>
          <w:lang w:val="en-US" w:eastAsia="zh-CN"/>
        </w:rPr>
        <w:tab/>
      </w:r>
      <w:r w:rsidR="008619CA" w:rsidRPr="009C5807">
        <w:rPr>
          <w:rFonts w:cs="v4.2.0"/>
        </w:rPr>
        <w:t>D</w:t>
      </w:r>
      <w:r w:rsidR="008619CA">
        <w:rPr>
          <w:rFonts w:cs="v4.2.0"/>
          <w:vertAlign w:val="subscript"/>
        </w:rPr>
        <w:t>HOwithPSCell_PSCell</w:t>
      </w:r>
      <w:r w:rsidR="008619CA" w:rsidRPr="00691C10">
        <w:t xml:space="preserve"> = T</w:t>
      </w:r>
      <w:r w:rsidR="008619CA" w:rsidRPr="00691C10">
        <w:rPr>
          <w:vertAlign w:val="subscript"/>
        </w:rPr>
        <w:t>RRC_delay</w:t>
      </w:r>
      <w:r w:rsidR="008619CA" w:rsidRPr="00691C10">
        <w:t xml:space="preserve"> + T</w:t>
      </w:r>
      <w:r w:rsidR="008619CA" w:rsidRPr="00691C10">
        <w:rPr>
          <w:vertAlign w:val="subscript"/>
        </w:rPr>
        <w:t>processing</w:t>
      </w:r>
      <w:r w:rsidR="008619CA" w:rsidRPr="00691C10">
        <w:t xml:space="preserve"> </w:t>
      </w:r>
      <w:r w:rsidR="008619CA">
        <w:t xml:space="preserve">+ </w:t>
      </w:r>
      <w:r w:rsidR="001A75A3" w:rsidRPr="009C5807">
        <w:t>T</w:t>
      </w:r>
      <w:r w:rsidR="001A75A3" w:rsidRPr="009C5807">
        <w:rPr>
          <w:vertAlign w:val="subscript"/>
        </w:rPr>
        <w:t>search</w:t>
      </w:r>
      <w:r w:rsidR="001A75A3">
        <w:rPr>
          <w:vertAlign w:val="subscript"/>
        </w:rPr>
        <w:t>_</w:t>
      </w:r>
      <w:r w:rsidR="001A75A3">
        <w:rPr>
          <w:rFonts w:hint="eastAsia"/>
          <w:vertAlign w:val="subscript"/>
          <w:lang w:eastAsia="zh-CN"/>
        </w:rPr>
        <w:t>PCell</w:t>
      </w:r>
      <w:r w:rsidR="001A75A3">
        <w:t xml:space="preserve"> </w:t>
      </w:r>
      <w:r w:rsidR="008619CA">
        <w:t xml:space="preserve">+ </w:t>
      </w:r>
      <w:r w:rsidR="008619CA" w:rsidRPr="00691C10">
        <w:t>T</w:t>
      </w:r>
      <w:r w:rsidR="008619CA" w:rsidRPr="00691C10">
        <w:rPr>
          <w:vertAlign w:val="subscript"/>
        </w:rPr>
        <w:t>search</w:t>
      </w:r>
      <w:r w:rsidR="008619CA">
        <w:rPr>
          <w:vertAlign w:val="subscript"/>
        </w:rPr>
        <w:t>_PSCell</w:t>
      </w:r>
      <w:r w:rsidR="008619CA" w:rsidRPr="00691C10">
        <w:t xml:space="preserve"> + T</w:t>
      </w:r>
      <w:r w:rsidR="008619CA" w:rsidRPr="00691C10">
        <w:rPr>
          <w:vertAlign w:val="subscript"/>
        </w:rPr>
        <w:t>∆</w:t>
      </w:r>
      <w:r w:rsidR="008619CA" w:rsidRPr="00691C10">
        <w:t xml:space="preserve"> + T</w:t>
      </w:r>
      <w:r w:rsidR="008619CA" w:rsidRPr="00691C10">
        <w:rPr>
          <w:vertAlign w:val="subscript"/>
        </w:rPr>
        <w:t>PSCell_ DU</w:t>
      </w:r>
      <w:r w:rsidR="008619CA" w:rsidRPr="00691C10">
        <w:t xml:space="preserve"> + 2 ms</w:t>
      </w:r>
    </w:p>
    <w:p w14:paraId="253F817A" w14:textId="77777777" w:rsidR="008619CA" w:rsidRDefault="008619CA" w:rsidP="008619CA">
      <w:pPr>
        <w:pStyle w:val="B10"/>
        <w:ind w:left="270"/>
      </w:pPr>
      <w:r>
        <w:t>Where:</w:t>
      </w:r>
    </w:p>
    <w:p w14:paraId="1056EBD5" w14:textId="4458C143" w:rsidR="008619CA" w:rsidRDefault="00CE427E" w:rsidP="008619CA">
      <w:pPr>
        <w:pStyle w:val="B10"/>
      </w:pPr>
      <w:r w:rsidRPr="000506D8">
        <w:rPr>
          <w:lang w:val="en-US" w:eastAsia="zh-CN"/>
        </w:rPr>
        <w:t>-</w:t>
      </w:r>
      <w:r w:rsidRPr="000506D8">
        <w:rPr>
          <w:lang w:val="en-US" w:eastAsia="zh-CN"/>
        </w:rPr>
        <w:tab/>
      </w:r>
      <w:r w:rsidR="008619CA" w:rsidRPr="00691C10">
        <w:t>T</w:t>
      </w:r>
      <w:r w:rsidR="008619CA" w:rsidRPr="00691C10">
        <w:rPr>
          <w:vertAlign w:val="subscript"/>
        </w:rPr>
        <w:t>RRC_delay</w:t>
      </w:r>
      <w:r w:rsidR="008619CA" w:rsidRPr="00691C10">
        <w:t xml:space="preserve"> is the RRC procedure delay.</w:t>
      </w:r>
      <w:r w:rsidR="008619CA">
        <w:t xml:space="preserve"> </w:t>
      </w:r>
      <w:r w:rsidR="008619CA" w:rsidRPr="00691C10">
        <w:t>T</w:t>
      </w:r>
      <w:r w:rsidR="008619CA" w:rsidRPr="00691C10">
        <w:rPr>
          <w:vertAlign w:val="subscript"/>
        </w:rPr>
        <w:t>RRC_delay</w:t>
      </w:r>
      <w:r w:rsidR="008619CA">
        <w:t xml:space="preserve"> = 50ms.</w:t>
      </w:r>
    </w:p>
    <w:p w14:paraId="71A1FAEE" w14:textId="515BCDC7" w:rsidR="008619CA" w:rsidRDefault="00CE427E" w:rsidP="008619CA">
      <w:pPr>
        <w:pStyle w:val="B10"/>
        <w:rPr>
          <w:rFonts w:ascii="Times" w:hAnsi="Times"/>
          <w:lang w:val="en-US" w:eastAsia="zh-CN"/>
        </w:rPr>
      </w:pPr>
      <w:r w:rsidRPr="000506D8">
        <w:rPr>
          <w:lang w:val="en-US" w:eastAsia="zh-CN"/>
        </w:rPr>
        <w:t>-</w:t>
      </w:r>
      <w:r w:rsidRPr="000506D8">
        <w:rPr>
          <w:lang w:val="en-US" w:eastAsia="zh-CN"/>
        </w:rPr>
        <w:tab/>
      </w:r>
      <w:r w:rsidR="008619CA" w:rsidRPr="004E381B">
        <w:rPr>
          <w:rFonts w:ascii="Times" w:hAnsi="Times"/>
          <w:lang w:val="en-US" w:eastAsia="zh-CN"/>
        </w:rPr>
        <w:t>T</w:t>
      </w:r>
      <w:r w:rsidR="008619CA" w:rsidRPr="004E381B">
        <w:rPr>
          <w:rFonts w:ascii="Times" w:hAnsi="Times"/>
          <w:position w:val="-2"/>
          <w:sz w:val="12"/>
          <w:szCs w:val="12"/>
          <w:lang w:val="en-US" w:eastAsia="zh-CN"/>
        </w:rPr>
        <w:t xml:space="preserve">processing </w:t>
      </w:r>
      <w:r w:rsidR="008619CA" w:rsidRPr="004E381B">
        <w:rPr>
          <w:rFonts w:ascii="Times" w:hAnsi="Times"/>
          <w:lang w:val="en-US" w:eastAsia="zh-CN"/>
        </w:rPr>
        <w:t>is</w:t>
      </w:r>
      <w:r w:rsidR="008619CA">
        <w:rPr>
          <w:rFonts w:ascii="Times" w:hAnsi="Times"/>
          <w:lang w:val="en-US" w:eastAsia="zh-CN"/>
        </w:rPr>
        <w:t xml:space="preserve"> as defined in section 6.1.</w:t>
      </w:r>
      <w:r>
        <w:rPr>
          <w:rFonts w:ascii="Times" w:hAnsi="Times"/>
          <w:lang w:val="en-US" w:eastAsia="zh-CN"/>
        </w:rPr>
        <w:t>5</w:t>
      </w:r>
      <w:r w:rsidR="008619CA">
        <w:rPr>
          <w:rFonts w:ascii="Times" w:hAnsi="Times"/>
          <w:lang w:val="en-US" w:eastAsia="zh-CN"/>
        </w:rPr>
        <w:t>.2.1.</w:t>
      </w:r>
    </w:p>
    <w:p w14:paraId="48A9436E" w14:textId="14CC65A9" w:rsidR="001A75A3" w:rsidRDefault="001A75A3" w:rsidP="001A75A3">
      <w:pPr>
        <w:pStyle w:val="B10"/>
        <w:rPr>
          <w:rFonts w:ascii="Times" w:hAnsi="Times"/>
          <w:lang w:val="en-US" w:eastAsia="zh-CN"/>
        </w:rPr>
      </w:pPr>
      <w:r w:rsidRPr="000506D8">
        <w:rPr>
          <w:lang w:val="en-US" w:eastAsia="zh-CN"/>
        </w:rPr>
        <w:t>-</w:t>
      </w:r>
      <w:r w:rsidRPr="000506D8">
        <w:rPr>
          <w:lang w:val="en-US" w:eastAsia="zh-CN"/>
        </w:rPr>
        <w:tab/>
      </w:r>
      <w:r w:rsidRPr="004B4179">
        <w:rPr>
          <w:lang w:val="en-US" w:eastAsia="zh-CN"/>
        </w:rPr>
        <w:t>T</w:t>
      </w:r>
      <w:r w:rsidRPr="004B4179">
        <w:rPr>
          <w:vertAlign w:val="subscript"/>
          <w:lang w:val="en-US" w:eastAsia="zh-CN"/>
        </w:rPr>
        <w:t>search_PCell</w:t>
      </w:r>
      <w:r w:rsidRPr="004B4179">
        <w:rPr>
          <w:lang w:val="en-US" w:eastAsia="zh-CN"/>
        </w:rPr>
        <w:t xml:space="preserve"> is the time for obtaining the timing reference of target PCell. T</w:t>
      </w:r>
      <w:r w:rsidRPr="004B4179">
        <w:rPr>
          <w:vertAlign w:val="subscript"/>
          <w:lang w:val="en-US" w:eastAsia="zh-CN"/>
        </w:rPr>
        <w:t>search_PCell</w:t>
      </w:r>
      <w:r w:rsidRPr="004B4179">
        <w:rPr>
          <w:lang w:val="en-US" w:eastAsia="zh-CN"/>
        </w:rPr>
        <w:t xml:space="preserve"> =</w:t>
      </w:r>
      <w:r>
        <w:rPr>
          <w:rFonts w:hint="eastAsia"/>
          <w:lang w:val="en-US" w:eastAsia="zh-CN"/>
        </w:rPr>
        <w:t xml:space="preserve"> </w:t>
      </w:r>
      <w:r w:rsidRPr="009C5807">
        <w:t>T</w:t>
      </w:r>
      <w:r w:rsidRPr="009C5807">
        <w:rPr>
          <w:vertAlign w:val="subscript"/>
        </w:rPr>
        <w:t>search</w:t>
      </w:r>
      <w:r>
        <w:rPr>
          <w:vertAlign w:val="subscript"/>
        </w:rPr>
        <w:t>_HO</w:t>
      </w:r>
      <w:r>
        <w:t xml:space="preserve"> </w:t>
      </w:r>
      <w:r>
        <w:rPr>
          <w:lang w:eastAsia="zh-CN"/>
        </w:rPr>
        <w:t>which</w:t>
      </w:r>
      <w:r>
        <w:rPr>
          <w:rFonts w:hint="eastAsia"/>
          <w:lang w:eastAsia="zh-CN"/>
        </w:rPr>
        <w:t xml:space="preserve"> </w:t>
      </w:r>
      <w:r>
        <w:t xml:space="preserve">is as defined in section </w:t>
      </w:r>
      <w:r>
        <w:rPr>
          <w:rFonts w:ascii="Times" w:hAnsi="Times"/>
          <w:lang w:val="en-US" w:eastAsia="zh-CN"/>
        </w:rPr>
        <w:t>6.1.5.2.1</w:t>
      </w:r>
      <w:r w:rsidRPr="00AE087A">
        <w:rPr>
          <w:rFonts w:ascii="Times" w:hAnsi="Times"/>
          <w:lang w:val="en-US" w:eastAsia="zh-CN"/>
        </w:rPr>
        <w:t xml:space="preserve"> if target PSCell is unknown and SMTC configuration of target unknown PSCell is </w:t>
      </w:r>
      <w:r>
        <w:rPr>
          <w:rFonts w:ascii="Times" w:hAnsi="Times" w:hint="eastAsia"/>
          <w:lang w:val="en-US" w:eastAsia="zh-CN"/>
        </w:rPr>
        <w:t>configured</w:t>
      </w:r>
      <w:r w:rsidRPr="00AE087A">
        <w:rPr>
          <w:rFonts w:ascii="Times" w:hAnsi="Times"/>
          <w:lang w:val="en-US" w:eastAsia="zh-CN"/>
        </w:rPr>
        <w:t xml:space="preserve"> in </w:t>
      </w:r>
      <w:r w:rsidRPr="00AE087A">
        <w:rPr>
          <w:rFonts w:ascii="Times" w:hAnsi="Times"/>
          <w:i/>
          <w:lang w:val="en-US" w:eastAsia="zh-CN"/>
        </w:rPr>
        <w:t>RRCConnectionReconfiguration</w:t>
      </w:r>
      <w:r w:rsidRPr="00AE087A">
        <w:rPr>
          <w:rFonts w:ascii="Times" w:hAnsi="Times"/>
          <w:lang w:val="en-US" w:eastAsia="zh-CN"/>
        </w:rPr>
        <w:t xml:space="preserve"> </w:t>
      </w:r>
      <w:r>
        <w:rPr>
          <w:rFonts w:ascii="Times" w:hAnsi="Times" w:hint="eastAsia"/>
          <w:lang w:val="en-US" w:eastAsia="zh-CN"/>
        </w:rPr>
        <w:t xml:space="preserve">of </w:t>
      </w:r>
      <w:r w:rsidRPr="000F45C1">
        <w:rPr>
          <w:rFonts w:ascii="Times" w:hAnsi="Times"/>
          <w:i/>
          <w:lang w:val="en-US" w:eastAsia="zh-CN"/>
        </w:rPr>
        <w:t>targetRAT-MessageContainer</w:t>
      </w:r>
      <w:r w:rsidRPr="000F45C1">
        <w:rPr>
          <w:rFonts w:ascii="Times" w:hAnsi="Times"/>
          <w:lang w:val="en-US" w:eastAsia="zh-CN"/>
        </w:rPr>
        <w:t xml:space="preserve"> </w:t>
      </w:r>
      <w:r w:rsidRPr="00AE087A">
        <w:rPr>
          <w:rFonts w:ascii="Times" w:hAnsi="Times"/>
          <w:lang w:val="en-US" w:eastAsia="zh-CN"/>
        </w:rPr>
        <w:t>[2]. Otherwise, T</w:t>
      </w:r>
      <w:r w:rsidRPr="00AE087A">
        <w:rPr>
          <w:rFonts w:ascii="Times" w:hAnsi="Times"/>
          <w:vertAlign w:val="subscript"/>
          <w:lang w:val="en-US" w:eastAsia="zh-CN"/>
        </w:rPr>
        <w:t>search_PCell</w:t>
      </w:r>
      <w:r w:rsidRPr="00AE087A">
        <w:rPr>
          <w:rFonts w:ascii="Times" w:hAnsi="Times"/>
          <w:lang w:val="en-US" w:eastAsia="zh-CN"/>
        </w:rPr>
        <w:t xml:space="preserve"> = 0</w:t>
      </w:r>
      <w:r>
        <w:rPr>
          <w:rFonts w:ascii="Times" w:hAnsi="Times"/>
          <w:lang w:val="en-US" w:eastAsia="zh-CN"/>
        </w:rPr>
        <w:t>.</w:t>
      </w:r>
    </w:p>
    <w:p w14:paraId="071A6B2A" w14:textId="4F5C8835" w:rsidR="008619CA" w:rsidRDefault="00CE427E" w:rsidP="008619CA">
      <w:pPr>
        <w:pStyle w:val="B10"/>
      </w:pPr>
      <w:r w:rsidRPr="000506D8">
        <w:rPr>
          <w:lang w:val="en-US" w:eastAsia="zh-CN"/>
        </w:rPr>
        <w:t>-</w:t>
      </w:r>
      <w:r w:rsidRPr="000506D8">
        <w:rPr>
          <w:lang w:val="en-US" w:eastAsia="zh-CN"/>
        </w:rPr>
        <w:tab/>
      </w:r>
      <w:r w:rsidR="008619CA" w:rsidRPr="00691C10">
        <w:t>T</w:t>
      </w:r>
      <w:r w:rsidR="008619CA" w:rsidRPr="00691C10">
        <w:rPr>
          <w:vertAlign w:val="subscript"/>
        </w:rPr>
        <w:t>search</w:t>
      </w:r>
      <w:r w:rsidR="008619CA">
        <w:rPr>
          <w:vertAlign w:val="subscript"/>
        </w:rPr>
        <w:t>_PSCell</w:t>
      </w:r>
      <w:r w:rsidR="008619CA">
        <w:t xml:space="preserve"> is same as </w:t>
      </w:r>
      <w:r w:rsidR="008619CA" w:rsidRPr="00691C10">
        <w:t>T</w:t>
      </w:r>
      <w:r w:rsidR="008619CA" w:rsidRPr="00691C10">
        <w:rPr>
          <w:vertAlign w:val="subscript"/>
        </w:rPr>
        <w:t>search</w:t>
      </w:r>
      <w:r w:rsidR="008619CA">
        <w:t xml:space="preserve"> in section 7.31.2 of TS36.133[15], and </w:t>
      </w:r>
      <w:r w:rsidR="008619CA" w:rsidRPr="00691C10">
        <w:t>T</w:t>
      </w:r>
      <w:r w:rsidR="008619CA" w:rsidRPr="00691C10">
        <w:rPr>
          <w:vertAlign w:val="subscript"/>
        </w:rPr>
        <w:t>∆</w:t>
      </w:r>
      <w:r w:rsidR="008619CA" w:rsidRPr="00691C10">
        <w:t xml:space="preserve"> </w:t>
      </w:r>
      <w:r w:rsidR="008619CA">
        <w:t>and</w:t>
      </w:r>
      <w:r w:rsidR="008619CA" w:rsidRPr="00691C10">
        <w:t xml:space="preserve"> T</w:t>
      </w:r>
      <w:r w:rsidR="008619CA" w:rsidRPr="00691C10">
        <w:rPr>
          <w:vertAlign w:val="subscript"/>
        </w:rPr>
        <w:t>PSCell_ DU</w:t>
      </w:r>
      <w:r w:rsidR="008619CA">
        <w:t xml:space="preserve"> is same as the one defined in section 7.31.2 of TS36.133[15]. The Trs definition from section 7.31.2 of TS36.133[15] is modified as following for requirement in this section:</w:t>
      </w:r>
    </w:p>
    <w:p w14:paraId="1B8DF0EB" w14:textId="63F322BB" w:rsidR="008619CA" w:rsidRPr="005F4112" w:rsidRDefault="00CE427E" w:rsidP="008619CA">
      <w:pPr>
        <w:pStyle w:val="B10"/>
        <w:rPr>
          <w:sz w:val="24"/>
          <w:szCs w:val="24"/>
          <w:lang w:val="en-US" w:eastAsia="zh-CN"/>
        </w:rPr>
      </w:pPr>
      <w:r w:rsidRPr="000506D8">
        <w:rPr>
          <w:lang w:val="en-US" w:eastAsia="zh-CN"/>
        </w:rPr>
        <w:t>-</w:t>
      </w:r>
      <w:r w:rsidRPr="000506D8">
        <w:rPr>
          <w:lang w:val="en-US" w:eastAsia="zh-CN"/>
        </w:rPr>
        <w:tab/>
      </w:r>
      <w:r w:rsidR="008619CA" w:rsidRPr="00AD4EFA">
        <w:rPr>
          <w:lang w:val="en-US" w:eastAsia="zh-CN"/>
        </w:rPr>
        <w:t xml:space="preserve">Trs is the SMTC periodicity of the target NR cell if </w:t>
      </w:r>
      <w:r w:rsidR="008619CA">
        <w:rPr>
          <w:lang w:val="en-US" w:eastAsia="zh-CN"/>
        </w:rPr>
        <w:t xml:space="preserve">target PSCell is unknown and </w:t>
      </w:r>
      <w:r w:rsidR="008619CA" w:rsidRPr="004E381B">
        <w:rPr>
          <w:lang w:val="en-US" w:eastAsia="zh-CN"/>
        </w:rPr>
        <w:t xml:space="preserve">SMTC configuration of target unknown PSCell is present in </w:t>
      </w:r>
      <w:r w:rsidR="008619CA" w:rsidRPr="00200158">
        <w:rPr>
          <w:i/>
          <w:iCs/>
          <w:lang w:val="en-US" w:eastAsia="zh-CN"/>
        </w:rPr>
        <w:t>RRCConnectionReconfiguration</w:t>
      </w:r>
      <w:r w:rsidR="008619CA">
        <w:rPr>
          <w:lang w:val="en-US" w:eastAsia="zh-CN"/>
        </w:rPr>
        <w:t xml:space="preserve"> [2]</w:t>
      </w:r>
      <w:r w:rsidR="008619CA" w:rsidRPr="00AD4EFA">
        <w:rPr>
          <w:lang w:val="en-US" w:eastAsia="zh-CN"/>
        </w:rPr>
        <w:t>, otherwise Trs is the SMTC configured in the measObjectNR having the same SSB frequency and subcarrier spacing. If the UE is not provided SMTC configuration or measurement object on this frequency, the requirement in this section is applied with Trs = 5 ms assuming the SSB transmission periodicity is 5 ms. There is no requirement if the SSB transmission periodicity is not 5 ms.</w:t>
      </w:r>
    </w:p>
    <w:p w14:paraId="2F6025DD" w14:textId="77777777" w:rsidR="008619CA" w:rsidRPr="009C09BD" w:rsidRDefault="008619CA" w:rsidP="008619CA">
      <w:pPr>
        <w:rPr>
          <w:lang w:eastAsia="zh-CN"/>
        </w:rPr>
      </w:pPr>
      <w:r>
        <w:t>PSCell known and unknown condition is as defined in section 7.31.2 of TS36.133[15].</w:t>
      </w:r>
    </w:p>
    <w:p w14:paraId="1699557F" w14:textId="77777777" w:rsidR="008619CA" w:rsidRDefault="008619CA" w:rsidP="008619CA">
      <w:pPr>
        <w:rPr>
          <w:noProof/>
        </w:rPr>
      </w:pPr>
    </w:p>
    <w:p w14:paraId="1371A42F" w14:textId="77777777" w:rsidR="008619CA" w:rsidRPr="009C5807" w:rsidRDefault="008619CA" w:rsidP="008619CA">
      <w:pPr>
        <w:pStyle w:val="Heading4"/>
        <w:rPr>
          <w:lang w:val="en-US" w:eastAsia="zh-CN"/>
        </w:rPr>
      </w:pPr>
      <w:r w:rsidRPr="009C5807">
        <w:rPr>
          <w:lang w:val="en-US" w:eastAsia="zh-CN"/>
        </w:rPr>
        <w:t>6.1.</w:t>
      </w:r>
      <w:r>
        <w:rPr>
          <w:lang w:val="en-US" w:eastAsia="zh-CN"/>
        </w:rPr>
        <w:t>5</w:t>
      </w:r>
      <w:r w:rsidRPr="009C5807">
        <w:rPr>
          <w:lang w:val="en-US" w:eastAsia="zh-CN"/>
        </w:rPr>
        <w:t>.</w:t>
      </w:r>
      <w:r>
        <w:rPr>
          <w:lang w:val="en-US" w:eastAsia="zh-CN"/>
        </w:rPr>
        <w:t>3</w:t>
      </w:r>
      <w:r w:rsidRPr="009C5807">
        <w:rPr>
          <w:lang w:val="en-US" w:eastAsia="zh-CN"/>
        </w:rPr>
        <w:tab/>
      </w:r>
      <w:r w:rsidRPr="00393884">
        <w:rPr>
          <w:lang w:val="en-US" w:eastAsia="zh-CN"/>
        </w:rPr>
        <w:t xml:space="preserve">HO with PSCell from </w:t>
      </w:r>
      <w:r>
        <w:rPr>
          <w:lang w:val="en-US" w:eastAsia="zh-CN"/>
        </w:rPr>
        <w:t>NE-DC</w:t>
      </w:r>
      <w:r w:rsidRPr="00393884">
        <w:rPr>
          <w:lang w:val="en-US" w:eastAsia="zh-CN"/>
        </w:rPr>
        <w:t xml:space="preserve"> to N</w:t>
      </w:r>
      <w:r>
        <w:rPr>
          <w:lang w:val="en-US" w:eastAsia="zh-CN"/>
        </w:rPr>
        <w:t>E</w:t>
      </w:r>
      <w:r w:rsidRPr="00393884">
        <w:rPr>
          <w:lang w:val="en-US" w:eastAsia="zh-CN"/>
        </w:rPr>
        <w:t>-DC</w:t>
      </w:r>
    </w:p>
    <w:p w14:paraId="09B457A6" w14:textId="77777777" w:rsidR="008619CA" w:rsidRPr="009C5807" w:rsidRDefault="008619CA" w:rsidP="008619CA">
      <w:r w:rsidRPr="009C5807">
        <w:t xml:space="preserve">The requirements in this clause are applicable to </w:t>
      </w:r>
      <w:r>
        <w:t>both intra-frequency and inter-frequency</w:t>
      </w:r>
      <w:r w:rsidRPr="009C5807">
        <w:t xml:space="preserve"> handovers from </w:t>
      </w:r>
      <w:r>
        <w:t>NR</w:t>
      </w:r>
      <w:r w:rsidRPr="009C5807">
        <w:t xml:space="preserve"> </w:t>
      </w:r>
      <w:r>
        <w:t>PC</w:t>
      </w:r>
      <w:r w:rsidRPr="009C5807">
        <w:t xml:space="preserve">ell to </w:t>
      </w:r>
      <w:r>
        <w:t>NR PCell on FR1, and the PSCell addition is on LTE</w:t>
      </w:r>
      <w:r w:rsidRPr="009C5807">
        <w:t>.</w:t>
      </w:r>
    </w:p>
    <w:p w14:paraId="66933419" w14:textId="77777777" w:rsidR="008619CA" w:rsidRPr="009C5807" w:rsidRDefault="008619CA" w:rsidP="008619CA">
      <w:pPr>
        <w:pStyle w:val="Heading5"/>
      </w:pPr>
      <w:r w:rsidRPr="009C5807">
        <w:t>6.1.</w:t>
      </w:r>
      <w:r>
        <w:rPr>
          <w:lang w:val="en-US" w:eastAsia="zh-CN"/>
        </w:rPr>
        <w:t>5</w:t>
      </w:r>
      <w:r w:rsidRPr="009C5807">
        <w:t>.</w:t>
      </w:r>
      <w:r>
        <w:t>3</w:t>
      </w:r>
      <w:r w:rsidRPr="009C5807">
        <w:t>.1</w:t>
      </w:r>
      <w:r w:rsidRPr="009C5807">
        <w:tab/>
        <w:t>Handover delay</w:t>
      </w:r>
    </w:p>
    <w:p w14:paraId="38429726" w14:textId="77777777" w:rsidR="008619CA" w:rsidRDefault="008619CA" w:rsidP="008619CA">
      <w:pPr>
        <w:rPr>
          <w:rFonts w:cs="v4.2.0"/>
        </w:rPr>
      </w:pPr>
      <w:r w:rsidRPr="00691C10">
        <w:rPr>
          <w:rFonts w:cs="v4.2.0"/>
        </w:rPr>
        <w:t xml:space="preserve">When the UE receives a RRC message implying </w:t>
      </w:r>
      <w:r>
        <w:rPr>
          <w:rFonts w:cs="v4.2.0"/>
        </w:rPr>
        <w:t xml:space="preserve">PCell </w:t>
      </w:r>
      <w:r w:rsidRPr="00691C10">
        <w:rPr>
          <w:rFonts w:cs="v4.2.0"/>
        </w:rPr>
        <w:t>handover</w:t>
      </w:r>
      <w:r>
        <w:rPr>
          <w:rFonts w:cs="v4.2.0"/>
        </w:rPr>
        <w:t xml:space="preserve"> with PSCell change,</w:t>
      </w:r>
      <w:r w:rsidRPr="00691C10">
        <w:rPr>
          <w:rFonts w:cs="v4.2.0"/>
        </w:rPr>
        <w:t xml:space="preserve"> the UE shall be ready to </w:t>
      </w:r>
      <w:r w:rsidRPr="00691C10">
        <w:rPr>
          <w:rFonts w:cs="v4.2.0"/>
          <w:snapToGrid w:val="0"/>
        </w:rPr>
        <w:t>start the transmission of the new uplink PRACH channel</w:t>
      </w:r>
      <w:r w:rsidRPr="00691C10">
        <w:rPr>
          <w:rFonts w:cs="v4.2.0"/>
        </w:rPr>
        <w:t xml:space="preserve"> </w:t>
      </w:r>
      <w:r>
        <w:rPr>
          <w:rFonts w:cs="v4.2.0"/>
        </w:rPr>
        <w:t xml:space="preserve">on target NR PCell </w:t>
      </w:r>
      <w:r w:rsidRPr="00691C10">
        <w:rPr>
          <w:rFonts w:cs="v4.2.0"/>
        </w:rPr>
        <w:t>within D</w:t>
      </w:r>
      <w:r>
        <w:rPr>
          <w:rFonts w:cs="v4.2.0"/>
          <w:vertAlign w:val="subscript"/>
        </w:rPr>
        <w:t>HOwithPSCell_PCell</w:t>
      </w:r>
      <w:r w:rsidRPr="00691C10">
        <w:rPr>
          <w:rFonts w:cs="v4.2.0"/>
        </w:rPr>
        <w:t xml:space="preserve"> from the end of the last TTI containing the RRC command</w:t>
      </w:r>
      <w:r>
        <w:rPr>
          <w:lang w:eastAsia="zh-CN"/>
        </w:rPr>
        <w:t xml:space="preserve">, and UE shall be </w:t>
      </w:r>
      <w:r w:rsidRPr="00691C10">
        <w:rPr>
          <w:rFonts w:cs="v4.2.0"/>
        </w:rPr>
        <w:t xml:space="preserve">ready to </w:t>
      </w:r>
      <w:r w:rsidRPr="00691C10">
        <w:rPr>
          <w:rFonts w:cs="v4.2.0"/>
          <w:snapToGrid w:val="0"/>
        </w:rPr>
        <w:t>start the transmission of the new uplink PRACH channel</w:t>
      </w:r>
      <w:r w:rsidRPr="00691C10">
        <w:rPr>
          <w:rFonts w:cs="v4.2.0"/>
        </w:rPr>
        <w:t xml:space="preserve"> </w:t>
      </w:r>
      <w:r>
        <w:rPr>
          <w:rFonts w:cs="v4.2.0"/>
        </w:rPr>
        <w:t xml:space="preserve">on target E-UTRA PSCell </w:t>
      </w:r>
      <w:r w:rsidRPr="00691C10">
        <w:rPr>
          <w:rFonts w:cs="v4.2.0"/>
        </w:rPr>
        <w:t>within D</w:t>
      </w:r>
      <w:r>
        <w:rPr>
          <w:rFonts w:cs="v4.2.0"/>
          <w:vertAlign w:val="subscript"/>
        </w:rPr>
        <w:t>HOwithPSCell_PSCell</w:t>
      </w:r>
      <w:r w:rsidRPr="00691C10">
        <w:rPr>
          <w:rFonts w:cs="v4.2.0"/>
        </w:rPr>
        <w:t xml:space="preserve"> from the end of the last TTI containing the RRC command</w:t>
      </w:r>
      <w:r>
        <w:rPr>
          <w:rFonts w:cs="v4.2.0"/>
        </w:rPr>
        <w:t>.</w:t>
      </w:r>
    </w:p>
    <w:p w14:paraId="6DAD4E24" w14:textId="56B2F9FA" w:rsidR="008619CA" w:rsidRDefault="008619CA" w:rsidP="008619CA">
      <w:pPr>
        <w:rPr>
          <w:rFonts w:cs="v4.2.0"/>
        </w:rPr>
      </w:pPr>
      <w:r>
        <w:rPr>
          <w:rFonts w:cs="v4.2.0"/>
        </w:rPr>
        <w:t xml:space="preserve">The PCell handover delay, </w:t>
      </w:r>
      <w:r w:rsidRPr="009C5807">
        <w:rPr>
          <w:rFonts w:cs="v4.2.0"/>
        </w:rPr>
        <w:t>D</w:t>
      </w:r>
      <w:r>
        <w:rPr>
          <w:rFonts w:cs="v4.2.0"/>
          <w:vertAlign w:val="subscript"/>
        </w:rPr>
        <w:t>HOwithPSCell_PCell</w:t>
      </w:r>
      <w:r>
        <w:rPr>
          <w:rFonts w:cs="v4.2.0"/>
        </w:rPr>
        <w:t>,</w:t>
      </w:r>
      <w:r w:rsidRPr="009C5807">
        <w:rPr>
          <w:rFonts w:cs="v4.2.0"/>
        </w:rPr>
        <w:t xml:space="preserve"> </w:t>
      </w:r>
      <w:r>
        <w:rPr>
          <w:rFonts w:cs="v4.2.0"/>
        </w:rPr>
        <w:t xml:space="preserve">is </w:t>
      </w:r>
      <w:r w:rsidRPr="009C5807">
        <w:rPr>
          <w:rFonts w:cs="v4.2.0"/>
        </w:rPr>
        <w:t xml:space="preserve">equals the </w:t>
      </w:r>
      <w:r w:rsidRPr="009C5807">
        <w:rPr>
          <w:rFonts w:cs="v4.2.0" w:hint="eastAsia"/>
          <w:lang w:val="en-US" w:eastAsia="zh-CN"/>
        </w:rPr>
        <w:t>applicable</w:t>
      </w:r>
      <w:r w:rsidRPr="009C5807">
        <w:rPr>
          <w:rFonts w:cs="v4.2.0"/>
        </w:rPr>
        <w:t xml:space="preserve"> RRC procedure delay defined in clause</w:t>
      </w:r>
      <w:r w:rsidRPr="009C5807">
        <w:rPr>
          <w:rFonts w:cs="v4.2.0" w:hint="eastAsia"/>
          <w:lang w:val="en-US" w:eastAsia="zh-CN"/>
        </w:rPr>
        <w:t xml:space="preserve"> </w:t>
      </w:r>
      <w:r w:rsidRPr="009C5807">
        <w:rPr>
          <w:rFonts w:cs="v4.2.0"/>
          <w:lang w:eastAsia="zh-CN"/>
        </w:rPr>
        <w:t>12</w:t>
      </w:r>
      <w:r w:rsidRPr="009C5807">
        <w:rPr>
          <w:rFonts w:cs="v4.2.0"/>
        </w:rPr>
        <w:t xml:space="preserve"> in </w:t>
      </w:r>
      <w:r w:rsidRPr="009C5807">
        <w:t>TS</w:t>
      </w:r>
      <w:r w:rsidR="00CE427E">
        <w:t xml:space="preserve"> </w:t>
      </w:r>
      <w:r w:rsidRPr="009C5807">
        <w:t>38.331</w:t>
      </w:r>
      <w:r w:rsidR="00CE427E">
        <w:t xml:space="preserve"> </w:t>
      </w:r>
      <w:r w:rsidRPr="009C5807">
        <w:t>[2]</w:t>
      </w:r>
      <w:r w:rsidRPr="009C5807">
        <w:rPr>
          <w:rFonts w:cs="v4.2.0"/>
        </w:rPr>
        <w:t xml:space="preserve"> plus the </w:t>
      </w:r>
      <w:r>
        <w:rPr>
          <w:rFonts w:cs="v4.2.0"/>
        </w:rPr>
        <w:t xml:space="preserve">PCell </w:t>
      </w:r>
      <w:r w:rsidRPr="009C5807">
        <w:rPr>
          <w:rFonts w:cs="v4.2.0"/>
        </w:rPr>
        <w:t>interruption time</w:t>
      </w:r>
      <w:r>
        <w:rPr>
          <w:rFonts w:cs="v4.2.0"/>
        </w:rPr>
        <w:t xml:space="preserve"> (T</w:t>
      </w:r>
      <w:r>
        <w:rPr>
          <w:rFonts w:cs="v4.2.0"/>
          <w:vertAlign w:val="subscript"/>
        </w:rPr>
        <w:t>interrupt</w:t>
      </w:r>
      <w:r>
        <w:rPr>
          <w:rFonts w:cs="v4.2.0"/>
        </w:rPr>
        <w:t>) define in clause 6.1.</w:t>
      </w:r>
      <w:r>
        <w:rPr>
          <w:lang w:val="en-US" w:eastAsia="zh-CN"/>
        </w:rPr>
        <w:t>5</w:t>
      </w:r>
      <w:r>
        <w:rPr>
          <w:rFonts w:cs="v4.2.0"/>
        </w:rPr>
        <w:t>.3.2.</w:t>
      </w:r>
    </w:p>
    <w:p w14:paraId="2C9BA3E8" w14:textId="712324FE" w:rsidR="008619CA" w:rsidRDefault="008619CA" w:rsidP="008619CA">
      <w:pPr>
        <w:rPr>
          <w:rFonts w:cs="v4.2.0"/>
        </w:rPr>
      </w:pPr>
      <w:r>
        <w:rPr>
          <w:rFonts w:cs="v4.2.0"/>
        </w:rPr>
        <w:t>PSCell addition/change delay, D</w:t>
      </w:r>
      <w:r>
        <w:rPr>
          <w:rFonts w:cs="v4.2.0"/>
          <w:vertAlign w:val="subscript"/>
        </w:rPr>
        <w:t>HOwithPSCell_PSCell</w:t>
      </w:r>
      <w:r>
        <w:rPr>
          <w:rFonts w:cs="v4.2.0"/>
        </w:rPr>
        <w:t xml:space="preserve"> is defined in </w:t>
      </w:r>
      <w:r w:rsidRPr="009C5807">
        <w:rPr>
          <w:rFonts w:cs="v4.2.0"/>
        </w:rPr>
        <w:t>clause</w:t>
      </w:r>
      <w:r w:rsidR="00CE427E">
        <w:rPr>
          <w:rFonts w:cs="v4.2.0"/>
        </w:rPr>
        <w:t xml:space="preserve"> </w:t>
      </w:r>
      <w:r>
        <w:rPr>
          <w:rFonts w:cs="v4.2.0"/>
        </w:rPr>
        <w:t>6.1.</w:t>
      </w:r>
      <w:r>
        <w:rPr>
          <w:lang w:val="en-US" w:eastAsia="zh-CN"/>
        </w:rPr>
        <w:t>5</w:t>
      </w:r>
      <w:r>
        <w:rPr>
          <w:rFonts w:cs="v4.2.0"/>
        </w:rPr>
        <w:t>.3.3</w:t>
      </w:r>
      <w:r w:rsidRPr="009C5807">
        <w:rPr>
          <w:rFonts w:cs="v4.2.0"/>
        </w:rPr>
        <w:t>.</w:t>
      </w:r>
    </w:p>
    <w:p w14:paraId="69EBB340" w14:textId="77777777" w:rsidR="008619CA" w:rsidRPr="009C5807" w:rsidRDefault="008619CA" w:rsidP="008619CA">
      <w:pPr>
        <w:pStyle w:val="Heading5"/>
      </w:pPr>
      <w:r w:rsidRPr="009C5807">
        <w:t>6.1.</w:t>
      </w:r>
      <w:r>
        <w:rPr>
          <w:lang w:val="en-US" w:eastAsia="zh-CN"/>
        </w:rPr>
        <w:t>5</w:t>
      </w:r>
      <w:r w:rsidRPr="009C5807">
        <w:t>.</w:t>
      </w:r>
      <w:r>
        <w:t>3</w:t>
      </w:r>
      <w:r w:rsidRPr="009C5807">
        <w:t>.2</w:t>
      </w:r>
      <w:r w:rsidRPr="009C5807">
        <w:tab/>
      </w:r>
      <w:r>
        <w:t xml:space="preserve">HO with PSCell - PCell </w:t>
      </w:r>
      <w:r w:rsidRPr="009C5807">
        <w:t>Interruption time</w:t>
      </w:r>
      <w:r>
        <w:t xml:space="preserve"> </w:t>
      </w:r>
    </w:p>
    <w:p w14:paraId="12489264" w14:textId="77777777" w:rsidR="008619CA" w:rsidRPr="009C5807" w:rsidRDefault="008619CA" w:rsidP="008619CA">
      <w:pPr>
        <w:rPr>
          <w:rFonts w:cs="v4.2.0"/>
          <w:position w:val="-6"/>
        </w:rPr>
      </w:pPr>
      <w:r w:rsidRPr="009C5807">
        <w:rPr>
          <w:rFonts w:cs="v4.2.0"/>
        </w:rPr>
        <w:t>When intra-frequency or inter-frequency handover is commanded, the interruption time shall be less than T</w:t>
      </w:r>
      <w:r w:rsidRPr="009C5807">
        <w:rPr>
          <w:rFonts w:cs="v4.2.0"/>
          <w:vertAlign w:val="subscript"/>
        </w:rPr>
        <w:t>interrupt</w:t>
      </w:r>
    </w:p>
    <w:p w14:paraId="0524CEA3" w14:textId="77777777" w:rsidR="008619CA" w:rsidRPr="009C5807" w:rsidRDefault="008619CA" w:rsidP="008619CA">
      <w:pPr>
        <w:pStyle w:val="EQ"/>
        <w:spacing w:before="240"/>
      </w:pPr>
      <w:r w:rsidRPr="009C5807">
        <w:tab/>
      </w:r>
      <w:r w:rsidRPr="009C5807">
        <w:rPr>
          <w:rFonts w:cs="v4.2.0"/>
        </w:rPr>
        <w:t>T</w:t>
      </w:r>
      <w:r w:rsidRPr="009C5807">
        <w:rPr>
          <w:rFonts w:cs="v4.2.0"/>
          <w:vertAlign w:val="subscript"/>
        </w:rPr>
        <w:t>interrupt</w:t>
      </w:r>
      <w:r w:rsidRPr="009C5807">
        <w:t xml:space="preserve"> = T</w:t>
      </w:r>
      <w:r w:rsidRPr="009C5807">
        <w:rPr>
          <w:vertAlign w:val="subscript"/>
        </w:rPr>
        <w:t>search</w:t>
      </w:r>
      <w:r>
        <w:rPr>
          <w:vertAlign w:val="subscript"/>
        </w:rPr>
        <w:t>_PCell</w:t>
      </w:r>
      <w:r w:rsidRPr="009C5807" w:rsidDel="001D62E5">
        <w:rPr>
          <w:lang w:eastAsia="zh-CN"/>
        </w:rPr>
        <w:t xml:space="preserve"> </w:t>
      </w:r>
      <w:r w:rsidRPr="009C5807">
        <w:rPr>
          <w:vertAlign w:val="subscript"/>
          <w:lang w:eastAsia="zh-CN"/>
        </w:rPr>
        <w:t xml:space="preserve"> </w:t>
      </w:r>
      <w:r w:rsidRPr="009C5807">
        <w:rPr>
          <w:lang w:eastAsia="zh-CN"/>
        </w:rPr>
        <w:t>+ T</w:t>
      </w:r>
      <w:r w:rsidRPr="009C5807">
        <w:rPr>
          <w:vertAlign w:val="subscript"/>
          <w:lang w:eastAsia="zh-CN"/>
        </w:rPr>
        <w:t>∆</w:t>
      </w:r>
      <w:r>
        <w:rPr>
          <w:vertAlign w:val="subscript"/>
          <w:lang w:eastAsia="zh-CN"/>
        </w:rPr>
        <w:t>_PCell</w:t>
      </w:r>
      <w:r w:rsidRPr="009C5807">
        <w:rPr>
          <w:lang w:eastAsia="zh-CN"/>
        </w:rPr>
        <w:t xml:space="preserve"> + T</w:t>
      </w:r>
      <w:r w:rsidRPr="009C5807">
        <w:rPr>
          <w:vertAlign w:val="subscript"/>
          <w:lang w:eastAsia="zh-CN"/>
        </w:rPr>
        <w:t>margin</w:t>
      </w:r>
      <w:r>
        <w:rPr>
          <w:vertAlign w:val="subscript"/>
          <w:lang w:eastAsia="zh-CN"/>
        </w:rPr>
        <w:t>_PCell</w:t>
      </w:r>
      <w:r w:rsidRPr="009C5807">
        <w:rPr>
          <w:vertAlign w:val="subscript"/>
          <w:lang w:eastAsia="zh-CN"/>
        </w:rPr>
        <w:t xml:space="preserve"> </w:t>
      </w:r>
      <w:r w:rsidRPr="009C5807">
        <w:t>+ T</w:t>
      </w:r>
      <w:r w:rsidRPr="009C5807">
        <w:rPr>
          <w:vertAlign w:val="subscript"/>
        </w:rPr>
        <w:t>IU</w:t>
      </w:r>
      <w:r>
        <w:rPr>
          <w:vertAlign w:val="subscript"/>
        </w:rPr>
        <w:t>_PCell</w:t>
      </w:r>
      <w:r w:rsidRPr="009C5807">
        <w:t xml:space="preserve"> + T</w:t>
      </w:r>
      <w:r w:rsidRPr="009C5807">
        <w:rPr>
          <w:vertAlign w:val="subscript"/>
          <w:lang w:eastAsia="zh-CN"/>
        </w:rPr>
        <w:t>processing</w:t>
      </w:r>
      <w:r w:rsidRPr="009C5807">
        <w:t xml:space="preserve"> ms</w:t>
      </w:r>
    </w:p>
    <w:p w14:paraId="7018018D" w14:textId="77777777" w:rsidR="008619CA" w:rsidRDefault="008619CA" w:rsidP="008619CA">
      <w:pPr>
        <w:rPr>
          <w:rFonts w:cs="v4.2.0"/>
        </w:rPr>
      </w:pPr>
      <w:r>
        <w:rPr>
          <w:rFonts w:cs="v4.2.0"/>
        </w:rPr>
        <w:t>Where:</w:t>
      </w:r>
    </w:p>
    <w:p w14:paraId="57FA311B" w14:textId="62A73B08" w:rsidR="0012760C" w:rsidRDefault="0012760C" w:rsidP="0012760C">
      <w:pPr>
        <w:pStyle w:val="B10"/>
      </w:pPr>
      <w:r w:rsidRPr="000506D8">
        <w:rPr>
          <w:lang w:val="en-US" w:eastAsia="zh-CN"/>
        </w:rPr>
        <w:t>-</w:t>
      </w:r>
      <w:r w:rsidRPr="000506D8">
        <w:rPr>
          <w:lang w:val="en-US" w:eastAsia="zh-CN"/>
        </w:rPr>
        <w:tab/>
      </w:r>
      <w:r>
        <w:t xml:space="preserve">If the source cell is in FR1 and target cell is in FR1, </w:t>
      </w:r>
      <w:r w:rsidRPr="009C5807">
        <w:t>T</w:t>
      </w:r>
      <w:r w:rsidRPr="009C5807">
        <w:rPr>
          <w:vertAlign w:val="subscript"/>
        </w:rPr>
        <w:t>search</w:t>
      </w:r>
      <w:r>
        <w:rPr>
          <w:vertAlign w:val="subscript"/>
        </w:rPr>
        <w:t xml:space="preserve">_PCell, </w:t>
      </w:r>
      <w:r w:rsidRPr="009C5807">
        <w:t xml:space="preserve"> </w:t>
      </w:r>
      <w:r w:rsidRPr="009C5807">
        <w:rPr>
          <w:lang w:eastAsia="zh-CN"/>
        </w:rPr>
        <w:t>T</w:t>
      </w:r>
      <w:r w:rsidRPr="009C5807">
        <w:rPr>
          <w:vertAlign w:val="subscript"/>
          <w:lang w:eastAsia="zh-CN"/>
        </w:rPr>
        <w:t>∆</w:t>
      </w:r>
      <w:r>
        <w:rPr>
          <w:vertAlign w:val="subscript"/>
          <w:lang w:eastAsia="zh-CN"/>
        </w:rPr>
        <w:t>_PCell</w:t>
      </w:r>
      <w:r>
        <w:rPr>
          <w:lang w:eastAsia="zh-CN"/>
        </w:rPr>
        <w:t xml:space="preserve">, </w:t>
      </w:r>
      <w:r w:rsidRPr="009C5807">
        <w:rPr>
          <w:lang w:eastAsia="zh-CN"/>
        </w:rPr>
        <w:t>T</w:t>
      </w:r>
      <w:r w:rsidRPr="009C5807">
        <w:rPr>
          <w:vertAlign w:val="subscript"/>
          <w:lang w:eastAsia="zh-CN"/>
        </w:rPr>
        <w:t>margin</w:t>
      </w:r>
      <w:r>
        <w:rPr>
          <w:vertAlign w:val="subscript"/>
          <w:lang w:eastAsia="zh-CN"/>
        </w:rPr>
        <w:t>_PCell</w:t>
      </w:r>
      <w:r w:rsidRPr="009C5807">
        <w:t xml:space="preserve"> is </w:t>
      </w:r>
      <w:r>
        <w:t xml:space="preserve">same as the </w:t>
      </w:r>
      <w:r w:rsidRPr="009C5807">
        <w:t>T</w:t>
      </w:r>
      <w:r w:rsidRPr="009C5807">
        <w:rPr>
          <w:vertAlign w:val="subscript"/>
        </w:rPr>
        <w:t>search</w:t>
      </w:r>
      <w:r>
        <w:t>,</w:t>
      </w:r>
      <w:r>
        <w:rPr>
          <w:vertAlign w:val="subscript"/>
        </w:rPr>
        <w:t xml:space="preserve"> </w:t>
      </w:r>
      <w:r w:rsidRPr="009C5807">
        <w:t xml:space="preserve"> </w:t>
      </w:r>
      <w:r w:rsidRPr="009C5807">
        <w:rPr>
          <w:lang w:eastAsia="zh-CN"/>
        </w:rPr>
        <w:t>T</w:t>
      </w:r>
      <w:r w:rsidRPr="009C5807">
        <w:rPr>
          <w:vertAlign w:val="subscript"/>
          <w:lang w:eastAsia="zh-CN"/>
        </w:rPr>
        <w:t>∆</w:t>
      </w:r>
      <w:r>
        <w:rPr>
          <w:lang w:eastAsia="zh-CN"/>
        </w:rPr>
        <w:t xml:space="preserve">, </w:t>
      </w:r>
      <w:r w:rsidRPr="009C5807">
        <w:rPr>
          <w:lang w:eastAsia="zh-CN"/>
        </w:rPr>
        <w:t>T</w:t>
      </w:r>
      <w:r w:rsidRPr="009C5807">
        <w:rPr>
          <w:vertAlign w:val="subscript"/>
          <w:lang w:eastAsia="zh-CN"/>
        </w:rPr>
        <w:t>margin</w:t>
      </w:r>
      <w:r>
        <w:t xml:space="preserve"> defined in section 6.1.1.2.2 respectively.  </w:t>
      </w:r>
      <w:r w:rsidRPr="009C5807">
        <w:t>T</w:t>
      </w:r>
      <w:r w:rsidRPr="009C5807">
        <w:rPr>
          <w:vertAlign w:val="subscript"/>
          <w:lang w:eastAsia="zh-CN"/>
        </w:rPr>
        <w:t>processing</w:t>
      </w:r>
      <w:r w:rsidRPr="009C5807">
        <w:t xml:space="preserve"> is UE </w:t>
      </w:r>
      <w:r>
        <w:t xml:space="preserve">software </w:t>
      </w:r>
      <w:r w:rsidRPr="009C5807">
        <w:t>processing</w:t>
      </w:r>
      <w:r>
        <w:t xml:space="preserve"> and RF warmup delay for PCell HO and for this case </w:t>
      </w:r>
      <w:r w:rsidRPr="009C5807">
        <w:t>T</w:t>
      </w:r>
      <w:r w:rsidRPr="009C5807">
        <w:rPr>
          <w:vertAlign w:val="subscript"/>
          <w:lang w:eastAsia="zh-CN"/>
        </w:rPr>
        <w:t>processing</w:t>
      </w:r>
      <w:r w:rsidRPr="009C5807">
        <w:t xml:space="preserve"> </w:t>
      </w:r>
      <w:r>
        <w:t xml:space="preserve">can be up to 25ms. </w:t>
      </w:r>
      <w:r w:rsidRPr="000E7E51">
        <w:t>T</w:t>
      </w:r>
      <w:r w:rsidRPr="000E7E51">
        <w:rPr>
          <w:vertAlign w:val="subscript"/>
        </w:rPr>
        <w:t>IU_PCell</w:t>
      </w:r>
      <w:r w:rsidRPr="000E7E51">
        <w:t xml:space="preserve"> </w:t>
      </w:r>
      <w:r>
        <w:rPr>
          <w:rFonts w:ascii="Times" w:hAnsi="Times" w:cs="Times"/>
          <w:color w:val="000000"/>
          <w:lang w:eastAsia="fr-FR"/>
        </w:rPr>
        <w:t xml:space="preserve">can be up to the summation of SSB to PRACH occasion association period and 10 ms </w:t>
      </w:r>
      <w:r w:rsidRPr="000E7E51">
        <w:t xml:space="preserve">if there is no collision between PCell RACH and PSCell RACH occasion </w:t>
      </w:r>
      <w:r>
        <w:t xml:space="preserve">or UE can perform </w:t>
      </w:r>
      <w:r w:rsidRPr="000E7E51">
        <w:t>PCell RACH and PSCell RACH occasion</w:t>
      </w:r>
      <w:r>
        <w:t xml:space="preserve"> simaltaneously</w:t>
      </w:r>
      <w:r w:rsidRPr="000E7E51">
        <w:t xml:space="preserve"> </w:t>
      </w:r>
      <w:r>
        <w:t>as defined</w:t>
      </w:r>
      <w:r w:rsidRPr="00946DDF">
        <w:t xml:space="preserve"> in TS38.213</w:t>
      </w:r>
      <w:r>
        <w:t>[39]</w:t>
      </w:r>
      <w:r w:rsidRPr="00946DDF">
        <w:t xml:space="preserve"> section 7.6.1</w:t>
      </w:r>
      <w:r>
        <w:t>A; otherwise,</w:t>
      </w:r>
      <w:r w:rsidRPr="000E7E51">
        <w:t xml:space="preserve"> </w:t>
      </w:r>
      <w:r>
        <w:t xml:space="preserve">longer </w:t>
      </w:r>
      <w:r w:rsidRPr="000E7E51">
        <w:t>T</w:t>
      </w:r>
      <w:r w:rsidRPr="000E7E51">
        <w:rPr>
          <w:vertAlign w:val="subscript"/>
        </w:rPr>
        <w:t>IU_PCell</w:t>
      </w:r>
      <w:r w:rsidRPr="000E7E51">
        <w:t xml:space="preserve"> is </w:t>
      </w:r>
      <w:r>
        <w:t xml:space="preserve">expected to include </w:t>
      </w:r>
      <w:r w:rsidRPr="000E7E51">
        <w:t>the uncertainty in acquiring the next available RACH occasion for PCell RACH transmission.</w:t>
      </w:r>
    </w:p>
    <w:p w14:paraId="02B6E512" w14:textId="77777777" w:rsidR="008619CA" w:rsidRDefault="008619CA" w:rsidP="008619CA">
      <w:pPr>
        <w:rPr>
          <w:rFonts w:cs="v4.2.0"/>
        </w:rPr>
      </w:pPr>
    </w:p>
    <w:p w14:paraId="3D7EA254" w14:textId="62BB1EB6" w:rsidR="008619CA" w:rsidRPr="009C5807" w:rsidRDefault="008619CA" w:rsidP="008619CA">
      <w:pPr>
        <w:pStyle w:val="Heading5"/>
      </w:pPr>
      <w:r w:rsidRPr="009C5807">
        <w:t>6.1.</w:t>
      </w:r>
      <w:r>
        <w:rPr>
          <w:lang w:val="en-US" w:eastAsia="zh-CN"/>
        </w:rPr>
        <w:t>5</w:t>
      </w:r>
      <w:r w:rsidRPr="009C5807">
        <w:t>.</w:t>
      </w:r>
      <w:r>
        <w:t>3</w:t>
      </w:r>
      <w:r w:rsidRPr="009C5807">
        <w:t>.</w:t>
      </w:r>
      <w:r>
        <w:t>3</w:t>
      </w:r>
      <w:r w:rsidRPr="009C5807">
        <w:tab/>
      </w:r>
      <w:r>
        <w:t>PSCell addition/change in NE-DC to NE-DC HO with PSCell</w:t>
      </w:r>
    </w:p>
    <w:p w14:paraId="47A5813F" w14:textId="77777777" w:rsidR="00F61BC5" w:rsidRDefault="00F61BC5" w:rsidP="00F61BC5">
      <w:pPr>
        <w:rPr>
          <w:rFonts w:cs="v4.2.0"/>
        </w:rPr>
      </w:pPr>
      <w:r w:rsidRPr="009C5807">
        <w:rPr>
          <w:rFonts w:cs="v4.2.0"/>
        </w:rPr>
        <w:t xml:space="preserve">When </w:t>
      </w:r>
      <w:r>
        <w:rPr>
          <w:rFonts w:cs="v4.2.0"/>
        </w:rPr>
        <w:t xml:space="preserve">HO with PSCell addition is </w:t>
      </w:r>
      <w:r w:rsidRPr="009C5807">
        <w:rPr>
          <w:rFonts w:cs="v4.2.0"/>
        </w:rPr>
        <w:t xml:space="preserve">commanded, the </w:t>
      </w:r>
      <w:r>
        <w:rPr>
          <w:rFonts w:cs="v4.2.0"/>
        </w:rPr>
        <w:t>PSCell addition/change</w:t>
      </w:r>
      <w:r w:rsidRPr="009C5807">
        <w:rPr>
          <w:rFonts w:cs="v4.2.0"/>
        </w:rPr>
        <w:t xml:space="preserve"> time shall be less than </w:t>
      </w:r>
      <w:r>
        <w:rPr>
          <w:rFonts w:cs="v4.2.0"/>
        </w:rPr>
        <w:t xml:space="preserve"> D</w:t>
      </w:r>
      <w:r>
        <w:rPr>
          <w:rFonts w:cs="v4.2.0"/>
          <w:vertAlign w:val="subscript"/>
        </w:rPr>
        <w:t>HOwithPSCel_PSCell</w:t>
      </w:r>
      <w:r>
        <w:rPr>
          <w:rFonts w:cs="v4.2.0"/>
        </w:rPr>
        <w:t>.</w:t>
      </w:r>
    </w:p>
    <w:p w14:paraId="335C30A5" w14:textId="6116B67F" w:rsidR="00F61BC5" w:rsidRPr="00587B66" w:rsidRDefault="002E22CF" w:rsidP="002E22CF">
      <w:pPr>
        <w:pStyle w:val="B10"/>
        <w:rPr>
          <w:rFonts w:eastAsia="SimSun"/>
          <w:noProof/>
          <w:sz w:val="28"/>
          <w:szCs w:val="28"/>
          <w:lang w:eastAsia="zh-CN"/>
        </w:rPr>
      </w:pPr>
      <w:bookmarkStart w:id="106" w:name="_Hlk103676434"/>
      <w:r>
        <w:rPr>
          <w:rFonts w:cs="v4.2.0"/>
        </w:rPr>
        <w:t>-</w:t>
      </w:r>
      <w:r>
        <w:rPr>
          <w:rFonts w:cs="v4.2.0"/>
        </w:rPr>
        <w:tab/>
      </w:r>
      <w:r w:rsidR="00F61BC5">
        <w:rPr>
          <w:rFonts w:cs="v4.2.0"/>
        </w:rPr>
        <w:t>D</w:t>
      </w:r>
      <w:r w:rsidR="00F61BC5">
        <w:rPr>
          <w:rFonts w:cs="v4.2.0"/>
          <w:vertAlign w:val="subscript"/>
        </w:rPr>
        <w:t xml:space="preserve">HOwithPSCel_PSCell = </w:t>
      </w:r>
      <w:r w:rsidR="00F61BC5">
        <w:rPr>
          <w:rFonts w:hint="eastAsia"/>
        </w:rPr>
        <w:t>T</w:t>
      </w:r>
      <w:r w:rsidR="00F61BC5">
        <w:rPr>
          <w:rFonts w:hint="eastAsia"/>
          <w:vertAlign w:val="subscript"/>
        </w:rPr>
        <w:t>config_</w:t>
      </w:r>
      <w:r w:rsidR="00F61BC5">
        <w:rPr>
          <w:rFonts w:hint="eastAsia"/>
          <w:vertAlign w:val="subscript"/>
          <w:lang w:eastAsia="ja-JP"/>
        </w:rPr>
        <w:t>EUTRAN-</w:t>
      </w:r>
      <w:r w:rsidR="00F61BC5">
        <w:rPr>
          <w:rFonts w:hint="eastAsia"/>
          <w:vertAlign w:val="subscript"/>
        </w:rPr>
        <w:t>PSC</w:t>
      </w:r>
      <w:r w:rsidR="00F61BC5" w:rsidRPr="00F61BC5">
        <w:rPr>
          <w:rFonts w:hint="eastAsia"/>
          <w:vertAlign w:val="subscript"/>
        </w:rPr>
        <w:t>ell</w:t>
      </w:r>
      <w:r w:rsidR="00F61BC5" w:rsidRPr="00F61BC5">
        <w:rPr>
          <w:rFonts w:hint="eastAsia"/>
        </w:rPr>
        <w:t xml:space="preserve"> </w:t>
      </w:r>
      <w:r w:rsidR="00F61BC5" w:rsidRPr="00F61BC5">
        <w:t>+ T</w:t>
      </w:r>
      <w:r w:rsidR="00F61BC5" w:rsidRPr="00F61BC5">
        <w:rPr>
          <w:vertAlign w:val="subscript"/>
          <w:lang w:eastAsia="zh-CN"/>
        </w:rPr>
        <w:t>processing_margin</w:t>
      </w:r>
      <w:r w:rsidR="00F61BC5" w:rsidRPr="00F61BC5" w:rsidDel="00225310">
        <w:t xml:space="preserve"> </w:t>
      </w:r>
      <w:r w:rsidR="00F61BC5" w:rsidRPr="00F61BC5">
        <w:t>.</w:t>
      </w:r>
    </w:p>
    <w:p w14:paraId="72C2ECD9" w14:textId="26B52723" w:rsidR="00F61BC5" w:rsidRDefault="00F61BC5" w:rsidP="00F745A0">
      <w:r>
        <w:rPr>
          <w:rFonts w:hint="eastAsia"/>
          <w:lang w:eastAsia="zh-CN"/>
        </w:rPr>
        <w:t>wh</w:t>
      </w:r>
      <w:r>
        <w:rPr>
          <w:lang w:eastAsia="zh-CN"/>
        </w:rPr>
        <w:t>ere</w:t>
      </w:r>
      <w:r>
        <w:t xml:space="preserve"> </w:t>
      </w:r>
    </w:p>
    <w:p w14:paraId="3B0548E7" w14:textId="571707D3" w:rsidR="00F61BC5" w:rsidRDefault="002E22CF" w:rsidP="00F745A0">
      <w:pPr>
        <w:pStyle w:val="B10"/>
      </w:pPr>
      <w:r>
        <w:t>-</w:t>
      </w:r>
      <w:r>
        <w:tab/>
      </w:r>
      <w:r w:rsidR="00F61BC5">
        <w:rPr>
          <w:rFonts w:hint="eastAsia"/>
        </w:rPr>
        <w:t>T</w:t>
      </w:r>
      <w:r w:rsidR="00F61BC5">
        <w:rPr>
          <w:rFonts w:hint="eastAsia"/>
          <w:vertAlign w:val="subscript"/>
        </w:rPr>
        <w:t>config_</w:t>
      </w:r>
      <w:r w:rsidR="00F61BC5">
        <w:rPr>
          <w:rFonts w:hint="eastAsia"/>
          <w:vertAlign w:val="subscript"/>
          <w:lang w:eastAsia="ja-JP"/>
        </w:rPr>
        <w:t>EUTRAN-</w:t>
      </w:r>
      <w:r w:rsidR="00F61BC5">
        <w:rPr>
          <w:rFonts w:hint="eastAsia"/>
          <w:vertAlign w:val="subscript"/>
        </w:rPr>
        <w:t>PSCell</w:t>
      </w:r>
      <w:r w:rsidR="00F61BC5">
        <w:rPr>
          <w:rFonts w:hint="eastAsia"/>
        </w:rPr>
        <w:t xml:space="preserve"> </w:t>
      </w:r>
      <w:r w:rsidR="00F61BC5">
        <w:t>isdefined in clause8.8.2, and</w:t>
      </w:r>
    </w:p>
    <w:p w14:paraId="54CA9A5C" w14:textId="19688C23" w:rsidR="00F61BC5" w:rsidRDefault="002E22CF" w:rsidP="00F745A0">
      <w:pPr>
        <w:pStyle w:val="B10"/>
      </w:pPr>
      <w:r>
        <w:t>-</w:t>
      </w:r>
      <w:r>
        <w:tab/>
      </w:r>
      <w:r w:rsidR="00F61BC5" w:rsidRPr="009C5807">
        <w:t>T</w:t>
      </w:r>
      <w:r w:rsidR="00F61BC5" w:rsidRPr="009C5807">
        <w:rPr>
          <w:vertAlign w:val="subscript"/>
          <w:lang w:eastAsia="zh-CN"/>
        </w:rPr>
        <w:t>processing</w:t>
      </w:r>
      <w:r w:rsidR="00F61BC5">
        <w:rPr>
          <w:vertAlign w:val="subscript"/>
          <w:lang w:eastAsia="zh-CN"/>
        </w:rPr>
        <w:t>_margin</w:t>
      </w:r>
      <w:r w:rsidR="00F61BC5">
        <w:t xml:space="preserve"> = 5ms is the additional delay margin for RF warm-up and software processing in handover with PSCell.</w:t>
      </w:r>
    </w:p>
    <w:bookmarkEnd w:id="106"/>
    <w:p w14:paraId="0D631599" w14:textId="77777777" w:rsidR="008619CA" w:rsidRDefault="008619CA" w:rsidP="008619CA">
      <w:pPr>
        <w:rPr>
          <w:noProof/>
        </w:rPr>
      </w:pPr>
    </w:p>
    <w:p w14:paraId="2D403A1E" w14:textId="77777777" w:rsidR="008619CA" w:rsidRPr="00876E7D" w:rsidRDefault="008619CA" w:rsidP="008619CA">
      <w:pPr>
        <w:pStyle w:val="Heading4"/>
        <w:rPr>
          <w:lang w:val="en-US" w:eastAsia="zh-CN"/>
        </w:rPr>
      </w:pPr>
      <w:r w:rsidRPr="00876E7D">
        <w:rPr>
          <w:lang w:val="en-US" w:eastAsia="zh-CN"/>
        </w:rPr>
        <w:t>6.1.</w:t>
      </w:r>
      <w:r>
        <w:rPr>
          <w:lang w:val="en-US" w:eastAsia="zh-CN"/>
        </w:rPr>
        <w:t>5</w:t>
      </w:r>
      <w:r w:rsidRPr="00876E7D">
        <w:rPr>
          <w:lang w:val="en-US" w:eastAsia="zh-CN"/>
        </w:rPr>
        <w:t>.4</w:t>
      </w:r>
      <w:r w:rsidRPr="00876E7D">
        <w:rPr>
          <w:lang w:val="en-US" w:eastAsia="zh-CN"/>
        </w:rPr>
        <w:tab/>
        <w:t>HO with PSCell from NR-DC to NR-DC</w:t>
      </w:r>
    </w:p>
    <w:p w14:paraId="140258D5" w14:textId="77777777" w:rsidR="008619CA" w:rsidRPr="004E7690" w:rsidRDefault="008619CA" w:rsidP="008619CA">
      <w:pPr>
        <w:spacing w:after="160" w:line="259" w:lineRule="auto"/>
        <w:rPr>
          <w:rFonts w:eastAsia="Calibri" w:cs="Arial"/>
          <w:szCs w:val="22"/>
          <w:lang w:val="en-US"/>
        </w:rPr>
      </w:pPr>
      <w:r w:rsidRPr="004E7690">
        <w:rPr>
          <w:rFonts w:eastAsia="Calibri" w:cs="Arial"/>
          <w:szCs w:val="22"/>
          <w:lang w:val="en-US"/>
        </w:rPr>
        <w:t>The requirements in this clause are applicable to handover with PSCell from NR-DC to NR-DC.</w:t>
      </w:r>
      <w:r>
        <w:rPr>
          <w:rFonts w:eastAsia="Calibri" w:cs="Arial"/>
          <w:szCs w:val="22"/>
          <w:lang w:val="en-US"/>
        </w:rPr>
        <w:t xml:space="preserve"> The requirements in this clause are only applicable to FR1+FR2 NR-DC.</w:t>
      </w:r>
    </w:p>
    <w:p w14:paraId="3916A53E" w14:textId="77777777" w:rsidR="008619CA" w:rsidRPr="004E7690" w:rsidRDefault="008619CA" w:rsidP="008619CA">
      <w:pPr>
        <w:tabs>
          <w:tab w:val="left" w:pos="7200"/>
        </w:tabs>
        <w:spacing w:after="160" w:line="259" w:lineRule="auto"/>
        <w:rPr>
          <w:rFonts w:eastAsia="Calibri" w:cs="Arial"/>
          <w:szCs w:val="22"/>
          <w:lang w:val="en-US"/>
        </w:rPr>
      </w:pPr>
      <w:r w:rsidRPr="004E7690">
        <w:rPr>
          <w:rFonts w:eastAsia="Calibri" w:cs="Arial"/>
          <w:szCs w:val="22"/>
          <w:lang w:val="en-US"/>
        </w:rPr>
        <w:t xml:space="preserve">This clause defines requirements for the delay within which the UE shall be able to handover from NR cell to NR cell and add NR PSCell in the meantime. </w:t>
      </w:r>
    </w:p>
    <w:p w14:paraId="34CE0867" w14:textId="69A8434C" w:rsidR="008619CA" w:rsidRPr="004E7690" w:rsidRDefault="008619CA" w:rsidP="008619CA">
      <w:pPr>
        <w:spacing w:after="160" w:line="259" w:lineRule="auto"/>
        <w:rPr>
          <w:rFonts w:eastAsia="Calibri" w:cs="v4.2.0"/>
          <w:szCs w:val="22"/>
          <w:lang w:val="en-US"/>
        </w:rPr>
      </w:pPr>
      <w:r w:rsidRPr="004E7690">
        <w:rPr>
          <w:rFonts w:eastAsia="Calibri" w:cs="v4.2.0"/>
          <w:szCs w:val="22"/>
          <w:lang w:val="en-US"/>
        </w:rPr>
        <w:t>When the UE receives a RRC message implying handover with PSCell,</w:t>
      </w:r>
    </w:p>
    <w:p w14:paraId="5F2518D4" w14:textId="2FFA9953" w:rsidR="008619CA" w:rsidRDefault="00CE427E" w:rsidP="008619CA">
      <w:pPr>
        <w:pStyle w:val="B10"/>
        <w:rPr>
          <w:lang w:val="en-US"/>
        </w:rPr>
      </w:pPr>
      <w:r w:rsidRPr="000506D8">
        <w:rPr>
          <w:lang w:val="en-US" w:eastAsia="zh-CN"/>
        </w:rPr>
        <w:t>-</w:t>
      </w:r>
      <w:r w:rsidRPr="000506D8">
        <w:rPr>
          <w:lang w:val="en-US" w:eastAsia="zh-CN"/>
        </w:rPr>
        <w:tab/>
      </w:r>
      <w:r w:rsidR="008619CA" w:rsidRPr="004E7690">
        <w:rPr>
          <w:lang w:val="en-US"/>
        </w:rPr>
        <w:t xml:space="preserve">The UE shall be ready to </w:t>
      </w:r>
      <w:r w:rsidR="008619CA" w:rsidRPr="004E7690">
        <w:rPr>
          <w:snapToGrid w:val="0"/>
          <w:lang w:val="en-US"/>
        </w:rPr>
        <w:t>start the transmission of the new uplink PRACH channel of the target PCell</w:t>
      </w:r>
      <w:r w:rsidR="008619CA" w:rsidRPr="004E7690">
        <w:rPr>
          <w:lang w:val="en-US"/>
        </w:rPr>
        <w:t xml:space="preserve"> within D</w:t>
      </w:r>
      <w:r w:rsidR="008619CA">
        <w:rPr>
          <w:vertAlign w:val="subscript"/>
          <w:lang w:val="en-US"/>
        </w:rPr>
        <w:t>HOwithPSCell_PCell</w:t>
      </w:r>
      <w:r w:rsidR="008619CA" w:rsidRPr="004E7690">
        <w:rPr>
          <w:lang w:val="en-US"/>
        </w:rPr>
        <w:t xml:space="preserve"> </w:t>
      </w:r>
      <w:r w:rsidR="008619CA" w:rsidRPr="004E7690">
        <w:rPr>
          <w:rFonts w:hint="eastAsia"/>
          <w:lang w:val="en-US" w:eastAsia="zh-CN"/>
        </w:rPr>
        <w:t xml:space="preserve">ms </w:t>
      </w:r>
      <w:r w:rsidR="008619CA" w:rsidRPr="004E7690">
        <w:rPr>
          <w:lang w:val="en-US"/>
        </w:rPr>
        <w:t>from the end of the last TTI containing the RRC command</w:t>
      </w:r>
      <w:r w:rsidR="008619CA">
        <w:rPr>
          <w:lang w:val="en-US"/>
        </w:rPr>
        <w:t>, and</w:t>
      </w:r>
      <w:r w:rsidR="008619CA" w:rsidRPr="004E7690">
        <w:rPr>
          <w:lang w:val="en-US"/>
        </w:rPr>
        <w:t xml:space="preserve"> </w:t>
      </w:r>
    </w:p>
    <w:p w14:paraId="2D366CCF" w14:textId="3BD8D7E0" w:rsidR="008619CA" w:rsidRPr="002929E6" w:rsidRDefault="00CE427E" w:rsidP="008619CA">
      <w:pPr>
        <w:pStyle w:val="B10"/>
        <w:rPr>
          <w:lang w:val="en-US"/>
        </w:rPr>
      </w:pPr>
      <w:r w:rsidRPr="000506D8">
        <w:rPr>
          <w:lang w:val="en-US" w:eastAsia="zh-CN"/>
        </w:rPr>
        <w:t>-</w:t>
      </w:r>
      <w:r w:rsidRPr="000506D8">
        <w:rPr>
          <w:lang w:val="en-US" w:eastAsia="zh-CN"/>
        </w:rPr>
        <w:tab/>
      </w:r>
      <w:r w:rsidR="008619CA" w:rsidRPr="004E7690">
        <w:rPr>
          <w:rFonts w:cs="Arial"/>
          <w:lang w:val="en-US" w:eastAsia="ko-KR"/>
        </w:rPr>
        <w:t xml:space="preserve">The UE shall be capable of transmitting </w:t>
      </w:r>
      <w:r w:rsidR="008619CA" w:rsidRPr="004E7690">
        <w:rPr>
          <w:rFonts w:cs="Arial"/>
          <w:lang w:val="en-US" w:eastAsia="ja-JP"/>
        </w:rPr>
        <w:t>P</w:t>
      </w:r>
      <w:r w:rsidR="008619CA" w:rsidRPr="004E7690">
        <w:rPr>
          <w:rFonts w:cs="Arial"/>
          <w:lang w:val="en-US" w:eastAsia="ko-KR"/>
        </w:rPr>
        <w:t xml:space="preserve">RACH </w:t>
      </w:r>
      <w:r w:rsidR="008619CA" w:rsidRPr="004E7690">
        <w:rPr>
          <w:rFonts w:cs="Arial"/>
          <w:lang w:val="en-US" w:eastAsia="ja-JP"/>
        </w:rPr>
        <w:t xml:space="preserve">preamble </w:t>
      </w:r>
      <w:r w:rsidR="008619CA" w:rsidRPr="004E7690">
        <w:rPr>
          <w:rFonts w:cs="Arial"/>
          <w:lang w:val="en-US" w:eastAsia="ko-KR"/>
        </w:rPr>
        <w:t>towards the target PSCell no later than</w:t>
      </w:r>
      <w:r w:rsidR="008619CA" w:rsidRPr="00541D34">
        <w:rPr>
          <w:lang w:val="en-US"/>
        </w:rPr>
        <w:t xml:space="preserve"> </w:t>
      </w:r>
      <w:r w:rsidR="008619CA" w:rsidRPr="004E7690">
        <w:rPr>
          <w:lang w:val="en-US"/>
        </w:rPr>
        <w:t>D</w:t>
      </w:r>
      <w:r w:rsidR="008619CA">
        <w:rPr>
          <w:vertAlign w:val="subscript"/>
          <w:lang w:val="en-US"/>
        </w:rPr>
        <w:t>HOwithPSCell_PSCell</w:t>
      </w:r>
      <w:r w:rsidR="008619CA" w:rsidRPr="004E7690">
        <w:rPr>
          <w:lang w:val="en-US"/>
        </w:rPr>
        <w:t xml:space="preserve"> </w:t>
      </w:r>
      <w:r w:rsidR="008619CA" w:rsidRPr="004E7690">
        <w:rPr>
          <w:rFonts w:hint="eastAsia"/>
          <w:lang w:val="en-US" w:eastAsia="zh-CN"/>
        </w:rPr>
        <w:t xml:space="preserve">ms </w:t>
      </w:r>
      <w:r w:rsidR="008619CA" w:rsidRPr="004E7690">
        <w:rPr>
          <w:lang w:val="en-US"/>
        </w:rPr>
        <w:t>from</w:t>
      </w:r>
      <w:r w:rsidR="008619CA">
        <w:rPr>
          <w:lang w:val="en-US"/>
        </w:rPr>
        <w:t xml:space="preserve"> the end of the last TTI containing the RRC command</w:t>
      </w:r>
      <w:r w:rsidR="008619CA" w:rsidRPr="004E7690">
        <w:rPr>
          <w:rFonts w:cs="Arial"/>
          <w:lang w:val="en-US" w:eastAsia="ko-KR"/>
        </w:rPr>
        <w:t>.</w:t>
      </w:r>
    </w:p>
    <w:p w14:paraId="1BF91B57" w14:textId="591DDCB0" w:rsidR="008619CA" w:rsidRDefault="008619CA" w:rsidP="008619CA">
      <w:pPr>
        <w:spacing w:after="160" w:line="259" w:lineRule="auto"/>
        <w:contextualSpacing/>
        <w:rPr>
          <w:rFonts w:eastAsia="Calibri" w:cs="v4.2.0"/>
          <w:szCs w:val="22"/>
          <w:lang w:val="en-US"/>
        </w:rPr>
      </w:pPr>
      <w:r>
        <w:rPr>
          <w:rFonts w:eastAsia="Calibri" w:cs="v4.2.0"/>
          <w:szCs w:val="22"/>
          <w:lang w:val="en-US"/>
        </w:rPr>
        <w:t>W</w:t>
      </w:r>
      <w:r w:rsidRPr="004E7690">
        <w:rPr>
          <w:rFonts w:eastAsia="Calibri" w:cs="v4.2.0"/>
          <w:szCs w:val="22"/>
          <w:lang w:val="en-US"/>
        </w:rPr>
        <w:t>here</w:t>
      </w:r>
      <w:r w:rsidR="00CE427E">
        <w:rPr>
          <w:rFonts w:eastAsia="Calibri" w:cs="v4.2.0"/>
          <w:szCs w:val="22"/>
          <w:lang w:val="en-US"/>
        </w:rPr>
        <w:t>:</w:t>
      </w:r>
    </w:p>
    <w:p w14:paraId="3E9A9FCA" w14:textId="772AA202" w:rsidR="008619CA" w:rsidRPr="004E7690" w:rsidRDefault="00CE427E" w:rsidP="008619CA">
      <w:pPr>
        <w:pStyle w:val="B10"/>
        <w:rPr>
          <w:rFonts w:eastAsia="Calibri" w:cs="v4.2.0"/>
          <w:szCs w:val="22"/>
          <w:lang w:val="en-US"/>
        </w:rPr>
      </w:pPr>
      <w:r w:rsidRPr="000506D8">
        <w:rPr>
          <w:lang w:val="en-US" w:eastAsia="zh-CN"/>
        </w:rPr>
        <w:t>-</w:t>
      </w:r>
      <w:r w:rsidRPr="000506D8">
        <w:rPr>
          <w:lang w:val="en-US" w:eastAsia="zh-CN"/>
        </w:rPr>
        <w:tab/>
      </w:r>
      <w:r w:rsidR="008619CA" w:rsidRPr="004E7690">
        <w:rPr>
          <w:rFonts w:eastAsia="Calibri" w:cs="v4.2.0"/>
          <w:szCs w:val="22"/>
          <w:lang w:val="en-US"/>
        </w:rPr>
        <w:t>D</w:t>
      </w:r>
      <w:r w:rsidR="008619CA">
        <w:rPr>
          <w:rFonts w:eastAsia="Calibri" w:cs="v4.2.0"/>
          <w:szCs w:val="22"/>
          <w:vertAlign w:val="subscript"/>
          <w:lang w:val="en-US"/>
        </w:rPr>
        <w:t>HOwithPSCell_PCell</w:t>
      </w:r>
      <w:r w:rsidR="008619CA">
        <w:t xml:space="preserve"> equals the applicable RRC procedure delay defined in clause 12 in TS 38.331 [2] plus the interruption time stated in clause 6.1.5.4.1.</w:t>
      </w:r>
    </w:p>
    <w:p w14:paraId="4CF0D14A" w14:textId="39961A0B" w:rsidR="008619CA" w:rsidRPr="004E7690" w:rsidRDefault="00CE427E" w:rsidP="008619CA">
      <w:pPr>
        <w:pStyle w:val="B10"/>
        <w:rPr>
          <w:rFonts w:eastAsia="Calibri" w:cs="v4.2.0"/>
          <w:szCs w:val="22"/>
          <w:lang w:val="en-US"/>
        </w:rPr>
      </w:pPr>
      <w:r w:rsidRPr="000506D8">
        <w:rPr>
          <w:lang w:val="en-US" w:eastAsia="zh-CN"/>
        </w:rPr>
        <w:t>-</w:t>
      </w:r>
      <w:r w:rsidRPr="000506D8">
        <w:rPr>
          <w:lang w:val="en-US" w:eastAsia="zh-CN"/>
        </w:rPr>
        <w:tab/>
      </w:r>
      <w:r w:rsidR="008619CA" w:rsidRPr="004E7690">
        <w:rPr>
          <w:rFonts w:eastAsia="Calibri" w:cs="v4.2.0"/>
          <w:szCs w:val="22"/>
          <w:lang w:val="en-US"/>
        </w:rPr>
        <w:t>D</w:t>
      </w:r>
      <w:r w:rsidR="008619CA">
        <w:rPr>
          <w:rFonts w:eastAsia="Calibri" w:cs="v4.2.0"/>
          <w:szCs w:val="22"/>
          <w:vertAlign w:val="subscript"/>
          <w:lang w:val="en-US"/>
        </w:rPr>
        <w:t>HOwithPSCell_PSCell</w:t>
      </w:r>
      <w:r w:rsidR="008619CA">
        <w:t xml:space="preserve"> is the PSCell change delay stated in clause 6.1.5.4.2.</w:t>
      </w:r>
    </w:p>
    <w:p w14:paraId="4D99D39B" w14:textId="77777777" w:rsidR="008619CA" w:rsidRDefault="008619CA" w:rsidP="008619CA"/>
    <w:p w14:paraId="2157C557" w14:textId="77777777" w:rsidR="008619CA" w:rsidRPr="002929E6" w:rsidRDefault="008619CA" w:rsidP="008619CA">
      <w:pPr>
        <w:keepNext/>
        <w:keepLines/>
        <w:spacing w:before="120"/>
        <w:ind w:left="1701" w:hanging="1701"/>
        <w:outlineLvl w:val="4"/>
        <w:rPr>
          <w:rFonts w:ascii="Arial" w:hAnsi="Arial"/>
          <w:sz w:val="22"/>
        </w:rPr>
      </w:pPr>
      <w:r w:rsidRPr="002929E6">
        <w:rPr>
          <w:rFonts w:ascii="Arial" w:hAnsi="Arial"/>
          <w:sz w:val="22"/>
        </w:rPr>
        <w:t>6.1.</w:t>
      </w:r>
      <w:r>
        <w:rPr>
          <w:rFonts w:ascii="Arial" w:hAnsi="Arial"/>
          <w:sz w:val="22"/>
        </w:rPr>
        <w:t>5</w:t>
      </w:r>
      <w:r w:rsidRPr="002929E6">
        <w:rPr>
          <w:rFonts w:ascii="Arial" w:hAnsi="Arial"/>
          <w:sz w:val="22"/>
        </w:rPr>
        <w:t>.</w:t>
      </w:r>
      <w:r>
        <w:rPr>
          <w:rFonts w:ascii="Arial" w:hAnsi="Arial"/>
          <w:sz w:val="22"/>
        </w:rPr>
        <w:t>4</w:t>
      </w:r>
      <w:r w:rsidRPr="002929E6">
        <w:rPr>
          <w:rFonts w:ascii="Arial" w:hAnsi="Arial"/>
          <w:sz w:val="22"/>
        </w:rPr>
        <w:t>.1</w:t>
      </w:r>
      <w:r w:rsidRPr="002929E6">
        <w:rPr>
          <w:rFonts w:ascii="Arial" w:hAnsi="Arial"/>
          <w:sz w:val="22"/>
        </w:rPr>
        <w:tab/>
      </w:r>
      <w:r>
        <w:rPr>
          <w:rFonts w:ascii="Arial" w:hAnsi="Arial"/>
          <w:sz w:val="22"/>
        </w:rPr>
        <w:t>HO with PSCell – PCell Interruption time</w:t>
      </w:r>
    </w:p>
    <w:p w14:paraId="3F3A60E3" w14:textId="77777777" w:rsidR="008619CA" w:rsidRPr="002B3E52" w:rsidRDefault="008619CA" w:rsidP="008619CA">
      <w:pPr>
        <w:rPr>
          <w:rFonts w:cs="v4.2.0"/>
        </w:rPr>
      </w:pPr>
      <w:r w:rsidRPr="002B3E52">
        <w:rPr>
          <w:rFonts w:cs="v4.2.0"/>
        </w:rPr>
        <w:t>The interruption time is the time between end of the last TTI containing the RRC command on the old PDSCH and the time the UE starts transmission of the new PRACH</w:t>
      </w:r>
      <w:r w:rsidRPr="002B3E52">
        <w:rPr>
          <w:rFonts w:eastAsia="MS Mincho" w:cs="v4.2.0"/>
        </w:rPr>
        <w:t>, excluding the RRC procedure delay</w:t>
      </w:r>
      <w:r w:rsidRPr="002B3E52">
        <w:rPr>
          <w:rFonts w:cs="v4.2.0"/>
        </w:rPr>
        <w:t>.</w:t>
      </w:r>
    </w:p>
    <w:p w14:paraId="3DA3CCD7" w14:textId="77777777" w:rsidR="008619CA" w:rsidRPr="002B3E52" w:rsidRDefault="008619CA" w:rsidP="008619CA">
      <w:pPr>
        <w:rPr>
          <w:rFonts w:cs="v4.2.0"/>
          <w:position w:val="-6"/>
        </w:rPr>
      </w:pPr>
      <w:r w:rsidRPr="002B3E52">
        <w:rPr>
          <w:rFonts w:cs="v4.2.0"/>
        </w:rPr>
        <w:t>When</w:t>
      </w:r>
      <w:r>
        <w:rPr>
          <w:rFonts w:cs="v4.2.0"/>
        </w:rPr>
        <w:t xml:space="preserve"> handover with PSCell from NR-DC to NR-DC i</w:t>
      </w:r>
      <w:r w:rsidRPr="002B3E52">
        <w:rPr>
          <w:rFonts w:cs="v4.2.0"/>
        </w:rPr>
        <w:t>s commanded, the interruption time shall be less than T</w:t>
      </w:r>
      <w:r w:rsidRPr="002B3E52">
        <w:rPr>
          <w:rFonts w:cs="v4.2.0"/>
          <w:vertAlign w:val="subscript"/>
        </w:rPr>
        <w:t>interrupt</w:t>
      </w:r>
    </w:p>
    <w:p w14:paraId="4FF62EEB" w14:textId="77777777" w:rsidR="008619CA" w:rsidRPr="002B3E52" w:rsidRDefault="008619CA" w:rsidP="008619CA">
      <w:pPr>
        <w:keepLines/>
        <w:tabs>
          <w:tab w:val="center" w:pos="4536"/>
          <w:tab w:val="right" w:pos="9072"/>
        </w:tabs>
        <w:rPr>
          <w:noProof/>
        </w:rPr>
      </w:pPr>
      <w:r w:rsidRPr="002B3E52">
        <w:rPr>
          <w:noProof/>
        </w:rPr>
        <w:tab/>
      </w:r>
      <w:r w:rsidRPr="002B3E52">
        <w:rPr>
          <w:rFonts w:cs="v4.2.0"/>
          <w:noProof/>
        </w:rPr>
        <w:t>T</w:t>
      </w:r>
      <w:r w:rsidRPr="002B3E52">
        <w:rPr>
          <w:rFonts w:cs="v4.2.0"/>
          <w:noProof/>
          <w:vertAlign w:val="subscript"/>
        </w:rPr>
        <w:t>interrupt</w:t>
      </w:r>
      <w:r w:rsidRPr="002B3E52">
        <w:rPr>
          <w:noProof/>
        </w:rPr>
        <w:t xml:space="preserve"> = T</w:t>
      </w:r>
      <w:r w:rsidRPr="002B3E52">
        <w:rPr>
          <w:noProof/>
          <w:vertAlign w:val="subscript"/>
        </w:rPr>
        <w:t>search</w:t>
      </w:r>
      <w:r w:rsidRPr="002B3E52">
        <w:rPr>
          <w:noProof/>
        </w:rPr>
        <w:t xml:space="preserve"> + T</w:t>
      </w:r>
      <w:r w:rsidRPr="002B3E52">
        <w:rPr>
          <w:noProof/>
          <w:vertAlign w:val="subscript"/>
        </w:rPr>
        <w:t>IU</w:t>
      </w:r>
      <w:r w:rsidRPr="002B3E52">
        <w:rPr>
          <w:noProof/>
        </w:rPr>
        <w:t xml:space="preserve"> + T</w:t>
      </w:r>
      <w:r w:rsidRPr="002B3E52">
        <w:rPr>
          <w:noProof/>
          <w:vertAlign w:val="subscript"/>
          <w:lang w:eastAsia="zh-CN"/>
        </w:rPr>
        <w:t>processing</w:t>
      </w:r>
      <w:r w:rsidRPr="002B3E52" w:rsidDel="001D62E5">
        <w:rPr>
          <w:noProof/>
          <w:lang w:eastAsia="zh-CN"/>
        </w:rPr>
        <w:t xml:space="preserve"> </w:t>
      </w:r>
      <w:r w:rsidRPr="002B3E52">
        <w:rPr>
          <w:noProof/>
          <w:vertAlign w:val="subscript"/>
          <w:lang w:eastAsia="zh-CN"/>
        </w:rPr>
        <w:t xml:space="preserve"> </w:t>
      </w:r>
      <w:r w:rsidRPr="002B3E52">
        <w:rPr>
          <w:noProof/>
          <w:lang w:eastAsia="zh-CN"/>
        </w:rPr>
        <w:t>+ T</w:t>
      </w:r>
      <w:r w:rsidRPr="002B3E52">
        <w:rPr>
          <w:noProof/>
          <w:vertAlign w:val="subscript"/>
          <w:lang w:eastAsia="zh-CN"/>
        </w:rPr>
        <w:t>∆</w:t>
      </w:r>
      <w:r w:rsidRPr="002B3E52">
        <w:rPr>
          <w:noProof/>
          <w:lang w:eastAsia="zh-CN"/>
        </w:rPr>
        <w:t xml:space="preserve"> + T</w:t>
      </w:r>
      <w:r w:rsidRPr="002B3E52">
        <w:rPr>
          <w:noProof/>
          <w:vertAlign w:val="subscript"/>
          <w:lang w:eastAsia="zh-CN"/>
        </w:rPr>
        <w:t xml:space="preserve">margin </w:t>
      </w:r>
      <w:r w:rsidRPr="002B3E52">
        <w:rPr>
          <w:noProof/>
        </w:rPr>
        <w:t>ms</w:t>
      </w:r>
    </w:p>
    <w:p w14:paraId="3272CCE8" w14:textId="77777777" w:rsidR="008619CA" w:rsidRPr="002B3E52" w:rsidRDefault="008619CA" w:rsidP="008619CA">
      <w:pPr>
        <w:rPr>
          <w:rFonts w:cs="v4.2.0"/>
        </w:rPr>
      </w:pPr>
      <w:r w:rsidRPr="002B3E52">
        <w:rPr>
          <w:rFonts w:cs="v4.2.0"/>
        </w:rPr>
        <w:t>Where:</w:t>
      </w:r>
    </w:p>
    <w:p w14:paraId="792BAA75" w14:textId="5908E3E0" w:rsidR="008619CA" w:rsidRDefault="00B60B8D" w:rsidP="008619CA">
      <w:pPr>
        <w:pStyle w:val="B10"/>
        <w:rPr>
          <w:rFonts w:ascii="Times" w:hAnsi="Times"/>
          <w:lang w:val="en-US" w:eastAsia="zh-CN"/>
        </w:rPr>
      </w:pPr>
      <w:r w:rsidRPr="000506D8">
        <w:rPr>
          <w:lang w:val="en-US" w:eastAsia="zh-CN"/>
        </w:rPr>
        <w:t>-</w:t>
      </w:r>
      <w:r w:rsidRPr="000506D8">
        <w:rPr>
          <w:lang w:val="en-US" w:eastAsia="zh-CN"/>
        </w:rPr>
        <w:tab/>
      </w:r>
      <w:r w:rsidR="008619CA" w:rsidRPr="00691C10">
        <w:t>T</w:t>
      </w:r>
      <w:r w:rsidR="008619CA" w:rsidRPr="00691C10">
        <w:rPr>
          <w:vertAlign w:val="subscript"/>
        </w:rPr>
        <w:t>search</w:t>
      </w:r>
      <w:r w:rsidR="008619CA">
        <w:t xml:space="preserve">, </w:t>
      </w:r>
      <w:r w:rsidR="008619CA" w:rsidRPr="002B3E52">
        <w:rPr>
          <w:noProof/>
        </w:rPr>
        <w:t>T</w:t>
      </w:r>
      <w:r w:rsidR="008619CA" w:rsidRPr="002B3E52">
        <w:rPr>
          <w:noProof/>
          <w:vertAlign w:val="subscript"/>
        </w:rPr>
        <w:t>IU</w:t>
      </w:r>
      <w:r w:rsidR="008619CA">
        <w:rPr>
          <w:noProof/>
        </w:rPr>
        <w:t>,</w:t>
      </w:r>
      <w:r w:rsidR="008619CA" w:rsidRPr="002B3E52">
        <w:rPr>
          <w:noProof/>
          <w:lang w:eastAsia="zh-CN"/>
        </w:rPr>
        <w:t xml:space="preserve"> T</w:t>
      </w:r>
      <w:r w:rsidR="008619CA" w:rsidRPr="002B3E52">
        <w:rPr>
          <w:noProof/>
          <w:vertAlign w:val="subscript"/>
          <w:lang w:eastAsia="zh-CN"/>
        </w:rPr>
        <w:t>∆</w:t>
      </w:r>
      <w:r w:rsidR="008619CA" w:rsidRPr="002B3E52">
        <w:rPr>
          <w:noProof/>
          <w:lang w:eastAsia="zh-CN"/>
        </w:rPr>
        <w:t xml:space="preserve"> </w:t>
      </w:r>
      <w:r w:rsidR="008619CA">
        <w:rPr>
          <w:noProof/>
          <w:lang w:eastAsia="zh-CN"/>
        </w:rPr>
        <w:t xml:space="preserve">and </w:t>
      </w:r>
      <w:r w:rsidR="008619CA" w:rsidRPr="002B3E52">
        <w:rPr>
          <w:noProof/>
          <w:lang w:eastAsia="zh-CN"/>
        </w:rPr>
        <w:t>T</w:t>
      </w:r>
      <w:r w:rsidR="008619CA" w:rsidRPr="002B3E52">
        <w:rPr>
          <w:noProof/>
          <w:vertAlign w:val="subscript"/>
          <w:lang w:eastAsia="zh-CN"/>
        </w:rPr>
        <w:t>margin</w:t>
      </w:r>
      <w:r w:rsidR="008619CA" w:rsidRPr="005E7F90">
        <w:rPr>
          <w:noProof/>
          <w:lang w:eastAsia="zh-CN"/>
        </w:rPr>
        <w:t xml:space="preserve"> </w:t>
      </w:r>
      <w:r w:rsidR="008619CA">
        <w:t xml:space="preserve">are the same as defined </w:t>
      </w:r>
      <w:r w:rsidR="008619CA">
        <w:rPr>
          <w:rFonts w:ascii="Times" w:hAnsi="Times"/>
          <w:lang w:val="en-US" w:eastAsia="zh-CN"/>
        </w:rPr>
        <w:t>in clause 6.1.1.2.2.</w:t>
      </w:r>
    </w:p>
    <w:p w14:paraId="23C0D9BA" w14:textId="0A8588FA" w:rsidR="00E62DA2" w:rsidRDefault="00E62DA2" w:rsidP="00E62DA2">
      <w:pPr>
        <w:pStyle w:val="B10"/>
        <w:rPr>
          <w:rFonts w:ascii="Times" w:hAnsi="Times"/>
          <w:lang w:val="en-US" w:eastAsia="zh-CN"/>
        </w:rPr>
      </w:pPr>
      <w:r w:rsidRPr="000506D8">
        <w:rPr>
          <w:lang w:val="en-US" w:eastAsia="zh-CN"/>
        </w:rPr>
        <w:t>-</w:t>
      </w:r>
      <w:r w:rsidRPr="000506D8">
        <w:rPr>
          <w:lang w:val="en-US" w:eastAsia="zh-CN"/>
        </w:rPr>
        <w:tab/>
      </w:r>
      <w:r w:rsidRPr="00691C10">
        <w:t>T</w:t>
      </w:r>
      <w:r w:rsidRPr="00691C10">
        <w:rPr>
          <w:vertAlign w:val="subscript"/>
        </w:rPr>
        <w:t>processing</w:t>
      </w:r>
      <w:r w:rsidRPr="00B61652">
        <w:t xml:space="preserve"> </w:t>
      </w:r>
      <w:r>
        <w:t>is the SW processing time needed by UE, including RF warm up period. T</w:t>
      </w:r>
      <w:r>
        <w:rPr>
          <w:sz w:val="13"/>
          <w:szCs w:val="13"/>
        </w:rPr>
        <w:t xml:space="preserve">processing </w:t>
      </w:r>
      <w:r>
        <w:t xml:space="preserve">= </w:t>
      </w:r>
      <w:r>
        <w:rPr>
          <w:rFonts w:hint="eastAsia"/>
          <w:lang w:eastAsia="zh-CN"/>
        </w:rPr>
        <w:t>30</w:t>
      </w:r>
      <w:r>
        <w:t xml:space="preserve"> ms</w:t>
      </w:r>
      <w:r>
        <w:rPr>
          <w:rFonts w:hint="eastAsia"/>
          <w:lang w:eastAsia="zh-CN"/>
        </w:rPr>
        <w:t xml:space="preserve"> i</w:t>
      </w:r>
      <w:r>
        <w:t xml:space="preserve">f </w:t>
      </w:r>
      <w:r w:rsidRPr="00232B62">
        <w:t xml:space="preserve">SMTC of </w:t>
      </w:r>
      <w:r>
        <w:t xml:space="preserve">the target unknown PSCell is configured in </w:t>
      </w:r>
      <w:r w:rsidRPr="00AC4D04">
        <w:rPr>
          <w:i/>
          <w:iCs/>
        </w:rPr>
        <w:t>targetcellSMTC-SCG-r16</w:t>
      </w:r>
      <w:r w:rsidRPr="00232B62">
        <w:t xml:space="preserve"> but not configured in </w:t>
      </w:r>
      <w:r w:rsidRPr="00AC4D04">
        <w:rPr>
          <w:i/>
          <w:iCs/>
        </w:rPr>
        <w:t>reconfigurationWithSync</w:t>
      </w:r>
      <w:r>
        <w:rPr>
          <w:rFonts w:hint="eastAsia"/>
          <w:lang w:eastAsia="zh-CN"/>
        </w:rPr>
        <w:t xml:space="preserve">. Otherwise, </w:t>
      </w:r>
      <w:r>
        <w:t>T</w:t>
      </w:r>
      <w:r>
        <w:rPr>
          <w:sz w:val="13"/>
          <w:szCs w:val="13"/>
        </w:rPr>
        <w:t xml:space="preserve">processing </w:t>
      </w:r>
      <w:r>
        <w:t xml:space="preserve">= </w:t>
      </w:r>
      <w:r>
        <w:rPr>
          <w:rFonts w:hint="eastAsia"/>
          <w:lang w:eastAsia="zh-CN"/>
        </w:rPr>
        <w:t>25</w:t>
      </w:r>
      <w:r>
        <w:t xml:space="preserve"> ms.</w:t>
      </w:r>
    </w:p>
    <w:p w14:paraId="32371F24" w14:textId="42B9440F" w:rsidR="008619CA" w:rsidRPr="009C5807" w:rsidRDefault="008619CA" w:rsidP="008619CA">
      <w:r w:rsidRPr="009C5807">
        <w:t>In the interruption requirement a cell is known if it has been meeting the relevant cell identification requirement during the last 5 seconds otherwise it is unknown. Relevant cell identification requirements are described in Clause</w:t>
      </w:r>
      <w:r w:rsidR="00B60B8D">
        <w:t xml:space="preserve"> </w:t>
      </w:r>
      <w:r w:rsidRPr="009C5807">
        <w:t>9.2.5 for intra-frequency handover and Clause</w:t>
      </w:r>
      <w:r w:rsidR="00B60B8D">
        <w:t xml:space="preserve"> </w:t>
      </w:r>
      <w:r w:rsidRPr="009C5807">
        <w:t>9.3.4 for inter-frequency handover.</w:t>
      </w:r>
    </w:p>
    <w:p w14:paraId="07B27BB4" w14:textId="77777777" w:rsidR="008619CA" w:rsidRPr="00D87464" w:rsidRDefault="008619CA" w:rsidP="008619CA">
      <w:pPr>
        <w:rPr>
          <w:rFonts w:cs="v4.2.0"/>
          <w:position w:val="-6"/>
        </w:rPr>
      </w:pPr>
    </w:p>
    <w:p w14:paraId="654050C6" w14:textId="77777777" w:rsidR="008619CA" w:rsidRPr="00876E7D" w:rsidRDefault="008619CA" w:rsidP="008619CA">
      <w:pPr>
        <w:keepNext/>
        <w:keepLines/>
        <w:spacing w:before="120"/>
        <w:ind w:left="1701" w:hanging="1701"/>
        <w:outlineLvl w:val="4"/>
        <w:rPr>
          <w:rFonts w:ascii="Arial" w:hAnsi="Arial"/>
          <w:sz w:val="22"/>
        </w:rPr>
      </w:pPr>
      <w:r w:rsidRPr="002929E6">
        <w:rPr>
          <w:rFonts w:ascii="Arial" w:hAnsi="Arial"/>
          <w:sz w:val="22"/>
        </w:rPr>
        <w:t>6.1.</w:t>
      </w:r>
      <w:r>
        <w:rPr>
          <w:rFonts w:ascii="Arial" w:hAnsi="Arial"/>
          <w:sz w:val="22"/>
        </w:rPr>
        <w:t>5</w:t>
      </w:r>
      <w:r w:rsidRPr="002929E6">
        <w:rPr>
          <w:rFonts w:ascii="Arial" w:hAnsi="Arial"/>
          <w:sz w:val="22"/>
        </w:rPr>
        <w:t>.</w:t>
      </w:r>
      <w:r>
        <w:rPr>
          <w:rFonts w:ascii="Arial" w:hAnsi="Arial"/>
          <w:sz w:val="22"/>
        </w:rPr>
        <w:t>4</w:t>
      </w:r>
      <w:r w:rsidRPr="002929E6">
        <w:rPr>
          <w:rFonts w:ascii="Arial" w:hAnsi="Arial"/>
          <w:sz w:val="22"/>
        </w:rPr>
        <w:t>.</w:t>
      </w:r>
      <w:r>
        <w:rPr>
          <w:rFonts w:ascii="Arial" w:hAnsi="Arial"/>
          <w:sz w:val="22"/>
        </w:rPr>
        <w:t>2</w:t>
      </w:r>
      <w:r w:rsidRPr="00A2033B">
        <w:rPr>
          <w:rFonts w:ascii="Arial" w:hAnsi="Arial"/>
          <w:sz w:val="22"/>
        </w:rPr>
        <w:tab/>
      </w:r>
      <w:r>
        <w:rPr>
          <w:rFonts w:ascii="Arial" w:hAnsi="Arial"/>
          <w:sz w:val="22"/>
        </w:rPr>
        <w:t>HO with PSCell – PSCell change delay</w:t>
      </w:r>
    </w:p>
    <w:p w14:paraId="6F67B875" w14:textId="77777777" w:rsidR="008619CA" w:rsidRPr="00691C10" w:rsidRDefault="008619CA" w:rsidP="008619CA">
      <w:r w:rsidRPr="00691C10">
        <w:t xml:space="preserve">The requirements in this section shall apply for </w:t>
      </w:r>
      <w:r>
        <w:t xml:space="preserve">PSCell change during </w:t>
      </w:r>
      <w:r>
        <w:rPr>
          <w:lang w:val="en-US"/>
        </w:rPr>
        <w:t xml:space="preserve">handover with PSCell from </w:t>
      </w:r>
      <w:r>
        <w:t>NR DC to NR-DC</w:t>
      </w:r>
      <w:r w:rsidRPr="00691C10">
        <w:t>.</w:t>
      </w:r>
    </w:p>
    <w:p w14:paraId="791C5C5B" w14:textId="77777777" w:rsidR="008619CA" w:rsidRDefault="008619CA" w:rsidP="008619CA">
      <w:pPr>
        <w:rPr>
          <w:lang w:eastAsia="ja-JP"/>
        </w:rPr>
      </w:pPr>
      <w:r w:rsidRPr="009C5807">
        <w:rPr>
          <w:rFonts w:cs="v4.2.0"/>
        </w:rPr>
        <w:t>When handover</w:t>
      </w:r>
      <w:r>
        <w:rPr>
          <w:rFonts w:cs="v4.2.0"/>
        </w:rPr>
        <w:t xml:space="preserve"> with PSCell </w:t>
      </w:r>
      <w:r>
        <w:rPr>
          <w:lang w:val="en-US"/>
        </w:rPr>
        <w:t xml:space="preserve">from </w:t>
      </w:r>
      <w:r>
        <w:t>NR-DC to NR-DC</w:t>
      </w:r>
      <w:r w:rsidRPr="009C5807">
        <w:rPr>
          <w:rFonts w:cs="v4.2.0"/>
        </w:rPr>
        <w:t xml:space="preserve"> is commanded, the </w:t>
      </w:r>
      <w:r>
        <w:rPr>
          <w:rFonts w:cs="v4.2.0"/>
        </w:rPr>
        <w:t>PSCell change</w:t>
      </w:r>
      <w:r w:rsidRPr="009C5807">
        <w:rPr>
          <w:rFonts w:cs="v4.2.0"/>
        </w:rPr>
        <w:t xml:space="preserve"> time shall be less than D</w:t>
      </w:r>
      <w:r>
        <w:rPr>
          <w:rFonts w:cs="v4.2.0"/>
          <w:vertAlign w:val="subscript"/>
        </w:rPr>
        <w:t>HOwithPSCell_PSCell</w:t>
      </w:r>
      <w:r w:rsidRPr="00691C10">
        <w:rPr>
          <w:lang w:eastAsia="ja-JP"/>
        </w:rPr>
        <w:t>:</w:t>
      </w:r>
    </w:p>
    <w:p w14:paraId="50101900" w14:textId="706CD833" w:rsidR="008619CA" w:rsidRPr="00691C10" w:rsidRDefault="00B60B8D" w:rsidP="008619CA">
      <w:pPr>
        <w:pStyle w:val="B10"/>
        <w:rPr>
          <w:vertAlign w:val="subscript"/>
          <w:lang w:eastAsia="zh-CN"/>
        </w:rPr>
      </w:pPr>
      <w:r w:rsidRPr="000506D8">
        <w:rPr>
          <w:lang w:val="en-US" w:eastAsia="zh-CN"/>
        </w:rPr>
        <w:t>-</w:t>
      </w:r>
      <w:r w:rsidRPr="000506D8">
        <w:rPr>
          <w:lang w:val="en-US" w:eastAsia="zh-CN"/>
        </w:rPr>
        <w:tab/>
      </w:r>
      <w:r w:rsidR="008619CA" w:rsidRPr="009C5807">
        <w:rPr>
          <w:rFonts w:cs="v4.2.0"/>
        </w:rPr>
        <w:t>D</w:t>
      </w:r>
      <w:r w:rsidR="008619CA">
        <w:rPr>
          <w:rFonts w:cs="v4.2.0"/>
          <w:vertAlign w:val="subscript"/>
        </w:rPr>
        <w:t>HOwithPSCell_PSCell</w:t>
      </w:r>
      <w:r w:rsidR="008619CA" w:rsidRPr="00691C10">
        <w:t xml:space="preserve"> = T</w:t>
      </w:r>
      <w:r w:rsidR="008619CA" w:rsidRPr="00691C10">
        <w:rPr>
          <w:vertAlign w:val="subscript"/>
        </w:rPr>
        <w:t>RRC_delay</w:t>
      </w:r>
      <w:r w:rsidR="008619CA" w:rsidRPr="00691C10">
        <w:t xml:space="preserve"> + T</w:t>
      </w:r>
      <w:r w:rsidR="008619CA" w:rsidRPr="00691C10">
        <w:rPr>
          <w:vertAlign w:val="subscript"/>
        </w:rPr>
        <w:t>processing</w:t>
      </w:r>
      <w:r w:rsidR="008619CA" w:rsidRPr="00691C10">
        <w:t xml:space="preserve"> </w:t>
      </w:r>
      <w:r w:rsidR="008619CA">
        <w:t xml:space="preserve">+ </w:t>
      </w:r>
      <w:r w:rsidR="008619CA" w:rsidRPr="009C5807">
        <w:t>T</w:t>
      </w:r>
      <w:r w:rsidR="008619CA" w:rsidRPr="009C5807">
        <w:rPr>
          <w:vertAlign w:val="subscript"/>
        </w:rPr>
        <w:t>search</w:t>
      </w:r>
      <w:r w:rsidR="008619CA">
        <w:rPr>
          <w:vertAlign w:val="subscript"/>
        </w:rPr>
        <w:t>_PCell</w:t>
      </w:r>
      <w:r w:rsidR="008619CA" w:rsidRPr="009C5807">
        <w:t xml:space="preserve"> </w:t>
      </w:r>
      <w:r w:rsidR="008619CA">
        <w:t xml:space="preserve">+ </w:t>
      </w:r>
      <w:r w:rsidR="008619CA" w:rsidRPr="00691C10">
        <w:t>T</w:t>
      </w:r>
      <w:r w:rsidR="008619CA" w:rsidRPr="00691C10">
        <w:rPr>
          <w:vertAlign w:val="subscript"/>
        </w:rPr>
        <w:t>search</w:t>
      </w:r>
      <w:r w:rsidR="008619CA">
        <w:rPr>
          <w:vertAlign w:val="subscript"/>
        </w:rPr>
        <w:t>_PSCell</w:t>
      </w:r>
      <w:r w:rsidR="008619CA" w:rsidRPr="00691C10">
        <w:t xml:space="preserve"> + T</w:t>
      </w:r>
      <w:r w:rsidR="008619CA" w:rsidRPr="00691C10">
        <w:rPr>
          <w:vertAlign w:val="subscript"/>
        </w:rPr>
        <w:t>∆</w:t>
      </w:r>
      <w:r w:rsidR="008619CA" w:rsidRPr="00691C10">
        <w:t xml:space="preserve"> + T</w:t>
      </w:r>
      <w:r w:rsidR="008619CA" w:rsidRPr="00691C10">
        <w:rPr>
          <w:vertAlign w:val="subscript"/>
        </w:rPr>
        <w:t>PSCell_ DU</w:t>
      </w:r>
      <w:r w:rsidR="008619CA" w:rsidRPr="00691C10">
        <w:t xml:space="preserve"> + 2 ms</w:t>
      </w:r>
    </w:p>
    <w:p w14:paraId="149BFE47" w14:textId="77777777" w:rsidR="008619CA" w:rsidRDefault="008619CA" w:rsidP="00381894">
      <w:r>
        <w:t>Where:</w:t>
      </w:r>
    </w:p>
    <w:p w14:paraId="3F76A523" w14:textId="1AAF1889" w:rsidR="008619CA" w:rsidRDefault="00B60B8D" w:rsidP="008619CA">
      <w:pPr>
        <w:pStyle w:val="B10"/>
        <w:rPr>
          <w:rFonts w:ascii="Times" w:hAnsi="Times"/>
          <w:lang w:val="en-US" w:eastAsia="zh-CN"/>
        </w:rPr>
      </w:pPr>
      <w:r w:rsidRPr="000506D8">
        <w:rPr>
          <w:lang w:val="en-US" w:eastAsia="zh-CN"/>
        </w:rPr>
        <w:t>-</w:t>
      </w:r>
      <w:r w:rsidRPr="000506D8">
        <w:rPr>
          <w:lang w:val="en-US" w:eastAsia="zh-CN"/>
        </w:rPr>
        <w:tab/>
      </w:r>
      <w:r w:rsidR="008619CA" w:rsidRPr="00691C10">
        <w:t>T</w:t>
      </w:r>
      <w:r w:rsidR="008619CA" w:rsidRPr="00691C10">
        <w:rPr>
          <w:vertAlign w:val="subscript"/>
        </w:rPr>
        <w:t>RRC_delay</w:t>
      </w:r>
      <w:r w:rsidR="008619CA" w:rsidRPr="00691C10">
        <w:t xml:space="preserve"> </w:t>
      </w:r>
      <w:r w:rsidR="008619CA" w:rsidRPr="004E381B">
        <w:rPr>
          <w:rFonts w:ascii="Times" w:hAnsi="Times"/>
          <w:lang w:val="en-US" w:eastAsia="zh-CN"/>
        </w:rPr>
        <w:t>T</w:t>
      </w:r>
      <w:r w:rsidR="008619CA" w:rsidRPr="004E381B">
        <w:rPr>
          <w:rFonts w:ascii="Times" w:hAnsi="Times"/>
          <w:position w:val="-2"/>
          <w:sz w:val="12"/>
          <w:szCs w:val="12"/>
          <w:lang w:val="en-US" w:eastAsia="zh-CN"/>
        </w:rPr>
        <w:t>processing</w:t>
      </w:r>
      <w:r w:rsidR="008619CA">
        <w:rPr>
          <w:rFonts w:ascii="Times" w:hAnsi="Times"/>
          <w:lang w:val="en-US" w:eastAsia="zh-CN"/>
        </w:rPr>
        <w:t xml:space="preserve">, </w:t>
      </w:r>
      <w:r w:rsidR="008619CA" w:rsidRPr="00691C10">
        <w:t>T</w:t>
      </w:r>
      <w:r w:rsidR="008619CA" w:rsidRPr="00691C10">
        <w:rPr>
          <w:vertAlign w:val="subscript"/>
        </w:rPr>
        <w:t>search</w:t>
      </w:r>
      <w:r w:rsidR="008619CA">
        <w:rPr>
          <w:vertAlign w:val="subscript"/>
        </w:rPr>
        <w:t>_PSCell</w:t>
      </w:r>
      <w:r w:rsidR="008619CA">
        <w:t xml:space="preserve">, </w:t>
      </w:r>
      <w:r w:rsidR="008619CA" w:rsidRPr="00691C10">
        <w:t>T</w:t>
      </w:r>
      <w:r w:rsidR="008619CA" w:rsidRPr="00691C10">
        <w:rPr>
          <w:vertAlign w:val="subscript"/>
        </w:rPr>
        <w:t>∆</w:t>
      </w:r>
      <w:r w:rsidR="008619CA" w:rsidRPr="00691C10">
        <w:t xml:space="preserve"> </w:t>
      </w:r>
      <w:r w:rsidR="008619CA">
        <w:t>and</w:t>
      </w:r>
      <w:r w:rsidR="008619CA" w:rsidRPr="00691C10">
        <w:t xml:space="preserve"> T</w:t>
      </w:r>
      <w:r w:rsidR="008619CA" w:rsidRPr="00691C10">
        <w:rPr>
          <w:vertAlign w:val="subscript"/>
        </w:rPr>
        <w:t>PSCell_ DU</w:t>
      </w:r>
      <w:r w:rsidR="008619CA">
        <w:t xml:space="preserve"> are the same as defined </w:t>
      </w:r>
      <w:r w:rsidR="008619CA">
        <w:rPr>
          <w:rFonts w:ascii="Times" w:hAnsi="Times"/>
          <w:lang w:val="en-US" w:eastAsia="zh-CN"/>
        </w:rPr>
        <w:t>in clause 8.9.2.</w:t>
      </w:r>
    </w:p>
    <w:p w14:paraId="668BBB37" w14:textId="65B588E4" w:rsidR="00E62DA2" w:rsidRDefault="00E62DA2" w:rsidP="00E62DA2">
      <w:pPr>
        <w:pStyle w:val="B10"/>
        <w:rPr>
          <w:rFonts w:ascii="Times" w:hAnsi="Times"/>
          <w:lang w:val="en-US" w:eastAsia="zh-CN"/>
        </w:rPr>
      </w:pPr>
      <w:r w:rsidRPr="000506D8">
        <w:rPr>
          <w:lang w:val="en-US" w:eastAsia="zh-CN"/>
        </w:rPr>
        <w:t>-</w:t>
      </w:r>
      <w:r w:rsidRPr="000506D8">
        <w:rPr>
          <w:lang w:val="en-US" w:eastAsia="zh-CN"/>
        </w:rPr>
        <w:tab/>
      </w:r>
      <w:r w:rsidRPr="00691C10">
        <w:t>T</w:t>
      </w:r>
      <w:r w:rsidRPr="00691C10">
        <w:rPr>
          <w:vertAlign w:val="subscript"/>
        </w:rPr>
        <w:t>processing</w:t>
      </w:r>
      <w:r w:rsidRPr="00B61652">
        <w:t xml:space="preserve"> </w:t>
      </w:r>
      <w:r>
        <w:t>is the SW processing time needed by UE, including RF warm up period. T</w:t>
      </w:r>
      <w:r>
        <w:rPr>
          <w:sz w:val="13"/>
          <w:szCs w:val="13"/>
        </w:rPr>
        <w:t xml:space="preserve">processing </w:t>
      </w:r>
      <w:r>
        <w:t xml:space="preserve">= </w:t>
      </w:r>
      <w:r>
        <w:rPr>
          <w:rFonts w:hint="eastAsia"/>
          <w:lang w:eastAsia="zh-CN"/>
        </w:rPr>
        <w:t>30</w:t>
      </w:r>
      <w:r>
        <w:t xml:space="preserve"> ms</w:t>
      </w:r>
      <w:r>
        <w:rPr>
          <w:rFonts w:hint="eastAsia"/>
          <w:lang w:eastAsia="zh-CN"/>
        </w:rPr>
        <w:t xml:space="preserve"> i</w:t>
      </w:r>
      <w:r>
        <w:t xml:space="preserve">f </w:t>
      </w:r>
      <w:r w:rsidRPr="00232B62">
        <w:t xml:space="preserve">SMTC of </w:t>
      </w:r>
      <w:r>
        <w:t xml:space="preserve">the target unknown PSCell is configured in </w:t>
      </w:r>
      <w:r w:rsidRPr="00AC4D04">
        <w:rPr>
          <w:i/>
          <w:iCs/>
        </w:rPr>
        <w:t>targetcellSMTC-SCG-r16</w:t>
      </w:r>
      <w:r w:rsidRPr="00232B62">
        <w:t xml:space="preserve"> but not configured in </w:t>
      </w:r>
      <w:r w:rsidRPr="00AC4D04">
        <w:rPr>
          <w:i/>
          <w:iCs/>
        </w:rPr>
        <w:t>reconfigurationWithSync</w:t>
      </w:r>
      <w:r>
        <w:rPr>
          <w:rFonts w:hint="eastAsia"/>
          <w:lang w:eastAsia="zh-CN"/>
        </w:rPr>
        <w:t>. Otherwise,</w:t>
      </w:r>
      <w:r>
        <w:t xml:space="preserve"> T</w:t>
      </w:r>
      <w:r>
        <w:rPr>
          <w:sz w:val="13"/>
          <w:szCs w:val="13"/>
        </w:rPr>
        <w:t xml:space="preserve">processing </w:t>
      </w:r>
      <w:r>
        <w:t xml:space="preserve">= </w:t>
      </w:r>
      <w:r>
        <w:rPr>
          <w:rFonts w:hint="eastAsia"/>
          <w:lang w:eastAsia="zh-CN"/>
        </w:rPr>
        <w:t>25</w:t>
      </w:r>
      <w:r>
        <w:t xml:space="preserve"> ms.</w:t>
      </w:r>
    </w:p>
    <w:p w14:paraId="266E6792" w14:textId="00516EEB" w:rsidR="008619CA" w:rsidRPr="00B61652" w:rsidRDefault="00B60B8D" w:rsidP="008619CA">
      <w:pPr>
        <w:pStyle w:val="B10"/>
        <w:rPr>
          <w:vertAlign w:val="subscript"/>
        </w:rPr>
      </w:pPr>
      <w:r w:rsidRPr="000506D8">
        <w:rPr>
          <w:lang w:val="en-US" w:eastAsia="zh-CN"/>
        </w:rPr>
        <w:t>-</w:t>
      </w:r>
      <w:r w:rsidRPr="000506D8">
        <w:rPr>
          <w:lang w:val="en-US" w:eastAsia="zh-CN"/>
        </w:rPr>
        <w:tab/>
      </w:r>
      <w:r w:rsidR="008619CA" w:rsidRPr="009C5807">
        <w:t>T</w:t>
      </w:r>
      <w:r w:rsidR="008619CA" w:rsidRPr="009C5807">
        <w:rPr>
          <w:vertAlign w:val="subscript"/>
        </w:rPr>
        <w:t>search</w:t>
      </w:r>
      <w:r w:rsidR="008619CA">
        <w:rPr>
          <w:vertAlign w:val="subscript"/>
        </w:rPr>
        <w:t>_PCell</w:t>
      </w:r>
      <w:r w:rsidR="008619CA">
        <w:t xml:space="preserve"> is the time for obtaining the timing reference of target PCell. If </w:t>
      </w:r>
      <w:r w:rsidR="008619CA" w:rsidRPr="00232B62">
        <w:t xml:space="preserve">SMTC of </w:t>
      </w:r>
      <w:r w:rsidR="008619CA">
        <w:t xml:space="preserve">the target unknown PSCell is configured in </w:t>
      </w:r>
      <w:r w:rsidR="008619CA" w:rsidRPr="00AC4D04">
        <w:rPr>
          <w:i/>
          <w:iCs/>
        </w:rPr>
        <w:t>targetcellSMTC-SCG-r16</w:t>
      </w:r>
      <w:r w:rsidR="008619CA" w:rsidRPr="00232B62">
        <w:t xml:space="preserve"> but not configured in </w:t>
      </w:r>
      <w:r w:rsidR="008619CA" w:rsidRPr="00AC4D04">
        <w:rPr>
          <w:i/>
          <w:iCs/>
        </w:rPr>
        <w:t>reconfigurationWithSync</w:t>
      </w:r>
      <w:r w:rsidR="008619CA">
        <w:t>, T</w:t>
      </w:r>
      <w:r w:rsidR="008619CA" w:rsidRPr="002929E6">
        <w:rPr>
          <w:vertAlign w:val="subscript"/>
        </w:rPr>
        <w:t>search_PCell</w:t>
      </w:r>
      <w:r w:rsidR="008619CA">
        <w:t xml:space="preserve"> = T</w:t>
      </w:r>
      <w:r w:rsidR="008619CA" w:rsidRPr="002929E6">
        <w:rPr>
          <w:vertAlign w:val="subscript"/>
        </w:rPr>
        <w:t>search</w:t>
      </w:r>
      <w:r w:rsidR="008619CA" w:rsidRPr="002929E6">
        <w:t xml:space="preserve"> </w:t>
      </w:r>
      <w:r w:rsidR="008619CA">
        <w:t>+ T</w:t>
      </w:r>
      <w:r w:rsidR="008619CA" w:rsidRPr="002929E6">
        <w:rPr>
          <w:vertAlign w:val="subscript"/>
        </w:rPr>
        <w:t>Δ</w:t>
      </w:r>
      <w:r w:rsidR="008619CA">
        <w:t xml:space="preserve"> + T</w:t>
      </w:r>
      <w:r w:rsidR="008619CA" w:rsidRPr="002929E6">
        <w:rPr>
          <w:vertAlign w:val="subscript"/>
        </w:rPr>
        <w:t>margin</w:t>
      </w:r>
      <w:r w:rsidR="008619CA" w:rsidRPr="000874E1">
        <w:t>, where T</w:t>
      </w:r>
      <w:r w:rsidR="008619CA" w:rsidRPr="000874E1">
        <w:rPr>
          <w:vertAlign w:val="subscript"/>
        </w:rPr>
        <w:t>search</w:t>
      </w:r>
      <w:r w:rsidR="008619CA" w:rsidRPr="000874E1">
        <w:t>, T</w:t>
      </w:r>
      <w:r w:rsidR="008619CA" w:rsidRPr="000874E1">
        <w:rPr>
          <w:vertAlign w:val="subscript"/>
        </w:rPr>
        <w:t>Δ</w:t>
      </w:r>
      <w:r w:rsidR="008619CA" w:rsidRPr="000874E1">
        <w:t xml:space="preserve"> and T</w:t>
      </w:r>
      <w:r w:rsidR="008619CA" w:rsidRPr="000874E1">
        <w:rPr>
          <w:vertAlign w:val="subscript"/>
        </w:rPr>
        <w:t>margin</w:t>
      </w:r>
      <w:r w:rsidR="008619CA" w:rsidRPr="000874E1">
        <w:t xml:space="preserve"> are specified in clause 6.1.</w:t>
      </w:r>
      <w:r w:rsidR="00E62DA2">
        <w:rPr>
          <w:rFonts w:hint="eastAsia"/>
          <w:lang w:eastAsia="zh-CN"/>
        </w:rPr>
        <w:t>5</w:t>
      </w:r>
      <w:r w:rsidR="008619CA" w:rsidRPr="000874E1">
        <w:t>.4.1</w:t>
      </w:r>
      <w:r w:rsidR="008619CA">
        <w:t>. Otherwise, T</w:t>
      </w:r>
      <w:r w:rsidR="008619CA" w:rsidRPr="002929E6">
        <w:rPr>
          <w:vertAlign w:val="subscript"/>
        </w:rPr>
        <w:t>search_PCell</w:t>
      </w:r>
      <w:r w:rsidR="008619CA">
        <w:t xml:space="preserve"> = 0 ms.</w:t>
      </w:r>
    </w:p>
    <w:p w14:paraId="74881B3C" w14:textId="77777777" w:rsidR="008619CA" w:rsidRDefault="008619CA" w:rsidP="00381894">
      <w:pPr>
        <w:rPr>
          <w:lang w:val="en-US"/>
        </w:rPr>
      </w:pPr>
      <w:r>
        <w:t>The T</w:t>
      </w:r>
      <w:r w:rsidRPr="009B4F4C">
        <w:rPr>
          <w:vertAlign w:val="subscript"/>
        </w:rPr>
        <w:t>rs</w:t>
      </w:r>
      <w:r>
        <w:t xml:space="preserve"> definition from clause 8.9.2</w:t>
      </w:r>
      <w:r w:rsidRPr="008B30A1">
        <w:t xml:space="preserve"> </w:t>
      </w:r>
      <w:r>
        <w:t>is modified as following for requirements in this section:</w:t>
      </w:r>
    </w:p>
    <w:p w14:paraId="2489CCC7" w14:textId="51C0C1CA" w:rsidR="008619CA" w:rsidRDefault="00B60B8D" w:rsidP="00381894">
      <w:pPr>
        <w:pStyle w:val="B10"/>
        <w:rPr>
          <w:rFonts w:ascii="Times" w:hAnsi="Times"/>
          <w:lang w:val="en-US" w:eastAsia="zh-CN"/>
        </w:rPr>
      </w:pPr>
      <w:r w:rsidRPr="000506D8">
        <w:rPr>
          <w:lang w:val="en-US" w:eastAsia="zh-CN"/>
        </w:rPr>
        <w:t>-</w:t>
      </w:r>
      <w:r w:rsidRPr="000506D8">
        <w:rPr>
          <w:lang w:val="en-US" w:eastAsia="zh-CN"/>
        </w:rPr>
        <w:tab/>
      </w:r>
      <w:r w:rsidR="008619CA" w:rsidRPr="008619CA">
        <w:t>T</w:t>
      </w:r>
      <w:r w:rsidR="008619CA" w:rsidRPr="008619CA">
        <w:rPr>
          <w:vertAlign w:val="subscript"/>
        </w:rPr>
        <w:t>rs</w:t>
      </w:r>
      <w:r w:rsidR="008619CA" w:rsidRPr="008619CA">
        <w:t xml:space="preserve"> is the SMTC periodicity of the target NR cell if target PSCell is unknown and SMTC configuration of target</w:t>
      </w:r>
      <w:r w:rsidR="008619CA" w:rsidRPr="004E381B">
        <w:rPr>
          <w:rFonts w:ascii="Times" w:hAnsi="Times"/>
          <w:lang w:val="en-US" w:eastAsia="zh-CN"/>
        </w:rPr>
        <w:t xml:space="preserve"> unknown PSCell is present </w:t>
      </w:r>
      <w:r w:rsidR="008619CA">
        <w:rPr>
          <w:rFonts w:ascii="Times" w:hAnsi="Times"/>
          <w:lang w:val="en-US" w:eastAsia="zh-CN"/>
        </w:rPr>
        <w:t xml:space="preserve">in </w:t>
      </w:r>
      <w:r w:rsidR="008619CA" w:rsidRPr="002929E6">
        <w:rPr>
          <w:lang w:eastAsia="ko-KR"/>
        </w:rPr>
        <w:t xml:space="preserve">either </w:t>
      </w:r>
      <w:r w:rsidR="008619CA" w:rsidRPr="002929E6">
        <w:rPr>
          <w:i/>
          <w:iCs/>
          <w:lang w:eastAsia="ko-KR"/>
        </w:rPr>
        <w:t>targetcellSMTC-SCG-r16</w:t>
      </w:r>
      <w:r w:rsidR="008619CA" w:rsidRPr="002929E6">
        <w:rPr>
          <w:lang w:eastAsia="ko-KR"/>
        </w:rPr>
        <w:t xml:space="preserve"> or </w:t>
      </w:r>
      <w:r w:rsidR="008619CA" w:rsidRPr="002929E6">
        <w:rPr>
          <w:i/>
          <w:iCs/>
          <w:lang w:eastAsia="ko-KR"/>
        </w:rPr>
        <w:t>reconfigurationWithSync</w:t>
      </w:r>
      <w:r w:rsidR="008619CA" w:rsidRPr="00AD4EFA">
        <w:rPr>
          <w:rFonts w:ascii="Times" w:hAnsi="Times"/>
          <w:lang w:val="en-US" w:eastAsia="zh-CN"/>
        </w:rPr>
        <w:t>, otherwise Trs is the SMTC configured in the measObjectNR having the same SSB frequency and subcarrier spacing</w:t>
      </w:r>
      <w:r w:rsidR="008619CA">
        <w:rPr>
          <w:rFonts w:ascii="Times" w:hAnsi="Times"/>
          <w:lang w:val="en-US" w:eastAsia="zh-CN"/>
        </w:rPr>
        <w:t xml:space="preserve">. </w:t>
      </w:r>
      <w:r w:rsidR="008619CA">
        <w:t xml:space="preserve">If the </w:t>
      </w:r>
      <w:r w:rsidR="008619CA" w:rsidRPr="008C6DE4">
        <w:t>measObjectNR</w:t>
      </w:r>
      <w:r w:rsidR="008619CA">
        <w:t xml:space="preserve">s </w:t>
      </w:r>
      <w:r w:rsidR="008619CA" w:rsidRPr="00B910B8">
        <w:t>having the same SSB frequency and subcarrier spacing</w:t>
      </w:r>
      <w:r w:rsidR="008619CA">
        <w:t xml:space="preserve"> configured by MN and SN have different SMTC, </w:t>
      </w:r>
      <w:r w:rsidR="008619CA" w:rsidRPr="008C6DE4">
        <w:t>Trs</w:t>
      </w:r>
      <w:r w:rsidR="008619CA">
        <w:t xml:space="preserve"> is the periodicity of one of the SMTC which is up to UE implementation.</w:t>
      </w:r>
      <w:r w:rsidR="008619CA" w:rsidRPr="00AD4EFA">
        <w:rPr>
          <w:rFonts w:ascii="Times" w:hAnsi="Times"/>
          <w:lang w:val="en-US" w:eastAsia="zh-CN"/>
        </w:rPr>
        <w:t xml:space="preserve"> If the UE is not provided SMTC configuration or measurement object on this frequency, the requirement in this section is applied with Trs = 5 ms assuming the SSB transmission periodicity is 5 ms. There is no requirement if the SSB transmission periodicity is not 5 ms. </w:t>
      </w:r>
    </w:p>
    <w:p w14:paraId="5581AB0F" w14:textId="77777777" w:rsidR="008619CA" w:rsidRDefault="008619CA" w:rsidP="00381894">
      <w:r>
        <w:t>PSCell known and unknown condition is as defined in clause 8.9.2.</w:t>
      </w:r>
    </w:p>
    <w:p w14:paraId="18177F25" w14:textId="77777777" w:rsidR="00D84F0C" w:rsidRPr="002242E7" w:rsidRDefault="00D84F0C" w:rsidP="00D84F0C">
      <w:pPr>
        <w:pStyle w:val="Heading4"/>
      </w:pPr>
      <w:r w:rsidRPr="000E335F">
        <w:t>6.1.5.</w:t>
      </w:r>
      <w:r>
        <w:t>5</w:t>
      </w:r>
      <w:r w:rsidRPr="000E335F">
        <w:tab/>
        <w:t>Handover with PSCell from NR SA to EN-DC</w:t>
      </w:r>
      <w:r>
        <w:t xml:space="preserve"> </w:t>
      </w:r>
      <w:r w:rsidRPr="002242E7">
        <w:t xml:space="preserve">with PSCell </w:t>
      </w:r>
      <w:r>
        <w:t>using</w:t>
      </w:r>
      <w:r w:rsidRPr="002242E7">
        <w:t xml:space="preserve"> CCA</w:t>
      </w:r>
    </w:p>
    <w:p w14:paraId="58756896" w14:textId="77777777" w:rsidR="00D84F0C" w:rsidRPr="002242E7" w:rsidRDefault="00D84F0C" w:rsidP="00D84F0C">
      <w:pPr>
        <w:pStyle w:val="Heading5"/>
      </w:pPr>
      <w:r>
        <w:t>6.1.5.5.1</w:t>
      </w:r>
      <w:r w:rsidRPr="002242E7">
        <w:tab/>
        <w:t>Introduction</w:t>
      </w:r>
    </w:p>
    <w:p w14:paraId="2B3A1A89" w14:textId="77777777" w:rsidR="00D84F0C" w:rsidRPr="005F2D98" w:rsidRDefault="00D84F0C" w:rsidP="00D84F0C">
      <w:pPr>
        <w:rPr>
          <w:rFonts w:cs="v4.2.0"/>
        </w:rPr>
      </w:pPr>
      <w:r w:rsidRPr="005F2D98">
        <w:rPr>
          <w:rFonts w:cs="v4.2.0"/>
        </w:rPr>
        <w:t xml:space="preserve">When the UE receives a RRC message implying handover with PSCell change, the UE shall be ready to </w:t>
      </w:r>
      <w:r w:rsidRPr="005F2D98">
        <w:rPr>
          <w:rFonts w:cs="v4.2.0"/>
          <w:snapToGrid w:val="0"/>
        </w:rPr>
        <w:t>start the transmission of the new uplink PRACH channel</w:t>
      </w:r>
      <w:r w:rsidRPr="005F2D98">
        <w:rPr>
          <w:rFonts w:cs="v4.2.0"/>
        </w:rPr>
        <w:t xml:space="preserve"> on target E-UTRA PCell within D</w:t>
      </w:r>
      <w:r w:rsidRPr="005F2D98">
        <w:rPr>
          <w:rFonts w:cs="v4.2.0"/>
          <w:vertAlign w:val="subscript"/>
        </w:rPr>
        <w:t>HOwithPSCe</w:t>
      </w:r>
      <w:r>
        <w:rPr>
          <w:rFonts w:cs="v4.2.0"/>
          <w:vertAlign w:val="subscript"/>
        </w:rPr>
        <w:t>l</w:t>
      </w:r>
      <w:r w:rsidRPr="005F2D98">
        <w:rPr>
          <w:rFonts w:cs="v4.2.0"/>
          <w:vertAlign w:val="subscript"/>
        </w:rPr>
        <w:t>l</w:t>
      </w:r>
      <w:r>
        <w:rPr>
          <w:rFonts w:cs="v4.2.0"/>
          <w:vertAlign w:val="subscript"/>
        </w:rPr>
        <w:t>_</w:t>
      </w:r>
      <w:r w:rsidRPr="005F2D98">
        <w:rPr>
          <w:rFonts w:cs="v4.2.0"/>
          <w:vertAlign w:val="subscript"/>
        </w:rPr>
        <w:t>PCell</w:t>
      </w:r>
      <w:r w:rsidRPr="005F2D98">
        <w:rPr>
          <w:rFonts w:cs="v4.2.0"/>
        </w:rPr>
        <w:t xml:space="preserve"> </w:t>
      </w:r>
      <w:r>
        <w:rPr>
          <w:rFonts w:cs="v4.2.0"/>
        </w:rPr>
        <w:t>ms</w:t>
      </w:r>
      <w:r w:rsidRPr="005F2D98">
        <w:rPr>
          <w:rFonts w:cs="v4.2.0"/>
        </w:rPr>
        <w:t xml:space="preserve"> from the end of the last TTI containing the RRC command</w:t>
      </w:r>
      <w:r w:rsidRPr="005F2D98">
        <w:rPr>
          <w:lang w:eastAsia="zh-CN"/>
        </w:rPr>
        <w:t xml:space="preserve">, and UE shall be </w:t>
      </w:r>
      <w:r w:rsidRPr="005F2D98">
        <w:rPr>
          <w:rFonts w:cs="v4.2.0"/>
        </w:rPr>
        <w:t xml:space="preserve">ready to </w:t>
      </w:r>
      <w:r w:rsidRPr="005F2D98">
        <w:rPr>
          <w:rFonts w:cs="v4.2.0"/>
          <w:snapToGrid w:val="0"/>
        </w:rPr>
        <w:t>start the transmission of the new uplink PRACH channel</w:t>
      </w:r>
      <w:r w:rsidRPr="005F2D98">
        <w:rPr>
          <w:rFonts w:cs="v4.2.0"/>
        </w:rPr>
        <w:t xml:space="preserve"> on </w:t>
      </w:r>
      <w:r>
        <w:rPr>
          <w:rFonts w:cs="v4.2.0"/>
        </w:rPr>
        <w:t xml:space="preserve">a </w:t>
      </w:r>
      <w:r w:rsidRPr="005F2D98">
        <w:rPr>
          <w:rFonts w:cs="v4.2.0"/>
        </w:rPr>
        <w:t xml:space="preserve">target PSCell </w:t>
      </w:r>
      <w:r>
        <w:rPr>
          <w:color w:val="000000" w:themeColor="text1"/>
        </w:rPr>
        <w:t xml:space="preserve">on </w:t>
      </w:r>
      <w:r w:rsidRPr="002C0D21">
        <w:rPr>
          <w:color w:val="000000" w:themeColor="text1"/>
        </w:rPr>
        <w:t>a carrier frequency wit</w:t>
      </w:r>
      <w:r>
        <w:rPr>
          <w:color w:val="000000" w:themeColor="text1"/>
        </w:rPr>
        <w:t xml:space="preserve">h CCA </w:t>
      </w:r>
      <w:r w:rsidRPr="005F2D98">
        <w:rPr>
          <w:rFonts w:cs="v4.2.0"/>
        </w:rPr>
        <w:t>within D</w:t>
      </w:r>
      <w:r w:rsidRPr="005F2D98">
        <w:rPr>
          <w:rFonts w:cs="v4.2.0"/>
          <w:vertAlign w:val="subscript"/>
        </w:rPr>
        <w:t>HOwithPSCell_PSCell</w:t>
      </w:r>
      <w:r w:rsidRPr="005F2D98">
        <w:rPr>
          <w:rFonts w:cs="v4.2.0"/>
        </w:rPr>
        <w:t xml:space="preserve"> seconds and from the end of the last TTI containing the RRC command.</w:t>
      </w:r>
    </w:p>
    <w:p w14:paraId="6F18BDA7" w14:textId="77777777" w:rsidR="00D84F0C" w:rsidRPr="005F2D98" w:rsidRDefault="00D84F0C" w:rsidP="00D84F0C">
      <w:pPr>
        <w:rPr>
          <w:rFonts w:cs="v4.2.0"/>
        </w:rPr>
      </w:pPr>
      <w:r w:rsidRPr="005F2D98">
        <w:rPr>
          <w:rFonts w:cs="v4.2.0"/>
        </w:rPr>
        <w:t>Where</w:t>
      </w:r>
      <w:r>
        <w:rPr>
          <w:rFonts w:cs="v4.2.0"/>
        </w:rPr>
        <w:t>:</w:t>
      </w:r>
      <w:r w:rsidRPr="005F2D98">
        <w:rPr>
          <w:rFonts w:cs="v4.2.0"/>
        </w:rPr>
        <w:t xml:space="preserve"> </w:t>
      </w:r>
    </w:p>
    <w:p w14:paraId="23309F3D" w14:textId="77777777" w:rsidR="00D84F0C" w:rsidRPr="002242E7" w:rsidRDefault="00D84F0C" w:rsidP="00D84F0C">
      <w:pPr>
        <w:pStyle w:val="B10"/>
        <w:rPr>
          <w:lang w:eastAsia="zh-CN"/>
        </w:rPr>
      </w:pPr>
      <w:r>
        <w:tab/>
      </w:r>
      <w:r w:rsidRPr="002242E7">
        <w:t>D</w:t>
      </w:r>
      <w:r w:rsidRPr="002242E7">
        <w:rPr>
          <w:vertAlign w:val="subscript"/>
        </w:rPr>
        <w:t>HOwithPSCell_PCell</w:t>
      </w:r>
      <w:r w:rsidRPr="002242E7">
        <w:t xml:space="preserve"> equals the </w:t>
      </w:r>
      <w:r w:rsidRPr="002242E7">
        <w:rPr>
          <w:rFonts w:eastAsia="MS Mincho"/>
        </w:rPr>
        <w:t>maximum</w:t>
      </w:r>
      <w:r w:rsidRPr="002242E7">
        <w:t xml:space="preserve"> RRC procedure delay defined in clause 11.2 in TS 36.331 [2] plus the interruption time stated in clause </w:t>
      </w:r>
      <w:r w:rsidRPr="00634AA7">
        <w:t>6.1.5.</w:t>
      </w:r>
      <w:r>
        <w:t>5</w:t>
      </w:r>
      <w:r w:rsidRPr="00634AA7">
        <w:t>.2</w:t>
      </w:r>
      <w:r w:rsidRPr="002242E7">
        <w:t>.</w:t>
      </w:r>
    </w:p>
    <w:p w14:paraId="1B59AC79" w14:textId="77777777" w:rsidR="00D84F0C" w:rsidRPr="002242E7" w:rsidRDefault="00D84F0C" w:rsidP="00D84F0C">
      <w:pPr>
        <w:pStyle w:val="B10"/>
        <w:rPr>
          <w:lang w:eastAsia="zh-CN"/>
        </w:rPr>
      </w:pPr>
      <w:r>
        <w:tab/>
      </w:r>
      <w:r w:rsidRPr="002242E7">
        <w:t>D</w:t>
      </w:r>
      <w:r w:rsidRPr="002242E7">
        <w:rPr>
          <w:vertAlign w:val="subscript"/>
        </w:rPr>
        <w:t xml:space="preserve">HOwithPSCell_PSCell </w:t>
      </w:r>
      <w:r w:rsidRPr="002242E7">
        <w:t xml:space="preserve">is the </w:t>
      </w:r>
      <w:r w:rsidRPr="002242E7">
        <w:rPr>
          <w:lang w:eastAsia="ja-JP"/>
        </w:rPr>
        <w:t xml:space="preserve">PSCell addition delay stated in clause </w:t>
      </w:r>
      <w:r>
        <w:rPr>
          <w:lang w:eastAsia="ja-JP"/>
        </w:rPr>
        <w:t>6.1.5.5.3</w:t>
      </w:r>
    </w:p>
    <w:p w14:paraId="5A3A521B" w14:textId="77777777" w:rsidR="00D84F0C" w:rsidRPr="002242E7" w:rsidRDefault="00D84F0C" w:rsidP="00D84F0C">
      <w:pPr>
        <w:pStyle w:val="Heading5"/>
      </w:pPr>
      <w:bookmarkStart w:id="107" w:name="_Hlk101800463"/>
      <w:r>
        <w:t>6.1.5.5.2</w:t>
      </w:r>
      <w:bookmarkEnd w:id="107"/>
      <w:r w:rsidRPr="002242E7">
        <w:tab/>
      </w:r>
      <w:r>
        <w:t>NR SA to EN-DC</w:t>
      </w:r>
      <w:r w:rsidRPr="002242E7">
        <w:t xml:space="preserve"> </w:t>
      </w:r>
      <w:r>
        <w:t xml:space="preserve">HO </w:t>
      </w:r>
      <w:r w:rsidRPr="002242E7">
        <w:t>with PSCell</w:t>
      </w:r>
      <w:r>
        <w:t xml:space="preserve">- NR to E-UTRA HO </w:t>
      </w:r>
      <w:r w:rsidRPr="002242E7">
        <w:t>Interruption time</w:t>
      </w:r>
    </w:p>
    <w:p w14:paraId="0A6CBFD6" w14:textId="77777777" w:rsidR="00D84F0C" w:rsidRPr="005F2D98" w:rsidRDefault="00D84F0C" w:rsidP="00D84F0C">
      <w:pPr>
        <w:rPr>
          <w:rFonts w:cs="v4.2.0"/>
        </w:rPr>
      </w:pPr>
      <w:r w:rsidRPr="005F2D98">
        <w:rPr>
          <w:rFonts w:cs="v4.2.0"/>
        </w:rPr>
        <w:t xml:space="preserve">The interruption time is the time between end of the last TTI containing the RRC command on the old PDSCH and the time the UE starts transmission of the new PRACH </w:t>
      </w:r>
      <w:r w:rsidRPr="005F2D98">
        <w:rPr>
          <w:rFonts w:eastAsia="MS Mincho" w:cs="v4.2.0"/>
        </w:rPr>
        <w:t>excluding the RRC procedure delay</w:t>
      </w:r>
      <w:r w:rsidRPr="005F2D98">
        <w:rPr>
          <w:rFonts w:cs="v4.2.0"/>
        </w:rPr>
        <w:t>. This requirement applies when UE is not required to perform any synchronisation procedure before transmitting on the new PRACH</w:t>
      </w:r>
      <w:r w:rsidRPr="005F2D98">
        <w:rPr>
          <w:rFonts w:cs="v4.2.0" w:hint="eastAsia"/>
          <w:lang w:eastAsia="zh-CN"/>
        </w:rPr>
        <w:t xml:space="preserve"> or on the new PUSCH</w:t>
      </w:r>
      <w:r w:rsidRPr="005F2D98">
        <w:rPr>
          <w:rFonts w:cs="v4.2.0"/>
        </w:rPr>
        <w:t>.</w:t>
      </w:r>
    </w:p>
    <w:p w14:paraId="0908290C" w14:textId="77777777" w:rsidR="00D84F0C" w:rsidRPr="005F2D98" w:rsidRDefault="00D84F0C" w:rsidP="00D84F0C">
      <w:pPr>
        <w:rPr>
          <w:rFonts w:cs="v4.2.0"/>
          <w:position w:val="-6"/>
        </w:rPr>
      </w:pPr>
      <w:r w:rsidRPr="005F2D98">
        <w:rPr>
          <w:rFonts w:cs="v4.2.0"/>
        </w:rPr>
        <w:t>When Handover with PSCell is commanded, the interruption time shall be less than T</w:t>
      </w:r>
      <w:r w:rsidRPr="005F2D98">
        <w:rPr>
          <w:rFonts w:cs="v4.2.0"/>
          <w:position w:val="-6"/>
        </w:rPr>
        <w:t>interrupt</w:t>
      </w:r>
    </w:p>
    <w:p w14:paraId="191B5C99" w14:textId="77777777" w:rsidR="00D84F0C" w:rsidRPr="005F2D98" w:rsidRDefault="00D84F0C" w:rsidP="00D84F0C">
      <w:pPr>
        <w:pStyle w:val="EQ"/>
      </w:pPr>
      <w:r w:rsidRPr="005F2D98">
        <w:tab/>
        <w:t>T</w:t>
      </w:r>
      <w:r w:rsidRPr="005F2D98">
        <w:rPr>
          <w:position w:val="-6"/>
        </w:rPr>
        <w:t>interrupt</w:t>
      </w:r>
      <w:r w:rsidRPr="005F2D98">
        <w:t xml:space="preserve"> = T</w:t>
      </w:r>
      <w:r w:rsidRPr="005F2D98">
        <w:rPr>
          <w:vertAlign w:val="subscript"/>
        </w:rPr>
        <w:t>search</w:t>
      </w:r>
      <w:r w:rsidRPr="005F2D98">
        <w:t xml:space="preserve"> + T</w:t>
      </w:r>
      <w:r w:rsidRPr="005F2D98">
        <w:rPr>
          <w:vertAlign w:val="subscript"/>
        </w:rPr>
        <w:t>IU</w:t>
      </w:r>
      <w:r w:rsidRPr="005F2D98">
        <w:t xml:space="preserve"> + T</w:t>
      </w:r>
      <w:r w:rsidRPr="005F2D98">
        <w:rPr>
          <w:vertAlign w:val="subscript"/>
        </w:rPr>
        <w:t>processing</w:t>
      </w:r>
      <w:r>
        <w:rPr>
          <w:vertAlign w:val="subscript"/>
        </w:rPr>
        <w:t xml:space="preserve"> </w:t>
      </w:r>
      <w:r w:rsidRPr="005F2D98">
        <w:t>ms</w:t>
      </w:r>
    </w:p>
    <w:p w14:paraId="49BC05A4" w14:textId="77777777" w:rsidR="00D84F0C" w:rsidRPr="005F2D98" w:rsidRDefault="00D84F0C" w:rsidP="00D84F0C">
      <w:pPr>
        <w:rPr>
          <w:rFonts w:cs="v4.2.0"/>
        </w:rPr>
      </w:pPr>
      <w:r w:rsidRPr="005F2D98">
        <w:rPr>
          <w:rFonts w:cs="v4.2.0"/>
        </w:rPr>
        <w:t>Where:</w:t>
      </w:r>
    </w:p>
    <w:p w14:paraId="4D3136ED" w14:textId="77777777" w:rsidR="00D84F0C" w:rsidRPr="005F2D98" w:rsidRDefault="00D84F0C" w:rsidP="00D84F0C">
      <w:pPr>
        <w:pStyle w:val="B10"/>
      </w:pPr>
      <w:r>
        <w:rPr>
          <w:rFonts w:cs="v4.2.0"/>
        </w:rPr>
        <w:tab/>
      </w:r>
      <w:r w:rsidRPr="005F2D98">
        <w:rPr>
          <w:rFonts w:cs="v4.2.0"/>
        </w:rPr>
        <w:t>T</w:t>
      </w:r>
      <w:r w:rsidRPr="005F2D98">
        <w:rPr>
          <w:rFonts w:cs="v4.2.0"/>
          <w:vertAlign w:val="subscript"/>
        </w:rPr>
        <w:t>search</w:t>
      </w:r>
      <w:r w:rsidRPr="005F2D98">
        <w:rPr>
          <w:rFonts w:cs="v4.2.0"/>
        </w:rPr>
        <w:t xml:space="preserve"> is same </w:t>
      </w:r>
      <w:r w:rsidRPr="005F2D98">
        <w:t xml:space="preserve">as the </w:t>
      </w:r>
      <w:r w:rsidRPr="005F2D98">
        <w:rPr>
          <w:rFonts w:cs="v4.2.0"/>
        </w:rPr>
        <w:t>T</w:t>
      </w:r>
      <w:r w:rsidRPr="005F2D98">
        <w:rPr>
          <w:rFonts w:cs="v4.2.0"/>
          <w:vertAlign w:val="subscript"/>
        </w:rPr>
        <w:t>search</w:t>
      </w:r>
      <w:r w:rsidRPr="005F2D98">
        <w:t xml:space="preserve"> defined in section 6.1.2.1.3</w:t>
      </w:r>
    </w:p>
    <w:p w14:paraId="7414ED79" w14:textId="77777777" w:rsidR="00D84F0C" w:rsidRPr="005F2D98" w:rsidRDefault="00D84F0C" w:rsidP="00D84F0C">
      <w:pPr>
        <w:pStyle w:val="B10"/>
      </w:pPr>
      <w:r>
        <w:tab/>
      </w:r>
      <w:r w:rsidRPr="005F2D98">
        <w:t>T</w:t>
      </w:r>
      <w:r w:rsidRPr="005F2D98">
        <w:rPr>
          <w:vertAlign w:val="subscript"/>
        </w:rPr>
        <w:t>IU</w:t>
      </w:r>
      <w:r w:rsidRPr="005F2D98">
        <w:t xml:space="preserve"> is same as the one defined in section 6.1.2.1.3.</w:t>
      </w:r>
    </w:p>
    <w:p w14:paraId="61E730D1" w14:textId="77777777" w:rsidR="00D84F0C" w:rsidRPr="005F2D98" w:rsidRDefault="00D84F0C" w:rsidP="00D84F0C">
      <w:pPr>
        <w:pStyle w:val="B10"/>
      </w:pPr>
      <w:r>
        <w:tab/>
      </w:r>
      <w:r w:rsidRPr="005F2D98">
        <w:t>T</w:t>
      </w:r>
      <w:r w:rsidRPr="005F2D98">
        <w:rPr>
          <w:vertAlign w:val="subscript"/>
        </w:rPr>
        <w:t>processing</w:t>
      </w:r>
      <w:r w:rsidRPr="005F2D98">
        <w:t xml:space="preserve"> is the SW processing time needed by UE, including RF warm up period. </w:t>
      </w:r>
      <w:r w:rsidRPr="003A5889">
        <w:rPr>
          <w:rFonts w:eastAsia="DengXian"/>
          <w:lang w:val="en-US" w:eastAsia="zh-CN"/>
        </w:rPr>
        <w:t xml:space="preserve">When target PSCell is unknown and SMTC configuration of target unknown PSCell is present in </w:t>
      </w:r>
      <w:r w:rsidRPr="003A5889">
        <w:rPr>
          <w:rFonts w:eastAsia="DengXian"/>
          <w:i/>
          <w:iCs/>
          <w:lang w:val="en-US" w:eastAsia="zh-CN"/>
        </w:rPr>
        <w:t xml:space="preserve">RRCConnectionReconfiguration </w:t>
      </w:r>
      <w:r w:rsidRPr="003A5889">
        <w:rPr>
          <w:rFonts w:eastAsia="DengXian"/>
          <w:lang w:val="en-US" w:eastAsia="zh-CN"/>
        </w:rPr>
        <w:t>[2], T</w:t>
      </w:r>
      <w:r w:rsidRPr="003A5889">
        <w:rPr>
          <w:rFonts w:eastAsia="DengXian"/>
          <w:position w:val="-2"/>
          <w:sz w:val="12"/>
          <w:szCs w:val="12"/>
          <w:lang w:val="en-US" w:eastAsia="zh-CN"/>
        </w:rPr>
        <w:t xml:space="preserve">processing </w:t>
      </w:r>
      <w:r w:rsidRPr="003A5889">
        <w:rPr>
          <w:rFonts w:eastAsia="DengXian"/>
          <w:lang w:val="en-US" w:eastAsia="zh-CN"/>
        </w:rPr>
        <w:t>= 30ms</w:t>
      </w:r>
      <w:r>
        <w:rPr>
          <w:rFonts w:eastAsia="DengXian"/>
          <w:lang w:val="en-US" w:eastAsia="zh-CN"/>
        </w:rPr>
        <w:t>, otherwise,</w:t>
      </w:r>
      <w:r w:rsidRPr="005F2D98">
        <w:t xml:space="preserve"> T</w:t>
      </w:r>
      <w:r w:rsidRPr="005F2D98">
        <w:rPr>
          <w:vertAlign w:val="subscript"/>
        </w:rPr>
        <w:t>processing</w:t>
      </w:r>
      <w:r w:rsidRPr="005F2D98">
        <w:rPr>
          <w:vertAlign w:val="subscript"/>
        </w:rPr>
        <w:softHyphen/>
      </w:r>
      <w:r w:rsidRPr="005F2D98">
        <w:rPr>
          <w:vertAlign w:val="subscript"/>
        </w:rPr>
        <w:softHyphen/>
      </w:r>
      <w:r w:rsidRPr="005F2D98">
        <w:rPr>
          <w:vertAlign w:val="subscript"/>
        </w:rPr>
        <w:softHyphen/>
      </w:r>
      <w:r w:rsidRPr="005F2D98">
        <w:t xml:space="preserve"> = 25 ms.  </w:t>
      </w:r>
    </w:p>
    <w:p w14:paraId="7D48B77C" w14:textId="77777777" w:rsidR="00D84F0C" w:rsidRDefault="00D84F0C" w:rsidP="00D84F0C">
      <w:pPr>
        <w:pStyle w:val="NO"/>
      </w:pPr>
      <w:r w:rsidRPr="005F2D98">
        <w:t>NOTE: The actual value of T</w:t>
      </w:r>
      <w:r w:rsidRPr="005F2D98">
        <w:rPr>
          <w:vertAlign w:val="subscript"/>
        </w:rPr>
        <w:t>IU</w:t>
      </w:r>
      <w:r w:rsidRPr="005F2D98">
        <w:t xml:space="preserve"> shall depend upon the PRACH configuration used in the target </w:t>
      </w:r>
      <w:r>
        <w:t xml:space="preserve">E-UTRA </w:t>
      </w:r>
      <w:r w:rsidRPr="005F2D98">
        <w:t>cell.</w:t>
      </w:r>
    </w:p>
    <w:p w14:paraId="69B41006" w14:textId="30CF32DF" w:rsidR="00D84F0C" w:rsidRDefault="00D84F0C" w:rsidP="00D84F0C">
      <w:r>
        <w:t>In the interruption requirement, a cell is known if it has been meeting the relevant cell identification requirement during the last 5 seconds. Otherwise, it is unknown. Relevant E-UTRA cell identification requirements are described in clause 9.4.1.</w:t>
      </w:r>
    </w:p>
    <w:p w14:paraId="17DF64AA" w14:textId="77777777" w:rsidR="004102A8" w:rsidRPr="005F2D98" w:rsidRDefault="004102A8" w:rsidP="00D84F0C"/>
    <w:p w14:paraId="3BD7994F" w14:textId="77777777" w:rsidR="00D84F0C" w:rsidRPr="002242E7" w:rsidRDefault="00D84F0C" w:rsidP="00D84F0C">
      <w:pPr>
        <w:pStyle w:val="Heading5"/>
      </w:pPr>
      <w:r>
        <w:t>6.1.5.5.3</w:t>
      </w:r>
      <w:r w:rsidRPr="002242E7">
        <w:tab/>
      </w:r>
      <w:r>
        <w:t>NR SA to EN-DC</w:t>
      </w:r>
      <w:r w:rsidRPr="002242E7">
        <w:t xml:space="preserve"> </w:t>
      </w:r>
      <w:r>
        <w:t xml:space="preserve">HO </w:t>
      </w:r>
      <w:r w:rsidRPr="002242E7">
        <w:t xml:space="preserve">with PSCell - NR PSCell </w:t>
      </w:r>
      <w:r>
        <w:t>Addition</w:t>
      </w:r>
      <w:r w:rsidRPr="002242E7">
        <w:t xml:space="preserve"> Delay requirements</w:t>
      </w:r>
    </w:p>
    <w:p w14:paraId="59215173" w14:textId="77777777" w:rsidR="00D84F0C" w:rsidRPr="005F2D98" w:rsidRDefault="00D84F0C" w:rsidP="00D84F0C">
      <w:r w:rsidRPr="005F2D98">
        <w:rPr>
          <w:rFonts w:cs="v4.2.0"/>
        </w:rPr>
        <w:t xml:space="preserve">When Handover with PSCell is commanded, the NR PSCell </w:t>
      </w:r>
      <w:r>
        <w:rPr>
          <w:color w:val="000000" w:themeColor="text1"/>
        </w:rPr>
        <w:t xml:space="preserve">on </w:t>
      </w:r>
      <w:r w:rsidRPr="002C0D21">
        <w:rPr>
          <w:color w:val="000000" w:themeColor="text1"/>
        </w:rPr>
        <w:t>a carrier frequency wit</w:t>
      </w:r>
      <w:r>
        <w:rPr>
          <w:color w:val="000000" w:themeColor="text1"/>
        </w:rPr>
        <w:t xml:space="preserve">h CCA </w:t>
      </w:r>
      <w:r w:rsidRPr="005F2D98">
        <w:rPr>
          <w:rFonts w:cs="v4.2.0"/>
        </w:rPr>
        <w:t>changing delay shall be less than D</w:t>
      </w:r>
      <w:r w:rsidRPr="005F2D98">
        <w:rPr>
          <w:rFonts w:cs="v4.2.0"/>
          <w:vertAlign w:val="subscript"/>
        </w:rPr>
        <w:t>HOwithPSCe</w:t>
      </w:r>
      <w:r>
        <w:rPr>
          <w:rFonts w:cs="v4.2.0"/>
          <w:vertAlign w:val="subscript"/>
        </w:rPr>
        <w:t>l</w:t>
      </w:r>
      <w:r w:rsidRPr="005F2D98">
        <w:rPr>
          <w:rFonts w:cs="v4.2.0"/>
          <w:vertAlign w:val="subscript"/>
        </w:rPr>
        <w:t>l_PSCell</w:t>
      </w:r>
      <w:r w:rsidRPr="005F2D98">
        <w:rPr>
          <w:rFonts w:cs="v4.2.0"/>
        </w:rPr>
        <w:t>:</w:t>
      </w:r>
    </w:p>
    <w:p w14:paraId="6E3E9C3D" w14:textId="77777777" w:rsidR="00D84F0C" w:rsidRDefault="00D84F0C" w:rsidP="00D84F0C">
      <w:pPr>
        <w:pStyle w:val="EQ"/>
      </w:pPr>
      <w:r>
        <w:rPr>
          <w:rFonts w:cs="v4.2.0"/>
        </w:rPr>
        <w:tab/>
      </w:r>
      <w:r w:rsidRPr="005F2D98">
        <w:rPr>
          <w:rFonts w:cs="v4.2.0"/>
        </w:rPr>
        <w:t>D</w:t>
      </w:r>
      <w:r w:rsidRPr="005F2D98">
        <w:rPr>
          <w:rFonts w:cs="v4.2.0"/>
          <w:vertAlign w:val="subscript"/>
        </w:rPr>
        <w:t>HOwithPSCe</w:t>
      </w:r>
      <w:r>
        <w:rPr>
          <w:rFonts w:cs="v4.2.0"/>
          <w:vertAlign w:val="subscript"/>
        </w:rPr>
        <w:t>l</w:t>
      </w:r>
      <w:r w:rsidRPr="005F2D98">
        <w:rPr>
          <w:rFonts w:cs="v4.2.0"/>
          <w:vertAlign w:val="subscript"/>
        </w:rPr>
        <w:t>l_PSCell</w:t>
      </w:r>
      <w:r w:rsidRPr="005F2D98">
        <w:t xml:space="preserve"> = T</w:t>
      </w:r>
      <w:r w:rsidRPr="005F2D98">
        <w:rPr>
          <w:vertAlign w:val="subscript"/>
        </w:rPr>
        <w:t>RRC_delay</w:t>
      </w:r>
      <w:r w:rsidRPr="005F2D98">
        <w:t xml:space="preserve"> + T</w:t>
      </w:r>
      <w:r w:rsidRPr="005F2D98">
        <w:rPr>
          <w:vertAlign w:val="subscript"/>
        </w:rPr>
        <w:t>processing</w:t>
      </w:r>
      <w:r w:rsidRPr="005F2D98">
        <w:t xml:space="preserve"> + T</w:t>
      </w:r>
      <w:r w:rsidRPr="005F2D98">
        <w:rPr>
          <w:vertAlign w:val="subscript"/>
        </w:rPr>
        <w:t>search</w:t>
      </w:r>
      <w:r>
        <w:rPr>
          <w:vertAlign w:val="subscript"/>
        </w:rPr>
        <w:t>_PCell</w:t>
      </w:r>
      <w:r w:rsidRPr="005F2D98">
        <w:t xml:space="preserve"> </w:t>
      </w:r>
      <w:r>
        <w:t>+</w:t>
      </w:r>
      <w:r w:rsidRPr="008B30D0">
        <w:t xml:space="preserve"> </w:t>
      </w:r>
      <w:r w:rsidRPr="005F2D98">
        <w:t>T</w:t>
      </w:r>
      <w:r w:rsidRPr="005F2D98">
        <w:rPr>
          <w:vertAlign w:val="subscript"/>
        </w:rPr>
        <w:t>search</w:t>
      </w:r>
      <w:r>
        <w:rPr>
          <w:vertAlign w:val="subscript"/>
        </w:rPr>
        <w:t>_PSCell</w:t>
      </w:r>
      <w:r w:rsidRPr="005F2D98">
        <w:t xml:space="preserve"> + T</w:t>
      </w:r>
      <w:r w:rsidRPr="005F2D98">
        <w:rPr>
          <w:vertAlign w:val="subscript"/>
        </w:rPr>
        <w:t>∆</w:t>
      </w:r>
      <w:r w:rsidRPr="005F2D98">
        <w:t xml:space="preserve"> + T</w:t>
      </w:r>
      <w:r w:rsidRPr="0094364C">
        <w:rPr>
          <w:vertAlign w:val="subscript"/>
        </w:rPr>
        <w:t>IU_</w:t>
      </w:r>
      <w:r w:rsidRPr="005F2D98">
        <w:rPr>
          <w:vertAlign w:val="subscript"/>
        </w:rPr>
        <w:t>PSCell</w:t>
      </w:r>
      <w:r w:rsidRPr="005F2D98">
        <w:t xml:space="preserve"> + 2 ms</w:t>
      </w:r>
    </w:p>
    <w:p w14:paraId="72FCCCD7" w14:textId="77777777" w:rsidR="00D84F0C" w:rsidRPr="0007724A" w:rsidRDefault="00D84F0C" w:rsidP="00D84F0C">
      <w:pPr>
        <w:rPr>
          <w:rFonts w:cs="v4.2.0"/>
        </w:rPr>
      </w:pPr>
      <w:r w:rsidRPr="0007724A">
        <w:rPr>
          <w:rFonts w:cs="v4.2.0"/>
        </w:rPr>
        <w:t>Where:</w:t>
      </w:r>
    </w:p>
    <w:p w14:paraId="674B3789" w14:textId="77777777" w:rsidR="00D84F0C" w:rsidRPr="005F2D98" w:rsidRDefault="00D84F0C" w:rsidP="00D84F0C">
      <w:pPr>
        <w:pStyle w:val="B10"/>
      </w:pPr>
      <w:r w:rsidRPr="0007724A">
        <w:tab/>
      </w:r>
      <w:r w:rsidRPr="005F2D98">
        <w:t>T</w:t>
      </w:r>
      <w:r w:rsidRPr="005F2D98">
        <w:rPr>
          <w:vertAlign w:val="subscript"/>
        </w:rPr>
        <w:t>RRC_delay</w:t>
      </w:r>
      <w:r w:rsidRPr="005F2D98">
        <w:t xml:space="preserve"> is </w:t>
      </w:r>
      <w:r w:rsidRPr="005F2D98">
        <w:rPr>
          <w:rFonts w:eastAsia="MS Mincho"/>
        </w:rPr>
        <w:t>maximum</w:t>
      </w:r>
      <w:r w:rsidRPr="005F2D98">
        <w:t xml:space="preserve"> RRC procedure delay defined in clause 11.2 in TS 36.331 [2].</w:t>
      </w:r>
    </w:p>
    <w:p w14:paraId="4B9E5E1B" w14:textId="77777777" w:rsidR="00D84F0C" w:rsidRDefault="00D84F0C" w:rsidP="00D84F0C">
      <w:pPr>
        <w:pStyle w:val="B10"/>
        <w:rPr>
          <w:rFonts w:cs="v4.2.0"/>
        </w:rPr>
      </w:pPr>
      <w:r>
        <w:rPr>
          <w:lang w:val="en-US" w:eastAsia="zh-CN"/>
        </w:rPr>
        <w:tab/>
      </w:r>
      <w:r w:rsidRPr="004B4179">
        <w:rPr>
          <w:lang w:val="en-US" w:eastAsia="zh-CN"/>
        </w:rPr>
        <w:t>T</w:t>
      </w:r>
      <w:r w:rsidRPr="004B4179">
        <w:rPr>
          <w:vertAlign w:val="subscript"/>
          <w:lang w:val="en-US" w:eastAsia="zh-CN"/>
        </w:rPr>
        <w:t>search_PCell</w:t>
      </w:r>
      <w:r w:rsidRPr="004B4179">
        <w:rPr>
          <w:lang w:val="en-US" w:eastAsia="zh-CN"/>
        </w:rPr>
        <w:t xml:space="preserve"> is the time for obtaining the timing reference of target PCell. T</w:t>
      </w:r>
      <w:r w:rsidRPr="004B4179">
        <w:rPr>
          <w:vertAlign w:val="subscript"/>
          <w:lang w:val="en-US" w:eastAsia="zh-CN"/>
        </w:rPr>
        <w:t>search_PCell</w:t>
      </w:r>
      <w:r w:rsidRPr="004B4179">
        <w:rPr>
          <w:lang w:val="en-US" w:eastAsia="zh-CN"/>
        </w:rPr>
        <w:t xml:space="preserve"> </w:t>
      </w:r>
      <w:r>
        <w:rPr>
          <w:lang w:val="en-US" w:eastAsia="zh-CN"/>
        </w:rPr>
        <w:t>is same as</w:t>
      </w:r>
      <w:r>
        <w:rPr>
          <w:rFonts w:hint="eastAsia"/>
          <w:lang w:val="en-US" w:eastAsia="zh-CN"/>
        </w:rPr>
        <w:t xml:space="preserve"> </w:t>
      </w:r>
      <w:r w:rsidRPr="009C5807">
        <w:t>T</w:t>
      </w:r>
      <w:r w:rsidRPr="009C5807">
        <w:rPr>
          <w:vertAlign w:val="subscript"/>
        </w:rPr>
        <w:t>search</w:t>
      </w:r>
      <w:r>
        <w:rPr>
          <w:vertAlign w:val="subscript"/>
        </w:rPr>
        <w:t>_HO</w:t>
      </w:r>
      <w:r>
        <w:t xml:space="preserve"> as defined in section </w:t>
      </w:r>
      <w:r>
        <w:rPr>
          <w:rFonts w:ascii="Times" w:hAnsi="Times"/>
          <w:lang w:val="en-US" w:eastAsia="zh-CN"/>
        </w:rPr>
        <w:t>6.1.5.2.1, i</w:t>
      </w:r>
      <w:r w:rsidRPr="00AE087A">
        <w:rPr>
          <w:rFonts w:ascii="Times" w:hAnsi="Times"/>
          <w:lang w:val="en-US" w:eastAsia="zh-CN"/>
        </w:rPr>
        <w:t xml:space="preserve">f target PSCell is unknown and SMTC configuration of target unknown PSCell is present in </w:t>
      </w:r>
      <w:r w:rsidRPr="00AE087A">
        <w:rPr>
          <w:rFonts w:ascii="Times" w:hAnsi="Times"/>
          <w:i/>
          <w:lang w:val="en-US" w:eastAsia="zh-CN"/>
        </w:rPr>
        <w:t>RRCConnectionReconfiguration</w:t>
      </w:r>
      <w:r w:rsidRPr="00AE087A">
        <w:rPr>
          <w:rFonts w:ascii="Times" w:hAnsi="Times"/>
          <w:lang w:val="en-US" w:eastAsia="zh-CN"/>
        </w:rPr>
        <w:t xml:space="preserve"> [2]. Otherwise, T</w:t>
      </w:r>
      <w:r w:rsidRPr="00AE087A">
        <w:rPr>
          <w:rFonts w:ascii="Times" w:hAnsi="Times"/>
          <w:vertAlign w:val="subscript"/>
          <w:lang w:val="en-US" w:eastAsia="zh-CN"/>
        </w:rPr>
        <w:t>search_PCell</w:t>
      </w:r>
      <w:r w:rsidRPr="00AE087A">
        <w:rPr>
          <w:rFonts w:ascii="Times" w:hAnsi="Times"/>
          <w:lang w:val="en-US" w:eastAsia="zh-CN"/>
        </w:rPr>
        <w:t xml:space="preserve"> = 0</w:t>
      </w:r>
    </w:p>
    <w:p w14:paraId="31AD9190" w14:textId="6D53236A" w:rsidR="0008772A" w:rsidRPr="00CB2251" w:rsidRDefault="0008772A" w:rsidP="0008772A">
      <w:pPr>
        <w:ind w:left="568" w:hanging="284"/>
      </w:pPr>
      <w:r w:rsidRPr="00CB2251">
        <w:tab/>
        <w:t>T</w:t>
      </w:r>
      <w:r w:rsidRPr="00CB2251">
        <w:rPr>
          <w:vertAlign w:val="subscript"/>
        </w:rPr>
        <w:t>search_PSCell</w:t>
      </w:r>
      <w:r w:rsidRPr="00CB2251">
        <w:t xml:space="preserve"> is the time required to search the target cell when the target cell is not already known when the handover command is received by the UE. If the target cell is known, then T</w:t>
      </w:r>
      <w:r w:rsidRPr="00CB2251">
        <w:rPr>
          <w:vertAlign w:val="subscript"/>
        </w:rPr>
        <w:t>search_PSCell</w:t>
      </w:r>
      <w:r w:rsidRPr="00CB2251">
        <w:t xml:space="preserve"> = 0 ms. If the target cell is an unknown cell and target cell Es/Iot ≥ [-2] dB, then T</w:t>
      </w:r>
      <w:r w:rsidRPr="00CB2251">
        <w:rPr>
          <w:vertAlign w:val="subscript"/>
        </w:rPr>
        <w:t>search_PSCell</w:t>
      </w:r>
      <w:r w:rsidRPr="00CB2251">
        <w:t xml:space="preserve"> = (3+L</w:t>
      </w:r>
      <w:r w:rsidRPr="00CB2251">
        <w:rPr>
          <w:vertAlign w:val="subscript"/>
        </w:rPr>
        <w:t>1</w:t>
      </w:r>
      <w:r w:rsidRPr="00CB2251">
        <w:t>) *T</w:t>
      </w:r>
      <w:r w:rsidRPr="00CB2251">
        <w:rPr>
          <w:vertAlign w:val="subscript"/>
        </w:rPr>
        <w:t>rs</w:t>
      </w:r>
      <w:r w:rsidRPr="00CB2251">
        <w:t xml:space="preserve"> ms. Regardless of whether DRX is in use by the UE, T</w:t>
      </w:r>
      <w:r w:rsidRPr="00CB2251">
        <w:rPr>
          <w:vertAlign w:val="subscript"/>
        </w:rPr>
        <w:t>search</w:t>
      </w:r>
      <w:r w:rsidRPr="00CB2251">
        <w:t xml:space="preserve"> shall still be based on non-DRX target cell search times.</w:t>
      </w:r>
    </w:p>
    <w:p w14:paraId="6AB60439" w14:textId="1FB17D7E" w:rsidR="0008772A" w:rsidRPr="00CB2251" w:rsidRDefault="009B3F85" w:rsidP="0008772A">
      <w:pPr>
        <w:ind w:left="568" w:hanging="284"/>
      </w:pPr>
      <w:r w:rsidRPr="00CB2251">
        <w:tab/>
        <w:t>L</w:t>
      </w:r>
      <w:r w:rsidRPr="00CB2251">
        <w:rPr>
          <w:vertAlign w:val="subscript"/>
        </w:rPr>
        <w:t>1</w:t>
      </w:r>
      <w:r w:rsidRPr="00CB2251">
        <w:t xml:space="preserve"> is the number of SMTC occasions not available at the UE during the inter-RAT detection period. Regardless of whether DRX is in use by the UE, T</w:t>
      </w:r>
      <w:r w:rsidRPr="00CB2251">
        <w:rPr>
          <w:vertAlign w:val="subscript"/>
        </w:rPr>
        <w:t>search</w:t>
      </w:r>
      <w:r w:rsidRPr="00CB2251">
        <w:t xml:space="preserve"> shall still be based on non-DRX target cell search times.</w:t>
      </w:r>
    </w:p>
    <w:p w14:paraId="63CCE069" w14:textId="77777777" w:rsidR="0008772A" w:rsidRPr="00CB2251" w:rsidRDefault="0008772A" w:rsidP="0008772A">
      <w:pPr>
        <w:ind w:left="568" w:hanging="284"/>
      </w:pPr>
      <w:r w:rsidRPr="00CB2251">
        <w:tab/>
        <w:t>T</w:t>
      </w:r>
      <w:r w:rsidRPr="00CB2251">
        <w:rPr>
          <w:vertAlign w:val="subscript"/>
        </w:rPr>
        <w:t>∆</w:t>
      </w:r>
      <w:r w:rsidRPr="00CB2251">
        <w:t xml:space="preserve"> is same as T</w:t>
      </w:r>
      <w:r w:rsidRPr="00CB2251">
        <w:rPr>
          <w:vertAlign w:val="subscript"/>
        </w:rPr>
        <w:t>∆</w:t>
      </w:r>
      <w:r w:rsidRPr="00CB2251">
        <w:t xml:space="preserve"> in section 7.31</w:t>
      </w:r>
      <w:r>
        <w:t>A</w:t>
      </w:r>
      <w:r w:rsidRPr="00CB2251">
        <w:t>.2.</w:t>
      </w:r>
    </w:p>
    <w:p w14:paraId="45CA16F4" w14:textId="237B6E7D" w:rsidR="0008772A" w:rsidRPr="00CB2251" w:rsidRDefault="0008772A" w:rsidP="0008772A">
      <w:pPr>
        <w:ind w:left="568" w:hanging="284"/>
      </w:pPr>
      <w:r w:rsidRPr="00CB2251">
        <w:tab/>
        <w:t>T</w:t>
      </w:r>
      <w:r w:rsidRPr="00CB2251">
        <w:rPr>
          <w:vertAlign w:val="subscript"/>
          <w:lang w:eastAsia="zh-CN"/>
        </w:rPr>
        <w:t>processing</w:t>
      </w:r>
      <w:r w:rsidRPr="00CB2251">
        <w:t xml:space="preserve"> is time for UE processing and is same as defined in 6.1.5.</w:t>
      </w:r>
      <w:r w:rsidR="00F96E11">
        <w:t>5.</w:t>
      </w:r>
      <w:r w:rsidRPr="00CB2251">
        <w:t>2.</w:t>
      </w:r>
    </w:p>
    <w:p w14:paraId="74DF5D50" w14:textId="77777777" w:rsidR="0008772A" w:rsidRPr="00CB2251" w:rsidRDefault="0008772A" w:rsidP="0008772A">
      <w:pPr>
        <w:ind w:left="568" w:hanging="284"/>
      </w:pPr>
      <w:r w:rsidRPr="00CB2251">
        <w:rPr>
          <w:lang w:eastAsia="zh-CN"/>
        </w:rPr>
        <w:tab/>
        <w:t>T</w:t>
      </w:r>
      <w:r w:rsidRPr="00CB2251">
        <w:rPr>
          <w:vertAlign w:val="subscript"/>
          <w:lang w:eastAsia="zh-CN"/>
        </w:rPr>
        <w:t xml:space="preserve">margin </w:t>
      </w:r>
      <w:r w:rsidRPr="00CB2251">
        <w:rPr>
          <w:lang w:eastAsia="zh-CN"/>
        </w:rPr>
        <w:t>is time for SSB post-processing. T</w:t>
      </w:r>
      <w:r w:rsidRPr="00CB2251">
        <w:rPr>
          <w:vertAlign w:val="subscript"/>
          <w:lang w:eastAsia="zh-CN"/>
        </w:rPr>
        <w:t xml:space="preserve">margin </w:t>
      </w:r>
      <w:r w:rsidRPr="00CB2251">
        <w:rPr>
          <w:lang w:eastAsia="zh-CN"/>
        </w:rPr>
        <w:t>can be up to 2 ms.</w:t>
      </w:r>
    </w:p>
    <w:p w14:paraId="380BBBA0" w14:textId="339B6115" w:rsidR="0008772A" w:rsidRPr="00CB2251" w:rsidRDefault="009B3F85" w:rsidP="0008772A">
      <w:pPr>
        <w:ind w:left="568" w:hanging="284"/>
        <w:rPr>
          <w:lang w:val="en-US"/>
        </w:rPr>
      </w:pPr>
      <w:r w:rsidRPr="00CB2251">
        <w:tab/>
        <w:t>T</w:t>
      </w:r>
      <w:r w:rsidRPr="00CB2251">
        <w:rPr>
          <w:vertAlign w:val="subscript"/>
        </w:rPr>
        <w:t>IU_PSCell</w:t>
      </w:r>
      <w:r w:rsidRPr="00CB2251">
        <w:t xml:space="preserve"> is the delay uncertainty due to the random-access procedure when sending PRACH to the new cell. T</w:t>
      </w:r>
      <w:r w:rsidRPr="00CB2251">
        <w:rPr>
          <w:vertAlign w:val="subscript"/>
        </w:rPr>
        <w:t>IU_PSCell</w:t>
      </w:r>
      <w:r w:rsidRPr="00CB2251">
        <w:t xml:space="preserve"> can be up to: (1+</w:t>
      </w:r>
      <w:r w:rsidRPr="00CB2251">
        <w:rPr>
          <w:bCs/>
        </w:rPr>
        <w:t xml:space="preserve"> L</w:t>
      </w:r>
      <w:r w:rsidRPr="00CB2251">
        <w:rPr>
          <w:bCs/>
          <w:vertAlign w:val="subscript"/>
        </w:rPr>
        <w:t>3</w:t>
      </w:r>
      <w:r w:rsidRPr="00CB2251">
        <w:t>) *T</w:t>
      </w:r>
      <w:r w:rsidRPr="00CB2251">
        <w:rPr>
          <w:vertAlign w:val="subscript"/>
        </w:rPr>
        <w:t>SSB,RO</w:t>
      </w:r>
      <w:r w:rsidRPr="00CB2251">
        <w:t xml:space="preserve"> + 10 ms; where T</w:t>
      </w:r>
      <w:r w:rsidRPr="00CB2251">
        <w:rPr>
          <w:vertAlign w:val="subscript"/>
        </w:rPr>
        <w:t xml:space="preserve">SSB,RO </w:t>
      </w:r>
      <w:r w:rsidRPr="00CB2251">
        <w:t>is the SSB to PRACH occasion association period as defined in Table 8.1-1 of TS 38.213 [39] and L</w:t>
      </w:r>
      <w:r w:rsidRPr="00CB2251">
        <w:rPr>
          <w:vertAlign w:val="subscript"/>
        </w:rPr>
        <w:t>3</w:t>
      </w:r>
      <w:r w:rsidRPr="00CB2251">
        <w:t xml:space="preserve"> is the number of consecutive SSB to PRACH occasion association periods during which no PRACH occasion is available for PRACH transmission due to UL CCA failures </w:t>
      </w:r>
      <w:r>
        <w:t xml:space="preserve">or </w:t>
      </w:r>
      <w:r w:rsidRPr="00CB2251">
        <w:t>RACH collision between PCell and PSCell.  L</w:t>
      </w:r>
      <w:r w:rsidRPr="00CB2251">
        <w:rPr>
          <w:vertAlign w:val="subscript"/>
        </w:rPr>
        <w:t>3</w:t>
      </w:r>
      <w:r w:rsidRPr="00CB2251">
        <w:t xml:space="preserve"> = 0 for Type 2C UL channel access procedure as defined in TS 37.213 [57]</w:t>
      </w:r>
      <w:r>
        <w:t xml:space="preserve"> and when there are no RACH collisions between PCell and PSCell</w:t>
      </w:r>
      <w:r w:rsidRPr="00CB2251">
        <w:t>.</w:t>
      </w:r>
      <w:r w:rsidRPr="00CB2251">
        <w:rPr>
          <w:rFonts w:ascii="Calibri" w:eastAsia="Malgun Gothic" w:hAnsi="Calibri"/>
          <w:b/>
          <w:color w:val="000000"/>
          <w:kern w:val="24"/>
          <w:sz w:val="36"/>
          <w:szCs w:val="36"/>
          <w:lang w:val="en-US" w:eastAsia="da-DK"/>
        </w:rPr>
        <w:t xml:space="preserve"> </w:t>
      </w:r>
      <w:r w:rsidRPr="00CB2251">
        <w:rPr>
          <w:lang w:val="en-US"/>
        </w:rPr>
        <w:t xml:space="preserve">When the UE is configured with </w:t>
      </w:r>
      <w:r w:rsidRPr="00CB2251">
        <w:rPr>
          <w:iCs/>
          <w:lang w:val="en-US"/>
        </w:rPr>
        <w:t>both</w:t>
      </w:r>
      <w:r w:rsidRPr="00CB2251">
        <w:rPr>
          <w:lang w:val="en-US"/>
        </w:rPr>
        <w:t xml:space="preserve"> the UL BWP with PRACH occasion on the target cell and UL LBT failure detection/recovery, the interruption can be longer.</w:t>
      </w:r>
    </w:p>
    <w:p w14:paraId="3529C2D1" w14:textId="77777777" w:rsidR="0008772A" w:rsidRPr="00CB2251" w:rsidRDefault="0008772A" w:rsidP="0008772A">
      <w:pPr>
        <w:keepLines/>
        <w:ind w:left="1135" w:hanging="851"/>
      </w:pPr>
      <w:r w:rsidRPr="00CB2251">
        <w:t>NOTE 1:</w:t>
      </w:r>
      <w:r w:rsidRPr="00CB2251">
        <w:tab/>
        <w:t>The actual value of T</w:t>
      </w:r>
      <w:r w:rsidRPr="00CB2251">
        <w:rPr>
          <w:vertAlign w:val="subscript"/>
        </w:rPr>
        <w:t>IU_PSCell</w:t>
      </w:r>
      <w:r w:rsidRPr="00CB2251">
        <w:t xml:space="preserve"> shall depend upon the PRACH configuration used in the target cell.</w:t>
      </w:r>
    </w:p>
    <w:p w14:paraId="1E238FAA" w14:textId="6CFC16A8" w:rsidR="0008772A" w:rsidRPr="00CB2251" w:rsidRDefault="0008772A" w:rsidP="0008772A">
      <w:pPr>
        <w:keepLines/>
        <w:ind w:left="1135" w:hanging="851"/>
        <w:rPr>
          <w:lang w:eastAsia="da-DK"/>
        </w:rPr>
      </w:pPr>
      <w:r w:rsidRPr="00CB2251">
        <w:t xml:space="preserve">NOTE 2: </w:t>
      </w:r>
      <w:r w:rsidRPr="00CB2251">
        <w:rPr>
          <w:iCs/>
        </w:rPr>
        <w:t xml:space="preserve">The interruption time extended by </w:t>
      </w:r>
      <w:r w:rsidRPr="00CB2251">
        <w:rPr>
          <w:iCs/>
          <w:lang w:val="en-US"/>
        </w:rPr>
        <w:t>L</w:t>
      </w:r>
      <w:r w:rsidRPr="00CB2251">
        <w:rPr>
          <w:iCs/>
          <w:vertAlign w:val="subscript"/>
          <w:lang w:val="en-US"/>
        </w:rPr>
        <w:t>1</w:t>
      </w:r>
      <w:r>
        <w:rPr>
          <w:iCs/>
          <w:vertAlign w:val="subscript"/>
          <w:lang w:val="en-US"/>
        </w:rPr>
        <w:t xml:space="preserve">, </w:t>
      </w:r>
      <w:r>
        <w:rPr>
          <w:iCs/>
          <w:lang w:val="en-US"/>
        </w:rPr>
        <w:t xml:space="preserve">L2, </w:t>
      </w:r>
      <w:r w:rsidRPr="00CB2251">
        <w:rPr>
          <w:iCs/>
          <w:lang w:val="en-US"/>
        </w:rPr>
        <w:t>and L</w:t>
      </w:r>
      <w:r w:rsidRPr="00CB2251">
        <w:rPr>
          <w:iCs/>
          <w:vertAlign w:val="subscript"/>
          <w:lang w:val="en-US"/>
        </w:rPr>
        <w:t xml:space="preserve">3 </w:t>
      </w:r>
      <w:r w:rsidRPr="00CB2251">
        <w:rPr>
          <w:iCs/>
        </w:rPr>
        <w:t>parameters, and by the UL LBT failure detection/recovery mechanism is limited by the T304 timer. The UE behaviour at the T304 timer expiry is specified in TS 38.331 [38].</w:t>
      </w:r>
    </w:p>
    <w:p w14:paraId="554B2806" w14:textId="77777777" w:rsidR="0008772A" w:rsidRPr="00CB2251" w:rsidRDefault="0008772A" w:rsidP="0008772A">
      <w:pPr>
        <w:ind w:left="568" w:hanging="284"/>
        <w:rPr>
          <w:lang w:eastAsia="zh-CN"/>
        </w:rPr>
      </w:pPr>
      <w:r w:rsidRPr="00CB2251">
        <w:tab/>
      </w:r>
      <w:r w:rsidRPr="00CB2251">
        <w:rPr>
          <w:lang w:val="en-US" w:eastAsia="zh-CN"/>
        </w:rPr>
        <w:t xml:space="preserve">Trs is the SMTC periodicity of the target NR cell if target PSCell is unknown and SMTC configuration of target unknown PSCell is present in </w:t>
      </w:r>
      <w:r w:rsidRPr="00CB2251">
        <w:rPr>
          <w:i/>
          <w:iCs/>
          <w:lang w:val="en-US" w:eastAsia="zh-CN"/>
        </w:rPr>
        <w:t>RRCConnectionReconfiguration</w:t>
      </w:r>
      <w:r w:rsidRPr="00CB2251">
        <w:rPr>
          <w:lang w:val="en-US" w:eastAsia="zh-CN"/>
        </w:rPr>
        <w:t xml:space="preserve"> [2], otherwise Trs is the SMTC configured in the measObjectNR having the same SSB frequency and subcarrier spacing. If the UE is not provided SMTC configuration or measurement object on this frequency, the requirement in this section is applied with Trs = 5 ms assuming the SSB transmission periodicity is 5 ms. There is no requirement if the SSB transmission periodicity is not 5 ms</w:t>
      </w:r>
      <w:r w:rsidRPr="00CB2251">
        <w:t>.</w:t>
      </w:r>
    </w:p>
    <w:p w14:paraId="3F4B6205" w14:textId="77777777" w:rsidR="0008772A" w:rsidRDefault="0008772A" w:rsidP="0008772A">
      <w:r w:rsidRPr="00CB2251">
        <w:rPr>
          <w:rFonts w:cs="v4.2.0"/>
          <w:lang w:eastAsia="zh-CN"/>
        </w:rPr>
        <w:t xml:space="preserve">A </w:t>
      </w:r>
      <w:r w:rsidRPr="00CB2251">
        <w:t>cell on a carrier frequency with CCA is known if it has been meeting the relevant cell identification requirement during the last 5 seconds. Otherwise, it is unknown. Relevant cell identification requirements are described in clause 8.1.2.4.21A, and 8.1.2.4.22A.</w:t>
      </w:r>
    </w:p>
    <w:p w14:paraId="63BBCB42" w14:textId="65381AA9" w:rsidR="008619CA" w:rsidRDefault="008619CA" w:rsidP="008619CA"/>
    <w:p w14:paraId="29D99EB6" w14:textId="15390AF2" w:rsidR="004D2960" w:rsidRPr="004D2960" w:rsidRDefault="004D2960" w:rsidP="004D2960">
      <w:pPr>
        <w:pStyle w:val="Heading2"/>
        <w:rPr>
          <w:color w:val="000000" w:themeColor="text1"/>
          <w:lang w:val="fi-FI"/>
        </w:rPr>
      </w:pPr>
      <w:bookmarkStart w:id="108" w:name="_Hlk52262519"/>
      <w:r w:rsidRPr="004D2960">
        <w:rPr>
          <w:lang w:val="fi-FI"/>
        </w:rPr>
        <w:t>6</w:t>
      </w:r>
      <w:r w:rsidRPr="004D2960">
        <w:rPr>
          <w:color w:val="000000" w:themeColor="text1"/>
          <w:lang w:val="fi-FI"/>
        </w:rPr>
        <w:t>.1A</w:t>
      </w:r>
      <w:r w:rsidRPr="004D2960">
        <w:rPr>
          <w:color w:val="000000" w:themeColor="text1"/>
          <w:lang w:val="fi-FI"/>
        </w:rPr>
        <w:tab/>
        <w:t>Void</w:t>
      </w:r>
    </w:p>
    <w:p w14:paraId="1CAA69EF" w14:textId="4865A9E0" w:rsidR="004D2960" w:rsidRPr="004D2960" w:rsidRDefault="004D2960" w:rsidP="004D2960">
      <w:pPr>
        <w:pStyle w:val="Heading3"/>
        <w:rPr>
          <w:color w:val="000000" w:themeColor="text1"/>
          <w:lang w:val="fi-FI" w:eastAsia="ko-KR"/>
        </w:rPr>
      </w:pPr>
      <w:r w:rsidRPr="004D2960">
        <w:rPr>
          <w:color w:val="000000" w:themeColor="text1"/>
          <w:lang w:val="fi-FI" w:eastAsia="ko-KR"/>
        </w:rPr>
        <w:t>6.1A.1</w:t>
      </w:r>
      <w:r w:rsidRPr="004D2960">
        <w:rPr>
          <w:color w:val="000000" w:themeColor="text1"/>
          <w:lang w:val="fi-FI" w:eastAsia="ko-KR"/>
        </w:rPr>
        <w:tab/>
        <w:t>Void</w:t>
      </w:r>
    </w:p>
    <w:p w14:paraId="50AECA0B" w14:textId="2204B348" w:rsidR="004D2960" w:rsidRPr="004D2960" w:rsidRDefault="004D2960" w:rsidP="006231A5">
      <w:pPr>
        <w:pStyle w:val="Heading4"/>
        <w:rPr>
          <w:lang w:val="fi-FI" w:eastAsia="zh-CN"/>
        </w:rPr>
      </w:pPr>
      <w:r w:rsidRPr="004D2960">
        <w:rPr>
          <w:lang w:val="fi-FI" w:eastAsia="zh-CN"/>
        </w:rPr>
        <w:t>6.1A.1.1</w:t>
      </w:r>
      <w:r w:rsidRPr="004D2960">
        <w:rPr>
          <w:lang w:val="fi-FI" w:eastAsia="zh-CN"/>
        </w:rPr>
        <w:tab/>
        <w:t>Void</w:t>
      </w:r>
    </w:p>
    <w:p w14:paraId="319B158D" w14:textId="7F32C68B" w:rsidR="004D2960" w:rsidRPr="002C0D21" w:rsidRDefault="004D2960" w:rsidP="006231A5">
      <w:pPr>
        <w:pStyle w:val="Heading4"/>
        <w:rPr>
          <w:lang w:val="da-DK" w:eastAsia="zh-CN"/>
        </w:rPr>
      </w:pPr>
      <w:r w:rsidRPr="002C0D21">
        <w:rPr>
          <w:lang w:val="da-DK" w:eastAsia="zh-CN"/>
        </w:rPr>
        <w:t>6.1A.1.2</w:t>
      </w:r>
      <w:r w:rsidRPr="002C0D21">
        <w:rPr>
          <w:lang w:val="da-DK" w:eastAsia="zh-CN"/>
        </w:rPr>
        <w:tab/>
      </w:r>
      <w:r>
        <w:rPr>
          <w:lang w:val="da-DK" w:eastAsia="zh-CN"/>
        </w:rPr>
        <w:t>Void</w:t>
      </w:r>
    </w:p>
    <w:p w14:paraId="1DBA25D1" w14:textId="0DC54880" w:rsidR="004D2960" w:rsidRPr="00AA565F" w:rsidRDefault="004D2960" w:rsidP="006231A5">
      <w:pPr>
        <w:pStyle w:val="Heading5"/>
        <w:rPr>
          <w:lang w:val="fi-FI"/>
        </w:rPr>
      </w:pPr>
      <w:r w:rsidRPr="00AA565F">
        <w:rPr>
          <w:lang w:val="fi-FI"/>
        </w:rPr>
        <w:t>6.1A.1.2.1</w:t>
      </w:r>
      <w:r w:rsidRPr="00AA565F">
        <w:rPr>
          <w:lang w:val="fi-FI"/>
        </w:rPr>
        <w:tab/>
        <w:t>Void</w:t>
      </w:r>
    </w:p>
    <w:p w14:paraId="50157B80" w14:textId="1DD852DF" w:rsidR="004D2960" w:rsidRPr="00650456" w:rsidRDefault="004D2960" w:rsidP="006231A5">
      <w:pPr>
        <w:pStyle w:val="Heading5"/>
        <w:rPr>
          <w:lang w:val="fi-FI"/>
        </w:rPr>
      </w:pPr>
      <w:r w:rsidRPr="00650456">
        <w:rPr>
          <w:lang w:val="fi-FI"/>
        </w:rPr>
        <w:t>6.1A.1.2.2</w:t>
      </w:r>
      <w:r w:rsidRPr="00650456">
        <w:rPr>
          <w:lang w:val="fi-FI"/>
        </w:rPr>
        <w:tab/>
        <w:t>Void</w:t>
      </w:r>
    </w:p>
    <w:p w14:paraId="2008E56C" w14:textId="7802715E" w:rsidR="004D2960" w:rsidRPr="00650456" w:rsidRDefault="004D2960" w:rsidP="004D2960">
      <w:pPr>
        <w:rPr>
          <w:lang w:val="fi-FI"/>
        </w:rPr>
      </w:pPr>
    </w:p>
    <w:p w14:paraId="1D047D8E" w14:textId="77777777" w:rsidR="004D2960" w:rsidRPr="00AA565F" w:rsidRDefault="004D2960" w:rsidP="002F5786">
      <w:pPr>
        <w:pStyle w:val="Heading2"/>
        <w:rPr>
          <w:lang w:eastAsia="ko-KR"/>
        </w:rPr>
      </w:pPr>
      <w:r w:rsidRPr="00AA565F">
        <w:rPr>
          <w:lang w:eastAsia="ko-KR"/>
        </w:rPr>
        <w:t>6.1B</w:t>
      </w:r>
      <w:r w:rsidRPr="00AA565F">
        <w:rPr>
          <w:lang w:eastAsia="ko-KR"/>
        </w:rPr>
        <w:tab/>
        <w:t>Handover to target cell using CCA</w:t>
      </w:r>
    </w:p>
    <w:p w14:paraId="50517D03" w14:textId="77777777" w:rsidR="004D2960" w:rsidRPr="002C0D21" w:rsidRDefault="004D2960" w:rsidP="004D2960">
      <w:pPr>
        <w:pStyle w:val="Heading3"/>
        <w:rPr>
          <w:lang w:val="en-US" w:eastAsia="ko-KR"/>
        </w:rPr>
      </w:pPr>
      <w:r w:rsidRPr="002C0D21">
        <w:rPr>
          <w:lang w:val="en-US" w:eastAsia="ko-KR"/>
        </w:rPr>
        <w:t>6.1</w:t>
      </w:r>
      <w:r>
        <w:rPr>
          <w:lang w:val="en-US" w:eastAsia="ko-KR"/>
        </w:rPr>
        <w:t>B</w:t>
      </w:r>
      <w:r w:rsidRPr="002C0D21">
        <w:rPr>
          <w:lang w:val="en-US" w:eastAsia="ko-KR"/>
        </w:rPr>
        <w:t>.1</w:t>
      </w:r>
      <w:r w:rsidRPr="002C0D21">
        <w:rPr>
          <w:lang w:val="en-US" w:eastAsia="ko-KR"/>
        </w:rPr>
        <w:tab/>
        <w:t>NR Handover</w:t>
      </w:r>
    </w:p>
    <w:p w14:paraId="6135C06B" w14:textId="77777777" w:rsidR="004D2960" w:rsidRPr="002C0D21" w:rsidRDefault="004D2960" w:rsidP="004D2960">
      <w:pPr>
        <w:pStyle w:val="Heading4"/>
        <w:rPr>
          <w:lang w:val="en-US" w:eastAsia="zh-CN"/>
        </w:rPr>
      </w:pPr>
      <w:r w:rsidRPr="002C0D21">
        <w:rPr>
          <w:lang w:val="en-US" w:eastAsia="zh-CN"/>
        </w:rPr>
        <w:t>6.1</w:t>
      </w:r>
      <w:r>
        <w:rPr>
          <w:lang w:val="en-US" w:eastAsia="zh-CN"/>
        </w:rPr>
        <w:t>B</w:t>
      </w:r>
      <w:r w:rsidRPr="002C0D21">
        <w:rPr>
          <w:lang w:val="en-US" w:eastAsia="zh-CN"/>
        </w:rPr>
        <w:t>.1.1</w:t>
      </w:r>
      <w:r w:rsidRPr="002C0D21">
        <w:rPr>
          <w:lang w:val="en-US" w:eastAsia="zh-CN"/>
        </w:rPr>
        <w:tab/>
        <w:t>Introduction</w:t>
      </w:r>
    </w:p>
    <w:p w14:paraId="29E3963E" w14:textId="0EEF1914" w:rsidR="006D5C93" w:rsidRDefault="004D2960" w:rsidP="006D5C93">
      <w:pPr>
        <w:tabs>
          <w:tab w:val="left" w:pos="7200"/>
        </w:tabs>
        <w:rPr>
          <w:color w:val="000000" w:themeColor="text1"/>
        </w:rPr>
      </w:pPr>
      <w:r w:rsidRPr="002C0D21">
        <w:rPr>
          <w:color w:val="000000" w:themeColor="text1"/>
        </w:rPr>
        <w:t>The purpose of NR handover to target cell using CCA is to change the NR PCell to a target NR cell in a carrier frequency with CCA. The requirements in this clause are applicable to NR SA.</w:t>
      </w:r>
      <w:r w:rsidR="006D5C93" w:rsidRPr="006D5C93">
        <w:rPr>
          <w:color w:val="000000" w:themeColor="text1"/>
        </w:rPr>
        <w:t xml:space="preserve"> </w:t>
      </w:r>
    </w:p>
    <w:p w14:paraId="1B078E49" w14:textId="77777777" w:rsidR="006D5C93" w:rsidRDefault="006D5C93" w:rsidP="006D5C93">
      <w:pPr>
        <w:pStyle w:val="B10"/>
        <w:ind w:left="0" w:firstLine="0"/>
      </w:pPr>
      <w:bookmarkStart w:id="109" w:name="_Hlk53487072"/>
      <w:r>
        <w:t>In the requirements of clause 6.1B.1, the term SMTC</w:t>
      </w:r>
      <w:r w:rsidRPr="00CD7A52">
        <w:t xml:space="preserve"> </w:t>
      </w:r>
      <w:r>
        <w:t xml:space="preserve">occasion </w:t>
      </w:r>
      <w:r w:rsidRPr="00CD7A52">
        <w:t>not available at the UE refers to when</w:t>
      </w:r>
      <w:r>
        <w:t xml:space="preserve"> the SMTC</w:t>
      </w:r>
      <w:r w:rsidRPr="00CD7A52">
        <w:t xml:space="preserve"> </w:t>
      </w:r>
      <w:r>
        <w:t>contains SSBs</w:t>
      </w:r>
      <w:r w:rsidRPr="00CD7A52">
        <w:t xml:space="preserve"> configured by gNB </w:t>
      </w:r>
      <w:r>
        <w:t xml:space="preserve">in a cell on a carrier frequency subject to CCA, </w:t>
      </w:r>
      <w:r w:rsidRPr="00CD7A52">
        <w:t xml:space="preserve">but the first two successive candidate </w:t>
      </w:r>
      <w:r w:rsidRPr="00584C64">
        <w:t>SSB positions for the same SSB index within the discovery burst transmission window are not available at the UE due to DL CCA failures at gNB during the corresponding detection or time tracking period; otherwise the SMTC occasion is considered as available at the UE.</w:t>
      </w:r>
    </w:p>
    <w:p w14:paraId="6623AB06" w14:textId="201549EF" w:rsidR="004D2960" w:rsidRPr="006D5C93" w:rsidRDefault="006D5C93" w:rsidP="006D5C93">
      <w:pPr>
        <w:pStyle w:val="B10"/>
        <w:ind w:left="0" w:firstLine="0"/>
      </w:pPr>
      <w:r>
        <w:t>In the requirements of clause 6.1B.1, the term PRACH</w:t>
      </w:r>
      <w:r w:rsidRPr="00CD7A52">
        <w:t xml:space="preserve"> </w:t>
      </w:r>
      <w:r>
        <w:t>occasion un</w:t>
      </w:r>
      <w:r w:rsidRPr="00CD7A52">
        <w:t>available</w:t>
      </w:r>
      <w:r>
        <w:t xml:space="preserve"> for transmission refers to when the PRACH occasion</w:t>
      </w:r>
      <w:r w:rsidRPr="00DB05AE">
        <w:t xml:space="preserve"> is configured by gNB but not transmitted by the UE during the corresponding period due to UL CCA failure at the UE</w:t>
      </w:r>
      <w:r>
        <w:t>.</w:t>
      </w:r>
      <w:bookmarkEnd w:id="109"/>
    </w:p>
    <w:p w14:paraId="01650370" w14:textId="77777777" w:rsidR="004D2960" w:rsidRPr="002C0D21" w:rsidRDefault="004D2960" w:rsidP="004D2960">
      <w:pPr>
        <w:pStyle w:val="Heading4"/>
        <w:rPr>
          <w:lang w:val="da-DK" w:eastAsia="zh-CN"/>
        </w:rPr>
      </w:pPr>
      <w:r w:rsidRPr="002C0D21">
        <w:rPr>
          <w:lang w:val="da-DK" w:eastAsia="zh-CN"/>
        </w:rPr>
        <w:t>6.1</w:t>
      </w:r>
      <w:r>
        <w:rPr>
          <w:lang w:val="da-DK" w:eastAsia="zh-CN"/>
        </w:rPr>
        <w:t>B</w:t>
      </w:r>
      <w:r w:rsidRPr="002C0D21">
        <w:rPr>
          <w:lang w:val="da-DK" w:eastAsia="zh-CN"/>
        </w:rPr>
        <w:t>.1.2</w:t>
      </w:r>
      <w:r w:rsidRPr="002C0D21">
        <w:rPr>
          <w:lang w:val="da-DK" w:eastAsia="zh-CN"/>
        </w:rPr>
        <w:tab/>
        <w:t>NR FR1 - NR FR1 Handover</w:t>
      </w:r>
    </w:p>
    <w:p w14:paraId="1B4195A3" w14:textId="77777777" w:rsidR="004D2960" w:rsidRPr="002C0D21" w:rsidRDefault="004D2960" w:rsidP="004D2960">
      <w:pPr>
        <w:rPr>
          <w:color w:val="000000" w:themeColor="text1"/>
        </w:rPr>
      </w:pPr>
      <w:r w:rsidRPr="002C0D21">
        <w:rPr>
          <w:color w:val="000000" w:themeColor="text1"/>
        </w:rPr>
        <w:t>The requirements in this clause are applicable to inter-frequency handovers from NR FR1 cell to NR FR1 cell in carrier frequencies with CCA, and to both intra-frequency and inter-frequency handovers from NR FR1 cell in carrier frequencies with CCA to NR FR1 cell in carrier frequencies with CCA.</w:t>
      </w:r>
    </w:p>
    <w:p w14:paraId="3E165FAA" w14:textId="77777777" w:rsidR="004D2960" w:rsidRPr="002C0D21" w:rsidRDefault="004D2960" w:rsidP="008F79A1">
      <w:pPr>
        <w:pStyle w:val="Heading5"/>
      </w:pPr>
      <w:r w:rsidRPr="002C0D21">
        <w:t>6.1</w:t>
      </w:r>
      <w:r>
        <w:t>B</w:t>
      </w:r>
      <w:r w:rsidRPr="002C0D21">
        <w:t>.1.2.1</w:t>
      </w:r>
      <w:r w:rsidRPr="002C0D21">
        <w:tab/>
        <w:t>Handover delay</w:t>
      </w:r>
    </w:p>
    <w:p w14:paraId="7B60CCBE" w14:textId="77777777" w:rsidR="004D2960" w:rsidRPr="002C0D21" w:rsidRDefault="004D2960" w:rsidP="004D2960">
      <w:pPr>
        <w:rPr>
          <w:rFonts w:cs="v4.2.0"/>
          <w:color w:val="000000" w:themeColor="text1"/>
        </w:rPr>
      </w:pPr>
      <w:r w:rsidRPr="002C0D21">
        <w:rPr>
          <w:rFonts w:cs="v4.2.0"/>
          <w:color w:val="000000" w:themeColor="text1"/>
        </w:rPr>
        <w:t xml:space="preserve">When the UE receives an RRC message implying handover the UE shall be ready to </w:t>
      </w:r>
      <w:r w:rsidRPr="002C0D21">
        <w:rPr>
          <w:rFonts w:cs="v4.2.0"/>
          <w:snapToGrid w:val="0"/>
          <w:color w:val="000000" w:themeColor="text1"/>
        </w:rPr>
        <w:t>start the transmission of the new uplink PRACH channel</w:t>
      </w:r>
      <w:r w:rsidRPr="002C0D21">
        <w:rPr>
          <w:rFonts w:cs="v4.2.0"/>
          <w:color w:val="000000" w:themeColor="text1"/>
        </w:rPr>
        <w:t xml:space="preserve"> within D</w:t>
      </w:r>
      <w:r w:rsidRPr="002C0D21">
        <w:rPr>
          <w:rFonts w:cs="v4.2.0"/>
          <w:color w:val="000000" w:themeColor="text1"/>
          <w:vertAlign w:val="subscript"/>
        </w:rPr>
        <w:t>handover</w:t>
      </w:r>
      <w:r w:rsidRPr="002C0D21">
        <w:rPr>
          <w:rFonts w:cs="v4.2.0"/>
          <w:color w:val="000000" w:themeColor="text1"/>
        </w:rPr>
        <w:t xml:space="preserve"> ms from the end of the last TTI containing the RRC command.</w:t>
      </w:r>
    </w:p>
    <w:p w14:paraId="4B9B7E39" w14:textId="77777777" w:rsidR="004D2960" w:rsidRPr="002C0D21" w:rsidRDefault="004D2960" w:rsidP="004D2960">
      <w:pPr>
        <w:rPr>
          <w:rFonts w:cs="v4.2.0"/>
          <w:color w:val="000000" w:themeColor="text1"/>
        </w:rPr>
      </w:pPr>
      <w:r w:rsidRPr="002C0D21">
        <w:rPr>
          <w:rFonts w:cs="v4.2.0"/>
          <w:color w:val="000000" w:themeColor="text1"/>
        </w:rPr>
        <w:t>Where:</w:t>
      </w:r>
    </w:p>
    <w:p w14:paraId="27462B72" w14:textId="77777777" w:rsidR="004D2960" w:rsidRPr="002C0D21" w:rsidRDefault="004D2960" w:rsidP="004D2960">
      <w:pPr>
        <w:rPr>
          <w:rFonts w:cs="v4.2.0"/>
          <w:color w:val="000000" w:themeColor="text1"/>
        </w:rPr>
      </w:pPr>
      <w:r w:rsidRPr="002C0D21">
        <w:rPr>
          <w:rFonts w:cs="v4.2.0"/>
          <w:color w:val="000000" w:themeColor="text1"/>
        </w:rPr>
        <w:t>D</w:t>
      </w:r>
      <w:r w:rsidRPr="002C0D21">
        <w:rPr>
          <w:rFonts w:cs="v4.2.0"/>
          <w:color w:val="000000" w:themeColor="text1"/>
          <w:vertAlign w:val="subscript"/>
        </w:rPr>
        <w:t>handover</w:t>
      </w:r>
      <w:r w:rsidRPr="002C0D21">
        <w:rPr>
          <w:rFonts w:cs="v4.2.0"/>
          <w:color w:val="000000" w:themeColor="text1"/>
        </w:rPr>
        <w:t xml:space="preserve"> equals the </w:t>
      </w:r>
      <w:r w:rsidRPr="002C0D21">
        <w:rPr>
          <w:rFonts w:eastAsia="MS Mincho" w:cs="v4.2.0"/>
          <w:color w:val="000000" w:themeColor="text1"/>
        </w:rPr>
        <w:t>applicable</w:t>
      </w:r>
      <w:r w:rsidRPr="002C0D21">
        <w:rPr>
          <w:rFonts w:cs="v4.2.0"/>
          <w:color w:val="000000" w:themeColor="text1"/>
        </w:rPr>
        <w:t xml:space="preserve"> RRC procedure delay to be defined in clause</w:t>
      </w:r>
      <w:r w:rsidRPr="002C0D21">
        <w:rPr>
          <w:rFonts w:cs="v4.2.0"/>
          <w:color w:val="000000" w:themeColor="text1"/>
          <w:lang w:eastAsia="zh-CN"/>
        </w:rPr>
        <w:t>12</w:t>
      </w:r>
      <w:r w:rsidRPr="002C0D21">
        <w:rPr>
          <w:rFonts w:cs="v4.2.0"/>
          <w:color w:val="000000" w:themeColor="text1"/>
        </w:rPr>
        <w:t xml:space="preserve"> in </w:t>
      </w:r>
      <w:r w:rsidRPr="002C0D21">
        <w:rPr>
          <w:color w:val="000000" w:themeColor="text1"/>
        </w:rPr>
        <w:t>TS 38.331 [2]</w:t>
      </w:r>
      <w:r w:rsidRPr="002C0D21">
        <w:rPr>
          <w:rFonts w:cs="v4.2.0"/>
          <w:color w:val="000000" w:themeColor="text1"/>
        </w:rPr>
        <w:t xml:space="preserve"> plus the interruption time stated in clause 6.1</w:t>
      </w:r>
      <w:r>
        <w:rPr>
          <w:rFonts w:cs="v4.2.0"/>
          <w:color w:val="000000" w:themeColor="text1"/>
        </w:rPr>
        <w:t>B</w:t>
      </w:r>
      <w:r w:rsidRPr="002C0D21">
        <w:rPr>
          <w:rFonts w:cs="v4.2.0"/>
          <w:color w:val="000000" w:themeColor="text1"/>
        </w:rPr>
        <w:t>.1.2.2.</w:t>
      </w:r>
    </w:p>
    <w:p w14:paraId="49FD8CFB" w14:textId="77777777" w:rsidR="004D2960" w:rsidRPr="002C0D21" w:rsidRDefault="004D2960" w:rsidP="004D2960">
      <w:pPr>
        <w:pStyle w:val="Heading5"/>
        <w:rPr>
          <w:color w:val="000000" w:themeColor="text1"/>
        </w:rPr>
      </w:pPr>
      <w:r w:rsidRPr="002C0D21">
        <w:rPr>
          <w:color w:val="000000" w:themeColor="text1"/>
        </w:rPr>
        <w:t>6.1</w:t>
      </w:r>
      <w:r>
        <w:rPr>
          <w:color w:val="000000" w:themeColor="text1"/>
        </w:rPr>
        <w:t>B</w:t>
      </w:r>
      <w:r w:rsidRPr="002C0D21">
        <w:rPr>
          <w:color w:val="000000" w:themeColor="text1"/>
        </w:rPr>
        <w:t>.1.2.2</w:t>
      </w:r>
      <w:r w:rsidRPr="002C0D21">
        <w:rPr>
          <w:color w:val="000000" w:themeColor="text1"/>
        </w:rPr>
        <w:tab/>
        <w:t>Interruption time</w:t>
      </w:r>
    </w:p>
    <w:p w14:paraId="1F16477C" w14:textId="77777777" w:rsidR="004D2960" w:rsidRPr="002C0D21" w:rsidRDefault="004D2960" w:rsidP="004D2960">
      <w:pPr>
        <w:rPr>
          <w:rFonts w:cs="v4.2.0"/>
          <w:color w:val="000000" w:themeColor="text1"/>
        </w:rPr>
      </w:pPr>
      <w:r w:rsidRPr="002C0D21">
        <w:rPr>
          <w:rFonts w:cs="v4.2.0"/>
          <w:color w:val="000000" w:themeColor="text1"/>
        </w:rPr>
        <w:t>The interruption time is the time between end of the last TTI containing the RRC command on the old PDSCH and the time the UE starts transmission of the new PRACH</w:t>
      </w:r>
      <w:r w:rsidRPr="002C0D21">
        <w:rPr>
          <w:rFonts w:eastAsia="MS Mincho" w:cs="v4.2.0"/>
          <w:color w:val="000000" w:themeColor="text1"/>
        </w:rPr>
        <w:t>, excluding the RRC procedure delay</w:t>
      </w:r>
      <w:r w:rsidRPr="002C0D21">
        <w:rPr>
          <w:rFonts w:cs="v4.2.0"/>
          <w:color w:val="000000" w:themeColor="text1"/>
        </w:rPr>
        <w:t>.</w:t>
      </w:r>
    </w:p>
    <w:p w14:paraId="34C132C5" w14:textId="77777777" w:rsidR="004D2960" w:rsidRPr="002C0D21" w:rsidRDefault="004D2960" w:rsidP="004D2960">
      <w:pPr>
        <w:rPr>
          <w:rFonts w:cs="v4.2.0"/>
          <w:color w:val="000000" w:themeColor="text1"/>
          <w:position w:val="-6"/>
        </w:rPr>
      </w:pPr>
      <w:r w:rsidRPr="002C0D21">
        <w:rPr>
          <w:rFonts w:cs="v4.2.0"/>
          <w:color w:val="000000" w:themeColor="text1"/>
        </w:rPr>
        <w:t>When intra-frequency or inter-frequency handover is commanded, the interruption time shall be less than T</w:t>
      </w:r>
      <w:r w:rsidRPr="002C0D21">
        <w:rPr>
          <w:rFonts w:cs="v4.2.0"/>
          <w:color w:val="000000" w:themeColor="text1"/>
          <w:vertAlign w:val="subscript"/>
        </w:rPr>
        <w:t>interrupt</w:t>
      </w:r>
    </w:p>
    <w:p w14:paraId="72C5776B" w14:textId="77777777" w:rsidR="004D2960" w:rsidRPr="002C0D21" w:rsidRDefault="004D2960" w:rsidP="004D2960">
      <w:pPr>
        <w:pStyle w:val="EQ"/>
        <w:rPr>
          <w:color w:val="000000" w:themeColor="text1"/>
        </w:rPr>
      </w:pPr>
      <w:r w:rsidRPr="002C0D21">
        <w:rPr>
          <w:color w:val="000000" w:themeColor="text1"/>
        </w:rPr>
        <w:tab/>
      </w:r>
      <w:r w:rsidRPr="002C0D21">
        <w:rPr>
          <w:rFonts w:cs="v4.2.0"/>
          <w:color w:val="000000" w:themeColor="text1"/>
        </w:rPr>
        <w:t>T</w:t>
      </w:r>
      <w:r w:rsidRPr="002C0D21">
        <w:rPr>
          <w:rFonts w:cs="v4.2.0"/>
          <w:color w:val="000000" w:themeColor="text1"/>
          <w:vertAlign w:val="subscript"/>
        </w:rPr>
        <w:t>interrupt</w:t>
      </w:r>
      <w:r w:rsidRPr="002C0D21">
        <w:rPr>
          <w:color w:val="000000" w:themeColor="text1"/>
        </w:rPr>
        <w:t xml:space="preserve"> = T</w:t>
      </w:r>
      <w:r w:rsidRPr="002C0D21">
        <w:rPr>
          <w:color w:val="000000" w:themeColor="text1"/>
          <w:vertAlign w:val="subscript"/>
        </w:rPr>
        <w:t>search</w:t>
      </w:r>
      <w:r w:rsidRPr="002C0D21">
        <w:rPr>
          <w:color w:val="000000" w:themeColor="text1"/>
        </w:rPr>
        <w:t xml:space="preserve"> + T</w:t>
      </w:r>
      <w:r w:rsidRPr="002C0D21">
        <w:rPr>
          <w:color w:val="000000" w:themeColor="text1"/>
          <w:vertAlign w:val="subscript"/>
        </w:rPr>
        <w:t>IU</w:t>
      </w:r>
      <w:r w:rsidRPr="002C0D21">
        <w:rPr>
          <w:color w:val="000000" w:themeColor="text1"/>
        </w:rPr>
        <w:t xml:space="preserve"> + T</w:t>
      </w:r>
      <w:r w:rsidRPr="002C0D21">
        <w:rPr>
          <w:color w:val="000000" w:themeColor="text1"/>
          <w:vertAlign w:val="subscript"/>
          <w:lang w:eastAsia="zh-CN"/>
        </w:rPr>
        <w:t>processing</w:t>
      </w:r>
      <w:r w:rsidRPr="002C0D21" w:rsidDel="001D62E5">
        <w:rPr>
          <w:color w:val="000000" w:themeColor="text1"/>
          <w:lang w:eastAsia="zh-CN"/>
        </w:rPr>
        <w:t xml:space="preserve"> </w:t>
      </w:r>
      <w:r w:rsidRPr="002C0D21">
        <w:rPr>
          <w:color w:val="000000" w:themeColor="text1"/>
          <w:vertAlign w:val="subscript"/>
          <w:lang w:eastAsia="zh-CN"/>
        </w:rPr>
        <w:t xml:space="preserve"> </w:t>
      </w:r>
      <w:r w:rsidRPr="002C0D21">
        <w:rPr>
          <w:color w:val="000000" w:themeColor="text1"/>
          <w:lang w:eastAsia="zh-CN"/>
        </w:rPr>
        <w:t>+ T</w:t>
      </w:r>
      <w:r w:rsidRPr="002C0D21">
        <w:rPr>
          <w:color w:val="000000" w:themeColor="text1"/>
          <w:vertAlign w:val="subscript"/>
          <w:lang w:eastAsia="zh-CN"/>
        </w:rPr>
        <w:t>∆</w:t>
      </w:r>
      <w:r w:rsidRPr="002C0D21">
        <w:rPr>
          <w:color w:val="000000" w:themeColor="text1"/>
          <w:lang w:eastAsia="zh-CN"/>
        </w:rPr>
        <w:t xml:space="preserve"> + T</w:t>
      </w:r>
      <w:r w:rsidRPr="002C0D21">
        <w:rPr>
          <w:color w:val="000000" w:themeColor="text1"/>
          <w:vertAlign w:val="subscript"/>
          <w:lang w:eastAsia="zh-CN"/>
        </w:rPr>
        <w:t xml:space="preserve">margin </w:t>
      </w:r>
      <w:r w:rsidRPr="002C0D21">
        <w:rPr>
          <w:color w:val="000000" w:themeColor="text1"/>
        </w:rPr>
        <w:t>ms</w:t>
      </w:r>
    </w:p>
    <w:p w14:paraId="1C834B7E" w14:textId="77777777" w:rsidR="004D2960" w:rsidRPr="002C0D21" w:rsidRDefault="004D2960" w:rsidP="004D2960">
      <w:pPr>
        <w:rPr>
          <w:rFonts w:cs="v4.2.0"/>
          <w:color w:val="000000" w:themeColor="text1"/>
        </w:rPr>
      </w:pPr>
      <w:r w:rsidRPr="002C0D21">
        <w:rPr>
          <w:rFonts w:cs="v4.2.0"/>
          <w:color w:val="000000" w:themeColor="text1"/>
        </w:rPr>
        <w:t>Where:</w:t>
      </w:r>
    </w:p>
    <w:p w14:paraId="73F3F1EB" w14:textId="77777777" w:rsidR="004D2960" w:rsidRPr="002C0D21" w:rsidRDefault="004D2960">
      <w:pPr>
        <w:pStyle w:val="B10"/>
      </w:pPr>
      <w:r w:rsidRPr="002C0D21">
        <w:tab/>
        <w:t>T</w:t>
      </w:r>
      <w:r w:rsidRPr="002C0D21">
        <w:rPr>
          <w:vertAlign w:val="subscript"/>
        </w:rPr>
        <w:t>search</w:t>
      </w:r>
      <w:r w:rsidRPr="002C0D21">
        <w:t xml:space="preserve"> is the time required to search the target cell when the target cell is not already known when the handover command is received by the UE. If the target cell is known, then T</w:t>
      </w:r>
      <w:r w:rsidRPr="002C0D21">
        <w:rPr>
          <w:vertAlign w:val="subscript"/>
        </w:rPr>
        <w:t>search</w:t>
      </w:r>
      <w:r w:rsidRPr="002C0D21">
        <w:t xml:space="preserve"> = 0 ms. If the target cell is an unknown intra-frequency cell and the target cell Es/Iot</w:t>
      </w:r>
      <w:r w:rsidRPr="002C0D21">
        <w:rPr>
          <w:rFonts w:hint="eastAsia"/>
        </w:rPr>
        <w:t>≥</w:t>
      </w:r>
      <w:r w:rsidRPr="002C0D21">
        <w:t>-2 dB, then T</w:t>
      </w:r>
      <w:r w:rsidRPr="002C0D21">
        <w:rPr>
          <w:vertAlign w:val="subscript"/>
        </w:rPr>
        <w:t>search</w:t>
      </w:r>
      <w:r w:rsidRPr="002C0D21">
        <w:t xml:space="preserve"> = (1+L</w:t>
      </w:r>
      <w:r w:rsidRPr="002C0D21">
        <w:rPr>
          <w:vertAlign w:val="subscript"/>
        </w:rPr>
        <w:t>1</w:t>
      </w:r>
      <w:r w:rsidRPr="002C0D21">
        <w:t>) *T</w:t>
      </w:r>
      <w:r w:rsidRPr="002C0D21">
        <w:rPr>
          <w:vertAlign w:val="subscript"/>
        </w:rPr>
        <w:t>rs</w:t>
      </w:r>
      <w:r w:rsidRPr="002C0D21">
        <w:t>. If the target cell is an unknown inter-frequency cell and the target cell Es/Iot</w:t>
      </w:r>
      <w:r w:rsidRPr="002C0D21">
        <w:rPr>
          <w:rFonts w:hint="eastAsia"/>
        </w:rPr>
        <w:t>≥</w:t>
      </w:r>
      <w:r w:rsidRPr="002C0D21">
        <w:t>-2 dB, then T</w:t>
      </w:r>
      <w:r w:rsidRPr="002C0D21">
        <w:rPr>
          <w:vertAlign w:val="subscript"/>
        </w:rPr>
        <w:t>search</w:t>
      </w:r>
      <w:r w:rsidRPr="002C0D21">
        <w:t xml:space="preserve"> = (3+L</w:t>
      </w:r>
      <w:r w:rsidRPr="002C0D21">
        <w:rPr>
          <w:vertAlign w:val="subscript"/>
        </w:rPr>
        <w:t>1</w:t>
      </w:r>
      <w:r w:rsidRPr="002C0D21">
        <w:t>´) *T</w:t>
      </w:r>
      <w:r w:rsidRPr="002C0D21">
        <w:rPr>
          <w:vertAlign w:val="subscript"/>
        </w:rPr>
        <w:t>rs</w:t>
      </w:r>
      <w:r w:rsidRPr="002C0D21">
        <w:t xml:space="preserve"> where L</w:t>
      </w:r>
      <w:r w:rsidRPr="002C0D21">
        <w:rPr>
          <w:vertAlign w:val="subscript"/>
        </w:rPr>
        <w:t xml:space="preserve">1 </w:t>
      </w:r>
      <w:r w:rsidRPr="002C0D21">
        <w:t>and L</w:t>
      </w:r>
      <w:r w:rsidRPr="002C0D21">
        <w:rPr>
          <w:vertAlign w:val="subscript"/>
        </w:rPr>
        <w:t>1</w:t>
      </w:r>
      <w:r w:rsidRPr="002C0D21">
        <w:t>´ are the number of SMTC occasions not available at the UE during the intra-frequency and inter-frequency detection period, respectively. Regardless of whether DRX is in use by the UE, T</w:t>
      </w:r>
      <w:r w:rsidRPr="002C0D21">
        <w:rPr>
          <w:vertAlign w:val="subscript"/>
        </w:rPr>
        <w:t>search</w:t>
      </w:r>
      <w:r w:rsidRPr="002C0D21">
        <w:t xml:space="preserve"> shall still be based on non-DRX target cell search times.</w:t>
      </w:r>
    </w:p>
    <w:p w14:paraId="7094B9B5" w14:textId="77777777" w:rsidR="004D2960" w:rsidRPr="002C0D21" w:rsidRDefault="004D2960">
      <w:pPr>
        <w:pStyle w:val="B10"/>
        <w:rPr>
          <w:color w:val="000000" w:themeColor="text1"/>
        </w:rPr>
      </w:pPr>
      <w:r w:rsidRPr="002C0D21">
        <w:rPr>
          <w:color w:val="000000" w:themeColor="text1"/>
        </w:rPr>
        <w:tab/>
        <w:t>T</w:t>
      </w:r>
      <w:r w:rsidRPr="002C0D21">
        <w:rPr>
          <w:color w:val="000000" w:themeColor="text1"/>
          <w:vertAlign w:val="subscript"/>
        </w:rPr>
        <w:t>∆</w:t>
      </w:r>
      <w:r w:rsidRPr="002C0D21">
        <w:rPr>
          <w:color w:val="000000" w:themeColor="text1"/>
        </w:rPr>
        <w:t xml:space="preserve"> is time for fine time tracking and acquiring full timing information of the target cell. T</w:t>
      </w:r>
      <w:r w:rsidRPr="002C0D21">
        <w:rPr>
          <w:color w:val="000000" w:themeColor="text1"/>
          <w:vertAlign w:val="subscript"/>
        </w:rPr>
        <w:t>∆</w:t>
      </w:r>
      <w:r w:rsidRPr="002C0D21">
        <w:rPr>
          <w:color w:val="000000" w:themeColor="text1"/>
        </w:rPr>
        <w:t xml:space="preserve"> = (1+</w:t>
      </w:r>
      <w:r w:rsidRPr="002C0D21">
        <w:rPr>
          <w:rFonts w:cs="v4.2.0"/>
          <w:color w:val="000000" w:themeColor="text1"/>
        </w:rPr>
        <w:t xml:space="preserve"> L</w:t>
      </w:r>
      <w:r w:rsidRPr="002C0D21">
        <w:rPr>
          <w:rFonts w:cs="v4.2.0"/>
          <w:color w:val="000000" w:themeColor="text1"/>
          <w:vertAlign w:val="subscript"/>
        </w:rPr>
        <w:t>2</w:t>
      </w:r>
      <w:r w:rsidRPr="002C0D21">
        <w:rPr>
          <w:rFonts w:cs="v4.2.0"/>
          <w:color w:val="000000" w:themeColor="text1"/>
        </w:rPr>
        <w:t>) *</w:t>
      </w:r>
      <w:r w:rsidRPr="002C0D21">
        <w:rPr>
          <w:color w:val="000000" w:themeColor="text1"/>
        </w:rPr>
        <w:t>T</w:t>
      </w:r>
      <w:r w:rsidRPr="002C0D21">
        <w:rPr>
          <w:color w:val="000000" w:themeColor="text1"/>
          <w:vertAlign w:val="subscript"/>
        </w:rPr>
        <w:t>rs</w:t>
      </w:r>
      <w:r w:rsidRPr="002C0D21">
        <w:rPr>
          <w:color w:val="000000" w:themeColor="text1"/>
        </w:rPr>
        <w:t xml:space="preserve"> ms, where </w:t>
      </w:r>
      <w:r w:rsidRPr="002C0D21">
        <w:rPr>
          <w:rFonts w:cs="v4.2.0"/>
          <w:color w:val="000000" w:themeColor="text1"/>
        </w:rPr>
        <w:t>L</w:t>
      </w:r>
      <w:r w:rsidRPr="002C0D21">
        <w:rPr>
          <w:rFonts w:cs="v4.2.0"/>
          <w:color w:val="000000" w:themeColor="text1"/>
          <w:vertAlign w:val="subscript"/>
        </w:rPr>
        <w:t>2</w:t>
      </w:r>
      <w:r w:rsidRPr="002C0D21">
        <w:rPr>
          <w:color w:val="000000" w:themeColor="text1"/>
        </w:rPr>
        <w:t xml:space="preserve"> is the number of SMTC </w:t>
      </w:r>
      <w:r w:rsidRPr="002C0D21">
        <w:rPr>
          <w:rFonts w:cs="v4.2.0"/>
          <w:color w:val="000000" w:themeColor="text1"/>
        </w:rPr>
        <w:t>occasions</w:t>
      </w:r>
      <w:r w:rsidRPr="002C0D21">
        <w:rPr>
          <w:color w:val="000000" w:themeColor="text1"/>
        </w:rPr>
        <w:t xml:space="preserve"> not available at the UE during the time tracking period.</w:t>
      </w:r>
    </w:p>
    <w:p w14:paraId="14A53FFB" w14:textId="77777777" w:rsidR="004D2960" w:rsidRPr="002C0D21" w:rsidRDefault="004D2960">
      <w:pPr>
        <w:pStyle w:val="B10"/>
        <w:rPr>
          <w:color w:val="000000" w:themeColor="text1"/>
        </w:rPr>
      </w:pPr>
      <w:r w:rsidRPr="002C0D21">
        <w:rPr>
          <w:color w:val="000000" w:themeColor="text1"/>
        </w:rPr>
        <w:tab/>
        <w:t>T</w:t>
      </w:r>
      <w:r w:rsidRPr="002C0D21">
        <w:rPr>
          <w:color w:val="000000" w:themeColor="text1"/>
          <w:vertAlign w:val="subscript"/>
          <w:lang w:eastAsia="zh-CN"/>
        </w:rPr>
        <w:t>processing</w:t>
      </w:r>
      <w:r w:rsidRPr="002C0D21">
        <w:rPr>
          <w:color w:val="000000" w:themeColor="text1"/>
        </w:rPr>
        <w:t xml:space="preserve"> is time for UE processing. T</w:t>
      </w:r>
      <w:r w:rsidRPr="002C0D21">
        <w:rPr>
          <w:color w:val="000000" w:themeColor="text1"/>
          <w:vertAlign w:val="subscript"/>
          <w:lang w:eastAsia="zh-CN"/>
        </w:rPr>
        <w:t>processing</w:t>
      </w:r>
      <w:r w:rsidRPr="002C0D21">
        <w:rPr>
          <w:color w:val="000000" w:themeColor="text1"/>
        </w:rPr>
        <w:t xml:space="preserve"> can be up to 20ms.</w:t>
      </w:r>
    </w:p>
    <w:p w14:paraId="229430F7" w14:textId="77777777" w:rsidR="004D2960" w:rsidRPr="002C0D21" w:rsidRDefault="004D2960">
      <w:pPr>
        <w:pStyle w:val="B10"/>
        <w:rPr>
          <w:color w:val="000000" w:themeColor="text1"/>
        </w:rPr>
      </w:pPr>
      <w:r w:rsidRPr="002C0D21">
        <w:rPr>
          <w:color w:val="000000" w:themeColor="text1"/>
          <w:lang w:eastAsia="zh-CN"/>
        </w:rPr>
        <w:tab/>
        <w:t>T</w:t>
      </w:r>
      <w:r w:rsidRPr="002C0D21">
        <w:rPr>
          <w:color w:val="000000" w:themeColor="text1"/>
          <w:vertAlign w:val="subscript"/>
          <w:lang w:eastAsia="zh-CN"/>
        </w:rPr>
        <w:t xml:space="preserve">margin </w:t>
      </w:r>
      <w:r w:rsidRPr="002C0D21">
        <w:rPr>
          <w:color w:val="000000" w:themeColor="text1"/>
          <w:lang w:eastAsia="zh-CN"/>
        </w:rPr>
        <w:t>is time for SSB post-processing. T</w:t>
      </w:r>
      <w:r w:rsidRPr="002C0D21">
        <w:rPr>
          <w:color w:val="000000" w:themeColor="text1"/>
          <w:vertAlign w:val="subscript"/>
          <w:lang w:eastAsia="zh-CN"/>
        </w:rPr>
        <w:t xml:space="preserve">margin </w:t>
      </w:r>
      <w:r w:rsidRPr="002C0D21">
        <w:rPr>
          <w:color w:val="000000" w:themeColor="text1"/>
          <w:lang w:eastAsia="zh-CN"/>
        </w:rPr>
        <w:t>can be up to 2ms.</w:t>
      </w:r>
    </w:p>
    <w:p w14:paraId="0B63CFF4" w14:textId="7257F2AF" w:rsidR="00402693" w:rsidRPr="002C0D21" w:rsidRDefault="00402693" w:rsidP="00402693">
      <w:pPr>
        <w:pStyle w:val="B10"/>
        <w:rPr>
          <w:color w:val="000000" w:themeColor="text1"/>
          <w:lang w:val="en-US"/>
        </w:rPr>
      </w:pPr>
      <w:r w:rsidRPr="002C0D21">
        <w:rPr>
          <w:color w:val="000000" w:themeColor="text1"/>
        </w:rPr>
        <w:tab/>
        <w:t>T</w:t>
      </w:r>
      <w:r w:rsidRPr="002C0D21">
        <w:rPr>
          <w:color w:val="000000" w:themeColor="text1"/>
          <w:vertAlign w:val="subscript"/>
        </w:rPr>
        <w:t>IU</w:t>
      </w:r>
      <w:r w:rsidRPr="002C0D21">
        <w:rPr>
          <w:color w:val="000000" w:themeColor="text1"/>
        </w:rPr>
        <w:t xml:space="preserve"> is the interruption uncertainty due to the random access procedure when sending PRACH to the new cell. T</w:t>
      </w:r>
      <w:r w:rsidRPr="002C0D21">
        <w:rPr>
          <w:color w:val="000000" w:themeColor="text1"/>
          <w:vertAlign w:val="subscript"/>
        </w:rPr>
        <w:t>IU</w:t>
      </w:r>
      <w:r w:rsidRPr="002C0D21">
        <w:rPr>
          <w:color w:val="000000" w:themeColor="text1"/>
        </w:rPr>
        <w:t xml:space="preserve"> can be up to: </w:t>
      </w:r>
      <w:r>
        <w:t>(1+</w:t>
      </w:r>
      <w:r>
        <w:rPr>
          <w:bCs/>
        </w:rPr>
        <w:t xml:space="preserve"> L</w:t>
      </w:r>
      <w:r>
        <w:rPr>
          <w:bCs/>
          <w:vertAlign w:val="subscript"/>
        </w:rPr>
        <w:t>3</w:t>
      </w:r>
      <w:r>
        <w:t>)*</w:t>
      </w:r>
      <w:r w:rsidRPr="002C0D21">
        <w:rPr>
          <w:color w:val="000000" w:themeColor="text1"/>
        </w:rPr>
        <w:t>T</w:t>
      </w:r>
      <w:r w:rsidRPr="002C0D21">
        <w:rPr>
          <w:color w:val="000000" w:themeColor="text1"/>
          <w:vertAlign w:val="subscript"/>
        </w:rPr>
        <w:t>SSB,RO</w:t>
      </w:r>
      <w:r w:rsidRPr="002C0D21">
        <w:rPr>
          <w:color w:val="000000" w:themeColor="text1"/>
        </w:rPr>
        <w:t xml:space="preserve"> + 10 ms where T</w:t>
      </w:r>
      <w:r w:rsidRPr="002C0D21">
        <w:rPr>
          <w:color w:val="000000" w:themeColor="text1"/>
          <w:vertAlign w:val="subscript"/>
        </w:rPr>
        <w:t xml:space="preserve">SSB,RO </w:t>
      </w:r>
      <w:r w:rsidRPr="002C0D21">
        <w:rPr>
          <w:color w:val="000000" w:themeColor="text1"/>
        </w:rPr>
        <w:t xml:space="preserve">is the SSB to PRACH occasion association period </w:t>
      </w:r>
      <w:r>
        <w:t xml:space="preserve">as defined in Table 8.1-1 of TS 38.213 [3] </w:t>
      </w:r>
      <w:r w:rsidRPr="002C0D21">
        <w:rPr>
          <w:color w:val="000000" w:themeColor="text1"/>
        </w:rPr>
        <w:t>and L</w:t>
      </w:r>
      <w:r w:rsidRPr="002C0D21">
        <w:rPr>
          <w:color w:val="000000" w:themeColor="text1"/>
          <w:vertAlign w:val="subscript"/>
        </w:rPr>
        <w:t>3</w:t>
      </w:r>
      <w:r w:rsidRPr="002C0D21">
        <w:rPr>
          <w:color w:val="000000" w:themeColor="text1"/>
        </w:rPr>
        <w:t xml:space="preserve"> is the number of consecutive </w:t>
      </w:r>
      <w:r>
        <w:t xml:space="preserve">SSB to PRACH occasion association periods during which no </w:t>
      </w:r>
      <w:r w:rsidRPr="002C0D21">
        <w:rPr>
          <w:color w:val="000000" w:themeColor="text1"/>
        </w:rPr>
        <w:t>PRACH occasion</w:t>
      </w:r>
      <w:r>
        <w:rPr>
          <w:color w:val="000000" w:themeColor="text1"/>
        </w:rPr>
        <w:t xml:space="preserve"> is</w:t>
      </w:r>
      <w:r w:rsidRPr="002C0D21">
        <w:rPr>
          <w:color w:val="000000" w:themeColor="text1"/>
        </w:rPr>
        <w:t xml:space="preserve"> available for PRACH transmission due to UL CCA failure. L</w:t>
      </w:r>
      <w:r w:rsidRPr="002C0D21">
        <w:rPr>
          <w:color w:val="000000" w:themeColor="text1"/>
          <w:vertAlign w:val="subscript"/>
        </w:rPr>
        <w:t>3</w:t>
      </w:r>
      <w:r w:rsidRPr="002C0D21">
        <w:rPr>
          <w:color w:val="000000" w:themeColor="text1"/>
        </w:rPr>
        <w:t xml:space="preserve"> = 0 for Type 2C UL channel access procedure as defined in TS 37.213</w:t>
      </w:r>
      <w:r>
        <w:rPr>
          <w:color w:val="000000" w:themeColor="text1"/>
        </w:rPr>
        <w:t xml:space="preserve"> [33]</w:t>
      </w:r>
      <w:r w:rsidRPr="002C0D21">
        <w:rPr>
          <w:color w:val="000000" w:themeColor="text1"/>
        </w:rPr>
        <w:t xml:space="preserve">. </w:t>
      </w:r>
      <w:r w:rsidRPr="002C0D21">
        <w:rPr>
          <w:color w:val="000000" w:themeColor="text1"/>
          <w:lang w:val="en-US"/>
        </w:rPr>
        <w:t xml:space="preserve">When the UE is configured with </w:t>
      </w:r>
      <w:r w:rsidRPr="002C0D21">
        <w:rPr>
          <w:iCs/>
          <w:color w:val="000000" w:themeColor="text1"/>
          <w:lang w:val="en-US"/>
        </w:rPr>
        <w:t>both</w:t>
      </w:r>
      <w:r w:rsidRPr="002C0D21">
        <w:rPr>
          <w:color w:val="000000" w:themeColor="text1"/>
          <w:lang w:val="en-US"/>
        </w:rPr>
        <w:t xml:space="preserve"> the UL BWP with PRACH occasion on the target cell and UL </w:t>
      </w:r>
      <w:r>
        <w:rPr>
          <w:color w:val="000000" w:themeColor="text1"/>
          <w:lang w:val="en-US"/>
        </w:rPr>
        <w:t>CCA</w:t>
      </w:r>
      <w:r w:rsidRPr="002C0D21">
        <w:rPr>
          <w:color w:val="000000" w:themeColor="text1"/>
          <w:lang w:val="en-US"/>
        </w:rPr>
        <w:t xml:space="preserve"> failure detection/recovery, the interruption can be longer.</w:t>
      </w:r>
    </w:p>
    <w:p w14:paraId="3C84FD80" w14:textId="10C4230E" w:rsidR="004D2960" w:rsidRPr="002C0D21" w:rsidRDefault="004D2960">
      <w:r w:rsidRPr="002C0D21">
        <w:t>T</w:t>
      </w:r>
      <w:r w:rsidRPr="002C0D21">
        <w:rPr>
          <w:vertAlign w:val="subscript"/>
        </w:rPr>
        <w:t>rs</w:t>
      </w:r>
      <w:r w:rsidRPr="002C0D21">
        <w:t xml:space="preserve"> is the SMTC periodicity of the target NR cell in a carrier frequency with CCA if the UE has been provided with an SMTC configuration for the target cell in the handover command, otherwise T</w:t>
      </w:r>
      <w:r w:rsidRPr="002C0D21">
        <w:rPr>
          <w:vertAlign w:val="subscript"/>
        </w:rPr>
        <w:t>rs</w:t>
      </w:r>
      <w:r w:rsidRPr="002C0D21">
        <w:t xml:space="preserve"> is the SMTC configured in the measObjectNR having the same SSB frequency and subcarrier spacing. If the UE is not provided SMTC configuration or measurement object on this frequency, the requirement in this clause is applied with T</w:t>
      </w:r>
      <w:r w:rsidRPr="002C0D21">
        <w:rPr>
          <w:vertAlign w:val="subscript"/>
        </w:rPr>
        <w:t>rs</w:t>
      </w:r>
      <w:r w:rsidRPr="002C0D21">
        <w:t>=5ms assuming the SSB transmission periodicity is 5ms. There is no requirement if the SSB transmission periodicity is not 5ms.</w:t>
      </w:r>
    </w:p>
    <w:p w14:paraId="54FDFE9A" w14:textId="77777777" w:rsidR="004D2960" w:rsidRPr="00DD3199" w:rsidRDefault="004D2960" w:rsidP="004D2960">
      <w:pPr>
        <w:pStyle w:val="NO"/>
      </w:pPr>
      <w:r w:rsidRPr="002F5786">
        <w:t>NOTE 1:</w:t>
      </w:r>
      <w:r w:rsidRPr="002F5786">
        <w:rPr>
          <w:lang w:eastAsia="zh-CN"/>
        </w:rPr>
        <w:tab/>
      </w:r>
      <w:r w:rsidRPr="002F5786">
        <w:t xml:space="preserve">The interruption time considering the potential extensions caused by </w:t>
      </w:r>
      <w:r w:rsidRPr="002F5786">
        <w:rPr>
          <w:lang w:val="en-US"/>
        </w:rPr>
        <w:t>L</w:t>
      </w:r>
      <w:r w:rsidRPr="002F5786">
        <w:rPr>
          <w:vertAlign w:val="subscript"/>
          <w:lang w:val="en-US"/>
        </w:rPr>
        <w:t>1</w:t>
      </w:r>
      <w:r w:rsidRPr="002F5786">
        <w:rPr>
          <w:lang w:val="en-US"/>
        </w:rPr>
        <w:t>,</w:t>
      </w:r>
      <w:r w:rsidRPr="002F5786">
        <w:rPr>
          <w:vertAlign w:val="subscript"/>
          <w:lang w:val="en-US"/>
        </w:rPr>
        <w:t xml:space="preserve"> </w:t>
      </w:r>
      <w:r w:rsidRPr="002F5786">
        <w:rPr>
          <w:lang w:val="en-US"/>
        </w:rPr>
        <w:t>L</w:t>
      </w:r>
      <w:r w:rsidRPr="002F5786">
        <w:rPr>
          <w:vertAlign w:val="subscript"/>
          <w:lang w:val="en-US"/>
        </w:rPr>
        <w:t>1</w:t>
      </w:r>
      <w:r w:rsidRPr="002F5786">
        <w:rPr>
          <w:lang w:val="en-US"/>
        </w:rPr>
        <w:t>´,L</w:t>
      </w:r>
      <w:r w:rsidRPr="002F5786">
        <w:rPr>
          <w:vertAlign w:val="subscript"/>
          <w:lang w:val="en-US"/>
        </w:rPr>
        <w:t xml:space="preserve">2 </w:t>
      </w:r>
      <w:r w:rsidRPr="002F5786">
        <w:rPr>
          <w:lang w:val="en-US"/>
        </w:rPr>
        <w:t>, L</w:t>
      </w:r>
      <w:r w:rsidRPr="002F5786">
        <w:rPr>
          <w:vertAlign w:val="subscript"/>
          <w:lang w:val="en-US"/>
        </w:rPr>
        <w:t xml:space="preserve">3  </w:t>
      </w:r>
      <w:r w:rsidRPr="002F5786">
        <w:rPr>
          <w:iCs/>
        </w:rPr>
        <w:t xml:space="preserve">and by the UL CCA failure detection/recovery mechanism </w:t>
      </w:r>
      <w:r w:rsidRPr="004D2960">
        <w:rPr>
          <w:lang w:val="en-US"/>
        </w:rPr>
        <w:t>i</w:t>
      </w:r>
      <w:r w:rsidRPr="004D2960">
        <w:t>s limited by the T304 timer. The UE behaviour at the T304 timer expiry is detailed in TS 38.331 [2</w:t>
      </w:r>
      <w:r w:rsidRPr="00F964D4">
        <w:t>].</w:t>
      </w:r>
    </w:p>
    <w:p w14:paraId="2F1D3163" w14:textId="65300B90" w:rsidR="004D2960" w:rsidRDefault="004D2960">
      <w:r w:rsidRPr="00DD3199">
        <w:t xml:space="preserve">In the </w:t>
      </w:r>
      <w:r w:rsidRPr="00074035">
        <w:t>interruption</w:t>
      </w:r>
      <w:r w:rsidRPr="00DD3199">
        <w:t xml:space="preserve"> requirement a cell is known if it has been meeting the relevant cell identification requirement during the last</w:t>
      </w:r>
      <w:r>
        <w:t xml:space="preserve"> 5</w:t>
      </w:r>
      <w:r w:rsidRPr="00DD3199">
        <w:t xml:space="preserve"> seconds otherwise it is unknown. Relevant cell identification requirements</w:t>
      </w:r>
      <w:r>
        <w:t xml:space="preserve"> </w:t>
      </w:r>
      <w:r w:rsidRPr="00DD3199">
        <w:t>are described in Clause 9.2</w:t>
      </w:r>
      <w:r>
        <w:t>A</w:t>
      </w:r>
      <w:r w:rsidRPr="00DD3199">
        <w:t>.5 for intra-frequency handover and Clause 9.3</w:t>
      </w:r>
      <w:r>
        <w:t>A</w:t>
      </w:r>
      <w:r w:rsidRPr="00DD3199">
        <w:t>.</w:t>
      </w:r>
      <w:r>
        <w:t>4</w:t>
      </w:r>
      <w:r w:rsidRPr="00DD3199">
        <w:t xml:space="preserve"> for inter-frequency handover</w:t>
      </w:r>
      <w:r>
        <w:t xml:space="preserve"> to a carrier frequency with CCA</w:t>
      </w:r>
      <w:r w:rsidRPr="00DD3199">
        <w:t>.</w:t>
      </w:r>
    </w:p>
    <w:p w14:paraId="73EE4DE2" w14:textId="77777777" w:rsidR="008F79A1" w:rsidRDefault="008F79A1" w:rsidP="008F79A1">
      <w:pPr>
        <w:pStyle w:val="Heading4"/>
        <w:rPr>
          <w:lang w:val="en-US" w:eastAsia="zh-CN"/>
        </w:rPr>
      </w:pPr>
      <w:r>
        <w:rPr>
          <w:lang w:val="en-US" w:eastAsia="zh-CN"/>
        </w:rPr>
        <w:t>6.1B.1.3</w:t>
      </w:r>
      <w:r>
        <w:rPr>
          <w:lang w:val="en-US" w:eastAsia="zh-CN"/>
        </w:rPr>
        <w:tab/>
        <w:t>NR FR2-2 NR FR2-2 Handover</w:t>
      </w:r>
    </w:p>
    <w:p w14:paraId="5870F839" w14:textId="6C8C6768" w:rsidR="008F79A1" w:rsidRDefault="008F79A1" w:rsidP="008F79A1">
      <w:r>
        <w:rPr>
          <w:color w:val="000000" w:themeColor="text1"/>
        </w:rPr>
        <w:t>The requirements in this clause are applicable to inter-frequency handovers from NR FR2-2 cell to NR FR2-2 cell in carrier frequencies with CCA, and to both intra-frequency and inter-frequency handovers from NR FR2-2 cell in carrier frequencies with CCA to NR FR2-2 cell in carrier frequencies with CCA.</w:t>
      </w:r>
    </w:p>
    <w:p w14:paraId="00EF7D13" w14:textId="77777777" w:rsidR="008F79A1" w:rsidRDefault="008F79A1" w:rsidP="008F79A1">
      <w:pPr>
        <w:pStyle w:val="Heading5"/>
      </w:pPr>
      <w:r>
        <w:t>6.1B.1.3.1</w:t>
      </w:r>
      <w:r>
        <w:tab/>
        <w:t>Handover delay</w:t>
      </w:r>
    </w:p>
    <w:p w14:paraId="7E9DF79F" w14:textId="77777777" w:rsidR="008F79A1" w:rsidRDefault="008F79A1" w:rsidP="008F79A1">
      <w:pPr>
        <w:rPr>
          <w:rFonts w:cs="v4.2.0"/>
        </w:rPr>
      </w:pPr>
      <w:r>
        <w:rPr>
          <w:rFonts w:cs="v4.2.0"/>
        </w:rPr>
        <w:t xml:space="preserve">When the UE receives a RRC message implying handover the UE shall be ready to </w:t>
      </w:r>
      <w:r>
        <w:rPr>
          <w:rFonts w:cs="v4.2.0"/>
          <w:snapToGrid w:val="0"/>
        </w:rPr>
        <w:t>start the transmission of the new uplink PRACH channel</w:t>
      </w:r>
      <w:r>
        <w:rPr>
          <w:rFonts w:cs="v4.2.0"/>
        </w:rPr>
        <w:t xml:space="preserve"> within D</w:t>
      </w:r>
      <w:r>
        <w:rPr>
          <w:rFonts w:cs="v4.2.0"/>
          <w:vertAlign w:val="subscript"/>
        </w:rPr>
        <w:t>handover</w:t>
      </w:r>
      <w:r>
        <w:rPr>
          <w:rFonts w:cs="v4.2.0"/>
        </w:rPr>
        <w:t xml:space="preserve"> </w:t>
      </w:r>
      <w:r>
        <w:rPr>
          <w:rFonts w:cs="v4.2.0"/>
          <w:lang w:val="en-US" w:eastAsia="zh-CN"/>
        </w:rPr>
        <w:t xml:space="preserve">ms </w:t>
      </w:r>
      <w:r>
        <w:rPr>
          <w:rFonts w:cs="v4.2.0"/>
        </w:rPr>
        <w:t>from the end of the last TTI containing the RRC command.</w:t>
      </w:r>
    </w:p>
    <w:p w14:paraId="0D319809" w14:textId="77777777" w:rsidR="008F79A1" w:rsidRDefault="008F79A1" w:rsidP="008F79A1">
      <w:pPr>
        <w:rPr>
          <w:rFonts w:cs="v4.2.0"/>
        </w:rPr>
      </w:pPr>
      <w:r>
        <w:rPr>
          <w:rFonts w:cs="v4.2.0"/>
        </w:rPr>
        <w:t>Where:</w:t>
      </w:r>
    </w:p>
    <w:p w14:paraId="42A2474B" w14:textId="7E94809A" w:rsidR="008F79A1" w:rsidRDefault="00EA313D" w:rsidP="00EA313D">
      <w:pPr>
        <w:pStyle w:val="B10"/>
      </w:pPr>
      <w:r>
        <w:t>-</w:t>
      </w:r>
      <w:r>
        <w:tab/>
      </w:r>
      <w:r w:rsidR="008F79A1">
        <w:t>D</w:t>
      </w:r>
      <w:r w:rsidR="008F79A1">
        <w:rPr>
          <w:vertAlign w:val="subscript"/>
        </w:rPr>
        <w:t>handover</w:t>
      </w:r>
      <w:r w:rsidR="008F79A1">
        <w:t xml:space="preserve"> equals the </w:t>
      </w:r>
      <w:r w:rsidR="008F79A1">
        <w:rPr>
          <w:lang w:val="en-US" w:eastAsia="zh-CN"/>
        </w:rPr>
        <w:t>applicable</w:t>
      </w:r>
      <w:r w:rsidR="008F79A1">
        <w:t xml:space="preserve"> RRC procedure delay defined in clause </w:t>
      </w:r>
      <w:r w:rsidR="008F79A1">
        <w:rPr>
          <w:lang w:eastAsia="zh-CN"/>
        </w:rPr>
        <w:t>12</w:t>
      </w:r>
      <w:r w:rsidR="008F79A1">
        <w:t xml:space="preserve"> in TS 38.331 [2] plus the interruption time stated in clause 6.1B.1.3.2.</w:t>
      </w:r>
    </w:p>
    <w:p w14:paraId="6695E0A9" w14:textId="77777777" w:rsidR="008F79A1" w:rsidRDefault="008F79A1" w:rsidP="008F79A1">
      <w:pPr>
        <w:pStyle w:val="Heading5"/>
      </w:pPr>
      <w:r>
        <w:t>6.1B.1.3.2</w:t>
      </w:r>
      <w:r>
        <w:tab/>
        <w:t>Interruption time</w:t>
      </w:r>
    </w:p>
    <w:p w14:paraId="1ED89A20" w14:textId="77777777" w:rsidR="008F79A1" w:rsidRDefault="008F79A1" w:rsidP="008F79A1">
      <w:pPr>
        <w:rPr>
          <w:rFonts w:cs="v4.2.0"/>
        </w:rPr>
      </w:pPr>
      <w:r>
        <w:rPr>
          <w:rFonts w:cs="v4.2.0"/>
        </w:rPr>
        <w:t>The interruption time is the time between end of the last TTI containing the RRC command on the old PDSCH and the time the UE starts transmission of the new PRACH</w:t>
      </w:r>
      <w:r>
        <w:rPr>
          <w:rFonts w:eastAsia="MS Mincho" w:cs="v4.2.0"/>
        </w:rPr>
        <w:t>, excluding the RRC procedure delay</w:t>
      </w:r>
      <w:r>
        <w:rPr>
          <w:rFonts w:cs="v4.2.0"/>
        </w:rPr>
        <w:t>.</w:t>
      </w:r>
    </w:p>
    <w:p w14:paraId="769D7239" w14:textId="77777777" w:rsidR="008F79A1" w:rsidRDefault="008F79A1" w:rsidP="008F79A1">
      <w:pPr>
        <w:rPr>
          <w:rFonts w:cs="v4.2.0"/>
          <w:position w:val="-6"/>
        </w:rPr>
      </w:pPr>
      <w:r>
        <w:rPr>
          <w:rFonts w:cs="v4.2.0"/>
        </w:rPr>
        <w:t>When intra-frequency or inter-frequency handover is commanded, the interruption time shall be less than T</w:t>
      </w:r>
      <w:r>
        <w:rPr>
          <w:rFonts w:cs="v4.2.0"/>
          <w:vertAlign w:val="subscript"/>
        </w:rPr>
        <w:t>interrupt</w:t>
      </w:r>
    </w:p>
    <w:p w14:paraId="1133E22E" w14:textId="77777777" w:rsidR="008F79A1" w:rsidRDefault="008F79A1" w:rsidP="008F79A1">
      <w:pPr>
        <w:pStyle w:val="EQ"/>
      </w:pPr>
      <w:r>
        <w:tab/>
      </w:r>
      <w:r>
        <w:rPr>
          <w:rFonts w:cs="v4.2.0"/>
        </w:rPr>
        <w:t>T</w:t>
      </w:r>
      <w:r>
        <w:rPr>
          <w:rFonts w:cs="v4.2.0"/>
          <w:vertAlign w:val="subscript"/>
        </w:rPr>
        <w:t>interrupt</w:t>
      </w:r>
      <w:r>
        <w:t xml:space="preserve"> = T</w:t>
      </w:r>
      <w:r>
        <w:rPr>
          <w:vertAlign w:val="subscript"/>
        </w:rPr>
        <w:t>search</w:t>
      </w:r>
      <w:r>
        <w:t xml:space="preserve"> + T</w:t>
      </w:r>
      <w:r>
        <w:rPr>
          <w:vertAlign w:val="subscript"/>
        </w:rPr>
        <w:t>IU</w:t>
      </w:r>
      <w:r>
        <w:t xml:space="preserve"> + </w:t>
      </w:r>
      <w:r>
        <w:rPr>
          <w:lang w:eastAsia="zh-CN"/>
        </w:rPr>
        <w:t>T</w:t>
      </w:r>
      <w:r>
        <w:rPr>
          <w:vertAlign w:val="subscript"/>
          <w:lang w:eastAsia="zh-CN"/>
        </w:rPr>
        <w:t xml:space="preserve">processing </w:t>
      </w:r>
      <w:r>
        <w:rPr>
          <w:lang w:eastAsia="zh-CN"/>
        </w:rPr>
        <w:t>+ T</w:t>
      </w:r>
      <w:r>
        <w:rPr>
          <w:vertAlign w:val="subscript"/>
          <w:lang w:eastAsia="zh-CN"/>
        </w:rPr>
        <w:t xml:space="preserve">∆ </w:t>
      </w:r>
      <w:r>
        <w:rPr>
          <w:lang w:eastAsia="zh-CN"/>
        </w:rPr>
        <w:t>+ T</w:t>
      </w:r>
      <w:r>
        <w:rPr>
          <w:vertAlign w:val="subscript"/>
          <w:lang w:eastAsia="zh-CN"/>
        </w:rPr>
        <w:t>margin</w:t>
      </w:r>
      <w:r>
        <w:rPr>
          <w:lang w:eastAsia="zh-CN"/>
        </w:rPr>
        <w:t xml:space="preserve"> </w:t>
      </w:r>
      <w:r>
        <w:t>ms</w:t>
      </w:r>
    </w:p>
    <w:p w14:paraId="0E78C0BA" w14:textId="77777777" w:rsidR="008F79A1" w:rsidRDefault="008F79A1" w:rsidP="008F79A1">
      <w:pPr>
        <w:rPr>
          <w:rFonts w:cs="v4.2.0"/>
        </w:rPr>
      </w:pPr>
      <w:r>
        <w:rPr>
          <w:rFonts w:cs="v4.2.0"/>
        </w:rPr>
        <w:t>Where:</w:t>
      </w:r>
    </w:p>
    <w:p w14:paraId="49865405" w14:textId="6167F78A" w:rsidR="008F79A1" w:rsidRDefault="001C7C49" w:rsidP="008F79A1">
      <w:pPr>
        <w:pStyle w:val="B10"/>
      </w:pPr>
      <w:r>
        <w:t>-</w:t>
      </w:r>
      <w:r w:rsidR="008F79A1">
        <w:tab/>
        <w:t>T</w:t>
      </w:r>
      <w:r w:rsidR="008F79A1">
        <w:rPr>
          <w:vertAlign w:val="subscript"/>
        </w:rPr>
        <w:t>search</w:t>
      </w:r>
      <w:r w:rsidR="008F79A1">
        <w:t xml:space="preserve"> is the time required to search the target cell when the handover command is received by the UE. If the target cell is a known cell, then T</w:t>
      </w:r>
      <w:r w:rsidR="008F79A1">
        <w:rPr>
          <w:vertAlign w:val="subscript"/>
        </w:rPr>
        <w:t>search</w:t>
      </w:r>
      <w:r w:rsidR="008F79A1">
        <w:t xml:space="preserve"> = 0 ms. If the target cell is an unknown intra-frequency cell and the target cell Es/Iot</w:t>
      </w:r>
      <w:r w:rsidR="008F79A1">
        <w:rPr>
          <w:rFonts w:hint="eastAsia"/>
        </w:rPr>
        <w:t>≥</w:t>
      </w:r>
      <w:r w:rsidR="008F79A1">
        <w:t>-2 dB, then T</w:t>
      </w:r>
      <w:r w:rsidR="008F79A1">
        <w:rPr>
          <w:vertAlign w:val="subscript"/>
        </w:rPr>
        <w:t>search</w:t>
      </w:r>
      <w:r w:rsidR="008F79A1">
        <w:t xml:space="preserve"> = (</w:t>
      </w:r>
      <w:r w:rsidR="008F79A1">
        <w:rPr>
          <w:lang w:val="en-US"/>
        </w:rPr>
        <w:t>1</w:t>
      </w:r>
      <w:r w:rsidR="008F79A1">
        <w:t>+L</w:t>
      </w:r>
      <w:r w:rsidR="008F79A1">
        <w:rPr>
          <w:vertAlign w:val="subscript"/>
        </w:rPr>
        <w:t>1</w:t>
      </w:r>
      <w:r w:rsidR="008F79A1">
        <w:t xml:space="preserve">) </w:t>
      </w:r>
      <w:r w:rsidR="008F79A1">
        <w:rPr>
          <w:lang w:val="en-US"/>
        </w:rPr>
        <w:t>*</w:t>
      </w:r>
      <w:r w:rsidR="008F79A1">
        <w:t xml:space="preserve"> N * T</w:t>
      </w:r>
      <w:r w:rsidR="008F79A1">
        <w:rPr>
          <w:vertAlign w:val="subscript"/>
        </w:rPr>
        <w:t>rs</w:t>
      </w:r>
      <w:r w:rsidR="008F79A1">
        <w:t xml:space="preserve"> ms. If the target cell is an unknown inter-frequency cell and the target cell Es/Iot</w:t>
      </w:r>
      <w:r w:rsidR="008F79A1">
        <w:rPr>
          <w:rFonts w:hint="eastAsia"/>
        </w:rPr>
        <w:t>≥</w:t>
      </w:r>
      <w:r w:rsidR="008F79A1">
        <w:t>-2 dB, then T</w:t>
      </w:r>
      <w:r w:rsidR="008F79A1">
        <w:rPr>
          <w:vertAlign w:val="subscript"/>
        </w:rPr>
        <w:t>search</w:t>
      </w:r>
      <w:r w:rsidR="008F79A1">
        <w:t xml:space="preserve"> = (</w:t>
      </w:r>
      <w:r w:rsidR="008F79A1">
        <w:rPr>
          <w:lang w:eastAsia="zh-CN"/>
        </w:rPr>
        <w:t>3+</w:t>
      </w:r>
      <w:r w:rsidR="008F79A1">
        <w:t>L</w:t>
      </w:r>
      <w:r w:rsidR="008F79A1">
        <w:rPr>
          <w:vertAlign w:val="subscript"/>
        </w:rPr>
        <w:t>1</w:t>
      </w:r>
      <w:r w:rsidR="008F79A1">
        <w:t xml:space="preserve">´) </w:t>
      </w:r>
      <w:r w:rsidR="008F79A1">
        <w:rPr>
          <w:lang w:val="en-US"/>
        </w:rPr>
        <w:t>*</w:t>
      </w:r>
      <w:r w:rsidR="008F79A1">
        <w:t xml:space="preserve"> N * T</w:t>
      </w:r>
      <w:r w:rsidR="008F79A1">
        <w:rPr>
          <w:vertAlign w:val="subscript"/>
        </w:rPr>
        <w:t>rs</w:t>
      </w:r>
      <w:r w:rsidR="008F79A1">
        <w:t xml:space="preserve"> where </w:t>
      </w:r>
      <w:r w:rsidR="008F79A1">
        <w:rPr>
          <w:lang w:val="en-US"/>
        </w:rPr>
        <w:t>L</w:t>
      </w:r>
      <w:r w:rsidR="008F79A1">
        <w:rPr>
          <w:vertAlign w:val="subscript"/>
          <w:lang w:val="en-US"/>
        </w:rPr>
        <w:t xml:space="preserve">1 </w:t>
      </w:r>
      <w:r w:rsidR="008F79A1">
        <w:rPr>
          <w:lang w:val="en-US"/>
        </w:rPr>
        <w:t>and L</w:t>
      </w:r>
      <w:r w:rsidR="008F79A1">
        <w:rPr>
          <w:vertAlign w:val="subscript"/>
          <w:lang w:val="en-US"/>
        </w:rPr>
        <w:t>1</w:t>
      </w:r>
      <w:r w:rsidR="008F79A1">
        <w:rPr>
          <w:lang w:val="en-US"/>
        </w:rPr>
        <w:t xml:space="preserve">´ </w:t>
      </w:r>
      <w:r w:rsidR="008F79A1">
        <w:rPr>
          <w:lang w:eastAsia="zh-CN"/>
        </w:rPr>
        <w:t xml:space="preserve">are the number of SMTC occasion groups not available at the UE </w:t>
      </w:r>
      <w:r w:rsidR="008F79A1">
        <w:t>during the intra-frequency and inter-frequency detection period, respectively. An SMTC occasion group consists of N consecutive SMTC occasions. An SMTC occasion group is not available, when at least one SMTC occasion in the group is not transmitted by the gNB. N is equal to 12. Regardless of whether DRX is in use by the UE, T</w:t>
      </w:r>
      <w:r w:rsidR="008F79A1">
        <w:rPr>
          <w:vertAlign w:val="subscript"/>
        </w:rPr>
        <w:t>search</w:t>
      </w:r>
      <w:r w:rsidR="008F79A1">
        <w:t xml:space="preserve"> shall still be based on non-DRX target cell search times.</w:t>
      </w:r>
    </w:p>
    <w:p w14:paraId="4152235A" w14:textId="44BF9880" w:rsidR="008F79A1" w:rsidRDefault="001C7C49" w:rsidP="008F79A1">
      <w:pPr>
        <w:pStyle w:val="B10"/>
        <w:rPr>
          <w:lang w:val="en-US"/>
        </w:rPr>
      </w:pPr>
      <w:r>
        <w:t>-</w:t>
      </w:r>
      <w:r w:rsidR="008F79A1">
        <w:tab/>
        <w:t>T</w:t>
      </w:r>
      <w:r w:rsidR="008F79A1">
        <w:rPr>
          <w:vertAlign w:val="subscript"/>
          <w:lang w:eastAsia="zh-CN"/>
        </w:rPr>
        <w:t>processing</w:t>
      </w:r>
      <w:r w:rsidR="008F79A1">
        <w:t xml:space="preserve"> is time for UE processing. T</w:t>
      </w:r>
      <w:r w:rsidR="008F79A1">
        <w:rPr>
          <w:vertAlign w:val="subscript"/>
          <w:lang w:eastAsia="zh-CN"/>
        </w:rPr>
        <w:t>processing</w:t>
      </w:r>
      <w:r w:rsidR="008F79A1">
        <w:t xml:space="preserve"> can be up to 20ms. </w:t>
      </w:r>
    </w:p>
    <w:p w14:paraId="0722FDE1" w14:textId="054A3661" w:rsidR="008F79A1" w:rsidRDefault="001C7C49" w:rsidP="008F79A1">
      <w:pPr>
        <w:pStyle w:val="B10"/>
      </w:pPr>
      <w:r>
        <w:rPr>
          <w:lang w:eastAsia="zh-CN"/>
        </w:rPr>
        <w:t>-</w:t>
      </w:r>
      <w:r w:rsidR="008F79A1">
        <w:rPr>
          <w:lang w:eastAsia="zh-CN"/>
        </w:rPr>
        <w:tab/>
        <w:t>T</w:t>
      </w:r>
      <w:r w:rsidR="008F79A1">
        <w:rPr>
          <w:vertAlign w:val="subscript"/>
          <w:lang w:eastAsia="zh-CN"/>
        </w:rPr>
        <w:t xml:space="preserve">margin </w:t>
      </w:r>
      <w:r w:rsidR="008F79A1">
        <w:rPr>
          <w:lang w:eastAsia="zh-CN"/>
        </w:rPr>
        <w:t>is time for SSB post-processing. T</w:t>
      </w:r>
      <w:r w:rsidR="008F79A1">
        <w:rPr>
          <w:vertAlign w:val="subscript"/>
          <w:lang w:eastAsia="zh-CN"/>
        </w:rPr>
        <w:t xml:space="preserve">margin </w:t>
      </w:r>
      <w:r w:rsidR="008F79A1">
        <w:rPr>
          <w:lang w:eastAsia="zh-CN"/>
        </w:rPr>
        <w:t>can be up to 2ms.</w:t>
      </w:r>
    </w:p>
    <w:p w14:paraId="64724D78" w14:textId="0B14CC7B" w:rsidR="008F79A1" w:rsidRDefault="001C7C49" w:rsidP="008F79A1">
      <w:pPr>
        <w:pStyle w:val="B10"/>
      </w:pPr>
      <w:r>
        <w:t>-</w:t>
      </w:r>
      <w:r w:rsidR="008F79A1">
        <w:tab/>
        <w:t>T</w:t>
      </w:r>
      <w:r w:rsidR="008F79A1">
        <w:rPr>
          <w:vertAlign w:val="subscript"/>
        </w:rPr>
        <w:t>∆</w:t>
      </w:r>
      <w:r w:rsidR="008F79A1">
        <w:t xml:space="preserve"> is time for fine time tracking and acquiring full timing information of the target cell. T</w:t>
      </w:r>
      <w:r w:rsidR="008F79A1">
        <w:rPr>
          <w:vertAlign w:val="subscript"/>
        </w:rPr>
        <w:t>∆</w:t>
      </w:r>
      <w:r w:rsidR="008F79A1">
        <w:t xml:space="preserve"> = </w:t>
      </w:r>
      <w:r w:rsidR="008F79A1">
        <w:rPr>
          <w:color w:val="000000" w:themeColor="text1"/>
        </w:rPr>
        <w:t>(1+</w:t>
      </w:r>
      <w:r w:rsidR="008F79A1">
        <w:rPr>
          <w:rFonts w:cs="v4.2.0"/>
          <w:color w:val="000000" w:themeColor="text1"/>
        </w:rPr>
        <w:t xml:space="preserve"> L</w:t>
      </w:r>
      <w:r w:rsidR="008F79A1">
        <w:rPr>
          <w:rFonts w:cs="v4.2.0"/>
          <w:color w:val="000000" w:themeColor="text1"/>
          <w:vertAlign w:val="subscript"/>
        </w:rPr>
        <w:t>2</w:t>
      </w:r>
      <w:r w:rsidR="008F79A1">
        <w:rPr>
          <w:rFonts w:cs="v4.2.0"/>
          <w:color w:val="000000" w:themeColor="text1"/>
        </w:rPr>
        <w:t>) *</w:t>
      </w:r>
      <w:r w:rsidR="008F79A1">
        <w:t xml:space="preserve"> T</w:t>
      </w:r>
      <w:r w:rsidR="008F79A1">
        <w:rPr>
          <w:vertAlign w:val="subscript"/>
        </w:rPr>
        <w:t>rs</w:t>
      </w:r>
      <w:r w:rsidR="008F79A1">
        <w:t xml:space="preserve">, </w:t>
      </w:r>
      <w:r w:rsidR="008F79A1">
        <w:rPr>
          <w:color w:val="000000" w:themeColor="text1"/>
        </w:rPr>
        <w:t xml:space="preserve">where </w:t>
      </w:r>
      <w:r w:rsidR="008F79A1">
        <w:rPr>
          <w:rFonts w:cs="v4.2.0"/>
          <w:color w:val="000000" w:themeColor="text1"/>
        </w:rPr>
        <w:t>L</w:t>
      </w:r>
      <w:r w:rsidR="008F79A1">
        <w:rPr>
          <w:rFonts w:cs="v4.2.0"/>
          <w:color w:val="000000" w:themeColor="text1"/>
          <w:vertAlign w:val="subscript"/>
        </w:rPr>
        <w:t>2</w:t>
      </w:r>
      <w:r w:rsidR="008F79A1">
        <w:rPr>
          <w:color w:val="000000" w:themeColor="text1"/>
        </w:rPr>
        <w:t xml:space="preserve"> is the number of SMTC </w:t>
      </w:r>
      <w:r w:rsidR="008F79A1">
        <w:rPr>
          <w:rFonts w:cs="v4.2.0"/>
          <w:color w:val="000000" w:themeColor="text1"/>
        </w:rPr>
        <w:t>occasions</w:t>
      </w:r>
      <w:r w:rsidR="008F79A1">
        <w:rPr>
          <w:color w:val="000000" w:themeColor="text1"/>
        </w:rPr>
        <w:t xml:space="preserve"> not available at the UE during the time tracking period</w:t>
      </w:r>
      <w:r w:rsidR="008F79A1">
        <w:t>.</w:t>
      </w:r>
    </w:p>
    <w:p w14:paraId="1012DF4B" w14:textId="23CFE10E" w:rsidR="008F79A1" w:rsidRDefault="00247843" w:rsidP="008F79A1">
      <w:pPr>
        <w:pStyle w:val="B10"/>
        <w:rPr>
          <w:lang w:eastAsia="zh-CN"/>
        </w:rPr>
      </w:pPr>
      <w:r>
        <w:t>-</w:t>
      </w:r>
      <w:r>
        <w:tab/>
        <w:t>T</w:t>
      </w:r>
      <w:r>
        <w:rPr>
          <w:vertAlign w:val="subscript"/>
        </w:rPr>
        <w:t>IU</w:t>
      </w:r>
      <w:r>
        <w:t xml:space="preserve"> is the interruption uncertainty</w:t>
      </w:r>
      <w:r>
        <w:rPr>
          <w:color w:val="000000" w:themeColor="text1"/>
        </w:rPr>
        <w:t xml:space="preserve"> due to the random access procedure when sending PRACH to the new cell</w:t>
      </w:r>
      <w:r>
        <w:t>. T</w:t>
      </w:r>
      <w:r>
        <w:rPr>
          <w:vertAlign w:val="subscript"/>
        </w:rPr>
        <w:t>IU</w:t>
      </w:r>
      <w:r>
        <w:t xml:space="preserve"> can be up to (1+</w:t>
      </w:r>
      <w:r>
        <w:rPr>
          <w:bCs/>
        </w:rPr>
        <w:t xml:space="preserve"> L</w:t>
      </w:r>
      <w:r>
        <w:rPr>
          <w:bCs/>
          <w:vertAlign w:val="subscript"/>
        </w:rPr>
        <w:t>3</w:t>
      </w:r>
      <w:r>
        <w:t>)*</w:t>
      </w:r>
      <w:r>
        <w:rPr>
          <w:color w:val="000000" w:themeColor="text1"/>
        </w:rPr>
        <w:t>T</w:t>
      </w:r>
      <w:r>
        <w:rPr>
          <w:color w:val="000000" w:themeColor="text1"/>
          <w:vertAlign w:val="subscript"/>
        </w:rPr>
        <w:t>SSB,RO</w:t>
      </w:r>
      <w:r>
        <w:rPr>
          <w:color w:val="000000" w:themeColor="text1"/>
        </w:rPr>
        <w:t xml:space="preserve"> + 10</w:t>
      </w:r>
      <w:r>
        <w:t xml:space="preserve">ms, </w:t>
      </w:r>
      <w:r>
        <w:rPr>
          <w:color w:val="000000" w:themeColor="text1"/>
        </w:rPr>
        <w:t>where T</w:t>
      </w:r>
      <w:r>
        <w:rPr>
          <w:color w:val="000000" w:themeColor="text1"/>
          <w:vertAlign w:val="subscript"/>
        </w:rPr>
        <w:t xml:space="preserve">SSB,RO </w:t>
      </w:r>
      <w:r>
        <w:rPr>
          <w:color w:val="000000" w:themeColor="text1"/>
        </w:rPr>
        <w:t xml:space="preserve">is </w:t>
      </w:r>
      <w:r>
        <w:t xml:space="preserve">SSB to PRACH occasion associated period is defined in the table 8.1-1 of TS 38.213 [3] </w:t>
      </w:r>
      <w:r>
        <w:rPr>
          <w:color w:val="000000" w:themeColor="text1"/>
        </w:rPr>
        <w:t>and L</w:t>
      </w:r>
      <w:r>
        <w:rPr>
          <w:color w:val="000000" w:themeColor="text1"/>
          <w:vertAlign w:val="subscript"/>
        </w:rPr>
        <w:t>3</w:t>
      </w:r>
      <w:r>
        <w:rPr>
          <w:color w:val="000000" w:themeColor="text1"/>
        </w:rPr>
        <w:t xml:space="preserve"> is the number of consecutive </w:t>
      </w:r>
      <w:r>
        <w:t xml:space="preserve">SSB to PRACH occasion association periods during which no </w:t>
      </w:r>
      <w:r>
        <w:rPr>
          <w:color w:val="000000" w:themeColor="text1"/>
        </w:rPr>
        <w:t>PRACH occasion is available for PRACH transmission due to UL CCA failure. L</w:t>
      </w:r>
      <w:r>
        <w:rPr>
          <w:color w:val="000000" w:themeColor="text1"/>
          <w:vertAlign w:val="subscript"/>
        </w:rPr>
        <w:t>3</w:t>
      </w:r>
      <w:r>
        <w:rPr>
          <w:color w:val="000000" w:themeColor="text1"/>
        </w:rPr>
        <w:t xml:space="preserve"> = 0 for Type 3 channel access procedure as defined in TS 37.213 [33]</w:t>
      </w:r>
      <w:r w:rsidRPr="00AE1258">
        <w:rPr>
          <w:color w:val="000000" w:themeColor="text1"/>
        </w:rPr>
        <w:t xml:space="preserve"> </w:t>
      </w:r>
      <w:r>
        <w:rPr>
          <w:color w:val="000000" w:themeColor="text1"/>
        </w:rPr>
        <w:t>L</w:t>
      </w:r>
      <w:r>
        <w:rPr>
          <w:color w:val="000000" w:themeColor="text1"/>
          <w:vertAlign w:val="subscript"/>
        </w:rPr>
        <w:t>3</w:t>
      </w:r>
      <w:r>
        <w:rPr>
          <w:color w:val="000000" w:themeColor="text1"/>
        </w:rPr>
        <w:t xml:space="preserve"> = 0 if </w:t>
      </w:r>
      <w:r w:rsidRPr="00C01850">
        <w:rPr>
          <w:i/>
          <w:color w:val="000000" w:themeColor="text1"/>
        </w:rPr>
        <w:t>ra-ChannelAccess-r17</w:t>
      </w:r>
      <w:r>
        <w:rPr>
          <w:color w:val="000000" w:themeColor="text1"/>
        </w:rPr>
        <w:t xml:space="preserve"> is not configured in FR2-2.</w:t>
      </w:r>
    </w:p>
    <w:p w14:paraId="3F0D0CE6" w14:textId="6E12DE1A" w:rsidR="008F79A1" w:rsidRDefault="00247843" w:rsidP="00A6677A">
      <w:pPr>
        <w:pStyle w:val="B10"/>
      </w:pPr>
      <w:r>
        <w:t>-</w:t>
      </w:r>
      <w:r>
        <w:tab/>
        <w:t>T</w:t>
      </w:r>
      <w:r>
        <w:rPr>
          <w:vertAlign w:val="subscript"/>
        </w:rPr>
        <w:t>rs</w:t>
      </w:r>
      <w:r>
        <w:t xml:space="preserve"> is the SMTC periodicity of the target NR cell in a carrier frequency with CCA if the UE has been provided with an SMTC configuration for the target cell in the handover command, otherwise T</w:t>
      </w:r>
      <w:r w:rsidRPr="00D60521">
        <w:rPr>
          <w:vertAlign w:val="subscript"/>
        </w:rPr>
        <w:t>rs</w:t>
      </w:r>
      <w:r>
        <w:t xml:space="preserve"> is the SMTC configured in the </w:t>
      </w:r>
      <w:r w:rsidRPr="00D60521">
        <w:rPr>
          <w:i/>
          <w:iCs/>
        </w:rPr>
        <w:t>measObjectNR</w:t>
      </w:r>
      <w:r>
        <w:t xml:space="preserve"> having the same SSB frequency and subcarrier spacing. If the UE is not provided SMTC configuration or measurement object on this frequency, the requirement in this clause is applied with T</w:t>
      </w:r>
      <w:r>
        <w:rPr>
          <w:vertAlign w:val="subscript"/>
        </w:rPr>
        <w:t>rs</w:t>
      </w:r>
      <w:r>
        <w:t>=5ms assuming the SSB transmission periodicity is 5ms. There is no requirement if the SSB transmission periodicity is not 5ms.</w:t>
      </w:r>
    </w:p>
    <w:p w14:paraId="72B4A66C" w14:textId="274D3277" w:rsidR="008F79A1" w:rsidRDefault="00F854C6" w:rsidP="008F79A1">
      <w:pPr>
        <w:pStyle w:val="NO"/>
      </w:pPr>
      <w:r>
        <w:t>NOTE 1:</w:t>
      </w:r>
      <w:r>
        <w:rPr>
          <w:lang w:eastAsia="zh-CN"/>
        </w:rPr>
        <w:tab/>
      </w:r>
      <w:r>
        <w:t xml:space="preserve">The interruption time considering the potential extensions caused by </w:t>
      </w:r>
      <w:r>
        <w:rPr>
          <w:lang w:val="en-US"/>
        </w:rPr>
        <w:t>L</w:t>
      </w:r>
      <w:r>
        <w:rPr>
          <w:vertAlign w:val="subscript"/>
          <w:lang w:val="en-US"/>
        </w:rPr>
        <w:t>1</w:t>
      </w:r>
      <w:r>
        <w:rPr>
          <w:lang w:val="en-US"/>
        </w:rPr>
        <w:t>,</w:t>
      </w:r>
      <w:r>
        <w:rPr>
          <w:vertAlign w:val="subscript"/>
          <w:lang w:val="en-US"/>
        </w:rPr>
        <w:t xml:space="preserve"> </w:t>
      </w:r>
      <w:r>
        <w:rPr>
          <w:lang w:val="en-US"/>
        </w:rPr>
        <w:t>L</w:t>
      </w:r>
      <w:r>
        <w:rPr>
          <w:vertAlign w:val="subscript"/>
          <w:lang w:val="en-US"/>
        </w:rPr>
        <w:t>1</w:t>
      </w:r>
      <w:r>
        <w:rPr>
          <w:lang w:val="en-US"/>
        </w:rPr>
        <w:t>, L</w:t>
      </w:r>
      <w:r>
        <w:rPr>
          <w:vertAlign w:val="subscript"/>
          <w:lang w:val="en-US"/>
        </w:rPr>
        <w:t xml:space="preserve">2 </w:t>
      </w:r>
      <w:r>
        <w:rPr>
          <w:lang w:val="en-US"/>
        </w:rPr>
        <w:t>, L</w:t>
      </w:r>
      <w:r>
        <w:rPr>
          <w:vertAlign w:val="subscript"/>
          <w:lang w:val="en-US"/>
        </w:rPr>
        <w:t xml:space="preserve">3  </w:t>
      </w:r>
      <w:r>
        <w:rPr>
          <w:iCs/>
        </w:rPr>
        <w:t xml:space="preserve">and by the UL CCA failure detection/recovery mechanism </w:t>
      </w:r>
      <w:r>
        <w:rPr>
          <w:lang w:val="en-US"/>
        </w:rPr>
        <w:t>i</w:t>
      </w:r>
      <w:r>
        <w:t>s limited by the T304 timer. The UE behaviour at the T304 timer expiry is detailed in TS 38.331 [2].</w:t>
      </w:r>
    </w:p>
    <w:p w14:paraId="17617965" w14:textId="77777777" w:rsidR="008F79A1" w:rsidRDefault="008F79A1" w:rsidP="008F79A1">
      <w:pPr>
        <w:rPr>
          <w:lang w:eastAsia="ko-KR"/>
        </w:rPr>
      </w:pPr>
      <w:r>
        <w:rPr>
          <w:rFonts w:cs="v4.2.0"/>
          <w:lang w:eastAsia="zh-CN"/>
        </w:rPr>
        <w:t>In FR2-2, the target cell</w:t>
      </w:r>
      <w:r>
        <w:rPr>
          <w:rFonts w:cs="v4.2.0"/>
          <w:lang w:eastAsia="ko-KR"/>
        </w:rPr>
        <w:t xml:space="preserve"> is known if it </w:t>
      </w:r>
      <w:r>
        <w:rPr>
          <w:lang w:eastAsia="ko-KR"/>
        </w:rPr>
        <w:t>has been meeting the following conditions:</w:t>
      </w:r>
    </w:p>
    <w:p w14:paraId="117ACA6C" w14:textId="77777777" w:rsidR="008F79A1" w:rsidRDefault="008F79A1" w:rsidP="008F79A1">
      <w:pPr>
        <w:pStyle w:val="B10"/>
        <w:rPr>
          <w:lang w:eastAsia="ko-KR"/>
        </w:rPr>
      </w:pPr>
      <w:r>
        <w:rPr>
          <w:lang w:eastAsia="ko-KR"/>
        </w:rPr>
        <w:t>-</w:t>
      </w:r>
      <w:r>
        <w:rPr>
          <w:lang w:eastAsia="ko-KR"/>
        </w:rPr>
        <w:tab/>
        <w:t>During the last 5 seconds before the reception of the handover command:</w:t>
      </w:r>
    </w:p>
    <w:p w14:paraId="2EB44396" w14:textId="77777777" w:rsidR="008F79A1" w:rsidRDefault="008F79A1" w:rsidP="008F79A1">
      <w:pPr>
        <w:pStyle w:val="B20"/>
        <w:rPr>
          <w:lang w:eastAsia="ko-KR"/>
        </w:rPr>
      </w:pPr>
      <w:r>
        <w:rPr>
          <w:lang w:eastAsia="ko-KR"/>
        </w:rPr>
        <w:t>-</w:t>
      </w:r>
      <w:r>
        <w:rPr>
          <w:lang w:eastAsia="ko-KR"/>
        </w:rPr>
        <w:tab/>
        <w:t>the UE has sent a valid measurement report for the target cell and</w:t>
      </w:r>
    </w:p>
    <w:p w14:paraId="5491ADBA" w14:textId="77777777" w:rsidR="008F79A1" w:rsidRDefault="008F79A1" w:rsidP="008F79A1">
      <w:pPr>
        <w:pStyle w:val="B20"/>
        <w:rPr>
          <w:lang w:eastAsia="ko-KR"/>
        </w:rPr>
      </w:pPr>
      <w:r>
        <w:rPr>
          <w:lang w:eastAsia="ko-KR"/>
        </w:rPr>
        <w:t>-</w:t>
      </w:r>
      <w:r>
        <w:rPr>
          <w:lang w:eastAsia="ko-KR"/>
        </w:rPr>
        <w:tab/>
        <w:t xml:space="preserve">One of the SSBs measured from the NR target cell being </w:t>
      </w:r>
      <w:r>
        <w:rPr>
          <w:lang w:eastAsia="zh-CN"/>
        </w:rPr>
        <w:t>configured</w:t>
      </w:r>
      <w:r>
        <w:rPr>
          <w:lang w:eastAsia="ko-KR"/>
        </w:rPr>
        <w:t xml:space="preserve"> remains detectable according to the cell identification conditions specified in </w:t>
      </w:r>
      <w:r>
        <w:t>Clause 9.2A.5 for intra-frequency handover and Clause 9.3A.4 for inter-frequency handover to a carrier frequency with CCA</w:t>
      </w:r>
      <w:r>
        <w:rPr>
          <w:lang w:eastAsia="ko-KR"/>
        </w:rPr>
        <w:t>,</w:t>
      </w:r>
    </w:p>
    <w:p w14:paraId="73C2A969" w14:textId="77777777" w:rsidR="008F79A1" w:rsidRDefault="008F79A1" w:rsidP="008F79A1">
      <w:pPr>
        <w:pStyle w:val="B10"/>
        <w:rPr>
          <w:lang w:eastAsia="ko-KR"/>
        </w:rPr>
      </w:pPr>
      <w:r>
        <w:rPr>
          <w:lang w:eastAsia="ko-KR"/>
        </w:rPr>
        <w:t>-</w:t>
      </w:r>
      <w:r>
        <w:rPr>
          <w:lang w:eastAsia="ko-KR"/>
        </w:rPr>
        <w:tab/>
        <w:t xml:space="preserve">One of the SSBs measured from the target cell also remains detectable during the handover delay according to the cell identification conditions specified in </w:t>
      </w:r>
      <w:r>
        <w:t>Clause 9.2A.5 for intra-frequency handover and Clause 9.3A.4 for inter-frequency handover to a carrier frequency with CCA</w:t>
      </w:r>
      <w:r>
        <w:rPr>
          <w:lang w:eastAsia="ko-KR"/>
        </w:rPr>
        <w:t>.</w:t>
      </w:r>
    </w:p>
    <w:p w14:paraId="0DEA101E" w14:textId="77777777" w:rsidR="008F79A1" w:rsidRDefault="008F79A1" w:rsidP="008F79A1">
      <w:pPr>
        <w:rPr>
          <w:lang w:eastAsia="ko-KR"/>
        </w:rPr>
      </w:pPr>
      <w:r>
        <w:rPr>
          <w:lang w:eastAsia="ko-KR"/>
        </w:rPr>
        <w:t>otherwise it is unknown.</w:t>
      </w:r>
    </w:p>
    <w:p w14:paraId="677902D2" w14:textId="77777777" w:rsidR="008F79A1" w:rsidRDefault="008F79A1" w:rsidP="008F79A1">
      <w:pPr>
        <w:pStyle w:val="Heading4"/>
        <w:rPr>
          <w:lang w:val="en-US" w:eastAsia="zh-CN"/>
        </w:rPr>
      </w:pPr>
      <w:r>
        <w:rPr>
          <w:lang w:val="en-US" w:eastAsia="zh-CN"/>
        </w:rPr>
        <w:t>6.1B.1.4</w:t>
      </w:r>
      <w:r>
        <w:rPr>
          <w:lang w:val="en-US" w:eastAsia="zh-CN"/>
        </w:rPr>
        <w:tab/>
        <w:t>NR FR1- NR FR2-2 Handover</w:t>
      </w:r>
    </w:p>
    <w:p w14:paraId="286E2DC6" w14:textId="77777777" w:rsidR="008F79A1" w:rsidRDefault="008F79A1" w:rsidP="008F79A1">
      <w:r>
        <w:t>The requirements in this clause are applicable to inter-frequency handovers from NR FR1 cell to NR FR2-2 cell</w:t>
      </w:r>
      <w:r>
        <w:rPr>
          <w:color w:val="000000" w:themeColor="text1"/>
        </w:rPr>
        <w:t xml:space="preserve"> in carrier frequencies with CCA</w:t>
      </w:r>
      <w:r>
        <w:t>.</w:t>
      </w:r>
    </w:p>
    <w:p w14:paraId="25DEC598" w14:textId="77777777" w:rsidR="008F79A1" w:rsidRDefault="008F79A1" w:rsidP="008F79A1">
      <w:pPr>
        <w:pStyle w:val="Heading5"/>
      </w:pPr>
      <w:r>
        <w:t>6.1B.1.4.1</w:t>
      </w:r>
      <w:r>
        <w:tab/>
        <w:t>Handover delay</w:t>
      </w:r>
    </w:p>
    <w:p w14:paraId="6E4F28B0" w14:textId="77777777" w:rsidR="008F79A1" w:rsidRDefault="008F79A1" w:rsidP="008F79A1">
      <w:pPr>
        <w:rPr>
          <w:rFonts w:cs="v4.2.0"/>
        </w:rPr>
      </w:pPr>
      <w:r>
        <w:rPr>
          <w:rFonts w:cs="v4.2.0"/>
        </w:rPr>
        <w:t xml:space="preserve">When the UE receives a RRC message implying handover the UE shall be ready to </w:t>
      </w:r>
      <w:r>
        <w:rPr>
          <w:rFonts w:cs="v4.2.0"/>
          <w:snapToGrid w:val="0"/>
        </w:rPr>
        <w:t>start the transmission of the new uplink PRACH channel</w:t>
      </w:r>
      <w:r>
        <w:rPr>
          <w:rFonts w:cs="v4.2.0"/>
        </w:rPr>
        <w:t xml:space="preserve"> within D</w:t>
      </w:r>
      <w:r>
        <w:rPr>
          <w:rFonts w:cs="v4.2.0"/>
          <w:vertAlign w:val="subscript"/>
        </w:rPr>
        <w:t>handover</w:t>
      </w:r>
      <w:r>
        <w:rPr>
          <w:rFonts w:cs="v4.2.0"/>
        </w:rPr>
        <w:t xml:space="preserve"> </w:t>
      </w:r>
      <w:r>
        <w:rPr>
          <w:rFonts w:cs="v4.2.0"/>
          <w:lang w:val="en-US" w:eastAsia="zh-CN"/>
        </w:rPr>
        <w:t xml:space="preserve">ms </w:t>
      </w:r>
      <w:r>
        <w:rPr>
          <w:rFonts w:cs="v4.2.0"/>
        </w:rPr>
        <w:t>from the end of the last TTI containing the RRC command.</w:t>
      </w:r>
    </w:p>
    <w:p w14:paraId="6DD8EB49" w14:textId="77777777" w:rsidR="008F79A1" w:rsidRDefault="008F79A1" w:rsidP="008F79A1">
      <w:pPr>
        <w:rPr>
          <w:rFonts w:cs="v4.2.0"/>
        </w:rPr>
      </w:pPr>
      <w:r>
        <w:rPr>
          <w:rFonts w:cs="v4.2.0"/>
        </w:rPr>
        <w:t>Where:</w:t>
      </w:r>
    </w:p>
    <w:p w14:paraId="35C73965" w14:textId="77777777" w:rsidR="008F79A1" w:rsidRDefault="008F79A1" w:rsidP="008F79A1">
      <w:pPr>
        <w:rPr>
          <w:rFonts w:cs="v4.2.0"/>
        </w:rPr>
      </w:pPr>
      <w:r>
        <w:rPr>
          <w:rFonts w:cs="v4.2.0"/>
        </w:rPr>
        <w:t>D</w:t>
      </w:r>
      <w:r>
        <w:rPr>
          <w:rFonts w:cs="v4.2.0"/>
          <w:vertAlign w:val="subscript"/>
        </w:rPr>
        <w:t>handover</w:t>
      </w:r>
      <w:r>
        <w:rPr>
          <w:rFonts w:cs="v4.2.0"/>
        </w:rPr>
        <w:t xml:space="preserve"> equals the </w:t>
      </w:r>
      <w:r>
        <w:rPr>
          <w:rFonts w:cs="v4.2.0"/>
          <w:lang w:val="en-US" w:eastAsia="zh-CN"/>
        </w:rPr>
        <w:t>applicable</w:t>
      </w:r>
      <w:r>
        <w:rPr>
          <w:rFonts w:cs="v4.2.0"/>
        </w:rPr>
        <w:t xml:space="preserve"> RRC procedure delay defined in clause </w:t>
      </w:r>
      <w:r>
        <w:rPr>
          <w:rFonts w:cs="v4.2.0"/>
          <w:lang w:eastAsia="zh-CN"/>
        </w:rPr>
        <w:t>12</w:t>
      </w:r>
      <w:r>
        <w:rPr>
          <w:rFonts w:cs="v4.2.0"/>
        </w:rPr>
        <w:t xml:space="preserve"> in </w:t>
      </w:r>
      <w:r>
        <w:t>TS 38.331 [2]</w:t>
      </w:r>
      <w:r>
        <w:rPr>
          <w:rFonts w:cs="v4.2.0"/>
        </w:rPr>
        <w:t xml:space="preserve"> plus the interruption time stated in clause 6.1B.1.4.2.</w:t>
      </w:r>
    </w:p>
    <w:p w14:paraId="36F1A47E" w14:textId="77777777" w:rsidR="008F79A1" w:rsidRDefault="008F79A1" w:rsidP="008F79A1">
      <w:pPr>
        <w:pStyle w:val="Heading5"/>
      </w:pPr>
      <w:r>
        <w:t>6.1B.1.4.2</w:t>
      </w:r>
      <w:r>
        <w:tab/>
        <w:t>Interruption time</w:t>
      </w:r>
    </w:p>
    <w:p w14:paraId="6F405694" w14:textId="77777777" w:rsidR="008F79A1" w:rsidRDefault="008F79A1" w:rsidP="008F79A1">
      <w:pPr>
        <w:rPr>
          <w:rFonts w:cs="v4.2.0"/>
        </w:rPr>
      </w:pPr>
      <w:r>
        <w:rPr>
          <w:rFonts w:cs="v4.2.0"/>
        </w:rPr>
        <w:t>The interruption time is the time between end of the last TTI containing the RRC command on the old PDSCH and the time the UE starts transmission of the new PRACH</w:t>
      </w:r>
      <w:r>
        <w:rPr>
          <w:rFonts w:eastAsia="MS Mincho" w:cs="v4.2.0"/>
        </w:rPr>
        <w:t>, excluding the RRC procedure delay</w:t>
      </w:r>
      <w:r>
        <w:rPr>
          <w:rFonts w:cs="v4.2.0"/>
        </w:rPr>
        <w:t>.</w:t>
      </w:r>
    </w:p>
    <w:p w14:paraId="12465FAF" w14:textId="77777777" w:rsidR="008F79A1" w:rsidRDefault="008F79A1" w:rsidP="008F79A1">
      <w:pPr>
        <w:rPr>
          <w:rFonts w:cs="v4.2.0"/>
          <w:position w:val="-6"/>
        </w:rPr>
      </w:pPr>
      <w:r>
        <w:rPr>
          <w:rFonts w:cs="v4.2.0"/>
        </w:rPr>
        <w:t>When in inter-frequency handover is commanded, the interruption time shall be less than T</w:t>
      </w:r>
      <w:r>
        <w:rPr>
          <w:rFonts w:cs="v4.2.0"/>
          <w:vertAlign w:val="subscript"/>
        </w:rPr>
        <w:t>interrupt</w:t>
      </w:r>
    </w:p>
    <w:p w14:paraId="30D1700D" w14:textId="77777777" w:rsidR="008F79A1" w:rsidRDefault="008F79A1" w:rsidP="008F79A1">
      <w:pPr>
        <w:pStyle w:val="EQ"/>
      </w:pPr>
      <w:r>
        <w:tab/>
      </w:r>
      <w:r>
        <w:rPr>
          <w:rFonts w:cs="v4.2.0"/>
        </w:rPr>
        <w:t>T</w:t>
      </w:r>
      <w:r>
        <w:rPr>
          <w:rFonts w:cs="v4.2.0"/>
          <w:vertAlign w:val="subscript"/>
        </w:rPr>
        <w:t>interrupt</w:t>
      </w:r>
      <w:r>
        <w:t xml:space="preserve"> = T</w:t>
      </w:r>
      <w:r>
        <w:rPr>
          <w:vertAlign w:val="subscript"/>
        </w:rPr>
        <w:t>search</w:t>
      </w:r>
      <w:r>
        <w:t xml:space="preserve"> + T</w:t>
      </w:r>
      <w:r>
        <w:rPr>
          <w:vertAlign w:val="subscript"/>
        </w:rPr>
        <w:t>IU</w:t>
      </w:r>
      <w:r>
        <w:t xml:space="preserve"> + </w:t>
      </w:r>
      <w:r>
        <w:rPr>
          <w:lang w:eastAsia="zh-CN"/>
        </w:rPr>
        <w:t>T</w:t>
      </w:r>
      <w:r>
        <w:rPr>
          <w:vertAlign w:val="subscript"/>
          <w:lang w:eastAsia="zh-CN"/>
        </w:rPr>
        <w:t xml:space="preserve">processing </w:t>
      </w:r>
      <w:r>
        <w:rPr>
          <w:lang w:eastAsia="zh-CN"/>
        </w:rPr>
        <w:t>+ T</w:t>
      </w:r>
      <w:r>
        <w:rPr>
          <w:vertAlign w:val="subscript"/>
          <w:lang w:eastAsia="zh-CN"/>
        </w:rPr>
        <w:t xml:space="preserve">∆ </w:t>
      </w:r>
      <w:r>
        <w:rPr>
          <w:lang w:eastAsia="zh-CN"/>
        </w:rPr>
        <w:t>+ T</w:t>
      </w:r>
      <w:r>
        <w:rPr>
          <w:vertAlign w:val="subscript"/>
          <w:lang w:eastAsia="zh-CN"/>
        </w:rPr>
        <w:t>margin</w:t>
      </w:r>
      <w:r>
        <w:rPr>
          <w:lang w:eastAsia="zh-CN"/>
        </w:rPr>
        <w:t xml:space="preserve"> </w:t>
      </w:r>
      <w:r>
        <w:t>ms</w:t>
      </w:r>
    </w:p>
    <w:p w14:paraId="6DC47464" w14:textId="77777777" w:rsidR="008F79A1" w:rsidRDefault="008F79A1" w:rsidP="008F79A1">
      <w:pPr>
        <w:rPr>
          <w:rFonts w:cs="v4.2.0"/>
        </w:rPr>
      </w:pPr>
      <w:r>
        <w:rPr>
          <w:rFonts w:cs="v4.2.0"/>
        </w:rPr>
        <w:t>Where:</w:t>
      </w:r>
    </w:p>
    <w:p w14:paraId="24B22015" w14:textId="5795D1A7" w:rsidR="008F79A1" w:rsidRDefault="00F854C6" w:rsidP="008F79A1">
      <w:pPr>
        <w:pStyle w:val="B10"/>
      </w:pPr>
      <w:r>
        <w:tab/>
        <w:t>T</w:t>
      </w:r>
      <w:r>
        <w:rPr>
          <w:vertAlign w:val="subscript"/>
        </w:rPr>
        <w:t>search</w:t>
      </w:r>
      <w:r>
        <w:t xml:space="preserve"> is the time required to search the target cell when the handover command is received by the UE. If the target cell is a known cell, then T</w:t>
      </w:r>
      <w:r>
        <w:rPr>
          <w:vertAlign w:val="subscript"/>
        </w:rPr>
        <w:t>search</w:t>
      </w:r>
      <w:r>
        <w:t xml:space="preserve"> = 0 ms. If the target cell is an unknown inter-frequency cell and the target cell Es/Iot</w:t>
      </w:r>
      <w:r>
        <w:rPr>
          <w:rFonts w:hint="eastAsia"/>
        </w:rPr>
        <w:t>≥</w:t>
      </w:r>
      <w:r>
        <w:t>-2 dB, then T</w:t>
      </w:r>
      <w:r>
        <w:rPr>
          <w:vertAlign w:val="subscript"/>
        </w:rPr>
        <w:t>search</w:t>
      </w:r>
      <w:r>
        <w:t xml:space="preserve"> = (</w:t>
      </w:r>
      <w:r>
        <w:rPr>
          <w:lang w:eastAsia="zh-CN"/>
        </w:rPr>
        <w:t>3+</w:t>
      </w:r>
      <w:r>
        <w:t>L</w:t>
      </w:r>
      <w:r>
        <w:rPr>
          <w:vertAlign w:val="subscript"/>
        </w:rPr>
        <w:t>1</w:t>
      </w:r>
      <w:r>
        <w:t>) * N * T</w:t>
      </w:r>
      <w:r>
        <w:rPr>
          <w:vertAlign w:val="subscript"/>
        </w:rPr>
        <w:t>rs</w:t>
      </w:r>
      <w:r>
        <w:t>, where</w:t>
      </w:r>
      <w:r>
        <w:rPr>
          <w:lang w:eastAsia="zh-CN"/>
        </w:rPr>
        <w:t xml:space="preserve"> </w:t>
      </w:r>
      <w:r>
        <w:rPr>
          <w:lang w:val="en-US"/>
        </w:rPr>
        <w:t>L</w:t>
      </w:r>
      <w:r>
        <w:rPr>
          <w:vertAlign w:val="subscript"/>
          <w:lang w:val="en-US"/>
        </w:rPr>
        <w:t>1</w:t>
      </w:r>
      <w:r>
        <w:rPr>
          <w:lang w:eastAsia="zh-CN"/>
        </w:rPr>
        <w:t xml:space="preserve"> is the number of SMTC occasion groups not available at the UE </w:t>
      </w:r>
      <w:r>
        <w:t>during the inter-frequency detection period</w:t>
      </w:r>
      <w:r>
        <w:rPr>
          <w:lang w:eastAsia="zh-CN"/>
        </w:rPr>
        <w:t>.</w:t>
      </w:r>
      <w:r>
        <w:t xml:space="preserve"> An SMTC occasion group consists of N consecutive SMTC occasions. An SMTC occasion group is not available, when at least one SMTC occasion in the group is not transmitted by the gNB. N is equal to 12. Regardless of whether DRX is in use by the UE, T</w:t>
      </w:r>
      <w:r>
        <w:rPr>
          <w:vertAlign w:val="subscript"/>
        </w:rPr>
        <w:t>search</w:t>
      </w:r>
      <w:r>
        <w:t xml:space="preserve"> shall still be based on non-DRX target cell search times.</w:t>
      </w:r>
    </w:p>
    <w:p w14:paraId="608593ED" w14:textId="77777777" w:rsidR="008F79A1" w:rsidRDefault="008F79A1" w:rsidP="008F79A1">
      <w:pPr>
        <w:pStyle w:val="B10"/>
      </w:pPr>
      <w:r>
        <w:tab/>
        <w:t>T</w:t>
      </w:r>
      <w:r>
        <w:rPr>
          <w:vertAlign w:val="subscript"/>
          <w:lang w:eastAsia="zh-CN"/>
        </w:rPr>
        <w:t>processing</w:t>
      </w:r>
      <w:r>
        <w:t xml:space="preserve"> is time for UE processing. T</w:t>
      </w:r>
      <w:r>
        <w:rPr>
          <w:vertAlign w:val="subscript"/>
          <w:lang w:eastAsia="zh-CN"/>
        </w:rPr>
        <w:t>processing</w:t>
      </w:r>
      <w:r>
        <w:t xml:space="preserve"> can be up 40ms. </w:t>
      </w:r>
    </w:p>
    <w:p w14:paraId="7F88E42E" w14:textId="77777777" w:rsidR="008F79A1" w:rsidRDefault="008F79A1" w:rsidP="008F79A1">
      <w:pPr>
        <w:pStyle w:val="B10"/>
      </w:pPr>
      <w:r>
        <w:rPr>
          <w:lang w:eastAsia="zh-CN"/>
        </w:rPr>
        <w:tab/>
        <w:t>T</w:t>
      </w:r>
      <w:r>
        <w:rPr>
          <w:vertAlign w:val="subscript"/>
          <w:lang w:eastAsia="zh-CN"/>
        </w:rPr>
        <w:t xml:space="preserve">margin </w:t>
      </w:r>
      <w:r>
        <w:rPr>
          <w:lang w:eastAsia="zh-CN"/>
        </w:rPr>
        <w:t>is time for SSB post-processing. T</w:t>
      </w:r>
      <w:r>
        <w:rPr>
          <w:vertAlign w:val="subscript"/>
          <w:lang w:eastAsia="zh-CN"/>
        </w:rPr>
        <w:t xml:space="preserve">margin </w:t>
      </w:r>
      <w:r>
        <w:rPr>
          <w:lang w:eastAsia="zh-CN"/>
        </w:rPr>
        <w:t>can be up to 2ms.</w:t>
      </w:r>
    </w:p>
    <w:p w14:paraId="41A6A6EE" w14:textId="77777777" w:rsidR="008F79A1" w:rsidRDefault="008F79A1" w:rsidP="008F79A1">
      <w:pPr>
        <w:pStyle w:val="B10"/>
      </w:pPr>
      <w:r>
        <w:tab/>
        <w:t>T</w:t>
      </w:r>
      <w:r>
        <w:rPr>
          <w:vertAlign w:val="subscript"/>
        </w:rPr>
        <w:t>∆</w:t>
      </w:r>
      <w:r>
        <w:t xml:space="preserve"> is time for fine time tracking and acquiring full timing information of the target cell. T</w:t>
      </w:r>
      <w:r>
        <w:rPr>
          <w:vertAlign w:val="subscript"/>
        </w:rPr>
        <w:t>∆</w:t>
      </w:r>
      <w:r>
        <w:t xml:space="preserve"> = </w:t>
      </w:r>
      <w:r>
        <w:rPr>
          <w:color w:val="000000" w:themeColor="text1"/>
        </w:rPr>
        <w:t>(1+</w:t>
      </w:r>
      <w:r>
        <w:rPr>
          <w:rFonts w:cs="v4.2.0"/>
          <w:color w:val="000000" w:themeColor="text1"/>
        </w:rPr>
        <w:t xml:space="preserve"> L</w:t>
      </w:r>
      <w:r>
        <w:rPr>
          <w:rFonts w:cs="v4.2.0"/>
          <w:color w:val="000000" w:themeColor="text1"/>
          <w:vertAlign w:val="subscript"/>
        </w:rPr>
        <w:t>2</w:t>
      </w:r>
      <w:r>
        <w:rPr>
          <w:rFonts w:cs="v4.2.0"/>
          <w:color w:val="000000" w:themeColor="text1"/>
        </w:rPr>
        <w:t>) *</w:t>
      </w:r>
      <w:r>
        <w:t xml:space="preserve"> T</w:t>
      </w:r>
      <w:r>
        <w:rPr>
          <w:vertAlign w:val="subscript"/>
        </w:rPr>
        <w:t>rs</w:t>
      </w:r>
      <w:r>
        <w:t xml:space="preserve">, </w:t>
      </w:r>
      <w:r>
        <w:rPr>
          <w:color w:val="000000" w:themeColor="text1"/>
        </w:rPr>
        <w:t xml:space="preserve">where </w:t>
      </w:r>
      <w:r>
        <w:rPr>
          <w:rFonts w:cs="v4.2.0"/>
          <w:color w:val="000000" w:themeColor="text1"/>
        </w:rPr>
        <w:t>L</w:t>
      </w:r>
      <w:r>
        <w:rPr>
          <w:rFonts w:cs="v4.2.0"/>
          <w:color w:val="000000" w:themeColor="text1"/>
          <w:vertAlign w:val="subscript"/>
        </w:rPr>
        <w:t>2</w:t>
      </w:r>
      <w:r>
        <w:rPr>
          <w:color w:val="000000" w:themeColor="text1"/>
        </w:rPr>
        <w:t xml:space="preserve"> is the number of SMTC </w:t>
      </w:r>
      <w:r>
        <w:rPr>
          <w:rFonts w:cs="v4.2.0"/>
          <w:color w:val="000000" w:themeColor="text1"/>
        </w:rPr>
        <w:t>occasions</w:t>
      </w:r>
      <w:r>
        <w:rPr>
          <w:color w:val="000000" w:themeColor="text1"/>
        </w:rPr>
        <w:t xml:space="preserve"> not available at the UE during the time tracking period</w:t>
      </w:r>
      <w:r>
        <w:t>.</w:t>
      </w:r>
    </w:p>
    <w:p w14:paraId="315ED9CB" w14:textId="65930BEF" w:rsidR="008F79A1" w:rsidRDefault="00355D3E" w:rsidP="008F79A1">
      <w:pPr>
        <w:pStyle w:val="B10"/>
        <w:rPr>
          <w:lang w:eastAsia="zh-CN"/>
        </w:rPr>
      </w:pPr>
      <w:r>
        <w:tab/>
        <w:t>T</w:t>
      </w:r>
      <w:r>
        <w:rPr>
          <w:vertAlign w:val="subscript"/>
        </w:rPr>
        <w:t>IU</w:t>
      </w:r>
      <w:r>
        <w:t xml:space="preserve"> is the interruption uncertainty</w:t>
      </w:r>
      <w:r>
        <w:rPr>
          <w:color w:val="000000" w:themeColor="text1"/>
        </w:rPr>
        <w:t xml:space="preserve"> due to the random access procedure when sending PRACH to the new cell</w:t>
      </w:r>
      <w:r>
        <w:t>. T</w:t>
      </w:r>
      <w:r>
        <w:rPr>
          <w:vertAlign w:val="subscript"/>
        </w:rPr>
        <w:t>IU</w:t>
      </w:r>
      <w:r>
        <w:t xml:space="preserve"> can be up to (1+</w:t>
      </w:r>
      <w:r>
        <w:rPr>
          <w:bCs/>
        </w:rPr>
        <w:t xml:space="preserve"> L</w:t>
      </w:r>
      <w:r>
        <w:rPr>
          <w:bCs/>
          <w:vertAlign w:val="subscript"/>
        </w:rPr>
        <w:t>3</w:t>
      </w:r>
      <w:r>
        <w:t>)*</w:t>
      </w:r>
      <w:r>
        <w:rPr>
          <w:color w:val="000000" w:themeColor="text1"/>
        </w:rPr>
        <w:t>T</w:t>
      </w:r>
      <w:r>
        <w:rPr>
          <w:color w:val="000000" w:themeColor="text1"/>
          <w:vertAlign w:val="subscript"/>
        </w:rPr>
        <w:t>SSB,RO</w:t>
      </w:r>
      <w:r>
        <w:rPr>
          <w:color w:val="000000" w:themeColor="text1"/>
        </w:rPr>
        <w:t xml:space="preserve"> + 10</w:t>
      </w:r>
      <w:r>
        <w:t xml:space="preserve">ms, </w:t>
      </w:r>
      <w:r>
        <w:rPr>
          <w:color w:val="000000" w:themeColor="text1"/>
        </w:rPr>
        <w:t>where T</w:t>
      </w:r>
      <w:r>
        <w:rPr>
          <w:color w:val="000000" w:themeColor="text1"/>
          <w:vertAlign w:val="subscript"/>
        </w:rPr>
        <w:t xml:space="preserve">SSB,RO </w:t>
      </w:r>
      <w:r>
        <w:rPr>
          <w:color w:val="000000" w:themeColor="text1"/>
        </w:rPr>
        <w:t xml:space="preserve">is </w:t>
      </w:r>
      <w:r>
        <w:t xml:space="preserve">SSB to PRACH occasion associated period is defined in the table 8.1-1 of TS 38.213 [3] </w:t>
      </w:r>
      <w:r>
        <w:rPr>
          <w:color w:val="000000" w:themeColor="text1"/>
        </w:rPr>
        <w:t>and L</w:t>
      </w:r>
      <w:r>
        <w:rPr>
          <w:color w:val="000000" w:themeColor="text1"/>
          <w:vertAlign w:val="subscript"/>
        </w:rPr>
        <w:t>3</w:t>
      </w:r>
      <w:r>
        <w:rPr>
          <w:color w:val="000000" w:themeColor="text1"/>
        </w:rPr>
        <w:t xml:space="preserve"> is the number of consecutive </w:t>
      </w:r>
      <w:r>
        <w:t xml:space="preserve">SSB to PRACH occasion association periods during which no </w:t>
      </w:r>
      <w:r>
        <w:rPr>
          <w:color w:val="000000" w:themeColor="text1"/>
        </w:rPr>
        <w:t>PRACH occasion is available for PRACH transmission due to UL CCA failure. L</w:t>
      </w:r>
      <w:r>
        <w:rPr>
          <w:color w:val="000000" w:themeColor="text1"/>
          <w:vertAlign w:val="subscript"/>
        </w:rPr>
        <w:t>3</w:t>
      </w:r>
      <w:r>
        <w:rPr>
          <w:color w:val="000000" w:themeColor="text1"/>
        </w:rPr>
        <w:t xml:space="preserve"> = 0 for Type 3 channel access procedure as defined in TS 37.213 [33]</w:t>
      </w:r>
      <w:r w:rsidRPr="00AE1258">
        <w:rPr>
          <w:color w:val="000000" w:themeColor="text1"/>
        </w:rPr>
        <w:t xml:space="preserve"> </w:t>
      </w:r>
      <w:r>
        <w:rPr>
          <w:color w:val="000000" w:themeColor="text1"/>
        </w:rPr>
        <w:t>L</w:t>
      </w:r>
      <w:r>
        <w:rPr>
          <w:color w:val="000000" w:themeColor="text1"/>
          <w:vertAlign w:val="subscript"/>
        </w:rPr>
        <w:t>3</w:t>
      </w:r>
      <w:r>
        <w:rPr>
          <w:color w:val="000000" w:themeColor="text1"/>
        </w:rPr>
        <w:t xml:space="preserve"> = 0 if </w:t>
      </w:r>
      <w:r w:rsidRPr="00C01850">
        <w:rPr>
          <w:i/>
          <w:color w:val="000000" w:themeColor="text1"/>
        </w:rPr>
        <w:t>ra-ChannelAccess-r17</w:t>
      </w:r>
      <w:r>
        <w:rPr>
          <w:color w:val="000000" w:themeColor="text1"/>
        </w:rPr>
        <w:t xml:space="preserve"> is not configured in FR2-2.</w:t>
      </w:r>
    </w:p>
    <w:p w14:paraId="1ED618B7" w14:textId="65CFEA60" w:rsidR="008F79A1" w:rsidRDefault="00355D3E" w:rsidP="00A6677A">
      <w:pPr>
        <w:pStyle w:val="B10"/>
      </w:pPr>
      <w:r>
        <w:t>-</w:t>
      </w:r>
      <w:r>
        <w:tab/>
        <w:t>T</w:t>
      </w:r>
      <w:r>
        <w:rPr>
          <w:vertAlign w:val="subscript"/>
        </w:rPr>
        <w:t>rs</w:t>
      </w:r>
      <w:r>
        <w:t xml:space="preserve"> is the SMTC periodicity of the target NR cell in a carrier frequency with CCA if the UE has been provided with an SMTC configuration for the target cell in the handover command, otherwise T</w:t>
      </w:r>
      <w:r w:rsidRPr="00D60521">
        <w:rPr>
          <w:vertAlign w:val="subscript"/>
        </w:rPr>
        <w:t>rs</w:t>
      </w:r>
      <w:r>
        <w:t xml:space="preserve"> is the SMTC configured in the </w:t>
      </w:r>
      <w:r w:rsidRPr="00D60521">
        <w:rPr>
          <w:i/>
          <w:iCs/>
        </w:rPr>
        <w:t>measObjectNR</w:t>
      </w:r>
      <w:r>
        <w:t xml:space="preserve"> having the same SSB frequency and subcarrier spacing. If the UE is not provided SMTC configuration or measurement object on this frequency, the requirement in this clause is applied with T</w:t>
      </w:r>
      <w:r>
        <w:rPr>
          <w:vertAlign w:val="subscript"/>
        </w:rPr>
        <w:t>rs</w:t>
      </w:r>
      <w:r>
        <w:t>=5ms assuming the SSB transmission periodicity is 5ms. There is no requirement if the SSB transmission periodicity is not 5ms.</w:t>
      </w:r>
    </w:p>
    <w:p w14:paraId="167EE166" w14:textId="64F152D4" w:rsidR="008F79A1" w:rsidRDefault="00355D3E" w:rsidP="008F79A1">
      <w:pPr>
        <w:pStyle w:val="NO"/>
      </w:pPr>
      <w:r>
        <w:t>NOTE 1:</w:t>
      </w:r>
      <w:r>
        <w:rPr>
          <w:lang w:eastAsia="zh-CN"/>
        </w:rPr>
        <w:tab/>
      </w:r>
      <w:r>
        <w:t xml:space="preserve">The interruption time considering the potential extensions caused by </w:t>
      </w:r>
      <w:r>
        <w:rPr>
          <w:lang w:val="en-US"/>
        </w:rPr>
        <w:t>L</w:t>
      </w:r>
      <w:r>
        <w:rPr>
          <w:vertAlign w:val="subscript"/>
          <w:lang w:val="en-US"/>
        </w:rPr>
        <w:t>1</w:t>
      </w:r>
      <w:r>
        <w:rPr>
          <w:lang w:val="en-US"/>
        </w:rPr>
        <w:t>,</w:t>
      </w:r>
      <w:r>
        <w:rPr>
          <w:vertAlign w:val="subscript"/>
          <w:lang w:val="en-US"/>
        </w:rPr>
        <w:t xml:space="preserve"> </w:t>
      </w:r>
      <w:r>
        <w:rPr>
          <w:lang w:val="en-US"/>
        </w:rPr>
        <w:t>L</w:t>
      </w:r>
      <w:r>
        <w:rPr>
          <w:vertAlign w:val="subscript"/>
          <w:lang w:val="en-US"/>
        </w:rPr>
        <w:t>2,</w:t>
      </w:r>
      <w:r>
        <w:rPr>
          <w:lang w:val="en-US"/>
        </w:rPr>
        <w:t xml:space="preserve"> L</w:t>
      </w:r>
      <w:r>
        <w:rPr>
          <w:vertAlign w:val="subscript"/>
          <w:lang w:val="en-US"/>
        </w:rPr>
        <w:t xml:space="preserve">3  </w:t>
      </w:r>
      <w:r>
        <w:rPr>
          <w:iCs/>
        </w:rPr>
        <w:t xml:space="preserve">and by the UL CCA failure detection/recovery mechanism </w:t>
      </w:r>
      <w:r>
        <w:rPr>
          <w:lang w:val="en-US"/>
        </w:rPr>
        <w:t>i</w:t>
      </w:r>
      <w:r>
        <w:t>s limited by the T304 timer. The UE behaviour at the T304 timer expiry is detailed in TS 38.331 [2].</w:t>
      </w:r>
    </w:p>
    <w:p w14:paraId="1C99D362" w14:textId="77777777" w:rsidR="008F79A1" w:rsidRDefault="008F79A1" w:rsidP="008F79A1">
      <w:pPr>
        <w:rPr>
          <w:lang w:eastAsia="ko-KR"/>
        </w:rPr>
      </w:pPr>
      <w:r>
        <w:rPr>
          <w:rFonts w:cs="v4.2.0"/>
          <w:lang w:eastAsia="zh-CN"/>
        </w:rPr>
        <w:t>In FR2-2, the target cell</w:t>
      </w:r>
      <w:r>
        <w:rPr>
          <w:rFonts w:cs="v4.2.0"/>
          <w:lang w:eastAsia="ko-KR"/>
        </w:rPr>
        <w:t xml:space="preserve"> is known if it </w:t>
      </w:r>
      <w:r>
        <w:rPr>
          <w:lang w:eastAsia="ko-KR"/>
        </w:rPr>
        <w:t>has been meeting the following conditions:</w:t>
      </w:r>
    </w:p>
    <w:p w14:paraId="544F1B76" w14:textId="77777777" w:rsidR="008F79A1" w:rsidRDefault="008F79A1" w:rsidP="008F79A1">
      <w:pPr>
        <w:pStyle w:val="B10"/>
        <w:rPr>
          <w:lang w:eastAsia="ko-KR"/>
        </w:rPr>
      </w:pPr>
      <w:r>
        <w:rPr>
          <w:lang w:eastAsia="ko-KR"/>
        </w:rPr>
        <w:t>During the last 5 seconds before the reception of the handover command:</w:t>
      </w:r>
    </w:p>
    <w:p w14:paraId="79DD54EE" w14:textId="77777777" w:rsidR="008F79A1" w:rsidRDefault="008F79A1" w:rsidP="008F79A1">
      <w:pPr>
        <w:pStyle w:val="B20"/>
        <w:rPr>
          <w:lang w:eastAsia="ko-KR"/>
        </w:rPr>
      </w:pPr>
      <w:r>
        <w:rPr>
          <w:lang w:eastAsia="ko-KR"/>
        </w:rPr>
        <w:t>-</w:t>
      </w:r>
      <w:r>
        <w:rPr>
          <w:lang w:eastAsia="ko-KR"/>
        </w:rPr>
        <w:tab/>
        <w:t>the UE has sent a valid measurement report for the target cell and</w:t>
      </w:r>
    </w:p>
    <w:p w14:paraId="3B103136" w14:textId="77777777" w:rsidR="008F79A1" w:rsidRDefault="008F79A1" w:rsidP="008F79A1">
      <w:pPr>
        <w:pStyle w:val="B20"/>
        <w:rPr>
          <w:lang w:eastAsia="ko-KR"/>
        </w:rPr>
      </w:pPr>
      <w:r>
        <w:rPr>
          <w:lang w:eastAsia="ko-KR"/>
        </w:rPr>
        <w:tab/>
        <w:t xml:space="preserve">One of the SSBs measured from the NR target cell being </w:t>
      </w:r>
      <w:r>
        <w:rPr>
          <w:lang w:eastAsia="zh-CN"/>
        </w:rPr>
        <w:t>configured</w:t>
      </w:r>
      <w:r>
        <w:rPr>
          <w:lang w:eastAsia="ko-KR"/>
        </w:rPr>
        <w:t xml:space="preserve"> remains detectable according to the cell identification conditions specified in </w:t>
      </w:r>
      <w:r>
        <w:t>Clause 9.2A.5 for intra-frequency handover and Clause 9.3A.4 for inter-frequency handover to a carrier frequency with CCA</w:t>
      </w:r>
      <w:r>
        <w:rPr>
          <w:lang w:eastAsia="ko-KR"/>
        </w:rPr>
        <w:t>,</w:t>
      </w:r>
    </w:p>
    <w:p w14:paraId="773CBD1B" w14:textId="77777777" w:rsidR="008F79A1" w:rsidRDefault="008F79A1" w:rsidP="008F79A1">
      <w:pPr>
        <w:pStyle w:val="B10"/>
        <w:rPr>
          <w:lang w:eastAsia="ko-KR"/>
        </w:rPr>
      </w:pPr>
      <w:r>
        <w:rPr>
          <w:lang w:eastAsia="ko-KR"/>
        </w:rPr>
        <w:t>-</w:t>
      </w:r>
      <w:r>
        <w:rPr>
          <w:lang w:eastAsia="ko-KR"/>
        </w:rPr>
        <w:tab/>
        <w:t xml:space="preserve">One of the SSBs measured from the target cell also remains detectable during the handover delay according to the cell identification conditions specified in </w:t>
      </w:r>
      <w:r>
        <w:t>Clause 9.2A.5 for intra-frequency handover and Clause 9.3A.4 for inter-frequency handover to a carrier frequency with CCA</w:t>
      </w:r>
      <w:r>
        <w:rPr>
          <w:lang w:eastAsia="ko-KR"/>
        </w:rPr>
        <w:t>.</w:t>
      </w:r>
    </w:p>
    <w:p w14:paraId="7F387863" w14:textId="3CE3AA2D" w:rsidR="008F79A1" w:rsidRDefault="008F79A1">
      <w:pPr>
        <w:rPr>
          <w:lang w:eastAsia="ko-KR"/>
        </w:rPr>
      </w:pPr>
      <w:r>
        <w:rPr>
          <w:lang w:eastAsia="ko-KR"/>
        </w:rPr>
        <w:t>otherwise it is unknown.</w:t>
      </w:r>
    </w:p>
    <w:p w14:paraId="7E635073" w14:textId="77777777" w:rsidR="00D85FF0" w:rsidRPr="009C5807" w:rsidRDefault="00D85FF0" w:rsidP="00D85FF0">
      <w:pPr>
        <w:pStyle w:val="Heading2"/>
        <w:rPr>
          <w:lang w:eastAsia="zh-CN"/>
        </w:rPr>
      </w:pPr>
      <w:r w:rsidRPr="009C5807">
        <w:t>6.1</w:t>
      </w:r>
      <w:r>
        <w:rPr>
          <w:rFonts w:hint="eastAsia"/>
          <w:lang w:eastAsia="zh-CN"/>
        </w:rPr>
        <w:t>C</w:t>
      </w:r>
      <w:r w:rsidRPr="009C5807">
        <w:tab/>
        <w:t>Handover</w:t>
      </w:r>
      <w:r>
        <w:rPr>
          <w:rFonts w:hint="eastAsia"/>
          <w:lang w:eastAsia="zh-CN"/>
        </w:rPr>
        <w:t xml:space="preserve"> for SAN</w:t>
      </w:r>
    </w:p>
    <w:p w14:paraId="0C6E5CCC" w14:textId="77777777" w:rsidR="00D85FF0" w:rsidRPr="009C5807" w:rsidRDefault="00D85FF0" w:rsidP="00D85FF0">
      <w:pPr>
        <w:pStyle w:val="Heading3"/>
        <w:rPr>
          <w:lang w:val="en-US" w:eastAsia="ko-KR"/>
        </w:rPr>
      </w:pPr>
      <w:r w:rsidRPr="009C5807">
        <w:rPr>
          <w:lang w:val="en-US" w:eastAsia="ko-KR"/>
        </w:rPr>
        <w:t>6.1</w:t>
      </w:r>
      <w:r>
        <w:rPr>
          <w:rFonts w:hint="eastAsia"/>
          <w:lang w:val="en-US" w:eastAsia="zh-CN"/>
        </w:rPr>
        <w:t>C</w:t>
      </w:r>
      <w:r w:rsidRPr="009C5807">
        <w:rPr>
          <w:lang w:val="en-US" w:eastAsia="ko-KR"/>
        </w:rPr>
        <w:t>.1</w:t>
      </w:r>
      <w:r w:rsidRPr="009C5807">
        <w:rPr>
          <w:lang w:val="en-US" w:eastAsia="ko-KR"/>
        </w:rPr>
        <w:tab/>
        <w:t xml:space="preserve">NR </w:t>
      </w:r>
      <w:r>
        <w:rPr>
          <w:rFonts w:hint="eastAsia"/>
          <w:lang w:val="en-US" w:eastAsia="zh-CN"/>
        </w:rPr>
        <w:t xml:space="preserve">SAN </w:t>
      </w:r>
      <w:r w:rsidRPr="009C5807">
        <w:rPr>
          <w:lang w:val="en-US" w:eastAsia="ko-KR"/>
        </w:rPr>
        <w:t>Handover</w:t>
      </w:r>
    </w:p>
    <w:p w14:paraId="00EABCAE" w14:textId="77777777" w:rsidR="00D85FF0" w:rsidRPr="009C5807" w:rsidRDefault="00D85FF0" w:rsidP="00D85FF0">
      <w:pPr>
        <w:pStyle w:val="Heading4"/>
        <w:rPr>
          <w:lang w:val="en-US" w:eastAsia="zh-CN"/>
        </w:rPr>
      </w:pPr>
      <w:r w:rsidRPr="009C5807">
        <w:rPr>
          <w:lang w:val="en-US" w:eastAsia="zh-CN"/>
        </w:rPr>
        <w:t>6.1</w:t>
      </w:r>
      <w:r>
        <w:rPr>
          <w:rFonts w:hint="eastAsia"/>
          <w:lang w:val="en-US" w:eastAsia="zh-CN"/>
        </w:rPr>
        <w:t>C</w:t>
      </w:r>
      <w:r w:rsidRPr="009C5807">
        <w:rPr>
          <w:lang w:val="en-US" w:eastAsia="zh-CN"/>
        </w:rPr>
        <w:t>.1.1</w:t>
      </w:r>
      <w:r w:rsidRPr="009C5807">
        <w:rPr>
          <w:lang w:val="en-US" w:eastAsia="zh-CN"/>
        </w:rPr>
        <w:tab/>
        <w:t>Introduction</w:t>
      </w:r>
    </w:p>
    <w:p w14:paraId="48550606" w14:textId="77777777" w:rsidR="00D85FF0" w:rsidRPr="009C5807" w:rsidRDefault="00D85FF0" w:rsidP="00D85FF0">
      <w:pPr>
        <w:tabs>
          <w:tab w:val="left" w:pos="7200"/>
        </w:tabs>
      </w:pPr>
      <w:r w:rsidRPr="009C5807">
        <w:t xml:space="preserve">The purpose of NR </w:t>
      </w:r>
      <w:r>
        <w:rPr>
          <w:rFonts w:hint="eastAsia"/>
          <w:lang w:eastAsia="zh-CN"/>
        </w:rPr>
        <w:t xml:space="preserve">SAN </w:t>
      </w:r>
      <w:r w:rsidRPr="009C5807">
        <w:t xml:space="preserve">handover is to change the NR </w:t>
      </w:r>
      <w:r>
        <w:rPr>
          <w:rFonts w:hint="eastAsia"/>
          <w:lang w:eastAsia="zh-CN"/>
        </w:rPr>
        <w:t xml:space="preserve">SAN </w:t>
      </w:r>
      <w:r w:rsidRPr="009C5807">
        <w:t xml:space="preserve">PCell to another NR </w:t>
      </w:r>
      <w:r>
        <w:rPr>
          <w:rFonts w:hint="eastAsia"/>
          <w:lang w:eastAsia="zh-CN"/>
        </w:rPr>
        <w:t xml:space="preserve">SAN </w:t>
      </w:r>
      <w:r w:rsidRPr="009C5807">
        <w:t>cell. The requirements in this clause are applicable to SA NR</w:t>
      </w:r>
      <w:r>
        <w:rPr>
          <w:rFonts w:hint="eastAsia"/>
          <w:lang w:eastAsia="zh-CN"/>
        </w:rPr>
        <w:t xml:space="preserve"> SAN</w:t>
      </w:r>
      <w:r w:rsidRPr="009C5807">
        <w:t>.</w:t>
      </w:r>
    </w:p>
    <w:p w14:paraId="00D4F179" w14:textId="77777777" w:rsidR="00D85FF0" w:rsidRPr="009C5807" w:rsidRDefault="00D85FF0" w:rsidP="00D85FF0">
      <w:pPr>
        <w:pStyle w:val="Heading4"/>
        <w:rPr>
          <w:lang w:val="en-US" w:eastAsia="zh-CN"/>
        </w:rPr>
      </w:pPr>
      <w:r w:rsidRPr="009C5807">
        <w:rPr>
          <w:lang w:val="en-US" w:eastAsia="zh-CN"/>
        </w:rPr>
        <w:t>6.1</w:t>
      </w:r>
      <w:r>
        <w:rPr>
          <w:rFonts w:hint="eastAsia"/>
          <w:lang w:val="en-US" w:eastAsia="zh-CN"/>
        </w:rPr>
        <w:t>C</w:t>
      </w:r>
      <w:r w:rsidRPr="009C5807">
        <w:rPr>
          <w:lang w:val="en-US" w:eastAsia="zh-CN"/>
        </w:rPr>
        <w:t>.1.2</w:t>
      </w:r>
      <w:r w:rsidRPr="009C5807">
        <w:rPr>
          <w:lang w:val="en-US" w:eastAsia="zh-CN"/>
        </w:rPr>
        <w:tab/>
        <w:t xml:space="preserve">NR </w:t>
      </w:r>
      <w:r>
        <w:rPr>
          <w:rFonts w:hint="eastAsia"/>
          <w:lang w:val="en-US" w:eastAsia="zh-CN"/>
        </w:rPr>
        <w:t xml:space="preserve">SAN </w:t>
      </w:r>
      <w:r w:rsidRPr="009C5807">
        <w:rPr>
          <w:lang w:val="en-US" w:eastAsia="zh-CN"/>
        </w:rPr>
        <w:t xml:space="preserve">FR1 </w:t>
      </w:r>
      <w:r>
        <w:rPr>
          <w:lang w:val="en-US" w:eastAsia="zh-CN"/>
        </w:rPr>
        <w:t>–</w:t>
      </w:r>
      <w:r w:rsidRPr="009C5807">
        <w:rPr>
          <w:lang w:val="en-US" w:eastAsia="zh-CN"/>
        </w:rPr>
        <w:t xml:space="preserve"> NR</w:t>
      </w:r>
      <w:r>
        <w:rPr>
          <w:rFonts w:hint="eastAsia"/>
          <w:lang w:val="en-US" w:eastAsia="zh-CN"/>
        </w:rPr>
        <w:t xml:space="preserve"> SAN</w:t>
      </w:r>
      <w:r w:rsidRPr="009C5807">
        <w:rPr>
          <w:lang w:val="en-US" w:eastAsia="zh-CN"/>
        </w:rPr>
        <w:t xml:space="preserve"> FR1 Handover</w:t>
      </w:r>
    </w:p>
    <w:p w14:paraId="04404D02" w14:textId="45D9EE57" w:rsidR="00D85FF0" w:rsidRPr="009C5807" w:rsidRDefault="00C72026" w:rsidP="00D85FF0">
      <w:pPr>
        <w:rPr>
          <w:lang w:eastAsia="zh-CN"/>
        </w:rPr>
      </w:pPr>
      <w:r w:rsidRPr="00E048BE">
        <w:t>The requirements in this clause are applicable to both intra-frequency and inter-frequency handovers from NR</w:t>
      </w:r>
      <w:r w:rsidRPr="00E048BE">
        <w:rPr>
          <w:rFonts w:hint="eastAsia"/>
          <w:lang w:eastAsia="zh-CN"/>
        </w:rPr>
        <w:t xml:space="preserve"> SAN</w:t>
      </w:r>
      <w:r w:rsidRPr="00E048BE">
        <w:t xml:space="preserve"> FR1 cell to NR</w:t>
      </w:r>
      <w:r w:rsidRPr="00E048BE">
        <w:rPr>
          <w:rFonts w:hint="eastAsia"/>
          <w:lang w:eastAsia="zh-CN"/>
        </w:rPr>
        <w:t xml:space="preserve"> SAN</w:t>
      </w:r>
      <w:r w:rsidRPr="00E048BE">
        <w:t xml:space="preserve"> FR1 cell.</w:t>
      </w:r>
      <w:r w:rsidRPr="008A5C06">
        <w:t xml:space="preserve"> </w:t>
      </w:r>
      <w:r>
        <w:t xml:space="preserve">The requirements in this clause apply provided that UE has </w:t>
      </w:r>
      <w:r>
        <w:rPr>
          <w:rFonts w:cs="v4.2.0" w:hint="eastAsia"/>
          <w:lang w:eastAsia="zh-CN"/>
        </w:rPr>
        <w:t>the valid</w:t>
      </w:r>
      <w:r w:rsidRPr="004521DB">
        <w:t xml:space="preserve"> </w:t>
      </w:r>
      <w:r w:rsidRPr="004521DB">
        <w:rPr>
          <w:rFonts w:cs="v4.2.0"/>
          <w:lang w:eastAsia="zh-CN"/>
        </w:rPr>
        <w:t>and applicable</w:t>
      </w:r>
      <w:r>
        <w:rPr>
          <w:rFonts w:cs="v4.2.0" w:hint="eastAsia"/>
          <w:lang w:eastAsia="zh-CN"/>
        </w:rPr>
        <w:t xml:space="preserve"> parameters of e</w:t>
      </w:r>
      <w:r w:rsidRPr="00C13AB2">
        <w:rPr>
          <w:rFonts w:cs="v4.2.0"/>
          <w:lang w:eastAsia="zh-CN"/>
        </w:rPr>
        <w:t>phemeris information</w:t>
      </w:r>
      <w:r>
        <w:rPr>
          <w:rFonts w:cs="v4.2.0" w:hint="eastAsia"/>
          <w:lang w:eastAsia="zh-CN"/>
        </w:rPr>
        <w:t>, c</w:t>
      </w:r>
      <w:r w:rsidRPr="00C13AB2">
        <w:rPr>
          <w:rFonts w:cs="v4.2.0"/>
          <w:lang w:eastAsia="zh-CN"/>
        </w:rPr>
        <w:t>ommon TA</w:t>
      </w:r>
      <w:r>
        <w:rPr>
          <w:rFonts w:cs="v4.2.0" w:hint="eastAsia"/>
          <w:lang w:eastAsia="zh-CN"/>
        </w:rPr>
        <w:t xml:space="preserve">, </w:t>
      </w:r>
      <w:r w:rsidRPr="00C13AB2">
        <w:rPr>
          <w:rFonts w:cs="v4.2.0"/>
          <w:lang w:eastAsia="zh-CN"/>
        </w:rPr>
        <w:t>DL and UL Polarization information</w:t>
      </w:r>
      <w:r>
        <w:rPr>
          <w:rFonts w:cs="v4.2.0" w:hint="eastAsia"/>
          <w:lang w:eastAsia="zh-CN"/>
        </w:rPr>
        <w:t xml:space="preserve">, </w:t>
      </w:r>
      <w:r w:rsidRPr="00C13AB2">
        <w:rPr>
          <w:rFonts w:cs="v4.2.0"/>
          <w:lang w:eastAsia="zh-CN"/>
        </w:rPr>
        <w:t>K</w:t>
      </w:r>
      <w:r w:rsidRPr="00C13AB2">
        <w:rPr>
          <w:rFonts w:cs="v4.2.0"/>
          <w:vertAlign w:val="subscript"/>
          <w:lang w:eastAsia="zh-CN"/>
        </w:rPr>
        <w:t>offset</w:t>
      </w:r>
      <w:r>
        <w:rPr>
          <w:rFonts w:cs="v4.2.0" w:hint="eastAsia"/>
          <w:lang w:eastAsia="zh-CN"/>
        </w:rPr>
        <w:t xml:space="preserve">, and </w:t>
      </w:r>
      <w:r w:rsidRPr="00C13AB2">
        <w:rPr>
          <w:rFonts w:cs="v4.2.0"/>
          <w:lang w:eastAsia="zh-CN"/>
        </w:rPr>
        <w:t>K</w:t>
      </w:r>
      <w:r w:rsidRPr="00842EDC">
        <w:rPr>
          <w:rFonts w:cs="v4.2.0"/>
          <w:vertAlign w:val="subscript"/>
          <w:lang w:eastAsia="zh-CN"/>
        </w:rPr>
        <w:t>mac</w:t>
      </w:r>
      <w:r>
        <w:rPr>
          <w:rFonts w:cs="v4.2.0" w:hint="eastAsia"/>
          <w:lang w:eastAsia="zh-CN"/>
        </w:rPr>
        <w:t xml:space="preserve"> for target NR SAN cell</w:t>
      </w:r>
      <w:r>
        <w:rPr>
          <w:rFonts w:cs="v4.2.0"/>
          <w:lang w:eastAsia="zh-CN"/>
        </w:rPr>
        <w:t xml:space="preserve"> during </w:t>
      </w:r>
      <w:r>
        <w:rPr>
          <w:rFonts w:cs="v4.2.0"/>
        </w:rPr>
        <w:t>D</w:t>
      </w:r>
      <w:r>
        <w:rPr>
          <w:rFonts w:cs="v4.2.0"/>
          <w:vertAlign w:val="subscript"/>
        </w:rPr>
        <w:t>handover</w:t>
      </w:r>
      <w:r>
        <w:rPr>
          <w:rFonts w:cs="v4.2.0"/>
          <w:lang w:eastAsia="zh-CN"/>
        </w:rPr>
        <w:t xml:space="preserve">, otherwise interruption time may be longer than the requirements in clause </w:t>
      </w:r>
      <w:r w:rsidRPr="008762D4">
        <w:rPr>
          <w:rFonts w:cs="v4.2.0"/>
          <w:lang w:eastAsia="zh-CN"/>
        </w:rPr>
        <w:t>6.1C.1.2.2</w:t>
      </w:r>
      <w:r>
        <w:rPr>
          <w:rFonts w:cs="v4.2.0"/>
          <w:lang w:eastAsia="zh-CN"/>
        </w:rPr>
        <w:t>.</w:t>
      </w:r>
    </w:p>
    <w:p w14:paraId="31D6F2FC" w14:textId="77777777" w:rsidR="00D85FF0" w:rsidRPr="009C5807" w:rsidRDefault="00D85FF0" w:rsidP="00D85FF0">
      <w:pPr>
        <w:pStyle w:val="Heading5"/>
      </w:pPr>
      <w:r w:rsidRPr="009C5807">
        <w:t>6.1</w:t>
      </w:r>
      <w:r>
        <w:rPr>
          <w:rFonts w:hint="eastAsia"/>
          <w:lang w:eastAsia="zh-CN"/>
        </w:rPr>
        <w:t>C</w:t>
      </w:r>
      <w:r w:rsidRPr="009C5807">
        <w:t>.1.2.1</w:t>
      </w:r>
      <w:r w:rsidRPr="009C5807">
        <w:tab/>
        <w:t>Handover delay</w:t>
      </w:r>
    </w:p>
    <w:p w14:paraId="1E3487CC" w14:textId="6AE82C6E" w:rsidR="00D85FF0" w:rsidRPr="009C5807" w:rsidRDefault="003D151D" w:rsidP="00D85FF0">
      <w:pPr>
        <w:rPr>
          <w:rFonts w:cs="v4.2.0"/>
        </w:rPr>
      </w:pPr>
      <w:r>
        <w:rPr>
          <w:rFonts w:cs="v4.2.0"/>
        </w:rPr>
        <w:t xml:space="preserve">When the UE receives a RRC message implying handover </w:t>
      </w:r>
      <w:r>
        <w:rPr>
          <w:rFonts w:cs="v4.2.0"/>
          <w:lang w:eastAsia="zh-CN"/>
        </w:rPr>
        <w:t>to NR SAN cell,</w:t>
      </w:r>
      <w:r>
        <w:rPr>
          <w:rFonts w:cs="v4.2.0"/>
        </w:rPr>
        <w:t xml:space="preserve"> the UE shall be ready to </w:t>
      </w:r>
      <w:r>
        <w:rPr>
          <w:rFonts w:cs="v4.2.0"/>
          <w:snapToGrid w:val="0"/>
        </w:rPr>
        <w:t>start the transmission of the new uplink PRACH channel</w:t>
      </w:r>
      <w:r>
        <w:rPr>
          <w:rFonts w:cs="v4.2.0"/>
        </w:rPr>
        <w:t xml:space="preserve"> within D</w:t>
      </w:r>
      <w:r>
        <w:rPr>
          <w:rFonts w:cs="v4.2.0"/>
          <w:vertAlign w:val="subscript"/>
        </w:rPr>
        <w:t>handover</w:t>
      </w:r>
      <w:r>
        <w:rPr>
          <w:rFonts w:cs="v4.2.0"/>
        </w:rPr>
        <w:t xml:space="preserve"> </w:t>
      </w:r>
      <w:r>
        <w:rPr>
          <w:rFonts w:cs="v4.2.0"/>
          <w:lang w:val="en-US" w:eastAsia="zh-CN"/>
        </w:rPr>
        <w:t xml:space="preserve">msec </w:t>
      </w:r>
      <w:r>
        <w:rPr>
          <w:rFonts w:cs="v4.2.0"/>
        </w:rPr>
        <w:t>from the end of the last TTI containing the RRC command.</w:t>
      </w:r>
    </w:p>
    <w:p w14:paraId="604A53EB" w14:textId="77777777" w:rsidR="00D85FF0" w:rsidRPr="009C5807" w:rsidRDefault="00D85FF0" w:rsidP="00D85FF0">
      <w:pPr>
        <w:rPr>
          <w:rFonts w:cs="v4.2.0"/>
        </w:rPr>
      </w:pPr>
      <w:r w:rsidRPr="009C5807">
        <w:rPr>
          <w:rFonts w:cs="v4.2.0"/>
        </w:rPr>
        <w:t>Where:</w:t>
      </w:r>
    </w:p>
    <w:p w14:paraId="1E824669" w14:textId="11A97041" w:rsidR="00D85FF0" w:rsidRPr="009C5807" w:rsidRDefault="00A6677A" w:rsidP="00A6677A">
      <w:pPr>
        <w:pStyle w:val="B10"/>
      </w:pPr>
      <w:r>
        <w:t>-</w:t>
      </w:r>
      <w:r>
        <w:tab/>
      </w:r>
      <w:r w:rsidR="00D85FF0" w:rsidRPr="009C5807">
        <w:t>D</w:t>
      </w:r>
      <w:r w:rsidR="00D85FF0" w:rsidRPr="009C5807">
        <w:rPr>
          <w:vertAlign w:val="subscript"/>
        </w:rPr>
        <w:t>handover</w:t>
      </w:r>
      <w:r w:rsidR="00D85FF0" w:rsidRPr="009C5807">
        <w:t xml:space="preserve"> equals the </w:t>
      </w:r>
      <w:r w:rsidR="00D85FF0" w:rsidRPr="009C5807">
        <w:rPr>
          <w:rFonts w:hint="eastAsia"/>
          <w:lang w:val="en-US" w:eastAsia="zh-CN"/>
        </w:rPr>
        <w:t>applicable</w:t>
      </w:r>
      <w:r w:rsidR="00D85FF0" w:rsidRPr="009C5807">
        <w:t xml:space="preserve"> RRC procedure delay defined in clause</w:t>
      </w:r>
      <w:r w:rsidR="00D85FF0" w:rsidRPr="009C5807">
        <w:rPr>
          <w:rFonts w:hint="eastAsia"/>
          <w:lang w:val="en-US" w:eastAsia="zh-CN"/>
        </w:rPr>
        <w:t xml:space="preserve"> </w:t>
      </w:r>
      <w:r w:rsidR="00D85FF0" w:rsidRPr="009C5807">
        <w:rPr>
          <w:lang w:eastAsia="zh-CN"/>
        </w:rPr>
        <w:t>12</w:t>
      </w:r>
      <w:r w:rsidR="00D85FF0" w:rsidRPr="009C5807">
        <w:t xml:space="preserve"> in TS 38.331 [2] plus the interruption time stated in clause 6.1</w:t>
      </w:r>
      <w:r w:rsidR="00D85FF0">
        <w:rPr>
          <w:rFonts w:hint="eastAsia"/>
          <w:lang w:eastAsia="zh-CN"/>
        </w:rPr>
        <w:t>C</w:t>
      </w:r>
      <w:r w:rsidR="00D85FF0" w:rsidRPr="009C5807">
        <w:t>.1.2.2.</w:t>
      </w:r>
    </w:p>
    <w:p w14:paraId="06D3F8D3" w14:textId="77777777" w:rsidR="00D85FF0" w:rsidRPr="009C5807" w:rsidRDefault="00D85FF0" w:rsidP="00D85FF0">
      <w:pPr>
        <w:pStyle w:val="Heading5"/>
      </w:pPr>
      <w:r w:rsidRPr="009C5807">
        <w:t>6.1</w:t>
      </w:r>
      <w:r>
        <w:rPr>
          <w:rFonts w:hint="eastAsia"/>
          <w:lang w:eastAsia="zh-CN"/>
        </w:rPr>
        <w:t>C</w:t>
      </w:r>
      <w:r w:rsidRPr="009C5807">
        <w:t>.1.2.2</w:t>
      </w:r>
      <w:r w:rsidRPr="009C5807">
        <w:tab/>
        <w:t>Interruption time</w:t>
      </w:r>
    </w:p>
    <w:p w14:paraId="305C8B2A" w14:textId="77777777" w:rsidR="00C72026" w:rsidRPr="00E048BE" w:rsidRDefault="00C72026" w:rsidP="00C72026">
      <w:pPr>
        <w:rPr>
          <w:rFonts w:cs="v4.2.0"/>
        </w:rPr>
      </w:pPr>
      <w:r w:rsidRPr="00E048BE">
        <w:rPr>
          <w:rFonts w:cs="v4.2.0"/>
        </w:rPr>
        <w:t>The interruption time is the time between end of the last TTI containing the RRC command on the old PDSCH and the time the UE starts transmission of the new PRACH</w:t>
      </w:r>
      <w:r w:rsidRPr="00E048BE">
        <w:rPr>
          <w:rFonts w:eastAsia="MS Mincho" w:cs="v4.2.0"/>
        </w:rPr>
        <w:t>, excluding the RRC procedure delay</w:t>
      </w:r>
      <w:r w:rsidRPr="00E048BE">
        <w:rPr>
          <w:rFonts w:cs="v4.2.0"/>
        </w:rPr>
        <w:t>.</w:t>
      </w:r>
    </w:p>
    <w:p w14:paraId="48B7814F" w14:textId="679CC0EC" w:rsidR="00D85FF0" w:rsidRDefault="00C72026" w:rsidP="00C72026">
      <w:pPr>
        <w:rPr>
          <w:rFonts w:cs="v4.2.0"/>
          <w:lang w:eastAsia="zh-CN"/>
        </w:rPr>
      </w:pPr>
      <w:r w:rsidRPr="00E048BE">
        <w:rPr>
          <w:rFonts w:cs="v4.2.0"/>
        </w:rPr>
        <w:t xml:space="preserve">When intra-frequency or inter-frequency handover </w:t>
      </w:r>
      <w:r w:rsidRPr="00E048BE">
        <w:rPr>
          <w:rFonts w:cs="v4.2.0" w:hint="eastAsia"/>
          <w:lang w:eastAsia="zh-CN"/>
        </w:rPr>
        <w:t>to NR SAN cell</w:t>
      </w:r>
      <w:r w:rsidRPr="00E048BE">
        <w:rPr>
          <w:rFonts w:cs="v4.2.0"/>
        </w:rPr>
        <w:t xml:space="preserve"> is commanded,</w:t>
      </w:r>
      <w:r>
        <w:rPr>
          <w:rFonts w:cs="v4.2.0"/>
          <w:lang w:eastAsia="zh-CN"/>
        </w:rPr>
        <w:t xml:space="preserve"> </w:t>
      </w:r>
    </w:p>
    <w:p w14:paraId="42E89987" w14:textId="77777777" w:rsidR="00D85FF0" w:rsidRPr="009C5807" w:rsidRDefault="00D85FF0" w:rsidP="00D85FF0">
      <w:pPr>
        <w:rPr>
          <w:rFonts w:cs="v4.2.0"/>
          <w:position w:val="-6"/>
        </w:rPr>
      </w:pPr>
      <w:r w:rsidRPr="009C5807">
        <w:rPr>
          <w:rFonts w:cs="v4.2.0"/>
        </w:rPr>
        <w:t>the interruption time shall be less than T</w:t>
      </w:r>
      <w:r w:rsidRPr="009C5807">
        <w:rPr>
          <w:rFonts w:cs="v4.2.0"/>
          <w:vertAlign w:val="subscript"/>
        </w:rPr>
        <w:t>interrupt</w:t>
      </w:r>
    </w:p>
    <w:p w14:paraId="7056A41C" w14:textId="77777777" w:rsidR="00D85FF0" w:rsidRPr="009C5807" w:rsidRDefault="00D85FF0" w:rsidP="00D85FF0">
      <w:pPr>
        <w:pStyle w:val="EQ"/>
      </w:pPr>
      <w:r w:rsidRPr="009C5807">
        <w:tab/>
      </w:r>
      <w:r w:rsidRPr="009C5807">
        <w:rPr>
          <w:rFonts w:cs="v4.2.0"/>
        </w:rPr>
        <w:t>T</w:t>
      </w:r>
      <w:r w:rsidRPr="009C5807">
        <w:rPr>
          <w:rFonts w:cs="v4.2.0"/>
          <w:vertAlign w:val="subscript"/>
        </w:rPr>
        <w:t>interrupt</w:t>
      </w:r>
      <w:r w:rsidRPr="009C5807">
        <w:t xml:space="preserve"> = T</w:t>
      </w:r>
      <w:r w:rsidRPr="009C5807">
        <w:rPr>
          <w:vertAlign w:val="subscript"/>
        </w:rPr>
        <w:t>search</w:t>
      </w:r>
      <w:r w:rsidRPr="009C5807">
        <w:t xml:space="preserve"> + T</w:t>
      </w:r>
      <w:r w:rsidRPr="009C5807">
        <w:rPr>
          <w:vertAlign w:val="subscript"/>
        </w:rPr>
        <w:t>IU</w:t>
      </w:r>
      <w:r w:rsidRPr="009C5807">
        <w:t xml:space="preserve"> + T</w:t>
      </w:r>
      <w:r w:rsidRPr="009C5807">
        <w:rPr>
          <w:vertAlign w:val="subscript"/>
          <w:lang w:eastAsia="zh-CN"/>
        </w:rPr>
        <w:t>processing</w:t>
      </w:r>
      <w:r w:rsidRPr="009C5807" w:rsidDel="001D62E5">
        <w:rPr>
          <w:lang w:eastAsia="zh-CN"/>
        </w:rPr>
        <w:t xml:space="preserve"> </w:t>
      </w:r>
      <w:r w:rsidRPr="009C5807">
        <w:rPr>
          <w:vertAlign w:val="subscript"/>
          <w:lang w:eastAsia="zh-CN"/>
        </w:rPr>
        <w:t xml:space="preserve"> </w:t>
      </w:r>
      <w:r w:rsidRPr="009C5807">
        <w:rPr>
          <w:lang w:eastAsia="zh-CN"/>
        </w:rPr>
        <w:t>+ T</w:t>
      </w:r>
      <w:r w:rsidRPr="009C5807">
        <w:rPr>
          <w:vertAlign w:val="subscript"/>
          <w:lang w:eastAsia="zh-CN"/>
        </w:rPr>
        <w:t>∆</w:t>
      </w:r>
      <w:r w:rsidRPr="009C5807">
        <w:rPr>
          <w:lang w:eastAsia="zh-CN"/>
        </w:rPr>
        <w:t xml:space="preserve"> + T</w:t>
      </w:r>
      <w:r w:rsidRPr="009C5807">
        <w:rPr>
          <w:vertAlign w:val="subscript"/>
          <w:lang w:eastAsia="zh-CN"/>
        </w:rPr>
        <w:t xml:space="preserve">margin </w:t>
      </w:r>
      <w:r w:rsidRPr="009C5807">
        <w:t>ms</w:t>
      </w:r>
    </w:p>
    <w:p w14:paraId="46E2BEBB" w14:textId="77777777" w:rsidR="00D85FF0" w:rsidRDefault="00D85FF0" w:rsidP="00D85FF0">
      <w:pPr>
        <w:rPr>
          <w:rFonts w:cs="v4.2.0"/>
          <w:lang w:eastAsia="zh-CN"/>
        </w:rPr>
      </w:pPr>
      <w:r>
        <w:rPr>
          <w:rFonts w:cs="v4.2.0"/>
          <w:lang w:eastAsia="zh-CN"/>
        </w:rPr>
        <w:t>O</w:t>
      </w:r>
      <w:r>
        <w:rPr>
          <w:rFonts w:cs="v4.2.0" w:hint="eastAsia"/>
          <w:lang w:eastAsia="zh-CN"/>
        </w:rPr>
        <w:t>therwise, no interruption time requirement is applied.</w:t>
      </w:r>
    </w:p>
    <w:p w14:paraId="03BBEFD1" w14:textId="77777777" w:rsidR="00D85FF0" w:rsidRPr="009C5807" w:rsidRDefault="00D85FF0" w:rsidP="00D85FF0">
      <w:pPr>
        <w:rPr>
          <w:rFonts w:cs="v4.2.0"/>
        </w:rPr>
      </w:pPr>
      <w:r w:rsidRPr="009C5807">
        <w:rPr>
          <w:rFonts w:cs="v4.2.0"/>
        </w:rPr>
        <w:t>Where:</w:t>
      </w:r>
    </w:p>
    <w:p w14:paraId="5BEBDD45" w14:textId="7C44D037" w:rsidR="00D85FF0" w:rsidRPr="009C5807" w:rsidRDefault="00D85FF0" w:rsidP="00D85FF0">
      <w:pPr>
        <w:pStyle w:val="B10"/>
      </w:pPr>
      <w:r>
        <w:rPr>
          <w:rFonts w:hint="eastAsia"/>
          <w:lang w:eastAsia="zh-CN"/>
        </w:rPr>
        <w:t>-</w:t>
      </w:r>
      <w:r>
        <w:tab/>
      </w:r>
      <w:r w:rsidRPr="009C5807">
        <w:t>T</w:t>
      </w:r>
      <w:r w:rsidRPr="009C5807">
        <w:rPr>
          <w:vertAlign w:val="subscript"/>
        </w:rPr>
        <w:t>search</w:t>
      </w:r>
      <w:r w:rsidRPr="009C5807">
        <w:t xml:space="preserve"> is the time required to search the target </w:t>
      </w:r>
      <w:r>
        <w:rPr>
          <w:rFonts w:hint="eastAsia"/>
          <w:lang w:eastAsia="zh-CN"/>
        </w:rPr>
        <w:t xml:space="preserve">NR SAN </w:t>
      </w:r>
      <w:r w:rsidRPr="009C5807">
        <w:t>cell when the target cell is not already known when the handover command is received by the UE. If the target cell is known, then T</w:t>
      </w:r>
      <w:r w:rsidRPr="009C5807">
        <w:rPr>
          <w:vertAlign w:val="subscript"/>
        </w:rPr>
        <w:t>search</w:t>
      </w:r>
      <w:r w:rsidRPr="009C5807">
        <w:t xml:space="preserve"> = 0 ms. If the target cell is an unknown intra-frequency cell and the target cell Es/Iot</w:t>
      </w:r>
      <w:r>
        <w:rPr>
          <w:rFonts w:hint="eastAsia"/>
          <w:lang w:eastAsia="zh-CN"/>
        </w:rPr>
        <w:t xml:space="preserve"> </w:t>
      </w:r>
      <w:r w:rsidRPr="00C64374">
        <w:t>≥</w:t>
      </w:r>
      <w:r>
        <w:rPr>
          <w:rFonts w:hint="eastAsia"/>
          <w:lang w:eastAsia="zh-CN"/>
        </w:rPr>
        <w:t xml:space="preserve"> </w:t>
      </w:r>
      <w:r w:rsidRPr="009C5807">
        <w:t>-2 dB, then T</w:t>
      </w:r>
      <w:r w:rsidRPr="009C5807">
        <w:rPr>
          <w:vertAlign w:val="subscript"/>
        </w:rPr>
        <w:t>search</w:t>
      </w:r>
      <w:r w:rsidRPr="009C5807">
        <w:t xml:space="preserve"> = T</w:t>
      </w:r>
      <w:r w:rsidRPr="009C5807">
        <w:rPr>
          <w:vertAlign w:val="subscript"/>
        </w:rPr>
        <w:t>rs</w:t>
      </w:r>
      <w:r w:rsidRPr="009C5807">
        <w:t xml:space="preserve"> ms. If the target cell is an unknown inter-frequency cell and the target cell Es/Iot</w:t>
      </w:r>
      <w:r>
        <w:rPr>
          <w:rFonts w:hint="eastAsia"/>
          <w:lang w:eastAsia="zh-CN"/>
        </w:rPr>
        <w:t xml:space="preserve"> </w:t>
      </w:r>
      <w:r w:rsidRPr="00C64374">
        <w:t>≥</w:t>
      </w:r>
      <w:r>
        <w:rPr>
          <w:rFonts w:hint="eastAsia"/>
          <w:lang w:eastAsia="zh-CN"/>
        </w:rPr>
        <w:t xml:space="preserve"> </w:t>
      </w:r>
      <w:r w:rsidRPr="009C5807">
        <w:t>-2 dB, then T</w:t>
      </w:r>
      <w:r w:rsidRPr="009C5807">
        <w:rPr>
          <w:vertAlign w:val="subscript"/>
        </w:rPr>
        <w:t>search</w:t>
      </w:r>
      <w:r w:rsidRPr="009C5807">
        <w:t xml:space="preserve"> = 3* T</w:t>
      </w:r>
      <w:r w:rsidRPr="009C5807">
        <w:rPr>
          <w:vertAlign w:val="subscript"/>
        </w:rPr>
        <w:t>rs</w:t>
      </w:r>
      <w:r w:rsidRPr="009C5807">
        <w:t xml:space="preserve"> ms. Regardless of whether DRX is in use by the UE, T</w:t>
      </w:r>
      <w:r w:rsidRPr="009C5807">
        <w:rPr>
          <w:vertAlign w:val="subscript"/>
        </w:rPr>
        <w:t>search</w:t>
      </w:r>
      <w:r w:rsidRPr="009C5807">
        <w:t xml:space="preserve"> shall still be based on non-DRX target cell search times.</w:t>
      </w:r>
    </w:p>
    <w:p w14:paraId="029490B0" w14:textId="77777777" w:rsidR="00D85FF0" w:rsidRPr="009C5807" w:rsidRDefault="00D85FF0" w:rsidP="00D85FF0">
      <w:pPr>
        <w:pStyle w:val="B10"/>
      </w:pPr>
      <w:r>
        <w:rPr>
          <w:rFonts w:hint="eastAsia"/>
          <w:lang w:eastAsia="zh-CN"/>
        </w:rPr>
        <w:t>-</w:t>
      </w:r>
      <w:r>
        <w:tab/>
      </w:r>
      <w:r w:rsidRPr="009C5807">
        <w:t>T</w:t>
      </w:r>
      <w:r w:rsidRPr="009C5807">
        <w:rPr>
          <w:vertAlign w:val="subscript"/>
        </w:rPr>
        <w:t>∆</w:t>
      </w:r>
      <w:r w:rsidRPr="009C5807">
        <w:t xml:space="preserve"> is time for fine time tracking and acquiring full timing information of the target cell. T</w:t>
      </w:r>
      <w:r w:rsidRPr="009C5807">
        <w:rPr>
          <w:vertAlign w:val="subscript"/>
        </w:rPr>
        <w:t>∆</w:t>
      </w:r>
      <w:r w:rsidRPr="009C5807">
        <w:t xml:space="preserve"> = T</w:t>
      </w:r>
      <w:r w:rsidRPr="009C5807">
        <w:rPr>
          <w:vertAlign w:val="subscript"/>
        </w:rPr>
        <w:t>rs</w:t>
      </w:r>
      <w:r w:rsidRPr="009C5807">
        <w:t>.</w:t>
      </w:r>
    </w:p>
    <w:p w14:paraId="187F63A4" w14:textId="77777777" w:rsidR="00D85FF0" w:rsidRPr="009C5807" w:rsidRDefault="00D85FF0" w:rsidP="00D85FF0">
      <w:pPr>
        <w:pStyle w:val="B10"/>
      </w:pPr>
      <w:r>
        <w:rPr>
          <w:rFonts w:hint="eastAsia"/>
          <w:lang w:eastAsia="zh-CN"/>
        </w:rPr>
        <w:t>-</w:t>
      </w:r>
      <w:r>
        <w:tab/>
      </w:r>
      <w:r w:rsidRPr="009C5807">
        <w:t>T</w:t>
      </w:r>
      <w:r w:rsidRPr="009C5807">
        <w:rPr>
          <w:vertAlign w:val="subscript"/>
          <w:lang w:eastAsia="zh-CN"/>
        </w:rPr>
        <w:t>processing</w:t>
      </w:r>
      <w:r w:rsidRPr="009C5807">
        <w:t xml:space="preserve"> is time for UE processing. T</w:t>
      </w:r>
      <w:r w:rsidRPr="009C5807">
        <w:rPr>
          <w:vertAlign w:val="subscript"/>
          <w:lang w:eastAsia="zh-CN"/>
        </w:rPr>
        <w:t>processing</w:t>
      </w:r>
      <w:r w:rsidRPr="009C5807">
        <w:t xml:space="preserve"> can be up to 20ms.</w:t>
      </w:r>
    </w:p>
    <w:p w14:paraId="6A1E4ACB" w14:textId="77777777" w:rsidR="00D85FF0" w:rsidRPr="009C5807" w:rsidRDefault="00D85FF0" w:rsidP="00D85FF0">
      <w:pPr>
        <w:pStyle w:val="B10"/>
      </w:pPr>
      <w:r>
        <w:rPr>
          <w:rFonts w:hint="eastAsia"/>
          <w:lang w:eastAsia="zh-CN"/>
        </w:rPr>
        <w:t>-</w:t>
      </w:r>
      <w:r>
        <w:rPr>
          <w:lang w:eastAsia="zh-CN"/>
        </w:rPr>
        <w:tab/>
      </w:r>
      <w:r w:rsidRPr="009C5807">
        <w:rPr>
          <w:lang w:eastAsia="zh-CN"/>
        </w:rPr>
        <w:t>T</w:t>
      </w:r>
      <w:r w:rsidRPr="009C5807">
        <w:rPr>
          <w:vertAlign w:val="subscript"/>
          <w:lang w:eastAsia="zh-CN"/>
        </w:rPr>
        <w:t xml:space="preserve">margin </w:t>
      </w:r>
      <w:r w:rsidRPr="009C5807">
        <w:rPr>
          <w:lang w:eastAsia="zh-CN"/>
        </w:rPr>
        <w:t>is time for SSB post-processing. T</w:t>
      </w:r>
      <w:r w:rsidRPr="009C5807">
        <w:rPr>
          <w:vertAlign w:val="subscript"/>
          <w:lang w:eastAsia="zh-CN"/>
        </w:rPr>
        <w:t xml:space="preserve">margin </w:t>
      </w:r>
      <w:r w:rsidRPr="009C5807">
        <w:rPr>
          <w:lang w:eastAsia="zh-CN"/>
        </w:rPr>
        <w:t>can be up to 2ms.</w:t>
      </w:r>
    </w:p>
    <w:p w14:paraId="272831C7" w14:textId="327D5C89" w:rsidR="00D85FF0" w:rsidRPr="009C5807" w:rsidRDefault="00B1007D" w:rsidP="00D85FF0">
      <w:pPr>
        <w:pStyle w:val="B10"/>
        <w:rPr>
          <w:lang w:eastAsia="zh-CN"/>
        </w:rPr>
      </w:pPr>
      <w:r>
        <w:rPr>
          <w:rFonts w:hint="eastAsia"/>
          <w:lang w:eastAsia="zh-CN"/>
        </w:rPr>
        <w:t>-</w:t>
      </w:r>
      <w:r>
        <w:tab/>
      </w:r>
      <w:r w:rsidRPr="009C5807">
        <w:t>T</w:t>
      </w:r>
      <w:r w:rsidRPr="009C5807">
        <w:rPr>
          <w:vertAlign w:val="subscript"/>
        </w:rPr>
        <w:t>IU</w:t>
      </w:r>
      <w:r w:rsidRPr="009C5807">
        <w:t xml:space="preserve"> is the interruption uncertainty </w:t>
      </w:r>
      <w:r w:rsidRPr="009C5807">
        <w:rPr>
          <w:lang w:eastAsia="zh-CN"/>
        </w:rPr>
        <w:t>in acquiring the first available PRACH occasion in the new cell</w:t>
      </w:r>
      <w:r w:rsidRPr="009C5807">
        <w:t>. T</w:t>
      </w:r>
      <w:r w:rsidRPr="009C5807">
        <w:rPr>
          <w:vertAlign w:val="subscript"/>
        </w:rPr>
        <w:t>IU</w:t>
      </w:r>
      <w:r w:rsidRPr="009C5807">
        <w:t xml:space="preserve"> can be up to the summation of SSB to PRACH occasion association period and </w:t>
      </w:r>
      <w:r>
        <w:rPr>
          <w:rFonts w:hint="eastAsia"/>
          <w:lang w:eastAsia="zh-CN"/>
        </w:rPr>
        <w:t>[10]</w:t>
      </w:r>
      <w:r w:rsidRPr="009C5807">
        <w:t xml:space="preserve"> ms. SSB to PRACH occasion associated period is defined in the table 8.1-1 of TS 38.213 [3].</w:t>
      </w:r>
    </w:p>
    <w:p w14:paraId="4C0A6593" w14:textId="77777777" w:rsidR="00D85FF0" w:rsidRPr="009C5807" w:rsidRDefault="00D85FF0" w:rsidP="00D85FF0">
      <w:pPr>
        <w:pStyle w:val="B10"/>
      </w:pPr>
      <w:r>
        <w:rPr>
          <w:rFonts w:hint="eastAsia"/>
          <w:lang w:eastAsia="zh-CN"/>
        </w:rPr>
        <w:t>-</w:t>
      </w:r>
      <w:r>
        <w:tab/>
      </w:r>
      <w:r w:rsidRPr="009C5807">
        <w:t>T</w:t>
      </w:r>
      <w:r w:rsidRPr="009C5807">
        <w:rPr>
          <w:vertAlign w:val="subscript"/>
        </w:rPr>
        <w:t>rs</w:t>
      </w:r>
      <w:r w:rsidRPr="009C5807">
        <w:t xml:space="preserve"> is the SMTC periodicity of the target NR </w:t>
      </w:r>
      <w:r>
        <w:rPr>
          <w:rFonts w:hint="eastAsia"/>
          <w:lang w:eastAsia="zh-CN"/>
        </w:rPr>
        <w:t xml:space="preserve">SAN </w:t>
      </w:r>
      <w:r w:rsidRPr="009C5807">
        <w:t>cell if the UE has been provided with an SMTC configuration for the target cell</w:t>
      </w:r>
      <w:r>
        <w:rPr>
          <w:rFonts w:hint="eastAsia"/>
          <w:lang w:eastAsia="zh-CN"/>
        </w:rPr>
        <w:t xml:space="preserve"> </w:t>
      </w:r>
      <w:r w:rsidRPr="009C5807">
        <w:t>in the handover command, otherwise T</w:t>
      </w:r>
      <w:r w:rsidRPr="00AF5628">
        <w:rPr>
          <w:vertAlign w:val="subscript"/>
        </w:rPr>
        <w:t>rs</w:t>
      </w:r>
      <w:r w:rsidRPr="009C5807">
        <w:t xml:space="preserve"> is the SMTC configured in the measObjectNR having the same SSB frequency and subcarrier spacing. If the UE is not provided SMTC configuration or measurement object on this frequency, the requirement in this clause is applied with T</w:t>
      </w:r>
      <w:r w:rsidRPr="009C5807">
        <w:rPr>
          <w:vertAlign w:val="subscript"/>
        </w:rPr>
        <w:t>rs</w:t>
      </w:r>
      <w:r w:rsidRPr="009C5807">
        <w:t xml:space="preserve">=5ms assuming the SSB transmission periodicity is 5ms. There is no requirement if the SSB transmission periodicity is not 5ms. If the UE has been provided with higher layer in TS 38.331 [2] signaling of </w:t>
      </w:r>
      <w:r w:rsidRPr="009C5807">
        <w:rPr>
          <w:i/>
        </w:rPr>
        <w:t>smtc2</w:t>
      </w:r>
      <w:r w:rsidRPr="009C5807">
        <w:rPr>
          <w:b/>
        </w:rPr>
        <w:t xml:space="preserve"> </w:t>
      </w:r>
      <w:r w:rsidRPr="009C5807">
        <w:t>prior to the handover command, T</w:t>
      </w:r>
      <w:r w:rsidRPr="009C5807">
        <w:rPr>
          <w:vertAlign w:val="subscript"/>
        </w:rPr>
        <w:t>rs</w:t>
      </w:r>
      <w:r w:rsidRPr="009C5807">
        <w:t xml:space="preserve"> follows </w:t>
      </w:r>
      <w:r w:rsidRPr="009C5807">
        <w:rPr>
          <w:i/>
        </w:rPr>
        <w:t>smtc1</w:t>
      </w:r>
      <w:r w:rsidRPr="009C5807">
        <w:t xml:space="preserve"> or </w:t>
      </w:r>
      <w:r w:rsidRPr="009C5807">
        <w:rPr>
          <w:i/>
        </w:rPr>
        <w:t>smtc2</w:t>
      </w:r>
      <w:r w:rsidRPr="009C5807">
        <w:t xml:space="preserve"> according to the physical cell ID of the target cell.</w:t>
      </w:r>
    </w:p>
    <w:p w14:paraId="45E7A0C7" w14:textId="77777777" w:rsidR="00D85FF0" w:rsidRPr="009C5807" w:rsidRDefault="00D85FF0" w:rsidP="00D85FF0">
      <w:r w:rsidRPr="009C5807">
        <w:t>In the interruption requirement a cell is known if it has been meeting the relevant cell identification requirement during the last 5 seconds otherwise it is unknown. Relevant cell identification requirements are described in Clause 9.2.5 for intra-frequency handover and Clause 9.3.4 for inter-frequency handover.</w:t>
      </w:r>
    </w:p>
    <w:p w14:paraId="620FCD1B" w14:textId="77777777" w:rsidR="00D85FF0" w:rsidRPr="009C5807" w:rsidRDefault="00D85FF0" w:rsidP="00D85FF0">
      <w:pPr>
        <w:rPr>
          <w:lang w:eastAsia="ko-KR"/>
        </w:rPr>
      </w:pPr>
    </w:p>
    <w:p w14:paraId="133C6458" w14:textId="77777777" w:rsidR="00D85FF0" w:rsidRPr="009C5807" w:rsidRDefault="00D85FF0" w:rsidP="00D85FF0">
      <w:pPr>
        <w:pStyle w:val="Heading3"/>
        <w:rPr>
          <w:lang w:val="en-US" w:eastAsia="ko-KR"/>
        </w:rPr>
      </w:pPr>
      <w:r w:rsidRPr="009C5807">
        <w:rPr>
          <w:lang w:val="en-US" w:eastAsia="ko-KR"/>
        </w:rPr>
        <w:t>6.1</w:t>
      </w:r>
      <w:r>
        <w:rPr>
          <w:rFonts w:hint="eastAsia"/>
          <w:lang w:val="en-US" w:eastAsia="zh-CN"/>
        </w:rPr>
        <w:t>C</w:t>
      </w:r>
      <w:r w:rsidRPr="009C5807">
        <w:rPr>
          <w:lang w:val="en-US" w:eastAsia="ko-KR"/>
        </w:rPr>
        <w:t>.</w:t>
      </w:r>
      <w:r>
        <w:rPr>
          <w:rFonts w:hint="eastAsia"/>
          <w:lang w:val="en-US" w:eastAsia="zh-CN"/>
        </w:rPr>
        <w:t>2</w:t>
      </w:r>
      <w:r w:rsidRPr="009C5807">
        <w:rPr>
          <w:lang w:val="en-US" w:eastAsia="ko-KR"/>
        </w:rPr>
        <w:tab/>
        <w:t>NR</w:t>
      </w:r>
      <w:r>
        <w:rPr>
          <w:rFonts w:hint="eastAsia"/>
          <w:lang w:val="en-US" w:eastAsia="zh-CN"/>
        </w:rPr>
        <w:t xml:space="preserve"> SAN</w:t>
      </w:r>
      <w:r w:rsidRPr="009C5807">
        <w:rPr>
          <w:lang w:val="en-US" w:eastAsia="ko-KR"/>
        </w:rPr>
        <w:t xml:space="preserve"> Conditional Handover</w:t>
      </w:r>
    </w:p>
    <w:p w14:paraId="0EE24E27" w14:textId="77777777" w:rsidR="00D85FF0" w:rsidRPr="009C5807" w:rsidRDefault="00D85FF0" w:rsidP="00D85FF0">
      <w:pPr>
        <w:pStyle w:val="Heading4"/>
        <w:rPr>
          <w:lang w:val="en-US" w:eastAsia="zh-CN"/>
        </w:rPr>
      </w:pPr>
      <w:r w:rsidRPr="009C5807">
        <w:rPr>
          <w:lang w:val="en-US" w:eastAsia="zh-CN"/>
        </w:rPr>
        <w:t>6.1</w:t>
      </w:r>
      <w:r>
        <w:rPr>
          <w:rFonts w:hint="eastAsia"/>
          <w:lang w:val="en-US" w:eastAsia="zh-CN"/>
        </w:rPr>
        <w:t>C</w:t>
      </w:r>
      <w:r w:rsidRPr="009C5807">
        <w:rPr>
          <w:lang w:val="en-US" w:eastAsia="zh-CN"/>
        </w:rPr>
        <w:t>.</w:t>
      </w:r>
      <w:r>
        <w:rPr>
          <w:rFonts w:hint="eastAsia"/>
          <w:lang w:val="en-US" w:eastAsia="zh-CN"/>
        </w:rPr>
        <w:t>2</w:t>
      </w:r>
      <w:r w:rsidRPr="009C5807">
        <w:rPr>
          <w:lang w:val="en-US" w:eastAsia="zh-CN"/>
        </w:rPr>
        <w:t>.1</w:t>
      </w:r>
      <w:r w:rsidRPr="009C5807">
        <w:rPr>
          <w:lang w:val="en-US" w:eastAsia="zh-CN"/>
        </w:rPr>
        <w:tab/>
        <w:t>Introduction</w:t>
      </w:r>
    </w:p>
    <w:p w14:paraId="1ADCDAE7" w14:textId="77777777" w:rsidR="00D85FF0" w:rsidRPr="009C5807" w:rsidRDefault="00D85FF0" w:rsidP="00D85FF0">
      <w:pPr>
        <w:rPr>
          <w:lang w:val="en-US" w:eastAsia="zh-CN"/>
        </w:rPr>
      </w:pPr>
      <w:r w:rsidRPr="009C5807">
        <w:t>The requirements in this clause are applicable to conditional handover to change the NR</w:t>
      </w:r>
      <w:r>
        <w:rPr>
          <w:rFonts w:hint="eastAsia"/>
          <w:lang w:eastAsia="zh-CN"/>
        </w:rPr>
        <w:t xml:space="preserve"> SAN</w:t>
      </w:r>
      <w:r w:rsidRPr="009C5807">
        <w:t xml:space="preserve"> PCell to another NR</w:t>
      </w:r>
      <w:r>
        <w:rPr>
          <w:rFonts w:hint="eastAsia"/>
          <w:lang w:eastAsia="zh-CN"/>
        </w:rPr>
        <w:t xml:space="preserve"> SAN</w:t>
      </w:r>
      <w:r w:rsidRPr="009C5807">
        <w:t xml:space="preserve"> cell.</w:t>
      </w:r>
    </w:p>
    <w:p w14:paraId="25C69441" w14:textId="77777777" w:rsidR="00D85FF0" w:rsidRPr="009C5807" w:rsidRDefault="00D85FF0" w:rsidP="00D85FF0">
      <w:pPr>
        <w:pStyle w:val="Heading4"/>
        <w:rPr>
          <w:lang w:val="en-US" w:eastAsia="zh-CN"/>
        </w:rPr>
      </w:pPr>
      <w:r w:rsidRPr="009C5807">
        <w:rPr>
          <w:lang w:val="en-US" w:eastAsia="zh-CN"/>
        </w:rPr>
        <w:t>6.1</w:t>
      </w:r>
      <w:r>
        <w:rPr>
          <w:rFonts w:hint="eastAsia"/>
          <w:lang w:val="en-US" w:eastAsia="zh-CN"/>
        </w:rPr>
        <w:t>C</w:t>
      </w:r>
      <w:r w:rsidRPr="009C5807">
        <w:rPr>
          <w:lang w:val="en-US" w:eastAsia="zh-CN"/>
        </w:rPr>
        <w:t>.</w:t>
      </w:r>
      <w:r>
        <w:rPr>
          <w:rFonts w:hint="eastAsia"/>
          <w:lang w:val="en-US" w:eastAsia="zh-CN"/>
        </w:rPr>
        <w:t>2</w:t>
      </w:r>
      <w:r w:rsidRPr="009C5807">
        <w:rPr>
          <w:lang w:val="en-US" w:eastAsia="zh-CN"/>
        </w:rPr>
        <w:t>.2</w:t>
      </w:r>
      <w:r w:rsidRPr="009C5807">
        <w:rPr>
          <w:lang w:val="en-US" w:eastAsia="zh-CN"/>
        </w:rPr>
        <w:tab/>
        <w:t>NR</w:t>
      </w:r>
      <w:r>
        <w:rPr>
          <w:rFonts w:hint="eastAsia"/>
          <w:lang w:val="en-US" w:eastAsia="zh-CN"/>
        </w:rPr>
        <w:t xml:space="preserve"> SAN</w:t>
      </w:r>
      <w:r w:rsidRPr="009C5807">
        <w:rPr>
          <w:lang w:val="en-US" w:eastAsia="zh-CN"/>
        </w:rPr>
        <w:t xml:space="preserve"> FR1 – NR</w:t>
      </w:r>
      <w:r>
        <w:rPr>
          <w:rFonts w:hint="eastAsia"/>
          <w:lang w:val="en-US" w:eastAsia="zh-CN"/>
        </w:rPr>
        <w:t xml:space="preserve"> SAN</w:t>
      </w:r>
      <w:r w:rsidRPr="009C5807">
        <w:rPr>
          <w:lang w:val="en-US" w:eastAsia="zh-CN"/>
        </w:rPr>
        <w:t xml:space="preserve"> FR1 conditional handover</w:t>
      </w:r>
    </w:p>
    <w:p w14:paraId="4E324E44" w14:textId="70BA5A1E" w:rsidR="00D85FF0" w:rsidRPr="009C5807" w:rsidRDefault="004747EE" w:rsidP="00D85FF0">
      <w:r w:rsidRPr="009C5807">
        <w:t>The requirements in this clause are applicable to both intra-frequency and inter-frequency conditional handover from NR</w:t>
      </w:r>
      <w:r>
        <w:rPr>
          <w:rFonts w:hint="eastAsia"/>
          <w:lang w:eastAsia="zh-CN"/>
        </w:rPr>
        <w:t xml:space="preserve"> SAN</w:t>
      </w:r>
      <w:r w:rsidRPr="009C5807">
        <w:t xml:space="preserve"> FR1 cell to NR</w:t>
      </w:r>
      <w:r>
        <w:rPr>
          <w:rFonts w:hint="eastAsia"/>
          <w:lang w:eastAsia="zh-CN"/>
        </w:rPr>
        <w:t xml:space="preserve"> SAN</w:t>
      </w:r>
      <w:r w:rsidRPr="009C5807">
        <w:t xml:space="preserve"> FR1 cell.</w:t>
      </w:r>
      <w:r w:rsidRPr="003321AB">
        <w:t xml:space="preserve"> </w:t>
      </w:r>
      <w:r>
        <w:t xml:space="preserve">The requirements in this clause apply provided that UE has </w:t>
      </w:r>
      <w:r>
        <w:rPr>
          <w:rFonts w:cs="v4.2.0" w:hint="eastAsia"/>
          <w:lang w:eastAsia="zh-CN"/>
        </w:rPr>
        <w:t xml:space="preserve">the valid </w:t>
      </w:r>
      <w:r w:rsidRPr="004521DB">
        <w:rPr>
          <w:rFonts w:cs="v4.2.0"/>
          <w:lang w:eastAsia="zh-CN"/>
        </w:rPr>
        <w:t>and applicable</w:t>
      </w:r>
      <w:r w:rsidRPr="004521DB">
        <w:rPr>
          <w:rFonts w:cs="v4.2.0" w:hint="eastAsia"/>
          <w:lang w:eastAsia="zh-CN"/>
        </w:rPr>
        <w:t xml:space="preserve"> </w:t>
      </w:r>
      <w:r>
        <w:rPr>
          <w:rFonts w:cs="v4.2.0" w:hint="eastAsia"/>
          <w:lang w:eastAsia="zh-CN"/>
        </w:rPr>
        <w:t>parameters of e</w:t>
      </w:r>
      <w:r w:rsidRPr="00C13AB2">
        <w:rPr>
          <w:rFonts w:cs="v4.2.0"/>
          <w:lang w:eastAsia="zh-CN"/>
        </w:rPr>
        <w:t>phemeris information</w:t>
      </w:r>
      <w:r>
        <w:rPr>
          <w:rFonts w:cs="v4.2.0" w:hint="eastAsia"/>
          <w:lang w:eastAsia="zh-CN"/>
        </w:rPr>
        <w:t>, c</w:t>
      </w:r>
      <w:r w:rsidRPr="00C13AB2">
        <w:rPr>
          <w:rFonts w:cs="v4.2.0"/>
          <w:lang w:eastAsia="zh-CN"/>
        </w:rPr>
        <w:t>ommon TA</w:t>
      </w:r>
      <w:r>
        <w:rPr>
          <w:rFonts w:cs="v4.2.0" w:hint="eastAsia"/>
          <w:lang w:eastAsia="zh-CN"/>
        </w:rPr>
        <w:t xml:space="preserve">, </w:t>
      </w:r>
      <w:r w:rsidRPr="00C13AB2">
        <w:rPr>
          <w:rFonts w:cs="v4.2.0"/>
          <w:lang w:eastAsia="zh-CN"/>
        </w:rPr>
        <w:t>DL and UL Polarization information</w:t>
      </w:r>
      <w:r>
        <w:rPr>
          <w:rFonts w:cs="v4.2.0" w:hint="eastAsia"/>
          <w:lang w:eastAsia="zh-CN"/>
        </w:rPr>
        <w:t xml:space="preserve">, </w:t>
      </w:r>
      <w:r w:rsidRPr="00C13AB2">
        <w:rPr>
          <w:rFonts w:cs="v4.2.0"/>
          <w:lang w:eastAsia="zh-CN"/>
        </w:rPr>
        <w:t>K</w:t>
      </w:r>
      <w:r w:rsidRPr="00C13AB2">
        <w:rPr>
          <w:rFonts w:cs="v4.2.0"/>
          <w:vertAlign w:val="subscript"/>
          <w:lang w:eastAsia="zh-CN"/>
        </w:rPr>
        <w:t>offset</w:t>
      </w:r>
      <w:r>
        <w:rPr>
          <w:rFonts w:cs="v4.2.0" w:hint="eastAsia"/>
          <w:lang w:eastAsia="zh-CN"/>
        </w:rPr>
        <w:t xml:space="preserve">, and </w:t>
      </w:r>
      <w:r w:rsidRPr="00C13AB2">
        <w:rPr>
          <w:rFonts w:cs="v4.2.0"/>
          <w:lang w:eastAsia="zh-CN"/>
        </w:rPr>
        <w:t>K</w:t>
      </w:r>
      <w:r w:rsidRPr="00842EDC">
        <w:rPr>
          <w:rFonts w:cs="v4.2.0"/>
          <w:vertAlign w:val="subscript"/>
          <w:lang w:eastAsia="zh-CN"/>
        </w:rPr>
        <w:t>mac</w:t>
      </w:r>
      <w:r>
        <w:rPr>
          <w:rFonts w:cs="v4.2.0" w:hint="eastAsia"/>
          <w:lang w:eastAsia="zh-CN"/>
        </w:rPr>
        <w:t xml:space="preserve"> for target NR SAN cell</w:t>
      </w:r>
      <w:r>
        <w:rPr>
          <w:rFonts w:cs="v4.2.0"/>
          <w:lang w:eastAsia="zh-CN"/>
        </w:rPr>
        <w:t xml:space="preserve"> during </w:t>
      </w:r>
      <w:r w:rsidRPr="009C5807">
        <w:rPr>
          <w:lang w:val="en-US" w:eastAsia="zh-CN"/>
        </w:rPr>
        <w:t>D</w:t>
      </w:r>
      <w:r w:rsidRPr="009C5807">
        <w:rPr>
          <w:vertAlign w:val="subscript"/>
          <w:lang w:val="en-US" w:eastAsia="zh-CN"/>
        </w:rPr>
        <w:t>CHO</w:t>
      </w:r>
      <w:r>
        <w:rPr>
          <w:rFonts w:cs="v4.2.0"/>
          <w:lang w:eastAsia="zh-CN"/>
        </w:rPr>
        <w:t xml:space="preserve">, otherwise the measurement time, preparation time and interruption time may be longer than the requirements in clause </w:t>
      </w:r>
      <w:r w:rsidRPr="009C5807">
        <w:t>6.1</w:t>
      </w:r>
      <w:r>
        <w:rPr>
          <w:rFonts w:hint="eastAsia"/>
          <w:lang w:eastAsia="zh-CN"/>
        </w:rPr>
        <w:t>C</w:t>
      </w:r>
      <w:r w:rsidRPr="009C5807">
        <w:t>.</w:t>
      </w:r>
      <w:r>
        <w:rPr>
          <w:rFonts w:hint="eastAsia"/>
          <w:lang w:eastAsia="zh-CN"/>
        </w:rPr>
        <w:t>2</w:t>
      </w:r>
      <w:r w:rsidRPr="009C5807">
        <w:t>.2.2</w:t>
      </w:r>
      <w:r>
        <w:rPr>
          <w:rFonts w:cs="v4.2.0"/>
          <w:lang w:eastAsia="zh-CN"/>
        </w:rPr>
        <w:t xml:space="preserve">, </w:t>
      </w:r>
      <w:r w:rsidRPr="009C5807">
        <w:t>6.1</w:t>
      </w:r>
      <w:r>
        <w:rPr>
          <w:rFonts w:hint="eastAsia"/>
          <w:lang w:eastAsia="zh-CN"/>
        </w:rPr>
        <w:t>C</w:t>
      </w:r>
      <w:r w:rsidRPr="009C5807">
        <w:t>.</w:t>
      </w:r>
      <w:r>
        <w:rPr>
          <w:rFonts w:hint="eastAsia"/>
          <w:lang w:eastAsia="zh-CN"/>
        </w:rPr>
        <w:t>2</w:t>
      </w:r>
      <w:r w:rsidRPr="009C5807">
        <w:t>.2.</w:t>
      </w:r>
      <w:r>
        <w:t xml:space="preserve">3 and </w:t>
      </w:r>
      <w:r w:rsidRPr="009C5807">
        <w:t>6.1</w:t>
      </w:r>
      <w:r>
        <w:rPr>
          <w:rFonts w:hint="eastAsia"/>
          <w:lang w:eastAsia="zh-CN"/>
        </w:rPr>
        <w:t>C</w:t>
      </w:r>
      <w:r w:rsidRPr="009C5807">
        <w:t>.</w:t>
      </w:r>
      <w:r>
        <w:rPr>
          <w:rFonts w:hint="eastAsia"/>
          <w:lang w:eastAsia="zh-CN"/>
        </w:rPr>
        <w:t>2</w:t>
      </w:r>
      <w:r w:rsidRPr="009C5807">
        <w:t>.2.</w:t>
      </w:r>
      <w:r>
        <w:t>4.</w:t>
      </w:r>
    </w:p>
    <w:p w14:paraId="7AF15992" w14:textId="77777777" w:rsidR="00D85FF0" w:rsidRPr="009C5807" w:rsidRDefault="00D85FF0" w:rsidP="00D85FF0">
      <w:pPr>
        <w:pStyle w:val="Heading5"/>
      </w:pPr>
      <w:r w:rsidRPr="009C5807">
        <w:t>6.1</w:t>
      </w:r>
      <w:r>
        <w:rPr>
          <w:rFonts w:hint="eastAsia"/>
          <w:lang w:eastAsia="zh-CN"/>
        </w:rPr>
        <w:t>C</w:t>
      </w:r>
      <w:r w:rsidRPr="009C5807">
        <w:t>.</w:t>
      </w:r>
      <w:r>
        <w:rPr>
          <w:rFonts w:hint="eastAsia"/>
          <w:lang w:eastAsia="zh-CN"/>
        </w:rPr>
        <w:t>2</w:t>
      </w:r>
      <w:r w:rsidRPr="009C5807">
        <w:t>.2.1</w:t>
      </w:r>
      <w:r w:rsidRPr="009C5807">
        <w:tab/>
        <w:t>Handover delay</w:t>
      </w:r>
    </w:p>
    <w:p w14:paraId="18063233" w14:textId="77777777" w:rsidR="00D85FF0" w:rsidRPr="009C5807" w:rsidRDefault="00D85FF0" w:rsidP="00D85FF0">
      <w:pPr>
        <w:rPr>
          <w:rFonts w:cs="v4.2.0"/>
        </w:rPr>
      </w:pPr>
      <w:r w:rsidRPr="009C5807">
        <w:rPr>
          <w:rFonts w:cs="v4.2.0"/>
        </w:rPr>
        <w:t xml:space="preserve">Procedure delays for all procedures that can command a conditional handover are specified in </w:t>
      </w:r>
      <w:r w:rsidRPr="009C5807">
        <w:t>TS 38.331 [2]</w:t>
      </w:r>
      <w:r w:rsidRPr="009C5807">
        <w:rPr>
          <w:rFonts w:cs="v4.2.0"/>
        </w:rPr>
        <w:t>.</w:t>
      </w:r>
      <w:r>
        <w:rPr>
          <w:rFonts w:cs="v4.2.0" w:hint="eastAsia"/>
          <w:lang w:eastAsia="zh-CN"/>
        </w:rPr>
        <w:t xml:space="preserve"> </w:t>
      </w:r>
      <w:r w:rsidRPr="0041070E">
        <w:rPr>
          <w:rFonts w:cs="v4.2.0"/>
          <w:lang w:eastAsia="zh-CN"/>
        </w:rPr>
        <w:t xml:space="preserve">UE should start RRM measurement before the time or distance condition is met, the time/distance condition is defined in clause </w:t>
      </w:r>
      <w:r>
        <w:rPr>
          <w:rFonts w:cs="v4.2.0" w:hint="eastAsia"/>
          <w:lang w:eastAsia="zh-CN"/>
        </w:rPr>
        <w:t>5.5.4</w:t>
      </w:r>
      <w:r w:rsidRPr="0041070E">
        <w:rPr>
          <w:rFonts w:cs="v4.2.0"/>
          <w:lang w:eastAsia="zh-CN"/>
        </w:rPr>
        <w:t xml:space="preserve"> in TS 38.331[2]</w:t>
      </w:r>
    </w:p>
    <w:p w14:paraId="40C08141" w14:textId="7A4FB54B" w:rsidR="00D85FF0" w:rsidRPr="009C5807" w:rsidRDefault="00FC1738" w:rsidP="00D85FF0">
      <w:pPr>
        <w:rPr>
          <w:rFonts w:cs="v4.2.0"/>
        </w:rPr>
      </w:pPr>
      <w:r>
        <w:rPr>
          <w:rFonts w:cs="v4.2.0"/>
        </w:rPr>
        <w:t xml:space="preserve">When the UE receives a RRC message implying conditional handover the UE shall be ready to </w:t>
      </w:r>
      <w:r>
        <w:rPr>
          <w:rFonts w:cs="v4.2.0"/>
          <w:snapToGrid w:val="0"/>
        </w:rPr>
        <w:t>start the transmission of the new uplink PRACH channel</w:t>
      </w:r>
      <w:r>
        <w:rPr>
          <w:rFonts w:cs="v4.2.0"/>
        </w:rPr>
        <w:t xml:space="preserve"> within D</w:t>
      </w:r>
      <w:r>
        <w:rPr>
          <w:rFonts w:cs="v4.2.0"/>
          <w:vertAlign w:val="subscript"/>
        </w:rPr>
        <w:t>CHO</w:t>
      </w:r>
      <w:r>
        <w:rPr>
          <w:rFonts w:cs="v4.2.0"/>
        </w:rPr>
        <w:t xml:space="preserve"> seconds from the end of the last TTI containing the RRC command.</w:t>
      </w:r>
    </w:p>
    <w:p w14:paraId="342B7354" w14:textId="77777777" w:rsidR="00D85FF0" w:rsidRPr="009C5807" w:rsidRDefault="00D85FF0" w:rsidP="00D85FF0">
      <w:pPr>
        <w:pStyle w:val="EQ"/>
        <w:rPr>
          <w:lang w:val="en-US" w:eastAsia="zh-CN"/>
        </w:rPr>
      </w:pPr>
      <w:r w:rsidRPr="009C5807">
        <w:rPr>
          <w:lang w:val="en-US" w:eastAsia="zh-CN"/>
        </w:rPr>
        <w:tab/>
        <w:t>D</w:t>
      </w:r>
      <w:r w:rsidRPr="009C5807">
        <w:rPr>
          <w:vertAlign w:val="subscript"/>
          <w:lang w:val="en-US" w:eastAsia="zh-CN"/>
        </w:rPr>
        <w:t>CHO</w:t>
      </w:r>
      <w:r w:rsidRPr="009C5807">
        <w:rPr>
          <w:lang w:val="en-US" w:eastAsia="zh-CN"/>
        </w:rPr>
        <w:t xml:space="preserve"> = T</w:t>
      </w:r>
      <w:r w:rsidRPr="009C5807">
        <w:rPr>
          <w:vertAlign w:val="subscript"/>
          <w:lang w:val="en-US" w:eastAsia="zh-CN"/>
        </w:rPr>
        <w:t>RRC</w:t>
      </w:r>
      <w:r w:rsidRPr="009C5807">
        <w:rPr>
          <w:lang w:val="en-US" w:eastAsia="zh-CN"/>
        </w:rPr>
        <w:t xml:space="preserve"> + </w:t>
      </w:r>
      <w:r w:rsidRPr="009C5807">
        <w:rPr>
          <w:iCs/>
        </w:rPr>
        <w:t>T</w:t>
      </w:r>
      <w:r w:rsidRPr="009C5807">
        <w:rPr>
          <w:iCs/>
          <w:vertAlign w:val="subscript"/>
        </w:rPr>
        <w:t>Event_DU</w:t>
      </w:r>
      <w:r w:rsidRPr="009C5807">
        <w:rPr>
          <w:iCs/>
        </w:rPr>
        <w:t xml:space="preserve"> + </w:t>
      </w:r>
      <w:r w:rsidRPr="009C5807">
        <w:rPr>
          <w:lang w:val="en-US" w:eastAsia="zh-CN"/>
        </w:rPr>
        <w:t>T</w:t>
      </w:r>
      <w:r w:rsidRPr="009C5807">
        <w:rPr>
          <w:vertAlign w:val="subscript"/>
          <w:lang w:val="en-US" w:eastAsia="zh-CN"/>
        </w:rPr>
        <w:t>measure</w:t>
      </w:r>
      <w:r w:rsidRPr="009C5807">
        <w:rPr>
          <w:lang w:val="en-US" w:eastAsia="zh-CN"/>
        </w:rPr>
        <w:t xml:space="preserve"> + </w:t>
      </w:r>
      <w:r w:rsidRPr="009C5807">
        <w:rPr>
          <w:lang w:eastAsia="zh-CN"/>
        </w:rPr>
        <w:t>T</w:t>
      </w:r>
      <w:r w:rsidRPr="009C5807">
        <w:rPr>
          <w:vertAlign w:val="subscript"/>
          <w:lang w:eastAsia="zh-CN"/>
        </w:rPr>
        <w:t>interrupt</w:t>
      </w:r>
      <w:r w:rsidRPr="009C5807">
        <w:rPr>
          <w:lang w:eastAsia="zh-CN"/>
        </w:rPr>
        <w:t xml:space="preserve"> </w:t>
      </w:r>
      <w:r w:rsidRPr="009C5807">
        <w:rPr>
          <w:lang w:val="en-US" w:eastAsia="zh-CN"/>
        </w:rPr>
        <w:t xml:space="preserve">+ </w:t>
      </w:r>
      <w:r w:rsidRPr="009C5807">
        <w:t>T</w:t>
      </w:r>
      <w:r w:rsidRPr="009C5807">
        <w:rPr>
          <w:vertAlign w:val="subscript"/>
        </w:rPr>
        <w:t>CHO_execution</w:t>
      </w:r>
    </w:p>
    <w:p w14:paraId="01F439C2" w14:textId="77777777" w:rsidR="00D85FF0" w:rsidRPr="009C5807" w:rsidRDefault="00D85FF0" w:rsidP="00D85FF0">
      <w:pPr>
        <w:rPr>
          <w:rFonts w:cs="v4.2.0"/>
        </w:rPr>
      </w:pPr>
      <w:r w:rsidRPr="009C5807">
        <w:rPr>
          <w:rFonts w:cs="v4.2.0"/>
        </w:rPr>
        <w:t>Where:</w:t>
      </w:r>
    </w:p>
    <w:p w14:paraId="11586B98" w14:textId="77777777" w:rsidR="00D85FF0" w:rsidRPr="009C5807" w:rsidRDefault="00D85FF0" w:rsidP="00D85FF0">
      <w:pPr>
        <w:pStyle w:val="B10"/>
      </w:pPr>
      <w:r>
        <w:rPr>
          <w:rFonts w:hint="eastAsia"/>
          <w:bCs/>
          <w:lang w:val="en-US" w:eastAsia="zh-CN"/>
        </w:rPr>
        <w:t>-</w:t>
      </w:r>
      <w:r w:rsidRPr="009C5807">
        <w:rPr>
          <w:bCs/>
          <w:lang w:val="en-US" w:eastAsia="zh-CN"/>
        </w:rPr>
        <w:tab/>
        <w:t>T</w:t>
      </w:r>
      <w:r w:rsidRPr="009C5807">
        <w:rPr>
          <w:bCs/>
          <w:vertAlign w:val="subscript"/>
          <w:lang w:val="en-US" w:eastAsia="zh-CN"/>
        </w:rPr>
        <w:t>RRC</w:t>
      </w:r>
      <w:r w:rsidRPr="009C5807" w:rsidDel="002D2E06">
        <w:t xml:space="preserve"> </w:t>
      </w:r>
      <w:r w:rsidRPr="009C5807">
        <w:t xml:space="preserve">is the RRC procedure delay defined in clause </w:t>
      </w:r>
      <w:r w:rsidRPr="009C5807">
        <w:rPr>
          <w:lang w:eastAsia="zh-CN"/>
        </w:rPr>
        <w:t>12</w:t>
      </w:r>
      <w:r w:rsidRPr="009C5807">
        <w:t xml:space="preserve"> in TS 38.331 [2].</w:t>
      </w:r>
    </w:p>
    <w:p w14:paraId="08246ED5" w14:textId="76F4B767" w:rsidR="00D85FF0" w:rsidRDefault="00D85FF0" w:rsidP="00D85FF0">
      <w:pPr>
        <w:pStyle w:val="B10"/>
        <w:rPr>
          <w:lang w:eastAsia="zh-CN"/>
        </w:rPr>
      </w:pPr>
      <w:r>
        <w:rPr>
          <w:rFonts w:hint="eastAsia"/>
          <w:iCs/>
          <w:lang w:eastAsia="zh-CN"/>
        </w:rPr>
        <w:t>-</w:t>
      </w:r>
      <w:r w:rsidRPr="009C5807">
        <w:rPr>
          <w:iCs/>
        </w:rPr>
        <w:tab/>
      </w:r>
      <w:r w:rsidRPr="00EB0747">
        <w:t>T</w:t>
      </w:r>
      <w:r w:rsidRPr="00EB0747">
        <w:rPr>
          <w:vertAlign w:val="subscript"/>
        </w:rPr>
        <w:t>Event_DU</w:t>
      </w:r>
      <w:r w:rsidRPr="00EB0747">
        <w:t xml:space="preserve"> is the delay uncertainty which is the time from when the UE successfully decodes a conditional handover command until</w:t>
      </w:r>
      <w:r>
        <w:rPr>
          <w:rFonts w:hint="eastAsia"/>
          <w:lang w:eastAsia="zh-CN"/>
        </w:rPr>
        <w:t xml:space="preserve"> a</w:t>
      </w:r>
      <w:r w:rsidRPr="00EB0747">
        <w:t xml:space="preserve"> </w:t>
      </w:r>
      <w:r>
        <w:rPr>
          <w:rFonts w:hint="eastAsia"/>
          <w:lang w:eastAsia="zh-CN"/>
        </w:rPr>
        <w:t xml:space="preserve">condition </w:t>
      </w:r>
      <w:r w:rsidRPr="009C5807">
        <w:t>exists at the measurement reference point which will trigger the conditional handover</w:t>
      </w:r>
      <w:r w:rsidDel="001E1AA1">
        <w:rPr>
          <w:rFonts w:hint="eastAsia"/>
          <w:lang w:eastAsia="zh-CN"/>
        </w:rPr>
        <w:t xml:space="preserve"> </w:t>
      </w:r>
    </w:p>
    <w:p w14:paraId="78BC85DE" w14:textId="68D90E87" w:rsidR="00D85FF0" w:rsidRPr="009C5807" w:rsidRDefault="00D85FF0" w:rsidP="00D85FF0">
      <w:pPr>
        <w:pStyle w:val="B10"/>
      </w:pPr>
      <w:r>
        <w:rPr>
          <w:rFonts w:hint="eastAsia"/>
          <w:lang w:eastAsia="zh-CN"/>
        </w:rPr>
        <w:t>-</w:t>
      </w:r>
      <w:r>
        <w:rPr>
          <w:rFonts w:hint="eastAsia"/>
          <w:lang w:eastAsia="zh-CN"/>
        </w:rPr>
        <w:tab/>
      </w:r>
      <w:r w:rsidRPr="009C5807">
        <w:rPr>
          <w:bCs/>
          <w:lang w:val="en-US" w:eastAsia="zh-CN"/>
        </w:rPr>
        <w:t>T</w:t>
      </w:r>
      <w:r w:rsidRPr="009C5807">
        <w:rPr>
          <w:bCs/>
          <w:vertAlign w:val="subscript"/>
          <w:lang w:val="en-US" w:eastAsia="zh-CN"/>
        </w:rPr>
        <w:t>measure</w:t>
      </w:r>
      <w:r w:rsidRPr="009C5807">
        <w:t xml:space="preserve"> is the measurements time stated in clause 6.1</w:t>
      </w:r>
      <w:r>
        <w:rPr>
          <w:rFonts w:hint="eastAsia"/>
          <w:lang w:eastAsia="zh-CN"/>
        </w:rPr>
        <w:t>C</w:t>
      </w:r>
      <w:r w:rsidRPr="009C5807">
        <w:t>.4.2.2.</w:t>
      </w:r>
    </w:p>
    <w:p w14:paraId="73688118" w14:textId="74DD79CD" w:rsidR="00D85FF0" w:rsidRPr="009C5807" w:rsidRDefault="00FC1738" w:rsidP="00D85FF0">
      <w:pPr>
        <w:pStyle w:val="B10"/>
      </w:pPr>
      <w:r>
        <w:rPr>
          <w:rFonts w:hint="eastAsia"/>
          <w:lang w:eastAsia="zh-CN"/>
        </w:rPr>
        <w:t>-</w:t>
      </w:r>
      <w:r>
        <w:tab/>
        <w:t>T</w:t>
      </w:r>
      <w:r>
        <w:rPr>
          <w:vertAlign w:val="subscript"/>
        </w:rPr>
        <w:t>CHO_execution</w:t>
      </w:r>
      <w:r>
        <w:t xml:space="preserve"> is the </w:t>
      </w:r>
      <w:r>
        <w:rPr>
          <w:rFonts w:hint="eastAsia"/>
          <w:lang w:eastAsia="zh-CN"/>
        </w:rPr>
        <w:t xml:space="preserve">UE </w:t>
      </w:r>
      <w:r>
        <w:t xml:space="preserve">conditional execution preparation time </w:t>
      </w:r>
      <w:r>
        <w:rPr>
          <w:rFonts w:hint="eastAsia"/>
          <w:lang w:eastAsia="zh-CN"/>
        </w:rPr>
        <w:t>for conditional handover</w:t>
      </w:r>
      <w:r>
        <w:t xml:space="preserve"> in clause 6.</w:t>
      </w:r>
      <w:r>
        <w:rPr>
          <w:rFonts w:hint="eastAsia"/>
          <w:lang w:val="en-US" w:eastAsia="zh-CN"/>
        </w:rPr>
        <w:t>1C</w:t>
      </w:r>
      <w:r>
        <w:t>.</w:t>
      </w:r>
      <w:r>
        <w:rPr>
          <w:rFonts w:hint="eastAsia"/>
          <w:lang w:eastAsia="zh-CN"/>
        </w:rPr>
        <w:t>2</w:t>
      </w:r>
      <w:r>
        <w:t>.2.3.</w:t>
      </w:r>
    </w:p>
    <w:p w14:paraId="0B2D61D8" w14:textId="77777777" w:rsidR="00D85FF0" w:rsidRDefault="00D85FF0" w:rsidP="00D85FF0">
      <w:pPr>
        <w:pStyle w:val="B10"/>
        <w:rPr>
          <w:lang w:eastAsia="zh-CN"/>
        </w:rPr>
      </w:pPr>
      <w:r>
        <w:rPr>
          <w:rFonts w:hint="eastAsia"/>
          <w:bCs/>
          <w:lang w:eastAsia="zh-CN"/>
        </w:rPr>
        <w:t>-</w:t>
      </w:r>
      <w:r w:rsidRPr="009C5807">
        <w:rPr>
          <w:bCs/>
          <w:lang w:eastAsia="zh-CN"/>
        </w:rPr>
        <w:tab/>
        <w:t>T</w:t>
      </w:r>
      <w:r w:rsidRPr="009C5807">
        <w:rPr>
          <w:bCs/>
          <w:vertAlign w:val="subscript"/>
          <w:lang w:eastAsia="zh-CN"/>
        </w:rPr>
        <w:t>interrupt</w:t>
      </w:r>
      <w:r w:rsidRPr="009C5807">
        <w:t xml:space="preserve"> is the interruption time stated in clause 6.1</w:t>
      </w:r>
      <w:r>
        <w:rPr>
          <w:rFonts w:hint="eastAsia"/>
          <w:lang w:eastAsia="zh-CN"/>
        </w:rPr>
        <w:t>C</w:t>
      </w:r>
      <w:r w:rsidRPr="009C5807">
        <w:t>.</w:t>
      </w:r>
      <w:r>
        <w:rPr>
          <w:rFonts w:hint="eastAsia"/>
          <w:lang w:eastAsia="zh-CN"/>
        </w:rPr>
        <w:t>2</w:t>
      </w:r>
      <w:r w:rsidRPr="009C5807">
        <w:t>.2.4.</w:t>
      </w:r>
    </w:p>
    <w:p w14:paraId="670F5323" w14:textId="77777777" w:rsidR="00D85FF0" w:rsidRDefault="00D85FF0" w:rsidP="00D85FF0">
      <w:pPr>
        <w:rPr>
          <w:lang w:eastAsia="zh-CN"/>
        </w:rPr>
      </w:pPr>
      <w:r>
        <w:rPr>
          <w:rFonts w:hint="eastAsia"/>
          <w:lang w:eastAsia="zh-CN"/>
        </w:rPr>
        <w:t xml:space="preserve">The conditional handover delay requirements are applied if </w:t>
      </w:r>
      <w:r w:rsidRPr="00D010ED">
        <w:rPr>
          <w:lang w:eastAsia="zh-CN"/>
        </w:rPr>
        <w:t>condition T1-2</w:t>
      </w:r>
      <w:r>
        <w:rPr>
          <w:rFonts w:hint="eastAsia"/>
          <w:lang w:eastAsia="zh-CN"/>
        </w:rPr>
        <w:t xml:space="preserve"> is later than the end of T</w:t>
      </w:r>
      <w:r w:rsidRPr="00E22127">
        <w:rPr>
          <w:rFonts w:hint="eastAsia"/>
          <w:vertAlign w:val="subscript"/>
          <w:lang w:eastAsia="zh-CN"/>
        </w:rPr>
        <w:t>measure</w:t>
      </w:r>
      <w:r>
        <w:rPr>
          <w:rFonts w:hint="eastAsia"/>
          <w:lang w:eastAsia="zh-CN"/>
        </w:rPr>
        <w:t xml:space="preserve"> for time based CHO, or </w:t>
      </w:r>
      <w:r w:rsidRPr="003C2AF2">
        <w:rPr>
          <w:lang w:eastAsia="zh-CN"/>
        </w:rPr>
        <w:t>both condition D1-1 and condition</w:t>
      </w:r>
      <w:r>
        <w:rPr>
          <w:rFonts w:hint="eastAsia"/>
          <w:lang w:eastAsia="zh-CN"/>
        </w:rPr>
        <w:t xml:space="preserve"> </w:t>
      </w:r>
      <w:r w:rsidRPr="003C2AF2">
        <w:rPr>
          <w:lang w:eastAsia="zh-CN"/>
        </w:rPr>
        <w:t>D1-2</w:t>
      </w:r>
      <w:r>
        <w:rPr>
          <w:rFonts w:hint="eastAsia"/>
          <w:lang w:eastAsia="zh-CN"/>
        </w:rPr>
        <w:t xml:space="preserve"> are</w:t>
      </w:r>
      <w:r w:rsidRPr="00123762">
        <w:t xml:space="preserve"> </w:t>
      </w:r>
      <w:r w:rsidRPr="00123762">
        <w:rPr>
          <w:lang w:eastAsia="zh-CN"/>
        </w:rPr>
        <w:t>fulfilled</w:t>
      </w:r>
      <w:r>
        <w:rPr>
          <w:rFonts w:hint="eastAsia"/>
          <w:lang w:eastAsia="zh-CN"/>
        </w:rPr>
        <w:t xml:space="preserve"> before the end of T</w:t>
      </w:r>
      <w:r w:rsidRPr="00E22127">
        <w:rPr>
          <w:rFonts w:hint="eastAsia"/>
          <w:vertAlign w:val="subscript"/>
          <w:lang w:eastAsia="zh-CN"/>
        </w:rPr>
        <w:t>measure</w:t>
      </w:r>
      <w:r>
        <w:rPr>
          <w:rFonts w:hint="eastAsia"/>
          <w:lang w:eastAsia="zh-CN"/>
        </w:rPr>
        <w:t xml:space="preserve"> for location-based CHO, otherwise no CHO requirement is applied.</w:t>
      </w:r>
    </w:p>
    <w:p w14:paraId="51F56458" w14:textId="77777777" w:rsidR="00D85FF0" w:rsidRPr="00805886" w:rsidRDefault="00D85FF0" w:rsidP="00D85FF0">
      <w:pPr>
        <w:rPr>
          <w:lang w:eastAsia="zh-CN"/>
        </w:rPr>
      </w:pPr>
    </w:p>
    <w:p w14:paraId="4E175CC2" w14:textId="77777777" w:rsidR="00D85FF0" w:rsidRPr="009C5807" w:rsidRDefault="00D85FF0" w:rsidP="00D85FF0">
      <w:pPr>
        <w:pStyle w:val="Heading5"/>
      </w:pPr>
      <w:r w:rsidRPr="009C5807">
        <w:t>6.1</w:t>
      </w:r>
      <w:r>
        <w:rPr>
          <w:rFonts w:hint="eastAsia"/>
          <w:lang w:eastAsia="zh-CN"/>
        </w:rPr>
        <w:t>C</w:t>
      </w:r>
      <w:r w:rsidRPr="009C5807">
        <w:t>.</w:t>
      </w:r>
      <w:r>
        <w:rPr>
          <w:rFonts w:hint="eastAsia"/>
          <w:lang w:eastAsia="zh-CN"/>
        </w:rPr>
        <w:t>2</w:t>
      </w:r>
      <w:r w:rsidRPr="009C5807">
        <w:t>.2.2</w:t>
      </w:r>
      <w:r w:rsidRPr="009C5807">
        <w:tab/>
        <w:t>Measurement time</w:t>
      </w:r>
    </w:p>
    <w:p w14:paraId="714E61AE" w14:textId="77777777" w:rsidR="00D85FF0" w:rsidRPr="009C5807" w:rsidRDefault="00D85FF0" w:rsidP="00D85FF0">
      <w:r w:rsidRPr="009C5807">
        <w:rPr>
          <w:rFonts w:cs="v4.2.0"/>
        </w:rPr>
        <w:t xml:space="preserve">The measurement time </w:t>
      </w:r>
      <w:r w:rsidRPr="009C5807">
        <w:t xml:space="preserve">delay is defined from the end of </w:t>
      </w:r>
      <w:r w:rsidRPr="009C5807">
        <w:rPr>
          <w:iCs/>
        </w:rPr>
        <w:t>T</w:t>
      </w:r>
      <w:r w:rsidRPr="009C5807">
        <w:rPr>
          <w:iCs/>
          <w:vertAlign w:val="subscript"/>
        </w:rPr>
        <w:t>Event_DU</w:t>
      </w:r>
      <w:r w:rsidRPr="009C5807">
        <w:t xml:space="preserve"> until UE executes a handover to a target cell and interruption time starts.</w:t>
      </w:r>
    </w:p>
    <w:p w14:paraId="67063CEE" w14:textId="6F96AC66" w:rsidR="00D85FF0" w:rsidRPr="00F340F6" w:rsidRDefault="000C7022" w:rsidP="00D85FF0">
      <w:pPr>
        <w:rPr>
          <w:lang w:val="en-US" w:eastAsia="zh-CN"/>
        </w:rPr>
      </w:pPr>
      <w:r>
        <w:rPr>
          <w:lang w:val="en-US"/>
        </w:rPr>
        <w:t xml:space="preserve">For intra-frequency handover, the </w:t>
      </w:r>
      <w:r>
        <w:rPr>
          <w:rFonts w:hint="eastAsia"/>
          <w:lang w:val="en-US" w:eastAsia="zh-CN"/>
        </w:rPr>
        <w:t>requirements for identifying a new detectable intra frequency cell</w:t>
      </w:r>
      <w:r>
        <w:rPr>
          <w:lang w:val="en-US"/>
        </w:rPr>
        <w:t xml:space="preserve"> measured without Time To Trigger (TTT) and L3 filtering</w:t>
      </w:r>
      <w:r>
        <w:rPr>
          <w:rFonts w:hint="eastAsia"/>
          <w:lang w:val="en-US" w:eastAsia="zh-CN"/>
        </w:rPr>
        <w:t xml:space="preserve">, </w:t>
      </w:r>
      <w:r>
        <w:rPr>
          <w:lang w:val="en-US"/>
        </w:rPr>
        <w:t>T</w:t>
      </w:r>
      <w:r>
        <w:rPr>
          <w:vertAlign w:val="subscript"/>
          <w:lang w:val="en-US"/>
        </w:rPr>
        <w:t>identify_intra_with_index</w:t>
      </w:r>
      <w:r>
        <w:rPr>
          <w:lang w:val="en-US"/>
        </w:rPr>
        <w:t xml:space="preserve"> or T</w:t>
      </w:r>
      <w:r>
        <w:rPr>
          <w:vertAlign w:val="subscript"/>
          <w:lang w:val="en-US"/>
        </w:rPr>
        <w:t>identify_intra_without_index</w:t>
      </w:r>
      <w:r>
        <w:rPr>
          <w:rFonts w:hint="eastAsia"/>
          <w:lang w:val="en-US" w:eastAsia="zh-CN"/>
        </w:rPr>
        <w:t xml:space="preserve">, </w:t>
      </w:r>
      <w:r>
        <w:rPr>
          <w:lang w:val="en-US"/>
        </w:rPr>
        <w:t>defined in clause 9.2C.5.1</w:t>
      </w:r>
      <w:r>
        <w:rPr>
          <w:rFonts w:hint="eastAsia"/>
          <w:lang w:val="en-US" w:eastAsia="zh-CN"/>
        </w:rPr>
        <w:t xml:space="preserve"> and clause 9.2C.6.1 are used.</w:t>
      </w:r>
    </w:p>
    <w:p w14:paraId="755C65E0" w14:textId="77777777" w:rsidR="00D85FF0" w:rsidRPr="00F340F6" w:rsidRDefault="00D85FF0" w:rsidP="00D85FF0">
      <w:pPr>
        <w:rPr>
          <w:lang w:val="en-US"/>
        </w:rPr>
      </w:pPr>
      <w:r w:rsidRPr="00F340F6">
        <w:rPr>
          <w:lang w:val="en-US"/>
        </w:rPr>
        <w:t>For time-based conditional intra-frequency handover:</w:t>
      </w:r>
    </w:p>
    <w:p w14:paraId="21C5763F" w14:textId="4E46FC6A" w:rsidR="005B4193" w:rsidRPr="00F340F6" w:rsidRDefault="005B4193" w:rsidP="005B4193">
      <w:pPr>
        <w:pStyle w:val="B10"/>
        <w:rPr>
          <w:lang w:val="en-US"/>
        </w:rPr>
      </w:pPr>
      <w:r>
        <w:rPr>
          <w:lang w:val="en-US"/>
        </w:rPr>
        <w:t>-</w:t>
      </w:r>
      <w:r>
        <w:rPr>
          <w:lang w:val="en-US"/>
        </w:rPr>
        <w:tab/>
      </w:r>
      <w:r w:rsidRPr="00B42A38">
        <w:rPr>
          <w:lang w:val="en-US"/>
        </w:rPr>
        <w:t>If condition T1-1 occurs earlier than T</w:t>
      </w:r>
      <w:r w:rsidRPr="00F340F6">
        <w:rPr>
          <w:vertAlign w:val="subscript"/>
          <w:lang w:val="en-US"/>
        </w:rPr>
        <w:t>Event_DU</w:t>
      </w:r>
      <w:r w:rsidRPr="00312F20">
        <w:rPr>
          <w:lang w:val="en-US"/>
        </w:rPr>
        <w:t xml:space="preserve"> </w:t>
      </w:r>
      <w:r>
        <w:rPr>
          <w:lang w:val="en-US"/>
        </w:rPr>
        <w:t>+</w:t>
      </w:r>
      <w:r w:rsidRPr="00F340F6">
        <w:rPr>
          <w:lang w:val="en-US"/>
        </w:rPr>
        <w:t xml:space="preserve"> T</w:t>
      </w:r>
      <w:r w:rsidRPr="00AF5628">
        <w:rPr>
          <w:vertAlign w:val="subscript"/>
          <w:lang w:val="en-US"/>
        </w:rPr>
        <w:t>identify</w:t>
      </w:r>
      <w:r>
        <w:rPr>
          <w:rFonts w:hint="eastAsia"/>
          <w:vertAlign w:val="subscript"/>
          <w:lang w:val="en-US" w:eastAsia="zh-CN"/>
        </w:rPr>
        <w:t>_</w:t>
      </w:r>
      <w:r w:rsidRPr="00AF5628">
        <w:rPr>
          <w:vertAlign w:val="subscript"/>
          <w:lang w:val="en-US"/>
        </w:rPr>
        <w:t>intra_with</w:t>
      </w:r>
      <w:r>
        <w:rPr>
          <w:rFonts w:hint="eastAsia"/>
          <w:vertAlign w:val="subscript"/>
          <w:lang w:val="en-US" w:eastAsia="zh-CN"/>
        </w:rPr>
        <w:t>_</w:t>
      </w:r>
      <w:r w:rsidRPr="00AF5628">
        <w:rPr>
          <w:vertAlign w:val="subscript"/>
          <w:lang w:val="en-US"/>
        </w:rPr>
        <w:t xml:space="preserve">index </w:t>
      </w:r>
      <w:r w:rsidRPr="00F340F6">
        <w:rPr>
          <w:lang w:val="en-US"/>
        </w:rPr>
        <w:t xml:space="preserve">or </w:t>
      </w:r>
      <w:r w:rsidRPr="00B42A38">
        <w:rPr>
          <w:lang w:val="en-US"/>
        </w:rPr>
        <w:t>T</w:t>
      </w:r>
      <w:r w:rsidRPr="00F340F6">
        <w:rPr>
          <w:vertAlign w:val="subscript"/>
          <w:lang w:val="en-US"/>
        </w:rPr>
        <w:t>Event_DU</w:t>
      </w:r>
      <w:r w:rsidRPr="00312F20">
        <w:rPr>
          <w:lang w:val="en-US"/>
        </w:rPr>
        <w:t xml:space="preserve"> </w:t>
      </w:r>
      <w:r>
        <w:rPr>
          <w:lang w:val="en-US"/>
        </w:rPr>
        <w:t>+</w:t>
      </w:r>
      <w:r w:rsidRPr="00F340F6">
        <w:rPr>
          <w:lang w:val="en-US"/>
        </w:rPr>
        <w:t xml:space="preserve"> T</w:t>
      </w:r>
      <w:r w:rsidRPr="00AF5628">
        <w:rPr>
          <w:vertAlign w:val="subscript"/>
          <w:lang w:val="en-US"/>
        </w:rPr>
        <w:t>identify_intra_without_index</w:t>
      </w:r>
      <w:r w:rsidRPr="00F340F6">
        <w:rPr>
          <w:lang w:val="en-US"/>
        </w:rPr>
        <w:t xml:space="preserve">, then </w:t>
      </w:r>
      <w:r w:rsidRPr="0014377A">
        <w:rPr>
          <w:lang w:val="en-US"/>
        </w:rPr>
        <w:t>the measurement time delay equal to</w:t>
      </w:r>
      <w:r w:rsidRPr="00F340F6">
        <w:rPr>
          <w:lang w:val="en-US"/>
        </w:rPr>
        <w:t xml:space="preserve"> T</w:t>
      </w:r>
      <w:r w:rsidRPr="00AF5628">
        <w:rPr>
          <w:vertAlign w:val="subscript"/>
          <w:lang w:val="en-US"/>
        </w:rPr>
        <w:t>identify</w:t>
      </w:r>
      <w:r>
        <w:rPr>
          <w:rFonts w:hint="eastAsia"/>
          <w:vertAlign w:val="subscript"/>
          <w:lang w:val="en-US" w:eastAsia="zh-CN"/>
        </w:rPr>
        <w:t>_</w:t>
      </w:r>
      <w:r w:rsidRPr="00AF5628">
        <w:rPr>
          <w:vertAlign w:val="subscript"/>
          <w:lang w:val="en-US"/>
        </w:rPr>
        <w:t>intra_with</w:t>
      </w:r>
      <w:r>
        <w:rPr>
          <w:rFonts w:hint="eastAsia"/>
          <w:vertAlign w:val="subscript"/>
          <w:lang w:val="en-US" w:eastAsia="zh-CN"/>
        </w:rPr>
        <w:t>_</w:t>
      </w:r>
      <w:r w:rsidRPr="00AF5628">
        <w:rPr>
          <w:vertAlign w:val="subscript"/>
          <w:lang w:val="en-US"/>
        </w:rPr>
        <w:t xml:space="preserve">index </w:t>
      </w:r>
      <w:r w:rsidRPr="00F340F6">
        <w:rPr>
          <w:lang w:val="en-US"/>
        </w:rPr>
        <w:t>or T</w:t>
      </w:r>
      <w:r w:rsidRPr="00AF5628">
        <w:rPr>
          <w:vertAlign w:val="subscript"/>
          <w:lang w:val="en-US"/>
        </w:rPr>
        <w:t>identify_intra_without_index</w:t>
      </w:r>
      <w:r w:rsidRPr="00BC1172">
        <w:rPr>
          <w:lang w:val="en-US"/>
        </w:rPr>
        <w:t xml:space="preserve"> </w:t>
      </w:r>
      <w:r w:rsidRPr="00B42A38">
        <w:rPr>
          <w:lang w:val="en-US"/>
        </w:rPr>
        <w:t xml:space="preserve">assuming </w:t>
      </w:r>
      <w:r w:rsidRPr="008C1BA0">
        <w:rPr>
          <w:lang w:val="en-US" w:eastAsia="zh-CN"/>
        </w:rPr>
        <w:t xml:space="preserve">UE </w:t>
      </w:r>
      <w:r>
        <w:rPr>
          <w:rFonts w:hint="eastAsia"/>
          <w:lang w:val="en-US" w:eastAsia="zh-CN"/>
        </w:rPr>
        <w:t>only</w:t>
      </w:r>
      <w:r w:rsidRPr="008C1BA0">
        <w:rPr>
          <w:lang w:val="en-US" w:eastAsia="zh-CN"/>
        </w:rPr>
        <w:t xml:space="preserve"> </w:t>
      </w:r>
      <w:r>
        <w:rPr>
          <w:lang w:val="en-US" w:eastAsia="zh-CN"/>
        </w:rPr>
        <w:t>performs</w:t>
      </w:r>
      <w:r w:rsidRPr="008C1BA0">
        <w:rPr>
          <w:lang w:val="en-US" w:eastAsia="zh-CN"/>
        </w:rPr>
        <w:t xml:space="preserve"> the </w:t>
      </w:r>
      <w:r>
        <w:rPr>
          <w:lang w:val="en-US" w:eastAsia="zh-CN"/>
        </w:rPr>
        <w:t xml:space="preserve">measurements within </w:t>
      </w:r>
      <w:r w:rsidRPr="008C1BA0">
        <w:rPr>
          <w:lang w:val="en-US" w:eastAsia="zh-CN"/>
        </w:rPr>
        <w:t xml:space="preserve">SMTC window </w:t>
      </w:r>
      <w:r>
        <w:rPr>
          <w:lang w:val="en-US" w:eastAsia="zh-CN"/>
        </w:rPr>
        <w:t xml:space="preserve">of </w:t>
      </w:r>
      <w:r w:rsidRPr="008C1BA0">
        <w:rPr>
          <w:lang w:val="en-US" w:eastAsia="zh-CN"/>
        </w:rPr>
        <w:t>the target cel</w:t>
      </w:r>
      <w:r>
        <w:rPr>
          <w:rFonts w:hint="eastAsia"/>
          <w:lang w:val="en-US" w:eastAsia="zh-CN"/>
        </w:rPr>
        <w:t>l</w:t>
      </w:r>
      <w:r w:rsidRPr="00B42A38">
        <w:rPr>
          <w:lang w:val="en-US"/>
        </w:rPr>
        <w:t>.</w:t>
      </w:r>
    </w:p>
    <w:p w14:paraId="1C4292FF" w14:textId="62D127F8" w:rsidR="00D85FF0" w:rsidRDefault="005B4193" w:rsidP="005B4193">
      <w:pPr>
        <w:pStyle w:val="B10"/>
        <w:rPr>
          <w:lang w:val="en-US"/>
        </w:rPr>
      </w:pPr>
      <w:r>
        <w:rPr>
          <w:lang w:val="en-US"/>
        </w:rPr>
        <w:t>-</w:t>
      </w:r>
      <w:r>
        <w:rPr>
          <w:lang w:val="en-US"/>
        </w:rPr>
        <w:tab/>
      </w:r>
      <w:r w:rsidRPr="00F340F6">
        <w:rPr>
          <w:lang w:val="en-US"/>
        </w:rPr>
        <w:t>If condition T1-1 occurs later than T</w:t>
      </w:r>
      <w:r w:rsidRPr="00F340F6">
        <w:rPr>
          <w:vertAlign w:val="subscript"/>
          <w:lang w:val="en-US"/>
        </w:rPr>
        <w:t>Event_DU</w:t>
      </w:r>
      <w:r w:rsidRPr="00F340F6">
        <w:rPr>
          <w:lang w:val="en-US"/>
        </w:rPr>
        <w:t xml:space="preserve"> </w:t>
      </w:r>
      <w:r>
        <w:rPr>
          <w:lang w:val="en-US"/>
        </w:rPr>
        <w:t>+</w:t>
      </w:r>
      <w:r w:rsidRPr="00F340F6">
        <w:rPr>
          <w:lang w:val="en-US"/>
        </w:rPr>
        <w:t xml:space="preserve"> T</w:t>
      </w:r>
      <w:r w:rsidRPr="00AF5628">
        <w:rPr>
          <w:vertAlign w:val="subscript"/>
          <w:lang w:val="en-US"/>
        </w:rPr>
        <w:t>identify</w:t>
      </w:r>
      <w:r>
        <w:rPr>
          <w:rFonts w:hint="eastAsia"/>
          <w:vertAlign w:val="subscript"/>
          <w:lang w:val="en-US" w:eastAsia="zh-CN"/>
        </w:rPr>
        <w:t>_</w:t>
      </w:r>
      <w:r w:rsidRPr="00AF5628">
        <w:rPr>
          <w:vertAlign w:val="subscript"/>
          <w:lang w:val="en-US"/>
        </w:rPr>
        <w:t>intra_with</w:t>
      </w:r>
      <w:r>
        <w:rPr>
          <w:rFonts w:hint="eastAsia"/>
          <w:vertAlign w:val="subscript"/>
          <w:lang w:val="en-US" w:eastAsia="zh-CN"/>
        </w:rPr>
        <w:t>_</w:t>
      </w:r>
      <w:r w:rsidRPr="00AF5628">
        <w:rPr>
          <w:vertAlign w:val="subscript"/>
          <w:lang w:val="en-US"/>
        </w:rPr>
        <w:t xml:space="preserve">index </w:t>
      </w:r>
      <w:r w:rsidRPr="00F340F6">
        <w:rPr>
          <w:lang w:val="en-US"/>
        </w:rPr>
        <w:t>or T</w:t>
      </w:r>
      <w:r w:rsidRPr="00F340F6">
        <w:rPr>
          <w:vertAlign w:val="subscript"/>
          <w:lang w:val="en-US"/>
        </w:rPr>
        <w:t>Event_DU</w:t>
      </w:r>
      <w:r w:rsidRPr="00F340F6">
        <w:rPr>
          <w:lang w:val="en-US"/>
        </w:rPr>
        <w:t xml:space="preserve"> </w:t>
      </w:r>
      <w:r>
        <w:rPr>
          <w:lang w:val="en-US"/>
        </w:rPr>
        <w:t>+</w:t>
      </w:r>
      <w:r w:rsidRPr="00F340F6">
        <w:rPr>
          <w:lang w:val="en-US"/>
        </w:rPr>
        <w:t xml:space="preserve"> T</w:t>
      </w:r>
      <w:r w:rsidRPr="00AF5628">
        <w:rPr>
          <w:vertAlign w:val="subscript"/>
          <w:lang w:val="en-US"/>
        </w:rPr>
        <w:t>identify_intra_without_index</w:t>
      </w:r>
      <w:r w:rsidRPr="00B42A38">
        <w:rPr>
          <w:lang w:val="en-US"/>
        </w:rPr>
        <w:t>, then</w:t>
      </w:r>
      <w:r w:rsidRPr="00F340F6">
        <w:rPr>
          <w:lang w:val="en-US"/>
        </w:rPr>
        <w:t xml:space="preserve"> </w:t>
      </w:r>
      <w:r w:rsidRPr="00B42A38">
        <w:rPr>
          <w:lang w:val="en-US"/>
        </w:rPr>
        <w:t xml:space="preserve">the measurement time delay equals to </w:t>
      </w:r>
      <w:r w:rsidRPr="00F340F6">
        <w:rPr>
          <w:lang w:val="en-US"/>
        </w:rPr>
        <w:t>the time from the end of T</w:t>
      </w:r>
      <w:r w:rsidRPr="00F340F6">
        <w:rPr>
          <w:vertAlign w:val="subscript"/>
          <w:lang w:val="en-US"/>
        </w:rPr>
        <w:t>event_DU</w:t>
      </w:r>
      <w:r w:rsidRPr="00F340F6">
        <w:rPr>
          <w:lang w:val="en-US"/>
        </w:rPr>
        <w:t xml:space="preserve"> until condition T1-1</w:t>
      </w:r>
      <w:r w:rsidRPr="00B42A38">
        <w:rPr>
          <w:lang w:val="en-US"/>
        </w:rPr>
        <w:t>.</w:t>
      </w:r>
    </w:p>
    <w:p w14:paraId="410DEF51" w14:textId="77777777" w:rsidR="00D85FF0" w:rsidRPr="00F340F6" w:rsidRDefault="00D85FF0" w:rsidP="00AF5628">
      <w:pPr>
        <w:rPr>
          <w:lang w:val="en-US"/>
        </w:rPr>
      </w:pPr>
    </w:p>
    <w:p w14:paraId="4EA2D67C" w14:textId="77777777" w:rsidR="00D85FF0" w:rsidRPr="00AF5628" w:rsidRDefault="00D85FF0" w:rsidP="00D85FF0">
      <w:pPr>
        <w:rPr>
          <w:rFonts w:cs="v4.2.0"/>
        </w:rPr>
      </w:pPr>
      <w:r w:rsidRPr="00AF5628">
        <w:rPr>
          <w:rFonts w:cs="v4.2.0"/>
        </w:rPr>
        <w:t>For location-based conditional intra-frequency handover:</w:t>
      </w:r>
    </w:p>
    <w:p w14:paraId="0884DD32" w14:textId="4D6F3486" w:rsidR="005B4193" w:rsidRPr="00F340F6" w:rsidRDefault="005B4193" w:rsidP="005B4193">
      <w:pPr>
        <w:pStyle w:val="B10"/>
        <w:rPr>
          <w:lang w:val="en-US"/>
        </w:rPr>
      </w:pPr>
      <w:r>
        <w:rPr>
          <w:lang w:val="en-US"/>
        </w:rPr>
        <w:t>-</w:t>
      </w:r>
      <w:r>
        <w:rPr>
          <w:lang w:val="en-US"/>
        </w:rPr>
        <w:tab/>
      </w:r>
      <w:r w:rsidRPr="00B42A38">
        <w:rPr>
          <w:lang w:val="en-US"/>
        </w:rPr>
        <w:t>If both condition D1-1 and condition D1-2 are fulfilled earlier than T</w:t>
      </w:r>
      <w:r w:rsidRPr="00F340F6">
        <w:rPr>
          <w:vertAlign w:val="subscript"/>
          <w:lang w:val="en-US"/>
        </w:rPr>
        <w:t>Event_DU</w:t>
      </w:r>
      <w:r w:rsidRPr="0004019C">
        <w:rPr>
          <w:lang w:val="en-US"/>
        </w:rPr>
        <w:t xml:space="preserve"> </w:t>
      </w:r>
      <w:r>
        <w:rPr>
          <w:lang w:val="en-US"/>
        </w:rPr>
        <w:t>+</w:t>
      </w:r>
      <w:r w:rsidRPr="00F340F6">
        <w:rPr>
          <w:lang w:val="en-US"/>
        </w:rPr>
        <w:t xml:space="preserve"> T</w:t>
      </w:r>
      <w:r w:rsidRPr="00AF5628">
        <w:rPr>
          <w:vertAlign w:val="subscript"/>
          <w:lang w:val="en-US"/>
        </w:rPr>
        <w:t>identify</w:t>
      </w:r>
      <w:r>
        <w:rPr>
          <w:rFonts w:hint="eastAsia"/>
          <w:vertAlign w:val="subscript"/>
          <w:lang w:val="en-US" w:eastAsia="zh-CN"/>
        </w:rPr>
        <w:t>_</w:t>
      </w:r>
      <w:r w:rsidRPr="00AF5628">
        <w:rPr>
          <w:vertAlign w:val="subscript"/>
          <w:lang w:val="en-US"/>
        </w:rPr>
        <w:t>intra_with</w:t>
      </w:r>
      <w:r>
        <w:rPr>
          <w:rFonts w:hint="eastAsia"/>
          <w:vertAlign w:val="subscript"/>
          <w:lang w:val="en-US" w:eastAsia="zh-CN"/>
        </w:rPr>
        <w:t>_</w:t>
      </w:r>
      <w:r w:rsidRPr="00AF5628">
        <w:rPr>
          <w:vertAlign w:val="subscript"/>
          <w:lang w:val="en-US"/>
        </w:rPr>
        <w:t xml:space="preserve">index </w:t>
      </w:r>
      <w:r w:rsidRPr="00F340F6">
        <w:rPr>
          <w:lang w:val="en-US"/>
        </w:rPr>
        <w:t xml:space="preserve">or </w:t>
      </w:r>
      <w:r w:rsidRPr="00B42A38">
        <w:rPr>
          <w:lang w:val="en-US"/>
        </w:rPr>
        <w:t>T</w:t>
      </w:r>
      <w:r w:rsidRPr="00F340F6">
        <w:rPr>
          <w:vertAlign w:val="subscript"/>
          <w:lang w:val="en-US"/>
        </w:rPr>
        <w:t>Event_DU</w:t>
      </w:r>
      <w:r w:rsidRPr="0004019C">
        <w:rPr>
          <w:lang w:val="en-US"/>
        </w:rPr>
        <w:t xml:space="preserve"> </w:t>
      </w:r>
      <w:r>
        <w:rPr>
          <w:lang w:val="en-US"/>
        </w:rPr>
        <w:t>+</w:t>
      </w:r>
      <w:r w:rsidRPr="00F340F6">
        <w:rPr>
          <w:lang w:val="en-US"/>
        </w:rPr>
        <w:t xml:space="preserve"> T</w:t>
      </w:r>
      <w:r w:rsidRPr="00AF5628">
        <w:rPr>
          <w:vertAlign w:val="subscript"/>
          <w:lang w:val="en-US"/>
        </w:rPr>
        <w:t>identify_intra_without_index</w:t>
      </w:r>
      <w:r w:rsidRPr="00F340F6">
        <w:rPr>
          <w:lang w:val="en-US"/>
        </w:rPr>
        <w:t xml:space="preserve">, </w:t>
      </w:r>
      <w:r w:rsidRPr="0014377A">
        <w:rPr>
          <w:lang w:val="en-US"/>
        </w:rPr>
        <w:t xml:space="preserve">then the measurement time delay equal to </w:t>
      </w:r>
      <w:r w:rsidRPr="00F340F6">
        <w:rPr>
          <w:lang w:val="en-US"/>
        </w:rPr>
        <w:t>T</w:t>
      </w:r>
      <w:r w:rsidRPr="00AF5628">
        <w:rPr>
          <w:vertAlign w:val="subscript"/>
          <w:lang w:val="en-US"/>
        </w:rPr>
        <w:t>identify</w:t>
      </w:r>
      <w:r>
        <w:rPr>
          <w:rFonts w:hint="eastAsia"/>
          <w:vertAlign w:val="subscript"/>
          <w:lang w:val="en-US" w:eastAsia="zh-CN"/>
        </w:rPr>
        <w:t>_</w:t>
      </w:r>
      <w:r w:rsidRPr="00AF5628">
        <w:rPr>
          <w:vertAlign w:val="subscript"/>
          <w:lang w:val="en-US"/>
        </w:rPr>
        <w:t>intra_with</w:t>
      </w:r>
      <w:r>
        <w:rPr>
          <w:rFonts w:hint="eastAsia"/>
          <w:vertAlign w:val="subscript"/>
          <w:lang w:val="en-US" w:eastAsia="zh-CN"/>
        </w:rPr>
        <w:t>_</w:t>
      </w:r>
      <w:r w:rsidRPr="00AF5628">
        <w:rPr>
          <w:vertAlign w:val="subscript"/>
          <w:lang w:val="en-US"/>
        </w:rPr>
        <w:t xml:space="preserve">index </w:t>
      </w:r>
      <w:r w:rsidRPr="00F340F6">
        <w:rPr>
          <w:lang w:val="en-US"/>
        </w:rPr>
        <w:t>or T</w:t>
      </w:r>
      <w:r w:rsidRPr="00AF5628">
        <w:rPr>
          <w:vertAlign w:val="subscript"/>
          <w:lang w:val="en-US"/>
        </w:rPr>
        <w:t>identify_intra_without_index</w:t>
      </w:r>
      <w:r w:rsidRPr="00B42A38">
        <w:rPr>
          <w:lang w:val="en-US"/>
        </w:rPr>
        <w:t xml:space="preserve"> assuming </w:t>
      </w:r>
      <w:r w:rsidRPr="008C1BA0">
        <w:rPr>
          <w:lang w:val="en-US" w:eastAsia="zh-CN"/>
        </w:rPr>
        <w:t xml:space="preserve">UE </w:t>
      </w:r>
      <w:r>
        <w:rPr>
          <w:rFonts w:hint="eastAsia"/>
          <w:lang w:val="en-US" w:eastAsia="zh-CN"/>
        </w:rPr>
        <w:t>only</w:t>
      </w:r>
      <w:r w:rsidRPr="008C1BA0">
        <w:rPr>
          <w:lang w:val="en-US" w:eastAsia="zh-CN"/>
        </w:rPr>
        <w:t xml:space="preserve"> </w:t>
      </w:r>
      <w:r>
        <w:rPr>
          <w:lang w:val="en-US" w:eastAsia="zh-CN"/>
        </w:rPr>
        <w:t xml:space="preserve">performs </w:t>
      </w:r>
      <w:r w:rsidRPr="008C1BA0">
        <w:rPr>
          <w:lang w:val="en-US" w:eastAsia="zh-CN"/>
        </w:rPr>
        <w:t xml:space="preserve">measurements </w:t>
      </w:r>
      <w:r>
        <w:rPr>
          <w:lang w:val="en-US" w:eastAsia="zh-CN"/>
        </w:rPr>
        <w:t>within</w:t>
      </w:r>
      <w:r w:rsidRPr="008C1BA0">
        <w:rPr>
          <w:lang w:val="en-US" w:eastAsia="zh-CN"/>
        </w:rPr>
        <w:t xml:space="preserve"> SMTC window </w:t>
      </w:r>
      <w:r>
        <w:rPr>
          <w:lang w:val="en-US" w:eastAsia="zh-CN"/>
        </w:rPr>
        <w:t xml:space="preserve">of </w:t>
      </w:r>
      <w:r w:rsidRPr="008C1BA0">
        <w:rPr>
          <w:lang w:val="en-US" w:eastAsia="zh-CN"/>
        </w:rPr>
        <w:t>the target cell</w:t>
      </w:r>
      <w:r w:rsidRPr="00B42A38">
        <w:rPr>
          <w:lang w:val="en-US"/>
        </w:rPr>
        <w:t>.</w:t>
      </w:r>
    </w:p>
    <w:p w14:paraId="3EFC9B31" w14:textId="30511A6F" w:rsidR="00D85FF0" w:rsidRDefault="005B4193" w:rsidP="005B4193">
      <w:pPr>
        <w:pStyle w:val="B10"/>
        <w:rPr>
          <w:lang w:val="en-US"/>
        </w:rPr>
      </w:pPr>
      <w:r>
        <w:rPr>
          <w:lang w:val="en-US"/>
        </w:rPr>
        <w:t>-</w:t>
      </w:r>
      <w:r>
        <w:rPr>
          <w:lang w:val="en-US"/>
        </w:rPr>
        <w:tab/>
      </w:r>
      <w:r w:rsidRPr="00F340F6">
        <w:rPr>
          <w:lang w:val="en-US"/>
        </w:rPr>
        <w:t xml:space="preserve">If both condition </w:t>
      </w:r>
      <w:r w:rsidRPr="00BC1172">
        <w:rPr>
          <w:lang w:val="en-US"/>
        </w:rPr>
        <w:t xml:space="preserve">D1-1 </w:t>
      </w:r>
      <w:r w:rsidRPr="00B42A38">
        <w:rPr>
          <w:lang w:val="en-US"/>
        </w:rPr>
        <w:t xml:space="preserve">and condition </w:t>
      </w:r>
      <w:r w:rsidRPr="00BC1172">
        <w:rPr>
          <w:lang w:val="en-US"/>
        </w:rPr>
        <w:t xml:space="preserve">D1-2 </w:t>
      </w:r>
      <w:r w:rsidRPr="00B42A38">
        <w:rPr>
          <w:lang w:val="en-US"/>
        </w:rPr>
        <w:t>are fulfilled is later than T</w:t>
      </w:r>
      <w:r w:rsidRPr="00F340F6">
        <w:rPr>
          <w:vertAlign w:val="subscript"/>
          <w:lang w:val="en-US"/>
        </w:rPr>
        <w:t>Event_DU</w:t>
      </w:r>
      <w:r w:rsidRPr="00F340F6">
        <w:rPr>
          <w:lang w:val="en-US"/>
        </w:rPr>
        <w:t xml:space="preserve"> plus T</w:t>
      </w:r>
      <w:r w:rsidRPr="00AF5628">
        <w:rPr>
          <w:vertAlign w:val="subscript"/>
          <w:lang w:val="en-US"/>
        </w:rPr>
        <w:t>identify</w:t>
      </w:r>
      <w:r>
        <w:rPr>
          <w:rFonts w:hint="eastAsia"/>
          <w:vertAlign w:val="subscript"/>
          <w:lang w:val="en-US" w:eastAsia="zh-CN"/>
        </w:rPr>
        <w:t>_</w:t>
      </w:r>
      <w:r w:rsidRPr="00AF5628">
        <w:rPr>
          <w:vertAlign w:val="subscript"/>
          <w:lang w:val="en-US"/>
        </w:rPr>
        <w:t>intra_with</w:t>
      </w:r>
      <w:r>
        <w:rPr>
          <w:rFonts w:hint="eastAsia"/>
          <w:vertAlign w:val="subscript"/>
          <w:lang w:val="en-US" w:eastAsia="zh-CN"/>
        </w:rPr>
        <w:t>_</w:t>
      </w:r>
      <w:r w:rsidRPr="00AF5628">
        <w:rPr>
          <w:vertAlign w:val="subscript"/>
          <w:lang w:val="en-US"/>
        </w:rPr>
        <w:t xml:space="preserve">index </w:t>
      </w:r>
      <w:r w:rsidRPr="00F340F6">
        <w:rPr>
          <w:lang w:val="en-US"/>
        </w:rPr>
        <w:t>or T</w:t>
      </w:r>
      <w:r w:rsidRPr="00AF5628">
        <w:rPr>
          <w:vertAlign w:val="subscript"/>
          <w:lang w:val="en-US"/>
        </w:rPr>
        <w:t>identify_intra_without_index</w:t>
      </w:r>
      <w:r w:rsidRPr="00B42A38">
        <w:rPr>
          <w:lang w:val="en-US"/>
        </w:rPr>
        <w:t xml:space="preserve"> for intra-frequency handover, then</w:t>
      </w:r>
      <w:r w:rsidRPr="00F340F6">
        <w:rPr>
          <w:lang w:val="en-US"/>
        </w:rPr>
        <w:t xml:space="preserve"> the measurement time delay equal to the time from the end of T</w:t>
      </w:r>
      <w:r w:rsidRPr="00F340F6">
        <w:rPr>
          <w:vertAlign w:val="subscript"/>
          <w:lang w:val="en-US"/>
        </w:rPr>
        <w:t>event_DU</w:t>
      </w:r>
      <w:r w:rsidRPr="00F340F6">
        <w:rPr>
          <w:lang w:val="en-US"/>
        </w:rPr>
        <w:t xml:space="preserve"> until time </w:t>
      </w:r>
      <w:r>
        <w:rPr>
          <w:lang w:val="en-US"/>
        </w:rPr>
        <w:t>when</w:t>
      </w:r>
      <w:r w:rsidRPr="00F340F6">
        <w:rPr>
          <w:lang w:val="en-US"/>
        </w:rPr>
        <w:t xml:space="preserve"> both condition </w:t>
      </w:r>
      <w:r w:rsidRPr="00BC1172">
        <w:rPr>
          <w:lang w:val="en-US"/>
        </w:rPr>
        <w:t xml:space="preserve">D1-1 </w:t>
      </w:r>
      <w:r w:rsidRPr="00B42A38">
        <w:rPr>
          <w:lang w:val="en-US"/>
        </w:rPr>
        <w:t xml:space="preserve">and condition </w:t>
      </w:r>
      <w:r w:rsidRPr="00BC1172">
        <w:rPr>
          <w:lang w:val="en-US"/>
        </w:rPr>
        <w:t xml:space="preserve">D1-2 </w:t>
      </w:r>
      <w:r w:rsidRPr="00B42A38">
        <w:rPr>
          <w:lang w:val="en-US"/>
        </w:rPr>
        <w:t>are fulfilled.</w:t>
      </w:r>
    </w:p>
    <w:p w14:paraId="7BDA6DC1" w14:textId="77777777" w:rsidR="00D85FF0" w:rsidRPr="00B42A38" w:rsidRDefault="00D85FF0" w:rsidP="00AF5628">
      <w:pPr>
        <w:rPr>
          <w:lang w:val="en-US"/>
        </w:rPr>
      </w:pPr>
    </w:p>
    <w:p w14:paraId="05B185D8" w14:textId="77DFB444" w:rsidR="00D85FF0" w:rsidRPr="00F340F6" w:rsidRDefault="005B4193" w:rsidP="00D85FF0">
      <w:pPr>
        <w:rPr>
          <w:rFonts w:ascii="Calibri" w:hAnsi="Calibri" w:cs="Calibri"/>
          <w:lang w:val="en-US"/>
        </w:rPr>
      </w:pPr>
      <w:r w:rsidRPr="00F340F6">
        <w:rPr>
          <w:lang w:val="en-US"/>
        </w:rPr>
        <w:t xml:space="preserve">For inter-frequency handover, the </w:t>
      </w:r>
      <w:r>
        <w:rPr>
          <w:rFonts w:hint="eastAsia"/>
          <w:lang w:val="en-US" w:eastAsia="zh-CN"/>
        </w:rPr>
        <w:t>requirements for identifying a new detectable inter frequency cell</w:t>
      </w:r>
      <w:r w:rsidRPr="00F340F6">
        <w:rPr>
          <w:lang w:val="en-US"/>
        </w:rPr>
        <w:t xml:space="preserve"> measured without Time To Trigger (TTT) and L3 filtering</w:t>
      </w:r>
      <w:r>
        <w:rPr>
          <w:rFonts w:hint="eastAsia"/>
          <w:lang w:val="en-US" w:eastAsia="zh-CN"/>
        </w:rPr>
        <w:t>,</w:t>
      </w:r>
      <w:r w:rsidRPr="000E3018">
        <w:rPr>
          <w:lang w:val="en-US"/>
        </w:rPr>
        <w:t xml:space="preserve"> </w:t>
      </w:r>
      <w:r w:rsidRPr="00F340F6">
        <w:rPr>
          <w:lang w:val="en-US"/>
        </w:rPr>
        <w:t>T</w:t>
      </w:r>
      <w:r w:rsidRPr="00AF5628">
        <w:rPr>
          <w:vertAlign w:val="subscript"/>
          <w:lang w:val="en-US"/>
        </w:rPr>
        <w:t>identify</w:t>
      </w:r>
      <w:r>
        <w:rPr>
          <w:rFonts w:hint="eastAsia"/>
          <w:vertAlign w:val="subscript"/>
          <w:lang w:val="en-US" w:eastAsia="zh-CN"/>
        </w:rPr>
        <w:t>_</w:t>
      </w:r>
      <w:r w:rsidRPr="00AF5628">
        <w:rPr>
          <w:vertAlign w:val="subscript"/>
          <w:lang w:val="en-US"/>
        </w:rPr>
        <w:t>int</w:t>
      </w:r>
      <w:r>
        <w:rPr>
          <w:rFonts w:hint="eastAsia"/>
          <w:vertAlign w:val="subscript"/>
          <w:lang w:val="en-US" w:eastAsia="zh-CN"/>
        </w:rPr>
        <w:t>er</w:t>
      </w:r>
      <w:r w:rsidRPr="00AF5628">
        <w:rPr>
          <w:vertAlign w:val="subscript"/>
          <w:lang w:val="en-US"/>
        </w:rPr>
        <w:t>_with</w:t>
      </w:r>
      <w:r>
        <w:rPr>
          <w:rFonts w:hint="eastAsia"/>
          <w:vertAlign w:val="subscript"/>
          <w:lang w:val="en-US" w:eastAsia="zh-CN"/>
        </w:rPr>
        <w:t>_</w:t>
      </w:r>
      <w:r w:rsidRPr="00AF5628">
        <w:rPr>
          <w:vertAlign w:val="subscript"/>
          <w:lang w:val="en-US"/>
        </w:rPr>
        <w:t xml:space="preserve">index </w:t>
      </w:r>
      <w:r w:rsidRPr="00F340F6">
        <w:rPr>
          <w:lang w:val="en-US"/>
        </w:rPr>
        <w:t>or T</w:t>
      </w:r>
      <w:r w:rsidRPr="00AF5628">
        <w:rPr>
          <w:vertAlign w:val="subscript"/>
          <w:lang w:val="en-US"/>
        </w:rPr>
        <w:t>identify_int</w:t>
      </w:r>
      <w:r>
        <w:rPr>
          <w:rFonts w:hint="eastAsia"/>
          <w:vertAlign w:val="subscript"/>
          <w:lang w:val="en-US" w:eastAsia="zh-CN"/>
        </w:rPr>
        <w:t>er</w:t>
      </w:r>
      <w:r w:rsidRPr="00AF5628">
        <w:rPr>
          <w:vertAlign w:val="subscript"/>
          <w:lang w:val="en-US"/>
        </w:rPr>
        <w:t>_without_index</w:t>
      </w:r>
      <w:r>
        <w:rPr>
          <w:rFonts w:hint="eastAsia"/>
          <w:lang w:val="en-US" w:eastAsia="zh-CN"/>
        </w:rPr>
        <w:t xml:space="preserve">, </w:t>
      </w:r>
      <w:r w:rsidRPr="00F340F6">
        <w:rPr>
          <w:lang w:val="en-US"/>
        </w:rPr>
        <w:t xml:space="preserve">defined in clause </w:t>
      </w:r>
      <w:r w:rsidRPr="00876E8A">
        <w:rPr>
          <w:lang w:val="en-US"/>
        </w:rPr>
        <w:t>9.</w:t>
      </w:r>
      <w:r>
        <w:rPr>
          <w:rFonts w:hint="eastAsia"/>
          <w:lang w:val="en-US" w:eastAsia="zh-CN"/>
        </w:rPr>
        <w:t>3</w:t>
      </w:r>
      <w:r w:rsidRPr="00876E8A">
        <w:rPr>
          <w:lang w:val="en-US"/>
        </w:rPr>
        <w:t>C.</w:t>
      </w:r>
      <w:r>
        <w:rPr>
          <w:rFonts w:hint="eastAsia"/>
          <w:lang w:val="en-US" w:eastAsia="zh-CN"/>
        </w:rPr>
        <w:t>7</w:t>
      </w:r>
      <w:r w:rsidRPr="00876E8A">
        <w:rPr>
          <w:lang w:val="en-US"/>
        </w:rPr>
        <w:t>.1</w:t>
      </w:r>
      <w:r>
        <w:rPr>
          <w:rFonts w:hint="eastAsia"/>
          <w:lang w:val="en-US" w:eastAsia="zh-CN"/>
        </w:rPr>
        <w:t xml:space="preserve"> are used</w:t>
      </w:r>
      <w:r w:rsidRPr="00F340F6">
        <w:rPr>
          <w:lang w:val="en-US"/>
        </w:rPr>
        <w:t>.</w:t>
      </w:r>
    </w:p>
    <w:p w14:paraId="06686559" w14:textId="77777777" w:rsidR="00D85FF0" w:rsidRPr="00F340F6" w:rsidRDefault="00D85FF0" w:rsidP="00D85FF0">
      <w:pPr>
        <w:rPr>
          <w:lang w:val="en-US"/>
        </w:rPr>
      </w:pPr>
      <w:r w:rsidRPr="00F340F6">
        <w:rPr>
          <w:lang w:val="en-US"/>
        </w:rPr>
        <w:t>For time-based conditional inter-frequency handover:</w:t>
      </w:r>
    </w:p>
    <w:p w14:paraId="3E7F51B7" w14:textId="2A4AEF2E" w:rsidR="005B4193" w:rsidRPr="00F340F6" w:rsidRDefault="005B4193" w:rsidP="005B4193">
      <w:pPr>
        <w:pStyle w:val="B10"/>
        <w:rPr>
          <w:lang w:val="en-US"/>
        </w:rPr>
      </w:pPr>
      <w:r>
        <w:rPr>
          <w:lang w:val="en-US"/>
        </w:rPr>
        <w:t>-</w:t>
      </w:r>
      <w:r>
        <w:rPr>
          <w:lang w:val="en-US"/>
        </w:rPr>
        <w:tab/>
      </w:r>
      <w:r w:rsidRPr="00B42A38">
        <w:rPr>
          <w:lang w:val="en-US"/>
        </w:rPr>
        <w:t xml:space="preserve">If condition </w:t>
      </w:r>
      <w:r w:rsidRPr="00BC1172">
        <w:rPr>
          <w:lang w:val="en-US"/>
        </w:rPr>
        <w:t xml:space="preserve">T1-1 </w:t>
      </w:r>
      <w:r w:rsidRPr="00B42A38">
        <w:rPr>
          <w:lang w:val="en-US"/>
        </w:rPr>
        <w:t>occurs earlier than T</w:t>
      </w:r>
      <w:r w:rsidRPr="00F340F6">
        <w:rPr>
          <w:vertAlign w:val="subscript"/>
          <w:lang w:val="en-US"/>
        </w:rPr>
        <w:t>Event_DU</w:t>
      </w:r>
      <w:r w:rsidRPr="000E3018">
        <w:rPr>
          <w:lang w:val="en-US"/>
        </w:rPr>
        <w:t xml:space="preserve"> </w:t>
      </w:r>
      <w:r>
        <w:rPr>
          <w:lang w:val="en-US"/>
        </w:rPr>
        <w:t>+</w:t>
      </w:r>
      <w:r w:rsidRPr="00F340F6">
        <w:rPr>
          <w:lang w:val="en-US"/>
        </w:rPr>
        <w:t xml:space="preserve"> T</w:t>
      </w:r>
      <w:r w:rsidRPr="00AF5628">
        <w:rPr>
          <w:vertAlign w:val="subscript"/>
          <w:lang w:val="en-US"/>
        </w:rPr>
        <w:t>identify</w:t>
      </w:r>
      <w:r>
        <w:rPr>
          <w:rFonts w:hint="eastAsia"/>
          <w:vertAlign w:val="subscript"/>
          <w:lang w:val="en-US" w:eastAsia="zh-CN"/>
        </w:rPr>
        <w:t>_</w:t>
      </w:r>
      <w:r w:rsidRPr="00AF5628">
        <w:rPr>
          <w:vertAlign w:val="subscript"/>
          <w:lang w:val="en-US"/>
        </w:rPr>
        <w:t>int</w:t>
      </w:r>
      <w:r>
        <w:rPr>
          <w:rFonts w:hint="eastAsia"/>
          <w:vertAlign w:val="subscript"/>
          <w:lang w:val="en-US" w:eastAsia="zh-CN"/>
        </w:rPr>
        <w:t>er</w:t>
      </w:r>
      <w:r w:rsidRPr="00AF5628">
        <w:rPr>
          <w:vertAlign w:val="subscript"/>
          <w:lang w:val="en-US"/>
        </w:rPr>
        <w:t>_with</w:t>
      </w:r>
      <w:r>
        <w:rPr>
          <w:rFonts w:hint="eastAsia"/>
          <w:vertAlign w:val="subscript"/>
          <w:lang w:val="en-US" w:eastAsia="zh-CN"/>
        </w:rPr>
        <w:t>_</w:t>
      </w:r>
      <w:r w:rsidRPr="00AF5628">
        <w:rPr>
          <w:vertAlign w:val="subscript"/>
          <w:lang w:val="en-US"/>
        </w:rPr>
        <w:t xml:space="preserve">index </w:t>
      </w:r>
      <w:r w:rsidRPr="00F340F6">
        <w:rPr>
          <w:lang w:val="en-US"/>
        </w:rPr>
        <w:t xml:space="preserve">or </w:t>
      </w:r>
      <w:r w:rsidRPr="00B42A38">
        <w:rPr>
          <w:lang w:val="en-US"/>
        </w:rPr>
        <w:t>T</w:t>
      </w:r>
      <w:r w:rsidRPr="00F340F6">
        <w:rPr>
          <w:vertAlign w:val="subscript"/>
          <w:lang w:val="en-US"/>
        </w:rPr>
        <w:t>Event_DU</w:t>
      </w:r>
      <w:r w:rsidRPr="000E3018">
        <w:rPr>
          <w:lang w:val="en-US"/>
        </w:rPr>
        <w:t xml:space="preserve"> </w:t>
      </w:r>
      <w:r>
        <w:rPr>
          <w:lang w:val="en-US"/>
        </w:rPr>
        <w:t>+</w:t>
      </w:r>
      <w:r w:rsidRPr="00F340F6">
        <w:rPr>
          <w:lang w:val="en-US"/>
        </w:rPr>
        <w:t xml:space="preserve"> T</w:t>
      </w:r>
      <w:r w:rsidRPr="00AF5628">
        <w:rPr>
          <w:vertAlign w:val="subscript"/>
          <w:lang w:val="en-US"/>
        </w:rPr>
        <w:t>identify_int</w:t>
      </w:r>
      <w:r>
        <w:rPr>
          <w:rFonts w:hint="eastAsia"/>
          <w:vertAlign w:val="subscript"/>
          <w:lang w:val="en-US" w:eastAsia="zh-CN"/>
        </w:rPr>
        <w:t>er</w:t>
      </w:r>
      <w:r w:rsidRPr="00AF5628">
        <w:rPr>
          <w:vertAlign w:val="subscript"/>
          <w:lang w:val="en-US"/>
        </w:rPr>
        <w:t>_without_index</w:t>
      </w:r>
      <w:r w:rsidRPr="00F340F6">
        <w:rPr>
          <w:lang w:val="en-US"/>
        </w:rPr>
        <w:t xml:space="preserve">, then </w:t>
      </w:r>
      <w:r w:rsidRPr="0014377A">
        <w:rPr>
          <w:lang w:val="en-US"/>
        </w:rPr>
        <w:t>the measurement time delay equal to</w:t>
      </w:r>
      <w:r w:rsidRPr="00DA1A8C">
        <w:rPr>
          <w:lang w:val="en-US"/>
        </w:rPr>
        <w:t xml:space="preserve"> </w:t>
      </w:r>
      <w:r w:rsidRPr="00F340F6">
        <w:rPr>
          <w:lang w:val="en-US"/>
        </w:rPr>
        <w:t>T</w:t>
      </w:r>
      <w:r w:rsidRPr="00AF5628">
        <w:rPr>
          <w:vertAlign w:val="subscript"/>
          <w:lang w:val="en-US"/>
        </w:rPr>
        <w:t>identify</w:t>
      </w:r>
      <w:r>
        <w:rPr>
          <w:rFonts w:hint="eastAsia"/>
          <w:vertAlign w:val="subscript"/>
          <w:lang w:val="en-US" w:eastAsia="zh-CN"/>
        </w:rPr>
        <w:t>_</w:t>
      </w:r>
      <w:r w:rsidRPr="00AF5628">
        <w:rPr>
          <w:vertAlign w:val="subscript"/>
          <w:lang w:val="en-US"/>
        </w:rPr>
        <w:t>int</w:t>
      </w:r>
      <w:r>
        <w:rPr>
          <w:rFonts w:hint="eastAsia"/>
          <w:vertAlign w:val="subscript"/>
          <w:lang w:val="en-US" w:eastAsia="zh-CN"/>
        </w:rPr>
        <w:t>er</w:t>
      </w:r>
      <w:r w:rsidRPr="00AF5628">
        <w:rPr>
          <w:vertAlign w:val="subscript"/>
          <w:lang w:val="en-US"/>
        </w:rPr>
        <w:t>_with</w:t>
      </w:r>
      <w:r>
        <w:rPr>
          <w:rFonts w:hint="eastAsia"/>
          <w:vertAlign w:val="subscript"/>
          <w:lang w:val="en-US" w:eastAsia="zh-CN"/>
        </w:rPr>
        <w:t>_</w:t>
      </w:r>
      <w:r w:rsidRPr="00AF5628">
        <w:rPr>
          <w:vertAlign w:val="subscript"/>
          <w:lang w:val="en-US"/>
        </w:rPr>
        <w:t xml:space="preserve">index </w:t>
      </w:r>
      <w:r w:rsidRPr="00F340F6">
        <w:rPr>
          <w:lang w:val="en-US"/>
        </w:rPr>
        <w:t>or T</w:t>
      </w:r>
      <w:r w:rsidRPr="00AF5628">
        <w:rPr>
          <w:vertAlign w:val="subscript"/>
          <w:lang w:val="en-US"/>
        </w:rPr>
        <w:t>identify_int</w:t>
      </w:r>
      <w:r>
        <w:rPr>
          <w:rFonts w:hint="eastAsia"/>
          <w:vertAlign w:val="subscript"/>
          <w:lang w:val="en-US" w:eastAsia="zh-CN"/>
        </w:rPr>
        <w:t>er</w:t>
      </w:r>
      <w:r w:rsidRPr="00AF5628">
        <w:rPr>
          <w:vertAlign w:val="subscript"/>
          <w:lang w:val="en-US"/>
        </w:rPr>
        <w:t>_without_index</w:t>
      </w:r>
      <w:r w:rsidRPr="00BC1172">
        <w:rPr>
          <w:lang w:val="en-US"/>
        </w:rPr>
        <w:t xml:space="preserve"> </w:t>
      </w:r>
      <w:r w:rsidRPr="00B42A38">
        <w:rPr>
          <w:lang w:val="en-US"/>
        </w:rPr>
        <w:t xml:space="preserve">assuming </w:t>
      </w:r>
      <w:r>
        <w:rPr>
          <w:lang w:val="en-US"/>
        </w:rPr>
        <w:t xml:space="preserve">that the </w:t>
      </w:r>
      <w:r w:rsidRPr="003C1B6A">
        <w:rPr>
          <w:lang w:val="en-US"/>
        </w:rPr>
        <w:t>UE uses only the SMTC window of the target inter-frequency carrier for performing the measurements.</w:t>
      </w:r>
      <w:r w:rsidRPr="003C1B6A">
        <w:t> </w:t>
      </w:r>
      <w:r w:rsidRPr="003C1B6A">
        <w:rPr>
          <w:lang w:val="en-US"/>
        </w:rPr>
        <w:t>In this case K</w:t>
      </w:r>
      <w:r w:rsidRPr="00082331">
        <w:rPr>
          <w:vertAlign w:val="subscript"/>
          <w:lang w:val="en-US"/>
        </w:rPr>
        <w:t>satellite</w:t>
      </w:r>
      <w:r w:rsidRPr="003C1B6A">
        <w:rPr>
          <w:lang w:val="en-US"/>
        </w:rPr>
        <w:t>=1, CSSF</w:t>
      </w:r>
      <w:r w:rsidRPr="00082331">
        <w:rPr>
          <w:vertAlign w:val="subscript"/>
          <w:lang w:val="en-US"/>
        </w:rPr>
        <w:t>inter</w:t>
      </w:r>
      <w:r w:rsidRPr="003C1B6A">
        <w:rPr>
          <w:lang w:val="en-US"/>
        </w:rPr>
        <w:t>=1.</w:t>
      </w:r>
    </w:p>
    <w:p w14:paraId="44322362" w14:textId="0D2A89AF" w:rsidR="00D85FF0" w:rsidRDefault="005B4193" w:rsidP="005B4193">
      <w:pPr>
        <w:pStyle w:val="B10"/>
        <w:rPr>
          <w:lang w:val="en-US"/>
        </w:rPr>
      </w:pPr>
      <w:r>
        <w:rPr>
          <w:lang w:val="en-US"/>
        </w:rPr>
        <w:t>-</w:t>
      </w:r>
      <w:r>
        <w:rPr>
          <w:lang w:val="en-US"/>
        </w:rPr>
        <w:tab/>
      </w:r>
      <w:r w:rsidRPr="00F340F6">
        <w:rPr>
          <w:lang w:val="en-US"/>
        </w:rPr>
        <w:t xml:space="preserve">If condition </w:t>
      </w:r>
      <w:r w:rsidRPr="00BC1172">
        <w:rPr>
          <w:lang w:val="en-US"/>
        </w:rPr>
        <w:t xml:space="preserve">T1-1 </w:t>
      </w:r>
      <w:r w:rsidRPr="00B42A38">
        <w:rPr>
          <w:lang w:val="en-US"/>
        </w:rPr>
        <w:t>occurs later than T</w:t>
      </w:r>
      <w:r w:rsidRPr="00F340F6">
        <w:rPr>
          <w:vertAlign w:val="subscript"/>
          <w:lang w:val="en-US"/>
        </w:rPr>
        <w:t>Event_DU</w:t>
      </w:r>
      <w:r w:rsidRPr="00F340F6">
        <w:rPr>
          <w:lang w:val="en-US"/>
        </w:rPr>
        <w:t xml:space="preserve"> </w:t>
      </w:r>
      <w:r>
        <w:rPr>
          <w:lang w:val="en-US"/>
        </w:rPr>
        <w:t>+</w:t>
      </w:r>
      <w:r w:rsidRPr="000E3018">
        <w:rPr>
          <w:lang w:val="en-US"/>
        </w:rPr>
        <w:t xml:space="preserve"> </w:t>
      </w:r>
      <w:r w:rsidRPr="00F340F6">
        <w:rPr>
          <w:lang w:val="en-US"/>
        </w:rPr>
        <w:t>T</w:t>
      </w:r>
      <w:r w:rsidRPr="00AF5628">
        <w:rPr>
          <w:vertAlign w:val="subscript"/>
          <w:lang w:val="en-US"/>
        </w:rPr>
        <w:t>identify</w:t>
      </w:r>
      <w:r>
        <w:rPr>
          <w:rFonts w:hint="eastAsia"/>
          <w:vertAlign w:val="subscript"/>
          <w:lang w:val="en-US" w:eastAsia="zh-CN"/>
        </w:rPr>
        <w:t>_</w:t>
      </w:r>
      <w:r w:rsidRPr="00AF5628">
        <w:rPr>
          <w:vertAlign w:val="subscript"/>
          <w:lang w:val="en-US"/>
        </w:rPr>
        <w:t>int</w:t>
      </w:r>
      <w:r>
        <w:rPr>
          <w:rFonts w:hint="eastAsia"/>
          <w:vertAlign w:val="subscript"/>
          <w:lang w:val="en-US" w:eastAsia="zh-CN"/>
        </w:rPr>
        <w:t>er</w:t>
      </w:r>
      <w:r w:rsidRPr="00AF5628">
        <w:rPr>
          <w:vertAlign w:val="subscript"/>
          <w:lang w:val="en-US"/>
        </w:rPr>
        <w:t>_with</w:t>
      </w:r>
      <w:r>
        <w:rPr>
          <w:rFonts w:hint="eastAsia"/>
          <w:vertAlign w:val="subscript"/>
          <w:lang w:val="en-US" w:eastAsia="zh-CN"/>
        </w:rPr>
        <w:t>_</w:t>
      </w:r>
      <w:r w:rsidRPr="00AF5628">
        <w:rPr>
          <w:vertAlign w:val="subscript"/>
          <w:lang w:val="en-US"/>
        </w:rPr>
        <w:t xml:space="preserve">index </w:t>
      </w:r>
      <w:r w:rsidRPr="00F340F6">
        <w:rPr>
          <w:lang w:val="en-US"/>
        </w:rPr>
        <w:t xml:space="preserve">or </w:t>
      </w:r>
      <w:r w:rsidRPr="00B42A38">
        <w:rPr>
          <w:lang w:val="en-US"/>
        </w:rPr>
        <w:t>T</w:t>
      </w:r>
      <w:r w:rsidRPr="00F340F6">
        <w:rPr>
          <w:vertAlign w:val="subscript"/>
          <w:lang w:val="en-US"/>
        </w:rPr>
        <w:t>Event_DU</w:t>
      </w:r>
      <w:r w:rsidRPr="00F340F6">
        <w:rPr>
          <w:lang w:val="en-US"/>
        </w:rPr>
        <w:t xml:space="preserve"> </w:t>
      </w:r>
      <w:r>
        <w:rPr>
          <w:lang w:val="en-US"/>
        </w:rPr>
        <w:t>+</w:t>
      </w:r>
      <w:r w:rsidRPr="000E3018">
        <w:rPr>
          <w:lang w:val="en-US"/>
        </w:rPr>
        <w:t xml:space="preserve"> </w:t>
      </w:r>
      <w:r w:rsidRPr="00F340F6">
        <w:rPr>
          <w:lang w:val="en-US"/>
        </w:rPr>
        <w:t>T</w:t>
      </w:r>
      <w:r w:rsidRPr="00AF5628">
        <w:rPr>
          <w:vertAlign w:val="subscript"/>
          <w:lang w:val="en-US"/>
        </w:rPr>
        <w:t>identify_int</w:t>
      </w:r>
      <w:r>
        <w:rPr>
          <w:rFonts w:hint="eastAsia"/>
          <w:vertAlign w:val="subscript"/>
          <w:lang w:val="en-US" w:eastAsia="zh-CN"/>
        </w:rPr>
        <w:t>er</w:t>
      </w:r>
      <w:r w:rsidRPr="00AF5628">
        <w:rPr>
          <w:vertAlign w:val="subscript"/>
          <w:lang w:val="en-US"/>
        </w:rPr>
        <w:t>_without_index</w:t>
      </w:r>
      <w:r>
        <w:rPr>
          <w:lang w:val="en-US"/>
        </w:rPr>
        <w:t>,</w:t>
      </w:r>
      <w:r>
        <w:rPr>
          <w:rFonts w:hint="eastAsia"/>
          <w:lang w:val="en-US" w:eastAsia="zh-CN"/>
        </w:rPr>
        <w:t xml:space="preserve"> </w:t>
      </w:r>
      <w:r w:rsidRPr="00B42A38">
        <w:rPr>
          <w:lang w:val="en-US"/>
        </w:rPr>
        <w:t xml:space="preserve">then </w:t>
      </w:r>
      <w:r w:rsidRPr="00F340F6">
        <w:rPr>
          <w:lang w:val="en-US"/>
        </w:rPr>
        <w:t>the measurement time delay equals to the time from the end of T</w:t>
      </w:r>
      <w:r w:rsidRPr="00F340F6">
        <w:rPr>
          <w:vertAlign w:val="subscript"/>
          <w:lang w:val="en-US"/>
        </w:rPr>
        <w:t>event_DU</w:t>
      </w:r>
      <w:r w:rsidRPr="00F340F6">
        <w:rPr>
          <w:lang w:val="en-US"/>
        </w:rPr>
        <w:t xml:space="preserve"> until condition </w:t>
      </w:r>
      <w:r w:rsidRPr="00BC1172">
        <w:rPr>
          <w:lang w:val="en-US"/>
        </w:rPr>
        <w:t>T1-1</w:t>
      </w:r>
      <w:r w:rsidRPr="00B42A38">
        <w:rPr>
          <w:lang w:val="en-US"/>
        </w:rPr>
        <w:t>.</w:t>
      </w:r>
    </w:p>
    <w:p w14:paraId="528440E4" w14:textId="77777777" w:rsidR="00D85FF0" w:rsidRPr="00E23EAB" w:rsidRDefault="00D85FF0" w:rsidP="00AF5628">
      <w:pPr>
        <w:rPr>
          <w:lang w:val="en-US"/>
        </w:rPr>
      </w:pPr>
    </w:p>
    <w:p w14:paraId="36BA3FF3" w14:textId="77777777" w:rsidR="00D85FF0" w:rsidRPr="00F340F6" w:rsidRDefault="00D85FF0" w:rsidP="00D85FF0">
      <w:pPr>
        <w:rPr>
          <w:lang w:val="en-US"/>
        </w:rPr>
      </w:pPr>
      <w:r w:rsidRPr="00F340F6">
        <w:rPr>
          <w:lang w:val="en-US"/>
        </w:rPr>
        <w:t>For location-based conditional inter-frequency handover,</w:t>
      </w:r>
    </w:p>
    <w:p w14:paraId="7A882949" w14:textId="09ABB2EA" w:rsidR="005B4193" w:rsidRPr="00F340F6" w:rsidRDefault="005B4193" w:rsidP="005B4193">
      <w:pPr>
        <w:pStyle w:val="B10"/>
        <w:rPr>
          <w:lang w:val="en-US"/>
        </w:rPr>
      </w:pPr>
      <w:r>
        <w:rPr>
          <w:lang w:val="en-US"/>
        </w:rPr>
        <w:t>-</w:t>
      </w:r>
      <w:r>
        <w:rPr>
          <w:lang w:val="en-US"/>
        </w:rPr>
        <w:tab/>
      </w:r>
      <w:r w:rsidRPr="00B42A38">
        <w:rPr>
          <w:lang w:val="en-US"/>
        </w:rPr>
        <w:t xml:space="preserve">If both condition </w:t>
      </w:r>
      <w:r w:rsidRPr="00BC1172">
        <w:rPr>
          <w:lang w:val="en-US"/>
        </w:rPr>
        <w:t xml:space="preserve">D1-1 </w:t>
      </w:r>
      <w:r w:rsidRPr="00B42A38">
        <w:rPr>
          <w:lang w:val="en-US"/>
        </w:rPr>
        <w:t xml:space="preserve">and condition </w:t>
      </w:r>
      <w:r w:rsidRPr="00BC1172">
        <w:rPr>
          <w:lang w:val="en-US"/>
        </w:rPr>
        <w:t xml:space="preserve">D1-2 </w:t>
      </w:r>
      <w:r w:rsidRPr="00B42A38">
        <w:rPr>
          <w:lang w:val="en-US"/>
        </w:rPr>
        <w:t>are fulfilled earlier than T</w:t>
      </w:r>
      <w:r w:rsidRPr="00B42A38">
        <w:rPr>
          <w:vertAlign w:val="subscript"/>
          <w:lang w:val="en-US"/>
        </w:rPr>
        <w:t>Event_DU</w:t>
      </w:r>
      <w:r w:rsidRPr="000E3018">
        <w:rPr>
          <w:lang w:val="en-US"/>
        </w:rPr>
        <w:t xml:space="preserve"> </w:t>
      </w:r>
      <w:r>
        <w:rPr>
          <w:lang w:val="en-US"/>
        </w:rPr>
        <w:t>+</w:t>
      </w:r>
      <w:r w:rsidRPr="00F340F6">
        <w:rPr>
          <w:lang w:val="en-US"/>
        </w:rPr>
        <w:t xml:space="preserve"> T</w:t>
      </w:r>
      <w:r w:rsidRPr="00AF5628">
        <w:rPr>
          <w:vertAlign w:val="subscript"/>
          <w:lang w:val="en-US"/>
        </w:rPr>
        <w:t>identify</w:t>
      </w:r>
      <w:r>
        <w:rPr>
          <w:rFonts w:hint="eastAsia"/>
          <w:vertAlign w:val="subscript"/>
          <w:lang w:val="en-US" w:eastAsia="zh-CN"/>
        </w:rPr>
        <w:t>_</w:t>
      </w:r>
      <w:r w:rsidRPr="00AF5628">
        <w:rPr>
          <w:vertAlign w:val="subscript"/>
          <w:lang w:val="en-US"/>
        </w:rPr>
        <w:t>int</w:t>
      </w:r>
      <w:r>
        <w:rPr>
          <w:rFonts w:hint="eastAsia"/>
          <w:vertAlign w:val="subscript"/>
          <w:lang w:val="en-US" w:eastAsia="zh-CN"/>
        </w:rPr>
        <w:t>er</w:t>
      </w:r>
      <w:r w:rsidRPr="00AF5628">
        <w:rPr>
          <w:vertAlign w:val="subscript"/>
          <w:lang w:val="en-US"/>
        </w:rPr>
        <w:t>_with</w:t>
      </w:r>
      <w:r>
        <w:rPr>
          <w:rFonts w:hint="eastAsia"/>
          <w:vertAlign w:val="subscript"/>
          <w:lang w:val="en-US" w:eastAsia="zh-CN"/>
        </w:rPr>
        <w:t>_</w:t>
      </w:r>
      <w:r w:rsidRPr="00AF5628">
        <w:rPr>
          <w:vertAlign w:val="subscript"/>
          <w:lang w:val="en-US"/>
        </w:rPr>
        <w:t xml:space="preserve">index </w:t>
      </w:r>
      <w:r w:rsidRPr="00F340F6">
        <w:rPr>
          <w:lang w:val="en-US"/>
        </w:rPr>
        <w:t xml:space="preserve">or </w:t>
      </w:r>
      <w:r w:rsidRPr="00B42A38">
        <w:rPr>
          <w:lang w:val="en-US"/>
        </w:rPr>
        <w:t>T</w:t>
      </w:r>
      <w:r w:rsidRPr="00B42A38">
        <w:rPr>
          <w:vertAlign w:val="subscript"/>
          <w:lang w:val="en-US"/>
        </w:rPr>
        <w:t>Event_DU</w:t>
      </w:r>
      <w:r w:rsidRPr="000E3018">
        <w:rPr>
          <w:lang w:val="en-US"/>
        </w:rPr>
        <w:t xml:space="preserve"> </w:t>
      </w:r>
      <w:r>
        <w:rPr>
          <w:lang w:val="en-US"/>
        </w:rPr>
        <w:t>+</w:t>
      </w:r>
      <w:r w:rsidRPr="00F340F6">
        <w:rPr>
          <w:lang w:val="en-US"/>
        </w:rPr>
        <w:t xml:space="preserve"> T</w:t>
      </w:r>
      <w:r w:rsidRPr="00AF5628">
        <w:rPr>
          <w:vertAlign w:val="subscript"/>
          <w:lang w:val="en-US"/>
        </w:rPr>
        <w:t>identify_int</w:t>
      </w:r>
      <w:r>
        <w:rPr>
          <w:rFonts w:hint="eastAsia"/>
          <w:vertAlign w:val="subscript"/>
          <w:lang w:val="en-US" w:eastAsia="zh-CN"/>
        </w:rPr>
        <w:t>er</w:t>
      </w:r>
      <w:r w:rsidRPr="00AF5628">
        <w:rPr>
          <w:vertAlign w:val="subscript"/>
          <w:lang w:val="en-US"/>
        </w:rPr>
        <w:t>_without_index</w:t>
      </w:r>
      <w:r w:rsidRPr="00F340F6">
        <w:rPr>
          <w:lang w:val="en-US"/>
        </w:rPr>
        <w:t xml:space="preserve">, </w:t>
      </w:r>
      <w:r w:rsidRPr="0014377A">
        <w:rPr>
          <w:lang w:val="en-US"/>
        </w:rPr>
        <w:t>then the measurement time delay equal to</w:t>
      </w:r>
      <w:r w:rsidRPr="00F340F6">
        <w:rPr>
          <w:lang w:val="en-US"/>
        </w:rPr>
        <w:t xml:space="preserve"> T</w:t>
      </w:r>
      <w:r w:rsidRPr="00AF5628">
        <w:rPr>
          <w:vertAlign w:val="subscript"/>
          <w:lang w:val="en-US"/>
        </w:rPr>
        <w:t>identify</w:t>
      </w:r>
      <w:r>
        <w:rPr>
          <w:rFonts w:hint="eastAsia"/>
          <w:vertAlign w:val="subscript"/>
          <w:lang w:val="en-US" w:eastAsia="zh-CN"/>
        </w:rPr>
        <w:t>_</w:t>
      </w:r>
      <w:r w:rsidRPr="00AF5628">
        <w:rPr>
          <w:vertAlign w:val="subscript"/>
          <w:lang w:val="en-US"/>
        </w:rPr>
        <w:t>int</w:t>
      </w:r>
      <w:r>
        <w:rPr>
          <w:rFonts w:hint="eastAsia"/>
          <w:vertAlign w:val="subscript"/>
          <w:lang w:val="en-US" w:eastAsia="zh-CN"/>
        </w:rPr>
        <w:t>er</w:t>
      </w:r>
      <w:r w:rsidRPr="00AF5628">
        <w:rPr>
          <w:vertAlign w:val="subscript"/>
          <w:lang w:val="en-US"/>
        </w:rPr>
        <w:t>_with</w:t>
      </w:r>
      <w:r>
        <w:rPr>
          <w:rFonts w:hint="eastAsia"/>
          <w:vertAlign w:val="subscript"/>
          <w:lang w:val="en-US" w:eastAsia="zh-CN"/>
        </w:rPr>
        <w:t>_</w:t>
      </w:r>
      <w:r w:rsidRPr="00AF5628">
        <w:rPr>
          <w:vertAlign w:val="subscript"/>
          <w:lang w:val="en-US"/>
        </w:rPr>
        <w:t xml:space="preserve">index </w:t>
      </w:r>
      <w:r w:rsidRPr="00F340F6">
        <w:rPr>
          <w:lang w:val="en-US"/>
        </w:rPr>
        <w:t>or T</w:t>
      </w:r>
      <w:r w:rsidRPr="00AF5628">
        <w:rPr>
          <w:vertAlign w:val="subscript"/>
          <w:lang w:val="en-US"/>
        </w:rPr>
        <w:t>identify_int</w:t>
      </w:r>
      <w:r>
        <w:rPr>
          <w:rFonts w:hint="eastAsia"/>
          <w:vertAlign w:val="subscript"/>
          <w:lang w:val="en-US" w:eastAsia="zh-CN"/>
        </w:rPr>
        <w:t>er</w:t>
      </w:r>
      <w:r w:rsidRPr="00AF5628">
        <w:rPr>
          <w:vertAlign w:val="subscript"/>
          <w:lang w:val="en-US"/>
        </w:rPr>
        <w:t>_without_index</w:t>
      </w:r>
      <w:r>
        <w:rPr>
          <w:lang w:val="en-US"/>
        </w:rPr>
        <w:t xml:space="preserve">, </w:t>
      </w:r>
      <w:r w:rsidRPr="00B42A38">
        <w:rPr>
          <w:lang w:val="en-US"/>
        </w:rPr>
        <w:t xml:space="preserve">assuming </w:t>
      </w:r>
      <w:r>
        <w:rPr>
          <w:lang w:val="en-US"/>
        </w:rPr>
        <w:t xml:space="preserve">that the </w:t>
      </w:r>
      <w:r w:rsidRPr="003C1B6A">
        <w:rPr>
          <w:lang w:val="en-US"/>
        </w:rPr>
        <w:t>UE uses only the SMTC window of the target inter-frequency carrier for performing the measurements.</w:t>
      </w:r>
      <w:r w:rsidRPr="003C1B6A">
        <w:t> </w:t>
      </w:r>
      <w:r w:rsidRPr="003C1B6A">
        <w:rPr>
          <w:lang w:val="en-US"/>
        </w:rPr>
        <w:t>In this case K</w:t>
      </w:r>
      <w:r w:rsidRPr="00082331">
        <w:rPr>
          <w:vertAlign w:val="subscript"/>
          <w:lang w:val="en-US"/>
        </w:rPr>
        <w:t>satellite=</w:t>
      </w:r>
      <w:r w:rsidRPr="003C1B6A">
        <w:rPr>
          <w:lang w:val="en-US"/>
        </w:rPr>
        <w:t>1, CSSF</w:t>
      </w:r>
      <w:r w:rsidRPr="00082331">
        <w:rPr>
          <w:vertAlign w:val="subscript"/>
          <w:lang w:val="en-US"/>
        </w:rPr>
        <w:t>inter</w:t>
      </w:r>
      <w:r w:rsidRPr="003C1B6A">
        <w:rPr>
          <w:lang w:val="en-US"/>
        </w:rPr>
        <w:t>=1.</w:t>
      </w:r>
    </w:p>
    <w:p w14:paraId="4207A706" w14:textId="0A965A39" w:rsidR="00D85FF0" w:rsidRDefault="005B4193" w:rsidP="005B4193">
      <w:pPr>
        <w:pStyle w:val="B10"/>
        <w:rPr>
          <w:lang w:val="en-US"/>
        </w:rPr>
      </w:pPr>
      <w:r>
        <w:rPr>
          <w:lang w:val="en-US"/>
        </w:rPr>
        <w:t>-</w:t>
      </w:r>
      <w:r>
        <w:rPr>
          <w:lang w:val="en-US"/>
        </w:rPr>
        <w:tab/>
      </w:r>
      <w:r w:rsidRPr="00F340F6">
        <w:rPr>
          <w:lang w:val="en-US"/>
        </w:rPr>
        <w:t xml:space="preserve">If both condition </w:t>
      </w:r>
      <w:r w:rsidRPr="00BC1172">
        <w:rPr>
          <w:lang w:val="en-US"/>
        </w:rPr>
        <w:t xml:space="preserve">D1-1 </w:t>
      </w:r>
      <w:r w:rsidRPr="00B42A38">
        <w:rPr>
          <w:lang w:val="en-US"/>
        </w:rPr>
        <w:t xml:space="preserve">and condition </w:t>
      </w:r>
      <w:r w:rsidRPr="00BC1172">
        <w:rPr>
          <w:lang w:val="en-US"/>
        </w:rPr>
        <w:t xml:space="preserve">D1-2 </w:t>
      </w:r>
      <w:r w:rsidRPr="00B42A38">
        <w:rPr>
          <w:lang w:val="en-US"/>
        </w:rPr>
        <w:t>are fulfilled later than T</w:t>
      </w:r>
      <w:r w:rsidRPr="00F340F6">
        <w:rPr>
          <w:vertAlign w:val="subscript"/>
          <w:lang w:val="en-US"/>
        </w:rPr>
        <w:t>Event_DU</w:t>
      </w:r>
      <w:r w:rsidRPr="00F340F6">
        <w:rPr>
          <w:lang w:val="en-US"/>
        </w:rPr>
        <w:t xml:space="preserve"> plus T</w:t>
      </w:r>
      <w:r w:rsidRPr="00AF5628">
        <w:rPr>
          <w:vertAlign w:val="subscript"/>
          <w:lang w:val="en-US"/>
        </w:rPr>
        <w:t>identify</w:t>
      </w:r>
      <w:r>
        <w:rPr>
          <w:rFonts w:hint="eastAsia"/>
          <w:vertAlign w:val="subscript"/>
          <w:lang w:val="en-US" w:eastAsia="zh-CN"/>
        </w:rPr>
        <w:t>_</w:t>
      </w:r>
      <w:r w:rsidRPr="00AF5628">
        <w:rPr>
          <w:vertAlign w:val="subscript"/>
          <w:lang w:val="en-US"/>
        </w:rPr>
        <w:t>int</w:t>
      </w:r>
      <w:r>
        <w:rPr>
          <w:rFonts w:hint="eastAsia"/>
          <w:vertAlign w:val="subscript"/>
          <w:lang w:val="en-US" w:eastAsia="zh-CN"/>
        </w:rPr>
        <w:t>er</w:t>
      </w:r>
      <w:r w:rsidRPr="00AF5628">
        <w:rPr>
          <w:vertAlign w:val="subscript"/>
          <w:lang w:val="en-US"/>
        </w:rPr>
        <w:t>_with</w:t>
      </w:r>
      <w:r>
        <w:rPr>
          <w:rFonts w:hint="eastAsia"/>
          <w:vertAlign w:val="subscript"/>
          <w:lang w:val="en-US" w:eastAsia="zh-CN"/>
        </w:rPr>
        <w:t>_</w:t>
      </w:r>
      <w:r w:rsidRPr="00AF5628">
        <w:rPr>
          <w:vertAlign w:val="subscript"/>
          <w:lang w:val="en-US"/>
        </w:rPr>
        <w:t xml:space="preserve">index </w:t>
      </w:r>
      <w:r w:rsidRPr="00F340F6">
        <w:rPr>
          <w:lang w:val="en-US"/>
        </w:rPr>
        <w:t>or T</w:t>
      </w:r>
      <w:r w:rsidRPr="00AF5628">
        <w:rPr>
          <w:vertAlign w:val="subscript"/>
          <w:lang w:val="en-US"/>
        </w:rPr>
        <w:t>identify_int</w:t>
      </w:r>
      <w:r>
        <w:rPr>
          <w:rFonts w:hint="eastAsia"/>
          <w:vertAlign w:val="subscript"/>
          <w:lang w:val="en-US" w:eastAsia="zh-CN"/>
        </w:rPr>
        <w:t>er</w:t>
      </w:r>
      <w:r w:rsidRPr="00AF5628">
        <w:rPr>
          <w:vertAlign w:val="subscript"/>
          <w:lang w:val="en-US"/>
        </w:rPr>
        <w:t>_without_index</w:t>
      </w:r>
      <w:r w:rsidRPr="00B42A38">
        <w:rPr>
          <w:lang w:val="en-US"/>
        </w:rPr>
        <w:t>, then</w:t>
      </w:r>
      <w:r w:rsidRPr="00F340F6">
        <w:rPr>
          <w:lang w:val="en-US"/>
        </w:rPr>
        <w:t xml:space="preserve"> the measurement time delay equal to the time from the end of T</w:t>
      </w:r>
      <w:r w:rsidRPr="00F340F6">
        <w:rPr>
          <w:vertAlign w:val="subscript"/>
          <w:lang w:val="en-US"/>
        </w:rPr>
        <w:t>event_DU</w:t>
      </w:r>
      <w:r w:rsidRPr="00F340F6">
        <w:rPr>
          <w:lang w:val="en-US"/>
        </w:rPr>
        <w:t xml:space="preserve"> until time of both condition </w:t>
      </w:r>
      <w:r w:rsidRPr="00BC1172">
        <w:rPr>
          <w:lang w:val="en-US"/>
        </w:rPr>
        <w:t xml:space="preserve">D1-1 </w:t>
      </w:r>
      <w:r w:rsidRPr="00B42A38">
        <w:rPr>
          <w:lang w:val="en-US"/>
        </w:rPr>
        <w:t xml:space="preserve">and condition </w:t>
      </w:r>
      <w:r w:rsidRPr="00BC1172">
        <w:rPr>
          <w:lang w:val="en-US"/>
        </w:rPr>
        <w:t xml:space="preserve">D1-2 </w:t>
      </w:r>
      <w:r w:rsidRPr="00B42A38">
        <w:rPr>
          <w:lang w:val="en-US"/>
        </w:rPr>
        <w:t>are fulfilled.</w:t>
      </w:r>
    </w:p>
    <w:p w14:paraId="3A9F6E2B" w14:textId="77777777" w:rsidR="00D85FF0" w:rsidRPr="00B42A38" w:rsidRDefault="00D85FF0" w:rsidP="00AF5628">
      <w:pPr>
        <w:rPr>
          <w:lang w:val="en-US"/>
        </w:rPr>
      </w:pPr>
    </w:p>
    <w:p w14:paraId="11522B0F" w14:textId="77777777" w:rsidR="00D85FF0" w:rsidRPr="009C5807" w:rsidRDefault="00D85FF0" w:rsidP="00D85FF0">
      <w:pPr>
        <w:rPr>
          <w:rFonts w:cs="v4.2.0"/>
        </w:rPr>
      </w:pPr>
      <w:r w:rsidRPr="009C5807">
        <w:t>When TTT or L3 filtering is used an additional delay can be expected.</w:t>
      </w:r>
    </w:p>
    <w:p w14:paraId="184AA436" w14:textId="77777777" w:rsidR="00D85FF0" w:rsidRPr="009C5807" w:rsidRDefault="00D85FF0" w:rsidP="00D85FF0">
      <w:pPr>
        <w:rPr>
          <w:lang w:eastAsia="zh-CN"/>
        </w:rPr>
      </w:pPr>
      <w:r w:rsidRPr="009C5807">
        <w:t xml:space="preserve">A cell is detectable only if at least one SSB measured from the cell being configured remains detectable during the time period </w:t>
      </w:r>
      <w:r>
        <w:rPr>
          <w:rFonts w:hint="eastAsia"/>
          <w:lang w:eastAsia="zh-CN"/>
        </w:rPr>
        <w:t>[</w:t>
      </w:r>
      <w:r w:rsidRPr="009C5807">
        <w:t>T</w:t>
      </w:r>
      <w:r w:rsidRPr="009C5807">
        <w:rPr>
          <w:sz w:val="13"/>
          <w:szCs w:val="13"/>
        </w:rPr>
        <w:t>identify_intra_without_index</w:t>
      </w:r>
      <w:r>
        <w:rPr>
          <w:rFonts w:hint="eastAsia"/>
          <w:lang w:eastAsia="zh-CN"/>
        </w:rPr>
        <w:t>]</w:t>
      </w:r>
      <w:r w:rsidRPr="009C5807">
        <w:rPr>
          <w:sz w:val="13"/>
          <w:szCs w:val="13"/>
        </w:rPr>
        <w:t xml:space="preserve"> </w:t>
      </w:r>
      <w:r w:rsidRPr="009C5807">
        <w:t xml:space="preserve">or </w:t>
      </w:r>
      <w:r>
        <w:rPr>
          <w:rFonts w:hint="eastAsia"/>
          <w:lang w:eastAsia="zh-CN"/>
        </w:rPr>
        <w:t>[</w:t>
      </w:r>
      <w:r w:rsidRPr="009C5807">
        <w:t>T</w:t>
      </w:r>
      <w:r w:rsidRPr="009C5807">
        <w:rPr>
          <w:sz w:val="13"/>
          <w:szCs w:val="13"/>
        </w:rPr>
        <w:t>identify_intra_with_index</w:t>
      </w:r>
      <w:r>
        <w:rPr>
          <w:rFonts w:hint="eastAsia"/>
          <w:lang w:eastAsia="zh-CN"/>
        </w:rPr>
        <w:t>]</w:t>
      </w:r>
      <w:r w:rsidRPr="009C5807">
        <w:rPr>
          <w:sz w:val="13"/>
          <w:szCs w:val="13"/>
        </w:rPr>
        <w:t xml:space="preserve"> </w:t>
      </w:r>
      <w:r w:rsidRPr="009C5807">
        <w:t xml:space="preserve">for intra-frequency handover or </w:t>
      </w:r>
      <w:r>
        <w:rPr>
          <w:rFonts w:hint="eastAsia"/>
          <w:lang w:eastAsia="zh-CN"/>
        </w:rPr>
        <w:t>[</w:t>
      </w:r>
      <w:r w:rsidRPr="009C5807">
        <w:t>T</w:t>
      </w:r>
      <w:r w:rsidRPr="009C5807">
        <w:rPr>
          <w:sz w:val="13"/>
          <w:szCs w:val="13"/>
        </w:rPr>
        <w:t>identify_inter_without_index</w:t>
      </w:r>
      <w:r>
        <w:rPr>
          <w:rFonts w:hint="eastAsia"/>
          <w:lang w:eastAsia="zh-CN"/>
        </w:rPr>
        <w:t>]</w:t>
      </w:r>
      <w:r w:rsidRPr="009C5807">
        <w:t xml:space="preserve"> for inter-frequency handover.</w:t>
      </w:r>
    </w:p>
    <w:p w14:paraId="028A6338" w14:textId="77777777" w:rsidR="00D85FF0" w:rsidRPr="009C5807" w:rsidRDefault="00D85FF0" w:rsidP="00D85FF0">
      <w:pPr>
        <w:pStyle w:val="Heading5"/>
      </w:pPr>
      <w:r w:rsidRPr="009C5807">
        <w:t>6.1</w:t>
      </w:r>
      <w:r>
        <w:rPr>
          <w:rFonts w:hint="eastAsia"/>
          <w:lang w:eastAsia="zh-CN"/>
        </w:rPr>
        <w:t>C</w:t>
      </w:r>
      <w:r w:rsidRPr="009C5807">
        <w:t>.</w:t>
      </w:r>
      <w:r>
        <w:rPr>
          <w:rFonts w:hint="eastAsia"/>
          <w:lang w:eastAsia="zh-CN"/>
        </w:rPr>
        <w:t>2</w:t>
      </w:r>
      <w:r w:rsidRPr="009C5807">
        <w:t>.2.3</w:t>
      </w:r>
      <w:r w:rsidRPr="009C5807">
        <w:tab/>
        <w:t>Preparation time</w:t>
      </w:r>
    </w:p>
    <w:p w14:paraId="120D0648" w14:textId="77777777" w:rsidR="00D85FF0" w:rsidRPr="009C5807" w:rsidRDefault="00D85FF0" w:rsidP="00D85FF0">
      <w:r w:rsidRPr="009C5807">
        <w:t>T</w:t>
      </w:r>
      <w:r w:rsidRPr="009C5807">
        <w:rPr>
          <w:vertAlign w:val="subscript"/>
        </w:rPr>
        <w:t>CHO_execution</w:t>
      </w:r>
      <w:r w:rsidRPr="009C5807">
        <w:t xml:space="preserve"> is the UE </w:t>
      </w:r>
      <w:r w:rsidRPr="009C5807">
        <w:rPr>
          <w:rFonts w:cs="v4.2.0"/>
        </w:rPr>
        <w:t xml:space="preserve">execution </w:t>
      </w:r>
      <w:r w:rsidRPr="009C5807">
        <w:t>preparation time for conditional handover, and starts after UE realizes the condition of CHO is met and identity of the target cell is determined. T</w:t>
      </w:r>
      <w:r w:rsidRPr="009C5807">
        <w:rPr>
          <w:vertAlign w:val="subscript"/>
        </w:rPr>
        <w:t>CHO_execution</w:t>
      </w:r>
      <w:r w:rsidRPr="009C5807">
        <w:t xml:space="preserve"> can be up to 10ms.</w:t>
      </w:r>
    </w:p>
    <w:p w14:paraId="18B6AEB6" w14:textId="77777777" w:rsidR="00D85FF0" w:rsidRPr="009C5807" w:rsidRDefault="00D85FF0" w:rsidP="00D85FF0">
      <w:pPr>
        <w:pStyle w:val="Heading5"/>
      </w:pPr>
      <w:r w:rsidRPr="009C5807">
        <w:t>6.1</w:t>
      </w:r>
      <w:r>
        <w:rPr>
          <w:rFonts w:hint="eastAsia"/>
          <w:lang w:eastAsia="zh-CN"/>
        </w:rPr>
        <w:t>C</w:t>
      </w:r>
      <w:r w:rsidRPr="009C5807">
        <w:t>.</w:t>
      </w:r>
      <w:r>
        <w:rPr>
          <w:rFonts w:hint="eastAsia"/>
          <w:lang w:eastAsia="zh-CN"/>
        </w:rPr>
        <w:t>2</w:t>
      </w:r>
      <w:r w:rsidRPr="009C5807">
        <w:t>.2.4</w:t>
      </w:r>
      <w:r w:rsidRPr="009C5807">
        <w:tab/>
        <w:t>Interruption time</w:t>
      </w:r>
    </w:p>
    <w:p w14:paraId="3359293A" w14:textId="77777777" w:rsidR="00D85FF0" w:rsidRPr="009C5807" w:rsidRDefault="00D85FF0" w:rsidP="00D85FF0">
      <w:pPr>
        <w:rPr>
          <w:rFonts w:cs="v4.2.0"/>
        </w:rPr>
      </w:pPr>
      <w:r w:rsidRPr="009C5807">
        <w:rPr>
          <w:rFonts w:cs="v4.2.0"/>
        </w:rPr>
        <w:t xml:space="preserve">The interruption time is the time between when the UE </w:t>
      </w:r>
      <w:r w:rsidRPr="009C5807">
        <w:t>starts to</w:t>
      </w:r>
      <w:r w:rsidRPr="009C5807">
        <w:rPr>
          <w:rFonts w:cs="v4.2.0"/>
        </w:rPr>
        <w:t xml:space="preserve"> execute the conditional handover to the target cell and the time the UE starts transmission of the new PRACH.</w:t>
      </w:r>
    </w:p>
    <w:p w14:paraId="7E8F56E1" w14:textId="77777777" w:rsidR="00D85FF0" w:rsidRPr="009C5807" w:rsidRDefault="00D85FF0" w:rsidP="00D85FF0">
      <w:pPr>
        <w:rPr>
          <w:rFonts w:cs="v4.2.0"/>
        </w:rPr>
      </w:pPr>
      <w:r w:rsidRPr="009C5807">
        <w:rPr>
          <w:rFonts w:cs="v4.2.0"/>
        </w:rPr>
        <w:t>For intra-frequency or inter-frequency conditional conditional handover, the measurment time shall be less than</w:t>
      </w:r>
    </w:p>
    <w:p w14:paraId="5C04FA83" w14:textId="77777777" w:rsidR="00D85FF0" w:rsidRPr="009C5807" w:rsidRDefault="00D85FF0" w:rsidP="00D85FF0">
      <w:pPr>
        <w:pStyle w:val="EQ"/>
      </w:pPr>
      <w:r w:rsidRPr="009C5807">
        <w:tab/>
        <w:t>T</w:t>
      </w:r>
      <w:r w:rsidRPr="009C5807">
        <w:rPr>
          <w:vertAlign w:val="subscript"/>
        </w:rPr>
        <w:t>interrupt</w:t>
      </w:r>
      <w:r w:rsidRPr="009C5807">
        <w:t xml:space="preserve"> = T</w:t>
      </w:r>
      <w:r w:rsidRPr="009C5807">
        <w:rPr>
          <w:vertAlign w:val="subscript"/>
        </w:rPr>
        <w:t>processing</w:t>
      </w:r>
      <w:r w:rsidRPr="009C5807">
        <w:t xml:space="preserve"> + T</w:t>
      </w:r>
      <w:r w:rsidRPr="009C5807">
        <w:rPr>
          <w:vertAlign w:val="subscript"/>
        </w:rPr>
        <w:t>IU</w:t>
      </w:r>
      <w:r w:rsidRPr="009C5807">
        <w:t xml:space="preserve"> + T</w:t>
      </w:r>
      <w:r w:rsidRPr="009C5807">
        <w:rPr>
          <w:vertAlign w:val="subscript"/>
        </w:rPr>
        <w:t>∆</w:t>
      </w:r>
      <w:r w:rsidRPr="009C5807">
        <w:t xml:space="preserve"> </w:t>
      </w:r>
      <w:r w:rsidRPr="009C5807">
        <w:rPr>
          <w:lang w:eastAsia="zh-CN"/>
        </w:rPr>
        <w:t>+ T</w:t>
      </w:r>
      <w:r w:rsidRPr="009C5807">
        <w:rPr>
          <w:vertAlign w:val="subscript"/>
          <w:lang w:eastAsia="zh-CN"/>
        </w:rPr>
        <w:t>margin</w:t>
      </w:r>
      <w:r w:rsidRPr="009C5807">
        <w:t xml:space="preserve"> ms</w:t>
      </w:r>
    </w:p>
    <w:p w14:paraId="460B4855" w14:textId="77777777" w:rsidR="00D85FF0" w:rsidRPr="009C5807" w:rsidRDefault="00D85FF0" w:rsidP="00D85FF0">
      <w:r w:rsidRPr="009C5807">
        <w:t>Where:</w:t>
      </w:r>
    </w:p>
    <w:p w14:paraId="39E2CF6D" w14:textId="77777777" w:rsidR="00D85FF0" w:rsidRPr="009C5807" w:rsidRDefault="00D85FF0" w:rsidP="00D85FF0">
      <w:pPr>
        <w:pStyle w:val="B10"/>
      </w:pPr>
      <w:r>
        <w:rPr>
          <w:rFonts w:hint="eastAsia"/>
          <w:lang w:eastAsia="zh-CN"/>
        </w:rPr>
        <w:t>-</w:t>
      </w:r>
      <w:r w:rsidRPr="009C5807">
        <w:tab/>
        <w:t>T</w:t>
      </w:r>
      <w:r w:rsidRPr="009C5807">
        <w:rPr>
          <w:vertAlign w:val="subscript"/>
        </w:rPr>
        <w:t>processing</w:t>
      </w:r>
      <w:r w:rsidRPr="009C5807">
        <w:t xml:space="preserve"> is time for UE processing. T</w:t>
      </w:r>
      <w:r w:rsidRPr="009C5807">
        <w:rPr>
          <w:vertAlign w:val="subscript"/>
        </w:rPr>
        <w:t>processing</w:t>
      </w:r>
      <w:r w:rsidRPr="009C5807">
        <w:t xml:space="preserve"> can be up to 20ms.</w:t>
      </w:r>
    </w:p>
    <w:p w14:paraId="4D3C6DAD" w14:textId="77777777" w:rsidR="00D85FF0" w:rsidRPr="009C5807" w:rsidRDefault="00D85FF0" w:rsidP="00D85FF0">
      <w:pPr>
        <w:pStyle w:val="B10"/>
      </w:pPr>
      <w:r>
        <w:rPr>
          <w:rFonts w:hint="eastAsia"/>
          <w:lang w:eastAsia="zh-CN"/>
        </w:rPr>
        <w:t>-</w:t>
      </w:r>
      <w:r w:rsidRPr="009C5807">
        <w:tab/>
        <w:t>T</w:t>
      </w:r>
      <w:r w:rsidRPr="009C5807">
        <w:rPr>
          <w:vertAlign w:val="subscript"/>
        </w:rPr>
        <w:t>IU</w:t>
      </w:r>
      <w:r w:rsidRPr="009C5807">
        <w:t xml:space="preserve"> is the interruption uncertainty in acquiring the first available PRACH occasion in the new cell. T</w:t>
      </w:r>
      <w:r w:rsidRPr="009C5807">
        <w:rPr>
          <w:vertAlign w:val="subscript"/>
        </w:rPr>
        <w:t>IU</w:t>
      </w:r>
      <w:r w:rsidRPr="009C5807">
        <w:t xml:space="preserve"> can be up to the summation of SSB to PRACH occasion association period and </w:t>
      </w:r>
      <w:r>
        <w:rPr>
          <w:rFonts w:hint="eastAsia"/>
          <w:lang w:eastAsia="zh-CN"/>
        </w:rPr>
        <w:t>[</w:t>
      </w:r>
      <w:r w:rsidRPr="009C5807">
        <w:t>10</w:t>
      </w:r>
      <w:r>
        <w:rPr>
          <w:rFonts w:hint="eastAsia"/>
          <w:lang w:eastAsia="zh-CN"/>
        </w:rPr>
        <w:t>]</w:t>
      </w:r>
      <w:r w:rsidRPr="009C5807">
        <w:t xml:space="preserve"> ms. SSB to PRACH occasion associated period is defined in the table 8.1-1 of TS 38.213 [3]</w:t>
      </w:r>
    </w:p>
    <w:p w14:paraId="224860F6" w14:textId="77777777" w:rsidR="00D85FF0" w:rsidRPr="009C5807" w:rsidRDefault="00D85FF0" w:rsidP="00D85FF0">
      <w:pPr>
        <w:pStyle w:val="B10"/>
      </w:pPr>
      <w:r>
        <w:rPr>
          <w:rFonts w:hint="eastAsia"/>
          <w:lang w:eastAsia="zh-CN"/>
        </w:rPr>
        <w:t>-</w:t>
      </w:r>
      <w:r w:rsidRPr="009C5807">
        <w:tab/>
        <w:t>T</w:t>
      </w:r>
      <w:r w:rsidRPr="009C5807">
        <w:rPr>
          <w:vertAlign w:val="subscript"/>
        </w:rPr>
        <w:t>∆</w:t>
      </w:r>
      <w:r w:rsidRPr="009C5807">
        <w:t xml:space="preserve"> is time for fine time tracking and acquiring full timing information of the target cell. T</w:t>
      </w:r>
      <w:r w:rsidRPr="009C5807">
        <w:rPr>
          <w:vertAlign w:val="subscript"/>
        </w:rPr>
        <w:t>Δ</w:t>
      </w:r>
      <w:r w:rsidRPr="009C5807">
        <w:t xml:space="preserve"> = T</w:t>
      </w:r>
      <w:r w:rsidRPr="009C5807">
        <w:rPr>
          <w:vertAlign w:val="subscript"/>
        </w:rPr>
        <w:t>rs</w:t>
      </w:r>
      <w:r w:rsidRPr="009C5807">
        <w:t>.</w:t>
      </w:r>
    </w:p>
    <w:p w14:paraId="4DBC9269" w14:textId="77777777" w:rsidR="00D85FF0" w:rsidRPr="009C5807" w:rsidRDefault="00D85FF0" w:rsidP="00D85FF0">
      <w:pPr>
        <w:pStyle w:val="B10"/>
      </w:pPr>
      <w:r>
        <w:rPr>
          <w:rFonts w:hint="eastAsia"/>
          <w:lang w:eastAsia="zh-CN"/>
        </w:rPr>
        <w:t>-</w:t>
      </w:r>
      <w:r w:rsidRPr="009C5807">
        <w:rPr>
          <w:lang w:eastAsia="zh-CN"/>
        </w:rPr>
        <w:tab/>
        <w:t>T</w:t>
      </w:r>
      <w:r w:rsidRPr="009C5807">
        <w:rPr>
          <w:vertAlign w:val="subscript"/>
          <w:lang w:eastAsia="zh-CN"/>
        </w:rPr>
        <w:t xml:space="preserve">margin </w:t>
      </w:r>
      <w:r w:rsidRPr="009C5807">
        <w:rPr>
          <w:lang w:eastAsia="zh-CN"/>
        </w:rPr>
        <w:t>is time for SSB post-processing. T</w:t>
      </w:r>
      <w:r w:rsidRPr="009C5807">
        <w:rPr>
          <w:vertAlign w:val="subscript"/>
          <w:lang w:eastAsia="zh-CN"/>
        </w:rPr>
        <w:t xml:space="preserve">margin </w:t>
      </w:r>
      <w:r w:rsidRPr="009C5807">
        <w:rPr>
          <w:lang w:eastAsia="zh-CN"/>
        </w:rPr>
        <w:t>can be up to 2ms.</w:t>
      </w:r>
    </w:p>
    <w:p w14:paraId="5649A634" w14:textId="77777777" w:rsidR="00D85FF0" w:rsidRPr="009C5807" w:rsidRDefault="00D85FF0" w:rsidP="00D85FF0">
      <w:pPr>
        <w:pStyle w:val="B10"/>
      </w:pPr>
      <w:r>
        <w:rPr>
          <w:rFonts w:hint="eastAsia"/>
          <w:lang w:eastAsia="zh-CN"/>
        </w:rPr>
        <w:t>-</w:t>
      </w:r>
      <w:r w:rsidRPr="009C5807">
        <w:tab/>
        <w:t>T</w:t>
      </w:r>
      <w:r w:rsidRPr="009C5807">
        <w:rPr>
          <w:vertAlign w:val="subscript"/>
        </w:rPr>
        <w:t>rs</w:t>
      </w:r>
      <w:r w:rsidRPr="009C5807">
        <w:t xml:space="preserve"> is the SMTC periodicity of the target NR </w:t>
      </w:r>
      <w:r>
        <w:rPr>
          <w:rFonts w:hint="eastAsia"/>
          <w:lang w:eastAsia="zh-CN"/>
        </w:rPr>
        <w:t xml:space="preserve">SAN </w:t>
      </w:r>
      <w:r w:rsidRPr="009C5807">
        <w:t>cell if the UE has been provided with an SMTC configuration for the target cellin the handover command, otherwise Trs is the SMTC configured in the measObjectNR having the same SSB frequency and subcarrier spacing. If the UE is not provided SMTC configuration or measurement object on this frequency, the requirement in this clause is applied with T</w:t>
      </w:r>
      <w:r w:rsidRPr="009C5807">
        <w:rPr>
          <w:vertAlign w:val="subscript"/>
        </w:rPr>
        <w:t>rs</w:t>
      </w:r>
      <w:r w:rsidRPr="009C5807">
        <w:t xml:space="preserve">=5ms assuming the SSB transmission periodicity is 5ms. There is no requirement if the SSB transmission periodicity is not 5ms. If the UE has been provided with higher layer in TS 38.331 [2] signaling of </w:t>
      </w:r>
      <w:r w:rsidRPr="009C5807">
        <w:rPr>
          <w:i/>
        </w:rPr>
        <w:t>smtc2</w:t>
      </w:r>
      <w:r w:rsidRPr="009C5807">
        <w:rPr>
          <w:b/>
        </w:rPr>
        <w:t xml:space="preserve"> </w:t>
      </w:r>
      <w:r w:rsidRPr="009C5807">
        <w:t>prior to the handover command, T</w:t>
      </w:r>
      <w:r w:rsidRPr="009C5807">
        <w:rPr>
          <w:vertAlign w:val="subscript"/>
        </w:rPr>
        <w:t>rs</w:t>
      </w:r>
      <w:r w:rsidRPr="009C5807">
        <w:t xml:space="preserve"> follows </w:t>
      </w:r>
      <w:r w:rsidRPr="009C5807">
        <w:rPr>
          <w:i/>
        </w:rPr>
        <w:t>smtc1</w:t>
      </w:r>
      <w:r w:rsidRPr="009C5807">
        <w:t xml:space="preserve"> or </w:t>
      </w:r>
      <w:r w:rsidRPr="009C5807">
        <w:rPr>
          <w:i/>
        </w:rPr>
        <w:t>smtc2</w:t>
      </w:r>
      <w:r w:rsidRPr="009C5807">
        <w:t xml:space="preserve"> according to the physical cell ID of the target cell.</w:t>
      </w:r>
    </w:p>
    <w:p w14:paraId="6279ED7C" w14:textId="77777777" w:rsidR="00D85FF0" w:rsidRPr="009C5807" w:rsidRDefault="00D85FF0" w:rsidP="00D85FF0">
      <w:pPr>
        <w:pStyle w:val="NO"/>
      </w:pPr>
      <w:r w:rsidRPr="009C5807">
        <w:t>NOTE 1:</w:t>
      </w:r>
      <w:r w:rsidRPr="009C5807">
        <w:tab/>
        <w:t>The actual value of T</w:t>
      </w:r>
      <w:r w:rsidRPr="009C5807">
        <w:rPr>
          <w:vertAlign w:val="subscript"/>
        </w:rPr>
        <w:t>IU</w:t>
      </w:r>
      <w:r w:rsidRPr="009C5807">
        <w:t xml:space="preserve"> shall depend upon the PRACH configuration used in the target cell.</w:t>
      </w:r>
    </w:p>
    <w:p w14:paraId="5CF2F300" w14:textId="4F1279B9" w:rsidR="00E51F6C" w:rsidRPr="00F15CAD" w:rsidRDefault="00E51F6C" w:rsidP="00E51F6C">
      <w:pPr>
        <w:pStyle w:val="Heading2"/>
        <w:rPr>
          <w:lang w:eastAsia="ko-KR"/>
        </w:rPr>
      </w:pPr>
      <w:r w:rsidRPr="00AA565F">
        <w:rPr>
          <w:lang w:eastAsia="ko-KR"/>
        </w:rPr>
        <w:t>6.1</w:t>
      </w:r>
      <w:r>
        <w:rPr>
          <w:lang w:eastAsia="ko-KR"/>
        </w:rPr>
        <w:t>D</w:t>
      </w:r>
      <w:r w:rsidRPr="00AA565F">
        <w:rPr>
          <w:lang w:eastAsia="ko-KR"/>
        </w:rPr>
        <w:tab/>
        <w:t xml:space="preserve">Handover </w:t>
      </w:r>
      <w:r>
        <w:rPr>
          <w:lang w:eastAsia="ko-KR"/>
        </w:rPr>
        <w:t xml:space="preserve">for </w:t>
      </w:r>
      <w:r>
        <w:rPr>
          <w:rFonts w:eastAsia="Malgun Gothic"/>
        </w:rPr>
        <w:t>RedCap</w:t>
      </w:r>
    </w:p>
    <w:p w14:paraId="6F614075" w14:textId="01AA210C" w:rsidR="00E51F6C" w:rsidRPr="009C5807" w:rsidRDefault="00E51F6C" w:rsidP="00E51F6C">
      <w:pPr>
        <w:pStyle w:val="Heading3"/>
        <w:rPr>
          <w:lang w:val="en-US" w:eastAsia="ko-KR"/>
        </w:rPr>
      </w:pPr>
      <w:r w:rsidRPr="009C5807">
        <w:rPr>
          <w:lang w:val="en-US" w:eastAsia="ko-KR"/>
        </w:rPr>
        <w:t>6.1</w:t>
      </w:r>
      <w:r>
        <w:rPr>
          <w:lang w:val="en-US" w:eastAsia="ko-KR"/>
        </w:rPr>
        <w:t>D</w:t>
      </w:r>
      <w:r w:rsidRPr="009C5807">
        <w:rPr>
          <w:lang w:val="en-US" w:eastAsia="ko-KR"/>
        </w:rPr>
        <w:t>.1</w:t>
      </w:r>
      <w:r w:rsidRPr="009C5807">
        <w:rPr>
          <w:lang w:val="en-US" w:eastAsia="ko-KR"/>
        </w:rPr>
        <w:tab/>
        <w:t>NR Handover</w:t>
      </w:r>
    </w:p>
    <w:p w14:paraId="00F2B335" w14:textId="1FC2DDD4" w:rsidR="00E51F6C" w:rsidRPr="009C5807" w:rsidRDefault="00E51F6C" w:rsidP="00E51F6C">
      <w:pPr>
        <w:pStyle w:val="Heading4"/>
        <w:rPr>
          <w:lang w:val="en-US" w:eastAsia="zh-CN"/>
        </w:rPr>
      </w:pPr>
      <w:r w:rsidRPr="009C5807">
        <w:rPr>
          <w:lang w:val="en-US" w:eastAsia="zh-CN"/>
        </w:rPr>
        <w:t>6.1</w:t>
      </w:r>
      <w:r>
        <w:rPr>
          <w:lang w:val="en-US" w:eastAsia="zh-CN"/>
        </w:rPr>
        <w:t>D</w:t>
      </w:r>
      <w:r w:rsidRPr="009C5807">
        <w:rPr>
          <w:lang w:val="en-US" w:eastAsia="zh-CN"/>
        </w:rPr>
        <w:t>.1.1</w:t>
      </w:r>
      <w:r w:rsidRPr="009C5807">
        <w:rPr>
          <w:lang w:val="en-US" w:eastAsia="zh-CN"/>
        </w:rPr>
        <w:tab/>
        <w:t>Introduction</w:t>
      </w:r>
    </w:p>
    <w:p w14:paraId="616434EB" w14:textId="77777777" w:rsidR="00535F36" w:rsidRDefault="00535F36" w:rsidP="00535F36">
      <w:pPr>
        <w:tabs>
          <w:tab w:val="left" w:pos="7200"/>
        </w:tabs>
      </w:pPr>
      <w:r w:rsidRPr="009C5807">
        <w:t>The purpose of NR handover is to change the NR PCell to another NR cell</w:t>
      </w:r>
      <w:r>
        <w:t xml:space="preserve"> for RedCap UE</w:t>
      </w:r>
      <w:r w:rsidRPr="009C5807">
        <w:t xml:space="preserve">. </w:t>
      </w:r>
      <w:r w:rsidRPr="009C5807">
        <w:t>The requirements in this clause are applicable to SA NR.</w:t>
      </w:r>
    </w:p>
    <w:p w14:paraId="5C4F13DB" w14:textId="77777777" w:rsidR="00535F36" w:rsidRPr="000A6D58" w:rsidRDefault="00535F36" w:rsidP="00535F36">
      <w:pPr>
        <w:tabs>
          <w:tab w:val="left" w:pos="7200"/>
        </w:tabs>
        <w:rPr>
          <w:i/>
          <w:iCs/>
        </w:rPr>
      </w:pPr>
      <w:r w:rsidRPr="000A6D58">
        <w:rPr>
          <w:i/>
          <w:iCs/>
        </w:rPr>
        <w:t>Editor notes:</w:t>
      </w:r>
      <w:r>
        <w:rPr>
          <w:i/>
          <w:iCs/>
        </w:rPr>
        <w:t xml:space="preserve"> </w:t>
      </w:r>
      <w:r w:rsidRPr="000A6D58">
        <w:rPr>
          <w:i/>
          <w:iCs/>
        </w:rPr>
        <w:t xml:space="preserve">The </w:t>
      </w:r>
      <w:r w:rsidRPr="00110760">
        <w:rPr>
          <w:i/>
          <w:iCs/>
        </w:rPr>
        <w:t xml:space="preserve">intra-frequency handover </w:t>
      </w:r>
      <w:r w:rsidRPr="000A6D58">
        <w:rPr>
          <w:i/>
          <w:iCs/>
        </w:rPr>
        <w:t xml:space="preserve">definition of no SSB within the </w:t>
      </w:r>
      <w:r>
        <w:rPr>
          <w:i/>
          <w:iCs/>
        </w:rPr>
        <w:t xml:space="preserve">active DL BWP of the </w:t>
      </w:r>
      <w:r w:rsidRPr="000A6D58">
        <w:rPr>
          <w:i/>
          <w:iCs/>
        </w:rPr>
        <w:t>serving/target cell is FFS.</w:t>
      </w:r>
    </w:p>
    <w:p w14:paraId="60B99565" w14:textId="77777777" w:rsidR="00535F36" w:rsidRPr="003E5BAB" w:rsidRDefault="00535F36" w:rsidP="00535F36">
      <w:pPr>
        <w:tabs>
          <w:tab w:val="left" w:pos="7200"/>
        </w:tabs>
      </w:pPr>
      <w:r w:rsidRPr="003E5BAB">
        <w:t>Handover for a RedCap UE is defined as intra-frequency handover if the center frequency and subcarrier spacing (SCS) of the reference SSB of the serving cell is same as the center frequency and SCS of the reference SSB of the target cell, where:</w:t>
      </w:r>
    </w:p>
    <w:p w14:paraId="4AA51F8E" w14:textId="77777777" w:rsidR="00535F36" w:rsidRPr="003E5BAB" w:rsidRDefault="00535F36">
      <w:pPr>
        <w:pStyle w:val="B10"/>
        <w:numPr>
          <w:ilvl w:val="0"/>
          <w:numId w:val="20"/>
        </w:numPr>
        <w:overflowPunct/>
        <w:autoSpaceDE/>
        <w:autoSpaceDN/>
        <w:adjustRightInd/>
        <w:textAlignment w:val="auto"/>
      </w:pPr>
      <w:r w:rsidRPr="003E5BAB">
        <w:t xml:space="preserve">The reference SSB of the serving cell is the SSB in the active </w:t>
      </w:r>
      <w:r>
        <w:t xml:space="preserve">DL </w:t>
      </w:r>
      <w:r w:rsidRPr="003E5BAB">
        <w:t xml:space="preserve">BWP of serving cell </w:t>
      </w:r>
    </w:p>
    <w:p w14:paraId="3BB85896" w14:textId="77777777" w:rsidR="00535F36" w:rsidRPr="003E5BAB" w:rsidRDefault="00535F36">
      <w:pPr>
        <w:pStyle w:val="B10"/>
        <w:numPr>
          <w:ilvl w:val="0"/>
          <w:numId w:val="20"/>
        </w:numPr>
        <w:overflowPunct/>
        <w:autoSpaceDE/>
        <w:autoSpaceDN/>
        <w:adjustRightInd/>
        <w:textAlignment w:val="auto"/>
      </w:pPr>
      <w:r w:rsidRPr="003E5BAB">
        <w:t>The reference SSB of the target cell is the SSB in the first active DL BWP of the target cell upon reconfiguration.</w:t>
      </w:r>
    </w:p>
    <w:p w14:paraId="5A9D84BB" w14:textId="77777777" w:rsidR="00535F36" w:rsidRDefault="00535F36" w:rsidP="00535F36">
      <w:r>
        <w:t>The requirements in this clause apply for the following handover scenarios:</w:t>
      </w:r>
    </w:p>
    <w:p w14:paraId="67F9D9B1" w14:textId="53C75A61" w:rsidR="00535F36" w:rsidRDefault="00535F36">
      <w:pPr>
        <w:pStyle w:val="B10"/>
        <w:numPr>
          <w:ilvl w:val="0"/>
          <w:numId w:val="20"/>
        </w:numPr>
        <w:overflowPunct/>
        <w:autoSpaceDE/>
        <w:autoSpaceDN/>
        <w:adjustRightInd/>
        <w:textAlignment w:val="auto"/>
      </w:pPr>
      <w:r w:rsidRPr="002E0CAF">
        <w:t>Handover to a target cell’s ini</w:t>
      </w:r>
      <w:r>
        <w:t>tial DL BWP associated with CD-SSB;</w:t>
      </w:r>
    </w:p>
    <w:p w14:paraId="77213A62" w14:textId="4BD1FADD" w:rsidR="00535F36" w:rsidRDefault="00535F36">
      <w:pPr>
        <w:pStyle w:val="B10"/>
        <w:numPr>
          <w:ilvl w:val="0"/>
          <w:numId w:val="20"/>
        </w:numPr>
        <w:overflowPunct/>
        <w:autoSpaceDE/>
        <w:autoSpaceDN/>
        <w:adjustRightInd/>
        <w:textAlignment w:val="auto"/>
      </w:pPr>
      <w:r w:rsidRPr="002E0CAF">
        <w:t xml:space="preserve">Handover to a target cell’s Redcap specific </w:t>
      </w:r>
      <w:r>
        <w:t xml:space="preserve">DL </w:t>
      </w:r>
      <w:r w:rsidRPr="002E0CAF">
        <w:t>BWP associated with NCD-SSB</w:t>
      </w:r>
      <w:r>
        <w:t>.</w:t>
      </w:r>
    </w:p>
    <w:p w14:paraId="643FCE7C" w14:textId="77777777" w:rsidR="00535F36" w:rsidRPr="009C5807" w:rsidRDefault="00535F36" w:rsidP="00535F36">
      <w:pPr>
        <w:tabs>
          <w:tab w:val="left" w:pos="7200"/>
        </w:tabs>
      </w:pPr>
    </w:p>
    <w:p w14:paraId="768FEEB5" w14:textId="48282371" w:rsidR="00E51F6C" w:rsidRPr="001E5B35" w:rsidRDefault="00E51F6C" w:rsidP="00E51F6C">
      <w:pPr>
        <w:pStyle w:val="Heading4"/>
        <w:rPr>
          <w:lang w:val="sv-SE" w:eastAsia="zh-CN"/>
        </w:rPr>
      </w:pPr>
      <w:r w:rsidRPr="001E5B35">
        <w:rPr>
          <w:lang w:val="sv-SE" w:eastAsia="zh-CN"/>
        </w:rPr>
        <w:t>6.1</w:t>
      </w:r>
      <w:r>
        <w:rPr>
          <w:lang w:val="sv-SE" w:eastAsia="zh-CN"/>
        </w:rPr>
        <w:t>D</w:t>
      </w:r>
      <w:r w:rsidRPr="001E5B35">
        <w:rPr>
          <w:lang w:val="sv-SE" w:eastAsia="zh-CN"/>
        </w:rPr>
        <w:t>.1.2</w:t>
      </w:r>
      <w:r w:rsidRPr="001E5B35">
        <w:rPr>
          <w:lang w:val="sv-SE" w:eastAsia="zh-CN"/>
        </w:rPr>
        <w:tab/>
        <w:t>NR FR1 - NR FR1 Handover</w:t>
      </w:r>
    </w:p>
    <w:p w14:paraId="2BF02608" w14:textId="4D2A7D9C" w:rsidR="00535F36" w:rsidRDefault="00535F36" w:rsidP="00535F36">
      <w:pPr>
        <w:rPr>
          <w:rFonts w:cs="v4.2.0"/>
        </w:rPr>
      </w:pPr>
      <w:r w:rsidRPr="009C5807">
        <w:t>The requirements in this clause are applicable to both intra-frequency and inter-frequency handovers from NR FR1 cell to NR FR1 cell.</w:t>
      </w:r>
      <w:r>
        <w:t xml:space="preserve"> </w:t>
      </w:r>
    </w:p>
    <w:p w14:paraId="36EFCAB6" w14:textId="77777777" w:rsidR="00535F36" w:rsidRPr="00A40805" w:rsidRDefault="00535F36" w:rsidP="00535F36">
      <w:pPr>
        <w:pStyle w:val="Heading5"/>
      </w:pPr>
      <w:r w:rsidRPr="009C5807">
        <w:t>6.1</w:t>
      </w:r>
      <w:r>
        <w:t>D</w:t>
      </w:r>
      <w:r w:rsidRPr="009C5807">
        <w:t>.1.2.</w:t>
      </w:r>
      <w:r>
        <w:t>1</w:t>
      </w:r>
      <w:r>
        <w:tab/>
      </w:r>
      <w:r w:rsidRPr="00A40805">
        <w:t>Handover delay</w:t>
      </w:r>
    </w:p>
    <w:p w14:paraId="28407EBC" w14:textId="77777777" w:rsidR="00535F36" w:rsidRPr="009C5807" w:rsidRDefault="00535F36" w:rsidP="00535F36">
      <w:pPr>
        <w:rPr>
          <w:rFonts w:cs="v4.2.0"/>
        </w:rPr>
      </w:pPr>
      <w:r w:rsidRPr="009C5807">
        <w:rPr>
          <w:rFonts w:cs="v4.2.0"/>
        </w:rPr>
        <w:t xml:space="preserve">When the UE receives a RRC message implying handover the UE shall be ready to </w:t>
      </w:r>
      <w:r w:rsidRPr="009C5807">
        <w:rPr>
          <w:rFonts w:cs="v4.2.0"/>
          <w:snapToGrid w:val="0"/>
        </w:rPr>
        <w:t>start the transmission of the new uplink PRACH channel</w:t>
      </w:r>
      <w:r w:rsidRPr="009C5807">
        <w:rPr>
          <w:rFonts w:cs="v4.2.0"/>
        </w:rPr>
        <w:t xml:space="preserve"> within D</w:t>
      </w:r>
      <w:r w:rsidRPr="009C5807">
        <w:rPr>
          <w:rFonts w:cs="v4.2.0"/>
          <w:vertAlign w:val="subscript"/>
        </w:rPr>
        <w:t>handover</w:t>
      </w:r>
      <w:r w:rsidRPr="009C5807">
        <w:rPr>
          <w:rFonts w:cs="v4.2.0"/>
        </w:rPr>
        <w:t xml:space="preserve"> </w:t>
      </w:r>
      <w:r w:rsidRPr="009C5807">
        <w:rPr>
          <w:rFonts w:cs="v4.2.0" w:hint="eastAsia"/>
          <w:lang w:val="en-US" w:eastAsia="zh-CN"/>
        </w:rPr>
        <w:t xml:space="preserve">msec </w:t>
      </w:r>
      <w:r w:rsidRPr="009C5807">
        <w:rPr>
          <w:rFonts w:cs="v4.2.0"/>
        </w:rPr>
        <w:t>from the end of the last TTI containing the RRC command.</w:t>
      </w:r>
    </w:p>
    <w:p w14:paraId="4D4ACB3C" w14:textId="77777777" w:rsidR="00535F36" w:rsidRPr="009C5807" w:rsidRDefault="00535F36" w:rsidP="00535F36">
      <w:pPr>
        <w:rPr>
          <w:rFonts w:cs="v4.2.0"/>
        </w:rPr>
      </w:pPr>
      <w:r w:rsidRPr="009C5807">
        <w:rPr>
          <w:rFonts w:cs="v4.2.0"/>
        </w:rPr>
        <w:t>Where:</w:t>
      </w:r>
    </w:p>
    <w:p w14:paraId="4963ADF0" w14:textId="77777777" w:rsidR="00535F36" w:rsidRPr="009C5807" w:rsidRDefault="00535F36" w:rsidP="00535F36">
      <w:pPr>
        <w:rPr>
          <w:rFonts w:cs="v4.2.0"/>
        </w:rPr>
      </w:pPr>
      <w:r w:rsidRPr="009C5807">
        <w:rPr>
          <w:rFonts w:cs="v4.2.0"/>
        </w:rPr>
        <w:t>D</w:t>
      </w:r>
      <w:r w:rsidRPr="009C5807">
        <w:rPr>
          <w:rFonts w:cs="v4.2.0"/>
          <w:vertAlign w:val="subscript"/>
        </w:rPr>
        <w:t>handover</w:t>
      </w:r>
      <w:r w:rsidRPr="009C5807">
        <w:rPr>
          <w:rFonts w:cs="v4.2.0"/>
        </w:rPr>
        <w:t xml:space="preserve"> equals the </w:t>
      </w:r>
      <w:r w:rsidRPr="009C5807">
        <w:rPr>
          <w:rFonts w:cs="v4.2.0" w:hint="eastAsia"/>
          <w:lang w:val="en-US" w:eastAsia="zh-CN"/>
        </w:rPr>
        <w:t>applicable</w:t>
      </w:r>
      <w:r w:rsidRPr="009C5807">
        <w:rPr>
          <w:rFonts w:cs="v4.2.0"/>
        </w:rPr>
        <w:t xml:space="preserve"> RRC procedure delay defined in clause</w:t>
      </w:r>
      <w:r w:rsidRPr="009C5807">
        <w:rPr>
          <w:rFonts w:cs="v4.2.0" w:hint="eastAsia"/>
          <w:lang w:val="en-US" w:eastAsia="zh-CN"/>
        </w:rPr>
        <w:t xml:space="preserve"> </w:t>
      </w:r>
      <w:r w:rsidRPr="009C5807">
        <w:rPr>
          <w:rFonts w:cs="v4.2.0"/>
          <w:lang w:eastAsia="zh-CN"/>
        </w:rPr>
        <w:t>12</w:t>
      </w:r>
      <w:r w:rsidRPr="009C5807">
        <w:rPr>
          <w:rFonts w:cs="v4.2.0"/>
        </w:rPr>
        <w:t xml:space="preserve"> in </w:t>
      </w:r>
      <w:r w:rsidRPr="009C5807">
        <w:t>TS 38.331 [2]</w:t>
      </w:r>
      <w:r w:rsidRPr="009C5807">
        <w:rPr>
          <w:rFonts w:cs="v4.2.0"/>
        </w:rPr>
        <w:t xml:space="preserve"> plus the interruption time stated in clause 6.1</w:t>
      </w:r>
      <w:r>
        <w:rPr>
          <w:rFonts w:cs="v4.2.0"/>
        </w:rPr>
        <w:t>D</w:t>
      </w:r>
      <w:r w:rsidRPr="009C5807">
        <w:rPr>
          <w:rFonts w:cs="v4.2.0"/>
        </w:rPr>
        <w:t>.1.2.2.</w:t>
      </w:r>
    </w:p>
    <w:p w14:paraId="1014B4AB" w14:textId="77777777" w:rsidR="00535F36" w:rsidRPr="009C5807" w:rsidRDefault="00535F36" w:rsidP="00535F36">
      <w:pPr>
        <w:pStyle w:val="Heading5"/>
      </w:pPr>
      <w:r w:rsidRPr="009C5807">
        <w:t>6.1</w:t>
      </w:r>
      <w:r>
        <w:t>D</w:t>
      </w:r>
      <w:r w:rsidRPr="009C5807">
        <w:t>.1.2.2</w:t>
      </w:r>
      <w:r w:rsidRPr="009C5807">
        <w:tab/>
        <w:t>Interruption time</w:t>
      </w:r>
    </w:p>
    <w:p w14:paraId="0563CDDB" w14:textId="77777777" w:rsidR="00535F36" w:rsidRPr="009C5807" w:rsidRDefault="00535F36" w:rsidP="00535F36">
      <w:pPr>
        <w:rPr>
          <w:rFonts w:cs="v4.2.0"/>
        </w:rPr>
      </w:pPr>
      <w:r w:rsidRPr="009C5807">
        <w:rPr>
          <w:rFonts w:cs="v4.2.0"/>
        </w:rPr>
        <w:t>The interruption time is the time between end of the last TTI containing the RRC command on the old PDSCH and the time the UE starts transmission of the new PRACH</w:t>
      </w:r>
      <w:r w:rsidRPr="009C5807">
        <w:rPr>
          <w:rFonts w:eastAsia="MS Mincho" w:cs="v4.2.0"/>
        </w:rPr>
        <w:t>, excluding the RRC procedure delay</w:t>
      </w:r>
      <w:r w:rsidRPr="009C5807">
        <w:rPr>
          <w:rFonts w:cs="v4.2.0"/>
        </w:rPr>
        <w:t>.</w:t>
      </w:r>
    </w:p>
    <w:p w14:paraId="60DCF3D8" w14:textId="77777777" w:rsidR="00535F36" w:rsidRPr="009C5807" w:rsidRDefault="00535F36" w:rsidP="00535F36">
      <w:pPr>
        <w:rPr>
          <w:rFonts w:cs="v4.2.0"/>
          <w:position w:val="-6"/>
        </w:rPr>
      </w:pPr>
      <w:r w:rsidRPr="009C5807">
        <w:rPr>
          <w:rFonts w:cs="v4.2.0"/>
        </w:rPr>
        <w:t>When intra-frequency or inter-frequency handover is commanded, the interruption time shall be less than T</w:t>
      </w:r>
      <w:r w:rsidRPr="009C5807">
        <w:rPr>
          <w:rFonts w:cs="v4.2.0"/>
          <w:vertAlign w:val="subscript"/>
        </w:rPr>
        <w:t>interrupt</w:t>
      </w:r>
    </w:p>
    <w:p w14:paraId="17838288" w14:textId="77777777" w:rsidR="00535F36" w:rsidRPr="009C5807" w:rsidRDefault="00535F36" w:rsidP="00535F36">
      <w:pPr>
        <w:pStyle w:val="EQ"/>
      </w:pPr>
      <w:r w:rsidRPr="009C5807">
        <w:tab/>
      </w:r>
      <w:r w:rsidRPr="009C5807">
        <w:rPr>
          <w:rFonts w:cs="v4.2.0"/>
        </w:rPr>
        <w:t>T</w:t>
      </w:r>
      <w:r w:rsidRPr="009C5807">
        <w:rPr>
          <w:rFonts w:cs="v4.2.0"/>
          <w:vertAlign w:val="subscript"/>
        </w:rPr>
        <w:t>interrupt</w:t>
      </w:r>
      <w:r w:rsidRPr="009C5807">
        <w:t xml:space="preserve"> = T</w:t>
      </w:r>
      <w:r w:rsidRPr="009C5807">
        <w:rPr>
          <w:vertAlign w:val="subscript"/>
        </w:rPr>
        <w:t>search</w:t>
      </w:r>
      <w:r w:rsidRPr="009C5807">
        <w:t xml:space="preserve"> + T</w:t>
      </w:r>
      <w:r w:rsidRPr="009C5807">
        <w:rPr>
          <w:vertAlign w:val="subscript"/>
        </w:rPr>
        <w:t>IU</w:t>
      </w:r>
      <w:r w:rsidRPr="009C5807">
        <w:t xml:space="preserve"> + T</w:t>
      </w:r>
      <w:r w:rsidRPr="009C5807">
        <w:rPr>
          <w:vertAlign w:val="subscript"/>
          <w:lang w:eastAsia="zh-CN"/>
        </w:rPr>
        <w:t>processing</w:t>
      </w:r>
      <w:r w:rsidRPr="009C5807" w:rsidDel="001D62E5">
        <w:rPr>
          <w:lang w:eastAsia="zh-CN"/>
        </w:rPr>
        <w:t xml:space="preserve"> </w:t>
      </w:r>
      <w:r w:rsidRPr="009C5807">
        <w:rPr>
          <w:vertAlign w:val="subscript"/>
          <w:lang w:eastAsia="zh-CN"/>
        </w:rPr>
        <w:t xml:space="preserve"> </w:t>
      </w:r>
      <w:r w:rsidRPr="009C5807">
        <w:rPr>
          <w:lang w:eastAsia="zh-CN"/>
        </w:rPr>
        <w:t>+ T</w:t>
      </w:r>
      <w:r w:rsidRPr="009C5807">
        <w:rPr>
          <w:vertAlign w:val="subscript"/>
          <w:lang w:eastAsia="zh-CN"/>
        </w:rPr>
        <w:t>∆</w:t>
      </w:r>
      <w:r w:rsidRPr="009C5807">
        <w:rPr>
          <w:lang w:eastAsia="zh-CN"/>
        </w:rPr>
        <w:t xml:space="preserve"> + T</w:t>
      </w:r>
      <w:r w:rsidRPr="009C5807">
        <w:rPr>
          <w:vertAlign w:val="subscript"/>
          <w:lang w:eastAsia="zh-CN"/>
        </w:rPr>
        <w:t xml:space="preserve">margin </w:t>
      </w:r>
      <w:r w:rsidRPr="009C5807">
        <w:t>ms</w:t>
      </w:r>
    </w:p>
    <w:p w14:paraId="2B3365D0" w14:textId="77777777" w:rsidR="00535F36" w:rsidRPr="009C5807" w:rsidRDefault="00535F36" w:rsidP="00535F36">
      <w:pPr>
        <w:rPr>
          <w:rFonts w:cs="v4.2.0"/>
        </w:rPr>
      </w:pPr>
      <w:r w:rsidRPr="009C5807">
        <w:rPr>
          <w:rFonts w:cs="v4.2.0"/>
        </w:rPr>
        <w:t>Where:</w:t>
      </w:r>
    </w:p>
    <w:p w14:paraId="3722E8DD" w14:textId="1B9C1746" w:rsidR="00535F36" w:rsidRDefault="00535F36" w:rsidP="00535F36">
      <w:pPr>
        <w:pStyle w:val="B10"/>
      </w:pPr>
      <w:r w:rsidRPr="00AF006B">
        <w:t>T</w:t>
      </w:r>
      <w:r w:rsidRPr="00AF006B">
        <w:rPr>
          <w:vertAlign w:val="subscript"/>
        </w:rPr>
        <w:t>search</w:t>
      </w:r>
      <w:r w:rsidRPr="00AF006B">
        <w:t xml:space="preserve"> is the time required to search the target cell wh</w:t>
      </w:r>
      <w:r>
        <w:t>ich depends on whether</w:t>
      </w:r>
      <w:r w:rsidRPr="00AF006B">
        <w:t xml:space="preserve"> the target cell is already known</w:t>
      </w:r>
      <w:r>
        <w:t xml:space="preserve"> </w:t>
      </w:r>
      <w:r w:rsidRPr="00AF006B">
        <w:t xml:space="preserve">when the handover command is received by the UE. </w:t>
      </w:r>
    </w:p>
    <w:p w14:paraId="514C3423" w14:textId="77777777" w:rsidR="00535F36" w:rsidRPr="003B5740" w:rsidRDefault="00535F36" w:rsidP="00535F36">
      <w:pPr>
        <w:pStyle w:val="B10"/>
        <w:ind w:firstLine="0"/>
      </w:pPr>
      <w:r>
        <w:t>-</w:t>
      </w:r>
      <w:r>
        <w:tab/>
      </w:r>
      <w:r w:rsidRPr="003B5740">
        <w:t>If the target cell is a known intra-frequency cell, T</w:t>
      </w:r>
      <w:r w:rsidRPr="003B5740">
        <w:rPr>
          <w:vertAlign w:val="subscript"/>
        </w:rPr>
        <w:t>search</w:t>
      </w:r>
      <w:r w:rsidRPr="003B5740">
        <w:t xml:space="preserve"> = 0ms. If the target cell is an unknown intra-frequency cell and the target cell Es/Iot</w:t>
      </w:r>
      <w:r w:rsidRPr="003B5740">
        <w:rPr>
          <w:rFonts w:hint="eastAsia"/>
        </w:rPr>
        <w:t>≥</w:t>
      </w:r>
      <w:r w:rsidRPr="003B5740">
        <w:t>-2 dB, then T</w:t>
      </w:r>
      <w:r w:rsidRPr="003B5740">
        <w:rPr>
          <w:vertAlign w:val="subscript"/>
        </w:rPr>
        <w:t>search</w:t>
      </w:r>
      <w:r w:rsidRPr="003B5740">
        <w:t xml:space="preserve"> = 1*T</w:t>
      </w:r>
      <w:r w:rsidRPr="003B5740">
        <w:rPr>
          <w:vertAlign w:val="subscript"/>
        </w:rPr>
        <w:t>rs</w:t>
      </w:r>
      <w:r w:rsidRPr="003B5740" w:rsidDel="000446A6">
        <w:t xml:space="preserve"> </w:t>
      </w:r>
      <w:r w:rsidRPr="003B5740">
        <w:t xml:space="preserve">ms if UE </w:t>
      </w:r>
      <w:r w:rsidRPr="003B5740">
        <w:rPr>
          <w:rFonts w:cs="v4.2.0"/>
        </w:rPr>
        <w:t>is capable of</w:t>
      </w:r>
      <w:r w:rsidRPr="003B5740">
        <w:t xml:space="preserve"> </w:t>
      </w:r>
      <w:r w:rsidRPr="003B5740">
        <w:rPr>
          <w:lang w:eastAsia="zh-CN"/>
        </w:rPr>
        <w:t>2 Rx antennas</w:t>
      </w:r>
      <w:r w:rsidRPr="003B5740">
        <w:t>; T</w:t>
      </w:r>
      <w:r w:rsidRPr="003B5740">
        <w:rPr>
          <w:vertAlign w:val="subscript"/>
        </w:rPr>
        <w:t>search</w:t>
      </w:r>
      <w:r w:rsidRPr="003B5740">
        <w:t xml:space="preserve"> = 2*T</w:t>
      </w:r>
      <w:r w:rsidRPr="003B5740">
        <w:rPr>
          <w:vertAlign w:val="subscript"/>
        </w:rPr>
        <w:t>rs</w:t>
      </w:r>
      <w:r w:rsidRPr="003B5740" w:rsidDel="000446A6">
        <w:t xml:space="preserve"> </w:t>
      </w:r>
      <w:r w:rsidRPr="003B5740">
        <w:t xml:space="preserve">ms if </w:t>
      </w:r>
      <w:r w:rsidRPr="003B5740">
        <w:rPr>
          <w:rFonts w:cs="v4.2.0"/>
        </w:rPr>
        <w:t xml:space="preserve">UE is </w:t>
      </w:r>
      <w:r w:rsidRPr="003B5740">
        <w:rPr>
          <w:lang w:eastAsia="zh-CN"/>
        </w:rPr>
        <w:t>only required to support 1 Rx antenna.</w:t>
      </w:r>
    </w:p>
    <w:p w14:paraId="7378F1FC" w14:textId="4E3596B2" w:rsidR="00535F36" w:rsidRPr="003B5740" w:rsidRDefault="00535F36" w:rsidP="00535F36">
      <w:pPr>
        <w:pStyle w:val="B10"/>
        <w:ind w:left="852"/>
      </w:pPr>
      <w:r w:rsidRPr="003B5740">
        <w:t>-</w:t>
      </w:r>
      <w:r w:rsidRPr="003B5740">
        <w:tab/>
        <w:t xml:space="preserve">If the target cell is a known inter-frequency cell, then </w:t>
      </w:r>
    </w:p>
    <w:p w14:paraId="01E8577F" w14:textId="77777777" w:rsidR="00535F36" w:rsidRPr="003B5740" w:rsidRDefault="00535F36" w:rsidP="00535F36">
      <w:pPr>
        <w:pStyle w:val="B10"/>
        <w:ind w:left="1420"/>
      </w:pPr>
      <w:r w:rsidRPr="003B5740">
        <w:t>if the measured SSB is the target SSB for HO of the target cell, T</w:t>
      </w:r>
      <w:r w:rsidRPr="003B5740">
        <w:rPr>
          <w:vertAlign w:val="subscript"/>
        </w:rPr>
        <w:t>search</w:t>
      </w:r>
      <w:r w:rsidRPr="003B5740">
        <w:t xml:space="preserve"> = 0ms; </w:t>
      </w:r>
    </w:p>
    <w:p w14:paraId="49715BDB" w14:textId="77777777" w:rsidR="00535F36" w:rsidRPr="003B5740" w:rsidRDefault="00535F36" w:rsidP="00535F36">
      <w:pPr>
        <w:pStyle w:val="B10"/>
        <w:ind w:left="1420"/>
      </w:pPr>
      <w:r w:rsidRPr="00A82018">
        <w:t xml:space="preserve">if the measured SSB and the target SSB for HO </w:t>
      </w:r>
      <w:r>
        <w:rPr>
          <w:lang w:eastAsia="ko-KR"/>
        </w:rPr>
        <w:t>belong to the same NR target cell and</w:t>
      </w:r>
      <w:r w:rsidRPr="00A82018">
        <w:t xml:space="preserve"> fulfil the following conditions, T</w:t>
      </w:r>
      <w:r w:rsidRPr="00A82018">
        <w:rPr>
          <w:vertAlign w:val="subscript"/>
        </w:rPr>
        <w:t>search</w:t>
      </w:r>
      <w:r w:rsidRPr="00A82018">
        <w:rPr>
          <w:lang w:eastAsia="zh-CN"/>
        </w:rPr>
        <w:t xml:space="preserve"> = </w:t>
      </w:r>
      <w:r w:rsidRPr="00A82018">
        <w:t>T</w:t>
      </w:r>
      <w:r w:rsidRPr="00A82018">
        <w:rPr>
          <w:vertAlign w:val="subscript"/>
        </w:rPr>
        <w:t>rs</w:t>
      </w:r>
      <w:r w:rsidRPr="00A82018" w:rsidDel="000446A6">
        <w:t xml:space="preserve"> </w:t>
      </w:r>
      <w:r w:rsidRPr="00A82018">
        <w:t>ms:</w:t>
      </w:r>
    </w:p>
    <w:p w14:paraId="1CDDCDA9" w14:textId="77777777" w:rsidR="00535F36" w:rsidRPr="00D70C09" w:rsidRDefault="00535F36">
      <w:pPr>
        <w:pStyle w:val="B10"/>
        <w:numPr>
          <w:ilvl w:val="2"/>
          <w:numId w:val="20"/>
        </w:numPr>
        <w:overflowPunct/>
        <w:autoSpaceDE/>
        <w:autoSpaceDN/>
        <w:adjustRightInd/>
        <w:textAlignment w:val="auto"/>
      </w:pPr>
      <w:r w:rsidRPr="00D70C09">
        <w:t xml:space="preserve">CD-SSB in initial </w:t>
      </w:r>
      <w:r>
        <w:t xml:space="preserve">DL </w:t>
      </w:r>
      <w:r w:rsidRPr="00D70C09">
        <w:t xml:space="preserve">BWP is the measured SSB and NCD-SSB in RedCap specific </w:t>
      </w:r>
      <w:r>
        <w:t xml:space="preserve">DL </w:t>
      </w:r>
      <w:r w:rsidRPr="00D70C09">
        <w:t>BWP is the target SSB for HO</w:t>
      </w:r>
    </w:p>
    <w:p w14:paraId="0427827F" w14:textId="77777777" w:rsidR="00535F36" w:rsidRPr="00D70C09" w:rsidRDefault="00535F36">
      <w:pPr>
        <w:pStyle w:val="B10"/>
        <w:numPr>
          <w:ilvl w:val="2"/>
          <w:numId w:val="20"/>
        </w:numPr>
        <w:overflowPunct/>
        <w:autoSpaceDE/>
        <w:autoSpaceDN/>
        <w:adjustRightInd/>
        <w:textAlignment w:val="auto"/>
      </w:pPr>
      <w:r w:rsidRPr="00D70C09">
        <w:t xml:space="preserve">NCD-SSB in RedCap specific </w:t>
      </w:r>
      <w:r>
        <w:t xml:space="preserve">DL </w:t>
      </w:r>
      <w:r w:rsidRPr="00D70C09">
        <w:t xml:space="preserve">BWP is the measured SSB and CD-SSB in initial </w:t>
      </w:r>
      <w:r>
        <w:t xml:space="preserve">DL </w:t>
      </w:r>
      <w:r w:rsidRPr="00D70C09">
        <w:t>BWP is the target SSB for HO</w:t>
      </w:r>
    </w:p>
    <w:p w14:paraId="7AC5FB27" w14:textId="77777777" w:rsidR="00535F36" w:rsidRPr="00D70C09" w:rsidRDefault="00535F36">
      <w:pPr>
        <w:pStyle w:val="B10"/>
        <w:numPr>
          <w:ilvl w:val="2"/>
          <w:numId w:val="20"/>
        </w:numPr>
        <w:overflowPunct/>
        <w:autoSpaceDE/>
        <w:autoSpaceDN/>
        <w:adjustRightInd/>
        <w:textAlignment w:val="auto"/>
      </w:pPr>
      <w:r w:rsidRPr="00D70C09">
        <w:t xml:space="preserve">Both measured SSB and the target SSB for HO are NCD-SSBs within different RedCap specific </w:t>
      </w:r>
      <w:r>
        <w:t xml:space="preserve">DL </w:t>
      </w:r>
      <w:r w:rsidRPr="00D70C09">
        <w:t>BWPs</w:t>
      </w:r>
    </w:p>
    <w:p w14:paraId="18411024" w14:textId="77777777" w:rsidR="00535F36" w:rsidRDefault="00535F36" w:rsidP="00535F36">
      <w:pPr>
        <w:pStyle w:val="B10"/>
        <w:ind w:left="852" w:firstLine="0"/>
      </w:pPr>
      <w:r w:rsidRPr="003B5740">
        <w:t>Otherwise, the target cell is an unknown inter-frequency cell. In this case, if the target cell Es/Iot</w:t>
      </w:r>
      <w:r w:rsidRPr="003B5740">
        <w:rPr>
          <w:rFonts w:hint="eastAsia"/>
        </w:rPr>
        <w:t>≥</w:t>
      </w:r>
      <w:r w:rsidRPr="003B5740">
        <w:t>-2 dB, then T</w:t>
      </w:r>
      <w:r w:rsidRPr="003B5740">
        <w:rPr>
          <w:vertAlign w:val="subscript"/>
        </w:rPr>
        <w:t>search</w:t>
      </w:r>
      <w:r w:rsidRPr="003B5740">
        <w:t xml:space="preserve"> = 3* T</w:t>
      </w:r>
      <w:r w:rsidRPr="003B5740">
        <w:rPr>
          <w:vertAlign w:val="subscript"/>
        </w:rPr>
        <w:t>rs</w:t>
      </w:r>
      <w:r w:rsidRPr="003B5740">
        <w:t xml:space="preserve"> ms if </w:t>
      </w:r>
      <w:r>
        <w:t xml:space="preserve">the </w:t>
      </w:r>
      <w:r w:rsidRPr="003B5740">
        <w:t xml:space="preserve">UE </w:t>
      </w:r>
      <w:r w:rsidRPr="003B5740">
        <w:rPr>
          <w:rFonts w:cs="v4.2.0"/>
        </w:rPr>
        <w:t xml:space="preserve">is </w:t>
      </w:r>
      <w:r>
        <w:rPr>
          <w:rFonts w:cs="v4.2.0"/>
        </w:rPr>
        <w:t xml:space="preserve">operating with </w:t>
      </w:r>
      <w:r w:rsidRPr="003B5740">
        <w:rPr>
          <w:lang w:eastAsia="zh-CN"/>
        </w:rPr>
        <w:t>2 Rx antenna</w:t>
      </w:r>
      <w:r w:rsidRPr="003B5740">
        <w:t>s; T</w:t>
      </w:r>
      <w:r w:rsidRPr="003B5740">
        <w:rPr>
          <w:vertAlign w:val="subscript"/>
        </w:rPr>
        <w:t>search</w:t>
      </w:r>
      <w:r w:rsidRPr="003B5740">
        <w:t xml:space="preserve"> = 5*T</w:t>
      </w:r>
      <w:r w:rsidRPr="003B5740">
        <w:rPr>
          <w:vertAlign w:val="subscript"/>
        </w:rPr>
        <w:t>rs</w:t>
      </w:r>
      <w:r w:rsidRPr="003B5740" w:rsidDel="000446A6">
        <w:t xml:space="preserve"> </w:t>
      </w:r>
      <w:r w:rsidRPr="003B5740">
        <w:t xml:space="preserve">ms if </w:t>
      </w:r>
      <w:r w:rsidRPr="003B5740">
        <w:rPr>
          <w:rFonts w:cs="v4.2.0"/>
        </w:rPr>
        <w:t xml:space="preserve">UE is </w:t>
      </w:r>
      <w:r>
        <w:rPr>
          <w:rFonts w:cs="v4.2.0"/>
        </w:rPr>
        <w:t>operating with only</w:t>
      </w:r>
      <w:r w:rsidRPr="003B5740">
        <w:rPr>
          <w:lang w:eastAsia="zh-CN"/>
        </w:rPr>
        <w:t xml:space="preserve"> 1 Rx antenna</w:t>
      </w:r>
      <w:r w:rsidRPr="003B5740">
        <w:t>.</w:t>
      </w:r>
    </w:p>
    <w:p w14:paraId="2463DEAC" w14:textId="711BF702" w:rsidR="00535F36" w:rsidRDefault="00535F36" w:rsidP="00535F36">
      <w:pPr>
        <w:pStyle w:val="B10"/>
        <w:ind w:firstLine="0"/>
      </w:pPr>
      <w:r w:rsidRPr="00AF006B">
        <w:t>Regardless of whether DRX is in use by the UE, T</w:t>
      </w:r>
      <w:r w:rsidRPr="00AF006B">
        <w:rPr>
          <w:vertAlign w:val="subscript"/>
        </w:rPr>
        <w:t>search</w:t>
      </w:r>
      <w:r w:rsidRPr="00AF006B">
        <w:t xml:space="preserve"> shall still be based on non-DRX target cell search times.</w:t>
      </w:r>
    </w:p>
    <w:p w14:paraId="2662402E" w14:textId="77777777" w:rsidR="00535F36" w:rsidRPr="009C5807" w:rsidRDefault="00535F36" w:rsidP="00535F36">
      <w:pPr>
        <w:pStyle w:val="B10"/>
        <w:ind w:left="284" w:firstLine="0"/>
      </w:pPr>
      <w:r>
        <w:t>T</w:t>
      </w:r>
      <w:r>
        <w:rPr>
          <w:vertAlign w:val="subscript"/>
        </w:rPr>
        <w:t>∆</w:t>
      </w:r>
      <w:r>
        <w:t xml:space="preserve"> is time for fine time tracking and acquiring full timing information of the target cell. T</w:t>
      </w:r>
      <w:r>
        <w:rPr>
          <w:vertAlign w:val="subscript"/>
        </w:rPr>
        <w:t>∆</w:t>
      </w:r>
      <w:r>
        <w:t xml:space="preserve"> = T</w:t>
      </w:r>
      <w:r>
        <w:rPr>
          <w:vertAlign w:val="subscript"/>
        </w:rPr>
        <w:t xml:space="preserve">rs </w:t>
      </w:r>
      <w:r>
        <w:t>for both known and unknown target cell.</w:t>
      </w:r>
    </w:p>
    <w:p w14:paraId="2244FA6E" w14:textId="77777777" w:rsidR="00535F36" w:rsidRPr="009C5807" w:rsidRDefault="00535F36" w:rsidP="00535F36">
      <w:pPr>
        <w:pStyle w:val="B10"/>
      </w:pPr>
      <w:r w:rsidRPr="009C5807">
        <w:t>T</w:t>
      </w:r>
      <w:r w:rsidRPr="009C5807">
        <w:rPr>
          <w:vertAlign w:val="subscript"/>
          <w:lang w:eastAsia="zh-CN"/>
        </w:rPr>
        <w:t>processing</w:t>
      </w:r>
      <w:r w:rsidRPr="009C5807">
        <w:t xml:space="preserve"> is time for UE processing. T</w:t>
      </w:r>
      <w:r w:rsidRPr="009C5807">
        <w:rPr>
          <w:vertAlign w:val="subscript"/>
          <w:lang w:eastAsia="zh-CN"/>
        </w:rPr>
        <w:t>processing</w:t>
      </w:r>
      <w:r w:rsidRPr="009C5807">
        <w:t xml:space="preserve"> can be up to 20ms.</w:t>
      </w:r>
    </w:p>
    <w:p w14:paraId="4B482002" w14:textId="77777777" w:rsidR="00535F36" w:rsidRPr="009C5807" w:rsidRDefault="00535F36" w:rsidP="00535F36">
      <w:pPr>
        <w:pStyle w:val="B10"/>
      </w:pPr>
      <w:r w:rsidRPr="009C5807">
        <w:rPr>
          <w:lang w:eastAsia="zh-CN"/>
        </w:rPr>
        <w:t>T</w:t>
      </w:r>
      <w:r w:rsidRPr="009C5807">
        <w:rPr>
          <w:vertAlign w:val="subscript"/>
          <w:lang w:eastAsia="zh-CN"/>
        </w:rPr>
        <w:t xml:space="preserve">margin </w:t>
      </w:r>
      <w:r w:rsidRPr="009C5807">
        <w:rPr>
          <w:lang w:eastAsia="zh-CN"/>
        </w:rPr>
        <w:t>is time for SSB post-processing. T</w:t>
      </w:r>
      <w:r w:rsidRPr="009C5807">
        <w:rPr>
          <w:vertAlign w:val="subscript"/>
          <w:lang w:eastAsia="zh-CN"/>
        </w:rPr>
        <w:t xml:space="preserve">margin </w:t>
      </w:r>
      <w:r w:rsidRPr="009C5807">
        <w:rPr>
          <w:lang w:eastAsia="zh-CN"/>
        </w:rPr>
        <w:t>can be up to 2ms.</w:t>
      </w:r>
    </w:p>
    <w:p w14:paraId="2900C299" w14:textId="77777777" w:rsidR="00535F36" w:rsidRPr="009C5807" w:rsidRDefault="00535F36" w:rsidP="00535F36">
      <w:pPr>
        <w:pStyle w:val="B10"/>
        <w:ind w:left="284" w:firstLine="0"/>
        <w:rPr>
          <w:lang w:eastAsia="zh-CN"/>
        </w:rPr>
      </w:pPr>
      <w:r w:rsidRPr="009C5807">
        <w:t>T</w:t>
      </w:r>
      <w:r w:rsidRPr="009C5807">
        <w:rPr>
          <w:vertAlign w:val="subscript"/>
        </w:rPr>
        <w:t>IU</w:t>
      </w:r>
      <w:r w:rsidRPr="009C5807">
        <w:t xml:space="preserve"> is the interruption uncertainty </w:t>
      </w:r>
      <w:r w:rsidRPr="009C5807">
        <w:rPr>
          <w:lang w:eastAsia="zh-CN"/>
        </w:rPr>
        <w:t>in acquiring the first available PRACH occasion in the new cell</w:t>
      </w:r>
      <w:r w:rsidRPr="009C5807">
        <w:t>. T</w:t>
      </w:r>
      <w:r w:rsidRPr="009C5807">
        <w:rPr>
          <w:vertAlign w:val="subscript"/>
        </w:rPr>
        <w:t>IU</w:t>
      </w:r>
      <w:r w:rsidRPr="009C5807">
        <w:t xml:space="preserve"> can be up to the summation of SSB to PRACH occasion association period and 10 ms. SSB to PRACH occasion associated period is defined in the table 8.1-1 of TS 38.213 [3].</w:t>
      </w:r>
    </w:p>
    <w:p w14:paraId="1D362134" w14:textId="58DFFFC3" w:rsidR="00535F36" w:rsidRDefault="00535F36" w:rsidP="00535F36">
      <w:pPr>
        <w:pStyle w:val="B10"/>
        <w:ind w:left="284" w:firstLine="0"/>
      </w:pPr>
      <w:r w:rsidRPr="00C76CE2">
        <w:t>T</w:t>
      </w:r>
      <w:r w:rsidRPr="00C76CE2">
        <w:rPr>
          <w:vertAlign w:val="subscript"/>
        </w:rPr>
        <w:t>rs</w:t>
      </w:r>
      <w:r w:rsidRPr="00C76CE2">
        <w:t xml:space="preserve"> is the SMTC periodicity of the target NR cell if the UE has been provided with an SMTC configuration for the target cellin the handover command, otherwise</w:t>
      </w:r>
      <w:r>
        <w:t>,</w:t>
      </w:r>
    </w:p>
    <w:p w14:paraId="40A49584" w14:textId="77777777" w:rsidR="00535F36" w:rsidRDefault="00535F36" w:rsidP="00535F36">
      <w:pPr>
        <w:pStyle w:val="B10"/>
      </w:pPr>
      <w:r>
        <w:t>-</w:t>
      </w:r>
      <w:r>
        <w:tab/>
      </w:r>
      <w:r w:rsidRPr="00797B02">
        <w:t>T</w:t>
      </w:r>
      <w:r w:rsidRPr="00797B02">
        <w:rPr>
          <w:vertAlign w:val="subscript"/>
        </w:rPr>
        <w:t>rs</w:t>
      </w:r>
      <w:r w:rsidRPr="00797B02">
        <w:t xml:space="preserve"> is the SMTC configured in the measObjectNR having the same SSB frequency and subcarrier spacing as NCD-SSB indicated by nonCellDefiningSSB-r17</w:t>
      </w:r>
      <w:r w:rsidRPr="00797B02">
        <w:rPr>
          <w:szCs w:val="22"/>
          <w:lang w:eastAsia="sv-SE"/>
        </w:rPr>
        <w:t xml:space="preserve"> if the first active DL BWP included in handover command is configured with </w:t>
      </w:r>
      <w:r w:rsidRPr="00797B02">
        <w:rPr>
          <w:iCs/>
          <w:szCs w:val="22"/>
          <w:lang w:eastAsia="sv-SE"/>
        </w:rPr>
        <w:t xml:space="preserve">nonCellDefiningSSB-r17, otherwise, as </w:t>
      </w:r>
      <w:r w:rsidRPr="00797B02">
        <w:rPr>
          <w:szCs w:val="22"/>
          <w:lang w:eastAsia="sv-SE"/>
        </w:rPr>
        <w:t xml:space="preserve">CD-SSB indicated by </w:t>
      </w:r>
      <w:r w:rsidRPr="00A40805">
        <w:rPr>
          <w:i/>
          <w:szCs w:val="22"/>
          <w:lang w:eastAsia="sv-SE"/>
        </w:rPr>
        <w:t>absoluteFrequencySSB</w:t>
      </w:r>
      <w:r w:rsidRPr="00797B02">
        <w:rPr>
          <w:szCs w:val="22"/>
          <w:lang w:eastAsia="sv-SE"/>
        </w:rPr>
        <w:t xml:space="preserve"> in </w:t>
      </w:r>
      <w:r w:rsidRPr="00A40805">
        <w:rPr>
          <w:i/>
          <w:szCs w:val="22"/>
          <w:lang w:eastAsia="sv-SE"/>
        </w:rPr>
        <w:t>frequencyInfoDL</w:t>
      </w:r>
      <w:r w:rsidRPr="00797B02">
        <w:rPr>
          <w:iCs/>
          <w:szCs w:val="22"/>
          <w:lang w:eastAsia="sv-SE"/>
        </w:rPr>
        <w:t xml:space="preserve"> in handover command.</w:t>
      </w:r>
    </w:p>
    <w:p w14:paraId="0508C9B1" w14:textId="3EF800EE" w:rsidR="00535F36" w:rsidRDefault="00535F36" w:rsidP="00535F36">
      <w:pPr>
        <w:pStyle w:val="B10"/>
      </w:pPr>
      <w:r w:rsidRPr="007E64A1">
        <w:t>-</w:t>
      </w:r>
      <w:r w:rsidRPr="00957751">
        <w:tab/>
      </w:r>
      <w:r w:rsidRPr="00C76CE2">
        <w:t>If the UE is not provided SMTC configuration or measurement object on this frequency, the requirement in this clause is applied with T</w:t>
      </w:r>
      <w:r w:rsidRPr="00C76CE2">
        <w:rPr>
          <w:vertAlign w:val="subscript"/>
        </w:rPr>
        <w:t>rs</w:t>
      </w:r>
      <w:r w:rsidRPr="00C76CE2">
        <w:t xml:space="preserve">=5ms assuming the SSB transmission periodicity is 5ms. There is no requirement if the SSB transmission periodicity is not 5ms. If the UE has been provided with higher layer in TS 38.331 [2] signaling of </w:t>
      </w:r>
      <w:r w:rsidRPr="00C76CE2">
        <w:rPr>
          <w:i/>
        </w:rPr>
        <w:t>smtc2</w:t>
      </w:r>
      <w:r w:rsidRPr="00C76CE2">
        <w:rPr>
          <w:b/>
        </w:rPr>
        <w:t xml:space="preserve"> </w:t>
      </w:r>
      <w:r w:rsidRPr="00C76CE2">
        <w:t>prior to the handover command, T</w:t>
      </w:r>
      <w:r w:rsidRPr="00C76CE2">
        <w:rPr>
          <w:vertAlign w:val="subscript"/>
        </w:rPr>
        <w:t>rs</w:t>
      </w:r>
      <w:r w:rsidRPr="00C76CE2">
        <w:t xml:space="preserve"> follows </w:t>
      </w:r>
      <w:r w:rsidRPr="00C76CE2">
        <w:rPr>
          <w:i/>
        </w:rPr>
        <w:t>smtc1</w:t>
      </w:r>
      <w:r w:rsidRPr="00C76CE2">
        <w:t xml:space="preserve"> or </w:t>
      </w:r>
      <w:r w:rsidRPr="00C76CE2">
        <w:rPr>
          <w:i/>
        </w:rPr>
        <w:t>smtc2</w:t>
      </w:r>
      <w:r w:rsidRPr="00C76CE2">
        <w:t xml:space="preserve"> according to the physical cell ID of the target cell.</w:t>
      </w:r>
    </w:p>
    <w:p w14:paraId="3D2E2B85" w14:textId="77777777" w:rsidR="00535F36" w:rsidRDefault="00535F36" w:rsidP="00535F36">
      <w:r>
        <w:t xml:space="preserve">For RedCap UE with HD-FDD, the handover requirements are met provided that </w:t>
      </w:r>
    </w:p>
    <w:p w14:paraId="2F486B34" w14:textId="36114647" w:rsidR="00535F36" w:rsidRPr="00573D2A" w:rsidRDefault="00535F36" w:rsidP="00535F36">
      <w:pPr>
        <w:pStyle w:val="B10"/>
      </w:pPr>
      <w:r>
        <w:rPr>
          <w:lang w:eastAsia="ko-KR"/>
        </w:rPr>
        <w:t>-</w:t>
      </w:r>
      <w:r>
        <w:rPr>
          <w:lang w:eastAsia="ko-KR"/>
        </w:rPr>
        <w:tab/>
      </w:r>
      <w:r>
        <w:t xml:space="preserve">SSB is available </w:t>
      </w:r>
      <w:r>
        <w:rPr>
          <w:lang w:eastAsia="sv-SE"/>
        </w:rPr>
        <w:t xml:space="preserve">at the UE once every SMTC period during </w:t>
      </w:r>
      <w:r w:rsidRPr="00AF006B">
        <w:t>T</w:t>
      </w:r>
      <w:r w:rsidRPr="00AF006B">
        <w:rPr>
          <w:vertAlign w:val="subscript"/>
        </w:rPr>
        <w:t>search</w:t>
      </w:r>
    </w:p>
    <w:p w14:paraId="08457439" w14:textId="5C40259E" w:rsidR="00535F36" w:rsidRPr="00573D2A" w:rsidRDefault="00535F36" w:rsidP="00535F36">
      <w:pPr>
        <w:pStyle w:val="B10"/>
      </w:pPr>
      <w:r>
        <w:rPr>
          <w:lang w:eastAsia="ko-KR"/>
        </w:rPr>
        <w:t>-</w:t>
      </w:r>
      <w:r>
        <w:rPr>
          <w:lang w:eastAsia="ko-KR"/>
        </w:rPr>
        <w:tab/>
      </w:r>
      <w:r w:rsidRPr="00573D2A">
        <w:t xml:space="preserve">One SSB is available during </w:t>
      </w:r>
      <w:r>
        <w:t>T</w:t>
      </w:r>
      <w:r>
        <w:rPr>
          <w:vertAlign w:val="subscript"/>
        </w:rPr>
        <w:t>∆</w:t>
      </w:r>
    </w:p>
    <w:p w14:paraId="6B886960" w14:textId="23F012FD" w:rsidR="00535F36" w:rsidRPr="00573D2A" w:rsidRDefault="00535F36" w:rsidP="00535F36">
      <w:pPr>
        <w:pStyle w:val="B10"/>
      </w:pPr>
      <w:r>
        <w:rPr>
          <w:lang w:eastAsia="ko-KR"/>
        </w:rPr>
        <w:t>-</w:t>
      </w:r>
      <w:r>
        <w:rPr>
          <w:lang w:eastAsia="ko-KR"/>
        </w:rPr>
        <w:tab/>
      </w:r>
      <w:r w:rsidRPr="00573D2A">
        <w:t>One SSB is available</w:t>
      </w:r>
      <w:r>
        <w:t xml:space="preserve"> </w:t>
      </w:r>
      <w:r w:rsidRPr="00573D2A">
        <w:t xml:space="preserve">during </w:t>
      </w:r>
      <w:r w:rsidRPr="009C5807">
        <w:t>T</w:t>
      </w:r>
      <w:r w:rsidRPr="009C5807">
        <w:rPr>
          <w:vertAlign w:val="subscript"/>
        </w:rPr>
        <w:t>IU</w:t>
      </w:r>
      <w:r>
        <w:rPr>
          <w:vertAlign w:val="subscript"/>
        </w:rPr>
        <w:t>.</w:t>
      </w:r>
    </w:p>
    <w:p w14:paraId="7ADF0C6D" w14:textId="77777777" w:rsidR="00535F36" w:rsidRPr="009C5807" w:rsidRDefault="00535F36" w:rsidP="00535F36">
      <w:pPr>
        <w:rPr>
          <w:lang w:eastAsia="ko-KR"/>
        </w:rPr>
      </w:pPr>
      <w:r>
        <w:rPr>
          <w:rFonts w:cs="v4.2.0"/>
          <w:lang w:eastAsia="zh-CN"/>
        </w:rPr>
        <w:t>[</w:t>
      </w:r>
      <w:r w:rsidRPr="009C5807">
        <w:rPr>
          <w:rFonts w:cs="v4.2.0"/>
          <w:lang w:eastAsia="zh-CN"/>
        </w:rPr>
        <w:t>In FR</w:t>
      </w:r>
      <w:r>
        <w:rPr>
          <w:rFonts w:cs="v4.2.0"/>
          <w:lang w:eastAsia="zh-CN"/>
        </w:rPr>
        <w:t>1</w:t>
      </w:r>
      <w:r w:rsidRPr="009C5807">
        <w:rPr>
          <w:rFonts w:cs="v4.2.0"/>
          <w:lang w:eastAsia="zh-CN"/>
        </w:rPr>
        <w:t>, the target cell</w:t>
      </w:r>
      <w:r w:rsidRPr="009C5807">
        <w:rPr>
          <w:rFonts w:cs="v4.2.0"/>
          <w:lang w:eastAsia="ko-KR"/>
        </w:rPr>
        <w:t xml:space="preserve"> is known if it </w:t>
      </w:r>
      <w:r w:rsidRPr="009C5807">
        <w:rPr>
          <w:lang w:eastAsia="ko-KR"/>
        </w:rPr>
        <w:t>has been meeting the following conditions:</w:t>
      </w:r>
    </w:p>
    <w:p w14:paraId="59ECB1CC" w14:textId="77777777" w:rsidR="00535F36" w:rsidRPr="00A82018" w:rsidRDefault="00535F36" w:rsidP="00535F36">
      <w:pPr>
        <w:pStyle w:val="B10"/>
        <w:rPr>
          <w:lang w:eastAsia="ko-KR"/>
        </w:rPr>
      </w:pPr>
      <w:r w:rsidRPr="00A82018">
        <w:rPr>
          <w:lang w:eastAsia="ko-KR"/>
        </w:rPr>
        <w:t>-</w:t>
      </w:r>
      <w:r w:rsidRPr="00A82018">
        <w:rPr>
          <w:lang w:eastAsia="ko-KR"/>
        </w:rPr>
        <w:tab/>
        <w:t>At least o</w:t>
      </w:r>
      <w:r w:rsidRPr="00A82018">
        <w:t>ne of the SSBs measured</w:t>
      </w:r>
      <w:r w:rsidRPr="00A82018">
        <w:rPr>
          <w:lang w:eastAsia="ko-KR"/>
        </w:rPr>
        <w:t xml:space="preserve"> </w:t>
      </w:r>
      <w:r>
        <w:rPr>
          <w:lang w:eastAsia="ko-KR"/>
        </w:rPr>
        <w:t>belongs to the same NR target cell</w:t>
      </w:r>
      <w:r w:rsidRPr="00A82018">
        <w:t xml:space="preserve">, </w:t>
      </w:r>
    </w:p>
    <w:p w14:paraId="686DD738" w14:textId="77777777" w:rsidR="00535F36" w:rsidRPr="00A82018" w:rsidRDefault="00535F36" w:rsidP="00535F36">
      <w:pPr>
        <w:pStyle w:val="B10"/>
        <w:rPr>
          <w:lang w:eastAsia="ko-KR"/>
        </w:rPr>
      </w:pPr>
      <w:r w:rsidRPr="00A82018">
        <w:rPr>
          <w:lang w:eastAsia="ko-KR"/>
        </w:rPr>
        <w:t>-</w:t>
      </w:r>
      <w:r w:rsidRPr="00A82018">
        <w:rPr>
          <w:lang w:eastAsia="ko-KR"/>
        </w:rPr>
        <w:tab/>
        <w:t>During the last 5 seconds before the reception of the handover command:</w:t>
      </w:r>
    </w:p>
    <w:p w14:paraId="58E65FB3" w14:textId="77777777" w:rsidR="00535F36" w:rsidRPr="00A82018" w:rsidRDefault="00535F36" w:rsidP="00535F36">
      <w:pPr>
        <w:pStyle w:val="B20"/>
        <w:rPr>
          <w:lang w:eastAsia="ko-KR"/>
        </w:rPr>
      </w:pPr>
      <w:r w:rsidRPr="00A82018">
        <w:rPr>
          <w:lang w:eastAsia="ko-KR"/>
        </w:rPr>
        <w:t>-</w:t>
      </w:r>
      <w:r w:rsidRPr="00A82018">
        <w:rPr>
          <w:lang w:eastAsia="ko-KR"/>
        </w:rPr>
        <w:tab/>
        <w:t xml:space="preserve">at least one of the SSBs measured which </w:t>
      </w:r>
      <w:r>
        <w:rPr>
          <w:lang w:eastAsia="ko-KR"/>
        </w:rPr>
        <w:t xml:space="preserve">belongs to the same NR target cell </w:t>
      </w:r>
      <w:r w:rsidRPr="00A82018">
        <w:rPr>
          <w:lang w:eastAsia="ko-KR"/>
        </w:rPr>
        <w:t xml:space="preserve">remains detectable according to the </w:t>
      </w:r>
      <w:r w:rsidRPr="00A82018">
        <w:t xml:space="preserve">cell identification requirements </w:t>
      </w:r>
      <w:r>
        <w:t>as</w:t>
      </w:r>
      <w:r w:rsidRPr="00A82018">
        <w:t xml:space="preserve"> described in clause 9.2B for intra-frequency </w:t>
      </w:r>
      <w:r>
        <w:t xml:space="preserve">measurements </w:t>
      </w:r>
      <w:r w:rsidRPr="00A82018">
        <w:t xml:space="preserve">and clause 9.3B for inter-frequency </w:t>
      </w:r>
      <w:r>
        <w:t>measurements</w:t>
      </w:r>
      <w:r w:rsidRPr="00A82018">
        <w:rPr>
          <w:lang w:eastAsia="ko-KR"/>
        </w:rPr>
        <w:t>,</w:t>
      </w:r>
    </w:p>
    <w:p w14:paraId="18F2467F" w14:textId="77777777" w:rsidR="00535F36" w:rsidRPr="009C5807" w:rsidRDefault="00535F36" w:rsidP="00535F36">
      <w:pPr>
        <w:pStyle w:val="B10"/>
        <w:ind w:left="285" w:hanging="1"/>
        <w:rPr>
          <w:lang w:eastAsia="ko-KR"/>
        </w:rPr>
      </w:pPr>
      <w:r w:rsidRPr="00A82018">
        <w:rPr>
          <w:lang w:eastAsia="ko-KR"/>
        </w:rPr>
        <w:t>-</w:t>
      </w:r>
      <w:r w:rsidRPr="00A82018">
        <w:rPr>
          <w:lang w:eastAsia="ko-KR"/>
        </w:rPr>
        <w:tab/>
      </w:r>
      <w:r>
        <w:rPr>
          <w:lang w:eastAsia="ko-KR"/>
        </w:rPr>
        <w:t xml:space="preserve">The reference SSB of </w:t>
      </w:r>
      <w:r w:rsidRPr="00A82018">
        <w:rPr>
          <w:lang w:eastAsia="ko-KR"/>
        </w:rPr>
        <w:t xml:space="preserve">the </w:t>
      </w:r>
      <w:r w:rsidRPr="00A82018">
        <w:t xml:space="preserve">NR target cell </w:t>
      </w:r>
      <w:r w:rsidRPr="00A82018">
        <w:rPr>
          <w:lang w:eastAsia="ko-KR"/>
        </w:rPr>
        <w:t xml:space="preserve">also remains detectable during the handover delay according to the </w:t>
      </w:r>
      <w:r w:rsidRPr="00A82018">
        <w:t>cell identification requirements are described in clause 9.2B for intra-frequency handover and clause 9.3B for inter-frequency handover</w:t>
      </w:r>
      <w:r w:rsidRPr="00A82018">
        <w:rPr>
          <w:lang w:eastAsia="ko-KR"/>
        </w:rPr>
        <w:t>.</w:t>
      </w:r>
    </w:p>
    <w:p w14:paraId="21874244" w14:textId="6A0FB252" w:rsidR="00535F36" w:rsidRDefault="00535F36" w:rsidP="00535F36">
      <w:pPr>
        <w:rPr>
          <w:lang w:eastAsia="ko-KR"/>
        </w:rPr>
      </w:pPr>
      <w:r>
        <w:rPr>
          <w:lang w:eastAsia="ko-KR"/>
        </w:rPr>
        <w:t>O</w:t>
      </w:r>
      <w:r w:rsidRPr="009C5807">
        <w:rPr>
          <w:lang w:eastAsia="ko-KR"/>
        </w:rPr>
        <w:t>therwise, it is unknown.</w:t>
      </w:r>
      <w:r>
        <w:rPr>
          <w:lang w:eastAsia="ko-KR"/>
        </w:rPr>
        <w:t>]</w:t>
      </w:r>
    </w:p>
    <w:p w14:paraId="7738DA37" w14:textId="77777777" w:rsidR="00E17DC3" w:rsidRPr="00B036D5" w:rsidRDefault="00E17DC3" w:rsidP="00535F36">
      <w:pPr>
        <w:rPr>
          <w:lang w:val="en-US" w:eastAsia="zh-CN"/>
        </w:rPr>
      </w:pPr>
    </w:p>
    <w:p w14:paraId="4B183385" w14:textId="44C679A0" w:rsidR="00E51F6C" w:rsidRPr="001E5B35" w:rsidRDefault="00E51F6C" w:rsidP="00E51F6C">
      <w:pPr>
        <w:pStyle w:val="Heading4"/>
        <w:rPr>
          <w:lang w:val="sv-SE" w:eastAsia="zh-CN"/>
        </w:rPr>
      </w:pPr>
      <w:r w:rsidRPr="001E5B35">
        <w:rPr>
          <w:lang w:val="sv-SE" w:eastAsia="zh-CN"/>
        </w:rPr>
        <w:t>6.1</w:t>
      </w:r>
      <w:r>
        <w:rPr>
          <w:lang w:val="sv-SE" w:eastAsia="zh-CN"/>
        </w:rPr>
        <w:t>D</w:t>
      </w:r>
      <w:r w:rsidRPr="001E5B35">
        <w:rPr>
          <w:lang w:val="sv-SE" w:eastAsia="zh-CN"/>
        </w:rPr>
        <w:t>.1.3</w:t>
      </w:r>
      <w:r w:rsidRPr="001E5B35">
        <w:rPr>
          <w:lang w:val="sv-SE" w:eastAsia="zh-CN"/>
        </w:rPr>
        <w:tab/>
        <w:t>NR FR2- NR FR2 Handover</w:t>
      </w:r>
    </w:p>
    <w:p w14:paraId="104930BC" w14:textId="6A9682F5" w:rsidR="00E17DC3" w:rsidRDefault="00E17DC3" w:rsidP="00E17DC3">
      <w:pPr>
        <w:rPr>
          <w:rFonts w:cs="v4.2.0"/>
        </w:rPr>
      </w:pPr>
      <w:r w:rsidRPr="009C5807">
        <w:t>The requirements in this clause are applicable to both intra-frequency and inter-frequency handovers from NR FR</w:t>
      </w:r>
      <w:r>
        <w:t>2</w:t>
      </w:r>
      <w:r w:rsidRPr="009C5807">
        <w:t xml:space="preserve"> cell to NR FR</w:t>
      </w:r>
      <w:r>
        <w:t>2</w:t>
      </w:r>
      <w:r w:rsidRPr="009C5807">
        <w:t xml:space="preserve"> cell.</w:t>
      </w:r>
      <w:r>
        <w:t xml:space="preserve"> </w:t>
      </w:r>
    </w:p>
    <w:p w14:paraId="62DF607B" w14:textId="77777777" w:rsidR="00E17DC3" w:rsidRPr="000713A4" w:rsidRDefault="00E17DC3" w:rsidP="00E17DC3">
      <w:pPr>
        <w:pStyle w:val="Heading5"/>
      </w:pPr>
      <w:r w:rsidRPr="009C5807">
        <w:t>6.1</w:t>
      </w:r>
      <w:r>
        <w:t>D</w:t>
      </w:r>
      <w:r w:rsidRPr="009C5807">
        <w:t>.1.</w:t>
      </w:r>
      <w:r>
        <w:t>3</w:t>
      </w:r>
      <w:r w:rsidRPr="009C5807">
        <w:t>.</w:t>
      </w:r>
      <w:r>
        <w:t>1</w:t>
      </w:r>
      <w:r>
        <w:tab/>
      </w:r>
      <w:r w:rsidRPr="000713A4">
        <w:t>Handover delay</w:t>
      </w:r>
    </w:p>
    <w:p w14:paraId="2E8533C3" w14:textId="77777777" w:rsidR="00E17DC3" w:rsidRPr="009C5807" w:rsidRDefault="00E17DC3" w:rsidP="00E17DC3">
      <w:pPr>
        <w:rPr>
          <w:rFonts w:cs="v4.2.0"/>
        </w:rPr>
      </w:pPr>
      <w:r w:rsidRPr="009C5807">
        <w:rPr>
          <w:rFonts w:cs="v4.2.0"/>
        </w:rPr>
        <w:t xml:space="preserve">When the UE receives a RRC message implying handover the UE shall be ready to </w:t>
      </w:r>
      <w:r w:rsidRPr="009C5807">
        <w:rPr>
          <w:rFonts w:cs="v4.2.0"/>
          <w:snapToGrid w:val="0"/>
        </w:rPr>
        <w:t>start the transmission of the new uplink PRACH channel</w:t>
      </w:r>
      <w:r w:rsidRPr="009C5807">
        <w:rPr>
          <w:rFonts w:cs="v4.2.0"/>
        </w:rPr>
        <w:t xml:space="preserve"> within D</w:t>
      </w:r>
      <w:r w:rsidRPr="009C5807">
        <w:rPr>
          <w:rFonts w:cs="v4.2.0"/>
          <w:vertAlign w:val="subscript"/>
        </w:rPr>
        <w:t>handover</w:t>
      </w:r>
      <w:r w:rsidRPr="009C5807">
        <w:rPr>
          <w:rFonts w:cs="v4.2.0"/>
        </w:rPr>
        <w:t xml:space="preserve"> </w:t>
      </w:r>
      <w:r w:rsidRPr="009C5807">
        <w:rPr>
          <w:rFonts w:cs="v4.2.0" w:hint="eastAsia"/>
          <w:lang w:val="en-US" w:eastAsia="zh-CN"/>
        </w:rPr>
        <w:t xml:space="preserve">msec </w:t>
      </w:r>
      <w:r w:rsidRPr="009C5807">
        <w:rPr>
          <w:rFonts w:cs="v4.2.0"/>
        </w:rPr>
        <w:t>from the end of the last TTI containing the RRC command.</w:t>
      </w:r>
    </w:p>
    <w:p w14:paraId="471F9AF4" w14:textId="77777777" w:rsidR="00E17DC3" w:rsidRPr="009C5807" w:rsidRDefault="00E17DC3" w:rsidP="00E17DC3">
      <w:pPr>
        <w:rPr>
          <w:rFonts w:cs="v4.2.0"/>
        </w:rPr>
      </w:pPr>
      <w:r w:rsidRPr="009C5807">
        <w:rPr>
          <w:rFonts w:cs="v4.2.0"/>
        </w:rPr>
        <w:t>Where:</w:t>
      </w:r>
    </w:p>
    <w:p w14:paraId="228857B0" w14:textId="77777777" w:rsidR="00E17DC3" w:rsidRPr="009C5807" w:rsidRDefault="00E17DC3" w:rsidP="00E17DC3">
      <w:pPr>
        <w:rPr>
          <w:rFonts w:cs="v4.2.0"/>
        </w:rPr>
      </w:pPr>
      <w:r w:rsidRPr="009C5807">
        <w:rPr>
          <w:rFonts w:cs="v4.2.0"/>
        </w:rPr>
        <w:t>D</w:t>
      </w:r>
      <w:r w:rsidRPr="009C5807">
        <w:rPr>
          <w:rFonts w:cs="v4.2.0"/>
          <w:vertAlign w:val="subscript"/>
        </w:rPr>
        <w:t>handover</w:t>
      </w:r>
      <w:r w:rsidRPr="009C5807">
        <w:rPr>
          <w:rFonts w:cs="v4.2.0"/>
        </w:rPr>
        <w:t xml:space="preserve"> equals the </w:t>
      </w:r>
      <w:r w:rsidRPr="009C5807">
        <w:rPr>
          <w:rFonts w:cs="v4.2.0" w:hint="eastAsia"/>
          <w:lang w:val="en-US" w:eastAsia="zh-CN"/>
        </w:rPr>
        <w:t>applicable</w:t>
      </w:r>
      <w:r w:rsidRPr="009C5807">
        <w:rPr>
          <w:rFonts w:cs="v4.2.0"/>
        </w:rPr>
        <w:t xml:space="preserve"> RRC procedure delay defined in clause</w:t>
      </w:r>
      <w:r w:rsidRPr="009C5807">
        <w:rPr>
          <w:rFonts w:cs="v4.2.0" w:hint="eastAsia"/>
          <w:lang w:val="en-US" w:eastAsia="zh-CN"/>
        </w:rPr>
        <w:t xml:space="preserve"> </w:t>
      </w:r>
      <w:r w:rsidRPr="009C5807">
        <w:rPr>
          <w:rFonts w:cs="v4.2.0"/>
          <w:lang w:eastAsia="zh-CN"/>
        </w:rPr>
        <w:t>12</w:t>
      </w:r>
      <w:r w:rsidRPr="009C5807">
        <w:rPr>
          <w:rFonts w:cs="v4.2.0"/>
        </w:rPr>
        <w:t xml:space="preserve"> in </w:t>
      </w:r>
      <w:r w:rsidRPr="009C5807">
        <w:t>TS 38.331 [2]</w:t>
      </w:r>
      <w:r w:rsidRPr="009C5807">
        <w:rPr>
          <w:rFonts w:cs="v4.2.0"/>
        </w:rPr>
        <w:t xml:space="preserve"> plus the interruption time stated in clause 6.1</w:t>
      </w:r>
      <w:r>
        <w:rPr>
          <w:rFonts w:cs="v4.2.0"/>
        </w:rPr>
        <w:t>D</w:t>
      </w:r>
      <w:r w:rsidRPr="009C5807">
        <w:rPr>
          <w:rFonts w:cs="v4.2.0"/>
        </w:rPr>
        <w:t>.1.</w:t>
      </w:r>
      <w:r>
        <w:rPr>
          <w:rFonts w:cs="v4.2.0"/>
        </w:rPr>
        <w:t>3</w:t>
      </w:r>
      <w:r w:rsidRPr="009C5807">
        <w:rPr>
          <w:rFonts w:cs="v4.2.0"/>
        </w:rPr>
        <w:t>.2.</w:t>
      </w:r>
    </w:p>
    <w:p w14:paraId="6398B4A1" w14:textId="77777777" w:rsidR="00E17DC3" w:rsidRPr="009C5807" w:rsidRDefault="00E17DC3" w:rsidP="00E17DC3">
      <w:pPr>
        <w:pStyle w:val="Heading5"/>
      </w:pPr>
      <w:r w:rsidRPr="009C5807">
        <w:t>6.1</w:t>
      </w:r>
      <w:r>
        <w:t>D</w:t>
      </w:r>
      <w:r w:rsidRPr="009C5807">
        <w:t>.1.</w:t>
      </w:r>
      <w:r>
        <w:t>3</w:t>
      </w:r>
      <w:r w:rsidRPr="009C5807">
        <w:t>.2</w:t>
      </w:r>
      <w:r w:rsidRPr="009C5807">
        <w:tab/>
        <w:t>Interruption time</w:t>
      </w:r>
    </w:p>
    <w:p w14:paraId="74567F71" w14:textId="77777777" w:rsidR="00E17DC3" w:rsidRPr="009C5807" w:rsidRDefault="00E17DC3" w:rsidP="00E17DC3">
      <w:pPr>
        <w:rPr>
          <w:rFonts w:cs="v4.2.0"/>
        </w:rPr>
      </w:pPr>
      <w:r w:rsidRPr="009C5807">
        <w:rPr>
          <w:rFonts w:cs="v4.2.0"/>
        </w:rPr>
        <w:t>The interruption time is the time between end of the last TTI containing the RRC command on the old PDSCH and the time the UE starts transmission of the new PRACH</w:t>
      </w:r>
      <w:r w:rsidRPr="009C5807">
        <w:rPr>
          <w:rFonts w:eastAsia="MS Mincho" w:cs="v4.2.0"/>
        </w:rPr>
        <w:t>, excluding the RRC procedure delay</w:t>
      </w:r>
      <w:r w:rsidRPr="009C5807">
        <w:rPr>
          <w:rFonts w:cs="v4.2.0"/>
        </w:rPr>
        <w:t>.</w:t>
      </w:r>
    </w:p>
    <w:p w14:paraId="35641507" w14:textId="77777777" w:rsidR="00E17DC3" w:rsidRPr="009C5807" w:rsidRDefault="00E17DC3" w:rsidP="00E17DC3">
      <w:pPr>
        <w:rPr>
          <w:rFonts w:cs="v4.2.0"/>
          <w:position w:val="-6"/>
        </w:rPr>
      </w:pPr>
      <w:r w:rsidRPr="009C5807">
        <w:rPr>
          <w:rFonts w:cs="v4.2.0"/>
        </w:rPr>
        <w:t>When intra-frequency or inter-frequency handover is commanded, the interruption time shall be less than T</w:t>
      </w:r>
      <w:r w:rsidRPr="009C5807">
        <w:rPr>
          <w:rFonts w:cs="v4.2.0"/>
          <w:vertAlign w:val="subscript"/>
        </w:rPr>
        <w:t>interrupt</w:t>
      </w:r>
    </w:p>
    <w:p w14:paraId="5B877480" w14:textId="77777777" w:rsidR="00E17DC3" w:rsidRPr="009C5807" w:rsidRDefault="00E17DC3" w:rsidP="00E17DC3">
      <w:pPr>
        <w:pStyle w:val="EQ"/>
      </w:pPr>
      <w:r w:rsidRPr="009C5807">
        <w:tab/>
      </w:r>
      <w:r w:rsidRPr="009C5807">
        <w:rPr>
          <w:rFonts w:cs="v4.2.0"/>
        </w:rPr>
        <w:t>T</w:t>
      </w:r>
      <w:r w:rsidRPr="009C5807">
        <w:rPr>
          <w:rFonts w:cs="v4.2.0"/>
          <w:vertAlign w:val="subscript"/>
        </w:rPr>
        <w:t>interrupt</w:t>
      </w:r>
      <w:r w:rsidRPr="009C5807">
        <w:t xml:space="preserve"> = T</w:t>
      </w:r>
      <w:r w:rsidRPr="009C5807">
        <w:rPr>
          <w:vertAlign w:val="subscript"/>
        </w:rPr>
        <w:t>search</w:t>
      </w:r>
      <w:r w:rsidRPr="009C5807">
        <w:t xml:space="preserve"> + T</w:t>
      </w:r>
      <w:r w:rsidRPr="009C5807">
        <w:rPr>
          <w:vertAlign w:val="subscript"/>
        </w:rPr>
        <w:t>IU</w:t>
      </w:r>
      <w:r w:rsidRPr="009C5807">
        <w:t xml:space="preserve"> + T</w:t>
      </w:r>
      <w:r w:rsidRPr="009C5807">
        <w:rPr>
          <w:vertAlign w:val="subscript"/>
          <w:lang w:eastAsia="zh-CN"/>
        </w:rPr>
        <w:t>processing</w:t>
      </w:r>
      <w:r w:rsidRPr="009C5807" w:rsidDel="001D62E5">
        <w:rPr>
          <w:lang w:eastAsia="zh-CN"/>
        </w:rPr>
        <w:t xml:space="preserve"> </w:t>
      </w:r>
      <w:r w:rsidRPr="009C5807">
        <w:rPr>
          <w:vertAlign w:val="subscript"/>
          <w:lang w:eastAsia="zh-CN"/>
        </w:rPr>
        <w:t xml:space="preserve"> </w:t>
      </w:r>
      <w:r w:rsidRPr="009C5807">
        <w:rPr>
          <w:lang w:eastAsia="zh-CN"/>
        </w:rPr>
        <w:t>+ T</w:t>
      </w:r>
      <w:r w:rsidRPr="009C5807">
        <w:rPr>
          <w:vertAlign w:val="subscript"/>
          <w:lang w:eastAsia="zh-CN"/>
        </w:rPr>
        <w:t>∆</w:t>
      </w:r>
      <w:r w:rsidRPr="009C5807">
        <w:rPr>
          <w:lang w:eastAsia="zh-CN"/>
        </w:rPr>
        <w:t xml:space="preserve"> + T</w:t>
      </w:r>
      <w:r w:rsidRPr="009C5807">
        <w:rPr>
          <w:vertAlign w:val="subscript"/>
          <w:lang w:eastAsia="zh-CN"/>
        </w:rPr>
        <w:t xml:space="preserve">margin </w:t>
      </w:r>
      <w:r w:rsidRPr="009C5807">
        <w:t>ms</w:t>
      </w:r>
    </w:p>
    <w:p w14:paraId="768D2CDC" w14:textId="77777777" w:rsidR="00E17DC3" w:rsidRPr="009C5807" w:rsidRDefault="00E17DC3" w:rsidP="00E17DC3">
      <w:pPr>
        <w:rPr>
          <w:rFonts w:cs="v4.2.0"/>
        </w:rPr>
      </w:pPr>
      <w:r w:rsidRPr="009C5807">
        <w:rPr>
          <w:rFonts w:cs="v4.2.0"/>
        </w:rPr>
        <w:t>Where:</w:t>
      </w:r>
    </w:p>
    <w:p w14:paraId="20FEF660" w14:textId="77777777" w:rsidR="00E17DC3" w:rsidRDefault="00E17DC3" w:rsidP="00E17DC3">
      <w:pPr>
        <w:pStyle w:val="B10"/>
        <w:ind w:left="284" w:firstLine="0"/>
      </w:pPr>
      <w:r w:rsidRPr="00AF006B">
        <w:t>T</w:t>
      </w:r>
      <w:r w:rsidRPr="00AF006B">
        <w:rPr>
          <w:vertAlign w:val="subscript"/>
        </w:rPr>
        <w:t>search</w:t>
      </w:r>
      <w:r w:rsidRPr="00AF006B">
        <w:t xml:space="preserve"> is the time required to search the target cell wh</w:t>
      </w:r>
      <w:r>
        <w:t>ich depends on whether</w:t>
      </w:r>
      <w:r w:rsidRPr="00AF006B">
        <w:t xml:space="preserve"> the target cell is already known when the handover command is received by the UE. </w:t>
      </w:r>
    </w:p>
    <w:p w14:paraId="703E7D7D" w14:textId="77777777" w:rsidR="00E17DC3" w:rsidRDefault="00E17DC3" w:rsidP="00E17DC3">
      <w:pPr>
        <w:pStyle w:val="B10"/>
        <w:ind w:firstLine="0"/>
      </w:pPr>
      <w:r>
        <w:t>-</w:t>
      </w:r>
      <w:r>
        <w:tab/>
      </w:r>
      <w:r w:rsidRPr="00AF006B">
        <w:t xml:space="preserve">If the target cell is </w:t>
      </w:r>
      <w:r>
        <w:t xml:space="preserve">a </w:t>
      </w:r>
      <w:r w:rsidRPr="00AF006B">
        <w:t>known</w:t>
      </w:r>
      <w:r>
        <w:t xml:space="preserve"> intra-frequency cell</w:t>
      </w:r>
      <w:r w:rsidRPr="00AF006B">
        <w:t>,</w:t>
      </w:r>
      <w:r>
        <w:t xml:space="preserve"> </w:t>
      </w:r>
      <w:r w:rsidRPr="004E10C9">
        <w:t>T</w:t>
      </w:r>
      <w:r w:rsidRPr="004E10C9">
        <w:rPr>
          <w:vertAlign w:val="subscript"/>
        </w:rPr>
        <w:t>search</w:t>
      </w:r>
      <w:r w:rsidRPr="004E10C9">
        <w:t xml:space="preserve"> </w:t>
      </w:r>
      <w:r w:rsidRPr="00EA3B07">
        <w:t>= 0ms</w:t>
      </w:r>
      <w:r>
        <w:t xml:space="preserve">. </w:t>
      </w:r>
      <w:r w:rsidRPr="00AF006B">
        <w:t>If the target cell is an unknown intra-frequency cell and the target cell Es/Iot</w:t>
      </w:r>
      <w:r w:rsidRPr="00AF006B">
        <w:rPr>
          <w:rFonts w:hint="eastAsia"/>
        </w:rPr>
        <w:t>≥</w:t>
      </w:r>
      <w:r w:rsidRPr="00AF006B">
        <w:t>-2 dB, then T</w:t>
      </w:r>
      <w:r w:rsidRPr="00AF006B">
        <w:rPr>
          <w:vertAlign w:val="subscript"/>
        </w:rPr>
        <w:t>search</w:t>
      </w:r>
      <w:r w:rsidRPr="00AF006B">
        <w:t xml:space="preserve"> = </w:t>
      </w:r>
      <w:r>
        <w:t>8</w:t>
      </w:r>
      <w:r w:rsidRPr="00AF006B">
        <w:t>*T</w:t>
      </w:r>
      <w:r w:rsidRPr="00AF006B">
        <w:rPr>
          <w:vertAlign w:val="subscript"/>
        </w:rPr>
        <w:t>rs</w:t>
      </w:r>
      <w:r w:rsidRPr="00AF006B" w:rsidDel="000446A6">
        <w:t xml:space="preserve"> </w:t>
      </w:r>
      <w:r w:rsidRPr="00AF006B">
        <w:t>ms</w:t>
      </w:r>
      <w:r>
        <w:rPr>
          <w:lang w:eastAsia="zh-CN"/>
        </w:rPr>
        <w:t>.</w:t>
      </w:r>
    </w:p>
    <w:p w14:paraId="28612297" w14:textId="77777777" w:rsidR="00E17DC3" w:rsidRPr="00D70C09" w:rsidRDefault="00E17DC3" w:rsidP="00E17DC3">
      <w:pPr>
        <w:pStyle w:val="B10"/>
        <w:ind w:left="852"/>
      </w:pPr>
      <w:r>
        <w:t>-</w:t>
      </w:r>
      <w:r>
        <w:tab/>
      </w:r>
      <w:r w:rsidRPr="00D70C09">
        <w:t xml:space="preserve">If the target cell is a known inter-frequency cell, then </w:t>
      </w:r>
    </w:p>
    <w:p w14:paraId="3178D033" w14:textId="77777777" w:rsidR="00E17DC3" w:rsidRPr="00D70C09" w:rsidRDefault="00E17DC3" w:rsidP="00E17DC3">
      <w:pPr>
        <w:pStyle w:val="B10"/>
        <w:ind w:left="1420"/>
      </w:pPr>
      <w:r w:rsidRPr="00D70C09">
        <w:t>if the measured SSB is the target SSB for HO of the target cell, T</w:t>
      </w:r>
      <w:r w:rsidRPr="00D70C09">
        <w:rPr>
          <w:vertAlign w:val="subscript"/>
        </w:rPr>
        <w:t>search</w:t>
      </w:r>
      <w:r w:rsidRPr="00D70C09">
        <w:t xml:space="preserve"> = 0ms; </w:t>
      </w:r>
    </w:p>
    <w:p w14:paraId="02D80A19" w14:textId="77777777" w:rsidR="00E17DC3" w:rsidRPr="00D70C09" w:rsidRDefault="00E17DC3" w:rsidP="00E17DC3">
      <w:pPr>
        <w:pStyle w:val="B10"/>
        <w:ind w:left="1420"/>
      </w:pPr>
      <w:r w:rsidRPr="00A82018">
        <w:t xml:space="preserve">if the measured SSB and the target SSB for HO </w:t>
      </w:r>
      <w:r>
        <w:rPr>
          <w:lang w:eastAsia="ko-KR"/>
        </w:rPr>
        <w:t>belong to the same NR target cell</w:t>
      </w:r>
      <w:r w:rsidRPr="00A82018">
        <w:t xml:space="preserve"> </w:t>
      </w:r>
      <w:r>
        <w:t xml:space="preserve">and </w:t>
      </w:r>
      <w:r w:rsidRPr="00A82018">
        <w:t>fulfil the following condition</w:t>
      </w:r>
      <w:r w:rsidRPr="00600792">
        <w:t>s, T</w:t>
      </w:r>
      <w:r w:rsidRPr="00600792">
        <w:rPr>
          <w:vertAlign w:val="subscript"/>
        </w:rPr>
        <w:t>search</w:t>
      </w:r>
      <w:r w:rsidRPr="00600792">
        <w:rPr>
          <w:lang w:eastAsia="zh-CN"/>
        </w:rPr>
        <w:t xml:space="preserve"> = </w:t>
      </w:r>
      <w:r w:rsidRPr="00600792">
        <w:t>T</w:t>
      </w:r>
      <w:r w:rsidRPr="00600792">
        <w:rPr>
          <w:vertAlign w:val="subscript"/>
        </w:rPr>
        <w:t>rs</w:t>
      </w:r>
      <w:r w:rsidRPr="005203C6" w:rsidDel="000446A6">
        <w:t xml:space="preserve"> </w:t>
      </w:r>
      <w:r w:rsidRPr="005203C6">
        <w:t>ms:</w:t>
      </w:r>
    </w:p>
    <w:p w14:paraId="35082531" w14:textId="77777777" w:rsidR="00E17DC3" w:rsidRPr="00D70C09" w:rsidRDefault="00E17DC3">
      <w:pPr>
        <w:pStyle w:val="B10"/>
        <w:numPr>
          <w:ilvl w:val="2"/>
          <w:numId w:val="20"/>
        </w:numPr>
        <w:overflowPunct/>
        <w:autoSpaceDE/>
        <w:autoSpaceDN/>
        <w:adjustRightInd/>
        <w:textAlignment w:val="auto"/>
      </w:pPr>
      <w:r w:rsidRPr="00D70C09">
        <w:t xml:space="preserve">CD-SSB in initial </w:t>
      </w:r>
      <w:r>
        <w:t xml:space="preserve">DL </w:t>
      </w:r>
      <w:r w:rsidRPr="00D70C09">
        <w:t xml:space="preserve">BWP is the measured SSB and NCD-SSB in RedCap specific </w:t>
      </w:r>
      <w:r>
        <w:t xml:space="preserve">DL </w:t>
      </w:r>
      <w:r w:rsidRPr="00D70C09">
        <w:t>BWP is the target SSB for HO</w:t>
      </w:r>
    </w:p>
    <w:p w14:paraId="1487A6EB" w14:textId="77777777" w:rsidR="00E17DC3" w:rsidRPr="00D70C09" w:rsidRDefault="00E17DC3">
      <w:pPr>
        <w:pStyle w:val="B10"/>
        <w:numPr>
          <w:ilvl w:val="2"/>
          <w:numId w:val="20"/>
        </w:numPr>
        <w:overflowPunct/>
        <w:autoSpaceDE/>
        <w:autoSpaceDN/>
        <w:adjustRightInd/>
        <w:textAlignment w:val="auto"/>
      </w:pPr>
      <w:r w:rsidRPr="00D70C09">
        <w:t xml:space="preserve">NCD-SSB in RedCap specific </w:t>
      </w:r>
      <w:r>
        <w:t xml:space="preserve">DL </w:t>
      </w:r>
      <w:r w:rsidRPr="00D70C09">
        <w:t xml:space="preserve">BWP is the measured SSB and CD-SSB in initial </w:t>
      </w:r>
      <w:r>
        <w:t xml:space="preserve">DL </w:t>
      </w:r>
      <w:r w:rsidRPr="00D70C09">
        <w:t>BWP is the target SSB for HO</w:t>
      </w:r>
    </w:p>
    <w:p w14:paraId="331B2EE2" w14:textId="77777777" w:rsidR="00E17DC3" w:rsidRPr="00D70C09" w:rsidRDefault="00E17DC3">
      <w:pPr>
        <w:pStyle w:val="B10"/>
        <w:numPr>
          <w:ilvl w:val="2"/>
          <w:numId w:val="20"/>
        </w:numPr>
        <w:overflowPunct/>
        <w:autoSpaceDE/>
        <w:autoSpaceDN/>
        <w:adjustRightInd/>
        <w:textAlignment w:val="auto"/>
      </w:pPr>
      <w:r w:rsidRPr="00D70C09">
        <w:t xml:space="preserve">Both measured SSB and the target SSB for HO are NCD-SSBs within different RedCap specific </w:t>
      </w:r>
      <w:r>
        <w:t xml:space="preserve">DL </w:t>
      </w:r>
      <w:r w:rsidRPr="00D70C09">
        <w:t>BWPs</w:t>
      </w:r>
    </w:p>
    <w:p w14:paraId="34E25FB5" w14:textId="77777777" w:rsidR="00E17DC3" w:rsidRDefault="00E17DC3" w:rsidP="00E17DC3">
      <w:pPr>
        <w:pStyle w:val="B10"/>
        <w:ind w:left="852" w:firstLine="0"/>
      </w:pPr>
      <w:r>
        <w:t xml:space="preserve">Otherwise, </w:t>
      </w:r>
      <w:r w:rsidRPr="00AF006B">
        <w:t>the target cell is an unknown inter-frequency cell</w:t>
      </w:r>
      <w:r>
        <w:t>.</w:t>
      </w:r>
      <w:r w:rsidRPr="00AF006B">
        <w:t xml:space="preserve"> </w:t>
      </w:r>
      <w:r w:rsidRPr="00D70C09">
        <w:t>In this case, if</w:t>
      </w:r>
      <w:r>
        <w:t xml:space="preserve"> </w:t>
      </w:r>
      <w:r w:rsidRPr="00AF006B">
        <w:t>the target cell Es/Iot</w:t>
      </w:r>
      <w:r w:rsidRPr="00AF006B">
        <w:rPr>
          <w:rFonts w:hint="eastAsia"/>
        </w:rPr>
        <w:t>≥</w:t>
      </w:r>
      <w:r w:rsidRPr="00AF006B">
        <w:t>-2 dB, then T</w:t>
      </w:r>
      <w:r w:rsidRPr="00AF006B">
        <w:rPr>
          <w:vertAlign w:val="subscript"/>
        </w:rPr>
        <w:t>search</w:t>
      </w:r>
      <w:r w:rsidRPr="00AF006B">
        <w:t xml:space="preserve"> = </w:t>
      </w:r>
      <w:r>
        <w:t>3</w:t>
      </w:r>
      <w:r w:rsidRPr="00AF006B">
        <w:t>* T</w:t>
      </w:r>
      <w:r w:rsidRPr="00AF006B">
        <w:rPr>
          <w:vertAlign w:val="subscript"/>
        </w:rPr>
        <w:t>rs</w:t>
      </w:r>
      <w:r w:rsidRPr="00AF006B">
        <w:t xml:space="preserve"> ms.</w:t>
      </w:r>
    </w:p>
    <w:p w14:paraId="6B7E60CB" w14:textId="77777777" w:rsidR="00E17DC3" w:rsidRDefault="00E17DC3" w:rsidP="00E17DC3">
      <w:pPr>
        <w:pStyle w:val="B10"/>
        <w:ind w:firstLine="0"/>
      </w:pPr>
      <w:r w:rsidRPr="00AF006B">
        <w:t>Regardless of whether DRX is in use by the UE, T</w:t>
      </w:r>
      <w:r w:rsidRPr="00AF006B">
        <w:rPr>
          <w:vertAlign w:val="subscript"/>
        </w:rPr>
        <w:t>search</w:t>
      </w:r>
      <w:r w:rsidRPr="00AF006B">
        <w:t xml:space="preserve"> shall still be based on non-DRX target cell search times.</w:t>
      </w:r>
    </w:p>
    <w:p w14:paraId="6A5434DE" w14:textId="77777777" w:rsidR="00E17DC3" w:rsidRPr="009C5807" w:rsidRDefault="00E17DC3" w:rsidP="00E17DC3">
      <w:pPr>
        <w:pStyle w:val="B10"/>
        <w:ind w:left="284" w:firstLine="0"/>
      </w:pPr>
      <w:r>
        <w:t>T</w:t>
      </w:r>
      <w:r>
        <w:rPr>
          <w:vertAlign w:val="subscript"/>
        </w:rPr>
        <w:t>∆</w:t>
      </w:r>
      <w:r>
        <w:t xml:space="preserve"> is time for fine time tracking and acquiring full timing information of the target cell. T</w:t>
      </w:r>
      <w:r>
        <w:rPr>
          <w:vertAlign w:val="subscript"/>
        </w:rPr>
        <w:t>∆</w:t>
      </w:r>
      <w:r>
        <w:t xml:space="preserve"> = T</w:t>
      </w:r>
      <w:r>
        <w:rPr>
          <w:vertAlign w:val="subscript"/>
        </w:rPr>
        <w:t xml:space="preserve">rs </w:t>
      </w:r>
      <w:r>
        <w:t>for both known and unknown target cell.</w:t>
      </w:r>
    </w:p>
    <w:p w14:paraId="3B7D22DB" w14:textId="77777777" w:rsidR="00E17DC3" w:rsidRPr="009C5807" w:rsidRDefault="00E17DC3" w:rsidP="00E17DC3">
      <w:pPr>
        <w:pStyle w:val="B10"/>
      </w:pPr>
      <w:r w:rsidRPr="009C5807">
        <w:t>T</w:t>
      </w:r>
      <w:r w:rsidRPr="009C5807">
        <w:rPr>
          <w:vertAlign w:val="subscript"/>
          <w:lang w:eastAsia="zh-CN"/>
        </w:rPr>
        <w:t>processing</w:t>
      </w:r>
      <w:r w:rsidRPr="009C5807">
        <w:t xml:space="preserve"> is time for UE processing. T</w:t>
      </w:r>
      <w:r w:rsidRPr="009C5807">
        <w:rPr>
          <w:vertAlign w:val="subscript"/>
          <w:lang w:eastAsia="zh-CN"/>
        </w:rPr>
        <w:t>processing</w:t>
      </w:r>
      <w:r w:rsidRPr="009C5807">
        <w:t xml:space="preserve"> can be up to 20ms.</w:t>
      </w:r>
    </w:p>
    <w:p w14:paraId="4AAF0F37" w14:textId="77777777" w:rsidR="00E17DC3" w:rsidRPr="009C5807" w:rsidRDefault="00E17DC3" w:rsidP="00E17DC3">
      <w:pPr>
        <w:pStyle w:val="B10"/>
      </w:pPr>
      <w:r w:rsidRPr="009C5807">
        <w:rPr>
          <w:lang w:eastAsia="zh-CN"/>
        </w:rPr>
        <w:t>T</w:t>
      </w:r>
      <w:r w:rsidRPr="009C5807">
        <w:rPr>
          <w:vertAlign w:val="subscript"/>
          <w:lang w:eastAsia="zh-CN"/>
        </w:rPr>
        <w:t xml:space="preserve">margin </w:t>
      </w:r>
      <w:r w:rsidRPr="009C5807">
        <w:rPr>
          <w:lang w:eastAsia="zh-CN"/>
        </w:rPr>
        <w:t>is time for SSB post-processing. T</w:t>
      </w:r>
      <w:r w:rsidRPr="009C5807">
        <w:rPr>
          <w:vertAlign w:val="subscript"/>
          <w:lang w:eastAsia="zh-CN"/>
        </w:rPr>
        <w:t xml:space="preserve">margin </w:t>
      </w:r>
      <w:r w:rsidRPr="009C5807">
        <w:rPr>
          <w:lang w:eastAsia="zh-CN"/>
        </w:rPr>
        <w:t>can be up to 2ms.</w:t>
      </w:r>
    </w:p>
    <w:p w14:paraId="38E77AC9" w14:textId="77777777" w:rsidR="00E17DC3" w:rsidRPr="009C5807" w:rsidRDefault="00E17DC3" w:rsidP="00E17DC3">
      <w:pPr>
        <w:pStyle w:val="B10"/>
        <w:ind w:left="284" w:firstLine="0"/>
        <w:rPr>
          <w:lang w:eastAsia="zh-CN"/>
        </w:rPr>
      </w:pPr>
      <w:r w:rsidRPr="009C5807">
        <w:t>T</w:t>
      </w:r>
      <w:r w:rsidRPr="009C5807">
        <w:rPr>
          <w:vertAlign w:val="subscript"/>
        </w:rPr>
        <w:t>IU</w:t>
      </w:r>
      <w:r w:rsidRPr="009C5807">
        <w:t xml:space="preserve"> is the interruption uncertainty </w:t>
      </w:r>
      <w:r w:rsidRPr="009C5807">
        <w:rPr>
          <w:lang w:eastAsia="zh-CN"/>
        </w:rPr>
        <w:t>in acquiring the first available PRACH occasion in the new cell</w:t>
      </w:r>
      <w:r w:rsidRPr="009C5807">
        <w:t>. T</w:t>
      </w:r>
      <w:r w:rsidRPr="009C5807">
        <w:rPr>
          <w:vertAlign w:val="subscript"/>
        </w:rPr>
        <w:t>IU</w:t>
      </w:r>
      <w:r w:rsidRPr="009C5807">
        <w:t xml:space="preserve"> can be up to the summation of SSB to PRACH occasion association period and 10 ms. SSB to PRACH occasion associated period is defined in the table 8.1-1 of TS 38.213 [3].</w:t>
      </w:r>
    </w:p>
    <w:p w14:paraId="235E47A4" w14:textId="77777777" w:rsidR="00E17DC3" w:rsidRDefault="00E17DC3" w:rsidP="00E17DC3">
      <w:pPr>
        <w:pStyle w:val="B10"/>
        <w:ind w:left="284" w:firstLine="0"/>
      </w:pPr>
      <w:r w:rsidRPr="00C76CE2">
        <w:t>T</w:t>
      </w:r>
      <w:r w:rsidRPr="00C76CE2">
        <w:rPr>
          <w:vertAlign w:val="subscript"/>
        </w:rPr>
        <w:t>rs</w:t>
      </w:r>
      <w:r w:rsidRPr="00C76CE2">
        <w:t xml:space="preserve"> is the SMTC periodicity of the target NR cell if the UE has been provided with an SMTC configuration for the target cellin the handover command, otherwise</w:t>
      </w:r>
      <w:r>
        <w:t>,</w:t>
      </w:r>
    </w:p>
    <w:p w14:paraId="72EF1127" w14:textId="77777777" w:rsidR="00E17DC3" w:rsidRDefault="00E17DC3" w:rsidP="00E17DC3">
      <w:pPr>
        <w:pStyle w:val="B10"/>
      </w:pPr>
      <w:r>
        <w:t>-</w:t>
      </w:r>
      <w:r>
        <w:tab/>
      </w:r>
      <w:r w:rsidRPr="00797B02">
        <w:t>T</w:t>
      </w:r>
      <w:r w:rsidRPr="00797B02">
        <w:rPr>
          <w:vertAlign w:val="subscript"/>
        </w:rPr>
        <w:t>rs</w:t>
      </w:r>
      <w:r w:rsidRPr="00797B02">
        <w:t xml:space="preserve"> is the SMTC configured in the measObjectNR having the same SSB frequency and subcarrier spacing as NCD-SSB indicated by nonCellDefiningSSB-r17</w:t>
      </w:r>
      <w:r w:rsidRPr="00797B02">
        <w:rPr>
          <w:szCs w:val="22"/>
          <w:lang w:eastAsia="sv-SE"/>
        </w:rPr>
        <w:t xml:space="preserve"> if the first active DL BWP included in handover command is configured with </w:t>
      </w:r>
      <w:r w:rsidRPr="00797B02">
        <w:rPr>
          <w:iCs/>
          <w:szCs w:val="22"/>
          <w:lang w:eastAsia="sv-SE"/>
        </w:rPr>
        <w:t xml:space="preserve">nonCellDefiningSSB-r17, otherwise, as </w:t>
      </w:r>
      <w:r w:rsidRPr="00797B02">
        <w:rPr>
          <w:szCs w:val="22"/>
          <w:lang w:eastAsia="sv-SE"/>
        </w:rPr>
        <w:t xml:space="preserve">CD-SSB indicated by </w:t>
      </w:r>
      <w:r w:rsidRPr="00797B02">
        <w:rPr>
          <w:iCs/>
          <w:szCs w:val="22"/>
          <w:lang w:eastAsia="sv-SE"/>
        </w:rPr>
        <w:t>absoluteFrequencySSB</w:t>
      </w:r>
      <w:r w:rsidRPr="00797B02">
        <w:rPr>
          <w:szCs w:val="22"/>
          <w:lang w:eastAsia="sv-SE"/>
        </w:rPr>
        <w:t xml:space="preserve"> in </w:t>
      </w:r>
      <w:r w:rsidRPr="00797B02">
        <w:rPr>
          <w:iCs/>
          <w:szCs w:val="22"/>
          <w:lang w:eastAsia="sv-SE"/>
        </w:rPr>
        <w:t>frequencyInfoDL in handover command.</w:t>
      </w:r>
    </w:p>
    <w:p w14:paraId="5871F64F" w14:textId="77777777" w:rsidR="00E17DC3" w:rsidRDefault="00E17DC3" w:rsidP="00E17DC3">
      <w:pPr>
        <w:pStyle w:val="B10"/>
      </w:pPr>
      <w:r>
        <w:t>-</w:t>
      </w:r>
      <w:r>
        <w:tab/>
      </w:r>
      <w:r w:rsidRPr="00C76CE2">
        <w:t>If the UE is not provided SMTC configuration or measurement object on this frequency, the requirement in this clause is applied with T</w:t>
      </w:r>
      <w:r w:rsidRPr="00C76CE2">
        <w:rPr>
          <w:vertAlign w:val="subscript"/>
        </w:rPr>
        <w:t>rs</w:t>
      </w:r>
      <w:r w:rsidRPr="00C76CE2">
        <w:t xml:space="preserve">=5ms assuming the SSB transmission periodicity is 5ms. There is no requirement if the SSB transmission periodicity is not 5ms. If the UE has been provided with higher layer in TS 38.331 [2] signaling of </w:t>
      </w:r>
      <w:r w:rsidRPr="00C76CE2">
        <w:rPr>
          <w:i/>
        </w:rPr>
        <w:t>smtc2</w:t>
      </w:r>
      <w:r w:rsidRPr="00C76CE2">
        <w:rPr>
          <w:b/>
        </w:rPr>
        <w:t xml:space="preserve"> </w:t>
      </w:r>
      <w:r w:rsidRPr="00C76CE2">
        <w:t>prior to the handover command, T</w:t>
      </w:r>
      <w:r w:rsidRPr="00C76CE2">
        <w:rPr>
          <w:vertAlign w:val="subscript"/>
        </w:rPr>
        <w:t>rs</w:t>
      </w:r>
      <w:r w:rsidRPr="00C76CE2">
        <w:t xml:space="preserve"> follows </w:t>
      </w:r>
      <w:r w:rsidRPr="00C76CE2">
        <w:rPr>
          <w:i/>
        </w:rPr>
        <w:t>smtc1</w:t>
      </w:r>
      <w:r w:rsidRPr="00C76CE2">
        <w:t xml:space="preserve"> or </w:t>
      </w:r>
      <w:r w:rsidRPr="00C76CE2">
        <w:rPr>
          <w:i/>
        </w:rPr>
        <w:t>smtc2</w:t>
      </w:r>
      <w:r w:rsidRPr="00C76CE2">
        <w:t xml:space="preserve"> according to the physical cell ID of the target cell.</w:t>
      </w:r>
    </w:p>
    <w:p w14:paraId="27031954" w14:textId="2B2AD09D" w:rsidR="00E17DC3" w:rsidRDefault="00E17DC3" w:rsidP="00E17DC3">
      <w:pPr>
        <w:rPr>
          <w:lang w:eastAsia="ko-KR"/>
        </w:rPr>
      </w:pPr>
      <w:r w:rsidRPr="009C5807">
        <w:rPr>
          <w:rFonts w:cs="v4.2.0"/>
          <w:lang w:eastAsia="zh-CN"/>
        </w:rPr>
        <w:t>In FR2, the target cell</w:t>
      </w:r>
      <w:r w:rsidRPr="009C5807">
        <w:rPr>
          <w:rFonts w:cs="v4.2.0"/>
          <w:lang w:eastAsia="ko-KR"/>
        </w:rPr>
        <w:t xml:space="preserve"> is known if it </w:t>
      </w:r>
      <w:r w:rsidRPr="009C5807">
        <w:rPr>
          <w:lang w:eastAsia="ko-KR"/>
        </w:rPr>
        <w:t>has been meeting the following conditions:</w:t>
      </w:r>
    </w:p>
    <w:p w14:paraId="3CEF832F" w14:textId="77777777" w:rsidR="00E17DC3" w:rsidRDefault="00E17DC3" w:rsidP="00E17DC3">
      <w:pPr>
        <w:pStyle w:val="B10"/>
        <w:rPr>
          <w:lang w:eastAsia="ko-KR"/>
        </w:rPr>
      </w:pPr>
      <w:r w:rsidRPr="00600792">
        <w:rPr>
          <w:lang w:eastAsia="ko-KR"/>
        </w:rPr>
        <w:t>-</w:t>
      </w:r>
      <w:r w:rsidRPr="00600792">
        <w:rPr>
          <w:lang w:eastAsia="ko-KR"/>
        </w:rPr>
        <w:tab/>
        <w:t>At least o</w:t>
      </w:r>
      <w:r w:rsidRPr="00600792">
        <w:t>ne of the SSBs measured</w:t>
      </w:r>
      <w:r w:rsidRPr="00600792">
        <w:rPr>
          <w:lang w:eastAsia="ko-KR"/>
        </w:rPr>
        <w:t xml:space="preserve"> </w:t>
      </w:r>
      <w:r>
        <w:rPr>
          <w:lang w:eastAsia="ko-KR"/>
        </w:rPr>
        <w:t>belongs to the same NR target cell</w:t>
      </w:r>
      <w:r w:rsidRPr="00600792">
        <w:t>,</w:t>
      </w:r>
      <w:r>
        <w:t xml:space="preserve"> </w:t>
      </w:r>
    </w:p>
    <w:p w14:paraId="4B88697B" w14:textId="77777777" w:rsidR="00E17DC3" w:rsidRPr="009C5807" w:rsidRDefault="00E17DC3" w:rsidP="00E17DC3">
      <w:pPr>
        <w:pStyle w:val="B10"/>
        <w:rPr>
          <w:lang w:eastAsia="ko-KR"/>
        </w:rPr>
      </w:pPr>
      <w:r>
        <w:rPr>
          <w:lang w:eastAsia="ko-KR"/>
        </w:rPr>
        <w:t>-</w:t>
      </w:r>
      <w:r>
        <w:rPr>
          <w:lang w:eastAsia="ko-KR"/>
        </w:rPr>
        <w:tab/>
      </w:r>
      <w:r w:rsidRPr="009C5807">
        <w:rPr>
          <w:lang w:eastAsia="ko-KR"/>
        </w:rPr>
        <w:t>During the last 5 seconds before the reception of the handover command:</w:t>
      </w:r>
    </w:p>
    <w:p w14:paraId="4B43717E" w14:textId="77777777" w:rsidR="00E17DC3" w:rsidRPr="009C5807" w:rsidRDefault="00E17DC3" w:rsidP="00E17DC3">
      <w:pPr>
        <w:pStyle w:val="B20"/>
        <w:rPr>
          <w:lang w:eastAsia="ko-KR"/>
        </w:rPr>
      </w:pPr>
      <w:r w:rsidRPr="009C5807">
        <w:rPr>
          <w:lang w:eastAsia="ko-KR"/>
        </w:rPr>
        <w:t>-</w:t>
      </w:r>
      <w:r w:rsidRPr="009C5807">
        <w:rPr>
          <w:lang w:eastAsia="ko-KR"/>
        </w:rPr>
        <w:tab/>
        <w:t>the UE has sent a valid measurement report for the target cell and</w:t>
      </w:r>
    </w:p>
    <w:p w14:paraId="7565D87F" w14:textId="77777777" w:rsidR="00E17DC3" w:rsidRDefault="00E17DC3" w:rsidP="00E17DC3">
      <w:pPr>
        <w:pStyle w:val="B20"/>
        <w:rPr>
          <w:lang w:eastAsia="ko-KR"/>
        </w:rPr>
      </w:pPr>
      <w:r w:rsidRPr="009C5807">
        <w:rPr>
          <w:lang w:eastAsia="ko-KR"/>
        </w:rPr>
        <w:t>-</w:t>
      </w:r>
      <w:r w:rsidRPr="009C5807">
        <w:rPr>
          <w:lang w:eastAsia="ko-KR"/>
        </w:rPr>
        <w:tab/>
      </w:r>
      <w:r w:rsidRPr="00600792">
        <w:rPr>
          <w:lang w:eastAsia="ko-KR"/>
        </w:rPr>
        <w:t xml:space="preserve">at least one of the SSBs measured which </w:t>
      </w:r>
      <w:r>
        <w:rPr>
          <w:lang w:eastAsia="ko-KR"/>
        </w:rPr>
        <w:t>belongs to the same NR target cell</w:t>
      </w:r>
      <w:r w:rsidRPr="00600792" w:rsidDel="00600792">
        <w:t xml:space="preserve"> </w:t>
      </w:r>
      <w:r w:rsidRPr="005203C6">
        <w:rPr>
          <w:lang w:eastAsia="ko-KR"/>
        </w:rPr>
        <w:t xml:space="preserve">remains detectable </w:t>
      </w:r>
      <w:r w:rsidRPr="00A82018">
        <w:rPr>
          <w:lang w:eastAsia="ko-KR"/>
        </w:rPr>
        <w:t xml:space="preserve">according to the </w:t>
      </w:r>
      <w:r w:rsidRPr="00A82018">
        <w:t xml:space="preserve">cell identification requirements </w:t>
      </w:r>
      <w:r>
        <w:t>as</w:t>
      </w:r>
      <w:r w:rsidRPr="00A82018">
        <w:t xml:space="preserve"> described in clause 9.2B for intra-frequency </w:t>
      </w:r>
      <w:r>
        <w:t xml:space="preserve">measurements </w:t>
      </w:r>
      <w:r w:rsidRPr="00A82018">
        <w:t xml:space="preserve">and clause 9.3B for inter-frequency </w:t>
      </w:r>
      <w:r>
        <w:t>measurements,</w:t>
      </w:r>
      <w:r w:rsidRPr="005203C6">
        <w:rPr>
          <w:lang w:eastAsia="ko-KR"/>
        </w:rPr>
        <w:t xml:space="preserve"> </w:t>
      </w:r>
    </w:p>
    <w:p w14:paraId="5F2F654A" w14:textId="77777777" w:rsidR="00E17DC3" w:rsidRPr="009C5807" w:rsidRDefault="00E17DC3" w:rsidP="00E17DC3">
      <w:pPr>
        <w:pStyle w:val="B10"/>
        <w:rPr>
          <w:lang w:eastAsia="ko-KR"/>
        </w:rPr>
      </w:pPr>
      <w:r w:rsidRPr="009C5807">
        <w:rPr>
          <w:lang w:eastAsia="ko-KR"/>
        </w:rPr>
        <w:t>-</w:t>
      </w:r>
      <w:r w:rsidRPr="009C5807">
        <w:rPr>
          <w:lang w:eastAsia="ko-KR"/>
        </w:rPr>
        <w:tab/>
      </w:r>
      <w:r>
        <w:rPr>
          <w:lang w:eastAsia="ko-KR"/>
        </w:rPr>
        <w:t xml:space="preserve">The reference SSB of </w:t>
      </w:r>
      <w:r w:rsidRPr="00A82018">
        <w:rPr>
          <w:lang w:eastAsia="ko-KR"/>
        </w:rPr>
        <w:t xml:space="preserve">the </w:t>
      </w:r>
      <w:r w:rsidRPr="00A82018">
        <w:t xml:space="preserve">NR target cell </w:t>
      </w:r>
      <w:r w:rsidRPr="009C5807">
        <w:rPr>
          <w:lang w:eastAsia="ko-KR"/>
        </w:rPr>
        <w:t xml:space="preserve">also remains detectable during the handover delay according to the </w:t>
      </w:r>
      <w:r w:rsidRPr="009C5807">
        <w:t xml:space="preserve">cell identification requirements are described in </w:t>
      </w:r>
      <w:r>
        <w:t>c</w:t>
      </w:r>
      <w:r w:rsidRPr="009C5807">
        <w:t>lause 9.2</w:t>
      </w:r>
      <w:r>
        <w:t>B</w:t>
      </w:r>
      <w:r w:rsidRPr="009C5807">
        <w:t xml:space="preserve"> for intra-frequency handover and </w:t>
      </w:r>
      <w:r>
        <w:t>c</w:t>
      </w:r>
      <w:r w:rsidRPr="009C5807">
        <w:t>lause 9.3</w:t>
      </w:r>
      <w:r>
        <w:t>B</w:t>
      </w:r>
      <w:r w:rsidRPr="009C5807">
        <w:t xml:space="preserve"> for inter-frequency handover</w:t>
      </w:r>
      <w:r w:rsidRPr="009C5807">
        <w:rPr>
          <w:lang w:eastAsia="ko-KR"/>
        </w:rPr>
        <w:t>.</w:t>
      </w:r>
    </w:p>
    <w:p w14:paraId="384DAA1D" w14:textId="77777777" w:rsidR="00E17DC3" w:rsidRDefault="00E17DC3" w:rsidP="00E17DC3">
      <w:pPr>
        <w:rPr>
          <w:lang w:eastAsia="ko-KR"/>
        </w:rPr>
      </w:pPr>
      <w:r>
        <w:rPr>
          <w:lang w:eastAsia="ko-KR"/>
        </w:rPr>
        <w:t>O</w:t>
      </w:r>
      <w:r w:rsidRPr="009C5807">
        <w:rPr>
          <w:lang w:eastAsia="ko-KR"/>
        </w:rPr>
        <w:t>therwise</w:t>
      </w:r>
      <w:r>
        <w:rPr>
          <w:lang w:eastAsia="ko-KR"/>
        </w:rPr>
        <w:t>,</w:t>
      </w:r>
      <w:r w:rsidRPr="009C5807">
        <w:rPr>
          <w:lang w:eastAsia="ko-KR"/>
        </w:rPr>
        <w:t xml:space="preserve"> it is unknown.</w:t>
      </w:r>
    </w:p>
    <w:p w14:paraId="6BF59601" w14:textId="3B429218" w:rsidR="00E51F6C" w:rsidRPr="009C5807" w:rsidRDefault="00E51F6C" w:rsidP="00E51F6C">
      <w:pPr>
        <w:pStyle w:val="Heading3"/>
        <w:rPr>
          <w:lang w:val="en-US" w:eastAsia="ko-KR"/>
        </w:rPr>
      </w:pPr>
      <w:r w:rsidRPr="009C5807">
        <w:rPr>
          <w:lang w:val="en-US" w:eastAsia="ko-KR"/>
        </w:rPr>
        <w:t>6.1</w:t>
      </w:r>
      <w:r>
        <w:rPr>
          <w:lang w:val="en-US" w:eastAsia="ko-KR"/>
        </w:rPr>
        <w:t>D</w:t>
      </w:r>
      <w:r w:rsidRPr="009C5807">
        <w:rPr>
          <w:lang w:val="en-US" w:eastAsia="ko-KR"/>
        </w:rPr>
        <w:t>.2</w:t>
      </w:r>
      <w:r w:rsidRPr="009C5807">
        <w:rPr>
          <w:lang w:val="en-US" w:eastAsia="ko-KR"/>
        </w:rPr>
        <w:tab/>
        <w:t>NR Handover to other RATs</w:t>
      </w:r>
    </w:p>
    <w:p w14:paraId="4788876B" w14:textId="7D18FFFA" w:rsidR="00E51F6C" w:rsidRPr="009C5807" w:rsidRDefault="00E51F6C" w:rsidP="00E51F6C">
      <w:pPr>
        <w:pStyle w:val="Heading4"/>
        <w:rPr>
          <w:lang w:val="en-US" w:eastAsia="zh-CN"/>
        </w:rPr>
      </w:pPr>
      <w:r w:rsidRPr="009C5807">
        <w:rPr>
          <w:lang w:val="en-US" w:eastAsia="zh-CN"/>
        </w:rPr>
        <w:t>6.1</w:t>
      </w:r>
      <w:r>
        <w:rPr>
          <w:lang w:val="en-US" w:eastAsia="zh-CN"/>
        </w:rPr>
        <w:t>D</w:t>
      </w:r>
      <w:r w:rsidRPr="009C5807">
        <w:rPr>
          <w:lang w:val="en-US" w:eastAsia="zh-CN"/>
        </w:rPr>
        <w:t>.</w:t>
      </w:r>
      <w:r>
        <w:rPr>
          <w:lang w:val="en-US" w:eastAsia="zh-CN"/>
        </w:rPr>
        <w:t>2.</w:t>
      </w:r>
      <w:r w:rsidRPr="009C5807">
        <w:rPr>
          <w:lang w:val="en-US" w:eastAsia="zh-CN"/>
        </w:rPr>
        <w:t>1</w:t>
      </w:r>
      <w:r w:rsidRPr="009C5807">
        <w:rPr>
          <w:lang w:val="en-US" w:eastAsia="zh-CN"/>
        </w:rPr>
        <w:tab/>
        <w:t>NR – E-UTRAN Handover</w:t>
      </w:r>
    </w:p>
    <w:p w14:paraId="5BBFF2CE" w14:textId="77777777" w:rsidR="00E51F6C" w:rsidRPr="009C5807" w:rsidRDefault="00E51F6C" w:rsidP="00E51F6C">
      <w:bookmarkStart w:id="110" w:name="_Hlk104416438"/>
      <w:r w:rsidRPr="009C5807">
        <w:t>The purpose of inter-RAT handover from NR to E-UTRAN is to change the radio access mode of PCell from NR to E-UTRAN</w:t>
      </w:r>
      <w:r w:rsidRPr="00F31EAB">
        <w:t xml:space="preserve"> </w:t>
      </w:r>
      <w:r>
        <w:t>for RedCap UE</w:t>
      </w:r>
      <w:r w:rsidRPr="009C5807">
        <w:t>. The handover procedure is initiated from NR with a RRC message that implies a handover</w:t>
      </w:r>
      <w:r w:rsidRPr="009C5807">
        <w:rPr>
          <w:rFonts w:cs="v3.7.0"/>
        </w:rPr>
        <w:t xml:space="preserve"> as described in </w:t>
      </w:r>
      <w:r w:rsidRPr="009C5807">
        <w:t>TS 38.331 [2]</w:t>
      </w:r>
      <w:r w:rsidRPr="009C5807">
        <w:rPr>
          <w:rFonts w:cs="v3.7.0"/>
        </w:rPr>
        <w:t>.</w:t>
      </w:r>
      <w:r w:rsidRPr="009C5807">
        <w:t xml:space="preserve"> The requirements in this clause are applicable to SA NR.</w:t>
      </w:r>
    </w:p>
    <w:p w14:paraId="6DD2A7FE" w14:textId="77777777" w:rsidR="00E51F6C" w:rsidRDefault="00E51F6C" w:rsidP="00E51F6C">
      <w:pPr>
        <w:rPr>
          <w:rFonts w:cs="v4.2.0"/>
        </w:rPr>
      </w:pPr>
      <w:r w:rsidRPr="009C5807">
        <w:t xml:space="preserve">The requirements in clause </w:t>
      </w:r>
      <w:r>
        <w:rPr>
          <w:lang w:val="en-US" w:eastAsia="zh-CN"/>
        </w:rPr>
        <w:t>6.1.2.1</w:t>
      </w:r>
      <w:r w:rsidRPr="00D42959">
        <w:t xml:space="preserve"> </w:t>
      </w:r>
      <w:r w:rsidRPr="009C5807">
        <w:t>shall apply</w:t>
      </w:r>
      <w:r w:rsidRPr="000D39D7">
        <w:rPr>
          <w:rFonts w:cs="v4.2.0"/>
        </w:rPr>
        <w:t xml:space="preserve"> </w:t>
      </w:r>
      <w:r>
        <w:rPr>
          <w:rFonts w:cs="v4.2.0"/>
        </w:rPr>
        <w:t xml:space="preserve">when RedCap UE is capable of 2 Rx. When UE is </w:t>
      </w:r>
      <w:r>
        <w:rPr>
          <w:lang w:eastAsia="zh-CN"/>
        </w:rPr>
        <w:t>only required to support 1 Rx antenna</w:t>
      </w:r>
      <w:r>
        <w:rPr>
          <w:rFonts w:cs="v4.2.0"/>
        </w:rPr>
        <w:t xml:space="preserve">, the requirements </w:t>
      </w:r>
      <w:r w:rsidRPr="00691C10">
        <w:t>for category 1bis UE</w:t>
      </w:r>
      <w:r w:rsidRPr="00691C10">
        <w:rPr>
          <w:rFonts w:cs="v4.2.0"/>
        </w:rPr>
        <w:t xml:space="preserve"> defined in </w:t>
      </w:r>
      <w:r w:rsidRPr="009C5807">
        <w:t xml:space="preserve">clause </w:t>
      </w:r>
      <w:r>
        <w:rPr>
          <w:lang w:val="en-US"/>
        </w:rPr>
        <w:t>5.1.2</w:t>
      </w:r>
      <w:r w:rsidRPr="00D42959">
        <w:t xml:space="preserve"> </w:t>
      </w:r>
      <w:r>
        <w:t xml:space="preserve">in [15] </w:t>
      </w:r>
      <w:r>
        <w:rPr>
          <w:rFonts w:cs="v4.2.0"/>
        </w:rPr>
        <w:t>shall apply.</w:t>
      </w:r>
    </w:p>
    <w:bookmarkEnd w:id="110"/>
    <w:p w14:paraId="515A1AB7" w14:textId="77777777" w:rsidR="00D85FF0" w:rsidRDefault="00D85FF0"/>
    <w:bookmarkEnd w:id="108"/>
    <w:p w14:paraId="1C340BC8" w14:textId="5C3AEF23" w:rsidR="00B4741B" w:rsidRPr="009C5807" w:rsidRDefault="00B4741B" w:rsidP="00B4741B">
      <w:pPr>
        <w:pStyle w:val="Heading2"/>
      </w:pPr>
      <w:r w:rsidRPr="009C5807">
        <w:t>6.2</w:t>
      </w:r>
      <w:r w:rsidRPr="009C5807">
        <w:tab/>
        <w:t>RRC Connection Mobility Control</w:t>
      </w:r>
      <w:bookmarkEnd w:id="78"/>
    </w:p>
    <w:p w14:paraId="13B4C702" w14:textId="77777777" w:rsidR="00B4741B" w:rsidRPr="009C5807" w:rsidRDefault="00B4741B" w:rsidP="00B4741B">
      <w:pPr>
        <w:pStyle w:val="Heading3"/>
        <w:rPr>
          <w:lang w:val="en-US" w:eastAsia="ko-KR"/>
        </w:rPr>
      </w:pPr>
      <w:bookmarkStart w:id="111" w:name="_Toc526331628"/>
      <w:bookmarkStart w:id="112" w:name="_Toc5952580"/>
      <w:r w:rsidRPr="009C5807">
        <w:rPr>
          <w:lang w:val="en-US" w:eastAsia="ko-KR"/>
        </w:rPr>
        <w:t>6.2.1</w:t>
      </w:r>
      <w:r w:rsidRPr="009C5807">
        <w:rPr>
          <w:lang w:val="en-US" w:eastAsia="ko-KR"/>
        </w:rPr>
        <w:tab/>
        <w:t>SA: RRC Re-establishment</w:t>
      </w:r>
      <w:bookmarkEnd w:id="111"/>
    </w:p>
    <w:p w14:paraId="194358EB" w14:textId="77777777" w:rsidR="00B4741B" w:rsidRPr="009C5807" w:rsidRDefault="00B4741B" w:rsidP="00B4741B">
      <w:pPr>
        <w:pStyle w:val="Heading4"/>
        <w:rPr>
          <w:lang w:eastAsia="ko-KR"/>
        </w:rPr>
      </w:pPr>
      <w:bookmarkStart w:id="113" w:name="_Toc526331629"/>
      <w:r w:rsidRPr="009C5807">
        <w:rPr>
          <w:lang w:eastAsia="ko-KR"/>
        </w:rPr>
        <w:t>6.2.1.1</w:t>
      </w:r>
      <w:r w:rsidRPr="009C5807">
        <w:rPr>
          <w:lang w:eastAsia="ko-KR"/>
        </w:rPr>
        <w:tab/>
        <w:t>Introduction</w:t>
      </w:r>
      <w:bookmarkEnd w:id="113"/>
    </w:p>
    <w:p w14:paraId="47B6E3E5" w14:textId="6F28E3E5" w:rsidR="00B4741B" w:rsidRPr="009C5807" w:rsidRDefault="00B4741B" w:rsidP="00125AB5">
      <w:pPr>
        <w:rPr>
          <w:lang w:val="en-US" w:eastAsia="zh-CN"/>
        </w:rPr>
      </w:pPr>
      <w:r w:rsidRPr="009C5807">
        <w:rPr>
          <w:lang w:val="en-US" w:eastAsia="zh-CN"/>
        </w:rPr>
        <w:t>This clause contains requirements on the UE regarding RRC connection re-establishment procedure. RRC connection re-establishment is initiated when a UE in RRC_CONNECTED state</w:t>
      </w:r>
      <w:r w:rsidR="008D754E" w:rsidRPr="008D754E">
        <w:rPr>
          <w:lang w:val="en-US" w:eastAsia="zh-CN"/>
        </w:rPr>
        <w:t xml:space="preserve"> </w:t>
      </w:r>
      <w:r w:rsidR="008D754E">
        <w:rPr>
          <w:lang w:val="en-US" w:eastAsia="zh-CN"/>
        </w:rPr>
        <w:t>on the carrier without CCA or on the carrier with CCA</w:t>
      </w:r>
      <w:r w:rsidR="008D754E" w:rsidRPr="00885F53">
        <w:rPr>
          <w:lang w:val="en-US" w:eastAsia="zh-CN"/>
        </w:rPr>
        <w:t xml:space="preserve"> </w:t>
      </w:r>
      <w:r w:rsidRPr="009C5807">
        <w:rPr>
          <w:lang w:val="en-US" w:eastAsia="zh-CN"/>
        </w:rPr>
        <w:t>loses RRC connection due to any of failure cases, including radio link failure, handover failure, and RRC connection reconfiguration failure. The RRC connection re-establishment procedure is specified in clause 5.3.7 of TS 38.331 [2].</w:t>
      </w:r>
    </w:p>
    <w:p w14:paraId="4E51AEB1" w14:textId="77777777" w:rsidR="00B4741B" w:rsidRPr="009C5807" w:rsidRDefault="00B4741B" w:rsidP="00125AB5">
      <w:pPr>
        <w:rPr>
          <w:lang w:val="en-US" w:eastAsia="zh-CN"/>
        </w:rPr>
      </w:pPr>
      <w:r w:rsidRPr="009C5807">
        <w:rPr>
          <w:lang w:val="en-US" w:eastAsia="zh-CN"/>
        </w:rPr>
        <w:t>The requirements in this clause are applicable for RRC connection re-establishment to NR cell.</w:t>
      </w:r>
    </w:p>
    <w:p w14:paraId="2EA7A8B9" w14:textId="77777777" w:rsidR="00B4741B" w:rsidRPr="009C5807" w:rsidRDefault="00B4741B" w:rsidP="00B4741B">
      <w:pPr>
        <w:pStyle w:val="Heading4"/>
        <w:rPr>
          <w:lang w:eastAsia="ko-KR"/>
        </w:rPr>
      </w:pPr>
      <w:bookmarkStart w:id="114" w:name="_Toc526331630"/>
      <w:r w:rsidRPr="009C5807">
        <w:rPr>
          <w:lang w:eastAsia="ko-KR"/>
        </w:rPr>
        <w:t>6.2.1.2</w:t>
      </w:r>
      <w:r w:rsidRPr="009C5807">
        <w:rPr>
          <w:lang w:eastAsia="ko-KR"/>
        </w:rPr>
        <w:tab/>
        <w:t>Requirements</w:t>
      </w:r>
      <w:bookmarkEnd w:id="114"/>
    </w:p>
    <w:p w14:paraId="710094AD" w14:textId="1BE97BD3" w:rsidR="00B4741B" w:rsidRPr="009C5807" w:rsidRDefault="00B4741B" w:rsidP="00B4741B">
      <w:pPr>
        <w:rPr>
          <w:lang w:eastAsia="ko-KR"/>
        </w:rPr>
      </w:pPr>
      <w:r w:rsidRPr="009C5807">
        <w:rPr>
          <w:lang w:eastAsia="ko-KR"/>
        </w:rPr>
        <w:t xml:space="preserve">In </w:t>
      </w:r>
      <w:r w:rsidRPr="009C5807">
        <w:rPr>
          <w:rFonts w:hint="eastAsia"/>
          <w:lang w:eastAsia="zh-CN"/>
        </w:rPr>
        <w:t>RRC_CONNECTED state</w:t>
      </w:r>
      <w:r w:rsidRPr="009C5807">
        <w:rPr>
          <w:lang w:eastAsia="ko-KR"/>
        </w:rPr>
        <w:t xml:space="preserve"> the UE shall be capable of sending </w:t>
      </w:r>
      <w:r w:rsidRPr="009C5807">
        <w:rPr>
          <w:i/>
          <w:lang w:eastAsia="ko-KR"/>
        </w:rPr>
        <w:t>RRCReestablishmentRequest</w:t>
      </w:r>
      <w:r w:rsidRPr="009C5807">
        <w:rPr>
          <w:lang w:eastAsia="ko-KR"/>
        </w:rPr>
        <w:t xml:space="preserve"> message within T</w:t>
      </w:r>
      <w:r w:rsidRPr="009C5807">
        <w:rPr>
          <w:vertAlign w:val="subscript"/>
          <w:lang w:eastAsia="ko-KR"/>
        </w:rPr>
        <w:t>re-establish_delay</w:t>
      </w:r>
      <w:r w:rsidRPr="009C5807">
        <w:rPr>
          <w:lang w:eastAsia="ko-KR"/>
        </w:rPr>
        <w:t xml:space="preserve"> seconds from the moment it detects </w:t>
      </w:r>
      <w:r w:rsidRPr="009C5807">
        <w:rPr>
          <w:snapToGrid w:val="0"/>
          <w:lang w:eastAsia="ko-KR"/>
        </w:rPr>
        <w:t>a loss in RRC connection</w:t>
      </w:r>
      <w:r w:rsidRPr="009C5807">
        <w:rPr>
          <w:lang w:eastAsia="ko-KR"/>
        </w:rPr>
        <w:t>. The total RRC connection delay (T</w:t>
      </w:r>
      <w:r w:rsidRPr="009C5807">
        <w:rPr>
          <w:vertAlign w:val="subscript"/>
          <w:lang w:eastAsia="ko-KR"/>
        </w:rPr>
        <w:t>re-establish_delay</w:t>
      </w:r>
      <w:r w:rsidRPr="009C5807">
        <w:rPr>
          <w:lang w:eastAsia="ko-KR"/>
        </w:rPr>
        <w:t>) shall be less than:</w:t>
      </w:r>
    </w:p>
    <w:p w14:paraId="538C3064" w14:textId="77777777" w:rsidR="000433CC" w:rsidRPr="00734785" w:rsidRDefault="00000000" w:rsidP="000433CC">
      <w:pPr>
        <w:pStyle w:val="EQ"/>
        <w:jc w:val="center"/>
        <w:rPr>
          <w:iCs/>
          <w:vertAlign w:val="subscript"/>
        </w:rPr>
      </w:pPr>
      <m:oMathPara>
        <m:oMathParaPr>
          <m:jc m:val="center"/>
        </m:oMathParaPr>
        <m:oMath>
          <m:sSub>
            <m:sSubPr>
              <m:ctrlPr>
                <w:rPr>
                  <w:rFonts w:ascii="Cambria Math" w:hAnsi="Cambria Math"/>
                  <w:iCs/>
                  <w:noProof w:val="0"/>
                  <w:lang w:eastAsia="ko-KR"/>
                </w:rPr>
              </m:ctrlPr>
            </m:sSubPr>
            <m:e>
              <m:r>
                <m:rPr>
                  <m:sty m:val="p"/>
                </m:rPr>
                <w:rPr>
                  <w:rFonts w:ascii="Cambria Math" w:hAnsi="Cambria Math"/>
                  <w:noProof w:val="0"/>
                  <w:lang w:eastAsia="ko-KR"/>
                </w:rPr>
                <m:t>T</m:t>
              </m:r>
            </m:e>
            <m:sub>
              <m:r>
                <m:rPr>
                  <m:sty m:val="p"/>
                </m:rPr>
                <w:rPr>
                  <w:rFonts w:ascii="Cambria Math" w:hAnsi="Cambria Math"/>
                  <w:noProof w:val="0"/>
                  <w:lang w:eastAsia="ko-KR"/>
                </w:rPr>
                <m:t>re-establish_delay</m:t>
              </m:r>
            </m:sub>
          </m:sSub>
          <m:r>
            <m:rPr>
              <m:sty m:val="p"/>
            </m:rPr>
            <w:rPr>
              <w:rFonts w:ascii="Cambria Math" w:hAnsi="Cambria Math"/>
              <w:noProof w:val="0"/>
              <w:lang w:eastAsia="ko-KR"/>
            </w:rPr>
            <m:t>=</m:t>
          </m:r>
          <m:sSub>
            <m:sSubPr>
              <m:ctrlPr>
                <w:rPr>
                  <w:rFonts w:ascii="Cambria Math" w:hAnsi="Cambria Math"/>
                  <w:iCs/>
                  <w:noProof w:val="0"/>
                  <w:lang w:eastAsia="ko-KR"/>
                </w:rPr>
              </m:ctrlPr>
            </m:sSubPr>
            <m:e>
              <m:r>
                <m:rPr>
                  <m:sty m:val="p"/>
                </m:rPr>
                <w:rPr>
                  <w:rFonts w:ascii="Cambria Math" w:hAnsi="Cambria Math"/>
                  <w:noProof w:val="0"/>
                  <w:lang w:eastAsia="ko-KR"/>
                </w:rPr>
                <m:t>T</m:t>
              </m:r>
            </m:e>
            <m:sub>
              <m:r>
                <m:rPr>
                  <m:sty m:val="p"/>
                </m:rPr>
                <w:rPr>
                  <w:rFonts w:ascii="Cambria Math" w:hAnsi="Cambria Math"/>
                  <w:noProof w:val="0"/>
                  <w:lang w:eastAsia="ko-KR"/>
                </w:rPr>
                <m:t>UE_re-establish_delay</m:t>
              </m:r>
            </m:sub>
          </m:sSub>
          <m:r>
            <m:rPr>
              <m:sty m:val="p"/>
            </m:rPr>
            <w:rPr>
              <w:rFonts w:ascii="Cambria Math" w:hAnsi="Cambria Math"/>
              <w:lang w:eastAsia="ko-KR"/>
            </w:rPr>
            <m:t>+</m:t>
          </m:r>
          <m:sSub>
            <m:sSubPr>
              <m:ctrlPr>
                <w:rPr>
                  <w:rFonts w:ascii="Cambria Math" w:hAnsi="Cambria Math"/>
                  <w:iCs/>
                  <w:noProof w:val="0"/>
                  <w:lang w:eastAsia="ko-KR"/>
                </w:rPr>
              </m:ctrlPr>
            </m:sSubPr>
            <m:e>
              <m:r>
                <m:rPr>
                  <m:sty m:val="p"/>
                </m:rPr>
                <w:rPr>
                  <w:rFonts w:ascii="Cambria Math" w:hAnsi="Cambria Math"/>
                  <w:noProof w:val="0"/>
                  <w:lang w:eastAsia="ko-KR"/>
                </w:rPr>
                <m:t>T</m:t>
              </m:r>
            </m:e>
            <m:sub>
              <m:r>
                <m:rPr>
                  <m:sty m:val="p"/>
                </m:rPr>
                <w:rPr>
                  <w:rFonts w:ascii="Cambria Math" w:hAnsi="Cambria Math"/>
                  <w:noProof w:val="0"/>
                  <w:lang w:eastAsia="ko-KR"/>
                </w:rPr>
                <m:t>UL_grant</m:t>
              </m:r>
            </m:sub>
          </m:sSub>
        </m:oMath>
      </m:oMathPara>
    </w:p>
    <w:p w14:paraId="4E58FCAA" w14:textId="77777777" w:rsidR="00B4741B" w:rsidRPr="009C5807" w:rsidRDefault="00B4741B" w:rsidP="00B4741B">
      <w:r w:rsidRPr="009C5807">
        <w:t>T</w:t>
      </w:r>
      <w:r w:rsidRPr="009C5807">
        <w:rPr>
          <w:vertAlign w:val="subscript"/>
        </w:rPr>
        <w:t>UL_grant</w:t>
      </w:r>
      <w:r w:rsidRPr="009C5807">
        <w:t>: It is the time required to acquire and process uplink grant from the target PCell. The uplink grant is required to</w:t>
      </w:r>
      <w:r w:rsidRPr="009C5807">
        <w:rPr>
          <w:lang w:eastAsia="ko-KR"/>
        </w:rPr>
        <w:t xml:space="preserve"> </w:t>
      </w:r>
      <w:r w:rsidRPr="009C5807">
        <w:t xml:space="preserve">transmit </w:t>
      </w:r>
      <w:r w:rsidRPr="009C5807">
        <w:rPr>
          <w:i/>
        </w:rPr>
        <w:t>RRCReestablishmentRequest</w:t>
      </w:r>
      <w:r w:rsidRPr="009C5807">
        <w:t xml:space="preserve"> </w:t>
      </w:r>
      <w:r w:rsidRPr="009C5807">
        <w:rPr>
          <w:rFonts w:cs="v4.2.0"/>
        </w:rPr>
        <w:t>message.</w:t>
      </w:r>
    </w:p>
    <w:p w14:paraId="46E1E178" w14:textId="77777777" w:rsidR="00B4741B" w:rsidRPr="009C5807" w:rsidRDefault="00B4741B" w:rsidP="00B4741B">
      <w:pPr>
        <w:rPr>
          <w:lang w:eastAsia="ko-KR"/>
        </w:rPr>
      </w:pPr>
      <w:r w:rsidRPr="009C5807">
        <w:rPr>
          <w:lang w:eastAsia="ko-KR"/>
        </w:rPr>
        <w:t>The UE re-establishment delay (T</w:t>
      </w:r>
      <w:r w:rsidRPr="009C5807">
        <w:rPr>
          <w:vertAlign w:val="subscript"/>
          <w:lang w:eastAsia="ko-KR"/>
        </w:rPr>
        <w:t>UE_re-establish_delay</w:t>
      </w:r>
      <w:r w:rsidRPr="009C5807">
        <w:rPr>
          <w:lang w:eastAsia="ko-KR"/>
        </w:rPr>
        <w:t>) is specified in clause 6.2.1.2.1.</w:t>
      </w:r>
    </w:p>
    <w:p w14:paraId="62939F05" w14:textId="77777777" w:rsidR="00B4741B" w:rsidRPr="009C5807" w:rsidRDefault="00B4741B" w:rsidP="00B4741B">
      <w:pPr>
        <w:pStyle w:val="Heading5"/>
        <w:rPr>
          <w:lang w:val="en-US" w:eastAsia="zh-CN"/>
        </w:rPr>
      </w:pPr>
      <w:bookmarkStart w:id="115" w:name="_Toc526331631"/>
      <w:r w:rsidRPr="009C5807">
        <w:rPr>
          <w:lang w:val="en-US" w:eastAsia="zh-CN"/>
        </w:rPr>
        <w:t>6.2.1.2.1</w:t>
      </w:r>
      <w:r w:rsidRPr="009C5807">
        <w:rPr>
          <w:lang w:val="en-US" w:eastAsia="zh-CN"/>
        </w:rPr>
        <w:tab/>
        <w:t>UE Re-establishment delay requirement</w:t>
      </w:r>
      <w:bookmarkEnd w:id="115"/>
    </w:p>
    <w:p w14:paraId="796F387B" w14:textId="77777777" w:rsidR="00F104FA" w:rsidRPr="009C5807" w:rsidRDefault="00F104FA" w:rsidP="00F104FA">
      <w:pPr>
        <w:rPr>
          <w:lang w:eastAsia="ko-KR"/>
        </w:rPr>
      </w:pPr>
      <w:r w:rsidRPr="009C5807">
        <w:rPr>
          <w:lang w:eastAsia="ko-KR"/>
        </w:rPr>
        <w:t>The UE re-establishment delay (T</w:t>
      </w:r>
      <w:r w:rsidRPr="009C5807">
        <w:rPr>
          <w:vertAlign w:val="subscript"/>
          <w:lang w:eastAsia="ko-KR"/>
        </w:rPr>
        <w:t>UE_re-establish_delay</w:t>
      </w:r>
      <w:r w:rsidRPr="009C5807">
        <w:rPr>
          <w:lang w:eastAsia="ko-KR"/>
        </w:rPr>
        <w:t xml:space="preserve">) is the time between the moments when any of the conditions requiring RRC </w:t>
      </w:r>
      <w:r w:rsidRPr="009C5807">
        <w:rPr>
          <w:lang w:eastAsia="zh-CN"/>
        </w:rPr>
        <w:t>re-establishment</w:t>
      </w:r>
      <w:r w:rsidRPr="009C5807">
        <w:rPr>
          <w:lang w:eastAsia="ko-KR"/>
        </w:rPr>
        <w:t xml:space="preserve"> as defined in clause 5.3.7 in TS 38.331 [2] is detected </w:t>
      </w:r>
      <w:r w:rsidRPr="009C5807">
        <w:rPr>
          <w:snapToGrid w:val="0"/>
          <w:lang w:eastAsia="ko-KR"/>
        </w:rPr>
        <w:t>by the UE</w:t>
      </w:r>
      <w:r w:rsidRPr="009C5807">
        <w:rPr>
          <w:lang w:eastAsia="ko-KR"/>
        </w:rPr>
        <w:t xml:space="preserve"> and when the UE sends PRACH to the target </w:t>
      </w:r>
      <w:r w:rsidRPr="009C5807">
        <w:rPr>
          <w:lang w:eastAsia="zh-CN"/>
        </w:rPr>
        <w:t>PC</w:t>
      </w:r>
      <w:r w:rsidRPr="009C5807">
        <w:rPr>
          <w:lang w:eastAsia="ko-KR"/>
        </w:rPr>
        <w:t>ell. The UE re-establishment delay (T</w:t>
      </w:r>
      <w:r w:rsidRPr="009C5807">
        <w:rPr>
          <w:vertAlign w:val="subscript"/>
          <w:lang w:eastAsia="ko-KR"/>
        </w:rPr>
        <w:t>UE_re-establish_delay</w:t>
      </w:r>
      <w:r w:rsidRPr="009C5807">
        <w:rPr>
          <w:lang w:eastAsia="ko-KR"/>
        </w:rPr>
        <w:t>) requirement shall be less than:</w:t>
      </w:r>
    </w:p>
    <w:p w14:paraId="7EAD171C" w14:textId="77777777" w:rsidR="000433CC" w:rsidRPr="009C5807" w:rsidRDefault="00000000" w:rsidP="000433CC">
      <w:pPr>
        <w:pStyle w:val="EQ"/>
        <w:jc w:val="center"/>
        <w:rPr>
          <w:iCs/>
          <w:lang w:eastAsia="ko-KR"/>
        </w:rPr>
      </w:pPr>
      <m:oMathPara>
        <m:oMath>
          <m:sSub>
            <m:sSubPr>
              <m:ctrlPr>
                <w:rPr>
                  <w:rFonts w:ascii="Cambria Math" w:hAnsi="Cambria Math"/>
                  <w:iCs/>
                  <w:noProof w:val="0"/>
                  <w:lang w:eastAsia="ko-KR"/>
                </w:rPr>
              </m:ctrlPr>
            </m:sSubPr>
            <m:e>
              <m:r>
                <m:rPr>
                  <m:sty m:val="p"/>
                </m:rPr>
                <w:rPr>
                  <w:rFonts w:ascii="Cambria Math" w:hAnsi="Cambria Math"/>
                  <w:noProof w:val="0"/>
                  <w:lang w:eastAsia="ko-KR"/>
                </w:rPr>
                <m:t>T</m:t>
              </m:r>
            </m:e>
            <m:sub>
              <m:r>
                <m:rPr>
                  <m:sty m:val="p"/>
                </m:rPr>
                <w:rPr>
                  <w:rFonts w:ascii="Cambria Math" w:hAnsi="Cambria Math"/>
                  <w:noProof w:val="0"/>
                  <w:lang w:eastAsia="ko-KR"/>
                </w:rPr>
                <m:t>UE_re-establish_delay</m:t>
              </m:r>
            </m:sub>
          </m:sSub>
          <m:r>
            <m:rPr>
              <m:sty m:val="p"/>
            </m:rPr>
            <w:rPr>
              <w:rFonts w:ascii="Cambria Math" w:hAnsi="Cambria Math"/>
              <w:noProof w:val="0"/>
              <w:lang w:eastAsia="ko-KR"/>
            </w:rPr>
            <m:t>=50 ms+</m:t>
          </m:r>
          <m:sSub>
            <m:sSubPr>
              <m:ctrlPr>
                <w:rPr>
                  <w:rFonts w:ascii="Cambria Math" w:hAnsi="Cambria Math"/>
                  <w:iCs/>
                  <w:noProof w:val="0"/>
                  <w:lang w:eastAsia="ko-KR"/>
                </w:rPr>
              </m:ctrlPr>
            </m:sSubPr>
            <m:e>
              <m:r>
                <m:rPr>
                  <m:sty m:val="p"/>
                </m:rPr>
                <w:rPr>
                  <w:rFonts w:ascii="Cambria Math" w:hAnsi="Cambria Math"/>
                  <w:noProof w:val="0"/>
                  <w:lang w:eastAsia="ko-KR"/>
                </w:rPr>
                <m:t>T</m:t>
              </m:r>
            </m:e>
            <m:sub>
              <m:r>
                <m:rPr>
                  <m:sty m:val="p"/>
                </m:rPr>
                <w:rPr>
                  <w:rFonts w:ascii="Cambria Math" w:hAnsi="Cambria Math"/>
                  <w:noProof w:val="0"/>
                  <w:lang w:eastAsia="ko-KR"/>
                </w:rPr>
                <m:t>identify_intra_NR</m:t>
              </m:r>
            </m:sub>
          </m:sSub>
          <m:r>
            <m:rPr>
              <m:sty m:val="p"/>
            </m:rPr>
            <w:rPr>
              <w:rFonts w:ascii="Cambria Math" w:hAnsi="Cambria Math"/>
              <w:noProof w:val="0"/>
              <w:lang w:eastAsia="ko-KR"/>
            </w:rPr>
            <m:t>+</m:t>
          </m:r>
          <m:nary>
            <m:naryPr>
              <m:chr m:val="∑"/>
              <m:limLoc m:val="subSup"/>
              <m:ctrlPr>
                <w:rPr>
                  <w:rFonts w:ascii="Cambria Math" w:hAnsi="Cambria Math"/>
                  <w:iCs/>
                </w:rPr>
              </m:ctrlPr>
            </m:naryPr>
            <m:sub>
              <m:r>
                <m:rPr>
                  <m:sty m:val="p"/>
                </m:rPr>
                <w:rPr>
                  <w:rFonts w:ascii="Cambria Math" w:hAnsi="Cambria Math"/>
                </w:rPr>
                <m:t>i=1</m:t>
              </m:r>
            </m:sub>
            <m:sup>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freq</m:t>
                  </m:r>
                </m:sub>
              </m:sSub>
              <m:r>
                <m:rPr>
                  <m:sty m:val="p"/>
                </m:rPr>
                <w:rPr>
                  <w:rFonts w:ascii="Cambria Math" w:hAnsi="Cambria Math"/>
                </w:rPr>
                <m:t>-1</m:t>
              </m:r>
            </m:sup>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identify_inter_NR,i</m:t>
                  </m:r>
                </m:sub>
              </m:sSub>
            </m:e>
          </m:nary>
          <m:r>
            <m:rPr>
              <m:sty m:val="p"/>
            </m:rPr>
            <w:rPr>
              <w:rFonts w:ascii="Cambria Math" w:hAnsi="Cambria Math"/>
              <w:vertAlign w:val="subscript"/>
            </w:rPr>
            <m:t>+</m:t>
          </m:r>
          <m:sSub>
            <m:sSubPr>
              <m:ctrlPr>
                <w:rPr>
                  <w:rFonts w:ascii="Cambria Math" w:hAnsi="Cambria Math"/>
                  <w:iCs/>
                  <w:vertAlign w:val="subscript"/>
                </w:rPr>
              </m:ctrlPr>
            </m:sSubPr>
            <m:e>
              <m:r>
                <m:rPr>
                  <m:sty m:val="p"/>
                </m:rPr>
                <w:rPr>
                  <w:rFonts w:ascii="Cambria Math" w:hAnsi="Cambria Math"/>
                  <w:vertAlign w:val="subscript"/>
                </w:rPr>
                <m:t>T</m:t>
              </m:r>
            </m:e>
            <m:sub>
              <m:r>
                <m:rPr>
                  <m:sty m:val="p"/>
                </m:rPr>
                <w:rPr>
                  <w:rFonts w:ascii="Cambria Math" w:hAnsi="Cambria Math"/>
                  <w:vertAlign w:val="subscript"/>
                </w:rPr>
                <m:t>SI-NR</m:t>
              </m:r>
            </m:sub>
          </m:sSub>
          <m:r>
            <m:rPr>
              <m:sty m:val="p"/>
            </m:rPr>
            <w:rPr>
              <w:rFonts w:ascii="Cambria Math" w:hAnsi="Cambria Math"/>
              <w:vertAlign w:val="subscript"/>
            </w:rPr>
            <m:t>+</m:t>
          </m:r>
          <m:sSub>
            <m:sSubPr>
              <m:ctrlPr>
                <w:rPr>
                  <w:rFonts w:ascii="Cambria Math" w:hAnsi="Cambria Math"/>
                  <w:iCs/>
                  <w:vertAlign w:val="subscript"/>
                </w:rPr>
              </m:ctrlPr>
            </m:sSubPr>
            <m:e>
              <m:r>
                <m:rPr>
                  <m:sty m:val="p"/>
                </m:rPr>
                <w:rPr>
                  <w:rFonts w:ascii="Cambria Math" w:hAnsi="Cambria Math"/>
                  <w:vertAlign w:val="subscript"/>
                </w:rPr>
                <m:t>T</m:t>
              </m:r>
            </m:e>
            <m:sub>
              <m:r>
                <m:rPr>
                  <m:sty m:val="p"/>
                </m:rPr>
                <w:rPr>
                  <w:rFonts w:ascii="Cambria Math" w:hAnsi="Cambria Math"/>
                  <w:vertAlign w:val="subscript"/>
                </w:rPr>
                <m:t>PRACH</m:t>
              </m:r>
            </m:sub>
          </m:sSub>
        </m:oMath>
      </m:oMathPara>
    </w:p>
    <w:p w14:paraId="5C1A49E7" w14:textId="77777777" w:rsidR="00F104FA" w:rsidRPr="009C5807" w:rsidRDefault="00F104FA" w:rsidP="00F104FA">
      <w:pPr>
        <w:rPr>
          <w:rFonts w:cs="v4.2.0"/>
          <w:lang w:eastAsia="ko-KR"/>
        </w:rPr>
      </w:pPr>
      <w:r w:rsidRPr="009C5807">
        <w:rPr>
          <w:lang w:eastAsia="ko-KR"/>
        </w:rPr>
        <w:t>The intra-frequency target NR cell shall be considered detectable</w:t>
      </w:r>
      <w:r w:rsidRPr="009C5807">
        <w:rPr>
          <w:rFonts w:cs="v4.2.0"/>
          <w:lang w:eastAsia="ko-KR"/>
        </w:rPr>
        <w:t xml:space="preserve"> </w:t>
      </w:r>
      <w:r w:rsidRPr="009C5807">
        <w:rPr>
          <w:rFonts w:cs="v4.2.0" w:hint="eastAsia"/>
          <w:lang w:eastAsia="zh-CN"/>
        </w:rPr>
        <w:t>if</w:t>
      </w:r>
      <w:r w:rsidRPr="009C5807">
        <w:rPr>
          <w:rFonts w:cs="v4.2.0"/>
          <w:lang w:eastAsia="ko-KR"/>
        </w:rPr>
        <w:t xml:space="preserve"> each relevant SSB</w:t>
      </w:r>
      <w:r w:rsidRPr="009C5807">
        <w:rPr>
          <w:rFonts w:cs="v4.2.0" w:hint="eastAsia"/>
          <w:lang w:eastAsia="zh-CN"/>
        </w:rPr>
        <w:t xml:space="preserve"> can satisfy that</w:t>
      </w:r>
      <w:r w:rsidRPr="009C5807">
        <w:rPr>
          <w:rFonts w:cs="v4.2.0"/>
          <w:lang w:eastAsia="ko-KR"/>
        </w:rPr>
        <w:t>:</w:t>
      </w:r>
    </w:p>
    <w:p w14:paraId="1861C18B" w14:textId="77777777" w:rsidR="00840498" w:rsidRPr="009C5807" w:rsidRDefault="00840498" w:rsidP="00840498">
      <w:pPr>
        <w:pStyle w:val="B10"/>
        <w:rPr>
          <w:lang w:eastAsia="zh-CN"/>
        </w:rPr>
      </w:pPr>
      <w:r w:rsidRPr="009C5807">
        <w:t>-</w:t>
      </w:r>
      <w:r w:rsidRPr="009C5807">
        <w:tab/>
        <w:t>SS-RSRP related side conditions given in clause 10.1.2 and 10.1.3 are fulfilled for a corresponding NR Band for FR1 and FR2, respectively,</w:t>
      </w:r>
      <w:r w:rsidRPr="009C5807">
        <w:rPr>
          <w:rFonts w:hint="eastAsia"/>
          <w:lang w:eastAsia="zh-CN"/>
        </w:rPr>
        <w:t xml:space="preserve"> and</w:t>
      </w:r>
    </w:p>
    <w:p w14:paraId="794AC364" w14:textId="0DA02630" w:rsidR="00840498" w:rsidRPr="009C5807" w:rsidRDefault="00840498" w:rsidP="00840498">
      <w:pPr>
        <w:pStyle w:val="B10"/>
        <w:rPr>
          <w:rFonts w:cs="v4.2.0"/>
        </w:rPr>
      </w:pPr>
      <w:r w:rsidRPr="009C5807">
        <w:t>-</w:t>
      </w:r>
      <w:r w:rsidRPr="009C5807">
        <w:tab/>
      </w:r>
      <w:r w:rsidRPr="009C5807">
        <w:rPr>
          <w:rFonts w:hint="eastAsia"/>
          <w:lang w:eastAsia="zh-CN"/>
        </w:rPr>
        <w:t xml:space="preserve">the conditions of </w:t>
      </w:r>
      <w:r w:rsidRPr="009C5807">
        <w:t xml:space="preserve">SSB_RP and SSB </w:t>
      </w:r>
      <w:r w:rsidRPr="009C5807">
        <w:rPr>
          <w:lang w:val="en-US"/>
        </w:rPr>
        <w:t>Ês/Iot</w:t>
      </w:r>
      <w:r w:rsidRPr="009C5807">
        <w:t xml:space="preserve"> according to Annex B.2.</w:t>
      </w:r>
      <w:r>
        <w:t>2</w:t>
      </w:r>
      <w:r w:rsidRPr="009C5807">
        <w:t xml:space="preserve"> for a corresponding NR Band</w:t>
      </w:r>
      <w:r w:rsidRPr="009C5807">
        <w:rPr>
          <w:rFonts w:hint="eastAsia"/>
          <w:lang w:eastAsia="zh-CN"/>
        </w:rPr>
        <w:t xml:space="preserve"> are fulfilled</w:t>
      </w:r>
      <w:r w:rsidRPr="009C5807">
        <w:t>.</w:t>
      </w:r>
    </w:p>
    <w:p w14:paraId="4436C19F" w14:textId="77777777" w:rsidR="00840498" w:rsidRPr="009C5807" w:rsidRDefault="00840498" w:rsidP="00840498">
      <w:pPr>
        <w:rPr>
          <w:rFonts w:cs="v4.2.0"/>
          <w:lang w:eastAsia="ko-KR"/>
        </w:rPr>
      </w:pPr>
      <w:r w:rsidRPr="009C5807">
        <w:rPr>
          <w:lang w:eastAsia="ko-KR"/>
        </w:rPr>
        <w:t>The inter-frequency target NR cell shall be considered detectable</w:t>
      </w:r>
      <w:r w:rsidRPr="009C5807">
        <w:rPr>
          <w:rFonts w:cs="v4.2.0"/>
          <w:lang w:eastAsia="ko-KR"/>
        </w:rPr>
        <w:t xml:space="preserve"> when for each relevant SSB:</w:t>
      </w:r>
    </w:p>
    <w:p w14:paraId="03AED8FE" w14:textId="77777777" w:rsidR="00840498" w:rsidRPr="009C5807" w:rsidRDefault="00840498" w:rsidP="00840498">
      <w:pPr>
        <w:pStyle w:val="B10"/>
        <w:rPr>
          <w:lang w:eastAsia="zh-CN"/>
        </w:rPr>
      </w:pPr>
      <w:r w:rsidRPr="009C5807">
        <w:t>-</w:t>
      </w:r>
      <w:r w:rsidRPr="009C5807">
        <w:tab/>
        <w:t>SS-RSRP related side conditions given in clause 10.1.4 and 10.1.5 are fulfilled for a corresponding NR Band for FR1 and FR2, respectively,</w:t>
      </w:r>
      <w:r w:rsidRPr="009C5807">
        <w:rPr>
          <w:rFonts w:hint="eastAsia"/>
          <w:lang w:eastAsia="zh-CN"/>
        </w:rPr>
        <w:t xml:space="preserve"> and</w:t>
      </w:r>
    </w:p>
    <w:p w14:paraId="65C72EC9" w14:textId="53E5BB87" w:rsidR="00840498" w:rsidRPr="009C5807" w:rsidRDefault="00840498" w:rsidP="00840498">
      <w:pPr>
        <w:pStyle w:val="B10"/>
        <w:rPr>
          <w:rFonts w:cs="v4.2.0"/>
        </w:rPr>
      </w:pPr>
      <w:r w:rsidRPr="009C5807">
        <w:t>-</w:t>
      </w:r>
      <w:r w:rsidRPr="009C5807">
        <w:tab/>
      </w:r>
      <w:r w:rsidRPr="009C5807">
        <w:rPr>
          <w:rFonts w:hint="eastAsia"/>
          <w:lang w:eastAsia="zh-CN"/>
        </w:rPr>
        <w:t xml:space="preserve">the conditions of </w:t>
      </w:r>
      <w:r w:rsidRPr="009C5807">
        <w:t xml:space="preserve">SSB_RP and SSB </w:t>
      </w:r>
      <w:r w:rsidRPr="009C5807">
        <w:rPr>
          <w:lang w:val="en-US"/>
        </w:rPr>
        <w:t>Ês/Iot</w:t>
      </w:r>
      <w:r w:rsidRPr="009C5807">
        <w:t xml:space="preserve"> according to Annex B.2.</w:t>
      </w:r>
      <w:r>
        <w:t>3</w:t>
      </w:r>
      <w:r w:rsidRPr="009C5807">
        <w:t xml:space="preserve"> for a corresponding NR Band</w:t>
      </w:r>
      <w:r w:rsidRPr="009C5807">
        <w:rPr>
          <w:rFonts w:hint="eastAsia"/>
          <w:lang w:eastAsia="zh-CN"/>
        </w:rPr>
        <w:t xml:space="preserve"> are fulfilled</w:t>
      </w:r>
      <w:r w:rsidRPr="009C5807">
        <w:t>.</w:t>
      </w:r>
    </w:p>
    <w:p w14:paraId="3F0F5D6A" w14:textId="4DEB513C" w:rsidR="00EA5AFC" w:rsidRPr="009C5807" w:rsidRDefault="004141D8" w:rsidP="00EA5AFC">
      <w:pPr>
        <w:rPr>
          <w:lang w:eastAsia="ko-KR"/>
        </w:rPr>
      </w:pPr>
      <w:r w:rsidRPr="00320CAB">
        <w:rPr>
          <w:lang w:eastAsia="ko-KR"/>
        </w:rPr>
        <w:t>T</w:t>
      </w:r>
      <w:r w:rsidRPr="00320CAB">
        <w:rPr>
          <w:vertAlign w:val="subscript"/>
          <w:lang w:eastAsia="ko-KR"/>
        </w:rPr>
        <w:t>identify_intra_NR</w:t>
      </w:r>
      <w:r w:rsidRPr="00320CAB">
        <w:rPr>
          <w:lang w:eastAsia="ko-KR"/>
        </w:rPr>
        <w:t>: It is the time to identify the target intra-frequency NR cell and it depends on whether the target NR cell is known cell or unknown cell and on the FR of the target NR cell. If the UE is not configured with intra-frequency NR carrier for RRC re-establishment then T</w:t>
      </w:r>
      <w:r w:rsidRPr="00320CAB">
        <w:rPr>
          <w:vertAlign w:val="subscript"/>
          <w:lang w:eastAsia="ko-KR"/>
        </w:rPr>
        <w:t>identify_intra_NR</w:t>
      </w:r>
      <w:r w:rsidRPr="00320CAB">
        <w:rPr>
          <w:lang w:eastAsia="ko-KR"/>
        </w:rPr>
        <w:t>=0; otherwise T</w:t>
      </w:r>
      <w:r w:rsidRPr="00320CAB">
        <w:rPr>
          <w:vertAlign w:val="subscript"/>
          <w:lang w:eastAsia="ko-KR"/>
        </w:rPr>
        <w:t>identify_intra_NR</w:t>
      </w:r>
      <w:r w:rsidRPr="00320CAB">
        <w:rPr>
          <w:lang w:eastAsia="ko-KR"/>
        </w:rPr>
        <w:t xml:space="preserve"> shall not exceed the values defined in </w:t>
      </w:r>
      <w:r w:rsidRPr="00320CAB">
        <w:rPr>
          <w:lang w:eastAsia="zh-CN"/>
        </w:rPr>
        <w:t>T</w:t>
      </w:r>
      <w:r w:rsidRPr="00320CAB">
        <w:rPr>
          <w:lang w:eastAsia="ko-KR"/>
        </w:rPr>
        <w:t xml:space="preserve">able 6.2.1.2.1-1 when </w:t>
      </w:r>
      <w:r w:rsidRPr="00320CAB">
        <w:rPr>
          <w:i/>
          <w:iCs/>
        </w:rPr>
        <w:t>highSpeedMeasFlagFR2-r17</w:t>
      </w:r>
      <w:r w:rsidRPr="00320CAB">
        <w:rPr>
          <w:lang w:eastAsia="ko-KR"/>
        </w:rPr>
        <w:t xml:space="preserve"> is not configured or UE is not capable of FR2 power class 6 and </w:t>
      </w:r>
      <w:r w:rsidRPr="00320CAB">
        <w:rPr>
          <w:lang w:eastAsia="zh-CN"/>
        </w:rPr>
        <w:t>T</w:t>
      </w:r>
      <w:r w:rsidRPr="00320CAB">
        <w:rPr>
          <w:lang w:eastAsia="ko-KR"/>
        </w:rPr>
        <w:t xml:space="preserve">able 6.2.1.2.1-3 when </w:t>
      </w:r>
      <w:r w:rsidRPr="00320CAB">
        <w:rPr>
          <w:i/>
          <w:iCs/>
        </w:rPr>
        <w:t>highSpeedMeasFlagFR2-r17</w:t>
      </w:r>
      <w:r w:rsidRPr="00320CAB">
        <w:rPr>
          <w:lang w:eastAsia="ko-KR"/>
        </w:rPr>
        <w:t xml:space="preserve"> is configured</w:t>
      </w:r>
      <w:r w:rsidRPr="00320CAB">
        <w:rPr>
          <w:rFonts w:eastAsia="Yu Mincho"/>
          <w:lang w:eastAsia="ko-KR"/>
        </w:rPr>
        <w:t xml:space="preserve"> and UE is capable of FR2 power class 6</w:t>
      </w:r>
      <w:r w:rsidRPr="00320CAB">
        <w:rPr>
          <w:lang w:eastAsia="ko-KR"/>
        </w:rPr>
        <w:t>.</w:t>
      </w:r>
    </w:p>
    <w:p w14:paraId="6A94463E" w14:textId="0B8ADA03" w:rsidR="00F104FA" w:rsidRPr="009C5807" w:rsidRDefault="00F104FA" w:rsidP="00F104FA">
      <w:pPr>
        <w:rPr>
          <w:lang w:eastAsia="ko-KR"/>
        </w:rPr>
      </w:pPr>
      <w:r w:rsidRPr="009C5807">
        <w:rPr>
          <w:lang w:eastAsia="ko-KR"/>
        </w:rPr>
        <w:t>T</w:t>
      </w:r>
      <w:r w:rsidRPr="009C5807">
        <w:rPr>
          <w:vertAlign w:val="subscript"/>
          <w:lang w:eastAsia="ko-KR"/>
        </w:rPr>
        <w:t>identify_inter_NR,i</w:t>
      </w:r>
      <w:r w:rsidRPr="009C5807">
        <w:rPr>
          <w:lang w:eastAsia="ko-KR"/>
        </w:rPr>
        <w:t xml:space="preserve">: It is the time to identify the target inter-frequency NR cell on inter-frequency carrier </w:t>
      </w:r>
      <w:r w:rsidRPr="009C5807">
        <w:rPr>
          <w:i/>
          <w:lang w:eastAsia="ko-KR"/>
        </w:rPr>
        <w:t>i</w:t>
      </w:r>
      <w:r w:rsidRPr="009C5807">
        <w:rPr>
          <w:lang w:eastAsia="ko-KR"/>
        </w:rPr>
        <w:t xml:space="preserve"> configured for RRC re-establishment and it depends on whether the target NR cell is known cell or unknown cell and on the FR of the target NR cell. T</w:t>
      </w:r>
      <w:r w:rsidRPr="009C5807">
        <w:rPr>
          <w:vertAlign w:val="subscript"/>
          <w:lang w:eastAsia="ko-KR"/>
        </w:rPr>
        <w:t>identify_inter_NR,i</w:t>
      </w:r>
      <w:r w:rsidRPr="009C5807">
        <w:rPr>
          <w:lang w:eastAsia="ko-KR"/>
        </w:rPr>
        <w:t xml:space="preserve"> shall not exceed the values defined in </w:t>
      </w:r>
      <w:r w:rsidRPr="009C5807">
        <w:rPr>
          <w:rFonts w:hint="eastAsia"/>
          <w:lang w:eastAsia="zh-CN"/>
        </w:rPr>
        <w:t>T</w:t>
      </w:r>
      <w:r w:rsidRPr="009C5807">
        <w:rPr>
          <w:lang w:eastAsia="ko-KR"/>
        </w:rPr>
        <w:t>able 6.2.1.2.1-2.</w:t>
      </w:r>
    </w:p>
    <w:p w14:paraId="5557A731" w14:textId="77777777" w:rsidR="00F104FA" w:rsidRPr="009C5807" w:rsidRDefault="00F104FA" w:rsidP="00F104FA">
      <w:r w:rsidRPr="009C5807">
        <w:rPr>
          <w:lang w:eastAsia="ko-KR"/>
        </w:rPr>
        <w:t>T</w:t>
      </w:r>
      <w:r w:rsidRPr="009C5807">
        <w:rPr>
          <w:vertAlign w:val="subscript"/>
          <w:lang w:eastAsia="ko-KR"/>
        </w:rPr>
        <w:t>SMTC</w:t>
      </w:r>
      <w:r w:rsidRPr="009C5807">
        <w:rPr>
          <w:lang w:eastAsia="ko-KR"/>
        </w:rPr>
        <w:t>: It is the periodicity of the SMTC occasion configured for the intra-frequency carrier.</w:t>
      </w:r>
      <w:r w:rsidRPr="009C5807">
        <w:t xml:space="preserve"> If the UE has been provided with higher layer in TS 38.331 [2] signaling of </w:t>
      </w:r>
      <w:r w:rsidRPr="009C5807">
        <w:rPr>
          <w:i/>
        </w:rPr>
        <w:t>smtc2</w:t>
      </w:r>
      <w:r w:rsidRPr="009C5807">
        <w:t>, T</w:t>
      </w:r>
      <w:r w:rsidRPr="009C5807">
        <w:rPr>
          <w:vertAlign w:val="subscript"/>
        </w:rPr>
        <w:t>smtc</w:t>
      </w:r>
      <w:r w:rsidRPr="009C5807">
        <w:t xml:space="preserve"> follows </w:t>
      </w:r>
      <w:r w:rsidRPr="009C5807">
        <w:rPr>
          <w:i/>
        </w:rPr>
        <w:t>smtc1</w:t>
      </w:r>
      <w:r w:rsidRPr="009C5807">
        <w:t xml:space="preserve"> or </w:t>
      </w:r>
      <w:r w:rsidRPr="009C5807">
        <w:rPr>
          <w:i/>
        </w:rPr>
        <w:t>smtc2</w:t>
      </w:r>
      <w:r w:rsidRPr="009C5807">
        <w:t xml:space="preserve"> according to the physical cell ID of the target cell.</w:t>
      </w:r>
    </w:p>
    <w:p w14:paraId="1EB5E782" w14:textId="77777777" w:rsidR="00F104FA" w:rsidRPr="009C5807" w:rsidRDefault="00F104FA" w:rsidP="00F104FA">
      <w:pPr>
        <w:rPr>
          <w:lang w:eastAsia="ko-KR"/>
        </w:rPr>
      </w:pPr>
      <w:r w:rsidRPr="009C5807">
        <w:rPr>
          <w:lang w:eastAsia="ko-KR"/>
        </w:rPr>
        <w:t>T</w:t>
      </w:r>
      <w:r w:rsidRPr="009C5807">
        <w:rPr>
          <w:vertAlign w:val="subscript"/>
          <w:lang w:eastAsia="ko-KR"/>
        </w:rPr>
        <w:t>SMTC,i</w:t>
      </w:r>
      <w:r w:rsidRPr="009C5807">
        <w:rPr>
          <w:lang w:eastAsia="ko-KR"/>
        </w:rPr>
        <w:t xml:space="preserve">: It is the periodicity of the SMTC occasion configured for the inter-frequency carrier </w:t>
      </w:r>
      <w:r w:rsidRPr="009C5807">
        <w:rPr>
          <w:i/>
          <w:lang w:eastAsia="ko-KR"/>
        </w:rPr>
        <w:t>i</w:t>
      </w:r>
      <w:r w:rsidRPr="009C5807">
        <w:rPr>
          <w:lang w:eastAsia="ko-KR"/>
        </w:rPr>
        <w:t>. If it is not configured, the UE may assume that the target SSB periodicity is no larger than 20 ms.</w:t>
      </w:r>
    </w:p>
    <w:p w14:paraId="7EC1D7C8" w14:textId="68DA6AB2" w:rsidR="00F104FA" w:rsidRPr="009C5807" w:rsidRDefault="00F104FA" w:rsidP="00F104FA">
      <w:r w:rsidRPr="009C5807">
        <w:rPr>
          <w:lang w:eastAsia="zh-CN"/>
        </w:rPr>
        <w:t>T</w:t>
      </w:r>
      <w:r w:rsidRPr="009C5807">
        <w:rPr>
          <w:vertAlign w:val="subscript"/>
          <w:lang w:eastAsia="zh-CN"/>
        </w:rPr>
        <w:t>SI-NR</w:t>
      </w:r>
      <w:r w:rsidRPr="009C5807">
        <w:rPr>
          <w:rFonts w:hint="eastAsia"/>
          <w:lang w:eastAsia="zh-CN"/>
        </w:rPr>
        <w:t>:</w:t>
      </w:r>
      <w:r w:rsidRPr="009C5807">
        <w:rPr>
          <w:lang w:eastAsia="zh-CN"/>
        </w:rPr>
        <w:t xml:space="preserve"> It</w:t>
      </w:r>
      <w:r w:rsidRPr="009C5807">
        <w:rPr>
          <w:rFonts w:cs="v4.2.0"/>
          <w:iCs/>
        </w:rPr>
        <w:t xml:space="preserve"> </w:t>
      </w:r>
      <w:r w:rsidRPr="009C5807">
        <w:rPr>
          <w:rFonts w:cs="v4.2.0"/>
        </w:rPr>
        <w:t xml:space="preserve">is the time required for receiving all the relevant system information according to the reception procedure and the RRC procedure delay of system information blocks defined in </w:t>
      </w:r>
      <w:r w:rsidRPr="009C5807">
        <w:t>TS 38.331 [2]</w:t>
      </w:r>
      <w:r w:rsidRPr="009C5807">
        <w:rPr>
          <w:rFonts w:cs="v4.2.0"/>
        </w:rPr>
        <w:t xml:space="preserve"> for the</w:t>
      </w:r>
      <w:r w:rsidRPr="009C5807">
        <w:rPr>
          <w:rFonts w:cs="v4.2.0"/>
          <w:lang w:eastAsia="zh-CN"/>
        </w:rPr>
        <w:t xml:space="preserve"> target</w:t>
      </w:r>
      <w:r w:rsidRPr="009C5807">
        <w:rPr>
          <w:rFonts w:cs="v4.2.0"/>
        </w:rPr>
        <w:t xml:space="preserve"> NR cell.</w:t>
      </w:r>
    </w:p>
    <w:p w14:paraId="6D801834" w14:textId="77777777" w:rsidR="00F104FA" w:rsidRPr="009C5807" w:rsidRDefault="00F104FA" w:rsidP="00F104FA">
      <w:pPr>
        <w:rPr>
          <w:rFonts w:eastAsia="Malgun Gothic"/>
          <w:lang w:eastAsia="ko-KR"/>
        </w:rPr>
      </w:pPr>
      <w:r w:rsidRPr="009C5807">
        <w:rPr>
          <w:lang w:eastAsia="ko-KR"/>
        </w:rPr>
        <w:t>T</w:t>
      </w:r>
      <w:r w:rsidRPr="009C5807">
        <w:rPr>
          <w:vertAlign w:val="subscript"/>
          <w:lang w:eastAsia="ko-KR"/>
        </w:rPr>
        <w:t>PRACH</w:t>
      </w:r>
      <w:r w:rsidRPr="009C5807">
        <w:rPr>
          <w:rFonts w:hint="eastAsia"/>
          <w:vertAlign w:val="subscript"/>
          <w:lang w:eastAsia="zh-CN"/>
        </w:rPr>
        <w:t>:</w:t>
      </w:r>
      <w:r w:rsidRPr="009C5807">
        <w:rPr>
          <w:vertAlign w:val="subscript"/>
          <w:lang w:eastAsia="zh-CN"/>
        </w:rPr>
        <w:t xml:space="preserve"> </w:t>
      </w:r>
      <w:r w:rsidRPr="009C5807">
        <w:rPr>
          <w:lang w:eastAsia="ko-KR"/>
        </w:rPr>
        <w:t>It is the delay uncertainty in acquiring the first available PRACH occasion in the target NR cell. T</w:t>
      </w:r>
      <w:r w:rsidRPr="009C5807">
        <w:rPr>
          <w:vertAlign w:val="subscript"/>
          <w:lang w:eastAsia="ko-KR"/>
        </w:rPr>
        <w:t>PRACH</w:t>
      </w:r>
      <w:r w:rsidRPr="009C5807">
        <w:rPr>
          <w:lang w:eastAsia="ko-KR"/>
        </w:rPr>
        <w:t xml:space="preserve"> can be up to the summation of SSB to PRACH occasion association period and 10 ms. SSB to PRACH occasion associated period is defined in the table 8.1-1 of TS 38.213 [3].</w:t>
      </w:r>
    </w:p>
    <w:p w14:paraId="662D692A" w14:textId="77777777" w:rsidR="00F104FA" w:rsidRPr="009C5807" w:rsidRDefault="00F104FA" w:rsidP="00F104FA">
      <w:pPr>
        <w:rPr>
          <w:rFonts w:cs="v4.2.0"/>
        </w:rPr>
      </w:pPr>
      <w:r w:rsidRPr="009C5807">
        <w:rPr>
          <w:rFonts w:cs="v4.2.0"/>
          <w:iCs/>
        </w:rPr>
        <w:t>N</w:t>
      </w:r>
      <w:r w:rsidRPr="009C5807">
        <w:rPr>
          <w:rFonts w:cs="v4.2.0"/>
          <w:iCs/>
          <w:vertAlign w:val="subscript"/>
        </w:rPr>
        <w:t>freq</w:t>
      </w:r>
      <w:r w:rsidRPr="009C5807">
        <w:rPr>
          <w:rFonts w:cs="v4.2.0"/>
        </w:rPr>
        <w:t>: It is the total number of NR frequencies to be monitored for RRC re-establishment; N</w:t>
      </w:r>
      <w:r w:rsidRPr="009C5807">
        <w:rPr>
          <w:rFonts w:cs="v4.2.0"/>
          <w:vertAlign w:val="subscript"/>
        </w:rPr>
        <w:t xml:space="preserve">freq </w:t>
      </w:r>
      <w:r w:rsidRPr="009C5807">
        <w:rPr>
          <w:rFonts w:cs="v4.2.0"/>
        </w:rPr>
        <w:t>= 1 if the target intra-frequency NR cell is known, else N</w:t>
      </w:r>
      <w:r w:rsidRPr="009C5807">
        <w:rPr>
          <w:rFonts w:cs="v4.2.0"/>
          <w:vertAlign w:val="subscript"/>
        </w:rPr>
        <w:t xml:space="preserve">freq </w:t>
      </w:r>
      <w:r w:rsidRPr="009C5807">
        <w:rPr>
          <w:rFonts w:cs="v4.2.0"/>
        </w:rPr>
        <w:t xml:space="preserve">= 2 and </w:t>
      </w:r>
      <w:r w:rsidRPr="009C5807">
        <w:rPr>
          <w:lang w:eastAsia="ko-KR"/>
        </w:rPr>
        <w:t>T</w:t>
      </w:r>
      <w:r w:rsidRPr="009C5807">
        <w:rPr>
          <w:vertAlign w:val="subscript"/>
          <w:lang w:eastAsia="ko-KR"/>
        </w:rPr>
        <w:t>identify_intra_NR</w:t>
      </w:r>
      <w:r w:rsidRPr="009C5807">
        <w:rPr>
          <w:rFonts w:cs="v4.2.0"/>
        </w:rPr>
        <w:t xml:space="preserve"> = 0 if the target inter-frequency </w:t>
      </w:r>
      <w:r w:rsidRPr="009C5807">
        <w:rPr>
          <w:rFonts w:cs="v4.2.0"/>
          <w:lang w:eastAsia="zh-CN"/>
        </w:rPr>
        <w:t>NR c</w:t>
      </w:r>
      <w:r w:rsidRPr="009C5807">
        <w:rPr>
          <w:rFonts w:cs="v4.2.0"/>
        </w:rPr>
        <w:t>ell is known.</w:t>
      </w:r>
    </w:p>
    <w:p w14:paraId="77286E36" w14:textId="77777777" w:rsidR="00F104FA" w:rsidRPr="009C5807" w:rsidRDefault="00F104FA" w:rsidP="00F104FA">
      <w:r w:rsidRPr="009C5807">
        <w:t>There is no requirement if the target cell does not contain the UE context.</w:t>
      </w:r>
    </w:p>
    <w:p w14:paraId="6518F46B" w14:textId="77777777" w:rsidR="00F104FA" w:rsidRPr="009C5807" w:rsidRDefault="00F104FA" w:rsidP="00F104FA">
      <w:r w:rsidRPr="009C5807">
        <w:t>In the requirement defined in the below tables, the target FR1 cell is known if it has been meeting the relevant cell identification requirement during the last 5 seconds otherwise it is unknown.</w:t>
      </w:r>
    </w:p>
    <w:p w14:paraId="662A18D8" w14:textId="77777777" w:rsidR="000433CC" w:rsidRPr="009C5807" w:rsidRDefault="000433CC" w:rsidP="000433CC">
      <w:pPr>
        <w:pStyle w:val="TH"/>
      </w:pPr>
      <w:r w:rsidRPr="009C5807">
        <w:t>Table 6.2.1.2.1-1: Time to identify target NR cell for RRC connection re-establishment to NR intra-frequency cell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837"/>
        <w:gridCol w:w="2801"/>
        <w:gridCol w:w="3375"/>
      </w:tblGrid>
      <w:tr w:rsidR="000433CC" w:rsidRPr="009C5807" w14:paraId="077AB2AD" w14:textId="77777777" w:rsidTr="00625412">
        <w:trPr>
          <w:jc w:val="center"/>
        </w:trPr>
        <w:tc>
          <w:tcPr>
            <w:tcW w:w="1616" w:type="dxa"/>
            <w:tcBorders>
              <w:bottom w:val="nil"/>
            </w:tcBorders>
            <w:shd w:val="clear" w:color="auto" w:fill="auto"/>
          </w:tcPr>
          <w:p w14:paraId="7807F566" w14:textId="77777777" w:rsidR="000433CC" w:rsidRPr="009C5807" w:rsidRDefault="000433CC" w:rsidP="00625412">
            <w:pPr>
              <w:pStyle w:val="TAH"/>
              <w:rPr>
                <w:lang w:eastAsia="ko-KR"/>
              </w:rPr>
            </w:pPr>
            <w:r w:rsidRPr="009C5807">
              <w:rPr>
                <w:rFonts w:cs="v4.2.0"/>
                <w:lang w:eastAsia="ko-KR"/>
              </w:rPr>
              <w:t xml:space="preserve">Serving cell </w:t>
            </w:r>
          </w:p>
        </w:tc>
        <w:tc>
          <w:tcPr>
            <w:tcW w:w="1837" w:type="dxa"/>
            <w:tcBorders>
              <w:bottom w:val="nil"/>
            </w:tcBorders>
            <w:shd w:val="clear" w:color="auto" w:fill="auto"/>
          </w:tcPr>
          <w:p w14:paraId="645E4F93" w14:textId="77777777" w:rsidR="000433CC" w:rsidRPr="009C5807" w:rsidRDefault="000433CC" w:rsidP="00625412">
            <w:pPr>
              <w:pStyle w:val="TAH"/>
              <w:rPr>
                <w:lang w:eastAsia="ko-KR"/>
              </w:rPr>
            </w:pPr>
            <w:r w:rsidRPr="009C5807">
              <w:rPr>
                <w:lang w:eastAsia="ko-KR"/>
              </w:rPr>
              <w:t xml:space="preserve">FR of target NR </w:t>
            </w:r>
          </w:p>
        </w:tc>
        <w:tc>
          <w:tcPr>
            <w:tcW w:w="6176" w:type="dxa"/>
            <w:gridSpan w:val="2"/>
            <w:shd w:val="clear" w:color="auto" w:fill="auto"/>
          </w:tcPr>
          <w:p w14:paraId="111FAE9F" w14:textId="77777777" w:rsidR="000433CC" w:rsidRPr="009C5807" w:rsidRDefault="000433CC" w:rsidP="00625412">
            <w:pPr>
              <w:pStyle w:val="TAH"/>
              <w:rPr>
                <w:lang w:eastAsia="ko-KR"/>
              </w:rPr>
            </w:pPr>
            <w:r w:rsidRPr="009C5807">
              <w:rPr>
                <w:lang w:eastAsia="ko-KR"/>
              </w:rPr>
              <w:t>T</w:t>
            </w:r>
            <w:r w:rsidRPr="009C5807">
              <w:rPr>
                <w:vertAlign w:val="subscript"/>
                <w:lang w:eastAsia="ko-KR"/>
              </w:rPr>
              <w:t xml:space="preserve">identify_intra_NR </w:t>
            </w:r>
            <w:r w:rsidRPr="009C5807">
              <w:rPr>
                <w:lang w:eastAsia="ko-KR"/>
              </w:rPr>
              <w:t>[ms]</w:t>
            </w:r>
          </w:p>
        </w:tc>
      </w:tr>
      <w:tr w:rsidR="000433CC" w:rsidRPr="009C5807" w14:paraId="291BF88B" w14:textId="77777777" w:rsidTr="00625412">
        <w:trPr>
          <w:trHeight w:val="105"/>
          <w:jc w:val="center"/>
        </w:trPr>
        <w:tc>
          <w:tcPr>
            <w:tcW w:w="1616" w:type="dxa"/>
            <w:tcBorders>
              <w:top w:val="nil"/>
              <w:bottom w:val="nil"/>
            </w:tcBorders>
            <w:shd w:val="clear" w:color="auto" w:fill="auto"/>
          </w:tcPr>
          <w:p w14:paraId="09255112" w14:textId="77777777" w:rsidR="000433CC" w:rsidRPr="009C5807" w:rsidRDefault="000433CC" w:rsidP="00625412">
            <w:pPr>
              <w:pStyle w:val="TAH"/>
              <w:rPr>
                <w:lang w:eastAsia="ko-KR"/>
              </w:rPr>
            </w:pPr>
            <w:r w:rsidRPr="009C5807">
              <w:rPr>
                <w:rFonts w:cs="v4.2.0"/>
                <w:lang w:eastAsia="ko-KR"/>
              </w:rPr>
              <w:t xml:space="preserve">SSB </w:t>
            </w:r>
            <w:r w:rsidRPr="009C5807">
              <w:rPr>
                <w:lang w:val="en-US"/>
              </w:rPr>
              <w:t>Ês/Iot (dB)</w:t>
            </w:r>
          </w:p>
        </w:tc>
        <w:tc>
          <w:tcPr>
            <w:tcW w:w="1837" w:type="dxa"/>
            <w:tcBorders>
              <w:top w:val="nil"/>
              <w:bottom w:val="nil"/>
            </w:tcBorders>
            <w:shd w:val="clear" w:color="auto" w:fill="auto"/>
          </w:tcPr>
          <w:p w14:paraId="77A3D82F" w14:textId="77777777" w:rsidR="000433CC" w:rsidRPr="009C5807" w:rsidRDefault="000433CC" w:rsidP="00625412">
            <w:pPr>
              <w:pStyle w:val="TAH"/>
              <w:rPr>
                <w:lang w:eastAsia="ko-KR"/>
              </w:rPr>
            </w:pPr>
            <w:r w:rsidRPr="009C5807">
              <w:rPr>
                <w:lang w:eastAsia="ko-KR"/>
              </w:rPr>
              <w:t>cell</w:t>
            </w:r>
          </w:p>
        </w:tc>
        <w:tc>
          <w:tcPr>
            <w:tcW w:w="2801" w:type="dxa"/>
            <w:tcBorders>
              <w:bottom w:val="nil"/>
            </w:tcBorders>
            <w:shd w:val="clear" w:color="auto" w:fill="auto"/>
          </w:tcPr>
          <w:p w14:paraId="63A96933" w14:textId="77777777" w:rsidR="000433CC" w:rsidRPr="009C5807" w:rsidRDefault="000433CC" w:rsidP="00625412">
            <w:pPr>
              <w:pStyle w:val="TAH"/>
              <w:rPr>
                <w:lang w:eastAsia="ko-KR"/>
              </w:rPr>
            </w:pPr>
            <w:r w:rsidRPr="009C5807">
              <w:rPr>
                <w:lang w:eastAsia="ko-KR"/>
              </w:rPr>
              <w:t>Known NR cell</w:t>
            </w:r>
          </w:p>
        </w:tc>
        <w:tc>
          <w:tcPr>
            <w:tcW w:w="3375" w:type="dxa"/>
            <w:tcBorders>
              <w:bottom w:val="nil"/>
            </w:tcBorders>
            <w:shd w:val="clear" w:color="auto" w:fill="auto"/>
          </w:tcPr>
          <w:p w14:paraId="7535B98B" w14:textId="77777777" w:rsidR="000433CC" w:rsidRPr="009C5807" w:rsidRDefault="000433CC" w:rsidP="00625412">
            <w:pPr>
              <w:pStyle w:val="TAH"/>
              <w:rPr>
                <w:lang w:eastAsia="ko-KR"/>
              </w:rPr>
            </w:pPr>
            <w:r w:rsidRPr="009C5807">
              <w:rPr>
                <w:lang w:eastAsia="ko-KR"/>
              </w:rPr>
              <w:t>Unknown NR cell</w:t>
            </w:r>
          </w:p>
        </w:tc>
      </w:tr>
      <w:tr w:rsidR="000433CC" w:rsidRPr="009C5807" w14:paraId="57E238E2" w14:textId="77777777" w:rsidTr="00625412">
        <w:trPr>
          <w:jc w:val="center"/>
        </w:trPr>
        <w:tc>
          <w:tcPr>
            <w:tcW w:w="1616" w:type="dxa"/>
            <w:shd w:val="clear" w:color="auto" w:fill="auto"/>
          </w:tcPr>
          <w:p w14:paraId="311AA777" w14:textId="77777777" w:rsidR="000433CC" w:rsidRPr="009C5807" w:rsidRDefault="000433CC" w:rsidP="00625412">
            <w:pPr>
              <w:pStyle w:val="TAC"/>
              <w:rPr>
                <w:lang w:eastAsia="zh-CN"/>
              </w:rPr>
            </w:pPr>
            <w:r w:rsidRPr="009C5807">
              <w:rPr>
                <w:rFonts w:cs="Arial" w:hint="eastAsia"/>
                <w:lang w:eastAsia="ko-KR"/>
              </w:rPr>
              <w:t>≥</w:t>
            </w:r>
            <w:r w:rsidRPr="009C5807">
              <w:rPr>
                <w:lang w:eastAsia="ko-KR"/>
              </w:rPr>
              <w:t xml:space="preserve"> -8</w:t>
            </w:r>
          </w:p>
        </w:tc>
        <w:tc>
          <w:tcPr>
            <w:tcW w:w="1837" w:type="dxa"/>
            <w:shd w:val="clear" w:color="auto" w:fill="auto"/>
          </w:tcPr>
          <w:p w14:paraId="66975832" w14:textId="77777777" w:rsidR="000433CC" w:rsidRPr="009C5807" w:rsidRDefault="000433CC" w:rsidP="00625412">
            <w:pPr>
              <w:pStyle w:val="TAC"/>
              <w:rPr>
                <w:lang w:eastAsia="ko-KR"/>
              </w:rPr>
            </w:pPr>
            <w:r w:rsidRPr="009C5807">
              <w:rPr>
                <w:lang w:eastAsia="ko-KR"/>
              </w:rPr>
              <w:t>FR1</w:t>
            </w:r>
          </w:p>
        </w:tc>
        <w:tc>
          <w:tcPr>
            <w:tcW w:w="2801" w:type="dxa"/>
            <w:shd w:val="clear" w:color="auto" w:fill="auto"/>
          </w:tcPr>
          <w:p w14:paraId="571F5971" w14:textId="77777777" w:rsidR="000433CC" w:rsidRPr="009C5807" w:rsidRDefault="000433CC" w:rsidP="00625412">
            <w:pPr>
              <w:pStyle w:val="TAC"/>
            </w:pPr>
            <w:r w:rsidRPr="009C5807">
              <w:t>MAX (200 ms, 5 x T</w:t>
            </w:r>
            <w:r w:rsidRPr="009C5807">
              <w:rPr>
                <w:vertAlign w:val="subscript"/>
              </w:rPr>
              <w:t>SMTC</w:t>
            </w:r>
            <w:r w:rsidRPr="009C5807">
              <w:t>)</w:t>
            </w:r>
          </w:p>
        </w:tc>
        <w:tc>
          <w:tcPr>
            <w:tcW w:w="3375" w:type="dxa"/>
            <w:shd w:val="clear" w:color="auto" w:fill="auto"/>
          </w:tcPr>
          <w:p w14:paraId="68B737BD" w14:textId="77777777" w:rsidR="000433CC" w:rsidRPr="009C5807" w:rsidRDefault="000433CC" w:rsidP="00625412">
            <w:pPr>
              <w:pStyle w:val="TAC"/>
            </w:pPr>
            <w:r w:rsidRPr="009C5807">
              <w:t>MAX (800 ms, 10 x T</w:t>
            </w:r>
            <w:r w:rsidRPr="009C5807">
              <w:rPr>
                <w:vertAlign w:val="subscript"/>
              </w:rPr>
              <w:t>SMTC</w:t>
            </w:r>
            <w:r w:rsidRPr="009C5807">
              <w:t>)</w:t>
            </w:r>
          </w:p>
        </w:tc>
      </w:tr>
      <w:tr w:rsidR="000433CC" w:rsidRPr="009C5807" w14:paraId="446928CD" w14:textId="77777777" w:rsidTr="00625412">
        <w:trPr>
          <w:jc w:val="center"/>
        </w:trPr>
        <w:tc>
          <w:tcPr>
            <w:tcW w:w="1616" w:type="dxa"/>
            <w:shd w:val="clear" w:color="auto" w:fill="auto"/>
          </w:tcPr>
          <w:p w14:paraId="1CAD0D2C" w14:textId="77777777" w:rsidR="000433CC" w:rsidRPr="009C5807" w:rsidRDefault="000433CC" w:rsidP="00625412">
            <w:pPr>
              <w:pStyle w:val="TAC"/>
              <w:rPr>
                <w:lang w:eastAsia="zh-CN"/>
              </w:rPr>
            </w:pPr>
            <w:r w:rsidRPr="009C5807">
              <w:rPr>
                <w:rFonts w:cs="Arial" w:hint="eastAsia"/>
                <w:lang w:eastAsia="ko-KR"/>
              </w:rPr>
              <w:t>≥</w:t>
            </w:r>
            <w:r w:rsidRPr="009C5807">
              <w:rPr>
                <w:lang w:eastAsia="ko-KR"/>
              </w:rPr>
              <w:t xml:space="preserve"> -8</w:t>
            </w:r>
          </w:p>
        </w:tc>
        <w:tc>
          <w:tcPr>
            <w:tcW w:w="1837" w:type="dxa"/>
            <w:shd w:val="clear" w:color="auto" w:fill="auto"/>
          </w:tcPr>
          <w:p w14:paraId="35DF0702" w14:textId="77777777" w:rsidR="000433CC" w:rsidRPr="009C5807" w:rsidRDefault="000433CC" w:rsidP="00625412">
            <w:pPr>
              <w:pStyle w:val="TAC"/>
              <w:rPr>
                <w:lang w:eastAsia="ko-KR"/>
              </w:rPr>
            </w:pPr>
            <w:r w:rsidRPr="009C5807">
              <w:rPr>
                <w:lang w:eastAsia="ko-KR"/>
              </w:rPr>
              <w:t>FR2</w:t>
            </w:r>
            <w:r>
              <w:rPr>
                <w:rFonts w:hint="eastAsia"/>
                <w:lang w:eastAsia="zh-CN"/>
              </w:rPr>
              <w:t>-</w:t>
            </w:r>
            <w:r>
              <w:rPr>
                <w:lang w:eastAsia="ko-KR"/>
              </w:rPr>
              <w:t>1</w:t>
            </w:r>
          </w:p>
        </w:tc>
        <w:tc>
          <w:tcPr>
            <w:tcW w:w="2801" w:type="dxa"/>
            <w:shd w:val="clear" w:color="auto" w:fill="auto"/>
          </w:tcPr>
          <w:p w14:paraId="481CB024" w14:textId="77777777" w:rsidR="000433CC" w:rsidRPr="009C5807" w:rsidRDefault="000433CC" w:rsidP="00625412">
            <w:pPr>
              <w:pStyle w:val="TAC"/>
              <w:rPr>
                <w:lang w:eastAsia="zh-CN"/>
              </w:rPr>
            </w:pPr>
            <w:r w:rsidRPr="009C5807">
              <w:rPr>
                <w:lang w:eastAsia="zh-CN"/>
              </w:rPr>
              <w:t>N/A</w:t>
            </w:r>
          </w:p>
        </w:tc>
        <w:tc>
          <w:tcPr>
            <w:tcW w:w="3375" w:type="dxa"/>
            <w:shd w:val="clear" w:color="auto" w:fill="auto"/>
          </w:tcPr>
          <w:p w14:paraId="0F9E3BCF" w14:textId="77777777" w:rsidR="000433CC" w:rsidRPr="009C5807" w:rsidRDefault="000433CC" w:rsidP="00625412">
            <w:pPr>
              <w:pStyle w:val="TAC"/>
              <w:rPr>
                <w:lang w:eastAsia="ko-KR"/>
              </w:rPr>
            </w:pPr>
            <w:r w:rsidRPr="009C5807">
              <w:rPr>
                <w:lang w:eastAsia="ko-KR"/>
              </w:rPr>
              <w:t xml:space="preserve">MAX (1000 ms, </w:t>
            </w:r>
            <w:r w:rsidRPr="009C5807">
              <w:rPr>
                <w:lang w:eastAsia="zh-CN"/>
              </w:rPr>
              <w:t>80</w:t>
            </w:r>
            <w:r w:rsidRPr="009C5807">
              <w:rPr>
                <w:lang w:eastAsia="ko-KR"/>
              </w:rPr>
              <w:t xml:space="preserve"> x T</w:t>
            </w:r>
            <w:r w:rsidRPr="009C5807">
              <w:rPr>
                <w:vertAlign w:val="subscript"/>
                <w:lang w:eastAsia="ko-KR"/>
              </w:rPr>
              <w:t>SMTC</w:t>
            </w:r>
            <w:r w:rsidRPr="009C5807">
              <w:rPr>
                <w:lang w:eastAsia="ko-KR"/>
              </w:rPr>
              <w:t>))</w:t>
            </w:r>
          </w:p>
        </w:tc>
      </w:tr>
      <w:tr w:rsidR="000433CC" w:rsidRPr="009C5807" w14:paraId="0E6CA7C4" w14:textId="77777777" w:rsidTr="00625412">
        <w:trPr>
          <w:jc w:val="center"/>
        </w:trPr>
        <w:tc>
          <w:tcPr>
            <w:tcW w:w="1616" w:type="dxa"/>
            <w:shd w:val="clear" w:color="auto" w:fill="auto"/>
          </w:tcPr>
          <w:p w14:paraId="114F0795" w14:textId="77777777" w:rsidR="000433CC" w:rsidRPr="009C5807" w:rsidRDefault="000433CC" w:rsidP="00625412">
            <w:pPr>
              <w:pStyle w:val="TAC"/>
              <w:rPr>
                <w:rFonts w:cs="Arial"/>
                <w:lang w:eastAsia="ko-KR"/>
              </w:rPr>
            </w:pPr>
            <w:r w:rsidRPr="009C5807">
              <w:rPr>
                <w:rFonts w:cs="Arial" w:hint="eastAsia"/>
                <w:lang w:eastAsia="ko-KR"/>
              </w:rPr>
              <w:t>≥</w:t>
            </w:r>
            <w:r w:rsidRPr="009C5807">
              <w:rPr>
                <w:lang w:eastAsia="ko-KR"/>
              </w:rPr>
              <w:t xml:space="preserve"> -8</w:t>
            </w:r>
          </w:p>
        </w:tc>
        <w:tc>
          <w:tcPr>
            <w:tcW w:w="1837" w:type="dxa"/>
            <w:shd w:val="clear" w:color="auto" w:fill="auto"/>
          </w:tcPr>
          <w:p w14:paraId="1FE2A111" w14:textId="77777777" w:rsidR="000433CC" w:rsidRPr="009C5807" w:rsidRDefault="000433CC" w:rsidP="00625412">
            <w:pPr>
              <w:pStyle w:val="TAC"/>
              <w:rPr>
                <w:lang w:eastAsia="ko-KR"/>
              </w:rPr>
            </w:pPr>
            <w:r w:rsidRPr="009C5807">
              <w:rPr>
                <w:lang w:eastAsia="ko-KR"/>
              </w:rPr>
              <w:t>FR2</w:t>
            </w:r>
            <w:r>
              <w:rPr>
                <w:rFonts w:hint="eastAsia"/>
                <w:lang w:eastAsia="zh-CN"/>
              </w:rPr>
              <w:t>-</w:t>
            </w:r>
            <w:r>
              <w:rPr>
                <w:lang w:eastAsia="ko-KR"/>
              </w:rPr>
              <w:t>2</w:t>
            </w:r>
          </w:p>
        </w:tc>
        <w:tc>
          <w:tcPr>
            <w:tcW w:w="2801" w:type="dxa"/>
            <w:shd w:val="clear" w:color="auto" w:fill="auto"/>
          </w:tcPr>
          <w:p w14:paraId="5449DD05" w14:textId="77777777" w:rsidR="000433CC" w:rsidRPr="009C5807" w:rsidRDefault="000433CC" w:rsidP="00625412">
            <w:pPr>
              <w:pStyle w:val="TAC"/>
              <w:rPr>
                <w:lang w:eastAsia="zh-CN"/>
              </w:rPr>
            </w:pPr>
            <w:r w:rsidRPr="009C5807">
              <w:rPr>
                <w:lang w:eastAsia="zh-CN"/>
              </w:rPr>
              <w:t>N/A</w:t>
            </w:r>
          </w:p>
        </w:tc>
        <w:tc>
          <w:tcPr>
            <w:tcW w:w="3375" w:type="dxa"/>
            <w:shd w:val="clear" w:color="auto" w:fill="auto"/>
          </w:tcPr>
          <w:p w14:paraId="30B0EC79" w14:textId="77777777" w:rsidR="000433CC" w:rsidRPr="009C5807" w:rsidRDefault="000433CC" w:rsidP="00625412">
            <w:pPr>
              <w:pStyle w:val="TAC"/>
              <w:rPr>
                <w:lang w:eastAsia="ko-KR"/>
              </w:rPr>
            </w:pPr>
            <w:r w:rsidRPr="009C5807">
              <w:rPr>
                <w:lang w:eastAsia="ko-KR"/>
              </w:rPr>
              <w:t xml:space="preserve">MAX (1000 ms, </w:t>
            </w:r>
            <w:r>
              <w:rPr>
                <w:lang w:eastAsia="zh-CN"/>
              </w:rPr>
              <w:t>12</w:t>
            </w:r>
            <w:r w:rsidRPr="009C5807">
              <w:rPr>
                <w:lang w:eastAsia="zh-CN"/>
              </w:rPr>
              <w:t>0</w:t>
            </w:r>
            <w:r w:rsidRPr="009C5807">
              <w:rPr>
                <w:lang w:eastAsia="ko-KR"/>
              </w:rPr>
              <w:t xml:space="preserve"> x T</w:t>
            </w:r>
            <w:r w:rsidRPr="009C5807">
              <w:rPr>
                <w:vertAlign w:val="subscript"/>
                <w:lang w:eastAsia="ko-KR"/>
              </w:rPr>
              <w:t>SMTC</w:t>
            </w:r>
            <w:r w:rsidRPr="009C5807">
              <w:rPr>
                <w:lang w:eastAsia="ko-KR"/>
              </w:rPr>
              <w:t>))</w:t>
            </w:r>
          </w:p>
        </w:tc>
      </w:tr>
      <w:tr w:rsidR="000433CC" w:rsidRPr="009C5807" w14:paraId="306E68C7" w14:textId="77777777" w:rsidTr="00625412">
        <w:trPr>
          <w:jc w:val="center"/>
        </w:trPr>
        <w:tc>
          <w:tcPr>
            <w:tcW w:w="1616" w:type="dxa"/>
          </w:tcPr>
          <w:p w14:paraId="796CBA74" w14:textId="77777777" w:rsidR="000433CC" w:rsidRPr="009C5807" w:rsidRDefault="000433CC" w:rsidP="00625412">
            <w:pPr>
              <w:pStyle w:val="TAC"/>
              <w:rPr>
                <w:lang w:eastAsia="zh-CN"/>
              </w:rPr>
            </w:pPr>
            <w:r w:rsidRPr="009C5807">
              <w:rPr>
                <w:lang w:eastAsia="ko-KR"/>
              </w:rPr>
              <w:t>&lt; -8</w:t>
            </w:r>
          </w:p>
        </w:tc>
        <w:tc>
          <w:tcPr>
            <w:tcW w:w="1837" w:type="dxa"/>
            <w:shd w:val="clear" w:color="auto" w:fill="auto"/>
          </w:tcPr>
          <w:p w14:paraId="5B39F371" w14:textId="77777777" w:rsidR="000433CC" w:rsidRPr="009C5807" w:rsidRDefault="000433CC" w:rsidP="00625412">
            <w:pPr>
              <w:pStyle w:val="TAC"/>
              <w:rPr>
                <w:lang w:eastAsia="ko-KR"/>
              </w:rPr>
            </w:pPr>
            <w:r w:rsidRPr="009C5807">
              <w:rPr>
                <w:lang w:eastAsia="ko-KR"/>
              </w:rPr>
              <w:t>FR1</w:t>
            </w:r>
          </w:p>
        </w:tc>
        <w:tc>
          <w:tcPr>
            <w:tcW w:w="2801" w:type="dxa"/>
            <w:shd w:val="clear" w:color="auto" w:fill="auto"/>
          </w:tcPr>
          <w:p w14:paraId="593D2744" w14:textId="77777777" w:rsidR="000433CC" w:rsidRPr="009C5807" w:rsidRDefault="000433CC" w:rsidP="00625412">
            <w:pPr>
              <w:pStyle w:val="TAC"/>
              <w:rPr>
                <w:lang w:eastAsia="zh-CN"/>
              </w:rPr>
            </w:pPr>
            <w:r w:rsidRPr="009C5807">
              <w:rPr>
                <w:lang w:eastAsia="zh-CN"/>
              </w:rPr>
              <w:t>N/A</w:t>
            </w:r>
          </w:p>
        </w:tc>
        <w:tc>
          <w:tcPr>
            <w:tcW w:w="3375" w:type="dxa"/>
            <w:shd w:val="clear" w:color="auto" w:fill="auto"/>
          </w:tcPr>
          <w:p w14:paraId="1A184727" w14:textId="77777777" w:rsidR="000433CC" w:rsidRPr="009C5807" w:rsidRDefault="000433CC" w:rsidP="00625412">
            <w:pPr>
              <w:pStyle w:val="TAC"/>
              <w:rPr>
                <w:lang w:eastAsia="ko-KR"/>
              </w:rPr>
            </w:pPr>
            <w:r w:rsidRPr="009C5807">
              <w:t>800</w:t>
            </w:r>
            <w:r w:rsidRPr="009C5807">
              <w:rPr>
                <w:vertAlign w:val="superscript"/>
              </w:rPr>
              <w:t>Note1</w:t>
            </w:r>
          </w:p>
        </w:tc>
      </w:tr>
      <w:tr w:rsidR="000433CC" w:rsidRPr="009C5807" w14:paraId="74FA56DB" w14:textId="77777777" w:rsidTr="00625412">
        <w:trPr>
          <w:jc w:val="center"/>
        </w:trPr>
        <w:tc>
          <w:tcPr>
            <w:tcW w:w="1616" w:type="dxa"/>
          </w:tcPr>
          <w:p w14:paraId="16B66A52" w14:textId="77777777" w:rsidR="000433CC" w:rsidRPr="009C5807" w:rsidRDefault="000433CC" w:rsidP="00625412">
            <w:pPr>
              <w:pStyle w:val="TAC"/>
              <w:rPr>
                <w:lang w:eastAsia="zh-CN"/>
              </w:rPr>
            </w:pPr>
            <w:r w:rsidRPr="009C5807">
              <w:rPr>
                <w:lang w:eastAsia="ko-KR"/>
              </w:rPr>
              <w:t>&lt; -8</w:t>
            </w:r>
          </w:p>
        </w:tc>
        <w:tc>
          <w:tcPr>
            <w:tcW w:w="1837" w:type="dxa"/>
            <w:shd w:val="clear" w:color="auto" w:fill="auto"/>
          </w:tcPr>
          <w:p w14:paraId="6F197EF6" w14:textId="77777777" w:rsidR="000433CC" w:rsidRPr="009C5807" w:rsidRDefault="000433CC" w:rsidP="00625412">
            <w:pPr>
              <w:pStyle w:val="TAC"/>
              <w:rPr>
                <w:lang w:eastAsia="ko-KR"/>
              </w:rPr>
            </w:pPr>
            <w:r w:rsidRPr="009C5807">
              <w:rPr>
                <w:lang w:eastAsia="ko-KR"/>
              </w:rPr>
              <w:t>FR2</w:t>
            </w:r>
            <w:r>
              <w:rPr>
                <w:lang w:eastAsia="ko-KR"/>
              </w:rPr>
              <w:t>-1</w:t>
            </w:r>
          </w:p>
        </w:tc>
        <w:tc>
          <w:tcPr>
            <w:tcW w:w="2801" w:type="dxa"/>
            <w:shd w:val="clear" w:color="auto" w:fill="auto"/>
          </w:tcPr>
          <w:p w14:paraId="4028A5E5" w14:textId="77777777" w:rsidR="000433CC" w:rsidRPr="009C5807" w:rsidRDefault="000433CC" w:rsidP="00625412">
            <w:pPr>
              <w:pStyle w:val="TAC"/>
              <w:rPr>
                <w:lang w:eastAsia="zh-CN"/>
              </w:rPr>
            </w:pPr>
            <w:r w:rsidRPr="009C5807">
              <w:rPr>
                <w:lang w:eastAsia="zh-CN"/>
              </w:rPr>
              <w:t>N/A</w:t>
            </w:r>
          </w:p>
        </w:tc>
        <w:tc>
          <w:tcPr>
            <w:tcW w:w="3375" w:type="dxa"/>
            <w:shd w:val="clear" w:color="auto" w:fill="auto"/>
          </w:tcPr>
          <w:p w14:paraId="727105D9" w14:textId="77777777" w:rsidR="000433CC" w:rsidRPr="009C5807" w:rsidRDefault="000433CC" w:rsidP="00625412">
            <w:pPr>
              <w:pStyle w:val="TAC"/>
              <w:rPr>
                <w:lang w:eastAsia="ko-KR"/>
              </w:rPr>
            </w:pPr>
            <w:bookmarkStart w:id="116" w:name="_Hlk521492617"/>
            <w:r w:rsidRPr="009C5807">
              <w:rPr>
                <w:lang w:eastAsia="ko-KR"/>
              </w:rPr>
              <w:t>3520</w:t>
            </w:r>
            <w:bookmarkEnd w:id="116"/>
            <w:r w:rsidRPr="009C5807">
              <w:rPr>
                <w:vertAlign w:val="superscript"/>
              </w:rPr>
              <w:t>Note1</w:t>
            </w:r>
          </w:p>
        </w:tc>
      </w:tr>
      <w:tr w:rsidR="000433CC" w:rsidRPr="009C5807" w14:paraId="705D163F" w14:textId="77777777" w:rsidTr="00625412">
        <w:trPr>
          <w:jc w:val="center"/>
        </w:trPr>
        <w:tc>
          <w:tcPr>
            <w:tcW w:w="1616" w:type="dxa"/>
          </w:tcPr>
          <w:p w14:paraId="42E307AB" w14:textId="77777777" w:rsidR="000433CC" w:rsidRPr="009C5807" w:rsidRDefault="000433CC" w:rsidP="00625412">
            <w:pPr>
              <w:pStyle w:val="TAC"/>
              <w:rPr>
                <w:lang w:eastAsia="ko-KR"/>
              </w:rPr>
            </w:pPr>
            <w:r w:rsidRPr="009C5807">
              <w:rPr>
                <w:lang w:eastAsia="ko-KR"/>
              </w:rPr>
              <w:t>&lt; -8</w:t>
            </w:r>
          </w:p>
        </w:tc>
        <w:tc>
          <w:tcPr>
            <w:tcW w:w="1837" w:type="dxa"/>
            <w:shd w:val="clear" w:color="auto" w:fill="auto"/>
          </w:tcPr>
          <w:p w14:paraId="1AAA0B8E" w14:textId="77777777" w:rsidR="000433CC" w:rsidRPr="009C5807" w:rsidRDefault="000433CC" w:rsidP="00625412">
            <w:pPr>
              <w:pStyle w:val="TAC"/>
              <w:rPr>
                <w:lang w:eastAsia="ko-KR"/>
              </w:rPr>
            </w:pPr>
            <w:r w:rsidRPr="009C5807">
              <w:rPr>
                <w:lang w:eastAsia="ko-KR"/>
              </w:rPr>
              <w:t>FR2</w:t>
            </w:r>
            <w:r>
              <w:rPr>
                <w:lang w:eastAsia="ko-KR"/>
              </w:rPr>
              <w:t>-2</w:t>
            </w:r>
          </w:p>
        </w:tc>
        <w:tc>
          <w:tcPr>
            <w:tcW w:w="2801" w:type="dxa"/>
            <w:shd w:val="clear" w:color="auto" w:fill="auto"/>
          </w:tcPr>
          <w:p w14:paraId="088A17A9" w14:textId="77777777" w:rsidR="000433CC" w:rsidRPr="009C5807" w:rsidRDefault="000433CC" w:rsidP="00625412">
            <w:pPr>
              <w:pStyle w:val="TAC"/>
              <w:rPr>
                <w:lang w:eastAsia="zh-CN"/>
              </w:rPr>
            </w:pPr>
            <w:r w:rsidRPr="009C5807">
              <w:rPr>
                <w:lang w:eastAsia="zh-CN"/>
              </w:rPr>
              <w:t>N/A</w:t>
            </w:r>
          </w:p>
        </w:tc>
        <w:tc>
          <w:tcPr>
            <w:tcW w:w="3375" w:type="dxa"/>
            <w:shd w:val="clear" w:color="auto" w:fill="auto"/>
          </w:tcPr>
          <w:p w14:paraId="34BA7667" w14:textId="77777777" w:rsidR="000433CC" w:rsidRPr="009C5807" w:rsidRDefault="000433CC" w:rsidP="00625412">
            <w:pPr>
              <w:pStyle w:val="TAC"/>
              <w:rPr>
                <w:lang w:eastAsia="ko-KR"/>
              </w:rPr>
            </w:pPr>
            <w:r>
              <w:rPr>
                <w:lang w:eastAsia="ko-KR"/>
              </w:rPr>
              <w:t>5280</w:t>
            </w:r>
            <w:r w:rsidRPr="009C5807">
              <w:rPr>
                <w:vertAlign w:val="superscript"/>
              </w:rPr>
              <w:t>Note1</w:t>
            </w:r>
          </w:p>
        </w:tc>
      </w:tr>
      <w:tr w:rsidR="000433CC" w:rsidRPr="009C5807" w14:paraId="20C23497" w14:textId="77777777" w:rsidTr="00625412">
        <w:trPr>
          <w:jc w:val="center"/>
        </w:trPr>
        <w:tc>
          <w:tcPr>
            <w:tcW w:w="9629" w:type="dxa"/>
            <w:gridSpan w:val="4"/>
          </w:tcPr>
          <w:p w14:paraId="3E2B5E01" w14:textId="77777777" w:rsidR="000433CC" w:rsidRPr="009C5807" w:rsidRDefault="000433CC" w:rsidP="00625412">
            <w:pPr>
              <w:pStyle w:val="TAN"/>
              <w:rPr>
                <w:lang w:eastAsia="zh-CN"/>
              </w:rPr>
            </w:pPr>
            <w:r w:rsidRPr="009C5807">
              <w:rPr>
                <w:lang w:eastAsia="ko-KR"/>
              </w:rPr>
              <w:t>Note 1:</w:t>
            </w:r>
            <w:r w:rsidRPr="009C5807">
              <w:tab/>
            </w:r>
            <w:r w:rsidRPr="009C5807">
              <w:rPr>
                <w:lang w:eastAsia="ko-KR"/>
              </w:rPr>
              <w:t>The UE is not required to successfully</w:t>
            </w:r>
            <w:r w:rsidRPr="009C5807">
              <w:rPr>
                <w:b/>
                <w:bCs/>
              </w:rPr>
              <w:t xml:space="preserve"> </w:t>
            </w:r>
            <w:r w:rsidRPr="009C5807">
              <w:rPr>
                <w:lang w:eastAsia="ko-KR"/>
              </w:rPr>
              <w:t>identify a cell on any NR frequency layer when T</w:t>
            </w:r>
            <w:r w:rsidRPr="009C5807">
              <w:rPr>
                <w:vertAlign w:val="subscript"/>
                <w:lang w:eastAsia="ko-KR"/>
              </w:rPr>
              <w:t>SMTC</w:t>
            </w:r>
            <w:r w:rsidRPr="009C5807">
              <w:rPr>
                <w:lang w:eastAsia="ko-KR"/>
              </w:rPr>
              <w:t xml:space="preserve"> &gt; 20 ms and serving cell SSB Ês/Iot &lt; -8 dB.</w:t>
            </w:r>
          </w:p>
        </w:tc>
      </w:tr>
    </w:tbl>
    <w:p w14:paraId="556851BB" w14:textId="77777777" w:rsidR="000433CC" w:rsidRPr="009C5807" w:rsidRDefault="000433CC" w:rsidP="000433CC"/>
    <w:p w14:paraId="3A45236B" w14:textId="7BE22F21" w:rsidR="000433CC" w:rsidRPr="009C5807" w:rsidRDefault="00F104FA" w:rsidP="000433CC">
      <w:pPr>
        <w:pStyle w:val="TH"/>
      </w:pPr>
      <w:r w:rsidRPr="009C5807">
        <w:t>T</w:t>
      </w:r>
      <w:r w:rsidR="000433CC" w:rsidRPr="000433CC">
        <w:t xml:space="preserve"> </w:t>
      </w:r>
      <w:r w:rsidR="000433CC" w:rsidRPr="009C5807">
        <w:t>Table 6.2.1.2.1-2: Time to identify target NR cell for RRC connection re-establishment to NR inter-frequency cell</w:t>
      </w:r>
    </w:p>
    <w:tbl>
      <w:tblPr>
        <w:tblW w:w="9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701"/>
        <w:gridCol w:w="2835"/>
        <w:gridCol w:w="3411"/>
      </w:tblGrid>
      <w:tr w:rsidR="000433CC" w:rsidRPr="009C5807" w14:paraId="361F1E5E" w14:textId="77777777" w:rsidTr="00625412">
        <w:trPr>
          <w:jc w:val="center"/>
        </w:trPr>
        <w:tc>
          <w:tcPr>
            <w:tcW w:w="1696" w:type="dxa"/>
            <w:tcBorders>
              <w:bottom w:val="nil"/>
            </w:tcBorders>
            <w:shd w:val="clear" w:color="auto" w:fill="auto"/>
          </w:tcPr>
          <w:p w14:paraId="096C949E" w14:textId="77777777" w:rsidR="000433CC" w:rsidRPr="009C5807" w:rsidRDefault="000433CC" w:rsidP="00625412">
            <w:pPr>
              <w:pStyle w:val="TAH"/>
              <w:rPr>
                <w:lang w:eastAsia="ko-KR"/>
              </w:rPr>
            </w:pPr>
            <w:r w:rsidRPr="009C5807">
              <w:rPr>
                <w:rFonts w:cs="v4.2.0"/>
                <w:lang w:eastAsia="ko-KR"/>
              </w:rPr>
              <w:t xml:space="preserve">Serving cell SSB </w:t>
            </w:r>
            <w:r w:rsidRPr="009C5807">
              <w:rPr>
                <w:lang w:val="en-US"/>
              </w:rPr>
              <w:t>Ês/Iot (dB)</w:t>
            </w:r>
          </w:p>
        </w:tc>
        <w:tc>
          <w:tcPr>
            <w:tcW w:w="1701" w:type="dxa"/>
            <w:tcBorders>
              <w:bottom w:val="nil"/>
            </w:tcBorders>
            <w:shd w:val="clear" w:color="auto" w:fill="auto"/>
          </w:tcPr>
          <w:p w14:paraId="258E3596" w14:textId="77777777" w:rsidR="000433CC" w:rsidRPr="009C5807" w:rsidRDefault="000433CC" w:rsidP="00625412">
            <w:pPr>
              <w:pStyle w:val="TAH"/>
              <w:rPr>
                <w:lang w:eastAsia="ko-KR"/>
              </w:rPr>
            </w:pPr>
            <w:r w:rsidRPr="009C5807">
              <w:rPr>
                <w:lang w:eastAsia="ko-KR"/>
              </w:rPr>
              <w:t>FR of target NR cell</w:t>
            </w:r>
          </w:p>
        </w:tc>
        <w:tc>
          <w:tcPr>
            <w:tcW w:w="6246" w:type="dxa"/>
            <w:gridSpan w:val="2"/>
            <w:shd w:val="clear" w:color="auto" w:fill="auto"/>
          </w:tcPr>
          <w:p w14:paraId="5BAA7A35" w14:textId="77777777" w:rsidR="000433CC" w:rsidRPr="009C5807" w:rsidRDefault="000433CC" w:rsidP="00625412">
            <w:pPr>
              <w:pStyle w:val="TAH"/>
              <w:rPr>
                <w:lang w:eastAsia="ko-KR"/>
              </w:rPr>
            </w:pPr>
            <w:r w:rsidRPr="009C5807">
              <w:rPr>
                <w:lang w:eastAsia="ko-KR"/>
              </w:rPr>
              <w:t>T</w:t>
            </w:r>
            <w:r w:rsidRPr="009C5807">
              <w:rPr>
                <w:vertAlign w:val="subscript"/>
                <w:lang w:eastAsia="ko-KR"/>
              </w:rPr>
              <w:t xml:space="preserve">identify_inter_NR, i </w:t>
            </w:r>
            <w:r w:rsidRPr="009C5807">
              <w:rPr>
                <w:lang w:eastAsia="ko-KR"/>
              </w:rPr>
              <w:t>[ms]</w:t>
            </w:r>
          </w:p>
        </w:tc>
      </w:tr>
      <w:tr w:rsidR="000433CC" w:rsidRPr="009C5807" w14:paraId="7EA1F5A1" w14:textId="77777777" w:rsidTr="00625412">
        <w:trPr>
          <w:jc w:val="center"/>
        </w:trPr>
        <w:tc>
          <w:tcPr>
            <w:tcW w:w="1696" w:type="dxa"/>
            <w:tcBorders>
              <w:top w:val="nil"/>
            </w:tcBorders>
            <w:shd w:val="clear" w:color="auto" w:fill="auto"/>
          </w:tcPr>
          <w:p w14:paraId="62DCD131" w14:textId="77777777" w:rsidR="000433CC" w:rsidRPr="009C5807" w:rsidRDefault="000433CC" w:rsidP="00625412">
            <w:pPr>
              <w:pStyle w:val="TAH"/>
              <w:rPr>
                <w:lang w:eastAsia="ko-KR"/>
              </w:rPr>
            </w:pPr>
          </w:p>
        </w:tc>
        <w:tc>
          <w:tcPr>
            <w:tcW w:w="1701" w:type="dxa"/>
            <w:tcBorders>
              <w:top w:val="nil"/>
            </w:tcBorders>
            <w:shd w:val="clear" w:color="auto" w:fill="auto"/>
          </w:tcPr>
          <w:p w14:paraId="4C5224DC" w14:textId="77777777" w:rsidR="000433CC" w:rsidRPr="009C5807" w:rsidRDefault="000433CC" w:rsidP="00625412">
            <w:pPr>
              <w:pStyle w:val="TAH"/>
              <w:rPr>
                <w:lang w:eastAsia="ko-KR"/>
              </w:rPr>
            </w:pPr>
          </w:p>
        </w:tc>
        <w:tc>
          <w:tcPr>
            <w:tcW w:w="2835" w:type="dxa"/>
            <w:shd w:val="clear" w:color="auto" w:fill="auto"/>
          </w:tcPr>
          <w:p w14:paraId="065CE085" w14:textId="77777777" w:rsidR="000433CC" w:rsidRPr="009C5807" w:rsidRDefault="000433CC" w:rsidP="00625412">
            <w:pPr>
              <w:pStyle w:val="TAH"/>
              <w:rPr>
                <w:lang w:eastAsia="ko-KR"/>
              </w:rPr>
            </w:pPr>
            <w:r w:rsidRPr="009C5807">
              <w:rPr>
                <w:lang w:eastAsia="ko-KR"/>
              </w:rPr>
              <w:t>Known NR cell</w:t>
            </w:r>
          </w:p>
        </w:tc>
        <w:tc>
          <w:tcPr>
            <w:tcW w:w="3411" w:type="dxa"/>
          </w:tcPr>
          <w:p w14:paraId="341E0491" w14:textId="77777777" w:rsidR="000433CC" w:rsidRPr="009C5807" w:rsidRDefault="000433CC" w:rsidP="00625412">
            <w:pPr>
              <w:pStyle w:val="TAH"/>
              <w:rPr>
                <w:lang w:eastAsia="ko-KR"/>
              </w:rPr>
            </w:pPr>
            <w:r w:rsidRPr="009C5807">
              <w:rPr>
                <w:lang w:eastAsia="ko-KR"/>
              </w:rPr>
              <w:t>Unknown NR cell</w:t>
            </w:r>
          </w:p>
        </w:tc>
      </w:tr>
      <w:tr w:rsidR="000433CC" w:rsidRPr="009C5807" w14:paraId="27458B31" w14:textId="77777777" w:rsidTr="00625412">
        <w:trPr>
          <w:jc w:val="center"/>
        </w:trPr>
        <w:tc>
          <w:tcPr>
            <w:tcW w:w="1696" w:type="dxa"/>
          </w:tcPr>
          <w:p w14:paraId="26592238" w14:textId="77777777" w:rsidR="000433CC" w:rsidRPr="009C5807" w:rsidRDefault="000433CC" w:rsidP="00625412">
            <w:pPr>
              <w:pStyle w:val="TAL"/>
              <w:rPr>
                <w:lang w:eastAsia="zh-CN"/>
              </w:rPr>
            </w:pPr>
            <w:r w:rsidRPr="009C5807">
              <w:rPr>
                <w:rFonts w:cs="Arial" w:hint="eastAsia"/>
                <w:lang w:eastAsia="ko-KR"/>
              </w:rPr>
              <w:t>≥</w:t>
            </w:r>
            <w:r w:rsidRPr="009C5807">
              <w:rPr>
                <w:rFonts w:cs="Arial"/>
                <w:lang w:eastAsia="ko-KR"/>
              </w:rPr>
              <w:t xml:space="preserve"> </w:t>
            </w:r>
            <w:r w:rsidRPr="009C5807">
              <w:rPr>
                <w:lang w:eastAsia="ko-KR"/>
              </w:rPr>
              <w:t>-8</w:t>
            </w:r>
          </w:p>
        </w:tc>
        <w:tc>
          <w:tcPr>
            <w:tcW w:w="1701" w:type="dxa"/>
            <w:shd w:val="clear" w:color="auto" w:fill="auto"/>
          </w:tcPr>
          <w:p w14:paraId="44827438" w14:textId="77777777" w:rsidR="000433CC" w:rsidRPr="009C5807" w:rsidRDefault="000433CC" w:rsidP="00625412">
            <w:pPr>
              <w:pStyle w:val="TAL"/>
              <w:rPr>
                <w:lang w:eastAsia="ko-KR"/>
              </w:rPr>
            </w:pPr>
            <w:r w:rsidRPr="009C5807">
              <w:rPr>
                <w:lang w:eastAsia="ko-KR"/>
              </w:rPr>
              <w:t>FR1</w:t>
            </w:r>
          </w:p>
        </w:tc>
        <w:tc>
          <w:tcPr>
            <w:tcW w:w="2835" w:type="dxa"/>
            <w:shd w:val="clear" w:color="auto" w:fill="auto"/>
          </w:tcPr>
          <w:p w14:paraId="5BB152D2" w14:textId="77777777" w:rsidR="000433CC" w:rsidRPr="009C5807" w:rsidRDefault="000433CC" w:rsidP="00625412">
            <w:pPr>
              <w:pStyle w:val="TAC"/>
            </w:pPr>
            <w:r w:rsidRPr="009C5807">
              <w:t>MAX (200 ms, 6 x T</w:t>
            </w:r>
            <w:r w:rsidRPr="009C5807">
              <w:rPr>
                <w:vertAlign w:val="subscript"/>
              </w:rPr>
              <w:t>SMTC, i</w:t>
            </w:r>
            <w:r w:rsidRPr="009C5807">
              <w:t>)</w:t>
            </w:r>
          </w:p>
        </w:tc>
        <w:tc>
          <w:tcPr>
            <w:tcW w:w="3411" w:type="dxa"/>
            <w:shd w:val="clear" w:color="auto" w:fill="auto"/>
          </w:tcPr>
          <w:p w14:paraId="3CC33142" w14:textId="77777777" w:rsidR="000433CC" w:rsidRPr="009C5807" w:rsidRDefault="000433CC" w:rsidP="00625412">
            <w:pPr>
              <w:pStyle w:val="TAC"/>
            </w:pPr>
            <w:r w:rsidRPr="009C5807">
              <w:t>MAX (800 ms, 13 x T</w:t>
            </w:r>
            <w:r w:rsidRPr="009C5807">
              <w:rPr>
                <w:vertAlign w:val="subscript"/>
              </w:rPr>
              <w:t>SMTC, i</w:t>
            </w:r>
            <w:r w:rsidRPr="009C5807">
              <w:t>)</w:t>
            </w:r>
          </w:p>
        </w:tc>
      </w:tr>
      <w:tr w:rsidR="000433CC" w:rsidRPr="009C5807" w14:paraId="1FBC4307" w14:textId="77777777" w:rsidTr="00625412">
        <w:trPr>
          <w:jc w:val="center"/>
        </w:trPr>
        <w:tc>
          <w:tcPr>
            <w:tcW w:w="1696" w:type="dxa"/>
          </w:tcPr>
          <w:p w14:paraId="31F9A4F4" w14:textId="77777777" w:rsidR="000433CC" w:rsidRPr="009C5807" w:rsidRDefault="000433CC" w:rsidP="00625412">
            <w:pPr>
              <w:pStyle w:val="TAL"/>
              <w:rPr>
                <w:lang w:eastAsia="zh-CN"/>
              </w:rPr>
            </w:pPr>
            <w:r w:rsidRPr="009C5807">
              <w:rPr>
                <w:rFonts w:cs="Arial" w:hint="eastAsia"/>
                <w:lang w:eastAsia="ko-KR"/>
              </w:rPr>
              <w:t>≥</w:t>
            </w:r>
            <w:r w:rsidRPr="009C5807">
              <w:rPr>
                <w:rFonts w:cs="Arial"/>
                <w:lang w:eastAsia="ko-KR"/>
              </w:rPr>
              <w:t xml:space="preserve"> </w:t>
            </w:r>
            <w:r w:rsidRPr="009C5807">
              <w:rPr>
                <w:lang w:eastAsia="ko-KR"/>
              </w:rPr>
              <w:t>-8</w:t>
            </w:r>
          </w:p>
        </w:tc>
        <w:tc>
          <w:tcPr>
            <w:tcW w:w="1701" w:type="dxa"/>
            <w:shd w:val="clear" w:color="auto" w:fill="auto"/>
          </w:tcPr>
          <w:p w14:paraId="5139E96D" w14:textId="77777777" w:rsidR="000433CC" w:rsidRPr="009C5807" w:rsidRDefault="000433CC" w:rsidP="00625412">
            <w:pPr>
              <w:pStyle w:val="TAL"/>
              <w:rPr>
                <w:lang w:eastAsia="ko-KR"/>
              </w:rPr>
            </w:pPr>
            <w:r w:rsidRPr="009C5807">
              <w:rPr>
                <w:lang w:eastAsia="ko-KR"/>
              </w:rPr>
              <w:t>FR2</w:t>
            </w:r>
            <w:r>
              <w:rPr>
                <w:lang w:eastAsia="ko-KR"/>
              </w:rPr>
              <w:t>-1</w:t>
            </w:r>
          </w:p>
        </w:tc>
        <w:tc>
          <w:tcPr>
            <w:tcW w:w="2835" w:type="dxa"/>
            <w:shd w:val="clear" w:color="auto" w:fill="auto"/>
          </w:tcPr>
          <w:p w14:paraId="35BCCAB2" w14:textId="77777777" w:rsidR="000433CC" w:rsidRPr="009C5807" w:rsidRDefault="000433CC" w:rsidP="00625412">
            <w:pPr>
              <w:pStyle w:val="TAC"/>
              <w:rPr>
                <w:lang w:eastAsia="zh-CN"/>
              </w:rPr>
            </w:pPr>
            <w:r w:rsidRPr="009C5807">
              <w:rPr>
                <w:lang w:eastAsia="zh-CN"/>
              </w:rPr>
              <w:t>N/A</w:t>
            </w:r>
          </w:p>
        </w:tc>
        <w:tc>
          <w:tcPr>
            <w:tcW w:w="3411" w:type="dxa"/>
            <w:shd w:val="clear" w:color="auto" w:fill="auto"/>
          </w:tcPr>
          <w:p w14:paraId="26B8EF2C" w14:textId="77777777" w:rsidR="000433CC" w:rsidRPr="009C5807" w:rsidRDefault="000433CC" w:rsidP="00625412">
            <w:pPr>
              <w:pStyle w:val="TAC"/>
              <w:rPr>
                <w:lang w:eastAsia="ko-KR"/>
              </w:rPr>
            </w:pPr>
            <w:r w:rsidRPr="009C5807">
              <w:rPr>
                <w:lang w:eastAsia="ko-KR"/>
              </w:rPr>
              <w:t xml:space="preserve">MAX (1000 ms, </w:t>
            </w:r>
            <w:r w:rsidRPr="009C5807">
              <w:rPr>
                <w:lang w:eastAsia="zh-CN"/>
              </w:rPr>
              <w:t xml:space="preserve">104 </w:t>
            </w:r>
            <w:r w:rsidRPr="009C5807">
              <w:rPr>
                <w:lang w:eastAsia="ko-KR"/>
              </w:rPr>
              <w:t>x T</w:t>
            </w:r>
            <w:r w:rsidRPr="009C5807">
              <w:rPr>
                <w:vertAlign w:val="subscript"/>
                <w:lang w:eastAsia="ko-KR"/>
              </w:rPr>
              <w:t>SMTC, i</w:t>
            </w:r>
            <w:r w:rsidRPr="009C5807">
              <w:rPr>
                <w:lang w:eastAsia="ko-KR"/>
              </w:rPr>
              <w:t>))</w:t>
            </w:r>
          </w:p>
        </w:tc>
      </w:tr>
      <w:tr w:rsidR="000433CC" w:rsidRPr="009C5807" w14:paraId="12065A98" w14:textId="77777777" w:rsidTr="00625412">
        <w:trPr>
          <w:jc w:val="center"/>
        </w:trPr>
        <w:tc>
          <w:tcPr>
            <w:tcW w:w="1696" w:type="dxa"/>
          </w:tcPr>
          <w:p w14:paraId="1464276E" w14:textId="77777777" w:rsidR="000433CC" w:rsidRPr="009C5807" w:rsidRDefault="000433CC" w:rsidP="00625412">
            <w:pPr>
              <w:pStyle w:val="TAL"/>
              <w:rPr>
                <w:rFonts w:cs="Arial"/>
                <w:lang w:eastAsia="ko-KR"/>
              </w:rPr>
            </w:pPr>
            <w:r w:rsidRPr="009C5807">
              <w:rPr>
                <w:rFonts w:cs="Arial" w:hint="eastAsia"/>
                <w:lang w:eastAsia="ko-KR"/>
              </w:rPr>
              <w:t>≥</w:t>
            </w:r>
            <w:r w:rsidRPr="009C5807">
              <w:rPr>
                <w:lang w:eastAsia="ko-KR"/>
              </w:rPr>
              <w:t xml:space="preserve"> -8</w:t>
            </w:r>
          </w:p>
        </w:tc>
        <w:tc>
          <w:tcPr>
            <w:tcW w:w="1701" w:type="dxa"/>
            <w:shd w:val="clear" w:color="auto" w:fill="auto"/>
          </w:tcPr>
          <w:p w14:paraId="6149702A" w14:textId="77777777" w:rsidR="000433CC" w:rsidRPr="009C5807" w:rsidRDefault="000433CC" w:rsidP="00625412">
            <w:pPr>
              <w:pStyle w:val="TAL"/>
              <w:rPr>
                <w:lang w:eastAsia="ko-KR"/>
              </w:rPr>
            </w:pPr>
            <w:r w:rsidRPr="009C5807">
              <w:rPr>
                <w:lang w:eastAsia="ko-KR"/>
              </w:rPr>
              <w:t>FR2</w:t>
            </w:r>
            <w:r>
              <w:rPr>
                <w:rFonts w:hint="eastAsia"/>
                <w:lang w:eastAsia="zh-CN"/>
              </w:rPr>
              <w:t>-</w:t>
            </w:r>
            <w:r>
              <w:rPr>
                <w:lang w:eastAsia="ko-KR"/>
              </w:rPr>
              <w:t>2</w:t>
            </w:r>
          </w:p>
        </w:tc>
        <w:tc>
          <w:tcPr>
            <w:tcW w:w="2835" w:type="dxa"/>
            <w:shd w:val="clear" w:color="auto" w:fill="auto"/>
          </w:tcPr>
          <w:p w14:paraId="5960E6DB" w14:textId="77777777" w:rsidR="000433CC" w:rsidRPr="009C5807" w:rsidRDefault="000433CC" w:rsidP="00625412">
            <w:pPr>
              <w:pStyle w:val="TAC"/>
              <w:rPr>
                <w:lang w:eastAsia="zh-CN"/>
              </w:rPr>
            </w:pPr>
            <w:r w:rsidRPr="009C5807">
              <w:rPr>
                <w:lang w:eastAsia="zh-CN"/>
              </w:rPr>
              <w:t>N/A</w:t>
            </w:r>
          </w:p>
        </w:tc>
        <w:tc>
          <w:tcPr>
            <w:tcW w:w="3411" w:type="dxa"/>
            <w:shd w:val="clear" w:color="auto" w:fill="auto"/>
          </w:tcPr>
          <w:p w14:paraId="7585331A" w14:textId="77777777" w:rsidR="000433CC" w:rsidRPr="009C5807" w:rsidRDefault="000433CC" w:rsidP="00625412">
            <w:pPr>
              <w:pStyle w:val="TAC"/>
              <w:rPr>
                <w:lang w:eastAsia="ko-KR"/>
              </w:rPr>
            </w:pPr>
            <w:r w:rsidRPr="009C5807">
              <w:rPr>
                <w:lang w:eastAsia="ko-KR"/>
              </w:rPr>
              <w:t xml:space="preserve">MAX (1000 ms, </w:t>
            </w:r>
            <w:r w:rsidRPr="009C5807">
              <w:rPr>
                <w:lang w:eastAsia="zh-CN"/>
              </w:rPr>
              <w:t>1</w:t>
            </w:r>
            <w:r>
              <w:rPr>
                <w:lang w:eastAsia="zh-CN"/>
              </w:rPr>
              <w:t>56</w:t>
            </w:r>
            <w:r w:rsidRPr="009C5807">
              <w:rPr>
                <w:lang w:eastAsia="zh-CN"/>
              </w:rPr>
              <w:t xml:space="preserve"> </w:t>
            </w:r>
            <w:r w:rsidRPr="009C5807">
              <w:rPr>
                <w:lang w:eastAsia="ko-KR"/>
              </w:rPr>
              <w:t>x T</w:t>
            </w:r>
            <w:r w:rsidRPr="009C5807">
              <w:rPr>
                <w:vertAlign w:val="subscript"/>
                <w:lang w:eastAsia="ko-KR"/>
              </w:rPr>
              <w:t>SMTC, i</w:t>
            </w:r>
            <w:r w:rsidRPr="009C5807">
              <w:rPr>
                <w:lang w:eastAsia="ko-KR"/>
              </w:rPr>
              <w:t>))</w:t>
            </w:r>
          </w:p>
        </w:tc>
      </w:tr>
      <w:tr w:rsidR="000433CC" w:rsidRPr="009C5807" w14:paraId="28E924F9" w14:textId="77777777" w:rsidTr="00625412">
        <w:trPr>
          <w:jc w:val="center"/>
        </w:trPr>
        <w:tc>
          <w:tcPr>
            <w:tcW w:w="1696" w:type="dxa"/>
          </w:tcPr>
          <w:p w14:paraId="18CE2D4C" w14:textId="77777777" w:rsidR="000433CC" w:rsidRPr="009C5807" w:rsidRDefault="000433CC" w:rsidP="00625412">
            <w:pPr>
              <w:pStyle w:val="TAL"/>
              <w:rPr>
                <w:lang w:eastAsia="zh-CN"/>
              </w:rPr>
            </w:pPr>
            <w:r w:rsidRPr="009C5807">
              <w:rPr>
                <w:lang w:eastAsia="ko-KR"/>
              </w:rPr>
              <w:t>&lt; -8</w:t>
            </w:r>
          </w:p>
        </w:tc>
        <w:tc>
          <w:tcPr>
            <w:tcW w:w="1701" w:type="dxa"/>
            <w:shd w:val="clear" w:color="auto" w:fill="auto"/>
          </w:tcPr>
          <w:p w14:paraId="38AC794D" w14:textId="77777777" w:rsidR="000433CC" w:rsidRPr="009C5807" w:rsidRDefault="000433CC" w:rsidP="00625412">
            <w:pPr>
              <w:pStyle w:val="TAL"/>
              <w:rPr>
                <w:lang w:eastAsia="ko-KR"/>
              </w:rPr>
            </w:pPr>
            <w:r w:rsidRPr="009C5807">
              <w:rPr>
                <w:lang w:eastAsia="ko-KR"/>
              </w:rPr>
              <w:t>FR1</w:t>
            </w:r>
          </w:p>
        </w:tc>
        <w:tc>
          <w:tcPr>
            <w:tcW w:w="2835" w:type="dxa"/>
            <w:shd w:val="clear" w:color="auto" w:fill="auto"/>
          </w:tcPr>
          <w:p w14:paraId="4BB65DC2" w14:textId="77777777" w:rsidR="000433CC" w:rsidRPr="009C5807" w:rsidRDefault="000433CC" w:rsidP="00625412">
            <w:pPr>
              <w:pStyle w:val="TAC"/>
              <w:rPr>
                <w:lang w:eastAsia="zh-CN"/>
              </w:rPr>
            </w:pPr>
            <w:r w:rsidRPr="009C5807">
              <w:rPr>
                <w:lang w:eastAsia="zh-CN"/>
              </w:rPr>
              <w:t>N/A</w:t>
            </w:r>
          </w:p>
        </w:tc>
        <w:tc>
          <w:tcPr>
            <w:tcW w:w="3411" w:type="dxa"/>
            <w:shd w:val="clear" w:color="auto" w:fill="auto"/>
          </w:tcPr>
          <w:p w14:paraId="2E37ACB3" w14:textId="77777777" w:rsidR="000433CC" w:rsidRPr="009C5807" w:rsidRDefault="000433CC" w:rsidP="00625412">
            <w:pPr>
              <w:pStyle w:val="TAC"/>
              <w:rPr>
                <w:lang w:eastAsia="ko-KR"/>
              </w:rPr>
            </w:pPr>
            <w:bookmarkStart w:id="117" w:name="_Hlk521492632"/>
            <w:r w:rsidRPr="009C5807">
              <w:t>800</w:t>
            </w:r>
            <w:bookmarkEnd w:id="117"/>
            <w:r w:rsidRPr="009C5807">
              <w:rPr>
                <w:vertAlign w:val="superscript"/>
              </w:rPr>
              <w:t>Note1</w:t>
            </w:r>
          </w:p>
        </w:tc>
      </w:tr>
      <w:tr w:rsidR="000433CC" w:rsidRPr="009C5807" w14:paraId="67583B64" w14:textId="77777777" w:rsidTr="00625412">
        <w:trPr>
          <w:jc w:val="center"/>
        </w:trPr>
        <w:tc>
          <w:tcPr>
            <w:tcW w:w="1696" w:type="dxa"/>
          </w:tcPr>
          <w:p w14:paraId="133C250C" w14:textId="77777777" w:rsidR="000433CC" w:rsidRPr="009C5807" w:rsidRDefault="000433CC" w:rsidP="00625412">
            <w:pPr>
              <w:pStyle w:val="TAL"/>
              <w:rPr>
                <w:lang w:eastAsia="zh-CN"/>
              </w:rPr>
            </w:pPr>
            <w:r w:rsidRPr="009C5807">
              <w:rPr>
                <w:lang w:eastAsia="ko-KR"/>
              </w:rPr>
              <w:t>&lt; -8</w:t>
            </w:r>
          </w:p>
        </w:tc>
        <w:tc>
          <w:tcPr>
            <w:tcW w:w="1701" w:type="dxa"/>
            <w:shd w:val="clear" w:color="auto" w:fill="auto"/>
          </w:tcPr>
          <w:p w14:paraId="056606DE" w14:textId="77777777" w:rsidR="000433CC" w:rsidRPr="009C5807" w:rsidRDefault="000433CC" w:rsidP="00625412">
            <w:pPr>
              <w:pStyle w:val="TAL"/>
              <w:rPr>
                <w:lang w:eastAsia="ko-KR"/>
              </w:rPr>
            </w:pPr>
            <w:r w:rsidRPr="009C5807">
              <w:rPr>
                <w:lang w:eastAsia="ko-KR"/>
              </w:rPr>
              <w:t>FR2</w:t>
            </w:r>
            <w:r>
              <w:rPr>
                <w:lang w:eastAsia="ko-KR"/>
              </w:rPr>
              <w:t>-1</w:t>
            </w:r>
          </w:p>
        </w:tc>
        <w:tc>
          <w:tcPr>
            <w:tcW w:w="2835" w:type="dxa"/>
            <w:shd w:val="clear" w:color="auto" w:fill="auto"/>
          </w:tcPr>
          <w:p w14:paraId="36222D65" w14:textId="77777777" w:rsidR="000433CC" w:rsidRPr="009C5807" w:rsidRDefault="000433CC" w:rsidP="00625412">
            <w:pPr>
              <w:pStyle w:val="TAC"/>
              <w:rPr>
                <w:lang w:eastAsia="zh-CN"/>
              </w:rPr>
            </w:pPr>
            <w:r w:rsidRPr="009C5807">
              <w:rPr>
                <w:lang w:eastAsia="zh-CN"/>
              </w:rPr>
              <w:t>N/A</w:t>
            </w:r>
          </w:p>
        </w:tc>
        <w:tc>
          <w:tcPr>
            <w:tcW w:w="3411" w:type="dxa"/>
            <w:shd w:val="clear" w:color="auto" w:fill="auto"/>
          </w:tcPr>
          <w:p w14:paraId="58343EC0" w14:textId="77777777" w:rsidR="000433CC" w:rsidRPr="009C5807" w:rsidRDefault="000433CC" w:rsidP="00625412">
            <w:pPr>
              <w:pStyle w:val="TAC"/>
              <w:rPr>
                <w:lang w:eastAsia="ko-KR"/>
              </w:rPr>
            </w:pPr>
            <w:r w:rsidRPr="009C5807">
              <w:rPr>
                <w:lang w:val="sv-SE" w:eastAsia="ko-KR"/>
              </w:rPr>
              <w:t>4000</w:t>
            </w:r>
            <w:r w:rsidRPr="009C5807">
              <w:rPr>
                <w:vertAlign w:val="superscript"/>
                <w:lang w:val="sv-SE"/>
              </w:rPr>
              <w:t>Note1</w:t>
            </w:r>
          </w:p>
        </w:tc>
      </w:tr>
      <w:tr w:rsidR="000433CC" w:rsidRPr="009C5807" w14:paraId="7571B392" w14:textId="77777777" w:rsidTr="00625412">
        <w:trPr>
          <w:jc w:val="center"/>
        </w:trPr>
        <w:tc>
          <w:tcPr>
            <w:tcW w:w="1696" w:type="dxa"/>
          </w:tcPr>
          <w:p w14:paraId="3EEB5DE5" w14:textId="77777777" w:rsidR="000433CC" w:rsidRPr="009C5807" w:rsidRDefault="000433CC" w:rsidP="00625412">
            <w:pPr>
              <w:pStyle w:val="TAL"/>
              <w:rPr>
                <w:lang w:eastAsia="ko-KR"/>
              </w:rPr>
            </w:pPr>
            <w:r w:rsidRPr="009C5807">
              <w:rPr>
                <w:lang w:eastAsia="ko-KR"/>
              </w:rPr>
              <w:t>&lt; -8</w:t>
            </w:r>
          </w:p>
        </w:tc>
        <w:tc>
          <w:tcPr>
            <w:tcW w:w="1701" w:type="dxa"/>
            <w:shd w:val="clear" w:color="auto" w:fill="auto"/>
          </w:tcPr>
          <w:p w14:paraId="667DE99D" w14:textId="77777777" w:rsidR="000433CC" w:rsidRPr="009C5807" w:rsidRDefault="000433CC" w:rsidP="00625412">
            <w:pPr>
              <w:pStyle w:val="TAL"/>
              <w:rPr>
                <w:lang w:eastAsia="ko-KR"/>
              </w:rPr>
            </w:pPr>
            <w:r w:rsidRPr="009C5807">
              <w:rPr>
                <w:lang w:eastAsia="ko-KR"/>
              </w:rPr>
              <w:t>FR2</w:t>
            </w:r>
            <w:r>
              <w:rPr>
                <w:rFonts w:hint="eastAsia"/>
                <w:lang w:eastAsia="zh-CN"/>
              </w:rPr>
              <w:t>-</w:t>
            </w:r>
            <w:r>
              <w:rPr>
                <w:lang w:eastAsia="ko-KR"/>
              </w:rPr>
              <w:t>2</w:t>
            </w:r>
          </w:p>
        </w:tc>
        <w:tc>
          <w:tcPr>
            <w:tcW w:w="2835" w:type="dxa"/>
            <w:shd w:val="clear" w:color="auto" w:fill="auto"/>
          </w:tcPr>
          <w:p w14:paraId="07781A8F" w14:textId="77777777" w:rsidR="000433CC" w:rsidRPr="009C5807" w:rsidRDefault="000433CC" w:rsidP="00625412">
            <w:pPr>
              <w:pStyle w:val="TAC"/>
              <w:rPr>
                <w:lang w:eastAsia="zh-CN"/>
              </w:rPr>
            </w:pPr>
            <w:r w:rsidRPr="009C5807">
              <w:rPr>
                <w:lang w:eastAsia="zh-CN"/>
              </w:rPr>
              <w:t>N/A</w:t>
            </w:r>
          </w:p>
        </w:tc>
        <w:tc>
          <w:tcPr>
            <w:tcW w:w="3411" w:type="dxa"/>
            <w:shd w:val="clear" w:color="auto" w:fill="auto"/>
          </w:tcPr>
          <w:p w14:paraId="259F905B" w14:textId="77777777" w:rsidR="000433CC" w:rsidRPr="009C5807" w:rsidRDefault="000433CC" w:rsidP="00625412">
            <w:pPr>
              <w:pStyle w:val="TAC"/>
              <w:rPr>
                <w:lang w:val="sv-SE" w:eastAsia="ko-KR"/>
              </w:rPr>
            </w:pPr>
            <w:r>
              <w:rPr>
                <w:lang w:val="sv-SE" w:eastAsia="ko-KR"/>
              </w:rPr>
              <w:t>6000</w:t>
            </w:r>
            <w:r w:rsidRPr="009C5807">
              <w:rPr>
                <w:vertAlign w:val="superscript"/>
                <w:lang w:val="sv-SE"/>
              </w:rPr>
              <w:t xml:space="preserve"> Note1</w:t>
            </w:r>
          </w:p>
        </w:tc>
      </w:tr>
      <w:tr w:rsidR="000433CC" w:rsidRPr="009C5807" w14:paraId="55166C6A" w14:textId="77777777" w:rsidTr="00625412">
        <w:trPr>
          <w:jc w:val="center"/>
        </w:trPr>
        <w:tc>
          <w:tcPr>
            <w:tcW w:w="9643" w:type="dxa"/>
            <w:gridSpan w:val="4"/>
          </w:tcPr>
          <w:p w14:paraId="2602D0F1" w14:textId="77777777" w:rsidR="000433CC" w:rsidRPr="009C5807" w:rsidRDefault="000433CC" w:rsidP="00625412">
            <w:pPr>
              <w:pStyle w:val="TAC"/>
              <w:jc w:val="both"/>
              <w:rPr>
                <w:lang w:eastAsia="ko-KR"/>
              </w:rPr>
            </w:pPr>
            <w:r w:rsidRPr="009C5807">
              <w:rPr>
                <w:lang w:eastAsia="ko-KR"/>
              </w:rPr>
              <w:t>Note 1:</w:t>
            </w:r>
            <w:r w:rsidRPr="009C5807">
              <w:tab/>
            </w:r>
            <w:r w:rsidRPr="009C5807">
              <w:rPr>
                <w:lang w:eastAsia="ko-KR"/>
              </w:rPr>
              <w:t>The UE is not required to successfully identify a cell on any NR frequency layer when T</w:t>
            </w:r>
            <w:r w:rsidRPr="009C5807">
              <w:rPr>
                <w:vertAlign w:val="subscript"/>
                <w:lang w:eastAsia="ko-KR"/>
              </w:rPr>
              <w:t>SMTC,i</w:t>
            </w:r>
            <w:r w:rsidRPr="009C5807">
              <w:rPr>
                <w:lang w:eastAsia="ko-KR"/>
              </w:rPr>
              <w:t xml:space="preserve"> &gt; 20 ms and serving cell SSB Ês/Iot &lt; -8 dB.</w:t>
            </w:r>
          </w:p>
        </w:tc>
      </w:tr>
    </w:tbl>
    <w:p w14:paraId="584A078E" w14:textId="77777777" w:rsidR="000433CC" w:rsidRDefault="000433CC" w:rsidP="000433CC">
      <w:pPr>
        <w:rPr>
          <w:lang w:val="en-US" w:eastAsia="ko-KR"/>
        </w:rPr>
      </w:pPr>
    </w:p>
    <w:p w14:paraId="2BDBE188" w14:textId="0B2009C4" w:rsidR="00EA5AFC" w:rsidRPr="009C5807" w:rsidRDefault="004141D8" w:rsidP="000433CC">
      <w:pPr>
        <w:pStyle w:val="TH"/>
        <w:rPr>
          <w:lang w:eastAsia="zh-CN"/>
        </w:rPr>
      </w:pPr>
      <w:r w:rsidRPr="00320CAB">
        <w:t xml:space="preserve">Table 6.2.1.2.1-3: Time to identify target NR cell for RRC connection re-establishment to NR intra-frequency cell when </w:t>
      </w:r>
      <w:r w:rsidRPr="00320CAB">
        <w:rPr>
          <w:i/>
          <w:iCs/>
        </w:rPr>
        <w:t>highSpeedMeasFlagFR2-r17</w:t>
      </w:r>
      <w:r w:rsidRPr="00320CAB">
        <w:t xml:space="preserve"> is configured (Frequency range FR</w:t>
      </w:r>
      <w:r w:rsidRPr="00320CAB">
        <w:rPr>
          <w:lang w:eastAsia="zh-CN"/>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837"/>
        <w:gridCol w:w="2801"/>
        <w:gridCol w:w="3375"/>
      </w:tblGrid>
      <w:tr w:rsidR="00EA5AFC" w:rsidRPr="009C5807" w14:paraId="2B727FD6" w14:textId="77777777" w:rsidTr="003305AC">
        <w:trPr>
          <w:jc w:val="center"/>
        </w:trPr>
        <w:tc>
          <w:tcPr>
            <w:tcW w:w="1616" w:type="dxa"/>
            <w:tcBorders>
              <w:bottom w:val="nil"/>
            </w:tcBorders>
            <w:shd w:val="clear" w:color="auto" w:fill="auto"/>
          </w:tcPr>
          <w:p w14:paraId="2D67ED88" w14:textId="77777777" w:rsidR="00EA5AFC" w:rsidRPr="009C5807" w:rsidRDefault="00EA5AFC" w:rsidP="003305AC">
            <w:pPr>
              <w:pStyle w:val="TAH"/>
              <w:rPr>
                <w:lang w:eastAsia="ko-KR"/>
              </w:rPr>
            </w:pPr>
            <w:r w:rsidRPr="009C5807">
              <w:rPr>
                <w:rFonts w:cs="v4.2.0"/>
                <w:lang w:eastAsia="ko-KR"/>
              </w:rPr>
              <w:t xml:space="preserve">Serving cell </w:t>
            </w:r>
          </w:p>
        </w:tc>
        <w:tc>
          <w:tcPr>
            <w:tcW w:w="1837" w:type="dxa"/>
            <w:tcBorders>
              <w:bottom w:val="nil"/>
            </w:tcBorders>
            <w:shd w:val="clear" w:color="auto" w:fill="auto"/>
          </w:tcPr>
          <w:p w14:paraId="07104D0E" w14:textId="77777777" w:rsidR="00EA5AFC" w:rsidRPr="009C5807" w:rsidRDefault="00EA5AFC" w:rsidP="003305AC">
            <w:pPr>
              <w:pStyle w:val="TAH"/>
              <w:rPr>
                <w:lang w:eastAsia="ko-KR"/>
              </w:rPr>
            </w:pPr>
            <w:r w:rsidRPr="009C5807">
              <w:rPr>
                <w:lang w:eastAsia="ko-KR"/>
              </w:rPr>
              <w:t xml:space="preserve">FR of target NR </w:t>
            </w:r>
          </w:p>
        </w:tc>
        <w:tc>
          <w:tcPr>
            <w:tcW w:w="6176" w:type="dxa"/>
            <w:gridSpan w:val="2"/>
            <w:shd w:val="clear" w:color="auto" w:fill="auto"/>
          </w:tcPr>
          <w:p w14:paraId="1768D2FA" w14:textId="77777777" w:rsidR="00EA5AFC" w:rsidRPr="009C5807" w:rsidRDefault="00EA5AFC" w:rsidP="003305AC">
            <w:pPr>
              <w:pStyle w:val="TAH"/>
              <w:rPr>
                <w:lang w:eastAsia="ko-KR"/>
              </w:rPr>
            </w:pPr>
            <w:r w:rsidRPr="009C5807">
              <w:rPr>
                <w:lang w:eastAsia="ko-KR"/>
              </w:rPr>
              <w:t>T</w:t>
            </w:r>
            <w:r w:rsidRPr="009C5807">
              <w:rPr>
                <w:vertAlign w:val="subscript"/>
                <w:lang w:eastAsia="ko-KR"/>
              </w:rPr>
              <w:t xml:space="preserve">identify_intra_NR </w:t>
            </w:r>
            <w:r w:rsidRPr="009C5807">
              <w:rPr>
                <w:lang w:eastAsia="ko-KR"/>
              </w:rPr>
              <w:t>[ms]</w:t>
            </w:r>
          </w:p>
        </w:tc>
      </w:tr>
      <w:tr w:rsidR="00EA5AFC" w:rsidRPr="009C5807" w14:paraId="08E5AEF6" w14:textId="77777777" w:rsidTr="003305AC">
        <w:trPr>
          <w:trHeight w:val="105"/>
          <w:jc w:val="center"/>
        </w:trPr>
        <w:tc>
          <w:tcPr>
            <w:tcW w:w="1616" w:type="dxa"/>
            <w:tcBorders>
              <w:top w:val="nil"/>
              <w:bottom w:val="nil"/>
            </w:tcBorders>
            <w:shd w:val="clear" w:color="auto" w:fill="auto"/>
          </w:tcPr>
          <w:p w14:paraId="629F055D" w14:textId="77777777" w:rsidR="00EA5AFC" w:rsidRPr="009C5807" w:rsidRDefault="00EA5AFC" w:rsidP="003305AC">
            <w:pPr>
              <w:pStyle w:val="TAH"/>
              <w:rPr>
                <w:lang w:eastAsia="ko-KR"/>
              </w:rPr>
            </w:pPr>
            <w:r w:rsidRPr="009C5807">
              <w:rPr>
                <w:rFonts w:cs="v4.2.0"/>
                <w:lang w:eastAsia="ko-KR"/>
              </w:rPr>
              <w:t xml:space="preserve">SSB </w:t>
            </w:r>
            <w:r w:rsidRPr="009C5807">
              <w:rPr>
                <w:lang w:val="en-US"/>
              </w:rPr>
              <w:t>Ês/Iot (dB)</w:t>
            </w:r>
          </w:p>
        </w:tc>
        <w:tc>
          <w:tcPr>
            <w:tcW w:w="1837" w:type="dxa"/>
            <w:tcBorders>
              <w:top w:val="nil"/>
              <w:bottom w:val="nil"/>
            </w:tcBorders>
            <w:shd w:val="clear" w:color="auto" w:fill="auto"/>
          </w:tcPr>
          <w:p w14:paraId="099DABB6" w14:textId="77777777" w:rsidR="00EA5AFC" w:rsidRPr="009C5807" w:rsidRDefault="00EA5AFC" w:rsidP="003305AC">
            <w:pPr>
              <w:pStyle w:val="TAH"/>
              <w:rPr>
                <w:lang w:eastAsia="ko-KR"/>
              </w:rPr>
            </w:pPr>
            <w:r w:rsidRPr="009C5807">
              <w:rPr>
                <w:lang w:eastAsia="ko-KR"/>
              </w:rPr>
              <w:t>cell</w:t>
            </w:r>
          </w:p>
        </w:tc>
        <w:tc>
          <w:tcPr>
            <w:tcW w:w="2801" w:type="dxa"/>
            <w:tcBorders>
              <w:bottom w:val="nil"/>
            </w:tcBorders>
            <w:shd w:val="clear" w:color="auto" w:fill="auto"/>
          </w:tcPr>
          <w:p w14:paraId="00D12051" w14:textId="77777777" w:rsidR="00EA5AFC" w:rsidRPr="009C5807" w:rsidRDefault="00EA5AFC" w:rsidP="003305AC">
            <w:pPr>
              <w:pStyle w:val="TAH"/>
              <w:rPr>
                <w:lang w:eastAsia="ko-KR"/>
              </w:rPr>
            </w:pPr>
            <w:r w:rsidRPr="009C5807">
              <w:rPr>
                <w:lang w:eastAsia="ko-KR"/>
              </w:rPr>
              <w:t>Known NR cell</w:t>
            </w:r>
          </w:p>
        </w:tc>
        <w:tc>
          <w:tcPr>
            <w:tcW w:w="3375" w:type="dxa"/>
            <w:tcBorders>
              <w:bottom w:val="nil"/>
            </w:tcBorders>
            <w:shd w:val="clear" w:color="auto" w:fill="auto"/>
          </w:tcPr>
          <w:p w14:paraId="71D16391" w14:textId="77777777" w:rsidR="00EA5AFC" w:rsidRPr="009C5807" w:rsidRDefault="00EA5AFC" w:rsidP="003305AC">
            <w:pPr>
              <w:pStyle w:val="TAH"/>
              <w:rPr>
                <w:lang w:eastAsia="ko-KR"/>
              </w:rPr>
            </w:pPr>
            <w:r w:rsidRPr="009C5807">
              <w:rPr>
                <w:lang w:eastAsia="ko-KR"/>
              </w:rPr>
              <w:t>Unknown NR cell</w:t>
            </w:r>
          </w:p>
        </w:tc>
      </w:tr>
      <w:tr w:rsidR="00EA5AFC" w:rsidRPr="009C5807" w14:paraId="45BE3BEE" w14:textId="77777777" w:rsidTr="003305AC">
        <w:trPr>
          <w:jc w:val="center"/>
        </w:trPr>
        <w:tc>
          <w:tcPr>
            <w:tcW w:w="1616" w:type="dxa"/>
            <w:shd w:val="clear" w:color="auto" w:fill="auto"/>
          </w:tcPr>
          <w:p w14:paraId="6E75C6FE" w14:textId="77777777" w:rsidR="00EA5AFC" w:rsidRPr="009C5807" w:rsidRDefault="00EA5AFC" w:rsidP="003305AC">
            <w:pPr>
              <w:pStyle w:val="TAC"/>
              <w:rPr>
                <w:lang w:eastAsia="zh-CN"/>
              </w:rPr>
            </w:pPr>
            <w:r w:rsidRPr="009C5807">
              <w:rPr>
                <w:rFonts w:cs="Arial" w:hint="eastAsia"/>
                <w:lang w:eastAsia="ko-KR"/>
              </w:rPr>
              <w:t>≥</w:t>
            </w:r>
            <w:r w:rsidRPr="009C5807">
              <w:rPr>
                <w:lang w:eastAsia="ko-KR"/>
              </w:rPr>
              <w:t xml:space="preserve"> -8</w:t>
            </w:r>
          </w:p>
        </w:tc>
        <w:tc>
          <w:tcPr>
            <w:tcW w:w="1837" w:type="dxa"/>
            <w:shd w:val="clear" w:color="auto" w:fill="auto"/>
          </w:tcPr>
          <w:p w14:paraId="375FDDE2" w14:textId="77777777" w:rsidR="00EA5AFC" w:rsidRPr="009C5807" w:rsidRDefault="00EA5AFC" w:rsidP="003305AC">
            <w:pPr>
              <w:pStyle w:val="TAC"/>
              <w:rPr>
                <w:lang w:eastAsia="ko-KR"/>
              </w:rPr>
            </w:pPr>
            <w:r w:rsidRPr="009C5807">
              <w:rPr>
                <w:lang w:eastAsia="ko-KR"/>
              </w:rPr>
              <w:t>FR2</w:t>
            </w:r>
          </w:p>
        </w:tc>
        <w:tc>
          <w:tcPr>
            <w:tcW w:w="2801" w:type="dxa"/>
            <w:shd w:val="clear" w:color="auto" w:fill="auto"/>
          </w:tcPr>
          <w:p w14:paraId="73CFF83F" w14:textId="77777777" w:rsidR="00EA5AFC" w:rsidRPr="00A33526" w:rsidRDefault="00EA5AFC" w:rsidP="003305AC">
            <w:pPr>
              <w:pStyle w:val="TAC"/>
              <w:rPr>
                <w:lang w:val="en-US" w:eastAsia="zh-CN"/>
              </w:rPr>
            </w:pPr>
            <w:r>
              <w:rPr>
                <w:lang w:val="en-US" w:eastAsia="zh-CN"/>
              </w:rPr>
              <w:t>N/A</w:t>
            </w:r>
          </w:p>
        </w:tc>
        <w:tc>
          <w:tcPr>
            <w:tcW w:w="3375" w:type="dxa"/>
            <w:shd w:val="clear" w:color="auto" w:fill="auto"/>
          </w:tcPr>
          <w:p w14:paraId="0C737E3A" w14:textId="77777777" w:rsidR="00EA5AFC" w:rsidRPr="009C5807" w:rsidRDefault="00EA5AFC" w:rsidP="003305AC">
            <w:pPr>
              <w:pStyle w:val="TAC"/>
              <w:rPr>
                <w:lang w:eastAsia="ko-KR"/>
              </w:rPr>
            </w:pPr>
            <w:r w:rsidRPr="009C5807">
              <w:rPr>
                <w:lang w:eastAsia="ko-KR"/>
              </w:rPr>
              <w:t xml:space="preserve">MAX (1000 ms, </w:t>
            </w:r>
            <w:r>
              <w:rPr>
                <w:lang w:eastAsia="zh-CN"/>
              </w:rPr>
              <w:t>1</w:t>
            </w:r>
            <w:r w:rsidRPr="009C5807">
              <w:rPr>
                <w:lang w:eastAsia="zh-CN"/>
              </w:rPr>
              <w:t>0</w:t>
            </w:r>
            <w:r w:rsidRPr="009C5807">
              <w:rPr>
                <w:lang w:eastAsia="ko-KR"/>
              </w:rPr>
              <w:t xml:space="preserve"> x</w:t>
            </w:r>
            <w:r>
              <w:rPr>
                <w:lang w:eastAsia="ko-KR"/>
              </w:rPr>
              <w:t>N2</w:t>
            </w:r>
            <w:r w:rsidRPr="009C5807">
              <w:rPr>
                <w:lang w:eastAsia="ko-KR"/>
              </w:rPr>
              <w:t xml:space="preserve"> x T</w:t>
            </w:r>
            <w:r w:rsidRPr="009C5807">
              <w:rPr>
                <w:vertAlign w:val="subscript"/>
                <w:lang w:eastAsia="ko-KR"/>
              </w:rPr>
              <w:t>SMTC</w:t>
            </w:r>
            <w:r w:rsidRPr="009C5807">
              <w:rPr>
                <w:lang w:eastAsia="ko-KR"/>
              </w:rPr>
              <w:t>))</w:t>
            </w:r>
          </w:p>
        </w:tc>
      </w:tr>
      <w:tr w:rsidR="00EA5AFC" w:rsidRPr="009C5807" w14:paraId="297CCAE9" w14:textId="77777777" w:rsidTr="003305AC">
        <w:trPr>
          <w:jc w:val="center"/>
        </w:trPr>
        <w:tc>
          <w:tcPr>
            <w:tcW w:w="1616" w:type="dxa"/>
            <w:shd w:val="clear" w:color="auto" w:fill="auto"/>
          </w:tcPr>
          <w:p w14:paraId="2E0DF087" w14:textId="77777777" w:rsidR="00EA5AFC" w:rsidRPr="009C5807" w:rsidRDefault="00EA5AFC" w:rsidP="003305AC">
            <w:pPr>
              <w:pStyle w:val="TAC"/>
              <w:rPr>
                <w:rFonts w:cs="Arial"/>
                <w:lang w:eastAsia="ko-KR"/>
              </w:rPr>
            </w:pPr>
          </w:p>
        </w:tc>
        <w:tc>
          <w:tcPr>
            <w:tcW w:w="1837" w:type="dxa"/>
            <w:shd w:val="clear" w:color="auto" w:fill="auto"/>
          </w:tcPr>
          <w:p w14:paraId="67D1476D" w14:textId="77777777" w:rsidR="00EA5AFC" w:rsidRPr="009C5807" w:rsidRDefault="00EA5AFC" w:rsidP="003305AC">
            <w:pPr>
              <w:pStyle w:val="TAC"/>
              <w:rPr>
                <w:lang w:eastAsia="ko-KR"/>
              </w:rPr>
            </w:pPr>
          </w:p>
        </w:tc>
        <w:tc>
          <w:tcPr>
            <w:tcW w:w="2801" w:type="dxa"/>
            <w:shd w:val="clear" w:color="auto" w:fill="auto"/>
          </w:tcPr>
          <w:p w14:paraId="62AE1F60" w14:textId="77777777" w:rsidR="00EA5AFC" w:rsidRDefault="00EA5AFC" w:rsidP="003305AC">
            <w:pPr>
              <w:pStyle w:val="TAC"/>
              <w:rPr>
                <w:lang w:val="en-US" w:eastAsia="zh-CN"/>
              </w:rPr>
            </w:pPr>
          </w:p>
        </w:tc>
        <w:tc>
          <w:tcPr>
            <w:tcW w:w="3375" w:type="dxa"/>
            <w:shd w:val="clear" w:color="auto" w:fill="auto"/>
          </w:tcPr>
          <w:p w14:paraId="4CF68C9A" w14:textId="77777777" w:rsidR="00EA5AFC" w:rsidRPr="009C5807" w:rsidRDefault="00EA5AFC" w:rsidP="003305AC">
            <w:pPr>
              <w:pStyle w:val="TAC"/>
              <w:rPr>
                <w:lang w:eastAsia="ko-KR"/>
              </w:rPr>
            </w:pPr>
          </w:p>
        </w:tc>
      </w:tr>
      <w:tr w:rsidR="00EA5AFC" w:rsidRPr="009C5807" w14:paraId="1165E792" w14:textId="77777777" w:rsidTr="003305AC">
        <w:trPr>
          <w:jc w:val="center"/>
        </w:trPr>
        <w:tc>
          <w:tcPr>
            <w:tcW w:w="9629" w:type="dxa"/>
            <w:gridSpan w:val="4"/>
          </w:tcPr>
          <w:p w14:paraId="4D80B04D" w14:textId="77777777" w:rsidR="004141D8" w:rsidRPr="00320CAB" w:rsidRDefault="004141D8" w:rsidP="004141D8">
            <w:pPr>
              <w:pStyle w:val="TAN"/>
              <w:rPr>
                <w:lang w:eastAsia="ko-KR"/>
              </w:rPr>
            </w:pPr>
            <w:r w:rsidRPr="00320CAB">
              <w:rPr>
                <w:lang w:eastAsia="ko-KR"/>
              </w:rPr>
              <w:t>Note 1:</w:t>
            </w:r>
            <w:r w:rsidRPr="00320CAB">
              <w:tab/>
            </w:r>
            <w:r w:rsidRPr="00320CAB">
              <w:rPr>
                <w:lang w:eastAsia="ko-KR"/>
              </w:rPr>
              <w:t>The UE is not required to successfully</w:t>
            </w:r>
            <w:r w:rsidRPr="00320CAB">
              <w:rPr>
                <w:b/>
                <w:bCs/>
              </w:rPr>
              <w:t xml:space="preserve"> </w:t>
            </w:r>
            <w:r w:rsidRPr="00320CAB">
              <w:rPr>
                <w:lang w:eastAsia="ko-KR"/>
              </w:rPr>
              <w:t>identify a cell on any NR frequency layer when T</w:t>
            </w:r>
            <w:r w:rsidRPr="00320CAB">
              <w:rPr>
                <w:vertAlign w:val="subscript"/>
                <w:lang w:eastAsia="ko-KR"/>
              </w:rPr>
              <w:t>SMTC</w:t>
            </w:r>
            <w:r w:rsidRPr="00320CAB">
              <w:rPr>
                <w:lang w:eastAsia="ko-KR"/>
              </w:rPr>
              <w:t xml:space="preserve"> &gt; 20 ms and serving cell SSB Ês/Iot &lt; -8 dB.</w:t>
            </w:r>
          </w:p>
          <w:p w14:paraId="79DF950C" w14:textId="3094E953" w:rsidR="00EA5AFC" w:rsidRPr="009C5807" w:rsidRDefault="004141D8" w:rsidP="004141D8">
            <w:pPr>
              <w:pStyle w:val="TAN"/>
              <w:rPr>
                <w:lang w:eastAsia="zh-CN"/>
              </w:rPr>
            </w:pPr>
            <w:r w:rsidRPr="00320CAB">
              <w:rPr>
                <w:lang w:eastAsia="zh-CN"/>
              </w:rPr>
              <w:t>Note 2:</w:t>
            </w:r>
            <w:r w:rsidRPr="00320CAB">
              <w:rPr>
                <w:lang w:eastAsia="zh-CN"/>
              </w:rPr>
              <w:tab/>
              <w:t xml:space="preserve">When SMTC &lt;= 40ms, N2=2 when </w:t>
            </w:r>
            <w:r w:rsidRPr="00320CAB">
              <w:rPr>
                <w:i/>
                <w:iCs/>
              </w:rPr>
              <w:t>highSpeedMeasFlagFR2-r17</w:t>
            </w:r>
            <w:r w:rsidRPr="00320CAB">
              <w:t xml:space="preserve"> </w:t>
            </w:r>
            <w:r w:rsidRPr="00320CAB">
              <w:rPr>
                <w:lang w:eastAsia="zh-CN"/>
              </w:rPr>
              <w:t xml:space="preserve">= set1; N2=6 when </w:t>
            </w:r>
            <w:r w:rsidRPr="00320CAB">
              <w:rPr>
                <w:i/>
                <w:iCs/>
              </w:rPr>
              <w:t xml:space="preserve">highSpeedMeasFlagFR2-r17 </w:t>
            </w:r>
            <w:r w:rsidRPr="00320CAB">
              <w:rPr>
                <w:lang w:eastAsia="zh-CN"/>
              </w:rPr>
              <w:t>= set2.</w:t>
            </w:r>
          </w:p>
        </w:tc>
      </w:tr>
    </w:tbl>
    <w:p w14:paraId="509DA26D" w14:textId="4820A194" w:rsidR="00EA5AFC" w:rsidRDefault="00EA5AFC" w:rsidP="008D754E">
      <w:pPr>
        <w:rPr>
          <w:lang w:val="en-US" w:eastAsia="ko-KR"/>
        </w:rPr>
      </w:pPr>
    </w:p>
    <w:p w14:paraId="023A9649" w14:textId="77777777" w:rsidR="00132B62" w:rsidRPr="00885F53" w:rsidRDefault="00132B62" w:rsidP="00132B62">
      <w:pPr>
        <w:pStyle w:val="Heading3"/>
        <w:rPr>
          <w:lang w:val="en-US" w:eastAsia="ko-KR"/>
        </w:rPr>
      </w:pPr>
      <w:r w:rsidRPr="00885F53">
        <w:rPr>
          <w:lang w:val="en-US" w:eastAsia="ko-KR"/>
        </w:rPr>
        <w:t>6.2.1</w:t>
      </w:r>
      <w:r>
        <w:rPr>
          <w:lang w:val="en-US" w:eastAsia="ko-KR"/>
        </w:rPr>
        <w:t>A</w:t>
      </w:r>
      <w:r w:rsidRPr="00885F53">
        <w:rPr>
          <w:lang w:val="en-US" w:eastAsia="ko-KR"/>
        </w:rPr>
        <w:tab/>
        <w:t>RRC Re-establishment</w:t>
      </w:r>
      <w:r>
        <w:rPr>
          <w:lang w:val="en-US" w:eastAsia="ko-KR"/>
        </w:rPr>
        <w:t xml:space="preserve"> with CCA</w:t>
      </w:r>
    </w:p>
    <w:p w14:paraId="1CA41F60" w14:textId="77777777" w:rsidR="00132B62" w:rsidRPr="00885F53" w:rsidRDefault="00132B62" w:rsidP="00132B62">
      <w:pPr>
        <w:pStyle w:val="Heading4"/>
        <w:rPr>
          <w:lang w:eastAsia="ko-KR"/>
        </w:rPr>
      </w:pPr>
      <w:r w:rsidRPr="00885F53">
        <w:rPr>
          <w:lang w:eastAsia="ko-KR"/>
        </w:rPr>
        <w:t>6.2.1</w:t>
      </w:r>
      <w:r>
        <w:rPr>
          <w:lang w:eastAsia="ko-KR"/>
        </w:rPr>
        <w:t>A</w:t>
      </w:r>
      <w:r w:rsidRPr="00885F53">
        <w:rPr>
          <w:lang w:eastAsia="ko-KR"/>
        </w:rPr>
        <w:t>.1</w:t>
      </w:r>
      <w:r w:rsidRPr="00885F53">
        <w:rPr>
          <w:lang w:eastAsia="ko-KR"/>
        </w:rPr>
        <w:tab/>
        <w:t>Introduction</w:t>
      </w:r>
    </w:p>
    <w:p w14:paraId="5F5469D6" w14:textId="77777777" w:rsidR="00132B62" w:rsidRPr="00885F53" w:rsidRDefault="00132B62" w:rsidP="00132B62">
      <w:pPr>
        <w:rPr>
          <w:lang w:val="en-US" w:eastAsia="zh-CN"/>
        </w:rPr>
      </w:pPr>
      <w:r w:rsidRPr="00885F53">
        <w:rPr>
          <w:lang w:val="en-US" w:eastAsia="zh-CN"/>
        </w:rPr>
        <w:t>This clause contains requirements on the UE regarding RRC connection re-establishment procedure</w:t>
      </w:r>
      <w:r>
        <w:rPr>
          <w:lang w:val="en-US" w:eastAsia="zh-CN"/>
        </w:rPr>
        <w:t xml:space="preserve"> on the carrier with CCA</w:t>
      </w:r>
      <w:r w:rsidRPr="00885F53">
        <w:rPr>
          <w:lang w:val="en-US" w:eastAsia="zh-CN"/>
        </w:rPr>
        <w:t>. RRC connection re-establishment</w:t>
      </w:r>
      <w:r>
        <w:rPr>
          <w:lang w:val="en-US" w:eastAsia="zh-CN"/>
        </w:rPr>
        <w:t xml:space="preserve"> on the carrier with CCA</w:t>
      </w:r>
      <w:r w:rsidRPr="00885F53">
        <w:rPr>
          <w:lang w:val="en-US" w:eastAsia="zh-CN"/>
        </w:rPr>
        <w:t xml:space="preserve"> is initiated when a UE in RRC_CONNECTED state </w:t>
      </w:r>
      <w:r>
        <w:rPr>
          <w:lang w:val="en-US" w:eastAsia="zh-CN"/>
        </w:rPr>
        <w:t>on the carrier w/o or with CCA</w:t>
      </w:r>
      <w:r w:rsidRPr="00885F53">
        <w:rPr>
          <w:lang w:val="en-US" w:eastAsia="zh-CN"/>
        </w:rPr>
        <w:t xml:space="preserve"> loses RRC connection due to any of failure cases, including radio link failure, handover failure, and RRC connection reconfiguration failure. The RRC connection re-establishment procedure is specified in clause 5.3.7 of TS 38.331 [2].</w:t>
      </w:r>
    </w:p>
    <w:p w14:paraId="446D1DEB" w14:textId="77777777" w:rsidR="00132B62" w:rsidRPr="00584C64" w:rsidRDefault="00132B62" w:rsidP="008C5C10">
      <w:r w:rsidRPr="00584C64">
        <w:t>In the requirements of clause 6.2.1A, the term SMTC occasion not available at the UE refers to when the SMTC contains SSBs configured by gNB in a cell on a carrier frequency subject to CCA, but the first two successive candidate SSB positions for the same SSB index within the discovery burst transmission window are not available at the UE due to DL CCA failures at gNB during the corresponding RRC re-establishment period; otherwise the SMTC occasion is considered as available at the UE.</w:t>
      </w:r>
    </w:p>
    <w:p w14:paraId="29219EC8" w14:textId="77777777" w:rsidR="00132B62" w:rsidRPr="00FA5AE0" w:rsidRDefault="00132B62" w:rsidP="008C5C10">
      <w:r w:rsidRPr="00584C64">
        <w:t>In the requirements of clause 6.2.1A, the term PRACH occasion unavailable for transmission refers to when the PRACH occasion is configured by gNB but not transmitted by the UE during the corresponding period due to UL CCA failure at the UE; otherwise the PRACH occasion is considered as available for transmission.</w:t>
      </w:r>
    </w:p>
    <w:p w14:paraId="09D53367" w14:textId="22CB739A" w:rsidR="00132B62" w:rsidRDefault="00132B62" w:rsidP="008C5C10">
      <w:pPr>
        <w:rPr>
          <w:lang w:val="en-US" w:eastAsia="zh-CN"/>
        </w:rPr>
      </w:pPr>
      <w:r w:rsidRPr="00885F53">
        <w:rPr>
          <w:lang w:val="en-US" w:eastAsia="zh-CN"/>
        </w:rPr>
        <w:t>The requirements in this clause are applicable for RRC connection re-establishment to NR cell</w:t>
      </w:r>
      <w:r>
        <w:rPr>
          <w:lang w:val="en-US" w:eastAsia="zh-CN"/>
        </w:rPr>
        <w:t xml:space="preserve"> on the carrier with CCA</w:t>
      </w:r>
      <w:r w:rsidRPr="00885F53">
        <w:rPr>
          <w:lang w:val="en-US" w:eastAsia="zh-CN"/>
        </w:rPr>
        <w:t>.</w:t>
      </w:r>
    </w:p>
    <w:p w14:paraId="721EACFD" w14:textId="1DDF6DA5" w:rsidR="008C5C10" w:rsidRPr="00885F53" w:rsidRDefault="008C5C10" w:rsidP="00132B62">
      <w:pPr>
        <w:rPr>
          <w:lang w:val="en-US" w:eastAsia="zh-CN"/>
        </w:rPr>
      </w:pPr>
      <w:r w:rsidRPr="001254C4">
        <w:rPr>
          <w:lang w:eastAsia="zh-CN"/>
        </w:rPr>
        <w:t xml:space="preserve">When the </w:t>
      </w:r>
      <w:r>
        <w:rPr>
          <w:lang w:val="en-US" w:eastAsia="zh-CN"/>
        </w:rPr>
        <w:t>RRC connection re-establishment</w:t>
      </w:r>
      <w:r w:rsidRPr="001254C4">
        <w:rPr>
          <w:lang w:eastAsia="zh-CN"/>
        </w:rPr>
        <w:t xml:space="preserve"> is performed on a cell in FR2-2</w:t>
      </w:r>
      <w:r>
        <w:rPr>
          <w:lang w:eastAsia="zh-CN"/>
        </w:rPr>
        <w:t xml:space="preserve"> </w:t>
      </w:r>
      <w:r>
        <w:t>with shared spectrum channel access</w:t>
      </w:r>
      <w:r w:rsidRPr="001254C4">
        <w:rPr>
          <w:lang w:eastAsia="zh-CN"/>
        </w:rPr>
        <w:t xml:space="preserve">, UE shall </w:t>
      </w:r>
      <w:r>
        <w:rPr>
          <w:lang w:eastAsia="zh-CN"/>
        </w:rPr>
        <w:t>determine the CCA mode of the neighbour cell</w:t>
      </w:r>
      <w:r w:rsidRPr="001254C4">
        <w:rPr>
          <w:lang w:eastAsia="zh-CN"/>
        </w:rPr>
        <w:t xml:space="preserve"> according to </w:t>
      </w:r>
      <w:r w:rsidRPr="001254C4">
        <w:rPr>
          <w:i/>
          <w:lang w:eastAsia="zh-CN"/>
        </w:rPr>
        <w:t>channelAccessMode2-r17</w:t>
      </w:r>
      <w:r>
        <w:rPr>
          <w:lang w:eastAsia="zh-CN"/>
        </w:rPr>
        <w:t xml:space="preserve"> if configured.</w:t>
      </w:r>
      <w:r w:rsidRPr="001254C4">
        <w:rPr>
          <w:lang w:eastAsia="zh-CN"/>
        </w:rPr>
        <w:t xml:space="preserve"> If </w:t>
      </w:r>
      <w:r w:rsidRPr="001254C4">
        <w:rPr>
          <w:i/>
          <w:lang w:eastAsia="zh-CN"/>
        </w:rPr>
        <w:t>channelAccessMode2-r17</w:t>
      </w:r>
      <w:r w:rsidRPr="001254C4">
        <w:rPr>
          <w:lang w:eastAsia="zh-CN"/>
        </w:rPr>
        <w:t xml:space="preserve"> of the </w:t>
      </w:r>
      <w:r>
        <w:rPr>
          <w:lang w:eastAsia="zh-CN"/>
        </w:rPr>
        <w:t>c</w:t>
      </w:r>
      <w:r w:rsidRPr="001254C4">
        <w:rPr>
          <w:lang w:eastAsia="zh-CN"/>
        </w:rPr>
        <w:t>ell is enabled, UE shall assume that CCA</w:t>
      </w:r>
      <w:r>
        <w:rPr>
          <w:lang w:eastAsia="zh-CN"/>
        </w:rPr>
        <w:t xml:space="preserve"> applies to the cell and perform measurement accordingly</w:t>
      </w:r>
      <w:r w:rsidRPr="001254C4">
        <w:rPr>
          <w:lang w:eastAsia="zh-CN"/>
        </w:rPr>
        <w:t xml:space="preserve">, and the requirements in clause </w:t>
      </w:r>
      <w:r>
        <w:rPr>
          <w:lang w:eastAsia="ko-KR"/>
        </w:rPr>
        <w:t>6.2.1A</w:t>
      </w:r>
      <w:r w:rsidRPr="001254C4">
        <w:rPr>
          <w:lang w:eastAsia="zh-CN"/>
        </w:rPr>
        <w:t xml:space="preserve"> shall apply; otherwise, UE shall assume that CCA</w:t>
      </w:r>
      <w:r>
        <w:rPr>
          <w:lang w:eastAsia="zh-CN"/>
        </w:rPr>
        <w:t xml:space="preserve"> does not apply to the cell and perform measurement accordingly, and</w:t>
      </w:r>
      <w:r w:rsidRPr="001254C4">
        <w:rPr>
          <w:lang w:eastAsia="zh-CN"/>
        </w:rPr>
        <w:t xml:space="preserve"> requirements in </w:t>
      </w:r>
      <w:r>
        <w:rPr>
          <w:lang w:eastAsia="ko-KR"/>
        </w:rPr>
        <w:t>6.2.1</w:t>
      </w:r>
      <w:r w:rsidRPr="001254C4">
        <w:rPr>
          <w:lang w:eastAsia="zh-CN"/>
        </w:rPr>
        <w:t xml:space="preserve"> shall apply.</w:t>
      </w:r>
    </w:p>
    <w:p w14:paraId="5321BA9A" w14:textId="77777777" w:rsidR="00132B62" w:rsidRPr="00EB1F19" w:rsidRDefault="00132B62" w:rsidP="00132B62">
      <w:pPr>
        <w:pStyle w:val="Heading4"/>
        <w:rPr>
          <w:lang w:eastAsia="ko-KR"/>
        </w:rPr>
      </w:pPr>
      <w:r w:rsidRPr="00885F53">
        <w:rPr>
          <w:lang w:eastAsia="ko-KR"/>
        </w:rPr>
        <w:t>6.2.1</w:t>
      </w:r>
      <w:r>
        <w:rPr>
          <w:lang w:eastAsia="ko-KR"/>
        </w:rPr>
        <w:t>A</w:t>
      </w:r>
      <w:r w:rsidRPr="00885F53">
        <w:rPr>
          <w:lang w:eastAsia="ko-KR"/>
        </w:rPr>
        <w:t>.2</w:t>
      </w:r>
      <w:r w:rsidRPr="00885F53">
        <w:rPr>
          <w:lang w:eastAsia="ko-KR"/>
        </w:rPr>
        <w:tab/>
        <w:t>Requ</w:t>
      </w:r>
      <w:r w:rsidRPr="00EB1F19">
        <w:rPr>
          <w:lang w:eastAsia="ko-KR"/>
        </w:rPr>
        <w:t>irements</w:t>
      </w:r>
    </w:p>
    <w:p w14:paraId="50008B06" w14:textId="77777777" w:rsidR="00132B62" w:rsidRPr="00EB1F19" w:rsidRDefault="00132B62" w:rsidP="00132B62">
      <w:pPr>
        <w:rPr>
          <w:lang w:eastAsia="ko-KR"/>
        </w:rPr>
      </w:pPr>
      <w:r w:rsidRPr="00EB1F19">
        <w:rPr>
          <w:lang w:eastAsia="ko-KR"/>
        </w:rPr>
        <w:t xml:space="preserve">In </w:t>
      </w:r>
      <w:r w:rsidRPr="00EB1F19">
        <w:rPr>
          <w:rFonts w:hint="eastAsia"/>
          <w:lang w:eastAsia="zh-CN"/>
        </w:rPr>
        <w:t>RRC_CONNECTED state</w:t>
      </w:r>
      <w:r w:rsidRPr="00EB1F19">
        <w:rPr>
          <w:lang w:eastAsia="ko-KR"/>
        </w:rPr>
        <w:t xml:space="preserve"> </w:t>
      </w:r>
      <w:r w:rsidRPr="00EB1F19">
        <w:rPr>
          <w:lang w:val="en-US" w:eastAsia="zh-CN"/>
        </w:rPr>
        <w:t>on the carrier w/o or with CCA</w:t>
      </w:r>
      <w:r w:rsidRPr="00EB1F19">
        <w:rPr>
          <w:lang w:eastAsia="ko-KR"/>
        </w:rPr>
        <w:t xml:space="preserve"> the UE shall be capable of sending </w:t>
      </w:r>
      <w:r w:rsidRPr="00EB1F19">
        <w:rPr>
          <w:i/>
          <w:lang w:eastAsia="ko-KR"/>
        </w:rPr>
        <w:t>RRCReestablishmentRequest</w:t>
      </w:r>
      <w:r w:rsidRPr="00EB1F19">
        <w:rPr>
          <w:lang w:eastAsia="ko-KR"/>
        </w:rPr>
        <w:t xml:space="preserve"> message within T</w:t>
      </w:r>
      <w:r w:rsidRPr="00EB1F19">
        <w:rPr>
          <w:vertAlign w:val="subscript"/>
          <w:lang w:eastAsia="ko-KR"/>
        </w:rPr>
        <w:t>re-establish_delay_CCA</w:t>
      </w:r>
      <w:r w:rsidRPr="00EB1F19">
        <w:rPr>
          <w:lang w:eastAsia="ko-KR"/>
        </w:rPr>
        <w:t xml:space="preserve"> seconds from the moment it detects </w:t>
      </w:r>
      <w:r w:rsidRPr="00EB1F19">
        <w:rPr>
          <w:snapToGrid w:val="0"/>
          <w:lang w:eastAsia="ko-KR"/>
        </w:rPr>
        <w:t>a loss in RRC connection</w:t>
      </w:r>
      <w:r w:rsidRPr="00EB1F19">
        <w:rPr>
          <w:lang w:eastAsia="ko-KR"/>
        </w:rPr>
        <w:t>. The total RRC connection delay (T</w:t>
      </w:r>
      <w:r w:rsidRPr="00EB1F19">
        <w:rPr>
          <w:vertAlign w:val="subscript"/>
          <w:lang w:eastAsia="ko-KR"/>
        </w:rPr>
        <w:t>re-establish_delay_CCA</w:t>
      </w:r>
      <w:r w:rsidRPr="00EB1F19">
        <w:rPr>
          <w:lang w:eastAsia="ko-KR"/>
        </w:rPr>
        <w:t>) shall be less than:</w:t>
      </w:r>
    </w:p>
    <w:p w14:paraId="3FE2404B" w14:textId="77777777" w:rsidR="00132B62" w:rsidRPr="00885F53" w:rsidRDefault="00132B62" w:rsidP="00132B62">
      <w:pPr>
        <w:pStyle w:val="EQ"/>
        <w:rPr>
          <w:vertAlign w:val="subscript"/>
        </w:rPr>
      </w:pPr>
      <w:r>
        <w:rPr>
          <w:lang w:eastAsia="ko-KR"/>
        </w:rPr>
        <w:tab/>
      </w:r>
      <m:oMath>
        <m:sSub>
          <m:sSubPr>
            <m:ctrlPr>
              <w:rPr>
                <w:rFonts w:ascii="Cambria Math" w:hAnsi="Cambria Math"/>
                <w:lang w:eastAsia="ko-KR"/>
              </w:rPr>
            </m:ctrlPr>
          </m:sSubPr>
          <m:e>
            <m:r>
              <w:rPr>
                <w:rFonts w:ascii="Cambria Math" w:hAnsi="Cambria Math"/>
                <w:lang w:eastAsia="ko-KR"/>
              </w:rPr>
              <m:t>T</m:t>
            </m:r>
          </m:e>
          <m:sub>
            <m:r>
              <w:rPr>
                <w:rFonts w:ascii="Cambria Math" w:hAnsi="Cambria Math"/>
                <w:lang w:eastAsia="ko-KR"/>
              </w:rPr>
              <m:t>re</m:t>
            </m:r>
            <m:r>
              <m:rPr>
                <m:sty m:val="p"/>
              </m:rPr>
              <w:rPr>
                <w:rFonts w:ascii="Cambria Math" w:hAnsi="Cambria Math"/>
                <w:lang w:eastAsia="ko-KR"/>
              </w:rPr>
              <m:t>-</m:t>
            </m:r>
            <m:r>
              <w:rPr>
                <w:rFonts w:ascii="Cambria Math" w:hAnsi="Cambria Math"/>
                <w:lang w:eastAsia="ko-KR"/>
              </w:rPr>
              <m:t>establish</m:t>
            </m:r>
            <m:r>
              <m:rPr>
                <m:sty m:val="p"/>
              </m:rPr>
              <w:rPr>
                <w:rFonts w:ascii="Cambria Math" w:hAnsi="Cambria Math"/>
                <w:lang w:eastAsia="ko-KR"/>
              </w:rPr>
              <m:t>_</m:t>
            </m:r>
            <m:r>
              <w:rPr>
                <w:rFonts w:ascii="Cambria Math" w:hAnsi="Cambria Math"/>
                <w:lang w:eastAsia="ko-KR"/>
              </w:rPr>
              <m:t>delay</m:t>
            </m:r>
            <m:r>
              <m:rPr>
                <m:sty m:val="p"/>
              </m:rPr>
              <w:rPr>
                <w:rFonts w:ascii="Cambria Math" w:hAnsi="Cambria Math"/>
                <w:lang w:eastAsia="ko-KR"/>
              </w:rPr>
              <m:t>_</m:t>
            </m:r>
            <m:r>
              <w:rPr>
                <w:rFonts w:ascii="Cambria Math" w:hAnsi="Cambria Math"/>
                <w:lang w:eastAsia="ko-KR"/>
              </w:rPr>
              <m:t>CCA</m:t>
            </m:r>
          </m:sub>
        </m:sSub>
        <m:r>
          <m:rPr>
            <m:sty m:val="p"/>
          </m:rPr>
          <w:rPr>
            <w:rFonts w:ascii="Cambria Math" w:hAnsi="Cambria Math"/>
            <w:lang w:eastAsia="ko-KR"/>
          </w:rPr>
          <m:t>=</m:t>
        </m:r>
        <m:sSub>
          <m:sSubPr>
            <m:ctrlPr>
              <w:rPr>
                <w:rFonts w:ascii="Cambria Math" w:hAnsi="Cambria Math"/>
                <w:lang w:eastAsia="ko-KR"/>
              </w:rPr>
            </m:ctrlPr>
          </m:sSubPr>
          <m:e>
            <m:r>
              <w:rPr>
                <w:rFonts w:ascii="Cambria Math" w:hAnsi="Cambria Math"/>
                <w:lang w:eastAsia="ko-KR"/>
              </w:rPr>
              <m:t>T</m:t>
            </m:r>
          </m:e>
          <m:sub>
            <m:r>
              <w:rPr>
                <w:rFonts w:ascii="Cambria Math" w:hAnsi="Cambria Math"/>
                <w:lang w:eastAsia="ko-KR"/>
              </w:rPr>
              <m:t>UE</m:t>
            </m:r>
            <m:r>
              <m:rPr>
                <m:sty m:val="p"/>
              </m:rPr>
              <w:rPr>
                <w:rFonts w:ascii="Cambria Math" w:hAnsi="Cambria Math"/>
                <w:lang w:eastAsia="ko-KR"/>
              </w:rPr>
              <m:t>_</m:t>
            </m:r>
            <m:r>
              <w:rPr>
                <w:rFonts w:ascii="Cambria Math" w:hAnsi="Cambria Math"/>
                <w:lang w:eastAsia="ko-KR"/>
              </w:rPr>
              <m:t>re</m:t>
            </m:r>
            <m:r>
              <m:rPr>
                <m:sty m:val="p"/>
              </m:rPr>
              <w:rPr>
                <w:rFonts w:ascii="Cambria Math" w:hAnsi="Cambria Math"/>
                <w:lang w:eastAsia="ko-KR"/>
              </w:rPr>
              <m:t>-</m:t>
            </m:r>
            <m:r>
              <w:rPr>
                <w:rFonts w:ascii="Cambria Math" w:hAnsi="Cambria Math"/>
                <w:lang w:eastAsia="ko-KR"/>
              </w:rPr>
              <m:t>establish</m:t>
            </m:r>
            <m:r>
              <m:rPr>
                <m:sty m:val="p"/>
              </m:rPr>
              <w:rPr>
                <w:rFonts w:ascii="Cambria Math" w:hAnsi="Cambria Math"/>
                <w:lang w:eastAsia="ko-KR"/>
              </w:rPr>
              <m:t>_</m:t>
            </m:r>
            <m:r>
              <w:rPr>
                <w:rFonts w:ascii="Cambria Math" w:hAnsi="Cambria Math"/>
                <w:lang w:eastAsia="ko-KR"/>
              </w:rPr>
              <m:t>delay</m:t>
            </m:r>
            <m:r>
              <m:rPr>
                <m:sty m:val="p"/>
              </m:rPr>
              <w:rPr>
                <w:rFonts w:ascii="Cambria Math" w:hAnsi="Cambria Math"/>
                <w:lang w:eastAsia="ko-KR"/>
              </w:rPr>
              <m:t>_</m:t>
            </m:r>
            <m:r>
              <w:rPr>
                <w:rFonts w:ascii="Cambria Math" w:hAnsi="Cambria Math"/>
                <w:lang w:eastAsia="ko-KR"/>
              </w:rPr>
              <m:t>CCA</m:t>
            </m:r>
          </m:sub>
        </m:sSub>
        <m:r>
          <m:rPr>
            <m:sty m:val="p"/>
          </m:rPr>
          <w:rPr>
            <w:rFonts w:ascii="Cambria Math" w:hAnsi="Cambria Math"/>
            <w:lang w:eastAsia="ko-KR"/>
          </w:rPr>
          <m:t>+</m:t>
        </m:r>
        <m:sSub>
          <m:sSubPr>
            <m:ctrlPr>
              <w:rPr>
                <w:rFonts w:ascii="Cambria Math" w:hAnsi="Cambria Math"/>
                <w:lang w:eastAsia="ko-KR"/>
              </w:rPr>
            </m:ctrlPr>
          </m:sSubPr>
          <m:e>
            <m:r>
              <w:rPr>
                <w:rFonts w:ascii="Cambria Math" w:hAnsi="Cambria Math"/>
                <w:lang w:eastAsia="ko-KR"/>
              </w:rPr>
              <m:t>T</m:t>
            </m:r>
          </m:e>
          <m:sub>
            <m:r>
              <w:rPr>
                <w:rFonts w:ascii="Cambria Math" w:hAnsi="Cambria Math"/>
                <w:lang w:eastAsia="ko-KR"/>
              </w:rPr>
              <m:t>UL</m:t>
            </m:r>
            <m:r>
              <m:rPr>
                <m:sty m:val="p"/>
              </m:rPr>
              <w:rPr>
                <w:rFonts w:ascii="Cambria Math" w:hAnsi="Cambria Math"/>
                <w:lang w:eastAsia="ko-KR"/>
              </w:rPr>
              <m:t>_</m:t>
            </m:r>
            <m:r>
              <w:rPr>
                <w:rFonts w:ascii="Cambria Math" w:hAnsi="Cambria Math"/>
                <w:lang w:eastAsia="ko-KR"/>
              </w:rPr>
              <m:t>grant</m:t>
            </m:r>
          </m:sub>
        </m:sSub>
      </m:oMath>
    </w:p>
    <w:p w14:paraId="65C9524A" w14:textId="77777777" w:rsidR="00132B62" w:rsidRPr="00885F53" w:rsidRDefault="00132B62" w:rsidP="00132B62">
      <w:r w:rsidRPr="00885F53">
        <w:t>T</w:t>
      </w:r>
      <w:r w:rsidRPr="00885F53">
        <w:rPr>
          <w:vertAlign w:val="subscript"/>
        </w:rPr>
        <w:t>UL_grant</w:t>
      </w:r>
      <w:r w:rsidRPr="00885F53">
        <w:t>: It is the time required to acquire and process uplink grant from the target PCell</w:t>
      </w:r>
      <w:r>
        <w:t xml:space="preserve"> with CCA</w:t>
      </w:r>
      <w:r w:rsidRPr="00885F53">
        <w:t>. The uplink grant is required to</w:t>
      </w:r>
      <w:r w:rsidRPr="00885F53">
        <w:rPr>
          <w:lang w:eastAsia="ko-KR"/>
        </w:rPr>
        <w:t xml:space="preserve"> </w:t>
      </w:r>
      <w:r w:rsidRPr="00885F53">
        <w:t xml:space="preserve">transmit </w:t>
      </w:r>
      <w:r w:rsidRPr="00885F53">
        <w:rPr>
          <w:i/>
        </w:rPr>
        <w:t>RRCReestablishmentRequest</w:t>
      </w:r>
      <w:r w:rsidRPr="00885F53">
        <w:t xml:space="preserve"> </w:t>
      </w:r>
      <w:r w:rsidRPr="00885F53">
        <w:rPr>
          <w:rFonts w:cs="v4.2.0"/>
        </w:rPr>
        <w:t>message.</w:t>
      </w:r>
    </w:p>
    <w:p w14:paraId="7766C0F0" w14:textId="77777777" w:rsidR="00132B62" w:rsidRPr="00885F53" w:rsidRDefault="00132B62" w:rsidP="00132B62">
      <w:pPr>
        <w:rPr>
          <w:lang w:eastAsia="ko-KR"/>
        </w:rPr>
      </w:pPr>
      <w:r w:rsidRPr="00885F53">
        <w:rPr>
          <w:lang w:eastAsia="ko-KR"/>
        </w:rPr>
        <w:t>The UE re-establishment delay (T</w:t>
      </w:r>
      <w:r w:rsidRPr="00885F53">
        <w:rPr>
          <w:vertAlign w:val="subscript"/>
          <w:lang w:eastAsia="ko-KR"/>
        </w:rPr>
        <w:t>UE_re-establish_delay</w:t>
      </w:r>
      <w:r>
        <w:rPr>
          <w:vertAlign w:val="subscript"/>
          <w:lang w:eastAsia="ko-KR"/>
        </w:rPr>
        <w:t>_CCA</w:t>
      </w:r>
      <w:r w:rsidRPr="00885F53">
        <w:rPr>
          <w:lang w:eastAsia="ko-KR"/>
        </w:rPr>
        <w:t>) is specified in clause 6.2.1</w:t>
      </w:r>
      <w:r>
        <w:rPr>
          <w:lang w:eastAsia="ko-KR"/>
        </w:rPr>
        <w:t>A</w:t>
      </w:r>
      <w:r w:rsidRPr="00885F53">
        <w:rPr>
          <w:lang w:eastAsia="ko-KR"/>
        </w:rPr>
        <w:t>.2.1.</w:t>
      </w:r>
    </w:p>
    <w:p w14:paraId="3C04B225" w14:textId="77777777" w:rsidR="00132B62" w:rsidRPr="00885F53" w:rsidRDefault="00132B62" w:rsidP="00132B62">
      <w:pPr>
        <w:pStyle w:val="Heading5"/>
        <w:rPr>
          <w:lang w:val="en-US" w:eastAsia="zh-CN"/>
        </w:rPr>
      </w:pPr>
      <w:r w:rsidRPr="00885F53">
        <w:rPr>
          <w:lang w:val="en-US" w:eastAsia="zh-CN"/>
        </w:rPr>
        <w:t>6.2.1</w:t>
      </w:r>
      <w:r>
        <w:rPr>
          <w:lang w:val="en-US" w:eastAsia="zh-CN"/>
        </w:rPr>
        <w:t>A</w:t>
      </w:r>
      <w:r w:rsidRPr="00885F53">
        <w:rPr>
          <w:lang w:val="en-US" w:eastAsia="zh-CN"/>
        </w:rPr>
        <w:t>.2.1</w:t>
      </w:r>
      <w:r w:rsidRPr="00885F53">
        <w:rPr>
          <w:lang w:val="en-US" w:eastAsia="zh-CN"/>
        </w:rPr>
        <w:tab/>
        <w:t>UE Re-establishment</w:t>
      </w:r>
      <w:r>
        <w:rPr>
          <w:lang w:val="en-US" w:eastAsia="zh-CN"/>
        </w:rPr>
        <w:t xml:space="preserve"> with CCA</w:t>
      </w:r>
      <w:r w:rsidRPr="00885F53">
        <w:rPr>
          <w:lang w:val="en-US" w:eastAsia="zh-CN"/>
        </w:rPr>
        <w:t xml:space="preserve"> delay requirement</w:t>
      </w:r>
    </w:p>
    <w:p w14:paraId="1B331221" w14:textId="77777777" w:rsidR="00132B62" w:rsidRPr="00885F53" w:rsidRDefault="00132B62" w:rsidP="00132B62">
      <w:pPr>
        <w:rPr>
          <w:lang w:eastAsia="ko-KR"/>
        </w:rPr>
      </w:pPr>
      <w:r w:rsidRPr="00885F53">
        <w:rPr>
          <w:lang w:eastAsia="ko-KR"/>
        </w:rPr>
        <w:t xml:space="preserve">The UE re-establishment </w:t>
      </w:r>
      <w:r>
        <w:rPr>
          <w:lang w:eastAsia="ko-KR"/>
        </w:rPr>
        <w:t xml:space="preserve">on the carrier with CCA  </w:t>
      </w:r>
      <w:r w:rsidRPr="00885F53">
        <w:rPr>
          <w:lang w:eastAsia="ko-KR"/>
        </w:rPr>
        <w:t>delay (T</w:t>
      </w:r>
      <w:r w:rsidRPr="00885F53">
        <w:rPr>
          <w:vertAlign w:val="subscript"/>
          <w:lang w:eastAsia="ko-KR"/>
        </w:rPr>
        <w:t>UE_re-establish_delay</w:t>
      </w:r>
      <w:r>
        <w:rPr>
          <w:vertAlign w:val="subscript"/>
          <w:lang w:eastAsia="ko-KR"/>
        </w:rPr>
        <w:t>_CCA</w:t>
      </w:r>
      <w:r w:rsidRPr="00885F53">
        <w:rPr>
          <w:lang w:eastAsia="ko-KR"/>
        </w:rPr>
        <w:t xml:space="preserve">) is the time between the moments when any of the conditions requiring RRC </w:t>
      </w:r>
      <w:r w:rsidRPr="00885F53">
        <w:rPr>
          <w:lang w:eastAsia="zh-CN"/>
        </w:rPr>
        <w:t>re-establishment</w:t>
      </w:r>
      <w:r w:rsidRPr="00885F53">
        <w:rPr>
          <w:lang w:eastAsia="ko-KR"/>
        </w:rPr>
        <w:t xml:space="preserve"> </w:t>
      </w:r>
      <w:r>
        <w:rPr>
          <w:lang w:eastAsia="ko-KR"/>
        </w:rPr>
        <w:t xml:space="preserve">on the carrier with CCA  </w:t>
      </w:r>
      <w:r w:rsidRPr="00885F53">
        <w:rPr>
          <w:lang w:eastAsia="ko-KR"/>
        </w:rPr>
        <w:t>as defined in clause </w:t>
      </w:r>
      <w:smartTag w:uri="urn:schemas-microsoft-com:office:smarttags" w:element="chsdate">
        <w:smartTagPr>
          <w:attr w:name="Year" w:val="1899"/>
          <w:attr w:name="Month" w:val="12"/>
          <w:attr w:name="Day" w:val="30"/>
          <w:attr w:name="IsLunarDate" w:val="False"/>
          <w:attr w:name="IsROCDate" w:val="False"/>
        </w:smartTagPr>
        <w:r w:rsidRPr="00885F53">
          <w:rPr>
            <w:lang w:eastAsia="ko-KR"/>
          </w:rPr>
          <w:t>5.</w:t>
        </w:r>
        <w:smartTag w:uri="urn:schemas-microsoft-com:office:smarttags" w:element="chmetcnv">
          <w:smartTagPr>
            <w:attr w:name="UnitName" w:val="in"/>
            <w:attr w:name="SourceValue" w:val="3.7"/>
            <w:attr w:name="HasSpace" w:val="True"/>
            <w:attr w:name="Negative" w:val="False"/>
            <w:attr w:name="NumberType" w:val="1"/>
            <w:attr w:name="TCSC" w:val="0"/>
          </w:smartTagPr>
          <w:r w:rsidRPr="00885F53">
            <w:rPr>
              <w:lang w:eastAsia="ko-KR"/>
            </w:rPr>
            <w:t>3.7</w:t>
          </w:r>
        </w:smartTag>
      </w:smartTag>
      <w:r w:rsidRPr="00885F53">
        <w:rPr>
          <w:lang w:eastAsia="ko-KR"/>
        </w:rPr>
        <w:t xml:space="preserve"> in TS 38.331 [2] is detected </w:t>
      </w:r>
      <w:r w:rsidRPr="00885F53">
        <w:rPr>
          <w:snapToGrid w:val="0"/>
          <w:lang w:eastAsia="ko-KR"/>
        </w:rPr>
        <w:t>by the UE</w:t>
      </w:r>
      <w:r w:rsidRPr="00885F53">
        <w:rPr>
          <w:lang w:eastAsia="ko-KR"/>
        </w:rPr>
        <w:t xml:space="preserve"> and when the UE sends PRACH to the target </w:t>
      </w:r>
      <w:r w:rsidRPr="00885F53">
        <w:rPr>
          <w:lang w:eastAsia="zh-CN"/>
        </w:rPr>
        <w:t>PC</w:t>
      </w:r>
      <w:r w:rsidRPr="00885F53">
        <w:rPr>
          <w:lang w:eastAsia="ko-KR"/>
        </w:rPr>
        <w:t>ell</w:t>
      </w:r>
      <w:r>
        <w:rPr>
          <w:lang w:eastAsia="ko-KR"/>
        </w:rPr>
        <w:t xml:space="preserve"> on the carrier with CCA </w:t>
      </w:r>
      <w:r w:rsidRPr="00885F53">
        <w:rPr>
          <w:lang w:eastAsia="ko-KR"/>
        </w:rPr>
        <w:t>. The UE re-establishment</w:t>
      </w:r>
      <w:r>
        <w:rPr>
          <w:lang w:eastAsia="ko-KR"/>
        </w:rPr>
        <w:t xml:space="preserve"> </w:t>
      </w:r>
      <w:r w:rsidRPr="00885F53">
        <w:rPr>
          <w:lang w:eastAsia="ko-KR"/>
        </w:rPr>
        <w:t xml:space="preserve">delay </w:t>
      </w:r>
      <w:r>
        <w:rPr>
          <w:lang w:eastAsia="ko-KR"/>
        </w:rPr>
        <w:t xml:space="preserve">requirement </w:t>
      </w:r>
      <w:r w:rsidRPr="00885F53">
        <w:rPr>
          <w:lang w:eastAsia="ko-KR"/>
        </w:rPr>
        <w:t>(T</w:t>
      </w:r>
      <w:r w:rsidRPr="00885F53">
        <w:rPr>
          <w:vertAlign w:val="subscript"/>
          <w:lang w:eastAsia="ko-KR"/>
        </w:rPr>
        <w:t>UE_re-establish_delay</w:t>
      </w:r>
      <w:r>
        <w:rPr>
          <w:vertAlign w:val="subscript"/>
          <w:lang w:eastAsia="ko-KR"/>
        </w:rPr>
        <w:t>_CCA</w:t>
      </w:r>
      <w:r w:rsidRPr="00885F53">
        <w:rPr>
          <w:lang w:eastAsia="ko-KR"/>
        </w:rPr>
        <w:t xml:space="preserve">) </w:t>
      </w:r>
      <w:r>
        <w:rPr>
          <w:lang w:eastAsia="ko-KR"/>
        </w:rPr>
        <w:t xml:space="preserve">on the carrier with CCA </w:t>
      </w:r>
      <w:r w:rsidRPr="00885F53">
        <w:rPr>
          <w:lang w:eastAsia="ko-KR"/>
        </w:rPr>
        <w:t>shall be less than:</w:t>
      </w:r>
    </w:p>
    <w:p w14:paraId="114B49EB" w14:textId="77777777" w:rsidR="00132B62" w:rsidRPr="00885F53" w:rsidRDefault="00000000" w:rsidP="00132B62">
      <w:pPr>
        <w:pStyle w:val="EQ"/>
        <w:jc w:val="center"/>
        <w:rPr>
          <w:lang w:eastAsia="ko-KR"/>
        </w:rPr>
      </w:pPr>
      <m:oMathPara>
        <m:oMath>
          <m:sSub>
            <m:sSubPr>
              <m:ctrlPr>
                <w:rPr>
                  <w:rFonts w:ascii="Cambria Math" w:hAnsi="Cambria Math"/>
                  <w:noProof w:val="0"/>
                  <w:lang w:eastAsia="ko-KR"/>
                </w:rPr>
              </m:ctrlPr>
            </m:sSubPr>
            <m:e>
              <m:r>
                <w:rPr>
                  <w:rFonts w:ascii="Cambria Math" w:hAnsi="Cambria Math"/>
                  <w:noProof w:val="0"/>
                  <w:lang w:eastAsia="ko-KR"/>
                </w:rPr>
                <m:t>T</m:t>
              </m:r>
            </m:e>
            <m:sub>
              <m:r>
                <w:rPr>
                  <w:rFonts w:ascii="Cambria Math" w:hAnsi="Cambria Math"/>
                  <w:noProof w:val="0"/>
                  <w:lang w:eastAsia="ko-KR"/>
                </w:rPr>
                <m:t>UE_re-establish_delay_CCA</m:t>
              </m:r>
            </m:sub>
          </m:sSub>
          <m:r>
            <w:rPr>
              <w:rFonts w:ascii="Cambria Math" w:hAnsi="Cambria Math"/>
              <w:noProof w:val="0"/>
              <w:lang w:eastAsia="ko-KR"/>
            </w:rPr>
            <m:t xml:space="preserve">=50 </m:t>
          </m:r>
          <m:r>
            <m:rPr>
              <m:sty m:val="p"/>
            </m:rPr>
            <w:rPr>
              <w:rFonts w:ascii="Cambria Math" w:hAnsi="Cambria Math"/>
              <w:noProof w:val="0"/>
              <w:lang w:eastAsia="ko-KR"/>
            </w:rPr>
            <m:t>ms</m:t>
          </m:r>
          <m:r>
            <w:rPr>
              <w:rFonts w:ascii="Cambria Math" w:hAnsi="Cambria Math"/>
              <w:noProof w:val="0"/>
              <w:lang w:eastAsia="ko-KR"/>
            </w:rPr>
            <m:t>+</m:t>
          </m:r>
          <m:sSub>
            <m:sSubPr>
              <m:ctrlPr>
                <w:rPr>
                  <w:rFonts w:ascii="Cambria Math" w:hAnsi="Cambria Math"/>
                  <w:i/>
                  <w:noProof w:val="0"/>
                  <w:lang w:eastAsia="ko-KR"/>
                </w:rPr>
              </m:ctrlPr>
            </m:sSubPr>
            <m:e>
              <m:r>
                <w:rPr>
                  <w:rFonts w:ascii="Cambria Math" w:hAnsi="Cambria Math"/>
                  <w:noProof w:val="0"/>
                  <w:lang w:eastAsia="ko-KR"/>
                </w:rPr>
                <m:t>T</m:t>
              </m:r>
            </m:e>
            <m:sub>
              <m:r>
                <w:rPr>
                  <w:rFonts w:ascii="Cambria Math" w:hAnsi="Cambria Math"/>
                  <w:noProof w:val="0"/>
                  <w:lang w:eastAsia="ko-KR"/>
                </w:rPr>
                <m:t>identify_intra_NR_CCA</m:t>
              </m:r>
            </m:sub>
          </m:sSub>
          <m:r>
            <w:rPr>
              <w:rFonts w:ascii="Cambria Math" w:hAnsi="Cambria Math"/>
              <w:noProof w:val="0"/>
              <w:lang w:eastAsia="ko-KR"/>
            </w:rPr>
            <m:t>+</m:t>
          </m:r>
          <m:nary>
            <m:naryPr>
              <m:chr m:val="∑"/>
              <m:limLoc m:val="subSup"/>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freq</m:t>
                  </m:r>
                </m:sub>
              </m:sSub>
              <m:r>
                <w:rPr>
                  <w:rFonts w:ascii="Cambria Math" w:hAnsi="Cambria Math"/>
                </w:rPr>
                <m:t>-1</m:t>
              </m:r>
            </m:sup>
            <m:e>
              <m:sSub>
                <m:sSubPr>
                  <m:ctrlPr>
                    <w:rPr>
                      <w:rFonts w:ascii="Cambria Math" w:hAnsi="Cambria Math"/>
                      <w:i/>
                    </w:rPr>
                  </m:ctrlPr>
                </m:sSubPr>
                <m:e>
                  <m:r>
                    <w:rPr>
                      <w:rFonts w:ascii="Cambria Math" w:hAnsi="Cambria Math"/>
                    </w:rPr>
                    <m:t>T</m:t>
                  </m:r>
                </m:e>
                <m:sub>
                  <m:r>
                    <w:rPr>
                      <w:rFonts w:ascii="Cambria Math" w:hAnsi="Cambria Math"/>
                    </w:rPr>
                    <m:t>identify_inter_NR_CCA,i</m:t>
                  </m:r>
                </m:sub>
              </m:sSub>
            </m:e>
          </m:nary>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SI-NR_CCA</m:t>
              </m:r>
            </m:sub>
          </m:sSub>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PRACH_CCA</m:t>
              </m:r>
            </m:sub>
          </m:sSub>
        </m:oMath>
      </m:oMathPara>
    </w:p>
    <w:p w14:paraId="105F6C41" w14:textId="77777777" w:rsidR="00132B62" w:rsidRPr="00885F53" w:rsidRDefault="00132B62" w:rsidP="00132B62">
      <w:pPr>
        <w:rPr>
          <w:rFonts w:cs="v4.2.0"/>
          <w:lang w:eastAsia="ko-KR"/>
        </w:rPr>
      </w:pPr>
      <w:r w:rsidRPr="00885F53">
        <w:rPr>
          <w:lang w:eastAsia="ko-KR"/>
        </w:rPr>
        <w:t xml:space="preserve">The intra-frequency target NR cell </w:t>
      </w:r>
      <w:r>
        <w:rPr>
          <w:lang w:eastAsia="ko-KR"/>
        </w:rPr>
        <w:t xml:space="preserve">with CCA </w:t>
      </w:r>
      <w:r w:rsidRPr="00885F53">
        <w:rPr>
          <w:lang w:eastAsia="ko-KR"/>
        </w:rPr>
        <w:t>shall be considered detectable</w:t>
      </w:r>
      <w:r w:rsidRPr="00885F53">
        <w:rPr>
          <w:rFonts w:cs="v4.2.0"/>
          <w:lang w:eastAsia="ko-KR"/>
        </w:rPr>
        <w:t xml:space="preserve"> </w:t>
      </w:r>
      <w:r w:rsidRPr="00885F53">
        <w:rPr>
          <w:rFonts w:cs="v4.2.0" w:hint="eastAsia"/>
          <w:lang w:eastAsia="zh-CN"/>
        </w:rPr>
        <w:t>if</w:t>
      </w:r>
      <w:r w:rsidRPr="00885F53">
        <w:rPr>
          <w:rFonts w:cs="v4.2.0"/>
          <w:lang w:eastAsia="ko-KR"/>
        </w:rPr>
        <w:t xml:space="preserve"> each relevant SSB</w:t>
      </w:r>
      <w:r w:rsidRPr="00885F53">
        <w:rPr>
          <w:rFonts w:cs="v4.2.0" w:hint="eastAsia"/>
          <w:lang w:eastAsia="zh-CN"/>
        </w:rPr>
        <w:t xml:space="preserve"> can satisfy that</w:t>
      </w:r>
      <w:r w:rsidRPr="00885F53">
        <w:rPr>
          <w:rFonts w:cs="v4.2.0"/>
          <w:lang w:eastAsia="ko-KR"/>
        </w:rPr>
        <w:t>:</w:t>
      </w:r>
    </w:p>
    <w:p w14:paraId="37C8AFB6" w14:textId="77777777" w:rsidR="00132B62" w:rsidRDefault="00132B62" w:rsidP="00132B62">
      <w:pPr>
        <w:pStyle w:val="B10"/>
        <w:rPr>
          <w:lang w:eastAsia="zh-CN"/>
        </w:rPr>
      </w:pPr>
      <w:r>
        <w:t>-</w:t>
      </w:r>
      <w:r>
        <w:tab/>
        <w:t>SS-RSRP related side conditions given in clause 10.1.2 and 10.1.3 are fulfilled for a corresponding NR Band for FR1 and FR2-2,</w:t>
      </w:r>
      <w:r>
        <w:rPr>
          <w:lang w:eastAsia="zh-CN"/>
        </w:rPr>
        <w:t xml:space="preserve"> </w:t>
      </w:r>
      <w:r>
        <w:t>respectively,</w:t>
      </w:r>
      <w:r>
        <w:rPr>
          <w:lang w:eastAsia="zh-CN"/>
        </w:rPr>
        <w:t xml:space="preserve"> and</w:t>
      </w:r>
    </w:p>
    <w:p w14:paraId="2909B881" w14:textId="77777777" w:rsidR="00132B62" w:rsidRPr="00885F53" w:rsidRDefault="00132B62" w:rsidP="00132B62">
      <w:pPr>
        <w:pStyle w:val="B10"/>
        <w:rPr>
          <w:rFonts w:cs="v4.2.0"/>
        </w:rPr>
      </w:pPr>
      <w:r w:rsidRPr="00885F53">
        <w:t>-</w:t>
      </w:r>
      <w:r w:rsidRPr="00885F53">
        <w:tab/>
      </w:r>
      <w:r w:rsidRPr="00885F53">
        <w:rPr>
          <w:rFonts w:hint="eastAsia"/>
          <w:lang w:eastAsia="zh-CN"/>
        </w:rPr>
        <w:t xml:space="preserve">the conditions of </w:t>
      </w:r>
      <w:r w:rsidRPr="00885F53">
        <w:t xml:space="preserve">SSB_RP and SSB </w:t>
      </w:r>
      <w:r w:rsidRPr="00885F53">
        <w:rPr>
          <w:lang w:val="en-US"/>
        </w:rPr>
        <w:t>Ês/Iot</w:t>
      </w:r>
      <w:r w:rsidRPr="00885F53">
        <w:t xml:space="preserve"> according to Annex B.</w:t>
      </w:r>
      <w:r>
        <w:t>2.3</w:t>
      </w:r>
      <w:r w:rsidRPr="00BE78B0">
        <w:t xml:space="preserve"> </w:t>
      </w:r>
      <w:r w:rsidRPr="00885F53">
        <w:t>for a corresponding NR Band</w:t>
      </w:r>
      <w:r>
        <w:t xml:space="preserve"> </w:t>
      </w:r>
      <w:r w:rsidRPr="00885F53">
        <w:rPr>
          <w:rFonts w:hint="eastAsia"/>
          <w:lang w:eastAsia="zh-CN"/>
        </w:rPr>
        <w:t>are fulfilled</w:t>
      </w:r>
      <w:r w:rsidRPr="00885F53">
        <w:t>.</w:t>
      </w:r>
    </w:p>
    <w:p w14:paraId="74F7E91A" w14:textId="77777777" w:rsidR="00132B62" w:rsidRPr="00885F53" w:rsidRDefault="00132B62" w:rsidP="00132B62">
      <w:pPr>
        <w:rPr>
          <w:rFonts w:cs="v4.2.0"/>
          <w:lang w:eastAsia="ko-KR"/>
        </w:rPr>
      </w:pPr>
      <w:r w:rsidRPr="00885F53">
        <w:rPr>
          <w:lang w:eastAsia="ko-KR"/>
        </w:rPr>
        <w:t>The inter-frequency target NR cell</w:t>
      </w:r>
      <w:r>
        <w:rPr>
          <w:lang w:eastAsia="ko-KR"/>
        </w:rPr>
        <w:t xml:space="preserve"> on the carrier with CCA </w:t>
      </w:r>
      <w:r w:rsidRPr="00885F53">
        <w:rPr>
          <w:lang w:eastAsia="ko-KR"/>
        </w:rPr>
        <w:t xml:space="preserve"> shall be considered detectable</w:t>
      </w:r>
      <w:r w:rsidRPr="00885F53">
        <w:rPr>
          <w:rFonts w:cs="v4.2.0"/>
          <w:lang w:eastAsia="ko-KR"/>
        </w:rPr>
        <w:t xml:space="preserve"> when for each relevant SSB:</w:t>
      </w:r>
    </w:p>
    <w:p w14:paraId="65B68C25" w14:textId="77777777" w:rsidR="00132B62" w:rsidRDefault="00132B62" w:rsidP="00132B62">
      <w:pPr>
        <w:pStyle w:val="B10"/>
        <w:rPr>
          <w:lang w:eastAsia="zh-CN"/>
        </w:rPr>
      </w:pPr>
      <w:r>
        <w:t>-</w:t>
      </w:r>
      <w:r>
        <w:tab/>
        <w:t>SS-RSRP related side conditions given in clause 10.1.4 and 10.1.5 are fulfilled for a corresponding NR Band for FR1 and FR2-2,</w:t>
      </w:r>
      <w:r>
        <w:rPr>
          <w:lang w:eastAsia="zh-CN"/>
        </w:rPr>
        <w:t xml:space="preserve"> </w:t>
      </w:r>
      <w:r>
        <w:t>respectively,</w:t>
      </w:r>
      <w:r>
        <w:rPr>
          <w:lang w:eastAsia="zh-CN"/>
        </w:rPr>
        <w:t xml:space="preserve"> and</w:t>
      </w:r>
    </w:p>
    <w:p w14:paraId="272B5177" w14:textId="77777777" w:rsidR="00132B62" w:rsidRPr="00EB1F19" w:rsidRDefault="00132B62" w:rsidP="00132B62">
      <w:pPr>
        <w:pStyle w:val="B10"/>
        <w:rPr>
          <w:rFonts w:cs="v4.2.0"/>
        </w:rPr>
      </w:pPr>
      <w:r w:rsidRPr="00EB1F19">
        <w:t>-</w:t>
      </w:r>
      <w:r w:rsidRPr="00EB1F19">
        <w:tab/>
      </w:r>
      <w:r w:rsidRPr="00EB1F19">
        <w:rPr>
          <w:rFonts w:hint="eastAsia"/>
          <w:lang w:eastAsia="zh-CN"/>
        </w:rPr>
        <w:t xml:space="preserve">the conditions of </w:t>
      </w:r>
      <w:r w:rsidRPr="00EB1F19">
        <w:t xml:space="preserve">SSB_RP and SSB </w:t>
      </w:r>
      <w:r w:rsidRPr="00EB1F19">
        <w:rPr>
          <w:lang w:val="en-US"/>
        </w:rPr>
        <w:t>Ês/Iot</w:t>
      </w:r>
      <w:r w:rsidRPr="00EB1F19">
        <w:t xml:space="preserve"> according to Annex B.2.2 for a corresponding NR Band</w:t>
      </w:r>
      <w:r w:rsidRPr="00EB1F19">
        <w:rPr>
          <w:rFonts w:hint="eastAsia"/>
          <w:lang w:eastAsia="zh-CN"/>
        </w:rPr>
        <w:t xml:space="preserve"> are fulfilled</w:t>
      </w:r>
      <w:r w:rsidRPr="00EB1F19">
        <w:t>.</w:t>
      </w:r>
    </w:p>
    <w:p w14:paraId="43E11CE5" w14:textId="77777777" w:rsidR="00132B62" w:rsidRPr="00EB1F19" w:rsidRDefault="00132B62" w:rsidP="00132B62">
      <w:pPr>
        <w:rPr>
          <w:lang w:eastAsia="ko-KR"/>
        </w:rPr>
      </w:pPr>
      <w:r w:rsidRPr="00EB1F19">
        <w:rPr>
          <w:lang w:eastAsia="ko-KR"/>
        </w:rPr>
        <w:t>T</w:t>
      </w:r>
      <w:r w:rsidRPr="00EB1F19">
        <w:rPr>
          <w:vertAlign w:val="subscript"/>
          <w:lang w:eastAsia="ko-KR"/>
        </w:rPr>
        <w:t>identify_intra_NR_CCA</w:t>
      </w:r>
      <w:r w:rsidRPr="00EB1F19">
        <w:rPr>
          <w:lang w:eastAsia="ko-KR"/>
        </w:rPr>
        <w:t xml:space="preserve">: If the target intra-frequency carrier is the carrier without CCA, it is the time to identify the target intra-frequency NR cell which is defined in clause 6.2.1; otherwise </w:t>
      </w:r>
      <w:r>
        <w:rPr>
          <w:lang w:eastAsia="ko-KR"/>
        </w:rPr>
        <w:t>i</w:t>
      </w:r>
      <w:r w:rsidRPr="00EB1F19">
        <w:rPr>
          <w:lang w:eastAsia="ko-KR"/>
        </w:rPr>
        <w:t>t is the time to identify the target intra-frequency NR cell on the carrier with CCA and it depends on whether the target NR cell on the carrier with CCA is known cell or unknown cell and on the frequency range (FR) of the target NR cell on the carrier with CCA. If the UE is not configured with intra-frequency NR carrier with CCA for RRC re-establishment then T</w:t>
      </w:r>
      <w:r w:rsidRPr="00EB1F19">
        <w:rPr>
          <w:vertAlign w:val="subscript"/>
          <w:lang w:eastAsia="ko-KR"/>
        </w:rPr>
        <w:t>identify_intra_NR_CCA</w:t>
      </w:r>
      <w:r w:rsidRPr="00EB1F19">
        <w:rPr>
          <w:lang w:eastAsia="ko-KR"/>
        </w:rPr>
        <w:t>=0; otherwise T</w:t>
      </w:r>
      <w:r w:rsidRPr="00EB1F19">
        <w:rPr>
          <w:vertAlign w:val="subscript"/>
          <w:lang w:eastAsia="ko-KR"/>
        </w:rPr>
        <w:t>identify_intra_NR_CCA</w:t>
      </w:r>
      <w:r w:rsidRPr="00EB1F19">
        <w:rPr>
          <w:lang w:eastAsia="ko-KR"/>
        </w:rPr>
        <w:t xml:space="preserve"> shall not exceed the values defined in </w:t>
      </w:r>
      <w:r w:rsidRPr="00EB1F19">
        <w:rPr>
          <w:rFonts w:hint="eastAsia"/>
          <w:lang w:eastAsia="zh-CN"/>
        </w:rPr>
        <w:t>T</w:t>
      </w:r>
      <w:r w:rsidRPr="00EB1F19">
        <w:rPr>
          <w:lang w:eastAsia="ko-KR"/>
        </w:rPr>
        <w:t>able 6.2.1A.2.1-1.</w:t>
      </w:r>
    </w:p>
    <w:p w14:paraId="2E1E4ECA" w14:textId="77777777" w:rsidR="00132B62" w:rsidRPr="00885F53" w:rsidRDefault="00132B62" w:rsidP="00132B62">
      <w:pPr>
        <w:rPr>
          <w:lang w:eastAsia="ko-KR"/>
        </w:rPr>
      </w:pPr>
      <w:r w:rsidRPr="00EB1F19">
        <w:rPr>
          <w:lang w:eastAsia="ko-KR"/>
        </w:rPr>
        <w:t>T</w:t>
      </w:r>
      <w:r w:rsidRPr="00EB1F19">
        <w:rPr>
          <w:vertAlign w:val="subscript"/>
          <w:lang w:eastAsia="ko-KR"/>
        </w:rPr>
        <w:t>identify_inter_NR_CCA,i</w:t>
      </w:r>
      <w:r w:rsidRPr="00EB1F19">
        <w:rPr>
          <w:lang w:eastAsia="ko-KR"/>
        </w:rPr>
        <w:t xml:space="preserve">: If the target inter-frequency carrier is the carrier without CCA, it is the time to identify the target inter-frequency NR cell which is defined in clause 6.2.1; otherwise </w:t>
      </w:r>
      <w:r>
        <w:rPr>
          <w:lang w:eastAsia="ko-KR"/>
        </w:rPr>
        <w:t>i</w:t>
      </w:r>
      <w:r w:rsidRPr="00EB1F19">
        <w:rPr>
          <w:lang w:eastAsia="ko-KR"/>
        </w:rPr>
        <w:t xml:space="preserve">t is the time to identify the target inter-frequency NR cell on inter-frequency carrier </w:t>
      </w:r>
      <w:r w:rsidRPr="00EB1F19">
        <w:rPr>
          <w:i/>
          <w:lang w:eastAsia="ko-KR"/>
        </w:rPr>
        <w:t>i</w:t>
      </w:r>
      <w:r w:rsidRPr="00EB1F19">
        <w:rPr>
          <w:lang w:eastAsia="ko-KR"/>
        </w:rPr>
        <w:t xml:space="preserve"> </w:t>
      </w:r>
      <w:r>
        <w:rPr>
          <w:lang w:eastAsia="ko-KR"/>
        </w:rPr>
        <w:t xml:space="preserve">with CCA </w:t>
      </w:r>
      <w:r w:rsidRPr="00EB1F19">
        <w:rPr>
          <w:lang w:eastAsia="ko-KR"/>
        </w:rPr>
        <w:t>configured for RRC</w:t>
      </w:r>
      <w:r w:rsidRPr="00885F53">
        <w:rPr>
          <w:lang w:eastAsia="ko-KR"/>
        </w:rPr>
        <w:t xml:space="preserve"> re-establishment and it depends on whether the target NR cell </w:t>
      </w:r>
      <w:r>
        <w:rPr>
          <w:lang w:eastAsia="ko-KR"/>
        </w:rPr>
        <w:t xml:space="preserve">on the </w:t>
      </w:r>
      <w:r w:rsidRPr="00EB1F19">
        <w:rPr>
          <w:lang w:eastAsia="ko-KR"/>
        </w:rPr>
        <w:t xml:space="preserve">inter-frequency </w:t>
      </w:r>
      <w:r>
        <w:rPr>
          <w:lang w:eastAsia="ko-KR"/>
        </w:rPr>
        <w:t xml:space="preserve">carrier with CCA </w:t>
      </w:r>
      <w:r w:rsidRPr="00885F53">
        <w:rPr>
          <w:lang w:eastAsia="ko-KR"/>
        </w:rPr>
        <w:t>is known or unknown. T</w:t>
      </w:r>
      <w:r w:rsidRPr="00885F53">
        <w:rPr>
          <w:vertAlign w:val="subscript"/>
          <w:lang w:eastAsia="ko-KR"/>
        </w:rPr>
        <w:t>identify_inter_NR</w:t>
      </w:r>
      <w:r>
        <w:rPr>
          <w:vertAlign w:val="subscript"/>
          <w:lang w:eastAsia="ko-KR"/>
        </w:rPr>
        <w:t>_CCA</w:t>
      </w:r>
      <w:r w:rsidRPr="00885F53">
        <w:rPr>
          <w:vertAlign w:val="subscript"/>
          <w:lang w:eastAsia="ko-KR"/>
        </w:rPr>
        <w:t>,i</w:t>
      </w:r>
      <w:r w:rsidRPr="00885F53">
        <w:rPr>
          <w:lang w:eastAsia="ko-KR"/>
        </w:rPr>
        <w:t xml:space="preserve"> shall not exceed the values defined in </w:t>
      </w:r>
      <w:r w:rsidRPr="00885F53">
        <w:rPr>
          <w:rFonts w:hint="eastAsia"/>
          <w:lang w:eastAsia="zh-CN"/>
        </w:rPr>
        <w:t>T</w:t>
      </w:r>
      <w:r w:rsidRPr="00885F53">
        <w:rPr>
          <w:lang w:eastAsia="ko-KR"/>
        </w:rPr>
        <w:t>able 6.2.1</w:t>
      </w:r>
      <w:r>
        <w:rPr>
          <w:lang w:eastAsia="ko-KR"/>
        </w:rPr>
        <w:t>A</w:t>
      </w:r>
      <w:r w:rsidRPr="00885F53">
        <w:rPr>
          <w:lang w:eastAsia="ko-KR"/>
        </w:rPr>
        <w:t>.2.1-2.</w:t>
      </w:r>
    </w:p>
    <w:p w14:paraId="5BC16DCD" w14:textId="77777777" w:rsidR="00132B62" w:rsidRPr="00885F53" w:rsidRDefault="00132B62" w:rsidP="00132B62">
      <w:r w:rsidRPr="00885F53">
        <w:rPr>
          <w:lang w:eastAsia="ko-KR"/>
        </w:rPr>
        <w:t>T</w:t>
      </w:r>
      <w:r w:rsidRPr="00885F53">
        <w:rPr>
          <w:vertAlign w:val="subscript"/>
          <w:lang w:eastAsia="ko-KR"/>
        </w:rPr>
        <w:t>SMTC</w:t>
      </w:r>
      <w:r w:rsidRPr="00885F53">
        <w:rPr>
          <w:lang w:eastAsia="ko-KR"/>
        </w:rPr>
        <w:t>: It is the periodicity of the SMTC occasion configured for the intra-frequency carrier.</w:t>
      </w:r>
      <w:r w:rsidRPr="00885F53">
        <w:t xml:space="preserve"> If the UE has been provided with higher layer in TS 38.331 [2] signaling of </w:t>
      </w:r>
      <w:r w:rsidRPr="00885F53">
        <w:rPr>
          <w:i/>
        </w:rPr>
        <w:t>smtc2</w:t>
      </w:r>
      <w:r w:rsidRPr="00885F53">
        <w:t>, T</w:t>
      </w:r>
      <w:r w:rsidRPr="00885F53">
        <w:rPr>
          <w:vertAlign w:val="subscript"/>
        </w:rPr>
        <w:t>smtc</w:t>
      </w:r>
      <w:r w:rsidRPr="00885F53">
        <w:t xml:space="preserve"> follows </w:t>
      </w:r>
      <w:r w:rsidRPr="00885F53">
        <w:rPr>
          <w:i/>
        </w:rPr>
        <w:t>smtc1</w:t>
      </w:r>
      <w:r w:rsidRPr="00885F53">
        <w:t xml:space="preserve"> or </w:t>
      </w:r>
      <w:r w:rsidRPr="00885F53">
        <w:rPr>
          <w:i/>
        </w:rPr>
        <w:t>smtc2</w:t>
      </w:r>
      <w:r w:rsidRPr="00885F53">
        <w:t xml:space="preserve"> according to the physical cell ID of the target cell.</w:t>
      </w:r>
    </w:p>
    <w:p w14:paraId="269E4A2F" w14:textId="77777777" w:rsidR="00132B62" w:rsidRPr="00885F53" w:rsidRDefault="00132B62" w:rsidP="00132B62">
      <w:pPr>
        <w:rPr>
          <w:lang w:eastAsia="ko-KR"/>
        </w:rPr>
      </w:pPr>
      <w:r w:rsidRPr="00885F53">
        <w:rPr>
          <w:lang w:eastAsia="ko-KR"/>
        </w:rPr>
        <w:t>T</w:t>
      </w:r>
      <w:r w:rsidRPr="00885F53">
        <w:rPr>
          <w:vertAlign w:val="subscript"/>
          <w:lang w:eastAsia="ko-KR"/>
        </w:rPr>
        <w:t>SMTC,i</w:t>
      </w:r>
      <w:r w:rsidRPr="00885F53">
        <w:rPr>
          <w:lang w:eastAsia="ko-KR"/>
        </w:rPr>
        <w:t xml:space="preserve">: It is the periodicity of the SMTC occasion configured for the inter-frequency carrier </w:t>
      </w:r>
      <w:r w:rsidRPr="00885F53">
        <w:rPr>
          <w:i/>
          <w:lang w:eastAsia="ko-KR"/>
        </w:rPr>
        <w:t>i</w:t>
      </w:r>
      <w:r w:rsidRPr="00885F53">
        <w:rPr>
          <w:lang w:eastAsia="ko-KR"/>
        </w:rPr>
        <w:t>. If it is not configured, the UE may assume that the target SSB periodicity is no</w:t>
      </w:r>
      <w:r>
        <w:rPr>
          <w:lang w:eastAsia="ko-KR"/>
        </w:rPr>
        <w:t>t</w:t>
      </w:r>
      <w:r w:rsidRPr="00885F53">
        <w:rPr>
          <w:lang w:eastAsia="ko-KR"/>
        </w:rPr>
        <w:t xml:space="preserve"> larger than 20 ms.</w:t>
      </w:r>
    </w:p>
    <w:p w14:paraId="2190B874" w14:textId="77777777" w:rsidR="00132B62" w:rsidRPr="00AA2187" w:rsidRDefault="00132B62" w:rsidP="00132B62">
      <w:pPr>
        <w:rPr>
          <w:rFonts w:cs="v4.2.0"/>
        </w:rPr>
      </w:pPr>
      <w:r w:rsidRPr="00AA2187">
        <w:rPr>
          <w:lang w:eastAsia="zh-CN"/>
        </w:rPr>
        <w:t>T</w:t>
      </w:r>
      <w:r w:rsidRPr="00AA2187">
        <w:rPr>
          <w:vertAlign w:val="subscript"/>
          <w:lang w:eastAsia="zh-CN"/>
        </w:rPr>
        <w:t>SI-NR_CCA</w:t>
      </w:r>
      <w:r w:rsidRPr="00AA2187">
        <w:rPr>
          <w:rFonts w:hint="eastAsia"/>
          <w:lang w:eastAsia="zh-CN"/>
        </w:rPr>
        <w:t>:</w:t>
      </w:r>
      <w:r w:rsidRPr="00AA2187">
        <w:rPr>
          <w:lang w:eastAsia="zh-CN"/>
        </w:rPr>
        <w:t xml:space="preserve"> It</w:t>
      </w:r>
      <w:r w:rsidRPr="00AA2187">
        <w:rPr>
          <w:rFonts w:cs="v4.2.0"/>
          <w:iCs/>
        </w:rPr>
        <w:t xml:space="preserve"> </w:t>
      </w:r>
      <w:r w:rsidRPr="00AA2187">
        <w:rPr>
          <w:rFonts w:cs="v4.2.0"/>
        </w:rPr>
        <w:t xml:space="preserve">is the time required for receiving all the relevant system information according to the reception procedure and the RRC procedure delay of system information blocks defined in </w:t>
      </w:r>
      <w:r w:rsidRPr="00AA2187">
        <w:t>TS 38.331 [2]</w:t>
      </w:r>
      <w:r w:rsidRPr="00AA2187">
        <w:rPr>
          <w:rFonts w:cs="v4.2.0"/>
        </w:rPr>
        <w:t xml:space="preserve"> for the</w:t>
      </w:r>
      <w:r w:rsidRPr="00AA2187">
        <w:rPr>
          <w:rFonts w:cs="v4.2.0"/>
          <w:lang w:eastAsia="zh-CN"/>
        </w:rPr>
        <w:t xml:space="preserve"> target</w:t>
      </w:r>
      <w:r w:rsidRPr="00AA2187">
        <w:rPr>
          <w:rFonts w:cs="v4.2.0"/>
        </w:rPr>
        <w:t xml:space="preserve"> NR cell on the carrier with CCA. </w:t>
      </w:r>
    </w:p>
    <w:p w14:paraId="480109A4" w14:textId="77777777" w:rsidR="00132B62" w:rsidRPr="00AA2187" w:rsidRDefault="00132B62" w:rsidP="00132B62">
      <w:pPr>
        <w:rPr>
          <w:lang w:eastAsia="zh-CN"/>
        </w:rPr>
      </w:pPr>
      <w:r w:rsidRPr="00AA2187">
        <w:rPr>
          <w:rFonts w:hint="eastAsia"/>
          <w:lang w:eastAsia="zh-CN"/>
        </w:rPr>
        <w:t>T</w:t>
      </w:r>
      <w:r w:rsidRPr="00AA2187">
        <w:rPr>
          <w:vertAlign w:val="subscript"/>
          <w:lang w:eastAsia="zh-CN"/>
        </w:rPr>
        <w:t>PRACH_CCA</w:t>
      </w:r>
      <w:r w:rsidRPr="00AA2187">
        <w:rPr>
          <w:lang w:eastAsia="zh-CN"/>
        </w:rPr>
        <w:t xml:space="preserve"> is the delay uncertainty in acquiring the first available PRACH occasion in the target NR Cell on the carrier with CCA:</w:t>
      </w:r>
    </w:p>
    <w:p w14:paraId="6ADBA7B3" w14:textId="77777777" w:rsidR="00132B62" w:rsidRDefault="00132B62" w:rsidP="00132B62">
      <w:r>
        <w:rPr>
          <w:rFonts w:hint="eastAsia"/>
          <w:lang w:eastAsia="zh-CN"/>
        </w:rPr>
        <w:t>T</w:t>
      </w:r>
      <w:r w:rsidRPr="00EF4F47">
        <w:rPr>
          <w:vertAlign w:val="subscript"/>
          <w:lang w:eastAsia="zh-CN"/>
        </w:rPr>
        <w:t>PRACH_CCA</w:t>
      </w:r>
      <w:r>
        <w:rPr>
          <w:vertAlign w:val="subscript"/>
          <w:lang w:eastAsia="zh-CN"/>
        </w:rPr>
        <w:t xml:space="preserve"> </w:t>
      </w:r>
      <w:r>
        <w:rPr>
          <w:lang w:eastAsia="zh-CN"/>
        </w:rPr>
        <w:t xml:space="preserve">= </w:t>
      </w:r>
      <w:r w:rsidRPr="00F93F6F">
        <w:t>(1+</w:t>
      </w:r>
      <w:r w:rsidRPr="00F93F6F">
        <w:rPr>
          <w:bCs/>
        </w:rPr>
        <w:t xml:space="preserve"> </w:t>
      </w:r>
      <w:r>
        <w:rPr>
          <w:bCs/>
        </w:rPr>
        <w:t>K</w:t>
      </w:r>
      <w:r w:rsidRPr="00F93F6F">
        <w:rPr>
          <w:bCs/>
          <w:vertAlign w:val="subscript"/>
        </w:rPr>
        <w:t>3</w:t>
      </w:r>
      <w:r w:rsidRPr="00F93F6F">
        <w:t>)*T</w:t>
      </w:r>
      <w:r w:rsidRPr="00F93F6F">
        <w:rPr>
          <w:vertAlign w:val="subscript"/>
        </w:rPr>
        <w:t>SSB,RO</w:t>
      </w:r>
      <w:r w:rsidRPr="00F93F6F">
        <w:t xml:space="preserve"> + 10 ms</w:t>
      </w:r>
      <w:r>
        <w:t>, where:</w:t>
      </w:r>
    </w:p>
    <w:p w14:paraId="07BD770A" w14:textId="77777777" w:rsidR="00132B62" w:rsidRPr="00F93F6F" w:rsidRDefault="00132B62" w:rsidP="00132B62">
      <w:pPr>
        <w:pStyle w:val="B10"/>
      </w:pPr>
      <w:r>
        <w:t>-</w:t>
      </w:r>
      <w:r>
        <w:tab/>
      </w:r>
      <w:r w:rsidRPr="00F93F6F">
        <w:t>T</w:t>
      </w:r>
      <w:r w:rsidRPr="00F93F6F">
        <w:rPr>
          <w:vertAlign w:val="subscript"/>
        </w:rPr>
        <w:t xml:space="preserve">SSB,RO </w:t>
      </w:r>
      <w:r w:rsidRPr="00F93F6F">
        <w:t xml:space="preserve">is the SSB to PRACH occasion association period as defined </w:t>
      </w:r>
      <w:r>
        <w:t>inTable 8.1-1 of</w:t>
      </w:r>
      <w:r w:rsidRPr="00F93F6F">
        <w:t xml:space="preserve"> TS 38.213</w:t>
      </w:r>
      <w:r>
        <w:t xml:space="preserve"> [39]</w:t>
      </w:r>
      <w:r w:rsidRPr="00F93F6F">
        <w:t>.</w:t>
      </w:r>
    </w:p>
    <w:p w14:paraId="0A8C7B99" w14:textId="20B1D574" w:rsidR="00132B62" w:rsidRPr="00F93F6F" w:rsidRDefault="00BD4827" w:rsidP="00132B62">
      <w:pPr>
        <w:pStyle w:val="B10"/>
      </w:pPr>
      <w:r>
        <w:t>-</w:t>
      </w:r>
      <w:r>
        <w:tab/>
      </w:r>
      <w:r w:rsidRPr="00F93F6F">
        <w:t>K</w:t>
      </w:r>
      <w:r w:rsidRPr="00F93F6F">
        <w:rPr>
          <w:vertAlign w:val="subscript"/>
        </w:rPr>
        <w:t>3</w:t>
      </w:r>
      <w:r w:rsidRPr="00F93F6F">
        <w:t xml:space="preserve"> is the number of consecutive SSB to PRACH occasion association periods during which no PRACH occasion is available for PRACH transmission due to UL CCA failure. </w:t>
      </w:r>
      <w:r>
        <w:t>K</w:t>
      </w:r>
      <w:r w:rsidRPr="00F93F6F">
        <w:rPr>
          <w:vertAlign w:val="subscript"/>
        </w:rPr>
        <w:t>3</w:t>
      </w:r>
      <w:r>
        <w:rPr>
          <w:vertAlign w:val="subscript"/>
        </w:rPr>
        <w:t xml:space="preserve"> </w:t>
      </w:r>
      <w:r w:rsidRPr="00F93F6F">
        <w:t>= 0 for Type 2C UL channel access procedure as defined in TS 37.213</w:t>
      </w:r>
      <w:r>
        <w:t xml:space="preserve"> [57].</w:t>
      </w:r>
      <w:r w:rsidRPr="00AE1258">
        <w:rPr>
          <w:color w:val="000000" w:themeColor="text1"/>
        </w:rPr>
        <w:t xml:space="preserve"> </w:t>
      </w:r>
      <w:r>
        <w:rPr>
          <w:color w:val="000000" w:themeColor="text1"/>
        </w:rPr>
        <w:t>L</w:t>
      </w:r>
      <w:r>
        <w:rPr>
          <w:color w:val="000000" w:themeColor="text1"/>
          <w:vertAlign w:val="subscript"/>
        </w:rPr>
        <w:t>3</w:t>
      </w:r>
      <w:r>
        <w:rPr>
          <w:color w:val="000000" w:themeColor="text1"/>
        </w:rPr>
        <w:t xml:space="preserve"> = 0 if </w:t>
      </w:r>
      <w:r w:rsidRPr="00C01850">
        <w:rPr>
          <w:i/>
          <w:color w:val="000000" w:themeColor="text1"/>
        </w:rPr>
        <w:t>ra-ChannelAccess-r17</w:t>
      </w:r>
      <w:r>
        <w:rPr>
          <w:color w:val="000000" w:themeColor="text1"/>
        </w:rPr>
        <w:t xml:space="preserve"> is not configured in FR2-2</w:t>
      </w:r>
      <w:r>
        <w:t>.</w:t>
      </w:r>
    </w:p>
    <w:p w14:paraId="4A6E6291" w14:textId="77777777" w:rsidR="00132B62" w:rsidRPr="00885F53" w:rsidRDefault="00132B62" w:rsidP="00132B62">
      <w:pPr>
        <w:rPr>
          <w:rFonts w:cs="v4.2.0"/>
        </w:rPr>
      </w:pPr>
      <w:r w:rsidRPr="00885F53">
        <w:rPr>
          <w:rFonts w:cs="v4.2.0"/>
          <w:iCs/>
        </w:rPr>
        <w:t>N</w:t>
      </w:r>
      <w:r w:rsidRPr="00885F53">
        <w:rPr>
          <w:rFonts w:cs="v4.2.0"/>
          <w:iCs/>
          <w:vertAlign w:val="subscript"/>
        </w:rPr>
        <w:t>freq</w:t>
      </w:r>
      <w:r w:rsidRPr="00885F53">
        <w:rPr>
          <w:rFonts w:cs="v4.2.0"/>
        </w:rPr>
        <w:t>: It is the total number of NR frequencies to be monitored for RRC re-establishment; N</w:t>
      </w:r>
      <w:r w:rsidRPr="00885F53">
        <w:rPr>
          <w:rFonts w:cs="v4.2.0"/>
          <w:vertAlign w:val="subscript"/>
        </w:rPr>
        <w:t xml:space="preserve">freq </w:t>
      </w:r>
      <w:r w:rsidRPr="00885F53">
        <w:rPr>
          <w:rFonts w:cs="v4.2.0"/>
        </w:rPr>
        <w:t xml:space="preserve">= 1 if the target NR cell </w:t>
      </w:r>
      <w:r>
        <w:rPr>
          <w:rFonts w:cs="v4.2.0"/>
        </w:rPr>
        <w:t xml:space="preserve">on the intra-frequency carrier with CCA </w:t>
      </w:r>
      <w:r w:rsidRPr="00885F53">
        <w:rPr>
          <w:rFonts w:cs="v4.2.0"/>
        </w:rPr>
        <w:t>is known, else N</w:t>
      </w:r>
      <w:r w:rsidRPr="00885F53">
        <w:rPr>
          <w:rFonts w:cs="v4.2.0"/>
          <w:vertAlign w:val="subscript"/>
        </w:rPr>
        <w:t xml:space="preserve">freq </w:t>
      </w:r>
      <w:r w:rsidRPr="00885F53">
        <w:rPr>
          <w:rFonts w:cs="v4.2.0"/>
        </w:rPr>
        <w:t xml:space="preserve">= 2 and </w:t>
      </w:r>
      <w:r w:rsidRPr="00885F53">
        <w:rPr>
          <w:lang w:eastAsia="ko-KR"/>
        </w:rPr>
        <w:t>T</w:t>
      </w:r>
      <w:r w:rsidRPr="00885F53">
        <w:rPr>
          <w:vertAlign w:val="subscript"/>
          <w:lang w:eastAsia="ko-KR"/>
        </w:rPr>
        <w:t>identify_intra_NR</w:t>
      </w:r>
      <w:r>
        <w:rPr>
          <w:vertAlign w:val="subscript"/>
          <w:lang w:eastAsia="ko-KR"/>
        </w:rPr>
        <w:t>_CCA</w:t>
      </w:r>
      <w:r w:rsidRPr="00885F53">
        <w:rPr>
          <w:rFonts w:cs="v4.2.0"/>
        </w:rPr>
        <w:t xml:space="preserve"> = 0 if the target </w:t>
      </w:r>
      <w:r w:rsidRPr="00885F53">
        <w:rPr>
          <w:rFonts w:cs="v4.2.0"/>
          <w:lang w:eastAsia="zh-CN"/>
        </w:rPr>
        <w:t>NR c</w:t>
      </w:r>
      <w:r w:rsidRPr="00885F53">
        <w:rPr>
          <w:rFonts w:cs="v4.2.0"/>
        </w:rPr>
        <w:t>ell</w:t>
      </w:r>
      <w:r>
        <w:rPr>
          <w:rFonts w:cs="v4.2.0"/>
        </w:rPr>
        <w:t xml:space="preserve"> on the inter-frequency carrier with CCA</w:t>
      </w:r>
      <w:r w:rsidRPr="00885F53">
        <w:rPr>
          <w:rFonts w:cs="v4.2.0"/>
        </w:rPr>
        <w:t xml:space="preserve"> is known.</w:t>
      </w:r>
    </w:p>
    <w:p w14:paraId="07C8212E" w14:textId="77777777" w:rsidR="00132B62" w:rsidRPr="00885F53" w:rsidRDefault="00132B62" w:rsidP="00132B62">
      <w:r w:rsidRPr="00885F53">
        <w:t xml:space="preserve">There is no requirement if the target cell </w:t>
      </w:r>
      <w:r>
        <w:t xml:space="preserve">on the carrier with CCA </w:t>
      </w:r>
      <w:r w:rsidRPr="00885F53">
        <w:t>does not contain the UE context.</w:t>
      </w:r>
    </w:p>
    <w:p w14:paraId="23ADA6A6" w14:textId="77777777" w:rsidR="00132B62" w:rsidRDefault="00132B62" w:rsidP="00132B62">
      <w:r>
        <w:t>In the requirement defined in the below tables, the target FR1 cell on the carrier with CCA is known if it has been meeting the relevant cell identification requirement during the last 8 seconds otherwise it is unknown.</w:t>
      </w:r>
    </w:p>
    <w:p w14:paraId="57DEE5FA" w14:textId="77777777" w:rsidR="00132B62" w:rsidRDefault="00132B62" w:rsidP="00132B62">
      <w:pPr>
        <w:pStyle w:val="TH"/>
      </w:pPr>
      <w:r w:rsidRPr="00885F53">
        <w:t>Table 6.2.1</w:t>
      </w:r>
      <w:r>
        <w:t>A</w:t>
      </w:r>
      <w:r w:rsidRPr="00885F53">
        <w:t>.2.1-1: Time to identify target NR cell for RRC connection re-establishment to NR intra-frequency cell</w:t>
      </w:r>
      <w:r>
        <w:t xml:space="preserve"> with CCA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837"/>
        <w:gridCol w:w="2801"/>
        <w:gridCol w:w="3375"/>
      </w:tblGrid>
      <w:tr w:rsidR="00132B62" w14:paraId="5A5137A4" w14:textId="77777777" w:rsidTr="006F1378">
        <w:trPr>
          <w:jc w:val="center"/>
        </w:trPr>
        <w:tc>
          <w:tcPr>
            <w:tcW w:w="1616" w:type="dxa"/>
            <w:tcBorders>
              <w:top w:val="single" w:sz="4" w:space="0" w:color="auto"/>
              <w:left w:val="single" w:sz="4" w:space="0" w:color="auto"/>
              <w:bottom w:val="nil"/>
              <w:right w:val="single" w:sz="4" w:space="0" w:color="auto"/>
            </w:tcBorders>
            <w:hideMark/>
          </w:tcPr>
          <w:p w14:paraId="1D298017" w14:textId="77777777" w:rsidR="00132B62" w:rsidRDefault="00132B62" w:rsidP="006F1378">
            <w:pPr>
              <w:pStyle w:val="TAH"/>
              <w:spacing w:line="256" w:lineRule="auto"/>
              <w:rPr>
                <w:lang w:eastAsia="ko-KR"/>
              </w:rPr>
            </w:pPr>
            <w:r>
              <w:rPr>
                <w:lang w:eastAsia="ko-KR"/>
              </w:rPr>
              <w:t>Serving cell</w:t>
            </w:r>
          </w:p>
        </w:tc>
        <w:tc>
          <w:tcPr>
            <w:tcW w:w="1837" w:type="dxa"/>
            <w:tcBorders>
              <w:top w:val="single" w:sz="4" w:space="0" w:color="auto"/>
              <w:left w:val="single" w:sz="4" w:space="0" w:color="auto"/>
              <w:bottom w:val="nil"/>
              <w:right w:val="single" w:sz="4" w:space="0" w:color="auto"/>
            </w:tcBorders>
            <w:hideMark/>
          </w:tcPr>
          <w:p w14:paraId="5C23A4C8" w14:textId="77777777" w:rsidR="00132B62" w:rsidRDefault="00132B62" w:rsidP="006F1378">
            <w:pPr>
              <w:pStyle w:val="TAH"/>
              <w:spacing w:line="256" w:lineRule="auto"/>
              <w:rPr>
                <w:lang w:eastAsia="ko-KR"/>
              </w:rPr>
            </w:pPr>
            <w:r>
              <w:rPr>
                <w:lang w:eastAsia="ko-KR"/>
              </w:rPr>
              <w:t>Frequency range</w:t>
            </w:r>
          </w:p>
        </w:tc>
        <w:tc>
          <w:tcPr>
            <w:tcW w:w="6176" w:type="dxa"/>
            <w:gridSpan w:val="2"/>
            <w:tcBorders>
              <w:top w:val="single" w:sz="4" w:space="0" w:color="auto"/>
              <w:left w:val="single" w:sz="4" w:space="0" w:color="auto"/>
              <w:bottom w:val="single" w:sz="4" w:space="0" w:color="auto"/>
              <w:right w:val="single" w:sz="4" w:space="0" w:color="auto"/>
            </w:tcBorders>
            <w:hideMark/>
          </w:tcPr>
          <w:p w14:paraId="5E756FDC" w14:textId="77777777" w:rsidR="00132B62" w:rsidRDefault="00132B62" w:rsidP="006F1378">
            <w:pPr>
              <w:pStyle w:val="TAH"/>
              <w:spacing w:line="256" w:lineRule="auto"/>
              <w:rPr>
                <w:lang w:eastAsia="ko-KR"/>
              </w:rPr>
            </w:pPr>
            <w:r>
              <w:rPr>
                <w:lang w:eastAsia="ko-KR"/>
              </w:rPr>
              <w:t>T</w:t>
            </w:r>
            <w:r>
              <w:rPr>
                <w:vertAlign w:val="subscript"/>
                <w:lang w:eastAsia="ko-KR"/>
              </w:rPr>
              <w:t xml:space="preserve">identify_intra_NR_CCA </w:t>
            </w:r>
            <w:r>
              <w:rPr>
                <w:lang w:eastAsia="ko-KR"/>
              </w:rPr>
              <w:t>[ms]</w:t>
            </w:r>
          </w:p>
        </w:tc>
      </w:tr>
      <w:tr w:rsidR="00132B62" w14:paraId="43F757B7" w14:textId="77777777" w:rsidTr="006F1378">
        <w:trPr>
          <w:jc w:val="center"/>
        </w:trPr>
        <w:tc>
          <w:tcPr>
            <w:tcW w:w="1616" w:type="dxa"/>
            <w:tcBorders>
              <w:top w:val="nil"/>
              <w:left w:val="single" w:sz="4" w:space="0" w:color="auto"/>
              <w:bottom w:val="single" w:sz="4" w:space="0" w:color="auto"/>
              <w:right w:val="single" w:sz="4" w:space="0" w:color="auto"/>
            </w:tcBorders>
            <w:hideMark/>
          </w:tcPr>
          <w:p w14:paraId="78D07DEB" w14:textId="77777777" w:rsidR="00132B62" w:rsidRDefault="00132B62" w:rsidP="006F1378">
            <w:pPr>
              <w:pStyle w:val="TAH"/>
              <w:spacing w:line="256" w:lineRule="auto"/>
              <w:rPr>
                <w:lang w:eastAsia="ko-KR"/>
              </w:rPr>
            </w:pPr>
            <w:r>
              <w:rPr>
                <w:lang w:eastAsia="ko-KR"/>
              </w:rPr>
              <w:t xml:space="preserve">SSB </w:t>
            </w:r>
            <w:r>
              <w:rPr>
                <w:lang w:val="en-US"/>
              </w:rPr>
              <w:t>Ês/Iot (dB)</w:t>
            </w:r>
          </w:p>
        </w:tc>
        <w:tc>
          <w:tcPr>
            <w:tcW w:w="1837" w:type="dxa"/>
            <w:tcBorders>
              <w:top w:val="nil"/>
              <w:left w:val="single" w:sz="4" w:space="0" w:color="auto"/>
              <w:bottom w:val="single" w:sz="4" w:space="0" w:color="auto"/>
              <w:right w:val="single" w:sz="4" w:space="0" w:color="auto"/>
            </w:tcBorders>
            <w:hideMark/>
          </w:tcPr>
          <w:p w14:paraId="717B9D6C" w14:textId="77777777" w:rsidR="00132B62" w:rsidRDefault="00132B62" w:rsidP="006F1378">
            <w:pPr>
              <w:pStyle w:val="TAH"/>
              <w:spacing w:line="256" w:lineRule="auto"/>
              <w:rPr>
                <w:lang w:eastAsia="ko-KR"/>
              </w:rPr>
            </w:pPr>
            <w:r>
              <w:rPr>
                <w:lang w:eastAsia="ko-KR"/>
              </w:rPr>
              <w:t>(FR) of target NR cell</w:t>
            </w:r>
          </w:p>
        </w:tc>
        <w:tc>
          <w:tcPr>
            <w:tcW w:w="2801" w:type="dxa"/>
            <w:tcBorders>
              <w:top w:val="single" w:sz="4" w:space="0" w:color="auto"/>
              <w:left w:val="single" w:sz="4" w:space="0" w:color="auto"/>
              <w:bottom w:val="single" w:sz="4" w:space="0" w:color="auto"/>
              <w:right w:val="single" w:sz="4" w:space="0" w:color="auto"/>
            </w:tcBorders>
            <w:hideMark/>
          </w:tcPr>
          <w:p w14:paraId="2E533E95" w14:textId="77777777" w:rsidR="00132B62" w:rsidRDefault="00132B62" w:rsidP="006F1378">
            <w:pPr>
              <w:pStyle w:val="TAH"/>
              <w:spacing w:line="256" w:lineRule="auto"/>
              <w:rPr>
                <w:lang w:eastAsia="ko-KR"/>
              </w:rPr>
            </w:pPr>
            <w:r>
              <w:rPr>
                <w:lang w:eastAsia="ko-KR"/>
              </w:rPr>
              <w:t>Known NR cell</w:t>
            </w:r>
          </w:p>
        </w:tc>
        <w:tc>
          <w:tcPr>
            <w:tcW w:w="3375" w:type="dxa"/>
            <w:tcBorders>
              <w:top w:val="single" w:sz="4" w:space="0" w:color="auto"/>
              <w:left w:val="single" w:sz="4" w:space="0" w:color="auto"/>
              <w:bottom w:val="single" w:sz="4" w:space="0" w:color="auto"/>
              <w:right w:val="single" w:sz="4" w:space="0" w:color="auto"/>
            </w:tcBorders>
            <w:hideMark/>
          </w:tcPr>
          <w:p w14:paraId="4A94A7D4" w14:textId="77777777" w:rsidR="00132B62" w:rsidRDefault="00132B62" w:rsidP="006F1378">
            <w:pPr>
              <w:pStyle w:val="TAH"/>
              <w:spacing w:line="256" w:lineRule="auto"/>
              <w:rPr>
                <w:lang w:eastAsia="ko-KR"/>
              </w:rPr>
            </w:pPr>
            <w:r>
              <w:rPr>
                <w:lang w:eastAsia="ko-KR"/>
              </w:rPr>
              <w:t>Unknown NR cell</w:t>
            </w:r>
          </w:p>
        </w:tc>
      </w:tr>
      <w:tr w:rsidR="00132B62" w14:paraId="06BAFABE" w14:textId="77777777" w:rsidTr="006F1378">
        <w:trPr>
          <w:jc w:val="center"/>
        </w:trPr>
        <w:tc>
          <w:tcPr>
            <w:tcW w:w="1616" w:type="dxa"/>
            <w:tcBorders>
              <w:top w:val="single" w:sz="4" w:space="0" w:color="auto"/>
              <w:left w:val="single" w:sz="4" w:space="0" w:color="auto"/>
              <w:bottom w:val="single" w:sz="4" w:space="0" w:color="auto"/>
              <w:right w:val="single" w:sz="4" w:space="0" w:color="auto"/>
            </w:tcBorders>
            <w:hideMark/>
          </w:tcPr>
          <w:p w14:paraId="02ECF04F" w14:textId="77777777" w:rsidR="00132B62" w:rsidRDefault="00132B62" w:rsidP="006F1378">
            <w:pPr>
              <w:pStyle w:val="TAL"/>
              <w:spacing w:line="256" w:lineRule="auto"/>
              <w:rPr>
                <w:lang w:eastAsia="zh-CN"/>
              </w:rPr>
            </w:pPr>
            <w:r>
              <w:rPr>
                <w:rFonts w:cs="Arial" w:hint="eastAsia"/>
                <w:lang w:eastAsia="ko-KR"/>
              </w:rPr>
              <w:t>≥</w:t>
            </w:r>
            <w:r>
              <w:rPr>
                <w:lang w:eastAsia="ko-KR"/>
              </w:rPr>
              <w:t xml:space="preserve"> -8</w:t>
            </w:r>
          </w:p>
        </w:tc>
        <w:tc>
          <w:tcPr>
            <w:tcW w:w="1837" w:type="dxa"/>
            <w:tcBorders>
              <w:top w:val="single" w:sz="4" w:space="0" w:color="auto"/>
              <w:left w:val="single" w:sz="4" w:space="0" w:color="auto"/>
              <w:bottom w:val="single" w:sz="4" w:space="0" w:color="auto"/>
              <w:right w:val="single" w:sz="4" w:space="0" w:color="auto"/>
            </w:tcBorders>
            <w:hideMark/>
          </w:tcPr>
          <w:p w14:paraId="56CBBE98" w14:textId="77777777" w:rsidR="00132B62" w:rsidRDefault="00132B62" w:rsidP="006F1378">
            <w:pPr>
              <w:pStyle w:val="TAL"/>
              <w:spacing w:line="256" w:lineRule="auto"/>
              <w:rPr>
                <w:lang w:eastAsia="ko-KR"/>
              </w:rPr>
            </w:pPr>
            <w:r>
              <w:rPr>
                <w:lang w:eastAsia="ko-KR"/>
              </w:rPr>
              <w:t>FR1</w:t>
            </w:r>
          </w:p>
        </w:tc>
        <w:tc>
          <w:tcPr>
            <w:tcW w:w="2801" w:type="dxa"/>
            <w:tcBorders>
              <w:top w:val="single" w:sz="4" w:space="0" w:color="auto"/>
              <w:left w:val="single" w:sz="4" w:space="0" w:color="auto"/>
              <w:bottom w:val="single" w:sz="4" w:space="0" w:color="auto"/>
              <w:right w:val="single" w:sz="4" w:space="0" w:color="auto"/>
            </w:tcBorders>
            <w:hideMark/>
          </w:tcPr>
          <w:p w14:paraId="615BBA64" w14:textId="77777777" w:rsidR="00132B62" w:rsidRDefault="00132B62" w:rsidP="006F1378">
            <w:pPr>
              <w:pStyle w:val="TAC"/>
              <w:spacing w:line="256" w:lineRule="auto"/>
            </w:pPr>
            <w:r>
              <w:t>MAX (200 ms, (5+K</w:t>
            </w:r>
            <w:r>
              <w:rPr>
                <w:vertAlign w:val="subscript"/>
              </w:rPr>
              <w:t>1</w:t>
            </w:r>
            <w:r>
              <w:t>) x T</w:t>
            </w:r>
            <w:r>
              <w:rPr>
                <w:vertAlign w:val="subscript"/>
              </w:rPr>
              <w:t>SMTC</w:t>
            </w:r>
            <w:r>
              <w:t>)</w:t>
            </w:r>
          </w:p>
        </w:tc>
        <w:tc>
          <w:tcPr>
            <w:tcW w:w="3375" w:type="dxa"/>
            <w:tcBorders>
              <w:top w:val="single" w:sz="4" w:space="0" w:color="auto"/>
              <w:left w:val="single" w:sz="4" w:space="0" w:color="auto"/>
              <w:bottom w:val="single" w:sz="4" w:space="0" w:color="auto"/>
              <w:right w:val="single" w:sz="4" w:space="0" w:color="auto"/>
            </w:tcBorders>
            <w:hideMark/>
          </w:tcPr>
          <w:p w14:paraId="170A71C3" w14:textId="77777777" w:rsidR="00132B62" w:rsidRDefault="00132B62" w:rsidP="006F1378">
            <w:pPr>
              <w:pStyle w:val="TAC"/>
              <w:spacing w:line="256" w:lineRule="auto"/>
            </w:pPr>
            <w:r>
              <w:t>MAX (800 ms, (10+ K</w:t>
            </w:r>
            <w:r>
              <w:rPr>
                <w:vertAlign w:val="subscript"/>
              </w:rPr>
              <w:t>1</w:t>
            </w:r>
            <w:r>
              <w:t>) x T</w:t>
            </w:r>
            <w:r>
              <w:rPr>
                <w:vertAlign w:val="subscript"/>
              </w:rPr>
              <w:t>SMTC</w:t>
            </w:r>
            <w:r>
              <w:t>)</w:t>
            </w:r>
          </w:p>
        </w:tc>
      </w:tr>
      <w:tr w:rsidR="00132B62" w14:paraId="4D341816" w14:textId="77777777" w:rsidTr="006F1378">
        <w:trPr>
          <w:jc w:val="center"/>
        </w:trPr>
        <w:tc>
          <w:tcPr>
            <w:tcW w:w="1616" w:type="dxa"/>
            <w:tcBorders>
              <w:top w:val="single" w:sz="4" w:space="0" w:color="auto"/>
              <w:left w:val="single" w:sz="4" w:space="0" w:color="auto"/>
              <w:bottom w:val="single" w:sz="4" w:space="0" w:color="auto"/>
              <w:right w:val="single" w:sz="4" w:space="0" w:color="auto"/>
            </w:tcBorders>
            <w:hideMark/>
          </w:tcPr>
          <w:p w14:paraId="4E3207A4" w14:textId="77777777" w:rsidR="00132B62" w:rsidRDefault="00132B62" w:rsidP="006F1378">
            <w:pPr>
              <w:pStyle w:val="TAL"/>
              <w:spacing w:line="256" w:lineRule="auto"/>
              <w:rPr>
                <w:rFonts w:cs="Arial"/>
                <w:lang w:eastAsia="ko-KR"/>
              </w:rPr>
            </w:pPr>
            <w:r>
              <w:rPr>
                <w:rFonts w:cs="Arial" w:hint="eastAsia"/>
                <w:lang w:eastAsia="ko-KR"/>
              </w:rPr>
              <w:t>≥</w:t>
            </w:r>
            <w:r>
              <w:rPr>
                <w:lang w:eastAsia="ko-KR"/>
              </w:rPr>
              <w:t xml:space="preserve"> -8</w:t>
            </w:r>
          </w:p>
        </w:tc>
        <w:tc>
          <w:tcPr>
            <w:tcW w:w="1837" w:type="dxa"/>
            <w:tcBorders>
              <w:top w:val="single" w:sz="4" w:space="0" w:color="auto"/>
              <w:left w:val="single" w:sz="4" w:space="0" w:color="auto"/>
              <w:bottom w:val="single" w:sz="4" w:space="0" w:color="auto"/>
              <w:right w:val="single" w:sz="4" w:space="0" w:color="auto"/>
            </w:tcBorders>
            <w:hideMark/>
          </w:tcPr>
          <w:p w14:paraId="705BF664" w14:textId="77777777" w:rsidR="00132B62" w:rsidRDefault="00132B62" w:rsidP="006F1378">
            <w:pPr>
              <w:pStyle w:val="TAL"/>
              <w:spacing w:line="256" w:lineRule="auto"/>
              <w:rPr>
                <w:lang w:eastAsia="ko-KR"/>
              </w:rPr>
            </w:pPr>
            <w:r>
              <w:rPr>
                <w:lang w:eastAsia="ko-KR"/>
              </w:rPr>
              <w:t>FR2-2</w:t>
            </w:r>
          </w:p>
        </w:tc>
        <w:tc>
          <w:tcPr>
            <w:tcW w:w="2801" w:type="dxa"/>
            <w:tcBorders>
              <w:top w:val="single" w:sz="4" w:space="0" w:color="auto"/>
              <w:left w:val="single" w:sz="4" w:space="0" w:color="auto"/>
              <w:bottom w:val="single" w:sz="4" w:space="0" w:color="auto"/>
              <w:right w:val="single" w:sz="4" w:space="0" w:color="auto"/>
            </w:tcBorders>
            <w:hideMark/>
          </w:tcPr>
          <w:p w14:paraId="1308560A" w14:textId="77777777" w:rsidR="00132B62" w:rsidRDefault="00132B62" w:rsidP="006F1378">
            <w:pPr>
              <w:pStyle w:val="TAC"/>
              <w:spacing w:line="256" w:lineRule="auto"/>
            </w:pPr>
            <w:r>
              <w:rPr>
                <w:lang w:eastAsia="zh-CN"/>
              </w:rPr>
              <w:t>N/A</w:t>
            </w:r>
          </w:p>
        </w:tc>
        <w:tc>
          <w:tcPr>
            <w:tcW w:w="3375" w:type="dxa"/>
            <w:tcBorders>
              <w:top w:val="single" w:sz="4" w:space="0" w:color="auto"/>
              <w:left w:val="single" w:sz="4" w:space="0" w:color="auto"/>
              <w:bottom w:val="single" w:sz="4" w:space="0" w:color="auto"/>
              <w:right w:val="single" w:sz="4" w:space="0" w:color="auto"/>
            </w:tcBorders>
            <w:hideMark/>
          </w:tcPr>
          <w:p w14:paraId="41D96CEA" w14:textId="77777777" w:rsidR="00132B62" w:rsidRDefault="00132B62" w:rsidP="006F1378">
            <w:pPr>
              <w:pStyle w:val="TAC"/>
              <w:spacing w:line="256" w:lineRule="auto"/>
            </w:pPr>
            <w:r>
              <w:rPr>
                <w:lang w:eastAsia="ko-KR"/>
              </w:rPr>
              <w:t xml:space="preserve">MAX (1000 ms, </w:t>
            </w:r>
            <w:r>
              <w:t xml:space="preserve">N </w:t>
            </w:r>
            <w:r>
              <w:rPr>
                <w:lang w:eastAsia="ko-KR"/>
              </w:rPr>
              <w:t xml:space="preserve"> x (1</w:t>
            </w:r>
            <w:r>
              <w:rPr>
                <w:lang w:eastAsia="zh-CN"/>
              </w:rPr>
              <w:t>0+</w:t>
            </w:r>
            <w:r>
              <w:rPr>
                <w:lang w:eastAsia="ko-KR"/>
              </w:rPr>
              <w:t xml:space="preserve"> </w:t>
            </w:r>
            <w:r>
              <w:t>K</w:t>
            </w:r>
            <w:r>
              <w:rPr>
                <w:vertAlign w:val="subscript"/>
              </w:rPr>
              <w:t>3</w:t>
            </w:r>
            <w:r>
              <w:rPr>
                <w:lang w:eastAsia="ko-KR"/>
              </w:rPr>
              <w:t>) x T</w:t>
            </w:r>
            <w:r>
              <w:rPr>
                <w:vertAlign w:val="subscript"/>
                <w:lang w:eastAsia="ko-KR"/>
              </w:rPr>
              <w:t>SMTC</w:t>
            </w:r>
            <w:r>
              <w:rPr>
                <w:lang w:eastAsia="ko-KR"/>
              </w:rPr>
              <w:t>)</w:t>
            </w:r>
          </w:p>
        </w:tc>
      </w:tr>
      <w:tr w:rsidR="00132B62" w14:paraId="6CF7CB54" w14:textId="77777777" w:rsidTr="006F1378">
        <w:trPr>
          <w:jc w:val="center"/>
        </w:trPr>
        <w:tc>
          <w:tcPr>
            <w:tcW w:w="1616" w:type="dxa"/>
            <w:tcBorders>
              <w:top w:val="single" w:sz="4" w:space="0" w:color="auto"/>
              <w:left w:val="single" w:sz="4" w:space="0" w:color="auto"/>
              <w:bottom w:val="single" w:sz="4" w:space="0" w:color="auto"/>
              <w:right w:val="single" w:sz="4" w:space="0" w:color="auto"/>
            </w:tcBorders>
            <w:hideMark/>
          </w:tcPr>
          <w:p w14:paraId="628CDDFB" w14:textId="77777777" w:rsidR="00132B62" w:rsidRDefault="00132B62" w:rsidP="006F1378">
            <w:pPr>
              <w:pStyle w:val="TAL"/>
              <w:spacing w:line="256" w:lineRule="auto"/>
              <w:rPr>
                <w:lang w:eastAsia="zh-CN"/>
              </w:rPr>
            </w:pPr>
            <w:r>
              <w:rPr>
                <w:lang w:eastAsia="ko-KR"/>
              </w:rPr>
              <w:t>&lt; -8</w:t>
            </w:r>
          </w:p>
        </w:tc>
        <w:tc>
          <w:tcPr>
            <w:tcW w:w="1837" w:type="dxa"/>
            <w:tcBorders>
              <w:top w:val="single" w:sz="4" w:space="0" w:color="auto"/>
              <w:left w:val="single" w:sz="4" w:space="0" w:color="auto"/>
              <w:bottom w:val="single" w:sz="4" w:space="0" w:color="auto"/>
              <w:right w:val="single" w:sz="4" w:space="0" w:color="auto"/>
            </w:tcBorders>
            <w:hideMark/>
          </w:tcPr>
          <w:p w14:paraId="512CC5CB" w14:textId="77777777" w:rsidR="00132B62" w:rsidRDefault="00132B62" w:rsidP="006F1378">
            <w:pPr>
              <w:pStyle w:val="TAL"/>
              <w:spacing w:line="256" w:lineRule="auto"/>
              <w:rPr>
                <w:lang w:eastAsia="ko-KR"/>
              </w:rPr>
            </w:pPr>
            <w:r>
              <w:rPr>
                <w:lang w:eastAsia="ko-KR"/>
              </w:rPr>
              <w:t>FR1</w:t>
            </w:r>
          </w:p>
        </w:tc>
        <w:tc>
          <w:tcPr>
            <w:tcW w:w="2801" w:type="dxa"/>
            <w:tcBorders>
              <w:top w:val="single" w:sz="4" w:space="0" w:color="auto"/>
              <w:left w:val="single" w:sz="4" w:space="0" w:color="auto"/>
              <w:bottom w:val="single" w:sz="4" w:space="0" w:color="auto"/>
              <w:right w:val="single" w:sz="4" w:space="0" w:color="auto"/>
            </w:tcBorders>
            <w:hideMark/>
          </w:tcPr>
          <w:p w14:paraId="3DACCDE5" w14:textId="77777777" w:rsidR="00132B62" w:rsidRDefault="00132B62" w:rsidP="006F1378">
            <w:pPr>
              <w:pStyle w:val="TAC"/>
              <w:spacing w:line="256" w:lineRule="auto"/>
              <w:rPr>
                <w:lang w:eastAsia="zh-CN"/>
              </w:rPr>
            </w:pPr>
            <w:r>
              <w:rPr>
                <w:lang w:eastAsia="zh-CN"/>
              </w:rPr>
              <w:t>N/A</w:t>
            </w:r>
          </w:p>
        </w:tc>
        <w:tc>
          <w:tcPr>
            <w:tcW w:w="3375" w:type="dxa"/>
            <w:tcBorders>
              <w:top w:val="single" w:sz="4" w:space="0" w:color="auto"/>
              <w:left w:val="single" w:sz="4" w:space="0" w:color="auto"/>
              <w:bottom w:val="single" w:sz="4" w:space="0" w:color="auto"/>
              <w:right w:val="single" w:sz="4" w:space="0" w:color="auto"/>
            </w:tcBorders>
            <w:hideMark/>
          </w:tcPr>
          <w:p w14:paraId="2963992B" w14:textId="77777777" w:rsidR="00132B62" w:rsidRDefault="00132B62" w:rsidP="006F1378">
            <w:pPr>
              <w:pStyle w:val="TAC"/>
              <w:spacing w:line="256" w:lineRule="auto"/>
              <w:rPr>
                <w:lang w:eastAsia="ko-KR"/>
              </w:rPr>
            </w:pPr>
            <w:r>
              <w:t>(800+20 x K</w:t>
            </w:r>
            <w:r>
              <w:rPr>
                <w:vertAlign w:val="subscript"/>
              </w:rPr>
              <w:t>1</w:t>
            </w:r>
            <w:r>
              <w:rPr>
                <w:vertAlign w:val="superscript"/>
              </w:rPr>
              <w:t xml:space="preserve"> </w:t>
            </w:r>
            <w:r>
              <w:t>)</w:t>
            </w:r>
            <w:r>
              <w:rPr>
                <w:vertAlign w:val="superscript"/>
              </w:rPr>
              <w:t>Note1</w:t>
            </w:r>
          </w:p>
        </w:tc>
      </w:tr>
      <w:tr w:rsidR="00132B62" w14:paraId="7B822085" w14:textId="77777777" w:rsidTr="006F1378">
        <w:trPr>
          <w:jc w:val="center"/>
        </w:trPr>
        <w:tc>
          <w:tcPr>
            <w:tcW w:w="1616" w:type="dxa"/>
            <w:tcBorders>
              <w:top w:val="single" w:sz="4" w:space="0" w:color="auto"/>
              <w:left w:val="single" w:sz="4" w:space="0" w:color="auto"/>
              <w:bottom w:val="single" w:sz="4" w:space="0" w:color="auto"/>
              <w:right w:val="single" w:sz="4" w:space="0" w:color="auto"/>
            </w:tcBorders>
            <w:hideMark/>
          </w:tcPr>
          <w:p w14:paraId="79404501" w14:textId="77777777" w:rsidR="00132B62" w:rsidRDefault="00132B62" w:rsidP="006F1378">
            <w:pPr>
              <w:pStyle w:val="TAL"/>
              <w:spacing w:line="256" w:lineRule="auto"/>
              <w:rPr>
                <w:lang w:eastAsia="ko-KR"/>
              </w:rPr>
            </w:pPr>
            <w:r>
              <w:rPr>
                <w:lang w:eastAsia="ko-KR"/>
              </w:rPr>
              <w:t>&lt; -8</w:t>
            </w:r>
          </w:p>
        </w:tc>
        <w:tc>
          <w:tcPr>
            <w:tcW w:w="1837" w:type="dxa"/>
            <w:tcBorders>
              <w:top w:val="single" w:sz="4" w:space="0" w:color="auto"/>
              <w:left w:val="single" w:sz="4" w:space="0" w:color="auto"/>
              <w:bottom w:val="single" w:sz="4" w:space="0" w:color="auto"/>
              <w:right w:val="single" w:sz="4" w:space="0" w:color="auto"/>
            </w:tcBorders>
            <w:hideMark/>
          </w:tcPr>
          <w:p w14:paraId="31A4425B" w14:textId="77777777" w:rsidR="00132B62" w:rsidRDefault="00132B62" w:rsidP="006F1378">
            <w:pPr>
              <w:pStyle w:val="TAL"/>
              <w:spacing w:line="256" w:lineRule="auto"/>
              <w:rPr>
                <w:lang w:eastAsia="ko-KR"/>
              </w:rPr>
            </w:pPr>
            <w:r>
              <w:rPr>
                <w:lang w:eastAsia="ko-KR"/>
              </w:rPr>
              <w:t>FR2-2</w:t>
            </w:r>
          </w:p>
        </w:tc>
        <w:tc>
          <w:tcPr>
            <w:tcW w:w="2801" w:type="dxa"/>
            <w:tcBorders>
              <w:top w:val="single" w:sz="4" w:space="0" w:color="auto"/>
              <w:left w:val="single" w:sz="4" w:space="0" w:color="auto"/>
              <w:bottom w:val="single" w:sz="4" w:space="0" w:color="auto"/>
              <w:right w:val="single" w:sz="4" w:space="0" w:color="auto"/>
            </w:tcBorders>
            <w:hideMark/>
          </w:tcPr>
          <w:p w14:paraId="059274CE" w14:textId="77777777" w:rsidR="00132B62" w:rsidRDefault="00132B62" w:rsidP="006F1378">
            <w:pPr>
              <w:pStyle w:val="TAC"/>
              <w:spacing w:line="256" w:lineRule="auto"/>
              <w:rPr>
                <w:lang w:eastAsia="zh-CN"/>
              </w:rPr>
            </w:pPr>
            <w:r>
              <w:rPr>
                <w:lang w:eastAsia="zh-CN"/>
              </w:rPr>
              <w:t>N/A</w:t>
            </w:r>
          </w:p>
        </w:tc>
        <w:tc>
          <w:tcPr>
            <w:tcW w:w="3375" w:type="dxa"/>
            <w:tcBorders>
              <w:top w:val="single" w:sz="4" w:space="0" w:color="auto"/>
              <w:left w:val="single" w:sz="4" w:space="0" w:color="auto"/>
              <w:bottom w:val="single" w:sz="4" w:space="0" w:color="auto"/>
              <w:right w:val="single" w:sz="4" w:space="0" w:color="auto"/>
            </w:tcBorders>
            <w:hideMark/>
          </w:tcPr>
          <w:p w14:paraId="5E97AAD9" w14:textId="77777777" w:rsidR="00132B62" w:rsidRDefault="00132B62" w:rsidP="006F1378">
            <w:pPr>
              <w:pStyle w:val="TAC"/>
              <w:spacing w:line="256" w:lineRule="auto"/>
            </w:pPr>
            <w:r>
              <w:t xml:space="preserve">N </w:t>
            </w:r>
            <w:r>
              <w:rPr>
                <w:lang w:eastAsia="ko-KR"/>
              </w:rPr>
              <w:t xml:space="preserve"> x (440</w:t>
            </w:r>
            <w:r>
              <w:t>+20 x K</w:t>
            </w:r>
            <w:r>
              <w:rPr>
                <w:vertAlign w:val="subscript"/>
              </w:rPr>
              <w:t>3</w:t>
            </w:r>
            <w:r>
              <w:rPr>
                <w:vertAlign w:val="superscript"/>
              </w:rPr>
              <w:t xml:space="preserve"> </w:t>
            </w:r>
            <w:r>
              <w:t>)</w:t>
            </w:r>
            <w:r>
              <w:rPr>
                <w:vertAlign w:val="superscript"/>
              </w:rPr>
              <w:t>Note1</w:t>
            </w:r>
          </w:p>
        </w:tc>
      </w:tr>
      <w:tr w:rsidR="00132B62" w14:paraId="4EF48062" w14:textId="77777777" w:rsidTr="006F1378">
        <w:trPr>
          <w:jc w:val="center"/>
        </w:trPr>
        <w:tc>
          <w:tcPr>
            <w:tcW w:w="9629" w:type="dxa"/>
            <w:gridSpan w:val="4"/>
            <w:tcBorders>
              <w:top w:val="single" w:sz="4" w:space="0" w:color="auto"/>
              <w:left w:val="single" w:sz="4" w:space="0" w:color="auto"/>
              <w:bottom w:val="single" w:sz="4" w:space="0" w:color="auto"/>
              <w:right w:val="single" w:sz="4" w:space="0" w:color="auto"/>
            </w:tcBorders>
            <w:hideMark/>
          </w:tcPr>
          <w:p w14:paraId="4A26786A" w14:textId="77777777" w:rsidR="00132B62" w:rsidRDefault="00132B62" w:rsidP="006F1378">
            <w:pPr>
              <w:pStyle w:val="TAN"/>
              <w:spacing w:line="256" w:lineRule="auto"/>
              <w:rPr>
                <w:lang w:eastAsia="ko-KR"/>
              </w:rPr>
            </w:pPr>
            <w:r>
              <w:rPr>
                <w:lang w:eastAsia="ko-KR"/>
              </w:rPr>
              <w:t>Note 1:</w:t>
            </w:r>
            <w:r>
              <w:tab/>
            </w:r>
            <w:r>
              <w:rPr>
                <w:lang w:eastAsia="ko-KR"/>
              </w:rPr>
              <w:t>The UE is not required to successfully</w:t>
            </w:r>
            <w:r>
              <w:rPr>
                <w:b/>
                <w:bCs/>
              </w:rPr>
              <w:t xml:space="preserve"> </w:t>
            </w:r>
            <w:r>
              <w:rPr>
                <w:lang w:eastAsia="ko-KR"/>
              </w:rPr>
              <w:t>identify a cell on any NR frequency layer with CCA when T</w:t>
            </w:r>
            <w:r>
              <w:rPr>
                <w:vertAlign w:val="subscript"/>
                <w:lang w:eastAsia="ko-KR"/>
              </w:rPr>
              <w:t>SMTC</w:t>
            </w:r>
            <w:r>
              <w:rPr>
                <w:lang w:eastAsia="ko-KR"/>
              </w:rPr>
              <w:t xml:space="preserve"> &gt; 20 ms and serving cell SSB Ês/Iot &lt; -8 dB.</w:t>
            </w:r>
          </w:p>
          <w:p w14:paraId="40E65C24" w14:textId="77777777" w:rsidR="00132B62" w:rsidRDefault="00132B62" w:rsidP="006F1378">
            <w:pPr>
              <w:pStyle w:val="TAN"/>
              <w:spacing w:line="256" w:lineRule="auto"/>
            </w:pPr>
            <w:r>
              <w:rPr>
                <w:lang w:eastAsia="ko-KR"/>
              </w:rPr>
              <w:t>Note 2:</w:t>
            </w:r>
            <w:r>
              <w:tab/>
              <w:t>K</w:t>
            </w:r>
            <w:r>
              <w:rPr>
                <w:vertAlign w:val="subscript"/>
              </w:rPr>
              <w:t xml:space="preserve">1 </w:t>
            </w:r>
            <w:r>
              <w:t xml:space="preserve">is the number of SMTC occasions not available at the UE due during RRC re-establishment period on the carrier with CCA. </w:t>
            </w:r>
          </w:p>
          <w:p w14:paraId="60699E8D" w14:textId="29E7D92E" w:rsidR="00132B62" w:rsidRDefault="00132B62" w:rsidP="006F1378">
            <w:pPr>
              <w:pStyle w:val="TAN"/>
              <w:spacing w:line="256" w:lineRule="auto"/>
              <w:rPr>
                <w:lang w:eastAsia="zh-CN"/>
              </w:rPr>
            </w:pPr>
            <w:r>
              <w:rPr>
                <w:lang w:eastAsia="ko-KR"/>
              </w:rPr>
              <w:t>Note 3:</w:t>
            </w:r>
            <w:r>
              <w:tab/>
            </w:r>
            <w:r>
              <w:rPr>
                <w:rFonts w:cs="v4.2.0"/>
              </w:rPr>
              <w:t>K</w:t>
            </w:r>
            <w:r>
              <w:rPr>
                <w:rFonts w:cs="v4.2.0"/>
                <w:vertAlign w:val="subscript"/>
              </w:rPr>
              <w:t xml:space="preserve">3 </w:t>
            </w:r>
            <w:r>
              <w:rPr>
                <w:rFonts w:cs="v4.2.0"/>
              </w:rPr>
              <w:t>is the number of SMTC occasion groups not available at the UE during RRC re-establishment period on the carrier with CCA.</w:t>
            </w:r>
            <w:r>
              <w:t xml:space="preserve"> An SMTC occasion group consists of N consecutive SMTC occasions. An SMTC occasion group is not available, when at least one SMTC occasion in the group is not transmitted by the gNB. N is equal to 12.</w:t>
            </w:r>
          </w:p>
        </w:tc>
      </w:tr>
    </w:tbl>
    <w:p w14:paraId="0F6B63DC" w14:textId="77777777" w:rsidR="00132B62" w:rsidRDefault="00132B62" w:rsidP="00132B62"/>
    <w:p w14:paraId="25E2A65F" w14:textId="77777777" w:rsidR="00132B62" w:rsidRPr="00885F53" w:rsidRDefault="00132B62" w:rsidP="00132B62">
      <w:pPr>
        <w:pStyle w:val="TH"/>
      </w:pPr>
      <w:r w:rsidRPr="00885F53">
        <w:t>Table 6.2.1</w:t>
      </w:r>
      <w:r>
        <w:t>A</w:t>
      </w:r>
      <w:r w:rsidRPr="00885F53">
        <w:t>.2.1-2: Time to identify target NR cell</w:t>
      </w:r>
      <w:r>
        <w:t xml:space="preserve"> </w:t>
      </w:r>
      <w:r w:rsidRPr="00885F53">
        <w:t>for RRC connection re-establishment to NR inter-frequency cell</w:t>
      </w:r>
      <w:r>
        <w:t xml:space="preserve"> on the carrier with CCA </w:t>
      </w:r>
    </w:p>
    <w:tbl>
      <w:tblPr>
        <w:tblW w:w="9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701"/>
        <w:gridCol w:w="2977"/>
        <w:gridCol w:w="7"/>
        <w:gridCol w:w="3262"/>
      </w:tblGrid>
      <w:tr w:rsidR="00132B62" w:rsidRPr="00885F53" w14:paraId="2CBE9B88" w14:textId="77777777" w:rsidTr="006F1378">
        <w:trPr>
          <w:trHeight w:val="187"/>
          <w:jc w:val="center"/>
        </w:trPr>
        <w:tc>
          <w:tcPr>
            <w:tcW w:w="1696" w:type="dxa"/>
            <w:tcBorders>
              <w:bottom w:val="nil"/>
            </w:tcBorders>
            <w:shd w:val="clear" w:color="auto" w:fill="auto"/>
          </w:tcPr>
          <w:p w14:paraId="03154DE0" w14:textId="77777777" w:rsidR="00132B62" w:rsidRPr="00885F53" w:rsidRDefault="00132B62" w:rsidP="006F1378">
            <w:pPr>
              <w:pStyle w:val="TAH"/>
              <w:rPr>
                <w:lang w:eastAsia="ko-KR"/>
              </w:rPr>
            </w:pPr>
            <w:r w:rsidRPr="00885F53">
              <w:rPr>
                <w:lang w:eastAsia="ko-KR"/>
              </w:rPr>
              <w:t xml:space="preserve">Serving cell SSB </w:t>
            </w:r>
            <w:r w:rsidRPr="00885F53">
              <w:rPr>
                <w:lang w:val="en-US"/>
              </w:rPr>
              <w:t>Ês/Iot (dB)</w:t>
            </w:r>
          </w:p>
        </w:tc>
        <w:tc>
          <w:tcPr>
            <w:tcW w:w="1701" w:type="dxa"/>
            <w:tcBorders>
              <w:bottom w:val="nil"/>
            </w:tcBorders>
            <w:shd w:val="clear" w:color="auto" w:fill="auto"/>
          </w:tcPr>
          <w:p w14:paraId="6359492A" w14:textId="77777777" w:rsidR="00132B62" w:rsidRPr="00885F53" w:rsidRDefault="00132B62" w:rsidP="006F1378">
            <w:pPr>
              <w:pStyle w:val="TAH"/>
              <w:rPr>
                <w:lang w:eastAsia="ko-KR"/>
              </w:rPr>
            </w:pPr>
            <w:r w:rsidRPr="00885F53">
              <w:rPr>
                <w:lang w:eastAsia="ko-KR"/>
              </w:rPr>
              <w:t>Frequency range</w:t>
            </w:r>
          </w:p>
        </w:tc>
        <w:tc>
          <w:tcPr>
            <w:tcW w:w="6246" w:type="dxa"/>
            <w:gridSpan w:val="3"/>
            <w:shd w:val="clear" w:color="auto" w:fill="auto"/>
          </w:tcPr>
          <w:p w14:paraId="7358B257" w14:textId="77777777" w:rsidR="00132B62" w:rsidRPr="00885F53" w:rsidRDefault="00132B62" w:rsidP="006F1378">
            <w:pPr>
              <w:pStyle w:val="TAH"/>
              <w:rPr>
                <w:lang w:eastAsia="ko-KR"/>
              </w:rPr>
            </w:pPr>
            <w:r w:rsidRPr="00885F53">
              <w:rPr>
                <w:lang w:eastAsia="ko-KR"/>
              </w:rPr>
              <w:t>T</w:t>
            </w:r>
            <w:r w:rsidRPr="00885F53">
              <w:rPr>
                <w:vertAlign w:val="subscript"/>
                <w:lang w:eastAsia="ko-KR"/>
              </w:rPr>
              <w:t>identify_inter_NR</w:t>
            </w:r>
            <w:r>
              <w:rPr>
                <w:vertAlign w:val="subscript"/>
                <w:lang w:eastAsia="ko-KR"/>
              </w:rPr>
              <w:t>_CCA</w:t>
            </w:r>
            <w:r w:rsidRPr="00885F53">
              <w:rPr>
                <w:vertAlign w:val="subscript"/>
                <w:lang w:eastAsia="ko-KR"/>
              </w:rPr>
              <w:t xml:space="preserve">, i </w:t>
            </w:r>
            <w:r w:rsidRPr="00885F53">
              <w:rPr>
                <w:lang w:eastAsia="ko-KR"/>
              </w:rPr>
              <w:t>[ms]</w:t>
            </w:r>
          </w:p>
        </w:tc>
      </w:tr>
      <w:tr w:rsidR="00132B62" w:rsidRPr="00885F53" w14:paraId="00DA9954" w14:textId="77777777" w:rsidTr="006F1378">
        <w:trPr>
          <w:trHeight w:val="187"/>
          <w:jc w:val="center"/>
        </w:trPr>
        <w:tc>
          <w:tcPr>
            <w:tcW w:w="1696" w:type="dxa"/>
            <w:tcBorders>
              <w:top w:val="nil"/>
            </w:tcBorders>
            <w:shd w:val="clear" w:color="auto" w:fill="auto"/>
          </w:tcPr>
          <w:p w14:paraId="276187D9" w14:textId="77777777" w:rsidR="00132B62" w:rsidRPr="00885F53" w:rsidRDefault="00132B62" w:rsidP="006F1378">
            <w:pPr>
              <w:pStyle w:val="TAH"/>
              <w:rPr>
                <w:lang w:eastAsia="ko-KR"/>
              </w:rPr>
            </w:pPr>
          </w:p>
        </w:tc>
        <w:tc>
          <w:tcPr>
            <w:tcW w:w="1701" w:type="dxa"/>
            <w:tcBorders>
              <w:top w:val="nil"/>
            </w:tcBorders>
            <w:shd w:val="clear" w:color="auto" w:fill="auto"/>
          </w:tcPr>
          <w:p w14:paraId="63A568B2" w14:textId="77777777" w:rsidR="00132B62" w:rsidRPr="00885F53" w:rsidRDefault="00132B62" w:rsidP="006F1378">
            <w:pPr>
              <w:pStyle w:val="TAH"/>
              <w:rPr>
                <w:lang w:eastAsia="ko-KR"/>
              </w:rPr>
            </w:pPr>
            <w:r w:rsidRPr="00885F53">
              <w:rPr>
                <w:lang w:eastAsia="ko-KR"/>
              </w:rPr>
              <w:t>(FR) of target NR cell</w:t>
            </w:r>
          </w:p>
        </w:tc>
        <w:tc>
          <w:tcPr>
            <w:tcW w:w="2984" w:type="dxa"/>
            <w:gridSpan w:val="2"/>
            <w:shd w:val="clear" w:color="auto" w:fill="auto"/>
          </w:tcPr>
          <w:p w14:paraId="5BAE5ED6" w14:textId="77777777" w:rsidR="00132B62" w:rsidRPr="00885F53" w:rsidRDefault="00132B62" w:rsidP="006F1378">
            <w:pPr>
              <w:pStyle w:val="TAH"/>
              <w:rPr>
                <w:lang w:eastAsia="ko-KR"/>
              </w:rPr>
            </w:pPr>
            <w:r w:rsidRPr="00885F53">
              <w:rPr>
                <w:lang w:eastAsia="ko-KR"/>
              </w:rPr>
              <w:t>Known NR cell</w:t>
            </w:r>
          </w:p>
        </w:tc>
        <w:tc>
          <w:tcPr>
            <w:tcW w:w="3262" w:type="dxa"/>
            <w:shd w:val="clear" w:color="auto" w:fill="auto"/>
          </w:tcPr>
          <w:p w14:paraId="4B792057" w14:textId="77777777" w:rsidR="00132B62" w:rsidRPr="00885F53" w:rsidRDefault="00132B62" w:rsidP="006F1378">
            <w:pPr>
              <w:pStyle w:val="TAH"/>
              <w:rPr>
                <w:lang w:eastAsia="ko-KR"/>
              </w:rPr>
            </w:pPr>
            <w:r w:rsidRPr="00885F53">
              <w:rPr>
                <w:lang w:eastAsia="ko-KR"/>
              </w:rPr>
              <w:t>Unknown NR cell</w:t>
            </w:r>
          </w:p>
        </w:tc>
      </w:tr>
      <w:tr w:rsidR="00132B62" w:rsidRPr="004310B9" w14:paraId="6664F77F" w14:textId="77777777" w:rsidTr="006F1378">
        <w:trPr>
          <w:trHeight w:val="187"/>
          <w:jc w:val="center"/>
        </w:trPr>
        <w:tc>
          <w:tcPr>
            <w:tcW w:w="1696" w:type="dxa"/>
          </w:tcPr>
          <w:p w14:paraId="5D38D852" w14:textId="77777777" w:rsidR="00132B62" w:rsidRPr="00885F53" w:rsidRDefault="00132B62" w:rsidP="006F1378">
            <w:pPr>
              <w:pStyle w:val="TAC"/>
              <w:rPr>
                <w:lang w:eastAsia="zh-CN"/>
              </w:rPr>
            </w:pPr>
            <w:r w:rsidRPr="00885F53">
              <w:rPr>
                <w:rFonts w:cs="Arial" w:hint="eastAsia"/>
                <w:lang w:eastAsia="ko-KR"/>
              </w:rPr>
              <w:t>≥</w:t>
            </w:r>
            <w:r w:rsidRPr="00885F53">
              <w:rPr>
                <w:rFonts w:cs="Arial"/>
                <w:lang w:eastAsia="ko-KR"/>
              </w:rPr>
              <w:t xml:space="preserve"> </w:t>
            </w:r>
            <w:r w:rsidRPr="00885F53">
              <w:rPr>
                <w:lang w:eastAsia="ko-KR"/>
              </w:rPr>
              <w:t>-8</w:t>
            </w:r>
          </w:p>
        </w:tc>
        <w:tc>
          <w:tcPr>
            <w:tcW w:w="1701" w:type="dxa"/>
            <w:shd w:val="clear" w:color="auto" w:fill="auto"/>
          </w:tcPr>
          <w:p w14:paraId="68CFB374" w14:textId="77777777" w:rsidR="00132B62" w:rsidRPr="00885F53" w:rsidRDefault="00132B62" w:rsidP="006F1378">
            <w:pPr>
              <w:pStyle w:val="TAC"/>
              <w:rPr>
                <w:lang w:eastAsia="ko-KR"/>
              </w:rPr>
            </w:pPr>
            <w:r w:rsidRPr="00885F53">
              <w:rPr>
                <w:lang w:eastAsia="ko-KR"/>
              </w:rPr>
              <w:t>FR1</w:t>
            </w:r>
          </w:p>
        </w:tc>
        <w:tc>
          <w:tcPr>
            <w:tcW w:w="2977" w:type="dxa"/>
            <w:shd w:val="clear" w:color="auto" w:fill="auto"/>
          </w:tcPr>
          <w:p w14:paraId="03246381" w14:textId="77777777" w:rsidR="00132B62" w:rsidRPr="008C329D" w:rsidRDefault="00132B62" w:rsidP="006F1378">
            <w:pPr>
              <w:pStyle w:val="TAC"/>
              <w:rPr>
                <w:lang w:val="sv-SE"/>
              </w:rPr>
            </w:pPr>
            <w:r w:rsidRPr="008C329D">
              <w:rPr>
                <w:lang w:val="sv-SE"/>
              </w:rPr>
              <w:t xml:space="preserve">MAX (200 ms, </w:t>
            </w:r>
            <w:r w:rsidRPr="009C5249">
              <w:rPr>
                <w:lang w:val="sv-SE"/>
              </w:rPr>
              <w:t>([6]+K</w:t>
            </w:r>
            <w:r w:rsidRPr="009C5249">
              <w:rPr>
                <w:vertAlign w:val="subscript"/>
                <w:lang w:val="sv-SE"/>
              </w:rPr>
              <w:t>2,i</w:t>
            </w:r>
            <w:r w:rsidRPr="009C5249">
              <w:rPr>
                <w:lang w:val="sv-SE"/>
              </w:rPr>
              <w:t>)</w:t>
            </w:r>
            <w:r w:rsidRPr="008C329D">
              <w:rPr>
                <w:lang w:val="sv-SE"/>
              </w:rPr>
              <w:t xml:space="preserve"> x T</w:t>
            </w:r>
            <w:r w:rsidRPr="008C329D">
              <w:rPr>
                <w:vertAlign w:val="subscript"/>
                <w:lang w:val="sv-SE"/>
              </w:rPr>
              <w:t>SMTC, i</w:t>
            </w:r>
            <w:r w:rsidRPr="008C329D">
              <w:rPr>
                <w:lang w:val="sv-SE"/>
              </w:rPr>
              <w:t>)</w:t>
            </w:r>
          </w:p>
        </w:tc>
        <w:tc>
          <w:tcPr>
            <w:tcW w:w="3269" w:type="dxa"/>
            <w:gridSpan w:val="2"/>
            <w:shd w:val="clear" w:color="auto" w:fill="auto"/>
          </w:tcPr>
          <w:p w14:paraId="2609F0BB" w14:textId="77777777" w:rsidR="00132B62" w:rsidRPr="008C329D" w:rsidRDefault="00132B62" w:rsidP="006F1378">
            <w:pPr>
              <w:pStyle w:val="TAC"/>
              <w:rPr>
                <w:lang w:val="sv-SE"/>
              </w:rPr>
            </w:pPr>
            <w:r w:rsidRPr="008C329D">
              <w:rPr>
                <w:lang w:val="sv-SE"/>
              </w:rPr>
              <w:t xml:space="preserve">MAX (800 ms, </w:t>
            </w:r>
            <w:r w:rsidRPr="009C5249">
              <w:rPr>
                <w:lang w:val="sv-SE"/>
              </w:rPr>
              <w:t>([</w:t>
            </w:r>
            <w:r>
              <w:rPr>
                <w:lang w:val="sv-SE"/>
              </w:rPr>
              <w:t>13</w:t>
            </w:r>
            <w:r w:rsidRPr="009C5249">
              <w:rPr>
                <w:lang w:val="sv-SE"/>
              </w:rPr>
              <w:t>]+K</w:t>
            </w:r>
            <w:r w:rsidRPr="009C5249">
              <w:rPr>
                <w:vertAlign w:val="subscript"/>
                <w:lang w:val="sv-SE"/>
              </w:rPr>
              <w:t>2,i</w:t>
            </w:r>
            <w:r w:rsidRPr="009C5249">
              <w:rPr>
                <w:lang w:val="sv-SE"/>
              </w:rPr>
              <w:t>)</w:t>
            </w:r>
            <w:r w:rsidRPr="008C329D">
              <w:rPr>
                <w:lang w:val="sv-SE"/>
              </w:rPr>
              <w:t xml:space="preserve"> x T</w:t>
            </w:r>
            <w:r w:rsidRPr="008C329D">
              <w:rPr>
                <w:vertAlign w:val="subscript"/>
                <w:lang w:val="sv-SE"/>
              </w:rPr>
              <w:t>SMTC, i</w:t>
            </w:r>
            <w:r w:rsidRPr="008C329D">
              <w:rPr>
                <w:lang w:val="sv-SE"/>
              </w:rPr>
              <w:t>)</w:t>
            </w:r>
          </w:p>
        </w:tc>
      </w:tr>
      <w:tr w:rsidR="00132B62" w:rsidRPr="00885F53" w14:paraId="308D6FC7" w14:textId="77777777" w:rsidTr="006F1378">
        <w:trPr>
          <w:trHeight w:val="187"/>
          <w:jc w:val="center"/>
        </w:trPr>
        <w:tc>
          <w:tcPr>
            <w:tcW w:w="1696" w:type="dxa"/>
          </w:tcPr>
          <w:p w14:paraId="4A77B181" w14:textId="77777777" w:rsidR="00132B62" w:rsidRPr="00885F53" w:rsidRDefault="00132B62" w:rsidP="006F1378">
            <w:pPr>
              <w:pStyle w:val="TAC"/>
              <w:rPr>
                <w:lang w:eastAsia="zh-CN"/>
              </w:rPr>
            </w:pPr>
            <w:r w:rsidRPr="00885F53">
              <w:rPr>
                <w:lang w:eastAsia="ko-KR"/>
              </w:rPr>
              <w:t>&lt; -8</w:t>
            </w:r>
          </w:p>
        </w:tc>
        <w:tc>
          <w:tcPr>
            <w:tcW w:w="1701" w:type="dxa"/>
            <w:shd w:val="clear" w:color="auto" w:fill="auto"/>
          </w:tcPr>
          <w:p w14:paraId="6CE1910E" w14:textId="77777777" w:rsidR="00132B62" w:rsidRPr="00885F53" w:rsidRDefault="00132B62" w:rsidP="006F1378">
            <w:pPr>
              <w:pStyle w:val="TAC"/>
              <w:rPr>
                <w:lang w:eastAsia="ko-KR"/>
              </w:rPr>
            </w:pPr>
            <w:r w:rsidRPr="00885F53">
              <w:rPr>
                <w:lang w:eastAsia="ko-KR"/>
              </w:rPr>
              <w:t>FR1</w:t>
            </w:r>
          </w:p>
        </w:tc>
        <w:tc>
          <w:tcPr>
            <w:tcW w:w="2977" w:type="dxa"/>
            <w:shd w:val="clear" w:color="auto" w:fill="auto"/>
          </w:tcPr>
          <w:p w14:paraId="2486B535" w14:textId="77777777" w:rsidR="00132B62" w:rsidRPr="00885F53" w:rsidRDefault="00132B62" w:rsidP="006F1378">
            <w:pPr>
              <w:pStyle w:val="TAC"/>
              <w:rPr>
                <w:lang w:eastAsia="zh-CN"/>
              </w:rPr>
            </w:pPr>
            <w:r w:rsidRPr="00885F53">
              <w:rPr>
                <w:lang w:eastAsia="zh-CN"/>
              </w:rPr>
              <w:t>N/A</w:t>
            </w:r>
          </w:p>
        </w:tc>
        <w:tc>
          <w:tcPr>
            <w:tcW w:w="3269" w:type="dxa"/>
            <w:gridSpan w:val="2"/>
            <w:shd w:val="clear" w:color="auto" w:fill="auto"/>
          </w:tcPr>
          <w:p w14:paraId="5EE2741D" w14:textId="77777777" w:rsidR="00132B62" w:rsidRPr="00885F53" w:rsidRDefault="00132B62" w:rsidP="006F1378">
            <w:pPr>
              <w:pStyle w:val="TAC"/>
              <w:rPr>
                <w:lang w:eastAsia="ko-KR"/>
              </w:rPr>
            </w:pPr>
            <w:r w:rsidRPr="009C5D77">
              <w:t>(800+</w:t>
            </w:r>
            <w:r>
              <w:t>20</w:t>
            </w:r>
            <w:r w:rsidRPr="009C5D77">
              <w:t xml:space="preserve"> </w:t>
            </w:r>
            <w:r>
              <w:t>x</w:t>
            </w:r>
            <w:r w:rsidRPr="009C5D77">
              <w:t xml:space="preserve"> </w:t>
            </w:r>
            <w:r w:rsidRPr="009C5D77">
              <w:rPr>
                <w:lang w:val="sv-SE"/>
              </w:rPr>
              <w:t>K</w:t>
            </w:r>
            <w:r w:rsidRPr="009C5D77">
              <w:rPr>
                <w:vertAlign w:val="subscript"/>
                <w:lang w:val="sv-SE"/>
              </w:rPr>
              <w:t>2,i</w:t>
            </w:r>
            <w:r w:rsidRPr="009C5D77">
              <w:rPr>
                <w:lang w:val="sv-SE"/>
              </w:rPr>
              <w:t>)</w:t>
            </w:r>
            <w:r w:rsidRPr="009C5D77">
              <w:t xml:space="preserve"> </w:t>
            </w:r>
            <w:r w:rsidRPr="009C5D77">
              <w:rPr>
                <w:vertAlign w:val="superscript"/>
              </w:rPr>
              <w:t>Note1</w:t>
            </w:r>
          </w:p>
        </w:tc>
      </w:tr>
      <w:tr w:rsidR="00132B62" w:rsidRPr="00885F53" w14:paraId="43992037" w14:textId="77777777" w:rsidTr="006F1378">
        <w:trPr>
          <w:trHeight w:val="187"/>
          <w:jc w:val="center"/>
        </w:trPr>
        <w:tc>
          <w:tcPr>
            <w:tcW w:w="9643" w:type="dxa"/>
            <w:gridSpan w:val="5"/>
          </w:tcPr>
          <w:p w14:paraId="3D05E6B5" w14:textId="77777777" w:rsidR="00132B62" w:rsidRDefault="00132B62" w:rsidP="006F1378">
            <w:pPr>
              <w:pStyle w:val="TAN"/>
              <w:rPr>
                <w:lang w:eastAsia="ko-KR"/>
              </w:rPr>
            </w:pPr>
            <w:r w:rsidRPr="00885F53">
              <w:rPr>
                <w:lang w:eastAsia="ko-KR"/>
              </w:rPr>
              <w:t>Note 1:</w:t>
            </w:r>
            <w:r w:rsidRPr="00885F53">
              <w:tab/>
            </w:r>
            <w:r w:rsidRPr="00885F53">
              <w:rPr>
                <w:lang w:eastAsia="ko-KR"/>
              </w:rPr>
              <w:t>The UE is not required to successfully identify a cell</w:t>
            </w:r>
            <w:r>
              <w:rPr>
                <w:lang w:eastAsia="ko-KR"/>
              </w:rPr>
              <w:t xml:space="preserve"> </w:t>
            </w:r>
            <w:r w:rsidRPr="00885F53">
              <w:rPr>
                <w:lang w:eastAsia="ko-KR"/>
              </w:rPr>
              <w:t xml:space="preserve">on any NR frequency layer </w:t>
            </w:r>
            <w:r>
              <w:rPr>
                <w:lang w:eastAsia="ko-KR"/>
              </w:rPr>
              <w:t xml:space="preserve">with CCA </w:t>
            </w:r>
            <w:r w:rsidRPr="00885F53">
              <w:rPr>
                <w:lang w:eastAsia="ko-KR"/>
              </w:rPr>
              <w:t>when T</w:t>
            </w:r>
            <w:r w:rsidRPr="00885F53">
              <w:rPr>
                <w:vertAlign w:val="subscript"/>
                <w:lang w:eastAsia="ko-KR"/>
              </w:rPr>
              <w:t>SMTC,i</w:t>
            </w:r>
            <w:r w:rsidRPr="00885F53">
              <w:rPr>
                <w:lang w:eastAsia="ko-KR"/>
              </w:rPr>
              <w:t xml:space="preserve"> &gt; 20 ms and serving cell SSB Ês/Iot &lt; -8 dB.</w:t>
            </w:r>
          </w:p>
          <w:p w14:paraId="2670772F" w14:textId="77777777" w:rsidR="00132B62" w:rsidRPr="00885F53" w:rsidRDefault="00132B62" w:rsidP="006F1378">
            <w:pPr>
              <w:pStyle w:val="TAN"/>
              <w:rPr>
                <w:lang w:eastAsia="ko-KR"/>
              </w:rPr>
            </w:pPr>
            <w:r>
              <w:rPr>
                <w:lang w:eastAsia="ko-KR"/>
              </w:rPr>
              <w:t>Note 2:</w:t>
            </w:r>
            <w:r>
              <w:tab/>
            </w:r>
            <w:r>
              <w:rPr>
                <w:rFonts w:cs="v4.2.0"/>
              </w:rPr>
              <w:t>K</w:t>
            </w:r>
            <w:r>
              <w:rPr>
                <w:rFonts w:cs="v4.2.0"/>
                <w:vertAlign w:val="subscript"/>
              </w:rPr>
              <w:t xml:space="preserve">2,i </w:t>
            </w:r>
            <w:r>
              <w:rPr>
                <w:rFonts w:cs="v4.2.0"/>
              </w:rPr>
              <w:t>is the number of SMTC occasions not available at the UE</w:t>
            </w:r>
            <w:r w:rsidRPr="00A31815">
              <w:rPr>
                <w:rFonts w:cs="v4.2.0"/>
              </w:rPr>
              <w:t xml:space="preserve"> </w:t>
            </w:r>
            <w:r>
              <w:rPr>
                <w:rFonts w:cs="v4.2.0"/>
              </w:rPr>
              <w:t>during RRC re-establishment period on the “i” th carrier with CCA,</w:t>
            </w:r>
          </w:p>
        </w:tc>
      </w:tr>
    </w:tbl>
    <w:p w14:paraId="6475A529" w14:textId="77777777" w:rsidR="00132B62" w:rsidRPr="009C5807" w:rsidRDefault="00132B62" w:rsidP="00132B62"/>
    <w:p w14:paraId="00563FC7" w14:textId="77777777" w:rsidR="00A225D1" w:rsidRPr="009C5807" w:rsidRDefault="00A225D1" w:rsidP="00A225D1">
      <w:pPr>
        <w:pStyle w:val="Heading3"/>
        <w:rPr>
          <w:lang w:val="en-US" w:eastAsia="ko-KR"/>
        </w:rPr>
      </w:pPr>
      <w:r w:rsidRPr="009C5807">
        <w:rPr>
          <w:lang w:val="en-US" w:eastAsia="ko-KR"/>
        </w:rPr>
        <w:t>6.2.1</w:t>
      </w:r>
      <w:r>
        <w:rPr>
          <w:lang w:val="en-US" w:eastAsia="ko-KR"/>
        </w:rPr>
        <w:t>B</w:t>
      </w:r>
      <w:r w:rsidRPr="009C5807">
        <w:rPr>
          <w:lang w:val="en-US" w:eastAsia="ko-KR"/>
        </w:rPr>
        <w:tab/>
        <w:t>SA: RRC Re-establishment</w:t>
      </w:r>
      <w:r w:rsidRPr="00986AF0">
        <w:rPr>
          <w:lang w:eastAsia="ko-KR"/>
        </w:rPr>
        <w:t xml:space="preserve"> </w:t>
      </w:r>
      <w:r>
        <w:rPr>
          <w:lang w:eastAsia="ko-KR"/>
        </w:rPr>
        <w:t xml:space="preserve">for </w:t>
      </w:r>
      <w:r>
        <w:rPr>
          <w:rFonts w:eastAsia="Malgun Gothic"/>
        </w:rPr>
        <w:t>RedCap</w:t>
      </w:r>
    </w:p>
    <w:p w14:paraId="07D9712A" w14:textId="77777777" w:rsidR="00A225D1" w:rsidRPr="009C5807" w:rsidRDefault="00A225D1" w:rsidP="00A225D1">
      <w:pPr>
        <w:pStyle w:val="Heading4"/>
        <w:rPr>
          <w:lang w:eastAsia="ko-KR"/>
        </w:rPr>
      </w:pPr>
      <w:r w:rsidRPr="009C5807">
        <w:rPr>
          <w:lang w:eastAsia="ko-KR"/>
        </w:rPr>
        <w:t>6.2.1</w:t>
      </w:r>
      <w:r>
        <w:rPr>
          <w:lang w:eastAsia="ko-KR"/>
        </w:rPr>
        <w:t>B</w:t>
      </w:r>
      <w:r w:rsidRPr="009C5807">
        <w:rPr>
          <w:lang w:eastAsia="ko-KR"/>
        </w:rPr>
        <w:t>.1</w:t>
      </w:r>
      <w:r w:rsidRPr="009C5807">
        <w:rPr>
          <w:lang w:eastAsia="ko-KR"/>
        </w:rPr>
        <w:tab/>
        <w:t>Introduction</w:t>
      </w:r>
    </w:p>
    <w:p w14:paraId="3BD710C1" w14:textId="77777777" w:rsidR="00A225D1" w:rsidRDefault="00A225D1" w:rsidP="00A225D1">
      <w:pPr>
        <w:rPr>
          <w:lang w:val="en-US" w:eastAsia="zh-CN"/>
        </w:rPr>
      </w:pPr>
      <w:r w:rsidRPr="009C5807">
        <w:rPr>
          <w:lang w:val="en-US" w:eastAsia="zh-CN"/>
        </w:rPr>
        <w:t xml:space="preserve">This clause contains requirements on the </w:t>
      </w:r>
      <w:r>
        <w:rPr>
          <w:lang w:val="en-US" w:eastAsia="zh-CN"/>
        </w:rPr>
        <w:t xml:space="preserve">RedCap </w:t>
      </w:r>
      <w:r w:rsidRPr="009C5807">
        <w:rPr>
          <w:lang w:val="en-US" w:eastAsia="zh-CN"/>
        </w:rPr>
        <w:t xml:space="preserve">UE regarding RRC connection re-establishment procedure. </w:t>
      </w:r>
    </w:p>
    <w:p w14:paraId="44AAA2AE" w14:textId="77777777" w:rsidR="00A225D1" w:rsidRPr="009C5807" w:rsidRDefault="00A225D1" w:rsidP="00A225D1">
      <w:pPr>
        <w:pStyle w:val="Heading4"/>
        <w:rPr>
          <w:lang w:eastAsia="ko-KR"/>
        </w:rPr>
      </w:pPr>
      <w:r w:rsidRPr="009C5807">
        <w:rPr>
          <w:lang w:eastAsia="ko-KR"/>
        </w:rPr>
        <w:t>6.2.1</w:t>
      </w:r>
      <w:r>
        <w:rPr>
          <w:lang w:eastAsia="ko-KR"/>
        </w:rPr>
        <w:t>B</w:t>
      </w:r>
      <w:r w:rsidRPr="009C5807">
        <w:rPr>
          <w:lang w:eastAsia="ko-KR"/>
        </w:rPr>
        <w:t>.2</w:t>
      </w:r>
      <w:r w:rsidRPr="009C5807">
        <w:rPr>
          <w:lang w:eastAsia="ko-KR"/>
        </w:rPr>
        <w:tab/>
        <w:t>Requirements</w:t>
      </w:r>
    </w:p>
    <w:p w14:paraId="612FD150" w14:textId="77777777" w:rsidR="00A225D1" w:rsidRPr="00A807A8" w:rsidRDefault="00A225D1" w:rsidP="00A225D1">
      <w:pPr>
        <w:rPr>
          <w:rFonts w:cs="v4.2.0"/>
        </w:rPr>
      </w:pPr>
      <w:r w:rsidRPr="009C5807">
        <w:t xml:space="preserve">The requirements in clause </w:t>
      </w:r>
      <w:r>
        <w:rPr>
          <w:lang w:val="en-US" w:eastAsia="zh-CN"/>
        </w:rPr>
        <w:t>6.2.1</w:t>
      </w:r>
      <w:r w:rsidRPr="00D42959">
        <w:t xml:space="preserve"> </w:t>
      </w:r>
      <w:r w:rsidRPr="009C5807">
        <w:t>shall apply</w:t>
      </w:r>
      <w:r w:rsidRPr="000D39D7">
        <w:rPr>
          <w:rFonts w:cs="v4.2.0"/>
        </w:rPr>
        <w:t xml:space="preserve"> </w:t>
      </w:r>
      <w:r>
        <w:rPr>
          <w:rFonts w:cs="v4.2.0"/>
        </w:rPr>
        <w:t>when RedCap UE is capable of 2 Rx. When UE is</w:t>
      </w:r>
      <w:r w:rsidRPr="00986AF0">
        <w:rPr>
          <w:lang w:eastAsia="zh-CN"/>
        </w:rPr>
        <w:t xml:space="preserve"> </w:t>
      </w:r>
      <w:r>
        <w:rPr>
          <w:lang w:eastAsia="zh-CN"/>
        </w:rPr>
        <w:t>only required to support 1 Rx antenna</w:t>
      </w:r>
      <w:r>
        <w:rPr>
          <w:rFonts w:cs="v4.2.0"/>
        </w:rPr>
        <w:t xml:space="preserve">, the requirements </w:t>
      </w:r>
      <w:r w:rsidRPr="00691C10">
        <w:rPr>
          <w:rFonts w:cs="v4.2.0"/>
        </w:rPr>
        <w:t xml:space="preserve">defined in </w:t>
      </w:r>
      <w:r w:rsidRPr="009C5807">
        <w:t xml:space="preserve">clause </w:t>
      </w:r>
      <w:r>
        <w:t>6.2.1</w:t>
      </w:r>
      <w:r w:rsidRPr="00D42959">
        <w:t xml:space="preserve"> </w:t>
      </w:r>
      <w:r>
        <w:rPr>
          <w:rFonts w:cs="v4.2.0"/>
        </w:rPr>
        <w:t>shall apply except that:</w:t>
      </w:r>
    </w:p>
    <w:p w14:paraId="027DDDAE" w14:textId="77777777" w:rsidR="00A225D1" w:rsidRDefault="00A225D1" w:rsidP="00A225D1">
      <w:pPr>
        <w:pStyle w:val="B10"/>
      </w:pPr>
      <w:r w:rsidRPr="0089796C">
        <w:t>-</w:t>
      </w:r>
      <w:r w:rsidRPr="0089796C">
        <w:tab/>
      </w:r>
      <w:r w:rsidRPr="009C5807">
        <w:rPr>
          <w:lang w:eastAsia="ko-KR"/>
        </w:rPr>
        <w:t>T</w:t>
      </w:r>
      <w:r w:rsidRPr="009C5807">
        <w:rPr>
          <w:vertAlign w:val="subscript"/>
          <w:lang w:eastAsia="ko-KR"/>
        </w:rPr>
        <w:t>identify_intra_NR</w:t>
      </w:r>
      <w:r w:rsidRPr="00885F53">
        <w:rPr>
          <w:i/>
          <w:vertAlign w:val="subscript"/>
        </w:rPr>
        <w:t xml:space="preserve"> </w:t>
      </w:r>
      <w:r>
        <w:t xml:space="preserve">as specified in </w:t>
      </w:r>
      <w:r w:rsidRPr="009C5807">
        <w:t xml:space="preserve">Table </w:t>
      </w:r>
      <w:r w:rsidRPr="009C5807">
        <w:rPr>
          <w:lang w:eastAsia="ko-KR"/>
        </w:rPr>
        <w:t>6.2.1</w:t>
      </w:r>
      <w:r>
        <w:rPr>
          <w:lang w:eastAsia="ko-KR"/>
        </w:rPr>
        <w:t>B</w:t>
      </w:r>
      <w:r w:rsidRPr="009C5807">
        <w:rPr>
          <w:lang w:eastAsia="ko-KR"/>
        </w:rPr>
        <w:t>.</w:t>
      </w:r>
      <w:r>
        <w:rPr>
          <w:lang w:eastAsia="ko-KR"/>
        </w:rPr>
        <w:t>2</w:t>
      </w:r>
      <w:r w:rsidRPr="009C5807">
        <w:t>-1</w:t>
      </w:r>
      <w:r w:rsidRPr="00AD77EE">
        <w:t>.</w:t>
      </w:r>
    </w:p>
    <w:p w14:paraId="6A33595C" w14:textId="77777777" w:rsidR="00C83058" w:rsidRDefault="00C83058" w:rsidP="00C83058">
      <w:pPr>
        <w:pStyle w:val="B10"/>
      </w:pPr>
      <w:r w:rsidRPr="0089796C">
        <w:t>-</w:t>
      </w:r>
      <w:r w:rsidRPr="0089796C">
        <w:tab/>
      </w:r>
      <w:r w:rsidRPr="009C5807">
        <w:rPr>
          <w:lang w:eastAsia="ko-KR"/>
        </w:rPr>
        <w:t>T</w:t>
      </w:r>
      <w:r w:rsidRPr="009C5807">
        <w:rPr>
          <w:vertAlign w:val="subscript"/>
          <w:lang w:eastAsia="ko-KR"/>
        </w:rPr>
        <w:t>identify_inter_NR, i</w:t>
      </w:r>
      <w:r>
        <w:t xml:space="preserve"> as specified in </w:t>
      </w:r>
      <w:r w:rsidRPr="009C5807">
        <w:t xml:space="preserve">Table </w:t>
      </w:r>
      <w:r w:rsidRPr="009C5807">
        <w:rPr>
          <w:lang w:eastAsia="ko-KR"/>
        </w:rPr>
        <w:t>6.2.1</w:t>
      </w:r>
      <w:r>
        <w:rPr>
          <w:lang w:eastAsia="ko-KR"/>
        </w:rPr>
        <w:t>B</w:t>
      </w:r>
      <w:r w:rsidRPr="009C5807">
        <w:rPr>
          <w:lang w:eastAsia="ko-KR"/>
        </w:rPr>
        <w:t>.</w:t>
      </w:r>
      <w:r>
        <w:rPr>
          <w:lang w:eastAsia="ko-KR"/>
        </w:rPr>
        <w:t>2</w:t>
      </w:r>
      <w:r w:rsidRPr="009C5807">
        <w:t>-2</w:t>
      </w:r>
      <w:r w:rsidRPr="00AD77EE">
        <w:t>.</w:t>
      </w:r>
    </w:p>
    <w:p w14:paraId="7F2C32A2" w14:textId="77777777" w:rsidR="00A225D1" w:rsidRPr="009C5807" w:rsidRDefault="00A225D1" w:rsidP="00A225D1">
      <w:pPr>
        <w:pStyle w:val="TH"/>
      </w:pPr>
      <w:r w:rsidRPr="009C5807">
        <w:t xml:space="preserve">Table </w:t>
      </w:r>
      <w:r w:rsidRPr="009C5807">
        <w:rPr>
          <w:lang w:eastAsia="ko-KR"/>
        </w:rPr>
        <w:t>6.2.1</w:t>
      </w:r>
      <w:r>
        <w:rPr>
          <w:lang w:eastAsia="ko-KR"/>
        </w:rPr>
        <w:t>B</w:t>
      </w:r>
      <w:r w:rsidRPr="009C5807">
        <w:rPr>
          <w:lang w:eastAsia="ko-KR"/>
        </w:rPr>
        <w:t>.</w:t>
      </w:r>
      <w:r>
        <w:rPr>
          <w:lang w:eastAsia="ko-KR"/>
        </w:rPr>
        <w:t>2</w:t>
      </w:r>
      <w:r w:rsidRPr="009C5807">
        <w:t>-1: Time to identify target NR cell for RRC connection re-establishment to NR intra-frequency cell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837"/>
        <w:gridCol w:w="2801"/>
        <w:gridCol w:w="3375"/>
      </w:tblGrid>
      <w:tr w:rsidR="00A225D1" w:rsidRPr="009C5807" w14:paraId="3AF6A714" w14:textId="77777777" w:rsidTr="00162D0B">
        <w:trPr>
          <w:jc w:val="center"/>
        </w:trPr>
        <w:tc>
          <w:tcPr>
            <w:tcW w:w="1616" w:type="dxa"/>
            <w:tcBorders>
              <w:bottom w:val="nil"/>
            </w:tcBorders>
            <w:shd w:val="clear" w:color="auto" w:fill="auto"/>
          </w:tcPr>
          <w:p w14:paraId="5D9F63DD" w14:textId="77777777" w:rsidR="00A225D1" w:rsidRPr="009C5807" w:rsidRDefault="00A225D1" w:rsidP="00162D0B">
            <w:pPr>
              <w:pStyle w:val="TAH"/>
              <w:rPr>
                <w:lang w:eastAsia="ko-KR"/>
              </w:rPr>
            </w:pPr>
            <w:r w:rsidRPr="009C5807">
              <w:rPr>
                <w:rFonts w:cs="v4.2.0"/>
                <w:lang w:eastAsia="ko-KR"/>
              </w:rPr>
              <w:t xml:space="preserve">Serving cell </w:t>
            </w:r>
          </w:p>
        </w:tc>
        <w:tc>
          <w:tcPr>
            <w:tcW w:w="1837" w:type="dxa"/>
            <w:tcBorders>
              <w:bottom w:val="nil"/>
            </w:tcBorders>
            <w:shd w:val="clear" w:color="auto" w:fill="auto"/>
          </w:tcPr>
          <w:p w14:paraId="46C70E98" w14:textId="77777777" w:rsidR="00A225D1" w:rsidRPr="009C5807" w:rsidRDefault="00A225D1" w:rsidP="00162D0B">
            <w:pPr>
              <w:pStyle w:val="TAH"/>
              <w:rPr>
                <w:lang w:eastAsia="ko-KR"/>
              </w:rPr>
            </w:pPr>
            <w:r w:rsidRPr="009C5807">
              <w:rPr>
                <w:lang w:eastAsia="ko-KR"/>
              </w:rPr>
              <w:t xml:space="preserve">FR of target NR </w:t>
            </w:r>
          </w:p>
        </w:tc>
        <w:tc>
          <w:tcPr>
            <w:tcW w:w="6176" w:type="dxa"/>
            <w:gridSpan w:val="2"/>
            <w:shd w:val="clear" w:color="auto" w:fill="auto"/>
          </w:tcPr>
          <w:p w14:paraId="5D87B9FA" w14:textId="77777777" w:rsidR="00A225D1" w:rsidRPr="009C5807" w:rsidRDefault="00A225D1" w:rsidP="00162D0B">
            <w:pPr>
              <w:pStyle w:val="TAH"/>
              <w:rPr>
                <w:lang w:eastAsia="ko-KR"/>
              </w:rPr>
            </w:pPr>
            <w:r w:rsidRPr="009C5807">
              <w:rPr>
                <w:lang w:eastAsia="ko-KR"/>
              </w:rPr>
              <w:t>T</w:t>
            </w:r>
            <w:r w:rsidRPr="009C5807">
              <w:rPr>
                <w:vertAlign w:val="subscript"/>
                <w:lang w:eastAsia="ko-KR"/>
              </w:rPr>
              <w:t xml:space="preserve">identify_intra_NR </w:t>
            </w:r>
            <w:r w:rsidRPr="009C5807">
              <w:rPr>
                <w:lang w:eastAsia="ko-KR"/>
              </w:rPr>
              <w:t>[ms]</w:t>
            </w:r>
          </w:p>
        </w:tc>
      </w:tr>
      <w:tr w:rsidR="00A225D1" w:rsidRPr="009C5807" w14:paraId="61C45EBC" w14:textId="77777777" w:rsidTr="00162D0B">
        <w:trPr>
          <w:trHeight w:val="105"/>
          <w:jc w:val="center"/>
        </w:trPr>
        <w:tc>
          <w:tcPr>
            <w:tcW w:w="1616" w:type="dxa"/>
            <w:tcBorders>
              <w:top w:val="nil"/>
              <w:bottom w:val="nil"/>
            </w:tcBorders>
            <w:shd w:val="clear" w:color="auto" w:fill="auto"/>
          </w:tcPr>
          <w:p w14:paraId="23747C64" w14:textId="77777777" w:rsidR="00A225D1" w:rsidRPr="009C5807" w:rsidRDefault="00A225D1" w:rsidP="00162D0B">
            <w:pPr>
              <w:pStyle w:val="TAH"/>
              <w:rPr>
                <w:lang w:eastAsia="ko-KR"/>
              </w:rPr>
            </w:pPr>
            <w:r w:rsidRPr="009C5807">
              <w:rPr>
                <w:rFonts w:cs="v4.2.0"/>
                <w:lang w:eastAsia="ko-KR"/>
              </w:rPr>
              <w:t xml:space="preserve">SSB </w:t>
            </w:r>
            <w:r w:rsidRPr="009C5807">
              <w:rPr>
                <w:lang w:val="en-US"/>
              </w:rPr>
              <w:t>Ês/Iot (dB)</w:t>
            </w:r>
          </w:p>
        </w:tc>
        <w:tc>
          <w:tcPr>
            <w:tcW w:w="1837" w:type="dxa"/>
            <w:tcBorders>
              <w:top w:val="nil"/>
              <w:bottom w:val="nil"/>
            </w:tcBorders>
            <w:shd w:val="clear" w:color="auto" w:fill="auto"/>
          </w:tcPr>
          <w:p w14:paraId="46D4BECD" w14:textId="77777777" w:rsidR="00A225D1" w:rsidRPr="009C5807" w:rsidRDefault="00A225D1" w:rsidP="00162D0B">
            <w:pPr>
              <w:pStyle w:val="TAH"/>
              <w:rPr>
                <w:lang w:eastAsia="ko-KR"/>
              </w:rPr>
            </w:pPr>
            <w:r w:rsidRPr="009C5807">
              <w:rPr>
                <w:lang w:eastAsia="ko-KR"/>
              </w:rPr>
              <w:t>cell</w:t>
            </w:r>
          </w:p>
        </w:tc>
        <w:tc>
          <w:tcPr>
            <w:tcW w:w="2801" w:type="dxa"/>
            <w:tcBorders>
              <w:bottom w:val="nil"/>
            </w:tcBorders>
            <w:shd w:val="clear" w:color="auto" w:fill="auto"/>
          </w:tcPr>
          <w:p w14:paraId="6AA89A55" w14:textId="77777777" w:rsidR="00A225D1" w:rsidRPr="009C5807" w:rsidRDefault="00A225D1" w:rsidP="00162D0B">
            <w:pPr>
              <w:pStyle w:val="TAH"/>
              <w:rPr>
                <w:lang w:eastAsia="ko-KR"/>
              </w:rPr>
            </w:pPr>
            <w:r w:rsidRPr="009C5807">
              <w:rPr>
                <w:lang w:eastAsia="ko-KR"/>
              </w:rPr>
              <w:t>Known NR cell</w:t>
            </w:r>
          </w:p>
        </w:tc>
        <w:tc>
          <w:tcPr>
            <w:tcW w:w="3375" w:type="dxa"/>
            <w:tcBorders>
              <w:bottom w:val="nil"/>
            </w:tcBorders>
            <w:shd w:val="clear" w:color="auto" w:fill="auto"/>
          </w:tcPr>
          <w:p w14:paraId="6135A33E" w14:textId="77777777" w:rsidR="00A225D1" w:rsidRPr="009C5807" w:rsidRDefault="00A225D1" w:rsidP="00162D0B">
            <w:pPr>
              <w:pStyle w:val="TAH"/>
              <w:rPr>
                <w:lang w:eastAsia="ko-KR"/>
              </w:rPr>
            </w:pPr>
            <w:r w:rsidRPr="009C5807">
              <w:rPr>
                <w:lang w:eastAsia="ko-KR"/>
              </w:rPr>
              <w:t>Unknown NR cell</w:t>
            </w:r>
          </w:p>
        </w:tc>
      </w:tr>
      <w:tr w:rsidR="00A225D1" w:rsidRPr="009C5807" w14:paraId="036F78C4" w14:textId="77777777" w:rsidTr="00162D0B">
        <w:trPr>
          <w:jc w:val="center"/>
        </w:trPr>
        <w:tc>
          <w:tcPr>
            <w:tcW w:w="1616" w:type="dxa"/>
            <w:shd w:val="clear" w:color="auto" w:fill="auto"/>
          </w:tcPr>
          <w:p w14:paraId="45732AA3" w14:textId="77777777" w:rsidR="00A225D1" w:rsidRPr="009C5807" w:rsidRDefault="00A225D1" w:rsidP="00162D0B">
            <w:pPr>
              <w:pStyle w:val="TAC"/>
              <w:rPr>
                <w:lang w:eastAsia="zh-CN"/>
              </w:rPr>
            </w:pPr>
            <w:r w:rsidRPr="009C5807">
              <w:rPr>
                <w:rFonts w:cs="Arial" w:hint="eastAsia"/>
                <w:lang w:eastAsia="ko-KR"/>
              </w:rPr>
              <w:t>≥</w:t>
            </w:r>
            <w:r w:rsidRPr="009C5807">
              <w:rPr>
                <w:lang w:eastAsia="ko-KR"/>
              </w:rPr>
              <w:t xml:space="preserve"> -8</w:t>
            </w:r>
          </w:p>
        </w:tc>
        <w:tc>
          <w:tcPr>
            <w:tcW w:w="1837" w:type="dxa"/>
            <w:shd w:val="clear" w:color="auto" w:fill="auto"/>
          </w:tcPr>
          <w:p w14:paraId="6E378EF9" w14:textId="77777777" w:rsidR="00A225D1" w:rsidRPr="009C5807" w:rsidRDefault="00A225D1" w:rsidP="00162D0B">
            <w:pPr>
              <w:pStyle w:val="TAC"/>
              <w:rPr>
                <w:lang w:eastAsia="ko-KR"/>
              </w:rPr>
            </w:pPr>
            <w:r w:rsidRPr="009C5807">
              <w:rPr>
                <w:lang w:eastAsia="ko-KR"/>
              </w:rPr>
              <w:t>FR1</w:t>
            </w:r>
          </w:p>
        </w:tc>
        <w:tc>
          <w:tcPr>
            <w:tcW w:w="2801" w:type="dxa"/>
            <w:shd w:val="clear" w:color="auto" w:fill="auto"/>
          </w:tcPr>
          <w:p w14:paraId="6474C58A" w14:textId="77777777" w:rsidR="00A225D1" w:rsidRPr="009C5807" w:rsidRDefault="00A225D1" w:rsidP="00162D0B">
            <w:pPr>
              <w:pStyle w:val="TAC"/>
            </w:pPr>
            <w:r w:rsidRPr="009C5807">
              <w:t xml:space="preserve">MAX (200 ms, </w:t>
            </w:r>
            <w:r>
              <w:t>6</w:t>
            </w:r>
            <w:r w:rsidRPr="009C5807">
              <w:t xml:space="preserve"> x T</w:t>
            </w:r>
            <w:r w:rsidRPr="009C5807">
              <w:rPr>
                <w:vertAlign w:val="subscript"/>
              </w:rPr>
              <w:t>SMTC</w:t>
            </w:r>
            <w:r w:rsidRPr="009C5807">
              <w:t>)</w:t>
            </w:r>
          </w:p>
        </w:tc>
        <w:tc>
          <w:tcPr>
            <w:tcW w:w="3375" w:type="dxa"/>
            <w:shd w:val="clear" w:color="auto" w:fill="auto"/>
          </w:tcPr>
          <w:p w14:paraId="6ECB2C4D" w14:textId="77777777" w:rsidR="00A225D1" w:rsidRPr="009C5807" w:rsidRDefault="00A225D1" w:rsidP="00162D0B">
            <w:pPr>
              <w:pStyle w:val="TAC"/>
            </w:pPr>
            <w:r w:rsidRPr="00CB7F87">
              <w:t>MAX (800 ms, [11] x</w:t>
            </w:r>
            <w:r w:rsidRPr="009C5807">
              <w:t xml:space="preserve"> T</w:t>
            </w:r>
            <w:r w:rsidRPr="009C5807">
              <w:rPr>
                <w:vertAlign w:val="subscript"/>
              </w:rPr>
              <w:t>SMTC</w:t>
            </w:r>
            <w:r w:rsidRPr="009C5807">
              <w:t>)</w:t>
            </w:r>
          </w:p>
        </w:tc>
      </w:tr>
      <w:tr w:rsidR="00A225D1" w:rsidRPr="009C5807" w14:paraId="72397069" w14:textId="77777777" w:rsidTr="00162D0B">
        <w:trPr>
          <w:jc w:val="center"/>
        </w:trPr>
        <w:tc>
          <w:tcPr>
            <w:tcW w:w="1616" w:type="dxa"/>
          </w:tcPr>
          <w:p w14:paraId="6678B52B" w14:textId="77777777" w:rsidR="00A225D1" w:rsidRPr="009C5807" w:rsidRDefault="00A225D1" w:rsidP="00162D0B">
            <w:pPr>
              <w:pStyle w:val="TAC"/>
              <w:rPr>
                <w:lang w:eastAsia="zh-CN"/>
              </w:rPr>
            </w:pPr>
            <w:r w:rsidRPr="009C5807">
              <w:rPr>
                <w:lang w:eastAsia="ko-KR"/>
              </w:rPr>
              <w:t>&lt; -8</w:t>
            </w:r>
          </w:p>
        </w:tc>
        <w:tc>
          <w:tcPr>
            <w:tcW w:w="1837" w:type="dxa"/>
            <w:shd w:val="clear" w:color="auto" w:fill="auto"/>
          </w:tcPr>
          <w:p w14:paraId="3FCB14C7" w14:textId="77777777" w:rsidR="00A225D1" w:rsidRPr="009C5807" w:rsidRDefault="00A225D1" w:rsidP="00162D0B">
            <w:pPr>
              <w:pStyle w:val="TAC"/>
              <w:rPr>
                <w:lang w:eastAsia="ko-KR"/>
              </w:rPr>
            </w:pPr>
            <w:r w:rsidRPr="009C5807">
              <w:rPr>
                <w:lang w:eastAsia="ko-KR"/>
              </w:rPr>
              <w:t>FR1</w:t>
            </w:r>
          </w:p>
        </w:tc>
        <w:tc>
          <w:tcPr>
            <w:tcW w:w="2801" w:type="dxa"/>
            <w:shd w:val="clear" w:color="auto" w:fill="auto"/>
          </w:tcPr>
          <w:p w14:paraId="6CE8EE2E" w14:textId="77777777" w:rsidR="00A225D1" w:rsidRPr="009C5807" w:rsidRDefault="00A225D1" w:rsidP="00162D0B">
            <w:pPr>
              <w:pStyle w:val="TAC"/>
              <w:rPr>
                <w:lang w:eastAsia="zh-CN"/>
              </w:rPr>
            </w:pPr>
            <w:r w:rsidRPr="009C5807">
              <w:rPr>
                <w:lang w:eastAsia="zh-CN"/>
              </w:rPr>
              <w:t>N/A</w:t>
            </w:r>
          </w:p>
        </w:tc>
        <w:tc>
          <w:tcPr>
            <w:tcW w:w="3375" w:type="dxa"/>
            <w:shd w:val="clear" w:color="auto" w:fill="auto"/>
          </w:tcPr>
          <w:p w14:paraId="3F065D63" w14:textId="77777777" w:rsidR="00A225D1" w:rsidRPr="009C5807" w:rsidRDefault="00A225D1" w:rsidP="00162D0B">
            <w:pPr>
              <w:pStyle w:val="TAC"/>
              <w:rPr>
                <w:lang w:eastAsia="ko-KR"/>
              </w:rPr>
            </w:pPr>
            <w:r w:rsidRPr="009C5807">
              <w:t>800</w:t>
            </w:r>
            <w:r w:rsidRPr="009C5807">
              <w:rPr>
                <w:vertAlign w:val="superscript"/>
              </w:rPr>
              <w:t>Note1</w:t>
            </w:r>
          </w:p>
        </w:tc>
      </w:tr>
      <w:tr w:rsidR="00A225D1" w:rsidRPr="009C5807" w14:paraId="5C082903" w14:textId="77777777" w:rsidTr="00162D0B">
        <w:trPr>
          <w:jc w:val="center"/>
        </w:trPr>
        <w:tc>
          <w:tcPr>
            <w:tcW w:w="9629" w:type="dxa"/>
            <w:gridSpan w:val="4"/>
          </w:tcPr>
          <w:p w14:paraId="209A56FF" w14:textId="77777777" w:rsidR="00A225D1" w:rsidRPr="009C5807" w:rsidRDefault="00A225D1" w:rsidP="00162D0B">
            <w:pPr>
              <w:pStyle w:val="TAN"/>
              <w:rPr>
                <w:lang w:eastAsia="zh-CN"/>
              </w:rPr>
            </w:pPr>
            <w:r w:rsidRPr="009C5807">
              <w:rPr>
                <w:lang w:eastAsia="ko-KR"/>
              </w:rPr>
              <w:t>Note 1:</w:t>
            </w:r>
            <w:r w:rsidRPr="009C5807">
              <w:tab/>
            </w:r>
            <w:r w:rsidRPr="009C5807">
              <w:rPr>
                <w:lang w:eastAsia="ko-KR"/>
              </w:rPr>
              <w:t>The UE is not required to successfully</w:t>
            </w:r>
            <w:r w:rsidRPr="009C5807">
              <w:rPr>
                <w:b/>
                <w:bCs/>
              </w:rPr>
              <w:t xml:space="preserve"> </w:t>
            </w:r>
            <w:r w:rsidRPr="009C5807">
              <w:rPr>
                <w:lang w:eastAsia="ko-KR"/>
              </w:rPr>
              <w:t>identify a cell on any NR frequency layer when T</w:t>
            </w:r>
            <w:r w:rsidRPr="009C5807">
              <w:rPr>
                <w:vertAlign w:val="subscript"/>
                <w:lang w:eastAsia="ko-KR"/>
              </w:rPr>
              <w:t>SMTC</w:t>
            </w:r>
            <w:r w:rsidRPr="009C5807">
              <w:rPr>
                <w:lang w:eastAsia="ko-KR"/>
              </w:rPr>
              <w:t xml:space="preserve"> &gt; 20 ms and serving cell SSB Ês/Iot &lt; -8 dB.</w:t>
            </w:r>
          </w:p>
        </w:tc>
      </w:tr>
    </w:tbl>
    <w:p w14:paraId="401A30A8" w14:textId="77777777" w:rsidR="00A225D1" w:rsidRPr="009C5807" w:rsidRDefault="00A225D1" w:rsidP="00A225D1"/>
    <w:p w14:paraId="47C96B55" w14:textId="77777777" w:rsidR="00A225D1" w:rsidRPr="009C5807" w:rsidRDefault="00A225D1" w:rsidP="00A225D1">
      <w:pPr>
        <w:pStyle w:val="TH"/>
      </w:pPr>
      <w:r w:rsidRPr="009C5807">
        <w:t xml:space="preserve">Table </w:t>
      </w:r>
      <w:r w:rsidRPr="009C5807">
        <w:rPr>
          <w:lang w:eastAsia="ko-KR"/>
        </w:rPr>
        <w:t>6.2.1</w:t>
      </w:r>
      <w:r>
        <w:rPr>
          <w:lang w:eastAsia="ko-KR"/>
        </w:rPr>
        <w:t>B</w:t>
      </w:r>
      <w:r w:rsidRPr="009C5807">
        <w:rPr>
          <w:lang w:eastAsia="ko-KR"/>
        </w:rPr>
        <w:t>.</w:t>
      </w:r>
      <w:r>
        <w:rPr>
          <w:lang w:eastAsia="ko-KR"/>
        </w:rPr>
        <w:t>2</w:t>
      </w:r>
      <w:r w:rsidRPr="009C5807">
        <w:t>-2: Time to identify target NR cell for RRC connection re-establishment to NR inter-frequency cell</w:t>
      </w:r>
    </w:p>
    <w:tbl>
      <w:tblPr>
        <w:tblW w:w="9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701"/>
        <w:gridCol w:w="2835"/>
        <w:gridCol w:w="3411"/>
      </w:tblGrid>
      <w:tr w:rsidR="00A225D1" w:rsidRPr="009C5807" w14:paraId="014084EF" w14:textId="77777777" w:rsidTr="00162D0B">
        <w:trPr>
          <w:jc w:val="center"/>
        </w:trPr>
        <w:tc>
          <w:tcPr>
            <w:tcW w:w="1696" w:type="dxa"/>
            <w:tcBorders>
              <w:bottom w:val="nil"/>
            </w:tcBorders>
            <w:shd w:val="clear" w:color="auto" w:fill="auto"/>
          </w:tcPr>
          <w:p w14:paraId="15276E9A" w14:textId="77777777" w:rsidR="00A225D1" w:rsidRPr="009C5807" w:rsidRDefault="00A225D1" w:rsidP="00162D0B">
            <w:pPr>
              <w:pStyle w:val="TAH"/>
              <w:rPr>
                <w:lang w:eastAsia="ko-KR"/>
              </w:rPr>
            </w:pPr>
            <w:r w:rsidRPr="009C5807">
              <w:rPr>
                <w:rFonts w:cs="v4.2.0"/>
                <w:lang w:eastAsia="ko-KR"/>
              </w:rPr>
              <w:t xml:space="preserve">Serving cell SSB </w:t>
            </w:r>
            <w:r w:rsidRPr="009C5807">
              <w:rPr>
                <w:lang w:val="en-US"/>
              </w:rPr>
              <w:t>Ês/Iot (dB)</w:t>
            </w:r>
          </w:p>
        </w:tc>
        <w:tc>
          <w:tcPr>
            <w:tcW w:w="1701" w:type="dxa"/>
            <w:tcBorders>
              <w:bottom w:val="nil"/>
            </w:tcBorders>
            <w:shd w:val="clear" w:color="auto" w:fill="auto"/>
          </w:tcPr>
          <w:p w14:paraId="24CAD1CE" w14:textId="77777777" w:rsidR="00A225D1" w:rsidRPr="009C5807" w:rsidRDefault="00A225D1" w:rsidP="00162D0B">
            <w:pPr>
              <w:pStyle w:val="TAH"/>
              <w:rPr>
                <w:lang w:eastAsia="ko-KR"/>
              </w:rPr>
            </w:pPr>
            <w:r w:rsidRPr="009C5807">
              <w:rPr>
                <w:lang w:eastAsia="ko-KR"/>
              </w:rPr>
              <w:t>FR of target NR cell</w:t>
            </w:r>
          </w:p>
        </w:tc>
        <w:tc>
          <w:tcPr>
            <w:tcW w:w="6246" w:type="dxa"/>
            <w:gridSpan w:val="2"/>
            <w:shd w:val="clear" w:color="auto" w:fill="auto"/>
          </w:tcPr>
          <w:p w14:paraId="13DF86BC" w14:textId="77777777" w:rsidR="00A225D1" w:rsidRPr="009C5807" w:rsidRDefault="00A225D1" w:rsidP="00162D0B">
            <w:pPr>
              <w:pStyle w:val="TAH"/>
              <w:rPr>
                <w:lang w:eastAsia="ko-KR"/>
              </w:rPr>
            </w:pPr>
            <w:r w:rsidRPr="009C5807">
              <w:rPr>
                <w:lang w:eastAsia="ko-KR"/>
              </w:rPr>
              <w:t>T</w:t>
            </w:r>
            <w:r w:rsidRPr="009C5807">
              <w:rPr>
                <w:vertAlign w:val="subscript"/>
                <w:lang w:eastAsia="ko-KR"/>
              </w:rPr>
              <w:t xml:space="preserve">identify_inter_NR, i </w:t>
            </w:r>
            <w:r w:rsidRPr="009C5807">
              <w:rPr>
                <w:lang w:eastAsia="ko-KR"/>
              </w:rPr>
              <w:t>[ms]</w:t>
            </w:r>
          </w:p>
        </w:tc>
      </w:tr>
      <w:tr w:rsidR="00A225D1" w:rsidRPr="009C5807" w14:paraId="50E4D4A1" w14:textId="77777777" w:rsidTr="00162D0B">
        <w:trPr>
          <w:jc w:val="center"/>
        </w:trPr>
        <w:tc>
          <w:tcPr>
            <w:tcW w:w="1696" w:type="dxa"/>
            <w:tcBorders>
              <w:top w:val="nil"/>
            </w:tcBorders>
            <w:shd w:val="clear" w:color="auto" w:fill="auto"/>
          </w:tcPr>
          <w:p w14:paraId="233885DD" w14:textId="77777777" w:rsidR="00A225D1" w:rsidRPr="009C5807" w:rsidRDefault="00A225D1" w:rsidP="00162D0B">
            <w:pPr>
              <w:pStyle w:val="TAH"/>
              <w:rPr>
                <w:lang w:eastAsia="ko-KR"/>
              </w:rPr>
            </w:pPr>
          </w:p>
        </w:tc>
        <w:tc>
          <w:tcPr>
            <w:tcW w:w="1701" w:type="dxa"/>
            <w:tcBorders>
              <w:top w:val="nil"/>
            </w:tcBorders>
            <w:shd w:val="clear" w:color="auto" w:fill="auto"/>
          </w:tcPr>
          <w:p w14:paraId="4A743C3D" w14:textId="77777777" w:rsidR="00A225D1" w:rsidRPr="009C5807" w:rsidRDefault="00A225D1" w:rsidP="00162D0B">
            <w:pPr>
              <w:pStyle w:val="TAH"/>
              <w:rPr>
                <w:lang w:eastAsia="ko-KR"/>
              </w:rPr>
            </w:pPr>
          </w:p>
        </w:tc>
        <w:tc>
          <w:tcPr>
            <w:tcW w:w="2835" w:type="dxa"/>
            <w:shd w:val="clear" w:color="auto" w:fill="auto"/>
          </w:tcPr>
          <w:p w14:paraId="6837C40A" w14:textId="77777777" w:rsidR="00A225D1" w:rsidRPr="009C5807" w:rsidRDefault="00A225D1" w:rsidP="00162D0B">
            <w:pPr>
              <w:pStyle w:val="TAH"/>
              <w:rPr>
                <w:lang w:eastAsia="ko-KR"/>
              </w:rPr>
            </w:pPr>
            <w:r w:rsidRPr="009C5807">
              <w:rPr>
                <w:lang w:eastAsia="ko-KR"/>
              </w:rPr>
              <w:t>Known NR cell</w:t>
            </w:r>
          </w:p>
        </w:tc>
        <w:tc>
          <w:tcPr>
            <w:tcW w:w="3411" w:type="dxa"/>
          </w:tcPr>
          <w:p w14:paraId="3E68ADEB" w14:textId="77777777" w:rsidR="00A225D1" w:rsidRPr="009C5807" w:rsidRDefault="00A225D1" w:rsidP="00162D0B">
            <w:pPr>
              <w:pStyle w:val="TAH"/>
              <w:rPr>
                <w:lang w:eastAsia="ko-KR"/>
              </w:rPr>
            </w:pPr>
            <w:r w:rsidRPr="009C5807">
              <w:rPr>
                <w:lang w:eastAsia="ko-KR"/>
              </w:rPr>
              <w:t>Unknown NR cell</w:t>
            </w:r>
          </w:p>
        </w:tc>
      </w:tr>
      <w:tr w:rsidR="00A225D1" w:rsidRPr="009C5807" w14:paraId="3F3795D5" w14:textId="77777777" w:rsidTr="00162D0B">
        <w:trPr>
          <w:jc w:val="center"/>
        </w:trPr>
        <w:tc>
          <w:tcPr>
            <w:tcW w:w="1696" w:type="dxa"/>
          </w:tcPr>
          <w:p w14:paraId="75BE1088" w14:textId="77777777" w:rsidR="00A225D1" w:rsidRPr="009C5807" w:rsidRDefault="00A225D1" w:rsidP="00162D0B">
            <w:pPr>
              <w:pStyle w:val="TAL"/>
              <w:rPr>
                <w:lang w:eastAsia="zh-CN"/>
              </w:rPr>
            </w:pPr>
            <w:r w:rsidRPr="009C5807">
              <w:rPr>
                <w:rFonts w:cs="Arial" w:hint="eastAsia"/>
                <w:lang w:eastAsia="ko-KR"/>
              </w:rPr>
              <w:t>≥</w:t>
            </w:r>
            <w:r w:rsidRPr="009C5807">
              <w:rPr>
                <w:rFonts w:cs="Arial"/>
                <w:lang w:eastAsia="ko-KR"/>
              </w:rPr>
              <w:t xml:space="preserve"> </w:t>
            </w:r>
            <w:r w:rsidRPr="009C5807">
              <w:rPr>
                <w:lang w:eastAsia="ko-KR"/>
              </w:rPr>
              <w:t>-8</w:t>
            </w:r>
          </w:p>
        </w:tc>
        <w:tc>
          <w:tcPr>
            <w:tcW w:w="1701" w:type="dxa"/>
            <w:shd w:val="clear" w:color="auto" w:fill="auto"/>
          </w:tcPr>
          <w:p w14:paraId="178D2EC4" w14:textId="77777777" w:rsidR="00A225D1" w:rsidRPr="009C5807" w:rsidRDefault="00A225D1" w:rsidP="00162D0B">
            <w:pPr>
              <w:pStyle w:val="TAL"/>
              <w:rPr>
                <w:lang w:eastAsia="ko-KR"/>
              </w:rPr>
            </w:pPr>
            <w:r w:rsidRPr="009C5807">
              <w:rPr>
                <w:lang w:eastAsia="ko-KR"/>
              </w:rPr>
              <w:t>FR1</w:t>
            </w:r>
          </w:p>
        </w:tc>
        <w:tc>
          <w:tcPr>
            <w:tcW w:w="2835" w:type="dxa"/>
            <w:shd w:val="clear" w:color="auto" w:fill="auto"/>
          </w:tcPr>
          <w:p w14:paraId="1E47C456" w14:textId="77777777" w:rsidR="00A225D1" w:rsidRPr="009C5807" w:rsidRDefault="00A225D1" w:rsidP="00162D0B">
            <w:pPr>
              <w:pStyle w:val="TAC"/>
            </w:pPr>
            <w:r w:rsidRPr="009C5807">
              <w:t xml:space="preserve">MAX (200 ms, </w:t>
            </w:r>
            <w:r>
              <w:t>7</w:t>
            </w:r>
            <w:r w:rsidRPr="009C5807">
              <w:t xml:space="preserve"> x T</w:t>
            </w:r>
            <w:r w:rsidRPr="009C5807">
              <w:rPr>
                <w:vertAlign w:val="subscript"/>
              </w:rPr>
              <w:t>SMTC, i</w:t>
            </w:r>
            <w:r w:rsidRPr="009C5807">
              <w:t>)</w:t>
            </w:r>
          </w:p>
        </w:tc>
        <w:tc>
          <w:tcPr>
            <w:tcW w:w="3411" w:type="dxa"/>
            <w:shd w:val="clear" w:color="auto" w:fill="auto"/>
          </w:tcPr>
          <w:p w14:paraId="4243D462" w14:textId="77777777" w:rsidR="00A225D1" w:rsidRPr="009C5807" w:rsidRDefault="00A225D1" w:rsidP="00162D0B">
            <w:pPr>
              <w:pStyle w:val="TAC"/>
            </w:pPr>
            <w:r w:rsidRPr="00CB7F87">
              <w:t>MAX (800 ms, [14] x T</w:t>
            </w:r>
            <w:r w:rsidRPr="00CB7F87">
              <w:rPr>
                <w:vertAlign w:val="subscript"/>
              </w:rPr>
              <w:t>SMTC, i</w:t>
            </w:r>
            <w:r w:rsidRPr="00CB7F87">
              <w:t>)</w:t>
            </w:r>
          </w:p>
        </w:tc>
      </w:tr>
      <w:tr w:rsidR="00A225D1" w:rsidRPr="009C5807" w14:paraId="30342824" w14:textId="77777777" w:rsidTr="00162D0B">
        <w:trPr>
          <w:jc w:val="center"/>
        </w:trPr>
        <w:tc>
          <w:tcPr>
            <w:tcW w:w="1696" w:type="dxa"/>
          </w:tcPr>
          <w:p w14:paraId="527BEB3D" w14:textId="77777777" w:rsidR="00A225D1" w:rsidRPr="009C5807" w:rsidRDefault="00A225D1" w:rsidP="00162D0B">
            <w:pPr>
              <w:pStyle w:val="TAL"/>
              <w:rPr>
                <w:lang w:eastAsia="zh-CN"/>
              </w:rPr>
            </w:pPr>
            <w:r w:rsidRPr="009C5807">
              <w:rPr>
                <w:lang w:eastAsia="ko-KR"/>
              </w:rPr>
              <w:t>&lt; -8</w:t>
            </w:r>
          </w:p>
        </w:tc>
        <w:tc>
          <w:tcPr>
            <w:tcW w:w="1701" w:type="dxa"/>
            <w:shd w:val="clear" w:color="auto" w:fill="auto"/>
          </w:tcPr>
          <w:p w14:paraId="76FC5B59" w14:textId="77777777" w:rsidR="00A225D1" w:rsidRPr="009C5807" w:rsidRDefault="00A225D1" w:rsidP="00162D0B">
            <w:pPr>
              <w:pStyle w:val="TAL"/>
              <w:rPr>
                <w:lang w:eastAsia="ko-KR"/>
              </w:rPr>
            </w:pPr>
            <w:r w:rsidRPr="009C5807">
              <w:rPr>
                <w:lang w:eastAsia="ko-KR"/>
              </w:rPr>
              <w:t>FR1</w:t>
            </w:r>
          </w:p>
        </w:tc>
        <w:tc>
          <w:tcPr>
            <w:tcW w:w="2835" w:type="dxa"/>
            <w:shd w:val="clear" w:color="auto" w:fill="auto"/>
          </w:tcPr>
          <w:p w14:paraId="4A495D84" w14:textId="77777777" w:rsidR="00A225D1" w:rsidRPr="009C5807" w:rsidRDefault="00A225D1" w:rsidP="00162D0B">
            <w:pPr>
              <w:pStyle w:val="TAC"/>
              <w:rPr>
                <w:lang w:eastAsia="zh-CN"/>
              </w:rPr>
            </w:pPr>
            <w:r w:rsidRPr="009C5807">
              <w:rPr>
                <w:lang w:eastAsia="zh-CN"/>
              </w:rPr>
              <w:t>N/A</w:t>
            </w:r>
          </w:p>
        </w:tc>
        <w:tc>
          <w:tcPr>
            <w:tcW w:w="3411" w:type="dxa"/>
            <w:shd w:val="clear" w:color="auto" w:fill="auto"/>
          </w:tcPr>
          <w:p w14:paraId="7B957847" w14:textId="77777777" w:rsidR="00A225D1" w:rsidRPr="009C5807" w:rsidRDefault="00A225D1" w:rsidP="00162D0B">
            <w:pPr>
              <w:pStyle w:val="TAC"/>
              <w:rPr>
                <w:lang w:eastAsia="ko-KR"/>
              </w:rPr>
            </w:pPr>
            <w:r w:rsidRPr="009C5807">
              <w:t>800</w:t>
            </w:r>
            <w:r w:rsidRPr="009C5807">
              <w:rPr>
                <w:vertAlign w:val="superscript"/>
              </w:rPr>
              <w:t>Note1</w:t>
            </w:r>
          </w:p>
        </w:tc>
      </w:tr>
      <w:tr w:rsidR="00A225D1" w:rsidRPr="009C5807" w14:paraId="56860DCE" w14:textId="77777777" w:rsidTr="00162D0B">
        <w:trPr>
          <w:jc w:val="center"/>
        </w:trPr>
        <w:tc>
          <w:tcPr>
            <w:tcW w:w="9643" w:type="dxa"/>
            <w:gridSpan w:val="4"/>
          </w:tcPr>
          <w:p w14:paraId="5BF4B9BA" w14:textId="77777777" w:rsidR="00A225D1" w:rsidRPr="009C5807" w:rsidRDefault="00A225D1" w:rsidP="00162D0B">
            <w:pPr>
              <w:pStyle w:val="TAC"/>
              <w:jc w:val="both"/>
              <w:rPr>
                <w:lang w:eastAsia="ko-KR"/>
              </w:rPr>
            </w:pPr>
            <w:r w:rsidRPr="009C5807">
              <w:rPr>
                <w:lang w:eastAsia="ko-KR"/>
              </w:rPr>
              <w:t>Note 1:</w:t>
            </w:r>
            <w:r w:rsidRPr="009C5807">
              <w:tab/>
            </w:r>
            <w:r w:rsidRPr="009C5807">
              <w:rPr>
                <w:lang w:eastAsia="ko-KR"/>
              </w:rPr>
              <w:t>The UE is not required to successfully identify a cell on any NR frequency layer when T</w:t>
            </w:r>
            <w:r w:rsidRPr="009C5807">
              <w:rPr>
                <w:vertAlign w:val="subscript"/>
                <w:lang w:eastAsia="ko-KR"/>
              </w:rPr>
              <w:t>SMTC,i</w:t>
            </w:r>
            <w:r w:rsidRPr="009C5807">
              <w:rPr>
                <w:lang w:eastAsia="ko-KR"/>
              </w:rPr>
              <w:t xml:space="preserve"> &gt; 20 ms and serving cell SSB Ês/Iot &lt; -8 dB.</w:t>
            </w:r>
          </w:p>
        </w:tc>
      </w:tr>
    </w:tbl>
    <w:p w14:paraId="6FCC6DA0" w14:textId="71B85D2B" w:rsidR="00A225D1" w:rsidRDefault="00A225D1" w:rsidP="00AF5628"/>
    <w:p w14:paraId="48DB271E" w14:textId="1A788457" w:rsidR="00C83058" w:rsidRPr="008D7D64" w:rsidRDefault="00C83058" w:rsidP="00AF5628">
      <w:r w:rsidRPr="008B156E">
        <w:t xml:space="preserve">When the Redcap specific initial BWP is configured for </w:t>
      </w:r>
      <w:r>
        <w:t>random access</w:t>
      </w:r>
      <w:r w:rsidRPr="008B156E">
        <w:t>,</w:t>
      </w:r>
      <w:r>
        <w:t xml:space="preserve"> </w:t>
      </w:r>
      <m:oMath>
        <m:sSub>
          <m:sSubPr>
            <m:ctrlPr>
              <w:rPr>
                <w:rFonts w:ascii="Cambria Math" w:hAnsi="Cambria Math"/>
                <w:iCs/>
                <w:lang w:eastAsia="ko-KR"/>
              </w:rPr>
            </m:ctrlPr>
          </m:sSubPr>
          <m:e>
            <m:r>
              <m:rPr>
                <m:sty m:val="p"/>
              </m:rPr>
              <w:rPr>
                <w:rFonts w:ascii="Cambria Math" w:hAnsi="Cambria Math"/>
                <w:lang w:eastAsia="ko-KR"/>
              </w:rPr>
              <m:t>T</m:t>
            </m:r>
          </m:e>
          <m:sub>
            <m:r>
              <m:rPr>
                <m:sty m:val="p"/>
              </m:rPr>
              <w:rPr>
                <w:rFonts w:ascii="Cambria Math" w:hAnsi="Cambria Math"/>
                <w:lang w:eastAsia="ko-KR"/>
              </w:rPr>
              <m:t>UE_re-establish_delay</m:t>
            </m:r>
          </m:sub>
        </m:sSub>
      </m:oMath>
      <w:r w:rsidRPr="008B156E">
        <w:t xml:space="preserve"> </w:t>
      </w:r>
      <w:r w:rsidRPr="009C5807">
        <w:t xml:space="preserve">in clause </w:t>
      </w:r>
      <w:r>
        <w:rPr>
          <w:lang w:val="en-US" w:eastAsia="zh-CN"/>
        </w:rPr>
        <w:t xml:space="preserve">6.2.1 </w:t>
      </w:r>
      <w:r>
        <w:t xml:space="preserve">is </w:t>
      </w:r>
      <w:r w:rsidRPr="008B156E">
        <w:t>extend</w:t>
      </w:r>
      <w:r>
        <w:t>ed by 6ms.</w:t>
      </w:r>
    </w:p>
    <w:p w14:paraId="08861138" w14:textId="77777777" w:rsidR="00B4741B" w:rsidRPr="009C5807" w:rsidRDefault="00B4741B" w:rsidP="00B4741B">
      <w:pPr>
        <w:pStyle w:val="Heading3"/>
        <w:rPr>
          <w:lang w:val="en-US" w:eastAsia="ko-KR"/>
        </w:rPr>
      </w:pPr>
      <w:r w:rsidRPr="009C5807">
        <w:rPr>
          <w:lang w:val="en-US" w:eastAsia="ko-KR"/>
        </w:rPr>
        <w:t>6.2.2</w:t>
      </w:r>
      <w:r w:rsidRPr="009C5807">
        <w:rPr>
          <w:lang w:val="en-US" w:eastAsia="ko-KR"/>
        </w:rPr>
        <w:tab/>
        <w:t>Random access</w:t>
      </w:r>
      <w:bookmarkEnd w:id="112"/>
    </w:p>
    <w:p w14:paraId="1A4F390F" w14:textId="77777777" w:rsidR="00B4741B" w:rsidRPr="009C5807" w:rsidRDefault="00B4741B" w:rsidP="00B4741B">
      <w:pPr>
        <w:pStyle w:val="Heading4"/>
        <w:rPr>
          <w:lang w:eastAsia="ko-KR"/>
        </w:rPr>
      </w:pPr>
      <w:bookmarkStart w:id="118" w:name="_Toc5952581"/>
      <w:r w:rsidRPr="009C5807">
        <w:rPr>
          <w:lang w:eastAsia="ko-KR"/>
        </w:rPr>
        <w:t>6.2.</w:t>
      </w:r>
      <w:r w:rsidRPr="009C5807">
        <w:rPr>
          <w:lang w:eastAsia="zh-CN"/>
        </w:rPr>
        <w:t>2</w:t>
      </w:r>
      <w:r w:rsidRPr="009C5807">
        <w:rPr>
          <w:lang w:eastAsia="ko-KR"/>
        </w:rPr>
        <w:t>.1</w:t>
      </w:r>
      <w:r w:rsidRPr="009C5807">
        <w:rPr>
          <w:lang w:eastAsia="ko-KR"/>
        </w:rPr>
        <w:tab/>
        <w:t>Introduction</w:t>
      </w:r>
      <w:bookmarkEnd w:id="118"/>
    </w:p>
    <w:p w14:paraId="6C4CB243" w14:textId="73FA62DA" w:rsidR="00B4741B" w:rsidRPr="009C5807" w:rsidRDefault="00B4741B" w:rsidP="00B4741B">
      <w:pPr>
        <w:rPr>
          <w:lang w:val="en-US" w:eastAsia="zh-CN"/>
        </w:rPr>
      </w:pPr>
      <w:r w:rsidRPr="009C5807">
        <w:rPr>
          <w:lang w:val="en-US" w:eastAsia="zh-CN"/>
        </w:rPr>
        <w:t>This clause contains requirements on the UE regarding random access procedure. The random access procedure is initiated to establish uplink time synchronization for a UE which either has not acquired or has lost its uplink synchronization, or to convey UE’s request Other SI, or for beam failure recovery. The random access is specified in clause 8 of TS 38.213</w:t>
      </w:r>
      <w:r w:rsidRPr="009C5807">
        <w:t> </w:t>
      </w:r>
      <w:r w:rsidRPr="009C5807">
        <w:rPr>
          <w:lang w:val="en-US" w:eastAsia="zh-CN"/>
        </w:rPr>
        <w:t>[3] and the control of the RACH transmission is specified in clause 5.1 of TS</w:t>
      </w:r>
      <w:r w:rsidRPr="009C5807">
        <w:t> </w:t>
      </w:r>
      <w:r w:rsidRPr="009C5807">
        <w:rPr>
          <w:lang w:val="en-US" w:eastAsia="zh-CN"/>
        </w:rPr>
        <w:t>38.321</w:t>
      </w:r>
      <w:r w:rsidRPr="009C5807">
        <w:t> </w:t>
      </w:r>
      <w:r w:rsidRPr="009C5807">
        <w:rPr>
          <w:lang w:val="en-US" w:eastAsia="zh-CN"/>
        </w:rPr>
        <w:t>[7].</w:t>
      </w:r>
      <w:r w:rsidR="00CB7170" w:rsidRPr="009C5807">
        <w:rPr>
          <w:lang w:val="en-US" w:eastAsia="zh-CN"/>
        </w:rPr>
        <w:t xml:space="preserve"> Two types of procedure are defined for the random access, the 4-step RA type, and the 2-step RA type [7]. The decision on which type of procedure to adopt is as described in clause 5.1.1 of TS 38.321</w:t>
      </w:r>
      <w:r w:rsidR="00CB7170" w:rsidRPr="009C5807">
        <w:t> </w:t>
      </w:r>
      <w:r w:rsidR="00CB7170" w:rsidRPr="009C5807">
        <w:rPr>
          <w:lang w:val="en-US" w:eastAsia="zh-CN"/>
        </w:rPr>
        <w:t>[7]. The requirements for the 4-step RA type procedure are described in clause 6.2.2.2, whereas the requirements for the 2-step RA type procedure are described in the clause 6.2.2.3 of this specification.</w:t>
      </w:r>
    </w:p>
    <w:p w14:paraId="2B04233B" w14:textId="77777777" w:rsidR="00CB7170" w:rsidRPr="009C5807" w:rsidRDefault="00B4741B" w:rsidP="00CB7170">
      <w:pPr>
        <w:pStyle w:val="Heading4"/>
        <w:rPr>
          <w:lang w:eastAsia="ko-KR"/>
        </w:rPr>
      </w:pPr>
      <w:bookmarkStart w:id="119" w:name="_Toc5952582"/>
      <w:r w:rsidRPr="009C5807">
        <w:rPr>
          <w:lang w:eastAsia="ko-KR"/>
        </w:rPr>
        <w:t>6.2.</w:t>
      </w:r>
      <w:r w:rsidRPr="009C5807">
        <w:rPr>
          <w:lang w:eastAsia="zh-CN"/>
        </w:rPr>
        <w:t>2</w:t>
      </w:r>
      <w:r w:rsidRPr="009C5807">
        <w:rPr>
          <w:lang w:eastAsia="ko-KR"/>
        </w:rPr>
        <w:t>.2</w:t>
      </w:r>
      <w:r w:rsidRPr="009C5807">
        <w:rPr>
          <w:lang w:eastAsia="ko-KR"/>
        </w:rPr>
        <w:tab/>
        <w:t>Requirements</w:t>
      </w:r>
      <w:bookmarkEnd w:id="119"/>
      <w:r w:rsidR="00CB7170" w:rsidRPr="009C5807">
        <w:rPr>
          <w:lang w:eastAsia="ko-KR"/>
        </w:rPr>
        <w:t xml:space="preserve"> for 4-step RA type</w:t>
      </w:r>
    </w:p>
    <w:p w14:paraId="555FAEEC" w14:textId="7315B691" w:rsidR="00B4741B" w:rsidRPr="009C5807" w:rsidRDefault="00CB7170" w:rsidP="00CB7170">
      <w:pPr>
        <w:rPr>
          <w:rFonts w:cs="v4.2.0"/>
          <w:lang w:eastAsia="zh-CN"/>
        </w:rPr>
      </w:pPr>
      <w:r w:rsidRPr="009C5807">
        <w:t>The UE shall select the type of random access at initiation of the random access procedure based on network configuration, as specified in clause 5.1.1 in TS 38.321 [7].</w:t>
      </w:r>
    </w:p>
    <w:p w14:paraId="6B63FDB5" w14:textId="6BE564CB" w:rsidR="00F104FA" w:rsidRPr="009C5807" w:rsidRDefault="00F104FA" w:rsidP="00F104FA">
      <w:pPr>
        <w:rPr>
          <w:rFonts w:cs="v4.2.0"/>
          <w:lang w:eastAsia="zh-CN"/>
        </w:rPr>
      </w:pPr>
      <w:r w:rsidRPr="009C5807">
        <w:rPr>
          <w:rFonts w:cs="v4.2.0"/>
          <w:lang w:eastAsia="zh-CN"/>
        </w:rPr>
        <w:t>T</w:t>
      </w:r>
      <w:r w:rsidRPr="009C5807">
        <w:rPr>
          <w:rFonts w:cs="v4.2.0"/>
        </w:rPr>
        <w:t xml:space="preserve">he UE shall have capability to calculate PRACH transmission power according to the PRACH power formula defined in </w:t>
      </w:r>
      <w:bookmarkStart w:id="120" w:name="_Hlk31114384"/>
      <w:r w:rsidR="00CB7170" w:rsidRPr="009C5807">
        <w:rPr>
          <w:rFonts w:cs="v4.2.0"/>
        </w:rPr>
        <w:t>clause 7.4 of</w:t>
      </w:r>
      <w:bookmarkEnd w:id="120"/>
      <w:r w:rsidR="00CB7170" w:rsidRPr="009C5807">
        <w:rPr>
          <w:rFonts w:cs="v4.2.0"/>
        </w:rPr>
        <w:t xml:space="preserve"> </w:t>
      </w:r>
      <w:r w:rsidRPr="009C5807">
        <w:rPr>
          <w:rFonts w:cs="v4.2.0"/>
        </w:rPr>
        <w:t>TS 3</w:t>
      </w:r>
      <w:r w:rsidRPr="009C5807">
        <w:rPr>
          <w:rFonts w:cs="v4.2.0"/>
          <w:lang w:eastAsia="zh-CN"/>
        </w:rPr>
        <w:t>8</w:t>
      </w:r>
      <w:r w:rsidRPr="009C5807">
        <w:rPr>
          <w:rFonts w:cs="v4.2.0"/>
        </w:rPr>
        <w:t>.213</w:t>
      </w:r>
      <w:r w:rsidRPr="009C5807">
        <w:rPr>
          <w:rFonts w:cs="v4.2.0"/>
          <w:lang w:eastAsia="zh-CN"/>
        </w:rPr>
        <w:t xml:space="preserve"> </w:t>
      </w:r>
      <w:r w:rsidRPr="009C5807">
        <w:rPr>
          <w:rFonts w:cs="v4.2.0"/>
        </w:rPr>
        <w:t xml:space="preserve">[3] and apply this power level at the first preamble or additional preambles. The absolute power applied to the first preamble shall have an accuracy as specified in </w:t>
      </w:r>
      <w:r w:rsidRPr="009C5807">
        <w:rPr>
          <w:rFonts w:cs="v4.2.0"/>
          <w:lang w:eastAsia="zh-CN"/>
        </w:rPr>
        <w:t>T</w:t>
      </w:r>
      <w:r w:rsidRPr="009C5807">
        <w:rPr>
          <w:rFonts w:cs="v4.2.0"/>
        </w:rPr>
        <w:t xml:space="preserve">able </w:t>
      </w:r>
      <w:r w:rsidRPr="009C5807">
        <w:rPr>
          <w:rFonts w:cs="v4.2.0"/>
          <w:lang w:eastAsia="zh-CN"/>
        </w:rPr>
        <w:t>6.3.4.2-1</w:t>
      </w:r>
      <w:r w:rsidRPr="009C5807">
        <w:rPr>
          <w:rFonts w:cs="v4.2.0"/>
        </w:rPr>
        <w:t xml:space="preserve"> of TS 3</w:t>
      </w:r>
      <w:r w:rsidRPr="009C5807">
        <w:rPr>
          <w:rFonts w:cs="v4.2.0"/>
          <w:lang w:eastAsia="zh-CN"/>
        </w:rPr>
        <w:t>8</w:t>
      </w:r>
      <w:r w:rsidRPr="009C5807">
        <w:rPr>
          <w:rFonts w:cs="v4.2.0"/>
        </w:rPr>
        <w:t>.101</w:t>
      </w:r>
      <w:r w:rsidRPr="009C5807">
        <w:rPr>
          <w:rFonts w:cs="v4.2.0"/>
          <w:lang w:eastAsia="zh-CN"/>
        </w:rPr>
        <w:t xml:space="preserve">-1 </w:t>
      </w:r>
      <w:r w:rsidRPr="009C5807">
        <w:rPr>
          <w:rFonts w:cs="v4.2.0"/>
        </w:rPr>
        <w:t>[18]</w:t>
      </w:r>
      <w:r w:rsidRPr="009C5807">
        <w:rPr>
          <w:rFonts w:cs="v4.2.0"/>
          <w:lang w:eastAsia="zh-CN"/>
        </w:rPr>
        <w:t xml:space="preserve"> for FR1 and in Table 6.3.4.2-1 of TS 38.101-2 [19] for FR2</w:t>
      </w:r>
      <w:r w:rsidRPr="009C5807">
        <w:rPr>
          <w:rFonts w:cs="v4.2.0"/>
        </w:rPr>
        <w:t xml:space="preserve">. The relative power applied to additional preambles shall have an accuracy as specified in </w:t>
      </w:r>
      <w:r w:rsidRPr="009C5807">
        <w:rPr>
          <w:rFonts w:cs="v4.2.0"/>
          <w:lang w:eastAsia="zh-CN"/>
        </w:rPr>
        <w:t>T</w:t>
      </w:r>
      <w:r w:rsidRPr="009C5807">
        <w:rPr>
          <w:rFonts w:cs="v4.2.0"/>
        </w:rPr>
        <w:t xml:space="preserve">able </w:t>
      </w:r>
      <w:r w:rsidRPr="009C5807">
        <w:rPr>
          <w:rFonts w:cs="v4.2.0"/>
          <w:lang w:eastAsia="zh-CN"/>
        </w:rPr>
        <w:t>6.3.4.3-1</w:t>
      </w:r>
      <w:r w:rsidRPr="009C5807">
        <w:rPr>
          <w:rFonts w:cs="v4.2.0"/>
        </w:rPr>
        <w:t xml:space="preserve"> of TS 3</w:t>
      </w:r>
      <w:r w:rsidRPr="009C5807">
        <w:rPr>
          <w:rFonts w:cs="v4.2.0"/>
          <w:lang w:eastAsia="zh-CN"/>
        </w:rPr>
        <w:t>8</w:t>
      </w:r>
      <w:r w:rsidRPr="009C5807">
        <w:rPr>
          <w:rFonts w:cs="v4.2.0"/>
        </w:rPr>
        <w:t>.101</w:t>
      </w:r>
      <w:r w:rsidRPr="009C5807">
        <w:rPr>
          <w:rFonts w:cs="v4.2.0"/>
          <w:lang w:eastAsia="zh-CN"/>
        </w:rPr>
        <w:t xml:space="preserve">-1 </w:t>
      </w:r>
      <w:r w:rsidRPr="009C5807">
        <w:rPr>
          <w:rFonts w:cs="v4.2.0"/>
        </w:rPr>
        <w:t>[</w:t>
      </w:r>
      <w:r w:rsidRPr="009C5807">
        <w:rPr>
          <w:rFonts w:cs="v4.2.0"/>
          <w:lang w:eastAsia="zh-CN"/>
        </w:rPr>
        <w:t>18</w:t>
      </w:r>
      <w:r w:rsidRPr="009C5807">
        <w:rPr>
          <w:rFonts w:cs="v4.2.0"/>
        </w:rPr>
        <w:t>]</w:t>
      </w:r>
      <w:r w:rsidRPr="009C5807">
        <w:rPr>
          <w:rFonts w:cs="v4.2.0"/>
          <w:lang w:eastAsia="zh-CN"/>
        </w:rPr>
        <w:t xml:space="preserve"> for FR1 and clause 6.3.4.3 of TS38.101-2 [19] for FR2</w:t>
      </w:r>
      <w:r w:rsidRPr="009C5807">
        <w:rPr>
          <w:rFonts w:cs="v4.2.0"/>
        </w:rPr>
        <w:t>.</w:t>
      </w:r>
    </w:p>
    <w:p w14:paraId="76090894" w14:textId="17B7B6D3" w:rsidR="00F104FA" w:rsidRPr="009C5807" w:rsidRDefault="00F104FA" w:rsidP="00F104FA">
      <w:pPr>
        <w:rPr>
          <w:rFonts w:cs="v4.2.0"/>
          <w:lang w:eastAsia="zh-CN"/>
        </w:rPr>
      </w:pPr>
      <w:r w:rsidRPr="009C5807">
        <w:rPr>
          <w:rFonts w:cs="v4.2.0"/>
          <w:lang w:eastAsia="zh-CN"/>
        </w:rPr>
        <w:t>The UE shall indicate a random access problem to upper layers if the maximum number of preamble transmission counter has been reached for the random access procedure on PCell or PSCell as specified in clause 5.1.4 in TS 38.321 [7].</w:t>
      </w:r>
    </w:p>
    <w:p w14:paraId="214DDB1C" w14:textId="6B9BF881" w:rsidR="00B4741B" w:rsidRPr="009C5807" w:rsidRDefault="00B4741B" w:rsidP="00B4741B">
      <w:pPr>
        <w:rPr>
          <w:rFonts w:cs="v4.2.0"/>
          <w:lang w:eastAsia="zh-CN"/>
        </w:rPr>
      </w:pPr>
      <w:r w:rsidRPr="009C5807">
        <w:rPr>
          <w:rFonts w:cs="v4.2.0"/>
          <w:lang w:eastAsia="zh-CN"/>
        </w:rPr>
        <w:t xml:space="preserve">The requirements in this </w:t>
      </w:r>
      <w:r w:rsidR="0059755E" w:rsidRPr="009C5807">
        <w:rPr>
          <w:rFonts w:cs="v4.2.0"/>
          <w:lang w:eastAsia="zh-CN"/>
        </w:rPr>
        <w:t>clause</w:t>
      </w:r>
      <w:r w:rsidRPr="009C5807">
        <w:rPr>
          <w:rFonts w:cs="v4.2.0"/>
          <w:lang w:eastAsia="zh-CN"/>
        </w:rPr>
        <w:t xml:space="preserve"> apply for UE in SA operation mode or any MR-DC operation mode.</w:t>
      </w:r>
    </w:p>
    <w:p w14:paraId="42DB8881" w14:textId="77777777" w:rsidR="00B4741B" w:rsidRPr="009C5807" w:rsidRDefault="00B4741B" w:rsidP="00B4741B">
      <w:pPr>
        <w:pStyle w:val="Heading5"/>
        <w:rPr>
          <w:lang w:eastAsia="zh-CN"/>
        </w:rPr>
      </w:pPr>
      <w:bookmarkStart w:id="121" w:name="_Toc5952583"/>
      <w:r w:rsidRPr="009C5807">
        <w:rPr>
          <w:lang w:eastAsia="zh-CN"/>
        </w:rPr>
        <w:t>6.2.2.2.1</w:t>
      </w:r>
      <w:r w:rsidRPr="009C5807">
        <w:rPr>
          <w:lang w:eastAsia="zh-CN"/>
        </w:rPr>
        <w:tab/>
        <w:t>Contention based random access</w:t>
      </w:r>
      <w:bookmarkEnd w:id="121"/>
    </w:p>
    <w:p w14:paraId="7B1093B4" w14:textId="77777777" w:rsidR="00B4741B" w:rsidRPr="009C5807" w:rsidRDefault="00B4741B" w:rsidP="00787B09">
      <w:pPr>
        <w:pStyle w:val="Heading6"/>
        <w:rPr>
          <w:lang w:eastAsia="zh-CN"/>
        </w:rPr>
      </w:pPr>
      <w:r w:rsidRPr="009C5807">
        <w:rPr>
          <w:lang w:eastAsia="zh-CN"/>
        </w:rPr>
        <w:t>6.2.2.2.1.1</w:t>
      </w:r>
      <w:r w:rsidRPr="009C5807">
        <w:rPr>
          <w:lang w:eastAsia="zh-CN"/>
        </w:rPr>
        <w:tab/>
        <w:t>Correct behaviour when transmitting Random Access Preamble</w:t>
      </w:r>
    </w:p>
    <w:p w14:paraId="052A0753" w14:textId="7DED6DA7" w:rsidR="00F104FA" w:rsidRPr="009C5807" w:rsidRDefault="00F104FA" w:rsidP="00F104FA">
      <w:pPr>
        <w:rPr>
          <w:rFonts w:cs="v4.2.0"/>
          <w:lang w:eastAsia="zh-CN"/>
        </w:rPr>
      </w:pPr>
      <w:r w:rsidRPr="009C5807">
        <w:rPr>
          <w:rFonts w:cs="v4.2.0"/>
          <w:lang w:eastAsia="zh-CN"/>
        </w:rPr>
        <w:t xml:space="preserve">With the UE selected SSB with SS-RSRP above </w:t>
      </w:r>
      <w:r w:rsidRPr="009C5807">
        <w:rPr>
          <w:rFonts w:cs="v4.2.0"/>
          <w:i/>
          <w:lang w:eastAsia="zh-CN"/>
        </w:rPr>
        <w:t>rsrp-ThresholdSSB</w:t>
      </w:r>
      <w:r w:rsidRPr="009C5807">
        <w:rPr>
          <w:rFonts w:cs="v4.2.0"/>
          <w:lang w:eastAsia="zh-CN"/>
        </w:rPr>
        <w:t xml:space="preserve">, UE shall have the capability to select a </w:t>
      </w:r>
      <w:r w:rsidRPr="009C5807">
        <w:t>Random Access Preamble</w:t>
      </w:r>
      <w:r w:rsidRPr="009C5807">
        <w:rPr>
          <w:rFonts w:cs="v4.2.0"/>
          <w:lang w:eastAsia="zh-CN"/>
        </w:rPr>
        <w:t xml:space="preserve"> randomly with equal probability from the </w:t>
      </w:r>
      <w:r w:rsidRPr="009C5807">
        <w:t>Random Access Preamble</w:t>
      </w:r>
      <w:r w:rsidRPr="009C5807">
        <w:rPr>
          <w:lang w:eastAsia="zh-CN"/>
        </w:rPr>
        <w:t>s</w:t>
      </w:r>
      <w:r w:rsidRPr="009C5807">
        <w:rPr>
          <w:rFonts w:cs="v4.2.0"/>
          <w:lang w:eastAsia="zh-CN"/>
        </w:rPr>
        <w:t xml:space="preserve"> associated with the selected SSB if the association between Random Access Preambles and SSB is configured, </w:t>
      </w:r>
      <w:r w:rsidRPr="009C5807">
        <w:rPr>
          <w:rFonts w:cs="v4.2.0"/>
        </w:rPr>
        <w:t>as specified in clause 5.1.</w:t>
      </w:r>
      <w:r w:rsidRPr="009C5807">
        <w:rPr>
          <w:rFonts w:cs="v4.2.0"/>
          <w:lang w:eastAsia="zh-CN"/>
        </w:rPr>
        <w:t>2</w:t>
      </w:r>
      <w:r w:rsidRPr="009C5807">
        <w:rPr>
          <w:rFonts w:cs="v4.2.0"/>
        </w:rPr>
        <w:t xml:space="preserve"> in TS 3</w:t>
      </w:r>
      <w:r w:rsidRPr="009C5807">
        <w:rPr>
          <w:rFonts w:cs="v4.2.0"/>
          <w:lang w:eastAsia="zh-CN"/>
        </w:rPr>
        <w:t>8</w:t>
      </w:r>
      <w:r w:rsidRPr="009C5807">
        <w:rPr>
          <w:rFonts w:cs="v4.2.0"/>
        </w:rPr>
        <w:t>.321 [7]</w:t>
      </w:r>
      <w:r w:rsidRPr="009C5807">
        <w:rPr>
          <w:rFonts w:cs="v4.2.0"/>
          <w:lang w:eastAsia="zh-CN"/>
        </w:rPr>
        <w:t>.</w:t>
      </w:r>
    </w:p>
    <w:p w14:paraId="6E6938B9" w14:textId="77777777" w:rsidR="00B4741B" w:rsidRPr="009C5807" w:rsidRDefault="00B4741B" w:rsidP="00B4741B">
      <w:pPr>
        <w:rPr>
          <w:rFonts w:cs="v4.2.0"/>
          <w:lang w:eastAsia="zh-CN"/>
        </w:rPr>
      </w:pPr>
      <w:r w:rsidRPr="009C5807">
        <w:rPr>
          <w:rFonts w:cs="v4.2.0"/>
          <w:lang w:eastAsia="zh-CN"/>
        </w:rPr>
        <w:t xml:space="preserve">With the UE selected SSB with SS-RSRP above </w:t>
      </w:r>
      <w:r w:rsidRPr="009C5807">
        <w:rPr>
          <w:rFonts w:cs="v4.2.0"/>
          <w:i/>
          <w:lang w:eastAsia="zh-CN"/>
        </w:rPr>
        <w:t>rsrp-ThresholdSSB</w:t>
      </w:r>
      <w:r w:rsidRPr="009C5807">
        <w:rPr>
          <w:rFonts w:cs="v4.2.0"/>
          <w:lang w:eastAsia="zh-CN"/>
        </w:rPr>
        <w:t xml:space="preserve">, UE shall have the capability to transmit Random Access Preamble on the next available PRACH occasion from the PRACH occasions corresponding to the selected SSB permitted by the restrictions given by the </w:t>
      </w:r>
      <w:r w:rsidRPr="009C5807">
        <w:rPr>
          <w:rFonts w:cs="v4.2.0"/>
          <w:i/>
          <w:lang w:eastAsia="zh-CN"/>
        </w:rPr>
        <w:t>ra-ssb-OccasionMaskIndex</w:t>
      </w:r>
      <w:r w:rsidRPr="009C5807">
        <w:rPr>
          <w:rFonts w:cs="v4.2.0"/>
          <w:lang w:eastAsia="zh-CN"/>
        </w:rPr>
        <w:t xml:space="preserve"> if configured, if the association between PRACH occasions and SSBs is configured, and </w:t>
      </w:r>
      <w:r w:rsidRPr="009C5807">
        <w:rPr>
          <w:lang w:eastAsia="ko-KR"/>
        </w:rPr>
        <w:t xml:space="preserve">PRACH occasion </w:t>
      </w:r>
      <w:r w:rsidRPr="009C5807">
        <w:rPr>
          <w:lang w:eastAsia="zh-CN"/>
        </w:rPr>
        <w:t xml:space="preserve">shall be </w:t>
      </w:r>
      <w:r w:rsidRPr="009C5807">
        <w:rPr>
          <w:lang w:eastAsia="ko-KR"/>
        </w:rPr>
        <w:t>randomly</w:t>
      </w:r>
      <w:r w:rsidRPr="009C5807">
        <w:rPr>
          <w:lang w:eastAsia="zh-CN"/>
        </w:rPr>
        <w:t xml:space="preserve"> selected</w:t>
      </w:r>
      <w:r w:rsidRPr="009C5807">
        <w:rPr>
          <w:lang w:eastAsia="ko-KR"/>
        </w:rPr>
        <w:t xml:space="preserve"> with equal probability amongst the </w:t>
      </w:r>
      <w:r w:rsidRPr="009C5807">
        <w:rPr>
          <w:lang w:eastAsia="zh-CN"/>
        </w:rPr>
        <w:t xml:space="preserve">selected SSB associated </w:t>
      </w:r>
      <w:r w:rsidRPr="009C5807">
        <w:rPr>
          <w:lang w:eastAsia="ko-KR"/>
        </w:rPr>
        <w:t>PRACH occasions occurring simultaneously but on different subcarriers</w:t>
      </w:r>
      <w:r w:rsidRPr="009C5807">
        <w:rPr>
          <w:rFonts w:cs="v4.2.0"/>
          <w:lang w:eastAsia="zh-CN"/>
        </w:rPr>
        <w:t xml:space="preserve">, </w:t>
      </w:r>
      <w:r w:rsidRPr="009C5807">
        <w:rPr>
          <w:rFonts w:cs="v4.2.0"/>
        </w:rPr>
        <w:t>as specified in clause 5.1.</w:t>
      </w:r>
      <w:r w:rsidRPr="009C5807">
        <w:rPr>
          <w:rFonts w:cs="v4.2.0"/>
          <w:lang w:eastAsia="zh-CN"/>
        </w:rPr>
        <w:t>2</w:t>
      </w:r>
      <w:r w:rsidRPr="009C5807">
        <w:rPr>
          <w:rFonts w:cs="v4.2.0"/>
        </w:rPr>
        <w:t xml:space="preserve"> in TS 3</w:t>
      </w:r>
      <w:r w:rsidRPr="009C5807">
        <w:rPr>
          <w:rFonts w:cs="v4.2.0"/>
          <w:lang w:eastAsia="zh-CN"/>
        </w:rPr>
        <w:t>8</w:t>
      </w:r>
      <w:r w:rsidRPr="009C5807">
        <w:rPr>
          <w:rFonts w:cs="v4.2.0"/>
        </w:rPr>
        <w:t>.321 [7]</w:t>
      </w:r>
      <w:r w:rsidRPr="009C5807">
        <w:rPr>
          <w:rFonts w:cs="v4.2.0"/>
          <w:lang w:eastAsia="zh-CN"/>
        </w:rPr>
        <w:t>.</w:t>
      </w:r>
    </w:p>
    <w:p w14:paraId="55B204BF" w14:textId="77777777" w:rsidR="00B4741B" w:rsidRPr="009C5807" w:rsidRDefault="00B4741B" w:rsidP="00787B09">
      <w:pPr>
        <w:pStyle w:val="Heading6"/>
        <w:rPr>
          <w:lang w:eastAsia="zh-CN"/>
        </w:rPr>
      </w:pPr>
      <w:r w:rsidRPr="009C5807">
        <w:rPr>
          <w:lang w:eastAsia="zh-CN"/>
        </w:rPr>
        <w:t>6.2.2.2.1.2</w:t>
      </w:r>
      <w:r w:rsidRPr="009C5807">
        <w:rPr>
          <w:lang w:eastAsia="zh-CN"/>
        </w:rPr>
        <w:tab/>
        <w:t>Correct behaviour when receiving Random Access Response</w:t>
      </w:r>
    </w:p>
    <w:p w14:paraId="296CF0D3" w14:textId="77777777" w:rsidR="00B4741B" w:rsidRPr="009C5807" w:rsidRDefault="00B4741B" w:rsidP="00B4741B">
      <w:pPr>
        <w:rPr>
          <w:lang w:eastAsia="zh-CN"/>
        </w:rPr>
      </w:pPr>
      <w:r w:rsidRPr="009C5807">
        <w:t>The UE may stop monitoring for Random Access Response(s) and shall transmit the msg3 if the Random Access Response contains a Random Access Preamble identifier corresponding to the transmitted Random Access Preamble.</w:t>
      </w:r>
    </w:p>
    <w:p w14:paraId="535F9589" w14:textId="77777777" w:rsidR="00B4741B" w:rsidRPr="009C5807" w:rsidRDefault="00B4741B" w:rsidP="00B4741B">
      <w:pPr>
        <w:rPr>
          <w:rFonts w:cs="v4.2.0"/>
        </w:rPr>
      </w:pPr>
      <w:r w:rsidRPr="009C5807">
        <w:rPr>
          <w:rFonts w:cs="v4.2.0"/>
        </w:rPr>
        <w:t>The UE shall a</w:t>
      </w:r>
      <w:r w:rsidRPr="009C5807">
        <w:rPr>
          <w:rFonts w:cs="v4.2.0"/>
          <w:lang w:eastAsia="zh-CN"/>
        </w:rPr>
        <w:t xml:space="preserve">gain </w:t>
      </w:r>
      <w:r w:rsidRPr="009C5807">
        <w:rPr>
          <w:rFonts w:cs="v4.2.0"/>
        </w:rPr>
        <w:t>perform the Random Access Resource selection procedure defined in clause 5.1.2</w:t>
      </w:r>
      <w:r w:rsidRPr="009C5807">
        <w:rPr>
          <w:rFonts w:cs="v4.2.0"/>
          <w:lang w:eastAsia="zh-CN"/>
        </w:rPr>
        <w:t xml:space="preserve"> </w:t>
      </w:r>
      <w:r w:rsidRPr="009C5807">
        <w:rPr>
          <w:rFonts w:cs="v4.2.0"/>
        </w:rPr>
        <w:t>in TS 3</w:t>
      </w:r>
      <w:r w:rsidRPr="009C5807">
        <w:rPr>
          <w:rFonts w:cs="v4.2.0"/>
          <w:lang w:eastAsia="zh-CN"/>
        </w:rPr>
        <w:t>8</w:t>
      </w:r>
      <w:r w:rsidRPr="009C5807">
        <w:rPr>
          <w:rFonts w:cs="v4.2.0"/>
        </w:rPr>
        <w:t>.321 [7]</w:t>
      </w:r>
      <w:r w:rsidRPr="009C5807">
        <w:rPr>
          <w:rFonts w:cs="v4.2.0"/>
          <w:lang w:eastAsia="zh-CN"/>
        </w:rPr>
        <w:t>,</w:t>
      </w:r>
      <w:r w:rsidRPr="009C5807">
        <w:rPr>
          <w:rFonts w:cs="v4.2.0"/>
        </w:rPr>
        <w:t xml:space="preserve"> and transmit with the calculated PRACH transmission power </w:t>
      </w:r>
      <w:r w:rsidRPr="009C5807">
        <w:rPr>
          <w:rFonts w:cs="v4.2.0"/>
          <w:lang w:eastAsia="zh-CN"/>
        </w:rPr>
        <w:t>when</w:t>
      </w:r>
      <w:r w:rsidRPr="009C5807">
        <w:rPr>
          <w:rFonts w:cs="v4.2.0"/>
        </w:rPr>
        <w:t xml:space="preserve"> the backoff time expires if</w:t>
      </w:r>
      <w:r w:rsidRPr="009C5807">
        <w:rPr>
          <w:noProof/>
        </w:rPr>
        <w:t xml:space="preserve"> all received Random Access Responses contain Random Access Preamble identifiers that do not match the transmitted Random Access Preamble</w:t>
      </w:r>
      <w:r w:rsidRPr="009C5807">
        <w:rPr>
          <w:rFonts w:cs="v4.2.0"/>
        </w:rPr>
        <w:t>.</w:t>
      </w:r>
    </w:p>
    <w:p w14:paraId="14F87C2B" w14:textId="77777777" w:rsidR="00B4741B" w:rsidRPr="009C5807" w:rsidRDefault="00B4741B" w:rsidP="00787B09">
      <w:pPr>
        <w:pStyle w:val="Heading6"/>
        <w:rPr>
          <w:lang w:eastAsia="zh-CN"/>
        </w:rPr>
      </w:pPr>
      <w:r w:rsidRPr="009C5807">
        <w:rPr>
          <w:lang w:eastAsia="zh-CN"/>
        </w:rPr>
        <w:t>6.2.2.2.1.3</w:t>
      </w:r>
      <w:r w:rsidRPr="009C5807">
        <w:rPr>
          <w:lang w:eastAsia="zh-CN"/>
        </w:rPr>
        <w:tab/>
        <w:t>Correct behaviour when not receiving Random Access Response</w:t>
      </w:r>
    </w:p>
    <w:p w14:paraId="1BC03778" w14:textId="77777777" w:rsidR="00B4741B" w:rsidRPr="009C5807" w:rsidRDefault="00B4741B" w:rsidP="00B4741B">
      <w:pPr>
        <w:rPr>
          <w:rFonts w:cs="v4.2.0"/>
        </w:rPr>
      </w:pPr>
      <w:r w:rsidRPr="009C5807">
        <w:rPr>
          <w:rFonts w:cs="v4.2.0"/>
        </w:rPr>
        <w:t xml:space="preserve">The UE shall </w:t>
      </w:r>
      <w:r w:rsidRPr="009C5807">
        <w:rPr>
          <w:rFonts w:cs="v4.2.0"/>
          <w:lang w:eastAsia="zh-CN"/>
        </w:rPr>
        <w:t xml:space="preserve">again </w:t>
      </w:r>
      <w:r w:rsidRPr="009C5807">
        <w:rPr>
          <w:rFonts w:cs="v4.2.0"/>
        </w:rPr>
        <w:t>perform the Random Access Resource selection procedure defined in clause 5.1.2</w:t>
      </w:r>
      <w:r w:rsidRPr="009C5807">
        <w:rPr>
          <w:rFonts w:cs="v4.2.0"/>
          <w:lang w:eastAsia="zh-CN"/>
        </w:rPr>
        <w:t xml:space="preserve"> </w:t>
      </w:r>
      <w:r w:rsidRPr="009C5807">
        <w:rPr>
          <w:rFonts w:cs="v4.2.0"/>
        </w:rPr>
        <w:t>in TS 3</w:t>
      </w:r>
      <w:r w:rsidRPr="009C5807">
        <w:rPr>
          <w:rFonts w:cs="v4.2.0"/>
          <w:lang w:eastAsia="zh-CN"/>
        </w:rPr>
        <w:t>8</w:t>
      </w:r>
      <w:r w:rsidRPr="009C5807">
        <w:rPr>
          <w:rFonts w:cs="v4.2.0"/>
        </w:rPr>
        <w:t>.321 [7]</w:t>
      </w:r>
      <w:r w:rsidRPr="009C5807">
        <w:rPr>
          <w:rFonts w:cs="v4.2.0"/>
          <w:lang w:eastAsia="zh-CN"/>
        </w:rPr>
        <w:t>,</w:t>
      </w:r>
      <w:r w:rsidRPr="009C5807">
        <w:t xml:space="preserve"> and transmit </w:t>
      </w:r>
      <w:r w:rsidRPr="009C5807">
        <w:rPr>
          <w:rFonts w:cs="v4.2.0"/>
        </w:rPr>
        <w:t>with the calculated PRACH transmission power</w:t>
      </w:r>
      <w:r w:rsidRPr="009C5807">
        <w:t xml:space="preserve"> </w:t>
      </w:r>
      <w:r w:rsidRPr="009C5807">
        <w:rPr>
          <w:lang w:eastAsia="zh-CN"/>
        </w:rPr>
        <w:t>when</w:t>
      </w:r>
      <w:r w:rsidRPr="009C5807">
        <w:t xml:space="preserve"> </w:t>
      </w:r>
      <w:r w:rsidRPr="009C5807">
        <w:rPr>
          <w:noProof/>
        </w:rPr>
        <w:t xml:space="preserve">the backoff time expires </w:t>
      </w:r>
      <w:r w:rsidRPr="009C5807">
        <w:rPr>
          <w:noProof/>
          <w:lang w:eastAsia="zh-CN"/>
        </w:rPr>
        <w:t>if no Random Access Response is received within the RA Response window</w:t>
      </w:r>
      <w:r w:rsidRPr="009C5807">
        <w:t xml:space="preserve"> defined in clause 5.1.4 </w:t>
      </w:r>
      <w:r w:rsidRPr="009C5807">
        <w:rPr>
          <w:lang w:eastAsia="zh-CN"/>
        </w:rPr>
        <w:t xml:space="preserve">in </w:t>
      </w:r>
      <w:r w:rsidRPr="009C5807">
        <w:t>TS 3</w:t>
      </w:r>
      <w:r w:rsidRPr="009C5807">
        <w:rPr>
          <w:lang w:eastAsia="zh-CN"/>
        </w:rPr>
        <w:t>8</w:t>
      </w:r>
      <w:r w:rsidRPr="009C5807">
        <w:t>.321</w:t>
      </w:r>
      <w:r w:rsidRPr="009C5807">
        <w:rPr>
          <w:lang w:eastAsia="zh-CN"/>
        </w:rPr>
        <w:t xml:space="preserve"> [7]</w:t>
      </w:r>
      <w:r w:rsidRPr="009C5807">
        <w:rPr>
          <w:noProof/>
        </w:rPr>
        <w:t>.</w:t>
      </w:r>
    </w:p>
    <w:p w14:paraId="381CB2C3" w14:textId="106CFFF3" w:rsidR="00B4741B" w:rsidRPr="009C5807" w:rsidRDefault="00B4741B" w:rsidP="00787B09">
      <w:pPr>
        <w:pStyle w:val="Heading6"/>
        <w:rPr>
          <w:lang w:eastAsia="zh-CN"/>
        </w:rPr>
      </w:pPr>
      <w:r w:rsidRPr="009C5807">
        <w:rPr>
          <w:lang w:eastAsia="zh-CN"/>
        </w:rPr>
        <w:t>6.2.2.2.1.4</w:t>
      </w:r>
      <w:r w:rsidRPr="009C5807">
        <w:rPr>
          <w:lang w:eastAsia="zh-CN"/>
        </w:rPr>
        <w:tab/>
        <w:t>Correct behaviour when receiving a</w:t>
      </w:r>
      <w:r w:rsidRPr="009C5807">
        <w:rPr>
          <w:rFonts w:hint="eastAsia"/>
          <w:lang w:eastAsia="zh-CN"/>
        </w:rPr>
        <w:t>n</w:t>
      </w:r>
      <w:r w:rsidRPr="009C5807">
        <w:rPr>
          <w:lang w:eastAsia="zh-CN"/>
        </w:rPr>
        <w:t xml:space="preserve"> </w:t>
      </w:r>
      <w:r w:rsidRPr="009C5807">
        <w:rPr>
          <w:rFonts w:hint="eastAsia"/>
          <w:lang w:eastAsia="zh-CN"/>
        </w:rPr>
        <w:t>UL grant for msg3 retransmission</w:t>
      </w:r>
    </w:p>
    <w:p w14:paraId="4002B736" w14:textId="40A3B49D" w:rsidR="00B4741B" w:rsidRPr="009C5807" w:rsidRDefault="00B4741B" w:rsidP="00B4741B">
      <w:pPr>
        <w:rPr>
          <w:rFonts w:cs="v4.2.0"/>
        </w:rPr>
      </w:pPr>
      <w:r w:rsidRPr="009C5807">
        <w:rPr>
          <w:rFonts w:cs="v4.2.0"/>
        </w:rPr>
        <w:t>The UE shall re-transmit the msg3 upon the reception of a</w:t>
      </w:r>
      <w:r w:rsidRPr="009C5807">
        <w:rPr>
          <w:rFonts w:cs="v4.2.0" w:hint="eastAsia"/>
          <w:lang w:eastAsia="zh-CN"/>
        </w:rPr>
        <w:t>nUL grant for msg3 retransmission</w:t>
      </w:r>
      <w:r w:rsidRPr="009C5807">
        <w:rPr>
          <w:rFonts w:cs="v4.2.0"/>
        </w:rPr>
        <w:t>.</w:t>
      </w:r>
    </w:p>
    <w:p w14:paraId="433B5A53" w14:textId="0800773C" w:rsidR="00B4741B" w:rsidRPr="009C5807" w:rsidRDefault="00B4741B" w:rsidP="00787B09">
      <w:pPr>
        <w:pStyle w:val="Heading6"/>
        <w:rPr>
          <w:lang w:eastAsia="zh-CN"/>
        </w:rPr>
      </w:pPr>
      <w:r w:rsidRPr="009C5807">
        <w:rPr>
          <w:lang w:eastAsia="zh-CN"/>
        </w:rPr>
        <w:t>6.2.2.2.1.5</w:t>
      </w:r>
      <w:r w:rsidRPr="009C5807">
        <w:rPr>
          <w:lang w:eastAsia="zh-CN"/>
        </w:rPr>
        <w:tab/>
      </w:r>
      <w:r w:rsidR="00805965" w:rsidRPr="009C5807">
        <w:rPr>
          <w:lang w:eastAsia="zh-CN"/>
        </w:rPr>
        <w:t xml:space="preserve">SA: </w:t>
      </w:r>
      <w:r w:rsidRPr="009C5807">
        <w:rPr>
          <w:lang w:eastAsia="zh-CN"/>
        </w:rPr>
        <w:t>Correct behaviour when receiving a message over Temporary C-RNTI</w:t>
      </w:r>
    </w:p>
    <w:p w14:paraId="5704F579" w14:textId="77777777" w:rsidR="00B4741B" w:rsidRPr="009C5807" w:rsidRDefault="00B4741B" w:rsidP="00B4741B">
      <w:pPr>
        <w:rPr>
          <w:rFonts w:cs="v4.2.0"/>
        </w:rPr>
      </w:pPr>
      <w:r w:rsidRPr="009C5807">
        <w:rPr>
          <w:rFonts w:cs="v4.2.0"/>
          <w:lang w:eastAsia="zh-CN"/>
        </w:rPr>
        <w:t>The</w:t>
      </w:r>
      <w:r w:rsidRPr="009C5807">
        <w:rPr>
          <w:rFonts w:cs="v4.2.0"/>
        </w:rPr>
        <w:t xml:space="preserve"> </w:t>
      </w:r>
      <w:r w:rsidRPr="009C5807">
        <w:rPr>
          <w:rFonts w:cs="v4.2.0"/>
          <w:lang w:eastAsia="zh-CN"/>
        </w:rPr>
        <w:t>UE</w:t>
      </w:r>
      <w:r w:rsidRPr="009C5807">
        <w:rPr>
          <w:rFonts w:cs="v4.2.0"/>
        </w:rPr>
        <w:t xml:space="preserve"> </w:t>
      </w:r>
      <w:r w:rsidRPr="009C5807">
        <w:rPr>
          <w:rFonts w:cs="v4.2.0"/>
          <w:lang w:eastAsia="zh-CN"/>
        </w:rPr>
        <w:t>shall</w:t>
      </w:r>
      <w:r w:rsidRPr="009C5807">
        <w:rPr>
          <w:rFonts w:cs="v4.2.0"/>
        </w:rPr>
        <w:t xml:space="preserve"> </w:t>
      </w:r>
      <w:r w:rsidRPr="009C5807">
        <w:rPr>
          <w:rFonts w:cs="v4.2.0"/>
          <w:lang w:eastAsia="zh-CN"/>
        </w:rPr>
        <w:t>send</w:t>
      </w:r>
      <w:r w:rsidRPr="009C5807">
        <w:rPr>
          <w:rFonts w:cs="v4.2.0"/>
        </w:rPr>
        <w:t xml:space="preserve"> </w:t>
      </w:r>
      <w:r w:rsidRPr="009C5807">
        <w:rPr>
          <w:rFonts w:cs="v4.2.0"/>
          <w:lang w:eastAsia="zh-CN"/>
        </w:rPr>
        <w:t>ACK</w:t>
      </w:r>
      <w:r w:rsidRPr="009C5807">
        <w:rPr>
          <w:rFonts w:cs="v4.2.0"/>
        </w:rPr>
        <w:t xml:space="preserve"> </w:t>
      </w:r>
      <w:r w:rsidRPr="009C5807">
        <w:rPr>
          <w:rFonts w:cs="v4.2.0"/>
          <w:lang w:eastAsia="zh-CN"/>
        </w:rPr>
        <w:t>if</w:t>
      </w:r>
      <w:r w:rsidRPr="009C5807">
        <w:rPr>
          <w:rFonts w:cs="v4.2.0"/>
        </w:rPr>
        <w:t xml:space="preserve"> </w:t>
      </w:r>
      <w:r w:rsidRPr="009C5807">
        <w:rPr>
          <w:rFonts w:cs="v4.2.0"/>
          <w:lang w:eastAsia="zh-CN"/>
        </w:rPr>
        <w:t>t</w:t>
      </w:r>
      <w:r w:rsidRPr="009C5807">
        <w:rPr>
          <w:rFonts w:cs="v4.2.0"/>
        </w:rPr>
        <w:t xml:space="preserve">he </w:t>
      </w:r>
      <w:r w:rsidRPr="009C5807">
        <w:rPr>
          <w:rFonts w:cs="v4.2.0"/>
          <w:lang w:eastAsia="zh-CN"/>
        </w:rPr>
        <w:t>C</w:t>
      </w:r>
      <w:r w:rsidRPr="009C5807">
        <w:rPr>
          <w:rFonts w:cs="v4.2.0"/>
        </w:rPr>
        <w:t>ontention Resolution is successful.</w:t>
      </w:r>
    </w:p>
    <w:p w14:paraId="7449FC32" w14:textId="77777777" w:rsidR="00B4741B" w:rsidRPr="009C5807" w:rsidRDefault="00B4741B" w:rsidP="00B4741B">
      <w:pPr>
        <w:rPr>
          <w:rFonts w:cs="v4.2.0"/>
        </w:rPr>
      </w:pPr>
      <w:r w:rsidRPr="009C5807">
        <w:rPr>
          <w:rFonts w:cs="v4.2.0"/>
        </w:rPr>
        <w:t xml:space="preserve">The UE shall </w:t>
      </w:r>
      <w:r w:rsidRPr="009C5807">
        <w:rPr>
          <w:rFonts w:cs="v4.2.0"/>
          <w:lang w:eastAsia="zh-CN"/>
        </w:rPr>
        <w:t xml:space="preserve">again </w:t>
      </w:r>
      <w:r w:rsidRPr="009C5807">
        <w:rPr>
          <w:rFonts w:cs="v4.2.0"/>
        </w:rPr>
        <w:t>perform the Random Access Resource selection procedure defined in clause 5.1.2</w:t>
      </w:r>
      <w:r w:rsidRPr="009C5807">
        <w:rPr>
          <w:rFonts w:cs="v4.2.0"/>
          <w:lang w:eastAsia="zh-CN"/>
        </w:rPr>
        <w:t xml:space="preserve"> </w:t>
      </w:r>
      <w:r w:rsidRPr="009C5807">
        <w:rPr>
          <w:rFonts w:cs="v4.2.0"/>
        </w:rPr>
        <w:t>in TS 3</w:t>
      </w:r>
      <w:r w:rsidRPr="009C5807">
        <w:rPr>
          <w:rFonts w:cs="v4.2.0"/>
          <w:lang w:eastAsia="zh-CN"/>
        </w:rPr>
        <w:t>8</w:t>
      </w:r>
      <w:r w:rsidRPr="009C5807">
        <w:rPr>
          <w:rFonts w:cs="v4.2.0"/>
        </w:rPr>
        <w:t>.321 [7]</w:t>
      </w:r>
      <w:r w:rsidRPr="009C5807">
        <w:rPr>
          <w:rFonts w:cs="v4.2.0"/>
          <w:lang w:eastAsia="zh-CN"/>
        </w:rPr>
        <w:t>,</w:t>
      </w:r>
      <w:r w:rsidRPr="009C5807">
        <w:rPr>
          <w:rFonts w:cs="v4.2.0"/>
        </w:rPr>
        <w:t xml:space="preserve"> and transmit with the calculated PRACH transmission power </w:t>
      </w:r>
      <w:r w:rsidRPr="009C5807">
        <w:rPr>
          <w:rFonts w:cs="v4.2.0"/>
          <w:lang w:eastAsia="zh-CN"/>
        </w:rPr>
        <w:t>when</w:t>
      </w:r>
      <w:r w:rsidRPr="009C5807">
        <w:rPr>
          <w:rFonts w:cs="v4.2.0"/>
        </w:rPr>
        <w:t xml:space="preserve"> the backoff time expires unless the received message includes a UE Contention Resolution Identity MAC control element and the UE Contention Resolution Identity included in the MAC control element matches the CCCH SDU transmitted in the uplink message.</w:t>
      </w:r>
    </w:p>
    <w:p w14:paraId="555CF0D1" w14:textId="77777777" w:rsidR="00B4741B" w:rsidRPr="009C5807" w:rsidRDefault="00B4741B" w:rsidP="00787B09">
      <w:pPr>
        <w:pStyle w:val="Heading6"/>
        <w:rPr>
          <w:lang w:eastAsia="zh-CN"/>
        </w:rPr>
      </w:pPr>
      <w:r w:rsidRPr="009C5807">
        <w:rPr>
          <w:lang w:eastAsia="zh-CN"/>
        </w:rPr>
        <w:t>6.2.2.2.1.6</w:t>
      </w:r>
      <w:r w:rsidRPr="009C5807">
        <w:rPr>
          <w:lang w:eastAsia="zh-CN"/>
        </w:rPr>
        <w:tab/>
        <w:t>Correct behaviour when contention Resolution timer expires</w:t>
      </w:r>
    </w:p>
    <w:p w14:paraId="698F5611" w14:textId="77777777" w:rsidR="00B4741B" w:rsidRPr="009C5807" w:rsidRDefault="00B4741B" w:rsidP="00B4741B">
      <w:pPr>
        <w:rPr>
          <w:rFonts w:cs="v4.2.0"/>
        </w:rPr>
      </w:pPr>
      <w:r w:rsidRPr="009C5807">
        <w:rPr>
          <w:rFonts w:cs="v4.2.0"/>
        </w:rPr>
        <w:t xml:space="preserve">The UE shall re-select a preamble and transmit with the calculated PRACH transmission power </w:t>
      </w:r>
      <w:r w:rsidRPr="009C5807">
        <w:rPr>
          <w:rFonts w:cs="v4.2.0"/>
          <w:lang w:eastAsia="zh-CN"/>
        </w:rPr>
        <w:t>when</w:t>
      </w:r>
      <w:r w:rsidRPr="009C5807">
        <w:rPr>
          <w:rFonts w:cs="v4.2.0"/>
        </w:rPr>
        <w:t xml:space="preserve"> the backoff time expires if the Contention Resolution Timer expires.</w:t>
      </w:r>
    </w:p>
    <w:p w14:paraId="3AE5C9B4" w14:textId="77777777" w:rsidR="00B4741B" w:rsidRPr="009C5807" w:rsidRDefault="00B4741B" w:rsidP="00B4741B">
      <w:pPr>
        <w:pStyle w:val="Heading5"/>
        <w:rPr>
          <w:lang w:eastAsia="zh-CN"/>
        </w:rPr>
      </w:pPr>
      <w:bookmarkStart w:id="122" w:name="_Toc5952584"/>
      <w:bookmarkStart w:id="123" w:name="OLE_LINK5"/>
      <w:r w:rsidRPr="009C5807">
        <w:rPr>
          <w:lang w:eastAsia="zh-CN"/>
        </w:rPr>
        <w:t>6.2.2.2.2</w:t>
      </w:r>
      <w:r w:rsidRPr="009C5807">
        <w:rPr>
          <w:lang w:eastAsia="zh-CN"/>
        </w:rPr>
        <w:tab/>
        <w:t>Non-Contention based random access</w:t>
      </w:r>
      <w:bookmarkEnd w:id="122"/>
    </w:p>
    <w:bookmarkEnd w:id="123"/>
    <w:p w14:paraId="1C77DE14" w14:textId="77777777" w:rsidR="00B4741B" w:rsidRPr="009C5807" w:rsidRDefault="00B4741B" w:rsidP="00787B09">
      <w:pPr>
        <w:pStyle w:val="Heading6"/>
        <w:rPr>
          <w:lang w:eastAsia="zh-CN"/>
        </w:rPr>
      </w:pPr>
      <w:r w:rsidRPr="009C5807">
        <w:rPr>
          <w:lang w:eastAsia="zh-CN"/>
        </w:rPr>
        <w:t>6.2.2.2.2.1</w:t>
      </w:r>
      <w:r w:rsidRPr="009C5807">
        <w:rPr>
          <w:lang w:eastAsia="zh-CN"/>
        </w:rPr>
        <w:tab/>
        <w:t>Correct behaviour when transmitting Random Access Preamble</w:t>
      </w:r>
    </w:p>
    <w:p w14:paraId="3D8F5705" w14:textId="77777777" w:rsidR="00B4741B" w:rsidRPr="009C5807" w:rsidRDefault="00B4741B" w:rsidP="00B4741B">
      <w:pPr>
        <w:rPr>
          <w:rFonts w:cs="v4.2.0"/>
          <w:lang w:eastAsia="zh-CN"/>
        </w:rPr>
      </w:pPr>
      <w:r w:rsidRPr="009C5807">
        <w:rPr>
          <w:lang w:eastAsia="zh-CN"/>
        </w:rPr>
        <w:t>If the contention-free Random Access Resources and the contention-free PRACH occasions associated with SSBs is configured,</w:t>
      </w:r>
      <w:r w:rsidRPr="009C5807">
        <w:rPr>
          <w:rFonts w:cs="v4.2.0"/>
          <w:lang w:eastAsia="zh-CN"/>
        </w:rPr>
        <w:t xml:space="preserve"> with the UE selected SSB with SS-RSRP above </w:t>
      </w:r>
      <w:r w:rsidRPr="009C5807">
        <w:rPr>
          <w:rFonts w:cs="v4.2.0"/>
          <w:i/>
          <w:lang w:eastAsia="zh-CN"/>
        </w:rPr>
        <w:t xml:space="preserve">rsrp-ThresholdSSB </w:t>
      </w:r>
      <w:r w:rsidRPr="009C5807">
        <w:rPr>
          <w:rFonts w:cs="v4.2.0"/>
          <w:lang w:eastAsia="zh-CN"/>
        </w:rPr>
        <w:t xml:space="preserve">amongst the associated SSBs, UE shall have the capability to select the </w:t>
      </w:r>
      <w:r w:rsidRPr="009C5807">
        <w:t>Random Access Preamble</w:t>
      </w:r>
      <w:r w:rsidRPr="009C5807">
        <w:rPr>
          <w:lang w:eastAsia="zh-CN"/>
        </w:rPr>
        <w:t xml:space="preserve"> corresponding to the selected SSB, and</w:t>
      </w:r>
      <w:r w:rsidRPr="009C5807">
        <w:rPr>
          <w:rFonts w:cs="v4.2.0"/>
          <w:lang w:eastAsia="zh-CN"/>
        </w:rPr>
        <w:t xml:space="preserve"> to transmit Random Access Preamble on the next available PRACH occasion from the PRACH occasions corresponding to the selected SSB permitted by the restrictions given by the </w:t>
      </w:r>
      <w:r w:rsidRPr="009C5807">
        <w:rPr>
          <w:rFonts w:cs="v4.2.0"/>
          <w:i/>
          <w:lang w:eastAsia="zh-CN"/>
        </w:rPr>
        <w:t>ra-ssb-OccasionMaskIndex</w:t>
      </w:r>
      <w:r w:rsidRPr="009C5807">
        <w:rPr>
          <w:rFonts w:cs="v4.2.0"/>
          <w:lang w:eastAsia="zh-CN"/>
        </w:rPr>
        <w:t xml:space="preserve"> if configured, and </w:t>
      </w:r>
      <w:r w:rsidRPr="009C5807">
        <w:rPr>
          <w:lang w:eastAsia="ko-KR"/>
        </w:rPr>
        <w:t xml:space="preserve">PRACH occasion </w:t>
      </w:r>
      <w:r w:rsidRPr="009C5807">
        <w:rPr>
          <w:lang w:eastAsia="zh-CN"/>
        </w:rPr>
        <w:t xml:space="preserve">shall be </w:t>
      </w:r>
      <w:r w:rsidRPr="009C5807">
        <w:rPr>
          <w:lang w:eastAsia="ko-KR"/>
        </w:rPr>
        <w:t>randomly</w:t>
      </w:r>
      <w:r w:rsidRPr="009C5807">
        <w:rPr>
          <w:lang w:eastAsia="zh-CN"/>
        </w:rPr>
        <w:t xml:space="preserve"> selected</w:t>
      </w:r>
      <w:r w:rsidRPr="009C5807">
        <w:rPr>
          <w:lang w:eastAsia="ko-KR"/>
        </w:rPr>
        <w:t xml:space="preserve"> with equal probability amongst the </w:t>
      </w:r>
      <w:r w:rsidRPr="009C5807">
        <w:rPr>
          <w:lang w:eastAsia="zh-CN"/>
        </w:rPr>
        <w:t xml:space="preserve">selected SSB associated </w:t>
      </w:r>
      <w:r w:rsidRPr="009C5807">
        <w:rPr>
          <w:lang w:eastAsia="ko-KR"/>
        </w:rPr>
        <w:t>PRACH occasions occurring simultaneously but on different subcarriers</w:t>
      </w:r>
      <w:r w:rsidRPr="009C5807">
        <w:rPr>
          <w:rFonts w:cs="v4.2.0"/>
          <w:lang w:eastAsia="zh-CN"/>
        </w:rPr>
        <w:t xml:space="preserve">, </w:t>
      </w:r>
      <w:r w:rsidRPr="009C5807">
        <w:rPr>
          <w:rFonts w:cs="v4.2.0"/>
        </w:rPr>
        <w:t>as specified in clause 5.1.</w:t>
      </w:r>
      <w:r w:rsidRPr="009C5807">
        <w:rPr>
          <w:rFonts w:cs="v4.2.0"/>
          <w:lang w:eastAsia="zh-CN"/>
        </w:rPr>
        <w:t>2</w:t>
      </w:r>
      <w:r w:rsidRPr="009C5807">
        <w:rPr>
          <w:rFonts w:cs="v4.2.0"/>
        </w:rPr>
        <w:t xml:space="preserve"> in TS 3</w:t>
      </w:r>
      <w:r w:rsidRPr="009C5807">
        <w:rPr>
          <w:rFonts w:cs="v4.2.0"/>
          <w:lang w:eastAsia="zh-CN"/>
        </w:rPr>
        <w:t>8</w:t>
      </w:r>
      <w:r w:rsidRPr="009C5807">
        <w:rPr>
          <w:rFonts w:cs="v4.2.0"/>
        </w:rPr>
        <w:t>.321 [7]</w:t>
      </w:r>
      <w:r w:rsidRPr="009C5807">
        <w:rPr>
          <w:rFonts w:cs="v4.2.0"/>
          <w:lang w:eastAsia="zh-CN"/>
        </w:rPr>
        <w:t>.</w:t>
      </w:r>
    </w:p>
    <w:p w14:paraId="48342676" w14:textId="17954D78" w:rsidR="00CB7170" w:rsidRPr="009C5807" w:rsidRDefault="00CB7170" w:rsidP="00CB7170">
      <w:pPr>
        <w:rPr>
          <w:rFonts w:cs="v4.2.0"/>
          <w:lang w:eastAsia="zh-CN"/>
        </w:rPr>
      </w:pPr>
      <w:r w:rsidRPr="009C5807">
        <w:rPr>
          <w:lang w:eastAsia="zh-CN"/>
        </w:rPr>
        <w:t>If the contention-free Random Access Resources and the contention-free PRACH occasions associated with CSI-RSs is configured,</w:t>
      </w:r>
      <w:r w:rsidRPr="009C5807">
        <w:rPr>
          <w:rFonts w:cs="v4.2.0"/>
          <w:lang w:eastAsia="zh-CN"/>
        </w:rPr>
        <w:t xml:space="preserve"> with the UE selected CSI-RS with CSI-RSRP above </w:t>
      </w:r>
      <w:r w:rsidRPr="009C5807">
        <w:rPr>
          <w:i/>
          <w:iCs/>
          <w:noProof/>
        </w:rPr>
        <w:t>rsrp-ThresholdCSI-RS</w:t>
      </w:r>
      <w:r w:rsidRPr="009C5807">
        <w:rPr>
          <w:rFonts w:cs="v4.2.0"/>
          <w:lang w:eastAsia="zh-CN"/>
        </w:rPr>
        <w:t xml:space="preserve"> amongst the associated CSI-RSs, UE shall have the capability to select the </w:t>
      </w:r>
      <w:r w:rsidRPr="009C5807">
        <w:t>Random Access Preamble</w:t>
      </w:r>
      <w:r w:rsidRPr="009C5807">
        <w:rPr>
          <w:lang w:eastAsia="zh-CN"/>
        </w:rPr>
        <w:t xml:space="preserve"> corresponding to the selected CSI-RS, and</w:t>
      </w:r>
      <w:r w:rsidRPr="009C5807">
        <w:rPr>
          <w:rFonts w:cs="v4.2.0"/>
          <w:lang w:eastAsia="zh-CN"/>
        </w:rPr>
        <w:t xml:space="preserve"> to transmit Random Access Preamble on the next available PRACH occasion from the PRACH occasions in </w:t>
      </w:r>
      <w:r w:rsidRPr="009C5807">
        <w:rPr>
          <w:rFonts w:cs="v4.2.0"/>
          <w:i/>
          <w:lang w:eastAsia="zh-CN"/>
        </w:rPr>
        <w:t>ra-OccasionList</w:t>
      </w:r>
      <w:r w:rsidRPr="009C5807">
        <w:rPr>
          <w:rFonts w:cs="v4.2.0"/>
          <w:lang w:eastAsia="zh-CN"/>
        </w:rPr>
        <w:t xml:space="preserve"> corresponding to the selected CSI-RS, and </w:t>
      </w:r>
      <w:r w:rsidRPr="009C5807">
        <w:rPr>
          <w:lang w:eastAsia="ko-KR"/>
        </w:rPr>
        <w:t xml:space="preserve">PRACH occasion </w:t>
      </w:r>
      <w:r w:rsidRPr="009C5807">
        <w:rPr>
          <w:lang w:eastAsia="zh-CN"/>
        </w:rPr>
        <w:t xml:space="preserve">shall be </w:t>
      </w:r>
      <w:r w:rsidRPr="009C5807">
        <w:rPr>
          <w:lang w:eastAsia="ko-KR"/>
        </w:rPr>
        <w:t>randomly</w:t>
      </w:r>
      <w:r w:rsidRPr="009C5807">
        <w:rPr>
          <w:lang w:eastAsia="zh-CN"/>
        </w:rPr>
        <w:t xml:space="preserve"> selected</w:t>
      </w:r>
      <w:r w:rsidRPr="009C5807">
        <w:rPr>
          <w:lang w:eastAsia="ko-KR"/>
        </w:rPr>
        <w:t xml:space="preserve"> with equal probability amongst the </w:t>
      </w:r>
      <w:r w:rsidRPr="009C5807">
        <w:rPr>
          <w:lang w:eastAsia="zh-CN"/>
        </w:rPr>
        <w:t xml:space="preserve">selected CSI-RS associated </w:t>
      </w:r>
      <w:r w:rsidRPr="009C5807">
        <w:rPr>
          <w:lang w:eastAsia="ko-KR"/>
        </w:rPr>
        <w:t>PRACH occasions occurring simultaneously but on different subcarriers</w:t>
      </w:r>
      <w:r w:rsidRPr="009C5807">
        <w:rPr>
          <w:rFonts w:cs="v4.2.0"/>
          <w:lang w:eastAsia="zh-CN"/>
        </w:rPr>
        <w:t xml:space="preserve">, </w:t>
      </w:r>
      <w:r w:rsidRPr="009C5807">
        <w:rPr>
          <w:rFonts w:cs="v4.2.0"/>
        </w:rPr>
        <w:t>as specified in clause 5.1.</w:t>
      </w:r>
      <w:r w:rsidRPr="009C5807">
        <w:rPr>
          <w:rFonts w:cs="v4.2.0"/>
          <w:lang w:eastAsia="zh-CN"/>
        </w:rPr>
        <w:t>2</w:t>
      </w:r>
      <w:r w:rsidRPr="009C5807">
        <w:rPr>
          <w:rFonts w:cs="v4.2.0"/>
        </w:rPr>
        <w:t xml:space="preserve"> in TS 3</w:t>
      </w:r>
      <w:r w:rsidRPr="009C5807">
        <w:rPr>
          <w:rFonts w:cs="v4.2.0"/>
          <w:lang w:eastAsia="zh-CN"/>
        </w:rPr>
        <w:t>8</w:t>
      </w:r>
      <w:r w:rsidRPr="009C5807">
        <w:rPr>
          <w:rFonts w:cs="v4.2.0"/>
        </w:rPr>
        <w:t>.321 [7]</w:t>
      </w:r>
      <w:r w:rsidRPr="009C5807">
        <w:rPr>
          <w:rFonts w:cs="v4.2.0"/>
          <w:lang w:eastAsia="zh-CN"/>
        </w:rPr>
        <w:t>.</w:t>
      </w:r>
    </w:p>
    <w:p w14:paraId="13B44853" w14:textId="1610AFD9" w:rsidR="00CB7170" w:rsidRPr="009C5807" w:rsidRDefault="00CB7170" w:rsidP="00CB7170">
      <w:pPr>
        <w:rPr>
          <w:rFonts w:cs="v4.2.0"/>
          <w:lang w:eastAsia="zh-CN"/>
        </w:rPr>
      </w:pPr>
      <w:r w:rsidRPr="009C5807">
        <w:rPr>
          <w:rFonts w:cs="v4.2.0"/>
          <w:lang w:eastAsia="zh-CN"/>
        </w:rPr>
        <w:t xml:space="preserve">If the random access procedure is initialized for beam failure recovery and if the contention-free Random Access Resources </w:t>
      </w:r>
      <w:r w:rsidRPr="009C5807">
        <w:rPr>
          <w:lang w:eastAsia="zh-CN"/>
        </w:rPr>
        <w:t>and the contention-free PRACH occasions</w:t>
      </w:r>
      <w:r w:rsidRPr="009C5807">
        <w:rPr>
          <w:rFonts w:cs="v4.2.0"/>
          <w:lang w:eastAsia="zh-CN"/>
        </w:rPr>
        <w:t xml:space="preserve"> for beam failure recovery request associated with any of the SSBs and/or CSI-RSs is configured, UE shall have the capability to select the Random Access Preamble corresponding to the selected SSB with SS-RSRP above </w:t>
      </w:r>
      <w:r w:rsidRPr="009C5807">
        <w:rPr>
          <w:rFonts w:cs="v4.2.0"/>
          <w:i/>
          <w:lang w:eastAsia="zh-CN"/>
        </w:rPr>
        <w:t xml:space="preserve">rsrp-ThresholdSSB </w:t>
      </w:r>
      <w:r w:rsidRPr="009C5807">
        <w:rPr>
          <w:rFonts w:cs="v4.2.0"/>
          <w:lang w:eastAsia="zh-CN"/>
        </w:rPr>
        <w:t xml:space="preserve">amongst the associated SSBs or the selected CSI-RS with CSI-RSRP above </w:t>
      </w:r>
      <w:r w:rsidRPr="009C5807">
        <w:rPr>
          <w:i/>
          <w:iCs/>
          <w:noProof/>
        </w:rPr>
        <w:t>rsrp-ThresholdCSI-RS</w:t>
      </w:r>
      <w:r w:rsidRPr="009C5807">
        <w:rPr>
          <w:rFonts w:cs="v4.2.0"/>
          <w:lang w:eastAsia="zh-CN"/>
        </w:rPr>
        <w:t xml:space="preserve"> amongst the associated CSI-RSs, and to transmit Random Access Preamble on the next available PRACH occasion from the PRACH occasions corresponding to the selected SSB permitted by the restrictions given by the </w:t>
      </w:r>
      <w:r w:rsidRPr="009C5807">
        <w:rPr>
          <w:rFonts w:cs="v4.2.0"/>
          <w:i/>
          <w:lang w:eastAsia="zh-CN"/>
        </w:rPr>
        <w:t>ra-ssb-OccasionMaskIndex</w:t>
      </w:r>
      <w:r w:rsidRPr="009C5807">
        <w:rPr>
          <w:rFonts w:cs="v4.2.0"/>
          <w:lang w:eastAsia="zh-CN"/>
        </w:rPr>
        <w:t xml:space="preserve"> if configured, or from the PRACH occasions in </w:t>
      </w:r>
      <w:r w:rsidRPr="009C5807">
        <w:rPr>
          <w:rFonts w:cs="v4.2.0"/>
          <w:i/>
          <w:lang w:eastAsia="zh-CN"/>
        </w:rPr>
        <w:t>ra-OccasionList</w:t>
      </w:r>
      <w:r w:rsidRPr="009C5807">
        <w:rPr>
          <w:rFonts w:cs="v4.2.0"/>
          <w:lang w:eastAsia="zh-CN"/>
        </w:rPr>
        <w:t xml:space="preserve"> corresponding to the selected CSI-RS, and </w:t>
      </w:r>
      <w:r w:rsidRPr="009C5807">
        <w:rPr>
          <w:lang w:eastAsia="ko-KR"/>
        </w:rPr>
        <w:t xml:space="preserve">PRACH occasion </w:t>
      </w:r>
      <w:r w:rsidRPr="009C5807">
        <w:rPr>
          <w:lang w:eastAsia="zh-CN"/>
        </w:rPr>
        <w:t xml:space="preserve">shall be </w:t>
      </w:r>
      <w:r w:rsidRPr="009C5807">
        <w:rPr>
          <w:lang w:eastAsia="ko-KR"/>
        </w:rPr>
        <w:t>randomly</w:t>
      </w:r>
      <w:r w:rsidRPr="009C5807">
        <w:rPr>
          <w:lang w:eastAsia="zh-CN"/>
        </w:rPr>
        <w:t xml:space="preserve"> selected</w:t>
      </w:r>
      <w:r w:rsidRPr="009C5807">
        <w:rPr>
          <w:lang w:eastAsia="ko-KR"/>
        </w:rPr>
        <w:t xml:space="preserve"> with equal probability amongst the </w:t>
      </w:r>
      <w:r w:rsidRPr="009C5807">
        <w:rPr>
          <w:lang w:eastAsia="zh-CN"/>
        </w:rPr>
        <w:t xml:space="preserve">selected SSB assocated PRACH occasions or the selected CSI-RS associated </w:t>
      </w:r>
      <w:r w:rsidRPr="009C5807">
        <w:rPr>
          <w:lang w:eastAsia="ko-KR"/>
        </w:rPr>
        <w:t>PRACH occasions occurring simultaneously but on different subcarriers</w:t>
      </w:r>
      <w:r w:rsidRPr="009C5807">
        <w:rPr>
          <w:rFonts w:cs="v4.2.0"/>
          <w:lang w:eastAsia="zh-CN"/>
        </w:rPr>
        <w:t xml:space="preserve">, </w:t>
      </w:r>
      <w:r w:rsidRPr="009C5807">
        <w:rPr>
          <w:rFonts w:cs="v4.2.0"/>
        </w:rPr>
        <w:t>as specified in clause 5.1.</w:t>
      </w:r>
      <w:r w:rsidRPr="009C5807">
        <w:rPr>
          <w:rFonts w:cs="v4.2.0"/>
          <w:lang w:eastAsia="zh-CN"/>
        </w:rPr>
        <w:t>2</w:t>
      </w:r>
      <w:r w:rsidRPr="009C5807">
        <w:rPr>
          <w:rFonts w:cs="v4.2.0"/>
        </w:rPr>
        <w:t xml:space="preserve"> in TS 3</w:t>
      </w:r>
      <w:r w:rsidRPr="009C5807">
        <w:rPr>
          <w:rFonts w:cs="v4.2.0"/>
          <w:lang w:eastAsia="zh-CN"/>
        </w:rPr>
        <w:t>8</w:t>
      </w:r>
      <w:r w:rsidRPr="009C5807">
        <w:rPr>
          <w:rFonts w:cs="v4.2.0"/>
        </w:rPr>
        <w:t>.321 [7]</w:t>
      </w:r>
      <w:r w:rsidRPr="009C5807">
        <w:rPr>
          <w:rFonts w:cs="v4.2.0"/>
          <w:lang w:eastAsia="zh-CN"/>
        </w:rPr>
        <w:t>.</w:t>
      </w:r>
    </w:p>
    <w:p w14:paraId="480D32A6" w14:textId="77777777" w:rsidR="00B4741B" w:rsidRPr="009C5807" w:rsidRDefault="00B4741B" w:rsidP="00787B09">
      <w:pPr>
        <w:pStyle w:val="Heading6"/>
        <w:rPr>
          <w:lang w:eastAsia="zh-CN"/>
        </w:rPr>
      </w:pPr>
      <w:r w:rsidRPr="009C5807">
        <w:rPr>
          <w:lang w:eastAsia="zh-CN"/>
        </w:rPr>
        <w:t>6.2.2.2.2.2</w:t>
      </w:r>
      <w:r w:rsidRPr="009C5807">
        <w:rPr>
          <w:lang w:eastAsia="zh-CN"/>
        </w:rPr>
        <w:tab/>
        <w:t>Correct behaviour when receiving Random Access Response</w:t>
      </w:r>
    </w:p>
    <w:p w14:paraId="3D5CDA55" w14:textId="77777777" w:rsidR="00B4741B" w:rsidRPr="009C5807" w:rsidRDefault="00B4741B" w:rsidP="00B4741B">
      <w:pPr>
        <w:rPr>
          <w:lang w:eastAsia="zh-CN"/>
        </w:rPr>
      </w:pPr>
      <w:r w:rsidRPr="009C5807">
        <w:t>The UE may stop monitoring for Random Access Response(s)</w:t>
      </w:r>
      <w:r w:rsidRPr="009C5807">
        <w:rPr>
          <w:lang w:eastAsia="zh-CN"/>
        </w:rPr>
        <w:t xml:space="preserve">, </w:t>
      </w:r>
      <w:r w:rsidRPr="009C5807">
        <w:t>if the Random Access Response contains a Random Access Preamble identifier corresponding to the transmitted Random Access Preamble</w:t>
      </w:r>
      <w:r w:rsidRPr="009C5807">
        <w:rPr>
          <w:lang w:eastAsia="zh-CN"/>
        </w:rPr>
        <w:t>, unless the random access procedure is initialized for Other SI request from UE</w:t>
      </w:r>
      <w:r w:rsidRPr="009C5807">
        <w:t>.</w:t>
      </w:r>
    </w:p>
    <w:p w14:paraId="2E30B90F" w14:textId="77777777" w:rsidR="00B4741B" w:rsidRPr="009C5807" w:rsidRDefault="00B4741B" w:rsidP="00B4741B">
      <w:pPr>
        <w:rPr>
          <w:lang w:eastAsia="zh-CN"/>
        </w:rPr>
      </w:pPr>
      <w:r w:rsidRPr="009C5807">
        <w:t xml:space="preserve">The UE may stop monitoring for Random Access Response(s) and shall </w:t>
      </w:r>
      <w:r w:rsidRPr="009C5807">
        <w:rPr>
          <w:lang w:eastAsia="zh-CN"/>
        </w:rPr>
        <w:t>monitor the Other SI transmission</w:t>
      </w:r>
      <w:r w:rsidRPr="009C5807">
        <w:t xml:space="preserve"> if the Random Access Response </w:t>
      </w:r>
      <w:r w:rsidRPr="009C5807">
        <w:rPr>
          <w:lang w:eastAsia="zh-CN"/>
        </w:rPr>
        <w:t xml:space="preserve">only </w:t>
      </w:r>
      <w:r w:rsidRPr="009C5807">
        <w:t xml:space="preserve">contains a Random Access Preamble identifier </w:t>
      </w:r>
      <w:r w:rsidRPr="009C5807">
        <w:rPr>
          <w:lang w:eastAsia="zh-CN"/>
        </w:rPr>
        <w:t xml:space="preserve">which is </w:t>
      </w:r>
      <w:r w:rsidRPr="009C5807">
        <w:t>corresponding to the transmitted Random Access Preamble</w:t>
      </w:r>
      <w:r w:rsidRPr="009C5807">
        <w:rPr>
          <w:lang w:eastAsia="zh-CN"/>
        </w:rPr>
        <w:t xml:space="preserve"> and the random access procedure is initialized for SI request from UE</w:t>
      </w:r>
      <w:r w:rsidRPr="009C5807">
        <w:rPr>
          <w:rFonts w:cs="v4.2.0"/>
          <w:lang w:eastAsia="zh-CN"/>
        </w:rPr>
        <w:t xml:space="preserve">, </w:t>
      </w:r>
      <w:r w:rsidRPr="009C5807">
        <w:rPr>
          <w:rFonts w:cs="v4.2.0"/>
        </w:rPr>
        <w:t>as specified in clause 5.1.</w:t>
      </w:r>
      <w:r w:rsidRPr="009C5807">
        <w:rPr>
          <w:rFonts w:cs="v4.2.0"/>
          <w:lang w:eastAsia="zh-CN"/>
        </w:rPr>
        <w:t>4</w:t>
      </w:r>
      <w:r w:rsidRPr="009C5807">
        <w:rPr>
          <w:rFonts w:cs="v4.2.0"/>
        </w:rPr>
        <w:t xml:space="preserve"> in TS 3</w:t>
      </w:r>
      <w:r w:rsidRPr="009C5807">
        <w:rPr>
          <w:rFonts w:cs="v4.2.0"/>
          <w:lang w:eastAsia="zh-CN"/>
        </w:rPr>
        <w:t>8</w:t>
      </w:r>
      <w:r w:rsidRPr="009C5807">
        <w:rPr>
          <w:rFonts w:cs="v4.2.0"/>
        </w:rPr>
        <w:t>.321 [7]</w:t>
      </w:r>
      <w:r w:rsidRPr="009C5807">
        <w:t>.</w:t>
      </w:r>
    </w:p>
    <w:p w14:paraId="1E38478C" w14:textId="77777777" w:rsidR="00B4741B" w:rsidRPr="009C5807" w:rsidRDefault="00B4741B" w:rsidP="00B4741B">
      <w:pPr>
        <w:rPr>
          <w:lang w:eastAsia="zh-CN"/>
        </w:rPr>
      </w:pPr>
      <w:r w:rsidRPr="009C5807">
        <w:t>The UE may stop monitoring for Random Access Response(s)</w:t>
      </w:r>
      <w:r w:rsidRPr="009C5807">
        <w:rPr>
          <w:lang w:eastAsia="zh-CN"/>
        </w:rPr>
        <w:t>, if the contention-free Random Access Preamble for beam failure recovery request was transmitted and if the PDCCH addressed to UE’s C-RNTI is received</w:t>
      </w:r>
      <w:r w:rsidRPr="009C5807">
        <w:rPr>
          <w:rFonts w:cs="v4.2.0"/>
          <w:lang w:eastAsia="zh-CN"/>
        </w:rPr>
        <w:t xml:space="preserve">, </w:t>
      </w:r>
      <w:r w:rsidRPr="009C5807">
        <w:rPr>
          <w:rFonts w:cs="v4.2.0"/>
        </w:rPr>
        <w:t>as specified in clause 5.1.</w:t>
      </w:r>
      <w:r w:rsidRPr="009C5807">
        <w:rPr>
          <w:rFonts w:cs="v4.2.0"/>
          <w:lang w:eastAsia="zh-CN"/>
        </w:rPr>
        <w:t>4</w:t>
      </w:r>
      <w:r w:rsidRPr="009C5807">
        <w:rPr>
          <w:rFonts w:cs="v4.2.0"/>
        </w:rPr>
        <w:t xml:space="preserve"> in TS 3</w:t>
      </w:r>
      <w:r w:rsidRPr="009C5807">
        <w:rPr>
          <w:rFonts w:cs="v4.2.0"/>
          <w:lang w:eastAsia="zh-CN"/>
        </w:rPr>
        <w:t>8</w:t>
      </w:r>
      <w:r w:rsidRPr="009C5807">
        <w:rPr>
          <w:rFonts w:cs="v4.2.0"/>
        </w:rPr>
        <w:t>.321 [7]</w:t>
      </w:r>
      <w:r w:rsidRPr="009C5807">
        <w:rPr>
          <w:lang w:eastAsia="zh-CN"/>
        </w:rPr>
        <w:t>.</w:t>
      </w:r>
    </w:p>
    <w:p w14:paraId="701D8A31" w14:textId="77777777" w:rsidR="00B4741B" w:rsidRPr="009C5807" w:rsidRDefault="00B4741B" w:rsidP="00B4741B">
      <w:pPr>
        <w:rPr>
          <w:rFonts w:cs="v4.2.0"/>
        </w:rPr>
      </w:pPr>
      <w:r w:rsidRPr="009C5807">
        <w:rPr>
          <w:rFonts w:cs="v4.2.0"/>
        </w:rPr>
        <w:t xml:space="preserve">The UE shall </w:t>
      </w:r>
      <w:r w:rsidRPr="009C5807">
        <w:rPr>
          <w:rFonts w:cs="v4.2.0"/>
          <w:lang w:eastAsia="zh-CN"/>
        </w:rPr>
        <w:t xml:space="preserve">again </w:t>
      </w:r>
      <w:r w:rsidRPr="009C5807">
        <w:rPr>
          <w:rFonts w:cs="v4.2.0"/>
        </w:rPr>
        <w:t>perform the Random Access Resource selection procedure defined in clause 5.1.2</w:t>
      </w:r>
      <w:r w:rsidRPr="009C5807">
        <w:rPr>
          <w:rFonts w:cs="v4.2.0"/>
          <w:lang w:eastAsia="zh-CN"/>
        </w:rPr>
        <w:t xml:space="preserve"> </w:t>
      </w:r>
      <w:r w:rsidRPr="009C5807">
        <w:rPr>
          <w:rFonts w:cs="v4.2.0"/>
        </w:rPr>
        <w:t>in TS 3</w:t>
      </w:r>
      <w:r w:rsidRPr="009C5807">
        <w:rPr>
          <w:rFonts w:cs="v4.2.0"/>
          <w:lang w:eastAsia="zh-CN"/>
        </w:rPr>
        <w:t>8</w:t>
      </w:r>
      <w:r w:rsidRPr="009C5807">
        <w:rPr>
          <w:rFonts w:cs="v4.2.0"/>
        </w:rPr>
        <w:t>.321 [7]</w:t>
      </w:r>
      <w:r w:rsidRPr="009C5807">
        <w:rPr>
          <w:rFonts w:cs="v4.2.0"/>
          <w:lang w:eastAsia="zh-CN"/>
        </w:rPr>
        <w:t xml:space="preserve"> for the next available PRACH occasion, and </w:t>
      </w:r>
      <w:r w:rsidRPr="009C5807">
        <w:t>transmit the preamble</w:t>
      </w:r>
      <w:r w:rsidRPr="009C5807">
        <w:rPr>
          <w:i/>
        </w:rPr>
        <w:t xml:space="preserve"> </w:t>
      </w:r>
      <w:r w:rsidRPr="009C5807">
        <w:rPr>
          <w:rFonts w:cs="v4.2.0"/>
        </w:rPr>
        <w:t>with the calculated PRACH transmission power</w:t>
      </w:r>
      <w:r w:rsidRPr="009C5807">
        <w:t xml:space="preserve"> if all received Random Access Responses contain Random Access Preamble identifiers that do not match the transmitted Random Access Preamble.</w:t>
      </w:r>
    </w:p>
    <w:p w14:paraId="384B6CD1" w14:textId="77777777" w:rsidR="00B4741B" w:rsidRPr="009C5807" w:rsidRDefault="00B4741B" w:rsidP="00787B09">
      <w:pPr>
        <w:pStyle w:val="Heading6"/>
        <w:rPr>
          <w:lang w:eastAsia="zh-CN"/>
        </w:rPr>
      </w:pPr>
      <w:r w:rsidRPr="009C5807">
        <w:rPr>
          <w:lang w:eastAsia="zh-CN"/>
        </w:rPr>
        <w:t>6.2.2.2.2.3</w:t>
      </w:r>
      <w:r w:rsidRPr="009C5807">
        <w:rPr>
          <w:lang w:eastAsia="zh-CN"/>
        </w:rPr>
        <w:tab/>
        <w:t>Correct behaviour when not receiving Random Access Response</w:t>
      </w:r>
    </w:p>
    <w:p w14:paraId="409A60DF" w14:textId="77777777" w:rsidR="00B4741B" w:rsidRPr="009C5807" w:rsidRDefault="00B4741B" w:rsidP="00B4741B">
      <w:pPr>
        <w:rPr>
          <w:lang w:eastAsia="zh-CN"/>
        </w:rPr>
      </w:pPr>
      <w:r w:rsidRPr="009C5807">
        <w:rPr>
          <w:rFonts w:cs="v4.2.0"/>
        </w:rPr>
        <w:t xml:space="preserve">The UE shall </w:t>
      </w:r>
      <w:r w:rsidRPr="009C5807">
        <w:rPr>
          <w:rFonts w:cs="v4.2.0"/>
          <w:lang w:eastAsia="zh-CN"/>
        </w:rPr>
        <w:t xml:space="preserve">again </w:t>
      </w:r>
      <w:r w:rsidRPr="009C5807">
        <w:rPr>
          <w:rFonts w:cs="v4.2.0"/>
        </w:rPr>
        <w:t>perform the Random Access Resource selection procedure defined in clause 5.1.2</w:t>
      </w:r>
      <w:r w:rsidRPr="009C5807">
        <w:rPr>
          <w:rFonts w:cs="v4.2.0"/>
          <w:lang w:eastAsia="zh-CN"/>
        </w:rPr>
        <w:t xml:space="preserve"> </w:t>
      </w:r>
      <w:r w:rsidRPr="009C5807">
        <w:rPr>
          <w:rFonts w:cs="v4.2.0"/>
        </w:rPr>
        <w:t>in TS 3</w:t>
      </w:r>
      <w:r w:rsidRPr="009C5807">
        <w:rPr>
          <w:rFonts w:cs="v4.2.0"/>
          <w:lang w:eastAsia="zh-CN"/>
        </w:rPr>
        <w:t>8</w:t>
      </w:r>
      <w:r w:rsidRPr="009C5807">
        <w:rPr>
          <w:rFonts w:cs="v4.2.0"/>
        </w:rPr>
        <w:t>.321 [7]</w:t>
      </w:r>
      <w:r w:rsidRPr="009C5807">
        <w:rPr>
          <w:rFonts w:cs="v4.2.0"/>
          <w:lang w:eastAsia="zh-CN"/>
        </w:rPr>
        <w:t xml:space="preserve"> for the next available PRACH occasion,</w:t>
      </w:r>
      <w:r w:rsidRPr="009C5807">
        <w:t xml:space="preserve"> </w:t>
      </w:r>
      <w:r w:rsidRPr="009C5807">
        <w:rPr>
          <w:lang w:eastAsia="zh-CN"/>
        </w:rPr>
        <w:t>and</w:t>
      </w:r>
      <w:r w:rsidRPr="009C5807">
        <w:t xml:space="preserve"> transmit the preamble</w:t>
      </w:r>
      <w:r w:rsidRPr="009C5807">
        <w:rPr>
          <w:rFonts w:cs="v4.2.0"/>
        </w:rPr>
        <w:t xml:space="preserve"> with the calculated PRACH transmission power</w:t>
      </w:r>
      <w:r w:rsidRPr="009C5807">
        <w:rPr>
          <w:rFonts w:cs="v4.2.0"/>
          <w:lang w:eastAsia="zh-CN"/>
        </w:rPr>
        <w:t xml:space="preserve">, </w:t>
      </w:r>
      <w:r w:rsidRPr="009C5807">
        <w:rPr>
          <w:noProof/>
          <w:lang w:eastAsia="zh-CN"/>
        </w:rPr>
        <w:t xml:space="preserve">if no Random Access Response is received within the RA Response window configured in </w:t>
      </w:r>
      <w:r w:rsidRPr="009C5807">
        <w:rPr>
          <w:i/>
          <w:noProof/>
          <w:lang w:eastAsia="zh-CN"/>
        </w:rPr>
        <w:t>RACH-ConfigCommon</w:t>
      </w:r>
      <w:r w:rsidRPr="009C5807">
        <w:rPr>
          <w:noProof/>
          <w:lang w:eastAsia="zh-CN"/>
        </w:rPr>
        <w:t xml:space="preserve"> or if no PDCCH addressed to UE’s C-RNTI is received within the RA Response window configured in </w:t>
      </w:r>
      <w:r w:rsidRPr="009C5807">
        <w:rPr>
          <w:i/>
          <w:noProof/>
          <w:lang w:eastAsia="zh-CN"/>
        </w:rPr>
        <w:t>BeamFailureRecoveryConfig</w:t>
      </w:r>
      <w:r w:rsidRPr="009C5807">
        <w:rPr>
          <w:noProof/>
          <w:lang w:eastAsia="zh-CN"/>
        </w:rPr>
        <w:t>, as</w:t>
      </w:r>
      <w:r w:rsidRPr="009C5807">
        <w:t xml:space="preserve"> defined in clause 5.1.4 </w:t>
      </w:r>
      <w:r w:rsidRPr="009C5807">
        <w:rPr>
          <w:lang w:eastAsia="zh-CN"/>
        </w:rPr>
        <w:t xml:space="preserve">in </w:t>
      </w:r>
      <w:r w:rsidRPr="009C5807">
        <w:t>TS 3</w:t>
      </w:r>
      <w:r w:rsidRPr="009C5807">
        <w:rPr>
          <w:lang w:eastAsia="zh-CN"/>
        </w:rPr>
        <w:t>8</w:t>
      </w:r>
      <w:r w:rsidRPr="009C5807">
        <w:t>.321</w:t>
      </w:r>
      <w:r w:rsidRPr="009C5807">
        <w:rPr>
          <w:lang w:eastAsia="zh-CN"/>
        </w:rPr>
        <w:t xml:space="preserve"> [7]</w:t>
      </w:r>
      <w:r w:rsidRPr="009C5807">
        <w:t>.</w:t>
      </w:r>
    </w:p>
    <w:p w14:paraId="7D8327C5" w14:textId="77777777" w:rsidR="00B4741B" w:rsidRPr="009C5807" w:rsidRDefault="00B4741B" w:rsidP="00B4741B">
      <w:pPr>
        <w:pStyle w:val="Heading5"/>
        <w:rPr>
          <w:lang w:eastAsia="zh-CN"/>
        </w:rPr>
      </w:pPr>
      <w:bookmarkStart w:id="124" w:name="_Toc5952585"/>
      <w:r w:rsidRPr="009C5807">
        <w:rPr>
          <w:lang w:eastAsia="zh-CN"/>
        </w:rPr>
        <w:t>6.2.2.2.3</w:t>
      </w:r>
      <w:r w:rsidRPr="009C5807">
        <w:rPr>
          <w:lang w:eastAsia="zh-CN"/>
        </w:rPr>
        <w:tab/>
        <w:t>UE behaviour when configured with supplementary UL</w:t>
      </w:r>
      <w:bookmarkEnd w:id="124"/>
    </w:p>
    <w:p w14:paraId="2B99ABD3" w14:textId="77777777" w:rsidR="00B4741B" w:rsidRPr="009C5807" w:rsidRDefault="00B4741B" w:rsidP="00B4741B">
      <w:pPr>
        <w:rPr>
          <w:lang w:eastAsia="zh-CN"/>
        </w:rPr>
      </w:pPr>
      <w:r w:rsidRPr="009C5807">
        <w:t xml:space="preserve">In addition to the requirements defined in </w:t>
      </w:r>
      <w:r w:rsidRPr="009C5807">
        <w:rPr>
          <w:lang w:eastAsia="zh-CN"/>
        </w:rPr>
        <w:t xml:space="preserve">clause </w:t>
      </w:r>
      <w:r w:rsidRPr="009C5807">
        <w:t xml:space="preserve">6.2.2.2.1 and 6.2.2.2.2, </w:t>
      </w:r>
      <w:r w:rsidRPr="009C5807">
        <w:rPr>
          <w:lang w:eastAsia="zh-CN"/>
        </w:rPr>
        <w:t>a</w:t>
      </w:r>
      <w:r w:rsidRPr="009C5807">
        <w:t xml:space="preserve"> UE configured with supplementary UL carrier shall use RACH configuration for the supplementary UL carrier contained in RMSI and RRC dedicated signalling. </w:t>
      </w:r>
      <w:r w:rsidRPr="009C5807">
        <w:rPr>
          <w:lang w:eastAsia="zh-CN"/>
        </w:rPr>
        <w:t>If the cell for the random access procedure is configured with supplementary UL, t</w:t>
      </w:r>
      <w:r w:rsidRPr="009C5807">
        <w:t xml:space="preserve">he UE shall transmit or re-transmit PRACH preamble on the supplementary UL carrier if the SS-RSRP measured by the UE on the DL carrier is lower than the </w:t>
      </w:r>
      <w:r w:rsidRPr="009C5807">
        <w:rPr>
          <w:i/>
          <w:lang w:eastAsia="ko-KR"/>
        </w:rPr>
        <w:t>rsrp-ThresholdSSB-SUL</w:t>
      </w:r>
      <w:r w:rsidRPr="009C5807">
        <w:rPr>
          <w:i/>
          <w:iCs/>
        </w:rPr>
        <w:t xml:space="preserve"> </w:t>
      </w:r>
      <w:r w:rsidRPr="009C5807">
        <w:t>as defined in TS 38.331 [2].</w:t>
      </w:r>
    </w:p>
    <w:p w14:paraId="7ACBCB4D" w14:textId="77777777" w:rsidR="00CB7170" w:rsidRPr="009C5807" w:rsidRDefault="00CB7170" w:rsidP="00CB7170">
      <w:pPr>
        <w:pStyle w:val="Heading4"/>
        <w:rPr>
          <w:lang w:eastAsia="ko-KR"/>
        </w:rPr>
      </w:pPr>
      <w:bookmarkStart w:id="125" w:name="_Toc5952586"/>
      <w:r w:rsidRPr="009C5807">
        <w:rPr>
          <w:lang w:eastAsia="ko-KR"/>
        </w:rPr>
        <w:t>6.2.</w:t>
      </w:r>
      <w:r w:rsidRPr="009C5807">
        <w:rPr>
          <w:lang w:eastAsia="zh-CN"/>
        </w:rPr>
        <w:t>2</w:t>
      </w:r>
      <w:r w:rsidRPr="009C5807">
        <w:rPr>
          <w:lang w:eastAsia="ko-KR"/>
        </w:rPr>
        <w:t>.3</w:t>
      </w:r>
      <w:r w:rsidRPr="009C5807">
        <w:rPr>
          <w:lang w:eastAsia="ko-KR"/>
        </w:rPr>
        <w:tab/>
        <w:t>Requirements for 2-step RA type</w:t>
      </w:r>
    </w:p>
    <w:p w14:paraId="77433B16" w14:textId="77777777" w:rsidR="00CB7170" w:rsidRPr="009C5807" w:rsidRDefault="00CB7170" w:rsidP="00CB7170">
      <w:pPr>
        <w:rPr>
          <w:rFonts w:cs="v4.2.0"/>
          <w:lang w:eastAsia="zh-CN"/>
        </w:rPr>
      </w:pPr>
      <w:r w:rsidRPr="009C5807">
        <w:t>The UE shall select the type of random access at initiation of the random access procedure based on network configuration, as specified in clause 5.1.1 in TS 38.321 [7].</w:t>
      </w:r>
    </w:p>
    <w:p w14:paraId="693EAD68" w14:textId="77777777" w:rsidR="00CB7170" w:rsidRPr="009C5807" w:rsidRDefault="00CB7170" w:rsidP="00CB7170">
      <w:pPr>
        <w:rPr>
          <w:rFonts w:cs="v4.2.0"/>
          <w:lang w:eastAsia="zh-CN"/>
        </w:rPr>
      </w:pPr>
      <w:r w:rsidRPr="009C5807">
        <w:rPr>
          <w:rFonts w:cs="v4.2.0"/>
          <w:lang w:eastAsia="zh-CN"/>
        </w:rPr>
        <w:t>T</w:t>
      </w:r>
      <w:r w:rsidRPr="009C5807">
        <w:rPr>
          <w:rFonts w:cs="v4.2.0"/>
        </w:rPr>
        <w:t>he UE shall have capability to calculate MsgA PRACH transmission power according to the PRACH power formula defined in clause 7.4 of TS 3</w:t>
      </w:r>
      <w:r w:rsidRPr="009C5807">
        <w:rPr>
          <w:rFonts w:cs="v4.2.0"/>
          <w:lang w:eastAsia="zh-CN"/>
        </w:rPr>
        <w:t>8</w:t>
      </w:r>
      <w:r w:rsidRPr="009C5807">
        <w:rPr>
          <w:rFonts w:cs="v4.2.0"/>
        </w:rPr>
        <w:t>.213</w:t>
      </w:r>
      <w:r w:rsidRPr="009C5807">
        <w:rPr>
          <w:rFonts w:cs="v4.2.0"/>
          <w:lang w:eastAsia="zh-CN"/>
        </w:rPr>
        <w:t xml:space="preserve"> </w:t>
      </w:r>
      <w:r w:rsidRPr="009C5807">
        <w:rPr>
          <w:rFonts w:cs="v4.2.0"/>
        </w:rPr>
        <w:t xml:space="preserve">[3] and the MsgA PUSCH power formula of clause 7.1.1 of TS 38.213 [3] and apply this power level at the first MsgA or additional MsgA repetitions. The absolute power applied to the first preamble shall have an accuracy as specified in </w:t>
      </w:r>
      <w:r w:rsidRPr="009C5807">
        <w:rPr>
          <w:rFonts w:cs="v4.2.0"/>
          <w:lang w:eastAsia="zh-CN"/>
        </w:rPr>
        <w:t>T</w:t>
      </w:r>
      <w:r w:rsidRPr="009C5807">
        <w:rPr>
          <w:rFonts w:cs="v4.2.0"/>
        </w:rPr>
        <w:t xml:space="preserve">able </w:t>
      </w:r>
      <w:r w:rsidRPr="009C5807">
        <w:rPr>
          <w:rFonts w:cs="v4.2.0"/>
          <w:lang w:eastAsia="zh-CN"/>
        </w:rPr>
        <w:t>6.3.4.2-1</w:t>
      </w:r>
      <w:r w:rsidRPr="009C5807">
        <w:rPr>
          <w:rFonts w:cs="v4.2.0"/>
        </w:rPr>
        <w:t xml:space="preserve"> of TS 3</w:t>
      </w:r>
      <w:r w:rsidRPr="009C5807">
        <w:rPr>
          <w:rFonts w:cs="v4.2.0"/>
          <w:lang w:eastAsia="zh-CN"/>
        </w:rPr>
        <w:t>8</w:t>
      </w:r>
      <w:r w:rsidRPr="009C5807">
        <w:rPr>
          <w:rFonts w:cs="v4.2.0"/>
        </w:rPr>
        <w:t>.101</w:t>
      </w:r>
      <w:r w:rsidRPr="009C5807">
        <w:rPr>
          <w:rFonts w:cs="v4.2.0"/>
          <w:lang w:eastAsia="zh-CN"/>
        </w:rPr>
        <w:t xml:space="preserve">-1 </w:t>
      </w:r>
      <w:r w:rsidRPr="009C5807">
        <w:rPr>
          <w:rFonts w:cs="v4.2.0"/>
        </w:rPr>
        <w:t>[18]</w:t>
      </w:r>
      <w:r w:rsidRPr="009C5807">
        <w:rPr>
          <w:rFonts w:cs="v4.2.0"/>
          <w:lang w:eastAsia="zh-CN"/>
        </w:rPr>
        <w:t xml:space="preserve"> for frequency range 1 and in Table 6.3.4.2-1 of TS 38.101-2 [19] for frequency range 2</w:t>
      </w:r>
      <w:r w:rsidRPr="009C5807">
        <w:rPr>
          <w:rFonts w:cs="v4.2.0"/>
        </w:rPr>
        <w:t xml:space="preserve">. The relative power applied to additional preambles shall have an accuracy as specified in </w:t>
      </w:r>
      <w:r w:rsidRPr="009C5807">
        <w:rPr>
          <w:rFonts w:cs="v4.2.0"/>
          <w:lang w:eastAsia="zh-CN"/>
        </w:rPr>
        <w:t>T</w:t>
      </w:r>
      <w:r w:rsidRPr="009C5807">
        <w:rPr>
          <w:rFonts w:cs="v4.2.0"/>
        </w:rPr>
        <w:t xml:space="preserve">able </w:t>
      </w:r>
      <w:r w:rsidRPr="009C5807">
        <w:rPr>
          <w:rFonts w:cs="v4.2.0"/>
          <w:lang w:eastAsia="zh-CN"/>
        </w:rPr>
        <w:t>6.3.4.3-1</w:t>
      </w:r>
      <w:r w:rsidRPr="009C5807">
        <w:rPr>
          <w:rFonts w:cs="v4.2.0"/>
        </w:rPr>
        <w:t xml:space="preserve"> of TS 3</w:t>
      </w:r>
      <w:r w:rsidRPr="009C5807">
        <w:rPr>
          <w:rFonts w:cs="v4.2.0"/>
          <w:lang w:eastAsia="zh-CN"/>
        </w:rPr>
        <w:t>8</w:t>
      </w:r>
      <w:r w:rsidRPr="009C5807">
        <w:rPr>
          <w:rFonts w:cs="v4.2.0"/>
        </w:rPr>
        <w:t>.101</w:t>
      </w:r>
      <w:r w:rsidRPr="009C5807">
        <w:rPr>
          <w:rFonts w:cs="v4.2.0"/>
          <w:lang w:eastAsia="zh-CN"/>
        </w:rPr>
        <w:t xml:space="preserve">-1 </w:t>
      </w:r>
      <w:r w:rsidRPr="009C5807">
        <w:rPr>
          <w:rFonts w:cs="v4.2.0"/>
        </w:rPr>
        <w:t>[</w:t>
      </w:r>
      <w:r w:rsidRPr="009C5807">
        <w:rPr>
          <w:rFonts w:cs="v4.2.0"/>
          <w:lang w:eastAsia="zh-CN"/>
        </w:rPr>
        <w:t>18</w:t>
      </w:r>
      <w:r w:rsidRPr="009C5807">
        <w:rPr>
          <w:rFonts w:cs="v4.2.0"/>
        </w:rPr>
        <w:t>]</w:t>
      </w:r>
      <w:r w:rsidRPr="009C5807">
        <w:rPr>
          <w:rFonts w:cs="v4.2.0"/>
          <w:lang w:eastAsia="zh-CN"/>
        </w:rPr>
        <w:t xml:space="preserve"> for frequency range 1 and clause 6.3.4.3 of TS38.101-2 [19] for frequency range 2</w:t>
      </w:r>
      <w:r w:rsidRPr="009C5807">
        <w:rPr>
          <w:rFonts w:cs="v4.2.0"/>
        </w:rPr>
        <w:t>.</w:t>
      </w:r>
    </w:p>
    <w:p w14:paraId="248F56B5" w14:textId="77777777" w:rsidR="00CB7170" w:rsidRPr="009C5807" w:rsidRDefault="00CB7170" w:rsidP="00CB7170">
      <w:pPr>
        <w:rPr>
          <w:rFonts w:cs="v4.2.0"/>
          <w:lang w:eastAsia="zh-CN"/>
        </w:rPr>
      </w:pPr>
      <w:r w:rsidRPr="009C5807">
        <w:rPr>
          <w:rFonts w:cs="v4.2.0"/>
          <w:lang w:eastAsia="zh-CN"/>
        </w:rPr>
        <w:t xml:space="preserve">The UE shall switch to 4-step RA type procedure if the MsgA transmission counter has exceeded </w:t>
      </w:r>
      <w:r w:rsidRPr="009C5807">
        <w:rPr>
          <w:i/>
          <w:iCs/>
          <w:lang w:val="en-US" w:eastAsia="ko-KR"/>
        </w:rPr>
        <w:t>msgA-TransMax</w:t>
      </w:r>
      <w:r w:rsidRPr="009C5807">
        <w:t>, if configured,</w:t>
      </w:r>
      <w:r w:rsidRPr="009C5807">
        <w:rPr>
          <w:lang w:val="en-US" w:eastAsia="ko-KR"/>
        </w:rPr>
        <w:t xml:space="preserve"> </w:t>
      </w:r>
      <w:r w:rsidRPr="009C5807">
        <w:rPr>
          <w:rFonts w:cs="v4.2.0"/>
          <w:lang w:eastAsia="zh-CN"/>
        </w:rPr>
        <w:t>as specified in clause 5.1.4a of TS 38.321 [7]. The UE shall indicate a Random Access problem to upper layers if the maximum number of preamble transmission counter has been reached for the random access procedure on PCell or PSCell as specified in clause 5.1.4a in TS 38.321 [7].</w:t>
      </w:r>
    </w:p>
    <w:p w14:paraId="29FE351F" w14:textId="77777777" w:rsidR="00CB7170" w:rsidRPr="009C5807" w:rsidRDefault="00CB7170" w:rsidP="00CB7170">
      <w:pPr>
        <w:rPr>
          <w:rFonts w:cs="v4.2.0"/>
          <w:lang w:eastAsia="zh-CN"/>
        </w:rPr>
      </w:pPr>
      <w:r w:rsidRPr="009C5807">
        <w:rPr>
          <w:rFonts w:cs="v4.2.0"/>
          <w:lang w:eastAsia="zh-CN"/>
        </w:rPr>
        <w:t>The requirements in this clause apply for UE in SA operation mode or any MR-DC operation mode.</w:t>
      </w:r>
    </w:p>
    <w:p w14:paraId="1848B829" w14:textId="77777777" w:rsidR="00CB7170" w:rsidRPr="009C5807" w:rsidRDefault="00CB7170" w:rsidP="00CB7170">
      <w:pPr>
        <w:pStyle w:val="Heading5"/>
        <w:rPr>
          <w:lang w:eastAsia="zh-CN"/>
        </w:rPr>
      </w:pPr>
      <w:r w:rsidRPr="009C5807">
        <w:rPr>
          <w:lang w:eastAsia="zh-CN"/>
        </w:rPr>
        <w:t>6.2.2.3.1</w:t>
      </w:r>
      <w:r w:rsidRPr="009C5807">
        <w:rPr>
          <w:lang w:eastAsia="zh-CN"/>
        </w:rPr>
        <w:tab/>
        <w:t>Contention based random access</w:t>
      </w:r>
    </w:p>
    <w:p w14:paraId="38CDC4D4" w14:textId="77777777" w:rsidR="00CB7170" w:rsidRPr="009C5807" w:rsidRDefault="00CB7170" w:rsidP="00A73957">
      <w:pPr>
        <w:pStyle w:val="Heading6"/>
        <w:rPr>
          <w:lang w:eastAsia="zh-CN"/>
        </w:rPr>
      </w:pPr>
      <w:r w:rsidRPr="009C5807">
        <w:rPr>
          <w:lang w:eastAsia="zh-CN"/>
        </w:rPr>
        <w:t>6.2.2.3.1.1</w:t>
      </w:r>
      <w:r w:rsidRPr="009C5807">
        <w:rPr>
          <w:lang w:eastAsia="zh-CN"/>
        </w:rPr>
        <w:tab/>
        <w:t>Correct behaviour when transmitting MsgA</w:t>
      </w:r>
    </w:p>
    <w:p w14:paraId="4904BAE1" w14:textId="77777777" w:rsidR="00CB7170" w:rsidRPr="009C5807" w:rsidRDefault="00CB7170" w:rsidP="00CB7170">
      <w:pPr>
        <w:rPr>
          <w:rFonts w:cs="v4.2.0"/>
          <w:lang w:eastAsia="zh-CN"/>
        </w:rPr>
      </w:pPr>
      <w:r w:rsidRPr="009C5807">
        <w:rPr>
          <w:rFonts w:cs="v4.2.0"/>
          <w:lang w:eastAsia="zh-CN"/>
        </w:rPr>
        <w:t xml:space="preserve">With the UE selected SSB with SS-RSRP above </w:t>
      </w:r>
      <w:r w:rsidRPr="009C5807">
        <w:rPr>
          <w:i/>
          <w:iCs/>
          <w:lang w:eastAsia="ko-KR"/>
        </w:rPr>
        <w:t>msgA-</w:t>
      </w:r>
      <w:r w:rsidRPr="009C5807">
        <w:rPr>
          <w:i/>
          <w:lang w:eastAsia="ko-KR"/>
        </w:rPr>
        <w:t>RSRP</w:t>
      </w:r>
      <w:r w:rsidRPr="009C5807">
        <w:rPr>
          <w:i/>
          <w:iCs/>
          <w:lang w:eastAsia="ko-KR"/>
        </w:rPr>
        <w:t>-ThresholdSSB</w:t>
      </w:r>
      <w:r w:rsidRPr="009C5807">
        <w:rPr>
          <w:rFonts w:cs="v4.2.0"/>
          <w:lang w:eastAsia="zh-CN"/>
        </w:rPr>
        <w:t xml:space="preserve">, the UE shall have the capability to select a </w:t>
      </w:r>
      <w:r w:rsidRPr="009C5807">
        <w:t>Random Access Preamble</w:t>
      </w:r>
      <w:r w:rsidRPr="009C5807">
        <w:rPr>
          <w:rFonts w:cs="v4.2.0"/>
          <w:lang w:eastAsia="zh-CN"/>
        </w:rPr>
        <w:t xml:space="preserve"> randomly with equal probability from the </w:t>
      </w:r>
      <w:r w:rsidRPr="009C5807">
        <w:t>Random Access Preamble</w:t>
      </w:r>
      <w:r w:rsidRPr="009C5807">
        <w:rPr>
          <w:lang w:eastAsia="zh-CN"/>
        </w:rPr>
        <w:t>s</w:t>
      </w:r>
      <w:r w:rsidRPr="009C5807">
        <w:rPr>
          <w:rFonts w:cs="v4.2.0"/>
          <w:lang w:eastAsia="zh-CN"/>
        </w:rPr>
        <w:t xml:space="preserve"> associated with the selected SSB if the association between Random Access Preambles and SS blocks is configured, </w:t>
      </w:r>
      <w:r w:rsidRPr="009C5807">
        <w:rPr>
          <w:rFonts w:cs="v4.2.0"/>
        </w:rPr>
        <w:t>as specified in clause 5.1.</w:t>
      </w:r>
      <w:r w:rsidRPr="009C5807">
        <w:rPr>
          <w:rFonts w:cs="v4.2.0"/>
          <w:lang w:eastAsia="zh-CN"/>
        </w:rPr>
        <w:t>2a</w:t>
      </w:r>
      <w:r w:rsidRPr="009C5807">
        <w:rPr>
          <w:rFonts w:cs="v4.2.0"/>
        </w:rPr>
        <w:t xml:space="preserve"> in TS 3</w:t>
      </w:r>
      <w:r w:rsidRPr="009C5807">
        <w:rPr>
          <w:rFonts w:cs="v4.2.0"/>
          <w:lang w:eastAsia="zh-CN"/>
        </w:rPr>
        <w:t>8</w:t>
      </w:r>
      <w:r w:rsidRPr="009C5807">
        <w:rPr>
          <w:rFonts w:cs="v4.2.0"/>
        </w:rPr>
        <w:t>.321 [7]</w:t>
      </w:r>
      <w:r w:rsidRPr="009C5807">
        <w:rPr>
          <w:rFonts w:cs="v4.2.0"/>
          <w:lang w:eastAsia="zh-CN"/>
        </w:rPr>
        <w:t>.</w:t>
      </w:r>
    </w:p>
    <w:p w14:paraId="5582169D" w14:textId="77777777" w:rsidR="00CB7170" w:rsidRPr="00D60521" w:rsidRDefault="00CB7170" w:rsidP="00CB7170">
      <w:r w:rsidRPr="009C5807">
        <w:t>With the UE selected SSB with SS-RSRP above</w:t>
      </w:r>
      <w:r w:rsidRPr="009C5807">
        <w:rPr>
          <w:lang w:eastAsia="zh-CN"/>
        </w:rPr>
        <w:t xml:space="preserve"> </w:t>
      </w:r>
      <w:r w:rsidRPr="009C5807">
        <w:rPr>
          <w:i/>
          <w:iCs/>
          <w:lang w:eastAsia="ko-KR"/>
        </w:rPr>
        <w:t>msgA-</w:t>
      </w:r>
      <w:r w:rsidRPr="009C5807">
        <w:rPr>
          <w:i/>
          <w:lang w:eastAsia="ko-KR"/>
        </w:rPr>
        <w:t>RSRP</w:t>
      </w:r>
      <w:r w:rsidRPr="009C5807">
        <w:rPr>
          <w:i/>
          <w:iCs/>
          <w:lang w:eastAsia="ko-KR"/>
        </w:rPr>
        <w:t>-ThresholdSSB</w:t>
      </w:r>
      <w:r w:rsidRPr="009C5807">
        <w:rPr>
          <w:lang w:eastAsia="zh-CN"/>
        </w:rPr>
        <w:t xml:space="preserve">, </w:t>
      </w:r>
      <w:r w:rsidRPr="009C5807">
        <w:t>UE shall have the capability to transmit MsgA PRACH on the next available PRACH occasion from the PRACH occasions corresponding to the selected SSB permitted by the restrictions given first by the</w:t>
      </w:r>
      <w:r w:rsidRPr="009C5807">
        <w:rPr>
          <w:color w:val="000000" w:themeColor="text1"/>
          <w:lang w:eastAsia="zh-CN"/>
        </w:rPr>
        <w:t xml:space="preserve"> </w:t>
      </w:r>
      <w:r w:rsidRPr="009C5807">
        <w:rPr>
          <w:i/>
          <w:color w:val="000000" w:themeColor="text1"/>
          <w:lang w:eastAsia="zh-CN"/>
        </w:rPr>
        <w:t>msgA-SSB-SharedRO-MaskIndex</w:t>
      </w:r>
      <w:r w:rsidRPr="009C5807">
        <w:rPr>
          <w:color w:val="000000" w:themeColor="text1"/>
          <w:lang w:eastAsia="zh-CN"/>
        </w:rPr>
        <w:t xml:space="preserve"> </w:t>
      </w:r>
      <w:r w:rsidRPr="009C5807">
        <w:t>if configured, or next by the</w:t>
      </w:r>
      <w:r w:rsidRPr="009C5807">
        <w:rPr>
          <w:color w:val="000000" w:themeColor="text1"/>
          <w:lang w:eastAsia="zh-CN"/>
        </w:rPr>
        <w:t xml:space="preserve"> </w:t>
      </w:r>
      <w:r w:rsidRPr="009C5807">
        <w:rPr>
          <w:i/>
          <w:lang w:eastAsia="ko-KR"/>
        </w:rPr>
        <w:t xml:space="preserve">ra-ssb-OccasionMaskIndex </w:t>
      </w:r>
      <w:r w:rsidRPr="009C5807">
        <w:t>if configured, if the association between PRACH occasions and SSBs is configured.</w:t>
      </w:r>
      <w:r w:rsidRPr="009C5807">
        <w:rPr>
          <w:color w:val="000000" w:themeColor="text1"/>
          <w:lang w:eastAsia="zh-CN"/>
        </w:rPr>
        <w:t xml:space="preserve"> </w:t>
      </w:r>
    </w:p>
    <w:p w14:paraId="7AAA6CCF" w14:textId="77777777" w:rsidR="00CB7170" w:rsidRPr="009C5807" w:rsidRDefault="00CB7170" w:rsidP="00CB7170">
      <w:pPr>
        <w:rPr>
          <w:rFonts w:cs="v4.2.0"/>
        </w:rPr>
      </w:pPr>
      <w:r w:rsidRPr="009C5807">
        <w:rPr>
          <w:rFonts w:cs="v4.2.0"/>
          <w:lang w:eastAsia="zh-CN"/>
        </w:rPr>
        <w:t xml:space="preserve">The PRACH preamble and </w:t>
      </w:r>
      <w:r w:rsidRPr="009C5807">
        <w:rPr>
          <w:lang w:eastAsia="ko-KR"/>
        </w:rPr>
        <w:t xml:space="preserve">PRACH occasion </w:t>
      </w:r>
      <w:r w:rsidRPr="009C5807">
        <w:rPr>
          <w:lang w:eastAsia="zh-CN"/>
        </w:rPr>
        <w:t xml:space="preserve">shall be </w:t>
      </w:r>
      <w:r w:rsidRPr="009C5807">
        <w:rPr>
          <w:lang w:eastAsia="ko-KR"/>
        </w:rPr>
        <w:t>randomly</w:t>
      </w:r>
      <w:r w:rsidRPr="009C5807">
        <w:rPr>
          <w:lang w:eastAsia="zh-CN"/>
        </w:rPr>
        <w:t xml:space="preserve"> selected</w:t>
      </w:r>
      <w:r w:rsidRPr="009C5807">
        <w:rPr>
          <w:lang w:eastAsia="ko-KR"/>
        </w:rPr>
        <w:t xml:space="preserve"> with equal probability amongst the </w:t>
      </w:r>
      <w:r w:rsidRPr="009C5807">
        <w:rPr>
          <w:lang w:eastAsia="zh-CN"/>
        </w:rPr>
        <w:t xml:space="preserve">selected SSB associated </w:t>
      </w:r>
      <w:r w:rsidRPr="009C5807">
        <w:rPr>
          <w:lang w:eastAsia="ko-KR"/>
        </w:rPr>
        <w:t>PRACH occasions occurring simultaneously but on different subcarriers</w:t>
      </w:r>
      <w:r w:rsidRPr="009C5807">
        <w:rPr>
          <w:rFonts w:cs="v4.2.0"/>
          <w:lang w:eastAsia="zh-CN"/>
        </w:rPr>
        <w:t xml:space="preserve">, </w:t>
      </w:r>
      <w:r w:rsidRPr="009C5807">
        <w:rPr>
          <w:rFonts w:cs="v4.2.0"/>
        </w:rPr>
        <w:t>as specified in clause 5.1.</w:t>
      </w:r>
      <w:r w:rsidRPr="009C5807">
        <w:rPr>
          <w:rFonts w:cs="v4.2.0"/>
          <w:lang w:eastAsia="zh-CN"/>
        </w:rPr>
        <w:t>2a</w:t>
      </w:r>
      <w:r w:rsidRPr="009C5807">
        <w:rPr>
          <w:rFonts w:cs="v4.2.0"/>
        </w:rPr>
        <w:t xml:space="preserve"> in TS 3</w:t>
      </w:r>
      <w:r w:rsidRPr="009C5807">
        <w:rPr>
          <w:rFonts w:cs="v4.2.0"/>
          <w:lang w:eastAsia="zh-CN"/>
        </w:rPr>
        <w:t>8</w:t>
      </w:r>
      <w:r w:rsidRPr="009C5807">
        <w:rPr>
          <w:rFonts w:cs="v4.2.0"/>
        </w:rPr>
        <w:t xml:space="preserve">.321 [7]. </w:t>
      </w:r>
    </w:p>
    <w:p w14:paraId="771D30FD" w14:textId="77777777" w:rsidR="00CB7170" w:rsidRPr="009C5807" w:rsidRDefault="00CB7170" w:rsidP="00CB7170">
      <w:pPr>
        <w:rPr>
          <w:rFonts w:cs="v4.2.0"/>
          <w:lang w:eastAsia="zh-CN"/>
        </w:rPr>
      </w:pPr>
      <w:r w:rsidRPr="009C5807">
        <w:rPr>
          <w:rFonts w:cs="v4.2.0"/>
        </w:rPr>
        <w:t>In association with the MsgA PRACH, the UE should have the capability to transmit MsgA PUSCH on the corresponding PUSCH occasion associated with a DMRS resource, which is mapped from the MsgA PRACH ocasion, and preamble index as defined in clause 8.1A in TS 38.213 [3]</w:t>
      </w:r>
      <w:r w:rsidRPr="009C5807">
        <w:rPr>
          <w:rFonts w:cs="v4.2.0"/>
          <w:lang w:eastAsia="zh-CN"/>
        </w:rPr>
        <w:t>.</w:t>
      </w:r>
    </w:p>
    <w:p w14:paraId="35ED5A6A" w14:textId="77777777" w:rsidR="00CB7170" w:rsidRPr="009C5807" w:rsidRDefault="00CB7170" w:rsidP="00A73957">
      <w:pPr>
        <w:pStyle w:val="Heading6"/>
        <w:rPr>
          <w:lang w:eastAsia="zh-CN"/>
        </w:rPr>
      </w:pPr>
      <w:r w:rsidRPr="009C5807">
        <w:rPr>
          <w:lang w:eastAsia="zh-CN"/>
        </w:rPr>
        <w:t>6.2.2.3.1.2</w:t>
      </w:r>
      <w:r w:rsidRPr="009C5807">
        <w:rPr>
          <w:lang w:eastAsia="zh-CN"/>
        </w:rPr>
        <w:tab/>
        <w:t>Correct behaviour when receiving MsgB</w:t>
      </w:r>
    </w:p>
    <w:p w14:paraId="6DB25BC3" w14:textId="77777777" w:rsidR="00CB7170" w:rsidRPr="009C5807" w:rsidRDefault="00CB7170" w:rsidP="00CB7170">
      <w:pPr>
        <w:rPr>
          <w:lang w:eastAsia="zh-CN"/>
        </w:rPr>
      </w:pPr>
      <w:r w:rsidRPr="009C5807">
        <w:rPr>
          <w:lang w:eastAsia="zh-CN"/>
        </w:rPr>
        <w:t>The UE shall  stop monitoring for MsgB, when the UE has successfully received the PDCCH addressed to UE as specified in clause 8.2A in TS 38.213 [3] containing a successRAR MAC subPDU or a fallbackRAR MAC subPDU as described in clause 5.1.4a in TS 38.321 [7].</w:t>
      </w:r>
    </w:p>
    <w:p w14:paraId="6E773E13" w14:textId="77777777" w:rsidR="00CB7170" w:rsidRPr="009C5807" w:rsidRDefault="00CB7170" w:rsidP="00CB7170">
      <w:pPr>
        <w:rPr>
          <w:lang w:eastAsia="zh-CN"/>
        </w:rPr>
      </w:pPr>
      <w:r w:rsidRPr="009C5807">
        <w:rPr>
          <w:lang w:eastAsia="zh-CN"/>
        </w:rPr>
        <w:t>The UE shall send ACK if Success RAR is received in MsgB and the Contention Resolution is successful, as defined in clause 5.1.4a in TS 38.321 [7].</w:t>
      </w:r>
    </w:p>
    <w:p w14:paraId="6F955104" w14:textId="77777777" w:rsidR="00CB7170" w:rsidRPr="009C5807" w:rsidRDefault="00CB7170" w:rsidP="00CB7170">
      <w:pPr>
        <w:rPr>
          <w:rFonts w:cs="v4.2.0"/>
        </w:rPr>
      </w:pPr>
      <w:r w:rsidRPr="009C5807">
        <w:rPr>
          <w:rFonts w:cs="v4.2.0"/>
        </w:rPr>
        <w:t xml:space="preserve">If MsgB contains a fallbackRAR MAC subPDU the UE shall fallback to the 4-step RA type by transmitting the msg3 containing the payload of MsgA PUSCH and monitor contention resolution as described in clause 8.2A in TS 38.213 [3]. </w:t>
      </w:r>
    </w:p>
    <w:p w14:paraId="0A39DA76" w14:textId="77777777" w:rsidR="009219D2" w:rsidRDefault="009219D2" w:rsidP="009219D2">
      <w:pPr>
        <w:rPr>
          <w:rFonts w:cs="v4.2.0"/>
        </w:rPr>
      </w:pPr>
      <w:r>
        <w:rPr>
          <w:rFonts w:cs="v4.2.0"/>
        </w:rPr>
        <w:t>The UE shall again perform the Random Access Resource selection procedure defined in clause 5.1.2a in TS 38.321 [7], and transmit with the calculated</w:t>
      </w:r>
      <w:r>
        <w:rPr>
          <w:rFonts w:cs="v4.2.0" w:hint="eastAsia"/>
          <w:lang w:val="en-US" w:eastAsia="zh-CN"/>
        </w:rPr>
        <w:t xml:space="preserve"> MsgA</w:t>
      </w:r>
      <w:r>
        <w:rPr>
          <w:rFonts w:cs="v4.2.0"/>
        </w:rPr>
        <w:t xml:space="preserve"> PRACH</w:t>
      </w:r>
      <w:r>
        <w:rPr>
          <w:rFonts w:cs="v4.2.0" w:hint="eastAsia"/>
          <w:lang w:val="en-US" w:eastAsia="zh-CN"/>
        </w:rPr>
        <w:t xml:space="preserve"> and MsgA PUSCH</w:t>
      </w:r>
      <w:r>
        <w:rPr>
          <w:rFonts w:cs="v4.2.0"/>
        </w:rPr>
        <w:t xml:space="preserve"> transmission power when the backoff time expires </w:t>
      </w:r>
      <w:bookmarkStart w:id="126" w:name="_Hlk39076521"/>
      <w:r>
        <w:rPr>
          <w:rFonts w:cs="v4.2.0"/>
        </w:rPr>
        <w:t>unless the Random Access Response reception is considered as successful, as defined in clause 5.1.4a in TS 38.321 [7]</w:t>
      </w:r>
      <w:bookmarkEnd w:id="126"/>
      <w:r>
        <w:rPr>
          <w:rFonts w:cs="v4.2.0"/>
        </w:rPr>
        <w:t>.</w:t>
      </w:r>
    </w:p>
    <w:p w14:paraId="39C54493" w14:textId="77777777" w:rsidR="00CB7170" w:rsidRPr="009C5807" w:rsidRDefault="00CB7170" w:rsidP="00A73957">
      <w:pPr>
        <w:pStyle w:val="Heading6"/>
        <w:rPr>
          <w:lang w:eastAsia="zh-CN"/>
        </w:rPr>
      </w:pPr>
      <w:r w:rsidRPr="009C5807">
        <w:rPr>
          <w:lang w:eastAsia="zh-CN"/>
        </w:rPr>
        <w:t>6.2.2.3.1.3</w:t>
      </w:r>
      <w:r w:rsidRPr="009C5807">
        <w:rPr>
          <w:lang w:eastAsia="zh-CN"/>
        </w:rPr>
        <w:tab/>
        <w:t>Correct behaviour when not receiving MsgB</w:t>
      </w:r>
    </w:p>
    <w:p w14:paraId="16B14F15" w14:textId="77777777" w:rsidR="009219D2" w:rsidRDefault="009219D2" w:rsidP="009219D2">
      <w:pPr>
        <w:rPr>
          <w:rFonts w:cs="v4.2.0"/>
        </w:rPr>
      </w:pPr>
      <w:r>
        <w:rPr>
          <w:rFonts w:cs="v4.2.0"/>
        </w:rPr>
        <w:t xml:space="preserve">The UE shall </w:t>
      </w:r>
      <w:r>
        <w:rPr>
          <w:rFonts w:cs="v4.2.0"/>
          <w:lang w:eastAsia="zh-CN"/>
        </w:rPr>
        <w:t xml:space="preserve">again </w:t>
      </w:r>
      <w:r>
        <w:rPr>
          <w:rFonts w:cs="v4.2.0"/>
        </w:rPr>
        <w:t>perform the Random Access Resource selection procedure defined in clause 5.1.2a</w:t>
      </w:r>
      <w:r>
        <w:rPr>
          <w:rFonts w:cs="v4.2.0"/>
          <w:lang w:eastAsia="zh-CN"/>
        </w:rPr>
        <w:t xml:space="preserve"> </w:t>
      </w:r>
      <w:r>
        <w:rPr>
          <w:rFonts w:cs="v4.2.0"/>
        </w:rPr>
        <w:t>in TS 3</w:t>
      </w:r>
      <w:r>
        <w:rPr>
          <w:rFonts w:cs="v4.2.0"/>
          <w:lang w:eastAsia="zh-CN"/>
        </w:rPr>
        <w:t>8</w:t>
      </w:r>
      <w:r>
        <w:rPr>
          <w:rFonts w:cs="v4.2.0"/>
        </w:rPr>
        <w:t>.321 [7]</w:t>
      </w:r>
      <w:r>
        <w:rPr>
          <w:rFonts w:cs="v4.2.0"/>
          <w:lang w:eastAsia="zh-CN"/>
        </w:rPr>
        <w:t>,</w:t>
      </w:r>
      <w:r>
        <w:t xml:space="preserve"> and transmit </w:t>
      </w:r>
      <w:r>
        <w:rPr>
          <w:rFonts w:cs="v4.2.0"/>
        </w:rPr>
        <w:t>with the calculated MsgA</w:t>
      </w:r>
      <w:r>
        <w:rPr>
          <w:rFonts w:cs="v4.2.0" w:hint="eastAsia"/>
          <w:lang w:val="en-US" w:eastAsia="zh-CN"/>
        </w:rPr>
        <w:t xml:space="preserve"> PRACH and MsgA PUSCH</w:t>
      </w:r>
      <w:r>
        <w:rPr>
          <w:rFonts w:cs="v4.2.0"/>
        </w:rPr>
        <w:t xml:space="preserve"> transmission power</w:t>
      </w:r>
      <w:r>
        <w:t xml:space="preserve"> </w:t>
      </w:r>
      <w:r>
        <w:rPr>
          <w:lang w:eastAsia="zh-CN"/>
        </w:rPr>
        <w:t>when</w:t>
      </w:r>
      <w:r>
        <w:t xml:space="preserve"> the backoff time expires </w:t>
      </w:r>
      <w:r>
        <w:rPr>
          <w:rFonts w:cs="v4.2.0"/>
        </w:rPr>
        <w:t>unless the Random Access Response reception is considered as successful, as defined in clause 5.1.4a in TS 38.321 [7]</w:t>
      </w:r>
      <w:r>
        <w:t>.</w:t>
      </w:r>
    </w:p>
    <w:p w14:paraId="5EDF6176" w14:textId="77777777" w:rsidR="00CB7170" w:rsidRPr="009C5807" w:rsidRDefault="00CB7170" w:rsidP="00CB7170">
      <w:pPr>
        <w:pStyle w:val="Heading5"/>
        <w:rPr>
          <w:lang w:eastAsia="zh-CN"/>
        </w:rPr>
      </w:pPr>
      <w:r w:rsidRPr="009C5807">
        <w:rPr>
          <w:lang w:eastAsia="zh-CN"/>
        </w:rPr>
        <w:t>6.2.2.3.2</w:t>
      </w:r>
      <w:r w:rsidRPr="009C5807">
        <w:rPr>
          <w:lang w:eastAsia="zh-CN"/>
        </w:rPr>
        <w:tab/>
        <w:t>Non-Contention based random access</w:t>
      </w:r>
    </w:p>
    <w:p w14:paraId="3AAADA2A" w14:textId="77777777" w:rsidR="00CB7170" w:rsidRPr="009C5807" w:rsidRDefault="00CB7170" w:rsidP="00A73957">
      <w:pPr>
        <w:pStyle w:val="Heading6"/>
        <w:rPr>
          <w:lang w:eastAsia="zh-CN"/>
        </w:rPr>
      </w:pPr>
      <w:r w:rsidRPr="009C5807">
        <w:rPr>
          <w:lang w:eastAsia="zh-CN"/>
        </w:rPr>
        <w:t>6.2.2.3.2.1</w:t>
      </w:r>
      <w:r w:rsidRPr="009C5807">
        <w:rPr>
          <w:lang w:eastAsia="zh-CN"/>
        </w:rPr>
        <w:tab/>
        <w:t>Correct behaviour when transmitting MsgA</w:t>
      </w:r>
    </w:p>
    <w:p w14:paraId="47803F1F" w14:textId="77777777" w:rsidR="00CB7170" w:rsidRPr="009C5807" w:rsidRDefault="00CB7170" w:rsidP="00CB7170">
      <w:pPr>
        <w:rPr>
          <w:rFonts w:cs="v4.2.0"/>
          <w:lang w:eastAsia="zh-CN"/>
        </w:rPr>
      </w:pPr>
      <w:r w:rsidRPr="009C5807">
        <w:rPr>
          <w:lang w:eastAsia="zh-CN"/>
        </w:rPr>
        <w:t>If the contention-free Random Access Resources and the contention-free PRACH occasions associated with SSBs is configured,</w:t>
      </w:r>
      <w:r w:rsidRPr="009C5807">
        <w:rPr>
          <w:rFonts w:cs="v4.2.0"/>
          <w:lang w:eastAsia="zh-CN"/>
        </w:rPr>
        <w:t xml:space="preserve"> with the UE selected SSB with SS-RSRP above </w:t>
      </w:r>
      <w:r w:rsidRPr="009C5807">
        <w:rPr>
          <w:i/>
          <w:lang w:eastAsia="ko-KR"/>
        </w:rPr>
        <w:t>msgA-RSRP-ThresholdSSB</w:t>
      </w:r>
      <w:r w:rsidRPr="009C5807">
        <w:rPr>
          <w:rFonts w:cs="v4.2.0"/>
          <w:i/>
          <w:lang w:eastAsia="zh-CN"/>
        </w:rPr>
        <w:t xml:space="preserve"> </w:t>
      </w:r>
      <w:r w:rsidRPr="009C5807">
        <w:rPr>
          <w:rFonts w:cs="v4.2.0"/>
          <w:lang w:eastAsia="zh-CN"/>
        </w:rPr>
        <w:t xml:space="preserve">amongst the associated SSBs, UE shall have the capability to select the </w:t>
      </w:r>
      <w:r w:rsidRPr="009C5807">
        <w:t>Random Access Preamble</w:t>
      </w:r>
      <w:r w:rsidRPr="009C5807">
        <w:rPr>
          <w:lang w:eastAsia="zh-CN"/>
        </w:rPr>
        <w:t xml:space="preserve"> corresponding to the selected SSB, and</w:t>
      </w:r>
      <w:r w:rsidRPr="009C5807">
        <w:rPr>
          <w:rFonts w:cs="v4.2.0"/>
          <w:lang w:eastAsia="zh-CN"/>
        </w:rPr>
        <w:t xml:space="preserve"> to transmit Random Access Preamble on the next available PRACH occasion from the PRACH occasions corresponding to the selected SSB permitted by the restrictions given first by the </w:t>
      </w:r>
      <w:r w:rsidRPr="009C5807">
        <w:rPr>
          <w:i/>
          <w:color w:val="000000" w:themeColor="text1"/>
          <w:lang w:eastAsia="zh-CN"/>
        </w:rPr>
        <w:t>msgA-SSB-SharedRO-MaskIndex</w:t>
      </w:r>
      <w:r w:rsidRPr="009C5807">
        <w:rPr>
          <w:color w:val="000000" w:themeColor="text1"/>
          <w:lang w:eastAsia="zh-CN"/>
        </w:rPr>
        <w:t xml:space="preserve"> if configured, or next by the </w:t>
      </w:r>
      <w:r w:rsidRPr="009C5807">
        <w:rPr>
          <w:i/>
          <w:lang w:eastAsia="ko-KR"/>
        </w:rPr>
        <w:t>ra-ssb-OccasionMaskIndex</w:t>
      </w:r>
      <w:r w:rsidRPr="009C5807">
        <w:rPr>
          <w:rFonts w:cs="v4.2.0"/>
          <w:lang w:eastAsia="zh-CN"/>
        </w:rPr>
        <w:t xml:space="preserve"> if configured, and </w:t>
      </w:r>
      <w:r w:rsidRPr="009C5807">
        <w:rPr>
          <w:lang w:eastAsia="ko-KR"/>
        </w:rPr>
        <w:t xml:space="preserve">PRACH occasion </w:t>
      </w:r>
      <w:r w:rsidRPr="009C5807">
        <w:rPr>
          <w:lang w:eastAsia="zh-CN"/>
        </w:rPr>
        <w:t xml:space="preserve">shall be </w:t>
      </w:r>
      <w:r w:rsidRPr="009C5807">
        <w:rPr>
          <w:lang w:eastAsia="ko-KR"/>
        </w:rPr>
        <w:t>randomly</w:t>
      </w:r>
      <w:r w:rsidRPr="009C5807">
        <w:rPr>
          <w:lang w:eastAsia="zh-CN"/>
        </w:rPr>
        <w:t xml:space="preserve"> selected</w:t>
      </w:r>
      <w:r w:rsidRPr="009C5807">
        <w:rPr>
          <w:lang w:eastAsia="ko-KR"/>
        </w:rPr>
        <w:t xml:space="preserve"> with equal probability amongst the </w:t>
      </w:r>
      <w:r w:rsidRPr="009C5807">
        <w:rPr>
          <w:lang w:eastAsia="zh-CN"/>
        </w:rPr>
        <w:t xml:space="preserve">selected SSB associated </w:t>
      </w:r>
      <w:r w:rsidRPr="009C5807">
        <w:rPr>
          <w:lang w:eastAsia="ko-KR"/>
        </w:rPr>
        <w:t>PRACH occasions occurring simultaneously but on different subcarriers</w:t>
      </w:r>
      <w:r w:rsidRPr="009C5807">
        <w:rPr>
          <w:rFonts w:cs="v4.2.0"/>
          <w:lang w:eastAsia="zh-CN"/>
        </w:rPr>
        <w:t xml:space="preserve">, </w:t>
      </w:r>
      <w:r w:rsidRPr="009C5807">
        <w:rPr>
          <w:rFonts w:cs="v4.2.0"/>
        </w:rPr>
        <w:t>as specified in clause 5.1.</w:t>
      </w:r>
      <w:r w:rsidRPr="009C5807">
        <w:rPr>
          <w:rFonts w:cs="v4.2.0"/>
          <w:lang w:eastAsia="zh-CN"/>
        </w:rPr>
        <w:t>2a</w:t>
      </w:r>
      <w:r w:rsidRPr="009C5807">
        <w:rPr>
          <w:rFonts w:cs="v4.2.0"/>
        </w:rPr>
        <w:t xml:space="preserve"> in TS 3</w:t>
      </w:r>
      <w:r w:rsidRPr="009C5807">
        <w:rPr>
          <w:rFonts w:cs="v4.2.0"/>
          <w:lang w:eastAsia="zh-CN"/>
        </w:rPr>
        <w:t>8</w:t>
      </w:r>
      <w:r w:rsidRPr="009C5807">
        <w:rPr>
          <w:rFonts w:cs="v4.2.0"/>
        </w:rPr>
        <w:t>.321 [7]</w:t>
      </w:r>
      <w:r w:rsidRPr="009C5807">
        <w:rPr>
          <w:rFonts w:cs="v4.2.0"/>
          <w:lang w:eastAsia="zh-CN"/>
        </w:rPr>
        <w:t>.</w:t>
      </w:r>
    </w:p>
    <w:p w14:paraId="1E025524" w14:textId="77777777" w:rsidR="00CB7170" w:rsidRPr="009C5807" w:rsidRDefault="00CB7170" w:rsidP="00CB7170">
      <w:pPr>
        <w:rPr>
          <w:rFonts w:cs="v4.2.0"/>
          <w:lang w:eastAsia="zh-CN"/>
        </w:rPr>
      </w:pPr>
      <w:r w:rsidRPr="009C5807">
        <w:rPr>
          <w:rFonts w:cs="v4.2.0"/>
        </w:rPr>
        <w:t>In association with the MsgA PRACH, the UE should have the capability to transmit MsgA PUSCH on the corresponding PUSCH occasion associated with a DMRS resource, which is mapped from the MsgA PRACH ocasion, and preamble index as defined in clause 8.1A in TS 38.213 [3]</w:t>
      </w:r>
      <w:r w:rsidRPr="009C5807">
        <w:rPr>
          <w:rFonts w:cs="v4.2.0"/>
          <w:lang w:eastAsia="zh-CN"/>
        </w:rPr>
        <w:t>.</w:t>
      </w:r>
    </w:p>
    <w:p w14:paraId="5A89077D" w14:textId="77777777" w:rsidR="00CB7170" w:rsidRPr="009C5807" w:rsidRDefault="00CB7170" w:rsidP="00A73957">
      <w:pPr>
        <w:pStyle w:val="Heading6"/>
        <w:rPr>
          <w:lang w:eastAsia="zh-CN"/>
        </w:rPr>
      </w:pPr>
      <w:r w:rsidRPr="009C5807">
        <w:rPr>
          <w:lang w:eastAsia="zh-CN"/>
        </w:rPr>
        <w:t>6.2.2.3.2.2</w:t>
      </w:r>
      <w:r w:rsidRPr="009C5807">
        <w:rPr>
          <w:lang w:eastAsia="zh-CN"/>
        </w:rPr>
        <w:tab/>
        <w:t>Correct behaviour when receiving MsgB</w:t>
      </w:r>
    </w:p>
    <w:p w14:paraId="55F13634" w14:textId="77777777" w:rsidR="00CB7170" w:rsidRPr="009C5807" w:rsidRDefault="00CB7170" w:rsidP="00CB7170">
      <w:pPr>
        <w:rPr>
          <w:lang w:eastAsia="zh-CN"/>
        </w:rPr>
      </w:pPr>
      <w:r w:rsidRPr="009C5807">
        <w:t>The UE may stop monitoring for MsgB</w:t>
      </w:r>
      <w:r w:rsidRPr="009C5807">
        <w:rPr>
          <w:lang w:eastAsia="zh-CN"/>
        </w:rPr>
        <w:t xml:space="preserve">, </w:t>
      </w:r>
      <w:r w:rsidRPr="009C5807">
        <w:t xml:space="preserve">when </w:t>
      </w:r>
      <w:r w:rsidRPr="009C5807">
        <w:rPr>
          <w:lang w:eastAsia="zh-CN"/>
        </w:rPr>
        <w:t>the UE has successfully received the PDCCH addressed to UE as specified in clause 8.2A in TS 38.213 [3] containing a successRAR MAC subPDU or a fallbackRAR MAC subPDU as described in clause 5.1.4a in TS 38.321 [7]</w:t>
      </w:r>
      <w:r w:rsidRPr="009C5807">
        <w:t>.</w:t>
      </w:r>
    </w:p>
    <w:p w14:paraId="21B94308" w14:textId="77777777" w:rsidR="00CB7170" w:rsidRPr="009C5807" w:rsidRDefault="00CB7170" w:rsidP="00CB7170">
      <w:pPr>
        <w:rPr>
          <w:rFonts w:cs="v4.2.0"/>
        </w:rPr>
      </w:pPr>
      <w:r w:rsidRPr="009C5807">
        <w:rPr>
          <w:rFonts w:cs="v4.2.0"/>
        </w:rPr>
        <w:t xml:space="preserve">If MsgB contains a fallbackRAR MAC subPDU the UE shall fallback to the 4-step RA type by transmitting the msg3 containing the payload of MsgA PUSCH as described in clause 8.2A in TS 38.213 [3]. </w:t>
      </w:r>
    </w:p>
    <w:p w14:paraId="3C138CEF" w14:textId="77777777" w:rsidR="009219D2" w:rsidRDefault="009219D2" w:rsidP="009219D2">
      <w:pPr>
        <w:rPr>
          <w:rFonts w:cs="v4.2.0"/>
        </w:rPr>
      </w:pPr>
      <w:bookmarkStart w:id="127" w:name="_Hlk39076546"/>
      <w:r>
        <w:rPr>
          <w:rFonts w:cs="v4.2.0"/>
        </w:rPr>
        <w:t xml:space="preserve">The UE shall </w:t>
      </w:r>
      <w:r>
        <w:rPr>
          <w:rFonts w:cs="v4.2.0"/>
          <w:lang w:eastAsia="zh-CN"/>
        </w:rPr>
        <w:t xml:space="preserve">again </w:t>
      </w:r>
      <w:r>
        <w:rPr>
          <w:rFonts w:cs="v4.2.0"/>
        </w:rPr>
        <w:t>perform the Random Access Resource selection procedure defined in clause 5.1.2a</w:t>
      </w:r>
      <w:r>
        <w:rPr>
          <w:rFonts w:cs="v4.2.0"/>
          <w:lang w:eastAsia="zh-CN"/>
        </w:rPr>
        <w:t xml:space="preserve"> </w:t>
      </w:r>
      <w:r>
        <w:rPr>
          <w:rFonts w:cs="v4.2.0"/>
        </w:rPr>
        <w:t>in TS 3</w:t>
      </w:r>
      <w:r>
        <w:rPr>
          <w:rFonts w:cs="v4.2.0"/>
          <w:lang w:eastAsia="zh-CN"/>
        </w:rPr>
        <w:t>8</w:t>
      </w:r>
      <w:r>
        <w:rPr>
          <w:rFonts w:cs="v4.2.0"/>
        </w:rPr>
        <w:t>.321 [7]</w:t>
      </w:r>
      <w:r>
        <w:rPr>
          <w:rFonts w:cs="v4.2.0"/>
          <w:lang w:eastAsia="zh-CN"/>
        </w:rPr>
        <w:t xml:space="preserve"> for the next available PRACH occasion, and </w:t>
      </w:r>
      <w:r>
        <w:t>transmit the preamble</w:t>
      </w:r>
      <w:r>
        <w:rPr>
          <w:i/>
        </w:rPr>
        <w:t xml:space="preserve"> </w:t>
      </w:r>
      <w:r>
        <w:rPr>
          <w:rFonts w:cs="v4.2.0"/>
        </w:rPr>
        <w:t>with the calculated</w:t>
      </w:r>
      <w:r>
        <w:rPr>
          <w:rFonts w:cs="v4.2.0" w:hint="eastAsia"/>
          <w:lang w:val="en-US" w:eastAsia="zh-CN"/>
        </w:rPr>
        <w:t xml:space="preserve"> MsgA</w:t>
      </w:r>
      <w:r>
        <w:rPr>
          <w:rFonts w:cs="v4.2.0"/>
        </w:rPr>
        <w:t xml:space="preserve"> PRACH</w:t>
      </w:r>
      <w:r>
        <w:rPr>
          <w:rFonts w:cs="v4.2.0" w:hint="eastAsia"/>
          <w:lang w:val="en-US" w:eastAsia="zh-CN"/>
        </w:rPr>
        <w:t xml:space="preserve"> and MsgA PUSCH</w:t>
      </w:r>
      <w:r>
        <w:rPr>
          <w:rFonts w:cs="v4.2.0"/>
        </w:rPr>
        <w:t xml:space="preserve"> transmission power</w:t>
      </w:r>
      <w:r>
        <w:t xml:space="preserve"> if all received MsgBs contain Random Access Preamble identifiers that do not match the transmitted Random Access Preamble.</w:t>
      </w:r>
    </w:p>
    <w:p w14:paraId="402CA843" w14:textId="5DEAA40F" w:rsidR="00CB7170" w:rsidRPr="009C5807" w:rsidRDefault="00CB7170" w:rsidP="00A73957">
      <w:pPr>
        <w:pStyle w:val="Heading6"/>
        <w:rPr>
          <w:lang w:eastAsia="zh-CN"/>
        </w:rPr>
      </w:pPr>
      <w:r w:rsidRPr="009C5807">
        <w:rPr>
          <w:lang w:eastAsia="zh-CN"/>
        </w:rPr>
        <w:t>6.2.2.3.2.3</w:t>
      </w:r>
      <w:bookmarkEnd w:id="127"/>
      <w:r w:rsidRPr="009C5807">
        <w:rPr>
          <w:lang w:eastAsia="zh-CN"/>
        </w:rPr>
        <w:tab/>
        <w:t xml:space="preserve">Correct behaviour when not receiving </w:t>
      </w:r>
      <w:r w:rsidR="00C93EBE">
        <w:rPr>
          <w:lang w:eastAsia="zh-CN"/>
        </w:rPr>
        <w:t>MsgB</w:t>
      </w:r>
    </w:p>
    <w:p w14:paraId="6BF37876" w14:textId="77777777" w:rsidR="009219D2" w:rsidRDefault="009219D2" w:rsidP="009219D2">
      <w:pPr>
        <w:rPr>
          <w:lang w:eastAsia="zh-CN"/>
        </w:rPr>
      </w:pPr>
      <w:r>
        <w:rPr>
          <w:rFonts w:cs="v4.2.0"/>
        </w:rPr>
        <w:t xml:space="preserve">The UE shall </w:t>
      </w:r>
      <w:r>
        <w:rPr>
          <w:rFonts w:cs="v4.2.0"/>
          <w:lang w:eastAsia="zh-CN"/>
        </w:rPr>
        <w:t xml:space="preserve">again </w:t>
      </w:r>
      <w:r>
        <w:rPr>
          <w:rFonts w:cs="v4.2.0"/>
        </w:rPr>
        <w:t>perform the Random Access Resource selection procedure defined in clause 5.1.2a</w:t>
      </w:r>
      <w:r>
        <w:rPr>
          <w:rFonts w:cs="v4.2.0"/>
          <w:lang w:eastAsia="zh-CN"/>
        </w:rPr>
        <w:t xml:space="preserve"> </w:t>
      </w:r>
      <w:r>
        <w:rPr>
          <w:rFonts w:cs="v4.2.0"/>
        </w:rPr>
        <w:t>in TS 3</w:t>
      </w:r>
      <w:r>
        <w:rPr>
          <w:rFonts w:cs="v4.2.0"/>
          <w:lang w:eastAsia="zh-CN"/>
        </w:rPr>
        <w:t>8</w:t>
      </w:r>
      <w:r>
        <w:rPr>
          <w:rFonts w:cs="v4.2.0"/>
        </w:rPr>
        <w:t>.321 [7]</w:t>
      </w:r>
      <w:r>
        <w:rPr>
          <w:rFonts w:cs="v4.2.0"/>
          <w:lang w:eastAsia="zh-CN"/>
        </w:rPr>
        <w:t xml:space="preserve"> for the next available PRACH occasion,</w:t>
      </w:r>
      <w:r>
        <w:t xml:space="preserve"> </w:t>
      </w:r>
      <w:r>
        <w:rPr>
          <w:lang w:eastAsia="zh-CN"/>
        </w:rPr>
        <w:t>and</w:t>
      </w:r>
      <w:r>
        <w:t xml:space="preserve"> transmit MsgA</w:t>
      </w:r>
      <w:r>
        <w:rPr>
          <w:rFonts w:cs="v4.2.0"/>
        </w:rPr>
        <w:t xml:space="preserve"> with the calculated MsgA</w:t>
      </w:r>
      <w:r>
        <w:rPr>
          <w:rFonts w:cs="v4.2.0" w:hint="eastAsia"/>
          <w:lang w:val="en-US" w:eastAsia="zh-CN"/>
        </w:rPr>
        <w:t xml:space="preserve"> PRACH and MsgA PUSCH</w:t>
      </w:r>
      <w:r>
        <w:rPr>
          <w:rFonts w:cs="v4.2.0"/>
        </w:rPr>
        <w:t xml:space="preserve"> transmission power</w:t>
      </w:r>
      <w:r>
        <w:rPr>
          <w:rFonts w:cs="v4.2.0"/>
          <w:lang w:eastAsia="zh-CN"/>
        </w:rPr>
        <w:t xml:space="preserve">, </w:t>
      </w:r>
      <w:r>
        <w:rPr>
          <w:lang w:eastAsia="zh-CN"/>
        </w:rPr>
        <w:t xml:space="preserve">if no MsgB is received within the MsgB Response window configured in </w:t>
      </w:r>
      <w:r>
        <w:rPr>
          <w:i/>
          <w:iCs/>
        </w:rPr>
        <w:t>RACH-ConfigGenericTwoStepRA</w:t>
      </w:r>
      <w:r>
        <w:rPr>
          <w:lang w:eastAsia="zh-CN"/>
        </w:rPr>
        <w:t xml:space="preserve"> and the Random Access Response Reception has not been considered as successful as</w:t>
      </w:r>
      <w:r>
        <w:t xml:space="preserve"> defined in clause 5.1.4a </w:t>
      </w:r>
      <w:r>
        <w:rPr>
          <w:lang w:eastAsia="zh-CN"/>
        </w:rPr>
        <w:t xml:space="preserve">in </w:t>
      </w:r>
      <w:r>
        <w:t>TS 3</w:t>
      </w:r>
      <w:r>
        <w:rPr>
          <w:lang w:eastAsia="zh-CN"/>
        </w:rPr>
        <w:t>8</w:t>
      </w:r>
      <w:r>
        <w:t>.321</w:t>
      </w:r>
      <w:r>
        <w:rPr>
          <w:lang w:eastAsia="zh-CN"/>
        </w:rPr>
        <w:t xml:space="preserve"> [7]</w:t>
      </w:r>
      <w:r>
        <w:t>.</w:t>
      </w:r>
    </w:p>
    <w:p w14:paraId="09D063D8" w14:textId="77777777" w:rsidR="00CB7170" w:rsidRPr="009C5807" w:rsidRDefault="00CB7170" w:rsidP="00734785">
      <w:pPr>
        <w:pStyle w:val="Heading5"/>
        <w:rPr>
          <w:noProof/>
        </w:rPr>
      </w:pPr>
      <w:r w:rsidRPr="009C5807">
        <w:rPr>
          <w:noProof/>
        </w:rPr>
        <w:t>6.2.2.3.3</w:t>
      </w:r>
      <w:r w:rsidRPr="009C5807">
        <w:rPr>
          <w:noProof/>
        </w:rPr>
        <w:tab/>
        <w:t>UE behaviour when configured with supplementary UL</w:t>
      </w:r>
    </w:p>
    <w:p w14:paraId="1A931BC1" w14:textId="77777777" w:rsidR="00CB7170" w:rsidRPr="009C5807" w:rsidRDefault="00CB7170" w:rsidP="00CB7170">
      <w:pPr>
        <w:rPr>
          <w:noProof/>
        </w:rPr>
      </w:pPr>
      <w:r w:rsidRPr="009C5807">
        <w:rPr>
          <w:noProof/>
        </w:rPr>
        <w:t xml:space="preserve">In addition to the requirements defined in clause 6.2.2.3.1 and 6.2.2.3.2, a UE configured with supplementary UL carrier shall use RACH configuration for the supplementary UL carrier contained in RMSI and RRC dedicated signalling. If the cell for the random access procedure is configured with supplementary UL, the UE shall transmit or re-transmit PRACH preamble on the supplementary UL carrier if the SS-RSRP measured by the UE on the DL carrier is lower than the </w:t>
      </w:r>
      <w:r w:rsidRPr="00734785">
        <w:rPr>
          <w:i/>
          <w:iCs/>
          <w:noProof/>
        </w:rPr>
        <w:t>rsrp-ThresholdSSB-SUL</w:t>
      </w:r>
      <w:r w:rsidRPr="009C5807">
        <w:rPr>
          <w:noProof/>
        </w:rPr>
        <w:t xml:space="preserve"> as defined in TS 38.321 [7].</w:t>
      </w:r>
    </w:p>
    <w:p w14:paraId="7EEA0173" w14:textId="77777777" w:rsidR="000632D9" w:rsidRDefault="000632D9" w:rsidP="00787B09"/>
    <w:p w14:paraId="72469D9F" w14:textId="77777777" w:rsidR="000632D9" w:rsidRDefault="000632D9" w:rsidP="000632D9">
      <w:pPr>
        <w:pStyle w:val="Heading3"/>
        <w:rPr>
          <w:lang w:val="en-US" w:eastAsia="ko-KR"/>
        </w:rPr>
      </w:pPr>
      <w:r>
        <w:rPr>
          <w:lang w:val="en-US" w:eastAsia="ko-KR"/>
        </w:rPr>
        <w:t>6.2.2A</w:t>
      </w:r>
      <w:r>
        <w:rPr>
          <w:lang w:val="en-US" w:eastAsia="ko-KR"/>
        </w:rPr>
        <w:tab/>
        <w:t xml:space="preserve">Random access when CCA is used on target frequency </w:t>
      </w:r>
    </w:p>
    <w:p w14:paraId="1A19DEEA" w14:textId="77777777" w:rsidR="000632D9" w:rsidRDefault="000632D9" w:rsidP="000632D9">
      <w:pPr>
        <w:pStyle w:val="Heading4"/>
        <w:rPr>
          <w:lang w:eastAsia="ko-KR"/>
        </w:rPr>
      </w:pPr>
      <w:r>
        <w:rPr>
          <w:lang w:eastAsia="ko-KR"/>
        </w:rPr>
        <w:t>6.2.</w:t>
      </w:r>
      <w:r>
        <w:rPr>
          <w:lang w:eastAsia="zh-CN"/>
        </w:rPr>
        <w:t>2A</w:t>
      </w:r>
      <w:r>
        <w:rPr>
          <w:lang w:eastAsia="ko-KR"/>
        </w:rPr>
        <w:t>.1</w:t>
      </w:r>
      <w:r>
        <w:rPr>
          <w:lang w:eastAsia="ko-KR"/>
        </w:rPr>
        <w:tab/>
        <w:t>Introduction</w:t>
      </w:r>
    </w:p>
    <w:p w14:paraId="6D897E1D" w14:textId="77777777" w:rsidR="000632D9" w:rsidRDefault="000632D9" w:rsidP="000632D9">
      <w:pPr>
        <w:rPr>
          <w:lang w:val="en-US" w:eastAsia="zh-CN"/>
        </w:rPr>
      </w:pPr>
      <w:r>
        <w:rPr>
          <w:lang w:val="en-US" w:eastAsia="zh-CN"/>
        </w:rPr>
        <w:t>This clause contains requirements on the UE regarding random access procedure when CCA is used on the target frequency. The random access procedure is initiated to establish uplink time synchronization for a UE which either has not acquired or has lost its uplink synchronization, or to convey UE’s request Other SI, or for beam failure recovery. The random access is specified in clause 8 of TS 38.213</w:t>
      </w:r>
      <w:r>
        <w:t> </w:t>
      </w:r>
      <w:r>
        <w:rPr>
          <w:lang w:val="en-US" w:eastAsia="zh-CN"/>
        </w:rPr>
        <w:t>[3] and the control of the RACH transmission is specified in clause 5.1 of TS</w:t>
      </w:r>
      <w:r>
        <w:t> </w:t>
      </w:r>
      <w:r>
        <w:rPr>
          <w:lang w:val="en-US" w:eastAsia="zh-CN"/>
        </w:rPr>
        <w:t>38.321</w:t>
      </w:r>
      <w:r>
        <w:t> </w:t>
      </w:r>
      <w:r>
        <w:rPr>
          <w:lang w:val="en-US" w:eastAsia="zh-CN"/>
        </w:rPr>
        <w:t>[7]. Two types of procedure are defined for the random access, the 4-step RA type, and the 2-step RA type [7]. The decision on which type of procedure to adopt is as described in clause 5.1.1 of TS 38.321</w:t>
      </w:r>
      <w:r>
        <w:t> </w:t>
      </w:r>
      <w:r>
        <w:rPr>
          <w:lang w:val="en-US" w:eastAsia="zh-CN"/>
        </w:rPr>
        <w:t>[7]. The requirements for the 4-step RA type procedure are described in clause 6.2.2A.2, whereas the requirements for the 2-step RA type procedure are described in the clause 6.2.2A.3 of this specification.</w:t>
      </w:r>
    </w:p>
    <w:p w14:paraId="4EB806D6" w14:textId="77777777" w:rsidR="000632D9" w:rsidRDefault="000632D9" w:rsidP="000632D9">
      <w:pPr>
        <w:pStyle w:val="Heading4"/>
        <w:rPr>
          <w:lang w:eastAsia="ko-KR"/>
        </w:rPr>
      </w:pPr>
      <w:r>
        <w:rPr>
          <w:lang w:eastAsia="ko-KR"/>
        </w:rPr>
        <w:t>6.2.</w:t>
      </w:r>
      <w:r>
        <w:rPr>
          <w:lang w:eastAsia="zh-CN"/>
        </w:rPr>
        <w:t>2A</w:t>
      </w:r>
      <w:r>
        <w:rPr>
          <w:lang w:eastAsia="ko-KR"/>
        </w:rPr>
        <w:t>.2</w:t>
      </w:r>
      <w:r>
        <w:rPr>
          <w:lang w:eastAsia="ko-KR"/>
        </w:rPr>
        <w:tab/>
        <w:t>Requirements for 4-step RA type</w:t>
      </w:r>
    </w:p>
    <w:p w14:paraId="04EB1397" w14:textId="77777777" w:rsidR="000632D9" w:rsidRDefault="000632D9" w:rsidP="000632D9">
      <w:pPr>
        <w:rPr>
          <w:rFonts w:cs="v4.2.0"/>
          <w:lang w:eastAsia="zh-CN"/>
        </w:rPr>
      </w:pPr>
      <w:r>
        <w:t>The UE shall select the type of random access at initiation of the random access procedure based on network configuration, as specified in clause 5.1.1 in TS 38.321 [7].</w:t>
      </w:r>
    </w:p>
    <w:p w14:paraId="495B4526" w14:textId="77777777" w:rsidR="000632D9" w:rsidRDefault="000632D9" w:rsidP="000632D9">
      <w:pPr>
        <w:rPr>
          <w:rFonts w:cs="v4.2.0"/>
          <w:lang w:eastAsia="zh-CN"/>
        </w:rPr>
      </w:pPr>
      <w:r>
        <w:rPr>
          <w:rFonts w:cs="v4.2.0"/>
          <w:lang w:eastAsia="zh-CN"/>
        </w:rPr>
        <w:t>T</w:t>
      </w:r>
      <w:r>
        <w:rPr>
          <w:rFonts w:cs="v4.2.0"/>
        </w:rPr>
        <w:t>he UE shall have capability to calculate PRACH transmission power according to the PRACH power formula defined in clause 7.4 of TS 3</w:t>
      </w:r>
      <w:r>
        <w:rPr>
          <w:rFonts w:cs="v4.2.0"/>
          <w:lang w:eastAsia="zh-CN"/>
        </w:rPr>
        <w:t>8</w:t>
      </w:r>
      <w:r>
        <w:rPr>
          <w:rFonts w:cs="v4.2.0"/>
        </w:rPr>
        <w:t>.213</w:t>
      </w:r>
      <w:r>
        <w:rPr>
          <w:rFonts w:cs="v4.2.0"/>
          <w:lang w:eastAsia="zh-CN"/>
        </w:rPr>
        <w:t xml:space="preserve"> </w:t>
      </w:r>
      <w:r>
        <w:rPr>
          <w:rFonts w:cs="v4.2.0"/>
        </w:rPr>
        <w:t xml:space="preserve">[3] and apply this power level at the first preamble or additional preambles. The absolute power applied to the first preamble shall have an accuracy as specified in </w:t>
      </w:r>
      <w:r>
        <w:rPr>
          <w:rFonts w:cs="v4.2.0"/>
          <w:lang w:eastAsia="zh-CN"/>
        </w:rPr>
        <w:t>T</w:t>
      </w:r>
      <w:r>
        <w:rPr>
          <w:rFonts w:cs="v4.2.0"/>
        </w:rPr>
        <w:t xml:space="preserve">able </w:t>
      </w:r>
      <w:r>
        <w:rPr>
          <w:rFonts w:cs="v4.2.0"/>
          <w:lang w:eastAsia="zh-CN"/>
        </w:rPr>
        <w:t>6.3.4.2-1</w:t>
      </w:r>
      <w:r>
        <w:rPr>
          <w:rFonts w:cs="v4.2.0"/>
        </w:rPr>
        <w:t xml:space="preserve"> of TS 3</w:t>
      </w:r>
      <w:r>
        <w:rPr>
          <w:rFonts w:cs="v4.2.0"/>
          <w:lang w:eastAsia="zh-CN"/>
        </w:rPr>
        <w:t>8</w:t>
      </w:r>
      <w:r>
        <w:rPr>
          <w:rFonts w:cs="v4.2.0"/>
        </w:rPr>
        <w:t>.101</w:t>
      </w:r>
      <w:r>
        <w:rPr>
          <w:rFonts w:cs="v4.2.0"/>
          <w:lang w:eastAsia="zh-CN"/>
        </w:rPr>
        <w:t xml:space="preserve">-1 </w:t>
      </w:r>
      <w:r>
        <w:rPr>
          <w:rFonts w:cs="v4.2.0"/>
        </w:rPr>
        <w:t xml:space="preserve">[18]. The relative power applied to additional preambles shall have an accuracy as specified in </w:t>
      </w:r>
      <w:r>
        <w:rPr>
          <w:rFonts w:cs="v4.2.0"/>
          <w:lang w:eastAsia="zh-CN"/>
        </w:rPr>
        <w:t>T</w:t>
      </w:r>
      <w:r>
        <w:rPr>
          <w:rFonts w:cs="v4.2.0"/>
        </w:rPr>
        <w:t xml:space="preserve">able </w:t>
      </w:r>
      <w:r>
        <w:rPr>
          <w:rFonts w:cs="v4.2.0"/>
          <w:lang w:eastAsia="zh-CN"/>
        </w:rPr>
        <w:t>6.3.4.3-1</w:t>
      </w:r>
      <w:r>
        <w:rPr>
          <w:rFonts w:cs="v4.2.0"/>
        </w:rPr>
        <w:t xml:space="preserve"> of TS 3</w:t>
      </w:r>
      <w:r>
        <w:rPr>
          <w:rFonts w:cs="v4.2.0"/>
          <w:lang w:eastAsia="zh-CN"/>
        </w:rPr>
        <w:t>8</w:t>
      </w:r>
      <w:r>
        <w:rPr>
          <w:rFonts w:cs="v4.2.0"/>
        </w:rPr>
        <w:t>.101</w:t>
      </w:r>
      <w:r>
        <w:rPr>
          <w:rFonts w:cs="v4.2.0"/>
          <w:lang w:eastAsia="zh-CN"/>
        </w:rPr>
        <w:t xml:space="preserve">-1 </w:t>
      </w:r>
      <w:r>
        <w:rPr>
          <w:rFonts w:cs="v4.2.0"/>
        </w:rPr>
        <w:t>[</w:t>
      </w:r>
      <w:r>
        <w:rPr>
          <w:rFonts w:cs="v4.2.0"/>
          <w:lang w:eastAsia="zh-CN"/>
        </w:rPr>
        <w:t>18</w:t>
      </w:r>
      <w:r>
        <w:rPr>
          <w:rFonts w:cs="v4.2.0"/>
        </w:rPr>
        <w:t>].</w:t>
      </w:r>
    </w:p>
    <w:p w14:paraId="4D788C9C" w14:textId="77777777" w:rsidR="000632D9" w:rsidRDefault="000632D9" w:rsidP="000632D9">
      <w:pPr>
        <w:rPr>
          <w:rFonts w:cs="v4.2.0"/>
          <w:lang w:eastAsia="zh-CN"/>
        </w:rPr>
      </w:pPr>
      <w:r>
        <w:rPr>
          <w:rFonts w:cs="v4.2.0"/>
          <w:lang w:eastAsia="zh-CN"/>
        </w:rPr>
        <w:t>The UE shall indicate a random access problem to upper layers if the maximum number of preamble transmission counter has been reached for the random access procedure on PCell or PSCell as specified in clause 5.1.4 in TS 38.321 [7].</w:t>
      </w:r>
    </w:p>
    <w:p w14:paraId="24B7134A" w14:textId="77777777" w:rsidR="000632D9" w:rsidRDefault="000632D9" w:rsidP="000632D9">
      <w:pPr>
        <w:rPr>
          <w:rFonts w:cs="v4.2.0"/>
          <w:lang w:eastAsia="zh-CN"/>
        </w:rPr>
      </w:pPr>
      <w:r>
        <w:rPr>
          <w:rFonts w:cs="v4.2.0"/>
          <w:lang w:eastAsia="zh-CN"/>
        </w:rPr>
        <w:t>The requirements in this clause apply for UE operating in a carrier frequency with CCA in SA operation mode or any MR-DC operation mode, in a carrier frequency with CCA.</w:t>
      </w:r>
    </w:p>
    <w:p w14:paraId="1E6BD6D3" w14:textId="77777777" w:rsidR="000632D9" w:rsidRDefault="000632D9" w:rsidP="000632D9">
      <w:pPr>
        <w:rPr>
          <w:rFonts w:cs="v4.2.0"/>
          <w:lang w:eastAsia="zh-CN"/>
        </w:rPr>
      </w:pPr>
    </w:p>
    <w:p w14:paraId="2A1D276F" w14:textId="77777777" w:rsidR="000632D9" w:rsidRDefault="000632D9" w:rsidP="000632D9">
      <w:pPr>
        <w:pStyle w:val="Heading5"/>
        <w:rPr>
          <w:lang w:eastAsia="zh-CN"/>
        </w:rPr>
      </w:pPr>
      <w:r>
        <w:rPr>
          <w:lang w:eastAsia="zh-CN"/>
        </w:rPr>
        <w:t>6.2.2A.2.1</w:t>
      </w:r>
      <w:r>
        <w:rPr>
          <w:lang w:eastAsia="zh-CN"/>
        </w:rPr>
        <w:tab/>
        <w:t>Contention based random access</w:t>
      </w:r>
    </w:p>
    <w:p w14:paraId="3B7E8B71" w14:textId="77777777" w:rsidR="000632D9" w:rsidRDefault="000632D9" w:rsidP="0028078A">
      <w:pPr>
        <w:pStyle w:val="Heading6"/>
        <w:rPr>
          <w:lang w:eastAsia="zh-CN"/>
        </w:rPr>
      </w:pPr>
      <w:r>
        <w:rPr>
          <w:lang w:eastAsia="zh-CN"/>
        </w:rPr>
        <w:t>6.2.2A.2.1.1</w:t>
      </w:r>
      <w:r>
        <w:rPr>
          <w:lang w:eastAsia="zh-CN"/>
        </w:rPr>
        <w:tab/>
        <w:t>Correct behaviour when transmitting Random Access Preamble</w:t>
      </w:r>
    </w:p>
    <w:p w14:paraId="00B837C9" w14:textId="77777777" w:rsidR="000632D9" w:rsidRDefault="000632D9" w:rsidP="000632D9">
      <w:pPr>
        <w:rPr>
          <w:rFonts w:cs="v4.2.0"/>
          <w:lang w:eastAsia="zh-CN"/>
        </w:rPr>
      </w:pPr>
      <w:r>
        <w:rPr>
          <w:rFonts w:cs="v4.2.0"/>
          <w:lang w:eastAsia="zh-CN"/>
        </w:rPr>
        <w:t xml:space="preserve">With the UE selected SSB with SS-RSRP above </w:t>
      </w:r>
      <w:r>
        <w:rPr>
          <w:rFonts w:cs="v4.2.0"/>
          <w:i/>
          <w:lang w:eastAsia="zh-CN"/>
        </w:rPr>
        <w:t>rsrp-ThresholdSSB</w:t>
      </w:r>
      <w:r>
        <w:rPr>
          <w:rFonts w:cs="v4.2.0"/>
          <w:lang w:eastAsia="zh-CN"/>
        </w:rPr>
        <w:t xml:space="preserve">, UE shall have the capability to select a </w:t>
      </w:r>
      <w:r>
        <w:t>Random Access Preamble</w:t>
      </w:r>
      <w:r>
        <w:rPr>
          <w:rFonts w:cs="v4.2.0"/>
          <w:lang w:eastAsia="zh-CN"/>
        </w:rPr>
        <w:t xml:space="preserve"> randomly with equal probability from the </w:t>
      </w:r>
      <w:r>
        <w:t>Random Access Preamble</w:t>
      </w:r>
      <w:r>
        <w:rPr>
          <w:lang w:eastAsia="zh-CN"/>
        </w:rPr>
        <w:t>s</w:t>
      </w:r>
      <w:r>
        <w:rPr>
          <w:rFonts w:cs="v4.2.0"/>
          <w:lang w:eastAsia="zh-CN"/>
        </w:rPr>
        <w:t xml:space="preserve"> associated with the selected SSB if the association between Random Access Preambles and SSB is configured, </w:t>
      </w:r>
      <w:r>
        <w:rPr>
          <w:rFonts w:cs="v4.2.0"/>
        </w:rPr>
        <w:t>as specified in clause 5.1.</w:t>
      </w:r>
      <w:r>
        <w:rPr>
          <w:rFonts w:cs="v4.2.0"/>
          <w:lang w:eastAsia="zh-CN"/>
        </w:rPr>
        <w:t>2</w:t>
      </w:r>
      <w:r>
        <w:rPr>
          <w:rFonts w:cs="v4.2.0"/>
        </w:rPr>
        <w:t xml:space="preserve"> in TS 3</w:t>
      </w:r>
      <w:r>
        <w:rPr>
          <w:rFonts w:cs="v4.2.0"/>
          <w:lang w:eastAsia="zh-CN"/>
        </w:rPr>
        <w:t>8</w:t>
      </w:r>
      <w:r>
        <w:rPr>
          <w:rFonts w:cs="v4.2.0"/>
        </w:rPr>
        <w:t>.321 [7]</w:t>
      </w:r>
      <w:r>
        <w:rPr>
          <w:rFonts w:cs="v4.2.0"/>
          <w:lang w:eastAsia="zh-CN"/>
        </w:rPr>
        <w:t>.</w:t>
      </w:r>
    </w:p>
    <w:p w14:paraId="3640C34E" w14:textId="77777777" w:rsidR="000632D9" w:rsidRDefault="000632D9" w:rsidP="000632D9">
      <w:pPr>
        <w:rPr>
          <w:rFonts w:cs="v4.2.0"/>
          <w:lang w:eastAsia="zh-CN"/>
        </w:rPr>
      </w:pPr>
      <w:r>
        <w:rPr>
          <w:rFonts w:cs="v4.2.0"/>
          <w:lang w:eastAsia="zh-CN"/>
        </w:rPr>
        <w:t xml:space="preserve">If the UL CCA is successful on the next available PRACH occasion, with the UE selected SSB with SS-RSRP above </w:t>
      </w:r>
      <w:r>
        <w:rPr>
          <w:rFonts w:cs="v4.2.0"/>
          <w:i/>
          <w:lang w:eastAsia="zh-CN"/>
        </w:rPr>
        <w:t>rsrp-ThresholdSSB</w:t>
      </w:r>
      <w:r>
        <w:rPr>
          <w:rFonts w:cs="v4.2.0"/>
          <w:lang w:eastAsia="zh-CN"/>
        </w:rPr>
        <w:t xml:space="preserve">, UE shall transmit Random Access Preamble on the next available PRACH occasion from the PRACH occasions corresponding to the selected SSB permitted by the restrictions given by the </w:t>
      </w:r>
      <w:r>
        <w:rPr>
          <w:rFonts w:cs="v4.2.0"/>
          <w:i/>
          <w:lang w:eastAsia="zh-CN"/>
        </w:rPr>
        <w:t>ra-ssb-OccasionMaskIndex</w:t>
      </w:r>
      <w:r>
        <w:rPr>
          <w:rFonts w:cs="v4.2.0"/>
          <w:lang w:eastAsia="zh-CN"/>
        </w:rPr>
        <w:t xml:space="preserve"> if configured, if the association between PRACH occasions and SSBs is configured, and </w:t>
      </w:r>
      <w:r>
        <w:rPr>
          <w:lang w:eastAsia="ko-KR"/>
        </w:rPr>
        <w:t xml:space="preserve">PRACH occasion </w:t>
      </w:r>
      <w:r>
        <w:rPr>
          <w:lang w:eastAsia="zh-CN"/>
        </w:rPr>
        <w:t xml:space="preserve">shall be </w:t>
      </w:r>
      <w:r>
        <w:rPr>
          <w:lang w:eastAsia="ko-KR"/>
        </w:rPr>
        <w:t>randomly</w:t>
      </w:r>
      <w:r>
        <w:rPr>
          <w:lang w:eastAsia="zh-CN"/>
        </w:rPr>
        <w:t xml:space="preserve"> selected</w:t>
      </w:r>
      <w:r>
        <w:rPr>
          <w:lang w:eastAsia="ko-KR"/>
        </w:rPr>
        <w:t xml:space="preserve"> with equal probability amongst the </w:t>
      </w:r>
      <w:r>
        <w:rPr>
          <w:lang w:eastAsia="zh-CN"/>
        </w:rPr>
        <w:t xml:space="preserve">selected SSB associated </w:t>
      </w:r>
      <w:r>
        <w:rPr>
          <w:lang w:eastAsia="ko-KR"/>
        </w:rPr>
        <w:t>PRACH occasions occurring simultaneously but on different subcarriers</w:t>
      </w:r>
      <w:r>
        <w:rPr>
          <w:rFonts w:cs="v4.2.0"/>
          <w:lang w:eastAsia="zh-CN"/>
        </w:rPr>
        <w:t xml:space="preserve">, </w:t>
      </w:r>
      <w:r>
        <w:rPr>
          <w:rFonts w:cs="v4.2.0"/>
        </w:rPr>
        <w:t>as specified in clause 5.1.</w:t>
      </w:r>
      <w:r>
        <w:rPr>
          <w:rFonts w:cs="v4.2.0"/>
          <w:lang w:eastAsia="zh-CN"/>
        </w:rPr>
        <w:t>2</w:t>
      </w:r>
      <w:r>
        <w:rPr>
          <w:rFonts w:cs="v4.2.0"/>
        </w:rPr>
        <w:t xml:space="preserve"> in TS 3</w:t>
      </w:r>
      <w:r>
        <w:rPr>
          <w:rFonts w:cs="v4.2.0"/>
          <w:lang w:eastAsia="zh-CN"/>
        </w:rPr>
        <w:t>8</w:t>
      </w:r>
      <w:r>
        <w:rPr>
          <w:rFonts w:cs="v4.2.0"/>
        </w:rPr>
        <w:t>.321 [7]</w:t>
      </w:r>
      <w:r>
        <w:rPr>
          <w:rFonts w:cs="v4.2.0"/>
          <w:lang w:eastAsia="zh-CN"/>
        </w:rPr>
        <w:t>.</w:t>
      </w:r>
    </w:p>
    <w:p w14:paraId="6D916465" w14:textId="77777777" w:rsidR="000632D9" w:rsidRDefault="000632D9" w:rsidP="000632D9">
      <w:pPr>
        <w:rPr>
          <w:rFonts w:cs="v4.2.0"/>
          <w:lang w:eastAsia="zh-CN"/>
        </w:rPr>
      </w:pPr>
      <w:r>
        <w:rPr>
          <w:rFonts w:cs="v4.2.0"/>
          <w:lang w:eastAsia="zh-CN"/>
        </w:rPr>
        <w:t xml:space="preserve">If UE is configured </w:t>
      </w:r>
      <w:r>
        <w:rPr>
          <w:rFonts w:cs="v4.2.0"/>
          <w:i/>
          <w:iCs/>
          <w:lang w:eastAsia="zh-CN"/>
        </w:rPr>
        <w:t>lbt-FailureRecoveryConfig</w:t>
      </w:r>
      <w:r>
        <w:rPr>
          <w:rFonts w:cs="v4.2.0"/>
          <w:lang w:eastAsia="zh-CN"/>
        </w:rPr>
        <w:t xml:space="preserve"> and is capable of </w:t>
      </w:r>
      <w:r>
        <w:rPr>
          <w:rFonts w:cs="v4.2.0"/>
          <w:i/>
          <w:iCs/>
          <w:lang w:eastAsia="zh-CN"/>
        </w:rPr>
        <w:t>ul-LBT-FailureDetectionRecovery</w:t>
      </w:r>
      <w:r>
        <w:rPr>
          <w:rFonts w:cs="v4.2.0"/>
          <w:lang w:eastAsia="zh-CN"/>
        </w:rPr>
        <w:t xml:space="preserve"> [2] then upon detecting uplink CCA failure during the random access procedure for random access preamble transmission, as outlined in Clause 5.21.2 of TS 38.321 [7], the UE shall perform the Random Access Resource selection procedure again, </w:t>
      </w:r>
      <w:r>
        <w:rPr>
          <w:rFonts w:cs="v4.2.0"/>
        </w:rPr>
        <w:t>as specified in clause 5.1.3</w:t>
      </w:r>
      <w:r>
        <w:rPr>
          <w:rFonts w:cs="v4.2.0"/>
          <w:lang w:eastAsia="zh-CN"/>
        </w:rPr>
        <w:t xml:space="preserve"> </w:t>
      </w:r>
      <w:r>
        <w:rPr>
          <w:rFonts w:cs="v4.2.0"/>
        </w:rPr>
        <w:t>in TS 3</w:t>
      </w:r>
      <w:r>
        <w:rPr>
          <w:rFonts w:cs="v4.2.0"/>
          <w:lang w:eastAsia="zh-CN"/>
        </w:rPr>
        <w:t>8</w:t>
      </w:r>
      <w:r>
        <w:rPr>
          <w:rFonts w:cs="v4.2.0"/>
        </w:rPr>
        <w:t>.321 [7]</w:t>
      </w:r>
      <w:r>
        <w:rPr>
          <w:rFonts w:cs="v4.2.0"/>
          <w:lang w:eastAsia="zh-CN"/>
        </w:rPr>
        <w:t>.</w:t>
      </w:r>
    </w:p>
    <w:p w14:paraId="7DC572EB" w14:textId="77777777" w:rsidR="000632D9" w:rsidRDefault="000632D9" w:rsidP="000632D9">
      <w:pPr>
        <w:rPr>
          <w:rFonts w:cs="v4.2.0"/>
          <w:lang w:eastAsia="zh-CN"/>
        </w:rPr>
      </w:pPr>
      <w:r>
        <w:rPr>
          <w:rFonts w:cs="v4.2.0"/>
          <w:lang w:eastAsia="zh-CN"/>
        </w:rPr>
        <w:t xml:space="preserve">If UE is not configured </w:t>
      </w:r>
      <w:r>
        <w:rPr>
          <w:rFonts w:cs="v4.2.0"/>
          <w:i/>
          <w:iCs/>
          <w:lang w:eastAsia="zh-CN"/>
        </w:rPr>
        <w:t>lbt-FailureRecoveryConfig</w:t>
      </w:r>
      <w:r>
        <w:rPr>
          <w:rFonts w:cs="v4.2.0"/>
          <w:lang w:eastAsia="zh-CN"/>
        </w:rPr>
        <w:t xml:space="preserve"> or is not capable of </w:t>
      </w:r>
      <w:r>
        <w:rPr>
          <w:rFonts w:cs="v4.2.0"/>
          <w:i/>
          <w:iCs/>
          <w:lang w:eastAsia="zh-CN"/>
        </w:rPr>
        <w:t>ul-LBT-FailureDetectionRecovery</w:t>
      </w:r>
      <w:r>
        <w:rPr>
          <w:rFonts w:cs="v4.2.0"/>
          <w:lang w:eastAsia="zh-CN"/>
        </w:rPr>
        <w:t xml:space="preserve"> [2] then </w:t>
      </w:r>
      <w:r>
        <w:t xml:space="preserve">upon detecting uplink </w:t>
      </w:r>
      <w:r>
        <w:rPr>
          <w:rFonts w:cs="v4.2.0"/>
          <w:lang w:eastAsia="zh-CN"/>
        </w:rPr>
        <w:t xml:space="preserve">CCA failure during the random access procedure for random access preamble transmission, as outlined in Clause 5.21.2 of TS 38.321 [7], the UE shall increment </w:t>
      </w:r>
      <w:r>
        <w:t>PREAMBLE_TRANSMISSION_COUNTER by 1</w:t>
      </w:r>
      <w:r>
        <w:rPr>
          <w:rFonts w:cs="v4.2.0"/>
          <w:lang w:eastAsia="zh-CN"/>
        </w:rPr>
        <w:t xml:space="preserve">. The UE shall again perform the Random Access Resource selection procedure if PREAMBLE_TRANSMISSION_COUNTER &lt; </w:t>
      </w:r>
      <w:r>
        <w:rPr>
          <w:rFonts w:cs="v4.2.0"/>
          <w:i/>
          <w:iCs/>
          <w:lang w:eastAsia="zh-CN"/>
        </w:rPr>
        <w:t>preambleTransMax</w:t>
      </w:r>
      <w:r>
        <w:rPr>
          <w:rFonts w:cs="v4.2.0"/>
          <w:lang w:eastAsia="zh-CN"/>
        </w:rPr>
        <w:t xml:space="preserve"> + 1, as specified in clause 5.1.3 in TS 38.321 [7]. </w:t>
      </w:r>
    </w:p>
    <w:p w14:paraId="1AD6A7DF" w14:textId="77777777" w:rsidR="000632D9" w:rsidRDefault="000632D9" w:rsidP="0028078A">
      <w:pPr>
        <w:pStyle w:val="Heading6"/>
        <w:rPr>
          <w:lang w:eastAsia="zh-CN"/>
        </w:rPr>
      </w:pPr>
      <w:r>
        <w:rPr>
          <w:lang w:eastAsia="zh-CN"/>
        </w:rPr>
        <w:t>6.2.2A.2.1.2</w:t>
      </w:r>
      <w:r>
        <w:rPr>
          <w:lang w:eastAsia="zh-CN"/>
        </w:rPr>
        <w:tab/>
        <w:t>Correct behaviour when receiving Random Access Response</w:t>
      </w:r>
    </w:p>
    <w:p w14:paraId="37F2CB49" w14:textId="77777777" w:rsidR="000632D9" w:rsidRDefault="000632D9" w:rsidP="000632D9">
      <w:pPr>
        <w:rPr>
          <w:lang w:eastAsia="zh-CN"/>
        </w:rPr>
      </w:pPr>
      <w:r>
        <w:t>The UE may stop monitoring for Random Access Response(s) and shall transmit the msg3 if the Random Access Response contains a Random Access Preamble identifier corresponding to the transmitted Random Access Preamble.</w:t>
      </w:r>
    </w:p>
    <w:p w14:paraId="786D8EFA" w14:textId="77777777" w:rsidR="000632D9" w:rsidRDefault="000632D9" w:rsidP="000632D9">
      <w:pPr>
        <w:rPr>
          <w:rFonts w:cs="v4.2.0"/>
        </w:rPr>
      </w:pPr>
      <w:r>
        <w:rPr>
          <w:rFonts w:cs="v4.2.0"/>
        </w:rPr>
        <w:t>The UE shall a</w:t>
      </w:r>
      <w:r>
        <w:rPr>
          <w:rFonts w:cs="v4.2.0"/>
          <w:lang w:eastAsia="zh-CN"/>
        </w:rPr>
        <w:t xml:space="preserve">gain </w:t>
      </w:r>
      <w:r>
        <w:rPr>
          <w:rFonts w:cs="v4.2.0"/>
        </w:rPr>
        <w:t>perform the Random Access Resource selection procedure defined in clause 5.1.2</w:t>
      </w:r>
      <w:r>
        <w:rPr>
          <w:rFonts w:cs="v4.2.0"/>
          <w:lang w:eastAsia="zh-CN"/>
        </w:rPr>
        <w:t xml:space="preserve"> </w:t>
      </w:r>
      <w:r>
        <w:rPr>
          <w:rFonts w:cs="v4.2.0"/>
        </w:rPr>
        <w:t>in TS 3</w:t>
      </w:r>
      <w:r>
        <w:rPr>
          <w:rFonts w:cs="v4.2.0"/>
          <w:lang w:eastAsia="zh-CN"/>
        </w:rPr>
        <w:t>8</w:t>
      </w:r>
      <w:r>
        <w:rPr>
          <w:rFonts w:cs="v4.2.0"/>
        </w:rPr>
        <w:t>.321 [7]</w:t>
      </w:r>
      <w:r>
        <w:rPr>
          <w:rFonts w:cs="v4.2.0"/>
          <w:lang w:eastAsia="zh-CN"/>
        </w:rPr>
        <w:t>,</w:t>
      </w:r>
      <w:r>
        <w:rPr>
          <w:rFonts w:cs="v4.2.0"/>
        </w:rPr>
        <w:t xml:space="preserve"> and transmit with the calculated PRACH transmission power </w:t>
      </w:r>
      <w:r>
        <w:rPr>
          <w:rFonts w:cs="v4.2.0"/>
          <w:lang w:eastAsia="zh-CN"/>
        </w:rPr>
        <w:t>when</w:t>
      </w:r>
      <w:r>
        <w:rPr>
          <w:rFonts w:cs="v4.2.0"/>
        </w:rPr>
        <w:t xml:space="preserve"> the backoff time expires if</w:t>
      </w:r>
      <w:r>
        <w:rPr>
          <w:noProof/>
        </w:rPr>
        <w:t xml:space="preserve"> all received Random Access Responses contain Random Access Preamble identifiers that do not match the transmitted Random Access Preamble</w:t>
      </w:r>
      <w:r>
        <w:rPr>
          <w:rFonts w:cs="v4.2.0"/>
        </w:rPr>
        <w:t>.</w:t>
      </w:r>
    </w:p>
    <w:p w14:paraId="1E12F666" w14:textId="77777777" w:rsidR="000632D9" w:rsidRDefault="000632D9" w:rsidP="0028078A">
      <w:pPr>
        <w:pStyle w:val="Heading6"/>
        <w:rPr>
          <w:lang w:eastAsia="zh-CN"/>
        </w:rPr>
      </w:pPr>
      <w:r>
        <w:rPr>
          <w:lang w:eastAsia="zh-CN"/>
        </w:rPr>
        <w:t>6.2.2A.2.1.3</w:t>
      </w:r>
      <w:r>
        <w:rPr>
          <w:lang w:eastAsia="zh-CN"/>
        </w:rPr>
        <w:tab/>
        <w:t>Correct behaviour when not receiving Random Access Response</w:t>
      </w:r>
    </w:p>
    <w:p w14:paraId="588357FB" w14:textId="77777777" w:rsidR="000632D9" w:rsidRDefault="000632D9" w:rsidP="000632D9">
      <w:pPr>
        <w:rPr>
          <w:rFonts w:cs="v4.2.0"/>
        </w:rPr>
      </w:pPr>
      <w:r>
        <w:rPr>
          <w:rFonts w:cs="v4.2.0"/>
        </w:rPr>
        <w:t xml:space="preserve">The UE shall </w:t>
      </w:r>
      <w:r>
        <w:rPr>
          <w:rFonts w:cs="v4.2.0"/>
          <w:lang w:eastAsia="zh-CN"/>
        </w:rPr>
        <w:t xml:space="preserve">again </w:t>
      </w:r>
      <w:r>
        <w:rPr>
          <w:rFonts w:cs="v4.2.0"/>
        </w:rPr>
        <w:t>perform the Random Access Resource selection procedure defined in clause 5.1.2</w:t>
      </w:r>
      <w:r>
        <w:rPr>
          <w:rFonts w:cs="v4.2.0"/>
          <w:lang w:eastAsia="zh-CN"/>
        </w:rPr>
        <w:t xml:space="preserve"> </w:t>
      </w:r>
      <w:r>
        <w:rPr>
          <w:rFonts w:cs="v4.2.0"/>
        </w:rPr>
        <w:t>in TS 3</w:t>
      </w:r>
      <w:r>
        <w:rPr>
          <w:rFonts w:cs="v4.2.0"/>
          <w:lang w:eastAsia="zh-CN"/>
        </w:rPr>
        <w:t>8</w:t>
      </w:r>
      <w:r>
        <w:rPr>
          <w:rFonts w:cs="v4.2.0"/>
        </w:rPr>
        <w:t>.321 [7]</w:t>
      </w:r>
      <w:r>
        <w:rPr>
          <w:rFonts w:cs="v4.2.0"/>
          <w:lang w:eastAsia="zh-CN"/>
        </w:rPr>
        <w:t>,</w:t>
      </w:r>
      <w:r>
        <w:t xml:space="preserve"> </w:t>
      </w:r>
      <w:r>
        <w:rPr>
          <w:rFonts w:cs="v4.2.0"/>
          <w:lang w:eastAsia="zh-CN"/>
        </w:rPr>
        <w:t xml:space="preserve">if the UL CCA is successful, </w:t>
      </w:r>
      <w:r>
        <w:t xml:space="preserve">and transmit </w:t>
      </w:r>
      <w:r>
        <w:rPr>
          <w:rFonts w:cs="v4.2.0"/>
        </w:rPr>
        <w:t>with the calculated PRACH transmission power</w:t>
      </w:r>
      <w:r>
        <w:t xml:space="preserve"> </w:t>
      </w:r>
      <w:r>
        <w:rPr>
          <w:lang w:eastAsia="zh-CN"/>
        </w:rPr>
        <w:t>when</w:t>
      </w:r>
      <w:r>
        <w:t xml:space="preserve"> </w:t>
      </w:r>
      <w:r>
        <w:rPr>
          <w:noProof/>
        </w:rPr>
        <w:t xml:space="preserve">the backoff time expires </w:t>
      </w:r>
      <w:r>
        <w:rPr>
          <w:noProof/>
          <w:lang w:eastAsia="zh-CN"/>
        </w:rPr>
        <w:t>if no Random Access Response is received within the RA Response window</w:t>
      </w:r>
      <w:r>
        <w:t xml:space="preserve"> defined in clause 5.1.4 </w:t>
      </w:r>
      <w:r>
        <w:rPr>
          <w:lang w:eastAsia="zh-CN"/>
        </w:rPr>
        <w:t xml:space="preserve">in </w:t>
      </w:r>
      <w:r>
        <w:t>TS 3</w:t>
      </w:r>
      <w:r>
        <w:rPr>
          <w:lang w:eastAsia="zh-CN"/>
        </w:rPr>
        <w:t>8</w:t>
      </w:r>
      <w:r>
        <w:t>.321</w:t>
      </w:r>
      <w:r>
        <w:rPr>
          <w:lang w:eastAsia="zh-CN"/>
        </w:rPr>
        <w:t xml:space="preserve"> [7]</w:t>
      </w:r>
      <w:r>
        <w:rPr>
          <w:noProof/>
        </w:rPr>
        <w:t>.</w:t>
      </w:r>
    </w:p>
    <w:p w14:paraId="41D3297A" w14:textId="77777777" w:rsidR="000632D9" w:rsidRDefault="000632D9" w:rsidP="00AD5F73">
      <w:pPr>
        <w:pStyle w:val="Heading6"/>
        <w:rPr>
          <w:lang w:eastAsia="zh-CN"/>
        </w:rPr>
      </w:pPr>
      <w:r>
        <w:rPr>
          <w:lang w:eastAsia="zh-CN"/>
        </w:rPr>
        <w:t>6.2.2A.2.1.4</w:t>
      </w:r>
      <w:r>
        <w:rPr>
          <w:lang w:eastAsia="zh-CN"/>
        </w:rPr>
        <w:tab/>
        <w:t>Correct behaviour when receiving an UL grant for msg3 retransmission</w:t>
      </w:r>
    </w:p>
    <w:p w14:paraId="5CEAF95F" w14:textId="77777777" w:rsidR="000632D9" w:rsidRDefault="000632D9" w:rsidP="000632D9">
      <w:pPr>
        <w:rPr>
          <w:rFonts w:cs="v4.2.0"/>
        </w:rPr>
      </w:pPr>
      <w:r>
        <w:rPr>
          <w:rFonts w:cs="v4.2.0"/>
        </w:rPr>
        <w:t>The UE shall re-transmit the msg3 upon the reception of a</w:t>
      </w:r>
      <w:r>
        <w:rPr>
          <w:rFonts w:cs="v4.2.0"/>
          <w:lang w:eastAsia="zh-CN"/>
        </w:rPr>
        <w:t>n UL grant for msg3 retransmission</w:t>
      </w:r>
      <w:r>
        <w:rPr>
          <w:rFonts w:cs="v4.2.0"/>
        </w:rPr>
        <w:t xml:space="preserve">, </w:t>
      </w:r>
      <w:r>
        <w:rPr>
          <w:rFonts w:cs="v4.2.0"/>
          <w:lang w:eastAsia="zh-CN"/>
        </w:rPr>
        <w:t>if the UL CCA is successful,</w:t>
      </w:r>
    </w:p>
    <w:p w14:paraId="3D6D995D" w14:textId="77777777" w:rsidR="000632D9" w:rsidRDefault="000632D9" w:rsidP="000632D9">
      <w:pPr>
        <w:pStyle w:val="H6"/>
        <w:rPr>
          <w:lang w:eastAsia="zh-CN"/>
        </w:rPr>
      </w:pPr>
      <w:r>
        <w:rPr>
          <w:lang w:eastAsia="zh-CN"/>
        </w:rPr>
        <w:t>6.2.2A.2.1.5</w:t>
      </w:r>
      <w:r>
        <w:rPr>
          <w:lang w:eastAsia="zh-CN"/>
        </w:rPr>
        <w:tab/>
        <w:t>Correct behaviour when receiving a message over Temporary C-RNTI</w:t>
      </w:r>
    </w:p>
    <w:p w14:paraId="30A1552F" w14:textId="77777777" w:rsidR="000632D9" w:rsidRDefault="000632D9" w:rsidP="000632D9">
      <w:pPr>
        <w:rPr>
          <w:rFonts w:cs="v4.2.0"/>
        </w:rPr>
      </w:pPr>
      <w:r>
        <w:rPr>
          <w:rFonts w:cs="v4.2.0"/>
          <w:lang w:eastAsia="zh-CN"/>
        </w:rPr>
        <w:t>If the UL CCA is successful, The</w:t>
      </w:r>
      <w:r>
        <w:rPr>
          <w:rFonts w:cs="v4.2.0"/>
        </w:rPr>
        <w:t xml:space="preserve"> </w:t>
      </w:r>
      <w:r>
        <w:rPr>
          <w:rFonts w:cs="v4.2.0"/>
          <w:lang w:eastAsia="zh-CN"/>
        </w:rPr>
        <w:t>UE</w:t>
      </w:r>
      <w:r>
        <w:rPr>
          <w:rFonts w:cs="v4.2.0"/>
        </w:rPr>
        <w:t xml:space="preserve"> </w:t>
      </w:r>
      <w:r>
        <w:rPr>
          <w:rFonts w:cs="v4.2.0"/>
          <w:lang w:eastAsia="zh-CN"/>
        </w:rPr>
        <w:t>shall</w:t>
      </w:r>
      <w:r>
        <w:rPr>
          <w:rFonts w:cs="v4.2.0"/>
        </w:rPr>
        <w:t xml:space="preserve"> </w:t>
      </w:r>
      <w:r>
        <w:rPr>
          <w:rFonts w:cs="v4.2.0"/>
          <w:lang w:eastAsia="zh-CN"/>
        </w:rPr>
        <w:t>send</w:t>
      </w:r>
      <w:r>
        <w:rPr>
          <w:rFonts w:cs="v4.2.0"/>
        </w:rPr>
        <w:t xml:space="preserve"> </w:t>
      </w:r>
      <w:r>
        <w:rPr>
          <w:rFonts w:cs="v4.2.0"/>
          <w:lang w:eastAsia="zh-CN"/>
        </w:rPr>
        <w:t>ACK</w:t>
      </w:r>
      <w:r>
        <w:rPr>
          <w:rFonts w:cs="v4.2.0"/>
        </w:rPr>
        <w:t xml:space="preserve"> </w:t>
      </w:r>
      <w:r>
        <w:rPr>
          <w:rFonts w:cs="v4.2.0"/>
          <w:lang w:eastAsia="zh-CN"/>
        </w:rPr>
        <w:t>if</w:t>
      </w:r>
      <w:r>
        <w:rPr>
          <w:rFonts w:cs="v4.2.0"/>
        </w:rPr>
        <w:t xml:space="preserve"> </w:t>
      </w:r>
      <w:r>
        <w:rPr>
          <w:rFonts w:cs="v4.2.0"/>
          <w:lang w:eastAsia="zh-CN"/>
        </w:rPr>
        <w:t>t</w:t>
      </w:r>
      <w:r>
        <w:rPr>
          <w:rFonts w:cs="v4.2.0"/>
        </w:rPr>
        <w:t xml:space="preserve">he </w:t>
      </w:r>
      <w:r>
        <w:rPr>
          <w:rFonts w:cs="v4.2.0"/>
          <w:lang w:eastAsia="zh-CN"/>
        </w:rPr>
        <w:t>C</w:t>
      </w:r>
      <w:r>
        <w:rPr>
          <w:rFonts w:cs="v4.2.0"/>
        </w:rPr>
        <w:t>ontention Resolution is successful.</w:t>
      </w:r>
    </w:p>
    <w:p w14:paraId="384DC218" w14:textId="77777777" w:rsidR="000632D9" w:rsidRDefault="000632D9" w:rsidP="000632D9">
      <w:pPr>
        <w:rPr>
          <w:rFonts w:cs="v4.2.0"/>
        </w:rPr>
      </w:pPr>
      <w:r>
        <w:rPr>
          <w:rFonts w:cs="v4.2.0"/>
        </w:rPr>
        <w:t xml:space="preserve">The UE shall </w:t>
      </w:r>
      <w:r>
        <w:rPr>
          <w:rFonts w:cs="v4.2.0"/>
          <w:lang w:eastAsia="zh-CN"/>
        </w:rPr>
        <w:t xml:space="preserve">again </w:t>
      </w:r>
      <w:r>
        <w:rPr>
          <w:rFonts w:cs="v4.2.0"/>
        </w:rPr>
        <w:t>perform the Random Access Resource selection procedure defined in clause 5.1.2</w:t>
      </w:r>
      <w:r>
        <w:rPr>
          <w:rFonts w:cs="v4.2.0"/>
          <w:lang w:eastAsia="zh-CN"/>
        </w:rPr>
        <w:t xml:space="preserve"> </w:t>
      </w:r>
      <w:r>
        <w:rPr>
          <w:rFonts w:cs="v4.2.0"/>
        </w:rPr>
        <w:t>in TS 3</w:t>
      </w:r>
      <w:r>
        <w:rPr>
          <w:rFonts w:cs="v4.2.0"/>
          <w:lang w:eastAsia="zh-CN"/>
        </w:rPr>
        <w:t>8</w:t>
      </w:r>
      <w:r>
        <w:rPr>
          <w:rFonts w:cs="v4.2.0"/>
        </w:rPr>
        <w:t>.321 [7]</w:t>
      </w:r>
      <w:r>
        <w:rPr>
          <w:rFonts w:cs="v4.2.0"/>
          <w:lang w:eastAsia="zh-CN"/>
        </w:rPr>
        <w:t>,</w:t>
      </w:r>
      <w:r>
        <w:rPr>
          <w:rFonts w:cs="v4.2.0"/>
        </w:rPr>
        <w:t xml:space="preserve"> and transmit with the calculated PRACH transmission power </w:t>
      </w:r>
      <w:r>
        <w:rPr>
          <w:rFonts w:cs="v4.2.0"/>
          <w:lang w:eastAsia="zh-CN"/>
        </w:rPr>
        <w:t>when</w:t>
      </w:r>
      <w:r>
        <w:rPr>
          <w:rFonts w:cs="v4.2.0"/>
        </w:rPr>
        <w:t xml:space="preserve"> the backoff time expires and the UL CCA is successful, unless the received message includes a UE Contention Resolution Identity MAC control element and the UE Contention Resolution Identity included in the MAC control element matches the CCCH SDU transmitted in the uplink message.</w:t>
      </w:r>
    </w:p>
    <w:p w14:paraId="1A1BDA47" w14:textId="77777777" w:rsidR="000632D9" w:rsidRDefault="000632D9" w:rsidP="001B1410">
      <w:pPr>
        <w:pStyle w:val="Heading6"/>
        <w:rPr>
          <w:lang w:eastAsia="zh-CN"/>
        </w:rPr>
      </w:pPr>
      <w:r>
        <w:rPr>
          <w:lang w:eastAsia="zh-CN"/>
        </w:rPr>
        <w:t>6.2.2A.2.1.6</w:t>
      </w:r>
      <w:r>
        <w:rPr>
          <w:lang w:eastAsia="zh-CN"/>
        </w:rPr>
        <w:tab/>
        <w:t>Correct behaviour when contention Resolution timer expires</w:t>
      </w:r>
    </w:p>
    <w:p w14:paraId="39919B2D" w14:textId="77777777" w:rsidR="000632D9" w:rsidRDefault="000632D9" w:rsidP="000632D9">
      <w:pPr>
        <w:rPr>
          <w:rFonts w:cs="v4.2.0"/>
        </w:rPr>
      </w:pPr>
      <w:r>
        <w:rPr>
          <w:rFonts w:cs="v4.2.0"/>
        </w:rPr>
        <w:t xml:space="preserve">The UE shall re-select a preamble and transmit with the calculated PRACH transmission power </w:t>
      </w:r>
      <w:r>
        <w:rPr>
          <w:rFonts w:cs="v4.2.0"/>
          <w:lang w:eastAsia="zh-CN"/>
        </w:rPr>
        <w:t>when</w:t>
      </w:r>
      <w:r>
        <w:rPr>
          <w:rFonts w:cs="v4.2.0"/>
        </w:rPr>
        <w:t xml:space="preserve"> the backoff time expires if the Contention Resolution Timer expires.</w:t>
      </w:r>
    </w:p>
    <w:p w14:paraId="21FAEED5" w14:textId="77777777" w:rsidR="000632D9" w:rsidRDefault="000632D9" w:rsidP="000632D9">
      <w:pPr>
        <w:pStyle w:val="Heading5"/>
        <w:rPr>
          <w:lang w:eastAsia="zh-CN"/>
        </w:rPr>
      </w:pPr>
      <w:r>
        <w:rPr>
          <w:lang w:eastAsia="zh-CN"/>
        </w:rPr>
        <w:t>6.2.2A.2.2</w:t>
      </w:r>
      <w:r>
        <w:rPr>
          <w:lang w:eastAsia="zh-CN"/>
        </w:rPr>
        <w:tab/>
        <w:t>Non-Contention based random access</w:t>
      </w:r>
    </w:p>
    <w:p w14:paraId="32A920EB" w14:textId="77777777" w:rsidR="000632D9" w:rsidRDefault="000632D9" w:rsidP="0028078A">
      <w:pPr>
        <w:pStyle w:val="Heading6"/>
        <w:rPr>
          <w:lang w:eastAsia="zh-CN"/>
        </w:rPr>
      </w:pPr>
      <w:r>
        <w:rPr>
          <w:lang w:eastAsia="zh-CN"/>
        </w:rPr>
        <w:t>6.2.2A.2.2.1</w:t>
      </w:r>
      <w:r>
        <w:rPr>
          <w:lang w:eastAsia="zh-CN"/>
        </w:rPr>
        <w:tab/>
        <w:t>Correct behaviour when transmitting Random Access Preamble</w:t>
      </w:r>
    </w:p>
    <w:p w14:paraId="1D60B269" w14:textId="77777777" w:rsidR="000632D9" w:rsidRDefault="000632D9" w:rsidP="000632D9">
      <w:pPr>
        <w:rPr>
          <w:rFonts w:cs="v4.2.0"/>
          <w:lang w:eastAsia="zh-CN"/>
        </w:rPr>
      </w:pPr>
      <w:r>
        <w:rPr>
          <w:rFonts w:cs="v4.2.0"/>
          <w:lang w:eastAsia="zh-CN"/>
        </w:rPr>
        <w:t xml:space="preserve">If the UL CCA is successful on the next available PRACH occasion and </w:t>
      </w:r>
      <w:r>
        <w:rPr>
          <w:lang w:eastAsia="zh-CN"/>
        </w:rPr>
        <w:t>if the contention-free Random Access Resources and the contention-free PRACH occasions associated with SSBs is configured,</w:t>
      </w:r>
      <w:r>
        <w:rPr>
          <w:rFonts w:cs="v4.2.0"/>
          <w:lang w:eastAsia="zh-CN"/>
        </w:rPr>
        <w:t xml:space="preserve"> with the UE selected SSB with SS-RSRP above </w:t>
      </w:r>
      <w:r>
        <w:rPr>
          <w:rFonts w:cs="v4.2.0"/>
          <w:i/>
          <w:lang w:eastAsia="zh-CN"/>
        </w:rPr>
        <w:t xml:space="preserve">rsrp-ThresholdSSB </w:t>
      </w:r>
      <w:r>
        <w:rPr>
          <w:rFonts w:cs="v4.2.0"/>
          <w:lang w:eastAsia="zh-CN"/>
        </w:rPr>
        <w:t xml:space="preserve">amongst the associated SSBs, UE shall have the capability to select the </w:t>
      </w:r>
      <w:r>
        <w:t>Random Access Preamble</w:t>
      </w:r>
      <w:r>
        <w:rPr>
          <w:lang w:eastAsia="zh-CN"/>
        </w:rPr>
        <w:t xml:space="preserve"> corresponding to the selected SSB, and</w:t>
      </w:r>
      <w:r>
        <w:rPr>
          <w:rFonts w:cs="v4.2.0"/>
          <w:lang w:eastAsia="zh-CN"/>
        </w:rPr>
        <w:t xml:space="preserve"> to transmit Random Access Preamble on the next available PRACH occasion from the PRACH occasions corresponding to the selected SSB permitted by the restrictions given by the </w:t>
      </w:r>
      <w:r>
        <w:rPr>
          <w:rFonts w:cs="v4.2.0"/>
          <w:i/>
          <w:lang w:eastAsia="zh-CN"/>
        </w:rPr>
        <w:t>ra-ssb-OccasionMaskIndex</w:t>
      </w:r>
      <w:r>
        <w:rPr>
          <w:rFonts w:cs="v4.2.0"/>
          <w:lang w:eastAsia="zh-CN"/>
        </w:rPr>
        <w:t xml:space="preserve"> if configured, and </w:t>
      </w:r>
      <w:r>
        <w:rPr>
          <w:lang w:eastAsia="ko-KR"/>
        </w:rPr>
        <w:t xml:space="preserve">PRACH occasion </w:t>
      </w:r>
      <w:r>
        <w:rPr>
          <w:lang w:eastAsia="zh-CN"/>
        </w:rPr>
        <w:t xml:space="preserve">shall be </w:t>
      </w:r>
      <w:r>
        <w:rPr>
          <w:lang w:eastAsia="ko-KR"/>
        </w:rPr>
        <w:t>randomly</w:t>
      </w:r>
      <w:r>
        <w:rPr>
          <w:lang w:eastAsia="zh-CN"/>
        </w:rPr>
        <w:t xml:space="preserve"> selected</w:t>
      </w:r>
      <w:r>
        <w:rPr>
          <w:lang w:eastAsia="ko-KR"/>
        </w:rPr>
        <w:t xml:space="preserve"> with equal probability amongst the </w:t>
      </w:r>
      <w:r>
        <w:rPr>
          <w:lang w:eastAsia="zh-CN"/>
        </w:rPr>
        <w:t xml:space="preserve">selected SSB associated </w:t>
      </w:r>
      <w:r>
        <w:rPr>
          <w:lang w:eastAsia="ko-KR"/>
        </w:rPr>
        <w:t>PRACH occasions occurring simultaneously but on different subcarriers</w:t>
      </w:r>
      <w:r>
        <w:rPr>
          <w:rFonts w:cs="v4.2.0"/>
          <w:lang w:eastAsia="zh-CN"/>
        </w:rPr>
        <w:t xml:space="preserve">, </w:t>
      </w:r>
      <w:r>
        <w:rPr>
          <w:rFonts w:cs="v4.2.0"/>
        </w:rPr>
        <w:t>as specified in clause 5.1.</w:t>
      </w:r>
      <w:r>
        <w:rPr>
          <w:rFonts w:cs="v4.2.0"/>
          <w:lang w:eastAsia="zh-CN"/>
        </w:rPr>
        <w:t>2</w:t>
      </w:r>
      <w:r>
        <w:rPr>
          <w:rFonts w:cs="v4.2.0"/>
        </w:rPr>
        <w:t xml:space="preserve"> in TS 3</w:t>
      </w:r>
      <w:r>
        <w:rPr>
          <w:rFonts w:cs="v4.2.0"/>
          <w:lang w:eastAsia="zh-CN"/>
        </w:rPr>
        <w:t>8</w:t>
      </w:r>
      <w:r>
        <w:rPr>
          <w:rFonts w:cs="v4.2.0"/>
        </w:rPr>
        <w:t>.321 [7]</w:t>
      </w:r>
      <w:r>
        <w:rPr>
          <w:rFonts w:cs="v4.2.0"/>
          <w:lang w:eastAsia="zh-CN"/>
        </w:rPr>
        <w:t>.</w:t>
      </w:r>
    </w:p>
    <w:p w14:paraId="21A93439" w14:textId="77777777" w:rsidR="000632D9" w:rsidRDefault="000632D9" w:rsidP="000632D9">
      <w:pPr>
        <w:rPr>
          <w:rFonts w:cs="v4.2.0"/>
          <w:lang w:eastAsia="zh-CN"/>
        </w:rPr>
      </w:pPr>
      <w:r>
        <w:rPr>
          <w:rFonts w:cs="v4.2.0"/>
          <w:lang w:eastAsia="zh-CN"/>
        </w:rPr>
        <w:t xml:space="preserve">If the UL CCA is successful, and if the random access procedure is initialized for beam failure recovery and if the contention-free Random Access Resources </w:t>
      </w:r>
      <w:r>
        <w:rPr>
          <w:lang w:eastAsia="zh-CN"/>
        </w:rPr>
        <w:t>and the contention-free PRACH occasions</w:t>
      </w:r>
      <w:r>
        <w:rPr>
          <w:rFonts w:cs="v4.2.0"/>
          <w:lang w:eastAsia="zh-CN"/>
        </w:rPr>
        <w:t xml:space="preserve"> for beam failure recovery request associated with SSBs configured, UE shall have the capability to select the Random Access Preamble corresponding to the selected SSB with SS-RSRP above </w:t>
      </w:r>
      <w:r>
        <w:rPr>
          <w:rFonts w:cs="v4.2.0"/>
          <w:i/>
          <w:lang w:eastAsia="zh-CN"/>
        </w:rPr>
        <w:t xml:space="preserve">rsrp-ThresholdSSB </w:t>
      </w:r>
      <w:r>
        <w:rPr>
          <w:rFonts w:cs="v4.2.0"/>
          <w:lang w:eastAsia="zh-CN"/>
        </w:rPr>
        <w:t xml:space="preserve">amongst the associated SSBs, and to transmit Random Access Preamble on the next available PRACH occasion from the PRACH occasions corresponding to the selected SSB permitted by the restrictions given by the </w:t>
      </w:r>
      <w:r>
        <w:rPr>
          <w:rFonts w:cs="v4.2.0"/>
          <w:i/>
          <w:lang w:eastAsia="zh-CN"/>
        </w:rPr>
        <w:t>ra-ssb-OccasionMaskIndex</w:t>
      </w:r>
      <w:r>
        <w:rPr>
          <w:rFonts w:cs="v4.2.0"/>
          <w:lang w:eastAsia="zh-CN"/>
        </w:rPr>
        <w:t xml:space="preserve"> if configured, and </w:t>
      </w:r>
      <w:r>
        <w:rPr>
          <w:lang w:eastAsia="ko-KR"/>
        </w:rPr>
        <w:t xml:space="preserve">PRACH occasion </w:t>
      </w:r>
      <w:r>
        <w:rPr>
          <w:lang w:eastAsia="zh-CN"/>
        </w:rPr>
        <w:t xml:space="preserve">shall be </w:t>
      </w:r>
      <w:r>
        <w:rPr>
          <w:lang w:eastAsia="ko-KR"/>
        </w:rPr>
        <w:t>randomly</w:t>
      </w:r>
      <w:r>
        <w:rPr>
          <w:lang w:eastAsia="zh-CN"/>
        </w:rPr>
        <w:t xml:space="preserve"> selected</w:t>
      </w:r>
      <w:r>
        <w:rPr>
          <w:lang w:eastAsia="ko-KR"/>
        </w:rPr>
        <w:t xml:space="preserve"> with equal probability amongst the </w:t>
      </w:r>
      <w:r>
        <w:rPr>
          <w:lang w:eastAsia="zh-CN"/>
        </w:rPr>
        <w:t>selected SSB associated PRACH occasions</w:t>
      </w:r>
      <w:r>
        <w:rPr>
          <w:lang w:eastAsia="ko-KR"/>
        </w:rPr>
        <w:t xml:space="preserve"> occurring simultaneously but on different subcarriers</w:t>
      </w:r>
      <w:r>
        <w:rPr>
          <w:rFonts w:cs="v4.2.0"/>
          <w:lang w:eastAsia="zh-CN"/>
        </w:rPr>
        <w:t xml:space="preserve">, </w:t>
      </w:r>
      <w:r>
        <w:rPr>
          <w:rFonts w:cs="v4.2.0"/>
        </w:rPr>
        <w:t>as specified in clause 5.1.</w:t>
      </w:r>
      <w:r>
        <w:rPr>
          <w:rFonts w:cs="v4.2.0"/>
          <w:lang w:eastAsia="zh-CN"/>
        </w:rPr>
        <w:t>2</w:t>
      </w:r>
      <w:r>
        <w:rPr>
          <w:rFonts w:cs="v4.2.0"/>
        </w:rPr>
        <w:t xml:space="preserve"> in TS 3</w:t>
      </w:r>
      <w:r>
        <w:rPr>
          <w:rFonts w:cs="v4.2.0"/>
          <w:lang w:eastAsia="zh-CN"/>
        </w:rPr>
        <w:t>8</w:t>
      </w:r>
      <w:r>
        <w:rPr>
          <w:rFonts w:cs="v4.2.0"/>
        </w:rPr>
        <w:t>.321 [7]</w:t>
      </w:r>
      <w:r>
        <w:rPr>
          <w:rFonts w:cs="v4.2.0"/>
          <w:lang w:eastAsia="zh-CN"/>
        </w:rPr>
        <w:t>.</w:t>
      </w:r>
    </w:p>
    <w:p w14:paraId="73452C85" w14:textId="77777777" w:rsidR="000632D9" w:rsidRDefault="000632D9" w:rsidP="000632D9">
      <w:pPr>
        <w:rPr>
          <w:rFonts w:cs="v4.2.0"/>
          <w:lang w:eastAsia="zh-CN"/>
        </w:rPr>
      </w:pPr>
      <w:r>
        <w:rPr>
          <w:rFonts w:cs="v4.2.0"/>
          <w:lang w:eastAsia="zh-CN"/>
        </w:rPr>
        <w:t xml:space="preserve">If UE is configured </w:t>
      </w:r>
      <w:r>
        <w:rPr>
          <w:rFonts w:cs="v4.2.0"/>
          <w:i/>
          <w:iCs/>
          <w:lang w:eastAsia="zh-CN"/>
        </w:rPr>
        <w:t>lbt-FailureRecoveryConfig</w:t>
      </w:r>
      <w:r>
        <w:rPr>
          <w:rFonts w:cs="v4.2.0"/>
          <w:lang w:eastAsia="zh-CN"/>
        </w:rPr>
        <w:t xml:space="preserve"> and is capable of </w:t>
      </w:r>
      <w:r>
        <w:rPr>
          <w:rFonts w:cs="v4.2.0"/>
          <w:i/>
          <w:iCs/>
          <w:lang w:eastAsia="zh-CN"/>
        </w:rPr>
        <w:t>ul-LBT-FailureDetectionRecovery</w:t>
      </w:r>
      <w:r>
        <w:rPr>
          <w:rFonts w:cs="v4.2.0"/>
          <w:lang w:eastAsia="zh-CN"/>
        </w:rPr>
        <w:t xml:space="preserve"> [2] then upon detecting uplink CCA failure during the random access procedure for random access preamble transmission, as outlined in Clause 5.21.2 of TS 38.321 [7], the UE shall perform the Random Access Resource selection procedure again, </w:t>
      </w:r>
      <w:r>
        <w:rPr>
          <w:rFonts w:cs="v4.2.0"/>
        </w:rPr>
        <w:t>as specified in clause 5.1.3</w:t>
      </w:r>
      <w:r>
        <w:rPr>
          <w:rFonts w:cs="v4.2.0"/>
          <w:lang w:eastAsia="zh-CN"/>
        </w:rPr>
        <w:t xml:space="preserve"> </w:t>
      </w:r>
      <w:r>
        <w:rPr>
          <w:rFonts w:cs="v4.2.0"/>
        </w:rPr>
        <w:t>in TS 3</w:t>
      </w:r>
      <w:r>
        <w:rPr>
          <w:rFonts w:cs="v4.2.0"/>
          <w:lang w:eastAsia="zh-CN"/>
        </w:rPr>
        <w:t>8</w:t>
      </w:r>
      <w:r>
        <w:rPr>
          <w:rFonts w:cs="v4.2.0"/>
        </w:rPr>
        <w:t>.321 [7]</w:t>
      </w:r>
      <w:r>
        <w:rPr>
          <w:rFonts w:cs="v4.2.0"/>
          <w:lang w:eastAsia="zh-CN"/>
        </w:rPr>
        <w:t>.</w:t>
      </w:r>
    </w:p>
    <w:p w14:paraId="3FC9E4E6" w14:textId="0B1ADEC2" w:rsidR="000632D9" w:rsidRDefault="00A46579" w:rsidP="000632D9">
      <w:pPr>
        <w:rPr>
          <w:rFonts w:cs="v4.2.0"/>
          <w:lang w:eastAsia="zh-CN"/>
        </w:rPr>
      </w:pPr>
      <w:r>
        <w:rPr>
          <w:rFonts w:cs="v4.2.0"/>
          <w:lang w:eastAsia="zh-CN"/>
        </w:rPr>
        <w:t xml:space="preserve">If UE is not configured </w:t>
      </w:r>
      <w:r>
        <w:rPr>
          <w:rFonts w:cs="v4.2.0"/>
          <w:i/>
          <w:iCs/>
          <w:lang w:eastAsia="zh-CN"/>
        </w:rPr>
        <w:t>lbt-FailureRecoveryConfig</w:t>
      </w:r>
      <w:r>
        <w:rPr>
          <w:rFonts w:cs="v4.2.0"/>
          <w:lang w:eastAsia="zh-CN"/>
        </w:rPr>
        <w:t xml:space="preserve"> or is not capable of </w:t>
      </w:r>
      <w:r>
        <w:rPr>
          <w:rFonts w:cs="v4.2.0"/>
          <w:i/>
          <w:iCs/>
          <w:lang w:eastAsia="zh-CN"/>
        </w:rPr>
        <w:t>ul-LBT-FailureDetectionRecovery</w:t>
      </w:r>
      <w:r>
        <w:rPr>
          <w:rFonts w:cs="v4.2.0"/>
          <w:lang w:eastAsia="zh-CN"/>
        </w:rPr>
        <w:t xml:space="preserve"> [2] then </w:t>
      </w:r>
      <w:r>
        <w:t xml:space="preserve">upon detecting uplink </w:t>
      </w:r>
      <w:r>
        <w:rPr>
          <w:rFonts w:cs="v4.2.0"/>
          <w:lang w:eastAsia="zh-CN"/>
        </w:rPr>
        <w:t xml:space="preserve">CCA failure during the random access procedure for random access preamble transmission, as outlined in Clause 5.21.2 of TS 38.321 [7], the UE shall increment </w:t>
      </w:r>
      <w:r>
        <w:t>PREAMBLE_TRANSMISSION_COUNTER by 1</w:t>
      </w:r>
      <w:r>
        <w:rPr>
          <w:rFonts w:cs="v4.2.0"/>
          <w:lang w:eastAsia="zh-CN"/>
        </w:rPr>
        <w:t xml:space="preserve">. The UE shall again perform the Random Access Resource selection procedure if PREAMBLE_TRANSMISSION_COUNTER &lt; </w:t>
      </w:r>
      <w:r>
        <w:rPr>
          <w:rFonts w:cs="v4.2.0"/>
          <w:i/>
          <w:iCs/>
          <w:lang w:eastAsia="zh-CN"/>
        </w:rPr>
        <w:t>preambleTransMax</w:t>
      </w:r>
      <w:r>
        <w:rPr>
          <w:rFonts w:cs="v4.2.0"/>
          <w:lang w:eastAsia="zh-CN"/>
        </w:rPr>
        <w:t xml:space="preserve"> + 1, as specified in clause 5.1.3 in TS 38.321 [7].</w:t>
      </w:r>
      <w:r w:rsidR="000632D9">
        <w:rPr>
          <w:rFonts w:cs="v4.2.0"/>
          <w:lang w:eastAsia="zh-CN"/>
        </w:rPr>
        <w:t xml:space="preserve"> </w:t>
      </w:r>
    </w:p>
    <w:p w14:paraId="3F5F2BB0" w14:textId="77777777" w:rsidR="000632D9" w:rsidRDefault="000632D9" w:rsidP="000632D9">
      <w:pPr>
        <w:rPr>
          <w:rFonts w:cs="v4.2.0"/>
          <w:lang w:eastAsia="zh-CN"/>
        </w:rPr>
      </w:pPr>
    </w:p>
    <w:p w14:paraId="411BDA80" w14:textId="77777777" w:rsidR="000632D9" w:rsidRDefault="000632D9" w:rsidP="0028078A">
      <w:pPr>
        <w:pStyle w:val="Heading6"/>
        <w:rPr>
          <w:lang w:eastAsia="zh-CN"/>
        </w:rPr>
      </w:pPr>
      <w:r>
        <w:rPr>
          <w:lang w:eastAsia="zh-CN"/>
        </w:rPr>
        <w:t>6.2.2A.2.2.2</w:t>
      </w:r>
      <w:r>
        <w:rPr>
          <w:lang w:eastAsia="zh-CN"/>
        </w:rPr>
        <w:tab/>
        <w:t>Correct behaviour when receiving Random Access Response</w:t>
      </w:r>
    </w:p>
    <w:p w14:paraId="649A38FD" w14:textId="77777777" w:rsidR="000632D9" w:rsidRDefault="000632D9" w:rsidP="000632D9">
      <w:pPr>
        <w:rPr>
          <w:lang w:eastAsia="zh-CN"/>
        </w:rPr>
      </w:pPr>
      <w:r>
        <w:t>The UE may stop monitoring for Random Access Response(s)</w:t>
      </w:r>
      <w:r>
        <w:rPr>
          <w:lang w:eastAsia="zh-CN"/>
        </w:rPr>
        <w:t xml:space="preserve">, </w:t>
      </w:r>
      <w:r>
        <w:t>if the Random Access Response contains a Random Access Preamble identifier corresponding to the transmitted Random Access Preamble</w:t>
      </w:r>
      <w:r>
        <w:rPr>
          <w:lang w:eastAsia="zh-CN"/>
        </w:rPr>
        <w:t>, unless the random access procedure is initialized for Other SI request from UE</w:t>
      </w:r>
      <w:r>
        <w:t>.</w:t>
      </w:r>
    </w:p>
    <w:p w14:paraId="0B892F9C" w14:textId="77777777" w:rsidR="000632D9" w:rsidRDefault="000632D9" w:rsidP="000632D9">
      <w:pPr>
        <w:rPr>
          <w:lang w:eastAsia="zh-CN"/>
        </w:rPr>
      </w:pPr>
      <w:r>
        <w:t xml:space="preserve">The UE may stop monitoring for Random Access Response(s) and shall </w:t>
      </w:r>
      <w:r>
        <w:rPr>
          <w:lang w:eastAsia="zh-CN"/>
        </w:rPr>
        <w:t>monitor the Other SI transmission</w:t>
      </w:r>
      <w:r>
        <w:t xml:space="preserve"> if the Random Access Response </w:t>
      </w:r>
      <w:r>
        <w:rPr>
          <w:lang w:eastAsia="zh-CN"/>
        </w:rPr>
        <w:t xml:space="preserve">only </w:t>
      </w:r>
      <w:r>
        <w:t xml:space="preserve">contains a Random Access Preamble identifier </w:t>
      </w:r>
      <w:r>
        <w:rPr>
          <w:lang w:eastAsia="zh-CN"/>
        </w:rPr>
        <w:t xml:space="preserve">which is </w:t>
      </w:r>
      <w:r>
        <w:t>corresponding to the transmitted Random Access Preamble</w:t>
      </w:r>
      <w:r>
        <w:rPr>
          <w:lang w:eastAsia="zh-CN"/>
        </w:rPr>
        <w:t xml:space="preserve"> and the random access procedure is initialized for SI request from UE</w:t>
      </w:r>
      <w:r>
        <w:rPr>
          <w:rFonts w:cs="v4.2.0"/>
          <w:lang w:eastAsia="zh-CN"/>
        </w:rPr>
        <w:t xml:space="preserve">, </w:t>
      </w:r>
      <w:r>
        <w:rPr>
          <w:rFonts w:cs="v4.2.0"/>
        </w:rPr>
        <w:t>as specified in clause 5.1.</w:t>
      </w:r>
      <w:r>
        <w:rPr>
          <w:rFonts w:cs="v4.2.0"/>
          <w:lang w:eastAsia="zh-CN"/>
        </w:rPr>
        <w:t>4</w:t>
      </w:r>
      <w:r>
        <w:rPr>
          <w:rFonts w:cs="v4.2.0"/>
        </w:rPr>
        <w:t xml:space="preserve"> in TS 3</w:t>
      </w:r>
      <w:r>
        <w:rPr>
          <w:rFonts w:cs="v4.2.0"/>
          <w:lang w:eastAsia="zh-CN"/>
        </w:rPr>
        <w:t>8</w:t>
      </w:r>
      <w:r>
        <w:rPr>
          <w:rFonts w:cs="v4.2.0"/>
        </w:rPr>
        <w:t>.321 [7]</w:t>
      </w:r>
      <w:r>
        <w:t>.</w:t>
      </w:r>
    </w:p>
    <w:p w14:paraId="28F42427" w14:textId="77777777" w:rsidR="000632D9" w:rsidRDefault="000632D9" w:rsidP="000632D9">
      <w:pPr>
        <w:rPr>
          <w:lang w:eastAsia="zh-CN"/>
        </w:rPr>
      </w:pPr>
      <w:r>
        <w:t>The UE may stop monitoring for Random Access Response(s)</w:t>
      </w:r>
      <w:r>
        <w:rPr>
          <w:lang w:eastAsia="zh-CN"/>
        </w:rPr>
        <w:t>, if the contention-free Random Access Preamble for beam failure recovery request was transmitted and if the PDCCH addressed to UE’s C-RNTI is received</w:t>
      </w:r>
      <w:r>
        <w:rPr>
          <w:rFonts w:cs="v4.2.0"/>
          <w:lang w:eastAsia="zh-CN"/>
        </w:rPr>
        <w:t xml:space="preserve">, </w:t>
      </w:r>
      <w:r>
        <w:rPr>
          <w:rFonts w:cs="v4.2.0"/>
        </w:rPr>
        <w:t>as specified in clause 5.1.</w:t>
      </w:r>
      <w:r>
        <w:rPr>
          <w:rFonts w:cs="v4.2.0"/>
          <w:lang w:eastAsia="zh-CN"/>
        </w:rPr>
        <w:t>4</w:t>
      </w:r>
      <w:r>
        <w:rPr>
          <w:rFonts w:cs="v4.2.0"/>
        </w:rPr>
        <w:t xml:space="preserve"> in TS 3</w:t>
      </w:r>
      <w:r>
        <w:rPr>
          <w:rFonts w:cs="v4.2.0"/>
          <w:lang w:eastAsia="zh-CN"/>
        </w:rPr>
        <w:t>8</w:t>
      </w:r>
      <w:r>
        <w:rPr>
          <w:rFonts w:cs="v4.2.0"/>
        </w:rPr>
        <w:t>.321 [7]</w:t>
      </w:r>
      <w:r>
        <w:rPr>
          <w:lang w:eastAsia="zh-CN"/>
        </w:rPr>
        <w:t>.</w:t>
      </w:r>
    </w:p>
    <w:p w14:paraId="391BB3A6" w14:textId="77777777" w:rsidR="000632D9" w:rsidRDefault="000632D9" w:rsidP="000632D9">
      <w:pPr>
        <w:rPr>
          <w:rFonts w:cs="v4.2.0"/>
        </w:rPr>
      </w:pPr>
      <w:r>
        <w:rPr>
          <w:rFonts w:cs="v4.2.0"/>
        </w:rPr>
        <w:t xml:space="preserve">The UE shall </w:t>
      </w:r>
      <w:r>
        <w:rPr>
          <w:rFonts w:cs="v4.2.0"/>
          <w:lang w:eastAsia="zh-CN"/>
        </w:rPr>
        <w:t xml:space="preserve">again </w:t>
      </w:r>
      <w:r>
        <w:rPr>
          <w:rFonts w:cs="v4.2.0"/>
        </w:rPr>
        <w:t>perform the Random Access Resource selection procedure defined in clause 5.1.2</w:t>
      </w:r>
      <w:r>
        <w:rPr>
          <w:rFonts w:cs="v4.2.0"/>
          <w:lang w:eastAsia="zh-CN"/>
        </w:rPr>
        <w:t xml:space="preserve"> </w:t>
      </w:r>
      <w:r>
        <w:rPr>
          <w:rFonts w:cs="v4.2.0"/>
        </w:rPr>
        <w:t>in TS 3</w:t>
      </w:r>
      <w:r>
        <w:rPr>
          <w:rFonts w:cs="v4.2.0"/>
          <w:lang w:eastAsia="zh-CN"/>
        </w:rPr>
        <w:t>8</w:t>
      </w:r>
      <w:r>
        <w:rPr>
          <w:rFonts w:cs="v4.2.0"/>
        </w:rPr>
        <w:t>.321 [7]</w:t>
      </w:r>
      <w:r>
        <w:rPr>
          <w:rFonts w:cs="v4.2.0"/>
          <w:lang w:eastAsia="zh-CN"/>
        </w:rPr>
        <w:t xml:space="preserve"> for the next available PRACH occasion if the UL CCA is successful, and </w:t>
      </w:r>
      <w:r>
        <w:t>transmit the preamble</w:t>
      </w:r>
      <w:r>
        <w:rPr>
          <w:i/>
        </w:rPr>
        <w:t xml:space="preserve"> </w:t>
      </w:r>
      <w:r>
        <w:rPr>
          <w:rFonts w:cs="v4.2.0"/>
        </w:rPr>
        <w:t>with the calculated PRACH transmission power</w:t>
      </w:r>
      <w:r>
        <w:t xml:space="preserve"> if all received Random Access Responses contain Random Access Preamble identifiers that do not match the transmitted Random Access Preamble.</w:t>
      </w:r>
    </w:p>
    <w:p w14:paraId="76C7CC15" w14:textId="77777777" w:rsidR="000632D9" w:rsidRDefault="000632D9" w:rsidP="00FE4CE9">
      <w:pPr>
        <w:pStyle w:val="Heading6"/>
        <w:rPr>
          <w:lang w:eastAsia="zh-CN"/>
        </w:rPr>
      </w:pPr>
      <w:r>
        <w:rPr>
          <w:lang w:eastAsia="zh-CN"/>
        </w:rPr>
        <w:t>6.2.2A.2.2.3</w:t>
      </w:r>
      <w:r>
        <w:rPr>
          <w:lang w:eastAsia="zh-CN"/>
        </w:rPr>
        <w:tab/>
        <w:t>Correct behaviour when not receiving Random Access Response</w:t>
      </w:r>
    </w:p>
    <w:p w14:paraId="69ED273B" w14:textId="77777777" w:rsidR="000632D9" w:rsidRDefault="000632D9" w:rsidP="000632D9">
      <w:pPr>
        <w:rPr>
          <w:lang w:eastAsia="zh-CN"/>
        </w:rPr>
      </w:pPr>
      <w:r>
        <w:rPr>
          <w:rFonts w:cs="v4.2.0"/>
        </w:rPr>
        <w:t xml:space="preserve">The UE shall </w:t>
      </w:r>
      <w:r>
        <w:rPr>
          <w:rFonts w:cs="v4.2.0"/>
          <w:lang w:eastAsia="zh-CN"/>
        </w:rPr>
        <w:t xml:space="preserve">again </w:t>
      </w:r>
      <w:r>
        <w:rPr>
          <w:rFonts w:cs="v4.2.0"/>
        </w:rPr>
        <w:t>perform the Random Access Resource selection procedure defined in clause 5.1.2</w:t>
      </w:r>
      <w:r>
        <w:rPr>
          <w:rFonts w:cs="v4.2.0"/>
          <w:lang w:eastAsia="zh-CN"/>
        </w:rPr>
        <w:t xml:space="preserve"> </w:t>
      </w:r>
      <w:r>
        <w:rPr>
          <w:rFonts w:cs="v4.2.0"/>
        </w:rPr>
        <w:t>in TS 3</w:t>
      </w:r>
      <w:r>
        <w:rPr>
          <w:rFonts w:cs="v4.2.0"/>
          <w:lang w:eastAsia="zh-CN"/>
        </w:rPr>
        <w:t>8</w:t>
      </w:r>
      <w:r>
        <w:rPr>
          <w:rFonts w:cs="v4.2.0"/>
        </w:rPr>
        <w:t>.321 [7]</w:t>
      </w:r>
      <w:r>
        <w:rPr>
          <w:rFonts w:cs="v4.2.0"/>
          <w:lang w:eastAsia="zh-CN"/>
        </w:rPr>
        <w:t xml:space="preserve"> for the next available PRACH occasion if the UL CCA is successful,</w:t>
      </w:r>
      <w:r>
        <w:t xml:space="preserve"> </w:t>
      </w:r>
      <w:r>
        <w:rPr>
          <w:lang w:eastAsia="zh-CN"/>
        </w:rPr>
        <w:t>and</w:t>
      </w:r>
      <w:r>
        <w:t xml:space="preserve"> transmit the preamble</w:t>
      </w:r>
      <w:r>
        <w:rPr>
          <w:rFonts w:cs="v4.2.0"/>
        </w:rPr>
        <w:t xml:space="preserve"> with the calculated PRACH transmission power</w:t>
      </w:r>
      <w:r>
        <w:rPr>
          <w:rFonts w:cs="v4.2.0"/>
          <w:lang w:eastAsia="zh-CN"/>
        </w:rPr>
        <w:t xml:space="preserve">, </w:t>
      </w:r>
      <w:r>
        <w:rPr>
          <w:noProof/>
          <w:lang w:eastAsia="zh-CN"/>
        </w:rPr>
        <w:t xml:space="preserve">if no Random Access Response is received within the RA Response window configured in </w:t>
      </w:r>
      <w:r>
        <w:rPr>
          <w:i/>
          <w:noProof/>
          <w:lang w:eastAsia="zh-CN"/>
        </w:rPr>
        <w:t>RACH-ConfigCommon</w:t>
      </w:r>
      <w:r>
        <w:rPr>
          <w:noProof/>
          <w:lang w:eastAsia="zh-CN"/>
        </w:rPr>
        <w:t xml:space="preserve"> or if no PDCCH addressed to UE’s C-RNTI is received within the RA Response window configured in </w:t>
      </w:r>
      <w:r>
        <w:rPr>
          <w:i/>
          <w:noProof/>
          <w:lang w:eastAsia="zh-CN"/>
        </w:rPr>
        <w:t>BeamFailureRecoveryConfig</w:t>
      </w:r>
      <w:r>
        <w:rPr>
          <w:noProof/>
          <w:lang w:eastAsia="zh-CN"/>
        </w:rPr>
        <w:t>, as</w:t>
      </w:r>
      <w:r>
        <w:t xml:space="preserve"> defined in clause 5.1.4 </w:t>
      </w:r>
      <w:r>
        <w:rPr>
          <w:lang w:eastAsia="zh-CN"/>
        </w:rPr>
        <w:t xml:space="preserve">in </w:t>
      </w:r>
      <w:r>
        <w:t>TS 3</w:t>
      </w:r>
      <w:r>
        <w:rPr>
          <w:lang w:eastAsia="zh-CN"/>
        </w:rPr>
        <w:t>8</w:t>
      </w:r>
      <w:r>
        <w:t>.321</w:t>
      </w:r>
      <w:r>
        <w:rPr>
          <w:lang w:eastAsia="zh-CN"/>
        </w:rPr>
        <w:t xml:space="preserve"> [7]</w:t>
      </w:r>
      <w:r>
        <w:t>.</w:t>
      </w:r>
    </w:p>
    <w:p w14:paraId="4A06E7F6" w14:textId="77777777" w:rsidR="000632D9" w:rsidRDefault="000632D9" w:rsidP="000632D9">
      <w:pPr>
        <w:pStyle w:val="Heading4"/>
        <w:rPr>
          <w:lang w:eastAsia="ko-KR"/>
        </w:rPr>
      </w:pPr>
      <w:r>
        <w:rPr>
          <w:lang w:eastAsia="ko-KR"/>
        </w:rPr>
        <w:t>6.2.</w:t>
      </w:r>
      <w:r>
        <w:rPr>
          <w:lang w:eastAsia="zh-CN"/>
        </w:rPr>
        <w:t>2A</w:t>
      </w:r>
      <w:r>
        <w:rPr>
          <w:lang w:eastAsia="ko-KR"/>
        </w:rPr>
        <w:t>.3</w:t>
      </w:r>
      <w:r>
        <w:rPr>
          <w:lang w:eastAsia="ko-KR"/>
        </w:rPr>
        <w:tab/>
        <w:t>Requirements for 2-step RA type</w:t>
      </w:r>
    </w:p>
    <w:p w14:paraId="05FDA6EE" w14:textId="77777777" w:rsidR="000632D9" w:rsidRDefault="000632D9" w:rsidP="000632D9">
      <w:pPr>
        <w:rPr>
          <w:rFonts w:cs="v4.2.0"/>
          <w:lang w:eastAsia="zh-CN"/>
        </w:rPr>
      </w:pPr>
      <w:r>
        <w:t>The UE shall select the type of random access at initiation of the random access procedure based on network configuration, as specified in clause 5.1.1 in TS 38.321 [7].</w:t>
      </w:r>
    </w:p>
    <w:p w14:paraId="6EF9B4C7" w14:textId="77777777" w:rsidR="000632D9" w:rsidRDefault="000632D9" w:rsidP="000632D9">
      <w:pPr>
        <w:rPr>
          <w:rFonts w:cs="v4.2.0"/>
          <w:lang w:eastAsia="zh-CN"/>
        </w:rPr>
      </w:pPr>
      <w:r>
        <w:rPr>
          <w:rFonts w:cs="v4.2.0"/>
          <w:lang w:eastAsia="zh-CN"/>
        </w:rPr>
        <w:t>T</w:t>
      </w:r>
      <w:r>
        <w:rPr>
          <w:rFonts w:cs="v4.2.0"/>
        </w:rPr>
        <w:t>he UE shall have capability to calculate MsgA PRACH transmission power according to the PRACH power formula defined in clause 7.4 of TS 3</w:t>
      </w:r>
      <w:r>
        <w:rPr>
          <w:rFonts w:cs="v4.2.0"/>
          <w:lang w:eastAsia="zh-CN"/>
        </w:rPr>
        <w:t>8</w:t>
      </w:r>
      <w:r>
        <w:rPr>
          <w:rFonts w:cs="v4.2.0"/>
        </w:rPr>
        <w:t>.213</w:t>
      </w:r>
      <w:r>
        <w:rPr>
          <w:rFonts w:cs="v4.2.0"/>
          <w:lang w:eastAsia="zh-CN"/>
        </w:rPr>
        <w:t xml:space="preserve"> </w:t>
      </w:r>
      <w:r>
        <w:rPr>
          <w:rFonts w:cs="v4.2.0"/>
        </w:rPr>
        <w:t xml:space="preserve">[3] and the MsgA PUSCH power formula of clause 7.1.1 of TS 38.213 [3] and apply this power level at the first MsgA or additional MsgA repetitions. The absolute power applied to the first preamble shall have an accuracy as specified in </w:t>
      </w:r>
      <w:r>
        <w:rPr>
          <w:rFonts w:cs="v4.2.0"/>
          <w:lang w:eastAsia="zh-CN"/>
        </w:rPr>
        <w:t>T</w:t>
      </w:r>
      <w:r>
        <w:rPr>
          <w:rFonts w:cs="v4.2.0"/>
        </w:rPr>
        <w:t xml:space="preserve">able </w:t>
      </w:r>
      <w:r>
        <w:rPr>
          <w:rFonts w:cs="v4.2.0"/>
          <w:lang w:eastAsia="zh-CN"/>
        </w:rPr>
        <w:t>6.3.4.2-1</w:t>
      </w:r>
      <w:r>
        <w:rPr>
          <w:rFonts w:cs="v4.2.0"/>
        </w:rPr>
        <w:t xml:space="preserve"> of TS 3</w:t>
      </w:r>
      <w:r>
        <w:rPr>
          <w:rFonts w:cs="v4.2.0"/>
          <w:lang w:eastAsia="zh-CN"/>
        </w:rPr>
        <w:t>8</w:t>
      </w:r>
      <w:r>
        <w:rPr>
          <w:rFonts w:cs="v4.2.0"/>
        </w:rPr>
        <w:t>.101</w:t>
      </w:r>
      <w:r>
        <w:rPr>
          <w:rFonts w:cs="v4.2.0"/>
          <w:lang w:eastAsia="zh-CN"/>
        </w:rPr>
        <w:t xml:space="preserve">-1 </w:t>
      </w:r>
      <w:r>
        <w:rPr>
          <w:rFonts w:cs="v4.2.0"/>
        </w:rPr>
        <w:t>[18]</w:t>
      </w:r>
      <w:r>
        <w:rPr>
          <w:rFonts w:cs="v4.2.0"/>
          <w:lang w:eastAsia="zh-CN"/>
        </w:rPr>
        <w:t xml:space="preserve">. </w:t>
      </w:r>
      <w:r>
        <w:rPr>
          <w:rFonts w:cs="v4.2.0"/>
        </w:rPr>
        <w:t xml:space="preserve">The relative power applied to additional preambles shall have an accuracy as specified in </w:t>
      </w:r>
      <w:r>
        <w:rPr>
          <w:rFonts w:cs="v4.2.0"/>
          <w:lang w:eastAsia="zh-CN"/>
        </w:rPr>
        <w:t>T</w:t>
      </w:r>
      <w:r>
        <w:rPr>
          <w:rFonts w:cs="v4.2.0"/>
        </w:rPr>
        <w:t xml:space="preserve">able </w:t>
      </w:r>
      <w:r>
        <w:rPr>
          <w:rFonts w:cs="v4.2.0"/>
          <w:lang w:eastAsia="zh-CN"/>
        </w:rPr>
        <w:t>6.3.4.3-1</w:t>
      </w:r>
      <w:r>
        <w:rPr>
          <w:rFonts w:cs="v4.2.0"/>
        </w:rPr>
        <w:t xml:space="preserve"> of TS 3</w:t>
      </w:r>
      <w:r>
        <w:rPr>
          <w:rFonts w:cs="v4.2.0"/>
          <w:lang w:eastAsia="zh-CN"/>
        </w:rPr>
        <w:t>8</w:t>
      </w:r>
      <w:r>
        <w:rPr>
          <w:rFonts w:cs="v4.2.0"/>
        </w:rPr>
        <w:t>.101</w:t>
      </w:r>
      <w:r>
        <w:rPr>
          <w:rFonts w:cs="v4.2.0"/>
          <w:lang w:eastAsia="zh-CN"/>
        </w:rPr>
        <w:t xml:space="preserve">-1 </w:t>
      </w:r>
      <w:r>
        <w:rPr>
          <w:rFonts w:cs="v4.2.0"/>
        </w:rPr>
        <w:t>[</w:t>
      </w:r>
      <w:r>
        <w:rPr>
          <w:rFonts w:cs="v4.2.0"/>
          <w:lang w:eastAsia="zh-CN"/>
        </w:rPr>
        <w:t>18</w:t>
      </w:r>
      <w:r>
        <w:rPr>
          <w:rFonts w:cs="v4.2.0"/>
        </w:rPr>
        <w:t>].</w:t>
      </w:r>
    </w:p>
    <w:p w14:paraId="7C991898" w14:textId="77777777" w:rsidR="000632D9" w:rsidRDefault="000632D9" w:rsidP="000632D9">
      <w:pPr>
        <w:rPr>
          <w:rFonts w:cs="v4.2.0"/>
          <w:lang w:eastAsia="zh-CN"/>
        </w:rPr>
      </w:pPr>
      <w:r>
        <w:rPr>
          <w:rFonts w:cs="v4.2.0"/>
          <w:lang w:eastAsia="zh-CN"/>
        </w:rPr>
        <w:t xml:space="preserve">The UE shall switch to 4-step RA type procedure if the MsgA transmission counter has exceeded </w:t>
      </w:r>
      <w:r>
        <w:rPr>
          <w:i/>
          <w:iCs/>
          <w:lang w:val="en-US" w:eastAsia="ko-KR"/>
        </w:rPr>
        <w:t>msgA-TransMax</w:t>
      </w:r>
      <w:r>
        <w:t>, if configured,</w:t>
      </w:r>
      <w:r>
        <w:rPr>
          <w:lang w:val="en-US" w:eastAsia="ko-KR"/>
        </w:rPr>
        <w:t xml:space="preserve"> </w:t>
      </w:r>
      <w:r>
        <w:rPr>
          <w:rFonts w:cs="v4.2.0"/>
          <w:lang w:eastAsia="zh-CN"/>
        </w:rPr>
        <w:t>as specified in clause 5.1.4a of TS 38.321 [7]. The UE shall indicate a Random Access problem to upper layers if the maximum number of preamble transmission counter has been reached for the random access procedure on PCell or PSCell as specified in clause 5.1.4a in TS 38.321 [7].</w:t>
      </w:r>
    </w:p>
    <w:p w14:paraId="18518B6A" w14:textId="77777777" w:rsidR="000632D9" w:rsidRDefault="000632D9" w:rsidP="000632D9">
      <w:pPr>
        <w:rPr>
          <w:rFonts w:cs="v4.2.0"/>
          <w:lang w:eastAsia="zh-CN"/>
        </w:rPr>
      </w:pPr>
      <w:r>
        <w:rPr>
          <w:rFonts w:cs="v4.2.0"/>
          <w:lang w:eastAsia="zh-CN"/>
        </w:rPr>
        <w:t>The requirements in this clause apply for UE operating in a carrier frequency with CCA in SA operation mode or any MR-DC operation mode, in a carrier frequency with CCA.</w:t>
      </w:r>
    </w:p>
    <w:p w14:paraId="0B5E0F4B" w14:textId="77777777" w:rsidR="000632D9" w:rsidRDefault="000632D9" w:rsidP="000632D9">
      <w:pPr>
        <w:pStyle w:val="Heading5"/>
        <w:rPr>
          <w:lang w:eastAsia="zh-CN"/>
        </w:rPr>
      </w:pPr>
      <w:r>
        <w:rPr>
          <w:lang w:eastAsia="zh-CN"/>
        </w:rPr>
        <w:t>6.2.2A.3.1</w:t>
      </w:r>
      <w:r>
        <w:rPr>
          <w:lang w:eastAsia="zh-CN"/>
        </w:rPr>
        <w:tab/>
        <w:t>Contention based random access</w:t>
      </w:r>
    </w:p>
    <w:p w14:paraId="327D630C" w14:textId="77777777" w:rsidR="000632D9" w:rsidRDefault="000632D9" w:rsidP="00FE4CE9">
      <w:pPr>
        <w:pStyle w:val="Heading6"/>
        <w:rPr>
          <w:lang w:eastAsia="zh-CN"/>
        </w:rPr>
      </w:pPr>
      <w:r>
        <w:rPr>
          <w:lang w:eastAsia="zh-CN"/>
        </w:rPr>
        <w:t>6.2.2A.3.1.1</w:t>
      </w:r>
      <w:r>
        <w:rPr>
          <w:lang w:eastAsia="zh-CN"/>
        </w:rPr>
        <w:tab/>
        <w:t>Correct behaviour when transmitting MsgA</w:t>
      </w:r>
    </w:p>
    <w:p w14:paraId="0F4DA30C" w14:textId="77777777" w:rsidR="000632D9" w:rsidRDefault="000632D9" w:rsidP="000632D9">
      <w:pPr>
        <w:rPr>
          <w:rFonts w:cs="v4.2.0"/>
          <w:lang w:eastAsia="zh-CN"/>
        </w:rPr>
      </w:pPr>
      <w:r>
        <w:rPr>
          <w:rFonts w:cs="v4.2.0"/>
          <w:lang w:eastAsia="zh-CN"/>
        </w:rPr>
        <w:t xml:space="preserve">With the UE selected SSB with SS-RSRP above </w:t>
      </w:r>
      <w:r>
        <w:rPr>
          <w:i/>
          <w:iCs/>
          <w:lang w:eastAsia="ko-KR"/>
        </w:rPr>
        <w:t>msgA-</w:t>
      </w:r>
      <w:r>
        <w:rPr>
          <w:i/>
          <w:lang w:eastAsia="ko-KR"/>
        </w:rPr>
        <w:t>RSRP</w:t>
      </w:r>
      <w:r>
        <w:rPr>
          <w:i/>
          <w:iCs/>
          <w:lang w:eastAsia="ko-KR"/>
        </w:rPr>
        <w:t>-ThresholdSSB</w:t>
      </w:r>
      <w:r>
        <w:rPr>
          <w:rFonts w:cs="v4.2.0"/>
          <w:lang w:eastAsia="zh-CN"/>
        </w:rPr>
        <w:t xml:space="preserve">, the UE shall have the capability to select a </w:t>
      </w:r>
      <w:r>
        <w:t>Random Access Preamble</w:t>
      </w:r>
      <w:r>
        <w:rPr>
          <w:rFonts w:cs="v4.2.0"/>
          <w:lang w:eastAsia="zh-CN"/>
        </w:rPr>
        <w:t xml:space="preserve"> randomly with equal probability from the </w:t>
      </w:r>
      <w:r>
        <w:t>Random Access Preamble</w:t>
      </w:r>
      <w:r>
        <w:rPr>
          <w:lang w:eastAsia="zh-CN"/>
        </w:rPr>
        <w:t>s</w:t>
      </w:r>
      <w:r>
        <w:rPr>
          <w:rFonts w:cs="v4.2.0"/>
          <w:lang w:eastAsia="zh-CN"/>
        </w:rPr>
        <w:t xml:space="preserve"> associated with the selected SSB if the association between Random Access Preambles and SS blocks is configured, </w:t>
      </w:r>
      <w:r>
        <w:rPr>
          <w:rFonts w:cs="v4.2.0"/>
        </w:rPr>
        <w:t>as specified in clause 5.1.</w:t>
      </w:r>
      <w:r>
        <w:rPr>
          <w:rFonts w:cs="v4.2.0"/>
          <w:lang w:eastAsia="zh-CN"/>
        </w:rPr>
        <w:t>2a</w:t>
      </w:r>
      <w:r>
        <w:rPr>
          <w:rFonts w:cs="v4.2.0"/>
        </w:rPr>
        <w:t xml:space="preserve"> in TS 3</w:t>
      </w:r>
      <w:r>
        <w:rPr>
          <w:rFonts w:cs="v4.2.0"/>
          <w:lang w:eastAsia="zh-CN"/>
        </w:rPr>
        <w:t>8</w:t>
      </w:r>
      <w:r>
        <w:rPr>
          <w:rFonts w:cs="v4.2.0"/>
        </w:rPr>
        <w:t>.321 [7]</w:t>
      </w:r>
      <w:r>
        <w:rPr>
          <w:rFonts w:cs="v4.2.0"/>
          <w:lang w:eastAsia="zh-CN"/>
        </w:rPr>
        <w:t>.</w:t>
      </w:r>
    </w:p>
    <w:p w14:paraId="3074B51D" w14:textId="77777777" w:rsidR="000632D9" w:rsidRPr="00FE4CE9" w:rsidRDefault="000632D9" w:rsidP="000632D9">
      <w:r>
        <w:rPr>
          <w:rFonts w:cs="v4.2.0"/>
          <w:lang w:eastAsia="zh-CN"/>
        </w:rPr>
        <w:t xml:space="preserve">If the UL CCA is successful on the next available PRACH occasion, </w:t>
      </w:r>
      <w:r>
        <w:t>with the UE selected SSB with SS-RSRP above</w:t>
      </w:r>
      <w:r>
        <w:rPr>
          <w:lang w:eastAsia="zh-CN"/>
        </w:rPr>
        <w:t xml:space="preserve"> </w:t>
      </w:r>
      <w:r>
        <w:rPr>
          <w:i/>
          <w:iCs/>
          <w:lang w:eastAsia="ko-KR"/>
        </w:rPr>
        <w:t>msgA-</w:t>
      </w:r>
      <w:r>
        <w:rPr>
          <w:i/>
          <w:lang w:eastAsia="ko-KR"/>
        </w:rPr>
        <w:t>RSRP</w:t>
      </w:r>
      <w:r>
        <w:rPr>
          <w:i/>
          <w:iCs/>
          <w:lang w:eastAsia="ko-KR"/>
        </w:rPr>
        <w:t>-ThresholdSSB</w:t>
      </w:r>
      <w:r>
        <w:rPr>
          <w:lang w:eastAsia="zh-CN"/>
        </w:rPr>
        <w:t xml:space="preserve">, </w:t>
      </w:r>
      <w:r>
        <w:t>UE shall have the capability to transmit MsgA PRACH on the next available PRACH occasion from the PRACH occasions corresponding to the selected SSB permitted by the restrictions given first by the</w:t>
      </w:r>
      <w:r>
        <w:rPr>
          <w:color w:val="000000" w:themeColor="text1"/>
          <w:lang w:eastAsia="zh-CN"/>
        </w:rPr>
        <w:t xml:space="preserve"> </w:t>
      </w:r>
      <w:r>
        <w:rPr>
          <w:i/>
          <w:color w:val="000000" w:themeColor="text1"/>
          <w:lang w:eastAsia="zh-CN"/>
        </w:rPr>
        <w:t>msgA-SSB-SharedRO-MaskIndex</w:t>
      </w:r>
      <w:r>
        <w:rPr>
          <w:color w:val="000000" w:themeColor="text1"/>
          <w:lang w:eastAsia="zh-CN"/>
        </w:rPr>
        <w:t xml:space="preserve"> </w:t>
      </w:r>
      <w:r>
        <w:t>if configured, or next by the</w:t>
      </w:r>
      <w:r>
        <w:rPr>
          <w:color w:val="000000" w:themeColor="text1"/>
          <w:lang w:eastAsia="zh-CN"/>
        </w:rPr>
        <w:t xml:space="preserve"> </w:t>
      </w:r>
      <w:r>
        <w:rPr>
          <w:i/>
          <w:lang w:eastAsia="ko-KR"/>
        </w:rPr>
        <w:t xml:space="preserve">ra-ssb-OccasionMaskIndex </w:t>
      </w:r>
      <w:r>
        <w:t>if configured, if the association between PRACH occasions and SSBs is configured.</w:t>
      </w:r>
      <w:r>
        <w:rPr>
          <w:color w:val="000000" w:themeColor="text1"/>
          <w:lang w:eastAsia="zh-CN"/>
        </w:rPr>
        <w:t xml:space="preserve"> </w:t>
      </w:r>
    </w:p>
    <w:p w14:paraId="0854E464" w14:textId="77777777" w:rsidR="000632D9" w:rsidRDefault="000632D9" w:rsidP="000632D9">
      <w:pPr>
        <w:rPr>
          <w:rFonts w:cs="v4.2.0"/>
        </w:rPr>
      </w:pPr>
      <w:r>
        <w:rPr>
          <w:rFonts w:cs="v4.2.0"/>
          <w:lang w:eastAsia="zh-CN"/>
        </w:rPr>
        <w:t xml:space="preserve">The PRACH preamble and </w:t>
      </w:r>
      <w:r>
        <w:rPr>
          <w:lang w:eastAsia="ko-KR"/>
        </w:rPr>
        <w:t xml:space="preserve">PRACH occasion </w:t>
      </w:r>
      <w:r>
        <w:rPr>
          <w:lang w:eastAsia="zh-CN"/>
        </w:rPr>
        <w:t xml:space="preserve">shall be </w:t>
      </w:r>
      <w:r>
        <w:rPr>
          <w:lang w:eastAsia="ko-KR"/>
        </w:rPr>
        <w:t>randomly</w:t>
      </w:r>
      <w:r>
        <w:rPr>
          <w:lang w:eastAsia="zh-CN"/>
        </w:rPr>
        <w:t xml:space="preserve"> selected</w:t>
      </w:r>
      <w:r>
        <w:rPr>
          <w:lang w:eastAsia="ko-KR"/>
        </w:rPr>
        <w:t xml:space="preserve"> with equal probability amongst the </w:t>
      </w:r>
      <w:r>
        <w:rPr>
          <w:lang w:eastAsia="zh-CN"/>
        </w:rPr>
        <w:t xml:space="preserve">selected SSB associated </w:t>
      </w:r>
      <w:r>
        <w:rPr>
          <w:lang w:eastAsia="ko-KR"/>
        </w:rPr>
        <w:t>PRACH occasions occurring simultaneously but on different subcarriers</w:t>
      </w:r>
      <w:r>
        <w:rPr>
          <w:rFonts w:cs="v4.2.0"/>
          <w:lang w:eastAsia="zh-CN"/>
        </w:rPr>
        <w:t xml:space="preserve">, </w:t>
      </w:r>
      <w:r>
        <w:rPr>
          <w:rFonts w:cs="v4.2.0"/>
        </w:rPr>
        <w:t>as specified in clause 5.1.</w:t>
      </w:r>
      <w:r>
        <w:rPr>
          <w:rFonts w:cs="v4.2.0"/>
          <w:lang w:eastAsia="zh-CN"/>
        </w:rPr>
        <w:t>2a</w:t>
      </w:r>
      <w:r>
        <w:rPr>
          <w:rFonts w:cs="v4.2.0"/>
        </w:rPr>
        <w:t xml:space="preserve"> in TS 3</w:t>
      </w:r>
      <w:r>
        <w:rPr>
          <w:rFonts w:cs="v4.2.0"/>
          <w:lang w:eastAsia="zh-CN"/>
        </w:rPr>
        <w:t>8</w:t>
      </w:r>
      <w:r>
        <w:rPr>
          <w:rFonts w:cs="v4.2.0"/>
        </w:rPr>
        <w:t xml:space="preserve">.321 [7]. </w:t>
      </w:r>
    </w:p>
    <w:p w14:paraId="3BCA956A" w14:textId="77777777" w:rsidR="000632D9" w:rsidRDefault="000632D9" w:rsidP="000632D9">
      <w:pPr>
        <w:rPr>
          <w:rFonts w:cs="v4.2.0"/>
          <w:lang w:eastAsia="zh-CN"/>
        </w:rPr>
      </w:pPr>
      <w:r>
        <w:rPr>
          <w:rFonts w:cs="v4.2.0"/>
        </w:rPr>
        <w:t xml:space="preserve">In association with the MsgA PRACH, </w:t>
      </w:r>
      <w:r>
        <w:rPr>
          <w:rFonts w:cs="v4.2.0"/>
          <w:lang w:eastAsia="zh-CN"/>
        </w:rPr>
        <w:t xml:space="preserve">if the UL CCA is successful, </w:t>
      </w:r>
      <w:r>
        <w:rPr>
          <w:rFonts w:cs="v4.2.0"/>
        </w:rPr>
        <w:t>the UE should have the capability to transmit MsgA PUSCH on the corresponding PUSCH occasion associated with a DMRS resource, which is mapped from the MsgA PRACH occasion, and preamble index as defined in clause 8.1A in TS 38.213 [3]</w:t>
      </w:r>
      <w:r>
        <w:rPr>
          <w:rFonts w:cs="v4.2.0"/>
          <w:lang w:eastAsia="zh-CN"/>
        </w:rPr>
        <w:t>.</w:t>
      </w:r>
    </w:p>
    <w:p w14:paraId="65D2C91D" w14:textId="77777777" w:rsidR="000632D9" w:rsidRDefault="000632D9" w:rsidP="000632D9">
      <w:pPr>
        <w:rPr>
          <w:rFonts w:cs="v4.2.0"/>
          <w:lang w:eastAsia="zh-CN"/>
        </w:rPr>
      </w:pPr>
      <w:r>
        <w:rPr>
          <w:rFonts w:cs="v4.2.0"/>
          <w:lang w:eastAsia="zh-CN"/>
        </w:rPr>
        <w:t xml:space="preserve">If UE is configured </w:t>
      </w:r>
      <w:r>
        <w:rPr>
          <w:rFonts w:cs="v4.2.0"/>
          <w:i/>
          <w:iCs/>
          <w:lang w:eastAsia="zh-CN"/>
        </w:rPr>
        <w:t>lbt-FailureRecoveryConfig</w:t>
      </w:r>
      <w:r>
        <w:rPr>
          <w:rFonts w:cs="v4.2.0"/>
          <w:lang w:eastAsia="zh-CN"/>
        </w:rPr>
        <w:t xml:space="preserve"> and is capable of </w:t>
      </w:r>
      <w:r>
        <w:rPr>
          <w:rFonts w:cs="v4.2.0"/>
          <w:i/>
          <w:iCs/>
          <w:lang w:eastAsia="zh-CN"/>
        </w:rPr>
        <w:t>ul-LBT-FailureDetectionRecovery</w:t>
      </w:r>
      <w:r>
        <w:rPr>
          <w:rFonts w:cs="v4.2.0"/>
          <w:lang w:eastAsia="zh-CN"/>
        </w:rPr>
        <w:t xml:space="preserve"> [2] then upon detecting uplink CCA failure during the random access procedure for MsgA transmission, as outlined in Clause 5.21.2 of TS 38.321 [7], the UE shall cancel the transmission of the MsgA payload on the associated PUSCH resource and perform the Random Access Resource selection procedure, </w:t>
      </w:r>
      <w:r>
        <w:rPr>
          <w:rFonts w:cs="v4.2.0"/>
        </w:rPr>
        <w:t>as specified in clause 5.1.3a</w:t>
      </w:r>
      <w:r>
        <w:rPr>
          <w:rFonts w:cs="v4.2.0"/>
          <w:lang w:eastAsia="zh-CN"/>
        </w:rPr>
        <w:t xml:space="preserve"> </w:t>
      </w:r>
      <w:r>
        <w:rPr>
          <w:rFonts w:cs="v4.2.0"/>
        </w:rPr>
        <w:t>in TS 3</w:t>
      </w:r>
      <w:r>
        <w:rPr>
          <w:rFonts w:cs="v4.2.0"/>
          <w:lang w:eastAsia="zh-CN"/>
        </w:rPr>
        <w:t>8</w:t>
      </w:r>
      <w:r>
        <w:rPr>
          <w:rFonts w:cs="v4.2.0"/>
        </w:rPr>
        <w:t>.321 [7]</w:t>
      </w:r>
      <w:r>
        <w:rPr>
          <w:rFonts w:cs="v4.2.0"/>
          <w:lang w:eastAsia="zh-CN"/>
        </w:rPr>
        <w:t>.</w:t>
      </w:r>
    </w:p>
    <w:p w14:paraId="627A53EC" w14:textId="77777777" w:rsidR="000632D9" w:rsidRDefault="000632D9" w:rsidP="000632D9">
      <w:pPr>
        <w:rPr>
          <w:rFonts w:cs="v4.2.0"/>
          <w:lang w:eastAsia="zh-CN"/>
        </w:rPr>
      </w:pPr>
      <w:r>
        <w:rPr>
          <w:rFonts w:cs="v4.2.0"/>
          <w:lang w:eastAsia="zh-CN"/>
        </w:rPr>
        <w:t xml:space="preserve">If UE is not configured </w:t>
      </w:r>
      <w:r>
        <w:rPr>
          <w:rFonts w:cs="v4.2.0"/>
          <w:i/>
          <w:iCs/>
          <w:lang w:eastAsia="zh-CN"/>
        </w:rPr>
        <w:t>lbt-FailureRecoveryConfig</w:t>
      </w:r>
      <w:r>
        <w:rPr>
          <w:rFonts w:cs="v4.2.0"/>
          <w:lang w:eastAsia="zh-CN"/>
        </w:rPr>
        <w:t xml:space="preserve"> or is not capable of </w:t>
      </w:r>
      <w:r>
        <w:rPr>
          <w:rFonts w:cs="v4.2.0"/>
          <w:i/>
          <w:iCs/>
          <w:lang w:eastAsia="zh-CN"/>
        </w:rPr>
        <w:t>ul-LBT-FailureDetectionRecovery</w:t>
      </w:r>
      <w:r>
        <w:rPr>
          <w:rFonts w:cs="v4.2.0"/>
          <w:lang w:eastAsia="zh-CN"/>
        </w:rPr>
        <w:t xml:space="preserve"> [2] then </w:t>
      </w:r>
      <w:r>
        <w:t xml:space="preserve">upon detecting uplink </w:t>
      </w:r>
      <w:r>
        <w:rPr>
          <w:rFonts w:cs="v4.2.0"/>
          <w:lang w:eastAsia="zh-CN"/>
        </w:rPr>
        <w:t xml:space="preserve">CCA failure during the random access procedure for MsgA transmission, as outlined in Clause 5.21.2 of TS 38.321 [7], the UE shall cancel the transmission of the MsgA payload on the associated PUSCH resource and increment </w:t>
      </w:r>
      <w:r>
        <w:t>PREAMBLE_TRANSMISSION_COUNTER by 1</w:t>
      </w:r>
      <w:r>
        <w:rPr>
          <w:rFonts w:cs="v4.2.0"/>
          <w:lang w:eastAsia="zh-CN"/>
        </w:rPr>
        <w:t xml:space="preserve">. The UE shall again perform the Random Access Resource selection procedure if PREAMBLE_TRANSMISSION_COUNTER &lt; </w:t>
      </w:r>
      <w:r>
        <w:rPr>
          <w:rFonts w:cs="v4.2.0"/>
          <w:i/>
          <w:iCs/>
          <w:lang w:eastAsia="zh-CN"/>
        </w:rPr>
        <w:t>preambleTransMax</w:t>
      </w:r>
      <w:r>
        <w:rPr>
          <w:rFonts w:cs="v4.2.0"/>
          <w:lang w:eastAsia="zh-CN"/>
        </w:rPr>
        <w:t xml:space="preserve"> + 1, as specified in clause 5.1.3a in TS 38.321 [7]. If the Random Access Procedure is not complete and the UE is configured with </w:t>
      </w:r>
      <w:r>
        <w:rPr>
          <w:rFonts w:cs="v4.2.0"/>
          <w:i/>
          <w:iCs/>
          <w:lang w:eastAsia="zh-CN"/>
        </w:rPr>
        <w:t>msgA-TransMax</w:t>
      </w:r>
      <w:r>
        <w:rPr>
          <w:rFonts w:cs="v4.2.0"/>
          <w:lang w:eastAsia="zh-CN"/>
        </w:rPr>
        <w:t xml:space="preserve"> then, as specified in clause 5.1.3a in TS 38.321 [7], the UE shall </w:t>
      </w:r>
      <w:r>
        <w:t>perform the</w:t>
      </w:r>
      <w:r>
        <w:rPr>
          <w:lang w:eastAsia="ko-KR"/>
        </w:rPr>
        <w:t xml:space="preserve"> Random Access Resource selection procedure with</w:t>
      </w:r>
      <w:r>
        <w:rPr>
          <w:rFonts w:cs="v4.2.0"/>
          <w:lang w:eastAsia="zh-CN"/>
        </w:rPr>
        <w:t xml:space="preserve"> 4-step RA type provided that PREAMBLE_TRANSMISSION_COUNTER = </w:t>
      </w:r>
      <w:r>
        <w:rPr>
          <w:rFonts w:cs="v4.2.0"/>
          <w:i/>
          <w:iCs/>
          <w:lang w:eastAsia="zh-CN"/>
        </w:rPr>
        <w:t>msgA-TransMax</w:t>
      </w:r>
      <w:r>
        <w:rPr>
          <w:rFonts w:cs="v4.2.0"/>
          <w:lang w:eastAsia="zh-CN"/>
        </w:rPr>
        <w:t xml:space="preserve"> + 1.</w:t>
      </w:r>
    </w:p>
    <w:p w14:paraId="09F25E47" w14:textId="77777777" w:rsidR="000632D9" w:rsidRDefault="000632D9" w:rsidP="00FE4CE9">
      <w:pPr>
        <w:pStyle w:val="Heading6"/>
        <w:rPr>
          <w:lang w:eastAsia="zh-CN"/>
        </w:rPr>
      </w:pPr>
      <w:r>
        <w:rPr>
          <w:lang w:eastAsia="zh-CN"/>
        </w:rPr>
        <w:t>6.2.2A.3.1.2</w:t>
      </w:r>
      <w:r>
        <w:rPr>
          <w:lang w:eastAsia="zh-CN"/>
        </w:rPr>
        <w:tab/>
        <w:t>Correct behaviour when receiving MsgB</w:t>
      </w:r>
    </w:p>
    <w:p w14:paraId="32177F98" w14:textId="77777777" w:rsidR="000632D9" w:rsidRDefault="000632D9" w:rsidP="000632D9">
      <w:pPr>
        <w:rPr>
          <w:lang w:eastAsia="zh-CN"/>
        </w:rPr>
      </w:pPr>
      <w:r>
        <w:rPr>
          <w:lang w:eastAsia="zh-CN"/>
        </w:rPr>
        <w:t>The UE shall stop monitoring for MsgB, when the UE has successfully received the PDCCH addressed to UE as specified in clause 8.2A in TS 38.213 [3] containing a successRAR MAC subPDU or a fallbackRAR MAC subPDU as described in clause 5.1.4a in TS 38.321 [7].</w:t>
      </w:r>
    </w:p>
    <w:p w14:paraId="4A86ADBB" w14:textId="77777777" w:rsidR="000632D9" w:rsidRDefault="000632D9" w:rsidP="000632D9">
      <w:pPr>
        <w:rPr>
          <w:lang w:eastAsia="zh-CN"/>
        </w:rPr>
      </w:pPr>
      <w:r>
        <w:rPr>
          <w:rFonts w:cs="v4.2.0"/>
          <w:lang w:eastAsia="zh-CN"/>
        </w:rPr>
        <w:t>If the UL CCA is successful,</w:t>
      </w:r>
      <w:r>
        <w:rPr>
          <w:lang w:eastAsia="zh-CN"/>
        </w:rPr>
        <w:t xml:space="preserve"> the UE shall send ACK if Success RAR is received in MsgB</w:t>
      </w:r>
      <w:r>
        <w:rPr>
          <w:rFonts w:cs="v4.2.0"/>
          <w:lang w:eastAsia="zh-CN"/>
        </w:rPr>
        <w:t xml:space="preserve"> </w:t>
      </w:r>
      <w:r>
        <w:rPr>
          <w:lang w:eastAsia="zh-CN"/>
        </w:rPr>
        <w:t>and the Contention Resolution is successful, as defined in clause 5.1.4a in TS 38.321 [7].</w:t>
      </w:r>
    </w:p>
    <w:p w14:paraId="2BC3ABA9" w14:textId="77777777" w:rsidR="000632D9" w:rsidRDefault="000632D9" w:rsidP="000632D9">
      <w:pPr>
        <w:rPr>
          <w:rFonts w:cs="v4.2.0"/>
        </w:rPr>
      </w:pPr>
      <w:r>
        <w:rPr>
          <w:rFonts w:cs="v4.2.0"/>
        </w:rPr>
        <w:t xml:space="preserve">If MsgB contains a fallbackRAR MAC subPDU the UE shall fallback to the 4-step RA type by transmitting the msg3 containing the payload of MsgA PUSCH </w:t>
      </w:r>
      <w:r>
        <w:rPr>
          <w:rFonts w:cs="v4.2.0"/>
          <w:lang w:eastAsia="zh-CN"/>
        </w:rPr>
        <w:t>if the UL CCA is successful,</w:t>
      </w:r>
      <w:r>
        <w:rPr>
          <w:rFonts w:cs="v4.2.0"/>
        </w:rPr>
        <w:t xml:space="preserve"> and monitor contention resolution as described in clause 8.2A in TS 38.213 [3]. </w:t>
      </w:r>
    </w:p>
    <w:p w14:paraId="0C9D4C3D" w14:textId="77777777" w:rsidR="000632D9" w:rsidRDefault="000632D9" w:rsidP="000632D9">
      <w:pPr>
        <w:rPr>
          <w:rFonts w:cs="v4.2.0"/>
        </w:rPr>
      </w:pPr>
      <w:r>
        <w:rPr>
          <w:rFonts w:cs="v4.2.0"/>
        </w:rPr>
        <w:t>The UE shall again perform the Random Access Resource selection procedure defined in clause 5.1.2a in TS 38.321 [7], and transmit with the calculated</w:t>
      </w:r>
      <w:r>
        <w:rPr>
          <w:rFonts w:cs="v4.2.0"/>
          <w:lang w:val="en-US" w:eastAsia="zh-CN"/>
        </w:rPr>
        <w:t xml:space="preserve"> MsgA</w:t>
      </w:r>
      <w:r>
        <w:rPr>
          <w:rFonts w:cs="v4.2.0"/>
        </w:rPr>
        <w:t xml:space="preserve"> PRACH</w:t>
      </w:r>
      <w:r>
        <w:rPr>
          <w:rFonts w:cs="v4.2.0"/>
          <w:lang w:val="en-US" w:eastAsia="zh-CN"/>
        </w:rPr>
        <w:t xml:space="preserve"> and MsgA PUSCH</w:t>
      </w:r>
      <w:r>
        <w:rPr>
          <w:rFonts w:cs="v4.2.0"/>
        </w:rPr>
        <w:t xml:space="preserve"> transmission power, </w:t>
      </w:r>
      <w:r>
        <w:rPr>
          <w:rFonts w:cs="v4.2.0"/>
          <w:lang w:eastAsia="zh-CN"/>
        </w:rPr>
        <w:t>if the UL CCA is successful on the next available PRACH occasion,</w:t>
      </w:r>
      <w:r>
        <w:rPr>
          <w:rFonts w:cs="v4.2.0"/>
        </w:rPr>
        <w:t xml:space="preserve"> when the backoff time expires unless the Random Access Response reception is considered as successful, as defined in clause 5.1.4a in TS 38.321 [7].</w:t>
      </w:r>
    </w:p>
    <w:p w14:paraId="09826B79" w14:textId="77777777" w:rsidR="000632D9" w:rsidRDefault="000632D9" w:rsidP="00FE4CE9">
      <w:pPr>
        <w:pStyle w:val="Heading6"/>
        <w:rPr>
          <w:lang w:eastAsia="zh-CN"/>
        </w:rPr>
      </w:pPr>
      <w:r>
        <w:rPr>
          <w:lang w:eastAsia="zh-CN"/>
        </w:rPr>
        <w:t>6.2.2A.3.1.3</w:t>
      </w:r>
      <w:r>
        <w:rPr>
          <w:lang w:eastAsia="zh-CN"/>
        </w:rPr>
        <w:tab/>
        <w:t>Correct behaviour when not receiving MsgB</w:t>
      </w:r>
    </w:p>
    <w:p w14:paraId="6B61B3FB" w14:textId="77777777" w:rsidR="000632D9" w:rsidRDefault="000632D9" w:rsidP="000632D9">
      <w:pPr>
        <w:rPr>
          <w:rFonts w:cs="v4.2.0"/>
        </w:rPr>
      </w:pPr>
      <w:r>
        <w:rPr>
          <w:rFonts w:cs="v4.2.0"/>
        </w:rPr>
        <w:t xml:space="preserve">The UE shall </w:t>
      </w:r>
      <w:r>
        <w:rPr>
          <w:rFonts w:cs="v4.2.0"/>
          <w:lang w:eastAsia="zh-CN"/>
        </w:rPr>
        <w:t xml:space="preserve">again </w:t>
      </w:r>
      <w:r>
        <w:rPr>
          <w:rFonts w:cs="v4.2.0"/>
        </w:rPr>
        <w:t>perform the Random Access Resource selection procedure defined in clause 5.1.2a</w:t>
      </w:r>
      <w:r>
        <w:rPr>
          <w:rFonts w:cs="v4.2.0"/>
          <w:lang w:eastAsia="zh-CN"/>
        </w:rPr>
        <w:t xml:space="preserve"> </w:t>
      </w:r>
      <w:r>
        <w:rPr>
          <w:rFonts w:cs="v4.2.0"/>
        </w:rPr>
        <w:t>in TS 3</w:t>
      </w:r>
      <w:r>
        <w:rPr>
          <w:rFonts w:cs="v4.2.0"/>
          <w:lang w:eastAsia="zh-CN"/>
        </w:rPr>
        <w:t>8</w:t>
      </w:r>
      <w:r>
        <w:rPr>
          <w:rFonts w:cs="v4.2.0"/>
        </w:rPr>
        <w:t>.321 [7]</w:t>
      </w:r>
      <w:r>
        <w:rPr>
          <w:rFonts w:cs="v4.2.0"/>
          <w:lang w:eastAsia="zh-CN"/>
        </w:rPr>
        <w:t>,</w:t>
      </w:r>
      <w:r>
        <w:t xml:space="preserve"> and </w:t>
      </w:r>
      <w:r>
        <w:rPr>
          <w:rFonts w:cs="v4.2.0"/>
          <w:lang w:eastAsia="zh-CN"/>
        </w:rPr>
        <w:t xml:space="preserve">if the UL CCA is successful, </w:t>
      </w:r>
      <w:r>
        <w:t xml:space="preserve">transmit </w:t>
      </w:r>
      <w:r>
        <w:rPr>
          <w:rFonts w:cs="v4.2.0"/>
        </w:rPr>
        <w:t>with the calculated MsgA</w:t>
      </w:r>
      <w:r>
        <w:rPr>
          <w:rFonts w:cs="v4.2.0"/>
          <w:lang w:val="en-US" w:eastAsia="zh-CN"/>
        </w:rPr>
        <w:t xml:space="preserve"> PRACH and MsgA PUSCH</w:t>
      </w:r>
      <w:r>
        <w:rPr>
          <w:rFonts w:cs="v4.2.0"/>
        </w:rPr>
        <w:t xml:space="preserve"> transmission power</w:t>
      </w:r>
      <w:r>
        <w:t xml:space="preserve"> </w:t>
      </w:r>
      <w:r>
        <w:rPr>
          <w:rFonts w:cs="v4.2.0"/>
          <w:lang w:eastAsia="zh-CN"/>
        </w:rPr>
        <w:t xml:space="preserve">if the UL CCA is successful on the next available PRACH occasion </w:t>
      </w:r>
      <w:r>
        <w:rPr>
          <w:lang w:eastAsia="zh-CN"/>
        </w:rPr>
        <w:t>when</w:t>
      </w:r>
      <w:r>
        <w:t xml:space="preserve"> the backoff time expires </w:t>
      </w:r>
      <w:r>
        <w:rPr>
          <w:rFonts w:cs="v4.2.0"/>
        </w:rPr>
        <w:t>unless the Random Access Response reception is considered as successful, as defined in clause 5.1.4a in TS 38.321 [7]</w:t>
      </w:r>
      <w:r>
        <w:t>.</w:t>
      </w:r>
    </w:p>
    <w:p w14:paraId="1E4298C6" w14:textId="77777777" w:rsidR="000632D9" w:rsidRDefault="000632D9" w:rsidP="000632D9">
      <w:pPr>
        <w:pStyle w:val="Heading5"/>
        <w:rPr>
          <w:lang w:eastAsia="zh-CN"/>
        </w:rPr>
      </w:pPr>
      <w:r>
        <w:rPr>
          <w:lang w:eastAsia="zh-CN"/>
        </w:rPr>
        <w:t>6.2.2A.3.2</w:t>
      </w:r>
      <w:r>
        <w:rPr>
          <w:lang w:eastAsia="zh-CN"/>
        </w:rPr>
        <w:tab/>
        <w:t>Non-Contention based random access</w:t>
      </w:r>
    </w:p>
    <w:p w14:paraId="7BEBAFAE" w14:textId="77777777" w:rsidR="000632D9" w:rsidRDefault="000632D9" w:rsidP="00FE4CE9">
      <w:pPr>
        <w:pStyle w:val="Heading6"/>
        <w:rPr>
          <w:lang w:eastAsia="zh-CN"/>
        </w:rPr>
      </w:pPr>
      <w:r>
        <w:rPr>
          <w:lang w:eastAsia="zh-CN"/>
        </w:rPr>
        <w:t>6.2.2A.3.2.1</w:t>
      </w:r>
      <w:r>
        <w:rPr>
          <w:lang w:eastAsia="zh-CN"/>
        </w:rPr>
        <w:tab/>
        <w:t>Correct behaviour when transmitting MsgA</w:t>
      </w:r>
    </w:p>
    <w:p w14:paraId="1BBF988E" w14:textId="77777777" w:rsidR="000632D9" w:rsidRDefault="000632D9" w:rsidP="000632D9">
      <w:pPr>
        <w:rPr>
          <w:rFonts w:cs="v4.2.0"/>
          <w:lang w:eastAsia="zh-CN"/>
        </w:rPr>
      </w:pPr>
      <w:r>
        <w:rPr>
          <w:rFonts w:cs="v4.2.0"/>
          <w:lang w:eastAsia="zh-CN"/>
        </w:rPr>
        <w:t xml:space="preserve">If the UL CCA is successful, </w:t>
      </w:r>
      <w:r>
        <w:rPr>
          <w:lang w:eastAsia="zh-CN"/>
        </w:rPr>
        <w:t>if the contention-free Random Access Resources and the contention-free PRACH occasions associated with SSBs is configured,</w:t>
      </w:r>
      <w:r>
        <w:rPr>
          <w:rFonts w:cs="v4.2.0"/>
          <w:lang w:eastAsia="zh-CN"/>
        </w:rPr>
        <w:t xml:space="preserve"> with the UE selected SSB with SS-RSRP above </w:t>
      </w:r>
      <w:r>
        <w:rPr>
          <w:i/>
          <w:lang w:eastAsia="ko-KR"/>
        </w:rPr>
        <w:t>msgA-RSRP-ThresholdSSB</w:t>
      </w:r>
      <w:r>
        <w:rPr>
          <w:rFonts w:cs="v4.2.0"/>
          <w:i/>
          <w:lang w:eastAsia="zh-CN"/>
        </w:rPr>
        <w:t xml:space="preserve"> </w:t>
      </w:r>
      <w:r>
        <w:rPr>
          <w:rFonts w:cs="v4.2.0"/>
          <w:lang w:eastAsia="zh-CN"/>
        </w:rPr>
        <w:t xml:space="preserve">amongst the associated SSBs, UE shall have the capability to select the </w:t>
      </w:r>
      <w:r>
        <w:t>Random Access Preamble</w:t>
      </w:r>
      <w:r>
        <w:rPr>
          <w:lang w:eastAsia="zh-CN"/>
        </w:rPr>
        <w:t xml:space="preserve"> corresponding to the selected SSB, and</w:t>
      </w:r>
      <w:r>
        <w:rPr>
          <w:rFonts w:cs="v4.2.0"/>
          <w:lang w:eastAsia="zh-CN"/>
        </w:rPr>
        <w:t xml:space="preserve"> to transmit Random Access Preamble on the next available PRACH occasion from the PRACH occasions corresponding to the selected SSB permitted by the restrictions given first by the </w:t>
      </w:r>
      <w:r>
        <w:rPr>
          <w:i/>
          <w:color w:val="000000" w:themeColor="text1"/>
          <w:lang w:eastAsia="zh-CN"/>
        </w:rPr>
        <w:t>msgA-SSB-SharedRO-MaskIndex</w:t>
      </w:r>
      <w:r>
        <w:rPr>
          <w:color w:val="000000" w:themeColor="text1"/>
          <w:lang w:eastAsia="zh-CN"/>
        </w:rPr>
        <w:t xml:space="preserve"> if configured, or next by the </w:t>
      </w:r>
      <w:r>
        <w:rPr>
          <w:i/>
          <w:lang w:eastAsia="ko-KR"/>
        </w:rPr>
        <w:t>ra-ssb-OccasionMaskIndex</w:t>
      </w:r>
      <w:r>
        <w:rPr>
          <w:rFonts w:cs="v4.2.0"/>
          <w:lang w:eastAsia="zh-CN"/>
        </w:rPr>
        <w:t xml:space="preserve"> if configured, and </w:t>
      </w:r>
      <w:r>
        <w:rPr>
          <w:lang w:eastAsia="ko-KR"/>
        </w:rPr>
        <w:t xml:space="preserve">PRACH occasion </w:t>
      </w:r>
      <w:r>
        <w:rPr>
          <w:lang w:eastAsia="zh-CN"/>
        </w:rPr>
        <w:t xml:space="preserve">shall be </w:t>
      </w:r>
      <w:r>
        <w:rPr>
          <w:lang w:eastAsia="ko-KR"/>
        </w:rPr>
        <w:t>randomly</w:t>
      </w:r>
      <w:r>
        <w:rPr>
          <w:lang w:eastAsia="zh-CN"/>
        </w:rPr>
        <w:t xml:space="preserve"> selected</w:t>
      </w:r>
      <w:r>
        <w:rPr>
          <w:lang w:eastAsia="ko-KR"/>
        </w:rPr>
        <w:t xml:space="preserve"> with equal probability amongst the </w:t>
      </w:r>
      <w:r>
        <w:rPr>
          <w:lang w:eastAsia="zh-CN"/>
        </w:rPr>
        <w:t xml:space="preserve">selected SSB associated </w:t>
      </w:r>
      <w:r>
        <w:rPr>
          <w:lang w:eastAsia="ko-KR"/>
        </w:rPr>
        <w:t>PRACH occasions occurring simultaneously but on different subcarriers</w:t>
      </w:r>
      <w:r>
        <w:rPr>
          <w:rFonts w:cs="v4.2.0"/>
          <w:lang w:eastAsia="zh-CN"/>
        </w:rPr>
        <w:t xml:space="preserve">, </w:t>
      </w:r>
      <w:r>
        <w:rPr>
          <w:rFonts w:cs="v4.2.0"/>
        </w:rPr>
        <w:t>as specified in clause 5.1.</w:t>
      </w:r>
      <w:r>
        <w:rPr>
          <w:rFonts w:cs="v4.2.0"/>
          <w:lang w:eastAsia="zh-CN"/>
        </w:rPr>
        <w:t>2a</w:t>
      </w:r>
      <w:r>
        <w:rPr>
          <w:rFonts w:cs="v4.2.0"/>
        </w:rPr>
        <w:t xml:space="preserve"> in TS 3</w:t>
      </w:r>
      <w:r>
        <w:rPr>
          <w:rFonts w:cs="v4.2.0"/>
          <w:lang w:eastAsia="zh-CN"/>
        </w:rPr>
        <w:t>8</w:t>
      </w:r>
      <w:r>
        <w:rPr>
          <w:rFonts w:cs="v4.2.0"/>
        </w:rPr>
        <w:t>.321 [7]</w:t>
      </w:r>
      <w:r>
        <w:rPr>
          <w:rFonts w:cs="v4.2.0"/>
          <w:lang w:eastAsia="zh-CN"/>
        </w:rPr>
        <w:t>.</w:t>
      </w:r>
    </w:p>
    <w:p w14:paraId="204C3A42" w14:textId="77777777" w:rsidR="000632D9" w:rsidRDefault="000632D9" w:rsidP="000632D9">
      <w:pPr>
        <w:rPr>
          <w:rFonts w:cs="v4.2.0"/>
          <w:lang w:eastAsia="zh-CN"/>
        </w:rPr>
      </w:pPr>
      <w:r>
        <w:rPr>
          <w:rFonts w:cs="v4.2.0"/>
        </w:rPr>
        <w:t xml:space="preserve">In association with the MsgA PRACH, the UE should have the capability to transmit MsgA PUSCH, </w:t>
      </w:r>
      <w:r>
        <w:rPr>
          <w:rFonts w:cs="v4.2.0"/>
          <w:lang w:eastAsia="zh-CN"/>
        </w:rPr>
        <w:t xml:space="preserve">if the UL CCA is successful, </w:t>
      </w:r>
      <w:r>
        <w:rPr>
          <w:rFonts w:cs="v4.2.0"/>
        </w:rPr>
        <w:t>on the corresponding PUSCH occasion associated with a DMRS resource, which is mapped from the MsgA PRACH occasion, and preamble index as defined in clause 8.1A in TS 38.213 [3]</w:t>
      </w:r>
      <w:r>
        <w:rPr>
          <w:rFonts w:cs="v4.2.0"/>
          <w:lang w:eastAsia="zh-CN"/>
        </w:rPr>
        <w:t>.</w:t>
      </w:r>
    </w:p>
    <w:p w14:paraId="25289283" w14:textId="20E05D45" w:rsidR="00A46579" w:rsidRDefault="00A46579" w:rsidP="00A46579">
      <w:pPr>
        <w:rPr>
          <w:rFonts w:cs="v4.2.0"/>
          <w:lang w:eastAsia="zh-CN"/>
        </w:rPr>
      </w:pPr>
      <w:r>
        <w:rPr>
          <w:rFonts w:cs="v4.2.0"/>
          <w:lang w:eastAsia="zh-CN"/>
        </w:rPr>
        <w:t xml:space="preserve">If UE is configured </w:t>
      </w:r>
      <w:r>
        <w:rPr>
          <w:rFonts w:cs="v4.2.0"/>
          <w:i/>
          <w:iCs/>
          <w:lang w:eastAsia="zh-CN"/>
        </w:rPr>
        <w:t>lbt-FailureRecoveryConfig</w:t>
      </w:r>
      <w:r>
        <w:rPr>
          <w:rFonts w:cs="v4.2.0"/>
          <w:lang w:eastAsia="zh-CN"/>
        </w:rPr>
        <w:t xml:space="preserve"> and is capable of </w:t>
      </w:r>
      <w:r>
        <w:rPr>
          <w:rFonts w:cs="v4.2.0"/>
          <w:i/>
          <w:iCs/>
          <w:lang w:eastAsia="zh-CN"/>
        </w:rPr>
        <w:t>ul-LBT-FailureDetectionRecovery</w:t>
      </w:r>
      <w:r>
        <w:rPr>
          <w:rFonts w:cs="v4.2.0"/>
          <w:lang w:eastAsia="zh-CN"/>
        </w:rPr>
        <w:t xml:space="preserve"> [2] then upon detecting uplink CCA failure during the random access procedure for MsgA transmission, as outlined in Clause 5.21.2 of TS 38.321 [7], the UE shall have cancel the transmission of the MsgA payload on the associated PUSCH resource and perform the Random Access Resource selection procedure, </w:t>
      </w:r>
      <w:r>
        <w:rPr>
          <w:rFonts w:cs="v4.2.0"/>
        </w:rPr>
        <w:t>as specified in clause 5.1.3a</w:t>
      </w:r>
      <w:r>
        <w:rPr>
          <w:rFonts w:cs="v4.2.0"/>
          <w:lang w:eastAsia="zh-CN"/>
        </w:rPr>
        <w:t xml:space="preserve"> </w:t>
      </w:r>
      <w:r>
        <w:rPr>
          <w:rFonts w:cs="v4.2.0"/>
        </w:rPr>
        <w:t>in TS 3</w:t>
      </w:r>
      <w:r>
        <w:rPr>
          <w:rFonts w:cs="v4.2.0"/>
          <w:lang w:eastAsia="zh-CN"/>
        </w:rPr>
        <w:t>8</w:t>
      </w:r>
      <w:r>
        <w:rPr>
          <w:rFonts w:cs="v4.2.0"/>
        </w:rPr>
        <w:t>.321 [7]</w:t>
      </w:r>
      <w:r>
        <w:rPr>
          <w:rFonts w:cs="v4.2.0"/>
          <w:lang w:eastAsia="zh-CN"/>
        </w:rPr>
        <w:t>.</w:t>
      </w:r>
    </w:p>
    <w:p w14:paraId="36B329F1" w14:textId="5A66DAA9" w:rsidR="000632D9" w:rsidRDefault="00A46579" w:rsidP="000632D9">
      <w:pPr>
        <w:rPr>
          <w:rFonts w:cs="v4.2.0"/>
          <w:lang w:eastAsia="zh-CN"/>
        </w:rPr>
      </w:pPr>
      <w:r>
        <w:rPr>
          <w:rFonts w:cs="v4.2.0"/>
          <w:lang w:eastAsia="zh-CN"/>
        </w:rPr>
        <w:t xml:space="preserve">If UE is not configured </w:t>
      </w:r>
      <w:r>
        <w:rPr>
          <w:rFonts w:cs="v4.2.0"/>
          <w:i/>
          <w:iCs/>
          <w:lang w:eastAsia="zh-CN"/>
        </w:rPr>
        <w:t>lbt-FailureRecoveryConfig</w:t>
      </w:r>
      <w:r>
        <w:rPr>
          <w:rFonts w:cs="v4.2.0"/>
          <w:lang w:eastAsia="zh-CN"/>
        </w:rPr>
        <w:t xml:space="preserve"> or is not capable of </w:t>
      </w:r>
      <w:r>
        <w:rPr>
          <w:rFonts w:cs="v4.2.0"/>
          <w:i/>
          <w:iCs/>
          <w:lang w:eastAsia="zh-CN"/>
        </w:rPr>
        <w:t>ul-LBT-FailureDetectionRecovery</w:t>
      </w:r>
      <w:r>
        <w:rPr>
          <w:rFonts w:cs="v4.2.0"/>
          <w:lang w:eastAsia="zh-CN"/>
        </w:rPr>
        <w:t xml:space="preserve"> [2] then </w:t>
      </w:r>
      <w:r>
        <w:t xml:space="preserve">upon detecting uplink </w:t>
      </w:r>
      <w:r>
        <w:rPr>
          <w:rFonts w:cs="v4.2.0"/>
          <w:lang w:eastAsia="zh-CN"/>
        </w:rPr>
        <w:t xml:space="preserve">CCA failure during the random access procedure for MsgA transmission, as outlined in Clause 5.21.2 of TS 38.321 [7], the UE shall cancel the transmission of the MsgA payload on the associated PUSCH resource and increment </w:t>
      </w:r>
      <w:r>
        <w:t>PREAMBLE_TRANSMISSION_COUNTER by 1</w:t>
      </w:r>
      <w:r>
        <w:rPr>
          <w:rFonts w:cs="v4.2.0"/>
          <w:lang w:eastAsia="zh-CN"/>
        </w:rPr>
        <w:t xml:space="preserve">. The UE shall again perform the Random Access Resource selection procedure if PREAMBLE_TRANSMISSION_COUNTER &lt; </w:t>
      </w:r>
      <w:r>
        <w:rPr>
          <w:rFonts w:cs="v4.2.0"/>
          <w:i/>
          <w:iCs/>
          <w:lang w:eastAsia="zh-CN"/>
        </w:rPr>
        <w:t>preambleTransMax</w:t>
      </w:r>
      <w:r>
        <w:rPr>
          <w:rFonts w:cs="v4.2.0"/>
          <w:lang w:eastAsia="zh-CN"/>
        </w:rPr>
        <w:t xml:space="preserve"> + 1, as specified in clause 5.1.3a in TS 38.321 [7]. If the Random Access Procedure is not complete and the UE is configured with </w:t>
      </w:r>
      <w:r>
        <w:rPr>
          <w:rFonts w:cs="v4.2.0"/>
          <w:i/>
          <w:iCs/>
          <w:lang w:eastAsia="zh-CN"/>
        </w:rPr>
        <w:t>msgA-TransMax</w:t>
      </w:r>
      <w:r>
        <w:rPr>
          <w:rFonts w:cs="v4.2.0"/>
          <w:lang w:eastAsia="zh-CN"/>
        </w:rPr>
        <w:t xml:space="preserve"> then, as specified in clause 5.1.3a in TS 38.321 [7], the UE shall </w:t>
      </w:r>
      <w:r>
        <w:t>perform the</w:t>
      </w:r>
      <w:r>
        <w:rPr>
          <w:lang w:eastAsia="ko-KR"/>
        </w:rPr>
        <w:t xml:space="preserve"> Random Access Resource selection procedure with</w:t>
      </w:r>
      <w:r>
        <w:rPr>
          <w:rFonts w:cs="v4.2.0"/>
          <w:lang w:eastAsia="zh-CN"/>
        </w:rPr>
        <w:t xml:space="preserve"> 4-step RA type provided that PREAMBLE_TRANSMISSION_COUNTER = </w:t>
      </w:r>
      <w:r>
        <w:rPr>
          <w:rFonts w:cs="v4.2.0"/>
          <w:i/>
          <w:iCs/>
          <w:lang w:eastAsia="zh-CN"/>
        </w:rPr>
        <w:t>msgA-TransMax</w:t>
      </w:r>
      <w:r>
        <w:rPr>
          <w:rFonts w:cs="v4.2.0"/>
          <w:lang w:eastAsia="zh-CN"/>
        </w:rPr>
        <w:t xml:space="preserve"> + 1.</w:t>
      </w:r>
    </w:p>
    <w:p w14:paraId="125CCE62" w14:textId="77777777" w:rsidR="000632D9" w:rsidRDefault="000632D9" w:rsidP="000632D9">
      <w:pPr>
        <w:rPr>
          <w:rFonts w:cs="v4.2.0"/>
          <w:lang w:eastAsia="zh-CN"/>
        </w:rPr>
      </w:pPr>
    </w:p>
    <w:p w14:paraId="0D663230" w14:textId="77777777" w:rsidR="000632D9" w:rsidRDefault="000632D9" w:rsidP="00FE4CE9">
      <w:pPr>
        <w:pStyle w:val="Heading6"/>
        <w:rPr>
          <w:lang w:eastAsia="zh-CN"/>
        </w:rPr>
      </w:pPr>
      <w:r>
        <w:rPr>
          <w:lang w:eastAsia="zh-CN"/>
        </w:rPr>
        <w:t>6.2.2A.3.2.2</w:t>
      </w:r>
      <w:r>
        <w:rPr>
          <w:lang w:eastAsia="zh-CN"/>
        </w:rPr>
        <w:tab/>
        <w:t>Correct behaviour when receiving MsgB</w:t>
      </w:r>
    </w:p>
    <w:p w14:paraId="24A011D6" w14:textId="77777777" w:rsidR="000632D9" w:rsidRDefault="000632D9" w:rsidP="000632D9">
      <w:pPr>
        <w:rPr>
          <w:lang w:eastAsia="zh-CN"/>
        </w:rPr>
      </w:pPr>
      <w:r>
        <w:t>The UE may stop monitoring for MsgB</w:t>
      </w:r>
      <w:r>
        <w:rPr>
          <w:lang w:eastAsia="zh-CN"/>
        </w:rPr>
        <w:t xml:space="preserve">, </w:t>
      </w:r>
      <w:r>
        <w:t xml:space="preserve">when </w:t>
      </w:r>
      <w:r>
        <w:rPr>
          <w:lang w:eastAsia="zh-CN"/>
        </w:rPr>
        <w:t>the UE has successfully received the PDCCH addressed to UE as specified in clause 8.2A in TS 38.213 [3] containing a successRAR MAC subPDU or a fallbackRAR MAC subPDU as described in clause 5.1.4a in TS 38.321 [7]</w:t>
      </w:r>
      <w:r>
        <w:t>.</w:t>
      </w:r>
    </w:p>
    <w:p w14:paraId="2BD913A3" w14:textId="77777777" w:rsidR="000632D9" w:rsidRDefault="000632D9" w:rsidP="000632D9">
      <w:pPr>
        <w:rPr>
          <w:rFonts w:cs="v4.2.0"/>
        </w:rPr>
      </w:pPr>
      <w:r>
        <w:rPr>
          <w:rFonts w:cs="v4.2.0"/>
        </w:rPr>
        <w:t xml:space="preserve">If MsgB contains a fallbackRAR MAC subPDU the UE shall fallback to the 4-step RA type by transmitting the msg3 containing the payload of MsgA PUSCH </w:t>
      </w:r>
      <w:r>
        <w:rPr>
          <w:rFonts w:cs="v4.2.0"/>
          <w:lang w:eastAsia="zh-CN"/>
        </w:rPr>
        <w:t>if the UL CCA is successful,</w:t>
      </w:r>
      <w:r>
        <w:rPr>
          <w:rFonts w:cs="v4.2.0"/>
        </w:rPr>
        <w:t xml:space="preserve"> as described in clause 8.2A in TS 38.213 [3]. </w:t>
      </w:r>
    </w:p>
    <w:p w14:paraId="41D32656" w14:textId="77777777" w:rsidR="000632D9" w:rsidRDefault="000632D9" w:rsidP="000632D9">
      <w:pPr>
        <w:rPr>
          <w:rFonts w:cs="v4.2.0"/>
        </w:rPr>
      </w:pPr>
      <w:r>
        <w:rPr>
          <w:rFonts w:cs="v4.2.0"/>
        </w:rPr>
        <w:t xml:space="preserve">The UE shall </w:t>
      </w:r>
      <w:r>
        <w:rPr>
          <w:rFonts w:cs="v4.2.0"/>
          <w:lang w:eastAsia="zh-CN"/>
        </w:rPr>
        <w:t xml:space="preserve">again </w:t>
      </w:r>
      <w:r>
        <w:rPr>
          <w:rFonts w:cs="v4.2.0"/>
        </w:rPr>
        <w:t>perform the Random Access Resource selection procedure defined in clause 5.1.2a</w:t>
      </w:r>
      <w:r>
        <w:rPr>
          <w:rFonts w:cs="v4.2.0"/>
          <w:lang w:eastAsia="zh-CN"/>
        </w:rPr>
        <w:t xml:space="preserve"> </w:t>
      </w:r>
      <w:r>
        <w:rPr>
          <w:rFonts w:cs="v4.2.0"/>
        </w:rPr>
        <w:t>in TS 3</w:t>
      </w:r>
      <w:r>
        <w:rPr>
          <w:rFonts w:cs="v4.2.0"/>
          <w:lang w:eastAsia="zh-CN"/>
        </w:rPr>
        <w:t>8</w:t>
      </w:r>
      <w:r>
        <w:rPr>
          <w:rFonts w:cs="v4.2.0"/>
        </w:rPr>
        <w:t>.321 [7]</w:t>
      </w:r>
      <w:r>
        <w:rPr>
          <w:rFonts w:cs="v4.2.0"/>
          <w:lang w:eastAsia="zh-CN"/>
        </w:rPr>
        <w:t xml:space="preserve"> for the next available PRACH occasion, and </w:t>
      </w:r>
      <w:r>
        <w:t>transmit the preamble</w:t>
      </w:r>
      <w:r>
        <w:rPr>
          <w:i/>
        </w:rPr>
        <w:t xml:space="preserve"> </w:t>
      </w:r>
      <w:r>
        <w:rPr>
          <w:rFonts w:cs="v4.2.0"/>
        </w:rPr>
        <w:t>with the calculated</w:t>
      </w:r>
      <w:r>
        <w:rPr>
          <w:rFonts w:cs="v4.2.0"/>
          <w:lang w:val="en-US" w:eastAsia="zh-CN"/>
        </w:rPr>
        <w:t xml:space="preserve"> MsgA</w:t>
      </w:r>
      <w:r>
        <w:rPr>
          <w:rFonts w:cs="v4.2.0"/>
        </w:rPr>
        <w:t xml:space="preserve"> PRACH</w:t>
      </w:r>
      <w:r>
        <w:rPr>
          <w:rFonts w:cs="v4.2.0"/>
          <w:lang w:val="en-US" w:eastAsia="zh-CN"/>
        </w:rPr>
        <w:t xml:space="preserve"> and MsgA PUSCH</w:t>
      </w:r>
      <w:r>
        <w:rPr>
          <w:rFonts w:cs="v4.2.0"/>
        </w:rPr>
        <w:t xml:space="preserve"> transmission power i</w:t>
      </w:r>
      <w:r>
        <w:rPr>
          <w:rFonts w:cs="v4.2.0"/>
          <w:lang w:eastAsia="zh-CN"/>
        </w:rPr>
        <w:t>f the UL CCA is successful,</w:t>
      </w:r>
      <w:r>
        <w:t xml:space="preserve"> if all received MsgBs contain Random Access Preamble identifiers that do not match the transmitted Random Access Preamble.</w:t>
      </w:r>
    </w:p>
    <w:p w14:paraId="5C728E14" w14:textId="77777777" w:rsidR="000632D9" w:rsidRDefault="000632D9" w:rsidP="00FE4CE9">
      <w:pPr>
        <w:pStyle w:val="Heading6"/>
        <w:rPr>
          <w:lang w:eastAsia="zh-CN"/>
        </w:rPr>
      </w:pPr>
      <w:r>
        <w:rPr>
          <w:lang w:eastAsia="zh-CN"/>
        </w:rPr>
        <w:t>6.2.2A.3.2.3</w:t>
      </w:r>
      <w:r>
        <w:rPr>
          <w:lang w:eastAsia="zh-CN"/>
        </w:rPr>
        <w:tab/>
        <w:t>Correct behaviour when not receiving MsgB</w:t>
      </w:r>
    </w:p>
    <w:p w14:paraId="31C17121" w14:textId="3231C3C1" w:rsidR="000632D9" w:rsidRDefault="000632D9" w:rsidP="000632D9">
      <w:r>
        <w:rPr>
          <w:rFonts w:cs="v4.2.0"/>
        </w:rPr>
        <w:t xml:space="preserve">The UE shall </w:t>
      </w:r>
      <w:r>
        <w:rPr>
          <w:rFonts w:cs="v4.2.0"/>
          <w:lang w:eastAsia="zh-CN"/>
        </w:rPr>
        <w:t xml:space="preserve">again </w:t>
      </w:r>
      <w:r>
        <w:rPr>
          <w:rFonts w:cs="v4.2.0"/>
        </w:rPr>
        <w:t>perform the Random Access Resource selection procedure defined in clause 5.1.2a</w:t>
      </w:r>
      <w:r>
        <w:rPr>
          <w:rFonts w:cs="v4.2.0"/>
          <w:lang w:eastAsia="zh-CN"/>
        </w:rPr>
        <w:t xml:space="preserve"> </w:t>
      </w:r>
      <w:r>
        <w:rPr>
          <w:rFonts w:cs="v4.2.0"/>
        </w:rPr>
        <w:t>in TS 3</w:t>
      </w:r>
      <w:r>
        <w:rPr>
          <w:rFonts w:cs="v4.2.0"/>
          <w:lang w:eastAsia="zh-CN"/>
        </w:rPr>
        <w:t>8</w:t>
      </w:r>
      <w:r>
        <w:rPr>
          <w:rFonts w:cs="v4.2.0"/>
        </w:rPr>
        <w:t>.321 [7]</w:t>
      </w:r>
      <w:r>
        <w:rPr>
          <w:rFonts w:cs="v4.2.0"/>
          <w:lang w:eastAsia="zh-CN"/>
        </w:rPr>
        <w:t xml:space="preserve"> for the next available PRACH occasion,</w:t>
      </w:r>
      <w:r>
        <w:t xml:space="preserve"> </w:t>
      </w:r>
      <w:r>
        <w:rPr>
          <w:lang w:eastAsia="zh-CN"/>
        </w:rPr>
        <w:t>and</w:t>
      </w:r>
      <w:r>
        <w:t xml:space="preserve"> transmit MsgA</w:t>
      </w:r>
      <w:r>
        <w:rPr>
          <w:rFonts w:cs="v4.2.0"/>
        </w:rPr>
        <w:t xml:space="preserve"> with the calculated MsgA</w:t>
      </w:r>
      <w:r>
        <w:rPr>
          <w:rFonts w:cs="v4.2.0"/>
          <w:lang w:val="en-US" w:eastAsia="zh-CN"/>
        </w:rPr>
        <w:t xml:space="preserve"> PRACH and MsgA PUSCH</w:t>
      </w:r>
      <w:r>
        <w:rPr>
          <w:rFonts w:cs="v4.2.0"/>
        </w:rPr>
        <w:t xml:space="preserve"> transmission power </w:t>
      </w:r>
      <w:r>
        <w:rPr>
          <w:rFonts w:cs="v4.2.0"/>
          <w:lang w:eastAsia="zh-CN"/>
        </w:rPr>
        <w:t xml:space="preserve">if the UL CCA is successful on the next available PRACH occasion, </w:t>
      </w:r>
      <w:r>
        <w:rPr>
          <w:lang w:eastAsia="zh-CN"/>
        </w:rPr>
        <w:t xml:space="preserve">if no MsgB is received within the MsgB Response window configured in </w:t>
      </w:r>
      <w:r>
        <w:rPr>
          <w:i/>
          <w:iCs/>
        </w:rPr>
        <w:t>RACH-ConfigGenericTwoStepRA</w:t>
      </w:r>
      <w:r>
        <w:rPr>
          <w:lang w:eastAsia="zh-CN"/>
        </w:rPr>
        <w:t xml:space="preserve"> and the Random Access Response Reception has not been considered as successful as</w:t>
      </w:r>
      <w:r>
        <w:t xml:space="preserve"> defined in clause 5.1.4a </w:t>
      </w:r>
      <w:r>
        <w:rPr>
          <w:lang w:eastAsia="zh-CN"/>
        </w:rPr>
        <w:t xml:space="preserve">in </w:t>
      </w:r>
      <w:r>
        <w:t>TS 3</w:t>
      </w:r>
      <w:r>
        <w:rPr>
          <w:lang w:eastAsia="zh-CN"/>
        </w:rPr>
        <w:t>8</w:t>
      </w:r>
      <w:r>
        <w:t>.321</w:t>
      </w:r>
      <w:r>
        <w:rPr>
          <w:lang w:eastAsia="zh-CN"/>
        </w:rPr>
        <w:t xml:space="preserve"> [7]</w:t>
      </w:r>
      <w:r>
        <w:t>.</w:t>
      </w:r>
    </w:p>
    <w:p w14:paraId="506E4542" w14:textId="77777777" w:rsidR="00301C9F" w:rsidRPr="00CA54CE" w:rsidRDefault="00301C9F" w:rsidP="00301C9F">
      <w:pPr>
        <w:pStyle w:val="Heading3"/>
        <w:rPr>
          <w:lang w:val="en-US" w:eastAsia="ko-KR"/>
        </w:rPr>
      </w:pPr>
      <w:r w:rsidRPr="009C5807">
        <w:rPr>
          <w:lang w:val="en-US" w:eastAsia="ko-KR"/>
        </w:rPr>
        <w:t>6.2.2</w:t>
      </w:r>
      <w:r>
        <w:rPr>
          <w:lang w:val="en-US" w:eastAsia="ko-KR"/>
        </w:rPr>
        <w:t>B</w:t>
      </w:r>
      <w:r w:rsidRPr="009C5807">
        <w:rPr>
          <w:lang w:val="en-US" w:eastAsia="ko-KR"/>
        </w:rPr>
        <w:tab/>
        <w:t>Random access</w:t>
      </w:r>
      <w:r>
        <w:rPr>
          <w:lang w:val="en-US" w:eastAsia="ko-KR"/>
        </w:rPr>
        <w:t xml:space="preserve"> </w:t>
      </w:r>
      <w:r>
        <w:rPr>
          <w:lang w:eastAsia="ko-KR"/>
        </w:rPr>
        <w:t xml:space="preserve">for </w:t>
      </w:r>
      <w:r>
        <w:rPr>
          <w:rFonts w:eastAsia="Malgun Gothic"/>
        </w:rPr>
        <w:t>RedCap</w:t>
      </w:r>
    </w:p>
    <w:p w14:paraId="3163E0CD" w14:textId="77777777" w:rsidR="00301C9F" w:rsidRPr="009C5807" w:rsidRDefault="00301C9F" w:rsidP="00301C9F">
      <w:pPr>
        <w:pStyle w:val="Heading4"/>
        <w:rPr>
          <w:lang w:eastAsia="ko-KR"/>
        </w:rPr>
      </w:pPr>
      <w:r w:rsidRPr="009C5807">
        <w:rPr>
          <w:lang w:eastAsia="ko-KR"/>
        </w:rPr>
        <w:t>6.2.</w:t>
      </w:r>
      <w:r w:rsidRPr="009C5807">
        <w:rPr>
          <w:lang w:eastAsia="zh-CN"/>
        </w:rPr>
        <w:t>2</w:t>
      </w:r>
      <w:r>
        <w:rPr>
          <w:lang w:eastAsia="zh-CN"/>
        </w:rPr>
        <w:t>B</w:t>
      </w:r>
      <w:r w:rsidRPr="009C5807">
        <w:rPr>
          <w:lang w:eastAsia="ko-KR"/>
        </w:rPr>
        <w:t>.1</w:t>
      </w:r>
      <w:r w:rsidRPr="009C5807">
        <w:rPr>
          <w:lang w:eastAsia="ko-KR"/>
        </w:rPr>
        <w:tab/>
        <w:t>Introduction</w:t>
      </w:r>
    </w:p>
    <w:p w14:paraId="5FB3DA8F" w14:textId="35B77246" w:rsidR="00301C9F" w:rsidRDefault="00301C9F" w:rsidP="00301C9F">
      <w:pPr>
        <w:rPr>
          <w:lang w:val="en-US" w:eastAsia="zh-CN"/>
        </w:rPr>
      </w:pPr>
      <w:r w:rsidRPr="009C5807">
        <w:rPr>
          <w:lang w:val="en-US" w:eastAsia="zh-CN"/>
        </w:rPr>
        <w:t xml:space="preserve">This clause contains requirements on the </w:t>
      </w:r>
      <w:r>
        <w:rPr>
          <w:lang w:val="en-US" w:eastAsia="zh-CN"/>
        </w:rPr>
        <w:t xml:space="preserve">RedCap </w:t>
      </w:r>
      <w:r w:rsidRPr="009C5807">
        <w:rPr>
          <w:lang w:val="en-US" w:eastAsia="zh-CN"/>
        </w:rPr>
        <w:t>UE regarding random access procedure. The random access procedure is initiated to establish uplink time synchronization for a UE which either has not acquired or has lost its uplink synchronization, or to convey UE’s request Other SI, or for beam failure recovery. The random access is specified in clause 8 of TS 38.213</w:t>
      </w:r>
      <w:r w:rsidRPr="009C5807">
        <w:t> </w:t>
      </w:r>
      <w:r w:rsidRPr="009C5807">
        <w:rPr>
          <w:lang w:val="en-US" w:eastAsia="zh-CN"/>
        </w:rPr>
        <w:t>[3] and the control of the RACH transmission is specified in clause 5.1 of TS</w:t>
      </w:r>
      <w:r w:rsidRPr="009C5807">
        <w:t> </w:t>
      </w:r>
      <w:r w:rsidRPr="009C5807">
        <w:rPr>
          <w:lang w:val="en-US" w:eastAsia="zh-CN"/>
        </w:rPr>
        <w:t>38.321</w:t>
      </w:r>
      <w:r w:rsidRPr="009C5807">
        <w:t> </w:t>
      </w:r>
      <w:r w:rsidRPr="009C5807">
        <w:rPr>
          <w:lang w:val="en-US" w:eastAsia="zh-CN"/>
        </w:rPr>
        <w:t>[7]. Two types of procedure are defined for the random access, the 4-step RA type, and the 2-step RA type [7]. The decision on which type of procedure to adopt is as described in clause 5.1.1 of TS 38.321</w:t>
      </w:r>
      <w:r w:rsidRPr="009C5807">
        <w:t> </w:t>
      </w:r>
      <w:r w:rsidRPr="009C5807">
        <w:rPr>
          <w:lang w:val="en-US" w:eastAsia="zh-CN"/>
        </w:rPr>
        <w:t xml:space="preserve">[7]. </w:t>
      </w:r>
    </w:p>
    <w:p w14:paraId="5796262A" w14:textId="77777777" w:rsidR="002E7BFF" w:rsidRPr="008F6254" w:rsidRDefault="002E7BFF" w:rsidP="002E7BFF">
      <w:pPr>
        <w:rPr>
          <w:lang w:eastAsia="sv-SE"/>
        </w:rPr>
      </w:pPr>
      <w:r w:rsidRPr="008F6254">
        <w:rPr>
          <w:lang w:eastAsia="sv-SE"/>
        </w:rPr>
        <w:t>The 1 Rx RedCap UE for performing the random access procedure defined in clause 5.1 [7] applies:</w:t>
      </w:r>
    </w:p>
    <w:p w14:paraId="3642F62B" w14:textId="77777777" w:rsidR="002E7BFF" w:rsidRPr="008F6254" w:rsidRDefault="002E7BFF" w:rsidP="00422D16">
      <w:pPr>
        <w:pStyle w:val="B10"/>
        <w:rPr>
          <w:rFonts w:cs="v4.2.0"/>
        </w:rPr>
      </w:pPr>
      <w:r w:rsidRPr="008F6254">
        <w:rPr>
          <w:iCs/>
        </w:rPr>
        <w:t>-</w:t>
      </w:r>
      <w:r w:rsidRPr="008F6254">
        <w:rPr>
          <w:iCs/>
        </w:rPr>
        <w:tab/>
        <w:t>rsrp-ThresholdSSB</w:t>
      </w:r>
      <w:r w:rsidRPr="008F6254">
        <w:t xml:space="preserve"> </w:t>
      </w:r>
      <w:r w:rsidRPr="008F6254">
        <w:rPr>
          <w:lang w:eastAsia="sv-SE"/>
        </w:rPr>
        <w:t xml:space="preserve">as the signaled value of </w:t>
      </w:r>
      <w:r w:rsidRPr="008F6254">
        <w:rPr>
          <w:iCs/>
        </w:rPr>
        <w:t>rsrp-ThresholdSSB</w:t>
      </w:r>
      <w:r w:rsidRPr="008F6254">
        <w:t xml:space="preserve"> </w:t>
      </w:r>
      <w:r w:rsidRPr="008F6254">
        <w:rPr>
          <w:lang w:eastAsia="sv-SE"/>
        </w:rPr>
        <w:t>[2] + 1 dB.</w:t>
      </w:r>
    </w:p>
    <w:p w14:paraId="41EAB274" w14:textId="77777777" w:rsidR="002E7BFF" w:rsidRPr="008F6254" w:rsidRDefault="002E7BFF" w:rsidP="00422D16">
      <w:pPr>
        <w:pStyle w:val="B10"/>
        <w:rPr>
          <w:rFonts w:cs="v4.2.0"/>
        </w:rPr>
      </w:pPr>
      <w:r w:rsidRPr="008F6254">
        <w:rPr>
          <w:iCs/>
        </w:rPr>
        <w:t>-</w:t>
      </w:r>
      <w:r w:rsidRPr="008F6254">
        <w:rPr>
          <w:iCs/>
        </w:rPr>
        <w:tab/>
        <w:t xml:space="preserve">msgA-RSRP-ThresholdSSB </w:t>
      </w:r>
      <w:r w:rsidRPr="008F6254">
        <w:rPr>
          <w:lang w:eastAsia="sv-SE"/>
        </w:rPr>
        <w:t xml:space="preserve">as the signaled value of </w:t>
      </w:r>
      <w:r w:rsidRPr="008F6254">
        <w:rPr>
          <w:iCs/>
        </w:rPr>
        <w:t>msgA-RSRP-ThresholdSSB</w:t>
      </w:r>
      <w:r w:rsidRPr="008F6254">
        <w:t xml:space="preserve"> </w:t>
      </w:r>
      <w:r w:rsidRPr="008F6254">
        <w:rPr>
          <w:lang w:eastAsia="sv-SE"/>
        </w:rPr>
        <w:t>[2] + 1 dB.</w:t>
      </w:r>
    </w:p>
    <w:p w14:paraId="63CCD605" w14:textId="77777777" w:rsidR="002E7BFF" w:rsidRDefault="002E7BFF" w:rsidP="00422D16">
      <w:pPr>
        <w:pStyle w:val="B10"/>
        <w:rPr>
          <w:lang w:eastAsia="sv-SE"/>
        </w:rPr>
      </w:pPr>
      <w:r w:rsidRPr="008F6254">
        <w:t>-</w:t>
      </w:r>
      <w:r w:rsidRPr="008F6254">
        <w:tab/>
      </w:r>
      <w:r w:rsidRPr="00422D16">
        <w:rPr>
          <w:iCs/>
        </w:rPr>
        <w:t>msgA-RSRP-Threshold</w:t>
      </w:r>
      <w:r w:rsidRPr="008F6254">
        <w:t xml:space="preserve"> </w:t>
      </w:r>
      <w:r w:rsidRPr="008F6254">
        <w:rPr>
          <w:lang w:eastAsia="sv-SE"/>
        </w:rPr>
        <w:t xml:space="preserve">as the signaled value of </w:t>
      </w:r>
      <w:r w:rsidRPr="008F6254">
        <w:t xml:space="preserve">msgA-RSRP-Threshold </w:t>
      </w:r>
      <w:r w:rsidRPr="008F6254">
        <w:rPr>
          <w:lang w:eastAsia="sv-SE"/>
        </w:rPr>
        <w:t>[2] + 1 dB.</w:t>
      </w:r>
    </w:p>
    <w:p w14:paraId="443B5B67" w14:textId="77777777" w:rsidR="002E7BFF" w:rsidRDefault="002E7BFF" w:rsidP="00422D16">
      <w:pPr>
        <w:pStyle w:val="B10"/>
      </w:pPr>
      <w:r w:rsidRPr="00DE097E">
        <w:t>-</w:t>
      </w:r>
      <w:r w:rsidRPr="00DE097E">
        <w:tab/>
      </w:r>
      <w:r w:rsidRPr="006C5253">
        <w:rPr>
          <w:iCs/>
        </w:rPr>
        <w:t>rsrp-ThresholdMsg3</w:t>
      </w:r>
      <w:r>
        <w:t xml:space="preserve"> </w:t>
      </w:r>
      <w:r w:rsidRPr="00DE097E">
        <w:rPr>
          <w:lang w:eastAsia="sv-SE"/>
        </w:rPr>
        <w:t xml:space="preserve">as the signaled value of </w:t>
      </w:r>
      <w:r w:rsidRPr="006C5253">
        <w:rPr>
          <w:iCs/>
        </w:rPr>
        <w:t>rsrp-ThresholdMsg3</w:t>
      </w:r>
      <w:r w:rsidRPr="00DE097E">
        <w:t xml:space="preserve"> </w:t>
      </w:r>
      <w:r w:rsidRPr="00DE097E">
        <w:rPr>
          <w:lang w:eastAsia="sv-SE"/>
        </w:rPr>
        <w:t xml:space="preserve">[2] </w:t>
      </w:r>
      <w:r>
        <w:rPr>
          <w:lang w:eastAsia="sv-SE"/>
        </w:rPr>
        <w:t>-</w:t>
      </w:r>
      <w:r w:rsidRPr="00DE097E">
        <w:rPr>
          <w:lang w:eastAsia="sv-SE"/>
        </w:rPr>
        <w:t xml:space="preserve"> 1 dB.</w:t>
      </w:r>
    </w:p>
    <w:p w14:paraId="3C2B5D09" w14:textId="77777777" w:rsidR="002E7BFF" w:rsidRDefault="002E7BFF" w:rsidP="002E7BFF">
      <w:pPr>
        <w:rPr>
          <w:lang w:val="en-US" w:eastAsia="zh-CN"/>
        </w:rPr>
      </w:pPr>
    </w:p>
    <w:p w14:paraId="11D481BC" w14:textId="77777777" w:rsidR="00301C9F" w:rsidRPr="00331076" w:rsidRDefault="00301C9F" w:rsidP="00301C9F">
      <w:pPr>
        <w:pStyle w:val="Heading4"/>
        <w:rPr>
          <w:lang w:eastAsia="ko-KR"/>
        </w:rPr>
      </w:pPr>
      <w:r w:rsidRPr="009C5807">
        <w:rPr>
          <w:lang w:eastAsia="ko-KR"/>
        </w:rPr>
        <w:t>6.2.</w:t>
      </w:r>
      <w:r w:rsidRPr="009C5807">
        <w:rPr>
          <w:lang w:eastAsia="zh-CN"/>
        </w:rPr>
        <w:t>2</w:t>
      </w:r>
      <w:r>
        <w:rPr>
          <w:lang w:eastAsia="zh-CN"/>
        </w:rPr>
        <w:t>B</w:t>
      </w:r>
      <w:r w:rsidRPr="009C5807">
        <w:rPr>
          <w:lang w:eastAsia="ko-KR"/>
        </w:rPr>
        <w:t>.</w:t>
      </w:r>
      <w:r>
        <w:rPr>
          <w:lang w:eastAsia="ko-KR"/>
        </w:rPr>
        <w:t>2</w:t>
      </w:r>
      <w:r w:rsidRPr="009C5807">
        <w:rPr>
          <w:lang w:eastAsia="ko-KR"/>
        </w:rPr>
        <w:tab/>
        <w:t>Requirements</w:t>
      </w:r>
    </w:p>
    <w:p w14:paraId="2081BE59" w14:textId="77777777" w:rsidR="00301C9F" w:rsidRDefault="00301C9F" w:rsidP="00301C9F">
      <w:r w:rsidRPr="009C5807">
        <w:rPr>
          <w:lang w:val="en-US" w:eastAsia="zh-CN"/>
        </w:rPr>
        <w:t>The requirements for the 4-step RA type procedure described in clause 6.2.2.2</w:t>
      </w:r>
      <w:r>
        <w:rPr>
          <w:lang w:val="en-US" w:eastAsia="zh-CN"/>
        </w:rPr>
        <w:t xml:space="preserve"> and the </w:t>
      </w:r>
      <w:r w:rsidRPr="009C5807">
        <w:rPr>
          <w:lang w:val="en-US" w:eastAsia="zh-CN"/>
        </w:rPr>
        <w:t xml:space="preserve">requirements for the 2-step RA type procedure described in the clause 6.2.2.3 </w:t>
      </w:r>
      <w:r>
        <w:rPr>
          <w:lang w:val="en-US" w:eastAsia="zh-CN"/>
        </w:rPr>
        <w:t>are applicable for TDD and FDD RedCap UEs. The 4-step and 2-step RA requirements for contention based random access defined in clause 6.2.2.2 and 6.2.2.3 respectively apply to HD-FDD UE with the following conditions:</w:t>
      </w:r>
    </w:p>
    <w:p w14:paraId="2C7026E3" w14:textId="77777777" w:rsidR="00301C9F" w:rsidRPr="00CB7F87" w:rsidRDefault="00301C9F">
      <w:pPr>
        <w:pStyle w:val="B10"/>
        <w:numPr>
          <w:ilvl w:val="0"/>
          <w:numId w:val="16"/>
        </w:numPr>
        <w:rPr>
          <w:lang w:val="en-US" w:eastAsia="zh-CN"/>
        </w:rPr>
      </w:pPr>
      <w:r w:rsidRPr="00895676">
        <w:rPr>
          <w:lang w:val="en-US" w:eastAsia="zh-CN"/>
        </w:rPr>
        <w:t>The RedCap UE operating in HD-FDD mode is not expected to perform PRACH transmission on a PRACH resource of a cell if UE has not received at least one SSB associated with that PRACH resource during the last Tp period in the cell, whe</w:t>
      </w:r>
      <w:r w:rsidRPr="00CB7F87">
        <w:rPr>
          <w:lang w:val="en-US" w:eastAsia="zh-CN"/>
        </w:rPr>
        <w:t>re Tp=160 ms.</w:t>
      </w:r>
    </w:p>
    <w:p w14:paraId="6590A209" w14:textId="77777777" w:rsidR="00301C9F" w:rsidRPr="00CB7F87" w:rsidRDefault="00301C9F">
      <w:pPr>
        <w:pStyle w:val="B10"/>
        <w:numPr>
          <w:ilvl w:val="0"/>
          <w:numId w:val="16"/>
        </w:numPr>
        <w:rPr>
          <w:lang w:val="en-US" w:eastAsia="zh-CN"/>
        </w:rPr>
      </w:pPr>
      <w:r w:rsidRPr="00CB7F87">
        <w:rPr>
          <w:lang w:val="en-US" w:eastAsia="zh-CN"/>
        </w:rPr>
        <w:t>The RedCap UE operating in HD-FDD mode shall meet the PRACH requirements when performing PRACH transmission on a PRACH resource of a cell provided that the UE has received at least one SSB associated with that PRACH resource during the last Tp period before the PRACH transmission, where Tp=160 ms.</w:t>
      </w:r>
    </w:p>
    <w:p w14:paraId="3A2FA233" w14:textId="77777777" w:rsidR="00301C9F" w:rsidRDefault="00301C9F" w:rsidP="000632D9">
      <w:pPr>
        <w:rPr>
          <w:lang w:eastAsia="zh-CN"/>
        </w:rPr>
      </w:pPr>
    </w:p>
    <w:p w14:paraId="41618FD9" w14:textId="57A23271" w:rsidR="00B4741B" w:rsidRPr="009C5807" w:rsidRDefault="00B4741B" w:rsidP="00B4741B">
      <w:pPr>
        <w:pStyle w:val="Heading3"/>
        <w:rPr>
          <w:lang w:val="en-US" w:eastAsia="ko-KR"/>
        </w:rPr>
      </w:pPr>
      <w:r w:rsidRPr="009C5807">
        <w:rPr>
          <w:lang w:val="en-US" w:eastAsia="ko-KR"/>
        </w:rPr>
        <w:t>6.2.3</w:t>
      </w:r>
      <w:r w:rsidRPr="009C5807">
        <w:rPr>
          <w:lang w:val="en-US" w:eastAsia="ko-KR"/>
        </w:rPr>
        <w:tab/>
        <w:t>SA: RRC Connection Release with Redirection</w:t>
      </w:r>
      <w:bookmarkEnd w:id="125"/>
    </w:p>
    <w:p w14:paraId="56D85BA3" w14:textId="77777777" w:rsidR="00B4741B" w:rsidRPr="009C5807" w:rsidRDefault="00B4741B" w:rsidP="00B4741B">
      <w:pPr>
        <w:pStyle w:val="Heading4"/>
        <w:rPr>
          <w:lang w:val="en-US" w:eastAsia="zh-CN"/>
        </w:rPr>
      </w:pPr>
      <w:bookmarkStart w:id="128" w:name="_Toc5952587"/>
      <w:r w:rsidRPr="009C5807">
        <w:rPr>
          <w:lang w:val="en-US" w:eastAsia="zh-CN"/>
        </w:rPr>
        <w:t>6.2.3.1</w:t>
      </w:r>
      <w:r w:rsidRPr="009C5807">
        <w:rPr>
          <w:lang w:val="en-US" w:eastAsia="zh-CN"/>
        </w:rPr>
        <w:tab/>
        <w:t>Introduction</w:t>
      </w:r>
      <w:bookmarkEnd w:id="128"/>
    </w:p>
    <w:p w14:paraId="6FACA592" w14:textId="6F40E21E" w:rsidR="00402693" w:rsidRPr="00584C64" w:rsidRDefault="00B4741B" w:rsidP="00402693">
      <w:pPr>
        <w:rPr>
          <w:lang w:val="en-US" w:eastAsia="zh-CN"/>
        </w:rPr>
      </w:pPr>
      <w:r w:rsidRPr="009C5807">
        <w:rPr>
          <w:lang w:val="en-US" w:eastAsia="zh-CN"/>
        </w:rPr>
        <w:t xml:space="preserve">This clause contains requirements on the UE regarding RRC connection release with redirection procedure. RRC connection release with redirection is initiated by the </w:t>
      </w:r>
      <w:r w:rsidRPr="009C5807">
        <w:rPr>
          <w:rFonts w:hint="eastAsia"/>
          <w:i/>
          <w:lang w:val="en-US" w:eastAsia="zh-CN"/>
        </w:rPr>
        <w:t>RRCRelease</w:t>
      </w:r>
      <w:r w:rsidRPr="009C5807">
        <w:rPr>
          <w:lang w:val="en-US" w:eastAsia="zh-CN"/>
        </w:rPr>
        <w:t xml:space="preserve"> message with redirection to E-UTRAN or NR from NR specified in TS 38.331 [2]. The RRC connection release with redirection procedure is specified in clause 5.3.8 of TS 38.331 [2].</w:t>
      </w:r>
    </w:p>
    <w:p w14:paraId="4D58C6A1" w14:textId="77777777" w:rsidR="00402693" w:rsidRPr="00584C64" w:rsidRDefault="00402693" w:rsidP="00402693">
      <w:pPr>
        <w:pStyle w:val="B10"/>
        <w:ind w:left="0" w:firstLine="0"/>
      </w:pPr>
      <w:r w:rsidRPr="00584C64">
        <w:t>In the requirements of clause 6.2.3.2, the term SMTC occasion not available at the UE refers to when the SMTC contains SSBs configured by gNB in a cell on a carrier frequency subject to CCA, but the first two successive candidate SSB positions for the same SSB index within the discovery burst transmission window are not available at the UE due to DL CCA failures at gNB during the corresponding identification period; otherwise the SMTC occasion is considered as available at the UE.</w:t>
      </w:r>
    </w:p>
    <w:p w14:paraId="454053F5" w14:textId="2AC5E9F8" w:rsidR="00B4741B" w:rsidRDefault="00402693" w:rsidP="00402693">
      <w:pPr>
        <w:pStyle w:val="B10"/>
        <w:ind w:left="0" w:firstLine="0"/>
      </w:pPr>
      <w:r w:rsidRPr="00584C64">
        <w:t>In the requirements of clause 6.2.3.2, the term PRACH occasion unavailable for transmission refers to when the PRACH occasion is configured by gNB but not transmitted by the UE during the corresponding period due to UL CCA failure at the UE.</w:t>
      </w:r>
    </w:p>
    <w:p w14:paraId="05ADA9CC" w14:textId="7257B902" w:rsidR="008C5C10" w:rsidRPr="00402693" w:rsidRDefault="008C5C10" w:rsidP="00402693">
      <w:pPr>
        <w:pStyle w:val="B10"/>
        <w:ind w:left="0" w:firstLine="0"/>
      </w:pPr>
      <w:r w:rsidRPr="001254C4">
        <w:rPr>
          <w:lang w:eastAsia="zh-CN"/>
        </w:rPr>
        <w:t xml:space="preserve">When the </w:t>
      </w:r>
      <w:r>
        <w:rPr>
          <w:lang w:val="en-US" w:eastAsia="zh-CN"/>
        </w:rPr>
        <w:t>RRC connection release with redirection</w:t>
      </w:r>
      <w:r w:rsidRPr="001254C4">
        <w:rPr>
          <w:lang w:eastAsia="zh-CN"/>
        </w:rPr>
        <w:t xml:space="preserve"> is performed on a cell in FR2-2</w:t>
      </w:r>
      <w:r>
        <w:rPr>
          <w:lang w:eastAsia="zh-CN"/>
        </w:rPr>
        <w:t xml:space="preserve"> </w:t>
      </w:r>
      <w:r>
        <w:t>with shared spectrum channel access</w:t>
      </w:r>
      <w:r w:rsidRPr="001254C4">
        <w:rPr>
          <w:lang w:eastAsia="zh-CN"/>
        </w:rPr>
        <w:t xml:space="preserve">, UE shall </w:t>
      </w:r>
      <w:r>
        <w:rPr>
          <w:lang w:eastAsia="zh-CN"/>
        </w:rPr>
        <w:t>determine the CCA mode of the neighbour cell</w:t>
      </w:r>
      <w:r w:rsidRPr="001254C4">
        <w:rPr>
          <w:lang w:eastAsia="zh-CN"/>
        </w:rPr>
        <w:t xml:space="preserve"> according to </w:t>
      </w:r>
      <w:r w:rsidRPr="001254C4">
        <w:rPr>
          <w:i/>
          <w:lang w:eastAsia="zh-CN"/>
        </w:rPr>
        <w:t>channelAccessMode2-r17</w:t>
      </w:r>
      <w:r>
        <w:rPr>
          <w:lang w:eastAsia="zh-CN"/>
        </w:rPr>
        <w:t xml:space="preserve"> if configured.</w:t>
      </w:r>
      <w:r w:rsidRPr="001254C4">
        <w:rPr>
          <w:lang w:eastAsia="zh-CN"/>
        </w:rPr>
        <w:t xml:space="preserve"> If </w:t>
      </w:r>
      <w:r w:rsidRPr="001254C4">
        <w:rPr>
          <w:i/>
          <w:lang w:eastAsia="zh-CN"/>
        </w:rPr>
        <w:t>channelAccessMode2-r17</w:t>
      </w:r>
      <w:r w:rsidRPr="001254C4">
        <w:rPr>
          <w:lang w:eastAsia="zh-CN"/>
        </w:rPr>
        <w:t xml:space="preserve"> of the </w:t>
      </w:r>
      <w:r>
        <w:rPr>
          <w:lang w:eastAsia="zh-CN"/>
        </w:rPr>
        <w:t>c</w:t>
      </w:r>
      <w:r w:rsidRPr="001254C4">
        <w:rPr>
          <w:lang w:eastAsia="zh-CN"/>
        </w:rPr>
        <w:t>ell is enabled, UE shall assume that CCA</w:t>
      </w:r>
      <w:r>
        <w:rPr>
          <w:lang w:eastAsia="zh-CN"/>
        </w:rPr>
        <w:t xml:space="preserve"> applies to the cell and perform measurement accordingly</w:t>
      </w:r>
      <w:r w:rsidRPr="001254C4">
        <w:rPr>
          <w:lang w:eastAsia="zh-CN"/>
        </w:rPr>
        <w:t xml:space="preserve">, and the requirements in clause </w:t>
      </w:r>
      <w:r>
        <w:rPr>
          <w:lang w:eastAsia="ko-KR"/>
        </w:rPr>
        <w:t>6.2.3.2.3</w:t>
      </w:r>
      <w:r w:rsidRPr="001254C4">
        <w:rPr>
          <w:lang w:eastAsia="zh-CN"/>
        </w:rPr>
        <w:t xml:space="preserve"> shall apply; otherwise, UE shall assume that CCA</w:t>
      </w:r>
      <w:r>
        <w:rPr>
          <w:lang w:eastAsia="zh-CN"/>
        </w:rPr>
        <w:t xml:space="preserve"> does not apply to the cell and perform measurement accordingly, and</w:t>
      </w:r>
      <w:r w:rsidRPr="001254C4">
        <w:rPr>
          <w:lang w:eastAsia="zh-CN"/>
        </w:rPr>
        <w:t xml:space="preserve"> requirements in </w:t>
      </w:r>
      <w:r>
        <w:rPr>
          <w:lang w:eastAsia="ko-KR"/>
        </w:rPr>
        <w:t>6.2.3.2.1</w:t>
      </w:r>
      <w:r w:rsidRPr="001254C4">
        <w:rPr>
          <w:lang w:eastAsia="zh-CN"/>
        </w:rPr>
        <w:t xml:space="preserve"> shall apply.</w:t>
      </w:r>
    </w:p>
    <w:p w14:paraId="4FE1AC61" w14:textId="77777777" w:rsidR="00B4741B" w:rsidRPr="009C5807" w:rsidRDefault="00B4741B" w:rsidP="00B4741B">
      <w:pPr>
        <w:pStyle w:val="Heading4"/>
        <w:rPr>
          <w:lang w:val="en-US" w:eastAsia="zh-CN"/>
        </w:rPr>
      </w:pPr>
      <w:bookmarkStart w:id="129" w:name="_Toc5952588"/>
      <w:r w:rsidRPr="009C5807">
        <w:rPr>
          <w:lang w:val="en-US" w:eastAsia="zh-CN"/>
        </w:rPr>
        <w:t>6.2.3.2</w:t>
      </w:r>
      <w:r w:rsidRPr="009C5807">
        <w:rPr>
          <w:lang w:val="en-US" w:eastAsia="zh-CN"/>
        </w:rPr>
        <w:tab/>
        <w:t>Requirements</w:t>
      </w:r>
      <w:bookmarkEnd w:id="129"/>
    </w:p>
    <w:p w14:paraId="1F9EDEEE" w14:textId="77777777" w:rsidR="00B4741B" w:rsidRPr="009C5807" w:rsidRDefault="00B4741B" w:rsidP="00B4741B">
      <w:pPr>
        <w:pStyle w:val="Heading5"/>
        <w:rPr>
          <w:lang w:val="en-US" w:eastAsia="zh-CN"/>
        </w:rPr>
      </w:pPr>
      <w:bookmarkStart w:id="130" w:name="_Toc535475924"/>
      <w:bookmarkStart w:id="131" w:name="_Toc5952590"/>
      <w:r w:rsidRPr="009C5807">
        <w:rPr>
          <w:lang w:val="en-US" w:eastAsia="zh-CN"/>
        </w:rPr>
        <w:t>6.2.3.2.1</w:t>
      </w:r>
      <w:r w:rsidRPr="009C5807">
        <w:rPr>
          <w:lang w:val="en-US" w:eastAsia="zh-CN"/>
        </w:rPr>
        <w:tab/>
        <w:t>RRC connection release with redirection to NR</w:t>
      </w:r>
      <w:bookmarkEnd w:id="130"/>
    </w:p>
    <w:p w14:paraId="2CDB1433" w14:textId="77777777" w:rsidR="00B4741B" w:rsidRPr="009C5807" w:rsidRDefault="00B4741B" w:rsidP="00B4741B">
      <w:pPr>
        <w:rPr>
          <w:lang w:eastAsia="ko-KR"/>
        </w:rPr>
      </w:pPr>
      <w:r w:rsidRPr="009C5807">
        <w:rPr>
          <w:lang w:eastAsia="ko-KR"/>
        </w:rPr>
        <w:t>The UE shall be capable of performing the RRC connection release with redirection to the target NR cell within T</w:t>
      </w:r>
      <w:r w:rsidRPr="009C5807">
        <w:rPr>
          <w:vertAlign w:val="subscript"/>
          <w:lang w:eastAsia="ko-KR"/>
        </w:rPr>
        <w:t>connection_release_redirect_NR</w:t>
      </w:r>
      <w:r w:rsidRPr="009C5807">
        <w:rPr>
          <w:lang w:eastAsia="ko-KR"/>
        </w:rPr>
        <w:t>.</w:t>
      </w:r>
    </w:p>
    <w:p w14:paraId="6BA2A3CB" w14:textId="77777777" w:rsidR="00B4741B" w:rsidRPr="009C5807" w:rsidRDefault="00B4741B" w:rsidP="00B4741B">
      <w:pPr>
        <w:rPr>
          <w:lang w:eastAsia="ko-KR"/>
        </w:rPr>
      </w:pPr>
      <w:r w:rsidRPr="009C5807">
        <w:rPr>
          <w:rFonts w:cs="v4.2.0"/>
          <w:lang w:eastAsia="ko-KR"/>
        </w:rPr>
        <w:t>The time delay (</w:t>
      </w:r>
      <w:r w:rsidRPr="009C5807">
        <w:rPr>
          <w:lang w:eastAsia="ko-KR"/>
        </w:rPr>
        <w:t>T</w:t>
      </w:r>
      <w:r w:rsidRPr="009C5807">
        <w:rPr>
          <w:vertAlign w:val="subscript"/>
          <w:lang w:eastAsia="ko-KR"/>
        </w:rPr>
        <w:t>connection_release_redirect_NR</w:t>
      </w:r>
      <w:r w:rsidRPr="009C5807">
        <w:rPr>
          <w:rFonts w:cs="v4.2.0"/>
          <w:lang w:eastAsia="ko-KR"/>
        </w:rPr>
        <w:t xml:space="preserve">) </w:t>
      </w:r>
      <w:r w:rsidRPr="009C5807">
        <w:rPr>
          <w:lang w:eastAsia="ko-KR"/>
        </w:rPr>
        <w:t>is the time between the end of the last slot containing the RRC command, “</w:t>
      </w:r>
      <w:r w:rsidRPr="009C5807">
        <w:rPr>
          <w:i/>
          <w:lang w:eastAsia="ko-KR"/>
        </w:rPr>
        <w:t>RRCRelease</w:t>
      </w:r>
      <w:r w:rsidRPr="009C5807">
        <w:rPr>
          <w:lang w:eastAsia="ko-KR"/>
        </w:rPr>
        <w:t xml:space="preserve">” (TS 38.331 [2]) on the NR PDSCH and the time the UE starts to send random access to the target NR cell. </w:t>
      </w:r>
      <w:r w:rsidRPr="009C5807">
        <w:rPr>
          <w:rFonts w:cs="v4.2.0"/>
          <w:lang w:eastAsia="ko-KR"/>
        </w:rPr>
        <w:t>The time delay (</w:t>
      </w:r>
      <w:r w:rsidRPr="009C5807">
        <w:rPr>
          <w:lang w:eastAsia="ko-KR"/>
        </w:rPr>
        <w:t>T</w:t>
      </w:r>
      <w:r w:rsidRPr="009C5807">
        <w:rPr>
          <w:vertAlign w:val="subscript"/>
          <w:lang w:eastAsia="ko-KR"/>
        </w:rPr>
        <w:t>connection_release_redirect_NR</w:t>
      </w:r>
      <w:r w:rsidRPr="009C5807">
        <w:rPr>
          <w:rFonts w:cs="v4.2.0"/>
          <w:lang w:eastAsia="ko-KR"/>
        </w:rPr>
        <w:t xml:space="preserve">) </w:t>
      </w:r>
      <w:r w:rsidRPr="009C5807">
        <w:rPr>
          <w:lang w:eastAsia="ko-KR"/>
        </w:rPr>
        <w:t>shall be less than:</w:t>
      </w:r>
    </w:p>
    <w:p w14:paraId="59729696" w14:textId="77777777" w:rsidR="00B4741B" w:rsidRPr="009C5807" w:rsidRDefault="00B4741B" w:rsidP="00B4741B">
      <w:pPr>
        <w:pStyle w:val="EQ"/>
        <w:rPr>
          <w:rFonts w:cs="v4.2.0"/>
          <w:vertAlign w:val="subscript"/>
        </w:rPr>
      </w:pPr>
      <w:r w:rsidRPr="009C5807">
        <w:tab/>
        <w:t>T</w:t>
      </w:r>
      <w:r w:rsidRPr="009C5807">
        <w:rPr>
          <w:vertAlign w:val="subscript"/>
        </w:rPr>
        <w:t>connection_release_redirect_NR</w:t>
      </w:r>
      <w:r w:rsidRPr="009C5807">
        <w:t xml:space="preserve"> = T</w:t>
      </w:r>
      <w:r w:rsidRPr="009C5807">
        <w:rPr>
          <w:vertAlign w:val="subscript"/>
        </w:rPr>
        <w:t xml:space="preserve">RRC_procedure_delay </w:t>
      </w:r>
      <w:r w:rsidRPr="009C5807">
        <w:t xml:space="preserve">+ </w:t>
      </w:r>
      <w:r w:rsidRPr="009C5807">
        <w:rPr>
          <w:rFonts w:cs="v4.2.0"/>
        </w:rPr>
        <w:t>T</w:t>
      </w:r>
      <w:r w:rsidRPr="009C5807">
        <w:rPr>
          <w:rFonts w:cs="v4.2.0"/>
          <w:vertAlign w:val="subscript"/>
        </w:rPr>
        <w:t xml:space="preserve">identify-NR </w:t>
      </w:r>
      <w:r w:rsidRPr="009C5807">
        <w:rPr>
          <w:rFonts w:cs="v4.2.0"/>
        </w:rPr>
        <w:t>+ T</w:t>
      </w:r>
      <w:r w:rsidRPr="009C5807">
        <w:rPr>
          <w:rFonts w:cs="v4.2.0"/>
          <w:vertAlign w:val="subscript"/>
        </w:rPr>
        <w:t xml:space="preserve">SI-NR </w:t>
      </w:r>
      <w:r w:rsidRPr="009C5807">
        <w:rPr>
          <w:rFonts w:cs="v4.2.0"/>
        </w:rPr>
        <w:t>+ T</w:t>
      </w:r>
      <w:r w:rsidRPr="009C5807">
        <w:rPr>
          <w:rFonts w:cs="v4.2.0"/>
          <w:vertAlign w:val="subscript"/>
        </w:rPr>
        <w:t>RACH</w:t>
      </w:r>
    </w:p>
    <w:p w14:paraId="1C07CB71" w14:textId="77777777" w:rsidR="00B4741B" w:rsidRPr="009C5807" w:rsidRDefault="00B4741B" w:rsidP="00B4741B">
      <w:pPr>
        <w:rPr>
          <w:lang w:eastAsia="ko-KR"/>
        </w:rPr>
      </w:pPr>
      <w:r w:rsidRPr="009C5807">
        <w:rPr>
          <w:lang w:eastAsia="ko-KR"/>
        </w:rPr>
        <w:t>The target NR cell shall be considered detetable when for each relevant SSB, the side conditions should be met that,</w:t>
      </w:r>
    </w:p>
    <w:p w14:paraId="72146472" w14:textId="3799AECF" w:rsidR="00B4741B" w:rsidRPr="009C5807" w:rsidRDefault="001741D7" w:rsidP="001741D7">
      <w:pPr>
        <w:pStyle w:val="B10"/>
        <w:rPr>
          <w:lang w:eastAsia="ko-KR"/>
        </w:rPr>
      </w:pPr>
      <w:r>
        <w:rPr>
          <w:rFonts w:eastAsiaTheme="minorEastAsia"/>
          <w:lang w:eastAsia="zh-CN"/>
        </w:rPr>
        <w:t>-</w:t>
      </w:r>
      <w:r>
        <w:rPr>
          <w:rFonts w:eastAsiaTheme="minorEastAsia"/>
          <w:lang w:eastAsia="zh-CN"/>
        </w:rPr>
        <w:tab/>
      </w:r>
      <w:r w:rsidR="00B4741B" w:rsidRPr="009C5807">
        <w:rPr>
          <w:rFonts w:eastAsiaTheme="minorEastAsia" w:hint="eastAsia"/>
          <w:lang w:eastAsia="zh-CN"/>
        </w:rPr>
        <w:t xml:space="preserve">the conditions of </w:t>
      </w:r>
      <w:r w:rsidR="00B4741B" w:rsidRPr="009C5807">
        <w:rPr>
          <w:lang w:eastAsia="ko-KR"/>
        </w:rPr>
        <w:t xml:space="preserve">SSB_RP and SSB </w:t>
      </w:r>
      <w:r w:rsidR="00B4741B" w:rsidRPr="009C5807">
        <w:rPr>
          <w:lang w:val="en-US"/>
        </w:rPr>
        <w:t>Ês/Iot</w:t>
      </w:r>
      <w:r w:rsidR="00B4741B" w:rsidRPr="009C5807">
        <w:rPr>
          <w:lang w:eastAsia="ko-KR"/>
        </w:rPr>
        <w:t xml:space="preserve"> according to Annex B.2.5 for a corresponding NR Band</w:t>
      </w:r>
      <w:r w:rsidR="00B4741B" w:rsidRPr="009C5807">
        <w:rPr>
          <w:rFonts w:eastAsiaTheme="minorEastAsia" w:hint="eastAsia"/>
          <w:lang w:eastAsia="zh-CN"/>
        </w:rPr>
        <w:t xml:space="preserve"> are fulfilled</w:t>
      </w:r>
      <w:r w:rsidR="00B4741B" w:rsidRPr="009C5807">
        <w:rPr>
          <w:lang w:eastAsia="ko-KR"/>
        </w:rPr>
        <w:t>.</w:t>
      </w:r>
      <w:r w:rsidR="00B4741B" w:rsidRPr="009C5807" w:rsidDel="002216F6">
        <w:rPr>
          <w:lang w:eastAsia="ko-KR"/>
        </w:rPr>
        <w:t xml:space="preserve"> </w:t>
      </w:r>
    </w:p>
    <w:p w14:paraId="135E64AD" w14:textId="77777777" w:rsidR="00B4741B" w:rsidRPr="009C5807" w:rsidRDefault="00B4741B" w:rsidP="00B4741B">
      <w:pPr>
        <w:rPr>
          <w:lang w:eastAsia="ko-KR"/>
        </w:rPr>
      </w:pPr>
      <w:r w:rsidRPr="009C5807">
        <w:rPr>
          <w:lang w:eastAsia="ko-KR"/>
        </w:rPr>
        <w:t>T</w:t>
      </w:r>
      <w:r w:rsidRPr="009C5807">
        <w:rPr>
          <w:vertAlign w:val="subscript"/>
          <w:lang w:eastAsia="ko-KR"/>
        </w:rPr>
        <w:t>RRC_procedure_delay</w:t>
      </w:r>
      <w:r w:rsidRPr="009C5807">
        <w:rPr>
          <w:lang w:eastAsia="ko-KR"/>
        </w:rPr>
        <w:t>: It is the RRC procedure delay for processing the received message “</w:t>
      </w:r>
      <w:r w:rsidRPr="009C5807">
        <w:rPr>
          <w:i/>
          <w:lang w:eastAsia="ko-KR"/>
        </w:rPr>
        <w:t>RRCRelease</w:t>
      </w:r>
      <w:r w:rsidRPr="009C5807">
        <w:rPr>
          <w:lang w:eastAsia="ko-KR"/>
        </w:rPr>
        <w:t>” as defined in clause 6.2.2 of TS 38.331 [2].</w:t>
      </w:r>
    </w:p>
    <w:p w14:paraId="571BEF64" w14:textId="1936DDBE" w:rsidR="00F104FA" w:rsidRPr="009C5807" w:rsidRDefault="00F104FA" w:rsidP="00F104FA">
      <w:pPr>
        <w:rPr>
          <w:lang w:eastAsia="ko-KR"/>
        </w:rPr>
      </w:pPr>
      <w:bookmarkStart w:id="132" w:name="_Hlk514061496"/>
      <w:r w:rsidRPr="009C5807">
        <w:rPr>
          <w:lang w:eastAsia="ko-KR"/>
        </w:rPr>
        <w:t>T</w:t>
      </w:r>
      <w:r w:rsidRPr="009C5807">
        <w:rPr>
          <w:vertAlign w:val="subscript"/>
          <w:lang w:eastAsia="ko-KR"/>
        </w:rPr>
        <w:t>identify-NR</w:t>
      </w:r>
      <w:r w:rsidRPr="009C5807">
        <w:rPr>
          <w:lang w:eastAsia="ko-KR"/>
        </w:rPr>
        <w:t xml:space="preserve">: It is the time to identify the target NR cell and depends on the FR of the target NR cell. It is defined in </w:t>
      </w:r>
      <w:r w:rsidRPr="009C5807">
        <w:rPr>
          <w:rFonts w:hint="eastAsia"/>
          <w:lang w:eastAsia="zh-CN"/>
        </w:rPr>
        <w:t>T</w:t>
      </w:r>
      <w:r w:rsidRPr="009C5807">
        <w:rPr>
          <w:lang w:eastAsia="ko-KR"/>
        </w:rPr>
        <w:t>able 6.2.3.2.1-1. Note that T</w:t>
      </w:r>
      <w:r w:rsidRPr="009C5807">
        <w:rPr>
          <w:vertAlign w:val="subscript"/>
          <w:lang w:eastAsia="ko-KR"/>
        </w:rPr>
        <w:t>identify-NR</w:t>
      </w:r>
      <w:r w:rsidRPr="009C5807">
        <w:rPr>
          <w:lang w:eastAsia="ko-KR"/>
        </w:rPr>
        <w:t xml:space="preserve"> = T</w:t>
      </w:r>
      <w:r w:rsidRPr="009C5807">
        <w:rPr>
          <w:vertAlign w:val="subscript"/>
          <w:lang w:eastAsia="ko-KR"/>
        </w:rPr>
        <w:t>PSS/SSS-sync</w:t>
      </w:r>
      <w:r w:rsidRPr="009C5807">
        <w:rPr>
          <w:lang w:eastAsia="ko-KR"/>
        </w:rPr>
        <w:t xml:space="preserve"> + T</w:t>
      </w:r>
      <w:r w:rsidRPr="009C5807">
        <w:rPr>
          <w:vertAlign w:val="subscript"/>
          <w:lang w:eastAsia="ko-KR"/>
        </w:rPr>
        <w:t>meas</w:t>
      </w:r>
      <w:r w:rsidRPr="009C5807">
        <w:rPr>
          <w:lang w:eastAsia="ko-KR"/>
        </w:rPr>
        <w:t>, in which T</w:t>
      </w:r>
      <w:r w:rsidRPr="009C5807">
        <w:rPr>
          <w:vertAlign w:val="subscript"/>
          <w:lang w:eastAsia="ko-KR"/>
        </w:rPr>
        <w:t>PSS/SSS-sync</w:t>
      </w:r>
      <w:r w:rsidRPr="009C5807">
        <w:rPr>
          <w:lang w:eastAsia="ko-KR"/>
        </w:rPr>
        <w:t xml:space="preserve"> is the cell search time and T</w:t>
      </w:r>
      <w:r w:rsidRPr="009C5807">
        <w:rPr>
          <w:vertAlign w:val="subscript"/>
          <w:lang w:eastAsia="ko-KR"/>
        </w:rPr>
        <w:t>meas</w:t>
      </w:r>
      <w:r w:rsidRPr="009C5807">
        <w:rPr>
          <w:lang w:eastAsia="ko-KR"/>
        </w:rPr>
        <w:t xml:space="preserve"> is the measurement time due to cell selection criteria evaluation.</w:t>
      </w:r>
    </w:p>
    <w:p w14:paraId="2C367DFE" w14:textId="68E5878E" w:rsidR="00F104FA" w:rsidRPr="009C5807" w:rsidRDefault="00F104FA" w:rsidP="00F104FA">
      <w:pPr>
        <w:rPr>
          <w:rFonts w:eastAsia="Malgun Gothic"/>
          <w:lang w:eastAsia="ko-KR"/>
        </w:rPr>
      </w:pPr>
      <w:r w:rsidRPr="009C5807">
        <w:rPr>
          <w:lang w:eastAsia="ko-KR"/>
        </w:rPr>
        <w:t>T</w:t>
      </w:r>
      <w:r w:rsidRPr="009C5807">
        <w:rPr>
          <w:vertAlign w:val="subscript"/>
          <w:lang w:eastAsia="ko-KR"/>
        </w:rPr>
        <w:t>SI-NR</w:t>
      </w:r>
      <w:r w:rsidRPr="009C5807">
        <w:rPr>
          <w:lang w:eastAsia="ko-KR"/>
        </w:rPr>
        <w:t>: It is the time required for acquiring all the relevant system information of the target NR cell. This time depends upon whether the UE is provided with the relevant system information of the target NR cell or not by the old NR cell before the RRC connection is released. T</w:t>
      </w:r>
      <w:r w:rsidRPr="009C5807">
        <w:rPr>
          <w:vertAlign w:val="subscript"/>
          <w:lang w:eastAsia="ko-KR"/>
        </w:rPr>
        <w:t>RACH</w:t>
      </w:r>
      <w:r w:rsidRPr="009C5807">
        <w:rPr>
          <w:rFonts w:hint="eastAsia"/>
          <w:vertAlign w:val="subscript"/>
          <w:lang w:eastAsia="zh-CN"/>
        </w:rPr>
        <w:t>:</w:t>
      </w:r>
      <w:r w:rsidRPr="009C5807">
        <w:rPr>
          <w:vertAlign w:val="subscript"/>
          <w:lang w:eastAsia="zh-CN"/>
        </w:rPr>
        <w:t xml:space="preserve"> </w:t>
      </w:r>
      <w:r w:rsidRPr="009C5807">
        <w:rPr>
          <w:lang w:eastAsia="ko-KR"/>
        </w:rPr>
        <w:t>It is the delay uncertainty in acquiring the first available PRACH occasion in the target NR cell. T</w:t>
      </w:r>
      <w:r w:rsidRPr="009C5807">
        <w:rPr>
          <w:vertAlign w:val="subscript"/>
          <w:lang w:eastAsia="ko-KR"/>
        </w:rPr>
        <w:t>RACH</w:t>
      </w:r>
      <w:r w:rsidRPr="009C5807">
        <w:rPr>
          <w:lang w:eastAsia="ko-KR"/>
        </w:rPr>
        <w:t xml:space="preserve"> can be up to the summation of SSB to PRACH occasion association period and 10 ms. SSB to PRACH occasion associated period is defined in the table 8.1-1 of TS 38.213 [3].</w:t>
      </w:r>
    </w:p>
    <w:p w14:paraId="0D7BE48B" w14:textId="0DB02523" w:rsidR="00B4741B" w:rsidRPr="009C5807" w:rsidRDefault="00B4741B" w:rsidP="00B4741B">
      <w:r w:rsidRPr="009C5807">
        <w:rPr>
          <w:rFonts w:cs="v4.2.0"/>
          <w:lang w:eastAsia="ko-KR"/>
        </w:rPr>
        <w:t>T</w:t>
      </w:r>
      <w:r w:rsidRPr="009C5807">
        <w:rPr>
          <w:rFonts w:cs="v4.2.0"/>
          <w:vertAlign w:val="subscript"/>
          <w:lang w:eastAsia="ko-KR"/>
        </w:rPr>
        <w:t>rs</w:t>
      </w:r>
      <w:r w:rsidRPr="009C5807">
        <w:rPr>
          <w:rFonts w:cs="v4.2.0"/>
          <w:lang w:eastAsia="ko-KR"/>
        </w:rPr>
        <w:t xml:space="preserve"> is the SMTC periodicity of the target NR cell if the UE has been provided with an SMTC configuration for the target cell in the redirection command, otherwise </w:t>
      </w:r>
      <w:r w:rsidRPr="009C5807">
        <w:t>T</w:t>
      </w:r>
      <w:r w:rsidRPr="009C5807">
        <w:rPr>
          <w:vertAlign w:val="subscript"/>
        </w:rPr>
        <w:t>rs</w:t>
      </w:r>
      <w:r w:rsidRPr="009C5807">
        <w:t xml:space="preserve"> is the SMTC periodicity configured in the </w:t>
      </w:r>
      <w:r w:rsidRPr="009C5807">
        <w:rPr>
          <w:i/>
        </w:rPr>
        <w:t>measObjectNR</w:t>
      </w:r>
      <w:r w:rsidRPr="009C5807">
        <w:t xml:space="preserve"> having the same SSB frequency and subcarrier spacing configured for the RRC connection release with redirection. </w:t>
      </w:r>
      <w:r w:rsidR="00DD3F22" w:rsidRPr="006C4DD4">
        <w:t xml:space="preserve">If </w:t>
      </w:r>
      <w:r w:rsidR="00DD3F22">
        <w:t>the</w:t>
      </w:r>
      <w:r w:rsidR="00DD3F22" w:rsidRPr="006C4DD4">
        <w:t xml:space="preserve"> measObjectNRs</w:t>
      </w:r>
      <w:r w:rsidR="00DD3F22">
        <w:t xml:space="preserve"> </w:t>
      </w:r>
      <w:r w:rsidR="00DD3F22" w:rsidRPr="00B910B8">
        <w:t>having the same SSB frequency and subcarrier spacing</w:t>
      </w:r>
      <w:r w:rsidR="00DD3F22" w:rsidRPr="006C4DD4">
        <w:t xml:space="preserve"> configured by MN and SN have different SMTC, T</w:t>
      </w:r>
      <w:r w:rsidR="00DD3F22" w:rsidRPr="00301B77">
        <w:rPr>
          <w:vertAlign w:val="subscript"/>
        </w:rPr>
        <w:t>rs</w:t>
      </w:r>
      <w:r w:rsidR="00DD3F22" w:rsidRPr="006C4DD4">
        <w:t xml:space="preserve"> is the periodicity of one of the SMTC which is up to UE implementation</w:t>
      </w:r>
      <w:r w:rsidR="00DD3F22">
        <w:t xml:space="preserve">. </w:t>
      </w:r>
      <w:r w:rsidRPr="009C5807">
        <w:t>If the UE is not provided with SMTC configuration or measurement object for the frequency which is also configured for the RRC connection release with redirection then:</w:t>
      </w:r>
    </w:p>
    <w:p w14:paraId="64FB5BD2" w14:textId="6B889A31" w:rsidR="00B4741B" w:rsidRPr="009C5807" w:rsidRDefault="001741D7" w:rsidP="001741D7">
      <w:pPr>
        <w:pStyle w:val="B10"/>
        <w:rPr>
          <w:lang w:eastAsia="ko-KR"/>
        </w:rPr>
      </w:pPr>
      <w:r>
        <w:t>-</w:t>
      </w:r>
      <w:r>
        <w:tab/>
      </w:r>
      <w:r w:rsidR="00B4741B" w:rsidRPr="009C5807">
        <w:t xml:space="preserve">the requirement in this </w:t>
      </w:r>
      <w:r w:rsidR="0059755E" w:rsidRPr="009C5807">
        <w:t>clause</w:t>
      </w:r>
      <w:r w:rsidR="00B4741B" w:rsidRPr="009C5807">
        <w:t xml:space="preserve"> is applied with T</w:t>
      </w:r>
      <w:r w:rsidR="00B4741B" w:rsidRPr="009C5807">
        <w:rPr>
          <w:vertAlign w:val="subscript"/>
        </w:rPr>
        <w:t>rs</w:t>
      </w:r>
      <w:r w:rsidR="00B4741B" w:rsidRPr="009C5807">
        <w:t xml:space="preserve"> = 20 ms </w:t>
      </w:r>
      <w:r w:rsidR="00B4741B" w:rsidRPr="009C5807">
        <w:rPr>
          <w:rFonts w:hint="eastAsia"/>
          <w:lang w:eastAsia="zh-CN"/>
        </w:rPr>
        <w:t>if</w:t>
      </w:r>
      <w:r w:rsidR="00B4741B" w:rsidRPr="009C5807">
        <w:t xml:space="preserve"> the SSB transmission periodicity is not larger than 20 ms</w:t>
      </w:r>
      <w:r w:rsidR="00B4741B" w:rsidRPr="009C5807">
        <w:rPr>
          <w:rFonts w:hint="eastAsia"/>
          <w:lang w:eastAsia="zh-CN"/>
        </w:rPr>
        <w:t>;</w:t>
      </w:r>
      <w:r w:rsidR="00B4741B" w:rsidRPr="009C5807">
        <w:t xml:space="preserve"> </w:t>
      </w:r>
      <w:r w:rsidR="00B4741B" w:rsidRPr="009C5807">
        <w:rPr>
          <w:rFonts w:hint="eastAsia"/>
          <w:lang w:eastAsia="zh-CN"/>
        </w:rPr>
        <w:t>otherwise,</w:t>
      </w:r>
    </w:p>
    <w:p w14:paraId="19FE7164" w14:textId="21D0586E" w:rsidR="00B4741B" w:rsidRPr="009C5807" w:rsidRDefault="001741D7" w:rsidP="001741D7">
      <w:pPr>
        <w:pStyle w:val="B10"/>
        <w:rPr>
          <w:lang w:eastAsia="ko-KR"/>
        </w:rPr>
      </w:pPr>
      <w:r>
        <w:t>-</w:t>
      </w:r>
      <w:r>
        <w:tab/>
      </w:r>
      <w:r w:rsidR="00B4741B" w:rsidRPr="009C5807">
        <w:t>there is no requirement if the SSB transmission periodicity is larger than 20ms</w:t>
      </w:r>
      <w:r w:rsidR="00B4741B" w:rsidRPr="009C5807">
        <w:rPr>
          <w:rFonts w:cs="v4.2.0"/>
          <w:lang w:eastAsia="ko-KR"/>
        </w:rPr>
        <w:t xml:space="preserve">. </w:t>
      </w:r>
    </w:p>
    <w:bookmarkEnd w:id="131"/>
    <w:bookmarkEnd w:id="132"/>
    <w:p w14:paraId="570C43D1" w14:textId="77777777" w:rsidR="000433CC" w:rsidRPr="009C5807" w:rsidRDefault="000433CC" w:rsidP="000433CC">
      <w:pPr>
        <w:pStyle w:val="TH"/>
        <w:jc w:val="left"/>
      </w:pPr>
      <w:r w:rsidRPr="009C5807">
        <w:t>Table 6.2.3.2.1-1: Time to identify target NR cell for RRC connection release with redirection to NR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0"/>
        <w:gridCol w:w="5528"/>
      </w:tblGrid>
      <w:tr w:rsidR="000433CC" w:rsidRPr="009C5807" w14:paraId="1A1EBD09" w14:textId="77777777" w:rsidTr="00625412">
        <w:trPr>
          <w:jc w:val="center"/>
        </w:trPr>
        <w:tc>
          <w:tcPr>
            <w:tcW w:w="3670" w:type="dxa"/>
            <w:tcBorders>
              <w:top w:val="single" w:sz="4" w:space="0" w:color="auto"/>
              <w:left w:val="single" w:sz="4" w:space="0" w:color="auto"/>
              <w:bottom w:val="single" w:sz="4" w:space="0" w:color="auto"/>
              <w:right w:val="single" w:sz="4" w:space="0" w:color="auto"/>
            </w:tcBorders>
            <w:hideMark/>
          </w:tcPr>
          <w:p w14:paraId="0C928970" w14:textId="77777777" w:rsidR="000433CC" w:rsidRPr="009C5807" w:rsidRDefault="000433CC" w:rsidP="00625412">
            <w:pPr>
              <w:pStyle w:val="TAH"/>
              <w:rPr>
                <w:lang w:eastAsia="ko-KR"/>
              </w:rPr>
            </w:pPr>
            <w:r w:rsidRPr="009C5807">
              <w:rPr>
                <w:lang w:eastAsia="ko-KR"/>
              </w:rPr>
              <w:t>FR of target NR cell</w:t>
            </w:r>
          </w:p>
        </w:tc>
        <w:tc>
          <w:tcPr>
            <w:tcW w:w="5528" w:type="dxa"/>
            <w:tcBorders>
              <w:top w:val="single" w:sz="4" w:space="0" w:color="auto"/>
              <w:left w:val="single" w:sz="4" w:space="0" w:color="auto"/>
              <w:bottom w:val="single" w:sz="4" w:space="0" w:color="auto"/>
              <w:right w:val="single" w:sz="4" w:space="0" w:color="auto"/>
            </w:tcBorders>
            <w:hideMark/>
          </w:tcPr>
          <w:p w14:paraId="6CAF3F5D" w14:textId="77777777" w:rsidR="000433CC" w:rsidRPr="009C5807" w:rsidRDefault="000433CC" w:rsidP="00625412">
            <w:pPr>
              <w:pStyle w:val="TAH"/>
              <w:rPr>
                <w:lang w:eastAsia="ko-KR"/>
              </w:rPr>
            </w:pPr>
            <w:r w:rsidRPr="009C5807">
              <w:rPr>
                <w:lang w:eastAsia="ko-KR"/>
              </w:rPr>
              <w:t>T</w:t>
            </w:r>
            <w:r w:rsidRPr="009C5807">
              <w:rPr>
                <w:vertAlign w:val="subscript"/>
                <w:lang w:eastAsia="ko-KR"/>
              </w:rPr>
              <w:t>identify-NR</w:t>
            </w:r>
          </w:p>
        </w:tc>
      </w:tr>
      <w:tr w:rsidR="000433CC" w:rsidRPr="009C5807" w14:paraId="46590AEA" w14:textId="77777777" w:rsidTr="00625412">
        <w:trPr>
          <w:jc w:val="center"/>
        </w:trPr>
        <w:tc>
          <w:tcPr>
            <w:tcW w:w="3670" w:type="dxa"/>
            <w:tcBorders>
              <w:top w:val="single" w:sz="4" w:space="0" w:color="auto"/>
              <w:left w:val="single" w:sz="4" w:space="0" w:color="auto"/>
              <w:bottom w:val="single" w:sz="4" w:space="0" w:color="auto"/>
              <w:right w:val="single" w:sz="4" w:space="0" w:color="auto"/>
            </w:tcBorders>
            <w:hideMark/>
          </w:tcPr>
          <w:p w14:paraId="2846CBA0" w14:textId="77777777" w:rsidR="000433CC" w:rsidRPr="009C5807" w:rsidRDefault="000433CC" w:rsidP="00625412">
            <w:pPr>
              <w:pStyle w:val="TAL"/>
              <w:rPr>
                <w:lang w:eastAsia="ko-KR"/>
              </w:rPr>
            </w:pPr>
            <w:r w:rsidRPr="009C5807">
              <w:rPr>
                <w:lang w:eastAsia="ko-KR"/>
              </w:rPr>
              <w:t>FR1</w:t>
            </w:r>
          </w:p>
        </w:tc>
        <w:tc>
          <w:tcPr>
            <w:tcW w:w="5528" w:type="dxa"/>
            <w:tcBorders>
              <w:top w:val="single" w:sz="4" w:space="0" w:color="auto"/>
              <w:left w:val="single" w:sz="4" w:space="0" w:color="auto"/>
              <w:bottom w:val="single" w:sz="4" w:space="0" w:color="auto"/>
              <w:right w:val="single" w:sz="4" w:space="0" w:color="auto"/>
            </w:tcBorders>
            <w:hideMark/>
          </w:tcPr>
          <w:p w14:paraId="3EFE8C4C" w14:textId="77777777" w:rsidR="000433CC" w:rsidRPr="009C5807" w:rsidRDefault="000433CC" w:rsidP="00625412">
            <w:pPr>
              <w:pStyle w:val="TAC"/>
            </w:pPr>
            <w:r w:rsidRPr="009C5807">
              <w:t>MAX (680 ms, 11 x T</w:t>
            </w:r>
            <w:r w:rsidRPr="009C5807">
              <w:rPr>
                <w:vertAlign w:val="subscript"/>
              </w:rPr>
              <w:t>rs</w:t>
            </w:r>
            <w:r w:rsidRPr="009C5807">
              <w:t>)</w:t>
            </w:r>
          </w:p>
        </w:tc>
      </w:tr>
      <w:tr w:rsidR="000433CC" w:rsidRPr="009C5807" w14:paraId="2FC0CB83" w14:textId="77777777" w:rsidTr="00625412">
        <w:trPr>
          <w:jc w:val="center"/>
        </w:trPr>
        <w:tc>
          <w:tcPr>
            <w:tcW w:w="3670" w:type="dxa"/>
            <w:tcBorders>
              <w:top w:val="single" w:sz="4" w:space="0" w:color="auto"/>
              <w:left w:val="single" w:sz="4" w:space="0" w:color="auto"/>
              <w:bottom w:val="single" w:sz="4" w:space="0" w:color="auto"/>
              <w:right w:val="single" w:sz="4" w:space="0" w:color="auto"/>
            </w:tcBorders>
            <w:hideMark/>
          </w:tcPr>
          <w:p w14:paraId="61047B89" w14:textId="77777777" w:rsidR="000433CC" w:rsidRPr="009C5807" w:rsidRDefault="000433CC" w:rsidP="00625412">
            <w:pPr>
              <w:pStyle w:val="TAL"/>
              <w:rPr>
                <w:lang w:eastAsia="ko-KR"/>
              </w:rPr>
            </w:pPr>
            <w:r w:rsidRPr="009C5807">
              <w:rPr>
                <w:lang w:eastAsia="ko-KR"/>
              </w:rPr>
              <w:t>FR2</w:t>
            </w:r>
            <w:r>
              <w:rPr>
                <w:lang w:eastAsia="ko-KR"/>
              </w:rPr>
              <w:t>-1</w:t>
            </w:r>
          </w:p>
        </w:tc>
        <w:tc>
          <w:tcPr>
            <w:tcW w:w="5528" w:type="dxa"/>
            <w:tcBorders>
              <w:top w:val="single" w:sz="4" w:space="0" w:color="auto"/>
              <w:left w:val="single" w:sz="4" w:space="0" w:color="auto"/>
              <w:bottom w:val="single" w:sz="4" w:space="0" w:color="auto"/>
              <w:right w:val="single" w:sz="4" w:space="0" w:color="auto"/>
            </w:tcBorders>
            <w:hideMark/>
          </w:tcPr>
          <w:p w14:paraId="04043062" w14:textId="77777777" w:rsidR="000433CC" w:rsidRPr="009C5807" w:rsidRDefault="000433CC" w:rsidP="00625412">
            <w:pPr>
              <w:pStyle w:val="TAC"/>
              <w:rPr>
                <w:lang w:eastAsia="ko-KR"/>
              </w:rPr>
            </w:pPr>
            <w:r w:rsidRPr="009C5807">
              <w:rPr>
                <w:lang w:eastAsia="ko-KR"/>
              </w:rPr>
              <w:t>MAX (880 ms, 8x11 x T</w:t>
            </w:r>
            <w:r w:rsidRPr="009C5807">
              <w:rPr>
                <w:vertAlign w:val="subscript"/>
                <w:lang w:eastAsia="ko-KR"/>
              </w:rPr>
              <w:t>rs</w:t>
            </w:r>
            <w:r w:rsidRPr="009C5807">
              <w:rPr>
                <w:lang w:eastAsia="ko-KR"/>
              </w:rPr>
              <w:t>)</w:t>
            </w:r>
          </w:p>
        </w:tc>
      </w:tr>
      <w:tr w:rsidR="000433CC" w:rsidRPr="009C5807" w14:paraId="06395684" w14:textId="77777777" w:rsidTr="00625412">
        <w:trPr>
          <w:jc w:val="center"/>
        </w:trPr>
        <w:tc>
          <w:tcPr>
            <w:tcW w:w="3670" w:type="dxa"/>
            <w:tcBorders>
              <w:top w:val="single" w:sz="4" w:space="0" w:color="auto"/>
              <w:left w:val="single" w:sz="4" w:space="0" w:color="auto"/>
              <w:bottom w:val="single" w:sz="4" w:space="0" w:color="auto"/>
              <w:right w:val="single" w:sz="4" w:space="0" w:color="auto"/>
            </w:tcBorders>
          </w:tcPr>
          <w:p w14:paraId="124C2501" w14:textId="77777777" w:rsidR="000433CC" w:rsidRPr="009C5807" w:rsidRDefault="000433CC" w:rsidP="00625412">
            <w:pPr>
              <w:pStyle w:val="TAL"/>
              <w:rPr>
                <w:lang w:eastAsia="ko-KR"/>
              </w:rPr>
            </w:pPr>
            <w:r>
              <w:rPr>
                <w:lang w:eastAsia="ko-KR"/>
              </w:rPr>
              <w:t>FR2-2</w:t>
            </w:r>
          </w:p>
        </w:tc>
        <w:tc>
          <w:tcPr>
            <w:tcW w:w="5528" w:type="dxa"/>
            <w:tcBorders>
              <w:top w:val="single" w:sz="4" w:space="0" w:color="auto"/>
              <w:left w:val="single" w:sz="4" w:space="0" w:color="auto"/>
              <w:bottom w:val="single" w:sz="4" w:space="0" w:color="auto"/>
              <w:right w:val="single" w:sz="4" w:space="0" w:color="auto"/>
            </w:tcBorders>
          </w:tcPr>
          <w:p w14:paraId="0E3444A0" w14:textId="77777777" w:rsidR="000433CC" w:rsidRPr="009C5807" w:rsidRDefault="000433CC" w:rsidP="00625412">
            <w:pPr>
              <w:pStyle w:val="TAC"/>
              <w:rPr>
                <w:lang w:eastAsia="ko-KR"/>
              </w:rPr>
            </w:pPr>
            <w:r w:rsidRPr="009C5807">
              <w:rPr>
                <w:lang w:eastAsia="ko-KR"/>
              </w:rPr>
              <w:t xml:space="preserve">MAX (880 ms, </w:t>
            </w:r>
            <w:r>
              <w:rPr>
                <w:lang w:eastAsia="ko-KR"/>
              </w:rPr>
              <w:t>12</w:t>
            </w:r>
            <w:r w:rsidRPr="009C5807">
              <w:rPr>
                <w:lang w:eastAsia="ko-KR"/>
              </w:rPr>
              <w:t>x11 x T</w:t>
            </w:r>
            <w:r w:rsidRPr="009C5807">
              <w:rPr>
                <w:vertAlign w:val="subscript"/>
                <w:lang w:eastAsia="ko-KR"/>
              </w:rPr>
              <w:t>rs</w:t>
            </w:r>
            <w:r w:rsidRPr="009C5807">
              <w:rPr>
                <w:lang w:eastAsia="ko-KR"/>
              </w:rPr>
              <w:t>)</w:t>
            </w:r>
          </w:p>
        </w:tc>
      </w:tr>
      <w:tr w:rsidR="000433CC" w:rsidRPr="009C5807" w14:paraId="2921A8F9" w14:textId="77777777" w:rsidTr="00625412">
        <w:trPr>
          <w:jc w:val="center"/>
        </w:trPr>
        <w:tc>
          <w:tcPr>
            <w:tcW w:w="9198" w:type="dxa"/>
            <w:gridSpan w:val="2"/>
            <w:tcBorders>
              <w:top w:val="single" w:sz="4" w:space="0" w:color="auto"/>
              <w:left w:val="single" w:sz="4" w:space="0" w:color="auto"/>
              <w:bottom w:val="single" w:sz="4" w:space="0" w:color="auto"/>
              <w:right w:val="single" w:sz="4" w:space="0" w:color="auto"/>
            </w:tcBorders>
          </w:tcPr>
          <w:p w14:paraId="60B8B5C1" w14:textId="77777777" w:rsidR="000433CC" w:rsidRPr="009C5807" w:rsidRDefault="000433CC" w:rsidP="00625412">
            <w:pPr>
              <w:pStyle w:val="TAN"/>
              <w:rPr>
                <w:szCs w:val="18"/>
                <w:lang w:eastAsia="ko-KR"/>
              </w:rPr>
            </w:pPr>
            <w:r w:rsidRPr="009C5807">
              <w:t>Note:</w:t>
            </w:r>
            <w:r w:rsidRPr="009C5807">
              <w:rPr>
                <w:lang w:val="en-US" w:eastAsia="zh-CN"/>
              </w:rPr>
              <w:tab/>
            </w:r>
            <w:r w:rsidRPr="009C5807">
              <w:t xml:space="preserve">If the UE has been provided with higher layer signaling of </w:t>
            </w:r>
            <w:r w:rsidRPr="009C5807">
              <w:rPr>
                <w:i/>
              </w:rPr>
              <w:t>smtc2</w:t>
            </w:r>
            <w:r w:rsidRPr="009C5807">
              <w:rPr>
                <w:b/>
              </w:rPr>
              <w:t xml:space="preserve"> </w:t>
            </w:r>
            <w:r w:rsidRPr="009C5807">
              <w:t xml:space="preserve">specified in TS 38.331 [2] prior to the redirection command, </w:t>
            </w:r>
            <w:r w:rsidRPr="009C5807">
              <w:rPr>
                <w:sz w:val="20"/>
              </w:rPr>
              <w:t>T</w:t>
            </w:r>
            <w:r w:rsidRPr="009C5807">
              <w:rPr>
                <w:sz w:val="20"/>
                <w:vertAlign w:val="subscript"/>
              </w:rPr>
              <w:t>rs</w:t>
            </w:r>
            <w:r w:rsidRPr="009C5807">
              <w:t xml:space="preserve"> follows </w:t>
            </w:r>
            <w:r w:rsidRPr="009C5807">
              <w:rPr>
                <w:i/>
              </w:rPr>
              <w:t>smtc1</w:t>
            </w:r>
            <w:r w:rsidRPr="009C5807">
              <w:t xml:space="preserve"> or </w:t>
            </w:r>
            <w:r w:rsidRPr="009C5807">
              <w:rPr>
                <w:i/>
              </w:rPr>
              <w:t>smtc2</w:t>
            </w:r>
            <w:r w:rsidRPr="009C5807">
              <w:t xml:space="preserve"> according to the physical cell ID of the target cell.</w:t>
            </w:r>
          </w:p>
        </w:tc>
      </w:tr>
    </w:tbl>
    <w:p w14:paraId="0B5C159A" w14:textId="77777777" w:rsidR="000433CC" w:rsidRPr="004F60C5" w:rsidRDefault="000433CC" w:rsidP="000433CC">
      <w:pPr>
        <w:rPr>
          <w:lang w:eastAsia="zh-CN"/>
        </w:rPr>
      </w:pPr>
    </w:p>
    <w:p w14:paraId="12801E7B" w14:textId="0827CB6A" w:rsidR="00B4741B" w:rsidRPr="009C5807" w:rsidRDefault="00B4741B" w:rsidP="00B4741B">
      <w:pPr>
        <w:pStyle w:val="Heading5"/>
        <w:rPr>
          <w:lang w:val="en-US" w:eastAsia="zh-CN"/>
        </w:rPr>
      </w:pPr>
      <w:r w:rsidRPr="009C5807">
        <w:rPr>
          <w:lang w:val="en-US" w:eastAsia="zh-CN"/>
        </w:rPr>
        <w:t>6.2.3.2.2</w:t>
      </w:r>
      <w:r w:rsidRPr="009C5807">
        <w:rPr>
          <w:lang w:val="en-US" w:eastAsia="zh-CN"/>
        </w:rPr>
        <w:tab/>
        <w:t>RRC connection release with redirection to E-UTRAN</w:t>
      </w:r>
    </w:p>
    <w:p w14:paraId="581E1712" w14:textId="77777777" w:rsidR="00B4741B" w:rsidRPr="009C5807" w:rsidRDefault="00B4741B" w:rsidP="00B4741B">
      <w:pPr>
        <w:rPr>
          <w:lang w:eastAsia="ko-KR"/>
        </w:rPr>
      </w:pPr>
      <w:r w:rsidRPr="009C5807">
        <w:rPr>
          <w:lang w:eastAsia="ko-KR"/>
        </w:rPr>
        <w:t>The UE shall be capable of performing the RRC connection release with redirection to the target E-UTRAN cell within T</w:t>
      </w:r>
      <w:r w:rsidRPr="009C5807">
        <w:rPr>
          <w:vertAlign w:val="subscript"/>
          <w:lang w:eastAsia="ko-KR"/>
        </w:rPr>
        <w:t>connection_release_redirect_E-UTRA</w:t>
      </w:r>
      <w:r w:rsidRPr="009C5807">
        <w:rPr>
          <w:lang w:eastAsia="ko-KR"/>
        </w:rPr>
        <w:t>.</w:t>
      </w:r>
    </w:p>
    <w:p w14:paraId="1567E4D5" w14:textId="77777777" w:rsidR="00B4741B" w:rsidRPr="009C5807" w:rsidRDefault="00B4741B" w:rsidP="00B4741B">
      <w:pPr>
        <w:rPr>
          <w:lang w:eastAsia="ko-KR"/>
        </w:rPr>
      </w:pPr>
      <w:r w:rsidRPr="009C5807">
        <w:rPr>
          <w:rFonts w:cs="v4.2.0"/>
          <w:lang w:eastAsia="ko-KR"/>
        </w:rPr>
        <w:t>The time delay (</w:t>
      </w:r>
      <w:r w:rsidRPr="009C5807">
        <w:rPr>
          <w:lang w:eastAsia="ko-KR"/>
        </w:rPr>
        <w:t>T</w:t>
      </w:r>
      <w:r w:rsidRPr="009C5807">
        <w:rPr>
          <w:vertAlign w:val="subscript"/>
          <w:lang w:eastAsia="ko-KR"/>
        </w:rPr>
        <w:t>connection_release_redirect_E-UTRA</w:t>
      </w:r>
      <w:r w:rsidRPr="009C5807">
        <w:rPr>
          <w:rFonts w:cs="v4.2.0"/>
          <w:lang w:eastAsia="ko-KR"/>
        </w:rPr>
        <w:t xml:space="preserve">) </w:t>
      </w:r>
      <w:r w:rsidRPr="009C5807">
        <w:rPr>
          <w:lang w:eastAsia="ko-KR"/>
        </w:rPr>
        <w:t>is the time between the end of the last slot containing the RRC command, “</w:t>
      </w:r>
      <w:r w:rsidRPr="009C5807">
        <w:rPr>
          <w:i/>
          <w:lang w:eastAsia="ko-KR"/>
        </w:rPr>
        <w:t>RRCRelease</w:t>
      </w:r>
      <w:r w:rsidRPr="009C5807">
        <w:rPr>
          <w:lang w:eastAsia="ko-KR"/>
        </w:rPr>
        <w:t xml:space="preserve">” (TS 38.331 [2]) on the PDSCH and the time the UE starts to send random access to the target E-UTRA cell. </w:t>
      </w:r>
      <w:r w:rsidRPr="009C5807">
        <w:rPr>
          <w:rFonts w:cs="v4.2.0"/>
          <w:lang w:eastAsia="ko-KR"/>
        </w:rPr>
        <w:t>The time delay (</w:t>
      </w:r>
      <w:r w:rsidRPr="009C5807">
        <w:rPr>
          <w:lang w:eastAsia="ko-KR"/>
        </w:rPr>
        <w:t>T</w:t>
      </w:r>
      <w:r w:rsidRPr="009C5807">
        <w:rPr>
          <w:vertAlign w:val="subscript"/>
          <w:lang w:eastAsia="ko-KR"/>
        </w:rPr>
        <w:t>connection_release_redirect_E-UTRA</w:t>
      </w:r>
      <w:r w:rsidRPr="009C5807">
        <w:rPr>
          <w:rFonts w:cs="v4.2.0"/>
          <w:lang w:eastAsia="ko-KR"/>
        </w:rPr>
        <w:t xml:space="preserve">) </w:t>
      </w:r>
      <w:r w:rsidRPr="009C5807">
        <w:rPr>
          <w:lang w:eastAsia="ko-KR"/>
        </w:rPr>
        <w:t>shall be less than:</w:t>
      </w:r>
    </w:p>
    <w:p w14:paraId="4DC28A4F" w14:textId="77777777" w:rsidR="00B4741B" w:rsidRPr="009C5807" w:rsidRDefault="00B4741B" w:rsidP="00B4741B">
      <w:pPr>
        <w:pStyle w:val="EQ"/>
        <w:rPr>
          <w:rFonts w:cs="v4.2.0"/>
          <w:vertAlign w:val="subscript"/>
        </w:rPr>
      </w:pPr>
      <w:r w:rsidRPr="009C5807">
        <w:tab/>
        <w:t>T</w:t>
      </w:r>
      <w:r w:rsidRPr="009C5807">
        <w:rPr>
          <w:vertAlign w:val="subscript"/>
        </w:rPr>
        <w:t>connection_release_redirect_E-UTRA</w:t>
      </w:r>
      <w:r w:rsidRPr="009C5807">
        <w:t xml:space="preserve"> = T</w:t>
      </w:r>
      <w:r w:rsidRPr="009C5807">
        <w:rPr>
          <w:vertAlign w:val="subscript"/>
        </w:rPr>
        <w:t xml:space="preserve">RRC_procedure_delay </w:t>
      </w:r>
      <w:r w:rsidRPr="009C5807">
        <w:t xml:space="preserve">+ </w:t>
      </w:r>
      <w:r w:rsidRPr="009C5807">
        <w:rPr>
          <w:rFonts w:cs="v4.2.0"/>
        </w:rPr>
        <w:t>T</w:t>
      </w:r>
      <w:r w:rsidRPr="009C5807">
        <w:rPr>
          <w:rFonts w:cs="v4.2.0"/>
          <w:vertAlign w:val="subscript"/>
        </w:rPr>
        <w:t xml:space="preserve">identify-E-UTRA </w:t>
      </w:r>
      <w:r w:rsidRPr="009C5807">
        <w:rPr>
          <w:rFonts w:cs="v4.2.0"/>
        </w:rPr>
        <w:t>+ T</w:t>
      </w:r>
      <w:r w:rsidRPr="009C5807">
        <w:rPr>
          <w:rFonts w:cs="v4.2.0"/>
          <w:vertAlign w:val="subscript"/>
        </w:rPr>
        <w:t xml:space="preserve">SI-E-UTRA </w:t>
      </w:r>
      <w:r w:rsidRPr="009C5807">
        <w:rPr>
          <w:rFonts w:cs="v4.2.0"/>
        </w:rPr>
        <w:t>+ T</w:t>
      </w:r>
      <w:r w:rsidRPr="009C5807">
        <w:rPr>
          <w:rFonts w:cs="v4.2.0"/>
          <w:vertAlign w:val="subscript"/>
        </w:rPr>
        <w:t>RACH</w:t>
      </w:r>
    </w:p>
    <w:p w14:paraId="3B40C4C1" w14:textId="77777777" w:rsidR="00B4741B" w:rsidRPr="009C5807" w:rsidRDefault="00B4741B" w:rsidP="00B4741B">
      <w:pPr>
        <w:jc w:val="both"/>
        <w:rPr>
          <w:rFonts w:cs="v4.2.0"/>
        </w:rPr>
      </w:pPr>
      <w:r w:rsidRPr="009C5807">
        <w:rPr>
          <w:lang w:eastAsia="ko-KR"/>
        </w:rPr>
        <w:t>The target E-UTRA FDD or TDD cell shall be considered detectable</w:t>
      </w:r>
      <w:r w:rsidRPr="009C5807">
        <w:rPr>
          <w:rFonts w:cs="v4.2.0"/>
          <w:lang w:eastAsia="ko-KR"/>
        </w:rPr>
        <w:t xml:space="preserve"> </w:t>
      </w:r>
      <w:r w:rsidRPr="009C5807">
        <w:rPr>
          <w:rFonts w:cs="v4.2.0"/>
        </w:rPr>
        <w:t>provided the following conditions are fulfilled:</w:t>
      </w:r>
    </w:p>
    <w:p w14:paraId="3EC8E19A" w14:textId="77777777" w:rsidR="00B4741B" w:rsidRPr="009C5807" w:rsidRDefault="00B4741B" w:rsidP="00B4741B">
      <w:pPr>
        <w:pStyle w:val="B10"/>
      </w:pPr>
      <w:r w:rsidRPr="009C5807">
        <w:t>-</w:t>
      </w:r>
      <w:r w:rsidRPr="009C5807">
        <w:tab/>
        <w:t>the same conditions as for inter-frequency RSRP measurements specified in annex B.1.2 of TS 36.133 [15] are fulfilled for a corresponding Band, and</w:t>
      </w:r>
    </w:p>
    <w:p w14:paraId="3B83A158" w14:textId="6AE119DF" w:rsidR="00B4741B" w:rsidRPr="009C5807" w:rsidRDefault="00B4741B" w:rsidP="00B4741B">
      <w:pPr>
        <w:pStyle w:val="B10"/>
        <w:rPr>
          <w:lang w:eastAsia="zh-CN"/>
        </w:rPr>
      </w:pPr>
      <w:r w:rsidRPr="009C5807">
        <w:t>-</w:t>
      </w:r>
      <w:r w:rsidRPr="009C5807">
        <w:tab/>
        <w:t>the same conditions as for inter-frequency RSRQ measurements specified in annex B.1.2 of TS 36.133 [15] are fulfilled for a corresponding Band</w:t>
      </w:r>
      <w:r w:rsidRPr="009C5807">
        <w:rPr>
          <w:rFonts w:hint="eastAsia"/>
          <w:lang w:eastAsia="zh-CN"/>
        </w:rPr>
        <w:t>, and</w:t>
      </w:r>
    </w:p>
    <w:p w14:paraId="43D182FD" w14:textId="77777777" w:rsidR="00B4741B" w:rsidRPr="009C5807" w:rsidRDefault="00B4741B" w:rsidP="00B4741B">
      <w:pPr>
        <w:pStyle w:val="B10"/>
      </w:pPr>
      <w:r w:rsidRPr="009C5807">
        <w:t>-</w:t>
      </w:r>
      <w:r w:rsidRPr="009C5807">
        <w:tab/>
        <w:t>SCH conditions specified in annex B.1.2 of TS 36.133 [15] are fulfilled for a corresponding Band.</w:t>
      </w:r>
    </w:p>
    <w:p w14:paraId="579AEB77" w14:textId="77777777" w:rsidR="00B4741B" w:rsidRPr="009C5807" w:rsidRDefault="00B4741B" w:rsidP="00B4741B">
      <w:pPr>
        <w:rPr>
          <w:lang w:eastAsia="ko-KR"/>
        </w:rPr>
      </w:pPr>
      <w:r w:rsidRPr="009C5807">
        <w:rPr>
          <w:lang w:eastAsia="ko-KR"/>
        </w:rPr>
        <w:t>T</w:t>
      </w:r>
      <w:r w:rsidRPr="009C5807">
        <w:rPr>
          <w:vertAlign w:val="subscript"/>
          <w:lang w:eastAsia="ko-KR"/>
        </w:rPr>
        <w:t>RRC_procedure_delay</w:t>
      </w:r>
      <w:r w:rsidRPr="009C5807">
        <w:rPr>
          <w:lang w:eastAsia="ko-KR"/>
        </w:rPr>
        <w:t>: It is the RRC procedure delay for processing the received message “</w:t>
      </w:r>
      <w:r w:rsidRPr="009C5807">
        <w:rPr>
          <w:i/>
          <w:lang w:eastAsia="ko-KR"/>
        </w:rPr>
        <w:t>RRCRelease</w:t>
      </w:r>
      <w:r w:rsidRPr="009C5807">
        <w:rPr>
          <w:lang w:eastAsia="ko-KR"/>
        </w:rPr>
        <w:t>” as defined in clause 6.2.2 of TS 38.331 [2].</w:t>
      </w:r>
    </w:p>
    <w:p w14:paraId="6D481FFA" w14:textId="77777777" w:rsidR="00B4741B" w:rsidRPr="009C5807" w:rsidRDefault="00B4741B" w:rsidP="00B4741B">
      <w:pPr>
        <w:rPr>
          <w:lang w:eastAsia="ko-KR"/>
        </w:rPr>
      </w:pPr>
      <w:r w:rsidRPr="009C5807">
        <w:rPr>
          <w:lang w:eastAsia="ko-KR"/>
        </w:rPr>
        <w:t>T</w:t>
      </w:r>
      <w:r w:rsidRPr="009C5807">
        <w:rPr>
          <w:vertAlign w:val="subscript"/>
          <w:lang w:eastAsia="ko-KR"/>
        </w:rPr>
        <w:t>identify-E-UTRA</w:t>
      </w:r>
      <w:r w:rsidRPr="009C5807">
        <w:rPr>
          <w:lang w:eastAsia="ko-KR"/>
        </w:rPr>
        <w:t>: It is the time to identify the target E-UTRA cell. It shall be less than 320 ms.</w:t>
      </w:r>
    </w:p>
    <w:p w14:paraId="02FF9B4E" w14:textId="77777777" w:rsidR="00B4741B" w:rsidRPr="009C5807" w:rsidRDefault="00B4741B" w:rsidP="00B4741B">
      <w:pPr>
        <w:rPr>
          <w:lang w:eastAsia="ko-KR"/>
        </w:rPr>
      </w:pPr>
      <w:r w:rsidRPr="009C5807">
        <w:rPr>
          <w:lang w:eastAsia="ko-KR"/>
        </w:rPr>
        <w:t>T</w:t>
      </w:r>
      <w:r w:rsidRPr="009C5807">
        <w:rPr>
          <w:vertAlign w:val="subscript"/>
          <w:lang w:eastAsia="ko-KR"/>
        </w:rPr>
        <w:t>SI-E-UTRA</w:t>
      </w:r>
      <w:r w:rsidRPr="009C5807">
        <w:rPr>
          <w:lang w:eastAsia="ko-KR"/>
        </w:rPr>
        <w:t xml:space="preserve">: It is the time required for acquiring all the relevant system information of the target E-UTRA cell. This time depends upon whether the UE is provided with the relevant system information (SI) of the target E-UTRA cell or not by the old NR cell before the RRC connection is released. </w:t>
      </w:r>
    </w:p>
    <w:p w14:paraId="3F5EBC7F" w14:textId="2E2AF3D5" w:rsidR="0057627A" w:rsidRDefault="0057627A" w:rsidP="0057627A">
      <w:pPr>
        <w:rPr>
          <w:lang w:eastAsia="ko-KR"/>
        </w:rPr>
      </w:pPr>
      <w:r w:rsidRPr="009C5807">
        <w:rPr>
          <w:rFonts w:cs="v4.2.0"/>
          <w:lang w:eastAsia="ko-KR"/>
        </w:rPr>
        <w:t>T</w:t>
      </w:r>
      <w:r w:rsidRPr="009C5807">
        <w:rPr>
          <w:rFonts w:cs="v4.2.0"/>
          <w:vertAlign w:val="subscript"/>
          <w:lang w:eastAsia="ko-KR"/>
        </w:rPr>
        <w:t>RACH</w:t>
      </w:r>
      <w:r w:rsidRPr="009C5807">
        <w:rPr>
          <w:rFonts w:cs="v4.2.0"/>
          <w:lang w:eastAsia="ko-KR"/>
        </w:rPr>
        <w:t xml:space="preserve">: It </w:t>
      </w:r>
      <w:r w:rsidRPr="009C5807">
        <w:rPr>
          <w:lang w:eastAsia="ko-KR"/>
        </w:rPr>
        <w:t>is the delay caused due to the random access procedure when sending random access to the target E-UTRA cell.</w:t>
      </w:r>
    </w:p>
    <w:p w14:paraId="10265517" w14:textId="77777777" w:rsidR="000C77DD" w:rsidRPr="008C128E" w:rsidRDefault="000C77DD" w:rsidP="000C77DD">
      <w:pPr>
        <w:pStyle w:val="Heading5"/>
        <w:rPr>
          <w:lang w:val="en-US" w:eastAsia="zh-CN"/>
        </w:rPr>
      </w:pPr>
      <w:r w:rsidRPr="008C128E">
        <w:rPr>
          <w:lang w:val="en-US" w:eastAsia="zh-CN"/>
        </w:rPr>
        <w:t>6.2.3.2.3</w:t>
      </w:r>
      <w:r w:rsidRPr="008C128E">
        <w:rPr>
          <w:lang w:val="en-US" w:eastAsia="zh-CN"/>
        </w:rPr>
        <w:tab/>
        <w:t>RRC connection release with redirection to NR carrier subject to CCA</w:t>
      </w:r>
    </w:p>
    <w:p w14:paraId="299B13A5" w14:textId="77777777" w:rsidR="000C77DD" w:rsidRPr="008C128E" w:rsidRDefault="000C77DD" w:rsidP="000C77DD">
      <w:pPr>
        <w:rPr>
          <w:lang w:eastAsia="ko-KR"/>
        </w:rPr>
      </w:pPr>
      <w:r w:rsidRPr="008C128E">
        <w:rPr>
          <w:lang w:eastAsia="ko-KR"/>
        </w:rPr>
        <w:t>The UE shall be capable of performing the RRC connection release with redirection to the target NR cell subject to CCA within T</w:t>
      </w:r>
      <w:r w:rsidRPr="008C128E">
        <w:rPr>
          <w:vertAlign w:val="subscript"/>
          <w:lang w:eastAsia="ko-KR"/>
        </w:rPr>
        <w:t>connection_release_redirect_NR_CCA</w:t>
      </w:r>
      <w:r w:rsidRPr="008C128E">
        <w:rPr>
          <w:lang w:eastAsia="ko-KR"/>
        </w:rPr>
        <w:t>.</w:t>
      </w:r>
    </w:p>
    <w:p w14:paraId="3D4D74F0" w14:textId="77777777" w:rsidR="000C77DD" w:rsidRPr="008C128E" w:rsidRDefault="000C77DD" w:rsidP="000C77DD">
      <w:pPr>
        <w:rPr>
          <w:lang w:eastAsia="ko-KR"/>
        </w:rPr>
      </w:pPr>
      <w:r w:rsidRPr="008C128E">
        <w:rPr>
          <w:rFonts w:cs="v4.2.0"/>
          <w:lang w:eastAsia="ko-KR"/>
        </w:rPr>
        <w:t>The time delay (</w:t>
      </w:r>
      <w:r w:rsidRPr="008C128E">
        <w:rPr>
          <w:lang w:eastAsia="ko-KR"/>
        </w:rPr>
        <w:t>T</w:t>
      </w:r>
      <w:r w:rsidRPr="008C128E">
        <w:rPr>
          <w:vertAlign w:val="subscript"/>
          <w:lang w:eastAsia="ko-KR"/>
        </w:rPr>
        <w:t>connection_release_redirect_NR_CCA</w:t>
      </w:r>
      <w:r w:rsidRPr="008C128E">
        <w:rPr>
          <w:rFonts w:cs="v4.2.0"/>
          <w:lang w:eastAsia="ko-KR"/>
        </w:rPr>
        <w:t xml:space="preserve">) </w:t>
      </w:r>
      <w:r w:rsidRPr="008C128E">
        <w:rPr>
          <w:lang w:eastAsia="ko-KR"/>
        </w:rPr>
        <w:t>is the time between the end of the last slot containing the RRC command, “</w:t>
      </w:r>
      <w:r w:rsidRPr="008C128E">
        <w:rPr>
          <w:i/>
          <w:lang w:eastAsia="ko-KR"/>
        </w:rPr>
        <w:t>RRCRelease</w:t>
      </w:r>
      <w:r w:rsidRPr="008C128E">
        <w:rPr>
          <w:lang w:eastAsia="ko-KR"/>
        </w:rPr>
        <w:t xml:space="preserve">” (TS 38.331 [2]) on the NR PDSCH and the time the UE starts to send random access to the target NR cell. </w:t>
      </w:r>
      <w:r w:rsidRPr="008C128E">
        <w:rPr>
          <w:rFonts w:cs="v4.2.0"/>
          <w:lang w:eastAsia="ko-KR"/>
        </w:rPr>
        <w:t>The time delay (</w:t>
      </w:r>
      <w:r w:rsidRPr="008C128E">
        <w:rPr>
          <w:lang w:eastAsia="ko-KR"/>
        </w:rPr>
        <w:t>T</w:t>
      </w:r>
      <w:r w:rsidRPr="008C128E">
        <w:rPr>
          <w:vertAlign w:val="subscript"/>
          <w:lang w:eastAsia="ko-KR"/>
        </w:rPr>
        <w:t>connection_release_redirect_NR_CCA</w:t>
      </w:r>
      <w:r w:rsidRPr="008C128E">
        <w:rPr>
          <w:rFonts w:cs="v4.2.0"/>
          <w:lang w:eastAsia="ko-KR"/>
        </w:rPr>
        <w:t xml:space="preserve">) </w:t>
      </w:r>
      <w:r w:rsidRPr="008C128E">
        <w:rPr>
          <w:lang w:eastAsia="ko-KR"/>
        </w:rPr>
        <w:t>shall be less than:</w:t>
      </w:r>
    </w:p>
    <w:p w14:paraId="5F8BE66A" w14:textId="77777777" w:rsidR="000C77DD" w:rsidRPr="008C128E" w:rsidRDefault="000C77DD" w:rsidP="000C77DD">
      <w:pPr>
        <w:pStyle w:val="EQ"/>
        <w:rPr>
          <w:rFonts w:cs="v4.2.0"/>
          <w:vertAlign w:val="subscript"/>
        </w:rPr>
      </w:pPr>
      <w:r w:rsidRPr="008C128E">
        <w:tab/>
        <w:t>T</w:t>
      </w:r>
      <w:r w:rsidRPr="008C128E">
        <w:rPr>
          <w:vertAlign w:val="subscript"/>
        </w:rPr>
        <w:t>connection_release_redirect_NR_CCA</w:t>
      </w:r>
      <w:r w:rsidRPr="008C128E">
        <w:t xml:space="preserve"> = T</w:t>
      </w:r>
      <w:r w:rsidRPr="008C128E">
        <w:rPr>
          <w:vertAlign w:val="subscript"/>
        </w:rPr>
        <w:t xml:space="preserve">RRC_procedure_delay </w:t>
      </w:r>
      <w:r w:rsidRPr="008C128E">
        <w:t xml:space="preserve">+ </w:t>
      </w:r>
      <w:r w:rsidRPr="008C128E">
        <w:rPr>
          <w:rFonts w:cs="v4.2.0"/>
        </w:rPr>
        <w:t>T</w:t>
      </w:r>
      <w:r w:rsidRPr="008C128E">
        <w:rPr>
          <w:rFonts w:cs="v4.2.0"/>
          <w:vertAlign w:val="subscript"/>
        </w:rPr>
        <w:t xml:space="preserve">identify-NR_CCA </w:t>
      </w:r>
      <w:r w:rsidRPr="008C128E">
        <w:rPr>
          <w:rFonts w:cs="v4.2.0"/>
        </w:rPr>
        <w:t>+ T</w:t>
      </w:r>
      <w:r w:rsidRPr="008C128E">
        <w:rPr>
          <w:rFonts w:cs="v4.2.0"/>
          <w:vertAlign w:val="subscript"/>
        </w:rPr>
        <w:t xml:space="preserve">SI-NR_CCA </w:t>
      </w:r>
      <w:r w:rsidRPr="008C128E">
        <w:rPr>
          <w:rFonts w:cs="v4.2.0"/>
        </w:rPr>
        <w:t>+ T</w:t>
      </w:r>
      <w:r w:rsidRPr="008C128E">
        <w:rPr>
          <w:rFonts w:cs="v4.2.0"/>
          <w:vertAlign w:val="subscript"/>
        </w:rPr>
        <w:t>RACH_CCA</w:t>
      </w:r>
    </w:p>
    <w:p w14:paraId="15135870" w14:textId="77777777" w:rsidR="000C77DD" w:rsidRPr="008C128E" w:rsidRDefault="000C77DD" w:rsidP="000C77DD">
      <w:pPr>
        <w:rPr>
          <w:lang w:eastAsia="ko-KR"/>
        </w:rPr>
      </w:pPr>
      <w:r w:rsidRPr="008C128E">
        <w:rPr>
          <w:lang w:eastAsia="ko-KR"/>
        </w:rPr>
        <w:t>The target NR cell shall be considered detetable when for each relevant SSB, the side conditions should be met that,</w:t>
      </w:r>
    </w:p>
    <w:p w14:paraId="223471B1" w14:textId="1B4DB715" w:rsidR="000C77DD" w:rsidRPr="008C128E" w:rsidRDefault="000C77DD" w:rsidP="000C77DD">
      <w:pPr>
        <w:pStyle w:val="B10"/>
        <w:rPr>
          <w:lang w:eastAsia="ko-KR"/>
        </w:rPr>
      </w:pPr>
      <w:r>
        <w:rPr>
          <w:rFonts w:eastAsiaTheme="minorEastAsia"/>
          <w:lang w:eastAsia="zh-CN"/>
        </w:rPr>
        <w:t>-</w:t>
      </w:r>
      <w:r>
        <w:rPr>
          <w:rFonts w:eastAsiaTheme="minorEastAsia"/>
          <w:lang w:eastAsia="zh-CN"/>
        </w:rPr>
        <w:tab/>
      </w:r>
      <w:r w:rsidRPr="008C128E">
        <w:rPr>
          <w:rFonts w:eastAsiaTheme="minorEastAsia" w:hint="eastAsia"/>
          <w:lang w:eastAsia="zh-CN"/>
        </w:rPr>
        <w:t xml:space="preserve">the conditions of </w:t>
      </w:r>
      <w:r w:rsidRPr="008C128E">
        <w:rPr>
          <w:lang w:eastAsia="ko-KR"/>
        </w:rPr>
        <w:t xml:space="preserve">SSB_RP and SSB </w:t>
      </w:r>
      <w:r w:rsidRPr="008C128E">
        <w:rPr>
          <w:lang w:val="en-US"/>
        </w:rPr>
        <w:t>Ês/Iot</w:t>
      </w:r>
      <w:r w:rsidRPr="008C128E">
        <w:rPr>
          <w:lang w:eastAsia="ko-KR"/>
        </w:rPr>
        <w:t xml:space="preserve"> according to Annex B.2.5 for a corresponding NR Band</w:t>
      </w:r>
      <w:r w:rsidRPr="008C128E">
        <w:rPr>
          <w:rFonts w:eastAsiaTheme="minorEastAsia" w:hint="eastAsia"/>
          <w:lang w:eastAsia="zh-CN"/>
        </w:rPr>
        <w:t xml:space="preserve"> are fulfilled</w:t>
      </w:r>
      <w:r w:rsidRPr="008C128E">
        <w:rPr>
          <w:lang w:eastAsia="ko-KR"/>
        </w:rPr>
        <w:t>.</w:t>
      </w:r>
      <w:r w:rsidRPr="008C128E" w:rsidDel="002216F6">
        <w:rPr>
          <w:lang w:eastAsia="ko-KR"/>
        </w:rPr>
        <w:t xml:space="preserve"> </w:t>
      </w:r>
    </w:p>
    <w:p w14:paraId="50FA6532" w14:textId="1532F496" w:rsidR="000C77DD" w:rsidRPr="008C128E" w:rsidRDefault="008F6229" w:rsidP="008F6229">
      <w:pPr>
        <w:pStyle w:val="B10"/>
        <w:rPr>
          <w:lang w:eastAsia="ko-KR"/>
        </w:rPr>
      </w:pPr>
      <w:r>
        <w:rPr>
          <w:lang w:eastAsia="ko-KR"/>
        </w:rPr>
        <w:t>-</w:t>
      </w:r>
      <w:r>
        <w:rPr>
          <w:lang w:eastAsia="ko-KR"/>
        </w:rPr>
        <w:tab/>
      </w:r>
      <w:r w:rsidR="000C77DD" w:rsidRPr="008C128E">
        <w:rPr>
          <w:lang w:eastAsia="ko-KR"/>
        </w:rPr>
        <w:t>T</w:t>
      </w:r>
      <w:r w:rsidR="000C77DD" w:rsidRPr="008C128E">
        <w:rPr>
          <w:vertAlign w:val="subscript"/>
          <w:lang w:eastAsia="ko-KR"/>
        </w:rPr>
        <w:t>RRC_procedure_delay</w:t>
      </w:r>
      <w:r w:rsidR="000C77DD" w:rsidRPr="008C128E">
        <w:rPr>
          <w:lang w:eastAsia="ko-KR"/>
        </w:rPr>
        <w:t>: It is the RRC procedure delay for processing the received message “</w:t>
      </w:r>
      <w:r w:rsidR="000C77DD" w:rsidRPr="008C128E">
        <w:rPr>
          <w:i/>
          <w:lang w:eastAsia="ko-KR"/>
        </w:rPr>
        <w:t>RRCRelease</w:t>
      </w:r>
      <w:r w:rsidR="000C77DD" w:rsidRPr="008C128E">
        <w:rPr>
          <w:lang w:eastAsia="ko-KR"/>
        </w:rPr>
        <w:t>” as defined in clause 6.2.2 of TS 38.331 [2].</w:t>
      </w:r>
    </w:p>
    <w:p w14:paraId="31091D76" w14:textId="5EDDD6B0" w:rsidR="000C77DD" w:rsidRPr="008C128E" w:rsidRDefault="008F6229" w:rsidP="008F6229">
      <w:pPr>
        <w:pStyle w:val="B10"/>
        <w:rPr>
          <w:lang w:eastAsia="ko-KR"/>
        </w:rPr>
      </w:pPr>
      <w:r>
        <w:rPr>
          <w:lang w:eastAsia="ko-KR"/>
        </w:rPr>
        <w:t>-</w:t>
      </w:r>
      <w:r>
        <w:rPr>
          <w:lang w:eastAsia="ko-KR"/>
        </w:rPr>
        <w:tab/>
      </w:r>
      <w:r w:rsidR="000C77DD" w:rsidRPr="008C128E">
        <w:rPr>
          <w:lang w:eastAsia="ko-KR"/>
        </w:rPr>
        <w:t>T</w:t>
      </w:r>
      <w:r w:rsidR="000C77DD" w:rsidRPr="008C128E">
        <w:rPr>
          <w:vertAlign w:val="subscript"/>
          <w:lang w:eastAsia="ko-KR"/>
        </w:rPr>
        <w:t>identify-NR_CCA</w:t>
      </w:r>
      <w:r w:rsidR="000C77DD" w:rsidRPr="008C128E">
        <w:rPr>
          <w:lang w:eastAsia="ko-KR"/>
        </w:rPr>
        <w:t>: It is the time to identify the target NR cell and is defined as:</w:t>
      </w:r>
    </w:p>
    <w:p w14:paraId="45BBF9BB" w14:textId="23C0BAA1" w:rsidR="000C77DD" w:rsidRPr="008C128E" w:rsidRDefault="000C77DD" w:rsidP="000C77DD">
      <w:pPr>
        <w:pStyle w:val="B10"/>
        <w:rPr>
          <w:lang w:eastAsia="ko-KR"/>
        </w:rPr>
      </w:pPr>
      <w:r>
        <w:rPr>
          <w:lang w:eastAsia="ko-KR"/>
        </w:rPr>
        <w:t>-</w:t>
      </w:r>
      <w:r>
        <w:rPr>
          <w:lang w:eastAsia="ko-KR"/>
        </w:rPr>
        <w:tab/>
      </w:r>
      <w:r w:rsidRPr="008C128E">
        <w:rPr>
          <w:lang w:eastAsia="ko-KR"/>
        </w:rPr>
        <w:t>T</w:t>
      </w:r>
      <w:r w:rsidRPr="008C128E">
        <w:rPr>
          <w:vertAlign w:val="subscript"/>
          <w:lang w:eastAsia="ko-KR"/>
        </w:rPr>
        <w:t>identify-NR_CCA</w:t>
      </w:r>
      <w:r w:rsidRPr="008C128E">
        <w:rPr>
          <w:lang w:eastAsia="ko-KR"/>
        </w:rPr>
        <w:t xml:space="preserve"> = T</w:t>
      </w:r>
      <w:r w:rsidRPr="008C128E">
        <w:rPr>
          <w:vertAlign w:val="subscript"/>
          <w:lang w:eastAsia="ko-KR"/>
        </w:rPr>
        <w:t>PSS/SSS-sync</w:t>
      </w:r>
      <w:r w:rsidRPr="008C128E">
        <w:rPr>
          <w:lang w:eastAsia="ko-KR"/>
        </w:rPr>
        <w:t xml:space="preserve"> + T</w:t>
      </w:r>
      <w:r w:rsidRPr="008C128E">
        <w:rPr>
          <w:vertAlign w:val="subscript"/>
          <w:lang w:eastAsia="ko-KR"/>
        </w:rPr>
        <w:t>meas</w:t>
      </w:r>
      <w:r w:rsidRPr="008C128E">
        <w:rPr>
          <w:lang w:eastAsia="ko-KR"/>
        </w:rPr>
        <w:t>; T</w:t>
      </w:r>
      <w:r w:rsidRPr="008C128E">
        <w:rPr>
          <w:vertAlign w:val="subscript"/>
          <w:lang w:eastAsia="ko-KR"/>
        </w:rPr>
        <w:t>PSS/SSS-sync</w:t>
      </w:r>
      <w:r w:rsidRPr="008C128E">
        <w:rPr>
          <w:lang w:eastAsia="ko-KR"/>
        </w:rPr>
        <w:t xml:space="preserve"> is the cell search time and T</w:t>
      </w:r>
      <w:r w:rsidRPr="008C128E">
        <w:rPr>
          <w:vertAlign w:val="subscript"/>
          <w:lang w:eastAsia="ko-KR"/>
        </w:rPr>
        <w:t>meas</w:t>
      </w:r>
      <w:r w:rsidRPr="008C128E">
        <w:rPr>
          <w:lang w:eastAsia="ko-KR"/>
        </w:rPr>
        <w:t xml:space="preserve"> is the measurement time due to cell selection criteria evaluation.</w:t>
      </w:r>
    </w:p>
    <w:p w14:paraId="6E1E8B98" w14:textId="16A3EEDB" w:rsidR="005B40AA" w:rsidRDefault="00BA6F7B" w:rsidP="005B40AA">
      <w:pPr>
        <w:pStyle w:val="B10"/>
      </w:pPr>
      <w:r>
        <w:rPr>
          <w:lang w:eastAsia="ko-KR"/>
        </w:rPr>
        <w:t>-</w:t>
      </w:r>
      <w:r w:rsidR="005B40AA">
        <w:rPr>
          <w:lang w:eastAsia="ko-KR"/>
        </w:rPr>
        <w:tab/>
        <w:t>For FR1 target NR cell: T</w:t>
      </w:r>
      <w:r w:rsidR="005B40AA">
        <w:rPr>
          <w:vertAlign w:val="subscript"/>
          <w:lang w:eastAsia="ko-KR"/>
        </w:rPr>
        <w:t xml:space="preserve">identify-NR_CCA </w:t>
      </w:r>
      <w:r w:rsidR="005B40AA">
        <w:rPr>
          <w:lang w:eastAsia="ko-KR"/>
        </w:rPr>
        <w:t xml:space="preserve">= </w:t>
      </w:r>
      <w:r w:rsidR="005B40AA">
        <w:t>MAX (680 ms, (L</w:t>
      </w:r>
      <w:r w:rsidR="005B40AA">
        <w:rPr>
          <w:vertAlign w:val="subscript"/>
        </w:rPr>
        <w:t>1</w:t>
      </w:r>
      <w:r w:rsidR="005B40AA">
        <w:t xml:space="preserve">+11) </w:t>
      </w:r>
      <w:bookmarkStart w:id="133" w:name="_Hlk97718618"/>
      <w:r w:rsidR="005B40AA">
        <w:sym w:font="Symbol" w:char="F0B4"/>
      </w:r>
      <w:bookmarkEnd w:id="133"/>
      <w:r w:rsidR="005B40AA">
        <w:t xml:space="preserve"> T</w:t>
      </w:r>
      <w:r w:rsidR="005B40AA">
        <w:rPr>
          <w:vertAlign w:val="subscript"/>
        </w:rPr>
        <w:t>rs</w:t>
      </w:r>
      <w:r w:rsidR="005B40AA">
        <w:t>);</w:t>
      </w:r>
    </w:p>
    <w:p w14:paraId="24DE42D4" w14:textId="2A0F1303" w:rsidR="005B40AA" w:rsidRDefault="00BA6F7B" w:rsidP="005B40AA">
      <w:pPr>
        <w:pStyle w:val="B10"/>
      </w:pPr>
      <w:r>
        <w:rPr>
          <w:lang w:eastAsia="ko-KR"/>
        </w:rPr>
        <w:t>-</w:t>
      </w:r>
      <w:r w:rsidR="005B40AA">
        <w:rPr>
          <w:lang w:eastAsia="ko-KR"/>
        </w:rPr>
        <w:tab/>
        <w:t>For FR2-2 target NR cell: T</w:t>
      </w:r>
      <w:r w:rsidR="005B40AA">
        <w:rPr>
          <w:vertAlign w:val="subscript"/>
          <w:lang w:eastAsia="ko-KR"/>
        </w:rPr>
        <w:t xml:space="preserve">identify-NR_CCA </w:t>
      </w:r>
      <w:r w:rsidR="005B40AA">
        <w:rPr>
          <w:lang w:eastAsia="ko-KR"/>
        </w:rPr>
        <w:t xml:space="preserve">= MAX (880 ms, </w:t>
      </w:r>
      <w:r w:rsidR="005B40AA">
        <w:t>N</w:t>
      </w:r>
      <w:r w:rsidR="005B40AA">
        <w:sym w:font="Symbol" w:char="F0B4"/>
      </w:r>
      <w:r w:rsidR="005B40AA">
        <w:rPr>
          <w:lang w:eastAsia="ko-KR"/>
        </w:rPr>
        <w:t>(</w:t>
      </w:r>
      <w:r w:rsidR="005B40AA">
        <w:t>L</w:t>
      </w:r>
      <w:r w:rsidR="005B40AA">
        <w:rPr>
          <w:vertAlign w:val="subscript"/>
        </w:rPr>
        <w:t>1</w:t>
      </w:r>
      <w:r w:rsidR="005B40AA">
        <w:rPr>
          <w:lang w:val="en-US"/>
        </w:rPr>
        <w:t>´</w:t>
      </w:r>
      <w:r w:rsidR="005B40AA">
        <w:t>+</w:t>
      </w:r>
      <w:r w:rsidR="005B40AA">
        <w:rPr>
          <w:lang w:eastAsia="ko-KR"/>
        </w:rPr>
        <w:t xml:space="preserve">11) </w:t>
      </w:r>
      <w:r w:rsidR="005B40AA">
        <w:sym w:font="Symbol" w:char="F0B4"/>
      </w:r>
      <w:r w:rsidR="005B40AA">
        <w:rPr>
          <w:lang w:val="en-US"/>
        </w:rPr>
        <w:t xml:space="preserve"> </w:t>
      </w:r>
      <w:r w:rsidR="005B40AA">
        <w:rPr>
          <w:lang w:eastAsia="ko-KR"/>
        </w:rPr>
        <w:t>T</w:t>
      </w:r>
      <w:r w:rsidR="005B40AA">
        <w:rPr>
          <w:vertAlign w:val="subscript"/>
          <w:lang w:eastAsia="ko-KR"/>
        </w:rPr>
        <w:t>rs</w:t>
      </w:r>
      <w:r w:rsidR="005B40AA">
        <w:rPr>
          <w:lang w:eastAsia="ko-KR"/>
        </w:rPr>
        <w:t>);</w:t>
      </w:r>
    </w:p>
    <w:p w14:paraId="7DB6752F" w14:textId="7A006B16" w:rsidR="005B40AA" w:rsidRDefault="00BA6F7B" w:rsidP="00BA6F7B">
      <w:pPr>
        <w:pStyle w:val="B20"/>
        <w:rPr>
          <w:lang w:eastAsia="ko-KR"/>
        </w:rPr>
      </w:pPr>
      <w:r>
        <w:t>-</w:t>
      </w:r>
      <w:r>
        <w:tab/>
      </w:r>
      <w:r w:rsidR="005B40AA">
        <w:t>where L</w:t>
      </w:r>
      <w:r w:rsidR="005B40AA">
        <w:rPr>
          <w:vertAlign w:val="subscript"/>
        </w:rPr>
        <w:t>1</w:t>
      </w:r>
      <w:r w:rsidR="005B40AA">
        <w:t xml:space="preserve"> is the number of SMTC occasions not available at the UE due to DL CCA failures </w:t>
      </w:r>
      <w:r w:rsidR="005B40AA">
        <w:rPr>
          <w:rFonts w:cs="v4.2.0"/>
        </w:rPr>
        <w:t xml:space="preserve"> and </w:t>
      </w:r>
      <w:r w:rsidR="005B40AA">
        <w:t>L</w:t>
      </w:r>
      <w:r w:rsidR="005B40AA">
        <w:rPr>
          <w:vertAlign w:val="subscript"/>
        </w:rPr>
        <w:t>1</w:t>
      </w:r>
      <w:r w:rsidR="005B40AA">
        <w:rPr>
          <w:lang w:val="en-US"/>
        </w:rPr>
        <w:t>´</w:t>
      </w:r>
      <w:r w:rsidR="005B40AA">
        <w:rPr>
          <w:rFonts w:cs="v4.2.0"/>
        </w:rPr>
        <w:t xml:space="preserve"> is the number of SMTC occasion groups not available at the UE due </w:t>
      </w:r>
      <w:r w:rsidR="005B40AA">
        <w:t>to DL CCA failures</w:t>
      </w:r>
      <w:r w:rsidR="005B40AA">
        <w:rPr>
          <w:rFonts w:cs="v4.2.0"/>
        </w:rPr>
        <w:t>.</w:t>
      </w:r>
      <w:r w:rsidR="005B40AA">
        <w:t xml:space="preserve"> An SMTC occasion group consists of N consecutive SMTC occasions. An SMTC occasion group is not available, when at least one SMTC occasion in the group is not transmitted by the gNB.</w:t>
      </w:r>
      <w:r w:rsidR="005B40AA">
        <w:rPr>
          <w:rFonts w:cs="v4.2.0"/>
        </w:rPr>
        <w:t xml:space="preserve"> </w:t>
      </w:r>
      <w:r w:rsidR="005B40AA">
        <w:t>N is equal to 12. If L</w:t>
      </w:r>
      <w:r w:rsidR="005B40AA">
        <w:rPr>
          <w:vertAlign w:val="subscript"/>
        </w:rPr>
        <w:t>1</w:t>
      </w:r>
      <w:r w:rsidR="005B40AA">
        <w:t xml:space="preserve"> &gt; L</w:t>
      </w:r>
      <w:r w:rsidR="005B40AA">
        <w:rPr>
          <w:vertAlign w:val="subscript"/>
        </w:rPr>
        <w:t>1,max</w:t>
      </w:r>
      <w:r w:rsidR="005B40AA">
        <w:t xml:space="preserve"> or L</w:t>
      </w:r>
      <w:r w:rsidR="005B40AA">
        <w:rPr>
          <w:vertAlign w:val="subscript"/>
        </w:rPr>
        <w:t>1</w:t>
      </w:r>
      <w:r w:rsidR="005B40AA">
        <w:rPr>
          <w:lang w:val="en-US"/>
        </w:rPr>
        <w:t>´</w:t>
      </w:r>
      <w:r w:rsidR="005B40AA">
        <w:t xml:space="preserve"> &gt; L</w:t>
      </w:r>
      <w:r w:rsidR="005B40AA">
        <w:rPr>
          <w:vertAlign w:val="subscript"/>
        </w:rPr>
        <w:t>1,max</w:t>
      </w:r>
      <w:r w:rsidR="005B40AA">
        <w:t xml:space="preserve"> then the UE shall initiate cell selection procedures for the selected PLMN as defined in TS 38.304 [1]; where L</w:t>
      </w:r>
      <w:r w:rsidR="005B40AA">
        <w:rPr>
          <w:vertAlign w:val="subscript"/>
        </w:rPr>
        <w:t>1,max</w:t>
      </w:r>
      <w:r w:rsidR="005B40AA">
        <w:t xml:space="preserve"> is defined in Table 6.2.3.2.3-1.</w:t>
      </w:r>
    </w:p>
    <w:p w14:paraId="5697B7F9" w14:textId="043D1621" w:rsidR="000C77DD" w:rsidRPr="008C128E" w:rsidRDefault="00BA6F7B" w:rsidP="00BA6F7B">
      <w:pPr>
        <w:pStyle w:val="B10"/>
        <w:rPr>
          <w:lang w:eastAsia="ko-KR"/>
        </w:rPr>
      </w:pPr>
      <w:r>
        <w:rPr>
          <w:lang w:eastAsia="ko-KR"/>
        </w:rPr>
        <w:t>-</w:t>
      </w:r>
      <w:r>
        <w:rPr>
          <w:lang w:eastAsia="ko-KR"/>
        </w:rPr>
        <w:tab/>
      </w:r>
      <w:r w:rsidR="000C77DD" w:rsidRPr="008C128E">
        <w:rPr>
          <w:lang w:eastAsia="ko-KR"/>
        </w:rPr>
        <w:t>T</w:t>
      </w:r>
      <w:r w:rsidR="000C77DD" w:rsidRPr="008C128E">
        <w:rPr>
          <w:vertAlign w:val="subscript"/>
          <w:lang w:eastAsia="ko-KR"/>
        </w:rPr>
        <w:t>SI-NR_CCA</w:t>
      </w:r>
      <w:r w:rsidR="000C77DD" w:rsidRPr="008C128E">
        <w:rPr>
          <w:lang w:eastAsia="ko-KR"/>
        </w:rPr>
        <w:t xml:space="preserve">: It is the time required for acquiring all the relevant system information of the target NR cell. This time depends upon whether the UE is provided with the relevant system information of the target NR cell or not by the old NR cell before the RRC connection is released. </w:t>
      </w:r>
    </w:p>
    <w:p w14:paraId="1579BB41" w14:textId="64DE0D8C" w:rsidR="000C77DD" w:rsidRPr="0014496F" w:rsidRDefault="00BA6F7B" w:rsidP="00BA6F7B">
      <w:pPr>
        <w:pStyle w:val="B10"/>
        <w:rPr>
          <w:lang w:eastAsia="ko-KR"/>
        </w:rPr>
      </w:pPr>
      <w:r>
        <w:rPr>
          <w:lang w:eastAsia="ko-KR"/>
        </w:rPr>
        <w:t>-</w:t>
      </w:r>
      <w:r>
        <w:rPr>
          <w:lang w:eastAsia="ko-KR"/>
        </w:rPr>
        <w:tab/>
      </w:r>
      <w:r w:rsidR="000C77DD" w:rsidRPr="0014496F">
        <w:rPr>
          <w:lang w:eastAsia="ko-KR"/>
        </w:rPr>
        <w:t>T</w:t>
      </w:r>
      <w:r w:rsidR="000C77DD" w:rsidRPr="0014496F">
        <w:rPr>
          <w:vertAlign w:val="subscript"/>
          <w:lang w:eastAsia="ko-KR"/>
        </w:rPr>
        <w:t>RACH_CCA</w:t>
      </w:r>
      <w:r w:rsidR="000C77DD" w:rsidRPr="0014496F">
        <w:rPr>
          <w:rFonts w:hint="eastAsia"/>
          <w:vertAlign w:val="subscript"/>
          <w:lang w:eastAsia="zh-CN"/>
        </w:rPr>
        <w:t>:</w:t>
      </w:r>
      <w:r w:rsidR="000C77DD" w:rsidRPr="0014496F">
        <w:rPr>
          <w:vertAlign w:val="subscript"/>
          <w:lang w:eastAsia="zh-CN"/>
        </w:rPr>
        <w:t xml:space="preserve"> </w:t>
      </w:r>
      <w:r w:rsidR="000C77DD" w:rsidRPr="0014496F">
        <w:rPr>
          <w:lang w:eastAsia="ko-KR"/>
        </w:rPr>
        <w:t>It is the delay uncertainty in acquiring the first available PRACH occasion in the target NR cell:</w:t>
      </w:r>
    </w:p>
    <w:p w14:paraId="6E7B23BA" w14:textId="4F8185F5" w:rsidR="00A750BE" w:rsidRPr="003F5145" w:rsidRDefault="00A750BE" w:rsidP="00A750BE">
      <w:pPr>
        <w:pStyle w:val="B10"/>
      </w:pPr>
      <w:r w:rsidRPr="003F5145">
        <w:rPr>
          <w:lang w:eastAsia="ko-KR"/>
        </w:rPr>
        <w:t>-</w:t>
      </w:r>
      <w:r w:rsidRPr="003F5145">
        <w:rPr>
          <w:lang w:eastAsia="ko-KR"/>
        </w:rPr>
        <w:tab/>
        <w:t>T</w:t>
      </w:r>
      <w:r w:rsidRPr="003F5145">
        <w:rPr>
          <w:vertAlign w:val="subscript"/>
          <w:lang w:eastAsia="ko-KR"/>
        </w:rPr>
        <w:t>RACH_CCA</w:t>
      </w:r>
      <w:r w:rsidRPr="003F5145">
        <w:rPr>
          <w:lang w:eastAsia="ko-KR"/>
        </w:rPr>
        <w:t xml:space="preserve"> = (1+L</w:t>
      </w:r>
      <w:r w:rsidRPr="003F5145">
        <w:rPr>
          <w:vertAlign w:val="subscript"/>
          <w:lang w:eastAsia="ko-KR"/>
        </w:rPr>
        <w:t>2</w:t>
      </w:r>
      <w:r w:rsidRPr="003F5145">
        <w:rPr>
          <w:lang w:eastAsia="ko-KR"/>
        </w:rPr>
        <w:t>)</w:t>
      </w:r>
      <w:r w:rsidRPr="003F5145">
        <w:rPr>
          <w:lang w:eastAsia="ko-KR"/>
        </w:rPr>
        <w:sym w:font="Symbol" w:char="F0B4"/>
      </w:r>
      <w:r w:rsidRPr="00F34BA3">
        <w:t>T</w:t>
      </w:r>
      <w:r w:rsidRPr="00F34BA3">
        <w:rPr>
          <w:vertAlign w:val="subscript"/>
        </w:rPr>
        <w:t>SSB,RO</w:t>
      </w:r>
      <w:r w:rsidRPr="00F34BA3">
        <w:t xml:space="preserve"> </w:t>
      </w:r>
      <w:r>
        <w:t xml:space="preserve">+ 10 ms </w:t>
      </w:r>
      <w:r w:rsidRPr="003F5145">
        <w:rPr>
          <w:lang w:eastAsia="ko-KR"/>
        </w:rPr>
        <w:t>T</w:t>
      </w:r>
      <w:r w:rsidRPr="003F5145">
        <w:rPr>
          <w:vertAlign w:val="subscript"/>
          <w:lang w:eastAsia="ko-KR"/>
        </w:rPr>
        <w:t>PRACH</w:t>
      </w:r>
      <w:r w:rsidRPr="003F5145">
        <w:rPr>
          <w:lang w:eastAsia="ko-KR"/>
        </w:rPr>
        <w:t xml:space="preserve">; </w:t>
      </w:r>
      <w:r w:rsidRPr="003F5145">
        <w:t>where:</w:t>
      </w:r>
    </w:p>
    <w:p w14:paraId="05167B5A" w14:textId="4B2378A4" w:rsidR="00A750BE" w:rsidRPr="003F5145" w:rsidRDefault="00EB38F8" w:rsidP="00A750BE">
      <w:pPr>
        <w:pStyle w:val="B20"/>
      </w:pPr>
      <w:r w:rsidRPr="003F5145">
        <w:t>-</w:t>
      </w:r>
      <w:r w:rsidRPr="003F5145">
        <w:tab/>
        <w:t>L</w:t>
      </w:r>
      <w:r w:rsidRPr="003F5145">
        <w:rPr>
          <w:vertAlign w:val="subscript"/>
        </w:rPr>
        <w:t>2</w:t>
      </w:r>
      <w:r w:rsidRPr="003F5145">
        <w:t xml:space="preserve"> is the </w:t>
      </w:r>
      <w:r w:rsidRPr="0030225C">
        <w:t xml:space="preserve">consecutive </w:t>
      </w:r>
      <w:r>
        <w:t xml:space="preserve">number of </w:t>
      </w:r>
      <w:r w:rsidRPr="0030225C">
        <w:t xml:space="preserve">SSB to PRACH occasion association periods during which no </w:t>
      </w:r>
      <w:r w:rsidRPr="003F5145">
        <w:t>PRACH occasion</w:t>
      </w:r>
      <w:r>
        <w:t xml:space="preserve"> is</w:t>
      </w:r>
      <w:r w:rsidRPr="003F5145">
        <w:t xml:space="preserve"> available for PRACH transmission due to UL CCA failures.</w:t>
      </w:r>
      <w:r w:rsidRPr="000E4DD2">
        <w:t xml:space="preserve"> L</w:t>
      </w:r>
      <w:r w:rsidRPr="00426CF9">
        <w:rPr>
          <w:vertAlign w:val="subscript"/>
        </w:rPr>
        <w:t>2</w:t>
      </w:r>
      <w:r w:rsidRPr="000E4DD2">
        <w:t xml:space="preserve"> = 0 for Type 2C UL channel access procedure as defined in TS 37.213</w:t>
      </w:r>
      <w:r>
        <w:t xml:space="preserve"> [33].</w:t>
      </w:r>
      <w:r w:rsidRPr="00AE1258">
        <w:rPr>
          <w:color w:val="000000" w:themeColor="text1"/>
        </w:rPr>
        <w:t xml:space="preserve"> </w:t>
      </w:r>
      <w:r>
        <w:rPr>
          <w:color w:val="000000" w:themeColor="text1"/>
        </w:rPr>
        <w:t>L</w:t>
      </w:r>
      <w:r>
        <w:rPr>
          <w:color w:val="000000" w:themeColor="text1"/>
          <w:vertAlign w:val="subscript"/>
        </w:rPr>
        <w:t>3</w:t>
      </w:r>
      <w:r>
        <w:rPr>
          <w:color w:val="000000" w:themeColor="text1"/>
        </w:rPr>
        <w:t xml:space="preserve"> = 0 if </w:t>
      </w:r>
      <w:r w:rsidRPr="00C01850">
        <w:rPr>
          <w:i/>
          <w:color w:val="000000" w:themeColor="text1"/>
        </w:rPr>
        <w:t>ra-ChannelAccess-r17</w:t>
      </w:r>
      <w:r>
        <w:rPr>
          <w:color w:val="000000" w:themeColor="text1"/>
        </w:rPr>
        <w:t xml:space="preserve"> is not configured in FR2-2</w:t>
      </w:r>
      <w:r w:rsidRPr="000E4DD2">
        <w:t>.</w:t>
      </w:r>
      <w:r>
        <w:t xml:space="preserve"> </w:t>
      </w:r>
      <w:r w:rsidRPr="003F5145">
        <w:t xml:space="preserve"> </w:t>
      </w:r>
    </w:p>
    <w:p w14:paraId="4A86EB02" w14:textId="32DF0FB8" w:rsidR="00A750BE" w:rsidRPr="003F5145" w:rsidRDefault="00A750BE" w:rsidP="00A750BE">
      <w:pPr>
        <w:pStyle w:val="B20"/>
        <w:rPr>
          <w:lang w:eastAsia="ko-KR"/>
        </w:rPr>
      </w:pPr>
      <w:r w:rsidRPr="003F5145">
        <w:rPr>
          <w:lang w:eastAsia="ko-KR"/>
        </w:rPr>
        <w:t>-</w:t>
      </w:r>
      <w:r w:rsidRPr="003F5145">
        <w:rPr>
          <w:lang w:eastAsia="ko-KR"/>
        </w:rPr>
        <w:tab/>
      </w:r>
      <w:r w:rsidRPr="00F34BA3">
        <w:t>T</w:t>
      </w:r>
      <w:r w:rsidRPr="00F34BA3">
        <w:rPr>
          <w:vertAlign w:val="subscript"/>
        </w:rPr>
        <w:t>SSB,RO</w:t>
      </w:r>
      <w:r w:rsidRPr="00F34BA3">
        <w:t xml:space="preserve"> </w:t>
      </w:r>
      <w:r>
        <w:t xml:space="preserve">is the </w:t>
      </w:r>
      <w:r w:rsidRPr="003F5145">
        <w:rPr>
          <w:lang w:eastAsia="ko-KR"/>
        </w:rPr>
        <w:t>SSB to PRACH occasion association period</w:t>
      </w:r>
      <w:r>
        <w:rPr>
          <w:lang w:eastAsia="ko-KR"/>
        </w:rPr>
        <w:t xml:space="preserve"> as </w:t>
      </w:r>
      <w:r w:rsidRPr="003F5145">
        <w:rPr>
          <w:lang w:eastAsia="ko-KR"/>
        </w:rPr>
        <w:t>defined in the table 8.1-1 of TS 38.213 [3].</w:t>
      </w:r>
    </w:p>
    <w:p w14:paraId="1FC2149B" w14:textId="299398A0" w:rsidR="000C77DD" w:rsidRPr="0014496F" w:rsidRDefault="000C77DD" w:rsidP="000C77DD">
      <w:pPr>
        <w:pStyle w:val="B20"/>
        <w:rPr>
          <w:rFonts w:eastAsia="Malgun Gothic"/>
          <w:lang w:eastAsia="ko-KR"/>
        </w:rPr>
      </w:pPr>
      <w:r>
        <w:t>-</w:t>
      </w:r>
      <w:r>
        <w:tab/>
      </w:r>
      <w:r w:rsidRPr="0014496F">
        <w:t xml:space="preserve">The value of L2 is limited by </w:t>
      </w:r>
      <w:r w:rsidRPr="0014496F">
        <w:rPr>
          <w:i/>
          <w:iCs/>
        </w:rPr>
        <w:t>PREAMBLE_TRANSMISSION_COUNTER</w:t>
      </w:r>
      <w:r w:rsidRPr="0014496F">
        <w:t xml:space="preserve">, which is increased when PRACH occasion is unavailable for PRACH transmission due to UL CCA failure as specified in TS 38.321 [7]. The UE behaviour when </w:t>
      </w:r>
      <w:r w:rsidRPr="0014496F">
        <w:rPr>
          <w:i/>
          <w:iCs/>
        </w:rPr>
        <w:t>PREAMBLE_TRANSMISSION_COUNTER</w:t>
      </w:r>
      <w:r w:rsidRPr="0014496F">
        <w:t xml:space="preserve"> reaches the </w:t>
      </w:r>
      <w:r w:rsidRPr="0014496F">
        <w:rPr>
          <w:i/>
          <w:iCs/>
        </w:rPr>
        <w:t>preambleTransMax</w:t>
      </w:r>
      <w:r w:rsidRPr="0014496F">
        <w:t xml:space="preserve"> is specified in TS 38.321 [7].</w:t>
      </w:r>
    </w:p>
    <w:p w14:paraId="739D33BB" w14:textId="6179B7DB" w:rsidR="000C77DD" w:rsidRPr="008C128E" w:rsidRDefault="00AA4666" w:rsidP="00AA4666">
      <w:pPr>
        <w:pStyle w:val="B10"/>
      </w:pPr>
      <w:r>
        <w:rPr>
          <w:lang w:eastAsia="ko-KR"/>
        </w:rPr>
        <w:t>-</w:t>
      </w:r>
      <w:r>
        <w:rPr>
          <w:lang w:eastAsia="ko-KR"/>
        </w:rPr>
        <w:tab/>
      </w:r>
      <w:r w:rsidR="000C77DD" w:rsidRPr="008C128E">
        <w:rPr>
          <w:lang w:eastAsia="ko-KR"/>
        </w:rPr>
        <w:t>T</w:t>
      </w:r>
      <w:r w:rsidR="000C77DD" w:rsidRPr="008C128E">
        <w:rPr>
          <w:vertAlign w:val="subscript"/>
          <w:lang w:eastAsia="ko-KR"/>
        </w:rPr>
        <w:t>rs</w:t>
      </w:r>
      <w:r w:rsidR="000C77DD" w:rsidRPr="008C128E">
        <w:rPr>
          <w:lang w:eastAsia="ko-KR"/>
        </w:rPr>
        <w:t xml:space="preserve"> is the SMTC periodicity of the target NR cell if the UE has been provided with an SMTC configuration for the target cell in the redirection command, otherwise </w:t>
      </w:r>
      <w:r w:rsidR="000C77DD" w:rsidRPr="008C128E">
        <w:t>T</w:t>
      </w:r>
      <w:r w:rsidR="000C77DD" w:rsidRPr="008C128E">
        <w:rPr>
          <w:vertAlign w:val="subscript"/>
        </w:rPr>
        <w:t>rs</w:t>
      </w:r>
      <w:r w:rsidR="000C77DD" w:rsidRPr="008C128E">
        <w:t xml:space="preserve"> is the SMTC periodicity configured in the </w:t>
      </w:r>
      <w:r w:rsidR="000C77DD" w:rsidRPr="008C128E">
        <w:rPr>
          <w:i/>
        </w:rPr>
        <w:t>measObjectNR</w:t>
      </w:r>
      <w:r w:rsidR="000C77DD" w:rsidRPr="008C128E">
        <w:t xml:space="preserve"> having the same SSB frequency and subcarrier spacing configured for the RRC connection release with redirection. If the UE is not provided with SMTC configuration or measurement object for the frequency which is also configured for the RRC connection release with redirection then:</w:t>
      </w:r>
    </w:p>
    <w:p w14:paraId="4BEA5237" w14:textId="034DADE7" w:rsidR="00402693" w:rsidRPr="008C128E" w:rsidRDefault="00402693" w:rsidP="00402693">
      <w:pPr>
        <w:pStyle w:val="B10"/>
        <w:rPr>
          <w:lang w:eastAsia="ko-KR"/>
        </w:rPr>
      </w:pPr>
      <w:r>
        <w:t>-</w:t>
      </w:r>
      <w:r>
        <w:tab/>
      </w:r>
      <w:r w:rsidRPr="008C128E">
        <w:t>the requirement in this clause is applied with T</w:t>
      </w:r>
      <w:r w:rsidRPr="008C128E">
        <w:rPr>
          <w:vertAlign w:val="subscript"/>
        </w:rPr>
        <w:t>rs</w:t>
      </w:r>
      <w:r w:rsidRPr="008C128E">
        <w:t xml:space="preserve"> = 20 ms </w:t>
      </w:r>
      <w:r w:rsidRPr="008C128E">
        <w:rPr>
          <w:rFonts w:hint="eastAsia"/>
          <w:lang w:eastAsia="zh-CN"/>
        </w:rPr>
        <w:t>if</w:t>
      </w:r>
      <w:r w:rsidRPr="008C128E">
        <w:t xml:space="preserve"> the SSB transmission periodicity is not larger than 20 ms</w:t>
      </w:r>
      <w:r w:rsidRPr="008C128E">
        <w:rPr>
          <w:rFonts w:hint="eastAsia"/>
          <w:lang w:eastAsia="zh-CN"/>
        </w:rPr>
        <w:t>;</w:t>
      </w:r>
      <w:r w:rsidRPr="008C128E">
        <w:t xml:space="preserve"> </w:t>
      </w:r>
    </w:p>
    <w:p w14:paraId="7760E1F7" w14:textId="2F9E6A48" w:rsidR="00402693" w:rsidRDefault="00402693" w:rsidP="00402693">
      <w:pPr>
        <w:pStyle w:val="B10"/>
        <w:rPr>
          <w:rFonts w:cs="v4.2.0"/>
          <w:lang w:eastAsia="ko-KR"/>
        </w:rPr>
      </w:pPr>
      <w:r>
        <w:t>-</w:t>
      </w:r>
      <w:r>
        <w:tab/>
        <w:t xml:space="preserve">otherwise, </w:t>
      </w:r>
      <w:r w:rsidRPr="008C128E">
        <w:t>there is no requirement if the SSB transmission periodicity is larger than 20ms</w:t>
      </w:r>
      <w:r w:rsidRPr="008C128E">
        <w:rPr>
          <w:rFonts w:cs="v4.2.0"/>
          <w:lang w:eastAsia="ko-KR"/>
        </w:rPr>
        <w:t>.</w:t>
      </w:r>
    </w:p>
    <w:p w14:paraId="6B600A45" w14:textId="77777777" w:rsidR="00AA4666" w:rsidRPr="00735CFA" w:rsidRDefault="00AA4666" w:rsidP="00AA4666">
      <w:pPr>
        <w:rPr>
          <w:lang w:eastAsia="ko-KR"/>
        </w:rPr>
      </w:pPr>
    </w:p>
    <w:p w14:paraId="318F61E0" w14:textId="77777777" w:rsidR="000C77DD" w:rsidRPr="008C128E" w:rsidRDefault="000C77DD" w:rsidP="000C77DD">
      <w:pPr>
        <w:pStyle w:val="TH"/>
      </w:pPr>
      <w:r w:rsidRPr="008C128E">
        <w:t>Table 6.2.3.2.3-1: Maximum allowed number of missed SMTC occasions during cell identification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659"/>
      </w:tblGrid>
      <w:tr w:rsidR="000C77DD" w:rsidRPr="008C128E" w14:paraId="29BB72FC" w14:textId="77777777" w:rsidTr="00AE536E">
        <w:trPr>
          <w:jc w:val="center"/>
        </w:trPr>
        <w:tc>
          <w:tcPr>
            <w:tcW w:w="3539" w:type="dxa"/>
            <w:tcBorders>
              <w:top w:val="single" w:sz="4" w:space="0" w:color="auto"/>
              <w:left w:val="single" w:sz="4" w:space="0" w:color="auto"/>
              <w:bottom w:val="single" w:sz="4" w:space="0" w:color="auto"/>
              <w:right w:val="single" w:sz="4" w:space="0" w:color="auto"/>
            </w:tcBorders>
            <w:hideMark/>
          </w:tcPr>
          <w:p w14:paraId="64AA9255" w14:textId="77777777" w:rsidR="000C77DD" w:rsidRPr="008C128E" w:rsidRDefault="000C77DD" w:rsidP="000C77DD">
            <w:pPr>
              <w:pStyle w:val="TAH"/>
              <w:rPr>
                <w:lang w:eastAsia="ko-KR"/>
              </w:rPr>
            </w:pPr>
            <w:r w:rsidRPr="008C128E">
              <w:rPr>
                <w:lang w:eastAsia="ko-KR"/>
              </w:rPr>
              <w:t>SMTC periodicity (T</w:t>
            </w:r>
            <w:r w:rsidRPr="008C128E">
              <w:rPr>
                <w:vertAlign w:val="subscript"/>
                <w:lang w:eastAsia="ko-KR"/>
              </w:rPr>
              <w:t>rs</w:t>
            </w:r>
            <w:r w:rsidRPr="008C128E">
              <w:rPr>
                <w:lang w:eastAsia="ko-KR"/>
              </w:rPr>
              <w:t>) [ms]</w:t>
            </w:r>
          </w:p>
        </w:tc>
        <w:tc>
          <w:tcPr>
            <w:tcW w:w="5659" w:type="dxa"/>
            <w:tcBorders>
              <w:top w:val="single" w:sz="4" w:space="0" w:color="auto"/>
              <w:left w:val="single" w:sz="4" w:space="0" w:color="auto"/>
              <w:bottom w:val="single" w:sz="4" w:space="0" w:color="auto"/>
              <w:right w:val="single" w:sz="4" w:space="0" w:color="auto"/>
            </w:tcBorders>
            <w:hideMark/>
          </w:tcPr>
          <w:p w14:paraId="7EBCBD69" w14:textId="77777777" w:rsidR="000C77DD" w:rsidRPr="008C128E" w:rsidRDefault="000C77DD" w:rsidP="000C77DD">
            <w:pPr>
              <w:pStyle w:val="TAH"/>
              <w:rPr>
                <w:lang w:eastAsia="ko-KR"/>
              </w:rPr>
            </w:pPr>
            <w:r w:rsidRPr="008C128E">
              <w:rPr>
                <w:lang w:eastAsia="ko-KR"/>
              </w:rPr>
              <w:t>Maximum allowed number of missed SMTC occasions (L</w:t>
            </w:r>
            <w:r w:rsidRPr="008C128E">
              <w:rPr>
                <w:vertAlign w:val="subscript"/>
                <w:lang w:eastAsia="ko-KR"/>
              </w:rPr>
              <w:t>1,max</w:t>
            </w:r>
            <w:r w:rsidRPr="008C128E">
              <w:rPr>
                <w:lang w:eastAsia="ko-KR"/>
              </w:rPr>
              <w:t>)</w:t>
            </w:r>
          </w:p>
        </w:tc>
      </w:tr>
      <w:tr w:rsidR="000C77DD" w:rsidRPr="008C128E" w14:paraId="08E62D23" w14:textId="77777777" w:rsidTr="00AE536E">
        <w:trPr>
          <w:jc w:val="center"/>
        </w:trPr>
        <w:tc>
          <w:tcPr>
            <w:tcW w:w="3539" w:type="dxa"/>
            <w:tcBorders>
              <w:top w:val="single" w:sz="4" w:space="0" w:color="auto"/>
              <w:left w:val="single" w:sz="4" w:space="0" w:color="auto"/>
              <w:bottom w:val="single" w:sz="4" w:space="0" w:color="auto"/>
              <w:right w:val="single" w:sz="4" w:space="0" w:color="auto"/>
            </w:tcBorders>
            <w:hideMark/>
          </w:tcPr>
          <w:p w14:paraId="1737018B" w14:textId="77777777" w:rsidR="000C77DD" w:rsidRPr="008C128E" w:rsidRDefault="000C77DD" w:rsidP="000C77DD">
            <w:pPr>
              <w:pStyle w:val="TAL"/>
              <w:rPr>
                <w:lang w:eastAsia="ko-KR"/>
              </w:rPr>
            </w:pPr>
            <w:r w:rsidRPr="008C128E">
              <w:rPr>
                <w:lang w:eastAsia="ko-KR"/>
              </w:rPr>
              <w:t>T</w:t>
            </w:r>
            <w:r w:rsidRPr="008C128E">
              <w:rPr>
                <w:vertAlign w:val="subscript"/>
                <w:lang w:eastAsia="ko-KR"/>
              </w:rPr>
              <w:t>rs</w:t>
            </w:r>
            <w:r w:rsidRPr="008C128E">
              <w:rPr>
                <w:lang w:eastAsia="ko-KR"/>
              </w:rPr>
              <w:t xml:space="preserve"> </w:t>
            </w:r>
            <w:r w:rsidRPr="008C128E">
              <w:rPr>
                <w:rFonts w:cs="Arial"/>
                <w:lang w:eastAsia="ko-KR"/>
              </w:rPr>
              <w:t>≤</w:t>
            </w:r>
            <w:r w:rsidRPr="008C128E">
              <w:rPr>
                <w:lang w:eastAsia="ko-KR"/>
              </w:rPr>
              <w:t xml:space="preserve"> 40</w:t>
            </w:r>
          </w:p>
        </w:tc>
        <w:tc>
          <w:tcPr>
            <w:tcW w:w="5659" w:type="dxa"/>
            <w:tcBorders>
              <w:top w:val="single" w:sz="4" w:space="0" w:color="auto"/>
              <w:left w:val="single" w:sz="4" w:space="0" w:color="auto"/>
              <w:bottom w:val="single" w:sz="4" w:space="0" w:color="auto"/>
              <w:right w:val="single" w:sz="4" w:space="0" w:color="auto"/>
            </w:tcBorders>
            <w:hideMark/>
          </w:tcPr>
          <w:p w14:paraId="3442FCBA" w14:textId="77777777" w:rsidR="000C77DD" w:rsidRPr="008C128E" w:rsidRDefault="000C77DD" w:rsidP="000C77DD">
            <w:pPr>
              <w:pStyle w:val="TAC"/>
            </w:pPr>
            <w:r w:rsidRPr="008C128E">
              <w:t>8</w:t>
            </w:r>
          </w:p>
        </w:tc>
      </w:tr>
      <w:tr w:rsidR="000C77DD" w:rsidRPr="008C128E" w14:paraId="5DDC1CF4" w14:textId="77777777" w:rsidTr="00AE536E">
        <w:trPr>
          <w:jc w:val="center"/>
        </w:trPr>
        <w:tc>
          <w:tcPr>
            <w:tcW w:w="3539" w:type="dxa"/>
            <w:tcBorders>
              <w:top w:val="single" w:sz="4" w:space="0" w:color="auto"/>
              <w:left w:val="single" w:sz="4" w:space="0" w:color="auto"/>
              <w:bottom w:val="single" w:sz="4" w:space="0" w:color="auto"/>
              <w:right w:val="single" w:sz="4" w:space="0" w:color="auto"/>
            </w:tcBorders>
          </w:tcPr>
          <w:p w14:paraId="015E48B9" w14:textId="77777777" w:rsidR="000C77DD" w:rsidRPr="008C128E" w:rsidRDefault="000C77DD" w:rsidP="000C77DD">
            <w:pPr>
              <w:pStyle w:val="TAL"/>
              <w:rPr>
                <w:lang w:eastAsia="ko-KR"/>
              </w:rPr>
            </w:pPr>
            <w:r w:rsidRPr="008C128E">
              <w:rPr>
                <w:lang w:eastAsia="ko-KR"/>
              </w:rPr>
              <w:t>T</w:t>
            </w:r>
            <w:r w:rsidRPr="008C128E">
              <w:rPr>
                <w:vertAlign w:val="subscript"/>
                <w:lang w:eastAsia="ko-KR"/>
              </w:rPr>
              <w:t>rs</w:t>
            </w:r>
            <w:r w:rsidRPr="008C128E">
              <w:rPr>
                <w:lang w:eastAsia="ko-KR"/>
              </w:rPr>
              <w:t xml:space="preserve"> &gt; 40</w:t>
            </w:r>
          </w:p>
        </w:tc>
        <w:tc>
          <w:tcPr>
            <w:tcW w:w="5659" w:type="dxa"/>
            <w:tcBorders>
              <w:top w:val="single" w:sz="4" w:space="0" w:color="auto"/>
              <w:left w:val="single" w:sz="4" w:space="0" w:color="auto"/>
              <w:bottom w:val="single" w:sz="4" w:space="0" w:color="auto"/>
              <w:right w:val="single" w:sz="4" w:space="0" w:color="auto"/>
            </w:tcBorders>
          </w:tcPr>
          <w:p w14:paraId="19188CBE" w14:textId="77777777" w:rsidR="000C77DD" w:rsidRPr="008C128E" w:rsidRDefault="000C77DD" w:rsidP="000C77DD">
            <w:pPr>
              <w:pStyle w:val="TAC"/>
            </w:pPr>
            <w:r w:rsidRPr="008C128E">
              <w:t>4</w:t>
            </w:r>
          </w:p>
        </w:tc>
      </w:tr>
    </w:tbl>
    <w:p w14:paraId="40D8F55D" w14:textId="194B1E3E" w:rsidR="000C77DD" w:rsidRDefault="000C77DD" w:rsidP="0057627A">
      <w:pPr>
        <w:rPr>
          <w:lang w:eastAsia="ko-KR"/>
        </w:rPr>
      </w:pPr>
    </w:p>
    <w:p w14:paraId="6D28B444" w14:textId="77777777" w:rsidR="00992E01" w:rsidRPr="009C5807" w:rsidRDefault="00992E01" w:rsidP="00992E01">
      <w:pPr>
        <w:pStyle w:val="Heading3"/>
        <w:rPr>
          <w:lang w:val="en-US" w:eastAsia="ko-KR"/>
        </w:rPr>
      </w:pPr>
      <w:r w:rsidRPr="009C5807">
        <w:rPr>
          <w:lang w:val="en-US" w:eastAsia="ko-KR"/>
        </w:rPr>
        <w:t>6.2.3</w:t>
      </w:r>
      <w:r>
        <w:rPr>
          <w:lang w:val="en-US" w:eastAsia="ko-KR"/>
        </w:rPr>
        <w:t>A</w:t>
      </w:r>
      <w:r w:rsidRPr="009C5807">
        <w:rPr>
          <w:lang w:val="en-US" w:eastAsia="ko-KR"/>
        </w:rPr>
        <w:tab/>
        <w:t>SA: RRC Connection Release with Redirection</w:t>
      </w:r>
      <w:r w:rsidRPr="00D1260F">
        <w:rPr>
          <w:lang w:eastAsia="ko-KR"/>
        </w:rPr>
        <w:t xml:space="preserve"> </w:t>
      </w:r>
      <w:r>
        <w:rPr>
          <w:lang w:eastAsia="ko-KR"/>
        </w:rPr>
        <w:t xml:space="preserve">for </w:t>
      </w:r>
      <w:r>
        <w:rPr>
          <w:rFonts w:eastAsia="Malgun Gothic"/>
        </w:rPr>
        <w:t>RedCap</w:t>
      </w:r>
    </w:p>
    <w:p w14:paraId="4D98931B" w14:textId="77777777" w:rsidR="00992E01" w:rsidRPr="009C5807" w:rsidRDefault="00992E01" w:rsidP="00992E01">
      <w:pPr>
        <w:pStyle w:val="Heading4"/>
        <w:rPr>
          <w:lang w:val="en-US" w:eastAsia="zh-CN"/>
        </w:rPr>
      </w:pPr>
      <w:r w:rsidRPr="009C5807">
        <w:rPr>
          <w:lang w:val="en-US" w:eastAsia="zh-CN"/>
        </w:rPr>
        <w:t>6.2.3</w:t>
      </w:r>
      <w:r>
        <w:rPr>
          <w:lang w:val="en-US" w:eastAsia="zh-CN"/>
        </w:rPr>
        <w:t>A</w:t>
      </w:r>
      <w:r w:rsidRPr="009C5807">
        <w:rPr>
          <w:lang w:val="en-US" w:eastAsia="zh-CN"/>
        </w:rPr>
        <w:t>.1</w:t>
      </w:r>
      <w:r w:rsidRPr="009C5807">
        <w:rPr>
          <w:lang w:val="en-US" w:eastAsia="zh-CN"/>
        </w:rPr>
        <w:tab/>
        <w:t>Introduction</w:t>
      </w:r>
    </w:p>
    <w:p w14:paraId="71505D21" w14:textId="77777777" w:rsidR="00992E01" w:rsidRPr="00B95B28" w:rsidRDefault="00992E01" w:rsidP="00992E01">
      <w:pPr>
        <w:rPr>
          <w:lang w:val="en-US" w:eastAsia="zh-CN"/>
        </w:rPr>
      </w:pPr>
      <w:r w:rsidRPr="009C5807">
        <w:rPr>
          <w:lang w:val="en-US" w:eastAsia="zh-CN"/>
        </w:rPr>
        <w:t>This clause contains requirements on the</w:t>
      </w:r>
      <w:r>
        <w:rPr>
          <w:lang w:val="en-US" w:eastAsia="zh-CN"/>
        </w:rPr>
        <w:t xml:space="preserve"> RedCap</w:t>
      </w:r>
      <w:r w:rsidRPr="009C5807">
        <w:rPr>
          <w:lang w:val="en-US" w:eastAsia="zh-CN"/>
        </w:rPr>
        <w:t xml:space="preserve"> UE regarding RRC connection release with redirection procedure. RRC connection release with redirection is initiated by the </w:t>
      </w:r>
      <w:r w:rsidRPr="009C5807">
        <w:rPr>
          <w:rFonts w:hint="eastAsia"/>
          <w:i/>
          <w:lang w:val="en-US" w:eastAsia="zh-CN"/>
        </w:rPr>
        <w:t>RRCRelease</w:t>
      </w:r>
      <w:r w:rsidRPr="009C5807">
        <w:rPr>
          <w:lang w:val="en-US" w:eastAsia="zh-CN"/>
        </w:rPr>
        <w:t xml:space="preserve"> message with redirection to E-UTRAN or NR from NR specified in TS 38.331 [2]. The RRC connection release with redirection procedure is specified in clause 5.3.8 of TS 38.331 [2].</w:t>
      </w:r>
    </w:p>
    <w:p w14:paraId="3311B187" w14:textId="77777777" w:rsidR="00992E01" w:rsidRPr="009C5807" w:rsidRDefault="00992E01" w:rsidP="00992E01">
      <w:pPr>
        <w:pStyle w:val="Heading4"/>
        <w:rPr>
          <w:lang w:val="en-US" w:eastAsia="zh-CN"/>
        </w:rPr>
      </w:pPr>
      <w:r w:rsidRPr="009C5807">
        <w:rPr>
          <w:lang w:val="en-US" w:eastAsia="zh-CN"/>
        </w:rPr>
        <w:t>6.2.3</w:t>
      </w:r>
      <w:r>
        <w:rPr>
          <w:lang w:val="en-US" w:eastAsia="zh-CN"/>
        </w:rPr>
        <w:t>A</w:t>
      </w:r>
      <w:r w:rsidRPr="009C5807">
        <w:rPr>
          <w:lang w:val="en-US" w:eastAsia="zh-CN"/>
        </w:rPr>
        <w:t>.2</w:t>
      </w:r>
      <w:r w:rsidRPr="009C5807">
        <w:rPr>
          <w:lang w:val="en-US" w:eastAsia="zh-CN"/>
        </w:rPr>
        <w:tab/>
        <w:t>Requirements</w:t>
      </w:r>
    </w:p>
    <w:p w14:paraId="48D4494E" w14:textId="77777777" w:rsidR="00992E01" w:rsidRPr="009C5807" w:rsidRDefault="00992E01" w:rsidP="00992E01">
      <w:pPr>
        <w:pStyle w:val="Heading5"/>
        <w:rPr>
          <w:lang w:val="en-US" w:eastAsia="zh-CN"/>
        </w:rPr>
      </w:pPr>
      <w:r w:rsidRPr="009C5807">
        <w:rPr>
          <w:lang w:val="en-US" w:eastAsia="zh-CN"/>
        </w:rPr>
        <w:t>6.2.3</w:t>
      </w:r>
      <w:r>
        <w:rPr>
          <w:lang w:val="en-US" w:eastAsia="zh-CN"/>
        </w:rPr>
        <w:t>A</w:t>
      </w:r>
      <w:r w:rsidRPr="009C5807">
        <w:rPr>
          <w:lang w:val="en-US" w:eastAsia="zh-CN"/>
        </w:rPr>
        <w:t>.2.1</w:t>
      </w:r>
      <w:r w:rsidRPr="009C5807">
        <w:rPr>
          <w:lang w:val="en-US" w:eastAsia="zh-CN"/>
        </w:rPr>
        <w:tab/>
        <w:t>RRC connection release with redirection to NR</w:t>
      </w:r>
    </w:p>
    <w:p w14:paraId="130D1732" w14:textId="77777777" w:rsidR="00992E01" w:rsidRDefault="00992E01" w:rsidP="00992E01">
      <w:pPr>
        <w:rPr>
          <w:rFonts w:cs="v4.2.0"/>
        </w:rPr>
      </w:pPr>
      <w:r w:rsidRPr="009C5807">
        <w:t xml:space="preserve">The requirements in clause </w:t>
      </w:r>
      <w:r w:rsidRPr="009C5807">
        <w:rPr>
          <w:lang w:val="en-US" w:eastAsia="zh-CN"/>
        </w:rPr>
        <w:t>6.2.3.2.1</w:t>
      </w:r>
      <w:r w:rsidRPr="00D42959">
        <w:t xml:space="preserve"> </w:t>
      </w:r>
      <w:r w:rsidRPr="009C5807">
        <w:t>shall apply</w:t>
      </w:r>
      <w:r w:rsidRPr="000D39D7">
        <w:rPr>
          <w:rFonts w:cs="v4.2.0"/>
        </w:rPr>
        <w:t xml:space="preserve"> </w:t>
      </w:r>
      <w:r>
        <w:rPr>
          <w:rFonts w:cs="v4.2.0"/>
        </w:rPr>
        <w:t>when RedCap UE is capable of 2 Rx. When UE is</w:t>
      </w:r>
      <w:r w:rsidRPr="00986AF0">
        <w:rPr>
          <w:lang w:eastAsia="zh-CN"/>
        </w:rPr>
        <w:t xml:space="preserve"> </w:t>
      </w:r>
      <w:r>
        <w:rPr>
          <w:lang w:eastAsia="zh-CN"/>
        </w:rPr>
        <w:t>only required to support 1 Rx antenna</w:t>
      </w:r>
      <w:r>
        <w:rPr>
          <w:rFonts w:cs="v4.2.0"/>
        </w:rPr>
        <w:t xml:space="preserve">, the requirements </w:t>
      </w:r>
      <w:r w:rsidRPr="00691C10">
        <w:rPr>
          <w:rFonts w:cs="v4.2.0"/>
        </w:rPr>
        <w:t xml:space="preserve">defined in </w:t>
      </w:r>
      <w:r w:rsidRPr="009C5807">
        <w:t xml:space="preserve">clause </w:t>
      </w:r>
      <w:r w:rsidRPr="009C5807">
        <w:rPr>
          <w:lang w:val="en-US" w:eastAsia="zh-CN"/>
        </w:rPr>
        <w:t>6.2.3.2.1</w:t>
      </w:r>
      <w:r w:rsidRPr="00D42959">
        <w:t xml:space="preserve"> </w:t>
      </w:r>
      <w:r>
        <w:rPr>
          <w:rFonts w:cs="v4.2.0"/>
        </w:rPr>
        <w:t>shall apply except that:</w:t>
      </w:r>
    </w:p>
    <w:p w14:paraId="783F952E" w14:textId="77777777" w:rsidR="00992E01" w:rsidRDefault="00992E01" w:rsidP="00992E01">
      <w:pPr>
        <w:pStyle w:val="B10"/>
      </w:pPr>
      <w:r w:rsidRPr="0089796C">
        <w:t>-</w:t>
      </w:r>
      <w:r w:rsidRPr="0089796C">
        <w:tab/>
      </w:r>
      <w:r w:rsidRPr="009C5807">
        <w:rPr>
          <w:lang w:eastAsia="ko-KR"/>
        </w:rPr>
        <w:t>T</w:t>
      </w:r>
      <w:r w:rsidRPr="009C5807">
        <w:rPr>
          <w:vertAlign w:val="subscript"/>
          <w:lang w:eastAsia="ko-KR"/>
        </w:rPr>
        <w:t>identify-NR</w:t>
      </w:r>
      <w:r w:rsidRPr="00885F53">
        <w:rPr>
          <w:i/>
          <w:vertAlign w:val="subscript"/>
        </w:rPr>
        <w:t xml:space="preserve"> </w:t>
      </w:r>
      <w:r>
        <w:t xml:space="preserve">as specified in </w:t>
      </w:r>
      <w:r w:rsidRPr="009C5807">
        <w:t xml:space="preserve">Table </w:t>
      </w:r>
      <w:r w:rsidRPr="00500CB6">
        <w:t>6.2.3A.2.1</w:t>
      </w:r>
      <w:r w:rsidRPr="009C5807">
        <w:t>-1</w:t>
      </w:r>
      <w:r w:rsidRPr="00AD77EE">
        <w:t>.</w:t>
      </w:r>
    </w:p>
    <w:p w14:paraId="3A4AF282" w14:textId="77777777" w:rsidR="00992E01" w:rsidRPr="009C5807" w:rsidRDefault="00992E01" w:rsidP="00992E01">
      <w:pPr>
        <w:pStyle w:val="TH"/>
        <w:jc w:val="left"/>
      </w:pPr>
      <w:r w:rsidRPr="009C5807">
        <w:t xml:space="preserve">Table </w:t>
      </w:r>
      <w:r w:rsidRPr="00500CB6">
        <w:t>6.2.3A.2.1</w:t>
      </w:r>
      <w:r w:rsidRPr="009C5807">
        <w:t>-1: Time to identify target NR cell for RRC connection release with redirection to NR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0"/>
        <w:gridCol w:w="5528"/>
      </w:tblGrid>
      <w:tr w:rsidR="00992E01" w:rsidRPr="009C5807" w14:paraId="17EC04A8" w14:textId="77777777" w:rsidTr="00162D0B">
        <w:trPr>
          <w:jc w:val="center"/>
        </w:trPr>
        <w:tc>
          <w:tcPr>
            <w:tcW w:w="3670" w:type="dxa"/>
            <w:tcBorders>
              <w:top w:val="single" w:sz="4" w:space="0" w:color="auto"/>
              <w:left w:val="single" w:sz="4" w:space="0" w:color="auto"/>
              <w:bottom w:val="single" w:sz="4" w:space="0" w:color="auto"/>
              <w:right w:val="single" w:sz="4" w:space="0" w:color="auto"/>
            </w:tcBorders>
            <w:hideMark/>
          </w:tcPr>
          <w:p w14:paraId="6846352C" w14:textId="77777777" w:rsidR="00992E01" w:rsidRPr="009C5807" w:rsidRDefault="00992E01" w:rsidP="00162D0B">
            <w:pPr>
              <w:pStyle w:val="TAH"/>
              <w:rPr>
                <w:lang w:eastAsia="ko-KR"/>
              </w:rPr>
            </w:pPr>
            <w:r w:rsidRPr="009C5807">
              <w:rPr>
                <w:lang w:eastAsia="ko-KR"/>
              </w:rPr>
              <w:t>FR of target NR cell</w:t>
            </w:r>
          </w:p>
        </w:tc>
        <w:tc>
          <w:tcPr>
            <w:tcW w:w="5528" w:type="dxa"/>
            <w:tcBorders>
              <w:top w:val="single" w:sz="4" w:space="0" w:color="auto"/>
              <w:left w:val="single" w:sz="4" w:space="0" w:color="auto"/>
              <w:bottom w:val="single" w:sz="4" w:space="0" w:color="auto"/>
              <w:right w:val="single" w:sz="4" w:space="0" w:color="auto"/>
            </w:tcBorders>
            <w:hideMark/>
          </w:tcPr>
          <w:p w14:paraId="6872D1EB" w14:textId="77777777" w:rsidR="00992E01" w:rsidRPr="009C5807" w:rsidRDefault="00992E01" w:rsidP="00162D0B">
            <w:pPr>
              <w:pStyle w:val="TAH"/>
              <w:rPr>
                <w:lang w:eastAsia="ko-KR"/>
              </w:rPr>
            </w:pPr>
            <w:r w:rsidRPr="009C5807">
              <w:rPr>
                <w:lang w:eastAsia="ko-KR"/>
              </w:rPr>
              <w:t>T</w:t>
            </w:r>
            <w:r w:rsidRPr="009C5807">
              <w:rPr>
                <w:vertAlign w:val="subscript"/>
                <w:lang w:eastAsia="ko-KR"/>
              </w:rPr>
              <w:t>identify-NR</w:t>
            </w:r>
          </w:p>
        </w:tc>
      </w:tr>
      <w:tr w:rsidR="00992E01" w:rsidRPr="009C5807" w14:paraId="56885417" w14:textId="77777777" w:rsidTr="00162D0B">
        <w:trPr>
          <w:jc w:val="center"/>
        </w:trPr>
        <w:tc>
          <w:tcPr>
            <w:tcW w:w="3670" w:type="dxa"/>
            <w:tcBorders>
              <w:top w:val="single" w:sz="4" w:space="0" w:color="auto"/>
              <w:left w:val="single" w:sz="4" w:space="0" w:color="auto"/>
              <w:bottom w:val="single" w:sz="4" w:space="0" w:color="auto"/>
              <w:right w:val="single" w:sz="4" w:space="0" w:color="auto"/>
            </w:tcBorders>
            <w:hideMark/>
          </w:tcPr>
          <w:p w14:paraId="547B642B" w14:textId="77777777" w:rsidR="00992E01" w:rsidRPr="009C5807" w:rsidRDefault="00992E01" w:rsidP="00162D0B">
            <w:pPr>
              <w:pStyle w:val="TAL"/>
              <w:rPr>
                <w:lang w:eastAsia="ko-KR"/>
              </w:rPr>
            </w:pPr>
            <w:r w:rsidRPr="009C5807">
              <w:rPr>
                <w:lang w:eastAsia="ko-KR"/>
              </w:rPr>
              <w:t>FR1</w:t>
            </w:r>
          </w:p>
        </w:tc>
        <w:tc>
          <w:tcPr>
            <w:tcW w:w="5528" w:type="dxa"/>
            <w:tcBorders>
              <w:top w:val="single" w:sz="4" w:space="0" w:color="auto"/>
              <w:left w:val="single" w:sz="4" w:space="0" w:color="auto"/>
              <w:bottom w:val="single" w:sz="4" w:space="0" w:color="auto"/>
              <w:right w:val="single" w:sz="4" w:space="0" w:color="auto"/>
            </w:tcBorders>
            <w:hideMark/>
          </w:tcPr>
          <w:p w14:paraId="1CBE95DF" w14:textId="77777777" w:rsidR="00992E01" w:rsidRPr="009C5807" w:rsidRDefault="00992E01" w:rsidP="00162D0B">
            <w:pPr>
              <w:pStyle w:val="TAC"/>
            </w:pPr>
            <w:r w:rsidRPr="00CB7F87">
              <w:t>MAX (680 ms, [12] x T</w:t>
            </w:r>
            <w:r w:rsidRPr="00CB7F87">
              <w:rPr>
                <w:vertAlign w:val="subscript"/>
              </w:rPr>
              <w:t>rs</w:t>
            </w:r>
            <w:r w:rsidRPr="00CB7F87">
              <w:t>)</w:t>
            </w:r>
          </w:p>
        </w:tc>
      </w:tr>
      <w:tr w:rsidR="00992E01" w:rsidRPr="009C5807" w14:paraId="22946EF4" w14:textId="77777777" w:rsidTr="00162D0B">
        <w:trPr>
          <w:jc w:val="center"/>
        </w:trPr>
        <w:tc>
          <w:tcPr>
            <w:tcW w:w="9198" w:type="dxa"/>
            <w:gridSpan w:val="2"/>
            <w:tcBorders>
              <w:top w:val="single" w:sz="4" w:space="0" w:color="auto"/>
              <w:left w:val="single" w:sz="4" w:space="0" w:color="auto"/>
              <w:bottom w:val="single" w:sz="4" w:space="0" w:color="auto"/>
              <w:right w:val="single" w:sz="4" w:space="0" w:color="auto"/>
            </w:tcBorders>
          </w:tcPr>
          <w:p w14:paraId="470EEC84" w14:textId="77777777" w:rsidR="00992E01" w:rsidRPr="009C5807" w:rsidRDefault="00992E01" w:rsidP="00162D0B">
            <w:pPr>
              <w:pStyle w:val="TAN"/>
              <w:rPr>
                <w:szCs w:val="18"/>
                <w:lang w:eastAsia="ko-KR"/>
              </w:rPr>
            </w:pPr>
            <w:r w:rsidRPr="009C5807">
              <w:t>Note:</w:t>
            </w:r>
            <w:r w:rsidRPr="009C5807">
              <w:rPr>
                <w:lang w:val="en-US" w:eastAsia="zh-CN"/>
              </w:rPr>
              <w:tab/>
            </w:r>
            <w:r w:rsidRPr="009C5807">
              <w:t xml:space="preserve">If the UE has been provided with higher layer signaling of </w:t>
            </w:r>
            <w:r w:rsidRPr="009C5807">
              <w:rPr>
                <w:i/>
              </w:rPr>
              <w:t>smtc2</w:t>
            </w:r>
            <w:r w:rsidRPr="009C5807">
              <w:rPr>
                <w:b/>
              </w:rPr>
              <w:t xml:space="preserve"> </w:t>
            </w:r>
            <w:r w:rsidRPr="009C5807">
              <w:t xml:space="preserve">specified in TS 38.331 [2] prior to the redirection command, </w:t>
            </w:r>
            <w:r w:rsidRPr="009C5807">
              <w:rPr>
                <w:sz w:val="20"/>
              </w:rPr>
              <w:t>T</w:t>
            </w:r>
            <w:r w:rsidRPr="009C5807">
              <w:rPr>
                <w:sz w:val="20"/>
                <w:vertAlign w:val="subscript"/>
              </w:rPr>
              <w:t>rs</w:t>
            </w:r>
            <w:r w:rsidRPr="009C5807">
              <w:t xml:space="preserve"> follows </w:t>
            </w:r>
            <w:r w:rsidRPr="009C5807">
              <w:rPr>
                <w:i/>
              </w:rPr>
              <w:t>smtc1</w:t>
            </w:r>
            <w:r w:rsidRPr="009C5807">
              <w:t xml:space="preserve"> or </w:t>
            </w:r>
            <w:r w:rsidRPr="009C5807">
              <w:rPr>
                <w:i/>
              </w:rPr>
              <w:t>smtc2</w:t>
            </w:r>
            <w:r w:rsidRPr="009C5807">
              <w:t xml:space="preserve"> according to the physical cell ID of the target cell.</w:t>
            </w:r>
          </w:p>
        </w:tc>
      </w:tr>
    </w:tbl>
    <w:p w14:paraId="06933374" w14:textId="77777777" w:rsidR="00992E01" w:rsidRDefault="00992E01" w:rsidP="00992E01"/>
    <w:p w14:paraId="337148CE" w14:textId="2608DA77" w:rsidR="00992E01" w:rsidRDefault="00992E01" w:rsidP="00992E01">
      <w:r>
        <w:t>The HD-FDD UE shall meet the RRC connection release with redirection requirements provided that SSB is available at the UE once every SMTC period during T</w:t>
      </w:r>
      <w:r>
        <w:rPr>
          <w:vertAlign w:val="subscript"/>
        </w:rPr>
        <w:t>search</w:t>
      </w:r>
      <w:r>
        <w:t>.</w:t>
      </w:r>
    </w:p>
    <w:p w14:paraId="3CB1D0E3" w14:textId="0CA75D26" w:rsidR="00C83058" w:rsidRPr="00B95B28" w:rsidRDefault="00C83058" w:rsidP="00C83058">
      <w:r w:rsidRPr="008B156E">
        <w:t xml:space="preserve">When the Redcap specific initial BWP is configured for </w:t>
      </w:r>
      <w:r>
        <w:t>random access</w:t>
      </w:r>
      <w:r w:rsidRPr="008B156E">
        <w:t>,</w:t>
      </w:r>
      <w:r>
        <w:t xml:space="preserve"> </w:t>
      </w:r>
      <w:r w:rsidRPr="009C5807">
        <w:t>T</w:t>
      </w:r>
      <w:r w:rsidRPr="009C5807">
        <w:rPr>
          <w:vertAlign w:val="subscript"/>
        </w:rPr>
        <w:t>connection_release_redirect_NR</w:t>
      </w:r>
      <w:r w:rsidRPr="009C5807">
        <w:t xml:space="preserve"> in clause </w:t>
      </w:r>
      <w:r>
        <w:rPr>
          <w:lang w:val="en-US" w:eastAsia="zh-CN"/>
        </w:rPr>
        <w:t xml:space="preserve">6.2.3.2.1 </w:t>
      </w:r>
      <w:r>
        <w:t xml:space="preserve">is </w:t>
      </w:r>
      <w:r w:rsidRPr="008B156E">
        <w:t>extend</w:t>
      </w:r>
      <w:r>
        <w:t>ed by 6ms.</w:t>
      </w:r>
    </w:p>
    <w:p w14:paraId="1C02C93A" w14:textId="77777777" w:rsidR="00992E01" w:rsidRPr="009C5807" w:rsidRDefault="00992E01" w:rsidP="00992E01">
      <w:pPr>
        <w:pStyle w:val="Heading5"/>
        <w:rPr>
          <w:lang w:val="en-US" w:eastAsia="zh-CN"/>
        </w:rPr>
      </w:pPr>
      <w:r w:rsidRPr="009C5807">
        <w:rPr>
          <w:lang w:val="en-US" w:eastAsia="zh-CN"/>
        </w:rPr>
        <w:t>6.2.3</w:t>
      </w:r>
      <w:r>
        <w:rPr>
          <w:lang w:val="en-US" w:eastAsia="zh-CN"/>
        </w:rPr>
        <w:t>A</w:t>
      </w:r>
      <w:r w:rsidRPr="009C5807">
        <w:rPr>
          <w:lang w:val="en-US" w:eastAsia="zh-CN"/>
        </w:rPr>
        <w:t>.2</w:t>
      </w:r>
      <w:r>
        <w:rPr>
          <w:lang w:val="en-US" w:eastAsia="zh-CN"/>
        </w:rPr>
        <w:t>.2</w:t>
      </w:r>
      <w:r w:rsidRPr="009C5807">
        <w:rPr>
          <w:lang w:val="en-US" w:eastAsia="zh-CN"/>
        </w:rPr>
        <w:tab/>
        <w:t>RRC connection release with redirection to E-UTRAN</w:t>
      </w:r>
    </w:p>
    <w:p w14:paraId="31EE6700" w14:textId="77777777" w:rsidR="00992E01" w:rsidRPr="00CA54CE" w:rsidRDefault="00992E01" w:rsidP="00992E01">
      <w:pPr>
        <w:rPr>
          <w:noProof/>
          <w:highlight w:val="yellow"/>
          <w:lang w:eastAsia="zh-CN"/>
        </w:rPr>
      </w:pPr>
      <w:r w:rsidRPr="009C5807">
        <w:t xml:space="preserve">The requirements in clause </w:t>
      </w:r>
      <w:r w:rsidRPr="009C5807">
        <w:rPr>
          <w:lang w:val="en-US" w:eastAsia="zh-CN"/>
        </w:rPr>
        <w:t>6.2.3.2.</w:t>
      </w:r>
      <w:r>
        <w:rPr>
          <w:lang w:val="en-US" w:eastAsia="zh-CN"/>
        </w:rPr>
        <w:t>2</w:t>
      </w:r>
      <w:r w:rsidRPr="00D42959">
        <w:t xml:space="preserve"> </w:t>
      </w:r>
      <w:r w:rsidRPr="009C5807">
        <w:t>shall apply</w:t>
      </w:r>
      <w:r>
        <w:t>.</w:t>
      </w:r>
    </w:p>
    <w:p w14:paraId="71D4009E" w14:textId="77777777" w:rsidR="00992E01" w:rsidRDefault="00992E01" w:rsidP="0057627A">
      <w:pPr>
        <w:rPr>
          <w:lang w:eastAsia="ko-KR"/>
        </w:rPr>
      </w:pPr>
    </w:p>
    <w:p w14:paraId="289C055C" w14:textId="77777777" w:rsidR="00064C2A" w:rsidRPr="009C5807" w:rsidRDefault="00064C2A" w:rsidP="00064C2A">
      <w:pPr>
        <w:pStyle w:val="Heading2"/>
        <w:rPr>
          <w:lang w:eastAsia="zh-CN"/>
        </w:rPr>
      </w:pPr>
      <w:r w:rsidRPr="009C5807">
        <w:t>6.2</w:t>
      </w:r>
      <w:r>
        <w:rPr>
          <w:rFonts w:hint="eastAsia"/>
          <w:lang w:eastAsia="zh-CN"/>
        </w:rPr>
        <w:t>C</w:t>
      </w:r>
      <w:r w:rsidRPr="009C5807">
        <w:tab/>
        <w:t>RRC Connection Mobility Control</w:t>
      </w:r>
      <w:r>
        <w:rPr>
          <w:rFonts w:hint="eastAsia"/>
          <w:lang w:eastAsia="zh-CN"/>
        </w:rPr>
        <w:t xml:space="preserve"> for </w:t>
      </w:r>
      <w:r>
        <w:t>Satellite Access</w:t>
      </w:r>
    </w:p>
    <w:p w14:paraId="57CA95CE" w14:textId="77777777" w:rsidR="00064C2A" w:rsidRPr="009C5807" w:rsidRDefault="00064C2A" w:rsidP="00064C2A">
      <w:pPr>
        <w:pStyle w:val="Heading3"/>
        <w:rPr>
          <w:lang w:val="en-US" w:eastAsia="ko-KR"/>
        </w:rPr>
      </w:pPr>
      <w:r w:rsidRPr="009C5807">
        <w:rPr>
          <w:lang w:val="en-US" w:eastAsia="ko-KR"/>
        </w:rPr>
        <w:t>6.2</w:t>
      </w:r>
      <w:r>
        <w:rPr>
          <w:rFonts w:hint="eastAsia"/>
          <w:lang w:val="en-US" w:eastAsia="zh-CN"/>
        </w:rPr>
        <w:t>C</w:t>
      </w:r>
      <w:r w:rsidRPr="009C5807">
        <w:rPr>
          <w:lang w:val="en-US" w:eastAsia="ko-KR"/>
        </w:rPr>
        <w:t>.1</w:t>
      </w:r>
      <w:r w:rsidRPr="009C5807">
        <w:rPr>
          <w:lang w:val="en-US" w:eastAsia="ko-KR"/>
        </w:rPr>
        <w:tab/>
        <w:t>SA: RRC Re-establishment</w:t>
      </w:r>
      <w:r>
        <w:rPr>
          <w:lang w:val="en-US" w:eastAsia="ko-KR"/>
        </w:rPr>
        <w:t xml:space="preserve"> for </w:t>
      </w:r>
      <w:r>
        <w:t>Satellite Access</w:t>
      </w:r>
    </w:p>
    <w:p w14:paraId="11E1DB54" w14:textId="77777777" w:rsidR="00064C2A" w:rsidRPr="009C5807" w:rsidRDefault="00064C2A" w:rsidP="00064C2A">
      <w:pPr>
        <w:pStyle w:val="Heading4"/>
        <w:rPr>
          <w:lang w:eastAsia="ko-KR"/>
        </w:rPr>
      </w:pPr>
      <w:r w:rsidRPr="009C5807">
        <w:rPr>
          <w:lang w:eastAsia="ko-KR"/>
        </w:rPr>
        <w:t>6.2</w:t>
      </w:r>
      <w:r>
        <w:rPr>
          <w:rFonts w:hint="eastAsia"/>
          <w:lang w:eastAsia="zh-CN"/>
        </w:rPr>
        <w:t>C</w:t>
      </w:r>
      <w:r w:rsidRPr="009C5807">
        <w:rPr>
          <w:lang w:eastAsia="ko-KR"/>
        </w:rPr>
        <w:t>.1.1</w:t>
      </w:r>
      <w:r w:rsidRPr="009C5807">
        <w:rPr>
          <w:lang w:eastAsia="ko-KR"/>
        </w:rPr>
        <w:tab/>
        <w:t>Introduction</w:t>
      </w:r>
    </w:p>
    <w:p w14:paraId="20A7D0AD" w14:textId="77777777" w:rsidR="00064C2A" w:rsidRPr="009C5807" w:rsidRDefault="00064C2A" w:rsidP="00064C2A">
      <w:pPr>
        <w:rPr>
          <w:lang w:val="en-US" w:eastAsia="zh-CN"/>
        </w:rPr>
      </w:pPr>
      <w:r w:rsidRPr="009C5807">
        <w:rPr>
          <w:lang w:val="en-US" w:eastAsia="zh-CN"/>
        </w:rPr>
        <w:t>This clause contains requirements on the UE regarding RRC connection re-establishment procedure. RRC connection re-establishment is initiated when a UE in RRC_CONNECTED state</w:t>
      </w:r>
      <w:r w:rsidRPr="008D754E">
        <w:rPr>
          <w:lang w:val="en-US" w:eastAsia="zh-CN"/>
        </w:rPr>
        <w:t xml:space="preserve"> </w:t>
      </w:r>
      <w:r>
        <w:rPr>
          <w:lang w:val="en-US" w:eastAsia="zh-CN"/>
        </w:rPr>
        <w:t xml:space="preserve">on the carrier </w:t>
      </w:r>
      <w:r w:rsidRPr="009C5807">
        <w:rPr>
          <w:lang w:val="en-US" w:eastAsia="zh-CN"/>
        </w:rPr>
        <w:t xml:space="preserve">loses RRC connection due to any of failure cases, including radio link failure, handover failure, and RRC connection reconfiguration failure. The RRC connection re-establishment procedure is specified in clause </w:t>
      </w:r>
      <w:r>
        <w:rPr>
          <w:rFonts w:hint="eastAsia"/>
          <w:lang w:val="en-US" w:eastAsia="zh-CN"/>
        </w:rPr>
        <w:t>[</w:t>
      </w:r>
      <w:r w:rsidRPr="009C5807">
        <w:rPr>
          <w:lang w:val="en-US" w:eastAsia="zh-CN"/>
        </w:rPr>
        <w:t>5.3.7</w:t>
      </w:r>
      <w:r>
        <w:rPr>
          <w:rFonts w:hint="eastAsia"/>
          <w:lang w:val="en-US" w:eastAsia="zh-CN"/>
        </w:rPr>
        <w:t>]</w:t>
      </w:r>
      <w:r w:rsidRPr="009C5807">
        <w:rPr>
          <w:lang w:val="en-US" w:eastAsia="zh-CN"/>
        </w:rPr>
        <w:t xml:space="preserve"> of TS 38.331 [2].</w:t>
      </w:r>
    </w:p>
    <w:p w14:paraId="60FD484C" w14:textId="77777777" w:rsidR="00064C2A" w:rsidRPr="009C5807" w:rsidRDefault="00064C2A" w:rsidP="00064C2A">
      <w:pPr>
        <w:rPr>
          <w:lang w:val="en-US" w:eastAsia="zh-CN"/>
        </w:rPr>
      </w:pPr>
      <w:r w:rsidRPr="009C5807">
        <w:rPr>
          <w:lang w:val="en-US" w:eastAsia="zh-CN"/>
        </w:rPr>
        <w:t>The requirements in this clause are applicable for RRC connection re-establishment to NR cell</w:t>
      </w:r>
      <w:r>
        <w:rPr>
          <w:lang w:val="en-US" w:eastAsia="zh-CN"/>
        </w:rPr>
        <w:t>, which is served by satellite access node (SAN)</w:t>
      </w:r>
      <w:r w:rsidRPr="009C5807">
        <w:rPr>
          <w:lang w:val="en-US" w:eastAsia="zh-CN"/>
        </w:rPr>
        <w:t>.</w:t>
      </w:r>
    </w:p>
    <w:p w14:paraId="6FCB8870" w14:textId="77777777" w:rsidR="00064C2A" w:rsidRPr="009C5807" w:rsidRDefault="00064C2A" w:rsidP="00064C2A">
      <w:pPr>
        <w:pStyle w:val="Heading4"/>
        <w:rPr>
          <w:lang w:eastAsia="ko-KR"/>
        </w:rPr>
      </w:pPr>
      <w:r w:rsidRPr="009C5807">
        <w:rPr>
          <w:lang w:eastAsia="ko-KR"/>
        </w:rPr>
        <w:t>6.2</w:t>
      </w:r>
      <w:r>
        <w:rPr>
          <w:rFonts w:hint="eastAsia"/>
          <w:lang w:eastAsia="zh-CN"/>
        </w:rPr>
        <w:t>C</w:t>
      </w:r>
      <w:r w:rsidRPr="009C5807">
        <w:rPr>
          <w:lang w:eastAsia="ko-KR"/>
        </w:rPr>
        <w:t>.1.2</w:t>
      </w:r>
      <w:r w:rsidRPr="009C5807">
        <w:rPr>
          <w:lang w:eastAsia="ko-KR"/>
        </w:rPr>
        <w:tab/>
        <w:t>Requirements</w:t>
      </w:r>
    </w:p>
    <w:p w14:paraId="6E3E220D" w14:textId="4FBA4ED6" w:rsidR="00064C2A" w:rsidRPr="009C5807" w:rsidRDefault="00064C2A" w:rsidP="00064C2A">
      <w:pPr>
        <w:rPr>
          <w:lang w:eastAsia="ko-KR"/>
        </w:rPr>
      </w:pPr>
      <w:r w:rsidRPr="009C5807">
        <w:rPr>
          <w:lang w:eastAsia="ko-KR"/>
        </w:rPr>
        <w:t xml:space="preserve">In </w:t>
      </w:r>
      <w:r w:rsidRPr="009C5807">
        <w:rPr>
          <w:rFonts w:hint="eastAsia"/>
          <w:lang w:eastAsia="zh-CN"/>
        </w:rPr>
        <w:t>RRC_CONNECTED state</w:t>
      </w:r>
      <w:r w:rsidRPr="009C5807">
        <w:rPr>
          <w:lang w:eastAsia="ko-KR"/>
        </w:rPr>
        <w:t xml:space="preserve"> the UE shall be capable of sending </w:t>
      </w:r>
      <w:r w:rsidRPr="009C5807">
        <w:rPr>
          <w:i/>
          <w:lang w:eastAsia="ko-KR"/>
        </w:rPr>
        <w:t>RRCReestablishmentRequest</w:t>
      </w:r>
      <w:r w:rsidRPr="009C5807">
        <w:rPr>
          <w:lang w:eastAsia="ko-KR"/>
        </w:rPr>
        <w:t xml:space="preserve"> message within T</w:t>
      </w:r>
      <w:r w:rsidRPr="009C5807">
        <w:rPr>
          <w:vertAlign w:val="subscript"/>
          <w:lang w:eastAsia="ko-KR"/>
        </w:rPr>
        <w:t>re-establish_delay</w:t>
      </w:r>
      <w:r w:rsidRPr="009C5807">
        <w:rPr>
          <w:lang w:eastAsia="ko-KR"/>
        </w:rPr>
        <w:t xml:space="preserve"> seconds from the moment it detects </w:t>
      </w:r>
      <w:r w:rsidRPr="009C5807">
        <w:rPr>
          <w:snapToGrid w:val="0"/>
          <w:lang w:eastAsia="ko-KR"/>
        </w:rPr>
        <w:t>a loss in RRC connection</w:t>
      </w:r>
      <w:r w:rsidRPr="009C5807">
        <w:rPr>
          <w:lang w:eastAsia="ko-KR"/>
        </w:rPr>
        <w:t>. The total RRC connection delay (T</w:t>
      </w:r>
      <w:r w:rsidRPr="009C5807">
        <w:rPr>
          <w:vertAlign w:val="subscript"/>
          <w:lang w:eastAsia="ko-KR"/>
        </w:rPr>
        <w:t>re-establish_delay</w:t>
      </w:r>
      <w:r w:rsidRPr="009C5807">
        <w:rPr>
          <w:lang w:eastAsia="ko-KR"/>
        </w:rPr>
        <w:t>) shall be less than:</w:t>
      </w:r>
    </w:p>
    <w:p w14:paraId="60AD462E" w14:textId="77777777" w:rsidR="00064C2A" w:rsidRPr="00734785" w:rsidRDefault="00000000" w:rsidP="00064C2A">
      <w:pPr>
        <w:pStyle w:val="EQ"/>
        <w:jc w:val="center"/>
        <w:rPr>
          <w:iCs/>
          <w:vertAlign w:val="subscript"/>
        </w:rPr>
      </w:pPr>
      <m:oMathPara>
        <m:oMathParaPr>
          <m:jc m:val="center"/>
        </m:oMathParaPr>
        <m:oMath>
          <m:sSub>
            <m:sSubPr>
              <m:ctrlPr>
                <w:rPr>
                  <w:rFonts w:ascii="Cambria Math" w:hAnsi="Cambria Math"/>
                  <w:iCs/>
                  <w:noProof w:val="0"/>
                  <w:lang w:eastAsia="ko-KR"/>
                </w:rPr>
              </m:ctrlPr>
            </m:sSubPr>
            <m:e>
              <m:r>
                <m:rPr>
                  <m:sty m:val="p"/>
                </m:rPr>
                <w:rPr>
                  <w:rFonts w:ascii="Cambria Math" w:hAnsi="Cambria Math"/>
                  <w:noProof w:val="0"/>
                  <w:lang w:eastAsia="ko-KR"/>
                </w:rPr>
                <m:t>T</m:t>
              </m:r>
            </m:e>
            <m:sub>
              <m:r>
                <m:rPr>
                  <m:sty m:val="p"/>
                </m:rPr>
                <w:rPr>
                  <w:rFonts w:ascii="Cambria Math" w:hAnsi="Cambria Math"/>
                  <w:noProof w:val="0"/>
                  <w:lang w:eastAsia="ko-KR"/>
                </w:rPr>
                <m:t>re-establish_delay</m:t>
              </m:r>
            </m:sub>
          </m:sSub>
          <m:r>
            <m:rPr>
              <m:sty m:val="p"/>
            </m:rPr>
            <w:rPr>
              <w:rFonts w:ascii="Cambria Math" w:hAnsi="Cambria Math"/>
              <w:noProof w:val="0"/>
              <w:lang w:eastAsia="ko-KR"/>
            </w:rPr>
            <m:t>=</m:t>
          </m:r>
          <m:sSub>
            <m:sSubPr>
              <m:ctrlPr>
                <w:rPr>
                  <w:rFonts w:ascii="Cambria Math" w:hAnsi="Cambria Math"/>
                  <w:iCs/>
                  <w:noProof w:val="0"/>
                  <w:lang w:eastAsia="ko-KR"/>
                </w:rPr>
              </m:ctrlPr>
            </m:sSubPr>
            <m:e>
              <m:r>
                <m:rPr>
                  <m:sty m:val="p"/>
                </m:rPr>
                <w:rPr>
                  <w:rFonts w:ascii="Cambria Math" w:hAnsi="Cambria Math"/>
                  <w:noProof w:val="0"/>
                  <w:lang w:eastAsia="ko-KR"/>
                </w:rPr>
                <m:t>T</m:t>
              </m:r>
            </m:e>
            <m:sub>
              <m:r>
                <m:rPr>
                  <m:sty m:val="p"/>
                </m:rPr>
                <w:rPr>
                  <w:rFonts w:ascii="Cambria Math" w:hAnsi="Cambria Math"/>
                  <w:noProof w:val="0"/>
                  <w:lang w:eastAsia="ko-KR"/>
                </w:rPr>
                <m:t>UE_re-establish_delay</m:t>
              </m:r>
            </m:sub>
          </m:sSub>
          <m:r>
            <m:rPr>
              <m:sty m:val="p"/>
            </m:rPr>
            <w:rPr>
              <w:rFonts w:ascii="Cambria Math" w:hAnsi="Cambria Math"/>
              <w:lang w:eastAsia="ko-KR"/>
            </w:rPr>
            <m:t>+</m:t>
          </m:r>
          <m:sSub>
            <m:sSubPr>
              <m:ctrlPr>
                <w:rPr>
                  <w:rFonts w:ascii="Cambria Math" w:hAnsi="Cambria Math"/>
                  <w:iCs/>
                  <w:noProof w:val="0"/>
                  <w:lang w:eastAsia="ko-KR"/>
                </w:rPr>
              </m:ctrlPr>
            </m:sSubPr>
            <m:e>
              <m:r>
                <m:rPr>
                  <m:sty m:val="p"/>
                </m:rPr>
                <w:rPr>
                  <w:rFonts w:ascii="Cambria Math" w:hAnsi="Cambria Math"/>
                  <w:noProof w:val="0"/>
                  <w:lang w:eastAsia="ko-KR"/>
                </w:rPr>
                <m:t>T</m:t>
              </m:r>
            </m:e>
            <m:sub>
              <m:r>
                <m:rPr>
                  <m:sty m:val="p"/>
                </m:rPr>
                <w:rPr>
                  <w:rFonts w:ascii="Cambria Math" w:hAnsi="Cambria Math"/>
                  <w:noProof w:val="0"/>
                  <w:lang w:eastAsia="ko-KR"/>
                </w:rPr>
                <m:t>UL_grant</m:t>
              </m:r>
            </m:sub>
          </m:sSub>
        </m:oMath>
      </m:oMathPara>
    </w:p>
    <w:p w14:paraId="726A3D7B" w14:textId="77777777" w:rsidR="00064C2A" w:rsidRPr="009C5807" w:rsidRDefault="00064C2A" w:rsidP="00064C2A">
      <w:r w:rsidRPr="009C5807">
        <w:t>T</w:t>
      </w:r>
      <w:r w:rsidRPr="009C5807">
        <w:rPr>
          <w:vertAlign w:val="subscript"/>
        </w:rPr>
        <w:t>UL_grant</w:t>
      </w:r>
      <w:r w:rsidRPr="009C5807">
        <w:t>: It is the time required to acquire and process uplink grant from the target PCell. The uplink grant is required to</w:t>
      </w:r>
      <w:r w:rsidRPr="009C5807">
        <w:rPr>
          <w:lang w:eastAsia="ko-KR"/>
        </w:rPr>
        <w:t xml:space="preserve"> </w:t>
      </w:r>
      <w:r w:rsidRPr="009C5807">
        <w:t xml:space="preserve">transmit </w:t>
      </w:r>
      <w:r w:rsidRPr="009C5807">
        <w:rPr>
          <w:i/>
        </w:rPr>
        <w:t>RRCReestablishmentRequest</w:t>
      </w:r>
      <w:r w:rsidRPr="009C5807">
        <w:t xml:space="preserve"> </w:t>
      </w:r>
      <w:r w:rsidRPr="009C5807">
        <w:rPr>
          <w:rFonts w:cs="v4.2.0"/>
        </w:rPr>
        <w:t>message.</w:t>
      </w:r>
    </w:p>
    <w:p w14:paraId="70C591AA" w14:textId="77777777" w:rsidR="00064C2A" w:rsidRPr="009C5807" w:rsidRDefault="00064C2A" w:rsidP="00064C2A">
      <w:pPr>
        <w:rPr>
          <w:lang w:eastAsia="ko-KR"/>
        </w:rPr>
      </w:pPr>
      <w:r w:rsidRPr="009C5807">
        <w:rPr>
          <w:lang w:eastAsia="ko-KR"/>
        </w:rPr>
        <w:t>The UE re-establishment delay (T</w:t>
      </w:r>
      <w:r w:rsidRPr="009C5807">
        <w:rPr>
          <w:vertAlign w:val="subscript"/>
          <w:lang w:eastAsia="ko-KR"/>
        </w:rPr>
        <w:t>UE_re-establish_delay</w:t>
      </w:r>
      <w:r w:rsidRPr="009C5807">
        <w:rPr>
          <w:lang w:eastAsia="ko-KR"/>
        </w:rPr>
        <w:t>) is specified in clause 6.2</w:t>
      </w:r>
      <w:r>
        <w:rPr>
          <w:rFonts w:hint="eastAsia"/>
          <w:lang w:eastAsia="zh-CN"/>
        </w:rPr>
        <w:t>C</w:t>
      </w:r>
      <w:r w:rsidRPr="009C5807">
        <w:rPr>
          <w:lang w:eastAsia="ko-KR"/>
        </w:rPr>
        <w:t>.1.2.1.</w:t>
      </w:r>
    </w:p>
    <w:p w14:paraId="66721BDE" w14:textId="77777777" w:rsidR="00064C2A" w:rsidRPr="009C5807" w:rsidRDefault="00064C2A" w:rsidP="00064C2A">
      <w:pPr>
        <w:pStyle w:val="Heading5"/>
        <w:rPr>
          <w:lang w:val="en-US" w:eastAsia="zh-CN"/>
        </w:rPr>
      </w:pPr>
      <w:r w:rsidRPr="009C5807">
        <w:rPr>
          <w:lang w:val="en-US" w:eastAsia="zh-CN"/>
        </w:rPr>
        <w:t>6.2</w:t>
      </w:r>
      <w:r>
        <w:rPr>
          <w:rFonts w:hint="eastAsia"/>
          <w:lang w:val="en-US" w:eastAsia="zh-CN"/>
        </w:rPr>
        <w:t>C</w:t>
      </w:r>
      <w:r w:rsidRPr="009C5807">
        <w:rPr>
          <w:lang w:val="en-US" w:eastAsia="zh-CN"/>
        </w:rPr>
        <w:t>.1.2.1</w:t>
      </w:r>
      <w:r w:rsidRPr="009C5807">
        <w:rPr>
          <w:lang w:val="en-US" w:eastAsia="zh-CN"/>
        </w:rPr>
        <w:tab/>
        <w:t>UE Re-establishment delay requirement</w:t>
      </w:r>
    </w:p>
    <w:p w14:paraId="42A41041" w14:textId="77777777" w:rsidR="00064C2A" w:rsidRPr="009C5807" w:rsidRDefault="00064C2A" w:rsidP="00064C2A">
      <w:pPr>
        <w:rPr>
          <w:lang w:eastAsia="ko-KR"/>
        </w:rPr>
      </w:pPr>
      <w:r w:rsidRPr="009C5807">
        <w:rPr>
          <w:lang w:eastAsia="ko-KR"/>
        </w:rPr>
        <w:t>The UE re-establishment delay (T</w:t>
      </w:r>
      <w:r w:rsidRPr="009C5807">
        <w:rPr>
          <w:vertAlign w:val="subscript"/>
          <w:lang w:eastAsia="ko-KR"/>
        </w:rPr>
        <w:t>UE_re-establish_delay</w:t>
      </w:r>
      <w:r w:rsidRPr="009C5807">
        <w:rPr>
          <w:lang w:eastAsia="ko-KR"/>
        </w:rPr>
        <w:t xml:space="preserve">) is the time between the moments when any of the conditions requiring RRC </w:t>
      </w:r>
      <w:r w:rsidRPr="009C5807">
        <w:rPr>
          <w:lang w:eastAsia="zh-CN"/>
        </w:rPr>
        <w:t>re-establishment</w:t>
      </w:r>
      <w:r w:rsidRPr="009C5807">
        <w:rPr>
          <w:lang w:eastAsia="ko-KR"/>
        </w:rPr>
        <w:t xml:space="preserve"> as defined in clause </w:t>
      </w:r>
      <w:r>
        <w:rPr>
          <w:rFonts w:hint="eastAsia"/>
          <w:lang w:eastAsia="zh-CN"/>
        </w:rPr>
        <w:t>[</w:t>
      </w:r>
      <w:r w:rsidRPr="009C5807">
        <w:rPr>
          <w:lang w:eastAsia="ko-KR"/>
        </w:rPr>
        <w:t>5.3.7</w:t>
      </w:r>
      <w:r>
        <w:rPr>
          <w:rFonts w:hint="eastAsia"/>
          <w:lang w:eastAsia="zh-CN"/>
        </w:rPr>
        <w:t>]</w:t>
      </w:r>
      <w:r w:rsidRPr="009C5807">
        <w:rPr>
          <w:lang w:eastAsia="ko-KR"/>
        </w:rPr>
        <w:t xml:space="preserve"> in TS 38.331 [2] is detected </w:t>
      </w:r>
      <w:r w:rsidRPr="009C5807">
        <w:rPr>
          <w:snapToGrid w:val="0"/>
          <w:lang w:eastAsia="ko-KR"/>
        </w:rPr>
        <w:t>by the UE</w:t>
      </w:r>
      <w:r w:rsidRPr="009C5807">
        <w:rPr>
          <w:lang w:eastAsia="ko-KR"/>
        </w:rPr>
        <w:t xml:space="preserve"> and when the UE sends PRACH to the target </w:t>
      </w:r>
      <w:r w:rsidRPr="009C5807">
        <w:rPr>
          <w:lang w:eastAsia="zh-CN"/>
        </w:rPr>
        <w:t>PC</w:t>
      </w:r>
      <w:r w:rsidRPr="009C5807">
        <w:rPr>
          <w:lang w:eastAsia="ko-KR"/>
        </w:rPr>
        <w:t>ell. The UE re-establishment delay (T</w:t>
      </w:r>
      <w:r w:rsidRPr="009C5807">
        <w:rPr>
          <w:vertAlign w:val="subscript"/>
          <w:lang w:eastAsia="ko-KR"/>
        </w:rPr>
        <w:t>UE_re-establish_delay</w:t>
      </w:r>
      <w:r w:rsidRPr="009C5807">
        <w:rPr>
          <w:lang w:eastAsia="ko-KR"/>
        </w:rPr>
        <w:t>) requirement shall be less than:</w:t>
      </w:r>
    </w:p>
    <w:p w14:paraId="2B106A14" w14:textId="77777777" w:rsidR="00064C2A" w:rsidRPr="009C5807" w:rsidRDefault="00000000" w:rsidP="00064C2A">
      <w:pPr>
        <w:pStyle w:val="EQ"/>
        <w:rPr>
          <w:iCs/>
          <w:lang w:eastAsia="ko-KR"/>
        </w:rPr>
      </w:pPr>
      <m:oMathPara>
        <m:oMath>
          <m:sSub>
            <m:sSubPr>
              <m:ctrlPr>
                <w:rPr>
                  <w:rFonts w:ascii="Cambria Math" w:hAnsi="Cambria Math"/>
                  <w:iCs/>
                  <w:noProof w:val="0"/>
                  <w:lang w:eastAsia="ko-KR"/>
                </w:rPr>
              </m:ctrlPr>
            </m:sSubPr>
            <m:e>
              <m:r>
                <m:rPr>
                  <m:sty m:val="p"/>
                </m:rPr>
                <w:rPr>
                  <w:rFonts w:ascii="Cambria Math" w:hAnsi="Cambria Math"/>
                  <w:noProof w:val="0"/>
                  <w:lang w:eastAsia="ko-KR"/>
                </w:rPr>
                <m:t>T</m:t>
              </m:r>
            </m:e>
            <m:sub>
              <m:r>
                <m:rPr>
                  <m:sty m:val="p"/>
                </m:rPr>
                <w:rPr>
                  <w:rFonts w:ascii="Cambria Math" w:hAnsi="Cambria Math"/>
                  <w:noProof w:val="0"/>
                  <w:lang w:eastAsia="ko-KR"/>
                </w:rPr>
                <m:t>UE_re-establish_delay</m:t>
              </m:r>
            </m:sub>
          </m:sSub>
          <m:r>
            <m:rPr>
              <m:sty m:val="p"/>
            </m:rPr>
            <w:rPr>
              <w:rFonts w:ascii="Cambria Math" w:hAnsi="Cambria Math"/>
              <w:noProof w:val="0"/>
              <w:lang w:eastAsia="ko-KR"/>
            </w:rPr>
            <m:t>=50 ms+</m:t>
          </m:r>
          <m:sSub>
            <m:sSubPr>
              <m:ctrlPr>
                <w:rPr>
                  <w:rFonts w:ascii="Cambria Math" w:hAnsi="Cambria Math"/>
                  <w:iCs/>
                  <w:noProof w:val="0"/>
                  <w:lang w:eastAsia="ko-KR"/>
                </w:rPr>
              </m:ctrlPr>
            </m:sSubPr>
            <m:e>
              <m:r>
                <m:rPr>
                  <m:sty m:val="p"/>
                </m:rPr>
                <w:rPr>
                  <w:rFonts w:ascii="Cambria Math" w:hAnsi="Cambria Math"/>
                  <w:noProof w:val="0"/>
                  <w:lang w:eastAsia="ko-KR"/>
                </w:rPr>
                <m:t>T</m:t>
              </m:r>
            </m:e>
            <m:sub>
              <m:r>
                <m:rPr>
                  <m:sty m:val="p"/>
                </m:rPr>
                <w:rPr>
                  <w:rFonts w:ascii="Cambria Math" w:hAnsi="Cambria Math"/>
                  <w:noProof w:val="0"/>
                  <w:lang w:eastAsia="ko-KR"/>
                </w:rPr>
                <m:t>identify_intra_NR</m:t>
              </m:r>
            </m:sub>
          </m:sSub>
          <m:r>
            <m:rPr>
              <m:sty m:val="p"/>
            </m:rPr>
            <w:rPr>
              <w:rFonts w:ascii="Cambria Math" w:hAnsi="Cambria Math"/>
              <w:noProof w:val="0"/>
              <w:lang w:eastAsia="ko-KR"/>
            </w:rPr>
            <m:t>+</m:t>
          </m:r>
          <m:nary>
            <m:naryPr>
              <m:chr m:val="∑"/>
              <m:limLoc m:val="subSup"/>
              <m:ctrlPr>
                <w:rPr>
                  <w:rFonts w:ascii="Cambria Math" w:hAnsi="Cambria Math"/>
                  <w:iCs/>
                </w:rPr>
              </m:ctrlPr>
            </m:naryPr>
            <m:sub>
              <m:r>
                <m:rPr>
                  <m:sty m:val="p"/>
                </m:rPr>
                <w:rPr>
                  <w:rFonts w:ascii="Cambria Math" w:hAnsi="Cambria Math"/>
                </w:rPr>
                <m:t>i=1</m:t>
              </m:r>
            </m:sub>
            <m:sup>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freq</m:t>
                  </m:r>
                </m:sub>
              </m:sSub>
              <m:r>
                <m:rPr>
                  <m:sty m:val="p"/>
                </m:rPr>
                <w:rPr>
                  <w:rFonts w:ascii="Cambria Math" w:hAnsi="Cambria Math"/>
                </w:rPr>
                <m:t>-1</m:t>
              </m:r>
            </m:sup>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identify_inter_NR,i</m:t>
                  </m:r>
                </m:sub>
              </m:sSub>
            </m:e>
          </m:nary>
          <m:r>
            <m:rPr>
              <m:sty m:val="p"/>
            </m:rPr>
            <w:rPr>
              <w:rFonts w:ascii="Cambria Math" w:hAnsi="Cambria Math"/>
              <w:vertAlign w:val="subscript"/>
            </w:rPr>
            <m:t>+</m:t>
          </m:r>
          <m:sSub>
            <m:sSubPr>
              <m:ctrlPr>
                <w:rPr>
                  <w:rFonts w:ascii="Cambria Math" w:hAnsi="Cambria Math"/>
                  <w:iCs/>
                  <w:vertAlign w:val="subscript"/>
                </w:rPr>
              </m:ctrlPr>
            </m:sSubPr>
            <m:e>
              <m:r>
                <m:rPr>
                  <m:sty m:val="p"/>
                </m:rPr>
                <w:rPr>
                  <w:rFonts w:ascii="Cambria Math" w:hAnsi="Cambria Math"/>
                  <w:vertAlign w:val="subscript"/>
                </w:rPr>
                <m:t>T</m:t>
              </m:r>
            </m:e>
            <m:sub>
              <m:r>
                <m:rPr>
                  <m:sty m:val="p"/>
                </m:rPr>
                <w:rPr>
                  <w:rFonts w:ascii="Cambria Math" w:hAnsi="Cambria Math"/>
                  <w:vertAlign w:val="subscript"/>
                </w:rPr>
                <m:t>SI-NR</m:t>
              </m:r>
            </m:sub>
          </m:sSub>
          <m:r>
            <m:rPr>
              <m:sty m:val="p"/>
            </m:rPr>
            <w:rPr>
              <w:rFonts w:ascii="Cambria Math" w:hAnsi="Cambria Math"/>
              <w:vertAlign w:val="subscript"/>
            </w:rPr>
            <m:t>+</m:t>
          </m:r>
          <m:sSub>
            <m:sSubPr>
              <m:ctrlPr>
                <w:rPr>
                  <w:rFonts w:ascii="Cambria Math" w:hAnsi="Cambria Math"/>
                  <w:iCs/>
                  <w:vertAlign w:val="subscript"/>
                </w:rPr>
              </m:ctrlPr>
            </m:sSubPr>
            <m:e>
              <m:r>
                <m:rPr>
                  <m:sty m:val="p"/>
                </m:rPr>
                <w:rPr>
                  <w:rFonts w:ascii="Cambria Math" w:hAnsi="Cambria Math"/>
                  <w:vertAlign w:val="subscript"/>
                </w:rPr>
                <m:t>T</m:t>
              </m:r>
            </m:e>
            <m:sub>
              <m:r>
                <m:rPr>
                  <m:sty m:val="p"/>
                </m:rPr>
                <w:rPr>
                  <w:rFonts w:ascii="Cambria Math" w:hAnsi="Cambria Math"/>
                  <w:vertAlign w:val="subscript"/>
                </w:rPr>
                <m:t>PRACH</m:t>
              </m:r>
            </m:sub>
          </m:sSub>
        </m:oMath>
      </m:oMathPara>
    </w:p>
    <w:p w14:paraId="2FC23A4A" w14:textId="77777777" w:rsidR="00064C2A" w:rsidRPr="009C5807" w:rsidRDefault="00064C2A" w:rsidP="00064C2A">
      <w:pPr>
        <w:rPr>
          <w:rFonts w:cs="v4.2.0"/>
          <w:lang w:eastAsia="ko-KR"/>
        </w:rPr>
      </w:pPr>
      <w:r w:rsidRPr="009C5807">
        <w:rPr>
          <w:lang w:eastAsia="ko-KR"/>
        </w:rPr>
        <w:t>The intra-frequency target NR cell shall be considered detectable</w:t>
      </w:r>
      <w:r w:rsidRPr="009C5807">
        <w:rPr>
          <w:rFonts w:cs="v4.2.0"/>
          <w:lang w:eastAsia="ko-KR"/>
        </w:rPr>
        <w:t xml:space="preserve"> </w:t>
      </w:r>
      <w:r w:rsidRPr="009C5807">
        <w:rPr>
          <w:rFonts w:cs="v4.2.0" w:hint="eastAsia"/>
          <w:lang w:eastAsia="zh-CN"/>
        </w:rPr>
        <w:t>if</w:t>
      </w:r>
      <w:r w:rsidRPr="009C5807">
        <w:rPr>
          <w:rFonts w:cs="v4.2.0"/>
          <w:lang w:eastAsia="ko-KR"/>
        </w:rPr>
        <w:t xml:space="preserve"> each relevant SSB</w:t>
      </w:r>
      <w:r w:rsidRPr="009C5807">
        <w:rPr>
          <w:rFonts w:cs="v4.2.0" w:hint="eastAsia"/>
          <w:lang w:eastAsia="zh-CN"/>
        </w:rPr>
        <w:t xml:space="preserve"> can satisfy that</w:t>
      </w:r>
      <w:r w:rsidRPr="009C5807">
        <w:rPr>
          <w:rFonts w:cs="v4.2.0"/>
          <w:lang w:eastAsia="ko-KR"/>
        </w:rPr>
        <w:t>:</w:t>
      </w:r>
    </w:p>
    <w:p w14:paraId="4942E520" w14:textId="77777777" w:rsidR="00064C2A" w:rsidRPr="009C5807" w:rsidRDefault="00064C2A" w:rsidP="00064C2A">
      <w:pPr>
        <w:pStyle w:val="B10"/>
        <w:rPr>
          <w:lang w:eastAsia="zh-CN"/>
        </w:rPr>
      </w:pPr>
      <w:r w:rsidRPr="009C5807">
        <w:t>-</w:t>
      </w:r>
      <w:r w:rsidRPr="009C5807">
        <w:tab/>
        <w:t xml:space="preserve">SS-RSRP related side conditions given in clause 10.1.2 and 10.1.3 are fulfilled for a corresponding NR Band for FR1, </w:t>
      </w:r>
      <w:r w:rsidRPr="009C5807">
        <w:rPr>
          <w:rFonts w:hint="eastAsia"/>
          <w:lang w:eastAsia="zh-CN"/>
        </w:rPr>
        <w:t>and</w:t>
      </w:r>
    </w:p>
    <w:p w14:paraId="265CD7F7" w14:textId="77777777" w:rsidR="00064C2A" w:rsidRPr="009C5807" w:rsidRDefault="00064C2A" w:rsidP="00064C2A">
      <w:pPr>
        <w:pStyle w:val="B10"/>
        <w:rPr>
          <w:rFonts w:cs="v4.2.0"/>
        </w:rPr>
      </w:pPr>
      <w:r w:rsidRPr="009C5807">
        <w:t>-</w:t>
      </w:r>
      <w:r w:rsidRPr="009C5807">
        <w:tab/>
      </w:r>
      <w:r w:rsidRPr="009C5807">
        <w:rPr>
          <w:rFonts w:hint="eastAsia"/>
          <w:lang w:eastAsia="zh-CN"/>
        </w:rPr>
        <w:t xml:space="preserve">the conditions of </w:t>
      </w:r>
      <w:r w:rsidRPr="009C5807">
        <w:t xml:space="preserve">SSB_RP and SSB </w:t>
      </w:r>
      <w:r w:rsidRPr="009C5807">
        <w:rPr>
          <w:lang w:val="en-US"/>
        </w:rPr>
        <w:t>Ês/Iot</w:t>
      </w:r>
      <w:r w:rsidRPr="009C5807">
        <w:t xml:space="preserve"> according to Annex B.2.</w:t>
      </w:r>
      <w:r>
        <w:t>x1</w:t>
      </w:r>
      <w:r w:rsidRPr="009C5807">
        <w:t xml:space="preserve"> for a corresponding NR Band</w:t>
      </w:r>
      <w:r w:rsidRPr="009C5807">
        <w:rPr>
          <w:rFonts w:hint="eastAsia"/>
          <w:lang w:eastAsia="zh-CN"/>
        </w:rPr>
        <w:t xml:space="preserve"> are fulfilled</w:t>
      </w:r>
      <w:r w:rsidRPr="009C5807">
        <w:t>.</w:t>
      </w:r>
    </w:p>
    <w:p w14:paraId="52D5E251" w14:textId="77777777" w:rsidR="00064C2A" w:rsidRPr="009C5807" w:rsidRDefault="00064C2A" w:rsidP="00064C2A">
      <w:pPr>
        <w:rPr>
          <w:rFonts w:cs="v4.2.0"/>
          <w:lang w:eastAsia="ko-KR"/>
        </w:rPr>
      </w:pPr>
      <w:r w:rsidRPr="009C5807">
        <w:rPr>
          <w:lang w:eastAsia="ko-KR"/>
        </w:rPr>
        <w:t>The inter-frequency target NR cell shall be considered detectable</w:t>
      </w:r>
      <w:r w:rsidRPr="009C5807">
        <w:rPr>
          <w:rFonts w:cs="v4.2.0"/>
          <w:lang w:eastAsia="ko-KR"/>
        </w:rPr>
        <w:t xml:space="preserve"> when for each relevant SSB:</w:t>
      </w:r>
    </w:p>
    <w:p w14:paraId="7258111E" w14:textId="77777777" w:rsidR="00064C2A" w:rsidRPr="009C5807" w:rsidRDefault="00064C2A" w:rsidP="00064C2A">
      <w:pPr>
        <w:pStyle w:val="B10"/>
        <w:rPr>
          <w:lang w:eastAsia="zh-CN"/>
        </w:rPr>
      </w:pPr>
      <w:r w:rsidRPr="009C5807">
        <w:t>-</w:t>
      </w:r>
      <w:r w:rsidRPr="009C5807">
        <w:tab/>
        <w:t>SS-RSRP related side conditions given in clause 10.1.4 are fulfilled for a corresponding NR Band for FR1,</w:t>
      </w:r>
      <w:r w:rsidRPr="009C5807">
        <w:rPr>
          <w:rFonts w:hint="eastAsia"/>
          <w:lang w:eastAsia="zh-CN"/>
        </w:rPr>
        <w:t xml:space="preserve"> and</w:t>
      </w:r>
    </w:p>
    <w:p w14:paraId="3795A7FB" w14:textId="77777777" w:rsidR="00064C2A" w:rsidRPr="009C5807" w:rsidRDefault="00064C2A" w:rsidP="00064C2A">
      <w:pPr>
        <w:pStyle w:val="B10"/>
        <w:rPr>
          <w:rFonts w:cs="v4.2.0"/>
        </w:rPr>
      </w:pPr>
      <w:r w:rsidRPr="009C5807">
        <w:t>-</w:t>
      </w:r>
      <w:r w:rsidRPr="009C5807">
        <w:tab/>
      </w:r>
      <w:r w:rsidRPr="009C5807">
        <w:rPr>
          <w:rFonts w:hint="eastAsia"/>
          <w:lang w:eastAsia="zh-CN"/>
        </w:rPr>
        <w:t xml:space="preserve">the conditions of </w:t>
      </w:r>
      <w:r w:rsidRPr="009C5807">
        <w:t xml:space="preserve">SSB_RP and SSB </w:t>
      </w:r>
      <w:r w:rsidRPr="009C5807">
        <w:rPr>
          <w:lang w:val="en-US"/>
        </w:rPr>
        <w:t>Ês/Iot</w:t>
      </w:r>
      <w:r w:rsidRPr="009C5807">
        <w:t xml:space="preserve"> according to Annex B.2.</w:t>
      </w:r>
      <w:r>
        <w:t>x2</w:t>
      </w:r>
      <w:r w:rsidRPr="009C5807">
        <w:t xml:space="preserve"> for a corresponding NR Band</w:t>
      </w:r>
      <w:r w:rsidRPr="009C5807">
        <w:rPr>
          <w:rFonts w:hint="eastAsia"/>
          <w:lang w:eastAsia="zh-CN"/>
        </w:rPr>
        <w:t xml:space="preserve"> are fulfilled</w:t>
      </w:r>
      <w:r w:rsidRPr="009C5807">
        <w:t>.</w:t>
      </w:r>
    </w:p>
    <w:p w14:paraId="035A1A3C" w14:textId="77777777" w:rsidR="00064C2A" w:rsidRPr="009C5807" w:rsidRDefault="00064C2A" w:rsidP="00064C2A">
      <w:pPr>
        <w:rPr>
          <w:lang w:eastAsia="ko-KR"/>
        </w:rPr>
      </w:pPr>
      <w:r w:rsidRPr="009C5807">
        <w:rPr>
          <w:lang w:eastAsia="ko-KR"/>
        </w:rPr>
        <w:t>T</w:t>
      </w:r>
      <w:r w:rsidRPr="009C5807">
        <w:rPr>
          <w:vertAlign w:val="subscript"/>
          <w:lang w:eastAsia="ko-KR"/>
        </w:rPr>
        <w:t>identify_intra_NR</w:t>
      </w:r>
      <w:r w:rsidRPr="009C5807">
        <w:rPr>
          <w:lang w:eastAsia="ko-KR"/>
        </w:rPr>
        <w:t>: It is the time to identify the target intra-frequency NR cell and it depends on whether the target NR cell is known cell or unknown cell. If the UE is not configured with intra-frequency NR carrier for RRC re-establishment then T</w:t>
      </w:r>
      <w:r w:rsidRPr="009C5807">
        <w:rPr>
          <w:vertAlign w:val="subscript"/>
          <w:lang w:eastAsia="ko-KR"/>
        </w:rPr>
        <w:t>identify_intra_NR</w:t>
      </w:r>
      <w:r w:rsidRPr="009C5807">
        <w:rPr>
          <w:lang w:eastAsia="ko-KR"/>
        </w:rPr>
        <w:t>=0; otherwise T</w:t>
      </w:r>
      <w:r w:rsidRPr="009C5807">
        <w:rPr>
          <w:vertAlign w:val="subscript"/>
          <w:lang w:eastAsia="ko-KR"/>
        </w:rPr>
        <w:t>identify_intra_NR</w:t>
      </w:r>
      <w:r w:rsidRPr="009C5807">
        <w:rPr>
          <w:lang w:eastAsia="ko-KR"/>
        </w:rPr>
        <w:t xml:space="preserve"> shall not exceed the values defined in </w:t>
      </w:r>
      <w:r w:rsidRPr="009C5807">
        <w:rPr>
          <w:rFonts w:hint="eastAsia"/>
          <w:lang w:eastAsia="zh-CN"/>
        </w:rPr>
        <w:t>T</w:t>
      </w:r>
      <w:r w:rsidRPr="009C5807">
        <w:rPr>
          <w:lang w:eastAsia="ko-KR"/>
        </w:rPr>
        <w:t>able 6.2</w:t>
      </w:r>
      <w:r>
        <w:rPr>
          <w:rFonts w:hint="eastAsia"/>
          <w:lang w:eastAsia="zh-CN"/>
        </w:rPr>
        <w:t>C</w:t>
      </w:r>
      <w:r w:rsidRPr="009C5807">
        <w:rPr>
          <w:lang w:eastAsia="ko-KR"/>
        </w:rPr>
        <w:t>.1.2.1-1.</w:t>
      </w:r>
    </w:p>
    <w:p w14:paraId="32AD1F4D" w14:textId="77777777" w:rsidR="00064C2A" w:rsidRPr="009C5807" w:rsidRDefault="00064C2A" w:rsidP="00064C2A">
      <w:pPr>
        <w:rPr>
          <w:lang w:eastAsia="ko-KR"/>
        </w:rPr>
      </w:pPr>
      <w:r w:rsidRPr="009C5807">
        <w:rPr>
          <w:lang w:eastAsia="ko-KR"/>
        </w:rPr>
        <w:t>T</w:t>
      </w:r>
      <w:r w:rsidRPr="009C5807">
        <w:rPr>
          <w:vertAlign w:val="subscript"/>
          <w:lang w:eastAsia="ko-KR"/>
        </w:rPr>
        <w:t>identify_inter_NR,i</w:t>
      </w:r>
      <w:r w:rsidRPr="009C5807">
        <w:rPr>
          <w:lang w:eastAsia="ko-KR"/>
        </w:rPr>
        <w:t xml:space="preserve">: It is the time to identify the target inter-frequency NR cell on inter-frequency carrier </w:t>
      </w:r>
      <w:r w:rsidRPr="009C5807">
        <w:rPr>
          <w:i/>
          <w:lang w:eastAsia="ko-KR"/>
        </w:rPr>
        <w:t>i</w:t>
      </w:r>
      <w:r w:rsidRPr="009C5807">
        <w:rPr>
          <w:lang w:eastAsia="ko-KR"/>
        </w:rPr>
        <w:t xml:space="preserve"> configured for RRC re-establishment and it depends on whether the target NR cell is known cell or unknown cell. T</w:t>
      </w:r>
      <w:r w:rsidRPr="009C5807">
        <w:rPr>
          <w:vertAlign w:val="subscript"/>
          <w:lang w:eastAsia="ko-KR"/>
        </w:rPr>
        <w:t>identify_inter_NR,i</w:t>
      </w:r>
      <w:r w:rsidRPr="009C5807">
        <w:rPr>
          <w:lang w:eastAsia="ko-KR"/>
        </w:rPr>
        <w:t xml:space="preserve"> shall not exceed the values defined in </w:t>
      </w:r>
      <w:r w:rsidRPr="009C5807">
        <w:rPr>
          <w:rFonts w:hint="eastAsia"/>
          <w:lang w:eastAsia="zh-CN"/>
        </w:rPr>
        <w:t>T</w:t>
      </w:r>
      <w:r w:rsidRPr="009C5807">
        <w:rPr>
          <w:lang w:eastAsia="ko-KR"/>
        </w:rPr>
        <w:t>able 6.2</w:t>
      </w:r>
      <w:r>
        <w:rPr>
          <w:rFonts w:hint="eastAsia"/>
          <w:lang w:eastAsia="zh-CN"/>
        </w:rPr>
        <w:t>C</w:t>
      </w:r>
      <w:r w:rsidRPr="009C5807">
        <w:rPr>
          <w:lang w:eastAsia="ko-KR"/>
        </w:rPr>
        <w:t>.1.2.1-2.</w:t>
      </w:r>
    </w:p>
    <w:p w14:paraId="3696ACF5" w14:textId="77777777" w:rsidR="00064C2A" w:rsidRPr="009C5807" w:rsidRDefault="00064C2A" w:rsidP="00064C2A">
      <w:r w:rsidRPr="009C5807">
        <w:rPr>
          <w:lang w:eastAsia="ko-KR"/>
        </w:rPr>
        <w:t>T</w:t>
      </w:r>
      <w:r w:rsidRPr="009C5807">
        <w:rPr>
          <w:vertAlign w:val="subscript"/>
          <w:lang w:eastAsia="ko-KR"/>
        </w:rPr>
        <w:t>SMTC</w:t>
      </w:r>
      <w:r w:rsidRPr="009C5807">
        <w:rPr>
          <w:lang w:eastAsia="ko-KR"/>
        </w:rPr>
        <w:t>: It is the periodicity of the SMTC occasion configured for the intra-frequency carrier.</w:t>
      </w:r>
      <w:r w:rsidRPr="009C5807">
        <w:t xml:space="preserve"> If the UE has been provided with higher layer in TS 38.331 [2] signaling of </w:t>
      </w:r>
      <w:r w:rsidRPr="009C5807">
        <w:rPr>
          <w:i/>
        </w:rPr>
        <w:t>smtc2</w:t>
      </w:r>
      <w:r w:rsidRPr="009C5807">
        <w:t>, T</w:t>
      </w:r>
      <w:r w:rsidRPr="009C5807">
        <w:rPr>
          <w:vertAlign w:val="subscript"/>
        </w:rPr>
        <w:t>smtc</w:t>
      </w:r>
      <w:r w:rsidRPr="009C5807">
        <w:t xml:space="preserve"> follows </w:t>
      </w:r>
      <w:r w:rsidRPr="009C5807">
        <w:rPr>
          <w:i/>
        </w:rPr>
        <w:t>smtc1</w:t>
      </w:r>
      <w:r w:rsidRPr="009C5807">
        <w:t xml:space="preserve"> or </w:t>
      </w:r>
      <w:r w:rsidRPr="009C5807">
        <w:rPr>
          <w:i/>
        </w:rPr>
        <w:t>smtc2</w:t>
      </w:r>
      <w:r w:rsidRPr="009C5807">
        <w:t xml:space="preserve"> according to the physical cell ID of the target cell.</w:t>
      </w:r>
    </w:p>
    <w:p w14:paraId="4D7600A1" w14:textId="77777777" w:rsidR="00064C2A" w:rsidRPr="009C5807" w:rsidRDefault="00064C2A" w:rsidP="00064C2A">
      <w:pPr>
        <w:rPr>
          <w:lang w:eastAsia="ko-KR"/>
        </w:rPr>
      </w:pPr>
      <w:r w:rsidRPr="009C5807">
        <w:rPr>
          <w:lang w:eastAsia="ko-KR"/>
        </w:rPr>
        <w:t>T</w:t>
      </w:r>
      <w:r w:rsidRPr="009C5807">
        <w:rPr>
          <w:vertAlign w:val="subscript"/>
          <w:lang w:eastAsia="ko-KR"/>
        </w:rPr>
        <w:t>SMTC,i</w:t>
      </w:r>
      <w:r w:rsidRPr="009C5807">
        <w:rPr>
          <w:lang w:eastAsia="ko-KR"/>
        </w:rPr>
        <w:t xml:space="preserve">: It is the periodicity of the SMTC occasion configured for the inter-frequency carrier </w:t>
      </w:r>
      <w:r w:rsidRPr="009C5807">
        <w:rPr>
          <w:i/>
          <w:lang w:eastAsia="ko-KR"/>
        </w:rPr>
        <w:t>i</w:t>
      </w:r>
      <w:r w:rsidRPr="009C5807">
        <w:rPr>
          <w:lang w:eastAsia="ko-KR"/>
        </w:rPr>
        <w:t>. If it is not configured, the UE may assume that the target SSB periodicity is no larger than 20 ms.</w:t>
      </w:r>
    </w:p>
    <w:p w14:paraId="43030139" w14:textId="77777777" w:rsidR="00064C2A" w:rsidRPr="009C5807" w:rsidRDefault="00064C2A" w:rsidP="00064C2A">
      <w:r w:rsidRPr="009C5807">
        <w:rPr>
          <w:lang w:eastAsia="zh-CN"/>
        </w:rPr>
        <w:t>T</w:t>
      </w:r>
      <w:r w:rsidRPr="009C5807">
        <w:rPr>
          <w:vertAlign w:val="subscript"/>
          <w:lang w:eastAsia="zh-CN"/>
        </w:rPr>
        <w:t>SI-NR</w:t>
      </w:r>
      <w:r w:rsidRPr="009C5807">
        <w:rPr>
          <w:rFonts w:hint="eastAsia"/>
          <w:lang w:eastAsia="zh-CN"/>
        </w:rPr>
        <w:t>:</w:t>
      </w:r>
      <w:r w:rsidRPr="009C5807">
        <w:rPr>
          <w:lang w:eastAsia="zh-CN"/>
        </w:rPr>
        <w:t xml:space="preserve"> It</w:t>
      </w:r>
      <w:r w:rsidRPr="009C5807">
        <w:rPr>
          <w:rFonts w:cs="v4.2.0"/>
          <w:iCs/>
        </w:rPr>
        <w:t xml:space="preserve"> </w:t>
      </w:r>
      <w:r w:rsidRPr="009C5807">
        <w:rPr>
          <w:rFonts w:cs="v4.2.0"/>
        </w:rPr>
        <w:t xml:space="preserve">is the time required for receiving all the relevant system information according to the reception procedure and the RRC procedure delay of system information blocks defined in </w:t>
      </w:r>
      <w:r w:rsidRPr="009C5807">
        <w:t>TS 38.331 [2]</w:t>
      </w:r>
      <w:r w:rsidRPr="009C5807">
        <w:rPr>
          <w:rFonts w:cs="v4.2.0"/>
        </w:rPr>
        <w:t xml:space="preserve"> for the</w:t>
      </w:r>
      <w:r w:rsidRPr="009C5807">
        <w:rPr>
          <w:rFonts w:cs="v4.2.0"/>
          <w:lang w:eastAsia="zh-CN"/>
        </w:rPr>
        <w:t xml:space="preserve"> target</w:t>
      </w:r>
      <w:r w:rsidRPr="009C5807">
        <w:rPr>
          <w:rFonts w:cs="v4.2.0"/>
        </w:rPr>
        <w:t xml:space="preserve"> NR cell.</w:t>
      </w:r>
    </w:p>
    <w:p w14:paraId="6552AE4A" w14:textId="77777777" w:rsidR="00064C2A" w:rsidRPr="009C5807" w:rsidRDefault="00064C2A" w:rsidP="00064C2A">
      <w:pPr>
        <w:rPr>
          <w:rFonts w:eastAsia="Malgun Gothic"/>
          <w:lang w:eastAsia="ko-KR"/>
        </w:rPr>
      </w:pPr>
      <w:r w:rsidRPr="009C5807">
        <w:rPr>
          <w:lang w:eastAsia="ko-KR"/>
        </w:rPr>
        <w:t>T</w:t>
      </w:r>
      <w:r w:rsidRPr="009C5807">
        <w:rPr>
          <w:vertAlign w:val="subscript"/>
          <w:lang w:eastAsia="ko-KR"/>
        </w:rPr>
        <w:t>PRACH</w:t>
      </w:r>
      <w:r w:rsidRPr="009C5807">
        <w:rPr>
          <w:rFonts w:hint="eastAsia"/>
          <w:vertAlign w:val="subscript"/>
          <w:lang w:eastAsia="zh-CN"/>
        </w:rPr>
        <w:t>:</w:t>
      </w:r>
      <w:r w:rsidRPr="009C5807">
        <w:rPr>
          <w:vertAlign w:val="subscript"/>
          <w:lang w:eastAsia="zh-CN"/>
        </w:rPr>
        <w:t xml:space="preserve"> </w:t>
      </w:r>
      <w:r w:rsidRPr="009C5807">
        <w:rPr>
          <w:lang w:eastAsia="ko-KR"/>
        </w:rPr>
        <w:t>It is the delay uncertainty in acquiring the first available PRACH occasion in the target NR cell. T</w:t>
      </w:r>
      <w:r w:rsidRPr="009C5807">
        <w:rPr>
          <w:vertAlign w:val="subscript"/>
          <w:lang w:eastAsia="ko-KR"/>
        </w:rPr>
        <w:t>PRACH</w:t>
      </w:r>
      <w:r w:rsidRPr="009C5807">
        <w:rPr>
          <w:lang w:eastAsia="ko-KR"/>
        </w:rPr>
        <w:t xml:space="preserve"> can be up to the summation of SSB to PRACH occasion association period and </w:t>
      </w:r>
      <w:r>
        <w:rPr>
          <w:rFonts w:hint="eastAsia"/>
          <w:lang w:eastAsia="zh-CN"/>
        </w:rPr>
        <w:t>[</w:t>
      </w:r>
      <w:r w:rsidRPr="009C5807">
        <w:rPr>
          <w:lang w:eastAsia="ko-KR"/>
        </w:rPr>
        <w:t>10</w:t>
      </w:r>
      <w:r>
        <w:rPr>
          <w:rFonts w:hint="eastAsia"/>
          <w:lang w:eastAsia="zh-CN"/>
        </w:rPr>
        <w:t>]</w:t>
      </w:r>
      <w:r w:rsidRPr="009C5807">
        <w:rPr>
          <w:lang w:eastAsia="ko-KR"/>
        </w:rPr>
        <w:t xml:space="preserve"> ms. SSB to PRACH occasion associated period is defined in the table 8.1-1 of TS 38.213 [3].</w:t>
      </w:r>
    </w:p>
    <w:p w14:paraId="2FF52AC5" w14:textId="77777777" w:rsidR="00064C2A" w:rsidRPr="009C5807" w:rsidRDefault="00064C2A" w:rsidP="00064C2A">
      <w:pPr>
        <w:rPr>
          <w:rFonts w:cs="v4.2.0"/>
        </w:rPr>
      </w:pPr>
      <w:r w:rsidRPr="009C5807">
        <w:rPr>
          <w:rFonts w:cs="v4.2.0"/>
          <w:iCs/>
        </w:rPr>
        <w:t>N</w:t>
      </w:r>
      <w:r w:rsidRPr="009C5807">
        <w:rPr>
          <w:rFonts w:cs="v4.2.0"/>
          <w:iCs/>
          <w:vertAlign w:val="subscript"/>
        </w:rPr>
        <w:t>freq</w:t>
      </w:r>
      <w:r w:rsidRPr="009C5807">
        <w:rPr>
          <w:rFonts w:cs="v4.2.0"/>
        </w:rPr>
        <w:t>: It is the total number of NR frequencies to be monitored for RRC re-establishment; N</w:t>
      </w:r>
      <w:r w:rsidRPr="009C5807">
        <w:rPr>
          <w:rFonts w:cs="v4.2.0"/>
          <w:vertAlign w:val="subscript"/>
        </w:rPr>
        <w:t xml:space="preserve">freq </w:t>
      </w:r>
      <w:r w:rsidRPr="009C5807">
        <w:rPr>
          <w:rFonts w:cs="v4.2.0"/>
        </w:rPr>
        <w:t>= 1 if the target intra-frequency NR cell is known, else N</w:t>
      </w:r>
      <w:r w:rsidRPr="009C5807">
        <w:rPr>
          <w:rFonts w:cs="v4.2.0"/>
          <w:vertAlign w:val="subscript"/>
        </w:rPr>
        <w:t xml:space="preserve">freq </w:t>
      </w:r>
      <w:r w:rsidRPr="009C5807">
        <w:rPr>
          <w:rFonts w:cs="v4.2.0"/>
        </w:rPr>
        <w:t xml:space="preserve">= 2 and </w:t>
      </w:r>
      <w:r w:rsidRPr="009C5807">
        <w:rPr>
          <w:lang w:eastAsia="ko-KR"/>
        </w:rPr>
        <w:t>T</w:t>
      </w:r>
      <w:r w:rsidRPr="009C5807">
        <w:rPr>
          <w:vertAlign w:val="subscript"/>
          <w:lang w:eastAsia="ko-KR"/>
        </w:rPr>
        <w:t>identify_intra_NR</w:t>
      </w:r>
      <w:r w:rsidRPr="009C5807">
        <w:rPr>
          <w:rFonts w:cs="v4.2.0"/>
        </w:rPr>
        <w:t xml:space="preserve"> = 0 if the target inter-frequency </w:t>
      </w:r>
      <w:r w:rsidRPr="009C5807">
        <w:rPr>
          <w:rFonts w:cs="v4.2.0"/>
          <w:lang w:eastAsia="zh-CN"/>
        </w:rPr>
        <w:t>NR c</w:t>
      </w:r>
      <w:r w:rsidRPr="009C5807">
        <w:rPr>
          <w:rFonts w:cs="v4.2.0"/>
        </w:rPr>
        <w:t>ell is known.</w:t>
      </w:r>
    </w:p>
    <w:p w14:paraId="6B7691E5" w14:textId="77777777" w:rsidR="00064C2A" w:rsidRPr="009C5807" w:rsidRDefault="00064C2A" w:rsidP="00064C2A">
      <w:r w:rsidRPr="009C5807">
        <w:t>There is no requirement if the target cell does not contain the UE context.</w:t>
      </w:r>
    </w:p>
    <w:p w14:paraId="3EC7DF39" w14:textId="77777777" w:rsidR="00064C2A" w:rsidRPr="009C5807" w:rsidRDefault="00064C2A" w:rsidP="00064C2A">
      <w:r w:rsidRPr="009C5807">
        <w:t>In the requirement defined in the below tables, the target FR1 cell is known if it has been meeting the relevant cell identification requirement during the last 5 seconds otherwise it is unknown.</w:t>
      </w:r>
    </w:p>
    <w:p w14:paraId="4B0B7952" w14:textId="77777777" w:rsidR="00887846" w:rsidRPr="009C5807" w:rsidRDefault="00887846" w:rsidP="00887846">
      <w:r>
        <w:t xml:space="preserve">The requirements in this clause apply provided that the ephemeris information provided by the serving cell for the target cell is valid during </w:t>
      </w:r>
      <w:r w:rsidRPr="009C5807">
        <w:rPr>
          <w:lang w:eastAsia="ko-KR"/>
        </w:rPr>
        <w:t>UE re-establishment delay (T</w:t>
      </w:r>
      <w:r w:rsidRPr="009C5807">
        <w:rPr>
          <w:vertAlign w:val="subscript"/>
          <w:lang w:eastAsia="ko-KR"/>
        </w:rPr>
        <w:t>UE_re-establish_delay</w:t>
      </w:r>
      <w:r w:rsidRPr="009C5807">
        <w:rPr>
          <w:lang w:eastAsia="ko-KR"/>
        </w:rPr>
        <w:t>)</w:t>
      </w:r>
      <w:r>
        <w:t>.</w:t>
      </w:r>
    </w:p>
    <w:p w14:paraId="123A1376" w14:textId="77777777" w:rsidR="00887846" w:rsidRPr="009C5807" w:rsidRDefault="00887846" w:rsidP="00887846">
      <w:pPr>
        <w:pStyle w:val="TH"/>
      </w:pPr>
      <w:r w:rsidRPr="009C5807">
        <w:t>Table 6.2</w:t>
      </w:r>
      <w:r>
        <w:rPr>
          <w:rFonts w:hint="eastAsia"/>
          <w:lang w:eastAsia="zh-CN"/>
        </w:rPr>
        <w:t>C</w:t>
      </w:r>
      <w:r w:rsidRPr="009C5807">
        <w:t>.1.2.1-1: Time to identify target NR cell for RRC connection re-establishment to NR intra-frequency cell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837"/>
        <w:gridCol w:w="2801"/>
        <w:gridCol w:w="3375"/>
      </w:tblGrid>
      <w:tr w:rsidR="00887846" w:rsidRPr="009C5807" w14:paraId="14F124AE" w14:textId="77777777" w:rsidTr="00BD16C7">
        <w:trPr>
          <w:jc w:val="center"/>
        </w:trPr>
        <w:tc>
          <w:tcPr>
            <w:tcW w:w="1616" w:type="dxa"/>
            <w:tcBorders>
              <w:bottom w:val="nil"/>
            </w:tcBorders>
            <w:shd w:val="clear" w:color="auto" w:fill="auto"/>
          </w:tcPr>
          <w:p w14:paraId="59095315" w14:textId="77777777" w:rsidR="00887846" w:rsidRPr="009C5807" w:rsidRDefault="00887846" w:rsidP="00BD16C7">
            <w:pPr>
              <w:pStyle w:val="TAH"/>
              <w:rPr>
                <w:lang w:eastAsia="ko-KR"/>
              </w:rPr>
            </w:pPr>
            <w:r w:rsidRPr="009C5807">
              <w:rPr>
                <w:rFonts w:cs="v4.2.0"/>
                <w:lang w:eastAsia="ko-KR"/>
              </w:rPr>
              <w:t xml:space="preserve">Serving cell </w:t>
            </w:r>
          </w:p>
        </w:tc>
        <w:tc>
          <w:tcPr>
            <w:tcW w:w="1837" w:type="dxa"/>
            <w:tcBorders>
              <w:bottom w:val="nil"/>
            </w:tcBorders>
            <w:shd w:val="clear" w:color="auto" w:fill="auto"/>
          </w:tcPr>
          <w:p w14:paraId="55C535D4" w14:textId="77777777" w:rsidR="00887846" w:rsidRPr="009C5807" w:rsidRDefault="00887846" w:rsidP="00BD16C7">
            <w:pPr>
              <w:pStyle w:val="TAH"/>
              <w:rPr>
                <w:lang w:eastAsia="ko-KR"/>
              </w:rPr>
            </w:pPr>
            <w:r w:rsidRPr="009C5807">
              <w:rPr>
                <w:lang w:eastAsia="ko-KR"/>
              </w:rPr>
              <w:t xml:space="preserve">FR of target NR </w:t>
            </w:r>
          </w:p>
        </w:tc>
        <w:tc>
          <w:tcPr>
            <w:tcW w:w="6176" w:type="dxa"/>
            <w:gridSpan w:val="2"/>
            <w:shd w:val="clear" w:color="auto" w:fill="auto"/>
          </w:tcPr>
          <w:p w14:paraId="09AEE0C2" w14:textId="77777777" w:rsidR="00887846" w:rsidRPr="009C5807" w:rsidRDefault="00887846" w:rsidP="00BD16C7">
            <w:pPr>
              <w:pStyle w:val="TAH"/>
              <w:rPr>
                <w:lang w:eastAsia="ko-KR"/>
              </w:rPr>
            </w:pPr>
            <w:r w:rsidRPr="009C5807">
              <w:rPr>
                <w:lang w:eastAsia="ko-KR"/>
              </w:rPr>
              <w:t>T</w:t>
            </w:r>
            <w:r w:rsidRPr="009C5807">
              <w:rPr>
                <w:vertAlign w:val="subscript"/>
                <w:lang w:eastAsia="ko-KR"/>
              </w:rPr>
              <w:t xml:space="preserve">identify_intra_NR </w:t>
            </w:r>
            <w:r w:rsidRPr="009C5807">
              <w:rPr>
                <w:lang w:eastAsia="ko-KR"/>
              </w:rPr>
              <w:t>[ms]</w:t>
            </w:r>
          </w:p>
        </w:tc>
      </w:tr>
      <w:tr w:rsidR="00887846" w:rsidRPr="009C5807" w14:paraId="4CFB4EC8" w14:textId="77777777" w:rsidTr="00BD16C7">
        <w:trPr>
          <w:trHeight w:val="105"/>
          <w:jc w:val="center"/>
        </w:trPr>
        <w:tc>
          <w:tcPr>
            <w:tcW w:w="1616" w:type="dxa"/>
            <w:tcBorders>
              <w:top w:val="nil"/>
              <w:bottom w:val="nil"/>
            </w:tcBorders>
            <w:shd w:val="clear" w:color="auto" w:fill="auto"/>
          </w:tcPr>
          <w:p w14:paraId="0218F584" w14:textId="77777777" w:rsidR="00887846" w:rsidRPr="009C5807" w:rsidRDefault="00887846" w:rsidP="00BD16C7">
            <w:pPr>
              <w:pStyle w:val="TAH"/>
              <w:rPr>
                <w:lang w:eastAsia="ko-KR"/>
              </w:rPr>
            </w:pPr>
            <w:r w:rsidRPr="009C5807">
              <w:rPr>
                <w:rFonts w:cs="v4.2.0"/>
                <w:lang w:eastAsia="ko-KR"/>
              </w:rPr>
              <w:t xml:space="preserve">SSB </w:t>
            </w:r>
            <w:r w:rsidRPr="009C5807">
              <w:rPr>
                <w:lang w:val="en-US"/>
              </w:rPr>
              <w:t>Ês/Iot (dB)</w:t>
            </w:r>
          </w:p>
        </w:tc>
        <w:tc>
          <w:tcPr>
            <w:tcW w:w="1837" w:type="dxa"/>
            <w:tcBorders>
              <w:top w:val="nil"/>
              <w:bottom w:val="nil"/>
            </w:tcBorders>
            <w:shd w:val="clear" w:color="auto" w:fill="auto"/>
          </w:tcPr>
          <w:p w14:paraId="128F7550" w14:textId="77777777" w:rsidR="00887846" w:rsidRPr="009C5807" w:rsidRDefault="00887846" w:rsidP="00BD16C7">
            <w:pPr>
              <w:pStyle w:val="TAH"/>
              <w:rPr>
                <w:lang w:eastAsia="ko-KR"/>
              </w:rPr>
            </w:pPr>
            <w:r w:rsidRPr="009C5807">
              <w:rPr>
                <w:lang w:eastAsia="ko-KR"/>
              </w:rPr>
              <w:t>cell</w:t>
            </w:r>
          </w:p>
        </w:tc>
        <w:tc>
          <w:tcPr>
            <w:tcW w:w="2801" w:type="dxa"/>
            <w:tcBorders>
              <w:bottom w:val="nil"/>
            </w:tcBorders>
            <w:shd w:val="clear" w:color="auto" w:fill="auto"/>
          </w:tcPr>
          <w:p w14:paraId="249445EC" w14:textId="77777777" w:rsidR="00887846" w:rsidRPr="009C5807" w:rsidRDefault="00887846" w:rsidP="00BD16C7">
            <w:pPr>
              <w:pStyle w:val="TAH"/>
              <w:rPr>
                <w:lang w:eastAsia="ko-KR"/>
              </w:rPr>
            </w:pPr>
            <w:r w:rsidRPr="009C5807">
              <w:rPr>
                <w:lang w:eastAsia="ko-KR"/>
              </w:rPr>
              <w:t>Known NR cell</w:t>
            </w:r>
          </w:p>
        </w:tc>
        <w:tc>
          <w:tcPr>
            <w:tcW w:w="3375" w:type="dxa"/>
            <w:tcBorders>
              <w:bottom w:val="nil"/>
            </w:tcBorders>
            <w:shd w:val="clear" w:color="auto" w:fill="auto"/>
          </w:tcPr>
          <w:p w14:paraId="674B40A1" w14:textId="77777777" w:rsidR="00887846" w:rsidRPr="009C5807" w:rsidRDefault="00887846" w:rsidP="00BD16C7">
            <w:pPr>
              <w:pStyle w:val="TAH"/>
              <w:rPr>
                <w:lang w:eastAsia="ko-KR"/>
              </w:rPr>
            </w:pPr>
            <w:r w:rsidRPr="009C5807">
              <w:rPr>
                <w:lang w:eastAsia="ko-KR"/>
              </w:rPr>
              <w:t>Unknown NR cell</w:t>
            </w:r>
          </w:p>
        </w:tc>
      </w:tr>
      <w:tr w:rsidR="00320004" w:rsidRPr="009C5807" w14:paraId="4EEC153B" w14:textId="77777777" w:rsidTr="00BD16C7">
        <w:trPr>
          <w:jc w:val="center"/>
        </w:trPr>
        <w:tc>
          <w:tcPr>
            <w:tcW w:w="1616" w:type="dxa"/>
            <w:shd w:val="clear" w:color="auto" w:fill="auto"/>
          </w:tcPr>
          <w:p w14:paraId="600A36E1" w14:textId="77777777" w:rsidR="00320004" w:rsidRPr="009C5807" w:rsidRDefault="00320004" w:rsidP="00320004">
            <w:pPr>
              <w:pStyle w:val="TAC"/>
              <w:rPr>
                <w:lang w:eastAsia="zh-CN"/>
              </w:rPr>
            </w:pPr>
            <w:r w:rsidRPr="009C5807">
              <w:rPr>
                <w:rFonts w:cs="Arial" w:hint="eastAsia"/>
                <w:lang w:eastAsia="ko-KR"/>
              </w:rPr>
              <w:t>≥</w:t>
            </w:r>
            <w:r w:rsidRPr="009C5807">
              <w:rPr>
                <w:lang w:eastAsia="ko-KR"/>
              </w:rPr>
              <w:t xml:space="preserve"> -8</w:t>
            </w:r>
          </w:p>
        </w:tc>
        <w:tc>
          <w:tcPr>
            <w:tcW w:w="1837" w:type="dxa"/>
            <w:shd w:val="clear" w:color="auto" w:fill="auto"/>
          </w:tcPr>
          <w:p w14:paraId="02E848FB" w14:textId="77777777" w:rsidR="00320004" w:rsidRPr="009C5807" w:rsidRDefault="00320004" w:rsidP="00320004">
            <w:pPr>
              <w:pStyle w:val="TAC"/>
              <w:rPr>
                <w:lang w:eastAsia="ko-KR"/>
              </w:rPr>
            </w:pPr>
            <w:r w:rsidRPr="009C5807">
              <w:rPr>
                <w:lang w:eastAsia="ko-KR"/>
              </w:rPr>
              <w:t>FR1</w:t>
            </w:r>
          </w:p>
        </w:tc>
        <w:tc>
          <w:tcPr>
            <w:tcW w:w="2801" w:type="dxa"/>
            <w:shd w:val="clear" w:color="auto" w:fill="auto"/>
          </w:tcPr>
          <w:p w14:paraId="24448699" w14:textId="1DFE2BD6" w:rsidR="00320004" w:rsidRPr="009C5807" w:rsidRDefault="00320004" w:rsidP="00320004">
            <w:pPr>
              <w:pStyle w:val="TAC"/>
            </w:pPr>
            <w:r w:rsidRPr="002A552B">
              <w:rPr>
                <w:lang w:eastAsia="zh-CN"/>
              </w:rPr>
              <w:t>MAX (200 ms, 5 x T</w:t>
            </w:r>
            <w:r w:rsidRPr="002A552B">
              <w:rPr>
                <w:vertAlign w:val="subscript"/>
                <w:lang w:eastAsia="zh-CN"/>
              </w:rPr>
              <w:t>SMTC</w:t>
            </w:r>
            <w:r w:rsidRPr="002A552B">
              <w:rPr>
                <w:lang w:eastAsia="zh-CN"/>
              </w:rPr>
              <w:t>)</w:t>
            </w:r>
          </w:p>
        </w:tc>
        <w:tc>
          <w:tcPr>
            <w:tcW w:w="3375" w:type="dxa"/>
            <w:shd w:val="clear" w:color="auto" w:fill="auto"/>
          </w:tcPr>
          <w:p w14:paraId="73EC6503" w14:textId="3B659E57" w:rsidR="00320004" w:rsidRPr="009C5807" w:rsidRDefault="00320004" w:rsidP="00320004">
            <w:pPr>
              <w:pStyle w:val="TAC"/>
            </w:pPr>
            <w:r w:rsidRPr="0079704B">
              <w:rPr>
                <w:lang w:eastAsia="zh-CN"/>
              </w:rPr>
              <w:t>K</w:t>
            </w:r>
            <w:r w:rsidRPr="0079704B">
              <w:rPr>
                <w:vertAlign w:val="subscript"/>
                <w:lang w:eastAsia="zh-CN"/>
              </w:rPr>
              <w:t>multi_SMTC</w:t>
            </w:r>
            <w:r>
              <w:rPr>
                <w:lang w:eastAsia="zh-CN"/>
              </w:rPr>
              <w:t xml:space="preserve"> * </w:t>
            </w:r>
            <w:r w:rsidRPr="002A552B">
              <w:rPr>
                <w:lang w:eastAsia="zh-CN"/>
              </w:rPr>
              <w:t xml:space="preserve">MAX (800 ms, </w:t>
            </w:r>
            <w:r>
              <w:rPr>
                <w:lang w:eastAsia="zh-CN"/>
              </w:rPr>
              <w:t>10</w:t>
            </w:r>
            <w:r w:rsidRPr="002A552B">
              <w:rPr>
                <w:lang w:eastAsia="zh-CN"/>
              </w:rPr>
              <w:t xml:space="preserve"> x T</w:t>
            </w:r>
            <w:r w:rsidRPr="002A552B">
              <w:rPr>
                <w:vertAlign w:val="subscript"/>
                <w:lang w:eastAsia="zh-CN"/>
              </w:rPr>
              <w:t>SMTC</w:t>
            </w:r>
            <w:r w:rsidRPr="002A552B">
              <w:rPr>
                <w:lang w:eastAsia="zh-CN"/>
              </w:rPr>
              <w:t>)</w:t>
            </w:r>
          </w:p>
        </w:tc>
      </w:tr>
      <w:tr w:rsidR="00320004" w:rsidRPr="009C5807" w14:paraId="4391C8FB" w14:textId="77777777" w:rsidTr="00BD16C7">
        <w:trPr>
          <w:jc w:val="center"/>
        </w:trPr>
        <w:tc>
          <w:tcPr>
            <w:tcW w:w="1616" w:type="dxa"/>
          </w:tcPr>
          <w:p w14:paraId="51F75D10" w14:textId="77777777" w:rsidR="00320004" w:rsidRPr="009C5807" w:rsidRDefault="00320004" w:rsidP="00320004">
            <w:pPr>
              <w:pStyle w:val="TAC"/>
              <w:rPr>
                <w:lang w:eastAsia="zh-CN"/>
              </w:rPr>
            </w:pPr>
            <w:r w:rsidRPr="009C5807">
              <w:rPr>
                <w:lang w:eastAsia="ko-KR"/>
              </w:rPr>
              <w:t>&lt; -8</w:t>
            </w:r>
          </w:p>
        </w:tc>
        <w:tc>
          <w:tcPr>
            <w:tcW w:w="1837" w:type="dxa"/>
            <w:shd w:val="clear" w:color="auto" w:fill="auto"/>
          </w:tcPr>
          <w:p w14:paraId="19BA067B" w14:textId="77777777" w:rsidR="00320004" w:rsidRPr="009C5807" w:rsidRDefault="00320004" w:rsidP="00320004">
            <w:pPr>
              <w:pStyle w:val="TAC"/>
              <w:rPr>
                <w:lang w:eastAsia="ko-KR"/>
              </w:rPr>
            </w:pPr>
            <w:r w:rsidRPr="009C5807">
              <w:rPr>
                <w:lang w:eastAsia="ko-KR"/>
              </w:rPr>
              <w:t>FR1</w:t>
            </w:r>
          </w:p>
        </w:tc>
        <w:tc>
          <w:tcPr>
            <w:tcW w:w="2801" w:type="dxa"/>
            <w:shd w:val="clear" w:color="auto" w:fill="auto"/>
          </w:tcPr>
          <w:p w14:paraId="10976418" w14:textId="77777777" w:rsidR="00320004" w:rsidRPr="009C5807" w:rsidRDefault="00320004" w:rsidP="00320004">
            <w:pPr>
              <w:pStyle w:val="TAC"/>
              <w:rPr>
                <w:lang w:eastAsia="zh-CN"/>
              </w:rPr>
            </w:pPr>
            <w:r w:rsidRPr="009C5807">
              <w:rPr>
                <w:lang w:eastAsia="zh-CN"/>
              </w:rPr>
              <w:t>N/A</w:t>
            </w:r>
          </w:p>
        </w:tc>
        <w:tc>
          <w:tcPr>
            <w:tcW w:w="3375" w:type="dxa"/>
            <w:shd w:val="clear" w:color="auto" w:fill="auto"/>
          </w:tcPr>
          <w:p w14:paraId="1AE7A42B" w14:textId="306F95A8" w:rsidR="00320004" w:rsidRPr="009C5807" w:rsidRDefault="00320004" w:rsidP="00320004">
            <w:pPr>
              <w:pStyle w:val="TAC"/>
              <w:rPr>
                <w:lang w:eastAsia="ko-KR"/>
              </w:rPr>
            </w:pPr>
            <w:r>
              <w:rPr>
                <w:lang w:eastAsia="zh-CN"/>
              </w:rPr>
              <w:t>k * 800 ms</w:t>
            </w:r>
            <w:r w:rsidDel="002C2AA4">
              <w:rPr>
                <w:lang w:eastAsia="zh-CN"/>
              </w:rPr>
              <w:t xml:space="preserve"> </w:t>
            </w:r>
            <w:r w:rsidRPr="002A552B">
              <w:rPr>
                <w:vertAlign w:val="superscript"/>
                <w:lang w:eastAsia="zh-CN"/>
              </w:rPr>
              <w:t>Note1</w:t>
            </w:r>
            <w:r>
              <w:rPr>
                <w:vertAlign w:val="superscript"/>
                <w:lang w:eastAsia="zh-CN"/>
              </w:rPr>
              <w:t>, 3</w:t>
            </w:r>
          </w:p>
        </w:tc>
      </w:tr>
      <w:tr w:rsidR="00887846" w:rsidRPr="009C5807" w14:paraId="776ECC12" w14:textId="77777777" w:rsidTr="00BD16C7">
        <w:trPr>
          <w:jc w:val="center"/>
        </w:trPr>
        <w:tc>
          <w:tcPr>
            <w:tcW w:w="9629" w:type="dxa"/>
            <w:gridSpan w:val="4"/>
          </w:tcPr>
          <w:p w14:paraId="24AA2D0B" w14:textId="77777777" w:rsidR="00320004" w:rsidRDefault="00320004" w:rsidP="00320004">
            <w:pPr>
              <w:pStyle w:val="TAN"/>
              <w:rPr>
                <w:lang w:eastAsia="ko-KR"/>
              </w:rPr>
            </w:pPr>
            <w:r w:rsidRPr="009C5807">
              <w:rPr>
                <w:lang w:eastAsia="ko-KR"/>
              </w:rPr>
              <w:t>Note 1:</w:t>
            </w:r>
            <w:r w:rsidRPr="009C5807">
              <w:tab/>
            </w:r>
            <w:r w:rsidRPr="009C5807">
              <w:rPr>
                <w:lang w:eastAsia="ko-KR"/>
              </w:rPr>
              <w:t>The UE is not required to successfully</w:t>
            </w:r>
            <w:r w:rsidRPr="009C5807">
              <w:rPr>
                <w:b/>
                <w:bCs/>
              </w:rPr>
              <w:t xml:space="preserve"> </w:t>
            </w:r>
            <w:r w:rsidRPr="009C5807">
              <w:rPr>
                <w:lang w:eastAsia="ko-KR"/>
              </w:rPr>
              <w:t>identify a cell on any NR frequency layer when T</w:t>
            </w:r>
            <w:r w:rsidRPr="009C5807">
              <w:rPr>
                <w:vertAlign w:val="subscript"/>
                <w:lang w:eastAsia="ko-KR"/>
              </w:rPr>
              <w:t>SMTC</w:t>
            </w:r>
            <w:r w:rsidRPr="009C5807">
              <w:rPr>
                <w:lang w:eastAsia="ko-KR"/>
              </w:rPr>
              <w:t xml:space="preserve"> &gt; 20 ms and serving cell SSB Ês/Iot &lt; -8 dB.</w:t>
            </w:r>
          </w:p>
          <w:p w14:paraId="2F8EBF5C" w14:textId="77777777" w:rsidR="00320004" w:rsidRDefault="00320004" w:rsidP="00320004">
            <w:pPr>
              <w:pStyle w:val="TAN"/>
              <w:rPr>
                <w:lang w:eastAsia="ko-KR"/>
              </w:rPr>
            </w:pPr>
            <w:r w:rsidRPr="003512A7">
              <w:rPr>
                <w:lang w:eastAsia="ko-KR"/>
              </w:rPr>
              <w:t xml:space="preserve">Note </w:t>
            </w:r>
            <w:r>
              <w:rPr>
                <w:lang w:eastAsia="ko-KR"/>
              </w:rPr>
              <w:t>2</w:t>
            </w:r>
            <w:r w:rsidRPr="003512A7">
              <w:rPr>
                <w:lang w:eastAsia="ko-KR"/>
              </w:rPr>
              <w:t>:</w:t>
            </w:r>
            <w:r w:rsidRPr="003512A7">
              <w:tab/>
            </w:r>
            <w:r w:rsidRPr="0079704B">
              <w:rPr>
                <w:lang w:eastAsia="zh-CN"/>
              </w:rPr>
              <w:t>K</w:t>
            </w:r>
            <w:r w:rsidRPr="0079704B">
              <w:rPr>
                <w:vertAlign w:val="subscript"/>
                <w:lang w:eastAsia="zh-CN"/>
              </w:rPr>
              <w:t>multi_SMTC</w:t>
            </w:r>
            <w:r>
              <w:t xml:space="preserve"> </w:t>
            </w:r>
            <w:r>
              <w:rPr>
                <w:lang w:eastAsia="ko-KR"/>
              </w:rPr>
              <w:t xml:space="preserve">is defined in clause </w:t>
            </w:r>
            <w:r w:rsidRPr="0079704B">
              <w:rPr>
                <w:lang w:eastAsia="ko-KR"/>
              </w:rPr>
              <w:t>9.2C.5.1</w:t>
            </w:r>
            <w:r>
              <w:rPr>
                <w:lang w:eastAsia="ko-KR"/>
              </w:rPr>
              <w:t>.</w:t>
            </w:r>
          </w:p>
          <w:p w14:paraId="61DD0752" w14:textId="12500763" w:rsidR="00887846" w:rsidRPr="009C5807" w:rsidRDefault="00320004" w:rsidP="00320004">
            <w:pPr>
              <w:pStyle w:val="TAN"/>
              <w:rPr>
                <w:lang w:eastAsia="zh-CN"/>
              </w:rPr>
            </w:pPr>
            <w:r w:rsidRPr="003512A7">
              <w:rPr>
                <w:lang w:eastAsia="ko-KR"/>
              </w:rPr>
              <w:t xml:space="preserve">Note </w:t>
            </w:r>
            <w:r>
              <w:rPr>
                <w:lang w:eastAsia="ko-KR"/>
              </w:rPr>
              <w:t>3</w:t>
            </w:r>
            <w:r w:rsidRPr="003512A7">
              <w:rPr>
                <w:lang w:eastAsia="ko-KR"/>
              </w:rPr>
              <w:t>:</w:t>
            </w:r>
            <w:r w:rsidRPr="003512A7">
              <w:tab/>
            </w:r>
            <w:r>
              <w:rPr>
                <w:lang w:eastAsia="zh-CN"/>
              </w:rPr>
              <w:t>k</w:t>
            </w:r>
            <w:r>
              <w:t xml:space="preserve"> = 1 </w:t>
            </w:r>
            <w:r>
              <w:rPr>
                <w:lang w:eastAsia="ko-KR"/>
              </w:rPr>
              <w:t xml:space="preserve">if the cells on the target frequency are served by GEO. </w:t>
            </w:r>
            <w:r>
              <w:rPr>
                <w:lang w:eastAsia="zh-CN"/>
              </w:rPr>
              <w:t>k</w:t>
            </w:r>
            <w:r>
              <w:t xml:space="preserve"> = (N+1) </w:t>
            </w:r>
            <w:r>
              <w:rPr>
                <w:lang w:eastAsia="ko-KR"/>
              </w:rPr>
              <w:t xml:space="preserve">if the cells on the target frequency are served by LEO, </w:t>
            </w:r>
            <w:r w:rsidRPr="0063112A">
              <w:rPr>
                <w:lang w:eastAsia="ko-KR"/>
              </w:rPr>
              <w:t>where N is the number of different satellites associated to the list of configured neighbor cells in ntn-NeighCellConfigList and ntn-NeighCellConfigListExt</w:t>
            </w:r>
            <w:r>
              <w:rPr>
                <w:lang w:eastAsia="ko-KR"/>
              </w:rPr>
              <w:t>.</w:t>
            </w:r>
          </w:p>
        </w:tc>
      </w:tr>
    </w:tbl>
    <w:p w14:paraId="7097D555" w14:textId="77777777" w:rsidR="00887846" w:rsidRPr="009C5807" w:rsidRDefault="00887846" w:rsidP="00887846"/>
    <w:p w14:paraId="0BE01565" w14:textId="77777777" w:rsidR="00887846" w:rsidRPr="009C5807" w:rsidRDefault="00887846" w:rsidP="00887846">
      <w:pPr>
        <w:pStyle w:val="TH"/>
      </w:pPr>
      <w:r w:rsidRPr="009C5807">
        <w:t>Table 6.2</w:t>
      </w:r>
      <w:r>
        <w:rPr>
          <w:rFonts w:hint="eastAsia"/>
          <w:lang w:eastAsia="zh-CN"/>
        </w:rPr>
        <w:t>C</w:t>
      </w:r>
      <w:r w:rsidRPr="009C5807">
        <w:t>.1.2.1-2: Time to identify target NR cell for RRC connection re-establishment to NR inter-frequency cell</w:t>
      </w:r>
    </w:p>
    <w:tbl>
      <w:tblPr>
        <w:tblW w:w="9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701"/>
        <w:gridCol w:w="2835"/>
        <w:gridCol w:w="3411"/>
      </w:tblGrid>
      <w:tr w:rsidR="00887846" w:rsidRPr="009C5807" w14:paraId="45F20A3E" w14:textId="77777777" w:rsidTr="00BD16C7">
        <w:trPr>
          <w:jc w:val="center"/>
        </w:trPr>
        <w:tc>
          <w:tcPr>
            <w:tcW w:w="1696" w:type="dxa"/>
            <w:tcBorders>
              <w:bottom w:val="nil"/>
            </w:tcBorders>
            <w:shd w:val="clear" w:color="auto" w:fill="auto"/>
          </w:tcPr>
          <w:p w14:paraId="2EA16C61" w14:textId="77777777" w:rsidR="00887846" w:rsidRPr="009C5807" w:rsidRDefault="00887846" w:rsidP="00BD16C7">
            <w:pPr>
              <w:pStyle w:val="TAH"/>
              <w:rPr>
                <w:lang w:eastAsia="ko-KR"/>
              </w:rPr>
            </w:pPr>
            <w:r w:rsidRPr="009C5807">
              <w:rPr>
                <w:rFonts w:cs="v4.2.0"/>
                <w:lang w:eastAsia="ko-KR"/>
              </w:rPr>
              <w:t xml:space="preserve">Serving cell SSB </w:t>
            </w:r>
            <w:r w:rsidRPr="009C5807">
              <w:rPr>
                <w:lang w:val="en-US"/>
              </w:rPr>
              <w:t>Ês/Iot (dB)</w:t>
            </w:r>
          </w:p>
        </w:tc>
        <w:tc>
          <w:tcPr>
            <w:tcW w:w="1701" w:type="dxa"/>
            <w:tcBorders>
              <w:bottom w:val="nil"/>
            </w:tcBorders>
            <w:shd w:val="clear" w:color="auto" w:fill="auto"/>
          </w:tcPr>
          <w:p w14:paraId="01C790EC" w14:textId="77777777" w:rsidR="00887846" w:rsidRPr="009C5807" w:rsidRDefault="00887846" w:rsidP="00BD16C7">
            <w:pPr>
              <w:pStyle w:val="TAH"/>
              <w:rPr>
                <w:lang w:eastAsia="ko-KR"/>
              </w:rPr>
            </w:pPr>
            <w:r w:rsidRPr="009C5807">
              <w:rPr>
                <w:lang w:eastAsia="ko-KR"/>
              </w:rPr>
              <w:t>FR of target NR cell</w:t>
            </w:r>
          </w:p>
        </w:tc>
        <w:tc>
          <w:tcPr>
            <w:tcW w:w="6246" w:type="dxa"/>
            <w:gridSpan w:val="2"/>
            <w:shd w:val="clear" w:color="auto" w:fill="auto"/>
          </w:tcPr>
          <w:p w14:paraId="600F4C61" w14:textId="77777777" w:rsidR="00887846" w:rsidRPr="009C5807" w:rsidRDefault="00887846" w:rsidP="00BD16C7">
            <w:pPr>
              <w:pStyle w:val="TAH"/>
              <w:rPr>
                <w:lang w:eastAsia="ko-KR"/>
              </w:rPr>
            </w:pPr>
            <w:r w:rsidRPr="009C5807">
              <w:rPr>
                <w:lang w:eastAsia="ko-KR"/>
              </w:rPr>
              <w:t>T</w:t>
            </w:r>
            <w:r w:rsidRPr="009C5807">
              <w:rPr>
                <w:vertAlign w:val="subscript"/>
                <w:lang w:eastAsia="ko-KR"/>
              </w:rPr>
              <w:t xml:space="preserve">identify_inter_NR, i </w:t>
            </w:r>
            <w:r w:rsidRPr="009C5807">
              <w:rPr>
                <w:lang w:eastAsia="ko-KR"/>
              </w:rPr>
              <w:t>[ms]</w:t>
            </w:r>
          </w:p>
        </w:tc>
      </w:tr>
      <w:tr w:rsidR="00887846" w:rsidRPr="009C5807" w14:paraId="4DFD6BC0" w14:textId="77777777" w:rsidTr="00BD16C7">
        <w:trPr>
          <w:jc w:val="center"/>
        </w:trPr>
        <w:tc>
          <w:tcPr>
            <w:tcW w:w="1696" w:type="dxa"/>
            <w:tcBorders>
              <w:top w:val="nil"/>
            </w:tcBorders>
            <w:shd w:val="clear" w:color="auto" w:fill="auto"/>
          </w:tcPr>
          <w:p w14:paraId="717FD7AB" w14:textId="77777777" w:rsidR="00887846" w:rsidRPr="009C5807" w:rsidRDefault="00887846" w:rsidP="00BD16C7">
            <w:pPr>
              <w:pStyle w:val="TAH"/>
              <w:rPr>
                <w:lang w:eastAsia="ko-KR"/>
              </w:rPr>
            </w:pPr>
          </w:p>
        </w:tc>
        <w:tc>
          <w:tcPr>
            <w:tcW w:w="1701" w:type="dxa"/>
            <w:tcBorders>
              <w:top w:val="nil"/>
            </w:tcBorders>
            <w:shd w:val="clear" w:color="auto" w:fill="auto"/>
          </w:tcPr>
          <w:p w14:paraId="5081B195" w14:textId="77777777" w:rsidR="00887846" w:rsidRPr="009C5807" w:rsidRDefault="00887846" w:rsidP="00BD16C7">
            <w:pPr>
              <w:pStyle w:val="TAH"/>
              <w:rPr>
                <w:lang w:eastAsia="ko-KR"/>
              </w:rPr>
            </w:pPr>
          </w:p>
        </w:tc>
        <w:tc>
          <w:tcPr>
            <w:tcW w:w="2835" w:type="dxa"/>
            <w:shd w:val="clear" w:color="auto" w:fill="auto"/>
          </w:tcPr>
          <w:p w14:paraId="1A8681B7" w14:textId="77777777" w:rsidR="00887846" w:rsidRPr="009C5807" w:rsidRDefault="00887846" w:rsidP="00BD16C7">
            <w:pPr>
              <w:pStyle w:val="TAH"/>
              <w:rPr>
                <w:lang w:eastAsia="ko-KR"/>
              </w:rPr>
            </w:pPr>
            <w:r w:rsidRPr="009C5807">
              <w:rPr>
                <w:lang w:eastAsia="ko-KR"/>
              </w:rPr>
              <w:t>Known NR cell</w:t>
            </w:r>
          </w:p>
        </w:tc>
        <w:tc>
          <w:tcPr>
            <w:tcW w:w="3411" w:type="dxa"/>
          </w:tcPr>
          <w:p w14:paraId="352B0221" w14:textId="77777777" w:rsidR="00887846" w:rsidRPr="009C5807" w:rsidRDefault="00887846" w:rsidP="00BD16C7">
            <w:pPr>
              <w:pStyle w:val="TAH"/>
              <w:rPr>
                <w:lang w:eastAsia="ko-KR"/>
              </w:rPr>
            </w:pPr>
            <w:r w:rsidRPr="009C5807">
              <w:rPr>
                <w:lang w:eastAsia="ko-KR"/>
              </w:rPr>
              <w:t>Unknown NR cell</w:t>
            </w:r>
          </w:p>
        </w:tc>
      </w:tr>
      <w:tr w:rsidR="00320004" w:rsidRPr="009C5807" w14:paraId="1E6D96D5" w14:textId="77777777" w:rsidTr="00BD16C7">
        <w:trPr>
          <w:jc w:val="center"/>
        </w:trPr>
        <w:tc>
          <w:tcPr>
            <w:tcW w:w="1696" w:type="dxa"/>
          </w:tcPr>
          <w:p w14:paraId="0E1B94B2" w14:textId="77777777" w:rsidR="00320004" w:rsidRPr="009C5807" w:rsidRDefault="00320004" w:rsidP="00320004">
            <w:pPr>
              <w:pStyle w:val="TAL"/>
              <w:rPr>
                <w:lang w:eastAsia="zh-CN"/>
              </w:rPr>
            </w:pPr>
            <w:r w:rsidRPr="009C5807">
              <w:rPr>
                <w:rFonts w:cs="Arial" w:hint="eastAsia"/>
                <w:lang w:eastAsia="ko-KR"/>
              </w:rPr>
              <w:t>≥</w:t>
            </w:r>
            <w:r w:rsidRPr="009C5807">
              <w:rPr>
                <w:rFonts w:cs="Arial"/>
                <w:lang w:eastAsia="ko-KR"/>
              </w:rPr>
              <w:t xml:space="preserve"> </w:t>
            </w:r>
            <w:r w:rsidRPr="009C5807">
              <w:rPr>
                <w:lang w:eastAsia="ko-KR"/>
              </w:rPr>
              <w:t>-8</w:t>
            </w:r>
          </w:p>
        </w:tc>
        <w:tc>
          <w:tcPr>
            <w:tcW w:w="1701" w:type="dxa"/>
            <w:shd w:val="clear" w:color="auto" w:fill="auto"/>
          </w:tcPr>
          <w:p w14:paraId="53243260" w14:textId="77777777" w:rsidR="00320004" w:rsidRPr="009C5807" w:rsidRDefault="00320004" w:rsidP="00320004">
            <w:pPr>
              <w:pStyle w:val="TAL"/>
              <w:rPr>
                <w:lang w:eastAsia="ko-KR"/>
              </w:rPr>
            </w:pPr>
            <w:r w:rsidRPr="009C5807">
              <w:rPr>
                <w:lang w:eastAsia="ko-KR"/>
              </w:rPr>
              <w:t>FR1</w:t>
            </w:r>
          </w:p>
        </w:tc>
        <w:tc>
          <w:tcPr>
            <w:tcW w:w="2835" w:type="dxa"/>
            <w:shd w:val="clear" w:color="auto" w:fill="auto"/>
          </w:tcPr>
          <w:p w14:paraId="2EAD722E" w14:textId="7907DF48" w:rsidR="00320004" w:rsidRPr="009C5807" w:rsidRDefault="00320004" w:rsidP="00320004">
            <w:pPr>
              <w:pStyle w:val="TAC"/>
            </w:pPr>
            <w:r w:rsidRPr="002A552B">
              <w:rPr>
                <w:lang w:eastAsia="zh-CN"/>
              </w:rPr>
              <w:t>MAX (200 ms, 6 x T</w:t>
            </w:r>
            <w:r w:rsidRPr="002A552B">
              <w:rPr>
                <w:vertAlign w:val="subscript"/>
                <w:lang w:eastAsia="zh-CN"/>
              </w:rPr>
              <w:t>SMTC, i</w:t>
            </w:r>
            <w:r w:rsidRPr="002A552B">
              <w:rPr>
                <w:lang w:eastAsia="zh-CN"/>
              </w:rPr>
              <w:t>)</w:t>
            </w:r>
          </w:p>
        </w:tc>
        <w:tc>
          <w:tcPr>
            <w:tcW w:w="3411" w:type="dxa"/>
            <w:shd w:val="clear" w:color="auto" w:fill="auto"/>
          </w:tcPr>
          <w:p w14:paraId="4F02185D" w14:textId="3B723831" w:rsidR="00320004" w:rsidRPr="009C5807" w:rsidRDefault="00320004" w:rsidP="00320004">
            <w:pPr>
              <w:pStyle w:val="TAC"/>
            </w:pPr>
            <w:r w:rsidRPr="0079704B">
              <w:rPr>
                <w:lang w:eastAsia="zh-CN"/>
              </w:rPr>
              <w:t>K_satellite</w:t>
            </w:r>
            <w:r>
              <w:rPr>
                <w:lang w:eastAsia="zh-CN"/>
              </w:rPr>
              <w:t xml:space="preserve"> * </w:t>
            </w:r>
            <w:r w:rsidRPr="002A552B">
              <w:rPr>
                <w:lang w:eastAsia="zh-CN"/>
              </w:rPr>
              <w:t xml:space="preserve">MAX (800 ms, </w:t>
            </w:r>
            <w:r>
              <w:rPr>
                <w:lang w:eastAsia="zh-CN"/>
              </w:rPr>
              <w:t>13</w:t>
            </w:r>
            <w:r w:rsidRPr="002A552B">
              <w:rPr>
                <w:lang w:eastAsia="zh-CN"/>
              </w:rPr>
              <w:t xml:space="preserve"> x T</w:t>
            </w:r>
            <w:r w:rsidRPr="002A552B">
              <w:rPr>
                <w:vertAlign w:val="subscript"/>
                <w:lang w:eastAsia="zh-CN"/>
              </w:rPr>
              <w:t>SMTC, i</w:t>
            </w:r>
            <w:r w:rsidRPr="002A552B">
              <w:rPr>
                <w:lang w:eastAsia="zh-CN"/>
              </w:rPr>
              <w:t>)</w:t>
            </w:r>
          </w:p>
        </w:tc>
      </w:tr>
      <w:tr w:rsidR="00320004" w:rsidRPr="009C5807" w14:paraId="37BA6CCE" w14:textId="77777777" w:rsidTr="00BD16C7">
        <w:trPr>
          <w:jc w:val="center"/>
        </w:trPr>
        <w:tc>
          <w:tcPr>
            <w:tcW w:w="1696" w:type="dxa"/>
          </w:tcPr>
          <w:p w14:paraId="6D402432" w14:textId="77777777" w:rsidR="00320004" w:rsidRPr="009C5807" w:rsidRDefault="00320004" w:rsidP="00320004">
            <w:pPr>
              <w:pStyle w:val="TAL"/>
              <w:rPr>
                <w:lang w:eastAsia="zh-CN"/>
              </w:rPr>
            </w:pPr>
            <w:r w:rsidRPr="009C5807">
              <w:rPr>
                <w:lang w:eastAsia="ko-KR"/>
              </w:rPr>
              <w:t>&lt; -8</w:t>
            </w:r>
          </w:p>
        </w:tc>
        <w:tc>
          <w:tcPr>
            <w:tcW w:w="1701" w:type="dxa"/>
            <w:shd w:val="clear" w:color="auto" w:fill="auto"/>
          </w:tcPr>
          <w:p w14:paraId="50B9828E" w14:textId="77777777" w:rsidR="00320004" w:rsidRPr="009C5807" w:rsidRDefault="00320004" w:rsidP="00320004">
            <w:pPr>
              <w:pStyle w:val="TAL"/>
              <w:rPr>
                <w:lang w:eastAsia="ko-KR"/>
              </w:rPr>
            </w:pPr>
            <w:r w:rsidRPr="009C5807">
              <w:rPr>
                <w:lang w:eastAsia="ko-KR"/>
              </w:rPr>
              <w:t>FR1</w:t>
            </w:r>
          </w:p>
        </w:tc>
        <w:tc>
          <w:tcPr>
            <w:tcW w:w="2835" w:type="dxa"/>
            <w:shd w:val="clear" w:color="auto" w:fill="auto"/>
          </w:tcPr>
          <w:p w14:paraId="77D26D1B" w14:textId="77777777" w:rsidR="00320004" w:rsidRPr="009C5807" w:rsidRDefault="00320004" w:rsidP="00320004">
            <w:pPr>
              <w:pStyle w:val="TAC"/>
              <w:rPr>
                <w:lang w:eastAsia="zh-CN"/>
              </w:rPr>
            </w:pPr>
            <w:r w:rsidRPr="009C5807">
              <w:rPr>
                <w:lang w:eastAsia="zh-CN"/>
              </w:rPr>
              <w:t>N/A</w:t>
            </w:r>
          </w:p>
        </w:tc>
        <w:tc>
          <w:tcPr>
            <w:tcW w:w="3411" w:type="dxa"/>
            <w:shd w:val="clear" w:color="auto" w:fill="auto"/>
          </w:tcPr>
          <w:p w14:paraId="5EB097BF" w14:textId="43CD15F6" w:rsidR="00320004" w:rsidRPr="009C5807" w:rsidRDefault="00320004" w:rsidP="00320004">
            <w:pPr>
              <w:pStyle w:val="TAC"/>
              <w:rPr>
                <w:lang w:eastAsia="ko-KR"/>
              </w:rPr>
            </w:pPr>
            <w:r>
              <w:rPr>
                <w:lang w:eastAsia="zh-CN"/>
              </w:rPr>
              <w:t>k * 800 ms</w:t>
            </w:r>
            <w:r w:rsidDel="002C2AA4">
              <w:rPr>
                <w:lang w:eastAsia="zh-CN"/>
              </w:rPr>
              <w:t xml:space="preserve"> </w:t>
            </w:r>
            <w:r w:rsidRPr="002A552B">
              <w:rPr>
                <w:vertAlign w:val="superscript"/>
                <w:lang w:eastAsia="zh-CN"/>
              </w:rPr>
              <w:t>Note1</w:t>
            </w:r>
            <w:r>
              <w:rPr>
                <w:vertAlign w:val="superscript"/>
                <w:lang w:eastAsia="zh-CN"/>
              </w:rPr>
              <w:t>, 3</w:t>
            </w:r>
          </w:p>
        </w:tc>
      </w:tr>
      <w:tr w:rsidR="00887846" w:rsidRPr="009C5807" w14:paraId="5C32F33D" w14:textId="77777777" w:rsidTr="00BD16C7">
        <w:trPr>
          <w:jc w:val="center"/>
        </w:trPr>
        <w:tc>
          <w:tcPr>
            <w:tcW w:w="9643" w:type="dxa"/>
            <w:gridSpan w:val="4"/>
          </w:tcPr>
          <w:p w14:paraId="1B03BCA5" w14:textId="77777777" w:rsidR="00320004" w:rsidRDefault="00320004" w:rsidP="00320004">
            <w:pPr>
              <w:pStyle w:val="TAN"/>
              <w:rPr>
                <w:lang w:eastAsia="ko-KR"/>
              </w:rPr>
            </w:pPr>
            <w:r w:rsidRPr="009C5807">
              <w:rPr>
                <w:lang w:eastAsia="ko-KR"/>
              </w:rPr>
              <w:t>Note 1:</w:t>
            </w:r>
            <w:r w:rsidRPr="009C5807">
              <w:tab/>
            </w:r>
            <w:r w:rsidRPr="009C5807">
              <w:rPr>
                <w:lang w:eastAsia="ko-KR"/>
              </w:rPr>
              <w:t>The UE is not required to successfully identify a cell on any NR frequency layer when T</w:t>
            </w:r>
            <w:r w:rsidRPr="009C5807">
              <w:rPr>
                <w:vertAlign w:val="subscript"/>
                <w:lang w:eastAsia="ko-KR"/>
              </w:rPr>
              <w:t>SMTC,i</w:t>
            </w:r>
            <w:r w:rsidRPr="009C5807">
              <w:rPr>
                <w:lang w:eastAsia="ko-KR"/>
              </w:rPr>
              <w:t xml:space="preserve"> &gt; 20 ms and serving cell SSB Ês/Iot &lt; -8 dB.</w:t>
            </w:r>
          </w:p>
          <w:p w14:paraId="7968B3F2" w14:textId="77777777" w:rsidR="00320004" w:rsidRDefault="00320004" w:rsidP="00320004">
            <w:pPr>
              <w:pStyle w:val="TAN"/>
              <w:rPr>
                <w:lang w:eastAsia="ko-KR"/>
              </w:rPr>
            </w:pPr>
            <w:r w:rsidRPr="003512A7">
              <w:rPr>
                <w:lang w:eastAsia="ko-KR"/>
              </w:rPr>
              <w:t xml:space="preserve">Note </w:t>
            </w:r>
            <w:r>
              <w:rPr>
                <w:lang w:eastAsia="ko-KR"/>
              </w:rPr>
              <w:t>2</w:t>
            </w:r>
            <w:r w:rsidRPr="003512A7">
              <w:rPr>
                <w:lang w:eastAsia="ko-KR"/>
              </w:rPr>
              <w:t>:</w:t>
            </w:r>
            <w:r w:rsidRPr="003512A7">
              <w:tab/>
            </w:r>
            <w:r w:rsidRPr="0079704B">
              <w:rPr>
                <w:lang w:eastAsia="zh-CN"/>
              </w:rPr>
              <w:t>K_satellite</w:t>
            </w:r>
            <w:r>
              <w:t xml:space="preserve"> </w:t>
            </w:r>
            <w:r>
              <w:rPr>
                <w:lang w:eastAsia="ko-KR"/>
              </w:rPr>
              <w:t xml:space="preserve">is defined in clause </w:t>
            </w:r>
            <w:r w:rsidRPr="0079704B">
              <w:rPr>
                <w:lang w:eastAsia="ko-KR"/>
              </w:rPr>
              <w:t>9.3C.4</w:t>
            </w:r>
            <w:r>
              <w:rPr>
                <w:lang w:eastAsia="ko-KR"/>
              </w:rPr>
              <w:t>.</w:t>
            </w:r>
          </w:p>
          <w:p w14:paraId="6ACD2C8C" w14:textId="40CC38FC" w:rsidR="00887846" w:rsidRPr="009C5807" w:rsidRDefault="00320004" w:rsidP="00320004">
            <w:pPr>
              <w:pStyle w:val="TAN"/>
              <w:rPr>
                <w:lang w:eastAsia="ko-KR"/>
              </w:rPr>
            </w:pPr>
            <w:r w:rsidRPr="003512A7">
              <w:rPr>
                <w:lang w:eastAsia="ko-KR"/>
              </w:rPr>
              <w:t xml:space="preserve">Note </w:t>
            </w:r>
            <w:r>
              <w:rPr>
                <w:lang w:eastAsia="ko-KR"/>
              </w:rPr>
              <w:t>3</w:t>
            </w:r>
            <w:r w:rsidRPr="003512A7">
              <w:rPr>
                <w:lang w:eastAsia="ko-KR"/>
              </w:rPr>
              <w:t>:</w:t>
            </w:r>
            <w:r w:rsidRPr="003512A7">
              <w:rPr>
                <w:lang w:eastAsia="ko-KR"/>
              </w:rPr>
              <w:tab/>
            </w:r>
            <w:r>
              <w:rPr>
                <w:lang w:eastAsia="ko-KR"/>
              </w:rPr>
              <w:t>k = 1 if the cells on the target frequency are served by GEO. k = (N+1) if the cells on the target frequency are served by LEO,</w:t>
            </w:r>
            <w:r w:rsidRPr="0063112A">
              <w:rPr>
                <w:rFonts w:ascii="Times New Roman" w:hAnsi="Times New Roman"/>
                <w:sz w:val="20"/>
                <w:szCs w:val="24"/>
                <w:lang w:eastAsia="zh-CN"/>
              </w:rPr>
              <w:t xml:space="preserve"> </w:t>
            </w:r>
            <w:r w:rsidRPr="0063112A">
              <w:rPr>
                <w:lang w:eastAsia="ko-KR"/>
              </w:rPr>
              <w:t>where N is the number of different satellites associated to the list of configured neighbor cells in ntn-NeighCellConfigList and ntn-NeighCellConfigListExt</w:t>
            </w:r>
            <w:r>
              <w:rPr>
                <w:lang w:eastAsia="ko-KR"/>
              </w:rPr>
              <w:t>.</w:t>
            </w:r>
          </w:p>
        </w:tc>
      </w:tr>
    </w:tbl>
    <w:p w14:paraId="29AA5915" w14:textId="77777777" w:rsidR="00887846" w:rsidRPr="003C0ABF" w:rsidRDefault="00887846" w:rsidP="00887846">
      <w:pPr>
        <w:rPr>
          <w:rFonts w:eastAsia="SimSun"/>
          <w:noProof/>
          <w:highlight w:val="yellow"/>
          <w:lang w:eastAsia="zh-CN"/>
        </w:rPr>
      </w:pPr>
    </w:p>
    <w:p w14:paraId="2B1BF215" w14:textId="77777777" w:rsidR="00064C2A" w:rsidRPr="009C5807" w:rsidRDefault="00064C2A" w:rsidP="00064C2A">
      <w:pPr>
        <w:pStyle w:val="Heading3"/>
        <w:rPr>
          <w:lang w:val="en-US" w:eastAsia="ko-KR"/>
        </w:rPr>
      </w:pPr>
      <w:r w:rsidRPr="009C5807">
        <w:rPr>
          <w:lang w:val="en-US" w:eastAsia="ko-KR"/>
        </w:rPr>
        <w:t>6.2</w:t>
      </w:r>
      <w:r>
        <w:rPr>
          <w:rFonts w:hint="eastAsia"/>
          <w:lang w:val="en-US" w:eastAsia="zh-CN"/>
        </w:rPr>
        <w:t>C</w:t>
      </w:r>
      <w:r w:rsidRPr="009C5807">
        <w:rPr>
          <w:lang w:val="en-US" w:eastAsia="ko-KR"/>
        </w:rPr>
        <w:t>.2</w:t>
      </w:r>
      <w:r w:rsidRPr="009C5807">
        <w:rPr>
          <w:lang w:val="en-US" w:eastAsia="ko-KR"/>
        </w:rPr>
        <w:tab/>
        <w:t>Random access</w:t>
      </w:r>
      <w:r>
        <w:rPr>
          <w:lang w:val="en-US" w:eastAsia="ko-KR"/>
        </w:rPr>
        <w:t xml:space="preserve"> for </w:t>
      </w:r>
      <w:r>
        <w:t>satellite access</w:t>
      </w:r>
    </w:p>
    <w:p w14:paraId="6A22D682" w14:textId="77777777" w:rsidR="00064C2A" w:rsidRPr="009C5807" w:rsidRDefault="00064C2A" w:rsidP="00064C2A">
      <w:pPr>
        <w:pStyle w:val="Heading4"/>
        <w:rPr>
          <w:lang w:eastAsia="ko-KR"/>
        </w:rPr>
      </w:pPr>
      <w:r w:rsidRPr="009C5807">
        <w:rPr>
          <w:lang w:eastAsia="ko-KR"/>
        </w:rPr>
        <w:t>6.2</w:t>
      </w:r>
      <w:r>
        <w:rPr>
          <w:rFonts w:hint="eastAsia"/>
          <w:lang w:eastAsia="zh-CN"/>
        </w:rPr>
        <w:t>C</w:t>
      </w:r>
      <w:r w:rsidRPr="009C5807">
        <w:rPr>
          <w:lang w:eastAsia="ko-KR"/>
        </w:rPr>
        <w:t>.</w:t>
      </w:r>
      <w:r w:rsidRPr="009C5807">
        <w:rPr>
          <w:lang w:eastAsia="zh-CN"/>
        </w:rPr>
        <w:t>2</w:t>
      </w:r>
      <w:r w:rsidRPr="009C5807">
        <w:rPr>
          <w:lang w:eastAsia="ko-KR"/>
        </w:rPr>
        <w:t>.1</w:t>
      </w:r>
      <w:r w:rsidRPr="009C5807">
        <w:rPr>
          <w:lang w:eastAsia="ko-KR"/>
        </w:rPr>
        <w:tab/>
        <w:t>Introduction</w:t>
      </w:r>
    </w:p>
    <w:p w14:paraId="558C32FC" w14:textId="77777777" w:rsidR="00064C2A" w:rsidRPr="009C5807" w:rsidRDefault="00064C2A" w:rsidP="00064C2A">
      <w:pPr>
        <w:rPr>
          <w:lang w:val="en-US" w:eastAsia="zh-CN"/>
        </w:rPr>
      </w:pPr>
      <w:r w:rsidRPr="009C5807">
        <w:rPr>
          <w:lang w:val="en-US" w:eastAsia="zh-CN"/>
        </w:rPr>
        <w:t>This clause contains requirements on the UE regarding random access procedure. The random access procedure is initiated to establish uplink time synchronization for a UE which either has not acquired or has lost its uplink synchronization, or to convey UE’s request Other SI, or for beam failure recovery. The random access is specified in clause 8 of TS 38.213</w:t>
      </w:r>
      <w:r w:rsidRPr="009C5807">
        <w:t> </w:t>
      </w:r>
      <w:r w:rsidRPr="009C5807">
        <w:rPr>
          <w:lang w:val="en-US" w:eastAsia="zh-CN"/>
        </w:rPr>
        <w:t>[3] and the control of the RACH transmission is specified in clause 5.1 of TS</w:t>
      </w:r>
      <w:r w:rsidRPr="009C5807">
        <w:t> </w:t>
      </w:r>
      <w:r w:rsidRPr="009C5807">
        <w:rPr>
          <w:lang w:val="en-US" w:eastAsia="zh-CN"/>
        </w:rPr>
        <w:t>38.321</w:t>
      </w:r>
      <w:r w:rsidRPr="009C5807">
        <w:t> </w:t>
      </w:r>
      <w:r w:rsidRPr="009C5807">
        <w:rPr>
          <w:lang w:val="en-US" w:eastAsia="zh-CN"/>
        </w:rPr>
        <w:t>[7]. Two types of procedure are defined for the random access, the 4-step RA type, and the 2-step RA type [7]. The decision on which type of procedure to adopt is as described in clause 5.1.1 of TS 38.321</w:t>
      </w:r>
      <w:r w:rsidRPr="009C5807">
        <w:t> </w:t>
      </w:r>
      <w:r w:rsidRPr="009C5807">
        <w:rPr>
          <w:lang w:val="en-US" w:eastAsia="zh-CN"/>
        </w:rPr>
        <w:t>[7]. The requirements for the 4-step RA type procedure are described in clause 6.2.2.2, whereas the requirements for the 2-step RA type procedure are described in the clause 6.2.2.3 of this specification.</w:t>
      </w:r>
    </w:p>
    <w:p w14:paraId="7E8CCDC0" w14:textId="77777777" w:rsidR="00064C2A" w:rsidRPr="009C5807" w:rsidRDefault="00064C2A" w:rsidP="00064C2A">
      <w:pPr>
        <w:pStyle w:val="Heading4"/>
        <w:rPr>
          <w:lang w:eastAsia="ko-KR"/>
        </w:rPr>
      </w:pPr>
      <w:r w:rsidRPr="009C5807">
        <w:rPr>
          <w:lang w:eastAsia="ko-KR"/>
        </w:rPr>
        <w:t>6.2</w:t>
      </w:r>
      <w:r>
        <w:rPr>
          <w:rFonts w:hint="eastAsia"/>
          <w:lang w:eastAsia="zh-CN"/>
        </w:rPr>
        <w:t>C</w:t>
      </w:r>
      <w:r w:rsidRPr="009C5807">
        <w:rPr>
          <w:lang w:eastAsia="ko-KR"/>
        </w:rPr>
        <w:t>.</w:t>
      </w:r>
      <w:r w:rsidRPr="009C5807">
        <w:rPr>
          <w:lang w:eastAsia="zh-CN"/>
        </w:rPr>
        <w:t>2</w:t>
      </w:r>
      <w:r w:rsidRPr="009C5807">
        <w:rPr>
          <w:lang w:eastAsia="ko-KR"/>
        </w:rPr>
        <w:t>.2</w:t>
      </w:r>
      <w:r w:rsidRPr="009C5807">
        <w:rPr>
          <w:lang w:eastAsia="ko-KR"/>
        </w:rPr>
        <w:tab/>
        <w:t>Requirements for 4-step RA type</w:t>
      </w:r>
    </w:p>
    <w:p w14:paraId="7ABE47A4" w14:textId="77777777" w:rsidR="00064C2A" w:rsidRPr="009C5807" w:rsidRDefault="00064C2A" w:rsidP="00064C2A">
      <w:pPr>
        <w:rPr>
          <w:rFonts w:cs="v4.2.0"/>
          <w:lang w:eastAsia="zh-CN"/>
        </w:rPr>
      </w:pPr>
      <w:r w:rsidRPr="009C5807">
        <w:t>The UE shall select the type of random access at initiation of the random access procedure based on network configuration, as specified in clause 5.1.1 in TS 38.321 [7].</w:t>
      </w:r>
    </w:p>
    <w:p w14:paraId="70CF5962" w14:textId="77777777" w:rsidR="00064C2A" w:rsidRPr="009C5807" w:rsidRDefault="00064C2A" w:rsidP="00064C2A">
      <w:pPr>
        <w:rPr>
          <w:rFonts w:cs="v4.2.0"/>
          <w:lang w:eastAsia="zh-CN"/>
        </w:rPr>
      </w:pPr>
      <w:r w:rsidRPr="009C5807">
        <w:rPr>
          <w:rFonts w:cs="v4.2.0"/>
          <w:lang w:eastAsia="zh-CN"/>
        </w:rPr>
        <w:t>T</w:t>
      </w:r>
      <w:r w:rsidRPr="009C5807">
        <w:rPr>
          <w:rFonts w:cs="v4.2.0"/>
        </w:rPr>
        <w:t>he UE shall have capability to calculate PRACH transmission power according to the PRACH power formula defined in clause 7.4 of TS 3</w:t>
      </w:r>
      <w:r w:rsidRPr="009C5807">
        <w:rPr>
          <w:rFonts w:cs="v4.2.0"/>
          <w:lang w:eastAsia="zh-CN"/>
        </w:rPr>
        <w:t>8</w:t>
      </w:r>
      <w:r w:rsidRPr="009C5807">
        <w:rPr>
          <w:rFonts w:cs="v4.2.0"/>
        </w:rPr>
        <w:t>.213</w:t>
      </w:r>
      <w:r w:rsidRPr="009C5807">
        <w:rPr>
          <w:rFonts w:cs="v4.2.0"/>
          <w:lang w:eastAsia="zh-CN"/>
        </w:rPr>
        <w:t xml:space="preserve"> </w:t>
      </w:r>
      <w:r w:rsidRPr="009C5807">
        <w:rPr>
          <w:rFonts w:cs="v4.2.0"/>
        </w:rPr>
        <w:t xml:space="preserve">[3] and apply this power level at the first preamble or additional preambles. The absolute power applied to the first preamble shall have an accuracy as specified in </w:t>
      </w:r>
      <w:r w:rsidRPr="009C5807">
        <w:rPr>
          <w:rFonts w:cs="v4.2.0"/>
          <w:lang w:eastAsia="zh-CN"/>
        </w:rPr>
        <w:t>T</w:t>
      </w:r>
      <w:r w:rsidRPr="009C5807">
        <w:rPr>
          <w:rFonts w:cs="v4.2.0"/>
        </w:rPr>
        <w:t xml:space="preserve">able </w:t>
      </w:r>
      <w:r w:rsidRPr="009C5807">
        <w:rPr>
          <w:rFonts w:cs="v4.2.0"/>
          <w:lang w:eastAsia="zh-CN"/>
        </w:rPr>
        <w:t>6.3.4.2-1</w:t>
      </w:r>
      <w:r w:rsidRPr="009C5807">
        <w:rPr>
          <w:rFonts w:cs="v4.2.0"/>
        </w:rPr>
        <w:t xml:space="preserve"> of TS 3</w:t>
      </w:r>
      <w:r w:rsidRPr="009C5807">
        <w:rPr>
          <w:rFonts w:cs="v4.2.0"/>
          <w:lang w:eastAsia="zh-CN"/>
        </w:rPr>
        <w:t>8</w:t>
      </w:r>
      <w:r w:rsidRPr="009C5807">
        <w:rPr>
          <w:rFonts w:cs="v4.2.0"/>
        </w:rPr>
        <w:t>.101</w:t>
      </w:r>
      <w:r w:rsidRPr="009C5807">
        <w:rPr>
          <w:rFonts w:cs="v4.2.0"/>
          <w:lang w:eastAsia="zh-CN"/>
        </w:rPr>
        <w:t xml:space="preserve">-1 </w:t>
      </w:r>
      <w:r w:rsidRPr="009C5807">
        <w:rPr>
          <w:rFonts w:cs="v4.2.0"/>
        </w:rPr>
        <w:t>[18]</w:t>
      </w:r>
      <w:r w:rsidRPr="009C5807">
        <w:rPr>
          <w:rFonts w:cs="v4.2.0"/>
          <w:lang w:eastAsia="zh-CN"/>
        </w:rPr>
        <w:t xml:space="preserve"> for FR1</w:t>
      </w:r>
      <w:r w:rsidRPr="009C5807">
        <w:rPr>
          <w:rFonts w:cs="v4.2.0"/>
        </w:rPr>
        <w:t xml:space="preserve">. The relative power applied to additional preambles shall have an accuracy as specified in </w:t>
      </w:r>
      <w:r w:rsidRPr="009C5807">
        <w:rPr>
          <w:rFonts w:cs="v4.2.0"/>
          <w:lang w:eastAsia="zh-CN"/>
        </w:rPr>
        <w:t>T</w:t>
      </w:r>
      <w:r w:rsidRPr="009C5807">
        <w:rPr>
          <w:rFonts w:cs="v4.2.0"/>
        </w:rPr>
        <w:t xml:space="preserve">able </w:t>
      </w:r>
      <w:r w:rsidRPr="009C5807">
        <w:rPr>
          <w:rFonts w:cs="v4.2.0"/>
          <w:lang w:eastAsia="zh-CN"/>
        </w:rPr>
        <w:t>6.3.4.3-1</w:t>
      </w:r>
      <w:r w:rsidRPr="009C5807">
        <w:rPr>
          <w:rFonts w:cs="v4.2.0"/>
        </w:rPr>
        <w:t xml:space="preserve"> of TS 3</w:t>
      </w:r>
      <w:r w:rsidRPr="009C5807">
        <w:rPr>
          <w:rFonts w:cs="v4.2.0"/>
          <w:lang w:eastAsia="zh-CN"/>
        </w:rPr>
        <w:t>8</w:t>
      </w:r>
      <w:r w:rsidRPr="009C5807">
        <w:rPr>
          <w:rFonts w:cs="v4.2.0"/>
        </w:rPr>
        <w:t>.101</w:t>
      </w:r>
      <w:r w:rsidRPr="009C5807">
        <w:rPr>
          <w:rFonts w:cs="v4.2.0"/>
          <w:lang w:eastAsia="zh-CN"/>
        </w:rPr>
        <w:t xml:space="preserve">-1 </w:t>
      </w:r>
      <w:r w:rsidRPr="009C5807">
        <w:rPr>
          <w:rFonts w:cs="v4.2.0"/>
        </w:rPr>
        <w:t>[</w:t>
      </w:r>
      <w:r w:rsidRPr="009C5807">
        <w:rPr>
          <w:rFonts w:cs="v4.2.0"/>
          <w:lang w:eastAsia="zh-CN"/>
        </w:rPr>
        <w:t>18</w:t>
      </w:r>
      <w:r w:rsidRPr="009C5807">
        <w:rPr>
          <w:rFonts w:cs="v4.2.0"/>
        </w:rPr>
        <w:t>]</w:t>
      </w:r>
      <w:r w:rsidRPr="009C5807">
        <w:rPr>
          <w:rFonts w:cs="v4.2.0"/>
          <w:lang w:eastAsia="zh-CN"/>
        </w:rPr>
        <w:t xml:space="preserve"> for FR1</w:t>
      </w:r>
      <w:r w:rsidRPr="009C5807">
        <w:rPr>
          <w:rFonts w:cs="v4.2.0"/>
        </w:rPr>
        <w:t>.</w:t>
      </w:r>
    </w:p>
    <w:p w14:paraId="5DA4F9B7" w14:textId="77777777" w:rsidR="00064C2A" w:rsidRPr="009C5807" w:rsidRDefault="00064C2A" w:rsidP="00064C2A">
      <w:pPr>
        <w:rPr>
          <w:rFonts w:cs="v4.2.0"/>
          <w:lang w:eastAsia="zh-CN"/>
        </w:rPr>
      </w:pPr>
      <w:r w:rsidRPr="009C5807">
        <w:rPr>
          <w:rFonts w:cs="v4.2.0"/>
          <w:lang w:eastAsia="zh-CN"/>
        </w:rPr>
        <w:t>The UE shall indicate a random access problem to upper layers if the maximum number of preamble transmission counter has been reached for the random access procedure on PCell or PSCell as specified in clause 5.1.4 in TS 38.321 [7].</w:t>
      </w:r>
    </w:p>
    <w:p w14:paraId="1D0CB7BA" w14:textId="77777777" w:rsidR="00064C2A" w:rsidRPr="009C5807" w:rsidRDefault="00064C2A" w:rsidP="00064C2A">
      <w:pPr>
        <w:rPr>
          <w:rFonts w:cs="v4.2.0"/>
          <w:lang w:eastAsia="zh-CN"/>
        </w:rPr>
      </w:pPr>
      <w:r w:rsidRPr="009C5807">
        <w:rPr>
          <w:rFonts w:cs="v4.2.0"/>
          <w:lang w:eastAsia="zh-CN"/>
        </w:rPr>
        <w:t>The requirements in this clause apply for UE in SA operation mode.</w:t>
      </w:r>
    </w:p>
    <w:p w14:paraId="0BF110AC" w14:textId="77777777" w:rsidR="00064C2A" w:rsidRPr="009C5807" w:rsidRDefault="00064C2A" w:rsidP="00064C2A">
      <w:pPr>
        <w:pStyle w:val="Heading5"/>
        <w:rPr>
          <w:lang w:eastAsia="zh-CN"/>
        </w:rPr>
      </w:pPr>
      <w:r w:rsidRPr="009C5807">
        <w:rPr>
          <w:lang w:eastAsia="zh-CN"/>
        </w:rPr>
        <w:t>6.2</w:t>
      </w:r>
      <w:r>
        <w:rPr>
          <w:rFonts w:hint="eastAsia"/>
          <w:lang w:eastAsia="zh-CN"/>
        </w:rPr>
        <w:t>C</w:t>
      </w:r>
      <w:r w:rsidRPr="009C5807">
        <w:rPr>
          <w:lang w:eastAsia="zh-CN"/>
        </w:rPr>
        <w:t>.2.2.1</w:t>
      </w:r>
      <w:r w:rsidRPr="009C5807">
        <w:rPr>
          <w:lang w:eastAsia="zh-CN"/>
        </w:rPr>
        <w:tab/>
        <w:t>Contention based random access</w:t>
      </w:r>
    </w:p>
    <w:p w14:paraId="3A194F81" w14:textId="77777777" w:rsidR="00064C2A" w:rsidRPr="009C5807" w:rsidRDefault="00064C2A" w:rsidP="00A320CF">
      <w:pPr>
        <w:pStyle w:val="Heading6"/>
        <w:rPr>
          <w:lang w:eastAsia="zh-CN"/>
        </w:rPr>
      </w:pPr>
      <w:r w:rsidRPr="009C5807">
        <w:rPr>
          <w:lang w:eastAsia="zh-CN"/>
        </w:rPr>
        <w:t>6.2</w:t>
      </w:r>
      <w:r>
        <w:rPr>
          <w:rFonts w:hint="eastAsia"/>
          <w:lang w:eastAsia="zh-CN"/>
        </w:rPr>
        <w:t>C</w:t>
      </w:r>
      <w:r w:rsidRPr="009C5807">
        <w:rPr>
          <w:lang w:eastAsia="zh-CN"/>
        </w:rPr>
        <w:t>.2.2.1.1</w:t>
      </w:r>
      <w:r w:rsidRPr="009C5807">
        <w:rPr>
          <w:lang w:eastAsia="zh-CN"/>
        </w:rPr>
        <w:tab/>
        <w:t>Correct behaviour when transmitting Random Access Preamble</w:t>
      </w:r>
    </w:p>
    <w:p w14:paraId="780BEA77" w14:textId="77777777" w:rsidR="00064C2A" w:rsidRPr="009C5807" w:rsidRDefault="00064C2A" w:rsidP="00064C2A">
      <w:pPr>
        <w:rPr>
          <w:rFonts w:cs="v4.2.0"/>
          <w:lang w:eastAsia="zh-CN"/>
        </w:rPr>
      </w:pPr>
      <w:r w:rsidRPr="009C5807">
        <w:rPr>
          <w:rFonts w:cs="v4.2.0"/>
          <w:lang w:eastAsia="zh-CN"/>
        </w:rPr>
        <w:t xml:space="preserve">With the UE selected SSB with SS-RSRP above </w:t>
      </w:r>
      <w:r w:rsidRPr="009C5807">
        <w:rPr>
          <w:rFonts w:cs="v4.2.0"/>
          <w:i/>
          <w:lang w:eastAsia="zh-CN"/>
        </w:rPr>
        <w:t>rsrp-ThresholdSSB</w:t>
      </w:r>
      <w:r w:rsidRPr="009C5807">
        <w:rPr>
          <w:rFonts w:cs="v4.2.0"/>
          <w:lang w:eastAsia="zh-CN"/>
        </w:rPr>
        <w:t xml:space="preserve">, UE shall have the capability to select a </w:t>
      </w:r>
      <w:r w:rsidRPr="009C5807">
        <w:t>Random Access Preamble</w:t>
      </w:r>
      <w:r w:rsidRPr="009C5807">
        <w:rPr>
          <w:rFonts w:cs="v4.2.0"/>
          <w:lang w:eastAsia="zh-CN"/>
        </w:rPr>
        <w:t xml:space="preserve"> randomly with equal probability from the </w:t>
      </w:r>
      <w:r w:rsidRPr="009C5807">
        <w:t>Random Access Preamble</w:t>
      </w:r>
      <w:r w:rsidRPr="009C5807">
        <w:rPr>
          <w:lang w:eastAsia="zh-CN"/>
        </w:rPr>
        <w:t>s</w:t>
      </w:r>
      <w:r w:rsidRPr="009C5807">
        <w:rPr>
          <w:rFonts w:cs="v4.2.0"/>
          <w:lang w:eastAsia="zh-CN"/>
        </w:rPr>
        <w:t xml:space="preserve"> associated with the selected SSB if the association between Random Access Preambles and SSB is configured, </w:t>
      </w:r>
      <w:r w:rsidRPr="009C5807">
        <w:rPr>
          <w:rFonts w:cs="v4.2.0"/>
        </w:rPr>
        <w:t>as specified in clause 5.1.</w:t>
      </w:r>
      <w:r w:rsidRPr="009C5807">
        <w:rPr>
          <w:rFonts w:cs="v4.2.0"/>
          <w:lang w:eastAsia="zh-CN"/>
        </w:rPr>
        <w:t>2</w:t>
      </w:r>
      <w:r w:rsidRPr="009C5807">
        <w:rPr>
          <w:rFonts w:cs="v4.2.0"/>
        </w:rPr>
        <w:t xml:space="preserve"> in TS 3</w:t>
      </w:r>
      <w:r w:rsidRPr="009C5807">
        <w:rPr>
          <w:rFonts w:cs="v4.2.0"/>
          <w:lang w:eastAsia="zh-CN"/>
        </w:rPr>
        <w:t>8</w:t>
      </w:r>
      <w:r w:rsidRPr="009C5807">
        <w:rPr>
          <w:rFonts w:cs="v4.2.0"/>
        </w:rPr>
        <w:t>.321 [7]</w:t>
      </w:r>
      <w:r w:rsidRPr="009C5807">
        <w:rPr>
          <w:rFonts w:cs="v4.2.0"/>
          <w:lang w:eastAsia="zh-CN"/>
        </w:rPr>
        <w:t>.</w:t>
      </w:r>
    </w:p>
    <w:p w14:paraId="7C2ED8EE" w14:textId="77777777" w:rsidR="00064C2A" w:rsidRPr="009C5807" w:rsidRDefault="00064C2A" w:rsidP="00064C2A">
      <w:pPr>
        <w:rPr>
          <w:rFonts w:cs="v4.2.0"/>
          <w:lang w:eastAsia="zh-CN"/>
        </w:rPr>
      </w:pPr>
      <w:r w:rsidRPr="009C5807">
        <w:rPr>
          <w:rFonts w:cs="v4.2.0"/>
          <w:lang w:eastAsia="zh-CN"/>
        </w:rPr>
        <w:t xml:space="preserve">With the UE selected SSB with SS-RSRP above </w:t>
      </w:r>
      <w:r w:rsidRPr="009C5807">
        <w:rPr>
          <w:rFonts w:cs="v4.2.0"/>
          <w:i/>
          <w:lang w:eastAsia="zh-CN"/>
        </w:rPr>
        <w:t>rsrp-ThresholdSSB</w:t>
      </w:r>
      <w:r w:rsidRPr="009C5807">
        <w:rPr>
          <w:rFonts w:cs="v4.2.0"/>
          <w:lang w:eastAsia="zh-CN"/>
        </w:rPr>
        <w:t xml:space="preserve">, UE shall have the capability to transmit Random Access Preamble on the next available PRACH occasion from the PRACH occasions corresponding to the selected SSB permitted by the restrictions given by the </w:t>
      </w:r>
      <w:r w:rsidRPr="009C5807">
        <w:rPr>
          <w:rFonts w:cs="v4.2.0"/>
          <w:i/>
          <w:lang w:eastAsia="zh-CN"/>
        </w:rPr>
        <w:t>ra-ssb-OccasionMaskIndex</w:t>
      </w:r>
      <w:r w:rsidRPr="009C5807">
        <w:rPr>
          <w:rFonts w:cs="v4.2.0"/>
          <w:lang w:eastAsia="zh-CN"/>
        </w:rPr>
        <w:t xml:space="preserve"> if configured, if the association between PRACH occasions and SSBs is configured, and </w:t>
      </w:r>
      <w:r w:rsidRPr="009C5807">
        <w:rPr>
          <w:lang w:eastAsia="ko-KR"/>
        </w:rPr>
        <w:t xml:space="preserve">PRACH occasion </w:t>
      </w:r>
      <w:r w:rsidRPr="009C5807">
        <w:rPr>
          <w:lang w:eastAsia="zh-CN"/>
        </w:rPr>
        <w:t xml:space="preserve">shall be </w:t>
      </w:r>
      <w:r w:rsidRPr="009C5807">
        <w:rPr>
          <w:lang w:eastAsia="ko-KR"/>
        </w:rPr>
        <w:t>randomly</w:t>
      </w:r>
      <w:r w:rsidRPr="009C5807">
        <w:rPr>
          <w:lang w:eastAsia="zh-CN"/>
        </w:rPr>
        <w:t xml:space="preserve"> selected</w:t>
      </w:r>
      <w:r w:rsidRPr="009C5807">
        <w:rPr>
          <w:lang w:eastAsia="ko-KR"/>
        </w:rPr>
        <w:t xml:space="preserve"> with equal probability amongst the </w:t>
      </w:r>
      <w:r w:rsidRPr="009C5807">
        <w:rPr>
          <w:lang w:eastAsia="zh-CN"/>
        </w:rPr>
        <w:t xml:space="preserve">selected SSB associated </w:t>
      </w:r>
      <w:r w:rsidRPr="009C5807">
        <w:rPr>
          <w:lang w:eastAsia="ko-KR"/>
        </w:rPr>
        <w:t>PRACH occasions occurring simultaneously but on different subcarriers</w:t>
      </w:r>
      <w:r w:rsidRPr="009C5807">
        <w:rPr>
          <w:rFonts w:cs="v4.2.0"/>
          <w:lang w:eastAsia="zh-CN"/>
        </w:rPr>
        <w:t xml:space="preserve">, </w:t>
      </w:r>
      <w:r w:rsidRPr="009C5807">
        <w:rPr>
          <w:rFonts w:cs="v4.2.0"/>
        </w:rPr>
        <w:t>as specified in clause 5.1.</w:t>
      </w:r>
      <w:r w:rsidRPr="009C5807">
        <w:rPr>
          <w:rFonts w:cs="v4.2.0"/>
          <w:lang w:eastAsia="zh-CN"/>
        </w:rPr>
        <w:t>2</w:t>
      </w:r>
      <w:r w:rsidRPr="009C5807">
        <w:rPr>
          <w:rFonts w:cs="v4.2.0"/>
        </w:rPr>
        <w:t xml:space="preserve"> in TS 3</w:t>
      </w:r>
      <w:r w:rsidRPr="009C5807">
        <w:rPr>
          <w:rFonts w:cs="v4.2.0"/>
          <w:lang w:eastAsia="zh-CN"/>
        </w:rPr>
        <w:t>8</w:t>
      </w:r>
      <w:r w:rsidRPr="009C5807">
        <w:rPr>
          <w:rFonts w:cs="v4.2.0"/>
        </w:rPr>
        <w:t>.321 [7]</w:t>
      </w:r>
      <w:r w:rsidRPr="009C5807">
        <w:rPr>
          <w:rFonts w:cs="v4.2.0"/>
          <w:lang w:eastAsia="zh-CN"/>
        </w:rPr>
        <w:t>.</w:t>
      </w:r>
    </w:p>
    <w:p w14:paraId="2C450C7C" w14:textId="77777777" w:rsidR="00064C2A" w:rsidRPr="009C5807" w:rsidRDefault="00064C2A" w:rsidP="00787B09">
      <w:pPr>
        <w:pStyle w:val="Heading6"/>
        <w:rPr>
          <w:lang w:eastAsia="zh-CN"/>
        </w:rPr>
      </w:pPr>
      <w:r w:rsidRPr="009C5807">
        <w:rPr>
          <w:lang w:eastAsia="zh-CN"/>
        </w:rPr>
        <w:t>6.2</w:t>
      </w:r>
      <w:r>
        <w:rPr>
          <w:rFonts w:hint="eastAsia"/>
          <w:lang w:eastAsia="zh-CN"/>
        </w:rPr>
        <w:t>C</w:t>
      </w:r>
      <w:r w:rsidRPr="009C5807">
        <w:rPr>
          <w:lang w:eastAsia="zh-CN"/>
        </w:rPr>
        <w:t>.2.2.1.2</w:t>
      </w:r>
      <w:r w:rsidRPr="009C5807">
        <w:rPr>
          <w:lang w:eastAsia="zh-CN"/>
        </w:rPr>
        <w:tab/>
        <w:t>Correct behaviour when receiving Random Access Response</w:t>
      </w:r>
    </w:p>
    <w:p w14:paraId="6FFCCBC8" w14:textId="77777777" w:rsidR="00064C2A" w:rsidRPr="009C5807" w:rsidRDefault="00064C2A" w:rsidP="00064C2A">
      <w:pPr>
        <w:rPr>
          <w:lang w:eastAsia="zh-CN"/>
        </w:rPr>
      </w:pPr>
      <w:r w:rsidRPr="009C5807">
        <w:t>The UE may stop monitoring for Random Access Response(s) and shall transmit the msg3 if the Random Access Response contains a Random Access Preamble identifier corresponding to the transmitted Random Access Preamble.</w:t>
      </w:r>
    </w:p>
    <w:p w14:paraId="5022B696" w14:textId="77777777" w:rsidR="00064C2A" w:rsidRPr="009C5807" w:rsidRDefault="00064C2A" w:rsidP="00064C2A">
      <w:pPr>
        <w:rPr>
          <w:rFonts w:cs="v4.2.0"/>
        </w:rPr>
      </w:pPr>
      <w:r w:rsidRPr="009C5807">
        <w:rPr>
          <w:rFonts w:cs="v4.2.0"/>
        </w:rPr>
        <w:t>The UE shall a</w:t>
      </w:r>
      <w:r w:rsidRPr="009C5807">
        <w:rPr>
          <w:rFonts w:cs="v4.2.0"/>
          <w:lang w:eastAsia="zh-CN"/>
        </w:rPr>
        <w:t xml:space="preserve">gain </w:t>
      </w:r>
      <w:r w:rsidRPr="009C5807">
        <w:rPr>
          <w:rFonts w:cs="v4.2.0"/>
        </w:rPr>
        <w:t>perform the Random Access Resource selection procedure defined in clause 5.1.2</w:t>
      </w:r>
      <w:r w:rsidRPr="009C5807">
        <w:rPr>
          <w:rFonts w:cs="v4.2.0"/>
          <w:lang w:eastAsia="zh-CN"/>
        </w:rPr>
        <w:t xml:space="preserve"> </w:t>
      </w:r>
      <w:r w:rsidRPr="009C5807">
        <w:rPr>
          <w:rFonts w:cs="v4.2.0"/>
        </w:rPr>
        <w:t>in TS 3</w:t>
      </w:r>
      <w:r w:rsidRPr="009C5807">
        <w:rPr>
          <w:rFonts w:cs="v4.2.0"/>
          <w:lang w:eastAsia="zh-CN"/>
        </w:rPr>
        <w:t>8</w:t>
      </w:r>
      <w:r w:rsidRPr="009C5807">
        <w:rPr>
          <w:rFonts w:cs="v4.2.0"/>
        </w:rPr>
        <w:t>.321 [7]</w:t>
      </w:r>
      <w:r w:rsidRPr="009C5807">
        <w:rPr>
          <w:rFonts w:cs="v4.2.0"/>
          <w:lang w:eastAsia="zh-CN"/>
        </w:rPr>
        <w:t>,</w:t>
      </w:r>
      <w:r w:rsidRPr="009C5807">
        <w:rPr>
          <w:rFonts w:cs="v4.2.0"/>
        </w:rPr>
        <w:t xml:space="preserve"> and transmit with the calculated PRACH transmission power </w:t>
      </w:r>
      <w:r w:rsidRPr="009C5807">
        <w:rPr>
          <w:rFonts w:cs="v4.2.0"/>
          <w:lang w:eastAsia="zh-CN"/>
        </w:rPr>
        <w:t>when</w:t>
      </w:r>
      <w:r w:rsidRPr="009C5807">
        <w:rPr>
          <w:rFonts w:cs="v4.2.0"/>
        </w:rPr>
        <w:t xml:space="preserve"> the backoff time expires if</w:t>
      </w:r>
      <w:r w:rsidRPr="009C5807">
        <w:rPr>
          <w:noProof/>
        </w:rPr>
        <w:t xml:space="preserve"> all received Random Access Responses contain Random Access Preamble identifiers that do not match the transmitted Random Access Preamble</w:t>
      </w:r>
      <w:r w:rsidRPr="009C5807">
        <w:rPr>
          <w:rFonts w:cs="v4.2.0"/>
        </w:rPr>
        <w:t>.</w:t>
      </w:r>
    </w:p>
    <w:p w14:paraId="5EC366F1" w14:textId="77777777" w:rsidR="00064C2A" w:rsidRPr="009C5807" w:rsidRDefault="00064C2A" w:rsidP="00787B09">
      <w:pPr>
        <w:pStyle w:val="Heading6"/>
        <w:rPr>
          <w:lang w:eastAsia="zh-CN"/>
        </w:rPr>
      </w:pPr>
      <w:r w:rsidRPr="009C5807">
        <w:rPr>
          <w:lang w:eastAsia="zh-CN"/>
        </w:rPr>
        <w:t>6.2</w:t>
      </w:r>
      <w:r>
        <w:rPr>
          <w:rFonts w:hint="eastAsia"/>
          <w:lang w:eastAsia="zh-CN"/>
        </w:rPr>
        <w:t>C</w:t>
      </w:r>
      <w:r w:rsidRPr="009C5807">
        <w:rPr>
          <w:lang w:eastAsia="zh-CN"/>
        </w:rPr>
        <w:t>.2.2.1.3</w:t>
      </w:r>
      <w:r w:rsidRPr="009C5807">
        <w:rPr>
          <w:lang w:eastAsia="zh-CN"/>
        </w:rPr>
        <w:tab/>
        <w:t>Correct behaviour when not receiving Random Access Response</w:t>
      </w:r>
    </w:p>
    <w:p w14:paraId="09510C36" w14:textId="77777777" w:rsidR="00064C2A" w:rsidRPr="009C5807" w:rsidRDefault="00064C2A" w:rsidP="00064C2A">
      <w:pPr>
        <w:rPr>
          <w:rFonts w:cs="v4.2.0"/>
        </w:rPr>
      </w:pPr>
      <w:r w:rsidRPr="009C5807">
        <w:rPr>
          <w:rFonts w:cs="v4.2.0"/>
        </w:rPr>
        <w:t xml:space="preserve">The UE shall </w:t>
      </w:r>
      <w:r w:rsidRPr="009C5807">
        <w:rPr>
          <w:rFonts w:cs="v4.2.0"/>
          <w:lang w:eastAsia="zh-CN"/>
        </w:rPr>
        <w:t xml:space="preserve">again </w:t>
      </w:r>
      <w:r w:rsidRPr="009C5807">
        <w:rPr>
          <w:rFonts w:cs="v4.2.0"/>
        </w:rPr>
        <w:t>perform the Random Access Resource selection procedure defined in clause 5.1.2</w:t>
      </w:r>
      <w:r w:rsidRPr="009C5807">
        <w:rPr>
          <w:rFonts w:cs="v4.2.0"/>
          <w:lang w:eastAsia="zh-CN"/>
        </w:rPr>
        <w:t xml:space="preserve"> </w:t>
      </w:r>
      <w:r w:rsidRPr="009C5807">
        <w:rPr>
          <w:rFonts w:cs="v4.2.0"/>
        </w:rPr>
        <w:t>in TS 3</w:t>
      </w:r>
      <w:r w:rsidRPr="009C5807">
        <w:rPr>
          <w:rFonts w:cs="v4.2.0"/>
          <w:lang w:eastAsia="zh-CN"/>
        </w:rPr>
        <w:t>8</w:t>
      </w:r>
      <w:r w:rsidRPr="009C5807">
        <w:rPr>
          <w:rFonts w:cs="v4.2.0"/>
        </w:rPr>
        <w:t>.321 [7]</w:t>
      </w:r>
      <w:r w:rsidRPr="009C5807">
        <w:rPr>
          <w:rFonts w:cs="v4.2.0"/>
          <w:lang w:eastAsia="zh-CN"/>
        </w:rPr>
        <w:t>,</w:t>
      </w:r>
      <w:r w:rsidRPr="009C5807">
        <w:t xml:space="preserve"> and transmit </w:t>
      </w:r>
      <w:r w:rsidRPr="009C5807">
        <w:rPr>
          <w:rFonts w:cs="v4.2.0"/>
        </w:rPr>
        <w:t>with the calculated PRACH transmission power</w:t>
      </w:r>
      <w:r w:rsidRPr="009C5807">
        <w:t xml:space="preserve"> </w:t>
      </w:r>
      <w:r w:rsidRPr="009C5807">
        <w:rPr>
          <w:lang w:eastAsia="zh-CN"/>
        </w:rPr>
        <w:t>when</w:t>
      </w:r>
      <w:r w:rsidRPr="009C5807">
        <w:t xml:space="preserve"> </w:t>
      </w:r>
      <w:r w:rsidRPr="009C5807">
        <w:rPr>
          <w:noProof/>
        </w:rPr>
        <w:t xml:space="preserve">the backoff time expires </w:t>
      </w:r>
      <w:r w:rsidRPr="009C5807">
        <w:rPr>
          <w:noProof/>
          <w:lang w:eastAsia="zh-CN"/>
        </w:rPr>
        <w:t>if no Random Access Response is received within the RA Response window</w:t>
      </w:r>
      <w:r w:rsidRPr="009C5807">
        <w:t xml:space="preserve"> defined in clause 5.1.4 </w:t>
      </w:r>
      <w:r w:rsidRPr="009C5807">
        <w:rPr>
          <w:lang w:eastAsia="zh-CN"/>
        </w:rPr>
        <w:t xml:space="preserve">in </w:t>
      </w:r>
      <w:r w:rsidRPr="009C5807">
        <w:t>TS 3</w:t>
      </w:r>
      <w:r w:rsidRPr="009C5807">
        <w:rPr>
          <w:lang w:eastAsia="zh-CN"/>
        </w:rPr>
        <w:t>8</w:t>
      </w:r>
      <w:r w:rsidRPr="009C5807">
        <w:t>.321</w:t>
      </w:r>
      <w:r w:rsidRPr="009C5807">
        <w:rPr>
          <w:lang w:eastAsia="zh-CN"/>
        </w:rPr>
        <w:t xml:space="preserve"> [7]</w:t>
      </w:r>
      <w:r w:rsidRPr="009C5807">
        <w:rPr>
          <w:noProof/>
        </w:rPr>
        <w:t>.</w:t>
      </w:r>
    </w:p>
    <w:p w14:paraId="054E333C" w14:textId="77777777" w:rsidR="00064C2A" w:rsidRPr="009C5807" w:rsidRDefault="00064C2A" w:rsidP="00787B09">
      <w:pPr>
        <w:pStyle w:val="Heading6"/>
        <w:rPr>
          <w:lang w:eastAsia="zh-CN"/>
        </w:rPr>
      </w:pPr>
      <w:r w:rsidRPr="009C5807">
        <w:rPr>
          <w:lang w:eastAsia="zh-CN"/>
        </w:rPr>
        <w:t>6.2</w:t>
      </w:r>
      <w:r>
        <w:rPr>
          <w:rFonts w:hint="eastAsia"/>
          <w:lang w:eastAsia="zh-CN"/>
        </w:rPr>
        <w:t>C</w:t>
      </w:r>
      <w:r w:rsidRPr="009C5807">
        <w:rPr>
          <w:lang w:eastAsia="zh-CN"/>
        </w:rPr>
        <w:t>.2.2.1.4</w:t>
      </w:r>
      <w:r w:rsidRPr="009C5807">
        <w:rPr>
          <w:lang w:eastAsia="zh-CN"/>
        </w:rPr>
        <w:tab/>
        <w:t>Correct behaviour when receiving a</w:t>
      </w:r>
      <w:r w:rsidRPr="009C5807">
        <w:rPr>
          <w:rFonts w:hint="eastAsia"/>
          <w:lang w:eastAsia="zh-CN"/>
        </w:rPr>
        <w:t>n</w:t>
      </w:r>
      <w:r w:rsidRPr="009C5807">
        <w:rPr>
          <w:lang w:eastAsia="zh-CN"/>
        </w:rPr>
        <w:t xml:space="preserve"> </w:t>
      </w:r>
      <w:r w:rsidRPr="009C5807">
        <w:rPr>
          <w:rFonts w:hint="eastAsia"/>
          <w:lang w:eastAsia="zh-CN"/>
        </w:rPr>
        <w:t>UL grant for msg3 retransmission</w:t>
      </w:r>
    </w:p>
    <w:p w14:paraId="24104071" w14:textId="77777777" w:rsidR="00064C2A" w:rsidRPr="009C5807" w:rsidRDefault="00064C2A" w:rsidP="00064C2A">
      <w:pPr>
        <w:rPr>
          <w:rFonts w:cs="v4.2.0"/>
        </w:rPr>
      </w:pPr>
      <w:r w:rsidRPr="009C5807">
        <w:rPr>
          <w:rFonts w:cs="v4.2.0"/>
        </w:rPr>
        <w:t>The UE shall re-transmit the msg3 upon the reception of a</w:t>
      </w:r>
      <w:r w:rsidRPr="009C5807">
        <w:rPr>
          <w:rFonts w:cs="v4.2.0" w:hint="eastAsia"/>
          <w:lang w:eastAsia="zh-CN"/>
        </w:rPr>
        <w:t>nUL grant for msg3 retransmission</w:t>
      </w:r>
      <w:r w:rsidRPr="009C5807">
        <w:rPr>
          <w:rFonts w:cs="v4.2.0"/>
        </w:rPr>
        <w:t>.</w:t>
      </w:r>
    </w:p>
    <w:p w14:paraId="1E84F902" w14:textId="77777777" w:rsidR="00064C2A" w:rsidRPr="009C5807" w:rsidRDefault="00064C2A" w:rsidP="00787B09">
      <w:pPr>
        <w:pStyle w:val="Heading6"/>
        <w:rPr>
          <w:lang w:eastAsia="zh-CN"/>
        </w:rPr>
      </w:pPr>
      <w:r w:rsidRPr="009C5807">
        <w:rPr>
          <w:lang w:eastAsia="zh-CN"/>
        </w:rPr>
        <w:t>6.2</w:t>
      </w:r>
      <w:r>
        <w:rPr>
          <w:rFonts w:hint="eastAsia"/>
          <w:lang w:eastAsia="zh-CN"/>
        </w:rPr>
        <w:t>C</w:t>
      </w:r>
      <w:r w:rsidRPr="009C5807">
        <w:rPr>
          <w:lang w:eastAsia="zh-CN"/>
        </w:rPr>
        <w:t>.2.2.1.5</w:t>
      </w:r>
      <w:r w:rsidRPr="009C5807">
        <w:rPr>
          <w:lang w:eastAsia="zh-CN"/>
        </w:rPr>
        <w:tab/>
        <w:t>SA: Correct behaviour when receiving a message over Temporary C-RNTI</w:t>
      </w:r>
    </w:p>
    <w:p w14:paraId="6E517FEA" w14:textId="77777777" w:rsidR="00064C2A" w:rsidRPr="009C5807" w:rsidRDefault="00064C2A" w:rsidP="00064C2A">
      <w:pPr>
        <w:rPr>
          <w:rFonts w:cs="v4.2.0"/>
        </w:rPr>
      </w:pPr>
      <w:r w:rsidRPr="009C5807">
        <w:rPr>
          <w:rFonts w:cs="v4.2.0"/>
          <w:lang w:eastAsia="zh-CN"/>
        </w:rPr>
        <w:t>The</w:t>
      </w:r>
      <w:r w:rsidRPr="009C5807">
        <w:rPr>
          <w:rFonts w:cs="v4.2.0"/>
        </w:rPr>
        <w:t xml:space="preserve"> </w:t>
      </w:r>
      <w:r w:rsidRPr="009C5807">
        <w:rPr>
          <w:rFonts w:cs="v4.2.0"/>
          <w:lang w:eastAsia="zh-CN"/>
        </w:rPr>
        <w:t>UE</w:t>
      </w:r>
      <w:r w:rsidRPr="009C5807">
        <w:rPr>
          <w:rFonts w:cs="v4.2.0"/>
        </w:rPr>
        <w:t xml:space="preserve"> </w:t>
      </w:r>
      <w:r w:rsidRPr="009C5807">
        <w:rPr>
          <w:rFonts w:cs="v4.2.0"/>
          <w:lang w:eastAsia="zh-CN"/>
        </w:rPr>
        <w:t>shall</w:t>
      </w:r>
      <w:r w:rsidRPr="009C5807">
        <w:rPr>
          <w:rFonts w:cs="v4.2.0"/>
        </w:rPr>
        <w:t xml:space="preserve"> </w:t>
      </w:r>
      <w:r w:rsidRPr="009C5807">
        <w:rPr>
          <w:rFonts w:cs="v4.2.0"/>
          <w:lang w:eastAsia="zh-CN"/>
        </w:rPr>
        <w:t>send</w:t>
      </w:r>
      <w:r w:rsidRPr="009C5807">
        <w:rPr>
          <w:rFonts w:cs="v4.2.0"/>
        </w:rPr>
        <w:t xml:space="preserve"> </w:t>
      </w:r>
      <w:r w:rsidRPr="009C5807">
        <w:rPr>
          <w:rFonts w:cs="v4.2.0"/>
          <w:lang w:eastAsia="zh-CN"/>
        </w:rPr>
        <w:t>ACK</w:t>
      </w:r>
      <w:r w:rsidRPr="009C5807">
        <w:rPr>
          <w:rFonts w:cs="v4.2.0"/>
        </w:rPr>
        <w:t xml:space="preserve"> </w:t>
      </w:r>
      <w:r w:rsidRPr="009C5807">
        <w:rPr>
          <w:rFonts w:cs="v4.2.0"/>
          <w:lang w:eastAsia="zh-CN"/>
        </w:rPr>
        <w:t>if</w:t>
      </w:r>
      <w:r w:rsidRPr="009C5807">
        <w:rPr>
          <w:rFonts w:cs="v4.2.0"/>
        </w:rPr>
        <w:t xml:space="preserve"> </w:t>
      </w:r>
      <w:r w:rsidRPr="009C5807">
        <w:rPr>
          <w:rFonts w:cs="v4.2.0"/>
          <w:lang w:eastAsia="zh-CN"/>
        </w:rPr>
        <w:t>t</w:t>
      </w:r>
      <w:r w:rsidRPr="009C5807">
        <w:rPr>
          <w:rFonts w:cs="v4.2.0"/>
        </w:rPr>
        <w:t xml:space="preserve">he </w:t>
      </w:r>
      <w:r w:rsidRPr="009C5807">
        <w:rPr>
          <w:rFonts w:cs="v4.2.0"/>
          <w:lang w:eastAsia="zh-CN"/>
        </w:rPr>
        <w:t>C</w:t>
      </w:r>
      <w:r w:rsidRPr="009C5807">
        <w:rPr>
          <w:rFonts w:cs="v4.2.0"/>
        </w:rPr>
        <w:t>ontention Resolution is successful.</w:t>
      </w:r>
    </w:p>
    <w:p w14:paraId="47A52B12" w14:textId="77777777" w:rsidR="00064C2A" w:rsidRPr="009C5807" w:rsidRDefault="00064C2A" w:rsidP="00064C2A">
      <w:pPr>
        <w:rPr>
          <w:rFonts w:cs="v4.2.0"/>
        </w:rPr>
      </w:pPr>
      <w:r w:rsidRPr="009C5807">
        <w:rPr>
          <w:rFonts w:cs="v4.2.0"/>
        </w:rPr>
        <w:t xml:space="preserve">The UE shall </w:t>
      </w:r>
      <w:r w:rsidRPr="009C5807">
        <w:rPr>
          <w:rFonts w:cs="v4.2.0"/>
          <w:lang w:eastAsia="zh-CN"/>
        </w:rPr>
        <w:t xml:space="preserve">again </w:t>
      </w:r>
      <w:r w:rsidRPr="009C5807">
        <w:rPr>
          <w:rFonts w:cs="v4.2.0"/>
        </w:rPr>
        <w:t>perform the Random Access Resource selection procedure defined in clause 5.1.2</w:t>
      </w:r>
      <w:r w:rsidRPr="009C5807">
        <w:rPr>
          <w:rFonts w:cs="v4.2.0"/>
          <w:lang w:eastAsia="zh-CN"/>
        </w:rPr>
        <w:t xml:space="preserve"> </w:t>
      </w:r>
      <w:r w:rsidRPr="009C5807">
        <w:rPr>
          <w:rFonts w:cs="v4.2.0"/>
        </w:rPr>
        <w:t>in TS 3</w:t>
      </w:r>
      <w:r w:rsidRPr="009C5807">
        <w:rPr>
          <w:rFonts w:cs="v4.2.0"/>
          <w:lang w:eastAsia="zh-CN"/>
        </w:rPr>
        <w:t>8</w:t>
      </w:r>
      <w:r w:rsidRPr="009C5807">
        <w:rPr>
          <w:rFonts w:cs="v4.2.0"/>
        </w:rPr>
        <w:t>.321 [7]</w:t>
      </w:r>
      <w:r w:rsidRPr="009C5807">
        <w:rPr>
          <w:rFonts w:cs="v4.2.0"/>
          <w:lang w:eastAsia="zh-CN"/>
        </w:rPr>
        <w:t>,</w:t>
      </w:r>
      <w:r w:rsidRPr="009C5807">
        <w:rPr>
          <w:rFonts w:cs="v4.2.0"/>
        </w:rPr>
        <w:t xml:space="preserve"> and transmit with the calculated PRACH transmission power </w:t>
      </w:r>
      <w:r w:rsidRPr="009C5807">
        <w:rPr>
          <w:rFonts w:cs="v4.2.0"/>
          <w:lang w:eastAsia="zh-CN"/>
        </w:rPr>
        <w:t>when</w:t>
      </w:r>
      <w:r w:rsidRPr="009C5807">
        <w:rPr>
          <w:rFonts w:cs="v4.2.0"/>
        </w:rPr>
        <w:t xml:space="preserve"> the backoff time expires unless the received message includes a UE Contention Resolution Identity MAC control element and the UE Contention Resolution Identity included in the MAC control element matches the CCCH SDU transmitted in the uplink message.</w:t>
      </w:r>
    </w:p>
    <w:p w14:paraId="26721D25" w14:textId="77777777" w:rsidR="00064C2A" w:rsidRPr="009C5807" w:rsidRDefault="00064C2A" w:rsidP="00787B09">
      <w:pPr>
        <w:pStyle w:val="Heading6"/>
        <w:rPr>
          <w:lang w:eastAsia="zh-CN"/>
        </w:rPr>
      </w:pPr>
      <w:r w:rsidRPr="009C5807">
        <w:rPr>
          <w:lang w:eastAsia="zh-CN"/>
        </w:rPr>
        <w:t>6.2</w:t>
      </w:r>
      <w:r>
        <w:rPr>
          <w:rFonts w:hint="eastAsia"/>
          <w:lang w:eastAsia="zh-CN"/>
        </w:rPr>
        <w:t>C</w:t>
      </w:r>
      <w:r w:rsidRPr="009C5807">
        <w:rPr>
          <w:lang w:eastAsia="zh-CN"/>
        </w:rPr>
        <w:t>.2.2.1.6</w:t>
      </w:r>
      <w:r w:rsidRPr="009C5807">
        <w:rPr>
          <w:lang w:eastAsia="zh-CN"/>
        </w:rPr>
        <w:tab/>
        <w:t>Correct behaviour when contention Resolution timer expires</w:t>
      </w:r>
    </w:p>
    <w:p w14:paraId="02D4D27C" w14:textId="77777777" w:rsidR="00064C2A" w:rsidRPr="009C5807" w:rsidRDefault="00064C2A" w:rsidP="00064C2A">
      <w:pPr>
        <w:rPr>
          <w:rFonts w:cs="v4.2.0"/>
        </w:rPr>
      </w:pPr>
      <w:r w:rsidRPr="009C5807">
        <w:rPr>
          <w:rFonts w:cs="v4.2.0"/>
        </w:rPr>
        <w:t xml:space="preserve">The UE shall re-select a preamble and transmit with the calculated PRACH transmission power </w:t>
      </w:r>
      <w:r w:rsidRPr="009C5807">
        <w:rPr>
          <w:rFonts w:cs="v4.2.0"/>
          <w:lang w:eastAsia="zh-CN"/>
        </w:rPr>
        <w:t>when</w:t>
      </w:r>
      <w:r w:rsidRPr="009C5807">
        <w:rPr>
          <w:rFonts w:cs="v4.2.0"/>
        </w:rPr>
        <w:t xml:space="preserve"> the backoff time expires if the Contention Resolution Timer expires.</w:t>
      </w:r>
    </w:p>
    <w:p w14:paraId="399BA1CF" w14:textId="77777777" w:rsidR="00064C2A" w:rsidRPr="009C5807" w:rsidRDefault="00064C2A" w:rsidP="00064C2A">
      <w:pPr>
        <w:pStyle w:val="Heading5"/>
        <w:rPr>
          <w:lang w:eastAsia="zh-CN"/>
        </w:rPr>
      </w:pPr>
      <w:r w:rsidRPr="009C5807">
        <w:rPr>
          <w:lang w:eastAsia="zh-CN"/>
        </w:rPr>
        <w:t>6.2</w:t>
      </w:r>
      <w:r>
        <w:rPr>
          <w:rFonts w:hint="eastAsia"/>
          <w:lang w:eastAsia="zh-CN"/>
        </w:rPr>
        <w:t>C</w:t>
      </w:r>
      <w:r w:rsidRPr="009C5807">
        <w:rPr>
          <w:lang w:eastAsia="zh-CN"/>
        </w:rPr>
        <w:t>.2.2.2</w:t>
      </w:r>
      <w:r w:rsidRPr="009C5807">
        <w:rPr>
          <w:lang w:eastAsia="zh-CN"/>
        </w:rPr>
        <w:tab/>
        <w:t>Non-Contention based random access</w:t>
      </w:r>
    </w:p>
    <w:p w14:paraId="229B55F9" w14:textId="77777777" w:rsidR="00064C2A" w:rsidRPr="009C5807" w:rsidRDefault="00064C2A" w:rsidP="009E6465">
      <w:pPr>
        <w:pStyle w:val="Heading6"/>
        <w:rPr>
          <w:lang w:eastAsia="zh-CN"/>
        </w:rPr>
      </w:pPr>
      <w:r w:rsidRPr="009C5807">
        <w:rPr>
          <w:lang w:eastAsia="zh-CN"/>
        </w:rPr>
        <w:t>6.2</w:t>
      </w:r>
      <w:r>
        <w:rPr>
          <w:rFonts w:hint="eastAsia"/>
          <w:lang w:eastAsia="zh-CN"/>
        </w:rPr>
        <w:t>C</w:t>
      </w:r>
      <w:r w:rsidRPr="009C5807">
        <w:rPr>
          <w:lang w:eastAsia="zh-CN"/>
        </w:rPr>
        <w:t>.2.2.2.1</w:t>
      </w:r>
      <w:r w:rsidRPr="009C5807">
        <w:rPr>
          <w:lang w:eastAsia="zh-CN"/>
        </w:rPr>
        <w:tab/>
        <w:t>Correct behaviour when transmitting Random Access Preamble</w:t>
      </w:r>
    </w:p>
    <w:p w14:paraId="3C3DFEC9" w14:textId="77777777" w:rsidR="00064C2A" w:rsidRPr="009C5807" w:rsidRDefault="00064C2A" w:rsidP="00064C2A">
      <w:pPr>
        <w:rPr>
          <w:rFonts w:cs="v4.2.0"/>
          <w:lang w:eastAsia="zh-CN"/>
        </w:rPr>
      </w:pPr>
      <w:r w:rsidRPr="009C5807">
        <w:rPr>
          <w:lang w:eastAsia="zh-CN"/>
        </w:rPr>
        <w:t>If the contention-free Random Access Resources and the contention-free PRACH occasions associated with SSBs is configured,</w:t>
      </w:r>
      <w:r w:rsidRPr="009C5807">
        <w:rPr>
          <w:rFonts w:cs="v4.2.0"/>
          <w:lang w:eastAsia="zh-CN"/>
        </w:rPr>
        <w:t xml:space="preserve"> with the UE selected SSB with SS-RSRP above </w:t>
      </w:r>
      <w:r w:rsidRPr="009C5807">
        <w:rPr>
          <w:rFonts w:cs="v4.2.0"/>
          <w:i/>
          <w:lang w:eastAsia="zh-CN"/>
        </w:rPr>
        <w:t xml:space="preserve">rsrp-ThresholdSSB </w:t>
      </w:r>
      <w:r w:rsidRPr="009C5807">
        <w:rPr>
          <w:rFonts w:cs="v4.2.0"/>
          <w:lang w:eastAsia="zh-CN"/>
        </w:rPr>
        <w:t xml:space="preserve">amongst the associated SSBs, UE shall have the capability to select the </w:t>
      </w:r>
      <w:r w:rsidRPr="009C5807">
        <w:t>Random Access Preamble</w:t>
      </w:r>
      <w:r w:rsidRPr="009C5807">
        <w:rPr>
          <w:lang w:eastAsia="zh-CN"/>
        </w:rPr>
        <w:t xml:space="preserve"> corresponding to the selected SSB, and</w:t>
      </w:r>
      <w:r w:rsidRPr="009C5807">
        <w:rPr>
          <w:rFonts w:cs="v4.2.0"/>
          <w:lang w:eastAsia="zh-CN"/>
        </w:rPr>
        <w:t xml:space="preserve"> to transmit Random Access Preamble on the next available PRACH occasion from the PRACH occasions corresponding to the selected SSB permitted by the restrictions given by the </w:t>
      </w:r>
      <w:r w:rsidRPr="009C5807">
        <w:rPr>
          <w:rFonts w:cs="v4.2.0"/>
          <w:i/>
          <w:lang w:eastAsia="zh-CN"/>
        </w:rPr>
        <w:t>ra-ssb-OccasionMaskIndex</w:t>
      </w:r>
      <w:r w:rsidRPr="009C5807">
        <w:rPr>
          <w:rFonts w:cs="v4.2.0"/>
          <w:lang w:eastAsia="zh-CN"/>
        </w:rPr>
        <w:t xml:space="preserve"> if configured, and </w:t>
      </w:r>
      <w:r w:rsidRPr="009C5807">
        <w:rPr>
          <w:lang w:eastAsia="ko-KR"/>
        </w:rPr>
        <w:t xml:space="preserve">PRACH occasion </w:t>
      </w:r>
      <w:r w:rsidRPr="009C5807">
        <w:rPr>
          <w:lang w:eastAsia="zh-CN"/>
        </w:rPr>
        <w:t xml:space="preserve">shall be </w:t>
      </w:r>
      <w:r w:rsidRPr="009C5807">
        <w:rPr>
          <w:lang w:eastAsia="ko-KR"/>
        </w:rPr>
        <w:t>randomly</w:t>
      </w:r>
      <w:r w:rsidRPr="009C5807">
        <w:rPr>
          <w:lang w:eastAsia="zh-CN"/>
        </w:rPr>
        <w:t xml:space="preserve"> selected</w:t>
      </w:r>
      <w:r w:rsidRPr="009C5807">
        <w:rPr>
          <w:lang w:eastAsia="ko-KR"/>
        </w:rPr>
        <w:t xml:space="preserve"> with equal probability amongst the </w:t>
      </w:r>
      <w:r w:rsidRPr="009C5807">
        <w:rPr>
          <w:lang w:eastAsia="zh-CN"/>
        </w:rPr>
        <w:t xml:space="preserve">selected SSB associated </w:t>
      </w:r>
      <w:r w:rsidRPr="009C5807">
        <w:rPr>
          <w:lang w:eastAsia="ko-KR"/>
        </w:rPr>
        <w:t>PRACH occasions occurring simultaneously but on different subcarriers</w:t>
      </w:r>
      <w:r w:rsidRPr="009C5807">
        <w:rPr>
          <w:rFonts w:cs="v4.2.0"/>
          <w:lang w:eastAsia="zh-CN"/>
        </w:rPr>
        <w:t xml:space="preserve">, </w:t>
      </w:r>
      <w:r w:rsidRPr="009C5807">
        <w:rPr>
          <w:rFonts w:cs="v4.2.0"/>
        </w:rPr>
        <w:t>as specified in clause 5.1.</w:t>
      </w:r>
      <w:r w:rsidRPr="009C5807">
        <w:rPr>
          <w:rFonts w:cs="v4.2.0"/>
          <w:lang w:eastAsia="zh-CN"/>
        </w:rPr>
        <w:t>2</w:t>
      </w:r>
      <w:r w:rsidRPr="009C5807">
        <w:rPr>
          <w:rFonts w:cs="v4.2.0"/>
        </w:rPr>
        <w:t xml:space="preserve"> in TS 3</w:t>
      </w:r>
      <w:r w:rsidRPr="009C5807">
        <w:rPr>
          <w:rFonts w:cs="v4.2.0"/>
          <w:lang w:eastAsia="zh-CN"/>
        </w:rPr>
        <w:t>8</w:t>
      </w:r>
      <w:r w:rsidRPr="009C5807">
        <w:rPr>
          <w:rFonts w:cs="v4.2.0"/>
        </w:rPr>
        <w:t>.321 [7]</w:t>
      </w:r>
      <w:r w:rsidRPr="009C5807">
        <w:rPr>
          <w:rFonts w:cs="v4.2.0"/>
          <w:lang w:eastAsia="zh-CN"/>
        </w:rPr>
        <w:t>.</w:t>
      </w:r>
    </w:p>
    <w:p w14:paraId="316429E1" w14:textId="77777777" w:rsidR="00064C2A" w:rsidRPr="009C5807" w:rsidRDefault="00064C2A" w:rsidP="00064C2A">
      <w:pPr>
        <w:rPr>
          <w:rFonts w:cs="v4.2.0"/>
          <w:lang w:eastAsia="zh-CN"/>
        </w:rPr>
      </w:pPr>
      <w:r w:rsidRPr="009C5807">
        <w:rPr>
          <w:lang w:eastAsia="zh-CN"/>
        </w:rPr>
        <w:t>If the contention-free Random Access Resources and the contention-free PRACH occasions associated with CSI-RSs is configured,</w:t>
      </w:r>
      <w:r w:rsidRPr="009C5807">
        <w:rPr>
          <w:rFonts w:cs="v4.2.0"/>
          <w:lang w:eastAsia="zh-CN"/>
        </w:rPr>
        <w:t xml:space="preserve"> with the UE selected CSI-RS with CSI-RSRP above </w:t>
      </w:r>
      <w:r w:rsidRPr="009C5807">
        <w:rPr>
          <w:i/>
          <w:iCs/>
          <w:noProof/>
        </w:rPr>
        <w:t>rsrp-ThresholdCSI-RS</w:t>
      </w:r>
      <w:r w:rsidRPr="009C5807">
        <w:rPr>
          <w:rFonts w:cs="v4.2.0"/>
          <w:lang w:eastAsia="zh-CN"/>
        </w:rPr>
        <w:t xml:space="preserve"> amongst the associated CSI-RSs, UE shall have the capability to select the </w:t>
      </w:r>
      <w:r w:rsidRPr="009C5807">
        <w:t>Random Access Preamble</w:t>
      </w:r>
      <w:r w:rsidRPr="009C5807">
        <w:rPr>
          <w:lang w:eastAsia="zh-CN"/>
        </w:rPr>
        <w:t xml:space="preserve"> corresponding to the selected CSI-RS, and</w:t>
      </w:r>
      <w:r w:rsidRPr="009C5807">
        <w:rPr>
          <w:rFonts w:cs="v4.2.0"/>
          <w:lang w:eastAsia="zh-CN"/>
        </w:rPr>
        <w:t xml:space="preserve"> to transmit Random Access Preamble on the next available PRACH occasion from the PRACH occasions in </w:t>
      </w:r>
      <w:r w:rsidRPr="009C5807">
        <w:rPr>
          <w:rFonts w:cs="v4.2.0"/>
          <w:i/>
          <w:lang w:eastAsia="zh-CN"/>
        </w:rPr>
        <w:t>ra-OccasionList</w:t>
      </w:r>
      <w:r w:rsidRPr="009C5807">
        <w:rPr>
          <w:rFonts w:cs="v4.2.0"/>
          <w:lang w:eastAsia="zh-CN"/>
        </w:rPr>
        <w:t xml:space="preserve"> corresponding to the selected CSI-RS, and </w:t>
      </w:r>
      <w:r w:rsidRPr="009C5807">
        <w:rPr>
          <w:lang w:eastAsia="ko-KR"/>
        </w:rPr>
        <w:t xml:space="preserve">PRACH occasion </w:t>
      </w:r>
      <w:r w:rsidRPr="009C5807">
        <w:rPr>
          <w:lang w:eastAsia="zh-CN"/>
        </w:rPr>
        <w:t xml:space="preserve">shall be </w:t>
      </w:r>
      <w:r w:rsidRPr="009C5807">
        <w:rPr>
          <w:lang w:eastAsia="ko-KR"/>
        </w:rPr>
        <w:t>randomly</w:t>
      </w:r>
      <w:r w:rsidRPr="009C5807">
        <w:rPr>
          <w:lang w:eastAsia="zh-CN"/>
        </w:rPr>
        <w:t xml:space="preserve"> selected</w:t>
      </w:r>
      <w:r w:rsidRPr="009C5807">
        <w:rPr>
          <w:lang w:eastAsia="ko-KR"/>
        </w:rPr>
        <w:t xml:space="preserve"> with equal probability amongst the </w:t>
      </w:r>
      <w:r w:rsidRPr="009C5807">
        <w:rPr>
          <w:lang w:eastAsia="zh-CN"/>
        </w:rPr>
        <w:t xml:space="preserve">selected CSI-RS associated </w:t>
      </w:r>
      <w:r w:rsidRPr="009C5807">
        <w:rPr>
          <w:lang w:eastAsia="ko-KR"/>
        </w:rPr>
        <w:t>PRACH occasions occurring simultaneously but on different subcarriers</w:t>
      </w:r>
      <w:r w:rsidRPr="009C5807">
        <w:rPr>
          <w:rFonts w:cs="v4.2.0"/>
          <w:lang w:eastAsia="zh-CN"/>
        </w:rPr>
        <w:t xml:space="preserve">, </w:t>
      </w:r>
      <w:r w:rsidRPr="009C5807">
        <w:rPr>
          <w:rFonts w:cs="v4.2.0"/>
        </w:rPr>
        <w:t>as specified in clause 5.1.</w:t>
      </w:r>
      <w:r w:rsidRPr="009C5807">
        <w:rPr>
          <w:rFonts w:cs="v4.2.0"/>
          <w:lang w:eastAsia="zh-CN"/>
        </w:rPr>
        <w:t>2</w:t>
      </w:r>
      <w:r w:rsidRPr="009C5807">
        <w:rPr>
          <w:rFonts w:cs="v4.2.0"/>
        </w:rPr>
        <w:t xml:space="preserve"> in TS 3</w:t>
      </w:r>
      <w:r w:rsidRPr="009C5807">
        <w:rPr>
          <w:rFonts w:cs="v4.2.0"/>
          <w:lang w:eastAsia="zh-CN"/>
        </w:rPr>
        <w:t>8</w:t>
      </w:r>
      <w:r w:rsidRPr="009C5807">
        <w:rPr>
          <w:rFonts w:cs="v4.2.0"/>
        </w:rPr>
        <w:t>.321 [7]</w:t>
      </w:r>
      <w:r w:rsidRPr="009C5807">
        <w:rPr>
          <w:rFonts w:cs="v4.2.0"/>
          <w:lang w:eastAsia="zh-CN"/>
        </w:rPr>
        <w:t>.</w:t>
      </w:r>
    </w:p>
    <w:p w14:paraId="6AA773CD" w14:textId="77777777" w:rsidR="00064C2A" w:rsidRPr="009C5807" w:rsidRDefault="00064C2A" w:rsidP="00064C2A">
      <w:pPr>
        <w:rPr>
          <w:rFonts w:cs="v4.2.0"/>
          <w:lang w:eastAsia="zh-CN"/>
        </w:rPr>
      </w:pPr>
      <w:r w:rsidRPr="009C5807">
        <w:rPr>
          <w:rFonts w:cs="v4.2.0"/>
          <w:lang w:eastAsia="zh-CN"/>
        </w:rPr>
        <w:t xml:space="preserve">If the random access procedure is initialized for beam failure recovery and if the contention-free Random Access Resources </w:t>
      </w:r>
      <w:r w:rsidRPr="009C5807">
        <w:rPr>
          <w:lang w:eastAsia="zh-CN"/>
        </w:rPr>
        <w:t>and the contention-free PRACH occasions</w:t>
      </w:r>
      <w:r w:rsidRPr="009C5807">
        <w:rPr>
          <w:rFonts w:cs="v4.2.0"/>
          <w:lang w:eastAsia="zh-CN"/>
        </w:rPr>
        <w:t xml:space="preserve"> for beam failure recovery request associated with any of the SSBs and/or CSI-RSs is configured, UE shall have the capability to select the Random Access Preamble corresponding to the selected SSB with SS-RSRP above </w:t>
      </w:r>
      <w:r w:rsidRPr="009C5807">
        <w:rPr>
          <w:rFonts w:cs="v4.2.0"/>
          <w:i/>
          <w:lang w:eastAsia="zh-CN"/>
        </w:rPr>
        <w:t xml:space="preserve">rsrp-ThresholdSSB </w:t>
      </w:r>
      <w:r w:rsidRPr="009C5807">
        <w:rPr>
          <w:rFonts w:cs="v4.2.0"/>
          <w:lang w:eastAsia="zh-CN"/>
        </w:rPr>
        <w:t xml:space="preserve">amongst the associated SSBs or the selected CSI-RS with CSI-RSRP above </w:t>
      </w:r>
      <w:r w:rsidRPr="009C5807">
        <w:rPr>
          <w:i/>
          <w:iCs/>
          <w:noProof/>
        </w:rPr>
        <w:t>rsrp-ThresholdCSI-RS</w:t>
      </w:r>
      <w:r w:rsidRPr="009C5807">
        <w:rPr>
          <w:rFonts w:cs="v4.2.0"/>
          <w:lang w:eastAsia="zh-CN"/>
        </w:rPr>
        <w:t xml:space="preserve"> amongst the associated CSI-RSs, and to transmit Random Access Preamble on the next available PRACH occasion from the PRACH occasions corresponding to the selected SSB permitted by the restrictions given by the </w:t>
      </w:r>
      <w:r w:rsidRPr="009C5807">
        <w:rPr>
          <w:rFonts w:cs="v4.2.0"/>
          <w:i/>
          <w:lang w:eastAsia="zh-CN"/>
        </w:rPr>
        <w:t>ra-ssb-OccasionMaskIndex</w:t>
      </w:r>
      <w:r w:rsidRPr="009C5807">
        <w:rPr>
          <w:rFonts w:cs="v4.2.0"/>
          <w:lang w:eastAsia="zh-CN"/>
        </w:rPr>
        <w:t xml:space="preserve"> if configured, or from the PRACH occasions in </w:t>
      </w:r>
      <w:r w:rsidRPr="009C5807">
        <w:rPr>
          <w:rFonts w:cs="v4.2.0"/>
          <w:i/>
          <w:lang w:eastAsia="zh-CN"/>
        </w:rPr>
        <w:t>ra-OccasionList</w:t>
      </w:r>
      <w:r w:rsidRPr="009C5807">
        <w:rPr>
          <w:rFonts w:cs="v4.2.0"/>
          <w:lang w:eastAsia="zh-CN"/>
        </w:rPr>
        <w:t xml:space="preserve"> corresponding to the selected CSI-RS, and </w:t>
      </w:r>
      <w:r w:rsidRPr="009C5807">
        <w:rPr>
          <w:lang w:eastAsia="ko-KR"/>
        </w:rPr>
        <w:t xml:space="preserve">PRACH occasion </w:t>
      </w:r>
      <w:r w:rsidRPr="009C5807">
        <w:rPr>
          <w:lang w:eastAsia="zh-CN"/>
        </w:rPr>
        <w:t xml:space="preserve">shall be </w:t>
      </w:r>
      <w:r w:rsidRPr="009C5807">
        <w:rPr>
          <w:lang w:eastAsia="ko-KR"/>
        </w:rPr>
        <w:t>randomly</w:t>
      </w:r>
      <w:r w:rsidRPr="009C5807">
        <w:rPr>
          <w:lang w:eastAsia="zh-CN"/>
        </w:rPr>
        <w:t xml:space="preserve"> selected</w:t>
      </w:r>
      <w:r w:rsidRPr="009C5807">
        <w:rPr>
          <w:lang w:eastAsia="ko-KR"/>
        </w:rPr>
        <w:t xml:space="preserve"> with equal probability amongst the </w:t>
      </w:r>
      <w:r w:rsidRPr="009C5807">
        <w:rPr>
          <w:lang w:eastAsia="zh-CN"/>
        </w:rPr>
        <w:t xml:space="preserve">selected SSB assocated PRACH occasions or the selected CSI-RS associated </w:t>
      </w:r>
      <w:r w:rsidRPr="009C5807">
        <w:rPr>
          <w:lang w:eastAsia="ko-KR"/>
        </w:rPr>
        <w:t>PRACH occasions occurring simultaneously but on different subcarriers</w:t>
      </w:r>
      <w:r w:rsidRPr="009C5807">
        <w:rPr>
          <w:rFonts w:cs="v4.2.0"/>
          <w:lang w:eastAsia="zh-CN"/>
        </w:rPr>
        <w:t xml:space="preserve">, </w:t>
      </w:r>
      <w:r w:rsidRPr="009C5807">
        <w:rPr>
          <w:rFonts w:cs="v4.2.0"/>
        </w:rPr>
        <w:t>as specified in clause 5.1.</w:t>
      </w:r>
      <w:r w:rsidRPr="009C5807">
        <w:rPr>
          <w:rFonts w:cs="v4.2.0"/>
          <w:lang w:eastAsia="zh-CN"/>
        </w:rPr>
        <w:t>2</w:t>
      </w:r>
      <w:r w:rsidRPr="009C5807">
        <w:rPr>
          <w:rFonts w:cs="v4.2.0"/>
        </w:rPr>
        <w:t xml:space="preserve"> in TS 3</w:t>
      </w:r>
      <w:r w:rsidRPr="009C5807">
        <w:rPr>
          <w:rFonts w:cs="v4.2.0"/>
          <w:lang w:eastAsia="zh-CN"/>
        </w:rPr>
        <w:t>8</w:t>
      </w:r>
      <w:r w:rsidRPr="009C5807">
        <w:rPr>
          <w:rFonts w:cs="v4.2.0"/>
        </w:rPr>
        <w:t>.321 [7]</w:t>
      </w:r>
      <w:r w:rsidRPr="009C5807">
        <w:rPr>
          <w:rFonts w:cs="v4.2.0"/>
          <w:lang w:eastAsia="zh-CN"/>
        </w:rPr>
        <w:t>.</w:t>
      </w:r>
    </w:p>
    <w:p w14:paraId="35128239" w14:textId="77777777" w:rsidR="00064C2A" w:rsidRPr="009C5807" w:rsidRDefault="00064C2A" w:rsidP="009E6465">
      <w:pPr>
        <w:pStyle w:val="Heading6"/>
        <w:rPr>
          <w:lang w:eastAsia="zh-CN"/>
        </w:rPr>
      </w:pPr>
      <w:r w:rsidRPr="009C5807">
        <w:rPr>
          <w:lang w:eastAsia="zh-CN"/>
        </w:rPr>
        <w:t>6.2</w:t>
      </w:r>
      <w:r>
        <w:rPr>
          <w:rFonts w:hint="eastAsia"/>
          <w:lang w:eastAsia="zh-CN"/>
        </w:rPr>
        <w:t>C</w:t>
      </w:r>
      <w:r w:rsidRPr="009C5807">
        <w:rPr>
          <w:lang w:eastAsia="zh-CN"/>
        </w:rPr>
        <w:t>.2.2.2.2</w:t>
      </w:r>
      <w:r w:rsidRPr="009C5807">
        <w:rPr>
          <w:lang w:eastAsia="zh-CN"/>
        </w:rPr>
        <w:tab/>
        <w:t>Correct behaviour when receiving Random Access Response</w:t>
      </w:r>
    </w:p>
    <w:p w14:paraId="221A9D20" w14:textId="77777777" w:rsidR="00064C2A" w:rsidRPr="009C5807" w:rsidRDefault="00064C2A" w:rsidP="00064C2A">
      <w:pPr>
        <w:rPr>
          <w:lang w:eastAsia="zh-CN"/>
        </w:rPr>
      </w:pPr>
      <w:r w:rsidRPr="009C5807">
        <w:t>The UE may stop monitoring for Random Access Response(s)</w:t>
      </w:r>
      <w:r w:rsidRPr="009C5807">
        <w:rPr>
          <w:lang w:eastAsia="zh-CN"/>
        </w:rPr>
        <w:t xml:space="preserve">, </w:t>
      </w:r>
      <w:r w:rsidRPr="009C5807">
        <w:t>if the Random Access Response contains a Random Access Preamble identifier corresponding to the transmitted Random Access Preamble</w:t>
      </w:r>
      <w:r w:rsidRPr="009C5807">
        <w:rPr>
          <w:lang w:eastAsia="zh-CN"/>
        </w:rPr>
        <w:t>, unless the random access procedure is initialized for Other SI request from UE</w:t>
      </w:r>
      <w:r w:rsidRPr="009C5807">
        <w:t>.</w:t>
      </w:r>
    </w:p>
    <w:p w14:paraId="720A94FC" w14:textId="77777777" w:rsidR="00064C2A" w:rsidRPr="009C5807" w:rsidRDefault="00064C2A" w:rsidP="00064C2A">
      <w:pPr>
        <w:rPr>
          <w:lang w:eastAsia="zh-CN"/>
        </w:rPr>
      </w:pPr>
      <w:r w:rsidRPr="009C5807">
        <w:t xml:space="preserve">The UE may stop monitoring for Random Access Response(s) and shall </w:t>
      </w:r>
      <w:r w:rsidRPr="009C5807">
        <w:rPr>
          <w:lang w:eastAsia="zh-CN"/>
        </w:rPr>
        <w:t>monitor the Other SI transmission</w:t>
      </w:r>
      <w:r w:rsidRPr="009C5807">
        <w:t xml:space="preserve"> if the Random Access Response </w:t>
      </w:r>
      <w:r w:rsidRPr="009C5807">
        <w:rPr>
          <w:lang w:eastAsia="zh-CN"/>
        </w:rPr>
        <w:t xml:space="preserve">only </w:t>
      </w:r>
      <w:r w:rsidRPr="009C5807">
        <w:t xml:space="preserve">contains a Random Access Preamble identifier </w:t>
      </w:r>
      <w:r w:rsidRPr="009C5807">
        <w:rPr>
          <w:lang w:eastAsia="zh-CN"/>
        </w:rPr>
        <w:t xml:space="preserve">which is </w:t>
      </w:r>
      <w:r w:rsidRPr="009C5807">
        <w:t>corresponding to the transmitted Random Access Preamble</w:t>
      </w:r>
      <w:r w:rsidRPr="009C5807">
        <w:rPr>
          <w:lang w:eastAsia="zh-CN"/>
        </w:rPr>
        <w:t xml:space="preserve"> and the random access procedure is initialized for SI request from UE</w:t>
      </w:r>
      <w:r w:rsidRPr="009C5807">
        <w:rPr>
          <w:rFonts w:cs="v4.2.0"/>
          <w:lang w:eastAsia="zh-CN"/>
        </w:rPr>
        <w:t xml:space="preserve">, </w:t>
      </w:r>
      <w:r w:rsidRPr="009C5807">
        <w:rPr>
          <w:rFonts w:cs="v4.2.0"/>
        </w:rPr>
        <w:t>as specified in clause 5.1.</w:t>
      </w:r>
      <w:r w:rsidRPr="009C5807">
        <w:rPr>
          <w:rFonts w:cs="v4.2.0"/>
          <w:lang w:eastAsia="zh-CN"/>
        </w:rPr>
        <w:t>4</w:t>
      </w:r>
      <w:r w:rsidRPr="009C5807">
        <w:rPr>
          <w:rFonts w:cs="v4.2.0"/>
        </w:rPr>
        <w:t xml:space="preserve"> in TS 3</w:t>
      </w:r>
      <w:r w:rsidRPr="009C5807">
        <w:rPr>
          <w:rFonts w:cs="v4.2.0"/>
          <w:lang w:eastAsia="zh-CN"/>
        </w:rPr>
        <w:t>8</w:t>
      </w:r>
      <w:r w:rsidRPr="009C5807">
        <w:rPr>
          <w:rFonts w:cs="v4.2.0"/>
        </w:rPr>
        <w:t>.321 [7]</w:t>
      </w:r>
      <w:r w:rsidRPr="009C5807">
        <w:t>.</w:t>
      </w:r>
    </w:p>
    <w:p w14:paraId="1B0288E0" w14:textId="77777777" w:rsidR="00064C2A" w:rsidRPr="009C5807" w:rsidRDefault="00064C2A" w:rsidP="00064C2A">
      <w:pPr>
        <w:rPr>
          <w:lang w:eastAsia="zh-CN"/>
        </w:rPr>
      </w:pPr>
      <w:r w:rsidRPr="009C5807">
        <w:t>The UE may stop monitoring for Random Access Response(s)</w:t>
      </w:r>
      <w:r w:rsidRPr="009C5807">
        <w:rPr>
          <w:lang w:eastAsia="zh-CN"/>
        </w:rPr>
        <w:t>, if the contention-free Random Access Preamble for beam failure recovery request was transmitted and if the PDCCH addressed to UE’s C-RNTI is received</w:t>
      </w:r>
      <w:r w:rsidRPr="009C5807">
        <w:rPr>
          <w:rFonts w:cs="v4.2.0"/>
          <w:lang w:eastAsia="zh-CN"/>
        </w:rPr>
        <w:t xml:space="preserve">, </w:t>
      </w:r>
      <w:r w:rsidRPr="009C5807">
        <w:rPr>
          <w:rFonts w:cs="v4.2.0"/>
        </w:rPr>
        <w:t>as specified in clause 5.1.</w:t>
      </w:r>
      <w:r w:rsidRPr="009C5807">
        <w:rPr>
          <w:rFonts w:cs="v4.2.0"/>
          <w:lang w:eastAsia="zh-CN"/>
        </w:rPr>
        <w:t>4</w:t>
      </w:r>
      <w:r w:rsidRPr="009C5807">
        <w:rPr>
          <w:rFonts w:cs="v4.2.0"/>
        </w:rPr>
        <w:t xml:space="preserve"> in TS 3</w:t>
      </w:r>
      <w:r w:rsidRPr="009C5807">
        <w:rPr>
          <w:rFonts w:cs="v4.2.0"/>
          <w:lang w:eastAsia="zh-CN"/>
        </w:rPr>
        <w:t>8</w:t>
      </w:r>
      <w:r w:rsidRPr="009C5807">
        <w:rPr>
          <w:rFonts w:cs="v4.2.0"/>
        </w:rPr>
        <w:t>.321 [7]</w:t>
      </w:r>
      <w:r w:rsidRPr="009C5807">
        <w:rPr>
          <w:lang w:eastAsia="zh-CN"/>
        </w:rPr>
        <w:t>.</w:t>
      </w:r>
    </w:p>
    <w:p w14:paraId="4B49C0A2" w14:textId="77777777" w:rsidR="00064C2A" w:rsidRPr="009C5807" w:rsidRDefault="00064C2A" w:rsidP="00064C2A">
      <w:pPr>
        <w:rPr>
          <w:rFonts w:cs="v4.2.0"/>
        </w:rPr>
      </w:pPr>
      <w:r w:rsidRPr="009C5807">
        <w:rPr>
          <w:rFonts w:cs="v4.2.0"/>
        </w:rPr>
        <w:t xml:space="preserve">The UE shall </w:t>
      </w:r>
      <w:r w:rsidRPr="009C5807">
        <w:rPr>
          <w:rFonts w:cs="v4.2.0"/>
          <w:lang w:eastAsia="zh-CN"/>
        </w:rPr>
        <w:t xml:space="preserve">again </w:t>
      </w:r>
      <w:r w:rsidRPr="009C5807">
        <w:rPr>
          <w:rFonts w:cs="v4.2.0"/>
        </w:rPr>
        <w:t>perform the Random Access Resource selection procedure defined in clause 5.1.2</w:t>
      </w:r>
      <w:r w:rsidRPr="009C5807">
        <w:rPr>
          <w:rFonts w:cs="v4.2.0"/>
          <w:lang w:eastAsia="zh-CN"/>
        </w:rPr>
        <w:t xml:space="preserve"> </w:t>
      </w:r>
      <w:r w:rsidRPr="009C5807">
        <w:rPr>
          <w:rFonts w:cs="v4.2.0"/>
        </w:rPr>
        <w:t>in TS 3</w:t>
      </w:r>
      <w:r w:rsidRPr="009C5807">
        <w:rPr>
          <w:rFonts w:cs="v4.2.0"/>
          <w:lang w:eastAsia="zh-CN"/>
        </w:rPr>
        <w:t>8</w:t>
      </w:r>
      <w:r w:rsidRPr="009C5807">
        <w:rPr>
          <w:rFonts w:cs="v4.2.0"/>
        </w:rPr>
        <w:t>.321 [7]</w:t>
      </w:r>
      <w:r w:rsidRPr="009C5807">
        <w:rPr>
          <w:rFonts w:cs="v4.2.0"/>
          <w:lang w:eastAsia="zh-CN"/>
        </w:rPr>
        <w:t xml:space="preserve"> for the next available PRACH occasion, and </w:t>
      </w:r>
      <w:r w:rsidRPr="009C5807">
        <w:t>transmit the preamble</w:t>
      </w:r>
      <w:r w:rsidRPr="009C5807">
        <w:rPr>
          <w:i/>
        </w:rPr>
        <w:t xml:space="preserve"> </w:t>
      </w:r>
      <w:r w:rsidRPr="009C5807">
        <w:rPr>
          <w:rFonts w:cs="v4.2.0"/>
        </w:rPr>
        <w:t>with the calculated PRACH transmission power</w:t>
      </w:r>
      <w:r w:rsidRPr="009C5807">
        <w:t xml:space="preserve"> if all received Random Access Responses contain Random Access Preamble identifiers that do not match the transmitted Random Access Preamble.</w:t>
      </w:r>
    </w:p>
    <w:p w14:paraId="676FD6B9" w14:textId="77777777" w:rsidR="00064C2A" w:rsidRPr="009C5807" w:rsidRDefault="00064C2A" w:rsidP="009E6465">
      <w:pPr>
        <w:pStyle w:val="Heading6"/>
        <w:rPr>
          <w:lang w:eastAsia="zh-CN"/>
        </w:rPr>
      </w:pPr>
      <w:r w:rsidRPr="009C5807">
        <w:rPr>
          <w:lang w:eastAsia="zh-CN"/>
        </w:rPr>
        <w:t>6.2</w:t>
      </w:r>
      <w:r>
        <w:rPr>
          <w:rFonts w:hint="eastAsia"/>
          <w:lang w:eastAsia="zh-CN"/>
        </w:rPr>
        <w:t>C</w:t>
      </w:r>
      <w:r w:rsidRPr="009C5807">
        <w:rPr>
          <w:lang w:eastAsia="zh-CN"/>
        </w:rPr>
        <w:t>.2.2.2.3</w:t>
      </w:r>
      <w:r w:rsidRPr="009C5807">
        <w:rPr>
          <w:lang w:eastAsia="zh-CN"/>
        </w:rPr>
        <w:tab/>
        <w:t>Correct behaviour when not receiving Random Access Response</w:t>
      </w:r>
    </w:p>
    <w:p w14:paraId="488D692C" w14:textId="77777777" w:rsidR="00064C2A" w:rsidRPr="009C5807" w:rsidRDefault="00064C2A" w:rsidP="00064C2A">
      <w:pPr>
        <w:rPr>
          <w:lang w:eastAsia="zh-CN"/>
        </w:rPr>
      </w:pPr>
      <w:r w:rsidRPr="009C5807">
        <w:rPr>
          <w:rFonts w:cs="v4.2.0"/>
        </w:rPr>
        <w:t xml:space="preserve">The UE shall </w:t>
      </w:r>
      <w:r w:rsidRPr="009C5807">
        <w:rPr>
          <w:rFonts w:cs="v4.2.0"/>
          <w:lang w:eastAsia="zh-CN"/>
        </w:rPr>
        <w:t xml:space="preserve">again </w:t>
      </w:r>
      <w:r w:rsidRPr="009C5807">
        <w:rPr>
          <w:rFonts w:cs="v4.2.0"/>
        </w:rPr>
        <w:t>perform the Random Access Resource selection procedure defined in clause 5.1.2</w:t>
      </w:r>
      <w:r w:rsidRPr="009C5807">
        <w:rPr>
          <w:rFonts w:cs="v4.2.0"/>
          <w:lang w:eastAsia="zh-CN"/>
        </w:rPr>
        <w:t xml:space="preserve"> </w:t>
      </w:r>
      <w:r w:rsidRPr="009C5807">
        <w:rPr>
          <w:rFonts w:cs="v4.2.0"/>
        </w:rPr>
        <w:t>in TS 3</w:t>
      </w:r>
      <w:r w:rsidRPr="009C5807">
        <w:rPr>
          <w:rFonts w:cs="v4.2.0"/>
          <w:lang w:eastAsia="zh-CN"/>
        </w:rPr>
        <w:t>8</w:t>
      </w:r>
      <w:r w:rsidRPr="009C5807">
        <w:rPr>
          <w:rFonts w:cs="v4.2.0"/>
        </w:rPr>
        <w:t>.321 [7]</w:t>
      </w:r>
      <w:r w:rsidRPr="009C5807">
        <w:rPr>
          <w:rFonts w:cs="v4.2.0"/>
          <w:lang w:eastAsia="zh-CN"/>
        </w:rPr>
        <w:t xml:space="preserve"> for the next available PRACH occasion,</w:t>
      </w:r>
      <w:r w:rsidRPr="009C5807">
        <w:t xml:space="preserve"> </w:t>
      </w:r>
      <w:r w:rsidRPr="009C5807">
        <w:rPr>
          <w:lang w:eastAsia="zh-CN"/>
        </w:rPr>
        <w:t>and</w:t>
      </w:r>
      <w:r w:rsidRPr="009C5807">
        <w:t xml:space="preserve"> transmit the preamble</w:t>
      </w:r>
      <w:r w:rsidRPr="009C5807">
        <w:rPr>
          <w:rFonts w:cs="v4.2.0"/>
        </w:rPr>
        <w:t xml:space="preserve"> with the calculated PRACH transmission power</w:t>
      </w:r>
      <w:r w:rsidRPr="009C5807">
        <w:rPr>
          <w:rFonts w:cs="v4.2.0"/>
          <w:lang w:eastAsia="zh-CN"/>
        </w:rPr>
        <w:t xml:space="preserve">, </w:t>
      </w:r>
      <w:r w:rsidRPr="009C5807">
        <w:rPr>
          <w:noProof/>
          <w:lang w:eastAsia="zh-CN"/>
        </w:rPr>
        <w:t xml:space="preserve">if no Random Access Response is received within the RA Response window configured in </w:t>
      </w:r>
      <w:r w:rsidRPr="009C5807">
        <w:rPr>
          <w:i/>
          <w:noProof/>
          <w:lang w:eastAsia="zh-CN"/>
        </w:rPr>
        <w:t>RACH-ConfigCommon</w:t>
      </w:r>
      <w:r w:rsidRPr="009C5807">
        <w:rPr>
          <w:noProof/>
          <w:lang w:eastAsia="zh-CN"/>
        </w:rPr>
        <w:t xml:space="preserve"> or if no PDCCH addressed to UE’s C-RNTI is received within the RA Response window configured in </w:t>
      </w:r>
      <w:r w:rsidRPr="009C5807">
        <w:rPr>
          <w:i/>
          <w:noProof/>
          <w:lang w:eastAsia="zh-CN"/>
        </w:rPr>
        <w:t>BeamFailureRecoveryConfig</w:t>
      </w:r>
      <w:r w:rsidRPr="009C5807">
        <w:rPr>
          <w:noProof/>
          <w:lang w:eastAsia="zh-CN"/>
        </w:rPr>
        <w:t>, as</w:t>
      </w:r>
      <w:r w:rsidRPr="009C5807">
        <w:t xml:space="preserve"> defined in clause 5.1.4 </w:t>
      </w:r>
      <w:r w:rsidRPr="009C5807">
        <w:rPr>
          <w:lang w:eastAsia="zh-CN"/>
        </w:rPr>
        <w:t xml:space="preserve">in </w:t>
      </w:r>
      <w:r w:rsidRPr="009C5807">
        <w:t>TS 3</w:t>
      </w:r>
      <w:r w:rsidRPr="009C5807">
        <w:rPr>
          <w:lang w:eastAsia="zh-CN"/>
        </w:rPr>
        <w:t>8</w:t>
      </w:r>
      <w:r w:rsidRPr="009C5807">
        <w:t>.321</w:t>
      </w:r>
      <w:r w:rsidRPr="009C5807">
        <w:rPr>
          <w:lang w:eastAsia="zh-CN"/>
        </w:rPr>
        <w:t xml:space="preserve"> [7]</w:t>
      </w:r>
      <w:r w:rsidRPr="009C5807">
        <w:t>.</w:t>
      </w:r>
    </w:p>
    <w:p w14:paraId="7408A163" w14:textId="77777777" w:rsidR="00064C2A" w:rsidRPr="009C5807" w:rsidRDefault="00064C2A" w:rsidP="00064C2A">
      <w:pPr>
        <w:pStyle w:val="Heading4"/>
        <w:rPr>
          <w:lang w:eastAsia="ko-KR"/>
        </w:rPr>
      </w:pPr>
      <w:r w:rsidRPr="009C5807">
        <w:rPr>
          <w:lang w:eastAsia="ko-KR"/>
        </w:rPr>
        <w:t>6.2</w:t>
      </w:r>
      <w:r>
        <w:rPr>
          <w:rFonts w:hint="eastAsia"/>
          <w:lang w:eastAsia="zh-CN"/>
        </w:rPr>
        <w:t>C</w:t>
      </w:r>
      <w:r w:rsidRPr="009C5807">
        <w:rPr>
          <w:lang w:eastAsia="ko-KR"/>
        </w:rPr>
        <w:t>.</w:t>
      </w:r>
      <w:r w:rsidRPr="009C5807">
        <w:rPr>
          <w:lang w:eastAsia="zh-CN"/>
        </w:rPr>
        <w:t>2</w:t>
      </w:r>
      <w:r w:rsidRPr="009C5807">
        <w:rPr>
          <w:lang w:eastAsia="ko-KR"/>
        </w:rPr>
        <w:t>.3</w:t>
      </w:r>
      <w:r w:rsidRPr="009C5807">
        <w:rPr>
          <w:lang w:eastAsia="ko-KR"/>
        </w:rPr>
        <w:tab/>
        <w:t>Requirements for 2-step RA type</w:t>
      </w:r>
    </w:p>
    <w:p w14:paraId="0A243C18" w14:textId="77777777" w:rsidR="00064C2A" w:rsidRPr="009C5807" w:rsidRDefault="00064C2A" w:rsidP="00064C2A">
      <w:pPr>
        <w:rPr>
          <w:rFonts w:cs="v4.2.0"/>
          <w:lang w:eastAsia="zh-CN"/>
        </w:rPr>
      </w:pPr>
      <w:r w:rsidRPr="009C5807">
        <w:t>The UE shall select the type of random access at initiation of the random access procedure based on network configuration, as specified in clause 5.1.1 in TS 38.321 [7].</w:t>
      </w:r>
    </w:p>
    <w:p w14:paraId="2B221234" w14:textId="77777777" w:rsidR="00064C2A" w:rsidRPr="009C5807" w:rsidRDefault="00064C2A" w:rsidP="00064C2A">
      <w:pPr>
        <w:rPr>
          <w:rFonts w:cs="v4.2.0"/>
          <w:lang w:eastAsia="zh-CN"/>
        </w:rPr>
      </w:pPr>
      <w:r w:rsidRPr="009C5807">
        <w:rPr>
          <w:rFonts w:cs="v4.2.0"/>
          <w:lang w:eastAsia="zh-CN"/>
        </w:rPr>
        <w:t>T</w:t>
      </w:r>
      <w:r w:rsidRPr="009C5807">
        <w:rPr>
          <w:rFonts w:cs="v4.2.0"/>
        </w:rPr>
        <w:t>he UE shall have capability to calculate MsgA PRACH transmission power according to the PRACH power formula defined in clause 7.4 of TS 3</w:t>
      </w:r>
      <w:r w:rsidRPr="009C5807">
        <w:rPr>
          <w:rFonts w:cs="v4.2.0"/>
          <w:lang w:eastAsia="zh-CN"/>
        </w:rPr>
        <w:t>8</w:t>
      </w:r>
      <w:r w:rsidRPr="009C5807">
        <w:rPr>
          <w:rFonts w:cs="v4.2.0"/>
        </w:rPr>
        <w:t>.213</w:t>
      </w:r>
      <w:r w:rsidRPr="009C5807">
        <w:rPr>
          <w:rFonts w:cs="v4.2.0"/>
          <w:lang w:eastAsia="zh-CN"/>
        </w:rPr>
        <w:t xml:space="preserve"> </w:t>
      </w:r>
      <w:r w:rsidRPr="009C5807">
        <w:rPr>
          <w:rFonts w:cs="v4.2.0"/>
        </w:rPr>
        <w:t xml:space="preserve">[3] and the MsgA PUSCH power formula of clause 7.1.1 of TS 38.213 [3] and apply this power level at the first MsgA or additional MsgA repetitions. The absolute power applied to the first preamble shall have an accuracy as specified in </w:t>
      </w:r>
      <w:r w:rsidRPr="009C5807">
        <w:rPr>
          <w:rFonts w:cs="v4.2.0"/>
          <w:lang w:eastAsia="zh-CN"/>
        </w:rPr>
        <w:t>T</w:t>
      </w:r>
      <w:r w:rsidRPr="009C5807">
        <w:rPr>
          <w:rFonts w:cs="v4.2.0"/>
        </w:rPr>
        <w:t xml:space="preserve">able </w:t>
      </w:r>
      <w:r w:rsidRPr="009C5807">
        <w:rPr>
          <w:rFonts w:cs="v4.2.0"/>
          <w:lang w:eastAsia="zh-CN"/>
        </w:rPr>
        <w:t>6.3.4.2-1</w:t>
      </w:r>
      <w:r w:rsidRPr="009C5807">
        <w:rPr>
          <w:rFonts w:cs="v4.2.0"/>
        </w:rPr>
        <w:t xml:space="preserve"> of TS 3</w:t>
      </w:r>
      <w:r w:rsidRPr="009C5807">
        <w:rPr>
          <w:rFonts w:cs="v4.2.0"/>
          <w:lang w:eastAsia="zh-CN"/>
        </w:rPr>
        <w:t>8</w:t>
      </w:r>
      <w:r w:rsidRPr="009C5807">
        <w:rPr>
          <w:rFonts w:cs="v4.2.0"/>
        </w:rPr>
        <w:t>.101</w:t>
      </w:r>
      <w:r w:rsidRPr="009C5807">
        <w:rPr>
          <w:rFonts w:cs="v4.2.0"/>
          <w:lang w:eastAsia="zh-CN"/>
        </w:rPr>
        <w:t xml:space="preserve">-1 </w:t>
      </w:r>
      <w:r w:rsidRPr="009C5807">
        <w:rPr>
          <w:rFonts w:cs="v4.2.0"/>
        </w:rPr>
        <w:t>[18]</w:t>
      </w:r>
      <w:r w:rsidRPr="009C5807">
        <w:rPr>
          <w:rFonts w:cs="v4.2.0"/>
          <w:lang w:eastAsia="zh-CN"/>
        </w:rPr>
        <w:t xml:space="preserve"> for frequency range 1 and in Table 6.3.4.2-1 of TS 38.101-2 [19] for frequency range 2</w:t>
      </w:r>
      <w:r w:rsidRPr="009C5807">
        <w:rPr>
          <w:rFonts w:cs="v4.2.0"/>
        </w:rPr>
        <w:t xml:space="preserve">. The relative power applied to additional preambles shall have an accuracy as specified in </w:t>
      </w:r>
      <w:r w:rsidRPr="009C5807">
        <w:rPr>
          <w:rFonts w:cs="v4.2.0"/>
          <w:lang w:eastAsia="zh-CN"/>
        </w:rPr>
        <w:t>T</w:t>
      </w:r>
      <w:r w:rsidRPr="009C5807">
        <w:rPr>
          <w:rFonts w:cs="v4.2.0"/>
        </w:rPr>
        <w:t xml:space="preserve">able </w:t>
      </w:r>
      <w:r w:rsidRPr="009C5807">
        <w:rPr>
          <w:rFonts w:cs="v4.2.0"/>
          <w:lang w:eastAsia="zh-CN"/>
        </w:rPr>
        <w:t>6.3.4.3-1</w:t>
      </w:r>
      <w:r w:rsidRPr="009C5807">
        <w:rPr>
          <w:rFonts w:cs="v4.2.0"/>
        </w:rPr>
        <w:t xml:space="preserve"> of TS 3</w:t>
      </w:r>
      <w:r w:rsidRPr="009C5807">
        <w:rPr>
          <w:rFonts w:cs="v4.2.0"/>
          <w:lang w:eastAsia="zh-CN"/>
        </w:rPr>
        <w:t>8</w:t>
      </w:r>
      <w:r w:rsidRPr="009C5807">
        <w:rPr>
          <w:rFonts w:cs="v4.2.0"/>
        </w:rPr>
        <w:t>.101</w:t>
      </w:r>
      <w:r w:rsidRPr="009C5807">
        <w:rPr>
          <w:rFonts w:cs="v4.2.0"/>
          <w:lang w:eastAsia="zh-CN"/>
        </w:rPr>
        <w:t xml:space="preserve">-1 </w:t>
      </w:r>
      <w:r w:rsidRPr="009C5807">
        <w:rPr>
          <w:rFonts w:cs="v4.2.0"/>
        </w:rPr>
        <w:t>[</w:t>
      </w:r>
      <w:r w:rsidRPr="009C5807">
        <w:rPr>
          <w:rFonts w:cs="v4.2.0"/>
          <w:lang w:eastAsia="zh-CN"/>
        </w:rPr>
        <w:t>18</w:t>
      </w:r>
      <w:r w:rsidRPr="009C5807">
        <w:rPr>
          <w:rFonts w:cs="v4.2.0"/>
        </w:rPr>
        <w:t>]</w:t>
      </w:r>
      <w:r w:rsidRPr="009C5807">
        <w:rPr>
          <w:rFonts w:cs="v4.2.0"/>
          <w:lang w:eastAsia="zh-CN"/>
        </w:rPr>
        <w:t xml:space="preserve"> for frequency range 1 and clause 6.3.4.3 of TS38.101-2 [19] for frequency range 2</w:t>
      </w:r>
      <w:r w:rsidRPr="009C5807">
        <w:rPr>
          <w:rFonts w:cs="v4.2.0"/>
        </w:rPr>
        <w:t>.</w:t>
      </w:r>
    </w:p>
    <w:p w14:paraId="5521122E" w14:textId="77777777" w:rsidR="00064C2A" w:rsidRPr="009C5807" w:rsidRDefault="00064C2A" w:rsidP="00064C2A">
      <w:pPr>
        <w:rPr>
          <w:rFonts w:cs="v4.2.0"/>
          <w:lang w:eastAsia="zh-CN"/>
        </w:rPr>
      </w:pPr>
      <w:r w:rsidRPr="009C5807">
        <w:rPr>
          <w:rFonts w:cs="v4.2.0"/>
          <w:lang w:eastAsia="zh-CN"/>
        </w:rPr>
        <w:t xml:space="preserve">The UE shall switch to 4-step RA type procedure if the MsgA transmission counter has exceeded </w:t>
      </w:r>
      <w:r w:rsidRPr="009C5807">
        <w:rPr>
          <w:i/>
          <w:iCs/>
          <w:lang w:val="en-US" w:eastAsia="ko-KR"/>
        </w:rPr>
        <w:t>msgA-TransMax</w:t>
      </w:r>
      <w:r w:rsidRPr="009C5807">
        <w:t>, if configured,</w:t>
      </w:r>
      <w:r w:rsidRPr="009C5807">
        <w:rPr>
          <w:lang w:val="en-US" w:eastAsia="ko-KR"/>
        </w:rPr>
        <w:t xml:space="preserve"> </w:t>
      </w:r>
      <w:r w:rsidRPr="009C5807">
        <w:rPr>
          <w:rFonts w:cs="v4.2.0"/>
          <w:lang w:eastAsia="zh-CN"/>
        </w:rPr>
        <w:t>as specified in clause 5.1.4a of TS 38.321 [7]. The UE shall indicate a Random Access problem to upper layers if the maximum number of preamble transmission counter has been reached for the random access procedure on PCell or PSCell as specified in clause 5.1.4a in TS 38.321 [7].</w:t>
      </w:r>
    </w:p>
    <w:p w14:paraId="70C35EE0" w14:textId="77777777" w:rsidR="00064C2A" w:rsidRPr="009C5807" w:rsidRDefault="00064C2A" w:rsidP="00064C2A">
      <w:pPr>
        <w:rPr>
          <w:rFonts w:cs="v4.2.0"/>
          <w:lang w:eastAsia="zh-CN"/>
        </w:rPr>
      </w:pPr>
      <w:r w:rsidRPr="009C5807">
        <w:rPr>
          <w:rFonts w:cs="v4.2.0"/>
          <w:lang w:eastAsia="zh-CN"/>
        </w:rPr>
        <w:t>The requirements in this clause apply for UE in SA operation mode or any MR-DC operation mode.</w:t>
      </w:r>
    </w:p>
    <w:p w14:paraId="121BB45C" w14:textId="77777777" w:rsidR="00064C2A" w:rsidRPr="009C5807" w:rsidRDefault="00064C2A" w:rsidP="00064C2A">
      <w:pPr>
        <w:pStyle w:val="Heading5"/>
        <w:rPr>
          <w:lang w:eastAsia="zh-CN"/>
        </w:rPr>
      </w:pPr>
      <w:r w:rsidRPr="009C5807">
        <w:rPr>
          <w:lang w:eastAsia="zh-CN"/>
        </w:rPr>
        <w:t>6.2</w:t>
      </w:r>
      <w:r>
        <w:rPr>
          <w:rFonts w:hint="eastAsia"/>
          <w:lang w:eastAsia="zh-CN"/>
        </w:rPr>
        <w:t>C</w:t>
      </w:r>
      <w:r w:rsidRPr="009C5807">
        <w:rPr>
          <w:lang w:eastAsia="zh-CN"/>
        </w:rPr>
        <w:t>.2.3.1</w:t>
      </w:r>
      <w:r w:rsidRPr="009C5807">
        <w:rPr>
          <w:lang w:eastAsia="zh-CN"/>
        </w:rPr>
        <w:tab/>
        <w:t>Contention based random access</w:t>
      </w:r>
    </w:p>
    <w:p w14:paraId="4BE2E000" w14:textId="77777777" w:rsidR="00064C2A" w:rsidRPr="009C5807" w:rsidRDefault="00064C2A" w:rsidP="009E6465">
      <w:pPr>
        <w:pStyle w:val="Heading6"/>
        <w:rPr>
          <w:lang w:eastAsia="zh-CN"/>
        </w:rPr>
      </w:pPr>
      <w:r w:rsidRPr="009C5807">
        <w:rPr>
          <w:lang w:eastAsia="zh-CN"/>
        </w:rPr>
        <w:t>6.2</w:t>
      </w:r>
      <w:r>
        <w:rPr>
          <w:rFonts w:hint="eastAsia"/>
          <w:lang w:eastAsia="zh-CN"/>
        </w:rPr>
        <w:t>C</w:t>
      </w:r>
      <w:r w:rsidRPr="009C5807">
        <w:rPr>
          <w:lang w:eastAsia="zh-CN"/>
        </w:rPr>
        <w:t>.2.3.1.1</w:t>
      </w:r>
      <w:r w:rsidRPr="009C5807">
        <w:rPr>
          <w:lang w:eastAsia="zh-CN"/>
        </w:rPr>
        <w:tab/>
        <w:t>Correct behaviour when transmitting MsgA</w:t>
      </w:r>
    </w:p>
    <w:p w14:paraId="59B82AC7" w14:textId="77777777" w:rsidR="00064C2A" w:rsidRPr="009C5807" w:rsidRDefault="00064C2A" w:rsidP="00064C2A">
      <w:pPr>
        <w:rPr>
          <w:rFonts w:cs="v4.2.0"/>
          <w:lang w:eastAsia="zh-CN"/>
        </w:rPr>
      </w:pPr>
      <w:r w:rsidRPr="009C5807">
        <w:rPr>
          <w:rFonts w:cs="v4.2.0"/>
          <w:lang w:eastAsia="zh-CN"/>
        </w:rPr>
        <w:t xml:space="preserve">With the UE selected SSB with SS-RSRP above </w:t>
      </w:r>
      <w:r w:rsidRPr="009C5807">
        <w:rPr>
          <w:i/>
          <w:iCs/>
          <w:lang w:eastAsia="ko-KR"/>
        </w:rPr>
        <w:t>msgA-</w:t>
      </w:r>
      <w:r w:rsidRPr="009C5807">
        <w:rPr>
          <w:i/>
          <w:lang w:eastAsia="ko-KR"/>
        </w:rPr>
        <w:t>RSRP</w:t>
      </w:r>
      <w:r w:rsidRPr="009C5807">
        <w:rPr>
          <w:i/>
          <w:iCs/>
          <w:lang w:eastAsia="ko-KR"/>
        </w:rPr>
        <w:t>-ThresholdSSB</w:t>
      </w:r>
      <w:r w:rsidRPr="009C5807">
        <w:rPr>
          <w:rFonts w:cs="v4.2.0"/>
          <w:lang w:eastAsia="zh-CN"/>
        </w:rPr>
        <w:t xml:space="preserve">, the UE shall have the capability to select a </w:t>
      </w:r>
      <w:r w:rsidRPr="009C5807">
        <w:t>Random Access Preamble</w:t>
      </w:r>
      <w:r w:rsidRPr="009C5807">
        <w:rPr>
          <w:rFonts w:cs="v4.2.0"/>
          <w:lang w:eastAsia="zh-CN"/>
        </w:rPr>
        <w:t xml:space="preserve"> randomly with equal probability from the </w:t>
      </w:r>
      <w:r w:rsidRPr="009C5807">
        <w:t>Random Access Preamble</w:t>
      </w:r>
      <w:r w:rsidRPr="009C5807">
        <w:rPr>
          <w:lang w:eastAsia="zh-CN"/>
        </w:rPr>
        <w:t>s</w:t>
      </w:r>
      <w:r w:rsidRPr="009C5807">
        <w:rPr>
          <w:rFonts w:cs="v4.2.0"/>
          <w:lang w:eastAsia="zh-CN"/>
        </w:rPr>
        <w:t xml:space="preserve"> associated with the selected SSB if the association between Random Access Preambles and SS blocks is configured, </w:t>
      </w:r>
      <w:r w:rsidRPr="009C5807">
        <w:rPr>
          <w:rFonts w:cs="v4.2.0"/>
        </w:rPr>
        <w:t>as specified in clause 5.1.</w:t>
      </w:r>
      <w:r w:rsidRPr="009C5807">
        <w:rPr>
          <w:rFonts w:cs="v4.2.0"/>
          <w:lang w:eastAsia="zh-CN"/>
        </w:rPr>
        <w:t>2a</w:t>
      </w:r>
      <w:r w:rsidRPr="009C5807">
        <w:rPr>
          <w:rFonts w:cs="v4.2.0"/>
        </w:rPr>
        <w:t xml:space="preserve"> in TS 3</w:t>
      </w:r>
      <w:r w:rsidRPr="009C5807">
        <w:rPr>
          <w:rFonts w:cs="v4.2.0"/>
          <w:lang w:eastAsia="zh-CN"/>
        </w:rPr>
        <w:t>8</w:t>
      </w:r>
      <w:r w:rsidRPr="009C5807">
        <w:rPr>
          <w:rFonts w:cs="v4.2.0"/>
        </w:rPr>
        <w:t>.321 [7]</w:t>
      </w:r>
      <w:r w:rsidRPr="009C5807">
        <w:rPr>
          <w:rFonts w:cs="v4.2.0"/>
          <w:lang w:eastAsia="zh-CN"/>
        </w:rPr>
        <w:t>.</w:t>
      </w:r>
    </w:p>
    <w:p w14:paraId="094DF8C7" w14:textId="77777777" w:rsidR="00064C2A" w:rsidRPr="00D60521" w:rsidRDefault="00064C2A" w:rsidP="00064C2A">
      <w:r w:rsidRPr="009C5807">
        <w:t>With the UE selected SSB with SS-RSRP above</w:t>
      </w:r>
      <w:r w:rsidRPr="009C5807">
        <w:rPr>
          <w:lang w:eastAsia="zh-CN"/>
        </w:rPr>
        <w:t xml:space="preserve"> </w:t>
      </w:r>
      <w:r w:rsidRPr="009C5807">
        <w:rPr>
          <w:i/>
          <w:iCs/>
          <w:lang w:eastAsia="ko-KR"/>
        </w:rPr>
        <w:t>msgA-</w:t>
      </w:r>
      <w:r w:rsidRPr="009C5807">
        <w:rPr>
          <w:i/>
          <w:lang w:eastAsia="ko-KR"/>
        </w:rPr>
        <w:t>RSRP</w:t>
      </w:r>
      <w:r w:rsidRPr="009C5807">
        <w:rPr>
          <w:i/>
          <w:iCs/>
          <w:lang w:eastAsia="ko-KR"/>
        </w:rPr>
        <w:t>-ThresholdSSB</w:t>
      </w:r>
      <w:r w:rsidRPr="009C5807">
        <w:rPr>
          <w:lang w:eastAsia="zh-CN"/>
        </w:rPr>
        <w:t xml:space="preserve">, </w:t>
      </w:r>
      <w:r w:rsidRPr="009C5807">
        <w:t>UE shall have the capability to transmit MsgA PRACH on the next available PRACH occasion from the PRACH occasions corresponding to the selected SSB permitted by the restrictions given first by the</w:t>
      </w:r>
      <w:r w:rsidRPr="009C5807">
        <w:rPr>
          <w:color w:val="000000" w:themeColor="text1"/>
          <w:lang w:eastAsia="zh-CN"/>
        </w:rPr>
        <w:t xml:space="preserve"> </w:t>
      </w:r>
      <w:r w:rsidRPr="009C5807">
        <w:rPr>
          <w:i/>
          <w:color w:val="000000" w:themeColor="text1"/>
          <w:lang w:eastAsia="zh-CN"/>
        </w:rPr>
        <w:t>msgA-SSB-SharedRO-MaskIndex</w:t>
      </w:r>
      <w:r w:rsidRPr="009C5807">
        <w:rPr>
          <w:color w:val="000000" w:themeColor="text1"/>
          <w:lang w:eastAsia="zh-CN"/>
        </w:rPr>
        <w:t xml:space="preserve"> </w:t>
      </w:r>
      <w:r w:rsidRPr="009C5807">
        <w:t>if configured, or next by the</w:t>
      </w:r>
      <w:r w:rsidRPr="009C5807">
        <w:rPr>
          <w:color w:val="000000" w:themeColor="text1"/>
          <w:lang w:eastAsia="zh-CN"/>
        </w:rPr>
        <w:t xml:space="preserve"> </w:t>
      </w:r>
      <w:r w:rsidRPr="009C5807">
        <w:rPr>
          <w:i/>
          <w:lang w:eastAsia="ko-KR"/>
        </w:rPr>
        <w:t xml:space="preserve">ra-ssb-OccasionMaskIndex </w:t>
      </w:r>
      <w:r w:rsidRPr="009C5807">
        <w:t>if configured, if the association between PRACH occasions and SSBs is configured.</w:t>
      </w:r>
      <w:r w:rsidRPr="00D60521">
        <w:t xml:space="preserve"> </w:t>
      </w:r>
    </w:p>
    <w:p w14:paraId="0F4D8DAA" w14:textId="77777777" w:rsidR="00064C2A" w:rsidRPr="009C5807" w:rsidRDefault="00064C2A" w:rsidP="00064C2A">
      <w:pPr>
        <w:rPr>
          <w:rFonts w:cs="v4.2.0"/>
        </w:rPr>
      </w:pPr>
      <w:r w:rsidRPr="009C5807">
        <w:rPr>
          <w:rFonts w:cs="v4.2.0"/>
          <w:lang w:eastAsia="zh-CN"/>
        </w:rPr>
        <w:t xml:space="preserve">The PRACH preamble and </w:t>
      </w:r>
      <w:r w:rsidRPr="009C5807">
        <w:rPr>
          <w:lang w:eastAsia="ko-KR"/>
        </w:rPr>
        <w:t xml:space="preserve">PRACH occasion </w:t>
      </w:r>
      <w:r w:rsidRPr="009C5807">
        <w:rPr>
          <w:lang w:eastAsia="zh-CN"/>
        </w:rPr>
        <w:t xml:space="preserve">shall be </w:t>
      </w:r>
      <w:r w:rsidRPr="009C5807">
        <w:rPr>
          <w:lang w:eastAsia="ko-KR"/>
        </w:rPr>
        <w:t>randomly</w:t>
      </w:r>
      <w:r w:rsidRPr="009C5807">
        <w:rPr>
          <w:lang w:eastAsia="zh-CN"/>
        </w:rPr>
        <w:t xml:space="preserve"> selected</w:t>
      </w:r>
      <w:r w:rsidRPr="009C5807">
        <w:rPr>
          <w:lang w:eastAsia="ko-KR"/>
        </w:rPr>
        <w:t xml:space="preserve"> with equal probability amongst the </w:t>
      </w:r>
      <w:r w:rsidRPr="009C5807">
        <w:rPr>
          <w:lang w:eastAsia="zh-CN"/>
        </w:rPr>
        <w:t xml:space="preserve">selected SSB associated </w:t>
      </w:r>
      <w:r w:rsidRPr="009C5807">
        <w:rPr>
          <w:lang w:eastAsia="ko-KR"/>
        </w:rPr>
        <w:t>PRACH occasions occurring simultaneously but on different subcarriers</w:t>
      </w:r>
      <w:r w:rsidRPr="009C5807">
        <w:rPr>
          <w:rFonts w:cs="v4.2.0"/>
          <w:lang w:eastAsia="zh-CN"/>
        </w:rPr>
        <w:t xml:space="preserve">, </w:t>
      </w:r>
      <w:r w:rsidRPr="009C5807">
        <w:rPr>
          <w:rFonts w:cs="v4.2.0"/>
        </w:rPr>
        <w:t>as specified in clause 5.1.</w:t>
      </w:r>
      <w:r w:rsidRPr="009C5807">
        <w:rPr>
          <w:rFonts w:cs="v4.2.0"/>
          <w:lang w:eastAsia="zh-CN"/>
        </w:rPr>
        <w:t>2a</w:t>
      </w:r>
      <w:r w:rsidRPr="009C5807">
        <w:rPr>
          <w:rFonts w:cs="v4.2.0"/>
        </w:rPr>
        <w:t xml:space="preserve"> in TS 3</w:t>
      </w:r>
      <w:r w:rsidRPr="009C5807">
        <w:rPr>
          <w:rFonts w:cs="v4.2.0"/>
          <w:lang w:eastAsia="zh-CN"/>
        </w:rPr>
        <w:t>8</w:t>
      </w:r>
      <w:r w:rsidRPr="009C5807">
        <w:rPr>
          <w:rFonts w:cs="v4.2.0"/>
        </w:rPr>
        <w:t xml:space="preserve">.321 [7]. </w:t>
      </w:r>
    </w:p>
    <w:p w14:paraId="2D405C0B" w14:textId="77777777" w:rsidR="00064C2A" w:rsidRPr="009C5807" w:rsidRDefault="00064C2A" w:rsidP="00064C2A">
      <w:pPr>
        <w:rPr>
          <w:rFonts w:cs="v4.2.0"/>
          <w:lang w:eastAsia="zh-CN"/>
        </w:rPr>
      </w:pPr>
      <w:r w:rsidRPr="009C5807">
        <w:rPr>
          <w:rFonts w:cs="v4.2.0"/>
        </w:rPr>
        <w:t>In association with the MsgA PRACH, the UE should have the capability to transmit MsgA PUSCH on the corresponding PUSCH occasion associated with a DMRS resource, which is mapped from the MsgA PRACH ocasion, and preamble index as defined in clause 8.1A in TS 38.213 [3]</w:t>
      </w:r>
      <w:r w:rsidRPr="009C5807">
        <w:rPr>
          <w:rFonts w:cs="v4.2.0"/>
          <w:lang w:eastAsia="zh-CN"/>
        </w:rPr>
        <w:t>.</w:t>
      </w:r>
    </w:p>
    <w:p w14:paraId="1917EF0F" w14:textId="77777777" w:rsidR="00064C2A" w:rsidRPr="009C5807" w:rsidRDefault="00064C2A" w:rsidP="009E6465">
      <w:pPr>
        <w:pStyle w:val="Heading6"/>
        <w:rPr>
          <w:lang w:eastAsia="zh-CN"/>
        </w:rPr>
      </w:pPr>
      <w:r w:rsidRPr="009C5807">
        <w:rPr>
          <w:lang w:eastAsia="zh-CN"/>
        </w:rPr>
        <w:t>6.2</w:t>
      </w:r>
      <w:r>
        <w:rPr>
          <w:rFonts w:hint="eastAsia"/>
          <w:lang w:eastAsia="zh-CN"/>
        </w:rPr>
        <w:t>C</w:t>
      </w:r>
      <w:r w:rsidRPr="009C5807">
        <w:rPr>
          <w:lang w:eastAsia="zh-CN"/>
        </w:rPr>
        <w:t>.2.3.1.2</w:t>
      </w:r>
      <w:r w:rsidRPr="009C5807">
        <w:rPr>
          <w:lang w:eastAsia="zh-CN"/>
        </w:rPr>
        <w:tab/>
        <w:t>Correct behaviour when receiving MsgB</w:t>
      </w:r>
    </w:p>
    <w:p w14:paraId="463ADCDA" w14:textId="77777777" w:rsidR="00064C2A" w:rsidRPr="009C5807" w:rsidRDefault="00064C2A" w:rsidP="00064C2A">
      <w:pPr>
        <w:rPr>
          <w:lang w:eastAsia="zh-CN"/>
        </w:rPr>
      </w:pPr>
      <w:r w:rsidRPr="009C5807">
        <w:rPr>
          <w:lang w:eastAsia="zh-CN"/>
        </w:rPr>
        <w:t>The UE shall  stop monitoring for MsgB, when the UE has successfully received the PDCCH addressed to UE as specified in clause 8.2A in TS 38.213 [3] containing a successRAR MAC subPDU or a fallbackRAR MAC subPDU as described in clause 5.1.4a in TS 38.321 [7].</w:t>
      </w:r>
    </w:p>
    <w:p w14:paraId="5B377F32" w14:textId="77777777" w:rsidR="00064C2A" w:rsidRPr="009C5807" w:rsidRDefault="00064C2A" w:rsidP="00064C2A">
      <w:pPr>
        <w:rPr>
          <w:lang w:eastAsia="zh-CN"/>
        </w:rPr>
      </w:pPr>
      <w:r w:rsidRPr="009C5807">
        <w:rPr>
          <w:lang w:eastAsia="zh-CN"/>
        </w:rPr>
        <w:t>The UE shall send ACK if Success RAR is received in MsgB and the Contention Resolution is successful, as defined in clause 5.1.4a in TS 38.321 [7].</w:t>
      </w:r>
    </w:p>
    <w:p w14:paraId="7B177F7F" w14:textId="77777777" w:rsidR="00064C2A" w:rsidRPr="009C5807" w:rsidRDefault="00064C2A" w:rsidP="00064C2A">
      <w:pPr>
        <w:rPr>
          <w:rFonts w:cs="v4.2.0"/>
        </w:rPr>
      </w:pPr>
      <w:r w:rsidRPr="009C5807">
        <w:rPr>
          <w:rFonts w:cs="v4.2.0"/>
        </w:rPr>
        <w:t xml:space="preserve">If MsgB contains a fallbackRAR MAC subPDU the UE shall fallback to the 4-step RA type by transmitting the msg3 containing the payload of MsgA PUSCH and monitor contention resolution as described in clause 8.2A in TS 38.213 [3]. </w:t>
      </w:r>
    </w:p>
    <w:p w14:paraId="4F831F46" w14:textId="77777777" w:rsidR="00064C2A" w:rsidRDefault="00064C2A" w:rsidP="00064C2A">
      <w:pPr>
        <w:rPr>
          <w:rFonts w:cs="v4.2.0"/>
        </w:rPr>
      </w:pPr>
      <w:r>
        <w:rPr>
          <w:rFonts w:cs="v4.2.0"/>
        </w:rPr>
        <w:t>The UE shall again perform the Random Access Resource selection procedure defined in clause 5.1.2a in TS 38.321 [7], and transmit with the calculated</w:t>
      </w:r>
      <w:r>
        <w:rPr>
          <w:rFonts w:cs="v4.2.0" w:hint="eastAsia"/>
          <w:lang w:val="en-US" w:eastAsia="zh-CN"/>
        </w:rPr>
        <w:t xml:space="preserve"> MsgA</w:t>
      </w:r>
      <w:r>
        <w:rPr>
          <w:rFonts w:cs="v4.2.0"/>
        </w:rPr>
        <w:t xml:space="preserve"> PRACH</w:t>
      </w:r>
      <w:r>
        <w:rPr>
          <w:rFonts w:cs="v4.2.0" w:hint="eastAsia"/>
          <w:lang w:val="en-US" w:eastAsia="zh-CN"/>
        </w:rPr>
        <w:t xml:space="preserve"> and MsgA PUSCH</w:t>
      </w:r>
      <w:r>
        <w:rPr>
          <w:rFonts w:cs="v4.2.0"/>
        </w:rPr>
        <w:t xml:space="preserve"> transmission power when the backoff time expires unless the Random Access Response reception is considered as successful, as defined in clause 5.1.4a in TS 38.321 [7].</w:t>
      </w:r>
    </w:p>
    <w:p w14:paraId="7453AF3F" w14:textId="77777777" w:rsidR="00064C2A" w:rsidRPr="009C5807" w:rsidRDefault="00064C2A" w:rsidP="009E6465">
      <w:pPr>
        <w:pStyle w:val="Heading6"/>
        <w:rPr>
          <w:lang w:eastAsia="zh-CN"/>
        </w:rPr>
      </w:pPr>
      <w:r w:rsidRPr="009C5807">
        <w:rPr>
          <w:lang w:eastAsia="zh-CN"/>
        </w:rPr>
        <w:t>6.2</w:t>
      </w:r>
      <w:r>
        <w:rPr>
          <w:rFonts w:hint="eastAsia"/>
          <w:lang w:eastAsia="zh-CN"/>
        </w:rPr>
        <w:t>C</w:t>
      </w:r>
      <w:r w:rsidRPr="009C5807">
        <w:rPr>
          <w:lang w:eastAsia="zh-CN"/>
        </w:rPr>
        <w:t>.2.3.1.3</w:t>
      </w:r>
      <w:r w:rsidRPr="009C5807">
        <w:rPr>
          <w:lang w:eastAsia="zh-CN"/>
        </w:rPr>
        <w:tab/>
        <w:t>Correct behaviour when not receiving MsgB</w:t>
      </w:r>
    </w:p>
    <w:p w14:paraId="4976F687" w14:textId="77777777" w:rsidR="00064C2A" w:rsidRDefault="00064C2A" w:rsidP="00064C2A">
      <w:pPr>
        <w:rPr>
          <w:rFonts w:cs="v4.2.0"/>
        </w:rPr>
      </w:pPr>
      <w:r>
        <w:rPr>
          <w:rFonts w:cs="v4.2.0"/>
        </w:rPr>
        <w:t xml:space="preserve">The UE shall </w:t>
      </w:r>
      <w:r>
        <w:rPr>
          <w:rFonts w:cs="v4.2.0"/>
          <w:lang w:eastAsia="zh-CN"/>
        </w:rPr>
        <w:t xml:space="preserve">again </w:t>
      </w:r>
      <w:r>
        <w:rPr>
          <w:rFonts w:cs="v4.2.0"/>
        </w:rPr>
        <w:t>perform the Random Access Resource selection procedure defined in clause 5.1.2a</w:t>
      </w:r>
      <w:r>
        <w:rPr>
          <w:rFonts w:cs="v4.2.0"/>
          <w:lang w:eastAsia="zh-CN"/>
        </w:rPr>
        <w:t xml:space="preserve"> </w:t>
      </w:r>
      <w:r>
        <w:rPr>
          <w:rFonts w:cs="v4.2.0"/>
        </w:rPr>
        <w:t>in TS 3</w:t>
      </w:r>
      <w:r>
        <w:rPr>
          <w:rFonts w:cs="v4.2.0"/>
          <w:lang w:eastAsia="zh-CN"/>
        </w:rPr>
        <w:t>8</w:t>
      </w:r>
      <w:r>
        <w:rPr>
          <w:rFonts w:cs="v4.2.0"/>
        </w:rPr>
        <w:t>.321 [7]</w:t>
      </w:r>
      <w:r>
        <w:rPr>
          <w:rFonts w:cs="v4.2.0"/>
          <w:lang w:eastAsia="zh-CN"/>
        </w:rPr>
        <w:t>,</w:t>
      </w:r>
      <w:r>
        <w:t xml:space="preserve"> and transmit </w:t>
      </w:r>
      <w:r>
        <w:rPr>
          <w:rFonts w:cs="v4.2.0"/>
        </w:rPr>
        <w:t>with the calculated MsgA</w:t>
      </w:r>
      <w:r>
        <w:rPr>
          <w:rFonts w:cs="v4.2.0" w:hint="eastAsia"/>
          <w:lang w:val="en-US" w:eastAsia="zh-CN"/>
        </w:rPr>
        <w:t xml:space="preserve"> PRACH and MsgA PUSCH</w:t>
      </w:r>
      <w:r>
        <w:rPr>
          <w:rFonts w:cs="v4.2.0"/>
        </w:rPr>
        <w:t xml:space="preserve"> transmission power</w:t>
      </w:r>
      <w:r>
        <w:t xml:space="preserve"> </w:t>
      </w:r>
      <w:r>
        <w:rPr>
          <w:lang w:eastAsia="zh-CN"/>
        </w:rPr>
        <w:t>when</w:t>
      </w:r>
      <w:r>
        <w:t xml:space="preserve"> the backoff time expires </w:t>
      </w:r>
      <w:r>
        <w:rPr>
          <w:rFonts w:cs="v4.2.0"/>
        </w:rPr>
        <w:t>unless the Random Access Response reception is considered as successful, as defined in clause 5.1.4a in TS 38.321 [7]</w:t>
      </w:r>
      <w:r>
        <w:t>.</w:t>
      </w:r>
    </w:p>
    <w:p w14:paraId="73DC6F95" w14:textId="77777777" w:rsidR="00064C2A" w:rsidRPr="009C5807" w:rsidRDefault="00064C2A" w:rsidP="00064C2A">
      <w:pPr>
        <w:pStyle w:val="Heading5"/>
        <w:rPr>
          <w:lang w:eastAsia="zh-CN"/>
        </w:rPr>
      </w:pPr>
      <w:r w:rsidRPr="009C5807">
        <w:rPr>
          <w:lang w:eastAsia="zh-CN"/>
        </w:rPr>
        <w:t>6.2</w:t>
      </w:r>
      <w:r>
        <w:rPr>
          <w:rFonts w:hint="eastAsia"/>
          <w:lang w:eastAsia="zh-CN"/>
        </w:rPr>
        <w:t>C</w:t>
      </w:r>
      <w:r w:rsidRPr="009C5807">
        <w:rPr>
          <w:lang w:eastAsia="zh-CN"/>
        </w:rPr>
        <w:t>.2.3.2</w:t>
      </w:r>
      <w:r w:rsidRPr="009C5807">
        <w:rPr>
          <w:lang w:eastAsia="zh-CN"/>
        </w:rPr>
        <w:tab/>
        <w:t>Non-Contention based random access</w:t>
      </w:r>
    </w:p>
    <w:p w14:paraId="6AB19F76" w14:textId="77777777" w:rsidR="00064C2A" w:rsidRPr="009C5807" w:rsidRDefault="00064C2A" w:rsidP="009E6465">
      <w:pPr>
        <w:pStyle w:val="Heading6"/>
        <w:rPr>
          <w:lang w:eastAsia="zh-CN"/>
        </w:rPr>
      </w:pPr>
      <w:r w:rsidRPr="009C5807">
        <w:rPr>
          <w:lang w:eastAsia="zh-CN"/>
        </w:rPr>
        <w:t>6.2</w:t>
      </w:r>
      <w:r>
        <w:rPr>
          <w:rFonts w:hint="eastAsia"/>
          <w:lang w:eastAsia="zh-CN"/>
        </w:rPr>
        <w:t>C</w:t>
      </w:r>
      <w:r w:rsidRPr="009C5807">
        <w:rPr>
          <w:lang w:eastAsia="zh-CN"/>
        </w:rPr>
        <w:t>.2.3.2.1</w:t>
      </w:r>
      <w:r w:rsidRPr="009C5807">
        <w:rPr>
          <w:lang w:eastAsia="zh-CN"/>
        </w:rPr>
        <w:tab/>
        <w:t>Correct behaviour when transmitting MsgA</w:t>
      </w:r>
    </w:p>
    <w:p w14:paraId="3B3F6748" w14:textId="77777777" w:rsidR="00064C2A" w:rsidRPr="009C5807" w:rsidRDefault="00064C2A" w:rsidP="00064C2A">
      <w:pPr>
        <w:rPr>
          <w:rFonts w:cs="v4.2.0"/>
          <w:lang w:eastAsia="zh-CN"/>
        </w:rPr>
      </w:pPr>
      <w:r w:rsidRPr="009C5807">
        <w:rPr>
          <w:lang w:eastAsia="zh-CN"/>
        </w:rPr>
        <w:t>If the contention-free Random Access Resources and the contention-free PRACH occasions associated with SSBs is configured,</w:t>
      </w:r>
      <w:r w:rsidRPr="009C5807">
        <w:rPr>
          <w:rFonts w:cs="v4.2.0"/>
          <w:lang w:eastAsia="zh-CN"/>
        </w:rPr>
        <w:t xml:space="preserve"> with the UE selected SSB with SS-RSRP above </w:t>
      </w:r>
      <w:r w:rsidRPr="009C5807">
        <w:rPr>
          <w:i/>
          <w:lang w:eastAsia="ko-KR"/>
        </w:rPr>
        <w:t>msgA-RSRP-ThresholdSSB</w:t>
      </w:r>
      <w:r w:rsidRPr="009C5807">
        <w:rPr>
          <w:rFonts w:cs="v4.2.0"/>
          <w:i/>
          <w:lang w:eastAsia="zh-CN"/>
        </w:rPr>
        <w:t xml:space="preserve"> </w:t>
      </w:r>
      <w:r w:rsidRPr="009C5807">
        <w:rPr>
          <w:rFonts w:cs="v4.2.0"/>
          <w:lang w:eastAsia="zh-CN"/>
        </w:rPr>
        <w:t xml:space="preserve">amongst the associated SSBs, UE shall have the capability to select the </w:t>
      </w:r>
      <w:r w:rsidRPr="009C5807">
        <w:t>Random Access Preamble</w:t>
      </w:r>
      <w:r w:rsidRPr="009C5807">
        <w:rPr>
          <w:lang w:eastAsia="zh-CN"/>
        </w:rPr>
        <w:t xml:space="preserve"> corresponding to the selected SSB, and</w:t>
      </w:r>
      <w:r w:rsidRPr="009C5807">
        <w:rPr>
          <w:rFonts w:cs="v4.2.0"/>
          <w:lang w:eastAsia="zh-CN"/>
        </w:rPr>
        <w:t xml:space="preserve"> to transmit Random Access Preamble on the next available PRACH occasion from the PRACH occasions corresponding to the selected SSB permitted by the restrictions given first by the </w:t>
      </w:r>
      <w:r w:rsidRPr="009C5807">
        <w:rPr>
          <w:i/>
          <w:color w:val="000000" w:themeColor="text1"/>
          <w:lang w:eastAsia="zh-CN"/>
        </w:rPr>
        <w:t>msgA-SSB-SharedRO-MaskIndex</w:t>
      </w:r>
      <w:r w:rsidRPr="009C5807">
        <w:rPr>
          <w:color w:val="000000" w:themeColor="text1"/>
          <w:lang w:eastAsia="zh-CN"/>
        </w:rPr>
        <w:t xml:space="preserve"> if configured, or next by the </w:t>
      </w:r>
      <w:r w:rsidRPr="009C5807">
        <w:rPr>
          <w:i/>
          <w:lang w:eastAsia="ko-KR"/>
        </w:rPr>
        <w:t>ra-ssb-OccasionMaskIndex</w:t>
      </w:r>
      <w:r w:rsidRPr="009C5807">
        <w:rPr>
          <w:rFonts w:cs="v4.2.0"/>
          <w:lang w:eastAsia="zh-CN"/>
        </w:rPr>
        <w:t xml:space="preserve"> if configured, and </w:t>
      </w:r>
      <w:r w:rsidRPr="009C5807">
        <w:rPr>
          <w:lang w:eastAsia="ko-KR"/>
        </w:rPr>
        <w:t xml:space="preserve">PRACH occasion </w:t>
      </w:r>
      <w:r w:rsidRPr="009C5807">
        <w:rPr>
          <w:lang w:eastAsia="zh-CN"/>
        </w:rPr>
        <w:t xml:space="preserve">shall be </w:t>
      </w:r>
      <w:r w:rsidRPr="009C5807">
        <w:rPr>
          <w:lang w:eastAsia="ko-KR"/>
        </w:rPr>
        <w:t>randomly</w:t>
      </w:r>
      <w:r w:rsidRPr="009C5807">
        <w:rPr>
          <w:lang w:eastAsia="zh-CN"/>
        </w:rPr>
        <w:t xml:space="preserve"> selected</w:t>
      </w:r>
      <w:r w:rsidRPr="009C5807">
        <w:rPr>
          <w:lang w:eastAsia="ko-KR"/>
        </w:rPr>
        <w:t xml:space="preserve"> with equal probability amongst the </w:t>
      </w:r>
      <w:r w:rsidRPr="009C5807">
        <w:rPr>
          <w:lang w:eastAsia="zh-CN"/>
        </w:rPr>
        <w:t xml:space="preserve">selected SSB associated </w:t>
      </w:r>
      <w:r w:rsidRPr="009C5807">
        <w:rPr>
          <w:lang w:eastAsia="ko-KR"/>
        </w:rPr>
        <w:t>PRACH occasions occurring simultaneously but on different subcarriers</w:t>
      </w:r>
      <w:r w:rsidRPr="009C5807">
        <w:rPr>
          <w:rFonts w:cs="v4.2.0"/>
          <w:lang w:eastAsia="zh-CN"/>
        </w:rPr>
        <w:t xml:space="preserve">, </w:t>
      </w:r>
      <w:r w:rsidRPr="009C5807">
        <w:rPr>
          <w:rFonts w:cs="v4.2.0"/>
        </w:rPr>
        <w:t>as specified in clause 5.1.</w:t>
      </w:r>
      <w:r w:rsidRPr="009C5807">
        <w:rPr>
          <w:rFonts w:cs="v4.2.0"/>
          <w:lang w:eastAsia="zh-CN"/>
        </w:rPr>
        <w:t>2a</w:t>
      </w:r>
      <w:r w:rsidRPr="009C5807">
        <w:rPr>
          <w:rFonts w:cs="v4.2.0"/>
        </w:rPr>
        <w:t xml:space="preserve"> in TS 3</w:t>
      </w:r>
      <w:r w:rsidRPr="009C5807">
        <w:rPr>
          <w:rFonts w:cs="v4.2.0"/>
          <w:lang w:eastAsia="zh-CN"/>
        </w:rPr>
        <w:t>8</w:t>
      </w:r>
      <w:r w:rsidRPr="009C5807">
        <w:rPr>
          <w:rFonts w:cs="v4.2.0"/>
        </w:rPr>
        <w:t>.321 [7]</w:t>
      </w:r>
      <w:r w:rsidRPr="009C5807">
        <w:rPr>
          <w:rFonts w:cs="v4.2.0"/>
          <w:lang w:eastAsia="zh-CN"/>
        </w:rPr>
        <w:t>.</w:t>
      </w:r>
    </w:p>
    <w:p w14:paraId="0A6A00D6" w14:textId="77777777" w:rsidR="00064C2A" w:rsidRPr="009C5807" w:rsidRDefault="00064C2A" w:rsidP="00064C2A">
      <w:pPr>
        <w:rPr>
          <w:rFonts w:cs="v4.2.0"/>
          <w:lang w:eastAsia="zh-CN"/>
        </w:rPr>
      </w:pPr>
      <w:r w:rsidRPr="009C5807">
        <w:rPr>
          <w:rFonts w:cs="v4.2.0"/>
        </w:rPr>
        <w:t>In association with the MsgA PRACH, the UE should have the capability to transmit MsgA PUSCH on the corresponding PUSCH occasion associated with a DMRS resource, which is mapped from the MsgA PRACH ocasion, and preamble index as defined in clause 8.1A in TS 38.213 [3]</w:t>
      </w:r>
      <w:r w:rsidRPr="009C5807">
        <w:rPr>
          <w:rFonts w:cs="v4.2.0"/>
          <w:lang w:eastAsia="zh-CN"/>
        </w:rPr>
        <w:t>.</w:t>
      </w:r>
    </w:p>
    <w:p w14:paraId="1FAED6C1" w14:textId="77777777" w:rsidR="00064C2A" w:rsidRPr="009C5807" w:rsidRDefault="00064C2A" w:rsidP="009E6465">
      <w:pPr>
        <w:pStyle w:val="Heading6"/>
        <w:rPr>
          <w:lang w:eastAsia="zh-CN"/>
        </w:rPr>
      </w:pPr>
      <w:r w:rsidRPr="009C5807">
        <w:rPr>
          <w:lang w:eastAsia="zh-CN"/>
        </w:rPr>
        <w:t>6.2</w:t>
      </w:r>
      <w:r>
        <w:rPr>
          <w:rFonts w:hint="eastAsia"/>
          <w:lang w:eastAsia="zh-CN"/>
        </w:rPr>
        <w:t>C</w:t>
      </w:r>
      <w:r w:rsidRPr="009C5807">
        <w:rPr>
          <w:lang w:eastAsia="zh-CN"/>
        </w:rPr>
        <w:t>.2.3.2.2</w:t>
      </w:r>
      <w:r w:rsidRPr="009C5807">
        <w:rPr>
          <w:lang w:eastAsia="zh-CN"/>
        </w:rPr>
        <w:tab/>
        <w:t>Correct behaviour when receiving MsgB</w:t>
      </w:r>
    </w:p>
    <w:p w14:paraId="117168C2" w14:textId="77777777" w:rsidR="00064C2A" w:rsidRPr="009C5807" w:rsidRDefault="00064C2A" w:rsidP="00064C2A">
      <w:pPr>
        <w:rPr>
          <w:lang w:eastAsia="zh-CN"/>
        </w:rPr>
      </w:pPr>
      <w:r w:rsidRPr="009C5807">
        <w:t>The UE may stop monitoring for MsgB</w:t>
      </w:r>
      <w:r w:rsidRPr="009C5807">
        <w:rPr>
          <w:lang w:eastAsia="zh-CN"/>
        </w:rPr>
        <w:t xml:space="preserve">, </w:t>
      </w:r>
      <w:r w:rsidRPr="009C5807">
        <w:t xml:space="preserve">when </w:t>
      </w:r>
      <w:r w:rsidRPr="009C5807">
        <w:rPr>
          <w:lang w:eastAsia="zh-CN"/>
        </w:rPr>
        <w:t>the UE has successfully received the PDCCH addressed to UE as specified in clause 8.2A in TS 38.213 [3] containing a successRAR MAC subPDU or a fallbackRAR MAC subPDU as described in clause 5.1.4a in TS 38.321 [7]</w:t>
      </w:r>
      <w:r w:rsidRPr="009C5807">
        <w:t>.</w:t>
      </w:r>
    </w:p>
    <w:p w14:paraId="46CC8842" w14:textId="77777777" w:rsidR="00064C2A" w:rsidRPr="009C5807" w:rsidRDefault="00064C2A" w:rsidP="00064C2A">
      <w:pPr>
        <w:rPr>
          <w:rFonts w:cs="v4.2.0"/>
        </w:rPr>
      </w:pPr>
      <w:r w:rsidRPr="009C5807">
        <w:rPr>
          <w:rFonts w:cs="v4.2.0"/>
        </w:rPr>
        <w:t xml:space="preserve">If MsgB contains a fallbackRAR MAC subPDU the UE shall fallback to the 4-step RA type by transmitting the msg3 containing the payload of MsgA PUSCH as described in clause 8.2A in TS 38.213 [3]. </w:t>
      </w:r>
    </w:p>
    <w:p w14:paraId="2F942524" w14:textId="77777777" w:rsidR="00064C2A" w:rsidRDefault="00064C2A" w:rsidP="00064C2A">
      <w:pPr>
        <w:rPr>
          <w:rFonts w:cs="v4.2.0"/>
        </w:rPr>
      </w:pPr>
      <w:r>
        <w:rPr>
          <w:rFonts w:cs="v4.2.0"/>
        </w:rPr>
        <w:t xml:space="preserve">The UE shall </w:t>
      </w:r>
      <w:r>
        <w:rPr>
          <w:rFonts w:cs="v4.2.0"/>
          <w:lang w:eastAsia="zh-CN"/>
        </w:rPr>
        <w:t xml:space="preserve">again </w:t>
      </w:r>
      <w:r>
        <w:rPr>
          <w:rFonts w:cs="v4.2.0"/>
        </w:rPr>
        <w:t>perform the Random Access Resource selection procedure defined in clause 5.1.2a</w:t>
      </w:r>
      <w:r>
        <w:rPr>
          <w:rFonts w:cs="v4.2.0"/>
          <w:lang w:eastAsia="zh-CN"/>
        </w:rPr>
        <w:t xml:space="preserve"> </w:t>
      </w:r>
      <w:r>
        <w:rPr>
          <w:rFonts w:cs="v4.2.0"/>
        </w:rPr>
        <w:t>in TS 3</w:t>
      </w:r>
      <w:r>
        <w:rPr>
          <w:rFonts w:cs="v4.2.0"/>
          <w:lang w:eastAsia="zh-CN"/>
        </w:rPr>
        <w:t>8</w:t>
      </w:r>
      <w:r>
        <w:rPr>
          <w:rFonts w:cs="v4.2.0"/>
        </w:rPr>
        <w:t>.321 [7]</w:t>
      </w:r>
      <w:r>
        <w:rPr>
          <w:rFonts w:cs="v4.2.0"/>
          <w:lang w:eastAsia="zh-CN"/>
        </w:rPr>
        <w:t xml:space="preserve"> for the next available PRACH occasion, and </w:t>
      </w:r>
      <w:r>
        <w:t>transmit the preamble</w:t>
      </w:r>
      <w:r>
        <w:rPr>
          <w:i/>
        </w:rPr>
        <w:t xml:space="preserve"> </w:t>
      </w:r>
      <w:r>
        <w:rPr>
          <w:rFonts w:cs="v4.2.0"/>
        </w:rPr>
        <w:t>with the calculated</w:t>
      </w:r>
      <w:r>
        <w:rPr>
          <w:rFonts w:cs="v4.2.0" w:hint="eastAsia"/>
          <w:lang w:val="en-US" w:eastAsia="zh-CN"/>
        </w:rPr>
        <w:t xml:space="preserve"> MsgA</w:t>
      </w:r>
      <w:r>
        <w:rPr>
          <w:rFonts w:cs="v4.2.0"/>
        </w:rPr>
        <w:t xml:space="preserve"> PRACH</w:t>
      </w:r>
      <w:r>
        <w:rPr>
          <w:rFonts w:cs="v4.2.0" w:hint="eastAsia"/>
          <w:lang w:val="en-US" w:eastAsia="zh-CN"/>
        </w:rPr>
        <w:t xml:space="preserve"> and MsgA PUSCH</w:t>
      </w:r>
      <w:r>
        <w:rPr>
          <w:rFonts w:cs="v4.2.0"/>
        </w:rPr>
        <w:t xml:space="preserve"> transmission power</w:t>
      </w:r>
      <w:r>
        <w:t xml:space="preserve"> if all received MsgBs contain Random Access Preamble identifiers that do not match the transmitted Random Access Preamble.</w:t>
      </w:r>
    </w:p>
    <w:p w14:paraId="6161B5C3" w14:textId="77777777" w:rsidR="00064C2A" w:rsidRPr="009C5807" w:rsidRDefault="00064C2A" w:rsidP="009E6465">
      <w:pPr>
        <w:pStyle w:val="Heading6"/>
        <w:rPr>
          <w:lang w:eastAsia="zh-CN"/>
        </w:rPr>
      </w:pPr>
      <w:r w:rsidRPr="009C5807">
        <w:rPr>
          <w:lang w:eastAsia="zh-CN"/>
        </w:rPr>
        <w:t>6.2</w:t>
      </w:r>
      <w:r>
        <w:rPr>
          <w:rFonts w:hint="eastAsia"/>
          <w:lang w:eastAsia="zh-CN"/>
        </w:rPr>
        <w:t>C</w:t>
      </w:r>
      <w:r w:rsidRPr="009C5807">
        <w:rPr>
          <w:lang w:eastAsia="zh-CN"/>
        </w:rPr>
        <w:t>.2.3.2.3</w:t>
      </w:r>
      <w:r w:rsidRPr="009C5807">
        <w:rPr>
          <w:lang w:eastAsia="zh-CN"/>
        </w:rPr>
        <w:tab/>
        <w:t xml:space="preserve">Correct behaviour when not receiving </w:t>
      </w:r>
      <w:r>
        <w:rPr>
          <w:lang w:eastAsia="zh-CN"/>
        </w:rPr>
        <w:t>MsgB</w:t>
      </w:r>
    </w:p>
    <w:p w14:paraId="7C86D1F4" w14:textId="77777777" w:rsidR="00064C2A" w:rsidRDefault="00064C2A" w:rsidP="00064C2A">
      <w:pPr>
        <w:rPr>
          <w:lang w:eastAsia="zh-CN"/>
        </w:rPr>
      </w:pPr>
      <w:r>
        <w:rPr>
          <w:rFonts w:cs="v4.2.0"/>
        </w:rPr>
        <w:t xml:space="preserve">The UE shall </w:t>
      </w:r>
      <w:r>
        <w:rPr>
          <w:rFonts w:cs="v4.2.0"/>
          <w:lang w:eastAsia="zh-CN"/>
        </w:rPr>
        <w:t xml:space="preserve">again </w:t>
      </w:r>
      <w:r>
        <w:rPr>
          <w:rFonts w:cs="v4.2.0"/>
        </w:rPr>
        <w:t>perform the Random Access Resource selection procedure defined in clause 5.1.2a</w:t>
      </w:r>
      <w:r>
        <w:rPr>
          <w:rFonts w:cs="v4.2.0"/>
          <w:lang w:eastAsia="zh-CN"/>
        </w:rPr>
        <w:t xml:space="preserve"> </w:t>
      </w:r>
      <w:r>
        <w:rPr>
          <w:rFonts w:cs="v4.2.0"/>
        </w:rPr>
        <w:t>in TS 3</w:t>
      </w:r>
      <w:r>
        <w:rPr>
          <w:rFonts w:cs="v4.2.0"/>
          <w:lang w:eastAsia="zh-CN"/>
        </w:rPr>
        <w:t>8</w:t>
      </w:r>
      <w:r>
        <w:rPr>
          <w:rFonts w:cs="v4.2.0"/>
        </w:rPr>
        <w:t>.321 [7]</w:t>
      </w:r>
      <w:r>
        <w:rPr>
          <w:rFonts w:cs="v4.2.0"/>
          <w:lang w:eastAsia="zh-CN"/>
        </w:rPr>
        <w:t xml:space="preserve"> for the next available PRACH occasion,</w:t>
      </w:r>
      <w:r>
        <w:t xml:space="preserve"> </w:t>
      </w:r>
      <w:r>
        <w:rPr>
          <w:lang w:eastAsia="zh-CN"/>
        </w:rPr>
        <w:t>and</w:t>
      </w:r>
      <w:r>
        <w:t xml:space="preserve"> transmit MsgA</w:t>
      </w:r>
      <w:r>
        <w:rPr>
          <w:rFonts w:cs="v4.2.0"/>
        </w:rPr>
        <w:t xml:space="preserve"> with the calculated MsgA</w:t>
      </w:r>
      <w:r>
        <w:rPr>
          <w:rFonts w:cs="v4.2.0" w:hint="eastAsia"/>
          <w:lang w:val="en-US" w:eastAsia="zh-CN"/>
        </w:rPr>
        <w:t xml:space="preserve"> PRACH and MsgA PUSCH</w:t>
      </w:r>
      <w:r>
        <w:rPr>
          <w:rFonts w:cs="v4.2.0"/>
        </w:rPr>
        <w:t xml:space="preserve"> transmission power</w:t>
      </w:r>
      <w:r>
        <w:rPr>
          <w:rFonts w:cs="v4.2.0"/>
          <w:lang w:eastAsia="zh-CN"/>
        </w:rPr>
        <w:t xml:space="preserve">, </w:t>
      </w:r>
      <w:r>
        <w:rPr>
          <w:lang w:eastAsia="zh-CN"/>
        </w:rPr>
        <w:t xml:space="preserve">if no MsgB is received within the MsgB Response window configured in </w:t>
      </w:r>
      <w:r>
        <w:rPr>
          <w:i/>
          <w:iCs/>
        </w:rPr>
        <w:t>RACH-ConfigGenericTwoStepRA</w:t>
      </w:r>
      <w:r>
        <w:rPr>
          <w:lang w:eastAsia="zh-CN"/>
        </w:rPr>
        <w:t xml:space="preserve"> and the Random Access Response Reception has not been considered as successful as</w:t>
      </w:r>
      <w:r>
        <w:t xml:space="preserve"> defined in clause 5.1.4a </w:t>
      </w:r>
      <w:r>
        <w:rPr>
          <w:lang w:eastAsia="zh-CN"/>
        </w:rPr>
        <w:t xml:space="preserve">in </w:t>
      </w:r>
      <w:r>
        <w:t>TS 3</w:t>
      </w:r>
      <w:r>
        <w:rPr>
          <w:lang w:eastAsia="zh-CN"/>
        </w:rPr>
        <w:t>8</w:t>
      </w:r>
      <w:r>
        <w:t>.321</w:t>
      </w:r>
      <w:r>
        <w:rPr>
          <w:lang w:eastAsia="zh-CN"/>
        </w:rPr>
        <w:t xml:space="preserve"> [7]</w:t>
      </w:r>
      <w:r>
        <w:t>.</w:t>
      </w:r>
    </w:p>
    <w:p w14:paraId="5B316EDB" w14:textId="77777777" w:rsidR="00064C2A" w:rsidRPr="009C5807" w:rsidRDefault="00064C2A" w:rsidP="00064C2A">
      <w:pPr>
        <w:pStyle w:val="Heading3"/>
        <w:rPr>
          <w:lang w:val="en-US" w:eastAsia="zh-CN"/>
        </w:rPr>
      </w:pPr>
      <w:r w:rsidRPr="009C5807">
        <w:rPr>
          <w:lang w:val="en-US" w:eastAsia="ko-KR"/>
        </w:rPr>
        <w:t>6.2</w:t>
      </w:r>
      <w:r>
        <w:rPr>
          <w:rFonts w:hint="eastAsia"/>
          <w:lang w:val="en-US" w:eastAsia="zh-CN"/>
        </w:rPr>
        <w:t>C</w:t>
      </w:r>
      <w:r w:rsidRPr="009C5807">
        <w:rPr>
          <w:lang w:val="en-US" w:eastAsia="ko-KR"/>
        </w:rPr>
        <w:t>.3</w:t>
      </w:r>
      <w:r w:rsidRPr="009C5807">
        <w:rPr>
          <w:lang w:val="en-US" w:eastAsia="ko-KR"/>
        </w:rPr>
        <w:tab/>
        <w:t>SA: RRC Connection Release with Redirection</w:t>
      </w:r>
      <w:r>
        <w:rPr>
          <w:rFonts w:hint="eastAsia"/>
          <w:lang w:val="en-US" w:eastAsia="zh-CN"/>
        </w:rPr>
        <w:t xml:space="preserve"> for </w:t>
      </w:r>
      <w:r>
        <w:t>Satellite Access</w:t>
      </w:r>
    </w:p>
    <w:p w14:paraId="1276B315" w14:textId="77777777" w:rsidR="00064C2A" w:rsidRPr="009C5807" w:rsidRDefault="00064C2A" w:rsidP="00064C2A">
      <w:pPr>
        <w:pStyle w:val="Heading4"/>
        <w:rPr>
          <w:lang w:val="en-US" w:eastAsia="zh-CN"/>
        </w:rPr>
      </w:pPr>
      <w:r w:rsidRPr="009C5807">
        <w:rPr>
          <w:lang w:val="en-US" w:eastAsia="zh-CN"/>
        </w:rPr>
        <w:t>6.2</w:t>
      </w:r>
      <w:r>
        <w:rPr>
          <w:rFonts w:hint="eastAsia"/>
          <w:lang w:val="en-US" w:eastAsia="zh-CN"/>
        </w:rPr>
        <w:t>C</w:t>
      </w:r>
      <w:r w:rsidRPr="009C5807">
        <w:rPr>
          <w:lang w:val="en-US" w:eastAsia="zh-CN"/>
        </w:rPr>
        <w:t>.3.1</w:t>
      </w:r>
      <w:r w:rsidRPr="009C5807">
        <w:rPr>
          <w:lang w:val="en-US" w:eastAsia="zh-CN"/>
        </w:rPr>
        <w:tab/>
        <w:t>Introduction</w:t>
      </w:r>
    </w:p>
    <w:p w14:paraId="6EC0F934" w14:textId="77777777" w:rsidR="00064C2A" w:rsidRPr="00584C64" w:rsidRDefault="00064C2A" w:rsidP="00064C2A">
      <w:pPr>
        <w:rPr>
          <w:lang w:val="en-US" w:eastAsia="zh-CN"/>
        </w:rPr>
      </w:pPr>
      <w:r w:rsidRPr="009C5807">
        <w:rPr>
          <w:lang w:val="en-US" w:eastAsia="zh-CN"/>
        </w:rPr>
        <w:t xml:space="preserve">This clause contains requirements on the UE regarding RRC connection release with redirection procedure. RRC connection release with redirection is initiated by the </w:t>
      </w:r>
      <w:r w:rsidRPr="009C5807">
        <w:rPr>
          <w:rFonts w:hint="eastAsia"/>
          <w:i/>
          <w:lang w:val="en-US" w:eastAsia="zh-CN"/>
        </w:rPr>
        <w:t>RRCRelease</w:t>
      </w:r>
      <w:r w:rsidRPr="009C5807">
        <w:rPr>
          <w:lang w:val="en-US" w:eastAsia="zh-CN"/>
        </w:rPr>
        <w:t xml:space="preserve"> message with redirection to NR from NR specified in TS 38.331 [2]. The RRC connection release with redirection procedure is specified in clause 5.3.8 of TS 38.331 [2].</w:t>
      </w:r>
    </w:p>
    <w:p w14:paraId="7C253227" w14:textId="77777777" w:rsidR="00064C2A" w:rsidRPr="009C5807" w:rsidRDefault="00064C2A" w:rsidP="00064C2A">
      <w:pPr>
        <w:pStyle w:val="Heading4"/>
        <w:rPr>
          <w:lang w:val="en-US" w:eastAsia="zh-CN"/>
        </w:rPr>
      </w:pPr>
      <w:r w:rsidRPr="009C5807">
        <w:rPr>
          <w:lang w:val="en-US" w:eastAsia="zh-CN"/>
        </w:rPr>
        <w:t>6.2</w:t>
      </w:r>
      <w:r>
        <w:rPr>
          <w:rFonts w:hint="eastAsia"/>
          <w:lang w:val="en-US" w:eastAsia="zh-CN"/>
        </w:rPr>
        <w:t>C</w:t>
      </w:r>
      <w:r w:rsidRPr="009C5807">
        <w:rPr>
          <w:lang w:val="en-US" w:eastAsia="zh-CN"/>
        </w:rPr>
        <w:t>.3.2</w:t>
      </w:r>
      <w:r w:rsidRPr="009C5807">
        <w:rPr>
          <w:lang w:val="en-US" w:eastAsia="zh-CN"/>
        </w:rPr>
        <w:tab/>
        <w:t>Requirements</w:t>
      </w:r>
    </w:p>
    <w:p w14:paraId="3A020285" w14:textId="77777777" w:rsidR="00064C2A" w:rsidRPr="009C5807" w:rsidRDefault="00064C2A" w:rsidP="00064C2A">
      <w:pPr>
        <w:pStyle w:val="Heading5"/>
        <w:rPr>
          <w:lang w:val="en-US" w:eastAsia="zh-CN"/>
        </w:rPr>
      </w:pPr>
      <w:r w:rsidRPr="009C5807">
        <w:rPr>
          <w:lang w:val="en-US" w:eastAsia="zh-CN"/>
        </w:rPr>
        <w:t>6.2</w:t>
      </w:r>
      <w:r>
        <w:rPr>
          <w:rFonts w:hint="eastAsia"/>
          <w:lang w:val="en-US" w:eastAsia="zh-CN"/>
        </w:rPr>
        <w:t>C</w:t>
      </w:r>
      <w:r w:rsidRPr="009C5807">
        <w:rPr>
          <w:lang w:val="en-US" w:eastAsia="zh-CN"/>
        </w:rPr>
        <w:t>.3.2.1</w:t>
      </w:r>
      <w:r w:rsidRPr="009C5807">
        <w:rPr>
          <w:lang w:val="en-US" w:eastAsia="zh-CN"/>
        </w:rPr>
        <w:tab/>
        <w:t>RRC connection release with redirection to NR</w:t>
      </w:r>
    </w:p>
    <w:p w14:paraId="7A2787FF" w14:textId="77777777" w:rsidR="00064C2A" w:rsidRPr="009C5807" w:rsidRDefault="00064C2A" w:rsidP="00064C2A">
      <w:pPr>
        <w:rPr>
          <w:lang w:eastAsia="ko-KR"/>
        </w:rPr>
      </w:pPr>
      <w:r w:rsidRPr="009C5807">
        <w:rPr>
          <w:lang w:eastAsia="ko-KR"/>
        </w:rPr>
        <w:t>The UE shall be capable of performing the RRC connection release with redirection to the target NR cell within T</w:t>
      </w:r>
      <w:r w:rsidRPr="009C5807">
        <w:rPr>
          <w:vertAlign w:val="subscript"/>
          <w:lang w:eastAsia="ko-KR"/>
        </w:rPr>
        <w:t>connection_release_redirect_NR</w:t>
      </w:r>
      <w:r w:rsidRPr="009C5807">
        <w:rPr>
          <w:lang w:eastAsia="ko-KR"/>
        </w:rPr>
        <w:t>.</w:t>
      </w:r>
    </w:p>
    <w:p w14:paraId="5999401D" w14:textId="77777777" w:rsidR="00064C2A" w:rsidRPr="009C5807" w:rsidRDefault="00064C2A" w:rsidP="00064C2A">
      <w:pPr>
        <w:rPr>
          <w:lang w:eastAsia="ko-KR"/>
        </w:rPr>
      </w:pPr>
      <w:r w:rsidRPr="009C5807">
        <w:rPr>
          <w:rFonts w:cs="v4.2.0"/>
          <w:lang w:eastAsia="ko-KR"/>
        </w:rPr>
        <w:t>The time delay (</w:t>
      </w:r>
      <w:r w:rsidRPr="009C5807">
        <w:rPr>
          <w:lang w:eastAsia="ko-KR"/>
        </w:rPr>
        <w:t>T</w:t>
      </w:r>
      <w:r w:rsidRPr="009C5807">
        <w:rPr>
          <w:vertAlign w:val="subscript"/>
          <w:lang w:eastAsia="ko-KR"/>
        </w:rPr>
        <w:t>connection_release_redirect_NR</w:t>
      </w:r>
      <w:r w:rsidRPr="009C5807">
        <w:rPr>
          <w:rFonts w:cs="v4.2.0"/>
          <w:lang w:eastAsia="ko-KR"/>
        </w:rPr>
        <w:t xml:space="preserve">) </w:t>
      </w:r>
      <w:r w:rsidRPr="009C5807">
        <w:rPr>
          <w:lang w:eastAsia="ko-KR"/>
        </w:rPr>
        <w:t>is the time between the end of the last slot containing the RRC command, “</w:t>
      </w:r>
      <w:r w:rsidRPr="009C5807">
        <w:rPr>
          <w:i/>
          <w:lang w:eastAsia="ko-KR"/>
        </w:rPr>
        <w:t>RRCRelease</w:t>
      </w:r>
      <w:r w:rsidRPr="009C5807">
        <w:rPr>
          <w:lang w:eastAsia="ko-KR"/>
        </w:rPr>
        <w:t xml:space="preserve">” (TS 38.331 [2]) on the NR PDSCH and the time the UE starts to send random access to the target NR cell. </w:t>
      </w:r>
      <w:r w:rsidRPr="009C5807">
        <w:rPr>
          <w:rFonts w:cs="v4.2.0"/>
          <w:lang w:eastAsia="ko-KR"/>
        </w:rPr>
        <w:t>The time delay (</w:t>
      </w:r>
      <w:r w:rsidRPr="009C5807">
        <w:rPr>
          <w:lang w:eastAsia="ko-KR"/>
        </w:rPr>
        <w:t>T</w:t>
      </w:r>
      <w:r w:rsidRPr="009C5807">
        <w:rPr>
          <w:vertAlign w:val="subscript"/>
          <w:lang w:eastAsia="ko-KR"/>
        </w:rPr>
        <w:t>connection_release_redirect_NR</w:t>
      </w:r>
      <w:r w:rsidRPr="009C5807">
        <w:rPr>
          <w:rFonts w:cs="v4.2.0"/>
          <w:lang w:eastAsia="ko-KR"/>
        </w:rPr>
        <w:t xml:space="preserve">) </w:t>
      </w:r>
      <w:r w:rsidRPr="009C5807">
        <w:rPr>
          <w:lang w:eastAsia="ko-KR"/>
        </w:rPr>
        <w:t>shall be less than:</w:t>
      </w:r>
    </w:p>
    <w:p w14:paraId="673D89C0" w14:textId="77777777" w:rsidR="00064C2A" w:rsidRPr="009C5807" w:rsidRDefault="00064C2A" w:rsidP="00064C2A">
      <w:pPr>
        <w:pStyle w:val="EQ"/>
        <w:rPr>
          <w:rFonts w:cs="v4.2.0"/>
          <w:vertAlign w:val="subscript"/>
        </w:rPr>
      </w:pPr>
      <w:r w:rsidRPr="009C5807">
        <w:tab/>
        <w:t>T</w:t>
      </w:r>
      <w:r w:rsidRPr="009C5807">
        <w:rPr>
          <w:vertAlign w:val="subscript"/>
        </w:rPr>
        <w:t>connection_release_redirect_NR</w:t>
      </w:r>
      <w:r w:rsidRPr="009C5807">
        <w:t xml:space="preserve"> = T</w:t>
      </w:r>
      <w:r w:rsidRPr="009C5807">
        <w:rPr>
          <w:vertAlign w:val="subscript"/>
        </w:rPr>
        <w:t xml:space="preserve">RRC_procedure_delay </w:t>
      </w:r>
      <w:r w:rsidRPr="009C5807">
        <w:t xml:space="preserve">+ </w:t>
      </w:r>
      <w:r w:rsidRPr="009C5807">
        <w:rPr>
          <w:rFonts w:cs="v4.2.0"/>
        </w:rPr>
        <w:t>T</w:t>
      </w:r>
      <w:r w:rsidRPr="009C5807">
        <w:rPr>
          <w:rFonts w:cs="v4.2.0"/>
          <w:vertAlign w:val="subscript"/>
        </w:rPr>
        <w:t xml:space="preserve">identify-NR </w:t>
      </w:r>
      <w:r w:rsidRPr="009C5807">
        <w:rPr>
          <w:rFonts w:cs="v4.2.0"/>
        </w:rPr>
        <w:t>+ T</w:t>
      </w:r>
      <w:r w:rsidRPr="009C5807">
        <w:rPr>
          <w:rFonts w:cs="v4.2.0"/>
          <w:vertAlign w:val="subscript"/>
        </w:rPr>
        <w:t xml:space="preserve">SI-NR </w:t>
      </w:r>
      <w:r w:rsidRPr="009C5807">
        <w:rPr>
          <w:rFonts w:cs="v4.2.0"/>
        </w:rPr>
        <w:t>+ T</w:t>
      </w:r>
      <w:r w:rsidRPr="009C5807">
        <w:rPr>
          <w:rFonts w:cs="v4.2.0"/>
          <w:vertAlign w:val="subscript"/>
        </w:rPr>
        <w:t>RACH</w:t>
      </w:r>
    </w:p>
    <w:p w14:paraId="3EDA7633" w14:textId="77777777" w:rsidR="00064C2A" w:rsidRPr="009C5807" w:rsidRDefault="00064C2A" w:rsidP="00064C2A">
      <w:pPr>
        <w:rPr>
          <w:lang w:eastAsia="ko-KR"/>
        </w:rPr>
      </w:pPr>
      <w:r w:rsidRPr="009C5807">
        <w:rPr>
          <w:lang w:eastAsia="ko-KR"/>
        </w:rPr>
        <w:t>The target NR cell shall be considered detetable when for each relevant SSB, the side conditions should be met that,</w:t>
      </w:r>
    </w:p>
    <w:p w14:paraId="5DF54822" w14:textId="77777777" w:rsidR="00064C2A" w:rsidRPr="009C5807" w:rsidRDefault="00064C2A" w:rsidP="00225AA6">
      <w:pPr>
        <w:pStyle w:val="B10"/>
        <w:rPr>
          <w:lang w:eastAsia="ko-KR"/>
        </w:rPr>
      </w:pPr>
      <w:r>
        <w:rPr>
          <w:lang w:eastAsia="zh-CN"/>
        </w:rPr>
        <w:t>-</w:t>
      </w:r>
      <w:r>
        <w:rPr>
          <w:lang w:eastAsia="zh-CN"/>
        </w:rPr>
        <w:tab/>
      </w:r>
      <w:r w:rsidRPr="009C5807">
        <w:rPr>
          <w:rFonts w:hint="eastAsia"/>
          <w:lang w:eastAsia="zh-CN"/>
        </w:rPr>
        <w:t xml:space="preserve">the conditions of </w:t>
      </w:r>
      <w:r w:rsidRPr="009C5807">
        <w:rPr>
          <w:lang w:eastAsia="ko-KR"/>
        </w:rPr>
        <w:t xml:space="preserve">SSB_RP and SSB </w:t>
      </w:r>
      <w:r w:rsidRPr="009C5807">
        <w:rPr>
          <w:lang w:val="en-US"/>
        </w:rPr>
        <w:t>Ês/Iot</w:t>
      </w:r>
      <w:r w:rsidRPr="009C5807">
        <w:rPr>
          <w:lang w:eastAsia="ko-KR"/>
        </w:rPr>
        <w:t xml:space="preserve"> according to Annex B.2.5 for a corresponding NR Band</w:t>
      </w:r>
      <w:r w:rsidRPr="009C5807">
        <w:rPr>
          <w:rFonts w:hint="eastAsia"/>
          <w:lang w:eastAsia="zh-CN"/>
        </w:rPr>
        <w:t xml:space="preserve"> are fulfilled</w:t>
      </w:r>
      <w:r w:rsidRPr="009C5807">
        <w:rPr>
          <w:lang w:eastAsia="ko-KR"/>
        </w:rPr>
        <w:t>.</w:t>
      </w:r>
      <w:r w:rsidRPr="009C5807" w:rsidDel="002216F6">
        <w:rPr>
          <w:lang w:eastAsia="ko-KR"/>
        </w:rPr>
        <w:t xml:space="preserve"> </w:t>
      </w:r>
    </w:p>
    <w:p w14:paraId="25DD36BD" w14:textId="6BC8F390" w:rsidR="00064C2A" w:rsidRPr="009C5807" w:rsidRDefault="00225AA6" w:rsidP="00225AA6">
      <w:pPr>
        <w:pStyle w:val="B10"/>
        <w:rPr>
          <w:lang w:eastAsia="ko-KR"/>
        </w:rPr>
      </w:pPr>
      <w:r>
        <w:rPr>
          <w:lang w:eastAsia="ko-KR"/>
        </w:rPr>
        <w:t>-</w:t>
      </w:r>
      <w:r>
        <w:rPr>
          <w:lang w:eastAsia="ko-KR"/>
        </w:rPr>
        <w:tab/>
      </w:r>
      <w:r w:rsidR="00064C2A" w:rsidRPr="009C5807">
        <w:rPr>
          <w:lang w:eastAsia="ko-KR"/>
        </w:rPr>
        <w:t>T</w:t>
      </w:r>
      <w:r w:rsidR="00064C2A" w:rsidRPr="009C5807">
        <w:rPr>
          <w:vertAlign w:val="subscript"/>
          <w:lang w:eastAsia="ko-KR"/>
        </w:rPr>
        <w:t>RRC_procedure_delay</w:t>
      </w:r>
      <w:r w:rsidR="00064C2A" w:rsidRPr="009C5807">
        <w:rPr>
          <w:lang w:eastAsia="ko-KR"/>
        </w:rPr>
        <w:t>: It is the RRC procedure delay for processing the received message “</w:t>
      </w:r>
      <w:r w:rsidR="00064C2A" w:rsidRPr="009C5807">
        <w:rPr>
          <w:i/>
          <w:lang w:eastAsia="ko-KR"/>
        </w:rPr>
        <w:t>RRCRelease</w:t>
      </w:r>
      <w:r w:rsidR="00064C2A" w:rsidRPr="009C5807">
        <w:rPr>
          <w:lang w:eastAsia="ko-KR"/>
        </w:rPr>
        <w:t>” as defined in clause 6.2.2 of TS 38.331 [2].</w:t>
      </w:r>
    </w:p>
    <w:p w14:paraId="3289CA33" w14:textId="1734D9A5" w:rsidR="00064C2A" w:rsidRPr="009C5807" w:rsidRDefault="00225AA6" w:rsidP="00225AA6">
      <w:pPr>
        <w:pStyle w:val="B10"/>
        <w:rPr>
          <w:lang w:eastAsia="ko-KR"/>
        </w:rPr>
      </w:pPr>
      <w:r>
        <w:rPr>
          <w:lang w:eastAsia="ko-KR"/>
        </w:rPr>
        <w:t>-</w:t>
      </w:r>
      <w:r>
        <w:rPr>
          <w:lang w:eastAsia="ko-KR"/>
        </w:rPr>
        <w:tab/>
      </w:r>
      <w:r w:rsidR="00064C2A" w:rsidRPr="009C5807">
        <w:rPr>
          <w:lang w:eastAsia="ko-KR"/>
        </w:rPr>
        <w:t>T</w:t>
      </w:r>
      <w:r w:rsidR="00064C2A" w:rsidRPr="009C5807">
        <w:rPr>
          <w:vertAlign w:val="subscript"/>
          <w:lang w:eastAsia="ko-KR"/>
        </w:rPr>
        <w:t>identify-NR</w:t>
      </w:r>
      <w:r w:rsidR="00064C2A" w:rsidRPr="009C5807">
        <w:rPr>
          <w:lang w:eastAsia="ko-KR"/>
        </w:rPr>
        <w:t xml:space="preserve">: It is the time to identify the target NR cell and depends on the FR of the target NR cell. It is defined in </w:t>
      </w:r>
      <w:r w:rsidR="00064C2A" w:rsidRPr="009C5807">
        <w:rPr>
          <w:rFonts w:hint="eastAsia"/>
          <w:lang w:eastAsia="zh-CN"/>
        </w:rPr>
        <w:t>T</w:t>
      </w:r>
      <w:r w:rsidR="00064C2A" w:rsidRPr="009C5807">
        <w:rPr>
          <w:lang w:eastAsia="ko-KR"/>
        </w:rPr>
        <w:t>able 6.2</w:t>
      </w:r>
      <w:r w:rsidR="00064C2A">
        <w:rPr>
          <w:rFonts w:hint="eastAsia"/>
          <w:lang w:eastAsia="zh-CN"/>
        </w:rPr>
        <w:t>C</w:t>
      </w:r>
      <w:r w:rsidR="00064C2A" w:rsidRPr="009C5807">
        <w:rPr>
          <w:lang w:eastAsia="ko-KR"/>
        </w:rPr>
        <w:t>.3.2.1-1. Note that T</w:t>
      </w:r>
      <w:r w:rsidR="00064C2A" w:rsidRPr="009C5807">
        <w:rPr>
          <w:vertAlign w:val="subscript"/>
          <w:lang w:eastAsia="ko-KR"/>
        </w:rPr>
        <w:t>identify-NR</w:t>
      </w:r>
      <w:r w:rsidR="00064C2A" w:rsidRPr="009C5807">
        <w:rPr>
          <w:lang w:eastAsia="ko-KR"/>
        </w:rPr>
        <w:t xml:space="preserve"> = T</w:t>
      </w:r>
      <w:r w:rsidR="00064C2A" w:rsidRPr="009C5807">
        <w:rPr>
          <w:vertAlign w:val="subscript"/>
          <w:lang w:eastAsia="ko-KR"/>
        </w:rPr>
        <w:t>PSS/SSS-sync</w:t>
      </w:r>
      <w:r w:rsidR="00064C2A" w:rsidRPr="009C5807">
        <w:rPr>
          <w:lang w:eastAsia="ko-KR"/>
        </w:rPr>
        <w:t xml:space="preserve"> + T</w:t>
      </w:r>
      <w:r w:rsidR="00064C2A" w:rsidRPr="009C5807">
        <w:rPr>
          <w:vertAlign w:val="subscript"/>
          <w:lang w:eastAsia="ko-KR"/>
        </w:rPr>
        <w:t>meas</w:t>
      </w:r>
      <w:r w:rsidR="00064C2A" w:rsidRPr="009C5807">
        <w:rPr>
          <w:lang w:eastAsia="ko-KR"/>
        </w:rPr>
        <w:t>, in which T</w:t>
      </w:r>
      <w:r w:rsidR="00064C2A" w:rsidRPr="009C5807">
        <w:rPr>
          <w:vertAlign w:val="subscript"/>
          <w:lang w:eastAsia="ko-KR"/>
        </w:rPr>
        <w:t>PSS/SSS-sync</w:t>
      </w:r>
      <w:r w:rsidR="00064C2A" w:rsidRPr="009C5807">
        <w:rPr>
          <w:lang w:eastAsia="ko-KR"/>
        </w:rPr>
        <w:t xml:space="preserve"> is the cell search time and T</w:t>
      </w:r>
      <w:r w:rsidR="00064C2A" w:rsidRPr="009C5807">
        <w:rPr>
          <w:vertAlign w:val="subscript"/>
          <w:lang w:eastAsia="ko-KR"/>
        </w:rPr>
        <w:t>meas</w:t>
      </w:r>
      <w:r w:rsidR="00064C2A" w:rsidRPr="009C5807">
        <w:rPr>
          <w:lang w:eastAsia="ko-KR"/>
        </w:rPr>
        <w:t xml:space="preserve"> is the measurement time due to cell selection criteria evaluation.</w:t>
      </w:r>
    </w:p>
    <w:p w14:paraId="6B1EE2B0" w14:textId="618E4C02" w:rsidR="00064C2A" w:rsidRPr="009C5807" w:rsidRDefault="00225AA6" w:rsidP="00225AA6">
      <w:pPr>
        <w:pStyle w:val="B10"/>
        <w:rPr>
          <w:rFonts w:eastAsia="Malgun Gothic"/>
          <w:lang w:eastAsia="ko-KR"/>
        </w:rPr>
      </w:pPr>
      <w:r>
        <w:rPr>
          <w:lang w:eastAsia="ko-KR"/>
        </w:rPr>
        <w:t>-</w:t>
      </w:r>
      <w:r>
        <w:rPr>
          <w:lang w:eastAsia="ko-KR"/>
        </w:rPr>
        <w:tab/>
      </w:r>
      <w:r w:rsidR="00064C2A" w:rsidRPr="009C5807">
        <w:rPr>
          <w:lang w:eastAsia="ko-KR"/>
        </w:rPr>
        <w:t>T</w:t>
      </w:r>
      <w:r w:rsidR="00064C2A" w:rsidRPr="009C5807">
        <w:rPr>
          <w:vertAlign w:val="subscript"/>
          <w:lang w:eastAsia="ko-KR"/>
        </w:rPr>
        <w:t>SI-NR</w:t>
      </w:r>
      <w:r w:rsidR="00064C2A" w:rsidRPr="009C5807">
        <w:rPr>
          <w:lang w:eastAsia="ko-KR"/>
        </w:rPr>
        <w:t>: It is the time required for acquiring all the relevant system information of the target NR cell. This time depends upon whether the UE is provided with the relevant system information of the target NR cell or not by the old NR cell before the RRC connection is released. T</w:t>
      </w:r>
      <w:r w:rsidR="00064C2A" w:rsidRPr="009C5807">
        <w:rPr>
          <w:vertAlign w:val="subscript"/>
          <w:lang w:eastAsia="ko-KR"/>
        </w:rPr>
        <w:t>RACH</w:t>
      </w:r>
      <w:r w:rsidR="00064C2A" w:rsidRPr="009C5807">
        <w:rPr>
          <w:rFonts w:hint="eastAsia"/>
          <w:vertAlign w:val="subscript"/>
          <w:lang w:eastAsia="zh-CN"/>
        </w:rPr>
        <w:t>:</w:t>
      </w:r>
      <w:r w:rsidR="00064C2A" w:rsidRPr="009C5807">
        <w:rPr>
          <w:vertAlign w:val="subscript"/>
          <w:lang w:eastAsia="zh-CN"/>
        </w:rPr>
        <w:t xml:space="preserve"> </w:t>
      </w:r>
      <w:r w:rsidR="00064C2A" w:rsidRPr="009C5807">
        <w:rPr>
          <w:lang w:eastAsia="ko-KR"/>
        </w:rPr>
        <w:t>It is the delay uncertainty in acquiring the first available PRACH occasion in the target NR cell. T</w:t>
      </w:r>
      <w:r w:rsidR="00064C2A" w:rsidRPr="009C5807">
        <w:rPr>
          <w:vertAlign w:val="subscript"/>
          <w:lang w:eastAsia="ko-KR"/>
        </w:rPr>
        <w:t>RACH</w:t>
      </w:r>
      <w:r w:rsidR="00064C2A" w:rsidRPr="009C5807">
        <w:rPr>
          <w:lang w:eastAsia="ko-KR"/>
        </w:rPr>
        <w:t xml:space="preserve"> can be up to the summation of SSB to PRACH occasion association period and 10 ms. SSB to PRACH occasion associated period is defined in the table 8.1-1 of TS 38.213 [3].</w:t>
      </w:r>
    </w:p>
    <w:p w14:paraId="1AEB63D0" w14:textId="2B06C3FE" w:rsidR="00064C2A" w:rsidRPr="009C5807" w:rsidRDefault="00225AA6" w:rsidP="00225AA6">
      <w:pPr>
        <w:pStyle w:val="B10"/>
      </w:pPr>
      <w:r>
        <w:rPr>
          <w:lang w:eastAsia="ko-KR"/>
        </w:rPr>
        <w:t>-</w:t>
      </w:r>
      <w:r>
        <w:rPr>
          <w:lang w:eastAsia="ko-KR"/>
        </w:rPr>
        <w:tab/>
      </w:r>
      <w:r w:rsidR="00064C2A" w:rsidRPr="009C5807">
        <w:rPr>
          <w:lang w:eastAsia="ko-KR"/>
        </w:rPr>
        <w:t>T</w:t>
      </w:r>
      <w:r w:rsidR="00064C2A" w:rsidRPr="009C5807">
        <w:rPr>
          <w:vertAlign w:val="subscript"/>
          <w:lang w:eastAsia="ko-KR"/>
        </w:rPr>
        <w:t>rs</w:t>
      </w:r>
      <w:r w:rsidR="00064C2A" w:rsidRPr="009C5807">
        <w:rPr>
          <w:lang w:eastAsia="ko-KR"/>
        </w:rPr>
        <w:t xml:space="preserve"> is the SMTC periodicity of the target NR cell if the UE has been provided with an SMTC configuration for the target cell in the redirection command, otherwise </w:t>
      </w:r>
      <w:r w:rsidR="00064C2A" w:rsidRPr="009C5807">
        <w:t>T</w:t>
      </w:r>
      <w:r w:rsidR="00064C2A" w:rsidRPr="009C5807">
        <w:rPr>
          <w:vertAlign w:val="subscript"/>
        </w:rPr>
        <w:t>rs</w:t>
      </w:r>
      <w:r w:rsidR="00064C2A" w:rsidRPr="009C5807">
        <w:t xml:space="preserve"> is the SMTC periodicity configured in the </w:t>
      </w:r>
      <w:r w:rsidR="00064C2A" w:rsidRPr="009C5807">
        <w:rPr>
          <w:i/>
        </w:rPr>
        <w:t>measObjectNR</w:t>
      </w:r>
      <w:r w:rsidR="00064C2A" w:rsidRPr="009C5807">
        <w:t xml:space="preserve"> having the same SSB frequency and subcarrier spacing configured for the RRC connection release with redirection. </w:t>
      </w:r>
      <w:r w:rsidR="00064C2A" w:rsidRPr="006C4DD4">
        <w:t xml:space="preserve">If </w:t>
      </w:r>
      <w:r w:rsidR="00064C2A">
        <w:t>the</w:t>
      </w:r>
      <w:r w:rsidR="00064C2A" w:rsidRPr="006C4DD4">
        <w:t xml:space="preserve"> measObjectNRs</w:t>
      </w:r>
      <w:r w:rsidR="00064C2A">
        <w:t xml:space="preserve"> </w:t>
      </w:r>
      <w:r w:rsidR="00064C2A" w:rsidRPr="00B910B8">
        <w:t>having the same SSB frequency and subcarrier spacing</w:t>
      </w:r>
      <w:r w:rsidR="00064C2A" w:rsidRPr="006C4DD4">
        <w:t xml:space="preserve"> configured by MN and SN have different SMTC, T</w:t>
      </w:r>
      <w:r w:rsidR="00064C2A" w:rsidRPr="00301B77">
        <w:rPr>
          <w:vertAlign w:val="subscript"/>
        </w:rPr>
        <w:t>rs</w:t>
      </w:r>
      <w:r w:rsidR="00064C2A" w:rsidRPr="006C4DD4">
        <w:t xml:space="preserve"> is the periodicity of one of the SMTC which is up to UE implementation</w:t>
      </w:r>
      <w:r w:rsidR="00064C2A">
        <w:t xml:space="preserve">. </w:t>
      </w:r>
      <w:r w:rsidR="00064C2A" w:rsidRPr="009C5807">
        <w:t>If the UE is not provided with SMTC configuration or measurement object for the frequency which is also configured for the RRC connection release with redirection then:</w:t>
      </w:r>
    </w:p>
    <w:p w14:paraId="5360EF5D" w14:textId="77777777" w:rsidR="00064C2A" w:rsidRPr="009C5807" w:rsidRDefault="00064C2A" w:rsidP="00225AA6">
      <w:pPr>
        <w:pStyle w:val="B10"/>
        <w:rPr>
          <w:lang w:eastAsia="ko-KR"/>
        </w:rPr>
      </w:pPr>
      <w:r>
        <w:t>-</w:t>
      </w:r>
      <w:r>
        <w:tab/>
      </w:r>
      <w:r w:rsidRPr="009C5807">
        <w:t>the requirement in this clause is applied with T</w:t>
      </w:r>
      <w:r w:rsidRPr="009C5807">
        <w:rPr>
          <w:vertAlign w:val="subscript"/>
        </w:rPr>
        <w:t>rs</w:t>
      </w:r>
      <w:r w:rsidRPr="009C5807">
        <w:t xml:space="preserve"> = 20 ms </w:t>
      </w:r>
      <w:r w:rsidRPr="009C5807">
        <w:rPr>
          <w:rFonts w:hint="eastAsia"/>
          <w:lang w:eastAsia="zh-CN"/>
        </w:rPr>
        <w:t>if</w:t>
      </w:r>
      <w:r w:rsidRPr="009C5807">
        <w:t xml:space="preserve"> the SSB transmission periodicity is not larger than 20 ms</w:t>
      </w:r>
      <w:r w:rsidRPr="009C5807">
        <w:rPr>
          <w:rFonts w:hint="eastAsia"/>
          <w:lang w:eastAsia="zh-CN"/>
        </w:rPr>
        <w:t>;</w:t>
      </w:r>
      <w:r w:rsidRPr="009C5807">
        <w:t xml:space="preserve"> </w:t>
      </w:r>
      <w:r w:rsidRPr="009C5807">
        <w:rPr>
          <w:rFonts w:hint="eastAsia"/>
          <w:lang w:eastAsia="zh-CN"/>
        </w:rPr>
        <w:t>otherwise,</w:t>
      </w:r>
    </w:p>
    <w:p w14:paraId="48CBA398" w14:textId="3D99A3E4" w:rsidR="00064C2A" w:rsidRDefault="00064C2A" w:rsidP="00225AA6">
      <w:pPr>
        <w:pStyle w:val="B10"/>
        <w:rPr>
          <w:rFonts w:cs="v4.2.0"/>
          <w:lang w:eastAsia="ko-KR"/>
        </w:rPr>
      </w:pPr>
      <w:r>
        <w:t>-</w:t>
      </w:r>
      <w:r>
        <w:tab/>
      </w:r>
      <w:r w:rsidRPr="009C5807">
        <w:t>there is no requirement if the SSB transmission periodicity is larger than 20ms</w:t>
      </w:r>
      <w:r w:rsidRPr="009C5807">
        <w:rPr>
          <w:rFonts w:cs="v4.2.0"/>
          <w:lang w:eastAsia="ko-KR"/>
        </w:rPr>
        <w:t xml:space="preserve">. </w:t>
      </w:r>
    </w:p>
    <w:p w14:paraId="40F44189" w14:textId="77777777" w:rsidR="00C238D6" w:rsidRPr="003C0ABF" w:rsidRDefault="00C238D6" w:rsidP="00C238D6">
      <w:pPr>
        <w:rPr>
          <w:lang w:eastAsia="ko-KR"/>
        </w:rPr>
      </w:pPr>
      <w:r>
        <w:t xml:space="preserve">The requirements in this clause apply provided that the ephemeris information provided by the serving cell for the target cell is valid during </w:t>
      </w:r>
      <w:r w:rsidRPr="009C5807">
        <w:rPr>
          <w:rFonts w:cs="v4.2.0"/>
          <w:lang w:eastAsia="ko-KR"/>
        </w:rPr>
        <w:t>time delay (</w:t>
      </w:r>
      <w:r w:rsidRPr="009C5807">
        <w:rPr>
          <w:lang w:eastAsia="ko-KR"/>
        </w:rPr>
        <w:t>T</w:t>
      </w:r>
      <w:r w:rsidRPr="009C5807">
        <w:rPr>
          <w:vertAlign w:val="subscript"/>
          <w:lang w:eastAsia="ko-KR"/>
        </w:rPr>
        <w:t>connection_release_redirect_NR</w:t>
      </w:r>
      <w:r w:rsidRPr="009C5807">
        <w:rPr>
          <w:rFonts w:cs="v4.2.0"/>
          <w:lang w:eastAsia="ko-KR"/>
        </w:rPr>
        <w:t>)</w:t>
      </w:r>
      <w:r>
        <w:t>.</w:t>
      </w:r>
    </w:p>
    <w:p w14:paraId="75830340" w14:textId="77777777" w:rsidR="00C238D6" w:rsidRPr="009C5807" w:rsidRDefault="00C238D6" w:rsidP="00C238D6">
      <w:pPr>
        <w:pStyle w:val="TH"/>
        <w:jc w:val="left"/>
      </w:pPr>
      <w:r w:rsidRPr="009C5807">
        <w:t>Table 6.2</w:t>
      </w:r>
      <w:r>
        <w:rPr>
          <w:rFonts w:hint="eastAsia"/>
          <w:lang w:eastAsia="zh-CN"/>
        </w:rPr>
        <w:t>C</w:t>
      </w:r>
      <w:r w:rsidRPr="009C5807">
        <w:t>.3.2.1-1: Time to identify target NR cell for RRC connection release with redirection to NR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0"/>
        <w:gridCol w:w="5528"/>
      </w:tblGrid>
      <w:tr w:rsidR="00C238D6" w:rsidRPr="009C5807" w14:paraId="6FB58137" w14:textId="77777777" w:rsidTr="00BD16C7">
        <w:trPr>
          <w:jc w:val="center"/>
        </w:trPr>
        <w:tc>
          <w:tcPr>
            <w:tcW w:w="3670" w:type="dxa"/>
            <w:tcBorders>
              <w:top w:val="single" w:sz="4" w:space="0" w:color="auto"/>
              <w:left w:val="single" w:sz="4" w:space="0" w:color="auto"/>
              <w:bottom w:val="single" w:sz="4" w:space="0" w:color="auto"/>
              <w:right w:val="single" w:sz="4" w:space="0" w:color="auto"/>
            </w:tcBorders>
            <w:hideMark/>
          </w:tcPr>
          <w:p w14:paraId="3E20B053" w14:textId="77777777" w:rsidR="00C238D6" w:rsidRPr="009C5807" w:rsidRDefault="00C238D6" w:rsidP="00BD16C7">
            <w:pPr>
              <w:pStyle w:val="TAH"/>
              <w:rPr>
                <w:lang w:eastAsia="ko-KR"/>
              </w:rPr>
            </w:pPr>
            <w:r w:rsidRPr="009C5807">
              <w:rPr>
                <w:lang w:eastAsia="ko-KR"/>
              </w:rPr>
              <w:t>FR of target NR cell</w:t>
            </w:r>
          </w:p>
        </w:tc>
        <w:tc>
          <w:tcPr>
            <w:tcW w:w="5528" w:type="dxa"/>
            <w:tcBorders>
              <w:top w:val="single" w:sz="4" w:space="0" w:color="auto"/>
              <w:left w:val="single" w:sz="4" w:space="0" w:color="auto"/>
              <w:bottom w:val="single" w:sz="4" w:space="0" w:color="auto"/>
              <w:right w:val="single" w:sz="4" w:space="0" w:color="auto"/>
            </w:tcBorders>
            <w:hideMark/>
          </w:tcPr>
          <w:p w14:paraId="07194695" w14:textId="77777777" w:rsidR="00C238D6" w:rsidRPr="009C5807" w:rsidRDefault="00C238D6" w:rsidP="00BD16C7">
            <w:pPr>
              <w:pStyle w:val="TAH"/>
              <w:rPr>
                <w:lang w:eastAsia="ko-KR"/>
              </w:rPr>
            </w:pPr>
            <w:r w:rsidRPr="009C5807">
              <w:rPr>
                <w:lang w:eastAsia="ko-KR"/>
              </w:rPr>
              <w:t>T</w:t>
            </w:r>
            <w:r w:rsidRPr="009C5807">
              <w:rPr>
                <w:vertAlign w:val="subscript"/>
                <w:lang w:eastAsia="ko-KR"/>
              </w:rPr>
              <w:t>identify-NR</w:t>
            </w:r>
          </w:p>
        </w:tc>
      </w:tr>
      <w:tr w:rsidR="00C238D6" w:rsidRPr="009C5807" w14:paraId="7A920EEC" w14:textId="77777777" w:rsidTr="00BD16C7">
        <w:trPr>
          <w:jc w:val="center"/>
        </w:trPr>
        <w:tc>
          <w:tcPr>
            <w:tcW w:w="3670" w:type="dxa"/>
            <w:tcBorders>
              <w:top w:val="single" w:sz="4" w:space="0" w:color="auto"/>
              <w:left w:val="single" w:sz="4" w:space="0" w:color="auto"/>
              <w:bottom w:val="single" w:sz="4" w:space="0" w:color="auto"/>
              <w:right w:val="single" w:sz="4" w:space="0" w:color="auto"/>
            </w:tcBorders>
            <w:hideMark/>
          </w:tcPr>
          <w:p w14:paraId="212B18F0" w14:textId="77777777" w:rsidR="00C238D6" w:rsidRPr="009C5807" w:rsidRDefault="00C238D6" w:rsidP="00BD16C7">
            <w:pPr>
              <w:pStyle w:val="TAL"/>
              <w:rPr>
                <w:lang w:eastAsia="ko-KR"/>
              </w:rPr>
            </w:pPr>
            <w:r w:rsidRPr="009C5807">
              <w:rPr>
                <w:lang w:eastAsia="ko-KR"/>
              </w:rPr>
              <w:t>FR1</w:t>
            </w:r>
          </w:p>
        </w:tc>
        <w:tc>
          <w:tcPr>
            <w:tcW w:w="5528" w:type="dxa"/>
            <w:tcBorders>
              <w:top w:val="single" w:sz="4" w:space="0" w:color="auto"/>
              <w:left w:val="single" w:sz="4" w:space="0" w:color="auto"/>
              <w:bottom w:val="single" w:sz="4" w:space="0" w:color="auto"/>
              <w:right w:val="single" w:sz="4" w:space="0" w:color="auto"/>
            </w:tcBorders>
            <w:hideMark/>
          </w:tcPr>
          <w:p w14:paraId="0D686FB4" w14:textId="03FE4540" w:rsidR="00C238D6" w:rsidRPr="009C5807" w:rsidRDefault="00C238D6" w:rsidP="00BD16C7">
            <w:pPr>
              <w:pStyle w:val="TAC"/>
            </w:pPr>
            <w:r w:rsidRPr="0079704B">
              <w:rPr>
                <w:lang w:eastAsia="zh-CN"/>
              </w:rPr>
              <w:t>K_satellite</w:t>
            </w:r>
            <w:r>
              <w:rPr>
                <w:lang w:eastAsia="zh-CN"/>
              </w:rPr>
              <w:t xml:space="preserve"> * </w:t>
            </w:r>
            <w:r w:rsidRPr="00E430E1">
              <w:rPr>
                <w:lang w:eastAsia="zh-CN"/>
              </w:rPr>
              <w:t xml:space="preserve">MAX (680 ms, </w:t>
            </w:r>
            <w:r>
              <w:rPr>
                <w:lang w:eastAsia="zh-CN"/>
              </w:rPr>
              <w:t>11</w:t>
            </w:r>
            <w:r w:rsidRPr="00E430E1">
              <w:rPr>
                <w:lang w:eastAsia="zh-CN"/>
              </w:rPr>
              <w:t xml:space="preserve"> x T</w:t>
            </w:r>
            <w:r w:rsidRPr="00E430E1">
              <w:rPr>
                <w:vertAlign w:val="subscript"/>
                <w:lang w:eastAsia="zh-CN"/>
              </w:rPr>
              <w:t>rs</w:t>
            </w:r>
            <w:r w:rsidRPr="00E430E1">
              <w:rPr>
                <w:lang w:eastAsia="zh-CN"/>
              </w:rPr>
              <w:t>)</w:t>
            </w:r>
          </w:p>
        </w:tc>
      </w:tr>
      <w:tr w:rsidR="00C238D6" w:rsidRPr="009C5807" w14:paraId="2DD48390" w14:textId="77777777" w:rsidTr="00BD16C7">
        <w:trPr>
          <w:jc w:val="center"/>
        </w:trPr>
        <w:tc>
          <w:tcPr>
            <w:tcW w:w="9198" w:type="dxa"/>
            <w:gridSpan w:val="2"/>
            <w:tcBorders>
              <w:top w:val="single" w:sz="4" w:space="0" w:color="auto"/>
              <w:left w:val="single" w:sz="4" w:space="0" w:color="auto"/>
              <w:bottom w:val="single" w:sz="4" w:space="0" w:color="auto"/>
              <w:right w:val="single" w:sz="4" w:space="0" w:color="auto"/>
            </w:tcBorders>
          </w:tcPr>
          <w:p w14:paraId="50537F53" w14:textId="77777777" w:rsidR="00C238D6" w:rsidRDefault="00C238D6" w:rsidP="00BD16C7">
            <w:pPr>
              <w:pStyle w:val="TAN"/>
            </w:pPr>
            <w:r w:rsidRPr="009C5807">
              <w:t>Note</w:t>
            </w:r>
            <w:r>
              <w:t xml:space="preserve"> 1</w:t>
            </w:r>
            <w:r w:rsidRPr="009C5807">
              <w:t>:</w:t>
            </w:r>
            <w:r w:rsidRPr="009C5807">
              <w:rPr>
                <w:lang w:val="en-US" w:eastAsia="zh-CN"/>
              </w:rPr>
              <w:tab/>
            </w:r>
            <w:r w:rsidRPr="009C5807">
              <w:t xml:space="preserve">If the UE has been provided with higher layer signaling of </w:t>
            </w:r>
            <w:r w:rsidRPr="009C5807">
              <w:rPr>
                <w:i/>
              </w:rPr>
              <w:t>smtc2</w:t>
            </w:r>
            <w:r w:rsidRPr="009C5807">
              <w:rPr>
                <w:b/>
              </w:rPr>
              <w:t xml:space="preserve"> </w:t>
            </w:r>
            <w:r w:rsidRPr="009C5807">
              <w:t xml:space="preserve">specified in TS 38.331 [2] prior to the redirection command, </w:t>
            </w:r>
            <w:r w:rsidRPr="009C5807">
              <w:rPr>
                <w:sz w:val="20"/>
              </w:rPr>
              <w:t>T</w:t>
            </w:r>
            <w:r w:rsidRPr="009C5807">
              <w:rPr>
                <w:sz w:val="20"/>
                <w:vertAlign w:val="subscript"/>
              </w:rPr>
              <w:t>rs</w:t>
            </w:r>
            <w:r w:rsidRPr="009C5807">
              <w:t xml:space="preserve"> follows </w:t>
            </w:r>
            <w:r w:rsidRPr="009C5807">
              <w:rPr>
                <w:i/>
              </w:rPr>
              <w:t>smtc1</w:t>
            </w:r>
            <w:r w:rsidRPr="009C5807">
              <w:t xml:space="preserve"> or </w:t>
            </w:r>
            <w:r w:rsidRPr="009C5807">
              <w:rPr>
                <w:i/>
              </w:rPr>
              <w:t>smtc2</w:t>
            </w:r>
            <w:r w:rsidRPr="009C5807">
              <w:t xml:space="preserve"> according to the physical cell ID of the target cell.</w:t>
            </w:r>
          </w:p>
          <w:p w14:paraId="2E487C47" w14:textId="77777777" w:rsidR="00C238D6" w:rsidRPr="009C5807" w:rsidRDefault="00C238D6" w:rsidP="00BD16C7">
            <w:pPr>
              <w:pStyle w:val="TAN"/>
              <w:rPr>
                <w:szCs w:val="18"/>
                <w:lang w:eastAsia="ko-KR"/>
              </w:rPr>
            </w:pPr>
            <w:r w:rsidRPr="003512A7">
              <w:rPr>
                <w:lang w:eastAsia="ko-KR"/>
              </w:rPr>
              <w:t xml:space="preserve">Note </w:t>
            </w:r>
            <w:r>
              <w:rPr>
                <w:lang w:eastAsia="ko-KR"/>
              </w:rPr>
              <w:t>2</w:t>
            </w:r>
            <w:r w:rsidRPr="003512A7">
              <w:rPr>
                <w:lang w:eastAsia="ko-KR"/>
              </w:rPr>
              <w:t>:</w:t>
            </w:r>
            <w:r w:rsidRPr="003512A7">
              <w:tab/>
            </w:r>
            <w:r w:rsidRPr="0079704B">
              <w:rPr>
                <w:lang w:eastAsia="zh-CN"/>
              </w:rPr>
              <w:t>K_satellite</w:t>
            </w:r>
            <w:r>
              <w:t xml:space="preserve"> </w:t>
            </w:r>
            <w:r>
              <w:rPr>
                <w:lang w:eastAsia="ko-KR"/>
              </w:rPr>
              <w:t xml:space="preserve">is defined in clause </w:t>
            </w:r>
            <w:r w:rsidRPr="0079704B">
              <w:rPr>
                <w:lang w:eastAsia="ko-KR"/>
              </w:rPr>
              <w:t>9.3C.4</w:t>
            </w:r>
            <w:r>
              <w:rPr>
                <w:lang w:eastAsia="ko-KR"/>
              </w:rPr>
              <w:t>.</w:t>
            </w:r>
          </w:p>
        </w:tc>
      </w:tr>
    </w:tbl>
    <w:p w14:paraId="4CC80800" w14:textId="77777777" w:rsidR="00C238D6" w:rsidRPr="003C0ABF" w:rsidRDefault="00C238D6" w:rsidP="00C238D6">
      <w:pPr>
        <w:rPr>
          <w:rFonts w:eastAsia="SimSun"/>
          <w:noProof/>
          <w:highlight w:val="yellow"/>
          <w:lang w:eastAsia="zh-CN"/>
        </w:rPr>
      </w:pPr>
    </w:p>
    <w:p w14:paraId="756603ED" w14:textId="77777777" w:rsidR="00936A12" w:rsidRPr="009C5807" w:rsidRDefault="00936A12" w:rsidP="0062703B">
      <w:pPr>
        <w:pStyle w:val="Heading1"/>
      </w:pPr>
      <w:r w:rsidRPr="009C5807">
        <w:t>7</w:t>
      </w:r>
      <w:r w:rsidRPr="009C5807">
        <w:tab/>
        <w:t>Timing</w:t>
      </w:r>
      <w:bookmarkEnd w:id="79"/>
    </w:p>
    <w:p w14:paraId="23A76306" w14:textId="77777777" w:rsidR="00F15152" w:rsidRPr="009C5807" w:rsidRDefault="00F15152" w:rsidP="00F15152">
      <w:pPr>
        <w:pStyle w:val="Heading2"/>
      </w:pPr>
      <w:bookmarkStart w:id="134" w:name="_Toc535475927"/>
      <w:bookmarkStart w:id="135" w:name="_Toc5952595"/>
      <w:r w:rsidRPr="009C5807">
        <w:t>7.1</w:t>
      </w:r>
      <w:r w:rsidRPr="009C5807">
        <w:tab/>
        <w:t>UE transmit timing</w:t>
      </w:r>
      <w:bookmarkEnd w:id="134"/>
    </w:p>
    <w:p w14:paraId="678EA2F0" w14:textId="77777777" w:rsidR="00F15152" w:rsidRPr="009C5807" w:rsidRDefault="00F15152" w:rsidP="00F15152">
      <w:pPr>
        <w:pStyle w:val="Heading3"/>
      </w:pPr>
      <w:bookmarkStart w:id="136" w:name="_Toc535475928"/>
      <w:r w:rsidRPr="009C5807">
        <w:t>7.1.1</w:t>
      </w:r>
      <w:r w:rsidRPr="009C5807">
        <w:tab/>
        <w:t>Introduction</w:t>
      </w:r>
      <w:bookmarkEnd w:id="136"/>
    </w:p>
    <w:p w14:paraId="0C32378C" w14:textId="77777777" w:rsidR="00AD748B" w:rsidRDefault="00AD748B" w:rsidP="00AD748B">
      <w:pPr>
        <w:rPr>
          <w:rFonts w:cs="v4.2.0"/>
        </w:rPr>
      </w:pPr>
      <w:bookmarkStart w:id="137" w:name="_Toc535475929"/>
      <w:r w:rsidRPr="009C5807">
        <w:rPr>
          <w:rFonts w:cs="v4.2.0"/>
        </w:rPr>
        <w:t xml:space="preserve">The UE shall have capability to follow the frame timing change of the </w:t>
      </w:r>
      <w:r w:rsidRPr="009C5807">
        <w:t>reference cell</w:t>
      </w:r>
      <w:r w:rsidRPr="009C5807">
        <w:rPr>
          <w:rFonts w:cs="v4.2.0"/>
        </w:rPr>
        <w:t xml:space="preserve"> in connected </w:t>
      </w:r>
      <w:r w:rsidRPr="009C5807">
        <w:t>state</w:t>
      </w:r>
      <w:r>
        <w:t xml:space="preserve"> or when transmiting PUSCH on CG resources for SDT in RRC_Inactive</w:t>
      </w:r>
      <w:r w:rsidRPr="009C5807">
        <w:rPr>
          <w:rFonts w:cs="v4.2.0"/>
        </w:rPr>
        <w:t>. The uplink frame transmission takes place</w:t>
      </w:r>
      <w:r w:rsidRPr="009C5807">
        <w:rPr>
          <w:rFonts w:cs="v4.2.0"/>
          <w:vertAlign w:val="subscript"/>
        </w:rPr>
        <w:t xml:space="preserve"> </w:t>
      </w:r>
      <w:r w:rsidRPr="009C5807">
        <w:rPr>
          <w:position w:val="-10"/>
        </w:rPr>
        <w:object w:dxaOrig="1800" w:dyaOrig="300" w14:anchorId="607F3C1E">
          <v:shape id="_x0000_i1028" type="#_x0000_t75" style="width:87pt;height:11.5pt" o:ole="">
            <v:imagedata r:id="rId18" o:title=""/>
          </v:shape>
          <o:OLEObject Type="Embed" ProgID="Equation.3" ShapeID="_x0000_i1028" DrawAspect="Content" ObjectID="_1749665164" r:id="rId19"/>
        </w:object>
      </w:r>
      <w:r w:rsidRPr="009C5807" w:rsidDel="005D39B2">
        <w:rPr>
          <w:rFonts w:cs="v4.2.0"/>
        </w:rPr>
        <w:t xml:space="preserve"> </w:t>
      </w:r>
      <w:r w:rsidRPr="009C5807">
        <w:rPr>
          <w:rFonts w:cs="v4.2.0"/>
        </w:rPr>
        <w:t>before the reception of the first detected path (in time) of the corresponding downlink frame</w:t>
      </w:r>
      <w:r w:rsidRPr="009C5807">
        <w:t xml:space="preserve"> from the reference cell. For </w:t>
      </w:r>
      <w:r w:rsidRPr="009C5807">
        <w:rPr>
          <w:lang w:eastAsia="ja-JP"/>
        </w:rPr>
        <w:t xml:space="preserve">serving cell(s) in </w:t>
      </w:r>
      <w:r>
        <w:rPr>
          <w:rFonts w:hint="eastAsia"/>
          <w:lang w:eastAsia="zh-CN"/>
        </w:rPr>
        <w:t>p</w:t>
      </w:r>
      <w:r w:rsidRPr="009C5807">
        <w:t>TAG,</w:t>
      </w:r>
      <w:r w:rsidRPr="009C5807">
        <w:rPr>
          <w:rFonts w:cs="v4.2.0"/>
        </w:rPr>
        <w:t xml:space="preserve"> </w:t>
      </w:r>
      <w:r w:rsidRPr="009C5807">
        <w:t xml:space="preserve">UE shall use the SpCell as the reference cell for deriving the UE transmit timing for cells in the </w:t>
      </w:r>
      <w:r>
        <w:rPr>
          <w:rFonts w:hint="eastAsia"/>
          <w:lang w:eastAsia="zh-CN"/>
        </w:rPr>
        <w:t>p</w:t>
      </w:r>
      <w:r w:rsidRPr="009C5807">
        <w:t xml:space="preserve">TAG. </w:t>
      </w:r>
      <w:r w:rsidRPr="009C5807">
        <w:rPr>
          <w:lang w:eastAsia="ja-JP"/>
        </w:rPr>
        <w:t xml:space="preserve">For serving cell(s) in </w:t>
      </w:r>
      <w:r>
        <w:rPr>
          <w:rFonts w:hint="eastAsia"/>
          <w:lang w:eastAsia="zh-CN"/>
        </w:rPr>
        <w:t>s</w:t>
      </w:r>
      <w:r w:rsidRPr="009C5807">
        <w:rPr>
          <w:lang w:eastAsia="ja-JP"/>
        </w:rPr>
        <w:t xml:space="preserve">TAG, </w:t>
      </w:r>
      <w:r w:rsidRPr="009C5807">
        <w:t xml:space="preserve">UE shall use any of the </w:t>
      </w:r>
      <w:r w:rsidRPr="009C5807">
        <w:rPr>
          <w:lang w:eastAsia="ja-JP"/>
        </w:rPr>
        <w:t xml:space="preserve">activated SCells </w:t>
      </w:r>
      <w:r w:rsidRPr="009C5807">
        <w:t xml:space="preserve">as the reference cell for deriving the UE transmit timing for </w:t>
      </w:r>
      <w:r w:rsidRPr="009C5807">
        <w:rPr>
          <w:lang w:eastAsia="ja-JP"/>
        </w:rPr>
        <w:t xml:space="preserve">the </w:t>
      </w:r>
      <w:r w:rsidRPr="009C5807">
        <w:t xml:space="preserve">cells in the </w:t>
      </w:r>
      <w:r>
        <w:rPr>
          <w:rFonts w:hint="eastAsia"/>
          <w:lang w:eastAsia="zh-CN"/>
        </w:rPr>
        <w:t>s</w:t>
      </w:r>
      <w:r w:rsidRPr="009C5807">
        <w:t>TAG.</w:t>
      </w:r>
      <w:r w:rsidRPr="009C5807" w:rsidDel="00123E0F">
        <w:t xml:space="preserve"> </w:t>
      </w:r>
      <w:r w:rsidRPr="009C5807">
        <w:rPr>
          <w:rFonts w:cs="v4.2.0"/>
        </w:rPr>
        <w:t>UE initial transmit timing accuracy</w:t>
      </w:r>
      <w:r w:rsidRPr="009C5807">
        <w:rPr>
          <w:rFonts w:cs="v4.2.0" w:hint="eastAsia"/>
          <w:lang w:val="en-US" w:eastAsia="zh-CN"/>
        </w:rPr>
        <w:t xml:space="preserve"> and</w:t>
      </w:r>
      <w:r w:rsidRPr="009C5807">
        <w:rPr>
          <w:rFonts w:cs="v4.2.0"/>
        </w:rPr>
        <w:t xml:space="preserve"> </w:t>
      </w:r>
      <w:r w:rsidRPr="009C5807">
        <w:t>gradual timing adjustment requirements</w:t>
      </w:r>
      <w:r w:rsidRPr="009C5807">
        <w:rPr>
          <w:rFonts w:cs="v4.2.0"/>
        </w:rPr>
        <w:t xml:space="preserve"> are defined in the following requirements.</w:t>
      </w:r>
    </w:p>
    <w:p w14:paraId="7FE6A4C3" w14:textId="63A8EF7E" w:rsidR="00432E18" w:rsidRDefault="00432E18" w:rsidP="00432E18">
      <w:pPr>
        <w:rPr>
          <w:lang w:val="en-US"/>
        </w:rPr>
      </w:pPr>
      <w:r w:rsidRPr="00687413">
        <w:rPr>
          <w:lang w:val="en-US"/>
        </w:rPr>
        <w:t xml:space="preserve">In the requirements of clause 7.1.2, the term reference cell on a carrier frequency subject to CCA is not available at the UE refers to when at least one SSB is configured by gNB, but the first two successive candidate SSB positions for the same SSB index within the discovery burst transmission window are not </w:t>
      </w:r>
      <w:r w:rsidRPr="006D0774">
        <w:rPr>
          <w:lang w:val="en-US"/>
        </w:rPr>
        <w:t>available</w:t>
      </w:r>
      <w:r w:rsidRPr="006D0774">
        <w:rPr>
          <w:rFonts w:eastAsiaTheme="minorEastAsia"/>
          <w:color w:val="000000"/>
          <w:lang w:val="en-US" w:eastAsia="zh-CN"/>
        </w:rPr>
        <w:t xml:space="preserve"> </w:t>
      </w:r>
      <w:r w:rsidRPr="00F37389">
        <w:rPr>
          <w:bCs/>
          <w:color w:val="000000"/>
        </w:rPr>
        <w:t>during at least one discovery burst transmission window,</w:t>
      </w:r>
      <w:r>
        <w:rPr>
          <w:bCs/>
          <w:color w:val="000000"/>
        </w:rPr>
        <w:t xml:space="preserve"> </w:t>
      </w:r>
      <w:r w:rsidRPr="00687413">
        <w:rPr>
          <w:lang w:val="en-US"/>
        </w:rPr>
        <w:t xml:space="preserve">at the UE due to DL CCA failures at gNB during the last </w:t>
      </w:r>
      <w:r>
        <w:rPr>
          <w:lang w:val="en-US"/>
        </w:rPr>
        <w:t>1280</w:t>
      </w:r>
      <w:r w:rsidRPr="00687413">
        <w:rPr>
          <w:lang w:val="en-US"/>
        </w:rPr>
        <w:t xml:space="preserve"> ms; otherwise the reference cell on the carrier frequency subject to CCA is considered as available at the UE.</w:t>
      </w:r>
    </w:p>
    <w:p w14:paraId="613DC517" w14:textId="09B7C161" w:rsidR="00402693" w:rsidRPr="00402693" w:rsidRDefault="00402693" w:rsidP="00DC3CFE">
      <w:pPr>
        <w:rPr>
          <w:lang w:val="en-US"/>
        </w:rPr>
      </w:pPr>
    </w:p>
    <w:p w14:paraId="3605161A" w14:textId="77777777" w:rsidR="00F15152" w:rsidRPr="009C5807" w:rsidRDefault="00F15152" w:rsidP="00F15152">
      <w:pPr>
        <w:pStyle w:val="Heading3"/>
      </w:pPr>
      <w:r w:rsidRPr="009C5807">
        <w:t>7.1.2</w:t>
      </w:r>
      <w:r w:rsidRPr="009C5807">
        <w:tab/>
        <w:t>Requirements</w:t>
      </w:r>
      <w:bookmarkEnd w:id="137"/>
    </w:p>
    <w:p w14:paraId="7C2DC05A" w14:textId="77777777" w:rsidR="00F15152" w:rsidRPr="009C5807" w:rsidRDefault="00F15152" w:rsidP="00F15152">
      <w:pPr>
        <w:rPr>
          <w:rFonts w:cs="v4.2.0"/>
        </w:rPr>
      </w:pPr>
      <w:r w:rsidRPr="009C5807">
        <w:rPr>
          <w:rFonts w:cs="v4.2.0"/>
        </w:rPr>
        <w:t xml:space="preserve">The UE initial transmission timing error shall be less than or equal to </w:t>
      </w:r>
      <w:r w:rsidRPr="009C5807">
        <w:rPr>
          <w:rFonts w:cs="v4.2.0"/>
        </w:rPr>
        <w:sym w:font="Symbol" w:char="F0B1"/>
      </w:r>
      <w:r w:rsidRPr="009C5807">
        <w:rPr>
          <w:rFonts w:cs="v4.2.0"/>
        </w:rPr>
        <w:t>T</w:t>
      </w:r>
      <w:r w:rsidRPr="009C5807">
        <w:rPr>
          <w:rFonts w:cs="v4.2.0"/>
          <w:vertAlign w:val="subscript"/>
        </w:rPr>
        <w:t>e</w:t>
      </w:r>
      <w:r w:rsidRPr="009C5807">
        <w:t xml:space="preserve"> where the timing error limit value </w:t>
      </w:r>
      <w:r w:rsidRPr="009C5807">
        <w:rPr>
          <w:rFonts w:cs="v4.2.0"/>
        </w:rPr>
        <w:t>T</w:t>
      </w:r>
      <w:r w:rsidRPr="009C5807">
        <w:rPr>
          <w:rFonts w:cs="v4.2.0"/>
          <w:vertAlign w:val="subscript"/>
        </w:rPr>
        <w:t>e</w:t>
      </w:r>
      <w:r w:rsidRPr="009C5807">
        <w:t xml:space="preserve"> is specified in Table 7.1.2-1</w:t>
      </w:r>
      <w:r w:rsidRPr="009C5807">
        <w:rPr>
          <w:rFonts w:cs="v4.2.0"/>
        </w:rPr>
        <w:t>. This requirement applies:</w:t>
      </w:r>
    </w:p>
    <w:p w14:paraId="3874D2E5" w14:textId="048217CA" w:rsidR="00EA5AFC" w:rsidRDefault="00EA5AFC" w:rsidP="00EA5AFC">
      <w:pPr>
        <w:pStyle w:val="B10"/>
      </w:pPr>
      <w:r>
        <w:rPr>
          <w:noProof/>
          <w:lang w:eastAsia="ko-KR"/>
        </w:rPr>
        <w:t>-</w:t>
      </w:r>
      <w:r>
        <w:rPr>
          <w:noProof/>
          <w:lang w:eastAsia="ko-KR"/>
        </w:rPr>
        <w:tab/>
      </w:r>
      <w:r>
        <w:t>when it is the first transmission in a DRX cycle for PUCCH, PUSCH and SRS, or it is the PRACH transmission, or it is the msgA transmission</w:t>
      </w:r>
      <w:r>
        <w:rPr>
          <w:lang w:eastAsia="zh-CN"/>
        </w:rPr>
        <w:t>,</w:t>
      </w:r>
      <w:r>
        <w:t xml:space="preserve"> or it is the first transmission sent on the PSCell for activating the deactivated SCG without RACH.</w:t>
      </w:r>
    </w:p>
    <w:p w14:paraId="07CD2C77" w14:textId="74CB74BA" w:rsidR="00492DC8" w:rsidRPr="009C5807" w:rsidRDefault="00492DC8" w:rsidP="00492DC8">
      <w:pPr>
        <w:pStyle w:val="B10"/>
      </w:pPr>
      <w:r w:rsidRPr="009C5807">
        <w:rPr>
          <w:noProof/>
          <w:lang w:eastAsia="ko-KR"/>
        </w:rPr>
        <w:t>-</w:t>
      </w:r>
      <w:r w:rsidRPr="009C5807">
        <w:rPr>
          <w:noProof/>
          <w:lang w:eastAsia="ko-KR"/>
        </w:rPr>
        <w:tab/>
      </w:r>
      <w:r w:rsidRPr="00123237">
        <w:t>when it is the transmission for PUSCH on CG resources for SDT in RRC_Inactive.</w:t>
      </w:r>
    </w:p>
    <w:p w14:paraId="4C14EAED" w14:textId="7D191EC1" w:rsidR="004756A4" w:rsidRDefault="004756A4" w:rsidP="004756A4">
      <w:pPr>
        <w:rPr>
          <w:rFonts w:cs="v4.2.0"/>
        </w:rPr>
      </w:pPr>
      <w:r>
        <w:rPr>
          <w:rFonts w:cs="v4.2.0"/>
        </w:rPr>
        <w:t xml:space="preserve">When the UL SCS is 120 kHz or smaller, the UE shall meet the Te requirement for an initial transmission provided that at least one SSB is available at the UE during the last 160 ms. When the UL SCS is 480 kHz the UE shall meet the Te requirement for an initial transmission provided that at least one SSB is available in the last 80 ms. When the UL SCS is 960 kHz the UE shall meet the Te requirement for an initial transmission provided that at least one SSB is available in the last 40 ms. The reference point for the UE initial transmit timing control requirement shall be the downlink timing of the reference cell minus </w:t>
      </w:r>
      <w:r>
        <w:rPr>
          <w:noProof/>
          <w:position w:val="-10"/>
          <w:lang w:val="en-US" w:eastAsia="zh-CN"/>
        </w:rPr>
        <w:drawing>
          <wp:inline distT="0" distB="0" distL="0" distR="0" wp14:anchorId="59855A17" wp14:editId="6BDE15F2">
            <wp:extent cx="1143000" cy="190500"/>
            <wp:effectExtent l="0" t="0" r="0" b="0"/>
            <wp:docPr id="2998" name="Picture 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r>
        <w:rPr>
          <w:rFonts w:cs="v4.2.0"/>
        </w:rPr>
        <w:t xml:space="preserve">. The downlink timing is defined as the time when the first path (in time) of the corresponding downlink frame </w:t>
      </w:r>
      <w:r>
        <w:rPr>
          <w:lang w:val="en-US" w:eastAsia="zh-CN"/>
        </w:rPr>
        <w:t xml:space="preserve">used by the UE to determine downlink timing </w:t>
      </w:r>
      <w:r>
        <w:rPr>
          <w:rFonts w:cs="v4.2.0"/>
        </w:rPr>
        <w:t xml:space="preserve"> is received </w:t>
      </w:r>
      <w:r>
        <w:t xml:space="preserve">from the reference cell at the UE antenna. </w:t>
      </w:r>
      <w:r>
        <w:rPr>
          <w:rFonts w:cs="v4.2.0"/>
          <w:i/>
        </w:rPr>
        <w:t>N</w:t>
      </w:r>
      <w:r>
        <w:rPr>
          <w:rFonts w:cs="v4.2.0"/>
          <w:vertAlign w:val="subscript"/>
        </w:rPr>
        <w:t>TA</w:t>
      </w:r>
      <w:r>
        <w:rPr>
          <w:rFonts w:cs="v4.2.0"/>
        </w:rPr>
        <w:t xml:space="preserve"> for PRACH is defined as 0.</w:t>
      </w:r>
    </w:p>
    <w:p w14:paraId="7559AE36" w14:textId="77777777" w:rsidR="00F15152" w:rsidRPr="009C5807" w:rsidRDefault="00F15152" w:rsidP="004756A4">
      <w:r w:rsidRPr="009C5807">
        <w:rPr>
          <w:noProof/>
          <w:position w:val="-10"/>
          <w:lang w:val="en-US" w:eastAsia="zh-CN"/>
        </w:rPr>
        <w:drawing>
          <wp:inline distT="0" distB="0" distL="0" distR="0" wp14:anchorId="0CE17776" wp14:editId="40B0ADC1">
            <wp:extent cx="1145540" cy="187960"/>
            <wp:effectExtent l="0" t="0" r="0" b="254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45540" cy="187960"/>
                    </a:xfrm>
                    <a:prstGeom prst="rect">
                      <a:avLst/>
                    </a:prstGeom>
                    <a:noFill/>
                    <a:ln>
                      <a:noFill/>
                    </a:ln>
                  </pic:spPr>
                </pic:pic>
              </a:graphicData>
            </a:graphic>
          </wp:inline>
        </w:drawing>
      </w:r>
      <w:r w:rsidRPr="009C5807">
        <w:t xml:space="preserve"> (in </w:t>
      </w:r>
      <w:r w:rsidRPr="009C5807">
        <w:rPr>
          <w:i/>
        </w:rPr>
        <w:t>T</w:t>
      </w:r>
      <w:r w:rsidRPr="009C5807">
        <w:rPr>
          <w:i/>
          <w:vertAlign w:val="subscript"/>
        </w:rPr>
        <w:t>c</w:t>
      </w:r>
      <w:r w:rsidRPr="009C5807">
        <w:t xml:space="preserve"> units) for other channels is the difference between UE transmission timing and the downlink timing immediately after when the last timing advance in clause 7.3 was applied. </w:t>
      </w:r>
      <w:r w:rsidRPr="009C5807">
        <w:rPr>
          <w:i/>
        </w:rPr>
        <w:t>N</w:t>
      </w:r>
      <w:r w:rsidRPr="009C5807">
        <w:rPr>
          <w:vertAlign w:val="subscript"/>
        </w:rPr>
        <w:t>TA</w:t>
      </w:r>
      <w:r w:rsidRPr="009C5807">
        <w:t xml:space="preserve"> for other channels is not changed until next timing advance is received. The value of</w:t>
      </w:r>
      <w:r w:rsidRPr="009C5807">
        <w:rPr>
          <w:noProof/>
          <w:position w:val="-10"/>
          <w:lang w:val="en-US" w:eastAsia="zh-CN"/>
        </w:rPr>
        <w:drawing>
          <wp:inline distT="0" distB="0" distL="0" distR="0" wp14:anchorId="55068E51" wp14:editId="778EA505">
            <wp:extent cx="500380" cy="187960"/>
            <wp:effectExtent l="0" t="0" r="0" b="254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0380" cy="187960"/>
                    </a:xfrm>
                    <a:prstGeom prst="rect">
                      <a:avLst/>
                    </a:prstGeom>
                    <a:noFill/>
                    <a:ln>
                      <a:noFill/>
                    </a:ln>
                  </pic:spPr>
                </pic:pic>
              </a:graphicData>
            </a:graphic>
          </wp:inline>
        </w:drawing>
      </w:r>
      <w:r w:rsidRPr="009C5807">
        <w:t xml:space="preserve">depends on the duplex mode of the cell in which the uplink transmission takes place and the frequency range (FR). </w:t>
      </w:r>
      <w:r w:rsidRPr="009C5807">
        <w:rPr>
          <w:noProof/>
          <w:position w:val="-10"/>
          <w:lang w:val="en-US" w:eastAsia="zh-CN"/>
        </w:rPr>
        <w:drawing>
          <wp:inline distT="0" distB="0" distL="0" distR="0" wp14:anchorId="365DAABA" wp14:editId="426B696D">
            <wp:extent cx="500380" cy="187960"/>
            <wp:effectExtent l="0" t="0" r="0" b="254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0380" cy="187960"/>
                    </a:xfrm>
                    <a:prstGeom prst="rect">
                      <a:avLst/>
                    </a:prstGeom>
                    <a:noFill/>
                    <a:ln>
                      <a:noFill/>
                    </a:ln>
                  </pic:spPr>
                </pic:pic>
              </a:graphicData>
            </a:graphic>
          </wp:inline>
        </w:drawing>
      </w:r>
      <w:r w:rsidRPr="009C5807">
        <w:t>is defined in Table 7.1.2-2.</w:t>
      </w:r>
    </w:p>
    <w:p w14:paraId="0C7D3552" w14:textId="7D5FEEA4" w:rsidR="00F15152" w:rsidRDefault="00F15152" w:rsidP="00F15152">
      <w:pPr>
        <w:pStyle w:val="TH"/>
      </w:pPr>
      <w:r w:rsidRPr="009C5807">
        <w:t>Table 7.1.2-1: T</w:t>
      </w:r>
      <w:r w:rsidRPr="009C5807">
        <w:rPr>
          <w:vertAlign w:val="subscript"/>
        </w:rPr>
        <w:t>e</w:t>
      </w:r>
      <w:r w:rsidRPr="009C5807">
        <w:t xml:space="preserve"> Timing Error Limit</w:t>
      </w:r>
    </w:p>
    <w:tbl>
      <w:tblPr>
        <w:tblW w:w="31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524"/>
        <w:gridCol w:w="1525"/>
        <w:gridCol w:w="1811"/>
      </w:tblGrid>
      <w:tr w:rsidR="007631A3" w14:paraId="56AC7B9A" w14:textId="77777777" w:rsidTr="00147C99">
        <w:trPr>
          <w:cantSplit/>
          <w:jc w:val="center"/>
        </w:trPr>
        <w:tc>
          <w:tcPr>
            <w:tcW w:w="1033" w:type="pct"/>
            <w:tcBorders>
              <w:top w:val="single" w:sz="4" w:space="0" w:color="auto"/>
              <w:left w:val="single" w:sz="4" w:space="0" w:color="auto"/>
              <w:bottom w:val="single" w:sz="4" w:space="0" w:color="auto"/>
              <w:right w:val="single" w:sz="4" w:space="0" w:color="auto"/>
            </w:tcBorders>
            <w:vAlign w:val="center"/>
            <w:hideMark/>
          </w:tcPr>
          <w:p w14:paraId="329C5DDE" w14:textId="77777777" w:rsidR="007631A3" w:rsidRDefault="007631A3" w:rsidP="00147C99">
            <w:pPr>
              <w:pStyle w:val="TAH"/>
            </w:pPr>
            <w:r>
              <w:t>Frequency Range</w:t>
            </w:r>
          </w:p>
        </w:tc>
        <w:tc>
          <w:tcPr>
            <w:tcW w:w="1244" w:type="pct"/>
            <w:tcBorders>
              <w:top w:val="single" w:sz="4" w:space="0" w:color="auto"/>
              <w:left w:val="single" w:sz="4" w:space="0" w:color="auto"/>
              <w:bottom w:val="single" w:sz="4" w:space="0" w:color="auto"/>
              <w:right w:val="single" w:sz="4" w:space="0" w:color="auto"/>
            </w:tcBorders>
            <w:vAlign w:val="center"/>
            <w:hideMark/>
          </w:tcPr>
          <w:p w14:paraId="33C9D0C9" w14:textId="77777777" w:rsidR="007631A3" w:rsidRDefault="007631A3" w:rsidP="00147C99">
            <w:pPr>
              <w:pStyle w:val="TAH"/>
            </w:pPr>
            <w:r>
              <w:t>SCS of SSB signals (kHz)</w:t>
            </w:r>
          </w:p>
        </w:tc>
        <w:tc>
          <w:tcPr>
            <w:tcW w:w="1245" w:type="pct"/>
            <w:tcBorders>
              <w:top w:val="single" w:sz="4" w:space="0" w:color="auto"/>
              <w:left w:val="single" w:sz="4" w:space="0" w:color="auto"/>
              <w:bottom w:val="single" w:sz="4" w:space="0" w:color="auto"/>
              <w:right w:val="single" w:sz="4" w:space="0" w:color="auto"/>
            </w:tcBorders>
            <w:vAlign w:val="center"/>
            <w:hideMark/>
          </w:tcPr>
          <w:p w14:paraId="605B7F44" w14:textId="77777777" w:rsidR="007631A3" w:rsidRDefault="007631A3" w:rsidP="00147C99">
            <w:pPr>
              <w:pStyle w:val="TAH"/>
            </w:pPr>
            <w:r>
              <w:t>SCS of uplink signals (kHz)</w:t>
            </w:r>
          </w:p>
        </w:tc>
        <w:tc>
          <w:tcPr>
            <w:tcW w:w="1478" w:type="pct"/>
            <w:tcBorders>
              <w:top w:val="single" w:sz="4" w:space="0" w:color="auto"/>
              <w:left w:val="single" w:sz="4" w:space="0" w:color="auto"/>
              <w:bottom w:val="single" w:sz="4" w:space="0" w:color="auto"/>
              <w:right w:val="single" w:sz="4" w:space="0" w:color="auto"/>
            </w:tcBorders>
            <w:vAlign w:val="center"/>
            <w:hideMark/>
          </w:tcPr>
          <w:p w14:paraId="312E4226" w14:textId="77777777" w:rsidR="007631A3" w:rsidRDefault="007631A3" w:rsidP="00147C99">
            <w:pPr>
              <w:pStyle w:val="TAH"/>
            </w:pPr>
            <w:r>
              <w:t>T</w:t>
            </w:r>
            <w:r>
              <w:rPr>
                <w:vertAlign w:val="subscript"/>
              </w:rPr>
              <w:t>e</w:t>
            </w:r>
          </w:p>
        </w:tc>
      </w:tr>
      <w:tr w:rsidR="007631A3" w14:paraId="22DD951D" w14:textId="77777777" w:rsidTr="00147C99">
        <w:trPr>
          <w:cantSplit/>
          <w:jc w:val="center"/>
        </w:trPr>
        <w:tc>
          <w:tcPr>
            <w:tcW w:w="1033" w:type="pct"/>
            <w:tcBorders>
              <w:top w:val="single" w:sz="4" w:space="0" w:color="auto"/>
              <w:left w:val="single" w:sz="4" w:space="0" w:color="auto"/>
              <w:bottom w:val="nil"/>
              <w:right w:val="single" w:sz="4" w:space="0" w:color="auto"/>
            </w:tcBorders>
            <w:vAlign w:val="center"/>
            <w:hideMark/>
          </w:tcPr>
          <w:p w14:paraId="320EADF2" w14:textId="77777777" w:rsidR="007631A3" w:rsidRDefault="007631A3" w:rsidP="00147C99">
            <w:pPr>
              <w:pStyle w:val="TAC"/>
            </w:pPr>
            <w:r>
              <w:t>1</w:t>
            </w:r>
          </w:p>
        </w:tc>
        <w:tc>
          <w:tcPr>
            <w:tcW w:w="1244" w:type="pct"/>
            <w:tcBorders>
              <w:top w:val="single" w:sz="4" w:space="0" w:color="auto"/>
              <w:left w:val="single" w:sz="4" w:space="0" w:color="auto"/>
              <w:bottom w:val="nil"/>
              <w:right w:val="single" w:sz="4" w:space="0" w:color="auto"/>
            </w:tcBorders>
            <w:vAlign w:val="center"/>
            <w:hideMark/>
          </w:tcPr>
          <w:p w14:paraId="7833DF13" w14:textId="77777777" w:rsidR="007631A3" w:rsidRDefault="007631A3" w:rsidP="00147C99">
            <w:pPr>
              <w:pStyle w:val="TAC"/>
            </w:pPr>
            <w:r>
              <w:t>15</w:t>
            </w:r>
          </w:p>
        </w:tc>
        <w:tc>
          <w:tcPr>
            <w:tcW w:w="1245" w:type="pct"/>
            <w:tcBorders>
              <w:top w:val="single" w:sz="4" w:space="0" w:color="auto"/>
              <w:left w:val="single" w:sz="4" w:space="0" w:color="auto"/>
              <w:bottom w:val="single" w:sz="4" w:space="0" w:color="auto"/>
              <w:right w:val="single" w:sz="4" w:space="0" w:color="auto"/>
            </w:tcBorders>
            <w:hideMark/>
          </w:tcPr>
          <w:p w14:paraId="7901C4A6" w14:textId="77777777" w:rsidR="007631A3" w:rsidRDefault="007631A3" w:rsidP="00147C99">
            <w:pPr>
              <w:pStyle w:val="TAC"/>
            </w:pPr>
            <w:r>
              <w:t>15</w:t>
            </w:r>
          </w:p>
        </w:tc>
        <w:tc>
          <w:tcPr>
            <w:tcW w:w="1478" w:type="pct"/>
            <w:tcBorders>
              <w:top w:val="single" w:sz="4" w:space="0" w:color="auto"/>
              <w:left w:val="single" w:sz="4" w:space="0" w:color="auto"/>
              <w:bottom w:val="single" w:sz="4" w:space="0" w:color="auto"/>
              <w:right w:val="single" w:sz="4" w:space="0" w:color="auto"/>
            </w:tcBorders>
            <w:hideMark/>
          </w:tcPr>
          <w:p w14:paraId="53E2121C" w14:textId="77777777" w:rsidR="007631A3" w:rsidRDefault="007631A3" w:rsidP="00147C99">
            <w:pPr>
              <w:pStyle w:val="TAC"/>
            </w:pPr>
            <w:r>
              <w:t>12*64*T</w:t>
            </w:r>
            <w:r>
              <w:rPr>
                <w:vertAlign w:val="subscript"/>
              </w:rPr>
              <w:t>c</w:t>
            </w:r>
          </w:p>
        </w:tc>
      </w:tr>
      <w:tr w:rsidR="007631A3" w14:paraId="32E8E6E8" w14:textId="77777777" w:rsidTr="00147C99">
        <w:trPr>
          <w:cantSplit/>
          <w:jc w:val="center"/>
        </w:trPr>
        <w:tc>
          <w:tcPr>
            <w:tcW w:w="1033" w:type="pct"/>
            <w:tcBorders>
              <w:top w:val="nil"/>
              <w:left w:val="single" w:sz="4" w:space="0" w:color="auto"/>
              <w:bottom w:val="nil"/>
              <w:right w:val="single" w:sz="4" w:space="0" w:color="auto"/>
            </w:tcBorders>
            <w:vAlign w:val="center"/>
          </w:tcPr>
          <w:p w14:paraId="29AE4451" w14:textId="77777777" w:rsidR="007631A3" w:rsidRDefault="007631A3" w:rsidP="00147C99">
            <w:pPr>
              <w:pStyle w:val="TAC"/>
            </w:pPr>
          </w:p>
        </w:tc>
        <w:tc>
          <w:tcPr>
            <w:tcW w:w="1244" w:type="pct"/>
            <w:tcBorders>
              <w:top w:val="nil"/>
              <w:left w:val="single" w:sz="4" w:space="0" w:color="auto"/>
              <w:bottom w:val="nil"/>
              <w:right w:val="single" w:sz="4" w:space="0" w:color="auto"/>
            </w:tcBorders>
            <w:vAlign w:val="center"/>
          </w:tcPr>
          <w:p w14:paraId="1D7F958B" w14:textId="77777777" w:rsidR="007631A3" w:rsidRDefault="007631A3" w:rsidP="00147C99">
            <w:pPr>
              <w:pStyle w:val="TAC"/>
            </w:pPr>
          </w:p>
        </w:tc>
        <w:tc>
          <w:tcPr>
            <w:tcW w:w="1245" w:type="pct"/>
            <w:tcBorders>
              <w:top w:val="single" w:sz="4" w:space="0" w:color="auto"/>
              <w:left w:val="single" w:sz="4" w:space="0" w:color="auto"/>
              <w:bottom w:val="single" w:sz="4" w:space="0" w:color="auto"/>
              <w:right w:val="single" w:sz="4" w:space="0" w:color="auto"/>
            </w:tcBorders>
            <w:hideMark/>
          </w:tcPr>
          <w:p w14:paraId="4298BF3A" w14:textId="77777777" w:rsidR="007631A3" w:rsidRDefault="007631A3" w:rsidP="00147C99">
            <w:pPr>
              <w:pStyle w:val="TAC"/>
            </w:pPr>
            <w:r>
              <w:t>30</w:t>
            </w:r>
          </w:p>
        </w:tc>
        <w:tc>
          <w:tcPr>
            <w:tcW w:w="1478" w:type="pct"/>
            <w:tcBorders>
              <w:top w:val="single" w:sz="4" w:space="0" w:color="auto"/>
              <w:left w:val="single" w:sz="4" w:space="0" w:color="auto"/>
              <w:bottom w:val="single" w:sz="4" w:space="0" w:color="auto"/>
              <w:right w:val="single" w:sz="4" w:space="0" w:color="auto"/>
            </w:tcBorders>
            <w:hideMark/>
          </w:tcPr>
          <w:p w14:paraId="78ECE3B7" w14:textId="77777777" w:rsidR="007631A3" w:rsidRDefault="007631A3" w:rsidP="00147C99">
            <w:pPr>
              <w:pStyle w:val="TAC"/>
            </w:pPr>
            <w:r>
              <w:t>10*64*T</w:t>
            </w:r>
            <w:r>
              <w:rPr>
                <w:vertAlign w:val="subscript"/>
              </w:rPr>
              <w:t>c</w:t>
            </w:r>
          </w:p>
        </w:tc>
      </w:tr>
      <w:tr w:rsidR="007631A3" w14:paraId="6C8C2DBB" w14:textId="77777777" w:rsidTr="00147C99">
        <w:trPr>
          <w:cantSplit/>
          <w:jc w:val="center"/>
        </w:trPr>
        <w:tc>
          <w:tcPr>
            <w:tcW w:w="1033" w:type="pct"/>
            <w:tcBorders>
              <w:top w:val="nil"/>
              <w:left w:val="single" w:sz="4" w:space="0" w:color="auto"/>
              <w:bottom w:val="nil"/>
              <w:right w:val="single" w:sz="4" w:space="0" w:color="auto"/>
            </w:tcBorders>
            <w:vAlign w:val="center"/>
          </w:tcPr>
          <w:p w14:paraId="2BEF1CD6" w14:textId="77777777" w:rsidR="007631A3" w:rsidRDefault="007631A3" w:rsidP="00147C99">
            <w:pPr>
              <w:pStyle w:val="TAC"/>
            </w:pPr>
          </w:p>
        </w:tc>
        <w:tc>
          <w:tcPr>
            <w:tcW w:w="1244" w:type="pct"/>
            <w:tcBorders>
              <w:top w:val="nil"/>
              <w:left w:val="single" w:sz="4" w:space="0" w:color="auto"/>
              <w:bottom w:val="single" w:sz="4" w:space="0" w:color="auto"/>
              <w:right w:val="single" w:sz="4" w:space="0" w:color="auto"/>
            </w:tcBorders>
            <w:vAlign w:val="center"/>
          </w:tcPr>
          <w:p w14:paraId="0F320D52" w14:textId="77777777" w:rsidR="007631A3" w:rsidRDefault="007631A3" w:rsidP="00147C99">
            <w:pPr>
              <w:pStyle w:val="TAC"/>
            </w:pPr>
          </w:p>
        </w:tc>
        <w:tc>
          <w:tcPr>
            <w:tcW w:w="1245" w:type="pct"/>
            <w:tcBorders>
              <w:top w:val="single" w:sz="4" w:space="0" w:color="auto"/>
              <w:left w:val="single" w:sz="4" w:space="0" w:color="auto"/>
              <w:bottom w:val="single" w:sz="4" w:space="0" w:color="auto"/>
              <w:right w:val="single" w:sz="4" w:space="0" w:color="auto"/>
            </w:tcBorders>
            <w:hideMark/>
          </w:tcPr>
          <w:p w14:paraId="0E35B286" w14:textId="77777777" w:rsidR="007631A3" w:rsidRDefault="007631A3" w:rsidP="00147C99">
            <w:pPr>
              <w:pStyle w:val="TAC"/>
            </w:pPr>
            <w:r>
              <w:t>60</w:t>
            </w:r>
          </w:p>
        </w:tc>
        <w:tc>
          <w:tcPr>
            <w:tcW w:w="1478" w:type="pct"/>
            <w:tcBorders>
              <w:top w:val="single" w:sz="4" w:space="0" w:color="auto"/>
              <w:left w:val="single" w:sz="4" w:space="0" w:color="auto"/>
              <w:bottom w:val="single" w:sz="4" w:space="0" w:color="auto"/>
              <w:right w:val="single" w:sz="4" w:space="0" w:color="auto"/>
            </w:tcBorders>
            <w:hideMark/>
          </w:tcPr>
          <w:p w14:paraId="3D0E66D7" w14:textId="77777777" w:rsidR="007631A3" w:rsidRDefault="007631A3" w:rsidP="00147C99">
            <w:pPr>
              <w:pStyle w:val="TAC"/>
            </w:pPr>
            <w:r>
              <w:t>10*64*T</w:t>
            </w:r>
            <w:r>
              <w:rPr>
                <w:vertAlign w:val="subscript"/>
              </w:rPr>
              <w:t>c</w:t>
            </w:r>
          </w:p>
        </w:tc>
      </w:tr>
      <w:tr w:rsidR="007631A3" w14:paraId="7B1FF74E" w14:textId="77777777" w:rsidTr="00147C99">
        <w:trPr>
          <w:cantSplit/>
          <w:jc w:val="center"/>
        </w:trPr>
        <w:tc>
          <w:tcPr>
            <w:tcW w:w="1033" w:type="pct"/>
            <w:tcBorders>
              <w:top w:val="nil"/>
              <w:left w:val="single" w:sz="4" w:space="0" w:color="auto"/>
              <w:bottom w:val="nil"/>
              <w:right w:val="single" w:sz="4" w:space="0" w:color="auto"/>
            </w:tcBorders>
            <w:vAlign w:val="center"/>
          </w:tcPr>
          <w:p w14:paraId="58C340CA" w14:textId="77777777" w:rsidR="007631A3" w:rsidRDefault="007631A3" w:rsidP="00147C99">
            <w:pPr>
              <w:pStyle w:val="TAC"/>
            </w:pPr>
          </w:p>
        </w:tc>
        <w:tc>
          <w:tcPr>
            <w:tcW w:w="1244" w:type="pct"/>
            <w:tcBorders>
              <w:top w:val="single" w:sz="4" w:space="0" w:color="auto"/>
              <w:left w:val="single" w:sz="4" w:space="0" w:color="auto"/>
              <w:bottom w:val="nil"/>
              <w:right w:val="single" w:sz="4" w:space="0" w:color="auto"/>
            </w:tcBorders>
            <w:vAlign w:val="center"/>
            <w:hideMark/>
          </w:tcPr>
          <w:p w14:paraId="559967EA" w14:textId="77777777" w:rsidR="007631A3" w:rsidRDefault="007631A3" w:rsidP="00147C99">
            <w:pPr>
              <w:pStyle w:val="TAC"/>
            </w:pPr>
            <w:r>
              <w:t>30</w:t>
            </w:r>
          </w:p>
        </w:tc>
        <w:tc>
          <w:tcPr>
            <w:tcW w:w="1245" w:type="pct"/>
            <w:tcBorders>
              <w:top w:val="single" w:sz="4" w:space="0" w:color="auto"/>
              <w:left w:val="single" w:sz="4" w:space="0" w:color="auto"/>
              <w:bottom w:val="single" w:sz="4" w:space="0" w:color="auto"/>
              <w:right w:val="single" w:sz="4" w:space="0" w:color="auto"/>
            </w:tcBorders>
            <w:hideMark/>
          </w:tcPr>
          <w:p w14:paraId="79345060" w14:textId="77777777" w:rsidR="007631A3" w:rsidRDefault="007631A3" w:rsidP="00147C99">
            <w:pPr>
              <w:pStyle w:val="TAC"/>
            </w:pPr>
            <w:r>
              <w:t>15</w:t>
            </w:r>
          </w:p>
        </w:tc>
        <w:tc>
          <w:tcPr>
            <w:tcW w:w="1478" w:type="pct"/>
            <w:tcBorders>
              <w:top w:val="single" w:sz="4" w:space="0" w:color="auto"/>
              <w:left w:val="single" w:sz="4" w:space="0" w:color="auto"/>
              <w:bottom w:val="single" w:sz="4" w:space="0" w:color="auto"/>
              <w:right w:val="single" w:sz="4" w:space="0" w:color="auto"/>
            </w:tcBorders>
            <w:hideMark/>
          </w:tcPr>
          <w:p w14:paraId="66FC60F1" w14:textId="77777777" w:rsidR="007631A3" w:rsidRDefault="007631A3" w:rsidP="00147C99">
            <w:pPr>
              <w:pStyle w:val="TAC"/>
            </w:pPr>
            <w:r>
              <w:t>8*64*T</w:t>
            </w:r>
            <w:r>
              <w:rPr>
                <w:vertAlign w:val="subscript"/>
              </w:rPr>
              <w:t>c</w:t>
            </w:r>
          </w:p>
        </w:tc>
      </w:tr>
      <w:tr w:rsidR="007631A3" w14:paraId="002722BB" w14:textId="77777777" w:rsidTr="00147C99">
        <w:trPr>
          <w:cantSplit/>
          <w:jc w:val="center"/>
        </w:trPr>
        <w:tc>
          <w:tcPr>
            <w:tcW w:w="1033" w:type="pct"/>
            <w:tcBorders>
              <w:top w:val="nil"/>
              <w:left w:val="single" w:sz="4" w:space="0" w:color="auto"/>
              <w:bottom w:val="nil"/>
              <w:right w:val="single" w:sz="4" w:space="0" w:color="auto"/>
            </w:tcBorders>
            <w:vAlign w:val="center"/>
          </w:tcPr>
          <w:p w14:paraId="145F71E9" w14:textId="77777777" w:rsidR="007631A3" w:rsidRDefault="007631A3" w:rsidP="00147C99">
            <w:pPr>
              <w:pStyle w:val="TAC"/>
            </w:pPr>
          </w:p>
        </w:tc>
        <w:tc>
          <w:tcPr>
            <w:tcW w:w="1244" w:type="pct"/>
            <w:tcBorders>
              <w:top w:val="nil"/>
              <w:left w:val="single" w:sz="4" w:space="0" w:color="auto"/>
              <w:bottom w:val="nil"/>
              <w:right w:val="single" w:sz="4" w:space="0" w:color="auto"/>
            </w:tcBorders>
            <w:vAlign w:val="center"/>
          </w:tcPr>
          <w:p w14:paraId="2CA1B3D0" w14:textId="77777777" w:rsidR="007631A3" w:rsidRDefault="007631A3" w:rsidP="00147C99">
            <w:pPr>
              <w:pStyle w:val="TAC"/>
            </w:pPr>
          </w:p>
        </w:tc>
        <w:tc>
          <w:tcPr>
            <w:tcW w:w="1245" w:type="pct"/>
            <w:tcBorders>
              <w:top w:val="single" w:sz="4" w:space="0" w:color="auto"/>
              <w:left w:val="single" w:sz="4" w:space="0" w:color="auto"/>
              <w:bottom w:val="single" w:sz="4" w:space="0" w:color="auto"/>
              <w:right w:val="single" w:sz="4" w:space="0" w:color="auto"/>
            </w:tcBorders>
            <w:hideMark/>
          </w:tcPr>
          <w:p w14:paraId="527C06EE" w14:textId="77777777" w:rsidR="007631A3" w:rsidRDefault="007631A3" w:rsidP="00147C99">
            <w:pPr>
              <w:pStyle w:val="TAC"/>
            </w:pPr>
            <w:r>
              <w:t>30</w:t>
            </w:r>
          </w:p>
        </w:tc>
        <w:tc>
          <w:tcPr>
            <w:tcW w:w="1478" w:type="pct"/>
            <w:tcBorders>
              <w:top w:val="single" w:sz="4" w:space="0" w:color="auto"/>
              <w:left w:val="single" w:sz="4" w:space="0" w:color="auto"/>
              <w:bottom w:val="single" w:sz="4" w:space="0" w:color="auto"/>
              <w:right w:val="single" w:sz="4" w:space="0" w:color="auto"/>
            </w:tcBorders>
            <w:hideMark/>
          </w:tcPr>
          <w:p w14:paraId="7B22C687" w14:textId="77777777" w:rsidR="007631A3" w:rsidRDefault="007631A3" w:rsidP="00147C99">
            <w:pPr>
              <w:pStyle w:val="TAC"/>
            </w:pPr>
            <w:r>
              <w:t>8*64*T</w:t>
            </w:r>
            <w:r>
              <w:rPr>
                <w:vertAlign w:val="subscript"/>
              </w:rPr>
              <w:t>c</w:t>
            </w:r>
          </w:p>
        </w:tc>
      </w:tr>
      <w:tr w:rsidR="007631A3" w14:paraId="65C81679" w14:textId="77777777" w:rsidTr="00147C99">
        <w:trPr>
          <w:cantSplit/>
          <w:jc w:val="center"/>
        </w:trPr>
        <w:tc>
          <w:tcPr>
            <w:tcW w:w="1033" w:type="pct"/>
            <w:tcBorders>
              <w:top w:val="nil"/>
              <w:left w:val="single" w:sz="4" w:space="0" w:color="auto"/>
              <w:bottom w:val="single" w:sz="4" w:space="0" w:color="auto"/>
              <w:right w:val="single" w:sz="4" w:space="0" w:color="auto"/>
            </w:tcBorders>
            <w:vAlign w:val="center"/>
          </w:tcPr>
          <w:p w14:paraId="786C12CF" w14:textId="77777777" w:rsidR="007631A3" w:rsidRDefault="007631A3" w:rsidP="00147C99">
            <w:pPr>
              <w:pStyle w:val="TAC"/>
            </w:pPr>
          </w:p>
        </w:tc>
        <w:tc>
          <w:tcPr>
            <w:tcW w:w="1244" w:type="pct"/>
            <w:tcBorders>
              <w:top w:val="nil"/>
              <w:left w:val="single" w:sz="4" w:space="0" w:color="auto"/>
              <w:bottom w:val="single" w:sz="4" w:space="0" w:color="auto"/>
              <w:right w:val="single" w:sz="4" w:space="0" w:color="auto"/>
            </w:tcBorders>
            <w:vAlign w:val="center"/>
          </w:tcPr>
          <w:p w14:paraId="651A75DA" w14:textId="77777777" w:rsidR="007631A3" w:rsidRDefault="007631A3" w:rsidP="00147C99">
            <w:pPr>
              <w:pStyle w:val="TAC"/>
            </w:pPr>
          </w:p>
        </w:tc>
        <w:tc>
          <w:tcPr>
            <w:tcW w:w="1245" w:type="pct"/>
            <w:tcBorders>
              <w:top w:val="single" w:sz="4" w:space="0" w:color="auto"/>
              <w:left w:val="single" w:sz="4" w:space="0" w:color="auto"/>
              <w:bottom w:val="single" w:sz="4" w:space="0" w:color="auto"/>
              <w:right w:val="single" w:sz="4" w:space="0" w:color="auto"/>
            </w:tcBorders>
            <w:hideMark/>
          </w:tcPr>
          <w:p w14:paraId="43280E94" w14:textId="77777777" w:rsidR="007631A3" w:rsidRDefault="007631A3" w:rsidP="00147C99">
            <w:pPr>
              <w:pStyle w:val="TAC"/>
            </w:pPr>
            <w:r>
              <w:t>60</w:t>
            </w:r>
          </w:p>
        </w:tc>
        <w:tc>
          <w:tcPr>
            <w:tcW w:w="1478" w:type="pct"/>
            <w:tcBorders>
              <w:top w:val="single" w:sz="4" w:space="0" w:color="auto"/>
              <w:left w:val="single" w:sz="4" w:space="0" w:color="auto"/>
              <w:bottom w:val="single" w:sz="4" w:space="0" w:color="auto"/>
              <w:right w:val="single" w:sz="4" w:space="0" w:color="auto"/>
            </w:tcBorders>
            <w:hideMark/>
          </w:tcPr>
          <w:p w14:paraId="72C40A32" w14:textId="77777777" w:rsidR="007631A3" w:rsidRDefault="007631A3" w:rsidP="00147C99">
            <w:pPr>
              <w:pStyle w:val="TAC"/>
            </w:pPr>
            <w:r>
              <w:t>7*64*T</w:t>
            </w:r>
            <w:r>
              <w:rPr>
                <w:vertAlign w:val="subscript"/>
              </w:rPr>
              <w:t>c</w:t>
            </w:r>
          </w:p>
        </w:tc>
      </w:tr>
      <w:tr w:rsidR="007631A3" w14:paraId="1F314BC0" w14:textId="77777777" w:rsidTr="00147C99">
        <w:trPr>
          <w:cantSplit/>
          <w:jc w:val="center"/>
        </w:trPr>
        <w:tc>
          <w:tcPr>
            <w:tcW w:w="1033" w:type="pct"/>
            <w:tcBorders>
              <w:top w:val="single" w:sz="4" w:space="0" w:color="auto"/>
              <w:left w:val="single" w:sz="4" w:space="0" w:color="auto"/>
              <w:bottom w:val="nil"/>
              <w:right w:val="single" w:sz="4" w:space="0" w:color="auto"/>
            </w:tcBorders>
            <w:vAlign w:val="center"/>
            <w:hideMark/>
          </w:tcPr>
          <w:p w14:paraId="481318F7" w14:textId="77777777" w:rsidR="007631A3" w:rsidRDefault="007631A3" w:rsidP="00147C99">
            <w:pPr>
              <w:pStyle w:val="TAC"/>
            </w:pPr>
            <w:r>
              <w:t>2-1</w:t>
            </w:r>
          </w:p>
        </w:tc>
        <w:tc>
          <w:tcPr>
            <w:tcW w:w="1244" w:type="pct"/>
            <w:tcBorders>
              <w:top w:val="single" w:sz="4" w:space="0" w:color="auto"/>
              <w:left w:val="single" w:sz="4" w:space="0" w:color="auto"/>
              <w:bottom w:val="nil"/>
              <w:right w:val="single" w:sz="4" w:space="0" w:color="auto"/>
            </w:tcBorders>
            <w:vAlign w:val="center"/>
            <w:hideMark/>
          </w:tcPr>
          <w:p w14:paraId="1FB1A2FC" w14:textId="77777777" w:rsidR="007631A3" w:rsidRDefault="007631A3" w:rsidP="00147C99">
            <w:pPr>
              <w:pStyle w:val="TAC"/>
            </w:pPr>
            <w:r>
              <w:t>120</w:t>
            </w:r>
          </w:p>
        </w:tc>
        <w:tc>
          <w:tcPr>
            <w:tcW w:w="1245" w:type="pct"/>
            <w:tcBorders>
              <w:top w:val="single" w:sz="4" w:space="0" w:color="auto"/>
              <w:left w:val="single" w:sz="4" w:space="0" w:color="auto"/>
              <w:bottom w:val="single" w:sz="4" w:space="0" w:color="auto"/>
              <w:right w:val="single" w:sz="4" w:space="0" w:color="auto"/>
            </w:tcBorders>
            <w:hideMark/>
          </w:tcPr>
          <w:p w14:paraId="7CC65C8F" w14:textId="77777777" w:rsidR="007631A3" w:rsidRDefault="007631A3" w:rsidP="00147C99">
            <w:pPr>
              <w:pStyle w:val="TAC"/>
            </w:pPr>
            <w:r>
              <w:t>60</w:t>
            </w:r>
          </w:p>
        </w:tc>
        <w:tc>
          <w:tcPr>
            <w:tcW w:w="1478" w:type="pct"/>
            <w:tcBorders>
              <w:top w:val="single" w:sz="4" w:space="0" w:color="auto"/>
              <w:left w:val="single" w:sz="4" w:space="0" w:color="auto"/>
              <w:bottom w:val="single" w:sz="4" w:space="0" w:color="auto"/>
              <w:right w:val="single" w:sz="4" w:space="0" w:color="auto"/>
            </w:tcBorders>
            <w:hideMark/>
          </w:tcPr>
          <w:p w14:paraId="60D9D0EF" w14:textId="77777777" w:rsidR="007631A3" w:rsidRDefault="007631A3" w:rsidP="00147C99">
            <w:pPr>
              <w:pStyle w:val="TAC"/>
            </w:pPr>
            <w:r>
              <w:t>3.5*64*T</w:t>
            </w:r>
            <w:r>
              <w:rPr>
                <w:vertAlign w:val="subscript"/>
              </w:rPr>
              <w:t>c</w:t>
            </w:r>
          </w:p>
        </w:tc>
      </w:tr>
      <w:tr w:rsidR="007631A3" w14:paraId="69A3B30E" w14:textId="77777777" w:rsidTr="00147C99">
        <w:trPr>
          <w:cantSplit/>
          <w:jc w:val="center"/>
        </w:trPr>
        <w:tc>
          <w:tcPr>
            <w:tcW w:w="1033" w:type="pct"/>
            <w:tcBorders>
              <w:top w:val="nil"/>
              <w:left w:val="single" w:sz="4" w:space="0" w:color="auto"/>
              <w:bottom w:val="nil"/>
              <w:right w:val="single" w:sz="4" w:space="0" w:color="auto"/>
            </w:tcBorders>
            <w:vAlign w:val="center"/>
          </w:tcPr>
          <w:p w14:paraId="4133BFF2" w14:textId="77777777" w:rsidR="007631A3" w:rsidRDefault="007631A3" w:rsidP="00147C99">
            <w:pPr>
              <w:pStyle w:val="TAC"/>
            </w:pPr>
          </w:p>
        </w:tc>
        <w:tc>
          <w:tcPr>
            <w:tcW w:w="1244" w:type="pct"/>
            <w:tcBorders>
              <w:top w:val="nil"/>
              <w:left w:val="single" w:sz="4" w:space="0" w:color="auto"/>
              <w:bottom w:val="single" w:sz="4" w:space="0" w:color="auto"/>
              <w:right w:val="single" w:sz="4" w:space="0" w:color="auto"/>
            </w:tcBorders>
            <w:vAlign w:val="center"/>
          </w:tcPr>
          <w:p w14:paraId="79576D6B" w14:textId="77777777" w:rsidR="007631A3" w:rsidRDefault="007631A3" w:rsidP="00147C99">
            <w:pPr>
              <w:pStyle w:val="TAC"/>
            </w:pPr>
          </w:p>
        </w:tc>
        <w:tc>
          <w:tcPr>
            <w:tcW w:w="1245" w:type="pct"/>
            <w:tcBorders>
              <w:top w:val="single" w:sz="4" w:space="0" w:color="auto"/>
              <w:left w:val="single" w:sz="4" w:space="0" w:color="auto"/>
              <w:bottom w:val="single" w:sz="4" w:space="0" w:color="auto"/>
              <w:right w:val="single" w:sz="4" w:space="0" w:color="auto"/>
            </w:tcBorders>
            <w:hideMark/>
          </w:tcPr>
          <w:p w14:paraId="2A0D9F27" w14:textId="77777777" w:rsidR="007631A3" w:rsidRDefault="007631A3" w:rsidP="00147C99">
            <w:pPr>
              <w:pStyle w:val="TAC"/>
            </w:pPr>
            <w:r>
              <w:t>120</w:t>
            </w:r>
          </w:p>
        </w:tc>
        <w:tc>
          <w:tcPr>
            <w:tcW w:w="1478" w:type="pct"/>
            <w:tcBorders>
              <w:top w:val="single" w:sz="4" w:space="0" w:color="auto"/>
              <w:left w:val="single" w:sz="4" w:space="0" w:color="auto"/>
              <w:bottom w:val="single" w:sz="4" w:space="0" w:color="auto"/>
              <w:right w:val="single" w:sz="4" w:space="0" w:color="auto"/>
            </w:tcBorders>
            <w:hideMark/>
          </w:tcPr>
          <w:p w14:paraId="679F699E" w14:textId="77777777" w:rsidR="007631A3" w:rsidRDefault="007631A3" w:rsidP="00147C99">
            <w:pPr>
              <w:pStyle w:val="TAC"/>
            </w:pPr>
            <w:r>
              <w:t>3.5*64*T</w:t>
            </w:r>
            <w:r>
              <w:rPr>
                <w:vertAlign w:val="subscript"/>
              </w:rPr>
              <w:t>c</w:t>
            </w:r>
          </w:p>
        </w:tc>
      </w:tr>
      <w:tr w:rsidR="007631A3" w14:paraId="272F14F8" w14:textId="77777777" w:rsidTr="00147C99">
        <w:trPr>
          <w:cantSplit/>
          <w:jc w:val="center"/>
        </w:trPr>
        <w:tc>
          <w:tcPr>
            <w:tcW w:w="1033" w:type="pct"/>
            <w:tcBorders>
              <w:top w:val="nil"/>
              <w:left w:val="single" w:sz="4" w:space="0" w:color="auto"/>
              <w:bottom w:val="nil"/>
              <w:right w:val="single" w:sz="4" w:space="0" w:color="auto"/>
            </w:tcBorders>
            <w:vAlign w:val="center"/>
          </w:tcPr>
          <w:p w14:paraId="48190610" w14:textId="77777777" w:rsidR="007631A3" w:rsidRDefault="007631A3" w:rsidP="00147C99">
            <w:pPr>
              <w:pStyle w:val="TAC"/>
            </w:pPr>
          </w:p>
        </w:tc>
        <w:tc>
          <w:tcPr>
            <w:tcW w:w="1244" w:type="pct"/>
            <w:tcBorders>
              <w:top w:val="single" w:sz="4" w:space="0" w:color="auto"/>
              <w:left w:val="single" w:sz="4" w:space="0" w:color="auto"/>
              <w:bottom w:val="nil"/>
              <w:right w:val="single" w:sz="4" w:space="0" w:color="auto"/>
            </w:tcBorders>
            <w:vAlign w:val="center"/>
            <w:hideMark/>
          </w:tcPr>
          <w:p w14:paraId="030A75D3" w14:textId="77777777" w:rsidR="007631A3" w:rsidRDefault="007631A3" w:rsidP="00147C99">
            <w:pPr>
              <w:pStyle w:val="TAC"/>
            </w:pPr>
            <w:r>
              <w:t>240</w:t>
            </w:r>
          </w:p>
        </w:tc>
        <w:tc>
          <w:tcPr>
            <w:tcW w:w="1245" w:type="pct"/>
            <w:tcBorders>
              <w:top w:val="single" w:sz="4" w:space="0" w:color="auto"/>
              <w:left w:val="single" w:sz="4" w:space="0" w:color="auto"/>
              <w:bottom w:val="single" w:sz="4" w:space="0" w:color="auto"/>
              <w:right w:val="single" w:sz="4" w:space="0" w:color="auto"/>
            </w:tcBorders>
            <w:hideMark/>
          </w:tcPr>
          <w:p w14:paraId="4356C33E" w14:textId="77777777" w:rsidR="007631A3" w:rsidRDefault="007631A3" w:rsidP="00147C99">
            <w:pPr>
              <w:pStyle w:val="TAC"/>
            </w:pPr>
            <w:r>
              <w:t>60</w:t>
            </w:r>
          </w:p>
        </w:tc>
        <w:tc>
          <w:tcPr>
            <w:tcW w:w="1478" w:type="pct"/>
            <w:tcBorders>
              <w:top w:val="single" w:sz="4" w:space="0" w:color="auto"/>
              <w:left w:val="single" w:sz="4" w:space="0" w:color="auto"/>
              <w:bottom w:val="single" w:sz="4" w:space="0" w:color="auto"/>
              <w:right w:val="single" w:sz="4" w:space="0" w:color="auto"/>
            </w:tcBorders>
            <w:hideMark/>
          </w:tcPr>
          <w:p w14:paraId="728D0614" w14:textId="77777777" w:rsidR="007631A3" w:rsidRDefault="007631A3" w:rsidP="00147C99">
            <w:pPr>
              <w:pStyle w:val="TAC"/>
            </w:pPr>
            <w:r>
              <w:t>3*64*T</w:t>
            </w:r>
            <w:r>
              <w:rPr>
                <w:vertAlign w:val="subscript"/>
              </w:rPr>
              <w:t>c</w:t>
            </w:r>
          </w:p>
        </w:tc>
      </w:tr>
      <w:tr w:rsidR="007631A3" w14:paraId="2E5DB6B2" w14:textId="77777777" w:rsidTr="00147C99">
        <w:trPr>
          <w:cantSplit/>
          <w:jc w:val="center"/>
        </w:trPr>
        <w:tc>
          <w:tcPr>
            <w:tcW w:w="1033" w:type="pct"/>
            <w:tcBorders>
              <w:top w:val="nil"/>
              <w:left w:val="single" w:sz="4" w:space="0" w:color="auto"/>
              <w:bottom w:val="single" w:sz="4" w:space="0" w:color="auto"/>
              <w:right w:val="single" w:sz="4" w:space="0" w:color="auto"/>
            </w:tcBorders>
          </w:tcPr>
          <w:p w14:paraId="5444308E" w14:textId="77777777" w:rsidR="007631A3" w:rsidRDefault="007631A3" w:rsidP="00147C99">
            <w:pPr>
              <w:pStyle w:val="TAC"/>
            </w:pPr>
          </w:p>
        </w:tc>
        <w:tc>
          <w:tcPr>
            <w:tcW w:w="1244" w:type="pct"/>
            <w:tcBorders>
              <w:top w:val="nil"/>
              <w:left w:val="single" w:sz="4" w:space="0" w:color="auto"/>
              <w:bottom w:val="single" w:sz="4" w:space="0" w:color="auto"/>
              <w:right w:val="single" w:sz="4" w:space="0" w:color="auto"/>
            </w:tcBorders>
          </w:tcPr>
          <w:p w14:paraId="570795D8" w14:textId="77777777" w:rsidR="007631A3" w:rsidRDefault="007631A3" w:rsidP="00147C99">
            <w:pPr>
              <w:pStyle w:val="TAC"/>
            </w:pPr>
          </w:p>
        </w:tc>
        <w:tc>
          <w:tcPr>
            <w:tcW w:w="1245" w:type="pct"/>
            <w:tcBorders>
              <w:top w:val="single" w:sz="4" w:space="0" w:color="auto"/>
              <w:left w:val="single" w:sz="4" w:space="0" w:color="auto"/>
              <w:bottom w:val="single" w:sz="4" w:space="0" w:color="auto"/>
              <w:right w:val="single" w:sz="4" w:space="0" w:color="auto"/>
            </w:tcBorders>
            <w:hideMark/>
          </w:tcPr>
          <w:p w14:paraId="590C6CA3" w14:textId="77777777" w:rsidR="007631A3" w:rsidRDefault="007631A3" w:rsidP="00147C99">
            <w:pPr>
              <w:pStyle w:val="TAC"/>
            </w:pPr>
            <w:r>
              <w:t>120</w:t>
            </w:r>
          </w:p>
        </w:tc>
        <w:tc>
          <w:tcPr>
            <w:tcW w:w="1478" w:type="pct"/>
            <w:tcBorders>
              <w:top w:val="single" w:sz="4" w:space="0" w:color="auto"/>
              <w:left w:val="single" w:sz="4" w:space="0" w:color="auto"/>
              <w:bottom w:val="single" w:sz="4" w:space="0" w:color="auto"/>
              <w:right w:val="single" w:sz="4" w:space="0" w:color="auto"/>
            </w:tcBorders>
            <w:hideMark/>
          </w:tcPr>
          <w:p w14:paraId="4CB09C01" w14:textId="77777777" w:rsidR="007631A3" w:rsidRDefault="007631A3" w:rsidP="00147C99">
            <w:pPr>
              <w:pStyle w:val="TAC"/>
            </w:pPr>
            <w:r>
              <w:t>3*64*T</w:t>
            </w:r>
            <w:r>
              <w:rPr>
                <w:vertAlign w:val="subscript"/>
              </w:rPr>
              <w:t>c</w:t>
            </w:r>
          </w:p>
        </w:tc>
      </w:tr>
      <w:tr w:rsidR="007631A3" w14:paraId="6BCF280B" w14:textId="77777777" w:rsidTr="00147C99">
        <w:trPr>
          <w:cantSplit/>
          <w:jc w:val="center"/>
        </w:trPr>
        <w:tc>
          <w:tcPr>
            <w:tcW w:w="1033" w:type="pct"/>
            <w:tcBorders>
              <w:top w:val="single" w:sz="4" w:space="0" w:color="auto"/>
              <w:left w:val="single" w:sz="4" w:space="0" w:color="auto"/>
              <w:bottom w:val="nil"/>
              <w:right w:val="single" w:sz="4" w:space="0" w:color="auto"/>
            </w:tcBorders>
            <w:hideMark/>
          </w:tcPr>
          <w:p w14:paraId="5C368675" w14:textId="77777777" w:rsidR="007631A3" w:rsidRDefault="007631A3" w:rsidP="00147C99">
            <w:pPr>
              <w:pStyle w:val="TAC"/>
            </w:pPr>
            <w:r>
              <w:t>2-2</w:t>
            </w:r>
          </w:p>
        </w:tc>
        <w:tc>
          <w:tcPr>
            <w:tcW w:w="1244" w:type="pct"/>
            <w:tcBorders>
              <w:top w:val="single" w:sz="4" w:space="0" w:color="auto"/>
              <w:left w:val="single" w:sz="4" w:space="0" w:color="auto"/>
              <w:bottom w:val="nil"/>
              <w:right w:val="single" w:sz="4" w:space="0" w:color="auto"/>
            </w:tcBorders>
            <w:hideMark/>
          </w:tcPr>
          <w:p w14:paraId="32D10E65" w14:textId="77777777" w:rsidR="007631A3" w:rsidRDefault="007631A3" w:rsidP="00147C99">
            <w:pPr>
              <w:pStyle w:val="TAC"/>
            </w:pPr>
            <w:r>
              <w:t>120</w:t>
            </w:r>
          </w:p>
        </w:tc>
        <w:tc>
          <w:tcPr>
            <w:tcW w:w="1245" w:type="pct"/>
            <w:tcBorders>
              <w:top w:val="single" w:sz="4" w:space="0" w:color="auto"/>
              <w:left w:val="single" w:sz="4" w:space="0" w:color="auto"/>
              <w:bottom w:val="single" w:sz="4" w:space="0" w:color="auto"/>
              <w:right w:val="single" w:sz="4" w:space="0" w:color="auto"/>
            </w:tcBorders>
            <w:hideMark/>
          </w:tcPr>
          <w:p w14:paraId="19221501" w14:textId="77777777" w:rsidR="007631A3" w:rsidRDefault="007631A3" w:rsidP="00147C99">
            <w:pPr>
              <w:pStyle w:val="TAC"/>
            </w:pPr>
            <w:r>
              <w:t>120</w:t>
            </w:r>
          </w:p>
        </w:tc>
        <w:tc>
          <w:tcPr>
            <w:tcW w:w="1478" w:type="pct"/>
            <w:tcBorders>
              <w:top w:val="single" w:sz="4" w:space="0" w:color="auto"/>
              <w:left w:val="single" w:sz="4" w:space="0" w:color="auto"/>
              <w:bottom w:val="single" w:sz="4" w:space="0" w:color="auto"/>
              <w:right w:val="single" w:sz="4" w:space="0" w:color="auto"/>
            </w:tcBorders>
            <w:hideMark/>
          </w:tcPr>
          <w:p w14:paraId="4B8C98CF" w14:textId="77777777" w:rsidR="007631A3" w:rsidRDefault="007631A3" w:rsidP="00147C99">
            <w:pPr>
              <w:pStyle w:val="TAC"/>
            </w:pPr>
            <w:r>
              <w:t>3.5*64*T</w:t>
            </w:r>
            <w:r>
              <w:rPr>
                <w:vertAlign w:val="subscript"/>
              </w:rPr>
              <w:t>c</w:t>
            </w:r>
          </w:p>
        </w:tc>
      </w:tr>
      <w:tr w:rsidR="007631A3" w14:paraId="29C5453B" w14:textId="77777777" w:rsidTr="00147C99">
        <w:trPr>
          <w:cantSplit/>
          <w:jc w:val="center"/>
        </w:trPr>
        <w:tc>
          <w:tcPr>
            <w:tcW w:w="1033" w:type="pct"/>
            <w:tcBorders>
              <w:top w:val="nil"/>
              <w:left w:val="single" w:sz="4" w:space="0" w:color="auto"/>
              <w:bottom w:val="nil"/>
              <w:right w:val="single" w:sz="4" w:space="0" w:color="auto"/>
            </w:tcBorders>
          </w:tcPr>
          <w:p w14:paraId="05402EF4" w14:textId="77777777" w:rsidR="007631A3" w:rsidRDefault="007631A3" w:rsidP="00147C99">
            <w:pPr>
              <w:pStyle w:val="TAC"/>
            </w:pPr>
          </w:p>
        </w:tc>
        <w:tc>
          <w:tcPr>
            <w:tcW w:w="1244" w:type="pct"/>
            <w:tcBorders>
              <w:top w:val="nil"/>
              <w:left w:val="single" w:sz="4" w:space="0" w:color="auto"/>
              <w:bottom w:val="single" w:sz="4" w:space="0" w:color="auto"/>
              <w:right w:val="single" w:sz="4" w:space="0" w:color="auto"/>
            </w:tcBorders>
          </w:tcPr>
          <w:p w14:paraId="0A55EAFC" w14:textId="77777777" w:rsidR="007631A3" w:rsidRDefault="007631A3" w:rsidP="00147C99">
            <w:pPr>
              <w:pStyle w:val="TAC"/>
            </w:pPr>
          </w:p>
        </w:tc>
        <w:tc>
          <w:tcPr>
            <w:tcW w:w="1245" w:type="pct"/>
            <w:tcBorders>
              <w:top w:val="single" w:sz="4" w:space="0" w:color="auto"/>
              <w:left w:val="single" w:sz="4" w:space="0" w:color="auto"/>
              <w:bottom w:val="single" w:sz="4" w:space="0" w:color="auto"/>
              <w:right w:val="single" w:sz="4" w:space="0" w:color="auto"/>
            </w:tcBorders>
            <w:hideMark/>
          </w:tcPr>
          <w:p w14:paraId="1D247CB2" w14:textId="77777777" w:rsidR="007631A3" w:rsidRDefault="007631A3" w:rsidP="00147C99">
            <w:pPr>
              <w:pStyle w:val="TAC"/>
            </w:pPr>
            <w:r>
              <w:t>480</w:t>
            </w:r>
          </w:p>
        </w:tc>
        <w:tc>
          <w:tcPr>
            <w:tcW w:w="1478" w:type="pct"/>
            <w:tcBorders>
              <w:top w:val="single" w:sz="4" w:space="0" w:color="auto"/>
              <w:left w:val="single" w:sz="4" w:space="0" w:color="auto"/>
              <w:bottom w:val="single" w:sz="4" w:space="0" w:color="auto"/>
              <w:right w:val="single" w:sz="4" w:space="0" w:color="auto"/>
            </w:tcBorders>
            <w:hideMark/>
          </w:tcPr>
          <w:p w14:paraId="1BD08684" w14:textId="77777777" w:rsidR="007631A3" w:rsidRDefault="007631A3" w:rsidP="00147C99">
            <w:pPr>
              <w:pStyle w:val="TAC"/>
            </w:pPr>
            <w:r>
              <w:t>[1.58]*64*T</w:t>
            </w:r>
            <w:r>
              <w:rPr>
                <w:vertAlign w:val="subscript"/>
              </w:rPr>
              <w:t>c</w:t>
            </w:r>
          </w:p>
        </w:tc>
      </w:tr>
      <w:tr w:rsidR="007631A3" w14:paraId="56470E21" w14:textId="77777777" w:rsidTr="00147C99">
        <w:trPr>
          <w:cantSplit/>
          <w:jc w:val="center"/>
        </w:trPr>
        <w:tc>
          <w:tcPr>
            <w:tcW w:w="1033" w:type="pct"/>
            <w:tcBorders>
              <w:top w:val="nil"/>
              <w:left w:val="single" w:sz="4" w:space="0" w:color="auto"/>
              <w:bottom w:val="nil"/>
              <w:right w:val="single" w:sz="4" w:space="0" w:color="auto"/>
            </w:tcBorders>
          </w:tcPr>
          <w:p w14:paraId="0FFDA2A8" w14:textId="77777777" w:rsidR="007631A3" w:rsidRDefault="007631A3" w:rsidP="00147C99">
            <w:pPr>
              <w:pStyle w:val="TAC"/>
            </w:pPr>
          </w:p>
        </w:tc>
        <w:tc>
          <w:tcPr>
            <w:tcW w:w="1244" w:type="pct"/>
            <w:tcBorders>
              <w:top w:val="single" w:sz="4" w:space="0" w:color="auto"/>
              <w:left w:val="single" w:sz="4" w:space="0" w:color="auto"/>
              <w:bottom w:val="nil"/>
              <w:right w:val="single" w:sz="4" w:space="0" w:color="auto"/>
            </w:tcBorders>
            <w:hideMark/>
          </w:tcPr>
          <w:p w14:paraId="1055BFAE" w14:textId="77777777" w:rsidR="007631A3" w:rsidRDefault="007631A3" w:rsidP="00147C99">
            <w:pPr>
              <w:pStyle w:val="TAC"/>
            </w:pPr>
            <w:r>
              <w:t>480</w:t>
            </w:r>
          </w:p>
        </w:tc>
        <w:tc>
          <w:tcPr>
            <w:tcW w:w="1245" w:type="pct"/>
            <w:tcBorders>
              <w:top w:val="single" w:sz="4" w:space="0" w:color="auto"/>
              <w:left w:val="single" w:sz="4" w:space="0" w:color="auto"/>
              <w:bottom w:val="single" w:sz="4" w:space="0" w:color="auto"/>
              <w:right w:val="single" w:sz="4" w:space="0" w:color="auto"/>
            </w:tcBorders>
            <w:hideMark/>
          </w:tcPr>
          <w:p w14:paraId="44A735FA" w14:textId="77777777" w:rsidR="007631A3" w:rsidRDefault="007631A3" w:rsidP="00147C99">
            <w:pPr>
              <w:pStyle w:val="TAC"/>
            </w:pPr>
            <w:r>
              <w:t>120</w:t>
            </w:r>
          </w:p>
        </w:tc>
        <w:tc>
          <w:tcPr>
            <w:tcW w:w="1478" w:type="pct"/>
            <w:tcBorders>
              <w:top w:val="single" w:sz="4" w:space="0" w:color="auto"/>
              <w:left w:val="single" w:sz="4" w:space="0" w:color="auto"/>
              <w:bottom w:val="single" w:sz="4" w:space="0" w:color="auto"/>
              <w:right w:val="single" w:sz="4" w:space="0" w:color="auto"/>
            </w:tcBorders>
            <w:hideMark/>
          </w:tcPr>
          <w:p w14:paraId="5DCE8166" w14:textId="77777777" w:rsidR="007631A3" w:rsidRDefault="007631A3" w:rsidP="00147C99">
            <w:pPr>
              <w:pStyle w:val="TAC"/>
            </w:pPr>
            <w:r>
              <w:t>2.86*64*T</w:t>
            </w:r>
            <w:r>
              <w:rPr>
                <w:vertAlign w:val="subscript"/>
              </w:rPr>
              <w:t>c</w:t>
            </w:r>
          </w:p>
        </w:tc>
      </w:tr>
      <w:tr w:rsidR="007631A3" w14:paraId="1DD51A20" w14:textId="77777777" w:rsidTr="00147C99">
        <w:trPr>
          <w:cantSplit/>
          <w:jc w:val="center"/>
        </w:trPr>
        <w:tc>
          <w:tcPr>
            <w:tcW w:w="1033" w:type="pct"/>
            <w:tcBorders>
              <w:top w:val="nil"/>
              <w:left w:val="single" w:sz="4" w:space="0" w:color="auto"/>
              <w:bottom w:val="nil"/>
              <w:right w:val="single" w:sz="4" w:space="0" w:color="auto"/>
            </w:tcBorders>
          </w:tcPr>
          <w:p w14:paraId="7EF5ED4A" w14:textId="77777777" w:rsidR="007631A3" w:rsidRDefault="007631A3" w:rsidP="00147C99">
            <w:pPr>
              <w:pStyle w:val="TAC"/>
            </w:pPr>
          </w:p>
        </w:tc>
        <w:tc>
          <w:tcPr>
            <w:tcW w:w="1244" w:type="pct"/>
            <w:tcBorders>
              <w:top w:val="nil"/>
              <w:left w:val="single" w:sz="4" w:space="0" w:color="auto"/>
              <w:bottom w:val="nil"/>
              <w:right w:val="single" w:sz="4" w:space="0" w:color="auto"/>
            </w:tcBorders>
          </w:tcPr>
          <w:p w14:paraId="3B9D1FE7" w14:textId="77777777" w:rsidR="007631A3" w:rsidRDefault="007631A3" w:rsidP="00147C99">
            <w:pPr>
              <w:pStyle w:val="TAC"/>
            </w:pPr>
          </w:p>
        </w:tc>
        <w:tc>
          <w:tcPr>
            <w:tcW w:w="1245" w:type="pct"/>
            <w:tcBorders>
              <w:top w:val="single" w:sz="4" w:space="0" w:color="auto"/>
              <w:left w:val="single" w:sz="4" w:space="0" w:color="auto"/>
              <w:bottom w:val="single" w:sz="4" w:space="0" w:color="auto"/>
              <w:right w:val="single" w:sz="4" w:space="0" w:color="auto"/>
            </w:tcBorders>
            <w:hideMark/>
          </w:tcPr>
          <w:p w14:paraId="15DDA9AD" w14:textId="77777777" w:rsidR="007631A3" w:rsidRDefault="007631A3" w:rsidP="00147C99">
            <w:pPr>
              <w:pStyle w:val="TAC"/>
            </w:pPr>
            <w:r>
              <w:t>480</w:t>
            </w:r>
          </w:p>
        </w:tc>
        <w:tc>
          <w:tcPr>
            <w:tcW w:w="1478" w:type="pct"/>
            <w:tcBorders>
              <w:top w:val="single" w:sz="4" w:space="0" w:color="auto"/>
              <w:left w:val="single" w:sz="4" w:space="0" w:color="auto"/>
              <w:bottom w:val="single" w:sz="4" w:space="0" w:color="auto"/>
              <w:right w:val="single" w:sz="4" w:space="0" w:color="auto"/>
            </w:tcBorders>
            <w:hideMark/>
          </w:tcPr>
          <w:p w14:paraId="73C313A2" w14:textId="77777777" w:rsidR="007631A3" w:rsidRDefault="007631A3" w:rsidP="00147C99">
            <w:pPr>
              <w:pStyle w:val="TAC"/>
            </w:pPr>
            <w:r>
              <w:t>[1.35]*64*T</w:t>
            </w:r>
            <w:r>
              <w:rPr>
                <w:vertAlign w:val="subscript"/>
              </w:rPr>
              <w:t>c</w:t>
            </w:r>
          </w:p>
        </w:tc>
      </w:tr>
      <w:tr w:rsidR="007631A3" w14:paraId="316D3239" w14:textId="77777777" w:rsidTr="00147C99">
        <w:trPr>
          <w:cantSplit/>
          <w:jc w:val="center"/>
        </w:trPr>
        <w:tc>
          <w:tcPr>
            <w:tcW w:w="1033" w:type="pct"/>
            <w:tcBorders>
              <w:top w:val="nil"/>
              <w:left w:val="single" w:sz="4" w:space="0" w:color="auto"/>
              <w:bottom w:val="nil"/>
              <w:right w:val="single" w:sz="4" w:space="0" w:color="auto"/>
            </w:tcBorders>
          </w:tcPr>
          <w:p w14:paraId="1358033D" w14:textId="77777777" w:rsidR="007631A3" w:rsidRDefault="007631A3" w:rsidP="00147C99">
            <w:pPr>
              <w:pStyle w:val="TAC"/>
            </w:pPr>
          </w:p>
        </w:tc>
        <w:tc>
          <w:tcPr>
            <w:tcW w:w="1244" w:type="pct"/>
            <w:tcBorders>
              <w:top w:val="nil"/>
              <w:left w:val="single" w:sz="4" w:space="0" w:color="auto"/>
              <w:bottom w:val="single" w:sz="4" w:space="0" w:color="auto"/>
              <w:right w:val="single" w:sz="4" w:space="0" w:color="auto"/>
            </w:tcBorders>
          </w:tcPr>
          <w:p w14:paraId="3280E4D2" w14:textId="77777777" w:rsidR="007631A3" w:rsidRDefault="007631A3" w:rsidP="00147C99">
            <w:pPr>
              <w:pStyle w:val="TAC"/>
            </w:pPr>
          </w:p>
        </w:tc>
        <w:tc>
          <w:tcPr>
            <w:tcW w:w="1245" w:type="pct"/>
            <w:tcBorders>
              <w:top w:val="single" w:sz="4" w:space="0" w:color="auto"/>
              <w:left w:val="single" w:sz="4" w:space="0" w:color="auto"/>
              <w:bottom w:val="single" w:sz="4" w:space="0" w:color="auto"/>
              <w:right w:val="single" w:sz="4" w:space="0" w:color="auto"/>
            </w:tcBorders>
            <w:hideMark/>
          </w:tcPr>
          <w:p w14:paraId="15D725D5" w14:textId="77777777" w:rsidR="007631A3" w:rsidRDefault="007631A3" w:rsidP="00147C99">
            <w:pPr>
              <w:pStyle w:val="TAC"/>
            </w:pPr>
            <w:r>
              <w:t>960</w:t>
            </w:r>
          </w:p>
        </w:tc>
        <w:tc>
          <w:tcPr>
            <w:tcW w:w="1478" w:type="pct"/>
            <w:tcBorders>
              <w:top w:val="single" w:sz="4" w:space="0" w:color="auto"/>
              <w:left w:val="single" w:sz="4" w:space="0" w:color="auto"/>
              <w:bottom w:val="single" w:sz="4" w:space="0" w:color="auto"/>
              <w:right w:val="single" w:sz="4" w:space="0" w:color="auto"/>
            </w:tcBorders>
            <w:hideMark/>
          </w:tcPr>
          <w:p w14:paraId="79D3122D" w14:textId="77777777" w:rsidR="007631A3" w:rsidRDefault="007631A3" w:rsidP="00147C99">
            <w:pPr>
              <w:pStyle w:val="TAC"/>
            </w:pPr>
            <w:r>
              <w:t>[0.90]*64*T</w:t>
            </w:r>
            <w:r>
              <w:rPr>
                <w:vertAlign w:val="subscript"/>
              </w:rPr>
              <w:t>c</w:t>
            </w:r>
          </w:p>
        </w:tc>
      </w:tr>
      <w:tr w:rsidR="007631A3" w14:paraId="3D3CA0CA" w14:textId="77777777" w:rsidTr="00147C99">
        <w:trPr>
          <w:cantSplit/>
          <w:jc w:val="center"/>
        </w:trPr>
        <w:tc>
          <w:tcPr>
            <w:tcW w:w="1033" w:type="pct"/>
            <w:tcBorders>
              <w:top w:val="nil"/>
              <w:left w:val="single" w:sz="4" w:space="0" w:color="auto"/>
              <w:bottom w:val="nil"/>
              <w:right w:val="single" w:sz="4" w:space="0" w:color="auto"/>
            </w:tcBorders>
          </w:tcPr>
          <w:p w14:paraId="452C8182" w14:textId="77777777" w:rsidR="007631A3" w:rsidRDefault="007631A3" w:rsidP="00147C99">
            <w:pPr>
              <w:pStyle w:val="TAC"/>
            </w:pPr>
          </w:p>
        </w:tc>
        <w:tc>
          <w:tcPr>
            <w:tcW w:w="1244" w:type="pct"/>
            <w:tcBorders>
              <w:top w:val="single" w:sz="4" w:space="0" w:color="auto"/>
              <w:left w:val="single" w:sz="4" w:space="0" w:color="auto"/>
              <w:bottom w:val="nil"/>
              <w:right w:val="single" w:sz="4" w:space="0" w:color="auto"/>
            </w:tcBorders>
            <w:hideMark/>
          </w:tcPr>
          <w:p w14:paraId="57713908" w14:textId="77777777" w:rsidR="007631A3" w:rsidRDefault="007631A3" w:rsidP="00147C99">
            <w:pPr>
              <w:pStyle w:val="TAC"/>
            </w:pPr>
            <w:r>
              <w:t>960</w:t>
            </w:r>
          </w:p>
        </w:tc>
        <w:tc>
          <w:tcPr>
            <w:tcW w:w="1245" w:type="pct"/>
            <w:tcBorders>
              <w:top w:val="single" w:sz="4" w:space="0" w:color="auto"/>
              <w:left w:val="single" w:sz="4" w:space="0" w:color="auto"/>
              <w:bottom w:val="single" w:sz="4" w:space="0" w:color="auto"/>
              <w:right w:val="single" w:sz="4" w:space="0" w:color="auto"/>
            </w:tcBorders>
            <w:hideMark/>
          </w:tcPr>
          <w:p w14:paraId="2DA5DBD2" w14:textId="77777777" w:rsidR="007631A3" w:rsidRDefault="007631A3" w:rsidP="00147C99">
            <w:pPr>
              <w:pStyle w:val="TAC"/>
            </w:pPr>
            <w:r>
              <w:t>120</w:t>
            </w:r>
          </w:p>
        </w:tc>
        <w:tc>
          <w:tcPr>
            <w:tcW w:w="1478" w:type="pct"/>
            <w:tcBorders>
              <w:top w:val="single" w:sz="4" w:space="0" w:color="auto"/>
              <w:left w:val="single" w:sz="4" w:space="0" w:color="auto"/>
              <w:bottom w:val="single" w:sz="4" w:space="0" w:color="auto"/>
              <w:right w:val="single" w:sz="4" w:space="0" w:color="auto"/>
            </w:tcBorders>
            <w:hideMark/>
          </w:tcPr>
          <w:p w14:paraId="4EEEE10D" w14:textId="77777777" w:rsidR="007631A3" w:rsidRDefault="007631A3" w:rsidP="00147C99">
            <w:pPr>
              <w:pStyle w:val="TAC"/>
            </w:pPr>
            <w:r>
              <w:t>2.80*64*T</w:t>
            </w:r>
            <w:r>
              <w:rPr>
                <w:vertAlign w:val="subscript"/>
              </w:rPr>
              <w:t>c</w:t>
            </w:r>
          </w:p>
        </w:tc>
      </w:tr>
      <w:tr w:rsidR="007631A3" w14:paraId="3F221464" w14:textId="77777777" w:rsidTr="00147C99">
        <w:trPr>
          <w:cantSplit/>
          <w:jc w:val="center"/>
        </w:trPr>
        <w:tc>
          <w:tcPr>
            <w:tcW w:w="1033" w:type="pct"/>
            <w:tcBorders>
              <w:top w:val="nil"/>
              <w:left w:val="single" w:sz="4" w:space="0" w:color="auto"/>
              <w:bottom w:val="nil"/>
              <w:right w:val="single" w:sz="4" w:space="0" w:color="auto"/>
            </w:tcBorders>
          </w:tcPr>
          <w:p w14:paraId="59F142E4" w14:textId="77777777" w:rsidR="007631A3" w:rsidRDefault="007631A3" w:rsidP="00147C99">
            <w:pPr>
              <w:pStyle w:val="TAC"/>
            </w:pPr>
          </w:p>
        </w:tc>
        <w:tc>
          <w:tcPr>
            <w:tcW w:w="1244" w:type="pct"/>
            <w:tcBorders>
              <w:top w:val="nil"/>
              <w:left w:val="single" w:sz="4" w:space="0" w:color="auto"/>
              <w:bottom w:val="nil"/>
              <w:right w:val="single" w:sz="4" w:space="0" w:color="auto"/>
            </w:tcBorders>
          </w:tcPr>
          <w:p w14:paraId="17A0190B" w14:textId="77777777" w:rsidR="007631A3" w:rsidRDefault="007631A3" w:rsidP="00147C99">
            <w:pPr>
              <w:pStyle w:val="TAC"/>
            </w:pPr>
          </w:p>
        </w:tc>
        <w:tc>
          <w:tcPr>
            <w:tcW w:w="1245" w:type="pct"/>
            <w:tcBorders>
              <w:top w:val="single" w:sz="4" w:space="0" w:color="auto"/>
              <w:left w:val="single" w:sz="4" w:space="0" w:color="auto"/>
              <w:bottom w:val="single" w:sz="4" w:space="0" w:color="auto"/>
              <w:right w:val="single" w:sz="4" w:space="0" w:color="auto"/>
            </w:tcBorders>
            <w:hideMark/>
          </w:tcPr>
          <w:p w14:paraId="73ED8A44" w14:textId="77777777" w:rsidR="007631A3" w:rsidRDefault="007631A3" w:rsidP="00147C99">
            <w:pPr>
              <w:pStyle w:val="TAC"/>
            </w:pPr>
            <w:r>
              <w:t>480</w:t>
            </w:r>
          </w:p>
        </w:tc>
        <w:tc>
          <w:tcPr>
            <w:tcW w:w="1478" w:type="pct"/>
            <w:tcBorders>
              <w:top w:val="single" w:sz="4" w:space="0" w:color="auto"/>
              <w:left w:val="single" w:sz="4" w:space="0" w:color="auto"/>
              <w:bottom w:val="single" w:sz="4" w:space="0" w:color="auto"/>
              <w:right w:val="single" w:sz="4" w:space="0" w:color="auto"/>
            </w:tcBorders>
            <w:hideMark/>
          </w:tcPr>
          <w:p w14:paraId="7ADE59A5" w14:textId="77777777" w:rsidR="007631A3" w:rsidRDefault="007631A3" w:rsidP="00147C99">
            <w:pPr>
              <w:pStyle w:val="TAC"/>
            </w:pPr>
            <w:r>
              <w:t>[1.13]*64*T</w:t>
            </w:r>
            <w:r>
              <w:rPr>
                <w:vertAlign w:val="subscript"/>
              </w:rPr>
              <w:t>c</w:t>
            </w:r>
          </w:p>
        </w:tc>
      </w:tr>
      <w:tr w:rsidR="007631A3" w14:paraId="55C04914" w14:textId="77777777" w:rsidTr="00147C99">
        <w:trPr>
          <w:cantSplit/>
          <w:jc w:val="center"/>
        </w:trPr>
        <w:tc>
          <w:tcPr>
            <w:tcW w:w="1033" w:type="pct"/>
            <w:tcBorders>
              <w:top w:val="nil"/>
              <w:left w:val="single" w:sz="4" w:space="0" w:color="auto"/>
              <w:bottom w:val="single" w:sz="4" w:space="0" w:color="auto"/>
              <w:right w:val="single" w:sz="4" w:space="0" w:color="auto"/>
            </w:tcBorders>
          </w:tcPr>
          <w:p w14:paraId="19750723" w14:textId="77777777" w:rsidR="007631A3" w:rsidRDefault="007631A3" w:rsidP="00147C99">
            <w:pPr>
              <w:pStyle w:val="TAC"/>
            </w:pPr>
          </w:p>
        </w:tc>
        <w:tc>
          <w:tcPr>
            <w:tcW w:w="1244" w:type="pct"/>
            <w:tcBorders>
              <w:top w:val="nil"/>
              <w:left w:val="single" w:sz="4" w:space="0" w:color="auto"/>
              <w:bottom w:val="single" w:sz="4" w:space="0" w:color="auto"/>
              <w:right w:val="single" w:sz="4" w:space="0" w:color="auto"/>
            </w:tcBorders>
          </w:tcPr>
          <w:p w14:paraId="399F9624" w14:textId="77777777" w:rsidR="007631A3" w:rsidRDefault="007631A3" w:rsidP="00147C99">
            <w:pPr>
              <w:pStyle w:val="TAC"/>
            </w:pPr>
          </w:p>
        </w:tc>
        <w:tc>
          <w:tcPr>
            <w:tcW w:w="1245" w:type="pct"/>
            <w:tcBorders>
              <w:top w:val="single" w:sz="4" w:space="0" w:color="auto"/>
              <w:left w:val="single" w:sz="4" w:space="0" w:color="auto"/>
              <w:bottom w:val="single" w:sz="4" w:space="0" w:color="auto"/>
              <w:right w:val="single" w:sz="4" w:space="0" w:color="auto"/>
            </w:tcBorders>
            <w:hideMark/>
          </w:tcPr>
          <w:p w14:paraId="3A4FC768" w14:textId="77777777" w:rsidR="007631A3" w:rsidRDefault="007631A3" w:rsidP="00147C99">
            <w:pPr>
              <w:pStyle w:val="TAC"/>
            </w:pPr>
            <w:r>
              <w:t>960</w:t>
            </w:r>
          </w:p>
        </w:tc>
        <w:tc>
          <w:tcPr>
            <w:tcW w:w="1478" w:type="pct"/>
            <w:tcBorders>
              <w:top w:val="single" w:sz="4" w:space="0" w:color="auto"/>
              <w:left w:val="single" w:sz="4" w:space="0" w:color="auto"/>
              <w:bottom w:val="single" w:sz="4" w:space="0" w:color="auto"/>
              <w:right w:val="single" w:sz="4" w:space="0" w:color="auto"/>
            </w:tcBorders>
            <w:hideMark/>
          </w:tcPr>
          <w:p w14:paraId="21A1C2F1" w14:textId="77777777" w:rsidR="007631A3" w:rsidRDefault="007631A3" w:rsidP="00147C99">
            <w:pPr>
              <w:pStyle w:val="TAC"/>
            </w:pPr>
            <w:r>
              <w:t>[0.86]*64*T</w:t>
            </w:r>
            <w:r>
              <w:rPr>
                <w:vertAlign w:val="subscript"/>
              </w:rPr>
              <w:t>c</w:t>
            </w:r>
          </w:p>
        </w:tc>
      </w:tr>
      <w:tr w:rsidR="007631A3" w14:paraId="0B45DF37" w14:textId="77777777" w:rsidTr="00147C99">
        <w:trPr>
          <w:cantSplit/>
          <w:jc w:val="center"/>
        </w:trPr>
        <w:tc>
          <w:tcPr>
            <w:tcW w:w="5000" w:type="pct"/>
            <w:gridSpan w:val="4"/>
            <w:tcBorders>
              <w:top w:val="single" w:sz="4" w:space="0" w:color="auto"/>
              <w:left w:val="single" w:sz="4" w:space="0" w:color="auto"/>
              <w:bottom w:val="single" w:sz="4" w:space="0" w:color="auto"/>
              <w:right w:val="single" w:sz="4" w:space="0" w:color="auto"/>
            </w:tcBorders>
            <w:hideMark/>
          </w:tcPr>
          <w:p w14:paraId="4CC06094" w14:textId="77777777" w:rsidR="007631A3" w:rsidRDefault="007631A3" w:rsidP="00147C99">
            <w:pPr>
              <w:pStyle w:val="TAN"/>
            </w:pPr>
            <w:r>
              <w:rPr>
                <w:rFonts w:cs="Arial"/>
              </w:rPr>
              <w:t>Note</w:t>
            </w:r>
            <w:r>
              <w:t xml:space="preserve"> 1:</w:t>
            </w:r>
            <w:r>
              <w:tab/>
              <w:t>T</w:t>
            </w:r>
            <w:r>
              <w:rPr>
                <w:vertAlign w:val="subscript"/>
              </w:rPr>
              <w:t>c</w:t>
            </w:r>
            <w:r>
              <w:t xml:space="preserve"> is the basic timing unit defined in TS 38.211 [6]</w:t>
            </w:r>
          </w:p>
        </w:tc>
      </w:tr>
    </w:tbl>
    <w:p w14:paraId="1DA35A9F" w14:textId="77777777" w:rsidR="007A6D4C" w:rsidRDefault="007A6D4C" w:rsidP="007A6D4C"/>
    <w:p w14:paraId="11099A14" w14:textId="02E17071" w:rsidR="00F15152" w:rsidRPr="009C5807" w:rsidRDefault="00F15152" w:rsidP="0057627A">
      <w:pPr>
        <w:pStyle w:val="TH"/>
      </w:pPr>
      <w:r w:rsidRPr="009C5807">
        <w:t xml:space="preserve">Table 7.1.2-2: The Value of </w:t>
      </w:r>
      <w:r w:rsidRPr="009C5807">
        <w:rPr>
          <w:noProof/>
          <w:position w:val="-10"/>
          <w:lang w:val="en-US" w:eastAsia="zh-CN"/>
        </w:rPr>
        <w:drawing>
          <wp:inline distT="0" distB="0" distL="0" distR="0" wp14:anchorId="2DB85BDB" wp14:editId="14A8B18F">
            <wp:extent cx="494665" cy="187960"/>
            <wp:effectExtent l="0" t="0" r="635" b="254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8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665" cy="187960"/>
                    </a:xfrm>
                    <a:prstGeom prst="rect">
                      <a:avLst/>
                    </a:prstGeom>
                    <a:noFill/>
                    <a:ln>
                      <a:noFill/>
                    </a:ln>
                  </pic:spPr>
                </pic:pic>
              </a:graphicData>
            </a:graphic>
          </wp:inline>
        </w:drawing>
      </w:r>
    </w:p>
    <w:tbl>
      <w:tblPr>
        <w:tblW w:w="36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2439"/>
      </w:tblGrid>
      <w:tr w:rsidR="00885F53" w:rsidRPr="009C5807" w14:paraId="301D938D" w14:textId="77777777" w:rsidTr="00F15152">
        <w:trPr>
          <w:cantSplit/>
          <w:jc w:val="center"/>
        </w:trPr>
        <w:tc>
          <w:tcPr>
            <w:tcW w:w="3286" w:type="pct"/>
          </w:tcPr>
          <w:p w14:paraId="3868B9A6" w14:textId="77777777" w:rsidR="00F15152" w:rsidRPr="009C5807" w:rsidRDefault="00F15152" w:rsidP="0057627A">
            <w:pPr>
              <w:pStyle w:val="TAH"/>
              <w:rPr>
                <w:lang w:eastAsia="zh-CN"/>
              </w:rPr>
            </w:pPr>
            <w:r w:rsidRPr="009C5807">
              <w:t>Frequency range and band of cell used for uplink transmission</w:t>
            </w:r>
          </w:p>
        </w:tc>
        <w:tc>
          <w:tcPr>
            <w:tcW w:w="1714" w:type="pct"/>
          </w:tcPr>
          <w:p w14:paraId="24A6DA9E" w14:textId="77777777" w:rsidR="00F15152" w:rsidRPr="009C5807" w:rsidRDefault="00F15152" w:rsidP="0057627A">
            <w:pPr>
              <w:pStyle w:val="TAH"/>
            </w:pPr>
            <w:r w:rsidRPr="009C5807">
              <w:rPr>
                <w:noProof/>
                <w:position w:val="-10"/>
                <w:lang w:val="en-US" w:eastAsia="zh-CN"/>
              </w:rPr>
              <w:drawing>
                <wp:inline distT="0" distB="0" distL="0" distR="0" wp14:anchorId="26B07BFD" wp14:editId="5B9165DC">
                  <wp:extent cx="494665" cy="187960"/>
                  <wp:effectExtent l="0" t="0" r="63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8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665" cy="187960"/>
                          </a:xfrm>
                          <a:prstGeom prst="rect">
                            <a:avLst/>
                          </a:prstGeom>
                          <a:noFill/>
                          <a:ln>
                            <a:noFill/>
                          </a:ln>
                        </pic:spPr>
                      </pic:pic>
                    </a:graphicData>
                  </a:graphic>
                </wp:inline>
              </w:drawing>
            </w:r>
            <w:r w:rsidRPr="009C5807">
              <w:t>(Unit: T</w:t>
            </w:r>
            <w:r w:rsidRPr="009C5807">
              <w:rPr>
                <w:vertAlign w:val="subscript"/>
              </w:rPr>
              <w:t>C</w:t>
            </w:r>
            <w:r w:rsidRPr="009C5807">
              <w:t>)</w:t>
            </w:r>
          </w:p>
        </w:tc>
      </w:tr>
      <w:tr w:rsidR="00244B88" w:rsidRPr="009C5807" w14:paraId="0DCEEBF4" w14:textId="77777777" w:rsidTr="00F15152">
        <w:trPr>
          <w:cantSplit/>
          <w:jc w:val="center"/>
        </w:trPr>
        <w:tc>
          <w:tcPr>
            <w:tcW w:w="3286" w:type="pct"/>
          </w:tcPr>
          <w:p w14:paraId="79B24BE1" w14:textId="637D5502" w:rsidR="00244B88" w:rsidRPr="009C5807" w:rsidRDefault="00244B88" w:rsidP="00244B88">
            <w:pPr>
              <w:pStyle w:val="TAL"/>
              <w:rPr>
                <w:rFonts w:eastAsia="MS Mincho"/>
                <w:lang w:eastAsia="ja-JP"/>
              </w:rPr>
            </w:pPr>
            <w:r w:rsidRPr="00885F53">
              <w:t xml:space="preserve">FR1 FDD </w:t>
            </w:r>
            <w:r>
              <w:t xml:space="preserve">or TDD </w:t>
            </w:r>
            <w:r w:rsidRPr="00885F53">
              <w:t xml:space="preserve">band with </w:t>
            </w:r>
            <w:r>
              <w:t>neither E-UTRA–</w:t>
            </w:r>
            <w:r w:rsidRPr="00885F53">
              <w:t xml:space="preserve">NR </w:t>
            </w:r>
            <w:r>
              <w:t xml:space="preserve">nor NB-IoT–NR </w:t>
            </w:r>
            <w:r w:rsidRPr="00885F53">
              <w:t>coexistence cas</w:t>
            </w:r>
            <w:r w:rsidRPr="00885F53">
              <w:rPr>
                <w:rFonts w:eastAsia="MS Mincho"/>
                <w:lang w:eastAsia="ja-JP"/>
              </w:rPr>
              <w:t>e</w:t>
            </w:r>
            <w:r w:rsidRPr="00885F53">
              <w:rPr>
                <w:rFonts w:ascii="MS Mincho" w:eastAsia="MS Mincho" w:hAnsi="MS Mincho"/>
                <w:lang w:eastAsia="ja-JP"/>
              </w:rPr>
              <w:t xml:space="preserve"> </w:t>
            </w:r>
          </w:p>
        </w:tc>
        <w:tc>
          <w:tcPr>
            <w:tcW w:w="1714" w:type="pct"/>
          </w:tcPr>
          <w:p w14:paraId="4815F7C4" w14:textId="77777777" w:rsidR="00244B88" w:rsidRPr="009C5807" w:rsidRDefault="00244B88" w:rsidP="00244B88">
            <w:pPr>
              <w:pStyle w:val="TAL"/>
              <w:rPr>
                <w:rFonts w:eastAsia="MS Mincho" w:cs="v4.2.0"/>
                <w:lang w:eastAsia="ja-JP"/>
              </w:rPr>
            </w:pPr>
            <w:r w:rsidRPr="009C5807">
              <w:rPr>
                <w:rFonts w:cs="v4.2.0"/>
                <w:lang w:eastAsia="ja-JP"/>
              </w:rPr>
              <w:t>2560</w:t>
            </w:r>
            <w:r w:rsidRPr="009C5807">
              <w:rPr>
                <w:rFonts w:cs="v4.2.0"/>
              </w:rPr>
              <w:t>0</w:t>
            </w:r>
            <w:r w:rsidRPr="009C5807">
              <w:rPr>
                <w:rFonts w:eastAsia="MS Mincho" w:cs="v4.2.0"/>
                <w:lang w:eastAsia="ja-JP"/>
              </w:rPr>
              <w:t xml:space="preserve"> (Note 1)</w:t>
            </w:r>
          </w:p>
        </w:tc>
      </w:tr>
      <w:tr w:rsidR="00244B88" w:rsidRPr="009C5807" w14:paraId="0EBFC1EB" w14:textId="77777777" w:rsidTr="00F15152">
        <w:trPr>
          <w:cantSplit/>
          <w:jc w:val="center"/>
        </w:trPr>
        <w:tc>
          <w:tcPr>
            <w:tcW w:w="3286" w:type="pct"/>
          </w:tcPr>
          <w:p w14:paraId="563EA9A2" w14:textId="5A3329F5" w:rsidR="00244B88" w:rsidRPr="009C5807" w:rsidRDefault="00244B88" w:rsidP="00244B88">
            <w:pPr>
              <w:pStyle w:val="TAL"/>
            </w:pPr>
            <w:r w:rsidRPr="00885F53">
              <w:rPr>
                <w:lang w:eastAsia="zh-CN"/>
              </w:rPr>
              <w:t xml:space="preserve">FR1 FDD band with </w:t>
            </w:r>
            <w:r>
              <w:t>E-UTRA–</w:t>
            </w:r>
            <w:r w:rsidRPr="00885F53">
              <w:rPr>
                <w:lang w:eastAsia="zh-CN"/>
              </w:rPr>
              <w:t xml:space="preserve">NR </w:t>
            </w:r>
            <w:r>
              <w:rPr>
                <w:lang w:eastAsia="zh-CN"/>
              </w:rPr>
              <w:t xml:space="preserve">and/or </w:t>
            </w:r>
            <w:r>
              <w:t xml:space="preserve">NB-IoT–NR </w:t>
            </w:r>
            <w:r w:rsidRPr="00885F53">
              <w:rPr>
                <w:lang w:eastAsia="zh-CN"/>
              </w:rPr>
              <w:t>coexistence case</w:t>
            </w:r>
            <w:r>
              <w:rPr>
                <w:lang w:eastAsia="zh-CN"/>
              </w:rPr>
              <w:t xml:space="preserve"> </w:t>
            </w:r>
          </w:p>
        </w:tc>
        <w:tc>
          <w:tcPr>
            <w:tcW w:w="1714" w:type="pct"/>
          </w:tcPr>
          <w:p w14:paraId="3CFE9C52" w14:textId="77777777" w:rsidR="00244B88" w:rsidRPr="009C5807" w:rsidRDefault="00244B88" w:rsidP="00244B88">
            <w:pPr>
              <w:pStyle w:val="TAL"/>
              <w:rPr>
                <w:rFonts w:eastAsia="MS Mincho"/>
                <w:lang w:eastAsia="ja-JP"/>
              </w:rPr>
            </w:pPr>
            <w:r w:rsidRPr="009C5807">
              <w:rPr>
                <w:rFonts w:cs="v4.2.0"/>
              </w:rPr>
              <w:t>0</w:t>
            </w:r>
            <w:r w:rsidRPr="009C5807">
              <w:rPr>
                <w:rFonts w:eastAsia="MS Mincho" w:cs="v4.2.0"/>
                <w:lang w:eastAsia="ja-JP"/>
              </w:rPr>
              <w:t xml:space="preserve"> </w:t>
            </w:r>
            <w:r w:rsidRPr="009C5807">
              <w:rPr>
                <w:rFonts w:cs="v4.2.0"/>
                <w:lang w:eastAsia="zh-CN"/>
              </w:rPr>
              <w:t>(Note 1)</w:t>
            </w:r>
          </w:p>
        </w:tc>
      </w:tr>
      <w:tr w:rsidR="00244B88" w:rsidRPr="009C5807" w14:paraId="4C47BCCA" w14:textId="77777777" w:rsidTr="00F15152">
        <w:trPr>
          <w:cantSplit/>
          <w:jc w:val="center"/>
        </w:trPr>
        <w:tc>
          <w:tcPr>
            <w:tcW w:w="3286" w:type="pct"/>
          </w:tcPr>
          <w:p w14:paraId="6D7F1CD3" w14:textId="77DD7BFC" w:rsidR="00244B88" w:rsidRPr="009C5807" w:rsidRDefault="00244B88" w:rsidP="00244B88">
            <w:pPr>
              <w:pStyle w:val="TAL"/>
              <w:rPr>
                <w:rFonts w:eastAsia="MS Mincho"/>
                <w:lang w:eastAsia="ja-JP"/>
              </w:rPr>
            </w:pPr>
            <w:r w:rsidRPr="00885F53">
              <w:t>FR1 TDD band</w:t>
            </w:r>
            <w:r w:rsidRPr="00885F53">
              <w:rPr>
                <w:rFonts w:eastAsia="MS Mincho"/>
                <w:lang w:eastAsia="ja-JP"/>
              </w:rPr>
              <w:t xml:space="preserve"> </w:t>
            </w:r>
            <w:r w:rsidRPr="00885F53">
              <w:rPr>
                <w:lang w:eastAsia="zh-CN"/>
              </w:rPr>
              <w:t xml:space="preserve">with </w:t>
            </w:r>
            <w:r>
              <w:t>E-UTRA–</w:t>
            </w:r>
            <w:r w:rsidRPr="00885F53">
              <w:rPr>
                <w:lang w:eastAsia="zh-CN"/>
              </w:rPr>
              <w:t xml:space="preserve">NR </w:t>
            </w:r>
            <w:r>
              <w:rPr>
                <w:lang w:eastAsia="zh-CN"/>
              </w:rPr>
              <w:t xml:space="preserve">and/or </w:t>
            </w:r>
            <w:r>
              <w:t xml:space="preserve">NB-IoT–NR </w:t>
            </w:r>
            <w:r w:rsidRPr="00885F53">
              <w:rPr>
                <w:lang w:eastAsia="zh-CN"/>
              </w:rPr>
              <w:t>coexistence case</w:t>
            </w:r>
          </w:p>
        </w:tc>
        <w:tc>
          <w:tcPr>
            <w:tcW w:w="1714" w:type="pct"/>
          </w:tcPr>
          <w:p w14:paraId="4081BD4B" w14:textId="77777777" w:rsidR="00244B88" w:rsidRPr="009C5807" w:rsidRDefault="00244B88" w:rsidP="00244B88">
            <w:pPr>
              <w:pStyle w:val="TAL"/>
              <w:rPr>
                <w:rFonts w:cs="v4.2.0"/>
                <w:lang w:eastAsia="zh-CN"/>
              </w:rPr>
            </w:pPr>
            <w:r w:rsidRPr="009C5807">
              <w:rPr>
                <w:rFonts w:cs="v4.2.0"/>
              </w:rPr>
              <w:t>39936</w:t>
            </w:r>
            <w:r w:rsidRPr="009C5807">
              <w:rPr>
                <w:rFonts w:cs="v4.2.0"/>
                <w:lang w:eastAsia="zh-CN"/>
              </w:rPr>
              <w:t xml:space="preserve"> (Note 1)</w:t>
            </w:r>
          </w:p>
        </w:tc>
      </w:tr>
      <w:tr w:rsidR="00885F53" w:rsidRPr="009C5807" w14:paraId="2AA9632F" w14:textId="77777777" w:rsidTr="00F15152">
        <w:trPr>
          <w:cantSplit/>
          <w:jc w:val="center"/>
        </w:trPr>
        <w:tc>
          <w:tcPr>
            <w:tcW w:w="3286" w:type="pct"/>
          </w:tcPr>
          <w:p w14:paraId="7722635A" w14:textId="77777777" w:rsidR="00F15152" w:rsidRPr="009C5807" w:rsidDel="00E06E79" w:rsidRDefault="00F15152" w:rsidP="0057627A">
            <w:pPr>
              <w:pStyle w:val="TAL"/>
            </w:pPr>
            <w:r w:rsidRPr="009C5807">
              <w:t>FR2</w:t>
            </w:r>
          </w:p>
        </w:tc>
        <w:tc>
          <w:tcPr>
            <w:tcW w:w="1714" w:type="pct"/>
          </w:tcPr>
          <w:p w14:paraId="7D4A68F4" w14:textId="77777777" w:rsidR="00F15152" w:rsidRPr="009C5807" w:rsidDel="00E06E79" w:rsidRDefault="00F15152" w:rsidP="0057627A">
            <w:pPr>
              <w:pStyle w:val="TAL"/>
              <w:rPr>
                <w:rFonts w:cs="v4.2.0"/>
              </w:rPr>
            </w:pPr>
            <w:r w:rsidRPr="009C5807">
              <w:rPr>
                <w:rFonts w:cs="v4.2.0"/>
              </w:rPr>
              <w:t>13792</w:t>
            </w:r>
          </w:p>
        </w:tc>
      </w:tr>
      <w:tr w:rsidR="00F15152" w:rsidRPr="009C5807" w14:paraId="08565DB2" w14:textId="77777777" w:rsidTr="00F15152">
        <w:trPr>
          <w:cantSplit/>
          <w:jc w:val="center"/>
        </w:trPr>
        <w:tc>
          <w:tcPr>
            <w:tcW w:w="5000" w:type="pct"/>
            <w:gridSpan w:val="2"/>
          </w:tcPr>
          <w:p w14:paraId="3F4ED65E" w14:textId="188DEBB1" w:rsidR="00F15152" w:rsidRPr="009C5807" w:rsidRDefault="00F15152" w:rsidP="0057627A">
            <w:pPr>
              <w:pStyle w:val="TAN"/>
            </w:pPr>
            <w:r w:rsidRPr="009C5807">
              <w:t>Note 1:</w:t>
            </w:r>
            <w:r w:rsidRPr="009C5807">
              <w:tab/>
              <w:t xml:space="preserve">The UE identifies </w:t>
            </w:r>
            <w:r w:rsidRPr="009C5807">
              <w:rPr>
                <w:b/>
                <w:noProof/>
                <w:position w:val="-10"/>
                <w:lang w:val="en-US" w:eastAsia="zh-CN"/>
              </w:rPr>
              <w:drawing>
                <wp:inline distT="0" distB="0" distL="0" distR="0" wp14:anchorId="73FD97AA" wp14:editId="62B0406E">
                  <wp:extent cx="494665" cy="187960"/>
                  <wp:effectExtent l="0" t="0" r="635" b="2540"/>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8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665" cy="187960"/>
                          </a:xfrm>
                          <a:prstGeom prst="rect">
                            <a:avLst/>
                          </a:prstGeom>
                          <a:noFill/>
                          <a:ln>
                            <a:noFill/>
                          </a:ln>
                        </pic:spPr>
                      </pic:pic>
                    </a:graphicData>
                  </a:graphic>
                </wp:inline>
              </w:drawing>
            </w:r>
            <w:r w:rsidRPr="009C5807">
              <w:t xml:space="preserve"> based on the information n-TimingAdvanceOffset</w:t>
            </w:r>
            <w:r w:rsidRPr="009C5807" w:rsidDel="00406F3A">
              <w:t xml:space="preserve"> </w:t>
            </w:r>
            <w:r w:rsidRPr="009C5807">
              <w:t xml:space="preserve">as specified in TS 38.331 [2]. If UE is not provided with the information n-TimingAdvanceOffset, the default value of </w:t>
            </w:r>
            <w:r w:rsidRPr="009C5807">
              <w:rPr>
                <w:b/>
                <w:noProof/>
                <w:position w:val="-10"/>
                <w:lang w:val="en-US" w:eastAsia="zh-CN"/>
              </w:rPr>
              <w:drawing>
                <wp:inline distT="0" distB="0" distL="0" distR="0" wp14:anchorId="1EA4968D" wp14:editId="2B3069DA">
                  <wp:extent cx="494665" cy="187960"/>
                  <wp:effectExtent l="0" t="0" r="635" b="2540"/>
                  <wp:docPr id="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8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665" cy="187960"/>
                          </a:xfrm>
                          <a:prstGeom prst="rect">
                            <a:avLst/>
                          </a:prstGeom>
                          <a:noFill/>
                          <a:ln>
                            <a:noFill/>
                          </a:ln>
                        </pic:spPr>
                      </pic:pic>
                    </a:graphicData>
                  </a:graphic>
                </wp:inline>
              </w:drawing>
            </w:r>
            <w:r w:rsidRPr="009C5807">
              <w:t xml:space="preserve"> is set as </w:t>
            </w:r>
            <w:r w:rsidRPr="009C5807">
              <w:rPr>
                <w:lang w:eastAsia="ja-JP"/>
              </w:rPr>
              <w:t>2560</w:t>
            </w:r>
            <w:r w:rsidRPr="009C5807">
              <w:t xml:space="preserve">0 for FR1 band. In case of multiple UL carriers in the same TAG, UE expects that the same value of n-TimingAdvanceOffset is provided for all the UL carriers according to clause 4.2 in TS 38.213 [3] and the value 39936 of </w:t>
            </w:r>
            <w:r w:rsidRPr="009C5807">
              <w:rPr>
                <w:b/>
                <w:noProof/>
                <w:position w:val="-10"/>
                <w:lang w:val="en-US" w:eastAsia="zh-CN"/>
              </w:rPr>
              <w:drawing>
                <wp:inline distT="0" distB="0" distL="0" distR="0" wp14:anchorId="7B59A6BC" wp14:editId="395E72A2">
                  <wp:extent cx="494665" cy="187960"/>
                  <wp:effectExtent l="0" t="0" r="635" b="254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8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665" cy="187960"/>
                          </a:xfrm>
                          <a:prstGeom prst="rect">
                            <a:avLst/>
                          </a:prstGeom>
                          <a:noFill/>
                          <a:ln>
                            <a:noFill/>
                          </a:ln>
                        </pic:spPr>
                      </pic:pic>
                    </a:graphicData>
                  </a:graphic>
                </wp:inline>
              </w:drawing>
            </w:r>
            <w:r w:rsidRPr="009C5807">
              <w:t xml:space="preserve"> can also be provided for </w:t>
            </w:r>
            <w:r w:rsidRPr="009C5807">
              <w:rPr>
                <w:rFonts w:eastAsia="DengXian"/>
                <w:lang w:eastAsia="zh-CN"/>
              </w:rPr>
              <w:t>a FDD serving cell</w:t>
            </w:r>
            <w:r w:rsidRPr="009C5807">
              <w:t>.</w:t>
            </w:r>
          </w:p>
          <w:p w14:paraId="4E82BB40" w14:textId="77777777" w:rsidR="00F15152" w:rsidRPr="009C5807" w:rsidRDefault="00F15152" w:rsidP="0057627A">
            <w:pPr>
              <w:pStyle w:val="TAN"/>
            </w:pPr>
            <w:r w:rsidRPr="009C5807">
              <w:t>Note 2:</w:t>
            </w:r>
            <w:r w:rsidRPr="009C5807">
              <w:tab/>
              <w:t>Void</w:t>
            </w:r>
          </w:p>
        </w:tc>
      </w:tr>
    </w:tbl>
    <w:p w14:paraId="7455282A" w14:textId="77777777" w:rsidR="00F15152" w:rsidRPr="009C5807" w:rsidRDefault="00F15152" w:rsidP="00F15152">
      <w:pPr>
        <w:rPr>
          <w:lang w:eastAsia="ko-KR"/>
        </w:rPr>
      </w:pPr>
    </w:p>
    <w:p w14:paraId="01F2BD6F" w14:textId="77777777" w:rsidR="00F15152" w:rsidRPr="009C5807" w:rsidRDefault="00F15152" w:rsidP="00F15152">
      <w:pPr>
        <w:rPr>
          <w:rFonts w:cs="v4.2.0"/>
        </w:rPr>
      </w:pPr>
      <w:r w:rsidRPr="009C5807">
        <w:rPr>
          <w:lang w:eastAsia="ko-KR"/>
        </w:rPr>
        <w:t xml:space="preserve">When it is not the first transmission in a DRX </w:t>
      </w:r>
      <w:r w:rsidRPr="009C5807">
        <w:rPr>
          <w:lang w:eastAsia="zh-CN"/>
        </w:rPr>
        <w:t xml:space="preserve">cycle </w:t>
      </w:r>
      <w:r w:rsidRPr="009C5807">
        <w:rPr>
          <w:lang w:eastAsia="ko-KR"/>
        </w:rPr>
        <w:t>or there is no DRX</w:t>
      </w:r>
      <w:r w:rsidRPr="009C5807">
        <w:rPr>
          <w:lang w:eastAsia="zh-CN"/>
        </w:rPr>
        <w:t xml:space="preserve"> cycle</w:t>
      </w:r>
      <w:r w:rsidRPr="009C5807">
        <w:rPr>
          <w:lang w:eastAsia="ko-KR"/>
        </w:rPr>
        <w:t xml:space="preserve">, and when it is the transmission for PUCCH, PUSCH and SRS transmission, </w:t>
      </w:r>
      <w:r w:rsidRPr="009C5807">
        <w:rPr>
          <w:rFonts w:cs="v4.2.0"/>
        </w:rPr>
        <w:t>the UE shall be capable of changing the transmission timing according to the received downlink frame of the reference cell</w:t>
      </w:r>
      <w:r w:rsidRPr="009C5807">
        <w:t xml:space="preserve"> </w:t>
      </w:r>
      <w:r w:rsidRPr="009C5807">
        <w:rPr>
          <w:lang w:eastAsia="ko-KR"/>
        </w:rPr>
        <w:t>except when the timing advance in clause 7.3 is applied.</w:t>
      </w:r>
    </w:p>
    <w:p w14:paraId="1E883D6E" w14:textId="171CBD58" w:rsidR="009C18A0" w:rsidRDefault="00F15152" w:rsidP="009C18A0">
      <w:pPr>
        <w:pStyle w:val="TH"/>
      </w:pPr>
      <w:r w:rsidRPr="009C5807">
        <w:t>Table 7.1.2-3: void</w:t>
      </w:r>
    </w:p>
    <w:p w14:paraId="5F8B17A6" w14:textId="7971A7EC" w:rsidR="00432E18" w:rsidRPr="00CD2233" w:rsidRDefault="00432E18" w:rsidP="00432E18">
      <w:pPr>
        <w:rPr>
          <w:b/>
          <w:lang w:eastAsia="ko-KR"/>
        </w:rPr>
      </w:pPr>
      <w:r w:rsidRPr="00555560">
        <w:rPr>
          <w:lang w:eastAsia="ko-KR"/>
        </w:rPr>
        <w:t xml:space="preserve">If the UE uses a reference cell on a carrier frequency subject to CCA for deriving the UE transmit timing, then the UE </w:t>
      </w:r>
      <w:r w:rsidRPr="00CD2233">
        <w:rPr>
          <w:lang w:eastAsia="ko-KR"/>
        </w:rPr>
        <w:t xml:space="preserve">shall meet all the transmit timing requirements defined in </w:t>
      </w:r>
      <w:r>
        <w:rPr>
          <w:lang w:eastAsia="ko-KR"/>
        </w:rPr>
        <w:t>clause</w:t>
      </w:r>
      <w:r w:rsidRPr="00CD2233">
        <w:rPr>
          <w:lang w:eastAsia="ko-KR"/>
        </w:rPr>
        <w:t xml:space="preserve"> 7.1.2 provided that the reference cell is available at the UE. If the reference cell is </w:t>
      </w:r>
      <w:r>
        <w:rPr>
          <w:lang w:eastAsia="ko-KR"/>
        </w:rPr>
        <w:t xml:space="preserve">not </w:t>
      </w:r>
      <w:r w:rsidRPr="00CB33B4">
        <w:rPr>
          <w:lang w:eastAsia="ko-KR"/>
        </w:rPr>
        <w:t xml:space="preserve">available at the UE on a carrier frequency subject to CCA, then the UE is allowed to transmit in the uplink provided that the UE meets all the transmit timing requirements defined in </w:t>
      </w:r>
      <w:r>
        <w:rPr>
          <w:lang w:eastAsia="ko-KR"/>
        </w:rPr>
        <w:t>clause</w:t>
      </w:r>
      <w:r w:rsidRPr="00CB33B4">
        <w:rPr>
          <w:lang w:eastAsia="ko-KR"/>
        </w:rPr>
        <w:t xml:space="preserve"> 7.1.2; otherwise the </w:t>
      </w:r>
      <w:r w:rsidRPr="00D71C36">
        <w:rPr>
          <w:lang w:eastAsia="ko-KR"/>
        </w:rPr>
        <w:t xml:space="preserve">UE </w:t>
      </w:r>
      <w:r w:rsidRPr="006F4FB7">
        <w:rPr>
          <w:lang w:eastAsia="ko-KR"/>
        </w:rPr>
        <w:t xml:space="preserve">shall </w:t>
      </w:r>
      <w:r w:rsidRPr="00CD2233">
        <w:rPr>
          <w:lang w:eastAsia="ko-KR"/>
        </w:rPr>
        <w:t>not transmit any uplink signal.</w:t>
      </w:r>
    </w:p>
    <w:p w14:paraId="7617167D" w14:textId="06D53CF8" w:rsidR="00432E18" w:rsidRPr="005955FE" w:rsidRDefault="00432E18" w:rsidP="00432E18">
      <w:pPr>
        <w:rPr>
          <w:b/>
          <w:lang w:eastAsia="ko-KR"/>
        </w:rPr>
      </w:pPr>
      <w:r w:rsidRPr="00CD2233">
        <w:rPr>
          <w:lang w:eastAsia="ko-KR"/>
        </w:rPr>
        <w:t xml:space="preserve">If a reference cell on a </w:t>
      </w:r>
      <w:r w:rsidRPr="005955FE">
        <w:rPr>
          <w:lang w:eastAsia="ko-KR"/>
        </w:rPr>
        <w:t xml:space="preserve">carrier frequency belonging to the PTAG, which is subject to CCA, is </w:t>
      </w:r>
      <w:r>
        <w:rPr>
          <w:lang w:eastAsia="ko-KR"/>
        </w:rPr>
        <w:t xml:space="preserve">not </w:t>
      </w:r>
      <w:r w:rsidRPr="005955FE">
        <w:rPr>
          <w:lang w:eastAsia="ko-KR"/>
        </w:rPr>
        <w:t xml:space="preserve">available at the UE then the UE is allowed to use any of available activated SCell(s) at the UE in PTAG as a new reference cell. </w:t>
      </w:r>
      <w:r w:rsidRPr="00AE64EC">
        <w:rPr>
          <w:lang w:eastAsia="ko-KR"/>
        </w:rPr>
        <w:t xml:space="preserve">If the SCell used as reference cell is deactivated, or becomes </w:t>
      </w:r>
      <w:r>
        <w:rPr>
          <w:lang w:eastAsia="ko-KR"/>
        </w:rPr>
        <w:t xml:space="preserve">not </w:t>
      </w:r>
      <w:r w:rsidRPr="00AE64EC">
        <w:rPr>
          <w:lang w:eastAsia="ko-KR"/>
        </w:rPr>
        <w:t>available, the UE is allowed to use another active serving cell in PTAG as new reference cell.</w:t>
      </w:r>
    </w:p>
    <w:p w14:paraId="50767F06" w14:textId="3D909E1B" w:rsidR="00402693" w:rsidRPr="000B08DC" w:rsidRDefault="00432E18" w:rsidP="00432E18">
      <w:pPr>
        <w:rPr>
          <w:b/>
          <w:lang w:eastAsia="ko-KR"/>
        </w:rPr>
      </w:pPr>
      <w:r w:rsidRPr="005955FE">
        <w:rPr>
          <w:lang w:eastAsia="ko-KR"/>
        </w:rPr>
        <w:t xml:space="preserve">If a reference cell on a carrier frequency belonging to the STAG, which is subject to CCA is </w:t>
      </w:r>
      <w:r>
        <w:rPr>
          <w:lang w:eastAsia="ko-KR"/>
        </w:rPr>
        <w:t xml:space="preserve">not </w:t>
      </w:r>
      <w:r w:rsidRPr="005955FE">
        <w:rPr>
          <w:lang w:eastAsia="ko-KR"/>
        </w:rPr>
        <w:t>available at the UE then the UE is allowed to use any of available activated SCell(s) at the UE in STAG as a new reference cell</w:t>
      </w:r>
      <w:r w:rsidR="00402693" w:rsidRPr="005955FE">
        <w:rPr>
          <w:lang w:eastAsia="ko-KR"/>
        </w:rPr>
        <w:t>.</w:t>
      </w:r>
    </w:p>
    <w:p w14:paraId="11C9F68B" w14:textId="77777777" w:rsidR="00F15152" w:rsidRPr="009C5807" w:rsidRDefault="00F15152" w:rsidP="00F15152">
      <w:pPr>
        <w:pStyle w:val="Heading4"/>
        <w:rPr>
          <w:noProof/>
          <w:lang w:eastAsia="zh-CN"/>
        </w:rPr>
      </w:pPr>
      <w:r w:rsidRPr="009C5807">
        <w:t>7.1.2.1</w:t>
      </w:r>
      <w:r w:rsidRPr="009C5807">
        <w:tab/>
        <w:t>Gradual timing adjustment</w:t>
      </w:r>
    </w:p>
    <w:p w14:paraId="390B483A" w14:textId="77777777" w:rsidR="009D202B" w:rsidRDefault="009D202B" w:rsidP="009D202B">
      <w:pPr>
        <w:rPr>
          <w:rFonts w:cs="v4.2.0"/>
        </w:rPr>
      </w:pPr>
      <w:r>
        <w:rPr>
          <w:rFonts w:cs="v4.2.0"/>
        </w:rPr>
        <w:t xml:space="preserve">Requirements in this section shall apply regardless of whether the </w:t>
      </w:r>
      <w:r w:rsidRPr="00A70874">
        <w:rPr>
          <w:rFonts w:cs="v4.2.0"/>
        </w:rPr>
        <w:t>reference cell</w:t>
      </w:r>
      <w:r>
        <w:rPr>
          <w:rFonts w:cs="v4.2.0"/>
        </w:rPr>
        <w:t xml:space="preserve"> is</w:t>
      </w:r>
      <w:r w:rsidRPr="00A70874">
        <w:rPr>
          <w:rFonts w:cs="v4.2.0"/>
        </w:rPr>
        <w:t xml:space="preserve"> </w:t>
      </w:r>
      <w:r>
        <w:rPr>
          <w:rFonts w:cs="v4.2.0"/>
        </w:rPr>
        <w:t xml:space="preserve">on </w:t>
      </w:r>
      <w:r w:rsidRPr="00A70874">
        <w:rPr>
          <w:rFonts w:cs="v4.2.0"/>
        </w:rPr>
        <w:t>a carrier frequency subject to CCA</w:t>
      </w:r>
      <w:r>
        <w:rPr>
          <w:rFonts w:cs="v4.2.0"/>
        </w:rPr>
        <w:t xml:space="preserve"> or not. </w:t>
      </w:r>
    </w:p>
    <w:p w14:paraId="0C03F230" w14:textId="77777777" w:rsidR="00F15152" w:rsidRPr="009C5807" w:rsidRDefault="00F15152" w:rsidP="00F15152">
      <w:pPr>
        <w:rPr>
          <w:rFonts w:cs="v4.2.0"/>
          <w:lang w:eastAsia="zh-CN"/>
        </w:rPr>
      </w:pPr>
      <w:r w:rsidRPr="009C5807">
        <w:rPr>
          <w:rFonts w:cs="v4.2.0"/>
        </w:rPr>
        <w:t xml:space="preserve">When the transmission timing error between the UE and the reference </w:t>
      </w:r>
      <w:r w:rsidRPr="009C5807">
        <w:rPr>
          <w:rFonts w:cs="v4.2.0"/>
          <w:lang w:eastAsia="ja-JP"/>
        </w:rPr>
        <w:t>timing</w:t>
      </w:r>
      <w:r w:rsidRPr="009C5807">
        <w:rPr>
          <w:rFonts w:cs="v4.2.0"/>
        </w:rPr>
        <w:t xml:space="preserve"> exceeds </w:t>
      </w:r>
      <w:r w:rsidRPr="009C5807">
        <w:rPr>
          <w:rFonts w:cs="v4.2.0"/>
        </w:rPr>
        <w:sym w:font="Symbol" w:char="F0B1"/>
      </w:r>
      <w:r w:rsidRPr="009C5807">
        <w:rPr>
          <w:rFonts w:cs="v4.2.0"/>
        </w:rPr>
        <w:t>T</w:t>
      </w:r>
      <w:r w:rsidRPr="009C5807">
        <w:rPr>
          <w:rFonts w:cs="v4.2.0"/>
          <w:vertAlign w:val="subscript"/>
        </w:rPr>
        <w:t>e</w:t>
      </w:r>
      <w:r w:rsidRPr="009C5807">
        <w:rPr>
          <w:rFonts w:cs="v4.2.0"/>
        </w:rPr>
        <w:t xml:space="preserve"> then the UE is required to adjust its timing to within </w:t>
      </w:r>
      <w:r w:rsidRPr="009C5807">
        <w:rPr>
          <w:rFonts w:cs="v4.2.0"/>
        </w:rPr>
        <w:sym w:font="Symbol" w:char="F0B1"/>
      </w:r>
      <w:r w:rsidRPr="009C5807">
        <w:rPr>
          <w:rFonts w:cs="v4.2.0"/>
        </w:rPr>
        <w:t>T</w:t>
      </w:r>
      <w:r w:rsidRPr="009C5807">
        <w:rPr>
          <w:rFonts w:cs="v4.2.0"/>
          <w:vertAlign w:val="subscript"/>
        </w:rPr>
        <w:t>e</w:t>
      </w:r>
      <w:r w:rsidRPr="009C5807">
        <w:t>.</w:t>
      </w:r>
      <w:r w:rsidRPr="009C5807">
        <w:rPr>
          <w:lang w:eastAsia="ja-JP"/>
        </w:rPr>
        <w:t xml:space="preserve"> </w:t>
      </w:r>
      <w:r w:rsidRPr="009C5807">
        <w:rPr>
          <w:rFonts w:cs="v4.2.0"/>
        </w:rPr>
        <w:t xml:space="preserve">The reference </w:t>
      </w:r>
      <w:r w:rsidRPr="009C5807">
        <w:rPr>
          <w:rFonts w:cs="v4.2.0"/>
          <w:lang w:eastAsia="ja-JP"/>
        </w:rPr>
        <w:t>timing</w:t>
      </w:r>
      <w:r w:rsidRPr="009C5807">
        <w:rPr>
          <w:rFonts w:cs="v4.2.0"/>
        </w:rPr>
        <w:t xml:space="preserve"> shall be </w:t>
      </w:r>
      <w:r w:rsidRPr="009C5807">
        <w:rPr>
          <w:noProof/>
          <w:position w:val="-10"/>
          <w:lang w:val="en-US" w:eastAsia="zh-CN"/>
        </w:rPr>
        <w:drawing>
          <wp:inline distT="0" distB="0" distL="0" distR="0" wp14:anchorId="77607FE6" wp14:editId="4C178C98">
            <wp:extent cx="1145540" cy="187960"/>
            <wp:effectExtent l="0" t="0" r="0" b="2540"/>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5540" cy="187960"/>
                    </a:xfrm>
                    <a:prstGeom prst="rect">
                      <a:avLst/>
                    </a:prstGeom>
                    <a:noFill/>
                    <a:ln>
                      <a:noFill/>
                    </a:ln>
                  </pic:spPr>
                </pic:pic>
              </a:graphicData>
            </a:graphic>
          </wp:inline>
        </w:drawing>
      </w:r>
      <w:r w:rsidRPr="009C5807">
        <w:rPr>
          <w:rFonts w:cs="v4.2.0"/>
          <w:lang w:eastAsia="ja-JP"/>
        </w:rPr>
        <w:t xml:space="preserve"> before </w:t>
      </w:r>
      <w:r w:rsidRPr="009C5807">
        <w:rPr>
          <w:rFonts w:cs="v4.2.0"/>
        </w:rPr>
        <w:t>the d</w:t>
      </w:r>
      <w:r w:rsidRPr="009C5807">
        <w:rPr>
          <w:rFonts w:cs="v4.2.0"/>
          <w:lang w:eastAsia="ja-JP"/>
        </w:rPr>
        <w:t>ownlink timing of the reference cell.</w:t>
      </w:r>
      <w:r w:rsidRPr="009C5807" w:rsidDel="00C02601">
        <w:rPr>
          <w:rFonts w:cs="v4.2.0"/>
          <w:lang w:eastAsia="ja-JP"/>
        </w:rPr>
        <w:t xml:space="preserve"> </w:t>
      </w:r>
      <w:r w:rsidRPr="009C5807">
        <w:rPr>
          <w:rFonts w:cs="v4.2.0"/>
        </w:rPr>
        <w:t>All adjustments made to the UE uplink timing shall follow these rules:</w:t>
      </w:r>
    </w:p>
    <w:p w14:paraId="0E6EDE0D" w14:textId="77777777" w:rsidR="00F15152" w:rsidRPr="009C5807" w:rsidRDefault="00F15152" w:rsidP="00F15152">
      <w:pPr>
        <w:pStyle w:val="B10"/>
      </w:pPr>
      <w:r w:rsidRPr="009C5807">
        <w:t>1)</w:t>
      </w:r>
      <w:r w:rsidRPr="009C5807">
        <w:tab/>
        <w:t xml:space="preserve">The maximum amount of the magnitude of the timing change in one adjustment shall be </w:t>
      </w:r>
      <w:r w:rsidRPr="009C5807">
        <w:rPr>
          <w:rFonts w:cs="v4.2.0"/>
        </w:rPr>
        <w:t>T</w:t>
      </w:r>
      <w:r w:rsidRPr="009C5807">
        <w:rPr>
          <w:rFonts w:cs="v4.2.0"/>
          <w:vertAlign w:val="subscript"/>
        </w:rPr>
        <w:t>q</w:t>
      </w:r>
      <w:r w:rsidRPr="009C5807">
        <w:t>.</w:t>
      </w:r>
    </w:p>
    <w:p w14:paraId="4E495E8E" w14:textId="77777777" w:rsidR="00F15152" w:rsidRPr="009C5807" w:rsidRDefault="00F15152" w:rsidP="00F15152">
      <w:pPr>
        <w:pStyle w:val="B10"/>
      </w:pPr>
      <w:r w:rsidRPr="009C5807">
        <w:t>2)</w:t>
      </w:r>
      <w:r w:rsidRPr="009C5807">
        <w:tab/>
        <w:t xml:space="preserve">The minimum aggregate adjustment rate shall be </w:t>
      </w:r>
      <w:r w:rsidRPr="009C5807">
        <w:rPr>
          <w:rFonts w:cs="v4.2.0"/>
        </w:rPr>
        <w:t>T</w:t>
      </w:r>
      <w:r w:rsidRPr="009C5807">
        <w:rPr>
          <w:rFonts w:cs="v4.2.0"/>
          <w:vertAlign w:val="subscript"/>
          <w:lang w:eastAsia="zh-CN"/>
        </w:rPr>
        <w:t>p</w:t>
      </w:r>
      <w:r w:rsidRPr="009C5807" w:rsidDel="00053109">
        <w:t xml:space="preserve"> </w:t>
      </w:r>
      <w:r w:rsidRPr="009C5807">
        <w:t>per second.</w:t>
      </w:r>
    </w:p>
    <w:p w14:paraId="06AB55A4" w14:textId="77777777" w:rsidR="007B467B" w:rsidRDefault="007B467B" w:rsidP="007B467B">
      <w:pPr>
        <w:pStyle w:val="B10"/>
        <w:rPr>
          <w:rFonts w:cs="v4.2.0"/>
        </w:rPr>
      </w:pPr>
      <w:r>
        <w:rPr>
          <w:rFonts w:cs="v4.2.0"/>
        </w:rPr>
        <w:t>3)</w:t>
      </w:r>
      <w:r>
        <w:rPr>
          <w:rFonts w:cs="v4.2.0"/>
        </w:rPr>
        <w:tab/>
        <w:t>The maximum aggregate adjustment rate shall be T</w:t>
      </w:r>
      <w:r>
        <w:rPr>
          <w:rFonts w:cs="v4.2.0"/>
          <w:vertAlign w:val="subscript"/>
        </w:rPr>
        <w:t>q</w:t>
      </w:r>
      <w:r>
        <w:rPr>
          <w:rFonts w:cs="v4.2.0"/>
        </w:rPr>
        <w:t xml:space="preserve"> per 200 ms for SCS of UL signals smaller or equal to 120 kHz and 100 ms for SCS of upling signals larger or equal to 480 kHz.</w:t>
      </w:r>
    </w:p>
    <w:p w14:paraId="4D135F21" w14:textId="554DFC01" w:rsidR="00F15152" w:rsidRPr="009C5807" w:rsidRDefault="00696CC0" w:rsidP="00F15152">
      <w:pPr>
        <w:pStyle w:val="B10"/>
      </w:pPr>
      <w:r>
        <w:tab/>
      </w:r>
      <w:r w:rsidR="00F15152" w:rsidRPr="009C5807">
        <w:t>where the maximum autonomous time adjustment step T</w:t>
      </w:r>
      <w:r w:rsidR="00F15152" w:rsidRPr="009C5807">
        <w:rPr>
          <w:vertAlign w:val="subscript"/>
        </w:rPr>
        <w:t>q</w:t>
      </w:r>
      <w:r w:rsidR="00F15152" w:rsidRPr="009C5807">
        <w:t xml:space="preserve"> and the aggregate adjustment rate T</w:t>
      </w:r>
      <w:r w:rsidR="00F15152" w:rsidRPr="009C5807">
        <w:rPr>
          <w:vertAlign w:val="subscript"/>
        </w:rPr>
        <w:t>p</w:t>
      </w:r>
      <w:r w:rsidR="00F15152" w:rsidRPr="009C5807">
        <w:t xml:space="preserve"> are specified in Table 7.1.2.1-1.</w:t>
      </w:r>
    </w:p>
    <w:p w14:paraId="2E9E011C" w14:textId="57136D46" w:rsidR="00352A03" w:rsidRDefault="00352A03" w:rsidP="00264D91"/>
    <w:p w14:paraId="7E9D5141" w14:textId="77777777" w:rsidR="00352A03" w:rsidRDefault="00352A03" w:rsidP="00352A03">
      <w:pPr>
        <w:pStyle w:val="TH"/>
      </w:pPr>
      <w:r>
        <w:t>Table 7.1.2.1-1: T</w:t>
      </w:r>
      <w:r>
        <w:rPr>
          <w:vertAlign w:val="subscript"/>
        </w:rPr>
        <w:t>q</w:t>
      </w:r>
      <w:r>
        <w:t xml:space="preserve"> Maximum Autonomous Time Adjustment Step and T</w:t>
      </w:r>
      <w:r>
        <w:rPr>
          <w:vertAlign w:val="subscript"/>
        </w:rPr>
        <w:t>p</w:t>
      </w:r>
      <w:r>
        <w:t xml:space="preserve"> Minimum Aggregate Adjustment rate</w:t>
      </w: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3"/>
        <w:gridCol w:w="2032"/>
        <w:gridCol w:w="1996"/>
        <w:gridCol w:w="1997"/>
      </w:tblGrid>
      <w:tr w:rsidR="00352A03" w14:paraId="1C304189" w14:textId="77777777" w:rsidTr="00CE4233">
        <w:trPr>
          <w:cantSplit/>
          <w:jc w:val="center"/>
        </w:trPr>
        <w:tc>
          <w:tcPr>
            <w:tcW w:w="1205" w:type="pct"/>
            <w:tcBorders>
              <w:top w:val="single" w:sz="4" w:space="0" w:color="auto"/>
              <w:left w:val="single" w:sz="4" w:space="0" w:color="auto"/>
              <w:bottom w:val="single" w:sz="4" w:space="0" w:color="auto"/>
              <w:right w:val="single" w:sz="4" w:space="0" w:color="auto"/>
            </w:tcBorders>
            <w:vAlign w:val="center"/>
            <w:hideMark/>
          </w:tcPr>
          <w:p w14:paraId="744332C1" w14:textId="77777777" w:rsidR="00352A03" w:rsidRDefault="00352A03" w:rsidP="00CE4233">
            <w:pPr>
              <w:pStyle w:val="TAH"/>
            </w:pPr>
            <w:r>
              <w:t>Frequency Range</w:t>
            </w:r>
          </w:p>
        </w:tc>
        <w:tc>
          <w:tcPr>
            <w:tcW w:w="1280" w:type="pct"/>
            <w:tcBorders>
              <w:top w:val="single" w:sz="4" w:space="0" w:color="auto"/>
              <w:left w:val="single" w:sz="4" w:space="0" w:color="auto"/>
              <w:bottom w:val="single" w:sz="4" w:space="0" w:color="auto"/>
              <w:right w:val="single" w:sz="4" w:space="0" w:color="auto"/>
            </w:tcBorders>
            <w:hideMark/>
          </w:tcPr>
          <w:p w14:paraId="50FF17F7" w14:textId="77777777" w:rsidR="00352A03" w:rsidRDefault="00352A03" w:rsidP="00CE4233">
            <w:pPr>
              <w:pStyle w:val="TAH"/>
            </w:pPr>
            <w:r>
              <w:t>SCS of uplink signals (kHz)</w:t>
            </w:r>
          </w:p>
        </w:tc>
        <w:tc>
          <w:tcPr>
            <w:tcW w:w="1257" w:type="pct"/>
            <w:tcBorders>
              <w:top w:val="single" w:sz="4" w:space="0" w:color="auto"/>
              <w:left w:val="single" w:sz="4" w:space="0" w:color="auto"/>
              <w:bottom w:val="single" w:sz="4" w:space="0" w:color="auto"/>
              <w:right w:val="single" w:sz="4" w:space="0" w:color="auto"/>
            </w:tcBorders>
            <w:vAlign w:val="center"/>
            <w:hideMark/>
          </w:tcPr>
          <w:p w14:paraId="65473053" w14:textId="77777777" w:rsidR="00352A03" w:rsidRDefault="00352A03" w:rsidP="00CE4233">
            <w:pPr>
              <w:pStyle w:val="TAH"/>
            </w:pPr>
            <w:r>
              <w:t>T</w:t>
            </w:r>
            <w:r>
              <w:rPr>
                <w:vertAlign w:val="subscript"/>
              </w:rPr>
              <w:t>q</w:t>
            </w:r>
          </w:p>
        </w:tc>
        <w:tc>
          <w:tcPr>
            <w:tcW w:w="1258" w:type="pct"/>
            <w:tcBorders>
              <w:top w:val="single" w:sz="4" w:space="0" w:color="auto"/>
              <w:left w:val="single" w:sz="4" w:space="0" w:color="auto"/>
              <w:bottom w:val="single" w:sz="4" w:space="0" w:color="auto"/>
              <w:right w:val="single" w:sz="4" w:space="0" w:color="auto"/>
            </w:tcBorders>
            <w:vAlign w:val="center"/>
            <w:hideMark/>
          </w:tcPr>
          <w:p w14:paraId="7715D8EF" w14:textId="77777777" w:rsidR="00352A03" w:rsidRDefault="00352A03" w:rsidP="00CE4233">
            <w:pPr>
              <w:pStyle w:val="TAH"/>
            </w:pPr>
            <w:r>
              <w:t>T</w:t>
            </w:r>
            <w:r>
              <w:rPr>
                <w:vertAlign w:val="subscript"/>
              </w:rPr>
              <w:t>p</w:t>
            </w:r>
            <w:r>
              <w:t xml:space="preserve"> </w:t>
            </w:r>
          </w:p>
        </w:tc>
      </w:tr>
      <w:tr w:rsidR="00352A03" w14:paraId="1793E183" w14:textId="77777777" w:rsidTr="00CE4233">
        <w:trPr>
          <w:cantSplit/>
          <w:jc w:val="center"/>
        </w:trPr>
        <w:tc>
          <w:tcPr>
            <w:tcW w:w="1205" w:type="pct"/>
            <w:tcBorders>
              <w:top w:val="single" w:sz="4" w:space="0" w:color="auto"/>
              <w:left w:val="single" w:sz="4" w:space="0" w:color="auto"/>
              <w:bottom w:val="nil"/>
              <w:right w:val="single" w:sz="4" w:space="0" w:color="auto"/>
            </w:tcBorders>
            <w:vAlign w:val="center"/>
            <w:hideMark/>
          </w:tcPr>
          <w:p w14:paraId="024EF03A" w14:textId="77777777" w:rsidR="00352A03" w:rsidRDefault="00352A03" w:rsidP="00CE4233">
            <w:pPr>
              <w:pStyle w:val="TAC"/>
            </w:pPr>
            <w:r>
              <w:t>1</w:t>
            </w:r>
          </w:p>
        </w:tc>
        <w:tc>
          <w:tcPr>
            <w:tcW w:w="1280" w:type="pct"/>
            <w:tcBorders>
              <w:top w:val="single" w:sz="4" w:space="0" w:color="auto"/>
              <w:left w:val="single" w:sz="4" w:space="0" w:color="auto"/>
              <w:bottom w:val="single" w:sz="4" w:space="0" w:color="auto"/>
              <w:right w:val="single" w:sz="4" w:space="0" w:color="auto"/>
            </w:tcBorders>
            <w:hideMark/>
          </w:tcPr>
          <w:p w14:paraId="2962912D" w14:textId="77777777" w:rsidR="00352A03" w:rsidRDefault="00352A03" w:rsidP="00CE4233">
            <w:pPr>
              <w:pStyle w:val="TAC"/>
            </w:pPr>
            <w:r>
              <w:t>15</w:t>
            </w:r>
          </w:p>
        </w:tc>
        <w:tc>
          <w:tcPr>
            <w:tcW w:w="1257" w:type="pct"/>
            <w:tcBorders>
              <w:top w:val="single" w:sz="4" w:space="0" w:color="auto"/>
              <w:left w:val="single" w:sz="4" w:space="0" w:color="auto"/>
              <w:bottom w:val="single" w:sz="4" w:space="0" w:color="auto"/>
              <w:right w:val="single" w:sz="4" w:space="0" w:color="auto"/>
            </w:tcBorders>
            <w:hideMark/>
          </w:tcPr>
          <w:p w14:paraId="4568365A" w14:textId="77777777" w:rsidR="00352A03" w:rsidRDefault="00352A03" w:rsidP="00CE4233">
            <w:pPr>
              <w:pStyle w:val="TAC"/>
            </w:pPr>
            <w:r>
              <w:t>5.5*64*T</w:t>
            </w:r>
            <w:r>
              <w:rPr>
                <w:vertAlign w:val="subscript"/>
              </w:rPr>
              <w:t>c</w:t>
            </w:r>
          </w:p>
        </w:tc>
        <w:tc>
          <w:tcPr>
            <w:tcW w:w="1258" w:type="pct"/>
            <w:tcBorders>
              <w:top w:val="single" w:sz="4" w:space="0" w:color="auto"/>
              <w:left w:val="single" w:sz="4" w:space="0" w:color="auto"/>
              <w:bottom w:val="single" w:sz="4" w:space="0" w:color="auto"/>
              <w:right w:val="single" w:sz="4" w:space="0" w:color="auto"/>
            </w:tcBorders>
            <w:hideMark/>
          </w:tcPr>
          <w:p w14:paraId="49FA04B8" w14:textId="77777777" w:rsidR="00352A03" w:rsidRDefault="00352A03" w:rsidP="00CE4233">
            <w:pPr>
              <w:pStyle w:val="TAC"/>
            </w:pPr>
            <w:r>
              <w:t>5.5*64*T</w:t>
            </w:r>
            <w:r>
              <w:rPr>
                <w:vertAlign w:val="subscript"/>
              </w:rPr>
              <w:t>c</w:t>
            </w:r>
          </w:p>
        </w:tc>
      </w:tr>
      <w:tr w:rsidR="00352A03" w14:paraId="0C9A5AFE" w14:textId="77777777" w:rsidTr="00CE4233">
        <w:trPr>
          <w:cantSplit/>
          <w:jc w:val="center"/>
        </w:trPr>
        <w:tc>
          <w:tcPr>
            <w:tcW w:w="1205" w:type="pct"/>
            <w:tcBorders>
              <w:top w:val="nil"/>
              <w:left w:val="single" w:sz="4" w:space="0" w:color="auto"/>
              <w:bottom w:val="nil"/>
              <w:right w:val="single" w:sz="4" w:space="0" w:color="auto"/>
            </w:tcBorders>
            <w:vAlign w:val="center"/>
          </w:tcPr>
          <w:p w14:paraId="1F3F09D3" w14:textId="77777777" w:rsidR="00352A03" w:rsidRDefault="00352A03" w:rsidP="00CE4233">
            <w:pPr>
              <w:pStyle w:val="TAC"/>
            </w:pPr>
          </w:p>
        </w:tc>
        <w:tc>
          <w:tcPr>
            <w:tcW w:w="1280" w:type="pct"/>
            <w:tcBorders>
              <w:top w:val="single" w:sz="4" w:space="0" w:color="auto"/>
              <w:left w:val="single" w:sz="4" w:space="0" w:color="auto"/>
              <w:bottom w:val="single" w:sz="4" w:space="0" w:color="auto"/>
              <w:right w:val="single" w:sz="4" w:space="0" w:color="auto"/>
            </w:tcBorders>
            <w:hideMark/>
          </w:tcPr>
          <w:p w14:paraId="5068B613" w14:textId="77777777" w:rsidR="00352A03" w:rsidRDefault="00352A03" w:rsidP="00CE4233">
            <w:pPr>
              <w:pStyle w:val="TAC"/>
            </w:pPr>
            <w:r>
              <w:t>30</w:t>
            </w:r>
          </w:p>
        </w:tc>
        <w:tc>
          <w:tcPr>
            <w:tcW w:w="1257" w:type="pct"/>
            <w:tcBorders>
              <w:top w:val="single" w:sz="4" w:space="0" w:color="auto"/>
              <w:left w:val="single" w:sz="4" w:space="0" w:color="auto"/>
              <w:bottom w:val="single" w:sz="4" w:space="0" w:color="auto"/>
              <w:right w:val="single" w:sz="4" w:space="0" w:color="auto"/>
            </w:tcBorders>
            <w:hideMark/>
          </w:tcPr>
          <w:p w14:paraId="5C1DC93F" w14:textId="77777777" w:rsidR="00352A03" w:rsidRDefault="00352A03" w:rsidP="00CE4233">
            <w:pPr>
              <w:pStyle w:val="TAC"/>
            </w:pPr>
            <w:r>
              <w:t>5.5*64*T</w:t>
            </w:r>
            <w:r>
              <w:rPr>
                <w:vertAlign w:val="subscript"/>
              </w:rPr>
              <w:t>c</w:t>
            </w:r>
          </w:p>
        </w:tc>
        <w:tc>
          <w:tcPr>
            <w:tcW w:w="1258" w:type="pct"/>
            <w:tcBorders>
              <w:top w:val="single" w:sz="4" w:space="0" w:color="auto"/>
              <w:left w:val="single" w:sz="4" w:space="0" w:color="auto"/>
              <w:bottom w:val="single" w:sz="4" w:space="0" w:color="auto"/>
              <w:right w:val="single" w:sz="4" w:space="0" w:color="auto"/>
            </w:tcBorders>
            <w:hideMark/>
          </w:tcPr>
          <w:p w14:paraId="7DBE67A0" w14:textId="77777777" w:rsidR="00352A03" w:rsidRDefault="00352A03" w:rsidP="00CE4233">
            <w:pPr>
              <w:pStyle w:val="TAC"/>
            </w:pPr>
            <w:r>
              <w:t>5.5*64*T</w:t>
            </w:r>
            <w:r>
              <w:rPr>
                <w:vertAlign w:val="subscript"/>
              </w:rPr>
              <w:t>c</w:t>
            </w:r>
          </w:p>
        </w:tc>
      </w:tr>
      <w:tr w:rsidR="00352A03" w14:paraId="1D4E3A0E" w14:textId="77777777" w:rsidTr="00CE4233">
        <w:trPr>
          <w:cantSplit/>
          <w:jc w:val="center"/>
        </w:trPr>
        <w:tc>
          <w:tcPr>
            <w:tcW w:w="1205" w:type="pct"/>
            <w:tcBorders>
              <w:top w:val="nil"/>
              <w:left w:val="single" w:sz="4" w:space="0" w:color="auto"/>
              <w:bottom w:val="single" w:sz="4" w:space="0" w:color="auto"/>
              <w:right w:val="single" w:sz="4" w:space="0" w:color="auto"/>
            </w:tcBorders>
            <w:vAlign w:val="center"/>
          </w:tcPr>
          <w:p w14:paraId="18A16B1D" w14:textId="77777777" w:rsidR="00352A03" w:rsidRDefault="00352A03" w:rsidP="00CE4233">
            <w:pPr>
              <w:pStyle w:val="TAC"/>
            </w:pPr>
          </w:p>
        </w:tc>
        <w:tc>
          <w:tcPr>
            <w:tcW w:w="1280" w:type="pct"/>
            <w:tcBorders>
              <w:top w:val="single" w:sz="4" w:space="0" w:color="auto"/>
              <w:left w:val="single" w:sz="4" w:space="0" w:color="auto"/>
              <w:bottom w:val="single" w:sz="4" w:space="0" w:color="auto"/>
              <w:right w:val="single" w:sz="4" w:space="0" w:color="auto"/>
            </w:tcBorders>
            <w:hideMark/>
          </w:tcPr>
          <w:p w14:paraId="0396EACA" w14:textId="77777777" w:rsidR="00352A03" w:rsidRDefault="00352A03" w:rsidP="00CE4233">
            <w:pPr>
              <w:pStyle w:val="TAC"/>
            </w:pPr>
            <w:r>
              <w:t>60</w:t>
            </w:r>
          </w:p>
        </w:tc>
        <w:tc>
          <w:tcPr>
            <w:tcW w:w="1257" w:type="pct"/>
            <w:tcBorders>
              <w:top w:val="single" w:sz="4" w:space="0" w:color="auto"/>
              <w:left w:val="single" w:sz="4" w:space="0" w:color="auto"/>
              <w:bottom w:val="single" w:sz="4" w:space="0" w:color="auto"/>
              <w:right w:val="single" w:sz="4" w:space="0" w:color="auto"/>
            </w:tcBorders>
            <w:hideMark/>
          </w:tcPr>
          <w:p w14:paraId="4FBA0426" w14:textId="77777777" w:rsidR="00352A03" w:rsidRDefault="00352A03" w:rsidP="00CE4233">
            <w:pPr>
              <w:pStyle w:val="TAC"/>
            </w:pPr>
            <w:r>
              <w:t>5.5*64*T</w:t>
            </w:r>
            <w:r>
              <w:rPr>
                <w:vertAlign w:val="subscript"/>
              </w:rPr>
              <w:t>c</w:t>
            </w:r>
          </w:p>
        </w:tc>
        <w:tc>
          <w:tcPr>
            <w:tcW w:w="1258" w:type="pct"/>
            <w:tcBorders>
              <w:top w:val="single" w:sz="4" w:space="0" w:color="auto"/>
              <w:left w:val="single" w:sz="4" w:space="0" w:color="auto"/>
              <w:bottom w:val="single" w:sz="4" w:space="0" w:color="auto"/>
              <w:right w:val="single" w:sz="4" w:space="0" w:color="auto"/>
            </w:tcBorders>
            <w:hideMark/>
          </w:tcPr>
          <w:p w14:paraId="2E3E0B8F" w14:textId="77777777" w:rsidR="00352A03" w:rsidRDefault="00352A03" w:rsidP="00CE4233">
            <w:pPr>
              <w:pStyle w:val="TAC"/>
            </w:pPr>
            <w:r>
              <w:t>5.5*64*T</w:t>
            </w:r>
            <w:r>
              <w:rPr>
                <w:vertAlign w:val="subscript"/>
              </w:rPr>
              <w:t>c</w:t>
            </w:r>
          </w:p>
        </w:tc>
      </w:tr>
      <w:tr w:rsidR="00352A03" w14:paraId="4E3367EB" w14:textId="77777777" w:rsidTr="00CE4233">
        <w:trPr>
          <w:cantSplit/>
          <w:jc w:val="center"/>
        </w:trPr>
        <w:tc>
          <w:tcPr>
            <w:tcW w:w="1205" w:type="pct"/>
            <w:tcBorders>
              <w:top w:val="single" w:sz="4" w:space="0" w:color="auto"/>
              <w:left w:val="single" w:sz="4" w:space="0" w:color="auto"/>
              <w:bottom w:val="nil"/>
              <w:right w:val="single" w:sz="4" w:space="0" w:color="auto"/>
            </w:tcBorders>
            <w:vAlign w:val="center"/>
            <w:hideMark/>
          </w:tcPr>
          <w:p w14:paraId="5D15DB0A" w14:textId="77777777" w:rsidR="00352A03" w:rsidRDefault="00352A03" w:rsidP="00CE4233">
            <w:pPr>
              <w:pStyle w:val="TAC"/>
            </w:pPr>
            <w:r>
              <w:t>2-1</w:t>
            </w:r>
          </w:p>
        </w:tc>
        <w:tc>
          <w:tcPr>
            <w:tcW w:w="1280" w:type="pct"/>
            <w:tcBorders>
              <w:top w:val="single" w:sz="4" w:space="0" w:color="auto"/>
              <w:left w:val="single" w:sz="4" w:space="0" w:color="auto"/>
              <w:bottom w:val="single" w:sz="4" w:space="0" w:color="auto"/>
              <w:right w:val="single" w:sz="4" w:space="0" w:color="auto"/>
            </w:tcBorders>
            <w:hideMark/>
          </w:tcPr>
          <w:p w14:paraId="2A80F210" w14:textId="77777777" w:rsidR="00352A03" w:rsidRDefault="00352A03" w:rsidP="00CE4233">
            <w:pPr>
              <w:pStyle w:val="TAC"/>
            </w:pPr>
            <w:r>
              <w:t>60</w:t>
            </w:r>
          </w:p>
        </w:tc>
        <w:tc>
          <w:tcPr>
            <w:tcW w:w="1257" w:type="pct"/>
            <w:tcBorders>
              <w:top w:val="single" w:sz="4" w:space="0" w:color="auto"/>
              <w:left w:val="single" w:sz="4" w:space="0" w:color="auto"/>
              <w:bottom w:val="single" w:sz="4" w:space="0" w:color="auto"/>
              <w:right w:val="single" w:sz="4" w:space="0" w:color="auto"/>
            </w:tcBorders>
            <w:hideMark/>
          </w:tcPr>
          <w:p w14:paraId="2FD32B14" w14:textId="77777777" w:rsidR="00352A03" w:rsidRDefault="00352A03" w:rsidP="00CE4233">
            <w:pPr>
              <w:pStyle w:val="TAC"/>
            </w:pPr>
            <w:r>
              <w:t>K*64*T</w:t>
            </w:r>
            <w:r>
              <w:rPr>
                <w:vertAlign w:val="subscript"/>
              </w:rPr>
              <w:t>c</w:t>
            </w:r>
          </w:p>
        </w:tc>
        <w:tc>
          <w:tcPr>
            <w:tcW w:w="1258" w:type="pct"/>
            <w:tcBorders>
              <w:top w:val="single" w:sz="4" w:space="0" w:color="auto"/>
              <w:left w:val="single" w:sz="4" w:space="0" w:color="auto"/>
              <w:bottom w:val="single" w:sz="4" w:space="0" w:color="auto"/>
              <w:right w:val="single" w:sz="4" w:space="0" w:color="auto"/>
            </w:tcBorders>
            <w:hideMark/>
          </w:tcPr>
          <w:p w14:paraId="53285AE2" w14:textId="77777777" w:rsidR="00352A03" w:rsidRDefault="00352A03" w:rsidP="00CE4233">
            <w:pPr>
              <w:pStyle w:val="TAC"/>
            </w:pPr>
            <w:r>
              <w:t>2.5*64*T</w:t>
            </w:r>
            <w:r>
              <w:rPr>
                <w:vertAlign w:val="subscript"/>
              </w:rPr>
              <w:t>c</w:t>
            </w:r>
          </w:p>
        </w:tc>
      </w:tr>
      <w:tr w:rsidR="00352A03" w14:paraId="14C6F6A6" w14:textId="77777777" w:rsidTr="00CE4233">
        <w:trPr>
          <w:cantSplit/>
          <w:jc w:val="center"/>
        </w:trPr>
        <w:tc>
          <w:tcPr>
            <w:tcW w:w="1205" w:type="pct"/>
            <w:tcBorders>
              <w:top w:val="nil"/>
              <w:left w:val="single" w:sz="4" w:space="0" w:color="auto"/>
              <w:bottom w:val="single" w:sz="4" w:space="0" w:color="auto"/>
              <w:right w:val="single" w:sz="4" w:space="0" w:color="auto"/>
            </w:tcBorders>
          </w:tcPr>
          <w:p w14:paraId="252677B7" w14:textId="77777777" w:rsidR="00352A03" w:rsidRDefault="00352A03" w:rsidP="00CE4233">
            <w:pPr>
              <w:pStyle w:val="TAC"/>
            </w:pPr>
          </w:p>
        </w:tc>
        <w:tc>
          <w:tcPr>
            <w:tcW w:w="1280" w:type="pct"/>
            <w:tcBorders>
              <w:top w:val="single" w:sz="4" w:space="0" w:color="auto"/>
              <w:left w:val="single" w:sz="4" w:space="0" w:color="auto"/>
              <w:bottom w:val="single" w:sz="4" w:space="0" w:color="auto"/>
              <w:right w:val="single" w:sz="4" w:space="0" w:color="auto"/>
            </w:tcBorders>
            <w:hideMark/>
          </w:tcPr>
          <w:p w14:paraId="4FCB7D0C" w14:textId="77777777" w:rsidR="00352A03" w:rsidRDefault="00352A03" w:rsidP="00CE4233">
            <w:pPr>
              <w:pStyle w:val="TAC"/>
            </w:pPr>
            <w:r>
              <w:t>120</w:t>
            </w:r>
          </w:p>
        </w:tc>
        <w:tc>
          <w:tcPr>
            <w:tcW w:w="1257" w:type="pct"/>
            <w:tcBorders>
              <w:top w:val="single" w:sz="4" w:space="0" w:color="auto"/>
              <w:left w:val="single" w:sz="4" w:space="0" w:color="auto"/>
              <w:bottom w:val="single" w:sz="4" w:space="0" w:color="auto"/>
              <w:right w:val="single" w:sz="4" w:space="0" w:color="auto"/>
            </w:tcBorders>
            <w:hideMark/>
          </w:tcPr>
          <w:p w14:paraId="4C891FD5" w14:textId="77777777" w:rsidR="00352A03" w:rsidRDefault="00352A03" w:rsidP="00CE4233">
            <w:pPr>
              <w:pStyle w:val="TAC"/>
            </w:pPr>
            <w:r>
              <w:t>K*64*T</w:t>
            </w:r>
            <w:r>
              <w:rPr>
                <w:vertAlign w:val="subscript"/>
              </w:rPr>
              <w:t>c</w:t>
            </w:r>
          </w:p>
        </w:tc>
        <w:tc>
          <w:tcPr>
            <w:tcW w:w="1258" w:type="pct"/>
            <w:tcBorders>
              <w:top w:val="single" w:sz="4" w:space="0" w:color="auto"/>
              <w:left w:val="single" w:sz="4" w:space="0" w:color="auto"/>
              <w:bottom w:val="single" w:sz="4" w:space="0" w:color="auto"/>
              <w:right w:val="single" w:sz="4" w:space="0" w:color="auto"/>
            </w:tcBorders>
            <w:hideMark/>
          </w:tcPr>
          <w:p w14:paraId="43970C7D" w14:textId="77777777" w:rsidR="00352A03" w:rsidRDefault="00352A03" w:rsidP="00CE4233">
            <w:pPr>
              <w:pStyle w:val="TAC"/>
            </w:pPr>
            <w:r>
              <w:t>2.5*64*T</w:t>
            </w:r>
            <w:r>
              <w:rPr>
                <w:vertAlign w:val="subscript"/>
              </w:rPr>
              <w:t>c</w:t>
            </w:r>
          </w:p>
        </w:tc>
      </w:tr>
      <w:tr w:rsidR="00352A03" w14:paraId="48F71E98" w14:textId="77777777" w:rsidTr="00CE4233">
        <w:trPr>
          <w:cantSplit/>
          <w:jc w:val="center"/>
        </w:trPr>
        <w:tc>
          <w:tcPr>
            <w:tcW w:w="1205" w:type="pct"/>
            <w:tcBorders>
              <w:top w:val="single" w:sz="4" w:space="0" w:color="auto"/>
              <w:left w:val="single" w:sz="4" w:space="0" w:color="auto"/>
              <w:bottom w:val="nil"/>
              <w:right w:val="single" w:sz="4" w:space="0" w:color="auto"/>
            </w:tcBorders>
            <w:hideMark/>
          </w:tcPr>
          <w:p w14:paraId="2FF0EC9D" w14:textId="77777777" w:rsidR="00352A03" w:rsidRDefault="00352A03" w:rsidP="00CE4233">
            <w:pPr>
              <w:pStyle w:val="TAC"/>
            </w:pPr>
            <w:r>
              <w:t>2-2</w:t>
            </w:r>
          </w:p>
        </w:tc>
        <w:tc>
          <w:tcPr>
            <w:tcW w:w="1280" w:type="pct"/>
            <w:tcBorders>
              <w:top w:val="single" w:sz="4" w:space="0" w:color="auto"/>
              <w:left w:val="single" w:sz="4" w:space="0" w:color="auto"/>
              <w:bottom w:val="single" w:sz="4" w:space="0" w:color="auto"/>
              <w:right w:val="single" w:sz="4" w:space="0" w:color="auto"/>
            </w:tcBorders>
            <w:hideMark/>
          </w:tcPr>
          <w:p w14:paraId="48B20040" w14:textId="77777777" w:rsidR="00352A03" w:rsidRDefault="00352A03" w:rsidP="00CE4233">
            <w:pPr>
              <w:pStyle w:val="TAC"/>
            </w:pPr>
            <w:r>
              <w:t>120</w:t>
            </w:r>
          </w:p>
        </w:tc>
        <w:tc>
          <w:tcPr>
            <w:tcW w:w="1257" w:type="pct"/>
            <w:tcBorders>
              <w:top w:val="single" w:sz="4" w:space="0" w:color="auto"/>
              <w:left w:val="single" w:sz="4" w:space="0" w:color="auto"/>
              <w:bottom w:val="single" w:sz="4" w:space="0" w:color="auto"/>
              <w:right w:val="single" w:sz="4" w:space="0" w:color="auto"/>
            </w:tcBorders>
            <w:hideMark/>
          </w:tcPr>
          <w:p w14:paraId="6FC08072" w14:textId="77777777" w:rsidR="00352A03" w:rsidRDefault="00352A03" w:rsidP="00CE4233">
            <w:pPr>
              <w:pStyle w:val="TAC"/>
            </w:pPr>
            <w:r>
              <w:t>2.5*64*T</w:t>
            </w:r>
            <w:r>
              <w:rPr>
                <w:vertAlign w:val="subscript"/>
              </w:rPr>
              <w:t>c</w:t>
            </w:r>
          </w:p>
        </w:tc>
        <w:tc>
          <w:tcPr>
            <w:tcW w:w="1258" w:type="pct"/>
            <w:tcBorders>
              <w:top w:val="single" w:sz="4" w:space="0" w:color="auto"/>
              <w:left w:val="single" w:sz="4" w:space="0" w:color="auto"/>
              <w:bottom w:val="single" w:sz="4" w:space="0" w:color="auto"/>
              <w:right w:val="single" w:sz="4" w:space="0" w:color="auto"/>
            </w:tcBorders>
            <w:hideMark/>
          </w:tcPr>
          <w:p w14:paraId="470C9684" w14:textId="77777777" w:rsidR="00352A03" w:rsidRDefault="00352A03" w:rsidP="00CE4233">
            <w:pPr>
              <w:pStyle w:val="TAC"/>
            </w:pPr>
            <w:r>
              <w:t>2.5*64*T</w:t>
            </w:r>
            <w:r>
              <w:rPr>
                <w:vertAlign w:val="subscript"/>
              </w:rPr>
              <w:t>c</w:t>
            </w:r>
          </w:p>
        </w:tc>
      </w:tr>
      <w:tr w:rsidR="00352A03" w14:paraId="06134970" w14:textId="77777777" w:rsidTr="00CE4233">
        <w:trPr>
          <w:cantSplit/>
          <w:jc w:val="center"/>
        </w:trPr>
        <w:tc>
          <w:tcPr>
            <w:tcW w:w="1205" w:type="pct"/>
            <w:tcBorders>
              <w:top w:val="nil"/>
              <w:left w:val="single" w:sz="4" w:space="0" w:color="auto"/>
              <w:bottom w:val="nil"/>
              <w:right w:val="single" w:sz="4" w:space="0" w:color="auto"/>
            </w:tcBorders>
          </w:tcPr>
          <w:p w14:paraId="4B5D827D" w14:textId="77777777" w:rsidR="00352A03" w:rsidRDefault="00352A03" w:rsidP="00CE4233">
            <w:pPr>
              <w:pStyle w:val="TAC"/>
            </w:pPr>
          </w:p>
        </w:tc>
        <w:tc>
          <w:tcPr>
            <w:tcW w:w="1280" w:type="pct"/>
            <w:tcBorders>
              <w:top w:val="single" w:sz="4" w:space="0" w:color="auto"/>
              <w:left w:val="single" w:sz="4" w:space="0" w:color="auto"/>
              <w:bottom w:val="single" w:sz="4" w:space="0" w:color="auto"/>
              <w:right w:val="single" w:sz="4" w:space="0" w:color="auto"/>
            </w:tcBorders>
            <w:hideMark/>
          </w:tcPr>
          <w:p w14:paraId="5D63C402" w14:textId="77777777" w:rsidR="00352A03" w:rsidRDefault="00352A03" w:rsidP="00CE4233">
            <w:pPr>
              <w:pStyle w:val="TAC"/>
            </w:pPr>
            <w:r>
              <w:t>480</w:t>
            </w:r>
          </w:p>
        </w:tc>
        <w:tc>
          <w:tcPr>
            <w:tcW w:w="1257" w:type="pct"/>
            <w:tcBorders>
              <w:top w:val="single" w:sz="4" w:space="0" w:color="auto"/>
              <w:left w:val="single" w:sz="4" w:space="0" w:color="auto"/>
              <w:bottom w:val="single" w:sz="4" w:space="0" w:color="auto"/>
              <w:right w:val="single" w:sz="4" w:space="0" w:color="auto"/>
            </w:tcBorders>
            <w:hideMark/>
          </w:tcPr>
          <w:p w14:paraId="57636F52" w14:textId="77777777" w:rsidR="00352A03" w:rsidRDefault="00352A03" w:rsidP="00CE4233">
            <w:pPr>
              <w:pStyle w:val="TAC"/>
            </w:pPr>
            <w:r>
              <w:t>[0.8]*64*T</w:t>
            </w:r>
            <w:r>
              <w:rPr>
                <w:vertAlign w:val="subscript"/>
              </w:rPr>
              <w:t>c</w:t>
            </w:r>
          </w:p>
        </w:tc>
        <w:tc>
          <w:tcPr>
            <w:tcW w:w="1258" w:type="pct"/>
            <w:tcBorders>
              <w:top w:val="single" w:sz="4" w:space="0" w:color="auto"/>
              <w:left w:val="single" w:sz="4" w:space="0" w:color="auto"/>
              <w:bottom w:val="single" w:sz="4" w:space="0" w:color="auto"/>
              <w:right w:val="single" w:sz="4" w:space="0" w:color="auto"/>
            </w:tcBorders>
            <w:hideMark/>
          </w:tcPr>
          <w:p w14:paraId="1CB27A87" w14:textId="77777777" w:rsidR="00352A03" w:rsidRDefault="00352A03" w:rsidP="00CE4233">
            <w:pPr>
              <w:pStyle w:val="TAC"/>
            </w:pPr>
            <w:r>
              <w:t>[0.8]*64*T</w:t>
            </w:r>
            <w:r>
              <w:rPr>
                <w:vertAlign w:val="subscript"/>
              </w:rPr>
              <w:t>c</w:t>
            </w:r>
          </w:p>
        </w:tc>
      </w:tr>
      <w:tr w:rsidR="00352A03" w14:paraId="677F7626" w14:textId="77777777" w:rsidTr="00CE4233">
        <w:trPr>
          <w:cantSplit/>
          <w:jc w:val="center"/>
        </w:trPr>
        <w:tc>
          <w:tcPr>
            <w:tcW w:w="1205" w:type="pct"/>
            <w:tcBorders>
              <w:top w:val="nil"/>
              <w:left w:val="single" w:sz="4" w:space="0" w:color="auto"/>
              <w:bottom w:val="single" w:sz="4" w:space="0" w:color="auto"/>
              <w:right w:val="single" w:sz="4" w:space="0" w:color="auto"/>
            </w:tcBorders>
          </w:tcPr>
          <w:p w14:paraId="2CF5109A" w14:textId="77777777" w:rsidR="00352A03" w:rsidRDefault="00352A03" w:rsidP="00CE4233">
            <w:pPr>
              <w:pStyle w:val="TAC"/>
            </w:pPr>
          </w:p>
        </w:tc>
        <w:tc>
          <w:tcPr>
            <w:tcW w:w="1280" w:type="pct"/>
            <w:tcBorders>
              <w:top w:val="single" w:sz="4" w:space="0" w:color="auto"/>
              <w:left w:val="single" w:sz="4" w:space="0" w:color="auto"/>
              <w:bottom w:val="single" w:sz="4" w:space="0" w:color="auto"/>
              <w:right w:val="single" w:sz="4" w:space="0" w:color="auto"/>
            </w:tcBorders>
            <w:hideMark/>
          </w:tcPr>
          <w:p w14:paraId="508A9F4A" w14:textId="77777777" w:rsidR="00352A03" w:rsidRDefault="00352A03" w:rsidP="00CE4233">
            <w:pPr>
              <w:pStyle w:val="TAC"/>
            </w:pPr>
            <w:r>
              <w:t>960</w:t>
            </w:r>
          </w:p>
        </w:tc>
        <w:tc>
          <w:tcPr>
            <w:tcW w:w="1257" w:type="pct"/>
            <w:tcBorders>
              <w:top w:val="single" w:sz="4" w:space="0" w:color="auto"/>
              <w:left w:val="single" w:sz="4" w:space="0" w:color="auto"/>
              <w:bottom w:val="single" w:sz="4" w:space="0" w:color="auto"/>
              <w:right w:val="single" w:sz="4" w:space="0" w:color="auto"/>
            </w:tcBorders>
            <w:hideMark/>
          </w:tcPr>
          <w:p w14:paraId="710DAE53" w14:textId="77777777" w:rsidR="00352A03" w:rsidRDefault="00352A03" w:rsidP="00CE4233">
            <w:pPr>
              <w:pStyle w:val="TAC"/>
            </w:pPr>
            <w:r>
              <w:t>[0.8]*64*T</w:t>
            </w:r>
            <w:r>
              <w:rPr>
                <w:vertAlign w:val="subscript"/>
              </w:rPr>
              <w:t>c</w:t>
            </w:r>
          </w:p>
        </w:tc>
        <w:tc>
          <w:tcPr>
            <w:tcW w:w="1258" w:type="pct"/>
            <w:tcBorders>
              <w:top w:val="single" w:sz="4" w:space="0" w:color="auto"/>
              <w:left w:val="single" w:sz="4" w:space="0" w:color="auto"/>
              <w:bottom w:val="single" w:sz="4" w:space="0" w:color="auto"/>
              <w:right w:val="single" w:sz="4" w:space="0" w:color="auto"/>
            </w:tcBorders>
            <w:hideMark/>
          </w:tcPr>
          <w:p w14:paraId="34E59B31" w14:textId="77777777" w:rsidR="00352A03" w:rsidRDefault="00352A03" w:rsidP="00CE4233">
            <w:pPr>
              <w:pStyle w:val="TAC"/>
            </w:pPr>
            <w:r>
              <w:t>[0.8]*64*T</w:t>
            </w:r>
            <w:r>
              <w:rPr>
                <w:vertAlign w:val="subscript"/>
              </w:rPr>
              <w:t>c</w:t>
            </w:r>
          </w:p>
        </w:tc>
      </w:tr>
      <w:tr w:rsidR="00352A03" w14:paraId="619B026A" w14:textId="77777777" w:rsidTr="00CE4233">
        <w:trPr>
          <w:cantSplit/>
          <w:jc w:val="center"/>
        </w:trPr>
        <w:tc>
          <w:tcPr>
            <w:tcW w:w="5000" w:type="pct"/>
            <w:gridSpan w:val="4"/>
            <w:tcBorders>
              <w:top w:val="single" w:sz="4" w:space="0" w:color="auto"/>
              <w:left w:val="single" w:sz="4" w:space="0" w:color="auto"/>
              <w:bottom w:val="single" w:sz="4" w:space="0" w:color="auto"/>
              <w:right w:val="single" w:sz="4" w:space="0" w:color="auto"/>
            </w:tcBorders>
            <w:hideMark/>
          </w:tcPr>
          <w:p w14:paraId="1FE4775C" w14:textId="77777777" w:rsidR="00352A03" w:rsidRDefault="00352A03" w:rsidP="00CE4233">
            <w:pPr>
              <w:pStyle w:val="TAN"/>
            </w:pPr>
            <w:r>
              <w:rPr>
                <w:rFonts w:cs="Arial"/>
              </w:rPr>
              <w:t>NOTE 1</w:t>
            </w:r>
            <w:r>
              <w:t>:</w:t>
            </w:r>
            <w:r>
              <w:tab/>
              <w:t>T</w:t>
            </w:r>
            <w:r>
              <w:rPr>
                <w:vertAlign w:val="subscript"/>
              </w:rPr>
              <w:t>c</w:t>
            </w:r>
            <w:r>
              <w:t xml:space="preserve"> is the basic timing unit defined in TS 38.211 [6]</w:t>
            </w:r>
          </w:p>
          <w:p w14:paraId="1AC3B8F3" w14:textId="062BE7E4" w:rsidR="00352A03" w:rsidRDefault="00352A03" w:rsidP="00CE4233">
            <w:pPr>
              <w:pStyle w:val="TAN"/>
            </w:pPr>
            <w:r>
              <w:rPr>
                <w:rFonts w:cs="Arial"/>
                <w:lang w:val="en-US"/>
              </w:rPr>
              <w:t>NOTE 2</w:t>
            </w:r>
            <w:r>
              <w:rPr>
                <w:lang w:val="en-US"/>
              </w:rPr>
              <w:t>:</w:t>
            </w:r>
            <w:r>
              <w:rPr>
                <w:lang w:val="en-US"/>
              </w:rPr>
              <w:tab/>
              <w:t xml:space="preserve">When </w:t>
            </w:r>
            <w:r>
              <w:rPr>
                <w:i/>
                <w:iCs/>
                <w:lang w:val="en-US"/>
              </w:rPr>
              <w:t>highSpeedMeasFlagFR2-r17</w:t>
            </w:r>
            <w:r>
              <w:rPr>
                <w:lang w:val="en-US"/>
              </w:rPr>
              <w:t xml:space="preserve"> is configured for UE supporting power class 6, K = 4.5; otherwise, K = 2.5.</w:t>
            </w:r>
          </w:p>
        </w:tc>
      </w:tr>
    </w:tbl>
    <w:p w14:paraId="12B888EF" w14:textId="77777777" w:rsidR="00352A03" w:rsidRPr="00BE4654" w:rsidRDefault="00352A03" w:rsidP="00352A03">
      <w:pPr>
        <w:rPr>
          <w:lang w:val="en-US" w:eastAsia="zh-CN"/>
        </w:rPr>
      </w:pPr>
    </w:p>
    <w:p w14:paraId="231CBBF7" w14:textId="7A962A5E" w:rsidR="00FC1819" w:rsidRPr="009C5807" w:rsidRDefault="00FC1819" w:rsidP="00FC1819">
      <w:pPr>
        <w:pStyle w:val="Heading4"/>
        <w:rPr>
          <w:noProof/>
          <w:lang w:eastAsia="zh-CN"/>
        </w:rPr>
      </w:pPr>
      <w:r w:rsidRPr="009C5807">
        <w:t>7.1.2.2</w:t>
      </w:r>
      <w:r w:rsidRPr="009C5807">
        <w:tab/>
        <w:t>Void</w:t>
      </w:r>
    </w:p>
    <w:p w14:paraId="730C4D38" w14:textId="7175D876" w:rsidR="00FC1819" w:rsidRPr="009C5807" w:rsidRDefault="00FC1819" w:rsidP="00FC1819">
      <w:pPr>
        <w:pStyle w:val="TH"/>
      </w:pPr>
      <w:r w:rsidRPr="009C5807">
        <w:t>Table 7.1.2.2-1: Void</w:t>
      </w:r>
    </w:p>
    <w:p w14:paraId="13EAF24C" w14:textId="77777777" w:rsidR="000D3462" w:rsidRPr="00891E82" w:rsidRDefault="000D3462" w:rsidP="000D3462">
      <w:pPr>
        <w:pStyle w:val="Heading4"/>
        <w:rPr>
          <w:noProof/>
          <w:lang w:val="en-US" w:eastAsia="zh-CN"/>
        </w:rPr>
      </w:pPr>
      <w:r w:rsidRPr="009C5807">
        <w:t>7.1.2.</w:t>
      </w:r>
      <w:r>
        <w:t>3</w:t>
      </w:r>
      <w:r w:rsidRPr="009C5807">
        <w:tab/>
      </w:r>
      <w:r w:rsidRPr="00DD3199">
        <w:t>One shot</w:t>
      </w:r>
      <w:r>
        <w:t xml:space="preserve"> large UL</w:t>
      </w:r>
      <w:r w:rsidRPr="00DD3199">
        <w:t xml:space="preserve"> timing adjustment</w:t>
      </w:r>
      <w:r>
        <w:t xml:space="preserve"> for FR2 Power Class 6 UE</w:t>
      </w:r>
    </w:p>
    <w:p w14:paraId="6CC27B08" w14:textId="6B0D10FE" w:rsidR="008E4489" w:rsidRDefault="008E4489" w:rsidP="008E4489">
      <w:pPr>
        <w:rPr>
          <w:rFonts w:eastAsiaTheme="minorEastAsia"/>
          <w:noProof/>
          <w:color w:val="000000" w:themeColor="text1"/>
        </w:rPr>
      </w:pPr>
      <w:r w:rsidRPr="00B95AAB">
        <w:rPr>
          <w:rFonts w:eastAsiaTheme="minorEastAsia"/>
          <w:color w:val="000000" w:themeColor="text1"/>
        </w:rPr>
        <w:t xml:space="preserve">When </w:t>
      </w:r>
      <w:r w:rsidRPr="00113D75">
        <w:rPr>
          <w:rFonts w:eastAsiaTheme="minorEastAsia"/>
          <w:i/>
          <w:iCs/>
          <w:color w:val="000000" w:themeColor="text1"/>
          <w:lang w:val="en-US"/>
        </w:rPr>
        <w:t>highSpeedMeasFlagFR2-r17</w:t>
      </w:r>
      <w:r w:rsidRPr="00B1320F">
        <w:rPr>
          <w:rFonts w:eastAsiaTheme="minorEastAsia"/>
          <w:color w:val="000000" w:themeColor="text1"/>
          <w:lang w:val="en-US"/>
        </w:rPr>
        <w:t xml:space="preserve"> is configured and </w:t>
      </w:r>
      <w:r w:rsidRPr="00B1320F">
        <w:rPr>
          <w:rFonts w:eastAsiaTheme="minorEastAsia"/>
          <w:i/>
          <w:iCs/>
          <w:color w:val="000000" w:themeColor="text1"/>
          <w:lang w:val="en-US"/>
        </w:rPr>
        <w:t>highSpeedLargeOneStepUL-TimingFR2-r17</w:t>
      </w:r>
      <w:r>
        <w:rPr>
          <w:rFonts w:eastAsiaTheme="minorEastAsia"/>
          <w:i/>
          <w:iCs/>
          <w:color w:val="000000" w:themeColor="text1"/>
          <w:lang w:val="en-US"/>
        </w:rPr>
        <w:t xml:space="preserve"> </w:t>
      </w:r>
      <w:r w:rsidRPr="00B95AAB">
        <w:rPr>
          <w:rFonts w:eastAsiaTheme="minorEastAsia"/>
          <w:color w:val="000000" w:themeColor="text1"/>
        </w:rPr>
        <w:t>is enabled for UE supporting FR2 power class 6</w:t>
      </w:r>
      <w:r>
        <w:rPr>
          <w:rFonts w:eastAsiaTheme="minorEastAsia"/>
          <w:noProof/>
          <w:color w:val="000000" w:themeColor="text1"/>
        </w:rPr>
        <w:t xml:space="preserve"> </w:t>
      </w:r>
      <w:r w:rsidRPr="00107BA6">
        <w:rPr>
          <w:rFonts w:eastAsiaTheme="minorEastAsia"/>
          <w:noProof/>
          <w:color w:val="000000" w:themeColor="text1"/>
        </w:rPr>
        <w:t xml:space="preserve">and </w:t>
      </w:r>
      <w:r>
        <w:rPr>
          <w:rFonts w:eastAsiaTheme="minorEastAsia"/>
          <w:noProof/>
          <w:color w:val="000000" w:themeColor="text1"/>
        </w:rPr>
        <w:t>[</w:t>
      </w:r>
      <w:r w:rsidRPr="00D30C34">
        <w:rPr>
          <w:rFonts w:eastAsiaTheme="minorEastAsia"/>
          <w:i/>
          <w:iCs/>
          <w:noProof/>
          <w:color w:val="000000" w:themeColor="text1"/>
        </w:rPr>
        <w:t>largeOneStepUL-timingFR2-r17</w:t>
      </w:r>
      <w:r w:rsidRPr="00FB3BB5">
        <w:rPr>
          <w:rFonts w:eastAsiaTheme="minorEastAsia"/>
          <w:noProof/>
          <w:color w:val="000000" w:themeColor="text1"/>
        </w:rPr>
        <w:t>]</w:t>
      </w:r>
      <w:r w:rsidRPr="00107BA6">
        <w:rPr>
          <w:rFonts w:eastAsiaTheme="minorEastAsia"/>
          <w:noProof/>
          <w:color w:val="000000" w:themeColor="text1"/>
        </w:rPr>
        <w:t xml:space="preserve"> capability, the following requirements apply to the UE:</w:t>
      </w:r>
    </w:p>
    <w:p w14:paraId="7E2A4B77" w14:textId="3C4C3627" w:rsidR="0087482D" w:rsidRPr="00BD0440" w:rsidRDefault="0087482D" w:rsidP="0087482D">
      <w:pPr>
        <w:pStyle w:val="B10"/>
        <w:rPr>
          <w:strike/>
        </w:rPr>
      </w:pPr>
      <w:r w:rsidRPr="00BD0440">
        <w:t>-</w:t>
      </w:r>
      <w:r w:rsidRPr="00BD0440">
        <w:tab/>
        <w:t xml:space="preserve">If the absolute value </w:t>
      </w:r>
      <m:oMath>
        <m:d>
          <m:dPr>
            <m:begChr m:val="|"/>
            <m:endChr m:val="|"/>
            <m:ctrlPr>
              <w:rPr>
                <w:rFonts w:ascii="Cambria Math" w:hAnsi="Cambria Math"/>
                <w:i/>
              </w:rPr>
            </m:ctrlPr>
          </m:dPr>
          <m:e>
            <m:sSub>
              <m:sSubPr>
                <m:ctrlPr>
                  <w:rPr>
                    <w:rFonts w:ascii="Cambria Math" w:hAnsi="Cambria Math" w:cs="v4.2.0"/>
                    <w:i/>
                  </w:rPr>
                </m:ctrlPr>
              </m:sSubPr>
              <m:e>
                <m:r>
                  <w:rPr>
                    <w:rFonts w:ascii="Cambria Math" w:hAnsi="Cambria Math" w:cs="v4.2.0"/>
                  </w:rPr>
                  <m:t>T</m:t>
                </m:r>
              </m:e>
              <m:sub>
                <m:r>
                  <w:rPr>
                    <w:rFonts w:ascii="Cambria Math" w:hAnsi="Cambria Math" w:cs="v4.2.0"/>
                  </w:rPr>
                  <m:t>old</m:t>
                </m:r>
              </m:sub>
            </m:sSub>
            <m:r>
              <w:rPr>
                <w:rFonts w:ascii="Cambria Math" w:hAnsi="Cambria Math" w:cs="v4.2.0"/>
              </w:rPr>
              <m:t>-</m:t>
            </m:r>
            <m:sSub>
              <m:sSubPr>
                <m:ctrlPr>
                  <w:rPr>
                    <w:rFonts w:ascii="Cambria Math" w:hAnsi="Cambria Math" w:cs="v4.2.0"/>
                    <w:i/>
                  </w:rPr>
                </m:ctrlPr>
              </m:sSubPr>
              <m:e>
                <m:r>
                  <w:rPr>
                    <w:rFonts w:ascii="Cambria Math" w:hAnsi="Cambria Math" w:cs="v4.2.0"/>
                  </w:rPr>
                  <m:t>T</m:t>
                </m:r>
              </m:e>
              <m:sub>
                <m:r>
                  <w:rPr>
                    <w:rFonts w:ascii="Cambria Math" w:hAnsi="Cambria Math" w:cs="v4.2.0"/>
                  </w:rPr>
                  <m:t>new</m:t>
                </m:r>
              </m:sub>
            </m:sSub>
          </m:e>
        </m:d>
        <m:r>
          <w:rPr>
            <w:rFonts w:ascii="Cambria Math" w:hAnsi="Cambria Math"/>
          </w:rPr>
          <m:t>≤CP/4</m:t>
        </m:r>
      </m:oMath>
      <w:r w:rsidRPr="00BD0440">
        <w:t>, the requirement in clause 7.1.2.1 apply to the first UL transmission after a TCI state switch.</w:t>
      </w:r>
    </w:p>
    <w:p w14:paraId="379E0081" w14:textId="77777777" w:rsidR="0087482D" w:rsidRPr="00BD0440" w:rsidRDefault="0087482D" w:rsidP="0087482D">
      <w:pPr>
        <w:pStyle w:val="B10"/>
        <w:rPr>
          <w:strike/>
        </w:rPr>
      </w:pPr>
      <w:r w:rsidRPr="00BD0440">
        <w:rPr>
          <w:rFonts w:cs="v4.2.0"/>
        </w:rPr>
        <w:t>-</w:t>
      </w:r>
      <w:r w:rsidRPr="00BD0440">
        <w:rPr>
          <w:rFonts w:cs="v4.2.0"/>
        </w:rPr>
        <w:tab/>
        <w:t xml:space="preserve">Otherwise, the UE transmit timing immediately after TCI state switch shall be </w:t>
      </w:r>
      <m:oMath>
        <m:sSub>
          <m:sSubPr>
            <m:ctrlPr>
              <w:rPr>
                <w:rFonts w:ascii="Cambria Math" w:hAnsi="Cambria Math" w:cs="v4.2.0"/>
                <w:i/>
              </w:rPr>
            </m:ctrlPr>
          </m:sSubPr>
          <m:e>
            <m:sSub>
              <m:sSubPr>
                <m:ctrlPr>
                  <w:rPr>
                    <w:rFonts w:ascii="Cambria Math" w:hAnsi="Cambria Math" w:cs="v4.2.0"/>
                    <w:i/>
                  </w:rPr>
                </m:ctrlPr>
              </m:sSubPr>
              <m:e>
                <m:r>
                  <w:rPr>
                    <w:rFonts w:ascii="Cambria Math" w:hAnsi="Cambria Math" w:cs="v4.2.0"/>
                  </w:rPr>
                  <m:t>T</m:t>
                </m:r>
              </m:e>
              <m:sub>
                <m:r>
                  <w:rPr>
                    <w:rFonts w:ascii="Cambria Math" w:hAnsi="Cambria Math" w:cs="v4.2.0"/>
                  </w:rPr>
                  <m:t>new</m:t>
                </m:r>
              </m:sub>
            </m:sSub>
            <m:r>
              <w:rPr>
                <w:rFonts w:ascii="Cambria Math" w:hAnsi="Cambria Math" w:cs="v4.2.0"/>
              </w:rPr>
              <m:t>-(N</m:t>
            </m:r>
          </m:e>
          <m:sub>
            <m:r>
              <w:rPr>
                <w:rFonts w:ascii="Cambria Math" w:hAnsi="Cambria Math" w:cs="v4.2.0"/>
              </w:rPr>
              <m:t>TA</m:t>
            </m:r>
          </m:sub>
        </m:sSub>
        <m:r>
          <w:rPr>
            <w:rFonts w:ascii="Cambria Math" w:hAnsi="Cambria Math" w:cs="v4.2.0"/>
          </w:rPr>
          <m:t>+</m:t>
        </m:r>
        <m:sSub>
          <m:sSubPr>
            <m:ctrlPr>
              <w:rPr>
                <w:rFonts w:ascii="Cambria Math" w:hAnsi="Cambria Math" w:cs="v4.2.0"/>
                <w:i/>
              </w:rPr>
            </m:ctrlPr>
          </m:sSubPr>
          <m:e>
            <m:r>
              <w:rPr>
                <w:rFonts w:ascii="Cambria Math" w:hAnsi="Cambria Math" w:cs="v4.2.0"/>
              </w:rPr>
              <m:t>N</m:t>
            </m:r>
          </m:e>
          <m:sub>
            <m:r>
              <w:rPr>
                <w:rFonts w:ascii="Cambria Math" w:hAnsi="Cambria Math" w:cs="v4.2.0"/>
              </w:rPr>
              <m:t>TA offset</m:t>
            </m:r>
          </m:sub>
        </m:sSub>
        <m:r>
          <w:rPr>
            <w:rFonts w:ascii="Cambria Math" w:hAnsi="Cambria Math" w:cs="v4.2.0"/>
          </w:rPr>
          <m:t>)+2</m:t>
        </m:r>
        <m:r>
          <w:rPr>
            <w:rFonts w:ascii="Cambria Math" w:hAnsi="Cambria Math" w:cs="v4.2.0"/>
            <w:i/>
          </w:rPr>
          <w:sym w:font="Symbol" w:char="F0B4"/>
        </m:r>
        <m:r>
          <w:rPr>
            <w:rFonts w:ascii="Cambria Math" w:hAnsi="Cambria Math" w:cs="v4.2.0"/>
          </w:rPr>
          <m:t xml:space="preserve"> (</m:t>
        </m:r>
        <m:sSub>
          <m:sSubPr>
            <m:ctrlPr>
              <w:rPr>
                <w:rFonts w:ascii="Cambria Math" w:hAnsi="Cambria Math" w:cs="v4.2.0"/>
                <w:i/>
              </w:rPr>
            </m:ctrlPr>
          </m:sSubPr>
          <m:e>
            <m:r>
              <w:rPr>
                <w:rFonts w:ascii="Cambria Math" w:hAnsi="Cambria Math" w:cs="v4.2.0"/>
              </w:rPr>
              <m:t>T</m:t>
            </m:r>
          </m:e>
          <m:sub>
            <m:r>
              <w:rPr>
                <w:rFonts w:ascii="Cambria Math" w:hAnsi="Cambria Math" w:cs="v4.2.0"/>
              </w:rPr>
              <m:t>old</m:t>
            </m:r>
          </m:sub>
        </m:sSub>
        <m:r>
          <w:rPr>
            <w:rFonts w:ascii="Cambria Math" w:hAnsi="Cambria Math" w:cs="v4.2.0"/>
          </w:rPr>
          <m:t>-</m:t>
        </m:r>
        <m:sSub>
          <m:sSubPr>
            <m:ctrlPr>
              <w:rPr>
                <w:rFonts w:ascii="Cambria Math" w:hAnsi="Cambria Math" w:cs="v4.2.0"/>
                <w:i/>
              </w:rPr>
            </m:ctrlPr>
          </m:sSubPr>
          <m:e>
            <m:r>
              <w:rPr>
                <w:rFonts w:ascii="Cambria Math" w:hAnsi="Cambria Math" w:cs="v4.2.0"/>
              </w:rPr>
              <m:t>T</m:t>
            </m:r>
          </m:e>
          <m:sub>
            <m:r>
              <w:rPr>
                <w:rFonts w:ascii="Cambria Math" w:hAnsi="Cambria Math" w:cs="v4.2.0"/>
              </w:rPr>
              <m:t>new</m:t>
            </m:r>
          </m:sub>
        </m:sSub>
        <m:r>
          <w:rPr>
            <w:rFonts w:ascii="Cambria Math" w:hAnsi="Cambria Math" w:cs="v4.2.0"/>
          </w:rPr>
          <m:t>)</m:t>
        </m:r>
      </m:oMath>
      <w:r w:rsidRPr="00BD0440">
        <w:rPr>
          <w:rFonts w:cs="v4.2.0"/>
        </w:rPr>
        <w:t xml:space="preserve"> and </w:t>
      </w:r>
      <w:r w:rsidRPr="00BD0440">
        <w:t>clause 7.1.2.1 requirements don’t apply.</w:t>
      </w:r>
    </w:p>
    <w:p w14:paraId="788DB51C" w14:textId="1A0277EC" w:rsidR="008E4489" w:rsidRDefault="0087482D" w:rsidP="0087482D">
      <w:pPr>
        <w:pStyle w:val="B10"/>
        <w:ind w:left="852"/>
        <w:rPr>
          <w:lang w:val="en-US"/>
        </w:rPr>
      </w:pPr>
      <w:r w:rsidRPr="00BD0440">
        <w:t>-</w:t>
      </w:r>
      <w:r w:rsidRPr="00BD0440">
        <w:tab/>
        <w:t>The UE UL transmission timing error after the TCI state switching procedure shall be less than or equal to ±T</w:t>
      </w:r>
      <w:r w:rsidRPr="00BD0440">
        <w:rPr>
          <w:vertAlign w:val="subscript"/>
        </w:rPr>
        <w:t>e</w:t>
      </w:r>
      <w:r w:rsidRPr="00BD0440">
        <w:t xml:space="preserve"> as specified in clause 7.1.2 if the new target TCI state is within active TCI state list, otherwise ±7*64*T</w:t>
      </w:r>
      <w:r w:rsidRPr="00BD0440">
        <w:rPr>
          <w:vertAlign w:val="subscript"/>
        </w:rPr>
        <w:t>c</w:t>
      </w:r>
      <w:r w:rsidRPr="00BD0440">
        <w:t xml:space="preserve">, and the reference point is </w:t>
      </w:r>
      <m:oMath>
        <m:sSub>
          <m:sSubPr>
            <m:ctrlPr>
              <w:rPr>
                <w:rFonts w:ascii="Cambria Math" w:hAnsi="Cambria Math" w:cs="v4.2.0"/>
                <w:i/>
              </w:rPr>
            </m:ctrlPr>
          </m:sSubPr>
          <m:e>
            <m:sSub>
              <m:sSubPr>
                <m:ctrlPr>
                  <w:rPr>
                    <w:rFonts w:ascii="Cambria Math" w:hAnsi="Cambria Math" w:cs="v4.2.0"/>
                    <w:i/>
                  </w:rPr>
                </m:ctrlPr>
              </m:sSubPr>
              <m:e>
                <m:r>
                  <w:rPr>
                    <w:rFonts w:ascii="Cambria Math" w:hAnsi="Cambria Math" w:cs="v4.2.0"/>
                  </w:rPr>
                  <m:t>T</m:t>
                </m:r>
              </m:e>
              <m:sub>
                <m:r>
                  <w:rPr>
                    <w:rFonts w:ascii="Cambria Math" w:hAnsi="Cambria Math" w:cs="v4.2.0"/>
                  </w:rPr>
                  <m:t>new</m:t>
                </m:r>
              </m:sub>
            </m:sSub>
            <m:r>
              <w:rPr>
                <w:rFonts w:ascii="Cambria Math" w:hAnsi="Cambria Math" w:cs="v4.2.0"/>
              </w:rPr>
              <m:t>-(N</m:t>
            </m:r>
          </m:e>
          <m:sub>
            <m:r>
              <w:rPr>
                <w:rFonts w:ascii="Cambria Math" w:hAnsi="Cambria Math" w:cs="v4.2.0"/>
              </w:rPr>
              <m:t>TA</m:t>
            </m:r>
          </m:sub>
        </m:sSub>
        <m:r>
          <w:rPr>
            <w:rFonts w:ascii="Cambria Math" w:hAnsi="Cambria Math" w:cs="v4.2.0"/>
          </w:rPr>
          <m:t>+</m:t>
        </m:r>
        <m:sSub>
          <m:sSubPr>
            <m:ctrlPr>
              <w:rPr>
                <w:rFonts w:ascii="Cambria Math" w:hAnsi="Cambria Math" w:cs="v4.2.0"/>
                <w:i/>
              </w:rPr>
            </m:ctrlPr>
          </m:sSubPr>
          <m:e>
            <m:r>
              <w:rPr>
                <w:rFonts w:ascii="Cambria Math" w:hAnsi="Cambria Math" w:cs="v4.2.0"/>
              </w:rPr>
              <m:t>N</m:t>
            </m:r>
          </m:e>
          <m:sub>
            <m:r>
              <w:rPr>
                <w:rFonts w:ascii="Cambria Math" w:hAnsi="Cambria Math" w:cs="v4.2.0"/>
              </w:rPr>
              <m:t>TA offset</m:t>
            </m:r>
          </m:sub>
        </m:sSub>
        <m:r>
          <w:rPr>
            <w:rFonts w:ascii="Cambria Math" w:hAnsi="Cambria Math" w:cs="v4.2.0"/>
          </w:rPr>
          <m:t>)+2</m:t>
        </m:r>
        <m:r>
          <w:rPr>
            <w:rFonts w:ascii="Cambria Math" w:hAnsi="Cambria Math" w:cs="v4.2.0"/>
            <w:i/>
          </w:rPr>
          <w:sym w:font="Symbol" w:char="F0B4"/>
        </m:r>
        <m:r>
          <w:rPr>
            <w:rFonts w:ascii="Cambria Math" w:hAnsi="Cambria Math" w:cs="v4.2.0"/>
          </w:rPr>
          <m:t xml:space="preserve"> (</m:t>
        </m:r>
        <m:sSub>
          <m:sSubPr>
            <m:ctrlPr>
              <w:rPr>
                <w:rFonts w:ascii="Cambria Math" w:hAnsi="Cambria Math" w:cs="v4.2.0"/>
                <w:i/>
              </w:rPr>
            </m:ctrlPr>
          </m:sSubPr>
          <m:e>
            <m:r>
              <w:rPr>
                <w:rFonts w:ascii="Cambria Math" w:hAnsi="Cambria Math" w:cs="v4.2.0"/>
              </w:rPr>
              <m:t>T</m:t>
            </m:r>
          </m:e>
          <m:sub>
            <m:r>
              <w:rPr>
                <w:rFonts w:ascii="Cambria Math" w:hAnsi="Cambria Math" w:cs="v4.2.0"/>
              </w:rPr>
              <m:t>old</m:t>
            </m:r>
          </m:sub>
        </m:sSub>
        <m:r>
          <w:rPr>
            <w:rFonts w:ascii="Cambria Math" w:hAnsi="Cambria Math" w:cs="v4.2.0"/>
          </w:rPr>
          <m:t>-</m:t>
        </m:r>
        <m:sSub>
          <m:sSubPr>
            <m:ctrlPr>
              <w:rPr>
                <w:rFonts w:ascii="Cambria Math" w:hAnsi="Cambria Math" w:cs="v4.2.0"/>
                <w:i/>
              </w:rPr>
            </m:ctrlPr>
          </m:sSubPr>
          <m:e>
            <m:r>
              <w:rPr>
                <w:rFonts w:ascii="Cambria Math" w:hAnsi="Cambria Math" w:cs="v4.2.0"/>
              </w:rPr>
              <m:t>T</m:t>
            </m:r>
          </m:e>
          <m:sub>
            <m:r>
              <w:rPr>
                <w:rFonts w:ascii="Cambria Math" w:hAnsi="Cambria Math" w:cs="v4.2.0"/>
              </w:rPr>
              <m:t>new</m:t>
            </m:r>
          </m:sub>
        </m:sSub>
        <m:r>
          <w:rPr>
            <w:rFonts w:ascii="Cambria Math" w:hAnsi="Cambria Math" w:cs="v4.2.0"/>
          </w:rPr>
          <m:t>)</m:t>
        </m:r>
      </m:oMath>
      <w:r w:rsidRPr="00BD0440">
        <w:t>.</w:t>
      </w:r>
    </w:p>
    <w:p w14:paraId="6F69F83E" w14:textId="77777777" w:rsidR="008E4489" w:rsidRPr="00B1320F" w:rsidRDefault="008E4489" w:rsidP="008E4489">
      <w:pPr>
        <w:pStyle w:val="B10"/>
        <w:rPr>
          <w:strike/>
          <w:lang w:val="en-US"/>
        </w:rPr>
      </w:pPr>
      <w:r>
        <w:rPr>
          <w:rFonts w:cs="v4.2.0"/>
          <w:lang w:val="en-US"/>
        </w:rPr>
        <w:t>Above,</w:t>
      </w:r>
    </w:p>
    <w:p w14:paraId="4F655324" w14:textId="77777777" w:rsidR="008E4489" w:rsidRPr="00B1320F" w:rsidRDefault="008E4489" w:rsidP="008E4489">
      <w:pPr>
        <w:pStyle w:val="B20"/>
        <w:rPr>
          <w:lang w:val="en-US" w:eastAsia="zh-CN"/>
        </w:rPr>
      </w:pPr>
      <w:r w:rsidRPr="00B1320F">
        <w:rPr>
          <w:lang w:val="en-US" w:eastAsia="zh-CN"/>
        </w:rPr>
        <w:t>-</w:t>
      </w:r>
      <w:r w:rsidRPr="00B1320F">
        <w:rPr>
          <w:lang w:val="en-US" w:eastAsia="zh-CN"/>
        </w:rPr>
        <w:tab/>
      </w:r>
      <m:oMath>
        <m:sSub>
          <m:sSubPr>
            <m:ctrlPr>
              <w:rPr>
                <w:rFonts w:ascii="Cambria Math" w:hAnsi="Cambria Math"/>
                <w:lang w:val="en-US" w:eastAsia="zh-CN"/>
              </w:rPr>
            </m:ctrlPr>
          </m:sSubPr>
          <m:e>
            <m:r>
              <w:rPr>
                <w:rFonts w:ascii="Cambria Math" w:hAnsi="Cambria Math"/>
                <w:lang w:val="en-US" w:eastAsia="zh-CN"/>
              </w:rPr>
              <m:t>T</m:t>
            </m:r>
          </m:e>
          <m:sub>
            <m:r>
              <w:rPr>
                <w:rFonts w:ascii="Cambria Math" w:hAnsi="Cambria Math"/>
                <w:lang w:val="en-US" w:eastAsia="zh-CN"/>
              </w:rPr>
              <m:t>new</m:t>
            </m:r>
          </m:sub>
        </m:sSub>
      </m:oMath>
      <w:r w:rsidRPr="00B1320F">
        <w:rPr>
          <w:lang w:val="en-US" w:eastAsia="zh-CN"/>
        </w:rPr>
        <w:t xml:space="preserve"> (in </w:t>
      </w:r>
      <m:oMath>
        <m:sSub>
          <m:sSubPr>
            <m:ctrlPr>
              <w:rPr>
                <w:rFonts w:ascii="Cambria Math" w:hAnsi="Cambria Math"/>
                <w:lang w:val="en-US" w:eastAsia="zh-CN"/>
              </w:rPr>
            </m:ctrlPr>
          </m:sSubPr>
          <m:e>
            <m:r>
              <w:rPr>
                <w:rFonts w:ascii="Cambria Math" w:hAnsi="Cambria Math"/>
                <w:lang w:val="en-US" w:eastAsia="zh-CN"/>
              </w:rPr>
              <m:t>T</m:t>
            </m:r>
          </m:e>
          <m:sub>
            <m:r>
              <w:rPr>
                <w:rFonts w:ascii="Cambria Math" w:hAnsi="Cambria Math"/>
                <w:lang w:val="en-US" w:eastAsia="zh-CN"/>
              </w:rPr>
              <m:t>c</m:t>
            </m:r>
          </m:sub>
        </m:sSub>
      </m:oMath>
      <w:r w:rsidRPr="00B1320F">
        <w:rPr>
          <w:lang w:val="en-US" w:eastAsia="zh-CN"/>
        </w:rPr>
        <w:t xml:space="preserve"> units) is the DL timing defined as the time when UE receives downlink frame with new target TCI state.</w:t>
      </w:r>
    </w:p>
    <w:p w14:paraId="37E53987" w14:textId="060FB5C9" w:rsidR="008E4489" w:rsidRPr="00B1320F" w:rsidRDefault="008E4489" w:rsidP="008E4489">
      <w:pPr>
        <w:pStyle w:val="B20"/>
        <w:rPr>
          <w:lang w:val="en-US" w:eastAsia="zh-CN"/>
        </w:rPr>
      </w:pPr>
      <w:r w:rsidRPr="00B1320F">
        <w:rPr>
          <w:lang w:val="en-US" w:eastAsia="zh-CN"/>
        </w:rPr>
        <w:t>-</w:t>
      </w:r>
      <w:r w:rsidRPr="00B1320F">
        <w:rPr>
          <w:lang w:val="en-US" w:eastAsia="zh-CN"/>
        </w:rPr>
        <w:tab/>
      </w:r>
      <m:oMath>
        <m:sSub>
          <m:sSubPr>
            <m:ctrlPr>
              <w:rPr>
                <w:rFonts w:ascii="Cambria Math" w:hAnsi="Cambria Math"/>
                <w:lang w:val="en-US" w:eastAsia="zh-CN"/>
              </w:rPr>
            </m:ctrlPr>
          </m:sSubPr>
          <m:e>
            <m:r>
              <w:rPr>
                <w:rFonts w:ascii="Cambria Math" w:hAnsi="Cambria Math"/>
                <w:lang w:val="en-US" w:eastAsia="zh-CN"/>
              </w:rPr>
              <m:t>T</m:t>
            </m:r>
          </m:e>
          <m:sub>
            <m:r>
              <w:rPr>
                <w:rFonts w:ascii="Cambria Math" w:hAnsi="Cambria Math"/>
                <w:lang w:val="en-US" w:eastAsia="zh-CN"/>
              </w:rPr>
              <m:t>old</m:t>
            </m:r>
          </m:sub>
        </m:sSub>
        <m:r>
          <m:rPr>
            <m:sty m:val="p"/>
          </m:rPr>
          <w:rPr>
            <w:rFonts w:ascii="Cambria Math" w:hAnsi="Cambria Math"/>
            <w:lang w:val="en-US" w:eastAsia="zh-CN"/>
          </w:rPr>
          <m:t xml:space="preserve"> </m:t>
        </m:r>
      </m:oMath>
      <w:r w:rsidRPr="00B1320F">
        <w:rPr>
          <w:lang w:val="en-US" w:eastAsia="zh-CN"/>
        </w:rPr>
        <w:t xml:space="preserve"> (in </w:t>
      </w:r>
      <m:oMath>
        <m:sSub>
          <m:sSubPr>
            <m:ctrlPr>
              <w:rPr>
                <w:rFonts w:ascii="Cambria Math" w:hAnsi="Cambria Math"/>
                <w:lang w:val="en-US" w:eastAsia="zh-CN"/>
              </w:rPr>
            </m:ctrlPr>
          </m:sSubPr>
          <m:e>
            <m:r>
              <w:rPr>
                <w:rFonts w:ascii="Cambria Math" w:hAnsi="Cambria Math"/>
                <w:lang w:val="en-US" w:eastAsia="zh-CN"/>
              </w:rPr>
              <m:t>T</m:t>
            </m:r>
          </m:e>
          <m:sub>
            <m:r>
              <w:rPr>
                <w:rFonts w:ascii="Cambria Math" w:hAnsi="Cambria Math"/>
                <w:lang w:val="en-US" w:eastAsia="zh-CN"/>
              </w:rPr>
              <m:t>c</m:t>
            </m:r>
          </m:sub>
        </m:sSub>
      </m:oMath>
      <w:r w:rsidRPr="00B1320F">
        <w:rPr>
          <w:lang w:val="en-US" w:eastAsia="zh-CN"/>
        </w:rPr>
        <w:t xml:space="preserve"> units) is the DL timing defined as the time when UE receives downlink frame with old source TCI state.</w:t>
      </w:r>
    </w:p>
    <w:p w14:paraId="5AA86B73" w14:textId="77777777" w:rsidR="008E4489" w:rsidRDefault="008E4489" w:rsidP="008E4489">
      <w:pPr>
        <w:rPr>
          <w:lang w:val="en-US"/>
        </w:rPr>
      </w:pPr>
    </w:p>
    <w:p w14:paraId="6A631C52" w14:textId="77777777" w:rsidR="0035077F" w:rsidRDefault="0035077F" w:rsidP="0035077F">
      <w:pPr>
        <w:pStyle w:val="Heading2"/>
      </w:pPr>
      <w:r w:rsidRPr="009832CC">
        <w:t>7.1A</w:t>
      </w:r>
      <w:r>
        <w:tab/>
      </w:r>
      <w:r w:rsidRPr="009832CC">
        <w:t>UE transmit timing for RedCap</w:t>
      </w:r>
    </w:p>
    <w:p w14:paraId="77425E29" w14:textId="77777777" w:rsidR="0035077F" w:rsidRPr="009C5807" w:rsidRDefault="0035077F" w:rsidP="0035077F">
      <w:pPr>
        <w:pStyle w:val="Heading3"/>
      </w:pPr>
      <w:r w:rsidRPr="009C5807">
        <w:t>7.</w:t>
      </w:r>
      <w:r w:rsidRPr="0017787A">
        <w:t>1A</w:t>
      </w:r>
      <w:r w:rsidRPr="009C5807">
        <w:t>.1</w:t>
      </w:r>
      <w:r w:rsidRPr="009C5807">
        <w:tab/>
        <w:t>Introduction</w:t>
      </w:r>
    </w:p>
    <w:p w14:paraId="48234C12" w14:textId="3CF1DC1C" w:rsidR="0035077F" w:rsidRDefault="008C5E9E" w:rsidP="0035077F">
      <w:pPr>
        <w:rPr>
          <w:rFonts w:cs="v4.2.0"/>
        </w:rPr>
      </w:pPr>
      <w:r w:rsidRPr="009C5807">
        <w:rPr>
          <w:rFonts w:cs="v4.2.0"/>
        </w:rPr>
        <w:t xml:space="preserve">The UE shall have capability to follow the frame timing change of the </w:t>
      </w:r>
      <w:r w:rsidRPr="009C5807">
        <w:t>reference cell</w:t>
      </w:r>
      <w:r w:rsidRPr="009C5807">
        <w:rPr>
          <w:rFonts w:cs="v4.2.0"/>
        </w:rPr>
        <w:t xml:space="preserve"> in connected </w:t>
      </w:r>
      <w:r w:rsidRPr="009C5807">
        <w:t>state</w:t>
      </w:r>
      <w:r w:rsidRPr="00566B67">
        <w:t xml:space="preserve"> </w:t>
      </w:r>
      <w:r>
        <w:t>or when transmiting PUSCH on CG resources for SDT in RRC_Inactive</w:t>
      </w:r>
      <w:r w:rsidRPr="009C5807">
        <w:rPr>
          <w:rFonts w:cs="v4.2.0"/>
        </w:rPr>
        <w:t>. The uplink frame transmission takes place</w:t>
      </w:r>
      <w:r w:rsidRPr="009C5807">
        <w:rPr>
          <w:rFonts w:cs="v4.2.0"/>
          <w:vertAlign w:val="subscript"/>
        </w:rPr>
        <w:t xml:space="preserve"> </w:t>
      </w:r>
      <w:r w:rsidRPr="009C5807">
        <w:rPr>
          <w:position w:val="-10"/>
        </w:rPr>
        <w:object w:dxaOrig="1800" w:dyaOrig="300" w14:anchorId="2B2B7345">
          <v:shape id="_x0000_i1029" type="#_x0000_t75" style="width:87pt;height:11.5pt" o:ole="">
            <v:imagedata r:id="rId18" o:title=""/>
          </v:shape>
          <o:OLEObject Type="Embed" ProgID="Equation.3" ShapeID="_x0000_i1029" DrawAspect="Content" ObjectID="_1749665165" r:id="rId23"/>
        </w:object>
      </w:r>
      <w:r w:rsidRPr="009C5807" w:rsidDel="005D39B2">
        <w:rPr>
          <w:rFonts w:cs="v4.2.0"/>
        </w:rPr>
        <w:t xml:space="preserve"> </w:t>
      </w:r>
      <w:r w:rsidRPr="009C5807">
        <w:rPr>
          <w:rFonts w:cs="v4.2.0"/>
        </w:rPr>
        <w:t>before the reception of the first detected path (in time) of the corresponding downlink frame</w:t>
      </w:r>
      <w:r w:rsidRPr="009C5807">
        <w:t xml:space="preserve"> from the reference cell. </w:t>
      </w:r>
      <w:r w:rsidRPr="009C5807">
        <w:rPr>
          <w:rFonts w:cs="v4.2.0"/>
        </w:rPr>
        <w:t>UE initial transmit timing accuracy</w:t>
      </w:r>
      <w:r w:rsidRPr="009C5807">
        <w:rPr>
          <w:rFonts w:cs="v4.2.0" w:hint="eastAsia"/>
          <w:lang w:val="en-US" w:eastAsia="zh-CN"/>
        </w:rPr>
        <w:t xml:space="preserve"> and</w:t>
      </w:r>
      <w:r w:rsidRPr="009C5807">
        <w:rPr>
          <w:rFonts w:cs="v4.2.0"/>
        </w:rPr>
        <w:t xml:space="preserve"> </w:t>
      </w:r>
      <w:r w:rsidRPr="009C5807">
        <w:t>gradual timing adjustment requirements</w:t>
      </w:r>
      <w:r w:rsidRPr="009C5807">
        <w:rPr>
          <w:rFonts w:cs="v4.2.0"/>
        </w:rPr>
        <w:t xml:space="preserve"> are defined in the following requirements.</w:t>
      </w:r>
    </w:p>
    <w:p w14:paraId="0D2A2E13" w14:textId="77777777" w:rsidR="0035077F" w:rsidRPr="009C5807" w:rsidRDefault="0035077F" w:rsidP="0035077F">
      <w:pPr>
        <w:pStyle w:val="Heading3"/>
      </w:pPr>
      <w:r w:rsidRPr="009C5807">
        <w:t>7.</w:t>
      </w:r>
      <w:r w:rsidRPr="0017787A">
        <w:t>1A</w:t>
      </w:r>
      <w:r w:rsidRPr="009C5807">
        <w:t>.2</w:t>
      </w:r>
      <w:r w:rsidRPr="009C5807">
        <w:tab/>
        <w:t>Requirements</w:t>
      </w:r>
    </w:p>
    <w:p w14:paraId="26365915" w14:textId="77777777" w:rsidR="0035077F" w:rsidRPr="003A0FCF" w:rsidRDefault="0035077F" w:rsidP="0035077F">
      <w:pPr>
        <w:rPr>
          <w:rFonts w:cs="v4.2.0"/>
        </w:rPr>
      </w:pPr>
      <w:r w:rsidRPr="009C5807">
        <w:rPr>
          <w:rFonts w:cs="v4.2.0"/>
        </w:rPr>
        <w:t xml:space="preserve">The UE initial transmission timing error shall be less than or equal to </w:t>
      </w:r>
      <w:r w:rsidRPr="009C5807">
        <w:rPr>
          <w:rFonts w:cs="v4.2.0"/>
        </w:rPr>
        <w:sym w:font="Symbol" w:char="F0B1"/>
      </w:r>
      <w:r w:rsidRPr="009C5807">
        <w:rPr>
          <w:rFonts w:cs="v4.2.0"/>
        </w:rPr>
        <w:t>T</w:t>
      </w:r>
      <w:r w:rsidRPr="009C5807">
        <w:rPr>
          <w:rFonts w:cs="v4.2.0"/>
          <w:vertAlign w:val="subscript"/>
        </w:rPr>
        <w:t>e</w:t>
      </w:r>
      <w:r w:rsidRPr="009C5807">
        <w:t xml:space="preserve"> where the timing error limit value </w:t>
      </w:r>
      <w:r w:rsidRPr="009C5807">
        <w:rPr>
          <w:rFonts w:cs="v4.2.0"/>
        </w:rPr>
        <w:t>T</w:t>
      </w:r>
      <w:r w:rsidRPr="009C5807">
        <w:rPr>
          <w:rFonts w:cs="v4.2.0"/>
          <w:vertAlign w:val="subscript"/>
        </w:rPr>
        <w:t>e</w:t>
      </w:r>
      <w:r w:rsidRPr="009C5807">
        <w:t xml:space="preserve"> is specified in Table </w:t>
      </w:r>
      <w:r w:rsidRPr="00A17365">
        <w:t>7.1A.2</w:t>
      </w:r>
      <w:r w:rsidRPr="009C5807">
        <w:t>-1</w:t>
      </w:r>
      <w:r w:rsidRPr="009C5807">
        <w:rPr>
          <w:rFonts w:cs="v4.2.0"/>
        </w:rPr>
        <w:t xml:space="preserve">. This </w:t>
      </w:r>
      <w:r w:rsidRPr="00213509">
        <w:rPr>
          <w:rFonts w:cs="v4.2.0"/>
        </w:rPr>
        <w:t>requirement applies:</w:t>
      </w:r>
    </w:p>
    <w:p w14:paraId="0E044DBA" w14:textId="29A6259B" w:rsidR="0035077F" w:rsidRDefault="0035077F" w:rsidP="0035077F">
      <w:pPr>
        <w:pStyle w:val="B10"/>
      </w:pPr>
      <w:r w:rsidRPr="00600DF1">
        <w:rPr>
          <w:noProof/>
          <w:lang w:eastAsia="ko-KR"/>
        </w:rPr>
        <w:t>-</w:t>
      </w:r>
      <w:r w:rsidRPr="00600DF1">
        <w:rPr>
          <w:noProof/>
          <w:lang w:eastAsia="ko-KR"/>
        </w:rPr>
        <w:tab/>
      </w:r>
      <w:r w:rsidRPr="00CA2EFB">
        <w:t>when it is the first transmission in a DRX cycle for PUCCH, PUSCH and SRS, or it is the PRACH transmission, or it is the msgA transmission.</w:t>
      </w:r>
    </w:p>
    <w:p w14:paraId="65FD6D65" w14:textId="3407A98E" w:rsidR="008C5E9E" w:rsidRPr="00D93360" w:rsidRDefault="008C5E9E" w:rsidP="0035077F">
      <w:pPr>
        <w:pStyle w:val="B10"/>
      </w:pPr>
      <w:r w:rsidRPr="009C5807">
        <w:rPr>
          <w:noProof/>
          <w:lang w:eastAsia="ko-KR"/>
        </w:rPr>
        <w:t>-</w:t>
      </w:r>
      <w:r w:rsidRPr="009C5807">
        <w:rPr>
          <w:noProof/>
          <w:lang w:eastAsia="ko-KR"/>
        </w:rPr>
        <w:tab/>
      </w:r>
      <w:r w:rsidRPr="00123237">
        <w:t>when it is the transmission for PUSCH on CG resources for SDT in RRC_Inactive.</w:t>
      </w:r>
    </w:p>
    <w:p w14:paraId="56269CE7" w14:textId="3F204453" w:rsidR="0035077F" w:rsidRPr="003A0FCF" w:rsidRDefault="000D6A24" w:rsidP="0035077F">
      <w:pPr>
        <w:rPr>
          <w:rFonts w:cs="v4.2.0"/>
          <w:strike/>
        </w:rPr>
      </w:pPr>
      <w:r w:rsidRPr="00C63D1A">
        <w:rPr>
          <w:rFonts w:cs="v4.2.0"/>
        </w:rPr>
        <w:t xml:space="preserve">The UE shall meet the Te requirement for an initial transmission provided that at least one SSB </w:t>
      </w:r>
      <w:r w:rsidRPr="00FB0338">
        <w:rPr>
          <w:rFonts w:cs="v4.2.0"/>
          <w:lang w:eastAsia="zh-CN"/>
        </w:rPr>
        <w:t>(CD-SSB or NCD-SSB)</w:t>
      </w:r>
      <w:r w:rsidRPr="00FB0338">
        <w:rPr>
          <w:rFonts w:cs="v4.2.0"/>
        </w:rPr>
        <w:t xml:space="preserve"> is available at the UE</w:t>
      </w:r>
      <w:r w:rsidRPr="009D0040">
        <w:rPr>
          <w:rFonts w:cs="v4.2.0"/>
        </w:rPr>
        <w:t xml:space="preserve"> </w:t>
      </w:r>
      <w:r>
        <w:rPr>
          <w:rFonts w:cs="v4.2.0"/>
        </w:rPr>
        <w:t xml:space="preserve">for acquiring the frame timing of the reference cell </w:t>
      </w:r>
      <w:r w:rsidRPr="009D0040">
        <w:rPr>
          <w:rFonts w:cs="v4.2.0"/>
        </w:rPr>
        <w:t xml:space="preserve">during the last 160 ms </w:t>
      </w:r>
      <w:r w:rsidRPr="00AF5628">
        <w:rPr>
          <w:rFonts w:cs="v4.2.0"/>
        </w:rPr>
        <w:t>on the condition that:</w:t>
      </w:r>
    </w:p>
    <w:p w14:paraId="225E3CEF" w14:textId="032FC733" w:rsidR="0035077F" w:rsidRPr="00AF5628" w:rsidRDefault="000D6A24" w:rsidP="0035077F">
      <w:pPr>
        <w:pStyle w:val="B10"/>
        <w:rPr>
          <w:lang w:val="en-US"/>
        </w:rPr>
      </w:pPr>
      <w:r>
        <w:rPr>
          <w:lang w:val="en-US"/>
        </w:rPr>
        <w:t>-</w:t>
      </w:r>
      <w:r w:rsidR="0035077F">
        <w:rPr>
          <w:lang w:val="en-US"/>
        </w:rPr>
        <w:tab/>
      </w:r>
      <w:r w:rsidR="0035077F" w:rsidRPr="00AF5628">
        <w:rPr>
          <w:lang w:val="en-US"/>
        </w:rPr>
        <w:t xml:space="preserve">the SSB is within the UE’s active </w:t>
      </w:r>
      <w:r w:rsidR="0035077F" w:rsidRPr="00AF5628">
        <w:rPr>
          <w:iCs/>
          <w:lang w:val="en-US"/>
        </w:rPr>
        <w:t>BWP</w:t>
      </w:r>
      <w:r w:rsidR="0035077F" w:rsidRPr="00AF5628">
        <w:rPr>
          <w:lang w:val="en-US"/>
        </w:rPr>
        <w:t xml:space="preserve">, or </w:t>
      </w:r>
    </w:p>
    <w:p w14:paraId="14546FB3" w14:textId="3E340E3F" w:rsidR="0035077F" w:rsidRDefault="000D6A24" w:rsidP="0035077F">
      <w:pPr>
        <w:pStyle w:val="B10"/>
        <w:rPr>
          <w:lang w:val="en-US"/>
        </w:rPr>
      </w:pPr>
      <w:r>
        <w:rPr>
          <w:lang w:val="en-US"/>
        </w:rPr>
        <w:t>-</w:t>
      </w:r>
      <w:r w:rsidR="0035077F">
        <w:rPr>
          <w:lang w:val="en-US"/>
        </w:rPr>
        <w:tab/>
      </w:r>
      <w:r w:rsidR="0035077F" w:rsidRPr="00AF5628">
        <w:rPr>
          <w:lang w:val="en-US"/>
        </w:rPr>
        <w:t xml:space="preserve">the SSB is not within the UE’s active </w:t>
      </w:r>
      <w:r w:rsidR="0035077F" w:rsidRPr="00AF5628">
        <w:rPr>
          <w:iCs/>
          <w:lang w:val="en-US"/>
        </w:rPr>
        <w:t>BWP</w:t>
      </w:r>
      <w:r w:rsidR="0035077F" w:rsidRPr="00AF5628">
        <w:rPr>
          <w:lang w:val="en-US"/>
        </w:rPr>
        <w:t>, and the measurement gap is configured</w:t>
      </w:r>
      <w:r>
        <w:rPr>
          <w:lang w:val="en-US"/>
        </w:rPr>
        <w:t>.</w:t>
      </w:r>
    </w:p>
    <w:p w14:paraId="7302C284" w14:textId="77777777" w:rsidR="0035077F" w:rsidRPr="00416439" w:rsidRDefault="0035077F" w:rsidP="0035077F">
      <w:pPr>
        <w:rPr>
          <w:rFonts w:cs="v4.2.0"/>
        </w:rPr>
      </w:pPr>
      <w:r w:rsidRPr="00213509">
        <w:rPr>
          <w:rFonts w:cs="v4.2.0"/>
        </w:rPr>
        <w:t xml:space="preserve">The reference point for the UE initial transmit timing control requirement shall be the downlink timing of the reference cell minus </w:t>
      </w:r>
      <w:r w:rsidRPr="00213509">
        <w:rPr>
          <w:noProof/>
          <w:position w:val="-10"/>
          <w:lang w:val="en-US" w:eastAsia="zh-CN"/>
        </w:rPr>
        <w:drawing>
          <wp:inline distT="0" distB="0" distL="0" distR="0" wp14:anchorId="6BF8F997" wp14:editId="498C05DF">
            <wp:extent cx="1145540" cy="187960"/>
            <wp:effectExtent l="0" t="0" r="0" b="2540"/>
            <wp:docPr id="29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45540" cy="187960"/>
                    </a:xfrm>
                    <a:prstGeom prst="rect">
                      <a:avLst/>
                    </a:prstGeom>
                    <a:noFill/>
                    <a:ln>
                      <a:noFill/>
                    </a:ln>
                  </pic:spPr>
                </pic:pic>
              </a:graphicData>
            </a:graphic>
          </wp:inline>
        </w:drawing>
      </w:r>
      <w:r w:rsidRPr="00213509">
        <w:rPr>
          <w:rFonts w:cs="v4.2.0"/>
        </w:rPr>
        <w:t xml:space="preserve">. The downlink timing is defined as the time when the first </w:t>
      </w:r>
      <w:r w:rsidRPr="00AF5628">
        <w:rPr>
          <w:rFonts w:cs="v4.2.0"/>
          <w:strike/>
        </w:rPr>
        <w:t>detected</w:t>
      </w:r>
      <w:r w:rsidRPr="00213509">
        <w:rPr>
          <w:rFonts w:cs="v4.2.0"/>
          <w:strike/>
        </w:rPr>
        <w:t xml:space="preserve"> </w:t>
      </w:r>
      <w:r w:rsidRPr="003A0FCF">
        <w:rPr>
          <w:rFonts w:cs="v4.2.0"/>
        </w:rPr>
        <w:t xml:space="preserve">path (in time) of the corresponding downlink frame </w:t>
      </w:r>
      <w:r w:rsidRPr="00AF5628">
        <w:rPr>
          <w:lang w:val="en-US" w:eastAsia="zh-CN"/>
        </w:rPr>
        <w:t>used by the UE to determine downlink timing</w:t>
      </w:r>
      <w:r w:rsidRPr="00213509">
        <w:rPr>
          <w:rFonts w:cs="v4.2.0"/>
        </w:rPr>
        <w:t xml:space="preserve"> </w:t>
      </w:r>
      <w:r w:rsidRPr="003A0FCF">
        <w:rPr>
          <w:rFonts w:cs="v4.2.0"/>
        </w:rPr>
        <w:t xml:space="preserve">is received </w:t>
      </w:r>
      <w:r w:rsidRPr="003A0FCF">
        <w:t>from the reference cell</w:t>
      </w:r>
      <w:r w:rsidRPr="005915E0">
        <w:t xml:space="preserve"> </w:t>
      </w:r>
      <w:r w:rsidRPr="00AF5628">
        <w:t>at UE antenna</w:t>
      </w:r>
      <w:r w:rsidRPr="00213509">
        <w:t xml:space="preserve">. </w:t>
      </w:r>
      <w:r w:rsidRPr="003A0FCF">
        <w:rPr>
          <w:rFonts w:cs="v4.2.0"/>
          <w:i/>
        </w:rPr>
        <w:t>N</w:t>
      </w:r>
      <w:r w:rsidRPr="003A0FCF">
        <w:rPr>
          <w:rFonts w:cs="v4.2.0"/>
          <w:vertAlign w:val="subscript"/>
        </w:rPr>
        <w:t>TA</w:t>
      </w:r>
      <w:r w:rsidRPr="005915E0">
        <w:rPr>
          <w:rFonts w:cs="v4.2.0"/>
        </w:rPr>
        <w:t xml:space="preserve"> for PRACH is defined as 0.</w:t>
      </w:r>
    </w:p>
    <w:p w14:paraId="4BED3A10" w14:textId="77777777" w:rsidR="0035077F" w:rsidRPr="009C5807" w:rsidRDefault="0035077F" w:rsidP="0035077F">
      <w:pPr>
        <w:rPr>
          <w:rFonts w:cs="v4.2.0"/>
        </w:rPr>
      </w:pPr>
      <w:r w:rsidRPr="00213509">
        <w:rPr>
          <w:noProof/>
          <w:position w:val="-10"/>
          <w:lang w:val="en-US" w:eastAsia="zh-CN"/>
        </w:rPr>
        <w:drawing>
          <wp:inline distT="0" distB="0" distL="0" distR="0" wp14:anchorId="1BCA2B22" wp14:editId="35E57924">
            <wp:extent cx="1145540" cy="187960"/>
            <wp:effectExtent l="0" t="0" r="0" b="2540"/>
            <wp:docPr id="29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45540" cy="187960"/>
                    </a:xfrm>
                    <a:prstGeom prst="rect">
                      <a:avLst/>
                    </a:prstGeom>
                    <a:noFill/>
                    <a:ln>
                      <a:noFill/>
                    </a:ln>
                  </pic:spPr>
                </pic:pic>
              </a:graphicData>
            </a:graphic>
          </wp:inline>
        </w:drawing>
      </w:r>
      <w:r w:rsidRPr="00213509">
        <w:rPr>
          <w:rFonts w:cs="v4.2.0"/>
        </w:rPr>
        <w:t xml:space="preserve"> </w:t>
      </w:r>
      <w:r w:rsidRPr="003A0FCF">
        <w:t xml:space="preserve">(in </w:t>
      </w:r>
      <w:r w:rsidRPr="003A0FCF">
        <w:rPr>
          <w:i/>
        </w:rPr>
        <w:t>T</w:t>
      </w:r>
      <w:r w:rsidRPr="005915E0">
        <w:rPr>
          <w:i/>
          <w:vertAlign w:val="subscript"/>
        </w:rPr>
        <w:t>c</w:t>
      </w:r>
      <w:r w:rsidRPr="00416439">
        <w:t xml:space="preserve"> units) </w:t>
      </w:r>
      <w:r w:rsidRPr="00416439">
        <w:rPr>
          <w:rFonts w:cs="v4.2.0"/>
        </w:rPr>
        <w:t xml:space="preserve">for other channels is the difference between UE transmission timing and the downlink timing immediately after when the last timing advance in </w:t>
      </w:r>
      <w:r w:rsidRPr="00600DF1">
        <w:rPr>
          <w:rFonts w:cs="v4.2.0"/>
        </w:rPr>
        <w:t>clause 7.</w:t>
      </w:r>
      <w:r w:rsidRPr="009C5807">
        <w:rPr>
          <w:rFonts w:cs="v4.2.0"/>
        </w:rPr>
        <w:t>3</w:t>
      </w:r>
      <w:r>
        <w:rPr>
          <w:rFonts w:cs="v4.2.0" w:hint="eastAsia"/>
          <w:lang w:eastAsia="zh-CN"/>
        </w:rPr>
        <w:t>A</w:t>
      </w:r>
      <w:r w:rsidRPr="009C5807">
        <w:rPr>
          <w:rFonts w:cs="v4.2.0"/>
        </w:rPr>
        <w:t xml:space="preserve"> was applied. </w:t>
      </w:r>
      <w:r w:rsidRPr="009C5807">
        <w:rPr>
          <w:rFonts w:cs="v4.2.0"/>
          <w:i/>
        </w:rPr>
        <w:t>N</w:t>
      </w:r>
      <w:r w:rsidRPr="009C5807">
        <w:rPr>
          <w:rFonts w:cs="v4.2.0"/>
          <w:vertAlign w:val="subscript"/>
        </w:rPr>
        <w:t>TA</w:t>
      </w:r>
      <w:r w:rsidRPr="009C5807">
        <w:rPr>
          <w:rFonts w:cs="v4.2.0"/>
        </w:rPr>
        <w:t xml:space="preserve"> for other channels is not changed until next timing advance is received. The value of</w:t>
      </w:r>
      <w:r w:rsidRPr="009C5807">
        <w:rPr>
          <w:noProof/>
          <w:position w:val="-10"/>
          <w:lang w:val="en-US" w:eastAsia="zh-CN"/>
        </w:rPr>
        <w:drawing>
          <wp:inline distT="0" distB="0" distL="0" distR="0" wp14:anchorId="3F651FFD" wp14:editId="2588F272">
            <wp:extent cx="500380" cy="187960"/>
            <wp:effectExtent l="0" t="0" r="0" b="2540"/>
            <wp:docPr id="29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0380" cy="187960"/>
                    </a:xfrm>
                    <a:prstGeom prst="rect">
                      <a:avLst/>
                    </a:prstGeom>
                    <a:noFill/>
                    <a:ln>
                      <a:noFill/>
                    </a:ln>
                  </pic:spPr>
                </pic:pic>
              </a:graphicData>
            </a:graphic>
          </wp:inline>
        </w:drawing>
      </w:r>
      <w:r w:rsidRPr="009C5807">
        <w:t xml:space="preserve">depends on the duplex mode of the cell in which the uplink transmission takes place and the frequency range (FR). </w:t>
      </w:r>
      <w:r w:rsidRPr="009C5807">
        <w:rPr>
          <w:noProof/>
          <w:position w:val="-10"/>
          <w:lang w:val="en-US" w:eastAsia="zh-CN"/>
        </w:rPr>
        <w:drawing>
          <wp:inline distT="0" distB="0" distL="0" distR="0" wp14:anchorId="11C9C879" wp14:editId="051C8142">
            <wp:extent cx="500380" cy="187960"/>
            <wp:effectExtent l="0" t="0" r="0" b="2540"/>
            <wp:docPr id="299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0380" cy="187960"/>
                    </a:xfrm>
                    <a:prstGeom prst="rect">
                      <a:avLst/>
                    </a:prstGeom>
                    <a:noFill/>
                    <a:ln>
                      <a:noFill/>
                    </a:ln>
                  </pic:spPr>
                </pic:pic>
              </a:graphicData>
            </a:graphic>
          </wp:inline>
        </w:drawing>
      </w:r>
      <w:r w:rsidRPr="009C5807">
        <w:t xml:space="preserve">is defined in </w:t>
      </w:r>
      <w:r w:rsidRPr="009C5807">
        <w:rPr>
          <w:rFonts w:cs="v4.2.0"/>
        </w:rPr>
        <w:t xml:space="preserve">Table </w:t>
      </w:r>
      <w:r w:rsidRPr="00A17365">
        <w:rPr>
          <w:rFonts w:cs="v4.2.0"/>
        </w:rPr>
        <w:t>7.1A.2</w:t>
      </w:r>
      <w:r w:rsidRPr="009C5807">
        <w:rPr>
          <w:rFonts w:cs="v4.2.0"/>
        </w:rPr>
        <w:t>-2.</w:t>
      </w:r>
    </w:p>
    <w:p w14:paraId="66D9583E" w14:textId="77777777" w:rsidR="0035077F" w:rsidRDefault="0035077F" w:rsidP="0035077F"/>
    <w:p w14:paraId="3B1B39F6" w14:textId="77777777" w:rsidR="0035077F" w:rsidRPr="00955F12" w:rsidRDefault="0035077F" w:rsidP="0035077F">
      <w:pPr>
        <w:pStyle w:val="TH"/>
      </w:pPr>
      <w:r w:rsidRPr="00955F12">
        <w:t xml:space="preserve">Table </w:t>
      </w:r>
      <w:r w:rsidRPr="00D73E00">
        <w:t>7.1A.2</w:t>
      </w:r>
      <w:r w:rsidRPr="00955F12">
        <w:t>-1: T</w:t>
      </w:r>
      <w:r w:rsidRPr="00955F12">
        <w:rPr>
          <w:vertAlign w:val="subscript"/>
        </w:rPr>
        <w:t>e</w:t>
      </w:r>
      <w:r w:rsidRPr="00955F12">
        <w:t xml:space="preserve"> Timing Error Limit</w:t>
      </w:r>
    </w:p>
    <w:tbl>
      <w:tblPr>
        <w:tblW w:w="31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6"/>
        <w:gridCol w:w="1524"/>
        <w:gridCol w:w="1525"/>
        <w:gridCol w:w="1811"/>
      </w:tblGrid>
      <w:tr w:rsidR="0035077F" w:rsidRPr="009C5807" w14:paraId="1848BF4D" w14:textId="77777777" w:rsidTr="000A5666">
        <w:trPr>
          <w:cantSplit/>
          <w:jc w:val="center"/>
        </w:trPr>
        <w:tc>
          <w:tcPr>
            <w:tcW w:w="1033" w:type="pct"/>
            <w:vAlign w:val="center"/>
          </w:tcPr>
          <w:p w14:paraId="1E8B5A60" w14:textId="77777777" w:rsidR="0035077F" w:rsidRPr="009C5807" w:rsidRDefault="0035077F" w:rsidP="000A5666">
            <w:pPr>
              <w:pStyle w:val="TAH"/>
            </w:pPr>
            <w:r w:rsidRPr="009C5807">
              <w:t>Frequency Range</w:t>
            </w:r>
          </w:p>
        </w:tc>
        <w:tc>
          <w:tcPr>
            <w:tcW w:w="1244" w:type="pct"/>
            <w:vAlign w:val="center"/>
          </w:tcPr>
          <w:p w14:paraId="6316DDB4" w14:textId="77777777" w:rsidR="0035077F" w:rsidRPr="009C5807" w:rsidRDefault="0035077F" w:rsidP="000A5666">
            <w:pPr>
              <w:pStyle w:val="TAH"/>
            </w:pPr>
            <w:r w:rsidRPr="009C5807">
              <w:t>SCS of SSB signals (kHz)</w:t>
            </w:r>
          </w:p>
        </w:tc>
        <w:tc>
          <w:tcPr>
            <w:tcW w:w="1245" w:type="pct"/>
            <w:vAlign w:val="center"/>
          </w:tcPr>
          <w:p w14:paraId="7F443181" w14:textId="77777777" w:rsidR="0035077F" w:rsidRPr="009C5807" w:rsidRDefault="0035077F" w:rsidP="000A5666">
            <w:pPr>
              <w:pStyle w:val="TAH"/>
            </w:pPr>
            <w:r w:rsidRPr="009C5807">
              <w:t>SCS of uplink signals (kHz)</w:t>
            </w:r>
          </w:p>
        </w:tc>
        <w:tc>
          <w:tcPr>
            <w:tcW w:w="1478" w:type="pct"/>
            <w:vAlign w:val="center"/>
          </w:tcPr>
          <w:p w14:paraId="762C3060" w14:textId="77777777" w:rsidR="0035077F" w:rsidRPr="009C5807" w:rsidRDefault="0035077F" w:rsidP="000A5666">
            <w:pPr>
              <w:pStyle w:val="TAH"/>
            </w:pPr>
            <w:r w:rsidRPr="009C5807">
              <w:t>T</w:t>
            </w:r>
            <w:r w:rsidRPr="009C5807">
              <w:rPr>
                <w:vertAlign w:val="subscript"/>
              </w:rPr>
              <w:t>e</w:t>
            </w:r>
          </w:p>
        </w:tc>
      </w:tr>
      <w:tr w:rsidR="0035077F" w:rsidRPr="009C5807" w14:paraId="3C8DE697" w14:textId="77777777" w:rsidTr="000A5666">
        <w:trPr>
          <w:cantSplit/>
          <w:jc w:val="center"/>
        </w:trPr>
        <w:tc>
          <w:tcPr>
            <w:tcW w:w="1033" w:type="pct"/>
            <w:tcBorders>
              <w:bottom w:val="nil"/>
            </w:tcBorders>
            <w:vAlign w:val="center"/>
          </w:tcPr>
          <w:p w14:paraId="39DF9A28" w14:textId="77777777" w:rsidR="0035077F" w:rsidRPr="009C5807" w:rsidRDefault="0035077F" w:rsidP="000A5666">
            <w:pPr>
              <w:pStyle w:val="TAC"/>
            </w:pPr>
            <w:r w:rsidRPr="009C5807">
              <w:t>1</w:t>
            </w:r>
          </w:p>
        </w:tc>
        <w:tc>
          <w:tcPr>
            <w:tcW w:w="1244" w:type="pct"/>
            <w:tcBorders>
              <w:bottom w:val="nil"/>
            </w:tcBorders>
            <w:vAlign w:val="center"/>
          </w:tcPr>
          <w:p w14:paraId="5229B850" w14:textId="77777777" w:rsidR="0035077F" w:rsidRPr="009C5807" w:rsidRDefault="0035077F" w:rsidP="000A5666">
            <w:pPr>
              <w:pStyle w:val="TAC"/>
            </w:pPr>
            <w:r w:rsidRPr="009C5807">
              <w:t>15</w:t>
            </w:r>
          </w:p>
        </w:tc>
        <w:tc>
          <w:tcPr>
            <w:tcW w:w="1245" w:type="pct"/>
          </w:tcPr>
          <w:p w14:paraId="2590AF5A" w14:textId="77777777" w:rsidR="0035077F" w:rsidRPr="009C5807" w:rsidRDefault="0035077F" w:rsidP="000A5666">
            <w:pPr>
              <w:pStyle w:val="TAC"/>
            </w:pPr>
            <w:r w:rsidRPr="009C5807">
              <w:t>15</w:t>
            </w:r>
          </w:p>
        </w:tc>
        <w:tc>
          <w:tcPr>
            <w:tcW w:w="1478" w:type="pct"/>
          </w:tcPr>
          <w:p w14:paraId="3AA3E4D1" w14:textId="77777777" w:rsidR="0035077F" w:rsidRPr="009C5807" w:rsidRDefault="0035077F" w:rsidP="000A5666">
            <w:pPr>
              <w:pStyle w:val="TAC"/>
            </w:pPr>
            <w:r w:rsidRPr="009C5807">
              <w:t>12*64*T</w:t>
            </w:r>
            <w:r w:rsidRPr="009C5807">
              <w:rPr>
                <w:vertAlign w:val="subscript"/>
              </w:rPr>
              <w:t>c</w:t>
            </w:r>
          </w:p>
        </w:tc>
      </w:tr>
      <w:tr w:rsidR="0035077F" w:rsidRPr="009C5807" w14:paraId="49A5DCE5" w14:textId="77777777" w:rsidTr="000A5666">
        <w:trPr>
          <w:cantSplit/>
          <w:jc w:val="center"/>
        </w:trPr>
        <w:tc>
          <w:tcPr>
            <w:tcW w:w="1033" w:type="pct"/>
            <w:tcBorders>
              <w:top w:val="nil"/>
              <w:bottom w:val="nil"/>
            </w:tcBorders>
            <w:vAlign w:val="center"/>
          </w:tcPr>
          <w:p w14:paraId="2AD3FF54" w14:textId="77777777" w:rsidR="0035077F" w:rsidRPr="009C5807" w:rsidRDefault="0035077F" w:rsidP="000A5666">
            <w:pPr>
              <w:pStyle w:val="TAC"/>
            </w:pPr>
          </w:p>
        </w:tc>
        <w:tc>
          <w:tcPr>
            <w:tcW w:w="1244" w:type="pct"/>
            <w:tcBorders>
              <w:top w:val="nil"/>
              <w:bottom w:val="nil"/>
            </w:tcBorders>
            <w:vAlign w:val="center"/>
          </w:tcPr>
          <w:p w14:paraId="21F71681" w14:textId="77777777" w:rsidR="0035077F" w:rsidRPr="009C5807" w:rsidRDefault="0035077F" w:rsidP="000A5666">
            <w:pPr>
              <w:pStyle w:val="TAC"/>
            </w:pPr>
          </w:p>
        </w:tc>
        <w:tc>
          <w:tcPr>
            <w:tcW w:w="1245" w:type="pct"/>
          </w:tcPr>
          <w:p w14:paraId="1F27164D" w14:textId="77777777" w:rsidR="0035077F" w:rsidRPr="009C5807" w:rsidRDefault="0035077F" w:rsidP="000A5666">
            <w:pPr>
              <w:pStyle w:val="TAC"/>
            </w:pPr>
            <w:r w:rsidRPr="009C5807">
              <w:t>30</w:t>
            </w:r>
          </w:p>
        </w:tc>
        <w:tc>
          <w:tcPr>
            <w:tcW w:w="1478" w:type="pct"/>
          </w:tcPr>
          <w:p w14:paraId="398F4DBB" w14:textId="77777777" w:rsidR="0035077F" w:rsidRPr="009C5807" w:rsidRDefault="0035077F" w:rsidP="000A5666">
            <w:pPr>
              <w:pStyle w:val="TAC"/>
            </w:pPr>
            <w:r w:rsidRPr="009C5807">
              <w:t>10*64*T</w:t>
            </w:r>
            <w:r w:rsidRPr="009C5807">
              <w:rPr>
                <w:vertAlign w:val="subscript"/>
              </w:rPr>
              <w:t>c</w:t>
            </w:r>
          </w:p>
        </w:tc>
      </w:tr>
      <w:tr w:rsidR="0035077F" w:rsidRPr="009C5807" w14:paraId="01A36C2B" w14:textId="77777777" w:rsidTr="000A5666">
        <w:trPr>
          <w:cantSplit/>
          <w:jc w:val="center"/>
        </w:trPr>
        <w:tc>
          <w:tcPr>
            <w:tcW w:w="1033" w:type="pct"/>
            <w:tcBorders>
              <w:top w:val="nil"/>
              <w:bottom w:val="nil"/>
            </w:tcBorders>
            <w:vAlign w:val="center"/>
          </w:tcPr>
          <w:p w14:paraId="7B180E7C" w14:textId="77777777" w:rsidR="0035077F" w:rsidRPr="009C5807" w:rsidRDefault="0035077F" w:rsidP="000A5666">
            <w:pPr>
              <w:pStyle w:val="TAC"/>
            </w:pPr>
          </w:p>
        </w:tc>
        <w:tc>
          <w:tcPr>
            <w:tcW w:w="1244" w:type="pct"/>
            <w:tcBorders>
              <w:top w:val="nil"/>
            </w:tcBorders>
            <w:vAlign w:val="center"/>
          </w:tcPr>
          <w:p w14:paraId="64F0AE52" w14:textId="77777777" w:rsidR="0035077F" w:rsidRPr="009C5807" w:rsidRDefault="0035077F" w:rsidP="000A5666">
            <w:pPr>
              <w:pStyle w:val="TAC"/>
            </w:pPr>
          </w:p>
        </w:tc>
        <w:tc>
          <w:tcPr>
            <w:tcW w:w="1245" w:type="pct"/>
          </w:tcPr>
          <w:p w14:paraId="005C62A0" w14:textId="77777777" w:rsidR="0035077F" w:rsidRPr="009C5807" w:rsidRDefault="0035077F" w:rsidP="000A5666">
            <w:pPr>
              <w:pStyle w:val="TAC"/>
            </w:pPr>
            <w:r w:rsidRPr="009C5807">
              <w:t>60</w:t>
            </w:r>
          </w:p>
        </w:tc>
        <w:tc>
          <w:tcPr>
            <w:tcW w:w="1478" w:type="pct"/>
          </w:tcPr>
          <w:p w14:paraId="734037A3" w14:textId="77777777" w:rsidR="0035077F" w:rsidRPr="009C5807" w:rsidRDefault="0035077F" w:rsidP="000A5666">
            <w:pPr>
              <w:pStyle w:val="TAC"/>
            </w:pPr>
            <w:r w:rsidRPr="009C5807">
              <w:t>10*64*T</w:t>
            </w:r>
            <w:r w:rsidRPr="009C5807">
              <w:rPr>
                <w:vertAlign w:val="subscript"/>
              </w:rPr>
              <w:t>c</w:t>
            </w:r>
          </w:p>
        </w:tc>
      </w:tr>
      <w:tr w:rsidR="0035077F" w:rsidRPr="009C5807" w14:paraId="7FA356C3" w14:textId="77777777" w:rsidTr="000A5666">
        <w:trPr>
          <w:cantSplit/>
          <w:jc w:val="center"/>
        </w:trPr>
        <w:tc>
          <w:tcPr>
            <w:tcW w:w="1033" w:type="pct"/>
            <w:tcBorders>
              <w:top w:val="nil"/>
              <w:bottom w:val="nil"/>
            </w:tcBorders>
            <w:vAlign w:val="center"/>
          </w:tcPr>
          <w:p w14:paraId="75796A89" w14:textId="77777777" w:rsidR="0035077F" w:rsidRPr="009C5807" w:rsidRDefault="0035077F" w:rsidP="000A5666">
            <w:pPr>
              <w:pStyle w:val="TAC"/>
            </w:pPr>
          </w:p>
        </w:tc>
        <w:tc>
          <w:tcPr>
            <w:tcW w:w="1244" w:type="pct"/>
            <w:tcBorders>
              <w:bottom w:val="nil"/>
            </w:tcBorders>
            <w:vAlign w:val="center"/>
          </w:tcPr>
          <w:p w14:paraId="4DF8FD76" w14:textId="77777777" w:rsidR="0035077F" w:rsidRPr="009C5807" w:rsidRDefault="0035077F" w:rsidP="000A5666">
            <w:pPr>
              <w:pStyle w:val="TAC"/>
            </w:pPr>
            <w:r w:rsidRPr="009C5807">
              <w:t>30</w:t>
            </w:r>
          </w:p>
        </w:tc>
        <w:tc>
          <w:tcPr>
            <w:tcW w:w="1245" w:type="pct"/>
          </w:tcPr>
          <w:p w14:paraId="64206843" w14:textId="77777777" w:rsidR="0035077F" w:rsidRPr="009C5807" w:rsidRDefault="0035077F" w:rsidP="000A5666">
            <w:pPr>
              <w:pStyle w:val="TAC"/>
            </w:pPr>
            <w:r w:rsidRPr="009C5807">
              <w:t>15</w:t>
            </w:r>
          </w:p>
        </w:tc>
        <w:tc>
          <w:tcPr>
            <w:tcW w:w="1478" w:type="pct"/>
          </w:tcPr>
          <w:p w14:paraId="4A4CCEB8" w14:textId="77777777" w:rsidR="0035077F" w:rsidRPr="009C5807" w:rsidRDefault="0035077F" w:rsidP="000A5666">
            <w:pPr>
              <w:pStyle w:val="TAC"/>
            </w:pPr>
            <w:r w:rsidRPr="009C5807">
              <w:t>8*64*T</w:t>
            </w:r>
            <w:r w:rsidRPr="009C5807">
              <w:rPr>
                <w:vertAlign w:val="subscript"/>
              </w:rPr>
              <w:t>c</w:t>
            </w:r>
          </w:p>
        </w:tc>
      </w:tr>
      <w:tr w:rsidR="0035077F" w:rsidRPr="009C5807" w14:paraId="0011E06D" w14:textId="77777777" w:rsidTr="000A5666">
        <w:trPr>
          <w:cantSplit/>
          <w:jc w:val="center"/>
        </w:trPr>
        <w:tc>
          <w:tcPr>
            <w:tcW w:w="1033" w:type="pct"/>
            <w:tcBorders>
              <w:top w:val="nil"/>
              <w:bottom w:val="nil"/>
            </w:tcBorders>
            <w:vAlign w:val="center"/>
          </w:tcPr>
          <w:p w14:paraId="38446296" w14:textId="77777777" w:rsidR="0035077F" w:rsidRPr="009C5807" w:rsidRDefault="0035077F" w:rsidP="000A5666">
            <w:pPr>
              <w:pStyle w:val="TAC"/>
            </w:pPr>
          </w:p>
        </w:tc>
        <w:tc>
          <w:tcPr>
            <w:tcW w:w="1244" w:type="pct"/>
            <w:tcBorders>
              <w:top w:val="nil"/>
              <w:bottom w:val="nil"/>
            </w:tcBorders>
            <w:vAlign w:val="center"/>
          </w:tcPr>
          <w:p w14:paraId="3286F620" w14:textId="77777777" w:rsidR="0035077F" w:rsidRPr="009C5807" w:rsidRDefault="0035077F" w:rsidP="000A5666">
            <w:pPr>
              <w:pStyle w:val="TAC"/>
            </w:pPr>
          </w:p>
        </w:tc>
        <w:tc>
          <w:tcPr>
            <w:tcW w:w="1245" w:type="pct"/>
          </w:tcPr>
          <w:p w14:paraId="7E9CF719" w14:textId="77777777" w:rsidR="0035077F" w:rsidRPr="009C5807" w:rsidRDefault="0035077F" w:rsidP="000A5666">
            <w:pPr>
              <w:pStyle w:val="TAC"/>
            </w:pPr>
            <w:r w:rsidRPr="009C5807">
              <w:t>30</w:t>
            </w:r>
          </w:p>
        </w:tc>
        <w:tc>
          <w:tcPr>
            <w:tcW w:w="1478" w:type="pct"/>
          </w:tcPr>
          <w:p w14:paraId="66C0733D" w14:textId="77777777" w:rsidR="0035077F" w:rsidRPr="009C5807" w:rsidRDefault="0035077F" w:rsidP="000A5666">
            <w:pPr>
              <w:pStyle w:val="TAC"/>
            </w:pPr>
            <w:r w:rsidRPr="009C5807">
              <w:t>8*64*T</w:t>
            </w:r>
            <w:r w:rsidRPr="009C5807">
              <w:rPr>
                <w:vertAlign w:val="subscript"/>
              </w:rPr>
              <w:t>c</w:t>
            </w:r>
          </w:p>
        </w:tc>
      </w:tr>
      <w:tr w:rsidR="0035077F" w:rsidRPr="009C5807" w14:paraId="48BE45DD" w14:textId="77777777" w:rsidTr="000A5666">
        <w:trPr>
          <w:cantSplit/>
          <w:jc w:val="center"/>
        </w:trPr>
        <w:tc>
          <w:tcPr>
            <w:tcW w:w="1033" w:type="pct"/>
            <w:tcBorders>
              <w:top w:val="nil"/>
              <w:bottom w:val="single" w:sz="4" w:space="0" w:color="auto"/>
            </w:tcBorders>
            <w:vAlign w:val="center"/>
          </w:tcPr>
          <w:p w14:paraId="48DB7357" w14:textId="77777777" w:rsidR="0035077F" w:rsidRPr="009C5807" w:rsidRDefault="0035077F" w:rsidP="000A5666">
            <w:pPr>
              <w:pStyle w:val="TAC"/>
            </w:pPr>
          </w:p>
        </w:tc>
        <w:tc>
          <w:tcPr>
            <w:tcW w:w="1244" w:type="pct"/>
            <w:tcBorders>
              <w:top w:val="nil"/>
              <w:bottom w:val="single" w:sz="4" w:space="0" w:color="auto"/>
            </w:tcBorders>
            <w:vAlign w:val="center"/>
          </w:tcPr>
          <w:p w14:paraId="25E49DDC" w14:textId="77777777" w:rsidR="0035077F" w:rsidRPr="009C5807" w:rsidRDefault="0035077F" w:rsidP="000A5666">
            <w:pPr>
              <w:pStyle w:val="TAC"/>
            </w:pPr>
          </w:p>
        </w:tc>
        <w:tc>
          <w:tcPr>
            <w:tcW w:w="1245" w:type="pct"/>
          </w:tcPr>
          <w:p w14:paraId="4E88CC73" w14:textId="77777777" w:rsidR="0035077F" w:rsidRPr="009C5807" w:rsidRDefault="0035077F" w:rsidP="000A5666">
            <w:pPr>
              <w:pStyle w:val="TAC"/>
            </w:pPr>
            <w:r w:rsidRPr="009C5807">
              <w:t>60</w:t>
            </w:r>
          </w:p>
        </w:tc>
        <w:tc>
          <w:tcPr>
            <w:tcW w:w="1478" w:type="pct"/>
          </w:tcPr>
          <w:p w14:paraId="71183536" w14:textId="77777777" w:rsidR="0035077F" w:rsidRPr="009C5807" w:rsidRDefault="0035077F" w:rsidP="000A5666">
            <w:pPr>
              <w:pStyle w:val="TAC"/>
            </w:pPr>
            <w:r w:rsidRPr="009C5807">
              <w:t>7*64*T</w:t>
            </w:r>
            <w:r w:rsidRPr="009C5807">
              <w:rPr>
                <w:vertAlign w:val="subscript"/>
              </w:rPr>
              <w:t>c</w:t>
            </w:r>
          </w:p>
        </w:tc>
      </w:tr>
      <w:tr w:rsidR="0035077F" w:rsidRPr="009C5807" w14:paraId="2FBBF6D4" w14:textId="77777777" w:rsidTr="000A5666">
        <w:trPr>
          <w:cantSplit/>
          <w:jc w:val="center"/>
        </w:trPr>
        <w:tc>
          <w:tcPr>
            <w:tcW w:w="1033" w:type="pct"/>
            <w:tcBorders>
              <w:bottom w:val="nil"/>
            </w:tcBorders>
            <w:shd w:val="clear" w:color="auto" w:fill="auto"/>
            <w:vAlign w:val="center"/>
          </w:tcPr>
          <w:p w14:paraId="468B02D5" w14:textId="77777777" w:rsidR="0035077F" w:rsidRPr="009C5807" w:rsidRDefault="0035077F" w:rsidP="000A5666">
            <w:pPr>
              <w:pStyle w:val="TAC"/>
            </w:pPr>
            <w:r w:rsidRPr="009C5807">
              <w:t>2</w:t>
            </w:r>
          </w:p>
        </w:tc>
        <w:tc>
          <w:tcPr>
            <w:tcW w:w="1244" w:type="pct"/>
            <w:tcBorders>
              <w:bottom w:val="nil"/>
            </w:tcBorders>
            <w:shd w:val="clear" w:color="auto" w:fill="auto"/>
            <w:vAlign w:val="center"/>
          </w:tcPr>
          <w:p w14:paraId="5DF86D29" w14:textId="77777777" w:rsidR="0035077F" w:rsidRPr="009C5807" w:rsidRDefault="0035077F" w:rsidP="000A5666">
            <w:pPr>
              <w:pStyle w:val="TAC"/>
            </w:pPr>
            <w:r w:rsidRPr="009C5807">
              <w:t>120</w:t>
            </w:r>
          </w:p>
        </w:tc>
        <w:tc>
          <w:tcPr>
            <w:tcW w:w="1245" w:type="pct"/>
          </w:tcPr>
          <w:p w14:paraId="1E80982F" w14:textId="77777777" w:rsidR="0035077F" w:rsidRPr="009C5807" w:rsidRDefault="0035077F" w:rsidP="000A5666">
            <w:pPr>
              <w:pStyle w:val="TAC"/>
            </w:pPr>
            <w:r w:rsidRPr="009C5807">
              <w:t>60</w:t>
            </w:r>
          </w:p>
        </w:tc>
        <w:tc>
          <w:tcPr>
            <w:tcW w:w="1478" w:type="pct"/>
          </w:tcPr>
          <w:p w14:paraId="465B1831" w14:textId="77777777" w:rsidR="0035077F" w:rsidRPr="009C5807" w:rsidRDefault="0035077F" w:rsidP="000A5666">
            <w:pPr>
              <w:pStyle w:val="TAC"/>
            </w:pPr>
            <w:r w:rsidRPr="009C5807">
              <w:t>3.5*64*T</w:t>
            </w:r>
            <w:r w:rsidRPr="009C5807">
              <w:rPr>
                <w:vertAlign w:val="subscript"/>
              </w:rPr>
              <w:t>c</w:t>
            </w:r>
          </w:p>
        </w:tc>
      </w:tr>
      <w:tr w:rsidR="0035077F" w:rsidRPr="009C5807" w14:paraId="45ADB15E" w14:textId="77777777" w:rsidTr="000A5666">
        <w:trPr>
          <w:cantSplit/>
          <w:jc w:val="center"/>
        </w:trPr>
        <w:tc>
          <w:tcPr>
            <w:tcW w:w="1033" w:type="pct"/>
            <w:tcBorders>
              <w:top w:val="nil"/>
              <w:bottom w:val="nil"/>
            </w:tcBorders>
            <w:shd w:val="clear" w:color="auto" w:fill="auto"/>
            <w:vAlign w:val="center"/>
          </w:tcPr>
          <w:p w14:paraId="58F8F37D" w14:textId="77777777" w:rsidR="0035077F" w:rsidRPr="009C5807" w:rsidRDefault="0035077F" w:rsidP="000A5666">
            <w:pPr>
              <w:pStyle w:val="TAC"/>
            </w:pPr>
          </w:p>
        </w:tc>
        <w:tc>
          <w:tcPr>
            <w:tcW w:w="1244" w:type="pct"/>
            <w:tcBorders>
              <w:top w:val="nil"/>
              <w:bottom w:val="single" w:sz="4" w:space="0" w:color="auto"/>
            </w:tcBorders>
            <w:shd w:val="clear" w:color="auto" w:fill="auto"/>
            <w:vAlign w:val="center"/>
          </w:tcPr>
          <w:p w14:paraId="61A1DF65" w14:textId="77777777" w:rsidR="0035077F" w:rsidRPr="009C5807" w:rsidRDefault="0035077F" w:rsidP="000A5666">
            <w:pPr>
              <w:pStyle w:val="TAC"/>
            </w:pPr>
          </w:p>
        </w:tc>
        <w:tc>
          <w:tcPr>
            <w:tcW w:w="1245" w:type="pct"/>
          </w:tcPr>
          <w:p w14:paraId="1A040F7E" w14:textId="77777777" w:rsidR="0035077F" w:rsidRPr="009C5807" w:rsidRDefault="0035077F" w:rsidP="000A5666">
            <w:pPr>
              <w:pStyle w:val="TAC"/>
            </w:pPr>
            <w:r w:rsidRPr="009C5807">
              <w:t>120</w:t>
            </w:r>
          </w:p>
        </w:tc>
        <w:tc>
          <w:tcPr>
            <w:tcW w:w="1478" w:type="pct"/>
          </w:tcPr>
          <w:p w14:paraId="28D31A89" w14:textId="77777777" w:rsidR="0035077F" w:rsidRPr="009C5807" w:rsidRDefault="0035077F" w:rsidP="000A5666">
            <w:pPr>
              <w:pStyle w:val="TAC"/>
            </w:pPr>
            <w:r w:rsidRPr="009C5807">
              <w:t>3.5*64*T</w:t>
            </w:r>
            <w:r w:rsidRPr="009C5807">
              <w:rPr>
                <w:vertAlign w:val="subscript"/>
              </w:rPr>
              <w:t>c</w:t>
            </w:r>
          </w:p>
        </w:tc>
      </w:tr>
      <w:tr w:rsidR="0035077F" w:rsidRPr="009C5807" w14:paraId="382CDC0E" w14:textId="77777777" w:rsidTr="000A5666">
        <w:trPr>
          <w:cantSplit/>
          <w:jc w:val="center"/>
        </w:trPr>
        <w:tc>
          <w:tcPr>
            <w:tcW w:w="1033" w:type="pct"/>
            <w:tcBorders>
              <w:top w:val="nil"/>
              <w:bottom w:val="nil"/>
            </w:tcBorders>
            <w:shd w:val="clear" w:color="auto" w:fill="auto"/>
            <w:vAlign w:val="center"/>
          </w:tcPr>
          <w:p w14:paraId="337A3472" w14:textId="77777777" w:rsidR="0035077F" w:rsidRPr="009C5807" w:rsidRDefault="0035077F" w:rsidP="000A5666">
            <w:pPr>
              <w:pStyle w:val="TAC"/>
            </w:pPr>
          </w:p>
        </w:tc>
        <w:tc>
          <w:tcPr>
            <w:tcW w:w="1244" w:type="pct"/>
            <w:tcBorders>
              <w:bottom w:val="nil"/>
            </w:tcBorders>
            <w:shd w:val="clear" w:color="auto" w:fill="auto"/>
            <w:vAlign w:val="center"/>
          </w:tcPr>
          <w:p w14:paraId="723AD653" w14:textId="77777777" w:rsidR="0035077F" w:rsidRPr="009C5807" w:rsidRDefault="0035077F" w:rsidP="000A5666">
            <w:pPr>
              <w:pStyle w:val="TAC"/>
            </w:pPr>
            <w:r w:rsidRPr="009C5807">
              <w:t>240</w:t>
            </w:r>
          </w:p>
        </w:tc>
        <w:tc>
          <w:tcPr>
            <w:tcW w:w="1245" w:type="pct"/>
          </w:tcPr>
          <w:p w14:paraId="563D10FB" w14:textId="77777777" w:rsidR="0035077F" w:rsidRPr="009C5807" w:rsidRDefault="0035077F" w:rsidP="000A5666">
            <w:pPr>
              <w:pStyle w:val="TAC"/>
            </w:pPr>
            <w:r w:rsidRPr="009C5807">
              <w:t>60</w:t>
            </w:r>
          </w:p>
        </w:tc>
        <w:tc>
          <w:tcPr>
            <w:tcW w:w="1478" w:type="pct"/>
          </w:tcPr>
          <w:p w14:paraId="7FC15D7F" w14:textId="77777777" w:rsidR="0035077F" w:rsidRPr="009C5807" w:rsidRDefault="0035077F" w:rsidP="000A5666">
            <w:pPr>
              <w:pStyle w:val="TAC"/>
            </w:pPr>
            <w:r w:rsidRPr="009C5807">
              <w:t>3*64*T</w:t>
            </w:r>
            <w:r w:rsidRPr="009C5807">
              <w:rPr>
                <w:vertAlign w:val="subscript"/>
              </w:rPr>
              <w:t>c</w:t>
            </w:r>
          </w:p>
        </w:tc>
      </w:tr>
      <w:tr w:rsidR="0035077F" w:rsidRPr="009C5807" w14:paraId="2718B4E9" w14:textId="77777777" w:rsidTr="000A5666">
        <w:trPr>
          <w:cantSplit/>
          <w:jc w:val="center"/>
        </w:trPr>
        <w:tc>
          <w:tcPr>
            <w:tcW w:w="1033" w:type="pct"/>
            <w:tcBorders>
              <w:top w:val="nil"/>
            </w:tcBorders>
            <w:shd w:val="clear" w:color="auto" w:fill="auto"/>
          </w:tcPr>
          <w:p w14:paraId="2C02D5EF" w14:textId="77777777" w:rsidR="0035077F" w:rsidRPr="009C5807" w:rsidRDefault="0035077F" w:rsidP="000A5666">
            <w:pPr>
              <w:pStyle w:val="TAC"/>
            </w:pPr>
          </w:p>
        </w:tc>
        <w:tc>
          <w:tcPr>
            <w:tcW w:w="1244" w:type="pct"/>
            <w:tcBorders>
              <w:top w:val="nil"/>
            </w:tcBorders>
            <w:shd w:val="clear" w:color="auto" w:fill="auto"/>
          </w:tcPr>
          <w:p w14:paraId="03D60B4B" w14:textId="77777777" w:rsidR="0035077F" w:rsidRPr="009C5807" w:rsidRDefault="0035077F" w:rsidP="000A5666">
            <w:pPr>
              <w:pStyle w:val="TAC"/>
            </w:pPr>
          </w:p>
        </w:tc>
        <w:tc>
          <w:tcPr>
            <w:tcW w:w="1245" w:type="pct"/>
          </w:tcPr>
          <w:p w14:paraId="457BEB14" w14:textId="77777777" w:rsidR="0035077F" w:rsidRPr="009C5807" w:rsidRDefault="0035077F" w:rsidP="000A5666">
            <w:pPr>
              <w:pStyle w:val="TAC"/>
            </w:pPr>
            <w:r w:rsidRPr="009C5807">
              <w:t>120</w:t>
            </w:r>
          </w:p>
        </w:tc>
        <w:tc>
          <w:tcPr>
            <w:tcW w:w="1478" w:type="pct"/>
          </w:tcPr>
          <w:p w14:paraId="3DF625E6" w14:textId="77777777" w:rsidR="0035077F" w:rsidRPr="009C5807" w:rsidRDefault="0035077F" w:rsidP="000A5666">
            <w:pPr>
              <w:pStyle w:val="TAC"/>
            </w:pPr>
            <w:r w:rsidRPr="009C5807">
              <w:t>3*64*T</w:t>
            </w:r>
            <w:r w:rsidRPr="009C5807">
              <w:rPr>
                <w:vertAlign w:val="subscript"/>
              </w:rPr>
              <w:t>c</w:t>
            </w:r>
          </w:p>
        </w:tc>
      </w:tr>
      <w:tr w:rsidR="0035077F" w:rsidRPr="009C5807" w14:paraId="48A24ADB" w14:textId="77777777" w:rsidTr="000A5666">
        <w:trPr>
          <w:cantSplit/>
          <w:jc w:val="center"/>
        </w:trPr>
        <w:tc>
          <w:tcPr>
            <w:tcW w:w="5000" w:type="pct"/>
            <w:gridSpan w:val="4"/>
          </w:tcPr>
          <w:p w14:paraId="79E105A4" w14:textId="77777777" w:rsidR="0035077F" w:rsidRPr="009C5807" w:rsidRDefault="0035077F" w:rsidP="000A5666">
            <w:pPr>
              <w:pStyle w:val="TAN"/>
            </w:pPr>
            <w:r w:rsidRPr="009C5807">
              <w:rPr>
                <w:rFonts w:cs="Arial"/>
              </w:rPr>
              <w:t>Note</w:t>
            </w:r>
            <w:r w:rsidRPr="009C5807">
              <w:t xml:space="preserve"> 1:</w:t>
            </w:r>
            <w:r w:rsidRPr="009C5807">
              <w:tab/>
              <w:t>T</w:t>
            </w:r>
            <w:r w:rsidRPr="009C5807">
              <w:rPr>
                <w:vertAlign w:val="subscript"/>
              </w:rPr>
              <w:t>c</w:t>
            </w:r>
            <w:r w:rsidRPr="009C5807">
              <w:t xml:space="preserve"> is the basic timing unit defined in TS 38.211 [6]</w:t>
            </w:r>
          </w:p>
        </w:tc>
      </w:tr>
    </w:tbl>
    <w:p w14:paraId="151E8B27" w14:textId="77777777" w:rsidR="0035077F" w:rsidRPr="009C5807" w:rsidRDefault="0035077F" w:rsidP="0035077F">
      <w:pPr>
        <w:rPr>
          <w:snapToGrid w:val="0"/>
        </w:rPr>
      </w:pPr>
    </w:p>
    <w:p w14:paraId="4FCD179B" w14:textId="77777777" w:rsidR="0035077F" w:rsidRPr="00955F12" w:rsidRDefault="0035077F" w:rsidP="0035077F">
      <w:pPr>
        <w:pStyle w:val="TH"/>
      </w:pPr>
      <w:r w:rsidRPr="00955F12">
        <w:t xml:space="preserve">Table </w:t>
      </w:r>
      <w:r w:rsidRPr="00D73E00">
        <w:t>7.1A.2</w:t>
      </w:r>
      <w:r w:rsidRPr="00955F12">
        <w:t xml:space="preserve">-2: The Value of </w:t>
      </w:r>
      <w:r w:rsidRPr="00955F12">
        <w:rPr>
          <w:noProof/>
          <w:position w:val="-10"/>
          <w:lang w:val="en-US" w:eastAsia="zh-CN"/>
        </w:rPr>
        <w:drawing>
          <wp:inline distT="0" distB="0" distL="0" distR="0" wp14:anchorId="31977667" wp14:editId="1AA61474">
            <wp:extent cx="494665" cy="187960"/>
            <wp:effectExtent l="0" t="0" r="635" b="2540"/>
            <wp:docPr id="29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8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665" cy="187960"/>
                    </a:xfrm>
                    <a:prstGeom prst="rect">
                      <a:avLst/>
                    </a:prstGeom>
                    <a:noFill/>
                    <a:ln>
                      <a:noFill/>
                    </a:ln>
                  </pic:spPr>
                </pic:pic>
              </a:graphicData>
            </a:graphic>
          </wp:inline>
        </w:drawing>
      </w:r>
    </w:p>
    <w:tbl>
      <w:tblPr>
        <w:tblW w:w="36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2439"/>
      </w:tblGrid>
      <w:tr w:rsidR="0035077F" w:rsidRPr="009C5807" w14:paraId="52108BE7" w14:textId="77777777" w:rsidTr="000A5666">
        <w:trPr>
          <w:cantSplit/>
          <w:jc w:val="center"/>
        </w:trPr>
        <w:tc>
          <w:tcPr>
            <w:tcW w:w="3286" w:type="pct"/>
          </w:tcPr>
          <w:p w14:paraId="0A0F773E" w14:textId="77777777" w:rsidR="0035077F" w:rsidRPr="009C5807" w:rsidRDefault="0035077F" w:rsidP="000A5666">
            <w:pPr>
              <w:pStyle w:val="TAH"/>
              <w:rPr>
                <w:lang w:eastAsia="zh-CN"/>
              </w:rPr>
            </w:pPr>
            <w:r w:rsidRPr="009C5807">
              <w:t>Frequency range and band of cell used for uplink transmission</w:t>
            </w:r>
          </w:p>
        </w:tc>
        <w:tc>
          <w:tcPr>
            <w:tcW w:w="1714" w:type="pct"/>
          </w:tcPr>
          <w:p w14:paraId="0E5E4883" w14:textId="77777777" w:rsidR="0035077F" w:rsidRPr="009C5807" w:rsidRDefault="0035077F" w:rsidP="000A5666">
            <w:pPr>
              <w:pStyle w:val="TAH"/>
            </w:pPr>
            <w:r w:rsidRPr="009C5807">
              <w:rPr>
                <w:noProof/>
                <w:position w:val="-10"/>
                <w:lang w:val="en-US" w:eastAsia="zh-CN"/>
              </w:rPr>
              <w:drawing>
                <wp:inline distT="0" distB="0" distL="0" distR="0" wp14:anchorId="706B611B" wp14:editId="62794723">
                  <wp:extent cx="494665" cy="187960"/>
                  <wp:effectExtent l="0" t="0" r="635" b="2540"/>
                  <wp:docPr id="29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8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665" cy="187960"/>
                          </a:xfrm>
                          <a:prstGeom prst="rect">
                            <a:avLst/>
                          </a:prstGeom>
                          <a:noFill/>
                          <a:ln>
                            <a:noFill/>
                          </a:ln>
                        </pic:spPr>
                      </pic:pic>
                    </a:graphicData>
                  </a:graphic>
                </wp:inline>
              </w:drawing>
            </w:r>
            <w:r w:rsidRPr="009C5807">
              <w:t>(Unit: T</w:t>
            </w:r>
            <w:r w:rsidRPr="009C5807">
              <w:rPr>
                <w:vertAlign w:val="subscript"/>
              </w:rPr>
              <w:t>C</w:t>
            </w:r>
            <w:r w:rsidRPr="009C5807">
              <w:t>)</w:t>
            </w:r>
          </w:p>
        </w:tc>
      </w:tr>
      <w:tr w:rsidR="0035077F" w:rsidRPr="009C5807" w14:paraId="403DFD15" w14:textId="77777777" w:rsidTr="000A5666">
        <w:trPr>
          <w:cantSplit/>
          <w:jc w:val="center"/>
        </w:trPr>
        <w:tc>
          <w:tcPr>
            <w:tcW w:w="3286" w:type="pct"/>
          </w:tcPr>
          <w:p w14:paraId="5FD3ED3D" w14:textId="77777777" w:rsidR="0035077F" w:rsidRPr="009C5807" w:rsidRDefault="0035077F" w:rsidP="000A5666">
            <w:pPr>
              <w:pStyle w:val="TAL"/>
              <w:rPr>
                <w:rFonts w:eastAsia="MS Mincho"/>
                <w:lang w:eastAsia="ja-JP"/>
              </w:rPr>
            </w:pPr>
            <w:r w:rsidRPr="00885F53">
              <w:t xml:space="preserve">FR1 FDD </w:t>
            </w:r>
            <w:r>
              <w:t xml:space="preserve">or TDD </w:t>
            </w:r>
            <w:r w:rsidRPr="00885F53">
              <w:t xml:space="preserve">band with </w:t>
            </w:r>
            <w:r>
              <w:t>neither E-UTRA–</w:t>
            </w:r>
            <w:r w:rsidRPr="00885F53">
              <w:t xml:space="preserve">NR </w:t>
            </w:r>
            <w:r>
              <w:t xml:space="preserve">nor NB-IoT–NR </w:t>
            </w:r>
            <w:r w:rsidRPr="00885F53">
              <w:t>coexistence cas</w:t>
            </w:r>
            <w:r w:rsidRPr="00885F53">
              <w:rPr>
                <w:rFonts w:eastAsia="MS Mincho"/>
                <w:lang w:eastAsia="ja-JP"/>
              </w:rPr>
              <w:t>e</w:t>
            </w:r>
            <w:r w:rsidRPr="00885F53">
              <w:rPr>
                <w:rFonts w:ascii="MS Mincho" w:eastAsia="MS Mincho" w:hAnsi="MS Mincho"/>
                <w:lang w:eastAsia="ja-JP"/>
              </w:rPr>
              <w:t xml:space="preserve"> </w:t>
            </w:r>
          </w:p>
        </w:tc>
        <w:tc>
          <w:tcPr>
            <w:tcW w:w="1714" w:type="pct"/>
          </w:tcPr>
          <w:p w14:paraId="60413292" w14:textId="77777777" w:rsidR="0035077F" w:rsidRPr="009C5807" w:rsidRDefault="0035077F" w:rsidP="000A5666">
            <w:pPr>
              <w:pStyle w:val="TAL"/>
              <w:rPr>
                <w:rFonts w:eastAsia="MS Mincho" w:cs="v4.2.0"/>
                <w:lang w:eastAsia="ja-JP"/>
              </w:rPr>
            </w:pPr>
            <w:r w:rsidRPr="009C5807">
              <w:rPr>
                <w:rFonts w:cs="v4.2.0"/>
                <w:lang w:eastAsia="ja-JP"/>
              </w:rPr>
              <w:t>2560</w:t>
            </w:r>
            <w:r w:rsidRPr="009C5807">
              <w:rPr>
                <w:rFonts w:cs="v4.2.0"/>
              </w:rPr>
              <w:t>0</w:t>
            </w:r>
            <w:r w:rsidRPr="009C5807">
              <w:rPr>
                <w:rFonts w:eastAsia="MS Mincho" w:cs="v4.2.0"/>
                <w:lang w:eastAsia="ja-JP"/>
              </w:rPr>
              <w:t xml:space="preserve"> (Note 1)</w:t>
            </w:r>
          </w:p>
        </w:tc>
      </w:tr>
      <w:tr w:rsidR="0035077F" w:rsidRPr="009C5807" w14:paraId="4CEEAD7D" w14:textId="77777777" w:rsidTr="000A5666">
        <w:trPr>
          <w:cantSplit/>
          <w:jc w:val="center"/>
        </w:trPr>
        <w:tc>
          <w:tcPr>
            <w:tcW w:w="3286" w:type="pct"/>
          </w:tcPr>
          <w:p w14:paraId="2522D3A4" w14:textId="77777777" w:rsidR="0035077F" w:rsidRPr="009C5807" w:rsidRDefault="0035077F" w:rsidP="000A5666">
            <w:pPr>
              <w:pStyle w:val="TAL"/>
            </w:pPr>
            <w:r w:rsidRPr="00885F53">
              <w:rPr>
                <w:lang w:eastAsia="zh-CN"/>
              </w:rPr>
              <w:t xml:space="preserve">FR1 FDD band with </w:t>
            </w:r>
            <w:r>
              <w:t>E-UTRA–</w:t>
            </w:r>
            <w:r w:rsidRPr="00885F53">
              <w:rPr>
                <w:lang w:eastAsia="zh-CN"/>
              </w:rPr>
              <w:t xml:space="preserve">NR </w:t>
            </w:r>
            <w:r>
              <w:rPr>
                <w:lang w:eastAsia="zh-CN"/>
              </w:rPr>
              <w:t xml:space="preserve">and/or </w:t>
            </w:r>
            <w:r>
              <w:t xml:space="preserve">NB-IoT–NR </w:t>
            </w:r>
            <w:r w:rsidRPr="00885F53">
              <w:rPr>
                <w:lang w:eastAsia="zh-CN"/>
              </w:rPr>
              <w:t>coexistence case</w:t>
            </w:r>
            <w:r>
              <w:rPr>
                <w:lang w:eastAsia="zh-CN"/>
              </w:rPr>
              <w:t xml:space="preserve"> </w:t>
            </w:r>
          </w:p>
        </w:tc>
        <w:tc>
          <w:tcPr>
            <w:tcW w:w="1714" w:type="pct"/>
          </w:tcPr>
          <w:p w14:paraId="441DF938" w14:textId="77777777" w:rsidR="0035077F" w:rsidRPr="009C5807" w:rsidRDefault="0035077F" w:rsidP="000A5666">
            <w:pPr>
              <w:pStyle w:val="TAL"/>
              <w:rPr>
                <w:rFonts w:eastAsia="MS Mincho"/>
                <w:lang w:eastAsia="ja-JP"/>
              </w:rPr>
            </w:pPr>
            <w:r w:rsidRPr="009C5807">
              <w:rPr>
                <w:rFonts w:cs="v4.2.0"/>
              </w:rPr>
              <w:t>0</w:t>
            </w:r>
            <w:r w:rsidRPr="009C5807">
              <w:rPr>
                <w:rFonts w:eastAsia="MS Mincho" w:cs="v4.2.0"/>
                <w:lang w:eastAsia="ja-JP"/>
              </w:rPr>
              <w:t xml:space="preserve"> </w:t>
            </w:r>
            <w:r w:rsidRPr="009C5807">
              <w:rPr>
                <w:rFonts w:cs="v4.2.0"/>
                <w:lang w:eastAsia="zh-CN"/>
              </w:rPr>
              <w:t>(Note 1)</w:t>
            </w:r>
          </w:p>
        </w:tc>
      </w:tr>
      <w:tr w:rsidR="0035077F" w:rsidRPr="009C5807" w14:paraId="3BE8A42F" w14:textId="77777777" w:rsidTr="000A5666">
        <w:trPr>
          <w:cantSplit/>
          <w:jc w:val="center"/>
        </w:trPr>
        <w:tc>
          <w:tcPr>
            <w:tcW w:w="3286" w:type="pct"/>
          </w:tcPr>
          <w:p w14:paraId="7B826D92" w14:textId="77777777" w:rsidR="0035077F" w:rsidRPr="009C5807" w:rsidRDefault="0035077F" w:rsidP="000A5666">
            <w:pPr>
              <w:pStyle w:val="TAL"/>
              <w:rPr>
                <w:rFonts w:eastAsia="MS Mincho"/>
                <w:lang w:eastAsia="ja-JP"/>
              </w:rPr>
            </w:pPr>
            <w:r w:rsidRPr="00885F53">
              <w:t>FR1 TDD band</w:t>
            </w:r>
            <w:r w:rsidRPr="00885F53">
              <w:rPr>
                <w:rFonts w:eastAsia="MS Mincho"/>
                <w:lang w:eastAsia="ja-JP"/>
              </w:rPr>
              <w:t xml:space="preserve"> </w:t>
            </w:r>
            <w:r w:rsidRPr="00885F53">
              <w:rPr>
                <w:lang w:eastAsia="zh-CN"/>
              </w:rPr>
              <w:t xml:space="preserve">with </w:t>
            </w:r>
            <w:r>
              <w:t>E-UTRA–</w:t>
            </w:r>
            <w:r w:rsidRPr="00885F53">
              <w:rPr>
                <w:lang w:eastAsia="zh-CN"/>
              </w:rPr>
              <w:t xml:space="preserve">NR </w:t>
            </w:r>
            <w:r>
              <w:rPr>
                <w:lang w:eastAsia="zh-CN"/>
              </w:rPr>
              <w:t xml:space="preserve">and/or </w:t>
            </w:r>
            <w:r>
              <w:t xml:space="preserve">NB-IoT–NR </w:t>
            </w:r>
            <w:r w:rsidRPr="00885F53">
              <w:rPr>
                <w:lang w:eastAsia="zh-CN"/>
              </w:rPr>
              <w:t>coexistence case</w:t>
            </w:r>
          </w:p>
        </w:tc>
        <w:tc>
          <w:tcPr>
            <w:tcW w:w="1714" w:type="pct"/>
          </w:tcPr>
          <w:p w14:paraId="55B28016" w14:textId="77777777" w:rsidR="0035077F" w:rsidRPr="009C5807" w:rsidRDefault="0035077F" w:rsidP="000A5666">
            <w:pPr>
              <w:pStyle w:val="TAL"/>
              <w:rPr>
                <w:rFonts w:cs="v4.2.0"/>
                <w:lang w:eastAsia="zh-CN"/>
              </w:rPr>
            </w:pPr>
            <w:r w:rsidRPr="009C5807">
              <w:rPr>
                <w:rFonts w:cs="v4.2.0"/>
              </w:rPr>
              <w:t>39936</w:t>
            </w:r>
            <w:r w:rsidRPr="009C5807">
              <w:rPr>
                <w:rFonts w:cs="v4.2.0"/>
                <w:lang w:eastAsia="zh-CN"/>
              </w:rPr>
              <w:t xml:space="preserve"> (Note 1)</w:t>
            </w:r>
          </w:p>
        </w:tc>
      </w:tr>
      <w:tr w:rsidR="0035077F" w:rsidRPr="009C5807" w14:paraId="2546FC4D" w14:textId="77777777" w:rsidTr="000A5666">
        <w:trPr>
          <w:cantSplit/>
          <w:jc w:val="center"/>
        </w:trPr>
        <w:tc>
          <w:tcPr>
            <w:tcW w:w="3286" w:type="pct"/>
          </w:tcPr>
          <w:p w14:paraId="66EF70E5" w14:textId="77777777" w:rsidR="0035077F" w:rsidRPr="009C5807" w:rsidDel="00E06E79" w:rsidRDefault="0035077F" w:rsidP="000A5666">
            <w:pPr>
              <w:pStyle w:val="TAL"/>
            </w:pPr>
            <w:r w:rsidRPr="009C5807">
              <w:t>FR2</w:t>
            </w:r>
          </w:p>
        </w:tc>
        <w:tc>
          <w:tcPr>
            <w:tcW w:w="1714" w:type="pct"/>
          </w:tcPr>
          <w:p w14:paraId="0ACAE885" w14:textId="77777777" w:rsidR="0035077F" w:rsidRPr="009C5807" w:rsidDel="00E06E79" w:rsidRDefault="0035077F" w:rsidP="000A5666">
            <w:pPr>
              <w:pStyle w:val="TAL"/>
              <w:rPr>
                <w:rFonts w:cs="v4.2.0"/>
              </w:rPr>
            </w:pPr>
            <w:r w:rsidRPr="009C5807">
              <w:rPr>
                <w:rFonts w:cs="v4.2.0"/>
              </w:rPr>
              <w:t>13792</w:t>
            </w:r>
          </w:p>
        </w:tc>
      </w:tr>
      <w:tr w:rsidR="0035077F" w:rsidRPr="009C5807" w14:paraId="5C28C6A6" w14:textId="77777777" w:rsidTr="000A5666">
        <w:trPr>
          <w:cantSplit/>
          <w:jc w:val="center"/>
        </w:trPr>
        <w:tc>
          <w:tcPr>
            <w:tcW w:w="5000" w:type="pct"/>
            <w:gridSpan w:val="2"/>
          </w:tcPr>
          <w:p w14:paraId="2F49E27A" w14:textId="77777777" w:rsidR="0035077F" w:rsidRPr="009C5807" w:rsidRDefault="0035077F" w:rsidP="000A5666">
            <w:pPr>
              <w:pStyle w:val="TAN"/>
            </w:pPr>
            <w:r w:rsidRPr="009C5807">
              <w:t>Note 1:</w:t>
            </w:r>
            <w:r w:rsidRPr="009C5807">
              <w:tab/>
              <w:t xml:space="preserve">The UE identifies </w:t>
            </w:r>
            <w:r w:rsidRPr="009C5807">
              <w:rPr>
                <w:b/>
                <w:noProof/>
                <w:position w:val="-10"/>
                <w:lang w:val="en-US" w:eastAsia="zh-CN"/>
              </w:rPr>
              <w:drawing>
                <wp:inline distT="0" distB="0" distL="0" distR="0" wp14:anchorId="61AAED25" wp14:editId="75587FB3">
                  <wp:extent cx="494665" cy="187960"/>
                  <wp:effectExtent l="0" t="0" r="635" b="2540"/>
                  <wp:docPr id="29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8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665" cy="187960"/>
                          </a:xfrm>
                          <a:prstGeom prst="rect">
                            <a:avLst/>
                          </a:prstGeom>
                          <a:noFill/>
                          <a:ln>
                            <a:noFill/>
                          </a:ln>
                        </pic:spPr>
                      </pic:pic>
                    </a:graphicData>
                  </a:graphic>
                </wp:inline>
              </w:drawing>
            </w:r>
            <w:r w:rsidRPr="009C5807">
              <w:t xml:space="preserve"> based on the information n-TimingAdvanceOffset</w:t>
            </w:r>
            <w:r w:rsidRPr="009C5807" w:rsidDel="00406F3A">
              <w:t xml:space="preserve"> </w:t>
            </w:r>
            <w:r w:rsidRPr="009C5807">
              <w:t xml:space="preserve">as specified in TS 38.331 [2]. If UE is not provided with the information n-TimingAdvanceOffset, the default value of </w:t>
            </w:r>
            <w:r w:rsidRPr="009C5807">
              <w:rPr>
                <w:b/>
                <w:noProof/>
                <w:position w:val="-10"/>
                <w:lang w:val="en-US" w:eastAsia="zh-CN"/>
              </w:rPr>
              <w:drawing>
                <wp:inline distT="0" distB="0" distL="0" distR="0" wp14:anchorId="5F27FF5F" wp14:editId="1C7CB768">
                  <wp:extent cx="494665" cy="187960"/>
                  <wp:effectExtent l="0" t="0" r="635" b="2540"/>
                  <wp:docPr id="29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8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665" cy="187960"/>
                          </a:xfrm>
                          <a:prstGeom prst="rect">
                            <a:avLst/>
                          </a:prstGeom>
                          <a:noFill/>
                          <a:ln>
                            <a:noFill/>
                          </a:ln>
                        </pic:spPr>
                      </pic:pic>
                    </a:graphicData>
                  </a:graphic>
                </wp:inline>
              </w:drawing>
            </w:r>
            <w:r w:rsidRPr="009C5807">
              <w:t xml:space="preserve"> is set as </w:t>
            </w:r>
            <w:r w:rsidRPr="009C5807">
              <w:rPr>
                <w:lang w:eastAsia="ja-JP"/>
              </w:rPr>
              <w:t>2560</w:t>
            </w:r>
            <w:r w:rsidRPr="009C5807">
              <w:t>0 for FR1 band.</w:t>
            </w:r>
          </w:p>
          <w:p w14:paraId="40822741" w14:textId="77777777" w:rsidR="0035077F" w:rsidRPr="009C5807" w:rsidRDefault="0035077F" w:rsidP="000A5666">
            <w:pPr>
              <w:pStyle w:val="TAN"/>
            </w:pPr>
            <w:r w:rsidRPr="009C5807">
              <w:t>Note 2:</w:t>
            </w:r>
            <w:r w:rsidRPr="009C5807">
              <w:tab/>
              <w:t>Void</w:t>
            </w:r>
          </w:p>
        </w:tc>
      </w:tr>
    </w:tbl>
    <w:p w14:paraId="2359A693" w14:textId="77777777" w:rsidR="0035077F" w:rsidRPr="009C5807" w:rsidRDefault="0035077F" w:rsidP="0035077F">
      <w:pPr>
        <w:rPr>
          <w:lang w:eastAsia="ko-KR"/>
        </w:rPr>
      </w:pPr>
    </w:p>
    <w:p w14:paraId="415807D4" w14:textId="77777777" w:rsidR="0035077F" w:rsidRPr="009C5807" w:rsidRDefault="0035077F" w:rsidP="0035077F">
      <w:pPr>
        <w:rPr>
          <w:rFonts w:cs="v4.2.0"/>
        </w:rPr>
      </w:pPr>
      <w:r w:rsidRPr="009C5807">
        <w:rPr>
          <w:lang w:eastAsia="ko-KR"/>
        </w:rPr>
        <w:t xml:space="preserve">When it is not the first transmission in a DRX </w:t>
      </w:r>
      <w:r w:rsidRPr="009C5807">
        <w:rPr>
          <w:lang w:eastAsia="zh-CN"/>
        </w:rPr>
        <w:t xml:space="preserve">cycle </w:t>
      </w:r>
      <w:r w:rsidRPr="009C5807">
        <w:rPr>
          <w:lang w:eastAsia="ko-KR"/>
        </w:rPr>
        <w:t>or there is no DRX</w:t>
      </w:r>
      <w:r w:rsidRPr="009C5807">
        <w:rPr>
          <w:lang w:eastAsia="zh-CN"/>
        </w:rPr>
        <w:t xml:space="preserve"> cycle</w:t>
      </w:r>
      <w:r w:rsidRPr="009C5807">
        <w:rPr>
          <w:lang w:eastAsia="ko-KR"/>
        </w:rPr>
        <w:t xml:space="preserve">, and when it is the transmission for PUCCH, PUSCH and SRS transmission, </w:t>
      </w:r>
      <w:r w:rsidRPr="009C5807">
        <w:rPr>
          <w:rFonts w:cs="v4.2.0"/>
        </w:rPr>
        <w:t>the UE shall be capable of changing the transmission timing according to the received downlink frame of the reference cell</w:t>
      </w:r>
      <w:r w:rsidRPr="009C5807">
        <w:t xml:space="preserve"> </w:t>
      </w:r>
      <w:r w:rsidRPr="009C5807">
        <w:rPr>
          <w:lang w:eastAsia="ko-KR"/>
        </w:rPr>
        <w:t>except when the timing advance in clause 7.3</w:t>
      </w:r>
      <w:r>
        <w:rPr>
          <w:rFonts w:hint="eastAsia"/>
          <w:lang w:eastAsia="zh-CN"/>
        </w:rPr>
        <w:t>A</w:t>
      </w:r>
      <w:r w:rsidRPr="009C5807">
        <w:rPr>
          <w:lang w:eastAsia="ko-KR"/>
        </w:rPr>
        <w:t xml:space="preserve"> is applied.</w:t>
      </w:r>
    </w:p>
    <w:p w14:paraId="69313338" w14:textId="77777777" w:rsidR="0035077F" w:rsidRPr="009C5807" w:rsidRDefault="0035077F" w:rsidP="0035077F">
      <w:pPr>
        <w:pStyle w:val="Heading4"/>
        <w:rPr>
          <w:noProof/>
          <w:lang w:eastAsia="zh-CN"/>
        </w:rPr>
      </w:pPr>
      <w:r w:rsidRPr="0017787A">
        <w:t>7.1A</w:t>
      </w:r>
      <w:r w:rsidRPr="009C5807">
        <w:t>.2.1</w:t>
      </w:r>
      <w:r w:rsidRPr="009C5807">
        <w:tab/>
        <w:t>Gradual timing adjustment</w:t>
      </w:r>
    </w:p>
    <w:p w14:paraId="1F86D811" w14:textId="77777777" w:rsidR="0035077F" w:rsidRPr="009C5807" w:rsidRDefault="0035077F" w:rsidP="0035077F">
      <w:pPr>
        <w:rPr>
          <w:rFonts w:cs="v4.2.0"/>
          <w:lang w:eastAsia="zh-CN"/>
        </w:rPr>
      </w:pPr>
      <w:r w:rsidRPr="009C5807">
        <w:rPr>
          <w:rFonts w:cs="v4.2.0"/>
        </w:rPr>
        <w:t xml:space="preserve">When the transmission timing error between the UE and the reference </w:t>
      </w:r>
      <w:r w:rsidRPr="009C5807">
        <w:rPr>
          <w:rFonts w:cs="v4.2.0"/>
          <w:lang w:eastAsia="ja-JP"/>
        </w:rPr>
        <w:t>timing</w:t>
      </w:r>
      <w:r w:rsidRPr="009C5807">
        <w:rPr>
          <w:rFonts w:cs="v4.2.0"/>
        </w:rPr>
        <w:t xml:space="preserve"> exceeds </w:t>
      </w:r>
      <w:r w:rsidRPr="009C5807">
        <w:rPr>
          <w:rFonts w:cs="v4.2.0"/>
        </w:rPr>
        <w:sym w:font="Symbol" w:char="F0B1"/>
      </w:r>
      <w:r w:rsidRPr="009C5807">
        <w:rPr>
          <w:rFonts w:cs="v4.2.0"/>
        </w:rPr>
        <w:t>T</w:t>
      </w:r>
      <w:r w:rsidRPr="009C5807">
        <w:rPr>
          <w:rFonts w:cs="v4.2.0"/>
          <w:vertAlign w:val="subscript"/>
        </w:rPr>
        <w:t>e</w:t>
      </w:r>
      <w:r w:rsidRPr="009C5807">
        <w:rPr>
          <w:rFonts w:cs="v4.2.0"/>
        </w:rPr>
        <w:t xml:space="preserve"> then the UE is required to adjust its timing to within </w:t>
      </w:r>
      <w:r w:rsidRPr="009C5807">
        <w:rPr>
          <w:rFonts w:cs="v4.2.0"/>
        </w:rPr>
        <w:sym w:font="Symbol" w:char="F0B1"/>
      </w:r>
      <w:r w:rsidRPr="009C5807">
        <w:rPr>
          <w:rFonts w:cs="v4.2.0"/>
        </w:rPr>
        <w:t>T</w:t>
      </w:r>
      <w:r w:rsidRPr="009C5807">
        <w:rPr>
          <w:rFonts w:cs="v4.2.0"/>
          <w:vertAlign w:val="subscript"/>
        </w:rPr>
        <w:t>e</w:t>
      </w:r>
      <w:r w:rsidRPr="009C5807">
        <w:t>.</w:t>
      </w:r>
      <w:r w:rsidRPr="009C5807">
        <w:rPr>
          <w:lang w:eastAsia="ja-JP"/>
        </w:rPr>
        <w:t xml:space="preserve"> </w:t>
      </w:r>
      <w:r w:rsidRPr="009C5807">
        <w:rPr>
          <w:rFonts w:cs="v4.2.0"/>
        </w:rPr>
        <w:t xml:space="preserve">The reference </w:t>
      </w:r>
      <w:r w:rsidRPr="009C5807">
        <w:rPr>
          <w:rFonts w:cs="v4.2.0"/>
          <w:lang w:eastAsia="ja-JP"/>
        </w:rPr>
        <w:t>timing</w:t>
      </w:r>
      <w:r w:rsidRPr="009C5807">
        <w:rPr>
          <w:rFonts w:cs="v4.2.0"/>
        </w:rPr>
        <w:t xml:space="preserve"> shall be </w:t>
      </w:r>
      <w:r w:rsidRPr="009C5807">
        <w:rPr>
          <w:noProof/>
          <w:position w:val="-10"/>
          <w:lang w:val="en-US" w:eastAsia="zh-CN"/>
        </w:rPr>
        <w:drawing>
          <wp:inline distT="0" distB="0" distL="0" distR="0" wp14:anchorId="7794C6BA" wp14:editId="2198C562">
            <wp:extent cx="1145540" cy="187960"/>
            <wp:effectExtent l="0" t="0" r="0" b="2540"/>
            <wp:docPr id="2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5540" cy="187960"/>
                    </a:xfrm>
                    <a:prstGeom prst="rect">
                      <a:avLst/>
                    </a:prstGeom>
                    <a:noFill/>
                    <a:ln>
                      <a:noFill/>
                    </a:ln>
                  </pic:spPr>
                </pic:pic>
              </a:graphicData>
            </a:graphic>
          </wp:inline>
        </w:drawing>
      </w:r>
      <w:r w:rsidRPr="009C5807">
        <w:rPr>
          <w:rFonts w:cs="v4.2.0"/>
          <w:lang w:eastAsia="ja-JP"/>
        </w:rPr>
        <w:t xml:space="preserve"> before </w:t>
      </w:r>
      <w:r w:rsidRPr="009C5807">
        <w:rPr>
          <w:rFonts w:cs="v4.2.0"/>
        </w:rPr>
        <w:t>the d</w:t>
      </w:r>
      <w:r w:rsidRPr="009C5807">
        <w:rPr>
          <w:rFonts w:cs="v4.2.0"/>
          <w:lang w:eastAsia="ja-JP"/>
        </w:rPr>
        <w:t>ownlink timing of the reference cell.</w:t>
      </w:r>
      <w:r w:rsidRPr="009C5807" w:rsidDel="00C02601">
        <w:rPr>
          <w:rFonts w:cs="v4.2.0"/>
          <w:lang w:eastAsia="ja-JP"/>
        </w:rPr>
        <w:t xml:space="preserve"> </w:t>
      </w:r>
      <w:r w:rsidRPr="009C5807">
        <w:rPr>
          <w:rFonts w:cs="v4.2.0"/>
        </w:rPr>
        <w:t>All adjustments made to the UE uplink timing shall follow these rules:</w:t>
      </w:r>
    </w:p>
    <w:p w14:paraId="131BCD29" w14:textId="77777777" w:rsidR="0035077F" w:rsidRPr="009C5807" w:rsidRDefault="0035077F" w:rsidP="0035077F">
      <w:pPr>
        <w:pStyle w:val="B10"/>
      </w:pPr>
      <w:r w:rsidRPr="009C5807">
        <w:t>1)</w:t>
      </w:r>
      <w:r w:rsidRPr="009C5807">
        <w:tab/>
        <w:t xml:space="preserve">The maximum amount of the magnitude of the timing change in one adjustment shall be </w:t>
      </w:r>
      <w:r w:rsidRPr="009C5807">
        <w:rPr>
          <w:rFonts w:cs="v4.2.0"/>
        </w:rPr>
        <w:t>T</w:t>
      </w:r>
      <w:r w:rsidRPr="009C5807">
        <w:rPr>
          <w:rFonts w:cs="v4.2.0"/>
          <w:vertAlign w:val="subscript"/>
        </w:rPr>
        <w:t>q</w:t>
      </w:r>
      <w:r w:rsidRPr="009C5807">
        <w:t>.</w:t>
      </w:r>
    </w:p>
    <w:p w14:paraId="2C9A4E3A" w14:textId="77777777" w:rsidR="0035077F" w:rsidRPr="009C5807" w:rsidRDefault="0035077F" w:rsidP="0035077F">
      <w:pPr>
        <w:pStyle w:val="B10"/>
      </w:pPr>
      <w:r w:rsidRPr="009C5807">
        <w:t>2)</w:t>
      </w:r>
      <w:r w:rsidRPr="009C5807">
        <w:tab/>
        <w:t xml:space="preserve">The minimum aggregate adjustment rate shall be </w:t>
      </w:r>
      <w:r w:rsidRPr="009C5807">
        <w:rPr>
          <w:rFonts w:cs="v4.2.0"/>
        </w:rPr>
        <w:t>T</w:t>
      </w:r>
      <w:r w:rsidRPr="009C5807">
        <w:rPr>
          <w:rFonts w:cs="v4.2.0"/>
          <w:vertAlign w:val="subscript"/>
          <w:lang w:eastAsia="zh-CN"/>
        </w:rPr>
        <w:t>p</w:t>
      </w:r>
      <w:r w:rsidRPr="009C5807" w:rsidDel="00053109">
        <w:t xml:space="preserve"> </w:t>
      </w:r>
      <w:r w:rsidRPr="009C5807">
        <w:t>per second.</w:t>
      </w:r>
    </w:p>
    <w:p w14:paraId="36B7C09E" w14:textId="77777777" w:rsidR="0035077F" w:rsidRPr="009C5807" w:rsidRDefault="0035077F" w:rsidP="0035077F">
      <w:pPr>
        <w:pStyle w:val="B10"/>
        <w:rPr>
          <w:rFonts w:cs="v4.2.0"/>
        </w:rPr>
      </w:pPr>
      <w:r w:rsidRPr="009C5807">
        <w:rPr>
          <w:rFonts w:cs="v4.2.0"/>
        </w:rPr>
        <w:t>3)</w:t>
      </w:r>
      <w:r w:rsidRPr="009C5807">
        <w:rPr>
          <w:rFonts w:cs="v4.2.0"/>
        </w:rPr>
        <w:tab/>
        <w:t>The maximum aggregate adjustment rate shall be T</w:t>
      </w:r>
      <w:r w:rsidRPr="009C5807">
        <w:rPr>
          <w:rFonts w:cs="v4.2.0"/>
          <w:vertAlign w:val="subscript"/>
        </w:rPr>
        <w:t>q</w:t>
      </w:r>
      <w:r w:rsidRPr="009C5807">
        <w:rPr>
          <w:rFonts w:cs="v4.2.0"/>
        </w:rPr>
        <w:t xml:space="preserve"> per 200 ms.</w:t>
      </w:r>
    </w:p>
    <w:p w14:paraId="4265340E" w14:textId="77777777" w:rsidR="0035077F" w:rsidRPr="009C5807" w:rsidRDefault="0035077F" w:rsidP="0035077F">
      <w:pPr>
        <w:pStyle w:val="B10"/>
      </w:pPr>
      <w:r>
        <w:tab/>
      </w:r>
      <w:r w:rsidRPr="009C5807">
        <w:t>where the maximum autonomous time adjustment step T</w:t>
      </w:r>
      <w:r w:rsidRPr="009C5807">
        <w:rPr>
          <w:vertAlign w:val="subscript"/>
        </w:rPr>
        <w:t>q</w:t>
      </w:r>
      <w:r w:rsidRPr="009C5807">
        <w:t xml:space="preserve"> and the aggregate adjustment rate T</w:t>
      </w:r>
      <w:r w:rsidRPr="009C5807">
        <w:rPr>
          <w:vertAlign w:val="subscript"/>
        </w:rPr>
        <w:t>p</w:t>
      </w:r>
      <w:r w:rsidRPr="009C5807">
        <w:t xml:space="preserve"> are specified in Table </w:t>
      </w:r>
      <w:r w:rsidRPr="00A17365">
        <w:t>7.1A.2</w:t>
      </w:r>
      <w:r w:rsidRPr="009C5807">
        <w:t>.1-1.</w:t>
      </w:r>
    </w:p>
    <w:p w14:paraId="3F8AE1F1" w14:textId="77777777" w:rsidR="0035077F" w:rsidRPr="00955F12" w:rsidRDefault="0035077F" w:rsidP="0035077F">
      <w:pPr>
        <w:pStyle w:val="TH"/>
      </w:pPr>
      <w:r w:rsidRPr="00955F12">
        <w:t xml:space="preserve">Table </w:t>
      </w:r>
      <w:r w:rsidRPr="00D73E00">
        <w:t>7.1A.2</w:t>
      </w:r>
      <w:r w:rsidRPr="00955F12">
        <w:t>.1-1: T</w:t>
      </w:r>
      <w:r w:rsidRPr="00955F12">
        <w:rPr>
          <w:vertAlign w:val="subscript"/>
        </w:rPr>
        <w:t>q</w:t>
      </w:r>
      <w:r w:rsidRPr="00955F12">
        <w:t xml:space="preserve"> Maximum Autonomous Time Adjustment Step and T</w:t>
      </w:r>
      <w:r w:rsidRPr="00955F12">
        <w:rPr>
          <w:vertAlign w:val="subscript"/>
        </w:rPr>
        <w:t>p</w:t>
      </w:r>
      <w:r w:rsidRPr="00955F12">
        <w:t xml:space="preserve"> Minimum Aggregate Adjustment rate</w:t>
      </w: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gridCol w:w="2032"/>
        <w:gridCol w:w="1996"/>
        <w:gridCol w:w="1997"/>
      </w:tblGrid>
      <w:tr w:rsidR="0035077F" w:rsidRPr="009C5807" w14:paraId="7B8965A9" w14:textId="77777777" w:rsidTr="000A5666">
        <w:trPr>
          <w:cantSplit/>
          <w:jc w:val="center"/>
        </w:trPr>
        <w:tc>
          <w:tcPr>
            <w:tcW w:w="1205" w:type="pct"/>
            <w:vAlign w:val="center"/>
          </w:tcPr>
          <w:p w14:paraId="4E0AA0C2" w14:textId="77777777" w:rsidR="0035077F" w:rsidRPr="009C5807" w:rsidRDefault="0035077F" w:rsidP="000A5666">
            <w:pPr>
              <w:pStyle w:val="TAH"/>
            </w:pPr>
            <w:r w:rsidRPr="009C5807">
              <w:t>Frequency Range</w:t>
            </w:r>
          </w:p>
        </w:tc>
        <w:tc>
          <w:tcPr>
            <w:tcW w:w="1280" w:type="pct"/>
          </w:tcPr>
          <w:p w14:paraId="08C613E3" w14:textId="77777777" w:rsidR="0035077F" w:rsidRPr="009C5807" w:rsidRDefault="0035077F" w:rsidP="000A5666">
            <w:pPr>
              <w:pStyle w:val="TAH"/>
            </w:pPr>
            <w:r w:rsidRPr="009C5807">
              <w:t>SCS of uplink signals (kHz)</w:t>
            </w:r>
          </w:p>
        </w:tc>
        <w:tc>
          <w:tcPr>
            <w:tcW w:w="1257" w:type="pct"/>
            <w:vAlign w:val="center"/>
          </w:tcPr>
          <w:p w14:paraId="31F5A409" w14:textId="77777777" w:rsidR="0035077F" w:rsidRPr="009C5807" w:rsidRDefault="0035077F" w:rsidP="000A5666">
            <w:pPr>
              <w:pStyle w:val="TAH"/>
            </w:pPr>
            <w:r w:rsidRPr="009C5807">
              <w:t>T</w:t>
            </w:r>
            <w:r w:rsidRPr="009C5807">
              <w:rPr>
                <w:vertAlign w:val="subscript"/>
              </w:rPr>
              <w:t>q</w:t>
            </w:r>
          </w:p>
        </w:tc>
        <w:tc>
          <w:tcPr>
            <w:tcW w:w="1258" w:type="pct"/>
            <w:vAlign w:val="center"/>
          </w:tcPr>
          <w:p w14:paraId="37A2CC6E" w14:textId="77777777" w:rsidR="0035077F" w:rsidRPr="009C5807" w:rsidRDefault="0035077F" w:rsidP="000A5666">
            <w:pPr>
              <w:pStyle w:val="TAH"/>
            </w:pPr>
            <w:r w:rsidRPr="009C5807">
              <w:t>T</w:t>
            </w:r>
            <w:r w:rsidRPr="009C5807">
              <w:rPr>
                <w:vertAlign w:val="subscript"/>
              </w:rPr>
              <w:t>p</w:t>
            </w:r>
            <w:r w:rsidRPr="009C5807">
              <w:t xml:space="preserve"> </w:t>
            </w:r>
          </w:p>
        </w:tc>
      </w:tr>
      <w:tr w:rsidR="0035077F" w:rsidRPr="009C5807" w14:paraId="40D244C3" w14:textId="77777777" w:rsidTr="000A5666">
        <w:trPr>
          <w:cantSplit/>
          <w:jc w:val="center"/>
        </w:trPr>
        <w:tc>
          <w:tcPr>
            <w:tcW w:w="1205" w:type="pct"/>
            <w:tcBorders>
              <w:bottom w:val="nil"/>
            </w:tcBorders>
            <w:vAlign w:val="center"/>
          </w:tcPr>
          <w:p w14:paraId="610DEC18" w14:textId="77777777" w:rsidR="0035077F" w:rsidRPr="009C5807" w:rsidRDefault="0035077F" w:rsidP="000A5666">
            <w:pPr>
              <w:pStyle w:val="TAC"/>
            </w:pPr>
            <w:r w:rsidRPr="009C5807">
              <w:t>1</w:t>
            </w:r>
          </w:p>
        </w:tc>
        <w:tc>
          <w:tcPr>
            <w:tcW w:w="1280" w:type="pct"/>
          </w:tcPr>
          <w:p w14:paraId="6E273D8A" w14:textId="77777777" w:rsidR="0035077F" w:rsidRPr="009C5807" w:rsidRDefault="0035077F" w:rsidP="000A5666">
            <w:pPr>
              <w:pStyle w:val="TAC"/>
            </w:pPr>
            <w:r w:rsidRPr="009C5807">
              <w:t>15</w:t>
            </w:r>
          </w:p>
        </w:tc>
        <w:tc>
          <w:tcPr>
            <w:tcW w:w="1257" w:type="pct"/>
          </w:tcPr>
          <w:p w14:paraId="7270DBC1" w14:textId="77777777" w:rsidR="0035077F" w:rsidRPr="009C5807" w:rsidRDefault="0035077F" w:rsidP="000A5666">
            <w:pPr>
              <w:pStyle w:val="TAC"/>
            </w:pPr>
            <w:r w:rsidRPr="009C5807">
              <w:t>5.5*64*T</w:t>
            </w:r>
            <w:r w:rsidRPr="009C5807">
              <w:rPr>
                <w:vertAlign w:val="subscript"/>
              </w:rPr>
              <w:t>c</w:t>
            </w:r>
          </w:p>
        </w:tc>
        <w:tc>
          <w:tcPr>
            <w:tcW w:w="1258" w:type="pct"/>
          </w:tcPr>
          <w:p w14:paraId="6EAB686E" w14:textId="77777777" w:rsidR="0035077F" w:rsidRPr="009C5807" w:rsidRDefault="0035077F" w:rsidP="000A5666">
            <w:pPr>
              <w:pStyle w:val="TAC"/>
            </w:pPr>
            <w:r w:rsidRPr="009C5807">
              <w:t>5.5*64*T</w:t>
            </w:r>
            <w:r w:rsidRPr="009C5807">
              <w:rPr>
                <w:vertAlign w:val="subscript"/>
              </w:rPr>
              <w:t>c</w:t>
            </w:r>
          </w:p>
        </w:tc>
      </w:tr>
      <w:tr w:rsidR="0035077F" w:rsidRPr="009C5807" w14:paraId="1272D683" w14:textId="77777777" w:rsidTr="000A5666">
        <w:trPr>
          <w:cantSplit/>
          <w:jc w:val="center"/>
        </w:trPr>
        <w:tc>
          <w:tcPr>
            <w:tcW w:w="1205" w:type="pct"/>
            <w:tcBorders>
              <w:top w:val="nil"/>
              <w:bottom w:val="nil"/>
            </w:tcBorders>
            <w:vAlign w:val="center"/>
          </w:tcPr>
          <w:p w14:paraId="5DA4CFF8" w14:textId="77777777" w:rsidR="0035077F" w:rsidRPr="009C5807" w:rsidRDefault="0035077F" w:rsidP="000A5666">
            <w:pPr>
              <w:pStyle w:val="TAC"/>
            </w:pPr>
          </w:p>
        </w:tc>
        <w:tc>
          <w:tcPr>
            <w:tcW w:w="1280" w:type="pct"/>
          </w:tcPr>
          <w:p w14:paraId="16CB42D9" w14:textId="77777777" w:rsidR="0035077F" w:rsidRPr="009C5807" w:rsidRDefault="0035077F" w:rsidP="000A5666">
            <w:pPr>
              <w:pStyle w:val="TAC"/>
            </w:pPr>
            <w:r w:rsidRPr="009C5807">
              <w:t>30</w:t>
            </w:r>
          </w:p>
        </w:tc>
        <w:tc>
          <w:tcPr>
            <w:tcW w:w="1257" w:type="pct"/>
          </w:tcPr>
          <w:p w14:paraId="0ED04BF0" w14:textId="77777777" w:rsidR="0035077F" w:rsidRPr="009C5807" w:rsidRDefault="0035077F" w:rsidP="000A5666">
            <w:pPr>
              <w:pStyle w:val="TAC"/>
            </w:pPr>
            <w:r w:rsidRPr="009C5807">
              <w:t>5.5*64*T</w:t>
            </w:r>
            <w:r w:rsidRPr="009C5807">
              <w:rPr>
                <w:vertAlign w:val="subscript"/>
              </w:rPr>
              <w:t>c</w:t>
            </w:r>
          </w:p>
        </w:tc>
        <w:tc>
          <w:tcPr>
            <w:tcW w:w="1258" w:type="pct"/>
          </w:tcPr>
          <w:p w14:paraId="67FDE624" w14:textId="77777777" w:rsidR="0035077F" w:rsidRPr="009C5807" w:rsidRDefault="0035077F" w:rsidP="000A5666">
            <w:pPr>
              <w:pStyle w:val="TAC"/>
            </w:pPr>
            <w:r w:rsidRPr="009C5807">
              <w:t>5.5*64*T</w:t>
            </w:r>
            <w:r w:rsidRPr="009C5807">
              <w:rPr>
                <w:vertAlign w:val="subscript"/>
              </w:rPr>
              <w:t>c</w:t>
            </w:r>
          </w:p>
        </w:tc>
      </w:tr>
      <w:tr w:rsidR="0035077F" w:rsidRPr="009C5807" w14:paraId="65FBB2A9" w14:textId="77777777" w:rsidTr="000A5666">
        <w:trPr>
          <w:cantSplit/>
          <w:jc w:val="center"/>
        </w:trPr>
        <w:tc>
          <w:tcPr>
            <w:tcW w:w="1205" w:type="pct"/>
            <w:tcBorders>
              <w:top w:val="nil"/>
            </w:tcBorders>
            <w:vAlign w:val="center"/>
          </w:tcPr>
          <w:p w14:paraId="5A9C147D" w14:textId="77777777" w:rsidR="0035077F" w:rsidRPr="009C5807" w:rsidRDefault="0035077F" w:rsidP="000A5666">
            <w:pPr>
              <w:pStyle w:val="TAC"/>
            </w:pPr>
          </w:p>
        </w:tc>
        <w:tc>
          <w:tcPr>
            <w:tcW w:w="1280" w:type="pct"/>
          </w:tcPr>
          <w:p w14:paraId="30CAE264" w14:textId="77777777" w:rsidR="0035077F" w:rsidRPr="009C5807" w:rsidRDefault="0035077F" w:rsidP="000A5666">
            <w:pPr>
              <w:pStyle w:val="TAC"/>
            </w:pPr>
            <w:r w:rsidRPr="009C5807">
              <w:t>60</w:t>
            </w:r>
          </w:p>
        </w:tc>
        <w:tc>
          <w:tcPr>
            <w:tcW w:w="1257" w:type="pct"/>
          </w:tcPr>
          <w:p w14:paraId="725BEE24" w14:textId="77777777" w:rsidR="0035077F" w:rsidRPr="009C5807" w:rsidRDefault="0035077F" w:rsidP="000A5666">
            <w:pPr>
              <w:pStyle w:val="TAC"/>
            </w:pPr>
            <w:r w:rsidRPr="009C5807">
              <w:t>5.5*64*T</w:t>
            </w:r>
            <w:r w:rsidRPr="009C5807">
              <w:rPr>
                <w:vertAlign w:val="subscript"/>
              </w:rPr>
              <w:t>c</w:t>
            </w:r>
          </w:p>
        </w:tc>
        <w:tc>
          <w:tcPr>
            <w:tcW w:w="1258" w:type="pct"/>
          </w:tcPr>
          <w:p w14:paraId="4BCBD6C9" w14:textId="77777777" w:rsidR="0035077F" w:rsidRPr="009C5807" w:rsidRDefault="0035077F" w:rsidP="000A5666">
            <w:pPr>
              <w:pStyle w:val="TAC"/>
            </w:pPr>
            <w:r w:rsidRPr="009C5807">
              <w:t>5.5*64*T</w:t>
            </w:r>
            <w:r w:rsidRPr="009C5807">
              <w:rPr>
                <w:vertAlign w:val="subscript"/>
              </w:rPr>
              <w:t>c</w:t>
            </w:r>
          </w:p>
        </w:tc>
      </w:tr>
      <w:tr w:rsidR="0035077F" w:rsidRPr="009C5807" w14:paraId="70D72BEA" w14:textId="77777777" w:rsidTr="000A5666">
        <w:trPr>
          <w:cantSplit/>
          <w:jc w:val="center"/>
        </w:trPr>
        <w:tc>
          <w:tcPr>
            <w:tcW w:w="1205" w:type="pct"/>
            <w:tcBorders>
              <w:bottom w:val="nil"/>
            </w:tcBorders>
            <w:vAlign w:val="center"/>
          </w:tcPr>
          <w:p w14:paraId="0401EED7" w14:textId="77777777" w:rsidR="0035077F" w:rsidRPr="009C5807" w:rsidRDefault="0035077F" w:rsidP="000A5666">
            <w:pPr>
              <w:pStyle w:val="TAC"/>
            </w:pPr>
            <w:r w:rsidRPr="009C5807">
              <w:t>2</w:t>
            </w:r>
          </w:p>
        </w:tc>
        <w:tc>
          <w:tcPr>
            <w:tcW w:w="1280" w:type="pct"/>
          </w:tcPr>
          <w:p w14:paraId="593461BB" w14:textId="77777777" w:rsidR="0035077F" w:rsidRPr="009C5807" w:rsidRDefault="0035077F" w:rsidP="000A5666">
            <w:pPr>
              <w:pStyle w:val="TAC"/>
            </w:pPr>
            <w:r w:rsidRPr="009C5807">
              <w:t>60</w:t>
            </w:r>
          </w:p>
        </w:tc>
        <w:tc>
          <w:tcPr>
            <w:tcW w:w="1257" w:type="pct"/>
          </w:tcPr>
          <w:p w14:paraId="4996228B" w14:textId="77777777" w:rsidR="0035077F" w:rsidRPr="009C5807" w:rsidRDefault="0035077F" w:rsidP="000A5666">
            <w:pPr>
              <w:pStyle w:val="TAC"/>
            </w:pPr>
            <w:r w:rsidRPr="009C5807">
              <w:t>2.5*64*T</w:t>
            </w:r>
            <w:r w:rsidRPr="009C5807">
              <w:rPr>
                <w:vertAlign w:val="subscript"/>
              </w:rPr>
              <w:t>c</w:t>
            </w:r>
          </w:p>
        </w:tc>
        <w:tc>
          <w:tcPr>
            <w:tcW w:w="1258" w:type="pct"/>
          </w:tcPr>
          <w:p w14:paraId="1FB7FFA5" w14:textId="77777777" w:rsidR="0035077F" w:rsidRPr="009C5807" w:rsidRDefault="0035077F" w:rsidP="000A5666">
            <w:pPr>
              <w:pStyle w:val="TAC"/>
            </w:pPr>
            <w:r w:rsidRPr="009C5807">
              <w:t>2.5*64*T</w:t>
            </w:r>
            <w:r w:rsidRPr="009C5807">
              <w:rPr>
                <w:vertAlign w:val="subscript"/>
              </w:rPr>
              <w:t>c</w:t>
            </w:r>
          </w:p>
        </w:tc>
      </w:tr>
      <w:tr w:rsidR="0035077F" w:rsidRPr="009C5807" w14:paraId="6624F6EE" w14:textId="77777777" w:rsidTr="000A5666">
        <w:trPr>
          <w:cantSplit/>
          <w:jc w:val="center"/>
        </w:trPr>
        <w:tc>
          <w:tcPr>
            <w:tcW w:w="1205" w:type="pct"/>
            <w:tcBorders>
              <w:top w:val="nil"/>
            </w:tcBorders>
          </w:tcPr>
          <w:p w14:paraId="09BC9B16" w14:textId="77777777" w:rsidR="0035077F" w:rsidRPr="009C5807" w:rsidRDefault="0035077F" w:rsidP="000A5666">
            <w:pPr>
              <w:pStyle w:val="TAC"/>
            </w:pPr>
          </w:p>
        </w:tc>
        <w:tc>
          <w:tcPr>
            <w:tcW w:w="1280" w:type="pct"/>
          </w:tcPr>
          <w:p w14:paraId="23963DD6" w14:textId="77777777" w:rsidR="0035077F" w:rsidRPr="009C5807" w:rsidRDefault="0035077F" w:rsidP="000A5666">
            <w:pPr>
              <w:pStyle w:val="TAC"/>
            </w:pPr>
            <w:r w:rsidRPr="009C5807">
              <w:t>120</w:t>
            </w:r>
          </w:p>
        </w:tc>
        <w:tc>
          <w:tcPr>
            <w:tcW w:w="1257" w:type="pct"/>
          </w:tcPr>
          <w:p w14:paraId="55CEFFFA" w14:textId="77777777" w:rsidR="0035077F" w:rsidRPr="009C5807" w:rsidRDefault="0035077F" w:rsidP="000A5666">
            <w:pPr>
              <w:pStyle w:val="TAC"/>
            </w:pPr>
            <w:r w:rsidRPr="009C5807">
              <w:t>2.5*64*T</w:t>
            </w:r>
            <w:r w:rsidRPr="009C5807">
              <w:rPr>
                <w:vertAlign w:val="subscript"/>
              </w:rPr>
              <w:t>c</w:t>
            </w:r>
          </w:p>
        </w:tc>
        <w:tc>
          <w:tcPr>
            <w:tcW w:w="1258" w:type="pct"/>
          </w:tcPr>
          <w:p w14:paraId="013EED5F" w14:textId="77777777" w:rsidR="0035077F" w:rsidRPr="009C5807" w:rsidRDefault="0035077F" w:rsidP="000A5666">
            <w:pPr>
              <w:pStyle w:val="TAC"/>
            </w:pPr>
            <w:r w:rsidRPr="009C5807">
              <w:t>2.5*64*T</w:t>
            </w:r>
            <w:r w:rsidRPr="009C5807">
              <w:rPr>
                <w:vertAlign w:val="subscript"/>
              </w:rPr>
              <w:t>c</w:t>
            </w:r>
          </w:p>
        </w:tc>
      </w:tr>
      <w:tr w:rsidR="0035077F" w:rsidRPr="009C5807" w14:paraId="3604C055" w14:textId="77777777" w:rsidTr="000A5666">
        <w:trPr>
          <w:cantSplit/>
          <w:jc w:val="center"/>
        </w:trPr>
        <w:tc>
          <w:tcPr>
            <w:tcW w:w="5000" w:type="pct"/>
            <w:gridSpan w:val="4"/>
          </w:tcPr>
          <w:p w14:paraId="3321E2C0" w14:textId="77777777" w:rsidR="0035077F" w:rsidRPr="009C5807" w:rsidRDefault="0035077F" w:rsidP="000A5666">
            <w:pPr>
              <w:pStyle w:val="TAN"/>
            </w:pPr>
            <w:r w:rsidRPr="009C5807">
              <w:rPr>
                <w:rFonts w:cs="Arial"/>
              </w:rPr>
              <w:t>NOTE</w:t>
            </w:r>
            <w:r w:rsidRPr="009C5807">
              <w:t>:</w:t>
            </w:r>
            <w:r w:rsidRPr="009C5807">
              <w:tab/>
              <w:t>T</w:t>
            </w:r>
            <w:r w:rsidRPr="009C5807">
              <w:rPr>
                <w:vertAlign w:val="subscript"/>
              </w:rPr>
              <w:t>c</w:t>
            </w:r>
            <w:r w:rsidRPr="009C5807">
              <w:t xml:space="preserve"> is the basic timing unit defined in TS 38.211 [6]</w:t>
            </w:r>
          </w:p>
        </w:tc>
      </w:tr>
    </w:tbl>
    <w:p w14:paraId="6A4381FF" w14:textId="012E5D24" w:rsidR="00101C5C" w:rsidRDefault="00101C5C" w:rsidP="00BF3A32"/>
    <w:p w14:paraId="298BCAD3" w14:textId="77777777" w:rsidR="00C22E6F" w:rsidRPr="00C43797" w:rsidRDefault="00C22E6F" w:rsidP="00C22E6F">
      <w:pPr>
        <w:pStyle w:val="Heading2"/>
      </w:pPr>
      <w:r w:rsidRPr="001E2195">
        <w:t>7.1C</w:t>
      </w:r>
      <w:r w:rsidRPr="001E2195">
        <w:tab/>
        <w:t>UE transmit tim</w:t>
      </w:r>
      <w:r w:rsidRPr="00C43797">
        <w:t>ing for Satellite Access</w:t>
      </w:r>
    </w:p>
    <w:p w14:paraId="4F231B61" w14:textId="77777777" w:rsidR="00C22E6F" w:rsidRPr="00C43797" w:rsidRDefault="00C22E6F" w:rsidP="00D16992">
      <w:pPr>
        <w:pStyle w:val="Heading3"/>
      </w:pPr>
      <w:r w:rsidRPr="00C43797">
        <w:t>7.1C.1</w:t>
      </w:r>
      <w:r w:rsidRPr="00C43797">
        <w:tab/>
        <w:t>Introduction</w:t>
      </w:r>
    </w:p>
    <w:p w14:paraId="10DE2E1C" w14:textId="59AA2268" w:rsidR="00C22E6F" w:rsidRPr="00C43797" w:rsidRDefault="00092D8F" w:rsidP="00C22E6F">
      <w:pPr>
        <w:rPr>
          <w:rFonts w:eastAsia="SimSun" w:cs="v4.2.0"/>
        </w:rPr>
      </w:pPr>
      <w:r w:rsidRPr="005B4D4F">
        <w:rPr>
          <w:rFonts w:eastAsia="SimSun" w:cs="v4.2.0"/>
        </w:rPr>
        <w:t xml:space="preserve">The UE shall have capability to follow the frame timing change of the </w:t>
      </w:r>
      <w:r w:rsidRPr="005B4D4F">
        <w:rPr>
          <w:rFonts w:eastAsia="SimSun"/>
        </w:rPr>
        <w:t>reference cell</w:t>
      </w:r>
      <w:r w:rsidRPr="005B4D4F">
        <w:rPr>
          <w:rFonts w:eastAsia="SimSun" w:cs="v4.2.0"/>
        </w:rPr>
        <w:t xml:space="preserve"> in connected </w:t>
      </w:r>
      <w:r w:rsidRPr="005B4D4F">
        <w:rPr>
          <w:rFonts w:eastAsia="SimSun"/>
        </w:rPr>
        <w:t>state</w:t>
      </w:r>
      <w:r w:rsidRPr="005B4D4F">
        <w:rPr>
          <w:rFonts w:eastAsia="SimSun" w:cs="v4.2.0"/>
        </w:rPr>
        <w:t xml:space="preserve">. The uplink frame transmission takes place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lang w:val="en-US"/>
                  </w:rPr>
                  <m:t>TA</m:t>
                </m:r>
              </m:sub>
            </m:sSub>
            <m:r>
              <w:rPr>
                <w:rFonts w:ascii="Cambria Math" w:hAnsi="Cambria Math"/>
                <w:lang w:val="en-US"/>
              </w:rPr>
              <m:t>+</m:t>
            </m:r>
            <m:sSub>
              <m:sSubPr>
                <m:ctrlPr>
                  <w:rPr>
                    <w:rFonts w:ascii="Cambria Math" w:hAnsi="Cambria Math"/>
                    <w:i/>
                  </w:rPr>
                </m:ctrlPr>
              </m:sSubPr>
              <m:e>
                <m:r>
                  <w:rPr>
                    <w:rFonts w:ascii="Cambria Math" w:hAnsi="Cambria Math"/>
                  </w:rPr>
                  <m:t>N</m:t>
                </m:r>
              </m:e>
              <m:sub>
                <m:r>
                  <m:rPr>
                    <m:nor/>
                  </m:rPr>
                  <w:rPr>
                    <w:rFonts w:ascii="Cambria Math" w:hAnsi="Cambria Math"/>
                    <w:lang w:val="en-US"/>
                  </w:rPr>
                  <m:t>TA-offset</m:t>
                </m:r>
              </m:sub>
            </m:sSub>
            <m:r>
              <w:rPr>
                <w:rFonts w:ascii="Cambria Math" w:hAnsi="Cambria Math"/>
                <w:lang w:val="en-US"/>
              </w:rPr>
              <m:t>+</m:t>
            </m:r>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common</m:t>
                </m:r>
              </m:sup>
            </m:sSubSup>
            <m:r>
              <w:rPr>
                <w:rFonts w:ascii="Cambria Math" w:hAnsi="Cambria Math"/>
                <w:lang w:val="en-US"/>
              </w:rPr>
              <m:t>+</m:t>
            </m:r>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UE</m:t>
                </m:r>
              </m:sup>
            </m:sSubSup>
          </m:e>
        </m:d>
        <m:r>
          <w:rPr>
            <w:rFonts w:ascii="Cambria Math" w:hAnsi="Cambria Math"/>
            <w:lang w:eastAsia="ko-KR"/>
          </w:rPr>
          <m:t>×</m:t>
        </m:r>
        <m:sSub>
          <m:sSubPr>
            <m:ctrlPr>
              <w:rPr>
                <w:rFonts w:ascii="Cambria Math" w:hAnsi="Cambria Math"/>
                <w:i/>
              </w:rPr>
            </m:ctrlPr>
          </m:sSubPr>
          <m:e>
            <m:r>
              <w:rPr>
                <w:rFonts w:ascii="Cambria Math" w:hAnsi="Cambria Math"/>
              </w:rPr>
              <m:t>T</m:t>
            </m:r>
          </m:e>
          <m:sub>
            <m:r>
              <m:rPr>
                <m:nor/>
              </m:rPr>
              <w:rPr>
                <w:rFonts w:ascii="Cambria Math" w:hAnsi="Cambria Math"/>
                <w:lang w:val="en-US"/>
              </w:rPr>
              <m:t>c</m:t>
            </m:r>
          </m:sub>
        </m:sSub>
      </m:oMath>
      <w:r w:rsidRPr="005B4D4F">
        <w:rPr>
          <w:rFonts w:eastAsia="SimSun"/>
        </w:rPr>
        <w:t xml:space="preserve"> </w:t>
      </w:r>
      <w:r w:rsidRPr="005B4D4F">
        <w:rPr>
          <w:rFonts w:eastAsia="SimSun" w:cs="v4.2.0"/>
        </w:rPr>
        <w:t>before the reception of the first detected path (in time) of the corresponding downlink frame</w:t>
      </w:r>
      <w:r w:rsidRPr="005B4D4F">
        <w:rPr>
          <w:rFonts w:eastAsia="SimSun"/>
        </w:rPr>
        <w:t xml:space="preserve"> from the reference cell. </w:t>
      </w:r>
      <w:r w:rsidRPr="005B4D4F">
        <w:rPr>
          <w:rFonts w:eastAsia="SimSun" w:cs="v4.2.0"/>
        </w:rPr>
        <w:t>UE initial transmit timing accuracy</w:t>
      </w:r>
      <w:r w:rsidRPr="005B4D4F">
        <w:rPr>
          <w:rFonts w:eastAsia="SimSun" w:cs="v4.2.0" w:hint="eastAsia"/>
          <w:lang w:val="en-US" w:eastAsia="zh-CN"/>
        </w:rPr>
        <w:t xml:space="preserve"> and</w:t>
      </w:r>
      <w:r w:rsidRPr="005B4D4F">
        <w:rPr>
          <w:rFonts w:eastAsia="SimSun" w:cs="v4.2.0"/>
        </w:rPr>
        <w:t xml:space="preserve"> </w:t>
      </w:r>
      <w:r w:rsidRPr="005B4D4F">
        <w:rPr>
          <w:rFonts w:eastAsia="SimSun"/>
        </w:rPr>
        <w:t>gradual timing adjustment requirements</w:t>
      </w:r>
      <w:r w:rsidRPr="005B4D4F">
        <w:rPr>
          <w:rFonts w:eastAsia="SimSun" w:cs="v4.2.0"/>
        </w:rPr>
        <w:t xml:space="preserve"> are defined in the following requirements.</w:t>
      </w:r>
    </w:p>
    <w:p w14:paraId="369BA1CB" w14:textId="77777777" w:rsidR="00C22E6F" w:rsidRPr="00C43797" w:rsidRDefault="00C22E6F" w:rsidP="00C22E6F">
      <w:pPr>
        <w:pStyle w:val="Heading3"/>
      </w:pPr>
      <w:r w:rsidRPr="00C43797">
        <w:t>7.1C.2</w:t>
      </w:r>
      <w:r w:rsidRPr="00C43797">
        <w:tab/>
        <w:t>Requirements</w:t>
      </w:r>
    </w:p>
    <w:p w14:paraId="0B9AB660" w14:textId="77777777" w:rsidR="00C22E6F" w:rsidRPr="00C43797" w:rsidRDefault="00C22E6F" w:rsidP="00C22E6F">
      <w:pPr>
        <w:rPr>
          <w:rFonts w:eastAsia="SimSun" w:cs="v4.2.0"/>
        </w:rPr>
      </w:pPr>
      <w:r w:rsidRPr="00C43797">
        <w:rPr>
          <w:rFonts w:eastAsia="SimSun" w:cs="v4.2.0"/>
        </w:rPr>
        <w:t xml:space="preserve">The UE initial transmission timing error shall be less than or equal to </w:t>
      </w:r>
      <w:r w:rsidRPr="00C43797">
        <w:rPr>
          <w:rFonts w:eastAsia="SimSun" w:cs="v4.2.0"/>
        </w:rPr>
        <w:sym w:font="Symbol" w:char="F0B1"/>
      </w:r>
      <w:r w:rsidRPr="00C43797">
        <w:rPr>
          <w:rFonts w:eastAsia="SimSun" w:cs="v4.2.0"/>
        </w:rPr>
        <w:t>T</w:t>
      </w:r>
      <w:r w:rsidRPr="00C43797">
        <w:rPr>
          <w:rFonts w:eastAsia="SimSun" w:cs="v4.2.0"/>
          <w:vertAlign w:val="subscript"/>
        </w:rPr>
        <w:t>e_NTN</w:t>
      </w:r>
      <w:r w:rsidRPr="00C43797">
        <w:rPr>
          <w:rFonts w:eastAsia="SimSun"/>
        </w:rPr>
        <w:t xml:space="preserve"> where the timing error limit value </w:t>
      </w:r>
      <w:r w:rsidRPr="00C43797">
        <w:rPr>
          <w:rFonts w:eastAsia="SimSun" w:cs="v4.2.0"/>
        </w:rPr>
        <w:t>T</w:t>
      </w:r>
      <w:r w:rsidRPr="00C43797">
        <w:rPr>
          <w:rFonts w:eastAsia="SimSun" w:cs="v4.2.0"/>
          <w:vertAlign w:val="subscript"/>
        </w:rPr>
        <w:t>e_NTN</w:t>
      </w:r>
      <w:r w:rsidRPr="00C43797">
        <w:rPr>
          <w:rFonts w:eastAsia="SimSun"/>
        </w:rPr>
        <w:t xml:space="preserve"> is specified in Table 7.1C.2-1</w:t>
      </w:r>
      <w:r w:rsidRPr="00C43797">
        <w:rPr>
          <w:rFonts w:eastAsia="SimSun" w:cs="v4.2.0"/>
        </w:rPr>
        <w:t>. This requirement applies:</w:t>
      </w:r>
    </w:p>
    <w:p w14:paraId="49533B3E" w14:textId="77777777" w:rsidR="00C22E6F" w:rsidRPr="00C43797" w:rsidRDefault="00C22E6F" w:rsidP="00C22E6F">
      <w:pPr>
        <w:pStyle w:val="B10"/>
      </w:pPr>
      <w:r w:rsidRPr="00C43797">
        <w:rPr>
          <w:noProof/>
          <w:lang w:eastAsia="ko-KR"/>
        </w:rPr>
        <w:t>-</w:t>
      </w:r>
      <w:r w:rsidRPr="00C43797">
        <w:rPr>
          <w:noProof/>
          <w:lang w:eastAsia="ko-KR"/>
        </w:rPr>
        <w:tab/>
      </w:r>
      <w:r w:rsidRPr="00C43797">
        <w:t>when it is the first transmission in a DRX cycle for PUCCH, PUSCH and SRS, or it is the PRACH transmission, or it is the msgA transmission..</w:t>
      </w:r>
    </w:p>
    <w:p w14:paraId="56E252A8" w14:textId="52BC29D5" w:rsidR="00092D8F" w:rsidRPr="005B4D4F" w:rsidRDefault="00092D8F" w:rsidP="00092D8F">
      <w:pPr>
        <w:rPr>
          <w:rFonts w:eastAsia="SimSun" w:cs="v4.2.0"/>
        </w:rPr>
      </w:pPr>
      <w:r w:rsidRPr="005B4D4F">
        <w:rPr>
          <w:rFonts w:eastAsia="SimSun" w:cs="v4.2.0"/>
        </w:rPr>
        <w:t>The UE shall meet the T</w:t>
      </w:r>
      <w:r w:rsidRPr="005B4D4F">
        <w:rPr>
          <w:rFonts w:eastAsia="SimSun" w:cs="v4.2.0"/>
          <w:vertAlign w:val="subscript"/>
        </w:rPr>
        <w:t>e_NTN</w:t>
      </w:r>
      <w:r w:rsidRPr="005B4D4F">
        <w:rPr>
          <w:rFonts w:eastAsia="SimSun" w:cs="v4.2.0"/>
        </w:rPr>
        <w:t xml:space="preserve"> requirement for an initial transmission provided that at least one SSB is available at the UE during the last 160 ms.</w:t>
      </w:r>
      <w:r w:rsidR="000F143A" w:rsidRPr="000F143A">
        <w:rPr>
          <w:rFonts w:cs="v4.2.0"/>
        </w:rPr>
        <w:t xml:space="preserve"> </w:t>
      </w:r>
      <w:r w:rsidR="000F143A">
        <w:rPr>
          <w:rFonts w:cs="v4.2.0"/>
        </w:rPr>
        <w:t xml:space="preserve">and the UE has a validity time running for </w:t>
      </w:r>
      <w:r w:rsidR="000F143A" w:rsidRPr="00F33C74">
        <w:rPr>
          <w:rFonts w:cs="v4.2.0"/>
          <w:i/>
        </w:rPr>
        <w:t>N</w:t>
      </w:r>
      <w:r w:rsidR="000F143A" w:rsidRPr="00F33C74">
        <w:rPr>
          <w:rFonts w:cs="v4.2.0"/>
          <w:vertAlign w:val="subscript"/>
        </w:rPr>
        <w:t>TA,common</w:t>
      </w:r>
      <w:r w:rsidR="000F143A" w:rsidRPr="00F33C74">
        <w:rPr>
          <w:i/>
        </w:rPr>
        <w:t xml:space="preserve"> </w:t>
      </w:r>
      <w:r w:rsidR="000F143A">
        <w:rPr>
          <w:rFonts w:cs="v4.2.0"/>
          <w:i/>
        </w:rPr>
        <w:t xml:space="preserve"> </w:t>
      </w:r>
      <w:r w:rsidR="000F143A">
        <w:rPr>
          <w:rFonts w:cs="v4.2.0"/>
          <w:iCs/>
        </w:rPr>
        <w:t xml:space="preserve">and  </w:t>
      </w:r>
      <w:r w:rsidR="000F143A" w:rsidRPr="00F33C74">
        <w:rPr>
          <w:rFonts w:cs="v4.2.0"/>
          <w:i/>
        </w:rPr>
        <w:t>N</w:t>
      </w:r>
      <w:r w:rsidR="000F143A" w:rsidRPr="00F33C74">
        <w:rPr>
          <w:rFonts w:cs="v4.2.0"/>
          <w:vertAlign w:val="subscript"/>
        </w:rPr>
        <w:t>TA,UE-specific</w:t>
      </w:r>
      <w:r w:rsidR="000F143A" w:rsidRPr="00C43797">
        <w:rPr>
          <w:rFonts w:eastAsia="SimSun" w:cs="v4.2.0"/>
        </w:rPr>
        <w:t>.</w:t>
      </w:r>
      <w:r w:rsidRPr="005B4D4F">
        <w:rPr>
          <w:rFonts w:eastAsia="SimSun" w:cs="v4.2.0"/>
        </w:rPr>
        <w:t xml:space="preserve"> The reference point for the UE initial transmit timing control requirement shall be the downlink timing of the reference cell minus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lang w:val="en-US"/>
                  </w:rPr>
                  <m:t>TA</m:t>
                </m:r>
              </m:sub>
            </m:sSub>
            <m:r>
              <w:rPr>
                <w:rFonts w:ascii="Cambria Math" w:hAnsi="Cambria Math"/>
                <w:lang w:val="en-US"/>
              </w:rPr>
              <m:t>+</m:t>
            </m:r>
            <m:sSub>
              <m:sSubPr>
                <m:ctrlPr>
                  <w:rPr>
                    <w:rFonts w:ascii="Cambria Math" w:hAnsi="Cambria Math"/>
                    <w:i/>
                  </w:rPr>
                </m:ctrlPr>
              </m:sSubPr>
              <m:e>
                <m:r>
                  <w:rPr>
                    <w:rFonts w:ascii="Cambria Math" w:hAnsi="Cambria Math"/>
                  </w:rPr>
                  <m:t>N</m:t>
                </m:r>
              </m:e>
              <m:sub>
                <m:r>
                  <m:rPr>
                    <m:nor/>
                  </m:rPr>
                  <w:rPr>
                    <w:rFonts w:ascii="Cambria Math" w:hAnsi="Cambria Math"/>
                    <w:lang w:val="en-US"/>
                  </w:rPr>
                  <m:t>TA-offset</m:t>
                </m:r>
              </m:sub>
            </m:sSub>
            <m:r>
              <w:rPr>
                <w:rFonts w:ascii="Cambria Math" w:hAnsi="Cambria Math"/>
                <w:lang w:val="en-US"/>
              </w:rPr>
              <m:t>+</m:t>
            </m:r>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common</m:t>
                </m:r>
              </m:sup>
            </m:sSubSup>
            <m:r>
              <w:rPr>
                <w:rFonts w:ascii="Cambria Math" w:hAnsi="Cambria Math"/>
                <w:lang w:val="en-US"/>
              </w:rPr>
              <m:t>+</m:t>
            </m:r>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UE</m:t>
                </m:r>
              </m:sup>
            </m:sSubSup>
          </m:e>
        </m:d>
        <m:r>
          <w:rPr>
            <w:rFonts w:ascii="Cambria Math" w:hAnsi="Cambria Math"/>
            <w:lang w:eastAsia="ko-KR"/>
          </w:rPr>
          <m:t>×</m:t>
        </m:r>
        <m:sSub>
          <m:sSubPr>
            <m:ctrlPr>
              <w:rPr>
                <w:rFonts w:ascii="Cambria Math" w:hAnsi="Cambria Math"/>
                <w:i/>
              </w:rPr>
            </m:ctrlPr>
          </m:sSubPr>
          <m:e>
            <m:r>
              <w:rPr>
                <w:rFonts w:ascii="Cambria Math" w:hAnsi="Cambria Math"/>
              </w:rPr>
              <m:t>T</m:t>
            </m:r>
          </m:e>
          <m:sub>
            <m:r>
              <m:rPr>
                <m:nor/>
              </m:rPr>
              <w:rPr>
                <w:rFonts w:ascii="Cambria Math" w:hAnsi="Cambria Math"/>
                <w:lang w:val="en-US"/>
              </w:rPr>
              <m:t>c</m:t>
            </m:r>
          </m:sub>
        </m:sSub>
      </m:oMath>
      <w:r w:rsidRPr="005B4D4F">
        <w:rPr>
          <w:rFonts w:eastAsia="SimSun" w:cs="v4.2.0"/>
        </w:rPr>
        <w:t>.</w:t>
      </w:r>
    </w:p>
    <w:p w14:paraId="4389CB8D" w14:textId="6EF6D8E7" w:rsidR="00092D8F" w:rsidRPr="005B4D4F" w:rsidRDefault="00092D8F" w:rsidP="00092D8F">
      <w:pPr>
        <w:rPr>
          <w:rFonts w:eastAsia="SimSun"/>
        </w:rPr>
      </w:pPr>
      <w:r w:rsidRPr="005B4D4F">
        <w:rPr>
          <w:rFonts w:eastAsia="SimSun" w:cs="v4.2.0"/>
        </w:rPr>
        <w:t xml:space="preserve">The downlink timing is defined as the time when the first path (in time) of the corresponding downlink frame </w:t>
      </w:r>
      <w:r>
        <w:rPr>
          <w:lang w:val="en-US" w:eastAsia="zh-CN"/>
        </w:rPr>
        <w:t>used by the UE to determine downlink timing</w:t>
      </w:r>
      <w:r w:rsidRPr="005B4D4F">
        <w:rPr>
          <w:rFonts w:eastAsia="SimSun" w:cs="v4.2.0"/>
        </w:rPr>
        <w:t xml:space="preserve"> is received </w:t>
      </w:r>
      <w:r w:rsidRPr="005B4D4F">
        <w:rPr>
          <w:rFonts w:eastAsia="SimSun"/>
        </w:rPr>
        <w:t>from the reference cell</w:t>
      </w:r>
      <w:r w:rsidRPr="00094494">
        <w:t xml:space="preserve"> </w:t>
      </w:r>
      <w:r>
        <w:t>at the UE antenna</w:t>
      </w:r>
      <w:r w:rsidRPr="005B4D4F">
        <w:rPr>
          <w:rFonts w:eastAsia="SimSun"/>
        </w:rPr>
        <w:t xml:space="preserve">. </w:t>
      </w:r>
    </w:p>
    <w:p w14:paraId="7A97A15C" w14:textId="0EEC100E" w:rsidR="000F143A" w:rsidRDefault="00092D8F" w:rsidP="00092D8F">
      <w:pPr>
        <w:rPr>
          <w:rFonts w:eastAsia="SimSun" w:cs="v4.2.0"/>
        </w:rPr>
      </w:pPr>
      <w:r w:rsidRPr="005B4D4F">
        <w:rPr>
          <w:rFonts w:eastAsia="SimSun" w:cs="v4.2.0"/>
          <w:i/>
        </w:rPr>
        <w:t>N</w:t>
      </w:r>
      <w:r w:rsidRPr="005B4D4F">
        <w:rPr>
          <w:rFonts w:eastAsia="SimSun" w:cs="v4.2.0"/>
          <w:vertAlign w:val="subscript"/>
        </w:rPr>
        <w:t>TA</w:t>
      </w:r>
      <w:r w:rsidRPr="005B4D4F">
        <w:rPr>
          <w:rFonts w:eastAsia="SimSun" w:cs="v4.2.0"/>
        </w:rPr>
        <w:t xml:space="preserve"> for PRACH is defined as 0.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lang w:val="en-US"/>
                  </w:rPr>
                  <m:t>TA</m:t>
                </m:r>
              </m:sub>
            </m:sSub>
            <m:r>
              <w:rPr>
                <w:rFonts w:ascii="Cambria Math" w:hAnsi="Cambria Math"/>
                <w:lang w:val="en-US"/>
              </w:rPr>
              <m:t>+</m:t>
            </m:r>
            <m:sSub>
              <m:sSubPr>
                <m:ctrlPr>
                  <w:rPr>
                    <w:rFonts w:ascii="Cambria Math" w:hAnsi="Cambria Math"/>
                    <w:i/>
                  </w:rPr>
                </m:ctrlPr>
              </m:sSubPr>
              <m:e>
                <m:r>
                  <w:rPr>
                    <w:rFonts w:ascii="Cambria Math" w:hAnsi="Cambria Math"/>
                  </w:rPr>
                  <m:t>N</m:t>
                </m:r>
              </m:e>
              <m:sub>
                <m:r>
                  <m:rPr>
                    <m:nor/>
                  </m:rPr>
                  <w:rPr>
                    <w:rFonts w:ascii="Cambria Math" w:hAnsi="Cambria Math"/>
                    <w:lang w:val="en-US"/>
                  </w:rPr>
                  <m:t>TA-offset</m:t>
                </m:r>
              </m:sub>
            </m:sSub>
            <m:r>
              <w:rPr>
                <w:rFonts w:ascii="Cambria Math" w:hAnsi="Cambria Math"/>
                <w:lang w:val="en-US"/>
              </w:rPr>
              <m:t>+</m:t>
            </m:r>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common</m:t>
                </m:r>
              </m:sup>
            </m:sSubSup>
            <m:r>
              <w:rPr>
                <w:rFonts w:ascii="Cambria Math" w:hAnsi="Cambria Math"/>
                <w:lang w:val="en-US"/>
              </w:rPr>
              <m:t>+</m:t>
            </m:r>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UE</m:t>
                </m:r>
              </m:sup>
            </m:sSubSup>
          </m:e>
        </m:d>
        <m:r>
          <w:rPr>
            <w:rFonts w:ascii="Cambria Math" w:hAnsi="Cambria Math"/>
            <w:lang w:eastAsia="ko-KR"/>
          </w:rPr>
          <m:t>×</m:t>
        </m:r>
        <m:sSub>
          <m:sSubPr>
            <m:ctrlPr>
              <w:rPr>
                <w:rFonts w:ascii="Cambria Math" w:hAnsi="Cambria Math"/>
                <w:i/>
              </w:rPr>
            </m:ctrlPr>
          </m:sSubPr>
          <m:e>
            <m:r>
              <w:rPr>
                <w:rFonts w:ascii="Cambria Math" w:hAnsi="Cambria Math"/>
              </w:rPr>
              <m:t>T</m:t>
            </m:r>
          </m:e>
          <m:sub>
            <m:r>
              <m:rPr>
                <m:nor/>
              </m:rPr>
              <w:rPr>
                <w:rFonts w:ascii="Cambria Math" w:hAnsi="Cambria Math"/>
                <w:lang w:val="en-US"/>
              </w:rPr>
              <m:t>c</m:t>
            </m:r>
          </m:sub>
        </m:sSub>
      </m:oMath>
      <w:r w:rsidRPr="005B4D4F">
        <w:rPr>
          <w:rFonts w:eastAsia="SimSun"/>
        </w:rPr>
        <w:t xml:space="preserve"> (in </w:t>
      </w:r>
      <w:r w:rsidRPr="005B4D4F">
        <w:rPr>
          <w:rFonts w:eastAsia="SimSun"/>
          <w:i/>
        </w:rPr>
        <w:t>T</w:t>
      </w:r>
      <w:r w:rsidRPr="005B4D4F">
        <w:rPr>
          <w:rFonts w:eastAsia="SimSun"/>
          <w:vertAlign w:val="subscript"/>
        </w:rPr>
        <w:t>c</w:t>
      </w:r>
      <w:r w:rsidRPr="005B4D4F">
        <w:rPr>
          <w:rFonts w:eastAsia="SimSun"/>
        </w:rPr>
        <w:t xml:space="preserve"> units) </w:t>
      </w:r>
      <w:r w:rsidRPr="005B4D4F">
        <w:rPr>
          <w:rFonts w:eastAsia="SimSun" w:cs="v4.2.0"/>
        </w:rPr>
        <w:t xml:space="preserve">for other channels is the difference between UE transmission timing and the downlink timing immediately after when the last timing advance in clause 7.3 was applied. </w:t>
      </w:r>
      <w:r w:rsidR="000F143A" w:rsidRPr="001418AA">
        <w:rPr>
          <w:rFonts w:eastAsia="SimSun" w:cs="v4.2.0"/>
        </w:rPr>
        <w:t xml:space="preserve">or after the last update in </w:t>
      </w:r>
      <m:oMath>
        <m:sSubSup>
          <m:sSubSupPr>
            <m:ctrlPr>
              <w:rPr>
                <w:rFonts w:ascii="Cambria Math" w:eastAsia="SimSun" w:hAnsi="Cambria Math" w:cs="v4.2.0"/>
                <w:i/>
              </w:rPr>
            </m:ctrlPr>
          </m:sSubSupPr>
          <m:e>
            <m:r>
              <w:rPr>
                <w:rFonts w:ascii="Cambria Math" w:eastAsia="SimSun" w:hAnsi="Cambria Math" w:cs="v4.2.0"/>
              </w:rPr>
              <m:t>N</m:t>
            </m:r>
          </m:e>
          <m:sub>
            <m:r>
              <m:rPr>
                <m:sty m:val="p"/>
              </m:rPr>
              <w:rPr>
                <w:rFonts w:ascii="Cambria Math" w:eastAsia="SimSun" w:hAnsi="Cambria Math" w:cs="v4.2.0"/>
                <w:lang w:val="en-US"/>
              </w:rPr>
              <m:t>TA,adj</m:t>
            </m:r>
          </m:sub>
          <m:sup>
            <m:r>
              <m:rPr>
                <m:sty m:val="p"/>
              </m:rPr>
              <w:rPr>
                <w:rFonts w:ascii="Cambria Math" w:eastAsia="SimSun" w:hAnsi="Cambria Math" w:cs="v4.2.0"/>
                <w:lang w:val="en-US"/>
              </w:rPr>
              <m:t>common</m:t>
            </m:r>
          </m:sup>
        </m:sSubSup>
      </m:oMath>
      <w:r w:rsidR="000F143A" w:rsidRPr="001418AA">
        <w:rPr>
          <w:rFonts w:eastAsia="SimSun" w:cs="v4.2.0"/>
        </w:rPr>
        <w:t xml:space="preserve">  or </w:t>
      </w:r>
      <m:oMath>
        <m:sSubSup>
          <m:sSubSupPr>
            <m:ctrlPr>
              <w:rPr>
                <w:rFonts w:ascii="Cambria Math" w:eastAsia="SimSun" w:hAnsi="Cambria Math" w:cs="v4.2.0"/>
                <w:i/>
              </w:rPr>
            </m:ctrlPr>
          </m:sSubSupPr>
          <m:e>
            <m:r>
              <w:rPr>
                <w:rFonts w:ascii="Cambria Math" w:eastAsia="SimSun" w:hAnsi="Cambria Math" w:cs="v4.2.0"/>
              </w:rPr>
              <m:t>N</m:t>
            </m:r>
          </m:e>
          <m:sub>
            <m:r>
              <m:rPr>
                <m:sty m:val="p"/>
              </m:rPr>
              <w:rPr>
                <w:rFonts w:ascii="Cambria Math" w:eastAsia="SimSun" w:hAnsi="Cambria Math" w:cs="v4.2.0"/>
                <w:lang w:val="en-US"/>
              </w:rPr>
              <m:t>TA,adj</m:t>
            </m:r>
          </m:sub>
          <m:sup>
            <m:r>
              <m:rPr>
                <m:sty m:val="p"/>
              </m:rPr>
              <w:rPr>
                <w:rFonts w:ascii="Cambria Math" w:eastAsia="SimSun" w:hAnsi="Cambria Math" w:cs="v4.2.0"/>
                <w:lang w:val="en-US"/>
              </w:rPr>
              <m:t>UE</m:t>
            </m:r>
          </m:sup>
        </m:sSubSup>
      </m:oMath>
      <w:r w:rsidR="000F143A" w:rsidRPr="00C43797">
        <w:rPr>
          <w:rFonts w:eastAsia="SimSun" w:cs="v4.2.0"/>
        </w:rPr>
        <w:t>.</w:t>
      </w:r>
    </w:p>
    <w:p w14:paraId="3817D0BA" w14:textId="494F19A5" w:rsidR="00092D8F" w:rsidRDefault="00092D8F" w:rsidP="00092D8F">
      <w:pPr>
        <w:rPr>
          <w:rFonts w:eastAsia="SimSun" w:cs="v4.2.0"/>
        </w:rPr>
      </w:pPr>
      <w:r w:rsidRPr="005B4D4F">
        <w:rPr>
          <w:rFonts w:eastAsia="SimSun" w:cs="v4.2.0"/>
        </w:rPr>
        <w:t xml:space="preserve">The value of </w:t>
      </w:r>
      <w:r w:rsidRPr="005B4D4F">
        <w:rPr>
          <w:rFonts w:eastAsia="SimSun" w:cs="v4.2.0"/>
          <w:i/>
        </w:rPr>
        <w:t>N</w:t>
      </w:r>
      <w:r w:rsidRPr="005B4D4F">
        <w:rPr>
          <w:rFonts w:eastAsia="SimSun" w:cs="v4.2.0"/>
          <w:vertAlign w:val="subscript"/>
        </w:rPr>
        <w:t>TA-offset</w:t>
      </w:r>
      <w:r w:rsidRPr="005B4D4F">
        <w:rPr>
          <w:rFonts w:eastAsia="SimSun" w:cs="v4.2.0"/>
        </w:rPr>
        <w:t xml:space="preserve"> </w:t>
      </w:r>
      <w:r w:rsidRPr="005B4D4F">
        <w:rPr>
          <w:rFonts w:eastAsia="SimSun"/>
        </w:rPr>
        <w:t xml:space="preserve">depends on the duplex mode of the cell in which the uplink transmission takes place and the frequency range (FR). </w:t>
      </w:r>
      <w:r w:rsidRPr="005B4D4F">
        <w:rPr>
          <w:rFonts w:eastAsia="SimSun" w:cs="v4.2.0"/>
          <w:i/>
        </w:rPr>
        <w:t>N</w:t>
      </w:r>
      <w:r w:rsidRPr="005B4D4F">
        <w:rPr>
          <w:rFonts w:eastAsia="SimSun" w:cs="v4.2.0"/>
          <w:vertAlign w:val="subscript"/>
        </w:rPr>
        <w:t>TA-offset</w:t>
      </w:r>
      <w:r w:rsidRPr="005B4D4F">
        <w:rPr>
          <w:rFonts w:eastAsia="SimSun"/>
        </w:rPr>
        <w:t xml:space="preserve"> is defined in </w:t>
      </w:r>
      <w:r w:rsidRPr="005B4D4F">
        <w:rPr>
          <w:rFonts w:eastAsia="SimSun" w:cs="v4.2.0"/>
        </w:rPr>
        <w:t>Table 7.1.2-2.</w:t>
      </w:r>
    </w:p>
    <w:p w14:paraId="04AF4990" w14:textId="77777777" w:rsidR="00092D8F" w:rsidRPr="005B4D4F" w:rsidRDefault="00000000" w:rsidP="00092D8F">
      <w:pPr>
        <w:rPr>
          <w:rFonts w:eastAsia="SimSun" w:cs="v4.2.0"/>
        </w:rPr>
      </w:pPr>
      <m:oMath>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common</m:t>
            </m:r>
          </m:sup>
        </m:sSubSup>
      </m:oMath>
      <w:r w:rsidR="00092D8F">
        <w:rPr>
          <w:rFonts w:eastAsia="SimSun" w:cs="v4.2.0" w:hint="eastAsia"/>
          <w:lang w:eastAsia="zh-CN"/>
        </w:rPr>
        <w:t xml:space="preserve"> </w:t>
      </w:r>
      <w:r w:rsidR="00092D8F">
        <w:rPr>
          <w:rFonts w:eastAsia="SimSun" w:cs="v4.2.0"/>
          <w:lang w:eastAsia="zh-CN"/>
        </w:rPr>
        <w:t>a</w:t>
      </w:r>
      <w:r w:rsidR="00092D8F">
        <w:rPr>
          <w:rFonts w:eastAsia="SimSun" w:cs="v4.2.0" w:hint="eastAsia"/>
          <w:lang w:eastAsia="zh-CN"/>
        </w:rPr>
        <w:t>n</w:t>
      </w:r>
      <w:r w:rsidR="00092D8F">
        <w:rPr>
          <w:rFonts w:eastAsia="SimSun" w:cs="v4.2.0"/>
          <w:lang w:eastAsia="zh-CN"/>
        </w:rPr>
        <w:t xml:space="preserve">d </w:t>
      </w:r>
      <m:oMath>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UE</m:t>
            </m:r>
          </m:sup>
        </m:sSubSup>
      </m:oMath>
      <w:r w:rsidR="00092D8F">
        <w:rPr>
          <w:rFonts w:eastAsia="SimSun" w:cs="v4.2.0"/>
          <w:lang w:eastAsia="zh-CN"/>
        </w:rPr>
        <w:t xml:space="preserve"> are as defined in TS38.211 [6].</w:t>
      </w:r>
    </w:p>
    <w:p w14:paraId="4DC18FB8" w14:textId="14C5C3F9" w:rsidR="00C22E6F" w:rsidRPr="00B86EEA" w:rsidRDefault="00C22E6F" w:rsidP="00264D91">
      <w:pPr>
        <w:rPr>
          <w:rFonts w:eastAsia="SimSun"/>
          <w:lang w:eastAsia="zh-CN"/>
        </w:rPr>
      </w:pPr>
    </w:p>
    <w:p w14:paraId="5C0C9472" w14:textId="77777777" w:rsidR="00092D8F" w:rsidRPr="005B4D4F" w:rsidRDefault="00092D8F" w:rsidP="00081801">
      <w:pPr>
        <w:pStyle w:val="TH"/>
      </w:pPr>
      <w:r w:rsidRPr="005B4D4F">
        <w:t>Table 7.1C.2-1: T</w:t>
      </w:r>
      <w:r w:rsidRPr="005B4D4F">
        <w:rPr>
          <w:vertAlign w:val="subscript"/>
        </w:rPr>
        <w:t>e_NTN</w:t>
      </w:r>
      <w:r w:rsidRPr="005B4D4F">
        <w:t xml:space="preserve"> Timing Error Limit</w:t>
      </w:r>
    </w:p>
    <w:tbl>
      <w:tblPr>
        <w:tblW w:w="31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6"/>
        <w:gridCol w:w="1524"/>
        <w:gridCol w:w="1525"/>
        <w:gridCol w:w="1811"/>
      </w:tblGrid>
      <w:tr w:rsidR="00092D8F" w:rsidRPr="005B4D4F" w14:paraId="7A818A31" w14:textId="77777777" w:rsidTr="00053124">
        <w:trPr>
          <w:cantSplit/>
          <w:jc w:val="center"/>
        </w:trPr>
        <w:tc>
          <w:tcPr>
            <w:tcW w:w="1033" w:type="pct"/>
            <w:vAlign w:val="center"/>
          </w:tcPr>
          <w:p w14:paraId="69A7D02C" w14:textId="77777777" w:rsidR="00092D8F" w:rsidRPr="005B4D4F" w:rsidRDefault="00092D8F" w:rsidP="00081801">
            <w:pPr>
              <w:pStyle w:val="TAH"/>
              <w:rPr>
                <w:rFonts w:eastAsia="SimSun"/>
              </w:rPr>
            </w:pPr>
            <w:r w:rsidRPr="005B4D4F">
              <w:rPr>
                <w:rFonts w:eastAsia="SimSun"/>
              </w:rPr>
              <w:t>Frequency Range</w:t>
            </w:r>
          </w:p>
        </w:tc>
        <w:tc>
          <w:tcPr>
            <w:tcW w:w="1244" w:type="pct"/>
            <w:vAlign w:val="center"/>
          </w:tcPr>
          <w:p w14:paraId="65EA245D" w14:textId="77777777" w:rsidR="00092D8F" w:rsidRPr="005B4D4F" w:rsidRDefault="00092D8F" w:rsidP="00081801">
            <w:pPr>
              <w:pStyle w:val="TAH"/>
              <w:rPr>
                <w:rFonts w:eastAsia="SimSun"/>
              </w:rPr>
            </w:pPr>
            <w:r w:rsidRPr="005B4D4F">
              <w:rPr>
                <w:rFonts w:eastAsia="SimSun"/>
              </w:rPr>
              <w:t>SCS of SSB signals (kHz)</w:t>
            </w:r>
          </w:p>
        </w:tc>
        <w:tc>
          <w:tcPr>
            <w:tcW w:w="1245" w:type="pct"/>
            <w:vAlign w:val="center"/>
          </w:tcPr>
          <w:p w14:paraId="6281F1B4" w14:textId="77777777" w:rsidR="00092D8F" w:rsidRPr="005B4D4F" w:rsidRDefault="00092D8F" w:rsidP="00081801">
            <w:pPr>
              <w:pStyle w:val="TAH"/>
              <w:rPr>
                <w:rFonts w:eastAsia="SimSun"/>
              </w:rPr>
            </w:pPr>
            <w:r w:rsidRPr="005B4D4F">
              <w:rPr>
                <w:rFonts w:eastAsia="SimSun"/>
              </w:rPr>
              <w:t>SCS of uplink signals (kHz)</w:t>
            </w:r>
          </w:p>
        </w:tc>
        <w:tc>
          <w:tcPr>
            <w:tcW w:w="1478" w:type="pct"/>
            <w:vAlign w:val="center"/>
          </w:tcPr>
          <w:p w14:paraId="2E227224" w14:textId="77777777" w:rsidR="00092D8F" w:rsidRPr="005B4D4F" w:rsidRDefault="00092D8F" w:rsidP="00081801">
            <w:pPr>
              <w:pStyle w:val="TAH"/>
              <w:rPr>
                <w:rFonts w:eastAsia="SimSun"/>
              </w:rPr>
            </w:pPr>
            <w:r w:rsidRPr="005B4D4F">
              <w:rPr>
                <w:rFonts w:eastAsia="SimSun"/>
              </w:rPr>
              <w:t>T</w:t>
            </w:r>
            <w:r w:rsidRPr="005B4D4F">
              <w:rPr>
                <w:rFonts w:eastAsia="SimSun"/>
                <w:vertAlign w:val="subscript"/>
              </w:rPr>
              <w:t>e</w:t>
            </w:r>
            <w:r w:rsidRPr="005B4D4F">
              <w:rPr>
                <w:vertAlign w:val="subscript"/>
              </w:rPr>
              <w:t>_NTN</w:t>
            </w:r>
          </w:p>
        </w:tc>
      </w:tr>
      <w:tr w:rsidR="00092D8F" w:rsidRPr="005B4D4F" w14:paraId="0664C300" w14:textId="77777777" w:rsidTr="00053124">
        <w:trPr>
          <w:cantSplit/>
          <w:jc w:val="center"/>
        </w:trPr>
        <w:tc>
          <w:tcPr>
            <w:tcW w:w="1033" w:type="pct"/>
            <w:tcBorders>
              <w:bottom w:val="nil"/>
            </w:tcBorders>
            <w:vAlign w:val="center"/>
          </w:tcPr>
          <w:p w14:paraId="569F8611" w14:textId="77777777" w:rsidR="00092D8F" w:rsidRPr="005B4D4F" w:rsidRDefault="00092D8F" w:rsidP="00081801">
            <w:pPr>
              <w:pStyle w:val="TAC"/>
              <w:rPr>
                <w:rFonts w:eastAsia="SimSun"/>
              </w:rPr>
            </w:pPr>
            <w:r w:rsidRPr="005B4D4F">
              <w:rPr>
                <w:rFonts w:eastAsia="SimSun"/>
              </w:rPr>
              <w:t>1</w:t>
            </w:r>
          </w:p>
        </w:tc>
        <w:tc>
          <w:tcPr>
            <w:tcW w:w="1244" w:type="pct"/>
            <w:tcBorders>
              <w:bottom w:val="nil"/>
            </w:tcBorders>
            <w:vAlign w:val="center"/>
          </w:tcPr>
          <w:p w14:paraId="40E71537" w14:textId="77777777" w:rsidR="00092D8F" w:rsidRPr="005B4D4F" w:rsidRDefault="00092D8F" w:rsidP="00081801">
            <w:pPr>
              <w:pStyle w:val="TAC"/>
              <w:rPr>
                <w:rFonts w:eastAsia="SimSun"/>
              </w:rPr>
            </w:pPr>
            <w:r w:rsidRPr="005B4D4F">
              <w:rPr>
                <w:rFonts w:eastAsia="SimSun"/>
              </w:rPr>
              <w:t>15</w:t>
            </w:r>
          </w:p>
        </w:tc>
        <w:tc>
          <w:tcPr>
            <w:tcW w:w="1245" w:type="pct"/>
          </w:tcPr>
          <w:p w14:paraId="7C25AD0D" w14:textId="77777777" w:rsidR="00092D8F" w:rsidRPr="005B4D4F" w:rsidRDefault="00092D8F" w:rsidP="00081801">
            <w:pPr>
              <w:pStyle w:val="TAC"/>
              <w:rPr>
                <w:rFonts w:eastAsia="SimSun"/>
              </w:rPr>
            </w:pPr>
            <w:r w:rsidRPr="005B4D4F">
              <w:rPr>
                <w:rFonts w:eastAsia="SimSun"/>
              </w:rPr>
              <w:t>15</w:t>
            </w:r>
          </w:p>
        </w:tc>
        <w:tc>
          <w:tcPr>
            <w:tcW w:w="1478" w:type="pct"/>
          </w:tcPr>
          <w:p w14:paraId="4C6CD644" w14:textId="77777777" w:rsidR="00092D8F" w:rsidRPr="005B4D4F" w:rsidRDefault="00092D8F" w:rsidP="00081801">
            <w:pPr>
              <w:pStyle w:val="TAC"/>
              <w:rPr>
                <w:rFonts w:eastAsia="SimSun"/>
              </w:rPr>
            </w:pPr>
            <w:r w:rsidRPr="005B4D4F">
              <w:rPr>
                <w:rFonts w:eastAsia="SimSun"/>
              </w:rPr>
              <w:t>29*64*T</w:t>
            </w:r>
            <w:r w:rsidRPr="005B4D4F">
              <w:rPr>
                <w:rFonts w:eastAsia="SimSun"/>
                <w:vertAlign w:val="subscript"/>
              </w:rPr>
              <w:t>c</w:t>
            </w:r>
          </w:p>
        </w:tc>
      </w:tr>
      <w:tr w:rsidR="00092D8F" w:rsidRPr="005B4D4F" w14:paraId="77DA5A9C" w14:textId="77777777" w:rsidTr="00053124">
        <w:trPr>
          <w:cantSplit/>
          <w:jc w:val="center"/>
        </w:trPr>
        <w:tc>
          <w:tcPr>
            <w:tcW w:w="1033" w:type="pct"/>
            <w:tcBorders>
              <w:top w:val="nil"/>
              <w:bottom w:val="nil"/>
            </w:tcBorders>
            <w:vAlign w:val="center"/>
          </w:tcPr>
          <w:p w14:paraId="629997BC" w14:textId="77777777" w:rsidR="00092D8F" w:rsidRPr="005B4D4F" w:rsidRDefault="00092D8F" w:rsidP="00081801">
            <w:pPr>
              <w:pStyle w:val="TAC"/>
              <w:rPr>
                <w:rFonts w:eastAsia="SimSun"/>
              </w:rPr>
            </w:pPr>
          </w:p>
        </w:tc>
        <w:tc>
          <w:tcPr>
            <w:tcW w:w="1244" w:type="pct"/>
            <w:tcBorders>
              <w:top w:val="nil"/>
              <w:bottom w:val="nil"/>
            </w:tcBorders>
            <w:vAlign w:val="center"/>
          </w:tcPr>
          <w:p w14:paraId="395F051A" w14:textId="77777777" w:rsidR="00092D8F" w:rsidRPr="005B4D4F" w:rsidRDefault="00092D8F" w:rsidP="00081801">
            <w:pPr>
              <w:pStyle w:val="TAC"/>
              <w:rPr>
                <w:rFonts w:eastAsia="SimSun"/>
              </w:rPr>
            </w:pPr>
          </w:p>
        </w:tc>
        <w:tc>
          <w:tcPr>
            <w:tcW w:w="1245" w:type="pct"/>
          </w:tcPr>
          <w:p w14:paraId="0D538F50" w14:textId="77777777" w:rsidR="00092D8F" w:rsidRPr="005B4D4F" w:rsidRDefault="00092D8F" w:rsidP="00081801">
            <w:pPr>
              <w:pStyle w:val="TAC"/>
              <w:rPr>
                <w:rFonts w:eastAsia="SimSun"/>
              </w:rPr>
            </w:pPr>
            <w:r w:rsidRPr="005B4D4F">
              <w:rPr>
                <w:rFonts w:eastAsia="SimSun"/>
              </w:rPr>
              <w:t>30</w:t>
            </w:r>
          </w:p>
        </w:tc>
        <w:tc>
          <w:tcPr>
            <w:tcW w:w="1478" w:type="pct"/>
          </w:tcPr>
          <w:p w14:paraId="59ADB3DF" w14:textId="77777777" w:rsidR="00092D8F" w:rsidRPr="005B4D4F" w:rsidRDefault="00092D8F" w:rsidP="00081801">
            <w:pPr>
              <w:pStyle w:val="TAC"/>
              <w:rPr>
                <w:rFonts w:eastAsia="SimSun"/>
              </w:rPr>
            </w:pPr>
            <w:r w:rsidRPr="005B4D4F">
              <w:rPr>
                <w:rFonts w:eastAsia="SimSun"/>
              </w:rPr>
              <w:t>24*64*T</w:t>
            </w:r>
            <w:r w:rsidRPr="005B4D4F">
              <w:rPr>
                <w:rFonts w:eastAsia="SimSun"/>
                <w:vertAlign w:val="subscript"/>
              </w:rPr>
              <w:t>c</w:t>
            </w:r>
          </w:p>
        </w:tc>
      </w:tr>
      <w:tr w:rsidR="00092D8F" w:rsidRPr="005B4D4F" w14:paraId="445212AC" w14:textId="77777777" w:rsidTr="00053124">
        <w:trPr>
          <w:cantSplit/>
          <w:jc w:val="center"/>
        </w:trPr>
        <w:tc>
          <w:tcPr>
            <w:tcW w:w="1033" w:type="pct"/>
            <w:tcBorders>
              <w:top w:val="nil"/>
              <w:bottom w:val="nil"/>
            </w:tcBorders>
            <w:vAlign w:val="center"/>
          </w:tcPr>
          <w:p w14:paraId="0ED30265" w14:textId="77777777" w:rsidR="00092D8F" w:rsidRPr="005B4D4F" w:rsidRDefault="00092D8F" w:rsidP="00081801">
            <w:pPr>
              <w:pStyle w:val="TAC"/>
              <w:rPr>
                <w:rFonts w:eastAsia="SimSun"/>
              </w:rPr>
            </w:pPr>
          </w:p>
        </w:tc>
        <w:tc>
          <w:tcPr>
            <w:tcW w:w="1244" w:type="pct"/>
            <w:tcBorders>
              <w:top w:val="nil"/>
            </w:tcBorders>
            <w:vAlign w:val="center"/>
          </w:tcPr>
          <w:p w14:paraId="500F8993" w14:textId="77777777" w:rsidR="00092D8F" w:rsidRPr="005B4D4F" w:rsidRDefault="00092D8F" w:rsidP="00081801">
            <w:pPr>
              <w:pStyle w:val="TAC"/>
              <w:rPr>
                <w:rFonts w:eastAsia="SimSun"/>
              </w:rPr>
            </w:pPr>
          </w:p>
        </w:tc>
        <w:tc>
          <w:tcPr>
            <w:tcW w:w="1245" w:type="pct"/>
          </w:tcPr>
          <w:p w14:paraId="7F1D9EAC" w14:textId="77777777" w:rsidR="00092D8F" w:rsidRPr="005B4D4F" w:rsidRDefault="00092D8F" w:rsidP="00081801">
            <w:pPr>
              <w:pStyle w:val="TAC"/>
              <w:rPr>
                <w:rFonts w:eastAsia="SimSun"/>
              </w:rPr>
            </w:pPr>
            <w:r w:rsidRPr="005B4D4F">
              <w:rPr>
                <w:rFonts w:eastAsia="SimSun"/>
              </w:rPr>
              <w:t>60</w:t>
            </w:r>
          </w:p>
        </w:tc>
        <w:tc>
          <w:tcPr>
            <w:tcW w:w="1478" w:type="pct"/>
          </w:tcPr>
          <w:p w14:paraId="2E5D1742" w14:textId="77777777" w:rsidR="00092D8F" w:rsidRPr="005B4D4F" w:rsidRDefault="00092D8F" w:rsidP="00081801">
            <w:pPr>
              <w:pStyle w:val="TAC"/>
              <w:rPr>
                <w:rFonts w:eastAsia="SimSun"/>
              </w:rPr>
            </w:pPr>
            <w:r w:rsidRPr="005B4D4F">
              <w:rPr>
                <w:rFonts w:eastAsia="SimSun"/>
              </w:rPr>
              <w:t>N/A</w:t>
            </w:r>
          </w:p>
        </w:tc>
      </w:tr>
      <w:tr w:rsidR="00092D8F" w:rsidRPr="005B4D4F" w14:paraId="25E2FC2B" w14:textId="77777777" w:rsidTr="00053124">
        <w:trPr>
          <w:cantSplit/>
          <w:jc w:val="center"/>
        </w:trPr>
        <w:tc>
          <w:tcPr>
            <w:tcW w:w="1033" w:type="pct"/>
            <w:tcBorders>
              <w:top w:val="nil"/>
              <w:bottom w:val="nil"/>
            </w:tcBorders>
            <w:vAlign w:val="center"/>
          </w:tcPr>
          <w:p w14:paraId="1BA32634" w14:textId="77777777" w:rsidR="00092D8F" w:rsidRPr="005B4D4F" w:rsidRDefault="00092D8F" w:rsidP="00081801">
            <w:pPr>
              <w:pStyle w:val="TAC"/>
              <w:rPr>
                <w:rFonts w:eastAsia="SimSun"/>
              </w:rPr>
            </w:pPr>
          </w:p>
        </w:tc>
        <w:tc>
          <w:tcPr>
            <w:tcW w:w="1244" w:type="pct"/>
            <w:tcBorders>
              <w:bottom w:val="nil"/>
            </w:tcBorders>
            <w:vAlign w:val="center"/>
          </w:tcPr>
          <w:p w14:paraId="5CFD6AF0" w14:textId="77777777" w:rsidR="00092D8F" w:rsidRPr="005B4D4F" w:rsidRDefault="00092D8F" w:rsidP="00081801">
            <w:pPr>
              <w:pStyle w:val="TAC"/>
              <w:rPr>
                <w:rFonts w:eastAsia="SimSun"/>
              </w:rPr>
            </w:pPr>
            <w:r w:rsidRPr="005B4D4F">
              <w:rPr>
                <w:rFonts w:eastAsia="SimSun"/>
              </w:rPr>
              <w:t>30</w:t>
            </w:r>
          </w:p>
        </w:tc>
        <w:tc>
          <w:tcPr>
            <w:tcW w:w="1245" w:type="pct"/>
          </w:tcPr>
          <w:p w14:paraId="00FC4F0F" w14:textId="77777777" w:rsidR="00092D8F" w:rsidRPr="005B4D4F" w:rsidRDefault="00092D8F" w:rsidP="00081801">
            <w:pPr>
              <w:pStyle w:val="TAC"/>
              <w:rPr>
                <w:rFonts w:eastAsia="SimSun"/>
              </w:rPr>
            </w:pPr>
            <w:r w:rsidRPr="005B4D4F">
              <w:rPr>
                <w:rFonts w:eastAsia="SimSun"/>
              </w:rPr>
              <w:t>15</w:t>
            </w:r>
          </w:p>
        </w:tc>
        <w:tc>
          <w:tcPr>
            <w:tcW w:w="1478" w:type="pct"/>
          </w:tcPr>
          <w:p w14:paraId="6A71AC11" w14:textId="77777777" w:rsidR="00092D8F" w:rsidRPr="005B4D4F" w:rsidRDefault="00092D8F" w:rsidP="00081801">
            <w:pPr>
              <w:pStyle w:val="TAC"/>
              <w:rPr>
                <w:rFonts w:eastAsia="SimSun"/>
              </w:rPr>
            </w:pPr>
            <w:r w:rsidRPr="005B4D4F">
              <w:rPr>
                <w:rFonts w:eastAsia="SimSun"/>
              </w:rPr>
              <w:t>24*64*T</w:t>
            </w:r>
            <w:r w:rsidRPr="005B4D4F">
              <w:rPr>
                <w:rFonts w:eastAsia="SimSun"/>
                <w:vertAlign w:val="subscript"/>
              </w:rPr>
              <w:t>c</w:t>
            </w:r>
          </w:p>
        </w:tc>
      </w:tr>
      <w:tr w:rsidR="00092D8F" w:rsidRPr="005B4D4F" w14:paraId="5AA41083" w14:textId="77777777" w:rsidTr="00053124">
        <w:trPr>
          <w:cantSplit/>
          <w:jc w:val="center"/>
        </w:trPr>
        <w:tc>
          <w:tcPr>
            <w:tcW w:w="1033" w:type="pct"/>
            <w:tcBorders>
              <w:top w:val="nil"/>
              <w:bottom w:val="nil"/>
            </w:tcBorders>
            <w:vAlign w:val="center"/>
          </w:tcPr>
          <w:p w14:paraId="0FF0C375" w14:textId="77777777" w:rsidR="00092D8F" w:rsidRPr="005B4D4F" w:rsidRDefault="00092D8F" w:rsidP="00081801">
            <w:pPr>
              <w:pStyle w:val="TAC"/>
              <w:rPr>
                <w:rFonts w:eastAsia="SimSun"/>
              </w:rPr>
            </w:pPr>
          </w:p>
        </w:tc>
        <w:tc>
          <w:tcPr>
            <w:tcW w:w="1244" w:type="pct"/>
            <w:tcBorders>
              <w:top w:val="nil"/>
              <w:bottom w:val="nil"/>
            </w:tcBorders>
            <w:vAlign w:val="center"/>
          </w:tcPr>
          <w:p w14:paraId="22871E12" w14:textId="77777777" w:rsidR="00092D8F" w:rsidRPr="005B4D4F" w:rsidRDefault="00092D8F" w:rsidP="00081801">
            <w:pPr>
              <w:pStyle w:val="TAC"/>
              <w:rPr>
                <w:rFonts w:eastAsia="SimSun"/>
              </w:rPr>
            </w:pPr>
          </w:p>
        </w:tc>
        <w:tc>
          <w:tcPr>
            <w:tcW w:w="1245" w:type="pct"/>
          </w:tcPr>
          <w:p w14:paraId="349965B7" w14:textId="77777777" w:rsidR="00092D8F" w:rsidRPr="005B4D4F" w:rsidRDefault="00092D8F" w:rsidP="00081801">
            <w:pPr>
              <w:pStyle w:val="TAC"/>
              <w:rPr>
                <w:rFonts w:eastAsia="SimSun"/>
              </w:rPr>
            </w:pPr>
            <w:r w:rsidRPr="005B4D4F">
              <w:rPr>
                <w:rFonts w:eastAsia="SimSun"/>
              </w:rPr>
              <w:t>30</w:t>
            </w:r>
          </w:p>
        </w:tc>
        <w:tc>
          <w:tcPr>
            <w:tcW w:w="1478" w:type="pct"/>
          </w:tcPr>
          <w:p w14:paraId="7BDFFAC3" w14:textId="77777777" w:rsidR="00092D8F" w:rsidRPr="005B4D4F" w:rsidRDefault="00092D8F" w:rsidP="00081801">
            <w:pPr>
              <w:pStyle w:val="TAC"/>
              <w:rPr>
                <w:rFonts w:eastAsia="SimSun"/>
              </w:rPr>
            </w:pPr>
            <w:r w:rsidRPr="005B4D4F">
              <w:rPr>
                <w:rFonts w:eastAsia="SimSun"/>
              </w:rPr>
              <w:t>22*64*T</w:t>
            </w:r>
            <w:r w:rsidRPr="005B4D4F">
              <w:rPr>
                <w:rFonts w:eastAsia="SimSun"/>
                <w:vertAlign w:val="subscript"/>
              </w:rPr>
              <w:t>c</w:t>
            </w:r>
          </w:p>
        </w:tc>
      </w:tr>
      <w:tr w:rsidR="00092D8F" w:rsidRPr="005B4D4F" w14:paraId="30F96D5D" w14:textId="77777777" w:rsidTr="00053124">
        <w:trPr>
          <w:cantSplit/>
          <w:jc w:val="center"/>
        </w:trPr>
        <w:tc>
          <w:tcPr>
            <w:tcW w:w="1033" w:type="pct"/>
            <w:tcBorders>
              <w:top w:val="nil"/>
              <w:bottom w:val="single" w:sz="4" w:space="0" w:color="auto"/>
            </w:tcBorders>
            <w:vAlign w:val="center"/>
          </w:tcPr>
          <w:p w14:paraId="631A4D3A" w14:textId="77777777" w:rsidR="00092D8F" w:rsidRPr="005B4D4F" w:rsidRDefault="00092D8F" w:rsidP="00081801">
            <w:pPr>
              <w:pStyle w:val="TAC"/>
              <w:rPr>
                <w:rFonts w:eastAsia="SimSun"/>
              </w:rPr>
            </w:pPr>
          </w:p>
        </w:tc>
        <w:tc>
          <w:tcPr>
            <w:tcW w:w="1244" w:type="pct"/>
            <w:tcBorders>
              <w:top w:val="nil"/>
              <w:bottom w:val="single" w:sz="4" w:space="0" w:color="auto"/>
            </w:tcBorders>
            <w:vAlign w:val="center"/>
          </w:tcPr>
          <w:p w14:paraId="03118988" w14:textId="77777777" w:rsidR="00092D8F" w:rsidRPr="005B4D4F" w:rsidRDefault="00092D8F" w:rsidP="00081801">
            <w:pPr>
              <w:pStyle w:val="TAC"/>
              <w:rPr>
                <w:rFonts w:eastAsia="SimSun"/>
              </w:rPr>
            </w:pPr>
          </w:p>
        </w:tc>
        <w:tc>
          <w:tcPr>
            <w:tcW w:w="1245" w:type="pct"/>
          </w:tcPr>
          <w:p w14:paraId="52D5E99E" w14:textId="77777777" w:rsidR="00092D8F" w:rsidRPr="005B4D4F" w:rsidRDefault="00092D8F" w:rsidP="00081801">
            <w:pPr>
              <w:pStyle w:val="TAC"/>
              <w:rPr>
                <w:rFonts w:eastAsia="SimSun"/>
              </w:rPr>
            </w:pPr>
            <w:r w:rsidRPr="005B4D4F">
              <w:rPr>
                <w:rFonts w:eastAsia="SimSun"/>
              </w:rPr>
              <w:t>60</w:t>
            </w:r>
          </w:p>
        </w:tc>
        <w:tc>
          <w:tcPr>
            <w:tcW w:w="1478" w:type="pct"/>
          </w:tcPr>
          <w:p w14:paraId="7370299D" w14:textId="77777777" w:rsidR="00092D8F" w:rsidRPr="005B4D4F" w:rsidRDefault="00092D8F" w:rsidP="00081801">
            <w:pPr>
              <w:pStyle w:val="TAC"/>
              <w:rPr>
                <w:rFonts w:eastAsia="SimSun"/>
              </w:rPr>
            </w:pPr>
            <w:r w:rsidRPr="005B4D4F">
              <w:rPr>
                <w:rFonts w:eastAsia="SimSun"/>
              </w:rPr>
              <w:t>N/A</w:t>
            </w:r>
          </w:p>
        </w:tc>
      </w:tr>
      <w:tr w:rsidR="00092D8F" w:rsidRPr="005B4D4F" w14:paraId="573C85DE" w14:textId="77777777" w:rsidTr="00053124">
        <w:trPr>
          <w:cantSplit/>
          <w:jc w:val="center"/>
        </w:trPr>
        <w:tc>
          <w:tcPr>
            <w:tcW w:w="5000" w:type="pct"/>
            <w:gridSpan w:val="4"/>
          </w:tcPr>
          <w:p w14:paraId="6BE5500A" w14:textId="77777777" w:rsidR="00092D8F" w:rsidRPr="005B4D4F" w:rsidRDefault="00092D8F" w:rsidP="00081801">
            <w:pPr>
              <w:pStyle w:val="TAN"/>
              <w:rPr>
                <w:rFonts w:eastAsia="SimSun"/>
              </w:rPr>
            </w:pPr>
            <w:r w:rsidRPr="005B4D4F">
              <w:rPr>
                <w:rFonts w:eastAsia="SimSun" w:cs="Arial"/>
              </w:rPr>
              <w:t>Note</w:t>
            </w:r>
            <w:r w:rsidRPr="005B4D4F">
              <w:rPr>
                <w:rFonts w:eastAsia="SimSun"/>
              </w:rPr>
              <w:t xml:space="preserve"> 1:</w:t>
            </w:r>
            <w:r w:rsidRPr="005B4D4F">
              <w:rPr>
                <w:rFonts w:eastAsia="SimSun"/>
              </w:rPr>
              <w:tab/>
              <w:t>T</w:t>
            </w:r>
            <w:r w:rsidRPr="005B4D4F">
              <w:rPr>
                <w:rFonts w:eastAsia="SimSun"/>
                <w:vertAlign w:val="subscript"/>
              </w:rPr>
              <w:t>c</w:t>
            </w:r>
            <w:r w:rsidRPr="005B4D4F">
              <w:rPr>
                <w:rFonts w:eastAsia="SimSun"/>
              </w:rPr>
              <w:t xml:space="preserve"> is the basic timing unit defined in TS 38.211 [6]</w:t>
            </w:r>
          </w:p>
        </w:tc>
      </w:tr>
    </w:tbl>
    <w:p w14:paraId="47E887C4" w14:textId="77777777" w:rsidR="00092D8F" w:rsidRPr="005B4D4F" w:rsidRDefault="00092D8F" w:rsidP="00092D8F">
      <w:pPr>
        <w:rPr>
          <w:rFonts w:eastAsia="SimSun"/>
          <w:snapToGrid w:val="0"/>
        </w:rPr>
      </w:pPr>
    </w:p>
    <w:p w14:paraId="4853ACA9" w14:textId="750D5285" w:rsidR="00C22E6F" w:rsidRPr="00C43797" w:rsidRDefault="00092D8F" w:rsidP="00C22E6F">
      <w:pPr>
        <w:rPr>
          <w:rFonts w:eastAsia="SimSun" w:cs="v4.2.0"/>
        </w:rPr>
      </w:pPr>
      <w:r w:rsidRPr="005B4D4F">
        <w:rPr>
          <w:rFonts w:eastAsia="SimSun"/>
          <w:lang w:eastAsia="ko-KR"/>
        </w:rPr>
        <w:t xml:space="preserve">When it is not the first transmission in a DRX </w:t>
      </w:r>
      <w:r w:rsidRPr="005B4D4F">
        <w:rPr>
          <w:rFonts w:eastAsia="SimSun"/>
          <w:lang w:eastAsia="zh-CN"/>
        </w:rPr>
        <w:t xml:space="preserve">cycle </w:t>
      </w:r>
      <w:r w:rsidRPr="005B4D4F">
        <w:rPr>
          <w:rFonts w:eastAsia="SimSun"/>
          <w:lang w:eastAsia="ko-KR"/>
        </w:rPr>
        <w:t>or there is no DRX</w:t>
      </w:r>
      <w:r w:rsidRPr="005B4D4F">
        <w:rPr>
          <w:rFonts w:eastAsia="SimSun"/>
          <w:lang w:eastAsia="zh-CN"/>
        </w:rPr>
        <w:t xml:space="preserve"> cycle</w:t>
      </w:r>
      <w:r w:rsidRPr="005B4D4F">
        <w:rPr>
          <w:rFonts w:eastAsia="SimSun"/>
          <w:lang w:eastAsia="ko-KR"/>
        </w:rPr>
        <w:t xml:space="preserve">, and when it is the transmission for PUCCH, PUSCH and SRS transmission, </w:t>
      </w:r>
      <w:r w:rsidRPr="005B4D4F">
        <w:rPr>
          <w:rFonts w:eastAsia="SimSun" w:cs="v4.2.0"/>
        </w:rPr>
        <w:t>the UE shall be capable of changing the transmission timing according to the received downlink frame of the reference cell</w:t>
      </w:r>
      <w:r w:rsidRPr="005B4D4F">
        <w:rPr>
          <w:rFonts w:eastAsia="SimSun"/>
        </w:rPr>
        <w:t xml:space="preserve">, the updating of </w:t>
      </w:r>
      <m:oMath>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common</m:t>
            </m:r>
          </m:sup>
        </m:sSubSup>
      </m:oMath>
      <w:r w:rsidRPr="005B4D4F">
        <w:rPr>
          <w:rFonts w:eastAsia="SimSun"/>
        </w:rPr>
        <w:t xml:space="preserve"> and the updating of </w:t>
      </w:r>
      <m:oMath>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UE</m:t>
            </m:r>
          </m:sup>
        </m:sSubSup>
      </m:oMath>
      <w:r w:rsidRPr="005B4D4F">
        <w:rPr>
          <w:rFonts w:eastAsia="SimSun"/>
        </w:rPr>
        <w:t xml:space="preserve">, </w:t>
      </w:r>
      <w:r w:rsidRPr="005B4D4F">
        <w:rPr>
          <w:rFonts w:eastAsia="SimSun"/>
          <w:lang w:eastAsia="ko-KR"/>
        </w:rPr>
        <w:t>except when the timing advance in clause 7.3C is applied.</w:t>
      </w:r>
    </w:p>
    <w:p w14:paraId="4D13A629" w14:textId="77777777" w:rsidR="00C22E6F" w:rsidRPr="00C43797" w:rsidRDefault="00C22E6F" w:rsidP="00C22E6F">
      <w:pPr>
        <w:pStyle w:val="Heading4"/>
        <w:rPr>
          <w:noProof/>
          <w:lang w:eastAsia="zh-CN"/>
        </w:rPr>
      </w:pPr>
      <w:r w:rsidRPr="00C43797">
        <w:t>7.1</w:t>
      </w:r>
      <w:r>
        <w:t>C</w:t>
      </w:r>
      <w:r w:rsidRPr="00C43797">
        <w:t>.2.1</w:t>
      </w:r>
      <w:r w:rsidRPr="00C43797">
        <w:tab/>
        <w:t>Gradual timing adjustment</w:t>
      </w:r>
    </w:p>
    <w:p w14:paraId="1AB8BA54" w14:textId="5B6247B8" w:rsidR="00092D8F" w:rsidRPr="005B4D4F" w:rsidRDefault="00B1007D" w:rsidP="00092D8F">
      <w:pPr>
        <w:rPr>
          <w:rFonts w:eastAsia="SimSun" w:cs="v4.2.0"/>
          <w:lang w:eastAsia="zh-CN"/>
        </w:rPr>
      </w:pPr>
      <w:r w:rsidRPr="00C43797">
        <w:rPr>
          <w:rFonts w:eastAsia="SimSun" w:cs="v4.2.0"/>
        </w:rPr>
        <w:t xml:space="preserve">When the transmission timing error between the UE and the reference </w:t>
      </w:r>
      <w:r w:rsidRPr="00C43797">
        <w:rPr>
          <w:rFonts w:eastAsia="SimSun" w:cs="v4.2.0"/>
          <w:lang w:eastAsia="ja-JP"/>
        </w:rPr>
        <w:t>timing</w:t>
      </w:r>
      <w:r w:rsidRPr="00C43797">
        <w:rPr>
          <w:rFonts w:eastAsia="SimSun" w:cs="v4.2.0"/>
        </w:rPr>
        <w:t xml:space="preserve"> exceeds </w:t>
      </w:r>
      <w:r w:rsidRPr="00C43797">
        <w:rPr>
          <w:rFonts w:eastAsia="SimSun" w:cs="v4.2.0"/>
        </w:rPr>
        <w:sym w:font="Symbol" w:char="F0B1"/>
      </w:r>
      <w:r w:rsidRPr="00C43797">
        <w:rPr>
          <w:rFonts w:eastAsia="SimSun" w:cs="v4.2.0"/>
        </w:rPr>
        <w:t>T</w:t>
      </w:r>
      <w:r w:rsidRPr="00C43797">
        <w:rPr>
          <w:rFonts w:eastAsia="SimSun" w:cs="v4.2.0"/>
          <w:vertAlign w:val="subscript"/>
        </w:rPr>
        <w:t>e_NTN</w:t>
      </w:r>
      <w:r w:rsidRPr="00C43797">
        <w:rPr>
          <w:rFonts w:eastAsia="SimSun" w:cs="v4.2.0"/>
        </w:rPr>
        <w:t xml:space="preserve"> then the UE is required to</w:t>
      </w:r>
      <w:r>
        <w:rPr>
          <w:rFonts w:eastAsia="SimSun" w:cs="v4.2.0" w:hint="eastAsia"/>
          <w:lang w:eastAsia="zh-CN"/>
        </w:rPr>
        <w:t xml:space="preserve"> </w:t>
      </w:r>
      <w:r w:rsidRPr="005B4D4F">
        <w:rPr>
          <w:rFonts w:eastAsia="SimSun" w:cs="v4.2.0"/>
        </w:rPr>
        <w:t xml:space="preserve">adjust its timing to within </w:t>
      </w:r>
      <w:r w:rsidRPr="005B4D4F">
        <w:rPr>
          <w:rFonts w:eastAsia="SimSun" w:cs="v4.2.0"/>
        </w:rPr>
        <w:sym w:font="Symbol" w:char="F0B1"/>
      </w:r>
      <w:r w:rsidRPr="005B4D4F">
        <w:rPr>
          <w:rFonts w:eastAsia="SimSun" w:cs="v4.2.0"/>
        </w:rPr>
        <w:t>T</w:t>
      </w:r>
      <w:r w:rsidRPr="005B4D4F">
        <w:rPr>
          <w:rFonts w:eastAsia="SimSun" w:cs="v4.2.0"/>
          <w:vertAlign w:val="subscript"/>
        </w:rPr>
        <w:t>e_NTN</w:t>
      </w:r>
      <w:r w:rsidRPr="005B4D4F">
        <w:rPr>
          <w:rFonts w:eastAsia="SimSun"/>
        </w:rPr>
        <w:t>.</w:t>
      </w:r>
      <w:r w:rsidRPr="005B4D4F">
        <w:rPr>
          <w:rFonts w:eastAsia="SimSun"/>
          <w:lang w:eastAsia="ja-JP"/>
        </w:rPr>
        <w:t xml:space="preserve"> </w:t>
      </w:r>
      <w:r w:rsidRPr="005B4D4F">
        <w:rPr>
          <w:rFonts w:eastAsia="SimSun" w:cs="v4.2.0"/>
        </w:rPr>
        <w:t xml:space="preserve">The reference </w:t>
      </w:r>
      <w:r w:rsidRPr="005B4D4F">
        <w:rPr>
          <w:rFonts w:eastAsia="SimSun" w:cs="v4.2.0"/>
          <w:lang w:eastAsia="ja-JP"/>
        </w:rPr>
        <w:t>timing</w:t>
      </w:r>
      <w:r w:rsidRPr="005B4D4F">
        <w:rPr>
          <w:rFonts w:eastAsia="SimSun" w:cs="v4.2.0"/>
        </w:rPr>
        <w:t xml:space="preserve"> shall be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lang w:val="en-US"/>
                  </w:rPr>
                  <m:t>TA</m:t>
                </m:r>
              </m:sub>
            </m:sSub>
            <m:r>
              <w:rPr>
                <w:rFonts w:ascii="Cambria Math" w:hAnsi="Cambria Math"/>
                <w:lang w:val="en-US"/>
              </w:rPr>
              <m:t>+</m:t>
            </m:r>
            <m:sSub>
              <m:sSubPr>
                <m:ctrlPr>
                  <w:rPr>
                    <w:rFonts w:ascii="Cambria Math" w:hAnsi="Cambria Math"/>
                    <w:i/>
                  </w:rPr>
                </m:ctrlPr>
              </m:sSubPr>
              <m:e>
                <m:r>
                  <w:rPr>
                    <w:rFonts w:ascii="Cambria Math" w:hAnsi="Cambria Math"/>
                  </w:rPr>
                  <m:t>N</m:t>
                </m:r>
              </m:e>
              <m:sub>
                <m:r>
                  <m:rPr>
                    <m:nor/>
                  </m:rPr>
                  <w:rPr>
                    <w:rFonts w:ascii="Cambria Math" w:hAnsi="Cambria Math"/>
                    <w:lang w:val="en-US"/>
                  </w:rPr>
                  <m:t>TA-offset</m:t>
                </m:r>
              </m:sub>
            </m:sSub>
            <m:r>
              <w:rPr>
                <w:rFonts w:ascii="Cambria Math" w:hAnsi="Cambria Math"/>
                <w:lang w:val="en-US"/>
              </w:rPr>
              <m:t>+</m:t>
            </m:r>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common</m:t>
                </m:r>
              </m:sup>
            </m:sSubSup>
            <m:r>
              <w:rPr>
                <w:rFonts w:ascii="Cambria Math" w:hAnsi="Cambria Math"/>
                <w:lang w:val="en-US"/>
              </w:rPr>
              <m:t>+</m:t>
            </m:r>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UE</m:t>
                </m:r>
              </m:sup>
            </m:sSubSup>
          </m:e>
        </m:d>
        <m:r>
          <w:rPr>
            <w:rFonts w:ascii="Cambria Math" w:hAnsi="Cambria Math"/>
            <w:lang w:eastAsia="ko-KR"/>
          </w:rPr>
          <m:t>×</m:t>
        </m:r>
        <m:sSub>
          <m:sSubPr>
            <m:ctrlPr>
              <w:rPr>
                <w:rFonts w:ascii="Cambria Math" w:hAnsi="Cambria Math"/>
                <w:i/>
              </w:rPr>
            </m:ctrlPr>
          </m:sSubPr>
          <m:e>
            <m:r>
              <w:rPr>
                <w:rFonts w:ascii="Cambria Math" w:hAnsi="Cambria Math"/>
              </w:rPr>
              <m:t>T</m:t>
            </m:r>
          </m:e>
          <m:sub>
            <m:r>
              <m:rPr>
                <m:nor/>
              </m:rPr>
              <w:rPr>
                <w:rFonts w:ascii="Cambria Math" w:hAnsi="Cambria Math"/>
                <w:lang w:val="en-US"/>
              </w:rPr>
              <m:t>c</m:t>
            </m:r>
          </m:sub>
        </m:sSub>
      </m:oMath>
      <w:r w:rsidRPr="005B4D4F">
        <w:rPr>
          <w:rFonts w:eastAsia="SimSun"/>
        </w:rPr>
        <w:t xml:space="preserve"> </w:t>
      </w:r>
      <w:r w:rsidRPr="005B4D4F">
        <w:rPr>
          <w:rFonts w:eastAsia="SimSun" w:cs="v4.2.0"/>
          <w:lang w:eastAsia="ja-JP"/>
        </w:rPr>
        <w:t xml:space="preserve">before </w:t>
      </w:r>
      <w:r w:rsidRPr="005B4D4F">
        <w:rPr>
          <w:rFonts w:eastAsia="SimSun" w:cs="v4.2.0"/>
        </w:rPr>
        <w:t>the d</w:t>
      </w:r>
      <w:r w:rsidRPr="005B4D4F">
        <w:rPr>
          <w:rFonts w:eastAsia="SimSun" w:cs="v4.2.0"/>
          <w:lang w:eastAsia="ja-JP"/>
        </w:rPr>
        <w:t>ownlink timing of the reference cell.</w:t>
      </w:r>
      <w:r w:rsidRPr="005B4D4F" w:rsidDel="00C02601">
        <w:rPr>
          <w:rFonts w:eastAsia="SimSun" w:cs="v4.2.0"/>
          <w:lang w:eastAsia="ja-JP"/>
        </w:rPr>
        <w:t xml:space="preserve"> </w:t>
      </w:r>
      <w:r w:rsidRPr="005B4D4F">
        <w:rPr>
          <w:rFonts w:eastAsia="SimSun" w:cs="v4.2.0"/>
        </w:rPr>
        <w:t>All adjustments made to the UE uplink timing shall follow these rules:</w:t>
      </w:r>
    </w:p>
    <w:p w14:paraId="3BD0E68F" w14:textId="19053764" w:rsidR="00092D8F" w:rsidRPr="005B4D4F" w:rsidRDefault="00092D8F" w:rsidP="00092D8F">
      <w:pPr>
        <w:ind w:left="568" w:hanging="284"/>
      </w:pPr>
      <w:r w:rsidRPr="005B4D4F">
        <w:t>1)</w:t>
      </w:r>
      <w:r w:rsidRPr="005B4D4F">
        <w:tab/>
        <w:t>The maximum amount of the magnitude of the timing change</w:t>
      </w:r>
      <w:r w:rsidRPr="005B4D4F">
        <w:rPr>
          <w:rFonts w:hint="eastAsia"/>
          <w:lang w:eastAsia="zh-CN"/>
        </w:rPr>
        <w:t>,</w:t>
      </w:r>
      <w:r w:rsidRPr="005B4D4F">
        <w:rPr>
          <w:lang w:eastAsia="zh-CN"/>
        </w:rPr>
        <w:t xml:space="preserve"> apart from a change of </w:t>
      </w:r>
      <m:oMath>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UE</m:t>
            </m:r>
          </m:sup>
        </m:sSubSup>
      </m:oMath>
      <w:r w:rsidRPr="005B4D4F">
        <w:rPr>
          <w:lang w:eastAsia="zh-CN"/>
        </w:rPr>
        <w:t xml:space="preserve"> due to satellite position update and </w:t>
      </w:r>
      <m:oMath>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common</m:t>
            </m:r>
          </m:sup>
        </m:sSubSup>
      </m:oMath>
      <w:r w:rsidRPr="005B4D4F">
        <w:rPr>
          <w:lang w:eastAsia="zh-CN"/>
        </w:rPr>
        <w:t xml:space="preserve"> between the previous transmission and the current transmission,</w:t>
      </w:r>
      <w:r w:rsidRPr="005B4D4F">
        <w:t xml:space="preserve"> in one adjustment shall be </w:t>
      </w:r>
      <w:r w:rsidRPr="005B4D4F">
        <w:rPr>
          <w:rFonts w:cs="v4.2.0"/>
        </w:rPr>
        <w:t>T</w:t>
      </w:r>
      <w:r w:rsidRPr="005B4D4F">
        <w:rPr>
          <w:rFonts w:cs="v4.2.0"/>
          <w:vertAlign w:val="subscript"/>
        </w:rPr>
        <w:t>q_NTN</w:t>
      </w:r>
      <w:r w:rsidRPr="005B4D4F">
        <w:t>.</w:t>
      </w:r>
    </w:p>
    <w:p w14:paraId="5829BEB6" w14:textId="03B0673F" w:rsidR="00092D8F" w:rsidRPr="005B4D4F" w:rsidRDefault="00092D8F" w:rsidP="00092D8F">
      <w:pPr>
        <w:ind w:left="568" w:hanging="284"/>
      </w:pPr>
      <w:r w:rsidRPr="005B4D4F">
        <w:t>2)</w:t>
      </w:r>
      <w:r w:rsidRPr="005B4D4F">
        <w:tab/>
        <w:t xml:space="preserve">The minimum aggregate adjustment rate, </w:t>
      </w:r>
      <w:r w:rsidRPr="005B4D4F">
        <w:rPr>
          <w:lang w:eastAsia="zh-CN"/>
        </w:rPr>
        <w:t xml:space="preserve">apart from a change of </w:t>
      </w:r>
      <m:oMath>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UE</m:t>
            </m:r>
          </m:sup>
        </m:sSubSup>
      </m:oMath>
      <w:r w:rsidRPr="005B4D4F">
        <w:rPr>
          <w:lang w:eastAsia="zh-CN"/>
        </w:rPr>
        <w:t xml:space="preserve"> due to satellite position update and </w:t>
      </w:r>
      <m:oMath>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common</m:t>
            </m:r>
          </m:sup>
        </m:sSubSup>
      </m:oMath>
      <w:r w:rsidRPr="005B4D4F">
        <w:rPr>
          <w:lang w:eastAsia="zh-CN"/>
        </w:rPr>
        <w:t xml:space="preserve"> during the last one second,</w:t>
      </w:r>
      <w:r w:rsidRPr="005B4D4F">
        <w:t xml:space="preserve"> shall be </w:t>
      </w:r>
      <w:r w:rsidRPr="005B4D4F">
        <w:rPr>
          <w:rFonts w:cs="v4.2.0"/>
        </w:rPr>
        <w:t>T</w:t>
      </w:r>
      <w:r w:rsidRPr="005B4D4F">
        <w:rPr>
          <w:rFonts w:cs="v4.2.0"/>
          <w:vertAlign w:val="subscript"/>
          <w:lang w:eastAsia="zh-CN"/>
        </w:rPr>
        <w:t>p_NTN</w:t>
      </w:r>
      <w:r w:rsidRPr="005B4D4F" w:rsidDel="00053109">
        <w:t xml:space="preserve"> </w:t>
      </w:r>
      <w:r w:rsidRPr="005B4D4F">
        <w:t>per second.</w:t>
      </w:r>
    </w:p>
    <w:p w14:paraId="54861FE3" w14:textId="7EC7EABC" w:rsidR="00092D8F" w:rsidRPr="005B4D4F" w:rsidRDefault="00092D8F" w:rsidP="00092D8F">
      <w:pPr>
        <w:ind w:left="568" w:hanging="284"/>
        <w:rPr>
          <w:rFonts w:cs="v4.2.0"/>
        </w:rPr>
      </w:pPr>
      <w:r w:rsidRPr="005B4D4F">
        <w:rPr>
          <w:rFonts w:cs="v4.2.0"/>
        </w:rPr>
        <w:t>3)</w:t>
      </w:r>
      <w:r w:rsidRPr="005B4D4F">
        <w:rPr>
          <w:rFonts w:cs="v4.2.0"/>
        </w:rPr>
        <w:tab/>
        <w:t>The maximum aggregate adjustment rate,</w:t>
      </w:r>
      <w:r w:rsidRPr="005B4D4F">
        <w:t xml:space="preserve"> </w:t>
      </w:r>
      <w:r w:rsidRPr="005B4D4F">
        <w:rPr>
          <w:lang w:eastAsia="zh-CN"/>
        </w:rPr>
        <w:t xml:space="preserve">apart from a change of </w:t>
      </w:r>
      <m:oMath>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UE</m:t>
            </m:r>
          </m:sup>
        </m:sSubSup>
      </m:oMath>
      <w:r w:rsidRPr="005B4D4F">
        <w:rPr>
          <w:lang w:eastAsia="zh-CN"/>
        </w:rPr>
        <w:t xml:space="preserve"> due to satellite position update and </w:t>
      </w:r>
      <m:oMath>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common</m:t>
            </m:r>
          </m:sup>
        </m:sSubSup>
      </m:oMath>
      <w:r w:rsidRPr="005B4D4F">
        <w:rPr>
          <w:lang w:eastAsia="zh-CN"/>
        </w:rPr>
        <w:t xml:space="preserve"> during the last 200ms, </w:t>
      </w:r>
      <w:r w:rsidRPr="005B4D4F">
        <w:rPr>
          <w:rFonts w:cs="v4.2.0"/>
        </w:rPr>
        <w:t>shall be T</w:t>
      </w:r>
      <w:r w:rsidRPr="005B4D4F">
        <w:rPr>
          <w:rFonts w:cs="v4.2.0"/>
          <w:vertAlign w:val="subscript"/>
        </w:rPr>
        <w:t>q_NTN</w:t>
      </w:r>
      <w:r w:rsidRPr="005B4D4F">
        <w:rPr>
          <w:rFonts w:cs="v4.2.0"/>
        </w:rPr>
        <w:t xml:space="preserve"> per 200 ms.</w:t>
      </w:r>
    </w:p>
    <w:p w14:paraId="38822427" w14:textId="77777777" w:rsidR="00092D8F" w:rsidRPr="005B4D4F" w:rsidRDefault="00092D8F" w:rsidP="00092D8F">
      <w:pPr>
        <w:ind w:hanging="1"/>
        <w:rPr>
          <w:rFonts w:eastAsia="SimSun"/>
        </w:rPr>
      </w:pPr>
      <w:r w:rsidRPr="005B4D4F">
        <w:rPr>
          <w:rFonts w:eastAsia="SimSun"/>
        </w:rPr>
        <w:t>Where, the maximum autonomous time adjustment step T</w:t>
      </w:r>
      <w:r w:rsidRPr="005B4D4F">
        <w:rPr>
          <w:rFonts w:eastAsia="SimSun"/>
          <w:vertAlign w:val="subscript"/>
        </w:rPr>
        <w:t>q_NTN</w:t>
      </w:r>
      <w:r w:rsidRPr="005B4D4F">
        <w:rPr>
          <w:rFonts w:eastAsia="SimSun"/>
        </w:rPr>
        <w:t xml:space="preserve"> and the aggregate adjustment rate T</w:t>
      </w:r>
      <w:r w:rsidRPr="005B4D4F">
        <w:rPr>
          <w:rFonts w:eastAsia="SimSun"/>
          <w:vertAlign w:val="subscript"/>
        </w:rPr>
        <w:t>p_NTN</w:t>
      </w:r>
      <w:r w:rsidRPr="005B4D4F">
        <w:rPr>
          <w:rFonts w:eastAsia="SimSun"/>
        </w:rPr>
        <w:t xml:space="preserve"> are specified in Table 7.1C.2.1-1.</w:t>
      </w:r>
    </w:p>
    <w:p w14:paraId="533EFA89" w14:textId="683A2C0C" w:rsidR="00C22E6F" w:rsidRPr="00C43797" w:rsidRDefault="00C22E6F" w:rsidP="00C22E6F">
      <w:pPr>
        <w:ind w:hanging="1"/>
        <w:rPr>
          <w:rFonts w:eastAsia="SimSun"/>
        </w:rPr>
      </w:pPr>
    </w:p>
    <w:p w14:paraId="6A3285E8" w14:textId="77777777" w:rsidR="00092D8F" w:rsidRPr="005B4D4F" w:rsidRDefault="00092D8F" w:rsidP="00092D8F">
      <w:pPr>
        <w:keepNext/>
        <w:keepLines/>
        <w:spacing w:before="60"/>
        <w:jc w:val="center"/>
        <w:rPr>
          <w:rFonts w:ascii="Arial" w:hAnsi="Arial"/>
          <w:b/>
        </w:rPr>
      </w:pPr>
      <w:r w:rsidRPr="005B4D4F">
        <w:rPr>
          <w:rFonts w:ascii="Arial" w:hAnsi="Arial"/>
          <w:b/>
        </w:rPr>
        <w:t>Table 7.1C.2.1-1: T</w:t>
      </w:r>
      <w:r w:rsidRPr="005B4D4F">
        <w:rPr>
          <w:rFonts w:ascii="Arial" w:hAnsi="Arial"/>
          <w:b/>
          <w:vertAlign w:val="subscript"/>
        </w:rPr>
        <w:t>q_NTN</w:t>
      </w:r>
      <w:r w:rsidRPr="005B4D4F">
        <w:rPr>
          <w:rFonts w:ascii="Arial" w:hAnsi="Arial"/>
          <w:b/>
        </w:rPr>
        <w:t xml:space="preserve"> Maximum Autonomous Time Adjustment Step and T</w:t>
      </w:r>
      <w:r w:rsidRPr="005B4D4F">
        <w:rPr>
          <w:rFonts w:ascii="Arial" w:hAnsi="Arial"/>
          <w:b/>
          <w:vertAlign w:val="subscript"/>
        </w:rPr>
        <w:t>p_NTN</w:t>
      </w:r>
      <w:r w:rsidRPr="005B4D4F">
        <w:rPr>
          <w:rFonts w:ascii="Arial" w:hAnsi="Arial"/>
          <w:b/>
        </w:rPr>
        <w:t xml:space="preserve"> Minimum Aggregate Adjustment rate</w:t>
      </w: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gridCol w:w="2032"/>
        <w:gridCol w:w="1996"/>
        <w:gridCol w:w="1997"/>
      </w:tblGrid>
      <w:tr w:rsidR="00092D8F" w:rsidRPr="005B4D4F" w14:paraId="269CA78A" w14:textId="77777777" w:rsidTr="00053124">
        <w:trPr>
          <w:cantSplit/>
          <w:jc w:val="center"/>
        </w:trPr>
        <w:tc>
          <w:tcPr>
            <w:tcW w:w="1205" w:type="pct"/>
            <w:vAlign w:val="center"/>
          </w:tcPr>
          <w:p w14:paraId="2F47F99D" w14:textId="77777777" w:rsidR="00092D8F" w:rsidRPr="005B4D4F" w:rsidRDefault="00092D8F" w:rsidP="00053124">
            <w:pPr>
              <w:keepNext/>
              <w:keepLines/>
              <w:spacing w:after="0"/>
              <w:jc w:val="center"/>
              <w:rPr>
                <w:rFonts w:ascii="Arial" w:eastAsia="SimSun" w:hAnsi="Arial"/>
                <w:b/>
                <w:sz w:val="18"/>
              </w:rPr>
            </w:pPr>
            <w:r w:rsidRPr="005B4D4F">
              <w:rPr>
                <w:rFonts w:ascii="Arial" w:eastAsia="SimSun" w:hAnsi="Arial"/>
                <w:b/>
                <w:sz w:val="18"/>
              </w:rPr>
              <w:t>Frequency Range</w:t>
            </w:r>
          </w:p>
        </w:tc>
        <w:tc>
          <w:tcPr>
            <w:tcW w:w="1280" w:type="pct"/>
          </w:tcPr>
          <w:p w14:paraId="773FB7D3" w14:textId="77777777" w:rsidR="00092D8F" w:rsidRPr="005B4D4F" w:rsidRDefault="00092D8F" w:rsidP="00053124">
            <w:pPr>
              <w:keepNext/>
              <w:keepLines/>
              <w:spacing w:after="0"/>
              <w:jc w:val="center"/>
              <w:rPr>
                <w:rFonts w:ascii="Arial" w:eastAsia="SimSun" w:hAnsi="Arial"/>
                <w:b/>
                <w:sz w:val="18"/>
              </w:rPr>
            </w:pPr>
            <w:r w:rsidRPr="005B4D4F">
              <w:rPr>
                <w:rFonts w:ascii="Arial" w:eastAsia="SimSun" w:hAnsi="Arial"/>
                <w:b/>
                <w:sz w:val="18"/>
              </w:rPr>
              <w:t>SCS of uplink signals (kHz)</w:t>
            </w:r>
          </w:p>
        </w:tc>
        <w:tc>
          <w:tcPr>
            <w:tcW w:w="1257" w:type="pct"/>
            <w:vAlign w:val="center"/>
          </w:tcPr>
          <w:p w14:paraId="627C17E8" w14:textId="77777777" w:rsidR="00092D8F" w:rsidRPr="005B4D4F" w:rsidRDefault="00092D8F" w:rsidP="00053124">
            <w:pPr>
              <w:keepNext/>
              <w:keepLines/>
              <w:spacing w:after="0"/>
              <w:jc w:val="center"/>
              <w:rPr>
                <w:rFonts w:ascii="Arial" w:eastAsia="SimSun" w:hAnsi="Arial"/>
                <w:b/>
                <w:sz w:val="18"/>
              </w:rPr>
            </w:pPr>
            <w:r w:rsidRPr="005B4D4F">
              <w:rPr>
                <w:rFonts w:ascii="Arial" w:eastAsia="SimSun" w:hAnsi="Arial"/>
                <w:b/>
                <w:sz w:val="18"/>
              </w:rPr>
              <w:t>T</w:t>
            </w:r>
            <w:r w:rsidRPr="005B4D4F">
              <w:rPr>
                <w:rFonts w:ascii="Arial" w:eastAsia="SimSun" w:hAnsi="Arial"/>
                <w:b/>
                <w:sz w:val="18"/>
                <w:vertAlign w:val="subscript"/>
              </w:rPr>
              <w:t>q_NTN</w:t>
            </w:r>
          </w:p>
        </w:tc>
        <w:tc>
          <w:tcPr>
            <w:tcW w:w="1258" w:type="pct"/>
            <w:vAlign w:val="center"/>
          </w:tcPr>
          <w:p w14:paraId="4DADFBAB" w14:textId="77777777" w:rsidR="00092D8F" w:rsidRPr="005B4D4F" w:rsidRDefault="00092D8F" w:rsidP="00053124">
            <w:pPr>
              <w:keepNext/>
              <w:keepLines/>
              <w:spacing w:after="0"/>
              <w:jc w:val="center"/>
              <w:rPr>
                <w:rFonts w:ascii="Arial" w:eastAsia="SimSun" w:hAnsi="Arial"/>
                <w:b/>
                <w:sz w:val="18"/>
              </w:rPr>
            </w:pPr>
            <w:r w:rsidRPr="005B4D4F">
              <w:rPr>
                <w:rFonts w:ascii="Arial" w:eastAsia="SimSun" w:hAnsi="Arial"/>
                <w:b/>
                <w:sz w:val="18"/>
              </w:rPr>
              <w:t>T</w:t>
            </w:r>
            <w:r w:rsidRPr="005B4D4F">
              <w:rPr>
                <w:rFonts w:ascii="Arial" w:eastAsia="SimSun" w:hAnsi="Arial"/>
                <w:b/>
                <w:sz w:val="18"/>
                <w:vertAlign w:val="subscript"/>
              </w:rPr>
              <w:t>p_NTN</w:t>
            </w:r>
          </w:p>
        </w:tc>
      </w:tr>
      <w:tr w:rsidR="00092D8F" w:rsidRPr="005B4D4F" w14:paraId="1618F166" w14:textId="77777777" w:rsidTr="00053124">
        <w:trPr>
          <w:cantSplit/>
          <w:jc w:val="center"/>
        </w:trPr>
        <w:tc>
          <w:tcPr>
            <w:tcW w:w="1205" w:type="pct"/>
            <w:tcBorders>
              <w:bottom w:val="nil"/>
            </w:tcBorders>
            <w:vAlign w:val="center"/>
          </w:tcPr>
          <w:p w14:paraId="62D4197F" w14:textId="77777777" w:rsidR="00092D8F" w:rsidRPr="005B4D4F" w:rsidRDefault="00092D8F" w:rsidP="00053124">
            <w:pPr>
              <w:keepNext/>
              <w:keepLines/>
              <w:spacing w:after="0"/>
              <w:jc w:val="center"/>
              <w:rPr>
                <w:rFonts w:ascii="Arial" w:eastAsia="SimSun" w:hAnsi="Arial"/>
                <w:sz w:val="18"/>
              </w:rPr>
            </w:pPr>
            <w:r w:rsidRPr="005B4D4F">
              <w:rPr>
                <w:rFonts w:ascii="Arial" w:eastAsia="SimSun" w:hAnsi="Arial"/>
                <w:sz w:val="18"/>
              </w:rPr>
              <w:t>1</w:t>
            </w:r>
          </w:p>
        </w:tc>
        <w:tc>
          <w:tcPr>
            <w:tcW w:w="1280" w:type="pct"/>
          </w:tcPr>
          <w:p w14:paraId="7DE2F819" w14:textId="77777777" w:rsidR="00092D8F" w:rsidRPr="005B4D4F" w:rsidRDefault="00092D8F" w:rsidP="00053124">
            <w:pPr>
              <w:keepNext/>
              <w:keepLines/>
              <w:spacing w:after="0"/>
              <w:jc w:val="center"/>
              <w:rPr>
                <w:rFonts w:ascii="Arial" w:eastAsia="SimSun" w:hAnsi="Arial"/>
                <w:sz w:val="18"/>
              </w:rPr>
            </w:pPr>
            <w:r w:rsidRPr="005B4D4F">
              <w:rPr>
                <w:rFonts w:ascii="Arial" w:eastAsia="SimSun" w:hAnsi="Arial"/>
                <w:sz w:val="18"/>
              </w:rPr>
              <w:t>15</w:t>
            </w:r>
          </w:p>
        </w:tc>
        <w:tc>
          <w:tcPr>
            <w:tcW w:w="1257" w:type="pct"/>
          </w:tcPr>
          <w:p w14:paraId="0754C48E" w14:textId="4F80A8CC" w:rsidR="00092D8F" w:rsidRPr="005B4D4F" w:rsidRDefault="00092D8F" w:rsidP="00053124">
            <w:pPr>
              <w:keepNext/>
              <w:keepLines/>
              <w:spacing w:after="0"/>
              <w:jc w:val="center"/>
              <w:rPr>
                <w:rFonts w:ascii="Arial" w:eastAsia="SimSun" w:hAnsi="Arial"/>
                <w:sz w:val="18"/>
              </w:rPr>
            </w:pPr>
            <w:r w:rsidRPr="005B4D4F">
              <w:rPr>
                <w:rFonts w:ascii="Arial" w:eastAsia="SimSun" w:hAnsi="Arial"/>
                <w:sz w:val="18"/>
              </w:rPr>
              <w:t>5.5*64*T</w:t>
            </w:r>
            <w:r w:rsidRPr="005B4D4F">
              <w:rPr>
                <w:rFonts w:ascii="Arial" w:eastAsia="SimSun" w:hAnsi="Arial"/>
                <w:sz w:val="18"/>
                <w:vertAlign w:val="subscript"/>
              </w:rPr>
              <w:t>c</w:t>
            </w:r>
          </w:p>
        </w:tc>
        <w:tc>
          <w:tcPr>
            <w:tcW w:w="1258" w:type="pct"/>
          </w:tcPr>
          <w:p w14:paraId="5A053D99" w14:textId="2BE22314" w:rsidR="00092D8F" w:rsidRPr="005B4D4F" w:rsidRDefault="00092D8F" w:rsidP="00053124">
            <w:pPr>
              <w:keepNext/>
              <w:keepLines/>
              <w:spacing w:after="0"/>
              <w:jc w:val="center"/>
              <w:rPr>
                <w:rFonts w:ascii="Arial" w:eastAsia="SimSun" w:hAnsi="Arial"/>
                <w:sz w:val="18"/>
              </w:rPr>
            </w:pPr>
            <w:r w:rsidRPr="005B4D4F">
              <w:rPr>
                <w:rFonts w:ascii="Arial" w:eastAsia="SimSun" w:hAnsi="Arial"/>
                <w:sz w:val="18"/>
              </w:rPr>
              <w:t>5.5*64*T</w:t>
            </w:r>
            <w:r w:rsidRPr="005B4D4F">
              <w:rPr>
                <w:rFonts w:ascii="Arial" w:eastAsia="SimSun" w:hAnsi="Arial"/>
                <w:sz w:val="18"/>
                <w:vertAlign w:val="subscript"/>
              </w:rPr>
              <w:t>c</w:t>
            </w:r>
          </w:p>
        </w:tc>
      </w:tr>
      <w:tr w:rsidR="00092D8F" w:rsidRPr="005B4D4F" w14:paraId="259B3EC6" w14:textId="77777777" w:rsidTr="00053124">
        <w:trPr>
          <w:cantSplit/>
          <w:jc w:val="center"/>
        </w:trPr>
        <w:tc>
          <w:tcPr>
            <w:tcW w:w="1205" w:type="pct"/>
            <w:tcBorders>
              <w:top w:val="nil"/>
              <w:bottom w:val="nil"/>
            </w:tcBorders>
            <w:vAlign w:val="center"/>
          </w:tcPr>
          <w:p w14:paraId="55F18F39" w14:textId="77777777" w:rsidR="00092D8F" w:rsidRPr="005B4D4F" w:rsidRDefault="00092D8F" w:rsidP="00053124">
            <w:pPr>
              <w:keepNext/>
              <w:keepLines/>
              <w:spacing w:after="0"/>
              <w:jc w:val="center"/>
              <w:rPr>
                <w:rFonts w:ascii="Arial" w:eastAsia="SimSun" w:hAnsi="Arial"/>
                <w:sz w:val="18"/>
              </w:rPr>
            </w:pPr>
          </w:p>
        </w:tc>
        <w:tc>
          <w:tcPr>
            <w:tcW w:w="1280" w:type="pct"/>
          </w:tcPr>
          <w:p w14:paraId="2F106E40" w14:textId="77777777" w:rsidR="00092D8F" w:rsidRPr="005B4D4F" w:rsidRDefault="00092D8F" w:rsidP="00053124">
            <w:pPr>
              <w:keepNext/>
              <w:keepLines/>
              <w:spacing w:after="0"/>
              <w:jc w:val="center"/>
              <w:rPr>
                <w:rFonts w:ascii="Arial" w:eastAsia="SimSun" w:hAnsi="Arial"/>
                <w:sz w:val="18"/>
              </w:rPr>
            </w:pPr>
            <w:r w:rsidRPr="005B4D4F">
              <w:rPr>
                <w:rFonts w:ascii="Arial" w:eastAsia="SimSun" w:hAnsi="Arial"/>
                <w:sz w:val="18"/>
              </w:rPr>
              <w:t>30</w:t>
            </w:r>
          </w:p>
        </w:tc>
        <w:tc>
          <w:tcPr>
            <w:tcW w:w="1257" w:type="pct"/>
          </w:tcPr>
          <w:p w14:paraId="24626059" w14:textId="4FFA0725" w:rsidR="00092D8F" w:rsidRPr="005B4D4F" w:rsidRDefault="00092D8F" w:rsidP="00053124">
            <w:pPr>
              <w:keepNext/>
              <w:keepLines/>
              <w:spacing w:after="0"/>
              <w:jc w:val="center"/>
              <w:rPr>
                <w:rFonts w:ascii="Arial" w:eastAsia="SimSun" w:hAnsi="Arial"/>
                <w:sz w:val="18"/>
              </w:rPr>
            </w:pPr>
            <w:r w:rsidRPr="005B4D4F">
              <w:rPr>
                <w:rFonts w:ascii="Arial" w:eastAsia="SimSun" w:hAnsi="Arial"/>
                <w:sz w:val="18"/>
              </w:rPr>
              <w:t>5.5*64*T</w:t>
            </w:r>
            <w:r w:rsidRPr="005B4D4F">
              <w:rPr>
                <w:rFonts w:ascii="Arial" w:eastAsia="SimSun" w:hAnsi="Arial"/>
                <w:sz w:val="18"/>
                <w:vertAlign w:val="subscript"/>
              </w:rPr>
              <w:t>c</w:t>
            </w:r>
          </w:p>
        </w:tc>
        <w:tc>
          <w:tcPr>
            <w:tcW w:w="1258" w:type="pct"/>
          </w:tcPr>
          <w:p w14:paraId="6D16FAAA" w14:textId="45A97E10" w:rsidR="00092D8F" w:rsidRPr="005B4D4F" w:rsidRDefault="00092D8F" w:rsidP="00053124">
            <w:pPr>
              <w:keepNext/>
              <w:keepLines/>
              <w:spacing w:after="0"/>
              <w:jc w:val="center"/>
              <w:rPr>
                <w:rFonts w:ascii="Arial" w:eastAsia="SimSun" w:hAnsi="Arial"/>
                <w:sz w:val="18"/>
              </w:rPr>
            </w:pPr>
            <w:r w:rsidRPr="005B4D4F">
              <w:rPr>
                <w:rFonts w:ascii="Arial" w:eastAsia="SimSun" w:hAnsi="Arial"/>
                <w:sz w:val="18"/>
              </w:rPr>
              <w:t>5.5*64*T</w:t>
            </w:r>
            <w:r w:rsidRPr="005B4D4F">
              <w:rPr>
                <w:rFonts w:ascii="Arial" w:eastAsia="SimSun" w:hAnsi="Arial"/>
                <w:sz w:val="18"/>
                <w:vertAlign w:val="subscript"/>
              </w:rPr>
              <w:t>c</w:t>
            </w:r>
          </w:p>
        </w:tc>
      </w:tr>
      <w:tr w:rsidR="00092D8F" w:rsidRPr="005B4D4F" w14:paraId="1170C796" w14:textId="77777777" w:rsidTr="00053124">
        <w:trPr>
          <w:cantSplit/>
          <w:jc w:val="center"/>
        </w:trPr>
        <w:tc>
          <w:tcPr>
            <w:tcW w:w="1205" w:type="pct"/>
            <w:tcBorders>
              <w:top w:val="nil"/>
            </w:tcBorders>
            <w:vAlign w:val="center"/>
          </w:tcPr>
          <w:p w14:paraId="4FC404E0" w14:textId="77777777" w:rsidR="00092D8F" w:rsidRPr="005B4D4F" w:rsidRDefault="00092D8F" w:rsidP="00053124">
            <w:pPr>
              <w:keepNext/>
              <w:keepLines/>
              <w:spacing w:after="0"/>
              <w:jc w:val="center"/>
              <w:rPr>
                <w:rFonts w:ascii="Arial" w:eastAsia="SimSun" w:hAnsi="Arial"/>
                <w:sz w:val="18"/>
              </w:rPr>
            </w:pPr>
          </w:p>
        </w:tc>
        <w:tc>
          <w:tcPr>
            <w:tcW w:w="1280" w:type="pct"/>
          </w:tcPr>
          <w:p w14:paraId="2DFBE223" w14:textId="77777777" w:rsidR="00092D8F" w:rsidRPr="005B4D4F" w:rsidRDefault="00092D8F" w:rsidP="00053124">
            <w:pPr>
              <w:keepNext/>
              <w:keepLines/>
              <w:spacing w:after="0"/>
              <w:jc w:val="center"/>
              <w:rPr>
                <w:rFonts w:ascii="Arial" w:eastAsia="SimSun" w:hAnsi="Arial"/>
                <w:sz w:val="18"/>
              </w:rPr>
            </w:pPr>
            <w:r w:rsidRPr="005B4D4F">
              <w:rPr>
                <w:rFonts w:ascii="Arial" w:eastAsia="SimSun" w:hAnsi="Arial"/>
                <w:sz w:val="18"/>
              </w:rPr>
              <w:t>60</w:t>
            </w:r>
          </w:p>
        </w:tc>
        <w:tc>
          <w:tcPr>
            <w:tcW w:w="1257" w:type="pct"/>
          </w:tcPr>
          <w:p w14:paraId="331F2D9C" w14:textId="77777777" w:rsidR="00092D8F" w:rsidRPr="005B4D4F" w:rsidRDefault="00092D8F" w:rsidP="00053124">
            <w:pPr>
              <w:keepNext/>
              <w:keepLines/>
              <w:spacing w:after="0"/>
              <w:jc w:val="center"/>
              <w:rPr>
                <w:rFonts w:ascii="Arial" w:eastAsia="SimSun" w:hAnsi="Arial"/>
                <w:sz w:val="18"/>
              </w:rPr>
            </w:pPr>
            <w:r w:rsidRPr="005B4D4F">
              <w:rPr>
                <w:rFonts w:ascii="Arial" w:eastAsia="SimSun" w:hAnsi="Arial"/>
                <w:sz w:val="18"/>
              </w:rPr>
              <w:t>N/A</w:t>
            </w:r>
          </w:p>
        </w:tc>
        <w:tc>
          <w:tcPr>
            <w:tcW w:w="1258" w:type="pct"/>
          </w:tcPr>
          <w:p w14:paraId="4E258BCB" w14:textId="77777777" w:rsidR="00092D8F" w:rsidRPr="005B4D4F" w:rsidRDefault="00092D8F" w:rsidP="00053124">
            <w:pPr>
              <w:keepNext/>
              <w:keepLines/>
              <w:spacing w:after="0"/>
              <w:jc w:val="center"/>
              <w:rPr>
                <w:rFonts w:ascii="Arial" w:eastAsia="SimSun" w:hAnsi="Arial"/>
                <w:sz w:val="18"/>
              </w:rPr>
            </w:pPr>
            <w:r w:rsidRPr="005B4D4F">
              <w:rPr>
                <w:rFonts w:ascii="Arial" w:eastAsia="SimSun" w:hAnsi="Arial"/>
                <w:sz w:val="18"/>
              </w:rPr>
              <w:t>N/A</w:t>
            </w:r>
          </w:p>
        </w:tc>
      </w:tr>
      <w:tr w:rsidR="00092D8F" w:rsidRPr="005B4D4F" w14:paraId="1D6C3047" w14:textId="77777777" w:rsidTr="00053124">
        <w:trPr>
          <w:cantSplit/>
          <w:jc w:val="center"/>
        </w:trPr>
        <w:tc>
          <w:tcPr>
            <w:tcW w:w="5000" w:type="pct"/>
            <w:gridSpan w:val="4"/>
          </w:tcPr>
          <w:p w14:paraId="2EA57AFE" w14:textId="77777777" w:rsidR="00092D8F" w:rsidRPr="005B4D4F" w:rsidRDefault="00092D8F" w:rsidP="00053124">
            <w:pPr>
              <w:keepNext/>
              <w:keepLines/>
              <w:spacing w:after="0"/>
              <w:ind w:left="851" w:hanging="851"/>
              <w:rPr>
                <w:rFonts w:ascii="Arial" w:eastAsia="SimSun" w:hAnsi="Arial"/>
                <w:sz w:val="18"/>
              </w:rPr>
            </w:pPr>
            <w:r w:rsidRPr="005B4D4F">
              <w:rPr>
                <w:rFonts w:ascii="Arial" w:eastAsia="SimSun" w:hAnsi="Arial" w:cs="Arial"/>
                <w:sz w:val="18"/>
              </w:rPr>
              <w:t>NOTE</w:t>
            </w:r>
            <w:r w:rsidRPr="005B4D4F">
              <w:rPr>
                <w:rFonts w:ascii="Arial" w:eastAsia="SimSun" w:hAnsi="Arial"/>
                <w:sz w:val="18"/>
              </w:rPr>
              <w:t>:</w:t>
            </w:r>
            <w:r w:rsidRPr="005B4D4F">
              <w:rPr>
                <w:rFonts w:ascii="Arial" w:eastAsia="SimSun" w:hAnsi="Arial"/>
                <w:sz w:val="18"/>
              </w:rPr>
              <w:tab/>
              <w:t>T</w:t>
            </w:r>
            <w:r w:rsidRPr="005B4D4F">
              <w:rPr>
                <w:rFonts w:ascii="Arial" w:eastAsia="SimSun" w:hAnsi="Arial"/>
                <w:sz w:val="18"/>
                <w:vertAlign w:val="subscript"/>
              </w:rPr>
              <w:t>c</w:t>
            </w:r>
            <w:r w:rsidRPr="005B4D4F">
              <w:rPr>
                <w:rFonts w:ascii="Arial" w:eastAsia="SimSun" w:hAnsi="Arial"/>
                <w:sz w:val="18"/>
              </w:rPr>
              <w:t xml:space="preserve"> is the basic timing unit defined in TS 38.211 [6]</w:t>
            </w:r>
          </w:p>
        </w:tc>
      </w:tr>
    </w:tbl>
    <w:p w14:paraId="43AB98E8" w14:textId="77777777" w:rsidR="00092D8F" w:rsidRDefault="00092D8F" w:rsidP="00092D8F"/>
    <w:p w14:paraId="42B00D49" w14:textId="537ED483" w:rsidR="008F1319" w:rsidRPr="009C5807" w:rsidRDefault="008F1319" w:rsidP="008F1319">
      <w:pPr>
        <w:pStyle w:val="Heading2"/>
      </w:pPr>
      <w:r w:rsidRPr="009C5807">
        <w:t>7.2</w:t>
      </w:r>
      <w:r w:rsidRPr="009C5807">
        <w:tab/>
        <w:t>UE timer accuracy</w:t>
      </w:r>
      <w:bookmarkEnd w:id="135"/>
    </w:p>
    <w:p w14:paraId="76FA79FD" w14:textId="77777777" w:rsidR="008F1319" w:rsidRPr="009C5807" w:rsidRDefault="008F1319" w:rsidP="008F1319">
      <w:pPr>
        <w:pStyle w:val="Heading3"/>
      </w:pPr>
      <w:bookmarkStart w:id="138" w:name="_Toc5952596"/>
      <w:r w:rsidRPr="009C5807">
        <w:t>7.2.1</w:t>
      </w:r>
      <w:r w:rsidRPr="009C5807">
        <w:tab/>
        <w:t>Introduction</w:t>
      </w:r>
      <w:bookmarkEnd w:id="138"/>
    </w:p>
    <w:p w14:paraId="0226E243" w14:textId="77777777" w:rsidR="008F1319" w:rsidRPr="009C5807" w:rsidRDefault="008F1319" w:rsidP="008F1319">
      <w:pPr>
        <w:rPr>
          <w:lang w:eastAsia="ko-KR"/>
        </w:rPr>
      </w:pPr>
      <w:r w:rsidRPr="009C5807">
        <w:rPr>
          <w:lang w:eastAsia="ko-KR"/>
        </w:rPr>
        <w:t>UE timers are used in different protocol entities to control the UE behaviour.</w:t>
      </w:r>
    </w:p>
    <w:p w14:paraId="28C2E7DA" w14:textId="77777777" w:rsidR="008F1319" w:rsidRPr="009C5807" w:rsidRDefault="008F1319" w:rsidP="008F1319">
      <w:pPr>
        <w:pStyle w:val="Heading3"/>
      </w:pPr>
      <w:bookmarkStart w:id="139" w:name="_Toc5952597"/>
      <w:r w:rsidRPr="009C5807">
        <w:t>7.2.2</w:t>
      </w:r>
      <w:r w:rsidRPr="009C5807">
        <w:tab/>
        <w:t>Requirements</w:t>
      </w:r>
      <w:bookmarkEnd w:id="139"/>
    </w:p>
    <w:p w14:paraId="584562EC" w14:textId="5B346E30" w:rsidR="008F1319" w:rsidRPr="009C5807" w:rsidRDefault="008F1319" w:rsidP="008F1319">
      <w:pPr>
        <w:rPr>
          <w:lang w:eastAsia="ko-KR"/>
        </w:rPr>
      </w:pPr>
      <w:r w:rsidRPr="009C5807">
        <w:rPr>
          <w:lang w:eastAsia="ko-KR"/>
        </w:rPr>
        <w:t>For UE timers specified in TS 38.331 [2], the UE shall comply with the timer accuracies according to Table 7.2.2-1.</w:t>
      </w:r>
    </w:p>
    <w:p w14:paraId="78F0E893" w14:textId="77777777" w:rsidR="008F1319" w:rsidRPr="009C5807" w:rsidRDefault="008F1319" w:rsidP="008F1319">
      <w:pPr>
        <w:rPr>
          <w:lang w:eastAsia="ko-KR"/>
        </w:rPr>
      </w:pPr>
      <w:r w:rsidRPr="009C5807">
        <w:rPr>
          <w:lang w:eastAsia="ko-KR"/>
        </w:rPr>
        <w:t>The requirements are only related to the actual timing measurements internally in the UE. They do not include the following:</w:t>
      </w:r>
    </w:p>
    <w:p w14:paraId="4D173E5F" w14:textId="77777777" w:rsidR="008F1319" w:rsidRPr="009C5807" w:rsidRDefault="008F1319" w:rsidP="008F1319">
      <w:pPr>
        <w:pStyle w:val="B10"/>
      </w:pPr>
      <w:r w:rsidRPr="009C5807">
        <w:t>-</w:t>
      </w:r>
      <w:r w:rsidRPr="009C5807">
        <w:tab/>
        <w:t>Inaccuracy in the start and stop conditions of a timer (e.g. UE reaction time to detect that start and stop conditions of a timer is fulfilled), or</w:t>
      </w:r>
    </w:p>
    <w:p w14:paraId="0FC09CCE" w14:textId="77777777" w:rsidR="008F1319" w:rsidRPr="009C5807" w:rsidRDefault="008F1319" w:rsidP="008F1319">
      <w:pPr>
        <w:pStyle w:val="B10"/>
      </w:pPr>
      <w:r w:rsidRPr="009C5807">
        <w:t>-</w:t>
      </w:r>
      <w:r w:rsidRPr="009C5807">
        <w:tab/>
        <w:t>Inaccuracies due to restrictions in observability of start and stop conditions of a UE timer (e.g. slot alignment when UE sends messages at timer expiry).</w:t>
      </w:r>
    </w:p>
    <w:p w14:paraId="6B4C3997" w14:textId="77777777" w:rsidR="008F1319" w:rsidRPr="009C5807" w:rsidRDefault="008F1319" w:rsidP="008F1319">
      <w:pPr>
        <w:pStyle w:val="TH"/>
      </w:pPr>
      <w:r w:rsidRPr="009C5807">
        <w:t>Table 7.2.2-1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2"/>
        <w:gridCol w:w="1873"/>
      </w:tblGrid>
      <w:tr w:rsidR="00885F53" w:rsidRPr="009C5807" w14:paraId="4B841642" w14:textId="77777777" w:rsidTr="00137197">
        <w:trPr>
          <w:cantSplit/>
          <w:jc w:val="center"/>
        </w:trPr>
        <w:tc>
          <w:tcPr>
            <w:tcW w:w="1842" w:type="dxa"/>
          </w:tcPr>
          <w:p w14:paraId="664A3CE1" w14:textId="77777777" w:rsidR="008F1319" w:rsidRPr="009C5807" w:rsidRDefault="008F1319" w:rsidP="00357256">
            <w:pPr>
              <w:pStyle w:val="TAH"/>
              <w:rPr>
                <w:rFonts w:cs="Arial"/>
              </w:rPr>
            </w:pPr>
            <w:r w:rsidRPr="009C5807">
              <w:t>Timer value [s]</w:t>
            </w:r>
          </w:p>
        </w:tc>
        <w:tc>
          <w:tcPr>
            <w:tcW w:w="1873" w:type="dxa"/>
          </w:tcPr>
          <w:p w14:paraId="490E7AA6" w14:textId="77777777" w:rsidR="008F1319" w:rsidRPr="009C5807" w:rsidRDefault="008F1319" w:rsidP="00357256">
            <w:pPr>
              <w:pStyle w:val="TAH"/>
              <w:rPr>
                <w:rFonts w:cs="Arial"/>
              </w:rPr>
            </w:pPr>
            <w:r w:rsidRPr="009C5807">
              <w:t>Accuracy</w:t>
            </w:r>
          </w:p>
        </w:tc>
      </w:tr>
      <w:tr w:rsidR="00885F53" w:rsidRPr="009C5807" w14:paraId="74FBABB1" w14:textId="77777777" w:rsidTr="00137197">
        <w:trPr>
          <w:cantSplit/>
          <w:jc w:val="center"/>
        </w:trPr>
        <w:tc>
          <w:tcPr>
            <w:tcW w:w="1842" w:type="dxa"/>
            <w:vAlign w:val="center"/>
          </w:tcPr>
          <w:p w14:paraId="2556C7A8" w14:textId="77777777" w:rsidR="008F1319" w:rsidRPr="009C5807" w:rsidRDefault="008F1319" w:rsidP="00357256">
            <w:pPr>
              <w:pStyle w:val="TAL"/>
            </w:pPr>
            <w:r w:rsidRPr="009C5807">
              <w:t>timer value &lt; 4</w:t>
            </w:r>
          </w:p>
        </w:tc>
        <w:tc>
          <w:tcPr>
            <w:tcW w:w="1873" w:type="dxa"/>
            <w:vAlign w:val="center"/>
          </w:tcPr>
          <w:p w14:paraId="0D363E2B" w14:textId="77777777" w:rsidR="008F1319" w:rsidRPr="009C5807" w:rsidRDefault="008F1319" w:rsidP="00357256">
            <w:pPr>
              <w:pStyle w:val="TAL"/>
            </w:pPr>
            <w:r w:rsidRPr="009C5807">
              <w:sym w:font="Symbol" w:char="F0B1"/>
            </w:r>
            <w:r w:rsidRPr="009C5807">
              <w:t xml:space="preserve"> 0.1s</w:t>
            </w:r>
          </w:p>
        </w:tc>
      </w:tr>
      <w:tr w:rsidR="00885F53" w:rsidRPr="009C5807" w14:paraId="08C65C88" w14:textId="77777777" w:rsidTr="00137197">
        <w:trPr>
          <w:cantSplit/>
          <w:jc w:val="center"/>
        </w:trPr>
        <w:tc>
          <w:tcPr>
            <w:tcW w:w="1842" w:type="dxa"/>
          </w:tcPr>
          <w:p w14:paraId="75F6AEB7" w14:textId="77777777" w:rsidR="008F1319" w:rsidRPr="009C5807" w:rsidRDefault="008F1319" w:rsidP="00357256">
            <w:pPr>
              <w:pStyle w:val="TAL"/>
            </w:pPr>
            <w:r w:rsidRPr="009C5807">
              <w:t xml:space="preserve">timer value </w:t>
            </w:r>
            <w:r w:rsidRPr="009C5807">
              <w:sym w:font="Symbol" w:char="F0B3"/>
            </w:r>
            <w:r w:rsidRPr="009C5807">
              <w:t xml:space="preserve"> 4</w:t>
            </w:r>
          </w:p>
        </w:tc>
        <w:tc>
          <w:tcPr>
            <w:tcW w:w="1873" w:type="dxa"/>
            <w:vAlign w:val="center"/>
          </w:tcPr>
          <w:p w14:paraId="1399A7C8" w14:textId="77777777" w:rsidR="008F1319" w:rsidRPr="009C5807" w:rsidRDefault="008F1319" w:rsidP="00357256">
            <w:pPr>
              <w:pStyle w:val="TAL"/>
            </w:pPr>
            <w:r w:rsidRPr="009C5807">
              <w:sym w:font="Symbol" w:char="F0B1"/>
            </w:r>
            <w:r w:rsidRPr="009C5807">
              <w:t xml:space="preserve"> 2.5%</w:t>
            </w:r>
          </w:p>
        </w:tc>
      </w:tr>
    </w:tbl>
    <w:p w14:paraId="284631AB" w14:textId="77777777" w:rsidR="00AA4694" w:rsidRDefault="00AA4694" w:rsidP="00AA4694">
      <w:bookmarkStart w:id="140" w:name="_Toc535475933"/>
      <w:bookmarkStart w:id="141" w:name="_Toc5952603"/>
    </w:p>
    <w:p w14:paraId="4C0CD0BF" w14:textId="5803E3C7" w:rsidR="0093235B" w:rsidRDefault="0093235B" w:rsidP="0093235B">
      <w:pPr>
        <w:pStyle w:val="Heading2"/>
      </w:pPr>
      <w:r w:rsidRPr="009832CC">
        <w:t>7.2A</w:t>
      </w:r>
      <w:r>
        <w:tab/>
      </w:r>
      <w:r w:rsidRPr="009832CC">
        <w:t>UE timer accuracy for RedCap</w:t>
      </w:r>
    </w:p>
    <w:p w14:paraId="22B11A29" w14:textId="77777777" w:rsidR="0093235B" w:rsidRPr="009C5807" w:rsidRDefault="0093235B" w:rsidP="0093235B">
      <w:pPr>
        <w:pStyle w:val="Heading3"/>
      </w:pPr>
      <w:r w:rsidRPr="0017787A">
        <w:t>7.2A</w:t>
      </w:r>
      <w:r w:rsidRPr="009C5807">
        <w:t>.1</w:t>
      </w:r>
      <w:r w:rsidRPr="009C5807">
        <w:tab/>
        <w:t>Introduction</w:t>
      </w:r>
    </w:p>
    <w:p w14:paraId="7F456A83" w14:textId="77777777" w:rsidR="0093235B" w:rsidRPr="009C5807" w:rsidRDefault="0093235B" w:rsidP="0093235B">
      <w:pPr>
        <w:rPr>
          <w:lang w:eastAsia="ko-KR"/>
        </w:rPr>
      </w:pPr>
      <w:r w:rsidRPr="009C5807">
        <w:rPr>
          <w:lang w:eastAsia="ko-KR"/>
        </w:rPr>
        <w:t>UE timers are used in different protocol entities to control the UE behaviour.</w:t>
      </w:r>
    </w:p>
    <w:p w14:paraId="251418B4" w14:textId="77777777" w:rsidR="0093235B" w:rsidRPr="009C5807" w:rsidRDefault="0093235B" w:rsidP="0093235B">
      <w:pPr>
        <w:pStyle w:val="Heading3"/>
      </w:pPr>
      <w:r w:rsidRPr="0017787A">
        <w:t>7.2A</w:t>
      </w:r>
      <w:r w:rsidRPr="009C5807">
        <w:t>.2</w:t>
      </w:r>
      <w:r w:rsidRPr="009C5807">
        <w:tab/>
        <w:t>Requirements</w:t>
      </w:r>
    </w:p>
    <w:p w14:paraId="0F0487A3" w14:textId="77777777" w:rsidR="0093235B" w:rsidRPr="009C5807" w:rsidRDefault="0093235B" w:rsidP="0093235B">
      <w:pPr>
        <w:rPr>
          <w:lang w:eastAsia="ko-KR"/>
        </w:rPr>
      </w:pPr>
      <w:r w:rsidRPr="009C5807">
        <w:rPr>
          <w:lang w:eastAsia="ko-KR"/>
        </w:rPr>
        <w:t xml:space="preserve">For UE timers specified in TS 38.331 [2], the UE shall comply with the timer accuracies according to Table </w:t>
      </w:r>
      <w:r w:rsidRPr="00660E3A">
        <w:rPr>
          <w:lang w:eastAsia="ko-KR"/>
        </w:rPr>
        <w:t>7.2A.</w:t>
      </w:r>
      <w:r w:rsidRPr="009C5807">
        <w:rPr>
          <w:lang w:eastAsia="ko-KR"/>
        </w:rPr>
        <w:t>2-1.</w:t>
      </w:r>
    </w:p>
    <w:p w14:paraId="3BD42E50" w14:textId="77777777" w:rsidR="0093235B" w:rsidRPr="009C5807" w:rsidRDefault="0093235B" w:rsidP="0093235B">
      <w:pPr>
        <w:rPr>
          <w:lang w:eastAsia="ko-KR"/>
        </w:rPr>
      </w:pPr>
      <w:r w:rsidRPr="009C5807">
        <w:rPr>
          <w:lang w:eastAsia="ko-KR"/>
        </w:rPr>
        <w:t>The requirements are only related to the actual timing measurements internally in the UE. They do not include the following:</w:t>
      </w:r>
    </w:p>
    <w:p w14:paraId="56019272" w14:textId="77777777" w:rsidR="0093235B" w:rsidRPr="009C5807" w:rsidRDefault="0093235B" w:rsidP="0093235B">
      <w:pPr>
        <w:pStyle w:val="B10"/>
      </w:pPr>
      <w:r w:rsidRPr="009C5807">
        <w:t>-</w:t>
      </w:r>
      <w:r w:rsidRPr="009C5807">
        <w:tab/>
        <w:t>Inaccuracy in the start and stop conditions of a timer (e.g. UE reaction time to detect that start and stop conditions of a timer is fulfilled), or</w:t>
      </w:r>
    </w:p>
    <w:p w14:paraId="155C0206" w14:textId="77777777" w:rsidR="0093235B" w:rsidRPr="009C5807" w:rsidRDefault="0093235B" w:rsidP="0093235B">
      <w:pPr>
        <w:pStyle w:val="B10"/>
      </w:pPr>
      <w:r w:rsidRPr="009C5807">
        <w:t>-</w:t>
      </w:r>
      <w:r w:rsidRPr="009C5807">
        <w:tab/>
        <w:t>Inaccuracies due to restrictions in observability of start and stop conditions of a UE timer (e.g. slot alignment when UE sends messages at timer expiry).</w:t>
      </w:r>
    </w:p>
    <w:p w14:paraId="05C65528" w14:textId="77777777" w:rsidR="0093235B" w:rsidRPr="009C5807" w:rsidRDefault="0093235B" w:rsidP="0093235B">
      <w:pPr>
        <w:pStyle w:val="TH"/>
      </w:pPr>
      <w:r w:rsidRPr="009C5807">
        <w:t>T</w:t>
      </w:r>
      <w:r w:rsidRPr="005379B9">
        <w:t xml:space="preserve">able </w:t>
      </w:r>
      <w:r w:rsidRPr="00D73E00">
        <w:t>7.2A.</w:t>
      </w:r>
      <w:r w:rsidRPr="005379B9">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2"/>
        <w:gridCol w:w="1873"/>
      </w:tblGrid>
      <w:tr w:rsidR="0093235B" w:rsidRPr="009C5807" w14:paraId="79D661EF" w14:textId="77777777" w:rsidTr="000A5666">
        <w:trPr>
          <w:cantSplit/>
          <w:jc w:val="center"/>
        </w:trPr>
        <w:tc>
          <w:tcPr>
            <w:tcW w:w="1842" w:type="dxa"/>
          </w:tcPr>
          <w:p w14:paraId="24BDA31E" w14:textId="77777777" w:rsidR="0093235B" w:rsidRPr="009C5807" w:rsidRDefault="0093235B" w:rsidP="000A5666">
            <w:pPr>
              <w:pStyle w:val="TAH"/>
              <w:rPr>
                <w:rFonts w:cs="Arial"/>
              </w:rPr>
            </w:pPr>
            <w:r w:rsidRPr="009C5807">
              <w:t>Timer value [s]</w:t>
            </w:r>
          </w:p>
        </w:tc>
        <w:tc>
          <w:tcPr>
            <w:tcW w:w="1873" w:type="dxa"/>
          </w:tcPr>
          <w:p w14:paraId="1A278999" w14:textId="77777777" w:rsidR="0093235B" w:rsidRPr="009C5807" w:rsidRDefault="0093235B" w:rsidP="000A5666">
            <w:pPr>
              <w:pStyle w:val="TAH"/>
              <w:rPr>
                <w:rFonts w:cs="Arial"/>
              </w:rPr>
            </w:pPr>
            <w:r w:rsidRPr="009C5807">
              <w:t>Accuracy</w:t>
            </w:r>
          </w:p>
        </w:tc>
      </w:tr>
      <w:tr w:rsidR="0093235B" w:rsidRPr="009C5807" w14:paraId="5413969C" w14:textId="77777777" w:rsidTr="000A5666">
        <w:trPr>
          <w:cantSplit/>
          <w:jc w:val="center"/>
        </w:trPr>
        <w:tc>
          <w:tcPr>
            <w:tcW w:w="1842" w:type="dxa"/>
            <w:vAlign w:val="center"/>
          </w:tcPr>
          <w:p w14:paraId="3078063C" w14:textId="77777777" w:rsidR="0093235B" w:rsidRPr="009C5807" w:rsidRDefault="0093235B" w:rsidP="000A5666">
            <w:pPr>
              <w:pStyle w:val="TAL"/>
            </w:pPr>
            <w:r w:rsidRPr="009C5807">
              <w:t>timer value &lt; 4</w:t>
            </w:r>
          </w:p>
        </w:tc>
        <w:tc>
          <w:tcPr>
            <w:tcW w:w="1873" w:type="dxa"/>
            <w:vAlign w:val="center"/>
          </w:tcPr>
          <w:p w14:paraId="079401BE" w14:textId="77777777" w:rsidR="0093235B" w:rsidRPr="009C5807" w:rsidRDefault="0093235B" w:rsidP="000A5666">
            <w:pPr>
              <w:pStyle w:val="TAL"/>
            </w:pPr>
            <w:r w:rsidRPr="009C5807">
              <w:sym w:font="Symbol" w:char="F0B1"/>
            </w:r>
            <w:r w:rsidRPr="009C5807">
              <w:t xml:space="preserve"> 0.1s</w:t>
            </w:r>
          </w:p>
        </w:tc>
      </w:tr>
      <w:tr w:rsidR="0093235B" w:rsidRPr="009C5807" w14:paraId="53A5BE95" w14:textId="77777777" w:rsidTr="000A5666">
        <w:trPr>
          <w:cantSplit/>
          <w:jc w:val="center"/>
        </w:trPr>
        <w:tc>
          <w:tcPr>
            <w:tcW w:w="1842" w:type="dxa"/>
          </w:tcPr>
          <w:p w14:paraId="0E85CE8B" w14:textId="77777777" w:rsidR="0093235B" w:rsidRPr="009C5807" w:rsidRDefault="0093235B" w:rsidP="000A5666">
            <w:pPr>
              <w:pStyle w:val="TAL"/>
            </w:pPr>
            <w:r w:rsidRPr="009C5807">
              <w:t xml:space="preserve">timer value </w:t>
            </w:r>
            <w:r w:rsidRPr="009C5807">
              <w:sym w:font="Symbol" w:char="F0B3"/>
            </w:r>
            <w:r w:rsidRPr="009C5807">
              <w:t xml:space="preserve"> 4</w:t>
            </w:r>
          </w:p>
        </w:tc>
        <w:tc>
          <w:tcPr>
            <w:tcW w:w="1873" w:type="dxa"/>
            <w:vAlign w:val="center"/>
          </w:tcPr>
          <w:p w14:paraId="3E51653E" w14:textId="77777777" w:rsidR="0093235B" w:rsidRPr="009C5807" w:rsidRDefault="0093235B" w:rsidP="000A5666">
            <w:pPr>
              <w:pStyle w:val="TAL"/>
            </w:pPr>
            <w:r w:rsidRPr="009C5807">
              <w:sym w:font="Symbol" w:char="F0B1"/>
            </w:r>
            <w:r w:rsidRPr="009C5807">
              <w:t xml:space="preserve"> 2.5%</w:t>
            </w:r>
          </w:p>
        </w:tc>
      </w:tr>
    </w:tbl>
    <w:p w14:paraId="77BDEBD2" w14:textId="254B1EB3" w:rsidR="0093235B" w:rsidRDefault="0093235B" w:rsidP="0093235B"/>
    <w:p w14:paraId="7AE9E432" w14:textId="77777777" w:rsidR="00834256" w:rsidRPr="00951D8A" w:rsidRDefault="00834256" w:rsidP="00834256">
      <w:pPr>
        <w:pStyle w:val="Heading2"/>
      </w:pPr>
      <w:r w:rsidRPr="00951D8A">
        <w:t>7.2C</w:t>
      </w:r>
      <w:r w:rsidRPr="00951D8A">
        <w:tab/>
        <w:t>UE timer accuracy for satellite access</w:t>
      </w:r>
    </w:p>
    <w:p w14:paraId="6AC22AD0" w14:textId="77777777" w:rsidR="00834256" w:rsidRPr="00951D8A" w:rsidRDefault="00834256" w:rsidP="00CE1D7C">
      <w:pPr>
        <w:pStyle w:val="Heading3"/>
      </w:pPr>
      <w:r w:rsidRPr="00951D8A">
        <w:t>7.2C.1</w:t>
      </w:r>
      <w:r w:rsidRPr="00951D8A">
        <w:tab/>
        <w:t>Introduction</w:t>
      </w:r>
    </w:p>
    <w:p w14:paraId="35F16719" w14:textId="77777777" w:rsidR="00834256" w:rsidRPr="00951D8A" w:rsidRDefault="00834256" w:rsidP="00834256">
      <w:pPr>
        <w:rPr>
          <w:rFonts w:eastAsia="PMingLiU"/>
          <w:lang w:eastAsia="ko-KR"/>
        </w:rPr>
      </w:pPr>
      <w:r w:rsidRPr="00951D8A">
        <w:rPr>
          <w:rFonts w:eastAsia="PMingLiU"/>
          <w:lang w:eastAsia="ko-KR"/>
        </w:rPr>
        <w:t>UE timers are used in different protocol entities to control the UE behaviour.</w:t>
      </w:r>
    </w:p>
    <w:p w14:paraId="090CF563" w14:textId="77777777" w:rsidR="00834256" w:rsidRPr="00951D8A" w:rsidRDefault="00834256" w:rsidP="00834256">
      <w:pPr>
        <w:pStyle w:val="Heading3"/>
      </w:pPr>
      <w:r w:rsidRPr="00951D8A">
        <w:t>7.2C.2</w:t>
      </w:r>
      <w:r w:rsidRPr="00951D8A">
        <w:tab/>
        <w:t>Requirements</w:t>
      </w:r>
    </w:p>
    <w:p w14:paraId="512E9F7F" w14:textId="77777777" w:rsidR="00834256" w:rsidRPr="00951D8A" w:rsidRDefault="00834256" w:rsidP="00834256">
      <w:pPr>
        <w:rPr>
          <w:rFonts w:eastAsia="PMingLiU"/>
          <w:lang w:eastAsia="ko-KR"/>
        </w:rPr>
      </w:pPr>
      <w:r w:rsidRPr="00951D8A">
        <w:rPr>
          <w:rFonts w:eastAsia="PMingLiU"/>
          <w:lang w:eastAsia="ko-KR"/>
        </w:rPr>
        <w:t>For UE timers specified in TS 38.331 [2], the UE shall comply with the timer accuracies according to Table 7.2C.2-1.</w:t>
      </w:r>
    </w:p>
    <w:p w14:paraId="04A99E63" w14:textId="77777777" w:rsidR="00834256" w:rsidRPr="00951D8A" w:rsidRDefault="00834256" w:rsidP="00834256">
      <w:pPr>
        <w:rPr>
          <w:rFonts w:eastAsia="PMingLiU"/>
          <w:lang w:eastAsia="ko-KR"/>
        </w:rPr>
      </w:pPr>
      <w:r w:rsidRPr="00951D8A">
        <w:rPr>
          <w:rFonts w:eastAsia="PMingLiU"/>
          <w:lang w:eastAsia="ko-KR"/>
        </w:rPr>
        <w:t>The requirements are only related to the actual timing measurements internally in the UE. They do not include the following:</w:t>
      </w:r>
    </w:p>
    <w:p w14:paraId="7A2DE7DF" w14:textId="77777777" w:rsidR="00834256" w:rsidRPr="00951D8A" w:rsidRDefault="00834256" w:rsidP="00834256">
      <w:pPr>
        <w:pStyle w:val="B10"/>
      </w:pPr>
      <w:r w:rsidRPr="00951D8A">
        <w:t>-</w:t>
      </w:r>
      <w:r w:rsidRPr="00951D8A">
        <w:tab/>
        <w:t>Inaccuracy in the start and stop conditions of a timer (e.g. UE reaction time to detect that start and stop conditions of a timer is fulfilled), or</w:t>
      </w:r>
    </w:p>
    <w:p w14:paraId="4E2540C9" w14:textId="77777777" w:rsidR="00834256" w:rsidRPr="00951D8A" w:rsidRDefault="00834256" w:rsidP="00834256">
      <w:pPr>
        <w:pStyle w:val="B10"/>
      </w:pPr>
      <w:r w:rsidRPr="00951D8A">
        <w:t>-</w:t>
      </w:r>
      <w:r w:rsidRPr="00951D8A">
        <w:tab/>
        <w:t>Inaccuracies due to restrictions in observability of start and stop conditions of a UE timer (e.g. slot alignment when UE sends messages at timer expiry).</w:t>
      </w:r>
    </w:p>
    <w:p w14:paraId="063332B8" w14:textId="7DBCB81B" w:rsidR="00834256" w:rsidRPr="00951D8A" w:rsidRDefault="001B2196" w:rsidP="00834256">
      <w:pPr>
        <w:pStyle w:val="TH"/>
      </w:pPr>
      <w:r w:rsidRPr="00951D8A">
        <w:t>Table 7.2</w:t>
      </w:r>
      <w:r>
        <w:rPr>
          <w:rFonts w:hint="eastAsia"/>
          <w:lang w:eastAsia="zh-CN"/>
        </w:rPr>
        <w:t>C</w:t>
      </w:r>
      <w:r w:rsidRPr="00951D8A">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2"/>
        <w:gridCol w:w="1873"/>
      </w:tblGrid>
      <w:tr w:rsidR="00834256" w:rsidRPr="00951D8A" w14:paraId="187B8759" w14:textId="77777777" w:rsidTr="00A70AB2">
        <w:trPr>
          <w:cantSplit/>
          <w:jc w:val="center"/>
        </w:trPr>
        <w:tc>
          <w:tcPr>
            <w:tcW w:w="1842" w:type="dxa"/>
          </w:tcPr>
          <w:p w14:paraId="752D6C32" w14:textId="77777777" w:rsidR="00834256" w:rsidRPr="00951D8A" w:rsidRDefault="00834256" w:rsidP="00A70AB2">
            <w:pPr>
              <w:keepNext/>
              <w:keepLines/>
              <w:spacing w:after="0"/>
              <w:jc w:val="center"/>
              <w:rPr>
                <w:rFonts w:ascii="Arial" w:eastAsia="PMingLiU" w:hAnsi="Arial" w:cs="Arial"/>
                <w:b/>
                <w:sz w:val="18"/>
              </w:rPr>
            </w:pPr>
            <w:r w:rsidRPr="00951D8A">
              <w:rPr>
                <w:rFonts w:ascii="Arial" w:eastAsia="PMingLiU" w:hAnsi="Arial"/>
                <w:b/>
                <w:sz w:val="18"/>
              </w:rPr>
              <w:t>Timer value [s]</w:t>
            </w:r>
          </w:p>
        </w:tc>
        <w:tc>
          <w:tcPr>
            <w:tcW w:w="1873" w:type="dxa"/>
          </w:tcPr>
          <w:p w14:paraId="6A9CB292" w14:textId="77777777" w:rsidR="00834256" w:rsidRPr="00951D8A" w:rsidRDefault="00834256" w:rsidP="00A70AB2">
            <w:pPr>
              <w:keepNext/>
              <w:keepLines/>
              <w:spacing w:after="0"/>
              <w:jc w:val="center"/>
              <w:rPr>
                <w:rFonts w:ascii="Arial" w:eastAsia="PMingLiU" w:hAnsi="Arial" w:cs="Arial"/>
                <w:b/>
                <w:sz w:val="18"/>
              </w:rPr>
            </w:pPr>
            <w:r w:rsidRPr="00951D8A">
              <w:rPr>
                <w:rFonts w:ascii="Arial" w:eastAsia="PMingLiU" w:hAnsi="Arial"/>
                <w:b/>
                <w:sz w:val="18"/>
              </w:rPr>
              <w:t>Accuracy</w:t>
            </w:r>
          </w:p>
        </w:tc>
      </w:tr>
      <w:tr w:rsidR="00834256" w:rsidRPr="00951D8A" w14:paraId="55F91944" w14:textId="77777777" w:rsidTr="00A70AB2">
        <w:trPr>
          <w:cantSplit/>
          <w:jc w:val="center"/>
        </w:trPr>
        <w:tc>
          <w:tcPr>
            <w:tcW w:w="1842" w:type="dxa"/>
            <w:vAlign w:val="center"/>
          </w:tcPr>
          <w:p w14:paraId="560421EB" w14:textId="77777777" w:rsidR="00834256" w:rsidRPr="00951D8A" w:rsidRDefault="00834256" w:rsidP="00A70AB2">
            <w:pPr>
              <w:keepNext/>
              <w:keepLines/>
              <w:spacing w:after="0"/>
              <w:rPr>
                <w:rFonts w:ascii="Arial" w:eastAsia="PMingLiU" w:hAnsi="Arial"/>
                <w:sz w:val="18"/>
              </w:rPr>
            </w:pPr>
            <w:r w:rsidRPr="00951D8A">
              <w:rPr>
                <w:rFonts w:ascii="Arial" w:eastAsia="PMingLiU" w:hAnsi="Arial"/>
                <w:sz w:val="18"/>
              </w:rPr>
              <w:t>timer value &lt; 4</w:t>
            </w:r>
          </w:p>
        </w:tc>
        <w:tc>
          <w:tcPr>
            <w:tcW w:w="1873" w:type="dxa"/>
            <w:vAlign w:val="center"/>
          </w:tcPr>
          <w:p w14:paraId="7796243C" w14:textId="77777777" w:rsidR="00834256" w:rsidRPr="00951D8A" w:rsidRDefault="00834256" w:rsidP="00A70AB2">
            <w:pPr>
              <w:keepNext/>
              <w:keepLines/>
              <w:spacing w:after="0"/>
              <w:rPr>
                <w:rFonts w:ascii="Arial" w:eastAsia="PMingLiU" w:hAnsi="Arial"/>
                <w:sz w:val="18"/>
              </w:rPr>
            </w:pPr>
            <w:r w:rsidRPr="00951D8A">
              <w:rPr>
                <w:rFonts w:ascii="Arial" w:eastAsia="PMingLiU" w:hAnsi="Arial"/>
                <w:sz w:val="18"/>
              </w:rPr>
              <w:sym w:font="Symbol" w:char="F0B1"/>
            </w:r>
            <w:r w:rsidRPr="00951D8A">
              <w:rPr>
                <w:rFonts w:ascii="Arial" w:eastAsia="PMingLiU" w:hAnsi="Arial"/>
                <w:sz w:val="18"/>
              </w:rPr>
              <w:t xml:space="preserve"> 0.1s</w:t>
            </w:r>
          </w:p>
        </w:tc>
      </w:tr>
      <w:tr w:rsidR="00834256" w:rsidRPr="00951D8A" w14:paraId="3004F945" w14:textId="77777777" w:rsidTr="00A70AB2">
        <w:trPr>
          <w:cantSplit/>
          <w:jc w:val="center"/>
        </w:trPr>
        <w:tc>
          <w:tcPr>
            <w:tcW w:w="1842" w:type="dxa"/>
          </w:tcPr>
          <w:p w14:paraId="504B2F20" w14:textId="77777777" w:rsidR="00834256" w:rsidRPr="00951D8A" w:rsidRDefault="00834256" w:rsidP="00A70AB2">
            <w:pPr>
              <w:keepNext/>
              <w:keepLines/>
              <w:spacing w:after="0"/>
              <w:rPr>
                <w:rFonts w:ascii="Arial" w:eastAsia="PMingLiU" w:hAnsi="Arial"/>
                <w:sz w:val="18"/>
              </w:rPr>
            </w:pPr>
            <w:r w:rsidRPr="00951D8A">
              <w:rPr>
                <w:rFonts w:ascii="Arial" w:eastAsia="PMingLiU" w:hAnsi="Arial"/>
                <w:sz w:val="18"/>
              </w:rPr>
              <w:t xml:space="preserve">timer value </w:t>
            </w:r>
            <w:r w:rsidRPr="00951D8A">
              <w:rPr>
                <w:rFonts w:ascii="Arial" w:eastAsia="PMingLiU" w:hAnsi="Arial"/>
                <w:sz w:val="18"/>
              </w:rPr>
              <w:sym w:font="Symbol" w:char="F0B3"/>
            </w:r>
            <w:r w:rsidRPr="00951D8A">
              <w:rPr>
                <w:rFonts w:ascii="Arial" w:eastAsia="PMingLiU" w:hAnsi="Arial"/>
                <w:sz w:val="18"/>
              </w:rPr>
              <w:t xml:space="preserve"> 4</w:t>
            </w:r>
          </w:p>
        </w:tc>
        <w:tc>
          <w:tcPr>
            <w:tcW w:w="1873" w:type="dxa"/>
            <w:vAlign w:val="center"/>
          </w:tcPr>
          <w:p w14:paraId="6F5BCE44" w14:textId="77777777" w:rsidR="00834256" w:rsidRPr="00951D8A" w:rsidRDefault="00834256" w:rsidP="00A70AB2">
            <w:pPr>
              <w:keepNext/>
              <w:keepLines/>
              <w:spacing w:after="0"/>
              <w:rPr>
                <w:rFonts w:ascii="Arial" w:eastAsia="PMingLiU" w:hAnsi="Arial"/>
                <w:sz w:val="18"/>
              </w:rPr>
            </w:pPr>
            <w:r w:rsidRPr="00951D8A">
              <w:rPr>
                <w:rFonts w:ascii="Arial" w:eastAsia="PMingLiU" w:hAnsi="Arial"/>
                <w:sz w:val="18"/>
              </w:rPr>
              <w:sym w:font="Symbol" w:char="F0B1"/>
            </w:r>
            <w:r w:rsidRPr="00951D8A">
              <w:rPr>
                <w:rFonts w:ascii="Arial" w:eastAsia="PMingLiU" w:hAnsi="Arial"/>
                <w:sz w:val="18"/>
              </w:rPr>
              <w:t xml:space="preserve"> 2.5%</w:t>
            </w:r>
          </w:p>
        </w:tc>
      </w:tr>
    </w:tbl>
    <w:p w14:paraId="49DB9B91" w14:textId="77777777" w:rsidR="00834256" w:rsidRPr="00474A77" w:rsidRDefault="00834256" w:rsidP="00834256"/>
    <w:p w14:paraId="5B05438C" w14:textId="3095A3E9" w:rsidR="00A549F6" w:rsidRPr="009C5807" w:rsidRDefault="00A549F6" w:rsidP="00A549F6">
      <w:pPr>
        <w:pStyle w:val="Heading2"/>
      </w:pPr>
      <w:r w:rsidRPr="009C5807">
        <w:t>7.3</w:t>
      </w:r>
      <w:r w:rsidRPr="009C5807">
        <w:tab/>
        <w:t>Timing advance</w:t>
      </w:r>
      <w:bookmarkEnd w:id="140"/>
    </w:p>
    <w:p w14:paraId="73FD3D27" w14:textId="77777777" w:rsidR="00A549F6" w:rsidRPr="009C5807" w:rsidRDefault="00A549F6" w:rsidP="00A549F6">
      <w:pPr>
        <w:pStyle w:val="Heading3"/>
      </w:pPr>
      <w:bookmarkStart w:id="142" w:name="_Toc535475934"/>
      <w:r w:rsidRPr="009C5807">
        <w:t>7.3.1</w:t>
      </w:r>
      <w:r w:rsidRPr="009C5807">
        <w:tab/>
        <w:t>Introduction</w:t>
      </w:r>
      <w:bookmarkEnd w:id="142"/>
    </w:p>
    <w:p w14:paraId="62EEDD7D" w14:textId="1610A282" w:rsidR="0057627A" w:rsidRPr="009C5807" w:rsidRDefault="0057627A" w:rsidP="0057627A">
      <w:bookmarkStart w:id="143" w:name="_Toc535475935"/>
      <w:r w:rsidRPr="009C5807">
        <w:t xml:space="preserve">The timing advance is initiated from gNB to UE in EN-DC, NR-DC, NE-DC and NR SA operation modes, with MAC message that implies the adjustment of the timing advance, as defined in </w:t>
      </w:r>
      <w:r w:rsidRPr="009C5807">
        <w:rPr>
          <w:rFonts w:cs="v4.2.0"/>
        </w:rPr>
        <w:t>clause </w:t>
      </w:r>
      <w:r w:rsidRPr="009C5807">
        <w:t>5.2 of TS 38.321 [7].</w:t>
      </w:r>
    </w:p>
    <w:p w14:paraId="48826404" w14:textId="77777777" w:rsidR="00A549F6" w:rsidRPr="009C5807" w:rsidRDefault="00A549F6" w:rsidP="00A549F6">
      <w:pPr>
        <w:pStyle w:val="Heading3"/>
      </w:pPr>
      <w:r w:rsidRPr="009C5807">
        <w:t>7.3.2</w:t>
      </w:r>
      <w:r w:rsidRPr="009C5807">
        <w:tab/>
        <w:t>Requirements</w:t>
      </w:r>
      <w:bookmarkEnd w:id="143"/>
    </w:p>
    <w:p w14:paraId="4D43CD36" w14:textId="77777777" w:rsidR="00A549F6" w:rsidRPr="009C5807" w:rsidRDefault="00A549F6" w:rsidP="00A549F6">
      <w:pPr>
        <w:pStyle w:val="Heading4"/>
      </w:pPr>
      <w:bookmarkStart w:id="144" w:name="_Toc535475936"/>
      <w:r w:rsidRPr="009C5807">
        <w:t>7.3.2.1</w:t>
      </w:r>
      <w:r w:rsidRPr="009C5807">
        <w:tab/>
        <w:t>Timing Advance adjustment delay</w:t>
      </w:r>
      <w:bookmarkEnd w:id="144"/>
    </w:p>
    <w:p w14:paraId="3D246FB4" w14:textId="77777777" w:rsidR="00A549F6" w:rsidRPr="009C5807" w:rsidRDefault="00A549F6" w:rsidP="00A549F6">
      <w:r w:rsidRPr="009C5807">
        <w:t xml:space="preserve">UE shall adjust the timing of its uplink transmission timing at time slot </w:t>
      </w:r>
      <w:r w:rsidRPr="009C5807">
        <w:rPr>
          <w:i/>
        </w:rPr>
        <w:t>n</w:t>
      </w:r>
      <w:r w:rsidRPr="009C5807">
        <w:t>+</w:t>
      </w:r>
      <w:r w:rsidRPr="009C5807">
        <w:rPr>
          <w:i/>
        </w:rPr>
        <w:t xml:space="preserve"> k+1</w:t>
      </w:r>
      <w:r w:rsidRPr="009C5807">
        <w:t xml:space="preserve"> for a timing advance command received in time slot </w:t>
      </w:r>
      <w:r w:rsidRPr="009C5807">
        <w:rPr>
          <w:i/>
        </w:rPr>
        <w:t>n</w:t>
      </w:r>
      <w:r w:rsidRPr="009C5807">
        <w:t xml:space="preserve">, and the value of </w:t>
      </w:r>
      <w:r w:rsidRPr="009C5807">
        <w:rPr>
          <w:i/>
        </w:rPr>
        <w:t>k</w:t>
      </w:r>
      <w:r w:rsidRPr="009C5807">
        <w:t xml:space="preserve"> is defined in clause 4.2 in </w:t>
      </w:r>
      <w:r w:rsidRPr="009C5807">
        <w:rPr>
          <w:lang w:val="en-US"/>
        </w:rPr>
        <w:t>TS 38.213 [3]</w:t>
      </w:r>
      <w:r w:rsidRPr="009C5807">
        <w:t xml:space="preserve">. </w:t>
      </w:r>
      <w:r w:rsidRPr="009C5807">
        <w:rPr>
          <w:rFonts w:cs="v4.2.0"/>
        </w:rPr>
        <w:t>The same requirement applies also when the UE is not able to transmit a configured uplink transmission due to the channel assessment procedure.</w:t>
      </w:r>
    </w:p>
    <w:p w14:paraId="39DE1320" w14:textId="77777777" w:rsidR="00A549F6" w:rsidRPr="009C5807" w:rsidRDefault="00A549F6" w:rsidP="00A549F6">
      <w:pPr>
        <w:pStyle w:val="Heading4"/>
      </w:pPr>
      <w:bookmarkStart w:id="145" w:name="_Toc535475937"/>
      <w:r w:rsidRPr="009C5807">
        <w:t>7.3.2.2</w:t>
      </w:r>
      <w:r w:rsidRPr="009C5807">
        <w:tab/>
        <w:t>Timing Advance adjustment accuracy</w:t>
      </w:r>
      <w:bookmarkEnd w:id="145"/>
    </w:p>
    <w:p w14:paraId="17907816" w14:textId="77777777" w:rsidR="00A549F6" w:rsidRPr="009C5807" w:rsidRDefault="00A549F6" w:rsidP="00A549F6">
      <w:pPr>
        <w:rPr>
          <w:rFonts w:eastAsia="?? ??"/>
        </w:rPr>
      </w:pPr>
      <w:r w:rsidRPr="009C5807">
        <w:rPr>
          <w:rFonts w:eastAsia="?? ??" w:cs="v3.7.0"/>
        </w:rPr>
        <w:t xml:space="preserve">The UE shall adjust the timing of its transmissions with a relative accuracy better than or equal to the UE Timing Advance adjustment accuracy requirement in Table 7.3.2.2-1, to the signalled timing advance value compared to the timing of preceding uplink transmission. </w:t>
      </w:r>
      <w:r w:rsidRPr="009C5807">
        <w:t xml:space="preserve">The timing advance command step </w:t>
      </w:r>
      <w:r w:rsidRPr="009C5807">
        <w:rPr>
          <w:lang w:val="en-US"/>
        </w:rPr>
        <w:t>is defined in TS 38.213 [3].</w:t>
      </w:r>
    </w:p>
    <w:p w14:paraId="2D4DA1A8" w14:textId="77777777" w:rsidR="000433CC" w:rsidRPr="009C5807" w:rsidRDefault="000433CC" w:rsidP="000433CC">
      <w:pPr>
        <w:pStyle w:val="TH"/>
        <w:rPr>
          <w:lang w:val="en-US"/>
        </w:rPr>
      </w:pPr>
      <w:r w:rsidRPr="009C5807">
        <w:t>Table 7.3.2.2-</w:t>
      </w:r>
      <w:r w:rsidRPr="009C5807">
        <w:rPr>
          <w:lang w:eastAsia="ja-JP"/>
        </w:rPr>
        <w:t>1</w:t>
      </w:r>
      <w:r w:rsidRPr="009C5807">
        <w:t xml:space="preserve">: </w:t>
      </w:r>
      <w:r w:rsidRPr="009C5807">
        <w:rPr>
          <w:lang w:eastAsia="ja-JP"/>
        </w:rPr>
        <w:t>UE Timing Advance adjustment accuracy</w:t>
      </w:r>
    </w:p>
    <w:tbl>
      <w:tblPr>
        <w:tblW w:w="8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982"/>
        <w:gridCol w:w="1002"/>
        <w:gridCol w:w="992"/>
        <w:gridCol w:w="1134"/>
        <w:gridCol w:w="1134"/>
        <w:gridCol w:w="1134"/>
      </w:tblGrid>
      <w:tr w:rsidR="000433CC" w:rsidRPr="009C5807" w14:paraId="376200D7" w14:textId="77777777" w:rsidTr="00625412">
        <w:trPr>
          <w:trHeight w:val="315"/>
          <w:jc w:val="center"/>
        </w:trPr>
        <w:tc>
          <w:tcPr>
            <w:tcW w:w="2260" w:type="dxa"/>
            <w:shd w:val="clear" w:color="auto" w:fill="auto"/>
            <w:hideMark/>
          </w:tcPr>
          <w:p w14:paraId="163F74E3" w14:textId="77777777" w:rsidR="000433CC" w:rsidRPr="009C5807" w:rsidRDefault="000433CC" w:rsidP="00625412">
            <w:pPr>
              <w:pStyle w:val="TAH"/>
            </w:pPr>
            <w:r w:rsidRPr="009C5807">
              <w:t>UL Sub Carrier Spacing(kHz)</w:t>
            </w:r>
          </w:p>
        </w:tc>
        <w:tc>
          <w:tcPr>
            <w:tcW w:w="982" w:type="dxa"/>
            <w:shd w:val="clear" w:color="auto" w:fill="auto"/>
            <w:vAlign w:val="center"/>
            <w:hideMark/>
          </w:tcPr>
          <w:p w14:paraId="1B73ED8D" w14:textId="77777777" w:rsidR="000433CC" w:rsidRPr="009C5807" w:rsidRDefault="000433CC" w:rsidP="00625412">
            <w:pPr>
              <w:pStyle w:val="TAH"/>
              <w:rPr>
                <w:lang w:val="en-US"/>
              </w:rPr>
            </w:pPr>
            <w:r w:rsidRPr="009C5807">
              <w:t>15</w:t>
            </w:r>
          </w:p>
        </w:tc>
        <w:tc>
          <w:tcPr>
            <w:tcW w:w="1002" w:type="dxa"/>
            <w:shd w:val="clear" w:color="auto" w:fill="auto"/>
            <w:vAlign w:val="center"/>
            <w:hideMark/>
          </w:tcPr>
          <w:p w14:paraId="496CFFD5" w14:textId="77777777" w:rsidR="000433CC" w:rsidRPr="009C5807" w:rsidRDefault="000433CC" w:rsidP="00625412">
            <w:pPr>
              <w:pStyle w:val="TAH"/>
              <w:rPr>
                <w:lang w:val="en-US"/>
              </w:rPr>
            </w:pPr>
            <w:r w:rsidRPr="009C5807">
              <w:t>30</w:t>
            </w:r>
          </w:p>
        </w:tc>
        <w:tc>
          <w:tcPr>
            <w:tcW w:w="992" w:type="dxa"/>
            <w:shd w:val="clear" w:color="auto" w:fill="auto"/>
            <w:vAlign w:val="center"/>
            <w:hideMark/>
          </w:tcPr>
          <w:p w14:paraId="759F5E66" w14:textId="77777777" w:rsidR="000433CC" w:rsidRPr="009C5807" w:rsidRDefault="000433CC" w:rsidP="00625412">
            <w:pPr>
              <w:pStyle w:val="TAH"/>
              <w:rPr>
                <w:lang w:val="en-US"/>
              </w:rPr>
            </w:pPr>
            <w:r w:rsidRPr="009C5807">
              <w:t>60</w:t>
            </w:r>
          </w:p>
        </w:tc>
        <w:tc>
          <w:tcPr>
            <w:tcW w:w="1134" w:type="dxa"/>
            <w:shd w:val="clear" w:color="auto" w:fill="auto"/>
            <w:vAlign w:val="center"/>
            <w:hideMark/>
          </w:tcPr>
          <w:p w14:paraId="7DF56EF4" w14:textId="77777777" w:rsidR="000433CC" w:rsidRPr="009C5807" w:rsidRDefault="000433CC" w:rsidP="00625412">
            <w:pPr>
              <w:pStyle w:val="TAH"/>
              <w:rPr>
                <w:lang w:val="en-US"/>
              </w:rPr>
            </w:pPr>
            <w:r w:rsidRPr="009C5807">
              <w:t>120</w:t>
            </w:r>
          </w:p>
        </w:tc>
        <w:tc>
          <w:tcPr>
            <w:tcW w:w="1134" w:type="dxa"/>
            <w:vAlign w:val="center"/>
          </w:tcPr>
          <w:p w14:paraId="4BAE893E" w14:textId="77777777" w:rsidR="000433CC" w:rsidRPr="009C5807" w:rsidRDefault="000433CC" w:rsidP="00625412">
            <w:pPr>
              <w:pStyle w:val="TAH"/>
            </w:pPr>
            <w:r>
              <w:t>48</w:t>
            </w:r>
            <w:r w:rsidRPr="009C5807">
              <w:t>0</w:t>
            </w:r>
          </w:p>
        </w:tc>
        <w:tc>
          <w:tcPr>
            <w:tcW w:w="1134" w:type="dxa"/>
            <w:vAlign w:val="center"/>
          </w:tcPr>
          <w:p w14:paraId="01D3DA15" w14:textId="77777777" w:rsidR="000433CC" w:rsidRPr="009C5807" w:rsidRDefault="000433CC" w:rsidP="00625412">
            <w:pPr>
              <w:pStyle w:val="TAH"/>
            </w:pPr>
            <w:r>
              <w:t>96</w:t>
            </w:r>
            <w:r w:rsidRPr="009C5807">
              <w:t>0</w:t>
            </w:r>
          </w:p>
        </w:tc>
      </w:tr>
      <w:tr w:rsidR="000433CC" w:rsidRPr="009C5807" w14:paraId="1F064998" w14:textId="77777777" w:rsidTr="00625412">
        <w:trPr>
          <w:trHeight w:val="525"/>
          <w:jc w:val="center"/>
        </w:trPr>
        <w:tc>
          <w:tcPr>
            <w:tcW w:w="2260" w:type="dxa"/>
            <w:shd w:val="clear" w:color="auto" w:fill="auto"/>
            <w:hideMark/>
          </w:tcPr>
          <w:p w14:paraId="45C70E33" w14:textId="77777777" w:rsidR="000433CC" w:rsidRPr="009C5807" w:rsidRDefault="000433CC" w:rsidP="00625412">
            <w:pPr>
              <w:pStyle w:val="TAH"/>
            </w:pPr>
            <w:r w:rsidRPr="009C5807">
              <w:t>UE Timing Advance adjustment accuracy</w:t>
            </w:r>
          </w:p>
        </w:tc>
        <w:tc>
          <w:tcPr>
            <w:tcW w:w="982" w:type="dxa"/>
            <w:shd w:val="clear" w:color="auto" w:fill="auto"/>
            <w:vAlign w:val="center"/>
            <w:hideMark/>
          </w:tcPr>
          <w:p w14:paraId="0078A00F" w14:textId="77777777" w:rsidR="000433CC" w:rsidRPr="009C5807" w:rsidRDefault="000433CC" w:rsidP="00625412">
            <w:pPr>
              <w:pStyle w:val="TAC"/>
              <w:rPr>
                <w:lang w:val="en-US"/>
              </w:rPr>
            </w:pPr>
            <w:r w:rsidRPr="009C5807">
              <w:rPr>
                <w:szCs w:val="22"/>
                <w:lang w:val="en-US"/>
              </w:rPr>
              <w:t>±</w:t>
            </w:r>
            <w:r w:rsidRPr="009C5807">
              <w:t>256 T</w:t>
            </w:r>
            <w:r w:rsidRPr="009C5807">
              <w:rPr>
                <w:vertAlign w:val="subscript"/>
              </w:rPr>
              <w:t>c</w:t>
            </w:r>
          </w:p>
        </w:tc>
        <w:tc>
          <w:tcPr>
            <w:tcW w:w="1002" w:type="dxa"/>
            <w:shd w:val="clear" w:color="auto" w:fill="auto"/>
            <w:vAlign w:val="center"/>
            <w:hideMark/>
          </w:tcPr>
          <w:p w14:paraId="2EA117A6" w14:textId="77777777" w:rsidR="000433CC" w:rsidRPr="009C5807" w:rsidRDefault="000433CC" w:rsidP="00625412">
            <w:pPr>
              <w:pStyle w:val="TAC"/>
              <w:rPr>
                <w:lang w:val="en-US"/>
              </w:rPr>
            </w:pPr>
            <w:r w:rsidRPr="009C5807">
              <w:rPr>
                <w:szCs w:val="22"/>
                <w:lang w:val="en-US"/>
              </w:rPr>
              <w:t>±</w:t>
            </w:r>
            <w:r w:rsidRPr="009C5807">
              <w:t>256 T</w:t>
            </w:r>
            <w:r w:rsidRPr="009C5807">
              <w:rPr>
                <w:vertAlign w:val="subscript"/>
              </w:rPr>
              <w:t>c</w:t>
            </w:r>
          </w:p>
        </w:tc>
        <w:tc>
          <w:tcPr>
            <w:tcW w:w="992" w:type="dxa"/>
            <w:shd w:val="clear" w:color="auto" w:fill="auto"/>
            <w:vAlign w:val="center"/>
            <w:hideMark/>
          </w:tcPr>
          <w:p w14:paraId="7514F79F" w14:textId="77777777" w:rsidR="000433CC" w:rsidRPr="009C5807" w:rsidRDefault="000433CC" w:rsidP="00625412">
            <w:pPr>
              <w:pStyle w:val="TAC"/>
              <w:rPr>
                <w:lang w:val="en-US"/>
              </w:rPr>
            </w:pPr>
            <w:r w:rsidRPr="009C5807">
              <w:rPr>
                <w:szCs w:val="22"/>
                <w:lang w:val="en-US"/>
              </w:rPr>
              <w:t>±</w:t>
            </w:r>
            <w:r w:rsidRPr="009C5807">
              <w:t>128 T</w:t>
            </w:r>
            <w:r w:rsidRPr="009C5807">
              <w:rPr>
                <w:vertAlign w:val="subscript"/>
              </w:rPr>
              <w:t>c</w:t>
            </w:r>
          </w:p>
        </w:tc>
        <w:tc>
          <w:tcPr>
            <w:tcW w:w="1134" w:type="dxa"/>
            <w:shd w:val="clear" w:color="auto" w:fill="auto"/>
            <w:vAlign w:val="center"/>
            <w:hideMark/>
          </w:tcPr>
          <w:p w14:paraId="406C7C92" w14:textId="77777777" w:rsidR="000433CC" w:rsidRPr="009C5807" w:rsidRDefault="000433CC" w:rsidP="00625412">
            <w:pPr>
              <w:pStyle w:val="TAC"/>
              <w:rPr>
                <w:lang w:val="en-US"/>
              </w:rPr>
            </w:pPr>
            <w:r w:rsidRPr="009C5807">
              <w:rPr>
                <w:szCs w:val="22"/>
                <w:lang w:val="en-US"/>
              </w:rPr>
              <w:t>±</w:t>
            </w:r>
            <w:r w:rsidRPr="009C5807">
              <w:t>32 T</w:t>
            </w:r>
            <w:r w:rsidRPr="009C5807">
              <w:rPr>
                <w:vertAlign w:val="subscript"/>
              </w:rPr>
              <w:t>c</w:t>
            </w:r>
          </w:p>
        </w:tc>
        <w:tc>
          <w:tcPr>
            <w:tcW w:w="1134" w:type="dxa"/>
            <w:vAlign w:val="center"/>
          </w:tcPr>
          <w:p w14:paraId="1CF3BB31" w14:textId="37C31901" w:rsidR="000433CC" w:rsidRPr="007E134D" w:rsidRDefault="000433CC" w:rsidP="00625412">
            <w:pPr>
              <w:pStyle w:val="TAC"/>
              <w:rPr>
                <w:szCs w:val="22"/>
                <w:lang w:val="en-US"/>
              </w:rPr>
            </w:pPr>
            <w:r w:rsidRPr="007E134D">
              <w:rPr>
                <w:szCs w:val="22"/>
                <w:lang w:val="en-US"/>
              </w:rPr>
              <w:t>±10</w:t>
            </w:r>
            <w:r w:rsidRPr="007E134D">
              <w:t xml:space="preserve"> T</w:t>
            </w:r>
            <w:r w:rsidRPr="007E134D">
              <w:rPr>
                <w:vertAlign w:val="subscript"/>
              </w:rPr>
              <w:t>c</w:t>
            </w:r>
          </w:p>
        </w:tc>
        <w:tc>
          <w:tcPr>
            <w:tcW w:w="1134" w:type="dxa"/>
            <w:vAlign w:val="center"/>
          </w:tcPr>
          <w:p w14:paraId="4D610B96" w14:textId="797911B4" w:rsidR="000433CC" w:rsidRPr="007E134D" w:rsidRDefault="000433CC" w:rsidP="00625412">
            <w:pPr>
              <w:pStyle w:val="TAC"/>
              <w:rPr>
                <w:szCs w:val="22"/>
                <w:lang w:val="en-US"/>
              </w:rPr>
            </w:pPr>
            <w:r w:rsidRPr="007E134D">
              <w:rPr>
                <w:szCs w:val="22"/>
                <w:lang w:val="en-US"/>
              </w:rPr>
              <w:t>±6</w:t>
            </w:r>
            <w:r w:rsidRPr="007E134D">
              <w:t xml:space="preserve"> T</w:t>
            </w:r>
            <w:r w:rsidRPr="007E134D">
              <w:rPr>
                <w:vertAlign w:val="subscript"/>
              </w:rPr>
              <w:t>c</w:t>
            </w:r>
          </w:p>
        </w:tc>
      </w:tr>
    </w:tbl>
    <w:p w14:paraId="45885F8A" w14:textId="77777777" w:rsidR="00C55A8B" w:rsidRDefault="00C55A8B" w:rsidP="0051547F"/>
    <w:p w14:paraId="66EF81E8" w14:textId="5B6DCFDB" w:rsidR="0051547F" w:rsidRPr="009832CC" w:rsidRDefault="0051547F" w:rsidP="0051547F">
      <w:pPr>
        <w:pStyle w:val="Heading2"/>
      </w:pPr>
      <w:r w:rsidRPr="009832CC">
        <w:t>7.3A</w:t>
      </w:r>
      <w:r>
        <w:tab/>
      </w:r>
      <w:r w:rsidRPr="009832CC">
        <w:t>Timing Advance for RedCap</w:t>
      </w:r>
    </w:p>
    <w:p w14:paraId="0D5794E6" w14:textId="77777777" w:rsidR="0051547F" w:rsidRPr="009C5807" w:rsidRDefault="0051547F" w:rsidP="0051547F">
      <w:pPr>
        <w:pStyle w:val="Heading3"/>
      </w:pPr>
      <w:r w:rsidRPr="0017787A">
        <w:t>7.3A</w:t>
      </w:r>
      <w:r w:rsidRPr="009C5807">
        <w:t>.1</w:t>
      </w:r>
      <w:r w:rsidRPr="009C5807">
        <w:tab/>
        <w:t>Introduction</w:t>
      </w:r>
    </w:p>
    <w:p w14:paraId="73F7F971" w14:textId="77777777" w:rsidR="0051547F" w:rsidRPr="009C5807" w:rsidRDefault="0051547F" w:rsidP="0051547F">
      <w:r w:rsidRPr="009C5807">
        <w:t>The timing advance is initiated from gNB to UE</w:t>
      </w:r>
      <w:r w:rsidRPr="004D50A0">
        <w:t xml:space="preserve"> configured with only PCell</w:t>
      </w:r>
      <w:r w:rsidRPr="009C5807">
        <w:t xml:space="preserve">, with MAC message that implies the adjustment of the timing advance, as defined in </w:t>
      </w:r>
      <w:r w:rsidRPr="009C5807">
        <w:rPr>
          <w:rFonts w:cs="v4.2.0"/>
        </w:rPr>
        <w:t>clause </w:t>
      </w:r>
      <w:r w:rsidRPr="009C5807">
        <w:t>5.2 of TS 38.321 [7].</w:t>
      </w:r>
    </w:p>
    <w:p w14:paraId="0B29659B" w14:textId="77777777" w:rsidR="0051547F" w:rsidRPr="009C5807" w:rsidRDefault="0051547F" w:rsidP="0051547F">
      <w:pPr>
        <w:pStyle w:val="Heading3"/>
      </w:pPr>
      <w:r w:rsidRPr="0017787A">
        <w:t>7.3A</w:t>
      </w:r>
      <w:r w:rsidRPr="009C5807">
        <w:t>.2</w:t>
      </w:r>
      <w:r w:rsidRPr="009C5807">
        <w:tab/>
        <w:t>Requirements</w:t>
      </w:r>
    </w:p>
    <w:p w14:paraId="4E2BA108" w14:textId="77777777" w:rsidR="0051547F" w:rsidRPr="009C5807" w:rsidRDefault="0051547F" w:rsidP="0051547F">
      <w:pPr>
        <w:pStyle w:val="Heading4"/>
      </w:pPr>
      <w:r w:rsidRPr="0017787A">
        <w:t>7.3A</w:t>
      </w:r>
      <w:r w:rsidRPr="009C5807">
        <w:t>.2.1</w:t>
      </w:r>
      <w:r w:rsidRPr="009C5807">
        <w:tab/>
        <w:t>Timing Advance adjustment delay</w:t>
      </w:r>
    </w:p>
    <w:p w14:paraId="7ACD92CF" w14:textId="77777777" w:rsidR="0051547F" w:rsidRPr="009C5807" w:rsidRDefault="0051547F" w:rsidP="0051547F">
      <w:r w:rsidRPr="009C5807">
        <w:t xml:space="preserve">UE shall adjust the timing of its uplink transmission at time slot </w:t>
      </w:r>
      <w:r w:rsidRPr="009C5807">
        <w:rPr>
          <w:i/>
        </w:rPr>
        <w:t>n</w:t>
      </w:r>
      <w:r w:rsidRPr="009C5807">
        <w:t>+</w:t>
      </w:r>
      <w:r w:rsidRPr="009C5807">
        <w:rPr>
          <w:i/>
        </w:rPr>
        <w:t xml:space="preserve"> k+1</w:t>
      </w:r>
      <w:r w:rsidRPr="009C5807">
        <w:t xml:space="preserve"> for a timing advance command received in time slot </w:t>
      </w:r>
      <w:r w:rsidRPr="009C5807">
        <w:rPr>
          <w:i/>
        </w:rPr>
        <w:t>n</w:t>
      </w:r>
      <w:r w:rsidRPr="009C5807">
        <w:t xml:space="preserve">, and the value of </w:t>
      </w:r>
      <w:r w:rsidRPr="009C5807">
        <w:rPr>
          <w:i/>
        </w:rPr>
        <w:t>k</w:t>
      </w:r>
      <w:r w:rsidRPr="009C5807">
        <w:t xml:space="preserve"> is defined in clause 4.2 in </w:t>
      </w:r>
      <w:r w:rsidRPr="009C5807">
        <w:rPr>
          <w:lang w:val="en-US"/>
        </w:rPr>
        <w:t>TS 38.213 [3]</w:t>
      </w:r>
      <w:r w:rsidRPr="009C5807">
        <w:t xml:space="preserve">. </w:t>
      </w:r>
      <w:r w:rsidRPr="009C5807">
        <w:rPr>
          <w:rFonts w:cs="v4.2.0"/>
        </w:rPr>
        <w:t>The same requirement applies also when the UE is not able to transmit a configured uplink transmission due to the channel assessment procedure.</w:t>
      </w:r>
    </w:p>
    <w:p w14:paraId="3B860669" w14:textId="77777777" w:rsidR="0051547F" w:rsidRPr="009C5807" w:rsidRDefault="0051547F" w:rsidP="0051547F">
      <w:pPr>
        <w:pStyle w:val="Heading4"/>
      </w:pPr>
      <w:r w:rsidRPr="0017787A">
        <w:t>7.3A</w:t>
      </w:r>
      <w:r w:rsidRPr="009C5807">
        <w:t>.2.2</w:t>
      </w:r>
      <w:r w:rsidRPr="009C5807">
        <w:tab/>
        <w:t>Timing Advance adjustment accuracy</w:t>
      </w:r>
    </w:p>
    <w:p w14:paraId="1FB0C3B0" w14:textId="77777777" w:rsidR="0051547F" w:rsidRPr="009C5807" w:rsidRDefault="0051547F" w:rsidP="0051547F">
      <w:pPr>
        <w:rPr>
          <w:rFonts w:eastAsia="?? ??"/>
        </w:rPr>
      </w:pPr>
      <w:r w:rsidRPr="009C5807">
        <w:rPr>
          <w:rFonts w:eastAsia="?? ??" w:cs="v3.7.0"/>
        </w:rPr>
        <w:t>The UE shall adjust the timing of its transmissions with a relative accuracy better than or equal to the UE Timing Advance adjustment accuracy requirement in Table 7.3</w:t>
      </w:r>
      <w:r>
        <w:rPr>
          <w:rFonts w:eastAsia="?? ??" w:cs="v3.7.0"/>
        </w:rPr>
        <w:t>A</w:t>
      </w:r>
      <w:r w:rsidRPr="009C5807">
        <w:rPr>
          <w:rFonts w:eastAsia="?? ??" w:cs="v3.7.0"/>
        </w:rPr>
        <w:t xml:space="preserve">.2.2-1, to the signalled timing advance value compared to the timing of preceding uplink transmission. </w:t>
      </w:r>
      <w:r w:rsidRPr="009C5807">
        <w:t xml:space="preserve">The timing advance command step </w:t>
      </w:r>
      <w:r w:rsidRPr="009C5807">
        <w:rPr>
          <w:lang w:val="en-US"/>
        </w:rPr>
        <w:t>is defined in TS 38.213 [3].</w:t>
      </w:r>
    </w:p>
    <w:p w14:paraId="5B4FECBC" w14:textId="77777777" w:rsidR="0051547F" w:rsidRPr="009C5807" w:rsidRDefault="0051547F" w:rsidP="0051547F">
      <w:pPr>
        <w:pStyle w:val="TH"/>
        <w:rPr>
          <w:lang w:val="en-US"/>
        </w:rPr>
      </w:pPr>
      <w:r w:rsidRPr="009C5807">
        <w:t>Table 7.3</w:t>
      </w:r>
      <w:r>
        <w:rPr>
          <w:rFonts w:hint="eastAsia"/>
          <w:lang w:eastAsia="zh-CN"/>
        </w:rPr>
        <w:t>A</w:t>
      </w:r>
      <w:r w:rsidRPr="009C5807">
        <w:t>.2.2-</w:t>
      </w:r>
      <w:r w:rsidRPr="009C5807">
        <w:rPr>
          <w:lang w:eastAsia="ja-JP"/>
        </w:rPr>
        <w:t>1</w:t>
      </w:r>
      <w:r w:rsidRPr="009C5807">
        <w:t xml:space="preserve">: </w:t>
      </w:r>
      <w:r w:rsidRPr="009C5807">
        <w:rPr>
          <w:lang w:eastAsia="ja-JP"/>
        </w:rPr>
        <w:t>UE Timing Advance adjustment accuracy</w:t>
      </w:r>
    </w:p>
    <w:tbl>
      <w:tblPr>
        <w:tblW w:w="6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982"/>
        <w:gridCol w:w="1002"/>
        <w:gridCol w:w="992"/>
        <w:gridCol w:w="1134"/>
      </w:tblGrid>
      <w:tr w:rsidR="0051547F" w:rsidRPr="009C5807" w14:paraId="2DAC5163" w14:textId="77777777" w:rsidTr="000A5666">
        <w:trPr>
          <w:trHeight w:val="315"/>
          <w:jc w:val="center"/>
        </w:trPr>
        <w:tc>
          <w:tcPr>
            <w:tcW w:w="2260" w:type="dxa"/>
            <w:shd w:val="clear" w:color="auto" w:fill="auto"/>
            <w:hideMark/>
          </w:tcPr>
          <w:p w14:paraId="2439D22C" w14:textId="77777777" w:rsidR="0051547F" w:rsidRPr="009C5807" w:rsidRDefault="0051547F" w:rsidP="000A5666">
            <w:pPr>
              <w:pStyle w:val="TAH"/>
            </w:pPr>
            <w:r w:rsidRPr="009C5807">
              <w:t>UL Sub Carrier Spacing(kHz)</w:t>
            </w:r>
          </w:p>
        </w:tc>
        <w:tc>
          <w:tcPr>
            <w:tcW w:w="982" w:type="dxa"/>
            <w:shd w:val="clear" w:color="auto" w:fill="auto"/>
            <w:vAlign w:val="center"/>
            <w:hideMark/>
          </w:tcPr>
          <w:p w14:paraId="5940AEB6" w14:textId="77777777" w:rsidR="0051547F" w:rsidRPr="009C5807" w:rsidRDefault="0051547F" w:rsidP="000A5666">
            <w:pPr>
              <w:pStyle w:val="TAH"/>
              <w:rPr>
                <w:lang w:val="en-US"/>
              </w:rPr>
            </w:pPr>
            <w:r w:rsidRPr="009C5807">
              <w:t>15</w:t>
            </w:r>
          </w:p>
        </w:tc>
        <w:tc>
          <w:tcPr>
            <w:tcW w:w="1002" w:type="dxa"/>
            <w:shd w:val="clear" w:color="auto" w:fill="auto"/>
            <w:vAlign w:val="center"/>
            <w:hideMark/>
          </w:tcPr>
          <w:p w14:paraId="217B55F5" w14:textId="77777777" w:rsidR="0051547F" w:rsidRPr="009C5807" w:rsidRDefault="0051547F" w:rsidP="000A5666">
            <w:pPr>
              <w:pStyle w:val="TAH"/>
              <w:rPr>
                <w:lang w:val="en-US"/>
              </w:rPr>
            </w:pPr>
            <w:r w:rsidRPr="009C5807">
              <w:t>30</w:t>
            </w:r>
          </w:p>
        </w:tc>
        <w:tc>
          <w:tcPr>
            <w:tcW w:w="992" w:type="dxa"/>
            <w:shd w:val="clear" w:color="auto" w:fill="auto"/>
            <w:vAlign w:val="center"/>
            <w:hideMark/>
          </w:tcPr>
          <w:p w14:paraId="139D69AE" w14:textId="77777777" w:rsidR="0051547F" w:rsidRPr="009C5807" w:rsidRDefault="0051547F" w:rsidP="000A5666">
            <w:pPr>
              <w:pStyle w:val="TAH"/>
              <w:rPr>
                <w:lang w:val="en-US"/>
              </w:rPr>
            </w:pPr>
            <w:r w:rsidRPr="009C5807">
              <w:t>60</w:t>
            </w:r>
          </w:p>
        </w:tc>
        <w:tc>
          <w:tcPr>
            <w:tcW w:w="1134" w:type="dxa"/>
            <w:shd w:val="clear" w:color="auto" w:fill="auto"/>
            <w:vAlign w:val="center"/>
            <w:hideMark/>
          </w:tcPr>
          <w:p w14:paraId="18EBEB3D" w14:textId="77777777" w:rsidR="0051547F" w:rsidRPr="009C5807" w:rsidRDefault="0051547F" w:rsidP="000A5666">
            <w:pPr>
              <w:pStyle w:val="TAH"/>
              <w:rPr>
                <w:lang w:val="en-US"/>
              </w:rPr>
            </w:pPr>
            <w:r w:rsidRPr="009C5807">
              <w:t>120</w:t>
            </w:r>
          </w:p>
        </w:tc>
      </w:tr>
      <w:tr w:rsidR="0051547F" w:rsidRPr="009C5807" w14:paraId="78A7C54D" w14:textId="77777777" w:rsidTr="000A5666">
        <w:trPr>
          <w:trHeight w:val="525"/>
          <w:jc w:val="center"/>
        </w:trPr>
        <w:tc>
          <w:tcPr>
            <w:tcW w:w="2260" w:type="dxa"/>
            <w:shd w:val="clear" w:color="auto" w:fill="auto"/>
            <w:hideMark/>
          </w:tcPr>
          <w:p w14:paraId="46BB0EB8" w14:textId="77777777" w:rsidR="0051547F" w:rsidRPr="009C5807" w:rsidRDefault="0051547F" w:rsidP="000A5666">
            <w:pPr>
              <w:pStyle w:val="TAH"/>
            </w:pPr>
            <w:r w:rsidRPr="009C5807">
              <w:t>UE Timing Advance adjustment accuracy</w:t>
            </w:r>
          </w:p>
        </w:tc>
        <w:tc>
          <w:tcPr>
            <w:tcW w:w="982" w:type="dxa"/>
            <w:shd w:val="clear" w:color="auto" w:fill="auto"/>
            <w:vAlign w:val="center"/>
            <w:hideMark/>
          </w:tcPr>
          <w:p w14:paraId="113074D3" w14:textId="77777777" w:rsidR="0051547F" w:rsidRPr="009C5807" w:rsidRDefault="0051547F" w:rsidP="000A5666">
            <w:pPr>
              <w:pStyle w:val="TAC"/>
              <w:rPr>
                <w:lang w:val="en-US"/>
              </w:rPr>
            </w:pPr>
            <w:r w:rsidRPr="009C5807">
              <w:rPr>
                <w:szCs w:val="22"/>
                <w:lang w:val="en-US"/>
              </w:rPr>
              <w:t>±</w:t>
            </w:r>
            <w:r w:rsidRPr="009C5807">
              <w:t>256 T</w:t>
            </w:r>
            <w:r w:rsidRPr="009C5807">
              <w:rPr>
                <w:vertAlign w:val="subscript"/>
              </w:rPr>
              <w:t>c</w:t>
            </w:r>
          </w:p>
        </w:tc>
        <w:tc>
          <w:tcPr>
            <w:tcW w:w="1002" w:type="dxa"/>
            <w:shd w:val="clear" w:color="auto" w:fill="auto"/>
            <w:vAlign w:val="center"/>
            <w:hideMark/>
          </w:tcPr>
          <w:p w14:paraId="0AFE7D2D" w14:textId="77777777" w:rsidR="0051547F" w:rsidRPr="009C5807" w:rsidRDefault="0051547F" w:rsidP="000A5666">
            <w:pPr>
              <w:pStyle w:val="TAC"/>
              <w:rPr>
                <w:lang w:val="en-US"/>
              </w:rPr>
            </w:pPr>
            <w:r w:rsidRPr="009C5807">
              <w:rPr>
                <w:szCs w:val="22"/>
                <w:lang w:val="en-US"/>
              </w:rPr>
              <w:t>±</w:t>
            </w:r>
            <w:r w:rsidRPr="009C5807">
              <w:t>256 T</w:t>
            </w:r>
            <w:r w:rsidRPr="009C5807">
              <w:rPr>
                <w:vertAlign w:val="subscript"/>
              </w:rPr>
              <w:t>c</w:t>
            </w:r>
          </w:p>
        </w:tc>
        <w:tc>
          <w:tcPr>
            <w:tcW w:w="992" w:type="dxa"/>
            <w:shd w:val="clear" w:color="auto" w:fill="auto"/>
            <w:vAlign w:val="center"/>
            <w:hideMark/>
          </w:tcPr>
          <w:p w14:paraId="6014D580" w14:textId="77777777" w:rsidR="0051547F" w:rsidRPr="009C5807" w:rsidRDefault="0051547F" w:rsidP="000A5666">
            <w:pPr>
              <w:pStyle w:val="TAC"/>
              <w:rPr>
                <w:lang w:val="en-US"/>
              </w:rPr>
            </w:pPr>
            <w:r w:rsidRPr="009C5807">
              <w:rPr>
                <w:szCs w:val="22"/>
                <w:lang w:val="en-US"/>
              </w:rPr>
              <w:t>±</w:t>
            </w:r>
            <w:r w:rsidRPr="009C5807">
              <w:t>128 T</w:t>
            </w:r>
            <w:r w:rsidRPr="009C5807">
              <w:rPr>
                <w:vertAlign w:val="subscript"/>
              </w:rPr>
              <w:t>c</w:t>
            </w:r>
          </w:p>
        </w:tc>
        <w:tc>
          <w:tcPr>
            <w:tcW w:w="1134" w:type="dxa"/>
            <w:shd w:val="clear" w:color="auto" w:fill="auto"/>
            <w:vAlign w:val="center"/>
            <w:hideMark/>
          </w:tcPr>
          <w:p w14:paraId="1A4F8B82" w14:textId="77777777" w:rsidR="0051547F" w:rsidRPr="009C5807" w:rsidRDefault="0051547F" w:rsidP="000A5666">
            <w:pPr>
              <w:pStyle w:val="TAC"/>
              <w:rPr>
                <w:lang w:val="en-US"/>
              </w:rPr>
            </w:pPr>
            <w:r w:rsidRPr="009C5807">
              <w:rPr>
                <w:szCs w:val="22"/>
                <w:lang w:val="en-US"/>
              </w:rPr>
              <w:t>±</w:t>
            </w:r>
            <w:r w:rsidRPr="009C5807">
              <w:t>32 T</w:t>
            </w:r>
            <w:r w:rsidRPr="009C5807">
              <w:rPr>
                <w:vertAlign w:val="subscript"/>
              </w:rPr>
              <w:t>c</w:t>
            </w:r>
          </w:p>
        </w:tc>
      </w:tr>
    </w:tbl>
    <w:p w14:paraId="77D5FA48" w14:textId="2FEB01C0" w:rsidR="0051547F" w:rsidRDefault="0051547F" w:rsidP="0051547F"/>
    <w:p w14:paraId="00D01010" w14:textId="77777777" w:rsidR="00234814" w:rsidRPr="009C5807" w:rsidRDefault="00234814" w:rsidP="00234814">
      <w:pPr>
        <w:pStyle w:val="Heading2"/>
      </w:pPr>
      <w:r w:rsidRPr="009C5807">
        <w:t>7.3</w:t>
      </w:r>
      <w:r>
        <w:rPr>
          <w:rFonts w:hint="eastAsia"/>
          <w:lang w:eastAsia="zh-TW"/>
        </w:rPr>
        <w:t>C</w:t>
      </w:r>
      <w:r w:rsidRPr="009C5807">
        <w:tab/>
        <w:t>Timing advance</w:t>
      </w:r>
      <w:r>
        <w:t xml:space="preserve"> for </w:t>
      </w:r>
      <w:r w:rsidRPr="0034597F">
        <w:t>satellite access</w:t>
      </w:r>
    </w:p>
    <w:p w14:paraId="278F1C1E" w14:textId="77777777" w:rsidR="00234814" w:rsidRPr="009C5807" w:rsidRDefault="00234814" w:rsidP="001B2196">
      <w:pPr>
        <w:pStyle w:val="Heading3"/>
      </w:pPr>
      <w:r w:rsidRPr="009C5807">
        <w:t>7.3</w:t>
      </w:r>
      <w:r>
        <w:rPr>
          <w:rFonts w:hint="eastAsia"/>
          <w:lang w:eastAsia="zh-TW"/>
        </w:rPr>
        <w:t>C</w:t>
      </w:r>
      <w:r w:rsidRPr="009C5807">
        <w:t>.1</w:t>
      </w:r>
      <w:r w:rsidRPr="009C5807">
        <w:tab/>
        <w:t>Introduction</w:t>
      </w:r>
    </w:p>
    <w:p w14:paraId="383663D8" w14:textId="6F4FDCD8" w:rsidR="00234814" w:rsidRPr="009C5807" w:rsidRDefault="001B2196" w:rsidP="00234814">
      <w:r w:rsidRPr="009C5807">
        <w:t xml:space="preserve">The timing advance is initiated </w:t>
      </w:r>
      <w:r>
        <w:t>by UE</w:t>
      </w:r>
      <w:r w:rsidRPr="009C5807">
        <w:t xml:space="preserve"> </w:t>
      </w:r>
      <w:r>
        <w:t>configured with only PCell served by SAN</w:t>
      </w:r>
      <w:r w:rsidRPr="009C5807">
        <w:t xml:space="preserve">, </w:t>
      </w:r>
      <w:r>
        <w:t xml:space="preserve">upon initiating a validity timer for </w:t>
      </w:r>
      <m:oMath>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common</m:t>
            </m:r>
          </m:sup>
        </m:sSubSup>
      </m:oMath>
      <w:r w:rsidRPr="00F33C74">
        <w:rPr>
          <w:i/>
        </w:rPr>
        <w:t xml:space="preserve"> </w:t>
      </w:r>
      <w:r>
        <w:rPr>
          <w:rFonts w:cs="v4.2.0"/>
          <w:i/>
        </w:rPr>
        <w:t xml:space="preserve"> </w:t>
      </w:r>
      <w:r>
        <w:rPr>
          <w:rFonts w:cs="v4.2.0"/>
          <w:iCs/>
        </w:rPr>
        <w:t xml:space="preserve">and  </w:t>
      </w:r>
      <m:oMath>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UE</m:t>
            </m:r>
          </m:sup>
        </m:sSubSup>
      </m:oMath>
      <w:r>
        <w:rPr>
          <w:rFonts w:cs="v4.2.0"/>
          <w:vertAlign w:val="subscript"/>
        </w:rPr>
        <w:t>.</w:t>
      </w:r>
      <w:r>
        <w:t xml:space="preserve"> The timing advance can be adjusted</w:t>
      </w:r>
      <w:r w:rsidRPr="009C5807">
        <w:t xml:space="preserve"> with MAC message that implies the adjustment of the timing advance, as defined in </w:t>
      </w:r>
      <w:r w:rsidRPr="009C5807">
        <w:rPr>
          <w:rFonts w:cs="v4.2.0"/>
        </w:rPr>
        <w:t>clause </w:t>
      </w:r>
      <w:r w:rsidRPr="009C5807">
        <w:t>5.2 of TS 38.321 [7].</w:t>
      </w:r>
    </w:p>
    <w:p w14:paraId="19A1311C" w14:textId="77777777" w:rsidR="00234814" w:rsidRPr="009C5807" w:rsidRDefault="00234814" w:rsidP="00234814">
      <w:pPr>
        <w:pStyle w:val="Heading3"/>
      </w:pPr>
      <w:r w:rsidRPr="009C5807">
        <w:t>7.3</w:t>
      </w:r>
      <w:r>
        <w:rPr>
          <w:rFonts w:hint="eastAsia"/>
          <w:lang w:eastAsia="zh-TW"/>
        </w:rPr>
        <w:t>C</w:t>
      </w:r>
      <w:r w:rsidRPr="009C5807">
        <w:t>.2</w:t>
      </w:r>
      <w:r w:rsidRPr="009C5807">
        <w:tab/>
        <w:t>Requirements</w:t>
      </w:r>
    </w:p>
    <w:p w14:paraId="57E5B844" w14:textId="77777777" w:rsidR="00234814" w:rsidRPr="009C5807" w:rsidRDefault="00234814" w:rsidP="00234814">
      <w:pPr>
        <w:pStyle w:val="Heading4"/>
      </w:pPr>
      <w:r w:rsidRPr="009C5807">
        <w:t>7.3</w:t>
      </w:r>
      <w:r>
        <w:rPr>
          <w:rFonts w:hint="eastAsia"/>
          <w:lang w:eastAsia="zh-TW"/>
        </w:rPr>
        <w:t>C</w:t>
      </w:r>
      <w:r w:rsidRPr="009C5807">
        <w:t>.2.1</w:t>
      </w:r>
      <w:r w:rsidRPr="009C5807">
        <w:tab/>
        <w:t>Timing Advance adjustment delay</w:t>
      </w:r>
    </w:p>
    <w:p w14:paraId="22DAF247" w14:textId="6B66ECBA" w:rsidR="00234814" w:rsidRPr="009C5807" w:rsidRDefault="000F143A" w:rsidP="00234814">
      <w:r w:rsidRPr="009C5807">
        <w:t xml:space="preserve">UE shall adjust the timing of its uplink transmission timing </w:t>
      </w:r>
      <w:r>
        <w:t xml:space="preserve">from the beginning of uplink </w:t>
      </w:r>
      <w:r w:rsidRPr="009C5807">
        <w:t xml:space="preserve">at time slot </w:t>
      </w:r>
      <w:r w:rsidRPr="009C5807">
        <w:rPr>
          <w:i/>
        </w:rPr>
        <w:t>n</w:t>
      </w:r>
      <w:r w:rsidRPr="009C5807">
        <w:t>+</w:t>
      </w:r>
      <w:r w:rsidRPr="009C5807">
        <w:rPr>
          <w:i/>
        </w:rPr>
        <w:t xml:space="preserve"> k+1</w:t>
      </w:r>
      <w:r>
        <w:rPr>
          <w:i/>
        </w:rPr>
        <w:t>+2</w:t>
      </w:r>
      <w:r w:rsidRPr="008A7648">
        <w:rPr>
          <w:i/>
          <w:vertAlign w:val="superscript"/>
        </w:rPr>
        <w:t>µ</w:t>
      </w:r>
      <w:r>
        <w:t xml:space="preserve"> </w:t>
      </w:r>
      <m:oMath>
        <m:sSub>
          <m:sSubPr>
            <m:ctrlPr>
              <w:rPr>
                <w:rFonts w:ascii="Cambria Math" w:eastAsia="MS Mincho" w:hAnsi="Cambria Math"/>
                <w:i/>
                <w:kern w:val="2"/>
                <w:sz w:val="24"/>
                <w:szCs w:val="24"/>
              </w:rPr>
            </m:ctrlPr>
          </m:sSubPr>
          <m:e>
            <m:r>
              <w:rPr>
                <w:rFonts w:ascii="Cambria Math" w:eastAsia="MS Mincho" w:hAnsi="Cambria Math"/>
                <w:kern w:val="2"/>
              </w:rPr>
              <m:t>∙K</m:t>
            </m:r>
          </m:e>
          <m:sub>
            <m:r>
              <m:rPr>
                <m:sty m:val="p"/>
              </m:rPr>
              <w:rPr>
                <w:rFonts w:ascii="Cambria Math" w:eastAsia="MS Mincho" w:hAnsi="Cambria Math"/>
                <w:kern w:val="2"/>
              </w:rPr>
              <m:t>offset</m:t>
            </m:r>
          </m:sub>
        </m:sSub>
      </m:oMath>
      <w:r>
        <w:t xml:space="preserve"> </w:t>
      </w:r>
      <w:r w:rsidRPr="009C5807">
        <w:t xml:space="preserve">for a timing advance command received in time slot </w:t>
      </w:r>
      <w:r w:rsidRPr="009C5807">
        <w:rPr>
          <w:i/>
        </w:rPr>
        <w:t>n</w:t>
      </w:r>
      <w:r w:rsidRPr="009C5807">
        <w:t xml:space="preserve">, and the value of </w:t>
      </w:r>
      <w:r w:rsidRPr="009C5807">
        <w:rPr>
          <w:i/>
        </w:rPr>
        <w:t>k</w:t>
      </w:r>
      <w:r>
        <w:rPr>
          <w:i/>
        </w:rPr>
        <w:t xml:space="preserve">, µ </w:t>
      </w:r>
      <w:r w:rsidRPr="008A7648">
        <w:rPr>
          <w:iCs/>
        </w:rPr>
        <w:t xml:space="preserve">and </w:t>
      </w:r>
      <m:oMath>
        <m:sSub>
          <m:sSubPr>
            <m:ctrlPr>
              <w:rPr>
                <w:rFonts w:ascii="Cambria Math" w:eastAsia="MS Mincho" w:hAnsi="Cambria Math"/>
                <w:i/>
                <w:kern w:val="2"/>
                <w:sz w:val="24"/>
                <w:szCs w:val="24"/>
              </w:rPr>
            </m:ctrlPr>
          </m:sSubPr>
          <m:e>
            <m:r>
              <w:rPr>
                <w:rFonts w:ascii="Cambria Math" w:eastAsia="MS Mincho" w:hAnsi="Cambria Math"/>
                <w:kern w:val="2"/>
              </w:rPr>
              <m:t>K</m:t>
            </m:r>
          </m:e>
          <m:sub>
            <m:r>
              <m:rPr>
                <m:sty m:val="p"/>
              </m:rPr>
              <w:rPr>
                <w:rFonts w:ascii="Cambria Math" w:eastAsia="MS Mincho" w:hAnsi="Cambria Math"/>
                <w:kern w:val="2"/>
              </w:rPr>
              <m:t>offset</m:t>
            </m:r>
          </m:sub>
        </m:sSub>
      </m:oMath>
      <w:r w:rsidRPr="00341DD0">
        <w:t xml:space="preserve"> </w:t>
      </w:r>
      <w:r>
        <w:t>are</w:t>
      </w:r>
      <w:r w:rsidRPr="009C5807">
        <w:t xml:space="preserve"> defined in clause 4.2 in </w:t>
      </w:r>
      <w:r w:rsidRPr="009C5807">
        <w:rPr>
          <w:lang w:val="en-US"/>
        </w:rPr>
        <w:t>TS 38.213 [3]</w:t>
      </w:r>
      <w:r w:rsidRPr="009C5807">
        <w:t xml:space="preserve">. </w:t>
      </w:r>
      <w:r w:rsidRPr="009C5807">
        <w:rPr>
          <w:rFonts w:cs="v4.2.0"/>
        </w:rPr>
        <w:t>The same requirement applies also when the UE is not able to transmit a configured uplink transmission due to the channel assessment procedure.</w:t>
      </w:r>
    </w:p>
    <w:p w14:paraId="448D6502" w14:textId="77777777" w:rsidR="00234814" w:rsidRPr="009C5807" w:rsidRDefault="00234814" w:rsidP="00234814">
      <w:pPr>
        <w:pStyle w:val="Heading4"/>
      </w:pPr>
      <w:r w:rsidRPr="009C5807">
        <w:t>7.3</w:t>
      </w:r>
      <w:r>
        <w:rPr>
          <w:rFonts w:hint="eastAsia"/>
          <w:lang w:eastAsia="zh-TW"/>
        </w:rPr>
        <w:t>C</w:t>
      </w:r>
      <w:r w:rsidRPr="009C5807">
        <w:t>.2.2</w:t>
      </w:r>
      <w:r w:rsidRPr="009C5807">
        <w:tab/>
        <w:t>Timing Advance adjustment accuracy</w:t>
      </w:r>
    </w:p>
    <w:p w14:paraId="7F68E80C" w14:textId="0372FE10" w:rsidR="00234814" w:rsidRPr="009C5807" w:rsidRDefault="001B2196" w:rsidP="00234814">
      <w:pPr>
        <w:rPr>
          <w:rFonts w:eastAsia="?? ??"/>
        </w:rPr>
      </w:pPr>
      <w:r w:rsidRPr="009C5807">
        <w:rPr>
          <w:rFonts w:eastAsia="?? ??" w:cs="v3.7.0"/>
        </w:rPr>
        <w:t>The UE shall adjust the timing of its transmissions</w:t>
      </w:r>
      <w:r w:rsidRPr="009D2AE5">
        <w:t xml:space="preserve">, apart from a change of </w:t>
      </w:r>
      <m:oMath>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UE</m:t>
            </m:r>
          </m:sup>
        </m:sSubSup>
      </m:oMath>
      <w:r w:rsidRPr="009D2AE5">
        <w:t xml:space="preserve"> and </w:t>
      </w:r>
      <m:oMath>
        <m:sSubSup>
          <m:sSubSupPr>
            <m:ctrlPr>
              <w:rPr>
                <w:rFonts w:ascii="Cambria Math" w:hAnsi="Cambria Math"/>
                <w:i/>
              </w:rPr>
            </m:ctrlPr>
          </m:sSubSupPr>
          <m:e>
            <m:r>
              <w:rPr>
                <w:rFonts w:ascii="Cambria Math" w:hAnsi="Cambria Math"/>
              </w:rPr>
              <m:t>N</m:t>
            </m:r>
          </m:e>
          <m:sub>
            <m:r>
              <m:rPr>
                <m:nor/>
              </m:rPr>
              <w:rPr>
                <w:rFonts w:ascii="Cambria Math" w:hAnsi="Cambria Math"/>
                <w:lang w:val="en-US"/>
              </w:rPr>
              <m:t>TA,adj</m:t>
            </m:r>
          </m:sub>
          <m:sup>
            <m:r>
              <m:rPr>
                <m:nor/>
              </m:rPr>
              <w:rPr>
                <w:rFonts w:ascii="Cambria Math" w:hAnsi="Cambria Math"/>
                <w:lang w:val="en-US"/>
              </w:rPr>
              <m:t>common</m:t>
            </m:r>
          </m:sup>
        </m:sSubSup>
      </m:oMath>
      <w:r w:rsidRPr="009D2AE5">
        <w:t xml:space="preserve"> between the preceding uplink transmission and the current transmission,</w:t>
      </w:r>
      <w:r w:rsidRPr="009C5807">
        <w:rPr>
          <w:rFonts w:eastAsia="?? ??" w:cs="v3.7.0"/>
        </w:rPr>
        <w:t xml:space="preserve"> with a relative accuracy better than or equal to the UE Timing Advance adjustment accuracy requirement in Table 7.3</w:t>
      </w:r>
      <w:r w:rsidRPr="004B7BCD">
        <w:rPr>
          <w:rFonts w:eastAsia="?? ??" w:cs="v3.7.0"/>
        </w:rPr>
        <w:t>C</w:t>
      </w:r>
      <w:r w:rsidRPr="009C5807">
        <w:rPr>
          <w:rFonts w:eastAsia="?? ??" w:cs="v3.7.0"/>
        </w:rPr>
        <w:t xml:space="preserve">.2.2-1, to the signalled timing advance value compared to the timing of preceding uplink transmission. </w:t>
      </w:r>
      <w:r w:rsidRPr="009C5807">
        <w:t xml:space="preserve">The timing advance command step </w:t>
      </w:r>
      <w:r w:rsidRPr="009C5807">
        <w:rPr>
          <w:lang w:val="en-US"/>
        </w:rPr>
        <w:t>is defined in TS 38.213 [3].</w:t>
      </w:r>
    </w:p>
    <w:p w14:paraId="769B0AE5" w14:textId="77777777" w:rsidR="00234814" w:rsidRPr="009C5807" w:rsidRDefault="00234814" w:rsidP="00234814">
      <w:pPr>
        <w:pStyle w:val="TH"/>
        <w:rPr>
          <w:lang w:val="en-US"/>
        </w:rPr>
      </w:pPr>
      <w:r w:rsidRPr="009C5807">
        <w:t>Table 7.3</w:t>
      </w:r>
      <w:r>
        <w:rPr>
          <w:rFonts w:hint="eastAsia"/>
          <w:lang w:eastAsia="zh-TW"/>
        </w:rPr>
        <w:t>C</w:t>
      </w:r>
      <w:r w:rsidRPr="009C5807">
        <w:t>.2.2-</w:t>
      </w:r>
      <w:r w:rsidRPr="009C5807">
        <w:rPr>
          <w:lang w:eastAsia="ja-JP"/>
        </w:rPr>
        <w:t>1</w:t>
      </w:r>
      <w:r w:rsidRPr="009C5807">
        <w:t xml:space="preserve">: </w:t>
      </w:r>
      <w:r w:rsidRPr="009C5807">
        <w:rPr>
          <w:lang w:eastAsia="ja-JP"/>
        </w:rPr>
        <w:t>UE Timing Advance adjustment accuracy</w:t>
      </w:r>
    </w:p>
    <w:tbl>
      <w:tblPr>
        <w:tblW w:w="5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982"/>
        <w:gridCol w:w="1002"/>
        <w:gridCol w:w="992"/>
      </w:tblGrid>
      <w:tr w:rsidR="00234814" w:rsidRPr="009C5807" w14:paraId="2CEE0654" w14:textId="77777777" w:rsidTr="00A70AB2">
        <w:trPr>
          <w:trHeight w:val="315"/>
          <w:jc w:val="center"/>
        </w:trPr>
        <w:tc>
          <w:tcPr>
            <w:tcW w:w="2260" w:type="dxa"/>
            <w:shd w:val="clear" w:color="auto" w:fill="auto"/>
            <w:hideMark/>
          </w:tcPr>
          <w:p w14:paraId="34FDDAD1" w14:textId="77777777" w:rsidR="00234814" w:rsidRPr="009C5807" w:rsidRDefault="00234814" w:rsidP="00A70AB2">
            <w:pPr>
              <w:pStyle w:val="TAH"/>
            </w:pPr>
            <w:r w:rsidRPr="009C5807">
              <w:t>UL Sub Carrier Spacing(kHz)</w:t>
            </w:r>
          </w:p>
        </w:tc>
        <w:tc>
          <w:tcPr>
            <w:tcW w:w="982" w:type="dxa"/>
            <w:shd w:val="clear" w:color="auto" w:fill="auto"/>
            <w:vAlign w:val="center"/>
            <w:hideMark/>
          </w:tcPr>
          <w:p w14:paraId="09C065DC" w14:textId="77777777" w:rsidR="00234814" w:rsidRPr="009C5807" w:rsidRDefault="00234814" w:rsidP="00A70AB2">
            <w:pPr>
              <w:pStyle w:val="TAH"/>
              <w:rPr>
                <w:lang w:val="en-US"/>
              </w:rPr>
            </w:pPr>
            <w:r w:rsidRPr="009C5807">
              <w:t>15</w:t>
            </w:r>
          </w:p>
        </w:tc>
        <w:tc>
          <w:tcPr>
            <w:tcW w:w="1002" w:type="dxa"/>
            <w:shd w:val="clear" w:color="auto" w:fill="auto"/>
            <w:vAlign w:val="center"/>
            <w:hideMark/>
          </w:tcPr>
          <w:p w14:paraId="35106BE9" w14:textId="77777777" w:rsidR="00234814" w:rsidRPr="009C5807" w:rsidRDefault="00234814" w:rsidP="00A70AB2">
            <w:pPr>
              <w:pStyle w:val="TAH"/>
              <w:rPr>
                <w:lang w:val="en-US"/>
              </w:rPr>
            </w:pPr>
            <w:r w:rsidRPr="009C5807">
              <w:t>30</w:t>
            </w:r>
          </w:p>
        </w:tc>
        <w:tc>
          <w:tcPr>
            <w:tcW w:w="992" w:type="dxa"/>
            <w:shd w:val="clear" w:color="auto" w:fill="auto"/>
            <w:vAlign w:val="center"/>
            <w:hideMark/>
          </w:tcPr>
          <w:p w14:paraId="52088BF5" w14:textId="77777777" w:rsidR="00234814" w:rsidRPr="009C5807" w:rsidRDefault="00234814" w:rsidP="00A70AB2">
            <w:pPr>
              <w:pStyle w:val="TAH"/>
              <w:rPr>
                <w:lang w:val="en-US"/>
              </w:rPr>
            </w:pPr>
            <w:r w:rsidRPr="009C5807">
              <w:t>60</w:t>
            </w:r>
          </w:p>
        </w:tc>
      </w:tr>
      <w:tr w:rsidR="00234814" w:rsidRPr="009C5807" w14:paraId="7B780EDA" w14:textId="77777777" w:rsidTr="00A70AB2">
        <w:trPr>
          <w:trHeight w:val="525"/>
          <w:jc w:val="center"/>
        </w:trPr>
        <w:tc>
          <w:tcPr>
            <w:tcW w:w="2260" w:type="dxa"/>
            <w:shd w:val="clear" w:color="auto" w:fill="auto"/>
            <w:hideMark/>
          </w:tcPr>
          <w:p w14:paraId="42759391" w14:textId="77777777" w:rsidR="00234814" w:rsidRPr="009C5807" w:rsidRDefault="00234814" w:rsidP="00A70AB2">
            <w:pPr>
              <w:pStyle w:val="TAH"/>
            </w:pPr>
            <w:r w:rsidRPr="009C5807">
              <w:t>UE Timing Advance adjustment accuracy</w:t>
            </w:r>
          </w:p>
        </w:tc>
        <w:tc>
          <w:tcPr>
            <w:tcW w:w="982" w:type="dxa"/>
            <w:shd w:val="clear" w:color="auto" w:fill="auto"/>
            <w:vAlign w:val="center"/>
            <w:hideMark/>
          </w:tcPr>
          <w:p w14:paraId="33AAED5B" w14:textId="77777777" w:rsidR="00234814" w:rsidRPr="009C5807" w:rsidRDefault="00234814" w:rsidP="00A70AB2">
            <w:pPr>
              <w:pStyle w:val="TAC"/>
              <w:rPr>
                <w:lang w:val="en-US"/>
              </w:rPr>
            </w:pPr>
            <w:r w:rsidRPr="009C5807">
              <w:rPr>
                <w:szCs w:val="22"/>
                <w:lang w:val="en-US"/>
              </w:rPr>
              <w:t>±</w:t>
            </w:r>
            <w:r w:rsidRPr="009C5807">
              <w:t>256 T</w:t>
            </w:r>
            <w:r w:rsidRPr="009C5807">
              <w:rPr>
                <w:vertAlign w:val="subscript"/>
              </w:rPr>
              <w:t>c</w:t>
            </w:r>
          </w:p>
        </w:tc>
        <w:tc>
          <w:tcPr>
            <w:tcW w:w="1002" w:type="dxa"/>
            <w:shd w:val="clear" w:color="auto" w:fill="auto"/>
            <w:vAlign w:val="center"/>
            <w:hideMark/>
          </w:tcPr>
          <w:p w14:paraId="3F608111" w14:textId="77777777" w:rsidR="00234814" w:rsidRPr="009C5807" w:rsidRDefault="00234814" w:rsidP="00A70AB2">
            <w:pPr>
              <w:pStyle w:val="TAC"/>
              <w:rPr>
                <w:lang w:val="en-US"/>
              </w:rPr>
            </w:pPr>
            <w:r w:rsidRPr="009C5807">
              <w:rPr>
                <w:szCs w:val="22"/>
                <w:lang w:val="en-US"/>
              </w:rPr>
              <w:t>±</w:t>
            </w:r>
            <w:r w:rsidRPr="009C5807">
              <w:t>256 T</w:t>
            </w:r>
            <w:r w:rsidRPr="009C5807">
              <w:rPr>
                <w:vertAlign w:val="subscript"/>
              </w:rPr>
              <w:t>c</w:t>
            </w:r>
          </w:p>
        </w:tc>
        <w:tc>
          <w:tcPr>
            <w:tcW w:w="992" w:type="dxa"/>
            <w:shd w:val="clear" w:color="auto" w:fill="auto"/>
            <w:vAlign w:val="center"/>
            <w:hideMark/>
          </w:tcPr>
          <w:p w14:paraId="74444E2D" w14:textId="38DDC017" w:rsidR="00234814" w:rsidRPr="009C5807" w:rsidRDefault="001B2196" w:rsidP="00A70AB2">
            <w:pPr>
              <w:pStyle w:val="TAC"/>
              <w:rPr>
                <w:lang w:val="en-US"/>
              </w:rPr>
            </w:pPr>
            <w:r>
              <w:rPr>
                <w:rFonts w:hint="eastAsia"/>
                <w:szCs w:val="22"/>
                <w:lang w:val="en-US" w:eastAsia="zh-CN"/>
              </w:rPr>
              <w:t>N/A</w:t>
            </w:r>
          </w:p>
        </w:tc>
      </w:tr>
    </w:tbl>
    <w:p w14:paraId="47DEC0CC" w14:textId="77777777" w:rsidR="00234814" w:rsidRDefault="00234814" w:rsidP="00234814">
      <w:pPr>
        <w:rPr>
          <w:rFonts w:eastAsia="?? ??" w:cs="v3.7.0"/>
        </w:rPr>
      </w:pPr>
    </w:p>
    <w:p w14:paraId="479738D6" w14:textId="77777777" w:rsidR="00234814" w:rsidRDefault="00234814" w:rsidP="00234814">
      <w:pPr>
        <w:pStyle w:val="NO"/>
        <w:rPr>
          <w:i/>
          <w:iCs/>
        </w:rPr>
      </w:pPr>
      <w:r w:rsidRPr="001E2195">
        <w:rPr>
          <w:i/>
          <w:iCs/>
        </w:rPr>
        <w:t>Editor’s Note: it would be further clairified with the additional conditions for TA adjustment accuracy requirement for satellite access</w:t>
      </w:r>
    </w:p>
    <w:p w14:paraId="65AEDFE4" w14:textId="77777777" w:rsidR="00234814" w:rsidRDefault="00234814" w:rsidP="0051547F"/>
    <w:p w14:paraId="75660498" w14:textId="386AE4BD" w:rsidR="0056154D" w:rsidRPr="009C5807" w:rsidRDefault="007D02E6">
      <w:pPr>
        <w:pStyle w:val="Heading2"/>
      </w:pPr>
      <w:r w:rsidRPr="009C5807">
        <w:t>7.4</w:t>
      </w:r>
      <w:r w:rsidR="00FE0B68" w:rsidRPr="009C5807">
        <w:rPr>
          <w:rFonts w:eastAsiaTheme="minorEastAsia"/>
          <w:lang w:eastAsia="ko-KR"/>
        </w:rPr>
        <w:tab/>
      </w:r>
      <w:r w:rsidR="0056154D" w:rsidRPr="009C5807">
        <w:t>Cell phase synchronization accuracy</w:t>
      </w:r>
      <w:bookmarkEnd w:id="141"/>
    </w:p>
    <w:p w14:paraId="75660499" w14:textId="77777777" w:rsidR="0056154D" w:rsidRPr="009C5807" w:rsidRDefault="0056154D" w:rsidP="00852AE5">
      <w:pPr>
        <w:pStyle w:val="Heading3"/>
      </w:pPr>
      <w:bookmarkStart w:id="146" w:name="_Toc5952604"/>
      <w:r w:rsidRPr="009C5807">
        <w:t>7.</w:t>
      </w:r>
      <w:r w:rsidRPr="009C5807">
        <w:rPr>
          <w:lang w:eastAsia="zh-CN"/>
        </w:rPr>
        <w:t>4</w:t>
      </w:r>
      <w:r w:rsidRPr="009C5807">
        <w:t>.1</w:t>
      </w:r>
      <w:r w:rsidRPr="009C5807">
        <w:tab/>
        <w:t>Definition</w:t>
      </w:r>
      <w:bookmarkEnd w:id="146"/>
    </w:p>
    <w:p w14:paraId="7566049A" w14:textId="77777777" w:rsidR="0056154D" w:rsidRPr="009C5807" w:rsidRDefault="0056154D" w:rsidP="0056154D">
      <w:pPr>
        <w:rPr>
          <w:rFonts w:cs="v4.2.0"/>
        </w:rPr>
      </w:pPr>
      <w:r w:rsidRPr="009C5807">
        <w:rPr>
          <w:rFonts w:cs="v4.2.0"/>
        </w:rPr>
        <w:t>Cell phase synchronization accuracy for TDD is defined as the maximum absolute deviation in frame start timing between any pair of cells on the same frequency that have overlapping coverage areas.</w:t>
      </w:r>
    </w:p>
    <w:p w14:paraId="7566049B" w14:textId="77777777" w:rsidR="0056154D" w:rsidRPr="009C5807" w:rsidRDefault="0056154D" w:rsidP="00852AE5">
      <w:pPr>
        <w:pStyle w:val="Heading3"/>
      </w:pPr>
      <w:bookmarkStart w:id="147" w:name="_Toc5952605"/>
      <w:r w:rsidRPr="009C5807">
        <w:t>7.</w:t>
      </w:r>
      <w:r w:rsidRPr="009C5807">
        <w:rPr>
          <w:lang w:eastAsia="zh-CN"/>
        </w:rPr>
        <w:t>4</w:t>
      </w:r>
      <w:r w:rsidRPr="009C5807">
        <w:t>.2</w:t>
      </w:r>
      <w:r w:rsidRPr="009C5807">
        <w:tab/>
        <w:t>Minimum requirements</w:t>
      </w:r>
      <w:bookmarkEnd w:id="147"/>
    </w:p>
    <w:p w14:paraId="5096C27E" w14:textId="77777777" w:rsidR="00D6042B" w:rsidRDefault="00D6042B" w:rsidP="00D6042B">
      <w:pPr>
        <w:rPr>
          <w:rFonts w:cs="v4.2.0"/>
        </w:rPr>
      </w:pPr>
      <w:bookmarkStart w:id="148" w:name="_Toc5952620"/>
      <w:r>
        <w:rPr>
          <w:rFonts w:cs="v4.2.0"/>
        </w:rPr>
        <w:t>The cell phase synchronization accuracy measured at BS antenna connectors</w:t>
      </w:r>
      <w:r>
        <w:rPr>
          <w:rFonts w:cs="v4.2.0" w:hint="eastAsia"/>
          <w:lang w:val="en-US" w:eastAsia="zh-CN"/>
        </w:rPr>
        <w:t xml:space="preserve"> or radiated interface boundaries</w:t>
      </w:r>
      <w:r>
        <w:rPr>
          <w:rFonts w:cs="v4.2.0"/>
        </w:rPr>
        <w:t xml:space="preserve"> shall be better than 3 </w:t>
      </w:r>
      <w:r>
        <w:t>µ</w:t>
      </w:r>
      <w:r>
        <w:rPr>
          <w:rFonts w:cs="v4.2.0"/>
        </w:rPr>
        <w:t>s.</w:t>
      </w:r>
    </w:p>
    <w:p w14:paraId="717DA8C0" w14:textId="77777777" w:rsidR="00877F17" w:rsidRPr="009C5807" w:rsidRDefault="00877F17" w:rsidP="00877F17">
      <w:pPr>
        <w:pStyle w:val="Heading2"/>
        <w:rPr>
          <w:lang w:eastAsia="ko-KR"/>
        </w:rPr>
      </w:pPr>
      <w:r w:rsidRPr="009C5807">
        <w:rPr>
          <w:lang w:eastAsia="ko-KR"/>
        </w:rPr>
        <w:t>7.5</w:t>
      </w:r>
      <w:r w:rsidRPr="009C5807">
        <w:rPr>
          <w:lang w:eastAsia="ko-KR"/>
        </w:rPr>
        <w:tab/>
        <w:t>Maximum Transmission Timing Difference</w:t>
      </w:r>
    </w:p>
    <w:p w14:paraId="7CBFCD59" w14:textId="77777777" w:rsidR="00877F17" w:rsidRPr="009C5807" w:rsidRDefault="00877F17" w:rsidP="00877F17">
      <w:pPr>
        <w:pStyle w:val="Heading3"/>
        <w:rPr>
          <w:lang w:eastAsia="ko-KR"/>
        </w:rPr>
      </w:pPr>
      <w:r w:rsidRPr="009C5807">
        <w:rPr>
          <w:lang w:eastAsia="ko-KR"/>
        </w:rPr>
        <w:t>7.5.1</w:t>
      </w:r>
      <w:r w:rsidRPr="009C5807">
        <w:rPr>
          <w:lang w:eastAsia="ko-KR"/>
        </w:rPr>
        <w:tab/>
        <w:t>Introduction</w:t>
      </w:r>
    </w:p>
    <w:p w14:paraId="50B06D02" w14:textId="77777777" w:rsidR="000433CC" w:rsidRPr="009C5807" w:rsidRDefault="000433CC" w:rsidP="000433CC">
      <w:pPr>
        <w:rPr>
          <w:rFonts w:cs="v4.2.0"/>
          <w:lang w:eastAsia="zh-CN"/>
        </w:rPr>
      </w:pPr>
      <w:r w:rsidRPr="009C5807">
        <w:rPr>
          <w:rFonts w:cs="v4.2.0"/>
        </w:rPr>
        <w:t>A UE shall be capable of handling a relative transmission timing difference between subframe timing boundary of E-UTRA PCell and the closest slot timing boundary of PSCell to be aggregated for</w:t>
      </w:r>
      <w:r w:rsidRPr="009C5807">
        <w:rPr>
          <w:rFonts w:cs="v4.2.0"/>
          <w:lang w:eastAsia="zh-CN"/>
        </w:rPr>
        <w:t xml:space="preserve"> </w:t>
      </w:r>
      <w:r w:rsidRPr="009C5807">
        <w:rPr>
          <w:rFonts w:eastAsia="Malgun Gothic" w:cs="v4.2.0"/>
        </w:rPr>
        <w:t>EN-DC</w:t>
      </w:r>
      <w:r w:rsidRPr="009C5807">
        <w:rPr>
          <w:rFonts w:cs="v4.2.0"/>
          <w:lang w:eastAsia="zh-CN"/>
        </w:rPr>
        <w:t xml:space="preserve"> operation</w:t>
      </w:r>
      <w:r w:rsidRPr="009C5807">
        <w:rPr>
          <w:rFonts w:eastAsia="Malgun Gothic" w:cs="v4.2.0"/>
          <w:lang w:eastAsia="zh-CN"/>
        </w:rPr>
        <w:t>.</w:t>
      </w:r>
    </w:p>
    <w:p w14:paraId="1B52C078" w14:textId="77777777" w:rsidR="000433CC" w:rsidRDefault="000433CC" w:rsidP="000433CC">
      <w:pPr>
        <w:rPr>
          <w:rFonts w:cs="v4.2.0"/>
        </w:rPr>
      </w:pPr>
      <w:r w:rsidRPr="009C5807">
        <w:rPr>
          <w:rFonts w:cs="v4.2.0"/>
        </w:rPr>
        <w:t xml:space="preserve">A UE shall be capable of handling a relative </w:t>
      </w:r>
      <w:r w:rsidRPr="009C5807">
        <w:rPr>
          <w:rFonts w:cs="v4.2.0"/>
          <w:lang w:eastAsia="zh-CN"/>
        </w:rPr>
        <w:t>transmission</w:t>
      </w:r>
      <w:r w:rsidRPr="009C5807">
        <w:rPr>
          <w:rFonts w:cs="v4.2.0"/>
        </w:rPr>
        <w:t xml:space="preserve"> timing difference </w:t>
      </w:r>
      <w:r w:rsidRPr="009C5807">
        <w:rPr>
          <w:rFonts w:cs="v4.2.0"/>
          <w:lang w:eastAsia="zh-CN"/>
        </w:rPr>
        <w:t>among</w:t>
      </w:r>
      <w:r w:rsidRPr="009C5807">
        <w:rPr>
          <w:rFonts w:cs="v4.2.0"/>
        </w:rPr>
        <w:t xml:space="preserve"> the closest slot timing </w:t>
      </w:r>
      <w:r w:rsidRPr="009C5807">
        <w:rPr>
          <w:rFonts w:cs="v4.2.0"/>
          <w:lang w:eastAsia="zh-CN"/>
        </w:rPr>
        <w:t>boundaries</w:t>
      </w:r>
      <w:r w:rsidRPr="009C5807">
        <w:rPr>
          <w:rFonts w:cs="v4.2.0"/>
        </w:rPr>
        <w:t xml:space="preserve"> of different carriers </w:t>
      </w:r>
      <w:r>
        <w:t xml:space="preserve">in FR1 and/or FR2-1 </w:t>
      </w:r>
      <w:r w:rsidRPr="009C5807">
        <w:rPr>
          <w:rFonts w:cs="v4.2.0"/>
        </w:rPr>
        <w:t xml:space="preserve">to be aggregated </w:t>
      </w:r>
      <w:r w:rsidRPr="009C5807">
        <w:rPr>
          <w:rFonts w:cs="v4.2.0"/>
          <w:lang w:eastAsia="zh-CN"/>
        </w:rPr>
        <w:t xml:space="preserve">in </w:t>
      </w:r>
      <w:r w:rsidRPr="009C5807">
        <w:rPr>
          <w:rFonts w:cs="v4.2.0"/>
        </w:rPr>
        <w:t>NR carrier aggregation.</w:t>
      </w:r>
    </w:p>
    <w:p w14:paraId="50AE6DCC" w14:textId="77777777" w:rsidR="000433CC" w:rsidRPr="008A7648" w:rsidRDefault="000433CC" w:rsidP="000433CC">
      <w:pPr>
        <w:rPr>
          <w:lang w:eastAsia="en-US"/>
        </w:rPr>
      </w:pPr>
      <w:r w:rsidRPr="00D530F2">
        <w:t xml:space="preserve">A UE shall be capable of handling a relative </w:t>
      </w:r>
      <w:r w:rsidRPr="009C5807">
        <w:rPr>
          <w:rFonts w:cs="v4.2.0"/>
        </w:rPr>
        <w:t xml:space="preserve">transmission </w:t>
      </w:r>
      <w:r w:rsidRPr="00D530F2">
        <w:t xml:space="preserve">timing difference </w:t>
      </w:r>
      <w:r w:rsidRPr="00D530F2">
        <w:rPr>
          <w:lang w:eastAsia="zh-CN"/>
        </w:rPr>
        <w:t>among</w:t>
      </w:r>
      <w:r w:rsidRPr="00D530F2">
        <w:t xml:space="preserve"> the closest </w:t>
      </w:r>
      <w:r>
        <w:t>subframe</w:t>
      </w:r>
      <w:r w:rsidRPr="00D530F2">
        <w:t xml:space="preserve"> timing </w:t>
      </w:r>
      <w:r w:rsidRPr="00D530F2">
        <w:rPr>
          <w:lang w:eastAsia="zh-CN"/>
        </w:rPr>
        <w:t>boundaries</w:t>
      </w:r>
      <w:r w:rsidRPr="00D530F2">
        <w:t xml:space="preserve"> of different carriers to be aggregated </w:t>
      </w:r>
      <w:r w:rsidRPr="00D530F2">
        <w:rPr>
          <w:lang w:eastAsia="zh-CN"/>
        </w:rPr>
        <w:t xml:space="preserve">in </w:t>
      </w:r>
      <w:r>
        <w:rPr>
          <w:lang w:eastAsia="zh-CN"/>
        </w:rPr>
        <w:t xml:space="preserve">FR1 and FR2-2 </w:t>
      </w:r>
      <w:r w:rsidRPr="00D530F2">
        <w:t xml:space="preserve">NR </w:t>
      </w:r>
      <w:r>
        <w:rPr>
          <w:lang w:eastAsia="zh-CN"/>
        </w:rPr>
        <w:t xml:space="preserve">inter-band </w:t>
      </w:r>
      <w:r w:rsidRPr="00D530F2">
        <w:t>carrier aggregation.</w:t>
      </w:r>
    </w:p>
    <w:p w14:paraId="4EB6F969" w14:textId="77777777" w:rsidR="000433CC" w:rsidRPr="009C5807" w:rsidRDefault="000433CC" w:rsidP="000433CC">
      <w:pPr>
        <w:rPr>
          <w:rFonts w:cs="v4.2.0"/>
        </w:rPr>
      </w:pPr>
      <w:r w:rsidRPr="009C5807">
        <w:rPr>
          <w:rFonts w:cs="v4.2.0"/>
        </w:rPr>
        <w:t>A UE shall be capable of handling a relative transmission timing difference between slot timing boundary of PCell and subframe timing boundary of E-UTRA PSCell to be aggregated for NE-DC operation.</w:t>
      </w:r>
    </w:p>
    <w:p w14:paraId="5C8B03DD" w14:textId="77777777" w:rsidR="000433CC" w:rsidRDefault="000433CC" w:rsidP="000433CC">
      <w:pPr>
        <w:rPr>
          <w:rFonts w:cs="v4.2.0"/>
        </w:rPr>
      </w:pPr>
      <w:r w:rsidRPr="009C5807">
        <w:rPr>
          <w:rFonts w:cs="v4.2.0"/>
        </w:rPr>
        <w:t xml:space="preserve">A UE shall be capable of handling a relative </w:t>
      </w:r>
      <w:r w:rsidRPr="009C5807">
        <w:rPr>
          <w:rFonts w:cs="v4.2.0"/>
          <w:lang w:eastAsia="zh-CN"/>
        </w:rPr>
        <w:t>transmission</w:t>
      </w:r>
      <w:r w:rsidRPr="009C5807">
        <w:rPr>
          <w:rFonts w:cs="v4.2.0"/>
        </w:rPr>
        <w:t xml:space="preserve"> timing difference </w:t>
      </w:r>
      <w:r w:rsidRPr="009C5807">
        <w:rPr>
          <w:rFonts w:cs="v4.2.0" w:hint="eastAsia"/>
          <w:lang w:eastAsia="ko-KR"/>
        </w:rPr>
        <w:t>between</w:t>
      </w:r>
      <w:r w:rsidRPr="009C5807">
        <w:rPr>
          <w:rFonts w:cs="v4.2.0"/>
        </w:rPr>
        <w:t xml:space="preserve"> slot timing </w:t>
      </w:r>
      <w:r w:rsidRPr="009C5807">
        <w:rPr>
          <w:rFonts w:cs="v4.2.0"/>
          <w:lang w:eastAsia="zh-CN"/>
        </w:rPr>
        <w:t>boundaries</w:t>
      </w:r>
      <w:r w:rsidRPr="009C5807">
        <w:rPr>
          <w:rFonts w:cs="v4.2.0"/>
        </w:rPr>
        <w:t xml:space="preserve"> of </w:t>
      </w:r>
      <w:r w:rsidRPr="009C5807">
        <w:rPr>
          <w:rFonts w:cs="v4.2.0" w:hint="eastAsia"/>
          <w:lang w:eastAsia="ko-KR"/>
        </w:rPr>
        <w:t>PCell</w:t>
      </w:r>
      <w:r>
        <w:rPr>
          <w:rFonts w:cs="v4.2.0"/>
          <w:lang w:eastAsia="ko-KR"/>
        </w:rPr>
        <w:t xml:space="preserve"> in FR1 or FR2-1</w:t>
      </w:r>
      <w:r w:rsidRPr="009C5807">
        <w:rPr>
          <w:rFonts w:cs="v4.2.0" w:hint="eastAsia"/>
          <w:lang w:eastAsia="ko-KR"/>
        </w:rPr>
        <w:t xml:space="preserve"> and </w:t>
      </w:r>
      <w:r w:rsidRPr="009C5807">
        <w:rPr>
          <w:rFonts w:cs="v4.2.0"/>
        </w:rPr>
        <w:t xml:space="preserve">the closest </w:t>
      </w:r>
      <w:r w:rsidRPr="009C5807">
        <w:rPr>
          <w:rFonts w:cs="v4.2.0" w:hint="eastAsia"/>
          <w:lang w:eastAsia="ko-KR"/>
        </w:rPr>
        <w:t>slot timing boundary of PSCell</w:t>
      </w:r>
      <w:r>
        <w:rPr>
          <w:rFonts w:cs="v4.2.0"/>
          <w:lang w:eastAsia="ko-KR"/>
        </w:rPr>
        <w:t xml:space="preserve"> in FR1 or FR2-1</w:t>
      </w:r>
      <w:r w:rsidRPr="009C5807">
        <w:rPr>
          <w:rFonts w:cs="v4.2.0"/>
        </w:rPr>
        <w:t xml:space="preserve"> to be aggregated </w:t>
      </w:r>
      <w:r w:rsidRPr="009C5807">
        <w:rPr>
          <w:rFonts w:cs="v4.2.0"/>
          <w:lang w:eastAsia="zh-CN"/>
        </w:rPr>
        <w:t xml:space="preserve">in </w:t>
      </w:r>
      <w:r w:rsidRPr="009C5807">
        <w:rPr>
          <w:rFonts w:cs="v4.2.0"/>
        </w:rPr>
        <w:t xml:space="preserve">NR </w:t>
      </w:r>
      <w:r w:rsidRPr="009C5807">
        <w:rPr>
          <w:rFonts w:cs="v4.2.0" w:hint="eastAsia"/>
          <w:lang w:eastAsia="ko-KR"/>
        </w:rPr>
        <w:t>DC operation</w:t>
      </w:r>
      <w:r w:rsidRPr="009C5807">
        <w:rPr>
          <w:rFonts w:cs="v4.2.0"/>
        </w:rPr>
        <w:t>.</w:t>
      </w:r>
    </w:p>
    <w:p w14:paraId="5C202381" w14:textId="2C043839" w:rsidR="000433CC" w:rsidRDefault="000433CC" w:rsidP="000433CC">
      <w:pPr>
        <w:rPr>
          <w:rFonts w:cs="v4.2.0"/>
        </w:rPr>
      </w:pPr>
      <w:r w:rsidRPr="009C5807">
        <w:rPr>
          <w:rFonts w:cs="v4.2.0"/>
        </w:rPr>
        <w:t xml:space="preserve">A UE shall be capable of handling a relative </w:t>
      </w:r>
      <w:r w:rsidRPr="009C5807">
        <w:rPr>
          <w:rFonts w:cs="v4.2.0"/>
          <w:lang w:eastAsia="zh-CN"/>
        </w:rPr>
        <w:t>transmission</w:t>
      </w:r>
      <w:r w:rsidRPr="009C5807">
        <w:rPr>
          <w:rFonts w:cs="v4.2.0"/>
        </w:rPr>
        <w:t xml:space="preserve"> timing difference </w:t>
      </w:r>
      <w:r w:rsidRPr="009C5807">
        <w:rPr>
          <w:rFonts w:cs="v4.2.0" w:hint="eastAsia"/>
          <w:lang w:eastAsia="ko-KR"/>
        </w:rPr>
        <w:t>between</w:t>
      </w:r>
      <w:r w:rsidRPr="009C5807">
        <w:rPr>
          <w:rFonts w:cs="v4.2.0"/>
        </w:rPr>
        <w:t xml:space="preserve"> </w:t>
      </w:r>
      <w:r>
        <w:rPr>
          <w:rFonts w:cs="v4.2.0"/>
        </w:rPr>
        <w:t>subframe</w:t>
      </w:r>
      <w:r w:rsidRPr="009C5807">
        <w:rPr>
          <w:rFonts w:cs="v4.2.0"/>
        </w:rPr>
        <w:t xml:space="preserve"> timing </w:t>
      </w:r>
      <w:r w:rsidRPr="009C5807">
        <w:rPr>
          <w:rFonts w:cs="v4.2.0"/>
          <w:lang w:eastAsia="zh-CN"/>
        </w:rPr>
        <w:t>boundaries</w:t>
      </w:r>
      <w:r w:rsidRPr="009C5807">
        <w:rPr>
          <w:rFonts w:cs="v4.2.0"/>
        </w:rPr>
        <w:t xml:space="preserve"> of </w:t>
      </w:r>
      <w:r w:rsidRPr="009C5807">
        <w:rPr>
          <w:rFonts w:cs="v4.2.0" w:hint="eastAsia"/>
          <w:lang w:eastAsia="ko-KR"/>
        </w:rPr>
        <w:t>PCell</w:t>
      </w:r>
      <w:r>
        <w:rPr>
          <w:rFonts w:cs="v4.2.0"/>
          <w:lang w:eastAsia="ko-KR"/>
        </w:rPr>
        <w:t xml:space="preserve"> in FR1</w:t>
      </w:r>
      <w:r w:rsidRPr="009C5807">
        <w:rPr>
          <w:rFonts w:cs="v4.2.0" w:hint="eastAsia"/>
          <w:lang w:eastAsia="ko-KR"/>
        </w:rPr>
        <w:t xml:space="preserve"> and </w:t>
      </w:r>
      <w:r w:rsidRPr="009C5807">
        <w:rPr>
          <w:rFonts w:cs="v4.2.0"/>
        </w:rPr>
        <w:t xml:space="preserve">the closest </w:t>
      </w:r>
      <w:r>
        <w:rPr>
          <w:rFonts w:cs="v4.2.0"/>
          <w:lang w:eastAsia="ko-KR"/>
        </w:rPr>
        <w:t>subframe</w:t>
      </w:r>
      <w:r w:rsidRPr="009C5807">
        <w:rPr>
          <w:rFonts w:cs="v4.2.0" w:hint="eastAsia"/>
          <w:lang w:eastAsia="ko-KR"/>
        </w:rPr>
        <w:t xml:space="preserve"> timing boundary of PSCell</w:t>
      </w:r>
      <w:r>
        <w:rPr>
          <w:rFonts w:cs="v4.2.0"/>
          <w:lang w:eastAsia="ko-KR"/>
        </w:rPr>
        <w:t xml:space="preserve"> in FR2-2</w:t>
      </w:r>
      <w:r w:rsidRPr="009C5807">
        <w:rPr>
          <w:rFonts w:cs="v4.2.0"/>
        </w:rPr>
        <w:t xml:space="preserve"> to be aggregated </w:t>
      </w:r>
      <w:r w:rsidRPr="009C5807">
        <w:rPr>
          <w:rFonts w:cs="v4.2.0"/>
          <w:lang w:eastAsia="zh-CN"/>
        </w:rPr>
        <w:t xml:space="preserve">in </w:t>
      </w:r>
      <w:r w:rsidRPr="009C5807">
        <w:rPr>
          <w:rFonts w:cs="v4.2.0"/>
        </w:rPr>
        <w:t xml:space="preserve">NR </w:t>
      </w:r>
      <w:r w:rsidRPr="009C5807">
        <w:rPr>
          <w:rFonts w:cs="v4.2.0" w:hint="eastAsia"/>
          <w:lang w:eastAsia="ko-KR"/>
        </w:rPr>
        <w:t>DC operation</w:t>
      </w:r>
      <w:r w:rsidRPr="009C5807">
        <w:rPr>
          <w:rFonts w:cs="v4.2.0"/>
        </w:rPr>
        <w:t>.</w:t>
      </w:r>
    </w:p>
    <w:p w14:paraId="57FEED1E" w14:textId="77777777" w:rsidR="000433CC" w:rsidRPr="009C5807" w:rsidRDefault="000433CC" w:rsidP="000433CC">
      <w:pPr>
        <w:rPr>
          <w:lang w:eastAsia="ko-KR"/>
        </w:rPr>
      </w:pPr>
    </w:p>
    <w:p w14:paraId="79D49E0A" w14:textId="77777777" w:rsidR="00877F17" w:rsidRPr="009C5807" w:rsidRDefault="00877F17" w:rsidP="00877F17">
      <w:pPr>
        <w:pStyle w:val="Heading3"/>
        <w:rPr>
          <w:lang w:eastAsia="ko-KR"/>
        </w:rPr>
      </w:pPr>
      <w:r w:rsidRPr="009C5807">
        <w:rPr>
          <w:lang w:eastAsia="ko-KR"/>
        </w:rPr>
        <w:t>7.5.2</w:t>
      </w:r>
      <w:r w:rsidRPr="009C5807">
        <w:rPr>
          <w:lang w:eastAsia="ko-KR"/>
        </w:rPr>
        <w:tab/>
        <w:t xml:space="preserve">Minimum Requirements for </w:t>
      </w:r>
      <w:r w:rsidRPr="009C5807">
        <w:t>inter-band EN-DC</w:t>
      </w:r>
    </w:p>
    <w:p w14:paraId="6CBFE037" w14:textId="77777777" w:rsidR="00877F17" w:rsidRPr="009C5807" w:rsidRDefault="00877F17" w:rsidP="00877F17">
      <w:pPr>
        <w:rPr>
          <w:rFonts w:cs="v4.2.0"/>
          <w:lang w:eastAsia="zh-CN"/>
        </w:rPr>
      </w:pPr>
      <w:r w:rsidRPr="009C5807">
        <w:rPr>
          <w:rFonts w:eastAsia="Malgun Gothic" w:cs="v4.2.0"/>
        </w:rPr>
        <w:t>The</w:t>
      </w:r>
      <w:r w:rsidRPr="009C5807">
        <w:rPr>
          <w:rFonts w:cs="v4.2.0"/>
        </w:rPr>
        <w:t xml:space="preserve"> UE shall be capable of handling a maximum uplink transmission timing difference between E-UTRA PCell and PSCell as shown in Table 7.5.2-1.</w:t>
      </w:r>
    </w:p>
    <w:p w14:paraId="18097E1E" w14:textId="77777777" w:rsidR="00877F17" w:rsidRPr="009C5807" w:rsidRDefault="00877F17" w:rsidP="00877F17">
      <w:pPr>
        <w:pStyle w:val="TH"/>
        <w:rPr>
          <w:snapToGrid w:val="0"/>
        </w:rPr>
      </w:pPr>
      <w:r w:rsidRPr="009C5807">
        <w:rPr>
          <w:snapToGrid w:val="0"/>
        </w:rPr>
        <w:t xml:space="preserve">Table 7.5.2-1 Maximum uplink transmission timing difference requirement for asynchronous </w:t>
      </w:r>
      <w:r w:rsidRPr="009C5807">
        <w:rPr>
          <w:snapToGrid w:val="0"/>
          <w:lang w:eastAsia="zh-CN"/>
        </w:rPr>
        <w:t>EN-DC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5"/>
        <w:gridCol w:w="2693"/>
      </w:tblGrid>
      <w:tr w:rsidR="00885F53" w:rsidRPr="009C5807" w14:paraId="52979A57" w14:textId="77777777" w:rsidTr="00AD1C20">
        <w:trPr>
          <w:jc w:val="center"/>
        </w:trPr>
        <w:tc>
          <w:tcPr>
            <w:tcW w:w="1984" w:type="dxa"/>
            <w:shd w:val="clear" w:color="auto" w:fill="auto"/>
          </w:tcPr>
          <w:p w14:paraId="3F37FA2C" w14:textId="77777777" w:rsidR="00877F17" w:rsidRPr="009C5807" w:rsidRDefault="00877F17" w:rsidP="00867D3A">
            <w:pPr>
              <w:pStyle w:val="TAH"/>
            </w:pPr>
            <w:r w:rsidRPr="009C5807">
              <w:t>Sub-carrier spacing in E-UTRA PCell (kHz)</w:t>
            </w:r>
          </w:p>
        </w:tc>
        <w:tc>
          <w:tcPr>
            <w:tcW w:w="1985" w:type="dxa"/>
            <w:shd w:val="clear" w:color="auto" w:fill="auto"/>
          </w:tcPr>
          <w:p w14:paraId="61854971" w14:textId="77777777" w:rsidR="00877F17" w:rsidRPr="009C5807" w:rsidRDefault="00877F17" w:rsidP="00867D3A">
            <w:pPr>
              <w:pStyle w:val="TAH"/>
            </w:pPr>
            <w:r w:rsidRPr="009C5807">
              <w:t>UL Sub-carrier spacing for data in PSCell (kHz)</w:t>
            </w:r>
          </w:p>
        </w:tc>
        <w:tc>
          <w:tcPr>
            <w:tcW w:w="2693" w:type="dxa"/>
            <w:shd w:val="clear" w:color="auto" w:fill="auto"/>
          </w:tcPr>
          <w:p w14:paraId="515F5DA0" w14:textId="77777777" w:rsidR="00877F17" w:rsidRPr="009C5807" w:rsidRDefault="00877F17" w:rsidP="00867D3A">
            <w:pPr>
              <w:pStyle w:val="TAH"/>
            </w:pPr>
            <w:r w:rsidRPr="009C5807">
              <w:t>Maximum uplink transmission timing difference (µs)</w:t>
            </w:r>
          </w:p>
        </w:tc>
      </w:tr>
      <w:tr w:rsidR="00885F53" w:rsidRPr="009C5807" w14:paraId="68A56382" w14:textId="77777777" w:rsidTr="00AD1C20">
        <w:trPr>
          <w:jc w:val="center"/>
        </w:trPr>
        <w:tc>
          <w:tcPr>
            <w:tcW w:w="1984" w:type="dxa"/>
            <w:shd w:val="clear" w:color="auto" w:fill="auto"/>
          </w:tcPr>
          <w:p w14:paraId="1D08E5EE" w14:textId="77777777" w:rsidR="00877F17" w:rsidRPr="009C5807" w:rsidRDefault="00877F17" w:rsidP="00867D3A">
            <w:pPr>
              <w:pStyle w:val="TAC"/>
            </w:pPr>
            <w:r w:rsidRPr="009C5807">
              <w:t>15</w:t>
            </w:r>
          </w:p>
        </w:tc>
        <w:tc>
          <w:tcPr>
            <w:tcW w:w="1985" w:type="dxa"/>
            <w:shd w:val="clear" w:color="auto" w:fill="auto"/>
          </w:tcPr>
          <w:p w14:paraId="7969ABA2" w14:textId="77777777" w:rsidR="00877F17" w:rsidRPr="009C5807" w:rsidRDefault="00877F17" w:rsidP="00867D3A">
            <w:pPr>
              <w:pStyle w:val="TAC"/>
            </w:pPr>
            <w:r w:rsidRPr="009C5807">
              <w:t>15</w:t>
            </w:r>
          </w:p>
        </w:tc>
        <w:tc>
          <w:tcPr>
            <w:tcW w:w="2693" w:type="dxa"/>
            <w:shd w:val="clear" w:color="auto" w:fill="auto"/>
          </w:tcPr>
          <w:p w14:paraId="65EA4D53" w14:textId="77777777" w:rsidR="00877F17" w:rsidRPr="009C5807" w:rsidRDefault="00877F17" w:rsidP="00867D3A">
            <w:pPr>
              <w:pStyle w:val="TAC"/>
            </w:pPr>
            <w:r w:rsidRPr="009C5807">
              <w:t>500</w:t>
            </w:r>
          </w:p>
        </w:tc>
      </w:tr>
      <w:tr w:rsidR="00885F53" w:rsidRPr="009C5807" w14:paraId="78A15035" w14:textId="77777777" w:rsidTr="00AD1C20">
        <w:trPr>
          <w:jc w:val="center"/>
        </w:trPr>
        <w:tc>
          <w:tcPr>
            <w:tcW w:w="1984" w:type="dxa"/>
            <w:shd w:val="clear" w:color="auto" w:fill="auto"/>
          </w:tcPr>
          <w:p w14:paraId="2BE763D2" w14:textId="77777777" w:rsidR="00877F17" w:rsidRPr="009C5807" w:rsidRDefault="00877F17" w:rsidP="00867D3A">
            <w:pPr>
              <w:pStyle w:val="TAC"/>
            </w:pPr>
            <w:r w:rsidRPr="009C5807">
              <w:t>15</w:t>
            </w:r>
          </w:p>
        </w:tc>
        <w:tc>
          <w:tcPr>
            <w:tcW w:w="1985" w:type="dxa"/>
            <w:shd w:val="clear" w:color="auto" w:fill="auto"/>
          </w:tcPr>
          <w:p w14:paraId="66ED30D9" w14:textId="77777777" w:rsidR="00877F17" w:rsidRPr="009C5807" w:rsidRDefault="00877F17" w:rsidP="00867D3A">
            <w:pPr>
              <w:pStyle w:val="TAC"/>
            </w:pPr>
            <w:r w:rsidRPr="009C5807">
              <w:t>30</w:t>
            </w:r>
          </w:p>
        </w:tc>
        <w:tc>
          <w:tcPr>
            <w:tcW w:w="2693" w:type="dxa"/>
            <w:shd w:val="clear" w:color="auto" w:fill="auto"/>
          </w:tcPr>
          <w:p w14:paraId="3477F290" w14:textId="77777777" w:rsidR="00877F17" w:rsidRPr="009C5807" w:rsidRDefault="00877F17" w:rsidP="00867D3A">
            <w:pPr>
              <w:pStyle w:val="TAC"/>
            </w:pPr>
            <w:r w:rsidRPr="009C5807">
              <w:t>250</w:t>
            </w:r>
          </w:p>
        </w:tc>
      </w:tr>
      <w:tr w:rsidR="00885F53" w:rsidRPr="009C5807" w14:paraId="084BCA6E" w14:textId="77777777" w:rsidTr="00AD1C20">
        <w:trPr>
          <w:jc w:val="center"/>
        </w:trPr>
        <w:tc>
          <w:tcPr>
            <w:tcW w:w="1984" w:type="dxa"/>
            <w:shd w:val="clear" w:color="auto" w:fill="auto"/>
          </w:tcPr>
          <w:p w14:paraId="5F8EEF8C" w14:textId="77777777" w:rsidR="00877F17" w:rsidRPr="009C5807" w:rsidRDefault="00877F17" w:rsidP="00867D3A">
            <w:pPr>
              <w:pStyle w:val="TAC"/>
            </w:pPr>
            <w:r w:rsidRPr="009C5807">
              <w:t>15</w:t>
            </w:r>
          </w:p>
        </w:tc>
        <w:tc>
          <w:tcPr>
            <w:tcW w:w="1985" w:type="dxa"/>
            <w:shd w:val="clear" w:color="auto" w:fill="auto"/>
          </w:tcPr>
          <w:p w14:paraId="0988B617" w14:textId="77777777" w:rsidR="00877F17" w:rsidRPr="009C5807" w:rsidRDefault="00877F17" w:rsidP="00867D3A">
            <w:pPr>
              <w:pStyle w:val="TAC"/>
            </w:pPr>
            <w:r w:rsidRPr="009C5807">
              <w:t>60</w:t>
            </w:r>
          </w:p>
        </w:tc>
        <w:tc>
          <w:tcPr>
            <w:tcW w:w="2693" w:type="dxa"/>
            <w:shd w:val="clear" w:color="auto" w:fill="auto"/>
          </w:tcPr>
          <w:p w14:paraId="5CBE36DE" w14:textId="77777777" w:rsidR="00877F17" w:rsidRPr="009C5807" w:rsidRDefault="00877F17" w:rsidP="00867D3A">
            <w:pPr>
              <w:pStyle w:val="TAC"/>
            </w:pPr>
            <w:r w:rsidRPr="009C5807">
              <w:t>125</w:t>
            </w:r>
          </w:p>
        </w:tc>
      </w:tr>
      <w:tr w:rsidR="00885F53" w:rsidRPr="009C5807" w14:paraId="35FBF688" w14:textId="77777777" w:rsidTr="00AD1C20">
        <w:trPr>
          <w:jc w:val="center"/>
        </w:trPr>
        <w:tc>
          <w:tcPr>
            <w:tcW w:w="1984" w:type="dxa"/>
            <w:shd w:val="clear" w:color="auto" w:fill="auto"/>
          </w:tcPr>
          <w:p w14:paraId="5EA18107" w14:textId="77777777" w:rsidR="00877F17" w:rsidRPr="009C5807" w:rsidRDefault="00877F17" w:rsidP="00867D3A">
            <w:pPr>
              <w:pStyle w:val="TAC"/>
            </w:pPr>
            <w:r w:rsidRPr="009C5807">
              <w:t>15</w:t>
            </w:r>
          </w:p>
        </w:tc>
        <w:tc>
          <w:tcPr>
            <w:tcW w:w="1985" w:type="dxa"/>
            <w:shd w:val="clear" w:color="auto" w:fill="auto"/>
          </w:tcPr>
          <w:p w14:paraId="74DFC3AE" w14:textId="77777777" w:rsidR="00877F17" w:rsidRPr="009C5807" w:rsidRDefault="00877F17" w:rsidP="00867D3A">
            <w:pPr>
              <w:pStyle w:val="TAC"/>
            </w:pPr>
            <w:r w:rsidRPr="009C5807">
              <w:t>120</w:t>
            </w:r>
            <w:r w:rsidRPr="009C5807">
              <w:rPr>
                <w:vertAlign w:val="superscript"/>
              </w:rPr>
              <w:t>Note1</w:t>
            </w:r>
          </w:p>
        </w:tc>
        <w:tc>
          <w:tcPr>
            <w:tcW w:w="2693" w:type="dxa"/>
            <w:shd w:val="clear" w:color="auto" w:fill="auto"/>
          </w:tcPr>
          <w:p w14:paraId="4762D7C2" w14:textId="77777777" w:rsidR="00877F17" w:rsidRPr="009C5807" w:rsidRDefault="00877F17" w:rsidP="00867D3A">
            <w:pPr>
              <w:pStyle w:val="TAC"/>
            </w:pPr>
            <w:r w:rsidRPr="009C5807">
              <w:t>62.5</w:t>
            </w:r>
          </w:p>
        </w:tc>
      </w:tr>
      <w:tr w:rsidR="00877F17" w:rsidRPr="009C5807" w14:paraId="56EF70F6" w14:textId="77777777" w:rsidTr="00AD1C20">
        <w:trPr>
          <w:jc w:val="center"/>
        </w:trPr>
        <w:tc>
          <w:tcPr>
            <w:tcW w:w="6662" w:type="dxa"/>
            <w:gridSpan w:val="3"/>
            <w:shd w:val="clear" w:color="auto" w:fill="auto"/>
          </w:tcPr>
          <w:p w14:paraId="1E2D9D12" w14:textId="2A5565F2" w:rsidR="00877F17" w:rsidRPr="009C5807" w:rsidRDefault="005B4E88" w:rsidP="00867D3A">
            <w:pPr>
              <w:pStyle w:val="TAN"/>
              <w:rPr>
                <w:rFonts w:cs="Arial"/>
                <w:lang w:eastAsia="zh-CN"/>
              </w:rPr>
            </w:pPr>
            <w:r w:rsidRPr="009C5807">
              <w:rPr>
                <w:rFonts w:cs="Arial"/>
                <w:lang w:eastAsia="ja-JP"/>
              </w:rPr>
              <w:t>NOTE</w:t>
            </w:r>
            <w:r w:rsidRPr="009C5807">
              <w:rPr>
                <w:rFonts w:cs="Arial"/>
                <w:lang w:eastAsia="ko-KR"/>
              </w:rPr>
              <w:t xml:space="preserve"> </w:t>
            </w:r>
            <w:r w:rsidRPr="009C5807">
              <w:rPr>
                <w:rFonts w:cs="Arial"/>
                <w:lang w:eastAsia="ja-JP"/>
              </w:rPr>
              <w:t>1:</w:t>
            </w:r>
            <w:r w:rsidRPr="009C5807">
              <w:rPr>
                <w:lang w:eastAsia="ko-KR"/>
              </w:rPr>
              <w:tab/>
            </w:r>
            <w:r w:rsidRPr="009C5807">
              <w:rPr>
                <w:rFonts w:cs="Arial"/>
              </w:rPr>
              <w:t>F</w:t>
            </w:r>
            <w:r w:rsidRPr="009C5807">
              <w:rPr>
                <w:rFonts w:cs="Arial"/>
                <w:lang w:eastAsia="ja-JP"/>
              </w:rPr>
              <w:t xml:space="preserve">or </w:t>
            </w:r>
            <w:r w:rsidRPr="009C5807">
              <w:rPr>
                <w:lang w:eastAsia="zh-CN"/>
              </w:rPr>
              <w:t xml:space="preserve">E-UTRA </w:t>
            </w:r>
            <w:r w:rsidRPr="009C5807">
              <w:t>FDD-</w:t>
            </w:r>
            <w:r w:rsidRPr="009C5807">
              <w:rPr>
                <w:lang w:eastAsia="zh-CN"/>
              </w:rPr>
              <w:t xml:space="preserve">NR </w:t>
            </w:r>
            <w:r w:rsidRPr="009C5807">
              <w:t>FDD</w:t>
            </w:r>
            <w:r w:rsidRPr="009C5807">
              <w:rPr>
                <w:lang w:eastAsia="zh-CN"/>
              </w:rPr>
              <w:t xml:space="preserve"> </w:t>
            </w:r>
            <w:r w:rsidRPr="009C5807">
              <w:rPr>
                <w:rFonts w:cs="Arial"/>
                <w:lang w:eastAsia="ja-JP"/>
              </w:rPr>
              <w:t>intra-band</w:t>
            </w:r>
            <w:r w:rsidRPr="009C5807">
              <w:rPr>
                <w:rFonts w:cs="Arial"/>
                <w:lang w:eastAsia="zh-CN"/>
              </w:rPr>
              <w:t xml:space="preserve"> EN-DC</w:t>
            </w:r>
            <w:r w:rsidRPr="009C5807">
              <w:rPr>
                <w:rFonts w:cs="Arial"/>
                <w:lang w:eastAsia="ja-JP"/>
              </w:rPr>
              <w:t xml:space="preserve">, </w:t>
            </w:r>
            <w:r w:rsidRPr="009C5807">
              <w:rPr>
                <w:rFonts w:cs="Arial"/>
                <w:lang w:eastAsia="zh-CN"/>
              </w:rPr>
              <w:t xml:space="preserve">for which the requirement is defined in clause 7.5.3 and this Table 7.5.2-1 is also applicable, the scenario with </w:t>
            </w:r>
            <w:r w:rsidRPr="009C5807">
              <w:rPr>
                <w:rFonts w:cs="Arial"/>
                <w:lang w:eastAsia="ja-JP"/>
              </w:rPr>
              <w:t xml:space="preserve">120kHz </w:t>
            </w:r>
            <w:r w:rsidRPr="009C5807">
              <w:rPr>
                <w:rFonts w:cs="Arial"/>
                <w:lang w:eastAsia="zh-CN"/>
              </w:rPr>
              <w:t>PSCell does not exist</w:t>
            </w:r>
            <w:r w:rsidRPr="009C5807">
              <w:rPr>
                <w:rFonts w:cs="Arial"/>
                <w:lang w:eastAsia="ja-JP"/>
              </w:rPr>
              <w:t>.</w:t>
            </w:r>
          </w:p>
        </w:tc>
      </w:tr>
    </w:tbl>
    <w:p w14:paraId="3ACD7AC3" w14:textId="77777777" w:rsidR="00877F17" w:rsidRPr="009C5807" w:rsidRDefault="00877F17" w:rsidP="00877F17">
      <w:pPr>
        <w:rPr>
          <w:rFonts w:eastAsia="Malgun Gothic" w:cs="v4.2.0"/>
        </w:rPr>
      </w:pPr>
    </w:p>
    <w:p w14:paraId="567F132E" w14:textId="426964A0" w:rsidR="00FF0D54" w:rsidRPr="009C5807" w:rsidRDefault="00FF0D54" w:rsidP="00A1174D">
      <w:pPr>
        <w:pStyle w:val="TH"/>
        <w:rPr>
          <w:snapToGrid w:val="0"/>
        </w:rPr>
      </w:pPr>
      <w:r w:rsidRPr="009C5807">
        <w:rPr>
          <w:snapToGrid w:val="0"/>
        </w:rPr>
        <w:t>Table 7.5.2-2 Void</w:t>
      </w:r>
    </w:p>
    <w:p w14:paraId="640FB3C9" w14:textId="77777777" w:rsidR="00FF0D54" w:rsidRPr="009C5807" w:rsidRDefault="00FF0D54" w:rsidP="00FF0D54">
      <w:pPr>
        <w:rPr>
          <w:lang w:eastAsia="ko-KR"/>
        </w:rPr>
      </w:pPr>
    </w:p>
    <w:p w14:paraId="49710B53" w14:textId="77777777" w:rsidR="00FF0D54" w:rsidRPr="009C5807" w:rsidRDefault="00FF0D54" w:rsidP="00FF0D54">
      <w:pPr>
        <w:pStyle w:val="Heading4"/>
        <w:rPr>
          <w:lang w:eastAsia="ko-KR"/>
        </w:rPr>
      </w:pPr>
      <w:r w:rsidRPr="009C5807">
        <w:rPr>
          <w:lang w:eastAsia="ko-KR"/>
        </w:rPr>
        <w:t>7.5.2.1</w:t>
      </w:r>
      <w:r w:rsidRPr="009C5807">
        <w:rPr>
          <w:lang w:eastAsia="ko-KR"/>
        </w:rPr>
        <w:tab/>
        <w:t xml:space="preserve">Minimum Requirements for </w:t>
      </w:r>
      <w:r w:rsidRPr="009C5807">
        <w:t>inter-band synchronous EN-DC</w:t>
      </w:r>
    </w:p>
    <w:p w14:paraId="10CC38CF" w14:textId="77777777" w:rsidR="00FF0D54" w:rsidRPr="009C5807" w:rsidRDefault="00FF0D54" w:rsidP="00FF0D54">
      <w:pPr>
        <w:rPr>
          <w:rFonts w:cs="v4.2.0"/>
          <w:lang w:eastAsia="zh-CN"/>
        </w:rPr>
      </w:pPr>
      <w:r w:rsidRPr="009C5807">
        <w:rPr>
          <w:rFonts w:cs="v4.2.0"/>
          <w:lang w:eastAsia="zh-CN"/>
        </w:rPr>
        <w:t>The requirements in this clause apply as a reference for inter-band synchronous EN-DC.</w:t>
      </w:r>
    </w:p>
    <w:p w14:paraId="05AC25E2" w14:textId="7B06EB86" w:rsidR="00FF0D54" w:rsidRDefault="00FF0D54" w:rsidP="00FF0D54">
      <w:r w:rsidRPr="009C5807">
        <w:rPr>
          <w:rFonts w:cs="v4.2.0"/>
          <w:lang w:eastAsia="zh-CN"/>
        </w:rPr>
        <w:t>T</w:t>
      </w:r>
      <w:r w:rsidRPr="009C5807">
        <w:rPr>
          <w:rFonts w:cs="v4.2.0"/>
        </w:rPr>
        <w:t>he UE shall be capable of handling a maximum uplink transmission timing difference between E-UTRA PCell and PSCell for inter-band synchronous EN-DC as shown in Table 7.5.2.1-</w:t>
      </w:r>
      <w:r w:rsidRPr="009C5807">
        <w:rPr>
          <w:rFonts w:cs="v4.2.0"/>
          <w:lang w:eastAsia="zh-CN"/>
        </w:rPr>
        <w:t>1</w:t>
      </w:r>
      <w:r w:rsidRPr="009C5807">
        <w:rPr>
          <w:rFonts w:cs="v4.2.0"/>
        </w:rPr>
        <w:t xml:space="preserve"> 1. The requirements for synchronous EN-DC are applicable </w:t>
      </w:r>
      <w:r w:rsidRPr="009C5807">
        <w:t xml:space="preserve">for </w:t>
      </w:r>
      <w:r w:rsidRPr="009C5807">
        <w:rPr>
          <w:lang w:eastAsia="zh-CN"/>
        </w:rPr>
        <w:t xml:space="preserve">E-UTRA </w:t>
      </w:r>
      <w:r w:rsidRPr="009C5807">
        <w:t>TDD-</w:t>
      </w:r>
      <w:r w:rsidRPr="009C5807">
        <w:rPr>
          <w:lang w:eastAsia="zh-CN"/>
        </w:rPr>
        <w:t xml:space="preserve">NR </w:t>
      </w:r>
      <w:r w:rsidRPr="009C5807">
        <w:t>TDD</w:t>
      </w:r>
      <w:r w:rsidRPr="009C5807">
        <w:rPr>
          <w:lang w:eastAsia="zh-CN"/>
        </w:rPr>
        <w:t xml:space="preserve">, E-UTRA FDD-NR FDD, E-UTRA </w:t>
      </w:r>
      <w:r w:rsidRPr="009C5807">
        <w:t>TDD-</w:t>
      </w:r>
      <w:r w:rsidRPr="009C5807">
        <w:rPr>
          <w:lang w:eastAsia="zh-CN"/>
        </w:rPr>
        <w:t>NR F</w:t>
      </w:r>
      <w:r w:rsidRPr="009C5807">
        <w:t>DD</w:t>
      </w:r>
      <w:r w:rsidRPr="009C5807">
        <w:rPr>
          <w:lang w:eastAsia="zh-CN"/>
        </w:rPr>
        <w:t xml:space="preserve"> </w:t>
      </w:r>
      <w:r w:rsidRPr="009C5807">
        <w:t xml:space="preserve">and </w:t>
      </w:r>
      <w:r w:rsidRPr="009C5807">
        <w:rPr>
          <w:lang w:eastAsia="zh-CN"/>
        </w:rPr>
        <w:t>E-UTRA F</w:t>
      </w:r>
      <w:r w:rsidRPr="009C5807">
        <w:t>DD-</w:t>
      </w:r>
      <w:r w:rsidRPr="009C5807">
        <w:rPr>
          <w:lang w:eastAsia="zh-CN"/>
        </w:rPr>
        <w:t>NR T</w:t>
      </w:r>
      <w:r w:rsidRPr="009C5807">
        <w:t xml:space="preserve">DD inter-band </w:t>
      </w:r>
      <w:r w:rsidRPr="009C5807">
        <w:rPr>
          <w:lang w:eastAsia="zh-CN"/>
        </w:rPr>
        <w:t>EN-DC</w:t>
      </w:r>
      <w:r w:rsidRPr="009C5807">
        <w:t>.</w:t>
      </w:r>
    </w:p>
    <w:p w14:paraId="53865AB5" w14:textId="6452A24D" w:rsidR="00BE6A9F" w:rsidRPr="009C5807" w:rsidRDefault="00BE6A9F" w:rsidP="00FF0D54">
      <w:pPr>
        <w:rPr>
          <w:rFonts w:cs="v4.2.0"/>
          <w:lang w:eastAsia="zh-CN"/>
        </w:rPr>
      </w:pPr>
      <w:r>
        <w:rPr>
          <w:rFonts w:cs="v4.2.0"/>
        </w:rPr>
        <w:t>F</w:t>
      </w:r>
      <w:r w:rsidRPr="00D06399">
        <w:rPr>
          <w:rFonts w:cs="v4.2.0"/>
        </w:rPr>
        <w:t>or E-UTRA TDD-NR TDD inter-band EN-DC with overlapping DL bands</w:t>
      </w:r>
      <w:r>
        <w:rPr>
          <w:rFonts w:cs="v4.2.0"/>
        </w:rPr>
        <w:t>,</w:t>
      </w:r>
      <w:r w:rsidRPr="00D06399">
        <w:rPr>
          <w:rFonts w:cs="v4.2.0"/>
        </w:rPr>
        <w:t xml:space="preserve"> </w:t>
      </w:r>
      <w:r>
        <w:rPr>
          <w:rFonts w:cs="v4.2.0"/>
        </w:rPr>
        <w:t>only synchronized operation is assumed. T</w:t>
      </w:r>
      <w:r w:rsidRPr="009C5807">
        <w:rPr>
          <w:rFonts w:cs="v4.2.0"/>
        </w:rPr>
        <w:t>he UE shall be capable of handling a maximum uplink transmission timing difference between E-UTRA PCell and PSCell as shown in Table 7.5.2.1-</w:t>
      </w:r>
      <w:r w:rsidRPr="009C5807">
        <w:rPr>
          <w:rFonts w:cs="v4.2.0"/>
          <w:lang w:eastAsia="zh-CN"/>
        </w:rPr>
        <w:t>1</w:t>
      </w:r>
      <w:r w:rsidRPr="009C5807">
        <w:rPr>
          <w:rFonts w:eastAsia="Malgun Gothic" w:cs="v4.2.0"/>
        </w:rPr>
        <w:t xml:space="preserve"> </w:t>
      </w:r>
      <w:r>
        <w:rPr>
          <w:rFonts w:eastAsia="Malgun Gothic" w:cs="v4.2.0"/>
        </w:rPr>
        <w:t xml:space="preserve">provided that UE indicates that it is capable of </w:t>
      </w:r>
      <w:r w:rsidRPr="00A359D8">
        <w:rPr>
          <w:rFonts w:eastAsia="Malgun Gothic" w:cs="v4.2.0"/>
          <w:i/>
          <w:iCs/>
        </w:rPr>
        <w:t>interBandMRDC-WithOverlapDL-Bands-r16</w:t>
      </w:r>
      <w:r>
        <w:rPr>
          <w:rFonts w:eastAsia="Malgun Gothic" w:cs="v4.2.0"/>
        </w:rPr>
        <w:t>, and in Table 7.5.3-1 provided that it is not capable of</w:t>
      </w:r>
      <w:r w:rsidRPr="00A359D8">
        <w:rPr>
          <w:rFonts w:eastAsia="Malgun Gothic" w:cs="v4.2.0"/>
          <w:i/>
          <w:iCs/>
        </w:rPr>
        <w:t xml:space="preserve"> interBandMRDC-WithOverlapDL-Bands-r16</w:t>
      </w:r>
      <w:r>
        <w:rPr>
          <w:rFonts w:eastAsia="Malgun Gothic" w:cs="v4.2.0"/>
        </w:rPr>
        <w:t>.</w:t>
      </w:r>
    </w:p>
    <w:p w14:paraId="383609EC" w14:textId="77777777" w:rsidR="00FF0D54" w:rsidRPr="009C5807" w:rsidRDefault="00FF0D54" w:rsidP="00FF0D54">
      <w:pPr>
        <w:pStyle w:val="TH"/>
        <w:rPr>
          <w:snapToGrid w:val="0"/>
        </w:rPr>
      </w:pPr>
      <w:r w:rsidRPr="009C5807">
        <w:rPr>
          <w:snapToGrid w:val="0"/>
        </w:rPr>
        <w:t>Table 7.5.2.1-1 Maximum uplink transmission timing difference requirement for</w:t>
      </w:r>
      <w:r w:rsidRPr="009C5807">
        <w:rPr>
          <w:snapToGrid w:val="0"/>
          <w:lang w:eastAsia="zh-CN"/>
        </w:rPr>
        <w:t xml:space="preserve"> inter-band</w:t>
      </w:r>
      <w:r w:rsidRPr="009C5807">
        <w:rPr>
          <w:snapToGrid w:val="0"/>
        </w:rPr>
        <w:t xml:space="preserve"> synchronous </w:t>
      </w:r>
      <w:r w:rsidRPr="009C5807">
        <w:rPr>
          <w:snapToGrid w:val="0"/>
          <w:lang w:eastAsia="zh-CN"/>
        </w:rPr>
        <w:t>EN-DC</w:t>
      </w:r>
    </w:p>
    <w:tbl>
      <w:tblPr>
        <w:tblW w:w="0" w:type="auto"/>
        <w:tblInd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765"/>
        <w:gridCol w:w="2225"/>
      </w:tblGrid>
      <w:tr w:rsidR="00FF0D54" w:rsidRPr="009C5807" w14:paraId="458867B0" w14:textId="77777777" w:rsidTr="00566CFE">
        <w:tc>
          <w:tcPr>
            <w:tcW w:w="1765" w:type="dxa"/>
            <w:tcBorders>
              <w:top w:val="single" w:sz="4" w:space="0" w:color="auto"/>
              <w:left w:val="single" w:sz="4" w:space="0" w:color="auto"/>
              <w:bottom w:val="single" w:sz="4" w:space="0" w:color="auto"/>
              <w:right w:val="single" w:sz="4" w:space="0" w:color="auto"/>
            </w:tcBorders>
            <w:hideMark/>
          </w:tcPr>
          <w:p w14:paraId="0C276CC4" w14:textId="77777777" w:rsidR="00FF0D54" w:rsidRPr="007C55F6" w:rsidRDefault="00FF0D54" w:rsidP="00566CFE">
            <w:pPr>
              <w:pStyle w:val="TAH"/>
            </w:pPr>
            <w:r w:rsidRPr="007C55F6">
              <w:t>Sub-carrier spacing in E-UTRA PCell (kHz)</w:t>
            </w:r>
          </w:p>
        </w:tc>
        <w:tc>
          <w:tcPr>
            <w:tcW w:w="1765" w:type="dxa"/>
            <w:tcBorders>
              <w:top w:val="single" w:sz="4" w:space="0" w:color="auto"/>
              <w:left w:val="single" w:sz="4" w:space="0" w:color="auto"/>
              <w:bottom w:val="single" w:sz="4" w:space="0" w:color="auto"/>
              <w:right w:val="single" w:sz="4" w:space="0" w:color="auto"/>
            </w:tcBorders>
            <w:hideMark/>
          </w:tcPr>
          <w:p w14:paraId="5F84605C" w14:textId="77777777" w:rsidR="00FF0D54" w:rsidRPr="007C55F6" w:rsidRDefault="00FF0D54" w:rsidP="00566CFE">
            <w:pPr>
              <w:pStyle w:val="TAH"/>
            </w:pPr>
            <w:r w:rsidRPr="007C55F6">
              <w:t>UL Sub-carrier spacing for data in PSCell (kHz)</w:t>
            </w:r>
          </w:p>
        </w:tc>
        <w:tc>
          <w:tcPr>
            <w:tcW w:w="2225" w:type="dxa"/>
            <w:tcBorders>
              <w:top w:val="single" w:sz="4" w:space="0" w:color="auto"/>
              <w:left w:val="single" w:sz="4" w:space="0" w:color="auto"/>
              <w:bottom w:val="single" w:sz="4" w:space="0" w:color="auto"/>
              <w:right w:val="single" w:sz="4" w:space="0" w:color="auto"/>
            </w:tcBorders>
            <w:hideMark/>
          </w:tcPr>
          <w:p w14:paraId="74719C5C" w14:textId="77777777" w:rsidR="00FF0D54" w:rsidRPr="007C55F6" w:rsidRDefault="00FF0D54" w:rsidP="00566CFE">
            <w:pPr>
              <w:pStyle w:val="TAH"/>
            </w:pPr>
            <w:r w:rsidRPr="007C55F6">
              <w:t>Maximum uplink transmission timing difference (µs)</w:t>
            </w:r>
          </w:p>
        </w:tc>
      </w:tr>
      <w:tr w:rsidR="00FF0D54" w:rsidRPr="009C5807" w14:paraId="027F8BF9" w14:textId="77777777" w:rsidTr="00566CFE">
        <w:tc>
          <w:tcPr>
            <w:tcW w:w="1765" w:type="dxa"/>
            <w:tcBorders>
              <w:top w:val="single" w:sz="4" w:space="0" w:color="auto"/>
              <w:left w:val="single" w:sz="4" w:space="0" w:color="auto"/>
              <w:bottom w:val="single" w:sz="4" w:space="0" w:color="auto"/>
              <w:right w:val="single" w:sz="4" w:space="0" w:color="auto"/>
            </w:tcBorders>
            <w:hideMark/>
          </w:tcPr>
          <w:p w14:paraId="1CFEA4EE" w14:textId="77777777" w:rsidR="00FF0D54" w:rsidRPr="009C5807" w:rsidRDefault="00FF0D54" w:rsidP="00566CFE">
            <w:pPr>
              <w:pStyle w:val="TAC"/>
              <w:rPr>
                <w:lang w:val="fr-FR"/>
              </w:rPr>
            </w:pPr>
            <w:r w:rsidRPr="009C5807">
              <w:rPr>
                <w:lang w:val="fr-FR"/>
              </w:rPr>
              <w:t>15</w:t>
            </w:r>
          </w:p>
        </w:tc>
        <w:tc>
          <w:tcPr>
            <w:tcW w:w="1765" w:type="dxa"/>
            <w:tcBorders>
              <w:top w:val="single" w:sz="4" w:space="0" w:color="auto"/>
              <w:left w:val="single" w:sz="4" w:space="0" w:color="auto"/>
              <w:bottom w:val="single" w:sz="4" w:space="0" w:color="auto"/>
              <w:right w:val="single" w:sz="4" w:space="0" w:color="auto"/>
            </w:tcBorders>
            <w:hideMark/>
          </w:tcPr>
          <w:p w14:paraId="7009F7B4" w14:textId="77777777" w:rsidR="00FF0D54" w:rsidRPr="009C5807" w:rsidRDefault="00FF0D54" w:rsidP="00566CFE">
            <w:pPr>
              <w:pStyle w:val="TAC"/>
              <w:rPr>
                <w:lang w:val="fr-FR"/>
              </w:rPr>
            </w:pPr>
            <w:r w:rsidRPr="009C5807">
              <w:rPr>
                <w:lang w:val="fr-FR"/>
              </w:rPr>
              <w:t>15</w:t>
            </w:r>
          </w:p>
        </w:tc>
        <w:tc>
          <w:tcPr>
            <w:tcW w:w="2225" w:type="dxa"/>
            <w:tcBorders>
              <w:top w:val="single" w:sz="4" w:space="0" w:color="auto"/>
              <w:left w:val="single" w:sz="4" w:space="0" w:color="auto"/>
              <w:bottom w:val="single" w:sz="4" w:space="0" w:color="auto"/>
              <w:right w:val="single" w:sz="4" w:space="0" w:color="auto"/>
            </w:tcBorders>
            <w:hideMark/>
          </w:tcPr>
          <w:p w14:paraId="4970ABE7" w14:textId="77777777" w:rsidR="00FF0D54" w:rsidRPr="009C5807" w:rsidRDefault="00FF0D54" w:rsidP="00566CFE">
            <w:pPr>
              <w:pStyle w:val="TAC"/>
              <w:rPr>
                <w:lang w:val="fr-FR"/>
              </w:rPr>
            </w:pPr>
            <w:r w:rsidRPr="009C5807">
              <w:rPr>
                <w:lang w:val="fr-FR" w:eastAsia="zh-CN"/>
              </w:rPr>
              <w:t>35.21</w:t>
            </w:r>
          </w:p>
        </w:tc>
      </w:tr>
      <w:tr w:rsidR="00FF0D54" w:rsidRPr="009C5807" w14:paraId="325FC43E" w14:textId="77777777" w:rsidTr="00566CFE">
        <w:tc>
          <w:tcPr>
            <w:tcW w:w="1765" w:type="dxa"/>
            <w:tcBorders>
              <w:top w:val="single" w:sz="4" w:space="0" w:color="auto"/>
              <w:left w:val="single" w:sz="4" w:space="0" w:color="auto"/>
              <w:bottom w:val="single" w:sz="4" w:space="0" w:color="auto"/>
              <w:right w:val="single" w:sz="4" w:space="0" w:color="auto"/>
            </w:tcBorders>
            <w:hideMark/>
          </w:tcPr>
          <w:p w14:paraId="722974C5" w14:textId="77777777" w:rsidR="00FF0D54" w:rsidRPr="009C5807" w:rsidRDefault="00FF0D54" w:rsidP="00566CFE">
            <w:pPr>
              <w:pStyle w:val="TAC"/>
              <w:rPr>
                <w:lang w:val="fr-FR"/>
              </w:rPr>
            </w:pPr>
            <w:r w:rsidRPr="009C5807">
              <w:rPr>
                <w:lang w:val="fr-FR"/>
              </w:rPr>
              <w:t>15</w:t>
            </w:r>
          </w:p>
        </w:tc>
        <w:tc>
          <w:tcPr>
            <w:tcW w:w="1765" w:type="dxa"/>
            <w:tcBorders>
              <w:top w:val="single" w:sz="4" w:space="0" w:color="auto"/>
              <w:left w:val="single" w:sz="4" w:space="0" w:color="auto"/>
              <w:bottom w:val="single" w:sz="4" w:space="0" w:color="auto"/>
              <w:right w:val="single" w:sz="4" w:space="0" w:color="auto"/>
            </w:tcBorders>
            <w:hideMark/>
          </w:tcPr>
          <w:p w14:paraId="3B7194F1" w14:textId="77777777" w:rsidR="00FF0D54" w:rsidRPr="009C5807" w:rsidRDefault="00FF0D54" w:rsidP="00566CFE">
            <w:pPr>
              <w:pStyle w:val="TAC"/>
              <w:rPr>
                <w:lang w:val="fr-FR"/>
              </w:rPr>
            </w:pPr>
            <w:r w:rsidRPr="009C5807">
              <w:rPr>
                <w:lang w:val="fr-FR"/>
              </w:rPr>
              <w:t>30</w:t>
            </w:r>
          </w:p>
        </w:tc>
        <w:tc>
          <w:tcPr>
            <w:tcW w:w="2225" w:type="dxa"/>
            <w:tcBorders>
              <w:top w:val="single" w:sz="4" w:space="0" w:color="auto"/>
              <w:left w:val="single" w:sz="4" w:space="0" w:color="auto"/>
              <w:bottom w:val="single" w:sz="4" w:space="0" w:color="auto"/>
              <w:right w:val="single" w:sz="4" w:space="0" w:color="auto"/>
            </w:tcBorders>
            <w:hideMark/>
          </w:tcPr>
          <w:p w14:paraId="0F6BB732" w14:textId="77777777" w:rsidR="00FF0D54" w:rsidRPr="009C5807" w:rsidRDefault="00FF0D54" w:rsidP="00566CFE">
            <w:pPr>
              <w:pStyle w:val="TAC"/>
              <w:rPr>
                <w:lang w:val="fr-FR"/>
              </w:rPr>
            </w:pPr>
            <w:r w:rsidRPr="009C5807">
              <w:rPr>
                <w:lang w:val="fr-FR" w:eastAsia="zh-CN"/>
              </w:rPr>
              <w:t>35.21</w:t>
            </w:r>
          </w:p>
        </w:tc>
      </w:tr>
      <w:tr w:rsidR="00FF0D54" w:rsidRPr="009C5807" w14:paraId="2D4F3DD3" w14:textId="77777777" w:rsidTr="00566CFE">
        <w:tc>
          <w:tcPr>
            <w:tcW w:w="1765" w:type="dxa"/>
            <w:tcBorders>
              <w:top w:val="single" w:sz="4" w:space="0" w:color="auto"/>
              <w:left w:val="single" w:sz="4" w:space="0" w:color="auto"/>
              <w:bottom w:val="single" w:sz="4" w:space="0" w:color="auto"/>
              <w:right w:val="single" w:sz="4" w:space="0" w:color="auto"/>
            </w:tcBorders>
            <w:hideMark/>
          </w:tcPr>
          <w:p w14:paraId="1EF85884" w14:textId="77777777" w:rsidR="00FF0D54" w:rsidRPr="009C5807" w:rsidRDefault="00FF0D54" w:rsidP="00566CFE">
            <w:pPr>
              <w:pStyle w:val="TAC"/>
              <w:rPr>
                <w:lang w:val="fr-FR"/>
              </w:rPr>
            </w:pPr>
            <w:r w:rsidRPr="009C5807">
              <w:rPr>
                <w:lang w:val="fr-FR"/>
              </w:rPr>
              <w:t>15</w:t>
            </w:r>
          </w:p>
        </w:tc>
        <w:tc>
          <w:tcPr>
            <w:tcW w:w="1765" w:type="dxa"/>
            <w:tcBorders>
              <w:top w:val="single" w:sz="4" w:space="0" w:color="auto"/>
              <w:left w:val="single" w:sz="4" w:space="0" w:color="auto"/>
              <w:bottom w:val="single" w:sz="4" w:space="0" w:color="auto"/>
              <w:right w:val="single" w:sz="4" w:space="0" w:color="auto"/>
            </w:tcBorders>
            <w:hideMark/>
          </w:tcPr>
          <w:p w14:paraId="38687933" w14:textId="77777777" w:rsidR="00FF0D54" w:rsidRPr="009C5807" w:rsidRDefault="00FF0D54" w:rsidP="00566CFE">
            <w:pPr>
              <w:pStyle w:val="TAC"/>
              <w:rPr>
                <w:lang w:val="fr-FR"/>
              </w:rPr>
            </w:pPr>
            <w:r w:rsidRPr="009C5807">
              <w:rPr>
                <w:lang w:val="fr-FR"/>
              </w:rPr>
              <w:t>60</w:t>
            </w:r>
          </w:p>
        </w:tc>
        <w:tc>
          <w:tcPr>
            <w:tcW w:w="2225" w:type="dxa"/>
            <w:tcBorders>
              <w:top w:val="single" w:sz="4" w:space="0" w:color="auto"/>
              <w:left w:val="single" w:sz="4" w:space="0" w:color="auto"/>
              <w:bottom w:val="single" w:sz="4" w:space="0" w:color="auto"/>
              <w:right w:val="single" w:sz="4" w:space="0" w:color="auto"/>
            </w:tcBorders>
            <w:hideMark/>
          </w:tcPr>
          <w:p w14:paraId="1AFE6AAD" w14:textId="77777777" w:rsidR="00FF0D54" w:rsidRPr="009C5807" w:rsidRDefault="00FF0D54" w:rsidP="00566CFE">
            <w:pPr>
              <w:pStyle w:val="TAC"/>
              <w:rPr>
                <w:lang w:val="fr-FR"/>
              </w:rPr>
            </w:pPr>
            <w:r w:rsidRPr="009C5807">
              <w:rPr>
                <w:lang w:val="fr-FR" w:eastAsia="zh-CN"/>
              </w:rPr>
              <w:t>35.21</w:t>
            </w:r>
          </w:p>
        </w:tc>
      </w:tr>
      <w:tr w:rsidR="00FF0D54" w:rsidRPr="009C5807" w14:paraId="313379E2" w14:textId="77777777" w:rsidTr="00566CFE">
        <w:tc>
          <w:tcPr>
            <w:tcW w:w="1765" w:type="dxa"/>
            <w:tcBorders>
              <w:top w:val="single" w:sz="4" w:space="0" w:color="auto"/>
              <w:left w:val="single" w:sz="4" w:space="0" w:color="auto"/>
              <w:bottom w:val="single" w:sz="4" w:space="0" w:color="auto"/>
              <w:right w:val="single" w:sz="4" w:space="0" w:color="auto"/>
            </w:tcBorders>
            <w:hideMark/>
          </w:tcPr>
          <w:p w14:paraId="54038C5C" w14:textId="77777777" w:rsidR="00FF0D54" w:rsidRPr="009C5807" w:rsidRDefault="00FF0D54" w:rsidP="00566CFE">
            <w:pPr>
              <w:pStyle w:val="TAC"/>
              <w:rPr>
                <w:lang w:val="fr-FR"/>
              </w:rPr>
            </w:pPr>
            <w:r w:rsidRPr="009C5807">
              <w:rPr>
                <w:lang w:val="fr-FR"/>
              </w:rPr>
              <w:t>15</w:t>
            </w:r>
          </w:p>
        </w:tc>
        <w:tc>
          <w:tcPr>
            <w:tcW w:w="1765" w:type="dxa"/>
            <w:tcBorders>
              <w:top w:val="single" w:sz="4" w:space="0" w:color="auto"/>
              <w:left w:val="single" w:sz="4" w:space="0" w:color="auto"/>
              <w:bottom w:val="single" w:sz="4" w:space="0" w:color="auto"/>
              <w:right w:val="single" w:sz="4" w:space="0" w:color="auto"/>
            </w:tcBorders>
            <w:hideMark/>
          </w:tcPr>
          <w:p w14:paraId="272C94EB" w14:textId="77777777" w:rsidR="00FF0D54" w:rsidRPr="009C5807" w:rsidRDefault="00FF0D54" w:rsidP="00566CFE">
            <w:pPr>
              <w:pStyle w:val="TAC"/>
              <w:rPr>
                <w:lang w:val="fr-FR"/>
              </w:rPr>
            </w:pPr>
            <w:r w:rsidRPr="009C5807">
              <w:rPr>
                <w:lang w:val="fr-FR"/>
              </w:rPr>
              <w:t>120</w:t>
            </w:r>
          </w:p>
        </w:tc>
        <w:tc>
          <w:tcPr>
            <w:tcW w:w="2225" w:type="dxa"/>
            <w:tcBorders>
              <w:top w:val="single" w:sz="4" w:space="0" w:color="auto"/>
              <w:left w:val="single" w:sz="4" w:space="0" w:color="auto"/>
              <w:bottom w:val="single" w:sz="4" w:space="0" w:color="auto"/>
              <w:right w:val="single" w:sz="4" w:space="0" w:color="auto"/>
            </w:tcBorders>
            <w:hideMark/>
          </w:tcPr>
          <w:p w14:paraId="7459B9A2" w14:textId="77777777" w:rsidR="00FF0D54" w:rsidRPr="009C5807" w:rsidRDefault="00FF0D54" w:rsidP="00566CFE">
            <w:pPr>
              <w:pStyle w:val="TAC"/>
              <w:rPr>
                <w:lang w:val="fr-FR"/>
              </w:rPr>
            </w:pPr>
            <w:r w:rsidRPr="009C5807">
              <w:rPr>
                <w:lang w:val="fr-FR" w:eastAsia="zh-CN"/>
              </w:rPr>
              <w:t>35.21</w:t>
            </w:r>
          </w:p>
        </w:tc>
      </w:tr>
    </w:tbl>
    <w:p w14:paraId="1ED79AA9" w14:textId="77777777" w:rsidR="00FF0D54" w:rsidRPr="009C5807" w:rsidRDefault="00FF0D54" w:rsidP="00FF0D54">
      <w:pPr>
        <w:rPr>
          <w:lang w:eastAsia="zh-CN"/>
        </w:rPr>
      </w:pPr>
    </w:p>
    <w:p w14:paraId="28DEDD82" w14:textId="6D3E790A" w:rsidR="00877F17" w:rsidRPr="009C5807" w:rsidRDefault="00877F17" w:rsidP="00877F17">
      <w:pPr>
        <w:pStyle w:val="Heading3"/>
      </w:pPr>
      <w:r w:rsidRPr="009C5807">
        <w:t>7.5.3</w:t>
      </w:r>
      <w:r w:rsidRPr="009C5807">
        <w:tab/>
        <w:t>Minimum Requirements for intra-band EN-DC</w:t>
      </w:r>
    </w:p>
    <w:p w14:paraId="08E492FB" w14:textId="77777777" w:rsidR="00877F17" w:rsidRPr="009C5807" w:rsidRDefault="00877F17" w:rsidP="00877F17">
      <w:pPr>
        <w:rPr>
          <w:rFonts w:cs="v4.2.0"/>
          <w:lang w:eastAsia="zh-CN"/>
        </w:rPr>
      </w:pPr>
      <w:r w:rsidRPr="009C5807">
        <w:rPr>
          <w:rFonts w:cs="v4.2.0"/>
        </w:rPr>
        <w:t xml:space="preserve">For intra-band </w:t>
      </w:r>
      <w:r w:rsidRPr="009C5807">
        <w:rPr>
          <w:rFonts w:cs="v4.2.0"/>
          <w:lang w:eastAsia="zh-CN"/>
        </w:rPr>
        <w:t>EN-DC</w:t>
      </w:r>
      <w:r w:rsidRPr="009C5807">
        <w:rPr>
          <w:rFonts w:cs="v4.2.0"/>
        </w:rPr>
        <w:t xml:space="preserve">, only co-located deployment is </w:t>
      </w:r>
      <w:r w:rsidRPr="009C5807">
        <w:rPr>
          <w:rFonts w:cs="v4.2.0"/>
          <w:lang w:eastAsia="zh-CN"/>
        </w:rPr>
        <w:t>applied.</w:t>
      </w:r>
    </w:p>
    <w:p w14:paraId="43E756FD" w14:textId="5430BD06" w:rsidR="00877F17" w:rsidRPr="009C5807" w:rsidRDefault="00877F17" w:rsidP="00877F17">
      <w:pPr>
        <w:rPr>
          <w:rFonts w:eastAsia="Malgun Gothic"/>
          <w:lang w:eastAsia="ko-KR"/>
        </w:rPr>
      </w:pPr>
      <w:r w:rsidRPr="009C5807">
        <w:rPr>
          <w:rFonts w:cs="v4.2.0"/>
          <w:lang w:eastAsia="zh-CN"/>
        </w:rPr>
        <w:t>T</w:t>
      </w:r>
      <w:r w:rsidRPr="009C5807">
        <w:rPr>
          <w:rFonts w:cs="v4.2.0"/>
        </w:rPr>
        <w:t xml:space="preserve">he UE shall be capable of handling a maximum uplink transmission timing difference between E-UTRA PCell and PSCell as shown in Table 7.5.2-1 </w:t>
      </w:r>
      <w:r w:rsidRPr="009C5807">
        <w:rPr>
          <w:rFonts w:cs="v4.2.0"/>
          <w:lang w:eastAsia="zh-CN"/>
        </w:rPr>
        <w:t>for E-UTRA FDD-NR FDD intra-band EN-DC</w:t>
      </w:r>
      <w:r w:rsidRPr="009C5807">
        <w:rPr>
          <w:rFonts w:cs="v4.2.0"/>
        </w:rPr>
        <w:t xml:space="preserve"> provided the UE indicates that it is capable of asynchronous </w:t>
      </w:r>
      <w:r w:rsidRPr="009C5807">
        <w:rPr>
          <w:rFonts w:cs="v4.2.0"/>
          <w:lang w:eastAsia="zh-CN"/>
        </w:rPr>
        <w:t>EN-DC operation</w:t>
      </w:r>
      <w:r w:rsidRPr="009C5807">
        <w:rPr>
          <w:rFonts w:cs="v4.2.0"/>
        </w:rPr>
        <w:t xml:space="preserve"> </w:t>
      </w:r>
      <w:r w:rsidR="00C7248B" w:rsidRPr="009C5807">
        <w:rPr>
          <w:rFonts w:cs="v4.2.0"/>
        </w:rPr>
        <w:t>[</w:t>
      </w:r>
      <w:r w:rsidR="00C7248B" w:rsidRPr="009C5807">
        <w:rPr>
          <w:rFonts w:cs="v4.2.0"/>
          <w:lang w:eastAsia="zh-CN"/>
        </w:rPr>
        <w:t>2</w:t>
      </w:r>
      <w:r w:rsidR="00C7248B" w:rsidRPr="009C5807">
        <w:rPr>
          <w:rFonts w:cs="v4.2.0"/>
        </w:rPr>
        <w:t>].</w:t>
      </w:r>
    </w:p>
    <w:p w14:paraId="56267FC7" w14:textId="1356AB1C" w:rsidR="005356AE" w:rsidRPr="009C5807" w:rsidRDefault="005356AE" w:rsidP="005356AE">
      <w:pPr>
        <w:rPr>
          <w:rFonts w:eastAsia="Malgun Gothic"/>
          <w:lang w:eastAsia="ko-KR"/>
        </w:rPr>
      </w:pPr>
      <w:r w:rsidRPr="009C5807">
        <w:rPr>
          <w:rFonts w:cs="v4.2.0"/>
          <w:lang w:eastAsia="zh-CN"/>
        </w:rPr>
        <w:t>T</w:t>
      </w:r>
      <w:r w:rsidRPr="009C5807">
        <w:rPr>
          <w:rFonts w:cs="v4.2.0"/>
        </w:rPr>
        <w:t xml:space="preserve">he UE shall be capable of handling a maximum uplink transmission timing difference between E-UTRA PCell and PSCell as shown in Table 7.5.3-1 </w:t>
      </w:r>
      <w:r w:rsidRPr="009C5807">
        <w:rPr>
          <w:rFonts w:cs="v4.2.0"/>
          <w:lang w:eastAsia="zh-CN"/>
        </w:rPr>
        <w:t xml:space="preserve">for </w:t>
      </w:r>
      <w:r w:rsidRPr="009C5807">
        <w:rPr>
          <w:rFonts w:cs="v4.2.0"/>
        </w:rPr>
        <w:t xml:space="preserve">E-UTRA TDD-NR TDD and E-UTRA FDD-NR FDD intra-band EN-DC provided the UE does not indicate that it is capable of asynchronous FDD-FDD </w:t>
      </w:r>
      <w:r w:rsidRPr="009C5807">
        <w:rPr>
          <w:rFonts w:cs="v4.2.0"/>
          <w:lang w:eastAsia="zh-CN"/>
        </w:rPr>
        <w:t>EN-DC operation</w:t>
      </w:r>
      <w:r w:rsidRPr="009C5807">
        <w:rPr>
          <w:rFonts w:cs="v4.2.0"/>
        </w:rPr>
        <w:t xml:space="preserve"> [</w:t>
      </w:r>
      <w:r w:rsidRPr="009C5807">
        <w:rPr>
          <w:rFonts w:cs="v4.2.0"/>
          <w:lang w:eastAsia="zh-CN"/>
        </w:rPr>
        <w:t>16</w:t>
      </w:r>
      <w:r w:rsidRPr="009C5807">
        <w:rPr>
          <w:rFonts w:cs="v4.2.0"/>
        </w:rPr>
        <w:t>]</w:t>
      </w:r>
      <w:r w:rsidRPr="009C5807">
        <w:rPr>
          <w:rFonts w:cs="v4.2.0" w:hint="eastAsia"/>
          <w:lang w:eastAsia="ko-KR"/>
        </w:rPr>
        <w:t>.</w:t>
      </w:r>
    </w:p>
    <w:p w14:paraId="4A063BEC" w14:textId="77777777" w:rsidR="00877F17" w:rsidRPr="009C5807" w:rsidRDefault="00877F17" w:rsidP="00877F17">
      <w:pPr>
        <w:pStyle w:val="TH"/>
        <w:rPr>
          <w:snapToGrid w:val="0"/>
        </w:rPr>
      </w:pPr>
      <w:r w:rsidRPr="009C5807">
        <w:rPr>
          <w:snapToGrid w:val="0"/>
        </w:rPr>
        <w:t xml:space="preserve">Table 7.5.3-1: Maximum uplink transmission timing difference requirement for intra-band synchronous </w:t>
      </w:r>
      <w:r w:rsidRPr="009C5807">
        <w:rPr>
          <w:snapToGrid w:val="0"/>
          <w:lang w:eastAsia="zh-CN"/>
        </w:rPr>
        <w:t>EN-DC</w:t>
      </w:r>
    </w:p>
    <w:tbl>
      <w:tblPr>
        <w:tblW w:w="6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1985"/>
        <w:gridCol w:w="2693"/>
      </w:tblGrid>
      <w:tr w:rsidR="00885F53" w:rsidRPr="009C5807" w14:paraId="7DEE2AEB" w14:textId="77777777" w:rsidTr="00AD1C20">
        <w:trPr>
          <w:jc w:val="center"/>
        </w:trPr>
        <w:tc>
          <w:tcPr>
            <w:tcW w:w="1984" w:type="dxa"/>
            <w:shd w:val="clear" w:color="auto" w:fill="auto"/>
          </w:tcPr>
          <w:p w14:paraId="6C35AEF7" w14:textId="77777777" w:rsidR="00877F17" w:rsidRPr="009C5807" w:rsidRDefault="00877F17" w:rsidP="00867D3A">
            <w:pPr>
              <w:pStyle w:val="TAH"/>
            </w:pPr>
            <w:r w:rsidRPr="009C5807">
              <w:t>Sub-carrier spacing in E-UTRA PCell (kHz)</w:t>
            </w:r>
          </w:p>
        </w:tc>
        <w:tc>
          <w:tcPr>
            <w:tcW w:w="1985" w:type="dxa"/>
            <w:shd w:val="clear" w:color="auto" w:fill="auto"/>
          </w:tcPr>
          <w:p w14:paraId="62861897" w14:textId="77777777" w:rsidR="00877F17" w:rsidRPr="009C5807" w:rsidRDefault="00877F17" w:rsidP="00867D3A">
            <w:pPr>
              <w:pStyle w:val="TAH"/>
            </w:pPr>
            <w:r w:rsidRPr="009C5807">
              <w:t>UL Sub-carrier spacing for data in PSCell (kHz)</w:t>
            </w:r>
          </w:p>
        </w:tc>
        <w:tc>
          <w:tcPr>
            <w:tcW w:w="2693" w:type="dxa"/>
            <w:shd w:val="clear" w:color="auto" w:fill="auto"/>
          </w:tcPr>
          <w:p w14:paraId="4D6A3132" w14:textId="77777777" w:rsidR="00877F17" w:rsidRPr="009C5807" w:rsidRDefault="00877F17" w:rsidP="00867D3A">
            <w:pPr>
              <w:pStyle w:val="TAH"/>
            </w:pPr>
            <w:r w:rsidRPr="009C5807">
              <w:t>Maximum uplink transmission timing difference (µs)</w:t>
            </w:r>
          </w:p>
        </w:tc>
      </w:tr>
      <w:tr w:rsidR="0095585D" w:rsidRPr="009C5807" w14:paraId="732CCB8E" w14:textId="77777777" w:rsidTr="00AD1C20">
        <w:trPr>
          <w:jc w:val="center"/>
        </w:trPr>
        <w:tc>
          <w:tcPr>
            <w:tcW w:w="1984" w:type="dxa"/>
            <w:shd w:val="clear" w:color="auto" w:fill="auto"/>
          </w:tcPr>
          <w:p w14:paraId="34F17ED2" w14:textId="77777777" w:rsidR="0095585D" w:rsidRPr="009C5807" w:rsidRDefault="0095585D" w:rsidP="0095585D">
            <w:pPr>
              <w:pStyle w:val="TAC"/>
            </w:pPr>
            <w:r w:rsidRPr="009C5807">
              <w:t>15</w:t>
            </w:r>
          </w:p>
        </w:tc>
        <w:tc>
          <w:tcPr>
            <w:tcW w:w="1985" w:type="dxa"/>
            <w:shd w:val="clear" w:color="auto" w:fill="auto"/>
          </w:tcPr>
          <w:p w14:paraId="2F9B0519" w14:textId="77777777" w:rsidR="0095585D" w:rsidRPr="009C5807" w:rsidRDefault="0095585D" w:rsidP="0095585D">
            <w:pPr>
              <w:pStyle w:val="TAC"/>
            </w:pPr>
            <w:r w:rsidRPr="009C5807">
              <w:t>15</w:t>
            </w:r>
          </w:p>
        </w:tc>
        <w:tc>
          <w:tcPr>
            <w:tcW w:w="2693" w:type="dxa"/>
            <w:shd w:val="clear" w:color="auto" w:fill="auto"/>
          </w:tcPr>
          <w:p w14:paraId="691F5C82" w14:textId="7FBE0EA8" w:rsidR="0095585D" w:rsidRPr="009C5807" w:rsidRDefault="0095585D" w:rsidP="0095585D">
            <w:pPr>
              <w:pStyle w:val="TAC"/>
            </w:pPr>
            <w:r w:rsidRPr="009C5807">
              <w:t>5.21</w:t>
            </w:r>
            <w:r w:rsidRPr="009C5807">
              <w:rPr>
                <w:vertAlign w:val="superscript"/>
              </w:rPr>
              <w:t>Note1,Note 2</w:t>
            </w:r>
          </w:p>
        </w:tc>
      </w:tr>
      <w:tr w:rsidR="0095585D" w:rsidRPr="009C5807" w14:paraId="68AE602A" w14:textId="77777777" w:rsidTr="00AD1C20">
        <w:trPr>
          <w:jc w:val="center"/>
        </w:trPr>
        <w:tc>
          <w:tcPr>
            <w:tcW w:w="1984" w:type="dxa"/>
            <w:shd w:val="clear" w:color="auto" w:fill="auto"/>
          </w:tcPr>
          <w:p w14:paraId="1889E8BF" w14:textId="77777777" w:rsidR="0095585D" w:rsidRPr="009C5807" w:rsidRDefault="0095585D" w:rsidP="0095585D">
            <w:pPr>
              <w:pStyle w:val="TAC"/>
            </w:pPr>
            <w:r w:rsidRPr="009C5807">
              <w:t>15</w:t>
            </w:r>
          </w:p>
        </w:tc>
        <w:tc>
          <w:tcPr>
            <w:tcW w:w="1985" w:type="dxa"/>
            <w:shd w:val="clear" w:color="auto" w:fill="auto"/>
          </w:tcPr>
          <w:p w14:paraId="7DB29910" w14:textId="77777777" w:rsidR="0095585D" w:rsidRPr="009C5807" w:rsidRDefault="0095585D" w:rsidP="0095585D">
            <w:pPr>
              <w:pStyle w:val="TAC"/>
            </w:pPr>
            <w:r w:rsidRPr="009C5807">
              <w:t>30</w:t>
            </w:r>
          </w:p>
        </w:tc>
        <w:tc>
          <w:tcPr>
            <w:tcW w:w="2693" w:type="dxa"/>
            <w:shd w:val="clear" w:color="auto" w:fill="auto"/>
          </w:tcPr>
          <w:p w14:paraId="47A6E510" w14:textId="31DD9EC9" w:rsidR="0095585D" w:rsidRPr="009C5807" w:rsidRDefault="0095585D" w:rsidP="0095585D">
            <w:pPr>
              <w:pStyle w:val="TAC"/>
            </w:pPr>
            <w:r w:rsidRPr="009C5807">
              <w:t>5.21</w:t>
            </w:r>
            <w:r w:rsidRPr="009C5807">
              <w:rPr>
                <w:vertAlign w:val="superscript"/>
              </w:rPr>
              <w:t>Note 2</w:t>
            </w:r>
          </w:p>
        </w:tc>
      </w:tr>
      <w:tr w:rsidR="0095585D" w:rsidRPr="009C5807" w14:paraId="243862DC" w14:textId="77777777" w:rsidTr="00AD1C20">
        <w:trPr>
          <w:jc w:val="center"/>
        </w:trPr>
        <w:tc>
          <w:tcPr>
            <w:tcW w:w="1984" w:type="dxa"/>
            <w:shd w:val="clear" w:color="auto" w:fill="auto"/>
          </w:tcPr>
          <w:p w14:paraId="04AC24CC" w14:textId="77777777" w:rsidR="0095585D" w:rsidRPr="009C5807" w:rsidRDefault="0095585D" w:rsidP="0095585D">
            <w:pPr>
              <w:pStyle w:val="TAC"/>
            </w:pPr>
            <w:r w:rsidRPr="009C5807">
              <w:t>15</w:t>
            </w:r>
          </w:p>
        </w:tc>
        <w:tc>
          <w:tcPr>
            <w:tcW w:w="1985" w:type="dxa"/>
            <w:shd w:val="clear" w:color="auto" w:fill="auto"/>
          </w:tcPr>
          <w:p w14:paraId="5B0C4B0C" w14:textId="77777777" w:rsidR="0095585D" w:rsidRPr="009C5807" w:rsidRDefault="0095585D" w:rsidP="0095585D">
            <w:pPr>
              <w:pStyle w:val="TAC"/>
            </w:pPr>
            <w:r w:rsidRPr="009C5807">
              <w:t>60</w:t>
            </w:r>
          </w:p>
        </w:tc>
        <w:tc>
          <w:tcPr>
            <w:tcW w:w="2693" w:type="dxa"/>
            <w:shd w:val="clear" w:color="auto" w:fill="auto"/>
          </w:tcPr>
          <w:p w14:paraId="01A7FA42" w14:textId="7FABA1D3" w:rsidR="0095585D" w:rsidRPr="009C5807" w:rsidRDefault="0095585D" w:rsidP="0095585D">
            <w:pPr>
              <w:pStyle w:val="TAC"/>
            </w:pPr>
            <w:r w:rsidRPr="009C5807">
              <w:t>5.21</w:t>
            </w:r>
            <w:r w:rsidRPr="009C5807">
              <w:rPr>
                <w:vertAlign w:val="superscript"/>
              </w:rPr>
              <w:t xml:space="preserve"> Note 2</w:t>
            </w:r>
          </w:p>
        </w:tc>
      </w:tr>
      <w:tr w:rsidR="00877F17" w:rsidRPr="009C5807" w14:paraId="7551A212" w14:textId="77777777" w:rsidTr="00AD1C20">
        <w:trPr>
          <w:jc w:val="center"/>
        </w:trPr>
        <w:tc>
          <w:tcPr>
            <w:tcW w:w="6662" w:type="dxa"/>
            <w:gridSpan w:val="3"/>
            <w:shd w:val="clear" w:color="auto" w:fill="auto"/>
          </w:tcPr>
          <w:p w14:paraId="09FAAAEE" w14:textId="00FF83AB" w:rsidR="00286203" w:rsidRPr="009C5807" w:rsidRDefault="00877F17" w:rsidP="00286203">
            <w:pPr>
              <w:pStyle w:val="TAN"/>
              <w:rPr>
                <w:rFonts w:cs="Arial"/>
                <w:szCs w:val="18"/>
              </w:rPr>
            </w:pPr>
            <w:r w:rsidRPr="009C5807">
              <w:rPr>
                <w:rFonts w:cs="Arial"/>
                <w:lang w:eastAsia="ja-JP"/>
              </w:rPr>
              <w:t>NOTE</w:t>
            </w:r>
            <w:r w:rsidRPr="009C5807">
              <w:rPr>
                <w:rFonts w:cs="Arial"/>
                <w:lang w:eastAsia="ko-KR"/>
              </w:rPr>
              <w:t xml:space="preserve"> </w:t>
            </w:r>
            <w:r w:rsidRPr="009C5807">
              <w:rPr>
                <w:rFonts w:cs="Arial"/>
                <w:lang w:eastAsia="ja-JP"/>
              </w:rPr>
              <w:t>1:</w:t>
            </w:r>
            <w:r w:rsidRPr="009C5807">
              <w:rPr>
                <w:lang w:eastAsia="ko-KR"/>
              </w:rPr>
              <w:tab/>
            </w:r>
            <w:r w:rsidRPr="009C5807">
              <w:rPr>
                <w:rFonts w:cs="Arial"/>
                <w:szCs w:val="18"/>
              </w:rPr>
              <w:t>This is not applicable for a</w:t>
            </w:r>
            <w:r w:rsidRPr="009C5807">
              <w:t xml:space="preserve"> </w:t>
            </w:r>
            <w:r w:rsidRPr="009C5807">
              <w:rPr>
                <w:rFonts w:cs="Arial"/>
                <w:szCs w:val="18"/>
              </w:rPr>
              <w:t xml:space="preserve">UE </w:t>
            </w:r>
            <w:r w:rsidRPr="009C5807">
              <w:t>which</w:t>
            </w:r>
            <w:r w:rsidRPr="009C5807">
              <w:rPr>
                <w:rFonts w:cs="Arial"/>
                <w:szCs w:val="18"/>
              </w:rPr>
              <w:t xml:space="preserve"> indicates the capability of only supporting single UL timing (</w:t>
            </w:r>
            <w:r w:rsidRPr="009C5807">
              <w:rPr>
                <w:rFonts w:cs="Arial"/>
                <w:i/>
                <w:szCs w:val="18"/>
              </w:rPr>
              <w:t xml:space="preserve">ul-TimingAlignmentEUTRA-NR </w:t>
            </w:r>
            <w:r w:rsidRPr="009C5807">
              <w:rPr>
                <w:rFonts w:cs="Arial"/>
                <w:szCs w:val="18"/>
              </w:rPr>
              <w:t>is signalled). Single UL timing for E-UTRA and NR cell is assumed for this UE.</w:t>
            </w:r>
          </w:p>
          <w:p w14:paraId="22356432" w14:textId="707C166B" w:rsidR="00877F17" w:rsidRPr="009C5807" w:rsidRDefault="00286203" w:rsidP="00286203">
            <w:pPr>
              <w:pStyle w:val="TAN"/>
              <w:rPr>
                <w:rFonts w:cs="Arial"/>
                <w:lang w:eastAsia="zh-CN"/>
              </w:rPr>
            </w:pPr>
            <w:r w:rsidRPr="009C5807">
              <w:rPr>
                <w:rFonts w:eastAsia="Yu Mincho" w:cs="Arial" w:hint="eastAsia"/>
                <w:szCs w:val="18"/>
                <w:lang w:eastAsia="ja-JP"/>
              </w:rPr>
              <w:t>N</w:t>
            </w:r>
            <w:r w:rsidRPr="009C5807">
              <w:rPr>
                <w:rFonts w:eastAsia="Yu Mincho" w:cs="Arial"/>
                <w:szCs w:val="18"/>
                <w:lang w:eastAsia="ja-JP"/>
              </w:rPr>
              <w:t>OTE 2:</w:t>
            </w:r>
            <w:r w:rsidRPr="009C5807">
              <w:rPr>
                <w:lang w:eastAsia="ko-KR"/>
              </w:rPr>
              <w:tab/>
            </w:r>
            <w:r w:rsidRPr="009C5807">
              <w:rPr>
                <w:rFonts w:eastAsia="Yu Mincho" w:cs="Arial"/>
                <w:szCs w:val="18"/>
                <w:lang w:eastAsia="ja-JP"/>
              </w:rPr>
              <w:t>I</w:t>
            </w:r>
            <w:r w:rsidRPr="009C5807">
              <w:rPr>
                <w:lang w:val="en-US" w:eastAsia="ja-JP"/>
              </w:rPr>
              <w:t>f the transmission timing difference exceeds the cyclic prefix length of the UL Sub-carrier spacing for data in PSCell, NR UE Tx EVM degradation is expected for the symbol that is overlapping the LTE subframe boundary</w:t>
            </w:r>
          </w:p>
        </w:tc>
      </w:tr>
    </w:tbl>
    <w:p w14:paraId="65140AC0" w14:textId="77777777" w:rsidR="00BD0FBF" w:rsidRPr="009C5807" w:rsidRDefault="00BD0FBF" w:rsidP="00BD0FBF">
      <w:pPr>
        <w:rPr>
          <w:rFonts w:eastAsia="Yu Mincho"/>
          <w:i/>
          <w:lang w:eastAsia="ja-JP"/>
        </w:rPr>
      </w:pPr>
    </w:p>
    <w:p w14:paraId="4AFB4CB0" w14:textId="77777777" w:rsidR="00877F17" w:rsidRPr="009C5807" w:rsidRDefault="00877F17" w:rsidP="00877F17">
      <w:pPr>
        <w:pStyle w:val="Heading3"/>
        <w:rPr>
          <w:lang w:eastAsia="ko-KR"/>
        </w:rPr>
      </w:pPr>
      <w:r w:rsidRPr="009C5807">
        <w:rPr>
          <w:lang w:eastAsia="ko-KR"/>
        </w:rPr>
        <w:t>7.</w:t>
      </w:r>
      <w:r w:rsidRPr="009C5807">
        <w:rPr>
          <w:rFonts w:eastAsia="Malgun Gothic"/>
        </w:rPr>
        <w:t>5</w:t>
      </w:r>
      <w:r w:rsidRPr="009C5807">
        <w:rPr>
          <w:lang w:eastAsia="ko-KR"/>
        </w:rPr>
        <w:t>.</w:t>
      </w:r>
      <w:r w:rsidRPr="009C5807">
        <w:rPr>
          <w:rFonts w:eastAsia="Malgun Gothic"/>
          <w:lang w:eastAsia="ko-KR"/>
        </w:rPr>
        <w:t>4</w:t>
      </w:r>
      <w:r w:rsidRPr="009C5807">
        <w:rPr>
          <w:lang w:eastAsia="ko-KR"/>
        </w:rPr>
        <w:tab/>
        <w:t>Minimum Requirements for NR Carrier Aggregation</w:t>
      </w:r>
    </w:p>
    <w:p w14:paraId="28406F42" w14:textId="77777777" w:rsidR="000433CC" w:rsidRPr="009C5807" w:rsidRDefault="000433CC" w:rsidP="000433CC">
      <w:pPr>
        <w:rPr>
          <w:rFonts w:eastAsia="Malgun Gothic" w:cs="v4.2.0"/>
          <w:lang w:eastAsia="zh-CN"/>
        </w:rPr>
      </w:pPr>
      <w:r w:rsidRPr="009C5807">
        <w:rPr>
          <w:rFonts w:cs="v4.2.0"/>
        </w:rPr>
        <w:t xml:space="preserve">The UE shall be capable of handling at least a relative </w:t>
      </w:r>
      <w:r w:rsidRPr="009C5807">
        <w:rPr>
          <w:rFonts w:eastAsia="Malgun Gothic" w:cs="v4.2.0"/>
          <w:lang w:eastAsia="zh-CN"/>
        </w:rPr>
        <w:t>transmission</w:t>
      </w:r>
      <w:r w:rsidRPr="009C5807">
        <w:rPr>
          <w:rFonts w:cs="v4.2.0"/>
        </w:rPr>
        <w:t xml:space="preserve"> timing difference between slot timing of all pairs of </w:t>
      </w:r>
      <w:r w:rsidRPr="009C5807">
        <w:t xml:space="preserve">TAGs </w:t>
      </w:r>
      <w:r>
        <w:t xml:space="preserve">in FR1 and/or FR2-1 </w:t>
      </w:r>
      <w:r w:rsidRPr="009C5807">
        <w:rPr>
          <w:rFonts w:eastAsia="Malgun Gothic" w:cs="v4.2.0"/>
          <w:lang w:eastAsia="zh-CN"/>
        </w:rPr>
        <w:t>as shown in Table 7.5.4-1,</w:t>
      </w:r>
      <w:r w:rsidRPr="009C5807">
        <w:t xml:space="preserve"> provided that the UE is</w:t>
      </w:r>
      <w:r w:rsidRPr="009C5807">
        <w:rPr>
          <w:rFonts w:eastAsia="Malgun Gothic" w:cs="v4.2.0"/>
          <w:lang w:eastAsia="zh-CN"/>
        </w:rPr>
        <w:t>:</w:t>
      </w:r>
    </w:p>
    <w:p w14:paraId="4AF8ED26" w14:textId="77777777" w:rsidR="000433CC" w:rsidRPr="009C5807" w:rsidRDefault="000433CC" w:rsidP="000433CC">
      <w:pPr>
        <w:pStyle w:val="B10"/>
      </w:pPr>
      <w:r w:rsidRPr="009C5807">
        <w:t>-</w:t>
      </w:r>
      <w:r w:rsidRPr="009C5807">
        <w:tab/>
        <w:t xml:space="preserve">configured with the pTAG and the sTAG for </w:t>
      </w:r>
      <w:r w:rsidRPr="009C5807">
        <w:rPr>
          <w:rFonts w:cs="v4.2.0"/>
        </w:rPr>
        <w:t>inter-band NR carrier aggregation</w:t>
      </w:r>
      <w:r w:rsidRPr="009C5807">
        <w:t xml:space="preserve"> in SA or NR-DC mode, or</w:t>
      </w:r>
    </w:p>
    <w:p w14:paraId="4AAEB128" w14:textId="77777777" w:rsidR="000433CC" w:rsidRDefault="000433CC" w:rsidP="000433CC">
      <w:pPr>
        <w:pStyle w:val="B10"/>
      </w:pPr>
      <w:r w:rsidRPr="009C5807">
        <w:t>-</w:t>
      </w:r>
      <w:r w:rsidRPr="009C5807">
        <w:tab/>
        <w:t>configured with more than one sTAG for inter-band NR carrier aggregation in EN-DC or NE-DC mode.</w:t>
      </w:r>
    </w:p>
    <w:p w14:paraId="2ACF2A04" w14:textId="77777777" w:rsidR="000433CC" w:rsidRPr="009C5807" w:rsidRDefault="000433CC" w:rsidP="000433CC">
      <w:pPr>
        <w:rPr>
          <w:rFonts w:eastAsia="Malgun Gothic" w:cs="v4.2.0"/>
          <w:lang w:eastAsia="zh-CN"/>
        </w:rPr>
      </w:pPr>
      <w:r w:rsidRPr="009C5807">
        <w:rPr>
          <w:rFonts w:cs="v4.2.0"/>
        </w:rPr>
        <w:t xml:space="preserve">The UE shall be capable of handling at least a relative </w:t>
      </w:r>
      <w:r w:rsidRPr="009C5807">
        <w:rPr>
          <w:rFonts w:eastAsia="Malgun Gothic" w:cs="v4.2.0"/>
          <w:lang w:eastAsia="zh-CN"/>
        </w:rPr>
        <w:t>transmission</w:t>
      </w:r>
      <w:r w:rsidRPr="009C5807">
        <w:rPr>
          <w:rFonts w:cs="v4.2.0"/>
        </w:rPr>
        <w:t xml:space="preserve"> timing difference between </w:t>
      </w:r>
      <w:r>
        <w:t xml:space="preserve">subframe timing of all pairs of TAGs between FR1 and FR2-2 </w:t>
      </w:r>
      <w:r w:rsidRPr="009C5807">
        <w:rPr>
          <w:rFonts w:eastAsia="Malgun Gothic" w:cs="v4.2.0"/>
          <w:lang w:eastAsia="zh-CN"/>
        </w:rPr>
        <w:t>as shown in Table 7.5.4-1,</w:t>
      </w:r>
      <w:r w:rsidRPr="009C5807">
        <w:t xml:space="preserve"> provided that the UE is</w:t>
      </w:r>
      <w:r w:rsidRPr="009C5807">
        <w:rPr>
          <w:rFonts w:eastAsia="Malgun Gothic" w:cs="v4.2.0"/>
          <w:lang w:eastAsia="zh-CN"/>
        </w:rPr>
        <w:t>:</w:t>
      </w:r>
    </w:p>
    <w:p w14:paraId="688BB72A" w14:textId="77777777" w:rsidR="000433CC" w:rsidRPr="009C5807" w:rsidRDefault="000433CC" w:rsidP="000433CC">
      <w:pPr>
        <w:pStyle w:val="B10"/>
      </w:pPr>
      <w:r w:rsidRPr="009C5807">
        <w:t>-</w:t>
      </w:r>
      <w:r w:rsidRPr="009C5807">
        <w:tab/>
        <w:t xml:space="preserve">configured with the pTAG and the sTAG for </w:t>
      </w:r>
      <w:r w:rsidRPr="009C5807">
        <w:rPr>
          <w:rFonts w:cs="v4.2.0"/>
        </w:rPr>
        <w:t>inter-band NR carrier aggregation</w:t>
      </w:r>
      <w:r w:rsidRPr="009C5807">
        <w:t xml:space="preserve"> in SA or NR-DC mode.</w:t>
      </w:r>
    </w:p>
    <w:p w14:paraId="52FEACAF" w14:textId="77777777" w:rsidR="000433CC" w:rsidRPr="009C5807" w:rsidRDefault="000433CC" w:rsidP="008A7648"/>
    <w:p w14:paraId="0F339B08" w14:textId="77777777" w:rsidR="000433CC" w:rsidRPr="009C5807" w:rsidRDefault="000433CC" w:rsidP="000433CC">
      <w:pPr>
        <w:pStyle w:val="TH"/>
      </w:pPr>
      <w:r w:rsidRPr="009C5807">
        <w:t>Table 7.</w:t>
      </w:r>
      <w:r w:rsidRPr="009C5807">
        <w:rPr>
          <w:rFonts w:eastAsia="Malgun Gothic"/>
          <w:lang w:eastAsia="zh-CN"/>
        </w:rPr>
        <w:t>5</w:t>
      </w:r>
      <w:r w:rsidRPr="009C5807">
        <w:t>.4-</w:t>
      </w:r>
      <w:r w:rsidRPr="009C5807">
        <w:rPr>
          <w:rFonts w:eastAsia="Malgun Gothic"/>
          <w:lang w:eastAsia="zh-CN"/>
        </w:rPr>
        <w:t>1</w:t>
      </w:r>
      <w:r w:rsidRPr="009C5807">
        <w:rPr>
          <w:rFonts w:eastAsia="Malgun Gothic"/>
          <w:lang w:eastAsia="ko-KR"/>
        </w:rPr>
        <w:t>:</w:t>
      </w:r>
      <w:r w:rsidRPr="009C5807">
        <w:t xml:space="preserve"> Maximum </w:t>
      </w:r>
      <w:r w:rsidRPr="009C5807">
        <w:rPr>
          <w:rFonts w:hint="eastAsia"/>
          <w:lang w:eastAsia="ko-KR"/>
        </w:rPr>
        <w:t xml:space="preserve">uplink </w:t>
      </w:r>
      <w:r w:rsidRPr="009C5807">
        <w:rPr>
          <w:rFonts w:eastAsia="Malgun Gothic"/>
          <w:lang w:eastAsia="zh-CN"/>
        </w:rPr>
        <w:t>transmission</w:t>
      </w:r>
      <w:r w:rsidRPr="009C5807">
        <w:t xml:space="preserve"> timing difference requirement for inter-band NR carrier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3003"/>
      </w:tblGrid>
      <w:tr w:rsidR="000433CC" w:rsidRPr="009C5807" w14:paraId="15CC681A" w14:textId="77777777" w:rsidTr="00625412">
        <w:trPr>
          <w:jc w:val="center"/>
        </w:trPr>
        <w:tc>
          <w:tcPr>
            <w:tcW w:w="2251" w:type="dxa"/>
            <w:shd w:val="clear" w:color="auto" w:fill="auto"/>
          </w:tcPr>
          <w:p w14:paraId="49CF3322" w14:textId="77777777" w:rsidR="000433CC" w:rsidRPr="009C5807" w:rsidRDefault="000433CC" w:rsidP="00625412">
            <w:pPr>
              <w:pStyle w:val="TAH"/>
            </w:pPr>
            <w:r w:rsidRPr="009C5807">
              <w:t>Frequency Range of the pair of TAGs</w:t>
            </w:r>
          </w:p>
        </w:tc>
        <w:tc>
          <w:tcPr>
            <w:tcW w:w="3003" w:type="dxa"/>
            <w:shd w:val="clear" w:color="auto" w:fill="auto"/>
          </w:tcPr>
          <w:p w14:paraId="2CE98628" w14:textId="77777777" w:rsidR="000433CC" w:rsidRPr="009C5807" w:rsidRDefault="000433CC" w:rsidP="00625412">
            <w:pPr>
              <w:pStyle w:val="TAH"/>
            </w:pPr>
            <w:r w:rsidRPr="009C5807">
              <w:t xml:space="preserve">Maximum </w:t>
            </w:r>
            <w:r w:rsidRPr="009C5807">
              <w:rPr>
                <w:rFonts w:hint="eastAsia"/>
                <w:lang w:eastAsia="ko-KR"/>
              </w:rPr>
              <w:t xml:space="preserve">uplink </w:t>
            </w:r>
            <w:r w:rsidRPr="009C5807">
              <w:t xml:space="preserve">transmission timing difference (µs) </w:t>
            </w:r>
          </w:p>
        </w:tc>
      </w:tr>
      <w:tr w:rsidR="000433CC" w:rsidRPr="009C5807" w14:paraId="0C04818B" w14:textId="77777777" w:rsidTr="00625412">
        <w:trPr>
          <w:jc w:val="center"/>
        </w:trPr>
        <w:tc>
          <w:tcPr>
            <w:tcW w:w="2251" w:type="dxa"/>
            <w:shd w:val="clear" w:color="auto" w:fill="auto"/>
          </w:tcPr>
          <w:p w14:paraId="5DC2706E" w14:textId="77777777" w:rsidR="000433CC" w:rsidRPr="009C5807" w:rsidRDefault="000433CC" w:rsidP="00625412">
            <w:pPr>
              <w:pStyle w:val="TAC"/>
            </w:pPr>
            <w:r w:rsidRPr="009C5807">
              <w:t>FR1</w:t>
            </w:r>
          </w:p>
        </w:tc>
        <w:tc>
          <w:tcPr>
            <w:tcW w:w="3003" w:type="dxa"/>
            <w:shd w:val="clear" w:color="auto" w:fill="auto"/>
          </w:tcPr>
          <w:p w14:paraId="076014A4" w14:textId="77777777" w:rsidR="000433CC" w:rsidRPr="009C5807" w:rsidRDefault="000433CC" w:rsidP="00625412">
            <w:pPr>
              <w:pStyle w:val="TAC"/>
              <w:rPr>
                <w:lang w:eastAsia="zh-CN"/>
              </w:rPr>
            </w:pPr>
            <w:r w:rsidRPr="009C5807">
              <w:rPr>
                <w:lang w:eastAsia="zh-CN"/>
              </w:rPr>
              <w:t>34.6</w:t>
            </w:r>
          </w:p>
        </w:tc>
      </w:tr>
      <w:tr w:rsidR="000433CC" w:rsidRPr="009C5807" w14:paraId="4095191F" w14:textId="77777777" w:rsidTr="00625412">
        <w:trPr>
          <w:jc w:val="center"/>
        </w:trPr>
        <w:tc>
          <w:tcPr>
            <w:tcW w:w="2251" w:type="dxa"/>
            <w:shd w:val="clear" w:color="auto" w:fill="auto"/>
          </w:tcPr>
          <w:p w14:paraId="23EA5A2F" w14:textId="77777777" w:rsidR="000433CC" w:rsidRPr="009C5807" w:rsidRDefault="000433CC" w:rsidP="00625412">
            <w:pPr>
              <w:pStyle w:val="TAC"/>
            </w:pPr>
            <w:r w:rsidRPr="00415158">
              <w:t>FR2-1</w:t>
            </w:r>
          </w:p>
        </w:tc>
        <w:tc>
          <w:tcPr>
            <w:tcW w:w="3003" w:type="dxa"/>
            <w:shd w:val="clear" w:color="auto" w:fill="auto"/>
          </w:tcPr>
          <w:p w14:paraId="709288C0" w14:textId="77777777" w:rsidR="000433CC" w:rsidRPr="009C5807" w:rsidRDefault="000433CC" w:rsidP="00625412">
            <w:pPr>
              <w:pStyle w:val="TAC"/>
              <w:rPr>
                <w:lang w:eastAsia="zh-CN"/>
              </w:rPr>
            </w:pPr>
            <w:r w:rsidRPr="00415158">
              <w:rPr>
                <w:lang w:eastAsia="zh-CN"/>
              </w:rPr>
              <w:t>8.5</w:t>
            </w:r>
            <w:r w:rsidRPr="00415158">
              <w:rPr>
                <w:vertAlign w:val="superscript"/>
                <w:lang w:eastAsia="zh-CN"/>
              </w:rPr>
              <w:t xml:space="preserve"> Note1</w:t>
            </w:r>
          </w:p>
        </w:tc>
      </w:tr>
      <w:tr w:rsidR="000433CC" w:rsidRPr="009C5807" w14:paraId="4E8112E3" w14:textId="77777777" w:rsidTr="00625412">
        <w:trPr>
          <w:jc w:val="center"/>
        </w:trPr>
        <w:tc>
          <w:tcPr>
            <w:tcW w:w="2251" w:type="dxa"/>
            <w:shd w:val="clear" w:color="auto" w:fill="auto"/>
          </w:tcPr>
          <w:p w14:paraId="32F19F57" w14:textId="77777777" w:rsidR="000433CC" w:rsidRPr="009C5807" w:rsidRDefault="000433CC" w:rsidP="00625412">
            <w:pPr>
              <w:pStyle w:val="TAC"/>
            </w:pPr>
            <w:r w:rsidRPr="00415158">
              <w:t>Between FR1 and FR2-1</w:t>
            </w:r>
          </w:p>
        </w:tc>
        <w:tc>
          <w:tcPr>
            <w:tcW w:w="3003" w:type="dxa"/>
            <w:shd w:val="clear" w:color="auto" w:fill="auto"/>
          </w:tcPr>
          <w:p w14:paraId="7A7AA7B7" w14:textId="77777777" w:rsidR="000433CC" w:rsidRPr="009C5807" w:rsidRDefault="000433CC" w:rsidP="00625412">
            <w:pPr>
              <w:pStyle w:val="TAC"/>
              <w:rPr>
                <w:lang w:eastAsia="zh-CN"/>
              </w:rPr>
            </w:pPr>
            <w:r w:rsidRPr="00415158">
              <w:rPr>
                <w:lang w:eastAsia="zh-CN"/>
              </w:rPr>
              <w:t xml:space="preserve">26.1 </w:t>
            </w:r>
          </w:p>
        </w:tc>
      </w:tr>
      <w:tr w:rsidR="000433CC" w:rsidRPr="009C5807" w14:paraId="0DA2C6EF" w14:textId="77777777" w:rsidTr="00625412">
        <w:trPr>
          <w:jc w:val="center"/>
        </w:trPr>
        <w:tc>
          <w:tcPr>
            <w:tcW w:w="2251" w:type="dxa"/>
            <w:shd w:val="clear" w:color="auto" w:fill="auto"/>
          </w:tcPr>
          <w:p w14:paraId="48BE6E99" w14:textId="77777777" w:rsidR="000433CC" w:rsidRPr="009C5807" w:rsidRDefault="000433CC" w:rsidP="00625412">
            <w:pPr>
              <w:pStyle w:val="TAC"/>
            </w:pPr>
            <w:r w:rsidRPr="00415158">
              <w:t>Between FR1 and FR2-2</w:t>
            </w:r>
          </w:p>
        </w:tc>
        <w:tc>
          <w:tcPr>
            <w:tcW w:w="3003" w:type="dxa"/>
            <w:shd w:val="clear" w:color="auto" w:fill="auto"/>
          </w:tcPr>
          <w:p w14:paraId="4CA5BF25" w14:textId="38EDA46B" w:rsidR="000433CC" w:rsidRPr="009C5807" w:rsidRDefault="000433CC" w:rsidP="00625412">
            <w:pPr>
              <w:pStyle w:val="TAC"/>
              <w:rPr>
                <w:lang w:eastAsia="zh-CN"/>
              </w:rPr>
            </w:pPr>
            <w:r>
              <w:t>26.1</w:t>
            </w:r>
          </w:p>
        </w:tc>
      </w:tr>
      <w:tr w:rsidR="000433CC" w:rsidRPr="009C5807" w14:paraId="4D45835F" w14:textId="77777777" w:rsidTr="00625412">
        <w:trPr>
          <w:jc w:val="center"/>
        </w:trPr>
        <w:tc>
          <w:tcPr>
            <w:tcW w:w="5254" w:type="dxa"/>
            <w:gridSpan w:val="2"/>
            <w:shd w:val="clear" w:color="auto" w:fill="auto"/>
          </w:tcPr>
          <w:p w14:paraId="38B68628" w14:textId="77777777" w:rsidR="000433CC" w:rsidRPr="009C5807" w:rsidRDefault="000433CC" w:rsidP="00625412">
            <w:pPr>
              <w:pStyle w:val="TAN"/>
              <w:rPr>
                <w:lang w:eastAsia="zh-CN"/>
              </w:rPr>
            </w:pPr>
            <w:r w:rsidRPr="00415158">
              <w:rPr>
                <w:lang w:eastAsia="zh-CN"/>
              </w:rPr>
              <w:t>Note1:</w:t>
            </w:r>
            <w:r w:rsidRPr="00415158">
              <w:rPr>
                <w:lang w:eastAsia="ko-KR"/>
              </w:rPr>
              <w:tab/>
            </w:r>
            <w:r w:rsidRPr="00415158">
              <w:rPr>
                <w:rFonts w:eastAsia="Yu Mincho"/>
                <w:lang w:eastAsia="ja-JP"/>
              </w:rPr>
              <w:t xml:space="preserve">This requirement </w:t>
            </w:r>
            <w:r w:rsidRPr="00415158">
              <w:t>applies to the UE capable of independent beam management for FR2-1 inter-band CA.</w:t>
            </w:r>
          </w:p>
        </w:tc>
      </w:tr>
    </w:tbl>
    <w:p w14:paraId="7ECDC15A" w14:textId="77777777" w:rsidR="000433CC" w:rsidRPr="009C5807" w:rsidRDefault="000433CC" w:rsidP="000433CC">
      <w:pPr>
        <w:rPr>
          <w:rFonts w:eastAsia="Malgun Gothic"/>
          <w:lang w:eastAsia="ko-KR"/>
        </w:rPr>
      </w:pPr>
    </w:p>
    <w:p w14:paraId="20E5AAA4" w14:textId="77777777" w:rsidR="00877F17" w:rsidRPr="009C5807" w:rsidRDefault="00877F17" w:rsidP="00877F17">
      <w:pPr>
        <w:pStyle w:val="Heading3"/>
        <w:rPr>
          <w:rFonts w:eastAsia="Malgun Gothic"/>
          <w:lang w:eastAsia="ko-KR"/>
        </w:rPr>
      </w:pPr>
      <w:r w:rsidRPr="009C5807">
        <w:rPr>
          <w:lang w:eastAsia="ko-KR"/>
        </w:rPr>
        <w:t>7.5.5</w:t>
      </w:r>
      <w:r w:rsidRPr="009C5807">
        <w:rPr>
          <w:lang w:eastAsia="ko-KR"/>
        </w:rPr>
        <w:tab/>
        <w:t xml:space="preserve">Minimum Requirements for </w:t>
      </w:r>
      <w:r w:rsidRPr="009C5807">
        <w:t>inter-band NE-DC</w:t>
      </w:r>
    </w:p>
    <w:p w14:paraId="25D023E1" w14:textId="2FD3227F" w:rsidR="00877F17" w:rsidRPr="009C5807" w:rsidRDefault="00877F17" w:rsidP="00877F17">
      <w:pPr>
        <w:rPr>
          <w:rFonts w:cs="v4.2.0"/>
          <w:lang w:eastAsia="zh-CN"/>
        </w:rPr>
      </w:pPr>
      <w:r w:rsidRPr="009C5807">
        <w:rPr>
          <w:rFonts w:eastAsia="Malgun Gothic" w:cs="v4.2.0"/>
        </w:rPr>
        <w:t>The</w:t>
      </w:r>
      <w:r w:rsidRPr="009C5807">
        <w:rPr>
          <w:rFonts w:cs="v4.2.0"/>
        </w:rPr>
        <w:t xml:space="preserve"> UE shall be capable of handling a maximum uplink transmission timing difference between PCell and </w:t>
      </w:r>
      <w:r w:rsidRPr="009C5807">
        <w:rPr>
          <w:rFonts w:cs="v4.2.0" w:hint="eastAsia"/>
          <w:lang w:eastAsia="ko-KR"/>
        </w:rPr>
        <w:t xml:space="preserve">E-UTRA </w:t>
      </w:r>
      <w:r w:rsidRPr="009C5807">
        <w:rPr>
          <w:rFonts w:cs="v4.2.0"/>
        </w:rPr>
        <w:t>PSCell as shown in Table 7.5.5-1</w:t>
      </w:r>
      <w:r w:rsidRPr="009C5807">
        <w:rPr>
          <w:snapToGrid w:val="0"/>
        </w:rPr>
        <w:t xml:space="preserve"> for </w:t>
      </w:r>
      <w:r w:rsidRPr="009C5807">
        <w:rPr>
          <w:rFonts w:hint="eastAsia"/>
          <w:snapToGrid w:val="0"/>
          <w:lang w:eastAsia="ko-KR"/>
        </w:rPr>
        <w:t xml:space="preserve">inter-band </w:t>
      </w:r>
      <w:r w:rsidRPr="009C5807">
        <w:rPr>
          <w:snapToGrid w:val="0"/>
        </w:rPr>
        <w:t xml:space="preserve">asynchronous </w:t>
      </w:r>
      <w:r w:rsidRPr="009C5807">
        <w:rPr>
          <w:snapToGrid w:val="0"/>
          <w:lang w:eastAsia="zh-CN"/>
        </w:rPr>
        <w:t>NE-DC</w:t>
      </w:r>
      <w:r w:rsidRPr="009C5807">
        <w:rPr>
          <w:rFonts w:cs="v4.2.0"/>
        </w:rPr>
        <w:t>.</w:t>
      </w:r>
    </w:p>
    <w:p w14:paraId="3CFD4176" w14:textId="77777777" w:rsidR="00877F17" w:rsidRPr="009C5807" w:rsidRDefault="00877F17" w:rsidP="00877F17">
      <w:pPr>
        <w:pStyle w:val="TH"/>
        <w:rPr>
          <w:snapToGrid w:val="0"/>
        </w:rPr>
      </w:pPr>
      <w:r w:rsidRPr="009C5807">
        <w:rPr>
          <w:snapToGrid w:val="0"/>
        </w:rPr>
        <w:t xml:space="preserve">Table 7.5.5-1: Maximum uplink transmission timing difference requirement for </w:t>
      </w:r>
      <w:r w:rsidRPr="009C5807">
        <w:rPr>
          <w:rFonts w:hint="eastAsia"/>
          <w:snapToGrid w:val="0"/>
          <w:lang w:eastAsia="ko-KR"/>
        </w:rPr>
        <w:t xml:space="preserve">inter-band </w:t>
      </w:r>
      <w:r w:rsidRPr="009C5807">
        <w:rPr>
          <w:snapToGrid w:val="0"/>
        </w:rPr>
        <w:t xml:space="preserve">asynchronous </w:t>
      </w:r>
      <w:r w:rsidRPr="009C5807">
        <w:rPr>
          <w:snapToGrid w:val="0"/>
          <w:lang w:eastAsia="zh-CN"/>
        </w:rPr>
        <w:t>NE-DC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5"/>
        <w:gridCol w:w="2693"/>
      </w:tblGrid>
      <w:tr w:rsidR="00885F53" w:rsidRPr="009C5807" w14:paraId="1A202F79" w14:textId="77777777" w:rsidTr="00AD1C20">
        <w:trPr>
          <w:jc w:val="center"/>
        </w:trPr>
        <w:tc>
          <w:tcPr>
            <w:tcW w:w="1984" w:type="dxa"/>
            <w:shd w:val="clear" w:color="auto" w:fill="auto"/>
          </w:tcPr>
          <w:p w14:paraId="5AC513B9" w14:textId="51DF3B87" w:rsidR="00877F17" w:rsidRPr="009C5807" w:rsidRDefault="00877F17" w:rsidP="00867D3A">
            <w:pPr>
              <w:pStyle w:val="TAH"/>
            </w:pPr>
            <w:r w:rsidRPr="009C5807">
              <w:t>Sub-carrier spacing in PCell (kHz)</w:t>
            </w:r>
          </w:p>
        </w:tc>
        <w:tc>
          <w:tcPr>
            <w:tcW w:w="1985" w:type="dxa"/>
            <w:shd w:val="clear" w:color="auto" w:fill="auto"/>
          </w:tcPr>
          <w:p w14:paraId="55928177" w14:textId="77777777" w:rsidR="00877F17" w:rsidRPr="009C5807" w:rsidRDefault="00877F17" w:rsidP="00867D3A">
            <w:pPr>
              <w:pStyle w:val="TAH"/>
            </w:pPr>
            <w:r w:rsidRPr="009C5807">
              <w:t xml:space="preserve">UL Sub-carrier spacing for data in </w:t>
            </w:r>
            <w:r w:rsidRPr="009C5807">
              <w:rPr>
                <w:rFonts w:hint="eastAsia"/>
                <w:lang w:eastAsia="ko-KR"/>
              </w:rPr>
              <w:t xml:space="preserve">E-UTRA </w:t>
            </w:r>
            <w:r w:rsidRPr="009C5807">
              <w:t>PSCell (kHz)</w:t>
            </w:r>
          </w:p>
        </w:tc>
        <w:tc>
          <w:tcPr>
            <w:tcW w:w="2693" w:type="dxa"/>
            <w:shd w:val="clear" w:color="auto" w:fill="auto"/>
          </w:tcPr>
          <w:p w14:paraId="707D833A" w14:textId="77777777" w:rsidR="00877F17" w:rsidRPr="009C5807" w:rsidRDefault="00877F17" w:rsidP="00867D3A">
            <w:pPr>
              <w:pStyle w:val="TAH"/>
            </w:pPr>
            <w:r w:rsidRPr="009C5807">
              <w:t>Maximum uplink transmission timing difference (µs)</w:t>
            </w:r>
          </w:p>
        </w:tc>
      </w:tr>
      <w:tr w:rsidR="00885F53" w:rsidRPr="009C5807" w14:paraId="1B8D02B6" w14:textId="77777777" w:rsidTr="00AD1C20">
        <w:trPr>
          <w:jc w:val="center"/>
        </w:trPr>
        <w:tc>
          <w:tcPr>
            <w:tcW w:w="1984" w:type="dxa"/>
            <w:shd w:val="clear" w:color="auto" w:fill="auto"/>
          </w:tcPr>
          <w:p w14:paraId="5FCA01E8" w14:textId="77777777" w:rsidR="00877F17" w:rsidRPr="009C5807" w:rsidRDefault="00877F17" w:rsidP="00867D3A">
            <w:pPr>
              <w:pStyle w:val="TAC"/>
            </w:pPr>
            <w:r w:rsidRPr="009C5807">
              <w:t>15</w:t>
            </w:r>
          </w:p>
        </w:tc>
        <w:tc>
          <w:tcPr>
            <w:tcW w:w="1985" w:type="dxa"/>
            <w:shd w:val="clear" w:color="auto" w:fill="auto"/>
          </w:tcPr>
          <w:p w14:paraId="63B81006" w14:textId="77777777" w:rsidR="00877F17" w:rsidRPr="009C5807" w:rsidRDefault="00877F17" w:rsidP="00867D3A">
            <w:pPr>
              <w:pStyle w:val="TAC"/>
            </w:pPr>
            <w:r w:rsidRPr="009C5807">
              <w:t>15</w:t>
            </w:r>
          </w:p>
        </w:tc>
        <w:tc>
          <w:tcPr>
            <w:tcW w:w="2693" w:type="dxa"/>
            <w:shd w:val="clear" w:color="auto" w:fill="auto"/>
          </w:tcPr>
          <w:p w14:paraId="274BA1DA" w14:textId="77777777" w:rsidR="00877F17" w:rsidRPr="009C5807" w:rsidRDefault="00877F17" w:rsidP="00867D3A">
            <w:pPr>
              <w:pStyle w:val="TAC"/>
            </w:pPr>
            <w:r w:rsidRPr="009C5807">
              <w:t>500</w:t>
            </w:r>
          </w:p>
        </w:tc>
      </w:tr>
      <w:tr w:rsidR="00885F53" w:rsidRPr="009C5807" w14:paraId="338C295E" w14:textId="77777777" w:rsidTr="00AD1C20">
        <w:trPr>
          <w:jc w:val="center"/>
        </w:trPr>
        <w:tc>
          <w:tcPr>
            <w:tcW w:w="1984" w:type="dxa"/>
            <w:shd w:val="clear" w:color="auto" w:fill="auto"/>
          </w:tcPr>
          <w:p w14:paraId="0BADC3C8" w14:textId="77777777" w:rsidR="00877F17" w:rsidRPr="009C5807" w:rsidRDefault="00877F17" w:rsidP="00867D3A">
            <w:pPr>
              <w:pStyle w:val="TAC"/>
            </w:pPr>
            <w:r w:rsidRPr="009C5807">
              <w:t>30</w:t>
            </w:r>
          </w:p>
        </w:tc>
        <w:tc>
          <w:tcPr>
            <w:tcW w:w="1985" w:type="dxa"/>
            <w:shd w:val="clear" w:color="auto" w:fill="auto"/>
          </w:tcPr>
          <w:p w14:paraId="243C83F5" w14:textId="77777777" w:rsidR="00877F17" w:rsidRPr="009C5807" w:rsidRDefault="00877F17" w:rsidP="00867D3A">
            <w:pPr>
              <w:pStyle w:val="TAC"/>
            </w:pPr>
            <w:r w:rsidRPr="009C5807">
              <w:t>15</w:t>
            </w:r>
          </w:p>
        </w:tc>
        <w:tc>
          <w:tcPr>
            <w:tcW w:w="2693" w:type="dxa"/>
            <w:shd w:val="clear" w:color="auto" w:fill="auto"/>
          </w:tcPr>
          <w:p w14:paraId="409F1F9A" w14:textId="77777777" w:rsidR="00877F17" w:rsidRPr="009C5807" w:rsidRDefault="00877F17" w:rsidP="00867D3A">
            <w:pPr>
              <w:pStyle w:val="TAC"/>
            </w:pPr>
            <w:r w:rsidRPr="009C5807">
              <w:t>250</w:t>
            </w:r>
          </w:p>
        </w:tc>
      </w:tr>
      <w:tr w:rsidR="00885F53" w:rsidRPr="009C5807" w14:paraId="62D5B857" w14:textId="77777777" w:rsidTr="00AD1C20">
        <w:trPr>
          <w:jc w:val="center"/>
        </w:trPr>
        <w:tc>
          <w:tcPr>
            <w:tcW w:w="1984" w:type="dxa"/>
            <w:shd w:val="clear" w:color="auto" w:fill="auto"/>
          </w:tcPr>
          <w:p w14:paraId="231BCD7F" w14:textId="77777777" w:rsidR="00877F17" w:rsidRPr="009C5807" w:rsidRDefault="00877F17" w:rsidP="00867D3A">
            <w:pPr>
              <w:pStyle w:val="TAC"/>
            </w:pPr>
            <w:r w:rsidRPr="009C5807">
              <w:t>60</w:t>
            </w:r>
          </w:p>
        </w:tc>
        <w:tc>
          <w:tcPr>
            <w:tcW w:w="1985" w:type="dxa"/>
            <w:shd w:val="clear" w:color="auto" w:fill="auto"/>
          </w:tcPr>
          <w:p w14:paraId="7CA74C83" w14:textId="77777777" w:rsidR="00877F17" w:rsidRPr="009C5807" w:rsidRDefault="00877F17" w:rsidP="00867D3A">
            <w:pPr>
              <w:pStyle w:val="TAC"/>
            </w:pPr>
            <w:r w:rsidRPr="009C5807">
              <w:t>15</w:t>
            </w:r>
          </w:p>
        </w:tc>
        <w:tc>
          <w:tcPr>
            <w:tcW w:w="2693" w:type="dxa"/>
            <w:shd w:val="clear" w:color="auto" w:fill="auto"/>
          </w:tcPr>
          <w:p w14:paraId="392F3374" w14:textId="77777777" w:rsidR="00877F17" w:rsidRPr="009C5807" w:rsidRDefault="00877F17" w:rsidP="00867D3A">
            <w:pPr>
              <w:pStyle w:val="TAC"/>
            </w:pPr>
            <w:r w:rsidRPr="009C5807">
              <w:t>125</w:t>
            </w:r>
          </w:p>
        </w:tc>
      </w:tr>
      <w:tr w:rsidR="00885F53" w:rsidRPr="009C5807" w14:paraId="09F4045F" w14:textId="77777777" w:rsidTr="00AD1C20">
        <w:trPr>
          <w:jc w:val="center"/>
        </w:trPr>
        <w:tc>
          <w:tcPr>
            <w:tcW w:w="1984" w:type="dxa"/>
            <w:shd w:val="clear" w:color="auto" w:fill="auto"/>
          </w:tcPr>
          <w:p w14:paraId="3C0DBB38" w14:textId="7BFB7844" w:rsidR="00877F17" w:rsidRPr="009C5807" w:rsidRDefault="00877F17" w:rsidP="00867D3A">
            <w:pPr>
              <w:pStyle w:val="TAC"/>
            </w:pPr>
            <w:r w:rsidRPr="009C5807">
              <w:t>120</w:t>
            </w:r>
          </w:p>
        </w:tc>
        <w:tc>
          <w:tcPr>
            <w:tcW w:w="1985" w:type="dxa"/>
            <w:shd w:val="clear" w:color="auto" w:fill="auto"/>
          </w:tcPr>
          <w:p w14:paraId="75D43679" w14:textId="77777777" w:rsidR="00877F17" w:rsidRPr="009C5807" w:rsidRDefault="00877F17" w:rsidP="00867D3A">
            <w:pPr>
              <w:pStyle w:val="TAC"/>
            </w:pPr>
            <w:r w:rsidRPr="009C5807">
              <w:t>15</w:t>
            </w:r>
          </w:p>
        </w:tc>
        <w:tc>
          <w:tcPr>
            <w:tcW w:w="2693" w:type="dxa"/>
            <w:shd w:val="clear" w:color="auto" w:fill="auto"/>
          </w:tcPr>
          <w:p w14:paraId="693AA5B5" w14:textId="77777777" w:rsidR="00877F17" w:rsidRPr="009C5807" w:rsidRDefault="00877F17" w:rsidP="00867D3A">
            <w:pPr>
              <w:pStyle w:val="TAC"/>
            </w:pPr>
            <w:r w:rsidRPr="009C5807">
              <w:t>62.5</w:t>
            </w:r>
          </w:p>
        </w:tc>
      </w:tr>
      <w:tr w:rsidR="00877F17" w:rsidRPr="009C5807" w14:paraId="6890409B" w14:textId="77777777" w:rsidTr="00AD1C20">
        <w:trPr>
          <w:jc w:val="center"/>
        </w:trPr>
        <w:tc>
          <w:tcPr>
            <w:tcW w:w="6662" w:type="dxa"/>
            <w:gridSpan w:val="3"/>
            <w:shd w:val="clear" w:color="auto" w:fill="auto"/>
          </w:tcPr>
          <w:p w14:paraId="71586E66" w14:textId="4097D7F9" w:rsidR="00877F17" w:rsidRPr="009C5807" w:rsidRDefault="00877F17" w:rsidP="00867D3A">
            <w:pPr>
              <w:pStyle w:val="TAN"/>
              <w:rPr>
                <w:rFonts w:cs="Arial"/>
                <w:lang w:eastAsia="zh-CN"/>
              </w:rPr>
            </w:pPr>
            <w:r w:rsidRPr="009C5807">
              <w:rPr>
                <w:rFonts w:cs="Arial"/>
                <w:lang w:eastAsia="ja-JP"/>
              </w:rPr>
              <w:t>NOTE</w:t>
            </w:r>
            <w:r w:rsidRPr="009C5807">
              <w:rPr>
                <w:rFonts w:cs="Arial"/>
                <w:lang w:eastAsia="ko-KR"/>
              </w:rPr>
              <w:t xml:space="preserve"> </w:t>
            </w:r>
            <w:r w:rsidRPr="009C5807">
              <w:rPr>
                <w:rFonts w:cs="Arial"/>
                <w:lang w:eastAsia="ja-JP"/>
              </w:rPr>
              <w:t>1:</w:t>
            </w:r>
            <w:r w:rsidRPr="009C5807">
              <w:rPr>
                <w:lang w:eastAsia="ko-KR"/>
              </w:rPr>
              <w:tab/>
            </w:r>
            <w:r w:rsidRPr="009C5807">
              <w:rPr>
                <w:rFonts w:hint="eastAsia"/>
                <w:lang w:eastAsia="ko-KR"/>
              </w:rPr>
              <w:t>Void</w:t>
            </w:r>
          </w:p>
        </w:tc>
      </w:tr>
    </w:tbl>
    <w:p w14:paraId="2A949B1F" w14:textId="77777777" w:rsidR="000834C3" w:rsidRPr="009C5807" w:rsidRDefault="000834C3" w:rsidP="000834C3">
      <w:pPr>
        <w:rPr>
          <w:rFonts w:eastAsia="Malgun Gothic" w:cs="v4.2.0"/>
        </w:rPr>
      </w:pPr>
    </w:p>
    <w:p w14:paraId="59593248" w14:textId="509C9797" w:rsidR="000834C3" w:rsidRPr="009C5807" w:rsidRDefault="000834C3" w:rsidP="000834C3">
      <w:pPr>
        <w:pStyle w:val="TH"/>
        <w:rPr>
          <w:i/>
          <w:lang w:eastAsia="zh-CN"/>
        </w:rPr>
      </w:pPr>
      <w:r w:rsidRPr="009C5807">
        <w:rPr>
          <w:snapToGrid w:val="0"/>
        </w:rPr>
        <w:t>Table 7.5.5-2 Void</w:t>
      </w:r>
    </w:p>
    <w:p w14:paraId="6A943A7D" w14:textId="77777777" w:rsidR="00FF0D54" w:rsidRPr="009C5807" w:rsidRDefault="00FF0D54" w:rsidP="00FF0D54">
      <w:pPr>
        <w:rPr>
          <w:rFonts w:eastAsia="Malgun Gothic"/>
          <w:lang w:eastAsia="ko-KR"/>
        </w:rPr>
      </w:pPr>
    </w:p>
    <w:p w14:paraId="74716CC9" w14:textId="77777777" w:rsidR="00FF0D54" w:rsidRPr="009C5807" w:rsidRDefault="00FF0D54" w:rsidP="00FF0D54">
      <w:pPr>
        <w:pStyle w:val="Heading4"/>
        <w:rPr>
          <w:lang w:eastAsia="ko-KR"/>
        </w:rPr>
      </w:pPr>
      <w:r w:rsidRPr="009C5807">
        <w:rPr>
          <w:lang w:eastAsia="ko-KR"/>
        </w:rPr>
        <w:t>7.5.5.1</w:t>
      </w:r>
      <w:r w:rsidRPr="009C5807">
        <w:rPr>
          <w:lang w:eastAsia="ko-KR"/>
        </w:rPr>
        <w:tab/>
        <w:t xml:space="preserve">Minimum Requirements for </w:t>
      </w:r>
      <w:r w:rsidRPr="009C5807">
        <w:t>inter-band synchronous NE-DC</w:t>
      </w:r>
    </w:p>
    <w:p w14:paraId="3E67511B" w14:textId="77777777" w:rsidR="00FF0D54" w:rsidRPr="009C5807" w:rsidRDefault="00FF0D54" w:rsidP="00FF0D54">
      <w:pPr>
        <w:rPr>
          <w:rFonts w:cs="v4.2.0"/>
          <w:lang w:eastAsia="zh-CN"/>
        </w:rPr>
      </w:pPr>
      <w:r w:rsidRPr="009C5807">
        <w:rPr>
          <w:rFonts w:cs="v4.2.0"/>
          <w:lang w:eastAsia="zh-CN"/>
        </w:rPr>
        <w:t>The requirements in this clause apply as a reference for inter-band synchronous NE-DC.</w:t>
      </w:r>
    </w:p>
    <w:p w14:paraId="1C9F5CD7" w14:textId="77777777" w:rsidR="00FF0D54" w:rsidRPr="009C5807" w:rsidRDefault="00FF0D54" w:rsidP="00FF0D54">
      <w:pPr>
        <w:rPr>
          <w:rFonts w:cs="v4.2.0"/>
          <w:lang w:eastAsia="zh-CN"/>
        </w:rPr>
      </w:pPr>
      <w:r w:rsidRPr="009C5807">
        <w:rPr>
          <w:rFonts w:cs="v4.2.0"/>
          <w:lang w:eastAsia="zh-CN"/>
        </w:rPr>
        <w:t>T</w:t>
      </w:r>
      <w:r w:rsidRPr="009C5807">
        <w:rPr>
          <w:rFonts w:cs="v4.2.0"/>
        </w:rPr>
        <w:t xml:space="preserve">he UE shall be capable of handling a maximum uplink transmission timing difference between PCell and </w:t>
      </w:r>
      <w:r w:rsidRPr="009C5807">
        <w:rPr>
          <w:rFonts w:cs="v4.2.0"/>
          <w:lang w:eastAsia="ko-KR"/>
        </w:rPr>
        <w:t xml:space="preserve">E-UTRA </w:t>
      </w:r>
      <w:r w:rsidRPr="009C5807">
        <w:rPr>
          <w:rFonts w:cs="v4.2.0"/>
        </w:rPr>
        <w:t xml:space="preserve">PSCell </w:t>
      </w:r>
      <w:r w:rsidRPr="009C5807">
        <w:rPr>
          <w:snapToGrid w:val="0"/>
        </w:rPr>
        <w:t xml:space="preserve">for </w:t>
      </w:r>
      <w:r w:rsidRPr="009C5807">
        <w:rPr>
          <w:snapToGrid w:val="0"/>
          <w:lang w:eastAsia="ko-KR"/>
        </w:rPr>
        <w:t xml:space="preserve">inter-band </w:t>
      </w:r>
      <w:r w:rsidRPr="009C5807">
        <w:rPr>
          <w:snapToGrid w:val="0"/>
        </w:rPr>
        <w:t xml:space="preserve">synchronous </w:t>
      </w:r>
      <w:r w:rsidRPr="009C5807">
        <w:rPr>
          <w:snapToGrid w:val="0"/>
          <w:lang w:eastAsia="zh-CN"/>
        </w:rPr>
        <w:t>NE-DC</w:t>
      </w:r>
      <w:r w:rsidRPr="009C5807">
        <w:rPr>
          <w:rFonts w:cs="v4.2.0"/>
        </w:rPr>
        <w:t xml:space="preserve"> as shown in Table 7.5.5.1-</w:t>
      </w:r>
      <w:r w:rsidRPr="009C5807">
        <w:rPr>
          <w:rFonts w:cs="v4.2.0"/>
          <w:lang w:eastAsia="zh-CN"/>
        </w:rPr>
        <w:t>1</w:t>
      </w:r>
      <w:r w:rsidRPr="009C5807">
        <w:rPr>
          <w:rFonts w:cs="v4.2.0"/>
        </w:rPr>
        <w:t xml:space="preserve">. </w:t>
      </w:r>
      <w:r w:rsidRPr="009C5807">
        <w:t xml:space="preserve">The requirements for synchronous </w:t>
      </w:r>
      <w:r w:rsidRPr="009C5807">
        <w:rPr>
          <w:lang w:eastAsia="zh-CN"/>
        </w:rPr>
        <w:t>NE-DC</w:t>
      </w:r>
      <w:r w:rsidRPr="009C5807">
        <w:t xml:space="preserve"> are applicable for NR TDD-</w:t>
      </w:r>
      <w:r w:rsidRPr="009C5807">
        <w:rPr>
          <w:lang w:eastAsia="zh-CN"/>
        </w:rPr>
        <w:t xml:space="preserve"> E-UTRA </w:t>
      </w:r>
      <w:r w:rsidRPr="009C5807">
        <w:t>TDD</w:t>
      </w:r>
      <w:r w:rsidRPr="009C5807">
        <w:rPr>
          <w:lang w:eastAsia="zh-CN"/>
        </w:rPr>
        <w:t xml:space="preserve">, NR FDD- E-UTRA FDD, NR </w:t>
      </w:r>
      <w:r w:rsidRPr="009C5807">
        <w:t>TDD-</w:t>
      </w:r>
      <w:r w:rsidRPr="009C5807">
        <w:rPr>
          <w:lang w:eastAsia="zh-CN"/>
        </w:rPr>
        <w:t xml:space="preserve"> E-UTRA F</w:t>
      </w:r>
      <w:r w:rsidRPr="009C5807">
        <w:t>DD</w:t>
      </w:r>
      <w:r w:rsidRPr="009C5807">
        <w:rPr>
          <w:lang w:eastAsia="zh-CN"/>
        </w:rPr>
        <w:t xml:space="preserve"> </w:t>
      </w:r>
      <w:r w:rsidRPr="009C5807">
        <w:t xml:space="preserve">and </w:t>
      </w:r>
      <w:r w:rsidRPr="009C5807">
        <w:rPr>
          <w:lang w:eastAsia="zh-CN"/>
        </w:rPr>
        <w:t>NR F</w:t>
      </w:r>
      <w:r w:rsidRPr="009C5807">
        <w:t>DD-</w:t>
      </w:r>
      <w:r w:rsidRPr="009C5807">
        <w:rPr>
          <w:lang w:eastAsia="zh-CN"/>
        </w:rPr>
        <w:t xml:space="preserve"> E-UTRA T</w:t>
      </w:r>
      <w:r w:rsidRPr="009C5807">
        <w:t xml:space="preserve">DD inter-band </w:t>
      </w:r>
      <w:r w:rsidRPr="009C5807">
        <w:rPr>
          <w:lang w:eastAsia="zh-CN"/>
        </w:rPr>
        <w:t>NE-DC</w:t>
      </w:r>
      <w:r w:rsidRPr="009C5807">
        <w:t>.</w:t>
      </w:r>
    </w:p>
    <w:p w14:paraId="28B96A64" w14:textId="77777777" w:rsidR="00FF0D54" w:rsidRPr="009C5807" w:rsidRDefault="00FF0D54" w:rsidP="00FF0D54">
      <w:pPr>
        <w:pStyle w:val="TH"/>
        <w:rPr>
          <w:snapToGrid w:val="0"/>
        </w:rPr>
      </w:pPr>
      <w:r w:rsidRPr="009C5807">
        <w:rPr>
          <w:snapToGrid w:val="0"/>
        </w:rPr>
        <w:t>Table 7.5.5.1-1: Maximum uplink transmission timing difference requirement for</w:t>
      </w:r>
      <w:r w:rsidRPr="009C5807">
        <w:rPr>
          <w:snapToGrid w:val="0"/>
          <w:lang w:eastAsia="zh-CN"/>
        </w:rPr>
        <w:t xml:space="preserve"> inter-band</w:t>
      </w:r>
      <w:r w:rsidRPr="009C5807">
        <w:rPr>
          <w:snapToGrid w:val="0"/>
        </w:rPr>
        <w:t xml:space="preserve"> synchronous </w:t>
      </w:r>
      <w:r w:rsidRPr="009C5807">
        <w:rPr>
          <w:snapToGrid w:val="0"/>
          <w:lang w:eastAsia="zh-CN"/>
        </w:rPr>
        <w:t>NE-DC</w:t>
      </w:r>
    </w:p>
    <w:tbl>
      <w:tblPr>
        <w:tblW w:w="0" w:type="auto"/>
        <w:tblInd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765"/>
        <w:gridCol w:w="2225"/>
      </w:tblGrid>
      <w:tr w:rsidR="00FF0D54" w:rsidRPr="009C5807" w14:paraId="26B4EBF6" w14:textId="77777777" w:rsidTr="00566CFE">
        <w:tc>
          <w:tcPr>
            <w:tcW w:w="1765" w:type="dxa"/>
            <w:tcBorders>
              <w:top w:val="single" w:sz="4" w:space="0" w:color="auto"/>
              <w:left w:val="single" w:sz="4" w:space="0" w:color="auto"/>
              <w:bottom w:val="single" w:sz="4" w:space="0" w:color="auto"/>
              <w:right w:val="single" w:sz="4" w:space="0" w:color="auto"/>
            </w:tcBorders>
            <w:hideMark/>
          </w:tcPr>
          <w:p w14:paraId="6C334056" w14:textId="77777777" w:rsidR="00FF0D54" w:rsidRPr="007C55F6" w:rsidRDefault="00FF0D54" w:rsidP="00566CFE">
            <w:pPr>
              <w:pStyle w:val="TAH"/>
            </w:pPr>
            <w:r w:rsidRPr="007C55F6">
              <w:t>Sub-carrier spacing in PCell (kHz)</w:t>
            </w:r>
          </w:p>
        </w:tc>
        <w:tc>
          <w:tcPr>
            <w:tcW w:w="1765" w:type="dxa"/>
            <w:tcBorders>
              <w:top w:val="single" w:sz="4" w:space="0" w:color="auto"/>
              <w:left w:val="single" w:sz="4" w:space="0" w:color="auto"/>
              <w:bottom w:val="single" w:sz="4" w:space="0" w:color="auto"/>
              <w:right w:val="single" w:sz="4" w:space="0" w:color="auto"/>
            </w:tcBorders>
            <w:hideMark/>
          </w:tcPr>
          <w:p w14:paraId="0538246C" w14:textId="77777777" w:rsidR="00FF0D54" w:rsidRPr="007C55F6" w:rsidRDefault="00FF0D54" w:rsidP="00566CFE">
            <w:pPr>
              <w:pStyle w:val="TAH"/>
            </w:pPr>
            <w:r w:rsidRPr="007C55F6">
              <w:t xml:space="preserve">UL Sub-carrier spacing for data in </w:t>
            </w:r>
            <w:r w:rsidRPr="007C55F6">
              <w:rPr>
                <w:lang w:eastAsia="ko-KR"/>
              </w:rPr>
              <w:t xml:space="preserve">E-UTRA </w:t>
            </w:r>
            <w:r w:rsidRPr="007C55F6">
              <w:t>PSCell (kHz)</w:t>
            </w:r>
          </w:p>
        </w:tc>
        <w:tc>
          <w:tcPr>
            <w:tcW w:w="2225" w:type="dxa"/>
            <w:tcBorders>
              <w:top w:val="single" w:sz="4" w:space="0" w:color="auto"/>
              <w:left w:val="single" w:sz="4" w:space="0" w:color="auto"/>
              <w:bottom w:val="single" w:sz="4" w:space="0" w:color="auto"/>
              <w:right w:val="single" w:sz="4" w:space="0" w:color="auto"/>
            </w:tcBorders>
            <w:hideMark/>
          </w:tcPr>
          <w:p w14:paraId="55D9FC67" w14:textId="77777777" w:rsidR="00FF0D54" w:rsidRPr="007C55F6" w:rsidRDefault="00FF0D54" w:rsidP="00566CFE">
            <w:pPr>
              <w:pStyle w:val="TAH"/>
            </w:pPr>
            <w:r w:rsidRPr="007C55F6">
              <w:t>Maximum uplink transmission timing difference (µs)</w:t>
            </w:r>
          </w:p>
        </w:tc>
      </w:tr>
      <w:tr w:rsidR="00FF0D54" w:rsidRPr="009C5807" w14:paraId="4D62E063" w14:textId="77777777" w:rsidTr="00566CFE">
        <w:tc>
          <w:tcPr>
            <w:tcW w:w="1765" w:type="dxa"/>
            <w:tcBorders>
              <w:top w:val="single" w:sz="4" w:space="0" w:color="auto"/>
              <w:left w:val="single" w:sz="4" w:space="0" w:color="auto"/>
              <w:bottom w:val="single" w:sz="4" w:space="0" w:color="auto"/>
              <w:right w:val="single" w:sz="4" w:space="0" w:color="auto"/>
            </w:tcBorders>
            <w:hideMark/>
          </w:tcPr>
          <w:p w14:paraId="05CD0F77" w14:textId="77777777" w:rsidR="00FF0D54" w:rsidRPr="009C5807" w:rsidRDefault="00FF0D54" w:rsidP="00566CFE">
            <w:pPr>
              <w:pStyle w:val="TAC"/>
              <w:rPr>
                <w:lang w:val="fr-FR"/>
              </w:rPr>
            </w:pPr>
            <w:r w:rsidRPr="009C5807">
              <w:rPr>
                <w:lang w:val="fr-FR"/>
              </w:rPr>
              <w:t>15</w:t>
            </w:r>
          </w:p>
        </w:tc>
        <w:tc>
          <w:tcPr>
            <w:tcW w:w="1765" w:type="dxa"/>
            <w:tcBorders>
              <w:top w:val="single" w:sz="4" w:space="0" w:color="auto"/>
              <w:left w:val="single" w:sz="4" w:space="0" w:color="auto"/>
              <w:bottom w:val="single" w:sz="4" w:space="0" w:color="auto"/>
              <w:right w:val="single" w:sz="4" w:space="0" w:color="auto"/>
            </w:tcBorders>
            <w:hideMark/>
          </w:tcPr>
          <w:p w14:paraId="26D70C91" w14:textId="77777777" w:rsidR="00FF0D54" w:rsidRPr="009C5807" w:rsidRDefault="00FF0D54" w:rsidP="00566CFE">
            <w:pPr>
              <w:pStyle w:val="TAC"/>
              <w:rPr>
                <w:lang w:val="fr-FR"/>
              </w:rPr>
            </w:pPr>
            <w:r w:rsidRPr="009C5807">
              <w:rPr>
                <w:lang w:val="fr-FR"/>
              </w:rPr>
              <w:t>15</w:t>
            </w:r>
          </w:p>
        </w:tc>
        <w:tc>
          <w:tcPr>
            <w:tcW w:w="2225" w:type="dxa"/>
            <w:tcBorders>
              <w:top w:val="single" w:sz="4" w:space="0" w:color="auto"/>
              <w:left w:val="single" w:sz="4" w:space="0" w:color="auto"/>
              <w:bottom w:val="single" w:sz="4" w:space="0" w:color="auto"/>
              <w:right w:val="single" w:sz="4" w:space="0" w:color="auto"/>
            </w:tcBorders>
            <w:hideMark/>
          </w:tcPr>
          <w:p w14:paraId="2309E354" w14:textId="77777777" w:rsidR="00FF0D54" w:rsidRPr="009C5807" w:rsidRDefault="00FF0D54" w:rsidP="00566CFE">
            <w:pPr>
              <w:pStyle w:val="TAC"/>
              <w:rPr>
                <w:lang w:val="fr-FR"/>
              </w:rPr>
            </w:pPr>
            <w:r w:rsidRPr="009C5807">
              <w:rPr>
                <w:lang w:val="fr-FR" w:eastAsia="zh-CN"/>
              </w:rPr>
              <w:t>35.21</w:t>
            </w:r>
          </w:p>
        </w:tc>
      </w:tr>
      <w:tr w:rsidR="00FF0D54" w:rsidRPr="009C5807" w14:paraId="519A8FC0" w14:textId="77777777" w:rsidTr="00566CFE">
        <w:tc>
          <w:tcPr>
            <w:tcW w:w="1765" w:type="dxa"/>
            <w:tcBorders>
              <w:top w:val="single" w:sz="4" w:space="0" w:color="auto"/>
              <w:left w:val="single" w:sz="4" w:space="0" w:color="auto"/>
              <w:bottom w:val="single" w:sz="4" w:space="0" w:color="auto"/>
              <w:right w:val="single" w:sz="4" w:space="0" w:color="auto"/>
            </w:tcBorders>
            <w:hideMark/>
          </w:tcPr>
          <w:p w14:paraId="65470BC1" w14:textId="77777777" w:rsidR="00FF0D54" w:rsidRPr="009C5807" w:rsidRDefault="00FF0D54" w:rsidP="00566CFE">
            <w:pPr>
              <w:pStyle w:val="TAC"/>
              <w:rPr>
                <w:lang w:val="fr-FR"/>
              </w:rPr>
            </w:pPr>
            <w:r w:rsidRPr="009C5807">
              <w:rPr>
                <w:lang w:val="fr-FR"/>
              </w:rPr>
              <w:t>30</w:t>
            </w:r>
          </w:p>
        </w:tc>
        <w:tc>
          <w:tcPr>
            <w:tcW w:w="1765" w:type="dxa"/>
            <w:tcBorders>
              <w:top w:val="single" w:sz="4" w:space="0" w:color="auto"/>
              <w:left w:val="single" w:sz="4" w:space="0" w:color="auto"/>
              <w:bottom w:val="single" w:sz="4" w:space="0" w:color="auto"/>
              <w:right w:val="single" w:sz="4" w:space="0" w:color="auto"/>
            </w:tcBorders>
            <w:hideMark/>
          </w:tcPr>
          <w:p w14:paraId="719AEA7D" w14:textId="77777777" w:rsidR="00FF0D54" w:rsidRPr="009C5807" w:rsidRDefault="00FF0D54" w:rsidP="00566CFE">
            <w:pPr>
              <w:pStyle w:val="TAC"/>
              <w:rPr>
                <w:lang w:val="fr-FR"/>
              </w:rPr>
            </w:pPr>
            <w:r w:rsidRPr="009C5807">
              <w:rPr>
                <w:lang w:val="fr-FR"/>
              </w:rPr>
              <w:t>15</w:t>
            </w:r>
          </w:p>
        </w:tc>
        <w:tc>
          <w:tcPr>
            <w:tcW w:w="2225" w:type="dxa"/>
            <w:tcBorders>
              <w:top w:val="single" w:sz="4" w:space="0" w:color="auto"/>
              <w:left w:val="single" w:sz="4" w:space="0" w:color="auto"/>
              <w:bottom w:val="single" w:sz="4" w:space="0" w:color="auto"/>
              <w:right w:val="single" w:sz="4" w:space="0" w:color="auto"/>
            </w:tcBorders>
            <w:hideMark/>
          </w:tcPr>
          <w:p w14:paraId="5F22B585" w14:textId="77777777" w:rsidR="00FF0D54" w:rsidRPr="009C5807" w:rsidRDefault="00FF0D54" w:rsidP="00566CFE">
            <w:pPr>
              <w:pStyle w:val="TAC"/>
              <w:rPr>
                <w:lang w:val="fr-FR"/>
              </w:rPr>
            </w:pPr>
            <w:r w:rsidRPr="009C5807">
              <w:rPr>
                <w:lang w:val="fr-FR" w:eastAsia="zh-CN"/>
              </w:rPr>
              <w:t>35.21</w:t>
            </w:r>
          </w:p>
        </w:tc>
      </w:tr>
      <w:tr w:rsidR="00FF0D54" w:rsidRPr="009C5807" w14:paraId="2CF768D4" w14:textId="77777777" w:rsidTr="00566CFE">
        <w:tc>
          <w:tcPr>
            <w:tcW w:w="1765" w:type="dxa"/>
            <w:tcBorders>
              <w:top w:val="single" w:sz="4" w:space="0" w:color="auto"/>
              <w:left w:val="single" w:sz="4" w:space="0" w:color="auto"/>
              <w:bottom w:val="single" w:sz="4" w:space="0" w:color="auto"/>
              <w:right w:val="single" w:sz="4" w:space="0" w:color="auto"/>
            </w:tcBorders>
            <w:hideMark/>
          </w:tcPr>
          <w:p w14:paraId="318989D3" w14:textId="77777777" w:rsidR="00FF0D54" w:rsidRPr="009C5807" w:rsidRDefault="00FF0D54" w:rsidP="00566CFE">
            <w:pPr>
              <w:pStyle w:val="TAC"/>
              <w:rPr>
                <w:lang w:val="fr-FR"/>
              </w:rPr>
            </w:pPr>
            <w:r w:rsidRPr="009C5807">
              <w:rPr>
                <w:lang w:val="fr-FR"/>
              </w:rPr>
              <w:t>60</w:t>
            </w:r>
          </w:p>
        </w:tc>
        <w:tc>
          <w:tcPr>
            <w:tcW w:w="1765" w:type="dxa"/>
            <w:tcBorders>
              <w:top w:val="single" w:sz="4" w:space="0" w:color="auto"/>
              <w:left w:val="single" w:sz="4" w:space="0" w:color="auto"/>
              <w:bottom w:val="single" w:sz="4" w:space="0" w:color="auto"/>
              <w:right w:val="single" w:sz="4" w:space="0" w:color="auto"/>
            </w:tcBorders>
            <w:hideMark/>
          </w:tcPr>
          <w:p w14:paraId="04792BAA" w14:textId="77777777" w:rsidR="00FF0D54" w:rsidRPr="009C5807" w:rsidRDefault="00FF0D54" w:rsidP="00566CFE">
            <w:pPr>
              <w:pStyle w:val="TAC"/>
              <w:rPr>
                <w:lang w:val="fr-FR"/>
              </w:rPr>
            </w:pPr>
            <w:r w:rsidRPr="009C5807">
              <w:rPr>
                <w:lang w:val="fr-FR"/>
              </w:rPr>
              <w:t>15</w:t>
            </w:r>
          </w:p>
        </w:tc>
        <w:tc>
          <w:tcPr>
            <w:tcW w:w="2225" w:type="dxa"/>
            <w:tcBorders>
              <w:top w:val="single" w:sz="4" w:space="0" w:color="auto"/>
              <w:left w:val="single" w:sz="4" w:space="0" w:color="auto"/>
              <w:bottom w:val="single" w:sz="4" w:space="0" w:color="auto"/>
              <w:right w:val="single" w:sz="4" w:space="0" w:color="auto"/>
            </w:tcBorders>
            <w:hideMark/>
          </w:tcPr>
          <w:p w14:paraId="378CBB3A" w14:textId="77777777" w:rsidR="00FF0D54" w:rsidRPr="009C5807" w:rsidRDefault="00FF0D54" w:rsidP="00566CFE">
            <w:pPr>
              <w:pStyle w:val="TAC"/>
              <w:rPr>
                <w:lang w:val="fr-FR"/>
              </w:rPr>
            </w:pPr>
            <w:r w:rsidRPr="009C5807">
              <w:rPr>
                <w:lang w:val="fr-FR" w:eastAsia="zh-CN"/>
              </w:rPr>
              <w:t>35.21</w:t>
            </w:r>
          </w:p>
        </w:tc>
      </w:tr>
      <w:tr w:rsidR="00FF0D54" w:rsidRPr="009C5807" w14:paraId="0ACBC4CB" w14:textId="77777777" w:rsidTr="00566CFE">
        <w:tc>
          <w:tcPr>
            <w:tcW w:w="1765" w:type="dxa"/>
            <w:tcBorders>
              <w:top w:val="single" w:sz="4" w:space="0" w:color="auto"/>
              <w:left w:val="single" w:sz="4" w:space="0" w:color="auto"/>
              <w:bottom w:val="single" w:sz="4" w:space="0" w:color="auto"/>
              <w:right w:val="single" w:sz="4" w:space="0" w:color="auto"/>
            </w:tcBorders>
            <w:hideMark/>
          </w:tcPr>
          <w:p w14:paraId="2A7D4ECE" w14:textId="77777777" w:rsidR="00FF0D54" w:rsidRPr="009C5807" w:rsidRDefault="00FF0D54" w:rsidP="00566CFE">
            <w:pPr>
              <w:pStyle w:val="TAC"/>
              <w:rPr>
                <w:lang w:val="fr-FR"/>
              </w:rPr>
            </w:pPr>
            <w:r w:rsidRPr="009C5807">
              <w:rPr>
                <w:lang w:val="fr-FR"/>
              </w:rPr>
              <w:t>120</w:t>
            </w:r>
          </w:p>
        </w:tc>
        <w:tc>
          <w:tcPr>
            <w:tcW w:w="1765" w:type="dxa"/>
            <w:tcBorders>
              <w:top w:val="single" w:sz="4" w:space="0" w:color="auto"/>
              <w:left w:val="single" w:sz="4" w:space="0" w:color="auto"/>
              <w:bottom w:val="single" w:sz="4" w:space="0" w:color="auto"/>
              <w:right w:val="single" w:sz="4" w:space="0" w:color="auto"/>
            </w:tcBorders>
            <w:hideMark/>
          </w:tcPr>
          <w:p w14:paraId="2444FABF" w14:textId="77777777" w:rsidR="00FF0D54" w:rsidRPr="009C5807" w:rsidRDefault="00FF0D54" w:rsidP="00566CFE">
            <w:pPr>
              <w:pStyle w:val="TAC"/>
              <w:rPr>
                <w:lang w:val="fr-FR"/>
              </w:rPr>
            </w:pPr>
            <w:r w:rsidRPr="009C5807">
              <w:rPr>
                <w:lang w:val="fr-FR"/>
              </w:rPr>
              <w:t>15</w:t>
            </w:r>
          </w:p>
        </w:tc>
        <w:tc>
          <w:tcPr>
            <w:tcW w:w="2225" w:type="dxa"/>
            <w:tcBorders>
              <w:top w:val="single" w:sz="4" w:space="0" w:color="auto"/>
              <w:left w:val="single" w:sz="4" w:space="0" w:color="auto"/>
              <w:bottom w:val="single" w:sz="4" w:space="0" w:color="auto"/>
              <w:right w:val="single" w:sz="4" w:space="0" w:color="auto"/>
            </w:tcBorders>
            <w:hideMark/>
          </w:tcPr>
          <w:p w14:paraId="055436ED" w14:textId="77777777" w:rsidR="00FF0D54" w:rsidRPr="009C5807" w:rsidRDefault="00FF0D54" w:rsidP="00566CFE">
            <w:pPr>
              <w:pStyle w:val="TAC"/>
              <w:rPr>
                <w:lang w:val="fr-FR"/>
              </w:rPr>
            </w:pPr>
            <w:r w:rsidRPr="009C5807">
              <w:rPr>
                <w:lang w:val="fr-FR" w:eastAsia="zh-CN"/>
              </w:rPr>
              <w:t>35.21</w:t>
            </w:r>
          </w:p>
        </w:tc>
      </w:tr>
    </w:tbl>
    <w:p w14:paraId="499C2313" w14:textId="61E8DAD8" w:rsidR="00877F17" w:rsidRPr="009C5807" w:rsidRDefault="00877F17" w:rsidP="00FE0CEE">
      <w:pPr>
        <w:pStyle w:val="Heading3"/>
        <w:rPr>
          <w:lang w:eastAsia="ko-KR"/>
        </w:rPr>
      </w:pPr>
      <w:r w:rsidRPr="009C5807">
        <w:rPr>
          <w:lang w:eastAsia="ko-KR"/>
        </w:rPr>
        <w:t>7.5.</w:t>
      </w:r>
      <w:r w:rsidRPr="009C5807">
        <w:rPr>
          <w:rFonts w:eastAsia="Malgun Gothic"/>
          <w:lang w:eastAsia="ko-KR"/>
        </w:rPr>
        <w:t>6</w:t>
      </w:r>
      <w:r w:rsidRPr="009C5807">
        <w:rPr>
          <w:lang w:eastAsia="ko-KR"/>
        </w:rPr>
        <w:tab/>
        <w:t xml:space="preserve">Minimum Requirements for inter-band NR </w:t>
      </w:r>
      <w:r w:rsidRPr="009C5807">
        <w:rPr>
          <w:rFonts w:eastAsia="Malgun Gothic"/>
          <w:lang w:eastAsia="ko-KR"/>
        </w:rPr>
        <w:t>DC</w:t>
      </w:r>
    </w:p>
    <w:p w14:paraId="078BC1E0" w14:textId="19BB36EB" w:rsidR="0041081A" w:rsidRPr="009C5807" w:rsidRDefault="0041081A" w:rsidP="0041081A">
      <w:pPr>
        <w:rPr>
          <w:rFonts w:eastAsia="Malgun Gothic" w:cs="v4.2.0"/>
          <w:lang w:eastAsia="zh-CN"/>
        </w:rPr>
      </w:pPr>
      <w:r w:rsidRPr="009C5807">
        <w:rPr>
          <w:rFonts w:cs="v4.2.0"/>
          <w:lang w:eastAsia="zh-CN"/>
        </w:rPr>
        <w:t>T</w:t>
      </w:r>
      <w:r w:rsidRPr="009C5807">
        <w:rPr>
          <w:rFonts w:cs="v4.2.0"/>
        </w:rPr>
        <w:t>he UE shall be capable of handling a maximum uplink transmission timing difference between PCell and PSCell as shown in Table 7.5.</w:t>
      </w:r>
      <w:r w:rsidRPr="009C5807">
        <w:rPr>
          <w:rFonts w:eastAsia="Malgun Gothic" w:cs="v4.2.0"/>
          <w:lang w:eastAsia="ko-KR"/>
        </w:rPr>
        <w:t>6</w:t>
      </w:r>
      <w:r w:rsidRPr="009C5807">
        <w:rPr>
          <w:rFonts w:cs="v4.2.0"/>
        </w:rPr>
        <w:t>-</w:t>
      </w:r>
      <w:r w:rsidRPr="009C5807">
        <w:rPr>
          <w:rFonts w:cs="v4.2.0"/>
          <w:lang w:eastAsia="zh-CN"/>
        </w:rPr>
        <w:t xml:space="preserve">1 </w:t>
      </w:r>
      <w:r w:rsidRPr="009C5807">
        <w:rPr>
          <w:rFonts w:cs="v4.2.0"/>
        </w:rPr>
        <w:t xml:space="preserve">provided that the UE indicates that it is capable of synchronous </w:t>
      </w:r>
      <w:r w:rsidRPr="009C5807">
        <w:rPr>
          <w:rFonts w:cs="v4.2.0"/>
          <w:lang w:eastAsia="zh-CN"/>
        </w:rPr>
        <w:t>NR DC only</w:t>
      </w:r>
      <w:r w:rsidRPr="009C5807">
        <w:rPr>
          <w:rFonts w:cs="v4.2.0"/>
        </w:rPr>
        <w:t xml:space="preserve"> [</w:t>
      </w:r>
      <w:r>
        <w:rPr>
          <w:rFonts w:cs="v4.2.0"/>
        </w:rPr>
        <w:t>14</w:t>
      </w:r>
      <w:r w:rsidRPr="009C5807">
        <w:rPr>
          <w:rFonts w:cs="v4.2.0"/>
        </w:rPr>
        <w:t>].</w:t>
      </w:r>
    </w:p>
    <w:p w14:paraId="2943DD48" w14:textId="77777777" w:rsidR="009F25EB" w:rsidRPr="009C5807" w:rsidRDefault="009F25EB" w:rsidP="009F25EB">
      <w:pPr>
        <w:pStyle w:val="TH"/>
      </w:pPr>
      <w:r w:rsidRPr="009C5807">
        <w:t>Table 7.</w:t>
      </w:r>
      <w:r w:rsidRPr="009C5807">
        <w:rPr>
          <w:rFonts w:eastAsia="Malgun Gothic"/>
          <w:lang w:eastAsia="zh-CN"/>
        </w:rPr>
        <w:t>5</w:t>
      </w:r>
      <w:r w:rsidRPr="009C5807">
        <w:t>.</w:t>
      </w:r>
      <w:r w:rsidRPr="009C5807">
        <w:rPr>
          <w:rFonts w:eastAsia="Malgun Gothic"/>
          <w:lang w:eastAsia="ko-KR"/>
        </w:rPr>
        <w:t>6</w:t>
      </w:r>
      <w:r w:rsidRPr="009C5807">
        <w:t>-</w:t>
      </w:r>
      <w:r w:rsidRPr="009C5807">
        <w:rPr>
          <w:rFonts w:eastAsia="Malgun Gothic"/>
          <w:lang w:eastAsia="zh-CN"/>
        </w:rPr>
        <w:t>1:</w:t>
      </w:r>
      <w:r w:rsidRPr="009C5807">
        <w:t xml:space="preserve"> Maximum </w:t>
      </w:r>
      <w:r w:rsidRPr="009C5807">
        <w:rPr>
          <w:rFonts w:hint="eastAsia"/>
          <w:lang w:eastAsia="ko-KR"/>
        </w:rPr>
        <w:t xml:space="preserve">uplink </w:t>
      </w:r>
      <w:r w:rsidRPr="009C5807">
        <w:rPr>
          <w:rFonts w:eastAsia="Malgun Gothic"/>
          <w:lang w:eastAsia="zh-CN"/>
        </w:rPr>
        <w:t>transmission</w:t>
      </w:r>
      <w:r w:rsidRPr="009C5807">
        <w:t xml:space="preserve"> timing difference requirement for inter-band synchronous </w:t>
      </w:r>
      <w:r w:rsidRPr="009C5807">
        <w:rPr>
          <w:rFonts w:hint="eastAsia"/>
          <w:lang w:eastAsia="ko-KR"/>
        </w:rPr>
        <w:t>NR 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126"/>
        <w:gridCol w:w="3003"/>
      </w:tblGrid>
      <w:tr w:rsidR="009F25EB" w:rsidRPr="009C5807" w14:paraId="2E93241B" w14:textId="77777777" w:rsidTr="00625412">
        <w:trPr>
          <w:jc w:val="center"/>
        </w:trPr>
        <w:tc>
          <w:tcPr>
            <w:tcW w:w="2251" w:type="dxa"/>
            <w:gridSpan w:val="2"/>
            <w:shd w:val="clear" w:color="auto" w:fill="auto"/>
          </w:tcPr>
          <w:p w14:paraId="2B8CE8E0" w14:textId="77777777" w:rsidR="009F25EB" w:rsidRPr="009C5807" w:rsidRDefault="009F25EB" w:rsidP="00625412">
            <w:pPr>
              <w:pStyle w:val="TAH"/>
              <w:rPr>
                <w:lang w:eastAsia="zh-CN"/>
              </w:rPr>
            </w:pPr>
            <w:r w:rsidRPr="009C5807">
              <w:rPr>
                <w:lang w:eastAsia="zh-CN"/>
              </w:rPr>
              <w:t>Frequency Range</w:t>
            </w:r>
          </w:p>
        </w:tc>
        <w:tc>
          <w:tcPr>
            <w:tcW w:w="3003" w:type="dxa"/>
            <w:tcBorders>
              <w:bottom w:val="nil"/>
            </w:tcBorders>
            <w:shd w:val="clear" w:color="auto" w:fill="auto"/>
          </w:tcPr>
          <w:p w14:paraId="57CEAB6C" w14:textId="77777777" w:rsidR="009F25EB" w:rsidRPr="009C5807" w:rsidRDefault="009F25EB" w:rsidP="00625412">
            <w:pPr>
              <w:pStyle w:val="TAH"/>
            </w:pPr>
            <w:r w:rsidRPr="009C5807">
              <w:t xml:space="preserve">Maximum uplink </w:t>
            </w:r>
            <w:r w:rsidRPr="009C5807">
              <w:rPr>
                <w:lang w:eastAsia="zh-CN"/>
              </w:rPr>
              <w:t>transmission</w:t>
            </w:r>
            <w:r w:rsidRPr="009C5807">
              <w:t xml:space="preserve"> timing difference (µs)</w:t>
            </w:r>
          </w:p>
        </w:tc>
      </w:tr>
      <w:tr w:rsidR="009F25EB" w:rsidRPr="009C5807" w14:paraId="502B14BA" w14:textId="77777777" w:rsidTr="00625412">
        <w:trPr>
          <w:jc w:val="center"/>
        </w:trPr>
        <w:tc>
          <w:tcPr>
            <w:tcW w:w="1125" w:type="dxa"/>
            <w:shd w:val="clear" w:color="auto" w:fill="auto"/>
          </w:tcPr>
          <w:p w14:paraId="5DDCD96D" w14:textId="77777777" w:rsidR="009F25EB" w:rsidRPr="009C5807" w:rsidRDefault="009F25EB" w:rsidP="00625412">
            <w:pPr>
              <w:pStyle w:val="TAH"/>
              <w:rPr>
                <w:lang w:eastAsia="zh-CN"/>
              </w:rPr>
            </w:pPr>
            <w:r w:rsidRPr="009C5807">
              <w:rPr>
                <w:lang w:eastAsia="zh-CN"/>
              </w:rPr>
              <w:t>Cell in MCG</w:t>
            </w:r>
          </w:p>
        </w:tc>
        <w:tc>
          <w:tcPr>
            <w:tcW w:w="1126" w:type="dxa"/>
            <w:shd w:val="clear" w:color="auto" w:fill="auto"/>
          </w:tcPr>
          <w:p w14:paraId="7C8E1E95" w14:textId="77777777" w:rsidR="009F25EB" w:rsidRPr="009C5807" w:rsidRDefault="009F25EB" w:rsidP="00625412">
            <w:pPr>
              <w:pStyle w:val="TAH"/>
              <w:rPr>
                <w:lang w:eastAsia="zh-CN"/>
              </w:rPr>
            </w:pPr>
            <w:r w:rsidRPr="009C5807">
              <w:rPr>
                <w:lang w:eastAsia="zh-CN"/>
              </w:rPr>
              <w:t>Cell in SCG</w:t>
            </w:r>
          </w:p>
        </w:tc>
        <w:tc>
          <w:tcPr>
            <w:tcW w:w="3003" w:type="dxa"/>
            <w:tcBorders>
              <w:top w:val="nil"/>
            </w:tcBorders>
            <w:shd w:val="clear" w:color="auto" w:fill="auto"/>
          </w:tcPr>
          <w:p w14:paraId="73384139" w14:textId="77777777" w:rsidR="009F25EB" w:rsidRPr="009C5807" w:rsidRDefault="009F25EB" w:rsidP="00625412">
            <w:pPr>
              <w:pStyle w:val="TAH"/>
              <w:rPr>
                <w:lang w:eastAsia="zh-CN"/>
              </w:rPr>
            </w:pPr>
          </w:p>
        </w:tc>
      </w:tr>
      <w:tr w:rsidR="009F25EB" w:rsidRPr="009C5807" w14:paraId="1CB394AA" w14:textId="77777777" w:rsidTr="00625412">
        <w:trPr>
          <w:jc w:val="center"/>
        </w:trPr>
        <w:tc>
          <w:tcPr>
            <w:tcW w:w="1125" w:type="dxa"/>
            <w:shd w:val="clear" w:color="auto" w:fill="auto"/>
          </w:tcPr>
          <w:p w14:paraId="1FC70880" w14:textId="77777777" w:rsidR="009F25EB" w:rsidRPr="009C5807" w:rsidRDefault="009F25EB" w:rsidP="00625412">
            <w:pPr>
              <w:pStyle w:val="TAC"/>
              <w:rPr>
                <w:lang w:eastAsia="zh-CN"/>
              </w:rPr>
            </w:pPr>
            <w:r w:rsidRPr="009C5807">
              <w:rPr>
                <w:lang w:eastAsia="zh-CN"/>
              </w:rPr>
              <w:t>FR1</w:t>
            </w:r>
          </w:p>
        </w:tc>
        <w:tc>
          <w:tcPr>
            <w:tcW w:w="1126" w:type="dxa"/>
            <w:shd w:val="clear" w:color="auto" w:fill="auto"/>
          </w:tcPr>
          <w:p w14:paraId="319DE3AD" w14:textId="77777777" w:rsidR="009F25EB" w:rsidRPr="009C5807" w:rsidRDefault="009F25EB" w:rsidP="00625412">
            <w:pPr>
              <w:pStyle w:val="TAC"/>
              <w:rPr>
                <w:lang w:eastAsia="zh-CN"/>
              </w:rPr>
            </w:pPr>
            <w:r w:rsidRPr="009C5807">
              <w:rPr>
                <w:lang w:eastAsia="zh-CN"/>
              </w:rPr>
              <w:t>FR1</w:t>
            </w:r>
          </w:p>
        </w:tc>
        <w:tc>
          <w:tcPr>
            <w:tcW w:w="3003" w:type="dxa"/>
            <w:shd w:val="clear" w:color="auto" w:fill="auto"/>
          </w:tcPr>
          <w:p w14:paraId="11344123" w14:textId="77777777" w:rsidR="009F25EB" w:rsidRPr="009C5807" w:rsidRDefault="009F25EB" w:rsidP="00625412">
            <w:pPr>
              <w:pStyle w:val="TAC"/>
              <w:rPr>
                <w:lang w:eastAsia="zh-CN"/>
              </w:rPr>
            </w:pPr>
            <w:r w:rsidRPr="009C5807">
              <w:rPr>
                <w:lang w:eastAsia="zh-CN"/>
              </w:rPr>
              <w:t>34.6</w:t>
            </w:r>
          </w:p>
        </w:tc>
      </w:tr>
      <w:tr w:rsidR="009F25EB" w:rsidRPr="009C5807" w14:paraId="480656A3" w14:textId="77777777" w:rsidTr="00625412">
        <w:trPr>
          <w:trHeight w:val="70"/>
          <w:jc w:val="center"/>
        </w:trPr>
        <w:tc>
          <w:tcPr>
            <w:tcW w:w="1125" w:type="dxa"/>
            <w:shd w:val="clear" w:color="auto" w:fill="auto"/>
          </w:tcPr>
          <w:p w14:paraId="305AF308" w14:textId="77777777" w:rsidR="009F25EB" w:rsidRPr="009C5807" w:rsidRDefault="009F25EB" w:rsidP="00625412">
            <w:pPr>
              <w:pStyle w:val="TAC"/>
              <w:rPr>
                <w:lang w:eastAsia="zh-CN"/>
              </w:rPr>
            </w:pPr>
            <w:r w:rsidRPr="00415158">
              <w:rPr>
                <w:rFonts w:eastAsiaTheme="minorEastAsia"/>
                <w:lang w:eastAsia="zh-CN"/>
              </w:rPr>
              <w:t>FR2-1</w:t>
            </w:r>
          </w:p>
        </w:tc>
        <w:tc>
          <w:tcPr>
            <w:tcW w:w="1126" w:type="dxa"/>
            <w:shd w:val="clear" w:color="auto" w:fill="auto"/>
          </w:tcPr>
          <w:p w14:paraId="2C2A595E" w14:textId="77777777" w:rsidR="009F25EB" w:rsidRPr="009C5807" w:rsidRDefault="009F25EB" w:rsidP="00625412">
            <w:pPr>
              <w:pStyle w:val="TAC"/>
              <w:rPr>
                <w:lang w:eastAsia="zh-CN"/>
              </w:rPr>
            </w:pPr>
            <w:r w:rsidRPr="00415158">
              <w:rPr>
                <w:rFonts w:eastAsiaTheme="minorEastAsia"/>
                <w:lang w:eastAsia="zh-CN"/>
              </w:rPr>
              <w:t>FR2-1</w:t>
            </w:r>
          </w:p>
        </w:tc>
        <w:tc>
          <w:tcPr>
            <w:tcW w:w="3003" w:type="dxa"/>
            <w:shd w:val="clear" w:color="auto" w:fill="auto"/>
          </w:tcPr>
          <w:p w14:paraId="6FB32E5B" w14:textId="77777777" w:rsidR="009F25EB" w:rsidRPr="009C5807" w:rsidRDefault="009F25EB" w:rsidP="00625412">
            <w:pPr>
              <w:pStyle w:val="TAC"/>
              <w:rPr>
                <w:lang w:eastAsia="zh-CN"/>
              </w:rPr>
            </w:pPr>
            <w:r w:rsidRPr="00415158">
              <w:rPr>
                <w:rFonts w:eastAsiaTheme="minorEastAsia"/>
                <w:lang w:eastAsia="zh-CN"/>
              </w:rPr>
              <w:t>8.5</w:t>
            </w:r>
          </w:p>
        </w:tc>
      </w:tr>
      <w:tr w:rsidR="009F25EB" w:rsidRPr="009C5807" w14:paraId="254FB17C" w14:textId="77777777" w:rsidTr="00625412">
        <w:trPr>
          <w:jc w:val="center"/>
        </w:trPr>
        <w:tc>
          <w:tcPr>
            <w:tcW w:w="1125" w:type="dxa"/>
            <w:shd w:val="clear" w:color="auto" w:fill="auto"/>
          </w:tcPr>
          <w:p w14:paraId="3636958A" w14:textId="77777777" w:rsidR="009F25EB" w:rsidRPr="009C5807" w:rsidRDefault="009F25EB" w:rsidP="00625412">
            <w:pPr>
              <w:pStyle w:val="TAC"/>
              <w:rPr>
                <w:lang w:eastAsia="zh-CN"/>
              </w:rPr>
            </w:pPr>
            <w:r w:rsidRPr="00415158">
              <w:rPr>
                <w:rFonts w:eastAsiaTheme="minorEastAsia"/>
                <w:lang w:eastAsia="zh-CN"/>
              </w:rPr>
              <w:t>FR1</w:t>
            </w:r>
          </w:p>
        </w:tc>
        <w:tc>
          <w:tcPr>
            <w:tcW w:w="1126" w:type="dxa"/>
            <w:shd w:val="clear" w:color="auto" w:fill="auto"/>
          </w:tcPr>
          <w:p w14:paraId="67139F4E" w14:textId="77777777" w:rsidR="009F25EB" w:rsidRPr="009C5807" w:rsidRDefault="009F25EB" w:rsidP="00625412">
            <w:pPr>
              <w:pStyle w:val="TAC"/>
              <w:rPr>
                <w:lang w:eastAsia="zh-CN"/>
              </w:rPr>
            </w:pPr>
            <w:r w:rsidRPr="00415158">
              <w:rPr>
                <w:rFonts w:eastAsiaTheme="minorEastAsia"/>
                <w:lang w:eastAsia="zh-CN"/>
              </w:rPr>
              <w:t>FR2-1</w:t>
            </w:r>
          </w:p>
        </w:tc>
        <w:tc>
          <w:tcPr>
            <w:tcW w:w="3003" w:type="dxa"/>
            <w:shd w:val="clear" w:color="auto" w:fill="auto"/>
          </w:tcPr>
          <w:p w14:paraId="76D35ACF" w14:textId="77777777" w:rsidR="009F25EB" w:rsidRPr="009C5807" w:rsidRDefault="009F25EB" w:rsidP="00625412">
            <w:pPr>
              <w:pStyle w:val="TAC"/>
              <w:rPr>
                <w:lang w:eastAsia="zh-CN"/>
              </w:rPr>
            </w:pPr>
            <w:r w:rsidRPr="00415158">
              <w:rPr>
                <w:rFonts w:eastAsiaTheme="minorEastAsia"/>
                <w:lang w:eastAsia="zh-CN"/>
              </w:rPr>
              <w:t>34.1</w:t>
            </w:r>
          </w:p>
        </w:tc>
      </w:tr>
      <w:tr w:rsidR="009F25EB" w:rsidRPr="009C5807" w14:paraId="65F6C460" w14:textId="77777777" w:rsidTr="00625412">
        <w:trPr>
          <w:jc w:val="center"/>
        </w:trPr>
        <w:tc>
          <w:tcPr>
            <w:tcW w:w="1125" w:type="dxa"/>
            <w:shd w:val="clear" w:color="auto" w:fill="auto"/>
          </w:tcPr>
          <w:p w14:paraId="7D58A64E" w14:textId="77777777" w:rsidR="009F25EB" w:rsidRPr="009C5807" w:rsidRDefault="009F25EB" w:rsidP="00625412">
            <w:pPr>
              <w:pStyle w:val="TAC"/>
              <w:rPr>
                <w:lang w:eastAsia="zh-CN"/>
              </w:rPr>
            </w:pPr>
            <w:r w:rsidRPr="00415158">
              <w:rPr>
                <w:rFonts w:eastAsiaTheme="minorEastAsia"/>
                <w:lang w:eastAsia="zh-CN"/>
              </w:rPr>
              <w:t>FR1</w:t>
            </w:r>
          </w:p>
        </w:tc>
        <w:tc>
          <w:tcPr>
            <w:tcW w:w="1126" w:type="dxa"/>
            <w:shd w:val="clear" w:color="auto" w:fill="auto"/>
          </w:tcPr>
          <w:p w14:paraId="4CF0EA62" w14:textId="77777777" w:rsidR="009F25EB" w:rsidRPr="009C5807" w:rsidRDefault="009F25EB" w:rsidP="00625412">
            <w:pPr>
              <w:pStyle w:val="TAC"/>
              <w:rPr>
                <w:lang w:eastAsia="zh-CN"/>
              </w:rPr>
            </w:pPr>
            <w:r w:rsidRPr="00415158">
              <w:rPr>
                <w:rFonts w:eastAsiaTheme="minorEastAsia"/>
                <w:lang w:eastAsia="zh-CN"/>
              </w:rPr>
              <w:t>FR2-2</w:t>
            </w:r>
          </w:p>
        </w:tc>
        <w:tc>
          <w:tcPr>
            <w:tcW w:w="3003" w:type="dxa"/>
            <w:shd w:val="clear" w:color="auto" w:fill="auto"/>
          </w:tcPr>
          <w:p w14:paraId="515C88BE" w14:textId="0FC9822D" w:rsidR="009F25EB" w:rsidRPr="009C5807" w:rsidRDefault="009F25EB" w:rsidP="00625412">
            <w:pPr>
              <w:pStyle w:val="TAC"/>
              <w:rPr>
                <w:lang w:eastAsia="zh-CN"/>
              </w:rPr>
            </w:pPr>
            <w:r>
              <w:rPr>
                <w:rFonts w:eastAsiaTheme="minorEastAsia"/>
                <w:lang w:eastAsia="zh-CN"/>
              </w:rPr>
              <w:t>34.1</w:t>
            </w:r>
          </w:p>
        </w:tc>
      </w:tr>
    </w:tbl>
    <w:p w14:paraId="46D89188" w14:textId="77777777" w:rsidR="009F25EB" w:rsidRPr="009C5807" w:rsidRDefault="009F25EB" w:rsidP="009F25EB"/>
    <w:p w14:paraId="1CA1BC1B" w14:textId="3E36A0E6" w:rsidR="0041081A" w:rsidRPr="009C5807" w:rsidRDefault="0041081A" w:rsidP="0041081A">
      <w:pPr>
        <w:rPr>
          <w:rFonts w:cs="v4.2.0"/>
          <w:lang w:eastAsia="zh-CN"/>
        </w:rPr>
      </w:pPr>
      <w:r w:rsidRPr="009C5807">
        <w:rPr>
          <w:rFonts w:eastAsia="Malgun Gothic" w:cs="v4.2.0"/>
        </w:rPr>
        <w:t>The</w:t>
      </w:r>
      <w:r w:rsidRPr="009C5807">
        <w:rPr>
          <w:rFonts w:cs="v4.2.0"/>
        </w:rPr>
        <w:t xml:space="preserve"> UE shall be capable of handling a maximum uplink transmission timing difference between PCell and PSCell as shown in Table 7.5.6-2 provided that the UE indicates that it is capable of asynchronous </w:t>
      </w:r>
      <w:r w:rsidRPr="009C5807">
        <w:rPr>
          <w:rFonts w:cs="v4.2.0"/>
          <w:lang w:eastAsia="zh-CN"/>
        </w:rPr>
        <w:t>NR DC</w:t>
      </w:r>
      <w:r w:rsidRPr="009C5807">
        <w:rPr>
          <w:rFonts w:cs="v4.2.0"/>
        </w:rPr>
        <w:t xml:space="preserve"> [</w:t>
      </w:r>
      <w:r>
        <w:rPr>
          <w:rFonts w:cs="v4.2.0"/>
        </w:rPr>
        <w:t>14</w:t>
      </w:r>
      <w:r w:rsidRPr="009C5807">
        <w:rPr>
          <w:rFonts w:cs="v4.2.0"/>
        </w:rPr>
        <w:t>].</w:t>
      </w:r>
    </w:p>
    <w:p w14:paraId="6D3F5A94" w14:textId="77777777" w:rsidR="001A185F" w:rsidRPr="009C5807" w:rsidRDefault="001A185F" w:rsidP="0057627A">
      <w:pPr>
        <w:pStyle w:val="TH"/>
        <w:rPr>
          <w:snapToGrid w:val="0"/>
        </w:rPr>
      </w:pPr>
      <w:r w:rsidRPr="009C5807">
        <w:rPr>
          <w:snapToGrid w:val="0"/>
        </w:rPr>
        <w:t xml:space="preserve">Table 7.5.6-2 </w:t>
      </w:r>
      <w:r w:rsidRPr="009C5807">
        <w:t xml:space="preserve">Maximum </w:t>
      </w:r>
      <w:r w:rsidRPr="009C5807">
        <w:rPr>
          <w:rFonts w:hint="eastAsia"/>
          <w:lang w:eastAsia="ko-KR"/>
        </w:rPr>
        <w:t xml:space="preserve">uplink </w:t>
      </w:r>
      <w:r w:rsidRPr="009C5807">
        <w:rPr>
          <w:rFonts w:eastAsia="Malgun Gothic"/>
          <w:lang w:eastAsia="zh-CN"/>
        </w:rPr>
        <w:t>transmission</w:t>
      </w:r>
      <w:r w:rsidRPr="009C5807">
        <w:t xml:space="preserve"> timing difference requirement for inter-band asynchronous </w:t>
      </w:r>
      <w:r w:rsidRPr="009C5807">
        <w:rPr>
          <w:rFonts w:hint="eastAsia"/>
          <w:lang w:eastAsia="ko-KR"/>
        </w:rPr>
        <w:t>NR 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126"/>
      </w:tblGrid>
      <w:tr w:rsidR="001A185F" w:rsidRPr="009C5807" w14:paraId="39FFE27E" w14:textId="77777777" w:rsidTr="00AD1C20">
        <w:trPr>
          <w:jc w:val="center"/>
        </w:trPr>
        <w:tc>
          <w:tcPr>
            <w:tcW w:w="2762" w:type="dxa"/>
            <w:shd w:val="clear" w:color="auto" w:fill="auto"/>
          </w:tcPr>
          <w:p w14:paraId="3282C5D2" w14:textId="77777777" w:rsidR="001A185F" w:rsidRPr="009C5807" w:rsidRDefault="001A185F" w:rsidP="00AD1C20">
            <w:pPr>
              <w:pStyle w:val="TAH"/>
            </w:pPr>
            <w:r w:rsidRPr="009C5807">
              <w:t xml:space="preserve">Max {Sub-carrier spacing in PCell (kHz), Sub-carrier spacing in PSCell (kHz)} </w:t>
            </w:r>
          </w:p>
        </w:tc>
        <w:tc>
          <w:tcPr>
            <w:tcW w:w="2126" w:type="dxa"/>
            <w:shd w:val="clear" w:color="auto" w:fill="auto"/>
          </w:tcPr>
          <w:p w14:paraId="5DEBCC0C" w14:textId="77777777" w:rsidR="001A185F" w:rsidRPr="009C5807" w:rsidRDefault="001A185F" w:rsidP="00AD1C20">
            <w:pPr>
              <w:pStyle w:val="TAH"/>
            </w:pPr>
            <w:r w:rsidRPr="009C5807">
              <w:t>Maximum uplink transmission timing difference (µs)</w:t>
            </w:r>
          </w:p>
        </w:tc>
      </w:tr>
      <w:tr w:rsidR="001A185F" w:rsidRPr="009C5807" w14:paraId="4967E5FD" w14:textId="77777777" w:rsidTr="00AD1C20">
        <w:trPr>
          <w:jc w:val="center"/>
        </w:trPr>
        <w:tc>
          <w:tcPr>
            <w:tcW w:w="2762" w:type="dxa"/>
            <w:shd w:val="clear" w:color="auto" w:fill="auto"/>
          </w:tcPr>
          <w:p w14:paraId="28A0D876" w14:textId="77777777" w:rsidR="001A185F" w:rsidRPr="009C5807" w:rsidRDefault="001A185F" w:rsidP="00AD1C20">
            <w:pPr>
              <w:pStyle w:val="TAC"/>
            </w:pPr>
            <w:r w:rsidRPr="009C5807">
              <w:t>15</w:t>
            </w:r>
          </w:p>
        </w:tc>
        <w:tc>
          <w:tcPr>
            <w:tcW w:w="2126" w:type="dxa"/>
            <w:shd w:val="clear" w:color="auto" w:fill="auto"/>
          </w:tcPr>
          <w:p w14:paraId="3D9CF4CB" w14:textId="77777777" w:rsidR="001A185F" w:rsidRPr="009C5807" w:rsidRDefault="001A185F" w:rsidP="00AD1C20">
            <w:pPr>
              <w:pStyle w:val="TAC"/>
            </w:pPr>
            <w:r w:rsidRPr="009C5807">
              <w:t>500</w:t>
            </w:r>
          </w:p>
        </w:tc>
      </w:tr>
      <w:tr w:rsidR="001A185F" w:rsidRPr="009C5807" w14:paraId="6404F1CC" w14:textId="77777777" w:rsidTr="00AD1C20">
        <w:trPr>
          <w:jc w:val="center"/>
        </w:trPr>
        <w:tc>
          <w:tcPr>
            <w:tcW w:w="2762" w:type="dxa"/>
            <w:shd w:val="clear" w:color="auto" w:fill="auto"/>
          </w:tcPr>
          <w:p w14:paraId="31EEF75F" w14:textId="77777777" w:rsidR="001A185F" w:rsidRPr="009C5807" w:rsidRDefault="001A185F" w:rsidP="00AD1C20">
            <w:pPr>
              <w:pStyle w:val="TAC"/>
            </w:pPr>
            <w:r w:rsidRPr="009C5807">
              <w:t>30</w:t>
            </w:r>
          </w:p>
        </w:tc>
        <w:tc>
          <w:tcPr>
            <w:tcW w:w="2126" w:type="dxa"/>
            <w:shd w:val="clear" w:color="auto" w:fill="auto"/>
          </w:tcPr>
          <w:p w14:paraId="3794D6E5" w14:textId="77777777" w:rsidR="001A185F" w:rsidRPr="009C5807" w:rsidRDefault="001A185F" w:rsidP="00AD1C20">
            <w:pPr>
              <w:pStyle w:val="TAC"/>
            </w:pPr>
            <w:r w:rsidRPr="009C5807">
              <w:t>250</w:t>
            </w:r>
          </w:p>
        </w:tc>
      </w:tr>
      <w:tr w:rsidR="001A185F" w:rsidRPr="009C5807" w14:paraId="13CCB07C" w14:textId="77777777" w:rsidTr="00AD1C20">
        <w:trPr>
          <w:jc w:val="center"/>
        </w:trPr>
        <w:tc>
          <w:tcPr>
            <w:tcW w:w="2762" w:type="dxa"/>
            <w:shd w:val="clear" w:color="auto" w:fill="auto"/>
          </w:tcPr>
          <w:p w14:paraId="2CBCFA73" w14:textId="77777777" w:rsidR="001A185F" w:rsidRPr="009C5807" w:rsidRDefault="001A185F" w:rsidP="00AD1C20">
            <w:pPr>
              <w:pStyle w:val="TAC"/>
            </w:pPr>
            <w:r w:rsidRPr="009C5807">
              <w:t>60</w:t>
            </w:r>
          </w:p>
        </w:tc>
        <w:tc>
          <w:tcPr>
            <w:tcW w:w="2126" w:type="dxa"/>
            <w:shd w:val="clear" w:color="auto" w:fill="auto"/>
          </w:tcPr>
          <w:p w14:paraId="68E0D15C" w14:textId="77777777" w:rsidR="001A185F" w:rsidRPr="009C5807" w:rsidRDefault="001A185F" w:rsidP="00AD1C20">
            <w:pPr>
              <w:pStyle w:val="TAC"/>
            </w:pPr>
            <w:r w:rsidRPr="009C5807">
              <w:t>125</w:t>
            </w:r>
          </w:p>
        </w:tc>
      </w:tr>
      <w:tr w:rsidR="0041081A" w:rsidRPr="009C5807" w14:paraId="0531BC1C" w14:textId="77777777" w:rsidTr="00AD1C20">
        <w:trPr>
          <w:jc w:val="center"/>
        </w:trPr>
        <w:tc>
          <w:tcPr>
            <w:tcW w:w="2762" w:type="dxa"/>
            <w:shd w:val="clear" w:color="auto" w:fill="auto"/>
          </w:tcPr>
          <w:p w14:paraId="0CF6E48C" w14:textId="1C1FD55A" w:rsidR="0041081A" w:rsidRPr="009C5807" w:rsidRDefault="0041081A" w:rsidP="0041081A">
            <w:pPr>
              <w:pStyle w:val="TAC"/>
            </w:pPr>
            <w:r>
              <w:t>120</w:t>
            </w:r>
          </w:p>
        </w:tc>
        <w:tc>
          <w:tcPr>
            <w:tcW w:w="2126" w:type="dxa"/>
            <w:shd w:val="clear" w:color="auto" w:fill="auto"/>
          </w:tcPr>
          <w:p w14:paraId="76AA7AB0" w14:textId="0C488DE1" w:rsidR="0041081A" w:rsidRPr="009C5807" w:rsidRDefault="0041081A" w:rsidP="0041081A">
            <w:pPr>
              <w:pStyle w:val="TAC"/>
            </w:pPr>
            <w:r>
              <w:t>62.5</w:t>
            </w:r>
          </w:p>
        </w:tc>
      </w:tr>
      <w:tr w:rsidR="00FF6E5B" w:rsidRPr="009C5807" w14:paraId="314FD7FB" w14:textId="77777777" w:rsidTr="00AD1C20">
        <w:trPr>
          <w:jc w:val="center"/>
        </w:trPr>
        <w:tc>
          <w:tcPr>
            <w:tcW w:w="2762" w:type="dxa"/>
            <w:shd w:val="clear" w:color="auto" w:fill="auto"/>
          </w:tcPr>
          <w:p w14:paraId="63FAF3EB" w14:textId="6076879B" w:rsidR="00FF6E5B" w:rsidRDefault="00FF6E5B" w:rsidP="00FF6E5B">
            <w:pPr>
              <w:pStyle w:val="TAC"/>
            </w:pPr>
            <w:r w:rsidRPr="00415158">
              <w:rPr>
                <w:rFonts w:eastAsiaTheme="minorEastAsia" w:hint="eastAsia"/>
              </w:rPr>
              <w:t>4</w:t>
            </w:r>
            <w:r w:rsidRPr="00415158">
              <w:rPr>
                <w:rFonts w:eastAsiaTheme="minorEastAsia"/>
              </w:rPr>
              <w:t>80</w:t>
            </w:r>
          </w:p>
        </w:tc>
        <w:tc>
          <w:tcPr>
            <w:tcW w:w="2126" w:type="dxa"/>
            <w:shd w:val="clear" w:color="auto" w:fill="auto"/>
          </w:tcPr>
          <w:p w14:paraId="2D6C5D9B" w14:textId="3E3D3900" w:rsidR="00FF6E5B" w:rsidRDefault="00FF6E5B" w:rsidP="00FF6E5B">
            <w:pPr>
              <w:pStyle w:val="TAC"/>
            </w:pPr>
            <w:r w:rsidRPr="00415158">
              <w:rPr>
                <w:rFonts w:eastAsiaTheme="minorEastAsia" w:hint="eastAsia"/>
              </w:rPr>
              <w:t>1</w:t>
            </w:r>
            <w:r w:rsidRPr="00415158">
              <w:rPr>
                <w:rFonts w:eastAsiaTheme="minorEastAsia"/>
              </w:rPr>
              <w:t>5.625</w:t>
            </w:r>
          </w:p>
        </w:tc>
      </w:tr>
      <w:tr w:rsidR="00FF6E5B" w:rsidRPr="009C5807" w14:paraId="1CF790A4" w14:textId="77777777" w:rsidTr="00AD1C20">
        <w:trPr>
          <w:jc w:val="center"/>
        </w:trPr>
        <w:tc>
          <w:tcPr>
            <w:tcW w:w="2762" w:type="dxa"/>
            <w:shd w:val="clear" w:color="auto" w:fill="auto"/>
          </w:tcPr>
          <w:p w14:paraId="5C429F5A" w14:textId="4DC079DC" w:rsidR="00FF6E5B" w:rsidRDefault="00FF6E5B" w:rsidP="00FF6E5B">
            <w:pPr>
              <w:pStyle w:val="TAC"/>
            </w:pPr>
            <w:r w:rsidRPr="00415158">
              <w:rPr>
                <w:rFonts w:eastAsiaTheme="minorEastAsia" w:hint="eastAsia"/>
              </w:rPr>
              <w:t>9</w:t>
            </w:r>
            <w:r w:rsidRPr="00415158">
              <w:rPr>
                <w:rFonts w:eastAsiaTheme="minorEastAsia"/>
              </w:rPr>
              <w:t>60</w:t>
            </w:r>
          </w:p>
        </w:tc>
        <w:tc>
          <w:tcPr>
            <w:tcW w:w="2126" w:type="dxa"/>
            <w:shd w:val="clear" w:color="auto" w:fill="auto"/>
          </w:tcPr>
          <w:p w14:paraId="02E81844" w14:textId="6C0FC3FC" w:rsidR="00FF6E5B" w:rsidRDefault="00FF6E5B" w:rsidP="00FF6E5B">
            <w:pPr>
              <w:pStyle w:val="TAC"/>
            </w:pPr>
            <w:r w:rsidRPr="00415158">
              <w:rPr>
                <w:rFonts w:eastAsiaTheme="minorEastAsia" w:hint="eastAsia"/>
              </w:rPr>
              <w:t>7</w:t>
            </w:r>
            <w:r w:rsidRPr="00415158">
              <w:rPr>
                <w:rFonts w:eastAsiaTheme="minorEastAsia"/>
              </w:rPr>
              <w:t>.8125</w:t>
            </w:r>
          </w:p>
        </w:tc>
      </w:tr>
    </w:tbl>
    <w:p w14:paraId="25A54231" w14:textId="77777777" w:rsidR="00877F17" w:rsidRPr="009C5807" w:rsidRDefault="00877F17" w:rsidP="00877F17">
      <w:pPr>
        <w:rPr>
          <w:rFonts w:eastAsia="Malgun Gothic"/>
          <w:lang w:eastAsia="ko-KR"/>
        </w:rPr>
      </w:pPr>
    </w:p>
    <w:p w14:paraId="4FE91BC1" w14:textId="77777777" w:rsidR="00877F17" w:rsidRPr="009C5807" w:rsidRDefault="00877F17" w:rsidP="00877F17">
      <w:pPr>
        <w:pStyle w:val="Heading2"/>
        <w:rPr>
          <w:lang w:eastAsia="ko-KR"/>
        </w:rPr>
      </w:pPr>
      <w:r w:rsidRPr="009C5807">
        <w:rPr>
          <w:lang w:eastAsia="ko-KR"/>
        </w:rPr>
        <w:t>7.6</w:t>
      </w:r>
      <w:r w:rsidRPr="009C5807">
        <w:rPr>
          <w:lang w:eastAsia="ko-KR"/>
        </w:rPr>
        <w:tab/>
        <w:t>Maximum Receive Timing Difference</w:t>
      </w:r>
    </w:p>
    <w:p w14:paraId="3CDA9FAB" w14:textId="77777777" w:rsidR="00877F17" w:rsidRPr="009C5807" w:rsidRDefault="00877F17" w:rsidP="00877F17">
      <w:pPr>
        <w:pStyle w:val="Heading3"/>
        <w:rPr>
          <w:lang w:eastAsia="ko-KR"/>
        </w:rPr>
      </w:pPr>
      <w:r w:rsidRPr="009C5807">
        <w:rPr>
          <w:lang w:eastAsia="ko-KR"/>
        </w:rPr>
        <w:t>7.6.1</w:t>
      </w:r>
      <w:r w:rsidRPr="009C5807">
        <w:rPr>
          <w:lang w:eastAsia="ko-KR"/>
        </w:rPr>
        <w:tab/>
        <w:t>Introduction</w:t>
      </w:r>
    </w:p>
    <w:p w14:paraId="47C7C7CB" w14:textId="77777777" w:rsidR="009F25EB" w:rsidRPr="009C5807" w:rsidRDefault="009F25EB" w:rsidP="009F25EB">
      <w:r w:rsidRPr="009C5807">
        <w:t xml:space="preserve">A UE shall be capable of handling a relative receive timing difference between subframe timing boundary of </w:t>
      </w:r>
      <w:r w:rsidRPr="009C5807">
        <w:rPr>
          <w:lang w:val="en-US" w:eastAsia="zh-CN"/>
        </w:rPr>
        <w:t xml:space="preserve">an </w:t>
      </w:r>
      <w:r w:rsidRPr="009C5807">
        <w:t xml:space="preserve">E-UTRA cell belonging to the MCG and the closest slot timing </w:t>
      </w:r>
      <w:r w:rsidRPr="009C5807">
        <w:rPr>
          <w:lang w:eastAsia="zh-CN"/>
        </w:rPr>
        <w:t>boundary</w:t>
      </w:r>
      <w:r w:rsidRPr="009C5807">
        <w:t xml:space="preserve"> of a cell belonging to SCG to be aggregated for</w:t>
      </w:r>
      <w:r w:rsidRPr="009C5807">
        <w:rPr>
          <w:rFonts w:eastAsia="Malgun Gothic"/>
        </w:rPr>
        <w:t xml:space="preserve"> EN-DC operation</w:t>
      </w:r>
      <w:r w:rsidRPr="009C5807">
        <w:t>.</w:t>
      </w:r>
    </w:p>
    <w:p w14:paraId="56489A1A" w14:textId="77777777" w:rsidR="009F25EB" w:rsidRPr="009C5807" w:rsidRDefault="009F25EB" w:rsidP="009F25EB">
      <w:r w:rsidRPr="009C5807">
        <w:t xml:space="preserve">A UE shall be capable of handling a relative receive timing difference between subframe timing boundary of </w:t>
      </w:r>
      <w:r w:rsidRPr="009C5807">
        <w:rPr>
          <w:lang w:val="en-US" w:eastAsia="zh-CN"/>
        </w:rPr>
        <w:t xml:space="preserve">an </w:t>
      </w:r>
      <w:r w:rsidRPr="009C5807">
        <w:t>E-UTRA cell belonging to the SCG to be aggregated for</w:t>
      </w:r>
      <w:r w:rsidRPr="009C5807">
        <w:rPr>
          <w:rFonts w:eastAsia="Malgun Gothic"/>
        </w:rPr>
        <w:t xml:space="preserve"> NE-DC operation</w:t>
      </w:r>
      <w:r w:rsidRPr="009C5807">
        <w:t xml:space="preserve"> and the closest slot timing </w:t>
      </w:r>
      <w:r w:rsidRPr="009C5807">
        <w:rPr>
          <w:lang w:eastAsia="zh-CN"/>
        </w:rPr>
        <w:t>boundary</w:t>
      </w:r>
      <w:r w:rsidRPr="009C5807">
        <w:t xml:space="preserve"> of a cell belonging to MCG.</w:t>
      </w:r>
    </w:p>
    <w:p w14:paraId="3A4CABBE" w14:textId="77777777" w:rsidR="009F25EB" w:rsidRDefault="009F25EB" w:rsidP="009F25EB">
      <w:r w:rsidRPr="00D530F2">
        <w:t xml:space="preserve">A UE shall be capable of handling a relative receive timing difference between slot timing </w:t>
      </w:r>
      <w:r w:rsidRPr="00D530F2">
        <w:rPr>
          <w:lang w:eastAsia="zh-CN"/>
        </w:rPr>
        <w:t>boundary</w:t>
      </w:r>
      <w:r w:rsidRPr="00D530F2">
        <w:t xml:space="preserve"> of a cell belonging to MCG </w:t>
      </w:r>
      <w:r>
        <w:t xml:space="preserve">in FR1 or FR2-1 </w:t>
      </w:r>
      <w:r w:rsidRPr="00D530F2">
        <w:t xml:space="preserve">and the closest slot timing boundary of </w:t>
      </w:r>
      <w:r w:rsidRPr="00D530F2">
        <w:rPr>
          <w:lang w:val="en-US" w:eastAsia="zh-CN"/>
        </w:rPr>
        <w:t xml:space="preserve">a </w:t>
      </w:r>
      <w:r w:rsidRPr="00D530F2">
        <w:t xml:space="preserve">cell belonging to the SCG </w:t>
      </w:r>
      <w:r>
        <w:t xml:space="preserve">FR1 or FR2-1 </w:t>
      </w:r>
      <w:r w:rsidRPr="00D530F2">
        <w:t>to be aggregated for</w:t>
      </w:r>
      <w:r w:rsidRPr="00D530F2">
        <w:rPr>
          <w:rFonts w:eastAsia="Malgun Gothic"/>
        </w:rPr>
        <w:t xml:space="preserve"> NR DC operation</w:t>
      </w:r>
      <w:r w:rsidRPr="00D530F2">
        <w:t xml:space="preserve">. </w:t>
      </w:r>
    </w:p>
    <w:p w14:paraId="2A6558C3" w14:textId="4093C201" w:rsidR="009F25EB" w:rsidRDefault="009F25EB" w:rsidP="009F25EB">
      <w:r w:rsidRPr="00D530F2">
        <w:t xml:space="preserve">A UE shall be capable of handling a relative receive timing difference between </w:t>
      </w:r>
      <w:r>
        <w:t>subframe</w:t>
      </w:r>
      <w:r w:rsidRPr="00D530F2">
        <w:t xml:space="preserve"> timing </w:t>
      </w:r>
      <w:r w:rsidRPr="00D530F2">
        <w:rPr>
          <w:lang w:eastAsia="zh-CN"/>
        </w:rPr>
        <w:t>boundary</w:t>
      </w:r>
      <w:r w:rsidRPr="00D530F2">
        <w:t xml:space="preserve"> of a cell belonging to MCG</w:t>
      </w:r>
      <w:r>
        <w:t xml:space="preserve"> in FR1</w:t>
      </w:r>
      <w:r w:rsidRPr="00D530F2">
        <w:t xml:space="preserve"> and the closest </w:t>
      </w:r>
      <w:r>
        <w:rPr>
          <w:rFonts w:cs="v4.2.0"/>
        </w:rPr>
        <w:t>subframe</w:t>
      </w:r>
      <w:r w:rsidRPr="00D530F2" w:rsidDel="006151A8">
        <w:t xml:space="preserve"> </w:t>
      </w:r>
      <w:r w:rsidRPr="00D530F2">
        <w:t xml:space="preserve">timing boundary of </w:t>
      </w:r>
      <w:r w:rsidRPr="00D530F2">
        <w:rPr>
          <w:lang w:val="en-US" w:eastAsia="zh-CN"/>
        </w:rPr>
        <w:t xml:space="preserve">a </w:t>
      </w:r>
      <w:r w:rsidRPr="00D530F2">
        <w:t>cell belonging to the SCG</w:t>
      </w:r>
      <w:r>
        <w:t xml:space="preserve"> in FR2-2</w:t>
      </w:r>
      <w:r w:rsidRPr="00D530F2">
        <w:t xml:space="preserve"> to be aggregated for</w:t>
      </w:r>
      <w:r w:rsidRPr="00D530F2">
        <w:rPr>
          <w:rFonts w:eastAsia="Malgun Gothic"/>
        </w:rPr>
        <w:t xml:space="preserve"> NR DC operation</w:t>
      </w:r>
      <w:r w:rsidRPr="00D530F2">
        <w:t xml:space="preserve">. </w:t>
      </w:r>
    </w:p>
    <w:p w14:paraId="0D0B0849" w14:textId="77777777" w:rsidR="009F25EB" w:rsidRDefault="009F25EB" w:rsidP="009F25EB">
      <w:r w:rsidRPr="00D530F2">
        <w:t xml:space="preserve">A UE shall be capable of handling a relative receive timing difference </w:t>
      </w:r>
      <w:r w:rsidRPr="00D530F2">
        <w:rPr>
          <w:lang w:eastAsia="zh-CN"/>
        </w:rPr>
        <w:t>among</w:t>
      </w:r>
      <w:r w:rsidRPr="00D530F2">
        <w:t xml:space="preserve"> the closest slot timing </w:t>
      </w:r>
      <w:r w:rsidRPr="00D530F2">
        <w:rPr>
          <w:lang w:eastAsia="zh-CN"/>
        </w:rPr>
        <w:t>boundaries</w:t>
      </w:r>
      <w:r w:rsidRPr="00D530F2">
        <w:t xml:space="preserve"> of different carriers </w:t>
      </w:r>
      <w:r>
        <w:t xml:space="preserve">in FR1 and/or FR2-1 </w:t>
      </w:r>
      <w:r w:rsidRPr="00D530F2">
        <w:t xml:space="preserve">to be aggregated </w:t>
      </w:r>
      <w:r w:rsidRPr="00D530F2">
        <w:rPr>
          <w:lang w:eastAsia="zh-CN"/>
        </w:rPr>
        <w:t xml:space="preserve">in </w:t>
      </w:r>
      <w:r w:rsidRPr="00D530F2">
        <w:t>NR carrier aggregation.</w:t>
      </w:r>
    </w:p>
    <w:p w14:paraId="7B498B05" w14:textId="77777777" w:rsidR="009F25EB" w:rsidRDefault="009F25EB" w:rsidP="009F25EB">
      <w:r w:rsidRPr="00D530F2">
        <w:t xml:space="preserve">A UE shall be capable of handling a relative receive timing difference </w:t>
      </w:r>
      <w:r w:rsidRPr="00D530F2">
        <w:rPr>
          <w:lang w:eastAsia="zh-CN"/>
        </w:rPr>
        <w:t>among</w:t>
      </w:r>
      <w:r w:rsidRPr="00D530F2">
        <w:t xml:space="preserve"> the closest </w:t>
      </w:r>
      <w:r>
        <w:t>subframe</w:t>
      </w:r>
      <w:r w:rsidRPr="00D530F2">
        <w:t xml:space="preserve"> timing </w:t>
      </w:r>
      <w:r w:rsidRPr="00D530F2">
        <w:rPr>
          <w:lang w:eastAsia="zh-CN"/>
        </w:rPr>
        <w:t>boundaries</w:t>
      </w:r>
      <w:r w:rsidRPr="00D530F2">
        <w:t xml:space="preserve"> of different carriers to be aggregated </w:t>
      </w:r>
      <w:r w:rsidRPr="00D530F2">
        <w:rPr>
          <w:lang w:eastAsia="zh-CN"/>
        </w:rPr>
        <w:t xml:space="preserve">in </w:t>
      </w:r>
      <w:r>
        <w:rPr>
          <w:lang w:eastAsia="zh-CN"/>
        </w:rPr>
        <w:t xml:space="preserve">FR1 and FR2-2 </w:t>
      </w:r>
      <w:r w:rsidRPr="00D530F2">
        <w:t xml:space="preserve">NR </w:t>
      </w:r>
      <w:r>
        <w:rPr>
          <w:lang w:eastAsia="zh-CN"/>
        </w:rPr>
        <w:t xml:space="preserve">inter-band </w:t>
      </w:r>
      <w:r w:rsidRPr="00D530F2">
        <w:t>carrier aggregation.</w:t>
      </w:r>
    </w:p>
    <w:p w14:paraId="4F6728FD" w14:textId="77777777" w:rsidR="009F25EB" w:rsidRPr="0063128B" w:rsidRDefault="009F25EB" w:rsidP="009F25EB">
      <w:pPr>
        <w:rPr>
          <w:lang w:val="en-US"/>
        </w:rPr>
      </w:pPr>
      <w:r>
        <w:t xml:space="preserve">The </w:t>
      </w:r>
      <w:r w:rsidRPr="009C5807">
        <w:rPr>
          <w:rFonts w:cs="v4.2.0"/>
          <w:lang w:eastAsia="zh-CN"/>
        </w:rPr>
        <w:t xml:space="preserve">requirements </w:t>
      </w:r>
      <w:r w:rsidRPr="009C5807">
        <w:rPr>
          <w:lang w:eastAsia="zh-CN"/>
        </w:rPr>
        <w:t xml:space="preserve">defined </w:t>
      </w:r>
      <w:r w:rsidRPr="009C5807">
        <w:rPr>
          <w:rFonts w:cs="v4.2.0"/>
          <w:lang w:eastAsia="zh-CN"/>
        </w:rPr>
        <w:t>in clause</w:t>
      </w:r>
      <w:r>
        <w:rPr>
          <w:rFonts w:cs="v4.2.0"/>
          <w:lang w:eastAsia="zh-CN"/>
        </w:rPr>
        <w:t xml:space="preserve"> 7.6 are also applicable when UE is configured to receive multiple PDSCH </w:t>
      </w:r>
      <w:r w:rsidRPr="003D1FFC">
        <w:t>transmission occasion</w:t>
      </w:r>
      <w:r>
        <w:rPr>
          <w:rFonts w:cs="v4.2.0"/>
          <w:lang w:eastAsia="zh-CN"/>
        </w:rPr>
        <w:t xml:space="preserve">s from one or more QCL sources on any one of the </w:t>
      </w:r>
      <w:r w:rsidRPr="00D530F2">
        <w:t>aggregated</w:t>
      </w:r>
      <w:r>
        <w:t xml:space="preserve"> </w:t>
      </w:r>
      <w:r w:rsidRPr="00D530F2">
        <w:t>NR</w:t>
      </w:r>
      <w:r>
        <w:t xml:space="preserve"> </w:t>
      </w:r>
      <w:r w:rsidRPr="00D530F2">
        <w:t>carrier</w:t>
      </w:r>
      <w:r>
        <w:t>s.</w:t>
      </w:r>
    </w:p>
    <w:p w14:paraId="6D0E63BD" w14:textId="77777777" w:rsidR="00877F17" w:rsidRPr="009C5807" w:rsidRDefault="00877F17" w:rsidP="00877F17">
      <w:pPr>
        <w:pStyle w:val="Heading3"/>
        <w:rPr>
          <w:lang w:eastAsia="ko-KR"/>
        </w:rPr>
      </w:pPr>
      <w:r w:rsidRPr="009C5807">
        <w:rPr>
          <w:lang w:eastAsia="ko-KR"/>
        </w:rPr>
        <w:t>7.6.2</w:t>
      </w:r>
      <w:r w:rsidRPr="009C5807">
        <w:rPr>
          <w:lang w:eastAsia="ko-KR"/>
        </w:rPr>
        <w:tab/>
        <w:t xml:space="preserve">Minimum Requirements for </w:t>
      </w:r>
      <w:r w:rsidRPr="009C5807">
        <w:t>inter-band EN-DC</w:t>
      </w:r>
    </w:p>
    <w:p w14:paraId="5C154A63" w14:textId="77777777" w:rsidR="00877F17" w:rsidRPr="009C5807" w:rsidRDefault="00877F17" w:rsidP="00877F17">
      <w:pPr>
        <w:rPr>
          <w:rFonts w:cs="v4.2.0"/>
        </w:rPr>
      </w:pPr>
      <w:r w:rsidRPr="009C5807">
        <w:rPr>
          <w:rFonts w:cs="v4.2.0"/>
          <w:lang w:eastAsia="zh-CN"/>
        </w:rPr>
        <w:t>T</w:t>
      </w:r>
      <w:r w:rsidRPr="009C5807">
        <w:rPr>
          <w:rFonts w:cs="v4.2.0"/>
        </w:rPr>
        <w:t>he UE shall be capable of handling at least a relative receive timing difference between subframe timing of signal from a E-UTRA cell belonging to the MCG and slot timing of signal from a cell belonging to SCG at the UE receiver as shown in Table 7.6.2-1.</w:t>
      </w:r>
    </w:p>
    <w:p w14:paraId="37D39434" w14:textId="77777777" w:rsidR="00877F17" w:rsidRPr="009C5807" w:rsidRDefault="00877F17" w:rsidP="00877F17">
      <w:pPr>
        <w:pStyle w:val="TH"/>
        <w:rPr>
          <w:snapToGrid w:val="0"/>
        </w:rPr>
      </w:pPr>
      <w:r w:rsidRPr="009C5807">
        <w:rPr>
          <w:snapToGrid w:val="0"/>
        </w:rPr>
        <w:t>Table 7.6.2-1</w:t>
      </w:r>
      <w:r w:rsidRPr="009C5807">
        <w:rPr>
          <w:snapToGrid w:val="0"/>
          <w:lang w:eastAsia="ko-KR"/>
        </w:rPr>
        <w:t>:</w:t>
      </w:r>
      <w:r w:rsidRPr="009C5807">
        <w:rPr>
          <w:snapToGrid w:val="0"/>
        </w:rPr>
        <w:t xml:space="preserve"> Maximum receive timing difference requirement for asynchronous </w:t>
      </w:r>
      <w:r w:rsidRPr="009C5807">
        <w:rPr>
          <w:snapToGrid w:val="0"/>
          <w:lang w:eastAsia="zh-CN"/>
        </w:rPr>
        <w:t>EN-DC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5"/>
        <w:gridCol w:w="2693"/>
      </w:tblGrid>
      <w:tr w:rsidR="00885F53" w:rsidRPr="009C5807" w14:paraId="189325B0" w14:textId="77777777" w:rsidTr="00AD1C20">
        <w:trPr>
          <w:jc w:val="center"/>
        </w:trPr>
        <w:tc>
          <w:tcPr>
            <w:tcW w:w="1984" w:type="dxa"/>
            <w:shd w:val="clear" w:color="auto" w:fill="auto"/>
          </w:tcPr>
          <w:p w14:paraId="4AE9595E" w14:textId="77777777" w:rsidR="00877F17" w:rsidRPr="009C5807" w:rsidRDefault="00877F17" w:rsidP="00867D3A">
            <w:pPr>
              <w:pStyle w:val="TAH"/>
            </w:pPr>
            <w:r w:rsidRPr="009C5807">
              <w:t>Sub-carrier spacing of E-UTRA cell in MCG (kHz)</w:t>
            </w:r>
          </w:p>
        </w:tc>
        <w:tc>
          <w:tcPr>
            <w:tcW w:w="1985" w:type="dxa"/>
            <w:shd w:val="clear" w:color="auto" w:fill="auto"/>
          </w:tcPr>
          <w:p w14:paraId="75165A1D" w14:textId="77777777" w:rsidR="00877F17" w:rsidRPr="009C5807" w:rsidRDefault="00877F17" w:rsidP="00867D3A">
            <w:pPr>
              <w:pStyle w:val="TAH"/>
            </w:pPr>
            <w:r w:rsidRPr="009C5807">
              <w:t>DL Sub-carrier spacing of cell in SCG (kHz)</w:t>
            </w:r>
            <w:r w:rsidRPr="009C5807">
              <w:rPr>
                <w:lang w:eastAsia="ko-KR"/>
              </w:rPr>
              <w:t xml:space="preserve"> (</w:t>
            </w:r>
            <w:r w:rsidRPr="009C5807">
              <w:t>Note</w:t>
            </w:r>
            <w:r w:rsidRPr="009C5807">
              <w:rPr>
                <w:lang w:eastAsia="ko-KR"/>
              </w:rPr>
              <w:t xml:space="preserve"> </w:t>
            </w:r>
            <w:r w:rsidRPr="009C5807">
              <w:t>1</w:t>
            </w:r>
            <w:r w:rsidRPr="009C5807">
              <w:rPr>
                <w:lang w:eastAsia="ko-KR"/>
              </w:rPr>
              <w:t>)</w:t>
            </w:r>
          </w:p>
        </w:tc>
        <w:tc>
          <w:tcPr>
            <w:tcW w:w="2693" w:type="dxa"/>
            <w:shd w:val="clear" w:color="auto" w:fill="auto"/>
          </w:tcPr>
          <w:p w14:paraId="758C0B1C" w14:textId="77777777" w:rsidR="00877F17" w:rsidRPr="009C5807" w:rsidRDefault="00877F17" w:rsidP="00867D3A">
            <w:pPr>
              <w:pStyle w:val="TAH"/>
            </w:pPr>
            <w:r w:rsidRPr="009C5807">
              <w:t>Maximum receive timing difference (µs)</w:t>
            </w:r>
          </w:p>
        </w:tc>
      </w:tr>
      <w:tr w:rsidR="00885F53" w:rsidRPr="009C5807" w14:paraId="3EA650B6" w14:textId="77777777" w:rsidTr="00AD1C20">
        <w:trPr>
          <w:jc w:val="center"/>
        </w:trPr>
        <w:tc>
          <w:tcPr>
            <w:tcW w:w="1984" w:type="dxa"/>
            <w:shd w:val="clear" w:color="auto" w:fill="auto"/>
          </w:tcPr>
          <w:p w14:paraId="601995CC" w14:textId="77777777" w:rsidR="00877F17" w:rsidRPr="009C5807" w:rsidRDefault="00877F17" w:rsidP="00867D3A">
            <w:pPr>
              <w:pStyle w:val="TAC"/>
            </w:pPr>
            <w:r w:rsidRPr="009C5807">
              <w:t>15</w:t>
            </w:r>
          </w:p>
        </w:tc>
        <w:tc>
          <w:tcPr>
            <w:tcW w:w="1985" w:type="dxa"/>
            <w:shd w:val="clear" w:color="auto" w:fill="auto"/>
          </w:tcPr>
          <w:p w14:paraId="50948A2D" w14:textId="77777777" w:rsidR="00877F17" w:rsidRPr="009C5807" w:rsidRDefault="00877F17" w:rsidP="00867D3A">
            <w:pPr>
              <w:pStyle w:val="TAC"/>
            </w:pPr>
            <w:r w:rsidRPr="009C5807">
              <w:t>15</w:t>
            </w:r>
          </w:p>
        </w:tc>
        <w:tc>
          <w:tcPr>
            <w:tcW w:w="2693" w:type="dxa"/>
            <w:shd w:val="clear" w:color="auto" w:fill="auto"/>
          </w:tcPr>
          <w:p w14:paraId="6D85BCBB" w14:textId="77777777" w:rsidR="00877F17" w:rsidRPr="009C5807" w:rsidRDefault="00877F17" w:rsidP="00867D3A">
            <w:pPr>
              <w:pStyle w:val="TAC"/>
            </w:pPr>
            <w:r w:rsidRPr="009C5807">
              <w:t>500</w:t>
            </w:r>
          </w:p>
        </w:tc>
      </w:tr>
      <w:tr w:rsidR="00885F53" w:rsidRPr="009C5807" w14:paraId="51197643" w14:textId="77777777" w:rsidTr="00AD1C20">
        <w:trPr>
          <w:jc w:val="center"/>
        </w:trPr>
        <w:tc>
          <w:tcPr>
            <w:tcW w:w="1984" w:type="dxa"/>
            <w:shd w:val="clear" w:color="auto" w:fill="auto"/>
          </w:tcPr>
          <w:p w14:paraId="0D733CD9" w14:textId="77777777" w:rsidR="00877F17" w:rsidRPr="009C5807" w:rsidRDefault="00877F17" w:rsidP="00867D3A">
            <w:pPr>
              <w:pStyle w:val="TAC"/>
            </w:pPr>
            <w:r w:rsidRPr="009C5807">
              <w:t>15</w:t>
            </w:r>
          </w:p>
        </w:tc>
        <w:tc>
          <w:tcPr>
            <w:tcW w:w="1985" w:type="dxa"/>
            <w:shd w:val="clear" w:color="auto" w:fill="auto"/>
          </w:tcPr>
          <w:p w14:paraId="18F2056F" w14:textId="77777777" w:rsidR="00877F17" w:rsidRPr="009C5807" w:rsidRDefault="00877F17" w:rsidP="00867D3A">
            <w:pPr>
              <w:pStyle w:val="TAC"/>
            </w:pPr>
            <w:r w:rsidRPr="009C5807">
              <w:t>30</w:t>
            </w:r>
          </w:p>
        </w:tc>
        <w:tc>
          <w:tcPr>
            <w:tcW w:w="2693" w:type="dxa"/>
            <w:shd w:val="clear" w:color="auto" w:fill="auto"/>
          </w:tcPr>
          <w:p w14:paraId="17C73A6F" w14:textId="77777777" w:rsidR="00877F17" w:rsidRPr="009C5807" w:rsidRDefault="00877F17" w:rsidP="00867D3A">
            <w:pPr>
              <w:pStyle w:val="TAC"/>
            </w:pPr>
            <w:r w:rsidRPr="009C5807">
              <w:t>250</w:t>
            </w:r>
          </w:p>
        </w:tc>
      </w:tr>
      <w:tr w:rsidR="00885F53" w:rsidRPr="009C5807" w14:paraId="2637E647" w14:textId="77777777" w:rsidTr="00AD1C20">
        <w:trPr>
          <w:jc w:val="center"/>
        </w:trPr>
        <w:tc>
          <w:tcPr>
            <w:tcW w:w="1984" w:type="dxa"/>
            <w:shd w:val="clear" w:color="auto" w:fill="auto"/>
          </w:tcPr>
          <w:p w14:paraId="58DABC2F" w14:textId="77777777" w:rsidR="00877F17" w:rsidRPr="009C5807" w:rsidRDefault="00877F17" w:rsidP="00867D3A">
            <w:pPr>
              <w:pStyle w:val="TAC"/>
            </w:pPr>
            <w:r w:rsidRPr="009C5807">
              <w:t>15</w:t>
            </w:r>
          </w:p>
        </w:tc>
        <w:tc>
          <w:tcPr>
            <w:tcW w:w="1985" w:type="dxa"/>
            <w:shd w:val="clear" w:color="auto" w:fill="auto"/>
          </w:tcPr>
          <w:p w14:paraId="5A723ABA" w14:textId="77777777" w:rsidR="00877F17" w:rsidRPr="009C5807" w:rsidRDefault="00877F17" w:rsidP="00867D3A">
            <w:pPr>
              <w:pStyle w:val="TAC"/>
            </w:pPr>
            <w:r w:rsidRPr="009C5807">
              <w:t>60</w:t>
            </w:r>
          </w:p>
        </w:tc>
        <w:tc>
          <w:tcPr>
            <w:tcW w:w="2693" w:type="dxa"/>
            <w:shd w:val="clear" w:color="auto" w:fill="auto"/>
          </w:tcPr>
          <w:p w14:paraId="6B43E1BC" w14:textId="77777777" w:rsidR="00877F17" w:rsidRPr="009C5807" w:rsidRDefault="00877F17" w:rsidP="00867D3A">
            <w:pPr>
              <w:pStyle w:val="TAC"/>
            </w:pPr>
            <w:r w:rsidRPr="009C5807">
              <w:t>125</w:t>
            </w:r>
          </w:p>
        </w:tc>
      </w:tr>
      <w:tr w:rsidR="00885F53" w:rsidRPr="009C5807" w14:paraId="25E84355" w14:textId="77777777" w:rsidTr="00AD1C20">
        <w:trPr>
          <w:jc w:val="center"/>
        </w:trPr>
        <w:tc>
          <w:tcPr>
            <w:tcW w:w="1984" w:type="dxa"/>
            <w:shd w:val="clear" w:color="auto" w:fill="auto"/>
          </w:tcPr>
          <w:p w14:paraId="498A0ABC" w14:textId="77777777" w:rsidR="00877F17" w:rsidRPr="009C5807" w:rsidRDefault="00877F17" w:rsidP="00867D3A">
            <w:pPr>
              <w:pStyle w:val="TAC"/>
            </w:pPr>
            <w:r w:rsidRPr="009C5807">
              <w:t>15</w:t>
            </w:r>
          </w:p>
        </w:tc>
        <w:tc>
          <w:tcPr>
            <w:tcW w:w="1985" w:type="dxa"/>
            <w:shd w:val="clear" w:color="auto" w:fill="auto"/>
          </w:tcPr>
          <w:p w14:paraId="4FCA9913" w14:textId="77777777" w:rsidR="00877F17" w:rsidRPr="009C5807" w:rsidRDefault="00877F17" w:rsidP="00867D3A">
            <w:pPr>
              <w:pStyle w:val="TAC"/>
              <w:rPr>
                <w:vertAlign w:val="superscript"/>
                <w:lang w:eastAsia="zh-CN"/>
              </w:rPr>
            </w:pPr>
            <w:r w:rsidRPr="009C5807">
              <w:t>120</w:t>
            </w:r>
            <w:r w:rsidRPr="009C5807">
              <w:rPr>
                <w:vertAlign w:val="superscript"/>
                <w:lang w:eastAsia="zh-CN"/>
              </w:rPr>
              <w:t>Note2</w:t>
            </w:r>
          </w:p>
        </w:tc>
        <w:tc>
          <w:tcPr>
            <w:tcW w:w="2693" w:type="dxa"/>
            <w:shd w:val="clear" w:color="auto" w:fill="auto"/>
          </w:tcPr>
          <w:p w14:paraId="2A5F5262" w14:textId="77777777" w:rsidR="00877F17" w:rsidRPr="009C5807" w:rsidRDefault="00877F17" w:rsidP="00867D3A">
            <w:pPr>
              <w:pStyle w:val="TAC"/>
            </w:pPr>
            <w:r w:rsidRPr="009C5807">
              <w:t>62.5</w:t>
            </w:r>
          </w:p>
        </w:tc>
      </w:tr>
      <w:tr w:rsidR="00877F17" w:rsidRPr="009C5807" w14:paraId="61F2C936" w14:textId="77777777" w:rsidTr="00AD1C20">
        <w:trPr>
          <w:jc w:val="center"/>
        </w:trPr>
        <w:tc>
          <w:tcPr>
            <w:tcW w:w="6662" w:type="dxa"/>
            <w:gridSpan w:val="3"/>
            <w:shd w:val="clear" w:color="auto" w:fill="auto"/>
          </w:tcPr>
          <w:p w14:paraId="220C3AB2" w14:textId="77777777" w:rsidR="00E94B55" w:rsidRPr="009C5807" w:rsidRDefault="00E94B55" w:rsidP="00357256">
            <w:pPr>
              <w:pStyle w:val="TAN"/>
            </w:pPr>
            <w:r w:rsidRPr="009C5807">
              <w:rPr>
                <w:lang w:eastAsia="ja-JP"/>
              </w:rPr>
              <w:t>NOTE</w:t>
            </w:r>
            <w:r w:rsidRPr="009C5807">
              <w:rPr>
                <w:lang w:eastAsia="ko-KR"/>
              </w:rPr>
              <w:t xml:space="preserve"> </w:t>
            </w:r>
            <w:r w:rsidRPr="009C5807">
              <w:rPr>
                <w:lang w:eastAsia="ja-JP"/>
              </w:rPr>
              <w:t>1:</w:t>
            </w:r>
            <w:r w:rsidRPr="009C5807">
              <w:tab/>
              <w:t>DL Sub-carrier spacing is min{SCS</w:t>
            </w:r>
            <w:r w:rsidRPr="009C5807">
              <w:rPr>
                <w:vertAlign w:val="subscript"/>
              </w:rPr>
              <w:t>SS</w:t>
            </w:r>
            <w:r w:rsidRPr="009C5807">
              <w:t>, SCS</w:t>
            </w:r>
            <w:r w:rsidRPr="009C5807">
              <w:rPr>
                <w:vertAlign w:val="subscript"/>
              </w:rPr>
              <w:t>DATA</w:t>
            </w:r>
            <w:r w:rsidRPr="009C5807">
              <w:t>}.</w:t>
            </w:r>
          </w:p>
          <w:p w14:paraId="78048F1A" w14:textId="4AD58945" w:rsidR="00877F17" w:rsidRPr="009C5807" w:rsidRDefault="00E94B55" w:rsidP="00357256">
            <w:pPr>
              <w:pStyle w:val="TAN"/>
            </w:pPr>
            <w:r w:rsidRPr="009C5807">
              <w:rPr>
                <w:lang w:eastAsia="ja-JP"/>
              </w:rPr>
              <w:t>NOTE</w:t>
            </w:r>
            <w:r w:rsidRPr="009C5807">
              <w:rPr>
                <w:lang w:eastAsia="ko-KR"/>
              </w:rPr>
              <w:t xml:space="preserve"> </w:t>
            </w:r>
            <w:r w:rsidRPr="009C5807">
              <w:rPr>
                <w:lang w:eastAsia="ja-JP"/>
              </w:rPr>
              <w:t>2:</w:t>
            </w:r>
            <w:r w:rsidRPr="009C5807">
              <w:tab/>
            </w:r>
            <w:r w:rsidRPr="009C5807">
              <w:rPr>
                <w:lang w:eastAsia="ja-JP"/>
              </w:rPr>
              <w:t xml:space="preserve">For </w:t>
            </w:r>
            <w:r w:rsidRPr="009C5807">
              <w:rPr>
                <w:lang w:eastAsia="zh-CN"/>
              </w:rPr>
              <w:t xml:space="preserve">E-UTRA </w:t>
            </w:r>
            <w:r w:rsidRPr="009C5807">
              <w:t>FDD-</w:t>
            </w:r>
            <w:r w:rsidRPr="009C5807">
              <w:rPr>
                <w:lang w:eastAsia="zh-CN"/>
              </w:rPr>
              <w:t xml:space="preserve">NR </w:t>
            </w:r>
            <w:r w:rsidRPr="009C5807">
              <w:t>FDD</w:t>
            </w:r>
            <w:r w:rsidRPr="009C5807">
              <w:rPr>
                <w:lang w:eastAsia="zh-CN"/>
              </w:rPr>
              <w:t xml:space="preserve"> </w:t>
            </w:r>
            <w:r w:rsidRPr="009C5807">
              <w:rPr>
                <w:lang w:eastAsia="ja-JP"/>
              </w:rPr>
              <w:t>intra-band</w:t>
            </w:r>
            <w:r w:rsidRPr="009C5807">
              <w:rPr>
                <w:lang w:eastAsia="zh-CN"/>
              </w:rPr>
              <w:t xml:space="preserve"> EN-DC</w:t>
            </w:r>
            <w:r w:rsidRPr="009C5807">
              <w:rPr>
                <w:lang w:eastAsia="ja-JP"/>
              </w:rPr>
              <w:t xml:space="preserve">, </w:t>
            </w:r>
            <w:r w:rsidRPr="009C5807">
              <w:rPr>
                <w:lang w:eastAsia="zh-CN"/>
              </w:rPr>
              <w:t>for which the requirement is defined in clause 7.6.3 and this Table 7.6.2-1 is also applicable</w:t>
            </w:r>
            <w:r w:rsidRPr="009C5807">
              <w:rPr>
                <w:lang w:eastAsia="ja-JP"/>
              </w:rPr>
              <w:t xml:space="preserve">, </w:t>
            </w:r>
            <w:r w:rsidRPr="009C5807">
              <w:rPr>
                <w:lang w:eastAsia="zh-CN"/>
              </w:rPr>
              <w:t xml:space="preserve">the scenario with </w:t>
            </w:r>
            <w:r w:rsidRPr="009C5807">
              <w:rPr>
                <w:lang w:eastAsia="ja-JP"/>
              </w:rPr>
              <w:t xml:space="preserve">120 kHz </w:t>
            </w:r>
            <w:r w:rsidRPr="009C5807">
              <w:rPr>
                <w:lang w:eastAsia="zh-CN"/>
              </w:rPr>
              <w:t>does not exit</w:t>
            </w:r>
            <w:r w:rsidRPr="009C5807">
              <w:rPr>
                <w:lang w:eastAsia="ja-JP"/>
              </w:rPr>
              <w:t>.</w:t>
            </w:r>
          </w:p>
        </w:tc>
      </w:tr>
    </w:tbl>
    <w:p w14:paraId="3A1E04B1" w14:textId="77777777" w:rsidR="00877F17" w:rsidRPr="009C5807" w:rsidRDefault="00877F17" w:rsidP="00877F17"/>
    <w:p w14:paraId="4F99092B" w14:textId="2B149FB8" w:rsidR="00877F17" w:rsidRPr="009C5807" w:rsidRDefault="004B6DAA" w:rsidP="004B6DAA">
      <w:pPr>
        <w:pStyle w:val="TH"/>
        <w:rPr>
          <w:rFonts w:eastAsia="Malgun Gothic"/>
        </w:rPr>
      </w:pPr>
      <w:r w:rsidRPr="009C5807">
        <w:rPr>
          <w:snapToGrid w:val="0"/>
        </w:rPr>
        <w:t>Table 7.6.2-2 Void</w:t>
      </w:r>
    </w:p>
    <w:p w14:paraId="3D01A358" w14:textId="77777777" w:rsidR="00877F17" w:rsidRPr="009C5807" w:rsidRDefault="00877F17" w:rsidP="00877F17">
      <w:pPr>
        <w:pStyle w:val="TH"/>
        <w:rPr>
          <w:snapToGrid w:val="0"/>
        </w:rPr>
      </w:pPr>
      <w:r w:rsidRPr="009C5807">
        <w:rPr>
          <w:snapToGrid w:val="0"/>
        </w:rPr>
        <w:t>Table 7.6.2-3</w:t>
      </w:r>
      <w:r w:rsidRPr="009C5807">
        <w:rPr>
          <w:snapToGrid w:val="0"/>
        </w:rPr>
        <w:tab/>
        <w:t>Void</w:t>
      </w:r>
    </w:p>
    <w:p w14:paraId="4BF40D1E" w14:textId="77777777" w:rsidR="00FF0D54" w:rsidRPr="009C5807" w:rsidRDefault="00FF0D54" w:rsidP="00FF0D54">
      <w:pPr>
        <w:pStyle w:val="Heading4"/>
        <w:rPr>
          <w:lang w:eastAsia="ko-KR"/>
        </w:rPr>
      </w:pPr>
      <w:r w:rsidRPr="009C5807">
        <w:rPr>
          <w:lang w:eastAsia="ko-KR"/>
        </w:rPr>
        <w:t>7.6.2.1</w:t>
      </w:r>
      <w:r w:rsidRPr="009C5807">
        <w:rPr>
          <w:lang w:eastAsia="ko-KR"/>
        </w:rPr>
        <w:tab/>
        <w:t xml:space="preserve">Minimum Requirements for </w:t>
      </w:r>
      <w:r w:rsidRPr="009C5807">
        <w:t>inter-band synchronous EN-DC</w:t>
      </w:r>
    </w:p>
    <w:p w14:paraId="6CA81BED" w14:textId="77777777" w:rsidR="00FF0D54" w:rsidRPr="009C5807" w:rsidRDefault="00FF0D54" w:rsidP="00FF0D54">
      <w:pPr>
        <w:rPr>
          <w:rFonts w:cs="v4.2.0"/>
          <w:lang w:eastAsia="zh-CN"/>
        </w:rPr>
      </w:pPr>
      <w:r w:rsidRPr="009C5807">
        <w:rPr>
          <w:rFonts w:cs="v4.2.0"/>
          <w:lang w:eastAsia="zh-CN"/>
        </w:rPr>
        <w:t>The requirements in this clause apply as a reference for inter-band synchronous EN-DC.</w:t>
      </w:r>
    </w:p>
    <w:p w14:paraId="69E8E64D" w14:textId="03E89E9E" w:rsidR="0057627A" w:rsidRDefault="0057627A" w:rsidP="0057627A">
      <w:pPr>
        <w:rPr>
          <w:rFonts w:cs="v4.2.0"/>
          <w:lang w:eastAsia="zh-CN"/>
        </w:rPr>
      </w:pPr>
      <w:r w:rsidRPr="009C5807">
        <w:rPr>
          <w:rFonts w:cs="v4.2.0"/>
          <w:lang w:eastAsia="zh-CN"/>
        </w:rPr>
        <w:t xml:space="preserve">The UE shall be capable of handling at least a relative receive timing difference between subframe timing of signal from an E-UTRA cell belonging to the MCG and slot timing of signal from a cell belonging to SCG at the UE receiver for inter-band synchronous EN-DC as shown in Table 7.6.2.1-1. The requirements for synchronous EN-DC are applicable </w:t>
      </w:r>
      <w:r w:rsidRPr="009C5807">
        <w:t xml:space="preserve">for </w:t>
      </w:r>
      <w:r w:rsidRPr="009C5807">
        <w:rPr>
          <w:rFonts w:cs="v4.2.0"/>
          <w:lang w:eastAsia="zh-CN"/>
        </w:rPr>
        <w:t xml:space="preserve">E-UTRA TDD-NR TDD, E-UTRA FDD-NR FDD, E-UTRA TDD-NR FDD and E-UTRA FDD-NR TDD inter-band EN-DC. </w:t>
      </w:r>
    </w:p>
    <w:p w14:paraId="0E19CDEC" w14:textId="60B29109" w:rsidR="00F66414" w:rsidRPr="009C5807" w:rsidRDefault="00F66414" w:rsidP="0057627A">
      <w:pPr>
        <w:rPr>
          <w:rFonts w:cs="v4.2.0"/>
          <w:lang w:eastAsia="zh-CN"/>
        </w:rPr>
      </w:pPr>
      <w:r>
        <w:rPr>
          <w:rFonts w:cs="v4.2.0"/>
        </w:rPr>
        <w:t>F</w:t>
      </w:r>
      <w:r w:rsidRPr="00D06399">
        <w:rPr>
          <w:rFonts w:cs="v4.2.0"/>
        </w:rPr>
        <w:t>or E-UTRA TDD-NR TDD inter-band EN-DC with overlapping DL bands</w:t>
      </w:r>
      <w:r>
        <w:rPr>
          <w:rFonts w:cs="v4.2.0"/>
        </w:rPr>
        <w:t>,</w:t>
      </w:r>
      <w:r w:rsidRPr="00D06399">
        <w:rPr>
          <w:rFonts w:cs="v4.2.0"/>
        </w:rPr>
        <w:t xml:space="preserve"> </w:t>
      </w:r>
      <w:r>
        <w:rPr>
          <w:rFonts w:cs="v4.2.0"/>
        </w:rPr>
        <w:t>only synchronized operation is assumed. T</w:t>
      </w:r>
      <w:r w:rsidRPr="009C5807">
        <w:rPr>
          <w:rFonts w:cs="v4.2.0"/>
        </w:rPr>
        <w:t xml:space="preserve">he UE shall be capable of handling at least a relative receive timing difference between subframe timing of signal from a E-UTRA cell belonging to the MCG and slot timing of signal from a cell belonging to the SCG </w:t>
      </w:r>
      <w:r>
        <w:rPr>
          <w:rFonts w:cs="v4.2.0"/>
        </w:rPr>
        <w:t xml:space="preserve">at the UE receiver </w:t>
      </w:r>
      <w:r w:rsidRPr="009C5807">
        <w:rPr>
          <w:rFonts w:cs="v4.2.0"/>
        </w:rPr>
        <w:t xml:space="preserve">as shown in Table </w:t>
      </w:r>
      <w:r w:rsidRPr="009C5807">
        <w:rPr>
          <w:rFonts w:eastAsia="Malgun Gothic" w:cs="v4.2.0"/>
        </w:rPr>
        <w:t>7.6.</w:t>
      </w:r>
      <w:r>
        <w:rPr>
          <w:rFonts w:eastAsia="Malgun Gothic" w:cs="v4.2.0"/>
        </w:rPr>
        <w:t>2.1</w:t>
      </w:r>
      <w:r w:rsidRPr="009C5807">
        <w:rPr>
          <w:rFonts w:eastAsia="Malgun Gothic" w:cs="v4.2.0"/>
        </w:rPr>
        <w:t xml:space="preserve">-1 </w:t>
      </w:r>
      <w:r>
        <w:rPr>
          <w:rFonts w:eastAsia="Malgun Gothic" w:cs="v4.2.0"/>
        </w:rPr>
        <w:t xml:space="preserve">provided that UE indicates that it is capable of </w:t>
      </w:r>
      <w:r w:rsidRPr="00A359D8">
        <w:rPr>
          <w:rFonts w:eastAsia="Malgun Gothic" w:cs="v4.2.0"/>
          <w:i/>
          <w:iCs/>
        </w:rPr>
        <w:t>interBandMRDC-WithOverlapDL-Bands-r16</w:t>
      </w:r>
      <w:r>
        <w:rPr>
          <w:rFonts w:eastAsia="Malgun Gothic" w:cs="v4.2.0"/>
        </w:rPr>
        <w:t>, and in Table 7.6.3-1 provided that it is not capable of</w:t>
      </w:r>
      <w:r w:rsidRPr="00A359D8">
        <w:rPr>
          <w:rFonts w:eastAsia="Malgun Gothic" w:cs="v4.2.0"/>
          <w:i/>
          <w:iCs/>
        </w:rPr>
        <w:t xml:space="preserve"> interBandMRDC-WithOverlapDL-Bands-r16</w:t>
      </w:r>
      <w:r>
        <w:rPr>
          <w:rFonts w:eastAsia="Malgun Gothic" w:cs="v4.2.0"/>
        </w:rPr>
        <w:t>.</w:t>
      </w:r>
    </w:p>
    <w:p w14:paraId="3D4E448D" w14:textId="77777777" w:rsidR="00FF0D54" w:rsidRPr="009C5807" w:rsidRDefault="00FF0D54" w:rsidP="00FF0D54">
      <w:pPr>
        <w:pStyle w:val="TH"/>
        <w:rPr>
          <w:snapToGrid w:val="0"/>
        </w:rPr>
      </w:pPr>
      <w:r w:rsidRPr="009C5807">
        <w:rPr>
          <w:snapToGrid w:val="0"/>
        </w:rPr>
        <w:t>Table 7.6.2.1-1</w:t>
      </w:r>
      <w:r w:rsidRPr="009C5807">
        <w:rPr>
          <w:snapToGrid w:val="0"/>
          <w:lang w:eastAsia="ko-KR"/>
        </w:rPr>
        <w:t>:</w:t>
      </w:r>
      <w:r w:rsidRPr="009C5807">
        <w:rPr>
          <w:snapToGrid w:val="0"/>
        </w:rPr>
        <w:t xml:space="preserve"> Maximum receive timing difference requirement for </w:t>
      </w:r>
      <w:r w:rsidRPr="009C5807">
        <w:rPr>
          <w:snapToGrid w:val="0"/>
          <w:lang w:eastAsia="zh-CN"/>
        </w:rPr>
        <w:t xml:space="preserve">inter-band </w:t>
      </w:r>
      <w:r w:rsidRPr="009C5807">
        <w:rPr>
          <w:snapToGrid w:val="0"/>
        </w:rPr>
        <w:t xml:space="preserve">synchronous </w:t>
      </w:r>
      <w:r w:rsidRPr="009C5807">
        <w:rPr>
          <w:snapToGrid w:val="0"/>
          <w:lang w:eastAsia="zh-CN"/>
        </w:rPr>
        <w:t>EN-DC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5"/>
        <w:gridCol w:w="2693"/>
      </w:tblGrid>
      <w:tr w:rsidR="00FF0D54" w:rsidRPr="009C5807" w14:paraId="1A21F752" w14:textId="77777777" w:rsidTr="00566CFE">
        <w:trPr>
          <w:jc w:val="center"/>
        </w:trPr>
        <w:tc>
          <w:tcPr>
            <w:tcW w:w="1984" w:type="dxa"/>
            <w:tcBorders>
              <w:top w:val="single" w:sz="4" w:space="0" w:color="auto"/>
              <w:left w:val="single" w:sz="4" w:space="0" w:color="auto"/>
              <w:bottom w:val="single" w:sz="4" w:space="0" w:color="auto"/>
              <w:right w:val="single" w:sz="4" w:space="0" w:color="auto"/>
            </w:tcBorders>
            <w:hideMark/>
          </w:tcPr>
          <w:p w14:paraId="7EA8979B" w14:textId="13569DCB" w:rsidR="00FF0D54" w:rsidRPr="007C55F6" w:rsidRDefault="0057627A" w:rsidP="0057627A">
            <w:pPr>
              <w:pStyle w:val="TAH"/>
            </w:pPr>
            <w:r w:rsidRPr="007C55F6">
              <w:t>Sub-carrier spacing of E-UTRA cell in MCG (kHz)</w:t>
            </w:r>
          </w:p>
        </w:tc>
        <w:tc>
          <w:tcPr>
            <w:tcW w:w="1985" w:type="dxa"/>
            <w:tcBorders>
              <w:top w:val="single" w:sz="4" w:space="0" w:color="auto"/>
              <w:left w:val="single" w:sz="4" w:space="0" w:color="auto"/>
              <w:bottom w:val="single" w:sz="4" w:space="0" w:color="auto"/>
              <w:right w:val="single" w:sz="4" w:space="0" w:color="auto"/>
            </w:tcBorders>
            <w:hideMark/>
          </w:tcPr>
          <w:p w14:paraId="24CD12F7" w14:textId="77777777" w:rsidR="00FF0D54" w:rsidRPr="007C55F6" w:rsidRDefault="00FF0D54" w:rsidP="0057627A">
            <w:pPr>
              <w:pStyle w:val="TAH"/>
            </w:pPr>
            <w:r w:rsidRPr="007C55F6">
              <w:t>DL Sub-carrier spacing of cell in SCG (kHz)</w:t>
            </w:r>
            <w:r w:rsidRPr="007C55F6">
              <w:rPr>
                <w:lang w:eastAsia="ko-KR"/>
              </w:rPr>
              <w:t xml:space="preserve"> (</w:t>
            </w:r>
            <w:r w:rsidRPr="007C55F6">
              <w:t>Note1</w:t>
            </w:r>
            <w:r w:rsidRPr="007C55F6">
              <w:rPr>
                <w:lang w:eastAsia="ko-KR"/>
              </w:rPr>
              <w:t>)</w:t>
            </w:r>
          </w:p>
        </w:tc>
        <w:tc>
          <w:tcPr>
            <w:tcW w:w="2693" w:type="dxa"/>
            <w:tcBorders>
              <w:top w:val="single" w:sz="4" w:space="0" w:color="auto"/>
              <w:left w:val="single" w:sz="4" w:space="0" w:color="auto"/>
              <w:bottom w:val="single" w:sz="4" w:space="0" w:color="auto"/>
              <w:right w:val="single" w:sz="4" w:space="0" w:color="auto"/>
            </w:tcBorders>
            <w:hideMark/>
          </w:tcPr>
          <w:p w14:paraId="6A5D58BB" w14:textId="77777777" w:rsidR="00FF0D54" w:rsidRPr="007C55F6" w:rsidRDefault="00FF0D54" w:rsidP="0057627A">
            <w:pPr>
              <w:pStyle w:val="TAH"/>
            </w:pPr>
            <w:r w:rsidRPr="007C55F6">
              <w:t>Maximum receive timing difference (µs)</w:t>
            </w:r>
          </w:p>
        </w:tc>
      </w:tr>
      <w:tr w:rsidR="00FF0D54" w:rsidRPr="009C5807" w14:paraId="66084FB1" w14:textId="77777777" w:rsidTr="00406207">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14:paraId="2419C228" w14:textId="77777777" w:rsidR="00FF0D54" w:rsidRPr="009C5807" w:rsidRDefault="00FF0D54" w:rsidP="00781199">
            <w:pPr>
              <w:pStyle w:val="TAC"/>
              <w:rPr>
                <w:lang w:val="fr-FR"/>
              </w:rPr>
            </w:pPr>
            <w:r w:rsidRPr="009C5807">
              <w:rPr>
                <w:lang w:val="fr-FR"/>
              </w:rPr>
              <w:t>15</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B3A494F" w14:textId="77777777" w:rsidR="00FF0D54" w:rsidRPr="009C5807" w:rsidRDefault="00FF0D54" w:rsidP="00781199">
            <w:pPr>
              <w:pStyle w:val="TAC"/>
              <w:rPr>
                <w:lang w:val="fr-FR"/>
              </w:rPr>
            </w:pPr>
            <w:r w:rsidRPr="009C5807">
              <w:rPr>
                <w:lang w:val="fr-FR"/>
              </w:rPr>
              <w:t>15</w:t>
            </w:r>
          </w:p>
        </w:tc>
        <w:tc>
          <w:tcPr>
            <w:tcW w:w="2693" w:type="dxa"/>
            <w:tcBorders>
              <w:top w:val="single" w:sz="4" w:space="0" w:color="auto"/>
              <w:left w:val="single" w:sz="4" w:space="0" w:color="auto"/>
              <w:bottom w:val="nil"/>
              <w:right w:val="single" w:sz="4" w:space="0" w:color="auto"/>
            </w:tcBorders>
            <w:vAlign w:val="center"/>
            <w:hideMark/>
          </w:tcPr>
          <w:p w14:paraId="561B07D5" w14:textId="77777777" w:rsidR="00FF0D54" w:rsidRPr="009C5807" w:rsidRDefault="00FF0D54" w:rsidP="00781199">
            <w:pPr>
              <w:pStyle w:val="TAC"/>
              <w:rPr>
                <w:lang w:val="fr-FR" w:eastAsia="zh-CN"/>
              </w:rPr>
            </w:pPr>
            <w:r w:rsidRPr="009C5807">
              <w:rPr>
                <w:rFonts w:eastAsia="Malgun Gothic"/>
                <w:lang w:val="fr-FR"/>
              </w:rPr>
              <w:t>33</w:t>
            </w:r>
          </w:p>
        </w:tc>
      </w:tr>
      <w:tr w:rsidR="00FF0D54" w:rsidRPr="009C5807" w14:paraId="79FE70D5" w14:textId="77777777" w:rsidTr="00406207">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14:paraId="67E626EB" w14:textId="77777777" w:rsidR="00FF0D54" w:rsidRPr="009C5807" w:rsidRDefault="00FF0D54" w:rsidP="00781199">
            <w:pPr>
              <w:pStyle w:val="TAC"/>
              <w:rPr>
                <w:lang w:val="fr-FR"/>
              </w:rPr>
            </w:pPr>
            <w:r w:rsidRPr="009C5807">
              <w:rPr>
                <w:lang w:val="fr-FR"/>
              </w:rPr>
              <w:t>15</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36FFB9D" w14:textId="77777777" w:rsidR="00FF0D54" w:rsidRPr="009C5807" w:rsidRDefault="00FF0D54" w:rsidP="00781199">
            <w:pPr>
              <w:pStyle w:val="TAC"/>
              <w:rPr>
                <w:lang w:val="fr-FR"/>
              </w:rPr>
            </w:pPr>
            <w:r w:rsidRPr="009C5807">
              <w:rPr>
                <w:lang w:val="fr-FR"/>
              </w:rPr>
              <w:t>30</w:t>
            </w:r>
          </w:p>
        </w:tc>
        <w:tc>
          <w:tcPr>
            <w:tcW w:w="0" w:type="auto"/>
            <w:tcBorders>
              <w:top w:val="nil"/>
              <w:left w:val="single" w:sz="4" w:space="0" w:color="auto"/>
              <w:bottom w:val="nil"/>
              <w:right w:val="single" w:sz="4" w:space="0" w:color="auto"/>
            </w:tcBorders>
            <w:vAlign w:val="center"/>
            <w:hideMark/>
          </w:tcPr>
          <w:p w14:paraId="7A145B45" w14:textId="77777777" w:rsidR="00FF0D54" w:rsidRPr="009C5807" w:rsidRDefault="00FF0D54" w:rsidP="00781199">
            <w:pPr>
              <w:pStyle w:val="TAC"/>
              <w:rPr>
                <w:lang w:val="fr-FR" w:eastAsia="zh-CN"/>
              </w:rPr>
            </w:pPr>
          </w:p>
        </w:tc>
      </w:tr>
      <w:tr w:rsidR="00FF0D54" w:rsidRPr="009C5807" w14:paraId="0C2898F4" w14:textId="77777777" w:rsidTr="00406207">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14:paraId="313B8481" w14:textId="77777777" w:rsidR="00FF0D54" w:rsidRPr="009C5807" w:rsidRDefault="00FF0D54" w:rsidP="00781199">
            <w:pPr>
              <w:pStyle w:val="TAC"/>
              <w:rPr>
                <w:lang w:val="fr-FR"/>
              </w:rPr>
            </w:pPr>
            <w:r w:rsidRPr="009C5807">
              <w:rPr>
                <w:lang w:val="fr-FR"/>
              </w:rPr>
              <w:t>15</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3571CB5" w14:textId="77777777" w:rsidR="00FF0D54" w:rsidRPr="009C5807" w:rsidRDefault="00FF0D54" w:rsidP="00781199">
            <w:pPr>
              <w:pStyle w:val="TAC"/>
              <w:rPr>
                <w:lang w:val="fr-FR"/>
              </w:rPr>
            </w:pPr>
            <w:r w:rsidRPr="009C5807">
              <w:rPr>
                <w:lang w:val="fr-FR"/>
              </w:rPr>
              <w:t>60</w:t>
            </w:r>
          </w:p>
        </w:tc>
        <w:tc>
          <w:tcPr>
            <w:tcW w:w="0" w:type="auto"/>
            <w:tcBorders>
              <w:top w:val="nil"/>
              <w:left w:val="single" w:sz="4" w:space="0" w:color="auto"/>
              <w:bottom w:val="nil"/>
              <w:right w:val="single" w:sz="4" w:space="0" w:color="auto"/>
            </w:tcBorders>
            <w:vAlign w:val="center"/>
            <w:hideMark/>
          </w:tcPr>
          <w:p w14:paraId="4FF52F68" w14:textId="77777777" w:rsidR="00FF0D54" w:rsidRPr="009C5807" w:rsidRDefault="00FF0D54" w:rsidP="00781199">
            <w:pPr>
              <w:pStyle w:val="TAC"/>
              <w:rPr>
                <w:lang w:val="fr-FR" w:eastAsia="zh-CN"/>
              </w:rPr>
            </w:pPr>
          </w:p>
        </w:tc>
      </w:tr>
      <w:tr w:rsidR="00FF0D54" w:rsidRPr="009C5807" w14:paraId="1C8F9F78" w14:textId="77777777" w:rsidTr="00406207">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14:paraId="0C8078E6" w14:textId="77777777" w:rsidR="00FF0D54" w:rsidRPr="009C5807" w:rsidRDefault="00FF0D54" w:rsidP="00781199">
            <w:pPr>
              <w:pStyle w:val="TAC"/>
              <w:rPr>
                <w:lang w:val="fr-FR"/>
              </w:rPr>
            </w:pPr>
            <w:r w:rsidRPr="009C5807">
              <w:rPr>
                <w:lang w:val="fr-FR"/>
              </w:rPr>
              <w:t>15</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7AAC222" w14:textId="77777777" w:rsidR="00FF0D54" w:rsidRPr="009C5807" w:rsidRDefault="00FF0D54" w:rsidP="00781199">
            <w:pPr>
              <w:pStyle w:val="TAC"/>
              <w:rPr>
                <w:lang w:val="fr-FR"/>
              </w:rPr>
            </w:pPr>
            <w:r w:rsidRPr="009C5807">
              <w:rPr>
                <w:lang w:val="fr-FR"/>
              </w:rPr>
              <w:t>120</w:t>
            </w:r>
          </w:p>
        </w:tc>
        <w:tc>
          <w:tcPr>
            <w:tcW w:w="0" w:type="auto"/>
            <w:tcBorders>
              <w:top w:val="nil"/>
              <w:left w:val="single" w:sz="4" w:space="0" w:color="auto"/>
              <w:bottom w:val="single" w:sz="4" w:space="0" w:color="auto"/>
              <w:right w:val="single" w:sz="4" w:space="0" w:color="auto"/>
            </w:tcBorders>
            <w:vAlign w:val="center"/>
            <w:hideMark/>
          </w:tcPr>
          <w:p w14:paraId="2CE65D22" w14:textId="77777777" w:rsidR="00FF0D54" w:rsidRPr="009C5807" w:rsidRDefault="00FF0D54" w:rsidP="00781199">
            <w:pPr>
              <w:pStyle w:val="TAC"/>
              <w:rPr>
                <w:lang w:val="fr-FR" w:eastAsia="zh-CN"/>
              </w:rPr>
            </w:pPr>
          </w:p>
        </w:tc>
      </w:tr>
      <w:tr w:rsidR="00FF0D54" w:rsidRPr="009C5807" w14:paraId="1CABA7CE" w14:textId="77777777" w:rsidTr="00566CFE">
        <w:trPr>
          <w:jc w:val="center"/>
        </w:trPr>
        <w:tc>
          <w:tcPr>
            <w:tcW w:w="6662" w:type="dxa"/>
            <w:gridSpan w:val="3"/>
            <w:tcBorders>
              <w:top w:val="single" w:sz="4" w:space="0" w:color="auto"/>
              <w:left w:val="single" w:sz="4" w:space="0" w:color="auto"/>
              <w:bottom w:val="single" w:sz="4" w:space="0" w:color="auto"/>
              <w:right w:val="single" w:sz="4" w:space="0" w:color="auto"/>
            </w:tcBorders>
            <w:hideMark/>
          </w:tcPr>
          <w:p w14:paraId="4CE58853" w14:textId="77777777" w:rsidR="00FF0D54" w:rsidRPr="007C55F6" w:rsidRDefault="00FF0D54" w:rsidP="00781199">
            <w:pPr>
              <w:pStyle w:val="TAN"/>
              <w:rPr>
                <w:lang w:eastAsia="zh-CN"/>
              </w:rPr>
            </w:pPr>
            <w:r w:rsidRPr="007C55F6">
              <w:t>N</w:t>
            </w:r>
            <w:r w:rsidRPr="007C55F6">
              <w:rPr>
                <w:lang w:eastAsia="ko-KR"/>
              </w:rPr>
              <w:t xml:space="preserve">ote </w:t>
            </w:r>
            <w:r w:rsidRPr="007C55F6">
              <w:t>1:</w:t>
            </w:r>
            <w:r w:rsidRPr="007C55F6">
              <w:tab/>
              <w:t>DL Sub-carrier spacing is min{SCS</w:t>
            </w:r>
            <w:r w:rsidRPr="007C55F6">
              <w:rPr>
                <w:vertAlign w:val="subscript"/>
              </w:rPr>
              <w:t>SS</w:t>
            </w:r>
            <w:r w:rsidRPr="007C55F6">
              <w:t>, SCS</w:t>
            </w:r>
            <w:r w:rsidRPr="007C55F6">
              <w:rPr>
                <w:vertAlign w:val="subscript"/>
              </w:rPr>
              <w:t>DATA</w:t>
            </w:r>
            <w:r w:rsidRPr="007C55F6">
              <w:t>}.</w:t>
            </w:r>
          </w:p>
        </w:tc>
      </w:tr>
    </w:tbl>
    <w:p w14:paraId="772FF83F" w14:textId="77777777" w:rsidR="00FF0D54" w:rsidRPr="009C5807" w:rsidRDefault="00FF0D54" w:rsidP="00FF0D54"/>
    <w:p w14:paraId="071053F9" w14:textId="77777777" w:rsidR="00877F17" w:rsidRPr="009C5807" w:rsidRDefault="00877F17" w:rsidP="00877F17">
      <w:pPr>
        <w:pStyle w:val="Heading3"/>
      </w:pPr>
      <w:r w:rsidRPr="009C5807">
        <w:t>7.6.3</w:t>
      </w:r>
      <w:r w:rsidRPr="009C5807">
        <w:tab/>
        <w:t>Minimum Requirements for intra-band EN-DC</w:t>
      </w:r>
    </w:p>
    <w:p w14:paraId="18723102" w14:textId="41545019" w:rsidR="00877F17" w:rsidRPr="009C5807" w:rsidRDefault="00877F17" w:rsidP="00877F17">
      <w:pPr>
        <w:rPr>
          <w:rFonts w:cs="v4.2.0"/>
          <w:lang w:eastAsia="zh-CN"/>
        </w:rPr>
      </w:pPr>
      <w:r w:rsidRPr="009C5807">
        <w:rPr>
          <w:rFonts w:cs="v4.2.0"/>
        </w:rPr>
        <w:t xml:space="preserve">For intra-band </w:t>
      </w:r>
      <w:r w:rsidRPr="009C5807">
        <w:rPr>
          <w:rFonts w:cs="v4.2.0"/>
          <w:lang w:eastAsia="zh-CN"/>
        </w:rPr>
        <w:t>EN-DC</w:t>
      </w:r>
      <w:r w:rsidRPr="009C5807">
        <w:rPr>
          <w:rFonts w:cs="v4.2.0"/>
        </w:rPr>
        <w:t>, only</w:t>
      </w:r>
      <w:r w:rsidRPr="009C5807">
        <w:rPr>
          <w:rFonts w:cs="v4.2.0"/>
          <w:lang w:eastAsia="zh-CN"/>
        </w:rPr>
        <w:t xml:space="preserve"> </w:t>
      </w:r>
      <w:r w:rsidRPr="009C5807">
        <w:rPr>
          <w:rFonts w:cs="v4.2.0"/>
        </w:rPr>
        <w:t>co</w:t>
      </w:r>
      <w:r w:rsidR="00986A82" w:rsidRPr="009C5807">
        <w:rPr>
          <w:rFonts w:cs="v4.2.0"/>
        </w:rPr>
        <w:t>-</w:t>
      </w:r>
      <w:r w:rsidRPr="009C5807">
        <w:rPr>
          <w:rFonts w:cs="v4.2.0"/>
        </w:rPr>
        <w:t xml:space="preserve">located deployment is </w:t>
      </w:r>
      <w:r w:rsidRPr="009C5807">
        <w:rPr>
          <w:rFonts w:cs="v4.2.0"/>
          <w:lang w:eastAsia="zh-CN"/>
        </w:rPr>
        <w:t>applied.</w:t>
      </w:r>
    </w:p>
    <w:p w14:paraId="6FCED103" w14:textId="5140220C" w:rsidR="00877F17" w:rsidRPr="009C5807" w:rsidRDefault="00877F17" w:rsidP="00877F17">
      <w:pPr>
        <w:rPr>
          <w:rFonts w:cs="v4.2.0"/>
        </w:rPr>
      </w:pPr>
      <w:r w:rsidRPr="009C5807">
        <w:rPr>
          <w:rFonts w:cs="v4.2.0"/>
          <w:lang w:eastAsia="zh-CN"/>
        </w:rPr>
        <w:t>T</w:t>
      </w:r>
      <w:r w:rsidRPr="009C5807">
        <w:rPr>
          <w:rFonts w:cs="v4.2.0"/>
        </w:rPr>
        <w:t xml:space="preserve">he UE shall be capable of handling at least a relative receive timing difference between subframe timing of signal from a E-UTRA cell belonging to the MCG and slot timing of signal from a cell belonging to the SCG as shown in Table 7.6.2-1 </w:t>
      </w:r>
      <w:r w:rsidRPr="009C5807">
        <w:rPr>
          <w:rFonts w:cs="v4.2.0"/>
          <w:lang w:eastAsia="zh-CN"/>
        </w:rPr>
        <w:t xml:space="preserve">for E-UTRA FDD-NR FDD intra-band EN-DC </w:t>
      </w:r>
      <w:r w:rsidRPr="009C5807">
        <w:rPr>
          <w:rFonts w:cs="v4.2.0"/>
        </w:rPr>
        <w:t xml:space="preserve">provided the UE indicates that it is capable of asynchronous </w:t>
      </w:r>
      <w:r w:rsidRPr="009C5807">
        <w:rPr>
          <w:rFonts w:cs="v4.2.0"/>
          <w:lang w:eastAsia="zh-CN"/>
        </w:rPr>
        <w:t>EN-DC</w:t>
      </w:r>
      <w:r w:rsidRPr="009C5807">
        <w:rPr>
          <w:rFonts w:cs="v4.2.0"/>
        </w:rPr>
        <w:t xml:space="preserve"> </w:t>
      </w:r>
      <w:r w:rsidRPr="009C5807">
        <w:rPr>
          <w:rFonts w:cs="v4.2.0"/>
          <w:lang w:eastAsia="zh-CN"/>
        </w:rPr>
        <w:t xml:space="preserve">operation </w:t>
      </w:r>
      <w:r w:rsidR="00A07D6C" w:rsidRPr="009C5807">
        <w:rPr>
          <w:rFonts w:cs="v4.2.0"/>
        </w:rPr>
        <w:t>[2].</w:t>
      </w:r>
    </w:p>
    <w:p w14:paraId="173D98B0" w14:textId="1CEFE82E" w:rsidR="00013A72" w:rsidRPr="009C5807" w:rsidRDefault="00013A72" w:rsidP="00013A72">
      <w:pPr>
        <w:rPr>
          <w:rFonts w:cs="v4.2.0"/>
        </w:rPr>
      </w:pPr>
      <w:r w:rsidRPr="009C5807">
        <w:rPr>
          <w:rFonts w:cs="v4.2.0"/>
        </w:rPr>
        <w:t xml:space="preserve">The UE shall be capable of handling at least a relative receive timing difference between subframe timing of signal from a E-UTRA cell belonging to the MCG and slot timing of signal from a cell belonging to the SCG as shown in Table </w:t>
      </w:r>
      <w:r w:rsidRPr="009C5807">
        <w:rPr>
          <w:rFonts w:eastAsia="Malgun Gothic" w:cs="v4.2.0"/>
        </w:rPr>
        <w:t>7.6.3-1 for E-UTRA FDD-NR FDD and E-UTRA TDD-NR TDD intra-band EN-DC provided the UE does not indicate that it is capable of asynchronous FDD-FDD EN-DC operation [16]</w:t>
      </w:r>
      <w:r w:rsidRPr="009C5807">
        <w:rPr>
          <w:rFonts w:cs="v4.2.0"/>
        </w:rPr>
        <w:t xml:space="preserve">. </w:t>
      </w:r>
    </w:p>
    <w:p w14:paraId="54BDB5E9" w14:textId="77777777" w:rsidR="00877F17" w:rsidRPr="009C5807" w:rsidRDefault="00877F17" w:rsidP="00877F17">
      <w:pPr>
        <w:pStyle w:val="TH"/>
        <w:rPr>
          <w:snapToGrid w:val="0"/>
        </w:rPr>
      </w:pPr>
      <w:r w:rsidRPr="009C5807">
        <w:rPr>
          <w:snapToGrid w:val="0"/>
        </w:rPr>
        <w:t>Table 7.6.</w:t>
      </w:r>
      <w:r w:rsidRPr="009C5807">
        <w:rPr>
          <w:rFonts w:eastAsia="Malgun Gothic"/>
          <w:snapToGrid w:val="0"/>
        </w:rPr>
        <w:t>3</w:t>
      </w:r>
      <w:r w:rsidRPr="009C5807">
        <w:rPr>
          <w:snapToGrid w:val="0"/>
        </w:rPr>
        <w:t>-</w:t>
      </w:r>
      <w:r w:rsidRPr="009C5807">
        <w:rPr>
          <w:rFonts w:eastAsia="Malgun Gothic"/>
          <w:snapToGrid w:val="0"/>
        </w:rPr>
        <w:t>1</w:t>
      </w:r>
      <w:r w:rsidRPr="009C5807">
        <w:rPr>
          <w:snapToGrid w:val="0"/>
        </w:rPr>
        <w:t xml:space="preserve"> Maximum receive timing difference requirement for </w:t>
      </w:r>
      <w:r w:rsidRPr="009C5807">
        <w:rPr>
          <w:snapToGrid w:val="0"/>
          <w:lang w:eastAsia="zh-CN"/>
        </w:rPr>
        <w:t xml:space="preserve">intra-band </w:t>
      </w:r>
      <w:r w:rsidRPr="009C5807">
        <w:rPr>
          <w:snapToGrid w:val="0"/>
        </w:rPr>
        <w:t xml:space="preserve">synchronous </w:t>
      </w:r>
      <w:r w:rsidRPr="009C5807">
        <w:rPr>
          <w:snapToGrid w:val="0"/>
          <w:lang w:eastAsia="zh-CN"/>
        </w:rPr>
        <w:t>EN-DC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5"/>
        <w:gridCol w:w="2693"/>
      </w:tblGrid>
      <w:tr w:rsidR="00885F53" w:rsidRPr="009C5807" w14:paraId="0F2C8670" w14:textId="77777777" w:rsidTr="00AD1C20">
        <w:trPr>
          <w:jc w:val="center"/>
        </w:trPr>
        <w:tc>
          <w:tcPr>
            <w:tcW w:w="1984" w:type="dxa"/>
            <w:shd w:val="clear" w:color="auto" w:fill="auto"/>
          </w:tcPr>
          <w:p w14:paraId="0CF88B2E" w14:textId="77777777" w:rsidR="00877F17" w:rsidRPr="009C5807" w:rsidRDefault="00877F17" w:rsidP="00867D3A">
            <w:pPr>
              <w:pStyle w:val="TAH"/>
            </w:pPr>
            <w:r w:rsidRPr="009C5807">
              <w:t>Sub-carrier spacing of E-UTRA cell in MCG (kHz)</w:t>
            </w:r>
          </w:p>
        </w:tc>
        <w:tc>
          <w:tcPr>
            <w:tcW w:w="1985" w:type="dxa"/>
            <w:shd w:val="clear" w:color="auto" w:fill="auto"/>
          </w:tcPr>
          <w:p w14:paraId="36002DE4" w14:textId="77777777" w:rsidR="00877F17" w:rsidRPr="009C5807" w:rsidRDefault="00877F17" w:rsidP="00867D3A">
            <w:pPr>
              <w:pStyle w:val="TAH"/>
              <w:rPr>
                <w:rFonts w:eastAsia="Malgun Gothic"/>
              </w:rPr>
            </w:pPr>
            <w:r w:rsidRPr="009C5807">
              <w:t xml:space="preserve">DL Sub-carrier spacing of cell in SCG (kHz) </w:t>
            </w:r>
            <w:r w:rsidRPr="009C5807">
              <w:rPr>
                <w:vertAlign w:val="superscript"/>
              </w:rPr>
              <w:t>Note1</w:t>
            </w:r>
          </w:p>
        </w:tc>
        <w:tc>
          <w:tcPr>
            <w:tcW w:w="2693" w:type="dxa"/>
            <w:shd w:val="clear" w:color="auto" w:fill="auto"/>
          </w:tcPr>
          <w:p w14:paraId="3FED56ED" w14:textId="77777777" w:rsidR="00877F17" w:rsidRPr="009C5807" w:rsidRDefault="00877F17" w:rsidP="00867D3A">
            <w:pPr>
              <w:pStyle w:val="TAH"/>
            </w:pPr>
            <w:r w:rsidRPr="009C5807">
              <w:t>Maximum receive timing difference (µs)</w:t>
            </w:r>
          </w:p>
        </w:tc>
      </w:tr>
      <w:tr w:rsidR="00885F53" w:rsidRPr="009C5807" w14:paraId="7E2BBABB" w14:textId="77777777" w:rsidTr="00AD1C20">
        <w:trPr>
          <w:jc w:val="center"/>
        </w:trPr>
        <w:tc>
          <w:tcPr>
            <w:tcW w:w="1984" w:type="dxa"/>
            <w:shd w:val="clear" w:color="auto" w:fill="auto"/>
          </w:tcPr>
          <w:p w14:paraId="3A2E1CFA" w14:textId="77777777" w:rsidR="00877F17" w:rsidRPr="009C5807" w:rsidRDefault="00877F17" w:rsidP="00867D3A">
            <w:pPr>
              <w:pStyle w:val="TAC"/>
            </w:pPr>
            <w:r w:rsidRPr="009C5807">
              <w:t>15</w:t>
            </w:r>
          </w:p>
        </w:tc>
        <w:tc>
          <w:tcPr>
            <w:tcW w:w="1985" w:type="dxa"/>
            <w:shd w:val="clear" w:color="auto" w:fill="auto"/>
          </w:tcPr>
          <w:p w14:paraId="161A75B2" w14:textId="77777777" w:rsidR="00877F17" w:rsidRPr="009C5807" w:rsidRDefault="00877F17" w:rsidP="00867D3A">
            <w:pPr>
              <w:pStyle w:val="TAC"/>
            </w:pPr>
            <w:r w:rsidRPr="009C5807">
              <w:t>15</w:t>
            </w:r>
          </w:p>
        </w:tc>
        <w:tc>
          <w:tcPr>
            <w:tcW w:w="2693" w:type="dxa"/>
            <w:shd w:val="clear" w:color="auto" w:fill="auto"/>
          </w:tcPr>
          <w:p w14:paraId="1021DD19" w14:textId="77777777" w:rsidR="00877F17" w:rsidRPr="009C5807" w:rsidRDefault="00877F17" w:rsidP="00867D3A">
            <w:pPr>
              <w:pStyle w:val="TAC"/>
              <w:rPr>
                <w:rFonts w:eastAsia="Malgun Gothic"/>
              </w:rPr>
            </w:pPr>
            <w:r w:rsidRPr="009C5807">
              <w:rPr>
                <w:rFonts w:eastAsia="Malgun Gothic"/>
              </w:rPr>
              <w:t>3</w:t>
            </w:r>
          </w:p>
        </w:tc>
      </w:tr>
      <w:tr w:rsidR="00885F53" w:rsidRPr="009C5807" w14:paraId="013F0027" w14:textId="77777777" w:rsidTr="00AD1C20">
        <w:trPr>
          <w:jc w:val="center"/>
        </w:trPr>
        <w:tc>
          <w:tcPr>
            <w:tcW w:w="1984" w:type="dxa"/>
            <w:shd w:val="clear" w:color="auto" w:fill="auto"/>
          </w:tcPr>
          <w:p w14:paraId="6EA7900B" w14:textId="77777777" w:rsidR="00877F17" w:rsidRPr="009C5807" w:rsidRDefault="00877F17" w:rsidP="00867D3A">
            <w:pPr>
              <w:pStyle w:val="TAC"/>
            </w:pPr>
            <w:r w:rsidRPr="009C5807">
              <w:t>15</w:t>
            </w:r>
          </w:p>
        </w:tc>
        <w:tc>
          <w:tcPr>
            <w:tcW w:w="1985" w:type="dxa"/>
            <w:shd w:val="clear" w:color="auto" w:fill="auto"/>
          </w:tcPr>
          <w:p w14:paraId="2D4DD66E" w14:textId="77777777" w:rsidR="00877F17" w:rsidRPr="009C5807" w:rsidRDefault="00877F17" w:rsidP="00867D3A">
            <w:pPr>
              <w:pStyle w:val="TAC"/>
            </w:pPr>
            <w:r w:rsidRPr="009C5807">
              <w:t>30</w:t>
            </w:r>
          </w:p>
        </w:tc>
        <w:tc>
          <w:tcPr>
            <w:tcW w:w="2693" w:type="dxa"/>
            <w:shd w:val="clear" w:color="auto" w:fill="auto"/>
          </w:tcPr>
          <w:p w14:paraId="1E280B1C" w14:textId="77777777" w:rsidR="00877F17" w:rsidRPr="009C5807" w:rsidRDefault="00877F17" w:rsidP="00867D3A">
            <w:pPr>
              <w:pStyle w:val="TAC"/>
              <w:rPr>
                <w:rFonts w:eastAsia="Malgun Gothic"/>
              </w:rPr>
            </w:pPr>
            <w:r w:rsidRPr="009C5807">
              <w:rPr>
                <w:rFonts w:eastAsia="Malgun Gothic"/>
              </w:rPr>
              <w:t>3</w:t>
            </w:r>
          </w:p>
        </w:tc>
      </w:tr>
      <w:tr w:rsidR="00885F53" w:rsidRPr="009C5807" w14:paraId="6CB850DA" w14:textId="77777777" w:rsidTr="00AD1C20">
        <w:trPr>
          <w:jc w:val="center"/>
        </w:trPr>
        <w:tc>
          <w:tcPr>
            <w:tcW w:w="1984" w:type="dxa"/>
            <w:shd w:val="clear" w:color="auto" w:fill="auto"/>
          </w:tcPr>
          <w:p w14:paraId="68F57683" w14:textId="77777777" w:rsidR="00877F17" w:rsidRPr="009C5807" w:rsidRDefault="00877F17" w:rsidP="00867D3A">
            <w:pPr>
              <w:pStyle w:val="TAC"/>
            </w:pPr>
            <w:r w:rsidRPr="009C5807">
              <w:t>15</w:t>
            </w:r>
          </w:p>
        </w:tc>
        <w:tc>
          <w:tcPr>
            <w:tcW w:w="1985" w:type="dxa"/>
            <w:shd w:val="clear" w:color="auto" w:fill="auto"/>
          </w:tcPr>
          <w:p w14:paraId="2BD06F16" w14:textId="77777777" w:rsidR="00877F17" w:rsidRPr="009C5807" w:rsidRDefault="00877F17" w:rsidP="00867D3A">
            <w:pPr>
              <w:pStyle w:val="TAC"/>
            </w:pPr>
            <w:r w:rsidRPr="009C5807">
              <w:t>60</w:t>
            </w:r>
          </w:p>
        </w:tc>
        <w:tc>
          <w:tcPr>
            <w:tcW w:w="2693" w:type="dxa"/>
            <w:shd w:val="clear" w:color="auto" w:fill="auto"/>
          </w:tcPr>
          <w:p w14:paraId="764268B8" w14:textId="77777777" w:rsidR="00877F17" w:rsidRPr="009C5807" w:rsidRDefault="00877F17" w:rsidP="00867D3A">
            <w:pPr>
              <w:pStyle w:val="TAC"/>
              <w:rPr>
                <w:rFonts w:eastAsia="Malgun Gothic"/>
              </w:rPr>
            </w:pPr>
            <w:r w:rsidRPr="009C5807">
              <w:rPr>
                <w:rFonts w:eastAsia="Malgun Gothic"/>
              </w:rPr>
              <w:t>3</w:t>
            </w:r>
          </w:p>
        </w:tc>
      </w:tr>
      <w:tr w:rsidR="00877F17" w:rsidRPr="009C5807" w14:paraId="625A841C" w14:textId="77777777" w:rsidTr="00AD1C20">
        <w:trPr>
          <w:jc w:val="center"/>
        </w:trPr>
        <w:tc>
          <w:tcPr>
            <w:tcW w:w="6662" w:type="dxa"/>
            <w:gridSpan w:val="3"/>
            <w:shd w:val="clear" w:color="auto" w:fill="auto"/>
          </w:tcPr>
          <w:p w14:paraId="7602BEB1" w14:textId="77777777" w:rsidR="00877F17" w:rsidRPr="009C5807" w:rsidRDefault="00877F17" w:rsidP="00867D3A">
            <w:pPr>
              <w:pStyle w:val="TAN"/>
            </w:pPr>
            <w:r w:rsidRPr="009C5807">
              <w:rPr>
                <w:lang w:eastAsia="ko-KR"/>
              </w:rPr>
              <w:t xml:space="preserve">NOTE </w:t>
            </w:r>
            <w:r w:rsidRPr="009C5807">
              <w:t>1:</w:t>
            </w:r>
            <w:r w:rsidRPr="009C5807">
              <w:tab/>
              <w:t>DL Sub-carrier spacing is min{SCS</w:t>
            </w:r>
            <w:r w:rsidRPr="009C5807">
              <w:rPr>
                <w:vertAlign w:val="subscript"/>
              </w:rPr>
              <w:t>SS</w:t>
            </w:r>
            <w:r w:rsidRPr="009C5807">
              <w:t>, SCS</w:t>
            </w:r>
            <w:r w:rsidRPr="009C5807">
              <w:rPr>
                <w:vertAlign w:val="subscript"/>
              </w:rPr>
              <w:t>DATA</w:t>
            </w:r>
            <w:r w:rsidRPr="009C5807">
              <w:t>}.</w:t>
            </w:r>
          </w:p>
        </w:tc>
      </w:tr>
    </w:tbl>
    <w:p w14:paraId="458B1118" w14:textId="77777777" w:rsidR="00877F17" w:rsidRPr="009C5807" w:rsidRDefault="00877F17" w:rsidP="00877F17">
      <w:pPr>
        <w:rPr>
          <w:lang w:eastAsia="ko-KR"/>
        </w:rPr>
      </w:pPr>
    </w:p>
    <w:p w14:paraId="031BA748" w14:textId="0BD466F6" w:rsidR="00877F17" w:rsidRPr="009C5807" w:rsidRDefault="00877F17" w:rsidP="00877F17">
      <w:pPr>
        <w:pStyle w:val="TH"/>
      </w:pPr>
      <w:r w:rsidRPr="009C5807">
        <w:t>Table 7.6.3-</w:t>
      </w:r>
      <w:r w:rsidRPr="009C5807">
        <w:rPr>
          <w:lang w:eastAsia="ko-KR"/>
        </w:rPr>
        <w:t>2</w:t>
      </w:r>
      <w:r w:rsidR="00E019D3">
        <w:rPr>
          <w:lang w:eastAsia="ko-KR"/>
        </w:rPr>
        <w:t xml:space="preserve">: </w:t>
      </w:r>
      <w:r w:rsidRPr="009C5807">
        <w:rPr>
          <w:lang w:eastAsia="ko-KR"/>
        </w:rPr>
        <w:t>Void</w:t>
      </w:r>
    </w:p>
    <w:p w14:paraId="56ED154D" w14:textId="77777777" w:rsidR="00877F17" w:rsidRPr="009C5807" w:rsidRDefault="00877F17" w:rsidP="00877F17">
      <w:pPr>
        <w:rPr>
          <w:lang w:eastAsia="ko-KR"/>
        </w:rPr>
      </w:pPr>
    </w:p>
    <w:p w14:paraId="605701E4" w14:textId="77777777" w:rsidR="00877F17" w:rsidRPr="009C5807" w:rsidRDefault="00877F17" w:rsidP="00877F17">
      <w:pPr>
        <w:pStyle w:val="Heading3"/>
        <w:rPr>
          <w:lang w:eastAsia="ko-KR"/>
        </w:rPr>
      </w:pPr>
      <w:r w:rsidRPr="009C5807">
        <w:rPr>
          <w:lang w:eastAsia="ko-KR"/>
        </w:rPr>
        <w:t>7.6.</w:t>
      </w:r>
      <w:r w:rsidRPr="009C5807">
        <w:rPr>
          <w:rFonts w:eastAsia="Malgun Gothic"/>
          <w:lang w:eastAsia="ko-KR"/>
        </w:rPr>
        <w:t>4</w:t>
      </w:r>
      <w:r w:rsidRPr="009C5807">
        <w:rPr>
          <w:lang w:eastAsia="ko-KR"/>
        </w:rPr>
        <w:tab/>
        <w:t>Minimum Requirements for NR Carrier Aggregation</w:t>
      </w:r>
    </w:p>
    <w:p w14:paraId="04F06D49" w14:textId="77777777" w:rsidR="00877F17" w:rsidRPr="009C5807" w:rsidRDefault="00877F17" w:rsidP="00877F17">
      <w:pPr>
        <w:rPr>
          <w:rFonts w:cs="v4.2.0"/>
        </w:rPr>
      </w:pPr>
      <w:r w:rsidRPr="009C5807">
        <w:rPr>
          <w:rFonts w:cs="v4.2.0"/>
        </w:rPr>
        <w:t xml:space="preserve">For intra-band </w:t>
      </w:r>
      <w:r w:rsidRPr="009C5807">
        <w:rPr>
          <w:rFonts w:eastAsia="Malgun Gothic" w:cs="v4.2.0"/>
          <w:lang w:eastAsia="zh-CN"/>
        </w:rPr>
        <w:t>CA</w:t>
      </w:r>
      <w:r w:rsidRPr="009C5807">
        <w:rPr>
          <w:rFonts w:cs="v4.2.0"/>
        </w:rPr>
        <w:t>, only</w:t>
      </w:r>
      <w:r w:rsidRPr="009C5807">
        <w:rPr>
          <w:rFonts w:cs="v4.2.0"/>
          <w:lang w:eastAsia="zh-CN"/>
        </w:rPr>
        <w:t xml:space="preserve"> </w:t>
      </w:r>
      <w:r w:rsidRPr="009C5807">
        <w:rPr>
          <w:rFonts w:cs="v4.2.0"/>
        </w:rPr>
        <w:t xml:space="preserve">co-located deployment is </w:t>
      </w:r>
      <w:r w:rsidRPr="009C5807">
        <w:rPr>
          <w:rFonts w:cs="v4.2.0"/>
          <w:lang w:eastAsia="zh-CN"/>
        </w:rPr>
        <w:t>applied.</w:t>
      </w:r>
      <w:r w:rsidRPr="009C5807">
        <w:rPr>
          <w:rFonts w:eastAsia="Malgun Gothic" w:cs="v4.2.0"/>
          <w:lang w:eastAsia="zh-CN"/>
        </w:rPr>
        <w:t xml:space="preserve"> </w:t>
      </w:r>
      <w:r w:rsidRPr="009C5807">
        <w:rPr>
          <w:rFonts w:cs="v4.2.0"/>
        </w:rPr>
        <w:t>For intra-band non-contiguous NR carrier aggregation, the UE shall be capable of handling at least a relative receive timing difference between slot timing of different carriers to be aggregated at the UE receiver as shown in Table 7.6.</w:t>
      </w:r>
      <w:r w:rsidRPr="009C5807">
        <w:rPr>
          <w:rFonts w:eastAsia="Malgun Gothic" w:cs="v4.2.0"/>
        </w:rPr>
        <w:t>4</w:t>
      </w:r>
      <w:r w:rsidRPr="009C5807">
        <w:rPr>
          <w:rFonts w:cs="v4.2.0"/>
        </w:rPr>
        <w:t>-1 below.</w:t>
      </w:r>
    </w:p>
    <w:p w14:paraId="6FB4621B" w14:textId="77777777" w:rsidR="00F71F39" w:rsidRPr="009C5807" w:rsidRDefault="00F71F39" w:rsidP="00F71F39">
      <w:pPr>
        <w:pStyle w:val="TH"/>
        <w:rPr>
          <w:rFonts w:eastAsia="Malgun Gothic"/>
          <w:snapToGrid w:val="0"/>
          <w:lang w:eastAsia="ko-KR"/>
        </w:rPr>
      </w:pPr>
      <w:r w:rsidRPr="009C5807">
        <w:rPr>
          <w:snapToGrid w:val="0"/>
        </w:rPr>
        <w:t>Table 7.6.</w:t>
      </w:r>
      <w:r w:rsidRPr="009C5807">
        <w:rPr>
          <w:rFonts w:eastAsia="Malgun Gothic"/>
          <w:snapToGrid w:val="0"/>
        </w:rPr>
        <w:t>4</w:t>
      </w:r>
      <w:r w:rsidRPr="009C5807">
        <w:rPr>
          <w:snapToGrid w:val="0"/>
        </w:rPr>
        <w:t>-</w:t>
      </w:r>
      <w:r w:rsidRPr="009C5807">
        <w:rPr>
          <w:rFonts w:eastAsia="Malgun Gothic"/>
          <w:snapToGrid w:val="0"/>
        </w:rPr>
        <w:t>1</w:t>
      </w:r>
      <w:r w:rsidRPr="009C5807">
        <w:rPr>
          <w:rFonts w:eastAsia="Malgun Gothic"/>
          <w:snapToGrid w:val="0"/>
          <w:lang w:eastAsia="ko-KR"/>
        </w:rPr>
        <w:t>:</w:t>
      </w:r>
      <w:r w:rsidRPr="009C5807">
        <w:rPr>
          <w:snapToGrid w:val="0"/>
        </w:rPr>
        <w:t xml:space="preserve"> Maximum receive timing difference requirement for intra-band non-contiguous NR carrier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3003"/>
      </w:tblGrid>
      <w:tr w:rsidR="00F71F39" w:rsidRPr="009C5807" w14:paraId="70FAF141" w14:textId="77777777" w:rsidTr="00625412">
        <w:trPr>
          <w:jc w:val="center"/>
        </w:trPr>
        <w:tc>
          <w:tcPr>
            <w:tcW w:w="2251" w:type="dxa"/>
            <w:shd w:val="clear" w:color="auto" w:fill="auto"/>
          </w:tcPr>
          <w:p w14:paraId="7624A3FC" w14:textId="77777777" w:rsidR="00F71F39" w:rsidRPr="009C5807" w:rsidRDefault="00F71F39" w:rsidP="00625412">
            <w:pPr>
              <w:pStyle w:val="TAH"/>
            </w:pPr>
            <w:r w:rsidRPr="009C5807">
              <w:t>Frequency Range</w:t>
            </w:r>
          </w:p>
        </w:tc>
        <w:tc>
          <w:tcPr>
            <w:tcW w:w="3003" w:type="dxa"/>
            <w:shd w:val="clear" w:color="auto" w:fill="auto"/>
          </w:tcPr>
          <w:p w14:paraId="76B3F640" w14:textId="77777777" w:rsidR="00F71F39" w:rsidRPr="009C5807" w:rsidRDefault="00F71F39" w:rsidP="00625412">
            <w:pPr>
              <w:pStyle w:val="TAH"/>
            </w:pPr>
            <w:r w:rsidRPr="009C5807">
              <w:t xml:space="preserve">Maximum receive timing difference (µs) </w:t>
            </w:r>
          </w:p>
        </w:tc>
      </w:tr>
      <w:tr w:rsidR="00F71F39" w:rsidRPr="009C5807" w14:paraId="0F0A6547" w14:textId="77777777" w:rsidTr="00625412">
        <w:trPr>
          <w:jc w:val="center"/>
        </w:trPr>
        <w:tc>
          <w:tcPr>
            <w:tcW w:w="2251" w:type="dxa"/>
            <w:shd w:val="clear" w:color="auto" w:fill="auto"/>
          </w:tcPr>
          <w:p w14:paraId="66063C21" w14:textId="77777777" w:rsidR="00F71F39" w:rsidRPr="009C5807" w:rsidRDefault="00F71F39" w:rsidP="00625412">
            <w:pPr>
              <w:pStyle w:val="TAC"/>
            </w:pPr>
            <w:r w:rsidRPr="009C5807">
              <w:t>FR1</w:t>
            </w:r>
          </w:p>
        </w:tc>
        <w:tc>
          <w:tcPr>
            <w:tcW w:w="3003" w:type="dxa"/>
            <w:shd w:val="clear" w:color="auto" w:fill="auto"/>
          </w:tcPr>
          <w:p w14:paraId="183D9F06" w14:textId="77777777" w:rsidR="00F71F39" w:rsidRPr="009C5807" w:rsidRDefault="00F71F39" w:rsidP="00625412">
            <w:pPr>
              <w:pStyle w:val="TAC"/>
            </w:pPr>
            <w:r w:rsidRPr="009C5807">
              <w:t>3</w:t>
            </w:r>
            <w:r w:rsidRPr="009C5807">
              <w:rPr>
                <w:vertAlign w:val="superscript"/>
              </w:rPr>
              <w:t>1</w:t>
            </w:r>
          </w:p>
        </w:tc>
      </w:tr>
      <w:tr w:rsidR="00F71F39" w:rsidRPr="009C5807" w14:paraId="73845232" w14:textId="77777777" w:rsidTr="00625412">
        <w:trPr>
          <w:jc w:val="center"/>
        </w:trPr>
        <w:tc>
          <w:tcPr>
            <w:tcW w:w="2251" w:type="dxa"/>
            <w:shd w:val="clear" w:color="auto" w:fill="auto"/>
          </w:tcPr>
          <w:p w14:paraId="1CDBFBD5" w14:textId="77777777" w:rsidR="00F71F39" w:rsidRPr="009C5807" w:rsidRDefault="00F71F39" w:rsidP="00625412">
            <w:pPr>
              <w:pStyle w:val="TAC"/>
            </w:pPr>
            <w:r w:rsidRPr="00415158">
              <w:rPr>
                <w:rFonts w:eastAsiaTheme="minorEastAsia"/>
              </w:rPr>
              <w:t>FR2-1</w:t>
            </w:r>
          </w:p>
        </w:tc>
        <w:tc>
          <w:tcPr>
            <w:tcW w:w="3003" w:type="dxa"/>
            <w:shd w:val="clear" w:color="auto" w:fill="auto"/>
          </w:tcPr>
          <w:p w14:paraId="3E58E635" w14:textId="77777777" w:rsidR="00F71F39" w:rsidRPr="009C5807" w:rsidRDefault="00F71F39" w:rsidP="00625412">
            <w:pPr>
              <w:pStyle w:val="TAC"/>
            </w:pPr>
            <w:r w:rsidRPr="00415158">
              <w:rPr>
                <w:rFonts w:eastAsiaTheme="minorEastAsia"/>
              </w:rPr>
              <w:t>0.26</w:t>
            </w:r>
          </w:p>
        </w:tc>
      </w:tr>
      <w:tr w:rsidR="00F71F39" w:rsidRPr="009C5807" w14:paraId="2878A53D" w14:textId="77777777" w:rsidTr="00625412">
        <w:trPr>
          <w:jc w:val="center"/>
        </w:trPr>
        <w:tc>
          <w:tcPr>
            <w:tcW w:w="5254" w:type="dxa"/>
            <w:gridSpan w:val="2"/>
            <w:shd w:val="clear" w:color="auto" w:fill="auto"/>
          </w:tcPr>
          <w:p w14:paraId="18F92121" w14:textId="77777777" w:rsidR="00F71F39" w:rsidRPr="009C5807" w:rsidRDefault="00F71F39" w:rsidP="00625412">
            <w:pPr>
              <w:pStyle w:val="TAN"/>
            </w:pPr>
            <w:r w:rsidRPr="009C5807">
              <w:rPr>
                <w:rFonts w:eastAsia="Yu Mincho" w:hint="eastAsia"/>
                <w:lang w:eastAsia="ja-JP"/>
              </w:rPr>
              <w:t>N</w:t>
            </w:r>
            <w:r w:rsidRPr="009C5807">
              <w:rPr>
                <w:rFonts w:eastAsia="Yu Mincho"/>
                <w:lang w:eastAsia="ja-JP"/>
              </w:rPr>
              <w:t>ote 1:</w:t>
            </w:r>
            <w:r>
              <w:tab/>
            </w:r>
            <w:r w:rsidRPr="009C5807">
              <w:rPr>
                <w:lang w:val="en-US" w:eastAsia="ja-JP"/>
              </w:rPr>
              <w:t>In the case of different SCS on different CCs, if the receive time difference exceeds the cyclic prefix length of that SCS, demodulation performance degradation is expected for the first symbol of the slot.</w:t>
            </w:r>
          </w:p>
        </w:tc>
      </w:tr>
    </w:tbl>
    <w:p w14:paraId="3767DC1E" w14:textId="77777777" w:rsidR="00F71F39" w:rsidRPr="009C5807" w:rsidRDefault="00F71F39" w:rsidP="00F71F39">
      <w:pPr>
        <w:rPr>
          <w:i/>
        </w:rPr>
      </w:pPr>
    </w:p>
    <w:p w14:paraId="5DF4851C" w14:textId="77777777" w:rsidR="00F71F39" w:rsidRDefault="00F71F39" w:rsidP="00F71F39">
      <w:pPr>
        <w:rPr>
          <w:rFonts w:cs="v4.2.0"/>
        </w:rPr>
      </w:pPr>
      <w:r w:rsidRPr="009C5807">
        <w:rPr>
          <w:rFonts w:cs="v4.2.0"/>
        </w:rPr>
        <w:t xml:space="preserve">For inter-band NR carrier aggregation, </w:t>
      </w:r>
    </w:p>
    <w:p w14:paraId="08A36A34" w14:textId="7BCB1055" w:rsidR="00F71F39" w:rsidRPr="00D01FE3" w:rsidRDefault="00F71F39" w:rsidP="00F71F39">
      <w:pPr>
        <w:pStyle w:val="B10"/>
      </w:pPr>
      <w:r>
        <w:t>-</w:t>
      </w:r>
      <w:r>
        <w:tab/>
      </w:r>
      <w:r w:rsidRPr="00F71F39">
        <w:t>the UE shall be capable of handling at least a relative receive timing difference between slot timing of all pairs of carriers in FR1 and FR2-1 to be aggregated at the UE receiver as</w:t>
      </w:r>
      <w:r w:rsidRPr="00E12103">
        <w:rPr>
          <w:rFonts w:cs="v4.2.0"/>
        </w:rPr>
        <w:t xml:space="preserve"> shown in Table 7.6.</w:t>
      </w:r>
      <w:r w:rsidRPr="00E12103">
        <w:rPr>
          <w:rFonts w:eastAsia="Malgun Gothic" w:cs="v4.2.0"/>
        </w:rPr>
        <w:t>4</w:t>
      </w:r>
      <w:r w:rsidRPr="00E12103">
        <w:rPr>
          <w:rFonts w:cs="v4.2.0"/>
        </w:rPr>
        <w:t>-2 below.</w:t>
      </w:r>
    </w:p>
    <w:p w14:paraId="002DF701" w14:textId="11A6C2B4" w:rsidR="00F71F39" w:rsidRDefault="00F71F39" w:rsidP="00F71F39">
      <w:pPr>
        <w:pStyle w:val="B10"/>
      </w:pPr>
      <w:r>
        <w:t>-</w:t>
      </w:r>
      <w:r>
        <w:tab/>
      </w:r>
      <w:r w:rsidRPr="00E12103">
        <w:t xml:space="preserve">the UE shall be capable of handling at least a relative receive timing difference between </w:t>
      </w:r>
      <w:r>
        <w:t>subframe</w:t>
      </w:r>
      <w:r w:rsidRPr="00E12103">
        <w:t xml:space="preserve"> timing of all pairs of carriers</w:t>
      </w:r>
      <w:r>
        <w:t xml:space="preserve"> in FR1 and FR2-2</w:t>
      </w:r>
      <w:r w:rsidRPr="00E12103">
        <w:t xml:space="preserve"> to be aggregated at the UE receiver as shown in Table 7.6.</w:t>
      </w:r>
      <w:r w:rsidRPr="00E12103">
        <w:rPr>
          <w:rFonts w:eastAsia="Malgun Gothic"/>
        </w:rPr>
        <w:t>4</w:t>
      </w:r>
      <w:r w:rsidRPr="00E12103">
        <w:t>-2 below.</w:t>
      </w:r>
    </w:p>
    <w:p w14:paraId="4588412B" w14:textId="77777777" w:rsidR="00B07AD8" w:rsidRPr="009C5807" w:rsidRDefault="00B07AD8" w:rsidP="00B07AD8">
      <w:pPr>
        <w:pStyle w:val="B10"/>
      </w:pPr>
    </w:p>
    <w:p w14:paraId="1738D6EE" w14:textId="77777777" w:rsidR="00B07AD8" w:rsidRPr="009C5807" w:rsidRDefault="00B07AD8" w:rsidP="00B07AD8">
      <w:pPr>
        <w:pStyle w:val="TH"/>
        <w:rPr>
          <w:rFonts w:eastAsia="Malgun Gothic"/>
          <w:lang w:eastAsia="ko-KR"/>
        </w:rPr>
      </w:pPr>
      <w:r w:rsidRPr="009C5807">
        <w:t>Table 7.6.</w:t>
      </w:r>
      <w:r w:rsidRPr="009C5807">
        <w:rPr>
          <w:rFonts w:eastAsia="Malgun Gothic"/>
        </w:rPr>
        <w:t>4</w:t>
      </w:r>
      <w:r w:rsidRPr="009C5807">
        <w:t>-2</w:t>
      </w:r>
      <w:r w:rsidRPr="009C5807">
        <w:rPr>
          <w:lang w:eastAsia="ko-KR"/>
        </w:rPr>
        <w:t>:</w:t>
      </w:r>
      <w:r w:rsidRPr="009C5807">
        <w:t xml:space="preserve"> Maximum receive timing difference requirement for inter-band NR carrier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3003"/>
      </w:tblGrid>
      <w:tr w:rsidR="00B07AD8" w:rsidRPr="009C5807" w14:paraId="5D66A688" w14:textId="77777777" w:rsidTr="00625412">
        <w:trPr>
          <w:jc w:val="center"/>
        </w:trPr>
        <w:tc>
          <w:tcPr>
            <w:tcW w:w="2251" w:type="dxa"/>
            <w:shd w:val="clear" w:color="auto" w:fill="auto"/>
          </w:tcPr>
          <w:p w14:paraId="7A9A26CC" w14:textId="77777777" w:rsidR="00B07AD8" w:rsidRPr="009C5807" w:rsidRDefault="00B07AD8" w:rsidP="00625412">
            <w:pPr>
              <w:pStyle w:val="TAH"/>
            </w:pPr>
            <w:r w:rsidRPr="009C5807">
              <w:t>Frequency Range of the pair of carriers</w:t>
            </w:r>
          </w:p>
        </w:tc>
        <w:tc>
          <w:tcPr>
            <w:tcW w:w="3003" w:type="dxa"/>
            <w:shd w:val="clear" w:color="auto" w:fill="auto"/>
          </w:tcPr>
          <w:p w14:paraId="06CF651C" w14:textId="77777777" w:rsidR="00B07AD8" w:rsidRPr="009C5807" w:rsidRDefault="00B07AD8" w:rsidP="00625412">
            <w:pPr>
              <w:pStyle w:val="TAH"/>
            </w:pPr>
            <w:r w:rsidRPr="009C5807">
              <w:t xml:space="preserve">Maximum receive timing difference (µs) </w:t>
            </w:r>
          </w:p>
        </w:tc>
      </w:tr>
      <w:tr w:rsidR="00B07AD8" w:rsidRPr="009C5807" w14:paraId="7CE447D3" w14:textId="77777777" w:rsidTr="00625412">
        <w:trPr>
          <w:jc w:val="center"/>
        </w:trPr>
        <w:tc>
          <w:tcPr>
            <w:tcW w:w="2251" w:type="dxa"/>
            <w:shd w:val="clear" w:color="auto" w:fill="auto"/>
          </w:tcPr>
          <w:p w14:paraId="460F948F" w14:textId="77777777" w:rsidR="00B07AD8" w:rsidRPr="009C5807" w:rsidRDefault="00B07AD8" w:rsidP="00625412">
            <w:pPr>
              <w:pStyle w:val="TAC"/>
            </w:pPr>
            <w:r w:rsidRPr="009C5807">
              <w:t>FR1</w:t>
            </w:r>
          </w:p>
        </w:tc>
        <w:tc>
          <w:tcPr>
            <w:tcW w:w="3003" w:type="dxa"/>
            <w:shd w:val="clear" w:color="auto" w:fill="auto"/>
          </w:tcPr>
          <w:p w14:paraId="5EC31407" w14:textId="77777777" w:rsidR="00B07AD8" w:rsidRPr="009C5807" w:rsidRDefault="00B07AD8" w:rsidP="00625412">
            <w:pPr>
              <w:pStyle w:val="TAC"/>
            </w:pPr>
            <w:r w:rsidRPr="009C5807">
              <w:t>33</w:t>
            </w:r>
          </w:p>
        </w:tc>
      </w:tr>
      <w:tr w:rsidR="00B07AD8" w:rsidRPr="009C5807" w14:paraId="1EAE9F13" w14:textId="77777777" w:rsidTr="00625412">
        <w:trPr>
          <w:jc w:val="center"/>
        </w:trPr>
        <w:tc>
          <w:tcPr>
            <w:tcW w:w="2251" w:type="dxa"/>
            <w:shd w:val="clear" w:color="auto" w:fill="auto"/>
          </w:tcPr>
          <w:p w14:paraId="5CA47072" w14:textId="77777777" w:rsidR="00B07AD8" w:rsidRPr="009C5807" w:rsidRDefault="00B07AD8" w:rsidP="00625412">
            <w:pPr>
              <w:pStyle w:val="TAC"/>
            </w:pPr>
            <w:r w:rsidRPr="00415158">
              <w:rPr>
                <w:rFonts w:eastAsiaTheme="minorEastAsia"/>
              </w:rPr>
              <w:t>FR2-1</w:t>
            </w:r>
          </w:p>
        </w:tc>
        <w:tc>
          <w:tcPr>
            <w:tcW w:w="3003" w:type="dxa"/>
            <w:shd w:val="clear" w:color="auto" w:fill="auto"/>
          </w:tcPr>
          <w:p w14:paraId="2B7ABCED" w14:textId="77777777" w:rsidR="00B07AD8" w:rsidRPr="009C5807" w:rsidRDefault="00B07AD8" w:rsidP="00625412">
            <w:pPr>
              <w:pStyle w:val="TAC"/>
            </w:pPr>
            <w:r w:rsidRPr="00415158">
              <w:rPr>
                <w:rFonts w:eastAsiaTheme="minorEastAsia"/>
              </w:rPr>
              <w:t>8</w:t>
            </w:r>
            <w:r w:rsidRPr="00415158">
              <w:rPr>
                <w:rFonts w:eastAsiaTheme="minorEastAsia"/>
                <w:vertAlign w:val="superscript"/>
              </w:rPr>
              <w:t xml:space="preserve"> note1</w:t>
            </w:r>
          </w:p>
        </w:tc>
      </w:tr>
      <w:tr w:rsidR="00B07AD8" w:rsidRPr="009C5807" w14:paraId="56F09FE3" w14:textId="77777777" w:rsidTr="00625412">
        <w:trPr>
          <w:jc w:val="center"/>
        </w:trPr>
        <w:tc>
          <w:tcPr>
            <w:tcW w:w="2251" w:type="dxa"/>
            <w:shd w:val="clear" w:color="auto" w:fill="auto"/>
          </w:tcPr>
          <w:p w14:paraId="2C19609D" w14:textId="77777777" w:rsidR="00B07AD8" w:rsidRPr="009C5807" w:rsidRDefault="00B07AD8" w:rsidP="00625412">
            <w:pPr>
              <w:pStyle w:val="TAC"/>
            </w:pPr>
            <w:r w:rsidRPr="00415158">
              <w:rPr>
                <w:rFonts w:eastAsiaTheme="minorEastAsia"/>
              </w:rPr>
              <w:t>Between FR1 and FR2-1</w:t>
            </w:r>
          </w:p>
        </w:tc>
        <w:tc>
          <w:tcPr>
            <w:tcW w:w="3003" w:type="dxa"/>
            <w:shd w:val="clear" w:color="auto" w:fill="auto"/>
          </w:tcPr>
          <w:p w14:paraId="649C302A" w14:textId="77777777" w:rsidR="00B07AD8" w:rsidRPr="009C5807" w:rsidRDefault="00B07AD8" w:rsidP="00625412">
            <w:pPr>
              <w:pStyle w:val="TAC"/>
            </w:pPr>
            <w:r w:rsidRPr="00415158">
              <w:rPr>
                <w:rFonts w:eastAsiaTheme="minorEastAsia"/>
                <w:lang w:eastAsia="zh-CN"/>
              </w:rPr>
              <w:t xml:space="preserve">25 </w:t>
            </w:r>
          </w:p>
        </w:tc>
      </w:tr>
      <w:tr w:rsidR="00B07AD8" w:rsidRPr="009C5807" w14:paraId="67E3CA49" w14:textId="77777777" w:rsidTr="00625412">
        <w:trPr>
          <w:jc w:val="center"/>
        </w:trPr>
        <w:tc>
          <w:tcPr>
            <w:tcW w:w="2251" w:type="dxa"/>
            <w:shd w:val="clear" w:color="auto" w:fill="auto"/>
          </w:tcPr>
          <w:p w14:paraId="68329F21" w14:textId="77777777" w:rsidR="00B07AD8" w:rsidRPr="009C5807" w:rsidRDefault="00B07AD8" w:rsidP="00625412">
            <w:pPr>
              <w:pStyle w:val="TAC"/>
            </w:pPr>
            <w:r w:rsidRPr="00415158">
              <w:rPr>
                <w:rFonts w:eastAsiaTheme="minorEastAsia"/>
              </w:rPr>
              <w:t>Between FR1 and FR2-2</w:t>
            </w:r>
          </w:p>
        </w:tc>
        <w:tc>
          <w:tcPr>
            <w:tcW w:w="3003" w:type="dxa"/>
            <w:shd w:val="clear" w:color="auto" w:fill="auto"/>
          </w:tcPr>
          <w:p w14:paraId="790FA2C1" w14:textId="7F86690A" w:rsidR="00B07AD8" w:rsidRPr="009C5807" w:rsidRDefault="00B07AD8" w:rsidP="00625412">
            <w:pPr>
              <w:pStyle w:val="TAC"/>
              <w:rPr>
                <w:lang w:eastAsia="zh-CN"/>
              </w:rPr>
            </w:pPr>
            <w:r>
              <w:rPr>
                <w:rFonts w:eastAsiaTheme="minorEastAsia"/>
                <w:lang w:eastAsia="zh-CN"/>
              </w:rPr>
              <w:t>25</w:t>
            </w:r>
          </w:p>
        </w:tc>
      </w:tr>
      <w:tr w:rsidR="00B07AD8" w:rsidRPr="009C5807" w14:paraId="7117FBAD" w14:textId="77777777" w:rsidTr="00625412">
        <w:trPr>
          <w:jc w:val="center"/>
        </w:trPr>
        <w:tc>
          <w:tcPr>
            <w:tcW w:w="5254" w:type="dxa"/>
            <w:gridSpan w:val="2"/>
            <w:shd w:val="clear" w:color="auto" w:fill="auto"/>
          </w:tcPr>
          <w:p w14:paraId="28D43C3F" w14:textId="77777777" w:rsidR="00B07AD8" w:rsidRPr="009C5807" w:rsidRDefault="00B07AD8" w:rsidP="00625412">
            <w:pPr>
              <w:pStyle w:val="TAN"/>
              <w:rPr>
                <w:lang w:eastAsia="zh-CN"/>
              </w:rPr>
            </w:pPr>
            <w:r w:rsidRPr="00415158">
              <w:rPr>
                <w:rFonts w:eastAsiaTheme="minorEastAsia"/>
                <w:lang w:eastAsia="zh-CN"/>
              </w:rPr>
              <w:t>Note1:</w:t>
            </w:r>
            <w:r w:rsidRPr="00415158">
              <w:rPr>
                <w:rFonts w:eastAsiaTheme="minorEastAsia"/>
              </w:rPr>
              <w:tab/>
            </w:r>
            <w:r w:rsidRPr="00415158">
              <w:rPr>
                <w:rFonts w:eastAsia="Yu Mincho"/>
                <w:lang w:eastAsia="ja-JP"/>
              </w:rPr>
              <w:t xml:space="preserve">This requirement </w:t>
            </w:r>
            <w:r w:rsidRPr="00415158">
              <w:rPr>
                <w:rFonts w:eastAsiaTheme="minorEastAsia"/>
              </w:rPr>
              <w:t>applies to the UE capable of independent beam management for FR2-1 inter-band CA</w:t>
            </w:r>
            <w:r w:rsidRPr="00415158">
              <w:rPr>
                <w:rFonts w:eastAsiaTheme="minorEastAsia"/>
                <w:lang w:eastAsia="zh-CN"/>
              </w:rPr>
              <w:t>.</w:t>
            </w:r>
          </w:p>
        </w:tc>
      </w:tr>
    </w:tbl>
    <w:p w14:paraId="401EFDEE" w14:textId="77777777" w:rsidR="00B07AD8" w:rsidRPr="009C5807" w:rsidRDefault="00B07AD8" w:rsidP="00B07AD8"/>
    <w:p w14:paraId="0F1D48F4" w14:textId="77777777" w:rsidR="00877F17" w:rsidRPr="009C5807" w:rsidRDefault="00877F17" w:rsidP="00877F17">
      <w:pPr>
        <w:pStyle w:val="Heading3"/>
        <w:rPr>
          <w:lang w:eastAsia="ko-KR"/>
        </w:rPr>
      </w:pPr>
      <w:r w:rsidRPr="009C5807">
        <w:rPr>
          <w:lang w:eastAsia="ko-KR"/>
        </w:rPr>
        <w:t>7.6.5</w:t>
      </w:r>
      <w:r w:rsidRPr="009C5807">
        <w:rPr>
          <w:lang w:eastAsia="ko-KR"/>
        </w:rPr>
        <w:tab/>
        <w:t xml:space="preserve">Minimum Requirements for </w:t>
      </w:r>
      <w:r w:rsidRPr="009C5807">
        <w:t>inter-band NE-DC</w:t>
      </w:r>
    </w:p>
    <w:p w14:paraId="3012D9FF" w14:textId="7CF02525" w:rsidR="0057627A" w:rsidRPr="009C5807" w:rsidRDefault="0057627A" w:rsidP="0057627A">
      <w:pPr>
        <w:rPr>
          <w:rFonts w:cs="v4.2.0"/>
        </w:rPr>
      </w:pPr>
      <w:r w:rsidRPr="009C5807">
        <w:rPr>
          <w:rFonts w:cs="v4.2.0"/>
          <w:lang w:eastAsia="zh-CN"/>
        </w:rPr>
        <w:t>T</w:t>
      </w:r>
      <w:r w:rsidRPr="009C5807">
        <w:rPr>
          <w:rFonts w:cs="v4.2.0"/>
        </w:rPr>
        <w:t xml:space="preserve">he UE shall be capable of handling at least a relative receive timing difference between </w:t>
      </w:r>
      <w:r w:rsidRPr="009C5807">
        <w:rPr>
          <w:rFonts w:eastAsia="Malgun Gothic" w:cs="v4.2.0"/>
          <w:lang w:eastAsia="ko-KR"/>
        </w:rPr>
        <w:t>slot</w:t>
      </w:r>
      <w:r w:rsidRPr="009C5807">
        <w:rPr>
          <w:rFonts w:cs="v4.2.0"/>
        </w:rPr>
        <w:t xml:space="preserve"> timing of signal from a cell belonging to the MCG and </w:t>
      </w:r>
      <w:r w:rsidRPr="009C5807">
        <w:rPr>
          <w:rFonts w:eastAsia="Malgun Gothic" w:cs="v4.2.0"/>
          <w:lang w:eastAsia="ko-KR"/>
        </w:rPr>
        <w:t>subframe</w:t>
      </w:r>
      <w:r w:rsidRPr="009C5807">
        <w:rPr>
          <w:rFonts w:cs="v4.2.0"/>
        </w:rPr>
        <w:t xml:space="preserve"> timing of signal from an </w:t>
      </w:r>
      <w:r w:rsidRPr="009C5807">
        <w:rPr>
          <w:rFonts w:eastAsia="Malgun Gothic" w:cs="v4.2.0"/>
          <w:lang w:eastAsia="ko-KR"/>
        </w:rPr>
        <w:t xml:space="preserve">E-UTRA </w:t>
      </w:r>
      <w:r w:rsidRPr="009C5807">
        <w:rPr>
          <w:rFonts w:cs="v4.2.0"/>
        </w:rPr>
        <w:t xml:space="preserve">cell belonging to the SCG at the UE receiver </w:t>
      </w:r>
      <w:r w:rsidRPr="009C5807">
        <w:rPr>
          <w:rFonts w:eastAsia="Malgun Gothic" w:cs="v4.2.0"/>
          <w:lang w:eastAsia="ko-KR"/>
        </w:rPr>
        <w:t xml:space="preserve">for asynchronous NE-DC </w:t>
      </w:r>
      <w:r w:rsidRPr="009C5807">
        <w:rPr>
          <w:rFonts w:cs="v4.2.0"/>
        </w:rPr>
        <w:t>as shown in Table 7.6.5-1.</w:t>
      </w:r>
    </w:p>
    <w:p w14:paraId="0114C27D" w14:textId="77777777" w:rsidR="00877F17" w:rsidRPr="009C5807" w:rsidRDefault="00877F17" w:rsidP="00877F17">
      <w:pPr>
        <w:pStyle w:val="TH"/>
        <w:rPr>
          <w:snapToGrid w:val="0"/>
        </w:rPr>
      </w:pPr>
      <w:r w:rsidRPr="009C5807">
        <w:rPr>
          <w:snapToGrid w:val="0"/>
        </w:rPr>
        <w:t>Table 7.6.5-1</w:t>
      </w:r>
      <w:r w:rsidRPr="009C5807">
        <w:rPr>
          <w:snapToGrid w:val="0"/>
          <w:lang w:eastAsia="ko-KR"/>
        </w:rPr>
        <w:t>:</w:t>
      </w:r>
      <w:r w:rsidRPr="009C5807">
        <w:rPr>
          <w:snapToGrid w:val="0"/>
        </w:rPr>
        <w:t xml:space="preserve"> Maximum receive timing difference requirement for asynchronous </w:t>
      </w:r>
      <w:r w:rsidRPr="009C5807">
        <w:rPr>
          <w:snapToGrid w:val="0"/>
          <w:lang w:eastAsia="zh-CN"/>
        </w:rPr>
        <w:t>NE-DC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5"/>
        <w:gridCol w:w="2693"/>
      </w:tblGrid>
      <w:tr w:rsidR="00885F53" w:rsidRPr="009C5807" w14:paraId="5F9FB3A1" w14:textId="77777777" w:rsidTr="00AD1C20">
        <w:trPr>
          <w:jc w:val="center"/>
        </w:trPr>
        <w:tc>
          <w:tcPr>
            <w:tcW w:w="1984" w:type="dxa"/>
            <w:shd w:val="clear" w:color="auto" w:fill="auto"/>
          </w:tcPr>
          <w:p w14:paraId="1475D9E7" w14:textId="77777777" w:rsidR="00877F17" w:rsidRPr="009C5807" w:rsidRDefault="00877F17" w:rsidP="00867D3A">
            <w:pPr>
              <w:pStyle w:val="TAH"/>
            </w:pPr>
            <w:r w:rsidRPr="009C5807">
              <w:t>Sub-carrier spacing of cell in MCG (kHz)</w:t>
            </w:r>
          </w:p>
        </w:tc>
        <w:tc>
          <w:tcPr>
            <w:tcW w:w="1985" w:type="dxa"/>
            <w:shd w:val="clear" w:color="auto" w:fill="auto"/>
          </w:tcPr>
          <w:p w14:paraId="08353802" w14:textId="23CE09AF" w:rsidR="00877F17" w:rsidRPr="009C5807" w:rsidRDefault="0057627A" w:rsidP="00867D3A">
            <w:pPr>
              <w:pStyle w:val="TAH"/>
            </w:pPr>
            <w:r w:rsidRPr="009C5807">
              <w:t>DL Sub-carrier spacing of EUTRA cell in SCG (kHz)</w:t>
            </w:r>
            <w:r w:rsidRPr="009C5807">
              <w:rPr>
                <w:lang w:eastAsia="ko-KR"/>
              </w:rPr>
              <w:t xml:space="preserve"> (</w:t>
            </w:r>
            <w:r w:rsidRPr="009C5807">
              <w:t>Note</w:t>
            </w:r>
            <w:r w:rsidRPr="009C5807">
              <w:rPr>
                <w:lang w:eastAsia="ko-KR"/>
              </w:rPr>
              <w:t xml:space="preserve"> </w:t>
            </w:r>
            <w:r w:rsidRPr="009C5807">
              <w:t>1</w:t>
            </w:r>
            <w:r w:rsidRPr="009C5807">
              <w:rPr>
                <w:lang w:eastAsia="ko-KR"/>
              </w:rPr>
              <w:t>)</w:t>
            </w:r>
          </w:p>
        </w:tc>
        <w:tc>
          <w:tcPr>
            <w:tcW w:w="2693" w:type="dxa"/>
            <w:shd w:val="clear" w:color="auto" w:fill="auto"/>
          </w:tcPr>
          <w:p w14:paraId="7CB24F78" w14:textId="77777777" w:rsidR="00877F17" w:rsidRPr="009C5807" w:rsidRDefault="00877F17" w:rsidP="00867D3A">
            <w:pPr>
              <w:pStyle w:val="TAH"/>
            </w:pPr>
            <w:r w:rsidRPr="009C5807">
              <w:t>Maximum receive timing difference (µs)</w:t>
            </w:r>
          </w:p>
        </w:tc>
      </w:tr>
      <w:tr w:rsidR="00885F53" w:rsidRPr="009C5807" w14:paraId="3DB282B9" w14:textId="77777777" w:rsidTr="00AD1C20">
        <w:trPr>
          <w:jc w:val="center"/>
        </w:trPr>
        <w:tc>
          <w:tcPr>
            <w:tcW w:w="1984" w:type="dxa"/>
            <w:shd w:val="clear" w:color="auto" w:fill="auto"/>
          </w:tcPr>
          <w:p w14:paraId="0CBB017B" w14:textId="77777777" w:rsidR="00877F17" w:rsidRPr="009C5807" w:rsidRDefault="00877F17" w:rsidP="00867D3A">
            <w:pPr>
              <w:pStyle w:val="TAC"/>
            </w:pPr>
            <w:r w:rsidRPr="009C5807">
              <w:t>15</w:t>
            </w:r>
          </w:p>
        </w:tc>
        <w:tc>
          <w:tcPr>
            <w:tcW w:w="1985" w:type="dxa"/>
            <w:shd w:val="clear" w:color="auto" w:fill="auto"/>
          </w:tcPr>
          <w:p w14:paraId="7D3484ED" w14:textId="77777777" w:rsidR="00877F17" w:rsidRPr="009C5807" w:rsidRDefault="00877F17" w:rsidP="00867D3A">
            <w:pPr>
              <w:pStyle w:val="TAC"/>
            </w:pPr>
            <w:r w:rsidRPr="009C5807">
              <w:t>15</w:t>
            </w:r>
          </w:p>
        </w:tc>
        <w:tc>
          <w:tcPr>
            <w:tcW w:w="2693" w:type="dxa"/>
            <w:shd w:val="clear" w:color="auto" w:fill="auto"/>
          </w:tcPr>
          <w:p w14:paraId="62DC6F9B" w14:textId="77777777" w:rsidR="00877F17" w:rsidRPr="009C5807" w:rsidRDefault="00877F17" w:rsidP="00867D3A">
            <w:pPr>
              <w:pStyle w:val="TAC"/>
            </w:pPr>
            <w:r w:rsidRPr="009C5807">
              <w:t>500</w:t>
            </w:r>
          </w:p>
        </w:tc>
      </w:tr>
      <w:tr w:rsidR="00885F53" w:rsidRPr="009C5807" w14:paraId="55706683" w14:textId="77777777" w:rsidTr="00AD1C20">
        <w:trPr>
          <w:jc w:val="center"/>
        </w:trPr>
        <w:tc>
          <w:tcPr>
            <w:tcW w:w="1984" w:type="dxa"/>
            <w:shd w:val="clear" w:color="auto" w:fill="auto"/>
          </w:tcPr>
          <w:p w14:paraId="044DBEE3" w14:textId="77777777" w:rsidR="00877F17" w:rsidRPr="009C5807" w:rsidRDefault="00877F17" w:rsidP="00867D3A">
            <w:pPr>
              <w:pStyle w:val="TAC"/>
            </w:pPr>
            <w:r w:rsidRPr="009C5807">
              <w:t>30</w:t>
            </w:r>
          </w:p>
        </w:tc>
        <w:tc>
          <w:tcPr>
            <w:tcW w:w="1985" w:type="dxa"/>
            <w:shd w:val="clear" w:color="auto" w:fill="auto"/>
          </w:tcPr>
          <w:p w14:paraId="35A0CF7A" w14:textId="77777777" w:rsidR="00877F17" w:rsidRPr="009C5807" w:rsidRDefault="00877F17" w:rsidP="00867D3A">
            <w:pPr>
              <w:pStyle w:val="TAC"/>
            </w:pPr>
            <w:r w:rsidRPr="009C5807">
              <w:t>15</w:t>
            </w:r>
          </w:p>
        </w:tc>
        <w:tc>
          <w:tcPr>
            <w:tcW w:w="2693" w:type="dxa"/>
            <w:shd w:val="clear" w:color="auto" w:fill="auto"/>
          </w:tcPr>
          <w:p w14:paraId="754439F5" w14:textId="77777777" w:rsidR="00877F17" w:rsidRPr="009C5807" w:rsidRDefault="00877F17" w:rsidP="00867D3A">
            <w:pPr>
              <w:pStyle w:val="TAC"/>
            </w:pPr>
            <w:r w:rsidRPr="009C5807">
              <w:t>250</w:t>
            </w:r>
          </w:p>
        </w:tc>
      </w:tr>
      <w:tr w:rsidR="00885F53" w:rsidRPr="009C5807" w14:paraId="41525934" w14:textId="77777777" w:rsidTr="00AD1C20">
        <w:trPr>
          <w:jc w:val="center"/>
        </w:trPr>
        <w:tc>
          <w:tcPr>
            <w:tcW w:w="1984" w:type="dxa"/>
            <w:shd w:val="clear" w:color="auto" w:fill="auto"/>
          </w:tcPr>
          <w:p w14:paraId="541988D4" w14:textId="77777777" w:rsidR="00877F17" w:rsidRPr="009C5807" w:rsidRDefault="00877F17" w:rsidP="00867D3A">
            <w:pPr>
              <w:pStyle w:val="TAC"/>
            </w:pPr>
            <w:r w:rsidRPr="009C5807">
              <w:t>60</w:t>
            </w:r>
          </w:p>
        </w:tc>
        <w:tc>
          <w:tcPr>
            <w:tcW w:w="1985" w:type="dxa"/>
            <w:shd w:val="clear" w:color="auto" w:fill="auto"/>
          </w:tcPr>
          <w:p w14:paraId="72A313AA" w14:textId="77777777" w:rsidR="00877F17" w:rsidRPr="009C5807" w:rsidRDefault="00877F17" w:rsidP="00867D3A">
            <w:pPr>
              <w:pStyle w:val="TAC"/>
            </w:pPr>
            <w:r w:rsidRPr="009C5807">
              <w:t>15</w:t>
            </w:r>
          </w:p>
        </w:tc>
        <w:tc>
          <w:tcPr>
            <w:tcW w:w="2693" w:type="dxa"/>
            <w:shd w:val="clear" w:color="auto" w:fill="auto"/>
          </w:tcPr>
          <w:p w14:paraId="75365B1D" w14:textId="77777777" w:rsidR="00877F17" w:rsidRPr="009C5807" w:rsidRDefault="00877F17" w:rsidP="00867D3A">
            <w:pPr>
              <w:pStyle w:val="TAC"/>
            </w:pPr>
            <w:r w:rsidRPr="009C5807">
              <w:t>125</w:t>
            </w:r>
          </w:p>
        </w:tc>
      </w:tr>
      <w:tr w:rsidR="00885F53" w:rsidRPr="009C5807" w14:paraId="27E125B1" w14:textId="77777777" w:rsidTr="00AD1C20">
        <w:trPr>
          <w:jc w:val="center"/>
        </w:trPr>
        <w:tc>
          <w:tcPr>
            <w:tcW w:w="1984" w:type="dxa"/>
            <w:shd w:val="clear" w:color="auto" w:fill="auto"/>
          </w:tcPr>
          <w:p w14:paraId="0F34E880" w14:textId="66EFDE12" w:rsidR="00877F17" w:rsidRPr="009C5807" w:rsidRDefault="00877F17" w:rsidP="00867D3A">
            <w:pPr>
              <w:pStyle w:val="TAC"/>
            </w:pPr>
            <w:r w:rsidRPr="009C5807">
              <w:t>120</w:t>
            </w:r>
          </w:p>
        </w:tc>
        <w:tc>
          <w:tcPr>
            <w:tcW w:w="1985" w:type="dxa"/>
            <w:shd w:val="clear" w:color="auto" w:fill="auto"/>
          </w:tcPr>
          <w:p w14:paraId="7BC82A59" w14:textId="77777777" w:rsidR="00877F17" w:rsidRPr="009C5807" w:rsidRDefault="00877F17" w:rsidP="00867D3A">
            <w:pPr>
              <w:pStyle w:val="TAC"/>
              <w:rPr>
                <w:vertAlign w:val="superscript"/>
                <w:lang w:eastAsia="zh-CN"/>
              </w:rPr>
            </w:pPr>
            <w:r w:rsidRPr="009C5807">
              <w:t>15</w:t>
            </w:r>
          </w:p>
        </w:tc>
        <w:tc>
          <w:tcPr>
            <w:tcW w:w="2693" w:type="dxa"/>
            <w:shd w:val="clear" w:color="auto" w:fill="auto"/>
          </w:tcPr>
          <w:p w14:paraId="490D8CD8" w14:textId="77777777" w:rsidR="00877F17" w:rsidRPr="009C5807" w:rsidRDefault="00877F17" w:rsidP="00867D3A">
            <w:pPr>
              <w:pStyle w:val="TAC"/>
            </w:pPr>
            <w:r w:rsidRPr="009C5807">
              <w:t>62.5</w:t>
            </w:r>
          </w:p>
        </w:tc>
      </w:tr>
      <w:tr w:rsidR="00877F17" w:rsidRPr="009C5807" w14:paraId="63B6082F" w14:textId="77777777" w:rsidTr="00AD1C20">
        <w:trPr>
          <w:jc w:val="center"/>
        </w:trPr>
        <w:tc>
          <w:tcPr>
            <w:tcW w:w="6662" w:type="dxa"/>
            <w:gridSpan w:val="3"/>
            <w:shd w:val="clear" w:color="auto" w:fill="auto"/>
          </w:tcPr>
          <w:p w14:paraId="036FCE5F" w14:textId="77777777" w:rsidR="00877F17" w:rsidRPr="009C5807" w:rsidRDefault="00877F17" w:rsidP="00867D3A">
            <w:pPr>
              <w:pStyle w:val="TAN"/>
              <w:rPr>
                <w:rFonts w:cs="Arial"/>
              </w:rPr>
            </w:pPr>
            <w:r w:rsidRPr="009C5807">
              <w:rPr>
                <w:rFonts w:cs="Arial"/>
                <w:lang w:eastAsia="ja-JP"/>
              </w:rPr>
              <w:t>NOTE</w:t>
            </w:r>
            <w:r w:rsidRPr="009C5807">
              <w:rPr>
                <w:rFonts w:cs="Arial"/>
                <w:lang w:eastAsia="ko-KR"/>
              </w:rPr>
              <w:t xml:space="preserve"> </w:t>
            </w:r>
            <w:r w:rsidRPr="009C5807">
              <w:rPr>
                <w:rFonts w:cs="Arial"/>
                <w:lang w:eastAsia="ja-JP"/>
              </w:rPr>
              <w:t>1:</w:t>
            </w:r>
            <w:r w:rsidRPr="009C5807">
              <w:tab/>
            </w:r>
            <w:r w:rsidRPr="009C5807">
              <w:rPr>
                <w:rFonts w:cs="Arial"/>
              </w:rPr>
              <w:t>DL Sub-carrier spacing is min{SCS</w:t>
            </w:r>
            <w:r w:rsidRPr="009C5807">
              <w:rPr>
                <w:rFonts w:cs="Arial"/>
                <w:vertAlign w:val="subscript"/>
              </w:rPr>
              <w:t>SS</w:t>
            </w:r>
            <w:r w:rsidRPr="009C5807">
              <w:rPr>
                <w:rFonts w:cs="Arial"/>
              </w:rPr>
              <w:t>, SCS</w:t>
            </w:r>
            <w:r w:rsidRPr="009C5807">
              <w:rPr>
                <w:rFonts w:cs="Arial"/>
                <w:vertAlign w:val="subscript"/>
              </w:rPr>
              <w:t>DATA</w:t>
            </w:r>
            <w:r w:rsidRPr="009C5807">
              <w:rPr>
                <w:rFonts w:cs="Arial"/>
              </w:rPr>
              <w:t>}.</w:t>
            </w:r>
          </w:p>
          <w:p w14:paraId="734CC888" w14:textId="35D90271" w:rsidR="00877F17" w:rsidRPr="009C5807" w:rsidRDefault="00877F17" w:rsidP="00867D3A">
            <w:pPr>
              <w:pStyle w:val="TAN"/>
            </w:pPr>
            <w:r w:rsidRPr="009C5807">
              <w:rPr>
                <w:rFonts w:cs="Arial"/>
                <w:lang w:eastAsia="ja-JP"/>
              </w:rPr>
              <w:t>NOTE</w:t>
            </w:r>
            <w:r w:rsidRPr="009C5807">
              <w:rPr>
                <w:rFonts w:cs="Arial"/>
                <w:lang w:eastAsia="ko-KR"/>
              </w:rPr>
              <w:t xml:space="preserve"> </w:t>
            </w:r>
            <w:r w:rsidRPr="009C5807">
              <w:rPr>
                <w:rFonts w:cs="Arial"/>
                <w:lang w:eastAsia="ja-JP"/>
              </w:rPr>
              <w:t>2:</w:t>
            </w:r>
            <w:r w:rsidRPr="009C5807">
              <w:tab/>
            </w:r>
            <w:r w:rsidRPr="009C5807">
              <w:rPr>
                <w:rFonts w:hint="eastAsia"/>
                <w:lang w:eastAsia="ko-KR"/>
              </w:rPr>
              <w:t>Void</w:t>
            </w:r>
          </w:p>
        </w:tc>
      </w:tr>
    </w:tbl>
    <w:p w14:paraId="5964D9CD" w14:textId="77777777" w:rsidR="00877F17" w:rsidRPr="009C5807" w:rsidRDefault="00877F17" w:rsidP="00877F17"/>
    <w:p w14:paraId="0D046870" w14:textId="77777777" w:rsidR="00877F17" w:rsidRPr="009C5807" w:rsidRDefault="00877F17" w:rsidP="00877F17">
      <w:pPr>
        <w:rPr>
          <w:rFonts w:cs="v4.2.0"/>
          <w:lang w:eastAsia="zh-CN"/>
        </w:rPr>
      </w:pPr>
      <w:r w:rsidRPr="009C5807">
        <w:rPr>
          <w:rFonts w:cs="v4.2.0"/>
          <w:lang w:eastAsia="zh-CN"/>
        </w:rPr>
        <w:t>T</w:t>
      </w:r>
      <w:r w:rsidRPr="009C5807">
        <w:rPr>
          <w:rFonts w:cs="v4.2.0"/>
        </w:rPr>
        <w:t xml:space="preserve">he UE shall be capable of handling at least a relative receive timing difference between </w:t>
      </w:r>
      <w:r w:rsidRPr="009C5807">
        <w:rPr>
          <w:rFonts w:eastAsia="Malgun Gothic" w:cs="v4.2.0"/>
          <w:lang w:eastAsia="ko-KR"/>
        </w:rPr>
        <w:t>slot</w:t>
      </w:r>
      <w:r w:rsidRPr="009C5807">
        <w:rPr>
          <w:rFonts w:cs="v4.2.0"/>
        </w:rPr>
        <w:t xml:space="preserve"> timing of signal from a cell belonging to the MCG and </w:t>
      </w:r>
      <w:r w:rsidRPr="009C5807">
        <w:rPr>
          <w:rFonts w:eastAsia="Malgun Gothic" w:cs="v4.2.0"/>
          <w:lang w:eastAsia="ko-KR"/>
        </w:rPr>
        <w:t>subframe</w:t>
      </w:r>
      <w:r w:rsidRPr="009C5807">
        <w:rPr>
          <w:rFonts w:cs="v4.2.0"/>
        </w:rPr>
        <w:t xml:space="preserve"> timing of signal from a </w:t>
      </w:r>
      <w:r w:rsidRPr="009C5807">
        <w:rPr>
          <w:rFonts w:eastAsia="Malgun Gothic" w:cs="v4.2.0"/>
          <w:lang w:eastAsia="ko-KR"/>
        </w:rPr>
        <w:t xml:space="preserve">E-UTRA </w:t>
      </w:r>
      <w:r w:rsidRPr="009C5807">
        <w:rPr>
          <w:rFonts w:cs="v4.2.0"/>
        </w:rPr>
        <w:t>cell belonging to the SCG at the UE receiver for inter-band synchronous NE-DC as shown in Table 7.6.5-</w:t>
      </w:r>
      <w:r w:rsidRPr="009C5807">
        <w:rPr>
          <w:rFonts w:cs="v4.2.0"/>
          <w:lang w:eastAsia="zh-CN"/>
        </w:rPr>
        <w:t>2</w:t>
      </w:r>
      <w:r w:rsidRPr="009C5807">
        <w:rPr>
          <w:rFonts w:cs="v4.2.0"/>
        </w:rPr>
        <w:t xml:space="preserve">. </w:t>
      </w:r>
      <w:r w:rsidRPr="009C5807">
        <w:t xml:space="preserve">The requirements for synchronous </w:t>
      </w:r>
      <w:r w:rsidRPr="009C5807">
        <w:rPr>
          <w:lang w:eastAsia="zh-CN"/>
        </w:rPr>
        <w:t>NE-DC</w:t>
      </w:r>
      <w:r w:rsidRPr="009C5807">
        <w:t xml:space="preserve"> are applicable for </w:t>
      </w:r>
      <w:r w:rsidRPr="009C5807">
        <w:rPr>
          <w:lang w:eastAsia="zh-CN"/>
        </w:rPr>
        <w:t xml:space="preserve">NR </w:t>
      </w:r>
      <w:r w:rsidRPr="009C5807">
        <w:t>TDD-</w:t>
      </w:r>
      <w:r w:rsidRPr="009C5807">
        <w:rPr>
          <w:rFonts w:cs="v4.2.0"/>
        </w:rPr>
        <w:t xml:space="preserve"> E-UTRA</w:t>
      </w:r>
      <w:r w:rsidRPr="009C5807">
        <w:rPr>
          <w:lang w:eastAsia="zh-CN"/>
        </w:rPr>
        <w:t xml:space="preserve"> </w:t>
      </w:r>
      <w:r w:rsidRPr="009C5807">
        <w:t>TDD</w:t>
      </w:r>
      <w:r w:rsidRPr="009C5807">
        <w:rPr>
          <w:lang w:eastAsia="zh-CN"/>
        </w:rPr>
        <w:t xml:space="preserve">, NR </w:t>
      </w:r>
      <w:r w:rsidRPr="009C5807">
        <w:t>FDD-</w:t>
      </w:r>
      <w:r w:rsidRPr="009C5807">
        <w:rPr>
          <w:rFonts w:cs="v4.2.0"/>
        </w:rPr>
        <w:t xml:space="preserve"> E-UTRA</w:t>
      </w:r>
      <w:r w:rsidRPr="009C5807">
        <w:rPr>
          <w:lang w:eastAsia="zh-CN"/>
        </w:rPr>
        <w:t xml:space="preserve"> </w:t>
      </w:r>
      <w:r w:rsidRPr="009C5807">
        <w:t>FDD</w:t>
      </w:r>
      <w:r w:rsidRPr="009C5807">
        <w:rPr>
          <w:lang w:eastAsia="zh-CN"/>
        </w:rPr>
        <w:t xml:space="preserve">, NR </w:t>
      </w:r>
      <w:r w:rsidRPr="009C5807">
        <w:t>TDD-</w:t>
      </w:r>
      <w:r w:rsidRPr="009C5807">
        <w:rPr>
          <w:rFonts w:cs="v4.2.0"/>
        </w:rPr>
        <w:t xml:space="preserve"> E-UTRA</w:t>
      </w:r>
      <w:r w:rsidRPr="009C5807">
        <w:rPr>
          <w:lang w:eastAsia="zh-CN"/>
        </w:rPr>
        <w:t xml:space="preserve"> F</w:t>
      </w:r>
      <w:r w:rsidRPr="009C5807">
        <w:t>DD</w:t>
      </w:r>
      <w:r w:rsidRPr="009C5807">
        <w:rPr>
          <w:lang w:eastAsia="zh-CN"/>
        </w:rPr>
        <w:t xml:space="preserve"> </w:t>
      </w:r>
      <w:r w:rsidRPr="009C5807">
        <w:t xml:space="preserve">and </w:t>
      </w:r>
      <w:r w:rsidRPr="009C5807">
        <w:rPr>
          <w:lang w:eastAsia="zh-CN"/>
        </w:rPr>
        <w:t>NR F</w:t>
      </w:r>
      <w:r w:rsidRPr="009C5807">
        <w:t>DD-</w:t>
      </w:r>
      <w:r w:rsidRPr="009C5807">
        <w:rPr>
          <w:rFonts w:cs="v4.2.0"/>
        </w:rPr>
        <w:t xml:space="preserve"> E-UTRA</w:t>
      </w:r>
      <w:r w:rsidRPr="009C5807">
        <w:rPr>
          <w:lang w:eastAsia="zh-CN"/>
        </w:rPr>
        <w:t xml:space="preserve"> T</w:t>
      </w:r>
      <w:r w:rsidRPr="009C5807">
        <w:t xml:space="preserve">DD inter-band </w:t>
      </w:r>
      <w:r w:rsidRPr="009C5807">
        <w:rPr>
          <w:lang w:eastAsia="zh-CN"/>
        </w:rPr>
        <w:t>NE-DC</w:t>
      </w:r>
      <w:r w:rsidRPr="009C5807">
        <w:t>.</w:t>
      </w:r>
    </w:p>
    <w:p w14:paraId="4640296B" w14:textId="016F33F7" w:rsidR="00FF0D54" w:rsidRPr="009C5807" w:rsidRDefault="00FF0D54" w:rsidP="00FF0D54">
      <w:pPr>
        <w:pStyle w:val="TH"/>
        <w:rPr>
          <w:snapToGrid w:val="0"/>
        </w:rPr>
      </w:pPr>
      <w:r w:rsidRPr="009C5807">
        <w:rPr>
          <w:snapToGrid w:val="0"/>
        </w:rPr>
        <w:t>Table 7.6.5-2</w:t>
      </w:r>
      <w:r w:rsidRPr="009C5807">
        <w:rPr>
          <w:snapToGrid w:val="0"/>
          <w:lang w:eastAsia="ko-KR"/>
        </w:rPr>
        <w:t>:</w:t>
      </w:r>
      <w:r w:rsidRPr="009C5807">
        <w:rPr>
          <w:snapToGrid w:val="0"/>
        </w:rPr>
        <w:t xml:space="preserve"> Void</w:t>
      </w:r>
    </w:p>
    <w:p w14:paraId="28F8E398" w14:textId="77777777" w:rsidR="00FF0D54" w:rsidRPr="009C5807" w:rsidRDefault="00FF0D54" w:rsidP="00FF0D54">
      <w:pPr>
        <w:pStyle w:val="Heading4"/>
        <w:rPr>
          <w:lang w:eastAsia="ko-KR"/>
        </w:rPr>
      </w:pPr>
      <w:r w:rsidRPr="009C5807">
        <w:rPr>
          <w:lang w:eastAsia="ko-KR"/>
        </w:rPr>
        <w:t>7.6.5.1</w:t>
      </w:r>
      <w:r w:rsidRPr="009C5807">
        <w:rPr>
          <w:lang w:eastAsia="ko-KR"/>
        </w:rPr>
        <w:tab/>
        <w:t xml:space="preserve">Minimum Requirements for </w:t>
      </w:r>
      <w:r w:rsidRPr="009C5807">
        <w:t>inter-band synchronous NE-DC</w:t>
      </w:r>
    </w:p>
    <w:p w14:paraId="6F401270" w14:textId="77777777" w:rsidR="00FF0D54" w:rsidRPr="009C5807" w:rsidRDefault="00FF0D54" w:rsidP="00FF0D54">
      <w:pPr>
        <w:rPr>
          <w:rFonts w:cs="v4.2.0"/>
          <w:lang w:eastAsia="zh-CN"/>
        </w:rPr>
      </w:pPr>
      <w:r w:rsidRPr="009C5807">
        <w:rPr>
          <w:rFonts w:cs="v4.2.0"/>
          <w:lang w:eastAsia="zh-CN"/>
        </w:rPr>
        <w:t>The requirements in this clause apply as a reference for inter-band synchronous NE-DC.</w:t>
      </w:r>
    </w:p>
    <w:p w14:paraId="081032D3" w14:textId="77777777" w:rsidR="00FF0D54" w:rsidRPr="009C5807" w:rsidRDefault="00FF0D54" w:rsidP="00FF0D54">
      <w:pPr>
        <w:rPr>
          <w:rFonts w:cs="v4.2.0"/>
          <w:lang w:eastAsia="zh-CN"/>
        </w:rPr>
      </w:pPr>
      <w:r w:rsidRPr="009C5807">
        <w:rPr>
          <w:rFonts w:cs="v4.2.0"/>
          <w:lang w:eastAsia="zh-CN"/>
        </w:rPr>
        <w:t>T</w:t>
      </w:r>
      <w:r w:rsidRPr="009C5807">
        <w:rPr>
          <w:rFonts w:cs="v4.2.0"/>
        </w:rPr>
        <w:t xml:space="preserve">he UE shall be capable of handling at least a relative receive timing difference between </w:t>
      </w:r>
      <w:r w:rsidRPr="009C5807">
        <w:rPr>
          <w:rFonts w:eastAsia="Malgun Gothic" w:cs="v4.2.0"/>
          <w:lang w:eastAsia="ko-KR"/>
        </w:rPr>
        <w:t>slot</w:t>
      </w:r>
      <w:r w:rsidRPr="009C5807">
        <w:rPr>
          <w:rFonts w:cs="v4.2.0"/>
        </w:rPr>
        <w:t xml:space="preserve"> timing of signal from a cell belonging to the MCG and </w:t>
      </w:r>
      <w:r w:rsidRPr="009C5807">
        <w:rPr>
          <w:rFonts w:eastAsia="Malgun Gothic" w:cs="v4.2.0"/>
          <w:lang w:eastAsia="ko-KR"/>
        </w:rPr>
        <w:t>subframe</w:t>
      </w:r>
      <w:r w:rsidRPr="009C5807">
        <w:rPr>
          <w:rFonts w:cs="v4.2.0"/>
        </w:rPr>
        <w:t xml:space="preserve"> timing of signal from a </w:t>
      </w:r>
      <w:r w:rsidRPr="009C5807">
        <w:rPr>
          <w:rFonts w:eastAsia="Malgun Gothic" w:cs="v4.2.0"/>
          <w:lang w:eastAsia="ko-KR"/>
        </w:rPr>
        <w:t xml:space="preserve">E-UTRA </w:t>
      </w:r>
      <w:r w:rsidRPr="009C5807">
        <w:rPr>
          <w:rFonts w:cs="v4.2.0"/>
        </w:rPr>
        <w:t>cell belonging to the SCG at the UE receiver for inter-band synchronous NE-DC as shown in Table 7.6.5.1-</w:t>
      </w:r>
      <w:r w:rsidRPr="009C5807">
        <w:rPr>
          <w:rFonts w:cs="v4.2.0"/>
          <w:lang w:eastAsia="zh-CN"/>
        </w:rPr>
        <w:t xml:space="preserve">1. The requirements for synchronous NE-DC are applicable </w:t>
      </w:r>
      <w:r w:rsidRPr="009C5807">
        <w:t xml:space="preserve">for </w:t>
      </w:r>
      <w:r w:rsidRPr="009C5807">
        <w:rPr>
          <w:lang w:eastAsia="zh-CN"/>
        </w:rPr>
        <w:t xml:space="preserve">NR </w:t>
      </w:r>
      <w:r w:rsidRPr="009C5807">
        <w:t>TDD-</w:t>
      </w:r>
      <w:r w:rsidRPr="009C5807">
        <w:rPr>
          <w:rFonts w:cs="v4.2.0"/>
        </w:rPr>
        <w:t xml:space="preserve"> E-UTRA</w:t>
      </w:r>
      <w:r w:rsidRPr="009C5807">
        <w:rPr>
          <w:lang w:eastAsia="zh-CN"/>
        </w:rPr>
        <w:t xml:space="preserve"> </w:t>
      </w:r>
      <w:r w:rsidRPr="009C5807">
        <w:t>TDD</w:t>
      </w:r>
      <w:r w:rsidRPr="009C5807">
        <w:rPr>
          <w:lang w:eastAsia="zh-CN"/>
        </w:rPr>
        <w:t xml:space="preserve">, NR </w:t>
      </w:r>
      <w:r w:rsidRPr="009C5807">
        <w:t>FDD-</w:t>
      </w:r>
      <w:r w:rsidRPr="009C5807">
        <w:rPr>
          <w:rFonts w:cs="v4.2.0"/>
        </w:rPr>
        <w:t xml:space="preserve"> E-UTRA</w:t>
      </w:r>
      <w:r w:rsidRPr="009C5807">
        <w:rPr>
          <w:lang w:eastAsia="zh-CN"/>
        </w:rPr>
        <w:t xml:space="preserve"> </w:t>
      </w:r>
      <w:r w:rsidRPr="009C5807">
        <w:t>FDD</w:t>
      </w:r>
      <w:r w:rsidRPr="009C5807">
        <w:rPr>
          <w:lang w:eastAsia="zh-CN"/>
        </w:rPr>
        <w:t xml:space="preserve">, NR </w:t>
      </w:r>
      <w:r w:rsidRPr="009C5807">
        <w:t>TDD-</w:t>
      </w:r>
      <w:r w:rsidRPr="009C5807">
        <w:rPr>
          <w:rFonts w:cs="v4.2.0"/>
        </w:rPr>
        <w:t xml:space="preserve"> E-UTRA</w:t>
      </w:r>
      <w:r w:rsidRPr="009C5807">
        <w:rPr>
          <w:lang w:eastAsia="zh-CN"/>
        </w:rPr>
        <w:t xml:space="preserve"> F</w:t>
      </w:r>
      <w:r w:rsidRPr="009C5807">
        <w:t>DD</w:t>
      </w:r>
      <w:r w:rsidRPr="009C5807">
        <w:rPr>
          <w:lang w:eastAsia="zh-CN"/>
        </w:rPr>
        <w:t xml:space="preserve"> </w:t>
      </w:r>
      <w:r w:rsidRPr="009C5807">
        <w:t xml:space="preserve">and </w:t>
      </w:r>
      <w:r w:rsidRPr="009C5807">
        <w:rPr>
          <w:lang w:eastAsia="zh-CN"/>
        </w:rPr>
        <w:t>NR F</w:t>
      </w:r>
      <w:r w:rsidRPr="009C5807">
        <w:t>DD-</w:t>
      </w:r>
      <w:r w:rsidRPr="009C5807">
        <w:rPr>
          <w:rFonts w:cs="v4.2.0"/>
        </w:rPr>
        <w:t xml:space="preserve"> E-UTRA</w:t>
      </w:r>
      <w:r w:rsidRPr="009C5807">
        <w:rPr>
          <w:lang w:eastAsia="zh-CN"/>
        </w:rPr>
        <w:t xml:space="preserve"> T</w:t>
      </w:r>
      <w:r w:rsidRPr="009C5807">
        <w:t xml:space="preserve">DD inter-band </w:t>
      </w:r>
      <w:r w:rsidRPr="009C5807">
        <w:rPr>
          <w:lang w:eastAsia="zh-CN"/>
        </w:rPr>
        <w:t>NE-DC</w:t>
      </w:r>
      <w:r w:rsidRPr="009C5807">
        <w:t>.</w:t>
      </w:r>
    </w:p>
    <w:p w14:paraId="707A7DEC" w14:textId="77777777" w:rsidR="00FF0D54" w:rsidRPr="009C5807" w:rsidRDefault="00FF0D54" w:rsidP="00FF0D54">
      <w:pPr>
        <w:pStyle w:val="TH"/>
        <w:rPr>
          <w:snapToGrid w:val="0"/>
        </w:rPr>
      </w:pPr>
      <w:r w:rsidRPr="009C5807">
        <w:rPr>
          <w:snapToGrid w:val="0"/>
        </w:rPr>
        <w:t>Table 7.6.5.1-1</w:t>
      </w:r>
      <w:r w:rsidRPr="009C5807">
        <w:rPr>
          <w:snapToGrid w:val="0"/>
          <w:lang w:eastAsia="ko-KR"/>
        </w:rPr>
        <w:t>:</w:t>
      </w:r>
      <w:r w:rsidRPr="009C5807">
        <w:rPr>
          <w:snapToGrid w:val="0"/>
        </w:rPr>
        <w:t xml:space="preserve"> Maximum receive timing difference requirement for </w:t>
      </w:r>
      <w:r w:rsidRPr="009C5807">
        <w:rPr>
          <w:snapToGrid w:val="0"/>
          <w:lang w:eastAsia="zh-CN"/>
        </w:rPr>
        <w:t xml:space="preserve">inter-band </w:t>
      </w:r>
      <w:r w:rsidRPr="009C5807">
        <w:rPr>
          <w:snapToGrid w:val="0"/>
        </w:rPr>
        <w:t xml:space="preserve">synchronous </w:t>
      </w:r>
      <w:r w:rsidRPr="009C5807">
        <w:rPr>
          <w:snapToGrid w:val="0"/>
          <w:lang w:eastAsia="zh-CN"/>
        </w:rPr>
        <w:t>NE-DC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5"/>
        <w:gridCol w:w="2693"/>
      </w:tblGrid>
      <w:tr w:rsidR="00FF0D54" w:rsidRPr="009C5807" w14:paraId="6485F146" w14:textId="77777777" w:rsidTr="00AD1C20">
        <w:trPr>
          <w:jc w:val="center"/>
        </w:trPr>
        <w:tc>
          <w:tcPr>
            <w:tcW w:w="1984" w:type="dxa"/>
            <w:tcBorders>
              <w:top w:val="single" w:sz="4" w:space="0" w:color="auto"/>
              <w:left w:val="single" w:sz="4" w:space="0" w:color="auto"/>
              <w:bottom w:val="single" w:sz="4" w:space="0" w:color="auto"/>
              <w:right w:val="single" w:sz="4" w:space="0" w:color="auto"/>
            </w:tcBorders>
            <w:hideMark/>
          </w:tcPr>
          <w:p w14:paraId="263DCC8F" w14:textId="77777777" w:rsidR="00FF0D54" w:rsidRPr="007C55F6" w:rsidRDefault="00FF0D54" w:rsidP="00566CFE">
            <w:pPr>
              <w:pStyle w:val="TAH"/>
            </w:pPr>
            <w:r w:rsidRPr="007C55F6">
              <w:t>Sub-carrier spacing of cell in MCG (kHz)</w:t>
            </w:r>
          </w:p>
        </w:tc>
        <w:tc>
          <w:tcPr>
            <w:tcW w:w="1985" w:type="dxa"/>
            <w:tcBorders>
              <w:top w:val="single" w:sz="4" w:space="0" w:color="auto"/>
              <w:left w:val="single" w:sz="4" w:space="0" w:color="auto"/>
              <w:bottom w:val="single" w:sz="4" w:space="0" w:color="auto"/>
              <w:right w:val="single" w:sz="4" w:space="0" w:color="auto"/>
            </w:tcBorders>
            <w:hideMark/>
          </w:tcPr>
          <w:p w14:paraId="2BDD4D50" w14:textId="77777777" w:rsidR="00FF0D54" w:rsidRPr="007C55F6" w:rsidRDefault="00FF0D54" w:rsidP="00566CFE">
            <w:pPr>
              <w:pStyle w:val="TAH"/>
            </w:pPr>
            <w:r w:rsidRPr="007C55F6">
              <w:t>DL Sub-carrier spacing of EUTRA cell in SCG (kHz)</w:t>
            </w:r>
            <w:r w:rsidRPr="007C55F6">
              <w:rPr>
                <w:lang w:eastAsia="ko-KR"/>
              </w:rPr>
              <w:t xml:space="preserve"> (</w:t>
            </w:r>
            <w:r w:rsidRPr="007C55F6">
              <w:t>Note1</w:t>
            </w:r>
            <w:r w:rsidRPr="007C55F6">
              <w:rPr>
                <w:lang w:eastAsia="ko-KR"/>
              </w:rPr>
              <w:t>)</w:t>
            </w:r>
          </w:p>
        </w:tc>
        <w:tc>
          <w:tcPr>
            <w:tcW w:w="2693" w:type="dxa"/>
            <w:tcBorders>
              <w:top w:val="single" w:sz="4" w:space="0" w:color="auto"/>
              <w:left w:val="single" w:sz="4" w:space="0" w:color="auto"/>
              <w:bottom w:val="single" w:sz="4" w:space="0" w:color="auto"/>
              <w:right w:val="single" w:sz="4" w:space="0" w:color="auto"/>
            </w:tcBorders>
            <w:hideMark/>
          </w:tcPr>
          <w:p w14:paraId="63EBB4DA" w14:textId="77777777" w:rsidR="00FF0D54" w:rsidRPr="007C55F6" w:rsidRDefault="00FF0D54" w:rsidP="00566CFE">
            <w:pPr>
              <w:pStyle w:val="TAH"/>
            </w:pPr>
            <w:r w:rsidRPr="007C55F6">
              <w:t>Maximum receive timing difference (µs)</w:t>
            </w:r>
          </w:p>
        </w:tc>
      </w:tr>
      <w:tr w:rsidR="00FF0D54" w:rsidRPr="009C5807" w14:paraId="6926C422" w14:textId="77777777" w:rsidTr="00AD1C20">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14:paraId="018601B8" w14:textId="77777777" w:rsidR="00FF0D54" w:rsidRPr="009C5807" w:rsidRDefault="00FF0D54" w:rsidP="00566CFE">
            <w:pPr>
              <w:pStyle w:val="TAC"/>
              <w:rPr>
                <w:lang w:val="fr-FR"/>
              </w:rPr>
            </w:pPr>
            <w:r w:rsidRPr="009C5807">
              <w:rPr>
                <w:lang w:val="fr-FR"/>
              </w:rPr>
              <w:t>15</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CFCA9EB" w14:textId="77777777" w:rsidR="00FF0D54" w:rsidRPr="009C5807" w:rsidRDefault="00FF0D54" w:rsidP="00566CFE">
            <w:pPr>
              <w:pStyle w:val="TAC"/>
              <w:rPr>
                <w:lang w:val="fr-FR"/>
              </w:rPr>
            </w:pPr>
            <w:r w:rsidRPr="009C5807">
              <w:rPr>
                <w:lang w:val="fr-FR"/>
              </w:rPr>
              <w:t>15</w:t>
            </w:r>
          </w:p>
        </w:tc>
        <w:tc>
          <w:tcPr>
            <w:tcW w:w="2693" w:type="dxa"/>
            <w:tcBorders>
              <w:top w:val="single" w:sz="4" w:space="0" w:color="auto"/>
              <w:left w:val="single" w:sz="4" w:space="0" w:color="auto"/>
              <w:bottom w:val="nil"/>
              <w:right w:val="single" w:sz="4" w:space="0" w:color="auto"/>
            </w:tcBorders>
            <w:vAlign w:val="center"/>
            <w:hideMark/>
          </w:tcPr>
          <w:p w14:paraId="540F4715" w14:textId="77777777" w:rsidR="00FF0D54" w:rsidRPr="009C5807" w:rsidRDefault="00FF0D54" w:rsidP="00406207">
            <w:pPr>
              <w:pStyle w:val="TAC"/>
              <w:rPr>
                <w:lang w:val="fr-FR" w:eastAsia="zh-CN"/>
              </w:rPr>
            </w:pPr>
            <w:r w:rsidRPr="009C5807">
              <w:rPr>
                <w:lang w:val="fr-FR"/>
              </w:rPr>
              <w:t>33</w:t>
            </w:r>
          </w:p>
        </w:tc>
      </w:tr>
      <w:tr w:rsidR="00FF0D54" w:rsidRPr="009C5807" w14:paraId="7104F416" w14:textId="77777777" w:rsidTr="00AD1C20">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14:paraId="0F3F4A3C" w14:textId="77777777" w:rsidR="00FF0D54" w:rsidRPr="009C5807" w:rsidRDefault="00FF0D54" w:rsidP="00566CFE">
            <w:pPr>
              <w:pStyle w:val="TAC"/>
              <w:rPr>
                <w:lang w:val="fr-FR"/>
              </w:rPr>
            </w:pPr>
            <w:r w:rsidRPr="009C5807">
              <w:rPr>
                <w:lang w:val="fr-FR"/>
              </w:rPr>
              <w:t>30</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A0F9945" w14:textId="77777777" w:rsidR="00FF0D54" w:rsidRPr="009C5807" w:rsidRDefault="00FF0D54" w:rsidP="00566CFE">
            <w:pPr>
              <w:pStyle w:val="TAC"/>
              <w:rPr>
                <w:lang w:val="fr-FR"/>
              </w:rPr>
            </w:pPr>
            <w:r w:rsidRPr="009C5807">
              <w:rPr>
                <w:lang w:val="fr-FR"/>
              </w:rPr>
              <w:t>15</w:t>
            </w:r>
          </w:p>
        </w:tc>
        <w:tc>
          <w:tcPr>
            <w:tcW w:w="0" w:type="auto"/>
            <w:tcBorders>
              <w:top w:val="nil"/>
              <w:left w:val="single" w:sz="4" w:space="0" w:color="auto"/>
              <w:bottom w:val="nil"/>
              <w:right w:val="single" w:sz="4" w:space="0" w:color="auto"/>
            </w:tcBorders>
            <w:vAlign w:val="center"/>
            <w:hideMark/>
          </w:tcPr>
          <w:p w14:paraId="1377ABC2" w14:textId="77777777" w:rsidR="00FF0D54" w:rsidRPr="009C5807" w:rsidRDefault="00FF0D54" w:rsidP="00406207">
            <w:pPr>
              <w:pStyle w:val="TAC"/>
              <w:rPr>
                <w:lang w:val="fr-FR" w:eastAsia="zh-CN"/>
              </w:rPr>
            </w:pPr>
          </w:p>
        </w:tc>
      </w:tr>
      <w:tr w:rsidR="00FF0D54" w:rsidRPr="009C5807" w14:paraId="10DB5671" w14:textId="77777777" w:rsidTr="00AD1C20">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14:paraId="6614DC30" w14:textId="77777777" w:rsidR="00FF0D54" w:rsidRPr="009C5807" w:rsidRDefault="00FF0D54" w:rsidP="00566CFE">
            <w:pPr>
              <w:pStyle w:val="TAC"/>
              <w:rPr>
                <w:lang w:val="fr-FR"/>
              </w:rPr>
            </w:pPr>
            <w:r w:rsidRPr="009C5807">
              <w:rPr>
                <w:lang w:val="fr-FR"/>
              </w:rPr>
              <w:t>60</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950025E" w14:textId="77777777" w:rsidR="00FF0D54" w:rsidRPr="009C5807" w:rsidRDefault="00FF0D54" w:rsidP="00566CFE">
            <w:pPr>
              <w:pStyle w:val="TAC"/>
              <w:rPr>
                <w:lang w:val="fr-FR"/>
              </w:rPr>
            </w:pPr>
            <w:r w:rsidRPr="009C5807">
              <w:rPr>
                <w:lang w:val="fr-FR"/>
              </w:rPr>
              <w:t>15</w:t>
            </w:r>
          </w:p>
        </w:tc>
        <w:tc>
          <w:tcPr>
            <w:tcW w:w="0" w:type="auto"/>
            <w:tcBorders>
              <w:top w:val="nil"/>
              <w:left w:val="single" w:sz="4" w:space="0" w:color="auto"/>
              <w:bottom w:val="nil"/>
              <w:right w:val="single" w:sz="4" w:space="0" w:color="auto"/>
            </w:tcBorders>
            <w:vAlign w:val="center"/>
            <w:hideMark/>
          </w:tcPr>
          <w:p w14:paraId="1D779D54" w14:textId="77777777" w:rsidR="00FF0D54" w:rsidRPr="009C5807" w:rsidRDefault="00FF0D54" w:rsidP="00406207">
            <w:pPr>
              <w:pStyle w:val="TAC"/>
              <w:rPr>
                <w:lang w:val="fr-FR" w:eastAsia="zh-CN"/>
              </w:rPr>
            </w:pPr>
          </w:p>
        </w:tc>
      </w:tr>
      <w:tr w:rsidR="00FF0D54" w:rsidRPr="009C5807" w14:paraId="016DF50B" w14:textId="77777777" w:rsidTr="00AD1C20">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14:paraId="498FE5FF" w14:textId="77777777" w:rsidR="00FF0D54" w:rsidRPr="009C5807" w:rsidRDefault="00FF0D54" w:rsidP="00566CFE">
            <w:pPr>
              <w:pStyle w:val="TAC"/>
              <w:rPr>
                <w:lang w:val="fr-FR"/>
              </w:rPr>
            </w:pPr>
            <w:r w:rsidRPr="009C5807">
              <w:rPr>
                <w:lang w:val="fr-FR"/>
              </w:rPr>
              <w:t>120</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0774346" w14:textId="77777777" w:rsidR="00FF0D54" w:rsidRPr="009C5807" w:rsidRDefault="00FF0D54" w:rsidP="00566CFE">
            <w:pPr>
              <w:pStyle w:val="TAC"/>
              <w:rPr>
                <w:lang w:val="fr-FR"/>
              </w:rPr>
            </w:pPr>
            <w:r w:rsidRPr="009C5807">
              <w:rPr>
                <w:lang w:val="fr-FR"/>
              </w:rPr>
              <w:t>15</w:t>
            </w:r>
          </w:p>
        </w:tc>
        <w:tc>
          <w:tcPr>
            <w:tcW w:w="0" w:type="auto"/>
            <w:tcBorders>
              <w:top w:val="nil"/>
              <w:left w:val="single" w:sz="4" w:space="0" w:color="auto"/>
              <w:bottom w:val="single" w:sz="4" w:space="0" w:color="auto"/>
              <w:right w:val="single" w:sz="4" w:space="0" w:color="auto"/>
            </w:tcBorders>
            <w:vAlign w:val="center"/>
            <w:hideMark/>
          </w:tcPr>
          <w:p w14:paraId="6A5CB3E3" w14:textId="77777777" w:rsidR="00FF0D54" w:rsidRPr="009C5807" w:rsidRDefault="00FF0D54" w:rsidP="00406207">
            <w:pPr>
              <w:pStyle w:val="TAC"/>
              <w:rPr>
                <w:lang w:val="fr-FR" w:eastAsia="zh-CN"/>
              </w:rPr>
            </w:pPr>
          </w:p>
        </w:tc>
      </w:tr>
    </w:tbl>
    <w:p w14:paraId="10DD20F5" w14:textId="77777777" w:rsidR="00877F17" w:rsidRPr="009C5807" w:rsidRDefault="00877F17" w:rsidP="00877F17">
      <w:pPr>
        <w:pStyle w:val="Heading3"/>
        <w:spacing w:before="360"/>
        <w:rPr>
          <w:lang w:eastAsia="ko-KR"/>
        </w:rPr>
      </w:pPr>
      <w:r w:rsidRPr="009C5807">
        <w:rPr>
          <w:lang w:eastAsia="ko-KR"/>
        </w:rPr>
        <w:t>7.6.</w:t>
      </w:r>
      <w:r w:rsidRPr="009C5807">
        <w:rPr>
          <w:rFonts w:eastAsia="Malgun Gothic"/>
          <w:lang w:eastAsia="ko-KR"/>
        </w:rPr>
        <w:t>6</w:t>
      </w:r>
      <w:r w:rsidRPr="009C5807">
        <w:rPr>
          <w:lang w:eastAsia="ko-KR"/>
        </w:rPr>
        <w:tab/>
        <w:t xml:space="preserve">Minimum Requirements for inter-band NR </w:t>
      </w:r>
      <w:r w:rsidRPr="009C5807">
        <w:rPr>
          <w:rFonts w:eastAsia="Malgun Gothic"/>
          <w:lang w:eastAsia="ko-KR"/>
        </w:rPr>
        <w:t>DC</w:t>
      </w:r>
    </w:p>
    <w:p w14:paraId="7E454CA0" w14:textId="77777777" w:rsidR="00343169" w:rsidRDefault="00343169" w:rsidP="005E6D49">
      <w:r w:rsidRPr="009C5807">
        <w:rPr>
          <w:lang w:eastAsia="zh-CN"/>
        </w:rPr>
        <w:t>T</w:t>
      </w:r>
      <w:r w:rsidRPr="009C5807">
        <w:t xml:space="preserve">he UE shall be capable of handling at least a relative receive timing difference between </w:t>
      </w:r>
      <w:r w:rsidRPr="009C5807">
        <w:rPr>
          <w:rFonts w:eastAsia="Malgun Gothic"/>
          <w:lang w:eastAsia="ko-KR"/>
        </w:rPr>
        <w:t>slot</w:t>
      </w:r>
      <w:r w:rsidRPr="009C5807">
        <w:t xml:space="preserve"> timing of signal from a cell belonging to the MCG </w:t>
      </w:r>
      <w:r>
        <w:t xml:space="preserve">in FR1 or FR2-1 </w:t>
      </w:r>
      <w:r w:rsidRPr="009C5807">
        <w:t xml:space="preserve">and slot timing of signal from a cell belonging to the SCG </w:t>
      </w:r>
      <w:r>
        <w:t xml:space="preserve">in FR1 or FR2-1 </w:t>
      </w:r>
      <w:r w:rsidRPr="009C5807">
        <w:t>at the UE receiver as shown in Table 7.6.</w:t>
      </w:r>
      <w:r w:rsidRPr="009C5807">
        <w:rPr>
          <w:rFonts w:eastAsia="Malgun Gothic"/>
          <w:lang w:eastAsia="ko-KR"/>
        </w:rPr>
        <w:t>6</w:t>
      </w:r>
      <w:r w:rsidRPr="009C5807">
        <w:t>-</w:t>
      </w:r>
      <w:r w:rsidRPr="009C5807">
        <w:rPr>
          <w:lang w:eastAsia="zh-CN"/>
        </w:rPr>
        <w:t>1</w:t>
      </w:r>
      <w:r w:rsidRPr="009C5807">
        <w:t xml:space="preserve"> provided that the UE indicates that it is capable of synchronous NR </w:t>
      </w:r>
      <w:r w:rsidRPr="009C5807">
        <w:rPr>
          <w:lang w:eastAsia="zh-CN"/>
        </w:rPr>
        <w:t xml:space="preserve">DC only </w:t>
      </w:r>
      <w:r w:rsidRPr="009C5807">
        <w:t>[16].</w:t>
      </w:r>
    </w:p>
    <w:p w14:paraId="43999DBE" w14:textId="77777777" w:rsidR="00343169" w:rsidRPr="009C5807" w:rsidRDefault="00343169" w:rsidP="005E6D49">
      <w:r w:rsidRPr="009C5807">
        <w:rPr>
          <w:lang w:eastAsia="zh-CN"/>
        </w:rPr>
        <w:t>T</w:t>
      </w:r>
      <w:r w:rsidRPr="009C5807">
        <w:t xml:space="preserve">he UE shall be capable of handling at least a relative receive timing difference between </w:t>
      </w:r>
      <w:r>
        <w:rPr>
          <w:rFonts w:eastAsia="Malgun Gothic"/>
          <w:lang w:eastAsia="ko-KR"/>
        </w:rPr>
        <w:t>subframe</w:t>
      </w:r>
      <w:r w:rsidRPr="009C5807">
        <w:t xml:space="preserve"> timing of signal from a cell belonging to the MCG </w:t>
      </w:r>
      <w:r>
        <w:t xml:space="preserve">in FR1 </w:t>
      </w:r>
      <w:r w:rsidRPr="009C5807">
        <w:t xml:space="preserve">and </w:t>
      </w:r>
      <w:r>
        <w:t>subframe</w:t>
      </w:r>
      <w:r w:rsidRPr="009C5807">
        <w:t xml:space="preserve"> timing of signal from a cell belonging to the SCG </w:t>
      </w:r>
      <w:r>
        <w:t xml:space="preserve">in FR2-2 </w:t>
      </w:r>
      <w:r w:rsidRPr="009C5807">
        <w:t>at the UE receiver as shown in Table 7.6.</w:t>
      </w:r>
      <w:r w:rsidRPr="009C5807">
        <w:rPr>
          <w:rFonts w:eastAsia="Malgun Gothic"/>
          <w:lang w:eastAsia="ko-KR"/>
        </w:rPr>
        <w:t>6</w:t>
      </w:r>
      <w:r w:rsidRPr="009C5807">
        <w:t>-</w:t>
      </w:r>
      <w:r w:rsidRPr="009C5807">
        <w:rPr>
          <w:lang w:eastAsia="zh-CN"/>
        </w:rPr>
        <w:t>1</w:t>
      </w:r>
      <w:r w:rsidRPr="009C5807">
        <w:t xml:space="preserve"> provided that the UE indicates that it is capable of synchronous NR </w:t>
      </w:r>
      <w:r w:rsidRPr="009C5807">
        <w:rPr>
          <w:lang w:eastAsia="zh-CN"/>
        </w:rPr>
        <w:t xml:space="preserve">DC only </w:t>
      </w:r>
      <w:r w:rsidRPr="009C5807">
        <w:t>[16].</w:t>
      </w:r>
    </w:p>
    <w:p w14:paraId="01E53806" w14:textId="05393224" w:rsidR="007C1291" w:rsidRPr="009C5807" w:rsidRDefault="007C1291" w:rsidP="007C1291"/>
    <w:p w14:paraId="23A57D17" w14:textId="77777777" w:rsidR="005E6D49" w:rsidRPr="009C5807" w:rsidRDefault="005E6D49" w:rsidP="005E6D49">
      <w:pPr>
        <w:pStyle w:val="TH"/>
        <w:rPr>
          <w:rFonts w:eastAsia="Malgun Gothic"/>
          <w:lang w:eastAsia="ko-KR"/>
        </w:rPr>
      </w:pPr>
      <w:r w:rsidRPr="009C5807">
        <w:t>Table 7.6.</w:t>
      </w:r>
      <w:r w:rsidRPr="009C5807">
        <w:rPr>
          <w:rFonts w:eastAsia="Malgun Gothic"/>
          <w:lang w:eastAsia="ko-KR"/>
        </w:rPr>
        <w:t>6</w:t>
      </w:r>
      <w:r w:rsidRPr="009C5807">
        <w:t xml:space="preserve">-1: Maximum receive timing difference requirement for inter-band synchronous </w:t>
      </w:r>
      <w:r w:rsidRPr="009C5807">
        <w:rPr>
          <w:rFonts w:hint="eastAsia"/>
          <w:lang w:eastAsia="ko-KR"/>
        </w:rPr>
        <w:t>NR 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126"/>
        <w:gridCol w:w="3003"/>
      </w:tblGrid>
      <w:tr w:rsidR="005E6D49" w:rsidRPr="009C5807" w14:paraId="01FE891E" w14:textId="77777777" w:rsidTr="00625412">
        <w:trPr>
          <w:jc w:val="center"/>
        </w:trPr>
        <w:tc>
          <w:tcPr>
            <w:tcW w:w="2251" w:type="dxa"/>
            <w:gridSpan w:val="2"/>
            <w:shd w:val="clear" w:color="auto" w:fill="auto"/>
          </w:tcPr>
          <w:p w14:paraId="1EBCAFBA" w14:textId="77777777" w:rsidR="005E6D49" w:rsidRPr="009C5807" w:rsidRDefault="005E6D49" w:rsidP="00625412">
            <w:pPr>
              <w:pStyle w:val="TAH"/>
              <w:rPr>
                <w:lang w:eastAsia="zh-CN"/>
              </w:rPr>
            </w:pPr>
            <w:r w:rsidRPr="009C5807">
              <w:rPr>
                <w:lang w:eastAsia="zh-CN"/>
              </w:rPr>
              <w:t>Frequency Range</w:t>
            </w:r>
          </w:p>
        </w:tc>
        <w:tc>
          <w:tcPr>
            <w:tcW w:w="3003" w:type="dxa"/>
            <w:tcBorders>
              <w:bottom w:val="nil"/>
            </w:tcBorders>
            <w:shd w:val="clear" w:color="auto" w:fill="auto"/>
          </w:tcPr>
          <w:p w14:paraId="47AE3A47" w14:textId="77777777" w:rsidR="005E6D49" w:rsidRPr="009C5807" w:rsidRDefault="005E6D49" w:rsidP="00625412">
            <w:pPr>
              <w:pStyle w:val="TAH"/>
            </w:pPr>
            <w:r w:rsidRPr="009C5807">
              <w:t xml:space="preserve">Maximum receive timing difference (µs) </w:t>
            </w:r>
          </w:p>
        </w:tc>
      </w:tr>
      <w:tr w:rsidR="005E6D49" w:rsidRPr="009C5807" w14:paraId="64FB0726" w14:textId="77777777" w:rsidTr="00625412">
        <w:trPr>
          <w:jc w:val="center"/>
        </w:trPr>
        <w:tc>
          <w:tcPr>
            <w:tcW w:w="1125" w:type="dxa"/>
            <w:shd w:val="clear" w:color="auto" w:fill="auto"/>
          </w:tcPr>
          <w:p w14:paraId="1CDEF6C7" w14:textId="77777777" w:rsidR="005E6D49" w:rsidRPr="009C5807" w:rsidRDefault="005E6D49" w:rsidP="00625412">
            <w:pPr>
              <w:pStyle w:val="TAC"/>
              <w:rPr>
                <w:lang w:eastAsia="zh-CN"/>
              </w:rPr>
            </w:pPr>
            <w:r w:rsidRPr="009C5807">
              <w:rPr>
                <w:lang w:eastAsia="zh-CN"/>
              </w:rPr>
              <w:t>Cell in MCG</w:t>
            </w:r>
          </w:p>
        </w:tc>
        <w:tc>
          <w:tcPr>
            <w:tcW w:w="1126" w:type="dxa"/>
            <w:shd w:val="clear" w:color="auto" w:fill="auto"/>
          </w:tcPr>
          <w:p w14:paraId="30ADF096" w14:textId="77777777" w:rsidR="005E6D49" w:rsidRPr="009C5807" w:rsidRDefault="005E6D49" w:rsidP="00625412">
            <w:pPr>
              <w:pStyle w:val="TAC"/>
              <w:rPr>
                <w:lang w:eastAsia="zh-CN"/>
              </w:rPr>
            </w:pPr>
            <w:r w:rsidRPr="009C5807">
              <w:rPr>
                <w:lang w:eastAsia="zh-CN"/>
              </w:rPr>
              <w:t>Cell in SCG</w:t>
            </w:r>
          </w:p>
        </w:tc>
        <w:tc>
          <w:tcPr>
            <w:tcW w:w="3003" w:type="dxa"/>
            <w:tcBorders>
              <w:top w:val="nil"/>
            </w:tcBorders>
            <w:shd w:val="clear" w:color="auto" w:fill="auto"/>
          </w:tcPr>
          <w:p w14:paraId="1BF36F21" w14:textId="77777777" w:rsidR="005E6D49" w:rsidRPr="009C5807" w:rsidRDefault="005E6D49" w:rsidP="00625412">
            <w:pPr>
              <w:pStyle w:val="TAC"/>
              <w:rPr>
                <w:lang w:eastAsia="zh-CN"/>
              </w:rPr>
            </w:pPr>
          </w:p>
        </w:tc>
      </w:tr>
      <w:tr w:rsidR="005E6D49" w:rsidRPr="009C5807" w14:paraId="10B5ED2D" w14:textId="77777777" w:rsidTr="00625412">
        <w:trPr>
          <w:jc w:val="center"/>
        </w:trPr>
        <w:tc>
          <w:tcPr>
            <w:tcW w:w="1125" w:type="dxa"/>
            <w:shd w:val="clear" w:color="auto" w:fill="auto"/>
          </w:tcPr>
          <w:p w14:paraId="0D4E258F" w14:textId="77777777" w:rsidR="005E6D49" w:rsidRPr="009C5807" w:rsidRDefault="005E6D49" w:rsidP="00625412">
            <w:pPr>
              <w:pStyle w:val="TAC"/>
              <w:rPr>
                <w:lang w:eastAsia="zh-CN"/>
              </w:rPr>
            </w:pPr>
            <w:r w:rsidRPr="009C5807">
              <w:rPr>
                <w:lang w:eastAsia="zh-CN"/>
              </w:rPr>
              <w:t>FR1</w:t>
            </w:r>
          </w:p>
        </w:tc>
        <w:tc>
          <w:tcPr>
            <w:tcW w:w="1126" w:type="dxa"/>
            <w:shd w:val="clear" w:color="auto" w:fill="auto"/>
          </w:tcPr>
          <w:p w14:paraId="0A038FE2" w14:textId="77777777" w:rsidR="005E6D49" w:rsidRPr="009C5807" w:rsidRDefault="005E6D49" w:rsidP="00625412">
            <w:pPr>
              <w:pStyle w:val="TAC"/>
              <w:rPr>
                <w:lang w:eastAsia="zh-CN"/>
              </w:rPr>
            </w:pPr>
            <w:r w:rsidRPr="009C5807">
              <w:rPr>
                <w:lang w:eastAsia="zh-CN"/>
              </w:rPr>
              <w:t>FR1</w:t>
            </w:r>
          </w:p>
        </w:tc>
        <w:tc>
          <w:tcPr>
            <w:tcW w:w="3003" w:type="dxa"/>
            <w:shd w:val="clear" w:color="auto" w:fill="auto"/>
          </w:tcPr>
          <w:p w14:paraId="45B375AB" w14:textId="77777777" w:rsidR="005E6D49" w:rsidRPr="009C5807" w:rsidRDefault="005E6D49" w:rsidP="00625412">
            <w:pPr>
              <w:pStyle w:val="TAC"/>
              <w:rPr>
                <w:lang w:eastAsia="zh-CN"/>
              </w:rPr>
            </w:pPr>
            <w:r w:rsidRPr="009C5807">
              <w:rPr>
                <w:lang w:eastAsia="zh-CN"/>
              </w:rPr>
              <w:t>33</w:t>
            </w:r>
          </w:p>
        </w:tc>
      </w:tr>
      <w:tr w:rsidR="005E6D49" w:rsidRPr="009C5807" w14:paraId="23045FA4" w14:textId="77777777" w:rsidTr="00625412">
        <w:trPr>
          <w:jc w:val="center"/>
        </w:trPr>
        <w:tc>
          <w:tcPr>
            <w:tcW w:w="1125" w:type="dxa"/>
            <w:shd w:val="clear" w:color="auto" w:fill="auto"/>
          </w:tcPr>
          <w:p w14:paraId="2E5898D6" w14:textId="77777777" w:rsidR="005E6D49" w:rsidRPr="009C5807" w:rsidRDefault="005E6D49" w:rsidP="00625412">
            <w:pPr>
              <w:pStyle w:val="TAC"/>
              <w:rPr>
                <w:lang w:eastAsia="zh-CN"/>
              </w:rPr>
            </w:pPr>
            <w:r w:rsidRPr="00415158">
              <w:rPr>
                <w:rFonts w:eastAsiaTheme="minorEastAsia"/>
                <w:lang w:eastAsia="zh-CN"/>
              </w:rPr>
              <w:t>FR2-1</w:t>
            </w:r>
          </w:p>
        </w:tc>
        <w:tc>
          <w:tcPr>
            <w:tcW w:w="1126" w:type="dxa"/>
            <w:shd w:val="clear" w:color="auto" w:fill="auto"/>
          </w:tcPr>
          <w:p w14:paraId="17EC1A25" w14:textId="77777777" w:rsidR="005E6D49" w:rsidRPr="009C5807" w:rsidRDefault="005E6D49" w:rsidP="00625412">
            <w:pPr>
              <w:pStyle w:val="TAC"/>
              <w:rPr>
                <w:lang w:eastAsia="zh-CN"/>
              </w:rPr>
            </w:pPr>
            <w:r w:rsidRPr="00415158">
              <w:rPr>
                <w:rFonts w:eastAsiaTheme="minorEastAsia"/>
                <w:lang w:eastAsia="zh-CN"/>
              </w:rPr>
              <w:t>FR2-1</w:t>
            </w:r>
          </w:p>
        </w:tc>
        <w:tc>
          <w:tcPr>
            <w:tcW w:w="3003" w:type="dxa"/>
            <w:shd w:val="clear" w:color="auto" w:fill="auto"/>
          </w:tcPr>
          <w:p w14:paraId="57B3AD18" w14:textId="77777777" w:rsidR="005E6D49" w:rsidRPr="009C5807" w:rsidRDefault="005E6D49" w:rsidP="00625412">
            <w:pPr>
              <w:pStyle w:val="TAC"/>
              <w:rPr>
                <w:lang w:eastAsia="zh-CN"/>
              </w:rPr>
            </w:pPr>
            <w:r w:rsidRPr="00415158">
              <w:rPr>
                <w:rFonts w:eastAsiaTheme="minorEastAsia"/>
                <w:lang w:eastAsia="zh-CN"/>
              </w:rPr>
              <w:t>8</w:t>
            </w:r>
          </w:p>
        </w:tc>
      </w:tr>
      <w:tr w:rsidR="005E6D49" w:rsidRPr="009C5807" w14:paraId="0300DE36" w14:textId="77777777" w:rsidTr="00625412">
        <w:trPr>
          <w:jc w:val="center"/>
        </w:trPr>
        <w:tc>
          <w:tcPr>
            <w:tcW w:w="1125" w:type="dxa"/>
            <w:shd w:val="clear" w:color="auto" w:fill="auto"/>
          </w:tcPr>
          <w:p w14:paraId="79D5DBF5" w14:textId="77777777" w:rsidR="005E6D49" w:rsidRPr="009C5807" w:rsidRDefault="005E6D49" w:rsidP="00625412">
            <w:pPr>
              <w:pStyle w:val="TAC"/>
              <w:rPr>
                <w:lang w:eastAsia="zh-CN"/>
              </w:rPr>
            </w:pPr>
            <w:r w:rsidRPr="00415158">
              <w:rPr>
                <w:rFonts w:eastAsiaTheme="minorEastAsia"/>
                <w:lang w:eastAsia="zh-CN"/>
              </w:rPr>
              <w:t>FR1</w:t>
            </w:r>
          </w:p>
        </w:tc>
        <w:tc>
          <w:tcPr>
            <w:tcW w:w="1126" w:type="dxa"/>
            <w:shd w:val="clear" w:color="auto" w:fill="auto"/>
          </w:tcPr>
          <w:p w14:paraId="1C644DDA" w14:textId="77777777" w:rsidR="005E6D49" w:rsidRPr="009C5807" w:rsidRDefault="005E6D49" w:rsidP="00625412">
            <w:pPr>
              <w:pStyle w:val="TAC"/>
              <w:rPr>
                <w:lang w:eastAsia="zh-CN"/>
              </w:rPr>
            </w:pPr>
            <w:r w:rsidRPr="00415158">
              <w:rPr>
                <w:rFonts w:eastAsiaTheme="minorEastAsia"/>
                <w:lang w:eastAsia="zh-CN"/>
              </w:rPr>
              <w:t>FR2-1</w:t>
            </w:r>
          </w:p>
        </w:tc>
        <w:tc>
          <w:tcPr>
            <w:tcW w:w="3003" w:type="dxa"/>
            <w:shd w:val="clear" w:color="auto" w:fill="auto"/>
          </w:tcPr>
          <w:p w14:paraId="4F0B63CF" w14:textId="77777777" w:rsidR="005E6D49" w:rsidRPr="009C5807" w:rsidRDefault="005E6D49" w:rsidP="00625412">
            <w:pPr>
              <w:pStyle w:val="TAC"/>
              <w:rPr>
                <w:lang w:eastAsia="zh-CN"/>
              </w:rPr>
            </w:pPr>
            <w:r w:rsidRPr="00415158">
              <w:rPr>
                <w:rFonts w:eastAsiaTheme="minorEastAsia"/>
                <w:lang w:eastAsia="zh-CN"/>
              </w:rPr>
              <w:t>33</w:t>
            </w:r>
          </w:p>
        </w:tc>
      </w:tr>
      <w:tr w:rsidR="005E6D49" w:rsidRPr="009C5807" w14:paraId="764F3E60" w14:textId="77777777" w:rsidTr="00625412">
        <w:trPr>
          <w:jc w:val="center"/>
        </w:trPr>
        <w:tc>
          <w:tcPr>
            <w:tcW w:w="1125" w:type="dxa"/>
            <w:shd w:val="clear" w:color="auto" w:fill="auto"/>
          </w:tcPr>
          <w:p w14:paraId="53596135" w14:textId="77777777" w:rsidR="005E6D49" w:rsidRPr="009C5807" w:rsidRDefault="005E6D49" w:rsidP="00625412">
            <w:pPr>
              <w:pStyle w:val="TAC"/>
              <w:rPr>
                <w:lang w:eastAsia="zh-CN"/>
              </w:rPr>
            </w:pPr>
            <w:r w:rsidRPr="00415158">
              <w:rPr>
                <w:rFonts w:eastAsiaTheme="minorEastAsia"/>
                <w:lang w:eastAsia="zh-CN"/>
              </w:rPr>
              <w:t>FR1</w:t>
            </w:r>
          </w:p>
        </w:tc>
        <w:tc>
          <w:tcPr>
            <w:tcW w:w="1126" w:type="dxa"/>
            <w:shd w:val="clear" w:color="auto" w:fill="auto"/>
          </w:tcPr>
          <w:p w14:paraId="26F312D0" w14:textId="77777777" w:rsidR="005E6D49" w:rsidRPr="009C5807" w:rsidRDefault="005E6D49" w:rsidP="00625412">
            <w:pPr>
              <w:pStyle w:val="TAC"/>
              <w:rPr>
                <w:lang w:eastAsia="zh-CN"/>
              </w:rPr>
            </w:pPr>
            <w:r w:rsidRPr="00415158">
              <w:rPr>
                <w:rFonts w:eastAsiaTheme="minorEastAsia"/>
                <w:lang w:eastAsia="zh-CN"/>
              </w:rPr>
              <w:t>FR2-2</w:t>
            </w:r>
          </w:p>
        </w:tc>
        <w:tc>
          <w:tcPr>
            <w:tcW w:w="3003" w:type="dxa"/>
            <w:shd w:val="clear" w:color="auto" w:fill="auto"/>
          </w:tcPr>
          <w:p w14:paraId="562576E6" w14:textId="6278AC2D" w:rsidR="005E6D49" w:rsidRPr="009C5807" w:rsidRDefault="005E6D49" w:rsidP="00625412">
            <w:pPr>
              <w:pStyle w:val="TAC"/>
              <w:rPr>
                <w:lang w:eastAsia="zh-CN"/>
              </w:rPr>
            </w:pPr>
            <w:r>
              <w:rPr>
                <w:rFonts w:eastAsiaTheme="minorEastAsia"/>
                <w:lang w:eastAsia="zh-CN"/>
              </w:rPr>
              <w:t>33</w:t>
            </w:r>
          </w:p>
        </w:tc>
      </w:tr>
    </w:tbl>
    <w:p w14:paraId="5918ED7F" w14:textId="77777777" w:rsidR="005E6D49" w:rsidRPr="009C5807" w:rsidRDefault="005E6D49" w:rsidP="005E6D49">
      <w:pPr>
        <w:rPr>
          <w:rFonts w:cs="v4.2.0"/>
          <w:lang w:eastAsia="zh-CN"/>
        </w:rPr>
      </w:pPr>
    </w:p>
    <w:p w14:paraId="2C5C0E75" w14:textId="77777777" w:rsidR="005E6D49" w:rsidRDefault="005E6D49" w:rsidP="005E6D49">
      <w:pPr>
        <w:rPr>
          <w:rFonts w:cs="v4.2.0"/>
        </w:rPr>
      </w:pPr>
      <w:r w:rsidRPr="009C5807">
        <w:rPr>
          <w:rFonts w:cs="v4.2.0"/>
          <w:lang w:eastAsia="zh-CN"/>
        </w:rPr>
        <w:t>T</w:t>
      </w:r>
      <w:r w:rsidRPr="009C5807">
        <w:rPr>
          <w:rFonts w:cs="v4.2.0"/>
        </w:rPr>
        <w:t xml:space="preserve">he UE shall be capable of handling at least a relative receive timing difference between </w:t>
      </w:r>
      <w:r w:rsidRPr="009C5807">
        <w:rPr>
          <w:rFonts w:eastAsia="Malgun Gothic" w:cs="v4.2.0"/>
          <w:lang w:eastAsia="ko-KR"/>
        </w:rPr>
        <w:t>slot</w:t>
      </w:r>
      <w:r w:rsidRPr="009C5807">
        <w:rPr>
          <w:rFonts w:cs="v4.2.0"/>
        </w:rPr>
        <w:t xml:space="preserve"> timing of signal from a cell belonging to the MCG </w:t>
      </w:r>
      <w:r>
        <w:rPr>
          <w:rFonts w:cs="v4.2.0"/>
        </w:rPr>
        <w:t xml:space="preserve">in FR1 or FR2-1 </w:t>
      </w:r>
      <w:r w:rsidRPr="009C5807">
        <w:rPr>
          <w:rFonts w:cs="v4.2.0"/>
        </w:rPr>
        <w:t>and slot timing of signal from a cell belonging to the SCG</w:t>
      </w:r>
      <w:r>
        <w:rPr>
          <w:rFonts w:cs="v4.2.0"/>
        </w:rPr>
        <w:t xml:space="preserve"> in FR1 or FR2-1</w:t>
      </w:r>
      <w:r w:rsidRPr="009C5807">
        <w:rPr>
          <w:rFonts w:cs="v4.2.0"/>
        </w:rPr>
        <w:t xml:space="preserve"> at the UE receiver as shown in Table 7.6.</w:t>
      </w:r>
      <w:r w:rsidRPr="009C5807">
        <w:rPr>
          <w:rFonts w:eastAsia="Malgun Gothic" w:cs="v4.2.0"/>
          <w:lang w:eastAsia="ko-KR"/>
        </w:rPr>
        <w:t>6</w:t>
      </w:r>
      <w:r w:rsidRPr="009C5807">
        <w:rPr>
          <w:rFonts w:cs="v4.2.0"/>
        </w:rPr>
        <w:t xml:space="preserve">-2 provided that the UE indicates that it is capable of asynchronous NR </w:t>
      </w:r>
      <w:r w:rsidRPr="009C5807">
        <w:rPr>
          <w:rFonts w:cs="v4.2.0"/>
          <w:lang w:eastAsia="zh-CN"/>
        </w:rPr>
        <w:t xml:space="preserve">DC </w:t>
      </w:r>
      <w:r w:rsidRPr="009C5807">
        <w:rPr>
          <w:rFonts w:cs="v4.2.0"/>
        </w:rPr>
        <w:t>[16].</w:t>
      </w:r>
    </w:p>
    <w:p w14:paraId="62A378DE" w14:textId="77777777" w:rsidR="005E6D49" w:rsidRPr="009C5807" w:rsidRDefault="005E6D49" w:rsidP="005E6D49">
      <w:r w:rsidRPr="009C5807">
        <w:rPr>
          <w:rFonts w:cs="v4.2.0"/>
          <w:lang w:eastAsia="zh-CN"/>
        </w:rPr>
        <w:t>T</w:t>
      </w:r>
      <w:r w:rsidRPr="009C5807">
        <w:rPr>
          <w:rFonts w:cs="v4.2.0"/>
        </w:rPr>
        <w:t xml:space="preserve">he UE shall be capable of handling at least a relative receive timing difference between </w:t>
      </w:r>
      <w:r>
        <w:rPr>
          <w:rFonts w:eastAsia="Malgun Gothic" w:cs="v4.2.0"/>
          <w:lang w:eastAsia="ko-KR"/>
        </w:rPr>
        <w:t>subframe</w:t>
      </w:r>
      <w:r w:rsidRPr="009C5807">
        <w:rPr>
          <w:rFonts w:cs="v4.2.0"/>
        </w:rPr>
        <w:t xml:space="preserve"> timing of signal from a cell belonging to the MCG </w:t>
      </w:r>
      <w:r>
        <w:rPr>
          <w:rFonts w:cs="v4.2.0"/>
        </w:rPr>
        <w:t xml:space="preserve">in FR1 </w:t>
      </w:r>
      <w:r w:rsidRPr="009C5807">
        <w:rPr>
          <w:rFonts w:cs="v4.2.0"/>
        </w:rPr>
        <w:t xml:space="preserve">and </w:t>
      </w:r>
      <w:r>
        <w:rPr>
          <w:rFonts w:cs="v4.2.0"/>
        </w:rPr>
        <w:t>subframe</w:t>
      </w:r>
      <w:r w:rsidRPr="009C5807">
        <w:rPr>
          <w:rFonts w:cs="v4.2.0"/>
        </w:rPr>
        <w:t xml:space="preserve"> timing of signal from a cell belonging to the SCG </w:t>
      </w:r>
      <w:r>
        <w:rPr>
          <w:rFonts w:cs="v4.2.0"/>
        </w:rPr>
        <w:t xml:space="preserve">in FR2-2 </w:t>
      </w:r>
      <w:r w:rsidRPr="009C5807">
        <w:rPr>
          <w:rFonts w:cs="v4.2.0"/>
        </w:rPr>
        <w:t>at the UE receiver as shown in Table 7.6.</w:t>
      </w:r>
      <w:r w:rsidRPr="009C5807">
        <w:rPr>
          <w:rFonts w:eastAsia="Malgun Gothic" w:cs="v4.2.0"/>
          <w:lang w:eastAsia="ko-KR"/>
        </w:rPr>
        <w:t>6</w:t>
      </w:r>
      <w:r w:rsidRPr="009C5807">
        <w:rPr>
          <w:rFonts w:cs="v4.2.0"/>
        </w:rPr>
        <w:t xml:space="preserve">-2 provided that the UE indicates that it is capable of asynchronous NR </w:t>
      </w:r>
      <w:r w:rsidRPr="009C5807">
        <w:rPr>
          <w:rFonts w:cs="v4.2.0"/>
          <w:lang w:eastAsia="zh-CN"/>
        </w:rPr>
        <w:t xml:space="preserve">DC </w:t>
      </w:r>
      <w:r w:rsidRPr="009C5807">
        <w:rPr>
          <w:rFonts w:cs="v4.2.0"/>
        </w:rPr>
        <w:t>[16].</w:t>
      </w:r>
    </w:p>
    <w:p w14:paraId="3460B8BD" w14:textId="77777777" w:rsidR="005E6D49" w:rsidRPr="009C5807" w:rsidRDefault="005E6D49" w:rsidP="005E6D49"/>
    <w:p w14:paraId="7DED1936" w14:textId="77777777" w:rsidR="007C1291" w:rsidRPr="009C5807" w:rsidRDefault="007C1291" w:rsidP="007C1291">
      <w:pPr>
        <w:pStyle w:val="TH"/>
        <w:rPr>
          <w:snapToGrid w:val="0"/>
        </w:rPr>
      </w:pPr>
      <w:r w:rsidRPr="009C5807">
        <w:rPr>
          <w:snapToGrid w:val="0"/>
        </w:rPr>
        <w:t xml:space="preserve">Table 7.6.6-2 </w:t>
      </w:r>
      <w:r w:rsidRPr="009C5807">
        <w:t xml:space="preserve">Maximum receive timing difference requirement for inter-band asynchronous </w:t>
      </w:r>
      <w:r w:rsidRPr="009C5807">
        <w:rPr>
          <w:rFonts w:hint="eastAsia"/>
          <w:lang w:eastAsia="ko-KR"/>
        </w:rPr>
        <w:t>NR 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126"/>
      </w:tblGrid>
      <w:tr w:rsidR="007C1291" w:rsidRPr="009C5807" w14:paraId="32F70BC6" w14:textId="77777777" w:rsidTr="00AD1C20">
        <w:trPr>
          <w:jc w:val="center"/>
        </w:trPr>
        <w:tc>
          <w:tcPr>
            <w:tcW w:w="2762" w:type="dxa"/>
            <w:shd w:val="clear" w:color="auto" w:fill="auto"/>
          </w:tcPr>
          <w:p w14:paraId="0BED16CB" w14:textId="77777777" w:rsidR="007C1291" w:rsidRPr="009C5807" w:rsidRDefault="007C1291" w:rsidP="00B4408D">
            <w:pPr>
              <w:pStyle w:val="TAH"/>
            </w:pPr>
            <w:r w:rsidRPr="009C5807">
              <w:t xml:space="preserve">Max {Sub-carrier spacing in PCell (kHz), Sub-carrier spacing in PSCell (kHz)} </w:t>
            </w:r>
          </w:p>
        </w:tc>
        <w:tc>
          <w:tcPr>
            <w:tcW w:w="2126" w:type="dxa"/>
            <w:shd w:val="clear" w:color="auto" w:fill="auto"/>
          </w:tcPr>
          <w:p w14:paraId="21902C0F" w14:textId="77777777" w:rsidR="007C1291" w:rsidRPr="009C5807" w:rsidRDefault="007C1291" w:rsidP="00B4408D">
            <w:pPr>
              <w:pStyle w:val="TAH"/>
            </w:pPr>
            <w:r w:rsidRPr="009C5807">
              <w:t>Maximum receive timing difference (µs)</w:t>
            </w:r>
          </w:p>
        </w:tc>
      </w:tr>
      <w:tr w:rsidR="007C1291" w:rsidRPr="009C5807" w14:paraId="3EC4AC4B" w14:textId="77777777" w:rsidTr="00AD1C20">
        <w:trPr>
          <w:jc w:val="center"/>
        </w:trPr>
        <w:tc>
          <w:tcPr>
            <w:tcW w:w="2762" w:type="dxa"/>
            <w:shd w:val="clear" w:color="auto" w:fill="auto"/>
          </w:tcPr>
          <w:p w14:paraId="4A8B79FB" w14:textId="77777777" w:rsidR="007C1291" w:rsidRPr="009C5807" w:rsidRDefault="007C1291" w:rsidP="00B4408D">
            <w:pPr>
              <w:pStyle w:val="TAC"/>
            </w:pPr>
            <w:r w:rsidRPr="009C5807">
              <w:t>15</w:t>
            </w:r>
          </w:p>
        </w:tc>
        <w:tc>
          <w:tcPr>
            <w:tcW w:w="2126" w:type="dxa"/>
            <w:shd w:val="clear" w:color="auto" w:fill="auto"/>
          </w:tcPr>
          <w:p w14:paraId="63D35DDC" w14:textId="77777777" w:rsidR="007C1291" w:rsidRPr="009C5807" w:rsidRDefault="007C1291" w:rsidP="00B4408D">
            <w:pPr>
              <w:pStyle w:val="TAC"/>
            </w:pPr>
            <w:r w:rsidRPr="009C5807">
              <w:t>500</w:t>
            </w:r>
          </w:p>
        </w:tc>
      </w:tr>
      <w:tr w:rsidR="007C1291" w:rsidRPr="009C5807" w14:paraId="5F66E8DB" w14:textId="77777777" w:rsidTr="00AD1C20">
        <w:trPr>
          <w:jc w:val="center"/>
        </w:trPr>
        <w:tc>
          <w:tcPr>
            <w:tcW w:w="2762" w:type="dxa"/>
            <w:shd w:val="clear" w:color="auto" w:fill="auto"/>
          </w:tcPr>
          <w:p w14:paraId="1A129E41" w14:textId="77777777" w:rsidR="007C1291" w:rsidRPr="009C5807" w:rsidRDefault="007C1291" w:rsidP="00B4408D">
            <w:pPr>
              <w:pStyle w:val="TAC"/>
            </w:pPr>
            <w:r w:rsidRPr="009C5807">
              <w:t>30</w:t>
            </w:r>
          </w:p>
        </w:tc>
        <w:tc>
          <w:tcPr>
            <w:tcW w:w="2126" w:type="dxa"/>
            <w:shd w:val="clear" w:color="auto" w:fill="auto"/>
          </w:tcPr>
          <w:p w14:paraId="574DD165" w14:textId="77777777" w:rsidR="007C1291" w:rsidRPr="009C5807" w:rsidRDefault="007C1291" w:rsidP="00B4408D">
            <w:pPr>
              <w:pStyle w:val="TAC"/>
            </w:pPr>
            <w:r w:rsidRPr="009C5807">
              <w:t>250</w:t>
            </w:r>
          </w:p>
        </w:tc>
      </w:tr>
      <w:tr w:rsidR="007C1291" w:rsidRPr="009C5807" w14:paraId="570B396E" w14:textId="77777777" w:rsidTr="00AD1C20">
        <w:trPr>
          <w:jc w:val="center"/>
        </w:trPr>
        <w:tc>
          <w:tcPr>
            <w:tcW w:w="2762" w:type="dxa"/>
            <w:shd w:val="clear" w:color="auto" w:fill="auto"/>
          </w:tcPr>
          <w:p w14:paraId="09FFF93F" w14:textId="77777777" w:rsidR="007C1291" w:rsidRPr="009C5807" w:rsidRDefault="007C1291" w:rsidP="00B4408D">
            <w:pPr>
              <w:pStyle w:val="TAC"/>
            </w:pPr>
            <w:r w:rsidRPr="009C5807">
              <w:t>60</w:t>
            </w:r>
          </w:p>
        </w:tc>
        <w:tc>
          <w:tcPr>
            <w:tcW w:w="2126" w:type="dxa"/>
            <w:shd w:val="clear" w:color="auto" w:fill="auto"/>
          </w:tcPr>
          <w:p w14:paraId="3C0997A4" w14:textId="77777777" w:rsidR="007C1291" w:rsidRPr="009C5807" w:rsidRDefault="007C1291" w:rsidP="00B4408D">
            <w:pPr>
              <w:pStyle w:val="TAC"/>
            </w:pPr>
            <w:r w:rsidRPr="009C5807">
              <w:t>125</w:t>
            </w:r>
          </w:p>
        </w:tc>
      </w:tr>
      <w:tr w:rsidR="007C1291" w:rsidRPr="009C5807" w14:paraId="7A8B9522" w14:textId="77777777" w:rsidTr="00AD1C20">
        <w:trPr>
          <w:jc w:val="center"/>
        </w:trPr>
        <w:tc>
          <w:tcPr>
            <w:tcW w:w="2762" w:type="dxa"/>
            <w:shd w:val="clear" w:color="auto" w:fill="auto"/>
          </w:tcPr>
          <w:p w14:paraId="64A71C68" w14:textId="77777777" w:rsidR="007C1291" w:rsidRPr="009C5807" w:rsidRDefault="007C1291" w:rsidP="00B4408D">
            <w:pPr>
              <w:pStyle w:val="TAC"/>
            </w:pPr>
            <w:r w:rsidRPr="009C5807">
              <w:t>120</w:t>
            </w:r>
          </w:p>
        </w:tc>
        <w:tc>
          <w:tcPr>
            <w:tcW w:w="2126" w:type="dxa"/>
            <w:shd w:val="clear" w:color="auto" w:fill="auto"/>
          </w:tcPr>
          <w:p w14:paraId="79F9ADC0" w14:textId="77777777" w:rsidR="007C1291" w:rsidRPr="009C5807" w:rsidRDefault="007C1291" w:rsidP="00B4408D">
            <w:pPr>
              <w:pStyle w:val="TAC"/>
            </w:pPr>
            <w:r w:rsidRPr="009C5807">
              <w:t>62.5</w:t>
            </w:r>
          </w:p>
        </w:tc>
      </w:tr>
      <w:tr w:rsidR="000A4872" w:rsidRPr="009C5807" w14:paraId="3AE7E776" w14:textId="77777777" w:rsidTr="00AD1C20">
        <w:trPr>
          <w:jc w:val="center"/>
        </w:trPr>
        <w:tc>
          <w:tcPr>
            <w:tcW w:w="2762" w:type="dxa"/>
            <w:shd w:val="clear" w:color="auto" w:fill="auto"/>
          </w:tcPr>
          <w:p w14:paraId="3339BBCA" w14:textId="10523E49" w:rsidR="000A4872" w:rsidRPr="009C5807" w:rsidRDefault="000A4872" w:rsidP="000A4872">
            <w:pPr>
              <w:pStyle w:val="TAC"/>
            </w:pPr>
            <w:r w:rsidRPr="00415158">
              <w:rPr>
                <w:rFonts w:eastAsiaTheme="minorEastAsia"/>
              </w:rPr>
              <w:t>480</w:t>
            </w:r>
          </w:p>
        </w:tc>
        <w:tc>
          <w:tcPr>
            <w:tcW w:w="2126" w:type="dxa"/>
            <w:shd w:val="clear" w:color="auto" w:fill="auto"/>
          </w:tcPr>
          <w:p w14:paraId="48E60202" w14:textId="3E2C3622" w:rsidR="000A4872" w:rsidRPr="009C5807" w:rsidRDefault="000A4872" w:rsidP="000A4872">
            <w:pPr>
              <w:pStyle w:val="TAC"/>
            </w:pPr>
            <w:r w:rsidRPr="00415158">
              <w:rPr>
                <w:rFonts w:eastAsiaTheme="minorEastAsia"/>
              </w:rPr>
              <w:t>1</w:t>
            </w:r>
            <w:r w:rsidRPr="00415158">
              <w:rPr>
                <w:rFonts w:eastAsiaTheme="minorEastAsia"/>
                <w:lang w:val="en-US"/>
              </w:rPr>
              <w:t>5</w:t>
            </w:r>
            <w:r w:rsidRPr="00415158">
              <w:rPr>
                <w:rFonts w:eastAsiaTheme="minorEastAsia"/>
              </w:rPr>
              <w:t>.625</w:t>
            </w:r>
          </w:p>
        </w:tc>
      </w:tr>
      <w:tr w:rsidR="000A4872" w:rsidRPr="009C5807" w14:paraId="1585CC87" w14:textId="77777777" w:rsidTr="00AD1C20">
        <w:trPr>
          <w:jc w:val="center"/>
        </w:trPr>
        <w:tc>
          <w:tcPr>
            <w:tcW w:w="2762" w:type="dxa"/>
            <w:shd w:val="clear" w:color="auto" w:fill="auto"/>
          </w:tcPr>
          <w:p w14:paraId="3715B92A" w14:textId="4125985C" w:rsidR="000A4872" w:rsidRPr="009C5807" w:rsidRDefault="000A4872" w:rsidP="000A4872">
            <w:pPr>
              <w:pStyle w:val="TAC"/>
            </w:pPr>
            <w:r w:rsidRPr="00415158">
              <w:rPr>
                <w:rFonts w:eastAsiaTheme="minorEastAsia"/>
              </w:rPr>
              <w:t>960</w:t>
            </w:r>
          </w:p>
        </w:tc>
        <w:tc>
          <w:tcPr>
            <w:tcW w:w="2126" w:type="dxa"/>
            <w:shd w:val="clear" w:color="auto" w:fill="auto"/>
          </w:tcPr>
          <w:p w14:paraId="576D41E5" w14:textId="5A52CB60" w:rsidR="000A4872" w:rsidRPr="009C5807" w:rsidRDefault="000A4872" w:rsidP="000A4872">
            <w:pPr>
              <w:pStyle w:val="TAC"/>
            </w:pPr>
            <w:r w:rsidRPr="00415158">
              <w:rPr>
                <w:rFonts w:eastAsiaTheme="minorEastAsia"/>
              </w:rPr>
              <w:t>7.8125</w:t>
            </w:r>
          </w:p>
        </w:tc>
      </w:tr>
    </w:tbl>
    <w:p w14:paraId="6927AF2C" w14:textId="77777777" w:rsidR="00877F17" w:rsidRPr="009C5807" w:rsidRDefault="00877F17" w:rsidP="00877F17">
      <w:pPr>
        <w:rPr>
          <w:rFonts w:eastAsia="Malgun Gothic"/>
          <w:lang w:eastAsia="ko-KR"/>
        </w:rPr>
      </w:pPr>
    </w:p>
    <w:p w14:paraId="57DFACF4" w14:textId="77777777" w:rsidR="00EB6BBC" w:rsidRPr="009C5807" w:rsidRDefault="00EB6BBC" w:rsidP="00EB6BBC">
      <w:pPr>
        <w:pStyle w:val="Heading2"/>
      </w:pPr>
      <w:bookmarkStart w:id="149" w:name="_Toc5952622"/>
      <w:bookmarkStart w:id="150" w:name="_Toc5952624"/>
      <w:bookmarkEnd w:id="148"/>
      <w:r w:rsidRPr="009C5807">
        <w:t>7.7</w:t>
      </w:r>
      <w:r w:rsidRPr="009C5807">
        <w:tab/>
      </w:r>
      <w:r w:rsidRPr="009C5807">
        <w:rPr>
          <w:i/>
          <w:lang w:val="en-US"/>
        </w:rPr>
        <w:t>deriveSSB-IndexFromCell</w:t>
      </w:r>
      <w:r w:rsidRPr="009C5807">
        <w:t xml:space="preserve"> tolerance</w:t>
      </w:r>
    </w:p>
    <w:p w14:paraId="3AFAEAD3" w14:textId="77777777" w:rsidR="00EB6BBC" w:rsidRPr="009C5807" w:rsidRDefault="00EB6BBC" w:rsidP="00EB6BBC">
      <w:pPr>
        <w:pStyle w:val="Heading3"/>
      </w:pPr>
      <w:bookmarkStart w:id="151" w:name="_Toc5952621"/>
      <w:r w:rsidRPr="009C5807">
        <w:t>7.</w:t>
      </w:r>
      <w:r w:rsidRPr="009C5807">
        <w:rPr>
          <w:lang w:eastAsia="zh-CN"/>
        </w:rPr>
        <w:t>7</w:t>
      </w:r>
      <w:r w:rsidRPr="009C5807">
        <w:t>.1</w:t>
      </w:r>
      <w:r w:rsidRPr="009C5807">
        <w:tab/>
        <w:t>Minimum requirements</w:t>
      </w:r>
      <w:bookmarkEnd w:id="151"/>
    </w:p>
    <w:p w14:paraId="4501925E" w14:textId="77777777" w:rsidR="00FC51E7" w:rsidRDefault="00FC51E7" w:rsidP="00FC51E7">
      <w:pPr>
        <w:rPr>
          <w:rFonts w:eastAsiaTheme="minorEastAsia"/>
        </w:rPr>
      </w:pPr>
      <w:r>
        <w:t xml:space="preserve">When </w:t>
      </w:r>
      <w:r>
        <w:rPr>
          <w:i/>
          <w:iCs/>
          <w:lang w:val="en-US"/>
        </w:rPr>
        <w:t>deriveSSB-IndexFromCell</w:t>
      </w:r>
      <w:r>
        <w:t xml:space="preserve"> is enabled, the UE assume</w:t>
      </w:r>
      <w:r>
        <w:rPr>
          <w:lang w:eastAsia="zh-CN"/>
        </w:rPr>
        <w:t xml:space="preserve">s </w:t>
      </w:r>
      <w:r>
        <w:t>frame boundary alignment (including half frame</w:t>
      </w:r>
      <w:r>
        <w:rPr>
          <w:lang w:eastAsia="zh-CN"/>
        </w:rPr>
        <w:t xml:space="preserve">, </w:t>
      </w:r>
      <w:r>
        <w:t>subframe</w:t>
      </w:r>
      <w:r>
        <w:rPr>
          <w:lang w:eastAsia="zh-CN"/>
        </w:rPr>
        <w:t xml:space="preserve"> and </w:t>
      </w:r>
      <w:r>
        <w:t>slot boundary alignment) across cells on the same frequency carrier</w:t>
      </w:r>
      <w:r>
        <w:rPr>
          <w:lang w:eastAsia="zh-CN"/>
        </w:rPr>
        <w:t xml:space="preserve"> is</w:t>
      </w:r>
      <w:r>
        <w:t xml:space="preserve"> within a tolerance not worse than </w:t>
      </w:r>
    </w:p>
    <w:p w14:paraId="68590440" w14:textId="77777777" w:rsidR="00FC51E7" w:rsidRDefault="00FC51E7" w:rsidP="00FC51E7">
      <w:pPr>
        <w:pStyle w:val="B10"/>
        <w:rPr>
          <w:lang w:eastAsia="zh-CN"/>
        </w:rPr>
      </w:pPr>
      <w:r>
        <w:t>-</w:t>
      </w:r>
      <w:r>
        <w:tab/>
        <w:t>min (2 SSB symbols, 1 PDSCH symbol) for sub-carrier spacings of SSB and PDSCH up-to 240 kHz,</w:t>
      </w:r>
    </w:p>
    <w:p w14:paraId="3A04FEDD" w14:textId="77777777" w:rsidR="00FC51E7" w:rsidRDefault="00FC51E7" w:rsidP="00FC51E7">
      <w:pPr>
        <w:pStyle w:val="B10"/>
      </w:pPr>
      <w:r>
        <w:t>-</w:t>
      </w:r>
      <w:r>
        <w:tab/>
        <w:t>min (3 SSB symbols, N</w:t>
      </w:r>
      <w:r>
        <w:rPr>
          <w:vertAlign w:val="subscript"/>
        </w:rPr>
        <w:t>PDSCH</w:t>
      </w:r>
      <w:r>
        <w:t xml:space="preserve"> PDSCH symbols) for sub-carrier spacing of 480 kHz and 960kHz of </w:t>
      </w:r>
      <w:r>
        <w:rPr>
          <w:lang w:eastAsia="zh-CN"/>
        </w:rPr>
        <w:t>either</w:t>
      </w:r>
      <w:r>
        <w:t xml:space="preserve"> SSB or PDSCH where N</w:t>
      </w:r>
      <w:r>
        <w:rPr>
          <w:vertAlign w:val="subscript"/>
        </w:rPr>
        <w:t>PDSCH</w:t>
      </w:r>
      <w:r>
        <w:t xml:space="preserve"> is defined in Table 7.7.1-1</w:t>
      </w:r>
    </w:p>
    <w:p w14:paraId="6CB24889" w14:textId="77777777" w:rsidR="00FC51E7" w:rsidRDefault="00FC51E7" w:rsidP="00FC51E7">
      <w:pPr>
        <w:rPr>
          <w:lang w:eastAsia="zh-CN"/>
        </w:rPr>
      </w:pPr>
      <w:r>
        <w:t>and the SFNs of all cells on the same frequency carrier are the same</w:t>
      </w:r>
      <w:r>
        <w:rPr>
          <w:lang w:eastAsia="zh-CN"/>
        </w:rPr>
        <w:t>.</w:t>
      </w:r>
    </w:p>
    <w:p w14:paraId="0E95B153" w14:textId="77777777" w:rsidR="00FC51E7" w:rsidRDefault="00FC51E7" w:rsidP="00FC51E7">
      <w:pPr>
        <w:pStyle w:val="TH"/>
        <w:rPr>
          <w:lang w:eastAsia="zh-CN"/>
        </w:rPr>
      </w:pPr>
      <w:r>
        <w:rPr>
          <w:lang w:eastAsia="zh-CN"/>
        </w:rPr>
        <w:t xml:space="preserve">Table 7.7.1-1 </w:t>
      </w:r>
      <w:r>
        <w:rPr>
          <w:lang w:val="en-US" w:eastAsia="zh-CN"/>
        </w:rPr>
        <w:t>N</w:t>
      </w:r>
      <w:r>
        <w:rPr>
          <w:vertAlign w:val="subscript"/>
          <w:lang w:val="en-US" w:eastAsia="zh-CN"/>
        </w:rPr>
        <w:t>PDSCH</w:t>
      </w:r>
      <w:r>
        <w:rPr>
          <w:lang w:val="en-US" w:eastAsia="zh-CN"/>
        </w:rPr>
        <w:t xml:space="preserve"> when deriveSSB-IndexFromCell is enabled </w:t>
      </w:r>
    </w:p>
    <w:tbl>
      <w:tblPr>
        <w:tblStyle w:val="TableGrid"/>
        <w:tblW w:w="0" w:type="auto"/>
        <w:jc w:val="center"/>
        <w:tblLook w:val="04A0" w:firstRow="1" w:lastRow="0" w:firstColumn="1" w:lastColumn="0" w:noHBand="0" w:noVBand="1"/>
      </w:tblPr>
      <w:tblGrid>
        <w:gridCol w:w="1615"/>
        <w:gridCol w:w="1800"/>
        <w:gridCol w:w="1530"/>
      </w:tblGrid>
      <w:tr w:rsidR="00FC51E7" w14:paraId="10919CD5" w14:textId="77777777" w:rsidTr="00147C99">
        <w:trPr>
          <w:jc w:val="center"/>
        </w:trPr>
        <w:tc>
          <w:tcPr>
            <w:tcW w:w="1615" w:type="dxa"/>
            <w:tcBorders>
              <w:top w:val="single" w:sz="4" w:space="0" w:color="auto"/>
              <w:left w:val="single" w:sz="4" w:space="0" w:color="auto"/>
              <w:bottom w:val="single" w:sz="4" w:space="0" w:color="auto"/>
              <w:right w:val="single" w:sz="4" w:space="0" w:color="auto"/>
            </w:tcBorders>
            <w:hideMark/>
          </w:tcPr>
          <w:p w14:paraId="1FC072E1" w14:textId="77777777" w:rsidR="00FC51E7" w:rsidRDefault="00FC51E7" w:rsidP="00147C99">
            <w:pPr>
              <w:pStyle w:val="TAH"/>
              <w:rPr>
                <w:lang w:val="en-US" w:eastAsia="zh-CN"/>
              </w:rPr>
            </w:pPr>
            <w:r>
              <w:rPr>
                <w:lang w:val="en-US" w:eastAsia="zh-CN"/>
              </w:rPr>
              <w:t>SSB SCS (KHz)</w:t>
            </w:r>
          </w:p>
        </w:tc>
        <w:tc>
          <w:tcPr>
            <w:tcW w:w="1800" w:type="dxa"/>
            <w:tcBorders>
              <w:top w:val="single" w:sz="4" w:space="0" w:color="auto"/>
              <w:left w:val="single" w:sz="4" w:space="0" w:color="auto"/>
              <w:bottom w:val="single" w:sz="4" w:space="0" w:color="auto"/>
              <w:right w:val="single" w:sz="4" w:space="0" w:color="auto"/>
            </w:tcBorders>
            <w:hideMark/>
          </w:tcPr>
          <w:p w14:paraId="3503DE48" w14:textId="77777777" w:rsidR="00FC51E7" w:rsidRDefault="00FC51E7" w:rsidP="00147C99">
            <w:pPr>
              <w:pStyle w:val="TAH"/>
              <w:rPr>
                <w:lang w:val="en-US" w:eastAsia="zh-CN"/>
              </w:rPr>
            </w:pPr>
            <w:r>
              <w:rPr>
                <w:lang w:val="en-US" w:eastAsia="zh-CN"/>
              </w:rPr>
              <w:t>PDSCH SCS (KHz)</w:t>
            </w:r>
          </w:p>
        </w:tc>
        <w:tc>
          <w:tcPr>
            <w:tcW w:w="1530" w:type="dxa"/>
            <w:tcBorders>
              <w:top w:val="single" w:sz="4" w:space="0" w:color="auto"/>
              <w:left w:val="single" w:sz="4" w:space="0" w:color="auto"/>
              <w:bottom w:val="single" w:sz="4" w:space="0" w:color="auto"/>
              <w:right w:val="single" w:sz="4" w:space="0" w:color="auto"/>
            </w:tcBorders>
            <w:hideMark/>
          </w:tcPr>
          <w:p w14:paraId="70734100" w14:textId="77777777" w:rsidR="00FC51E7" w:rsidRDefault="00FC51E7" w:rsidP="00147C99">
            <w:pPr>
              <w:pStyle w:val="TAH"/>
              <w:rPr>
                <w:lang w:val="en-US" w:eastAsia="zh-CN"/>
              </w:rPr>
            </w:pPr>
            <w:r>
              <w:rPr>
                <w:lang w:val="en-US" w:eastAsia="zh-CN"/>
              </w:rPr>
              <w:t>N</w:t>
            </w:r>
            <w:r>
              <w:rPr>
                <w:vertAlign w:val="subscript"/>
                <w:lang w:val="en-US" w:eastAsia="zh-CN"/>
              </w:rPr>
              <w:t>PDSCH</w:t>
            </w:r>
            <w:r>
              <w:rPr>
                <w:lang w:val="en-US" w:eastAsia="zh-CN"/>
              </w:rPr>
              <w:t xml:space="preserve"> </w:t>
            </w:r>
          </w:p>
        </w:tc>
      </w:tr>
      <w:tr w:rsidR="00FC51E7" w14:paraId="4369FDC9" w14:textId="77777777" w:rsidTr="00147C99">
        <w:trPr>
          <w:jc w:val="center"/>
        </w:trPr>
        <w:tc>
          <w:tcPr>
            <w:tcW w:w="1615" w:type="dxa"/>
            <w:tcBorders>
              <w:top w:val="single" w:sz="4" w:space="0" w:color="auto"/>
              <w:left w:val="single" w:sz="4" w:space="0" w:color="auto"/>
              <w:bottom w:val="single" w:sz="4" w:space="0" w:color="auto"/>
              <w:right w:val="single" w:sz="4" w:space="0" w:color="auto"/>
            </w:tcBorders>
            <w:hideMark/>
          </w:tcPr>
          <w:p w14:paraId="3D3A465C" w14:textId="77777777" w:rsidR="00FC51E7" w:rsidRDefault="00FC51E7" w:rsidP="00147C99">
            <w:pPr>
              <w:pStyle w:val="TAC"/>
              <w:rPr>
                <w:lang w:val="da-DK" w:eastAsia="zh-CN"/>
              </w:rPr>
            </w:pPr>
            <w:r>
              <w:rPr>
                <w:lang w:val="da-DK" w:eastAsia="zh-CN"/>
              </w:rPr>
              <w:t>120</w:t>
            </w:r>
          </w:p>
        </w:tc>
        <w:tc>
          <w:tcPr>
            <w:tcW w:w="1800" w:type="dxa"/>
            <w:tcBorders>
              <w:top w:val="single" w:sz="4" w:space="0" w:color="auto"/>
              <w:left w:val="single" w:sz="4" w:space="0" w:color="auto"/>
              <w:bottom w:val="single" w:sz="4" w:space="0" w:color="auto"/>
              <w:right w:val="single" w:sz="4" w:space="0" w:color="auto"/>
            </w:tcBorders>
            <w:hideMark/>
          </w:tcPr>
          <w:p w14:paraId="7FAA0CFD" w14:textId="77777777" w:rsidR="00FC51E7" w:rsidRDefault="00FC51E7" w:rsidP="00147C99">
            <w:pPr>
              <w:pStyle w:val="TAC"/>
              <w:rPr>
                <w:lang w:val="da-DK" w:eastAsia="zh-CN"/>
              </w:rPr>
            </w:pPr>
            <w:r>
              <w:rPr>
                <w:lang w:val="da-DK" w:eastAsia="zh-CN"/>
              </w:rPr>
              <w:t>480</w:t>
            </w:r>
          </w:p>
        </w:tc>
        <w:tc>
          <w:tcPr>
            <w:tcW w:w="1530" w:type="dxa"/>
            <w:tcBorders>
              <w:top w:val="single" w:sz="4" w:space="0" w:color="auto"/>
              <w:left w:val="single" w:sz="4" w:space="0" w:color="auto"/>
              <w:bottom w:val="single" w:sz="4" w:space="0" w:color="auto"/>
              <w:right w:val="single" w:sz="4" w:space="0" w:color="auto"/>
            </w:tcBorders>
            <w:hideMark/>
          </w:tcPr>
          <w:p w14:paraId="39C13062" w14:textId="77777777" w:rsidR="00FC51E7" w:rsidRDefault="00FC51E7" w:rsidP="00147C99">
            <w:pPr>
              <w:pStyle w:val="TAC"/>
              <w:rPr>
                <w:lang w:val="da-DK" w:eastAsia="zh-CN"/>
              </w:rPr>
            </w:pPr>
            <w:r>
              <w:rPr>
                <w:lang w:val="da-DK" w:eastAsia="zh-CN"/>
              </w:rPr>
              <w:t>3</w:t>
            </w:r>
          </w:p>
        </w:tc>
      </w:tr>
      <w:tr w:rsidR="00FC51E7" w14:paraId="4C46365A" w14:textId="77777777" w:rsidTr="00147C99">
        <w:trPr>
          <w:jc w:val="center"/>
        </w:trPr>
        <w:tc>
          <w:tcPr>
            <w:tcW w:w="1615" w:type="dxa"/>
            <w:tcBorders>
              <w:top w:val="single" w:sz="4" w:space="0" w:color="auto"/>
              <w:left w:val="single" w:sz="4" w:space="0" w:color="auto"/>
              <w:bottom w:val="single" w:sz="4" w:space="0" w:color="auto"/>
              <w:right w:val="single" w:sz="4" w:space="0" w:color="auto"/>
            </w:tcBorders>
            <w:hideMark/>
          </w:tcPr>
          <w:p w14:paraId="5439EE39" w14:textId="77777777" w:rsidR="00FC51E7" w:rsidRDefault="00FC51E7" w:rsidP="00147C99">
            <w:pPr>
              <w:pStyle w:val="TAC"/>
              <w:rPr>
                <w:lang w:val="da-DK" w:eastAsia="zh-CN"/>
              </w:rPr>
            </w:pPr>
            <w:r>
              <w:rPr>
                <w:lang w:val="da-DK" w:eastAsia="zh-CN"/>
              </w:rPr>
              <w:t>120</w:t>
            </w:r>
          </w:p>
        </w:tc>
        <w:tc>
          <w:tcPr>
            <w:tcW w:w="1800" w:type="dxa"/>
            <w:tcBorders>
              <w:top w:val="single" w:sz="4" w:space="0" w:color="auto"/>
              <w:left w:val="single" w:sz="4" w:space="0" w:color="auto"/>
              <w:bottom w:val="single" w:sz="4" w:space="0" w:color="auto"/>
              <w:right w:val="single" w:sz="4" w:space="0" w:color="auto"/>
            </w:tcBorders>
            <w:hideMark/>
          </w:tcPr>
          <w:p w14:paraId="4D74D141" w14:textId="77777777" w:rsidR="00FC51E7" w:rsidRDefault="00FC51E7" w:rsidP="00147C99">
            <w:pPr>
              <w:pStyle w:val="TAC"/>
              <w:rPr>
                <w:lang w:val="da-DK" w:eastAsia="zh-CN"/>
              </w:rPr>
            </w:pPr>
            <w:r>
              <w:rPr>
                <w:lang w:val="da-DK" w:eastAsia="zh-CN"/>
              </w:rPr>
              <w:t>960</w:t>
            </w:r>
          </w:p>
        </w:tc>
        <w:tc>
          <w:tcPr>
            <w:tcW w:w="1530" w:type="dxa"/>
            <w:tcBorders>
              <w:top w:val="single" w:sz="4" w:space="0" w:color="auto"/>
              <w:left w:val="single" w:sz="4" w:space="0" w:color="auto"/>
              <w:bottom w:val="single" w:sz="4" w:space="0" w:color="auto"/>
              <w:right w:val="single" w:sz="4" w:space="0" w:color="auto"/>
            </w:tcBorders>
            <w:hideMark/>
          </w:tcPr>
          <w:p w14:paraId="158C8E92" w14:textId="77777777" w:rsidR="00FC51E7" w:rsidRDefault="00FC51E7" w:rsidP="00147C99">
            <w:pPr>
              <w:pStyle w:val="TAC"/>
              <w:rPr>
                <w:lang w:val="da-DK" w:eastAsia="zh-CN"/>
              </w:rPr>
            </w:pPr>
            <w:r>
              <w:rPr>
                <w:lang w:val="da-DK" w:eastAsia="zh-CN"/>
              </w:rPr>
              <w:t>6</w:t>
            </w:r>
          </w:p>
        </w:tc>
      </w:tr>
      <w:tr w:rsidR="00FC51E7" w14:paraId="2A7D0CC4" w14:textId="77777777" w:rsidTr="00147C99">
        <w:trPr>
          <w:jc w:val="center"/>
        </w:trPr>
        <w:tc>
          <w:tcPr>
            <w:tcW w:w="1615" w:type="dxa"/>
            <w:tcBorders>
              <w:top w:val="single" w:sz="4" w:space="0" w:color="auto"/>
              <w:left w:val="single" w:sz="4" w:space="0" w:color="auto"/>
              <w:bottom w:val="single" w:sz="4" w:space="0" w:color="auto"/>
              <w:right w:val="single" w:sz="4" w:space="0" w:color="auto"/>
            </w:tcBorders>
            <w:hideMark/>
          </w:tcPr>
          <w:p w14:paraId="3CA00731" w14:textId="77777777" w:rsidR="00FC51E7" w:rsidRDefault="00FC51E7" w:rsidP="00147C99">
            <w:pPr>
              <w:pStyle w:val="TAC"/>
              <w:rPr>
                <w:lang w:val="da-DK" w:eastAsia="zh-CN"/>
              </w:rPr>
            </w:pPr>
            <w:r>
              <w:rPr>
                <w:lang w:val="da-DK" w:eastAsia="zh-CN"/>
              </w:rPr>
              <w:t>480</w:t>
            </w:r>
          </w:p>
        </w:tc>
        <w:tc>
          <w:tcPr>
            <w:tcW w:w="1800" w:type="dxa"/>
            <w:tcBorders>
              <w:top w:val="single" w:sz="4" w:space="0" w:color="auto"/>
              <w:left w:val="single" w:sz="4" w:space="0" w:color="auto"/>
              <w:bottom w:val="single" w:sz="4" w:space="0" w:color="auto"/>
              <w:right w:val="single" w:sz="4" w:space="0" w:color="auto"/>
            </w:tcBorders>
            <w:hideMark/>
          </w:tcPr>
          <w:p w14:paraId="6240BD3D" w14:textId="77777777" w:rsidR="00FC51E7" w:rsidRDefault="00FC51E7" w:rsidP="00147C99">
            <w:pPr>
              <w:pStyle w:val="TAC"/>
              <w:rPr>
                <w:lang w:val="da-DK" w:eastAsia="zh-CN"/>
              </w:rPr>
            </w:pPr>
            <w:r>
              <w:rPr>
                <w:lang w:val="da-DK" w:eastAsia="zh-CN"/>
              </w:rPr>
              <w:t>120</w:t>
            </w:r>
          </w:p>
        </w:tc>
        <w:tc>
          <w:tcPr>
            <w:tcW w:w="1530" w:type="dxa"/>
            <w:tcBorders>
              <w:top w:val="single" w:sz="4" w:space="0" w:color="auto"/>
              <w:left w:val="single" w:sz="4" w:space="0" w:color="auto"/>
              <w:bottom w:val="single" w:sz="4" w:space="0" w:color="auto"/>
              <w:right w:val="single" w:sz="4" w:space="0" w:color="auto"/>
            </w:tcBorders>
            <w:hideMark/>
          </w:tcPr>
          <w:p w14:paraId="68A8B037" w14:textId="77777777" w:rsidR="00FC51E7" w:rsidRDefault="00FC51E7" w:rsidP="00147C99">
            <w:pPr>
              <w:pStyle w:val="TAC"/>
              <w:rPr>
                <w:lang w:val="da-DK" w:eastAsia="zh-CN"/>
              </w:rPr>
            </w:pPr>
            <w:r>
              <w:rPr>
                <w:lang w:val="da-DK" w:eastAsia="zh-CN"/>
              </w:rPr>
              <w:t>1</w:t>
            </w:r>
          </w:p>
        </w:tc>
      </w:tr>
      <w:tr w:rsidR="00FC51E7" w14:paraId="6744B57F" w14:textId="77777777" w:rsidTr="00147C99">
        <w:trPr>
          <w:jc w:val="center"/>
        </w:trPr>
        <w:tc>
          <w:tcPr>
            <w:tcW w:w="1615" w:type="dxa"/>
            <w:tcBorders>
              <w:top w:val="single" w:sz="4" w:space="0" w:color="auto"/>
              <w:left w:val="single" w:sz="4" w:space="0" w:color="auto"/>
              <w:bottom w:val="single" w:sz="4" w:space="0" w:color="auto"/>
              <w:right w:val="single" w:sz="4" w:space="0" w:color="auto"/>
            </w:tcBorders>
            <w:hideMark/>
          </w:tcPr>
          <w:p w14:paraId="1A5F8C6E" w14:textId="77777777" w:rsidR="00FC51E7" w:rsidRDefault="00FC51E7" w:rsidP="00147C99">
            <w:pPr>
              <w:pStyle w:val="TAC"/>
              <w:rPr>
                <w:lang w:val="da-DK" w:eastAsia="zh-CN"/>
              </w:rPr>
            </w:pPr>
            <w:r>
              <w:rPr>
                <w:lang w:val="da-DK" w:eastAsia="zh-CN"/>
              </w:rPr>
              <w:t>480</w:t>
            </w:r>
          </w:p>
        </w:tc>
        <w:tc>
          <w:tcPr>
            <w:tcW w:w="1800" w:type="dxa"/>
            <w:tcBorders>
              <w:top w:val="single" w:sz="4" w:space="0" w:color="auto"/>
              <w:left w:val="single" w:sz="4" w:space="0" w:color="auto"/>
              <w:bottom w:val="single" w:sz="4" w:space="0" w:color="auto"/>
              <w:right w:val="single" w:sz="4" w:space="0" w:color="auto"/>
            </w:tcBorders>
            <w:hideMark/>
          </w:tcPr>
          <w:p w14:paraId="5E9B078A" w14:textId="77777777" w:rsidR="00FC51E7" w:rsidRDefault="00FC51E7" w:rsidP="00147C99">
            <w:pPr>
              <w:pStyle w:val="TAC"/>
              <w:rPr>
                <w:lang w:val="da-DK" w:eastAsia="zh-CN"/>
              </w:rPr>
            </w:pPr>
            <w:r>
              <w:rPr>
                <w:lang w:val="da-DK" w:eastAsia="zh-CN"/>
              </w:rPr>
              <w:t>480</w:t>
            </w:r>
          </w:p>
        </w:tc>
        <w:tc>
          <w:tcPr>
            <w:tcW w:w="1530" w:type="dxa"/>
            <w:tcBorders>
              <w:top w:val="single" w:sz="4" w:space="0" w:color="auto"/>
              <w:left w:val="single" w:sz="4" w:space="0" w:color="auto"/>
              <w:bottom w:val="single" w:sz="4" w:space="0" w:color="auto"/>
              <w:right w:val="single" w:sz="4" w:space="0" w:color="auto"/>
            </w:tcBorders>
            <w:hideMark/>
          </w:tcPr>
          <w:p w14:paraId="7C7D2015" w14:textId="77777777" w:rsidR="00FC51E7" w:rsidRDefault="00FC51E7" w:rsidP="00147C99">
            <w:pPr>
              <w:pStyle w:val="TAC"/>
              <w:rPr>
                <w:lang w:val="da-DK" w:eastAsia="zh-CN"/>
              </w:rPr>
            </w:pPr>
            <w:r>
              <w:rPr>
                <w:lang w:val="da-DK" w:eastAsia="zh-CN"/>
              </w:rPr>
              <w:t>3</w:t>
            </w:r>
          </w:p>
        </w:tc>
      </w:tr>
      <w:tr w:rsidR="00FC51E7" w14:paraId="16876E5B" w14:textId="77777777" w:rsidTr="00147C99">
        <w:trPr>
          <w:jc w:val="center"/>
        </w:trPr>
        <w:tc>
          <w:tcPr>
            <w:tcW w:w="1615" w:type="dxa"/>
            <w:tcBorders>
              <w:top w:val="single" w:sz="4" w:space="0" w:color="auto"/>
              <w:left w:val="single" w:sz="4" w:space="0" w:color="auto"/>
              <w:bottom w:val="single" w:sz="4" w:space="0" w:color="auto"/>
              <w:right w:val="single" w:sz="4" w:space="0" w:color="auto"/>
            </w:tcBorders>
            <w:hideMark/>
          </w:tcPr>
          <w:p w14:paraId="51F3AA51" w14:textId="77777777" w:rsidR="00FC51E7" w:rsidRDefault="00FC51E7" w:rsidP="00147C99">
            <w:pPr>
              <w:pStyle w:val="TAC"/>
              <w:rPr>
                <w:lang w:val="da-DK" w:eastAsia="zh-CN"/>
              </w:rPr>
            </w:pPr>
            <w:r>
              <w:rPr>
                <w:lang w:val="da-DK" w:eastAsia="zh-CN"/>
              </w:rPr>
              <w:t>480</w:t>
            </w:r>
          </w:p>
        </w:tc>
        <w:tc>
          <w:tcPr>
            <w:tcW w:w="1800" w:type="dxa"/>
            <w:tcBorders>
              <w:top w:val="single" w:sz="4" w:space="0" w:color="auto"/>
              <w:left w:val="single" w:sz="4" w:space="0" w:color="auto"/>
              <w:bottom w:val="single" w:sz="4" w:space="0" w:color="auto"/>
              <w:right w:val="single" w:sz="4" w:space="0" w:color="auto"/>
            </w:tcBorders>
            <w:hideMark/>
          </w:tcPr>
          <w:p w14:paraId="0BD9D5D2" w14:textId="77777777" w:rsidR="00FC51E7" w:rsidRDefault="00FC51E7" w:rsidP="00147C99">
            <w:pPr>
              <w:pStyle w:val="TAC"/>
              <w:rPr>
                <w:lang w:val="da-DK" w:eastAsia="zh-CN"/>
              </w:rPr>
            </w:pPr>
            <w:r>
              <w:rPr>
                <w:lang w:val="da-DK" w:eastAsia="zh-CN"/>
              </w:rPr>
              <w:t>960</w:t>
            </w:r>
          </w:p>
        </w:tc>
        <w:tc>
          <w:tcPr>
            <w:tcW w:w="1530" w:type="dxa"/>
            <w:tcBorders>
              <w:top w:val="single" w:sz="4" w:space="0" w:color="auto"/>
              <w:left w:val="single" w:sz="4" w:space="0" w:color="auto"/>
              <w:bottom w:val="single" w:sz="4" w:space="0" w:color="auto"/>
              <w:right w:val="single" w:sz="4" w:space="0" w:color="auto"/>
            </w:tcBorders>
            <w:hideMark/>
          </w:tcPr>
          <w:p w14:paraId="3EEC9E73" w14:textId="77777777" w:rsidR="00FC51E7" w:rsidRDefault="00FC51E7" w:rsidP="00147C99">
            <w:pPr>
              <w:pStyle w:val="TAC"/>
              <w:rPr>
                <w:lang w:val="da-DK" w:eastAsia="zh-CN"/>
              </w:rPr>
            </w:pPr>
            <w:r>
              <w:rPr>
                <w:lang w:val="da-DK" w:eastAsia="zh-CN"/>
              </w:rPr>
              <w:t>6</w:t>
            </w:r>
          </w:p>
        </w:tc>
      </w:tr>
      <w:tr w:rsidR="00FC51E7" w14:paraId="0537E462" w14:textId="77777777" w:rsidTr="00147C99">
        <w:trPr>
          <w:jc w:val="center"/>
        </w:trPr>
        <w:tc>
          <w:tcPr>
            <w:tcW w:w="1615" w:type="dxa"/>
            <w:tcBorders>
              <w:top w:val="single" w:sz="4" w:space="0" w:color="auto"/>
              <w:left w:val="single" w:sz="4" w:space="0" w:color="auto"/>
              <w:bottom w:val="single" w:sz="4" w:space="0" w:color="auto"/>
              <w:right w:val="single" w:sz="4" w:space="0" w:color="auto"/>
            </w:tcBorders>
            <w:hideMark/>
          </w:tcPr>
          <w:p w14:paraId="64A164F6" w14:textId="77777777" w:rsidR="00FC51E7" w:rsidRDefault="00FC51E7" w:rsidP="00147C99">
            <w:pPr>
              <w:pStyle w:val="TAC"/>
              <w:rPr>
                <w:lang w:val="da-DK" w:eastAsia="zh-CN"/>
              </w:rPr>
            </w:pPr>
            <w:r>
              <w:rPr>
                <w:lang w:val="da-DK" w:eastAsia="zh-CN"/>
              </w:rPr>
              <w:t>960</w:t>
            </w:r>
          </w:p>
        </w:tc>
        <w:tc>
          <w:tcPr>
            <w:tcW w:w="1800" w:type="dxa"/>
            <w:tcBorders>
              <w:top w:val="single" w:sz="4" w:space="0" w:color="auto"/>
              <w:left w:val="single" w:sz="4" w:space="0" w:color="auto"/>
              <w:bottom w:val="single" w:sz="4" w:space="0" w:color="auto"/>
              <w:right w:val="single" w:sz="4" w:space="0" w:color="auto"/>
            </w:tcBorders>
            <w:hideMark/>
          </w:tcPr>
          <w:p w14:paraId="1EAB0B49" w14:textId="77777777" w:rsidR="00FC51E7" w:rsidRDefault="00FC51E7" w:rsidP="00147C99">
            <w:pPr>
              <w:pStyle w:val="TAC"/>
              <w:rPr>
                <w:lang w:val="da-DK" w:eastAsia="zh-CN"/>
              </w:rPr>
            </w:pPr>
            <w:r>
              <w:rPr>
                <w:lang w:val="da-DK" w:eastAsia="zh-CN"/>
              </w:rPr>
              <w:t>120</w:t>
            </w:r>
          </w:p>
        </w:tc>
        <w:tc>
          <w:tcPr>
            <w:tcW w:w="1530" w:type="dxa"/>
            <w:tcBorders>
              <w:top w:val="single" w:sz="4" w:space="0" w:color="auto"/>
              <w:left w:val="single" w:sz="4" w:space="0" w:color="auto"/>
              <w:bottom w:val="single" w:sz="4" w:space="0" w:color="auto"/>
              <w:right w:val="single" w:sz="4" w:space="0" w:color="auto"/>
            </w:tcBorders>
            <w:hideMark/>
          </w:tcPr>
          <w:p w14:paraId="22DCA1CC" w14:textId="77777777" w:rsidR="00FC51E7" w:rsidRDefault="00FC51E7" w:rsidP="00147C99">
            <w:pPr>
              <w:pStyle w:val="TAC"/>
              <w:rPr>
                <w:lang w:val="da-DK" w:eastAsia="zh-CN"/>
              </w:rPr>
            </w:pPr>
            <w:r>
              <w:rPr>
                <w:lang w:val="da-DK" w:eastAsia="zh-CN"/>
              </w:rPr>
              <w:t>1</w:t>
            </w:r>
          </w:p>
        </w:tc>
      </w:tr>
      <w:tr w:rsidR="00FC51E7" w14:paraId="2D3FF0A7" w14:textId="77777777" w:rsidTr="00147C99">
        <w:trPr>
          <w:jc w:val="center"/>
        </w:trPr>
        <w:tc>
          <w:tcPr>
            <w:tcW w:w="1615" w:type="dxa"/>
            <w:tcBorders>
              <w:top w:val="single" w:sz="4" w:space="0" w:color="auto"/>
              <w:left w:val="single" w:sz="4" w:space="0" w:color="auto"/>
              <w:bottom w:val="single" w:sz="4" w:space="0" w:color="auto"/>
              <w:right w:val="single" w:sz="4" w:space="0" w:color="auto"/>
            </w:tcBorders>
            <w:hideMark/>
          </w:tcPr>
          <w:p w14:paraId="4C412BD6" w14:textId="77777777" w:rsidR="00FC51E7" w:rsidRDefault="00FC51E7" w:rsidP="00147C99">
            <w:pPr>
              <w:pStyle w:val="TAC"/>
              <w:rPr>
                <w:lang w:val="da-DK" w:eastAsia="zh-CN"/>
              </w:rPr>
            </w:pPr>
            <w:r>
              <w:rPr>
                <w:lang w:val="da-DK" w:eastAsia="zh-CN"/>
              </w:rPr>
              <w:t>960</w:t>
            </w:r>
          </w:p>
        </w:tc>
        <w:tc>
          <w:tcPr>
            <w:tcW w:w="1800" w:type="dxa"/>
            <w:tcBorders>
              <w:top w:val="single" w:sz="4" w:space="0" w:color="auto"/>
              <w:left w:val="single" w:sz="4" w:space="0" w:color="auto"/>
              <w:bottom w:val="single" w:sz="4" w:space="0" w:color="auto"/>
              <w:right w:val="single" w:sz="4" w:space="0" w:color="auto"/>
            </w:tcBorders>
            <w:hideMark/>
          </w:tcPr>
          <w:p w14:paraId="7B3B9F55" w14:textId="77777777" w:rsidR="00FC51E7" w:rsidRDefault="00FC51E7" w:rsidP="00147C99">
            <w:pPr>
              <w:pStyle w:val="TAC"/>
              <w:rPr>
                <w:lang w:val="da-DK" w:eastAsia="zh-CN"/>
              </w:rPr>
            </w:pPr>
            <w:r>
              <w:rPr>
                <w:lang w:val="da-DK" w:eastAsia="zh-CN"/>
              </w:rPr>
              <w:t>480</w:t>
            </w:r>
          </w:p>
        </w:tc>
        <w:tc>
          <w:tcPr>
            <w:tcW w:w="1530" w:type="dxa"/>
            <w:tcBorders>
              <w:top w:val="single" w:sz="4" w:space="0" w:color="auto"/>
              <w:left w:val="single" w:sz="4" w:space="0" w:color="auto"/>
              <w:bottom w:val="single" w:sz="4" w:space="0" w:color="auto"/>
              <w:right w:val="single" w:sz="4" w:space="0" w:color="auto"/>
            </w:tcBorders>
            <w:hideMark/>
          </w:tcPr>
          <w:p w14:paraId="395C83FA" w14:textId="77777777" w:rsidR="00FC51E7" w:rsidRDefault="00FC51E7" w:rsidP="00147C99">
            <w:pPr>
              <w:pStyle w:val="TAC"/>
              <w:rPr>
                <w:lang w:val="da-DK" w:eastAsia="zh-CN"/>
              </w:rPr>
            </w:pPr>
            <w:r>
              <w:rPr>
                <w:lang w:val="da-DK" w:eastAsia="zh-CN"/>
              </w:rPr>
              <w:t>2</w:t>
            </w:r>
          </w:p>
        </w:tc>
      </w:tr>
      <w:tr w:rsidR="00FC51E7" w14:paraId="04BA62F4" w14:textId="77777777" w:rsidTr="00147C99">
        <w:trPr>
          <w:jc w:val="center"/>
        </w:trPr>
        <w:tc>
          <w:tcPr>
            <w:tcW w:w="1615" w:type="dxa"/>
            <w:tcBorders>
              <w:top w:val="single" w:sz="4" w:space="0" w:color="auto"/>
              <w:left w:val="single" w:sz="4" w:space="0" w:color="auto"/>
              <w:bottom w:val="single" w:sz="4" w:space="0" w:color="auto"/>
              <w:right w:val="single" w:sz="4" w:space="0" w:color="auto"/>
            </w:tcBorders>
            <w:hideMark/>
          </w:tcPr>
          <w:p w14:paraId="0900008D" w14:textId="77777777" w:rsidR="00FC51E7" w:rsidRDefault="00FC51E7" w:rsidP="00147C99">
            <w:pPr>
              <w:pStyle w:val="TAC"/>
              <w:rPr>
                <w:lang w:val="da-DK" w:eastAsia="zh-CN"/>
              </w:rPr>
            </w:pPr>
            <w:r>
              <w:rPr>
                <w:lang w:val="da-DK" w:eastAsia="zh-CN"/>
              </w:rPr>
              <w:t>960</w:t>
            </w:r>
          </w:p>
        </w:tc>
        <w:tc>
          <w:tcPr>
            <w:tcW w:w="1800" w:type="dxa"/>
            <w:tcBorders>
              <w:top w:val="single" w:sz="4" w:space="0" w:color="auto"/>
              <w:left w:val="single" w:sz="4" w:space="0" w:color="auto"/>
              <w:bottom w:val="single" w:sz="4" w:space="0" w:color="auto"/>
              <w:right w:val="single" w:sz="4" w:space="0" w:color="auto"/>
            </w:tcBorders>
            <w:hideMark/>
          </w:tcPr>
          <w:p w14:paraId="6021D871" w14:textId="77777777" w:rsidR="00FC51E7" w:rsidRDefault="00FC51E7" w:rsidP="00147C99">
            <w:pPr>
              <w:pStyle w:val="TAC"/>
              <w:rPr>
                <w:lang w:val="da-DK" w:eastAsia="zh-CN"/>
              </w:rPr>
            </w:pPr>
            <w:r>
              <w:rPr>
                <w:lang w:val="da-DK" w:eastAsia="zh-CN"/>
              </w:rPr>
              <w:t>960</w:t>
            </w:r>
          </w:p>
        </w:tc>
        <w:tc>
          <w:tcPr>
            <w:tcW w:w="1530" w:type="dxa"/>
            <w:tcBorders>
              <w:top w:val="single" w:sz="4" w:space="0" w:color="auto"/>
              <w:left w:val="single" w:sz="4" w:space="0" w:color="auto"/>
              <w:bottom w:val="single" w:sz="4" w:space="0" w:color="auto"/>
              <w:right w:val="single" w:sz="4" w:space="0" w:color="auto"/>
            </w:tcBorders>
            <w:hideMark/>
          </w:tcPr>
          <w:p w14:paraId="0D79623C" w14:textId="77777777" w:rsidR="00FC51E7" w:rsidRDefault="00FC51E7" w:rsidP="00147C99">
            <w:pPr>
              <w:pStyle w:val="TAC"/>
              <w:rPr>
                <w:lang w:val="da-DK" w:eastAsia="zh-CN"/>
              </w:rPr>
            </w:pPr>
            <w:r>
              <w:rPr>
                <w:lang w:val="da-DK" w:eastAsia="zh-CN"/>
              </w:rPr>
              <w:t>3</w:t>
            </w:r>
          </w:p>
        </w:tc>
      </w:tr>
    </w:tbl>
    <w:p w14:paraId="3BD10A49" w14:textId="708D2943" w:rsidR="00FC51E7" w:rsidRDefault="00FC51E7" w:rsidP="00FC51E7">
      <w:pPr>
        <w:rPr>
          <w:lang w:eastAsia="zh-CN"/>
        </w:rPr>
      </w:pPr>
      <w:r>
        <w:t xml:space="preserve">When </w:t>
      </w:r>
      <w:r>
        <w:rPr>
          <w:i/>
          <w:iCs/>
          <w:lang w:val="en-US"/>
        </w:rPr>
        <w:t>deriveSSB-IndexFromCell</w:t>
      </w:r>
      <w:r>
        <w:t xml:space="preserve"> is not enabled, the UE assume</w:t>
      </w:r>
      <w:r>
        <w:rPr>
          <w:lang w:eastAsia="zh-CN"/>
        </w:rPr>
        <w:t xml:space="preserve">s </w:t>
      </w:r>
      <w:r>
        <w:t>frame boundary alignment (including half frame</w:t>
      </w:r>
      <w:r>
        <w:rPr>
          <w:lang w:eastAsia="zh-CN"/>
        </w:rPr>
        <w:t xml:space="preserve">, </w:t>
      </w:r>
      <w:r>
        <w:t>subframe</w:t>
      </w:r>
      <w:r>
        <w:rPr>
          <w:lang w:eastAsia="zh-CN"/>
        </w:rPr>
        <w:t xml:space="preserve"> and </w:t>
      </w:r>
      <w:r>
        <w:t>slot boundary alignment) across cells on the same frequency carrier</w:t>
      </w:r>
      <w:r>
        <w:rPr>
          <w:lang w:eastAsia="zh-CN"/>
        </w:rPr>
        <w:t xml:space="preserve"> is</w:t>
      </w:r>
      <w:r>
        <w:t xml:space="preserve"> within a tolerance not worse than 6 SSB symbols for sub-carrier spacing of 960kHz and the SFNs of all cells on the same frequency carrier are the same</w:t>
      </w:r>
      <w:r>
        <w:rPr>
          <w:lang w:eastAsia="zh-CN"/>
        </w:rPr>
        <w:t xml:space="preserve">. </w:t>
      </w:r>
    </w:p>
    <w:p w14:paraId="6736376E" w14:textId="77777777" w:rsidR="00CA3C7A" w:rsidRPr="00CA3C7A" w:rsidRDefault="00CA3C7A" w:rsidP="00CA3C7A">
      <w:pPr>
        <w:pStyle w:val="Heading2"/>
      </w:pPr>
      <w:r w:rsidRPr="00CA3C7A">
        <w:t>7.7A</w:t>
      </w:r>
      <w:r w:rsidRPr="00CA3C7A">
        <w:tab/>
        <w:t>deriveSSB-IndexFromCell tolerance for RedCap</w:t>
      </w:r>
    </w:p>
    <w:p w14:paraId="25F954A0" w14:textId="77777777" w:rsidR="00CA3C7A" w:rsidRPr="00CA3C7A" w:rsidRDefault="00CA3C7A" w:rsidP="00CA3C7A">
      <w:pPr>
        <w:pStyle w:val="Heading3"/>
      </w:pPr>
      <w:r w:rsidRPr="00CA3C7A">
        <w:t>7.</w:t>
      </w:r>
      <w:r w:rsidRPr="00CA3C7A">
        <w:rPr>
          <w:lang w:eastAsia="zh-CN"/>
        </w:rPr>
        <w:t>7A</w:t>
      </w:r>
      <w:r w:rsidRPr="00CA3C7A">
        <w:t>.1</w:t>
      </w:r>
      <w:r w:rsidRPr="00CA3C7A">
        <w:tab/>
        <w:t>Minimum requirements</w:t>
      </w:r>
    </w:p>
    <w:p w14:paraId="6930338C" w14:textId="77777777" w:rsidR="00CA3C7A" w:rsidRPr="00CA3C7A" w:rsidRDefault="00CA3C7A" w:rsidP="00CA3C7A">
      <w:pPr>
        <w:rPr>
          <w:rFonts w:eastAsiaTheme="minorEastAsia"/>
          <w:lang w:eastAsia="zh-CN"/>
        </w:rPr>
      </w:pPr>
      <w:r w:rsidRPr="00CA3C7A">
        <w:t xml:space="preserve">When </w:t>
      </w:r>
      <w:r w:rsidRPr="00CA3C7A">
        <w:rPr>
          <w:i/>
          <w:iCs/>
          <w:lang w:val="en-US"/>
        </w:rPr>
        <w:t>deriveSSB-IndexFromCell</w:t>
      </w:r>
      <w:r w:rsidRPr="00CA3C7A">
        <w:t xml:space="preserve"> is enabled, the RedCap UE assume</w:t>
      </w:r>
      <w:r w:rsidRPr="00CA3C7A">
        <w:rPr>
          <w:lang w:eastAsia="zh-CN"/>
        </w:rPr>
        <w:t xml:space="preserve">s </w:t>
      </w:r>
      <w:r w:rsidRPr="00CA3C7A">
        <w:t>frame boundary alignment (including half frame</w:t>
      </w:r>
      <w:r w:rsidRPr="00CA3C7A">
        <w:rPr>
          <w:lang w:eastAsia="zh-CN"/>
        </w:rPr>
        <w:t xml:space="preserve">, </w:t>
      </w:r>
      <w:r w:rsidRPr="00CA3C7A">
        <w:t>subframe</w:t>
      </w:r>
      <w:r w:rsidRPr="00CA3C7A">
        <w:rPr>
          <w:lang w:eastAsia="zh-CN"/>
        </w:rPr>
        <w:t xml:space="preserve"> and </w:t>
      </w:r>
      <w:r w:rsidRPr="00CA3C7A">
        <w:t>slot boundary alignment) across cells on the same frequency carrier</w:t>
      </w:r>
      <w:r w:rsidRPr="00CA3C7A">
        <w:rPr>
          <w:lang w:eastAsia="zh-CN"/>
        </w:rPr>
        <w:t xml:space="preserve"> is</w:t>
      </w:r>
      <w:r w:rsidRPr="00CA3C7A">
        <w:t xml:space="preserve"> within a tolerance not worse than min(2 SSB symbols, 1 PDSCH symbol) and the SFNs of all cells on the same frequency carrier are the same</w:t>
      </w:r>
      <w:r w:rsidRPr="00CA3C7A">
        <w:rPr>
          <w:lang w:eastAsia="zh-CN"/>
        </w:rPr>
        <w:t>.</w:t>
      </w:r>
    </w:p>
    <w:p w14:paraId="7274E81F" w14:textId="77777777" w:rsidR="005C1DCD" w:rsidRDefault="005C1DCD" w:rsidP="00FC51E7">
      <w:pPr>
        <w:rPr>
          <w:lang w:eastAsia="zh-CN"/>
        </w:rPr>
      </w:pPr>
    </w:p>
    <w:p w14:paraId="16F6A96B" w14:textId="6AC67500" w:rsidR="00210226" w:rsidRDefault="00210226" w:rsidP="00210226">
      <w:pPr>
        <w:pStyle w:val="Heading2"/>
      </w:pPr>
      <w:r w:rsidRPr="009C5807">
        <w:t>7.8</w:t>
      </w:r>
      <w:r w:rsidRPr="009C5807">
        <w:tab/>
        <w:t>Void</w:t>
      </w:r>
      <w:bookmarkEnd w:id="149"/>
    </w:p>
    <w:p w14:paraId="6A9DF286" w14:textId="7E1A2046" w:rsidR="00971C0B" w:rsidRPr="009C5807" w:rsidRDefault="003F1AFB" w:rsidP="00971C0B">
      <w:pPr>
        <w:pStyle w:val="Heading2"/>
      </w:pPr>
      <w:r>
        <w:t>7.9</w:t>
      </w:r>
      <w:r>
        <w:tab/>
      </w:r>
      <w:r w:rsidRPr="009C5807">
        <w:rPr>
          <w:i/>
          <w:lang w:val="en-US"/>
        </w:rPr>
        <w:t>deriveSSB-IndexFromCell</w:t>
      </w:r>
      <w:r>
        <w:rPr>
          <w:i/>
          <w:lang w:val="en-US"/>
        </w:rPr>
        <w:t>Inter-r17</w:t>
      </w:r>
      <w:r w:rsidRPr="009C5807">
        <w:t xml:space="preserve"> tolerance</w:t>
      </w:r>
    </w:p>
    <w:p w14:paraId="486DE824" w14:textId="77777777" w:rsidR="00971C0B" w:rsidRPr="009C5807" w:rsidRDefault="00971C0B" w:rsidP="00971C0B">
      <w:pPr>
        <w:pStyle w:val="Heading3"/>
      </w:pPr>
      <w:r w:rsidRPr="009C5807">
        <w:t>7.</w:t>
      </w:r>
      <w:r>
        <w:rPr>
          <w:lang w:eastAsia="zh-CN"/>
        </w:rPr>
        <w:t>9</w:t>
      </w:r>
      <w:r w:rsidRPr="009C5807">
        <w:t>.1</w:t>
      </w:r>
      <w:r w:rsidRPr="009C5807">
        <w:tab/>
        <w:t>Minimum requirements</w:t>
      </w:r>
    </w:p>
    <w:p w14:paraId="3B6F8CFD" w14:textId="30C27C34" w:rsidR="00971C0B" w:rsidRDefault="00541080" w:rsidP="00971C0B">
      <w:r w:rsidRPr="006C4EB9">
        <w:t xml:space="preserve">When </w:t>
      </w:r>
      <w:r w:rsidRPr="0013643E">
        <w:rPr>
          <w:i/>
          <w:iCs/>
          <w:lang w:val="en-US"/>
        </w:rPr>
        <w:t>deriveSSB-IndexFromCellInter-r17</w:t>
      </w:r>
      <w:r>
        <w:rPr>
          <w:lang w:val="en-US"/>
        </w:rPr>
        <w:t xml:space="preserve"> </w:t>
      </w:r>
      <w:r w:rsidRPr="006C4EB9">
        <w:t>is enabled, the UE assume</w:t>
      </w:r>
      <w:r w:rsidRPr="006C4EB9">
        <w:rPr>
          <w:lang w:eastAsia="zh-CN"/>
        </w:rPr>
        <w:t xml:space="preserve">s </w:t>
      </w:r>
      <w:r w:rsidRPr="006C4EB9">
        <w:t>frame boundary alignment (including half frame</w:t>
      </w:r>
      <w:r w:rsidRPr="006C4EB9">
        <w:rPr>
          <w:lang w:eastAsia="zh-CN"/>
        </w:rPr>
        <w:t xml:space="preserve">, </w:t>
      </w:r>
      <w:r w:rsidRPr="006C4EB9">
        <w:t>subframe</w:t>
      </w:r>
      <w:r w:rsidRPr="006C4EB9">
        <w:rPr>
          <w:lang w:eastAsia="zh-CN"/>
        </w:rPr>
        <w:t xml:space="preserve"> and </w:t>
      </w:r>
      <w:r w:rsidRPr="006C4EB9">
        <w:t xml:space="preserve">slot boundary alignment) across cells on the </w:t>
      </w:r>
      <w:r w:rsidRPr="006C4EB9">
        <w:rPr>
          <w:lang w:val="en-US"/>
        </w:rPr>
        <w:t>target</w:t>
      </w:r>
      <w:r w:rsidRPr="006C4EB9">
        <w:t xml:space="preserve"> </w:t>
      </w:r>
      <w:r w:rsidRPr="006C4EB9">
        <w:rPr>
          <w:lang w:val="en-US"/>
        </w:rPr>
        <w:t>carrier</w:t>
      </w:r>
      <w:r w:rsidRPr="006C4EB9">
        <w:t xml:space="preserve"> </w:t>
      </w:r>
      <w:r w:rsidRPr="006C4EB9">
        <w:rPr>
          <w:lang w:val="en-US"/>
        </w:rPr>
        <w:t xml:space="preserve">and reference </w:t>
      </w:r>
      <w:r>
        <w:t>cell</w:t>
      </w:r>
      <w:r w:rsidRPr="006C4EB9">
        <w:rPr>
          <w:lang w:eastAsia="zh-CN"/>
        </w:rPr>
        <w:t xml:space="preserve"> is</w:t>
      </w:r>
      <w:r w:rsidRPr="006C4EB9">
        <w:t xml:space="preserve"> within a tolerance not worse than </w:t>
      </w:r>
      <w:r w:rsidRPr="00122E10">
        <w:t>min(2 SSB symbols</w:t>
      </w:r>
      <w:r w:rsidRPr="00122E10">
        <w:rPr>
          <w:lang w:val="en-US"/>
        </w:rPr>
        <w:t xml:space="preserve"> of target carrier, 1 PDSCH symbol of the reference cell) </w:t>
      </w:r>
      <w:r w:rsidRPr="00122E10">
        <w:t xml:space="preserve">and the SFNs of all cells on the </w:t>
      </w:r>
      <w:r w:rsidRPr="00122E10">
        <w:rPr>
          <w:lang w:val="en-US"/>
        </w:rPr>
        <w:t>target</w:t>
      </w:r>
      <w:r w:rsidRPr="00122E10">
        <w:t xml:space="preserve"> carrier </w:t>
      </w:r>
      <w:r w:rsidRPr="00122E10">
        <w:rPr>
          <w:lang w:val="en-US"/>
        </w:rPr>
        <w:t xml:space="preserve">and reference </w:t>
      </w:r>
      <w:r>
        <w:rPr>
          <w:lang w:val="en-US"/>
        </w:rPr>
        <w:t>cell</w:t>
      </w:r>
      <w:r w:rsidRPr="00122E10">
        <w:rPr>
          <w:lang w:val="en-US"/>
        </w:rPr>
        <w:t xml:space="preserve"> </w:t>
      </w:r>
      <w:r w:rsidRPr="00122E10">
        <w:t>are the same. The reference cell is the serving cell which is used for SSB indexes derivation</w:t>
      </w:r>
      <w:r>
        <w:t xml:space="preserve"> as indicated via </w:t>
      </w:r>
      <w:r w:rsidRPr="00192369">
        <w:rPr>
          <w:i/>
          <w:iCs/>
          <w:lang w:val="en-US"/>
        </w:rPr>
        <w:t>deriveSSB-IndexFromCellInter-r17</w:t>
      </w:r>
      <w:r w:rsidRPr="00122E10">
        <w:t>.</w:t>
      </w:r>
    </w:p>
    <w:bookmarkEnd w:id="2"/>
    <w:bookmarkEnd w:id="150"/>
    <w:p w14:paraId="16CFAA0C" w14:textId="77777777" w:rsidR="004A68D4" w:rsidRDefault="004A68D4" w:rsidP="00971C0B"/>
    <w:sectPr w:rsidR="004A68D4" w:rsidSect="00DD41E3">
      <w:headerReference w:type="default" r:id="rId24"/>
      <w:footerReference w:type="default" r:id="rId25"/>
      <w:footnotePr>
        <w:numRestart w:val="eachSect"/>
      </w:footnotePr>
      <w:pgSz w:w="11907" w:h="16840" w:code="9"/>
      <w:pgMar w:top="1418" w:right="1134" w:bottom="1134" w:left="1134" w:header="851" w:footer="340" w:gutter="0"/>
      <w:pgNumType w:start="82"/>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2F0E0" w14:textId="77777777" w:rsidR="00D75A8C" w:rsidRDefault="00D75A8C">
      <w:r>
        <w:separator/>
      </w:r>
    </w:p>
  </w:endnote>
  <w:endnote w:type="continuationSeparator" w:id="0">
    <w:p w14:paraId="3CD50EC3" w14:textId="77777777" w:rsidR="00D75A8C" w:rsidRDefault="00D75A8C">
      <w:r>
        <w:continuationSeparator/>
      </w:r>
    </w:p>
  </w:endnote>
  <w:endnote w:type="continuationNotice" w:id="1">
    <w:p w14:paraId="386EB03F" w14:textId="77777777" w:rsidR="00D75A8C" w:rsidRDefault="00D75A8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Modern No. 20">
    <w:panose1 w:val="0207070407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Intel Clear">
    <w:altName w:val="Sylfaen"/>
    <w:charset w:val="CC"/>
    <w:family w:val="swiss"/>
    <w:pitch w:val="variable"/>
    <w:sig w:usb0="00000001" w:usb1="400060FB" w:usb2="00000028" w:usb3="00000000" w:csb0="0000019F" w:csb1="00000000"/>
  </w:font>
  <w:font w:name="Times-Roman">
    <w:altName w:val="Times New Roman"/>
    <w:panose1 w:val="00000000000000000000"/>
    <w:charset w:val="00"/>
    <w:family w:val="roman"/>
    <w:notTrueType/>
    <w:pitch w:val="default"/>
  </w:font>
  <w:font w:name="CG Times (WN)">
    <w:altName w:val="Arial"/>
    <w:panose1 w:val="00000000000000000000"/>
    <w:charset w:val="00"/>
    <w:family w:val="roman"/>
    <w:notTrueType/>
    <w:pitch w:val="variable"/>
    <w:sig w:usb0="00000003" w:usb1="00000000" w:usb2="00000000" w:usb3="00000000" w:csb0="00000001" w:csb1="00000000"/>
  </w:font>
  <w:font w:name="v4.2.0">
    <w:altName w:val="Times New Roman"/>
    <w:charset w:val="00"/>
    <w:family w:val="auto"/>
    <w:pitch w:val="default"/>
    <w:sig w:usb0="00000000" w:usb1="00000000" w:usb2="00000000" w:usb3="00000000" w:csb0="00040001" w:csb1="00000000"/>
  </w:font>
  <w:font w:name="Yu Mincho">
    <w:charset w:val="80"/>
    <w:family w:val="roman"/>
    <w:pitch w:val="variable"/>
    <w:sig w:usb0="800002E7" w:usb1="2AC7FCFF" w:usb2="00000012" w:usb3="00000000" w:csb0="0002009F" w:csb1="00000000"/>
  </w:font>
  <w:font w:name="?? ??">
    <w:altName w:val="MS Gothic"/>
    <w:charset w:val="80"/>
    <w:family w:val="roman"/>
    <w:pitch w:val="default"/>
    <w:sig w:usb0="00000000" w:usb1="0000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v3.7.0">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5E78" w14:textId="77777777" w:rsidR="00740A4E" w:rsidRDefault="00740A4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09843" w14:textId="77777777" w:rsidR="00D75A8C" w:rsidRDefault="00D75A8C">
      <w:r>
        <w:separator/>
      </w:r>
    </w:p>
  </w:footnote>
  <w:footnote w:type="continuationSeparator" w:id="0">
    <w:p w14:paraId="03959176" w14:textId="77777777" w:rsidR="00D75A8C" w:rsidRDefault="00D75A8C">
      <w:r>
        <w:continuationSeparator/>
      </w:r>
    </w:p>
  </w:footnote>
  <w:footnote w:type="continuationNotice" w:id="1">
    <w:p w14:paraId="656A5AC6" w14:textId="77777777" w:rsidR="00D75A8C" w:rsidRDefault="00D75A8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58D1A" w14:textId="1F3BD87F" w:rsidR="00740A4E" w:rsidRPr="00512A44" w:rsidRDefault="00740A4E" w:rsidP="004257DC">
    <w:pPr>
      <w:framePr w:h="284" w:hRule="exact" w:wrap="around" w:vAnchor="text" w:hAnchor="margin" w:xAlign="right" w:y="1"/>
      <w:rPr>
        <w:rFonts w:ascii="Arial" w:hAnsi="Arial" w:cs="Arial"/>
        <w:b/>
        <w:sz w:val="18"/>
        <w:szCs w:val="18"/>
        <w:lang w:val="sv-FI"/>
      </w:rPr>
    </w:pPr>
    <w:r w:rsidRPr="00512A44">
      <w:rPr>
        <w:rFonts w:ascii="Arial" w:hAnsi="Arial" w:cs="Arial"/>
        <w:b/>
        <w:sz w:val="18"/>
        <w:szCs w:val="18"/>
        <w:lang w:val="sv-FI"/>
      </w:rPr>
      <w:t>3GPP TS 38.133 V1</w:t>
    </w:r>
    <w:r w:rsidR="008C6DE3">
      <w:rPr>
        <w:rFonts w:ascii="Arial" w:hAnsi="Arial" w:cs="Arial"/>
        <w:b/>
        <w:sz w:val="18"/>
        <w:szCs w:val="18"/>
        <w:lang w:val="sv-FI"/>
      </w:rPr>
      <w:t>8</w:t>
    </w:r>
    <w:r w:rsidR="009E2951">
      <w:rPr>
        <w:rFonts w:ascii="Arial" w:hAnsi="Arial" w:cs="Arial"/>
        <w:b/>
        <w:sz w:val="18"/>
        <w:szCs w:val="18"/>
        <w:lang w:val="sv-FI"/>
      </w:rPr>
      <w:t>.2</w:t>
    </w:r>
    <w:r w:rsidRPr="00512A44">
      <w:rPr>
        <w:rFonts w:ascii="Arial" w:hAnsi="Arial" w:cs="Arial"/>
        <w:b/>
        <w:sz w:val="18"/>
        <w:szCs w:val="18"/>
        <w:lang w:val="sv-FI"/>
      </w:rPr>
      <w:t>.0 (202</w:t>
    </w:r>
    <w:r w:rsidR="00797F43">
      <w:rPr>
        <w:rFonts w:ascii="Arial" w:hAnsi="Arial" w:cs="Arial"/>
        <w:b/>
        <w:sz w:val="18"/>
        <w:szCs w:val="18"/>
        <w:lang w:val="sv-FI"/>
      </w:rPr>
      <w:t>3</w:t>
    </w:r>
    <w:r w:rsidRPr="00512A44">
      <w:rPr>
        <w:rFonts w:ascii="Arial" w:hAnsi="Arial" w:cs="Arial"/>
        <w:b/>
        <w:sz w:val="18"/>
        <w:szCs w:val="18"/>
        <w:lang w:val="sv-FI"/>
      </w:rPr>
      <w:t>-</w:t>
    </w:r>
    <w:r w:rsidR="00797F43">
      <w:rPr>
        <w:rFonts w:ascii="Arial" w:hAnsi="Arial" w:cs="Arial"/>
        <w:b/>
        <w:sz w:val="18"/>
        <w:szCs w:val="18"/>
        <w:lang w:val="sv-FI"/>
      </w:rPr>
      <w:t>0</w:t>
    </w:r>
    <w:r w:rsidR="009E2951">
      <w:rPr>
        <w:rFonts w:ascii="Arial" w:hAnsi="Arial" w:cs="Arial"/>
        <w:b/>
        <w:sz w:val="18"/>
        <w:szCs w:val="18"/>
        <w:lang w:val="sv-FI"/>
      </w:rPr>
      <w:t>6</w:t>
    </w:r>
    <w:r w:rsidRPr="00512A44">
      <w:rPr>
        <w:rFonts w:ascii="Arial" w:hAnsi="Arial" w:cs="Arial"/>
        <w:b/>
        <w:sz w:val="18"/>
        <w:szCs w:val="18"/>
        <w:lang w:val="sv-FI"/>
      </w:rPr>
      <w:t>)</w:t>
    </w:r>
  </w:p>
  <w:p w14:paraId="40C7120E" w14:textId="77777777" w:rsidR="005B6ADF" w:rsidRDefault="005B6ADF" w:rsidP="005B6ADF">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423</w:t>
    </w:r>
    <w:r>
      <w:rPr>
        <w:rFonts w:ascii="Arial" w:hAnsi="Arial" w:cs="Arial"/>
        <w:b/>
        <w:sz w:val="18"/>
        <w:szCs w:val="18"/>
      </w:rPr>
      <w:fldChar w:fldCharType="end"/>
    </w:r>
  </w:p>
  <w:p w14:paraId="75675E77" w14:textId="42DF1274" w:rsidR="00740A4E" w:rsidRDefault="00740A4E">
    <w:pPr>
      <w:pStyle w:val="Header"/>
    </w:pPr>
    <w:r>
      <w:t>Release 1</w:t>
    </w:r>
    <w:r w:rsidR="008C6DE3">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85B"/>
    <w:multiLevelType w:val="hybridMultilevel"/>
    <w:tmpl w:val="D1DC83A4"/>
    <w:lvl w:ilvl="0" w:tplc="4218E646">
      <w:start w:val="5"/>
      <w:numFmt w:val="bullet"/>
      <w:pStyle w:val="BL"/>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0C304D39"/>
    <w:multiLevelType w:val="hybridMultilevel"/>
    <w:tmpl w:val="6A92FF00"/>
    <w:lvl w:ilvl="0" w:tplc="1012DAAA">
      <w:start w:val="3"/>
      <w:numFmt w:val="bullet"/>
      <w:lvlText w:val="-"/>
      <w:lvlJc w:val="left"/>
      <w:pPr>
        <w:ind w:left="644" w:hanging="360"/>
      </w:pPr>
      <w:rPr>
        <w:rFonts w:ascii="Times New Roman" w:eastAsiaTheme="minorEastAsia"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3">
      <w:start w:val="1"/>
      <w:numFmt w:val="bullet"/>
      <w:lvlText w:val=""/>
      <w:lvlJc w:val="left"/>
      <w:pPr>
        <w:ind w:left="2384" w:hanging="420"/>
      </w:pPr>
      <w:rPr>
        <w:rFonts w:ascii="Wingdings" w:hAnsi="Wingdings" w:hint="default"/>
      </w:rPr>
    </w:lvl>
    <w:lvl w:ilvl="5" w:tplc="04090005">
      <w:start w:val="1"/>
      <w:numFmt w:val="bullet"/>
      <w:lvlText w:val=""/>
      <w:lvlJc w:val="left"/>
      <w:pPr>
        <w:ind w:left="2804" w:hanging="420"/>
      </w:pPr>
      <w:rPr>
        <w:rFonts w:ascii="Wingdings" w:hAnsi="Wingdings" w:hint="default"/>
      </w:rPr>
    </w:lvl>
    <w:lvl w:ilvl="6" w:tplc="04090001">
      <w:start w:val="1"/>
      <w:numFmt w:val="bullet"/>
      <w:lvlText w:val=""/>
      <w:lvlJc w:val="left"/>
      <w:pPr>
        <w:ind w:left="3224" w:hanging="420"/>
      </w:pPr>
      <w:rPr>
        <w:rFonts w:ascii="Wingdings" w:hAnsi="Wingdings" w:hint="default"/>
      </w:rPr>
    </w:lvl>
    <w:lvl w:ilvl="7" w:tplc="04090003">
      <w:start w:val="1"/>
      <w:numFmt w:val="bullet"/>
      <w:lvlText w:val=""/>
      <w:lvlJc w:val="left"/>
      <w:pPr>
        <w:ind w:left="3644" w:hanging="420"/>
      </w:pPr>
      <w:rPr>
        <w:rFonts w:ascii="Wingdings" w:hAnsi="Wingdings" w:hint="default"/>
      </w:rPr>
    </w:lvl>
    <w:lvl w:ilvl="8" w:tplc="04090005">
      <w:start w:val="1"/>
      <w:numFmt w:val="bullet"/>
      <w:lvlText w:val=""/>
      <w:lvlJc w:val="left"/>
      <w:pPr>
        <w:ind w:left="4064" w:hanging="420"/>
      </w:pPr>
      <w:rPr>
        <w:rFonts w:ascii="Wingdings" w:hAnsi="Wingdings" w:hint="default"/>
      </w:rPr>
    </w:lvl>
  </w:abstractNum>
  <w:abstractNum w:abstractNumId="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A514B37"/>
    <w:multiLevelType w:val="hybridMultilevel"/>
    <w:tmpl w:val="FDB80696"/>
    <w:lvl w:ilvl="0" w:tplc="3042D86A">
      <w:start w:val="2022"/>
      <w:numFmt w:val="bullet"/>
      <w:lvlText w:val="-"/>
      <w:lvlJc w:val="left"/>
      <w:pPr>
        <w:ind w:left="460" w:hanging="360"/>
      </w:pPr>
      <w:rPr>
        <w:rFonts w:ascii="Arial" w:eastAsiaTheme="minorEastAsia" w:hAnsi="Arial" w:cs="Arial"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7"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17F6AFB"/>
    <w:multiLevelType w:val="multilevel"/>
    <w:tmpl w:val="3676A840"/>
    <w:lvl w:ilvl="0">
      <w:start w:val="1"/>
      <w:numFmt w:val="bullet"/>
      <w:pStyle w:val="3GPPAgreements"/>
      <w:lvlText w:val="●"/>
      <w:lvlJc w:val="left"/>
      <w:pPr>
        <w:ind w:left="284" w:hanging="284"/>
      </w:pPr>
      <w:rPr>
        <w:rFonts w:ascii="Times New Roman" w:hAnsi="Times New Roman" w:cs="Times New Roman" w:hint="default"/>
        <w:color w:val="auto"/>
        <w:sz w:val="22"/>
      </w:rPr>
    </w:lvl>
    <w:lvl w:ilvl="1">
      <w:start w:val="1"/>
      <w:numFmt w:val="bullet"/>
      <w:lvlText w:val="○"/>
      <w:lvlJc w:val="left"/>
      <w:pPr>
        <w:ind w:left="567" w:hanging="283"/>
      </w:pPr>
      <w:rPr>
        <w:rFonts w:ascii="Times New Roman" w:hAnsi="Times New Roman" w:cs="Times New Roman" w:hint="default"/>
        <w:color w:val="auto"/>
        <w:sz w:val="22"/>
      </w:rPr>
    </w:lvl>
    <w:lvl w:ilvl="2">
      <w:start w:val="1"/>
      <w:numFmt w:val="bullet"/>
      <w:lvlText w:val="♦"/>
      <w:lvlJc w:val="left"/>
      <w:pPr>
        <w:ind w:left="851" w:hanging="284"/>
      </w:pPr>
      <w:rPr>
        <w:rFonts w:ascii="Times New Roman" w:hAnsi="Times New Roman" w:cs="Times New Roman" w:hint="default"/>
        <w:color w:val="auto"/>
        <w:sz w:val="22"/>
      </w:rPr>
    </w:lvl>
    <w:lvl w:ilvl="3">
      <w:start w:val="1"/>
      <w:numFmt w:val="bullet"/>
      <w:lvlText w:val="□"/>
      <w:lvlJc w:val="left"/>
      <w:pPr>
        <w:ind w:left="1134" w:hanging="283"/>
      </w:pPr>
      <w:rPr>
        <w:rFonts w:ascii="Times New Roman" w:hAnsi="Times New Roman" w:cs="Times New Roman" w:hint="default"/>
        <w:color w:val="auto"/>
      </w:rPr>
    </w:lvl>
    <w:lvl w:ilvl="4">
      <w:start w:val="1"/>
      <w:numFmt w:val="bullet"/>
      <w:lvlText w:val="▪"/>
      <w:lvlJc w:val="left"/>
      <w:pPr>
        <w:ind w:left="1418" w:hanging="284"/>
      </w:pPr>
      <w:rPr>
        <w:rFonts w:ascii="Times New Roman" w:hAnsi="Times New Roman" w:cs="Times New Roman"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11" w15:restartNumberingAfterBreak="0">
    <w:nsid w:val="5EA36DA5"/>
    <w:multiLevelType w:val="hybridMultilevel"/>
    <w:tmpl w:val="CF885394"/>
    <w:lvl w:ilvl="0" w:tplc="9C54EE34">
      <w:numFmt w:val="bullet"/>
      <w:lvlText w:val="-"/>
      <w:lvlJc w:val="left"/>
      <w:pPr>
        <w:ind w:left="644" w:hanging="360"/>
      </w:pPr>
      <w:rPr>
        <w:rFonts w:ascii="Times New Roman" w:eastAsia="SimSu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FFFFFFFF">
      <w:start w:val="8"/>
      <w:numFmt w:val="bullet"/>
      <w:lvlText w:val="-"/>
      <w:lvlJc w:val="left"/>
      <w:pPr>
        <w:ind w:left="2084" w:hanging="360"/>
      </w:pPr>
      <w:rPr>
        <w:rFonts w:ascii="Times New Roman" w:eastAsia="Times New Roman" w:hAnsi="Times New Roman" w:cs="Times New Roman"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616073CB"/>
    <w:multiLevelType w:val="hybridMultilevel"/>
    <w:tmpl w:val="3760D102"/>
    <w:lvl w:ilvl="0" w:tplc="AFC47EDC">
      <w:start w:val="4"/>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15:restartNumberingAfterBreak="0">
    <w:nsid w:val="70146DC0"/>
    <w:multiLevelType w:val="hybridMultilevel"/>
    <w:tmpl w:val="9BC21240"/>
    <w:lvl w:ilvl="0" w:tplc="409A9E3A">
      <w:start w:val="1"/>
      <w:numFmt w:val="bullet"/>
      <w:pStyle w:val="Agreement"/>
      <w:lvlText w:val=""/>
      <w:lvlJc w:val="left"/>
      <w:pPr>
        <w:tabs>
          <w:tab w:val="num" w:pos="927"/>
        </w:tabs>
        <w:ind w:left="927" w:hanging="360"/>
      </w:pPr>
      <w:rPr>
        <w:rFonts w:ascii="Symbol" w:hAnsi="Symbol" w:hint="default"/>
        <w:b/>
        <w:i w:val="0"/>
        <w:color w:val="auto"/>
        <w:sz w:val="22"/>
      </w:rPr>
    </w:lvl>
    <w:lvl w:ilvl="1" w:tplc="04090003">
      <w:start w:val="1"/>
      <w:numFmt w:val="bullet"/>
      <w:lvlText w:val="o"/>
      <w:lvlJc w:val="left"/>
      <w:pPr>
        <w:tabs>
          <w:tab w:val="num" w:pos="748"/>
        </w:tabs>
        <w:ind w:left="748" w:hanging="360"/>
      </w:pPr>
      <w:rPr>
        <w:rFonts w:ascii="Courier New" w:hAnsi="Courier New" w:cs="Courier New" w:hint="default"/>
      </w:rPr>
    </w:lvl>
    <w:lvl w:ilvl="2" w:tplc="04090005" w:tentative="1">
      <w:start w:val="1"/>
      <w:numFmt w:val="bullet"/>
      <w:lvlText w:val=""/>
      <w:lvlJc w:val="left"/>
      <w:pPr>
        <w:tabs>
          <w:tab w:val="num" w:pos="1468"/>
        </w:tabs>
        <w:ind w:left="1468" w:hanging="360"/>
      </w:pPr>
      <w:rPr>
        <w:rFonts w:ascii="Wingdings" w:hAnsi="Wingdings" w:hint="default"/>
      </w:rPr>
    </w:lvl>
    <w:lvl w:ilvl="3" w:tplc="04090001" w:tentative="1">
      <w:start w:val="1"/>
      <w:numFmt w:val="bullet"/>
      <w:lvlText w:val=""/>
      <w:lvlJc w:val="left"/>
      <w:pPr>
        <w:tabs>
          <w:tab w:val="num" w:pos="2188"/>
        </w:tabs>
        <w:ind w:left="2188" w:hanging="360"/>
      </w:pPr>
      <w:rPr>
        <w:rFonts w:ascii="Symbol" w:hAnsi="Symbol" w:hint="default"/>
      </w:rPr>
    </w:lvl>
    <w:lvl w:ilvl="4" w:tplc="04090003" w:tentative="1">
      <w:start w:val="1"/>
      <w:numFmt w:val="bullet"/>
      <w:lvlText w:val="o"/>
      <w:lvlJc w:val="left"/>
      <w:pPr>
        <w:tabs>
          <w:tab w:val="num" w:pos="2908"/>
        </w:tabs>
        <w:ind w:left="2908" w:hanging="360"/>
      </w:pPr>
      <w:rPr>
        <w:rFonts w:ascii="Courier New" w:hAnsi="Courier New" w:cs="Courier New" w:hint="default"/>
      </w:rPr>
    </w:lvl>
    <w:lvl w:ilvl="5" w:tplc="04090005" w:tentative="1">
      <w:start w:val="1"/>
      <w:numFmt w:val="bullet"/>
      <w:lvlText w:val=""/>
      <w:lvlJc w:val="left"/>
      <w:pPr>
        <w:tabs>
          <w:tab w:val="num" w:pos="3628"/>
        </w:tabs>
        <w:ind w:left="3628" w:hanging="360"/>
      </w:pPr>
      <w:rPr>
        <w:rFonts w:ascii="Wingdings" w:hAnsi="Wingdings" w:hint="default"/>
      </w:rPr>
    </w:lvl>
    <w:lvl w:ilvl="6" w:tplc="04090001" w:tentative="1">
      <w:start w:val="1"/>
      <w:numFmt w:val="bullet"/>
      <w:lvlText w:val=""/>
      <w:lvlJc w:val="left"/>
      <w:pPr>
        <w:tabs>
          <w:tab w:val="num" w:pos="4348"/>
        </w:tabs>
        <w:ind w:left="4348" w:hanging="360"/>
      </w:pPr>
      <w:rPr>
        <w:rFonts w:ascii="Symbol" w:hAnsi="Symbol" w:hint="default"/>
      </w:rPr>
    </w:lvl>
    <w:lvl w:ilvl="7" w:tplc="04090003" w:tentative="1">
      <w:start w:val="1"/>
      <w:numFmt w:val="bullet"/>
      <w:lvlText w:val="o"/>
      <w:lvlJc w:val="left"/>
      <w:pPr>
        <w:tabs>
          <w:tab w:val="num" w:pos="5068"/>
        </w:tabs>
        <w:ind w:left="5068" w:hanging="360"/>
      </w:pPr>
      <w:rPr>
        <w:rFonts w:ascii="Courier New" w:hAnsi="Courier New" w:cs="Courier New" w:hint="default"/>
      </w:rPr>
    </w:lvl>
    <w:lvl w:ilvl="8" w:tplc="04090005" w:tentative="1">
      <w:start w:val="1"/>
      <w:numFmt w:val="bullet"/>
      <w:lvlText w:val=""/>
      <w:lvlJc w:val="left"/>
      <w:pPr>
        <w:tabs>
          <w:tab w:val="num" w:pos="5788"/>
        </w:tabs>
        <w:ind w:left="5788" w:hanging="360"/>
      </w:pPr>
      <w:rPr>
        <w:rFonts w:ascii="Wingdings" w:hAnsi="Wingdings" w:hint="default"/>
      </w:rPr>
    </w:lvl>
  </w:abstractNum>
  <w:abstractNum w:abstractNumId="1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start w:val="1"/>
      <w:numFmt w:val="bullet"/>
      <w:lvlText w:val="o"/>
      <w:lvlJc w:val="left"/>
      <w:pPr>
        <w:ind w:left="2123" w:hanging="360"/>
      </w:pPr>
      <w:rPr>
        <w:rFonts w:ascii="Courier New" w:hAnsi="Courier New" w:cs="Courier New" w:hint="default"/>
      </w:rPr>
    </w:lvl>
    <w:lvl w:ilvl="2" w:tplc="04090005">
      <w:start w:val="1"/>
      <w:numFmt w:val="bullet"/>
      <w:lvlText w:val=""/>
      <w:lvlJc w:val="left"/>
      <w:pPr>
        <w:ind w:left="2843" w:hanging="360"/>
      </w:pPr>
      <w:rPr>
        <w:rFonts w:ascii="Wingdings" w:hAnsi="Wingdings" w:hint="default"/>
      </w:rPr>
    </w:lvl>
    <w:lvl w:ilvl="3" w:tplc="04090001">
      <w:start w:val="1"/>
      <w:numFmt w:val="bullet"/>
      <w:lvlText w:val=""/>
      <w:lvlJc w:val="left"/>
      <w:pPr>
        <w:ind w:left="3563" w:hanging="360"/>
      </w:pPr>
      <w:rPr>
        <w:rFonts w:ascii="Symbol" w:hAnsi="Symbol" w:hint="default"/>
      </w:rPr>
    </w:lvl>
    <w:lvl w:ilvl="4" w:tplc="04090003">
      <w:start w:val="1"/>
      <w:numFmt w:val="bullet"/>
      <w:lvlText w:val="o"/>
      <w:lvlJc w:val="left"/>
      <w:pPr>
        <w:ind w:left="4283" w:hanging="360"/>
      </w:pPr>
      <w:rPr>
        <w:rFonts w:ascii="Courier New" w:hAnsi="Courier New" w:cs="Courier New" w:hint="default"/>
      </w:rPr>
    </w:lvl>
    <w:lvl w:ilvl="5" w:tplc="04090005">
      <w:start w:val="1"/>
      <w:numFmt w:val="bullet"/>
      <w:lvlText w:val=""/>
      <w:lvlJc w:val="left"/>
      <w:pPr>
        <w:ind w:left="5003" w:hanging="360"/>
      </w:pPr>
      <w:rPr>
        <w:rFonts w:ascii="Wingdings" w:hAnsi="Wingdings" w:hint="default"/>
      </w:rPr>
    </w:lvl>
    <w:lvl w:ilvl="6" w:tplc="04090001">
      <w:start w:val="1"/>
      <w:numFmt w:val="bullet"/>
      <w:lvlText w:val=""/>
      <w:lvlJc w:val="left"/>
      <w:pPr>
        <w:ind w:left="5723" w:hanging="360"/>
      </w:pPr>
      <w:rPr>
        <w:rFonts w:ascii="Symbol" w:hAnsi="Symbol" w:hint="default"/>
      </w:rPr>
    </w:lvl>
    <w:lvl w:ilvl="7" w:tplc="04090003">
      <w:start w:val="1"/>
      <w:numFmt w:val="bullet"/>
      <w:lvlText w:val="o"/>
      <w:lvlJc w:val="left"/>
      <w:pPr>
        <w:ind w:left="6443" w:hanging="360"/>
      </w:pPr>
      <w:rPr>
        <w:rFonts w:ascii="Courier New" w:hAnsi="Courier New" w:cs="Courier New" w:hint="default"/>
      </w:rPr>
    </w:lvl>
    <w:lvl w:ilvl="8" w:tplc="04090005">
      <w:start w:val="1"/>
      <w:numFmt w:val="bullet"/>
      <w:lvlText w:val=""/>
      <w:lvlJc w:val="left"/>
      <w:pPr>
        <w:ind w:left="7163" w:hanging="360"/>
      </w:pPr>
      <w:rPr>
        <w:rFonts w:ascii="Wingdings" w:hAnsi="Wingdings" w:hint="default"/>
      </w:rPr>
    </w:lvl>
  </w:abstractNum>
  <w:abstractNum w:abstractNumId="18" w15:restartNumberingAfterBreak="0">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5553AE"/>
    <w:multiLevelType w:val="hybridMultilevel"/>
    <w:tmpl w:val="0FE8BAFC"/>
    <w:lvl w:ilvl="0" w:tplc="C1406FB2">
      <w:start w:val="1"/>
      <w:numFmt w:val="bullet"/>
      <w:lvlText w:val="­"/>
      <w:lvlJc w:val="left"/>
      <w:pPr>
        <w:ind w:left="1004" w:hanging="360"/>
      </w:pPr>
      <w:rPr>
        <w:rFonts w:ascii="Modern No. 20" w:hAnsi="Modern No. 20"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16cid:durableId="607929190">
    <w:abstractNumId w:val="13"/>
  </w:num>
  <w:num w:numId="2" w16cid:durableId="1917935510">
    <w:abstractNumId w:val="18"/>
  </w:num>
  <w:num w:numId="3" w16cid:durableId="1503396058">
    <w:abstractNumId w:val="5"/>
  </w:num>
  <w:num w:numId="4" w16cid:durableId="210846930">
    <w:abstractNumId w:val="6"/>
  </w:num>
  <w:num w:numId="5" w16cid:durableId="646712585">
    <w:abstractNumId w:val="0"/>
  </w:num>
  <w:num w:numId="6" w16cid:durableId="1241255594">
    <w:abstractNumId w:val="7"/>
  </w:num>
  <w:num w:numId="7" w16cid:durableId="154761270">
    <w:abstractNumId w:val="3"/>
  </w:num>
  <w:num w:numId="8" w16cid:durableId="7561760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08479175">
    <w:abstractNumId w:val="16"/>
  </w:num>
  <w:num w:numId="10" w16cid:durableId="1515916472">
    <w:abstractNumId w:val="2"/>
  </w:num>
  <w:num w:numId="11" w16cid:durableId="5449502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72453908">
    <w:abstractNumId w:val="15"/>
  </w:num>
  <w:num w:numId="13" w16cid:durableId="178352294">
    <w:abstractNumId w:val="17"/>
  </w:num>
  <w:num w:numId="14" w16cid:durableId="763234339">
    <w:abstractNumId w:val="1"/>
  </w:num>
  <w:num w:numId="15" w16cid:durableId="398990024">
    <w:abstractNumId w:val="12"/>
  </w:num>
  <w:num w:numId="16" w16cid:durableId="866871656">
    <w:abstractNumId w:val="4"/>
  </w:num>
  <w:num w:numId="17" w16cid:durableId="2091847836">
    <w:abstractNumId w:val="19"/>
  </w:num>
  <w:num w:numId="18" w16cid:durableId="1748920085">
    <w:abstractNumId w:val="14"/>
  </w:num>
  <w:num w:numId="19" w16cid:durableId="1591500207">
    <w:abstractNumId w:val="9"/>
  </w:num>
  <w:num w:numId="20" w16cid:durableId="131079089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hideSpellingError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en-GB" w:vendorID="64" w:dllVersion="0" w:nlCheck="1" w:checkStyle="0"/>
  <w:activeWritingStyle w:appName="MSWord" w:lang="en-US" w:vendorID="64" w:dllVersion="0" w:nlCheck="1" w:checkStyle="0"/>
  <w:activeWritingStyle w:appName="MSWord" w:lang="it-IT" w:vendorID="64" w:dllVersion="0" w:nlCheck="1" w:checkStyle="0"/>
  <w:activeWritingStyle w:appName="MSWord" w:lang="de-DE" w:vendorID="64" w:dllVersion="0" w:nlCheck="1" w:checkStyle="0"/>
  <w:activeWritingStyle w:appName="MSWord" w:lang="da-DK" w:vendorID="64" w:dllVersion="0" w:nlCheck="1" w:checkStyle="0"/>
  <w:activeWritingStyle w:appName="MSWord" w:lang="fr-FR" w:vendorID="64" w:dllVersion="6" w:nlCheck="1" w:checkStyle="1"/>
  <w:activeWritingStyle w:appName="MSWord" w:lang="fr-FR"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93C"/>
    <w:rsid w:val="000010AA"/>
    <w:rsid w:val="0000135D"/>
    <w:rsid w:val="00002018"/>
    <w:rsid w:val="000027E4"/>
    <w:rsid w:val="00002D30"/>
    <w:rsid w:val="00002D9E"/>
    <w:rsid w:val="00003AF5"/>
    <w:rsid w:val="00004428"/>
    <w:rsid w:val="0000509F"/>
    <w:rsid w:val="0000633A"/>
    <w:rsid w:val="00006AF2"/>
    <w:rsid w:val="00010135"/>
    <w:rsid w:val="0001101A"/>
    <w:rsid w:val="00011508"/>
    <w:rsid w:val="000115D6"/>
    <w:rsid w:val="00011853"/>
    <w:rsid w:val="00011CC8"/>
    <w:rsid w:val="000121B4"/>
    <w:rsid w:val="00012A91"/>
    <w:rsid w:val="00012C4B"/>
    <w:rsid w:val="0001380F"/>
    <w:rsid w:val="00013A72"/>
    <w:rsid w:val="00013CD3"/>
    <w:rsid w:val="000145E9"/>
    <w:rsid w:val="00015067"/>
    <w:rsid w:val="0001522B"/>
    <w:rsid w:val="00016799"/>
    <w:rsid w:val="00016AA5"/>
    <w:rsid w:val="00017A07"/>
    <w:rsid w:val="0002050C"/>
    <w:rsid w:val="000206BB"/>
    <w:rsid w:val="00020908"/>
    <w:rsid w:val="00021AF6"/>
    <w:rsid w:val="00022564"/>
    <w:rsid w:val="00022711"/>
    <w:rsid w:val="00024194"/>
    <w:rsid w:val="00024842"/>
    <w:rsid w:val="00024FFE"/>
    <w:rsid w:val="00025530"/>
    <w:rsid w:val="00025991"/>
    <w:rsid w:val="000261CA"/>
    <w:rsid w:val="00026348"/>
    <w:rsid w:val="00026ABD"/>
    <w:rsid w:val="00027443"/>
    <w:rsid w:val="0002795D"/>
    <w:rsid w:val="00027A4C"/>
    <w:rsid w:val="00027E5C"/>
    <w:rsid w:val="00030BE6"/>
    <w:rsid w:val="00031513"/>
    <w:rsid w:val="00031660"/>
    <w:rsid w:val="00031D18"/>
    <w:rsid w:val="00032B39"/>
    <w:rsid w:val="00032F55"/>
    <w:rsid w:val="00033397"/>
    <w:rsid w:val="00033BFB"/>
    <w:rsid w:val="00034E52"/>
    <w:rsid w:val="0003560D"/>
    <w:rsid w:val="0003622A"/>
    <w:rsid w:val="000363F9"/>
    <w:rsid w:val="00036923"/>
    <w:rsid w:val="0003696B"/>
    <w:rsid w:val="000369C2"/>
    <w:rsid w:val="00036B91"/>
    <w:rsid w:val="00036BF3"/>
    <w:rsid w:val="000373EC"/>
    <w:rsid w:val="00040095"/>
    <w:rsid w:val="00040E5B"/>
    <w:rsid w:val="000417B5"/>
    <w:rsid w:val="00041AF1"/>
    <w:rsid w:val="00041BF5"/>
    <w:rsid w:val="00042829"/>
    <w:rsid w:val="000433CC"/>
    <w:rsid w:val="000437EC"/>
    <w:rsid w:val="00044119"/>
    <w:rsid w:val="0004662B"/>
    <w:rsid w:val="000466C9"/>
    <w:rsid w:val="00046A8C"/>
    <w:rsid w:val="00046AB8"/>
    <w:rsid w:val="00047B17"/>
    <w:rsid w:val="00047B70"/>
    <w:rsid w:val="00047B8C"/>
    <w:rsid w:val="0005160B"/>
    <w:rsid w:val="00051834"/>
    <w:rsid w:val="00051ED3"/>
    <w:rsid w:val="0005273A"/>
    <w:rsid w:val="00052B54"/>
    <w:rsid w:val="00053AF5"/>
    <w:rsid w:val="00053B75"/>
    <w:rsid w:val="00054521"/>
    <w:rsid w:val="00054A22"/>
    <w:rsid w:val="00054C98"/>
    <w:rsid w:val="00055341"/>
    <w:rsid w:val="000558CD"/>
    <w:rsid w:val="000558F9"/>
    <w:rsid w:val="00056696"/>
    <w:rsid w:val="00056D34"/>
    <w:rsid w:val="00060480"/>
    <w:rsid w:val="00060515"/>
    <w:rsid w:val="00060B2A"/>
    <w:rsid w:val="00060E85"/>
    <w:rsid w:val="000612C4"/>
    <w:rsid w:val="000614C3"/>
    <w:rsid w:val="000627F1"/>
    <w:rsid w:val="00062FEA"/>
    <w:rsid w:val="0006310A"/>
    <w:rsid w:val="000632D9"/>
    <w:rsid w:val="000633B3"/>
    <w:rsid w:val="0006385A"/>
    <w:rsid w:val="00063CF2"/>
    <w:rsid w:val="000649EF"/>
    <w:rsid w:val="00064C2A"/>
    <w:rsid w:val="000655A6"/>
    <w:rsid w:val="000655EA"/>
    <w:rsid w:val="0006582E"/>
    <w:rsid w:val="00065AEB"/>
    <w:rsid w:val="0006732B"/>
    <w:rsid w:val="00067CF9"/>
    <w:rsid w:val="00070190"/>
    <w:rsid w:val="00070C60"/>
    <w:rsid w:val="00071242"/>
    <w:rsid w:val="00072423"/>
    <w:rsid w:val="00073201"/>
    <w:rsid w:val="00073A4C"/>
    <w:rsid w:val="00073F9E"/>
    <w:rsid w:val="00074891"/>
    <w:rsid w:val="00074F40"/>
    <w:rsid w:val="0007508B"/>
    <w:rsid w:val="00075639"/>
    <w:rsid w:val="00075EB9"/>
    <w:rsid w:val="00076295"/>
    <w:rsid w:val="00076547"/>
    <w:rsid w:val="000770CD"/>
    <w:rsid w:val="00080512"/>
    <w:rsid w:val="00081252"/>
    <w:rsid w:val="00081801"/>
    <w:rsid w:val="00082331"/>
    <w:rsid w:val="00082580"/>
    <w:rsid w:val="000827C6"/>
    <w:rsid w:val="00082810"/>
    <w:rsid w:val="00082F09"/>
    <w:rsid w:val="000833A6"/>
    <w:rsid w:val="000834C3"/>
    <w:rsid w:val="00083B22"/>
    <w:rsid w:val="00083ED9"/>
    <w:rsid w:val="00085085"/>
    <w:rsid w:val="0008521C"/>
    <w:rsid w:val="000856E3"/>
    <w:rsid w:val="00085B16"/>
    <w:rsid w:val="000861AE"/>
    <w:rsid w:val="00086A6E"/>
    <w:rsid w:val="0008772A"/>
    <w:rsid w:val="00087879"/>
    <w:rsid w:val="00087B9C"/>
    <w:rsid w:val="00090629"/>
    <w:rsid w:val="000909F6"/>
    <w:rsid w:val="00090CDC"/>
    <w:rsid w:val="000913C2"/>
    <w:rsid w:val="00091663"/>
    <w:rsid w:val="00091F85"/>
    <w:rsid w:val="00092042"/>
    <w:rsid w:val="00092902"/>
    <w:rsid w:val="00092D8F"/>
    <w:rsid w:val="0009382D"/>
    <w:rsid w:val="00093993"/>
    <w:rsid w:val="00093AEB"/>
    <w:rsid w:val="000947CD"/>
    <w:rsid w:val="00094C41"/>
    <w:rsid w:val="00094E6E"/>
    <w:rsid w:val="000953C5"/>
    <w:rsid w:val="00095606"/>
    <w:rsid w:val="00095CE7"/>
    <w:rsid w:val="00096C4D"/>
    <w:rsid w:val="000971E9"/>
    <w:rsid w:val="00097AED"/>
    <w:rsid w:val="00097C56"/>
    <w:rsid w:val="000A07C7"/>
    <w:rsid w:val="000A0D7C"/>
    <w:rsid w:val="000A1547"/>
    <w:rsid w:val="000A1C4A"/>
    <w:rsid w:val="000A1EA2"/>
    <w:rsid w:val="000A247A"/>
    <w:rsid w:val="000A3F44"/>
    <w:rsid w:val="000A4872"/>
    <w:rsid w:val="000A49EC"/>
    <w:rsid w:val="000A50CE"/>
    <w:rsid w:val="000A53FB"/>
    <w:rsid w:val="000A5D0B"/>
    <w:rsid w:val="000A5F96"/>
    <w:rsid w:val="000A648F"/>
    <w:rsid w:val="000A7234"/>
    <w:rsid w:val="000A7A23"/>
    <w:rsid w:val="000B0725"/>
    <w:rsid w:val="000B2518"/>
    <w:rsid w:val="000B44AB"/>
    <w:rsid w:val="000B450B"/>
    <w:rsid w:val="000B478A"/>
    <w:rsid w:val="000B4CAE"/>
    <w:rsid w:val="000B4F9B"/>
    <w:rsid w:val="000B5673"/>
    <w:rsid w:val="000B5838"/>
    <w:rsid w:val="000B5C9F"/>
    <w:rsid w:val="000B5E6E"/>
    <w:rsid w:val="000B652D"/>
    <w:rsid w:val="000B660E"/>
    <w:rsid w:val="000B6C7F"/>
    <w:rsid w:val="000B70AA"/>
    <w:rsid w:val="000B73C1"/>
    <w:rsid w:val="000B7D6A"/>
    <w:rsid w:val="000C0B0C"/>
    <w:rsid w:val="000C1550"/>
    <w:rsid w:val="000C2EF8"/>
    <w:rsid w:val="000C2F6A"/>
    <w:rsid w:val="000C37B8"/>
    <w:rsid w:val="000C4472"/>
    <w:rsid w:val="000C5501"/>
    <w:rsid w:val="000C63EE"/>
    <w:rsid w:val="000C7022"/>
    <w:rsid w:val="000C703D"/>
    <w:rsid w:val="000C7197"/>
    <w:rsid w:val="000C731E"/>
    <w:rsid w:val="000C76F1"/>
    <w:rsid w:val="000C77DD"/>
    <w:rsid w:val="000D0179"/>
    <w:rsid w:val="000D116B"/>
    <w:rsid w:val="000D1CCF"/>
    <w:rsid w:val="000D1E49"/>
    <w:rsid w:val="000D2B55"/>
    <w:rsid w:val="000D3022"/>
    <w:rsid w:val="000D33DD"/>
    <w:rsid w:val="000D3462"/>
    <w:rsid w:val="000D3B2F"/>
    <w:rsid w:val="000D4646"/>
    <w:rsid w:val="000D50A8"/>
    <w:rsid w:val="000D51B4"/>
    <w:rsid w:val="000D5894"/>
    <w:rsid w:val="000D58AB"/>
    <w:rsid w:val="000D5935"/>
    <w:rsid w:val="000D5D85"/>
    <w:rsid w:val="000D5EEF"/>
    <w:rsid w:val="000D61F2"/>
    <w:rsid w:val="000D6A24"/>
    <w:rsid w:val="000D7ECF"/>
    <w:rsid w:val="000E322F"/>
    <w:rsid w:val="000E32EE"/>
    <w:rsid w:val="000E41BC"/>
    <w:rsid w:val="000E47B0"/>
    <w:rsid w:val="000E4B9B"/>
    <w:rsid w:val="000E50E7"/>
    <w:rsid w:val="000E5444"/>
    <w:rsid w:val="000E586C"/>
    <w:rsid w:val="000E5BB5"/>
    <w:rsid w:val="000E61D6"/>
    <w:rsid w:val="000E73A5"/>
    <w:rsid w:val="000E74AE"/>
    <w:rsid w:val="000E7989"/>
    <w:rsid w:val="000F0056"/>
    <w:rsid w:val="000F11E5"/>
    <w:rsid w:val="000F1313"/>
    <w:rsid w:val="000F143A"/>
    <w:rsid w:val="000F1D4E"/>
    <w:rsid w:val="000F208F"/>
    <w:rsid w:val="000F2B69"/>
    <w:rsid w:val="000F2FF8"/>
    <w:rsid w:val="000F34F8"/>
    <w:rsid w:val="000F3EE1"/>
    <w:rsid w:val="000F3F9A"/>
    <w:rsid w:val="000F45E3"/>
    <w:rsid w:val="000F4608"/>
    <w:rsid w:val="000F4721"/>
    <w:rsid w:val="000F4829"/>
    <w:rsid w:val="000F55EA"/>
    <w:rsid w:val="000F5637"/>
    <w:rsid w:val="000F5764"/>
    <w:rsid w:val="000F5D5F"/>
    <w:rsid w:val="000F5DB0"/>
    <w:rsid w:val="000F609D"/>
    <w:rsid w:val="000F686E"/>
    <w:rsid w:val="000F7136"/>
    <w:rsid w:val="000F73D4"/>
    <w:rsid w:val="000F7672"/>
    <w:rsid w:val="000F77C3"/>
    <w:rsid w:val="000F7DDA"/>
    <w:rsid w:val="0010030F"/>
    <w:rsid w:val="00100576"/>
    <w:rsid w:val="00100B51"/>
    <w:rsid w:val="00100ECC"/>
    <w:rsid w:val="00101C5C"/>
    <w:rsid w:val="00101E4C"/>
    <w:rsid w:val="00101F40"/>
    <w:rsid w:val="00102063"/>
    <w:rsid w:val="0010272D"/>
    <w:rsid w:val="001028DA"/>
    <w:rsid w:val="001029CA"/>
    <w:rsid w:val="00102BE6"/>
    <w:rsid w:val="00103221"/>
    <w:rsid w:val="001033E8"/>
    <w:rsid w:val="00103DC1"/>
    <w:rsid w:val="001042C4"/>
    <w:rsid w:val="00104786"/>
    <w:rsid w:val="0010548B"/>
    <w:rsid w:val="0010582E"/>
    <w:rsid w:val="00105ACA"/>
    <w:rsid w:val="001061D2"/>
    <w:rsid w:val="001062BD"/>
    <w:rsid w:val="00106B37"/>
    <w:rsid w:val="00107DC8"/>
    <w:rsid w:val="00110527"/>
    <w:rsid w:val="00111330"/>
    <w:rsid w:val="0011188D"/>
    <w:rsid w:val="00111CE4"/>
    <w:rsid w:val="00112B5E"/>
    <w:rsid w:val="0011325D"/>
    <w:rsid w:val="00113C63"/>
    <w:rsid w:val="001150BC"/>
    <w:rsid w:val="001151B3"/>
    <w:rsid w:val="0011556D"/>
    <w:rsid w:val="00115895"/>
    <w:rsid w:val="00115F0F"/>
    <w:rsid w:val="00116835"/>
    <w:rsid w:val="00116F08"/>
    <w:rsid w:val="00117519"/>
    <w:rsid w:val="001178D1"/>
    <w:rsid w:val="00117AB0"/>
    <w:rsid w:val="0012025C"/>
    <w:rsid w:val="00120CD0"/>
    <w:rsid w:val="00121180"/>
    <w:rsid w:val="0012136E"/>
    <w:rsid w:val="00122023"/>
    <w:rsid w:val="001221FB"/>
    <w:rsid w:val="001235E2"/>
    <w:rsid w:val="00123D64"/>
    <w:rsid w:val="0012414D"/>
    <w:rsid w:val="00124FDB"/>
    <w:rsid w:val="0012580B"/>
    <w:rsid w:val="00125AB5"/>
    <w:rsid w:val="00125F11"/>
    <w:rsid w:val="001260E0"/>
    <w:rsid w:val="00127167"/>
    <w:rsid w:val="0012760C"/>
    <w:rsid w:val="001276D5"/>
    <w:rsid w:val="0012778A"/>
    <w:rsid w:val="00127B3D"/>
    <w:rsid w:val="00127EA5"/>
    <w:rsid w:val="00130E01"/>
    <w:rsid w:val="0013106C"/>
    <w:rsid w:val="00131175"/>
    <w:rsid w:val="001323F8"/>
    <w:rsid w:val="001329C9"/>
    <w:rsid w:val="00132B62"/>
    <w:rsid w:val="00132F80"/>
    <w:rsid w:val="001340AC"/>
    <w:rsid w:val="001349F0"/>
    <w:rsid w:val="001353FA"/>
    <w:rsid w:val="001356E3"/>
    <w:rsid w:val="00135A93"/>
    <w:rsid w:val="00135F19"/>
    <w:rsid w:val="00136295"/>
    <w:rsid w:val="00136557"/>
    <w:rsid w:val="00137197"/>
    <w:rsid w:val="00140017"/>
    <w:rsid w:val="001402F9"/>
    <w:rsid w:val="00140D6E"/>
    <w:rsid w:val="00140F37"/>
    <w:rsid w:val="001413F8"/>
    <w:rsid w:val="00141B3A"/>
    <w:rsid w:val="00141F5C"/>
    <w:rsid w:val="00142157"/>
    <w:rsid w:val="001422CC"/>
    <w:rsid w:val="0014291C"/>
    <w:rsid w:val="00142D2D"/>
    <w:rsid w:val="001432B1"/>
    <w:rsid w:val="00143341"/>
    <w:rsid w:val="001434A7"/>
    <w:rsid w:val="00143D95"/>
    <w:rsid w:val="0014576B"/>
    <w:rsid w:val="00145954"/>
    <w:rsid w:val="00145BB5"/>
    <w:rsid w:val="00146477"/>
    <w:rsid w:val="00146703"/>
    <w:rsid w:val="00147266"/>
    <w:rsid w:val="001478AC"/>
    <w:rsid w:val="00147C54"/>
    <w:rsid w:val="0015042D"/>
    <w:rsid w:val="0015055C"/>
    <w:rsid w:val="0015099D"/>
    <w:rsid w:val="00150BA8"/>
    <w:rsid w:val="00153409"/>
    <w:rsid w:val="00155170"/>
    <w:rsid w:val="001553B8"/>
    <w:rsid w:val="00155640"/>
    <w:rsid w:val="00156B57"/>
    <w:rsid w:val="00156EFA"/>
    <w:rsid w:val="00157499"/>
    <w:rsid w:val="00157761"/>
    <w:rsid w:val="00157BD7"/>
    <w:rsid w:val="00160310"/>
    <w:rsid w:val="00160B79"/>
    <w:rsid w:val="00160D04"/>
    <w:rsid w:val="001610CA"/>
    <w:rsid w:val="00162654"/>
    <w:rsid w:val="00162A1C"/>
    <w:rsid w:val="00163B37"/>
    <w:rsid w:val="00164CA3"/>
    <w:rsid w:val="00166398"/>
    <w:rsid w:val="001663A3"/>
    <w:rsid w:val="00166F8C"/>
    <w:rsid w:val="00167109"/>
    <w:rsid w:val="00167430"/>
    <w:rsid w:val="00170A3F"/>
    <w:rsid w:val="00171141"/>
    <w:rsid w:val="0017134F"/>
    <w:rsid w:val="00171440"/>
    <w:rsid w:val="00171902"/>
    <w:rsid w:val="0017198B"/>
    <w:rsid w:val="00172568"/>
    <w:rsid w:val="00172B1C"/>
    <w:rsid w:val="0017399C"/>
    <w:rsid w:val="00173B3F"/>
    <w:rsid w:val="00174113"/>
    <w:rsid w:val="001741D7"/>
    <w:rsid w:val="0017420C"/>
    <w:rsid w:val="00174920"/>
    <w:rsid w:val="00174F9F"/>
    <w:rsid w:val="00175210"/>
    <w:rsid w:val="00175695"/>
    <w:rsid w:val="00175A1F"/>
    <w:rsid w:val="0017611D"/>
    <w:rsid w:val="0017638C"/>
    <w:rsid w:val="0017645D"/>
    <w:rsid w:val="00176535"/>
    <w:rsid w:val="001773D3"/>
    <w:rsid w:val="0017741C"/>
    <w:rsid w:val="0018012D"/>
    <w:rsid w:val="0018012F"/>
    <w:rsid w:val="001805EF"/>
    <w:rsid w:val="00181378"/>
    <w:rsid w:val="00181732"/>
    <w:rsid w:val="001824FB"/>
    <w:rsid w:val="00183C79"/>
    <w:rsid w:val="00183E1B"/>
    <w:rsid w:val="00184830"/>
    <w:rsid w:val="00184847"/>
    <w:rsid w:val="00184ADB"/>
    <w:rsid w:val="00186C6D"/>
    <w:rsid w:val="00187A84"/>
    <w:rsid w:val="00187D1A"/>
    <w:rsid w:val="00187F41"/>
    <w:rsid w:val="00190339"/>
    <w:rsid w:val="001905B6"/>
    <w:rsid w:val="00190D57"/>
    <w:rsid w:val="00191FDA"/>
    <w:rsid w:val="00192BED"/>
    <w:rsid w:val="00192C4C"/>
    <w:rsid w:val="00193D3D"/>
    <w:rsid w:val="001940ED"/>
    <w:rsid w:val="00194359"/>
    <w:rsid w:val="00194A7F"/>
    <w:rsid w:val="00194A91"/>
    <w:rsid w:val="00194E2C"/>
    <w:rsid w:val="00195A5F"/>
    <w:rsid w:val="00195AA3"/>
    <w:rsid w:val="00195B6A"/>
    <w:rsid w:val="001960BB"/>
    <w:rsid w:val="001962CB"/>
    <w:rsid w:val="0019642B"/>
    <w:rsid w:val="001967E5"/>
    <w:rsid w:val="00196913"/>
    <w:rsid w:val="0019791B"/>
    <w:rsid w:val="001A00D1"/>
    <w:rsid w:val="001A0179"/>
    <w:rsid w:val="001A05FD"/>
    <w:rsid w:val="001A093D"/>
    <w:rsid w:val="001A17D5"/>
    <w:rsid w:val="001A185F"/>
    <w:rsid w:val="001A1AC5"/>
    <w:rsid w:val="001A1AEC"/>
    <w:rsid w:val="001A1F76"/>
    <w:rsid w:val="001A21B1"/>
    <w:rsid w:val="001A3063"/>
    <w:rsid w:val="001A3BE2"/>
    <w:rsid w:val="001A3C0B"/>
    <w:rsid w:val="001A3DE2"/>
    <w:rsid w:val="001A5097"/>
    <w:rsid w:val="001A5C50"/>
    <w:rsid w:val="001A5DD9"/>
    <w:rsid w:val="001A5EBF"/>
    <w:rsid w:val="001A62BC"/>
    <w:rsid w:val="001A65CF"/>
    <w:rsid w:val="001A68D7"/>
    <w:rsid w:val="001A75A3"/>
    <w:rsid w:val="001A7A8E"/>
    <w:rsid w:val="001A7D5C"/>
    <w:rsid w:val="001B02D3"/>
    <w:rsid w:val="001B0FDA"/>
    <w:rsid w:val="001B1083"/>
    <w:rsid w:val="001B13DE"/>
    <w:rsid w:val="001B1410"/>
    <w:rsid w:val="001B1721"/>
    <w:rsid w:val="001B1789"/>
    <w:rsid w:val="001B2087"/>
    <w:rsid w:val="001B2180"/>
    <w:rsid w:val="001B2196"/>
    <w:rsid w:val="001B24AB"/>
    <w:rsid w:val="001B29CB"/>
    <w:rsid w:val="001B2FDD"/>
    <w:rsid w:val="001B3074"/>
    <w:rsid w:val="001B50F0"/>
    <w:rsid w:val="001B68A7"/>
    <w:rsid w:val="001B6C80"/>
    <w:rsid w:val="001B6EE5"/>
    <w:rsid w:val="001B7238"/>
    <w:rsid w:val="001B774C"/>
    <w:rsid w:val="001B7B65"/>
    <w:rsid w:val="001C040B"/>
    <w:rsid w:val="001C12D2"/>
    <w:rsid w:val="001C1C21"/>
    <w:rsid w:val="001C2EA0"/>
    <w:rsid w:val="001C3259"/>
    <w:rsid w:val="001C335C"/>
    <w:rsid w:val="001C3543"/>
    <w:rsid w:val="001C3DE5"/>
    <w:rsid w:val="001C4338"/>
    <w:rsid w:val="001C443C"/>
    <w:rsid w:val="001C4683"/>
    <w:rsid w:val="001C51C9"/>
    <w:rsid w:val="001C5443"/>
    <w:rsid w:val="001C575D"/>
    <w:rsid w:val="001C6214"/>
    <w:rsid w:val="001C63F4"/>
    <w:rsid w:val="001C64F7"/>
    <w:rsid w:val="001C667E"/>
    <w:rsid w:val="001C76B7"/>
    <w:rsid w:val="001C7C49"/>
    <w:rsid w:val="001C7D71"/>
    <w:rsid w:val="001D024F"/>
    <w:rsid w:val="001D02C2"/>
    <w:rsid w:val="001D15E6"/>
    <w:rsid w:val="001D2C2D"/>
    <w:rsid w:val="001D3629"/>
    <w:rsid w:val="001D3BF6"/>
    <w:rsid w:val="001D3C32"/>
    <w:rsid w:val="001D4B3A"/>
    <w:rsid w:val="001D4E0B"/>
    <w:rsid w:val="001D4E56"/>
    <w:rsid w:val="001D4E88"/>
    <w:rsid w:val="001D550E"/>
    <w:rsid w:val="001D5DD8"/>
    <w:rsid w:val="001D6331"/>
    <w:rsid w:val="001D6EAA"/>
    <w:rsid w:val="001D71AB"/>
    <w:rsid w:val="001D7791"/>
    <w:rsid w:val="001E04D8"/>
    <w:rsid w:val="001E087A"/>
    <w:rsid w:val="001E1993"/>
    <w:rsid w:val="001E24DA"/>
    <w:rsid w:val="001E25F5"/>
    <w:rsid w:val="001E323B"/>
    <w:rsid w:val="001E36E8"/>
    <w:rsid w:val="001E4905"/>
    <w:rsid w:val="001E501E"/>
    <w:rsid w:val="001E5203"/>
    <w:rsid w:val="001E5AC7"/>
    <w:rsid w:val="001E5E3D"/>
    <w:rsid w:val="001E62DF"/>
    <w:rsid w:val="001E6AB9"/>
    <w:rsid w:val="001E74EB"/>
    <w:rsid w:val="001F0749"/>
    <w:rsid w:val="001F0FA8"/>
    <w:rsid w:val="001F168B"/>
    <w:rsid w:val="001F21E0"/>
    <w:rsid w:val="001F3AF2"/>
    <w:rsid w:val="001F4A55"/>
    <w:rsid w:val="001F514E"/>
    <w:rsid w:val="001F52A2"/>
    <w:rsid w:val="001F5A79"/>
    <w:rsid w:val="001F6D25"/>
    <w:rsid w:val="001F7915"/>
    <w:rsid w:val="001F7CC1"/>
    <w:rsid w:val="00200B28"/>
    <w:rsid w:val="00200CBE"/>
    <w:rsid w:val="00201222"/>
    <w:rsid w:val="00203A38"/>
    <w:rsid w:val="00203D61"/>
    <w:rsid w:val="0020479F"/>
    <w:rsid w:val="00205002"/>
    <w:rsid w:val="002058D0"/>
    <w:rsid w:val="002060F0"/>
    <w:rsid w:val="00210226"/>
    <w:rsid w:val="00210BD1"/>
    <w:rsid w:val="00210D1F"/>
    <w:rsid w:val="002117CC"/>
    <w:rsid w:val="00211DB0"/>
    <w:rsid w:val="00211DCD"/>
    <w:rsid w:val="00212E19"/>
    <w:rsid w:val="002131B3"/>
    <w:rsid w:val="002132B8"/>
    <w:rsid w:val="00213C33"/>
    <w:rsid w:val="002145AC"/>
    <w:rsid w:val="00214731"/>
    <w:rsid w:val="0021489D"/>
    <w:rsid w:val="00215C58"/>
    <w:rsid w:val="00216375"/>
    <w:rsid w:val="00217082"/>
    <w:rsid w:val="0021789E"/>
    <w:rsid w:val="00220A02"/>
    <w:rsid w:val="0022128C"/>
    <w:rsid w:val="00221C8F"/>
    <w:rsid w:val="00221F0C"/>
    <w:rsid w:val="002220D7"/>
    <w:rsid w:val="00222870"/>
    <w:rsid w:val="00223463"/>
    <w:rsid w:val="00223A75"/>
    <w:rsid w:val="00225153"/>
    <w:rsid w:val="00225602"/>
    <w:rsid w:val="00225700"/>
    <w:rsid w:val="00225AA6"/>
    <w:rsid w:val="002264FA"/>
    <w:rsid w:val="00226BBA"/>
    <w:rsid w:val="00226EB3"/>
    <w:rsid w:val="0022726A"/>
    <w:rsid w:val="0022739F"/>
    <w:rsid w:val="00227EDF"/>
    <w:rsid w:val="0023008C"/>
    <w:rsid w:val="00230E58"/>
    <w:rsid w:val="00231167"/>
    <w:rsid w:val="00231798"/>
    <w:rsid w:val="00231BA1"/>
    <w:rsid w:val="00231DF1"/>
    <w:rsid w:val="00231E94"/>
    <w:rsid w:val="00231FAB"/>
    <w:rsid w:val="00232D1D"/>
    <w:rsid w:val="00233327"/>
    <w:rsid w:val="00233AE2"/>
    <w:rsid w:val="00234608"/>
    <w:rsid w:val="002347A2"/>
    <w:rsid w:val="00234814"/>
    <w:rsid w:val="00234923"/>
    <w:rsid w:val="0023559E"/>
    <w:rsid w:val="00235617"/>
    <w:rsid w:val="002367B2"/>
    <w:rsid w:val="00236C5A"/>
    <w:rsid w:val="00236F2B"/>
    <w:rsid w:val="00237613"/>
    <w:rsid w:val="00237AEB"/>
    <w:rsid w:val="00240207"/>
    <w:rsid w:val="002414D1"/>
    <w:rsid w:val="00241B7A"/>
    <w:rsid w:val="002427AE"/>
    <w:rsid w:val="00242B32"/>
    <w:rsid w:val="00242F41"/>
    <w:rsid w:val="00243734"/>
    <w:rsid w:val="002440D0"/>
    <w:rsid w:val="002441F5"/>
    <w:rsid w:val="00244B88"/>
    <w:rsid w:val="00245297"/>
    <w:rsid w:val="002459B4"/>
    <w:rsid w:val="00246499"/>
    <w:rsid w:val="00247843"/>
    <w:rsid w:val="00247CB1"/>
    <w:rsid w:val="002517D0"/>
    <w:rsid w:val="0025203F"/>
    <w:rsid w:val="00252069"/>
    <w:rsid w:val="00252A22"/>
    <w:rsid w:val="00253D0B"/>
    <w:rsid w:val="00254477"/>
    <w:rsid w:val="00254572"/>
    <w:rsid w:val="002549EB"/>
    <w:rsid w:val="002551FD"/>
    <w:rsid w:val="002552E7"/>
    <w:rsid w:val="00255BAF"/>
    <w:rsid w:val="00256993"/>
    <w:rsid w:val="00256C53"/>
    <w:rsid w:val="00256D6F"/>
    <w:rsid w:val="00257412"/>
    <w:rsid w:val="00257B60"/>
    <w:rsid w:val="00257E2A"/>
    <w:rsid w:val="002608F0"/>
    <w:rsid w:val="00260BF4"/>
    <w:rsid w:val="002610B1"/>
    <w:rsid w:val="00261410"/>
    <w:rsid w:val="002626B4"/>
    <w:rsid w:val="00262AF7"/>
    <w:rsid w:val="00263157"/>
    <w:rsid w:val="002631BD"/>
    <w:rsid w:val="00264165"/>
    <w:rsid w:val="002641CE"/>
    <w:rsid w:val="0026497D"/>
    <w:rsid w:val="00264D91"/>
    <w:rsid w:val="00266057"/>
    <w:rsid w:val="00266154"/>
    <w:rsid w:val="00266E7C"/>
    <w:rsid w:val="002672E3"/>
    <w:rsid w:val="002678B4"/>
    <w:rsid w:val="00267AC9"/>
    <w:rsid w:val="00267E04"/>
    <w:rsid w:val="002704E0"/>
    <w:rsid w:val="00270DD3"/>
    <w:rsid w:val="0027104F"/>
    <w:rsid w:val="00271680"/>
    <w:rsid w:val="00271C8C"/>
    <w:rsid w:val="002727E6"/>
    <w:rsid w:val="00272ECC"/>
    <w:rsid w:val="002738BE"/>
    <w:rsid w:val="00274988"/>
    <w:rsid w:val="00274F28"/>
    <w:rsid w:val="0027553A"/>
    <w:rsid w:val="00275A40"/>
    <w:rsid w:val="00275CB9"/>
    <w:rsid w:val="00276A1C"/>
    <w:rsid w:val="00276B60"/>
    <w:rsid w:val="00276DA5"/>
    <w:rsid w:val="002771D6"/>
    <w:rsid w:val="0027780E"/>
    <w:rsid w:val="00277A53"/>
    <w:rsid w:val="00277B3D"/>
    <w:rsid w:val="0028078A"/>
    <w:rsid w:val="002809C7"/>
    <w:rsid w:val="00280D7D"/>
    <w:rsid w:val="00281397"/>
    <w:rsid w:val="00281723"/>
    <w:rsid w:val="00281AB2"/>
    <w:rsid w:val="00281B1F"/>
    <w:rsid w:val="00281C05"/>
    <w:rsid w:val="002827A2"/>
    <w:rsid w:val="00282B94"/>
    <w:rsid w:val="00282C8C"/>
    <w:rsid w:val="00282C93"/>
    <w:rsid w:val="00283190"/>
    <w:rsid w:val="00283207"/>
    <w:rsid w:val="002832FC"/>
    <w:rsid w:val="002836E2"/>
    <w:rsid w:val="00283FC4"/>
    <w:rsid w:val="002841BA"/>
    <w:rsid w:val="0028424B"/>
    <w:rsid w:val="0028430F"/>
    <w:rsid w:val="002844BE"/>
    <w:rsid w:val="002845C6"/>
    <w:rsid w:val="002845EE"/>
    <w:rsid w:val="00284963"/>
    <w:rsid w:val="00284C2B"/>
    <w:rsid w:val="00284E0A"/>
    <w:rsid w:val="00286203"/>
    <w:rsid w:val="00286737"/>
    <w:rsid w:val="00286CF4"/>
    <w:rsid w:val="002874FE"/>
    <w:rsid w:val="00287C25"/>
    <w:rsid w:val="002903A0"/>
    <w:rsid w:val="00290843"/>
    <w:rsid w:val="002911B5"/>
    <w:rsid w:val="002917F8"/>
    <w:rsid w:val="00291E94"/>
    <w:rsid w:val="0029231B"/>
    <w:rsid w:val="00292C5B"/>
    <w:rsid w:val="00292C77"/>
    <w:rsid w:val="0029346F"/>
    <w:rsid w:val="00293E8D"/>
    <w:rsid w:val="00294698"/>
    <w:rsid w:val="00294744"/>
    <w:rsid w:val="00294D3E"/>
    <w:rsid w:val="00294D50"/>
    <w:rsid w:val="00294D99"/>
    <w:rsid w:val="00295057"/>
    <w:rsid w:val="00296E6E"/>
    <w:rsid w:val="00296F05"/>
    <w:rsid w:val="0029787E"/>
    <w:rsid w:val="002979AC"/>
    <w:rsid w:val="00297BA2"/>
    <w:rsid w:val="002A0032"/>
    <w:rsid w:val="002A0185"/>
    <w:rsid w:val="002A01B8"/>
    <w:rsid w:val="002A14DA"/>
    <w:rsid w:val="002A1D49"/>
    <w:rsid w:val="002A1EF3"/>
    <w:rsid w:val="002A1FED"/>
    <w:rsid w:val="002A2067"/>
    <w:rsid w:val="002A20BE"/>
    <w:rsid w:val="002A230A"/>
    <w:rsid w:val="002A25EE"/>
    <w:rsid w:val="002A3686"/>
    <w:rsid w:val="002A38F4"/>
    <w:rsid w:val="002A4741"/>
    <w:rsid w:val="002A4AD9"/>
    <w:rsid w:val="002A5AB8"/>
    <w:rsid w:val="002A6073"/>
    <w:rsid w:val="002A661C"/>
    <w:rsid w:val="002A6BA4"/>
    <w:rsid w:val="002A714D"/>
    <w:rsid w:val="002A798B"/>
    <w:rsid w:val="002B0296"/>
    <w:rsid w:val="002B0937"/>
    <w:rsid w:val="002B1005"/>
    <w:rsid w:val="002B161E"/>
    <w:rsid w:val="002B1936"/>
    <w:rsid w:val="002B26D6"/>
    <w:rsid w:val="002B2B13"/>
    <w:rsid w:val="002B2B78"/>
    <w:rsid w:val="002B34B4"/>
    <w:rsid w:val="002B3D79"/>
    <w:rsid w:val="002B4458"/>
    <w:rsid w:val="002B46D6"/>
    <w:rsid w:val="002B4FB9"/>
    <w:rsid w:val="002B507C"/>
    <w:rsid w:val="002B51F4"/>
    <w:rsid w:val="002B545F"/>
    <w:rsid w:val="002B5C10"/>
    <w:rsid w:val="002B6201"/>
    <w:rsid w:val="002B642C"/>
    <w:rsid w:val="002B6535"/>
    <w:rsid w:val="002B69A5"/>
    <w:rsid w:val="002B716D"/>
    <w:rsid w:val="002B750A"/>
    <w:rsid w:val="002C03A7"/>
    <w:rsid w:val="002C1449"/>
    <w:rsid w:val="002C276F"/>
    <w:rsid w:val="002C2D83"/>
    <w:rsid w:val="002C373B"/>
    <w:rsid w:val="002C380D"/>
    <w:rsid w:val="002C3C17"/>
    <w:rsid w:val="002C4C58"/>
    <w:rsid w:val="002C4E5B"/>
    <w:rsid w:val="002C4FB7"/>
    <w:rsid w:val="002C62A7"/>
    <w:rsid w:val="002C7225"/>
    <w:rsid w:val="002C7752"/>
    <w:rsid w:val="002C7C3F"/>
    <w:rsid w:val="002D0D64"/>
    <w:rsid w:val="002D1174"/>
    <w:rsid w:val="002D1D5E"/>
    <w:rsid w:val="002D1E2B"/>
    <w:rsid w:val="002D211A"/>
    <w:rsid w:val="002D2629"/>
    <w:rsid w:val="002D4861"/>
    <w:rsid w:val="002D6E43"/>
    <w:rsid w:val="002D6E95"/>
    <w:rsid w:val="002D7411"/>
    <w:rsid w:val="002D7537"/>
    <w:rsid w:val="002E0315"/>
    <w:rsid w:val="002E055D"/>
    <w:rsid w:val="002E09AD"/>
    <w:rsid w:val="002E0A96"/>
    <w:rsid w:val="002E0CFF"/>
    <w:rsid w:val="002E0D67"/>
    <w:rsid w:val="002E1871"/>
    <w:rsid w:val="002E1F71"/>
    <w:rsid w:val="002E22CF"/>
    <w:rsid w:val="002E294B"/>
    <w:rsid w:val="002E296B"/>
    <w:rsid w:val="002E3506"/>
    <w:rsid w:val="002E4D01"/>
    <w:rsid w:val="002E54F0"/>
    <w:rsid w:val="002E5611"/>
    <w:rsid w:val="002E65B9"/>
    <w:rsid w:val="002E6EE8"/>
    <w:rsid w:val="002E7461"/>
    <w:rsid w:val="002E7BFF"/>
    <w:rsid w:val="002E7E54"/>
    <w:rsid w:val="002F04AE"/>
    <w:rsid w:val="002F0BD6"/>
    <w:rsid w:val="002F10EE"/>
    <w:rsid w:val="002F1748"/>
    <w:rsid w:val="002F1C24"/>
    <w:rsid w:val="002F20F0"/>
    <w:rsid w:val="002F27CB"/>
    <w:rsid w:val="002F2D16"/>
    <w:rsid w:val="002F3B74"/>
    <w:rsid w:val="002F484F"/>
    <w:rsid w:val="002F4E94"/>
    <w:rsid w:val="002F5188"/>
    <w:rsid w:val="002F5786"/>
    <w:rsid w:val="002F6106"/>
    <w:rsid w:val="002F61FE"/>
    <w:rsid w:val="002F7B16"/>
    <w:rsid w:val="002F7B7F"/>
    <w:rsid w:val="00300E72"/>
    <w:rsid w:val="00301612"/>
    <w:rsid w:val="003017C0"/>
    <w:rsid w:val="00301B28"/>
    <w:rsid w:val="00301B77"/>
    <w:rsid w:val="00301C9F"/>
    <w:rsid w:val="00302C3C"/>
    <w:rsid w:val="00302DA0"/>
    <w:rsid w:val="00302E8F"/>
    <w:rsid w:val="003030C5"/>
    <w:rsid w:val="00303117"/>
    <w:rsid w:val="003034EC"/>
    <w:rsid w:val="00304F73"/>
    <w:rsid w:val="0030528F"/>
    <w:rsid w:val="00305B73"/>
    <w:rsid w:val="00305E28"/>
    <w:rsid w:val="003065BE"/>
    <w:rsid w:val="00306870"/>
    <w:rsid w:val="00306CBF"/>
    <w:rsid w:val="003070C6"/>
    <w:rsid w:val="00310138"/>
    <w:rsid w:val="00310192"/>
    <w:rsid w:val="0031119F"/>
    <w:rsid w:val="00311576"/>
    <w:rsid w:val="003118AE"/>
    <w:rsid w:val="0031261A"/>
    <w:rsid w:val="00312BF6"/>
    <w:rsid w:val="0031307E"/>
    <w:rsid w:val="0031329A"/>
    <w:rsid w:val="0031358E"/>
    <w:rsid w:val="00313659"/>
    <w:rsid w:val="00313674"/>
    <w:rsid w:val="00313A48"/>
    <w:rsid w:val="003140C8"/>
    <w:rsid w:val="00315C68"/>
    <w:rsid w:val="00315CFD"/>
    <w:rsid w:val="00315F0C"/>
    <w:rsid w:val="00315F22"/>
    <w:rsid w:val="003169D4"/>
    <w:rsid w:val="00316CBB"/>
    <w:rsid w:val="0031702A"/>
    <w:rsid w:val="00317204"/>
    <w:rsid w:val="00317214"/>
    <w:rsid w:val="00317280"/>
    <w:rsid w:val="003172DC"/>
    <w:rsid w:val="00317398"/>
    <w:rsid w:val="0031739B"/>
    <w:rsid w:val="00317BC3"/>
    <w:rsid w:val="00320004"/>
    <w:rsid w:val="003205D5"/>
    <w:rsid w:val="003227B7"/>
    <w:rsid w:val="003227C5"/>
    <w:rsid w:val="00322A6B"/>
    <w:rsid w:val="00322ED9"/>
    <w:rsid w:val="003239E4"/>
    <w:rsid w:val="00324FCE"/>
    <w:rsid w:val="003250ED"/>
    <w:rsid w:val="00325A33"/>
    <w:rsid w:val="003260E3"/>
    <w:rsid w:val="00326769"/>
    <w:rsid w:val="00326C04"/>
    <w:rsid w:val="00326CC8"/>
    <w:rsid w:val="003276E6"/>
    <w:rsid w:val="003278A4"/>
    <w:rsid w:val="00327F33"/>
    <w:rsid w:val="0033093E"/>
    <w:rsid w:val="00330D9C"/>
    <w:rsid w:val="003312C6"/>
    <w:rsid w:val="003314D6"/>
    <w:rsid w:val="00331821"/>
    <w:rsid w:val="00331D64"/>
    <w:rsid w:val="00331DE5"/>
    <w:rsid w:val="00332768"/>
    <w:rsid w:val="00332CCA"/>
    <w:rsid w:val="00332D98"/>
    <w:rsid w:val="00333108"/>
    <w:rsid w:val="00334B4E"/>
    <w:rsid w:val="003357B2"/>
    <w:rsid w:val="00336256"/>
    <w:rsid w:val="0033637B"/>
    <w:rsid w:val="003367AA"/>
    <w:rsid w:val="0033681F"/>
    <w:rsid w:val="00336AB9"/>
    <w:rsid w:val="00336F33"/>
    <w:rsid w:val="003371EE"/>
    <w:rsid w:val="0033768D"/>
    <w:rsid w:val="00337945"/>
    <w:rsid w:val="003379E9"/>
    <w:rsid w:val="00340098"/>
    <w:rsid w:val="0034070F"/>
    <w:rsid w:val="00340A97"/>
    <w:rsid w:val="00340CB7"/>
    <w:rsid w:val="00340EC7"/>
    <w:rsid w:val="0034124B"/>
    <w:rsid w:val="00341285"/>
    <w:rsid w:val="00341DD9"/>
    <w:rsid w:val="00342C32"/>
    <w:rsid w:val="00343169"/>
    <w:rsid w:val="003431BA"/>
    <w:rsid w:val="00343434"/>
    <w:rsid w:val="00343C68"/>
    <w:rsid w:val="003445FB"/>
    <w:rsid w:val="00344BFF"/>
    <w:rsid w:val="00345E02"/>
    <w:rsid w:val="0034610F"/>
    <w:rsid w:val="003462D3"/>
    <w:rsid w:val="00346376"/>
    <w:rsid w:val="00346A9F"/>
    <w:rsid w:val="00347572"/>
    <w:rsid w:val="0035020D"/>
    <w:rsid w:val="00350507"/>
    <w:rsid w:val="0035077F"/>
    <w:rsid w:val="00350FE0"/>
    <w:rsid w:val="00351085"/>
    <w:rsid w:val="003510DA"/>
    <w:rsid w:val="0035173A"/>
    <w:rsid w:val="00352573"/>
    <w:rsid w:val="003526CC"/>
    <w:rsid w:val="003527C6"/>
    <w:rsid w:val="00352A03"/>
    <w:rsid w:val="0035311C"/>
    <w:rsid w:val="00353674"/>
    <w:rsid w:val="00353986"/>
    <w:rsid w:val="0035462D"/>
    <w:rsid w:val="00354746"/>
    <w:rsid w:val="00354BB8"/>
    <w:rsid w:val="00354C0E"/>
    <w:rsid w:val="00355329"/>
    <w:rsid w:val="00355D3E"/>
    <w:rsid w:val="0035622D"/>
    <w:rsid w:val="0035705D"/>
    <w:rsid w:val="003571AF"/>
    <w:rsid w:val="00357256"/>
    <w:rsid w:val="003574AB"/>
    <w:rsid w:val="00357693"/>
    <w:rsid w:val="00361221"/>
    <w:rsid w:val="0036122B"/>
    <w:rsid w:val="00361B46"/>
    <w:rsid w:val="00362254"/>
    <w:rsid w:val="003637C3"/>
    <w:rsid w:val="00364326"/>
    <w:rsid w:val="003646D8"/>
    <w:rsid w:val="003653EA"/>
    <w:rsid w:val="0036645E"/>
    <w:rsid w:val="00367263"/>
    <w:rsid w:val="00367559"/>
    <w:rsid w:val="00367AA4"/>
    <w:rsid w:val="00367C4A"/>
    <w:rsid w:val="00367E6A"/>
    <w:rsid w:val="00370325"/>
    <w:rsid w:val="00370441"/>
    <w:rsid w:val="00371627"/>
    <w:rsid w:val="003717DB"/>
    <w:rsid w:val="003718C4"/>
    <w:rsid w:val="00372C7F"/>
    <w:rsid w:val="00373537"/>
    <w:rsid w:val="00374754"/>
    <w:rsid w:val="00374D13"/>
    <w:rsid w:val="003751C0"/>
    <w:rsid w:val="003754A3"/>
    <w:rsid w:val="00375A56"/>
    <w:rsid w:val="00376263"/>
    <w:rsid w:val="00376707"/>
    <w:rsid w:val="003767EB"/>
    <w:rsid w:val="0037681A"/>
    <w:rsid w:val="00376A83"/>
    <w:rsid w:val="003777C9"/>
    <w:rsid w:val="00377EDC"/>
    <w:rsid w:val="003808CB"/>
    <w:rsid w:val="00380C2E"/>
    <w:rsid w:val="003813E8"/>
    <w:rsid w:val="00381894"/>
    <w:rsid w:val="00382600"/>
    <w:rsid w:val="00382781"/>
    <w:rsid w:val="00382AB2"/>
    <w:rsid w:val="00383F67"/>
    <w:rsid w:val="003840B4"/>
    <w:rsid w:val="003852A9"/>
    <w:rsid w:val="00385D39"/>
    <w:rsid w:val="0038627A"/>
    <w:rsid w:val="003863D6"/>
    <w:rsid w:val="00387B27"/>
    <w:rsid w:val="00387DCB"/>
    <w:rsid w:val="00390048"/>
    <w:rsid w:val="00390A0B"/>
    <w:rsid w:val="00390E5E"/>
    <w:rsid w:val="0039227E"/>
    <w:rsid w:val="003922D6"/>
    <w:rsid w:val="0039306F"/>
    <w:rsid w:val="003933BE"/>
    <w:rsid w:val="003939F6"/>
    <w:rsid w:val="00393DF4"/>
    <w:rsid w:val="00394691"/>
    <w:rsid w:val="00395648"/>
    <w:rsid w:val="003957F6"/>
    <w:rsid w:val="00395888"/>
    <w:rsid w:val="00397BC4"/>
    <w:rsid w:val="003A005A"/>
    <w:rsid w:val="003A0543"/>
    <w:rsid w:val="003A0D3E"/>
    <w:rsid w:val="003A0FF8"/>
    <w:rsid w:val="003A12BF"/>
    <w:rsid w:val="003A1E0C"/>
    <w:rsid w:val="003A24E1"/>
    <w:rsid w:val="003A33E3"/>
    <w:rsid w:val="003A3840"/>
    <w:rsid w:val="003A3C88"/>
    <w:rsid w:val="003A3CED"/>
    <w:rsid w:val="003A42E4"/>
    <w:rsid w:val="003A4444"/>
    <w:rsid w:val="003A45F0"/>
    <w:rsid w:val="003A4D0F"/>
    <w:rsid w:val="003A4F63"/>
    <w:rsid w:val="003A59FC"/>
    <w:rsid w:val="003B0552"/>
    <w:rsid w:val="003B0AF7"/>
    <w:rsid w:val="003B11D4"/>
    <w:rsid w:val="003B1498"/>
    <w:rsid w:val="003B17B3"/>
    <w:rsid w:val="003B2ECF"/>
    <w:rsid w:val="003B346B"/>
    <w:rsid w:val="003B3CF2"/>
    <w:rsid w:val="003B418B"/>
    <w:rsid w:val="003B479D"/>
    <w:rsid w:val="003B5025"/>
    <w:rsid w:val="003B5728"/>
    <w:rsid w:val="003B5FF7"/>
    <w:rsid w:val="003B626A"/>
    <w:rsid w:val="003B67AF"/>
    <w:rsid w:val="003B6940"/>
    <w:rsid w:val="003C004B"/>
    <w:rsid w:val="003C0EA8"/>
    <w:rsid w:val="003C15D8"/>
    <w:rsid w:val="003C1609"/>
    <w:rsid w:val="003C1F7A"/>
    <w:rsid w:val="003C2CEF"/>
    <w:rsid w:val="003C3314"/>
    <w:rsid w:val="003C3666"/>
    <w:rsid w:val="003C3971"/>
    <w:rsid w:val="003C4C63"/>
    <w:rsid w:val="003C5372"/>
    <w:rsid w:val="003C6D6F"/>
    <w:rsid w:val="003C6F3C"/>
    <w:rsid w:val="003C7B14"/>
    <w:rsid w:val="003C7B7C"/>
    <w:rsid w:val="003D00D9"/>
    <w:rsid w:val="003D025B"/>
    <w:rsid w:val="003D0AFC"/>
    <w:rsid w:val="003D1455"/>
    <w:rsid w:val="003D151D"/>
    <w:rsid w:val="003D2770"/>
    <w:rsid w:val="003D286A"/>
    <w:rsid w:val="003D2AC7"/>
    <w:rsid w:val="003D38C6"/>
    <w:rsid w:val="003D39C9"/>
    <w:rsid w:val="003D487A"/>
    <w:rsid w:val="003D4D31"/>
    <w:rsid w:val="003D4FA6"/>
    <w:rsid w:val="003D5058"/>
    <w:rsid w:val="003D548E"/>
    <w:rsid w:val="003D5855"/>
    <w:rsid w:val="003D6474"/>
    <w:rsid w:val="003D673B"/>
    <w:rsid w:val="003D6F6F"/>
    <w:rsid w:val="003E0D5F"/>
    <w:rsid w:val="003E1474"/>
    <w:rsid w:val="003E1E16"/>
    <w:rsid w:val="003E2106"/>
    <w:rsid w:val="003E25AD"/>
    <w:rsid w:val="003E29E4"/>
    <w:rsid w:val="003E2EEF"/>
    <w:rsid w:val="003E3849"/>
    <w:rsid w:val="003E40E1"/>
    <w:rsid w:val="003E418E"/>
    <w:rsid w:val="003E41ED"/>
    <w:rsid w:val="003E42E6"/>
    <w:rsid w:val="003E470F"/>
    <w:rsid w:val="003E6374"/>
    <w:rsid w:val="003E6B60"/>
    <w:rsid w:val="003E6C21"/>
    <w:rsid w:val="003E7298"/>
    <w:rsid w:val="003E7DB5"/>
    <w:rsid w:val="003F1AFB"/>
    <w:rsid w:val="003F2796"/>
    <w:rsid w:val="003F2BE8"/>
    <w:rsid w:val="003F336F"/>
    <w:rsid w:val="003F3528"/>
    <w:rsid w:val="003F447D"/>
    <w:rsid w:val="003F4DC8"/>
    <w:rsid w:val="003F4FE1"/>
    <w:rsid w:val="003F6005"/>
    <w:rsid w:val="003F69E7"/>
    <w:rsid w:val="003F6CBF"/>
    <w:rsid w:val="003F7998"/>
    <w:rsid w:val="003F7DF0"/>
    <w:rsid w:val="003F7F57"/>
    <w:rsid w:val="004000F0"/>
    <w:rsid w:val="00400F0E"/>
    <w:rsid w:val="00401468"/>
    <w:rsid w:val="00401CD0"/>
    <w:rsid w:val="00401DA4"/>
    <w:rsid w:val="00401FCE"/>
    <w:rsid w:val="00402693"/>
    <w:rsid w:val="0040325A"/>
    <w:rsid w:val="004035AF"/>
    <w:rsid w:val="00403DB9"/>
    <w:rsid w:val="00404586"/>
    <w:rsid w:val="004046FD"/>
    <w:rsid w:val="00404930"/>
    <w:rsid w:val="00404EF1"/>
    <w:rsid w:val="00405798"/>
    <w:rsid w:val="00406207"/>
    <w:rsid w:val="004063B2"/>
    <w:rsid w:val="00407093"/>
    <w:rsid w:val="004079E0"/>
    <w:rsid w:val="00407C2D"/>
    <w:rsid w:val="00407FA5"/>
    <w:rsid w:val="0041001E"/>
    <w:rsid w:val="004102A8"/>
    <w:rsid w:val="0041081A"/>
    <w:rsid w:val="00411AD6"/>
    <w:rsid w:val="00412637"/>
    <w:rsid w:val="00412C12"/>
    <w:rsid w:val="00412C48"/>
    <w:rsid w:val="00412E5C"/>
    <w:rsid w:val="0041322A"/>
    <w:rsid w:val="00413328"/>
    <w:rsid w:val="004141D8"/>
    <w:rsid w:val="00415440"/>
    <w:rsid w:val="00415956"/>
    <w:rsid w:val="004169B3"/>
    <w:rsid w:val="004170C7"/>
    <w:rsid w:val="00417479"/>
    <w:rsid w:val="0041786B"/>
    <w:rsid w:val="0042042B"/>
    <w:rsid w:val="00421157"/>
    <w:rsid w:val="00421D95"/>
    <w:rsid w:val="00421E89"/>
    <w:rsid w:val="0042282A"/>
    <w:rsid w:val="00422D16"/>
    <w:rsid w:val="00422E54"/>
    <w:rsid w:val="00422FD2"/>
    <w:rsid w:val="00423640"/>
    <w:rsid w:val="004236B9"/>
    <w:rsid w:val="00423B5C"/>
    <w:rsid w:val="00423CFB"/>
    <w:rsid w:val="00424443"/>
    <w:rsid w:val="0042504D"/>
    <w:rsid w:val="004257DC"/>
    <w:rsid w:val="0042591D"/>
    <w:rsid w:val="00425B8B"/>
    <w:rsid w:val="004260FA"/>
    <w:rsid w:val="0042678F"/>
    <w:rsid w:val="00426BA6"/>
    <w:rsid w:val="004273A7"/>
    <w:rsid w:val="00427439"/>
    <w:rsid w:val="00427541"/>
    <w:rsid w:val="00427574"/>
    <w:rsid w:val="004276DF"/>
    <w:rsid w:val="00427BC6"/>
    <w:rsid w:val="00427D43"/>
    <w:rsid w:val="00427D5A"/>
    <w:rsid w:val="00430BAD"/>
    <w:rsid w:val="004310B9"/>
    <w:rsid w:val="00431373"/>
    <w:rsid w:val="0043180E"/>
    <w:rsid w:val="00431FB5"/>
    <w:rsid w:val="0043249C"/>
    <w:rsid w:val="00432545"/>
    <w:rsid w:val="00432E18"/>
    <w:rsid w:val="004339B6"/>
    <w:rsid w:val="00433D33"/>
    <w:rsid w:val="00433DE5"/>
    <w:rsid w:val="004347A4"/>
    <w:rsid w:val="00434F6F"/>
    <w:rsid w:val="00435685"/>
    <w:rsid w:val="00435D2E"/>
    <w:rsid w:val="004361B9"/>
    <w:rsid w:val="00436320"/>
    <w:rsid w:val="004368A9"/>
    <w:rsid w:val="00436B51"/>
    <w:rsid w:val="00437AFB"/>
    <w:rsid w:val="00441D94"/>
    <w:rsid w:val="00441E1E"/>
    <w:rsid w:val="00443030"/>
    <w:rsid w:val="004437B3"/>
    <w:rsid w:val="00444112"/>
    <w:rsid w:val="00444127"/>
    <w:rsid w:val="00444361"/>
    <w:rsid w:val="00444ED7"/>
    <w:rsid w:val="00445759"/>
    <w:rsid w:val="00446B8F"/>
    <w:rsid w:val="00446C08"/>
    <w:rsid w:val="00446C13"/>
    <w:rsid w:val="00447494"/>
    <w:rsid w:val="00447512"/>
    <w:rsid w:val="00447627"/>
    <w:rsid w:val="004477B6"/>
    <w:rsid w:val="00447C0B"/>
    <w:rsid w:val="00447DDB"/>
    <w:rsid w:val="00451EDC"/>
    <w:rsid w:val="00452E77"/>
    <w:rsid w:val="00452F8F"/>
    <w:rsid w:val="00453541"/>
    <w:rsid w:val="0045476D"/>
    <w:rsid w:val="0045525D"/>
    <w:rsid w:val="004555D5"/>
    <w:rsid w:val="00455919"/>
    <w:rsid w:val="00455D2F"/>
    <w:rsid w:val="0045660C"/>
    <w:rsid w:val="00456E6F"/>
    <w:rsid w:val="00456F52"/>
    <w:rsid w:val="00461371"/>
    <w:rsid w:val="004622F9"/>
    <w:rsid w:val="004624D1"/>
    <w:rsid w:val="00462A05"/>
    <w:rsid w:val="00462C3C"/>
    <w:rsid w:val="00462D4C"/>
    <w:rsid w:val="00463D46"/>
    <w:rsid w:val="00464932"/>
    <w:rsid w:val="00464D0E"/>
    <w:rsid w:val="00464DEF"/>
    <w:rsid w:val="004650E0"/>
    <w:rsid w:val="00465D65"/>
    <w:rsid w:val="0046746C"/>
    <w:rsid w:val="004679F1"/>
    <w:rsid w:val="00467BB7"/>
    <w:rsid w:val="00467E22"/>
    <w:rsid w:val="00471CAE"/>
    <w:rsid w:val="00471E7C"/>
    <w:rsid w:val="00471F4F"/>
    <w:rsid w:val="00472B48"/>
    <w:rsid w:val="00472B60"/>
    <w:rsid w:val="00472BCA"/>
    <w:rsid w:val="00472CC3"/>
    <w:rsid w:val="00472EBC"/>
    <w:rsid w:val="00474203"/>
    <w:rsid w:val="004747EE"/>
    <w:rsid w:val="00474B0C"/>
    <w:rsid w:val="00475226"/>
    <w:rsid w:val="004756A4"/>
    <w:rsid w:val="00475F58"/>
    <w:rsid w:val="004766EC"/>
    <w:rsid w:val="00476E4A"/>
    <w:rsid w:val="0047761D"/>
    <w:rsid w:val="00477638"/>
    <w:rsid w:val="004778C8"/>
    <w:rsid w:val="00477F51"/>
    <w:rsid w:val="00480267"/>
    <w:rsid w:val="00480B64"/>
    <w:rsid w:val="00480B82"/>
    <w:rsid w:val="00480D28"/>
    <w:rsid w:val="00480FD4"/>
    <w:rsid w:val="004812CD"/>
    <w:rsid w:val="00481679"/>
    <w:rsid w:val="004818B2"/>
    <w:rsid w:val="004820EF"/>
    <w:rsid w:val="00482E27"/>
    <w:rsid w:val="004832B5"/>
    <w:rsid w:val="0048391D"/>
    <w:rsid w:val="00483934"/>
    <w:rsid w:val="00483A27"/>
    <w:rsid w:val="004841AA"/>
    <w:rsid w:val="00484592"/>
    <w:rsid w:val="004847AE"/>
    <w:rsid w:val="00484835"/>
    <w:rsid w:val="004849A1"/>
    <w:rsid w:val="00484D4F"/>
    <w:rsid w:val="0048525B"/>
    <w:rsid w:val="00485495"/>
    <w:rsid w:val="004857D2"/>
    <w:rsid w:val="00485F6E"/>
    <w:rsid w:val="0048630D"/>
    <w:rsid w:val="00486781"/>
    <w:rsid w:val="004868FC"/>
    <w:rsid w:val="00486AC2"/>
    <w:rsid w:val="00486BE1"/>
    <w:rsid w:val="00486FFB"/>
    <w:rsid w:val="0048746C"/>
    <w:rsid w:val="00487C13"/>
    <w:rsid w:val="00487F82"/>
    <w:rsid w:val="00491412"/>
    <w:rsid w:val="004919D3"/>
    <w:rsid w:val="00491BFD"/>
    <w:rsid w:val="00492DC8"/>
    <w:rsid w:val="0049341A"/>
    <w:rsid w:val="00494152"/>
    <w:rsid w:val="004950FB"/>
    <w:rsid w:val="00496B20"/>
    <w:rsid w:val="00496B7B"/>
    <w:rsid w:val="00497C94"/>
    <w:rsid w:val="004A0600"/>
    <w:rsid w:val="004A0A90"/>
    <w:rsid w:val="004A15BC"/>
    <w:rsid w:val="004A1BD3"/>
    <w:rsid w:val="004A2695"/>
    <w:rsid w:val="004A2F69"/>
    <w:rsid w:val="004A303C"/>
    <w:rsid w:val="004A31B7"/>
    <w:rsid w:val="004A386D"/>
    <w:rsid w:val="004A3F1F"/>
    <w:rsid w:val="004A49EE"/>
    <w:rsid w:val="004A4B22"/>
    <w:rsid w:val="004A4D2E"/>
    <w:rsid w:val="004A68D4"/>
    <w:rsid w:val="004A75CC"/>
    <w:rsid w:val="004B0424"/>
    <w:rsid w:val="004B0A51"/>
    <w:rsid w:val="004B0D5E"/>
    <w:rsid w:val="004B1356"/>
    <w:rsid w:val="004B16E7"/>
    <w:rsid w:val="004B19C9"/>
    <w:rsid w:val="004B1FA8"/>
    <w:rsid w:val="004B2B1C"/>
    <w:rsid w:val="004B37FA"/>
    <w:rsid w:val="004B3AEF"/>
    <w:rsid w:val="004B417A"/>
    <w:rsid w:val="004B41F9"/>
    <w:rsid w:val="004B4467"/>
    <w:rsid w:val="004B522E"/>
    <w:rsid w:val="004B53E4"/>
    <w:rsid w:val="004B56F2"/>
    <w:rsid w:val="004B57ED"/>
    <w:rsid w:val="004B6DAA"/>
    <w:rsid w:val="004B6DAF"/>
    <w:rsid w:val="004C10EC"/>
    <w:rsid w:val="004C1310"/>
    <w:rsid w:val="004C177E"/>
    <w:rsid w:val="004C21A0"/>
    <w:rsid w:val="004C2BA8"/>
    <w:rsid w:val="004C2D07"/>
    <w:rsid w:val="004C37FE"/>
    <w:rsid w:val="004C5391"/>
    <w:rsid w:val="004C5AE6"/>
    <w:rsid w:val="004C5E71"/>
    <w:rsid w:val="004C753E"/>
    <w:rsid w:val="004D04EB"/>
    <w:rsid w:val="004D159B"/>
    <w:rsid w:val="004D16F7"/>
    <w:rsid w:val="004D2401"/>
    <w:rsid w:val="004D2960"/>
    <w:rsid w:val="004D29CD"/>
    <w:rsid w:val="004D3578"/>
    <w:rsid w:val="004D3DC6"/>
    <w:rsid w:val="004D4207"/>
    <w:rsid w:val="004D43BC"/>
    <w:rsid w:val="004D4903"/>
    <w:rsid w:val="004D4F65"/>
    <w:rsid w:val="004D4FFF"/>
    <w:rsid w:val="004D6CB1"/>
    <w:rsid w:val="004D7B2C"/>
    <w:rsid w:val="004D7CC6"/>
    <w:rsid w:val="004E119C"/>
    <w:rsid w:val="004E14D8"/>
    <w:rsid w:val="004E1897"/>
    <w:rsid w:val="004E1DBC"/>
    <w:rsid w:val="004E2099"/>
    <w:rsid w:val="004E213A"/>
    <w:rsid w:val="004E2653"/>
    <w:rsid w:val="004E2A7E"/>
    <w:rsid w:val="004E2D9F"/>
    <w:rsid w:val="004E3754"/>
    <w:rsid w:val="004E383E"/>
    <w:rsid w:val="004E5566"/>
    <w:rsid w:val="004E6291"/>
    <w:rsid w:val="004E6959"/>
    <w:rsid w:val="004E78C2"/>
    <w:rsid w:val="004F0261"/>
    <w:rsid w:val="004F10EE"/>
    <w:rsid w:val="004F1760"/>
    <w:rsid w:val="004F179E"/>
    <w:rsid w:val="004F1F3A"/>
    <w:rsid w:val="004F210D"/>
    <w:rsid w:val="004F2ECB"/>
    <w:rsid w:val="004F3417"/>
    <w:rsid w:val="004F38C7"/>
    <w:rsid w:val="004F3C5A"/>
    <w:rsid w:val="004F538B"/>
    <w:rsid w:val="004F59D3"/>
    <w:rsid w:val="004F5F3C"/>
    <w:rsid w:val="004F69DD"/>
    <w:rsid w:val="004F722B"/>
    <w:rsid w:val="00500336"/>
    <w:rsid w:val="0050067E"/>
    <w:rsid w:val="00500793"/>
    <w:rsid w:val="00502111"/>
    <w:rsid w:val="00502815"/>
    <w:rsid w:val="0050328F"/>
    <w:rsid w:val="00503BF9"/>
    <w:rsid w:val="005049C8"/>
    <w:rsid w:val="00505276"/>
    <w:rsid w:val="0050578C"/>
    <w:rsid w:val="00505B8C"/>
    <w:rsid w:val="00506B4C"/>
    <w:rsid w:val="00506B7A"/>
    <w:rsid w:val="005074C0"/>
    <w:rsid w:val="0050775C"/>
    <w:rsid w:val="00507DFF"/>
    <w:rsid w:val="00507EF3"/>
    <w:rsid w:val="0051044A"/>
    <w:rsid w:val="005123F8"/>
    <w:rsid w:val="00512A44"/>
    <w:rsid w:val="00512CAD"/>
    <w:rsid w:val="005139BF"/>
    <w:rsid w:val="00514451"/>
    <w:rsid w:val="00514F78"/>
    <w:rsid w:val="0051504C"/>
    <w:rsid w:val="005150A6"/>
    <w:rsid w:val="0051547F"/>
    <w:rsid w:val="00515C47"/>
    <w:rsid w:val="005166D5"/>
    <w:rsid w:val="00516FFF"/>
    <w:rsid w:val="00517943"/>
    <w:rsid w:val="005179C5"/>
    <w:rsid w:val="005203B3"/>
    <w:rsid w:val="00520867"/>
    <w:rsid w:val="00521F8B"/>
    <w:rsid w:val="00522560"/>
    <w:rsid w:val="00522D61"/>
    <w:rsid w:val="00523209"/>
    <w:rsid w:val="00523627"/>
    <w:rsid w:val="00524B77"/>
    <w:rsid w:val="00525222"/>
    <w:rsid w:val="0052533D"/>
    <w:rsid w:val="00525365"/>
    <w:rsid w:val="00525952"/>
    <w:rsid w:val="0052644B"/>
    <w:rsid w:val="005266CA"/>
    <w:rsid w:val="0052714E"/>
    <w:rsid w:val="00527258"/>
    <w:rsid w:val="0052731F"/>
    <w:rsid w:val="00527FED"/>
    <w:rsid w:val="00530BCC"/>
    <w:rsid w:val="005318D1"/>
    <w:rsid w:val="00533797"/>
    <w:rsid w:val="00533E29"/>
    <w:rsid w:val="0053422A"/>
    <w:rsid w:val="005348E6"/>
    <w:rsid w:val="005356AE"/>
    <w:rsid w:val="00535AF1"/>
    <w:rsid w:val="00535F36"/>
    <w:rsid w:val="00536699"/>
    <w:rsid w:val="00536719"/>
    <w:rsid w:val="00537047"/>
    <w:rsid w:val="00540A64"/>
    <w:rsid w:val="00540AD0"/>
    <w:rsid w:val="00541080"/>
    <w:rsid w:val="00541B3C"/>
    <w:rsid w:val="00541BA5"/>
    <w:rsid w:val="00542654"/>
    <w:rsid w:val="0054277A"/>
    <w:rsid w:val="00542EC9"/>
    <w:rsid w:val="00543033"/>
    <w:rsid w:val="00543BD6"/>
    <w:rsid w:val="00543E6C"/>
    <w:rsid w:val="00544BF3"/>
    <w:rsid w:val="005460F4"/>
    <w:rsid w:val="00546D29"/>
    <w:rsid w:val="00546DAA"/>
    <w:rsid w:val="005476DD"/>
    <w:rsid w:val="005477AA"/>
    <w:rsid w:val="00547F0B"/>
    <w:rsid w:val="005506D7"/>
    <w:rsid w:val="00550E13"/>
    <w:rsid w:val="00551D32"/>
    <w:rsid w:val="00551FFD"/>
    <w:rsid w:val="00552073"/>
    <w:rsid w:val="0055240F"/>
    <w:rsid w:val="00552B71"/>
    <w:rsid w:val="0055325D"/>
    <w:rsid w:val="0055433A"/>
    <w:rsid w:val="005558AD"/>
    <w:rsid w:val="00555C10"/>
    <w:rsid w:val="00555C26"/>
    <w:rsid w:val="0055615A"/>
    <w:rsid w:val="0055689B"/>
    <w:rsid w:val="00556B6B"/>
    <w:rsid w:val="00556C57"/>
    <w:rsid w:val="0055749C"/>
    <w:rsid w:val="0056154D"/>
    <w:rsid w:val="00561567"/>
    <w:rsid w:val="00561D8B"/>
    <w:rsid w:val="005624F8"/>
    <w:rsid w:val="00563049"/>
    <w:rsid w:val="00563F0C"/>
    <w:rsid w:val="00564116"/>
    <w:rsid w:val="00564166"/>
    <w:rsid w:val="0056431A"/>
    <w:rsid w:val="0056456A"/>
    <w:rsid w:val="00564988"/>
    <w:rsid w:val="00564C6C"/>
    <w:rsid w:val="00565087"/>
    <w:rsid w:val="005659B2"/>
    <w:rsid w:val="00565C8A"/>
    <w:rsid w:val="00566CFE"/>
    <w:rsid w:val="00566DA4"/>
    <w:rsid w:val="005674E2"/>
    <w:rsid w:val="00567BD5"/>
    <w:rsid w:val="00567E6C"/>
    <w:rsid w:val="00567F6E"/>
    <w:rsid w:val="0057092C"/>
    <w:rsid w:val="00570FD7"/>
    <w:rsid w:val="0057157D"/>
    <w:rsid w:val="00571685"/>
    <w:rsid w:val="00571F13"/>
    <w:rsid w:val="00572F72"/>
    <w:rsid w:val="00573695"/>
    <w:rsid w:val="00573ED4"/>
    <w:rsid w:val="00575479"/>
    <w:rsid w:val="00575781"/>
    <w:rsid w:val="00575F50"/>
    <w:rsid w:val="0057627A"/>
    <w:rsid w:val="005765E4"/>
    <w:rsid w:val="00577BA1"/>
    <w:rsid w:val="00580015"/>
    <w:rsid w:val="00580130"/>
    <w:rsid w:val="005808B8"/>
    <w:rsid w:val="00582D1F"/>
    <w:rsid w:val="00582FA6"/>
    <w:rsid w:val="0058457E"/>
    <w:rsid w:val="00584834"/>
    <w:rsid w:val="005854A2"/>
    <w:rsid w:val="0058566D"/>
    <w:rsid w:val="00585F03"/>
    <w:rsid w:val="00587A27"/>
    <w:rsid w:val="00587B03"/>
    <w:rsid w:val="00587B1B"/>
    <w:rsid w:val="00590989"/>
    <w:rsid w:val="00590E39"/>
    <w:rsid w:val="00591696"/>
    <w:rsid w:val="005926C7"/>
    <w:rsid w:val="00592F63"/>
    <w:rsid w:val="0059384C"/>
    <w:rsid w:val="00594398"/>
    <w:rsid w:val="00594539"/>
    <w:rsid w:val="00594CBF"/>
    <w:rsid w:val="00594F19"/>
    <w:rsid w:val="005954F9"/>
    <w:rsid w:val="005958CF"/>
    <w:rsid w:val="00595F13"/>
    <w:rsid w:val="00595F84"/>
    <w:rsid w:val="005965D4"/>
    <w:rsid w:val="00596646"/>
    <w:rsid w:val="00596726"/>
    <w:rsid w:val="00596B65"/>
    <w:rsid w:val="00596F3A"/>
    <w:rsid w:val="0059755E"/>
    <w:rsid w:val="00597B50"/>
    <w:rsid w:val="00597F7D"/>
    <w:rsid w:val="005A02E2"/>
    <w:rsid w:val="005A15BA"/>
    <w:rsid w:val="005A16BA"/>
    <w:rsid w:val="005A30F3"/>
    <w:rsid w:val="005A3815"/>
    <w:rsid w:val="005A3BCE"/>
    <w:rsid w:val="005A3CBA"/>
    <w:rsid w:val="005A3DF0"/>
    <w:rsid w:val="005A4DB1"/>
    <w:rsid w:val="005A6C45"/>
    <w:rsid w:val="005A72A5"/>
    <w:rsid w:val="005A7B32"/>
    <w:rsid w:val="005A7E3E"/>
    <w:rsid w:val="005B04FE"/>
    <w:rsid w:val="005B084F"/>
    <w:rsid w:val="005B08EC"/>
    <w:rsid w:val="005B0F40"/>
    <w:rsid w:val="005B1455"/>
    <w:rsid w:val="005B1941"/>
    <w:rsid w:val="005B1BFB"/>
    <w:rsid w:val="005B2BBA"/>
    <w:rsid w:val="005B40AA"/>
    <w:rsid w:val="005B4193"/>
    <w:rsid w:val="005B438D"/>
    <w:rsid w:val="005B442A"/>
    <w:rsid w:val="005B48D9"/>
    <w:rsid w:val="005B4AA5"/>
    <w:rsid w:val="005B4E88"/>
    <w:rsid w:val="005B53B2"/>
    <w:rsid w:val="005B5422"/>
    <w:rsid w:val="005B5683"/>
    <w:rsid w:val="005B5C8B"/>
    <w:rsid w:val="005B69D4"/>
    <w:rsid w:val="005B6ACD"/>
    <w:rsid w:val="005B6ADF"/>
    <w:rsid w:val="005B6B14"/>
    <w:rsid w:val="005B6DB8"/>
    <w:rsid w:val="005B6EBB"/>
    <w:rsid w:val="005B6ECE"/>
    <w:rsid w:val="005B70FD"/>
    <w:rsid w:val="005C0051"/>
    <w:rsid w:val="005C046D"/>
    <w:rsid w:val="005C11F4"/>
    <w:rsid w:val="005C1DCD"/>
    <w:rsid w:val="005C2AD9"/>
    <w:rsid w:val="005C2DD7"/>
    <w:rsid w:val="005C39A3"/>
    <w:rsid w:val="005C3A5B"/>
    <w:rsid w:val="005C3C3F"/>
    <w:rsid w:val="005C556E"/>
    <w:rsid w:val="005C5E91"/>
    <w:rsid w:val="005C7035"/>
    <w:rsid w:val="005C793A"/>
    <w:rsid w:val="005C79C7"/>
    <w:rsid w:val="005C7BA7"/>
    <w:rsid w:val="005D016E"/>
    <w:rsid w:val="005D04C3"/>
    <w:rsid w:val="005D0671"/>
    <w:rsid w:val="005D086C"/>
    <w:rsid w:val="005D09BE"/>
    <w:rsid w:val="005D0B54"/>
    <w:rsid w:val="005D1126"/>
    <w:rsid w:val="005D1F0E"/>
    <w:rsid w:val="005D20A6"/>
    <w:rsid w:val="005D26E0"/>
    <w:rsid w:val="005D2BBE"/>
    <w:rsid w:val="005D2BFE"/>
    <w:rsid w:val="005D2E01"/>
    <w:rsid w:val="005D2E23"/>
    <w:rsid w:val="005D32D0"/>
    <w:rsid w:val="005D381C"/>
    <w:rsid w:val="005D4047"/>
    <w:rsid w:val="005D4911"/>
    <w:rsid w:val="005D49C1"/>
    <w:rsid w:val="005D51F9"/>
    <w:rsid w:val="005D6346"/>
    <w:rsid w:val="005D69D3"/>
    <w:rsid w:val="005D6A5E"/>
    <w:rsid w:val="005D6BA2"/>
    <w:rsid w:val="005D726E"/>
    <w:rsid w:val="005D7F13"/>
    <w:rsid w:val="005E0166"/>
    <w:rsid w:val="005E1391"/>
    <w:rsid w:val="005E2018"/>
    <w:rsid w:val="005E2195"/>
    <w:rsid w:val="005E241F"/>
    <w:rsid w:val="005E25B5"/>
    <w:rsid w:val="005E2B82"/>
    <w:rsid w:val="005E32A8"/>
    <w:rsid w:val="005E462D"/>
    <w:rsid w:val="005E492F"/>
    <w:rsid w:val="005E4ADD"/>
    <w:rsid w:val="005E4C90"/>
    <w:rsid w:val="005E4CBE"/>
    <w:rsid w:val="005E4CD7"/>
    <w:rsid w:val="005E4E7D"/>
    <w:rsid w:val="005E53C3"/>
    <w:rsid w:val="005E5B3A"/>
    <w:rsid w:val="005E5B8A"/>
    <w:rsid w:val="005E5C6F"/>
    <w:rsid w:val="005E5F6E"/>
    <w:rsid w:val="005E639C"/>
    <w:rsid w:val="005E6D49"/>
    <w:rsid w:val="005E7B19"/>
    <w:rsid w:val="005E7EC7"/>
    <w:rsid w:val="005F0865"/>
    <w:rsid w:val="005F08BC"/>
    <w:rsid w:val="005F0F3F"/>
    <w:rsid w:val="005F1543"/>
    <w:rsid w:val="005F196F"/>
    <w:rsid w:val="005F1C24"/>
    <w:rsid w:val="005F1F6D"/>
    <w:rsid w:val="005F2245"/>
    <w:rsid w:val="005F237C"/>
    <w:rsid w:val="005F2ABE"/>
    <w:rsid w:val="005F2CD0"/>
    <w:rsid w:val="005F2DC9"/>
    <w:rsid w:val="005F4628"/>
    <w:rsid w:val="005F46F8"/>
    <w:rsid w:val="005F4A1B"/>
    <w:rsid w:val="005F50C0"/>
    <w:rsid w:val="005F573B"/>
    <w:rsid w:val="005F605D"/>
    <w:rsid w:val="005F746D"/>
    <w:rsid w:val="005F785A"/>
    <w:rsid w:val="005F7B84"/>
    <w:rsid w:val="005F7CC4"/>
    <w:rsid w:val="00600024"/>
    <w:rsid w:val="00600283"/>
    <w:rsid w:val="0060030F"/>
    <w:rsid w:val="00600355"/>
    <w:rsid w:val="00600832"/>
    <w:rsid w:val="006010E3"/>
    <w:rsid w:val="006018D9"/>
    <w:rsid w:val="00601C81"/>
    <w:rsid w:val="00601D41"/>
    <w:rsid w:val="00602371"/>
    <w:rsid w:val="006023F1"/>
    <w:rsid w:val="0060285E"/>
    <w:rsid w:val="00602B63"/>
    <w:rsid w:val="00603FD3"/>
    <w:rsid w:val="0060400D"/>
    <w:rsid w:val="006041FC"/>
    <w:rsid w:val="00604335"/>
    <w:rsid w:val="00604633"/>
    <w:rsid w:val="00604864"/>
    <w:rsid w:val="006049D6"/>
    <w:rsid w:val="006055B0"/>
    <w:rsid w:val="00605744"/>
    <w:rsid w:val="00605783"/>
    <w:rsid w:val="00605CE1"/>
    <w:rsid w:val="00605DDF"/>
    <w:rsid w:val="00605F6C"/>
    <w:rsid w:val="00606C01"/>
    <w:rsid w:val="00607368"/>
    <w:rsid w:val="0060745E"/>
    <w:rsid w:val="00607F2D"/>
    <w:rsid w:val="00610D6E"/>
    <w:rsid w:val="00610E81"/>
    <w:rsid w:val="00612AC3"/>
    <w:rsid w:val="0061363E"/>
    <w:rsid w:val="00613B45"/>
    <w:rsid w:val="00614510"/>
    <w:rsid w:val="00614556"/>
    <w:rsid w:val="00614B83"/>
    <w:rsid w:val="00614FDF"/>
    <w:rsid w:val="00614FEC"/>
    <w:rsid w:val="00615BF3"/>
    <w:rsid w:val="00615D13"/>
    <w:rsid w:val="00616F38"/>
    <w:rsid w:val="00617210"/>
    <w:rsid w:val="00617283"/>
    <w:rsid w:val="00617425"/>
    <w:rsid w:val="006174DF"/>
    <w:rsid w:val="0062076A"/>
    <w:rsid w:val="00620AEB"/>
    <w:rsid w:val="00620ED6"/>
    <w:rsid w:val="00620F6C"/>
    <w:rsid w:val="006210F9"/>
    <w:rsid w:val="00621BDF"/>
    <w:rsid w:val="00621C34"/>
    <w:rsid w:val="00621F89"/>
    <w:rsid w:val="006228AE"/>
    <w:rsid w:val="00622B25"/>
    <w:rsid w:val="006231A5"/>
    <w:rsid w:val="006239E4"/>
    <w:rsid w:val="006256B7"/>
    <w:rsid w:val="006256D9"/>
    <w:rsid w:val="00625948"/>
    <w:rsid w:val="00625D1A"/>
    <w:rsid w:val="006260B4"/>
    <w:rsid w:val="00626940"/>
    <w:rsid w:val="0062703B"/>
    <w:rsid w:val="006272D5"/>
    <w:rsid w:val="00627654"/>
    <w:rsid w:val="006301BD"/>
    <w:rsid w:val="006302D2"/>
    <w:rsid w:val="00630864"/>
    <w:rsid w:val="0063092D"/>
    <w:rsid w:val="00630F49"/>
    <w:rsid w:val="0063214C"/>
    <w:rsid w:val="00633580"/>
    <w:rsid w:val="0063372E"/>
    <w:rsid w:val="00633785"/>
    <w:rsid w:val="0063387E"/>
    <w:rsid w:val="00633BD4"/>
    <w:rsid w:val="006351CE"/>
    <w:rsid w:val="00635FE5"/>
    <w:rsid w:val="00635FFA"/>
    <w:rsid w:val="006368D5"/>
    <w:rsid w:val="00637334"/>
    <w:rsid w:val="00640037"/>
    <w:rsid w:val="0064190F"/>
    <w:rsid w:val="00641D23"/>
    <w:rsid w:val="006426C7"/>
    <w:rsid w:val="00642712"/>
    <w:rsid w:val="0064411C"/>
    <w:rsid w:val="006446FD"/>
    <w:rsid w:val="006455D7"/>
    <w:rsid w:val="00645898"/>
    <w:rsid w:val="00645CA8"/>
    <w:rsid w:val="00646A9E"/>
    <w:rsid w:val="00646B75"/>
    <w:rsid w:val="006476CB"/>
    <w:rsid w:val="006476DB"/>
    <w:rsid w:val="00647995"/>
    <w:rsid w:val="00647A2F"/>
    <w:rsid w:val="00650075"/>
    <w:rsid w:val="00650456"/>
    <w:rsid w:val="00650BBE"/>
    <w:rsid w:val="00650D46"/>
    <w:rsid w:val="0065179E"/>
    <w:rsid w:val="006518CF"/>
    <w:rsid w:val="00651C2C"/>
    <w:rsid w:val="006534F3"/>
    <w:rsid w:val="00653E48"/>
    <w:rsid w:val="0065418C"/>
    <w:rsid w:val="006544E5"/>
    <w:rsid w:val="00654873"/>
    <w:rsid w:val="00654AE1"/>
    <w:rsid w:val="00655058"/>
    <w:rsid w:val="0065533E"/>
    <w:rsid w:val="00655591"/>
    <w:rsid w:val="0065589E"/>
    <w:rsid w:val="006558D9"/>
    <w:rsid w:val="00656067"/>
    <w:rsid w:val="00656CD8"/>
    <w:rsid w:val="00656DE5"/>
    <w:rsid w:val="00657388"/>
    <w:rsid w:val="00657544"/>
    <w:rsid w:val="00660152"/>
    <w:rsid w:val="00660D35"/>
    <w:rsid w:val="00661145"/>
    <w:rsid w:val="0066321D"/>
    <w:rsid w:val="0066415E"/>
    <w:rsid w:val="006641E2"/>
    <w:rsid w:val="0066425D"/>
    <w:rsid w:val="00664298"/>
    <w:rsid w:val="00664665"/>
    <w:rsid w:val="00664786"/>
    <w:rsid w:val="00664BCE"/>
    <w:rsid w:val="00664D34"/>
    <w:rsid w:val="00664E2C"/>
    <w:rsid w:val="006656FC"/>
    <w:rsid w:val="00665E6C"/>
    <w:rsid w:val="006668EB"/>
    <w:rsid w:val="00667150"/>
    <w:rsid w:val="00667996"/>
    <w:rsid w:val="00667B9A"/>
    <w:rsid w:val="00667C3F"/>
    <w:rsid w:val="006709EF"/>
    <w:rsid w:val="00670A74"/>
    <w:rsid w:val="006719F0"/>
    <w:rsid w:val="00672DA9"/>
    <w:rsid w:val="006732EB"/>
    <w:rsid w:val="0067441A"/>
    <w:rsid w:val="00674B64"/>
    <w:rsid w:val="006751A9"/>
    <w:rsid w:val="00675787"/>
    <w:rsid w:val="006759AE"/>
    <w:rsid w:val="006764CD"/>
    <w:rsid w:val="00677433"/>
    <w:rsid w:val="006776AE"/>
    <w:rsid w:val="006776FC"/>
    <w:rsid w:val="006778F8"/>
    <w:rsid w:val="00677D5F"/>
    <w:rsid w:val="00680D10"/>
    <w:rsid w:val="00680FFB"/>
    <w:rsid w:val="00681704"/>
    <w:rsid w:val="00681893"/>
    <w:rsid w:val="00682869"/>
    <w:rsid w:val="00682C0F"/>
    <w:rsid w:val="00684095"/>
    <w:rsid w:val="00684449"/>
    <w:rsid w:val="0068474C"/>
    <w:rsid w:val="006851AE"/>
    <w:rsid w:val="00686487"/>
    <w:rsid w:val="00686804"/>
    <w:rsid w:val="00686921"/>
    <w:rsid w:val="006878FF"/>
    <w:rsid w:val="006911AB"/>
    <w:rsid w:val="00691620"/>
    <w:rsid w:val="0069171F"/>
    <w:rsid w:val="00691898"/>
    <w:rsid w:val="00691B01"/>
    <w:rsid w:val="00691DD1"/>
    <w:rsid w:val="00691E57"/>
    <w:rsid w:val="006933FB"/>
    <w:rsid w:val="006934CA"/>
    <w:rsid w:val="00693863"/>
    <w:rsid w:val="00693BAE"/>
    <w:rsid w:val="0069438F"/>
    <w:rsid w:val="00694772"/>
    <w:rsid w:val="00694F71"/>
    <w:rsid w:val="006956D8"/>
    <w:rsid w:val="00695835"/>
    <w:rsid w:val="00695C39"/>
    <w:rsid w:val="00696CC0"/>
    <w:rsid w:val="00696FC5"/>
    <w:rsid w:val="006971F0"/>
    <w:rsid w:val="00697992"/>
    <w:rsid w:val="00697B51"/>
    <w:rsid w:val="00697E44"/>
    <w:rsid w:val="006A0234"/>
    <w:rsid w:val="006A0B7F"/>
    <w:rsid w:val="006A0E88"/>
    <w:rsid w:val="006A1380"/>
    <w:rsid w:val="006A1865"/>
    <w:rsid w:val="006A23F5"/>
    <w:rsid w:val="006A2405"/>
    <w:rsid w:val="006A24E0"/>
    <w:rsid w:val="006A2D8D"/>
    <w:rsid w:val="006A3653"/>
    <w:rsid w:val="006A3F60"/>
    <w:rsid w:val="006A46F7"/>
    <w:rsid w:val="006A4C58"/>
    <w:rsid w:val="006A56A5"/>
    <w:rsid w:val="006A59D1"/>
    <w:rsid w:val="006A624A"/>
    <w:rsid w:val="006A638F"/>
    <w:rsid w:val="006A65D1"/>
    <w:rsid w:val="006A6748"/>
    <w:rsid w:val="006A68D6"/>
    <w:rsid w:val="006A6FA4"/>
    <w:rsid w:val="006A7272"/>
    <w:rsid w:val="006A7CB9"/>
    <w:rsid w:val="006A7D35"/>
    <w:rsid w:val="006A7D4A"/>
    <w:rsid w:val="006A7FB8"/>
    <w:rsid w:val="006B0550"/>
    <w:rsid w:val="006B08BA"/>
    <w:rsid w:val="006B0B6F"/>
    <w:rsid w:val="006B1299"/>
    <w:rsid w:val="006B19F0"/>
    <w:rsid w:val="006B1CBD"/>
    <w:rsid w:val="006B2111"/>
    <w:rsid w:val="006B296B"/>
    <w:rsid w:val="006B3C79"/>
    <w:rsid w:val="006B3FC8"/>
    <w:rsid w:val="006B455B"/>
    <w:rsid w:val="006B4666"/>
    <w:rsid w:val="006B51BD"/>
    <w:rsid w:val="006B5E74"/>
    <w:rsid w:val="006B72EA"/>
    <w:rsid w:val="006B7D42"/>
    <w:rsid w:val="006C0540"/>
    <w:rsid w:val="006C0737"/>
    <w:rsid w:val="006C0EC8"/>
    <w:rsid w:val="006C1119"/>
    <w:rsid w:val="006C1632"/>
    <w:rsid w:val="006C200F"/>
    <w:rsid w:val="006C298F"/>
    <w:rsid w:val="006C2D35"/>
    <w:rsid w:val="006C2D42"/>
    <w:rsid w:val="006C2ECB"/>
    <w:rsid w:val="006C3C96"/>
    <w:rsid w:val="006C3D2B"/>
    <w:rsid w:val="006C3F9B"/>
    <w:rsid w:val="006C5116"/>
    <w:rsid w:val="006C5994"/>
    <w:rsid w:val="006C5EC9"/>
    <w:rsid w:val="006C6579"/>
    <w:rsid w:val="006C66EF"/>
    <w:rsid w:val="006C6C87"/>
    <w:rsid w:val="006C6DE4"/>
    <w:rsid w:val="006C6E12"/>
    <w:rsid w:val="006C72B5"/>
    <w:rsid w:val="006C74FF"/>
    <w:rsid w:val="006C7759"/>
    <w:rsid w:val="006C7D34"/>
    <w:rsid w:val="006C7F1D"/>
    <w:rsid w:val="006D0036"/>
    <w:rsid w:val="006D0417"/>
    <w:rsid w:val="006D0780"/>
    <w:rsid w:val="006D0ADF"/>
    <w:rsid w:val="006D0F0A"/>
    <w:rsid w:val="006D1207"/>
    <w:rsid w:val="006D1B1B"/>
    <w:rsid w:val="006D2C1E"/>
    <w:rsid w:val="006D3235"/>
    <w:rsid w:val="006D3332"/>
    <w:rsid w:val="006D361E"/>
    <w:rsid w:val="006D36CD"/>
    <w:rsid w:val="006D3F36"/>
    <w:rsid w:val="006D43E3"/>
    <w:rsid w:val="006D4542"/>
    <w:rsid w:val="006D47C4"/>
    <w:rsid w:val="006D557A"/>
    <w:rsid w:val="006D5652"/>
    <w:rsid w:val="006D5C93"/>
    <w:rsid w:val="006D7043"/>
    <w:rsid w:val="006D725C"/>
    <w:rsid w:val="006D7B81"/>
    <w:rsid w:val="006E0BC8"/>
    <w:rsid w:val="006E0F59"/>
    <w:rsid w:val="006E235C"/>
    <w:rsid w:val="006E28D3"/>
    <w:rsid w:val="006E2BB8"/>
    <w:rsid w:val="006E39D4"/>
    <w:rsid w:val="006E4251"/>
    <w:rsid w:val="006E47E1"/>
    <w:rsid w:val="006E5277"/>
    <w:rsid w:val="006E57FE"/>
    <w:rsid w:val="006E5C86"/>
    <w:rsid w:val="006E5EED"/>
    <w:rsid w:val="006E6740"/>
    <w:rsid w:val="006F0985"/>
    <w:rsid w:val="006F1262"/>
    <w:rsid w:val="006F14A2"/>
    <w:rsid w:val="006F1A0E"/>
    <w:rsid w:val="006F28F4"/>
    <w:rsid w:val="006F2994"/>
    <w:rsid w:val="006F2A46"/>
    <w:rsid w:val="006F2B17"/>
    <w:rsid w:val="006F3449"/>
    <w:rsid w:val="006F434F"/>
    <w:rsid w:val="006F488F"/>
    <w:rsid w:val="006F4CE3"/>
    <w:rsid w:val="006F4EB7"/>
    <w:rsid w:val="006F4ED6"/>
    <w:rsid w:val="006F5005"/>
    <w:rsid w:val="006F5580"/>
    <w:rsid w:val="006F5660"/>
    <w:rsid w:val="006F59DA"/>
    <w:rsid w:val="006F5B6E"/>
    <w:rsid w:val="006F6E12"/>
    <w:rsid w:val="006F794E"/>
    <w:rsid w:val="006F7A92"/>
    <w:rsid w:val="006F7FF1"/>
    <w:rsid w:val="00700232"/>
    <w:rsid w:val="00700469"/>
    <w:rsid w:val="007005A7"/>
    <w:rsid w:val="00700837"/>
    <w:rsid w:val="007008C2"/>
    <w:rsid w:val="00701C50"/>
    <w:rsid w:val="00702A42"/>
    <w:rsid w:val="00702C44"/>
    <w:rsid w:val="00703593"/>
    <w:rsid w:val="00703AA3"/>
    <w:rsid w:val="00703B09"/>
    <w:rsid w:val="00703C4F"/>
    <w:rsid w:val="00703D4A"/>
    <w:rsid w:val="007043E8"/>
    <w:rsid w:val="007051D4"/>
    <w:rsid w:val="007053B0"/>
    <w:rsid w:val="007053DC"/>
    <w:rsid w:val="00705984"/>
    <w:rsid w:val="00706299"/>
    <w:rsid w:val="00706E54"/>
    <w:rsid w:val="007077CA"/>
    <w:rsid w:val="00707EE5"/>
    <w:rsid w:val="007106E3"/>
    <w:rsid w:val="00710B16"/>
    <w:rsid w:val="00711938"/>
    <w:rsid w:val="00711EB7"/>
    <w:rsid w:val="00712216"/>
    <w:rsid w:val="007142E2"/>
    <w:rsid w:val="00714358"/>
    <w:rsid w:val="00714C1E"/>
    <w:rsid w:val="00714E9A"/>
    <w:rsid w:val="00714FB9"/>
    <w:rsid w:val="007155CF"/>
    <w:rsid w:val="00715E50"/>
    <w:rsid w:val="00716660"/>
    <w:rsid w:val="007167F1"/>
    <w:rsid w:val="00716BC2"/>
    <w:rsid w:val="00716CD4"/>
    <w:rsid w:val="00716E0B"/>
    <w:rsid w:val="00717927"/>
    <w:rsid w:val="00717CBE"/>
    <w:rsid w:val="00720042"/>
    <w:rsid w:val="007217EA"/>
    <w:rsid w:val="00721D00"/>
    <w:rsid w:val="00721EA3"/>
    <w:rsid w:val="00721EBB"/>
    <w:rsid w:val="0072206B"/>
    <w:rsid w:val="00722815"/>
    <w:rsid w:val="00723CAE"/>
    <w:rsid w:val="00723F04"/>
    <w:rsid w:val="00724115"/>
    <w:rsid w:val="007248C7"/>
    <w:rsid w:val="0072518D"/>
    <w:rsid w:val="0072565C"/>
    <w:rsid w:val="00725848"/>
    <w:rsid w:val="007263C4"/>
    <w:rsid w:val="00730187"/>
    <w:rsid w:val="007301EF"/>
    <w:rsid w:val="00730B34"/>
    <w:rsid w:val="00731943"/>
    <w:rsid w:val="00731B5C"/>
    <w:rsid w:val="00731DF1"/>
    <w:rsid w:val="0073298E"/>
    <w:rsid w:val="00732DB2"/>
    <w:rsid w:val="00732ED2"/>
    <w:rsid w:val="00733216"/>
    <w:rsid w:val="00733644"/>
    <w:rsid w:val="007341DD"/>
    <w:rsid w:val="0073441B"/>
    <w:rsid w:val="00734785"/>
    <w:rsid w:val="00734A13"/>
    <w:rsid w:val="00734A5B"/>
    <w:rsid w:val="00734D93"/>
    <w:rsid w:val="0073539A"/>
    <w:rsid w:val="00735924"/>
    <w:rsid w:val="00735A06"/>
    <w:rsid w:val="00735E36"/>
    <w:rsid w:val="0073626A"/>
    <w:rsid w:val="00736640"/>
    <w:rsid w:val="00736A3B"/>
    <w:rsid w:val="00736F17"/>
    <w:rsid w:val="0073723B"/>
    <w:rsid w:val="00737CE7"/>
    <w:rsid w:val="007407FF"/>
    <w:rsid w:val="00740A4E"/>
    <w:rsid w:val="007417DA"/>
    <w:rsid w:val="0074246E"/>
    <w:rsid w:val="007424BC"/>
    <w:rsid w:val="007427CC"/>
    <w:rsid w:val="00742CAE"/>
    <w:rsid w:val="0074300F"/>
    <w:rsid w:val="00743059"/>
    <w:rsid w:val="00743732"/>
    <w:rsid w:val="00743B64"/>
    <w:rsid w:val="00744CF6"/>
    <w:rsid w:val="00744E76"/>
    <w:rsid w:val="0074557F"/>
    <w:rsid w:val="00745D0A"/>
    <w:rsid w:val="00746076"/>
    <w:rsid w:val="007462CE"/>
    <w:rsid w:val="007463F5"/>
    <w:rsid w:val="00746FDC"/>
    <w:rsid w:val="007471A8"/>
    <w:rsid w:val="0074789E"/>
    <w:rsid w:val="00747E28"/>
    <w:rsid w:val="00747EA6"/>
    <w:rsid w:val="00747F46"/>
    <w:rsid w:val="00750CC5"/>
    <w:rsid w:val="007513EE"/>
    <w:rsid w:val="00751A72"/>
    <w:rsid w:val="007520DB"/>
    <w:rsid w:val="00752151"/>
    <w:rsid w:val="0075304B"/>
    <w:rsid w:val="00753780"/>
    <w:rsid w:val="007538C4"/>
    <w:rsid w:val="00753E51"/>
    <w:rsid w:val="00753F73"/>
    <w:rsid w:val="00754C41"/>
    <w:rsid w:val="00754FC4"/>
    <w:rsid w:val="007554A0"/>
    <w:rsid w:val="007566E6"/>
    <w:rsid w:val="0075681D"/>
    <w:rsid w:val="00756D52"/>
    <w:rsid w:val="007573A5"/>
    <w:rsid w:val="00757E87"/>
    <w:rsid w:val="0076197D"/>
    <w:rsid w:val="00762254"/>
    <w:rsid w:val="007631A3"/>
    <w:rsid w:val="00763EC0"/>
    <w:rsid w:val="007641B4"/>
    <w:rsid w:val="00764A79"/>
    <w:rsid w:val="00764ECC"/>
    <w:rsid w:val="00765B24"/>
    <w:rsid w:val="007661C9"/>
    <w:rsid w:val="0076627C"/>
    <w:rsid w:val="007662B2"/>
    <w:rsid w:val="007664BF"/>
    <w:rsid w:val="00766E9B"/>
    <w:rsid w:val="007671C1"/>
    <w:rsid w:val="00767BAE"/>
    <w:rsid w:val="00767C05"/>
    <w:rsid w:val="00770402"/>
    <w:rsid w:val="00770807"/>
    <w:rsid w:val="00770F31"/>
    <w:rsid w:val="00771993"/>
    <w:rsid w:val="00771AFA"/>
    <w:rsid w:val="00771C62"/>
    <w:rsid w:val="00771E0C"/>
    <w:rsid w:val="00772F74"/>
    <w:rsid w:val="00774057"/>
    <w:rsid w:val="0077464A"/>
    <w:rsid w:val="007746A9"/>
    <w:rsid w:val="007750EF"/>
    <w:rsid w:val="00775717"/>
    <w:rsid w:val="00775848"/>
    <w:rsid w:val="007761BD"/>
    <w:rsid w:val="00776597"/>
    <w:rsid w:val="0077680B"/>
    <w:rsid w:val="00776A90"/>
    <w:rsid w:val="007775CE"/>
    <w:rsid w:val="00777893"/>
    <w:rsid w:val="00777EC6"/>
    <w:rsid w:val="0078093B"/>
    <w:rsid w:val="00781199"/>
    <w:rsid w:val="007811D7"/>
    <w:rsid w:val="00781F0F"/>
    <w:rsid w:val="007820C0"/>
    <w:rsid w:val="00782B27"/>
    <w:rsid w:val="00783266"/>
    <w:rsid w:val="007839BB"/>
    <w:rsid w:val="007853FC"/>
    <w:rsid w:val="007863A9"/>
    <w:rsid w:val="007867D4"/>
    <w:rsid w:val="00786C9C"/>
    <w:rsid w:val="00787702"/>
    <w:rsid w:val="00787B09"/>
    <w:rsid w:val="00791FB3"/>
    <w:rsid w:val="00793667"/>
    <w:rsid w:val="00793793"/>
    <w:rsid w:val="00793AE3"/>
    <w:rsid w:val="00793CF9"/>
    <w:rsid w:val="00794199"/>
    <w:rsid w:val="00794F3B"/>
    <w:rsid w:val="00795BCB"/>
    <w:rsid w:val="00795F1F"/>
    <w:rsid w:val="00795F73"/>
    <w:rsid w:val="00796A8C"/>
    <w:rsid w:val="00796F80"/>
    <w:rsid w:val="007974E0"/>
    <w:rsid w:val="00797F1D"/>
    <w:rsid w:val="00797F43"/>
    <w:rsid w:val="007A0C14"/>
    <w:rsid w:val="007A0E0A"/>
    <w:rsid w:val="007A2640"/>
    <w:rsid w:val="007A28EE"/>
    <w:rsid w:val="007A2C3C"/>
    <w:rsid w:val="007A33B1"/>
    <w:rsid w:val="007A376F"/>
    <w:rsid w:val="007A3F06"/>
    <w:rsid w:val="007A4280"/>
    <w:rsid w:val="007A4482"/>
    <w:rsid w:val="007A457E"/>
    <w:rsid w:val="007A4580"/>
    <w:rsid w:val="007A52C5"/>
    <w:rsid w:val="007A57A2"/>
    <w:rsid w:val="007A5E1E"/>
    <w:rsid w:val="007A6A57"/>
    <w:rsid w:val="007A6D4C"/>
    <w:rsid w:val="007A6FC2"/>
    <w:rsid w:val="007A75D2"/>
    <w:rsid w:val="007A76F6"/>
    <w:rsid w:val="007A7FC5"/>
    <w:rsid w:val="007B0473"/>
    <w:rsid w:val="007B04D9"/>
    <w:rsid w:val="007B10C0"/>
    <w:rsid w:val="007B13A4"/>
    <w:rsid w:val="007B1561"/>
    <w:rsid w:val="007B166B"/>
    <w:rsid w:val="007B17DD"/>
    <w:rsid w:val="007B1B08"/>
    <w:rsid w:val="007B1F6A"/>
    <w:rsid w:val="007B24E3"/>
    <w:rsid w:val="007B2AE1"/>
    <w:rsid w:val="007B3455"/>
    <w:rsid w:val="007B467B"/>
    <w:rsid w:val="007B4945"/>
    <w:rsid w:val="007B4EFE"/>
    <w:rsid w:val="007B543E"/>
    <w:rsid w:val="007B599F"/>
    <w:rsid w:val="007B5E36"/>
    <w:rsid w:val="007B5FBF"/>
    <w:rsid w:val="007B5FC4"/>
    <w:rsid w:val="007B626D"/>
    <w:rsid w:val="007B67CC"/>
    <w:rsid w:val="007B77FB"/>
    <w:rsid w:val="007C03DB"/>
    <w:rsid w:val="007C1291"/>
    <w:rsid w:val="007C15E1"/>
    <w:rsid w:val="007C1FA8"/>
    <w:rsid w:val="007C2E86"/>
    <w:rsid w:val="007C37DF"/>
    <w:rsid w:val="007C381C"/>
    <w:rsid w:val="007C3A57"/>
    <w:rsid w:val="007C4534"/>
    <w:rsid w:val="007C46F5"/>
    <w:rsid w:val="007C4940"/>
    <w:rsid w:val="007C55F6"/>
    <w:rsid w:val="007C5863"/>
    <w:rsid w:val="007C5881"/>
    <w:rsid w:val="007C5FF2"/>
    <w:rsid w:val="007C63BF"/>
    <w:rsid w:val="007C6A37"/>
    <w:rsid w:val="007C6E20"/>
    <w:rsid w:val="007C6E5D"/>
    <w:rsid w:val="007C6EE8"/>
    <w:rsid w:val="007C7560"/>
    <w:rsid w:val="007D0125"/>
    <w:rsid w:val="007D02E6"/>
    <w:rsid w:val="007D0CEC"/>
    <w:rsid w:val="007D0E33"/>
    <w:rsid w:val="007D1229"/>
    <w:rsid w:val="007D1430"/>
    <w:rsid w:val="007D225B"/>
    <w:rsid w:val="007D226B"/>
    <w:rsid w:val="007D2333"/>
    <w:rsid w:val="007D2B70"/>
    <w:rsid w:val="007D3137"/>
    <w:rsid w:val="007D345E"/>
    <w:rsid w:val="007D3FC6"/>
    <w:rsid w:val="007D6721"/>
    <w:rsid w:val="007D6849"/>
    <w:rsid w:val="007D6A92"/>
    <w:rsid w:val="007D7580"/>
    <w:rsid w:val="007D7DCC"/>
    <w:rsid w:val="007E0850"/>
    <w:rsid w:val="007E0D2E"/>
    <w:rsid w:val="007E1148"/>
    <w:rsid w:val="007E11B1"/>
    <w:rsid w:val="007E2DFC"/>
    <w:rsid w:val="007E3281"/>
    <w:rsid w:val="007E328E"/>
    <w:rsid w:val="007E3348"/>
    <w:rsid w:val="007E3BB0"/>
    <w:rsid w:val="007E47D5"/>
    <w:rsid w:val="007E4889"/>
    <w:rsid w:val="007E50E0"/>
    <w:rsid w:val="007E5194"/>
    <w:rsid w:val="007E5334"/>
    <w:rsid w:val="007E57CD"/>
    <w:rsid w:val="007E5D63"/>
    <w:rsid w:val="007E6322"/>
    <w:rsid w:val="007E655A"/>
    <w:rsid w:val="007F053A"/>
    <w:rsid w:val="007F0D50"/>
    <w:rsid w:val="007F131A"/>
    <w:rsid w:val="007F2B66"/>
    <w:rsid w:val="007F2E7C"/>
    <w:rsid w:val="007F3A4C"/>
    <w:rsid w:val="007F3F5F"/>
    <w:rsid w:val="007F3FC0"/>
    <w:rsid w:val="007F400D"/>
    <w:rsid w:val="007F4011"/>
    <w:rsid w:val="007F4417"/>
    <w:rsid w:val="007F4C9A"/>
    <w:rsid w:val="007F519D"/>
    <w:rsid w:val="007F6BD9"/>
    <w:rsid w:val="007F6D15"/>
    <w:rsid w:val="007F7239"/>
    <w:rsid w:val="00800040"/>
    <w:rsid w:val="0080174B"/>
    <w:rsid w:val="00801C93"/>
    <w:rsid w:val="00801E5D"/>
    <w:rsid w:val="00802692"/>
    <w:rsid w:val="00802860"/>
    <w:rsid w:val="008028A4"/>
    <w:rsid w:val="00802A28"/>
    <w:rsid w:val="00803342"/>
    <w:rsid w:val="00803F9D"/>
    <w:rsid w:val="008043E9"/>
    <w:rsid w:val="00804B5D"/>
    <w:rsid w:val="00804F6D"/>
    <w:rsid w:val="00805965"/>
    <w:rsid w:val="00805ECE"/>
    <w:rsid w:val="00806568"/>
    <w:rsid w:val="00806ACF"/>
    <w:rsid w:val="008079DE"/>
    <w:rsid w:val="00807EB7"/>
    <w:rsid w:val="008101D5"/>
    <w:rsid w:val="0081029F"/>
    <w:rsid w:val="008111FE"/>
    <w:rsid w:val="00811A50"/>
    <w:rsid w:val="00812304"/>
    <w:rsid w:val="008124BE"/>
    <w:rsid w:val="00812DCB"/>
    <w:rsid w:val="00813383"/>
    <w:rsid w:val="00813620"/>
    <w:rsid w:val="008146DE"/>
    <w:rsid w:val="00814CCF"/>
    <w:rsid w:val="00814F7C"/>
    <w:rsid w:val="00815008"/>
    <w:rsid w:val="00815486"/>
    <w:rsid w:val="00816CB6"/>
    <w:rsid w:val="008177B2"/>
    <w:rsid w:val="00820218"/>
    <w:rsid w:val="008202BB"/>
    <w:rsid w:val="008202C7"/>
    <w:rsid w:val="008209B0"/>
    <w:rsid w:val="00820C40"/>
    <w:rsid w:val="008210F1"/>
    <w:rsid w:val="00821C27"/>
    <w:rsid w:val="00821F5A"/>
    <w:rsid w:val="00822211"/>
    <w:rsid w:val="00822375"/>
    <w:rsid w:val="00822C68"/>
    <w:rsid w:val="00822D0C"/>
    <w:rsid w:val="0082456A"/>
    <w:rsid w:val="00824925"/>
    <w:rsid w:val="00824E2F"/>
    <w:rsid w:val="00825AAB"/>
    <w:rsid w:val="00826430"/>
    <w:rsid w:val="008265B4"/>
    <w:rsid w:val="00827E21"/>
    <w:rsid w:val="00830087"/>
    <w:rsid w:val="008301E0"/>
    <w:rsid w:val="008317CE"/>
    <w:rsid w:val="00831BB3"/>
    <w:rsid w:val="00831C7E"/>
    <w:rsid w:val="00831E3B"/>
    <w:rsid w:val="008321F9"/>
    <w:rsid w:val="0083224C"/>
    <w:rsid w:val="00832B09"/>
    <w:rsid w:val="00833179"/>
    <w:rsid w:val="00833C31"/>
    <w:rsid w:val="00834256"/>
    <w:rsid w:val="008343EE"/>
    <w:rsid w:val="008343F6"/>
    <w:rsid w:val="0083456E"/>
    <w:rsid w:val="00834727"/>
    <w:rsid w:val="008356AB"/>
    <w:rsid w:val="00835B61"/>
    <w:rsid w:val="00836029"/>
    <w:rsid w:val="00836543"/>
    <w:rsid w:val="00836549"/>
    <w:rsid w:val="008370BD"/>
    <w:rsid w:val="00837341"/>
    <w:rsid w:val="008376B9"/>
    <w:rsid w:val="008377B4"/>
    <w:rsid w:val="00840498"/>
    <w:rsid w:val="00840CCD"/>
    <w:rsid w:val="00841002"/>
    <w:rsid w:val="008410FB"/>
    <w:rsid w:val="00841124"/>
    <w:rsid w:val="00842CE5"/>
    <w:rsid w:val="00843165"/>
    <w:rsid w:val="0084366E"/>
    <w:rsid w:val="0084588B"/>
    <w:rsid w:val="008462AA"/>
    <w:rsid w:val="00846690"/>
    <w:rsid w:val="00846EFA"/>
    <w:rsid w:val="00847196"/>
    <w:rsid w:val="00850326"/>
    <w:rsid w:val="00850A10"/>
    <w:rsid w:val="00851566"/>
    <w:rsid w:val="00851B0E"/>
    <w:rsid w:val="00851C9E"/>
    <w:rsid w:val="00852AE5"/>
    <w:rsid w:val="00853804"/>
    <w:rsid w:val="00853AE1"/>
    <w:rsid w:val="00853D7A"/>
    <w:rsid w:val="00854371"/>
    <w:rsid w:val="0085445A"/>
    <w:rsid w:val="00854D51"/>
    <w:rsid w:val="00854F19"/>
    <w:rsid w:val="0085520A"/>
    <w:rsid w:val="0085601F"/>
    <w:rsid w:val="0085690F"/>
    <w:rsid w:val="00857298"/>
    <w:rsid w:val="0085735B"/>
    <w:rsid w:val="0086045E"/>
    <w:rsid w:val="00860715"/>
    <w:rsid w:val="00860BD4"/>
    <w:rsid w:val="00861219"/>
    <w:rsid w:val="008619CA"/>
    <w:rsid w:val="00861BE3"/>
    <w:rsid w:val="00861D86"/>
    <w:rsid w:val="008628F4"/>
    <w:rsid w:val="00862A0C"/>
    <w:rsid w:val="00862D22"/>
    <w:rsid w:val="00863115"/>
    <w:rsid w:val="00863958"/>
    <w:rsid w:val="00864959"/>
    <w:rsid w:val="00865387"/>
    <w:rsid w:val="008657BC"/>
    <w:rsid w:val="00865980"/>
    <w:rsid w:val="00865B8C"/>
    <w:rsid w:val="00865BA8"/>
    <w:rsid w:val="00865F4F"/>
    <w:rsid w:val="00867D3A"/>
    <w:rsid w:val="00867E51"/>
    <w:rsid w:val="008700B3"/>
    <w:rsid w:val="00870B0E"/>
    <w:rsid w:val="00870DB4"/>
    <w:rsid w:val="00871017"/>
    <w:rsid w:val="00871DFC"/>
    <w:rsid w:val="0087239D"/>
    <w:rsid w:val="00872A10"/>
    <w:rsid w:val="00872C9B"/>
    <w:rsid w:val="0087482D"/>
    <w:rsid w:val="00874AD1"/>
    <w:rsid w:val="0087554D"/>
    <w:rsid w:val="008758DD"/>
    <w:rsid w:val="00875EEC"/>
    <w:rsid w:val="00876510"/>
    <w:rsid w:val="00876517"/>
    <w:rsid w:val="008768CA"/>
    <w:rsid w:val="00876958"/>
    <w:rsid w:val="00876A4E"/>
    <w:rsid w:val="00877A71"/>
    <w:rsid w:val="00877F17"/>
    <w:rsid w:val="008808A9"/>
    <w:rsid w:val="00880D2B"/>
    <w:rsid w:val="00880D50"/>
    <w:rsid w:val="00881D7B"/>
    <w:rsid w:val="00881E75"/>
    <w:rsid w:val="00882B56"/>
    <w:rsid w:val="00883802"/>
    <w:rsid w:val="00883C92"/>
    <w:rsid w:val="00883EEB"/>
    <w:rsid w:val="00884079"/>
    <w:rsid w:val="008840E7"/>
    <w:rsid w:val="00884F56"/>
    <w:rsid w:val="008852B5"/>
    <w:rsid w:val="00885DAD"/>
    <w:rsid w:val="00885F53"/>
    <w:rsid w:val="00887560"/>
    <w:rsid w:val="008876F5"/>
    <w:rsid w:val="00887846"/>
    <w:rsid w:val="00887995"/>
    <w:rsid w:val="00887BA6"/>
    <w:rsid w:val="008903D9"/>
    <w:rsid w:val="00891DB0"/>
    <w:rsid w:val="008923DC"/>
    <w:rsid w:val="00892E3D"/>
    <w:rsid w:val="00893452"/>
    <w:rsid w:val="008935F7"/>
    <w:rsid w:val="00894167"/>
    <w:rsid w:val="008944BB"/>
    <w:rsid w:val="008951AC"/>
    <w:rsid w:val="0089538D"/>
    <w:rsid w:val="00895E6E"/>
    <w:rsid w:val="00895EE5"/>
    <w:rsid w:val="008963D4"/>
    <w:rsid w:val="00896D10"/>
    <w:rsid w:val="00896D62"/>
    <w:rsid w:val="00897C36"/>
    <w:rsid w:val="008A0222"/>
    <w:rsid w:val="008A0C0B"/>
    <w:rsid w:val="008A10AB"/>
    <w:rsid w:val="008A1154"/>
    <w:rsid w:val="008A1180"/>
    <w:rsid w:val="008A11F3"/>
    <w:rsid w:val="008A2C8C"/>
    <w:rsid w:val="008A3690"/>
    <w:rsid w:val="008A37D5"/>
    <w:rsid w:val="008A3B7A"/>
    <w:rsid w:val="008A43CC"/>
    <w:rsid w:val="008A457B"/>
    <w:rsid w:val="008A527E"/>
    <w:rsid w:val="008A5312"/>
    <w:rsid w:val="008A53DB"/>
    <w:rsid w:val="008A5719"/>
    <w:rsid w:val="008A6675"/>
    <w:rsid w:val="008A6EF7"/>
    <w:rsid w:val="008A7325"/>
    <w:rsid w:val="008A73FF"/>
    <w:rsid w:val="008A7537"/>
    <w:rsid w:val="008A7648"/>
    <w:rsid w:val="008A7C10"/>
    <w:rsid w:val="008B0625"/>
    <w:rsid w:val="008B328E"/>
    <w:rsid w:val="008B3A4A"/>
    <w:rsid w:val="008B3B16"/>
    <w:rsid w:val="008B3BDE"/>
    <w:rsid w:val="008B4CC8"/>
    <w:rsid w:val="008B4CFF"/>
    <w:rsid w:val="008B5183"/>
    <w:rsid w:val="008B5C3E"/>
    <w:rsid w:val="008B5D23"/>
    <w:rsid w:val="008B5E29"/>
    <w:rsid w:val="008B5E5F"/>
    <w:rsid w:val="008B692C"/>
    <w:rsid w:val="008B6AFC"/>
    <w:rsid w:val="008C090A"/>
    <w:rsid w:val="008C0DEE"/>
    <w:rsid w:val="008C12CF"/>
    <w:rsid w:val="008C198F"/>
    <w:rsid w:val="008C19BE"/>
    <w:rsid w:val="008C2012"/>
    <w:rsid w:val="008C2E70"/>
    <w:rsid w:val="008C3534"/>
    <w:rsid w:val="008C3ADD"/>
    <w:rsid w:val="008C4377"/>
    <w:rsid w:val="008C446F"/>
    <w:rsid w:val="008C48C8"/>
    <w:rsid w:val="008C577A"/>
    <w:rsid w:val="008C5C10"/>
    <w:rsid w:val="008C5E9E"/>
    <w:rsid w:val="008C5F78"/>
    <w:rsid w:val="008C6DE3"/>
    <w:rsid w:val="008C72F3"/>
    <w:rsid w:val="008C7E70"/>
    <w:rsid w:val="008C7F12"/>
    <w:rsid w:val="008D123B"/>
    <w:rsid w:val="008D1301"/>
    <w:rsid w:val="008D190A"/>
    <w:rsid w:val="008D1C21"/>
    <w:rsid w:val="008D2630"/>
    <w:rsid w:val="008D28A6"/>
    <w:rsid w:val="008D2A13"/>
    <w:rsid w:val="008D2E37"/>
    <w:rsid w:val="008D35BD"/>
    <w:rsid w:val="008D361E"/>
    <w:rsid w:val="008D4FD8"/>
    <w:rsid w:val="008D4FE8"/>
    <w:rsid w:val="008D5468"/>
    <w:rsid w:val="008D69A0"/>
    <w:rsid w:val="008D7002"/>
    <w:rsid w:val="008D754E"/>
    <w:rsid w:val="008E0152"/>
    <w:rsid w:val="008E08E5"/>
    <w:rsid w:val="008E0B2F"/>
    <w:rsid w:val="008E0D3D"/>
    <w:rsid w:val="008E1BDD"/>
    <w:rsid w:val="008E1DF5"/>
    <w:rsid w:val="008E1F3F"/>
    <w:rsid w:val="008E25FA"/>
    <w:rsid w:val="008E26A7"/>
    <w:rsid w:val="008E2873"/>
    <w:rsid w:val="008E37EA"/>
    <w:rsid w:val="008E4489"/>
    <w:rsid w:val="008E464E"/>
    <w:rsid w:val="008E491D"/>
    <w:rsid w:val="008E4EA6"/>
    <w:rsid w:val="008E58C9"/>
    <w:rsid w:val="008E6F1A"/>
    <w:rsid w:val="008E74D6"/>
    <w:rsid w:val="008E781E"/>
    <w:rsid w:val="008E789C"/>
    <w:rsid w:val="008E78F2"/>
    <w:rsid w:val="008E7C7A"/>
    <w:rsid w:val="008E7ED3"/>
    <w:rsid w:val="008E7EEC"/>
    <w:rsid w:val="008F034C"/>
    <w:rsid w:val="008F0A21"/>
    <w:rsid w:val="008F0F82"/>
    <w:rsid w:val="008F1319"/>
    <w:rsid w:val="008F17A7"/>
    <w:rsid w:val="008F196A"/>
    <w:rsid w:val="008F2489"/>
    <w:rsid w:val="008F2B3A"/>
    <w:rsid w:val="008F2C60"/>
    <w:rsid w:val="008F2CC8"/>
    <w:rsid w:val="008F2F48"/>
    <w:rsid w:val="008F3686"/>
    <w:rsid w:val="008F381D"/>
    <w:rsid w:val="008F3FE4"/>
    <w:rsid w:val="008F427A"/>
    <w:rsid w:val="008F49BE"/>
    <w:rsid w:val="008F54E5"/>
    <w:rsid w:val="008F612E"/>
    <w:rsid w:val="008F6229"/>
    <w:rsid w:val="008F6734"/>
    <w:rsid w:val="008F6AAB"/>
    <w:rsid w:val="008F7265"/>
    <w:rsid w:val="008F79A1"/>
    <w:rsid w:val="00900392"/>
    <w:rsid w:val="00900BC6"/>
    <w:rsid w:val="0090176B"/>
    <w:rsid w:val="0090182A"/>
    <w:rsid w:val="0090188A"/>
    <w:rsid w:val="0090246C"/>
    <w:rsid w:val="0090271F"/>
    <w:rsid w:val="00902C37"/>
    <w:rsid w:val="00902E23"/>
    <w:rsid w:val="00903273"/>
    <w:rsid w:val="00903645"/>
    <w:rsid w:val="009036C5"/>
    <w:rsid w:val="00903A7C"/>
    <w:rsid w:val="00904157"/>
    <w:rsid w:val="009041DD"/>
    <w:rsid w:val="0090440E"/>
    <w:rsid w:val="00905233"/>
    <w:rsid w:val="00905F46"/>
    <w:rsid w:val="0090646B"/>
    <w:rsid w:val="00906EF1"/>
    <w:rsid w:val="009079C4"/>
    <w:rsid w:val="00910422"/>
    <w:rsid w:val="0091085D"/>
    <w:rsid w:val="009108F0"/>
    <w:rsid w:val="00910BBC"/>
    <w:rsid w:val="00910CB1"/>
    <w:rsid w:val="009129CC"/>
    <w:rsid w:val="0091348E"/>
    <w:rsid w:val="0091407C"/>
    <w:rsid w:val="00914937"/>
    <w:rsid w:val="00914AFA"/>
    <w:rsid w:val="0091609B"/>
    <w:rsid w:val="0091633E"/>
    <w:rsid w:val="0091644F"/>
    <w:rsid w:val="00916483"/>
    <w:rsid w:val="00916645"/>
    <w:rsid w:val="00916ADE"/>
    <w:rsid w:val="009177F3"/>
    <w:rsid w:val="00917BA8"/>
    <w:rsid w:val="00917CCB"/>
    <w:rsid w:val="00920E86"/>
    <w:rsid w:val="0092165C"/>
    <w:rsid w:val="009219D2"/>
    <w:rsid w:val="00921D28"/>
    <w:rsid w:val="009225F8"/>
    <w:rsid w:val="00922D0C"/>
    <w:rsid w:val="00922E1B"/>
    <w:rsid w:val="00923675"/>
    <w:rsid w:val="009249D5"/>
    <w:rsid w:val="00924E80"/>
    <w:rsid w:val="00925714"/>
    <w:rsid w:val="0092700A"/>
    <w:rsid w:val="009300D6"/>
    <w:rsid w:val="00930224"/>
    <w:rsid w:val="0093097E"/>
    <w:rsid w:val="00930E00"/>
    <w:rsid w:val="0093101A"/>
    <w:rsid w:val="0093235B"/>
    <w:rsid w:val="0093237A"/>
    <w:rsid w:val="009323E2"/>
    <w:rsid w:val="00932D39"/>
    <w:rsid w:val="009335EA"/>
    <w:rsid w:val="0093403E"/>
    <w:rsid w:val="00934BE4"/>
    <w:rsid w:val="00935FD6"/>
    <w:rsid w:val="00936249"/>
    <w:rsid w:val="0093626E"/>
    <w:rsid w:val="00936A12"/>
    <w:rsid w:val="00936D2B"/>
    <w:rsid w:val="00936D51"/>
    <w:rsid w:val="00937087"/>
    <w:rsid w:val="0093710C"/>
    <w:rsid w:val="00937BCA"/>
    <w:rsid w:val="009400EE"/>
    <w:rsid w:val="0094017B"/>
    <w:rsid w:val="00940815"/>
    <w:rsid w:val="00941150"/>
    <w:rsid w:val="00941481"/>
    <w:rsid w:val="00941FB1"/>
    <w:rsid w:val="00942529"/>
    <w:rsid w:val="00942EC2"/>
    <w:rsid w:val="00942F8E"/>
    <w:rsid w:val="0094317A"/>
    <w:rsid w:val="00943911"/>
    <w:rsid w:val="00943C3C"/>
    <w:rsid w:val="00943F89"/>
    <w:rsid w:val="0094409B"/>
    <w:rsid w:val="00944AE5"/>
    <w:rsid w:val="00945400"/>
    <w:rsid w:val="00945834"/>
    <w:rsid w:val="00945BBE"/>
    <w:rsid w:val="00946ED7"/>
    <w:rsid w:val="00947189"/>
    <w:rsid w:val="009471EA"/>
    <w:rsid w:val="00947562"/>
    <w:rsid w:val="00947685"/>
    <w:rsid w:val="009476A2"/>
    <w:rsid w:val="00950E25"/>
    <w:rsid w:val="00950E66"/>
    <w:rsid w:val="00951A8A"/>
    <w:rsid w:val="00953ABC"/>
    <w:rsid w:val="00953E15"/>
    <w:rsid w:val="00953EAD"/>
    <w:rsid w:val="00953FF9"/>
    <w:rsid w:val="00955462"/>
    <w:rsid w:val="0095585D"/>
    <w:rsid w:val="009558FF"/>
    <w:rsid w:val="00956B29"/>
    <w:rsid w:val="00956FBB"/>
    <w:rsid w:val="00957E2B"/>
    <w:rsid w:val="00960AA3"/>
    <w:rsid w:val="00960B04"/>
    <w:rsid w:val="00960CB1"/>
    <w:rsid w:val="00960DBF"/>
    <w:rsid w:val="00961C05"/>
    <w:rsid w:val="00961D45"/>
    <w:rsid w:val="00961EA3"/>
    <w:rsid w:val="009622F4"/>
    <w:rsid w:val="00962FA3"/>
    <w:rsid w:val="0096346C"/>
    <w:rsid w:val="009634F7"/>
    <w:rsid w:val="009640C7"/>
    <w:rsid w:val="00964CCC"/>
    <w:rsid w:val="00964DFA"/>
    <w:rsid w:val="009653E9"/>
    <w:rsid w:val="00965533"/>
    <w:rsid w:val="00965CFB"/>
    <w:rsid w:val="00965E33"/>
    <w:rsid w:val="0096690D"/>
    <w:rsid w:val="009671FC"/>
    <w:rsid w:val="0096773B"/>
    <w:rsid w:val="00967CF8"/>
    <w:rsid w:val="00967FAF"/>
    <w:rsid w:val="009718F0"/>
    <w:rsid w:val="00971C0B"/>
    <w:rsid w:val="00971C5E"/>
    <w:rsid w:val="00971E51"/>
    <w:rsid w:val="0097269A"/>
    <w:rsid w:val="00972A89"/>
    <w:rsid w:val="00972DF9"/>
    <w:rsid w:val="00972E1F"/>
    <w:rsid w:val="00973797"/>
    <w:rsid w:val="00973F10"/>
    <w:rsid w:val="00973FAD"/>
    <w:rsid w:val="0097459C"/>
    <w:rsid w:val="00974738"/>
    <w:rsid w:val="0097484A"/>
    <w:rsid w:val="00974A93"/>
    <w:rsid w:val="00974D2B"/>
    <w:rsid w:val="00974FE2"/>
    <w:rsid w:val="00975372"/>
    <w:rsid w:val="00975684"/>
    <w:rsid w:val="00976848"/>
    <w:rsid w:val="00976B71"/>
    <w:rsid w:val="00977387"/>
    <w:rsid w:val="00977C67"/>
    <w:rsid w:val="00977C68"/>
    <w:rsid w:val="00980011"/>
    <w:rsid w:val="00980511"/>
    <w:rsid w:val="00980573"/>
    <w:rsid w:val="00980BA6"/>
    <w:rsid w:val="00980E3D"/>
    <w:rsid w:val="00981CCE"/>
    <w:rsid w:val="00981D41"/>
    <w:rsid w:val="00981EE3"/>
    <w:rsid w:val="009838AA"/>
    <w:rsid w:val="00983F65"/>
    <w:rsid w:val="00984790"/>
    <w:rsid w:val="00984EB9"/>
    <w:rsid w:val="00985138"/>
    <w:rsid w:val="00985D9C"/>
    <w:rsid w:val="00985F49"/>
    <w:rsid w:val="009863C5"/>
    <w:rsid w:val="00986A82"/>
    <w:rsid w:val="009901D9"/>
    <w:rsid w:val="009905E6"/>
    <w:rsid w:val="009915F6"/>
    <w:rsid w:val="0099187A"/>
    <w:rsid w:val="00991B96"/>
    <w:rsid w:val="00991E68"/>
    <w:rsid w:val="00992743"/>
    <w:rsid w:val="00992E01"/>
    <w:rsid w:val="00993B28"/>
    <w:rsid w:val="00995480"/>
    <w:rsid w:val="00995866"/>
    <w:rsid w:val="00995B7A"/>
    <w:rsid w:val="00995BF2"/>
    <w:rsid w:val="00995F5F"/>
    <w:rsid w:val="00996C65"/>
    <w:rsid w:val="00997A9A"/>
    <w:rsid w:val="00997B09"/>
    <w:rsid w:val="009A10B1"/>
    <w:rsid w:val="009A113D"/>
    <w:rsid w:val="009A1342"/>
    <w:rsid w:val="009A156A"/>
    <w:rsid w:val="009A1D04"/>
    <w:rsid w:val="009A1E1A"/>
    <w:rsid w:val="009A1E7B"/>
    <w:rsid w:val="009A3C47"/>
    <w:rsid w:val="009A3F13"/>
    <w:rsid w:val="009A42AF"/>
    <w:rsid w:val="009A42EC"/>
    <w:rsid w:val="009A6496"/>
    <w:rsid w:val="009A6F2C"/>
    <w:rsid w:val="009A71C9"/>
    <w:rsid w:val="009A722D"/>
    <w:rsid w:val="009A7506"/>
    <w:rsid w:val="009B0041"/>
    <w:rsid w:val="009B022D"/>
    <w:rsid w:val="009B0B7B"/>
    <w:rsid w:val="009B0EFC"/>
    <w:rsid w:val="009B1182"/>
    <w:rsid w:val="009B1B60"/>
    <w:rsid w:val="009B207A"/>
    <w:rsid w:val="009B2939"/>
    <w:rsid w:val="009B2F4C"/>
    <w:rsid w:val="009B3D09"/>
    <w:rsid w:val="009B3F85"/>
    <w:rsid w:val="009B3FEF"/>
    <w:rsid w:val="009B4369"/>
    <w:rsid w:val="009B4CDB"/>
    <w:rsid w:val="009B56B4"/>
    <w:rsid w:val="009B5B2A"/>
    <w:rsid w:val="009B6204"/>
    <w:rsid w:val="009B6501"/>
    <w:rsid w:val="009B6DE3"/>
    <w:rsid w:val="009B6E74"/>
    <w:rsid w:val="009B77F8"/>
    <w:rsid w:val="009B7800"/>
    <w:rsid w:val="009B7FD9"/>
    <w:rsid w:val="009C02D7"/>
    <w:rsid w:val="009C05CF"/>
    <w:rsid w:val="009C18A0"/>
    <w:rsid w:val="009C2AF8"/>
    <w:rsid w:val="009C31D4"/>
    <w:rsid w:val="009C3FEE"/>
    <w:rsid w:val="009C428E"/>
    <w:rsid w:val="009C5807"/>
    <w:rsid w:val="009C5BCA"/>
    <w:rsid w:val="009C6ADC"/>
    <w:rsid w:val="009C6D70"/>
    <w:rsid w:val="009C6F72"/>
    <w:rsid w:val="009C753C"/>
    <w:rsid w:val="009C77D6"/>
    <w:rsid w:val="009D0202"/>
    <w:rsid w:val="009D0B3D"/>
    <w:rsid w:val="009D0F9C"/>
    <w:rsid w:val="009D202B"/>
    <w:rsid w:val="009D2A0F"/>
    <w:rsid w:val="009D2EFE"/>
    <w:rsid w:val="009D343D"/>
    <w:rsid w:val="009D360C"/>
    <w:rsid w:val="009D3877"/>
    <w:rsid w:val="009D3C60"/>
    <w:rsid w:val="009D3D06"/>
    <w:rsid w:val="009D430D"/>
    <w:rsid w:val="009D49C0"/>
    <w:rsid w:val="009D55E0"/>
    <w:rsid w:val="009D6507"/>
    <w:rsid w:val="009D6AF1"/>
    <w:rsid w:val="009D745F"/>
    <w:rsid w:val="009D7885"/>
    <w:rsid w:val="009D7D7C"/>
    <w:rsid w:val="009E01B0"/>
    <w:rsid w:val="009E0488"/>
    <w:rsid w:val="009E1001"/>
    <w:rsid w:val="009E135F"/>
    <w:rsid w:val="009E140D"/>
    <w:rsid w:val="009E1D88"/>
    <w:rsid w:val="009E2951"/>
    <w:rsid w:val="009E3292"/>
    <w:rsid w:val="009E48F4"/>
    <w:rsid w:val="009E4904"/>
    <w:rsid w:val="009E4AA1"/>
    <w:rsid w:val="009E5A78"/>
    <w:rsid w:val="009E60F7"/>
    <w:rsid w:val="009E62D2"/>
    <w:rsid w:val="009E6465"/>
    <w:rsid w:val="009E68FC"/>
    <w:rsid w:val="009E6A2E"/>
    <w:rsid w:val="009E7528"/>
    <w:rsid w:val="009E764A"/>
    <w:rsid w:val="009F0042"/>
    <w:rsid w:val="009F0179"/>
    <w:rsid w:val="009F081A"/>
    <w:rsid w:val="009F0ED9"/>
    <w:rsid w:val="009F1F0E"/>
    <w:rsid w:val="009F25EB"/>
    <w:rsid w:val="009F272B"/>
    <w:rsid w:val="009F297A"/>
    <w:rsid w:val="009F29B9"/>
    <w:rsid w:val="009F2DC6"/>
    <w:rsid w:val="009F37B7"/>
    <w:rsid w:val="009F3F25"/>
    <w:rsid w:val="009F6F6D"/>
    <w:rsid w:val="009F701B"/>
    <w:rsid w:val="009F70D1"/>
    <w:rsid w:val="00A00C7D"/>
    <w:rsid w:val="00A0123D"/>
    <w:rsid w:val="00A01256"/>
    <w:rsid w:val="00A018AB"/>
    <w:rsid w:val="00A019F3"/>
    <w:rsid w:val="00A03418"/>
    <w:rsid w:val="00A042FA"/>
    <w:rsid w:val="00A05093"/>
    <w:rsid w:val="00A05449"/>
    <w:rsid w:val="00A056A1"/>
    <w:rsid w:val="00A059EB"/>
    <w:rsid w:val="00A05FC1"/>
    <w:rsid w:val="00A07AC8"/>
    <w:rsid w:val="00A07BCA"/>
    <w:rsid w:val="00A07C10"/>
    <w:rsid w:val="00A07D6C"/>
    <w:rsid w:val="00A07DF6"/>
    <w:rsid w:val="00A10DDF"/>
    <w:rsid w:val="00A10E4C"/>
    <w:rsid w:val="00A10F02"/>
    <w:rsid w:val="00A110CF"/>
    <w:rsid w:val="00A11203"/>
    <w:rsid w:val="00A1174D"/>
    <w:rsid w:val="00A11D00"/>
    <w:rsid w:val="00A121AF"/>
    <w:rsid w:val="00A12937"/>
    <w:rsid w:val="00A13890"/>
    <w:rsid w:val="00A13EF6"/>
    <w:rsid w:val="00A13F4A"/>
    <w:rsid w:val="00A14381"/>
    <w:rsid w:val="00A14A06"/>
    <w:rsid w:val="00A1510C"/>
    <w:rsid w:val="00A151F8"/>
    <w:rsid w:val="00A15472"/>
    <w:rsid w:val="00A156E6"/>
    <w:rsid w:val="00A164B4"/>
    <w:rsid w:val="00A166E8"/>
    <w:rsid w:val="00A168D7"/>
    <w:rsid w:val="00A168EF"/>
    <w:rsid w:val="00A1697D"/>
    <w:rsid w:val="00A16ED2"/>
    <w:rsid w:val="00A17CF8"/>
    <w:rsid w:val="00A2047B"/>
    <w:rsid w:val="00A20BE0"/>
    <w:rsid w:val="00A21423"/>
    <w:rsid w:val="00A21E2B"/>
    <w:rsid w:val="00A225A1"/>
    <w:rsid w:val="00A225CF"/>
    <w:rsid w:val="00A225D1"/>
    <w:rsid w:val="00A22697"/>
    <w:rsid w:val="00A22C44"/>
    <w:rsid w:val="00A22CDE"/>
    <w:rsid w:val="00A23023"/>
    <w:rsid w:val="00A2330E"/>
    <w:rsid w:val="00A233D6"/>
    <w:rsid w:val="00A233DD"/>
    <w:rsid w:val="00A236CA"/>
    <w:rsid w:val="00A2387B"/>
    <w:rsid w:val="00A23BF2"/>
    <w:rsid w:val="00A23D82"/>
    <w:rsid w:val="00A25327"/>
    <w:rsid w:val="00A25CA9"/>
    <w:rsid w:val="00A271FD"/>
    <w:rsid w:val="00A2763F"/>
    <w:rsid w:val="00A27895"/>
    <w:rsid w:val="00A27896"/>
    <w:rsid w:val="00A27921"/>
    <w:rsid w:val="00A27A29"/>
    <w:rsid w:val="00A27D81"/>
    <w:rsid w:val="00A315DD"/>
    <w:rsid w:val="00A31E31"/>
    <w:rsid w:val="00A320CF"/>
    <w:rsid w:val="00A3266F"/>
    <w:rsid w:val="00A346E4"/>
    <w:rsid w:val="00A35180"/>
    <w:rsid w:val="00A35229"/>
    <w:rsid w:val="00A35642"/>
    <w:rsid w:val="00A359AA"/>
    <w:rsid w:val="00A35A3B"/>
    <w:rsid w:val="00A36756"/>
    <w:rsid w:val="00A37E27"/>
    <w:rsid w:val="00A406BF"/>
    <w:rsid w:val="00A40740"/>
    <w:rsid w:val="00A40D7A"/>
    <w:rsid w:val="00A40F4F"/>
    <w:rsid w:val="00A41090"/>
    <w:rsid w:val="00A4128F"/>
    <w:rsid w:val="00A424EE"/>
    <w:rsid w:val="00A42E5D"/>
    <w:rsid w:val="00A42F21"/>
    <w:rsid w:val="00A43254"/>
    <w:rsid w:val="00A43335"/>
    <w:rsid w:val="00A43B00"/>
    <w:rsid w:val="00A44433"/>
    <w:rsid w:val="00A447D8"/>
    <w:rsid w:val="00A44EFE"/>
    <w:rsid w:val="00A4529B"/>
    <w:rsid w:val="00A45E1B"/>
    <w:rsid w:val="00A46029"/>
    <w:rsid w:val="00A46579"/>
    <w:rsid w:val="00A470A1"/>
    <w:rsid w:val="00A514B0"/>
    <w:rsid w:val="00A521AE"/>
    <w:rsid w:val="00A52878"/>
    <w:rsid w:val="00A532C8"/>
    <w:rsid w:val="00A53724"/>
    <w:rsid w:val="00A53DB8"/>
    <w:rsid w:val="00A5475A"/>
    <w:rsid w:val="00A549F6"/>
    <w:rsid w:val="00A549F8"/>
    <w:rsid w:val="00A553D6"/>
    <w:rsid w:val="00A5668B"/>
    <w:rsid w:val="00A574DB"/>
    <w:rsid w:val="00A5757B"/>
    <w:rsid w:val="00A57E1D"/>
    <w:rsid w:val="00A60DFE"/>
    <w:rsid w:val="00A61306"/>
    <w:rsid w:val="00A6134B"/>
    <w:rsid w:val="00A62B70"/>
    <w:rsid w:val="00A63222"/>
    <w:rsid w:val="00A63359"/>
    <w:rsid w:val="00A63537"/>
    <w:rsid w:val="00A6378D"/>
    <w:rsid w:val="00A638CC"/>
    <w:rsid w:val="00A65DD4"/>
    <w:rsid w:val="00A6654A"/>
    <w:rsid w:val="00A6677A"/>
    <w:rsid w:val="00A66951"/>
    <w:rsid w:val="00A67446"/>
    <w:rsid w:val="00A674BE"/>
    <w:rsid w:val="00A67DC7"/>
    <w:rsid w:val="00A7003E"/>
    <w:rsid w:val="00A7079C"/>
    <w:rsid w:val="00A711D7"/>
    <w:rsid w:val="00A713FF"/>
    <w:rsid w:val="00A71ADF"/>
    <w:rsid w:val="00A71BCB"/>
    <w:rsid w:val="00A71EC6"/>
    <w:rsid w:val="00A71F8C"/>
    <w:rsid w:val="00A7285B"/>
    <w:rsid w:val="00A72E15"/>
    <w:rsid w:val="00A731DF"/>
    <w:rsid w:val="00A73957"/>
    <w:rsid w:val="00A747D5"/>
    <w:rsid w:val="00A750BE"/>
    <w:rsid w:val="00A751A9"/>
    <w:rsid w:val="00A75503"/>
    <w:rsid w:val="00A755E1"/>
    <w:rsid w:val="00A75BD5"/>
    <w:rsid w:val="00A75C70"/>
    <w:rsid w:val="00A75C98"/>
    <w:rsid w:val="00A7637D"/>
    <w:rsid w:val="00A763AE"/>
    <w:rsid w:val="00A769F2"/>
    <w:rsid w:val="00A76CDE"/>
    <w:rsid w:val="00A76FFD"/>
    <w:rsid w:val="00A77C7B"/>
    <w:rsid w:val="00A77EC2"/>
    <w:rsid w:val="00A81137"/>
    <w:rsid w:val="00A822DA"/>
    <w:rsid w:val="00A82346"/>
    <w:rsid w:val="00A8275D"/>
    <w:rsid w:val="00A82C8B"/>
    <w:rsid w:val="00A83EB9"/>
    <w:rsid w:val="00A8453C"/>
    <w:rsid w:val="00A847D0"/>
    <w:rsid w:val="00A84BAD"/>
    <w:rsid w:val="00A86784"/>
    <w:rsid w:val="00A86B88"/>
    <w:rsid w:val="00A86C54"/>
    <w:rsid w:val="00A86D96"/>
    <w:rsid w:val="00A87883"/>
    <w:rsid w:val="00A87921"/>
    <w:rsid w:val="00A90962"/>
    <w:rsid w:val="00A90D06"/>
    <w:rsid w:val="00A90EA8"/>
    <w:rsid w:val="00A912D4"/>
    <w:rsid w:val="00A914F5"/>
    <w:rsid w:val="00A935E0"/>
    <w:rsid w:val="00A938FA"/>
    <w:rsid w:val="00A93CA5"/>
    <w:rsid w:val="00A93D21"/>
    <w:rsid w:val="00A93D87"/>
    <w:rsid w:val="00A940F4"/>
    <w:rsid w:val="00A943BA"/>
    <w:rsid w:val="00A95454"/>
    <w:rsid w:val="00A95E02"/>
    <w:rsid w:val="00A96A6C"/>
    <w:rsid w:val="00A97042"/>
    <w:rsid w:val="00AA06C4"/>
    <w:rsid w:val="00AA0E78"/>
    <w:rsid w:val="00AA14D4"/>
    <w:rsid w:val="00AA1634"/>
    <w:rsid w:val="00AA1F4C"/>
    <w:rsid w:val="00AA2187"/>
    <w:rsid w:val="00AA2A35"/>
    <w:rsid w:val="00AA2A84"/>
    <w:rsid w:val="00AA3286"/>
    <w:rsid w:val="00AA3332"/>
    <w:rsid w:val="00AA3655"/>
    <w:rsid w:val="00AA3D81"/>
    <w:rsid w:val="00AA460E"/>
    <w:rsid w:val="00AA4666"/>
    <w:rsid w:val="00AA4694"/>
    <w:rsid w:val="00AA52EB"/>
    <w:rsid w:val="00AA565F"/>
    <w:rsid w:val="00AA5B9F"/>
    <w:rsid w:val="00AA5FAE"/>
    <w:rsid w:val="00AA62D1"/>
    <w:rsid w:val="00AA6762"/>
    <w:rsid w:val="00AA68BB"/>
    <w:rsid w:val="00AA6F8D"/>
    <w:rsid w:val="00AA74D4"/>
    <w:rsid w:val="00AA7570"/>
    <w:rsid w:val="00AA771F"/>
    <w:rsid w:val="00AB0056"/>
    <w:rsid w:val="00AB00A5"/>
    <w:rsid w:val="00AB044F"/>
    <w:rsid w:val="00AB11D0"/>
    <w:rsid w:val="00AB1D5A"/>
    <w:rsid w:val="00AB258F"/>
    <w:rsid w:val="00AB297B"/>
    <w:rsid w:val="00AB2B96"/>
    <w:rsid w:val="00AB2C48"/>
    <w:rsid w:val="00AB31B3"/>
    <w:rsid w:val="00AB368A"/>
    <w:rsid w:val="00AB4907"/>
    <w:rsid w:val="00AB4C6C"/>
    <w:rsid w:val="00AB4CE0"/>
    <w:rsid w:val="00AB5131"/>
    <w:rsid w:val="00AB67AE"/>
    <w:rsid w:val="00AB6D44"/>
    <w:rsid w:val="00AC166A"/>
    <w:rsid w:val="00AC21BB"/>
    <w:rsid w:val="00AC2EF7"/>
    <w:rsid w:val="00AC3361"/>
    <w:rsid w:val="00AC363A"/>
    <w:rsid w:val="00AC3D4E"/>
    <w:rsid w:val="00AC3F0F"/>
    <w:rsid w:val="00AC4263"/>
    <w:rsid w:val="00AC4A29"/>
    <w:rsid w:val="00AC4DB6"/>
    <w:rsid w:val="00AC4F8A"/>
    <w:rsid w:val="00AC5225"/>
    <w:rsid w:val="00AC6C81"/>
    <w:rsid w:val="00AC7750"/>
    <w:rsid w:val="00AC7851"/>
    <w:rsid w:val="00AC7B22"/>
    <w:rsid w:val="00AD096E"/>
    <w:rsid w:val="00AD1C20"/>
    <w:rsid w:val="00AD2296"/>
    <w:rsid w:val="00AD2593"/>
    <w:rsid w:val="00AD2993"/>
    <w:rsid w:val="00AD2F6B"/>
    <w:rsid w:val="00AD4E0C"/>
    <w:rsid w:val="00AD5476"/>
    <w:rsid w:val="00AD57C0"/>
    <w:rsid w:val="00AD5979"/>
    <w:rsid w:val="00AD5F73"/>
    <w:rsid w:val="00AD6063"/>
    <w:rsid w:val="00AD6777"/>
    <w:rsid w:val="00AD6E7F"/>
    <w:rsid w:val="00AD748B"/>
    <w:rsid w:val="00AD79D5"/>
    <w:rsid w:val="00AD7B74"/>
    <w:rsid w:val="00AD7EB2"/>
    <w:rsid w:val="00AE0313"/>
    <w:rsid w:val="00AE0D94"/>
    <w:rsid w:val="00AE1EC5"/>
    <w:rsid w:val="00AE1EF9"/>
    <w:rsid w:val="00AE1F84"/>
    <w:rsid w:val="00AE27F1"/>
    <w:rsid w:val="00AE32FE"/>
    <w:rsid w:val="00AE3C0D"/>
    <w:rsid w:val="00AE3D2B"/>
    <w:rsid w:val="00AE3D92"/>
    <w:rsid w:val="00AE43C7"/>
    <w:rsid w:val="00AE536E"/>
    <w:rsid w:val="00AE56CB"/>
    <w:rsid w:val="00AE56DB"/>
    <w:rsid w:val="00AE581F"/>
    <w:rsid w:val="00AE5A0D"/>
    <w:rsid w:val="00AE5D79"/>
    <w:rsid w:val="00AE6D3A"/>
    <w:rsid w:val="00AE6E7D"/>
    <w:rsid w:val="00AE72FA"/>
    <w:rsid w:val="00AF0C8D"/>
    <w:rsid w:val="00AF12AF"/>
    <w:rsid w:val="00AF12FC"/>
    <w:rsid w:val="00AF1327"/>
    <w:rsid w:val="00AF1C65"/>
    <w:rsid w:val="00AF2928"/>
    <w:rsid w:val="00AF2C21"/>
    <w:rsid w:val="00AF307E"/>
    <w:rsid w:val="00AF363C"/>
    <w:rsid w:val="00AF37ED"/>
    <w:rsid w:val="00AF37F2"/>
    <w:rsid w:val="00AF3C72"/>
    <w:rsid w:val="00AF5628"/>
    <w:rsid w:val="00AF5B5F"/>
    <w:rsid w:val="00AF5CDF"/>
    <w:rsid w:val="00AF5E3B"/>
    <w:rsid w:val="00AF5F87"/>
    <w:rsid w:val="00AF6932"/>
    <w:rsid w:val="00AF711D"/>
    <w:rsid w:val="00AF792C"/>
    <w:rsid w:val="00AF7C66"/>
    <w:rsid w:val="00AF7F29"/>
    <w:rsid w:val="00B00611"/>
    <w:rsid w:val="00B009E8"/>
    <w:rsid w:val="00B018D8"/>
    <w:rsid w:val="00B026B8"/>
    <w:rsid w:val="00B02EC7"/>
    <w:rsid w:val="00B033F0"/>
    <w:rsid w:val="00B034E4"/>
    <w:rsid w:val="00B03A04"/>
    <w:rsid w:val="00B0469F"/>
    <w:rsid w:val="00B04A6A"/>
    <w:rsid w:val="00B05B1A"/>
    <w:rsid w:val="00B06022"/>
    <w:rsid w:val="00B06069"/>
    <w:rsid w:val="00B0628A"/>
    <w:rsid w:val="00B06D5E"/>
    <w:rsid w:val="00B07101"/>
    <w:rsid w:val="00B07402"/>
    <w:rsid w:val="00B074BE"/>
    <w:rsid w:val="00B07521"/>
    <w:rsid w:val="00B07AD8"/>
    <w:rsid w:val="00B07B76"/>
    <w:rsid w:val="00B07BC2"/>
    <w:rsid w:val="00B1007D"/>
    <w:rsid w:val="00B104CC"/>
    <w:rsid w:val="00B10AE7"/>
    <w:rsid w:val="00B10FA0"/>
    <w:rsid w:val="00B11444"/>
    <w:rsid w:val="00B11767"/>
    <w:rsid w:val="00B11A61"/>
    <w:rsid w:val="00B11C0A"/>
    <w:rsid w:val="00B1262D"/>
    <w:rsid w:val="00B12A7F"/>
    <w:rsid w:val="00B13DDE"/>
    <w:rsid w:val="00B13F1A"/>
    <w:rsid w:val="00B14BB6"/>
    <w:rsid w:val="00B14E26"/>
    <w:rsid w:val="00B15449"/>
    <w:rsid w:val="00B1551F"/>
    <w:rsid w:val="00B15AC1"/>
    <w:rsid w:val="00B15E34"/>
    <w:rsid w:val="00B16091"/>
    <w:rsid w:val="00B16A08"/>
    <w:rsid w:val="00B175F5"/>
    <w:rsid w:val="00B17A44"/>
    <w:rsid w:val="00B22209"/>
    <w:rsid w:val="00B223E8"/>
    <w:rsid w:val="00B22640"/>
    <w:rsid w:val="00B22753"/>
    <w:rsid w:val="00B22B9E"/>
    <w:rsid w:val="00B22DB0"/>
    <w:rsid w:val="00B237B2"/>
    <w:rsid w:val="00B241F0"/>
    <w:rsid w:val="00B2440C"/>
    <w:rsid w:val="00B24C97"/>
    <w:rsid w:val="00B25930"/>
    <w:rsid w:val="00B27445"/>
    <w:rsid w:val="00B277B7"/>
    <w:rsid w:val="00B27A9B"/>
    <w:rsid w:val="00B27CE3"/>
    <w:rsid w:val="00B30003"/>
    <w:rsid w:val="00B30A1E"/>
    <w:rsid w:val="00B31672"/>
    <w:rsid w:val="00B31898"/>
    <w:rsid w:val="00B31C85"/>
    <w:rsid w:val="00B320BF"/>
    <w:rsid w:val="00B32664"/>
    <w:rsid w:val="00B32F4B"/>
    <w:rsid w:val="00B3366A"/>
    <w:rsid w:val="00B34378"/>
    <w:rsid w:val="00B344C1"/>
    <w:rsid w:val="00B34A16"/>
    <w:rsid w:val="00B356FB"/>
    <w:rsid w:val="00B359FE"/>
    <w:rsid w:val="00B36247"/>
    <w:rsid w:val="00B368A7"/>
    <w:rsid w:val="00B37DF1"/>
    <w:rsid w:val="00B404F5"/>
    <w:rsid w:val="00B406AC"/>
    <w:rsid w:val="00B406BB"/>
    <w:rsid w:val="00B40A20"/>
    <w:rsid w:val="00B40CA6"/>
    <w:rsid w:val="00B40E6D"/>
    <w:rsid w:val="00B432AA"/>
    <w:rsid w:val="00B4408D"/>
    <w:rsid w:val="00B44355"/>
    <w:rsid w:val="00B44898"/>
    <w:rsid w:val="00B44C4C"/>
    <w:rsid w:val="00B44DFB"/>
    <w:rsid w:val="00B44E1D"/>
    <w:rsid w:val="00B455EA"/>
    <w:rsid w:val="00B459B7"/>
    <w:rsid w:val="00B45F76"/>
    <w:rsid w:val="00B46294"/>
    <w:rsid w:val="00B46B40"/>
    <w:rsid w:val="00B47299"/>
    <w:rsid w:val="00B4741B"/>
    <w:rsid w:val="00B4769B"/>
    <w:rsid w:val="00B47FDA"/>
    <w:rsid w:val="00B501B3"/>
    <w:rsid w:val="00B50434"/>
    <w:rsid w:val="00B505F4"/>
    <w:rsid w:val="00B512AF"/>
    <w:rsid w:val="00B51CAA"/>
    <w:rsid w:val="00B51F6C"/>
    <w:rsid w:val="00B530B1"/>
    <w:rsid w:val="00B5336E"/>
    <w:rsid w:val="00B53C42"/>
    <w:rsid w:val="00B53DE4"/>
    <w:rsid w:val="00B53E37"/>
    <w:rsid w:val="00B53E51"/>
    <w:rsid w:val="00B54D27"/>
    <w:rsid w:val="00B55E0E"/>
    <w:rsid w:val="00B56936"/>
    <w:rsid w:val="00B605EF"/>
    <w:rsid w:val="00B60AA0"/>
    <w:rsid w:val="00B60B8D"/>
    <w:rsid w:val="00B61B24"/>
    <w:rsid w:val="00B62092"/>
    <w:rsid w:val="00B6214D"/>
    <w:rsid w:val="00B64AB3"/>
    <w:rsid w:val="00B64D38"/>
    <w:rsid w:val="00B65B5A"/>
    <w:rsid w:val="00B66703"/>
    <w:rsid w:val="00B66B27"/>
    <w:rsid w:val="00B679CE"/>
    <w:rsid w:val="00B70644"/>
    <w:rsid w:val="00B71074"/>
    <w:rsid w:val="00B71638"/>
    <w:rsid w:val="00B71AE2"/>
    <w:rsid w:val="00B71F8D"/>
    <w:rsid w:val="00B72083"/>
    <w:rsid w:val="00B72DB6"/>
    <w:rsid w:val="00B730A0"/>
    <w:rsid w:val="00B73686"/>
    <w:rsid w:val="00B74135"/>
    <w:rsid w:val="00B7449A"/>
    <w:rsid w:val="00B744B7"/>
    <w:rsid w:val="00B7494B"/>
    <w:rsid w:val="00B76DA4"/>
    <w:rsid w:val="00B8068E"/>
    <w:rsid w:val="00B8074B"/>
    <w:rsid w:val="00B81032"/>
    <w:rsid w:val="00B81883"/>
    <w:rsid w:val="00B822F3"/>
    <w:rsid w:val="00B82A89"/>
    <w:rsid w:val="00B83137"/>
    <w:rsid w:val="00B846E3"/>
    <w:rsid w:val="00B84794"/>
    <w:rsid w:val="00B84A92"/>
    <w:rsid w:val="00B84F48"/>
    <w:rsid w:val="00B852FF"/>
    <w:rsid w:val="00B8542D"/>
    <w:rsid w:val="00B85848"/>
    <w:rsid w:val="00B86983"/>
    <w:rsid w:val="00B86EEA"/>
    <w:rsid w:val="00B87266"/>
    <w:rsid w:val="00B8735A"/>
    <w:rsid w:val="00B873FB"/>
    <w:rsid w:val="00B87AD9"/>
    <w:rsid w:val="00B905D7"/>
    <w:rsid w:val="00B90690"/>
    <w:rsid w:val="00B90874"/>
    <w:rsid w:val="00B91AD7"/>
    <w:rsid w:val="00B9242E"/>
    <w:rsid w:val="00B92781"/>
    <w:rsid w:val="00B9279B"/>
    <w:rsid w:val="00B92CA4"/>
    <w:rsid w:val="00B93149"/>
    <w:rsid w:val="00B9332B"/>
    <w:rsid w:val="00B939CF"/>
    <w:rsid w:val="00B93D6F"/>
    <w:rsid w:val="00B9421F"/>
    <w:rsid w:val="00B94D3A"/>
    <w:rsid w:val="00B95106"/>
    <w:rsid w:val="00B95A1F"/>
    <w:rsid w:val="00B95AED"/>
    <w:rsid w:val="00B9628B"/>
    <w:rsid w:val="00B966C5"/>
    <w:rsid w:val="00B975DE"/>
    <w:rsid w:val="00B97CA9"/>
    <w:rsid w:val="00B97DB3"/>
    <w:rsid w:val="00BA05FB"/>
    <w:rsid w:val="00BA09FE"/>
    <w:rsid w:val="00BA0D9B"/>
    <w:rsid w:val="00BA1FA4"/>
    <w:rsid w:val="00BA262E"/>
    <w:rsid w:val="00BA4798"/>
    <w:rsid w:val="00BA4C28"/>
    <w:rsid w:val="00BA52F3"/>
    <w:rsid w:val="00BA65FF"/>
    <w:rsid w:val="00BA6900"/>
    <w:rsid w:val="00BA6F7B"/>
    <w:rsid w:val="00BA7470"/>
    <w:rsid w:val="00BA74CA"/>
    <w:rsid w:val="00BA7938"/>
    <w:rsid w:val="00BA799D"/>
    <w:rsid w:val="00BA7A79"/>
    <w:rsid w:val="00BA7E8B"/>
    <w:rsid w:val="00BB15AF"/>
    <w:rsid w:val="00BB277B"/>
    <w:rsid w:val="00BB30DA"/>
    <w:rsid w:val="00BB396E"/>
    <w:rsid w:val="00BB3E1D"/>
    <w:rsid w:val="00BB4334"/>
    <w:rsid w:val="00BB469D"/>
    <w:rsid w:val="00BB4D98"/>
    <w:rsid w:val="00BB539A"/>
    <w:rsid w:val="00BB5A98"/>
    <w:rsid w:val="00BB5C36"/>
    <w:rsid w:val="00BB5C67"/>
    <w:rsid w:val="00BB65F8"/>
    <w:rsid w:val="00BB68C7"/>
    <w:rsid w:val="00BB7729"/>
    <w:rsid w:val="00BB79EA"/>
    <w:rsid w:val="00BC02C9"/>
    <w:rsid w:val="00BC0F7D"/>
    <w:rsid w:val="00BC1204"/>
    <w:rsid w:val="00BC177C"/>
    <w:rsid w:val="00BC17E0"/>
    <w:rsid w:val="00BC1EF2"/>
    <w:rsid w:val="00BC2922"/>
    <w:rsid w:val="00BC2C26"/>
    <w:rsid w:val="00BC2F61"/>
    <w:rsid w:val="00BC3037"/>
    <w:rsid w:val="00BC303F"/>
    <w:rsid w:val="00BC309C"/>
    <w:rsid w:val="00BC3675"/>
    <w:rsid w:val="00BC3BC7"/>
    <w:rsid w:val="00BC4319"/>
    <w:rsid w:val="00BC45BC"/>
    <w:rsid w:val="00BC4BA9"/>
    <w:rsid w:val="00BC52D5"/>
    <w:rsid w:val="00BC5D53"/>
    <w:rsid w:val="00BC5E41"/>
    <w:rsid w:val="00BC606E"/>
    <w:rsid w:val="00BC6A5D"/>
    <w:rsid w:val="00BC6DEF"/>
    <w:rsid w:val="00BC786E"/>
    <w:rsid w:val="00BC78E2"/>
    <w:rsid w:val="00BC7CF1"/>
    <w:rsid w:val="00BC7ECF"/>
    <w:rsid w:val="00BD010A"/>
    <w:rsid w:val="00BD0FBF"/>
    <w:rsid w:val="00BD199C"/>
    <w:rsid w:val="00BD19F1"/>
    <w:rsid w:val="00BD1A2D"/>
    <w:rsid w:val="00BD2D8B"/>
    <w:rsid w:val="00BD4100"/>
    <w:rsid w:val="00BD4827"/>
    <w:rsid w:val="00BD519E"/>
    <w:rsid w:val="00BD5A57"/>
    <w:rsid w:val="00BD5BF8"/>
    <w:rsid w:val="00BD7A20"/>
    <w:rsid w:val="00BD7D00"/>
    <w:rsid w:val="00BD7D84"/>
    <w:rsid w:val="00BE0199"/>
    <w:rsid w:val="00BE1476"/>
    <w:rsid w:val="00BE3157"/>
    <w:rsid w:val="00BE3299"/>
    <w:rsid w:val="00BE33E4"/>
    <w:rsid w:val="00BE3977"/>
    <w:rsid w:val="00BE4035"/>
    <w:rsid w:val="00BE404B"/>
    <w:rsid w:val="00BE4CBD"/>
    <w:rsid w:val="00BE50C4"/>
    <w:rsid w:val="00BE5EC2"/>
    <w:rsid w:val="00BE6A9F"/>
    <w:rsid w:val="00BE6C06"/>
    <w:rsid w:val="00BE70D2"/>
    <w:rsid w:val="00BE7282"/>
    <w:rsid w:val="00BE7585"/>
    <w:rsid w:val="00BE78B0"/>
    <w:rsid w:val="00BF07D3"/>
    <w:rsid w:val="00BF0F73"/>
    <w:rsid w:val="00BF1523"/>
    <w:rsid w:val="00BF156B"/>
    <w:rsid w:val="00BF15D6"/>
    <w:rsid w:val="00BF1BEA"/>
    <w:rsid w:val="00BF24DC"/>
    <w:rsid w:val="00BF2522"/>
    <w:rsid w:val="00BF2EB5"/>
    <w:rsid w:val="00BF3A32"/>
    <w:rsid w:val="00BF42D6"/>
    <w:rsid w:val="00BF46B4"/>
    <w:rsid w:val="00BF4C22"/>
    <w:rsid w:val="00BF72A0"/>
    <w:rsid w:val="00C00D0E"/>
    <w:rsid w:val="00C01053"/>
    <w:rsid w:val="00C0121C"/>
    <w:rsid w:val="00C01515"/>
    <w:rsid w:val="00C02387"/>
    <w:rsid w:val="00C025B4"/>
    <w:rsid w:val="00C02D8B"/>
    <w:rsid w:val="00C03644"/>
    <w:rsid w:val="00C040A1"/>
    <w:rsid w:val="00C040DE"/>
    <w:rsid w:val="00C04424"/>
    <w:rsid w:val="00C0494E"/>
    <w:rsid w:val="00C04D9E"/>
    <w:rsid w:val="00C04E9E"/>
    <w:rsid w:val="00C058B3"/>
    <w:rsid w:val="00C059C0"/>
    <w:rsid w:val="00C06143"/>
    <w:rsid w:val="00C06AFA"/>
    <w:rsid w:val="00C06C84"/>
    <w:rsid w:val="00C07376"/>
    <w:rsid w:val="00C10325"/>
    <w:rsid w:val="00C10BA8"/>
    <w:rsid w:val="00C10F8B"/>
    <w:rsid w:val="00C113E9"/>
    <w:rsid w:val="00C119F9"/>
    <w:rsid w:val="00C11C65"/>
    <w:rsid w:val="00C12919"/>
    <w:rsid w:val="00C12C09"/>
    <w:rsid w:val="00C12F90"/>
    <w:rsid w:val="00C13133"/>
    <w:rsid w:val="00C14182"/>
    <w:rsid w:val="00C14BD2"/>
    <w:rsid w:val="00C14F87"/>
    <w:rsid w:val="00C155C1"/>
    <w:rsid w:val="00C16232"/>
    <w:rsid w:val="00C203DF"/>
    <w:rsid w:val="00C20B83"/>
    <w:rsid w:val="00C21212"/>
    <w:rsid w:val="00C22107"/>
    <w:rsid w:val="00C2231D"/>
    <w:rsid w:val="00C22CFD"/>
    <w:rsid w:val="00C22E6F"/>
    <w:rsid w:val="00C22E96"/>
    <w:rsid w:val="00C238D6"/>
    <w:rsid w:val="00C23F82"/>
    <w:rsid w:val="00C24A9C"/>
    <w:rsid w:val="00C24B8D"/>
    <w:rsid w:val="00C24F9E"/>
    <w:rsid w:val="00C25F51"/>
    <w:rsid w:val="00C265CD"/>
    <w:rsid w:val="00C26E8B"/>
    <w:rsid w:val="00C2710D"/>
    <w:rsid w:val="00C2730D"/>
    <w:rsid w:val="00C2746E"/>
    <w:rsid w:val="00C27D72"/>
    <w:rsid w:val="00C27DD8"/>
    <w:rsid w:val="00C3014D"/>
    <w:rsid w:val="00C31077"/>
    <w:rsid w:val="00C3129C"/>
    <w:rsid w:val="00C31BC8"/>
    <w:rsid w:val="00C32165"/>
    <w:rsid w:val="00C32A51"/>
    <w:rsid w:val="00C32CDC"/>
    <w:rsid w:val="00C33079"/>
    <w:rsid w:val="00C332F6"/>
    <w:rsid w:val="00C333B9"/>
    <w:rsid w:val="00C33524"/>
    <w:rsid w:val="00C33A6D"/>
    <w:rsid w:val="00C33FC1"/>
    <w:rsid w:val="00C34E9E"/>
    <w:rsid w:val="00C34F78"/>
    <w:rsid w:val="00C350A1"/>
    <w:rsid w:val="00C35C18"/>
    <w:rsid w:val="00C35FE8"/>
    <w:rsid w:val="00C360DC"/>
    <w:rsid w:val="00C371D4"/>
    <w:rsid w:val="00C402B3"/>
    <w:rsid w:val="00C4068E"/>
    <w:rsid w:val="00C40776"/>
    <w:rsid w:val="00C408EB"/>
    <w:rsid w:val="00C409F8"/>
    <w:rsid w:val="00C40CF8"/>
    <w:rsid w:val="00C410AD"/>
    <w:rsid w:val="00C412D5"/>
    <w:rsid w:val="00C424E4"/>
    <w:rsid w:val="00C429E8"/>
    <w:rsid w:val="00C4424D"/>
    <w:rsid w:val="00C44374"/>
    <w:rsid w:val="00C445A8"/>
    <w:rsid w:val="00C451A8"/>
    <w:rsid w:val="00C45231"/>
    <w:rsid w:val="00C45EDF"/>
    <w:rsid w:val="00C47EB2"/>
    <w:rsid w:val="00C5013E"/>
    <w:rsid w:val="00C50511"/>
    <w:rsid w:val="00C51082"/>
    <w:rsid w:val="00C51687"/>
    <w:rsid w:val="00C528FD"/>
    <w:rsid w:val="00C52D23"/>
    <w:rsid w:val="00C53164"/>
    <w:rsid w:val="00C53B3A"/>
    <w:rsid w:val="00C54446"/>
    <w:rsid w:val="00C54B0C"/>
    <w:rsid w:val="00C55160"/>
    <w:rsid w:val="00C55A8B"/>
    <w:rsid w:val="00C575EA"/>
    <w:rsid w:val="00C60931"/>
    <w:rsid w:val="00C614DD"/>
    <w:rsid w:val="00C61573"/>
    <w:rsid w:val="00C61D72"/>
    <w:rsid w:val="00C63332"/>
    <w:rsid w:val="00C63E68"/>
    <w:rsid w:val="00C64B66"/>
    <w:rsid w:val="00C64C31"/>
    <w:rsid w:val="00C65260"/>
    <w:rsid w:val="00C656B5"/>
    <w:rsid w:val="00C6570B"/>
    <w:rsid w:val="00C65DCA"/>
    <w:rsid w:val="00C6627F"/>
    <w:rsid w:val="00C664B5"/>
    <w:rsid w:val="00C67522"/>
    <w:rsid w:val="00C67A19"/>
    <w:rsid w:val="00C67BE8"/>
    <w:rsid w:val="00C70E4E"/>
    <w:rsid w:val="00C72026"/>
    <w:rsid w:val="00C722B4"/>
    <w:rsid w:val="00C72448"/>
    <w:rsid w:val="00C7248B"/>
    <w:rsid w:val="00C72630"/>
    <w:rsid w:val="00C72806"/>
    <w:rsid w:val="00C72833"/>
    <w:rsid w:val="00C72D87"/>
    <w:rsid w:val="00C7398E"/>
    <w:rsid w:val="00C74266"/>
    <w:rsid w:val="00C74356"/>
    <w:rsid w:val="00C74541"/>
    <w:rsid w:val="00C74733"/>
    <w:rsid w:val="00C74A92"/>
    <w:rsid w:val="00C7503D"/>
    <w:rsid w:val="00C764F1"/>
    <w:rsid w:val="00C76AC2"/>
    <w:rsid w:val="00C77014"/>
    <w:rsid w:val="00C77121"/>
    <w:rsid w:val="00C775DD"/>
    <w:rsid w:val="00C77898"/>
    <w:rsid w:val="00C8030C"/>
    <w:rsid w:val="00C80327"/>
    <w:rsid w:val="00C8039F"/>
    <w:rsid w:val="00C804B0"/>
    <w:rsid w:val="00C80A98"/>
    <w:rsid w:val="00C80F01"/>
    <w:rsid w:val="00C810E3"/>
    <w:rsid w:val="00C81100"/>
    <w:rsid w:val="00C8192D"/>
    <w:rsid w:val="00C81A61"/>
    <w:rsid w:val="00C8285F"/>
    <w:rsid w:val="00C82F14"/>
    <w:rsid w:val="00C83058"/>
    <w:rsid w:val="00C83C45"/>
    <w:rsid w:val="00C83E95"/>
    <w:rsid w:val="00C8413E"/>
    <w:rsid w:val="00C84782"/>
    <w:rsid w:val="00C84955"/>
    <w:rsid w:val="00C84F93"/>
    <w:rsid w:val="00C851D9"/>
    <w:rsid w:val="00C861D9"/>
    <w:rsid w:val="00C8622E"/>
    <w:rsid w:val="00C86A00"/>
    <w:rsid w:val="00C87323"/>
    <w:rsid w:val="00C87F52"/>
    <w:rsid w:val="00C91216"/>
    <w:rsid w:val="00C919C6"/>
    <w:rsid w:val="00C91C07"/>
    <w:rsid w:val="00C92097"/>
    <w:rsid w:val="00C93634"/>
    <w:rsid w:val="00C93738"/>
    <w:rsid w:val="00C93BDA"/>
    <w:rsid w:val="00C93EBE"/>
    <w:rsid w:val="00C93F40"/>
    <w:rsid w:val="00C94995"/>
    <w:rsid w:val="00C95122"/>
    <w:rsid w:val="00C95BB1"/>
    <w:rsid w:val="00C9641A"/>
    <w:rsid w:val="00C97B4D"/>
    <w:rsid w:val="00C97E24"/>
    <w:rsid w:val="00CA0012"/>
    <w:rsid w:val="00CA1919"/>
    <w:rsid w:val="00CA1A3C"/>
    <w:rsid w:val="00CA2035"/>
    <w:rsid w:val="00CA26C7"/>
    <w:rsid w:val="00CA278C"/>
    <w:rsid w:val="00CA31CE"/>
    <w:rsid w:val="00CA356F"/>
    <w:rsid w:val="00CA364D"/>
    <w:rsid w:val="00CA3C7A"/>
    <w:rsid w:val="00CA3D0C"/>
    <w:rsid w:val="00CA3D3F"/>
    <w:rsid w:val="00CA41EC"/>
    <w:rsid w:val="00CA4701"/>
    <w:rsid w:val="00CA4835"/>
    <w:rsid w:val="00CA491F"/>
    <w:rsid w:val="00CA499D"/>
    <w:rsid w:val="00CA54E8"/>
    <w:rsid w:val="00CA5EBA"/>
    <w:rsid w:val="00CA6320"/>
    <w:rsid w:val="00CA65CA"/>
    <w:rsid w:val="00CA741A"/>
    <w:rsid w:val="00CA7801"/>
    <w:rsid w:val="00CB0F3B"/>
    <w:rsid w:val="00CB127A"/>
    <w:rsid w:val="00CB14B8"/>
    <w:rsid w:val="00CB1AA7"/>
    <w:rsid w:val="00CB27F3"/>
    <w:rsid w:val="00CB340B"/>
    <w:rsid w:val="00CB3947"/>
    <w:rsid w:val="00CB4B4B"/>
    <w:rsid w:val="00CB5B7A"/>
    <w:rsid w:val="00CB5D12"/>
    <w:rsid w:val="00CB608D"/>
    <w:rsid w:val="00CB60CB"/>
    <w:rsid w:val="00CB7170"/>
    <w:rsid w:val="00CB720F"/>
    <w:rsid w:val="00CB7408"/>
    <w:rsid w:val="00CB7443"/>
    <w:rsid w:val="00CB7E59"/>
    <w:rsid w:val="00CB7FEE"/>
    <w:rsid w:val="00CC01D3"/>
    <w:rsid w:val="00CC1030"/>
    <w:rsid w:val="00CC1347"/>
    <w:rsid w:val="00CC1E13"/>
    <w:rsid w:val="00CC23A5"/>
    <w:rsid w:val="00CC28CB"/>
    <w:rsid w:val="00CC4575"/>
    <w:rsid w:val="00CC5419"/>
    <w:rsid w:val="00CC5C23"/>
    <w:rsid w:val="00CC61E0"/>
    <w:rsid w:val="00CC6574"/>
    <w:rsid w:val="00CC660B"/>
    <w:rsid w:val="00CC6FD9"/>
    <w:rsid w:val="00CC70C3"/>
    <w:rsid w:val="00CC7492"/>
    <w:rsid w:val="00CC7A32"/>
    <w:rsid w:val="00CD0493"/>
    <w:rsid w:val="00CD075F"/>
    <w:rsid w:val="00CD08B9"/>
    <w:rsid w:val="00CD157B"/>
    <w:rsid w:val="00CD1C07"/>
    <w:rsid w:val="00CD214E"/>
    <w:rsid w:val="00CD22EB"/>
    <w:rsid w:val="00CD2EF9"/>
    <w:rsid w:val="00CD3717"/>
    <w:rsid w:val="00CD3B3E"/>
    <w:rsid w:val="00CD3F72"/>
    <w:rsid w:val="00CD53C1"/>
    <w:rsid w:val="00CD597A"/>
    <w:rsid w:val="00CD5EB1"/>
    <w:rsid w:val="00CD6300"/>
    <w:rsid w:val="00CD7272"/>
    <w:rsid w:val="00CD75FF"/>
    <w:rsid w:val="00CD7933"/>
    <w:rsid w:val="00CE0FF4"/>
    <w:rsid w:val="00CE1D7C"/>
    <w:rsid w:val="00CE267F"/>
    <w:rsid w:val="00CE319D"/>
    <w:rsid w:val="00CE35EA"/>
    <w:rsid w:val="00CE3861"/>
    <w:rsid w:val="00CE3906"/>
    <w:rsid w:val="00CE427E"/>
    <w:rsid w:val="00CE45C5"/>
    <w:rsid w:val="00CE45F8"/>
    <w:rsid w:val="00CE4701"/>
    <w:rsid w:val="00CE5837"/>
    <w:rsid w:val="00CE633C"/>
    <w:rsid w:val="00CE65BC"/>
    <w:rsid w:val="00CE6797"/>
    <w:rsid w:val="00CE7C08"/>
    <w:rsid w:val="00CE7D56"/>
    <w:rsid w:val="00CF0288"/>
    <w:rsid w:val="00CF0870"/>
    <w:rsid w:val="00CF2333"/>
    <w:rsid w:val="00CF2E28"/>
    <w:rsid w:val="00CF36B4"/>
    <w:rsid w:val="00CF403A"/>
    <w:rsid w:val="00CF54F2"/>
    <w:rsid w:val="00CF553E"/>
    <w:rsid w:val="00CF56CF"/>
    <w:rsid w:val="00CF5D48"/>
    <w:rsid w:val="00CF5D8F"/>
    <w:rsid w:val="00CF70FB"/>
    <w:rsid w:val="00CF7820"/>
    <w:rsid w:val="00CF7BF3"/>
    <w:rsid w:val="00D001B2"/>
    <w:rsid w:val="00D007FC"/>
    <w:rsid w:val="00D00B1D"/>
    <w:rsid w:val="00D00C4B"/>
    <w:rsid w:val="00D014D0"/>
    <w:rsid w:val="00D02901"/>
    <w:rsid w:val="00D03161"/>
    <w:rsid w:val="00D036CF"/>
    <w:rsid w:val="00D039CF"/>
    <w:rsid w:val="00D04263"/>
    <w:rsid w:val="00D043C0"/>
    <w:rsid w:val="00D04840"/>
    <w:rsid w:val="00D04B89"/>
    <w:rsid w:val="00D05B3D"/>
    <w:rsid w:val="00D06393"/>
    <w:rsid w:val="00D06DA8"/>
    <w:rsid w:val="00D10036"/>
    <w:rsid w:val="00D1006B"/>
    <w:rsid w:val="00D1070D"/>
    <w:rsid w:val="00D11964"/>
    <w:rsid w:val="00D11B33"/>
    <w:rsid w:val="00D12C31"/>
    <w:rsid w:val="00D139B0"/>
    <w:rsid w:val="00D13F23"/>
    <w:rsid w:val="00D146E7"/>
    <w:rsid w:val="00D149D9"/>
    <w:rsid w:val="00D14CC4"/>
    <w:rsid w:val="00D14E5E"/>
    <w:rsid w:val="00D154BB"/>
    <w:rsid w:val="00D158A5"/>
    <w:rsid w:val="00D15F90"/>
    <w:rsid w:val="00D16992"/>
    <w:rsid w:val="00D16B02"/>
    <w:rsid w:val="00D16DCD"/>
    <w:rsid w:val="00D17AF6"/>
    <w:rsid w:val="00D17DFE"/>
    <w:rsid w:val="00D20B81"/>
    <w:rsid w:val="00D2123B"/>
    <w:rsid w:val="00D2193C"/>
    <w:rsid w:val="00D21F3B"/>
    <w:rsid w:val="00D220A5"/>
    <w:rsid w:val="00D22515"/>
    <w:rsid w:val="00D2285C"/>
    <w:rsid w:val="00D22A07"/>
    <w:rsid w:val="00D23F21"/>
    <w:rsid w:val="00D25310"/>
    <w:rsid w:val="00D25507"/>
    <w:rsid w:val="00D255FC"/>
    <w:rsid w:val="00D256CA"/>
    <w:rsid w:val="00D26657"/>
    <w:rsid w:val="00D2705D"/>
    <w:rsid w:val="00D2708C"/>
    <w:rsid w:val="00D27397"/>
    <w:rsid w:val="00D273FE"/>
    <w:rsid w:val="00D2773E"/>
    <w:rsid w:val="00D278D8"/>
    <w:rsid w:val="00D27AAF"/>
    <w:rsid w:val="00D27C6C"/>
    <w:rsid w:val="00D30086"/>
    <w:rsid w:val="00D304E7"/>
    <w:rsid w:val="00D311D6"/>
    <w:rsid w:val="00D31C77"/>
    <w:rsid w:val="00D31E47"/>
    <w:rsid w:val="00D31FBC"/>
    <w:rsid w:val="00D32058"/>
    <w:rsid w:val="00D320E7"/>
    <w:rsid w:val="00D321B2"/>
    <w:rsid w:val="00D339BA"/>
    <w:rsid w:val="00D340C9"/>
    <w:rsid w:val="00D34115"/>
    <w:rsid w:val="00D34163"/>
    <w:rsid w:val="00D34543"/>
    <w:rsid w:val="00D3522B"/>
    <w:rsid w:val="00D371B5"/>
    <w:rsid w:val="00D373D8"/>
    <w:rsid w:val="00D37579"/>
    <w:rsid w:val="00D40400"/>
    <w:rsid w:val="00D40C0B"/>
    <w:rsid w:val="00D40C66"/>
    <w:rsid w:val="00D413B4"/>
    <w:rsid w:val="00D41661"/>
    <w:rsid w:val="00D41C15"/>
    <w:rsid w:val="00D4281A"/>
    <w:rsid w:val="00D4298E"/>
    <w:rsid w:val="00D42E57"/>
    <w:rsid w:val="00D42EA3"/>
    <w:rsid w:val="00D43354"/>
    <w:rsid w:val="00D43768"/>
    <w:rsid w:val="00D43B5B"/>
    <w:rsid w:val="00D43C8C"/>
    <w:rsid w:val="00D43CBE"/>
    <w:rsid w:val="00D43D4F"/>
    <w:rsid w:val="00D44157"/>
    <w:rsid w:val="00D452D9"/>
    <w:rsid w:val="00D455E4"/>
    <w:rsid w:val="00D466A4"/>
    <w:rsid w:val="00D472E9"/>
    <w:rsid w:val="00D47435"/>
    <w:rsid w:val="00D47A57"/>
    <w:rsid w:val="00D5072C"/>
    <w:rsid w:val="00D50777"/>
    <w:rsid w:val="00D50A66"/>
    <w:rsid w:val="00D513E9"/>
    <w:rsid w:val="00D51D2B"/>
    <w:rsid w:val="00D5209F"/>
    <w:rsid w:val="00D52569"/>
    <w:rsid w:val="00D528D8"/>
    <w:rsid w:val="00D54058"/>
    <w:rsid w:val="00D554C7"/>
    <w:rsid w:val="00D556C6"/>
    <w:rsid w:val="00D55970"/>
    <w:rsid w:val="00D5707D"/>
    <w:rsid w:val="00D57099"/>
    <w:rsid w:val="00D57BB2"/>
    <w:rsid w:val="00D6005C"/>
    <w:rsid w:val="00D6041D"/>
    <w:rsid w:val="00D6042B"/>
    <w:rsid w:val="00D60521"/>
    <w:rsid w:val="00D60883"/>
    <w:rsid w:val="00D616F5"/>
    <w:rsid w:val="00D617EC"/>
    <w:rsid w:val="00D619BD"/>
    <w:rsid w:val="00D61B9E"/>
    <w:rsid w:val="00D61E69"/>
    <w:rsid w:val="00D62BCA"/>
    <w:rsid w:val="00D638F6"/>
    <w:rsid w:val="00D63DD2"/>
    <w:rsid w:val="00D640B7"/>
    <w:rsid w:val="00D642F5"/>
    <w:rsid w:val="00D64479"/>
    <w:rsid w:val="00D66024"/>
    <w:rsid w:val="00D66084"/>
    <w:rsid w:val="00D66598"/>
    <w:rsid w:val="00D66676"/>
    <w:rsid w:val="00D66FFB"/>
    <w:rsid w:val="00D67981"/>
    <w:rsid w:val="00D7075D"/>
    <w:rsid w:val="00D70A86"/>
    <w:rsid w:val="00D71C01"/>
    <w:rsid w:val="00D71C20"/>
    <w:rsid w:val="00D73038"/>
    <w:rsid w:val="00D738D6"/>
    <w:rsid w:val="00D7398B"/>
    <w:rsid w:val="00D73E0C"/>
    <w:rsid w:val="00D740C3"/>
    <w:rsid w:val="00D742E6"/>
    <w:rsid w:val="00D7466B"/>
    <w:rsid w:val="00D74C0D"/>
    <w:rsid w:val="00D755EB"/>
    <w:rsid w:val="00D75A8C"/>
    <w:rsid w:val="00D76831"/>
    <w:rsid w:val="00D76B47"/>
    <w:rsid w:val="00D76BDB"/>
    <w:rsid w:val="00D76CD6"/>
    <w:rsid w:val="00D76EDB"/>
    <w:rsid w:val="00D76FC8"/>
    <w:rsid w:val="00D77779"/>
    <w:rsid w:val="00D77870"/>
    <w:rsid w:val="00D77B49"/>
    <w:rsid w:val="00D77C68"/>
    <w:rsid w:val="00D802A6"/>
    <w:rsid w:val="00D808CB"/>
    <w:rsid w:val="00D80A03"/>
    <w:rsid w:val="00D81045"/>
    <w:rsid w:val="00D8104F"/>
    <w:rsid w:val="00D8105F"/>
    <w:rsid w:val="00D81081"/>
    <w:rsid w:val="00D814D0"/>
    <w:rsid w:val="00D81F07"/>
    <w:rsid w:val="00D82003"/>
    <w:rsid w:val="00D82698"/>
    <w:rsid w:val="00D8318E"/>
    <w:rsid w:val="00D834EE"/>
    <w:rsid w:val="00D83A2F"/>
    <w:rsid w:val="00D8467E"/>
    <w:rsid w:val="00D84F0C"/>
    <w:rsid w:val="00D85C16"/>
    <w:rsid w:val="00D85FF0"/>
    <w:rsid w:val="00D869A5"/>
    <w:rsid w:val="00D86B4A"/>
    <w:rsid w:val="00D87103"/>
    <w:rsid w:val="00D87114"/>
    <w:rsid w:val="00D87C7C"/>
    <w:rsid w:val="00D87E00"/>
    <w:rsid w:val="00D90CAF"/>
    <w:rsid w:val="00D9134D"/>
    <w:rsid w:val="00D91AAE"/>
    <w:rsid w:val="00D91B9A"/>
    <w:rsid w:val="00D91DDD"/>
    <w:rsid w:val="00D9208C"/>
    <w:rsid w:val="00D9235F"/>
    <w:rsid w:val="00D92F72"/>
    <w:rsid w:val="00D9411A"/>
    <w:rsid w:val="00D9416D"/>
    <w:rsid w:val="00D943AA"/>
    <w:rsid w:val="00D9488A"/>
    <w:rsid w:val="00D94CA6"/>
    <w:rsid w:val="00D94D76"/>
    <w:rsid w:val="00D94ED5"/>
    <w:rsid w:val="00D95CE9"/>
    <w:rsid w:val="00D95E1D"/>
    <w:rsid w:val="00D9623D"/>
    <w:rsid w:val="00D97120"/>
    <w:rsid w:val="00D979B9"/>
    <w:rsid w:val="00DA0F5C"/>
    <w:rsid w:val="00DA0FBA"/>
    <w:rsid w:val="00DA183C"/>
    <w:rsid w:val="00DA190C"/>
    <w:rsid w:val="00DA20E9"/>
    <w:rsid w:val="00DA252C"/>
    <w:rsid w:val="00DA29A5"/>
    <w:rsid w:val="00DA2FF7"/>
    <w:rsid w:val="00DA323B"/>
    <w:rsid w:val="00DA3F21"/>
    <w:rsid w:val="00DA40B2"/>
    <w:rsid w:val="00DA44A9"/>
    <w:rsid w:val="00DA5B8D"/>
    <w:rsid w:val="00DA5D87"/>
    <w:rsid w:val="00DA656F"/>
    <w:rsid w:val="00DA6941"/>
    <w:rsid w:val="00DA78EA"/>
    <w:rsid w:val="00DA7A03"/>
    <w:rsid w:val="00DA7DFA"/>
    <w:rsid w:val="00DB0AB6"/>
    <w:rsid w:val="00DB0D39"/>
    <w:rsid w:val="00DB0FE5"/>
    <w:rsid w:val="00DB10CF"/>
    <w:rsid w:val="00DB1818"/>
    <w:rsid w:val="00DB1D74"/>
    <w:rsid w:val="00DB1F4C"/>
    <w:rsid w:val="00DB2C3A"/>
    <w:rsid w:val="00DB35D4"/>
    <w:rsid w:val="00DB38D8"/>
    <w:rsid w:val="00DB396C"/>
    <w:rsid w:val="00DB39D3"/>
    <w:rsid w:val="00DB3DFE"/>
    <w:rsid w:val="00DB4153"/>
    <w:rsid w:val="00DB4260"/>
    <w:rsid w:val="00DB4C9E"/>
    <w:rsid w:val="00DB5373"/>
    <w:rsid w:val="00DB54F5"/>
    <w:rsid w:val="00DB5AE1"/>
    <w:rsid w:val="00DB6456"/>
    <w:rsid w:val="00DB6585"/>
    <w:rsid w:val="00DB7125"/>
    <w:rsid w:val="00DB7325"/>
    <w:rsid w:val="00DB7A31"/>
    <w:rsid w:val="00DB7C72"/>
    <w:rsid w:val="00DC05F8"/>
    <w:rsid w:val="00DC0836"/>
    <w:rsid w:val="00DC09F3"/>
    <w:rsid w:val="00DC12DC"/>
    <w:rsid w:val="00DC186C"/>
    <w:rsid w:val="00DC1A04"/>
    <w:rsid w:val="00DC1C64"/>
    <w:rsid w:val="00DC212C"/>
    <w:rsid w:val="00DC2253"/>
    <w:rsid w:val="00DC23B6"/>
    <w:rsid w:val="00DC28F6"/>
    <w:rsid w:val="00DC2F8C"/>
    <w:rsid w:val="00DC309B"/>
    <w:rsid w:val="00DC3A74"/>
    <w:rsid w:val="00DC3B9F"/>
    <w:rsid w:val="00DC3CFE"/>
    <w:rsid w:val="00DC3F7F"/>
    <w:rsid w:val="00DC4556"/>
    <w:rsid w:val="00DC4589"/>
    <w:rsid w:val="00DC4599"/>
    <w:rsid w:val="00DC4A7E"/>
    <w:rsid w:val="00DC4CFF"/>
    <w:rsid w:val="00DC4DA2"/>
    <w:rsid w:val="00DC5D21"/>
    <w:rsid w:val="00DC61B2"/>
    <w:rsid w:val="00DC7446"/>
    <w:rsid w:val="00DD071D"/>
    <w:rsid w:val="00DD119B"/>
    <w:rsid w:val="00DD17F6"/>
    <w:rsid w:val="00DD1CB1"/>
    <w:rsid w:val="00DD2133"/>
    <w:rsid w:val="00DD2BDA"/>
    <w:rsid w:val="00DD3F22"/>
    <w:rsid w:val="00DD40AE"/>
    <w:rsid w:val="00DD41E3"/>
    <w:rsid w:val="00DD519D"/>
    <w:rsid w:val="00DD54B7"/>
    <w:rsid w:val="00DD56D5"/>
    <w:rsid w:val="00DD5704"/>
    <w:rsid w:val="00DD5909"/>
    <w:rsid w:val="00DD5AD5"/>
    <w:rsid w:val="00DD6C83"/>
    <w:rsid w:val="00DD7D36"/>
    <w:rsid w:val="00DE0569"/>
    <w:rsid w:val="00DE13CA"/>
    <w:rsid w:val="00DE2050"/>
    <w:rsid w:val="00DE2472"/>
    <w:rsid w:val="00DE2916"/>
    <w:rsid w:val="00DE2AA0"/>
    <w:rsid w:val="00DE2AEA"/>
    <w:rsid w:val="00DE30CA"/>
    <w:rsid w:val="00DE36A5"/>
    <w:rsid w:val="00DE3869"/>
    <w:rsid w:val="00DE38B4"/>
    <w:rsid w:val="00DE38C9"/>
    <w:rsid w:val="00DE42FC"/>
    <w:rsid w:val="00DE45E4"/>
    <w:rsid w:val="00DE4DDF"/>
    <w:rsid w:val="00DE67D3"/>
    <w:rsid w:val="00DE69EA"/>
    <w:rsid w:val="00DE6D85"/>
    <w:rsid w:val="00DE706D"/>
    <w:rsid w:val="00DE75F8"/>
    <w:rsid w:val="00DE772E"/>
    <w:rsid w:val="00DF0332"/>
    <w:rsid w:val="00DF03A9"/>
    <w:rsid w:val="00DF193B"/>
    <w:rsid w:val="00DF1B88"/>
    <w:rsid w:val="00DF233D"/>
    <w:rsid w:val="00DF2B1F"/>
    <w:rsid w:val="00DF2F13"/>
    <w:rsid w:val="00DF3064"/>
    <w:rsid w:val="00DF3665"/>
    <w:rsid w:val="00DF4D83"/>
    <w:rsid w:val="00DF596B"/>
    <w:rsid w:val="00DF62CD"/>
    <w:rsid w:val="00DF6D54"/>
    <w:rsid w:val="00DF71AA"/>
    <w:rsid w:val="00DF769C"/>
    <w:rsid w:val="00E001AC"/>
    <w:rsid w:val="00E003EC"/>
    <w:rsid w:val="00E019D3"/>
    <w:rsid w:val="00E01C32"/>
    <w:rsid w:val="00E020E7"/>
    <w:rsid w:val="00E030EF"/>
    <w:rsid w:val="00E03F0A"/>
    <w:rsid w:val="00E044A4"/>
    <w:rsid w:val="00E04873"/>
    <w:rsid w:val="00E04BE6"/>
    <w:rsid w:val="00E04C54"/>
    <w:rsid w:val="00E064EC"/>
    <w:rsid w:val="00E06752"/>
    <w:rsid w:val="00E0742C"/>
    <w:rsid w:val="00E10299"/>
    <w:rsid w:val="00E11EF5"/>
    <w:rsid w:val="00E12151"/>
    <w:rsid w:val="00E13444"/>
    <w:rsid w:val="00E136FB"/>
    <w:rsid w:val="00E13CFB"/>
    <w:rsid w:val="00E15AFA"/>
    <w:rsid w:val="00E16C35"/>
    <w:rsid w:val="00E17676"/>
    <w:rsid w:val="00E17DC3"/>
    <w:rsid w:val="00E20AC7"/>
    <w:rsid w:val="00E20B6D"/>
    <w:rsid w:val="00E20EDD"/>
    <w:rsid w:val="00E224DA"/>
    <w:rsid w:val="00E22655"/>
    <w:rsid w:val="00E23786"/>
    <w:rsid w:val="00E24132"/>
    <w:rsid w:val="00E24ACD"/>
    <w:rsid w:val="00E24CBE"/>
    <w:rsid w:val="00E25155"/>
    <w:rsid w:val="00E25637"/>
    <w:rsid w:val="00E25D31"/>
    <w:rsid w:val="00E25EC7"/>
    <w:rsid w:val="00E261F7"/>
    <w:rsid w:val="00E27032"/>
    <w:rsid w:val="00E278B4"/>
    <w:rsid w:val="00E30596"/>
    <w:rsid w:val="00E308F0"/>
    <w:rsid w:val="00E30C80"/>
    <w:rsid w:val="00E30D12"/>
    <w:rsid w:val="00E3163E"/>
    <w:rsid w:val="00E321FA"/>
    <w:rsid w:val="00E32325"/>
    <w:rsid w:val="00E32EE4"/>
    <w:rsid w:val="00E32F31"/>
    <w:rsid w:val="00E331CF"/>
    <w:rsid w:val="00E33328"/>
    <w:rsid w:val="00E33CD3"/>
    <w:rsid w:val="00E34069"/>
    <w:rsid w:val="00E34300"/>
    <w:rsid w:val="00E34B85"/>
    <w:rsid w:val="00E3533C"/>
    <w:rsid w:val="00E35B07"/>
    <w:rsid w:val="00E366B1"/>
    <w:rsid w:val="00E37721"/>
    <w:rsid w:val="00E3772C"/>
    <w:rsid w:val="00E37785"/>
    <w:rsid w:val="00E37794"/>
    <w:rsid w:val="00E37BBB"/>
    <w:rsid w:val="00E37EF6"/>
    <w:rsid w:val="00E40214"/>
    <w:rsid w:val="00E4085A"/>
    <w:rsid w:val="00E4140C"/>
    <w:rsid w:val="00E41A62"/>
    <w:rsid w:val="00E42539"/>
    <w:rsid w:val="00E42A7C"/>
    <w:rsid w:val="00E43D3E"/>
    <w:rsid w:val="00E43E9A"/>
    <w:rsid w:val="00E44096"/>
    <w:rsid w:val="00E446F1"/>
    <w:rsid w:val="00E44711"/>
    <w:rsid w:val="00E4523B"/>
    <w:rsid w:val="00E453B2"/>
    <w:rsid w:val="00E45A0C"/>
    <w:rsid w:val="00E45F8C"/>
    <w:rsid w:val="00E4603D"/>
    <w:rsid w:val="00E464BC"/>
    <w:rsid w:val="00E472DE"/>
    <w:rsid w:val="00E47878"/>
    <w:rsid w:val="00E5008B"/>
    <w:rsid w:val="00E50613"/>
    <w:rsid w:val="00E507A8"/>
    <w:rsid w:val="00E5105F"/>
    <w:rsid w:val="00E5161E"/>
    <w:rsid w:val="00E51D31"/>
    <w:rsid w:val="00E51E47"/>
    <w:rsid w:val="00E51F6C"/>
    <w:rsid w:val="00E5200C"/>
    <w:rsid w:val="00E52FCE"/>
    <w:rsid w:val="00E537A7"/>
    <w:rsid w:val="00E5386B"/>
    <w:rsid w:val="00E54651"/>
    <w:rsid w:val="00E54894"/>
    <w:rsid w:val="00E54AF9"/>
    <w:rsid w:val="00E5509A"/>
    <w:rsid w:val="00E55FCB"/>
    <w:rsid w:val="00E56861"/>
    <w:rsid w:val="00E56D96"/>
    <w:rsid w:val="00E570B3"/>
    <w:rsid w:val="00E5739B"/>
    <w:rsid w:val="00E57A80"/>
    <w:rsid w:val="00E60907"/>
    <w:rsid w:val="00E613B1"/>
    <w:rsid w:val="00E61F98"/>
    <w:rsid w:val="00E62526"/>
    <w:rsid w:val="00E62DA2"/>
    <w:rsid w:val="00E63827"/>
    <w:rsid w:val="00E65D33"/>
    <w:rsid w:val="00E65D4F"/>
    <w:rsid w:val="00E668F6"/>
    <w:rsid w:val="00E6796A"/>
    <w:rsid w:val="00E67E28"/>
    <w:rsid w:val="00E70812"/>
    <w:rsid w:val="00E70A36"/>
    <w:rsid w:val="00E70DF5"/>
    <w:rsid w:val="00E716C1"/>
    <w:rsid w:val="00E7184F"/>
    <w:rsid w:val="00E71998"/>
    <w:rsid w:val="00E71E98"/>
    <w:rsid w:val="00E72515"/>
    <w:rsid w:val="00E72C7B"/>
    <w:rsid w:val="00E72CD4"/>
    <w:rsid w:val="00E73010"/>
    <w:rsid w:val="00E738E0"/>
    <w:rsid w:val="00E73DB0"/>
    <w:rsid w:val="00E73E69"/>
    <w:rsid w:val="00E741AE"/>
    <w:rsid w:val="00E75181"/>
    <w:rsid w:val="00E77645"/>
    <w:rsid w:val="00E7792F"/>
    <w:rsid w:val="00E80075"/>
    <w:rsid w:val="00E80B30"/>
    <w:rsid w:val="00E817DD"/>
    <w:rsid w:val="00E83848"/>
    <w:rsid w:val="00E8398E"/>
    <w:rsid w:val="00E84570"/>
    <w:rsid w:val="00E84961"/>
    <w:rsid w:val="00E84AAA"/>
    <w:rsid w:val="00E86B8E"/>
    <w:rsid w:val="00E873F0"/>
    <w:rsid w:val="00E87ADE"/>
    <w:rsid w:val="00E87E73"/>
    <w:rsid w:val="00E90372"/>
    <w:rsid w:val="00E905B3"/>
    <w:rsid w:val="00E90707"/>
    <w:rsid w:val="00E907A3"/>
    <w:rsid w:val="00E91BF4"/>
    <w:rsid w:val="00E92510"/>
    <w:rsid w:val="00E927CC"/>
    <w:rsid w:val="00E92CA9"/>
    <w:rsid w:val="00E93B07"/>
    <w:rsid w:val="00E93D6B"/>
    <w:rsid w:val="00E94B55"/>
    <w:rsid w:val="00E94E59"/>
    <w:rsid w:val="00E9549A"/>
    <w:rsid w:val="00E958D7"/>
    <w:rsid w:val="00E968F2"/>
    <w:rsid w:val="00E9723D"/>
    <w:rsid w:val="00E974FF"/>
    <w:rsid w:val="00E977B7"/>
    <w:rsid w:val="00E97E07"/>
    <w:rsid w:val="00EA02A8"/>
    <w:rsid w:val="00EA0849"/>
    <w:rsid w:val="00EA086C"/>
    <w:rsid w:val="00EA12A1"/>
    <w:rsid w:val="00EA2340"/>
    <w:rsid w:val="00EA313D"/>
    <w:rsid w:val="00EA324D"/>
    <w:rsid w:val="00EA34ED"/>
    <w:rsid w:val="00EA3561"/>
    <w:rsid w:val="00EA38E9"/>
    <w:rsid w:val="00EA4783"/>
    <w:rsid w:val="00EA4B4A"/>
    <w:rsid w:val="00EA5AFC"/>
    <w:rsid w:val="00EA7096"/>
    <w:rsid w:val="00EA72D6"/>
    <w:rsid w:val="00EA7E34"/>
    <w:rsid w:val="00EB00FC"/>
    <w:rsid w:val="00EB048C"/>
    <w:rsid w:val="00EB0CA1"/>
    <w:rsid w:val="00EB0EEE"/>
    <w:rsid w:val="00EB113C"/>
    <w:rsid w:val="00EB1C68"/>
    <w:rsid w:val="00EB1D8F"/>
    <w:rsid w:val="00EB2781"/>
    <w:rsid w:val="00EB29D9"/>
    <w:rsid w:val="00EB2BD6"/>
    <w:rsid w:val="00EB38F8"/>
    <w:rsid w:val="00EB3ABD"/>
    <w:rsid w:val="00EB3F37"/>
    <w:rsid w:val="00EB40BD"/>
    <w:rsid w:val="00EB4835"/>
    <w:rsid w:val="00EB4AC6"/>
    <w:rsid w:val="00EB4DE3"/>
    <w:rsid w:val="00EB5542"/>
    <w:rsid w:val="00EB5D9B"/>
    <w:rsid w:val="00EB6192"/>
    <w:rsid w:val="00EB6250"/>
    <w:rsid w:val="00EB6BBC"/>
    <w:rsid w:val="00EB71C8"/>
    <w:rsid w:val="00EB7410"/>
    <w:rsid w:val="00EB775A"/>
    <w:rsid w:val="00EB7D51"/>
    <w:rsid w:val="00EC05BD"/>
    <w:rsid w:val="00EC0645"/>
    <w:rsid w:val="00EC06BE"/>
    <w:rsid w:val="00EC0ACD"/>
    <w:rsid w:val="00EC0E09"/>
    <w:rsid w:val="00EC0F58"/>
    <w:rsid w:val="00EC13FA"/>
    <w:rsid w:val="00EC22EE"/>
    <w:rsid w:val="00EC2FE9"/>
    <w:rsid w:val="00EC3B1F"/>
    <w:rsid w:val="00EC4A25"/>
    <w:rsid w:val="00EC505B"/>
    <w:rsid w:val="00EC53EC"/>
    <w:rsid w:val="00EC5DA9"/>
    <w:rsid w:val="00EC5E63"/>
    <w:rsid w:val="00EC6393"/>
    <w:rsid w:val="00EC6B23"/>
    <w:rsid w:val="00EC6BC0"/>
    <w:rsid w:val="00EC6F05"/>
    <w:rsid w:val="00ED04FE"/>
    <w:rsid w:val="00ED0986"/>
    <w:rsid w:val="00ED1CE6"/>
    <w:rsid w:val="00ED2012"/>
    <w:rsid w:val="00ED2404"/>
    <w:rsid w:val="00ED2AC5"/>
    <w:rsid w:val="00ED3522"/>
    <w:rsid w:val="00ED3BBA"/>
    <w:rsid w:val="00ED42B2"/>
    <w:rsid w:val="00ED4363"/>
    <w:rsid w:val="00ED52B3"/>
    <w:rsid w:val="00ED6251"/>
    <w:rsid w:val="00ED6950"/>
    <w:rsid w:val="00ED6DAB"/>
    <w:rsid w:val="00ED7107"/>
    <w:rsid w:val="00ED72F1"/>
    <w:rsid w:val="00ED737D"/>
    <w:rsid w:val="00EE0490"/>
    <w:rsid w:val="00EE0D71"/>
    <w:rsid w:val="00EE0FC1"/>
    <w:rsid w:val="00EE1CE1"/>
    <w:rsid w:val="00EE1E8B"/>
    <w:rsid w:val="00EE2099"/>
    <w:rsid w:val="00EE22F8"/>
    <w:rsid w:val="00EE23B0"/>
    <w:rsid w:val="00EE30D8"/>
    <w:rsid w:val="00EE3123"/>
    <w:rsid w:val="00EE31FF"/>
    <w:rsid w:val="00EE3F9C"/>
    <w:rsid w:val="00EE45E2"/>
    <w:rsid w:val="00EE476B"/>
    <w:rsid w:val="00EE4F6E"/>
    <w:rsid w:val="00EE596A"/>
    <w:rsid w:val="00EE5E23"/>
    <w:rsid w:val="00EE6679"/>
    <w:rsid w:val="00EE69F4"/>
    <w:rsid w:val="00EE6AD1"/>
    <w:rsid w:val="00EF01D8"/>
    <w:rsid w:val="00EF0394"/>
    <w:rsid w:val="00EF0608"/>
    <w:rsid w:val="00EF0613"/>
    <w:rsid w:val="00EF0D14"/>
    <w:rsid w:val="00EF12E0"/>
    <w:rsid w:val="00EF1B0D"/>
    <w:rsid w:val="00EF1B4E"/>
    <w:rsid w:val="00EF1BE1"/>
    <w:rsid w:val="00EF281B"/>
    <w:rsid w:val="00EF2B82"/>
    <w:rsid w:val="00EF2EE2"/>
    <w:rsid w:val="00EF3880"/>
    <w:rsid w:val="00EF3DED"/>
    <w:rsid w:val="00EF3F1F"/>
    <w:rsid w:val="00EF41A4"/>
    <w:rsid w:val="00EF4B4A"/>
    <w:rsid w:val="00EF4CD1"/>
    <w:rsid w:val="00EF4F41"/>
    <w:rsid w:val="00EF54DA"/>
    <w:rsid w:val="00EF54F9"/>
    <w:rsid w:val="00EF5AC7"/>
    <w:rsid w:val="00EF71C1"/>
    <w:rsid w:val="00EF7D13"/>
    <w:rsid w:val="00F006BF"/>
    <w:rsid w:val="00F010BD"/>
    <w:rsid w:val="00F013FF"/>
    <w:rsid w:val="00F01E52"/>
    <w:rsid w:val="00F020D7"/>
    <w:rsid w:val="00F025A2"/>
    <w:rsid w:val="00F02C56"/>
    <w:rsid w:val="00F04712"/>
    <w:rsid w:val="00F0522D"/>
    <w:rsid w:val="00F052E7"/>
    <w:rsid w:val="00F059B0"/>
    <w:rsid w:val="00F0602B"/>
    <w:rsid w:val="00F06794"/>
    <w:rsid w:val="00F077FE"/>
    <w:rsid w:val="00F104FA"/>
    <w:rsid w:val="00F116B6"/>
    <w:rsid w:val="00F118A5"/>
    <w:rsid w:val="00F11C0B"/>
    <w:rsid w:val="00F11C9E"/>
    <w:rsid w:val="00F124E7"/>
    <w:rsid w:val="00F133E7"/>
    <w:rsid w:val="00F141BB"/>
    <w:rsid w:val="00F14948"/>
    <w:rsid w:val="00F1512F"/>
    <w:rsid w:val="00F15152"/>
    <w:rsid w:val="00F15DDF"/>
    <w:rsid w:val="00F1607C"/>
    <w:rsid w:val="00F16FF8"/>
    <w:rsid w:val="00F1733C"/>
    <w:rsid w:val="00F2066F"/>
    <w:rsid w:val="00F20A06"/>
    <w:rsid w:val="00F20EAB"/>
    <w:rsid w:val="00F211EB"/>
    <w:rsid w:val="00F2124C"/>
    <w:rsid w:val="00F21449"/>
    <w:rsid w:val="00F21BA4"/>
    <w:rsid w:val="00F22EC7"/>
    <w:rsid w:val="00F22ED1"/>
    <w:rsid w:val="00F23234"/>
    <w:rsid w:val="00F23B09"/>
    <w:rsid w:val="00F246FA"/>
    <w:rsid w:val="00F24EC6"/>
    <w:rsid w:val="00F252C9"/>
    <w:rsid w:val="00F260C4"/>
    <w:rsid w:val="00F26562"/>
    <w:rsid w:val="00F26B50"/>
    <w:rsid w:val="00F2752E"/>
    <w:rsid w:val="00F3038E"/>
    <w:rsid w:val="00F3126E"/>
    <w:rsid w:val="00F312C8"/>
    <w:rsid w:val="00F32113"/>
    <w:rsid w:val="00F335DF"/>
    <w:rsid w:val="00F33DC0"/>
    <w:rsid w:val="00F35410"/>
    <w:rsid w:val="00F36ADA"/>
    <w:rsid w:val="00F37389"/>
    <w:rsid w:val="00F37CEC"/>
    <w:rsid w:val="00F40C51"/>
    <w:rsid w:val="00F413BB"/>
    <w:rsid w:val="00F414BB"/>
    <w:rsid w:val="00F41668"/>
    <w:rsid w:val="00F4171F"/>
    <w:rsid w:val="00F41977"/>
    <w:rsid w:val="00F425F0"/>
    <w:rsid w:val="00F4280A"/>
    <w:rsid w:val="00F42825"/>
    <w:rsid w:val="00F43432"/>
    <w:rsid w:val="00F44260"/>
    <w:rsid w:val="00F4495C"/>
    <w:rsid w:val="00F45553"/>
    <w:rsid w:val="00F458EC"/>
    <w:rsid w:val="00F45FF9"/>
    <w:rsid w:val="00F46050"/>
    <w:rsid w:val="00F47417"/>
    <w:rsid w:val="00F477B1"/>
    <w:rsid w:val="00F47E60"/>
    <w:rsid w:val="00F505DC"/>
    <w:rsid w:val="00F51719"/>
    <w:rsid w:val="00F517B0"/>
    <w:rsid w:val="00F51E96"/>
    <w:rsid w:val="00F52656"/>
    <w:rsid w:val="00F526FC"/>
    <w:rsid w:val="00F53201"/>
    <w:rsid w:val="00F53DC3"/>
    <w:rsid w:val="00F53E83"/>
    <w:rsid w:val="00F55242"/>
    <w:rsid w:val="00F553B9"/>
    <w:rsid w:val="00F55AFE"/>
    <w:rsid w:val="00F55B59"/>
    <w:rsid w:val="00F55BCD"/>
    <w:rsid w:val="00F56126"/>
    <w:rsid w:val="00F566A5"/>
    <w:rsid w:val="00F5683C"/>
    <w:rsid w:val="00F56D0F"/>
    <w:rsid w:val="00F57418"/>
    <w:rsid w:val="00F57CEA"/>
    <w:rsid w:val="00F60141"/>
    <w:rsid w:val="00F605E7"/>
    <w:rsid w:val="00F60E49"/>
    <w:rsid w:val="00F60E91"/>
    <w:rsid w:val="00F61293"/>
    <w:rsid w:val="00F614F7"/>
    <w:rsid w:val="00F61BC5"/>
    <w:rsid w:val="00F63121"/>
    <w:rsid w:val="00F633FE"/>
    <w:rsid w:val="00F6356F"/>
    <w:rsid w:val="00F63D4C"/>
    <w:rsid w:val="00F643CE"/>
    <w:rsid w:val="00F64C00"/>
    <w:rsid w:val="00F6512A"/>
    <w:rsid w:val="00F653B8"/>
    <w:rsid w:val="00F653F5"/>
    <w:rsid w:val="00F65D93"/>
    <w:rsid w:val="00F66414"/>
    <w:rsid w:val="00F664B1"/>
    <w:rsid w:val="00F66A82"/>
    <w:rsid w:val="00F66D93"/>
    <w:rsid w:val="00F66EF1"/>
    <w:rsid w:val="00F67361"/>
    <w:rsid w:val="00F67F85"/>
    <w:rsid w:val="00F70A70"/>
    <w:rsid w:val="00F70E8D"/>
    <w:rsid w:val="00F71341"/>
    <w:rsid w:val="00F71AC6"/>
    <w:rsid w:val="00F71C78"/>
    <w:rsid w:val="00F71CD8"/>
    <w:rsid w:val="00F71EDA"/>
    <w:rsid w:val="00F71F39"/>
    <w:rsid w:val="00F72620"/>
    <w:rsid w:val="00F7265A"/>
    <w:rsid w:val="00F72C13"/>
    <w:rsid w:val="00F72C7A"/>
    <w:rsid w:val="00F735FA"/>
    <w:rsid w:val="00F73823"/>
    <w:rsid w:val="00F73DC5"/>
    <w:rsid w:val="00F74014"/>
    <w:rsid w:val="00F743FB"/>
    <w:rsid w:val="00F745A0"/>
    <w:rsid w:val="00F75F59"/>
    <w:rsid w:val="00F7742D"/>
    <w:rsid w:val="00F77B5E"/>
    <w:rsid w:val="00F77FD7"/>
    <w:rsid w:val="00F800D0"/>
    <w:rsid w:val="00F80455"/>
    <w:rsid w:val="00F8140E"/>
    <w:rsid w:val="00F81821"/>
    <w:rsid w:val="00F82E4F"/>
    <w:rsid w:val="00F831CC"/>
    <w:rsid w:val="00F8369C"/>
    <w:rsid w:val="00F854C6"/>
    <w:rsid w:val="00F8602E"/>
    <w:rsid w:val="00F864D2"/>
    <w:rsid w:val="00F86777"/>
    <w:rsid w:val="00F867E0"/>
    <w:rsid w:val="00F87202"/>
    <w:rsid w:val="00F872FC"/>
    <w:rsid w:val="00F8751A"/>
    <w:rsid w:val="00F8773C"/>
    <w:rsid w:val="00F87C1B"/>
    <w:rsid w:val="00F87C66"/>
    <w:rsid w:val="00F87F95"/>
    <w:rsid w:val="00F90002"/>
    <w:rsid w:val="00F90026"/>
    <w:rsid w:val="00F9037E"/>
    <w:rsid w:val="00F91A2E"/>
    <w:rsid w:val="00F91ED2"/>
    <w:rsid w:val="00F91FC3"/>
    <w:rsid w:val="00F92603"/>
    <w:rsid w:val="00F9365B"/>
    <w:rsid w:val="00F93760"/>
    <w:rsid w:val="00F9451E"/>
    <w:rsid w:val="00F969D0"/>
    <w:rsid w:val="00F96E11"/>
    <w:rsid w:val="00F97F32"/>
    <w:rsid w:val="00FA1266"/>
    <w:rsid w:val="00FA12C0"/>
    <w:rsid w:val="00FA1301"/>
    <w:rsid w:val="00FA1399"/>
    <w:rsid w:val="00FA1639"/>
    <w:rsid w:val="00FA1949"/>
    <w:rsid w:val="00FA2698"/>
    <w:rsid w:val="00FA29C7"/>
    <w:rsid w:val="00FA2DC7"/>
    <w:rsid w:val="00FA2F92"/>
    <w:rsid w:val="00FA3304"/>
    <w:rsid w:val="00FA3355"/>
    <w:rsid w:val="00FA3A49"/>
    <w:rsid w:val="00FA3B59"/>
    <w:rsid w:val="00FA3C9D"/>
    <w:rsid w:val="00FA41EA"/>
    <w:rsid w:val="00FA4335"/>
    <w:rsid w:val="00FA439A"/>
    <w:rsid w:val="00FA444E"/>
    <w:rsid w:val="00FA4D19"/>
    <w:rsid w:val="00FA5105"/>
    <w:rsid w:val="00FA57C6"/>
    <w:rsid w:val="00FA6077"/>
    <w:rsid w:val="00FA6943"/>
    <w:rsid w:val="00FA72CE"/>
    <w:rsid w:val="00FA786C"/>
    <w:rsid w:val="00FB09C0"/>
    <w:rsid w:val="00FB0AB3"/>
    <w:rsid w:val="00FB1FC6"/>
    <w:rsid w:val="00FB3A3E"/>
    <w:rsid w:val="00FB43C6"/>
    <w:rsid w:val="00FB48DD"/>
    <w:rsid w:val="00FB51F0"/>
    <w:rsid w:val="00FB5AFE"/>
    <w:rsid w:val="00FB620F"/>
    <w:rsid w:val="00FB725D"/>
    <w:rsid w:val="00FB771C"/>
    <w:rsid w:val="00FB7EA7"/>
    <w:rsid w:val="00FC046E"/>
    <w:rsid w:val="00FC0551"/>
    <w:rsid w:val="00FC1192"/>
    <w:rsid w:val="00FC1738"/>
    <w:rsid w:val="00FC1819"/>
    <w:rsid w:val="00FC269C"/>
    <w:rsid w:val="00FC2779"/>
    <w:rsid w:val="00FC2D84"/>
    <w:rsid w:val="00FC426D"/>
    <w:rsid w:val="00FC4448"/>
    <w:rsid w:val="00FC4636"/>
    <w:rsid w:val="00FC48D6"/>
    <w:rsid w:val="00FC4C2C"/>
    <w:rsid w:val="00FC51E7"/>
    <w:rsid w:val="00FC5FB2"/>
    <w:rsid w:val="00FC6BED"/>
    <w:rsid w:val="00FC6CA6"/>
    <w:rsid w:val="00FC6CA8"/>
    <w:rsid w:val="00FC71C6"/>
    <w:rsid w:val="00FC7333"/>
    <w:rsid w:val="00FC747B"/>
    <w:rsid w:val="00FC7FA4"/>
    <w:rsid w:val="00FD0689"/>
    <w:rsid w:val="00FD13B8"/>
    <w:rsid w:val="00FD2683"/>
    <w:rsid w:val="00FD2CDF"/>
    <w:rsid w:val="00FD3454"/>
    <w:rsid w:val="00FD3A54"/>
    <w:rsid w:val="00FD3D2E"/>
    <w:rsid w:val="00FD45B9"/>
    <w:rsid w:val="00FD475A"/>
    <w:rsid w:val="00FD5328"/>
    <w:rsid w:val="00FD53EB"/>
    <w:rsid w:val="00FD571C"/>
    <w:rsid w:val="00FD5F51"/>
    <w:rsid w:val="00FD66B1"/>
    <w:rsid w:val="00FD6AAF"/>
    <w:rsid w:val="00FD6F8D"/>
    <w:rsid w:val="00FD7E5D"/>
    <w:rsid w:val="00FE0061"/>
    <w:rsid w:val="00FE097D"/>
    <w:rsid w:val="00FE0B68"/>
    <w:rsid w:val="00FE0C3D"/>
    <w:rsid w:val="00FE0CEE"/>
    <w:rsid w:val="00FE19B0"/>
    <w:rsid w:val="00FE22DE"/>
    <w:rsid w:val="00FE2B8D"/>
    <w:rsid w:val="00FE3544"/>
    <w:rsid w:val="00FE44E9"/>
    <w:rsid w:val="00FE4CE9"/>
    <w:rsid w:val="00FE4FA5"/>
    <w:rsid w:val="00FE5718"/>
    <w:rsid w:val="00FE5E53"/>
    <w:rsid w:val="00FE72CE"/>
    <w:rsid w:val="00FE73D6"/>
    <w:rsid w:val="00FE744D"/>
    <w:rsid w:val="00FF08AE"/>
    <w:rsid w:val="00FF0D54"/>
    <w:rsid w:val="00FF1283"/>
    <w:rsid w:val="00FF1EA9"/>
    <w:rsid w:val="00FF1F6C"/>
    <w:rsid w:val="00FF201C"/>
    <w:rsid w:val="00FF21EE"/>
    <w:rsid w:val="00FF2EDE"/>
    <w:rsid w:val="00FF3BB9"/>
    <w:rsid w:val="00FF3E7B"/>
    <w:rsid w:val="00FF4705"/>
    <w:rsid w:val="00FF5110"/>
    <w:rsid w:val="00FF604A"/>
    <w:rsid w:val="00FF6E5B"/>
    <w:rsid w:val="00FF7B6B"/>
    <w:rsid w:val="00FF7B9A"/>
    <w:rsid w:val="00FF7D35"/>
    <w:rsid w:val="00FF7D4E"/>
    <w:rsid w:val="00FF7D67"/>
    <w:rsid w:val="00FF7FF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7565FBF8"/>
  <w15:docId w15:val="{9C4A7056-588A-40AF-9974-C141EA7F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iPriority="99" w:unhideWhenUsed="1" w:qFormat="1"/>
    <w:lsdException w:name="footnote text" w:semiHidden="1" w:unhideWhenUsed="1" w:qFormat="1"/>
    <w:lsdException w:name="annotation text" w:semiHidden="1" w:uiPriority="99" w:unhideWhenUsed="1" w:qFormat="1"/>
    <w:lsdException w:name="header" w:semiHidden="1" w:unhideWhenUsed="1" w:qFormat="1"/>
    <w:lsdException w:name="footer" w:semiHidden="1" w:unhideWhenUsed="1" w:qFormat="1"/>
    <w:lsdException w:name="index heading" w:semiHidden="1" w:uiPriority="99" w:unhideWhenUsed="1" w:qFormat="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qFormat="1"/>
    <w:lsdException w:name="List 3" w:semiHidden="1" w:unhideWhenUsed="1" w:qFormat="1"/>
    <w:lsdException w:name="List 4" w:qFormat="1"/>
    <w:lsdException w:name="List 5"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iPriority="99" w:unhideWhenUsed="1"/>
    <w:lsdException w:name="List Number 4" w:semiHidden="1" w:uiPriority="99" w:unhideWhenUsed="1" w:qFormat="1"/>
    <w:lsdException w:name="List Number 5" w:semiHidden="1" w:uiPriority="99" w:unhideWhenUsed="1" w:qFormat="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qFormat="1"/>
    <w:lsdException w:name="Body Text Indent 2" w:semiHidden="1" w:uiPriority="99"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qFormat="1"/>
    <w:lsdException w:name="Document Map" w:semiHidden="1" w:unhideWhenUsed="1" w:qFormat="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iPriority="99" w:unhideWhenUsed="1" w:qFormat="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521"/>
    <w:pPr>
      <w:overflowPunct w:val="0"/>
      <w:autoSpaceDE w:val="0"/>
      <w:autoSpaceDN w:val="0"/>
      <w:adjustRightInd w:val="0"/>
      <w:spacing w:after="180"/>
      <w:textAlignment w:val="baseline"/>
    </w:pPr>
    <w:rPr>
      <w:rFonts w:eastAsia="Times New Roman"/>
      <w:lang w:eastAsia="en-GB"/>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
    <w:next w:val="Normal"/>
    <w:link w:val="Heading1Char"/>
    <w:qFormat/>
    <w:rsid w:val="00D6052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GB"/>
    </w:rPr>
  </w:style>
  <w:style w:type="paragraph" w:styleId="Heading2">
    <w:name w:val="heading 2"/>
    <w:aliases w:val="DO NOT USE_h2,h2,h21,H2,Head2A,2,UNDERRUBRIK 1-2,level 2,Heading 2 3GPP,H21,Head 2,l2,TitreProp,Header 2,ITT t2,PA Major Section,Livello 2,R2,Heading 2 Hidden,Head1,2nd level,heading 2,I2,Section Title,Heading2,list2,H2-Heading 2,H2-Heading "/>
    <w:basedOn w:val="Heading1"/>
    <w:next w:val="Normal"/>
    <w:link w:val="Heading2Char"/>
    <w:qFormat/>
    <w:rsid w:val="00D60521"/>
    <w:pPr>
      <w:pBdr>
        <w:top w:val="none" w:sz="0" w:space="0" w:color="auto"/>
      </w:pBdr>
      <w:spacing w:before="180"/>
      <w:outlineLvl w:val="1"/>
    </w:pPr>
    <w:rPr>
      <w:sz w:val="32"/>
    </w:rPr>
  </w:style>
  <w:style w:type="paragraph" w:styleId="Heading3">
    <w:name w:val="heading 3"/>
    <w:aliases w:val="Heading 3 3GPP,Underrubrik2,H3,Memo Heading 3,h3,no break,Heading 3 Char,Heading 3 Char1 Char,Heading 3 Char Char Char,Heading 3 Char1 Char Char Char,Heading 3 Char Char Char Char Char,Heading 3 Char Char1 Char,Heading 3 Char2 Char,0H,l3,list "/>
    <w:basedOn w:val="Heading2"/>
    <w:next w:val="Normal"/>
    <w:link w:val="Heading3Char1"/>
    <w:qFormat/>
    <w:rsid w:val="00D60521"/>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3,break,Head4,41,42,43,411,421,44,412,422"/>
    <w:basedOn w:val="Heading3"/>
    <w:next w:val="Normal"/>
    <w:link w:val="Heading4Char"/>
    <w:qFormat/>
    <w:rsid w:val="00D60521"/>
    <w:pPr>
      <w:ind w:left="1418" w:hanging="1418"/>
      <w:outlineLvl w:val="3"/>
    </w:pPr>
    <w:rPr>
      <w:sz w:val="24"/>
    </w:rPr>
  </w:style>
  <w:style w:type="paragraph" w:styleId="Heading5">
    <w:name w:val="heading 5"/>
    <w:aliases w:val="h5,Heading5,H5,Head5,M5,mh2,Module heading 2,heading 8,Numbered Sub-list,Heading 81,标题 81,Heading 811,Heading 8111,Heading 81111,Level_2,标题 811,标题 8111"/>
    <w:basedOn w:val="Heading4"/>
    <w:next w:val="Normal"/>
    <w:link w:val="Heading5Char"/>
    <w:qFormat/>
    <w:rsid w:val="00D60521"/>
    <w:pPr>
      <w:ind w:left="1701" w:hanging="1701"/>
      <w:outlineLvl w:val="4"/>
    </w:pPr>
    <w:rPr>
      <w:sz w:val="22"/>
    </w:rPr>
  </w:style>
  <w:style w:type="paragraph" w:styleId="Heading6">
    <w:name w:val="heading 6"/>
    <w:aliases w:val="T1,Header 6"/>
    <w:basedOn w:val="H6"/>
    <w:next w:val="Normal"/>
    <w:link w:val="Heading6Char"/>
    <w:qFormat/>
    <w:rsid w:val="00D60521"/>
    <w:pPr>
      <w:outlineLvl w:val="5"/>
    </w:pPr>
  </w:style>
  <w:style w:type="paragraph" w:styleId="Heading7">
    <w:name w:val="heading 7"/>
    <w:aliases w:val="L7,Header 7"/>
    <w:basedOn w:val="H6"/>
    <w:next w:val="Normal"/>
    <w:link w:val="Heading7Char"/>
    <w:qFormat/>
    <w:rsid w:val="00D60521"/>
    <w:pPr>
      <w:outlineLvl w:val="6"/>
    </w:pPr>
  </w:style>
  <w:style w:type="paragraph" w:styleId="Heading8">
    <w:name w:val="heading 8"/>
    <w:basedOn w:val="Heading1"/>
    <w:next w:val="Normal"/>
    <w:link w:val="Heading8Char"/>
    <w:qFormat/>
    <w:rsid w:val="00D60521"/>
    <w:pPr>
      <w:ind w:left="0" w:firstLine="0"/>
      <w:outlineLvl w:val="7"/>
    </w:pPr>
  </w:style>
  <w:style w:type="paragraph" w:styleId="Heading9">
    <w:name w:val="heading 9"/>
    <w:aliases w:val="Figure Heading,FH"/>
    <w:basedOn w:val="Heading8"/>
    <w:next w:val="Normal"/>
    <w:link w:val="Heading9Char"/>
    <w:qFormat/>
    <w:rsid w:val="00D60521"/>
    <w:pPr>
      <w:outlineLvl w:val="8"/>
    </w:pPr>
  </w:style>
  <w:style w:type="character" w:default="1" w:styleId="DefaultParagraphFont">
    <w:name w:val="Default Paragraph Font"/>
    <w:semiHidden/>
    <w:rsid w:val="00D605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0521"/>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link w:val="Heading1"/>
    <w:rsid w:val="00936A12"/>
    <w:rPr>
      <w:rFonts w:ascii="Arial" w:eastAsia="Times New Roman" w:hAnsi="Arial"/>
      <w:sz w:val="36"/>
      <w:lang w:eastAsia="en-GB"/>
    </w:rPr>
  </w:style>
  <w:style w:type="character" w:customStyle="1" w:styleId="Heading2Char">
    <w:name w:val="Heading 2 Char"/>
    <w:aliases w:val="DO NOT USE_h2 Char,h2 Char,h21 Char,H2 Char,Head2A Char,2 Char,UNDERRUBRIK 1-2 Char,level 2 Char,Heading 2 3GPP Char,H21 Char,Head 2 Char,l2 Char,TitreProp Char,Header 2 Char,ITT t2 Char,PA Major Section Char,Livello 2 Char,R2 Char"/>
    <w:link w:val="Heading2"/>
    <w:qFormat/>
    <w:rsid w:val="00936A12"/>
    <w:rPr>
      <w:rFonts w:ascii="Arial" w:eastAsia="Times New Roman" w:hAnsi="Arial"/>
      <w:sz w:val="32"/>
      <w:lang w:eastAsia="en-GB"/>
    </w:rPr>
  </w:style>
  <w:style w:type="character" w:customStyle="1" w:styleId="Heading3Char1">
    <w:name w:val="Heading 3 Char1"/>
    <w:aliases w:val="Heading 3 3GPP Char,Underrubrik2 Char,H3 Char,Memo Heading 3 Char,h3 Char,no break Char,Heading 3 Char Char,Heading 3 Char1 Char Char,Heading 3 Char Char Char Char,Heading 3 Char1 Char Char Char Char,Heading 3 Char Char1 Char Char"/>
    <w:link w:val="Heading3"/>
    <w:qFormat/>
    <w:locked/>
    <w:rsid w:val="00936A12"/>
    <w:rPr>
      <w:rFonts w:ascii="Arial" w:eastAsia="Times New Roman" w:hAnsi="Arial"/>
      <w:sz w:val="28"/>
      <w:lang w:eastAsia="en-GB"/>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936A12"/>
    <w:rPr>
      <w:rFonts w:ascii="Arial" w:eastAsia="Times New Roman" w:hAnsi="Arial"/>
      <w:sz w:val="24"/>
      <w:lang w:eastAsia="en-GB"/>
    </w:rPr>
  </w:style>
  <w:style w:type="character" w:customStyle="1" w:styleId="Heading5Char">
    <w:name w:val="Heading 5 Char"/>
    <w:aliases w:val="h5 Char,Heading5 Char,H5 Char,Head5 Char,M5 Char,mh2 Char,Module heading 2 Char,heading 8 Char,Numbered Sub-list Char,Heading 81 Char,标题 81 Char,Heading 811 Char,Heading 8111 Char,Heading 81111 Char,Level_2 Char,标题 811 Char,标题 8111 Char"/>
    <w:link w:val="Heading5"/>
    <w:qFormat/>
    <w:locked/>
    <w:rsid w:val="00936A12"/>
    <w:rPr>
      <w:rFonts w:ascii="Arial" w:eastAsia="Times New Roman" w:hAnsi="Arial"/>
      <w:sz w:val="22"/>
      <w:lang w:eastAsia="en-GB"/>
    </w:rPr>
  </w:style>
  <w:style w:type="paragraph" w:customStyle="1" w:styleId="H6">
    <w:name w:val="H6"/>
    <w:basedOn w:val="Heading5"/>
    <w:next w:val="Normal"/>
    <w:link w:val="H6Char"/>
    <w:rsid w:val="00D60521"/>
    <w:pPr>
      <w:ind w:left="1985" w:hanging="1985"/>
      <w:outlineLvl w:val="9"/>
    </w:pPr>
    <w:rPr>
      <w:sz w:val="20"/>
    </w:rPr>
  </w:style>
  <w:style w:type="character" w:customStyle="1" w:styleId="H6Char">
    <w:name w:val="H6 Char"/>
    <w:link w:val="H6"/>
    <w:qFormat/>
    <w:rsid w:val="00936A12"/>
    <w:rPr>
      <w:rFonts w:ascii="Arial" w:eastAsia="Times New Roman" w:hAnsi="Arial"/>
      <w:lang w:eastAsia="en-GB"/>
    </w:rPr>
  </w:style>
  <w:style w:type="character" w:customStyle="1" w:styleId="Heading8Char">
    <w:name w:val="Heading 8 Char"/>
    <w:link w:val="Heading8"/>
    <w:qFormat/>
    <w:rsid w:val="00936A12"/>
    <w:rPr>
      <w:rFonts w:ascii="Arial" w:eastAsia="Times New Roman" w:hAnsi="Arial"/>
      <w:sz w:val="36"/>
      <w:lang w:eastAsia="en-GB"/>
    </w:rPr>
  </w:style>
  <w:style w:type="paragraph" w:styleId="TOC9">
    <w:name w:val="toc 9"/>
    <w:basedOn w:val="TOC8"/>
    <w:rsid w:val="00D60521"/>
    <w:pPr>
      <w:ind w:left="1418" w:hanging="1418"/>
    </w:pPr>
  </w:style>
  <w:style w:type="paragraph" w:styleId="TOC8">
    <w:name w:val="toc 8"/>
    <w:basedOn w:val="TOC1"/>
    <w:rsid w:val="00D60521"/>
    <w:pPr>
      <w:spacing w:before="180"/>
      <w:ind w:left="2693" w:hanging="2693"/>
    </w:pPr>
    <w:rPr>
      <w:b/>
    </w:rPr>
  </w:style>
  <w:style w:type="paragraph" w:styleId="TOC1">
    <w:name w:val="toc 1"/>
    <w:rsid w:val="00D60521"/>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GB"/>
    </w:rPr>
  </w:style>
  <w:style w:type="paragraph" w:customStyle="1" w:styleId="EQ">
    <w:name w:val="EQ"/>
    <w:basedOn w:val="Normal"/>
    <w:next w:val="Normal"/>
    <w:link w:val="EQChar"/>
    <w:rsid w:val="00D60521"/>
    <w:pPr>
      <w:keepLines/>
      <w:tabs>
        <w:tab w:val="center" w:pos="4536"/>
        <w:tab w:val="right" w:pos="9072"/>
      </w:tabs>
    </w:pPr>
    <w:rPr>
      <w:noProof/>
    </w:rPr>
  </w:style>
  <w:style w:type="character" w:customStyle="1" w:styleId="ZGSM">
    <w:name w:val="ZGSM"/>
    <w:rsid w:val="00D60521"/>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rsid w:val="00D60521"/>
    <w:pPr>
      <w:widowControl w:val="0"/>
      <w:overflowPunct w:val="0"/>
      <w:autoSpaceDE w:val="0"/>
      <w:autoSpaceDN w:val="0"/>
      <w:adjustRightInd w:val="0"/>
      <w:textAlignment w:val="baseline"/>
    </w:pPr>
    <w:rPr>
      <w:rFonts w:ascii="Arial" w:eastAsia="Times New Roman" w:hAnsi="Arial"/>
      <w:b/>
      <w:noProof/>
      <w:sz w:val="18"/>
      <w:lang w:eastAsia="en-GB"/>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link w:val="Header"/>
    <w:rsid w:val="00936A12"/>
    <w:rPr>
      <w:rFonts w:ascii="Arial" w:eastAsia="Times New Roman" w:hAnsi="Arial"/>
      <w:b/>
      <w:noProof/>
      <w:sz w:val="18"/>
      <w:lang w:eastAsia="en-GB"/>
    </w:rPr>
  </w:style>
  <w:style w:type="paragraph" w:customStyle="1" w:styleId="ZD">
    <w:name w:val="ZD"/>
    <w:rsid w:val="00D6052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GB"/>
    </w:rPr>
  </w:style>
  <w:style w:type="paragraph" w:styleId="TOC5">
    <w:name w:val="toc 5"/>
    <w:basedOn w:val="TOC4"/>
    <w:rsid w:val="00D60521"/>
    <w:pPr>
      <w:ind w:left="1701" w:hanging="1701"/>
    </w:pPr>
  </w:style>
  <w:style w:type="paragraph" w:styleId="TOC4">
    <w:name w:val="toc 4"/>
    <w:basedOn w:val="TOC3"/>
    <w:rsid w:val="00D60521"/>
    <w:pPr>
      <w:ind w:left="1418" w:hanging="1418"/>
    </w:pPr>
  </w:style>
  <w:style w:type="paragraph" w:styleId="TOC3">
    <w:name w:val="toc 3"/>
    <w:basedOn w:val="TOC2"/>
    <w:rsid w:val="00D60521"/>
    <w:pPr>
      <w:ind w:left="1134" w:hanging="1134"/>
    </w:pPr>
  </w:style>
  <w:style w:type="paragraph" w:styleId="TOC2">
    <w:name w:val="toc 2"/>
    <w:basedOn w:val="TOC1"/>
    <w:rsid w:val="00D60521"/>
    <w:pPr>
      <w:keepNext w:val="0"/>
      <w:spacing w:before="0"/>
      <w:ind w:left="851" w:hanging="851"/>
    </w:pPr>
    <w:rPr>
      <w:sz w:val="20"/>
    </w:rPr>
  </w:style>
  <w:style w:type="paragraph" w:styleId="Footer">
    <w:name w:val="footer"/>
    <w:aliases w:val="footer odd,footer,fo,pie de página"/>
    <w:basedOn w:val="Header"/>
    <w:link w:val="FooterChar"/>
    <w:rsid w:val="00D60521"/>
    <w:pPr>
      <w:jc w:val="center"/>
    </w:pPr>
    <w:rPr>
      <w:i/>
    </w:rPr>
  </w:style>
  <w:style w:type="character" w:customStyle="1" w:styleId="FooterChar">
    <w:name w:val="Footer Char"/>
    <w:aliases w:val="footer odd Char,footer Char,fo Char,pie de página Char"/>
    <w:link w:val="Footer"/>
    <w:rsid w:val="00936A12"/>
    <w:rPr>
      <w:rFonts w:ascii="Arial" w:eastAsia="Times New Roman" w:hAnsi="Arial"/>
      <w:b/>
      <w:i/>
      <w:noProof/>
      <w:sz w:val="18"/>
      <w:lang w:eastAsia="en-GB"/>
    </w:rPr>
  </w:style>
  <w:style w:type="paragraph" w:customStyle="1" w:styleId="TT">
    <w:name w:val="TT"/>
    <w:basedOn w:val="Heading1"/>
    <w:next w:val="Normal"/>
    <w:rsid w:val="00D60521"/>
    <w:pPr>
      <w:outlineLvl w:val="9"/>
    </w:pPr>
  </w:style>
  <w:style w:type="paragraph" w:customStyle="1" w:styleId="NF">
    <w:name w:val="NF"/>
    <w:basedOn w:val="NO"/>
    <w:rsid w:val="00D60521"/>
    <w:pPr>
      <w:keepNext/>
      <w:spacing w:after="0"/>
    </w:pPr>
    <w:rPr>
      <w:rFonts w:ascii="Arial" w:hAnsi="Arial"/>
      <w:sz w:val="18"/>
    </w:rPr>
  </w:style>
  <w:style w:type="paragraph" w:customStyle="1" w:styleId="NO">
    <w:name w:val="NO"/>
    <w:basedOn w:val="Normal"/>
    <w:link w:val="NOChar"/>
    <w:rsid w:val="00D60521"/>
    <w:pPr>
      <w:keepLines/>
      <w:ind w:left="1135" w:hanging="851"/>
    </w:pPr>
  </w:style>
  <w:style w:type="character" w:customStyle="1" w:styleId="NOChar">
    <w:name w:val="NO Char"/>
    <w:link w:val="NO"/>
    <w:qFormat/>
    <w:rsid w:val="00936A12"/>
    <w:rPr>
      <w:rFonts w:eastAsia="Times New Roman"/>
      <w:lang w:eastAsia="en-GB"/>
    </w:rPr>
  </w:style>
  <w:style w:type="paragraph" w:customStyle="1" w:styleId="PL">
    <w:name w:val="PL"/>
    <w:link w:val="PLChar"/>
    <w:rsid w:val="00D605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GB"/>
    </w:rPr>
  </w:style>
  <w:style w:type="paragraph" w:customStyle="1" w:styleId="TAR">
    <w:name w:val="TAR"/>
    <w:basedOn w:val="TAL"/>
    <w:rsid w:val="00D60521"/>
    <w:pPr>
      <w:jc w:val="right"/>
    </w:pPr>
  </w:style>
  <w:style w:type="paragraph" w:customStyle="1" w:styleId="TAL">
    <w:name w:val="TAL"/>
    <w:basedOn w:val="Normal"/>
    <w:link w:val="TALCar"/>
    <w:rsid w:val="00D60521"/>
    <w:pPr>
      <w:keepNext/>
      <w:keepLines/>
      <w:spacing w:after="0"/>
    </w:pPr>
    <w:rPr>
      <w:rFonts w:ascii="Arial" w:hAnsi="Arial"/>
      <w:sz w:val="18"/>
    </w:rPr>
  </w:style>
  <w:style w:type="character" w:customStyle="1" w:styleId="TALCar">
    <w:name w:val="TAL Car"/>
    <w:link w:val="TAL"/>
    <w:qFormat/>
    <w:rsid w:val="00936A12"/>
    <w:rPr>
      <w:rFonts w:ascii="Arial" w:eastAsia="Times New Roman" w:hAnsi="Arial"/>
      <w:sz w:val="18"/>
      <w:lang w:eastAsia="en-GB"/>
    </w:rPr>
  </w:style>
  <w:style w:type="paragraph" w:customStyle="1" w:styleId="TAH">
    <w:name w:val="TAH"/>
    <w:basedOn w:val="TAC"/>
    <w:link w:val="TAHCar"/>
    <w:rsid w:val="00D60521"/>
    <w:rPr>
      <w:b/>
    </w:rPr>
  </w:style>
  <w:style w:type="paragraph" w:customStyle="1" w:styleId="TAC">
    <w:name w:val="TAC"/>
    <w:basedOn w:val="TAL"/>
    <w:link w:val="TACChar"/>
    <w:rsid w:val="00D60521"/>
    <w:pPr>
      <w:jc w:val="center"/>
    </w:pPr>
  </w:style>
  <w:style w:type="character" w:customStyle="1" w:styleId="TACChar">
    <w:name w:val="TAC Char"/>
    <w:link w:val="TAC"/>
    <w:qFormat/>
    <w:rsid w:val="00936A12"/>
    <w:rPr>
      <w:rFonts w:ascii="Arial" w:eastAsia="Times New Roman" w:hAnsi="Arial"/>
      <w:sz w:val="18"/>
      <w:lang w:eastAsia="en-GB"/>
    </w:rPr>
  </w:style>
  <w:style w:type="character" w:customStyle="1" w:styleId="TAHCar">
    <w:name w:val="TAH Car"/>
    <w:link w:val="TAH"/>
    <w:qFormat/>
    <w:rsid w:val="00936A12"/>
    <w:rPr>
      <w:rFonts w:ascii="Arial" w:eastAsia="Times New Roman" w:hAnsi="Arial"/>
      <w:b/>
      <w:sz w:val="18"/>
      <w:lang w:eastAsia="en-GB"/>
    </w:rPr>
  </w:style>
  <w:style w:type="paragraph" w:customStyle="1" w:styleId="LD">
    <w:name w:val="LD"/>
    <w:rsid w:val="00D60521"/>
    <w:pPr>
      <w:keepNext/>
      <w:keepLines/>
      <w:overflowPunct w:val="0"/>
      <w:autoSpaceDE w:val="0"/>
      <w:autoSpaceDN w:val="0"/>
      <w:adjustRightInd w:val="0"/>
      <w:spacing w:line="180" w:lineRule="exact"/>
      <w:textAlignment w:val="baseline"/>
    </w:pPr>
    <w:rPr>
      <w:rFonts w:ascii="Courier New" w:eastAsia="Times New Roman" w:hAnsi="Courier New"/>
      <w:noProof/>
      <w:lang w:eastAsia="en-GB"/>
    </w:rPr>
  </w:style>
  <w:style w:type="paragraph" w:customStyle="1" w:styleId="EX">
    <w:name w:val="EX"/>
    <w:basedOn w:val="Normal"/>
    <w:link w:val="EXChar"/>
    <w:rsid w:val="00D60521"/>
    <w:pPr>
      <w:keepLines/>
      <w:ind w:left="1702" w:hanging="1418"/>
    </w:pPr>
  </w:style>
  <w:style w:type="character" w:customStyle="1" w:styleId="EXChar">
    <w:name w:val="EX Char"/>
    <w:link w:val="EX"/>
    <w:qFormat/>
    <w:rsid w:val="00936A12"/>
    <w:rPr>
      <w:rFonts w:eastAsia="Times New Roman"/>
      <w:lang w:eastAsia="en-GB"/>
    </w:rPr>
  </w:style>
  <w:style w:type="paragraph" w:customStyle="1" w:styleId="FP">
    <w:name w:val="FP"/>
    <w:basedOn w:val="Normal"/>
    <w:rsid w:val="00D60521"/>
    <w:pPr>
      <w:spacing w:after="0"/>
    </w:pPr>
  </w:style>
  <w:style w:type="paragraph" w:customStyle="1" w:styleId="NW">
    <w:name w:val="NW"/>
    <w:basedOn w:val="NO"/>
    <w:rsid w:val="00D60521"/>
    <w:pPr>
      <w:spacing w:after="0"/>
    </w:pPr>
  </w:style>
  <w:style w:type="paragraph" w:customStyle="1" w:styleId="EW">
    <w:name w:val="EW"/>
    <w:basedOn w:val="EX"/>
    <w:rsid w:val="00D60521"/>
    <w:pPr>
      <w:spacing w:after="0"/>
    </w:pPr>
  </w:style>
  <w:style w:type="paragraph" w:customStyle="1" w:styleId="B10">
    <w:name w:val="B1"/>
    <w:basedOn w:val="List"/>
    <w:link w:val="B1Char"/>
    <w:rsid w:val="00D60521"/>
  </w:style>
  <w:style w:type="character" w:customStyle="1" w:styleId="B1Char">
    <w:name w:val="B1 Char"/>
    <w:link w:val="B10"/>
    <w:qFormat/>
    <w:rsid w:val="00936A12"/>
    <w:rPr>
      <w:rFonts w:eastAsia="Times New Roman"/>
      <w:lang w:eastAsia="en-GB"/>
    </w:rPr>
  </w:style>
  <w:style w:type="paragraph" w:styleId="TOC6">
    <w:name w:val="toc 6"/>
    <w:basedOn w:val="TOC5"/>
    <w:next w:val="Normal"/>
    <w:rsid w:val="00D60521"/>
    <w:pPr>
      <w:ind w:left="1985" w:hanging="1985"/>
    </w:pPr>
  </w:style>
  <w:style w:type="paragraph" w:styleId="TOC7">
    <w:name w:val="toc 7"/>
    <w:basedOn w:val="TOC6"/>
    <w:next w:val="Normal"/>
    <w:rsid w:val="00D60521"/>
    <w:pPr>
      <w:ind w:left="2268" w:hanging="2268"/>
    </w:pPr>
  </w:style>
  <w:style w:type="paragraph" w:customStyle="1" w:styleId="EditorsNote">
    <w:name w:val="Editor's Note"/>
    <w:aliases w:val="EN,Editor's Noteormal"/>
    <w:basedOn w:val="NO"/>
    <w:link w:val="EditorsNoteChar"/>
    <w:rsid w:val="00D60521"/>
    <w:rPr>
      <w:color w:val="FF0000"/>
    </w:rPr>
  </w:style>
  <w:style w:type="paragraph" w:customStyle="1" w:styleId="TH">
    <w:name w:val="TH"/>
    <w:basedOn w:val="Normal"/>
    <w:link w:val="THChar"/>
    <w:rsid w:val="00D60521"/>
    <w:pPr>
      <w:keepNext/>
      <w:keepLines/>
      <w:spacing w:before="60"/>
      <w:jc w:val="center"/>
    </w:pPr>
    <w:rPr>
      <w:rFonts w:ascii="Arial" w:hAnsi="Arial"/>
      <w:b/>
    </w:rPr>
  </w:style>
  <w:style w:type="character" w:customStyle="1" w:styleId="THChar">
    <w:name w:val="TH Char"/>
    <w:link w:val="TH"/>
    <w:qFormat/>
    <w:rsid w:val="00936A12"/>
    <w:rPr>
      <w:rFonts w:ascii="Arial" w:eastAsia="Times New Roman" w:hAnsi="Arial"/>
      <w:b/>
      <w:lang w:eastAsia="en-GB"/>
    </w:rPr>
  </w:style>
  <w:style w:type="paragraph" w:customStyle="1" w:styleId="ZA">
    <w:name w:val="ZA"/>
    <w:rsid w:val="00D6052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GB"/>
    </w:rPr>
  </w:style>
  <w:style w:type="paragraph" w:customStyle="1" w:styleId="ZB">
    <w:name w:val="ZB"/>
    <w:rsid w:val="00D6052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GB"/>
    </w:rPr>
  </w:style>
  <w:style w:type="paragraph" w:customStyle="1" w:styleId="ZT">
    <w:name w:val="ZT"/>
    <w:rsid w:val="00D60521"/>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GB"/>
    </w:rPr>
  </w:style>
  <w:style w:type="paragraph" w:customStyle="1" w:styleId="ZU">
    <w:name w:val="ZU"/>
    <w:rsid w:val="00D6052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GB"/>
    </w:rPr>
  </w:style>
  <w:style w:type="paragraph" w:customStyle="1" w:styleId="TAN">
    <w:name w:val="TAN"/>
    <w:basedOn w:val="TAL"/>
    <w:link w:val="TANChar"/>
    <w:rsid w:val="00D60521"/>
    <w:pPr>
      <w:ind w:left="851" w:hanging="851"/>
    </w:pPr>
  </w:style>
  <w:style w:type="character" w:customStyle="1" w:styleId="TANChar">
    <w:name w:val="TAN Char"/>
    <w:link w:val="TAN"/>
    <w:qFormat/>
    <w:rsid w:val="00936A12"/>
    <w:rPr>
      <w:rFonts w:ascii="Arial" w:eastAsia="Times New Roman" w:hAnsi="Arial"/>
      <w:sz w:val="18"/>
      <w:lang w:eastAsia="en-GB"/>
    </w:rPr>
  </w:style>
  <w:style w:type="paragraph" w:customStyle="1" w:styleId="ZH">
    <w:name w:val="ZH"/>
    <w:rsid w:val="00D6052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GB"/>
    </w:rPr>
  </w:style>
  <w:style w:type="paragraph" w:customStyle="1" w:styleId="TF">
    <w:name w:val="TF"/>
    <w:aliases w:val="left"/>
    <w:basedOn w:val="TH"/>
    <w:link w:val="TFChar"/>
    <w:rsid w:val="00D60521"/>
    <w:pPr>
      <w:keepNext w:val="0"/>
      <w:spacing w:before="0" w:after="240"/>
    </w:pPr>
  </w:style>
  <w:style w:type="character" w:customStyle="1" w:styleId="TFChar">
    <w:name w:val="TF Char"/>
    <w:link w:val="TF"/>
    <w:qFormat/>
    <w:rsid w:val="00936A12"/>
    <w:rPr>
      <w:rFonts w:ascii="Arial" w:eastAsia="Times New Roman" w:hAnsi="Arial"/>
      <w:b/>
      <w:lang w:eastAsia="en-GB"/>
    </w:rPr>
  </w:style>
  <w:style w:type="paragraph" w:customStyle="1" w:styleId="ZG">
    <w:name w:val="ZG"/>
    <w:rsid w:val="00D6052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GB"/>
    </w:rPr>
  </w:style>
  <w:style w:type="paragraph" w:customStyle="1" w:styleId="B20">
    <w:name w:val="B2"/>
    <w:basedOn w:val="List2"/>
    <w:link w:val="B2Char"/>
    <w:rsid w:val="00D60521"/>
  </w:style>
  <w:style w:type="character" w:customStyle="1" w:styleId="B2Char">
    <w:name w:val="B2 Char"/>
    <w:link w:val="B20"/>
    <w:qFormat/>
    <w:rsid w:val="00936A12"/>
    <w:rPr>
      <w:rFonts w:eastAsia="Times New Roman"/>
      <w:lang w:eastAsia="en-GB"/>
    </w:rPr>
  </w:style>
  <w:style w:type="paragraph" w:customStyle="1" w:styleId="B30">
    <w:name w:val="B3"/>
    <w:basedOn w:val="List3"/>
    <w:link w:val="B3Char"/>
    <w:rsid w:val="00D60521"/>
  </w:style>
  <w:style w:type="paragraph" w:customStyle="1" w:styleId="B4">
    <w:name w:val="B4"/>
    <w:basedOn w:val="List4"/>
    <w:link w:val="B4Char"/>
    <w:rsid w:val="00D60521"/>
  </w:style>
  <w:style w:type="character" w:customStyle="1" w:styleId="B4Char">
    <w:name w:val="B4 Char"/>
    <w:link w:val="B4"/>
    <w:qFormat/>
    <w:rsid w:val="00936A12"/>
    <w:rPr>
      <w:rFonts w:eastAsia="Times New Roman"/>
      <w:lang w:eastAsia="en-GB"/>
    </w:rPr>
  </w:style>
  <w:style w:type="paragraph" w:customStyle="1" w:styleId="B5">
    <w:name w:val="B5"/>
    <w:basedOn w:val="List5"/>
    <w:rsid w:val="00D60521"/>
  </w:style>
  <w:style w:type="paragraph" w:customStyle="1" w:styleId="ZTD">
    <w:name w:val="ZTD"/>
    <w:basedOn w:val="ZB"/>
    <w:rsid w:val="00D60521"/>
    <w:pPr>
      <w:framePr w:hRule="auto" w:wrap="notBeside" w:y="852"/>
    </w:pPr>
    <w:rPr>
      <w:i w:val="0"/>
      <w:sz w:val="40"/>
    </w:rPr>
  </w:style>
  <w:style w:type="paragraph" w:customStyle="1" w:styleId="ZV">
    <w:name w:val="ZV"/>
    <w:basedOn w:val="ZU"/>
    <w:rsid w:val="00D60521"/>
    <w:pPr>
      <w:framePr w:wrap="notBeside" w:y="16161"/>
    </w:pPr>
  </w:style>
  <w:style w:type="paragraph" w:customStyle="1" w:styleId="TAJ">
    <w:name w:val="TAJ"/>
    <w:basedOn w:val="TH"/>
    <w:uiPriority w:val="99"/>
    <w:qFormat/>
    <w:rsid w:val="002C3C17"/>
  </w:style>
  <w:style w:type="paragraph" w:customStyle="1" w:styleId="Guidance">
    <w:name w:val="Guidance"/>
    <w:basedOn w:val="Normal"/>
    <w:uiPriority w:val="99"/>
    <w:qFormat/>
    <w:rsid w:val="006D1207"/>
    <w:rPr>
      <w:i/>
      <w:color w:val="0000FF"/>
    </w:rPr>
  </w:style>
  <w:style w:type="paragraph" w:styleId="DocumentMap">
    <w:name w:val="Document Map"/>
    <w:basedOn w:val="Normal"/>
    <w:link w:val="DocumentMapChar"/>
    <w:qFormat/>
    <w:rsid w:val="00721EA3"/>
    <w:rPr>
      <w:rFonts w:ascii="Tahoma" w:hAnsi="Tahoma"/>
      <w:sz w:val="16"/>
      <w:szCs w:val="16"/>
    </w:rPr>
  </w:style>
  <w:style w:type="character" w:customStyle="1" w:styleId="DocumentMapChar">
    <w:name w:val="Document Map Char"/>
    <w:link w:val="DocumentMap"/>
    <w:uiPriority w:val="99"/>
    <w:qFormat/>
    <w:rsid w:val="00721EA3"/>
    <w:rPr>
      <w:rFonts w:ascii="Tahoma" w:hAnsi="Tahoma" w:cs="Tahoma"/>
      <w:sz w:val="16"/>
      <w:szCs w:val="16"/>
      <w:lang w:val="en-GB" w:eastAsia="en-US"/>
    </w:rPr>
  </w:style>
  <w:style w:type="paragraph" w:styleId="Index1">
    <w:name w:val="index 1"/>
    <w:basedOn w:val="Normal"/>
    <w:rsid w:val="00D60521"/>
    <w:pPr>
      <w:keepLines/>
      <w:spacing w:after="0"/>
    </w:pPr>
  </w:style>
  <w:style w:type="paragraph" w:styleId="Index2">
    <w:name w:val="index 2"/>
    <w:basedOn w:val="Index1"/>
    <w:rsid w:val="00D60521"/>
    <w:pPr>
      <w:ind w:left="284"/>
    </w:pPr>
  </w:style>
  <w:style w:type="character" w:styleId="FootnoteReference">
    <w:name w:val="footnote reference"/>
    <w:aliases w:val="Appel note de bas de p,Nota,Footnote symbol,Footnote"/>
    <w:basedOn w:val="DefaultParagraphFont"/>
    <w:rsid w:val="00D60521"/>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rsid w:val="00D60521"/>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936A12"/>
    <w:rPr>
      <w:rFonts w:eastAsia="Times New Roman"/>
      <w:sz w:val="16"/>
      <w:lang w:eastAsia="en-GB"/>
    </w:rPr>
  </w:style>
  <w:style w:type="paragraph" w:styleId="ListNumber2">
    <w:name w:val="List Number 2"/>
    <w:basedOn w:val="ListNumber"/>
    <w:rsid w:val="00D60521"/>
    <w:pPr>
      <w:ind w:left="851"/>
    </w:pPr>
  </w:style>
  <w:style w:type="paragraph" w:styleId="ListNumber">
    <w:name w:val="List Number"/>
    <w:basedOn w:val="List"/>
    <w:rsid w:val="00D60521"/>
  </w:style>
  <w:style w:type="paragraph" w:styleId="List">
    <w:name w:val="List"/>
    <w:basedOn w:val="Normal"/>
    <w:link w:val="ListChar"/>
    <w:rsid w:val="00D60521"/>
    <w:pPr>
      <w:ind w:left="568" w:hanging="284"/>
    </w:pPr>
  </w:style>
  <w:style w:type="character" w:customStyle="1" w:styleId="ListChar">
    <w:name w:val="List Char"/>
    <w:link w:val="List"/>
    <w:qFormat/>
    <w:rsid w:val="00936A12"/>
    <w:rPr>
      <w:rFonts w:eastAsia="Times New Roman"/>
      <w:lang w:eastAsia="en-GB"/>
    </w:rPr>
  </w:style>
  <w:style w:type="paragraph" w:styleId="ListBullet2">
    <w:name w:val="List Bullet 2"/>
    <w:aliases w:val="lb2"/>
    <w:basedOn w:val="ListBullet"/>
    <w:link w:val="ListBullet2Char"/>
    <w:rsid w:val="00D60521"/>
    <w:pPr>
      <w:ind w:left="851"/>
    </w:pPr>
  </w:style>
  <w:style w:type="paragraph" w:styleId="ListBullet">
    <w:name w:val="List Bullet"/>
    <w:aliases w:val="UL"/>
    <w:basedOn w:val="List"/>
    <w:link w:val="ListBulletChar"/>
    <w:rsid w:val="00D60521"/>
  </w:style>
  <w:style w:type="character" w:customStyle="1" w:styleId="ListBulletChar">
    <w:name w:val="List Bullet Char"/>
    <w:aliases w:val="UL Char"/>
    <w:link w:val="ListBullet"/>
    <w:rsid w:val="00936A12"/>
    <w:rPr>
      <w:rFonts w:eastAsia="Times New Roman"/>
      <w:lang w:eastAsia="en-GB"/>
    </w:rPr>
  </w:style>
  <w:style w:type="character" w:customStyle="1" w:styleId="ListBullet2Char">
    <w:name w:val="List Bullet 2 Char"/>
    <w:aliases w:val="lb2 Char"/>
    <w:link w:val="ListBullet2"/>
    <w:qFormat/>
    <w:rsid w:val="00936A12"/>
    <w:rPr>
      <w:rFonts w:eastAsia="Times New Roman"/>
      <w:lang w:eastAsia="en-GB"/>
    </w:rPr>
  </w:style>
  <w:style w:type="paragraph" w:styleId="ListBullet3">
    <w:name w:val="List Bullet 3"/>
    <w:basedOn w:val="ListBullet2"/>
    <w:link w:val="ListBullet3Char"/>
    <w:rsid w:val="00D60521"/>
    <w:pPr>
      <w:ind w:left="1135"/>
    </w:pPr>
  </w:style>
  <w:style w:type="character" w:customStyle="1" w:styleId="ListBullet3Char">
    <w:name w:val="List Bullet 3 Char"/>
    <w:link w:val="ListBullet3"/>
    <w:qFormat/>
    <w:rsid w:val="00936A12"/>
    <w:rPr>
      <w:rFonts w:eastAsia="Times New Roman"/>
      <w:lang w:eastAsia="en-GB"/>
    </w:rPr>
  </w:style>
  <w:style w:type="paragraph" w:styleId="List2">
    <w:name w:val="List 2"/>
    <w:basedOn w:val="List"/>
    <w:link w:val="List2Char"/>
    <w:rsid w:val="00D60521"/>
    <w:pPr>
      <w:ind w:left="851"/>
    </w:pPr>
  </w:style>
  <w:style w:type="character" w:customStyle="1" w:styleId="List2Char">
    <w:name w:val="List 2 Char"/>
    <w:link w:val="List2"/>
    <w:qFormat/>
    <w:rsid w:val="00936A12"/>
    <w:rPr>
      <w:rFonts w:eastAsia="Times New Roman"/>
      <w:lang w:eastAsia="en-GB"/>
    </w:rPr>
  </w:style>
  <w:style w:type="paragraph" w:styleId="List3">
    <w:name w:val="List 3"/>
    <w:basedOn w:val="List2"/>
    <w:rsid w:val="00D60521"/>
    <w:pPr>
      <w:ind w:left="1135"/>
    </w:pPr>
  </w:style>
  <w:style w:type="paragraph" w:styleId="List4">
    <w:name w:val="List 4"/>
    <w:basedOn w:val="List3"/>
    <w:rsid w:val="00D60521"/>
    <w:pPr>
      <w:ind w:left="1418"/>
    </w:pPr>
  </w:style>
  <w:style w:type="paragraph" w:styleId="List5">
    <w:name w:val="List 5"/>
    <w:basedOn w:val="List4"/>
    <w:rsid w:val="00D60521"/>
    <w:pPr>
      <w:ind w:left="1702"/>
    </w:pPr>
  </w:style>
  <w:style w:type="paragraph" w:styleId="ListBullet4">
    <w:name w:val="List Bullet 4"/>
    <w:basedOn w:val="ListBullet3"/>
    <w:rsid w:val="00D60521"/>
    <w:pPr>
      <w:ind w:left="1418"/>
    </w:pPr>
  </w:style>
  <w:style w:type="paragraph" w:styleId="ListBullet5">
    <w:name w:val="List Bullet 5"/>
    <w:basedOn w:val="ListBullet4"/>
    <w:rsid w:val="00D60521"/>
    <w:pPr>
      <w:ind w:left="1702"/>
    </w:pPr>
  </w:style>
  <w:style w:type="paragraph" w:styleId="IndexHeading">
    <w:name w:val="index heading"/>
    <w:basedOn w:val="Normal"/>
    <w:next w:val="Normal"/>
    <w:uiPriority w:val="99"/>
    <w:qFormat/>
    <w:rsid w:val="00936A12"/>
    <w:pPr>
      <w:pBdr>
        <w:top w:val="single" w:sz="12" w:space="0" w:color="auto"/>
      </w:pBdr>
      <w:spacing w:before="360" w:after="240"/>
    </w:pPr>
    <w:rPr>
      <w:rFonts w:eastAsia="MS Mincho"/>
      <w:b/>
      <w:i/>
      <w:sz w:val="26"/>
    </w:rPr>
  </w:style>
  <w:style w:type="paragraph" w:customStyle="1" w:styleId="TabList">
    <w:name w:val="TabList"/>
    <w:basedOn w:val="Normal"/>
    <w:uiPriority w:val="99"/>
    <w:rsid w:val="00936A12"/>
    <w:pPr>
      <w:tabs>
        <w:tab w:val="left" w:pos="1134"/>
      </w:tabs>
      <w:spacing w:after="0"/>
    </w:pPr>
    <w:rPr>
      <w:rFonts w:eastAsia="MS Mincho"/>
    </w:rPr>
  </w:style>
  <w:style w:type="character" w:styleId="Hyperlink">
    <w:name w:val="Hyperlink"/>
    <w:qFormat/>
    <w:rsid w:val="00936A12"/>
    <w:rPr>
      <w:color w:val="0000FF"/>
      <w:u w:val="single"/>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ap3"/>
    <w:basedOn w:val="Normal"/>
    <w:next w:val="Normal"/>
    <w:link w:val="CaptionChar"/>
    <w:uiPriority w:val="35"/>
    <w:qFormat/>
    <w:rsid w:val="00936A12"/>
    <w:pPr>
      <w:spacing w:before="120" w:after="120"/>
    </w:pPr>
    <w:rPr>
      <w:rFonts w:eastAsia="MS Mincho"/>
      <w: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uiPriority w:val="35"/>
    <w:qFormat/>
    <w:locked/>
    <w:rsid w:val="00936A12"/>
    <w:rPr>
      <w:rFonts w:eastAsia="MS Mincho"/>
      <w:b/>
      <w:lang w:val="en-GB" w:eastAsia="en-US"/>
    </w:rPr>
  </w:style>
  <w:style w:type="paragraph" w:customStyle="1" w:styleId="tabletext">
    <w:name w:val="table text"/>
    <w:basedOn w:val="Normal"/>
    <w:next w:val="table"/>
    <w:uiPriority w:val="99"/>
    <w:qFormat/>
    <w:rsid w:val="00936A12"/>
    <w:pPr>
      <w:spacing w:after="0"/>
    </w:pPr>
    <w:rPr>
      <w:rFonts w:eastAsia="MS Mincho"/>
      <w:i/>
    </w:rPr>
  </w:style>
  <w:style w:type="paragraph" w:customStyle="1" w:styleId="table">
    <w:name w:val="table"/>
    <w:basedOn w:val="Normal"/>
    <w:next w:val="Normal"/>
    <w:uiPriority w:val="99"/>
    <w:qFormat/>
    <w:rsid w:val="00936A12"/>
    <w:pPr>
      <w:spacing w:after="0"/>
      <w:jc w:val="center"/>
    </w:pPr>
    <w:rPr>
      <w:rFonts w:eastAsia="MS Mincho"/>
      <w:lang w:val="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qFormat/>
    <w:rsid w:val="00936A12"/>
    <w:pPr>
      <w:widowControl w:val="0"/>
      <w:spacing w:after="120"/>
    </w:pPr>
    <w:rPr>
      <w:rFonts w:eastAsia="MS Mincho"/>
      <w:sz w:val="24"/>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link w:val="BodyText"/>
    <w:rsid w:val="00936A12"/>
    <w:rPr>
      <w:rFonts w:eastAsia="MS Mincho"/>
      <w:sz w:val="24"/>
      <w:lang w:eastAsia="en-US"/>
    </w:rPr>
  </w:style>
  <w:style w:type="paragraph" w:customStyle="1" w:styleId="HE">
    <w:name w:val="HE"/>
    <w:basedOn w:val="Normal"/>
    <w:uiPriority w:val="99"/>
    <w:rsid w:val="00936A12"/>
    <w:pPr>
      <w:spacing w:after="0"/>
    </w:pPr>
    <w:rPr>
      <w:rFonts w:eastAsia="MS Mincho"/>
      <w:b/>
    </w:rPr>
  </w:style>
  <w:style w:type="paragraph" w:styleId="PlainText">
    <w:name w:val="Plain Text"/>
    <w:basedOn w:val="Normal"/>
    <w:link w:val="PlainTextChar"/>
    <w:uiPriority w:val="99"/>
    <w:qFormat/>
    <w:rsid w:val="00936A12"/>
    <w:pPr>
      <w:spacing w:after="0"/>
    </w:pPr>
    <w:rPr>
      <w:rFonts w:ascii="Courier New" w:eastAsia="MS Mincho" w:hAnsi="Courier New"/>
    </w:rPr>
  </w:style>
  <w:style w:type="character" w:customStyle="1" w:styleId="PlainTextChar">
    <w:name w:val="Plain Text Char"/>
    <w:link w:val="PlainText"/>
    <w:uiPriority w:val="99"/>
    <w:qFormat/>
    <w:rsid w:val="00936A12"/>
    <w:rPr>
      <w:rFonts w:ascii="Courier New" w:eastAsia="MS Mincho" w:hAnsi="Courier New"/>
      <w:lang w:eastAsia="en-US"/>
    </w:rPr>
  </w:style>
  <w:style w:type="paragraph" w:customStyle="1" w:styleId="text">
    <w:name w:val="text"/>
    <w:basedOn w:val="Normal"/>
    <w:uiPriority w:val="99"/>
    <w:qFormat/>
    <w:rsid w:val="00936A12"/>
    <w:pPr>
      <w:widowControl w:val="0"/>
      <w:spacing w:after="240"/>
      <w:jc w:val="both"/>
    </w:pPr>
    <w:rPr>
      <w:rFonts w:eastAsia="MS Mincho"/>
      <w:sz w:val="24"/>
      <w:lang w:val="en-AU"/>
    </w:rPr>
  </w:style>
  <w:style w:type="paragraph" w:customStyle="1" w:styleId="Reference">
    <w:name w:val="Reference"/>
    <w:basedOn w:val="EX"/>
    <w:uiPriority w:val="99"/>
    <w:qFormat/>
    <w:rsid w:val="00936A12"/>
    <w:pPr>
      <w:tabs>
        <w:tab w:val="num" w:pos="567"/>
      </w:tabs>
      <w:ind w:left="567" w:hanging="567"/>
    </w:pPr>
    <w:rPr>
      <w:rFonts w:eastAsia="MS Mincho"/>
    </w:rPr>
  </w:style>
  <w:style w:type="paragraph" w:customStyle="1" w:styleId="berschrift1H1">
    <w:name w:val="Überschrift 1.H1"/>
    <w:basedOn w:val="Normal"/>
    <w:next w:val="Normal"/>
    <w:uiPriority w:val="99"/>
    <w:qFormat/>
    <w:rsid w:val="00936A12"/>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uiPriority w:val="99"/>
    <w:qFormat/>
    <w:rsid w:val="00936A12"/>
    <w:rPr>
      <w:rFonts w:ascii="Arial" w:eastAsia="MS Mincho" w:hAnsi="Arial"/>
      <w:lang w:eastAsia="en-US"/>
    </w:rPr>
  </w:style>
  <w:style w:type="paragraph" w:customStyle="1" w:styleId="textintend1">
    <w:name w:val="text intend 1"/>
    <w:basedOn w:val="text"/>
    <w:uiPriority w:val="99"/>
    <w:qFormat/>
    <w:rsid w:val="00936A12"/>
    <w:pPr>
      <w:widowControl/>
      <w:tabs>
        <w:tab w:val="num" w:pos="992"/>
      </w:tabs>
      <w:spacing w:after="120"/>
      <w:ind w:left="992" w:hanging="425"/>
    </w:pPr>
    <w:rPr>
      <w:lang w:val="en-US"/>
    </w:rPr>
  </w:style>
  <w:style w:type="paragraph" w:customStyle="1" w:styleId="textintend2">
    <w:name w:val="text intend 2"/>
    <w:basedOn w:val="text"/>
    <w:uiPriority w:val="99"/>
    <w:rsid w:val="00936A12"/>
    <w:pPr>
      <w:widowControl/>
      <w:tabs>
        <w:tab w:val="num" w:pos="1418"/>
      </w:tabs>
      <w:spacing w:after="120"/>
      <w:ind w:left="1418" w:hanging="426"/>
    </w:pPr>
    <w:rPr>
      <w:lang w:val="en-US"/>
    </w:rPr>
  </w:style>
  <w:style w:type="paragraph" w:customStyle="1" w:styleId="textintend3">
    <w:name w:val="text intend 3"/>
    <w:basedOn w:val="text"/>
    <w:uiPriority w:val="99"/>
    <w:qFormat/>
    <w:rsid w:val="00936A12"/>
    <w:pPr>
      <w:widowControl/>
      <w:tabs>
        <w:tab w:val="num" w:pos="1843"/>
      </w:tabs>
      <w:spacing w:after="120"/>
      <w:ind w:left="1843" w:hanging="425"/>
    </w:pPr>
    <w:rPr>
      <w:lang w:val="en-US"/>
    </w:rPr>
  </w:style>
  <w:style w:type="paragraph" w:customStyle="1" w:styleId="normalpuce">
    <w:name w:val="normal puce"/>
    <w:basedOn w:val="Normal"/>
    <w:uiPriority w:val="99"/>
    <w:qFormat/>
    <w:rsid w:val="00936A12"/>
    <w:pPr>
      <w:widowControl w:val="0"/>
      <w:tabs>
        <w:tab w:val="num" w:pos="360"/>
      </w:tabs>
      <w:spacing w:before="60" w:after="60"/>
      <w:ind w:left="360" w:hanging="360"/>
      <w:jc w:val="both"/>
    </w:pPr>
    <w:rPr>
      <w:rFonts w:eastAsia="MS Mincho"/>
    </w:rPr>
  </w:style>
  <w:style w:type="paragraph" w:styleId="BodyTextIndent">
    <w:name w:val="Body Text Indent"/>
    <w:basedOn w:val="Normal"/>
    <w:link w:val="BodyTextIndentChar"/>
    <w:uiPriority w:val="99"/>
    <w:qFormat/>
    <w:rsid w:val="00936A12"/>
    <w:pPr>
      <w:spacing w:before="240" w:after="0"/>
      <w:ind w:left="360"/>
      <w:jc w:val="both"/>
    </w:pPr>
    <w:rPr>
      <w:rFonts w:eastAsia="MS Mincho"/>
      <w:i/>
      <w:sz w:val="22"/>
    </w:rPr>
  </w:style>
  <w:style w:type="character" w:customStyle="1" w:styleId="BodyTextIndentChar">
    <w:name w:val="Body Text Indent Char"/>
    <w:link w:val="BodyTextIndent"/>
    <w:uiPriority w:val="99"/>
    <w:rsid w:val="00936A12"/>
    <w:rPr>
      <w:rFonts w:eastAsia="MS Mincho"/>
      <w:i/>
      <w:sz w:val="22"/>
      <w:lang w:val="en-GB" w:eastAsia="en-US"/>
    </w:rPr>
  </w:style>
  <w:style w:type="character" w:styleId="PageNumber">
    <w:name w:val="page number"/>
    <w:basedOn w:val="DefaultParagraphFont"/>
    <w:qFormat/>
    <w:rsid w:val="00936A12"/>
  </w:style>
  <w:style w:type="paragraph" w:styleId="CommentText">
    <w:name w:val="annotation text"/>
    <w:basedOn w:val="Normal"/>
    <w:link w:val="CommentTextChar"/>
    <w:uiPriority w:val="99"/>
    <w:qFormat/>
    <w:rsid w:val="00936A12"/>
    <w:pPr>
      <w:spacing w:before="120" w:after="0"/>
    </w:pPr>
    <w:rPr>
      <w:rFonts w:eastAsia="MS Mincho"/>
    </w:rPr>
  </w:style>
  <w:style w:type="character" w:customStyle="1" w:styleId="CommentTextChar">
    <w:name w:val="Comment Text Char"/>
    <w:link w:val="CommentText"/>
    <w:uiPriority w:val="99"/>
    <w:qFormat/>
    <w:rsid w:val="00936A12"/>
    <w:rPr>
      <w:rFonts w:eastAsia="MS Mincho"/>
      <w:lang w:eastAsia="en-US"/>
    </w:rPr>
  </w:style>
  <w:style w:type="paragraph" w:styleId="BodyText2">
    <w:name w:val="Body Text 2"/>
    <w:basedOn w:val="Normal"/>
    <w:link w:val="BodyText2Char"/>
    <w:uiPriority w:val="99"/>
    <w:rsid w:val="00936A12"/>
    <w:pPr>
      <w:spacing w:after="0"/>
      <w:jc w:val="both"/>
    </w:pPr>
    <w:rPr>
      <w:rFonts w:eastAsia="MS Mincho"/>
      <w:sz w:val="24"/>
    </w:rPr>
  </w:style>
  <w:style w:type="character" w:customStyle="1" w:styleId="BodyText2Char">
    <w:name w:val="Body Text 2 Char"/>
    <w:link w:val="BodyText2"/>
    <w:uiPriority w:val="99"/>
    <w:qFormat/>
    <w:rsid w:val="00936A12"/>
    <w:rPr>
      <w:rFonts w:eastAsia="MS Mincho"/>
      <w:sz w:val="24"/>
      <w:lang w:eastAsia="en-US"/>
    </w:rPr>
  </w:style>
  <w:style w:type="paragraph" w:customStyle="1" w:styleId="para">
    <w:name w:val="para"/>
    <w:basedOn w:val="Normal"/>
    <w:uiPriority w:val="99"/>
    <w:qFormat/>
    <w:rsid w:val="00936A12"/>
    <w:pPr>
      <w:spacing w:after="240"/>
      <w:jc w:val="both"/>
    </w:pPr>
    <w:rPr>
      <w:rFonts w:ascii="Helvetica" w:eastAsia="MS Mincho" w:hAnsi="Helvetica"/>
    </w:rPr>
  </w:style>
  <w:style w:type="character" w:customStyle="1" w:styleId="MTEquationSection">
    <w:name w:val="MTEquationSection"/>
    <w:qFormat/>
    <w:rsid w:val="00936A12"/>
    <w:rPr>
      <w:noProof w:val="0"/>
      <w:vanish w:val="0"/>
      <w:color w:val="FF0000"/>
      <w:lang w:eastAsia="en-US"/>
    </w:rPr>
  </w:style>
  <w:style w:type="paragraph" w:customStyle="1" w:styleId="MTDisplayEquation">
    <w:name w:val="MTDisplayEquation"/>
    <w:basedOn w:val="Normal"/>
    <w:uiPriority w:val="99"/>
    <w:qFormat/>
    <w:rsid w:val="00936A12"/>
    <w:pPr>
      <w:tabs>
        <w:tab w:val="center" w:pos="4820"/>
        <w:tab w:val="right" w:pos="9640"/>
      </w:tabs>
    </w:pPr>
    <w:rPr>
      <w:rFonts w:eastAsia="MS Mincho"/>
    </w:rPr>
  </w:style>
  <w:style w:type="character" w:styleId="FollowedHyperlink">
    <w:name w:val="FollowedHyperlink"/>
    <w:qFormat/>
    <w:rsid w:val="00936A12"/>
    <w:rPr>
      <w:color w:val="800080"/>
      <w:u w:val="single"/>
    </w:rPr>
  </w:style>
  <w:style w:type="paragraph" w:styleId="BodyTextIndent2">
    <w:name w:val="Body Text Indent 2"/>
    <w:basedOn w:val="Normal"/>
    <w:link w:val="BodyTextIndent2Char"/>
    <w:uiPriority w:val="99"/>
    <w:qFormat/>
    <w:rsid w:val="00936A12"/>
    <w:pPr>
      <w:ind w:left="568" w:hanging="568"/>
    </w:pPr>
    <w:rPr>
      <w:rFonts w:eastAsia="MS Mincho"/>
    </w:rPr>
  </w:style>
  <w:style w:type="character" w:customStyle="1" w:styleId="BodyTextIndent2Char">
    <w:name w:val="Body Text Indent 2 Char"/>
    <w:link w:val="BodyTextIndent2"/>
    <w:uiPriority w:val="99"/>
    <w:qFormat/>
    <w:rsid w:val="00936A12"/>
    <w:rPr>
      <w:rFonts w:eastAsia="MS Mincho"/>
      <w:lang w:val="en-GB" w:eastAsia="en-US"/>
    </w:rPr>
  </w:style>
  <w:style w:type="paragraph" w:customStyle="1" w:styleId="List1">
    <w:name w:val="List1"/>
    <w:basedOn w:val="Normal"/>
    <w:uiPriority w:val="99"/>
    <w:rsid w:val="00936A12"/>
    <w:pPr>
      <w:spacing w:before="120" w:after="0" w:line="280" w:lineRule="atLeast"/>
      <w:ind w:left="360" w:hanging="360"/>
      <w:jc w:val="both"/>
    </w:pPr>
    <w:rPr>
      <w:rFonts w:ascii="Bookman" w:eastAsia="MS Mincho" w:hAnsi="Bookman"/>
      <w:lang w:val="en-US"/>
    </w:rPr>
  </w:style>
  <w:style w:type="paragraph" w:styleId="BodyText3">
    <w:name w:val="Body Text 3"/>
    <w:basedOn w:val="Normal"/>
    <w:link w:val="BodyText3Char"/>
    <w:uiPriority w:val="99"/>
    <w:qFormat/>
    <w:rsid w:val="00936A12"/>
    <w:rPr>
      <w:rFonts w:eastAsia="MS Mincho"/>
      <w:b/>
      <w:i/>
    </w:rPr>
  </w:style>
  <w:style w:type="character" w:customStyle="1" w:styleId="BodyText3Char">
    <w:name w:val="Body Text 3 Char"/>
    <w:link w:val="BodyText3"/>
    <w:uiPriority w:val="99"/>
    <w:qFormat/>
    <w:rsid w:val="00936A12"/>
    <w:rPr>
      <w:rFonts w:eastAsia="MS Mincho"/>
      <w:b/>
      <w:i/>
      <w:lang w:eastAsia="en-US"/>
    </w:rPr>
  </w:style>
  <w:style w:type="table" w:styleId="TableGrid">
    <w:name w:val="Table Grid"/>
    <w:aliases w:val="SGS Table Basic 1"/>
    <w:basedOn w:val="TableNormal"/>
    <w:qFormat/>
    <w:rsid w:val="00936A12"/>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CoverPage">
    <w:name w:val="CR Cover Page"/>
    <w:link w:val="CRCoverPageChar"/>
    <w:qFormat/>
    <w:rsid w:val="00936A12"/>
    <w:pPr>
      <w:spacing w:after="120"/>
    </w:pPr>
    <w:rPr>
      <w:rFonts w:ascii="Arial" w:eastAsia="MS Mincho" w:hAnsi="Arial"/>
      <w:lang w:eastAsia="en-US"/>
    </w:rPr>
  </w:style>
  <w:style w:type="character" w:customStyle="1" w:styleId="CRCoverPageChar">
    <w:name w:val="CR Cover Page Char"/>
    <w:link w:val="CRCoverPage"/>
    <w:qFormat/>
    <w:rsid w:val="00936A12"/>
    <w:rPr>
      <w:rFonts w:ascii="Arial" w:eastAsia="MS Mincho" w:hAnsi="Arial"/>
      <w:lang w:val="en-GB" w:eastAsia="en-US" w:bidi="ar-SA"/>
    </w:rPr>
  </w:style>
  <w:style w:type="paragraph" w:customStyle="1" w:styleId="tdoc-header">
    <w:name w:val="tdoc-header"/>
    <w:qFormat/>
    <w:rsid w:val="00936A12"/>
    <w:rPr>
      <w:rFonts w:ascii="Arial" w:eastAsia="MS Mincho" w:hAnsi="Arial"/>
      <w:noProof/>
      <w:sz w:val="24"/>
      <w:lang w:eastAsia="en-US"/>
    </w:rPr>
  </w:style>
  <w:style w:type="character" w:styleId="CommentReference">
    <w:name w:val="annotation reference"/>
    <w:qFormat/>
    <w:rsid w:val="00936A12"/>
    <w:rPr>
      <w:sz w:val="16"/>
    </w:rPr>
  </w:style>
  <w:style w:type="paragraph" w:customStyle="1" w:styleId="TdocText">
    <w:name w:val="Tdoc_Text"/>
    <w:basedOn w:val="Normal"/>
    <w:uiPriority w:val="99"/>
    <w:qFormat/>
    <w:rsid w:val="00936A12"/>
    <w:pPr>
      <w:spacing w:before="120" w:after="0"/>
      <w:jc w:val="both"/>
    </w:pPr>
    <w:rPr>
      <w:rFonts w:eastAsia="MS Mincho"/>
      <w:lang w:val="en-US"/>
    </w:rPr>
  </w:style>
  <w:style w:type="paragraph" w:styleId="BalloonText">
    <w:name w:val="Balloon Text"/>
    <w:basedOn w:val="Normal"/>
    <w:link w:val="BalloonTextChar"/>
    <w:qFormat/>
    <w:rsid w:val="00936A12"/>
    <w:rPr>
      <w:rFonts w:ascii="Tahoma" w:eastAsia="MS Mincho" w:hAnsi="Tahoma"/>
      <w:sz w:val="16"/>
      <w:szCs w:val="16"/>
    </w:rPr>
  </w:style>
  <w:style w:type="character" w:customStyle="1" w:styleId="BalloonTextChar">
    <w:name w:val="Balloon Text Char"/>
    <w:link w:val="BalloonText"/>
    <w:uiPriority w:val="99"/>
    <w:qFormat/>
    <w:rsid w:val="00936A12"/>
    <w:rPr>
      <w:rFonts w:ascii="Tahoma" w:eastAsia="MS Mincho" w:hAnsi="Tahoma" w:cs="Tahoma"/>
      <w:sz w:val="16"/>
      <w:szCs w:val="16"/>
      <w:lang w:val="en-GB" w:eastAsia="en-US"/>
    </w:rPr>
  </w:style>
  <w:style w:type="paragraph" w:customStyle="1" w:styleId="centered">
    <w:name w:val="centered"/>
    <w:basedOn w:val="Normal"/>
    <w:uiPriority w:val="99"/>
    <w:qFormat/>
    <w:rsid w:val="00936A12"/>
    <w:pPr>
      <w:widowControl w:val="0"/>
      <w:spacing w:before="120" w:after="0" w:line="280" w:lineRule="atLeast"/>
      <w:jc w:val="center"/>
    </w:pPr>
    <w:rPr>
      <w:rFonts w:ascii="Bookman" w:eastAsia="MS Mincho" w:hAnsi="Bookman"/>
      <w:lang w:val="en-US"/>
    </w:rPr>
  </w:style>
  <w:style w:type="character" w:customStyle="1" w:styleId="superscript">
    <w:name w:val="superscript"/>
    <w:aliases w:val="+"/>
    <w:qFormat/>
    <w:rsid w:val="00936A12"/>
    <w:rPr>
      <w:rFonts w:ascii="Bookman" w:hAnsi="Bookman"/>
      <w:position w:val="6"/>
      <w:sz w:val="18"/>
    </w:rPr>
  </w:style>
  <w:style w:type="paragraph" w:customStyle="1" w:styleId="References">
    <w:name w:val="References"/>
    <w:basedOn w:val="Normal"/>
    <w:uiPriority w:val="99"/>
    <w:rsid w:val="006D1207"/>
    <w:pPr>
      <w:numPr>
        <w:numId w:val="1"/>
      </w:numPr>
      <w:tabs>
        <w:tab w:val="clear" w:pos="360"/>
      </w:tabs>
      <w:spacing w:after="80"/>
    </w:pPr>
    <w:rPr>
      <w:rFonts w:eastAsia="MS Mincho"/>
      <w:sz w:val="18"/>
      <w:lang w:val="en-US"/>
    </w:rPr>
  </w:style>
  <w:style w:type="paragraph" w:styleId="CommentSubject">
    <w:name w:val="annotation subject"/>
    <w:basedOn w:val="CommentText"/>
    <w:next w:val="CommentText"/>
    <w:link w:val="CommentSubjectChar"/>
    <w:qFormat/>
    <w:rsid w:val="00936A12"/>
    <w:pPr>
      <w:spacing w:before="0" w:after="180"/>
    </w:pPr>
    <w:rPr>
      <w:b/>
      <w:bCs/>
    </w:rPr>
  </w:style>
  <w:style w:type="character" w:customStyle="1" w:styleId="CommentSubjectChar">
    <w:name w:val="Comment Subject Char"/>
    <w:link w:val="CommentSubject"/>
    <w:uiPriority w:val="99"/>
    <w:qFormat/>
    <w:rsid w:val="00936A12"/>
    <w:rPr>
      <w:rFonts w:eastAsia="MS Mincho"/>
      <w:b/>
      <w:bCs/>
      <w:lang w:val="en-GB" w:eastAsia="en-US"/>
    </w:rPr>
  </w:style>
  <w:style w:type="paragraph" w:customStyle="1" w:styleId="ZchnZchn">
    <w:name w:val="Zchn Zchn"/>
    <w:uiPriority w:val="99"/>
    <w:semiHidden/>
    <w:qFormat/>
    <w:rsid w:val="006D1207"/>
    <w:pPr>
      <w:keepNext/>
      <w:numPr>
        <w:numId w:val="2"/>
      </w:numPr>
      <w:tabs>
        <w:tab w:val="clear" w:pos="851"/>
      </w:tabs>
      <w:autoSpaceDE w:val="0"/>
      <w:autoSpaceDN w:val="0"/>
      <w:adjustRightInd w:val="0"/>
      <w:spacing w:before="60" w:after="60"/>
      <w:ind w:left="360" w:hanging="360"/>
      <w:jc w:val="both"/>
    </w:pPr>
    <w:rPr>
      <w:rFonts w:ascii="Arial" w:hAnsi="Arial" w:cs="Arial"/>
      <w:color w:val="0000FF"/>
      <w:kern w:val="2"/>
      <w:lang w:val="en-US" w:eastAsia="zh-CN"/>
    </w:rPr>
  </w:style>
  <w:style w:type="character" w:customStyle="1" w:styleId="NOChar1">
    <w:name w:val="NO Char1"/>
    <w:qFormat/>
    <w:rsid w:val="00936A12"/>
    <w:rPr>
      <w:rFonts w:eastAsia="MS Mincho"/>
      <w:lang w:val="en-GB" w:eastAsia="en-US" w:bidi="ar-SA"/>
    </w:rPr>
  </w:style>
  <w:style w:type="character" w:customStyle="1" w:styleId="B1Char1">
    <w:name w:val="B1 Char1"/>
    <w:qFormat/>
    <w:rsid w:val="00936A12"/>
    <w:rPr>
      <w:rFonts w:eastAsia="MS Mincho"/>
      <w:lang w:val="en-GB" w:eastAsia="en-US" w:bidi="ar-SA"/>
    </w:rPr>
  </w:style>
  <w:style w:type="paragraph" w:customStyle="1" w:styleId="TableText0">
    <w:name w:val="TableText"/>
    <w:basedOn w:val="BodyTextIndent"/>
    <w:uiPriority w:val="99"/>
    <w:qFormat/>
    <w:rsid w:val="00936A12"/>
    <w:pPr>
      <w:keepNext/>
      <w:keepLines/>
      <w:spacing w:before="0" w:after="180"/>
      <w:ind w:left="0"/>
      <w:jc w:val="center"/>
    </w:pPr>
    <w:rPr>
      <w:i w:val="0"/>
      <w:snapToGrid w:val="0"/>
      <w:kern w:val="2"/>
      <w:sz w:val="20"/>
    </w:rPr>
  </w:style>
  <w:style w:type="character" w:customStyle="1" w:styleId="msoins0">
    <w:name w:val="msoins"/>
    <w:basedOn w:val="DefaultParagraphFont"/>
    <w:qFormat/>
    <w:rsid w:val="00936A12"/>
  </w:style>
  <w:style w:type="paragraph" w:customStyle="1" w:styleId="B1">
    <w:name w:val="B1+"/>
    <w:basedOn w:val="B10"/>
    <w:uiPriority w:val="99"/>
    <w:qFormat/>
    <w:rsid w:val="006D1207"/>
    <w:pPr>
      <w:numPr>
        <w:numId w:val="3"/>
      </w:numPr>
      <w:tabs>
        <w:tab w:val="clear" w:pos="737"/>
        <w:tab w:val="num" w:pos="720"/>
      </w:tabs>
      <w:ind w:left="720" w:hanging="360"/>
    </w:pPr>
    <w:rPr>
      <w:lang w:eastAsia="zh-CN"/>
    </w:rPr>
  </w:style>
  <w:style w:type="paragraph" w:styleId="ListParagraph">
    <w:name w:val="List Paragraph"/>
    <w:aliases w:val="- Bullets,목록 단락,?? ??,?????,????,リスト段落,清單段落1,Lista1,中等深浅网格 1 - 着色 21,列表段落,¥¡¡¡¡ì¬º¥¹¥È¶ÎÂä,ÁÐ³ö¶ÎÂä,¥ê¥¹¥È¶ÎÂä,列表段落1,—ño’i—Ž,1st level - Bullet List Paragraph,Lettre d'introduction,Paragrafo elenco,Normal bullet 2,Bullet list,列出段落1,列出段落"/>
    <w:basedOn w:val="Normal"/>
    <w:link w:val="ListParagraphChar"/>
    <w:uiPriority w:val="34"/>
    <w:qFormat/>
    <w:rsid w:val="00936A12"/>
    <w:pPr>
      <w:spacing w:after="0"/>
      <w:ind w:left="720"/>
      <w:contextualSpacing/>
    </w:pPr>
    <w:rPr>
      <w:sz w:val="24"/>
      <w:szCs w:val="24"/>
    </w:rPr>
  </w:style>
  <w:style w:type="character" w:customStyle="1" w:styleId="ListParagraphChar">
    <w:name w:val="List Paragraph Char"/>
    <w:aliases w:val="- Bullets Char,목록 단락 Char,?? ?? Char,????? Char,???? Char,リスト段落 Char,清單段落1 Char,Lista1 Char,中等深浅网格 1 - 着色 21 Char,列表段落 Char,¥¡¡¡¡ì¬º¥¹¥È¶ÎÂä Char,ÁÐ³ö¶ÎÂä Char,¥ê¥¹¥È¶ÎÂä Char,列表段落1 Char,—ño’i—Ž Char,Lettre d'introduction Char"/>
    <w:link w:val="ListParagraph"/>
    <w:uiPriority w:val="34"/>
    <w:qFormat/>
    <w:rsid w:val="00936A12"/>
    <w:rPr>
      <w:sz w:val="24"/>
      <w:szCs w:val="24"/>
      <w:lang w:eastAsia="en-US"/>
    </w:rPr>
  </w:style>
  <w:style w:type="paragraph" w:styleId="NormalWeb">
    <w:name w:val="Normal (Web)"/>
    <w:basedOn w:val="Normal"/>
    <w:uiPriority w:val="99"/>
    <w:unhideWhenUsed/>
    <w:qFormat/>
    <w:rsid w:val="00936A12"/>
    <w:pPr>
      <w:spacing w:before="100" w:beforeAutospacing="1" w:after="100" w:afterAutospacing="1"/>
    </w:pPr>
    <w:rPr>
      <w:sz w:val="24"/>
      <w:szCs w:val="24"/>
      <w:lang w:val="en-US"/>
    </w:rPr>
  </w:style>
  <w:style w:type="paragraph" w:customStyle="1" w:styleId="CharCharCharChar1">
    <w:name w:val="Char Char Char Char1"/>
    <w:uiPriority w:val="99"/>
    <w:semiHidden/>
    <w:qFormat/>
    <w:rsid w:val="00936A12"/>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docHeading1">
    <w:name w:val="Tdoc_Heading_1"/>
    <w:basedOn w:val="Heading1"/>
    <w:next w:val="BodyText"/>
    <w:autoRedefine/>
    <w:uiPriority w:val="99"/>
    <w:qFormat/>
    <w:rsid w:val="00936A12"/>
    <w:pPr>
      <w:keepLines w:val="0"/>
      <w:pBdr>
        <w:top w:val="none" w:sz="0" w:space="0" w:color="auto"/>
      </w:pBdr>
      <w:tabs>
        <w:tab w:val="num" w:pos="360"/>
      </w:tabs>
      <w:spacing w:after="120"/>
      <w:ind w:left="357" w:hanging="357"/>
      <w:jc w:val="both"/>
    </w:pPr>
    <w:rPr>
      <w:rFonts w:eastAsia="Batang"/>
      <w:b/>
      <w:noProof/>
      <w:kern w:val="28"/>
      <w:sz w:val="24"/>
      <w:lang w:val="en-US"/>
    </w:rPr>
  </w:style>
  <w:style w:type="character" w:customStyle="1" w:styleId="GuidanceChar">
    <w:name w:val="Guidance Char"/>
    <w:qFormat/>
    <w:rsid w:val="00936A12"/>
    <w:rPr>
      <w:rFonts w:eastAsia="SimSun"/>
      <w:i/>
      <w:color w:val="0000FF"/>
      <w:lang w:val="en-GB" w:eastAsia="en-US"/>
    </w:rPr>
  </w:style>
  <w:style w:type="paragraph" w:customStyle="1" w:styleId="Bulletedo1">
    <w:name w:val="Bulleted o 1"/>
    <w:basedOn w:val="Normal"/>
    <w:uiPriority w:val="99"/>
    <w:qFormat/>
    <w:rsid w:val="006D1207"/>
    <w:pPr>
      <w:numPr>
        <w:numId w:val="4"/>
      </w:numPr>
      <w:tabs>
        <w:tab w:val="clear" w:pos="360"/>
        <w:tab w:val="num" w:pos="720"/>
      </w:tabs>
      <w:spacing w:before="120" w:after="120"/>
      <w:ind w:left="720"/>
    </w:pPr>
  </w:style>
  <w:style w:type="paragraph" w:styleId="TOCHeading">
    <w:name w:val="TOC Heading"/>
    <w:basedOn w:val="Heading1"/>
    <w:next w:val="Normal"/>
    <w:uiPriority w:val="39"/>
    <w:unhideWhenUsed/>
    <w:qFormat/>
    <w:rsid w:val="00936A12"/>
    <w:pPr>
      <w:pBdr>
        <w:top w:val="none" w:sz="0" w:space="0" w:color="auto"/>
      </w:pBdr>
      <w:spacing w:after="0" w:line="259" w:lineRule="auto"/>
      <w:ind w:left="0" w:firstLine="0"/>
      <w:outlineLvl w:val="9"/>
    </w:pPr>
    <w:rPr>
      <w:rFonts w:ascii="Calibri Light" w:hAnsi="Calibri Light"/>
      <w:color w:val="2E74B5"/>
      <w:sz w:val="32"/>
      <w:szCs w:val="32"/>
      <w:lang w:val="en-US"/>
    </w:rPr>
  </w:style>
  <w:style w:type="character" w:customStyle="1" w:styleId="TALChar">
    <w:name w:val="TAL Char"/>
    <w:qFormat/>
    <w:rsid w:val="00603FD3"/>
    <w:rPr>
      <w:rFonts w:ascii="Arial" w:hAnsi="Arial"/>
      <w:sz w:val="18"/>
      <w:lang w:val="en-GB"/>
    </w:rPr>
  </w:style>
  <w:style w:type="paragraph" w:styleId="Revision">
    <w:name w:val="Revision"/>
    <w:hidden/>
    <w:uiPriority w:val="99"/>
    <w:rsid w:val="00140F37"/>
    <w:rPr>
      <w:lang w:eastAsia="en-US"/>
    </w:rPr>
  </w:style>
  <w:style w:type="character" w:customStyle="1" w:styleId="EQChar">
    <w:name w:val="EQ Char"/>
    <w:link w:val="EQ"/>
    <w:qFormat/>
    <w:locked/>
    <w:rsid w:val="00682869"/>
    <w:rPr>
      <w:rFonts w:eastAsia="Times New Roman"/>
      <w:noProof/>
      <w:lang w:eastAsia="en-GB"/>
    </w:rPr>
  </w:style>
  <w:style w:type="character" w:styleId="Strong">
    <w:name w:val="Strong"/>
    <w:aliases w:val="Level 2"/>
    <w:qFormat/>
    <w:rsid w:val="007F7239"/>
    <w:rPr>
      <w:b/>
      <w:bCs/>
    </w:rPr>
  </w:style>
  <w:style w:type="character" w:customStyle="1" w:styleId="TAL0">
    <w:name w:val="TAL (文字)"/>
    <w:qFormat/>
    <w:rsid w:val="007F7239"/>
    <w:rPr>
      <w:rFonts w:ascii="Arial" w:hAnsi="Arial"/>
      <w:sz w:val="18"/>
      <w:lang w:val="en-GB" w:eastAsia="ko-KR" w:bidi="ar-SA"/>
    </w:rPr>
  </w:style>
  <w:style w:type="character" w:customStyle="1" w:styleId="CharChar3">
    <w:name w:val="Char Char3"/>
    <w:qFormat/>
    <w:rsid w:val="007F7239"/>
    <w:rPr>
      <w:rFonts w:ascii="Arial" w:hAnsi="Arial"/>
      <w:sz w:val="28"/>
      <w:lang w:val="en-GB" w:eastAsia="ko-KR"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bt Char4"/>
    <w:rsid w:val="007F7239"/>
    <w:rPr>
      <w:lang w:val="en-GB" w:eastAsia="en-US" w:bidi="ar-SA"/>
    </w:rPr>
  </w:style>
  <w:style w:type="character" w:customStyle="1" w:styleId="msoins00">
    <w:name w:val="msoins0"/>
    <w:qFormat/>
    <w:rsid w:val="007F7239"/>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7F7239"/>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7F7239"/>
    <w:rPr>
      <w:rFonts w:ascii="Arial" w:hAnsi="Arial"/>
      <w:sz w:val="24"/>
      <w:lang w:val="en-GB" w:eastAsia="en-US" w:bidi="ar-SA"/>
    </w:rPr>
  </w:style>
  <w:style w:type="paragraph" w:customStyle="1" w:styleId="no0">
    <w:name w:val="no"/>
    <w:basedOn w:val="Normal"/>
    <w:uiPriority w:val="99"/>
    <w:rsid w:val="007F7239"/>
    <w:pPr>
      <w:ind w:left="1135" w:hanging="851"/>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qFormat/>
    <w:locked/>
    <w:rsid w:val="007F7239"/>
    <w:rPr>
      <w:sz w:val="24"/>
      <w:lang w:val="en-US" w:eastAsia="en-US"/>
    </w:rPr>
  </w:style>
  <w:style w:type="character" w:customStyle="1" w:styleId="EditorsNoteChar">
    <w:name w:val="Editor's Note Char"/>
    <w:aliases w:val="EN Char"/>
    <w:link w:val="EditorsNote"/>
    <w:qFormat/>
    <w:rsid w:val="007F7239"/>
    <w:rPr>
      <w:rFonts w:eastAsia="Times New Roman"/>
      <w:color w:val="FF0000"/>
      <w:lang w:eastAsia="en-GB"/>
    </w:rPr>
  </w:style>
  <w:style w:type="paragraph" w:customStyle="1" w:styleId="IvDbodytext">
    <w:name w:val="IvD bodytext"/>
    <w:basedOn w:val="BodyText"/>
    <w:link w:val="IvDbodytextChar"/>
    <w:qFormat/>
    <w:rsid w:val="007F7239"/>
    <w:pPr>
      <w:keepLines/>
      <w:widowControl/>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sz w:val="20"/>
    </w:rPr>
  </w:style>
  <w:style w:type="character" w:customStyle="1" w:styleId="IvDbodytextChar">
    <w:name w:val="IvD bodytext Char"/>
    <w:link w:val="IvDbodytext"/>
    <w:qFormat/>
    <w:rsid w:val="007F7239"/>
    <w:rPr>
      <w:rFonts w:ascii="Arial" w:eastAsia="Malgun Gothic" w:hAnsi="Arial"/>
      <w:spacing w:val="2"/>
    </w:rPr>
  </w:style>
  <w:style w:type="paragraph" w:customStyle="1" w:styleId="BL">
    <w:name w:val="BL"/>
    <w:basedOn w:val="Normal"/>
    <w:uiPriority w:val="99"/>
    <w:qFormat/>
    <w:rsid w:val="006D1207"/>
    <w:pPr>
      <w:numPr>
        <w:numId w:val="5"/>
      </w:numPr>
      <w:tabs>
        <w:tab w:val="clear" w:pos="644"/>
        <w:tab w:val="num" w:pos="360"/>
        <w:tab w:val="left" w:pos="851"/>
      </w:tabs>
      <w:ind w:left="0" w:firstLine="0"/>
    </w:pPr>
    <w:rPr>
      <w:rFonts w:eastAsia="PMingLiU"/>
    </w:rPr>
  </w:style>
  <w:style w:type="character" w:styleId="PlaceholderText">
    <w:name w:val="Placeholder Text"/>
    <w:uiPriority w:val="99"/>
    <w:rsid w:val="003C7B7C"/>
    <w:rPr>
      <w:color w:val="808080"/>
    </w:rPr>
  </w:style>
  <w:style w:type="character" w:customStyle="1" w:styleId="Heading6Char">
    <w:name w:val="Heading 6 Char"/>
    <w:aliases w:val="T1 Char4,Header 6 Char"/>
    <w:link w:val="Heading6"/>
    <w:qFormat/>
    <w:rsid w:val="00256C53"/>
    <w:rPr>
      <w:rFonts w:ascii="Arial" w:eastAsia="Times New Roman" w:hAnsi="Arial"/>
      <w:lang w:eastAsia="en-GB"/>
    </w:rPr>
  </w:style>
  <w:style w:type="character" w:customStyle="1" w:styleId="Heading7Char">
    <w:name w:val="Heading 7 Char"/>
    <w:aliases w:val="L7 Char,Header 7 Char"/>
    <w:link w:val="Heading7"/>
    <w:qFormat/>
    <w:rsid w:val="00256C53"/>
    <w:rPr>
      <w:rFonts w:ascii="Arial" w:eastAsia="Times New Roman" w:hAnsi="Arial"/>
      <w:lang w:eastAsia="en-GB"/>
    </w:rPr>
  </w:style>
  <w:style w:type="character" w:customStyle="1" w:styleId="Heading9Char">
    <w:name w:val="Heading 9 Char"/>
    <w:aliases w:val="Figure Heading Char,FH Char"/>
    <w:link w:val="Heading9"/>
    <w:rsid w:val="00256C53"/>
    <w:rPr>
      <w:rFonts w:ascii="Arial" w:eastAsia="Times New Roman" w:hAnsi="Arial"/>
      <w:sz w:val="36"/>
      <w:lang w:eastAsia="en-GB"/>
    </w:rPr>
  </w:style>
  <w:style w:type="character" w:customStyle="1" w:styleId="PLChar">
    <w:name w:val="PL Char"/>
    <w:link w:val="PL"/>
    <w:qFormat/>
    <w:rsid w:val="00256C53"/>
    <w:rPr>
      <w:rFonts w:ascii="Courier New" w:eastAsia="Times New Roman" w:hAnsi="Courier New"/>
      <w:noProof/>
      <w:sz w:val="16"/>
      <w:lang w:eastAsia="en-GB"/>
    </w:rPr>
  </w:style>
  <w:style w:type="character" w:customStyle="1" w:styleId="Heading1Char1">
    <w:name w:val="Heading 1 Char1"/>
    <w:aliases w:val="H1 Char1,NMP Heading 1 Char3,H1 Char3,h1 Char3,app heading 1 Char3,l1 Char3,Memo Heading 1 Char3,h11 Char3,h12 Char3,h13 Char3,h14 Char3,h15 Char3,h16 Char3,h17 Char3,h111 Char3,h121 Char3,h131 Char3,h141 Char3,h151 Char3,h161 Char2"/>
    <w:qFormat/>
    <w:rsid w:val="000363F9"/>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qFormat/>
    <w:rsid w:val="006D1207"/>
    <w:rPr>
      <w:rFonts w:ascii="Calibri Light" w:eastAsia="Times New Roman" w:hAnsi="Calibri Light" w:cs="Times New Roman"/>
      <w:i/>
      <w:iCs/>
      <w:color w:val="2F5496"/>
      <w:lang w:eastAsia="en-US"/>
    </w:rPr>
  </w:style>
  <w:style w:type="character" w:customStyle="1" w:styleId="Heading5Char1">
    <w:name w:val="Heading 5 Char1"/>
    <w:aliases w:val="h5 Char1,Heading5 Char1,Head5 Char1,H5 Char1,M5 Char1,mh2 Char1,Module heading 2 Char1,heading 8 Char1,Numbered Sub-list Char Char1,Heading 81 Char1,标题 5 Char1,标题 81 Char1,Heading 811 Char1,Heading 8111 Char1,Heading 81111 Char1,5 Char"/>
    <w:qFormat/>
    <w:rsid w:val="006D1207"/>
    <w:rPr>
      <w:rFonts w:ascii="Calibri Light" w:eastAsia="Times New Roman" w:hAnsi="Calibri Light" w:cs="Times New Roman"/>
      <w:color w:val="2F5496"/>
      <w:lang w:eastAsia="en-US"/>
    </w:rPr>
  </w:style>
  <w:style w:type="paragraph" w:customStyle="1" w:styleId="msonormal0">
    <w:name w:val="msonormal"/>
    <w:basedOn w:val="Normal"/>
    <w:uiPriority w:val="99"/>
    <w:qFormat/>
    <w:rsid w:val="000363F9"/>
    <w:pPr>
      <w:spacing w:before="100" w:beforeAutospacing="1" w:after="100" w:afterAutospacing="1"/>
    </w:pPr>
    <w:rPr>
      <w:sz w:val="24"/>
      <w:szCs w:val="24"/>
      <w:lang w:val="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qFormat/>
    <w:rsid w:val="000363F9"/>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qFormat/>
    <w:rsid w:val="000363F9"/>
    <w:rPr>
      <w:rFonts w:ascii="Times New Roman" w:eastAsia="SimSun" w:hAnsi="Times New Roman"/>
      <w:lang w:eastAsia="en-US"/>
    </w:rPr>
  </w:style>
  <w:style w:type="character" w:customStyle="1" w:styleId="CharChar31">
    <w:name w:val="Char Char31"/>
    <w:qFormat/>
    <w:rsid w:val="000363F9"/>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31 Char3"/>
    <w:qFormat/>
    <w:rsid w:val="00EE5E23"/>
    <w:rPr>
      <w:rFonts w:ascii="Arial" w:hAnsi="Arial" w:cs="Times New Roman"/>
      <w:sz w:val="28"/>
      <w:szCs w:val="20"/>
      <w:lang w:val="en-GB" w:eastAsia="en-US"/>
    </w:rPr>
  </w:style>
  <w:style w:type="paragraph" w:customStyle="1" w:styleId="CharCharCharCharChar">
    <w:name w:val="Char Char Char Char Ch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
    <w:name w:val="Char Char"/>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
    <w:name w:val="Char"/>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
    <w:name w:val="Char Char Ch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
    <w:name w:val="Char Char1"/>
    <w:qFormat/>
    <w:rsid w:val="00EE5E23"/>
    <w:rPr>
      <w:lang w:val="en-GB" w:eastAsia="ja-JP" w:bidi="ar-SA"/>
    </w:rPr>
  </w:style>
  <w:style w:type="paragraph" w:customStyle="1" w:styleId="1Char">
    <w:name w:val="(文字) (文字)1 Char (文字) (文字)"/>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
    <w:name w:val="Char Char1 Char Char"/>
    <w:uiPriority w:val="99"/>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
    <w:name w:val="(文字) (文字)1 Char (文字) (文字) Char (文字) (文字)1"/>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
    <w:name w:val="(文字) (文字)1 Char (文字) (文字) Char"/>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
    <w:name w:val="(文字) (文字)1 Char (文字) (文字) Char (文字) (文字)1 Char (文字) (文字) Char Char Ch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
    <w:name w:val="Char Char2 Char Char"/>
    <w:basedOn w:val="Normal"/>
    <w:uiPriority w:val="99"/>
    <w:qFormat/>
    <w:rsid w:val="00EE5E23"/>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apCharChar2">
    <w:name w:val="cap Char Char2"/>
    <w:aliases w:val="Caption Char Char1,Caption Char1 Char Char1,cap Char Char1 Char1,Caption Char Char1 Char Char1,cap Char2 Char Char Char1"/>
    <w:qFormat/>
    <w:rsid w:val="00EE5E23"/>
    <w:rPr>
      <w:b/>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EE5E23"/>
    <w:rPr>
      <w:rFonts w:ascii="Arial" w:hAnsi="Arial"/>
      <w:sz w:val="32"/>
      <w:lang w:val="en-GB" w:eastAsia="ja-JP" w:bidi="ar-SA"/>
    </w:rPr>
  </w:style>
  <w:style w:type="character" w:customStyle="1" w:styleId="CharChar4">
    <w:name w:val="Char Char4"/>
    <w:qFormat/>
    <w:rsid w:val="00EE5E23"/>
    <w:rPr>
      <w:rFonts w:ascii="Courier New" w:hAnsi="Courier New"/>
      <w:lang w:val="nb-NO" w:eastAsia="ja-JP" w:bidi="ar-SA"/>
    </w:rPr>
  </w:style>
  <w:style w:type="character" w:customStyle="1" w:styleId="AndreaLeonardi">
    <w:name w:val="Andrea Leonardi"/>
    <w:semiHidden/>
    <w:qFormat/>
    <w:rsid w:val="00EE5E23"/>
    <w:rPr>
      <w:rFonts w:ascii="Arial" w:hAnsi="Arial" w:cs="Arial"/>
      <w:color w:val="auto"/>
      <w:sz w:val="20"/>
      <w:szCs w:val="20"/>
    </w:rPr>
  </w:style>
  <w:style w:type="character" w:customStyle="1" w:styleId="NOCharChar">
    <w:name w:val="NO Char Char"/>
    <w:qFormat/>
    <w:rsid w:val="00EE5E23"/>
    <w:rPr>
      <w:lang w:val="en-GB" w:eastAsia="en-US" w:bidi="ar-SA"/>
    </w:rPr>
  </w:style>
  <w:style w:type="character" w:customStyle="1" w:styleId="NOZchn">
    <w:name w:val="NO Zchn"/>
    <w:qFormat/>
    <w:rsid w:val="00EE5E23"/>
    <w:rPr>
      <w:lang w:val="en-GB" w:eastAsia="en-US" w:bidi="ar-SA"/>
    </w:rPr>
  </w:style>
  <w:style w:type="character" w:customStyle="1" w:styleId="TACCar">
    <w:name w:val="TAC Car"/>
    <w:qFormat/>
    <w:rsid w:val="00EE5E23"/>
    <w:rPr>
      <w:rFonts w:ascii="Arial" w:hAnsi="Arial"/>
      <w:sz w:val="18"/>
      <w:lang w:val="en-GB" w:eastAsia="ja-JP" w:bidi="ar-SA"/>
    </w:rPr>
  </w:style>
  <w:style w:type="paragraph" w:customStyle="1" w:styleId="CharCharCharCharCharChar">
    <w:name w:val="Char Char Char Char Char Char"/>
    <w:uiPriority w:val="99"/>
    <w:semiHidden/>
    <w:qFormat/>
    <w:rsid w:val="00EE5E23"/>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
    <w:name w:val="(文字) (文字)"/>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
    <w:name w:val="T1 Char"/>
    <w:aliases w:val="Header 6 Char Char"/>
    <w:rsid w:val="00EE5E23"/>
    <w:rPr>
      <w:rFonts w:ascii="Arial" w:hAnsi="Arial" w:cs="Times New Roman"/>
      <w:sz w:val="20"/>
      <w:szCs w:val="20"/>
      <w:lang w:val="en-GB" w:eastAsia="en-US"/>
    </w:rPr>
  </w:style>
  <w:style w:type="character" w:customStyle="1" w:styleId="T1Char1">
    <w:name w:val="T1 Char1"/>
    <w:aliases w:val="Header 6 Char Char1,Heading 6 Char1"/>
    <w:rsid w:val="00EE5E23"/>
    <w:rPr>
      <w:rFonts w:ascii="Arial" w:hAnsi="Arial" w:cs="Times New Roman"/>
      <w:sz w:val="20"/>
      <w:szCs w:val="20"/>
      <w:lang w:val="en-GB" w:eastAsia="en-US"/>
    </w:rPr>
  </w:style>
  <w:style w:type="paragraph" w:customStyle="1" w:styleId="CarCar">
    <w:name w:val="Car C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EE5E23"/>
    <w:rPr>
      <w:rFonts w:ascii="Arial" w:hAnsi="Arial"/>
      <w:sz w:val="32"/>
      <w:lang w:val="en-GB" w:eastAsia="en-US" w:bidi="ar-SA"/>
    </w:rPr>
  </w:style>
  <w:style w:type="paragraph" w:customStyle="1" w:styleId="ZchnZchn1">
    <w:name w:val="Zchn Zchn1"/>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EE5E23"/>
    <w:rPr>
      <w:rFonts w:ascii="Arial" w:hAnsi="Arial"/>
      <w:sz w:val="32"/>
      <w:lang w:val="en-GB" w:eastAsia="en-US" w:bidi="ar-SA"/>
    </w:rPr>
  </w:style>
  <w:style w:type="paragraph" w:customStyle="1" w:styleId="2">
    <w:name w:val="(文字) (文字)2"/>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EE5E23"/>
    <w:rPr>
      <w:rFonts w:ascii="Arial" w:hAnsi="Arial"/>
      <w:sz w:val="32"/>
      <w:lang w:val="en-GB" w:eastAsia="en-US" w:bidi="ar-SA"/>
    </w:rPr>
  </w:style>
  <w:style w:type="paragraph" w:customStyle="1" w:styleId="3">
    <w:name w:val="(文字) (文字)3"/>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
    <w:name w:val="Zchn Zchn2"/>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4">
    <w:name w:val="(文字) (文字)4"/>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2">
    <w:name w:val="T1 Char2"/>
    <w:aliases w:val="Header 6 Char Char2"/>
    <w:qFormat/>
    <w:rsid w:val="00EE5E23"/>
    <w:rPr>
      <w:rFonts w:ascii="Arial" w:hAnsi="Arial" w:cs="Times New Roman"/>
      <w:sz w:val="20"/>
      <w:szCs w:val="20"/>
      <w:lang w:val="en-GB" w:eastAsia="en-US"/>
    </w:rPr>
  </w:style>
  <w:style w:type="paragraph" w:customStyle="1" w:styleId="1">
    <w:name w:val="(文字) (文字)1"/>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缩进 Char,正文（首行缩进两字） Char,正文（首行缩进两字） Char Char Char Char Char Char Char Char Char Char,正文（首行缩进两字） Char Char Char,d,正文对齐"/>
    <w:basedOn w:val="Normal"/>
    <w:uiPriority w:val="99"/>
    <w:qFormat/>
    <w:rsid w:val="00EE5E23"/>
    <w:pPr>
      <w:spacing w:after="0"/>
      <w:ind w:left="851"/>
    </w:pPr>
    <w:rPr>
      <w:rFonts w:eastAsia="MS Mincho"/>
      <w:lang w:val="it-IT"/>
    </w:rPr>
  </w:style>
  <w:style w:type="paragraph" w:styleId="ListNumber5">
    <w:name w:val="List Number 5"/>
    <w:basedOn w:val="Normal"/>
    <w:uiPriority w:val="99"/>
    <w:qFormat/>
    <w:rsid w:val="00EE5E23"/>
    <w:pPr>
      <w:tabs>
        <w:tab w:val="num" w:pos="851"/>
        <w:tab w:val="num" w:pos="1800"/>
      </w:tabs>
      <w:ind w:left="1800" w:hanging="851"/>
    </w:pPr>
    <w:rPr>
      <w:rFonts w:eastAsia="MS Mincho"/>
    </w:rPr>
  </w:style>
  <w:style w:type="paragraph" w:styleId="ListNumber3">
    <w:name w:val="List Number 3"/>
    <w:basedOn w:val="Normal"/>
    <w:uiPriority w:val="99"/>
    <w:rsid w:val="00EE5E23"/>
    <w:pPr>
      <w:numPr>
        <w:numId w:val="7"/>
      </w:numPr>
      <w:tabs>
        <w:tab w:val="clear" w:pos="720"/>
        <w:tab w:val="num" w:pos="360"/>
        <w:tab w:val="num" w:pos="926"/>
      </w:tabs>
      <w:ind w:left="926" w:firstLine="0"/>
    </w:pPr>
    <w:rPr>
      <w:rFonts w:eastAsia="MS Mincho"/>
    </w:rPr>
  </w:style>
  <w:style w:type="paragraph" w:styleId="ListNumber4">
    <w:name w:val="List Number 4"/>
    <w:basedOn w:val="Normal"/>
    <w:uiPriority w:val="99"/>
    <w:qFormat/>
    <w:rsid w:val="00EE5E23"/>
    <w:pPr>
      <w:numPr>
        <w:numId w:val="6"/>
      </w:numPr>
      <w:tabs>
        <w:tab w:val="clear" w:pos="720"/>
        <w:tab w:val="num" w:pos="360"/>
        <w:tab w:val="num" w:pos="1209"/>
      </w:tabs>
      <w:ind w:left="1209" w:firstLine="0"/>
    </w:pPr>
    <w:rPr>
      <w:rFonts w:eastAsia="MS Mincho"/>
    </w:rPr>
  </w:style>
  <w:style w:type="character" w:customStyle="1" w:styleId="CharChar7">
    <w:name w:val="Char Char7"/>
    <w:rsid w:val="00EE5E23"/>
    <w:rPr>
      <w:rFonts w:ascii="Tahoma" w:hAnsi="Tahoma" w:cs="Tahoma"/>
      <w:shd w:val="clear" w:color="auto" w:fill="000080"/>
      <w:lang w:val="en-GB" w:eastAsia="en-US"/>
    </w:rPr>
  </w:style>
  <w:style w:type="character" w:customStyle="1" w:styleId="ZchnZchn5">
    <w:name w:val="Zchn Zchn5"/>
    <w:qFormat/>
    <w:rsid w:val="00EE5E23"/>
    <w:rPr>
      <w:rFonts w:ascii="Courier New" w:eastAsia="Batang" w:hAnsi="Courier New"/>
      <w:lang w:val="nb-NO" w:eastAsia="en-US" w:bidi="ar-SA"/>
    </w:rPr>
  </w:style>
  <w:style w:type="character" w:customStyle="1" w:styleId="CharChar10">
    <w:name w:val="Char Char10"/>
    <w:rsid w:val="00EE5E23"/>
    <w:rPr>
      <w:rFonts w:ascii="Times New Roman" w:hAnsi="Times New Roman"/>
      <w:lang w:val="en-GB" w:eastAsia="en-US"/>
    </w:rPr>
  </w:style>
  <w:style w:type="character" w:customStyle="1" w:styleId="CharChar9">
    <w:name w:val="Char Char9"/>
    <w:qFormat/>
    <w:rsid w:val="00EE5E23"/>
    <w:rPr>
      <w:rFonts w:ascii="Tahoma" w:hAnsi="Tahoma" w:cs="Tahoma"/>
      <w:sz w:val="16"/>
      <w:szCs w:val="16"/>
      <w:lang w:val="en-GB" w:eastAsia="en-US"/>
    </w:rPr>
  </w:style>
  <w:style w:type="character" w:customStyle="1" w:styleId="CharChar8">
    <w:name w:val="Char Char8"/>
    <w:qFormat/>
    <w:rsid w:val="00EE5E23"/>
    <w:rPr>
      <w:rFonts w:ascii="Times New Roman" w:hAnsi="Times New Roman"/>
      <w:b/>
      <w:bCs/>
      <w:lang w:val="en-GB" w:eastAsia="en-US"/>
    </w:rPr>
  </w:style>
  <w:style w:type="paragraph" w:customStyle="1" w:styleId="10">
    <w:name w:val="修订1"/>
    <w:hidden/>
    <w:uiPriority w:val="99"/>
    <w:semiHidden/>
    <w:qFormat/>
    <w:rsid w:val="00EE5E23"/>
    <w:rPr>
      <w:rFonts w:eastAsia="Batang"/>
      <w:lang w:eastAsia="en-US"/>
    </w:rPr>
  </w:style>
  <w:style w:type="paragraph" w:styleId="EndnoteText">
    <w:name w:val="endnote text"/>
    <w:basedOn w:val="Normal"/>
    <w:link w:val="EndnoteTextChar"/>
    <w:uiPriority w:val="99"/>
    <w:qFormat/>
    <w:rsid w:val="00EE5E23"/>
    <w:pPr>
      <w:snapToGrid w:val="0"/>
    </w:pPr>
  </w:style>
  <w:style w:type="character" w:customStyle="1" w:styleId="EndnoteTextChar">
    <w:name w:val="Endnote Text Char"/>
    <w:link w:val="EndnoteText"/>
    <w:uiPriority w:val="99"/>
    <w:qFormat/>
    <w:rsid w:val="00EE5E23"/>
    <w:rPr>
      <w:lang w:val="en-GB"/>
    </w:rPr>
  </w:style>
  <w:style w:type="character" w:styleId="EndnoteReference">
    <w:name w:val="endnote reference"/>
    <w:qFormat/>
    <w:rsid w:val="00EE5E23"/>
    <w:rPr>
      <w:vertAlign w:val="superscript"/>
    </w:rPr>
  </w:style>
  <w:style w:type="character" w:customStyle="1" w:styleId="btChar3">
    <w:name w:val="bt Char3"/>
    <w:aliases w:val="bt Car Char Char3,Corps de texte Car Char3,Corps de texte Car1 Car Char3,Corps de texte Car Car Car Char3,Corps de texte Car1 Car Car Car Char3,Corps de texte Car Car Car Car Car Char3,Corps de texte Car1 Car Car Car Car Car Char3"/>
    <w:qFormat/>
    <w:rsid w:val="00EE5E23"/>
    <w:rPr>
      <w:lang w:val="en-GB" w:eastAsia="ja-JP" w:bidi="ar-SA"/>
    </w:rPr>
  </w:style>
  <w:style w:type="paragraph" w:styleId="Title">
    <w:name w:val="Title"/>
    <w:aliases w:val="Section Header"/>
    <w:basedOn w:val="Normal"/>
    <w:next w:val="Normal"/>
    <w:link w:val="TitleChar"/>
    <w:uiPriority w:val="99"/>
    <w:qFormat/>
    <w:rsid w:val="00EE5E23"/>
    <w:pPr>
      <w:spacing w:before="240" w:after="60"/>
      <w:outlineLvl w:val="0"/>
    </w:pPr>
    <w:rPr>
      <w:rFonts w:ascii="Courier New" w:eastAsia="Malgun Gothic" w:hAnsi="Courier New"/>
      <w:lang w:val="nb-NO"/>
    </w:rPr>
  </w:style>
  <w:style w:type="character" w:customStyle="1" w:styleId="TitleChar">
    <w:name w:val="Title Char"/>
    <w:aliases w:val="Section Header Char"/>
    <w:link w:val="Title"/>
    <w:uiPriority w:val="99"/>
    <w:qFormat/>
    <w:rsid w:val="00EE5E23"/>
    <w:rPr>
      <w:rFonts w:ascii="Courier New" w:eastAsia="Malgun Gothic" w:hAnsi="Courier New"/>
      <w:lang w:val="nb-NO"/>
    </w:rPr>
  </w:style>
  <w:style w:type="paragraph" w:customStyle="1" w:styleId="FL">
    <w:name w:val="FL"/>
    <w:basedOn w:val="Normal"/>
    <w:uiPriority w:val="99"/>
    <w:rsid w:val="00EE5E23"/>
    <w:pPr>
      <w:keepNext/>
      <w:keepLines/>
      <w:spacing w:before="60"/>
      <w:jc w:val="center"/>
    </w:pPr>
    <w:rPr>
      <w:rFonts w:ascii="Arial" w:hAnsi="Arial"/>
      <w:b/>
      <w:lang w:eastAsia="ko-KR"/>
    </w:rPr>
  </w:style>
  <w:style w:type="character" w:customStyle="1" w:styleId="h5Char2">
    <w:name w:val="h5 Char2"/>
    <w:aliases w:val="Heading5 Char2,Head5 Char2,H5 Char2,M5 Char2,mh2 Char2,Module heading 2 Char2,heading 8 Char2,Numbered Sub-list Char1,Heading 81 Char Char1,5 Char1,Heading 811 Cha,5 Char2,Numbered Sub-list Char Char2,5 Char Char1"/>
    <w:qFormat/>
    <w:rsid w:val="00EE5E23"/>
    <w:rPr>
      <w:rFonts w:ascii="Arial" w:hAnsi="Arial"/>
      <w:sz w:val="22"/>
      <w:lang w:val="en-GB" w:eastAsia="ja-JP" w:bidi="ar-SA"/>
    </w:rPr>
  </w:style>
  <w:style w:type="paragraph" w:styleId="Date">
    <w:name w:val="Date"/>
    <w:basedOn w:val="Normal"/>
    <w:next w:val="Normal"/>
    <w:link w:val="DateChar"/>
    <w:uiPriority w:val="99"/>
    <w:qFormat/>
    <w:rsid w:val="006D1207"/>
    <w:rPr>
      <w:rFonts w:eastAsia="Malgun Gothic"/>
    </w:rPr>
  </w:style>
  <w:style w:type="character" w:customStyle="1" w:styleId="DateChar">
    <w:name w:val="Date Char"/>
    <w:link w:val="Date"/>
    <w:uiPriority w:val="99"/>
    <w:rsid w:val="00EE5E23"/>
    <w:rPr>
      <w:rFonts w:eastAsia="Malgun Gothic"/>
    </w:rPr>
  </w:style>
  <w:style w:type="paragraph" w:customStyle="1" w:styleId="AutoCorrect">
    <w:name w:val="AutoCorrect"/>
    <w:uiPriority w:val="99"/>
    <w:qFormat/>
    <w:rsid w:val="00EE5E23"/>
    <w:rPr>
      <w:rFonts w:eastAsia="Malgun Gothic"/>
      <w:sz w:val="24"/>
      <w:szCs w:val="24"/>
    </w:rPr>
  </w:style>
  <w:style w:type="paragraph" w:customStyle="1" w:styleId="-PAGE-">
    <w:name w:val="- PAGE -"/>
    <w:uiPriority w:val="99"/>
    <w:qFormat/>
    <w:rsid w:val="00EE5E23"/>
    <w:rPr>
      <w:rFonts w:eastAsia="Malgun Gothic"/>
      <w:sz w:val="24"/>
      <w:szCs w:val="24"/>
    </w:rPr>
  </w:style>
  <w:style w:type="paragraph" w:customStyle="1" w:styleId="PageXofY">
    <w:name w:val="Page X of Y"/>
    <w:uiPriority w:val="99"/>
    <w:rsid w:val="00EE5E23"/>
    <w:rPr>
      <w:rFonts w:eastAsia="Malgun Gothic"/>
      <w:sz w:val="24"/>
      <w:szCs w:val="24"/>
    </w:rPr>
  </w:style>
  <w:style w:type="paragraph" w:customStyle="1" w:styleId="Createdby">
    <w:name w:val="Created by"/>
    <w:uiPriority w:val="99"/>
    <w:rsid w:val="00EE5E23"/>
    <w:rPr>
      <w:rFonts w:eastAsia="Malgun Gothic"/>
      <w:sz w:val="24"/>
      <w:szCs w:val="24"/>
    </w:rPr>
  </w:style>
  <w:style w:type="paragraph" w:customStyle="1" w:styleId="Createdon">
    <w:name w:val="Created on"/>
    <w:uiPriority w:val="99"/>
    <w:qFormat/>
    <w:rsid w:val="00EE5E23"/>
    <w:rPr>
      <w:rFonts w:eastAsia="Malgun Gothic"/>
      <w:sz w:val="24"/>
      <w:szCs w:val="24"/>
    </w:rPr>
  </w:style>
  <w:style w:type="paragraph" w:customStyle="1" w:styleId="Lastprinted">
    <w:name w:val="Last printed"/>
    <w:uiPriority w:val="99"/>
    <w:qFormat/>
    <w:rsid w:val="00EE5E23"/>
    <w:rPr>
      <w:rFonts w:eastAsia="Malgun Gothic"/>
      <w:sz w:val="24"/>
      <w:szCs w:val="24"/>
    </w:rPr>
  </w:style>
  <w:style w:type="paragraph" w:customStyle="1" w:styleId="Lastsavedby">
    <w:name w:val="Last saved by"/>
    <w:uiPriority w:val="99"/>
    <w:qFormat/>
    <w:rsid w:val="00EE5E23"/>
    <w:rPr>
      <w:rFonts w:eastAsia="Malgun Gothic"/>
      <w:sz w:val="24"/>
      <w:szCs w:val="24"/>
    </w:rPr>
  </w:style>
  <w:style w:type="paragraph" w:customStyle="1" w:styleId="Filename">
    <w:name w:val="Filename"/>
    <w:uiPriority w:val="99"/>
    <w:qFormat/>
    <w:rsid w:val="00EE5E23"/>
    <w:rPr>
      <w:rFonts w:eastAsia="Malgun Gothic"/>
      <w:sz w:val="24"/>
      <w:szCs w:val="24"/>
    </w:rPr>
  </w:style>
  <w:style w:type="paragraph" w:customStyle="1" w:styleId="Filenameandpath">
    <w:name w:val="Filename and path"/>
    <w:uiPriority w:val="99"/>
    <w:qFormat/>
    <w:rsid w:val="00EE5E23"/>
    <w:rPr>
      <w:rFonts w:eastAsia="Malgun Gothic"/>
      <w:sz w:val="24"/>
      <w:szCs w:val="24"/>
    </w:rPr>
  </w:style>
  <w:style w:type="paragraph" w:customStyle="1" w:styleId="AuthorPageDate">
    <w:name w:val="Author  Page #  Date"/>
    <w:uiPriority w:val="99"/>
    <w:qFormat/>
    <w:rsid w:val="00EE5E23"/>
    <w:rPr>
      <w:rFonts w:eastAsia="Malgun Gothic"/>
      <w:sz w:val="24"/>
      <w:szCs w:val="24"/>
    </w:rPr>
  </w:style>
  <w:style w:type="paragraph" w:customStyle="1" w:styleId="ConfidentialPageDate">
    <w:name w:val="Confidential  Page #  Date"/>
    <w:uiPriority w:val="99"/>
    <w:qFormat/>
    <w:rsid w:val="00EE5E23"/>
    <w:rPr>
      <w:rFonts w:eastAsia="Malgun Gothic"/>
      <w:sz w:val="24"/>
      <w:szCs w:val="24"/>
    </w:rPr>
  </w:style>
  <w:style w:type="paragraph" w:customStyle="1" w:styleId="INDENT1">
    <w:name w:val="INDENT1"/>
    <w:basedOn w:val="Normal"/>
    <w:uiPriority w:val="99"/>
    <w:qFormat/>
    <w:rsid w:val="00EE5E23"/>
    <w:pPr>
      <w:ind w:left="851"/>
    </w:pPr>
    <w:rPr>
      <w:lang w:eastAsia="ja-JP"/>
    </w:rPr>
  </w:style>
  <w:style w:type="paragraph" w:customStyle="1" w:styleId="INDENT2">
    <w:name w:val="INDENT2"/>
    <w:basedOn w:val="Normal"/>
    <w:uiPriority w:val="99"/>
    <w:qFormat/>
    <w:rsid w:val="00EE5E23"/>
    <w:pPr>
      <w:ind w:left="1135" w:hanging="284"/>
    </w:pPr>
    <w:rPr>
      <w:lang w:eastAsia="ja-JP"/>
    </w:rPr>
  </w:style>
  <w:style w:type="paragraph" w:customStyle="1" w:styleId="INDENT3">
    <w:name w:val="INDENT3"/>
    <w:basedOn w:val="Normal"/>
    <w:uiPriority w:val="99"/>
    <w:qFormat/>
    <w:rsid w:val="00EE5E23"/>
    <w:pPr>
      <w:ind w:left="1701" w:hanging="567"/>
    </w:pPr>
    <w:rPr>
      <w:lang w:eastAsia="ja-JP"/>
    </w:rPr>
  </w:style>
  <w:style w:type="paragraph" w:customStyle="1" w:styleId="FigureTitle">
    <w:name w:val="Figure_Title"/>
    <w:basedOn w:val="Normal"/>
    <w:next w:val="Normal"/>
    <w:uiPriority w:val="99"/>
    <w:qFormat/>
    <w:rsid w:val="00EE5E23"/>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uiPriority w:val="99"/>
    <w:qFormat/>
    <w:rsid w:val="00EE5E23"/>
    <w:pPr>
      <w:keepNext/>
      <w:keepLines/>
    </w:pPr>
    <w:rPr>
      <w:b/>
      <w:lang w:eastAsia="ja-JP"/>
    </w:rPr>
  </w:style>
  <w:style w:type="paragraph" w:customStyle="1" w:styleId="enumlev2">
    <w:name w:val="enumlev2"/>
    <w:basedOn w:val="Normal"/>
    <w:uiPriority w:val="99"/>
    <w:qFormat/>
    <w:rsid w:val="00EE5E23"/>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uiPriority w:val="99"/>
    <w:rsid w:val="00EE5E23"/>
    <w:pPr>
      <w:keepNext/>
      <w:keepLines/>
      <w:spacing w:before="240"/>
      <w:ind w:left="1418"/>
    </w:pPr>
    <w:rPr>
      <w:rFonts w:ascii="Arial" w:hAnsi="Arial"/>
      <w:b/>
      <w:sz w:val="36"/>
      <w:lang w:val="en-US" w:eastAsia="ja-JP"/>
    </w:rPr>
  </w:style>
  <w:style w:type="paragraph" w:customStyle="1" w:styleId="Figure">
    <w:name w:val="Figure"/>
    <w:basedOn w:val="Normal"/>
    <w:uiPriority w:val="99"/>
    <w:qFormat/>
    <w:rsid w:val="00EE5E23"/>
    <w:pPr>
      <w:tabs>
        <w:tab w:val="num" w:pos="1440"/>
      </w:tabs>
      <w:spacing w:before="180" w:after="240" w:line="280" w:lineRule="atLeast"/>
      <w:ind w:left="720" w:hanging="360"/>
      <w:jc w:val="center"/>
    </w:pPr>
    <w:rPr>
      <w:rFonts w:ascii="Arial" w:hAnsi="Arial"/>
      <w:b/>
      <w:lang w:val="en-US" w:eastAsia="ja-JP"/>
    </w:rPr>
  </w:style>
  <w:style w:type="table" w:customStyle="1" w:styleId="TableGrid1">
    <w:name w:val="Table Grid1"/>
    <w:basedOn w:val="TableNormal"/>
    <w:next w:val="TableGrid"/>
    <w:uiPriority w:val="39"/>
    <w:qFormat/>
    <w:rsid w:val="00EE5E2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uiPriority w:val="99"/>
    <w:qFormat/>
    <w:rsid w:val="00EE5E23"/>
    <w:pPr>
      <w:tabs>
        <w:tab w:val="left" w:pos="1418"/>
      </w:tabs>
      <w:spacing w:after="120"/>
    </w:pPr>
    <w:rPr>
      <w:rFonts w:ascii="Arial" w:eastAsia="MS Mincho" w:hAnsi="Arial"/>
      <w:sz w:val="24"/>
      <w:lang w:val="fr-FR" w:eastAsia="ko-KR"/>
    </w:rPr>
  </w:style>
  <w:style w:type="paragraph" w:customStyle="1" w:styleId="p20">
    <w:name w:val="p20"/>
    <w:basedOn w:val="Normal"/>
    <w:uiPriority w:val="99"/>
    <w:qFormat/>
    <w:rsid w:val="00EE5E23"/>
    <w:pPr>
      <w:snapToGrid w:val="0"/>
      <w:spacing w:after="0"/>
    </w:pPr>
    <w:rPr>
      <w:rFonts w:ascii="Arial" w:hAnsi="Arial" w:cs="Arial"/>
      <w:sz w:val="18"/>
      <w:szCs w:val="18"/>
      <w:lang w:val="en-US" w:eastAsia="zh-CN"/>
    </w:rPr>
  </w:style>
  <w:style w:type="paragraph" w:customStyle="1" w:styleId="ATC">
    <w:name w:val="ATC"/>
    <w:basedOn w:val="Normal"/>
    <w:uiPriority w:val="99"/>
    <w:qFormat/>
    <w:rsid w:val="00EE5E23"/>
    <w:rPr>
      <w:lang w:eastAsia="ja-JP"/>
    </w:rPr>
  </w:style>
  <w:style w:type="paragraph" w:customStyle="1" w:styleId="TaOC">
    <w:name w:val="TaOC"/>
    <w:basedOn w:val="TAC"/>
    <w:qFormat/>
    <w:rsid w:val="00EE5E23"/>
    <w:rPr>
      <w:lang w:eastAsia="ja-JP"/>
    </w:rPr>
  </w:style>
  <w:style w:type="paragraph" w:customStyle="1" w:styleId="1CharChar1Char">
    <w:name w:val="(文字) (文字)1 Char (文字) (文字) Char (文字) (文字)1 Char (文字) (文字)"/>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xl40">
    <w:name w:val="xl40"/>
    <w:basedOn w:val="Normal"/>
    <w:uiPriority w:val="99"/>
    <w:rsid w:val="00EE5E23"/>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Separation">
    <w:name w:val="Separation"/>
    <w:basedOn w:val="Heading1"/>
    <w:next w:val="Normal"/>
    <w:uiPriority w:val="99"/>
    <w:qFormat/>
    <w:rsid w:val="00EE5E23"/>
    <w:pPr>
      <w:pBdr>
        <w:top w:val="none" w:sz="0" w:space="0" w:color="auto"/>
      </w:pBdr>
    </w:pPr>
    <w:rPr>
      <w:b/>
      <w:color w:val="0000FF"/>
      <w:lang w:eastAsia="ja-JP"/>
    </w:rPr>
  </w:style>
  <w:style w:type="character" w:customStyle="1" w:styleId="T1Char3">
    <w:name w:val="T1 Char3"/>
    <w:aliases w:val="Header 6 Char Char3"/>
    <w:qFormat/>
    <w:rsid w:val="00EE5E23"/>
    <w:rPr>
      <w:rFonts w:ascii="Arial" w:hAnsi="Arial"/>
      <w:lang w:val="en-GB" w:eastAsia="en-US" w:bidi="ar-SA"/>
    </w:rPr>
  </w:style>
  <w:style w:type="table" w:customStyle="1" w:styleId="Tabellengitternetz1">
    <w:name w:val="Tabellengitternetz1"/>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qFormat/>
    <w:rsid w:val="00EE5E23"/>
    <w:pPr>
      <w:tabs>
        <w:tab w:val="num" w:pos="928"/>
      </w:tabs>
      <w:ind w:left="928" w:hanging="360"/>
    </w:pPr>
    <w:rPr>
      <w:rFonts w:eastAsia="Batang"/>
      <w:lang w:eastAsia="ko-KR"/>
    </w:rPr>
  </w:style>
  <w:style w:type="table" w:customStyle="1" w:styleId="TableGrid2">
    <w:name w:val="Table Grid2"/>
    <w:basedOn w:val="TableNormal"/>
    <w:next w:val="TableGrid"/>
    <w:qFormat/>
    <w:rsid w:val="00EE5E2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uiPriority w:val="99"/>
    <w:qFormat/>
    <w:rsid w:val="00EE5E23"/>
    <w:pPr>
      <w:keepNext w:val="0"/>
      <w:keepLines w:val="0"/>
      <w:spacing w:before="240"/>
      <w:ind w:left="1980" w:hanging="1980"/>
    </w:pPr>
    <w:rPr>
      <w:rFonts w:eastAsia="MS Mincho"/>
      <w:bCs/>
    </w:rPr>
  </w:style>
  <w:style w:type="paragraph" w:customStyle="1" w:styleId="StyleHeading6After9pt">
    <w:name w:val="Style Heading 6 + After:  9 pt"/>
    <w:basedOn w:val="Heading6"/>
    <w:uiPriority w:val="99"/>
    <w:qFormat/>
    <w:rsid w:val="00EE5E23"/>
    <w:pPr>
      <w:keepNext w:val="0"/>
      <w:keepLines w:val="0"/>
      <w:spacing w:before="240"/>
      <w:ind w:left="0" w:firstLine="0"/>
    </w:pPr>
    <w:rPr>
      <w:rFonts w:eastAsia="MS Mincho"/>
      <w:bCs/>
    </w:rPr>
  </w:style>
  <w:style w:type="table" w:customStyle="1" w:styleId="TableGrid3">
    <w:name w:val="Table Grid3"/>
    <w:basedOn w:val="TableNormal"/>
    <w:next w:val="TableGrid"/>
    <w:qFormat/>
    <w:rsid w:val="00EE5E2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uiPriority w:val="99"/>
    <w:semiHidden/>
    <w:qFormat/>
    <w:rsid w:val="00EE5E23"/>
    <w:rPr>
      <w:rFonts w:ascii="Tahoma" w:eastAsia="MS Mincho" w:hAnsi="Tahoma" w:cs="Tahoma"/>
      <w:sz w:val="16"/>
      <w:szCs w:val="16"/>
      <w:lang w:eastAsia="ko-KR"/>
    </w:rPr>
  </w:style>
  <w:style w:type="paragraph" w:customStyle="1" w:styleId="JK-text-simpledoc">
    <w:name w:val="JK - text - simple doc"/>
    <w:basedOn w:val="BodyText"/>
    <w:autoRedefine/>
    <w:uiPriority w:val="99"/>
    <w:qFormat/>
    <w:rsid w:val="00EE5E23"/>
    <w:pPr>
      <w:widowControl/>
      <w:tabs>
        <w:tab w:val="num" w:pos="928"/>
        <w:tab w:val="num" w:pos="1097"/>
      </w:tabs>
      <w:spacing w:line="288" w:lineRule="auto"/>
      <w:ind w:left="1097" w:hanging="360"/>
    </w:pPr>
    <w:rPr>
      <w:rFonts w:ascii="Arial" w:eastAsia="SimSun" w:hAnsi="Arial" w:cs="Arial"/>
      <w:sz w:val="20"/>
      <w:lang w:val="en-US"/>
    </w:rPr>
  </w:style>
  <w:style w:type="paragraph" w:customStyle="1" w:styleId="b11">
    <w:name w:val="b1"/>
    <w:basedOn w:val="Normal"/>
    <w:uiPriority w:val="99"/>
    <w:qFormat/>
    <w:rsid w:val="00EE5E23"/>
    <w:pPr>
      <w:spacing w:before="100" w:beforeAutospacing="1" w:after="100" w:afterAutospacing="1"/>
    </w:pPr>
    <w:rPr>
      <w:sz w:val="24"/>
      <w:szCs w:val="24"/>
      <w:lang w:val="en-US" w:eastAsia="ko-KR"/>
    </w:rPr>
  </w:style>
  <w:style w:type="paragraph" w:customStyle="1" w:styleId="11">
    <w:name w:val="吹き出し1"/>
    <w:basedOn w:val="Normal"/>
    <w:uiPriority w:val="99"/>
    <w:qFormat/>
    <w:rsid w:val="00EE5E23"/>
    <w:rPr>
      <w:rFonts w:ascii="Tahoma" w:eastAsia="MS Mincho" w:hAnsi="Tahoma" w:cs="Tahoma"/>
      <w:sz w:val="16"/>
      <w:szCs w:val="16"/>
      <w:lang w:eastAsia="ko-KR"/>
    </w:rPr>
  </w:style>
  <w:style w:type="paragraph" w:customStyle="1" w:styleId="20">
    <w:name w:val="吹き出し2"/>
    <w:basedOn w:val="Normal"/>
    <w:uiPriority w:val="99"/>
    <w:semiHidden/>
    <w:rsid w:val="00EE5E23"/>
    <w:rPr>
      <w:rFonts w:ascii="Tahoma" w:eastAsia="MS Mincho" w:hAnsi="Tahoma" w:cs="Tahoma"/>
      <w:sz w:val="16"/>
      <w:szCs w:val="16"/>
      <w:lang w:eastAsia="ko-KR"/>
    </w:rPr>
  </w:style>
  <w:style w:type="paragraph" w:customStyle="1" w:styleId="Note">
    <w:name w:val="Note"/>
    <w:basedOn w:val="B10"/>
    <w:uiPriority w:val="99"/>
    <w:qFormat/>
    <w:rsid w:val="00EE5E23"/>
    <w:rPr>
      <w:rFonts w:eastAsia="MS Mincho"/>
    </w:rPr>
  </w:style>
  <w:style w:type="paragraph" w:customStyle="1" w:styleId="91">
    <w:name w:val="目次 91"/>
    <w:basedOn w:val="TOC8"/>
    <w:uiPriority w:val="99"/>
    <w:qFormat/>
    <w:rsid w:val="00EE5E23"/>
    <w:pPr>
      <w:ind w:left="1418" w:hanging="1418"/>
    </w:pPr>
    <w:rPr>
      <w:rFonts w:eastAsia="MS Mincho"/>
      <w:lang w:val="en-US"/>
    </w:rPr>
  </w:style>
  <w:style w:type="paragraph" w:customStyle="1" w:styleId="12">
    <w:name w:val="図表番号1"/>
    <w:basedOn w:val="Normal"/>
    <w:next w:val="Normal"/>
    <w:uiPriority w:val="99"/>
    <w:qFormat/>
    <w:rsid w:val="00EE5E23"/>
    <w:pPr>
      <w:spacing w:before="120" w:after="120"/>
    </w:pPr>
    <w:rPr>
      <w:rFonts w:eastAsia="MS Mincho"/>
      <w:b/>
    </w:rPr>
  </w:style>
  <w:style w:type="paragraph" w:customStyle="1" w:styleId="HO">
    <w:name w:val="HO"/>
    <w:basedOn w:val="Normal"/>
    <w:uiPriority w:val="99"/>
    <w:rsid w:val="00EE5E23"/>
    <w:pPr>
      <w:spacing w:after="0"/>
      <w:jc w:val="right"/>
    </w:pPr>
    <w:rPr>
      <w:rFonts w:eastAsia="MS Mincho"/>
      <w:b/>
    </w:rPr>
  </w:style>
  <w:style w:type="paragraph" w:customStyle="1" w:styleId="WP">
    <w:name w:val="WP"/>
    <w:basedOn w:val="Normal"/>
    <w:uiPriority w:val="99"/>
    <w:rsid w:val="00EE5E23"/>
    <w:pPr>
      <w:spacing w:after="0"/>
      <w:jc w:val="both"/>
    </w:pPr>
    <w:rPr>
      <w:rFonts w:eastAsia="MS Mincho"/>
    </w:rPr>
  </w:style>
  <w:style w:type="paragraph" w:customStyle="1" w:styleId="ZK">
    <w:name w:val="ZK"/>
    <w:uiPriority w:val="99"/>
    <w:rsid w:val="00EE5E23"/>
    <w:pPr>
      <w:spacing w:after="240" w:line="240" w:lineRule="atLeast"/>
      <w:ind w:left="1191" w:right="113" w:hanging="1191"/>
    </w:pPr>
    <w:rPr>
      <w:rFonts w:eastAsia="MS Mincho"/>
      <w:lang w:eastAsia="en-US"/>
    </w:rPr>
  </w:style>
  <w:style w:type="paragraph" w:customStyle="1" w:styleId="ZC">
    <w:name w:val="ZC"/>
    <w:uiPriority w:val="99"/>
    <w:rsid w:val="00EE5E23"/>
    <w:pPr>
      <w:spacing w:line="360" w:lineRule="atLeast"/>
      <w:jc w:val="center"/>
    </w:pPr>
    <w:rPr>
      <w:rFonts w:eastAsia="MS Mincho"/>
      <w:lang w:eastAsia="en-US"/>
    </w:rPr>
  </w:style>
  <w:style w:type="paragraph" w:customStyle="1" w:styleId="FooterCentred">
    <w:name w:val="FooterCentred"/>
    <w:basedOn w:val="Footer"/>
    <w:uiPriority w:val="99"/>
    <w:qFormat/>
    <w:rsid w:val="00EE5E23"/>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Para1"/>
    <w:link w:val="NumberedListChar"/>
    <w:qFormat/>
    <w:rsid w:val="00EE5E23"/>
    <w:pPr>
      <w:tabs>
        <w:tab w:val="left" w:pos="360"/>
      </w:tabs>
      <w:ind w:left="360" w:hanging="360"/>
    </w:pPr>
  </w:style>
  <w:style w:type="paragraph" w:customStyle="1" w:styleId="Para1">
    <w:name w:val="Para1"/>
    <w:basedOn w:val="Normal"/>
    <w:uiPriority w:val="99"/>
    <w:rsid w:val="00EE5E23"/>
    <w:pPr>
      <w:spacing w:before="120" w:after="120"/>
    </w:pPr>
    <w:rPr>
      <w:rFonts w:eastAsia="MS Mincho"/>
      <w:lang w:val="en-US"/>
    </w:rPr>
  </w:style>
  <w:style w:type="paragraph" w:customStyle="1" w:styleId="Teststep">
    <w:name w:val="Test step"/>
    <w:basedOn w:val="Normal"/>
    <w:uiPriority w:val="99"/>
    <w:qFormat/>
    <w:rsid w:val="00EE5E23"/>
    <w:pPr>
      <w:tabs>
        <w:tab w:val="left" w:pos="720"/>
      </w:tabs>
      <w:spacing w:after="0"/>
      <w:ind w:left="720" w:hanging="720"/>
    </w:pPr>
    <w:rPr>
      <w:rFonts w:eastAsia="MS Mincho"/>
    </w:rPr>
  </w:style>
  <w:style w:type="paragraph" w:customStyle="1" w:styleId="TableTitle">
    <w:name w:val="TableTitle"/>
    <w:basedOn w:val="BodyText2"/>
    <w:next w:val="BodyText2"/>
    <w:uiPriority w:val="99"/>
    <w:qFormat/>
    <w:rsid w:val="00EE5E23"/>
    <w:pPr>
      <w:keepNext/>
      <w:keepLines/>
      <w:spacing w:after="60"/>
      <w:ind w:left="210"/>
      <w:jc w:val="center"/>
    </w:pPr>
    <w:rPr>
      <w:b/>
      <w:sz w:val="20"/>
    </w:rPr>
  </w:style>
  <w:style w:type="paragraph" w:customStyle="1" w:styleId="13">
    <w:name w:val="図表目次1"/>
    <w:basedOn w:val="Normal"/>
    <w:next w:val="Normal"/>
    <w:uiPriority w:val="99"/>
    <w:qFormat/>
    <w:rsid w:val="00EE5E23"/>
    <w:pPr>
      <w:ind w:left="400" w:hanging="400"/>
      <w:jc w:val="center"/>
    </w:pPr>
    <w:rPr>
      <w:rFonts w:eastAsia="MS Mincho"/>
      <w:b/>
    </w:rPr>
  </w:style>
  <w:style w:type="paragraph" w:customStyle="1" w:styleId="t2">
    <w:name w:val="t2"/>
    <w:basedOn w:val="Normal"/>
    <w:uiPriority w:val="99"/>
    <w:qFormat/>
    <w:rsid w:val="00EE5E23"/>
    <w:pPr>
      <w:spacing w:after="0"/>
    </w:pPr>
    <w:rPr>
      <w:rFonts w:eastAsia="MS Mincho"/>
    </w:rPr>
  </w:style>
  <w:style w:type="paragraph" w:customStyle="1" w:styleId="CommentNokia">
    <w:name w:val="Comment Nokia"/>
    <w:basedOn w:val="Normal"/>
    <w:uiPriority w:val="99"/>
    <w:qFormat/>
    <w:rsid w:val="00EE5E23"/>
    <w:pPr>
      <w:tabs>
        <w:tab w:val="left" w:pos="360"/>
      </w:tabs>
      <w:ind w:left="360" w:hanging="360"/>
    </w:pPr>
    <w:rPr>
      <w:rFonts w:eastAsia="MS Mincho"/>
      <w:sz w:val="22"/>
      <w:lang w:val="en-US"/>
    </w:rPr>
  </w:style>
  <w:style w:type="paragraph" w:customStyle="1" w:styleId="Copyright">
    <w:name w:val="Copyright"/>
    <w:basedOn w:val="Normal"/>
    <w:uiPriority w:val="99"/>
    <w:qFormat/>
    <w:rsid w:val="00EE5E23"/>
    <w:pPr>
      <w:spacing w:after="0"/>
      <w:jc w:val="center"/>
    </w:pPr>
    <w:rPr>
      <w:rFonts w:ascii="Arial" w:eastAsia="MS Mincho" w:hAnsi="Arial"/>
      <w:b/>
      <w:sz w:val="16"/>
      <w:lang w:eastAsia="ja-JP"/>
    </w:rPr>
  </w:style>
  <w:style w:type="paragraph" w:customStyle="1" w:styleId="Tdoctable">
    <w:name w:val="Tdoc_table"/>
    <w:uiPriority w:val="99"/>
    <w:qFormat/>
    <w:rsid w:val="00EE5E23"/>
    <w:pPr>
      <w:ind w:left="244" w:hanging="244"/>
    </w:pPr>
    <w:rPr>
      <w:rFonts w:ascii="Arial" w:hAnsi="Arial"/>
      <w:noProof/>
      <w:color w:val="000000"/>
      <w:lang w:eastAsia="en-US"/>
    </w:rPr>
  </w:style>
  <w:style w:type="paragraph" w:customStyle="1" w:styleId="Heading3Underrubrik2H3">
    <w:name w:val="Heading 3.Underrubrik2.H3"/>
    <w:basedOn w:val="Heading2Head2A2"/>
    <w:next w:val="Normal"/>
    <w:qFormat/>
    <w:rsid w:val="00EE5E23"/>
    <w:pPr>
      <w:spacing w:before="120"/>
      <w:outlineLvl w:val="2"/>
    </w:pPr>
    <w:rPr>
      <w:sz w:val="28"/>
    </w:rPr>
  </w:style>
  <w:style w:type="paragraph" w:customStyle="1" w:styleId="Heading2Head2A2">
    <w:name w:val="Heading 2.Head2A.2"/>
    <w:basedOn w:val="Heading1"/>
    <w:next w:val="Normal"/>
    <w:uiPriority w:val="99"/>
    <w:qFormat/>
    <w:rsid w:val="00EE5E23"/>
    <w:pPr>
      <w:pBdr>
        <w:top w:val="none" w:sz="0" w:space="0" w:color="auto"/>
      </w:pBdr>
      <w:spacing w:before="180"/>
      <w:outlineLvl w:val="1"/>
    </w:pPr>
    <w:rPr>
      <w:sz w:val="32"/>
      <w:lang w:eastAsia="es-ES"/>
    </w:rPr>
  </w:style>
  <w:style w:type="paragraph" w:customStyle="1" w:styleId="TitleText">
    <w:name w:val="Title Text"/>
    <w:basedOn w:val="Normal"/>
    <w:next w:val="Normal"/>
    <w:uiPriority w:val="99"/>
    <w:qFormat/>
    <w:rsid w:val="00EE5E23"/>
    <w:pPr>
      <w:spacing w:after="220"/>
    </w:pPr>
    <w:rPr>
      <w:rFonts w:eastAsia="MS Mincho"/>
      <w:b/>
      <w:lang w:val="en-US"/>
    </w:rPr>
  </w:style>
  <w:style w:type="paragraph" w:customStyle="1" w:styleId="berschrift2Head2A2">
    <w:name w:val="Überschrift 2.Head2A.2"/>
    <w:basedOn w:val="Heading1"/>
    <w:next w:val="Normal"/>
    <w:uiPriority w:val="99"/>
    <w:qFormat/>
    <w:rsid w:val="00EE5E23"/>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uiPriority w:val="99"/>
    <w:qFormat/>
    <w:rsid w:val="00EE5E23"/>
    <w:pPr>
      <w:spacing w:before="120"/>
      <w:outlineLvl w:val="2"/>
    </w:pPr>
    <w:rPr>
      <w:rFonts w:eastAsia="MS Mincho"/>
      <w:sz w:val="28"/>
      <w:lang w:eastAsia="de-DE"/>
    </w:rPr>
  </w:style>
  <w:style w:type="paragraph" w:customStyle="1" w:styleId="Bullets">
    <w:name w:val="Bullets"/>
    <w:basedOn w:val="BodyText"/>
    <w:uiPriority w:val="99"/>
    <w:rsid w:val="00EE5E23"/>
    <w:pPr>
      <w:ind w:left="283" w:hanging="283"/>
    </w:pPr>
    <w:rPr>
      <w:sz w:val="20"/>
      <w:lang w:eastAsia="de-DE"/>
    </w:rPr>
  </w:style>
  <w:style w:type="paragraph" w:customStyle="1" w:styleId="11BodyText">
    <w:name w:val="11 BodyText"/>
    <w:basedOn w:val="Normal"/>
    <w:uiPriority w:val="99"/>
    <w:qFormat/>
    <w:rsid w:val="00EE5E23"/>
    <w:pPr>
      <w:spacing w:after="220"/>
      <w:ind w:left="1298"/>
    </w:pPr>
    <w:rPr>
      <w:rFonts w:ascii="Arial" w:hAnsi="Arial"/>
      <w:lang w:val="en-US"/>
    </w:rPr>
  </w:style>
  <w:style w:type="paragraph" w:customStyle="1" w:styleId="1030302">
    <w:name w:val="样式 样式 标题 1 + 两端对齐 段前: 0.3 行 段后: 0.3 行 行距: 单倍行距 + 段前: 0.2 行 段后: ..."/>
    <w:basedOn w:val="Normal"/>
    <w:autoRedefine/>
    <w:uiPriority w:val="99"/>
    <w:qFormat/>
    <w:rsid w:val="00EE5E23"/>
    <w:pPr>
      <w:keepNext/>
      <w:tabs>
        <w:tab w:val="num" w:pos="0"/>
      </w:tabs>
      <w:spacing w:beforeLines="20" w:afterLines="10"/>
      <w:ind w:right="284"/>
      <w:jc w:val="both"/>
      <w:outlineLvl w:val="0"/>
    </w:pPr>
    <w:rPr>
      <w:rFonts w:ascii="Arial" w:hAnsi="Arial" w:cs="SimSun"/>
      <w:b/>
      <w:bCs/>
      <w:sz w:val="28"/>
      <w:lang w:val="en-US" w:eastAsia="zh-CN"/>
    </w:rPr>
  </w:style>
  <w:style w:type="table" w:customStyle="1" w:styleId="31">
    <w:name w:val="网格型3"/>
    <w:basedOn w:val="TableNormal"/>
    <w:next w:val="TableGrid"/>
    <w:rsid w:val="00EE5E2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EE5E2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Normal + Times New Roman"/>
    <w:basedOn w:val="Normal"/>
    <w:uiPriority w:val="99"/>
    <w:rsid w:val="00EE5E23"/>
    <w:pPr>
      <w:keepNext/>
      <w:keepLines/>
      <w:spacing w:after="0"/>
      <w:ind w:right="134"/>
      <w:jc w:val="right"/>
    </w:pPr>
    <w:rPr>
      <w:rFonts w:ascii="Arial" w:hAnsi="Arial" w:cs="Arial"/>
      <w:sz w:val="18"/>
      <w:szCs w:val="18"/>
      <w:lang w:val="en-US" w:eastAsia="ko-KR"/>
    </w:rPr>
  </w:style>
  <w:style w:type="paragraph" w:customStyle="1" w:styleId="StyleTAC">
    <w:name w:val="Style TAC +"/>
    <w:basedOn w:val="TAC"/>
    <w:next w:val="TAC"/>
    <w:link w:val="StyleTACChar"/>
    <w:autoRedefine/>
    <w:qFormat/>
    <w:rsid w:val="00EE5E23"/>
    <w:rPr>
      <w:rFonts w:eastAsia="Malgun Gothic"/>
      <w:kern w:val="2"/>
    </w:rPr>
  </w:style>
  <w:style w:type="character" w:customStyle="1" w:styleId="StyleTACChar">
    <w:name w:val="Style TAC + Char"/>
    <w:link w:val="StyleTAC"/>
    <w:rsid w:val="00EE5E23"/>
    <w:rPr>
      <w:rFonts w:ascii="Arial" w:eastAsia="Malgun Gothic" w:hAnsi="Arial"/>
      <w:kern w:val="2"/>
      <w:sz w:val="18"/>
      <w:lang w:val="en-GB" w:eastAsia="en-US"/>
    </w:rPr>
  </w:style>
  <w:style w:type="character" w:customStyle="1" w:styleId="CharChar29">
    <w:name w:val="Char Char29"/>
    <w:qFormat/>
    <w:rsid w:val="00EE5E23"/>
    <w:rPr>
      <w:rFonts w:ascii="Arial" w:hAnsi="Arial"/>
      <w:sz w:val="36"/>
      <w:lang w:val="en-GB" w:eastAsia="en-US" w:bidi="ar-SA"/>
    </w:rPr>
  </w:style>
  <w:style w:type="character" w:customStyle="1" w:styleId="CharChar28">
    <w:name w:val="Char Char28"/>
    <w:qFormat/>
    <w:rsid w:val="00EE5E23"/>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EE5E23"/>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M5 Char4,mh2 Char4,heading 8 Char4,Numbered Sub-list Char3,Heading5 Char4,Head5 Char4,5 Char Char3,5 Cha"/>
    <w:rsid w:val="00EE5E23"/>
    <w:rPr>
      <w:rFonts w:ascii="Arial" w:hAnsi="Arial"/>
      <w:sz w:val="22"/>
      <w:lang w:val="en-GB" w:eastAsia="en-GB" w:bidi="ar-SA"/>
    </w:rPr>
  </w:style>
  <w:style w:type="paragraph" w:customStyle="1" w:styleId="Default">
    <w:name w:val="Default"/>
    <w:qFormat/>
    <w:rsid w:val="00EE5E23"/>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B1Zchn">
    <w:name w:val="B1 Zchn"/>
    <w:qFormat/>
    <w:rsid w:val="00EE5E23"/>
    <w:rPr>
      <w:rFonts w:ascii="Times New Roman" w:hAnsi="Times New Roman"/>
      <w:lang w:val="en-GB"/>
    </w:rPr>
  </w:style>
  <w:style w:type="character" w:styleId="HTMLAcronym">
    <w:name w:val="HTML Acronym"/>
    <w:uiPriority w:val="99"/>
    <w:unhideWhenUsed/>
    <w:qFormat/>
    <w:rsid w:val="007B17DD"/>
  </w:style>
  <w:style w:type="table" w:customStyle="1" w:styleId="TableGrid4">
    <w:name w:val="Table Grid4"/>
    <w:basedOn w:val="TableNormal"/>
    <w:next w:val="TableGrid"/>
    <w:qFormat/>
    <w:rsid w:val="00FE744D"/>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GPPNormalText">
    <w:name w:val="3GPP Normal Text"/>
    <w:basedOn w:val="BodyText"/>
    <w:link w:val="3GPPNormalTextChar"/>
    <w:qFormat/>
    <w:rsid w:val="00E24ACD"/>
    <w:pPr>
      <w:widowControl/>
      <w:ind w:hanging="22"/>
      <w:jc w:val="both"/>
    </w:pPr>
    <w:rPr>
      <w:rFonts w:ascii="Arial" w:hAnsi="Arial" w:cs="Arial"/>
      <w:szCs w:val="24"/>
      <w:lang w:val="en-US"/>
    </w:rPr>
  </w:style>
  <w:style w:type="character" w:customStyle="1" w:styleId="3GPPNormalTextChar">
    <w:name w:val="3GPP Normal Text Char"/>
    <w:link w:val="3GPPNormalText"/>
    <w:rsid w:val="00E24ACD"/>
    <w:rPr>
      <w:rFonts w:ascii="Arial" w:eastAsia="MS Mincho" w:hAnsi="Arial" w:cs="Arial"/>
      <w:sz w:val="24"/>
      <w:szCs w:val="24"/>
      <w:lang w:val="en-US" w:eastAsia="en-US"/>
    </w:rPr>
  </w:style>
  <w:style w:type="table" w:customStyle="1" w:styleId="14">
    <w:name w:val="表格格線1"/>
    <w:basedOn w:val="TableNormal"/>
    <w:next w:val="TableGrid"/>
    <w:qFormat/>
    <w:rsid w:val="00D9416D"/>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qFormat/>
    <w:rsid w:val="00D43B5B"/>
  </w:style>
  <w:style w:type="paragraph" w:customStyle="1" w:styleId="H53GPP">
    <w:name w:val="H5 3GPP"/>
    <w:basedOn w:val="Normal"/>
    <w:link w:val="H53GPPChar"/>
    <w:qFormat/>
    <w:rsid w:val="001061D2"/>
    <w:pPr>
      <w:keepNext/>
      <w:keepLines/>
      <w:spacing w:before="120"/>
      <w:ind w:left="1134" w:hanging="1134"/>
      <w:outlineLvl w:val="2"/>
    </w:pPr>
    <w:rPr>
      <w:rFonts w:ascii="Arial" w:hAnsi="Arial"/>
      <w:snapToGrid w:val="0"/>
      <w:sz w:val="22"/>
      <w:szCs w:val="22"/>
    </w:rPr>
  </w:style>
  <w:style w:type="character" w:customStyle="1" w:styleId="H53GPPChar">
    <w:name w:val="H5 3GPP Char"/>
    <w:basedOn w:val="DefaultParagraphFont"/>
    <w:link w:val="H53GPP"/>
    <w:qFormat/>
    <w:rsid w:val="001061D2"/>
    <w:rPr>
      <w:rFonts w:ascii="Arial" w:hAnsi="Arial"/>
      <w:snapToGrid w:val="0"/>
      <w:sz w:val="22"/>
      <w:szCs w:val="22"/>
      <w:lang w:eastAsia="en-US"/>
    </w:rPr>
  </w:style>
  <w:style w:type="paragraph" w:styleId="Subtitle">
    <w:name w:val="Subtitle"/>
    <w:basedOn w:val="Normal"/>
    <w:next w:val="Normal"/>
    <w:link w:val="SubtitleChar"/>
    <w:uiPriority w:val="11"/>
    <w:qFormat/>
    <w:rsid w:val="001061D2"/>
    <w:pPr>
      <w:spacing w:before="240" w:after="60" w:line="312" w:lineRule="auto"/>
      <w:jc w:val="center"/>
      <w:outlineLvl w:val="1"/>
    </w:pPr>
    <w:rPr>
      <w:rFonts w:asciiTheme="majorHAnsi" w:hAnsiTheme="majorHAnsi" w:cstheme="majorBidi"/>
      <w:b/>
      <w:bCs/>
      <w:kern w:val="28"/>
      <w:sz w:val="32"/>
      <w:szCs w:val="32"/>
      <w:lang w:eastAsia="ko-KR"/>
    </w:rPr>
  </w:style>
  <w:style w:type="character" w:customStyle="1" w:styleId="SubtitleChar">
    <w:name w:val="Subtitle Char"/>
    <w:basedOn w:val="DefaultParagraphFont"/>
    <w:link w:val="Subtitle"/>
    <w:uiPriority w:val="11"/>
    <w:qFormat/>
    <w:rsid w:val="001061D2"/>
    <w:rPr>
      <w:rFonts w:asciiTheme="majorHAnsi" w:hAnsiTheme="majorHAnsi" w:cstheme="majorBidi"/>
      <w:b/>
      <w:bCs/>
      <w:kern w:val="28"/>
      <w:sz w:val="32"/>
      <w:szCs w:val="32"/>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uiPriority w:val="9"/>
    <w:locked/>
    <w:rsid w:val="00E977B7"/>
    <w:rPr>
      <w:rFonts w:ascii="Arial" w:eastAsia="Batang" w:hAnsi="Arial" w:cs="Times New Roman"/>
      <w:b/>
      <w:bCs/>
      <w:i/>
      <w:iCs/>
      <w:sz w:val="28"/>
      <w:szCs w:val="28"/>
      <w:lang w:val="en-GB" w:eastAsia="en-US" w:bidi="ar-SA"/>
    </w:rPr>
  </w:style>
  <w:style w:type="paragraph" w:customStyle="1" w:styleId="a0">
    <w:name w:val="修订"/>
    <w:hidden/>
    <w:semiHidden/>
    <w:rsid w:val="00E977B7"/>
    <w:rPr>
      <w:rFonts w:eastAsia="Batang"/>
      <w:lang w:eastAsia="en-US"/>
    </w:rPr>
  </w:style>
  <w:style w:type="character" w:customStyle="1" w:styleId="CharChar34">
    <w:name w:val="Char Char34"/>
    <w:qFormat/>
    <w:rsid w:val="008E1F3F"/>
    <w:rPr>
      <w:rFonts w:ascii="Arial" w:hAnsi="Arial"/>
      <w:sz w:val="28"/>
      <w:lang w:val="en-GB" w:eastAsia="ko-KR" w:bidi="ar-SA"/>
    </w:rPr>
  </w:style>
  <w:style w:type="character" w:customStyle="1" w:styleId="Heading9Char1">
    <w:name w:val="Heading 9 Char1"/>
    <w:aliases w:val="Figure Heading Char1,FH Char1,标题 9 Char1"/>
    <w:basedOn w:val="DefaultParagraphFont"/>
    <w:rsid w:val="001C3259"/>
    <w:rPr>
      <w:rFonts w:asciiTheme="majorHAnsi" w:eastAsiaTheme="majorEastAsia" w:hAnsiTheme="majorHAnsi" w:cstheme="majorBidi"/>
      <w:i/>
      <w:iCs/>
      <w:color w:val="272727" w:themeColor="text1" w:themeTint="D8"/>
      <w:sz w:val="21"/>
      <w:szCs w:val="21"/>
      <w:lang w:val="en-GB"/>
    </w:rPr>
  </w:style>
  <w:style w:type="character" w:customStyle="1" w:styleId="CharChar33">
    <w:name w:val="Char Char33"/>
    <w:aliases w:val="Heading 1 Char4,NMP Heading 1 Char1,h1 Char1,app heading 1 Char1,l1 Char1,Memo Heading 1 Char1,h11 Char1,h12 Char1,h13 Char1,h14 Char1,h15 Char1,h16 Char1,h17 Char1,h111 Char1,h121 Char1,h131 Char1,h141 Char1,h151 Char1,h161 Char3"/>
    <w:qFormat/>
    <w:rsid w:val="00AA771F"/>
    <w:rPr>
      <w:rFonts w:ascii="Arial" w:hAnsi="Arial"/>
      <w:sz w:val="28"/>
      <w:lang w:val="en-GB" w:eastAsia="ko-KR" w:bidi="ar-SA"/>
    </w:rPr>
  </w:style>
  <w:style w:type="character" w:customStyle="1" w:styleId="CharChar32">
    <w:name w:val="Char Char32"/>
    <w:semiHidden/>
    <w:rsid w:val="004A2695"/>
    <w:rPr>
      <w:rFonts w:ascii="Arial" w:hAnsi="Arial"/>
      <w:sz w:val="28"/>
      <w:lang w:val="en-GB" w:eastAsia="ko-KR" w:bidi="ar-SA"/>
    </w:rPr>
  </w:style>
  <w:style w:type="paragraph" w:customStyle="1" w:styleId="Subtitle1">
    <w:name w:val="Subtitle1"/>
    <w:basedOn w:val="Normal"/>
    <w:next w:val="Normal"/>
    <w:uiPriority w:val="11"/>
    <w:qFormat/>
    <w:rsid w:val="00617425"/>
    <w:pPr>
      <w:spacing w:before="240" w:after="60" w:line="312" w:lineRule="auto"/>
      <w:jc w:val="center"/>
      <w:outlineLvl w:val="1"/>
    </w:pPr>
    <w:rPr>
      <w:rFonts w:ascii="Calibri Light" w:hAnsi="Calibri Light"/>
      <w:b/>
      <w:bCs/>
      <w:kern w:val="28"/>
      <w:sz w:val="32"/>
      <w:szCs w:val="32"/>
      <w:lang w:eastAsia="ko-KR"/>
    </w:rPr>
  </w:style>
  <w:style w:type="character" w:customStyle="1" w:styleId="SubtitleChar1">
    <w:name w:val="Subtitle Char1"/>
    <w:basedOn w:val="DefaultParagraphFont"/>
    <w:rsid w:val="00617425"/>
    <w:rPr>
      <w:rFonts w:asciiTheme="minorHAnsi" w:eastAsiaTheme="minorEastAsia" w:hAnsiTheme="minorHAnsi" w:cstheme="minorBidi"/>
      <w:color w:val="5A5A5A" w:themeColor="text1" w:themeTint="A5"/>
      <w:spacing w:val="15"/>
      <w:sz w:val="22"/>
      <w:szCs w:val="22"/>
      <w:lang w:val="en-GB" w:eastAsia="en-US"/>
    </w:rPr>
  </w:style>
  <w:style w:type="paragraph" w:customStyle="1" w:styleId="15">
    <w:name w:val="副标题1"/>
    <w:basedOn w:val="Normal"/>
    <w:next w:val="Normal"/>
    <w:uiPriority w:val="11"/>
    <w:qFormat/>
    <w:rsid w:val="006F794E"/>
    <w:pPr>
      <w:spacing w:before="240" w:after="60" w:line="312" w:lineRule="auto"/>
      <w:jc w:val="center"/>
      <w:outlineLvl w:val="1"/>
    </w:pPr>
    <w:rPr>
      <w:rFonts w:ascii="Calibri Light" w:hAnsi="Calibri Light"/>
      <w:b/>
      <w:bCs/>
      <w:kern w:val="28"/>
      <w:sz w:val="32"/>
      <w:szCs w:val="32"/>
      <w:lang w:eastAsia="ko-KR"/>
    </w:rPr>
  </w:style>
  <w:style w:type="paragraph" w:customStyle="1" w:styleId="21">
    <w:name w:val="修订2"/>
    <w:hidden/>
    <w:uiPriority w:val="99"/>
    <w:semiHidden/>
    <w:qFormat/>
    <w:rsid w:val="006F794E"/>
    <w:rPr>
      <w:rFonts w:eastAsia="Batang"/>
      <w:lang w:eastAsia="en-US"/>
    </w:rPr>
  </w:style>
  <w:style w:type="character" w:customStyle="1" w:styleId="Char1">
    <w:name w:val="副标题 Char1"/>
    <w:basedOn w:val="DefaultParagraphFont"/>
    <w:rsid w:val="006F794E"/>
    <w:rPr>
      <w:rFonts w:asciiTheme="majorHAnsi" w:eastAsia="SimSun" w:hAnsiTheme="majorHAnsi" w:cstheme="majorBidi"/>
      <w:b/>
      <w:bCs/>
      <w:kern w:val="28"/>
      <w:sz w:val="32"/>
      <w:szCs w:val="32"/>
      <w:lang w:val="en-GB" w:eastAsia="en-US"/>
    </w:rPr>
  </w:style>
  <w:style w:type="table" w:customStyle="1" w:styleId="16">
    <w:name w:val="网格型1"/>
    <w:basedOn w:val="TableNormal"/>
    <w:next w:val="TableGrid"/>
    <w:qFormat/>
    <w:rsid w:val="006F794E"/>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qFormat/>
    <w:rsid w:val="006F794E"/>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6F794E"/>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6F794E"/>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next w:val="TableGrid"/>
    <w:qFormat/>
    <w:rsid w:val="006F794E"/>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qFormat/>
    <w:rsid w:val="006F794E"/>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qFormat/>
    <w:rsid w:val="006F794E"/>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格格線11"/>
    <w:basedOn w:val="TableNormal"/>
    <w:next w:val="TableGrid"/>
    <w:qFormat/>
    <w:rsid w:val="006F794E"/>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2">
    <w:name w:val="Subtitle Char2"/>
    <w:basedOn w:val="DefaultParagraphFont"/>
    <w:qFormat/>
    <w:rsid w:val="00620AEB"/>
    <w:rPr>
      <w:rFonts w:asciiTheme="minorHAnsi" w:eastAsiaTheme="minorEastAsia" w:hAnsiTheme="minorHAnsi" w:cstheme="minorBidi"/>
      <w:color w:val="5A5A5A" w:themeColor="text1" w:themeTint="A5"/>
      <w:spacing w:val="15"/>
      <w:sz w:val="22"/>
      <w:szCs w:val="22"/>
      <w:lang w:val="en-GB" w:eastAsia="en-US"/>
    </w:rPr>
  </w:style>
  <w:style w:type="paragraph" w:customStyle="1" w:styleId="Doc-text2">
    <w:name w:val="Doc-text2"/>
    <w:basedOn w:val="Normal"/>
    <w:link w:val="Doc-text2Char"/>
    <w:qFormat/>
    <w:rsid w:val="00977C68"/>
    <w:pPr>
      <w:tabs>
        <w:tab w:val="left" w:pos="1622"/>
      </w:tabs>
      <w:spacing w:after="0"/>
      <w:ind w:left="1622" w:hanging="363"/>
    </w:pPr>
    <w:rPr>
      <w:rFonts w:ascii="Arial" w:eastAsia="MS Mincho" w:hAnsi="Arial"/>
      <w:szCs w:val="24"/>
    </w:rPr>
  </w:style>
  <w:style w:type="character" w:customStyle="1" w:styleId="Doc-text2Char">
    <w:name w:val="Doc-text2 Char"/>
    <w:link w:val="Doc-text2"/>
    <w:qFormat/>
    <w:rsid w:val="00977C68"/>
    <w:rPr>
      <w:rFonts w:ascii="Arial" w:eastAsia="MS Mincho" w:hAnsi="Arial"/>
      <w:szCs w:val="24"/>
      <w:lang w:eastAsia="en-GB"/>
    </w:rPr>
  </w:style>
  <w:style w:type="character" w:customStyle="1" w:styleId="SubtitleChar3">
    <w:name w:val="Subtitle Char3"/>
    <w:basedOn w:val="DefaultParagraphFont"/>
    <w:rsid w:val="00DF3064"/>
    <w:rPr>
      <w:rFonts w:asciiTheme="minorHAnsi" w:eastAsiaTheme="minorEastAsia" w:hAnsiTheme="minorHAnsi" w:cstheme="minorBidi"/>
      <w:color w:val="5A5A5A" w:themeColor="text1" w:themeTint="A5"/>
      <w:spacing w:val="15"/>
      <w:sz w:val="22"/>
      <w:szCs w:val="22"/>
      <w:lang w:val="en-GB" w:eastAsia="en-US"/>
    </w:rPr>
  </w:style>
  <w:style w:type="character" w:customStyle="1" w:styleId="B3Char">
    <w:name w:val="B3 Char"/>
    <w:link w:val="B30"/>
    <w:qFormat/>
    <w:locked/>
    <w:rsid w:val="00DE67D3"/>
    <w:rPr>
      <w:rFonts w:eastAsia="Times New Roman"/>
      <w:lang w:eastAsia="en-GB"/>
    </w:rPr>
  </w:style>
  <w:style w:type="paragraph" w:customStyle="1" w:styleId="210">
    <w:name w:val="修订21"/>
    <w:hidden/>
    <w:uiPriority w:val="99"/>
    <w:semiHidden/>
    <w:rsid w:val="00C81100"/>
    <w:rPr>
      <w:rFonts w:eastAsia="Batang"/>
      <w:lang w:eastAsia="en-US"/>
    </w:rPr>
  </w:style>
  <w:style w:type="table" w:customStyle="1" w:styleId="22">
    <w:name w:val="网格型2"/>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格格線12"/>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副標題1"/>
    <w:basedOn w:val="Normal"/>
    <w:next w:val="Normal"/>
    <w:uiPriority w:val="11"/>
    <w:qFormat/>
    <w:rsid w:val="00C81100"/>
    <w:pPr>
      <w:spacing w:before="240" w:after="60" w:line="312" w:lineRule="auto"/>
      <w:jc w:val="center"/>
      <w:outlineLvl w:val="1"/>
    </w:pPr>
    <w:rPr>
      <w:rFonts w:ascii="Calibri Light" w:hAnsi="Calibri Light"/>
      <w:b/>
      <w:bCs/>
      <w:kern w:val="28"/>
      <w:sz w:val="32"/>
      <w:szCs w:val="32"/>
      <w:lang w:eastAsia="ko-KR"/>
    </w:rPr>
  </w:style>
  <w:style w:type="table" w:customStyle="1" w:styleId="TableGrid111">
    <w:name w:val="Table Grid111"/>
    <w:basedOn w:val="TableNormal"/>
    <w:next w:val="TableGrid"/>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鮮明引文1"/>
    <w:basedOn w:val="Normal"/>
    <w:next w:val="Normal"/>
    <w:uiPriority w:val="30"/>
    <w:qFormat/>
    <w:rsid w:val="00C81100"/>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qFormat/>
    <w:rsid w:val="00C81100"/>
    <w:rPr>
      <w:i/>
      <w:iCs/>
      <w:color w:val="5B9BD5"/>
      <w:lang w:eastAsia="en-US"/>
    </w:rPr>
  </w:style>
  <w:style w:type="paragraph" w:customStyle="1" w:styleId="33">
    <w:name w:val="修订3"/>
    <w:hidden/>
    <w:uiPriority w:val="99"/>
    <w:semiHidden/>
    <w:qFormat/>
    <w:rsid w:val="00C81100"/>
    <w:rPr>
      <w:rFonts w:eastAsia="Batang"/>
      <w:lang w:eastAsia="en-US"/>
    </w:rPr>
  </w:style>
  <w:style w:type="table" w:customStyle="1" w:styleId="TableGrid5">
    <w:name w:val="Table Grid5"/>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表格格線111"/>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网格型11"/>
    <w:basedOn w:val="TableNormal"/>
    <w:next w:val="TableGrid"/>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9">
    <w:name w:val="明显引用1"/>
    <w:basedOn w:val="Normal"/>
    <w:next w:val="Normal"/>
    <w:uiPriority w:val="30"/>
    <w:qFormat/>
    <w:rsid w:val="00C81100"/>
    <w:pPr>
      <w:pBdr>
        <w:top w:val="single" w:sz="4" w:space="10" w:color="5B9BD5"/>
        <w:bottom w:val="single" w:sz="4" w:space="10" w:color="5B9BD5"/>
      </w:pBdr>
      <w:spacing w:before="360" w:after="360"/>
      <w:ind w:left="864" w:right="864"/>
      <w:jc w:val="center"/>
    </w:pPr>
    <w:rPr>
      <w:i/>
      <w:iCs/>
      <w:color w:val="5B9BD5"/>
    </w:rPr>
  </w:style>
  <w:style w:type="character" w:customStyle="1" w:styleId="Char10">
    <w:name w:val="明显引用 Char1"/>
    <w:basedOn w:val="DefaultParagraphFont"/>
    <w:uiPriority w:val="30"/>
    <w:qFormat/>
    <w:rsid w:val="00C81100"/>
    <w:rPr>
      <w:rFonts w:ascii="Times New Roman" w:hAnsi="Times New Roman"/>
      <w:i/>
      <w:iCs/>
      <w:color w:val="5B9BD5"/>
      <w:lang w:val="en-GB" w:eastAsia="en-US"/>
    </w:rPr>
  </w:style>
  <w:style w:type="table" w:customStyle="1" w:styleId="TableGrid112">
    <w:name w:val="Table Grid112"/>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nseQuote1">
    <w:name w:val="Intense Quote1"/>
    <w:basedOn w:val="Normal"/>
    <w:next w:val="Normal"/>
    <w:uiPriority w:val="30"/>
    <w:qFormat/>
    <w:rsid w:val="00C81100"/>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1">
    <w:name w:val="Intense Quote Char1"/>
    <w:basedOn w:val="DefaultParagraphFont"/>
    <w:uiPriority w:val="30"/>
    <w:qFormat/>
    <w:rsid w:val="00C81100"/>
    <w:rPr>
      <w:rFonts w:ascii="Times New Roman" w:hAnsi="Times New Roman"/>
      <w:i/>
      <w:iCs/>
      <w:color w:val="5B9BD5"/>
      <w:lang w:val="en-GB" w:eastAsia="en-US"/>
    </w:rPr>
  </w:style>
  <w:style w:type="table" w:customStyle="1" w:styleId="TableGrid7">
    <w:name w:val="Table Grid7"/>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表格格線121"/>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表格格線112"/>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表格格線122"/>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uiPriority w:val="39"/>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表格格線1111"/>
    <w:basedOn w:val="TableNormal"/>
    <w:next w:val="TableGrid"/>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5"/>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3"/>
    <w:basedOn w:val="TableNormal"/>
    <w:next w:val="TableGrid"/>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3"/>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
    <w:name w:val="Table Grid423"/>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表格格線123"/>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表格格線1112"/>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beredListChar">
    <w:name w:val="Numbered List Char"/>
    <w:basedOn w:val="DefaultParagraphFont"/>
    <w:link w:val="NumberedList"/>
    <w:qFormat/>
    <w:rsid w:val="00C81100"/>
    <w:rPr>
      <w:rFonts w:eastAsia="MS Mincho"/>
      <w:lang w:val="en-US" w:eastAsia="en-GB"/>
    </w:rPr>
  </w:style>
  <w:style w:type="character" w:customStyle="1" w:styleId="11Char">
    <w:name w:val="1.1 Char"/>
    <w:link w:val="114"/>
    <w:qFormat/>
    <w:rsid w:val="00C81100"/>
    <w:rPr>
      <w:rFonts w:ascii="Arial" w:eastAsia="MS Mincho" w:hAnsi="Arial"/>
      <w:b/>
      <w:bCs/>
      <w:sz w:val="24"/>
      <w:szCs w:val="26"/>
    </w:rPr>
  </w:style>
  <w:style w:type="character" w:customStyle="1" w:styleId="1a">
    <w:name w:val="明显强调1"/>
    <w:uiPriority w:val="21"/>
    <w:qFormat/>
    <w:rsid w:val="00C81100"/>
    <w:rPr>
      <w:b/>
      <w:bCs/>
      <w:i/>
      <w:iCs/>
      <w:color w:val="4F81BD"/>
    </w:rPr>
  </w:style>
  <w:style w:type="paragraph" w:customStyle="1" w:styleId="MediumGrid21">
    <w:name w:val="Medium Grid 21"/>
    <w:uiPriority w:val="1"/>
    <w:qFormat/>
    <w:rsid w:val="00C81100"/>
    <w:pPr>
      <w:overflowPunct w:val="0"/>
      <w:autoSpaceDE w:val="0"/>
      <w:autoSpaceDN w:val="0"/>
      <w:adjustRightInd w:val="0"/>
      <w:textAlignment w:val="baseline"/>
    </w:pPr>
    <w:rPr>
      <w:rFonts w:eastAsia="MS Mincho"/>
      <w:lang w:eastAsia="ja-JP"/>
    </w:rPr>
  </w:style>
  <w:style w:type="paragraph" w:customStyle="1" w:styleId="Paragraphedeliste">
    <w:name w:val="Paragraphe de liste"/>
    <w:basedOn w:val="Normal"/>
    <w:uiPriority w:val="34"/>
    <w:qFormat/>
    <w:rsid w:val="00C81100"/>
    <w:pPr>
      <w:spacing w:before="120" w:after="120"/>
      <w:ind w:left="720"/>
      <w:jc w:val="both"/>
    </w:pPr>
    <w:rPr>
      <w:sz w:val="24"/>
      <w:lang w:val="fr-FR"/>
    </w:rPr>
  </w:style>
  <w:style w:type="paragraph" w:customStyle="1" w:styleId="Observation">
    <w:name w:val="Observation"/>
    <w:basedOn w:val="Normal"/>
    <w:uiPriority w:val="99"/>
    <w:qFormat/>
    <w:rsid w:val="00C81100"/>
    <w:pPr>
      <w:numPr>
        <w:numId w:val="8"/>
      </w:numPr>
      <w:tabs>
        <w:tab w:val="num" w:pos="360"/>
        <w:tab w:val="left" w:pos="1701"/>
      </w:tabs>
      <w:spacing w:before="120" w:after="120"/>
      <w:jc w:val="both"/>
    </w:pPr>
    <w:rPr>
      <w:rFonts w:ascii="Arial" w:hAnsi="Arial"/>
      <w:b/>
      <w:bCs/>
    </w:rPr>
  </w:style>
  <w:style w:type="character" w:styleId="Emphasis">
    <w:name w:val="Emphasis"/>
    <w:qFormat/>
    <w:rsid w:val="00C81100"/>
    <w:rPr>
      <w:rFonts w:ascii="Times New Roman" w:hAnsi="Times New Roman" w:cs="Times New Roman" w:hint="default"/>
      <w:i/>
      <w:iCs/>
    </w:rPr>
  </w:style>
  <w:style w:type="paragraph" w:styleId="NoSpacing">
    <w:name w:val="No Spacing"/>
    <w:basedOn w:val="Normal"/>
    <w:uiPriority w:val="1"/>
    <w:qFormat/>
    <w:rsid w:val="00C81100"/>
    <w:pPr>
      <w:spacing w:before="120" w:after="120"/>
      <w:jc w:val="both"/>
    </w:pPr>
    <w:rPr>
      <w:rFonts w:eastAsia="Calibri"/>
      <w:lang w:eastAsia="ja-JP"/>
    </w:rPr>
  </w:style>
  <w:style w:type="character" w:styleId="IntenseEmphasis">
    <w:name w:val="Intense Emphasis"/>
    <w:uiPriority w:val="21"/>
    <w:qFormat/>
    <w:rsid w:val="00C81100"/>
    <w:rPr>
      <w:b/>
      <w:bCs w:val="0"/>
      <w:i/>
      <w:iCs w:val="0"/>
      <w:color w:val="4F81BD"/>
    </w:rPr>
  </w:style>
  <w:style w:type="character" w:styleId="SubtleReference">
    <w:name w:val="Subtle Reference"/>
    <w:uiPriority w:val="31"/>
    <w:qFormat/>
    <w:rsid w:val="00C81100"/>
    <w:rPr>
      <w:smallCaps/>
      <w:color w:val="C0504D"/>
      <w:u w:val="single"/>
    </w:rPr>
  </w:style>
  <w:style w:type="character" w:styleId="IntenseReference">
    <w:name w:val="Intense Reference"/>
    <w:qFormat/>
    <w:rsid w:val="00C81100"/>
    <w:rPr>
      <w:b/>
      <w:bCs w:val="0"/>
      <w:smallCaps/>
      <w:color w:val="C0504D"/>
      <w:spacing w:val="5"/>
      <w:u w:val="single"/>
    </w:rPr>
  </w:style>
  <w:style w:type="paragraph" w:customStyle="1" w:styleId="Header-3gppTdoc">
    <w:name w:val="Header-3gpp Tdoc"/>
    <w:basedOn w:val="Header"/>
    <w:link w:val="Header-3gppTdocChar"/>
    <w:qFormat/>
    <w:rsid w:val="00C81100"/>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rPr>
  </w:style>
  <w:style w:type="character" w:customStyle="1" w:styleId="Header-3gppTdocChar">
    <w:name w:val="Header-3gpp Tdoc Char"/>
    <w:basedOn w:val="DefaultParagraphFont"/>
    <w:link w:val="Header-3gppTdoc"/>
    <w:qFormat/>
    <w:rsid w:val="00C81100"/>
    <w:rPr>
      <w:rFonts w:ascii="Arial" w:eastAsia="MS Mincho" w:hAnsi="Arial" w:cs="Arial"/>
      <w:b/>
      <w:sz w:val="24"/>
      <w:szCs w:val="24"/>
      <w:lang w:val="en-US" w:eastAsia="en-GB"/>
    </w:rPr>
  </w:style>
  <w:style w:type="character" w:customStyle="1" w:styleId="Char2">
    <w:name w:val="明显引用 Char2"/>
    <w:basedOn w:val="DefaultParagraphFont"/>
    <w:uiPriority w:val="30"/>
    <w:qFormat/>
    <w:rsid w:val="00C81100"/>
    <w:rPr>
      <w:rFonts w:ascii="Times New Roman" w:hAnsi="Times New Roman"/>
      <w:i/>
      <w:iCs/>
      <w:color w:val="5B9BD5"/>
      <w:lang w:val="en-GB" w:eastAsia="en-US"/>
    </w:rPr>
  </w:style>
  <w:style w:type="character" w:customStyle="1" w:styleId="CharChar35">
    <w:name w:val="Char Char35"/>
    <w:semiHidden/>
    <w:rsid w:val="00C81100"/>
    <w:rPr>
      <w:rFonts w:ascii="Arial" w:hAnsi="Arial"/>
      <w:sz w:val="28"/>
      <w:lang w:val="en-GB" w:eastAsia="ko-KR" w:bidi="ar-SA"/>
    </w:rPr>
  </w:style>
  <w:style w:type="table" w:customStyle="1" w:styleId="TableGrid71">
    <w:name w:val="Table Grid7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表格格線13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表格格線12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表格格線14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表格格線122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网格型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表格格線11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格線12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网格型1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3"/>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0">
    <w:name w:val="表格格線13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表格格線12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格線14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表格格線112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表格格線111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表格格線113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网格型3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表格格線123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网格型1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网格型2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表格格線1112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39"/>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表格格線11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网格型3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表格格線12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表格格線13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表格格線111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网格型1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表格格線14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表格格線122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表格格線15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表格格線113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网格型3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表格格線123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表格格線13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表格格線111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表格格線121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网格型1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表格格線1411"/>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表格格線11211"/>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网格型32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表格格線12211"/>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uiPriority w:val="39"/>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表格格線18"/>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表格格線116"/>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格線126"/>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网格型1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表格格線1115"/>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表格格線13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表格格線121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表格格線14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0">
    <w:name w:val="表格格線112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表格格線122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表格格線1111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表格格線1133"/>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表格格線1233"/>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网格型11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网格型21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表格格線1112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格線117"/>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表格格線127"/>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表格格線1116"/>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表格格線13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表格格線121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表格格線14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表格格線112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表格格線1225"/>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表格格線1111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格線15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表格格線113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表格格線123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网格型11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表格格線1112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明显引用 Char3"/>
    <w:uiPriority w:val="30"/>
    <w:qFormat/>
    <w:rsid w:val="00C81100"/>
    <w:rPr>
      <w:rFonts w:ascii="Times New Roman" w:hAnsi="Times New Roman" w:cs="Times New Roman" w:hint="default"/>
      <w:i/>
      <w:iCs/>
      <w:color w:val="4F81BD"/>
      <w:lang w:val="en-GB" w:eastAsia="en-US"/>
    </w:rPr>
  </w:style>
  <w:style w:type="character" w:customStyle="1" w:styleId="Char20">
    <w:name w:val="副标题 Char2"/>
    <w:uiPriority w:val="11"/>
    <w:qFormat/>
    <w:rsid w:val="00C81100"/>
    <w:rPr>
      <w:rFonts w:ascii="Cambria" w:hAnsi="Cambria" w:cs="Times New Roman" w:hint="default"/>
      <w:b/>
      <w:bCs/>
      <w:kern w:val="28"/>
      <w:sz w:val="32"/>
      <w:szCs w:val="32"/>
      <w:lang w:val="en-GB" w:eastAsia="en-US"/>
    </w:rPr>
  </w:style>
  <w:style w:type="character" w:customStyle="1" w:styleId="1b">
    <w:name w:val="副標題 字元1"/>
    <w:qFormat/>
    <w:rsid w:val="00C81100"/>
    <w:rPr>
      <w:rFonts w:ascii="Calibri" w:eastAsia="SimSun" w:hAnsi="Calibri" w:cs="Times New Roman" w:hint="default"/>
      <w:color w:val="5A5A5A"/>
      <w:spacing w:val="15"/>
      <w:sz w:val="22"/>
      <w:szCs w:val="22"/>
      <w:lang w:val="en-GB" w:eastAsia="en-US"/>
    </w:rPr>
  </w:style>
  <w:style w:type="character" w:customStyle="1" w:styleId="1c">
    <w:name w:val="鮮明引文 字元1"/>
    <w:uiPriority w:val="30"/>
    <w:qFormat/>
    <w:rsid w:val="00C81100"/>
    <w:rPr>
      <w:rFonts w:ascii="Times New Roman" w:hAnsi="Times New Roman" w:cs="Times New Roman" w:hint="default"/>
      <w:i/>
      <w:iCs/>
      <w:color w:val="4F81BD"/>
      <w:lang w:val="en-GB" w:eastAsia="en-US"/>
    </w:rPr>
  </w:style>
  <w:style w:type="table" w:customStyle="1" w:styleId="TableGrid712">
    <w:name w:val="Table Grid7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表格格線1312"/>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表格格線121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表格格線1412"/>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表格格線112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表格格線122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网格型1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3GPPChar1">
    <w:name w:val="Heading 3 3GPP Char1"/>
    <w:aliases w:val="Underrubrik2 Char4,H3 Char4,Memo Heading 3 Char4,h3 Char4,no break Char4,Heading 3 Char1 Char Char1,Heading 3 Char Char Char Char1,Heading 3 Char1 Char Char Char Char1,Heading 3 Char Char Char Char Char Char1,0H Char4,标题 3 Char1"/>
    <w:qFormat/>
    <w:rsid w:val="00C81100"/>
    <w:rPr>
      <w:rFonts w:ascii="Intel Clear" w:eastAsia="SimSun" w:hAnsi="Intel Clear" w:cs="Intel Clear"/>
      <w:sz w:val="28"/>
      <w:lang w:val="en-GB" w:eastAsia="en-GB"/>
    </w:rPr>
  </w:style>
  <w:style w:type="paragraph" w:customStyle="1" w:styleId="4a">
    <w:name w:val="修订4"/>
    <w:hidden/>
    <w:uiPriority w:val="99"/>
    <w:semiHidden/>
    <w:qFormat/>
    <w:rsid w:val="00C81100"/>
    <w:rPr>
      <w:rFonts w:eastAsia="Batang"/>
      <w:lang w:eastAsia="en-US"/>
    </w:rPr>
  </w:style>
  <w:style w:type="table" w:customStyle="1" w:styleId="6">
    <w:name w:val="网格型6"/>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6">
    <w:name w:val="副標題 字元2"/>
    <w:basedOn w:val="DefaultParagraphFont"/>
    <w:rsid w:val="00C81100"/>
    <w:rPr>
      <w:rFonts w:asciiTheme="minorHAnsi" w:eastAsiaTheme="minorEastAsia" w:hAnsiTheme="minorHAnsi" w:cstheme="minorBidi"/>
      <w:color w:val="5A5A5A" w:themeColor="text1" w:themeTint="A5"/>
      <w:spacing w:val="15"/>
      <w:sz w:val="22"/>
      <w:szCs w:val="22"/>
      <w:lang w:val="en-GB" w:eastAsia="en-US"/>
    </w:rPr>
  </w:style>
  <w:style w:type="paragraph" w:styleId="IntenseQuote">
    <w:name w:val="Intense Quote"/>
    <w:basedOn w:val="Normal"/>
    <w:next w:val="Normal"/>
    <w:link w:val="IntenseQuoteChar"/>
    <w:uiPriority w:val="30"/>
    <w:qFormat/>
    <w:rsid w:val="00C81100"/>
    <w:pPr>
      <w:pBdr>
        <w:top w:val="single" w:sz="4" w:space="10" w:color="4472C4" w:themeColor="accent1"/>
        <w:bottom w:val="single" w:sz="4" w:space="10" w:color="4472C4" w:themeColor="accent1"/>
      </w:pBdr>
      <w:spacing w:before="360" w:after="360"/>
      <w:ind w:left="864" w:right="864"/>
      <w:jc w:val="center"/>
    </w:pPr>
    <w:rPr>
      <w:i/>
      <w:iCs/>
      <w:color w:val="5B9BD5"/>
    </w:rPr>
  </w:style>
  <w:style w:type="character" w:customStyle="1" w:styleId="IntenseQuoteChar2">
    <w:name w:val="Intense Quote Char2"/>
    <w:basedOn w:val="DefaultParagraphFont"/>
    <w:uiPriority w:val="30"/>
    <w:rsid w:val="00C81100"/>
    <w:rPr>
      <w:i/>
      <w:iCs/>
      <w:color w:val="4472C4" w:themeColor="accent1"/>
      <w:lang w:eastAsia="en-US"/>
    </w:rPr>
  </w:style>
  <w:style w:type="character" w:customStyle="1" w:styleId="Char4">
    <w:name w:val="明显引用 Char4"/>
    <w:basedOn w:val="DefaultParagraphFont"/>
    <w:uiPriority w:val="30"/>
    <w:rsid w:val="00C81100"/>
    <w:rPr>
      <w:rFonts w:ascii="Times New Roman" w:hAnsi="Times New Roman"/>
      <w:i/>
      <w:iCs/>
      <w:color w:val="4472C4" w:themeColor="accent1"/>
      <w:lang w:val="en-GB" w:eastAsia="en-US"/>
    </w:rPr>
  </w:style>
  <w:style w:type="character" w:customStyle="1" w:styleId="27">
    <w:name w:val="鮮明引文 字元2"/>
    <w:basedOn w:val="DefaultParagraphFont"/>
    <w:uiPriority w:val="30"/>
    <w:rsid w:val="00C81100"/>
    <w:rPr>
      <w:rFonts w:ascii="Times New Roman" w:hAnsi="Times New Roman"/>
      <w:i/>
      <w:iCs/>
      <w:color w:val="4472C4" w:themeColor="accent1"/>
      <w:lang w:val="en-GB" w:eastAsia="en-US"/>
    </w:rPr>
  </w:style>
  <w:style w:type="character" w:customStyle="1" w:styleId="118">
    <w:name w:val="標題 1 字元1"/>
    <w:aliases w:val="H1 字元1,NMP Heading 1 字元1,h1 字元1,app heading 1 字元1,l1 字元1,Memo Heading 1 字元1,h11 字元1,h12 字元1,h13 字元1,h14 字元1,h15 字元1,h16 字元1,h17 字元1,h111 字元1,h121 字元1,h131 字元1,h141 字元1,h151 字元1,h161 字元1,h18 字元1,h112 字元1,h122 字元1,h132 字元1,h142 字元1,h152 字元1,1 字元"/>
    <w:basedOn w:val="DefaultParagraphFont"/>
    <w:rsid w:val="00C81100"/>
    <w:rPr>
      <w:rFonts w:asciiTheme="majorHAnsi" w:eastAsiaTheme="majorEastAsia" w:hAnsiTheme="majorHAnsi" w:cstheme="majorBidi"/>
      <w:color w:val="2F5496" w:themeColor="accent1" w:themeShade="BF"/>
      <w:sz w:val="32"/>
      <w:szCs w:val="32"/>
      <w:lang w:val="en-GB" w:eastAsia="en-US"/>
    </w:rPr>
  </w:style>
  <w:style w:type="character" w:customStyle="1" w:styleId="215">
    <w:name w:val="標題 2 字元1"/>
    <w:aliases w:val="DO NOT USE_h2 字元1,h2 字元1,h21 字元1,H2 字元1,Head2A 字元1,2 字元1,UNDERRUBRIK 1-2 字元1,level 2 字元1,Heading 2 3GPP 字元1,H21 字元1,Head 2 字元1,l2 字元1,TitreProp 字元1,Header 2 字元1,ITT t2 字元1,PA Major Section 字元1,Livello 2 字元1,R2 字元1,Heading 2 Hidden 字元1,Head1 字元1"/>
    <w:basedOn w:val="DefaultParagraphFont"/>
    <w:semiHidden/>
    <w:rsid w:val="00C81100"/>
    <w:rPr>
      <w:rFonts w:asciiTheme="majorHAnsi" w:eastAsiaTheme="majorEastAsia" w:hAnsiTheme="majorHAnsi" w:cstheme="majorBidi"/>
      <w:color w:val="2F5496" w:themeColor="accent1" w:themeShade="BF"/>
      <w:sz w:val="26"/>
      <w:szCs w:val="26"/>
      <w:lang w:val="en-GB" w:eastAsia="en-US"/>
    </w:rPr>
  </w:style>
  <w:style w:type="character" w:customStyle="1" w:styleId="318">
    <w:name w:val="標題 3 字元1"/>
    <w:aliases w:val="Heading 3 3GPP 字元1,Underrubrik2 字元1,H3 字元1,Memo Heading 3 字元1,h3 字元1,no break 字元1,Heading 3 Char1 Char 字元1,Heading 3 Char Char Char 字元1,Heading 3 Char1 Char Char Char 字元1,Heading 3 Char Char Char Char Char 字元1,Heading 3 Char Char1 Char 字元1"/>
    <w:basedOn w:val="DefaultParagraphFont"/>
    <w:semiHidden/>
    <w:rsid w:val="00C81100"/>
    <w:rPr>
      <w:rFonts w:asciiTheme="majorHAnsi" w:eastAsiaTheme="majorEastAsia" w:hAnsiTheme="majorHAnsi" w:cstheme="majorBidi"/>
      <w:color w:val="1F3763" w:themeColor="accent1" w:themeShade="7F"/>
      <w:sz w:val="24"/>
      <w:szCs w:val="24"/>
      <w:lang w:val="en-GB" w:eastAsia="en-US"/>
    </w:rPr>
  </w:style>
  <w:style w:type="character" w:customStyle="1" w:styleId="410">
    <w:name w:val="標題 4 字元1"/>
    <w:aliases w:val="h4 字元1,H4 字元1,H41 字元1,h41 字元1,H42 字元1,h42 字元1,H43 字元1,h43 字元1,H411 字元1,h411 字元1,H421 字元1,h421 字元1,H44 字元1,h44 字元1,H412 字元1,h412 字元1,H422 字元1,h422 字元1,H431 字元1,h431 字元1,H45 字元1,h45 字元1,H413 字元1,h413 字元1,H423 字元1,h423 字元1,H432 字元1,h432 字元1,4H 字元1"/>
    <w:basedOn w:val="DefaultParagraphFont"/>
    <w:semiHidden/>
    <w:rsid w:val="00C81100"/>
    <w:rPr>
      <w:rFonts w:asciiTheme="majorHAnsi" w:eastAsiaTheme="majorEastAsia" w:hAnsiTheme="majorHAnsi" w:cstheme="majorBidi"/>
      <w:i/>
      <w:iCs/>
      <w:color w:val="2F5496" w:themeColor="accent1" w:themeShade="BF"/>
      <w:lang w:val="en-GB" w:eastAsia="en-US"/>
    </w:rPr>
  </w:style>
  <w:style w:type="character" w:customStyle="1" w:styleId="510">
    <w:name w:val="標題 5 字元1"/>
    <w:aliases w:val="h5 字元1,Heading5 字元1,H5 字元1,Head5 字元1,M5 字元1,mh2 字元1,Module heading 2 字元1,heading 8 字元1,Numbered Sub-list 字元1,Heading 81 字元1,标题 81 字元1,Heading 811 字元1,Heading 8111 字元1"/>
    <w:basedOn w:val="DefaultParagraphFont"/>
    <w:semiHidden/>
    <w:rsid w:val="00C81100"/>
    <w:rPr>
      <w:rFonts w:asciiTheme="majorHAnsi" w:eastAsiaTheme="majorEastAsia" w:hAnsiTheme="majorHAnsi" w:cstheme="majorBidi"/>
      <w:color w:val="2F5496" w:themeColor="accent1" w:themeShade="BF"/>
      <w:lang w:val="en-GB" w:eastAsia="en-US"/>
    </w:rPr>
  </w:style>
  <w:style w:type="character" w:customStyle="1" w:styleId="910">
    <w:name w:val="標題 9 字元1"/>
    <w:aliases w:val="Figure Heading 字元1,FH 字元1"/>
    <w:basedOn w:val="DefaultParagraphFont"/>
    <w:semiHidden/>
    <w:rsid w:val="00C81100"/>
    <w:rPr>
      <w:rFonts w:asciiTheme="majorHAnsi" w:eastAsiaTheme="majorEastAsia" w:hAnsiTheme="majorHAnsi" w:cstheme="majorBidi"/>
      <w:i/>
      <w:iCs/>
      <w:color w:val="272727" w:themeColor="text1" w:themeTint="D8"/>
      <w:sz w:val="21"/>
      <w:szCs w:val="21"/>
      <w:lang w:val="en-GB" w:eastAsia="en-US"/>
    </w:rPr>
  </w:style>
  <w:style w:type="character" w:customStyle="1" w:styleId="1d">
    <w:name w:val="註腳文字 字元1"/>
    <w:aliases w:val="footnote text1 字元1,footnote text2 字元1,footnote text3 字元1,footnote text4 字元1,footnote text5 字元1,footnote text6 字元1,footnote text7 字元1,footnote text11 字元1,footnote text21 字元1,footnote text31 字元1,footnote text41 字元1,footnote text51 字元1"/>
    <w:basedOn w:val="DefaultParagraphFont"/>
    <w:semiHidden/>
    <w:rsid w:val="00C81100"/>
    <w:rPr>
      <w:rFonts w:ascii="Times New Roman" w:eastAsia="SimSun" w:hAnsi="Times New Roman"/>
      <w:lang w:val="en-GB" w:eastAsia="en-US"/>
    </w:rPr>
  </w:style>
  <w:style w:type="character" w:customStyle="1" w:styleId="1e">
    <w:name w:val="頁首 字元1"/>
    <w:aliases w:val="header odd 字元1,header odd1 字元1,header odd2 字元1,header 字元1,header odd3 字元1,header odd4 字元1,header odd5 字元1,header odd6 字元1,header1 字元1,header2 字元1,header3 字元1,header odd11 字元1,header odd21 字元1,header odd7 字元1,header4 字元1,header odd8 字元1,h 字元"/>
    <w:basedOn w:val="DefaultParagraphFont"/>
    <w:uiPriority w:val="99"/>
    <w:semiHidden/>
    <w:rsid w:val="00C81100"/>
    <w:rPr>
      <w:rFonts w:ascii="Times New Roman" w:eastAsia="SimSun" w:hAnsi="Times New Roman"/>
      <w:lang w:val="en-GB" w:eastAsia="en-US"/>
    </w:rPr>
  </w:style>
  <w:style w:type="character" w:customStyle="1" w:styleId="1f">
    <w:name w:val="本文 字元1"/>
    <w:aliases w:val="bt 字元1,Corps de texte Car 字元1,Corps de texte Car1 Car 字元1,Corps de texte Car Car Car 字元1,Corps de texte Car1 Car Car Car 字元1,Corps de texte Car Car Car Car Car 字元1,Corps de texte Car1 Car Car Car Car Car 字元1,bt Car 字元,body indent 字元"/>
    <w:basedOn w:val="DefaultParagraphFont"/>
    <w:semiHidden/>
    <w:rsid w:val="00C81100"/>
    <w:rPr>
      <w:rFonts w:ascii="Times New Roman" w:eastAsia="SimSun" w:hAnsi="Times New Roman"/>
      <w:lang w:val="en-GB" w:eastAsia="en-US"/>
    </w:rPr>
  </w:style>
  <w:style w:type="paragraph" w:customStyle="1" w:styleId="a1">
    <w:name w:val="吹き出し"/>
    <w:basedOn w:val="Normal"/>
    <w:uiPriority w:val="99"/>
    <w:rsid w:val="00C81100"/>
    <w:rPr>
      <w:rFonts w:ascii="Tahoma" w:eastAsia="MS Mincho" w:hAnsi="Tahoma" w:cs="Tahoma"/>
      <w:sz w:val="16"/>
      <w:szCs w:val="16"/>
      <w:lang w:eastAsia="ko-KR"/>
    </w:rPr>
  </w:style>
  <w:style w:type="paragraph" w:customStyle="1" w:styleId="TOC91">
    <w:name w:val="TOC 91"/>
    <w:basedOn w:val="TOC8"/>
    <w:uiPriority w:val="99"/>
    <w:rsid w:val="00C81100"/>
    <w:pPr>
      <w:ind w:left="1418" w:hanging="1418"/>
    </w:pPr>
    <w:rPr>
      <w:rFonts w:eastAsia="MS Mincho"/>
    </w:rPr>
  </w:style>
  <w:style w:type="paragraph" w:customStyle="1" w:styleId="Caption1">
    <w:name w:val="Caption1"/>
    <w:basedOn w:val="Normal"/>
    <w:next w:val="Normal"/>
    <w:uiPriority w:val="99"/>
    <w:qFormat/>
    <w:rsid w:val="00C81100"/>
    <w:pPr>
      <w:spacing w:before="120" w:after="120"/>
    </w:pPr>
    <w:rPr>
      <w:rFonts w:eastAsia="MS Mincho"/>
      <w:b/>
    </w:rPr>
  </w:style>
  <w:style w:type="paragraph" w:customStyle="1" w:styleId="TableofFigures1">
    <w:name w:val="Table of Figures1"/>
    <w:basedOn w:val="Normal"/>
    <w:next w:val="Normal"/>
    <w:uiPriority w:val="99"/>
    <w:rsid w:val="00C81100"/>
    <w:pPr>
      <w:ind w:left="400" w:hanging="400"/>
      <w:jc w:val="center"/>
    </w:pPr>
    <w:rPr>
      <w:rFonts w:eastAsia="MS Mincho"/>
      <w:b/>
    </w:rPr>
  </w:style>
  <w:style w:type="paragraph" w:customStyle="1" w:styleId="B2">
    <w:name w:val="B2+"/>
    <w:basedOn w:val="B20"/>
    <w:uiPriority w:val="99"/>
    <w:qFormat/>
    <w:rsid w:val="00C81100"/>
    <w:pPr>
      <w:numPr>
        <w:numId w:val="9"/>
      </w:numPr>
      <w:tabs>
        <w:tab w:val="clear" w:pos="1191"/>
        <w:tab w:val="num" w:pos="851"/>
      </w:tabs>
      <w:ind w:left="851" w:hanging="851"/>
    </w:pPr>
    <w:rPr>
      <w:rFonts w:eastAsia="PMingLiU"/>
      <w:lang w:eastAsia="ko-KR"/>
    </w:rPr>
  </w:style>
  <w:style w:type="paragraph" w:customStyle="1" w:styleId="B3">
    <w:name w:val="B3+"/>
    <w:basedOn w:val="B30"/>
    <w:uiPriority w:val="99"/>
    <w:qFormat/>
    <w:rsid w:val="00C81100"/>
    <w:pPr>
      <w:numPr>
        <w:numId w:val="10"/>
      </w:numPr>
      <w:tabs>
        <w:tab w:val="clear" w:pos="1644"/>
        <w:tab w:val="num" w:pos="737"/>
        <w:tab w:val="left" w:pos="1134"/>
      </w:tabs>
      <w:ind w:left="737"/>
    </w:pPr>
    <w:rPr>
      <w:rFonts w:eastAsia="PMingLiU"/>
      <w:lang w:eastAsia="ko-KR"/>
    </w:rPr>
  </w:style>
  <w:style w:type="paragraph" w:customStyle="1" w:styleId="BN">
    <w:name w:val="BN"/>
    <w:basedOn w:val="Normal"/>
    <w:uiPriority w:val="99"/>
    <w:qFormat/>
    <w:rsid w:val="00C81100"/>
    <w:pPr>
      <w:numPr>
        <w:numId w:val="11"/>
      </w:numPr>
      <w:tabs>
        <w:tab w:val="clear" w:pos="737"/>
        <w:tab w:val="num" w:pos="360"/>
      </w:tabs>
      <w:ind w:left="360" w:hanging="360"/>
    </w:pPr>
    <w:rPr>
      <w:rFonts w:eastAsia="PMingLiU"/>
      <w:lang w:eastAsia="ko-KR"/>
    </w:rPr>
  </w:style>
  <w:style w:type="paragraph" w:customStyle="1" w:styleId="TB1">
    <w:name w:val="TB1"/>
    <w:basedOn w:val="Normal"/>
    <w:uiPriority w:val="99"/>
    <w:qFormat/>
    <w:rsid w:val="00C81100"/>
    <w:pPr>
      <w:keepNext/>
      <w:keepLines/>
      <w:numPr>
        <w:numId w:val="12"/>
      </w:numPr>
      <w:tabs>
        <w:tab w:val="num" w:pos="644"/>
        <w:tab w:val="left" w:pos="720"/>
      </w:tabs>
      <w:spacing w:after="0"/>
      <w:ind w:left="737" w:hanging="380"/>
    </w:pPr>
    <w:rPr>
      <w:rFonts w:ascii="Arial" w:eastAsia="PMingLiU" w:hAnsi="Arial"/>
      <w:sz w:val="18"/>
      <w:lang w:eastAsia="ko-KR"/>
    </w:rPr>
  </w:style>
  <w:style w:type="paragraph" w:customStyle="1" w:styleId="TB2">
    <w:name w:val="TB2"/>
    <w:basedOn w:val="Normal"/>
    <w:uiPriority w:val="99"/>
    <w:qFormat/>
    <w:rsid w:val="00C81100"/>
    <w:pPr>
      <w:keepNext/>
      <w:keepLines/>
      <w:numPr>
        <w:numId w:val="13"/>
      </w:numPr>
      <w:tabs>
        <w:tab w:val="num" w:pos="720"/>
        <w:tab w:val="left" w:pos="1109"/>
      </w:tabs>
      <w:spacing w:after="0"/>
      <w:ind w:left="1100" w:hanging="380"/>
    </w:pPr>
    <w:rPr>
      <w:rFonts w:ascii="Arial" w:eastAsia="PMingLiU" w:hAnsi="Arial"/>
      <w:sz w:val="18"/>
      <w:lang w:eastAsia="ko-KR"/>
    </w:rPr>
  </w:style>
  <w:style w:type="character" w:customStyle="1" w:styleId="UnresolvedMention1">
    <w:name w:val="Unresolved Mention1"/>
    <w:basedOn w:val="DefaultParagraphFont"/>
    <w:uiPriority w:val="99"/>
    <w:qFormat/>
    <w:rsid w:val="00C81100"/>
    <w:rPr>
      <w:color w:val="605E5C"/>
      <w:shd w:val="clear" w:color="auto" w:fill="E1DFDD"/>
    </w:rPr>
  </w:style>
  <w:style w:type="character" w:customStyle="1" w:styleId="fontstyle01">
    <w:name w:val="fontstyle01"/>
    <w:rsid w:val="00C81100"/>
    <w:rPr>
      <w:rFonts w:ascii="Times-Roman" w:hAnsi="Times-Roman" w:hint="default"/>
      <w:b w:val="0"/>
      <w:bCs w:val="0"/>
      <w:i w:val="0"/>
      <w:iCs w:val="0"/>
      <w:color w:val="000000"/>
      <w:sz w:val="20"/>
      <w:szCs w:val="20"/>
    </w:rPr>
  </w:style>
  <w:style w:type="paragraph" w:customStyle="1" w:styleId="114">
    <w:name w:val="1.1"/>
    <w:basedOn w:val="Heading3"/>
    <w:link w:val="11Char"/>
    <w:qFormat/>
    <w:rsid w:val="007D2333"/>
    <w:pPr>
      <w:keepLines w:val="0"/>
      <w:tabs>
        <w:tab w:val="left" w:pos="851"/>
      </w:tabs>
      <w:spacing w:before="240" w:after="60"/>
      <w:ind w:left="900" w:hanging="900"/>
    </w:pPr>
    <w:rPr>
      <w:rFonts w:eastAsia="MS Mincho"/>
      <w:b/>
      <w:bCs/>
      <w:sz w:val="24"/>
      <w:szCs w:val="26"/>
      <w:lang w:eastAsia="ko-KR"/>
    </w:rPr>
  </w:style>
  <w:style w:type="character" w:styleId="UnresolvedMention">
    <w:name w:val="Unresolved Mention"/>
    <w:basedOn w:val="DefaultParagraphFont"/>
    <w:uiPriority w:val="99"/>
    <w:unhideWhenUsed/>
    <w:rsid w:val="007D2333"/>
    <w:rPr>
      <w:color w:val="605E5C"/>
      <w:shd w:val="clear" w:color="auto" w:fill="E1DFDD"/>
    </w:rPr>
  </w:style>
  <w:style w:type="character" w:customStyle="1" w:styleId="eop">
    <w:name w:val="eop"/>
    <w:basedOn w:val="DefaultParagraphFont"/>
    <w:qFormat/>
    <w:rsid w:val="007D2333"/>
  </w:style>
  <w:style w:type="character" w:customStyle="1" w:styleId="normaltextrun">
    <w:name w:val="normaltextrun"/>
    <w:basedOn w:val="DefaultParagraphFont"/>
    <w:qFormat/>
    <w:rsid w:val="007D2333"/>
  </w:style>
  <w:style w:type="table" w:customStyle="1" w:styleId="TableGrid30">
    <w:name w:val="Table Grid30"/>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0"/>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0">
    <w:name w:val="Tabellengitternetz1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0">
    <w:name w:val="Tabellengitternetz2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0">
    <w:name w:val="Tabellengitternetz3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0">
    <w:name w:val="Tabellengitternetz4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0">
    <w:name w:val="Tabellengitternetz5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0">
    <w:name w:val="Tabellengitternetz6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0">
    <w:name w:val="Tabellengitternetz7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0">
    <w:name w:val="Tabellengitternetz8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0">
    <w:name w:val="Tabellengitternetz9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网格型310"/>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表格格線110"/>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1110"/>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8">
    <w:name w:val="Tabellengitternetz1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网格型31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网格型41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8">
    <w:name w:val="Table Grid418"/>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0">
    <w:name w:val="表格格線118"/>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
    <w:name w:val="Table Grid128"/>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8">
    <w:name w:val="Tabellengitternetz1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8">
    <w:name w:val="Tabellengitternetz2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8">
    <w:name w:val="Tabellengitternetz3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8">
    <w:name w:val="Tabellengitternetz4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8">
    <w:name w:val="Tabellengitternetz5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8">
    <w:name w:val="Tabellengitternetz6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8">
    <w:name w:val="Tabellengitternetz7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8">
    <w:name w:val="Tabellengitternetz8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8">
    <w:name w:val="Tabellengitternetz9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8">
    <w:name w:val="Table Grid328"/>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网格型32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网格型42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8">
    <w:name w:val="Table Grid428"/>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表格格線128"/>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6">
    <w:name w:val="Tabellengitternetz1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6">
    <w:name w:val="Tabellengitternetz2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6">
    <w:name w:val="Tabellengitternetz3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6">
    <w:name w:val="Tabellengitternetz4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6">
    <w:name w:val="Tabellengitternetz5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6">
    <w:name w:val="Tabellengitternetz6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6">
    <w:name w:val="Tabellengitternetz7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6">
    <w:name w:val="Tabellengitternetz8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6">
    <w:name w:val="Tabellengitternetz9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
    <w:name w:val="Table Grid23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网格型33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网格型43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
    <w:name w:val="Table Grid43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表格格線13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
    <w:name w:val="Table Grid51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7">
    <w:name w:val="Tabellengitternetz1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7">
    <w:name w:val="Tabellengitternetz2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7">
    <w:name w:val="Tabellengitternetz3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7">
    <w:name w:val="Tabellengitternetz4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7">
    <w:name w:val="Tabellengitternetz5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7">
    <w:name w:val="Tabellengitternetz6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7">
    <w:name w:val="Tabellengitternetz7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7">
    <w:name w:val="Tabellengitternetz8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7">
    <w:name w:val="Tabellengitternetz9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网格型3117"/>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网格型4117"/>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7">
    <w:name w:val="Table Grid4117"/>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表格格線1117"/>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
    <w:name w:val="Table Grid61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6">
    <w:name w:val="Table Grid1216"/>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6">
    <w:name w:val="Tabellengitternetz1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6">
    <w:name w:val="Tabellengitternetz2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6">
    <w:name w:val="Tabellengitternetz3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6">
    <w:name w:val="Tabellengitternetz4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6">
    <w:name w:val="Tabellengitternetz5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6">
    <w:name w:val="Tabellengitternetz6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6">
    <w:name w:val="Tabellengitternetz7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6">
    <w:name w:val="Tabellengitternetz8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6">
    <w:name w:val="Tabellengitternetz9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6">
    <w:name w:val="Table Grid321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网格型321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网格型421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6">
    <w:name w:val="Table Grid421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
    <w:name w:val="表格格線121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6">
    <w:name w:val="Table Grid11116"/>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网格型2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7">
    <w:name w:val="Table Grid1127"/>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
    <w:name w:val="Table Grid146"/>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6">
    <w:name w:val="Tabellengitternetz1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6">
    <w:name w:val="Tabellengitternetz2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6">
    <w:name w:val="Tabellengitternetz3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6">
    <w:name w:val="Tabellengitternetz4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6">
    <w:name w:val="Tabellengitternetz5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6">
    <w:name w:val="Tabellengitternetz6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6">
    <w:name w:val="Tabellengitternetz7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6">
    <w:name w:val="Tabellengitternetz8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6">
    <w:name w:val="Tabellengitternetz9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网格型34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网格型44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
    <w:name w:val="Table Grid44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表格格線14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6">
    <w:name w:val="Table Grid52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
    <w:name w:val="Table Grid1136"/>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6">
    <w:name w:val="Tabellengitternetz1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6">
    <w:name w:val="Tabellengitternetz2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6">
    <w:name w:val="Tabellengitternetz3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6">
    <w:name w:val="Tabellengitternetz4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6">
    <w:name w:val="Tabellengitternetz5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6">
    <w:name w:val="Tabellengitternetz6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6">
    <w:name w:val="Tabellengitternetz7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6">
    <w:name w:val="Tabellengitternetz8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6">
    <w:name w:val="Tabellengitternetz9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6">
    <w:name w:val="Table Grid21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6">
    <w:name w:val="Table Grid312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网格型31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网格型41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
    <w:name w:val="Table Grid412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
    <w:name w:val="表格格線112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6">
    <w:name w:val="Table Grid62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6">
    <w:name w:val="Table Grid1226"/>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6">
    <w:name w:val="Tabellengitternetz1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6">
    <w:name w:val="Tabellengitternetz2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6">
    <w:name w:val="Tabellengitternetz3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6">
    <w:name w:val="Tabellengitternetz4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6">
    <w:name w:val="Tabellengitternetz5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6">
    <w:name w:val="Tabellengitternetz6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6">
    <w:name w:val="Tabellengitternetz7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6">
    <w:name w:val="Tabellengitternetz8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6">
    <w:name w:val="Tabellengitternetz9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6">
    <w:name w:val="Table Grid322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网格型32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网格型42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6">
    <w:name w:val="Table Grid422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表格格線122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5">
    <w:name w:val="Tabellengitternetz1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5">
    <w:name w:val="Tabellengitternetz2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5">
    <w:name w:val="Tabellengitternetz3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5">
    <w:name w:val="Tabellengitternetz4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5">
    <w:name w:val="Tabellengitternetz5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5">
    <w:name w:val="Tabellengitternetz6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5">
    <w:name w:val="Tabellengitternetz7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5">
    <w:name w:val="Tabellengitternetz8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5">
    <w:name w:val="Tabellengitternetz9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5">
    <w:name w:val="Table Grid25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5">
    <w:name w:val="Table Grid35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网格型35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网格型45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5">
    <w:name w:val="Table Grid45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表格格線15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5">
    <w:name w:val="Table Grid53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5">
    <w:name w:val="Table Grid114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5">
    <w:name w:val="Tabellengitternetz1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5">
    <w:name w:val="Tabellengitternetz2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5">
    <w:name w:val="Tabellengitternetz3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5">
    <w:name w:val="Tabellengitternetz4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5">
    <w:name w:val="Tabellengitternetz5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5">
    <w:name w:val="Tabellengitternetz6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5">
    <w:name w:val="Tabellengitternetz7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5">
    <w:name w:val="Tabellengitternetz8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5">
    <w:name w:val="Tabellengitternetz9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5">
    <w:name w:val="Table Grid21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5">
    <w:name w:val="Table Grid313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网格型31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网格型41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
    <w:name w:val="Table Grid413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
    <w:name w:val="表格格線113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5">
    <w:name w:val="Table Grid63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5">
    <w:name w:val="Table Grid123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5">
    <w:name w:val="Tabellengitternetz1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5">
    <w:name w:val="Tabellengitternetz2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5">
    <w:name w:val="Tabellengitternetz3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5">
    <w:name w:val="Tabellengitternetz4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5">
    <w:name w:val="Tabellengitternetz5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5">
    <w:name w:val="Tabellengitternetz6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5">
    <w:name w:val="Tabellengitternetz7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5">
    <w:name w:val="Tabellengitternetz8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5">
    <w:name w:val="Tabellengitternetz9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5">
    <w:name w:val="Table Grid323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
    <w:name w:val="网格型32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网格型42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5">
    <w:name w:val="Table Grid423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
    <w:name w:val="表格格線123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
    <w:name w:val="Table Grid7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3">
    <w:name w:val="Table Grid1313"/>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3">
    <w:name w:val="Tabellengitternetz1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3">
    <w:name w:val="Tabellengitternetz2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3">
    <w:name w:val="Tabellengitternetz3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3">
    <w:name w:val="Tabellengitternetz4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3">
    <w:name w:val="Tabellengitternetz5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3">
    <w:name w:val="Tabellengitternetz6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3">
    <w:name w:val="Tabellengitternetz7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3">
    <w:name w:val="Tabellengitternetz8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3">
    <w:name w:val="Tabellengitternetz9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3">
    <w:name w:val="Table Grid23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3">
    <w:name w:val="Table Grid33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
    <w:name w:val="网格型33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3">
    <w:name w:val="网格型43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3">
    <w:name w:val="Table Grid43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表格格線13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
    <w:name w:val="Table Grid51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5">
    <w:name w:val="Tabellengitternetz1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5">
    <w:name w:val="Tabellengitternetz2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5">
    <w:name w:val="Tabellengitternetz3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5">
    <w:name w:val="Tabellengitternetz4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5">
    <w:name w:val="Tabellengitternetz5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5">
    <w:name w:val="Tabellengitternetz6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5">
    <w:name w:val="Tabellengitternetz7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5">
    <w:name w:val="Tabellengitternetz8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5">
    <w:name w:val="Tabellengitternetz9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5">
    <w:name w:val="Table Grid2111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5">
    <w:name w:val="Table Grid3111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网格型3111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网格型4111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5">
    <w:name w:val="Table Grid4111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表格格線1111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3">
    <w:name w:val="Table Grid61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
    <w:name w:val="Table Grid12113"/>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3">
    <w:name w:val="Tabellengitternetz1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3">
    <w:name w:val="Tabellengitternetz2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3">
    <w:name w:val="Tabellengitternetz3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3">
    <w:name w:val="Tabellengitternetz4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3">
    <w:name w:val="Tabellengitternetz5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3">
    <w:name w:val="Tabellengitternetz6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3">
    <w:name w:val="Tabellengitternetz7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3">
    <w:name w:val="Tabellengitternetz8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3">
    <w:name w:val="Tabellengitternetz9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3">
    <w:name w:val="Table Grid221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3">
    <w:name w:val="Table Grid321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
    <w:name w:val="网格型321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3">
    <w:name w:val="网格型421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3">
    <w:name w:val="Table Grid421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表格格線121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网格型11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3">
    <w:name w:val="Table Grid111113"/>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网格型21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5">
    <w:name w:val="Table Grid1121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8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3">
    <w:name w:val="Table Grid1413"/>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3">
    <w:name w:val="Tabellengitternetz1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3">
    <w:name w:val="Tabellengitternetz2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3">
    <w:name w:val="Tabellengitternetz3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3">
    <w:name w:val="Tabellengitternetz4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3">
    <w:name w:val="Tabellengitternetz5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3">
    <w:name w:val="Tabellengitternetz6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3">
    <w:name w:val="Tabellengitternetz7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3">
    <w:name w:val="Tabellengitternetz8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3">
    <w:name w:val="Tabellengitternetz9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3">
    <w:name w:val="Table Grid24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3">
    <w:name w:val="Table Grid34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3">
    <w:name w:val="网格型34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3">
    <w:name w:val="网格型44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3">
    <w:name w:val="Table Grid44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3">
    <w:name w:val="表格格線14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3">
    <w:name w:val="Table Grid52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3">
    <w:name w:val="Table Grid11313"/>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3">
    <w:name w:val="Tabellengitternetz1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3">
    <w:name w:val="Tabellengitternetz2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3">
    <w:name w:val="Tabellengitternetz3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3">
    <w:name w:val="Tabellengitternetz4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3">
    <w:name w:val="Tabellengitternetz5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3">
    <w:name w:val="Tabellengitternetz6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3">
    <w:name w:val="Tabellengitternetz7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3">
    <w:name w:val="Tabellengitternetz8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3">
    <w:name w:val="Tabellengitternetz9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3">
    <w:name w:val="Table Grid21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3">
    <w:name w:val="Table Grid312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
    <w:name w:val="网格型31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3">
    <w:name w:val="网格型41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3">
    <w:name w:val="Table Grid412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表格格線112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3">
    <w:name w:val="Table Grid62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
    <w:name w:val="Table Grid12213"/>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3">
    <w:name w:val="Tabellengitternetz1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3">
    <w:name w:val="Tabellengitternetz2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3">
    <w:name w:val="Tabellengitternetz3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3">
    <w:name w:val="Tabellengitternetz4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3">
    <w:name w:val="Tabellengitternetz5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3">
    <w:name w:val="Tabellengitternetz6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3">
    <w:name w:val="Tabellengitternetz7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3">
    <w:name w:val="Tabellengitternetz8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3">
    <w:name w:val="Tabellengitternetz9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3">
    <w:name w:val="Table Grid22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3">
    <w:name w:val="Table Grid322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3">
    <w:name w:val="网格型32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3">
    <w:name w:val="网格型42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3">
    <w:name w:val="Table Grid422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3">
    <w:name w:val="表格格線122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网格型5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网格型12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4">
    <w:name w:val="Table Grid11224"/>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4">
    <w:name w:val="Tabellengitternetz1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4">
    <w:name w:val="Tabellengitternetz2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4">
    <w:name w:val="Tabellengitternetz3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4">
    <w:name w:val="Tabellengitternetz4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4">
    <w:name w:val="Tabellengitternetz5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4">
    <w:name w:val="Tabellengitternetz6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4">
    <w:name w:val="Tabellengitternetz7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4">
    <w:name w:val="Tabellengitternetz8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4">
    <w:name w:val="Tabellengitternetz9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4">
    <w:name w:val="Table Grid21124"/>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4">
    <w:name w:val="Table Grid31124"/>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网格型31124"/>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网格型41124"/>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4">
    <w:name w:val="Table Grid41124"/>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4"/>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1">
    <w:name w:val="Tabellengitternetz1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1">
    <w:name w:val="Tabellengitternetz2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1">
    <w:name w:val="Tabellengitternetz3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1">
    <w:name w:val="Tabellengitternetz4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1">
    <w:name w:val="Tabellengitternetz5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1">
    <w:name w:val="Tabellengitternetz6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1">
    <w:name w:val="Tabellengitternetz7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1">
    <w:name w:val="Tabellengitternetz8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1">
    <w:name w:val="Tabellengitternetz9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网格型36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网格型46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1">
    <w:name w:val="Table Grid46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表格格線16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
    <w:name w:val="Table Grid54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1">
    <w:name w:val="Tabellengitternetz1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1">
    <w:name w:val="Tabellengitternetz2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1">
    <w:name w:val="Tabellengitternetz3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1">
    <w:name w:val="Tabellengitternetz4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1">
    <w:name w:val="Tabellengitternetz5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1">
    <w:name w:val="Tabellengitternetz6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1">
    <w:name w:val="Tabellengitternetz7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1">
    <w:name w:val="Tabellengitternetz8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1">
    <w:name w:val="Tabellengitternetz9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1">
    <w:name w:val="Table Grid21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1">
    <w:name w:val="Table Grid314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网格型31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网格型41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
    <w:name w:val="Table Grid414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0">
    <w:name w:val="表格格線114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1">
    <w:name w:val="Table Grid64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
    <w:name w:val="Table Grid124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1">
    <w:name w:val="Tabellengitternetz1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1">
    <w:name w:val="Tabellengitternetz2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1">
    <w:name w:val="Tabellengitternetz3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1">
    <w:name w:val="Tabellengitternetz4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1">
    <w:name w:val="Tabellengitternetz5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1">
    <w:name w:val="Tabellengitternetz6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1">
    <w:name w:val="Tabellengitternetz7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1">
    <w:name w:val="Tabellengitternetz8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1">
    <w:name w:val="Tabellengitternetz9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1">
    <w:name w:val="Table Grid22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1">
    <w:name w:val="Table Grid324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
    <w:name w:val="网格型32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1">
    <w:name w:val="网格型42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1">
    <w:name w:val="Table Grid424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
    <w:name w:val="表格格線124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
    <w:name w:val="Table Grid11131"/>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
    <w:name w:val="Table Grid1123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1">
    <w:name w:val="Tabellengitternetz1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1">
    <w:name w:val="Tabellengitternetz2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1">
    <w:name w:val="Tabellengitternetz3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1">
    <w:name w:val="Tabellengitternetz4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1">
    <w:name w:val="Tabellengitternetz5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1">
    <w:name w:val="Tabellengitternetz6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1">
    <w:name w:val="Tabellengitternetz7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1">
    <w:name w:val="Tabellengitternetz8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1">
    <w:name w:val="Tabellengitternetz9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1">
    <w:name w:val="Table Grid2113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1">
    <w:name w:val="Table Grid3113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
    <w:name w:val="网格型3113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
    <w:name w:val="网格型4113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1">
    <w:name w:val="Table Grid4113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
    <w:name w:val="表格格線1113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
    <w:name w:val="Table Grid11211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1">
    <w:name w:val="Tabellengitternetz1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1">
    <w:name w:val="Tabellengitternetz2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1">
    <w:name w:val="Tabellengitternetz3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1">
    <w:name w:val="Tabellengitternetz4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1">
    <w:name w:val="Tabellengitternetz5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1">
    <w:name w:val="Tabellengitternetz6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1">
    <w:name w:val="Tabellengitternetz7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1">
    <w:name w:val="Tabellengitternetz8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1">
    <w:name w:val="Tabellengitternetz9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1">
    <w:name w:val="Table Grid2111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1">
    <w:name w:val="Table Grid31111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
    <w:name w:val="网格型3111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1">
    <w:name w:val="网格型4111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1">
    <w:name w:val="Table Grid41111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
    <w:name w:val="表格格線11111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
    <w:name w:val="Table Grid151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1">
    <w:name w:val="Tabellengitternetz1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1">
    <w:name w:val="Tabellengitternetz2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1">
    <w:name w:val="Tabellengitternetz3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1">
    <w:name w:val="Tabellengitternetz4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1">
    <w:name w:val="Tabellengitternetz5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1">
    <w:name w:val="Tabellengitternetz6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1">
    <w:name w:val="Tabellengitternetz7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1">
    <w:name w:val="Tabellengitternetz8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1">
    <w:name w:val="Tabellengitternetz9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1">
    <w:name w:val="Table Grid25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网格型35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网格型45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1">
    <w:name w:val="Table Grid451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表格格線151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
    <w:name w:val="Table Grid11411"/>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
    <w:name w:val="Table Grid531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1">
    <w:name w:val="Tabellengitternetz1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1">
    <w:name w:val="Tabellengitternetz2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1">
    <w:name w:val="Tabellengitternetz3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1">
    <w:name w:val="Tabellengitternetz4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1">
    <w:name w:val="Tabellengitternetz5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1">
    <w:name w:val="Tabellengitternetz6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1">
    <w:name w:val="Tabellengitternetz7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1">
    <w:name w:val="Tabellengitternetz8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1">
    <w:name w:val="Tabellengitternetz9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1">
    <w:name w:val="Table Grid213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1">
    <w:name w:val="Table Grid3131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网格型313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1">
    <w:name w:val="网格型413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
    <w:name w:val="Table Grid4131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表格格線1131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nseQuote2">
    <w:name w:val="Intense Quote2"/>
    <w:basedOn w:val="Normal"/>
    <w:next w:val="Normal"/>
    <w:uiPriority w:val="30"/>
    <w:qFormat/>
    <w:rsid w:val="00524B77"/>
    <w:pPr>
      <w:pBdr>
        <w:top w:val="single" w:sz="4" w:space="10" w:color="4472C4"/>
        <w:bottom w:val="single" w:sz="4" w:space="10" w:color="4472C4"/>
      </w:pBdr>
      <w:overflowPunct/>
      <w:autoSpaceDE/>
      <w:autoSpaceDN/>
      <w:adjustRightInd/>
      <w:spacing w:before="360" w:after="360"/>
      <w:ind w:left="864" w:right="864"/>
      <w:jc w:val="center"/>
      <w:textAlignment w:val="auto"/>
    </w:pPr>
    <w:rPr>
      <w:rFonts w:ascii="CG Times (WN)" w:hAnsi="CG Times (WN)"/>
      <w:i/>
      <w:iCs/>
      <w:color w:val="5B9BD5"/>
      <w:lang w:val="fr-FR" w:eastAsia="en-US"/>
    </w:rPr>
  </w:style>
  <w:style w:type="paragraph" w:customStyle="1" w:styleId="CharChar3CharCharCharCharCharChar">
    <w:name w:val="Char Char3 Char Char Char Char Char Char"/>
    <w:semiHidden/>
    <w:rsid w:val="00060B2A"/>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greement">
    <w:name w:val="Agreement"/>
    <w:basedOn w:val="Normal"/>
    <w:next w:val="Doc-text2"/>
    <w:rsid w:val="00060B2A"/>
    <w:pPr>
      <w:numPr>
        <w:numId w:val="18"/>
      </w:numPr>
      <w:overflowPunct/>
      <w:autoSpaceDE/>
      <w:autoSpaceDN/>
      <w:adjustRightInd/>
      <w:spacing w:before="60" w:after="0"/>
      <w:textAlignment w:val="auto"/>
    </w:pPr>
    <w:rPr>
      <w:rFonts w:ascii="Arial" w:eastAsia="MS Mincho" w:hAnsi="Arial"/>
      <w:b/>
      <w:szCs w:val="24"/>
    </w:rPr>
  </w:style>
  <w:style w:type="table" w:styleId="GridTable1Light">
    <w:name w:val="Grid Table 1 Light"/>
    <w:basedOn w:val="TableNormal"/>
    <w:uiPriority w:val="46"/>
    <w:rsid w:val="00060B2A"/>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GPPAgreements">
    <w:name w:val="3GPP Agreements"/>
    <w:basedOn w:val="Normal"/>
    <w:link w:val="3GPPAgreementsChar"/>
    <w:qFormat/>
    <w:rsid w:val="00060B2A"/>
    <w:pPr>
      <w:numPr>
        <w:numId w:val="19"/>
      </w:numPr>
      <w:spacing w:before="60" w:after="60"/>
      <w:jc w:val="both"/>
    </w:pPr>
    <w:rPr>
      <w:rFonts w:eastAsia="SimSun"/>
      <w:lang w:val="en-US" w:eastAsia="zh-CN"/>
    </w:rPr>
  </w:style>
  <w:style w:type="character" w:customStyle="1" w:styleId="3GPPAgreementsChar">
    <w:name w:val="3GPP Agreements Char"/>
    <w:link w:val="3GPPAgreements"/>
    <w:qFormat/>
    <w:rsid w:val="00060B2A"/>
    <w:rPr>
      <w:lang w:val="en-US" w:eastAsia="zh-CN"/>
    </w:rPr>
  </w:style>
  <w:style w:type="paragraph" w:customStyle="1" w:styleId="LGTdoc">
    <w:name w:val="LGTdoc_본문"/>
    <w:basedOn w:val="Normal"/>
    <w:link w:val="LGTdocChar"/>
    <w:qFormat/>
    <w:rsid w:val="00060B2A"/>
    <w:pPr>
      <w:widowControl w:val="0"/>
      <w:overflowPunct/>
      <w:snapToGrid w:val="0"/>
      <w:spacing w:afterLines="50" w:after="0" w:line="264" w:lineRule="auto"/>
      <w:jc w:val="both"/>
      <w:textAlignment w:val="auto"/>
    </w:pPr>
    <w:rPr>
      <w:rFonts w:eastAsia="Batang"/>
      <w:kern w:val="2"/>
      <w:sz w:val="22"/>
      <w:szCs w:val="24"/>
      <w:lang w:eastAsia="ko-KR"/>
    </w:rPr>
  </w:style>
  <w:style w:type="character" w:customStyle="1" w:styleId="LGTdocChar">
    <w:name w:val="LGTdoc_본문 Char"/>
    <w:link w:val="LGTdoc"/>
    <w:qFormat/>
    <w:rsid w:val="00060B2A"/>
    <w:rPr>
      <w:rFonts w:eastAsia="Batang"/>
      <w:kern w:val="2"/>
      <w:sz w:val="22"/>
      <w:szCs w:val="24"/>
    </w:rPr>
  </w:style>
  <w:style w:type="character" w:customStyle="1" w:styleId="B12">
    <w:name w:val="B1 (文字)"/>
    <w:uiPriority w:val="99"/>
    <w:qFormat/>
    <w:locked/>
    <w:rsid w:val="00060B2A"/>
    <w:rPr>
      <w:rFonts w:ascii="Times New Roman" w:eastAsia="Times New Roman" w:hAnsi="Times New Roman"/>
      <w:lang w:eastAsia="en-US"/>
    </w:rPr>
  </w:style>
  <w:style w:type="character" w:customStyle="1" w:styleId="EditorsNoteCarCar">
    <w:name w:val="Editor's Note Car Car"/>
    <w:rsid w:val="00060B2A"/>
    <w:rPr>
      <w:rFonts w:ascii="Times New Roman" w:hAnsi="Times New Roman"/>
      <w:color w:val="FF0000"/>
      <w:lang w:val="en-GB" w:eastAsia="en-US"/>
    </w:rPr>
  </w:style>
  <w:style w:type="character" w:customStyle="1" w:styleId="PRSChar">
    <w:name w:val="PRS Char"/>
    <w:aliases w:val="Heading 3 3GPP Char2,Underrubrik2 Char5,H3 Char5,Memo Heading 3 Char5,h3 Char5,no break Char5,Heading 3 Char1 Char Char2,Heading 3 Char Char Char Char2,Heading 3 Char1 Char Char Char Char2,Heading 3 Char Char Char Char Char Char2,0H Char5"/>
    <w:basedOn w:val="DefaultParagraphFont"/>
    <w:qFormat/>
    <w:rsid w:val="00060B2A"/>
    <w:rPr>
      <w:rFonts w:asciiTheme="majorHAnsi" w:eastAsiaTheme="majorEastAsia" w:hAnsiTheme="majorHAnsi" w:cstheme="majorBidi"/>
      <w:color w:val="1F3763" w:themeColor="accent1" w:themeShade="7F"/>
      <w:sz w:val="24"/>
      <w:szCs w:val="24"/>
      <w:lang w:val="en-GB" w:eastAsia="en-US"/>
    </w:rPr>
  </w:style>
  <w:style w:type="character" w:customStyle="1" w:styleId="1f0">
    <w:name w:val="未处理的提及1"/>
    <w:basedOn w:val="DefaultParagraphFont"/>
    <w:uiPriority w:val="52"/>
    <w:unhideWhenUsed/>
    <w:rsid w:val="00060B2A"/>
    <w:rPr>
      <w:color w:val="605E5C"/>
      <w:shd w:val="clear" w:color="auto" w:fill="E1DFDD"/>
    </w:rPr>
  </w:style>
  <w:style w:type="character" w:customStyle="1" w:styleId="UnresolvedMention2">
    <w:name w:val="Unresolved Mention2"/>
    <w:basedOn w:val="DefaultParagraphFont"/>
    <w:uiPriority w:val="99"/>
    <w:unhideWhenUsed/>
    <w:rsid w:val="00060B2A"/>
    <w:rPr>
      <w:color w:val="605E5C"/>
      <w:shd w:val="clear" w:color="auto" w:fill="E1DFDD"/>
    </w:rPr>
  </w:style>
  <w:style w:type="paragraph" w:customStyle="1" w:styleId="CH">
    <w:name w:val="CH"/>
    <w:basedOn w:val="Normal"/>
    <w:rsid w:val="00060B2A"/>
    <w:pPr>
      <w:tabs>
        <w:tab w:val="left" w:pos="2268"/>
        <w:tab w:val="right" w:pos="7920"/>
        <w:tab w:val="right" w:pos="9639"/>
      </w:tabs>
      <w:spacing w:after="0"/>
    </w:pPr>
    <w:rPr>
      <w:rFonts w:ascii="Arial" w:hAnsi="Arial" w:cs="Arial"/>
      <w:b/>
      <w:sz w:val="24"/>
    </w:rPr>
  </w:style>
  <w:style w:type="table" w:customStyle="1" w:styleId="TableGrid97">
    <w:name w:val="Table Grid97"/>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qFormat/>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9">
    <w:name w:val="Table Grid129"/>
    <w:basedOn w:val="TableNormal"/>
    <w:next w:val="TableGrid"/>
    <w:rsid w:val="00060B2A"/>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9">
    <w:name w:val="Tabellengitternetz1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9">
    <w:name w:val="Tabellengitternetz2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9">
    <w:name w:val="Tabellengitternetz3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9">
    <w:name w:val="Tabellengitternetz4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9">
    <w:name w:val="Tabellengitternetz5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9">
    <w:name w:val="Tabellengitternetz6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9">
    <w:name w:val="Tabellengitternetz7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9">
    <w:name w:val="Tabellengitternetz8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9">
    <w:name w:val="Tabellengitternetz9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网格型31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网格型41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9">
    <w:name w:val="Table Grid419"/>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8">
    <w:name w:val="Table Grid1118"/>
    <w:basedOn w:val="TableNormal"/>
    <w:next w:val="TableGrid"/>
    <w:uiPriority w:val="39"/>
    <w:rsid w:val="00060B2A"/>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0">
    <w:name w:val="Tabellengitternetz1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0">
    <w:name w:val="Tabellengitternetz2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0">
    <w:name w:val="Tabellengitternetz3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0">
    <w:name w:val="Tabellengitternetz4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0">
    <w:name w:val="Tabellengitternetz5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0">
    <w:name w:val="Tabellengitternetz6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0">
    <w:name w:val="Tabellengitternetz7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0">
    <w:name w:val="Tabellengitternetz8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0">
    <w:name w:val="Tabellengitternetz9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 Grid2110"/>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0"/>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0"/>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0"/>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 Grid4110"/>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表格格線1110"/>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9">
    <w:name w:val="Table Grid69"/>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 Grid1210"/>
    <w:basedOn w:val="TableNormal"/>
    <w:next w:val="TableGrid"/>
    <w:uiPriority w:val="39"/>
    <w:rsid w:val="00060B2A"/>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9">
    <w:name w:val="Tabellengitternetz1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9">
    <w:name w:val="Tabellengitternetz2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9">
    <w:name w:val="Tabellengitternetz3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9">
    <w:name w:val="Tabellengitternetz4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9">
    <w:name w:val="Tabellengitternetz5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9">
    <w:name w:val="Tabellengitternetz6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9">
    <w:name w:val="Tabellengitternetz7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9">
    <w:name w:val="Tabellengitternetz8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9">
    <w:name w:val="Tabellengitternetz9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9">
    <w:name w:val="Table Grid22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9">
    <w:name w:val="Table Grid329"/>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网格型32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网格型42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9">
    <w:name w:val="Table Grid429"/>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表格格線129"/>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9">
    <w:name w:val="Table Grid1119"/>
    <w:basedOn w:val="TableNormal"/>
    <w:next w:val="TableGrid"/>
    <w:uiPriority w:val="39"/>
    <w:rsid w:val="00060B2A"/>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网格型27"/>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8">
    <w:name w:val="Table Grid1128"/>
    <w:basedOn w:val="TableNormal"/>
    <w:next w:val="TableGrid"/>
    <w:uiPriority w:val="39"/>
    <w:rsid w:val="00060B2A"/>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8">
    <w:name w:val="Tabellengitternetz1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8">
    <w:name w:val="Tabellengitternetz2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8">
    <w:name w:val="Tabellengitternetz3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8">
    <w:name w:val="Tabellengitternetz4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8">
    <w:name w:val="Tabellengitternetz5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8">
    <w:name w:val="Tabellengitternetz6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8">
    <w:name w:val="Tabellengitternetz7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8">
    <w:name w:val="Tabellengitternetz8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8">
    <w:name w:val="Tabellengitternetz9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8">
    <w:name w:val="Table Grid2118"/>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8">
    <w:name w:val="Table Grid3118"/>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网格型3118"/>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网格型4118"/>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8">
    <w:name w:val="Table Grid4118"/>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表格格線1118"/>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7">
    <w:name w:val="Table Grid137"/>
    <w:basedOn w:val="TableNormal"/>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7">
    <w:name w:val="Tabellengitternetz1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7">
    <w:name w:val="Tabellengitternetz2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7">
    <w:name w:val="Tabellengitternetz3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7">
    <w:name w:val="Tabellengitternetz4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7">
    <w:name w:val="Tabellengitternetz5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7">
    <w:name w:val="Tabellengitternetz6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7">
    <w:name w:val="Tabellengitternetz7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7">
    <w:name w:val="Tabellengitternetz8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7">
    <w:name w:val="Tabellengitternetz9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7">
    <w:name w:val="Table Grid23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7">
    <w:name w:val="Table Grid33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网格型33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网格型43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7">
    <w:name w:val="Table Grid43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表格格線13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7">
    <w:name w:val="Table Grid51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7">
    <w:name w:val="Table Grid61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7">
    <w:name w:val="Table Grid1217"/>
    <w:basedOn w:val="TableNormal"/>
    <w:uiPriority w:val="39"/>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7">
    <w:name w:val="Tabellengitternetz1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7">
    <w:name w:val="Tabellengitternetz2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7">
    <w:name w:val="Tabellengitternetz3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7">
    <w:name w:val="Tabellengitternetz4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7">
    <w:name w:val="Tabellengitternetz5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7">
    <w:name w:val="Tabellengitternetz6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7">
    <w:name w:val="Tabellengitternetz7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7">
    <w:name w:val="Tabellengitternetz8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7">
    <w:name w:val="Tabellengitternetz9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7">
    <w:name w:val="Table Grid221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7">
    <w:name w:val="Table Grid321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网格型321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网格型421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7">
    <w:name w:val="Table Grid421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表格格線121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7">
    <w:name w:val="Table Grid11117"/>
    <w:basedOn w:val="TableNormal"/>
    <w:uiPriority w:val="39"/>
    <w:rsid w:val="00060B2A"/>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7">
    <w:name w:val="Table Grid147"/>
    <w:basedOn w:val="TableNormal"/>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7">
    <w:name w:val="Tabellengitternetz1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7">
    <w:name w:val="Tabellengitternetz2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7">
    <w:name w:val="Tabellengitternetz3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7">
    <w:name w:val="Tabellengitternetz4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7">
    <w:name w:val="Tabellengitternetz5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7">
    <w:name w:val="Tabellengitternetz6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7">
    <w:name w:val="Tabellengitternetz7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7">
    <w:name w:val="Tabellengitternetz8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7">
    <w:name w:val="Tabellengitternetz9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7">
    <w:name w:val="Table Grid24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7">
    <w:name w:val="Table Grid34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网格型34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网格型44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7">
    <w:name w:val="Table Grid44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
    <w:name w:val="表格格線14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7">
    <w:name w:val="Table Grid52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7">
    <w:name w:val="Table Grid1137"/>
    <w:basedOn w:val="TableNormal"/>
    <w:uiPriority w:val="39"/>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7">
    <w:name w:val="Tabellengitternetz1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7">
    <w:name w:val="Tabellengitternetz2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7">
    <w:name w:val="Tabellengitternetz3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7">
    <w:name w:val="Tabellengitternetz4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7">
    <w:name w:val="Tabellengitternetz5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7">
    <w:name w:val="Tabellengitternetz6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7">
    <w:name w:val="Tabellengitternetz7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7">
    <w:name w:val="Tabellengitternetz8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7">
    <w:name w:val="Tabellengitternetz9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7">
    <w:name w:val="Table Grid212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7">
    <w:name w:val="Table Grid312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网格型312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网格型412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7">
    <w:name w:val="Table Grid412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
    <w:name w:val="表格格線112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7">
    <w:name w:val="Table Grid62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7">
    <w:name w:val="Table Grid1227"/>
    <w:basedOn w:val="TableNormal"/>
    <w:uiPriority w:val="39"/>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7">
    <w:name w:val="Tabellengitternetz12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7">
    <w:name w:val="Tabellengitternetz22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907">
      <w:bodyDiv w:val="1"/>
      <w:marLeft w:val="0"/>
      <w:marRight w:val="0"/>
      <w:marTop w:val="0"/>
      <w:marBottom w:val="0"/>
      <w:divBdr>
        <w:top w:val="none" w:sz="0" w:space="0" w:color="auto"/>
        <w:left w:val="none" w:sz="0" w:space="0" w:color="auto"/>
        <w:bottom w:val="none" w:sz="0" w:space="0" w:color="auto"/>
        <w:right w:val="none" w:sz="0" w:space="0" w:color="auto"/>
      </w:divBdr>
    </w:div>
    <w:div w:id="47920565">
      <w:bodyDiv w:val="1"/>
      <w:marLeft w:val="0"/>
      <w:marRight w:val="0"/>
      <w:marTop w:val="0"/>
      <w:marBottom w:val="0"/>
      <w:divBdr>
        <w:top w:val="none" w:sz="0" w:space="0" w:color="auto"/>
        <w:left w:val="none" w:sz="0" w:space="0" w:color="auto"/>
        <w:bottom w:val="none" w:sz="0" w:space="0" w:color="auto"/>
        <w:right w:val="none" w:sz="0" w:space="0" w:color="auto"/>
      </w:divBdr>
    </w:div>
    <w:div w:id="71395307">
      <w:bodyDiv w:val="1"/>
      <w:marLeft w:val="0"/>
      <w:marRight w:val="0"/>
      <w:marTop w:val="0"/>
      <w:marBottom w:val="0"/>
      <w:divBdr>
        <w:top w:val="none" w:sz="0" w:space="0" w:color="auto"/>
        <w:left w:val="none" w:sz="0" w:space="0" w:color="auto"/>
        <w:bottom w:val="none" w:sz="0" w:space="0" w:color="auto"/>
        <w:right w:val="none" w:sz="0" w:space="0" w:color="auto"/>
      </w:divBdr>
    </w:div>
    <w:div w:id="78449348">
      <w:bodyDiv w:val="1"/>
      <w:marLeft w:val="0"/>
      <w:marRight w:val="0"/>
      <w:marTop w:val="0"/>
      <w:marBottom w:val="0"/>
      <w:divBdr>
        <w:top w:val="none" w:sz="0" w:space="0" w:color="auto"/>
        <w:left w:val="none" w:sz="0" w:space="0" w:color="auto"/>
        <w:bottom w:val="none" w:sz="0" w:space="0" w:color="auto"/>
        <w:right w:val="none" w:sz="0" w:space="0" w:color="auto"/>
      </w:divBdr>
    </w:div>
    <w:div w:id="92634114">
      <w:bodyDiv w:val="1"/>
      <w:marLeft w:val="0"/>
      <w:marRight w:val="0"/>
      <w:marTop w:val="0"/>
      <w:marBottom w:val="0"/>
      <w:divBdr>
        <w:top w:val="none" w:sz="0" w:space="0" w:color="auto"/>
        <w:left w:val="none" w:sz="0" w:space="0" w:color="auto"/>
        <w:bottom w:val="none" w:sz="0" w:space="0" w:color="auto"/>
        <w:right w:val="none" w:sz="0" w:space="0" w:color="auto"/>
      </w:divBdr>
    </w:div>
    <w:div w:id="173961717">
      <w:bodyDiv w:val="1"/>
      <w:marLeft w:val="0"/>
      <w:marRight w:val="0"/>
      <w:marTop w:val="0"/>
      <w:marBottom w:val="0"/>
      <w:divBdr>
        <w:top w:val="none" w:sz="0" w:space="0" w:color="auto"/>
        <w:left w:val="none" w:sz="0" w:space="0" w:color="auto"/>
        <w:bottom w:val="none" w:sz="0" w:space="0" w:color="auto"/>
        <w:right w:val="none" w:sz="0" w:space="0" w:color="auto"/>
      </w:divBdr>
    </w:div>
    <w:div w:id="320500397">
      <w:bodyDiv w:val="1"/>
      <w:marLeft w:val="0"/>
      <w:marRight w:val="0"/>
      <w:marTop w:val="0"/>
      <w:marBottom w:val="0"/>
      <w:divBdr>
        <w:top w:val="none" w:sz="0" w:space="0" w:color="auto"/>
        <w:left w:val="none" w:sz="0" w:space="0" w:color="auto"/>
        <w:bottom w:val="none" w:sz="0" w:space="0" w:color="auto"/>
        <w:right w:val="none" w:sz="0" w:space="0" w:color="auto"/>
      </w:divBdr>
    </w:div>
    <w:div w:id="353456534">
      <w:bodyDiv w:val="1"/>
      <w:marLeft w:val="0"/>
      <w:marRight w:val="0"/>
      <w:marTop w:val="0"/>
      <w:marBottom w:val="0"/>
      <w:divBdr>
        <w:top w:val="none" w:sz="0" w:space="0" w:color="auto"/>
        <w:left w:val="none" w:sz="0" w:space="0" w:color="auto"/>
        <w:bottom w:val="none" w:sz="0" w:space="0" w:color="auto"/>
        <w:right w:val="none" w:sz="0" w:space="0" w:color="auto"/>
      </w:divBdr>
    </w:div>
    <w:div w:id="404454830">
      <w:bodyDiv w:val="1"/>
      <w:marLeft w:val="0"/>
      <w:marRight w:val="0"/>
      <w:marTop w:val="0"/>
      <w:marBottom w:val="0"/>
      <w:divBdr>
        <w:top w:val="none" w:sz="0" w:space="0" w:color="auto"/>
        <w:left w:val="none" w:sz="0" w:space="0" w:color="auto"/>
        <w:bottom w:val="none" w:sz="0" w:space="0" w:color="auto"/>
        <w:right w:val="none" w:sz="0" w:space="0" w:color="auto"/>
      </w:divBdr>
    </w:div>
    <w:div w:id="562253524">
      <w:bodyDiv w:val="1"/>
      <w:marLeft w:val="0"/>
      <w:marRight w:val="0"/>
      <w:marTop w:val="0"/>
      <w:marBottom w:val="0"/>
      <w:divBdr>
        <w:top w:val="none" w:sz="0" w:space="0" w:color="auto"/>
        <w:left w:val="none" w:sz="0" w:space="0" w:color="auto"/>
        <w:bottom w:val="none" w:sz="0" w:space="0" w:color="auto"/>
        <w:right w:val="none" w:sz="0" w:space="0" w:color="auto"/>
      </w:divBdr>
    </w:div>
    <w:div w:id="581139237">
      <w:bodyDiv w:val="1"/>
      <w:marLeft w:val="0"/>
      <w:marRight w:val="0"/>
      <w:marTop w:val="0"/>
      <w:marBottom w:val="0"/>
      <w:divBdr>
        <w:top w:val="none" w:sz="0" w:space="0" w:color="auto"/>
        <w:left w:val="none" w:sz="0" w:space="0" w:color="auto"/>
        <w:bottom w:val="none" w:sz="0" w:space="0" w:color="auto"/>
        <w:right w:val="none" w:sz="0" w:space="0" w:color="auto"/>
      </w:divBdr>
    </w:div>
    <w:div w:id="692075868">
      <w:bodyDiv w:val="1"/>
      <w:marLeft w:val="0"/>
      <w:marRight w:val="0"/>
      <w:marTop w:val="0"/>
      <w:marBottom w:val="0"/>
      <w:divBdr>
        <w:top w:val="none" w:sz="0" w:space="0" w:color="auto"/>
        <w:left w:val="none" w:sz="0" w:space="0" w:color="auto"/>
        <w:bottom w:val="none" w:sz="0" w:space="0" w:color="auto"/>
        <w:right w:val="none" w:sz="0" w:space="0" w:color="auto"/>
      </w:divBdr>
    </w:div>
    <w:div w:id="748231616">
      <w:bodyDiv w:val="1"/>
      <w:marLeft w:val="0"/>
      <w:marRight w:val="0"/>
      <w:marTop w:val="0"/>
      <w:marBottom w:val="0"/>
      <w:divBdr>
        <w:top w:val="none" w:sz="0" w:space="0" w:color="auto"/>
        <w:left w:val="none" w:sz="0" w:space="0" w:color="auto"/>
        <w:bottom w:val="none" w:sz="0" w:space="0" w:color="auto"/>
        <w:right w:val="none" w:sz="0" w:space="0" w:color="auto"/>
      </w:divBdr>
    </w:div>
    <w:div w:id="778375387">
      <w:bodyDiv w:val="1"/>
      <w:marLeft w:val="0"/>
      <w:marRight w:val="0"/>
      <w:marTop w:val="0"/>
      <w:marBottom w:val="0"/>
      <w:divBdr>
        <w:top w:val="none" w:sz="0" w:space="0" w:color="auto"/>
        <w:left w:val="none" w:sz="0" w:space="0" w:color="auto"/>
        <w:bottom w:val="none" w:sz="0" w:space="0" w:color="auto"/>
        <w:right w:val="none" w:sz="0" w:space="0" w:color="auto"/>
      </w:divBdr>
    </w:div>
    <w:div w:id="874192642">
      <w:bodyDiv w:val="1"/>
      <w:marLeft w:val="0"/>
      <w:marRight w:val="0"/>
      <w:marTop w:val="0"/>
      <w:marBottom w:val="0"/>
      <w:divBdr>
        <w:top w:val="none" w:sz="0" w:space="0" w:color="auto"/>
        <w:left w:val="none" w:sz="0" w:space="0" w:color="auto"/>
        <w:bottom w:val="none" w:sz="0" w:space="0" w:color="auto"/>
        <w:right w:val="none" w:sz="0" w:space="0" w:color="auto"/>
      </w:divBdr>
    </w:div>
    <w:div w:id="907610769">
      <w:bodyDiv w:val="1"/>
      <w:marLeft w:val="0"/>
      <w:marRight w:val="0"/>
      <w:marTop w:val="0"/>
      <w:marBottom w:val="0"/>
      <w:divBdr>
        <w:top w:val="none" w:sz="0" w:space="0" w:color="auto"/>
        <w:left w:val="none" w:sz="0" w:space="0" w:color="auto"/>
        <w:bottom w:val="none" w:sz="0" w:space="0" w:color="auto"/>
        <w:right w:val="none" w:sz="0" w:space="0" w:color="auto"/>
      </w:divBdr>
    </w:div>
    <w:div w:id="994258283">
      <w:bodyDiv w:val="1"/>
      <w:marLeft w:val="0"/>
      <w:marRight w:val="0"/>
      <w:marTop w:val="0"/>
      <w:marBottom w:val="0"/>
      <w:divBdr>
        <w:top w:val="none" w:sz="0" w:space="0" w:color="auto"/>
        <w:left w:val="none" w:sz="0" w:space="0" w:color="auto"/>
        <w:bottom w:val="none" w:sz="0" w:space="0" w:color="auto"/>
        <w:right w:val="none" w:sz="0" w:space="0" w:color="auto"/>
      </w:divBdr>
    </w:div>
    <w:div w:id="1010377428">
      <w:bodyDiv w:val="1"/>
      <w:marLeft w:val="0"/>
      <w:marRight w:val="0"/>
      <w:marTop w:val="0"/>
      <w:marBottom w:val="0"/>
      <w:divBdr>
        <w:top w:val="none" w:sz="0" w:space="0" w:color="auto"/>
        <w:left w:val="none" w:sz="0" w:space="0" w:color="auto"/>
        <w:bottom w:val="none" w:sz="0" w:space="0" w:color="auto"/>
        <w:right w:val="none" w:sz="0" w:space="0" w:color="auto"/>
      </w:divBdr>
    </w:div>
    <w:div w:id="1051029944">
      <w:bodyDiv w:val="1"/>
      <w:marLeft w:val="0"/>
      <w:marRight w:val="0"/>
      <w:marTop w:val="0"/>
      <w:marBottom w:val="0"/>
      <w:divBdr>
        <w:top w:val="none" w:sz="0" w:space="0" w:color="auto"/>
        <w:left w:val="none" w:sz="0" w:space="0" w:color="auto"/>
        <w:bottom w:val="none" w:sz="0" w:space="0" w:color="auto"/>
        <w:right w:val="none" w:sz="0" w:space="0" w:color="auto"/>
      </w:divBdr>
    </w:div>
    <w:div w:id="1053384415">
      <w:bodyDiv w:val="1"/>
      <w:marLeft w:val="0"/>
      <w:marRight w:val="0"/>
      <w:marTop w:val="0"/>
      <w:marBottom w:val="0"/>
      <w:divBdr>
        <w:top w:val="none" w:sz="0" w:space="0" w:color="auto"/>
        <w:left w:val="none" w:sz="0" w:space="0" w:color="auto"/>
        <w:bottom w:val="none" w:sz="0" w:space="0" w:color="auto"/>
        <w:right w:val="none" w:sz="0" w:space="0" w:color="auto"/>
      </w:divBdr>
    </w:div>
    <w:div w:id="1082528193">
      <w:bodyDiv w:val="1"/>
      <w:marLeft w:val="0"/>
      <w:marRight w:val="0"/>
      <w:marTop w:val="0"/>
      <w:marBottom w:val="0"/>
      <w:divBdr>
        <w:top w:val="none" w:sz="0" w:space="0" w:color="auto"/>
        <w:left w:val="none" w:sz="0" w:space="0" w:color="auto"/>
        <w:bottom w:val="none" w:sz="0" w:space="0" w:color="auto"/>
        <w:right w:val="none" w:sz="0" w:space="0" w:color="auto"/>
      </w:divBdr>
    </w:div>
    <w:div w:id="1102844738">
      <w:bodyDiv w:val="1"/>
      <w:marLeft w:val="0"/>
      <w:marRight w:val="0"/>
      <w:marTop w:val="0"/>
      <w:marBottom w:val="0"/>
      <w:divBdr>
        <w:top w:val="none" w:sz="0" w:space="0" w:color="auto"/>
        <w:left w:val="none" w:sz="0" w:space="0" w:color="auto"/>
        <w:bottom w:val="none" w:sz="0" w:space="0" w:color="auto"/>
        <w:right w:val="none" w:sz="0" w:space="0" w:color="auto"/>
      </w:divBdr>
    </w:div>
    <w:div w:id="1106657948">
      <w:bodyDiv w:val="1"/>
      <w:marLeft w:val="0"/>
      <w:marRight w:val="0"/>
      <w:marTop w:val="0"/>
      <w:marBottom w:val="0"/>
      <w:divBdr>
        <w:top w:val="none" w:sz="0" w:space="0" w:color="auto"/>
        <w:left w:val="none" w:sz="0" w:space="0" w:color="auto"/>
        <w:bottom w:val="none" w:sz="0" w:space="0" w:color="auto"/>
        <w:right w:val="none" w:sz="0" w:space="0" w:color="auto"/>
      </w:divBdr>
    </w:div>
    <w:div w:id="1126196449">
      <w:bodyDiv w:val="1"/>
      <w:marLeft w:val="0"/>
      <w:marRight w:val="0"/>
      <w:marTop w:val="0"/>
      <w:marBottom w:val="0"/>
      <w:divBdr>
        <w:top w:val="none" w:sz="0" w:space="0" w:color="auto"/>
        <w:left w:val="none" w:sz="0" w:space="0" w:color="auto"/>
        <w:bottom w:val="none" w:sz="0" w:space="0" w:color="auto"/>
        <w:right w:val="none" w:sz="0" w:space="0" w:color="auto"/>
      </w:divBdr>
    </w:div>
    <w:div w:id="1136996915">
      <w:bodyDiv w:val="1"/>
      <w:marLeft w:val="0"/>
      <w:marRight w:val="0"/>
      <w:marTop w:val="0"/>
      <w:marBottom w:val="0"/>
      <w:divBdr>
        <w:top w:val="none" w:sz="0" w:space="0" w:color="auto"/>
        <w:left w:val="none" w:sz="0" w:space="0" w:color="auto"/>
        <w:bottom w:val="none" w:sz="0" w:space="0" w:color="auto"/>
        <w:right w:val="none" w:sz="0" w:space="0" w:color="auto"/>
      </w:divBdr>
    </w:div>
    <w:div w:id="1195386448">
      <w:bodyDiv w:val="1"/>
      <w:marLeft w:val="0"/>
      <w:marRight w:val="0"/>
      <w:marTop w:val="0"/>
      <w:marBottom w:val="0"/>
      <w:divBdr>
        <w:top w:val="none" w:sz="0" w:space="0" w:color="auto"/>
        <w:left w:val="none" w:sz="0" w:space="0" w:color="auto"/>
        <w:bottom w:val="none" w:sz="0" w:space="0" w:color="auto"/>
        <w:right w:val="none" w:sz="0" w:space="0" w:color="auto"/>
      </w:divBdr>
    </w:div>
    <w:div w:id="1195509168">
      <w:bodyDiv w:val="1"/>
      <w:marLeft w:val="0"/>
      <w:marRight w:val="0"/>
      <w:marTop w:val="0"/>
      <w:marBottom w:val="0"/>
      <w:divBdr>
        <w:top w:val="none" w:sz="0" w:space="0" w:color="auto"/>
        <w:left w:val="none" w:sz="0" w:space="0" w:color="auto"/>
        <w:bottom w:val="none" w:sz="0" w:space="0" w:color="auto"/>
        <w:right w:val="none" w:sz="0" w:space="0" w:color="auto"/>
      </w:divBdr>
    </w:div>
    <w:div w:id="1249584483">
      <w:bodyDiv w:val="1"/>
      <w:marLeft w:val="0"/>
      <w:marRight w:val="0"/>
      <w:marTop w:val="0"/>
      <w:marBottom w:val="0"/>
      <w:divBdr>
        <w:top w:val="none" w:sz="0" w:space="0" w:color="auto"/>
        <w:left w:val="none" w:sz="0" w:space="0" w:color="auto"/>
        <w:bottom w:val="none" w:sz="0" w:space="0" w:color="auto"/>
        <w:right w:val="none" w:sz="0" w:space="0" w:color="auto"/>
      </w:divBdr>
    </w:div>
    <w:div w:id="1282616935">
      <w:bodyDiv w:val="1"/>
      <w:marLeft w:val="0"/>
      <w:marRight w:val="0"/>
      <w:marTop w:val="0"/>
      <w:marBottom w:val="0"/>
      <w:divBdr>
        <w:top w:val="none" w:sz="0" w:space="0" w:color="auto"/>
        <w:left w:val="none" w:sz="0" w:space="0" w:color="auto"/>
        <w:bottom w:val="none" w:sz="0" w:space="0" w:color="auto"/>
        <w:right w:val="none" w:sz="0" w:space="0" w:color="auto"/>
      </w:divBdr>
    </w:div>
    <w:div w:id="1440443864">
      <w:bodyDiv w:val="1"/>
      <w:marLeft w:val="0"/>
      <w:marRight w:val="0"/>
      <w:marTop w:val="0"/>
      <w:marBottom w:val="0"/>
      <w:divBdr>
        <w:top w:val="none" w:sz="0" w:space="0" w:color="auto"/>
        <w:left w:val="none" w:sz="0" w:space="0" w:color="auto"/>
        <w:bottom w:val="none" w:sz="0" w:space="0" w:color="auto"/>
        <w:right w:val="none" w:sz="0" w:space="0" w:color="auto"/>
      </w:divBdr>
    </w:div>
    <w:div w:id="1563786354">
      <w:bodyDiv w:val="1"/>
      <w:marLeft w:val="0"/>
      <w:marRight w:val="0"/>
      <w:marTop w:val="0"/>
      <w:marBottom w:val="0"/>
      <w:divBdr>
        <w:top w:val="none" w:sz="0" w:space="0" w:color="auto"/>
        <w:left w:val="none" w:sz="0" w:space="0" w:color="auto"/>
        <w:bottom w:val="none" w:sz="0" w:space="0" w:color="auto"/>
        <w:right w:val="none" w:sz="0" w:space="0" w:color="auto"/>
      </w:divBdr>
    </w:div>
    <w:div w:id="1574311493">
      <w:bodyDiv w:val="1"/>
      <w:marLeft w:val="0"/>
      <w:marRight w:val="0"/>
      <w:marTop w:val="0"/>
      <w:marBottom w:val="0"/>
      <w:divBdr>
        <w:top w:val="none" w:sz="0" w:space="0" w:color="auto"/>
        <w:left w:val="none" w:sz="0" w:space="0" w:color="auto"/>
        <w:bottom w:val="none" w:sz="0" w:space="0" w:color="auto"/>
        <w:right w:val="none" w:sz="0" w:space="0" w:color="auto"/>
      </w:divBdr>
    </w:div>
    <w:div w:id="1608779429">
      <w:bodyDiv w:val="1"/>
      <w:marLeft w:val="0"/>
      <w:marRight w:val="0"/>
      <w:marTop w:val="0"/>
      <w:marBottom w:val="0"/>
      <w:divBdr>
        <w:top w:val="none" w:sz="0" w:space="0" w:color="auto"/>
        <w:left w:val="none" w:sz="0" w:space="0" w:color="auto"/>
        <w:bottom w:val="none" w:sz="0" w:space="0" w:color="auto"/>
        <w:right w:val="none" w:sz="0" w:space="0" w:color="auto"/>
      </w:divBdr>
    </w:div>
    <w:div w:id="1653101181">
      <w:bodyDiv w:val="1"/>
      <w:marLeft w:val="0"/>
      <w:marRight w:val="0"/>
      <w:marTop w:val="0"/>
      <w:marBottom w:val="0"/>
      <w:divBdr>
        <w:top w:val="none" w:sz="0" w:space="0" w:color="auto"/>
        <w:left w:val="none" w:sz="0" w:space="0" w:color="auto"/>
        <w:bottom w:val="none" w:sz="0" w:space="0" w:color="auto"/>
        <w:right w:val="none" w:sz="0" w:space="0" w:color="auto"/>
      </w:divBdr>
    </w:div>
    <w:div w:id="1656714544">
      <w:bodyDiv w:val="1"/>
      <w:marLeft w:val="0"/>
      <w:marRight w:val="0"/>
      <w:marTop w:val="0"/>
      <w:marBottom w:val="0"/>
      <w:divBdr>
        <w:top w:val="none" w:sz="0" w:space="0" w:color="auto"/>
        <w:left w:val="none" w:sz="0" w:space="0" w:color="auto"/>
        <w:bottom w:val="none" w:sz="0" w:space="0" w:color="auto"/>
        <w:right w:val="none" w:sz="0" w:space="0" w:color="auto"/>
      </w:divBdr>
    </w:div>
    <w:div w:id="1690792555">
      <w:bodyDiv w:val="1"/>
      <w:marLeft w:val="0"/>
      <w:marRight w:val="0"/>
      <w:marTop w:val="0"/>
      <w:marBottom w:val="0"/>
      <w:divBdr>
        <w:top w:val="none" w:sz="0" w:space="0" w:color="auto"/>
        <w:left w:val="none" w:sz="0" w:space="0" w:color="auto"/>
        <w:bottom w:val="none" w:sz="0" w:space="0" w:color="auto"/>
        <w:right w:val="none" w:sz="0" w:space="0" w:color="auto"/>
      </w:divBdr>
    </w:div>
    <w:div w:id="1713381896">
      <w:bodyDiv w:val="1"/>
      <w:marLeft w:val="0"/>
      <w:marRight w:val="0"/>
      <w:marTop w:val="0"/>
      <w:marBottom w:val="0"/>
      <w:divBdr>
        <w:top w:val="none" w:sz="0" w:space="0" w:color="auto"/>
        <w:left w:val="none" w:sz="0" w:space="0" w:color="auto"/>
        <w:bottom w:val="none" w:sz="0" w:space="0" w:color="auto"/>
        <w:right w:val="none" w:sz="0" w:space="0" w:color="auto"/>
      </w:divBdr>
    </w:div>
    <w:div w:id="1847552482">
      <w:bodyDiv w:val="1"/>
      <w:marLeft w:val="0"/>
      <w:marRight w:val="0"/>
      <w:marTop w:val="0"/>
      <w:marBottom w:val="0"/>
      <w:divBdr>
        <w:top w:val="none" w:sz="0" w:space="0" w:color="auto"/>
        <w:left w:val="none" w:sz="0" w:space="0" w:color="auto"/>
        <w:bottom w:val="none" w:sz="0" w:space="0" w:color="auto"/>
        <w:right w:val="none" w:sz="0" w:space="0" w:color="auto"/>
      </w:divBdr>
    </w:div>
    <w:div w:id="1855194488">
      <w:bodyDiv w:val="1"/>
      <w:marLeft w:val="0"/>
      <w:marRight w:val="0"/>
      <w:marTop w:val="0"/>
      <w:marBottom w:val="0"/>
      <w:divBdr>
        <w:top w:val="none" w:sz="0" w:space="0" w:color="auto"/>
        <w:left w:val="none" w:sz="0" w:space="0" w:color="auto"/>
        <w:bottom w:val="none" w:sz="0" w:space="0" w:color="auto"/>
        <w:right w:val="none" w:sz="0" w:space="0" w:color="auto"/>
      </w:divBdr>
    </w:div>
    <w:div w:id="1865941351">
      <w:bodyDiv w:val="1"/>
      <w:marLeft w:val="0"/>
      <w:marRight w:val="0"/>
      <w:marTop w:val="0"/>
      <w:marBottom w:val="0"/>
      <w:divBdr>
        <w:top w:val="none" w:sz="0" w:space="0" w:color="auto"/>
        <w:left w:val="none" w:sz="0" w:space="0" w:color="auto"/>
        <w:bottom w:val="none" w:sz="0" w:space="0" w:color="auto"/>
        <w:right w:val="none" w:sz="0" w:space="0" w:color="auto"/>
      </w:divBdr>
    </w:div>
    <w:div w:id="1980376363">
      <w:bodyDiv w:val="1"/>
      <w:marLeft w:val="0"/>
      <w:marRight w:val="0"/>
      <w:marTop w:val="0"/>
      <w:marBottom w:val="0"/>
      <w:divBdr>
        <w:top w:val="none" w:sz="0" w:space="0" w:color="auto"/>
        <w:left w:val="none" w:sz="0" w:space="0" w:color="auto"/>
        <w:bottom w:val="none" w:sz="0" w:space="0" w:color="auto"/>
        <w:right w:val="none" w:sz="0" w:space="0" w:color="auto"/>
      </w:divBdr>
    </w:div>
    <w:div w:id="1984459730">
      <w:bodyDiv w:val="1"/>
      <w:marLeft w:val="0"/>
      <w:marRight w:val="0"/>
      <w:marTop w:val="0"/>
      <w:marBottom w:val="0"/>
      <w:divBdr>
        <w:top w:val="none" w:sz="0" w:space="0" w:color="auto"/>
        <w:left w:val="none" w:sz="0" w:space="0" w:color="auto"/>
        <w:bottom w:val="none" w:sz="0" w:space="0" w:color="auto"/>
        <w:right w:val="none" w:sz="0" w:space="0" w:color="auto"/>
      </w:divBdr>
    </w:div>
    <w:div w:id="1995529944">
      <w:bodyDiv w:val="1"/>
      <w:marLeft w:val="0"/>
      <w:marRight w:val="0"/>
      <w:marTop w:val="0"/>
      <w:marBottom w:val="0"/>
      <w:divBdr>
        <w:top w:val="none" w:sz="0" w:space="0" w:color="auto"/>
        <w:left w:val="none" w:sz="0" w:space="0" w:color="auto"/>
        <w:bottom w:val="none" w:sz="0" w:space="0" w:color="auto"/>
        <w:right w:val="none" w:sz="0" w:space="0" w:color="auto"/>
      </w:divBdr>
    </w:div>
    <w:div w:id="2004502582">
      <w:bodyDiv w:val="1"/>
      <w:marLeft w:val="0"/>
      <w:marRight w:val="0"/>
      <w:marTop w:val="0"/>
      <w:marBottom w:val="0"/>
      <w:divBdr>
        <w:top w:val="none" w:sz="0" w:space="0" w:color="auto"/>
        <w:left w:val="none" w:sz="0" w:space="0" w:color="auto"/>
        <w:bottom w:val="none" w:sz="0" w:space="0" w:color="auto"/>
        <w:right w:val="none" w:sz="0" w:space="0" w:color="auto"/>
      </w:divBdr>
    </w:div>
    <w:div w:id="2009940689">
      <w:bodyDiv w:val="1"/>
      <w:marLeft w:val="0"/>
      <w:marRight w:val="0"/>
      <w:marTop w:val="0"/>
      <w:marBottom w:val="0"/>
      <w:divBdr>
        <w:top w:val="none" w:sz="0" w:space="0" w:color="auto"/>
        <w:left w:val="none" w:sz="0" w:space="0" w:color="auto"/>
        <w:bottom w:val="none" w:sz="0" w:space="0" w:color="auto"/>
        <w:right w:val="none" w:sz="0" w:space="0" w:color="auto"/>
      </w:divBdr>
    </w:div>
    <w:div w:id="2086148568">
      <w:bodyDiv w:val="1"/>
      <w:marLeft w:val="0"/>
      <w:marRight w:val="0"/>
      <w:marTop w:val="0"/>
      <w:marBottom w:val="0"/>
      <w:divBdr>
        <w:top w:val="none" w:sz="0" w:space="0" w:color="auto"/>
        <w:left w:val="none" w:sz="0" w:space="0" w:color="auto"/>
        <w:bottom w:val="none" w:sz="0" w:space="0" w:color="auto"/>
        <w:right w:val="none" w:sz="0" w:space="0" w:color="auto"/>
      </w:divBdr>
    </w:div>
    <w:div w:id="214580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image" Target="media/image11.w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DA727F-8C0E-4A64-8ADA-6B362F37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844</TotalTime>
  <Pages>11</Pages>
  <Words>95666</Words>
  <Characters>545299</Characters>
  <Application>Microsoft Office Word</Application>
  <DocSecurity>0</DocSecurity>
  <Lines>4544</Lines>
  <Paragraphs>1279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639686</CharactersWithSpaces>
  <SharedDoc>false</SharedDoc>
  <HyperlinkBase/>
  <HLinks>
    <vt:vector size="18" baseType="variant">
      <vt:variant>
        <vt:i4>2031686</vt:i4>
      </vt:variant>
      <vt:variant>
        <vt:i4>36</vt:i4>
      </vt:variant>
      <vt:variant>
        <vt:i4>0</vt:i4>
      </vt:variant>
      <vt:variant>
        <vt:i4>5</vt:i4>
      </vt:variant>
      <vt:variant>
        <vt:lpwstr>http://www.3gpp.org/ftp/Specs/html-info/21900.htm</vt:lpwstr>
      </vt:variant>
      <vt:variant>
        <vt:lpwstr/>
      </vt:variant>
      <vt:variant>
        <vt:i4>6946916</vt:i4>
      </vt:variant>
      <vt:variant>
        <vt:i4>12</vt:i4>
      </vt:variant>
      <vt:variant>
        <vt:i4>0</vt:i4>
      </vt:variant>
      <vt:variant>
        <vt:i4>5</vt:i4>
      </vt:variant>
      <vt:variant>
        <vt:lpwstr>http://www.3gpp.org/Change-Requests</vt:lpwstr>
      </vt:variant>
      <vt:variant>
        <vt:lpwstr/>
      </vt:variant>
      <vt:variant>
        <vt:i4>6553706</vt:i4>
      </vt:variant>
      <vt:variant>
        <vt:i4>9</vt:i4>
      </vt:variant>
      <vt:variant>
        <vt:i4>0</vt:i4>
      </vt:variant>
      <vt:variant>
        <vt:i4>5</vt:i4>
      </vt:variant>
      <vt:variant>
        <vt:lpwstr>http://www.3gpp.org/3G_Specs/CRs.htm</vt:lpwstr>
      </vt:variant>
      <vt:variant>
        <vt:lpwstr>_blank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Support</dc:creator>
  <cp:keywords/>
  <dc:description/>
  <cp:lastModifiedBy>MCC</cp:lastModifiedBy>
  <cp:revision>521</cp:revision>
  <dcterms:created xsi:type="dcterms:W3CDTF">2022-06-29T14:17:00Z</dcterms:created>
  <dcterms:modified xsi:type="dcterms:W3CDTF">2023-06-30T19:19:00Z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dc319f41-7331-4ed1-a9f6-adc138749408</vt:lpwstr>
  </property>
  <property fmtid="{D5CDD505-2E9C-101B-9397-08002B2CF9AE}" pid="3" name="CTP_TimeStamp">
    <vt:lpwstr>2019-09-07 00:54:24Z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_2015_ms_pID_725343">
    <vt:lpwstr>(3)sHpijrpr0MdD+We/B80aqThCh/g33rJ9pwt4rnWwJEdkHjok/IssUE23XlQlHiY3hrSSUHm6
h7vTKr9DjgKWgNqL+F26n3Fp+RSBGluxn6UpLVvNrLN01r8U5S2fZpQnFsq0fk4BpeyS6+8e
8uJhiZwSMFTeza5DT9ro64XzpNFYnAuyO/kK5L6CthKEdYcr5hlSpcRbbIHkcf0pWvITI1Bp
Ni7ebUFPbMMJ3vzinW</vt:lpwstr>
  </property>
  <property fmtid="{D5CDD505-2E9C-101B-9397-08002B2CF9AE}" pid="8" name="_2015_ms_pID_7253431">
    <vt:lpwstr>1B3ntbiMpE2EhuymauWy6fnENJZ9bdQRtuONrx3mqjk+UkeGarbtKI
Q7/ToXebg7YYPMQN+tFB3ATGEqheq7go+YFX3U8Tf7NnZvhCylRlC9AE2MIC4XGDpLy/pOKc
uWHwTTmoQS3WBt+LaZcKX32SLcllnWo3XdIm2idutxIy+Ci/2my2mruielU6JdjQCyGpeUVP
eEZib/gFhCM5GXqTOaWU6iRtySHI93XNR9b1</vt:lpwstr>
  </property>
  <property fmtid="{D5CDD505-2E9C-101B-9397-08002B2CF9AE}" pid="9" name="_2015_ms_pID_7253432">
    <vt:lpwstr>2RzX2LX1o0YrAPR/X6bvpwU=</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1539613302</vt:lpwstr>
  </property>
  <property fmtid="{D5CDD505-2E9C-101B-9397-08002B2CF9AE}" pid="14" name="CTPClassification">
    <vt:lpwstr>CTP_NT</vt:lpwstr>
  </property>
</Properties>
</file>